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84"/>
        <w:spacing w:after="0"/>
        <w:rPr>
          <w:sz w:val="20"/>
          <w:szCs w:val="20"/>
          <w:color w:val="auto"/>
        </w:rPr>
      </w:pPr>
      <w:r>
        <w:rPr>
          <w:rFonts w:ascii="Arial" w:cs="Arial" w:eastAsia="Arial" w:hAnsi="Arial"/>
          <w:sz w:val="23"/>
          <w:szCs w:val="23"/>
          <w:b w:val="1"/>
          <w:bCs w:val="1"/>
          <w:color w:val="auto"/>
        </w:rPr>
        <w:drawing>
          <wp:anchor simplePos="0" relativeHeight="251657728" behindDoc="1" locked="0" layoutInCell="0" allowOverlap="1">
            <wp:simplePos x="0" y="0"/>
            <wp:positionH relativeFrom="page">
              <wp:posOffset>346075</wp:posOffset>
            </wp:positionH>
            <wp:positionV relativeFrom="page">
              <wp:posOffset>612140</wp:posOffset>
            </wp:positionV>
            <wp:extent cx="6869430"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6869430" cy="8890"/>
                    </a:xfrm>
                    <a:prstGeom prst="rect">
                      <a:avLst/>
                    </a:prstGeom>
                    <a:noFill/>
                  </pic:spPr>
                </pic:pic>
              </a:graphicData>
            </a:graphic>
          </wp:anchor>
        </w:drawing>
        <w:drawing>
          <wp:anchor simplePos="0" relativeHeight="251657728" behindDoc="1" locked="0" layoutInCell="0" allowOverlap="1">
            <wp:simplePos x="0" y="0"/>
            <wp:positionH relativeFrom="page">
              <wp:posOffset>346075</wp:posOffset>
            </wp:positionH>
            <wp:positionV relativeFrom="page">
              <wp:posOffset>517525</wp:posOffset>
            </wp:positionV>
            <wp:extent cx="6869430" cy="171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869430" cy="17145"/>
                    </a:xfrm>
                    <a:prstGeom prst="rect">
                      <a:avLst/>
                    </a:prstGeom>
                    <a:noFill/>
                  </pic:spPr>
                </pic:pic>
              </a:graphicData>
            </a:graphic>
          </wp:anchor>
        </w:drawing>
        <w:t>UNITED STATES SECURITIES AND EXCHANGE COMMISSION</w:t>
      </w:r>
    </w:p>
    <w:p>
      <w:pPr>
        <w:spacing w:after="0" w:line="34" w:lineRule="exact"/>
        <w:rPr>
          <w:sz w:val="24"/>
          <w:szCs w:val="24"/>
          <w:color w:val="auto"/>
        </w:rPr>
      </w:pPr>
    </w:p>
    <w:p>
      <w:pPr>
        <w:jc w:val="center"/>
        <w:ind w:right="-84"/>
        <w:spacing w:after="0"/>
        <w:rPr>
          <w:sz w:val="20"/>
          <w:szCs w:val="20"/>
          <w:color w:val="auto"/>
        </w:rPr>
      </w:pPr>
      <w:r>
        <w:rPr>
          <w:rFonts w:ascii="Arial" w:cs="Arial" w:eastAsia="Arial" w:hAnsi="Arial"/>
          <w:sz w:val="23"/>
          <w:szCs w:val="23"/>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2470150</wp:posOffset>
            </wp:positionH>
            <wp:positionV relativeFrom="paragraph">
              <wp:posOffset>86360</wp:posOffset>
            </wp:positionV>
            <wp:extent cx="228092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2280920" cy="8890"/>
                    </a:xfrm>
                    <a:prstGeom prst="rect">
                      <a:avLst/>
                    </a:prstGeom>
                    <a:noFill/>
                  </pic:spPr>
                </pic:pic>
              </a:graphicData>
            </a:graphic>
          </wp:anchor>
        </w:drawing>
      </w:r>
    </w:p>
    <w:p>
      <w:pPr>
        <w:spacing w:after="0" w:line="255" w:lineRule="exact"/>
        <w:rPr>
          <w:sz w:val="24"/>
          <w:szCs w:val="24"/>
          <w:color w:val="auto"/>
        </w:rPr>
      </w:pPr>
    </w:p>
    <w:p>
      <w:pPr>
        <w:jc w:val="center"/>
        <w:ind w:right="75"/>
        <w:spacing w:after="0"/>
        <w:rPr>
          <w:sz w:val="20"/>
          <w:szCs w:val="20"/>
          <w:color w:val="auto"/>
        </w:rPr>
      </w:pPr>
      <w:r>
        <w:rPr>
          <w:rFonts w:ascii="Arial" w:cs="Arial" w:eastAsia="Arial" w:hAnsi="Arial"/>
          <w:sz w:val="23"/>
          <w:szCs w:val="23"/>
          <w:b w:val="1"/>
          <w:bCs w:val="1"/>
          <w:color w:val="auto"/>
        </w:rPr>
        <w:t>FORM 10-K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2470150</wp:posOffset>
            </wp:positionH>
            <wp:positionV relativeFrom="paragraph">
              <wp:posOffset>121285</wp:posOffset>
            </wp:positionV>
            <wp:extent cx="228092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2280920" cy="8890"/>
                    </a:xfrm>
                    <a:prstGeom prst="rect">
                      <a:avLst/>
                    </a:prstGeom>
                    <a:noFill/>
                  </pic:spPr>
                </pic:pic>
              </a:graphicData>
            </a:graphic>
          </wp:anchor>
        </w:drawing>
      </w:r>
    </w:p>
    <w:p>
      <w:pPr>
        <w:spacing w:after="0" w:line="200" w:lineRule="exact"/>
        <w:rPr>
          <w:sz w:val="24"/>
          <w:szCs w:val="24"/>
          <w:color w:val="auto"/>
        </w:rPr>
      </w:pPr>
    </w:p>
    <w:p>
      <w:pPr>
        <w:spacing w:after="0" w:line="281" w:lineRule="exact"/>
        <w:rPr>
          <w:sz w:val="24"/>
          <w:szCs w:val="24"/>
          <w:color w:val="auto"/>
        </w:rPr>
      </w:pPr>
    </w:p>
    <w:p>
      <w:pPr>
        <w:ind w:left="665" w:hanging="665"/>
        <w:spacing w:after="0"/>
        <w:tabs>
          <w:tab w:leader="none" w:pos="665" w:val="left"/>
        </w:tabs>
        <w:numPr>
          <w:ilvl w:val="0"/>
          <w:numId w:val="1"/>
        </w:numPr>
        <w:rPr>
          <w:rFonts w:ascii="MS PGothic" w:cs="MS PGothic" w:eastAsia="MS PGothic" w:hAnsi="MS PGothic"/>
          <w:sz w:val="18"/>
          <w:szCs w:val="18"/>
          <w:color w:val="auto"/>
        </w:rPr>
      </w:pPr>
      <w:r>
        <w:rPr>
          <w:rFonts w:ascii="Arial" w:cs="Arial" w:eastAsia="Arial" w:hAnsi="Arial"/>
          <w:sz w:val="20"/>
          <w:szCs w:val="20"/>
          <w:b w:val="1"/>
          <w:bCs w:val="1"/>
          <w:color w:val="auto"/>
        </w:rPr>
        <w:t>ANNUAL REPORT PURSUANT TO SECTION 13 OR 15(d) OF THE SECURITIES EXCHANGE ACT OF 1934</w:t>
      </w:r>
    </w:p>
    <w:p>
      <w:pPr>
        <w:spacing w:after="0" w:line="33" w:lineRule="exact"/>
        <w:rPr>
          <w:rFonts w:ascii="MS PGothic" w:cs="MS PGothic" w:eastAsia="MS PGothic" w:hAnsi="MS PGothic"/>
          <w:sz w:val="18"/>
          <w:szCs w:val="18"/>
          <w:color w:val="auto"/>
        </w:rPr>
      </w:pPr>
    </w:p>
    <w:p>
      <w:pPr>
        <w:ind w:left="405"/>
        <w:spacing w:after="0"/>
        <w:rPr>
          <w:rFonts w:ascii="MS PGothic" w:cs="MS PGothic" w:eastAsia="MS PGothic" w:hAnsi="MS PGothic"/>
          <w:sz w:val="18"/>
          <w:szCs w:val="18"/>
          <w:color w:val="auto"/>
        </w:rPr>
      </w:pPr>
      <w:r>
        <w:rPr>
          <w:rFonts w:ascii="Arial" w:cs="Arial" w:eastAsia="Arial" w:hAnsi="Arial"/>
          <w:sz w:val="18"/>
          <w:szCs w:val="18"/>
          <w:b w:val="1"/>
          <w:bCs w:val="1"/>
          <w:color w:val="auto"/>
        </w:rPr>
        <w:t>For the Fiscal Year Ended December 31, 2019</w:t>
      </w:r>
    </w:p>
    <w:p>
      <w:pPr>
        <w:spacing w:after="0" w:line="313" w:lineRule="exact"/>
        <w:rPr>
          <w:sz w:val="24"/>
          <w:szCs w:val="24"/>
          <w:color w:val="auto"/>
        </w:rPr>
      </w:pPr>
    </w:p>
    <w:p>
      <w:pPr>
        <w:ind w:left="665" w:right="500" w:hanging="665"/>
        <w:spacing w:after="0" w:line="249" w:lineRule="auto"/>
        <w:tabs>
          <w:tab w:leader="none" w:pos="665" w:val="left"/>
        </w:tabs>
        <w:numPr>
          <w:ilvl w:val="0"/>
          <w:numId w:val="2"/>
        </w:numPr>
        <w:rPr>
          <w:rFonts w:ascii="MS PGothic" w:cs="MS PGothic" w:eastAsia="MS PGothic" w:hAnsi="MS PGothic"/>
          <w:sz w:val="18"/>
          <w:szCs w:val="18"/>
          <w:color w:val="auto"/>
        </w:rPr>
      </w:pPr>
      <w:r>
        <w:rPr>
          <w:rFonts w:ascii="Arial" w:cs="Arial" w:eastAsia="Arial" w:hAnsi="Arial"/>
          <w:sz w:val="20"/>
          <w:szCs w:val="20"/>
          <w:b w:val="1"/>
          <w:bCs w:val="1"/>
          <w:color w:val="auto"/>
        </w:rPr>
        <w:t>TRANSITION REPORT PURSUANT TO SECTION 13 OR 15(d) OF THE SECURITIES EXCHANGE ACT OF 1934</w:t>
      </w:r>
    </w:p>
    <w:p>
      <w:pPr>
        <w:ind w:left="405"/>
        <w:spacing w:after="0"/>
        <w:tabs>
          <w:tab w:leader="none" w:pos="4325" w:val="left"/>
        </w:tabs>
        <w:rPr>
          <w:sz w:val="20"/>
          <w:szCs w:val="20"/>
          <w:color w:val="auto"/>
        </w:rPr>
      </w:pPr>
      <w:r>
        <w:rPr>
          <w:rFonts w:ascii="Arial" w:cs="Arial" w:eastAsia="Arial" w:hAnsi="Arial"/>
          <w:sz w:val="18"/>
          <w:szCs w:val="18"/>
          <w:b w:val="1"/>
          <w:bCs w:val="1"/>
          <w:color w:val="auto"/>
        </w:rPr>
        <w:t>For the Transition Period From</w:t>
      </w:r>
      <w:r>
        <w:rPr>
          <w:sz w:val="20"/>
          <w:szCs w:val="20"/>
          <w:color w:val="auto"/>
        </w:rPr>
        <w:tab/>
      </w:r>
      <w:r>
        <w:rPr>
          <w:rFonts w:ascii="Arial" w:cs="Arial" w:eastAsia="Arial" w:hAnsi="Arial"/>
          <w:sz w:val="16"/>
          <w:szCs w:val="16"/>
          <w:b w:val="1"/>
          <w:bCs w:val="1"/>
          <w:color w:val="auto"/>
        </w:rPr>
        <w:t>to</w:t>
      </w:r>
    </w:p>
    <w:p>
      <w:pPr>
        <w:spacing w:after="0" w:line="126" w:lineRule="exact"/>
        <w:rPr>
          <w:sz w:val="24"/>
          <w:szCs w:val="24"/>
          <w:color w:val="auto"/>
        </w:rPr>
      </w:pPr>
    </w:p>
    <w:p>
      <w:pPr>
        <w:jc w:val="center"/>
        <w:ind w:right="-84"/>
        <w:spacing w:after="0"/>
        <w:rPr>
          <w:sz w:val="20"/>
          <w:szCs w:val="20"/>
          <w:color w:val="auto"/>
        </w:rPr>
      </w:pPr>
      <w:r>
        <w:rPr>
          <w:rFonts w:ascii="Arial" w:cs="Arial" w:eastAsia="Arial" w:hAnsi="Arial"/>
          <w:sz w:val="18"/>
          <w:szCs w:val="18"/>
          <w:color w:val="auto"/>
        </w:rPr>
        <w:t>Commission file number 1-8400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1895475</wp:posOffset>
            </wp:positionH>
            <wp:positionV relativeFrom="paragraph">
              <wp:posOffset>160655</wp:posOffset>
            </wp:positionV>
            <wp:extent cx="3422015"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3422015" cy="8890"/>
                    </a:xfrm>
                    <a:prstGeom prst="rect">
                      <a:avLst/>
                    </a:prstGeom>
                    <a:noFill/>
                  </pic:spPr>
                </pic:pic>
              </a:graphicData>
            </a:graphic>
          </wp:anchor>
        </w:drawing>
      </w:r>
    </w:p>
    <w:p>
      <w:pPr>
        <w:spacing w:after="0" w:line="371" w:lineRule="exact"/>
        <w:rPr>
          <w:sz w:val="24"/>
          <w:szCs w:val="24"/>
          <w:color w:val="auto"/>
        </w:rPr>
      </w:pPr>
    </w:p>
    <w:p>
      <w:pPr>
        <w:jc w:val="center"/>
        <w:ind w:right="-84"/>
        <w:spacing w:after="0"/>
        <w:rPr>
          <w:sz w:val="20"/>
          <w:szCs w:val="20"/>
          <w:color w:val="auto"/>
        </w:rPr>
      </w:pPr>
      <w:r>
        <w:rPr>
          <w:rFonts w:ascii="Arial" w:cs="Arial" w:eastAsia="Arial" w:hAnsi="Arial"/>
          <w:sz w:val="23"/>
          <w:szCs w:val="23"/>
          <w:b w:val="1"/>
          <w:bCs w:val="1"/>
          <w:color w:val="auto"/>
        </w:rPr>
        <w:t>American Airlines Group Inc.</w:t>
      </w:r>
    </w:p>
    <w:p>
      <w:pPr>
        <w:spacing w:after="0" w:line="96" w:lineRule="exact"/>
        <w:rPr>
          <w:sz w:val="24"/>
          <w:szCs w:val="24"/>
          <w:color w:val="auto"/>
        </w:rPr>
      </w:pPr>
    </w:p>
    <w:p>
      <w:pPr>
        <w:jc w:val="center"/>
        <w:ind w:right="-84"/>
        <w:spacing w:after="0"/>
        <w:rPr>
          <w:sz w:val="20"/>
          <w:szCs w:val="20"/>
          <w:color w:val="auto"/>
        </w:rPr>
      </w:pPr>
      <w:r>
        <w:rPr>
          <w:rFonts w:ascii="Arial" w:cs="Arial" w:eastAsia="Arial" w:hAnsi="Arial"/>
          <w:sz w:val="18"/>
          <w:szCs w:val="18"/>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1895475</wp:posOffset>
            </wp:positionH>
            <wp:positionV relativeFrom="paragraph">
              <wp:posOffset>92075</wp:posOffset>
            </wp:positionV>
            <wp:extent cx="3422015"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3422015" cy="8890"/>
                    </a:xfrm>
                    <a:prstGeom prst="rect">
                      <a:avLst/>
                    </a:prstGeom>
                    <a:noFill/>
                  </pic:spPr>
                </pic:pic>
              </a:graphicData>
            </a:graphic>
          </wp:anchor>
        </w:drawing>
      </w:r>
    </w:p>
    <w:p>
      <w:pPr>
        <w:spacing w:after="0" w:line="391" w:lineRule="exact"/>
        <w:rPr>
          <w:sz w:val="24"/>
          <w:szCs w:val="24"/>
          <w:color w:val="auto"/>
        </w:rPr>
      </w:pPr>
    </w:p>
    <w:tbl>
      <w:tblPr>
        <w:tblLayout w:type="fixed"/>
        <w:tblInd w:w="2425" w:type="dxa"/>
        <w:tblCellMar>
          <w:top w:w="0" w:type="dxa"/>
          <w:left w:w="0" w:type="dxa"/>
          <w:bottom w:w="0" w:type="dxa"/>
          <w:right w:w="0" w:type="dxa"/>
        </w:tblCellMar>
      </w:tblPr>
      <w:tr>
        <w:trPr>
          <w:trHeight w:val="215"/>
        </w:trPr>
        <w:tc>
          <w:tcPr>
            <w:tcW w:w="3280" w:type="dxa"/>
            <w:vAlign w:val="bottom"/>
          </w:tcPr>
          <w:p>
            <w:pPr>
              <w:spacing w:after="0"/>
              <w:rPr>
                <w:sz w:val="20"/>
                <w:szCs w:val="20"/>
                <w:color w:val="auto"/>
              </w:rPr>
            </w:pPr>
            <w:r>
              <w:rPr>
                <w:rFonts w:ascii="Arial" w:cs="Arial" w:eastAsia="Arial" w:hAnsi="Arial"/>
                <w:sz w:val="16"/>
                <w:szCs w:val="16"/>
                <w:b w:val="1"/>
                <w:bCs w:val="1"/>
                <w:color w:val="auto"/>
              </w:rPr>
              <w:t>Delaware</w:t>
            </w:r>
          </w:p>
        </w:tc>
        <w:tc>
          <w:tcPr>
            <w:tcW w:w="3440" w:type="dxa"/>
            <w:vAlign w:val="bottom"/>
          </w:tcPr>
          <w:p>
            <w:pPr>
              <w:jc w:val="right"/>
              <w:spacing w:after="0"/>
              <w:rPr>
                <w:sz w:val="20"/>
                <w:szCs w:val="20"/>
                <w:color w:val="auto"/>
              </w:rPr>
            </w:pPr>
            <w:r>
              <w:rPr>
                <w:rFonts w:ascii="Arial" w:cs="Arial" w:eastAsia="Arial" w:hAnsi="Arial"/>
                <w:sz w:val="16"/>
                <w:szCs w:val="16"/>
                <w:b w:val="1"/>
                <w:bCs w:val="1"/>
                <w:color w:val="auto"/>
              </w:rPr>
              <w:t>75-1825172</w:t>
            </w:r>
          </w:p>
        </w:tc>
      </w:tr>
    </w:tbl>
    <w:p>
      <w:pPr>
        <w:spacing w:after="0" w:line="68" w:lineRule="exact"/>
        <w:rPr>
          <w:sz w:val="24"/>
          <w:szCs w:val="24"/>
          <w:color w:val="auto"/>
        </w:rPr>
      </w:pPr>
    </w:p>
    <w:tbl>
      <w:tblPr>
        <w:tblLayout w:type="fixed"/>
        <w:tblInd w:w="465" w:type="dxa"/>
        <w:tblCellMar>
          <w:top w:w="0" w:type="dxa"/>
          <w:left w:w="0" w:type="dxa"/>
          <w:bottom w:w="0" w:type="dxa"/>
          <w:right w:w="0" w:type="dxa"/>
        </w:tblCellMar>
      </w:tblPr>
      <w:tr>
        <w:trPr>
          <w:trHeight w:val="235"/>
        </w:trPr>
        <w:tc>
          <w:tcPr>
            <w:tcW w:w="5420" w:type="dxa"/>
            <w:vAlign w:val="bottom"/>
            <w:gridSpan w:val="3"/>
          </w:tcPr>
          <w:p>
            <w:pPr>
              <w:spacing w:after="0"/>
              <w:rPr>
                <w:sz w:val="20"/>
                <w:szCs w:val="20"/>
                <w:color w:val="auto"/>
              </w:rPr>
            </w:pPr>
            <w:r>
              <w:rPr>
                <w:rFonts w:ascii="Arial" w:cs="Arial" w:eastAsia="Arial" w:hAnsi="Arial"/>
                <w:sz w:val="18"/>
                <w:szCs w:val="18"/>
                <w:i w:val="1"/>
                <w:iCs w:val="1"/>
                <w:color w:val="auto"/>
              </w:rPr>
              <w:t>(State or other jurisdiction of incorporation or organization)</w:t>
            </w:r>
          </w:p>
        </w:tc>
        <w:tc>
          <w:tcPr>
            <w:tcW w:w="4880" w:type="dxa"/>
            <w:vAlign w:val="bottom"/>
          </w:tcPr>
          <w:p>
            <w:pPr>
              <w:jc w:val="center"/>
              <w:ind w:left="693"/>
              <w:spacing w:after="0"/>
              <w:rPr>
                <w:sz w:val="20"/>
                <w:szCs w:val="20"/>
                <w:color w:val="auto"/>
              </w:rPr>
            </w:pPr>
            <w:r>
              <w:rPr>
                <w:rFonts w:ascii="Arial" w:cs="Arial" w:eastAsia="Arial" w:hAnsi="Arial"/>
                <w:sz w:val="18"/>
                <w:szCs w:val="18"/>
                <w:i w:val="1"/>
                <w:iCs w:val="1"/>
                <w:color w:val="auto"/>
              </w:rPr>
              <w:t>(I.R.S. Employer Identification No.)</w:t>
            </w:r>
          </w:p>
        </w:tc>
      </w:tr>
      <w:tr>
        <w:trPr>
          <w:trHeight w:val="237"/>
        </w:trPr>
        <w:tc>
          <w:tcPr>
            <w:tcW w:w="1460" w:type="dxa"/>
            <w:vAlign w:val="bottom"/>
          </w:tcPr>
          <w:p>
            <w:pPr>
              <w:ind w:left="40"/>
              <w:spacing w:after="0"/>
              <w:rPr>
                <w:sz w:val="20"/>
                <w:szCs w:val="20"/>
                <w:color w:val="auto"/>
              </w:rPr>
            </w:pPr>
            <w:r>
              <w:rPr>
                <w:rFonts w:ascii="Arial" w:cs="Arial" w:eastAsia="Arial" w:hAnsi="Arial"/>
                <w:sz w:val="16"/>
                <w:szCs w:val="16"/>
                <w:b w:val="1"/>
                <w:bCs w:val="1"/>
                <w:color w:val="auto"/>
              </w:rPr>
              <w:t>1 Skyview Drive,</w:t>
            </w:r>
          </w:p>
        </w:tc>
        <w:tc>
          <w:tcPr>
            <w:tcW w:w="1220" w:type="dxa"/>
            <w:vAlign w:val="bottom"/>
          </w:tcPr>
          <w:p>
            <w:pPr>
              <w:ind w:left="140"/>
              <w:spacing w:after="0"/>
              <w:rPr>
                <w:sz w:val="20"/>
                <w:szCs w:val="20"/>
                <w:color w:val="auto"/>
              </w:rPr>
            </w:pPr>
            <w:r>
              <w:rPr>
                <w:rFonts w:ascii="Arial" w:cs="Arial" w:eastAsia="Arial" w:hAnsi="Arial"/>
                <w:sz w:val="16"/>
                <w:szCs w:val="16"/>
                <w:b w:val="1"/>
                <w:bCs w:val="1"/>
                <w:color w:val="auto"/>
              </w:rPr>
              <w:t>Fort Worth,</w:t>
            </w:r>
          </w:p>
        </w:tc>
        <w:tc>
          <w:tcPr>
            <w:tcW w:w="2740" w:type="dxa"/>
            <w:vAlign w:val="bottom"/>
          </w:tcPr>
          <w:p>
            <w:pPr>
              <w:ind w:left="220"/>
              <w:spacing w:after="0"/>
              <w:rPr>
                <w:sz w:val="20"/>
                <w:szCs w:val="20"/>
                <w:color w:val="auto"/>
              </w:rPr>
            </w:pPr>
            <w:r>
              <w:rPr>
                <w:rFonts w:ascii="Arial" w:cs="Arial" w:eastAsia="Arial" w:hAnsi="Arial"/>
                <w:sz w:val="16"/>
                <w:szCs w:val="16"/>
                <w:b w:val="1"/>
                <w:bCs w:val="1"/>
                <w:color w:val="auto"/>
              </w:rPr>
              <w:t>Texas   76155</w:t>
            </w:r>
          </w:p>
        </w:tc>
        <w:tc>
          <w:tcPr>
            <w:tcW w:w="4880" w:type="dxa"/>
            <w:vAlign w:val="bottom"/>
          </w:tcPr>
          <w:p>
            <w:pPr>
              <w:jc w:val="center"/>
              <w:ind w:left="633"/>
              <w:spacing w:after="0"/>
              <w:rPr>
                <w:sz w:val="20"/>
                <w:szCs w:val="20"/>
                <w:color w:val="auto"/>
              </w:rPr>
            </w:pPr>
            <w:r>
              <w:rPr>
                <w:rFonts w:ascii="Arial" w:cs="Arial" w:eastAsia="Arial" w:hAnsi="Arial"/>
                <w:sz w:val="16"/>
                <w:szCs w:val="16"/>
                <w:b w:val="1"/>
                <w:bCs w:val="1"/>
                <w:color w:val="auto"/>
              </w:rPr>
              <w:t>(817) 963-1234</w:t>
            </w:r>
          </w:p>
        </w:tc>
      </w:tr>
      <w:tr>
        <w:trPr>
          <w:trHeight w:val="290"/>
        </w:trPr>
        <w:tc>
          <w:tcPr>
            <w:tcW w:w="5420" w:type="dxa"/>
            <w:vAlign w:val="bottom"/>
            <w:gridSpan w:val="3"/>
          </w:tcPr>
          <w:p>
            <w:pPr>
              <w:ind w:left="20"/>
              <w:spacing w:after="0"/>
              <w:rPr>
                <w:sz w:val="20"/>
                <w:szCs w:val="20"/>
                <w:color w:val="auto"/>
              </w:rPr>
            </w:pPr>
            <w:r>
              <w:rPr>
                <w:rFonts w:ascii="Arial" w:cs="Arial" w:eastAsia="Arial" w:hAnsi="Arial"/>
                <w:sz w:val="18"/>
                <w:szCs w:val="18"/>
                <w:i w:val="1"/>
                <w:iCs w:val="1"/>
                <w:color w:val="auto"/>
              </w:rPr>
              <w:t>(Address of principal executive offices, including zip code)</w:t>
            </w:r>
          </w:p>
        </w:tc>
        <w:tc>
          <w:tcPr>
            <w:tcW w:w="4880" w:type="dxa"/>
            <w:vAlign w:val="bottom"/>
          </w:tcPr>
          <w:p>
            <w:pPr>
              <w:jc w:val="center"/>
              <w:ind w:left="693"/>
              <w:spacing w:after="0"/>
              <w:rPr>
                <w:sz w:val="20"/>
                <w:szCs w:val="20"/>
                <w:color w:val="auto"/>
              </w:rPr>
            </w:pPr>
            <w:r>
              <w:rPr>
                <w:rFonts w:ascii="Arial" w:cs="Arial" w:eastAsia="Arial" w:hAnsi="Arial"/>
                <w:sz w:val="18"/>
                <w:szCs w:val="18"/>
                <w:i w:val="1"/>
                <w:iCs w:val="1"/>
                <w:color w:val="auto"/>
                <w:w w:val="99"/>
              </w:rPr>
              <w:t>Registrant’s telephone number, including area code</w:t>
            </w:r>
          </w:p>
        </w:tc>
      </w:tr>
    </w:tbl>
    <w:p>
      <w:pPr>
        <w:spacing w:after="0" w:line="224" w:lineRule="exact"/>
        <w:rPr>
          <w:sz w:val="24"/>
          <w:szCs w:val="24"/>
          <w:color w:val="auto"/>
        </w:rPr>
      </w:pPr>
    </w:p>
    <w:p>
      <w:pPr>
        <w:jc w:val="center"/>
        <w:ind w:right="-84"/>
        <w:spacing w:after="0"/>
        <w:rPr>
          <w:sz w:val="20"/>
          <w:szCs w:val="20"/>
          <w:color w:val="auto"/>
        </w:rPr>
      </w:pPr>
      <w:r>
        <w:rPr>
          <w:rFonts w:ascii="Arial" w:cs="Arial" w:eastAsia="Arial" w:hAnsi="Arial"/>
          <w:sz w:val="18"/>
          <w:szCs w:val="18"/>
          <w:i w:val="1"/>
          <w:iCs w:val="1"/>
          <w:color w:val="auto"/>
        </w:rPr>
        <w:t>(Former name, former address and former fiscal year, if changed since last report)</w:t>
      </w:r>
    </w:p>
    <w:p>
      <w:pPr>
        <w:spacing w:after="0" w:line="221" w:lineRule="exact"/>
        <w:rPr>
          <w:sz w:val="24"/>
          <w:szCs w:val="24"/>
          <w:color w:val="auto"/>
        </w:rPr>
      </w:pPr>
    </w:p>
    <w:p>
      <w:pPr>
        <w:jc w:val="center"/>
        <w:ind w:right="-84"/>
        <w:spacing w:after="0"/>
        <w:rPr>
          <w:sz w:val="20"/>
          <w:szCs w:val="20"/>
          <w:color w:val="auto"/>
        </w:rPr>
      </w:pPr>
      <w:r>
        <w:rPr>
          <w:rFonts w:ascii="Arial" w:cs="Arial" w:eastAsia="Arial" w:hAnsi="Arial"/>
          <w:sz w:val="18"/>
          <w:szCs w:val="18"/>
          <w:b w:val="1"/>
          <w:bCs w:val="1"/>
          <w:color w:val="auto"/>
        </w:rPr>
        <w:t>Securities registered pursuant to Section 12(b) of the Act:</w:t>
      </w:r>
    </w:p>
    <w:p>
      <w:pPr>
        <w:spacing w:after="0" w:line="279" w:lineRule="exact"/>
        <w:rPr>
          <w:sz w:val="24"/>
          <w:szCs w:val="24"/>
          <w:color w:val="auto"/>
        </w:rPr>
      </w:pPr>
    </w:p>
    <w:tbl>
      <w:tblPr>
        <w:tblLayout w:type="fixed"/>
        <w:tblInd w:w="85" w:type="dxa"/>
        <w:tblCellMar>
          <w:top w:w="0" w:type="dxa"/>
          <w:left w:w="0" w:type="dxa"/>
          <w:bottom w:w="0" w:type="dxa"/>
          <w:right w:w="0" w:type="dxa"/>
        </w:tblCellMar>
      </w:tblPr>
      <w:tr>
        <w:trPr>
          <w:trHeight w:val="246"/>
        </w:trPr>
        <w:tc>
          <w:tcPr>
            <w:tcW w:w="448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99"/>
              </w:rPr>
              <w:t>Title of each class</w:t>
            </w:r>
          </w:p>
        </w:tc>
        <w:tc>
          <w:tcPr>
            <w:tcW w:w="220" w:type="dxa"/>
            <w:vAlign w:val="bottom"/>
          </w:tcPr>
          <w:p>
            <w:pPr>
              <w:spacing w:after="0"/>
              <w:rPr>
                <w:sz w:val="21"/>
                <w:szCs w:val="21"/>
                <w:color w:val="auto"/>
              </w:rPr>
            </w:pPr>
          </w:p>
        </w:tc>
        <w:tc>
          <w:tcPr>
            <w:tcW w:w="226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99"/>
              </w:rPr>
              <w:t>Trading Symbol(s)</w:t>
            </w:r>
          </w:p>
        </w:tc>
        <w:tc>
          <w:tcPr>
            <w:tcW w:w="200" w:type="dxa"/>
            <w:vAlign w:val="bottom"/>
          </w:tcPr>
          <w:p>
            <w:pPr>
              <w:spacing w:after="0"/>
              <w:rPr>
                <w:sz w:val="21"/>
                <w:szCs w:val="21"/>
                <w:color w:val="auto"/>
              </w:rPr>
            </w:pPr>
          </w:p>
        </w:tc>
        <w:tc>
          <w:tcPr>
            <w:tcW w:w="402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99"/>
              </w:rPr>
              <w:t>Name of each exchange on which registered</w:t>
            </w:r>
          </w:p>
        </w:tc>
      </w:tr>
      <w:tr>
        <w:trPr>
          <w:trHeight w:val="243"/>
        </w:trPr>
        <w:tc>
          <w:tcPr>
            <w:tcW w:w="4700" w:type="dxa"/>
            <w:vAlign w:val="bottom"/>
            <w:gridSpan w:val="2"/>
          </w:tcPr>
          <w:p>
            <w:pPr>
              <w:jc w:val="center"/>
              <w:ind w:right="200"/>
              <w:spacing w:after="0"/>
              <w:rPr>
                <w:sz w:val="20"/>
                <w:szCs w:val="20"/>
                <w:color w:val="auto"/>
              </w:rPr>
            </w:pPr>
            <w:r>
              <w:rPr>
                <w:rFonts w:ascii="Arial" w:cs="Arial" w:eastAsia="Arial" w:hAnsi="Arial"/>
                <w:sz w:val="18"/>
                <w:szCs w:val="18"/>
                <w:b w:val="1"/>
                <w:bCs w:val="1"/>
                <w:color w:val="auto"/>
              </w:rPr>
              <w:t>Common Stock, $0.01 par value per share</w:t>
            </w:r>
          </w:p>
        </w:tc>
        <w:tc>
          <w:tcPr>
            <w:tcW w:w="2460" w:type="dxa"/>
            <w:vAlign w:val="bottom"/>
            <w:gridSpan w:val="2"/>
          </w:tcPr>
          <w:p>
            <w:pPr>
              <w:jc w:val="center"/>
              <w:ind w:right="200"/>
              <w:spacing w:after="0"/>
              <w:rPr>
                <w:sz w:val="20"/>
                <w:szCs w:val="20"/>
                <w:color w:val="auto"/>
              </w:rPr>
            </w:pPr>
            <w:r>
              <w:rPr>
                <w:rFonts w:ascii="Arial" w:cs="Arial" w:eastAsia="Arial" w:hAnsi="Arial"/>
                <w:sz w:val="18"/>
                <w:szCs w:val="18"/>
                <w:b w:val="1"/>
                <w:bCs w:val="1"/>
                <w:color w:val="auto"/>
              </w:rPr>
              <w:t>AAL</w:t>
            </w:r>
          </w:p>
        </w:tc>
        <w:tc>
          <w:tcPr>
            <w:tcW w:w="4020" w:type="dxa"/>
            <w:vAlign w:val="bottom"/>
          </w:tcPr>
          <w:p>
            <w:pPr>
              <w:jc w:val="center"/>
              <w:spacing w:after="0"/>
              <w:rPr>
                <w:sz w:val="20"/>
                <w:szCs w:val="20"/>
                <w:color w:val="auto"/>
              </w:rPr>
            </w:pPr>
            <w:r>
              <w:rPr>
                <w:rFonts w:ascii="Arial" w:cs="Arial" w:eastAsia="Arial" w:hAnsi="Arial"/>
                <w:sz w:val="18"/>
                <w:szCs w:val="18"/>
                <w:b w:val="1"/>
                <w:bCs w:val="1"/>
                <w:color w:val="auto"/>
                <w:w w:val="99"/>
              </w:rPr>
              <w:t>The Nasdaq Global Select Market</w:t>
            </w:r>
          </w:p>
        </w:tc>
      </w:tr>
    </w:tbl>
    <w:p>
      <w:pPr>
        <w:spacing w:after="0" w:line="103" w:lineRule="exact"/>
        <w:rPr>
          <w:sz w:val="24"/>
          <w:szCs w:val="24"/>
          <w:color w:val="auto"/>
        </w:rPr>
      </w:pPr>
    </w:p>
    <w:p>
      <w:pPr>
        <w:jc w:val="center"/>
        <w:ind w:right="-84"/>
        <w:spacing w:after="0"/>
        <w:rPr>
          <w:sz w:val="20"/>
          <w:szCs w:val="20"/>
          <w:color w:val="auto"/>
        </w:rPr>
      </w:pPr>
      <w:r>
        <w:rPr>
          <w:rFonts w:ascii="Arial" w:cs="Arial" w:eastAsia="Arial" w:hAnsi="Arial"/>
          <w:sz w:val="16"/>
          <w:szCs w:val="16"/>
          <w:b w:val="1"/>
          <w:bCs w:val="1"/>
          <w:color w:val="auto"/>
        </w:rPr>
        <w:t>Securities registered pursuant to Section 12(g) of the Act: None</w:t>
      </w:r>
    </w:p>
    <w:p>
      <w:pPr>
        <w:spacing w:after="0" w:line="241" w:lineRule="exact"/>
        <w:rPr>
          <w:sz w:val="24"/>
          <w:szCs w:val="24"/>
          <w:color w:val="auto"/>
        </w:rPr>
      </w:pPr>
    </w:p>
    <w:p>
      <w:pPr>
        <w:jc w:val="center"/>
        <w:ind w:right="-84"/>
        <w:spacing w:after="0"/>
        <w:rPr>
          <w:sz w:val="20"/>
          <w:szCs w:val="20"/>
          <w:color w:val="auto"/>
        </w:rPr>
      </w:pPr>
      <w:r>
        <w:rPr>
          <w:rFonts w:ascii="Arial" w:cs="Arial" w:eastAsia="Arial" w:hAnsi="Arial"/>
          <w:sz w:val="16"/>
          <w:szCs w:val="16"/>
          <w:color w:val="auto"/>
        </w:rPr>
        <w:t>Commission file number 1-2691</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1895475</wp:posOffset>
            </wp:positionH>
            <wp:positionV relativeFrom="paragraph">
              <wp:posOffset>156210</wp:posOffset>
            </wp:positionV>
            <wp:extent cx="3422015"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3422015" cy="8890"/>
                    </a:xfrm>
                    <a:prstGeom prst="rect">
                      <a:avLst/>
                    </a:prstGeom>
                    <a:noFill/>
                  </pic:spPr>
                </pic:pic>
              </a:graphicData>
            </a:graphic>
          </wp:anchor>
        </w:drawing>
      </w:r>
    </w:p>
    <w:p>
      <w:pPr>
        <w:spacing w:after="0" w:line="365" w:lineRule="exact"/>
        <w:rPr>
          <w:sz w:val="24"/>
          <w:szCs w:val="24"/>
          <w:color w:val="auto"/>
        </w:rPr>
      </w:pPr>
    </w:p>
    <w:p>
      <w:pPr>
        <w:jc w:val="center"/>
        <w:ind w:right="-84"/>
        <w:spacing w:after="0"/>
        <w:rPr>
          <w:sz w:val="20"/>
          <w:szCs w:val="20"/>
          <w:color w:val="auto"/>
        </w:rPr>
      </w:pPr>
      <w:r>
        <w:rPr>
          <w:rFonts w:ascii="Arial" w:cs="Arial" w:eastAsia="Arial" w:hAnsi="Arial"/>
          <w:sz w:val="23"/>
          <w:szCs w:val="23"/>
          <w:b w:val="1"/>
          <w:bCs w:val="1"/>
          <w:color w:val="auto"/>
        </w:rPr>
        <w:t>American Airlines, Inc.</w:t>
      </w:r>
    </w:p>
    <w:p>
      <w:pPr>
        <w:spacing w:after="0" w:line="96" w:lineRule="exact"/>
        <w:rPr>
          <w:sz w:val="24"/>
          <w:szCs w:val="24"/>
          <w:color w:val="auto"/>
        </w:rPr>
      </w:pPr>
    </w:p>
    <w:p>
      <w:pPr>
        <w:jc w:val="center"/>
        <w:ind w:right="-84"/>
        <w:spacing w:after="0"/>
        <w:rPr>
          <w:sz w:val="20"/>
          <w:szCs w:val="20"/>
          <w:color w:val="auto"/>
        </w:rPr>
      </w:pPr>
      <w:r>
        <w:rPr>
          <w:rFonts w:ascii="Arial" w:cs="Arial" w:eastAsia="Arial" w:hAnsi="Arial"/>
          <w:sz w:val="18"/>
          <w:szCs w:val="18"/>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1895475</wp:posOffset>
            </wp:positionH>
            <wp:positionV relativeFrom="paragraph">
              <wp:posOffset>92075</wp:posOffset>
            </wp:positionV>
            <wp:extent cx="3422015"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3422015" cy="8890"/>
                    </a:xfrm>
                    <a:prstGeom prst="rect">
                      <a:avLst/>
                    </a:prstGeom>
                    <a:noFill/>
                  </pic:spPr>
                </pic:pic>
              </a:graphicData>
            </a:graphic>
          </wp:anchor>
        </w:drawing>
      </w:r>
    </w:p>
    <w:p>
      <w:pPr>
        <w:sectPr>
          <w:pgSz w:w="11900" w:h="16838" w:orient="portrait"/>
          <w:cols w:equalWidth="0" w:num="1">
            <w:col w:w="11265"/>
          </w:cols>
          <w:pgMar w:left="275" w:top="967" w:right="359" w:bottom="1440" w:gutter="0" w:footer="0" w:header="0"/>
        </w:sectPr>
      </w:pPr>
    </w:p>
    <w:p>
      <w:pPr>
        <w:spacing w:after="0" w:line="200" w:lineRule="exact"/>
        <w:rPr>
          <w:sz w:val="24"/>
          <w:szCs w:val="24"/>
          <w:color w:val="auto"/>
        </w:rPr>
      </w:pPr>
    </w:p>
    <w:p>
      <w:pPr>
        <w:spacing w:after="0" w:line="206" w:lineRule="exact"/>
        <w:rPr>
          <w:sz w:val="24"/>
          <w:szCs w:val="24"/>
          <w:color w:val="auto"/>
        </w:rPr>
      </w:pPr>
    </w:p>
    <w:p>
      <w:pPr>
        <w:ind w:left="2505"/>
        <w:spacing w:after="0"/>
        <w:rPr>
          <w:sz w:val="20"/>
          <w:szCs w:val="20"/>
          <w:color w:val="auto"/>
        </w:rPr>
      </w:pPr>
      <w:r>
        <w:rPr>
          <w:rFonts w:ascii="Arial" w:cs="Arial" w:eastAsia="Arial" w:hAnsi="Arial"/>
          <w:sz w:val="18"/>
          <w:szCs w:val="18"/>
          <w:b w:val="1"/>
          <w:bCs w:val="1"/>
          <w:color w:val="auto"/>
        </w:rPr>
        <w:t>Delaware</w:t>
      </w:r>
    </w:p>
    <w:p>
      <w:pPr>
        <w:spacing w:after="0" w:line="20" w:lineRule="exact"/>
        <w:rPr>
          <w:sz w:val="24"/>
          <w:szCs w:val="24"/>
          <w:color w:val="auto"/>
        </w:rPr>
      </w:pPr>
      <w:r>
        <w:rPr>
          <w:sz w:val="24"/>
          <w:szCs w:val="24"/>
          <w:color w:val="auto"/>
        </w:rPr>
        <w:br w:type="column"/>
      </w:r>
    </w:p>
    <w:p>
      <w:pPr>
        <w:spacing w:after="0" w:line="386" w:lineRule="exact"/>
        <w:rPr>
          <w:sz w:val="24"/>
          <w:szCs w:val="24"/>
          <w:color w:val="auto"/>
        </w:rPr>
      </w:pPr>
    </w:p>
    <w:p>
      <w:pPr>
        <w:spacing w:after="0"/>
        <w:rPr>
          <w:sz w:val="20"/>
          <w:szCs w:val="20"/>
          <w:color w:val="auto"/>
        </w:rPr>
      </w:pPr>
      <w:r>
        <w:rPr>
          <w:rFonts w:ascii="Arial" w:cs="Arial" w:eastAsia="Arial" w:hAnsi="Arial"/>
          <w:sz w:val="17"/>
          <w:szCs w:val="17"/>
          <w:b w:val="1"/>
          <w:bCs w:val="1"/>
          <w:color w:val="auto"/>
        </w:rPr>
        <w:t>13-1502798</w:t>
      </w:r>
    </w:p>
    <w:p>
      <w:pPr>
        <w:spacing w:after="0" w:line="92" w:lineRule="exact"/>
        <w:rPr>
          <w:sz w:val="24"/>
          <w:szCs w:val="24"/>
          <w:color w:val="auto"/>
        </w:rPr>
      </w:pPr>
    </w:p>
    <w:p>
      <w:pPr>
        <w:sectPr>
          <w:pgSz w:w="11900" w:h="16838" w:orient="portrait"/>
          <w:cols w:equalWidth="0" w:num="2">
            <w:col w:w="7485" w:space="720"/>
            <w:col w:w="3060"/>
          </w:cols>
          <w:pgMar w:left="275" w:top="967" w:right="359" w:bottom="1440" w:gutter="0" w:footer="0" w:header="0"/>
          <w:type w:val="continuous"/>
        </w:sectPr>
      </w:pPr>
    </w:p>
    <w:p>
      <w:pPr>
        <w:ind w:left="585"/>
        <w:spacing w:after="0"/>
        <w:rPr>
          <w:sz w:val="20"/>
          <w:szCs w:val="20"/>
          <w:color w:val="auto"/>
        </w:rPr>
      </w:pPr>
      <w:r>
        <w:rPr>
          <w:rFonts w:ascii="Arial" w:cs="Arial" w:eastAsia="Arial" w:hAnsi="Arial"/>
          <w:sz w:val="17"/>
          <w:szCs w:val="17"/>
          <w:i w:val="1"/>
          <w:iCs w:val="1"/>
          <w:color w:val="auto"/>
        </w:rPr>
        <w:t>(State or other jurisdiction of incorporation or organization)</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8"/>
          <w:szCs w:val="18"/>
          <w:i w:val="1"/>
          <w:iCs w:val="1"/>
          <w:color w:val="auto"/>
        </w:rPr>
        <w:t>(I.R.S. Employer Identification No.)</w:t>
      </w:r>
    </w:p>
    <w:p>
      <w:pPr>
        <w:spacing w:after="0" w:line="46" w:lineRule="exact"/>
        <w:rPr>
          <w:sz w:val="24"/>
          <w:szCs w:val="24"/>
          <w:color w:val="auto"/>
        </w:rPr>
      </w:pPr>
    </w:p>
    <w:p>
      <w:pPr>
        <w:sectPr>
          <w:pgSz w:w="11900" w:h="16838" w:orient="portrait"/>
          <w:cols w:equalWidth="0" w:num="2">
            <w:col w:w="6585" w:space="720"/>
            <w:col w:w="3960"/>
          </w:cols>
          <w:pgMar w:left="275" w:top="967" w:right="359" w:bottom="1440" w:gutter="0" w:footer="0" w:header="0"/>
          <w:type w:val="continuous"/>
        </w:sectPr>
      </w:pPr>
    </w:p>
    <w:p>
      <w:pPr>
        <w:jc w:val="center"/>
        <w:ind w:left="345"/>
        <w:spacing w:after="0"/>
        <w:tabs>
          <w:tab w:leader="none" w:pos="180" w:val="left"/>
        </w:tabs>
        <w:rPr>
          <w:sz w:val="20"/>
          <w:szCs w:val="20"/>
          <w:color w:val="auto"/>
        </w:rPr>
      </w:pPr>
      <w:r>
        <w:rPr>
          <w:rFonts w:ascii="Arial" w:cs="Arial" w:eastAsia="Arial" w:hAnsi="Arial"/>
          <w:sz w:val="18"/>
          <w:szCs w:val="18"/>
          <w:b w:val="1"/>
          <w:bCs w:val="1"/>
          <w:color w:val="auto"/>
        </w:rPr>
        <w:t>1 Skyview Drive,</w:t>
        <w:tab/>
        <w:t>Fort Worth,</w:t>
      </w:r>
    </w:p>
    <w:p>
      <w:pPr>
        <w:spacing w:after="0" w:line="20" w:lineRule="exact"/>
        <w:rPr>
          <w:sz w:val="24"/>
          <w:szCs w:val="24"/>
          <w:color w:val="auto"/>
        </w:rPr>
      </w:pPr>
      <w:r>
        <w:rPr>
          <w:sz w:val="24"/>
          <w:szCs w:val="24"/>
          <w:color w:val="auto"/>
        </w:rPr>
        <w:br w:type="column"/>
      </w:r>
    </w:p>
    <w:p>
      <w:pPr>
        <w:spacing w:after="0"/>
        <w:tabs>
          <w:tab w:leader="none" w:pos="700" w:val="left"/>
        </w:tabs>
        <w:rPr>
          <w:sz w:val="20"/>
          <w:szCs w:val="20"/>
          <w:color w:val="auto"/>
        </w:rPr>
      </w:pPr>
      <w:r>
        <w:rPr>
          <w:rFonts w:ascii="Arial" w:cs="Arial" w:eastAsia="Arial" w:hAnsi="Arial"/>
          <w:sz w:val="17"/>
          <w:szCs w:val="17"/>
          <w:b w:val="1"/>
          <w:bCs w:val="1"/>
          <w:color w:val="auto"/>
        </w:rPr>
        <w:t>Texas</w:t>
        <w:tab/>
        <w:t>76155</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8"/>
          <w:szCs w:val="18"/>
          <w:b w:val="1"/>
          <w:bCs w:val="1"/>
          <w:color w:val="auto"/>
        </w:rPr>
        <w:t>(817) 963-1234</w:t>
      </w:r>
    </w:p>
    <w:p>
      <w:pPr>
        <w:spacing w:after="0" w:line="67" w:lineRule="exact"/>
        <w:rPr>
          <w:sz w:val="24"/>
          <w:szCs w:val="24"/>
          <w:color w:val="auto"/>
        </w:rPr>
      </w:pPr>
    </w:p>
    <w:p>
      <w:pPr>
        <w:sectPr>
          <w:pgSz w:w="11900" w:h="16838" w:orient="portrait"/>
          <w:cols w:equalWidth="0" w:num="3">
            <w:col w:w="2945" w:space="380"/>
            <w:col w:w="4200" w:space="720"/>
            <w:col w:w="3020"/>
          </w:cols>
          <w:pgMar w:left="275" w:top="967" w:right="359" w:bottom="1440" w:gutter="0" w:footer="0" w:header="0"/>
          <w:type w:val="continuous"/>
        </w:sectPr>
      </w:pPr>
    </w:p>
    <w:p>
      <w:pPr>
        <w:ind w:left="605"/>
        <w:spacing w:after="0"/>
        <w:rPr>
          <w:sz w:val="20"/>
          <w:szCs w:val="20"/>
          <w:color w:val="auto"/>
        </w:rPr>
      </w:pPr>
      <w:r>
        <w:rPr>
          <w:rFonts w:ascii="Arial" w:cs="Arial" w:eastAsia="Arial" w:hAnsi="Arial"/>
          <w:sz w:val="17"/>
          <w:szCs w:val="17"/>
          <w:i w:val="1"/>
          <w:iCs w:val="1"/>
          <w:color w:val="auto"/>
        </w:rPr>
        <w:t>(Address of principal executive offices, including zip code)</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7"/>
          <w:szCs w:val="17"/>
          <w:i w:val="1"/>
          <w:iCs w:val="1"/>
          <w:color w:val="auto"/>
        </w:rPr>
        <w:t>Registrant’s telephone number, including area code</w:t>
      </w:r>
    </w:p>
    <w:p>
      <w:pPr>
        <w:spacing w:after="0" w:line="200" w:lineRule="exact"/>
        <w:rPr>
          <w:sz w:val="24"/>
          <w:szCs w:val="24"/>
          <w:color w:val="auto"/>
        </w:rPr>
      </w:pPr>
    </w:p>
    <w:p>
      <w:pPr>
        <w:sectPr>
          <w:pgSz w:w="11900" w:h="16838" w:orient="portrait"/>
          <w:cols w:equalWidth="0" w:num="2">
            <w:col w:w="5925" w:space="720"/>
            <w:col w:w="4620"/>
          </w:cols>
          <w:pgMar w:left="275" w:top="967" w:right="359" w:bottom="1440" w:gutter="0" w:footer="0" w:header="0"/>
          <w:type w:val="continuous"/>
        </w:sectPr>
      </w:pPr>
    </w:p>
    <w:p>
      <w:pPr>
        <w:spacing w:after="0" w:line="6" w:lineRule="exact"/>
        <w:rPr>
          <w:sz w:val="24"/>
          <w:szCs w:val="24"/>
          <w:color w:val="auto"/>
        </w:rPr>
      </w:pPr>
    </w:p>
    <w:p>
      <w:pPr>
        <w:ind w:left="2965"/>
        <w:spacing w:after="0"/>
        <w:rPr>
          <w:sz w:val="20"/>
          <w:szCs w:val="20"/>
          <w:color w:val="auto"/>
        </w:rPr>
      </w:pPr>
      <w:r>
        <w:rPr>
          <w:rFonts w:ascii="Arial" w:cs="Arial" w:eastAsia="Arial" w:hAnsi="Arial"/>
          <w:sz w:val="17"/>
          <w:szCs w:val="17"/>
          <w:b w:val="1"/>
          <w:bCs w:val="1"/>
          <w:color w:val="auto"/>
        </w:rPr>
        <w:t>Securities registered pursuant to Section 12(b) of the Act: None</w:t>
      </w:r>
    </w:p>
    <w:p>
      <w:pPr>
        <w:spacing w:after="0" w:line="102" w:lineRule="exact"/>
        <w:rPr>
          <w:sz w:val="24"/>
          <w:szCs w:val="24"/>
          <w:color w:val="auto"/>
        </w:rPr>
      </w:pPr>
    </w:p>
    <w:p>
      <w:pPr>
        <w:ind w:left="2965"/>
        <w:spacing w:after="0"/>
        <w:rPr>
          <w:sz w:val="20"/>
          <w:szCs w:val="20"/>
          <w:color w:val="auto"/>
        </w:rPr>
      </w:pPr>
      <w:r>
        <w:rPr>
          <w:rFonts w:ascii="Arial" w:cs="Arial" w:eastAsia="Arial" w:hAnsi="Arial"/>
          <w:sz w:val="17"/>
          <w:szCs w:val="17"/>
          <w:b w:val="1"/>
          <w:bCs w:val="1"/>
          <w:color w:val="auto"/>
        </w:rPr>
        <w:t>Securities registered pursuant to Section 12(g) of the Act: None</w:t>
      </w:r>
    </w:p>
    <w:p>
      <w:pPr>
        <w:spacing w:after="0" w:line="43" w:lineRule="exact"/>
        <w:rPr>
          <w:sz w:val="24"/>
          <w:szCs w:val="24"/>
          <w:color w:val="auto"/>
        </w:rPr>
      </w:pPr>
    </w:p>
    <w:p>
      <w:pPr>
        <w:ind w:left="3345"/>
        <w:spacing w:after="0"/>
        <w:rPr>
          <w:sz w:val="20"/>
          <w:szCs w:val="20"/>
          <w:color w:val="auto"/>
        </w:rPr>
      </w:pPr>
      <w:r>
        <w:rPr>
          <w:rFonts w:ascii="Arial" w:cs="Arial" w:eastAsia="Arial" w:hAnsi="Arial"/>
          <w:sz w:val="17"/>
          <w:szCs w:val="17"/>
          <w:b w:val="1"/>
          <w:bCs w:val="1"/>
          <w:color w:val="auto"/>
        </w:rPr>
        <w:t>____________________________________________________</w:t>
      </w:r>
    </w:p>
    <w:p>
      <w:pPr>
        <w:sectPr>
          <w:pgSz w:w="11900" w:h="16838" w:orient="portrait"/>
          <w:cols w:equalWidth="0" w:num="1">
            <w:col w:w="11265"/>
          </w:cols>
          <w:pgMar w:left="275" w:top="967" w:right="359" w:bottom="1440" w:gutter="0" w:footer="0" w:header="0"/>
          <w:type w:val="continuous"/>
        </w:sectPr>
      </w:pPr>
    </w:p>
    <w:bookmarkStart w:id="1" w:name="page2"/>
    <w:bookmarkEnd w:id="1"/>
    <w:p>
      <w:pPr>
        <w:ind w:left="120"/>
        <w:spacing w:after="0"/>
        <w:rPr>
          <w:sz w:val="20"/>
          <w:szCs w:val="20"/>
          <w:color w:val="auto"/>
        </w:rPr>
      </w:pPr>
      <w:r>
        <w:rPr>
          <w:rFonts w:ascii="Arial" w:cs="Arial" w:eastAsia="Arial" w:hAnsi="Arial"/>
          <w:sz w:val="18"/>
          <w:szCs w:val="18"/>
          <w:color w:val="auto"/>
        </w:rPr>
        <w:t>Indicate by check mark if the registrant is a well-known seasoned issuer, as defined in Rule 405 of the Securities Act.</w:t>
      </w:r>
    </w:p>
    <w:p>
      <w:pPr>
        <w:spacing w:after="0" w:line="171" w:lineRule="exact"/>
        <w:rPr>
          <w:sz w:val="20"/>
          <w:szCs w:val="20"/>
          <w:color w:val="auto"/>
        </w:rPr>
      </w:pPr>
    </w:p>
    <w:p>
      <w:pPr>
        <w:ind w:left="40"/>
        <w:spacing w:after="0"/>
        <w:tabs>
          <w:tab w:leader="none" w:pos="9500" w:val="left"/>
        </w:tabs>
        <w:rPr>
          <w:sz w:val="20"/>
          <w:szCs w:val="20"/>
          <w:color w:val="auto"/>
        </w:rPr>
      </w:pPr>
      <w:r>
        <w:rPr>
          <w:rFonts w:ascii="Arial" w:cs="Arial" w:eastAsia="Arial" w:hAnsi="Arial"/>
          <w:sz w:val="18"/>
          <w:szCs w:val="18"/>
          <w:color w:val="auto"/>
        </w:rPr>
        <w:t>American Airlines Group Inc.</w:t>
      </w:r>
      <w:r>
        <w:rPr>
          <w:sz w:val="20"/>
          <w:szCs w:val="20"/>
          <w:color w:val="auto"/>
        </w:rPr>
        <w:tab/>
      </w:r>
      <w:r>
        <w:rPr>
          <w:rFonts w:ascii="Arial" w:cs="Arial" w:eastAsia="Arial" w:hAnsi="Arial"/>
          <w:sz w:val="15"/>
          <w:szCs w:val="15"/>
          <w:color w:val="auto"/>
        </w:rPr>
        <w:t>Yes</w:t>
      </w:r>
    </w:p>
    <w:p>
      <w:pPr>
        <w:spacing w:after="0" w:line="50" w:lineRule="exact"/>
        <w:rPr>
          <w:sz w:val="20"/>
          <w:szCs w:val="20"/>
          <w:color w:val="auto"/>
        </w:rPr>
      </w:pPr>
    </w:p>
    <w:p>
      <w:pPr>
        <w:ind w:left="40"/>
        <w:spacing w:after="0"/>
        <w:tabs>
          <w:tab w:leader="none" w:pos="9500" w:val="left"/>
        </w:tabs>
        <w:rPr>
          <w:sz w:val="20"/>
          <w:szCs w:val="20"/>
          <w:color w:val="auto"/>
        </w:rPr>
      </w:pPr>
      <w:r>
        <w:rPr>
          <w:rFonts w:ascii="Arial" w:cs="Arial" w:eastAsia="Arial" w:hAnsi="Arial"/>
          <w:sz w:val="18"/>
          <w:szCs w:val="18"/>
          <w:color w:val="auto"/>
        </w:rPr>
        <w:t>American Airlines, Inc.</w:t>
      </w:r>
      <w:r>
        <w:rPr>
          <w:sz w:val="20"/>
          <w:szCs w:val="20"/>
          <w:color w:val="auto"/>
        </w:rPr>
        <w:tab/>
      </w:r>
      <w:r>
        <w:rPr>
          <w:rFonts w:ascii="Arial" w:cs="Arial" w:eastAsia="Arial" w:hAnsi="Arial"/>
          <w:sz w:val="15"/>
          <w:szCs w:val="15"/>
          <w:color w:val="auto"/>
        </w:rPr>
        <w:t>Yes</w:t>
      </w:r>
    </w:p>
    <w:p>
      <w:pPr>
        <w:spacing w:after="0" w:line="185" w:lineRule="exact"/>
        <w:rPr>
          <w:sz w:val="20"/>
          <w:szCs w:val="20"/>
          <w:color w:val="auto"/>
        </w:rPr>
      </w:pPr>
    </w:p>
    <w:p>
      <w:pPr>
        <w:ind w:left="120"/>
        <w:spacing w:after="0"/>
        <w:rPr>
          <w:sz w:val="20"/>
          <w:szCs w:val="20"/>
          <w:color w:val="auto"/>
        </w:rPr>
      </w:pPr>
      <w:r>
        <w:rPr>
          <w:rFonts w:ascii="Arial" w:cs="Arial" w:eastAsia="Arial" w:hAnsi="Arial"/>
          <w:sz w:val="18"/>
          <w:szCs w:val="18"/>
          <w:color w:val="auto"/>
        </w:rPr>
        <w:t>Indicate by check mark if the registrant is not required to file reports pursuant to Section 13 or Section 15(d) of the Act.</w:t>
      </w:r>
    </w:p>
    <w:p>
      <w:pPr>
        <w:spacing w:after="0" w:line="20" w:lineRule="exact"/>
        <w:rPr>
          <w:sz w:val="20"/>
          <w:szCs w:val="20"/>
          <w:color w:val="auto"/>
        </w:rPr>
      </w:pPr>
      <w:r>
        <w:rPr>
          <w:sz w:val="20"/>
          <w:szCs w:val="20"/>
          <w:color w:val="auto"/>
        </w:rPr>
        <w:br w:type="column"/>
      </w:r>
    </w:p>
    <w:p>
      <w:pPr>
        <w:spacing w:after="0" w:line="312" w:lineRule="exact"/>
        <w:rPr>
          <w:sz w:val="20"/>
          <w:szCs w:val="20"/>
          <w:color w:val="auto"/>
        </w:rPr>
      </w:pPr>
    </w:p>
    <w:p>
      <w:pPr>
        <w:ind w:left="845" w:hanging="845"/>
        <w:spacing w:after="0" w:line="207" w:lineRule="exact"/>
        <w:tabs>
          <w:tab w:leader="none" w:pos="845" w:val="left"/>
        </w:tabs>
        <w:numPr>
          <w:ilvl w:val="0"/>
          <w:numId w:val="3"/>
        </w:numPr>
        <w:rPr>
          <w:rFonts w:ascii="MS PGothic" w:cs="MS PGothic" w:eastAsia="MS PGothic" w:hAnsi="MS PGothic"/>
          <w:sz w:val="18"/>
          <w:szCs w:val="18"/>
          <w:color w:val="auto"/>
        </w:rPr>
      </w:pPr>
      <w:r>
        <w:rPr>
          <w:rFonts w:ascii="Arial" w:cs="Arial" w:eastAsia="Arial" w:hAnsi="Arial"/>
          <w:sz w:val="18"/>
          <w:szCs w:val="18"/>
          <w:color w:val="auto"/>
        </w:rPr>
        <w:t xml:space="preserve">No  </w:t>
      </w:r>
      <w:r>
        <w:rPr>
          <w:rFonts w:ascii="MS PGothic" w:cs="MS PGothic" w:eastAsia="MS PGothic" w:hAnsi="MS PGothic"/>
          <w:sz w:val="18"/>
          <w:szCs w:val="18"/>
          <w:color w:val="auto"/>
        </w:rPr>
        <w:t>☐</w:t>
      </w:r>
    </w:p>
    <w:p>
      <w:pPr>
        <w:spacing w:after="0" w:line="76" w:lineRule="exact"/>
        <w:rPr>
          <w:rFonts w:ascii="MS PGothic" w:cs="MS PGothic" w:eastAsia="MS PGothic" w:hAnsi="MS PGothic"/>
          <w:sz w:val="18"/>
          <w:szCs w:val="18"/>
          <w:color w:val="auto"/>
        </w:rPr>
      </w:pPr>
    </w:p>
    <w:p>
      <w:pPr>
        <w:ind w:left="845" w:hanging="845"/>
        <w:spacing w:after="0" w:line="207" w:lineRule="exact"/>
        <w:tabs>
          <w:tab w:leader="none" w:pos="845" w:val="left"/>
        </w:tabs>
        <w:numPr>
          <w:ilvl w:val="0"/>
          <w:numId w:val="3"/>
        </w:numPr>
        <w:rPr>
          <w:rFonts w:ascii="MS PGothic" w:cs="MS PGothic" w:eastAsia="MS PGothic" w:hAnsi="MS PGothic"/>
          <w:sz w:val="18"/>
          <w:szCs w:val="18"/>
          <w:color w:val="auto"/>
        </w:rPr>
      </w:pPr>
      <w:r>
        <w:rPr>
          <w:rFonts w:ascii="Arial" w:cs="Arial" w:eastAsia="Arial" w:hAnsi="Arial"/>
          <w:sz w:val="18"/>
          <w:szCs w:val="18"/>
          <w:color w:val="auto"/>
        </w:rPr>
        <w:t xml:space="preserve">No  </w:t>
      </w:r>
      <w:r>
        <w:rPr>
          <w:rFonts w:ascii="MS PGothic" w:cs="MS PGothic" w:eastAsia="MS PGothic" w:hAnsi="MS PGothic"/>
          <w:sz w:val="18"/>
          <w:szCs w:val="18"/>
          <w:color w:val="auto"/>
        </w:rPr>
        <w:t>☐</w:t>
      </w:r>
    </w:p>
    <w:p>
      <w:pPr>
        <w:spacing w:after="0" w:line="536" w:lineRule="exact"/>
        <w:rPr>
          <w:sz w:val="20"/>
          <w:szCs w:val="20"/>
          <w:color w:val="auto"/>
        </w:rPr>
      </w:pPr>
    </w:p>
    <w:p>
      <w:pPr>
        <w:sectPr>
          <w:pgSz w:w="11900" w:h="16838" w:orient="portrait"/>
          <w:cols w:equalWidth="0" w:num="2">
            <w:col w:w="9780" w:space="195"/>
            <w:col w:w="1445"/>
          </w:cols>
          <w:pgMar w:left="240" w:top="733" w:right="239" w:bottom="1440" w:gutter="0" w:footer="0" w:header="0"/>
        </w:sectPr>
      </w:pPr>
    </w:p>
    <w:p>
      <w:pPr>
        <w:ind w:left="40"/>
        <w:spacing w:after="0" w:line="207" w:lineRule="exact"/>
        <w:tabs>
          <w:tab w:leader="none" w:pos="9500" w:val="left"/>
          <w:tab w:leader="none" w:pos="9960" w:val="left"/>
          <w:tab w:leader="none" w:pos="10820" w:val="left"/>
          <w:tab w:leader="none" w:pos="11220" w:val="left"/>
        </w:tabs>
        <w:rPr>
          <w:sz w:val="20"/>
          <w:szCs w:val="20"/>
          <w:color w:val="auto"/>
        </w:rPr>
      </w:pPr>
      <w:r>
        <w:rPr>
          <w:rFonts w:ascii="Arial" w:cs="Arial" w:eastAsia="Arial" w:hAnsi="Arial"/>
          <w:sz w:val="18"/>
          <w:szCs w:val="18"/>
          <w:color w:val="auto"/>
        </w:rPr>
        <w:t>American Airlines Group Inc.</w:t>
      </w:r>
      <w:r>
        <w:rPr>
          <w:sz w:val="20"/>
          <w:szCs w:val="20"/>
          <w:color w:val="auto"/>
        </w:rPr>
        <w:tab/>
      </w:r>
      <w:r>
        <w:rPr>
          <w:rFonts w:ascii="Arial" w:cs="Arial" w:eastAsia="Arial" w:hAnsi="Arial"/>
          <w:sz w:val="16"/>
          <w:szCs w:val="16"/>
          <w:color w:val="auto"/>
        </w:rPr>
        <w:t>Yes</w:t>
      </w:r>
      <w:r>
        <w:rPr>
          <w:sz w:val="20"/>
          <w:szCs w:val="20"/>
          <w:color w:val="auto"/>
        </w:rPr>
        <w:tab/>
      </w:r>
      <w:r>
        <w:rPr>
          <w:rFonts w:ascii="MS PGothic" w:cs="MS PGothic" w:eastAsia="MS PGothic" w:hAnsi="MS PGothic"/>
          <w:sz w:val="18"/>
          <w:szCs w:val="18"/>
          <w:color w:val="auto"/>
        </w:rPr>
        <w:t>☐</w:t>
      </w:r>
      <w:r>
        <w:rPr>
          <w:sz w:val="20"/>
          <w:szCs w:val="20"/>
          <w:color w:val="auto"/>
        </w:rPr>
        <w:tab/>
      </w:r>
      <w:r>
        <w:rPr>
          <w:rFonts w:ascii="Arial" w:cs="Arial" w:eastAsia="Arial" w:hAnsi="Arial"/>
          <w:sz w:val="16"/>
          <w:szCs w:val="16"/>
          <w:color w:val="auto"/>
        </w:rPr>
        <w:t>No</w:t>
      </w:r>
      <w:r>
        <w:rPr>
          <w:sz w:val="20"/>
          <w:szCs w:val="20"/>
          <w:color w:val="auto"/>
        </w:rPr>
        <w:tab/>
      </w:r>
      <w:r>
        <w:rPr>
          <w:rFonts w:ascii="MS PGothic" w:cs="MS PGothic" w:eastAsia="MS PGothic" w:hAnsi="MS PGothic"/>
          <w:sz w:val="16"/>
          <w:szCs w:val="16"/>
          <w:color w:val="auto"/>
        </w:rPr>
        <w:t>☒</w:t>
      </w:r>
    </w:p>
    <w:p>
      <w:pPr>
        <w:spacing w:after="0" w:line="76" w:lineRule="exact"/>
        <w:rPr>
          <w:sz w:val="20"/>
          <w:szCs w:val="20"/>
          <w:color w:val="auto"/>
        </w:rPr>
      </w:pPr>
    </w:p>
    <w:p>
      <w:pPr>
        <w:ind w:left="40"/>
        <w:spacing w:after="0" w:line="207" w:lineRule="exact"/>
        <w:tabs>
          <w:tab w:leader="none" w:pos="9500" w:val="left"/>
          <w:tab w:leader="none" w:pos="9960" w:val="left"/>
          <w:tab w:leader="none" w:pos="10820" w:val="left"/>
          <w:tab w:leader="none" w:pos="11220" w:val="left"/>
        </w:tabs>
        <w:rPr>
          <w:sz w:val="20"/>
          <w:szCs w:val="20"/>
          <w:color w:val="auto"/>
        </w:rPr>
      </w:pPr>
      <w:r>
        <w:rPr>
          <w:rFonts w:ascii="Arial" w:cs="Arial" w:eastAsia="Arial" w:hAnsi="Arial"/>
          <w:sz w:val="18"/>
          <w:szCs w:val="18"/>
          <w:color w:val="auto"/>
        </w:rPr>
        <w:t>American Airlines, Inc.</w:t>
      </w:r>
      <w:r>
        <w:rPr>
          <w:sz w:val="20"/>
          <w:szCs w:val="20"/>
          <w:color w:val="auto"/>
        </w:rPr>
        <w:tab/>
      </w:r>
      <w:r>
        <w:rPr>
          <w:rFonts w:ascii="Arial" w:cs="Arial" w:eastAsia="Arial" w:hAnsi="Arial"/>
          <w:sz w:val="16"/>
          <w:szCs w:val="16"/>
          <w:color w:val="auto"/>
        </w:rPr>
        <w:t>Yes</w:t>
      </w:r>
      <w:r>
        <w:rPr>
          <w:sz w:val="20"/>
          <w:szCs w:val="20"/>
          <w:color w:val="auto"/>
        </w:rPr>
        <w:tab/>
      </w:r>
      <w:r>
        <w:rPr>
          <w:rFonts w:ascii="MS PGothic" w:cs="MS PGothic" w:eastAsia="MS PGothic" w:hAnsi="MS PGothic"/>
          <w:sz w:val="18"/>
          <w:szCs w:val="18"/>
          <w:color w:val="auto"/>
        </w:rPr>
        <w:t>☐</w:t>
      </w:r>
      <w:r>
        <w:rPr>
          <w:sz w:val="20"/>
          <w:szCs w:val="20"/>
          <w:color w:val="auto"/>
        </w:rPr>
        <w:tab/>
      </w:r>
      <w:r>
        <w:rPr>
          <w:rFonts w:ascii="Arial" w:cs="Arial" w:eastAsia="Arial" w:hAnsi="Arial"/>
          <w:sz w:val="16"/>
          <w:szCs w:val="16"/>
          <w:color w:val="auto"/>
        </w:rPr>
        <w:t>No</w:t>
      </w:r>
      <w:r>
        <w:rPr>
          <w:sz w:val="20"/>
          <w:szCs w:val="20"/>
          <w:color w:val="auto"/>
        </w:rPr>
        <w:tab/>
      </w:r>
      <w:r>
        <w:rPr>
          <w:rFonts w:ascii="MS PGothic" w:cs="MS PGothic" w:eastAsia="MS PGothic" w:hAnsi="MS PGothic"/>
          <w:sz w:val="16"/>
          <w:szCs w:val="16"/>
          <w:color w:val="auto"/>
        </w:rPr>
        <w:t>☒</w:t>
      </w:r>
    </w:p>
    <w:p>
      <w:pPr>
        <w:spacing w:after="0" w:line="204" w:lineRule="exact"/>
        <w:rPr>
          <w:sz w:val="20"/>
          <w:szCs w:val="20"/>
          <w:color w:val="auto"/>
        </w:rPr>
      </w:pPr>
    </w:p>
    <w:p>
      <w:pPr>
        <w:jc w:val="both"/>
        <w:ind w:firstLine="108"/>
        <w:spacing w:after="0" w:line="256" w:lineRule="auto"/>
        <w:rPr>
          <w:sz w:val="20"/>
          <w:szCs w:val="20"/>
          <w:color w:val="auto"/>
        </w:rPr>
      </w:pPr>
      <w:r>
        <w:rPr>
          <w:rFonts w:ascii="Arial" w:cs="Arial" w:eastAsia="Arial" w:hAnsi="Arial"/>
          <w:sz w:val="18"/>
          <w:szCs w:val="18"/>
          <w:color w:val="auto"/>
        </w:rPr>
        <w:t>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w:t>
      </w:r>
    </w:p>
    <w:p>
      <w:pPr>
        <w:spacing w:after="0" w:line="102" w:lineRule="exact"/>
        <w:rPr>
          <w:sz w:val="20"/>
          <w:szCs w:val="20"/>
          <w:color w:val="auto"/>
        </w:rPr>
      </w:pPr>
    </w:p>
    <w:p>
      <w:pPr>
        <w:ind w:left="40"/>
        <w:spacing w:after="0" w:line="207" w:lineRule="exact"/>
        <w:tabs>
          <w:tab w:leader="none" w:pos="9500" w:val="left"/>
          <w:tab w:leader="none" w:pos="9960" w:val="left"/>
          <w:tab w:leader="none" w:pos="10800" w:val="left"/>
          <w:tab w:leader="none" w:pos="11220" w:val="left"/>
        </w:tabs>
        <w:rPr>
          <w:sz w:val="20"/>
          <w:szCs w:val="20"/>
          <w:color w:val="auto"/>
        </w:rPr>
      </w:pPr>
      <w:r>
        <w:rPr>
          <w:rFonts w:ascii="Arial" w:cs="Arial" w:eastAsia="Arial" w:hAnsi="Arial"/>
          <w:sz w:val="18"/>
          <w:szCs w:val="18"/>
          <w:color w:val="auto"/>
        </w:rPr>
        <w:t>American Airlines Group Inc.</w:t>
      </w:r>
      <w:r>
        <w:rPr>
          <w:sz w:val="20"/>
          <w:szCs w:val="20"/>
          <w:color w:val="auto"/>
        </w:rPr>
        <w:tab/>
      </w:r>
      <w:r>
        <w:rPr>
          <w:rFonts w:ascii="Arial" w:cs="Arial" w:eastAsia="Arial" w:hAnsi="Arial"/>
          <w:sz w:val="16"/>
          <w:szCs w:val="16"/>
          <w:color w:val="auto"/>
        </w:rPr>
        <w:t>Yes</w:t>
      </w:r>
      <w:r>
        <w:rPr>
          <w:sz w:val="20"/>
          <w:szCs w:val="20"/>
          <w:color w:val="auto"/>
        </w:rPr>
        <w:tab/>
      </w:r>
      <w:r>
        <w:rPr>
          <w:rFonts w:ascii="MS PGothic" w:cs="MS PGothic" w:eastAsia="MS PGothic" w:hAnsi="MS PGothic"/>
          <w:sz w:val="18"/>
          <w:szCs w:val="18"/>
          <w:color w:val="auto"/>
        </w:rPr>
        <w:t>☒</w:t>
      </w:r>
      <w:r>
        <w:rPr>
          <w:sz w:val="20"/>
          <w:szCs w:val="20"/>
          <w:color w:val="auto"/>
        </w:rPr>
        <w:tab/>
      </w:r>
      <w:r>
        <w:rPr>
          <w:rFonts w:ascii="Arial" w:cs="Arial" w:eastAsia="Arial" w:hAnsi="Arial"/>
          <w:sz w:val="18"/>
          <w:szCs w:val="18"/>
          <w:color w:val="auto"/>
        </w:rPr>
        <w:t>No</w:t>
      </w:r>
      <w:r>
        <w:rPr>
          <w:sz w:val="20"/>
          <w:szCs w:val="20"/>
          <w:color w:val="auto"/>
        </w:rPr>
        <w:tab/>
      </w:r>
      <w:r>
        <w:rPr>
          <w:rFonts w:ascii="MS PGothic" w:cs="MS PGothic" w:eastAsia="MS PGothic" w:hAnsi="MS PGothic"/>
          <w:sz w:val="16"/>
          <w:szCs w:val="16"/>
          <w:color w:val="auto"/>
        </w:rPr>
        <w:t>☐</w:t>
      </w:r>
    </w:p>
    <w:p>
      <w:pPr>
        <w:spacing w:after="0" w:line="76" w:lineRule="exact"/>
        <w:rPr>
          <w:sz w:val="20"/>
          <w:szCs w:val="20"/>
          <w:color w:val="auto"/>
        </w:rPr>
      </w:pPr>
    </w:p>
    <w:p>
      <w:pPr>
        <w:ind w:left="40"/>
        <w:spacing w:after="0" w:line="207" w:lineRule="exact"/>
        <w:tabs>
          <w:tab w:leader="none" w:pos="9500" w:val="left"/>
          <w:tab w:leader="none" w:pos="9960" w:val="left"/>
          <w:tab w:leader="none" w:pos="10800" w:val="left"/>
          <w:tab w:leader="none" w:pos="11220" w:val="left"/>
        </w:tabs>
        <w:rPr>
          <w:sz w:val="20"/>
          <w:szCs w:val="20"/>
          <w:color w:val="auto"/>
        </w:rPr>
      </w:pPr>
      <w:r>
        <w:rPr>
          <w:rFonts w:ascii="Arial" w:cs="Arial" w:eastAsia="Arial" w:hAnsi="Arial"/>
          <w:sz w:val="18"/>
          <w:szCs w:val="18"/>
          <w:color w:val="auto"/>
        </w:rPr>
        <w:t>American Airlines, Inc.</w:t>
      </w:r>
      <w:r>
        <w:rPr>
          <w:sz w:val="20"/>
          <w:szCs w:val="20"/>
          <w:color w:val="auto"/>
        </w:rPr>
        <w:tab/>
      </w:r>
      <w:r>
        <w:rPr>
          <w:rFonts w:ascii="Arial" w:cs="Arial" w:eastAsia="Arial" w:hAnsi="Arial"/>
          <w:sz w:val="16"/>
          <w:szCs w:val="16"/>
          <w:color w:val="auto"/>
        </w:rPr>
        <w:t>Yes</w:t>
      </w:r>
      <w:r>
        <w:rPr>
          <w:sz w:val="20"/>
          <w:szCs w:val="20"/>
          <w:color w:val="auto"/>
        </w:rPr>
        <w:tab/>
      </w:r>
      <w:r>
        <w:rPr>
          <w:rFonts w:ascii="MS PGothic" w:cs="MS PGothic" w:eastAsia="MS PGothic" w:hAnsi="MS PGothic"/>
          <w:sz w:val="18"/>
          <w:szCs w:val="18"/>
          <w:color w:val="auto"/>
        </w:rPr>
        <w:t>☒</w:t>
      </w:r>
      <w:r>
        <w:rPr>
          <w:sz w:val="20"/>
          <w:szCs w:val="20"/>
          <w:color w:val="auto"/>
        </w:rPr>
        <w:tab/>
      </w:r>
      <w:r>
        <w:rPr>
          <w:rFonts w:ascii="Arial" w:cs="Arial" w:eastAsia="Arial" w:hAnsi="Arial"/>
          <w:sz w:val="18"/>
          <w:szCs w:val="18"/>
          <w:color w:val="auto"/>
        </w:rPr>
        <w:t>No</w:t>
      </w:r>
      <w:r>
        <w:rPr>
          <w:sz w:val="20"/>
          <w:szCs w:val="20"/>
          <w:color w:val="auto"/>
        </w:rPr>
        <w:tab/>
      </w:r>
      <w:r>
        <w:rPr>
          <w:rFonts w:ascii="MS PGothic" w:cs="MS PGothic" w:eastAsia="MS PGothic" w:hAnsi="MS PGothic"/>
          <w:sz w:val="16"/>
          <w:szCs w:val="16"/>
          <w:color w:val="auto"/>
        </w:rPr>
        <w:t>☐</w:t>
      </w:r>
    </w:p>
    <w:p>
      <w:pPr>
        <w:spacing w:after="0" w:line="204" w:lineRule="exact"/>
        <w:rPr>
          <w:sz w:val="20"/>
          <w:szCs w:val="20"/>
          <w:color w:val="auto"/>
        </w:rPr>
      </w:pPr>
    </w:p>
    <w:p>
      <w:pPr>
        <w:jc w:val="both"/>
        <w:ind w:firstLine="108"/>
        <w:spacing w:after="0" w:line="256" w:lineRule="auto"/>
        <w:rPr>
          <w:sz w:val="20"/>
          <w:szCs w:val="20"/>
          <w:color w:val="auto"/>
        </w:rPr>
      </w:pPr>
      <w:r>
        <w:rPr>
          <w:rFonts w:ascii="Arial" w:cs="Arial" w:eastAsia="Arial" w:hAnsi="Arial"/>
          <w:sz w:val="18"/>
          <w:szCs w:val="18"/>
          <w:color w:val="auto"/>
        </w:rPr>
        <w:t>Indicate by check mark whether the registrant has submitted electronically every Interactive Data File required to be submitted pursuant to Rule 405 of Regulation S-T (§232.405 of this chapter) during the preceding 12 months (or for such shorter period that the registrant was required to submit such files).</w:t>
      </w:r>
    </w:p>
    <w:p>
      <w:pPr>
        <w:spacing w:after="0" w:line="102" w:lineRule="exact"/>
        <w:rPr>
          <w:sz w:val="20"/>
          <w:szCs w:val="20"/>
          <w:color w:val="auto"/>
        </w:rPr>
      </w:pPr>
    </w:p>
    <w:p>
      <w:pPr>
        <w:ind w:left="40"/>
        <w:spacing w:after="0" w:line="207" w:lineRule="exact"/>
        <w:tabs>
          <w:tab w:leader="none" w:pos="9500" w:val="left"/>
          <w:tab w:leader="none" w:pos="9960" w:val="left"/>
          <w:tab w:leader="none" w:pos="10800" w:val="left"/>
          <w:tab w:leader="none" w:pos="11220" w:val="left"/>
        </w:tabs>
        <w:rPr>
          <w:sz w:val="20"/>
          <w:szCs w:val="20"/>
          <w:color w:val="auto"/>
        </w:rPr>
      </w:pPr>
      <w:r>
        <w:rPr>
          <w:rFonts w:ascii="Arial" w:cs="Arial" w:eastAsia="Arial" w:hAnsi="Arial"/>
          <w:sz w:val="18"/>
          <w:szCs w:val="18"/>
          <w:color w:val="auto"/>
        </w:rPr>
        <w:t>American Airlines Group Inc.</w:t>
      </w:r>
      <w:r>
        <w:rPr>
          <w:sz w:val="20"/>
          <w:szCs w:val="20"/>
          <w:color w:val="auto"/>
        </w:rPr>
        <w:tab/>
      </w:r>
      <w:r>
        <w:rPr>
          <w:rFonts w:ascii="Arial" w:cs="Arial" w:eastAsia="Arial" w:hAnsi="Arial"/>
          <w:sz w:val="16"/>
          <w:szCs w:val="16"/>
          <w:color w:val="auto"/>
        </w:rPr>
        <w:t>Yes</w:t>
      </w:r>
      <w:r>
        <w:rPr>
          <w:sz w:val="20"/>
          <w:szCs w:val="20"/>
          <w:color w:val="auto"/>
        </w:rPr>
        <w:tab/>
      </w:r>
      <w:r>
        <w:rPr>
          <w:rFonts w:ascii="MS PGothic" w:cs="MS PGothic" w:eastAsia="MS PGothic" w:hAnsi="MS PGothic"/>
          <w:sz w:val="18"/>
          <w:szCs w:val="18"/>
          <w:color w:val="auto"/>
        </w:rPr>
        <w:t>☒</w:t>
      </w:r>
      <w:r>
        <w:rPr>
          <w:sz w:val="20"/>
          <w:szCs w:val="20"/>
          <w:color w:val="auto"/>
        </w:rPr>
        <w:tab/>
      </w:r>
      <w:r>
        <w:rPr>
          <w:rFonts w:ascii="Arial" w:cs="Arial" w:eastAsia="Arial" w:hAnsi="Arial"/>
          <w:sz w:val="18"/>
          <w:szCs w:val="18"/>
          <w:color w:val="auto"/>
        </w:rPr>
        <w:t>No</w:t>
      </w:r>
      <w:r>
        <w:rPr>
          <w:sz w:val="20"/>
          <w:szCs w:val="20"/>
          <w:color w:val="auto"/>
        </w:rPr>
        <w:tab/>
      </w:r>
      <w:r>
        <w:rPr>
          <w:rFonts w:ascii="MS PGothic" w:cs="MS PGothic" w:eastAsia="MS PGothic" w:hAnsi="MS PGothic"/>
          <w:sz w:val="16"/>
          <w:szCs w:val="16"/>
          <w:color w:val="auto"/>
        </w:rPr>
        <w:t>☐</w:t>
      </w:r>
    </w:p>
    <w:p>
      <w:pPr>
        <w:spacing w:after="0" w:line="76" w:lineRule="exact"/>
        <w:rPr>
          <w:sz w:val="20"/>
          <w:szCs w:val="20"/>
          <w:color w:val="auto"/>
        </w:rPr>
      </w:pPr>
    </w:p>
    <w:p>
      <w:pPr>
        <w:ind w:left="40"/>
        <w:spacing w:after="0" w:line="207" w:lineRule="exact"/>
        <w:tabs>
          <w:tab w:leader="none" w:pos="9500" w:val="left"/>
          <w:tab w:leader="none" w:pos="9960" w:val="left"/>
          <w:tab w:leader="none" w:pos="10800" w:val="left"/>
          <w:tab w:leader="none" w:pos="11220" w:val="left"/>
        </w:tabs>
        <w:rPr>
          <w:sz w:val="20"/>
          <w:szCs w:val="20"/>
          <w:color w:val="auto"/>
        </w:rPr>
      </w:pPr>
      <w:r>
        <w:rPr>
          <w:rFonts w:ascii="Arial" w:cs="Arial" w:eastAsia="Arial" w:hAnsi="Arial"/>
          <w:sz w:val="18"/>
          <w:szCs w:val="18"/>
          <w:color w:val="auto"/>
        </w:rPr>
        <w:t>American Airlines, Inc.</w:t>
      </w:r>
      <w:r>
        <w:rPr>
          <w:sz w:val="20"/>
          <w:szCs w:val="20"/>
          <w:color w:val="auto"/>
        </w:rPr>
        <w:tab/>
      </w:r>
      <w:r>
        <w:rPr>
          <w:rFonts w:ascii="Arial" w:cs="Arial" w:eastAsia="Arial" w:hAnsi="Arial"/>
          <w:sz w:val="16"/>
          <w:szCs w:val="16"/>
          <w:color w:val="auto"/>
        </w:rPr>
        <w:t>Yes</w:t>
      </w:r>
      <w:r>
        <w:rPr>
          <w:sz w:val="20"/>
          <w:szCs w:val="20"/>
          <w:color w:val="auto"/>
        </w:rPr>
        <w:tab/>
      </w:r>
      <w:r>
        <w:rPr>
          <w:rFonts w:ascii="MS PGothic" w:cs="MS PGothic" w:eastAsia="MS PGothic" w:hAnsi="MS PGothic"/>
          <w:sz w:val="18"/>
          <w:szCs w:val="18"/>
          <w:color w:val="auto"/>
        </w:rPr>
        <w:t>☒</w:t>
      </w:r>
      <w:r>
        <w:rPr>
          <w:sz w:val="20"/>
          <w:szCs w:val="20"/>
          <w:color w:val="auto"/>
        </w:rPr>
        <w:tab/>
      </w:r>
      <w:r>
        <w:rPr>
          <w:rFonts w:ascii="Arial" w:cs="Arial" w:eastAsia="Arial" w:hAnsi="Arial"/>
          <w:sz w:val="18"/>
          <w:szCs w:val="18"/>
          <w:color w:val="auto"/>
        </w:rPr>
        <w:t>No</w:t>
      </w:r>
      <w:r>
        <w:rPr>
          <w:sz w:val="20"/>
          <w:szCs w:val="20"/>
          <w:color w:val="auto"/>
        </w:rPr>
        <w:tab/>
      </w:r>
      <w:r>
        <w:rPr>
          <w:rFonts w:ascii="MS PGothic" w:cs="MS PGothic" w:eastAsia="MS PGothic" w:hAnsi="MS PGothic"/>
          <w:sz w:val="16"/>
          <w:szCs w:val="16"/>
          <w:color w:val="auto"/>
        </w:rPr>
        <w:t>☐</w:t>
      </w:r>
    </w:p>
    <w:p>
      <w:pPr>
        <w:spacing w:after="0" w:line="204" w:lineRule="exact"/>
        <w:rPr>
          <w:sz w:val="20"/>
          <w:szCs w:val="20"/>
          <w:color w:val="auto"/>
        </w:rPr>
      </w:pPr>
    </w:p>
    <w:p>
      <w:pPr>
        <w:jc w:val="both"/>
        <w:ind w:firstLine="108"/>
        <w:spacing w:after="0" w:line="250" w:lineRule="auto"/>
        <w:rPr>
          <w:sz w:val="20"/>
          <w:szCs w:val="20"/>
          <w:color w:val="auto"/>
        </w:rPr>
      </w:pPr>
      <w:r>
        <w:rPr>
          <w:rFonts w:ascii="Arial" w:cs="Arial" w:eastAsia="Arial" w:hAnsi="Arial"/>
          <w:sz w:val="18"/>
          <w:szCs w:val="18"/>
          <w:color w:val="auto"/>
        </w:rPr>
        <w:t>Indicate by check mark whether the registrant is a large accelerated filer, an accelerated filer, a non-accelerated filer, a smaller reporting company, or emerging growth company. See definitions of “large accelerated filer,” “accelerated filer,” “smaller reporting company,” and “emerging growth company” in Rule 12b-2 of the Exchange Act.</w:t>
      </w:r>
    </w:p>
    <w:p>
      <w:pPr>
        <w:spacing w:after="0" w:line="2" w:lineRule="exact"/>
        <w:rPr>
          <w:sz w:val="20"/>
          <w:szCs w:val="20"/>
          <w:color w:val="auto"/>
        </w:rPr>
      </w:pPr>
    </w:p>
    <w:p>
      <w:pPr>
        <w:ind w:left="40"/>
        <w:spacing w:after="0" w:line="281" w:lineRule="exact"/>
        <w:tabs>
          <w:tab w:leader="none" w:pos="2080" w:val="left"/>
        </w:tabs>
        <w:rPr>
          <w:sz w:val="20"/>
          <w:szCs w:val="20"/>
          <w:color w:val="auto"/>
        </w:rPr>
      </w:pPr>
      <w:r>
        <w:rPr>
          <w:rFonts w:ascii="Arial" w:cs="Arial" w:eastAsia="Arial" w:hAnsi="Arial"/>
          <w:sz w:val="13"/>
          <w:szCs w:val="13"/>
          <w:color w:val="auto"/>
        </w:rPr>
        <w:t>American Airlines Group Inc.</w:t>
      </w:r>
      <w:r>
        <w:rPr>
          <w:sz w:val="20"/>
          <w:szCs w:val="20"/>
          <w:color w:val="auto"/>
        </w:rPr>
        <w:tab/>
      </w:r>
      <w:r>
        <w:rPr>
          <w:rFonts w:ascii="MS PGothic" w:cs="MS PGothic" w:eastAsia="MS PGothic" w:hAnsi="MS PGothic"/>
          <w:sz w:val="28"/>
          <w:szCs w:val="28"/>
          <w:color w:val="auto"/>
          <w:vertAlign w:val="subscript"/>
        </w:rPr>
        <w:t xml:space="preserve">☒ </w:t>
      </w:r>
      <w:r>
        <w:rPr>
          <w:rFonts w:ascii="Arial" w:cs="Arial" w:eastAsia="Arial" w:hAnsi="Arial"/>
          <w:sz w:val="11"/>
          <w:szCs w:val="11"/>
          <w:color w:val="auto"/>
        </w:rPr>
        <w:t>Large accelerated filer</w:t>
      </w:r>
      <w:r>
        <w:rPr>
          <w:rFonts w:ascii="MS PGothic" w:cs="MS PGothic" w:eastAsia="MS PGothic" w:hAnsi="MS PGothic"/>
          <w:sz w:val="28"/>
          <w:szCs w:val="28"/>
          <w:color w:val="auto"/>
        </w:rPr>
        <w:t xml:space="preserve">      </w:t>
      </w:r>
      <w:r>
        <w:rPr>
          <w:rFonts w:ascii="MS PGothic" w:cs="MS PGothic" w:eastAsia="MS PGothic" w:hAnsi="MS PGothic"/>
          <w:sz w:val="28"/>
          <w:szCs w:val="28"/>
          <w:color w:val="auto"/>
          <w:vertAlign w:val="subscript"/>
        </w:rPr>
        <w:t>☐</w:t>
      </w:r>
      <w:r>
        <w:rPr>
          <w:rFonts w:ascii="MS PGothic" w:cs="MS PGothic" w:eastAsia="MS PGothic" w:hAnsi="MS PGothic"/>
          <w:sz w:val="28"/>
          <w:szCs w:val="28"/>
          <w:color w:val="auto"/>
        </w:rPr>
        <w:t xml:space="preserve"> </w:t>
      </w:r>
      <w:r>
        <w:rPr>
          <w:rFonts w:ascii="Arial" w:cs="Arial" w:eastAsia="Arial" w:hAnsi="Arial"/>
          <w:sz w:val="11"/>
          <w:szCs w:val="11"/>
          <w:color w:val="auto"/>
        </w:rPr>
        <w:t>Accelerated filer</w:t>
      </w:r>
      <w:r>
        <w:rPr>
          <w:rFonts w:ascii="MS PGothic" w:cs="MS PGothic" w:eastAsia="MS PGothic" w:hAnsi="MS PGothic"/>
          <w:sz w:val="28"/>
          <w:szCs w:val="28"/>
          <w:color w:val="auto"/>
        </w:rPr>
        <w:t xml:space="preserve">     </w:t>
      </w:r>
      <w:r>
        <w:rPr>
          <w:rFonts w:ascii="MS PGothic" w:cs="MS PGothic" w:eastAsia="MS PGothic" w:hAnsi="MS PGothic"/>
          <w:sz w:val="28"/>
          <w:szCs w:val="28"/>
          <w:color w:val="auto"/>
          <w:vertAlign w:val="subscript"/>
        </w:rPr>
        <w:t>☐</w:t>
      </w:r>
      <w:r>
        <w:rPr>
          <w:rFonts w:ascii="MS PGothic" w:cs="MS PGothic" w:eastAsia="MS PGothic" w:hAnsi="MS PGothic"/>
          <w:sz w:val="28"/>
          <w:szCs w:val="28"/>
          <w:color w:val="auto"/>
        </w:rPr>
        <w:t xml:space="preserve"> </w:t>
      </w:r>
      <w:r>
        <w:rPr>
          <w:rFonts w:ascii="Arial" w:cs="Arial" w:eastAsia="Arial" w:hAnsi="Arial"/>
          <w:sz w:val="11"/>
          <w:szCs w:val="11"/>
          <w:color w:val="auto"/>
        </w:rPr>
        <w:t>Non-accelerated filer</w:t>
      </w:r>
      <w:r>
        <w:rPr>
          <w:rFonts w:ascii="MS PGothic" w:cs="MS PGothic" w:eastAsia="MS PGothic" w:hAnsi="MS PGothic"/>
          <w:sz w:val="28"/>
          <w:szCs w:val="28"/>
          <w:color w:val="auto"/>
        </w:rPr>
        <w:t xml:space="preserve">     </w:t>
      </w:r>
      <w:r>
        <w:rPr>
          <w:rFonts w:ascii="MS PGothic" w:cs="MS PGothic" w:eastAsia="MS PGothic" w:hAnsi="MS PGothic"/>
          <w:sz w:val="28"/>
          <w:szCs w:val="28"/>
          <w:color w:val="auto"/>
          <w:vertAlign w:val="subscript"/>
        </w:rPr>
        <w:t>☐</w:t>
      </w:r>
      <w:r>
        <w:rPr>
          <w:rFonts w:ascii="MS PGothic" w:cs="MS PGothic" w:eastAsia="MS PGothic" w:hAnsi="MS PGothic"/>
          <w:sz w:val="28"/>
          <w:szCs w:val="28"/>
          <w:color w:val="auto"/>
        </w:rPr>
        <w:t xml:space="preserve"> </w:t>
      </w:r>
      <w:r>
        <w:rPr>
          <w:rFonts w:ascii="Arial" w:cs="Arial" w:eastAsia="Arial" w:hAnsi="Arial"/>
          <w:sz w:val="11"/>
          <w:szCs w:val="11"/>
          <w:color w:val="auto"/>
        </w:rPr>
        <w:t>Smaller reporting company</w:t>
      </w:r>
      <w:r>
        <w:rPr>
          <w:rFonts w:ascii="MS PGothic" w:cs="MS PGothic" w:eastAsia="MS PGothic" w:hAnsi="MS PGothic"/>
          <w:sz w:val="28"/>
          <w:szCs w:val="28"/>
          <w:color w:val="auto"/>
        </w:rPr>
        <w:t xml:space="preserve">       </w:t>
      </w:r>
      <w:r>
        <w:rPr>
          <w:rFonts w:ascii="MS PGothic" w:cs="MS PGothic" w:eastAsia="MS PGothic" w:hAnsi="MS PGothic"/>
          <w:sz w:val="28"/>
          <w:szCs w:val="28"/>
          <w:color w:val="auto"/>
          <w:vertAlign w:val="subscript"/>
        </w:rPr>
        <w:t>☐</w:t>
      </w:r>
      <w:r>
        <w:rPr>
          <w:rFonts w:ascii="MS PGothic" w:cs="MS PGothic" w:eastAsia="MS PGothic" w:hAnsi="MS PGothic"/>
          <w:sz w:val="28"/>
          <w:szCs w:val="28"/>
          <w:color w:val="auto"/>
        </w:rPr>
        <w:t xml:space="preserve"> </w:t>
      </w:r>
      <w:r>
        <w:rPr>
          <w:rFonts w:ascii="Arial" w:cs="Arial" w:eastAsia="Arial" w:hAnsi="Arial"/>
          <w:sz w:val="11"/>
          <w:szCs w:val="11"/>
          <w:color w:val="auto"/>
        </w:rPr>
        <w:t>Emerging growth company</w:t>
      </w:r>
    </w:p>
    <w:p>
      <w:pPr>
        <w:spacing w:after="0" w:line="149" w:lineRule="exact"/>
        <w:rPr>
          <w:sz w:val="20"/>
          <w:szCs w:val="20"/>
          <w:color w:val="auto"/>
        </w:rPr>
      </w:pPr>
    </w:p>
    <w:p>
      <w:pPr>
        <w:ind w:left="40"/>
        <w:spacing w:after="0" w:line="281" w:lineRule="exact"/>
        <w:tabs>
          <w:tab w:leader="none" w:pos="2080" w:val="left"/>
        </w:tabs>
        <w:rPr>
          <w:sz w:val="20"/>
          <w:szCs w:val="20"/>
          <w:color w:val="auto"/>
        </w:rPr>
      </w:pPr>
      <w:r>
        <w:rPr>
          <w:rFonts w:ascii="Arial" w:cs="Arial" w:eastAsia="Arial" w:hAnsi="Arial"/>
          <w:sz w:val="13"/>
          <w:szCs w:val="13"/>
          <w:color w:val="auto"/>
        </w:rPr>
        <w:t>American Airlines, Inc.</w:t>
      </w:r>
      <w:r>
        <w:rPr>
          <w:sz w:val="20"/>
          <w:szCs w:val="20"/>
          <w:color w:val="auto"/>
        </w:rPr>
        <w:tab/>
      </w:r>
      <w:r>
        <w:rPr>
          <w:rFonts w:ascii="MS PGothic" w:cs="MS PGothic" w:eastAsia="MS PGothic" w:hAnsi="MS PGothic"/>
          <w:sz w:val="28"/>
          <w:szCs w:val="28"/>
          <w:color w:val="auto"/>
          <w:vertAlign w:val="subscript"/>
        </w:rPr>
        <w:t xml:space="preserve">☐ </w:t>
      </w:r>
      <w:r>
        <w:rPr>
          <w:rFonts w:ascii="Arial" w:cs="Arial" w:eastAsia="Arial" w:hAnsi="Arial"/>
          <w:sz w:val="11"/>
          <w:szCs w:val="11"/>
          <w:color w:val="auto"/>
        </w:rPr>
        <w:t>Large accelerated filer</w:t>
      </w:r>
      <w:r>
        <w:rPr>
          <w:rFonts w:ascii="MS PGothic" w:cs="MS PGothic" w:eastAsia="MS PGothic" w:hAnsi="MS PGothic"/>
          <w:sz w:val="28"/>
          <w:szCs w:val="28"/>
          <w:color w:val="auto"/>
        </w:rPr>
        <w:t xml:space="preserve">      </w:t>
      </w:r>
      <w:r>
        <w:rPr>
          <w:rFonts w:ascii="MS PGothic" w:cs="MS PGothic" w:eastAsia="MS PGothic" w:hAnsi="MS PGothic"/>
          <w:sz w:val="28"/>
          <w:szCs w:val="28"/>
          <w:color w:val="auto"/>
          <w:vertAlign w:val="subscript"/>
        </w:rPr>
        <w:t>☐</w:t>
      </w:r>
      <w:r>
        <w:rPr>
          <w:rFonts w:ascii="MS PGothic" w:cs="MS PGothic" w:eastAsia="MS PGothic" w:hAnsi="MS PGothic"/>
          <w:sz w:val="28"/>
          <w:szCs w:val="28"/>
          <w:color w:val="auto"/>
        </w:rPr>
        <w:t xml:space="preserve"> </w:t>
      </w:r>
      <w:r>
        <w:rPr>
          <w:rFonts w:ascii="Arial" w:cs="Arial" w:eastAsia="Arial" w:hAnsi="Arial"/>
          <w:sz w:val="11"/>
          <w:szCs w:val="11"/>
          <w:color w:val="auto"/>
        </w:rPr>
        <w:t>Accelerated filer</w:t>
      </w:r>
      <w:r>
        <w:rPr>
          <w:rFonts w:ascii="MS PGothic" w:cs="MS PGothic" w:eastAsia="MS PGothic" w:hAnsi="MS PGothic"/>
          <w:sz w:val="28"/>
          <w:szCs w:val="28"/>
          <w:color w:val="auto"/>
        </w:rPr>
        <w:t xml:space="preserve">      </w:t>
      </w:r>
      <w:r>
        <w:rPr>
          <w:rFonts w:ascii="MS PGothic" w:cs="MS PGothic" w:eastAsia="MS PGothic" w:hAnsi="MS PGothic"/>
          <w:sz w:val="28"/>
          <w:szCs w:val="28"/>
          <w:color w:val="auto"/>
          <w:vertAlign w:val="subscript"/>
        </w:rPr>
        <w:t>☒</w:t>
      </w:r>
      <w:r>
        <w:rPr>
          <w:rFonts w:ascii="MS PGothic" w:cs="MS PGothic" w:eastAsia="MS PGothic" w:hAnsi="MS PGothic"/>
          <w:sz w:val="28"/>
          <w:szCs w:val="28"/>
          <w:color w:val="auto"/>
        </w:rPr>
        <w:t xml:space="preserve"> </w:t>
      </w:r>
      <w:r>
        <w:rPr>
          <w:rFonts w:ascii="Arial" w:cs="Arial" w:eastAsia="Arial" w:hAnsi="Arial"/>
          <w:sz w:val="11"/>
          <w:szCs w:val="11"/>
          <w:color w:val="auto"/>
        </w:rPr>
        <w:t>Non-accelerated filer</w:t>
      </w:r>
      <w:r>
        <w:rPr>
          <w:rFonts w:ascii="MS PGothic" w:cs="MS PGothic" w:eastAsia="MS PGothic" w:hAnsi="MS PGothic"/>
          <w:sz w:val="28"/>
          <w:szCs w:val="28"/>
          <w:color w:val="auto"/>
        </w:rPr>
        <w:t xml:space="preserve">     </w:t>
      </w:r>
      <w:r>
        <w:rPr>
          <w:rFonts w:ascii="MS PGothic" w:cs="MS PGothic" w:eastAsia="MS PGothic" w:hAnsi="MS PGothic"/>
          <w:sz w:val="28"/>
          <w:szCs w:val="28"/>
          <w:color w:val="auto"/>
          <w:vertAlign w:val="subscript"/>
        </w:rPr>
        <w:t>☐</w:t>
      </w:r>
      <w:r>
        <w:rPr>
          <w:rFonts w:ascii="MS PGothic" w:cs="MS PGothic" w:eastAsia="MS PGothic" w:hAnsi="MS PGothic"/>
          <w:sz w:val="28"/>
          <w:szCs w:val="28"/>
          <w:color w:val="auto"/>
        </w:rPr>
        <w:t xml:space="preserve"> </w:t>
      </w:r>
      <w:r>
        <w:rPr>
          <w:rFonts w:ascii="Arial" w:cs="Arial" w:eastAsia="Arial" w:hAnsi="Arial"/>
          <w:sz w:val="11"/>
          <w:szCs w:val="11"/>
          <w:color w:val="auto"/>
        </w:rPr>
        <w:t>Smaller reporting company</w:t>
      </w:r>
      <w:r>
        <w:rPr>
          <w:rFonts w:ascii="MS PGothic" w:cs="MS PGothic" w:eastAsia="MS PGothic" w:hAnsi="MS PGothic"/>
          <w:sz w:val="28"/>
          <w:szCs w:val="28"/>
          <w:color w:val="auto"/>
        </w:rPr>
        <w:t xml:space="preserve">       </w:t>
      </w:r>
      <w:r>
        <w:rPr>
          <w:rFonts w:ascii="MS PGothic" w:cs="MS PGothic" w:eastAsia="MS PGothic" w:hAnsi="MS PGothic"/>
          <w:sz w:val="28"/>
          <w:szCs w:val="28"/>
          <w:color w:val="auto"/>
          <w:vertAlign w:val="subscript"/>
        </w:rPr>
        <w:t>☐</w:t>
      </w:r>
      <w:r>
        <w:rPr>
          <w:rFonts w:ascii="MS PGothic" w:cs="MS PGothic" w:eastAsia="MS PGothic" w:hAnsi="MS PGothic"/>
          <w:sz w:val="28"/>
          <w:szCs w:val="28"/>
          <w:color w:val="auto"/>
        </w:rPr>
        <w:t xml:space="preserve"> </w:t>
      </w:r>
      <w:r>
        <w:rPr>
          <w:rFonts w:ascii="Arial" w:cs="Arial" w:eastAsia="Arial" w:hAnsi="Arial"/>
          <w:sz w:val="11"/>
          <w:szCs w:val="11"/>
          <w:color w:val="auto"/>
        </w:rPr>
        <w:t>Emerging growth company</w:t>
      </w:r>
    </w:p>
    <w:p>
      <w:pPr>
        <w:spacing w:after="0" w:line="155" w:lineRule="exact"/>
        <w:rPr>
          <w:sz w:val="20"/>
          <w:szCs w:val="20"/>
          <w:color w:val="auto"/>
        </w:rPr>
      </w:pPr>
    </w:p>
    <w:p>
      <w:pPr>
        <w:jc w:val="both"/>
        <w:ind w:firstLine="108"/>
        <w:spacing w:after="0" w:line="262" w:lineRule="auto"/>
        <w:rPr>
          <w:sz w:val="20"/>
          <w:szCs w:val="20"/>
          <w:color w:val="auto"/>
        </w:rPr>
      </w:pPr>
      <w:r>
        <w:rPr>
          <w:rFonts w:ascii="Arial" w:cs="Arial" w:eastAsia="Arial" w:hAnsi="Arial"/>
          <w:sz w:val="18"/>
          <w:szCs w:val="18"/>
          <w:color w:val="auto"/>
        </w:rPr>
        <w:t>If an emerging growth company, indicate by check mark if the registrant has elected not to use the extended transition period for complying with any new or revised financial accounting standards provided pursuant to Section 13(a) of the Exchange Act.</w:t>
      </w:r>
    </w:p>
    <w:p>
      <w:pPr>
        <w:spacing w:after="0" w:line="96" w:lineRule="exact"/>
        <w:rPr>
          <w:sz w:val="20"/>
          <w:szCs w:val="20"/>
          <w:color w:val="auto"/>
        </w:rPr>
      </w:pPr>
    </w:p>
    <w:tbl>
      <w:tblPr>
        <w:tblLayout w:type="fixed"/>
        <w:tblInd w:w="40" w:type="dxa"/>
        <w:tblCellMar>
          <w:top w:w="0" w:type="dxa"/>
          <w:left w:w="0" w:type="dxa"/>
          <w:bottom w:w="0" w:type="dxa"/>
          <w:right w:w="0" w:type="dxa"/>
        </w:tblCellMar>
      </w:tblPr>
      <w:tr>
        <w:trPr>
          <w:trHeight w:val="270"/>
        </w:trPr>
        <w:tc>
          <w:tcPr>
            <w:tcW w:w="8840" w:type="dxa"/>
            <w:vAlign w:val="bottom"/>
          </w:tcPr>
          <w:p>
            <w:pPr>
              <w:spacing w:after="0"/>
              <w:rPr>
                <w:sz w:val="20"/>
                <w:szCs w:val="20"/>
                <w:color w:val="auto"/>
              </w:rPr>
            </w:pPr>
            <w:r>
              <w:rPr>
                <w:rFonts w:ascii="Arial" w:cs="Arial" w:eastAsia="Arial" w:hAnsi="Arial"/>
                <w:sz w:val="18"/>
                <w:szCs w:val="18"/>
                <w:color w:val="auto"/>
              </w:rPr>
              <w:t>American Airlines Group Inc.</w:t>
            </w:r>
          </w:p>
        </w:tc>
        <w:tc>
          <w:tcPr>
            <w:tcW w:w="1020" w:type="dxa"/>
            <w:vAlign w:val="bottom"/>
          </w:tcPr>
          <w:p>
            <w:pPr>
              <w:spacing w:after="0"/>
              <w:rPr>
                <w:sz w:val="23"/>
                <w:szCs w:val="23"/>
                <w:color w:val="auto"/>
              </w:rPr>
            </w:pPr>
          </w:p>
        </w:tc>
        <w:tc>
          <w:tcPr>
            <w:tcW w:w="580" w:type="dxa"/>
            <w:vAlign w:val="bottom"/>
          </w:tcPr>
          <w:p>
            <w:pPr>
              <w:ind w:left="80"/>
              <w:spacing w:after="0" w:line="181" w:lineRule="exact"/>
              <w:rPr>
                <w:sz w:val="20"/>
                <w:szCs w:val="20"/>
                <w:color w:val="auto"/>
              </w:rPr>
            </w:pPr>
            <w:r>
              <w:rPr>
                <w:rFonts w:ascii="MS PGothic" w:cs="MS PGothic" w:eastAsia="MS PGothic" w:hAnsi="MS PGothic"/>
                <w:sz w:val="18"/>
                <w:szCs w:val="18"/>
                <w:color w:val="auto"/>
              </w:rPr>
              <w:t>☐</w:t>
            </w:r>
          </w:p>
        </w:tc>
        <w:tc>
          <w:tcPr>
            <w:tcW w:w="660" w:type="dxa"/>
            <w:vAlign w:val="bottom"/>
          </w:tcPr>
          <w:p>
            <w:pPr>
              <w:spacing w:after="0"/>
              <w:rPr>
                <w:sz w:val="23"/>
                <w:szCs w:val="23"/>
                <w:color w:val="auto"/>
              </w:rPr>
            </w:pPr>
          </w:p>
        </w:tc>
        <w:tc>
          <w:tcPr>
            <w:tcW w:w="260" w:type="dxa"/>
            <w:vAlign w:val="bottom"/>
          </w:tcPr>
          <w:p>
            <w:pPr>
              <w:spacing w:after="0"/>
              <w:rPr>
                <w:sz w:val="23"/>
                <w:szCs w:val="23"/>
                <w:color w:val="auto"/>
              </w:rPr>
            </w:pPr>
          </w:p>
        </w:tc>
      </w:tr>
      <w:tr>
        <w:trPr>
          <w:trHeight w:val="283"/>
        </w:trPr>
        <w:tc>
          <w:tcPr>
            <w:tcW w:w="8840" w:type="dxa"/>
            <w:vAlign w:val="bottom"/>
          </w:tcPr>
          <w:p>
            <w:pPr>
              <w:spacing w:after="0"/>
              <w:rPr>
                <w:sz w:val="20"/>
                <w:szCs w:val="20"/>
                <w:color w:val="auto"/>
              </w:rPr>
            </w:pPr>
            <w:r>
              <w:rPr>
                <w:rFonts w:ascii="Arial" w:cs="Arial" w:eastAsia="Arial" w:hAnsi="Arial"/>
                <w:sz w:val="18"/>
                <w:szCs w:val="18"/>
                <w:color w:val="auto"/>
              </w:rPr>
              <w:t>American Airlines, Inc.</w:t>
            </w:r>
          </w:p>
        </w:tc>
        <w:tc>
          <w:tcPr>
            <w:tcW w:w="1020" w:type="dxa"/>
            <w:vAlign w:val="bottom"/>
          </w:tcPr>
          <w:p>
            <w:pPr>
              <w:spacing w:after="0"/>
              <w:rPr>
                <w:sz w:val="24"/>
                <w:szCs w:val="24"/>
                <w:color w:val="auto"/>
              </w:rPr>
            </w:pPr>
          </w:p>
        </w:tc>
        <w:tc>
          <w:tcPr>
            <w:tcW w:w="580" w:type="dxa"/>
            <w:vAlign w:val="bottom"/>
          </w:tcPr>
          <w:p>
            <w:pPr>
              <w:ind w:left="80"/>
              <w:spacing w:after="0" w:line="181" w:lineRule="exact"/>
              <w:rPr>
                <w:sz w:val="20"/>
                <w:szCs w:val="20"/>
                <w:color w:val="auto"/>
              </w:rPr>
            </w:pPr>
            <w:r>
              <w:rPr>
                <w:rFonts w:ascii="MS PGothic" w:cs="MS PGothic" w:eastAsia="MS PGothic" w:hAnsi="MS PGothic"/>
                <w:sz w:val="18"/>
                <w:szCs w:val="18"/>
                <w:color w:val="auto"/>
              </w:rPr>
              <w:t>☐</w:t>
            </w:r>
          </w:p>
        </w:tc>
        <w:tc>
          <w:tcPr>
            <w:tcW w:w="660" w:type="dxa"/>
            <w:vAlign w:val="bottom"/>
          </w:tcPr>
          <w:p>
            <w:pPr>
              <w:spacing w:after="0"/>
              <w:rPr>
                <w:sz w:val="24"/>
                <w:szCs w:val="24"/>
                <w:color w:val="auto"/>
              </w:rPr>
            </w:pPr>
          </w:p>
        </w:tc>
        <w:tc>
          <w:tcPr>
            <w:tcW w:w="260" w:type="dxa"/>
            <w:vAlign w:val="bottom"/>
          </w:tcPr>
          <w:p>
            <w:pPr>
              <w:spacing w:after="0"/>
              <w:rPr>
                <w:sz w:val="24"/>
                <w:szCs w:val="24"/>
                <w:color w:val="auto"/>
              </w:rPr>
            </w:pPr>
          </w:p>
        </w:tc>
      </w:tr>
      <w:tr>
        <w:trPr>
          <w:trHeight w:val="385"/>
        </w:trPr>
        <w:tc>
          <w:tcPr>
            <w:tcW w:w="8840" w:type="dxa"/>
            <w:vAlign w:val="bottom"/>
          </w:tcPr>
          <w:p>
            <w:pPr>
              <w:ind w:left="40"/>
              <w:spacing w:after="0"/>
              <w:rPr>
                <w:sz w:val="20"/>
                <w:szCs w:val="20"/>
                <w:color w:val="auto"/>
              </w:rPr>
            </w:pPr>
            <w:r>
              <w:rPr>
                <w:rFonts w:ascii="Arial" w:cs="Arial" w:eastAsia="Arial" w:hAnsi="Arial"/>
                <w:sz w:val="18"/>
                <w:szCs w:val="18"/>
                <w:color w:val="auto"/>
              </w:rPr>
              <w:t>Indicate by check mark whether the registrant is a shell company (as defined in Rule 12b-2 of the Act).</w:t>
            </w:r>
          </w:p>
        </w:tc>
        <w:tc>
          <w:tcPr>
            <w:tcW w:w="102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260" w:type="dxa"/>
            <w:vAlign w:val="bottom"/>
          </w:tcPr>
          <w:p>
            <w:pPr>
              <w:spacing w:after="0"/>
              <w:rPr>
                <w:sz w:val="24"/>
                <w:szCs w:val="24"/>
                <w:color w:val="auto"/>
              </w:rPr>
            </w:pPr>
          </w:p>
        </w:tc>
      </w:tr>
      <w:tr>
        <w:trPr>
          <w:trHeight w:val="372"/>
        </w:trPr>
        <w:tc>
          <w:tcPr>
            <w:tcW w:w="8840" w:type="dxa"/>
            <w:vAlign w:val="bottom"/>
          </w:tcPr>
          <w:p>
            <w:pPr>
              <w:spacing w:after="0"/>
              <w:rPr>
                <w:sz w:val="20"/>
                <w:szCs w:val="20"/>
                <w:color w:val="auto"/>
              </w:rPr>
            </w:pPr>
            <w:r>
              <w:rPr>
                <w:rFonts w:ascii="Arial" w:cs="Arial" w:eastAsia="Arial" w:hAnsi="Arial"/>
                <w:sz w:val="18"/>
                <w:szCs w:val="18"/>
                <w:color w:val="auto"/>
              </w:rPr>
              <w:t>American Airlines Group Inc.</w:t>
            </w:r>
          </w:p>
        </w:tc>
        <w:tc>
          <w:tcPr>
            <w:tcW w:w="1020" w:type="dxa"/>
            <w:vAlign w:val="bottom"/>
          </w:tcPr>
          <w:p>
            <w:pPr>
              <w:ind w:left="640"/>
              <w:spacing w:after="0"/>
              <w:rPr>
                <w:sz w:val="20"/>
                <w:szCs w:val="20"/>
                <w:color w:val="auto"/>
              </w:rPr>
            </w:pPr>
            <w:r>
              <w:rPr>
                <w:rFonts w:ascii="Arial" w:cs="Arial" w:eastAsia="Arial" w:hAnsi="Arial"/>
                <w:sz w:val="18"/>
                <w:szCs w:val="18"/>
                <w:color w:val="auto"/>
              </w:rPr>
              <w:t>Yes</w:t>
            </w:r>
          </w:p>
        </w:tc>
        <w:tc>
          <w:tcPr>
            <w:tcW w:w="580" w:type="dxa"/>
            <w:vAlign w:val="bottom"/>
          </w:tcPr>
          <w:p>
            <w:pPr>
              <w:ind w:left="80"/>
              <w:spacing w:after="0" w:line="161" w:lineRule="exact"/>
              <w:rPr>
                <w:sz w:val="20"/>
                <w:szCs w:val="20"/>
                <w:color w:val="auto"/>
              </w:rPr>
            </w:pPr>
            <w:r>
              <w:rPr>
                <w:rFonts w:ascii="MS PGothic" w:cs="MS PGothic" w:eastAsia="MS PGothic" w:hAnsi="MS PGothic"/>
                <w:sz w:val="16"/>
                <w:szCs w:val="16"/>
                <w:color w:val="auto"/>
              </w:rPr>
              <w:t>☐</w:t>
            </w:r>
          </w:p>
        </w:tc>
        <w:tc>
          <w:tcPr>
            <w:tcW w:w="660" w:type="dxa"/>
            <w:vAlign w:val="bottom"/>
          </w:tcPr>
          <w:p>
            <w:pPr>
              <w:ind w:left="340"/>
              <w:spacing w:after="0"/>
              <w:rPr>
                <w:sz w:val="20"/>
                <w:szCs w:val="20"/>
                <w:color w:val="auto"/>
              </w:rPr>
            </w:pPr>
            <w:r>
              <w:rPr>
                <w:rFonts w:ascii="Arial" w:cs="Arial" w:eastAsia="Arial" w:hAnsi="Arial"/>
                <w:sz w:val="18"/>
                <w:szCs w:val="18"/>
                <w:color w:val="auto"/>
              </w:rPr>
              <w:t>No</w:t>
            </w:r>
          </w:p>
        </w:tc>
        <w:tc>
          <w:tcPr>
            <w:tcW w:w="260" w:type="dxa"/>
            <w:vAlign w:val="bottom"/>
          </w:tcPr>
          <w:p>
            <w:pPr>
              <w:ind w:left="100"/>
              <w:spacing w:after="0" w:line="181" w:lineRule="exact"/>
              <w:rPr>
                <w:sz w:val="20"/>
                <w:szCs w:val="20"/>
                <w:color w:val="auto"/>
              </w:rPr>
            </w:pPr>
            <w:r>
              <w:rPr>
                <w:rFonts w:ascii="MS PGothic" w:cs="MS PGothic" w:eastAsia="MS PGothic" w:hAnsi="MS PGothic"/>
                <w:sz w:val="18"/>
                <w:szCs w:val="18"/>
                <w:color w:val="auto"/>
                <w:w w:val="77"/>
              </w:rPr>
              <w:t>☒</w:t>
            </w:r>
          </w:p>
        </w:tc>
      </w:tr>
      <w:tr>
        <w:trPr>
          <w:trHeight w:val="283"/>
        </w:trPr>
        <w:tc>
          <w:tcPr>
            <w:tcW w:w="8840" w:type="dxa"/>
            <w:vAlign w:val="bottom"/>
          </w:tcPr>
          <w:p>
            <w:pPr>
              <w:spacing w:after="0"/>
              <w:rPr>
                <w:sz w:val="20"/>
                <w:szCs w:val="20"/>
                <w:color w:val="auto"/>
              </w:rPr>
            </w:pPr>
            <w:r>
              <w:rPr>
                <w:rFonts w:ascii="Arial" w:cs="Arial" w:eastAsia="Arial" w:hAnsi="Arial"/>
                <w:sz w:val="18"/>
                <w:szCs w:val="18"/>
                <w:color w:val="auto"/>
              </w:rPr>
              <w:t>American Airlines, Inc.</w:t>
            </w:r>
          </w:p>
        </w:tc>
        <w:tc>
          <w:tcPr>
            <w:tcW w:w="1020" w:type="dxa"/>
            <w:vAlign w:val="bottom"/>
          </w:tcPr>
          <w:p>
            <w:pPr>
              <w:ind w:left="640"/>
              <w:spacing w:after="0"/>
              <w:rPr>
                <w:sz w:val="20"/>
                <w:szCs w:val="20"/>
                <w:color w:val="auto"/>
              </w:rPr>
            </w:pPr>
            <w:r>
              <w:rPr>
                <w:rFonts w:ascii="Arial" w:cs="Arial" w:eastAsia="Arial" w:hAnsi="Arial"/>
                <w:sz w:val="18"/>
                <w:szCs w:val="18"/>
                <w:color w:val="auto"/>
              </w:rPr>
              <w:t>Yes</w:t>
            </w:r>
          </w:p>
        </w:tc>
        <w:tc>
          <w:tcPr>
            <w:tcW w:w="580" w:type="dxa"/>
            <w:vAlign w:val="bottom"/>
          </w:tcPr>
          <w:p>
            <w:pPr>
              <w:ind w:left="80"/>
              <w:spacing w:after="0" w:line="161" w:lineRule="exact"/>
              <w:rPr>
                <w:sz w:val="20"/>
                <w:szCs w:val="20"/>
                <w:color w:val="auto"/>
              </w:rPr>
            </w:pPr>
            <w:r>
              <w:rPr>
                <w:rFonts w:ascii="MS PGothic" w:cs="MS PGothic" w:eastAsia="MS PGothic" w:hAnsi="MS PGothic"/>
                <w:sz w:val="16"/>
                <w:szCs w:val="16"/>
                <w:color w:val="auto"/>
              </w:rPr>
              <w:t>☐</w:t>
            </w:r>
          </w:p>
        </w:tc>
        <w:tc>
          <w:tcPr>
            <w:tcW w:w="660" w:type="dxa"/>
            <w:vAlign w:val="bottom"/>
          </w:tcPr>
          <w:p>
            <w:pPr>
              <w:ind w:left="340"/>
              <w:spacing w:after="0"/>
              <w:rPr>
                <w:sz w:val="20"/>
                <w:szCs w:val="20"/>
                <w:color w:val="auto"/>
              </w:rPr>
            </w:pPr>
            <w:r>
              <w:rPr>
                <w:rFonts w:ascii="Arial" w:cs="Arial" w:eastAsia="Arial" w:hAnsi="Arial"/>
                <w:sz w:val="18"/>
                <w:szCs w:val="18"/>
                <w:color w:val="auto"/>
              </w:rPr>
              <w:t>No</w:t>
            </w:r>
          </w:p>
        </w:tc>
        <w:tc>
          <w:tcPr>
            <w:tcW w:w="260" w:type="dxa"/>
            <w:vAlign w:val="bottom"/>
          </w:tcPr>
          <w:p>
            <w:pPr>
              <w:ind w:left="100"/>
              <w:spacing w:after="0" w:line="181" w:lineRule="exact"/>
              <w:rPr>
                <w:sz w:val="20"/>
                <w:szCs w:val="20"/>
                <w:color w:val="auto"/>
              </w:rPr>
            </w:pPr>
            <w:r>
              <w:rPr>
                <w:rFonts w:ascii="MS PGothic" w:cs="MS PGothic" w:eastAsia="MS PGothic" w:hAnsi="MS PGothic"/>
                <w:sz w:val="18"/>
                <w:szCs w:val="18"/>
                <w:color w:val="auto"/>
                <w:w w:val="77"/>
              </w:rPr>
              <w:t>☒</w:t>
            </w:r>
          </w:p>
        </w:tc>
      </w:tr>
    </w:tbl>
    <w:p>
      <w:pPr>
        <w:spacing w:after="0" w:line="155" w:lineRule="exact"/>
        <w:rPr>
          <w:sz w:val="20"/>
          <w:szCs w:val="20"/>
          <w:color w:val="auto"/>
        </w:rPr>
      </w:pPr>
    </w:p>
    <w:p>
      <w:pPr>
        <w:jc w:val="both"/>
        <w:ind w:firstLine="108"/>
        <w:spacing w:after="0" w:line="262" w:lineRule="auto"/>
        <w:rPr>
          <w:sz w:val="20"/>
          <w:szCs w:val="20"/>
          <w:color w:val="auto"/>
        </w:rPr>
      </w:pPr>
      <w:r>
        <w:rPr>
          <w:rFonts w:ascii="Arial" w:cs="Arial" w:eastAsia="Arial" w:hAnsi="Arial"/>
          <w:sz w:val="18"/>
          <w:szCs w:val="18"/>
          <w:color w:val="auto"/>
        </w:rPr>
        <w:t>As of February 14, 2020, there were 426,058,744 shares of American Airlines Group Inc. common stock outstanding. The aggregate market value of the voting stock held by non-affiliates of the registrant as of June 30, 2019, was approximately $14.4 billion.</w:t>
      </w:r>
    </w:p>
    <w:p>
      <w:pPr>
        <w:spacing w:after="0" w:line="142" w:lineRule="exact"/>
        <w:rPr>
          <w:sz w:val="20"/>
          <w:szCs w:val="20"/>
          <w:color w:val="auto"/>
        </w:rPr>
      </w:pPr>
    </w:p>
    <w:p>
      <w:pPr>
        <w:jc w:val="both"/>
        <w:ind w:right="20" w:firstLine="108"/>
        <w:spacing w:after="0" w:line="262" w:lineRule="auto"/>
        <w:rPr>
          <w:sz w:val="20"/>
          <w:szCs w:val="20"/>
          <w:color w:val="auto"/>
        </w:rPr>
      </w:pPr>
      <w:r>
        <w:rPr>
          <w:rFonts w:ascii="Arial" w:cs="Arial" w:eastAsia="Arial" w:hAnsi="Arial"/>
          <w:sz w:val="18"/>
          <w:szCs w:val="18"/>
          <w:color w:val="auto"/>
        </w:rPr>
        <w:t>As of February 14, 2020, there were 1,000 shares of American Airlines, Inc. common stock outstanding, all of which were held by American Airlines Group Inc.</w:t>
      </w:r>
    </w:p>
    <w:p>
      <w:pPr>
        <w:spacing w:after="0" w:line="12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OMISSION OF CERTAIN INFORMATION</w:t>
      </w:r>
    </w:p>
    <w:p>
      <w:pPr>
        <w:spacing w:after="0" w:line="45" w:lineRule="exact"/>
        <w:rPr>
          <w:sz w:val="20"/>
          <w:szCs w:val="20"/>
          <w:color w:val="auto"/>
        </w:rPr>
      </w:pPr>
    </w:p>
    <w:p>
      <w:pPr>
        <w:jc w:val="both"/>
        <w:ind w:firstLine="108"/>
        <w:spacing w:after="0" w:line="262" w:lineRule="auto"/>
        <w:rPr>
          <w:sz w:val="20"/>
          <w:szCs w:val="20"/>
          <w:color w:val="auto"/>
        </w:rPr>
      </w:pPr>
      <w:r>
        <w:rPr>
          <w:rFonts w:ascii="Arial" w:cs="Arial" w:eastAsia="Arial" w:hAnsi="Arial"/>
          <w:sz w:val="18"/>
          <w:szCs w:val="18"/>
          <w:color w:val="auto"/>
        </w:rPr>
        <w:t>American Airlines Group Inc. and American Airlines, Inc. meet the conditions set forth in General Instruction I(1)(a) and (b) of Form 10-K and have therefore omitted the information otherwise called for by Items 10-13 of Form 10-K as allowed under General Instruction I(2)(c).</w:t>
      </w:r>
    </w:p>
    <w:p>
      <w:pPr>
        <w:spacing w:after="0" w:line="12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DOCUMENTS INCORPORATED BY REFERENCE</w:t>
      </w:r>
    </w:p>
    <w:p>
      <w:pPr>
        <w:spacing w:after="0" w:line="45" w:lineRule="exact"/>
        <w:rPr>
          <w:sz w:val="20"/>
          <w:szCs w:val="20"/>
          <w:color w:val="auto"/>
        </w:rPr>
      </w:pPr>
    </w:p>
    <w:p>
      <w:pPr>
        <w:jc w:val="both"/>
        <w:ind w:firstLine="108"/>
        <w:spacing w:after="0" w:line="256" w:lineRule="auto"/>
        <w:rPr>
          <w:sz w:val="20"/>
          <w:szCs w:val="20"/>
          <w:color w:val="auto"/>
        </w:rPr>
      </w:pPr>
      <w:r>
        <w:rPr>
          <w:rFonts w:ascii="Arial" w:cs="Arial" w:eastAsia="Arial" w:hAnsi="Arial"/>
          <w:sz w:val="18"/>
          <w:szCs w:val="18"/>
          <w:color w:val="auto"/>
        </w:rPr>
        <w:t>Portions of the proxy statement related to American Airlines Group Inc.’s 2020 Annual Meeting of Stockholders, which proxy statement will be filed under the Securities Exchange Act of 1934 within 120 days of the end of American Airlines Group Inc.’s fiscal year ended December 31, 2019, are incorporated by reference into Part III of this Annual Report on Form 10-K.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193675</wp:posOffset>
            </wp:positionH>
            <wp:positionV relativeFrom="paragraph">
              <wp:posOffset>163195</wp:posOffset>
            </wp:positionV>
            <wp:extent cx="6877685" cy="171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6877685" cy="17145"/>
                    </a:xfrm>
                    <a:prstGeom prst="rect">
                      <a:avLst/>
                    </a:prstGeom>
                    <a:noFill/>
                  </pic:spPr>
                </pic:pic>
              </a:graphicData>
            </a:graphic>
          </wp:anchor>
        </w:drawing>
        <w:drawing>
          <wp:anchor simplePos="0" relativeHeight="251657728" behindDoc="1" locked="0" layoutInCell="0" allowOverlap="1">
            <wp:simplePos x="0" y="0"/>
            <wp:positionH relativeFrom="column">
              <wp:posOffset>193675</wp:posOffset>
            </wp:positionH>
            <wp:positionV relativeFrom="paragraph">
              <wp:posOffset>77470</wp:posOffset>
            </wp:positionV>
            <wp:extent cx="6877685" cy="88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6877685" cy="8890"/>
                    </a:xfrm>
                    <a:prstGeom prst="rect">
                      <a:avLst/>
                    </a:prstGeom>
                    <a:noFill/>
                  </pic:spPr>
                </pic:pic>
              </a:graphicData>
            </a:graphic>
          </wp:anchor>
        </w:drawing>
      </w:r>
    </w:p>
    <w:p>
      <w:pPr>
        <w:sectPr>
          <w:pgSz w:w="11900" w:h="16838" w:orient="portrait"/>
          <w:cols w:equalWidth="0" w:num="1">
            <w:col w:w="11420"/>
          </w:cols>
          <w:pgMar w:left="240" w:top="733" w:right="239" w:bottom="1440" w:gutter="0" w:footer="0" w:header="0"/>
          <w:type w:val="continuous"/>
        </w:sectPr>
      </w:pPr>
    </w:p>
    <w:bookmarkStart w:id="2" w:name="page3"/>
    <w:bookmarkEnd w:id="2"/>
    <w:tbl>
      <w:tblPr>
        <w:tblLayout w:type="fixed"/>
        <w:tblInd w:w="0" w:type="dxa"/>
        <w:tblCellMar>
          <w:top w:w="0" w:type="dxa"/>
          <w:left w:w="0" w:type="dxa"/>
          <w:bottom w:w="0" w:type="dxa"/>
          <w:right w:w="0" w:type="dxa"/>
        </w:tblCellMar>
      </w:tblPr>
      <w:tr>
        <w:trPr>
          <w:trHeight w:val="216"/>
        </w:trPr>
        <w:tc>
          <w:tcPr>
            <w:tcW w:w="10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260" w:type="dxa"/>
            <w:vAlign w:val="bottom"/>
            <w:gridSpan w:val="18"/>
          </w:tcPr>
          <w:p>
            <w:pPr>
              <w:jc w:val="center"/>
              <w:ind w:right="3340"/>
              <w:spacing w:after="0"/>
              <w:rPr>
                <w:sz w:val="20"/>
                <w:szCs w:val="20"/>
                <w:color w:val="auto"/>
              </w:rPr>
            </w:pPr>
            <w:r>
              <w:rPr>
                <w:rFonts w:ascii="Arial" w:cs="Arial" w:eastAsia="Arial" w:hAnsi="Arial"/>
                <w:sz w:val="18"/>
                <w:szCs w:val="18"/>
                <w:b w:val="1"/>
                <w:bCs w:val="1"/>
                <w:color w:val="auto"/>
                <w:w w:val="99"/>
              </w:rPr>
              <w:t>American Airlines Group Inc.</w:t>
            </w:r>
          </w:p>
        </w:tc>
        <w:tc>
          <w:tcPr>
            <w:tcW w:w="5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r>
      <w:tr>
        <w:trPr>
          <w:trHeight w:val="216"/>
        </w:trPr>
        <w:tc>
          <w:tcPr>
            <w:tcW w:w="10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5940" w:type="dxa"/>
            <w:vAlign w:val="bottom"/>
            <w:gridSpan w:val="17"/>
          </w:tcPr>
          <w:p>
            <w:pPr>
              <w:jc w:val="center"/>
              <w:ind w:right="3680"/>
              <w:spacing w:after="0"/>
              <w:rPr>
                <w:sz w:val="20"/>
                <w:szCs w:val="20"/>
                <w:color w:val="auto"/>
              </w:rPr>
            </w:pPr>
            <w:r>
              <w:rPr>
                <w:rFonts w:ascii="Arial" w:cs="Arial" w:eastAsia="Arial" w:hAnsi="Arial"/>
                <w:sz w:val="18"/>
                <w:szCs w:val="18"/>
                <w:b w:val="1"/>
                <w:bCs w:val="1"/>
                <w:color w:val="auto"/>
                <w:w w:val="99"/>
              </w:rPr>
              <w:t>American Airlines, Inc.</w:t>
            </w:r>
          </w:p>
        </w:tc>
        <w:tc>
          <w:tcPr>
            <w:tcW w:w="5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r>
      <w:tr>
        <w:trPr>
          <w:trHeight w:val="216"/>
        </w:trPr>
        <w:tc>
          <w:tcPr>
            <w:tcW w:w="10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5940" w:type="dxa"/>
            <w:vAlign w:val="bottom"/>
            <w:gridSpan w:val="17"/>
          </w:tcPr>
          <w:p>
            <w:pPr>
              <w:jc w:val="center"/>
              <w:ind w:right="3680"/>
              <w:spacing w:after="0"/>
              <w:rPr>
                <w:sz w:val="20"/>
                <w:szCs w:val="20"/>
                <w:color w:val="auto"/>
              </w:rPr>
            </w:pPr>
            <w:r>
              <w:rPr>
                <w:rFonts w:ascii="Arial" w:cs="Arial" w:eastAsia="Arial" w:hAnsi="Arial"/>
                <w:sz w:val="18"/>
                <w:szCs w:val="18"/>
                <w:b w:val="1"/>
                <w:bCs w:val="1"/>
                <w:color w:val="auto"/>
              </w:rPr>
              <w:t>Form 10-K</w:t>
            </w:r>
          </w:p>
        </w:tc>
        <w:tc>
          <w:tcPr>
            <w:tcW w:w="5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r>
      <w:tr>
        <w:trPr>
          <w:trHeight w:val="216"/>
        </w:trPr>
        <w:tc>
          <w:tcPr>
            <w:tcW w:w="10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260" w:type="dxa"/>
            <w:vAlign w:val="bottom"/>
            <w:gridSpan w:val="18"/>
          </w:tcPr>
          <w:p>
            <w:pPr>
              <w:jc w:val="center"/>
              <w:ind w:right="3360"/>
              <w:spacing w:after="0"/>
              <w:rPr>
                <w:sz w:val="20"/>
                <w:szCs w:val="20"/>
                <w:color w:val="auto"/>
              </w:rPr>
            </w:pPr>
            <w:r>
              <w:rPr>
                <w:rFonts w:ascii="Arial" w:cs="Arial" w:eastAsia="Arial" w:hAnsi="Arial"/>
                <w:sz w:val="18"/>
                <w:szCs w:val="18"/>
                <w:b w:val="1"/>
                <w:bCs w:val="1"/>
                <w:color w:val="auto"/>
                <w:w w:val="99"/>
              </w:rPr>
              <w:t>Year Ended December 31, 2019</w:t>
            </w:r>
          </w:p>
        </w:tc>
        <w:tc>
          <w:tcPr>
            <w:tcW w:w="5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r>
      <w:tr>
        <w:trPr>
          <w:trHeight w:val="239"/>
        </w:trPr>
        <w:tc>
          <w:tcPr>
            <w:tcW w:w="10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5940" w:type="dxa"/>
            <w:vAlign w:val="bottom"/>
            <w:gridSpan w:val="17"/>
          </w:tcPr>
          <w:p>
            <w:pPr>
              <w:jc w:val="center"/>
              <w:ind w:right="3720"/>
              <w:spacing w:after="0"/>
              <w:rPr>
                <w:sz w:val="20"/>
                <w:szCs w:val="20"/>
                <w:color w:val="auto"/>
              </w:rPr>
            </w:pPr>
            <w:r>
              <w:rPr>
                <w:rFonts w:ascii="Arial" w:cs="Arial" w:eastAsia="Arial" w:hAnsi="Arial"/>
                <w:sz w:val="18"/>
                <w:szCs w:val="18"/>
                <w:b w:val="1"/>
                <w:bCs w:val="1"/>
                <w:color w:val="auto"/>
                <w:w w:val="98"/>
              </w:rPr>
              <w:t>Table of Contents</w:t>
            </w:r>
          </w:p>
        </w:tc>
        <w:tc>
          <w:tcPr>
            <w:tcW w:w="5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 w:type="dxa"/>
            <w:vAlign w:val="bottom"/>
          </w:tcPr>
          <w:p>
            <w:pPr>
              <w:spacing w:after="0"/>
              <w:rPr>
                <w:sz w:val="20"/>
                <w:szCs w:val="20"/>
                <w:color w:val="auto"/>
              </w:rPr>
            </w:pPr>
          </w:p>
        </w:tc>
      </w:tr>
      <w:tr>
        <w:trPr>
          <w:trHeight w:val="345"/>
        </w:trPr>
        <w:tc>
          <w:tcPr>
            <w:tcW w:w="10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900" w:type="dxa"/>
            <w:vAlign w:val="bottom"/>
            <w:tcBorders>
              <w:bottom w:val="single" w:sz="8" w:color="435363"/>
            </w:tcBorders>
            <w:gridSpan w:val="5"/>
          </w:tcPr>
          <w:p>
            <w:pPr>
              <w:ind w:left="280"/>
              <w:spacing w:after="0"/>
              <w:rPr>
                <w:sz w:val="20"/>
                <w:szCs w:val="20"/>
                <w:color w:val="auto"/>
              </w:rPr>
            </w:pPr>
            <w:r>
              <w:rPr>
                <w:rFonts w:ascii="Arial" w:cs="Arial" w:eastAsia="Arial" w:hAnsi="Arial"/>
                <w:sz w:val="14"/>
                <w:szCs w:val="14"/>
                <w:b w:val="1"/>
                <w:bCs w:val="1"/>
                <w:color w:val="auto"/>
              </w:rPr>
              <w:t>Page</w:t>
            </w:r>
          </w:p>
        </w:tc>
      </w:tr>
      <w:tr>
        <w:trPr>
          <w:trHeight w:val="189"/>
        </w:trPr>
        <w:tc>
          <w:tcPr>
            <w:tcW w:w="10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5100" w:type="dxa"/>
            <w:vAlign w:val="bottom"/>
            <w:gridSpan w:val="13"/>
          </w:tcPr>
          <w:p>
            <w:pPr>
              <w:jc w:val="center"/>
              <w:ind w:right="4520"/>
              <w:spacing w:after="0" w:line="189" w:lineRule="exact"/>
              <w:rPr>
                <w:rFonts w:ascii="Arial" w:cs="Arial" w:eastAsia="Arial" w:hAnsi="Arial"/>
                <w:sz w:val="18"/>
                <w:szCs w:val="18"/>
                <w:b w:val="1"/>
                <w:bCs w:val="1"/>
                <w:color w:val="0000EE"/>
                <w:w w:val="98"/>
              </w:rPr>
            </w:pPr>
            <w:hyperlink w:anchor="page5">
              <w:r>
                <w:rPr>
                  <w:rFonts w:ascii="Arial" w:cs="Arial" w:eastAsia="Arial" w:hAnsi="Arial"/>
                  <w:sz w:val="18"/>
                  <w:szCs w:val="18"/>
                  <w:b w:val="1"/>
                  <w:bCs w:val="1"/>
                  <w:color w:val="0000EE"/>
                  <w:w w:val="98"/>
                </w:rPr>
                <w:t>PART I</w:t>
              </w:r>
            </w:hyperlink>
          </w:p>
        </w:tc>
        <w:tc>
          <w:tcPr>
            <w:tcW w:w="5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 w:type="dxa"/>
            <w:vAlign w:val="bottom"/>
          </w:tcPr>
          <w:p>
            <w:pPr>
              <w:spacing w:after="0"/>
              <w:rPr>
                <w:sz w:val="16"/>
                <w:szCs w:val="16"/>
                <w:color w:val="auto"/>
              </w:rPr>
            </w:pPr>
          </w:p>
        </w:tc>
      </w:tr>
      <w:tr>
        <w:trPr>
          <w:trHeight w:val="237"/>
        </w:trPr>
        <w:tc>
          <w:tcPr>
            <w:tcW w:w="1040" w:type="dxa"/>
            <w:vAlign w:val="bottom"/>
          </w:tcPr>
          <w:p>
            <w:pPr>
              <w:spacing w:after="0"/>
              <w:rPr>
                <w:rFonts w:ascii="Arial" w:cs="Arial" w:eastAsia="Arial" w:hAnsi="Arial"/>
                <w:sz w:val="18"/>
                <w:szCs w:val="18"/>
                <w:color w:val="auto"/>
              </w:rPr>
            </w:pPr>
            <w:hyperlink w:anchor="page5">
              <w:r>
                <w:rPr>
                  <w:rFonts w:ascii="Arial" w:cs="Arial" w:eastAsia="Arial" w:hAnsi="Arial"/>
                  <w:sz w:val="18"/>
                  <w:szCs w:val="18"/>
                  <w:color w:val="auto"/>
                </w:rPr>
                <w:t>Item 1.</w:t>
              </w:r>
            </w:hyperlink>
          </w:p>
        </w:tc>
        <w:tc>
          <w:tcPr>
            <w:tcW w:w="4340" w:type="dxa"/>
            <w:vAlign w:val="bottom"/>
            <w:gridSpan w:val="17"/>
          </w:tcPr>
          <w:p>
            <w:pPr>
              <w:spacing w:after="0"/>
              <w:rPr>
                <w:rFonts w:ascii="Arial" w:cs="Arial" w:eastAsia="Arial" w:hAnsi="Arial"/>
                <w:sz w:val="18"/>
                <w:szCs w:val="18"/>
                <w:color w:val="0000EE"/>
              </w:rPr>
            </w:pPr>
            <w:hyperlink w:anchor="page5">
              <w:r>
                <w:rPr>
                  <w:rFonts w:ascii="Arial" w:cs="Arial" w:eastAsia="Arial" w:hAnsi="Arial"/>
                  <w:sz w:val="18"/>
                  <w:szCs w:val="18"/>
                  <w:color w:val="0000EE"/>
                </w:rPr>
                <w:t>Business</w:t>
              </w:r>
            </w:hyperlink>
          </w:p>
        </w:tc>
        <w:tc>
          <w:tcPr>
            <w:tcW w:w="580" w:type="dxa"/>
            <w:vAlign w:val="bottom"/>
            <w:tcBorders>
              <w:top w:val="single" w:sz="8" w:color="0000EE"/>
            </w:tcBorders>
            <w:gridSpan w:val="3"/>
          </w:tcPr>
          <w:p>
            <w:pPr>
              <w:spacing w:after="0"/>
              <w:rPr>
                <w:sz w:val="20"/>
                <w:szCs w:val="20"/>
                <w:color w:val="auto"/>
              </w:rPr>
            </w:pPr>
          </w:p>
        </w:tc>
        <w:tc>
          <w:tcPr>
            <w:tcW w:w="4520" w:type="dxa"/>
            <w:vAlign w:val="bottom"/>
            <w:gridSpan w:val="10"/>
          </w:tcPr>
          <w:p>
            <w:pPr>
              <w:spacing w:after="0"/>
              <w:rPr>
                <w:sz w:val="20"/>
                <w:szCs w:val="20"/>
                <w:color w:val="auto"/>
              </w:rPr>
            </w:pPr>
          </w:p>
        </w:tc>
        <w:tc>
          <w:tcPr>
            <w:tcW w:w="900" w:type="dxa"/>
            <w:vAlign w:val="bottom"/>
            <w:gridSpan w:val="5"/>
          </w:tcPr>
          <w:p>
            <w:pPr>
              <w:jc w:val="right"/>
              <w:ind w:right="20"/>
              <w:spacing w:after="0"/>
              <w:rPr>
                <w:rFonts w:ascii="Arial" w:cs="Arial" w:eastAsia="Arial" w:hAnsi="Arial"/>
                <w:sz w:val="18"/>
                <w:szCs w:val="18"/>
                <w:color w:val="0000EE"/>
              </w:rPr>
            </w:pPr>
            <w:hyperlink w:anchor="page5">
              <w:r>
                <w:rPr>
                  <w:rFonts w:ascii="Arial" w:cs="Arial" w:eastAsia="Arial" w:hAnsi="Arial"/>
                  <w:sz w:val="18"/>
                  <w:szCs w:val="18"/>
                  <w:color w:val="0000EE"/>
                </w:rPr>
                <w:t>5</w:t>
              </w:r>
            </w:hyperlink>
          </w:p>
        </w:tc>
      </w:tr>
      <w:tr>
        <w:trPr>
          <w:trHeight w:val="20"/>
        </w:trPr>
        <w:tc>
          <w:tcPr>
            <w:tcW w:w="1040" w:type="dxa"/>
            <w:vAlign w:val="bottom"/>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600" w:type="dxa"/>
            <w:vAlign w:val="bottom"/>
            <w:shd w:val="clear" w:color="auto" w:fill="0000EE"/>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gridSpan w:val="2"/>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4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37"/>
        </w:trPr>
        <w:tc>
          <w:tcPr>
            <w:tcW w:w="1040" w:type="dxa"/>
            <w:vAlign w:val="bottom"/>
          </w:tcPr>
          <w:p>
            <w:pPr>
              <w:spacing w:after="0"/>
              <w:rPr>
                <w:rFonts w:ascii="Arial" w:cs="Arial" w:eastAsia="Arial" w:hAnsi="Arial"/>
                <w:sz w:val="18"/>
                <w:szCs w:val="18"/>
                <w:color w:val="auto"/>
              </w:rPr>
            </w:pPr>
            <w:hyperlink w:anchor="page16">
              <w:r>
                <w:rPr>
                  <w:rFonts w:ascii="Arial" w:cs="Arial" w:eastAsia="Arial" w:hAnsi="Arial"/>
                  <w:sz w:val="18"/>
                  <w:szCs w:val="18"/>
                  <w:color w:val="auto"/>
                </w:rPr>
                <w:t>Item 1A.</w:t>
              </w:r>
            </w:hyperlink>
          </w:p>
        </w:tc>
        <w:tc>
          <w:tcPr>
            <w:tcW w:w="1000" w:type="dxa"/>
            <w:vAlign w:val="bottom"/>
            <w:gridSpan w:val="4"/>
          </w:tcPr>
          <w:p>
            <w:pPr>
              <w:spacing w:after="0"/>
              <w:rPr>
                <w:rFonts w:ascii="Arial" w:cs="Arial" w:eastAsia="Arial" w:hAnsi="Arial"/>
                <w:sz w:val="18"/>
                <w:szCs w:val="18"/>
                <w:color w:val="0000EE"/>
                <w:w w:val="97"/>
              </w:rPr>
            </w:pPr>
            <w:hyperlink w:anchor="page16">
              <w:r>
                <w:rPr>
                  <w:rFonts w:ascii="Arial" w:cs="Arial" w:eastAsia="Arial" w:hAnsi="Arial"/>
                  <w:sz w:val="18"/>
                  <w:szCs w:val="18"/>
                  <w:color w:val="0000EE"/>
                  <w:w w:val="97"/>
                </w:rPr>
                <w:t>Risk Factors</w:t>
              </w:r>
            </w:hyperlink>
          </w:p>
        </w:tc>
        <w:tc>
          <w:tcPr>
            <w:tcW w:w="8440" w:type="dxa"/>
            <w:vAlign w:val="bottom"/>
            <w:gridSpan w:val="26"/>
          </w:tcPr>
          <w:p>
            <w:pPr>
              <w:spacing w:after="0"/>
              <w:rPr>
                <w:sz w:val="20"/>
                <w:szCs w:val="20"/>
                <w:color w:val="auto"/>
              </w:rPr>
            </w:pPr>
          </w:p>
        </w:tc>
        <w:tc>
          <w:tcPr>
            <w:tcW w:w="900" w:type="dxa"/>
            <w:vAlign w:val="bottom"/>
            <w:gridSpan w:val="5"/>
          </w:tcPr>
          <w:p>
            <w:pPr>
              <w:jc w:val="right"/>
              <w:ind w:right="20"/>
              <w:spacing w:after="0"/>
              <w:rPr>
                <w:rFonts w:ascii="Arial" w:cs="Arial" w:eastAsia="Arial" w:hAnsi="Arial"/>
                <w:sz w:val="18"/>
                <w:szCs w:val="18"/>
                <w:color w:val="0000EE"/>
              </w:rPr>
            </w:pPr>
            <w:hyperlink w:anchor="page16">
              <w:r>
                <w:rPr>
                  <w:rFonts w:ascii="Arial" w:cs="Arial" w:eastAsia="Arial" w:hAnsi="Arial"/>
                  <w:sz w:val="18"/>
                  <w:szCs w:val="18"/>
                  <w:color w:val="0000EE"/>
                </w:rPr>
                <w:t>16</w:t>
              </w:r>
            </w:hyperlink>
          </w:p>
        </w:tc>
      </w:tr>
      <w:tr>
        <w:trPr>
          <w:trHeight w:val="20"/>
        </w:trPr>
        <w:tc>
          <w:tcPr>
            <w:tcW w:w="1040" w:type="dxa"/>
            <w:vAlign w:val="bottom"/>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660" w:type="dxa"/>
            <w:vAlign w:val="bottom"/>
            <w:gridSpan w:val="2"/>
            <w:shd w:val="clear" w:color="auto" w:fill="0000EE"/>
          </w:tcPr>
          <w:p>
            <w:pPr>
              <w:spacing w:after="0" w:line="20" w:lineRule="exact"/>
              <w:rPr>
                <w:sz w:val="1"/>
                <w:szCs w:val="1"/>
                <w:color w:val="auto"/>
              </w:rPr>
            </w:pPr>
          </w:p>
        </w:tc>
        <w:tc>
          <w:tcPr>
            <w:tcW w:w="220" w:type="dxa"/>
            <w:vAlign w:val="bottom"/>
            <w:tcBorders>
              <w:left w:val="single" w:sz="8" w:color="0000EE"/>
            </w:tcBorders>
            <w:shd w:val="clear" w:color="auto" w:fill="0000EE"/>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gridSpan w:val="2"/>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4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gridSpan w:val="2"/>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37"/>
        </w:trPr>
        <w:tc>
          <w:tcPr>
            <w:tcW w:w="1040" w:type="dxa"/>
            <w:vAlign w:val="bottom"/>
          </w:tcPr>
          <w:p>
            <w:pPr>
              <w:spacing w:after="0"/>
              <w:rPr>
                <w:rFonts w:ascii="Arial" w:cs="Arial" w:eastAsia="Arial" w:hAnsi="Arial"/>
                <w:sz w:val="18"/>
                <w:szCs w:val="18"/>
                <w:color w:val="auto"/>
              </w:rPr>
            </w:pPr>
            <w:hyperlink w:anchor="page36">
              <w:r>
                <w:rPr>
                  <w:rFonts w:ascii="Arial" w:cs="Arial" w:eastAsia="Arial" w:hAnsi="Arial"/>
                  <w:sz w:val="18"/>
                  <w:szCs w:val="18"/>
                  <w:color w:val="auto"/>
                </w:rPr>
                <w:t>Item 1B.</w:t>
              </w:r>
            </w:hyperlink>
          </w:p>
        </w:tc>
        <w:tc>
          <w:tcPr>
            <w:tcW w:w="9440" w:type="dxa"/>
            <w:vAlign w:val="bottom"/>
            <w:gridSpan w:val="30"/>
          </w:tcPr>
          <w:p>
            <w:pPr>
              <w:spacing w:after="0"/>
              <w:rPr>
                <w:rFonts w:ascii="Arial" w:cs="Arial" w:eastAsia="Arial" w:hAnsi="Arial"/>
                <w:sz w:val="18"/>
                <w:szCs w:val="18"/>
                <w:color w:val="0000EE"/>
              </w:rPr>
            </w:pPr>
            <w:hyperlink w:anchor="page36">
              <w:r>
                <w:rPr>
                  <w:rFonts w:ascii="Arial" w:cs="Arial" w:eastAsia="Arial" w:hAnsi="Arial"/>
                  <w:sz w:val="18"/>
                  <w:szCs w:val="18"/>
                  <w:color w:val="0000EE"/>
                </w:rPr>
                <w:t>Unresolved Staff Comments</w:t>
              </w:r>
            </w:hyperlink>
          </w:p>
        </w:tc>
        <w:tc>
          <w:tcPr>
            <w:tcW w:w="900" w:type="dxa"/>
            <w:vAlign w:val="bottom"/>
            <w:gridSpan w:val="5"/>
          </w:tcPr>
          <w:p>
            <w:pPr>
              <w:jc w:val="right"/>
              <w:ind w:right="20"/>
              <w:spacing w:after="0"/>
              <w:rPr>
                <w:rFonts w:ascii="Arial" w:cs="Arial" w:eastAsia="Arial" w:hAnsi="Arial"/>
                <w:sz w:val="18"/>
                <w:szCs w:val="18"/>
                <w:color w:val="0000EE"/>
              </w:rPr>
            </w:pPr>
            <w:hyperlink w:anchor="page36">
              <w:r>
                <w:rPr>
                  <w:rFonts w:ascii="Arial" w:cs="Arial" w:eastAsia="Arial" w:hAnsi="Arial"/>
                  <w:sz w:val="18"/>
                  <w:szCs w:val="18"/>
                  <w:color w:val="0000EE"/>
                </w:rPr>
                <w:t>36</w:t>
              </w:r>
            </w:hyperlink>
          </w:p>
        </w:tc>
      </w:tr>
      <w:tr>
        <w:trPr>
          <w:trHeight w:val="20"/>
        </w:trPr>
        <w:tc>
          <w:tcPr>
            <w:tcW w:w="1040" w:type="dxa"/>
            <w:vAlign w:val="bottom"/>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660" w:type="dxa"/>
            <w:vAlign w:val="bottom"/>
            <w:gridSpan w:val="2"/>
            <w:shd w:val="clear" w:color="auto" w:fill="0000EE"/>
          </w:tcPr>
          <w:p>
            <w:pPr>
              <w:spacing w:after="0" w:line="20" w:lineRule="exact"/>
              <w:rPr>
                <w:sz w:val="1"/>
                <w:szCs w:val="1"/>
                <w:color w:val="auto"/>
              </w:rPr>
            </w:pPr>
          </w:p>
        </w:tc>
        <w:tc>
          <w:tcPr>
            <w:tcW w:w="620" w:type="dxa"/>
            <w:vAlign w:val="bottom"/>
            <w:tcBorders>
              <w:left w:val="single" w:sz="8" w:color="0000EE"/>
            </w:tcBorders>
            <w:gridSpan w:val="2"/>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gridSpan w:val="2"/>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4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gridSpan w:val="2"/>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37"/>
        </w:trPr>
        <w:tc>
          <w:tcPr>
            <w:tcW w:w="1040" w:type="dxa"/>
            <w:vAlign w:val="bottom"/>
          </w:tcPr>
          <w:p>
            <w:pPr>
              <w:spacing w:after="0"/>
              <w:rPr>
                <w:rFonts w:ascii="Arial" w:cs="Arial" w:eastAsia="Arial" w:hAnsi="Arial"/>
                <w:sz w:val="18"/>
                <w:szCs w:val="18"/>
                <w:color w:val="auto"/>
              </w:rPr>
            </w:pPr>
            <w:hyperlink w:anchor="page37">
              <w:r>
                <w:rPr>
                  <w:rFonts w:ascii="Arial" w:cs="Arial" w:eastAsia="Arial" w:hAnsi="Arial"/>
                  <w:sz w:val="18"/>
                  <w:szCs w:val="18"/>
                  <w:color w:val="auto"/>
                </w:rPr>
                <w:t>Item 2.</w:t>
              </w:r>
            </w:hyperlink>
          </w:p>
        </w:tc>
        <w:tc>
          <w:tcPr>
            <w:tcW w:w="780" w:type="dxa"/>
            <w:vAlign w:val="bottom"/>
            <w:gridSpan w:val="3"/>
          </w:tcPr>
          <w:p>
            <w:pPr>
              <w:spacing w:after="0"/>
              <w:rPr>
                <w:rFonts w:ascii="Arial" w:cs="Arial" w:eastAsia="Arial" w:hAnsi="Arial"/>
                <w:sz w:val="18"/>
                <w:szCs w:val="18"/>
                <w:color w:val="0000EE"/>
                <w:w w:val="90"/>
              </w:rPr>
            </w:pPr>
            <w:hyperlink w:anchor="page37">
              <w:r>
                <w:rPr>
                  <w:rFonts w:ascii="Arial" w:cs="Arial" w:eastAsia="Arial" w:hAnsi="Arial"/>
                  <w:sz w:val="18"/>
                  <w:szCs w:val="18"/>
                  <w:color w:val="0000EE"/>
                  <w:w w:val="90"/>
                </w:rPr>
                <w:t>Properties</w:t>
              </w:r>
            </w:hyperlink>
          </w:p>
        </w:tc>
        <w:tc>
          <w:tcPr>
            <w:tcW w:w="1460" w:type="dxa"/>
            <w:vAlign w:val="bottom"/>
            <w:gridSpan w:val="7"/>
          </w:tcPr>
          <w:p>
            <w:pPr>
              <w:spacing w:after="0"/>
              <w:rPr>
                <w:sz w:val="20"/>
                <w:szCs w:val="20"/>
                <w:color w:val="auto"/>
              </w:rPr>
            </w:pPr>
          </w:p>
        </w:tc>
        <w:tc>
          <w:tcPr>
            <w:tcW w:w="7200" w:type="dxa"/>
            <w:vAlign w:val="bottom"/>
            <w:gridSpan w:val="20"/>
          </w:tcPr>
          <w:p>
            <w:pPr>
              <w:spacing w:after="0"/>
              <w:rPr>
                <w:sz w:val="20"/>
                <w:szCs w:val="20"/>
                <w:color w:val="auto"/>
              </w:rPr>
            </w:pPr>
          </w:p>
        </w:tc>
        <w:tc>
          <w:tcPr>
            <w:tcW w:w="900" w:type="dxa"/>
            <w:vAlign w:val="bottom"/>
            <w:gridSpan w:val="5"/>
          </w:tcPr>
          <w:p>
            <w:pPr>
              <w:jc w:val="right"/>
              <w:ind w:right="20"/>
              <w:spacing w:after="0"/>
              <w:rPr>
                <w:rFonts w:ascii="Arial" w:cs="Arial" w:eastAsia="Arial" w:hAnsi="Arial"/>
                <w:sz w:val="18"/>
                <w:szCs w:val="18"/>
                <w:color w:val="0000EE"/>
              </w:rPr>
            </w:pPr>
            <w:hyperlink w:anchor="page37">
              <w:r>
                <w:rPr>
                  <w:rFonts w:ascii="Arial" w:cs="Arial" w:eastAsia="Arial" w:hAnsi="Arial"/>
                  <w:sz w:val="18"/>
                  <w:szCs w:val="18"/>
                  <w:color w:val="0000EE"/>
                </w:rPr>
                <w:t>37</w:t>
              </w:r>
            </w:hyperlink>
          </w:p>
        </w:tc>
      </w:tr>
      <w:tr>
        <w:trPr>
          <w:trHeight w:val="20"/>
        </w:trPr>
        <w:tc>
          <w:tcPr>
            <w:tcW w:w="1040" w:type="dxa"/>
            <w:vAlign w:val="bottom"/>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660" w:type="dxa"/>
            <w:vAlign w:val="bottom"/>
            <w:gridSpan w:val="2"/>
            <w:shd w:val="clear" w:color="auto" w:fill="0000EE"/>
          </w:tcPr>
          <w:p>
            <w:pPr>
              <w:spacing w:after="0" w:line="20" w:lineRule="exact"/>
              <w:rPr>
                <w:sz w:val="1"/>
                <w:szCs w:val="1"/>
                <w:color w:val="auto"/>
              </w:rPr>
            </w:pPr>
          </w:p>
        </w:tc>
        <w:tc>
          <w:tcPr>
            <w:tcW w:w="620" w:type="dxa"/>
            <w:vAlign w:val="bottom"/>
            <w:tcBorders>
              <w:left w:val="single" w:sz="8" w:color="0000EE"/>
            </w:tcBorders>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20" w:type="dxa"/>
            <w:vAlign w:val="bottom"/>
            <w:gridSpan w:val="2"/>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gridSpan w:val="2"/>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4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gridSpan w:val="2"/>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37"/>
        </w:trPr>
        <w:tc>
          <w:tcPr>
            <w:tcW w:w="1040" w:type="dxa"/>
            <w:vAlign w:val="bottom"/>
          </w:tcPr>
          <w:p>
            <w:pPr>
              <w:spacing w:after="0"/>
              <w:rPr>
                <w:rFonts w:ascii="Arial" w:cs="Arial" w:eastAsia="Arial" w:hAnsi="Arial"/>
                <w:sz w:val="18"/>
                <w:szCs w:val="18"/>
                <w:color w:val="auto"/>
              </w:rPr>
            </w:pPr>
            <w:hyperlink w:anchor="page40">
              <w:r>
                <w:rPr>
                  <w:rFonts w:ascii="Arial" w:cs="Arial" w:eastAsia="Arial" w:hAnsi="Arial"/>
                  <w:sz w:val="18"/>
                  <w:szCs w:val="18"/>
                  <w:color w:val="auto"/>
                </w:rPr>
                <w:t>Item 3.</w:t>
              </w:r>
            </w:hyperlink>
          </w:p>
        </w:tc>
        <w:tc>
          <w:tcPr>
            <w:tcW w:w="9440" w:type="dxa"/>
            <w:vAlign w:val="bottom"/>
            <w:gridSpan w:val="30"/>
          </w:tcPr>
          <w:p>
            <w:pPr>
              <w:spacing w:after="0"/>
              <w:rPr>
                <w:rFonts w:ascii="Arial" w:cs="Arial" w:eastAsia="Arial" w:hAnsi="Arial"/>
                <w:sz w:val="18"/>
                <w:szCs w:val="18"/>
                <w:color w:val="0000EE"/>
              </w:rPr>
            </w:pPr>
            <w:hyperlink w:anchor="page40">
              <w:r>
                <w:rPr>
                  <w:rFonts w:ascii="Arial" w:cs="Arial" w:eastAsia="Arial" w:hAnsi="Arial"/>
                  <w:sz w:val="18"/>
                  <w:szCs w:val="18"/>
                  <w:color w:val="0000EE"/>
                </w:rPr>
                <w:t>Legal Proceedings</w:t>
              </w:r>
            </w:hyperlink>
          </w:p>
        </w:tc>
        <w:tc>
          <w:tcPr>
            <w:tcW w:w="900" w:type="dxa"/>
            <w:vAlign w:val="bottom"/>
            <w:gridSpan w:val="5"/>
          </w:tcPr>
          <w:p>
            <w:pPr>
              <w:jc w:val="right"/>
              <w:ind w:right="20"/>
              <w:spacing w:after="0"/>
              <w:rPr>
                <w:rFonts w:ascii="Arial" w:cs="Arial" w:eastAsia="Arial" w:hAnsi="Arial"/>
                <w:sz w:val="18"/>
                <w:szCs w:val="18"/>
                <w:color w:val="0000EE"/>
              </w:rPr>
            </w:pPr>
            <w:hyperlink w:anchor="page40">
              <w:r>
                <w:rPr>
                  <w:rFonts w:ascii="Arial" w:cs="Arial" w:eastAsia="Arial" w:hAnsi="Arial"/>
                  <w:sz w:val="18"/>
                  <w:szCs w:val="18"/>
                  <w:color w:val="0000EE"/>
                </w:rPr>
                <w:t>40</w:t>
              </w:r>
            </w:hyperlink>
          </w:p>
        </w:tc>
      </w:tr>
      <w:tr>
        <w:trPr>
          <w:trHeight w:val="20"/>
        </w:trPr>
        <w:tc>
          <w:tcPr>
            <w:tcW w:w="1040" w:type="dxa"/>
            <w:vAlign w:val="bottom"/>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660" w:type="dxa"/>
            <w:vAlign w:val="bottom"/>
            <w:gridSpan w:val="2"/>
            <w:shd w:val="clear" w:color="auto" w:fill="0000EE"/>
          </w:tcPr>
          <w:p>
            <w:pPr>
              <w:spacing w:after="0" w:line="20" w:lineRule="exact"/>
              <w:rPr>
                <w:sz w:val="1"/>
                <w:szCs w:val="1"/>
                <w:color w:val="auto"/>
              </w:rPr>
            </w:pPr>
          </w:p>
        </w:tc>
        <w:tc>
          <w:tcPr>
            <w:tcW w:w="620" w:type="dxa"/>
            <w:vAlign w:val="bottom"/>
            <w:tcBorders>
              <w:left w:val="single" w:sz="8" w:color="0000EE"/>
            </w:tcBorders>
            <w:gridSpan w:val="2"/>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20" w:type="dxa"/>
            <w:vAlign w:val="bottom"/>
            <w:gridSpan w:val="2"/>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gridSpan w:val="2"/>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4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gridSpan w:val="2"/>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37"/>
        </w:trPr>
        <w:tc>
          <w:tcPr>
            <w:tcW w:w="1040" w:type="dxa"/>
            <w:vAlign w:val="bottom"/>
          </w:tcPr>
          <w:p>
            <w:pPr>
              <w:spacing w:after="0"/>
              <w:rPr>
                <w:rFonts w:ascii="Arial" w:cs="Arial" w:eastAsia="Arial" w:hAnsi="Arial"/>
                <w:sz w:val="18"/>
                <w:szCs w:val="18"/>
                <w:color w:val="auto"/>
              </w:rPr>
            </w:pPr>
            <w:hyperlink w:anchor="page41">
              <w:r>
                <w:rPr>
                  <w:rFonts w:ascii="Arial" w:cs="Arial" w:eastAsia="Arial" w:hAnsi="Arial"/>
                  <w:sz w:val="18"/>
                  <w:szCs w:val="18"/>
                  <w:color w:val="auto"/>
                </w:rPr>
                <w:t>Item 4.</w:t>
              </w:r>
            </w:hyperlink>
          </w:p>
        </w:tc>
        <w:tc>
          <w:tcPr>
            <w:tcW w:w="9440" w:type="dxa"/>
            <w:vAlign w:val="bottom"/>
            <w:gridSpan w:val="30"/>
          </w:tcPr>
          <w:p>
            <w:pPr>
              <w:spacing w:after="0"/>
              <w:rPr>
                <w:rFonts w:ascii="Arial" w:cs="Arial" w:eastAsia="Arial" w:hAnsi="Arial"/>
                <w:sz w:val="18"/>
                <w:szCs w:val="18"/>
                <w:color w:val="0000EE"/>
              </w:rPr>
            </w:pPr>
            <w:hyperlink w:anchor="page41">
              <w:r>
                <w:rPr>
                  <w:rFonts w:ascii="Arial" w:cs="Arial" w:eastAsia="Arial" w:hAnsi="Arial"/>
                  <w:sz w:val="18"/>
                  <w:szCs w:val="18"/>
                  <w:color w:val="0000EE"/>
                </w:rPr>
                <w:t>Mine Safety Disclosures</w:t>
              </w:r>
            </w:hyperlink>
          </w:p>
        </w:tc>
        <w:tc>
          <w:tcPr>
            <w:tcW w:w="900" w:type="dxa"/>
            <w:vAlign w:val="bottom"/>
            <w:gridSpan w:val="5"/>
          </w:tcPr>
          <w:p>
            <w:pPr>
              <w:jc w:val="right"/>
              <w:ind w:right="20"/>
              <w:spacing w:after="0"/>
              <w:rPr>
                <w:rFonts w:ascii="Arial" w:cs="Arial" w:eastAsia="Arial" w:hAnsi="Arial"/>
                <w:sz w:val="18"/>
                <w:szCs w:val="18"/>
                <w:color w:val="0000EE"/>
              </w:rPr>
            </w:pPr>
            <w:hyperlink w:anchor="page41">
              <w:r>
                <w:rPr>
                  <w:rFonts w:ascii="Arial" w:cs="Arial" w:eastAsia="Arial" w:hAnsi="Arial"/>
                  <w:sz w:val="18"/>
                  <w:szCs w:val="18"/>
                  <w:color w:val="0000EE"/>
                </w:rPr>
                <w:t>41</w:t>
              </w:r>
            </w:hyperlink>
          </w:p>
        </w:tc>
      </w:tr>
      <w:tr>
        <w:trPr>
          <w:trHeight w:val="561"/>
        </w:trPr>
        <w:tc>
          <w:tcPr>
            <w:tcW w:w="1040" w:type="dxa"/>
            <w:vAlign w:val="bottom"/>
          </w:tcPr>
          <w:p>
            <w:pPr>
              <w:spacing w:after="0"/>
              <w:rPr>
                <w:sz w:val="24"/>
                <w:szCs w:val="24"/>
                <w:color w:val="auto"/>
              </w:rPr>
            </w:pPr>
          </w:p>
        </w:tc>
        <w:tc>
          <w:tcPr>
            <w:tcW w:w="120" w:type="dxa"/>
            <w:vAlign w:val="bottom"/>
            <w:tcBorders>
              <w:top w:val="single" w:sz="8" w:color="0000EE"/>
            </w:tcBorders>
          </w:tcPr>
          <w:p>
            <w:pPr>
              <w:spacing w:after="0"/>
              <w:rPr>
                <w:sz w:val="24"/>
                <w:szCs w:val="24"/>
                <w:color w:val="auto"/>
              </w:rPr>
            </w:pPr>
          </w:p>
        </w:tc>
        <w:tc>
          <w:tcPr>
            <w:tcW w:w="600" w:type="dxa"/>
            <w:vAlign w:val="bottom"/>
            <w:tcBorders>
              <w:top w:val="single" w:sz="8" w:color="0000EE"/>
            </w:tcBorders>
          </w:tcPr>
          <w:p>
            <w:pPr>
              <w:spacing w:after="0"/>
              <w:rPr>
                <w:sz w:val="24"/>
                <w:szCs w:val="24"/>
                <w:color w:val="auto"/>
              </w:rPr>
            </w:pPr>
          </w:p>
        </w:tc>
        <w:tc>
          <w:tcPr>
            <w:tcW w:w="60" w:type="dxa"/>
            <w:vAlign w:val="bottom"/>
            <w:tcBorders>
              <w:top w:val="single" w:sz="8" w:color="0000EE"/>
            </w:tcBorders>
          </w:tcPr>
          <w:p>
            <w:pPr>
              <w:spacing w:after="0"/>
              <w:rPr>
                <w:sz w:val="24"/>
                <w:szCs w:val="24"/>
                <w:color w:val="auto"/>
              </w:rPr>
            </w:pPr>
          </w:p>
        </w:tc>
        <w:tc>
          <w:tcPr>
            <w:tcW w:w="220" w:type="dxa"/>
            <w:vAlign w:val="bottom"/>
            <w:tcBorders>
              <w:top w:val="single" w:sz="8" w:color="0000EE"/>
            </w:tcBorders>
          </w:tcPr>
          <w:p>
            <w:pPr>
              <w:spacing w:after="0"/>
              <w:rPr>
                <w:sz w:val="24"/>
                <w:szCs w:val="24"/>
                <w:color w:val="auto"/>
              </w:rPr>
            </w:pPr>
          </w:p>
        </w:tc>
        <w:tc>
          <w:tcPr>
            <w:tcW w:w="400" w:type="dxa"/>
            <w:vAlign w:val="bottom"/>
            <w:tcBorders>
              <w:top w:val="single" w:sz="8" w:color="0000EE"/>
            </w:tcBorders>
          </w:tcPr>
          <w:p>
            <w:pPr>
              <w:spacing w:after="0"/>
              <w:rPr>
                <w:sz w:val="24"/>
                <w:szCs w:val="24"/>
                <w:color w:val="auto"/>
              </w:rPr>
            </w:pPr>
          </w:p>
        </w:tc>
        <w:tc>
          <w:tcPr>
            <w:tcW w:w="80" w:type="dxa"/>
            <w:vAlign w:val="bottom"/>
            <w:tcBorders>
              <w:top w:val="single" w:sz="8" w:color="0000EE"/>
            </w:tcBorders>
          </w:tcPr>
          <w:p>
            <w:pPr>
              <w:spacing w:after="0"/>
              <w:rPr>
                <w:sz w:val="24"/>
                <w:szCs w:val="24"/>
                <w:color w:val="auto"/>
              </w:rPr>
            </w:pPr>
          </w:p>
        </w:tc>
        <w:tc>
          <w:tcPr>
            <w:tcW w:w="180" w:type="dxa"/>
            <w:vAlign w:val="bottom"/>
            <w:tcBorders>
              <w:top w:val="single" w:sz="8" w:color="0000EE"/>
            </w:tcBorders>
          </w:tcPr>
          <w:p>
            <w:pPr>
              <w:spacing w:after="0"/>
              <w:rPr>
                <w:sz w:val="24"/>
                <w:szCs w:val="24"/>
                <w:color w:val="auto"/>
              </w:rPr>
            </w:pPr>
          </w:p>
        </w:tc>
        <w:tc>
          <w:tcPr>
            <w:tcW w:w="260" w:type="dxa"/>
            <w:vAlign w:val="bottom"/>
            <w:tcBorders>
              <w:top w:val="single" w:sz="8" w:color="0000EE"/>
            </w:tcBorders>
          </w:tcPr>
          <w:p>
            <w:pPr>
              <w:spacing w:after="0"/>
              <w:rPr>
                <w:sz w:val="24"/>
                <w:szCs w:val="24"/>
                <w:color w:val="auto"/>
              </w:rPr>
            </w:pPr>
          </w:p>
        </w:tc>
        <w:tc>
          <w:tcPr>
            <w:tcW w:w="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5120" w:type="dxa"/>
            <w:vAlign w:val="bottom"/>
            <w:gridSpan w:val="14"/>
          </w:tcPr>
          <w:p>
            <w:pPr>
              <w:jc w:val="center"/>
              <w:ind w:right="4500"/>
              <w:spacing w:after="0"/>
              <w:rPr>
                <w:rFonts w:ascii="Arial" w:cs="Arial" w:eastAsia="Arial" w:hAnsi="Arial"/>
                <w:sz w:val="18"/>
                <w:szCs w:val="18"/>
                <w:b w:val="1"/>
                <w:bCs w:val="1"/>
                <w:color w:val="0000EE"/>
                <w:w w:val="96"/>
              </w:rPr>
            </w:pPr>
            <w:hyperlink w:anchor="page42">
              <w:r>
                <w:rPr>
                  <w:rFonts w:ascii="Arial" w:cs="Arial" w:eastAsia="Arial" w:hAnsi="Arial"/>
                  <w:sz w:val="18"/>
                  <w:szCs w:val="18"/>
                  <w:b w:val="1"/>
                  <w:bCs w:val="1"/>
                  <w:color w:val="0000EE"/>
                  <w:w w:val="96"/>
                </w:rPr>
                <w:t>PART II</w:t>
              </w:r>
            </w:hyperlink>
          </w:p>
        </w:tc>
        <w:tc>
          <w:tcPr>
            <w:tcW w:w="5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Borders>
              <w:top w:val="single" w:sz="8" w:color="0000EE"/>
            </w:tcBorders>
          </w:tcPr>
          <w:p>
            <w:pPr>
              <w:spacing w:after="0"/>
              <w:rPr>
                <w:sz w:val="24"/>
                <w:szCs w:val="24"/>
                <w:color w:val="auto"/>
              </w:rPr>
            </w:pPr>
          </w:p>
        </w:tc>
        <w:tc>
          <w:tcPr>
            <w:tcW w:w="100" w:type="dxa"/>
            <w:vAlign w:val="bottom"/>
            <w:tcBorders>
              <w:top w:val="single" w:sz="8" w:color="0000EE"/>
            </w:tcBorders>
          </w:tcPr>
          <w:p>
            <w:pPr>
              <w:spacing w:after="0"/>
              <w:rPr>
                <w:sz w:val="24"/>
                <w:szCs w:val="24"/>
                <w:color w:val="auto"/>
              </w:rPr>
            </w:pPr>
          </w:p>
        </w:tc>
        <w:tc>
          <w:tcPr>
            <w:tcW w:w="20" w:type="dxa"/>
            <w:vAlign w:val="bottom"/>
          </w:tcPr>
          <w:p>
            <w:pPr>
              <w:spacing w:after="0"/>
              <w:rPr>
                <w:sz w:val="24"/>
                <w:szCs w:val="24"/>
                <w:color w:val="auto"/>
              </w:rPr>
            </w:pPr>
          </w:p>
        </w:tc>
      </w:tr>
      <w:tr>
        <w:trPr>
          <w:trHeight w:val="20"/>
        </w:trPr>
        <w:tc>
          <w:tcPr>
            <w:tcW w:w="10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60" w:type="dxa"/>
            <w:vAlign w:val="bottom"/>
            <w:gridSpan w:val="2"/>
          </w:tcPr>
          <w:p>
            <w:pPr>
              <w:spacing w:after="0" w:line="20" w:lineRule="exact"/>
              <w:rPr>
                <w:sz w:val="1"/>
                <w:szCs w:val="1"/>
                <w:color w:val="auto"/>
              </w:rPr>
            </w:pPr>
          </w:p>
        </w:tc>
        <w:tc>
          <w:tcPr>
            <w:tcW w:w="620" w:type="dxa"/>
            <w:vAlign w:val="bottom"/>
            <w:gridSpan w:val="2"/>
          </w:tcPr>
          <w:p>
            <w:pPr>
              <w:spacing w:after="0" w:line="20" w:lineRule="exact"/>
              <w:rPr>
                <w:sz w:val="1"/>
                <w:szCs w:val="1"/>
                <w:color w:val="auto"/>
              </w:rPr>
            </w:pPr>
          </w:p>
        </w:tc>
        <w:tc>
          <w:tcPr>
            <w:tcW w:w="260" w:type="dxa"/>
            <w:vAlign w:val="bottom"/>
            <w:gridSpan w:val="2"/>
          </w:tcPr>
          <w:p>
            <w:pPr>
              <w:spacing w:after="0" w:line="20" w:lineRule="exact"/>
              <w:rPr>
                <w:sz w:val="1"/>
                <w:szCs w:val="1"/>
                <w:color w:val="auto"/>
              </w:rPr>
            </w:pPr>
          </w:p>
        </w:tc>
        <w:tc>
          <w:tcPr>
            <w:tcW w:w="320" w:type="dxa"/>
            <w:vAlign w:val="bottom"/>
            <w:gridSpan w:val="2"/>
          </w:tcPr>
          <w:p>
            <w:pPr>
              <w:spacing w:after="0" w:line="20" w:lineRule="exact"/>
              <w:rPr>
                <w:sz w:val="1"/>
                <w:szCs w:val="1"/>
                <w:color w:val="auto"/>
              </w:rPr>
            </w:pPr>
          </w:p>
        </w:tc>
        <w:tc>
          <w:tcPr>
            <w:tcW w:w="1020" w:type="dxa"/>
            <w:vAlign w:val="bottom"/>
            <w:gridSpan w:val="2"/>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gridSpan w:val="2"/>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240" w:type="dxa"/>
            <w:vAlign w:val="bottom"/>
            <w:gridSpan w:val="2"/>
            <w:shd w:val="clear" w:color="auto" w:fill="0000EE"/>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37"/>
        </w:trPr>
        <w:tc>
          <w:tcPr>
            <w:tcW w:w="1040" w:type="dxa"/>
            <w:vAlign w:val="bottom"/>
          </w:tcPr>
          <w:p>
            <w:pPr>
              <w:spacing w:after="0"/>
              <w:rPr>
                <w:rFonts w:ascii="Arial" w:cs="Arial" w:eastAsia="Arial" w:hAnsi="Arial"/>
                <w:sz w:val="18"/>
                <w:szCs w:val="18"/>
                <w:color w:val="auto"/>
              </w:rPr>
            </w:pPr>
            <w:hyperlink w:anchor="page42">
              <w:r>
                <w:rPr>
                  <w:rFonts w:ascii="Arial" w:cs="Arial" w:eastAsia="Arial" w:hAnsi="Arial"/>
                  <w:sz w:val="18"/>
                  <w:szCs w:val="18"/>
                  <w:color w:val="auto"/>
                </w:rPr>
                <w:t>Item 5.</w:t>
              </w:r>
            </w:hyperlink>
          </w:p>
        </w:tc>
        <w:tc>
          <w:tcPr>
            <w:tcW w:w="9440" w:type="dxa"/>
            <w:vAlign w:val="bottom"/>
            <w:gridSpan w:val="30"/>
          </w:tcPr>
          <w:p>
            <w:pPr>
              <w:spacing w:after="0"/>
              <w:rPr>
                <w:rFonts w:ascii="Arial" w:cs="Arial" w:eastAsia="Arial" w:hAnsi="Arial"/>
                <w:sz w:val="18"/>
                <w:szCs w:val="18"/>
                <w:color w:val="0000EE"/>
              </w:rPr>
            </w:pPr>
            <w:hyperlink w:anchor="page42">
              <w:r>
                <w:rPr>
                  <w:rFonts w:ascii="Arial" w:cs="Arial" w:eastAsia="Arial" w:hAnsi="Arial"/>
                  <w:sz w:val="18"/>
                  <w:szCs w:val="18"/>
                  <w:color w:val="0000EE"/>
                </w:rPr>
                <w:t>Market for American Airlines Group’s Common Stock, Related Stockholder Matters and Issuer Purchases of Equity</w:t>
              </w:r>
            </w:hyperlink>
          </w:p>
        </w:tc>
        <w:tc>
          <w:tcPr>
            <w:tcW w:w="5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 w:type="dxa"/>
            <w:vAlign w:val="bottom"/>
          </w:tcPr>
          <w:p>
            <w:pPr>
              <w:spacing w:after="0"/>
              <w:rPr>
                <w:sz w:val="20"/>
                <w:szCs w:val="20"/>
                <w:color w:val="auto"/>
              </w:rPr>
            </w:pPr>
          </w:p>
        </w:tc>
      </w:tr>
      <w:tr>
        <w:trPr>
          <w:trHeight w:val="183"/>
        </w:trPr>
        <w:tc>
          <w:tcPr>
            <w:tcW w:w="1040" w:type="dxa"/>
            <w:vAlign w:val="bottom"/>
          </w:tcPr>
          <w:p>
            <w:pPr>
              <w:spacing w:after="0"/>
              <w:rPr>
                <w:sz w:val="15"/>
                <w:szCs w:val="15"/>
                <w:color w:val="auto"/>
              </w:rPr>
            </w:pPr>
          </w:p>
        </w:tc>
        <w:tc>
          <w:tcPr>
            <w:tcW w:w="9120" w:type="dxa"/>
            <w:vAlign w:val="bottom"/>
            <w:tcBorders>
              <w:top w:val="single" w:sz="8" w:color="0000EE"/>
            </w:tcBorders>
            <w:gridSpan w:val="29"/>
          </w:tcPr>
          <w:p>
            <w:pPr>
              <w:spacing w:after="0" w:line="182" w:lineRule="exact"/>
              <w:rPr>
                <w:rFonts w:ascii="Arial" w:cs="Arial" w:eastAsia="Arial" w:hAnsi="Arial"/>
                <w:sz w:val="18"/>
                <w:szCs w:val="18"/>
                <w:color w:val="0000EE"/>
              </w:rPr>
            </w:pPr>
            <w:hyperlink w:anchor="page42">
              <w:r>
                <w:rPr>
                  <w:rFonts w:ascii="Arial" w:cs="Arial" w:eastAsia="Arial" w:hAnsi="Arial"/>
                  <w:sz w:val="18"/>
                  <w:szCs w:val="18"/>
                  <w:color w:val="0000EE"/>
                </w:rPr>
                <w:t>Securities</w:t>
              </w:r>
            </w:hyperlink>
          </w:p>
        </w:tc>
        <w:tc>
          <w:tcPr>
            <w:tcW w:w="320" w:type="dxa"/>
            <w:vAlign w:val="bottom"/>
          </w:tcPr>
          <w:p>
            <w:pPr>
              <w:spacing w:after="0"/>
              <w:rPr>
                <w:sz w:val="15"/>
                <w:szCs w:val="15"/>
                <w:color w:val="auto"/>
              </w:rPr>
            </w:pPr>
          </w:p>
        </w:tc>
        <w:tc>
          <w:tcPr>
            <w:tcW w:w="900" w:type="dxa"/>
            <w:vAlign w:val="bottom"/>
            <w:gridSpan w:val="5"/>
          </w:tcPr>
          <w:p>
            <w:pPr>
              <w:jc w:val="right"/>
              <w:ind w:right="20"/>
              <w:spacing w:after="0" w:line="182" w:lineRule="exact"/>
              <w:rPr>
                <w:rFonts w:ascii="Arial" w:cs="Arial" w:eastAsia="Arial" w:hAnsi="Arial"/>
                <w:sz w:val="18"/>
                <w:szCs w:val="18"/>
                <w:color w:val="0000EE"/>
              </w:rPr>
            </w:pPr>
            <w:hyperlink w:anchor="page42">
              <w:r>
                <w:rPr>
                  <w:rFonts w:ascii="Arial" w:cs="Arial" w:eastAsia="Arial" w:hAnsi="Arial"/>
                  <w:sz w:val="18"/>
                  <w:szCs w:val="18"/>
                  <w:color w:val="0000EE"/>
                </w:rPr>
                <w:t>42</w:t>
              </w:r>
            </w:hyperlink>
          </w:p>
        </w:tc>
      </w:tr>
      <w:tr>
        <w:trPr>
          <w:trHeight w:val="20"/>
        </w:trPr>
        <w:tc>
          <w:tcPr>
            <w:tcW w:w="1040" w:type="dxa"/>
            <w:vAlign w:val="bottom"/>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660" w:type="dxa"/>
            <w:vAlign w:val="bottom"/>
            <w:gridSpan w:val="2"/>
            <w:shd w:val="clear" w:color="auto" w:fill="0000EE"/>
          </w:tcPr>
          <w:p>
            <w:pPr>
              <w:spacing w:after="0" w:line="20" w:lineRule="exact"/>
              <w:rPr>
                <w:sz w:val="1"/>
                <w:szCs w:val="1"/>
                <w:color w:val="auto"/>
              </w:rPr>
            </w:pPr>
          </w:p>
        </w:tc>
        <w:tc>
          <w:tcPr>
            <w:tcW w:w="620" w:type="dxa"/>
            <w:vAlign w:val="bottom"/>
            <w:gridSpan w:val="2"/>
          </w:tcPr>
          <w:p>
            <w:pPr>
              <w:spacing w:after="0" w:line="20" w:lineRule="exact"/>
              <w:rPr>
                <w:sz w:val="1"/>
                <w:szCs w:val="1"/>
                <w:color w:val="auto"/>
              </w:rPr>
            </w:pPr>
          </w:p>
        </w:tc>
        <w:tc>
          <w:tcPr>
            <w:tcW w:w="260" w:type="dxa"/>
            <w:vAlign w:val="bottom"/>
            <w:gridSpan w:val="2"/>
          </w:tcPr>
          <w:p>
            <w:pPr>
              <w:spacing w:after="0" w:line="20" w:lineRule="exact"/>
              <w:rPr>
                <w:sz w:val="1"/>
                <w:szCs w:val="1"/>
                <w:color w:val="auto"/>
              </w:rPr>
            </w:pPr>
          </w:p>
        </w:tc>
        <w:tc>
          <w:tcPr>
            <w:tcW w:w="320" w:type="dxa"/>
            <w:vAlign w:val="bottom"/>
            <w:gridSpan w:val="2"/>
          </w:tcPr>
          <w:p>
            <w:pPr>
              <w:spacing w:after="0" w:line="20" w:lineRule="exact"/>
              <w:rPr>
                <w:sz w:val="1"/>
                <w:szCs w:val="1"/>
                <w:color w:val="auto"/>
              </w:rPr>
            </w:pPr>
          </w:p>
        </w:tc>
        <w:tc>
          <w:tcPr>
            <w:tcW w:w="1020" w:type="dxa"/>
            <w:vAlign w:val="bottom"/>
            <w:gridSpan w:val="2"/>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gridSpan w:val="3"/>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80" w:type="dxa"/>
            <w:vAlign w:val="bottom"/>
            <w:gridSpan w:val="3"/>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440" w:type="dxa"/>
            <w:vAlign w:val="bottom"/>
            <w:gridSpan w:val="2"/>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gridSpan w:val="2"/>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37"/>
        </w:trPr>
        <w:tc>
          <w:tcPr>
            <w:tcW w:w="1040" w:type="dxa"/>
            <w:vAlign w:val="bottom"/>
          </w:tcPr>
          <w:p>
            <w:pPr>
              <w:spacing w:after="0"/>
              <w:rPr>
                <w:rFonts w:ascii="Arial" w:cs="Arial" w:eastAsia="Arial" w:hAnsi="Arial"/>
                <w:sz w:val="18"/>
                <w:szCs w:val="18"/>
                <w:color w:val="auto"/>
              </w:rPr>
            </w:pPr>
            <w:hyperlink w:anchor="page45">
              <w:r>
                <w:rPr>
                  <w:rFonts w:ascii="Arial" w:cs="Arial" w:eastAsia="Arial" w:hAnsi="Arial"/>
                  <w:sz w:val="18"/>
                  <w:szCs w:val="18"/>
                  <w:color w:val="auto"/>
                </w:rPr>
                <w:t>Item 6.</w:t>
              </w:r>
            </w:hyperlink>
          </w:p>
        </w:tc>
        <w:tc>
          <w:tcPr>
            <w:tcW w:w="3000" w:type="dxa"/>
            <w:vAlign w:val="bottom"/>
            <w:gridSpan w:val="11"/>
          </w:tcPr>
          <w:p>
            <w:pPr>
              <w:spacing w:after="0"/>
              <w:rPr>
                <w:rFonts w:ascii="Arial" w:cs="Arial" w:eastAsia="Arial" w:hAnsi="Arial"/>
                <w:sz w:val="18"/>
                <w:szCs w:val="18"/>
                <w:color w:val="0000EE"/>
                <w:w w:val="99"/>
              </w:rPr>
            </w:pPr>
            <w:hyperlink w:anchor="page45">
              <w:r>
                <w:rPr>
                  <w:rFonts w:ascii="Arial" w:cs="Arial" w:eastAsia="Arial" w:hAnsi="Arial"/>
                  <w:sz w:val="18"/>
                  <w:szCs w:val="18"/>
                  <w:color w:val="0000EE"/>
                  <w:w w:val="99"/>
                </w:rPr>
                <w:t>Selected Consolidated Financial Data</w:t>
              </w:r>
            </w:hyperlink>
          </w:p>
        </w:tc>
        <w:tc>
          <w:tcPr>
            <w:tcW w:w="6440" w:type="dxa"/>
            <w:vAlign w:val="bottom"/>
            <w:gridSpan w:val="19"/>
          </w:tcPr>
          <w:p>
            <w:pPr>
              <w:spacing w:after="0"/>
              <w:rPr>
                <w:sz w:val="20"/>
                <w:szCs w:val="20"/>
                <w:color w:val="auto"/>
              </w:rPr>
            </w:pPr>
          </w:p>
        </w:tc>
        <w:tc>
          <w:tcPr>
            <w:tcW w:w="900" w:type="dxa"/>
            <w:vAlign w:val="bottom"/>
            <w:gridSpan w:val="5"/>
          </w:tcPr>
          <w:p>
            <w:pPr>
              <w:jc w:val="right"/>
              <w:ind w:right="20"/>
              <w:spacing w:after="0"/>
              <w:rPr>
                <w:rFonts w:ascii="Arial" w:cs="Arial" w:eastAsia="Arial" w:hAnsi="Arial"/>
                <w:sz w:val="18"/>
                <w:szCs w:val="18"/>
                <w:color w:val="0000EE"/>
              </w:rPr>
            </w:pPr>
            <w:hyperlink w:anchor="page45">
              <w:r>
                <w:rPr>
                  <w:rFonts w:ascii="Arial" w:cs="Arial" w:eastAsia="Arial" w:hAnsi="Arial"/>
                  <w:sz w:val="18"/>
                  <w:szCs w:val="18"/>
                  <w:color w:val="0000EE"/>
                </w:rPr>
                <w:t>45</w:t>
              </w:r>
            </w:hyperlink>
          </w:p>
        </w:tc>
      </w:tr>
      <w:tr>
        <w:trPr>
          <w:trHeight w:val="20"/>
        </w:trPr>
        <w:tc>
          <w:tcPr>
            <w:tcW w:w="1040" w:type="dxa"/>
            <w:vAlign w:val="bottom"/>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1280" w:type="dxa"/>
            <w:vAlign w:val="bottom"/>
            <w:gridSpan w:val="4"/>
            <w:shd w:val="clear" w:color="auto" w:fill="0000EE"/>
          </w:tcPr>
          <w:p>
            <w:pPr>
              <w:spacing w:after="0" w:line="20" w:lineRule="exact"/>
              <w:rPr>
                <w:sz w:val="1"/>
                <w:szCs w:val="1"/>
                <w:color w:val="auto"/>
              </w:rPr>
            </w:pPr>
          </w:p>
        </w:tc>
        <w:tc>
          <w:tcPr>
            <w:tcW w:w="260" w:type="dxa"/>
            <w:vAlign w:val="bottom"/>
            <w:gridSpan w:val="2"/>
            <w:shd w:val="clear" w:color="auto" w:fill="0000EE"/>
          </w:tcPr>
          <w:p>
            <w:pPr>
              <w:spacing w:after="0" w:line="20" w:lineRule="exact"/>
              <w:rPr>
                <w:sz w:val="1"/>
                <w:szCs w:val="1"/>
                <w:color w:val="auto"/>
              </w:rPr>
            </w:pPr>
          </w:p>
        </w:tc>
        <w:tc>
          <w:tcPr>
            <w:tcW w:w="320" w:type="dxa"/>
            <w:vAlign w:val="bottom"/>
            <w:gridSpan w:val="2"/>
            <w:shd w:val="clear" w:color="auto" w:fill="0000EE"/>
          </w:tcPr>
          <w:p>
            <w:pPr>
              <w:spacing w:after="0" w:line="20" w:lineRule="exact"/>
              <w:rPr>
                <w:sz w:val="1"/>
                <w:szCs w:val="1"/>
                <w:color w:val="auto"/>
              </w:rPr>
            </w:pPr>
          </w:p>
        </w:tc>
        <w:tc>
          <w:tcPr>
            <w:tcW w:w="1020" w:type="dxa"/>
            <w:vAlign w:val="bottom"/>
            <w:gridSpan w:val="2"/>
            <w:shd w:val="clear" w:color="auto" w:fill="0000EE"/>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gridSpan w:val="3"/>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80" w:type="dxa"/>
            <w:vAlign w:val="bottom"/>
            <w:gridSpan w:val="3"/>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440" w:type="dxa"/>
            <w:vAlign w:val="bottom"/>
            <w:gridSpan w:val="2"/>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gridSpan w:val="2"/>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37"/>
        </w:trPr>
        <w:tc>
          <w:tcPr>
            <w:tcW w:w="1040" w:type="dxa"/>
            <w:vAlign w:val="bottom"/>
          </w:tcPr>
          <w:p>
            <w:pPr>
              <w:spacing w:after="0"/>
              <w:rPr>
                <w:sz w:val="20"/>
                <w:szCs w:val="20"/>
                <w:color w:val="auto"/>
              </w:rPr>
            </w:pPr>
            <w:r>
              <w:rPr>
                <w:rFonts w:ascii="Arial" w:cs="Arial" w:eastAsia="Arial" w:hAnsi="Arial"/>
                <w:sz w:val="18"/>
                <w:szCs w:val="18"/>
                <w:color w:val="auto"/>
              </w:rPr>
              <w:t>Item 7.</w:t>
            </w:r>
          </w:p>
        </w:tc>
        <w:tc>
          <w:tcPr>
            <w:tcW w:w="7080" w:type="dxa"/>
            <w:vAlign w:val="bottom"/>
            <w:gridSpan w:val="25"/>
          </w:tcPr>
          <w:p>
            <w:pPr>
              <w:spacing w:after="0"/>
              <w:rPr>
                <w:rFonts w:ascii="Arial" w:cs="Arial" w:eastAsia="Arial" w:hAnsi="Arial"/>
                <w:sz w:val="18"/>
                <w:szCs w:val="18"/>
                <w:color w:val="0000EE"/>
                <w:w w:val="99"/>
              </w:rPr>
            </w:pPr>
            <w:hyperlink w:anchor="page49">
              <w:r>
                <w:rPr>
                  <w:rFonts w:ascii="Arial" w:cs="Arial" w:eastAsia="Arial" w:hAnsi="Arial"/>
                  <w:sz w:val="18"/>
                  <w:szCs w:val="18"/>
                  <w:color w:val="0000EE"/>
                  <w:w w:val="99"/>
                </w:rPr>
                <w:t>Management’s Discussion and Analysis of Financial Condition and Results of Operations</w:t>
              </w:r>
            </w:hyperlink>
          </w:p>
        </w:tc>
        <w:tc>
          <w:tcPr>
            <w:tcW w:w="2360" w:type="dxa"/>
            <w:vAlign w:val="bottom"/>
            <w:gridSpan w:val="5"/>
          </w:tcPr>
          <w:p>
            <w:pPr>
              <w:spacing w:after="0"/>
              <w:rPr>
                <w:sz w:val="20"/>
                <w:szCs w:val="20"/>
                <w:color w:val="auto"/>
              </w:rPr>
            </w:pPr>
          </w:p>
        </w:tc>
        <w:tc>
          <w:tcPr>
            <w:tcW w:w="900" w:type="dxa"/>
            <w:vAlign w:val="bottom"/>
            <w:gridSpan w:val="5"/>
          </w:tcPr>
          <w:p>
            <w:pPr>
              <w:jc w:val="right"/>
              <w:ind w:right="20"/>
              <w:spacing w:after="0"/>
              <w:rPr>
                <w:rFonts w:ascii="Arial" w:cs="Arial" w:eastAsia="Arial" w:hAnsi="Arial"/>
                <w:sz w:val="18"/>
                <w:szCs w:val="18"/>
                <w:color w:val="0000EE"/>
              </w:rPr>
            </w:pPr>
            <w:hyperlink w:anchor="page49">
              <w:r>
                <w:rPr>
                  <w:rFonts w:ascii="Arial" w:cs="Arial" w:eastAsia="Arial" w:hAnsi="Arial"/>
                  <w:sz w:val="18"/>
                  <w:szCs w:val="18"/>
                  <w:color w:val="0000EE"/>
                </w:rPr>
                <w:t>49</w:t>
              </w:r>
            </w:hyperlink>
          </w:p>
        </w:tc>
      </w:tr>
      <w:tr>
        <w:trPr>
          <w:trHeight w:val="20"/>
        </w:trPr>
        <w:tc>
          <w:tcPr>
            <w:tcW w:w="1040" w:type="dxa"/>
            <w:vAlign w:val="bottom"/>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1280" w:type="dxa"/>
            <w:vAlign w:val="bottom"/>
            <w:gridSpan w:val="4"/>
            <w:shd w:val="clear" w:color="auto" w:fill="0000EE"/>
          </w:tcPr>
          <w:p>
            <w:pPr>
              <w:spacing w:after="0" w:line="20" w:lineRule="exact"/>
              <w:rPr>
                <w:sz w:val="1"/>
                <w:szCs w:val="1"/>
                <w:color w:val="auto"/>
              </w:rPr>
            </w:pPr>
          </w:p>
        </w:tc>
        <w:tc>
          <w:tcPr>
            <w:tcW w:w="260" w:type="dxa"/>
            <w:vAlign w:val="bottom"/>
            <w:gridSpan w:val="2"/>
            <w:shd w:val="clear" w:color="auto" w:fill="0000EE"/>
          </w:tcPr>
          <w:p>
            <w:pPr>
              <w:spacing w:after="0" w:line="20" w:lineRule="exact"/>
              <w:rPr>
                <w:sz w:val="1"/>
                <w:szCs w:val="1"/>
                <w:color w:val="auto"/>
              </w:rPr>
            </w:pPr>
          </w:p>
        </w:tc>
        <w:tc>
          <w:tcPr>
            <w:tcW w:w="320" w:type="dxa"/>
            <w:vAlign w:val="bottom"/>
            <w:gridSpan w:val="2"/>
            <w:shd w:val="clear" w:color="auto" w:fill="0000EE"/>
          </w:tcPr>
          <w:p>
            <w:pPr>
              <w:spacing w:after="0" w:line="20" w:lineRule="exact"/>
              <w:rPr>
                <w:sz w:val="1"/>
                <w:szCs w:val="1"/>
                <w:color w:val="auto"/>
              </w:rPr>
            </w:pPr>
          </w:p>
        </w:tc>
        <w:tc>
          <w:tcPr>
            <w:tcW w:w="1200" w:type="dxa"/>
            <w:vAlign w:val="bottom"/>
            <w:gridSpan w:val="3"/>
            <w:shd w:val="clear" w:color="auto" w:fill="0000EE"/>
          </w:tcPr>
          <w:p>
            <w:pPr>
              <w:spacing w:after="0" w:line="20" w:lineRule="exact"/>
              <w:rPr>
                <w:sz w:val="1"/>
                <w:szCs w:val="1"/>
                <w:color w:val="auto"/>
              </w:rPr>
            </w:pPr>
          </w:p>
        </w:tc>
        <w:tc>
          <w:tcPr>
            <w:tcW w:w="320" w:type="dxa"/>
            <w:vAlign w:val="bottom"/>
            <w:shd w:val="clear" w:color="auto" w:fill="0000EE"/>
          </w:tcPr>
          <w:p>
            <w:pPr>
              <w:spacing w:after="0" w:line="20" w:lineRule="exact"/>
              <w:rPr>
                <w:sz w:val="1"/>
                <w:szCs w:val="1"/>
                <w:color w:val="auto"/>
              </w:rPr>
            </w:pPr>
          </w:p>
        </w:tc>
        <w:tc>
          <w:tcPr>
            <w:tcW w:w="78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200" w:type="dxa"/>
            <w:vAlign w:val="bottom"/>
            <w:gridSpan w:val="3"/>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280" w:type="dxa"/>
            <w:vAlign w:val="bottom"/>
            <w:gridSpan w:val="3"/>
            <w:shd w:val="clear" w:color="auto" w:fill="0000EE"/>
          </w:tcPr>
          <w:p>
            <w:pPr>
              <w:spacing w:after="0" w:line="20" w:lineRule="exact"/>
              <w:rPr>
                <w:sz w:val="1"/>
                <w:szCs w:val="1"/>
                <w:color w:val="auto"/>
              </w:rPr>
            </w:pPr>
          </w:p>
        </w:tc>
        <w:tc>
          <w:tcPr>
            <w:tcW w:w="1100" w:type="dxa"/>
            <w:vAlign w:val="bottom"/>
            <w:shd w:val="clear" w:color="auto" w:fill="0000EE"/>
          </w:tcPr>
          <w:p>
            <w:pPr>
              <w:spacing w:after="0" w:line="20" w:lineRule="exact"/>
              <w:rPr>
                <w:sz w:val="1"/>
                <w:szCs w:val="1"/>
                <w:color w:val="auto"/>
              </w:rPr>
            </w:pPr>
          </w:p>
        </w:tc>
        <w:tc>
          <w:tcPr>
            <w:tcW w:w="780" w:type="dxa"/>
            <w:vAlign w:val="bottom"/>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440" w:type="dxa"/>
            <w:vAlign w:val="bottom"/>
            <w:gridSpan w:val="2"/>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gridSpan w:val="2"/>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37"/>
        </w:trPr>
        <w:tc>
          <w:tcPr>
            <w:tcW w:w="1040" w:type="dxa"/>
            <w:vAlign w:val="bottom"/>
          </w:tcPr>
          <w:p>
            <w:pPr>
              <w:spacing w:after="0"/>
              <w:rPr>
                <w:rFonts w:ascii="Arial" w:cs="Arial" w:eastAsia="Arial" w:hAnsi="Arial"/>
                <w:sz w:val="18"/>
                <w:szCs w:val="18"/>
                <w:color w:val="auto"/>
              </w:rPr>
            </w:pPr>
            <w:hyperlink w:anchor="page68">
              <w:r>
                <w:rPr>
                  <w:rFonts w:ascii="Arial" w:cs="Arial" w:eastAsia="Arial" w:hAnsi="Arial"/>
                  <w:sz w:val="18"/>
                  <w:szCs w:val="18"/>
                  <w:color w:val="auto"/>
                </w:rPr>
                <w:t>Item 7A.</w:t>
              </w:r>
            </w:hyperlink>
          </w:p>
        </w:tc>
        <w:tc>
          <w:tcPr>
            <w:tcW w:w="7080" w:type="dxa"/>
            <w:vAlign w:val="bottom"/>
            <w:gridSpan w:val="25"/>
          </w:tcPr>
          <w:p>
            <w:pPr>
              <w:spacing w:after="0"/>
              <w:rPr>
                <w:rFonts w:ascii="Arial" w:cs="Arial" w:eastAsia="Arial" w:hAnsi="Arial"/>
                <w:sz w:val="18"/>
                <w:szCs w:val="18"/>
                <w:color w:val="0000EE"/>
              </w:rPr>
            </w:pPr>
            <w:hyperlink w:anchor="page68">
              <w:r>
                <w:rPr>
                  <w:rFonts w:ascii="Arial" w:cs="Arial" w:eastAsia="Arial" w:hAnsi="Arial"/>
                  <w:sz w:val="18"/>
                  <w:szCs w:val="18"/>
                  <w:color w:val="0000EE"/>
                </w:rPr>
                <w:t>Quantitative and Qualitative Disclosures About Market Risk</w:t>
              </w:r>
            </w:hyperlink>
          </w:p>
        </w:tc>
        <w:tc>
          <w:tcPr>
            <w:tcW w:w="2360" w:type="dxa"/>
            <w:vAlign w:val="bottom"/>
            <w:gridSpan w:val="5"/>
          </w:tcPr>
          <w:p>
            <w:pPr>
              <w:spacing w:after="0"/>
              <w:rPr>
                <w:sz w:val="20"/>
                <w:szCs w:val="20"/>
                <w:color w:val="auto"/>
              </w:rPr>
            </w:pPr>
          </w:p>
        </w:tc>
        <w:tc>
          <w:tcPr>
            <w:tcW w:w="900" w:type="dxa"/>
            <w:vAlign w:val="bottom"/>
            <w:gridSpan w:val="5"/>
          </w:tcPr>
          <w:p>
            <w:pPr>
              <w:jc w:val="right"/>
              <w:ind w:right="20"/>
              <w:spacing w:after="0"/>
              <w:rPr>
                <w:rFonts w:ascii="Arial" w:cs="Arial" w:eastAsia="Arial" w:hAnsi="Arial"/>
                <w:sz w:val="18"/>
                <w:szCs w:val="18"/>
                <w:color w:val="0000EE"/>
              </w:rPr>
            </w:pPr>
            <w:hyperlink w:anchor="page68">
              <w:r>
                <w:rPr>
                  <w:rFonts w:ascii="Arial" w:cs="Arial" w:eastAsia="Arial" w:hAnsi="Arial"/>
                  <w:sz w:val="18"/>
                  <w:szCs w:val="18"/>
                  <w:color w:val="0000EE"/>
                </w:rPr>
                <w:t>68</w:t>
              </w:r>
            </w:hyperlink>
          </w:p>
        </w:tc>
      </w:tr>
      <w:tr>
        <w:trPr>
          <w:trHeight w:val="20"/>
        </w:trPr>
        <w:tc>
          <w:tcPr>
            <w:tcW w:w="1040" w:type="dxa"/>
            <w:vAlign w:val="bottom"/>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1280" w:type="dxa"/>
            <w:vAlign w:val="bottom"/>
            <w:gridSpan w:val="4"/>
            <w:shd w:val="clear" w:color="auto" w:fill="0000EE"/>
          </w:tcPr>
          <w:p>
            <w:pPr>
              <w:spacing w:after="0" w:line="20" w:lineRule="exact"/>
              <w:rPr>
                <w:sz w:val="1"/>
                <w:szCs w:val="1"/>
                <w:color w:val="auto"/>
              </w:rPr>
            </w:pPr>
          </w:p>
        </w:tc>
        <w:tc>
          <w:tcPr>
            <w:tcW w:w="260" w:type="dxa"/>
            <w:vAlign w:val="bottom"/>
            <w:gridSpan w:val="2"/>
            <w:shd w:val="clear" w:color="auto" w:fill="0000EE"/>
          </w:tcPr>
          <w:p>
            <w:pPr>
              <w:spacing w:after="0" w:line="20" w:lineRule="exact"/>
              <w:rPr>
                <w:sz w:val="1"/>
                <w:szCs w:val="1"/>
                <w:color w:val="auto"/>
              </w:rPr>
            </w:pPr>
          </w:p>
        </w:tc>
        <w:tc>
          <w:tcPr>
            <w:tcW w:w="320" w:type="dxa"/>
            <w:vAlign w:val="bottom"/>
            <w:gridSpan w:val="2"/>
            <w:shd w:val="clear" w:color="auto" w:fill="0000EE"/>
          </w:tcPr>
          <w:p>
            <w:pPr>
              <w:spacing w:after="0" w:line="20" w:lineRule="exact"/>
              <w:rPr>
                <w:sz w:val="1"/>
                <w:szCs w:val="1"/>
                <w:color w:val="auto"/>
              </w:rPr>
            </w:pPr>
          </w:p>
        </w:tc>
        <w:tc>
          <w:tcPr>
            <w:tcW w:w="1200" w:type="dxa"/>
            <w:vAlign w:val="bottom"/>
            <w:gridSpan w:val="3"/>
            <w:shd w:val="clear" w:color="auto" w:fill="0000EE"/>
          </w:tcPr>
          <w:p>
            <w:pPr>
              <w:spacing w:after="0" w:line="20" w:lineRule="exact"/>
              <w:rPr>
                <w:sz w:val="1"/>
                <w:szCs w:val="1"/>
                <w:color w:val="auto"/>
              </w:rPr>
            </w:pPr>
          </w:p>
        </w:tc>
        <w:tc>
          <w:tcPr>
            <w:tcW w:w="320" w:type="dxa"/>
            <w:vAlign w:val="bottom"/>
            <w:shd w:val="clear" w:color="auto" w:fill="0000EE"/>
          </w:tcPr>
          <w:p>
            <w:pPr>
              <w:spacing w:after="0" w:line="20" w:lineRule="exact"/>
              <w:rPr>
                <w:sz w:val="1"/>
                <w:szCs w:val="1"/>
                <w:color w:val="auto"/>
              </w:rPr>
            </w:pPr>
          </w:p>
        </w:tc>
        <w:tc>
          <w:tcPr>
            <w:tcW w:w="78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200" w:type="dxa"/>
            <w:vAlign w:val="bottom"/>
            <w:gridSpan w:val="3"/>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280" w:type="dxa"/>
            <w:vAlign w:val="bottom"/>
            <w:gridSpan w:val="3"/>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280" w:type="dxa"/>
            <w:vAlign w:val="bottom"/>
            <w:gridSpan w:val="2"/>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440" w:type="dxa"/>
            <w:vAlign w:val="bottom"/>
            <w:gridSpan w:val="2"/>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gridSpan w:val="2"/>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37"/>
        </w:trPr>
        <w:tc>
          <w:tcPr>
            <w:tcW w:w="1040" w:type="dxa"/>
            <w:vAlign w:val="bottom"/>
          </w:tcPr>
          <w:p>
            <w:pPr>
              <w:spacing w:after="0"/>
              <w:rPr>
                <w:rFonts w:ascii="Arial" w:cs="Arial" w:eastAsia="Arial" w:hAnsi="Arial"/>
                <w:sz w:val="18"/>
                <w:szCs w:val="18"/>
                <w:color w:val="auto"/>
              </w:rPr>
            </w:pPr>
            <w:hyperlink w:anchor="page70">
              <w:r>
                <w:rPr>
                  <w:rFonts w:ascii="Arial" w:cs="Arial" w:eastAsia="Arial" w:hAnsi="Arial"/>
                  <w:sz w:val="18"/>
                  <w:szCs w:val="18"/>
                  <w:color w:val="auto"/>
                </w:rPr>
                <w:t>Item 8A.</w:t>
              </w:r>
            </w:hyperlink>
          </w:p>
        </w:tc>
        <w:tc>
          <w:tcPr>
            <w:tcW w:w="7360" w:type="dxa"/>
            <w:vAlign w:val="bottom"/>
            <w:gridSpan w:val="27"/>
          </w:tcPr>
          <w:p>
            <w:pPr>
              <w:spacing w:after="0"/>
              <w:rPr>
                <w:rFonts w:ascii="Arial" w:cs="Arial" w:eastAsia="Arial" w:hAnsi="Arial"/>
                <w:sz w:val="18"/>
                <w:szCs w:val="18"/>
                <w:color w:val="0000EE"/>
                <w:w w:val="99"/>
              </w:rPr>
            </w:pPr>
            <w:hyperlink w:anchor="page70">
              <w:r>
                <w:rPr>
                  <w:rFonts w:ascii="Arial" w:cs="Arial" w:eastAsia="Arial" w:hAnsi="Arial"/>
                  <w:sz w:val="18"/>
                  <w:szCs w:val="18"/>
                  <w:color w:val="0000EE"/>
                  <w:w w:val="99"/>
                </w:rPr>
                <w:t>Consolidated Financial Statements and Supplementary Data of American Airlines Group Inc.</w:t>
              </w:r>
            </w:hyperlink>
          </w:p>
        </w:tc>
        <w:tc>
          <w:tcPr>
            <w:tcW w:w="2080" w:type="dxa"/>
            <w:vAlign w:val="bottom"/>
            <w:gridSpan w:val="3"/>
          </w:tcPr>
          <w:p>
            <w:pPr>
              <w:spacing w:after="0"/>
              <w:rPr>
                <w:sz w:val="20"/>
                <w:szCs w:val="20"/>
                <w:color w:val="auto"/>
              </w:rPr>
            </w:pPr>
          </w:p>
        </w:tc>
        <w:tc>
          <w:tcPr>
            <w:tcW w:w="900" w:type="dxa"/>
            <w:vAlign w:val="bottom"/>
            <w:gridSpan w:val="5"/>
          </w:tcPr>
          <w:p>
            <w:pPr>
              <w:jc w:val="right"/>
              <w:ind w:right="20"/>
              <w:spacing w:after="0"/>
              <w:rPr>
                <w:rFonts w:ascii="Arial" w:cs="Arial" w:eastAsia="Arial" w:hAnsi="Arial"/>
                <w:sz w:val="18"/>
                <w:szCs w:val="18"/>
                <w:color w:val="0000EE"/>
              </w:rPr>
            </w:pPr>
            <w:hyperlink w:anchor="page70">
              <w:r>
                <w:rPr>
                  <w:rFonts w:ascii="Arial" w:cs="Arial" w:eastAsia="Arial" w:hAnsi="Arial"/>
                  <w:sz w:val="18"/>
                  <w:szCs w:val="18"/>
                  <w:color w:val="0000EE"/>
                </w:rPr>
                <w:t>70</w:t>
              </w:r>
            </w:hyperlink>
          </w:p>
        </w:tc>
      </w:tr>
      <w:tr>
        <w:trPr>
          <w:trHeight w:val="20"/>
        </w:trPr>
        <w:tc>
          <w:tcPr>
            <w:tcW w:w="1040" w:type="dxa"/>
            <w:vAlign w:val="bottom"/>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1280" w:type="dxa"/>
            <w:vAlign w:val="bottom"/>
            <w:gridSpan w:val="4"/>
            <w:shd w:val="clear" w:color="auto" w:fill="0000EE"/>
          </w:tcPr>
          <w:p>
            <w:pPr>
              <w:spacing w:after="0" w:line="20" w:lineRule="exact"/>
              <w:rPr>
                <w:sz w:val="1"/>
                <w:szCs w:val="1"/>
                <w:color w:val="auto"/>
              </w:rPr>
            </w:pPr>
          </w:p>
        </w:tc>
        <w:tc>
          <w:tcPr>
            <w:tcW w:w="260" w:type="dxa"/>
            <w:vAlign w:val="bottom"/>
            <w:gridSpan w:val="2"/>
            <w:shd w:val="clear" w:color="auto" w:fill="0000EE"/>
          </w:tcPr>
          <w:p>
            <w:pPr>
              <w:spacing w:after="0" w:line="20" w:lineRule="exact"/>
              <w:rPr>
                <w:sz w:val="1"/>
                <w:szCs w:val="1"/>
                <w:color w:val="auto"/>
              </w:rPr>
            </w:pPr>
          </w:p>
        </w:tc>
        <w:tc>
          <w:tcPr>
            <w:tcW w:w="320" w:type="dxa"/>
            <w:vAlign w:val="bottom"/>
            <w:gridSpan w:val="2"/>
            <w:shd w:val="clear" w:color="auto" w:fill="0000EE"/>
          </w:tcPr>
          <w:p>
            <w:pPr>
              <w:spacing w:after="0" w:line="20" w:lineRule="exact"/>
              <w:rPr>
                <w:sz w:val="1"/>
                <w:szCs w:val="1"/>
                <w:color w:val="auto"/>
              </w:rPr>
            </w:pPr>
          </w:p>
        </w:tc>
        <w:tc>
          <w:tcPr>
            <w:tcW w:w="1200" w:type="dxa"/>
            <w:vAlign w:val="bottom"/>
            <w:gridSpan w:val="3"/>
            <w:shd w:val="clear" w:color="auto" w:fill="0000EE"/>
          </w:tcPr>
          <w:p>
            <w:pPr>
              <w:spacing w:after="0" w:line="20" w:lineRule="exact"/>
              <w:rPr>
                <w:sz w:val="1"/>
                <w:szCs w:val="1"/>
                <w:color w:val="auto"/>
              </w:rPr>
            </w:pPr>
          </w:p>
        </w:tc>
        <w:tc>
          <w:tcPr>
            <w:tcW w:w="320" w:type="dxa"/>
            <w:vAlign w:val="bottom"/>
            <w:shd w:val="clear" w:color="auto" w:fill="0000EE"/>
          </w:tcPr>
          <w:p>
            <w:pPr>
              <w:spacing w:after="0" w:line="20" w:lineRule="exact"/>
              <w:rPr>
                <w:sz w:val="1"/>
                <w:szCs w:val="1"/>
                <w:color w:val="auto"/>
              </w:rPr>
            </w:pPr>
          </w:p>
        </w:tc>
        <w:tc>
          <w:tcPr>
            <w:tcW w:w="78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200" w:type="dxa"/>
            <w:vAlign w:val="bottom"/>
            <w:gridSpan w:val="3"/>
            <w:shd w:val="clear" w:color="auto" w:fill="0000EE"/>
          </w:tcPr>
          <w:p>
            <w:pPr>
              <w:spacing w:after="0" w:line="20" w:lineRule="exact"/>
              <w:rPr>
                <w:sz w:val="1"/>
                <w:szCs w:val="1"/>
                <w:color w:val="auto"/>
              </w:rPr>
            </w:pPr>
          </w:p>
        </w:tc>
        <w:tc>
          <w:tcPr>
            <w:tcW w:w="480" w:type="dxa"/>
            <w:vAlign w:val="bottom"/>
            <w:gridSpan w:val="4"/>
            <w:shd w:val="clear" w:color="auto" w:fill="0000EE"/>
          </w:tcPr>
          <w:p>
            <w:pPr>
              <w:spacing w:after="0" w:line="20" w:lineRule="exact"/>
              <w:rPr>
                <w:sz w:val="1"/>
                <w:szCs w:val="1"/>
                <w:color w:val="auto"/>
              </w:rPr>
            </w:pPr>
          </w:p>
        </w:tc>
        <w:tc>
          <w:tcPr>
            <w:tcW w:w="1100" w:type="dxa"/>
            <w:vAlign w:val="bottom"/>
            <w:shd w:val="clear" w:color="auto" w:fill="0000EE"/>
          </w:tcPr>
          <w:p>
            <w:pPr>
              <w:spacing w:after="0" w:line="20" w:lineRule="exact"/>
              <w:rPr>
                <w:sz w:val="1"/>
                <w:szCs w:val="1"/>
                <w:color w:val="auto"/>
              </w:rPr>
            </w:pPr>
          </w:p>
        </w:tc>
        <w:tc>
          <w:tcPr>
            <w:tcW w:w="780" w:type="dxa"/>
            <w:vAlign w:val="bottom"/>
            <w:shd w:val="clear" w:color="auto" w:fill="0000EE"/>
          </w:tcPr>
          <w:p>
            <w:pPr>
              <w:spacing w:after="0" w:line="20" w:lineRule="exact"/>
              <w:rPr>
                <w:sz w:val="1"/>
                <w:szCs w:val="1"/>
                <w:color w:val="auto"/>
              </w:rPr>
            </w:pPr>
          </w:p>
        </w:tc>
        <w:tc>
          <w:tcPr>
            <w:tcW w:w="280" w:type="dxa"/>
            <w:vAlign w:val="bottom"/>
            <w:gridSpan w:val="2"/>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440" w:type="dxa"/>
            <w:vAlign w:val="bottom"/>
            <w:gridSpan w:val="2"/>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gridSpan w:val="2"/>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37"/>
        </w:trPr>
        <w:tc>
          <w:tcPr>
            <w:tcW w:w="1040" w:type="dxa"/>
            <w:vAlign w:val="bottom"/>
          </w:tcPr>
          <w:p>
            <w:pPr>
              <w:spacing w:after="0"/>
              <w:rPr>
                <w:rFonts w:ascii="Arial" w:cs="Arial" w:eastAsia="Arial" w:hAnsi="Arial"/>
                <w:sz w:val="18"/>
                <w:szCs w:val="18"/>
                <w:color w:val="auto"/>
              </w:rPr>
            </w:pPr>
            <w:hyperlink w:anchor="page115">
              <w:r>
                <w:rPr>
                  <w:rFonts w:ascii="Arial" w:cs="Arial" w:eastAsia="Arial" w:hAnsi="Arial"/>
                  <w:sz w:val="18"/>
                  <w:szCs w:val="18"/>
                  <w:color w:val="auto"/>
                </w:rPr>
                <w:t>Item 8B.</w:t>
              </w:r>
            </w:hyperlink>
          </w:p>
        </w:tc>
        <w:tc>
          <w:tcPr>
            <w:tcW w:w="6860" w:type="dxa"/>
            <w:vAlign w:val="bottom"/>
            <w:gridSpan w:val="24"/>
          </w:tcPr>
          <w:p>
            <w:pPr>
              <w:spacing w:after="0"/>
              <w:rPr>
                <w:rFonts w:ascii="Arial" w:cs="Arial" w:eastAsia="Arial" w:hAnsi="Arial"/>
                <w:sz w:val="18"/>
                <w:szCs w:val="18"/>
                <w:color w:val="0000EE"/>
                <w:w w:val="99"/>
              </w:rPr>
            </w:pPr>
            <w:hyperlink w:anchor="page115">
              <w:r>
                <w:rPr>
                  <w:rFonts w:ascii="Arial" w:cs="Arial" w:eastAsia="Arial" w:hAnsi="Arial"/>
                  <w:sz w:val="18"/>
                  <w:szCs w:val="18"/>
                  <w:color w:val="0000EE"/>
                  <w:w w:val="99"/>
                </w:rPr>
                <w:t>Consolidated Financial Statements and Supplementary Data of American Airlines, Inc.</w:t>
              </w:r>
            </w:hyperlink>
          </w:p>
        </w:tc>
        <w:tc>
          <w:tcPr>
            <w:tcW w:w="500" w:type="dxa"/>
            <w:vAlign w:val="bottom"/>
            <w:gridSpan w:val="3"/>
          </w:tcPr>
          <w:p>
            <w:pPr>
              <w:spacing w:after="0"/>
              <w:rPr>
                <w:sz w:val="20"/>
                <w:szCs w:val="20"/>
                <w:color w:val="auto"/>
              </w:rPr>
            </w:pPr>
          </w:p>
        </w:tc>
        <w:tc>
          <w:tcPr>
            <w:tcW w:w="2080" w:type="dxa"/>
            <w:vAlign w:val="bottom"/>
            <w:gridSpan w:val="3"/>
          </w:tcPr>
          <w:p>
            <w:pPr>
              <w:spacing w:after="0"/>
              <w:rPr>
                <w:sz w:val="20"/>
                <w:szCs w:val="20"/>
                <w:color w:val="auto"/>
              </w:rPr>
            </w:pPr>
          </w:p>
        </w:tc>
        <w:tc>
          <w:tcPr>
            <w:tcW w:w="900" w:type="dxa"/>
            <w:vAlign w:val="bottom"/>
            <w:gridSpan w:val="5"/>
          </w:tcPr>
          <w:p>
            <w:pPr>
              <w:jc w:val="right"/>
              <w:ind w:right="20"/>
              <w:spacing w:after="0"/>
              <w:rPr>
                <w:rFonts w:ascii="Arial" w:cs="Arial" w:eastAsia="Arial" w:hAnsi="Arial"/>
                <w:sz w:val="18"/>
                <w:szCs w:val="18"/>
                <w:color w:val="0000EE"/>
              </w:rPr>
            </w:pPr>
            <w:hyperlink w:anchor="page115">
              <w:r>
                <w:rPr>
                  <w:rFonts w:ascii="Arial" w:cs="Arial" w:eastAsia="Arial" w:hAnsi="Arial"/>
                  <w:sz w:val="18"/>
                  <w:szCs w:val="18"/>
                  <w:color w:val="0000EE"/>
                </w:rPr>
                <w:t>115</w:t>
              </w:r>
            </w:hyperlink>
          </w:p>
        </w:tc>
      </w:tr>
      <w:tr>
        <w:trPr>
          <w:trHeight w:val="20"/>
        </w:trPr>
        <w:tc>
          <w:tcPr>
            <w:tcW w:w="1040" w:type="dxa"/>
            <w:vAlign w:val="bottom"/>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1280" w:type="dxa"/>
            <w:vAlign w:val="bottom"/>
            <w:gridSpan w:val="4"/>
            <w:shd w:val="clear" w:color="auto" w:fill="0000EE"/>
          </w:tcPr>
          <w:p>
            <w:pPr>
              <w:spacing w:after="0" w:line="20" w:lineRule="exact"/>
              <w:rPr>
                <w:sz w:val="1"/>
                <w:szCs w:val="1"/>
                <w:color w:val="auto"/>
              </w:rPr>
            </w:pPr>
          </w:p>
        </w:tc>
        <w:tc>
          <w:tcPr>
            <w:tcW w:w="260" w:type="dxa"/>
            <w:vAlign w:val="bottom"/>
            <w:gridSpan w:val="2"/>
            <w:shd w:val="clear" w:color="auto" w:fill="0000EE"/>
          </w:tcPr>
          <w:p>
            <w:pPr>
              <w:spacing w:after="0" w:line="20" w:lineRule="exact"/>
              <w:rPr>
                <w:sz w:val="1"/>
                <w:szCs w:val="1"/>
                <w:color w:val="auto"/>
              </w:rPr>
            </w:pPr>
          </w:p>
        </w:tc>
        <w:tc>
          <w:tcPr>
            <w:tcW w:w="320" w:type="dxa"/>
            <w:vAlign w:val="bottom"/>
            <w:gridSpan w:val="2"/>
            <w:shd w:val="clear" w:color="auto" w:fill="0000EE"/>
          </w:tcPr>
          <w:p>
            <w:pPr>
              <w:spacing w:after="0" w:line="20" w:lineRule="exact"/>
              <w:rPr>
                <w:sz w:val="1"/>
                <w:szCs w:val="1"/>
                <w:color w:val="auto"/>
              </w:rPr>
            </w:pPr>
          </w:p>
        </w:tc>
        <w:tc>
          <w:tcPr>
            <w:tcW w:w="1200" w:type="dxa"/>
            <w:vAlign w:val="bottom"/>
            <w:gridSpan w:val="3"/>
            <w:shd w:val="clear" w:color="auto" w:fill="0000EE"/>
          </w:tcPr>
          <w:p>
            <w:pPr>
              <w:spacing w:after="0" w:line="20" w:lineRule="exact"/>
              <w:rPr>
                <w:sz w:val="1"/>
                <w:szCs w:val="1"/>
                <w:color w:val="auto"/>
              </w:rPr>
            </w:pPr>
          </w:p>
        </w:tc>
        <w:tc>
          <w:tcPr>
            <w:tcW w:w="320" w:type="dxa"/>
            <w:vAlign w:val="bottom"/>
            <w:shd w:val="clear" w:color="auto" w:fill="0000EE"/>
          </w:tcPr>
          <w:p>
            <w:pPr>
              <w:spacing w:after="0" w:line="20" w:lineRule="exact"/>
              <w:rPr>
                <w:sz w:val="1"/>
                <w:szCs w:val="1"/>
                <w:color w:val="auto"/>
              </w:rPr>
            </w:pPr>
          </w:p>
        </w:tc>
        <w:tc>
          <w:tcPr>
            <w:tcW w:w="78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200" w:type="dxa"/>
            <w:vAlign w:val="bottom"/>
            <w:gridSpan w:val="3"/>
            <w:shd w:val="clear" w:color="auto" w:fill="0000EE"/>
          </w:tcPr>
          <w:p>
            <w:pPr>
              <w:spacing w:after="0" w:line="20" w:lineRule="exact"/>
              <w:rPr>
                <w:sz w:val="1"/>
                <w:szCs w:val="1"/>
                <w:color w:val="auto"/>
              </w:rPr>
            </w:pPr>
          </w:p>
        </w:tc>
        <w:tc>
          <w:tcPr>
            <w:tcW w:w="480" w:type="dxa"/>
            <w:vAlign w:val="bottom"/>
            <w:gridSpan w:val="4"/>
            <w:shd w:val="clear" w:color="auto" w:fill="0000EE"/>
          </w:tcPr>
          <w:p>
            <w:pPr>
              <w:spacing w:after="0" w:line="20" w:lineRule="exact"/>
              <w:rPr>
                <w:sz w:val="1"/>
                <w:szCs w:val="1"/>
                <w:color w:val="auto"/>
              </w:rPr>
            </w:pPr>
          </w:p>
        </w:tc>
        <w:tc>
          <w:tcPr>
            <w:tcW w:w="1100" w:type="dxa"/>
            <w:vAlign w:val="bottom"/>
            <w:shd w:val="clear" w:color="auto" w:fill="0000EE"/>
          </w:tcPr>
          <w:p>
            <w:pPr>
              <w:spacing w:after="0" w:line="20" w:lineRule="exact"/>
              <w:rPr>
                <w:sz w:val="1"/>
                <w:szCs w:val="1"/>
                <w:color w:val="auto"/>
              </w:rPr>
            </w:pPr>
          </w:p>
        </w:tc>
        <w:tc>
          <w:tcPr>
            <w:tcW w:w="780" w:type="dxa"/>
            <w:vAlign w:val="bottom"/>
            <w:shd w:val="clear" w:color="auto" w:fill="0000EE"/>
          </w:tcPr>
          <w:p>
            <w:pPr>
              <w:spacing w:after="0" w:line="20" w:lineRule="exact"/>
              <w:rPr>
                <w:sz w:val="1"/>
                <w:szCs w:val="1"/>
                <w:color w:val="auto"/>
              </w:rPr>
            </w:pPr>
          </w:p>
        </w:tc>
        <w:tc>
          <w:tcPr>
            <w:tcW w:w="280" w:type="dxa"/>
            <w:vAlign w:val="bottom"/>
            <w:gridSpan w:val="2"/>
          </w:tcPr>
          <w:p>
            <w:pPr>
              <w:spacing w:after="0" w:line="20" w:lineRule="exact"/>
              <w:rPr>
                <w:sz w:val="1"/>
                <w:szCs w:val="1"/>
                <w:color w:val="auto"/>
              </w:rPr>
            </w:pPr>
          </w:p>
        </w:tc>
        <w:tc>
          <w:tcPr>
            <w:tcW w:w="860" w:type="dxa"/>
            <w:vAlign w:val="bottom"/>
            <w:gridSpan w:val="2"/>
          </w:tcPr>
          <w:p>
            <w:pPr>
              <w:spacing w:after="0" w:line="20" w:lineRule="exact"/>
              <w:rPr>
                <w:sz w:val="1"/>
                <w:szCs w:val="1"/>
                <w:color w:val="auto"/>
              </w:rPr>
            </w:pPr>
          </w:p>
        </w:tc>
        <w:tc>
          <w:tcPr>
            <w:tcW w:w="1440" w:type="dxa"/>
            <w:vAlign w:val="bottom"/>
            <w:gridSpan w:val="2"/>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300" w:type="dxa"/>
            <w:vAlign w:val="bottom"/>
            <w:gridSpan w:val="3"/>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37"/>
        </w:trPr>
        <w:tc>
          <w:tcPr>
            <w:tcW w:w="1040" w:type="dxa"/>
            <w:vAlign w:val="bottom"/>
          </w:tcPr>
          <w:p>
            <w:pPr>
              <w:spacing w:after="0"/>
              <w:rPr>
                <w:rFonts w:ascii="Arial" w:cs="Arial" w:eastAsia="Arial" w:hAnsi="Arial"/>
                <w:sz w:val="18"/>
                <w:szCs w:val="18"/>
                <w:color w:val="auto"/>
              </w:rPr>
            </w:pPr>
            <w:hyperlink w:anchor="page158">
              <w:r>
                <w:rPr>
                  <w:rFonts w:ascii="Arial" w:cs="Arial" w:eastAsia="Arial" w:hAnsi="Arial"/>
                  <w:sz w:val="18"/>
                  <w:szCs w:val="18"/>
                  <w:color w:val="auto"/>
                </w:rPr>
                <w:t>Item 9.</w:t>
              </w:r>
            </w:hyperlink>
          </w:p>
        </w:tc>
        <w:tc>
          <w:tcPr>
            <w:tcW w:w="7140" w:type="dxa"/>
            <w:vAlign w:val="bottom"/>
            <w:gridSpan w:val="26"/>
          </w:tcPr>
          <w:p>
            <w:pPr>
              <w:spacing w:after="0"/>
              <w:rPr>
                <w:rFonts w:ascii="Arial" w:cs="Arial" w:eastAsia="Arial" w:hAnsi="Arial"/>
                <w:sz w:val="18"/>
                <w:szCs w:val="18"/>
                <w:color w:val="0000EE"/>
                <w:w w:val="99"/>
              </w:rPr>
            </w:pPr>
            <w:hyperlink w:anchor="page158">
              <w:r>
                <w:rPr>
                  <w:rFonts w:ascii="Arial" w:cs="Arial" w:eastAsia="Arial" w:hAnsi="Arial"/>
                  <w:sz w:val="18"/>
                  <w:szCs w:val="18"/>
                  <w:color w:val="0000EE"/>
                  <w:w w:val="99"/>
                </w:rPr>
                <w:t>Changes In and Disagreements with Accountants on Accounting and Financial Disclosure</w:t>
              </w:r>
            </w:hyperlink>
          </w:p>
        </w:tc>
        <w:tc>
          <w:tcPr>
            <w:tcW w:w="2300" w:type="dxa"/>
            <w:vAlign w:val="bottom"/>
            <w:gridSpan w:val="4"/>
          </w:tcPr>
          <w:p>
            <w:pPr>
              <w:spacing w:after="0"/>
              <w:rPr>
                <w:sz w:val="20"/>
                <w:szCs w:val="20"/>
                <w:color w:val="auto"/>
              </w:rPr>
            </w:pPr>
          </w:p>
        </w:tc>
        <w:tc>
          <w:tcPr>
            <w:tcW w:w="900" w:type="dxa"/>
            <w:vAlign w:val="bottom"/>
            <w:gridSpan w:val="5"/>
          </w:tcPr>
          <w:p>
            <w:pPr>
              <w:jc w:val="right"/>
              <w:ind w:right="20"/>
              <w:spacing w:after="0"/>
              <w:rPr>
                <w:rFonts w:ascii="Arial" w:cs="Arial" w:eastAsia="Arial" w:hAnsi="Arial"/>
                <w:sz w:val="18"/>
                <w:szCs w:val="18"/>
                <w:color w:val="0000EE"/>
              </w:rPr>
            </w:pPr>
            <w:hyperlink w:anchor="page158">
              <w:r>
                <w:rPr>
                  <w:rFonts w:ascii="Arial" w:cs="Arial" w:eastAsia="Arial" w:hAnsi="Arial"/>
                  <w:sz w:val="18"/>
                  <w:szCs w:val="18"/>
                  <w:color w:val="0000EE"/>
                </w:rPr>
                <w:t>158</w:t>
              </w:r>
            </w:hyperlink>
          </w:p>
        </w:tc>
      </w:tr>
      <w:tr>
        <w:trPr>
          <w:trHeight w:val="20"/>
        </w:trPr>
        <w:tc>
          <w:tcPr>
            <w:tcW w:w="1040" w:type="dxa"/>
            <w:vAlign w:val="bottom"/>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1280" w:type="dxa"/>
            <w:vAlign w:val="bottom"/>
            <w:gridSpan w:val="4"/>
            <w:shd w:val="clear" w:color="auto" w:fill="0000EE"/>
          </w:tcPr>
          <w:p>
            <w:pPr>
              <w:spacing w:after="0" w:line="20" w:lineRule="exact"/>
              <w:rPr>
                <w:sz w:val="1"/>
                <w:szCs w:val="1"/>
                <w:color w:val="auto"/>
              </w:rPr>
            </w:pPr>
          </w:p>
        </w:tc>
        <w:tc>
          <w:tcPr>
            <w:tcW w:w="260" w:type="dxa"/>
            <w:vAlign w:val="bottom"/>
            <w:gridSpan w:val="2"/>
            <w:shd w:val="clear" w:color="auto" w:fill="0000EE"/>
          </w:tcPr>
          <w:p>
            <w:pPr>
              <w:spacing w:after="0" w:line="20" w:lineRule="exact"/>
              <w:rPr>
                <w:sz w:val="1"/>
                <w:szCs w:val="1"/>
                <w:color w:val="auto"/>
              </w:rPr>
            </w:pPr>
          </w:p>
        </w:tc>
        <w:tc>
          <w:tcPr>
            <w:tcW w:w="320" w:type="dxa"/>
            <w:vAlign w:val="bottom"/>
            <w:gridSpan w:val="2"/>
            <w:shd w:val="clear" w:color="auto" w:fill="0000EE"/>
          </w:tcPr>
          <w:p>
            <w:pPr>
              <w:spacing w:after="0" w:line="20" w:lineRule="exact"/>
              <w:rPr>
                <w:sz w:val="1"/>
                <w:szCs w:val="1"/>
                <w:color w:val="auto"/>
              </w:rPr>
            </w:pPr>
          </w:p>
        </w:tc>
        <w:tc>
          <w:tcPr>
            <w:tcW w:w="1200" w:type="dxa"/>
            <w:vAlign w:val="bottom"/>
            <w:gridSpan w:val="3"/>
            <w:shd w:val="clear" w:color="auto" w:fill="0000EE"/>
          </w:tcPr>
          <w:p>
            <w:pPr>
              <w:spacing w:after="0" w:line="20" w:lineRule="exact"/>
              <w:rPr>
                <w:sz w:val="1"/>
                <w:szCs w:val="1"/>
                <w:color w:val="auto"/>
              </w:rPr>
            </w:pPr>
          </w:p>
        </w:tc>
        <w:tc>
          <w:tcPr>
            <w:tcW w:w="320" w:type="dxa"/>
            <w:vAlign w:val="bottom"/>
            <w:shd w:val="clear" w:color="auto" w:fill="0000EE"/>
          </w:tcPr>
          <w:p>
            <w:pPr>
              <w:spacing w:after="0" w:line="20" w:lineRule="exact"/>
              <w:rPr>
                <w:sz w:val="1"/>
                <w:szCs w:val="1"/>
                <w:color w:val="auto"/>
              </w:rPr>
            </w:pPr>
          </w:p>
        </w:tc>
        <w:tc>
          <w:tcPr>
            <w:tcW w:w="78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200" w:type="dxa"/>
            <w:vAlign w:val="bottom"/>
            <w:gridSpan w:val="3"/>
            <w:shd w:val="clear" w:color="auto" w:fill="0000EE"/>
          </w:tcPr>
          <w:p>
            <w:pPr>
              <w:spacing w:after="0" w:line="20" w:lineRule="exact"/>
              <w:rPr>
                <w:sz w:val="1"/>
                <w:szCs w:val="1"/>
                <w:color w:val="auto"/>
              </w:rPr>
            </w:pPr>
          </w:p>
        </w:tc>
        <w:tc>
          <w:tcPr>
            <w:tcW w:w="480" w:type="dxa"/>
            <w:vAlign w:val="bottom"/>
            <w:gridSpan w:val="4"/>
            <w:shd w:val="clear" w:color="auto" w:fill="0000EE"/>
          </w:tcPr>
          <w:p>
            <w:pPr>
              <w:spacing w:after="0" w:line="20" w:lineRule="exact"/>
              <w:rPr>
                <w:sz w:val="1"/>
                <w:szCs w:val="1"/>
                <w:color w:val="auto"/>
              </w:rPr>
            </w:pPr>
          </w:p>
        </w:tc>
        <w:tc>
          <w:tcPr>
            <w:tcW w:w="1100" w:type="dxa"/>
            <w:vAlign w:val="bottom"/>
            <w:shd w:val="clear" w:color="auto" w:fill="0000EE"/>
          </w:tcPr>
          <w:p>
            <w:pPr>
              <w:spacing w:after="0" w:line="20" w:lineRule="exact"/>
              <w:rPr>
                <w:sz w:val="1"/>
                <w:szCs w:val="1"/>
                <w:color w:val="auto"/>
              </w:rPr>
            </w:pPr>
          </w:p>
        </w:tc>
        <w:tc>
          <w:tcPr>
            <w:tcW w:w="1060" w:type="dxa"/>
            <w:vAlign w:val="bottom"/>
            <w:gridSpan w:val="3"/>
            <w:shd w:val="clear" w:color="auto" w:fill="0000EE"/>
          </w:tcPr>
          <w:p>
            <w:pPr>
              <w:spacing w:after="0" w:line="20" w:lineRule="exact"/>
              <w:rPr>
                <w:sz w:val="1"/>
                <w:szCs w:val="1"/>
                <w:color w:val="auto"/>
              </w:rPr>
            </w:pPr>
          </w:p>
        </w:tc>
        <w:tc>
          <w:tcPr>
            <w:tcW w:w="860" w:type="dxa"/>
            <w:vAlign w:val="bottom"/>
            <w:gridSpan w:val="2"/>
          </w:tcPr>
          <w:p>
            <w:pPr>
              <w:spacing w:after="0" w:line="20" w:lineRule="exact"/>
              <w:rPr>
                <w:sz w:val="1"/>
                <w:szCs w:val="1"/>
                <w:color w:val="auto"/>
              </w:rPr>
            </w:pPr>
          </w:p>
        </w:tc>
        <w:tc>
          <w:tcPr>
            <w:tcW w:w="1440" w:type="dxa"/>
            <w:vAlign w:val="bottom"/>
            <w:gridSpan w:val="2"/>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300" w:type="dxa"/>
            <w:vAlign w:val="bottom"/>
            <w:gridSpan w:val="3"/>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37"/>
        </w:trPr>
        <w:tc>
          <w:tcPr>
            <w:tcW w:w="1040" w:type="dxa"/>
            <w:vAlign w:val="bottom"/>
          </w:tcPr>
          <w:p>
            <w:pPr>
              <w:spacing w:after="0"/>
              <w:rPr>
                <w:rFonts w:ascii="Arial" w:cs="Arial" w:eastAsia="Arial" w:hAnsi="Arial"/>
                <w:sz w:val="18"/>
                <w:szCs w:val="18"/>
                <w:color w:val="auto"/>
              </w:rPr>
            </w:pPr>
            <w:hyperlink w:anchor="page158">
              <w:r>
                <w:rPr>
                  <w:rFonts w:ascii="Arial" w:cs="Arial" w:eastAsia="Arial" w:hAnsi="Arial"/>
                  <w:sz w:val="18"/>
                  <w:szCs w:val="18"/>
                  <w:color w:val="auto"/>
                </w:rPr>
                <w:t>Item 9A.</w:t>
              </w:r>
            </w:hyperlink>
          </w:p>
        </w:tc>
        <w:tc>
          <w:tcPr>
            <w:tcW w:w="7140" w:type="dxa"/>
            <w:vAlign w:val="bottom"/>
            <w:gridSpan w:val="26"/>
          </w:tcPr>
          <w:p>
            <w:pPr>
              <w:spacing w:after="0"/>
              <w:rPr>
                <w:rFonts w:ascii="Arial" w:cs="Arial" w:eastAsia="Arial" w:hAnsi="Arial"/>
                <w:sz w:val="18"/>
                <w:szCs w:val="18"/>
                <w:color w:val="0000EE"/>
              </w:rPr>
            </w:pPr>
            <w:hyperlink w:anchor="page158">
              <w:r>
                <w:rPr>
                  <w:rFonts w:ascii="Arial" w:cs="Arial" w:eastAsia="Arial" w:hAnsi="Arial"/>
                  <w:sz w:val="18"/>
                  <w:szCs w:val="18"/>
                  <w:color w:val="0000EE"/>
                </w:rPr>
                <w:t>Controls and Procedures</w:t>
              </w:r>
            </w:hyperlink>
          </w:p>
        </w:tc>
        <w:tc>
          <w:tcPr>
            <w:tcW w:w="2300" w:type="dxa"/>
            <w:vAlign w:val="bottom"/>
            <w:gridSpan w:val="4"/>
          </w:tcPr>
          <w:p>
            <w:pPr>
              <w:spacing w:after="0"/>
              <w:rPr>
                <w:sz w:val="20"/>
                <w:szCs w:val="20"/>
                <w:color w:val="auto"/>
              </w:rPr>
            </w:pPr>
          </w:p>
        </w:tc>
        <w:tc>
          <w:tcPr>
            <w:tcW w:w="900" w:type="dxa"/>
            <w:vAlign w:val="bottom"/>
            <w:gridSpan w:val="5"/>
          </w:tcPr>
          <w:p>
            <w:pPr>
              <w:jc w:val="right"/>
              <w:ind w:right="20"/>
              <w:spacing w:after="0"/>
              <w:rPr>
                <w:rFonts w:ascii="Arial" w:cs="Arial" w:eastAsia="Arial" w:hAnsi="Arial"/>
                <w:sz w:val="18"/>
                <w:szCs w:val="18"/>
                <w:color w:val="0000EE"/>
              </w:rPr>
            </w:pPr>
            <w:hyperlink w:anchor="page158">
              <w:r>
                <w:rPr>
                  <w:rFonts w:ascii="Arial" w:cs="Arial" w:eastAsia="Arial" w:hAnsi="Arial"/>
                  <w:sz w:val="18"/>
                  <w:szCs w:val="18"/>
                  <w:color w:val="0000EE"/>
                </w:rPr>
                <w:t>158</w:t>
              </w:r>
            </w:hyperlink>
          </w:p>
        </w:tc>
      </w:tr>
      <w:tr>
        <w:trPr>
          <w:trHeight w:val="20"/>
        </w:trPr>
        <w:tc>
          <w:tcPr>
            <w:tcW w:w="1040" w:type="dxa"/>
            <w:vAlign w:val="bottom"/>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1280" w:type="dxa"/>
            <w:vAlign w:val="bottom"/>
            <w:gridSpan w:val="4"/>
            <w:shd w:val="clear" w:color="auto" w:fill="0000EE"/>
          </w:tcPr>
          <w:p>
            <w:pPr>
              <w:spacing w:after="0" w:line="20" w:lineRule="exact"/>
              <w:rPr>
                <w:sz w:val="1"/>
                <w:szCs w:val="1"/>
                <w:color w:val="auto"/>
              </w:rPr>
            </w:pPr>
          </w:p>
        </w:tc>
        <w:tc>
          <w:tcPr>
            <w:tcW w:w="260" w:type="dxa"/>
            <w:vAlign w:val="bottom"/>
            <w:gridSpan w:val="2"/>
            <w:shd w:val="clear" w:color="auto" w:fill="0000EE"/>
          </w:tcPr>
          <w:p>
            <w:pPr>
              <w:spacing w:after="0" w:line="20" w:lineRule="exact"/>
              <w:rPr>
                <w:sz w:val="1"/>
                <w:szCs w:val="1"/>
                <w:color w:val="auto"/>
              </w:rPr>
            </w:pPr>
          </w:p>
        </w:tc>
        <w:tc>
          <w:tcPr>
            <w:tcW w:w="320" w:type="dxa"/>
            <w:vAlign w:val="bottom"/>
            <w:gridSpan w:val="2"/>
            <w:shd w:val="clear" w:color="auto" w:fill="0000EE"/>
          </w:tcPr>
          <w:p>
            <w:pPr>
              <w:spacing w:after="0" w:line="20" w:lineRule="exact"/>
              <w:rPr>
                <w:sz w:val="1"/>
                <w:szCs w:val="1"/>
                <w:color w:val="auto"/>
              </w:rPr>
            </w:pPr>
          </w:p>
        </w:tc>
        <w:tc>
          <w:tcPr>
            <w:tcW w:w="1200" w:type="dxa"/>
            <w:vAlign w:val="bottom"/>
            <w:gridSpan w:val="3"/>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gridSpan w:val="3"/>
          </w:tcPr>
          <w:p>
            <w:pPr>
              <w:spacing w:after="0" w:line="20" w:lineRule="exact"/>
              <w:rPr>
                <w:sz w:val="1"/>
                <w:szCs w:val="1"/>
                <w:color w:val="auto"/>
              </w:rPr>
            </w:pPr>
          </w:p>
        </w:tc>
        <w:tc>
          <w:tcPr>
            <w:tcW w:w="480" w:type="dxa"/>
            <w:vAlign w:val="bottom"/>
            <w:gridSpan w:val="4"/>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1920" w:type="dxa"/>
            <w:vAlign w:val="bottom"/>
            <w:gridSpan w:val="5"/>
          </w:tcPr>
          <w:p>
            <w:pPr>
              <w:spacing w:after="0" w:line="20" w:lineRule="exact"/>
              <w:rPr>
                <w:sz w:val="1"/>
                <w:szCs w:val="1"/>
                <w:color w:val="auto"/>
              </w:rPr>
            </w:pPr>
          </w:p>
        </w:tc>
        <w:tc>
          <w:tcPr>
            <w:tcW w:w="1440" w:type="dxa"/>
            <w:vAlign w:val="bottom"/>
            <w:gridSpan w:val="2"/>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300" w:type="dxa"/>
            <w:vAlign w:val="bottom"/>
            <w:gridSpan w:val="3"/>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37"/>
        </w:trPr>
        <w:tc>
          <w:tcPr>
            <w:tcW w:w="1040" w:type="dxa"/>
            <w:vAlign w:val="bottom"/>
          </w:tcPr>
          <w:p>
            <w:pPr>
              <w:spacing w:after="0"/>
              <w:rPr>
                <w:sz w:val="20"/>
                <w:szCs w:val="20"/>
                <w:color w:val="auto"/>
              </w:rPr>
            </w:pPr>
            <w:r>
              <w:rPr>
                <w:rFonts w:ascii="Arial" w:cs="Arial" w:eastAsia="Arial" w:hAnsi="Arial"/>
                <w:sz w:val="18"/>
                <w:szCs w:val="18"/>
                <w:color w:val="auto"/>
              </w:rPr>
              <w:t>Item 9B.</w:t>
            </w:r>
          </w:p>
        </w:tc>
        <w:tc>
          <w:tcPr>
            <w:tcW w:w="1980" w:type="dxa"/>
            <w:vAlign w:val="bottom"/>
            <w:gridSpan w:val="9"/>
          </w:tcPr>
          <w:p>
            <w:pPr>
              <w:spacing w:after="0"/>
              <w:rPr>
                <w:rFonts w:ascii="Arial" w:cs="Arial" w:eastAsia="Arial" w:hAnsi="Arial"/>
                <w:sz w:val="18"/>
                <w:szCs w:val="18"/>
                <w:color w:val="0000EE"/>
              </w:rPr>
            </w:pPr>
            <w:hyperlink w:anchor="page162">
              <w:r>
                <w:rPr>
                  <w:rFonts w:ascii="Arial" w:cs="Arial" w:eastAsia="Arial" w:hAnsi="Arial"/>
                  <w:sz w:val="18"/>
                  <w:szCs w:val="18"/>
                  <w:color w:val="0000EE"/>
                </w:rPr>
                <w:t>Other Information</w:t>
              </w:r>
            </w:hyperlink>
          </w:p>
        </w:tc>
        <w:tc>
          <w:tcPr>
            <w:tcW w:w="7460" w:type="dxa"/>
            <w:vAlign w:val="bottom"/>
            <w:gridSpan w:val="21"/>
          </w:tcPr>
          <w:p>
            <w:pPr>
              <w:spacing w:after="0"/>
              <w:rPr>
                <w:sz w:val="20"/>
                <w:szCs w:val="20"/>
                <w:color w:val="auto"/>
              </w:rPr>
            </w:pPr>
          </w:p>
        </w:tc>
        <w:tc>
          <w:tcPr>
            <w:tcW w:w="900" w:type="dxa"/>
            <w:vAlign w:val="bottom"/>
            <w:gridSpan w:val="5"/>
          </w:tcPr>
          <w:p>
            <w:pPr>
              <w:jc w:val="right"/>
              <w:ind w:right="20"/>
              <w:spacing w:after="0"/>
              <w:rPr>
                <w:rFonts w:ascii="Arial" w:cs="Arial" w:eastAsia="Arial" w:hAnsi="Arial"/>
                <w:sz w:val="18"/>
                <w:szCs w:val="18"/>
                <w:color w:val="0000EE"/>
              </w:rPr>
            </w:pPr>
            <w:hyperlink w:anchor="page162">
              <w:r>
                <w:rPr>
                  <w:rFonts w:ascii="Arial" w:cs="Arial" w:eastAsia="Arial" w:hAnsi="Arial"/>
                  <w:sz w:val="18"/>
                  <w:szCs w:val="18"/>
                  <w:color w:val="0000EE"/>
                </w:rPr>
                <w:t>162</w:t>
              </w:r>
            </w:hyperlink>
          </w:p>
        </w:tc>
      </w:tr>
      <w:tr>
        <w:trPr>
          <w:trHeight w:val="561"/>
        </w:trPr>
        <w:tc>
          <w:tcPr>
            <w:tcW w:w="1040" w:type="dxa"/>
            <w:vAlign w:val="bottom"/>
          </w:tcPr>
          <w:p>
            <w:pPr>
              <w:spacing w:after="0"/>
              <w:rPr>
                <w:sz w:val="24"/>
                <w:szCs w:val="24"/>
                <w:color w:val="auto"/>
              </w:rPr>
            </w:pPr>
          </w:p>
        </w:tc>
        <w:tc>
          <w:tcPr>
            <w:tcW w:w="120" w:type="dxa"/>
            <w:vAlign w:val="bottom"/>
            <w:tcBorders>
              <w:top w:val="single" w:sz="8" w:color="0000EE"/>
            </w:tcBorders>
          </w:tcPr>
          <w:p>
            <w:pPr>
              <w:spacing w:after="0"/>
              <w:rPr>
                <w:sz w:val="24"/>
                <w:szCs w:val="24"/>
                <w:color w:val="auto"/>
              </w:rPr>
            </w:pPr>
          </w:p>
        </w:tc>
        <w:tc>
          <w:tcPr>
            <w:tcW w:w="600" w:type="dxa"/>
            <w:vAlign w:val="bottom"/>
            <w:tcBorders>
              <w:top w:val="single" w:sz="8" w:color="0000EE"/>
            </w:tcBorders>
          </w:tcPr>
          <w:p>
            <w:pPr>
              <w:spacing w:after="0"/>
              <w:rPr>
                <w:sz w:val="24"/>
                <w:szCs w:val="24"/>
                <w:color w:val="auto"/>
              </w:rPr>
            </w:pPr>
          </w:p>
        </w:tc>
        <w:tc>
          <w:tcPr>
            <w:tcW w:w="60" w:type="dxa"/>
            <w:vAlign w:val="bottom"/>
            <w:tcBorders>
              <w:top w:val="single" w:sz="8" w:color="0000EE"/>
            </w:tcBorders>
          </w:tcPr>
          <w:p>
            <w:pPr>
              <w:spacing w:after="0"/>
              <w:rPr>
                <w:sz w:val="24"/>
                <w:szCs w:val="24"/>
                <w:color w:val="auto"/>
              </w:rPr>
            </w:pPr>
          </w:p>
        </w:tc>
        <w:tc>
          <w:tcPr>
            <w:tcW w:w="220" w:type="dxa"/>
            <w:vAlign w:val="bottom"/>
            <w:tcBorders>
              <w:top w:val="single" w:sz="8" w:color="0000EE"/>
            </w:tcBorders>
          </w:tcPr>
          <w:p>
            <w:pPr>
              <w:spacing w:after="0"/>
              <w:rPr>
                <w:sz w:val="24"/>
                <w:szCs w:val="24"/>
                <w:color w:val="auto"/>
              </w:rPr>
            </w:pPr>
          </w:p>
        </w:tc>
        <w:tc>
          <w:tcPr>
            <w:tcW w:w="400" w:type="dxa"/>
            <w:vAlign w:val="bottom"/>
            <w:tcBorders>
              <w:top w:val="single" w:sz="8" w:color="0000EE"/>
            </w:tcBorders>
          </w:tcPr>
          <w:p>
            <w:pPr>
              <w:spacing w:after="0"/>
              <w:rPr>
                <w:sz w:val="24"/>
                <w:szCs w:val="24"/>
                <w:color w:val="auto"/>
              </w:rPr>
            </w:pPr>
          </w:p>
        </w:tc>
        <w:tc>
          <w:tcPr>
            <w:tcW w:w="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80" w:type="dxa"/>
            <w:vAlign w:val="bottom"/>
            <w:tcBorders>
              <w:bottom w:val="single" w:sz="8" w:color="0000EE"/>
            </w:tcBorders>
            <w:gridSpan w:val="7"/>
          </w:tcPr>
          <w:p>
            <w:pPr>
              <w:jc w:val="center"/>
              <w:spacing w:after="0"/>
              <w:rPr>
                <w:rFonts w:ascii="Arial" w:cs="Arial" w:eastAsia="Arial" w:hAnsi="Arial"/>
                <w:sz w:val="18"/>
                <w:szCs w:val="18"/>
                <w:b w:val="1"/>
                <w:bCs w:val="1"/>
                <w:color w:val="0000EE"/>
                <w:w w:val="98"/>
              </w:rPr>
            </w:pPr>
            <w:hyperlink w:anchor="page162">
              <w:r>
                <w:rPr>
                  <w:rFonts w:ascii="Arial" w:cs="Arial" w:eastAsia="Arial" w:hAnsi="Arial"/>
                  <w:sz w:val="18"/>
                  <w:szCs w:val="18"/>
                  <w:b w:val="1"/>
                  <w:bCs w:val="1"/>
                  <w:color w:val="0000EE"/>
                  <w:w w:val="98"/>
                </w:rPr>
                <w:t>PART III</w:t>
              </w:r>
            </w:hyperlink>
          </w:p>
        </w:tc>
        <w:tc>
          <w:tcPr>
            <w:tcW w:w="4460" w:type="dxa"/>
            <w:vAlign w:val="bottom"/>
            <w:gridSpan w:val="8"/>
          </w:tcPr>
          <w:p>
            <w:pPr>
              <w:spacing w:after="0"/>
              <w:rPr>
                <w:sz w:val="24"/>
                <w:szCs w:val="24"/>
                <w:color w:val="auto"/>
              </w:rPr>
            </w:pPr>
          </w:p>
        </w:tc>
        <w:tc>
          <w:tcPr>
            <w:tcW w:w="580" w:type="dxa"/>
            <w:vAlign w:val="bottom"/>
          </w:tcPr>
          <w:p>
            <w:pPr>
              <w:spacing w:after="0"/>
              <w:rPr>
                <w:sz w:val="24"/>
                <w:szCs w:val="24"/>
                <w:color w:val="auto"/>
              </w:rPr>
            </w:pPr>
          </w:p>
        </w:tc>
        <w:tc>
          <w:tcPr>
            <w:tcW w:w="100" w:type="dxa"/>
            <w:vAlign w:val="bottom"/>
            <w:tcBorders>
              <w:top w:val="single" w:sz="8" w:color="0000EE"/>
            </w:tcBorders>
          </w:tcPr>
          <w:p>
            <w:pPr>
              <w:spacing w:after="0"/>
              <w:rPr>
                <w:sz w:val="24"/>
                <w:szCs w:val="24"/>
                <w:color w:val="auto"/>
              </w:rPr>
            </w:pPr>
          </w:p>
        </w:tc>
        <w:tc>
          <w:tcPr>
            <w:tcW w:w="100" w:type="dxa"/>
            <w:vAlign w:val="bottom"/>
            <w:tcBorders>
              <w:top w:val="single" w:sz="8" w:color="0000EE"/>
            </w:tcBorders>
          </w:tcPr>
          <w:p>
            <w:pPr>
              <w:spacing w:after="0"/>
              <w:rPr>
                <w:sz w:val="24"/>
                <w:szCs w:val="24"/>
                <w:color w:val="auto"/>
              </w:rPr>
            </w:pPr>
          </w:p>
        </w:tc>
        <w:tc>
          <w:tcPr>
            <w:tcW w:w="100" w:type="dxa"/>
            <w:vAlign w:val="bottom"/>
            <w:tcBorders>
              <w:top w:val="single" w:sz="8" w:color="0000EE"/>
            </w:tcBorders>
          </w:tcPr>
          <w:p>
            <w:pPr>
              <w:spacing w:after="0"/>
              <w:rPr>
                <w:sz w:val="24"/>
                <w:szCs w:val="24"/>
                <w:color w:val="auto"/>
              </w:rPr>
            </w:pPr>
          </w:p>
        </w:tc>
        <w:tc>
          <w:tcPr>
            <w:tcW w:w="20" w:type="dxa"/>
            <w:vAlign w:val="bottom"/>
          </w:tcPr>
          <w:p>
            <w:pPr>
              <w:spacing w:after="0"/>
              <w:rPr>
                <w:sz w:val="24"/>
                <w:szCs w:val="24"/>
                <w:color w:val="auto"/>
              </w:rPr>
            </w:pPr>
          </w:p>
        </w:tc>
      </w:tr>
      <w:tr>
        <w:trPr>
          <w:trHeight w:val="237"/>
        </w:trPr>
        <w:tc>
          <w:tcPr>
            <w:tcW w:w="1040" w:type="dxa"/>
            <w:vAlign w:val="bottom"/>
          </w:tcPr>
          <w:p>
            <w:pPr>
              <w:spacing w:after="0"/>
              <w:rPr>
                <w:rFonts w:ascii="Arial" w:cs="Arial" w:eastAsia="Arial" w:hAnsi="Arial"/>
                <w:sz w:val="18"/>
                <w:szCs w:val="18"/>
                <w:color w:val="auto"/>
              </w:rPr>
            </w:pPr>
            <w:hyperlink w:anchor="page162">
              <w:r>
                <w:rPr>
                  <w:rFonts w:ascii="Arial" w:cs="Arial" w:eastAsia="Arial" w:hAnsi="Arial"/>
                  <w:sz w:val="18"/>
                  <w:szCs w:val="18"/>
                  <w:color w:val="auto"/>
                </w:rPr>
                <w:t>Item 10.</w:t>
              </w:r>
            </w:hyperlink>
          </w:p>
        </w:tc>
        <w:tc>
          <w:tcPr>
            <w:tcW w:w="4500" w:type="dxa"/>
            <w:vAlign w:val="bottom"/>
            <w:gridSpan w:val="18"/>
          </w:tcPr>
          <w:p>
            <w:pPr>
              <w:spacing w:after="0"/>
              <w:rPr>
                <w:rFonts w:ascii="Arial" w:cs="Arial" w:eastAsia="Arial" w:hAnsi="Arial"/>
                <w:sz w:val="18"/>
                <w:szCs w:val="18"/>
                <w:color w:val="0000EE"/>
                <w:w w:val="99"/>
              </w:rPr>
            </w:pPr>
            <w:hyperlink w:anchor="page162">
              <w:r>
                <w:rPr>
                  <w:rFonts w:ascii="Arial" w:cs="Arial" w:eastAsia="Arial" w:hAnsi="Arial"/>
                  <w:sz w:val="18"/>
                  <w:szCs w:val="18"/>
                  <w:color w:val="0000EE"/>
                  <w:w w:val="99"/>
                </w:rPr>
                <w:t>Directors, Executive Officers and Corporate Governance</w:t>
              </w:r>
            </w:hyperlink>
          </w:p>
        </w:tc>
        <w:tc>
          <w:tcPr>
            <w:tcW w:w="4940" w:type="dxa"/>
            <w:vAlign w:val="bottom"/>
            <w:gridSpan w:val="12"/>
          </w:tcPr>
          <w:p>
            <w:pPr>
              <w:spacing w:after="0"/>
              <w:rPr>
                <w:sz w:val="20"/>
                <w:szCs w:val="20"/>
                <w:color w:val="auto"/>
              </w:rPr>
            </w:pPr>
          </w:p>
        </w:tc>
        <w:tc>
          <w:tcPr>
            <w:tcW w:w="900" w:type="dxa"/>
            <w:vAlign w:val="bottom"/>
            <w:gridSpan w:val="5"/>
          </w:tcPr>
          <w:p>
            <w:pPr>
              <w:jc w:val="right"/>
              <w:ind w:right="20"/>
              <w:spacing w:after="0"/>
              <w:rPr>
                <w:rFonts w:ascii="Arial" w:cs="Arial" w:eastAsia="Arial" w:hAnsi="Arial"/>
                <w:sz w:val="18"/>
                <w:szCs w:val="18"/>
                <w:color w:val="0000EE"/>
              </w:rPr>
            </w:pPr>
            <w:hyperlink w:anchor="page162">
              <w:r>
                <w:rPr>
                  <w:rFonts w:ascii="Arial" w:cs="Arial" w:eastAsia="Arial" w:hAnsi="Arial"/>
                  <w:sz w:val="18"/>
                  <w:szCs w:val="18"/>
                  <w:color w:val="0000EE"/>
                </w:rPr>
                <w:t>162</w:t>
              </w:r>
            </w:hyperlink>
          </w:p>
        </w:tc>
      </w:tr>
      <w:tr>
        <w:trPr>
          <w:trHeight w:val="20"/>
        </w:trPr>
        <w:tc>
          <w:tcPr>
            <w:tcW w:w="1040" w:type="dxa"/>
            <w:vAlign w:val="bottom"/>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1540" w:type="dxa"/>
            <w:vAlign w:val="bottom"/>
            <w:gridSpan w:val="6"/>
            <w:shd w:val="clear" w:color="auto" w:fill="0000EE"/>
          </w:tcPr>
          <w:p>
            <w:pPr>
              <w:spacing w:after="0" w:line="20" w:lineRule="exact"/>
              <w:rPr>
                <w:sz w:val="1"/>
                <w:szCs w:val="1"/>
                <w:color w:val="auto"/>
              </w:rPr>
            </w:pPr>
          </w:p>
        </w:tc>
        <w:tc>
          <w:tcPr>
            <w:tcW w:w="320" w:type="dxa"/>
            <w:vAlign w:val="bottom"/>
            <w:gridSpan w:val="2"/>
            <w:shd w:val="clear" w:color="auto" w:fill="0000EE"/>
          </w:tcPr>
          <w:p>
            <w:pPr>
              <w:spacing w:after="0" w:line="20" w:lineRule="exact"/>
              <w:rPr>
                <w:sz w:val="1"/>
                <w:szCs w:val="1"/>
                <w:color w:val="auto"/>
              </w:rPr>
            </w:pPr>
          </w:p>
        </w:tc>
        <w:tc>
          <w:tcPr>
            <w:tcW w:w="1200" w:type="dxa"/>
            <w:vAlign w:val="bottom"/>
            <w:gridSpan w:val="3"/>
            <w:shd w:val="clear" w:color="auto" w:fill="0000EE"/>
          </w:tcPr>
          <w:p>
            <w:pPr>
              <w:spacing w:after="0" w:line="20" w:lineRule="exact"/>
              <w:rPr>
                <w:sz w:val="1"/>
                <w:szCs w:val="1"/>
                <w:color w:val="auto"/>
              </w:rPr>
            </w:pPr>
          </w:p>
        </w:tc>
        <w:tc>
          <w:tcPr>
            <w:tcW w:w="320" w:type="dxa"/>
            <w:vAlign w:val="bottom"/>
            <w:shd w:val="clear" w:color="auto" w:fill="0000EE"/>
          </w:tcPr>
          <w:p>
            <w:pPr>
              <w:spacing w:after="0" w:line="20" w:lineRule="exact"/>
              <w:rPr>
                <w:sz w:val="1"/>
                <w:szCs w:val="1"/>
                <w:color w:val="auto"/>
              </w:rPr>
            </w:pPr>
          </w:p>
        </w:tc>
        <w:tc>
          <w:tcPr>
            <w:tcW w:w="780" w:type="dxa"/>
            <w:vAlign w:val="bottom"/>
            <w:shd w:val="clear" w:color="auto" w:fill="0000EE"/>
          </w:tcPr>
          <w:p>
            <w:pPr>
              <w:spacing w:after="0" w:line="20" w:lineRule="exact"/>
              <w:rPr>
                <w:sz w:val="1"/>
                <w:szCs w:val="1"/>
                <w:color w:val="auto"/>
              </w:rPr>
            </w:pPr>
          </w:p>
        </w:tc>
        <w:tc>
          <w:tcPr>
            <w:tcW w:w="220" w:type="dxa"/>
            <w:vAlign w:val="bottom"/>
            <w:gridSpan w:val="4"/>
            <w:shd w:val="clear" w:color="auto" w:fill="0000EE"/>
          </w:tcPr>
          <w:p>
            <w:pPr>
              <w:spacing w:after="0" w:line="20" w:lineRule="exact"/>
              <w:rPr>
                <w:sz w:val="1"/>
                <w:szCs w:val="1"/>
                <w:color w:val="auto"/>
              </w:rPr>
            </w:pPr>
          </w:p>
        </w:tc>
        <w:tc>
          <w:tcPr>
            <w:tcW w:w="480" w:type="dxa"/>
            <w:vAlign w:val="bottom"/>
            <w:gridSpan w:val="4"/>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1920" w:type="dxa"/>
            <w:vAlign w:val="bottom"/>
            <w:gridSpan w:val="5"/>
          </w:tcPr>
          <w:p>
            <w:pPr>
              <w:spacing w:after="0" w:line="20" w:lineRule="exact"/>
              <w:rPr>
                <w:sz w:val="1"/>
                <w:szCs w:val="1"/>
                <w:color w:val="auto"/>
              </w:rPr>
            </w:pPr>
          </w:p>
        </w:tc>
        <w:tc>
          <w:tcPr>
            <w:tcW w:w="1440" w:type="dxa"/>
            <w:vAlign w:val="bottom"/>
            <w:gridSpan w:val="2"/>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300" w:type="dxa"/>
            <w:vAlign w:val="bottom"/>
            <w:gridSpan w:val="3"/>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37"/>
        </w:trPr>
        <w:tc>
          <w:tcPr>
            <w:tcW w:w="1040" w:type="dxa"/>
            <w:vAlign w:val="bottom"/>
          </w:tcPr>
          <w:p>
            <w:pPr>
              <w:spacing w:after="0"/>
              <w:rPr>
                <w:rFonts w:ascii="Arial" w:cs="Arial" w:eastAsia="Arial" w:hAnsi="Arial"/>
                <w:sz w:val="18"/>
                <w:szCs w:val="18"/>
                <w:color w:val="auto"/>
              </w:rPr>
            </w:pPr>
            <w:hyperlink w:anchor="page162">
              <w:r>
                <w:rPr>
                  <w:rFonts w:ascii="Arial" w:cs="Arial" w:eastAsia="Arial" w:hAnsi="Arial"/>
                  <w:sz w:val="18"/>
                  <w:szCs w:val="18"/>
                  <w:color w:val="auto"/>
                </w:rPr>
                <w:t>Item 11.</w:t>
              </w:r>
            </w:hyperlink>
          </w:p>
        </w:tc>
        <w:tc>
          <w:tcPr>
            <w:tcW w:w="4500" w:type="dxa"/>
            <w:vAlign w:val="bottom"/>
            <w:gridSpan w:val="18"/>
          </w:tcPr>
          <w:p>
            <w:pPr>
              <w:spacing w:after="0"/>
              <w:rPr>
                <w:rFonts w:ascii="Arial" w:cs="Arial" w:eastAsia="Arial" w:hAnsi="Arial"/>
                <w:sz w:val="18"/>
                <w:szCs w:val="18"/>
                <w:color w:val="0000EE"/>
              </w:rPr>
            </w:pPr>
            <w:hyperlink w:anchor="page162">
              <w:r>
                <w:rPr>
                  <w:rFonts w:ascii="Arial" w:cs="Arial" w:eastAsia="Arial" w:hAnsi="Arial"/>
                  <w:sz w:val="18"/>
                  <w:szCs w:val="18"/>
                  <w:color w:val="0000EE"/>
                </w:rPr>
                <w:t>Executive Compensation</w:t>
              </w:r>
            </w:hyperlink>
          </w:p>
        </w:tc>
        <w:tc>
          <w:tcPr>
            <w:tcW w:w="4940" w:type="dxa"/>
            <w:vAlign w:val="bottom"/>
            <w:gridSpan w:val="12"/>
          </w:tcPr>
          <w:p>
            <w:pPr>
              <w:spacing w:after="0"/>
              <w:rPr>
                <w:sz w:val="20"/>
                <w:szCs w:val="20"/>
                <w:color w:val="auto"/>
              </w:rPr>
            </w:pPr>
          </w:p>
        </w:tc>
        <w:tc>
          <w:tcPr>
            <w:tcW w:w="900" w:type="dxa"/>
            <w:vAlign w:val="bottom"/>
            <w:gridSpan w:val="5"/>
          </w:tcPr>
          <w:p>
            <w:pPr>
              <w:jc w:val="right"/>
              <w:ind w:right="20"/>
              <w:spacing w:after="0"/>
              <w:rPr>
                <w:rFonts w:ascii="Arial" w:cs="Arial" w:eastAsia="Arial" w:hAnsi="Arial"/>
                <w:sz w:val="18"/>
                <w:szCs w:val="18"/>
                <w:color w:val="0000EE"/>
              </w:rPr>
            </w:pPr>
            <w:hyperlink w:anchor="page162">
              <w:r>
                <w:rPr>
                  <w:rFonts w:ascii="Arial" w:cs="Arial" w:eastAsia="Arial" w:hAnsi="Arial"/>
                  <w:sz w:val="18"/>
                  <w:szCs w:val="18"/>
                  <w:color w:val="0000EE"/>
                </w:rPr>
                <w:t>162</w:t>
              </w:r>
            </w:hyperlink>
          </w:p>
        </w:tc>
      </w:tr>
      <w:tr>
        <w:trPr>
          <w:trHeight w:val="20"/>
        </w:trPr>
        <w:tc>
          <w:tcPr>
            <w:tcW w:w="1040" w:type="dxa"/>
            <w:vAlign w:val="bottom"/>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1540" w:type="dxa"/>
            <w:vAlign w:val="bottom"/>
            <w:gridSpan w:val="6"/>
            <w:shd w:val="clear" w:color="auto" w:fill="0000EE"/>
          </w:tcPr>
          <w:p>
            <w:pPr>
              <w:spacing w:after="0" w:line="20" w:lineRule="exact"/>
              <w:rPr>
                <w:sz w:val="1"/>
                <w:szCs w:val="1"/>
                <w:color w:val="auto"/>
              </w:rPr>
            </w:pPr>
          </w:p>
        </w:tc>
        <w:tc>
          <w:tcPr>
            <w:tcW w:w="320" w:type="dxa"/>
            <w:vAlign w:val="bottom"/>
            <w:gridSpan w:val="2"/>
            <w:shd w:val="clear" w:color="auto" w:fill="0000EE"/>
          </w:tcPr>
          <w:p>
            <w:pPr>
              <w:spacing w:after="0" w:line="20" w:lineRule="exact"/>
              <w:rPr>
                <w:sz w:val="1"/>
                <w:szCs w:val="1"/>
                <w:color w:val="auto"/>
              </w:rPr>
            </w:pPr>
          </w:p>
        </w:tc>
        <w:tc>
          <w:tcPr>
            <w:tcW w:w="1200" w:type="dxa"/>
            <w:vAlign w:val="bottom"/>
            <w:gridSpan w:val="3"/>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700" w:type="dxa"/>
            <w:vAlign w:val="bottom"/>
            <w:gridSpan w:val="8"/>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1920" w:type="dxa"/>
            <w:vAlign w:val="bottom"/>
            <w:gridSpan w:val="5"/>
          </w:tcPr>
          <w:p>
            <w:pPr>
              <w:spacing w:after="0" w:line="20" w:lineRule="exact"/>
              <w:rPr>
                <w:sz w:val="1"/>
                <w:szCs w:val="1"/>
                <w:color w:val="auto"/>
              </w:rPr>
            </w:pPr>
          </w:p>
        </w:tc>
        <w:tc>
          <w:tcPr>
            <w:tcW w:w="1440" w:type="dxa"/>
            <w:vAlign w:val="bottom"/>
            <w:gridSpan w:val="2"/>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300" w:type="dxa"/>
            <w:vAlign w:val="bottom"/>
            <w:gridSpan w:val="3"/>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37"/>
        </w:trPr>
        <w:tc>
          <w:tcPr>
            <w:tcW w:w="1040" w:type="dxa"/>
            <w:vAlign w:val="bottom"/>
          </w:tcPr>
          <w:p>
            <w:pPr>
              <w:spacing w:after="0"/>
              <w:rPr>
                <w:rFonts w:ascii="Arial" w:cs="Arial" w:eastAsia="Arial" w:hAnsi="Arial"/>
                <w:sz w:val="18"/>
                <w:szCs w:val="18"/>
                <w:color w:val="auto"/>
              </w:rPr>
            </w:pPr>
            <w:hyperlink w:anchor="page162">
              <w:r>
                <w:rPr>
                  <w:rFonts w:ascii="Arial" w:cs="Arial" w:eastAsia="Arial" w:hAnsi="Arial"/>
                  <w:sz w:val="18"/>
                  <w:szCs w:val="18"/>
                  <w:color w:val="auto"/>
                </w:rPr>
                <w:t>Item 12.</w:t>
              </w:r>
            </w:hyperlink>
          </w:p>
        </w:tc>
        <w:tc>
          <w:tcPr>
            <w:tcW w:w="9440" w:type="dxa"/>
            <w:vAlign w:val="bottom"/>
            <w:gridSpan w:val="30"/>
          </w:tcPr>
          <w:p>
            <w:pPr>
              <w:spacing w:after="0"/>
              <w:rPr>
                <w:rFonts w:ascii="Arial" w:cs="Arial" w:eastAsia="Arial" w:hAnsi="Arial"/>
                <w:sz w:val="18"/>
                <w:szCs w:val="18"/>
                <w:color w:val="0000EE"/>
              </w:rPr>
            </w:pPr>
            <w:hyperlink w:anchor="page162">
              <w:r>
                <w:rPr>
                  <w:rFonts w:ascii="Arial" w:cs="Arial" w:eastAsia="Arial" w:hAnsi="Arial"/>
                  <w:sz w:val="18"/>
                  <w:szCs w:val="18"/>
                  <w:color w:val="0000EE"/>
                </w:rPr>
                <w:t>Security Ownership of Certain Beneficial Owners and Management and Related Stockholder Matters</w:t>
              </w:r>
            </w:hyperlink>
          </w:p>
        </w:tc>
        <w:tc>
          <w:tcPr>
            <w:tcW w:w="900" w:type="dxa"/>
            <w:vAlign w:val="bottom"/>
            <w:gridSpan w:val="5"/>
          </w:tcPr>
          <w:p>
            <w:pPr>
              <w:jc w:val="right"/>
              <w:ind w:right="20"/>
              <w:spacing w:after="0"/>
              <w:rPr>
                <w:rFonts w:ascii="Arial" w:cs="Arial" w:eastAsia="Arial" w:hAnsi="Arial"/>
                <w:sz w:val="18"/>
                <w:szCs w:val="18"/>
                <w:color w:val="0000EE"/>
              </w:rPr>
            </w:pPr>
            <w:hyperlink w:anchor="page162">
              <w:r>
                <w:rPr>
                  <w:rFonts w:ascii="Arial" w:cs="Arial" w:eastAsia="Arial" w:hAnsi="Arial"/>
                  <w:sz w:val="18"/>
                  <w:szCs w:val="18"/>
                  <w:color w:val="0000EE"/>
                </w:rPr>
                <w:t>162</w:t>
              </w:r>
            </w:hyperlink>
          </w:p>
        </w:tc>
      </w:tr>
      <w:tr>
        <w:trPr>
          <w:trHeight w:val="20"/>
        </w:trPr>
        <w:tc>
          <w:tcPr>
            <w:tcW w:w="1040" w:type="dxa"/>
            <w:vAlign w:val="bottom"/>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1540" w:type="dxa"/>
            <w:vAlign w:val="bottom"/>
            <w:gridSpan w:val="6"/>
            <w:shd w:val="clear" w:color="auto" w:fill="0000EE"/>
          </w:tcPr>
          <w:p>
            <w:pPr>
              <w:spacing w:after="0" w:line="20" w:lineRule="exact"/>
              <w:rPr>
                <w:sz w:val="1"/>
                <w:szCs w:val="1"/>
                <w:color w:val="auto"/>
              </w:rPr>
            </w:pPr>
          </w:p>
        </w:tc>
        <w:tc>
          <w:tcPr>
            <w:tcW w:w="1520" w:type="dxa"/>
            <w:vAlign w:val="bottom"/>
            <w:gridSpan w:val="5"/>
            <w:shd w:val="clear" w:color="auto" w:fill="0000EE"/>
          </w:tcPr>
          <w:p>
            <w:pPr>
              <w:spacing w:after="0" w:line="20" w:lineRule="exact"/>
              <w:rPr>
                <w:sz w:val="1"/>
                <w:szCs w:val="1"/>
                <w:color w:val="auto"/>
              </w:rPr>
            </w:pPr>
          </w:p>
        </w:tc>
        <w:tc>
          <w:tcPr>
            <w:tcW w:w="320" w:type="dxa"/>
            <w:vAlign w:val="bottom"/>
            <w:shd w:val="clear" w:color="auto" w:fill="0000EE"/>
          </w:tcPr>
          <w:p>
            <w:pPr>
              <w:spacing w:after="0" w:line="20" w:lineRule="exact"/>
              <w:rPr>
                <w:sz w:val="1"/>
                <w:szCs w:val="1"/>
                <w:color w:val="auto"/>
              </w:rPr>
            </w:pPr>
          </w:p>
        </w:tc>
        <w:tc>
          <w:tcPr>
            <w:tcW w:w="780" w:type="dxa"/>
            <w:vAlign w:val="bottom"/>
            <w:shd w:val="clear" w:color="auto" w:fill="0000EE"/>
          </w:tcPr>
          <w:p>
            <w:pPr>
              <w:spacing w:after="0" w:line="20" w:lineRule="exact"/>
              <w:rPr>
                <w:sz w:val="1"/>
                <w:szCs w:val="1"/>
                <w:color w:val="auto"/>
              </w:rPr>
            </w:pPr>
          </w:p>
        </w:tc>
        <w:tc>
          <w:tcPr>
            <w:tcW w:w="700" w:type="dxa"/>
            <w:vAlign w:val="bottom"/>
            <w:gridSpan w:val="8"/>
            <w:shd w:val="clear" w:color="auto" w:fill="0000EE"/>
          </w:tcPr>
          <w:p>
            <w:pPr>
              <w:spacing w:after="0" w:line="20" w:lineRule="exact"/>
              <w:rPr>
                <w:sz w:val="1"/>
                <w:szCs w:val="1"/>
                <w:color w:val="auto"/>
              </w:rPr>
            </w:pPr>
          </w:p>
        </w:tc>
        <w:tc>
          <w:tcPr>
            <w:tcW w:w="1100" w:type="dxa"/>
            <w:vAlign w:val="bottom"/>
            <w:shd w:val="clear" w:color="auto" w:fill="0000EE"/>
          </w:tcPr>
          <w:p>
            <w:pPr>
              <w:spacing w:after="0" w:line="20" w:lineRule="exact"/>
              <w:rPr>
                <w:sz w:val="1"/>
                <w:szCs w:val="1"/>
                <w:color w:val="auto"/>
              </w:rPr>
            </w:pPr>
          </w:p>
        </w:tc>
        <w:tc>
          <w:tcPr>
            <w:tcW w:w="1920" w:type="dxa"/>
            <w:vAlign w:val="bottom"/>
            <w:gridSpan w:val="5"/>
            <w:shd w:val="clear" w:color="auto" w:fill="0000EE"/>
          </w:tcPr>
          <w:p>
            <w:pPr>
              <w:spacing w:after="0" w:line="20" w:lineRule="exact"/>
              <w:rPr>
                <w:sz w:val="1"/>
                <w:szCs w:val="1"/>
                <w:color w:val="auto"/>
              </w:rPr>
            </w:pPr>
          </w:p>
        </w:tc>
        <w:tc>
          <w:tcPr>
            <w:tcW w:w="1440" w:type="dxa"/>
            <w:vAlign w:val="bottom"/>
            <w:gridSpan w:val="2"/>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300" w:type="dxa"/>
            <w:vAlign w:val="bottom"/>
            <w:gridSpan w:val="3"/>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37"/>
        </w:trPr>
        <w:tc>
          <w:tcPr>
            <w:tcW w:w="1040" w:type="dxa"/>
            <w:vAlign w:val="bottom"/>
          </w:tcPr>
          <w:p>
            <w:pPr>
              <w:spacing w:after="0"/>
              <w:rPr>
                <w:rFonts w:ascii="Arial" w:cs="Arial" w:eastAsia="Arial" w:hAnsi="Arial"/>
                <w:sz w:val="18"/>
                <w:szCs w:val="18"/>
                <w:color w:val="auto"/>
              </w:rPr>
            </w:pPr>
            <w:hyperlink w:anchor="page162">
              <w:r>
                <w:rPr>
                  <w:rFonts w:ascii="Arial" w:cs="Arial" w:eastAsia="Arial" w:hAnsi="Arial"/>
                  <w:sz w:val="18"/>
                  <w:szCs w:val="18"/>
                  <w:color w:val="auto"/>
                </w:rPr>
                <w:t>Item 13.</w:t>
              </w:r>
            </w:hyperlink>
          </w:p>
        </w:tc>
        <w:tc>
          <w:tcPr>
            <w:tcW w:w="6080" w:type="dxa"/>
            <w:vAlign w:val="bottom"/>
            <w:gridSpan w:val="23"/>
          </w:tcPr>
          <w:p>
            <w:pPr>
              <w:spacing w:after="0"/>
              <w:rPr>
                <w:rFonts w:ascii="Arial" w:cs="Arial" w:eastAsia="Arial" w:hAnsi="Arial"/>
                <w:sz w:val="18"/>
                <w:szCs w:val="18"/>
                <w:color w:val="0000EE"/>
                <w:w w:val="99"/>
              </w:rPr>
            </w:pPr>
            <w:hyperlink w:anchor="page162">
              <w:r>
                <w:rPr>
                  <w:rFonts w:ascii="Arial" w:cs="Arial" w:eastAsia="Arial" w:hAnsi="Arial"/>
                  <w:sz w:val="18"/>
                  <w:szCs w:val="18"/>
                  <w:color w:val="0000EE"/>
                  <w:w w:val="99"/>
                </w:rPr>
                <w:t>Certain Relationships and Related Transactions, and Director Independence</w:t>
              </w:r>
            </w:hyperlink>
          </w:p>
        </w:tc>
        <w:tc>
          <w:tcPr>
            <w:tcW w:w="1920" w:type="dxa"/>
            <w:vAlign w:val="bottom"/>
            <w:gridSpan w:val="5"/>
          </w:tcPr>
          <w:p>
            <w:pPr>
              <w:spacing w:after="0"/>
              <w:rPr>
                <w:sz w:val="20"/>
                <w:szCs w:val="20"/>
                <w:color w:val="auto"/>
              </w:rPr>
            </w:pPr>
          </w:p>
        </w:tc>
        <w:tc>
          <w:tcPr>
            <w:tcW w:w="1440" w:type="dxa"/>
            <w:vAlign w:val="bottom"/>
            <w:gridSpan w:val="2"/>
          </w:tcPr>
          <w:p>
            <w:pPr>
              <w:spacing w:after="0"/>
              <w:rPr>
                <w:sz w:val="20"/>
                <w:szCs w:val="20"/>
                <w:color w:val="auto"/>
              </w:rPr>
            </w:pPr>
          </w:p>
        </w:tc>
        <w:tc>
          <w:tcPr>
            <w:tcW w:w="900" w:type="dxa"/>
            <w:vAlign w:val="bottom"/>
            <w:gridSpan w:val="5"/>
          </w:tcPr>
          <w:p>
            <w:pPr>
              <w:jc w:val="right"/>
              <w:ind w:right="20"/>
              <w:spacing w:after="0"/>
              <w:rPr>
                <w:rFonts w:ascii="Arial" w:cs="Arial" w:eastAsia="Arial" w:hAnsi="Arial"/>
                <w:sz w:val="18"/>
                <w:szCs w:val="18"/>
                <w:color w:val="0000EE"/>
              </w:rPr>
            </w:pPr>
            <w:hyperlink w:anchor="page162">
              <w:r>
                <w:rPr>
                  <w:rFonts w:ascii="Arial" w:cs="Arial" w:eastAsia="Arial" w:hAnsi="Arial"/>
                  <w:sz w:val="18"/>
                  <w:szCs w:val="18"/>
                  <w:color w:val="0000EE"/>
                </w:rPr>
                <w:t>162</w:t>
              </w:r>
            </w:hyperlink>
          </w:p>
        </w:tc>
      </w:tr>
      <w:tr>
        <w:trPr>
          <w:trHeight w:val="20"/>
        </w:trPr>
        <w:tc>
          <w:tcPr>
            <w:tcW w:w="1040" w:type="dxa"/>
            <w:vAlign w:val="bottom"/>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1540" w:type="dxa"/>
            <w:vAlign w:val="bottom"/>
            <w:gridSpan w:val="6"/>
            <w:shd w:val="clear" w:color="auto" w:fill="0000EE"/>
          </w:tcPr>
          <w:p>
            <w:pPr>
              <w:spacing w:after="0" w:line="20" w:lineRule="exact"/>
              <w:rPr>
                <w:sz w:val="1"/>
                <w:szCs w:val="1"/>
                <w:color w:val="auto"/>
              </w:rPr>
            </w:pPr>
          </w:p>
        </w:tc>
        <w:tc>
          <w:tcPr>
            <w:tcW w:w="1520" w:type="dxa"/>
            <w:vAlign w:val="bottom"/>
            <w:gridSpan w:val="5"/>
            <w:shd w:val="clear" w:color="auto" w:fill="0000EE"/>
          </w:tcPr>
          <w:p>
            <w:pPr>
              <w:spacing w:after="0" w:line="20" w:lineRule="exact"/>
              <w:rPr>
                <w:sz w:val="1"/>
                <w:szCs w:val="1"/>
                <w:color w:val="auto"/>
              </w:rPr>
            </w:pPr>
          </w:p>
        </w:tc>
        <w:tc>
          <w:tcPr>
            <w:tcW w:w="320" w:type="dxa"/>
            <w:vAlign w:val="bottom"/>
            <w:shd w:val="clear" w:color="auto" w:fill="0000EE"/>
          </w:tcPr>
          <w:p>
            <w:pPr>
              <w:spacing w:after="0" w:line="20" w:lineRule="exact"/>
              <w:rPr>
                <w:sz w:val="1"/>
                <w:szCs w:val="1"/>
                <w:color w:val="auto"/>
              </w:rPr>
            </w:pPr>
          </w:p>
        </w:tc>
        <w:tc>
          <w:tcPr>
            <w:tcW w:w="780" w:type="dxa"/>
            <w:vAlign w:val="bottom"/>
            <w:shd w:val="clear" w:color="auto" w:fill="0000EE"/>
          </w:tcPr>
          <w:p>
            <w:pPr>
              <w:spacing w:after="0" w:line="20" w:lineRule="exact"/>
              <w:rPr>
                <w:sz w:val="1"/>
                <w:szCs w:val="1"/>
                <w:color w:val="auto"/>
              </w:rPr>
            </w:pPr>
          </w:p>
        </w:tc>
        <w:tc>
          <w:tcPr>
            <w:tcW w:w="700" w:type="dxa"/>
            <w:vAlign w:val="bottom"/>
            <w:gridSpan w:val="8"/>
            <w:shd w:val="clear" w:color="auto" w:fill="0000EE"/>
          </w:tcPr>
          <w:p>
            <w:pPr>
              <w:spacing w:after="0" w:line="20" w:lineRule="exact"/>
              <w:rPr>
                <w:sz w:val="1"/>
                <w:szCs w:val="1"/>
                <w:color w:val="auto"/>
              </w:rPr>
            </w:pPr>
          </w:p>
        </w:tc>
        <w:tc>
          <w:tcPr>
            <w:tcW w:w="1100" w:type="dxa"/>
            <w:vAlign w:val="bottom"/>
            <w:shd w:val="clear" w:color="auto" w:fill="0000EE"/>
          </w:tcPr>
          <w:p>
            <w:pPr>
              <w:spacing w:after="0" w:line="20" w:lineRule="exact"/>
              <w:rPr>
                <w:sz w:val="1"/>
                <w:szCs w:val="1"/>
                <w:color w:val="auto"/>
              </w:rPr>
            </w:pPr>
          </w:p>
        </w:tc>
        <w:tc>
          <w:tcPr>
            <w:tcW w:w="3360" w:type="dxa"/>
            <w:vAlign w:val="bottom"/>
            <w:gridSpan w:val="7"/>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300" w:type="dxa"/>
            <w:vAlign w:val="bottom"/>
            <w:gridSpan w:val="3"/>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37"/>
        </w:trPr>
        <w:tc>
          <w:tcPr>
            <w:tcW w:w="1040" w:type="dxa"/>
            <w:vAlign w:val="bottom"/>
          </w:tcPr>
          <w:p>
            <w:pPr>
              <w:spacing w:after="0"/>
              <w:rPr>
                <w:rFonts w:ascii="Arial" w:cs="Arial" w:eastAsia="Arial" w:hAnsi="Arial"/>
                <w:sz w:val="18"/>
                <w:szCs w:val="18"/>
                <w:color w:val="auto"/>
              </w:rPr>
            </w:pPr>
            <w:hyperlink w:anchor="page162">
              <w:r>
                <w:rPr>
                  <w:rFonts w:ascii="Arial" w:cs="Arial" w:eastAsia="Arial" w:hAnsi="Arial"/>
                  <w:sz w:val="18"/>
                  <w:szCs w:val="18"/>
                  <w:color w:val="auto"/>
                </w:rPr>
                <w:t>Item 14.</w:t>
              </w:r>
            </w:hyperlink>
          </w:p>
        </w:tc>
        <w:tc>
          <w:tcPr>
            <w:tcW w:w="6080" w:type="dxa"/>
            <w:vAlign w:val="bottom"/>
            <w:gridSpan w:val="23"/>
          </w:tcPr>
          <w:p>
            <w:pPr>
              <w:spacing w:after="0"/>
              <w:rPr>
                <w:rFonts w:ascii="Arial" w:cs="Arial" w:eastAsia="Arial" w:hAnsi="Arial"/>
                <w:sz w:val="18"/>
                <w:szCs w:val="18"/>
                <w:color w:val="0000EE"/>
              </w:rPr>
            </w:pPr>
            <w:hyperlink w:anchor="page162">
              <w:r>
                <w:rPr>
                  <w:rFonts w:ascii="Arial" w:cs="Arial" w:eastAsia="Arial" w:hAnsi="Arial"/>
                  <w:sz w:val="18"/>
                  <w:szCs w:val="18"/>
                  <w:color w:val="0000EE"/>
                </w:rPr>
                <w:t>Principal Accountant Fees and Services</w:t>
              </w:r>
            </w:hyperlink>
          </w:p>
        </w:tc>
        <w:tc>
          <w:tcPr>
            <w:tcW w:w="3360" w:type="dxa"/>
            <w:vAlign w:val="bottom"/>
            <w:gridSpan w:val="7"/>
          </w:tcPr>
          <w:p>
            <w:pPr>
              <w:spacing w:after="0"/>
              <w:rPr>
                <w:sz w:val="20"/>
                <w:szCs w:val="20"/>
                <w:color w:val="auto"/>
              </w:rPr>
            </w:pPr>
          </w:p>
        </w:tc>
        <w:tc>
          <w:tcPr>
            <w:tcW w:w="900" w:type="dxa"/>
            <w:vAlign w:val="bottom"/>
            <w:gridSpan w:val="5"/>
          </w:tcPr>
          <w:p>
            <w:pPr>
              <w:jc w:val="right"/>
              <w:ind w:right="20"/>
              <w:spacing w:after="0"/>
              <w:rPr>
                <w:rFonts w:ascii="Arial" w:cs="Arial" w:eastAsia="Arial" w:hAnsi="Arial"/>
                <w:sz w:val="18"/>
                <w:szCs w:val="18"/>
                <w:color w:val="0000EE"/>
              </w:rPr>
            </w:pPr>
            <w:hyperlink w:anchor="page162">
              <w:r>
                <w:rPr>
                  <w:rFonts w:ascii="Arial" w:cs="Arial" w:eastAsia="Arial" w:hAnsi="Arial"/>
                  <w:sz w:val="18"/>
                  <w:szCs w:val="18"/>
                  <w:color w:val="0000EE"/>
                </w:rPr>
                <w:t>162</w:t>
              </w:r>
            </w:hyperlink>
          </w:p>
        </w:tc>
      </w:tr>
      <w:tr>
        <w:trPr>
          <w:trHeight w:val="561"/>
        </w:trPr>
        <w:tc>
          <w:tcPr>
            <w:tcW w:w="1040" w:type="dxa"/>
            <w:vAlign w:val="bottom"/>
          </w:tcPr>
          <w:p>
            <w:pPr>
              <w:spacing w:after="0"/>
              <w:rPr>
                <w:sz w:val="24"/>
                <w:szCs w:val="24"/>
                <w:color w:val="auto"/>
              </w:rPr>
            </w:pPr>
          </w:p>
        </w:tc>
        <w:tc>
          <w:tcPr>
            <w:tcW w:w="120" w:type="dxa"/>
            <w:vAlign w:val="bottom"/>
            <w:tcBorders>
              <w:top w:val="single" w:sz="8" w:color="0000EE"/>
            </w:tcBorders>
          </w:tcPr>
          <w:p>
            <w:pPr>
              <w:spacing w:after="0"/>
              <w:rPr>
                <w:sz w:val="24"/>
                <w:szCs w:val="24"/>
                <w:color w:val="auto"/>
              </w:rPr>
            </w:pPr>
          </w:p>
        </w:tc>
        <w:tc>
          <w:tcPr>
            <w:tcW w:w="600" w:type="dxa"/>
            <w:vAlign w:val="bottom"/>
            <w:tcBorders>
              <w:top w:val="single" w:sz="8" w:color="0000EE"/>
            </w:tcBorders>
          </w:tcPr>
          <w:p>
            <w:pPr>
              <w:spacing w:after="0"/>
              <w:rPr>
                <w:sz w:val="24"/>
                <w:szCs w:val="24"/>
                <w:color w:val="auto"/>
              </w:rPr>
            </w:pPr>
          </w:p>
        </w:tc>
        <w:tc>
          <w:tcPr>
            <w:tcW w:w="60" w:type="dxa"/>
            <w:vAlign w:val="bottom"/>
            <w:tcBorders>
              <w:top w:val="single" w:sz="8" w:color="0000EE"/>
            </w:tcBorders>
          </w:tcPr>
          <w:p>
            <w:pPr>
              <w:spacing w:after="0"/>
              <w:rPr>
                <w:sz w:val="24"/>
                <w:szCs w:val="24"/>
                <w:color w:val="auto"/>
              </w:rPr>
            </w:pPr>
          </w:p>
        </w:tc>
        <w:tc>
          <w:tcPr>
            <w:tcW w:w="220" w:type="dxa"/>
            <w:vAlign w:val="bottom"/>
            <w:tcBorders>
              <w:top w:val="single" w:sz="8" w:color="0000EE"/>
            </w:tcBorders>
          </w:tcPr>
          <w:p>
            <w:pPr>
              <w:spacing w:after="0"/>
              <w:rPr>
                <w:sz w:val="24"/>
                <w:szCs w:val="24"/>
                <w:color w:val="auto"/>
              </w:rPr>
            </w:pPr>
          </w:p>
        </w:tc>
        <w:tc>
          <w:tcPr>
            <w:tcW w:w="400" w:type="dxa"/>
            <w:vAlign w:val="bottom"/>
            <w:tcBorders>
              <w:top w:val="single" w:sz="8" w:color="0000EE"/>
            </w:tcBorders>
          </w:tcPr>
          <w:p>
            <w:pPr>
              <w:spacing w:after="0"/>
              <w:rPr>
                <w:sz w:val="24"/>
                <w:szCs w:val="24"/>
                <w:color w:val="auto"/>
              </w:rPr>
            </w:pPr>
          </w:p>
        </w:tc>
        <w:tc>
          <w:tcPr>
            <w:tcW w:w="80" w:type="dxa"/>
            <w:vAlign w:val="bottom"/>
            <w:tcBorders>
              <w:top w:val="single" w:sz="8" w:color="0000EE"/>
            </w:tcBorders>
          </w:tcPr>
          <w:p>
            <w:pPr>
              <w:spacing w:after="0"/>
              <w:rPr>
                <w:sz w:val="24"/>
                <w:szCs w:val="24"/>
                <w:color w:val="auto"/>
              </w:rPr>
            </w:pPr>
          </w:p>
        </w:tc>
        <w:tc>
          <w:tcPr>
            <w:tcW w:w="180" w:type="dxa"/>
            <w:vAlign w:val="bottom"/>
            <w:tcBorders>
              <w:top w:val="single" w:sz="8" w:color="0000EE"/>
            </w:tcBorders>
          </w:tcPr>
          <w:p>
            <w:pPr>
              <w:spacing w:after="0"/>
              <w:rPr>
                <w:sz w:val="24"/>
                <w:szCs w:val="24"/>
                <w:color w:val="auto"/>
              </w:rPr>
            </w:pPr>
          </w:p>
        </w:tc>
        <w:tc>
          <w:tcPr>
            <w:tcW w:w="260" w:type="dxa"/>
            <w:vAlign w:val="bottom"/>
            <w:tcBorders>
              <w:top w:val="single" w:sz="8" w:color="0000EE"/>
            </w:tcBorders>
          </w:tcPr>
          <w:p>
            <w:pPr>
              <w:spacing w:after="0"/>
              <w:rPr>
                <w:sz w:val="24"/>
                <w:szCs w:val="24"/>
                <w:color w:val="auto"/>
              </w:rPr>
            </w:pPr>
          </w:p>
        </w:tc>
        <w:tc>
          <w:tcPr>
            <w:tcW w:w="60" w:type="dxa"/>
            <w:vAlign w:val="bottom"/>
            <w:tcBorders>
              <w:top w:val="single" w:sz="8" w:color="0000EE"/>
            </w:tcBorders>
          </w:tcPr>
          <w:p>
            <w:pPr>
              <w:spacing w:after="0"/>
              <w:rPr>
                <w:sz w:val="24"/>
                <w:szCs w:val="24"/>
                <w:color w:val="auto"/>
              </w:rPr>
            </w:pPr>
          </w:p>
        </w:tc>
        <w:tc>
          <w:tcPr>
            <w:tcW w:w="260" w:type="dxa"/>
            <w:vAlign w:val="bottom"/>
            <w:tcBorders>
              <w:top w:val="single" w:sz="8" w:color="0000EE"/>
            </w:tcBorders>
          </w:tcPr>
          <w:p>
            <w:pPr>
              <w:spacing w:after="0"/>
              <w:rPr>
                <w:sz w:val="24"/>
                <w:szCs w:val="24"/>
                <w:color w:val="auto"/>
              </w:rPr>
            </w:pPr>
          </w:p>
        </w:tc>
        <w:tc>
          <w:tcPr>
            <w:tcW w:w="760" w:type="dxa"/>
            <w:vAlign w:val="bottom"/>
            <w:tcBorders>
              <w:top w:val="single" w:sz="8" w:color="0000EE"/>
            </w:tcBorders>
          </w:tcPr>
          <w:p>
            <w:pPr>
              <w:spacing w:after="0"/>
              <w:rPr>
                <w:sz w:val="24"/>
                <w:szCs w:val="24"/>
                <w:color w:val="auto"/>
              </w:rPr>
            </w:pPr>
          </w:p>
        </w:tc>
        <w:tc>
          <w:tcPr>
            <w:tcW w:w="180" w:type="dxa"/>
            <w:vAlign w:val="bottom"/>
            <w:tcBorders>
              <w:top w:val="single" w:sz="8" w:color="0000EE"/>
            </w:tcBorders>
          </w:tcPr>
          <w:p>
            <w:pPr>
              <w:spacing w:after="0"/>
              <w:rPr>
                <w:sz w:val="24"/>
                <w:szCs w:val="24"/>
                <w:color w:val="auto"/>
              </w:rPr>
            </w:pPr>
          </w:p>
        </w:tc>
        <w:tc>
          <w:tcPr>
            <w:tcW w:w="32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5160" w:type="dxa"/>
            <w:vAlign w:val="bottom"/>
            <w:gridSpan w:val="16"/>
          </w:tcPr>
          <w:p>
            <w:pPr>
              <w:jc w:val="center"/>
              <w:ind w:right="4460"/>
              <w:spacing w:after="0"/>
              <w:rPr>
                <w:rFonts w:ascii="Arial" w:cs="Arial" w:eastAsia="Arial" w:hAnsi="Arial"/>
                <w:sz w:val="18"/>
                <w:szCs w:val="18"/>
                <w:b w:val="1"/>
                <w:bCs w:val="1"/>
                <w:color w:val="0000EE"/>
                <w:w w:val="98"/>
              </w:rPr>
            </w:pPr>
            <w:hyperlink w:anchor="page163">
              <w:r>
                <w:rPr>
                  <w:rFonts w:ascii="Arial" w:cs="Arial" w:eastAsia="Arial" w:hAnsi="Arial"/>
                  <w:sz w:val="18"/>
                  <w:szCs w:val="18"/>
                  <w:b w:val="1"/>
                  <w:bCs w:val="1"/>
                  <w:color w:val="0000EE"/>
                  <w:w w:val="98"/>
                </w:rPr>
                <w:t>PART IV</w:t>
              </w:r>
            </w:hyperlink>
          </w:p>
        </w:tc>
        <w:tc>
          <w:tcPr>
            <w:tcW w:w="580" w:type="dxa"/>
            <w:vAlign w:val="bottom"/>
          </w:tcPr>
          <w:p>
            <w:pPr>
              <w:spacing w:after="0"/>
              <w:rPr>
                <w:sz w:val="24"/>
                <w:szCs w:val="24"/>
                <w:color w:val="auto"/>
              </w:rPr>
            </w:pPr>
          </w:p>
        </w:tc>
        <w:tc>
          <w:tcPr>
            <w:tcW w:w="100" w:type="dxa"/>
            <w:vAlign w:val="bottom"/>
            <w:tcBorders>
              <w:top w:val="single" w:sz="8" w:color="0000EE"/>
            </w:tcBorders>
          </w:tcPr>
          <w:p>
            <w:pPr>
              <w:spacing w:after="0"/>
              <w:rPr>
                <w:sz w:val="24"/>
                <w:szCs w:val="24"/>
                <w:color w:val="auto"/>
              </w:rPr>
            </w:pPr>
          </w:p>
        </w:tc>
        <w:tc>
          <w:tcPr>
            <w:tcW w:w="100" w:type="dxa"/>
            <w:vAlign w:val="bottom"/>
            <w:tcBorders>
              <w:top w:val="single" w:sz="8" w:color="0000EE"/>
            </w:tcBorders>
          </w:tcPr>
          <w:p>
            <w:pPr>
              <w:spacing w:after="0"/>
              <w:rPr>
                <w:sz w:val="24"/>
                <w:szCs w:val="24"/>
                <w:color w:val="auto"/>
              </w:rPr>
            </w:pPr>
          </w:p>
        </w:tc>
        <w:tc>
          <w:tcPr>
            <w:tcW w:w="100" w:type="dxa"/>
            <w:vAlign w:val="bottom"/>
            <w:tcBorders>
              <w:top w:val="single" w:sz="8" w:color="0000EE"/>
            </w:tcBorders>
          </w:tcPr>
          <w:p>
            <w:pPr>
              <w:spacing w:after="0"/>
              <w:rPr>
                <w:sz w:val="24"/>
                <w:szCs w:val="24"/>
                <w:color w:val="auto"/>
              </w:rPr>
            </w:pPr>
          </w:p>
        </w:tc>
        <w:tc>
          <w:tcPr>
            <w:tcW w:w="20" w:type="dxa"/>
            <w:vAlign w:val="bottom"/>
          </w:tcPr>
          <w:p>
            <w:pPr>
              <w:spacing w:after="0"/>
              <w:rPr>
                <w:sz w:val="24"/>
                <w:szCs w:val="24"/>
                <w:color w:val="auto"/>
              </w:rPr>
            </w:pPr>
          </w:p>
        </w:tc>
      </w:tr>
      <w:tr>
        <w:trPr>
          <w:trHeight w:val="237"/>
        </w:trPr>
        <w:tc>
          <w:tcPr>
            <w:tcW w:w="1040" w:type="dxa"/>
            <w:vAlign w:val="bottom"/>
          </w:tcPr>
          <w:p>
            <w:pPr>
              <w:spacing w:after="0"/>
              <w:rPr>
                <w:rFonts w:ascii="Arial" w:cs="Arial" w:eastAsia="Arial" w:hAnsi="Arial"/>
                <w:sz w:val="18"/>
                <w:szCs w:val="18"/>
                <w:color w:val="auto"/>
              </w:rPr>
            </w:pPr>
            <w:hyperlink w:anchor="page163">
              <w:r>
                <w:rPr>
                  <w:rFonts w:ascii="Arial" w:cs="Arial" w:eastAsia="Arial" w:hAnsi="Arial"/>
                  <w:sz w:val="18"/>
                  <w:szCs w:val="18"/>
                  <w:color w:val="auto"/>
                </w:rPr>
                <w:t>Item 15.</w:t>
              </w:r>
            </w:hyperlink>
          </w:p>
        </w:tc>
        <w:tc>
          <w:tcPr>
            <w:tcW w:w="4280" w:type="dxa"/>
            <w:vAlign w:val="bottom"/>
            <w:gridSpan w:val="14"/>
          </w:tcPr>
          <w:p>
            <w:pPr>
              <w:spacing w:after="0"/>
              <w:rPr>
                <w:rFonts w:ascii="Arial" w:cs="Arial" w:eastAsia="Arial" w:hAnsi="Arial"/>
                <w:sz w:val="18"/>
                <w:szCs w:val="18"/>
                <w:color w:val="0000EE"/>
              </w:rPr>
            </w:pPr>
            <w:hyperlink w:anchor="page163">
              <w:r>
                <w:rPr>
                  <w:rFonts w:ascii="Arial" w:cs="Arial" w:eastAsia="Arial" w:hAnsi="Arial"/>
                  <w:sz w:val="18"/>
                  <w:szCs w:val="18"/>
                  <w:color w:val="0000EE"/>
                </w:rPr>
                <w:t>Exhibits and Financial Statement Schedules</w:t>
              </w:r>
            </w:hyperlink>
          </w:p>
        </w:tc>
        <w:tc>
          <w:tcPr>
            <w:tcW w:w="700" w:type="dxa"/>
            <w:vAlign w:val="bottom"/>
            <w:tcBorders>
              <w:top w:val="single" w:sz="8" w:color="0000EE"/>
            </w:tcBorders>
            <w:gridSpan w:val="8"/>
          </w:tcPr>
          <w:p>
            <w:pPr>
              <w:spacing w:after="0"/>
              <w:rPr>
                <w:sz w:val="20"/>
                <w:szCs w:val="20"/>
                <w:color w:val="auto"/>
              </w:rPr>
            </w:pPr>
          </w:p>
        </w:tc>
        <w:tc>
          <w:tcPr>
            <w:tcW w:w="4460" w:type="dxa"/>
            <w:vAlign w:val="bottom"/>
            <w:gridSpan w:val="8"/>
          </w:tcPr>
          <w:p>
            <w:pPr>
              <w:spacing w:after="0"/>
              <w:rPr>
                <w:sz w:val="20"/>
                <w:szCs w:val="20"/>
                <w:color w:val="auto"/>
              </w:rPr>
            </w:pPr>
          </w:p>
        </w:tc>
        <w:tc>
          <w:tcPr>
            <w:tcW w:w="900" w:type="dxa"/>
            <w:vAlign w:val="bottom"/>
            <w:gridSpan w:val="5"/>
          </w:tcPr>
          <w:p>
            <w:pPr>
              <w:jc w:val="right"/>
              <w:ind w:right="20"/>
              <w:spacing w:after="0"/>
              <w:rPr>
                <w:rFonts w:ascii="Arial" w:cs="Arial" w:eastAsia="Arial" w:hAnsi="Arial"/>
                <w:sz w:val="18"/>
                <w:szCs w:val="18"/>
                <w:color w:val="0000EE"/>
              </w:rPr>
            </w:pPr>
            <w:hyperlink w:anchor="page163">
              <w:r>
                <w:rPr>
                  <w:rFonts w:ascii="Arial" w:cs="Arial" w:eastAsia="Arial" w:hAnsi="Arial"/>
                  <w:sz w:val="18"/>
                  <w:szCs w:val="18"/>
                  <w:color w:val="0000EE"/>
                </w:rPr>
                <w:t>163</w:t>
              </w:r>
            </w:hyperlink>
          </w:p>
        </w:tc>
      </w:tr>
      <w:tr>
        <w:trPr>
          <w:trHeight w:val="20"/>
        </w:trPr>
        <w:tc>
          <w:tcPr>
            <w:tcW w:w="1040" w:type="dxa"/>
            <w:vAlign w:val="bottom"/>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1540" w:type="dxa"/>
            <w:vAlign w:val="bottom"/>
            <w:gridSpan w:val="6"/>
            <w:shd w:val="clear" w:color="auto" w:fill="0000EE"/>
          </w:tcPr>
          <w:p>
            <w:pPr>
              <w:spacing w:after="0" w:line="20" w:lineRule="exact"/>
              <w:rPr>
                <w:sz w:val="1"/>
                <w:szCs w:val="1"/>
                <w:color w:val="auto"/>
              </w:rPr>
            </w:pPr>
          </w:p>
        </w:tc>
        <w:tc>
          <w:tcPr>
            <w:tcW w:w="1840" w:type="dxa"/>
            <w:vAlign w:val="bottom"/>
            <w:gridSpan w:val="6"/>
            <w:shd w:val="clear" w:color="auto" w:fill="0000EE"/>
          </w:tcPr>
          <w:p>
            <w:pPr>
              <w:spacing w:after="0" w:line="20" w:lineRule="exact"/>
              <w:rPr>
                <w:sz w:val="1"/>
                <w:szCs w:val="1"/>
                <w:color w:val="auto"/>
              </w:rPr>
            </w:pPr>
          </w:p>
        </w:tc>
        <w:tc>
          <w:tcPr>
            <w:tcW w:w="5940" w:type="dxa"/>
            <w:vAlign w:val="bottom"/>
            <w:gridSpan w:val="17"/>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300" w:type="dxa"/>
            <w:vAlign w:val="bottom"/>
            <w:gridSpan w:val="3"/>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37"/>
        </w:trPr>
        <w:tc>
          <w:tcPr>
            <w:tcW w:w="1040" w:type="dxa"/>
            <w:vAlign w:val="bottom"/>
          </w:tcPr>
          <w:p>
            <w:pPr>
              <w:spacing w:after="0"/>
              <w:rPr>
                <w:rFonts w:ascii="Arial" w:cs="Arial" w:eastAsia="Arial" w:hAnsi="Arial"/>
                <w:sz w:val="18"/>
                <w:szCs w:val="18"/>
                <w:color w:val="auto"/>
              </w:rPr>
            </w:pPr>
            <w:hyperlink w:anchor="page184">
              <w:r>
                <w:rPr>
                  <w:rFonts w:ascii="Arial" w:cs="Arial" w:eastAsia="Arial" w:hAnsi="Arial"/>
                  <w:sz w:val="18"/>
                  <w:szCs w:val="18"/>
                  <w:color w:val="auto"/>
                </w:rPr>
                <w:t>Item 16.</w:t>
              </w:r>
            </w:hyperlink>
          </w:p>
        </w:tc>
        <w:tc>
          <w:tcPr>
            <w:tcW w:w="3500" w:type="dxa"/>
            <w:vAlign w:val="bottom"/>
            <w:gridSpan w:val="13"/>
          </w:tcPr>
          <w:p>
            <w:pPr>
              <w:spacing w:after="0"/>
              <w:rPr>
                <w:rFonts w:ascii="Arial" w:cs="Arial" w:eastAsia="Arial" w:hAnsi="Arial"/>
                <w:sz w:val="18"/>
                <w:szCs w:val="18"/>
                <w:color w:val="0000EE"/>
              </w:rPr>
            </w:pPr>
            <w:hyperlink w:anchor="page184">
              <w:r>
                <w:rPr>
                  <w:rFonts w:ascii="Arial" w:cs="Arial" w:eastAsia="Arial" w:hAnsi="Arial"/>
                  <w:sz w:val="18"/>
                  <w:szCs w:val="18"/>
                  <w:color w:val="0000EE"/>
                </w:rPr>
                <w:t>Form 10-K Summary</w:t>
              </w:r>
            </w:hyperlink>
          </w:p>
        </w:tc>
        <w:tc>
          <w:tcPr>
            <w:tcW w:w="5940" w:type="dxa"/>
            <w:vAlign w:val="bottom"/>
            <w:gridSpan w:val="17"/>
          </w:tcPr>
          <w:p>
            <w:pPr>
              <w:spacing w:after="0"/>
              <w:rPr>
                <w:sz w:val="20"/>
                <w:szCs w:val="20"/>
                <w:color w:val="auto"/>
              </w:rPr>
            </w:pPr>
          </w:p>
        </w:tc>
        <w:tc>
          <w:tcPr>
            <w:tcW w:w="900" w:type="dxa"/>
            <w:vAlign w:val="bottom"/>
            <w:gridSpan w:val="5"/>
          </w:tcPr>
          <w:p>
            <w:pPr>
              <w:jc w:val="right"/>
              <w:ind w:right="20"/>
              <w:spacing w:after="0"/>
              <w:rPr>
                <w:rFonts w:ascii="Arial" w:cs="Arial" w:eastAsia="Arial" w:hAnsi="Arial"/>
                <w:sz w:val="18"/>
                <w:szCs w:val="18"/>
                <w:color w:val="0000EE"/>
              </w:rPr>
            </w:pPr>
            <w:hyperlink w:anchor="page184">
              <w:r>
                <w:rPr>
                  <w:rFonts w:ascii="Arial" w:cs="Arial" w:eastAsia="Arial" w:hAnsi="Arial"/>
                  <w:sz w:val="18"/>
                  <w:szCs w:val="18"/>
                  <w:color w:val="0000EE"/>
                </w:rPr>
                <w:t>184</w:t>
              </w:r>
            </w:hyperlink>
          </w:p>
        </w:tc>
      </w:tr>
      <w:tr>
        <w:trPr>
          <w:trHeight w:val="20"/>
        </w:trPr>
        <w:tc>
          <w:tcPr>
            <w:tcW w:w="1040" w:type="dxa"/>
            <w:vAlign w:val="bottom"/>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1540" w:type="dxa"/>
            <w:vAlign w:val="bottom"/>
            <w:gridSpan w:val="6"/>
            <w:shd w:val="clear" w:color="auto" w:fill="0000EE"/>
          </w:tcPr>
          <w:p>
            <w:pPr>
              <w:spacing w:after="0" w:line="20" w:lineRule="exact"/>
              <w:rPr>
                <w:sz w:val="1"/>
                <w:szCs w:val="1"/>
                <w:color w:val="auto"/>
              </w:rPr>
            </w:pPr>
          </w:p>
        </w:tc>
        <w:tc>
          <w:tcPr>
            <w:tcW w:w="7780" w:type="dxa"/>
            <w:vAlign w:val="bottom"/>
            <w:gridSpan w:val="23"/>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300" w:type="dxa"/>
            <w:vAlign w:val="bottom"/>
            <w:gridSpan w:val="3"/>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37"/>
        </w:trPr>
        <w:tc>
          <w:tcPr>
            <w:tcW w:w="1160" w:type="dxa"/>
            <w:vAlign w:val="bottom"/>
            <w:gridSpan w:val="2"/>
          </w:tcPr>
          <w:p>
            <w:pPr>
              <w:spacing w:after="0"/>
              <w:rPr>
                <w:rFonts w:ascii="Arial" w:cs="Arial" w:eastAsia="Arial" w:hAnsi="Arial"/>
                <w:sz w:val="18"/>
                <w:szCs w:val="18"/>
                <w:color w:val="0000EE"/>
                <w:w w:val="97"/>
              </w:rPr>
            </w:pPr>
            <w:hyperlink w:anchor="page185">
              <w:r>
                <w:rPr>
                  <w:rFonts w:ascii="Arial" w:cs="Arial" w:eastAsia="Arial" w:hAnsi="Arial"/>
                  <w:sz w:val="18"/>
                  <w:szCs w:val="18"/>
                  <w:color w:val="0000EE"/>
                  <w:w w:val="97"/>
                </w:rPr>
                <w:t>SIGNATURES</w:t>
              </w:r>
            </w:hyperlink>
          </w:p>
        </w:tc>
        <w:tc>
          <w:tcPr>
            <w:tcW w:w="9320" w:type="dxa"/>
            <w:vAlign w:val="bottom"/>
            <w:gridSpan w:val="29"/>
          </w:tcPr>
          <w:p>
            <w:pPr>
              <w:spacing w:after="0"/>
              <w:rPr>
                <w:sz w:val="20"/>
                <w:szCs w:val="20"/>
                <w:color w:val="auto"/>
              </w:rPr>
            </w:pPr>
          </w:p>
        </w:tc>
        <w:tc>
          <w:tcPr>
            <w:tcW w:w="900" w:type="dxa"/>
            <w:vAlign w:val="bottom"/>
            <w:gridSpan w:val="5"/>
          </w:tcPr>
          <w:p>
            <w:pPr>
              <w:jc w:val="right"/>
              <w:ind w:right="20"/>
              <w:spacing w:after="0"/>
              <w:rPr>
                <w:rFonts w:ascii="Arial" w:cs="Arial" w:eastAsia="Arial" w:hAnsi="Arial"/>
                <w:sz w:val="18"/>
                <w:szCs w:val="18"/>
                <w:color w:val="0000EE"/>
              </w:rPr>
            </w:pPr>
            <w:hyperlink w:anchor="page185">
              <w:r>
                <w:rPr>
                  <w:rFonts w:ascii="Arial" w:cs="Arial" w:eastAsia="Arial" w:hAnsi="Arial"/>
                  <w:sz w:val="18"/>
                  <w:szCs w:val="18"/>
                  <w:color w:val="0000EE"/>
                </w:rPr>
                <w:t>185</w:t>
              </w:r>
            </w:hyperlink>
          </w:p>
        </w:tc>
      </w:tr>
      <w:tr>
        <w:trPr>
          <w:trHeight w:val="898"/>
        </w:trPr>
        <w:tc>
          <w:tcPr>
            <w:tcW w:w="1040" w:type="dxa"/>
            <w:vAlign w:val="bottom"/>
            <w:tcBorders>
              <w:top w:val="single" w:sz="8" w:color="0000EE"/>
            </w:tcBorders>
          </w:tcPr>
          <w:p>
            <w:pPr>
              <w:spacing w:after="0"/>
              <w:rPr>
                <w:sz w:val="24"/>
                <w:szCs w:val="24"/>
                <w:color w:val="auto"/>
              </w:rPr>
            </w:pPr>
          </w:p>
        </w:tc>
        <w:tc>
          <w:tcPr>
            <w:tcW w:w="120" w:type="dxa"/>
            <w:vAlign w:val="bottom"/>
            <w:tcBorders>
              <w:top w:val="single" w:sz="8" w:color="0000EE"/>
            </w:tcBorders>
          </w:tcPr>
          <w:p>
            <w:pPr>
              <w:spacing w:after="0"/>
              <w:rPr>
                <w:sz w:val="24"/>
                <w:szCs w:val="24"/>
                <w:color w:val="auto"/>
              </w:rPr>
            </w:pPr>
          </w:p>
        </w:tc>
        <w:tc>
          <w:tcPr>
            <w:tcW w:w="4580" w:type="dxa"/>
            <w:vAlign w:val="bottom"/>
            <w:gridSpan w:val="18"/>
          </w:tcPr>
          <w:p>
            <w:pPr>
              <w:jc w:val="center"/>
              <w:ind w:left="4350"/>
              <w:spacing w:after="0"/>
              <w:rPr>
                <w:sz w:val="20"/>
                <w:szCs w:val="20"/>
                <w:color w:val="auto"/>
              </w:rPr>
            </w:pPr>
            <w:r>
              <w:rPr>
                <w:rFonts w:ascii="Arial" w:cs="Arial" w:eastAsia="Arial" w:hAnsi="Arial"/>
                <w:sz w:val="18"/>
                <w:szCs w:val="18"/>
                <w:color w:val="auto"/>
                <w:w w:val="99"/>
              </w:rPr>
              <w:t>3</w:t>
            </w:r>
          </w:p>
        </w:tc>
        <w:tc>
          <w:tcPr>
            <w:tcW w:w="2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00" w:type="dxa"/>
            <w:vAlign w:val="bottom"/>
            <w:tcBorders>
              <w:top w:val="single" w:sz="8" w:color="0000EE"/>
            </w:tcBorders>
          </w:tcPr>
          <w:p>
            <w:pPr>
              <w:spacing w:after="0"/>
              <w:rPr>
                <w:sz w:val="24"/>
                <w:szCs w:val="24"/>
                <w:color w:val="auto"/>
              </w:rPr>
            </w:pPr>
          </w:p>
        </w:tc>
        <w:tc>
          <w:tcPr>
            <w:tcW w:w="100" w:type="dxa"/>
            <w:vAlign w:val="bottom"/>
            <w:tcBorders>
              <w:top w:val="single" w:sz="8" w:color="0000EE"/>
            </w:tcBorders>
          </w:tcPr>
          <w:p>
            <w:pPr>
              <w:spacing w:after="0"/>
              <w:rPr>
                <w:sz w:val="24"/>
                <w:szCs w:val="24"/>
                <w:color w:val="auto"/>
              </w:rPr>
            </w:pPr>
          </w:p>
        </w:tc>
        <w:tc>
          <w:tcPr>
            <w:tcW w:w="100" w:type="dxa"/>
            <w:vAlign w:val="bottom"/>
            <w:tcBorders>
              <w:top w:val="single" w:sz="8" w:color="0000EE"/>
            </w:tcBorders>
          </w:tcPr>
          <w:p>
            <w:pPr>
              <w:spacing w:after="0"/>
              <w:rPr>
                <w:sz w:val="24"/>
                <w:szCs w:val="24"/>
                <w:color w:val="auto"/>
              </w:rPr>
            </w:pPr>
          </w:p>
        </w:tc>
        <w:tc>
          <w:tcPr>
            <w:tcW w:w="20" w:type="dxa"/>
            <w:vAlign w:val="bottom"/>
          </w:tcPr>
          <w:p>
            <w:pPr>
              <w:spacing w:after="0"/>
              <w:rPr>
                <w:sz w:val="24"/>
                <w:szCs w:val="24"/>
                <w:color w:val="auto"/>
              </w:rPr>
            </w:pPr>
          </w:p>
        </w:tc>
      </w:tr>
    </w:tbl>
    <w:p>
      <w:pPr>
        <w:sectPr>
          <w:pgSz w:w="11900" w:h="16838" w:orient="portrait"/>
          <w:cols w:equalWidth="0" w:num="1">
            <w:col w:w="11380"/>
          </w:cols>
          <w:pgMar w:left="280" w:top="549" w:right="239" w:bottom="1440" w:gutter="0" w:footer="0" w:header="0"/>
        </w:sectPr>
      </w:pPr>
    </w:p>
    <w:bookmarkStart w:id="3" w:name="page4"/>
    <w:bookmarkEnd w:id="3"/>
    <w:p>
      <w:pPr>
        <w:spacing w:after="0"/>
        <w:rPr>
          <w:sz w:val="20"/>
          <w:szCs w:val="20"/>
          <w:color w:val="auto"/>
        </w:rPr>
      </w:pPr>
      <w:r>
        <w:rPr>
          <w:rFonts w:ascii="Arial" w:cs="Arial" w:eastAsia="Arial" w:hAnsi="Arial"/>
          <w:sz w:val="18"/>
          <w:szCs w:val="18"/>
          <w:b w:val="1"/>
          <w:bCs w:val="1"/>
          <w:color w:val="auto"/>
        </w:rPr>
        <w:t>General</w:t>
      </w:r>
    </w:p>
    <w:p>
      <w:pPr>
        <w:spacing w:after="0" w:line="112" w:lineRule="exact"/>
        <w:rPr>
          <w:sz w:val="20"/>
          <w:szCs w:val="20"/>
          <w:color w:val="auto"/>
        </w:rPr>
      </w:pPr>
    </w:p>
    <w:p>
      <w:pPr>
        <w:jc w:val="both"/>
        <w:ind w:firstLine="216"/>
        <w:spacing w:after="0" w:line="252" w:lineRule="auto"/>
        <w:rPr>
          <w:sz w:val="20"/>
          <w:szCs w:val="20"/>
          <w:color w:val="auto"/>
        </w:rPr>
      </w:pPr>
      <w:r>
        <w:rPr>
          <w:rFonts w:ascii="Arial" w:cs="Arial" w:eastAsia="Arial" w:hAnsi="Arial"/>
          <w:sz w:val="18"/>
          <w:szCs w:val="18"/>
          <w:color w:val="auto"/>
        </w:rPr>
        <w:t>This report is filed by American Airlines Group Inc. (AAG) and its wholly-owned subsidiary American Airlines, Inc. (American). References in this Annual Report on Form 10-K to “we,” “us,” “our,” the “Company” and similar terms refer to AAG and its consolidated subsidiaries. “AMR” or “AMR Corporation” refers to the Company during the period of time prior to its emergence from Chapter 11 and its acquisition of US Airways Group, Inc. (US Airways Group) on December 9, 2013 (the Merger). References to US Airways Group and US Airways, Inc., a subsidiary of US Airways Group (US Airways), represent the entities during the period of time prior to the dissolution of those entities in connection with AAG’s internal corporate restructuring on December 30, 2015. References in this report to “mainline” refer to the operations of American only and exclude regional operations.</w:t>
      </w:r>
    </w:p>
    <w:p>
      <w:pPr>
        <w:spacing w:after="0" w:line="21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Concerning Forward-Looking Statements</w:t>
      </w:r>
    </w:p>
    <w:p>
      <w:pPr>
        <w:spacing w:after="0" w:line="112" w:lineRule="exact"/>
        <w:rPr>
          <w:sz w:val="20"/>
          <w:szCs w:val="20"/>
          <w:color w:val="auto"/>
        </w:rPr>
      </w:pPr>
    </w:p>
    <w:p>
      <w:pPr>
        <w:jc w:val="both"/>
        <w:ind w:firstLine="216"/>
        <w:spacing w:after="0" w:line="250" w:lineRule="auto"/>
        <w:rPr>
          <w:sz w:val="20"/>
          <w:szCs w:val="20"/>
          <w:color w:val="auto"/>
        </w:rPr>
      </w:pPr>
      <w:r>
        <w:rPr>
          <w:rFonts w:ascii="Arial" w:cs="Arial" w:eastAsia="Arial" w:hAnsi="Arial"/>
          <w:sz w:val="18"/>
          <w:szCs w:val="18"/>
          <w:color w:val="auto"/>
        </w:rPr>
        <w:t>Certain of the statements contained in this report should be considered forward-looking statements within the meaning of the Securities Act of 1933, as amended (the Securities Act), the Securities Exchange Act of 1934, as amended (the Exchange Act), and the Private Securities Litigation Reform Act of 1995. These forward-looking statements may be identified by words such as “may,” “will,” “expect,” “intend,” “anticipate,” “believe,” “estimate,” “plan,” “project,” “could,” “should,” “would,” “continue,” “seek,” “target,” “guidance,” “outlook,” “if current trends continue,” “optimistic,” “forecast” and other similar words. Such statements include, but are not limited to, statements about our plans, objectives, expectations, intentions, estimates and strategies for the future, and other statements that are not historical facts. These forward-looking statements are based on our current objectives, beliefs and expectations, and they are subject to significant risks and uncertainties that may cause actual results and financial position and timing of certain events to differ materially from the information in the forward-looking statements. These risks and uncertainties include, but are not limited to, those described below under Part I, Item 1A. Risk Factors, Part II, Item</w:t>
      </w:r>
    </w:p>
    <w:p>
      <w:pPr>
        <w:spacing w:after="0" w:line="4" w:lineRule="exact"/>
        <w:rPr>
          <w:sz w:val="20"/>
          <w:szCs w:val="20"/>
          <w:color w:val="auto"/>
        </w:rPr>
      </w:pPr>
    </w:p>
    <w:p>
      <w:pPr>
        <w:ind w:firstLine="8"/>
        <w:spacing w:after="0" w:line="262" w:lineRule="auto"/>
        <w:tabs>
          <w:tab w:leader="none" w:pos="200" w:val="left"/>
        </w:tabs>
        <w:numPr>
          <w:ilvl w:val="0"/>
          <w:numId w:val="4"/>
        </w:numPr>
        <w:rPr>
          <w:rFonts w:ascii="Arial" w:cs="Arial" w:eastAsia="Arial" w:hAnsi="Arial"/>
          <w:sz w:val="18"/>
          <w:szCs w:val="18"/>
          <w:color w:val="auto"/>
        </w:rPr>
      </w:pPr>
      <w:r>
        <w:rPr>
          <w:rFonts w:ascii="Arial" w:cs="Arial" w:eastAsia="Arial" w:hAnsi="Arial"/>
          <w:sz w:val="18"/>
          <w:szCs w:val="18"/>
          <w:color w:val="auto"/>
        </w:rPr>
        <w:t>Management’s Discussion and Analysis of Financial Condition and Results of Operations and other risks and uncertainties listed from time to time in our filings with the Securities and Exchange Commission (the SEC).</w:t>
      </w:r>
    </w:p>
    <w:p>
      <w:pPr>
        <w:spacing w:after="0" w:line="142" w:lineRule="exact"/>
        <w:rPr>
          <w:sz w:val="20"/>
          <w:szCs w:val="20"/>
          <w:color w:val="auto"/>
        </w:rPr>
      </w:pPr>
    </w:p>
    <w:p>
      <w:pPr>
        <w:jc w:val="both"/>
        <w:ind w:firstLine="216"/>
        <w:spacing w:after="0" w:line="252" w:lineRule="auto"/>
        <w:rPr>
          <w:sz w:val="20"/>
          <w:szCs w:val="20"/>
          <w:color w:val="auto"/>
        </w:rPr>
      </w:pPr>
      <w:r>
        <w:rPr>
          <w:rFonts w:ascii="Arial" w:cs="Arial" w:eastAsia="Arial" w:hAnsi="Arial"/>
          <w:sz w:val="18"/>
          <w:szCs w:val="18"/>
          <w:color w:val="auto"/>
        </w:rPr>
        <w:t>All of the forward-looking statements are qualified in their entirety by reference to the factors discussed in Part I, Item 1A. Risk Factors and elsewhere in this report. There may be other factors of which we are not currently aware that may affect matters discussed in the forward-looking statements and may also cause actual results to differ materially from those discussed. We do not assume any obligation to publicly update or supplement any forward-looking statement to reflect actual results, changes in assumptions or changes in other factors affecting such statements other than as required by law. Forward-looking statements speak only as of the date of this report or as of the dates indicated in the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w:t>
      </w:r>
    </w:p>
    <w:p>
      <w:pPr>
        <w:sectPr>
          <w:pgSz w:w="11900" w:h="16838" w:orient="portrait"/>
          <w:cols w:equalWidth="0" w:num="1">
            <w:col w:w="11420"/>
          </w:cols>
          <w:pgMar w:left="240" w:top="549" w:right="239" w:bottom="1440" w:gutter="0" w:footer="0" w:header="0"/>
        </w:sectPr>
      </w:pPr>
    </w:p>
    <w:bookmarkStart w:id="4" w:name="page5"/>
    <w:bookmarkEnd w:id="4"/>
    <w:p>
      <w:pPr>
        <w:jc w:val="center"/>
        <w:ind w:right="40"/>
        <w:spacing w:after="0"/>
        <w:rPr>
          <w:sz w:val="20"/>
          <w:szCs w:val="20"/>
          <w:color w:val="auto"/>
        </w:rPr>
      </w:pPr>
      <w:r>
        <w:rPr>
          <w:rFonts w:ascii="Arial" w:cs="Arial" w:eastAsia="Arial" w:hAnsi="Arial"/>
          <w:sz w:val="18"/>
          <w:szCs w:val="18"/>
          <w:b w:val="1"/>
          <w:bCs w:val="1"/>
          <w:color w:val="auto"/>
        </w:rPr>
        <w:t>PART I</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 BUSINESS</w:t>
      </w:r>
    </w:p>
    <w:p>
      <w:pPr>
        <w:spacing w:after="0" w:line="9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Overview</w:t>
      </w:r>
    </w:p>
    <w:p>
      <w:pPr>
        <w:spacing w:after="0" w:line="112" w:lineRule="exact"/>
        <w:rPr>
          <w:sz w:val="20"/>
          <w:szCs w:val="20"/>
          <w:color w:val="auto"/>
        </w:rPr>
      </w:pPr>
    </w:p>
    <w:p>
      <w:pPr>
        <w:jc w:val="both"/>
        <w:ind w:firstLine="216"/>
        <w:spacing w:after="0" w:line="256" w:lineRule="auto"/>
        <w:rPr>
          <w:sz w:val="20"/>
          <w:szCs w:val="20"/>
          <w:color w:val="auto"/>
        </w:rPr>
      </w:pPr>
      <w:r>
        <w:rPr>
          <w:rFonts w:ascii="Arial" w:cs="Arial" w:eastAsia="Arial" w:hAnsi="Arial"/>
          <w:sz w:val="18"/>
          <w:szCs w:val="18"/>
          <w:color w:val="auto"/>
        </w:rPr>
        <w:t>American Airlines Group Inc. (AAG), a Delaware corporation, is a holding company and its principal, wholly-owned subsidiaries are American Airlines, Inc. (American), Envoy Aviation Group Inc. (Envoy), PSA Airlines, Inc. (PSA) and Piedmont Airlines, Inc. (Piedmont). AAG was formed in 1982 under the name AMR Corporation (AMR) as the parent company of American, which was founded in 1934.</w:t>
      </w:r>
    </w:p>
    <w:p>
      <w:pPr>
        <w:spacing w:after="0" w:line="148" w:lineRule="exact"/>
        <w:rPr>
          <w:sz w:val="20"/>
          <w:szCs w:val="20"/>
          <w:color w:val="auto"/>
        </w:rPr>
      </w:pPr>
    </w:p>
    <w:p>
      <w:pPr>
        <w:jc w:val="both"/>
        <w:ind w:firstLine="216"/>
        <w:spacing w:after="0" w:line="262" w:lineRule="auto"/>
        <w:rPr>
          <w:sz w:val="20"/>
          <w:szCs w:val="20"/>
          <w:color w:val="auto"/>
        </w:rPr>
      </w:pPr>
      <w:r>
        <w:rPr>
          <w:rFonts w:ascii="Arial" w:cs="Arial" w:eastAsia="Arial" w:hAnsi="Arial"/>
          <w:sz w:val="18"/>
          <w:szCs w:val="18"/>
          <w:color w:val="auto"/>
        </w:rPr>
        <w:t>AAG’s and American’s principal executive offices are located at 1 Skyview Drive, Fort Worth, Texas 76155 and their telephone number is 817-963-1234.</w:t>
      </w:r>
    </w:p>
    <w:p>
      <w:pPr>
        <w:spacing w:after="0" w:line="20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Airline Operations</w:t>
      </w:r>
    </w:p>
    <w:p>
      <w:pPr>
        <w:spacing w:after="0" w:line="112" w:lineRule="exact"/>
        <w:rPr>
          <w:sz w:val="20"/>
          <w:szCs w:val="20"/>
          <w:color w:val="auto"/>
        </w:rPr>
      </w:pPr>
    </w:p>
    <w:p>
      <w:pPr>
        <w:ind w:left="220"/>
        <w:spacing w:after="0"/>
        <w:rPr>
          <w:sz w:val="20"/>
          <w:szCs w:val="20"/>
          <w:color w:val="auto"/>
        </w:rPr>
      </w:pPr>
      <w:r>
        <w:rPr>
          <w:rFonts w:ascii="Arial" w:cs="Arial" w:eastAsia="Arial" w:hAnsi="Arial"/>
          <w:sz w:val="18"/>
          <w:szCs w:val="18"/>
          <w:color w:val="auto"/>
        </w:rPr>
        <w:t>Our primary business activity is the operation of a major network carrier, providing scheduled air transportation for passengers and cargo.</w:t>
      </w:r>
    </w:p>
    <w:p>
      <w:pPr>
        <w:spacing w:after="0" w:line="171" w:lineRule="exact"/>
        <w:rPr>
          <w:sz w:val="20"/>
          <w:szCs w:val="20"/>
          <w:color w:val="auto"/>
        </w:rPr>
      </w:pPr>
    </w:p>
    <w:p>
      <w:pPr>
        <w:jc w:val="both"/>
        <w:ind w:firstLine="216"/>
        <w:spacing w:after="0" w:line="251" w:lineRule="auto"/>
        <w:rPr>
          <w:sz w:val="20"/>
          <w:szCs w:val="20"/>
          <w:color w:val="auto"/>
        </w:rPr>
      </w:pPr>
      <w:r>
        <w:rPr>
          <w:rFonts w:ascii="Arial" w:cs="Arial" w:eastAsia="Arial" w:hAnsi="Arial"/>
          <w:sz w:val="18"/>
          <w:szCs w:val="18"/>
          <w:color w:val="auto"/>
        </w:rPr>
        <w:t>Together with our wholly-owned regional airline subsidiaries and third-party regional carriers operating as American Eagle, our airline operates an average of 6,800 flights per day to more than 365 destinations in 61 countries through our hubs and gateways in Charlotte, Chicago, Dallas/Fort Worth, London Heathrow, Los Angeles, Miami, New York, Philadelphia, Phoenix and Washington, D.C. In 2019, approximately 215 million passengers boarded our flights. During 2019, we launched new seasonal nonstop service to transatlantic markets Dubrovnik, Croatia and Berlin, Germany from Philadelphia International Airport (PHL). We also announced an international expansion beginning in summer 2020 that will, among other things, introduce new seasonal nonstop service between PHL and Casablanca, Morocco, representing our entry into the African market, new seasonal nonstop service between Chicago O’Hare International Airport (ORD) and Krakow, Poland, Prague, Czech Republic and Budapest, Hungary, and the return of service to Tel Aviv, Israel, with year-round nonstop service from Dallas/Fort Worth International Airport (DFW). Beginning in October 2020, we also plan to operate new seasonal nonstop service between Los Angeles International Airport (LAX) and Christchurch, New Zealand and from DFW to Auckland, New Zealand, to which we currently operate seasonal service from LAX.</w:t>
      </w:r>
    </w:p>
    <w:p>
      <w:pPr>
        <w:spacing w:after="0" w:line="158" w:lineRule="exact"/>
        <w:rPr>
          <w:sz w:val="20"/>
          <w:szCs w:val="20"/>
          <w:color w:val="auto"/>
        </w:rPr>
      </w:pPr>
    </w:p>
    <w:p>
      <w:pPr>
        <w:jc w:val="both"/>
        <w:ind w:firstLine="216"/>
        <w:spacing w:after="0" w:line="256" w:lineRule="auto"/>
        <w:rPr>
          <w:sz w:val="20"/>
          <w:szCs w:val="20"/>
          <w:color w:val="auto"/>
        </w:rPr>
      </w:pPr>
      <w:r>
        <w:rPr>
          <w:rFonts w:ascii="Arial" w:cs="Arial" w:eastAsia="Arial" w:hAnsi="Arial"/>
          <w:sz w:val="18"/>
          <w:szCs w:val="18"/>
          <w:color w:val="auto"/>
        </w:rPr>
        <w:t>As of December 31, 2019, we operated 942 mainline aircraft supported by our regional airline subsidiaries and third-party regional carriers, which operated an additional 605 regional aircraft. See Part I, Item 2. Properties for further discussion on our mainline and regional aircraft and “</w:t>
      </w:r>
      <w:r>
        <w:rPr>
          <w:rFonts w:ascii="Arial" w:cs="Arial" w:eastAsia="Arial" w:hAnsi="Arial"/>
          <w:sz w:val="18"/>
          <w:szCs w:val="18"/>
          <w:i w:val="1"/>
          <w:iCs w:val="1"/>
          <w:color w:val="auto"/>
        </w:rPr>
        <w:t>Regional</w:t>
      </w:r>
      <w:r>
        <w:rPr>
          <w:rFonts w:ascii="Arial" w:cs="Arial" w:eastAsia="Arial" w:hAnsi="Arial"/>
          <w:sz w:val="18"/>
          <w:szCs w:val="18"/>
          <w:color w:val="auto"/>
        </w:rPr>
        <w:t>” below for further discussion on our regional operations.</w:t>
      </w:r>
    </w:p>
    <w:p>
      <w:pPr>
        <w:spacing w:after="0" w:line="126" w:lineRule="exact"/>
        <w:rPr>
          <w:sz w:val="20"/>
          <w:szCs w:val="20"/>
          <w:color w:val="auto"/>
        </w:rPr>
      </w:pPr>
    </w:p>
    <w:p>
      <w:pPr>
        <w:jc w:val="both"/>
        <w:ind w:firstLine="216"/>
        <w:spacing w:after="0" w:line="247" w:lineRule="auto"/>
        <w:rPr>
          <w:sz w:val="20"/>
          <w:szCs w:val="20"/>
          <w:color w:val="auto"/>
        </w:rPr>
      </w:pPr>
      <w:r>
        <w:rPr>
          <w:rFonts w:ascii="Arial" w:cs="Arial" w:eastAsia="Arial" w:hAnsi="Arial"/>
          <w:sz w:val="18"/>
          <w:szCs w:val="18"/>
          <w:color w:val="auto"/>
        </w:rPr>
        <w:t xml:space="preserve">American is a founding member of the </w:t>
      </w:r>
      <w:r>
        <w:rPr>
          <w:rFonts w:ascii="Arial" w:cs="Arial" w:eastAsia="Arial" w:hAnsi="Arial"/>
          <w:sz w:val="18"/>
          <w:szCs w:val="18"/>
          <w:b w:val="1"/>
          <w:bCs w:val="1"/>
          <w:color w:val="auto"/>
        </w:rPr>
        <w:t>one</w:t>
      </w:r>
      <w:r>
        <w:rPr>
          <w:rFonts w:ascii="Arial" w:cs="Arial" w:eastAsia="Arial" w:hAnsi="Arial"/>
          <w:sz w:val="18"/>
          <w:szCs w:val="18"/>
          <w:color w:val="auto"/>
        </w:rPr>
        <w:t>world</w:t>
      </w:r>
      <w:r>
        <w:rPr>
          <w:rFonts w:ascii="Arial" w:cs="Arial" w:eastAsia="Arial" w:hAnsi="Arial"/>
          <w:sz w:val="21"/>
          <w:szCs w:val="21"/>
          <w:color w:val="auto"/>
          <w:vertAlign w:val="superscript"/>
        </w:rPr>
        <w:t>®</w:t>
      </w:r>
      <w:r>
        <w:rPr>
          <w:rFonts w:ascii="Arial" w:cs="Arial" w:eastAsia="Arial" w:hAnsi="Arial"/>
          <w:sz w:val="18"/>
          <w:szCs w:val="18"/>
          <w:color w:val="auto"/>
        </w:rPr>
        <w:t xml:space="preserve"> alliance, whose members serve 1,100 destinations in 180 countries and territories. See below for further discussion on the </w:t>
      </w:r>
      <w:r>
        <w:rPr>
          <w:rFonts w:ascii="Arial" w:cs="Arial" w:eastAsia="Arial" w:hAnsi="Arial"/>
          <w:sz w:val="18"/>
          <w:szCs w:val="18"/>
          <w:b w:val="1"/>
          <w:bCs w:val="1"/>
          <w:color w:val="auto"/>
        </w:rPr>
        <w:t>one</w:t>
      </w:r>
      <w:r>
        <w:rPr>
          <w:rFonts w:ascii="Arial" w:cs="Arial" w:eastAsia="Arial" w:hAnsi="Arial"/>
          <w:sz w:val="18"/>
          <w:szCs w:val="18"/>
          <w:color w:val="auto"/>
        </w:rPr>
        <w:t>world alliance and other agreements with domestic and international airlines.</w:t>
      </w:r>
    </w:p>
    <w:p>
      <w:pPr>
        <w:spacing w:after="0" w:line="137" w:lineRule="exact"/>
        <w:rPr>
          <w:sz w:val="20"/>
          <w:szCs w:val="20"/>
          <w:color w:val="auto"/>
        </w:rPr>
      </w:pPr>
    </w:p>
    <w:p>
      <w:pPr>
        <w:jc w:val="both"/>
        <w:ind w:firstLine="216"/>
        <w:spacing w:after="0" w:line="258" w:lineRule="auto"/>
        <w:rPr>
          <w:sz w:val="20"/>
          <w:szCs w:val="20"/>
          <w:color w:val="auto"/>
        </w:rPr>
      </w:pPr>
      <w:r>
        <w:rPr>
          <w:rFonts w:ascii="Arial" w:cs="Arial" w:eastAsia="Arial" w:hAnsi="Arial"/>
          <w:sz w:val="18"/>
          <w:szCs w:val="18"/>
          <w:color w:val="auto"/>
        </w:rPr>
        <w:t>See Part II, Item 7. Management’s Discussion and Analysis of Financial Condition and Results of Operations –</w:t>
      </w:r>
      <w:r>
        <w:rPr>
          <w:rFonts w:ascii="Arial" w:cs="Arial" w:eastAsia="Arial" w:hAnsi="Arial"/>
          <w:sz w:val="18"/>
          <w:szCs w:val="18"/>
          <w:i w:val="1"/>
          <w:iCs w:val="1"/>
          <w:color w:val="auto"/>
        </w:rPr>
        <w:t>“2019 Financial Overview,”</w:t>
      </w:r>
      <w:r>
        <w:rPr>
          <w:rFonts w:ascii="Arial" w:cs="Arial" w:eastAsia="Arial" w:hAnsi="Arial"/>
          <w:sz w:val="18"/>
          <w:szCs w:val="18"/>
          <w:color w:val="auto"/>
        </w:rPr>
        <w:t xml:space="preserve"> </w:t>
      </w:r>
      <w:r>
        <w:rPr>
          <w:rFonts w:ascii="Arial" w:cs="Arial" w:eastAsia="Arial" w:hAnsi="Arial"/>
          <w:sz w:val="18"/>
          <w:szCs w:val="18"/>
          <w:i w:val="1"/>
          <w:iCs w:val="1"/>
          <w:color w:val="auto"/>
        </w:rPr>
        <w:t xml:space="preserve">“AAG’s Results of Operations” </w:t>
      </w:r>
      <w:r>
        <w:rPr>
          <w:rFonts w:ascii="Arial" w:cs="Arial" w:eastAsia="Arial" w:hAnsi="Arial"/>
          <w:sz w:val="18"/>
          <w:szCs w:val="18"/>
          <w:color w:val="auto"/>
        </w:rPr>
        <w:t>and</w:t>
      </w:r>
      <w:r>
        <w:rPr>
          <w:rFonts w:ascii="Arial" w:cs="Arial" w:eastAsia="Arial" w:hAnsi="Arial"/>
          <w:sz w:val="18"/>
          <w:szCs w:val="18"/>
          <w:i w:val="1"/>
          <w:iCs w:val="1"/>
          <w:color w:val="auto"/>
        </w:rPr>
        <w:t xml:space="preserve"> “American’s Results of Operations” </w:t>
      </w:r>
      <w:r>
        <w:rPr>
          <w:rFonts w:ascii="Arial" w:cs="Arial" w:eastAsia="Arial" w:hAnsi="Arial"/>
          <w:sz w:val="18"/>
          <w:szCs w:val="18"/>
          <w:color w:val="auto"/>
        </w:rPr>
        <w:t>for further discussion of AAG’s and American’s operating results and</w:t>
      </w:r>
      <w:r>
        <w:rPr>
          <w:rFonts w:ascii="Arial" w:cs="Arial" w:eastAsia="Arial" w:hAnsi="Arial"/>
          <w:sz w:val="18"/>
          <w:szCs w:val="18"/>
          <w:i w:val="1"/>
          <w:iCs w:val="1"/>
          <w:color w:val="auto"/>
        </w:rPr>
        <w:t xml:space="preserve"> </w:t>
      </w:r>
      <w:r>
        <w:rPr>
          <w:rFonts w:ascii="Arial" w:cs="Arial" w:eastAsia="Arial" w:hAnsi="Arial"/>
          <w:sz w:val="18"/>
          <w:szCs w:val="18"/>
          <w:color w:val="auto"/>
        </w:rPr>
        <w:t>operating performance. Also, see Note 14 to AAG’s Consolidated Financial Statements in Part II, Item 8A and Note 12 to American’s Consolidated Financial Statements in Part II, Item 8B for information regarding operating segments and see Note 1(k) to each of AAG’s and American’s Consolidated Financial Statements in Part II, Items 8A and 8B, respectively, for passenger revenue by geographic region.</w:t>
      </w:r>
    </w:p>
    <w:p>
      <w:pPr>
        <w:spacing w:after="0" w:line="207" w:lineRule="exact"/>
        <w:rPr>
          <w:sz w:val="20"/>
          <w:szCs w:val="20"/>
          <w:color w:val="auto"/>
        </w:rPr>
      </w:pPr>
    </w:p>
    <w:p>
      <w:pPr>
        <w:ind w:left="220"/>
        <w:spacing w:after="0"/>
        <w:rPr>
          <w:sz w:val="20"/>
          <w:szCs w:val="20"/>
          <w:color w:val="auto"/>
        </w:rPr>
      </w:pPr>
      <w:r>
        <w:rPr>
          <w:rFonts w:ascii="Arial" w:cs="Arial" w:eastAsia="Arial" w:hAnsi="Arial"/>
          <w:sz w:val="18"/>
          <w:szCs w:val="18"/>
          <w:b w:val="1"/>
          <w:bCs w:val="1"/>
          <w:i w:val="1"/>
          <w:iCs w:val="1"/>
          <w:color w:val="auto"/>
        </w:rPr>
        <w:t>Regional</w:t>
      </w:r>
    </w:p>
    <w:p>
      <w:pPr>
        <w:spacing w:after="0" w:line="112" w:lineRule="exact"/>
        <w:rPr>
          <w:sz w:val="20"/>
          <w:szCs w:val="20"/>
          <w:color w:val="auto"/>
        </w:rPr>
      </w:pPr>
    </w:p>
    <w:p>
      <w:pPr>
        <w:jc w:val="both"/>
        <w:ind w:firstLine="216"/>
        <w:spacing w:after="0" w:line="252" w:lineRule="auto"/>
        <w:rPr>
          <w:sz w:val="20"/>
          <w:szCs w:val="20"/>
          <w:color w:val="auto"/>
        </w:rPr>
      </w:pPr>
      <w:r>
        <w:rPr>
          <w:rFonts w:ascii="Arial" w:cs="Arial" w:eastAsia="Arial" w:hAnsi="Arial"/>
          <w:sz w:val="18"/>
          <w:szCs w:val="18"/>
          <w:color w:val="auto"/>
        </w:rPr>
        <w:t>Our regional carriers provide scheduled air transportation under the brand name “American Eagle.” The American Eagle carriers include our wholly-owned regional carriers Envoy, PSA and Piedmont, as well as third-party regional carriers including Republic Airline Inc. (Republic), Mesa Airlines, Inc. (Mesa), SkyWest Airlines, Inc. (SkyWest) and Compass Airlines, LLC (Compass). Our regional carriers are an integral component of our operating network. We rely heavily on regional carriers to drive feeder traffic to our hubs from low-density markets that are not economical for us to serve with larger, mainline aircraft. In addition, regional carriers offer complementary service in many of our mainline markets. During 2019, approximately 59 million passengers boarded our regional carriers’ planes, approximately 43% of whom connected to or from our mainline flights. All American Eagle carriers use logos, service marks, aircraft paint schemes and uniforms similar to those of our mainline operations.</w:t>
      </w:r>
    </w:p>
    <w:p>
      <w:pPr>
        <w:spacing w:after="0" w:line="20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w:t>
      </w:r>
    </w:p>
    <w:p>
      <w:pPr>
        <w:sectPr>
          <w:pgSz w:w="11900" w:h="16838" w:orient="portrait"/>
          <w:cols w:equalWidth="0" w:num="1">
            <w:col w:w="11420"/>
          </w:cols>
          <w:pgMar w:left="240" w:top="549" w:right="239" w:bottom="1440" w:gutter="0" w:footer="0" w:header="0"/>
        </w:sectPr>
      </w:pPr>
    </w:p>
    <w:bookmarkStart w:id="5" w:name="page6"/>
    <w:bookmarkEnd w:id="5"/>
    <w:p>
      <w:pPr>
        <w:jc w:val="both"/>
        <w:ind w:firstLine="216"/>
        <w:spacing w:after="0" w:line="253" w:lineRule="auto"/>
        <w:rPr>
          <w:sz w:val="20"/>
          <w:szCs w:val="20"/>
          <w:color w:val="auto"/>
        </w:rPr>
      </w:pPr>
      <w:r>
        <w:rPr>
          <w:rFonts w:ascii="Arial" w:cs="Arial" w:eastAsia="Arial" w:hAnsi="Arial"/>
          <w:sz w:val="18"/>
          <w:szCs w:val="18"/>
          <w:color w:val="auto"/>
        </w:rPr>
        <w:t>Substantially all of our regional carrier arrangements are in the form of capacity purchase agreements. The capacity purchase agreements provide that all revenues, including passenger, in-flight, ancillary, mail and freight revenues, go to us. We control marketing, scheduling, ticketing, pricing and seat inventories. In return, we agree to pay predetermined fees to these airlines for operating an agreed-upon number of aircraft, without regard to the number of passengers on board. In addition, these agreements provide that we either reimburse or pay 100% of certain variable costs, such as airport landing fees, fuel and passenger liability insurance.</w:t>
      </w:r>
    </w:p>
    <w:p>
      <w:pPr>
        <w:spacing w:after="0" w:line="211" w:lineRule="exact"/>
        <w:rPr>
          <w:sz w:val="20"/>
          <w:szCs w:val="20"/>
          <w:color w:val="auto"/>
        </w:rPr>
      </w:pPr>
    </w:p>
    <w:p>
      <w:pPr>
        <w:ind w:left="220"/>
        <w:spacing w:after="0"/>
        <w:rPr>
          <w:sz w:val="20"/>
          <w:szCs w:val="20"/>
          <w:color w:val="auto"/>
        </w:rPr>
      </w:pPr>
      <w:r>
        <w:rPr>
          <w:rFonts w:ascii="Arial" w:cs="Arial" w:eastAsia="Arial" w:hAnsi="Arial"/>
          <w:sz w:val="18"/>
          <w:szCs w:val="18"/>
          <w:b w:val="1"/>
          <w:bCs w:val="1"/>
          <w:i w:val="1"/>
          <w:iCs w:val="1"/>
          <w:color w:val="auto"/>
        </w:rPr>
        <w:t>Cargo</w:t>
      </w:r>
    </w:p>
    <w:p>
      <w:pPr>
        <w:spacing w:after="0" w:line="112" w:lineRule="exact"/>
        <w:rPr>
          <w:sz w:val="20"/>
          <w:szCs w:val="20"/>
          <w:color w:val="auto"/>
        </w:rPr>
      </w:pPr>
    </w:p>
    <w:p>
      <w:pPr>
        <w:ind w:left="220"/>
        <w:spacing w:after="0"/>
        <w:rPr>
          <w:sz w:val="20"/>
          <w:szCs w:val="20"/>
          <w:color w:val="auto"/>
        </w:rPr>
      </w:pPr>
      <w:r>
        <w:rPr>
          <w:rFonts w:ascii="Arial" w:cs="Arial" w:eastAsia="Arial" w:hAnsi="Arial"/>
          <w:sz w:val="18"/>
          <w:szCs w:val="18"/>
          <w:color w:val="auto"/>
        </w:rPr>
        <w:t>Our cargo division provides a wide range of freight and mail services, with facilities and interline connections available across the globe.</w:t>
      </w:r>
    </w:p>
    <w:p>
      <w:pPr>
        <w:spacing w:after="0" w:line="23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Distribution and Marketing Agreements</w:t>
      </w:r>
    </w:p>
    <w:p>
      <w:pPr>
        <w:spacing w:after="0" w:line="94" w:lineRule="exact"/>
        <w:rPr>
          <w:sz w:val="20"/>
          <w:szCs w:val="20"/>
          <w:color w:val="auto"/>
        </w:rPr>
      </w:pPr>
    </w:p>
    <w:p>
      <w:pPr>
        <w:jc w:val="both"/>
        <w:ind w:firstLine="216"/>
        <w:spacing w:after="0" w:line="255" w:lineRule="auto"/>
        <w:rPr>
          <w:sz w:val="20"/>
          <w:szCs w:val="20"/>
          <w:color w:val="auto"/>
        </w:rPr>
      </w:pPr>
      <w:r>
        <w:rPr>
          <w:rFonts w:ascii="Arial" w:cs="Arial" w:eastAsia="Arial" w:hAnsi="Arial"/>
          <w:sz w:val="18"/>
          <w:szCs w:val="18"/>
          <w:color w:val="auto"/>
        </w:rPr>
        <w:t>Passengers can purchase tickets for travel on American through several distribution channels, including our website (</w:t>
      </w:r>
      <w:r>
        <w:rPr>
          <w:rFonts w:ascii="Arial" w:cs="Arial" w:eastAsia="Arial" w:hAnsi="Arial"/>
          <w:sz w:val="18"/>
          <w:szCs w:val="18"/>
          <w:i w:val="1"/>
          <w:iCs w:val="1"/>
          <w:color w:val="auto"/>
        </w:rPr>
        <w:t>www.aa.com</w:t>
      </w:r>
      <w:r>
        <w:rPr>
          <w:rFonts w:ascii="Arial" w:cs="Arial" w:eastAsia="Arial" w:hAnsi="Arial"/>
          <w:sz w:val="18"/>
          <w:szCs w:val="18"/>
          <w:color w:val="auto"/>
        </w:rPr>
        <w:t>), our mobile app, our reservations centers and third-party distribution channels, including those provided by or through global distribution systems (e.g., Amadeus, Sabre and Travelport), conventional travel agents, travel management companies and online travel agents (e.g., Expedia, including its booking sites Orbitz and Travelocity, and Booking Holdings, including its booking sites Kayak and Priceline). To remain competitive, we will need to manage our distribution costs and rights effectively, increase our distribution flexibility and improve the functionality of our proprietary and third-party distribution channels, while maintaining an industry-competitive cost structure. For more discussion, see Part I, Item 1A. Risk Factors – “</w:t>
      </w:r>
      <w:r>
        <w:rPr>
          <w:rFonts w:ascii="Arial" w:cs="Arial" w:eastAsia="Arial" w:hAnsi="Arial"/>
          <w:sz w:val="18"/>
          <w:szCs w:val="18"/>
          <w:i w:val="1"/>
          <w:iCs w:val="1"/>
          <w:color w:val="auto"/>
        </w:rPr>
        <w:t>We rely on third-party distribution channels and must manage effectively the costs, rights and functionality of these</w:t>
      </w:r>
      <w:r>
        <w:rPr>
          <w:rFonts w:ascii="Arial" w:cs="Arial" w:eastAsia="Arial" w:hAnsi="Arial"/>
          <w:sz w:val="18"/>
          <w:szCs w:val="18"/>
          <w:color w:val="auto"/>
        </w:rPr>
        <w:t xml:space="preserve"> </w:t>
      </w:r>
      <w:r>
        <w:rPr>
          <w:rFonts w:ascii="Arial" w:cs="Arial" w:eastAsia="Arial" w:hAnsi="Arial"/>
          <w:sz w:val="18"/>
          <w:szCs w:val="18"/>
          <w:i w:val="1"/>
          <w:iCs w:val="1"/>
          <w:color w:val="auto"/>
        </w:rPr>
        <w:t>channels</w:t>
      </w:r>
      <w:r>
        <w:rPr>
          <w:rFonts w:ascii="Arial" w:cs="Arial" w:eastAsia="Arial" w:hAnsi="Arial"/>
          <w:sz w:val="18"/>
          <w:szCs w:val="18"/>
          <w:color w:val="auto"/>
        </w:rPr>
        <w:t>.”</w:t>
      </w:r>
    </w:p>
    <w:p>
      <w:pPr>
        <w:spacing w:after="0" w:line="149" w:lineRule="exact"/>
        <w:rPr>
          <w:sz w:val="20"/>
          <w:szCs w:val="20"/>
          <w:color w:val="auto"/>
        </w:rPr>
      </w:pPr>
    </w:p>
    <w:p>
      <w:pPr>
        <w:jc w:val="both"/>
        <w:ind w:firstLine="216"/>
        <w:spacing w:after="0" w:line="253" w:lineRule="auto"/>
        <w:rPr>
          <w:sz w:val="20"/>
          <w:szCs w:val="20"/>
          <w:color w:val="auto"/>
        </w:rPr>
      </w:pPr>
      <w:r>
        <w:rPr>
          <w:rFonts w:ascii="Arial" w:cs="Arial" w:eastAsia="Arial" w:hAnsi="Arial"/>
          <w:sz w:val="18"/>
          <w:szCs w:val="18"/>
          <w:color w:val="auto"/>
        </w:rPr>
        <w:t xml:space="preserve">In general, beyond nonstop city pairs, carriers that have the greatest ability to seamlessly connect passengers to and from markets have a competitive advantage. In some cases, however, foreign governments limit U.S. air carriers’ rights to transport passengers beyond designated gateway cities in foreign countries. In order to improve access to domestic and foreign markets, we have arrangements with other airlines including through the </w:t>
      </w:r>
      <w:r>
        <w:rPr>
          <w:rFonts w:ascii="Arial" w:cs="Arial" w:eastAsia="Arial" w:hAnsi="Arial"/>
          <w:sz w:val="18"/>
          <w:szCs w:val="18"/>
          <w:b w:val="1"/>
          <w:bCs w:val="1"/>
          <w:color w:val="auto"/>
        </w:rPr>
        <w:t>one</w:t>
      </w:r>
      <w:r>
        <w:rPr>
          <w:rFonts w:ascii="Arial" w:cs="Arial" w:eastAsia="Arial" w:hAnsi="Arial"/>
          <w:sz w:val="18"/>
          <w:szCs w:val="18"/>
          <w:color w:val="auto"/>
        </w:rPr>
        <w:t>world alliance, other cooperation agreements, joint business agreements (JBAs), and marketing relationships, as further discussed below.</w:t>
      </w:r>
    </w:p>
    <w:p>
      <w:pPr>
        <w:spacing w:after="0" w:line="211" w:lineRule="exact"/>
        <w:rPr>
          <w:sz w:val="20"/>
          <w:szCs w:val="20"/>
          <w:color w:val="auto"/>
        </w:rPr>
      </w:pPr>
    </w:p>
    <w:p>
      <w:pPr>
        <w:ind w:left="220"/>
        <w:spacing w:after="0"/>
        <w:rPr>
          <w:sz w:val="20"/>
          <w:szCs w:val="20"/>
          <w:color w:val="auto"/>
        </w:rPr>
      </w:pPr>
      <w:r>
        <w:rPr>
          <w:rFonts w:ascii="Arial" w:cs="Arial" w:eastAsia="Arial" w:hAnsi="Arial"/>
          <w:sz w:val="18"/>
          <w:szCs w:val="18"/>
          <w:b w:val="1"/>
          <w:bCs w:val="1"/>
          <w:i w:val="1"/>
          <w:iCs w:val="1"/>
          <w:color w:val="auto"/>
        </w:rPr>
        <w:t>Member of oneworld Alliance</w:t>
      </w:r>
    </w:p>
    <w:p>
      <w:pPr>
        <w:spacing w:after="0" w:line="90" w:lineRule="exact"/>
        <w:rPr>
          <w:sz w:val="20"/>
          <w:szCs w:val="20"/>
          <w:color w:val="auto"/>
        </w:rPr>
      </w:pPr>
    </w:p>
    <w:p>
      <w:pPr>
        <w:jc w:val="both"/>
        <w:ind w:firstLine="216"/>
        <w:spacing w:after="0" w:line="257" w:lineRule="auto"/>
        <w:rPr>
          <w:sz w:val="20"/>
          <w:szCs w:val="20"/>
          <w:color w:val="auto"/>
        </w:rPr>
      </w:pPr>
      <w:r>
        <w:rPr>
          <w:rFonts w:ascii="Arial" w:cs="Arial" w:eastAsia="Arial" w:hAnsi="Arial"/>
          <w:sz w:val="18"/>
          <w:szCs w:val="18"/>
          <w:color w:val="auto"/>
        </w:rPr>
        <w:t xml:space="preserve">American is a founding member of the </w:t>
      </w:r>
      <w:r>
        <w:rPr>
          <w:rFonts w:ascii="Arial" w:cs="Arial" w:eastAsia="Arial" w:hAnsi="Arial"/>
          <w:sz w:val="18"/>
          <w:szCs w:val="18"/>
          <w:b w:val="1"/>
          <w:bCs w:val="1"/>
          <w:color w:val="auto"/>
        </w:rPr>
        <w:t>one</w:t>
      </w:r>
      <w:r>
        <w:rPr>
          <w:rFonts w:ascii="Arial" w:cs="Arial" w:eastAsia="Arial" w:hAnsi="Arial"/>
          <w:sz w:val="18"/>
          <w:szCs w:val="18"/>
          <w:color w:val="auto"/>
        </w:rPr>
        <w:t xml:space="preserve">world alliance, which currently includes British Airways, Cathay Pacific Airways, Finnair, Iberia, Japan Airlines, LATAM Airlines Group, Malaysia Airlines, Qantas Airways, Qatar Airways, Royal Jordanian, S7 Airlines and SriLankan Airlines. The </w:t>
      </w:r>
      <w:r>
        <w:rPr>
          <w:rFonts w:ascii="Arial" w:cs="Arial" w:eastAsia="Arial" w:hAnsi="Arial"/>
          <w:sz w:val="18"/>
          <w:szCs w:val="18"/>
          <w:b w:val="1"/>
          <w:bCs w:val="1"/>
          <w:color w:val="auto"/>
        </w:rPr>
        <w:t>one</w:t>
      </w:r>
      <w:r>
        <w:rPr>
          <w:rFonts w:ascii="Arial" w:cs="Arial" w:eastAsia="Arial" w:hAnsi="Arial"/>
          <w:sz w:val="18"/>
          <w:szCs w:val="18"/>
          <w:color w:val="auto"/>
        </w:rPr>
        <w:t xml:space="preserve">world alliance links the networks of the member carriers and their respective affiliates to enhance customer service and smooth connections to the destinations served by the alliance, including linking the carriers’ loyalty programs and access to the carriers’ airport lounge facilities. Royal Air Maroc is expected to join the </w:t>
      </w:r>
      <w:r>
        <w:rPr>
          <w:rFonts w:ascii="Arial" w:cs="Arial" w:eastAsia="Arial" w:hAnsi="Arial"/>
          <w:sz w:val="18"/>
          <w:szCs w:val="18"/>
          <w:b w:val="1"/>
          <w:bCs w:val="1"/>
          <w:color w:val="auto"/>
        </w:rPr>
        <w:t>one</w:t>
      </w:r>
      <w:r>
        <w:rPr>
          <w:rFonts w:ascii="Arial" w:cs="Arial" w:eastAsia="Arial" w:hAnsi="Arial"/>
          <w:sz w:val="18"/>
          <w:szCs w:val="18"/>
          <w:color w:val="auto"/>
        </w:rPr>
        <w:t xml:space="preserve">world alliance in 2020. LATAM Airlines Group (LATAM) is in the process of withdrawing from the </w:t>
      </w:r>
      <w:r>
        <w:rPr>
          <w:rFonts w:ascii="Arial" w:cs="Arial" w:eastAsia="Arial" w:hAnsi="Arial"/>
          <w:sz w:val="18"/>
          <w:szCs w:val="18"/>
          <w:b w:val="1"/>
          <w:bCs w:val="1"/>
          <w:color w:val="auto"/>
        </w:rPr>
        <w:t>one</w:t>
      </w:r>
      <w:r>
        <w:rPr>
          <w:rFonts w:ascii="Arial" w:cs="Arial" w:eastAsia="Arial" w:hAnsi="Arial"/>
          <w:sz w:val="18"/>
          <w:szCs w:val="18"/>
          <w:color w:val="auto"/>
        </w:rPr>
        <w:t>world alliance, which is anticipated to be completed in the first half of 2020.</w:t>
      </w:r>
    </w:p>
    <w:p>
      <w:pPr>
        <w:spacing w:after="0" w:line="210" w:lineRule="exact"/>
        <w:rPr>
          <w:sz w:val="20"/>
          <w:szCs w:val="20"/>
          <w:color w:val="auto"/>
        </w:rPr>
      </w:pPr>
    </w:p>
    <w:p>
      <w:pPr>
        <w:ind w:left="220"/>
        <w:spacing w:after="0"/>
        <w:rPr>
          <w:sz w:val="20"/>
          <w:szCs w:val="20"/>
          <w:color w:val="auto"/>
        </w:rPr>
      </w:pPr>
      <w:r>
        <w:rPr>
          <w:rFonts w:ascii="Arial" w:cs="Arial" w:eastAsia="Arial" w:hAnsi="Arial"/>
          <w:sz w:val="18"/>
          <w:szCs w:val="18"/>
          <w:b w:val="1"/>
          <w:bCs w:val="1"/>
          <w:i w:val="1"/>
          <w:iCs w:val="1"/>
          <w:color w:val="auto"/>
        </w:rPr>
        <w:t>Cooperation and Joint Business Agreements</w:t>
      </w:r>
    </w:p>
    <w:p>
      <w:pPr>
        <w:spacing w:after="0" w:line="112" w:lineRule="exact"/>
        <w:rPr>
          <w:sz w:val="20"/>
          <w:szCs w:val="20"/>
          <w:color w:val="auto"/>
        </w:rPr>
      </w:pPr>
    </w:p>
    <w:p>
      <w:pPr>
        <w:jc w:val="both"/>
        <w:ind w:firstLine="216"/>
        <w:spacing w:after="0" w:line="252" w:lineRule="auto"/>
        <w:rPr>
          <w:sz w:val="20"/>
          <w:szCs w:val="20"/>
          <w:color w:val="auto"/>
        </w:rPr>
      </w:pPr>
      <w:r>
        <w:rPr>
          <w:rFonts w:ascii="Arial" w:cs="Arial" w:eastAsia="Arial" w:hAnsi="Arial"/>
          <w:sz w:val="18"/>
          <w:szCs w:val="18"/>
          <w:color w:val="auto"/>
        </w:rPr>
        <w:t>American has established a transatlantic JBA with British Airways, Iberia and Finnair, a transpacific JBA with Japan Airlines and a JBA relating to Australia and New Zealand with Qantas Airways, each of which has been granted antitrust immunity. Joint business agreements enable the carriers party to the relevant agreement to cooperate on flights between particular destinations and allow pooling and sharing of certain revenues and costs, enhanced loyalty program reciprocity and cooperation in other areas. American and its joint business partners received regulatory approval to enter into these JBAs and cooperation agreements. Joint business agreements have become a common approach among major carriers to address key regulatory restrictions typically applicable to international airline service, including limitations on the foreign ownership of airlines and national laws prohibiting foreign airlines from carrying passengers beyond specific gateway cities. Our competitors, including Delta Air Lines and United Airlines, are party to similar arrangements.</w:t>
      </w:r>
    </w:p>
    <w:p>
      <w:pPr>
        <w:spacing w:after="0" w:line="152" w:lineRule="exact"/>
        <w:rPr>
          <w:sz w:val="20"/>
          <w:szCs w:val="20"/>
          <w:color w:val="auto"/>
        </w:rPr>
      </w:pPr>
    </w:p>
    <w:p>
      <w:pPr>
        <w:jc w:val="both"/>
        <w:ind w:firstLine="216"/>
        <w:spacing w:after="0" w:line="252" w:lineRule="auto"/>
        <w:rPr>
          <w:sz w:val="20"/>
          <w:szCs w:val="20"/>
          <w:color w:val="auto"/>
        </w:rPr>
      </w:pPr>
      <w:r>
        <w:rPr>
          <w:rFonts w:ascii="Arial" w:cs="Arial" w:eastAsia="Arial" w:hAnsi="Arial"/>
          <w:sz w:val="18"/>
          <w:szCs w:val="18"/>
          <w:color w:val="auto"/>
        </w:rPr>
        <w:t>The business relationship under the transatlantic JBA benefits from a grant of antitrust immunity from the U.S. Department of Transportation (DOT) and was reviewed by the European Commission (EC) in July 2010. In connection with this review, we provided certain commitments to the EC regarding, among other things, the availability of take-off and landing slots at London Heathrow (LHR) or London Gatwick (LGW) airports. The commitments accepted by the EC are binding for 10 years. In October 2018, in anticipation of the exit of the United Kingdom from the European Union (EU), commonly referred to as Brexit, and the expiry of the EC commitments in July 2020, the United Kingdom Competition and Markets Authority (CMA) opened an investigation into the transatlantic JBA. We continue to fully cooperate with the CMA. An application for antitrust immunity is also pending with the DOT to add Aer Lingus, which is owned by the parent company of British Airways and Iberia, to the transatlantic JBA.</w:t>
      </w:r>
    </w:p>
    <w:p>
      <w:pPr>
        <w:spacing w:after="0" w:line="20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w:t>
      </w:r>
    </w:p>
    <w:p>
      <w:pPr>
        <w:sectPr>
          <w:pgSz w:w="11900" w:h="16838" w:orient="portrait"/>
          <w:cols w:equalWidth="0" w:num="1">
            <w:col w:w="11420"/>
          </w:cols>
          <w:pgMar w:left="240" w:top="733" w:right="239" w:bottom="1440" w:gutter="0" w:footer="0" w:header="0"/>
        </w:sectPr>
      </w:pPr>
    </w:p>
    <w:bookmarkStart w:id="6" w:name="page7"/>
    <w:bookmarkEnd w:id="6"/>
    <w:p>
      <w:pPr>
        <w:jc w:val="both"/>
        <w:ind w:firstLine="216"/>
        <w:spacing w:after="0" w:line="256" w:lineRule="auto"/>
        <w:rPr>
          <w:sz w:val="20"/>
          <w:szCs w:val="20"/>
          <w:color w:val="auto"/>
        </w:rPr>
      </w:pPr>
      <w:r>
        <w:rPr>
          <w:rFonts w:ascii="Arial" w:cs="Arial" w:eastAsia="Arial" w:hAnsi="Arial"/>
          <w:sz w:val="18"/>
          <w:szCs w:val="18"/>
          <w:color w:val="auto"/>
        </w:rPr>
        <w:t>As announced in September 2019, we are in the process of unwinding our commercial relationship with LATAM. We do not expect this change to have a significant financial impact on our company. After giving effect to this change, American remains the largest U.S. carrier to Latin America.</w:t>
      </w:r>
    </w:p>
    <w:p>
      <w:pPr>
        <w:spacing w:after="0" w:line="207" w:lineRule="exact"/>
        <w:rPr>
          <w:sz w:val="20"/>
          <w:szCs w:val="20"/>
          <w:color w:val="auto"/>
        </w:rPr>
      </w:pPr>
    </w:p>
    <w:p>
      <w:pPr>
        <w:ind w:left="220"/>
        <w:spacing w:after="0"/>
        <w:rPr>
          <w:sz w:val="20"/>
          <w:szCs w:val="20"/>
          <w:color w:val="auto"/>
        </w:rPr>
      </w:pPr>
      <w:r>
        <w:rPr>
          <w:rFonts w:ascii="Arial" w:cs="Arial" w:eastAsia="Arial" w:hAnsi="Arial"/>
          <w:sz w:val="18"/>
          <w:szCs w:val="18"/>
          <w:b w:val="1"/>
          <w:bCs w:val="1"/>
          <w:i w:val="1"/>
          <w:iCs w:val="1"/>
          <w:color w:val="auto"/>
        </w:rPr>
        <w:t>Marketing Relationships</w:t>
      </w:r>
    </w:p>
    <w:p>
      <w:pPr>
        <w:spacing w:after="0" w:line="112" w:lineRule="exact"/>
        <w:rPr>
          <w:sz w:val="20"/>
          <w:szCs w:val="20"/>
          <w:color w:val="auto"/>
        </w:rPr>
      </w:pPr>
    </w:p>
    <w:p>
      <w:pPr>
        <w:jc w:val="both"/>
        <w:ind w:firstLine="216"/>
        <w:spacing w:after="0" w:line="251" w:lineRule="auto"/>
        <w:rPr>
          <w:sz w:val="20"/>
          <w:szCs w:val="20"/>
          <w:color w:val="auto"/>
        </w:rPr>
      </w:pPr>
      <w:r>
        <w:rPr>
          <w:rFonts w:ascii="Arial" w:cs="Arial" w:eastAsia="Arial" w:hAnsi="Arial"/>
          <w:sz w:val="18"/>
          <w:szCs w:val="18"/>
          <w:color w:val="auto"/>
        </w:rPr>
        <w:t>To improve access to each other’s markets, various U.S. and foreign air carriers, including American, have established marketing agreements with other airlines. These marketing agreements generally provide enhanced customer choice by means of an expanded network with reciprocal loyalty program participation and joint sales cooperation. As of December 31, 2019, American had codeshare and/or loyalty program relationships with Air Tahiti Nui, Alaska Airlines, British Airways, Cape Air, Cathay Dragon, Cathay Pacific, China Southern Airlines, EL AL, Etihad Airways, Fiji Airways, Finnair, Gulf Air, Hawaiian Airlines, Iberia, Interjet, Japan Airlines, Jetstar Group (includes Jetstar Airways and Jetstar Japan), Korean Air, LATAM (includes LATAM Airlines, LATAM Argentina, LATAM Brasil, LATAM Peru, LATAM Colombia and LATAM Ecuador), Malaysia Airlines, Qantas Airways, Qatar Airways, Royal Air Maroc, Royal Jordanian, S7 Airlines, Seaborne Airlines, SriLankan Airlines and Vueling Airlines. In February 2020, American announced that it intends to enter into a codeshare relationship with the Brazilian airline, GOL Linhas Aéreas, which is expected to be implemented in 2020, subject to the receipt of relevant government approvals.</w:t>
      </w:r>
    </w:p>
    <w:p>
      <w:pPr>
        <w:spacing w:after="0" w:line="21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Recent Developments</w:t>
      </w:r>
    </w:p>
    <w:p>
      <w:pPr>
        <w:spacing w:after="0" w:line="112" w:lineRule="exact"/>
        <w:rPr>
          <w:sz w:val="20"/>
          <w:szCs w:val="20"/>
          <w:color w:val="auto"/>
        </w:rPr>
      </w:pPr>
    </w:p>
    <w:p>
      <w:pPr>
        <w:jc w:val="both"/>
        <w:ind w:firstLine="216"/>
        <w:spacing w:after="0" w:line="252" w:lineRule="auto"/>
        <w:rPr>
          <w:sz w:val="20"/>
          <w:szCs w:val="20"/>
          <w:color w:val="auto"/>
        </w:rPr>
      </w:pPr>
      <w:r>
        <w:rPr>
          <w:rFonts w:ascii="Arial" w:cs="Arial" w:eastAsia="Arial" w:hAnsi="Arial"/>
          <w:sz w:val="18"/>
          <w:szCs w:val="18"/>
          <w:color w:val="auto"/>
        </w:rPr>
        <w:t>On February 13, 2020, we announced our intention to enter into an expanded relationship with Alaska Airlines. This arrangement, once finalized, will expand our existing codeshare relationship, including codeshare on certain of our international routes from Seattle-Tacoma International Airport (SEA) and LAX, and will provide for reciprocal loyalty program benefits and shared lounge access. In addition, we announced new nonstop international service from SEA to Bangalore, India and to LHR, expected to commence in October 2020 and March 2021, respectively. The implementation of this expanded relationship and commencement of these new routes are subject to the negotiation and execution of definitive documentation and governmental review.</w:t>
      </w:r>
    </w:p>
    <w:p>
      <w:pPr>
        <w:spacing w:after="0" w:line="21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Loyalty Program</w:t>
      </w:r>
    </w:p>
    <w:p>
      <w:pPr>
        <w:spacing w:after="0" w:line="110" w:lineRule="exact"/>
        <w:rPr>
          <w:sz w:val="20"/>
          <w:szCs w:val="20"/>
          <w:color w:val="auto"/>
        </w:rPr>
      </w:pPr>
    </w:p>
    <w:p>
      <w:pPr>
        <w:jc w:val="both"/>
        <w:ind w:firstLine="216"/>
        <w:spacing w:after="0" w:line="246" w:lineRule="auto"/>
        <w:rPr>
          <w:sz w:val="20"/>
          <w:szCs w:val="20"/>
          <w:color w:val="auto"/>
        </w:rPr>
      </w:pPr>
      <w:r>
        <w:rPr>
          <w:rFonts w:ascii="Arial" w:cs="Arial" w:eastAsia="Arial" w:hAnsi="Arial"/>
          <w:sz w:val="18"/>
          <w:szCs w:val="18"/>
          <w:color w:val="auto"/>
        </w:rPr>
        <w:t>Our loyalty program, AAdvantage</w:t>
      </w:r>
      <w:r>
        <w:rPr>
          <w:rFonts w:ascii="Arial" w:cs="Arial" w:eastAsia="Arial" w:hAnsi="Arial"/>
          <w:sz w:val="21"/>
          <w:szCs w:val="21"/>
          <w:color w:val="auto"/>
          <w:vertAlign w:val="superscript"/>
        </w:rPr>
        <w:t>®</w:t>
      </w:r>
      <w:r>
        <w:rPr>
          <w:rFonts w:ascii="Arial" w:cs="Arial" w:eastAsia="Arial" w:hAnsi="Arial"/>
          <w:sz w:val="18"/>
          <w:szCs w:val="18"/>
          <w:color w:val="auto"/>
        </w:rPr>
        <w:t xml:space="preserve">, was established to develop passenger loyalty by offering awards to travelers for their continued patronage. AAdvantage was named Best Elite Program in the Americas for the eighth consecutive year in that category at the 2019 Freddie Awards, which are annual awards that recognize the world’s most outstanding frequent travel programs. AAdvantage members earn mileage credits by flying on American, any </w:t>
      </w:r>
      <w:r>
        <w:rPr>
          <w:rFonts w:ascii="Arial" w:cs="Arial" w:eastAsia="Arial" w:hAnsi="Arial"/>
          <w:sz w:val="18"/>
          <w:szCs w:val="18"/>
          <w:b w:val="1"/>
          <w:bCs w:val="1"/>
          <w:color w:val="auto"/>
        </w:rPr>
        <w:t>one</w:t>
      </w:r>
      <w:r>
        <w:rPr>
          <w:rFonts w:ascii="Arial" w:cs="Arial" w:eastAsia="Arial" w:hAnsi="Arial"/>
          <w:sz w:val="18"/>
          <w:szCs w:val="18"/>
          <w:color w:val="auto"/>
        </w:rPr>
        <w:t>world airline or other partner airlines, or by using the services of over 1,000 program participants, such as the Citi and Barclaycard US co-branded credit cards, and certain hotels and car rental companies. For every dollar spent, non-status members earn five mileage credits, but Gold, Platinum, Platinum Pro and Executive Platinum status holders earn bonus mileage credits of seven, eight, nine and eleven mileage credits, respectively.</w:t>
      </w:r>
    </w:p>
    <w:p>
      <w:pPr>
        <w:spacing w:after="0" w:line="157" w:lineRule="exact"/>
        <w:rPr>
          <w:sz w:val="20"/>
          <w:szCs w:val="20"/>
          <w:color w:val="auto"/>
        </w:rPr>
      </w:pPr>
    </w:p>
    <w:p>
      <w:pPr>
        <w:jc w:val="both"/>
        <w:ind w:firstLine="216"/>
        <w:spacing w:after="0" w:line="244" w:lineRule="auto"/>
        <w:rPr>
          <w:sz w:val="20"/>
          <w:szCs w:val="20"/>
          <w:color w:val="auto"/>
        </w:rPr>
      </w:pPr>
      <w:r>
        <w:rPr>
          <w:rFonts w:ascii="Arial" w:cs="Arial" w:eastAsia="Arial" w:hAnsi="Arial"/>
          <w:sz w:val="18"/>
          <w:szCs w:val="18"/>
          <w:color w:val="auto"/>
        </w:rPr>
        <w:t>All travel on eligible tickets counts toward qualification for elite status in the AAdvantage program. Mileage credits can be redeemed for free or upgraded travel on American and participating airlines, membership to our Admirals Club</w:t>
      </w:r>
      <w:r>
        <w:rPr>
          <w:rFonts w:ascii="Arial" w:cs="Arial" w:eastAsia="Arial" w:hAnsi="Arial"/>
          <w:sz w:val="21"/>
          <w:szCs w:val="21"/>
          <w:color w:val="auto"/>
          <w:vertAlign w:val="superscript"/>
        </w:rPr>
        <w:t>®</w:t>
      </w:r>
      <w:r>
        <w:rPr>
          <w:rFonts w:ascii="Arial" w:cs="Arial" w:eastAsia="Arial" w:hAnsi="Arial"/>
          <w:sz w:val="18"/>
          <w:szCs w:val="18"/>
          <w:color w:val="auto"/>
        </w:rPr>
        <w:t xml:space="preserve"> or for other non-travel awards from our program participants. Most travel awards are subject to capacity-controlled seating. A member’s mileage credit does not expire as long as that member has any type of qualifying activity at least once every 18 months. Elite members can enjoy additional benefits of the AAdvantage program, including complimentary upgrades, checked bags, and Preferred and Main Cabin Extra seats, as well as priority check-in, security, boarding and baggage delivery. Additionally, our members earn bonus mileage credits when elite status is obtained.</w:t>
      </w:r>
    </w:p>
    <w:p>
      <w:pPr>
        <w:spacing w:after="0" w:line="161" w:lineRule="exact"/>
        <w:rPr>
          <w:sz w:val="20"/>
          <w:szCs w:val="20"/>
          <w:color w:val="auto"/>
        </w:rPr>
      </w:pPr>
    </w:p>
    <w:p>
      <w:pPr>
        <w:jc w:val="both"/>
        <w:ind w:firstLine="216"/>
        <w:spacing w:after="0" w:line="256" w:lineRule="auto"/>
        <w:rPr>
          <w:sz w:val="20"/>
          <w:szCs w:val="20"/>
          <w:color w:val="auto"/>
        </w:rPr>
      </w:pPr>
      <w:r>
        <w:rPr>
          <w:rFonts w:ascii="Arial" w:cs="Arial" w:eastAsia="Arial" w:hAnsi="Arial"/>
          <w:sz w:val="18"/>
          <w:szCs w:val="18"/>
          <w:color w:val="auto"/>
        </w:rPr>
        <w:t>Under our agreements with AAdvantage members and program partners, we reserve the right to change the terms of the AAdvantage program at any time and without notice, and may end the program with six months’ notice. Program rules, partners, special offers, awards and requisite mileage levels for awards are subject to change.</w:t>
      </w:r>
    </w:p>
    <w:p>
      <w:pPr>
        <w:spacing w:after="0" w:line="148" w:lineRule="exact"/>
        <w:rPr>
          <w:sz w:val="20"/>
          <w:szCs w:val="20"/>
          <w:color w:val="auto"/>
        </w:rPr>
      </w:pPr>
    </w:p>
    <w:p>
      <w:pPr>
        <w:jc w:val="both"/>
        <w:ind w:firstLine="216"/>
        <w:spacing w:after="0" w:line="256" w:lineRule="auto"/>
        <w:rPr>
          <w:sz w:val="20"/>
          <w:szCs w:val="20"/>
          <w:color w:val="auto"/>
        </w:rPr>
      </w:pPr>
      <w:r>
        <w:rPr>
          <w:rFonts w:ascii="Arial" w:cs="Arial" w:eastAsia="Arial" w:hAnsi="Arial"/>
          <w:sz w:val="18"/>
          <w:szCs w:val="18"/>
          <w:color w:val="auto"/>
        </w:rPr>
        <w:t>During 2019, our members redeemed approximately 14 million awards, including travel redemptions for flights and upgrades on American and other air carriers, as well as redemption of car and hotel awards, club memberships and merchandise. Approximately 8% of our 2019 total revenue passenger miles flown were from award travel.</w:t>
      </w:r>
    </w:p>
    <w:p>
      <w:pPr>
        <w:spacing w:after="0" w:line="130" w:lineRule="exact"/>
        <w:rPr>
          <w:sz w:val="20"/>
          <w:szCs w:val="20"/>
          <w:color w:val="auto"/>
        </w:rPr>
      </w:pPr>
    </w:p>
    <w:p>
      <w:pPr>
        <w:jc w:val="both"/>
        <w:ind w:firstLine="216"/>
        <w:spacing w:after="0" w:line="282" w:lineRule="auto"/>
        <w:rPr>
          <w:sz w:val="20"/>
          <w:szCs w:val="20"/>
          <w:color w:val="auto"/>
        </w:rPr>
      </w:pPr>
      <w:r>
        <w:rPr>
          <w:rFonts w:ascii="Arial" w:cs="Arial" w:eastAsia="Arial" w:hAnsi="Arial"/>
          <w:sz w:val="18"/>
          <w:szCs w:val="18"/>
          <w:color w:val="auto"/>
        </w:rPr>
        <w:t>See Part II, Item 7. Management’s Discussion and Analysis of Financial Condition and Results of Operations – “</w:t>
      </w:r>
      <w:r>
        <w:rPr>
          <w:rFonts w:ascii="Arial" w:cs="Arial" w:eastAsia="Arial" w:hAnsi="Arial"/>
          <w:sz w:val="18"/>
          <w:szCs w:val="18"/>
          <w:i w:val="1"/>
          <w:iCs w:val="1"/>
          <w:color w:val="auto"/>
        </w:rPr>
        <w:t>Critical Accounting Policies</w:t>
      </w:r>
      <w:r>
        <w:rPr>
          <w:rFonts w:ascii="Arial" w:cs="Arial" w:eastAsia="Arial" w:hAnsi="Arial"/>
          <w:sz w:val="18"/>
          <w:szCs w:val="18"/>
          <w:color w:val="auto"/>
        </w:rPr>
        <w:t xml:space="preserve"> </w:t>
      </w:r>
      <w:r>
        <w:rPr>
          <w:rFonts w:ascii="Arial" w:cs="Arial" w:eastAsia="Arial" w:hAnsi="Arial"/>
          <w:sz w:val="18"/>
          <w:szCs w:val="18"/>
          <w:i w:val="1"/>
          <w:iCs w:val="1"/>
          <w:color w:val="auto"/>
        </w:rPr>
        <w:t>and Estimate</w:t>
      </w:r>
      <w:r>
        <w:rPr>
          <w:rFonts w:ascii="Arial" w:cs="Arial" w:eastAsia="Arial" w:hAnsi="Arial"/>
          <w:sz w:val="18"/>
          <w:szCs w:val="18"/>
          <w:color w:val="auto"/>
        </w:rPr>
        <w:t>s” for more information on our loyalty program.</w:t>
      </w:r>
    </w:p>
    <w:p>
      <w:pPr>
        <w:spacing w:after="0" w:line="18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w:t>
      </w:r>
    </w:p>
    <w:p>
      <w:pPr>
        <w:sectPr>
          <w:pgSz w:w="11900" w:h="16838" w:orient="portrait"/>
          <w:cols w:equalWidth="0" w:num="1">
            <w:col w:w="11420"/>
          </w:cols>
          <w:pgMar w:left="240" w:top="733" w:right="239" w:bottom="1440" w:gutter="0" w:footer="0" w:header="0"/>
        </w:sectPr>
      </w:pPr>
    </w:p>
    <w:bookmarkStart w:id="7" w:name="page8"/>
    <w:bookmarkEnd w:id="7"/>
    <w:p>
      <w:pPr>
        <w:spacing w:after="0"/>
        <w:rPr>
          <w:sz w:val="20"/>
          <w:szCs w:val="20"/>
          <w:color w:val="auto"/>
        </w:rPr>
      </w:pPr>
      <w:r>
        <w:rPr>
          <w:rFonts w:ascii="Arial" w:cs="Arial" w:eastAsia="Arial" w:hAnsi="Arial"/>
          <w:sz w:val="18"/>
          <w:szCs w:val="18"/>
          <w:b w:val="1"/>
          <w:bCs w:val="1"/>
          <w:color w:val="auto"/>
        </w:rPr>
        <w:t>Industry Competition</w:t>
      </w:r>
    </w:p>
    <w:p>
      <w:pPr>
        <w:spacing w:after="0" w:line="90" w:lineRule="exact"/>
        <w:rPr>
          <w:sz w:val="20"/>
          <w:szCs w:val="20"/>
          <w:color w:val="auto"/>
        </w:rPr>
      </w:pPr>
    </w:p>
    <w:p>
      <w:pPr>
        <w:ind w:left="220"/>
        <w:spacing w:after="0"/>
        <w:rPr>
          <w:sz w:val="20"/>
          <w:szCs w:val="20"/>
          <w:color w:val="auto"/>
        </w:rPr>
      </w:pPr>
      <w:r>
        <w:rPr>
          <w:rFonts w:ascii="Arial" w:cs="Arial" w:eastAsia="Arial" w:hAnsi="Arial"/>
          <w:sz w:val="18"/>
          <w:szCs w:val="18"/>
          <w:b w:val="1"/>
          <w:bCs w:val="1"/>
          <w:i w:val="1"/>
          <w:iCs w:val="1"/>
          <w:color w:val="auto"/>
        </w:rPr>
        <w:t>Domestic</w:t>
      </w:r>
    </w:p>
    <w:p>
      <w:pPr>
        <w:spacing w:after="0" w:line="112" w:lineRule="exact"/>
        <w:rPr>
          <w:sz w:val="20"/>
          <w:szCs w:val="20"/>
          <w:color w:val="auto"/>
        </w:rPr>
      </w:pPr>
    </w:p>
    <w:p>
      <w:pPr>
        <w:jc w:val="both"/>
        <w:ind w:firstLine="216"/>
        <w:spacing w:after="0" w:line="252" w:lineRule="auto"/>
        <w:rPr>
          <w:sz w:val="20"/>
          <w:szCs w:val="20"/>
          <w:color w:val="auto"/>
        </w:rPr>
      </w:pPr>
      <w:r>
        <w:rPr>
          <w:rFonts w:ascii="Arial" w:cs="Arial" w:eastAsia="Arial" w:hAnsi="Arial"/>
          <w:sz w:val="18"/>
          <w:szCs w:val="18"/>
          <w:color w:val="auto"/>
        </w:rPr>
        <w:t>The markets in which we operate are highly competitive. On most of our domestic nonstop routes, we currently face competing service from other domestic airlines, including major network airlines, low-cost carriers and ultra-low-cost carriers such as Alaska Airlines, Allegiant Air, Delta Air Lines, Frontier Airlines, Hawaiian Airlines, JetBlue Airways, Southwest Airlines, Spirit Airlines and United Airlines. Competition is even greater between cities that require a connection, where the major airlines compete via their respective hubs. In addition, we face competition on some of our connecting routes from airlines operating point-to-point service on such routes. We also compete with all-cargo and charter airlines and, particularly on shorter segments, ground and rail transportation.</w:t>
      </w:r>
    </w:p>
    <w:p>
      <w:pPr>
        <w:spacing w:after="0" w:line="155" w:lineRule="exact"/>
        <w:rPr>
          <w:sz w:val="20"/>
          <w:szCs w:val="20"/>
          <w:color w:val="auto"/>
        </w:rPr>
      </w:pPr>
    </w:p>
    <w:p>
      <w:pPr>
        <w:jc w:val="both"/>
        <w:ind w:firstLine="216"/>
        <w:spacing w:after="0" w:line="252" w:lineRule="auto"/>
        <w:rPr>
          <w:sz w:val="20"/>
          <w:szCs w:val="20"/>
          <w:color w:val="auto"/>
        </w:rPr>
      </w:pPr>
      <w:r>
        <w:rPr>
          <w:rFonts w:ascii="Arial" w:cs="Arial" w:eastAsia="Arial" w:hAnsi="Arial"/>
          <w:sz w:val="18"/>
          <w:szCs w:val="18"/>
          <w:color w:val="auto"/>
        </w:rPr>
        <w:t>On all of our routes, pricing decisions are affected, in large part, by the need to meet competition from other airlines. Price competition occurs on a market-by-market basis through price discounts, changes in pricing structures, fare matching, targeted promotions and loyalty program initiatives. Airlines typically use discounted fares and other promotions to stimulate traffic during normally slack travel periods, when they begin service to new cities or when they have excess capacity, to generate cash flow, to maximize revenue per available seat mile and to establish, increase or preserve market share. Most airlines will quickly match price reductions in a particular market, and we have often elected to match discounted or promotional fares initiated by other air carriers in certain markets in order to compete in those markets. In addition, low-fare, low-cost carriers, such as Southwest Airlines and JetBlue Airways, and so-called ultra-low-cost carriers, such as Allegiant Air, Frontier Airlines and Spirit Airlines, compete in many of the markets in which we operate and competition from these carriers is increasing.</w:t>
      </w:r>
    </w:p>
    <w:p>
      <w:pPr>
        <w:spacing w:after="0" w:line="152" w:lineRule="exact"/>
        <w:rPr>
          <w:sz w:val="20"/>
          <w:szCs w:val="20"/>
          <w:color w:val="auto"/>
        </w:rPr>
      </w:pPr>
    </w:p>
    <w:p>
      <w:pPr>
        <w:jc w:val="both"/>
        <w:ind w:firstLine="216"/>
        <w:spacing w:after="0" w:line="252" w:lineRule="auto"/>
        <w:rPr>
          <w:sz w:val="20"/>
          <w:szCs w:val="20"/>
          <w:color w:val="auto"/>
        </w:rPr>
      </w:pPr>
      <w:r>
        <w:rPr>
          <w:rFonts w:ascii="Arial" w:cs="Arial" w:eastAsia="Arial" w:hAnsi="Arial"/>
          <w:sz w:val="18"/>
          <w:szCs w:val="18"/>
          <w:color w:val="auto"/>
        </w:rPr>
        <w:t>In addition to price competition, airlines compete for market share by increasing the size of their route system and the number of markets they serve. The American Eagle regional carriers increase the number of markets we serve by flying to lower demand markets and providing connections at our hubs. Many of our competitors also own or have agreements with regional airlines that provide similar services at their hubs and other locations. We also compete on the basis of scheduling (frequency and flight times), availability of nonstop flights, on-time performance, type of equipment, cabin configuration, amenities provided to passengers, loyalty programs, the automation of travel agent reservation systems, onboard products and other services.</w:t>
      </w:r>
    </w:p>
    <w:p>
      <w:pPr>
        <w:spacing w:after="0" w:line="214" w:lineRule="exact"/>
        <w:rPr>
          <w:sz w:val="20"/>
          <w:szCs w:val="20"/>
          <w:color w:val="auto"/>
        </w:rPr>
      </w:pPr>
    </w:p>
    <w:p>
      <w:pPr>
        <w:ind w:left="220"/>
        <w:spacing w:after="0"/>
        <w:rPr>
          <w:sz w:val="20"/>
          <w:szCs w:val="20"/>
          <w:color w:val="auto"/>
        </w:rPr>
      </w:pPr>
      <w:r>
        <w:rPr>
          <w:rFonts w:ascii="Arial" w:cs="Arial" w:eastAsia="Arial" w:hAnsi="Arial"/>
          <w:sz w:val="18"/>
          <w:szCs w:val="18"/>
          <w:b w:val="1"/>
          <w:bCs w:val="1"/>
          <w:i w:val="1"/>
          <w:iCs w:val="1"/>
          <w:color w:val="auto"/>
        </w:rPr>
        <w:t>International</w:t>
      </w:r>
    </w:p>
    <w:p>
      <w:pPr>
        <w:spacing w:after="0" w:line="112" w:lineRule="exact"/>
        <w:rPr>
          <w:sz w:val="20"/>
          <w:szCs w:val="20"/>
          <w:color w:val="auto"/>
        </w:rPr>
      </w:pPr>
    </w:p>
    <w:p>
      <w:pPr>
        <w:jc w:val="both"/>
        <w:ind w:firstLine="216"/>
        <w:spacing w:after="0" w:line="251" w:lineRule="auto"/>
        <w:rPr>
          <w:sz w:val="20"/>
          <w:szCs w:val="20"/>
          <w:color w:val="auto"/>
        </w:rPr>
      </w:pPr>
      <w:r>
        <w:rPr>
          <w:rFonts w:ascii="Arial" w:cs="Arial" w:eastAsia="Arial" w:hAnsi="Arial"/>
          <w:sz w:val="18"/>
          <w:szCs w:val="18"/>
          <w:color w:val="auto"/>
        </w:rPr>
        <w:t>In addition to our extensive domestic service, we provide international service to Canada, Mexico, the Caribbean, Central and South America, Asia, Europe, Australia and New Zealand, and in 2020, will expand our international service to include Israel as well as Morocco, our first African destination. In providing international air transportation, we compete with other U.S. airlines, foreign investor-owned airlines and foreign state-owned or state-affiliated airlines. Competition is increasing from foreign state-owned and state-affiliated airlines in the Gulf region, including Emirates, Etihad Airways and Qatar Airways. These carriers have large numbers of international widebody aircraft in service and on order and are increasing service to the U.S. from locations both in and outside the Middle East. Service to and from locations outside of the Middle East is provided by some of these carriers under so-called “fifth freedom” rights permitted under international treaties which allow service to and from stopover points between an airline’s home country and the ultimate destination. Such flights, such as a stopover in Europe on flights to the United States, allow the carrier to sell tickets for travel between the stopover point and the United States in competition with service provided by us. We believe these state-owned and state-affiliated carriers in the Gulf region, including their affiliated carriers, benefit from significant government subsidies, which have allowed them to grow quickly, reinvest in their product and expand their global presence. Competition is also increasing from low-cost airlines executing international long-haul expansion strategies.</w:t>
      </w:r>
    </w:p>
    <w:p>
      <w:pPr>
        <w:spacing w:after="0" w:line="157" w:lineRule="exact"/>
        <w:rPr>
          <w:sz w:val="20"/>
          <w:szCs w:val="20"/>
          <w:color w:val="auto"/>
        </w:rPr>
      </w:pPr>
    </w:p>
    <w:p>
      <w:pPr>
        <w:jc w:val="both"/>
        <w:ind w:firstLine="216"/>
        <w:spacing w:after="0" w:line="256" w:lineRule="auto"/>
        <w:rPr>
          <w:sz w:val="20"/>
          <w:szCs w:val="20"/>
          <w:color w:val="auto"/>
        </w:rPr>
      </w:pPr>
      <w:r>
        <w:rPr>
          <w:rFonts w:ascii="Arial" w:cs="Arial" w:eastAsia="Arial" w:hAnsi="Arial"/>
          <w:sz w:val="18"/>
          <w:szCs w:val="18"/>
          <w:color w:val="auto"/>
        </w:rPr>
        <w:t>In order to increase our ability to compete for international air transportation service, which is subject to extensive government regulation, U.S. and foreign carriers have entered into bilateral and multilateral marketing relationships, alliances, cooperation agreements and JBAs to exchange traffic among each other’s flights and route networks. See “</w:t>
      </w:r>
      <w:r>
        <w:rPr>
          <w:rFonts w:ascii="Arial" w:cs="Arial" w:eastAsia="Arial" w:hAnsi="Arial"/>
          <w:sz w:val="18"/>
          <w:szCs w:val="18"/>
          <w:i w:val="1"/>
          <w:iCs w:val="1"/>
          <w:color w:val="auto"/>
        </w:rPr>
        <w:t>Distribution and Marketing Agreements</w:t>
      </w:r>
      <w:r>
        <w:rPr>
          <w:rFonts w:ascii="Arial" w:cs="Arial" w:eastAsia="Arial" w:hAnsi="Arial"/>
          <w:sz w:val="18"/>
          <w:szCs w:val="18"/>
          <w:color w:val="auto"/>
        </w:rPr>
        <w:t>” above for further discussion.</w:t>
      </w:r>
    </w:p>
    <w:p>
      <w:pPr>
        <w:spacing w:after="0" w:line="20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w:t>
      </w:r>
    </w:p>
    <w:p>
      <w:pPr>
        <w:sectPr>
          <w:pgSz w:w="11900" w:h="16838" w:orient="portrait"/>
          <w:cols w:equalWidth="0" w:num="1">
            <w:col w:w="11420"/>
          </w:cols>
          <w:pgMar w:left="240" w:top="792" w:right="239" w:bottom="1440" w:gutter="0" w:footer="0" w:header="0"/>
        </w:sectPr>
      </w:pPr>
    </w:p>
    <w:bookmarkStart w:id="8" w:name="page9"/>
    <w:bookmarkEnd w:id="8"/>
    <w:p>
      <w:pPr>
        <w:spacing w:after="0"/>
        <w:rPr>
          <w:sz w:val="20"/>
          <w:szCs w:val="20"/>
          <w:color w:val="auto"/>
        </w:rPr>
      </w:pPr>
      <w:r>
        <w:rPr>
          <w:rFonts w:ascii="Arial" w:cs="Arial" w:eastAsia="Arial" w:hAnsi="Arial"/>
          <w:sz w:val="18"/>
          <w:szCs w:val="18"/>
          <w:b w:val="1"/>
          <w:bCs w:val="1"/>
          <w:color w:val="auto"/>
        </w:rPr>
        <w:t>Employees and Labor Relations</w:t>
      </w:r>
    </w:p>
    <w:p>
      <w:pPr>
        <w:spacing w:after="0" w:line="112" w:lineRule="exact"/>
        <w:rPr>
          <w:sz w:val="20"/>
          <w:szCs w:val="20"/>
          <w:color w:val="auto"/>
        </w:rPr>
      </w:pPr>
    </w:p>
    <w:p>
      <w:pPr>
        <w:jc w:val="both"/>
        <w:ind w:firstLine="243"/>
        <w:spacing w:after="0" w:line="256" w:lineRule="auto"/>
        <w:rPr>
          <w:sz w:val="20"/>
          <w:szCs w:val="20"/>
          <w:color w:val="auto"/>
        </w:rPr>
      </w:pPr>
      <w:r>
        <w:rPr>
          <w:rFonts w:ascii="Arial" w:cs="Arial" w:eastAsia="Arial" w:hAnsi="Arial"/>
          <w:sz w:val="18"/>
          <w:szCs w:val="18"/>
          <w:color w:val="auto"/>
        </w:rPr>
        <w:t>The airline business is labor intensive. In 2019, salaries, wages and benefits were our largest expense and represented 34% of our total operating expenses. As of December 31, 2019, we had approximately 133,700 active full-time equivalent employees, approximately 85% of whom were represented by various labor unions responsible for negotiating the collective bargaining agreements (CBAs) covering them.</w:t>
      </w:r>
    </w:p>
    <w:p>
      <w:pPr>
        <w:spacing w:after="0" w:line="148" w:lineRule="exact"/>
        <w:rPr>
          <w:sz w:val="20"/>
          <w:szCs w:val="20"/>
          <w:color w:val="auto"/>
        </w:rPr>
      </w:pPr>
    </w:p>
    <w:p>
      <w:pPr>
        <w:jc w:val="both"/>
        <w:ind w:firstLine="216"/>
        <w:spacing w:after="0" w:line="251" w:lineRule="auto"/>
        <w:rPr>
          <w:sz w:val="20"/>
          <w:szCs w:val="20"/>
          <w:color w:val="auto"/>
        </w:rPr>
      </w:pPr>
      <w:r>
        <w:rPr>
          <w:rFonts w:ascii="Arial" w:cs="Arial" w:eastAsia="Arial" w:hAnsi="Arial"/>
          <w:sz w:val="18"/>
          <w:szCs w:val="18"/>
          <w:color w:val="auto"/>
        </w:rPr>
        <w:t>Labor relations in the air transportation industry are regulated under the Railway Labor Act (RLA), which vests in the National Mediation Board (NMB) certain functions with respect to disputes between airlines and labor unions relating to union representation and CBAs. When an RLA CBA becomes amendable, if either party to the agreement wishes to modify its terms, it must notify the other party in the manner prescribed under the RLA and as agreed by the parties. Under the RLA, the parties must meet for direct negotiations, and, if no agreement is reached during direct negotiations between the parties, either party may request that the NMB appoint a federal mediator. The RLA prescribes no timetable for the direct negotiation and mediation processes, and it is not unusual for those processes to last for many months or even several years. If no agreement is reached in mediation, the NMB in its discretion may declare that an impasse exists and proffer binding arbitration to the parties. Either party may decline to submit to arbitration and if arbitration is rejected by either party, a 30-day “cooling off” period commences. During or after that period, a Presidential Emergency Board (PEB) may be established, which examines the parties’ positions and recommends a solution. The PEB process lasts for 30 days and is followed by another 30-day “cooling off” period. At the end of this “cooling off” period, unless an agreement is reached or action is taken by Congress, the labor organization may exercise “self-help,” such as a strike, and the airline may resort to its own “self-help,” including the imposition of any or all of its proposed amendments to the CBA and the hiring of new employees to replace any striking workers.</w:t>
      </w:r>
    </w:p>
    <w:p>
      <w:pPr>
        <w:spacing w:after="0" w:line="157" w:lineRule="exact"/>
        <w:rPr>
          <w:sz w:val="20"/>
          <w:szCs w:val="20"/>
          <w:color w:val="auto"/>
        </w:rPr>
      </w:pPr>
    </w:p>
    <w:p>
      <w:pPr>
        <w:jc w:val="both"/>
        <w:ind w:firstLine="216"/>
        <w:spacing w:after="0" w:line="254" w:lineRule="auto"/>
        <w:rPr>
          <w:sz w:val="20"/>
          <w:szCs w:val="20"/>
          <w:color w:val="auto"/>
        </w:rPr>
      </w:pPr>
      <w:r>
        <w:rPr>
          <w:rFonts w:ascii="Arial" w:cs="Arial" w:eastAsia="Arial" w:hAnsi="Arial"/>
          <w:sz w:val="18"/>
          <w:szCs w:val="18"/>
          <w:color w:val="auto"/>
        </w:rPr>
        <w:t>None of the unions representing our employees presently may lawfully engage in concerted slowdowns or refusals to work, such as strikes, sick-outs or other similar activity, against us. Nonetheless, there is a risk that employees, either with or without union involvement, could engage in one or more concerted refusals to work that could individually or collectively harm the operation of our airline and impair our financial performance.</w:t>
      </w:r>
    </w:p>
    <w:p>
      <w:pPr>
        <w:spacing w:after="0" w:line="150" w:lineRule="exact"/>
        <w:rPr>
          <w:sz w:val="20"/>
          <w:szCs w:val="20"/>
          <w:color w:val="auto"/>
        </w:rPr>
      </w:pPr>
    </w:p>
    <w:p>
      <w:pPr>
        <w:ind w:left="260"/>
        <w:spacing w:after="0"/>
        <w:rPr>
          <w:sz w:val="20"/>
          <w:szCs w:val="20"/>
          <w:color w:val="auto"/>
        </w:rPr>
      </w:pPr>
      <w:r>
        <w:rPr>
          <w:rFonts w:ascii="Arial" w:cs="Arial" w:eastAsia="Arial" w:hAnsi="Arial"/>
          <w:sz w:val="18"/>
          <w:szCs w:val="18"/>
          <w:color w:val="auto"/>
        </w:rPr>
        <w:t>The following table shows our domestic airline employee groups that are represented by unions:</w:t>
      </w:r>
    </w:p>
    <w:p>
      <w:pPr>
        <w:spacing w:after="0" w:line="321"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51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8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3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700" w:type="dxa"/>
            <w:vAlign w:val="bottom"/>
          </w:tcPr>
          <w:p>
            <w:pPr>
              <w:jc w:val="center"/>
              <w:spacing w:after="0"/>
              <w:rPr>
                <w:sz w:val="20"/>
                <w:szCs w:val="20"/>
                <w:color w:val="auto"/>
              </w:rPr>
            </w:pPr>
            <w:r>
              <w:rPr>
                <w:rFonts w:ascii="Arial" w:cs="Arial" w:eastAsia="Arial" w:hAnsi="Arial"/>
                <w:sz w:val="14"/>
                <w:szCs w:val="14"/>
                <w:b w:val="1"/>
                <w:bCs w:val="1"/>
                <w:color w:val="auto"/>
              </w:rPr>
              <w:t>Contract</w:t>
            </w:r>
          </w:p>
        </w:tc>
      </w:tr>
      <w:tr>
        <w:trPr>
          <w:trHeight w:val="202"/>
        </w:trPr>
        <w:tc>
          <w:tcPr>
            <w:tcW w:w="5160" w:type="dxa"/>
            <w:vAlign w:val="bottom"/>
            <w:tcBorders>
              <w:bottom w:val="single" w:sz="8" w:color="auto"/>
            </w:tcBorders>
          </w:tcPr>
          <w:p>
            <w:pPr>
              <w:ind w:left="40"/>
              <w:spacing w:after="0"/>
              <w:rPr>
                <w:sz w:val="20"/>
                <w:szCs w:val="20"/>
                <w:color w:val="auto"/>
              </w:rPr>
            </w:pPr>
            <w:r>
              <w:rPr>
                <w:rFonts w:ascii="Arial" w:cs="Arial" w:eastAsia="Arial" w:hAnsi="Arial"/>
                <w:sz w:val="14"/>
                <w:szCs w:val="14"/>
                <w:b w:val="1"/>
                <w:bCs w:val="1"/>
                <w:color w:val="auto"/>
              </w:rPr>
              <w:t>Union</w:t>
            </w:r>
          </w:p>
        </w:tc>
        <w:tc>
          <w:tcPr>
            <w:tcW w:w="120" w:type="dxa"/>
            <w:vAlign w:val="bottom"/>
            <w:tcBorders>
              <w:bottom w:val="single" w:sz="8" w:color="CCEEFF"/>
            </w:tcBorders>
          </w:tcPr>
          <w:p>
            <w:pPr>
              <w:spacing w:after="0"/>
              <w:rPr>
                <w:sz w:val="17"/>
                <w:szCs w:val="17"/>
                <w:color w:val="auto"/>
              </w:rPr>
            </w:pPr>
          </w:p>
        </w:tc>
        <w:tc>
          <w:tcPr>
            <w:tcW w:w="2860" w:type="dxa"/>
            <w:vAlign w:val="bottom"/>
            <w:tcBorders>
              <w:bottom w:val="single" w:sz="8" w:color="auto"/>
            </w:tcBorders>
          </w:tcPr>
          <w:p>
            <w:pPr>
              <w:ind w:left="20"/>
              <w:spacing w:after="0"/>
              <w:rPr>
                <w:sz w:val="20"/>
                <w:szCs w:val="20"/>
                <w:color w:val="auto"/>
              </w:rPr>
            </w:pPr>
            <w:r>
              <w:rPr>
                <w:rFonts w:ascii="Arial" w:cs="Arial" w:eastAsia="Arial" w:hAnsi="Arial"/>
                <w:sz w:val="14"/>
                <w:szCs w:val="14"/>
                <w:b w:val="1"/>
                <w:bCs w:val="1"/>
                <w:color w:val="auto"/>
              </w:rPr>
              <w:t>Class or Craft</w:t>
            </w:r>
          </w:p>
        </w:tc>
        <w:tc>
          <w:tcPr>
            <w:tcW w:w="120" w:type="dxa"/>
            <w:vAlign w:val="bottom"/>
            <w:tcBorders>
              <w:bottom w:val="single" w:sz="8" w:color="CCEEFF"/>
            </w:tcBorders>
          </w:tcPr>
          <w:p>
            <w:pPr>
              <w:spacing w:after="0"/>
              <w:rPr>
                <w:sz w:val="17"/>
                <w:szCs w:val="17"/>
                <w:color w:val="auto"/>
              </w:rPr>
            </w:pPr>
          </w:p>
        </w:tc>
        <w:tc>
          <w:tcPr>
            <w:tcW w:w="1360" w:type="dxa"/>
            <w:vAlign w:val="bottom"/>
            <w:tcBorders>
              <w:bottom w:val="single" w:sz="8" w:color="auto"/>
            </w:tcBorders>
          </w:tcPr>
          <w:p>
            <w:pPr>
              <w:jc w:val="right"/>
              <w:ind w:right="151"/>
              <w:spacing w:after="0"/>
              <w:rPr>
                <w:sz w:val="20"/>
                <w:szCs w:val="20"/>
                <w:color w:val="auto"/>
              </w:rPr>
            </w:pPr>
            <w:r>
              <w:rPr>
                <w:rFonts w:ascii="Arial" w:cs="Arial" w:eastAsia="Arial" w:hAnsi="Arial"/>
                <w:sz w:val="14"/>
                <w:szCs w:val="14"/>
                <w:b w:val="1"/>
                <w:bCs w:val="1"/>
                <w:color w:val="auto"/>
              </w:rPr>
              <w:t xml:space="preserve">Employees </w:t>
            </w:r>
            <w:r>
              <w:rPr>
                <w:rFonts w:ascii="Arial" w:cs="Arial" w:eastAsia="Arial" w:hAnsi="Arial"/>
                <w:sz w:val="17"/>
                <w:szCs w:val="17"/>
                <w:b w:val="1"/>
                <w:bCs w:val="1"/>
                <w:color w:val="auto"/>
                <w:vertAlign w:val="superscript"/>
              </w:rPr>
              <w:t>(1)</w:t>
            </w:r>
          </w:p>
        </w:tc>
        <w:tc>
          <w:tcPr>
            <w:tcW w:w="100" w:type="dxa"/>
            <w:vAlign w:val="bottom"/>
            <w:tcBorders>
              <w:bottom w:val="single" w:sz="8" w:color="CCEEFF"/>
            </w:tcBorders>
          </w:tcPr>
          <w:p>
            <w:pPr>
              <w:spacing w:after="0"/>
              <w:rPr>
                <w:sz w:val="17"/>
                <w:szCs w:val="17"/>
                <w:color w:val="auto"/>
              </w:rPr>
            </w:pPr>
          </w:p>
        </w:tc>
        <w:tc>
          <w:tcPr>
            <w:tcW w:w="170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rPr>
              <w:t>Amendable Date</w:t>
            </w:r>
          </w:p>
        </w:tc>
      </w:tr>
      <w:tr>
        <w:trPr>
          <w:trHeight w:val="244"/>
        </w:trPr>
        <w:tc>
          <w:tcPr>
            <w:tcW w:w="528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b w:val="1"/>
                <w:bCs w:val="1"/>
                <w:color w:val="auto"/>
              </w:rPr>
              <w:t>Mainline:</w:t>
            </w:r>
          </w:p>
        </w:tc>
        <w:tc>
          <w:tcPr>
            <w:tcW w:w="28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700" w:type="dxa"/>
            <w:vAlign w:val="bottom"/>
            <w:tcBorders>
              <w:bottom w:val="single" w:sz="8" w:color="CCEEFF"/>
            </w:tcBorders>
            <w:shd w:val="clear" w:color="auto" w:fill="CCEEFF"/>
          </w:tcPr>
          <w:p>
            <w:pPr>
              <w:spacing w:after="0"/>
              <w:rPr>
                <w:sz w:val="21"/>
                <w:szCs w:val="21"/>
                <w:color w:val="auto"/>
              </w:rPr>
            </w:pPr>
          </w:p>
        </w:tc>
      </w:tr>
      <w:tr>
        <w:trPr>
          <w:trHeight w:val="243"/>
        </w:trPr>
        <w:tc>
          <w:tcPr>
            <w:tcW w:w="5280" w:type="dxa"/>
            <w:vAlign w:val="bottom"/>
            <w:gridSpan w:val="2"/>
          </w:tcPr>
          <w:p>
            <w:pPr>
              <w:ind w:left="40"/>
              <w:spacing w:after="0"/>
              <w:rPr>
                <w:sz w:val="20"/>
                <w:szCs w:val="20"/>
                <w:color w:val="auto"/>
              </w:rPr>
            </w:pPr>
            <w:r>
              <w:rPr>
                <w:rFonts w:ascii="Arial" w:cs="Arial" w:eastAsia="Arial" w:hAnsi="Arial"/>
                <w:sz w:val="18"/>
                <w:szCs w:val="18"/>
                <w:color w:val="auto"/>
              </w:rPr>
              <w:t>Allied Pilots Association (APA)</w:t>
            </w:r>
          </w:p>
        </w:tc>
        <w:tc>
          <w:tcPr>
            <w:tcW w:w="2980" w:type="dxa"/>
            <w:vAlign w:val="bottom"/>
            <w:gridSpan w:val="2"/>
          </w:tcPr>
          <w:p>
            <w:pPr>
              <w:ind w:left="20"/>
              <w:spacing w:after="0"/>
              <w:rPr>
                <w:sz w:val="20"/>
                <w:szCs w:val="20"/>
                <w:color w:val="auto"/>
              </w:rPr>
            </w:pPr>
            <w:r>
              <w:rPr>
                <w:rFonts w:ascii="Arial" w:cs="Arial" w:eastAsia="Arial" w:hAnsi="Arial"/>
                <w:sz w:val="18"/>
                <w:szCs w:val="18"/>
                <w:color w:val="auto"/>
              </w:rPr>
              <w:t>Pilots</w:t>
            </w:r>
          </w:p>
        </w:tc>
        <w:tc>
          <w:tcPr>
            <w:tcW w:w="1360" w:type="dxa"/>
            <w:vAlign w:val="bottom"/>
          </w:tcPr>
          <w:p>
            <w:pPr>
              <w:jc w:val="right"/>
              <w:ind w:right="31"/>
              <w:spacing w:after="0"/>
              <w:rPr>
                <w:sz w:val="20"/>
                <w:szCs w:val="20"/>
                <w:color w:val="auto"/>
              </w:rPr>
            </w:pPr>
            <w:r>
              <w:rPr>
                <w:rFonts w:ascii="Arial" w:cs="Arial" w:eastAsia="Arial" w:hAnsi="Arial"/>
                <w:sz w:val="18"/>
                <w:szCs w:val="18"/>
                <w:color w:val="auto"/>
              </w:rPr>
              <w:t>13,800</w:t>
            </w:r>
          </w:p>
        </w:tc>
        <w:tc>
          <w:tcPr>
            <w:tcW w:w="100" w:type="dxa"/>
            <w:vAlign w:val="bottom"/>
          </w:tcPr>
          <w:p>
            <w:pPr>
              <w:spacing w:after="0"/>
              <w:rPr>
                <w:sz w:val="21"/>
                <w:szCs w:val="21"/>
                <w:color w:val="auto"/>
              </w:rPr>
            </w:pPr>
          </w:p>
        </w:tc>
        <w:tc>
          <w:tcPr>
            <w:tcW w:w="1700" w:type="dxa"/>
            <w:vAlign w:val="bottom"/>
          </w:tcPr>
          <w:p>
            <w:pPr>
              <w:jc w:val="center"/>
              <w:spacing w:after="0"/>
              <w:rPr>
                <w:sz w:val="20"/>
                <w:szCs w:val="20"/>
                <w:color w:val="auto"/>
              </w:rPr>
            </w:pPr>
            <w:r>
              <w:rPr>
                <w:rFonts w:ascii="Arial" w:cs="Arial" w:eastAsia="Arial" w:hAnsi="Arial"/>
                <w:sz w:val="18"/>
                <w:szCs w:val="18"/>
                <w:color w:val="auto"/>
                <w:w w:val="99"/>
              </w:rPr>
              <w:t>2020</w:t>
            </w:r>
          </w:p>
        </w:tc>
      </w:tr>
      <w:tr>
        <w:trPr>
          <w:trHeight w:val="27"/>
        </w:trPr>
        <w:tc>
          <w:tcPr>
            <w:tcW w:w="5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700" w:type="dxa"/>
            <w:vAlign w:val="bottom"/>
          </w:tcPr>
          <w:p>
            <w:pPr>
              <w:spacing w:after="0"/>
              <w:rPr>
                <w:sz w:val="2"/>
                <w:szCs w:val="2"/>
                <w:color w:val="auto"/>
              </w:rPr>
            </w:pPr>
          </w:p>
        </w:tc>
      </w:tr>
      <w:tr>
        <w:trPr>
          <w:trHeight w:val="250"/>
        </w:trPr>
        <w:tc>
          <w:tcPr>
            <w:tcW w:w="528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Association of Professional Flight Attendants (APFA)</w:t>
            </w:r>
          </w:p>
        </w:tc>
        <w:tc>
          <w:tcPr>
            <w:tcW w:w="298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Flight Attendants</w:t>
            </w:r>
          </w:p>
        </w:tc>
        <w:tc>
          <w:tcPr>
            <w:tcW w:w="136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25,300</w:t>
            </w:r>
          </w:p>
        </w:tc>
        <w:tc>
          <w:tcPr>
            <w:tcW w:w="100" w:type="dxa"/>
            <w:vAlign w:val="bottom"/>
            <w:tcBorders>
              <w:bottom w:val="single" w:sz="8" w:color="CCEEFF"/>
            </w:tcBorders>
            <w:shd w:val="clear" w:color="auto" w:fill="CCEEFF"/>
          </w:tcPr>
          <w:p>
            <w:pPr>
              <w:spacing w:after="0"/>
              <w:rPr>
                <w:sz w:val="21"/>
                <w:szCs w:val="21"/>
                <w:color w:val="auto"/>
              </w:rPr>
            </w:pPr>
          </w:p>
        </w:tc>
        <w:tc>
          <w:tcPr>
            <w:tcW w:w="170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99"/>
              </w:rPr>
              <w:t>2019</w:t>
            </w:r>
          </w:p>
        </w:tc>
      </w:tr>
      <w:tr>
        <w:trPr>
          <w:trHeight w:val="229"/>
        </w:trPr>
        <w:tc>
          <w:tcPr>
            <w:tcW w:w="5280" w:type="dxa"/>
            <w:vAlign w:val="bottom"/>
            <w:gridSpan w:val="2"/>
          </w:tcPr>
          <w:p>
            <w:pPr>
              <w:ind w:left="40"/>
              <w:spacing w:after="0"/>
              <w:rPr>
                <w:sz w:val="20"/>
                <w:szCs w:val="20"/>
                <w:color w:val="auto"/>
              </w:rPr>
            </w:pPr>
            <w:r>
              <w:rPr>
                <w:rFonts w:ascii="Arial" w:cs="Arial" w:eastAsia="Arial" w:hAnsi="Arial"/>
                <w:sz w:val="18"/>
                <w:szCs w:val="18"/>
                <w:color w:val="auto"/>
              </w:rPr>
              <w:t>Airline Customer Service Employee Association –</w:t>
            </w:r>
          </w:p>
        </w:tc>
        <w:tc>
          <w:tcPr>
            <w:tcW w:w="2980" w:type="dxa"/>
            <w:vAlign w:val="bottom"/>
            <w:gridSpan w:val="2"/>
          </w:tcPr>
          <w:p>
            <w:pPr>
              <w:ind w:left="20"/>
              <w:spacing w:after="0"/>
              <w:rPr>
                <w:sz w:val="20"/>
                <w:szCs w:val="20"/>
                <w:color w:val="auto"/>
              </w:rPr>
            </w:pPr>
            <w:r>
              <w:rPr>
                <w:rFonts w:ascii="Arial" w:cs="Arial" w:eastAsia="Arial" w:hAnsi="Arial"/>
                <w:sz w:val="18"/>
                <w:szCs w:val="18"/>
                <w:color w:val="auto"/>
              </w:rPr>
              <w:t>Passenger Service</w:t>
            </w:r>
          </w:p>
        </w:tc>
        <w:tc>
          <w:tcPr>
            <w:tcW w:w="1360" w:type="dxa"/>
            <w:vAlign w:val="bottom"/>
          </w:tcPr>
          <w:p>
            <w:pPr>
              <w:jc w:val="right"/>
              <w:ind w:right="31"/>
              <w:spacing w:after="0"/>
              <w:rPr>
                <w:sz w:val="20"/>
                <w:szCs w:val="20"/>
                <w:color w:val="auto"/>
              </w:rPr>
            </w:pPr>
            <w:r>
              <w:rPr>
                <w:rFonts w:ascii="Arial" w:cs="Arial" w:eastAsia="Arial" w:hAnsi="Arial"/>
                <w:sz w:val="18"/>
                <w:szCs w:val="18"/>
                <w:color w:val="auto"/>
              </w:rPr>
              <w:t>14,050</w:t>
            </w:r>
          </w:p>
        </w:tc>
        <w:tc>
          <w:tcPr>
            <w:tcW w:w="100" w:type="dxa"/>
            <w:vAlign w:val="bottom"/>
          </w:tcPr>
          <w:p>
            <w:pPr>
              <w:spacing w:after="0"/>
              <w:rPr>
                <w:sz w:val="19"/>
                <w:szCs w:val="19"/>
                <w:color w:val="auto"/>
              </w:rPr>
            </w:pPr>
          </w:p>
        </w:tc>
        <w:tc>
          <w:tcPr>
            <w:tcW w:w="1700" w:type="dxa"/>
            <w:vAlign w:val="bottom"/>
          </w:tcPr>
          <w:p>
            <w:pPr>
              <w:jc w:val="center"/>
              <w:spacing w:after="0"/>
              <w:rPr>
                <w:sz w:val="20"/>
                <w:szCs w:val="20"/>
                <w:color w:val="auto"/>
              </w:rPr>
            </w:pPr>
            <w:r>
              <w:rPr>
                <w:rFonts w:ascii="Arial" w:cs="Arial" w:eastAsia="Arial" w:hAnsi="Arial"/>
                <w:sz w:val="18"/>
                <w:szCs w:val="18"/>
                <w:color w:val="auto"/>
                <w:w w:val="99"/>
              </w:rPr>
              <w:t>2020</w:t>
            </w:r>
          </w:p>
        </w:tc>
      </w:tr>
      <w:tr>
        <w:trPr>
          <w:trHeight w:val="203"/>
        </w:trPr>
        <w:tc>
          <w:tcPr>
            <w:tcW w:w="5280" w:type="dxa"/>
            <w:vAlign w:val="bottom"/>
            <w:gridSpan w:val="2"/>
          </w:tcPr>
          <w:p>
            <w:pPr>
              <w:ind w:left="200"/>
              <w:spacing w:after="0" w:line="202" w:lineRule="exact"/>
              <w:rPr>
                <w:sz w:val="20"/>
                <w:szCs w:val="20"/>
                <w:color w:val="auto"/>
              </w:rPr>
            </w:pPr>
            <w:r>
              <w:rPr>
                <w:rFonts w:ascii="Arial" w:cs="Arial" w:eastAsia="Arial" w:hAnsi="Arial"/>
                <w:sz w:val="18"/>
                <w:szCs w:val="18"/>
                <w:color w:val="auto"/>
              </w:rPr>
              <w:t>Communications Workers of America and International</w:t>
            </w:r>
          </w:p>
        </w:tc>
        <w:tc>
          <w:tcPr>
            <w:tcW w:w="28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3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700" w:type="dxa"/>
            <w:vAlign w:val="bottom"/>
          </w:tcPr>
          <w:p>
            <w:pPr>
              <w:spacing w:after="0"/>
              <w:rPr>
                <w:sz w:val="17"/>
                <w:szCs w:val="17"/>
                <w:color w:val="auto"/>
              </w:rPr>
            </w:pPr>
          </w:p>
        </w:tc>
      </w:tr>
      <w:tr>
        <w:trPr>
          <w:trHeight w:val="224"/>
        </w:trPr>
        <w:tc>
          <w:tcPr>
            <w:tcW w:w="5280" w:type="dxa"/>
            <w:vAlign w:val="bottom"/>
            <w:gridSpan w:val="2"/>
          </w:tcPr>
          <w:p>
            <w:pPr>
              <w:ind w:left="200"/>
              <w:spacing w:after="0"/>
              <w:rPr>
                <w:sz w:val="20"/>
                <w:szCs w:val="20"/>
                <w:color w:val="auto"/>
              </w:rPr>
            </w:pPr>
            <w:r>
              <w:rPr>
                <w:rFonts w:ascii="Arial" w:cs="Arial" w:eastAsia="Arial" w:hAnsi="Arial"/>
                <w:sz w:val="18"/>
                <w:szCs w:val="18"/>
                <w:color w:val="auto"/>
              </w:rPr>
              <w:t>Brotherhood of Teamsters (CWA-IBT)</w:t>
            </w:r>
          </w:p>
        </w:tc>
        <w:tc>
          <w:tcPr>
            <w:tcW w:w="28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3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700" w:type="dxa"/>
            <w:vAlign w:val="bottom"/>
          </w:tcPr>
          <w:p>
            <w:pPr>
              <w:spacing w:after="0"/>
              <w:rPr>
                <w:sz w:val="19"/>
                <w:szCs w:val="19"/>
                <w:color w:val="auto"/>
              </w:rPr>
            </w:pPr>
          </w:p>
        </w:tc>
      </w:tr>
      <w:tr>
        <w:trPr>
          <w:trHeight w:val="235"/>
        </w:trPr>
        <w:tc>
          <w:tcPr>
            <w:tcW w:w="5280" w:type="dxa"/>
            <w:vAlign w:val="bottom"/>
            <w:gridSpan w:val="2"/>
            <w:shd w:val="clear" w:color="auto" w:fill="CCEEFF"/>
          </w:tcPr>
          <w:p>
            <w:pPr>
              <w:ind w:left="40"/>
              <w:spacing w:after="0"/>
              <w:rPr>
                <w:sz w:val="20"/>
                <w:szCs w:val="20"/>
                <w:color w:val="auto"/>
              </w:rPr>
            </w:pPr>
            <w:r>
              <w:rPr>
                <w:rFonts w:ascii="Arial" w:cs="Arial" w:eastAsia="Arial" w:hAnsi="Arial"/>
                <w:sz w:val="18"/>
                <w:szCs w:val="18"/>
                <w:color w:val="auto"/>
              </w:rPr>
              <w:t>Transport Workers Union and International Association of</w:t>
            </w:r>
          </w:p>
        </w:tc>
        <w:tc>
          <w:tcPr>
            <w:tcW w:w="298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Mechanics and Related</w:t>
            </w:r>
          </w:p>
        </w:tc>
        <w:tc>
          <w:tcPr>
            <w:tcW w:w="1360" w:type="dxa"/>
            <w:vAlign w:val="bottom"/>
            <w:shd w:val="clear" w:color="auto" w:fill="CCEEFF"/>
          </w:tcPr>
          <w:p>
            <w:pPr>
              <w:jc w:val="right"/>
              <w:ind w:right="31"/>
              <w:spacing w:after="0"/>
              <w:rPr>
                <w:sz w:val="20"/>
                <w:szCs w:val="20"/>
                <w:color w:val="auto"/>
              </w:rPr>
            </w:pPr>
            <w:r>
              <w:rPr>
                <w:rFonts w:ascii="Arial" w:cs="Arial" w:eastAsia="Arial" w:hAnsi="Arial"/>
                <w:sz w:val="18"/>
                <w:szCs w:val="18"/>
                <w:color w:val="auto"/>
              </w:rPr>
              <w:t>12,650</w:t>
            </w:r>
          </w:p>
        </w:tc>
        <w:tc>
          <w:tcPr>
            <w:tcW w:w="100" w:type="dxa"/>
            <w:vAlign w:val="bottom"/>
            <w:shd w:val="clear" w:color="auto" w:fill="CCEEFF"/>
          </w:tcPr>
          <w:p>
            <w:pPr>
              <w:spacing w:after="0"/>
              <w:rPr>
                <w:sz w:val="20"/>
                <w:szCs w:val="20"/>
                <w:color w:val="auto"/>
              </w:rPr>
            </w:pPr>
          </w:p>
        </w:tc>
        <w:tc>
          <w:tcPr>
            <w:tcW w:w="170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9"/>
              </w:rPr>
              <w:t>2018</w:t>
            </w:r>
          </w:p>
        </w:tc>
      </w:tr>
      <w:tr>
        <w:trPr>
          <w:trHeight w:val="230"/>
        </w:trPr>
        <w:tc>
          <w:tcPr>
            <w:tcW w:w="5280" w:type="dxa"/>
            <w:vAlign w:val="bottom"/>
            <w:gridSpan w:val="2"/>
            <w:shd w:val="clear" w:color="auto" w:fill="CCEEFF"/>
          </w:tcPr>
          <w:p>
            <w:pPr>
              <w:ind w:left="200"/>
              <w:spacing w:after="0"/>
              <w:rPr>
                <w:sz w:val="20"/>
                <w:szCs w:val="20"/>
                <w:color w:val="auto"/>
              </w:rPr>
            </w:pPr>
            <w:r>
              <w:rPr>
                <w:rFonts w:ascii="Arial" w:cs="Arial" w:eastAsia="Arial" w:hAnsi="Arial"/>
                <w:sz w:val="18"/>
                <w:szCs w:val="18"/>
                <w:color w:val="auto"/>
              </w:rPr>
              <w:t>Machinists &amp; Aerospace Workers (TWU-IAM Association)</w:t>
            </w:r>
          </w:p>
        </w:tc>
        <w:tc>
          <w:tcPr>
            <w:tcW w:w="286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36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700" w:type="dxa"/>
            <w:vAlign w:val="bottom"/>
            <w:shd w:val="clear" w:color="auto" w:fill="CCEEFF"/>
          </w:tcPr>
          <w:p>
            <w:pPr>
              <w:spacing w:after="0"/>
              <w:rPr>
                <w:sz w:val="20"/>
                <w:szCs w:val="20"/>
                <w:color w:val="auto"/>
              </w:rPr>
            </w:pPr>
          </w:p>
        </w:tc>
      </w:tr>
      <w:tr>
        <w:trPr>
          <w:trHeight w:val="243"/>
        </w:trPr>
        <w:tc>
          <w:tcPr>
            <w:tcW w:w="5280" w:type="dxa"/>
            <w:vAlign w:val="bottom"/>
            <w:gridSpan w:val="2"/>
          </w:tcPr>
          <w:p>
            <w:pPr>
              <w:ind w:left="40"/>
              <w:spacing w:after="0"/>
              <w:rPr>
                <w:sz w:val="20"/>
                <w:szCs w:val="20"/>
                <w:color w:val="auto"/>
              </w:rPr>
            </w:pPr>
            <w:r>
              <w:rPr>
                <w:rFonts w:ascii="Arial" w:cs="Arial" w:eastAsia="Arial" w:hAnsi="Arial"/>
                <w:sz w:val="18"/>
                <w:szCs w:val="18"/>
                <w:color w:val="auto"/>
              </w:rPr>
              <w:t>TWU-IAM Association</w:t>
            </w:r>
          </w:p>
        </w:tc>
        <w:tc>
          <w:tcPr>
            <w:tcW w:w="2980" w:type="dxa"/>
            <w:vAlign w:val="bottom"/>
            <w:gridSpan w:val="2"/>
          </w:tcPr>
          <w:p>
            <w:pPr>
              <w:ind w:left="20"/>
              <w:spacing w:after="0"/>
              <w:rPr>
                <w:sz w:val="20"/>
                <w:szCs w:val="20"/>
                <w:color w:val="auto"/>
              </w:rPr>
            </w:pPr>
            <w:r>
              <w:rPr>
                <w:rFonts w:ascii="Arial" w:cs="Arial" w:eastAsia="Arial" w:hAnsi="Arial"/>
                <w:sz w:val="18"/>
                <w:szCs w:val="18"/>
                <w:color w:val="auto"/>
              </w:rPr>
              <w:t>Fleet Service</w:t>
            </w:r>
          </w:p>
        </w:tc>
        <w:tc>
          <w:tcPr>
            <w:tcW w:w="1360" w:type="dxa"/>
            <w:vAlign w:val="bottom"/>
          </w:tcPr>
          <w:p>
            <w:pPr>
              <w:jc w:val="right"/>
              <w:ind w:right="31"/>
              <w:spacing w:after="0"/>
              <w:rPr>
                <w:sz w:val="20"/>
                <w:szCs w:val="20"/>
                <w:color w:val="auto"/>
              </w:rPr>
            </w:pPr>
            <w:r>
              <w:rPr>
                <w:rFonts w:ascii="Arial" w:cs="Arial" w:eastAsia="Arial" w:hAnsi="Arial"/>
                <w:sz w:val="18"/>
                <w:szCs w:val="18"/>
                <w:color w:val="auto"/>
              </w:rPr>
              <w:t>17,750</w:t>
            </w:r>
          </w:p>
        </w:tc>
        <w:tc>
          <w:tcPr>
            <w:tcW w:w="100" w:type="dxa"/>
            <w:vAlign w:val="bottom"/>
          </w:tcPr>
          <w:p>
            <w:pPr>
              <w:spacing w:after="0"/>
              <w:rPr>
                <w:sz w:val="21"/>
                <w:szCs w:val="21"/>
                <w:color w:val="auto"/>
              </w:rPr>
            </w:pPr>
          </w:p>
        </w:tc>
        <w:tc>
          <w:tcPr>
            <w:tcW w:w="1700" w:type="dxa"/>
            <w:vAlign w:val="bottom"/>
          </w:tcPr>
          <w:p>
            <w:pPr>
              <w:jc w:val="center"/>
              <w:spacing w:after="0"/>
              <w:rPr>
                <w:sz w:val="20"/>
                <w:szCs w:val="20"/>
                <w:color w:val="auto"/>
              </w:rPr>
            </w:pPr>
            <w:r>
              <w:rPr>
                <w:rFonts w:ascii="Arial" w:cs="Arial" w:eastAsia="Arial" w:hAnsi="Arial"/>
                <w:sz w:val="18"/>
                <w:szCs w:val="18"/>
                <w:color w:val="auto"/>
                <w:w w:val="99"/>
              </w:rPr>
              <w:t>2018</w:t>
            </w:r>
          </w:p>
        </w:tc>
      </w:tr>
      <w:tr>
        <w:trPr>
          <w:trHeight w:val="27"/>
        </w:trPr>
        <w:tc>
          <w:tcPr>
            <w:tcW w:w="5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700" w:type="dxa"/>
            <w:vAlign w:val="bottom"/>
          </w:tcPr>
          <w:p>
            <w:pPr>
              <w:spacing w:after="0"/>
              <w:rPr>
                <w:sz w:val="2"/>
                <w:szCs w:val="2"/>
                <w:color w:val="auto"/>
              </w:rPr>
            </w:pPr>
          </w:p>
        </w:tc>
      </w:tr>
      <w:tr>
        <w:trPr>
          <w:trHeight w:val="250"/>
        </w:trPr>
        <w:tc>
          <w:tcPr>
            <w:tcW w:w="528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TWU-IAM Association</w:t>
            </w:r>
          </w:p>
        </w:tc>
        <w:tc>
          <w:tcPr>
            <w:tcW w:w="298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Stock Clerks</w:t>
            </w:r>
          </w:p>
        </w:tc>
        <w:tc>
          <w:tcPr>
            <w:tcW w:w="136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1,850</w:t>
            </w:r>
          </w:p>
        </w:tc>
        <w:tc>
          <w:tcPr>
            <w:tcW w:w="100" w:type="dxa"/>
            <w:vAlign w:val="bottom"/>
            <w:tcBorders>
              <w:bottom w:val="single" w:sz="8" w:color="CCEEFF"/>
            </w:tcBorders>
            <w:shd w:val="clear" w:color="auto" w:fill="CCEEFF"/>
          </w:tcPr>
          <w:p>
            <w:pPr>
              <w:spacing w:after="0"/>
              <w:rPr>
                <w:sz w:val="21"/>
                <w:szCs w:val="21"/>
                <w:color w:val="auto"/>
              </w:rPr>
            </w:pPr>
          </w:p>
        </w:tc>
        <w:tc>
          <w:tcPr>
            <w:tcW w:w="170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99"/>
              </w:rPr>
              <w:t>2018</w:t>
            </w:r>
          </w:p>
        </w:tc>
      </w:tr>
      <w:tr>
        <w:trPr>
          <w:trHeight w:val="243"/>
        </w:trPr>
        <w:tc>
          <w:tcPr>
            <w:tcW w:w="5280" w:type="dxa"/>
            <w:vAlign w:val="bottom"/>
            <w:gridSpan w:val="2"/>
          </w:tcPr>
          <w:p>
            <w:pPr>
              <w:ind w:left="40"/>
              <w:spacing w:after="0"/>
              <w:rPr>
                <w:sz w:val="20"/>
                <w:szCs w:val="20"/>
                <w:color w:val="auto"/>
              </w:rPr>
            </w:pPr>
            <w:r>
              <w:rPr>
                <w:rFonts w:ascii="Arial" w:cs="Arial" w:eastAsia="Arial" w:hAnsi="Arial"/>
                <w:sz w:val="18"/>
                <w:szCs w:val="18"/>
                <w:color w:val="auto"/>
              </w:rPr>
              <w:t>TWU-IAM Association</w:t>
            </w:r>
          </w:p>
        </w:tc>
        <w:tc>
          <w:tcPr>
            <w:tcW w:w="2980" w:type="dxa"/>
            <w:vAlign w:val="bottom"/>
            <w:gridSpan w:val="2"/>
          </w:tcPr>
          <w:p>
            <w:pPr>
              <w:ind w:left="20"/>
              <w:spacing w:after="0"/>
              <w:rPr>
                <w:sz w:val="20"/>
                <w:szCs w:val="20"/>
                <w:color w:val="auto"/>
              </w:rPr>
            </w:pPr>
            <w:r>
              <w:rPr>
                <w:rFonts w:ascii="Arial" w:cs="Arial" w:eastAsia="Arial" w:hAnsi="Arial"/>
                <w:sz w:val="18"/>
                <w:szCs w:val="18"/>
                <w:color w:val="auto"/>
              </w:rPr>
              <w:t>Flight Simulator Engineers</w:t>
            </w:r>
          </w:p>
        </w:tc>
        <w:tc>
          <w:tcPr>
            <w:tcW w:w="1360" w:type="dxa"/>
            <w:vAlign w:val="bottom"/>
          </w:tcPr>
          <w:p>
            <w:pPr>
              <w:jc w:val="right"/>
              <w:ind w:right="31"/>
              <w:spacing w:after="0"/>
              <w:rPr>
                <w:sz w:val="20"/>
                <w:szCs w:val="20"/>
                <w:color w:val="auto"/>
              </w:rPr>
            </w:pPr>
            <w:r>
              <w:rPr>
                <w:rFonts w:ascii="Arial" w:cs="Arial" w:eastAsia="Arial" w:hAnsi="Arial"/>
                <w:sz w:val="18"/>
                <w:szCs w:val="18"/>
                <w:color w:val="auto"/>
              </w:rPr>
              <w:t>150</w:t>
            </w:r>
          </w:p>
        </w:tc>
        <w:tc>
          <w:tcPr>
            <w:tcW w:w="100" w:type="dxa"/>
            <w:vAlign w:val="bottom"/>
          </w:tcPr>
          <w:p>
            <w:pPr>
              <w:spacing w:after="0"/>
              <w:rPr>
                <w:sz w:val="21"/>
                <w:szCs w:val="21"/>
                <w:color w:val="auto"/>
              </w:rPr>
            </w:pPr>
          </w:p>
        </w:tc>
        <w:tc>
          <w:tcPr>
            <w:tcW w:w="1700" w:type="dxa"/>
            <w:vAlign w:val="bottom"/>
          </w:tcPr>
          <w:p>
            <w:pPr>
              <w:jc w:val="center"/>
              <w:spacing w:after="0"/>
              <w:rPr>
                <w:sz w:val="20"/>
                <w:szCs w:val="20"/>
                <w:color w:val="auto"/>
              </w:rPr>
            </w:pPr>
            <w:r>
              <w:rPr>
                <w:rFonts w:ascii="Arial" w:cs="Arial" w:eastAsia="Arial" w:hAnsi="Arial"/>
                <w:sz w:val="18"/>
                <w:szCs w:val="18"/>
                <w:color w:val="auto"/>
                <w:w w:val="99"/>
              </w:rPr>
              <w:t>2021</w:t>
            </w:r>
          </w:p>
        </w:tc>
      </w:tr>
      <w:tr>
        <w:trPr>
          <w:trHeight w:val="27"/>
        </w:trPr>
        <w:tc>
          <w:tcPr>
            <w:tcW w:w="5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700" w:type="dxa"/>
            <w:vAlign w:val="bottom"/>
          </w:tcPr>
          <w:p>
            <w:pPr>
              <w:spacing w:after="0"/>
              <w:rPr>
                <w:sz w:val="2"/>
                <w:szCs w:val="2"/>
                <w:color w:val="auto"/>
              </w:rPr>
            </w:pPr>
          </w:p>
        </w:tc>
      </w:tr>
      <w:tr>
        <w:trPr>
          <w:trHeight w:val="250"/>
        </w:trPr>
        <w:tc>
          <w:tcPr>
            <w:tcW w:w="528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TWU-IAM Association</w:t>
            </w:r>
          </w:p>
        </w:tc>
        <w:tc>
          <w:tcPr>
            <w:tcW w:w="298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Maintenance Control Technicians</w:t>
            </w:r>
          </w:p>
        </w:tc>
        <w:tc>
          <w:tcPr>
            <w:tcW w:w="136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200</w:t>
            </w:r>
          </w:p>
        </w:tc>
        <w:tc>
          <w:tcPr>
            <w:tcW w:w="100" w:type="dxa"/>
            <w:vAlign w:val="bottom"/>
            <w:tcBorders>
              <w:bottom w:val="single" w:sz="8" w:color="CCEEFF"/>
            </w:tcBorders>
            <w:shd w:val="clear" w:color="auto" w:fill="CCEEFF"/>
          </w:tcPr>
          <w:p>
            <w:pPr>
              <w:spacing w:after="0"/>
              <w:rPr>
                <w:sz w:val="21"/>
                <w:szCs w:val="21"/>
                <w:color w:val="auto"/>
              </w:rPr>
            </w:pPr>
          </w:p>
        </w:tc>
        <w:tc>
          <w:tcPr>
            <w:tcW w:w="170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99"/>
              </w:rPr>
              <w:t>2018</w:t>
            </w:r>
          </w:p>
        </w:tc>
      </w:tr>
      <w:tr>
        <w:trPr>
          <w:trHeight w:val="243"/>
        </w:trPr>
        <w:tc>
          <w:tcPr>
            <w:tcW w:w="5280" w:type="dxa"/>
            <w:vAlign w:val="bottom"/>
            <w:gridSpan w:val="2"/>
          </w:tcPr>
          <w:p>
            <w:pPr>
              <w:ind w:left="40"/>
              <w:spacing w:after="0"/>
              <w:rPr>
                <w:sz w:val="20"/>
                <w:szCs w:val="20"/>
                <w:color w:val="auto"/>
              </w:rPr>
            </w:pPr>
            <w:r>
              <w:rPr>
                <w:rFonts w:ascii="Arial" w:cs="Arial" w:eastAsia="Arial" w:hAnsi="Arial"/>
                <w:sz w:val="18"/>
                <w:szCs w:val="18"/>
                <w:color w:val="auto"/>
              </w:rPr>
              <w:t>TWU-IAM Association</w:t>
            </w:r>
          </w:p>
        </w:tc>
        <w:tc>
          <w:tcPr>
            <w:tcW w:w="2980" w:type="dxa"/>
            <w:vAlign w:val="bottom"/>
            <w:gridSpan w:val="2"/>
          </w:tcPr>
          <w:p>
            <w:pPr>
              <w:ind w:left="20"/>
              <w:spacing w:after="0"/>
              <w:rPr>
                <w:sz w:val="20"/>
                <w:szCs w:val="20"/>
                <w:color w:val="auto"/>
              </w:rPr>
            </w:pPr>
            <w:r>
              <w:rPr>
                <w:rFonts w:ascii="Arial" w:cs="Arial" w:eastAsia="Arial" w:hAnsi="Arial"/>
                <w:sz w:val="18"/>
                <w:szCs w:val="18"/>
                <w:color w:val="auto"/>
              </w:rPr>
              <w:t>Maintenance Training Instructors</w:t>
            </w:r>
          </w:p>
        </w:tc>
        <w:tc>
          <w:tcPr>
            <w:tcW w:w="1360" w:type="dxa"/>
            <w:vAlign w:val="bottom"/>
          </w:tcPr>
          <w:p>
            <w:pPr>
              <w:jc w:val="right"/>
              <w:ind w:right="31"/>
              <w:spacing w:after="0"/>
              <w:rPr>
                <w:sz w:val="20"/>
                <w:szCs w:val="20"/>
                <w:color w:val="auto"/>
              </w:rPr>
            </w:pPr>
            <w:r>
              <w:rPr>
                <w:rFonts w:ascii="Arial" w:cs="Arial" w:eastAsia="Arial" w:hAnsi="Arial"/>
                <w:sz w:val="18"/>
                <w:szCs w:val="18"/>
                <w:color w:val="auto"/>
              </w:rPr>
              <w:t>30</w:t>
            </w:r>
          </w:p>
        </w:tc>
        <w:tc>
          <w:tcPr>
            <w:tcW w:w="100" w:type="dxa"/>
            <w:vAlign w:val="bottom"/>
          </w:tcPr>
          <w:p>
            <w:pPr>
              <w:spacing w:after="0"/>
              <w:rPr>
                <w:sz w:val="21"/>
                <w:szCs w:val="21"/>
                <w:color w:val="auto"/>
              </w:rPr>
            </w:pPr>
          </w:p>
        </w:tc>
        <w:tc>
          <w:tcPr>
            <w:tcW w:w="1700" w:type="dxa"/>
            <w:vAlign w:val="bottom"/>
          </w:tcPr>
          <w:p>
            <w:pPr>
              <w:jc w:val="center"/>
              <w:spacing w:after="0"/>
              <w:rPr>
                <w:sz w:val="20"/>
                <w:szCs w:val="20"/>
                <w:color w:val="auto"/>
              </w:rPr>
            </w:pPr>
            <w:r>
              <w:rPr>
                <w:rFonts w:ascii="Arial" w:cs="Arial" w:eastAsia="Arial" w:hAnsi="Arial"/>
                <w:sz w:val="18"/>
                <w:szCs w:val="18"/>
                <w:color w:val="auto"/>
                <w:w w:val="99"/>
              </w:rPr>
              <w:t>2018</w:t>
            </w:r>
          </w:p>
        </w:tc>
      </w:tr>
      <w:tr>
        <w:trPr>
          <w:trHeight w:val="27"/>
        </w:trPr>
        <w:tc>
          <w:tcPr>
            <w:tcW w:w="5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700" w:type="dxa"/>
            <w:vAlign w:val="bottom"/>
          </w:tcPr>
          <w:p>
            <w:pPr>
              <w:spacing w:after="0"/>
              <w:rPr>
                <w:sz w:val="2"/>
                <w:szCs w:val="2"/>
                <w:color w:val="auto"/>
              </w:rPr>
            </w:pPr>
          </w:p>
        </w:tc>
      </w:tr>
      <w:tr>
        <w:trPr>
          <w:trHeight w:val="250"/>
        </w:trPr>
        <w:tc>
          <w:tcPr>
            <w:tcW w:w="528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Professional Airline Flight Control Association (PAFCA)</w:t>
            </w:r>
          </w:p>
        </w:tc>
        <w:tc>
          <w:tcPr>
            <w:tcW w:w="298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Dispatchers</w:t>
            </w:r>
          </w:p>
        </w:tc>
        <w:tc>
          <w:tcPr>
            <w:tcW w:w="136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500</w:t>
            </w:r>
          </w:p>
        </w:tc>
        <w:tc>
          <w:tcPr>
            <w:tcW w:w="100" w:type="dxa"/>
            <w:vAlign w:val="bottom"/>
            <w:tcBorders>
              <w:bottom w:val="single" w:sz="8" w:color="CCEEFF"/>
            </w:tcBorders>
            <w:shd w:val="clear" w:color="auto" w:fill="CCEEFF"/>
          </w:tcPr>
          <w:p>
            <w:pPr>
              <w:spacing w:after="0"/>
              <w:rPr>
                <w:sz w:val="21"/>
                <w:szCs w:val="21"/>
                <w:color w:val="auto"/>
              </w:rPr>
            </w:pPr>
          </w:p>
        </w:tc>
        <w:tc>
          <w:tcPr>
            <w:tcW w:w="170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99"/>
              </w:rPr>
              <w:t>2021</w:t>
            </w:r>
          </w:p>
        </w:tc>
      </w:tr>
      <w:tr>
        <w:trPr>
          <w:trHeight w:val="243"/>
        </w:trPr>
        <w:tc>
          <w:tcPr>
            <w:tcW w:w="5280" w:type="dxa"/>
            <w:vAlign w:val="bottom"/>
            <w:gridSpan w:val="2"/>
          </w:tcPr>
          <w:p>
            <w:pPr>
              <w:ind w:left="40"/>
              <w:spacing w:after="0"/>
              <w:rPr>
                <w:sz w:val="20"/>
                <w:szCs w:val="20"/>
                <w:color w:val="auto"/>
              </w:rPr>
            </w:pPr>
            <w:r>
              <w:rPr>
                <w:rFonts w:ascii="Arial" w:cs="Arial" w:eastAsia="Arial" w:hAnsi="Arial"/>
                <w:sz w:val="18"/>
                <w:szCs w:val="18"/>
                <w:color w:val="auto"/>
              </w:rPr>
              <w:t>Transport Workers Union (TWU)</w:t>
            </w:r>
          </w:p>
        </w:tc>
        <w:tc>
          <w:tcPr>
            <w:tcW w:w="2980" w:type="dxa"/>
            <w:vAlign w:val="bottom"/>
            <w:gridSpan w:val="2"/>
          </w:tcPr>
          <w:p>
            <w:pPr>
              <w:ind w:left="20"/>
              <w:spacing w:after="0"/>
              <w:rPr>
                <w:sz w:val="20"/>
                <w:szCs w:val="20"/>
                <w:color w:val="auto"/>
              </w:rPr>
            </w:pPr>
            <w:r>
              <w:rPr>
                <w:rFonts w:ascii="Arial" w:cs="Arial" w:eastAsia="Arial" w:hAnsi="Arial"/>
                <w:sz w:val="18"/>
                <w:szCs w:val="18"/>
                <w:color w:val="auto"/>
              </w:rPr>
              <w:t>Flight Crew Training Instructors</w:t>
            </w:r>
          </w:p>
        </w:tc>
        <w:tc>
          <w:tcPr>
            <w:tcW w:w="1360" w:type="dxa"/>
            <w:vAlign w:val="bottom"/>
          </w:tcPr>
          <w:p>
            <w:pPr>
              <w:jc w:val="right"/>
              <w:ind w:right="31"/>
              <w:spacing w:after="0"/>
              <w:rPr>
                <w:sz w:val="20"/>
                <w:szCs w:val="20"/>
                <w:color w:val="auto"/>
              </w:rPr>
            </w:pPr>
            <w:r>
              <w:rPr>
                <w:rFonts w:ascii="Arial" w:cs="Arial" w:eastAsia="Arial" w:hAnsi="Arial"/>
                <w:sz w:val="18"/>
                <w:szCs w:val="18"/>
                <w:color w:val="auto"/>
              </w:rPr>
              <w:t>350</w:t>
            </w:r>
          </w:p>
        </w:tc>
        <w:tc>
          <w:tcPr>
            <w:tcW w:w="100" w:type="dxa"/>
            <w:vAlign w:val="bottom"/>
          </w:tcPr>
          <w:p>
            <w:pPr>
              <w:spacing w:after="0"/>
              <w:rPr>
                <w:sz w:val="21"/>
                <w:szCs w:val="21"/>
                <w:color w:val="auto"/>
              </w:rPr>
            </w:pPr>
          </w:p>
        </w:tc>
        <w:tc>
          <w:tcPr>
            <w:tcW w:w="1700" w:type="dxa"/>
            <w:vAlign w:val="bottom"/>
          </w:tcPr>
          <w:p>
            <w:pPr>
              <w:jc w:val="center"/>
              <w:spacing w:after="0"/>
              <w:rPr>
                <w:sz w:val="20"/>
                <w:szCs w:val="20"/>
                <w:color w:val="auto"/>
              </w:rPr>
            </w:pPr>
            <w:r>
              <w:rPr>
                <w:rFonts w:ascii="Arial" w:cs="Arial" w:eastAsia="Arial" w:hAnsi="Arial"/>
                <w:sz w:val="18"/>
                <w:szCs w:val="18"/>
                <w:color w:val="auto"/>
                <w:w w:val="99"/>
              </w:rPr>
              <w:t>2021</w:t>
            </w:r>
          </w:p>
        </w:tc>
      </w:tr>
      <w:tr>
        <w:trPr>
          <w:trHeight w:val="27"/>
        </w:trPr>
        <w:tc>
          <w:tcPr>
            <w:tcW w:w="5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700" w:type="dxa"/>
            <w:vAlign w:val="bottom"/>
          </w:tcPr>
          <w:p>
            <w:pPr>
              <w:spacing w:after="0"/>
              <w:rPr>
                <w:sz w:val="2"/>
                <w:szCs w:val="2"/>
                <w:color w:val="auto"/>
              </w:rPr>
            </w:pPr>
          </w:p>
        </w:tc>
      </w:tr>
      <w:tr>
        <w:trPr>
          <w:trHeight w:val="250"/>
        </w:trPr>
        <w:tc>
          <w:tcPr>
            <w:tcW w:w="528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b w:val="1"/>
                <w:bCs w:val="1"/>
                <w:color w:val="auto"/>
              </w:rPr>
              <w:t>Envoy:</w:t>
            </w:r>
          </w:p>
        </w:tc>
        <w:tc>
          <w:tcPr>
            <w:tcW w:w="28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700" w:type="dxa"/>
            <w:vAlign w:val="bottom"/>
            <w:tcBorders>
              <w:bottom w:val="single" w:sz="8" w:color="CCEEFF"/>
            </w:tcBorders>
            <w:shd w:val="clear" w:color="auto" w:fill="CCEEFF"/>
          </w:tcPr>
          <w:p>
            <w:pPr>
              <w:spacing w:after="0"/>
              <w:rPr>
                <w:sz w:val="21"/>
                <w:szCs w:val="21"/>
                <w:color w:val="auto"/>
              </w:rPr>
            </w:pPr>
          </w:p>
        </w:tc>
      </w:tr>
      <w:tr>
        <w:trPr>
          <w:trHeight w:val="243"/>
        </w:trPr>
        <w:tc>
          <w:tcPr>
            <w:tcW w:w="5280" w:type="dxa"/>
            <w:vAlign w:val="bottom"/>
            <w:gridSpan w:val="2"/>
          </w:tcPr>
          <w:p>
            <w:pPr>
              <w:ind w:left="40"/>
              <w:spacing w:after="0"/>
              <w:rPr>
                <w:sz w:val="20"/>
                <w:szCs w:val="20"/>
                <w:color w:val="auto"/>
              </w:rPr>
            </w:pPr>
            <w:r>
              <w:rPr>
                <w:rFonts w:ascii="Arial" w:cs="Arial" w:eastAsia="Arial" w:hAnsi="Arial"/>
                <w:sz w:val="18"/>
                <w:szCs w:val="18"/>
                <w:color w:val="auto"/>
              </w:rPr>
              <w:t>Air Line Pilots Associations (ALPA)</w:t>
            </w:r>
          </w:p>
        </w:tc>
        <w:tc>
          <w:tcPr>
            <w:tcW w:w="2980" w:type="dxa"/>
            <w:vAlign w:val="bottom"/>
            <w:gridSpan w:val="2"/>
          </w:tcPr>
          <w:p>
            <w:pPr>
              <w:ind w:left="20"/>
              <w:spacing w:after="0"/>
              <w:rPr>
                <w:sz w:val="20"/>
                <w:szCs w:val="20"/>
                <w:color w:val="auto"/>
              </w:rPr>
            </w:pPr>
            <w:r>
              <w:rPr>
                <w:rFonts w:ascii="Arial" w:cs="Arial" w:eastAsia="Arial" w:hAnsi="Arial"/>
                <w:sz w:val="18"/>
                <w:szCs w:val="18"/>
                <w:color w:val="auto"/>
              </w:rPr>
              <w:t>Pilots</w:t>
            </w:r>
          </w:p>
        </w:tc>
        <w:tc>
          <w:tcPr>
            <w:tcW w:w="1360" w:type="dxa"/>
            <w:vAlign w:val="bottom"/>
          </w:tcPr>
          <w:p>
            <w:pPr>
              <w:jc w:val="right"/>
              <w:ind w:right="31"/>
              <w:spacing w:after="0"/>
              <w:rPr>
                <w:sz w:val="20"/>
                <w:szCs w:val="20"/>
                <w:color w:val="auto"/>
              </w:rPr>
            </w:pPr>
            <w:r>
              <w:rPr>
                <w:rFonts w:ascii="Arial" w:cs="Arial" w:eastAsia="Arial" w:hAnsi="Arial"/>
                <w:sz w:val="18"/>
                <w:szCs w:val="18"/>
                <w:color w:val="auto"/>
              </w:rPr>
              <w:t>2,250</w:t>
            </w:r>
          </w:p>
        </w:tc>
        <w:tc>
          <w:tcPr>
            <w:tcW w:w="100" w:type="dxa"/>
            <w:vAlign w:val="bottom"/>
          </w:tcPr>
          <w:p>
            <w:pPr>
              <w:spacing w:after="0"/>
              <w:rPr>
                <w:sz w:val="21"/>
                <w:szCs w:val="21"/>
                <w:color w:val="auto"/>
              </w:rPr>
            </w:pPr>
          </w:p>
        </w:tc>
        <w:tc>
          <w:tcPr>
            <w:tcW w:w="1700" w:type="dxa"/>
            <w:vAlign w:val="bottom"/>
          </w:tcPr>
          <w:p>
            <w:pPr>
              <w:jc w:val="center"/>
              <w:spacing w:after="0"/>
              <w:rPr>
                <w:sz w:val="20"/>
                <w:szCs w:val="20"/>
                <w:color w:val="auto"/>
              </w:rPr>
            </w:pPr>
            <w:r>
              <w:rPr>
                <w:rFonts w:ascii="Arial" w:cs="Arial" w:eastAsia="Arial" w:hAnsi="Arial"/>
                <w:sz w:val="18"/>
                <w:szCs w:val="18"/>
                <w:color w:val="auto"/>
                <w:w w:val="99"/>
              </w:rPr>
              <w:t>2024</w:t>
            </w:r>
          </w:p>
        </w:tc>
      </w:tr>
      <w:tr>
        <w:trPr>
          <w:trHeight w:val="27"/>
        </w:trPr>
        <w:tc>
          <w:tcPr>
            <w:tcW w:w="5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700" w:type="dxa"/>
            <w:vAlign w:val="bottom"/>
          </w:tcPr>
          <w:p>
            <w:pPr>
              <w:spacing w:after="0"/>
              <w:rPr>
                <w:sz w:val="2"/>
                <w:szCs w:val="2"/>
                <w:color w:val="auto"/>
              </w:rPr>
            </w:pPr>
          </w:p>
        </w:tc>
      </w:tr>
      <w:tr>
        <w:trPr>
          <w:trHeight w:val="250"/>
        </w:trPr>
        <w:tc>
          <w:tcPr>
            <w:tcW w:w="528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Association of Flight Attendants-CWA (AFA)</w:t>
            </w:r>
          </w:p>
        </w:tc>
        <w:tc>
          <w:tcPr>
            <w:tcW w:w="298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Flight Attendants</w:t>
            </w:r>
          </w:p>
        </w:tc>
        <w:tc>
          <w:tcPr>
            <w:tcW w:w="136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1,650</w:t>
            </w:r>
          </w:p>
        </w:tc>
        <w:tc>
          <w:tcPr>
            <w:tcW w:w="100" w:type="dxa"/>
            <w:vAlign w:val="bottom"/>
            <w:tcBorders>
              <w:bottom w:val="single" w:sz="8" w:color="CCEEFF"/>
            </w:tcBorders>
            <w:shd w:val="clear" w:color="auto" w:fill="CCEEFF"/>
          </w:tcPr>
          <w:p>
            <w:pPr>
              <w:spacing w:after="0"/>
              <w:rPr>
                <w:sz w:val="21"/>
                <w:szCs w:val="21"/>
                <w:color w:val="auto"/>
              </w:rPr>
            </w:pPr>
          </w:p>
        </w:tc>
        <w:tc>
          <w:tcPr>
            <w:tcW w:w="170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99"/>
              </w:rPr>
              <w:t>2020</w:t>
            </w:r>
          </w:p>
        </w:tc>
      </w:tr>
      <w:tr>
        <w:trPr>
          <w:trHeight w:val="243"/>
        </w:trPr>
        <w:tc>
          <w:tcPr>
            <w:tcW w:w="5280" w:type="dxa"/>
            <w:vAlign w:val="bottom"/>
            <w:gridSpan w:val="2"/>
          </w:tcPr>
          <w:p>
            <w:pPr>
              <w:ind w:left="40"/>
              <w:spacing w:after="0"/>
              <w:rPr>
                <w:sz w:val="20"/>
                <w:szCs w:val="20"/>
                <w:color w:val="auto"/>
              </w:rPr>
            </w:pPr>
            <w:r>
              <w:rPr>
                <w:rFonts w:ascii="Arial" w:cs="Arial" w:eastAsia="Arial" w:hAnsi="Arial"/>
                <w:sz w:val="18"/>
                <w:szCs w:val="18"/>
                <w:color w:val="auto"/>
              </w:rPr>
              <w:t>TWU</w:t>
            </w:r>
          </w:p>
        </w:tc>
        <w:tc>
          <w:tcPr>
            <w:tcW w:w="2980" w:type="dxa"/>
            <w:vAlign w:val="bottom"/>
            <w:gridSpan w:val="2"/>
          </w:tcPr>
          <w:p>
            <w:pPr>
              <w:ind w:left="20"/>
              <w:spacing w:after="0"/>
              <w:rPr>
                <w:sz w:val="20"/>
                <w:szCs w:val="20"/>
                <w:color w:val="auto"/>
              </w:rPr>
            </w:pPr>
            <w:r>
              <w:rPr>
                <w:rFonts w:ascii="Arial" w:cs="Arial" w:eastAsia="Arial" w:hAnsi="Arial"/>
                <w:sz w:val="18"/>
                <w:szCs w:val="18"/>
                <w:color w:val="auto"/>
              </w:rPr>
              <w:t>Ground School Instructors</w:t>
            </w:r>
          </w:p>
        </w:tc>
        <w:tc>
          <w:tcPr>
            <w:tcW w:w="1360" w:type="dxa"/>
            <w:vAlign w:val="bottom"/>
          </w:tcPr>
          <w:p>
            <w:pPr>
              <w:jc w:val="right"/>
              <w:ind w:right="31"/>
              <w:spacing w:after="0"/>
              <w:rPr>
                <w:sz w:val="20"/>
                <w:szCs w:val="20"/>
                <w:color w:val="auto"/>
              </w:rPr>
            </w:pPr>
            <w:r>
              <w:rPr>
                <w:rFonts w:ascii="Arial" w:cs="Arial" w:eastAsia="Arial" w:hAnsi="Arial"/>
                <w:sz w:val="18"/>
                <w:szCs w:val="18"/>
                <w:color w:val="auto"/>
              </w:rPr>
              <w:t>10</w:t>
            </w:r>
          </w:p>
        </w:tc>
        <w:tc>
          <w:tcPr>
            <w:tcW w:w="100" w:type="dxa"/>
            <w:vAlign w:val="bottom"/>
          </w:tcPr>
          <w:p>
            <w:pPr>
              <w:spacing w:after="0"/>
              <w:rPr>
                <w:sz w:val="21"/>
                <w:szCs w:val="21"/>
                <w:color w:val="auto"/>
              </w:rPr>
            </w:pPr>
          </w:p>
        </w:tc>
        <w:tc>
          <w:tcPr>
            <w:tcW w:w="1700" w:type="dxa"/>
            <w:vAlign w:val="bottom"/>
          </w:tcPr>
          <w:p>
            <w:pPr>
              <w:jc w:val="center"/>
              <w:spacing w:after="0"/>
              <w:rPr>
                <w:sz w:val="20"/>
                <w:szCs w:val="20"/>
                <w:color w:val="auto"/>
              </w:rPr>
            </w:pPr>
            <w:r>
              <w:rPr>
                <w:rFonts w:ascii="Arial" w:cs="Arial" w:eastAsia="Arial" w:hAnsi="Arial"/>
                <w:sz w:val="18"/>
                <w:szCs w:val="18"/>
                <w:color w:val="auto"/>
                <w:w w:val="99"/>
              </w:rPr>
              <w:t>2023</w:t>
            </w:r>
          </w:p>
        </w:tc>
      </w:tr>
      <w:tr>
        <w:trPr>
          <w:trHeight w:val="27"/>
        </w:trPr>
        <w:tc>
          <w:tcPr>
            <w:tcW w:w="5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700" w:type="dxa"/>
            <w:vAlign w:val="bottom"/>
          </w:tcPr>
          <w:p>
            <w:pPr>
              <w:spacing w:after="0"/>
              <w:rPr>
                <w:sz w:val="2"/>
                <w:szCs w:val="2"/>
                <w:color w:val="auto"/>
              </w:rPr>
            </w:pPr>
          </w:p>
        </w:tc>
      </w:tr>
      <w:tr>
        <w:trPr>
          <w:trHeight w:val="250"/>
        </w:trPr>
        <w:tc>
          <w:tcPr>
            <w:tcW w:w="528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TWU</w:t>
            </w:r>
          </w:p>
        </w:tc>
        <w:tc>
          <w:tcPr>
            <w:tcW w:w="298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Mechanics and Related</w:t>
            </w:r>
          </w:p>
        </w:tc>
        <w:tc>
          <w:tcPr>
            <w:tcW w:w="136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1,400</w:t>
            </w:r>
          </w:p>
        </w:tc>
        <w:tc>
          <w:tcPr>
            <w:tcW w:w="100" w:type="dxa"/>
            <w:vAlign w:val="bottom"/>
            <w:tcBorders>
              <w:bottom w:val="single" w:sz="8" w:color="CCEEFF"/>
            </w:tcBorders>
            <w:shd w:val="clear" w:color="auto" w:fill="CCEEFF"/>
          </w:tcPr>
          <w:p>
            <w:pPr>
              <w:spacing w:after="0"/>
              <w:rPr>
                <w:sz w:val="21"/>
                <w:szCs w:val="21"/>
                <w:color w:val="auto"/>
              </w:rPr>
            </w:pPr>
          </w:p>
        </w:tc>
        <w:tc>
          <w:tcPr>
            <w:tcW w:w="170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99"/>
              </w:rPr>
              <w:t>2020</w:t>
            </w:r>
          </w:p>
        </w:tc>
      </w:tr>
      <w:tr>
        <w:trPr>
          <w:trHeight w:val="432"/>
        </w:trPr>
        <w:tc>
          <w:tcPr>
            <w:tcW w:w="51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860" w:type="dxa"/>
            <w:vAlign w:val="bottom"/>
          </w:tcPr>
          <w:p>
            <w:pPr>
              <w:ind w:left="380"/>
              <w:spacing w:after="0"/>
              <w:rPr>
                <w:sz w:val="20"/>
                <w:szCs w:val="20"/>
                <w:color w:val="auto"/>
              </w:rPr>
            </w:pPr>
            <w:r>
              <w:rPr>
                <w:rFonts w:ascii="Arial" w:cs="Arial" w:eastAsia="Arial" w:hAnsi="Arial"/>
                <w:sz w:val="18"/>
                <w:szCs w:val="18"/>
                <w:color w:val="auto"/>
              </w:rPr>
              <w:t>9</w:t>
            </w:r>
          </w:p>
        </w:tc>
        <w:tc>
          <w:tcPr>
            <w:tcW w:w="12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700" w:type="dxa"/>
            <w:vAlign w:val="bottom"/>
          </w:tcPr>
          <w:p>
            <w:pPr>
              <w:spacing w:after="0"/>
              <w:rPr>
                <w:sz w:val="24"/>
                <w:szCs w:val="24"/>
                <w:color w:val="auto"/>
              </w:rPr>
            </w:pPr>
          </w:p>
        </w:tc>
      </w:tr>
    </w:tbl>
    <w:p>
      <w:pPr>
        <w:sectPr>
          <w:pgSz w:w="11900" w:h="16838" w:orient="portrait"/>
          <w:cols w:equalWidth="0" w:num="1">
            <w:col w:w="11420"/>
          </w:cols>
          <w:pgMar w:left="240" w:top="792" w:right="239" w:bottom="1440" w:gutter="0" w:footer="0" w:header="0"/>
        </w:sectPr>
      </w:pPr>
    </w:p>
    <w:bookmarkStart w:id="9" w:name="page10"/>
    <w:bookmarkEnd w:id="9"/>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51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8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3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700" w:type="dxa"/>
            <w:vAlign w:val="bottom"/>
          </w:tcPr>
          <w:p>
            <w:pPr>
              <w:jc w:val="center"/>
              <w:spacing w:after="0"/>
              <w:rPr>
                <w:sz w:val="20"/>
                <w:szCs w:val="20"/>
                <w:color w:val="auto"/>
              </w:rPr>
            </w:pPr>
            <w:r>
              <w:rPr>
                <w:rFonts w:ascii="Arial" w:cs="Arial" w:eastAsia="Arial" w:hAnsi="Arial"/>
                <w:sz w:val="14"/>
                <w:szCs w:val="14"/>
                <w:b w:val="1"/>
                <w:bCs w:val="1"/>
                <w:color w:val="auto"/>
              </w:rPr>
              <w:t>Contract</w:t>
            </w:r>
          </w:p>
        </w:tc>
      </w:tr>
      <w:tr>
        <w:trPr>
          <w:trHeight w:val="202"/>
        </w:trPr>
        <w:tc>
          <w:tcPr>
            <w:tcW w:w="5160" w:type="dxa"/>
            <w:vAlign w:val="bottom"/>
            <w:tcBorders>
              <w:bottom w:val="single" w:sz="8" w:color="auto"/>
            </w:tcBorders>
          </w:tcPr>
          <w:p>
            <w:pPr>
              <w:ind w:left="40"/>
              <w:spacing w:after="0"/>
              <w:rPr>
                <w:sz w:val="20"/>
                <w:szCs w:val="20"/>
                <w:color w:val="auto"/>
              </w:rPr>
            </w:pPr>
            <w:r>
              <w:rPr>
                <w:rFonts w:ascii="Arial" w:cs="Arial" w:eastAsia="Arial" w:hAnsi="Arial"/>
                <w:sz w:val="14"/>
                <w:szCs w:val="14"/>
                <w:b w:val="1"/>
                <w:bCs w:val="1"/>
                <w:color w:val="auto"/>
              </w:rPr>
              <w:t>Union</w:t>
            </w:r>
          </w:p>
        </w:tc>
        <w:tc>
          <w:tcPr>
            <w:tcW w:w="120" w:type="dxa"/>
            <w:vAlign w:val="bottom"/>
          </w:tcPr>
          <w:p>
            <w:pPr>
              <w:spacing w:after="0"/>
              <w:rPr>
                <w:sz w:val="17"/>
                <w:szCs w:val="17"/>
                <w:color w:val="auto"/>
              </w:rPr>
            </w:pPr>
          </w:p>
        </w:tc>
        <w:tc>
          <w:tcPr>
            <w:tcW w:w="2860" w:type="dxa"/>
            <w:vAlign w:val="bottom"/>
            <w:tcBorders>
              <w:bottom w:val="single" w:sz="8" w:color="auto"/>
            </w:tcBorders>
          </w:tcPr>
          <w:p>
            <w:pPr>
              <w:ind w:left="20"/>
              <w:spacing w:after="0"/>
              <w:rPr>
                <w:sz w:val="20"/>
                <w:szCs w:val="20"/>
                <w:color w:val="auto"/>
              </w:rPr>
            </w:pPr>
            <w:r>
              <w:rPr>
                <w:rFonts w:ascii="Arial" w:cs="Arial" w:eastAsia="Arial" w:hAnsi="Arial"/>
                <w:sz w:val="14"/>
                <w:szCs w:val="14"/>
                <w:b w:val="1"/>
                <w:bCs w:val="1"/>
                <w:color w:val="auto"/>
              </w:rPr>
              <w:t>Class or Craft</w:t>
            </w:r>
          </w:p>
        </w:tc>
        <w:tc>
          <w:tcPr>
            <w:tcW w:w="120" w:type="dxa"/>
            <w:vAlign w:val="bottom"/>
          </w:tcPr>
          <w:p>
            <w:pPr>
              <w:spacing w:after="0"/>
              <w:rPr>
                <w:sz w:val="17"/>
                <w:szCs w:val="17"/>
                <w:color w:val="auto"/>
              </w:rPr>
            </w:pPr>
          </w:p>
        </w:tc>
        <w:tc>
          <w:tcPr>
            <w:tcW w:w="1360" w:type="dxa"/>
            <w:vAlign w:val="bottom"/>
            <w:tcBorders>
              <w:bottom w:val="single" w:sz="8" w:color="auto"/>
            </w:tcBorders>
          </w:tcPr>
          <w:p>
            <w:pPr>
              <w:jc w:val="right"/>
              <w:ind w:right="151"/>
              <w:spacing w:after="0"/>
              <w:rPr>
                <w:sz w:val="20"/>
                <w:szCs w:val="20"/>
                <w:color w:val="auto"/>
              </w:rPr>
            </w:pPr>
            <w:r>
              <w:rPr>
                <w:rFonts w:ascii="Arial" w:cs="Arial" w:eastAsia="Arial" w:hAnsi="Arial"/>
                <w:sz w:val="14"/>
                <w:szCs w:val="14"/>
                <w:b w:val="1"/>
                <w:bCs w:val="1"/>
                <w:color w:val="auto"/>
              </w:rPr>
              <w:t xml:space="preserve">Employees </w:t>
            </w:r>
            <w:r>
              <w:rPr>
                <w:rFonts w:ascii="Arial" w:cs="Arial" w:eastAsia="Arial" w:hAnsi="Arial"/>
                <w:sz w:val="17"/>
                <w:szCs w:val="17"/>
                <w:b w:val="1"/>
                <w:bCs w:val="1"/>
                <w:color w:val="auto"/>
                <w:vertAlign w:val="superscript"/>
              </w:rPr>
              <w:t>(1)</w:t>
            </w:r>
          </w:p>
        </w:tc>
        <w:tc>
          <w:tcPr>
            <w:tcW w:w="100" w:type="dxa"/>
            <w:vAlign w:val="bottom"/>
          </w:tcPr>
          <w:p>
            <w:pPr>
              <w:spacing w:after="0"/>
              <w:rPr>
                <w:sz w:val="17"/>
                <w:szCs w:val="17"/>
                <w:color w:val="auto"/>
              </w:rPr>
            </w:pPr>
          </w:p>
        </w:tc>
        <w:tc>
          <w:tcPr>
            <w:tcW w:w="170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rPr>
              <w:t>Amendable Date</w:t>
            </w:r>
          </w:p>
        </w:tc>
      </w:tr>
      <w:tr>
        <w:trPr>
          <w:trHeight w:val="243"/>
        </w:trPr>
        <w:tc>
          <w:tcPr>
            <w:tcW w:w="5280" w:type="dxa"/>
            <w:vAlign w:val="bottom"/>
            <w:gridSpan w:val="2"/>
          </w:tcPr>
          <w:p>
            <w:pPr>
              <w:ind w:left="40"/>
              <w:spacing w:after="0"/>
              <w:rPr>
                <w:sz w:val="20"/>
                <w:szCs w:val="20"/>
                <w:color w:val="auto"/>
              </w:rPr>
            </w:pPr>
            <w:r>
              <w:rPr>
                <w:rFonts w:ascii="Arial" w:cs="Arial" w:eastAsia="Arial" w:hAnsi="Arial"/>
                <w:sz w:val="18"/>
                <w:szCs w:val="18"/>
                <w:color w:val="auto"/>
              </w:rPr>
              <w:t>TWU</w:t>
            </w:r>
          </w:p>
        </w:tc>
        <w:tc>
          <w:tcPr>
            <w:tcW w:w="2980" w:type="dxa"/>
            <w:vAlign w:val="bottom"/>
            <w:gridSpan w:val="2"/>
          </w:tcPr>
          <w:p>
            <w:pPr>
              <w:ind w:left="20"/>
              <w:spacing w:after="0"/>
              <w:rPr>
                <w:sz w:val="20"/>
                <w:szCs w:val="20"/>
                <w:color w:val="auto"/>
              </w:rPr>
            </w:pPr>
            <w:r>
              <w:rPr>
                <w:rFonts w:ascii="Arial" w:cs="Arial" w:eastAsia="Arial" w:hAnsi="Arial"/>
                <w:sz w:val="18"/>
                <w:szCs w:val="18"/>
                <w:color w:val="auto"/>
              </w:rPr>
              <w:t>Stock Clerks</w:t>
            </w:r>
          </w:p>
        </w:tc>
        <w:tc>
          <w:tcPr>
            <w:tcW w:w="1360" w:type="dxa"/>
            <w:vAlign w:val="bottom"/>
          </w:tcPr>
          <w:p>
            <w:pPr>
              <w:jc w:val="right"/>
              <w:ind w:right="31"/>
              <w:spacing w:after="0"/>
              <w:rPr>
                <w:sz w:val="20"/>
                <w:szCs w:val="20"/>
                <w:color w:val="auto"/>
              </w:rPr>
            </w:pPr>
            <w:r>
              <w:rPr>
                <w:rFonts w:ascii="Arial" w:cs="Arial" w:eastAsia="Arial" w:hAnsi="Arial"/>
                <w:sz w:val="18"/>
                <w:szCs w:val="18"/>
                <w:color w:val="auto"/>
              </w:rPr>
              <w:t>150</w:t>
            </w:r>
          </w:p>
        </w:tc>
        <w:tc>
          <w:tcPr>
            <w:tcW w:w="100" w:type="dxa"/>
            <w:vAlign w:val="bottom"/>
          </w:tcPr>
          <w:p>
            <w:pPr>
              <w:spacing w:after="0"/>
              <w:rPr>
                <w:sz w:val="21"/>
                <w:szCs w:val="21"/>
                <w:color w:val="auto"/>
              </w:rPr>
            </w:pPr>
          </w:p>
        </w:tc>
        <w:tc>
          <w:tcPr>
            <w:tcW w:w="1700" w:type="dxa"/>
            <w:vAlign w:val="bottom"/>
          </w:tcPr>
          <w:p>
            <w:pPr>
              <w:jc w:val="center"/>
              <w:spacing w:after="0"/>
              <w:rPr>
                <w:sz w:val="20"/>
                <w:szCs w:val="20"/>
                <w:color w:val="auto"/>
              </w:rPr>
            </w:pPr>
            <w:r>
              <w:rPr>
                <w:rFonts w:ascii="Arial" w:cs="Arial" w:eastAsia="Arial" w:hAnsi="Arial"/>
                <w:sz w:val="18"/>
                <w:szCs w:val="18"/>
                <w:color w:val="auto"/>
                <w:w w:val="99"/>
              </w:rPr>
              <w:t>2020</w:t>
            </w:r>
          </w:p>
        </w:tc>
      </w:tr>
      <w:tr>
        <w:trPr>
          <w:trHeight w:val="257"/>
        </w:trPr>
        <w:tc>
          <w:tcPr>
            <w:tcW w:w="528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TWU</w:t>
            </w:r>
          </w:p>
        </w:tc>
        <w:tc>
          <w:tcPr>
            <w:tcW w:w="298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Fleet Service Clerks</w:t>
            </w:r>
          </w:p>
        </w:tc>
        <w:tc>
          <w:tcPr>
            <w:tcW w:w="136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4,050</w:t>
            </w:r>
          </w:p>
        </w:tc>
        <w:tc>
          <w:tcPr>
            <w:tcW w:w="100" w:type="dxa"/>
            <w:vAlign w:val="bottom"/>
            <w:tcBorders>
              <w:bottom w:val="single" w:sz="8" w:color="CCEEFF"/>
            </w:tcBorders>
            <w:shd w:val="clear" w:color="auto" w:fill="CCEEFF"/>
          </w:tcPr>
          <w:p>
            <w:pPr>
              <w:spacing w:after="0"/>
              <w:rPr>
                <w:sz w:val="22"/>
                <w:szCs w:val="22"/>
                <w:color w:val="auto"/>
              </w:rPr>
            </w:pPr>
          </w:p>
        </w:tc>
        <w:tc>
          <w:tcPr>
            <w:tcW w:w="170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99"/>
              </w:rPr>
              <w:t>2019</w:t>
            </w:r>
          </w:p>
        </w:tc>
      </w:tr>
      <w:tr>
        <w:trPr>
          <w:trHeight w:val="243"/>
        </w:trPr>
        <w:tc>
          <w:tcPr>
            <w:tcW w:w="5280" w:type="dxa"/>
            <w:vAlign w:val="bottom"/>
            <w:gridSpan w:val="2"/>
          </w:tcPr>
          <w:p>
            <w:pPr>
              <w:ind w:left="40"/>
              <w:spacing w:after="0"/>
              <w:rPr>
                <w:sz w:val="20"/>
                <w:szCs w:val="20"/>
                <w:color w:val="auto"/>
              </w:rPr>
            </w:pPr>
            <w:r>
              <w:rPr>
                <w:rFonts w:ascii="Arial" w:cs="Arial" w:eastAsia="Arial" w:hAnsi="Arial"/>
                <w:sz w:val="18"/>
                <w:szCs w:val="18"/>
                <w:color w:val="auto"/>
              </w:rPr>
              <w:t>TWU</w:t>
            </w:r>
          </w:p>
        </w:tc>
        <w:tc>
          <w:tcPr>
            <w:tcW w:w="2980" w:type="dxa"/>
            <w:vAlign w:val="bottom"/>
            <w:gridSpan w:val="2"/>
          </w:tcPr>
          <w:p>
            <w:pPr>
              <w:ind w:left="20"/>
              <w:spacing w:after="0"/>
              <w:rPr>
                <w:sz w:val="20"/>
                <w:szCs w:val="20"/>
                <w:color w:val="auto"/>
              </w:rPr>
            </w:pPr>
            <w:r>
              <w:rPr>
                <w:rFonts w:ascii="Arial" w:cs="Arial" w:eastAsia="Arial" w:hAnsi="Arial"/>
                <w:sz w:val="18"/>
                <w:szCs w:val="18"/>
                <w:color w:val="auto"/>
              </w:rPr>
              <w:t>Dispatchers</w:t>
            </w:r>
          </w:p>
        </w:tc>
        <w:tc>
          <w:tcPr>
            <w:tcW w:w="1360" w:type="dxa"/>
            <w:vAlign w:val="bottom"/>
          </w:tcPr>
          <w:p>
            <w:pPr>
              <w:jc w:val="right"/>
              <w:ind w:right="31"/>
              <w:spacing w:after="0"/>
              <w:rPr>
                <w:sz w:val="20"/>
                <w:szCs w:val="20"/>
                <w:color w:val="auto"/>
              </w:rPr>
            </w:pPr>
            <w:r>
              <w:rPr>
                <w:rFonts w:ascii="Arial" w:cs="Arial" w:eastAsia="Arial" w:hAnsi="Arial"/>
                <w:sz w:val="18"/>
                <w:szCs w:val="18"/>
                <w:color w:val="auto"/>
              </w:rPr>
              <w:t>70</w:t>
            </w:r>
          </w:p>
        </w:tc>
        <w:tc>
          <w:tcPr>
            <w:tcW w:w="100" w:type="dxa"/>
            <w:vAlign w:val="bottom"/>
          </w:tcPr>
          <w:p>
            <w:pPr>
              <w:spacing w:after="0"/>
              <w:rPr>
                <w:sz w:val="21"/>
                <w:szCs w:val="21"/>
                <w:color w:val="auto"/>
              </w:rPr>
            </w:pPr>
          </w:p>
        </w:tc>
        <w:tc>
          <w:tcPr>
            <w:tcW w:w="1700" w:type="dxa"/>
            <w:vAlign w:val="bottom"/>
          </w:tcPr>
          <w:p>
            <w:pPr>
              <w:jc w:val="center"/>
              <w:spacing w:after="0"/>
              <w:rPr>
                <w:sz w:val="20"/>
                <w:szCs w:val="20"/>
                <w:color w:val="auto"/>
              </w:rPr>
            </w:pPr>
            <w:r>
              <w:rPr>
                <w:rFonts w:ascii="Arial" w:cs="Arial" w:eastAsia="Arial" w:hAnsi="Arial"/>
                <w:sz w:val="18"/>
                <w:szCs w:val="18"/>
                <w:color w:val="auto"/>
                <w:w w:val="99"/>
              </w:rPr>
              <w:t>2025</w:t>
            </w:r>
          </w:p>
        </w:tc>
      </w:tr>
      <w:tr>
        <w:trPr>
          <w:trHeight w:val="27"/>
        </w:trPr>
        <w:tc>
          <w:tcPr>
            <w:tcW w:w="5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700" w:type="dxa"/>
            <w:vAlign w:val="bottom"/>
          </w:tcPr>
          <w:p>
            <w:pPr>
              <w:spacing w:after="0"/>
              <w:rPr>
                <w:sz w:val="2"/>
                <w:szCs w:val="2"/>
                <w:color w:val="auto"/>
              </w:rPr>
            </w:pPr>
          </w:p>
        </w:tc>
      </w:tr>
      <w:tr>
        <w:trPr>
          <w:trHeight w:val="250"/>
        </w:trPr>
        <w:tc>
          <w:tcPr>
            <w:tcW w:w="528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Communications Workers of America (CWA)</w:t>
            </w:r>
          </w:p>
        </w:tc>
        <w:tc>
          <w:tcPr>
            <w:tcW w:w="298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Passenger Service</w:t>
            </w:r>
          </w:p>
        </w:tc>
        <w:tc>
          <w:tcPr>
            <w:tcW w:w="136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6,300</w:t>
            </w:r>
          </w:p>
        </w:tc>
        <w:tc>
          <w:tcPr>
            <w:tcW w:w="100" w:type="dxa"/>
            <w:vAlign w:val="bottom"/>
            <w:tcBorders>
              <w:bottom w:val="single" w:sz="8" w:color="CCEEFF"/>
            </w:tcBorders>
            <w:shd w:val="clear" w:color="auto" w:fill="CCEEFF"/>
          </w:tcPr>
          <w:p>
            <w:pPr>
              <w:spacing w:after="0"/>
              <w:rPr>
                <w:sz w:val="21"/>
                <w:szCs w:val="21"/>
                <w:color w:val="auto"/>
              </w:rPr>
            </w:pPr>
          </w:p>
        </w:tc>
        <w:tc>
          <w:tcPr>
            <w:tcW w:w="170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99"/>
              </w:rPr>
              <w:t>2026</w:t>
            </w:r>
          </w:p>
        </w:tc>
      </w:tr>
      <w:tr>
        <w:trPr>
          <w:trHeight w:val="243"/>
        </w:trPr>
        <w:tc>
          <w:tcPr>
            <w:tcW w:w="5280" w:type="dxa"/>
            <w:vAlign w:val="bottom"/>
            <w:gridSpan w:val="2"/>
          </w:tcPr>
          <w:p>
            <w:pPr>
              <w:ind w:left="40"/>
              <w:spacing w:after="0"/>
              <w:rPr>
                <w:sz w:val="20"/>
                <w:szCs w:val="20"/>
                <w:color w:val="auto"/>
              </w:rPr>
            </w:pPr>
            <w:r>
              <w:rPr>
                <w:rFonts w:ascii="Arial" w:cs="Arial" w:eastAsia="Arial" w:hAnsi="Arial"/>
                <w:sz w:val="18"/>
                <w:szCs w:val="18"/>
                <w:b w:val="1"/>
                <w:bCs w:val="1"/>
                <w:color w:val="auto"/>
              </w:rPr>
              <w:t>Piedmont:</w:t>
            </w:r>
          </w:p>
        </w:tc>
        <w:tc>
          <w:tcPr>
            <w:tcW w:w="28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3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700" w:type="dxa"/>
            <w:vAlign w:val="bottom"/>
          </w:tcPr>
          <w:p>
            <w:pPr>
              <w:spacing w:after="0"/>
              <w:rPr>
                <w:sz w:val="21"/>
                <w:szCs w:val="21"/>
                <w:color w:val="auto"/>
              </w:rPr>
            </w:pPr>
          </w:p>
        </w:tc>
      </w:tr>
      <w:tr>
        <w:trPr>
          <w:trHeight w:val="27"/>
        </w:trPr>
        <w:tc>
          <w:tcPr>
            <w:tcW w:w="5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700" w:type="dxa"/>
            <w:vAlign w:val="bottom"/>
          </w:tcPr>
          <w:p>
            <w:pPr>
              <w:spacing w:after="0"/>
              <w:rPr>
                <w:sz w:val="2"/>
                <w:szCs w:val="2"/>
                <w:color w:val="auto"/>
              </w:rPr>
            </w:pPr>
          </w:p>
        </w:tc>
      </w:tr>
      <w:tr>
        <w:trPr>
          <w:trHeight w:val="250"/>
        </w:trPr>
        <w:tc>
          <w:tcPr>
            <w:tcW w:w="528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ALPA</w:t>
            </w:r>
          </w:p>
        </w:tc>
        <w:tc>
          <w:tcPr>
            <w:tcW w:w="298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Pilots</w:t>
            </w:r>
          </w:p>
        </w:tc>
        <w:tc>
          <w:tcPr>
            <w:tcW w:w="136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550</w:t>
            </w:r>
          </w:p>
        </w:tc>
        <w:tc>
          <w:tcPr>
            <w:tcW w:w="100" w:type="dxa"/>
            <w:vAlign w:val="bottom"/>
            <w:tcBorders>
              <w:bottom w:val="single" w:sz="8" w:color="CCEEFF"/>
            </w:tcBorders>
            <w:shd w:val="clear" w:color="auto" w:fill="CCEEFF"/>
          </w:tcPr>
          <w:p>
            <w:pPr>
              <w:spacing w:after="0"/>
              <w:rPr>
                <w:sz w:val="21"/>
                <w:szCs w:val="21"/>
                <w:color w:val="auto"/>
              </w:rPr>
            </w:pPr>
          </w:p>
        </w:tc>
        <w:tc>
          <w:tcPr>
            <w:tcW w:w="170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99"/>
              </w:rPr>
              <w:t>2024</w:t>
            </w:r>
          </w:p>
        </w:tc>
      </w:tr>
      <w:tr>
        <w:trPr>
          <w:trHeight w:val="243"/>
        </w:trPr>
        <w:tc>
          <w:tcPr>
            <w:tcW w:w="5280" w:type="dxa"/>
            <w:vAlign w:val="bottom"/>
            <w:gridSpan w:val="2"/>
          </w:tcPr>
          <w:p>
            <w:pPr>
              <w:ind w:left="40"/>
              <w:spacing w:after="0"/>
              <w:rPr>
                <w:sz w:val="20"/>
                <w:szCs w:val="20"/>
                <w:color w:val="auto"/>
              </w:rPr>
            </w:pPr>
            <w:r>
              <w:rPr>
                <w:rFonts w:ascii="Arial" w:cs="Arial" w:eastAsia="Arial" w:hAnsi="Arial"/>
                <w:sz w:val="18"/>
                <w:szCs w:val="18"/>
                <w:color w:val="auto"/>
              </w:rPr>
              <w:t>AFA</w:t>
            </w:r>
          </w:p>
        </w:tc>
        <w:tc>
          <w:tcPr>
            <w:tcW w:w="2980" w:type="dxa"/>
            <w:vAlign w:val="bottom"/>
            <w:gridSpan w:val="2"/>
          </w:tcPr>
          <w:p>
            <w:pPr>
              <w:ind w:left="20"/>
              <w:spacing w:after="0"/>
              <w:rPr>
                <w:sz w:val="20"/>
                <w:szCs w:val="20"/>
                <w:color w:val="auto"/>
              </w:rPr>
            </w:pPr>
            <w:r>
              <w:rPr>
                <w:rFonts w:ascii="Arial" w:cs="Arial" w:eastAsia="Arial" w:hAnsi="Arial"/>
                <w:sz w:val="18"/>
                <w:szCs w:val="18"/>
                <w:color w:val="auto"/>
              </w:rPr>
              <w:t>Flight Attendants</w:t>
            </w:r>
          </w:p>
        </w:tc>
        <w:tc>
          <w:tcPr>
            <w:tcW w:w="1360" w:type="dxa"/>
            <w:vAlign w:val="bottom"/>
          </w:tcPr>
          <w:p>
            <w:pPr>
              <w:jc w:val="right"/>
              <w:ind w:right="31"/>
              <w:spacing w:after="0"/>
              <w:rPr>
                <w:sz w:val="20"/>
                <w:szCs w:val="20"/>
                <w:color w:val="auto"/>
              </w:rPr>
            </w:pPr>
            <w:r>
              <w:rPr>
                <w:rFonts w:ascii="Arial" w:cs="Arial" w:eastAsia="Arial" w:hAnsi="Arial"/>
                <w:sz w:val="18"/>
                <w:szCs w:val="18"/>
                <w:color w:val="auto"/>
              </w:rPr>
              <w:t>350</w:t>
            </w:r>
          </w:p>
        </w:tc>
        <w:tc>
          <w:tcPr>
            <w:tcW w:w="100" w:type="dxa"/>
            <w:vAlign w:val="bottom"/>
          </w:tcPr>
          <w:p>
            <w:pPr>
              <w:spacing w:after="0"/>
              <w:rPr>
                <w:sz w:val="21"/>
                <w:szCs w:val="21"/>
                <w:color w:val="auto"/>
              </w:rPr>
            </w:pPr>
          </w:p>
        </w:tc>
        <w:tc>
          <w:tcPr>
            <w:tcW w:w="1700" w:type="dxa"/>
            <w:vAlign w:val="bottom"/>
          </w:tcPr>
          <w:p>
            <w:pPr>
              <w:jc w:val="center"/>
              <w:spacing w:after="0"/>
              <w:rPr>
                <w:sz w:val="20"/>
                <w:szCs w:val="20"/>
                <w:color w:val="auto"/>
              </w:rPr>
            </w:pPr>
            <w:r>
              <w:rPr>
                <w:rFonts w:ascii="Arial" w:cs="Arial" w:eastAsia="Arial" w:hAnsi="Arial"/>
                <w:sz w:val="18"/>
                <w:szCs w:val="18"/>
                <w:color w:val="auto"/>
                <w:w w:val="99"/>
              </w:rPr>
              <w:t>2019</w:t>
            </w:r>
          </w:p>
        </w:tc>
      </w:tr>
      <w:tr>
        <w:trPr>
          <w:trHeight w:val="27"/>
        </w:trPr>
        <w:tc>
          <w:tcPr>
            <w:tcW w:w="5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700" w:type="dxa"/>
            <w:vAlign w:val="bottom"/>
          </w:tcPr>
          <w:p>
            <w:pPr>
              <w:spacing w:after="0"/>
              <w:rPr>
                <w:sz w:val="2"/>
                <w:szCs w:val="2"/>
                <w:color w:val="auto"/>
              </w:rPr>
            </w:pPr>
          </w:p>
        </w:tc>
      </w:tr>
      <w:tr>
        <w:trPr>
          <w:trHeight w:val="250"/>
        </w:trPr>
        <w:tc>
          <w:tcPr>
            <w:tcW w:w="528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International Brotherhood of Teamsters (IBT)</w:t>
            </w:r>
          </w:p>
        </w:tc>
        <w:tc>
          <w:tcPr>
            <w:tcW w:w="298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Mechanics</w:t>
            </w:r>
          </w:p>
        </w:tc>
        <w:tc>
          <w:tcPr>
            <w:tcW w:w="136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450</w:t>
            </w:r>
          </w:p>
        </w:tc>
        <w:tc>
          <w:tcPr>
            <w:tcW w:w="100" w:type="dxa"/>
            <w:vAlign w:val="bottom"/>
            <w:tcBorders>
              <w:bottom w:val="single" w:sz="8" w:color="CCEEFF"/>
            </w:tcBorders>
            <w:shd w:val="clear" w:color="auto" w:fill="CCEEFF"/>
          </w:tcPr>
          <w:p>
            <w:pPr>
              <w:spacing w:after="0"/>
              <w:rPr>
                <w:sz w:val="21"/>
                <w:szCs w:val="21"/>
                <w:color w:val="auto"/>
              </w:rPr>
            </w:pPr>
          </w:p>
        </w:tc>
        <w:tc>
          <w:tcPr>
            <w:tcW w:w="170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99"/>
              </w:rPr>
              <w:t>2021</w:t>
            </w:r>
          </w:p>
        </w:tc>
      </w:tr>
      <w:tr>
        <w:trPr>
          <w:trHeight w:val="243"/>
        </w:trPr>
        <w:tc>
          <w:tcPr>
            <w:tcW w:w="5280" w:type="dxa"/>
            <w:vAlign w:val="bottom"/>
            <w:gridSpan w:val="2"/>
          </w:tcPr>
          <w:p>
            <w:pPr>
              <w:ind w:left="40"/>
              <w:spacing w:after="0"/>
              <w:rPr>
                <w:sz w:val="20"/>
                <w:szCs w:val="20"/>
                <w:color w:val="auto"/>
              </w:rPr>
            </w:pPr>
            <w:r>
              <w:rPr>
                <w:rFonts w:ascii="Arial" w:cs="Arial" w:eastAsia="Arial" w:hAnsi="Arial"/>
                <w:sz w:val="18"/>
                <w:szCs w:val="18"/>
                <w:color w:val="auto"/>
              </w:rPr>
              <w:t>IBT</w:t>
            </w:r>
          </w:p>
        </w:tc>
        <w:tc>
          <w:tcPr>
            <w:tcW w:w="2980" w:type="dxa"/>
            <w:vAlign w:val="bottom"/>
            <w:gridSpan w:val="2"/>
          </w:tcPr>
          <w:p>
            <w:pPr>
              <w:ind w:left="20"/>
              <w:spacing w:after="0"/>
              <w:rPr>
                <w:sz w:val="20"/>
                <w:szCs w:val="20"/>
                <w:color w:val="auto"/>
              </w:rPr>
            </w:pPr>
            <w:r>
              <w:rPr>
                <w:rFonts w:ascii="Arial" w:cs="Arial" w:eastAsia="Arial" w:hAnsi="Arial"/>
                <w:sz w:val="18"/>
                <w:szCs w:val="18"/>
                <w:color w:val="auto"/>
              </w:rPr>
              <w:t>Stock Clerks</w:t>
            </w:r>
          </w:p>
        </w:tc>
        <w:tc>
          <w:tcPr>
            <w:tcW w:w="1360" w:type="dxa"/>
            <w:vAlign w:val="bottom"/>
          </w:tcPr>
          <w:p>
            <w:pPr>
              <w:jc w:val="right"/>
              <w:ind w:right="31"/>
              <w:spacing w:after="0"/>
              <w:rPr>
                <w:sz w:val="20"/>
                <w:szCs w:val="20"/>
                <w:color w:val="auto"/>
              </w:rPr>
            </w:pPr>
            <w:r>
              <w:rPr>
                <w:rFonts w:ascii="Arial" w:cs="Arial" w:eastAsia="Arial" w:hAnsi="Arial"/>
                <w:sz w:val="18"/>
                <w:szCs w:val="18"/>
                <w:color w:val="auto"/>
              </w:rPr>
              <w:t>60</w:t>
            </w:r>
          </w:p>
        </w:tc>
        <w:tc>
          <w:tcPr>
            <w:tcW w:w="100" w:type="dxa"/>
            <w:vAlign w:val="bottom"/>
          </w:tcPr>
          <w:p>
            <w:pPr>
              <w:spacing w:after="0"/>
              <w:rPr>
                <w:sz w:val="21"/>
                <w:szCs w:val="21"/>
                <w:color w:val="auto"/>
              </w:rPr>
            </w:pPr>
          </w:p>
        </w:tc>
        <w:tc>
          <w:tcPr>
            <w:tcW w:w="1700" w:type="dxa"/>
            <w:vAlign w:val="bottom"/>
          </w:tcPr>
          <w:p>
            <w:pPr>
              <w:jc w:val="center"/>
              <w:spacing w:after="0"/>
              <w:rPr>
                <w:sz w:val="20"/>
                <w:szCs w:val="20"/>
                <w:color w:val="auto"/>
              </w:rPr>
            </w:pPr>
            <w:r>
              <w:rPr>
                <w:rFonts w:ascii="Arial" w:cs="Arial" w:eastAsia="Arial" w:hAnsi="Arial"/>
                <w:sz w:val="18"/>
                <w:szCs w:val="18"/>
                <w:color w:val="auto"/>
                <w:w w:val="99"/>
              </w:rPr>
              <w:t>2021</w:t>
            </w:r>
          </w:p>
        </w:tc>
      </w:tr>
      <w:tr>
        <w:trPr>
          <w:trHeight w:val="27"/>
        </w:trPr>
        <w:tc>
          <w:tcPr>
            <w:tcW w:w="5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700" w:type="dxa"/>
            <w:vAlign w:val="bottom"/>
          </w:tcPr>
          <w:p>
            <w:pPr>
              <w:spacing w:after="0"/>
              <w:rPr>
                <w:sz w:val="2"/>
                <w:szCs w:val="2"/>
                <w:color w:val="auto"/>
              </w:rPr>
            </w:pPr>
          </w:p>
        </w:tc>
      </w:tr>
      <w:tr>
        <w:trPr>
          <w:trHeight w:val="250"/>
        </w:trPr>
        <w:tc>
          <w:tcPr>
            <w:tcW w:w="528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CWA</w:t>
            </w:r>
          </w:p>
        </w:tc>
        <w:tc>
          <w:tcPr>
            <w:tcW w:w="298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Fleet and Passenger Service</w:t>
            </w:r>
          </w:p>
        </w:tc>
        <w:tc>
          <w:tcPr>
            <w:tcW w:w="136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6,550</w:t>
            </w:r>
          </w:p>
        </w:tc>
        <w:tc>
          <w:tcPr>
            <w:tcW w:w="100" w:type="dxa"/>
            <w:vAlign w:val="bottom"/>
            <w:tcBorders>
              <w:bottom w:val="single" w:sz="8" w:color="CCEEFF"/>
            </w:tcBorders>
            <w:shd w:val="clear" w:color="auto" w:fill="CCEEFF"/>
          </w:tcPr>
          <w:p>
            <w:pPr>
              <w:spacing w:after="0"/>
              <w:rPr>
                <w:sz w:val="21"/>
                <w:szCs w:val="21"/>
                <w:color w:val="auto"/>
              </w:rPr>
            </w:pPr>
          </w:p>
        </w:tc>
        <w:tc>
          <w:tcPr>
            <w:tcW w:w="170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99"/>
              </w:rPr>
              <w:t>2023</w:t>
            </w:r>
          </w:p>
        </w:tc>
      </w:tr>
      <w:tr>
        <w:trPr>
          <w:trHeight w:val="243"/>
        </w:trPr>
        <w:tc>
          <w:tcPr>
            <w:tcW w:w="5280" w:type="dxa"/>
            <w:vAlign w:val="bottom"/>
            <w:gridSpan w:val="2"/>
          </w:tcPr>
          <w:p>
            <w:pPr>
              <w:ind w:left="40"/>
              <w:spacing w:after="0"/>
              <w:rPr>
                <w:sz w:val="20"/>
                <w:szCs w:val="20"/>
                <w:color w:val="auto"/>
              </w:rPr>
            </w:pPr>
            <w:r>
              <w:rPr>
                <w:rFonts w:ascii="Arial" w:cs="Arial" w:eastAsia="Arial" w:hAnsi="Arial"/>
                <w:sz w:val="18"/>
                <w:szCs w:val="18"/>
                <w:color w:val="auto"/>
              </w:rPr>
              <w:t>IBT</w:t>
            </w:r>
          </w:p>
        </w:tc>
        <w:tc>
          <w:tcPr>
            <w:tcW w:w="2980" w:type="dxa"/>
            <w:vAlign w:val="bottom"/>
            <w:gridSpan w:val="2"/>
          </w:tcPr>
          <w:p>
            <w:pPr>
              <w:ind w:left="20"/>
              <w:spacing w:after="0"/>
              <w:rPr>
                <w:sz w:val="20"/>
                <w:szCs w:val="20"/>
                <w:color w:val="auto"/>
              </w:rPr>
            </w:pPr>
            <w:r>
              <w:rPr>
                <w:rFonts w:ascii="Arial" w:cs="Arial" w:eastAsia="Arial" w:hAnsi="Arial"/>
                <w:sz w:val="18"/>
                <w:szCs w:val="18"/>
                <w:color w:val="auto"/>
              </w:rPr>
              <w:t>Dispatchers</w:t>
            </w:r>
          </w:p>
        </w:tc>
        <w:tc>
          <w:tcPr>
            <w:tcW w:w="1360" w:type="dxa"/>
            <w:vAlign w:val="bottom"/>
          </w:tcPr>
          <w:p>
            <w:pPr>
              <w:jc w:val="right"/>
              <w:ind w:right="31"/>
              <w:spacing w:after="0"/>
              <w:rPr>
                <w:sz w:val="20"/>
                <w:szCs w:val="20"/>
                <w:color w:val="auto"/>
              </w:rPr>
            </w:pPr>
            <w:r>
              <w:rPr>
                <w:rFonts w:ascii="Arial" w:cs="Arial" w:eastAsia="Arial" w:hAnsi="Arial"/>
                <w:sz w:val="18"/>
                <w:szCs w:val="18"/>
                <w:color w:val="auto"/>
              </w:rPr>
              <w:t>30</w:t>
            </w:r>
          </w:p>
        </w:tc>
        <w:tc>
          <w:tcPr>
            <w:tcW w:w="100" w:type="dxa"/>
            <w:vAlign w:val="bottom"/>
          </w:tcPr>
          <w:p>
            <w:pPr>
              <w:spacing w:after="0"/>
              <w:rPr>
                <w:sz w:val="21"/>
                <w:szCs w:val="21"/>
                <w:color w:val="auto"/>
              </w:rPr>
            </w:pPr>
          </w:p>
        </w:tc>
        <w:tc>
          <w:tcPr>
            <w:tcW w:w="1700" w:type="dxa"/>
            <w:vAlign w:val="bottom"/>
          </w:tcPr>
          <w:p>
            <w:pPr>
              <w:jc w:val="center"/>
              <w:spacing w:after="0"/>
              <w:rPr>
                <w:sz w:val="20"/>
                <w:szCs w:val="20"/>
                <w:color w:val="auto"/>
              </w:rPr>
            </w:pPr>
            <w:r>
              <w:rPr>
                <w:rFonts w:ascii="Arial" w:cs="Arial" w:eastAsia="Arial" w:hAnsi="Arial"/>
                <w:sz w:val="18"/>
                <w:szCs w:val="18"/>
                <w:color w:val="auto"/>
                <w:w w:val="99"/>
              </w:rPr>
              <w:t>2019</w:t>
            </w:r>
          </w:p>
        </w:tc>
      </w:tr>
      <w:tr>
        <w:trPr>
          <w:trHeight w:val="27"/>
        </w:trPr>
        <w:tc>
          <w:tcPr>
            <w:tcW w:w="5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700" w:type="dxa"/>
            <w:vAlign w:val="bottom"/>
          </w:tcPr>
          <w:p>
            <w:pPr>
              <w:spacing w:after="0"/>
              <w:rPr>
                <w:sz w:val="2"/>
                <w:szCs w:val="2"/>
                <w:color w:val="auto"/>
              </w:rPr>
            </w:pPr>
          </w:p>
        </w:tc>
      </w:tr>
      <w:tr>
        <w:trPr>
          <w:trHeight w:val="250"/>
        </w:trPr>
        <w:tc>
          <w:tcPr>
            <w:tcW w:w="528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ALPA</w:t>
            </w:r>
          </w:p>
        </w:tc>
        <w:tc>
          <w:tcPr>
            <w:tcW w:w="298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Flight Crew Training Instructors</w:t>
            </w:r>
          </w:p>
        </w:tc>
        <w:tc>
          <w:tcPr>
            <w:tcW w:w="136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40</w:t>
            </w:r>
          </w:p>
        </w:tc>
        <w:tc>
          <w:tcPr>
            <w:tcW w:w="100" w:type="dxa"/>
            <w:vAlign w:val="bottom"/>
            <w:tcBorders>
              <w:bottom w:val="single" w:sz="8" w:color="CCEEFF"/>
            </w:tcBorders>
            <w:shd w:val="clear" w:color="auto" w:fill="CCEEFF"/>
          </w:tcPr>
          <w:p>
            <w:pPr>
              <w:spacing w:after="0"/>
              <w:rPr>
                <w:sz w:val="21"/>
                <w:szCs w:val="21"/>
                <w:color w:val="auto"/>
              </w:rPr>
            </w:pPr>
          </w:p>
        </w:tc>
        <w:tc>
          <w:tcPr>
            <w:tcW w:w="170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99"/>
              </w:rPr>
              <w:t>2024</w:t>
            </w:r>
          </w:p>
        </w:tc>
      </w:tr>
      <w:tr>
        <w:trPr>
          <w:trHeight w:val="243"/>
        </w:trPr>
        <w:tc>
          <w:tcPr>
            <w:tcW w:w="5280" w:type="dxa"/>
            <w:vAlign w:val="bottom"/>
            <w:gridSpan w:val="2"/>
          </w:tcPr>
          <w:p>
            <w:pPr>
              <w:ind w:left="40"/>
              <w:spacing w:after="0"/>
              <w:rPr>
                <w:sz w:val="20"/>
                <w:szCs w:val="20"/>
                <w:color w:val="auto"/>
              </w:rPr>
            </w:pPr>
            <w:r>
              <w:rPr>
                <w:rFonts w:ascii="Arial" w:cs="Arial" w:eastAsia="Arial" w:hAnsi="Arial"/>
                <w:sz w:val="18"/>
                <w:szCs w:val="18"/>
                <w:b w:val="1"/>
                <w:bCs w:val="1"/>
                <w:color w:val="auto"/>
              </w:rPr>
              <w:t>PSA:</w:t>
            </w:r>
          </w:p>
        </w:tc>
        <w:tc>
          <w:tcPr>
            <w:tcW w:w="28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3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700" w:type="dxa"/>
            <w:vAlign w:val="bottom"/>
          </w:tcPr>
          <w:p>
            <w:pPr>
              <w:spacing w:after="0"/>
              <w:rPr>
                <w:sz w:val="21"/>
                <w:szCs w:val="21"/>
                <w:color w:val="auto"/>
              </w:rPr>
            </w:pPr>
          </w:p>
        </w:tc>
      </w:tr>
      <w:tr>
        <w:trPr>
          <w:trHeight w:val="27"/>
        </w:trPr>
        <w:tc>
          <w:tcPr>
            <w:tcW w:w="5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700" w:type="dxa"/>
            <w:vAlign w:val="bottom"/>
          </w:tcPr>
          <w:p>
            <w:pPr>
              <w:spacing w:after="0"/>
              <w:rPr>
                <w:sz w:val="2"/>
                <w:szCs w:val="2"/>
                <w:color w:val="auto"/>
              </w:rPr>
            </w:pPr>
          </w:p>
        </w:tc>
      </w:tr>
      <w:tr>
        <w:trPr>
          <w:trHeight w:val="250"/>
        </w:trPr>
        <w:tc>
          <w:tcPr>
            <w:tcW w:w="528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ALPA</w:t>
            </w:r>
          </w:p>
        </w:tc>
        <w:tc>
          <w:tcPr>
            <w:tcW w:w="298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Pilots</w:t>
            </w:r>
          </w:p>
        </w:tc>
        <w:tc>
          <w:tcPr>
            <w:tcW w:w="136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1,950</w:t>
            </w:r>
          </w:p>
        </w:tc>
        <w:tc>
          <w:tcPr>
            <w:tcW w:w="100" w:type="dxa"/>
            <w:vAlign w:val="bottom"/>
            <w:tcBorders>
              <w:bottom w:val="single" w:sz="8" w:color="CCEEFF"/>
            </w:tcBorders>
            <w:shd w:val="clear" w:color="auto" w:fill="CCEEFF"/>
          </w:tcPr>
          <w:p>
            <w:pPr>
              <w:spacing w:after="0"/>
              <w:rPr>
                <w:sz w:val="21"/>
                <w:szCs w:val="21"/>
                <w:color w:val="auto"/>
              </w:rPr>
            </w:pPr>
          </w:p>
        </w:tc>
        <w:tc>
          <w:tcPr>
            <w:tcW w:w="170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99"/>
              </w:rPr>
              <w:t>2023</w:t>
            </w:r>
          </w:p>
        </w:tc>
      </w:tr>
      <w:tr>
        <w:trPr>
          <w:trHeight w:val="243"/>
        </w:trPr>
        <w:tc>
          <w:tcPr>
            <w:tcW w:w="5280" w:type="dxa"/>
            <w:vAlign w:val="bottom"/>
            <w:gridSpan w:val="2"/>
          </w:tcPr>
          <w:p>
            <w:pPr>
              <w:ind w:left="40"/>
              <w:spacing w:after="0"/>
              <w:rPr>
                <w:sz w:val="20"/>
                <w:szCs w:val="20"/>
                <w:color w:val="auto"/>
              </w:rPr>
            </w:pPr>
            <w:r>
              <w:rPr>
                <w:rFonts w:ascii="Arial" w:cs="Arial" w:eastAsia="Arial" w:hAnsi="Arial"/>
                <w:sz w:val="18"/>
                <w:szCs w:val="18"/>
                <w:color w:val="auto"/>
              </w:rPr>
              <w:t>AFA</w:t>
            </w:r>
          </w:p>
        </w:tc>
        <w:tc>
          <w:tcPr>
            <w:tcW w:w="2980" w:type="dxa"/>
            <w:vAlign w:val="bottom"/>
            <w:gridSpan w:val="2"/>
          </w:tcPr>
          <w:p>
            <w:pPr>
              <w:ind w:left="20"/>
              <w:spacing w:after="0"/>
              <w:rPr>
                <w:sz w:val="20"/>
                <w:szCs w:val="20"/>
                <w:color w:val="auto"/>
              </w:rPr>
            </w:pPr>
            <w:r>
              <w:rPr>
                <w:rFonts w:ascii="Arial" w:cs="Arial" w:eastAsia="Arial" w:hAnsi="Arial"/>
                <w:sz w:val="18"/>
                <w:szCs w:val="18"/>
                <w:color w:val="auto"/>
              </w:rPr>
              <w:t>Flight Attendants</w:t>
            </w:r>
          </w:p>
        </w:tc>
        <w:tc>
          <w:tcPr>
            <w:tcW w:w="1360" w:type="dxa"/>
            <w:vAlign w:val="bottom"/>
          </w:tcPr>
          <w:p>
            <w:pPr>
              <w:jc w:val="right"/>
              <w:ind w:right="31"/>
              <w:spacing w:after="0"/>
              <w:rPr>
                <w:sz w:val="20"/>
                <w:szCs w:val="20"/>
                <w:color w:val="auto"/>
              </w:rPr>
            </w:pPr>
            <w:r>
              <w:rPr>
                <w:rFonts w:ascii="Arial" w:cs="Arial" w:eastAsia="Arial" w:hAnsi="Arial"/>
                <w:sz w:val="18"/>
                <w:szCs w:val="18"/>
                <w:color w:val="auto"/>
              </w:rPr>
              <w:t>1,450</w:t>
            </w:r>
          </w:p>
        </w:tc>
        <w:tc>
          <w:tcPr>
            <w:tcW w:w="100" w:type="dxa"/>
            <w:vAlign w:val="bottom"/>
          </w:tcPr>
          <w:p>
            <w:pPr>
              <w:spacing w:after="0"/>
              <w:rPr>
                <w:sz w:val="21"/>
                <w:szCs w:val="21"/>
                <w:color w:val="auto"/>
              </w:rPr>
            </w:pPr>
          </w:p>
        </w:tc>
        <w:tc>
          <w:tcPr>
            <w:tcW w:w="1700" w:type="dxa"/>
            <w:vAlign w:val="bottom"/>
          </w:tcPr>
          <w:p>
            <w:pPr>
              <w:jc w:val="center"/>
              <w:spacing w:after="0"/>
              <w:rPr>
                <w:sz w:val="20"/>
                <w:szCs w:val="20"/>
                <w:color w:val="auto"/>
              </w:rPr>
            </w:pPr>
            <w:r>
              <w:rPr>
                <w:rFonts w:ascii="Arial" w:cs="Arial" w:eastAsia="Arial" w:hAnsi="Arial"/>
                <w:sz w:val="18"/>
                <w:szCs w:val="18"/>
                <w:color w:val="auto"/>
                <w:w w:val="99"/>
              </w:rPr>
              <w:t>2023</w:t>
            </w:r>
          </w:p>
        </w:tc>
      </w:tr>
      <w:tr>
        <w:trPr>
          <w:trHeight w:val="27"/>
        </w:trPr>
        <w:tc>
          <w:tcPr>
            <w:tcW w:w="5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700" w:type="dxa"/>
            <w:vAlign w:val="bottom"/>
          </w:tcPr>
          <w:p>
            <w:pPr>
              <w:spacing w:after="0"/>
              <w:rPr>
                <w:sz w:val="2"/>
                <w:szCs w:val="2"/>
                <w:color w:val="auto"/>
              </w:rPr>
            </w:pPr>
          </w:p>
        </w:tc>
      </w:tr>
      <w:tr>
        <w:trPr>
          <w:trHeight w:val="229"/>
        </w:trPr>
        <w:tc>
          <w:tcPr>
            <w:tcW w:w="5280" w:type="dxa"/>
            <w:vAlign w:val="bottom"/>
            <w:gridSpan w:val="2"/>
            <w:shd w:val="clear" w:color="auto" w:fill="CCEEFF"/>
          </w:tcPr>
          <w:p>
            <w:pPr>
              <w:ind w:left="40"/>
              <w:spacing w:after="0"/>
              <w:rPr>
                <w:sz w:val="20"/>
                <w:szCs w:val="20"/>
                <w:color w:val="auto"/>
              </w:rPr>
            </w:pPr>
            <w:r>
              <w:rPr>
                <w:rFonts w:ascii="Arial" w:cs="Arial" w:eastAsia="Arial" w:hAnsi="Arial"/>
                <w:sz w:val="18"/>
                <w:szCs w:val="18"/>
                <w:color w:val="auto"/>
              </w:rPr>
              <w:t>International Association of Machinists &amp; Aerospace Workers</w:t>
            </w:r>
          </w:p>
        </w:tc>
        <w:tc>
          <w:tcPr>
            <w:tcW w:w="298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Mechanics</w:t>
            </w:r>
          </w:p>
        </w:tc>
        <w:tc>
          <w:tcPr>
            <w:tcW w:w="1360" w:type="dxa"/>
            <w:vAlign w:val="bottom"/>
            <w:shd w:val="clear" w:color="auto" w:fill="CCEEFF"/>
          </w:tcPr>
          <w:p>
            <w:pPr>
              <w:jc w:val="right"/>
              <w:ind w:right="31"/>
              <w:spacing w:after="0"/>
              <w:rPr>
                <w:sz w:val="20"/>
                <w:szCs w:val="20"/>
                <w:color w:val="auto"/>
              </w:rPr>
            </w:pPr>
            <w:r>
              <w:rPr>
                <w:rFonts w:ascii="Arial" w:cs="Arial" w:eastAsia="Arial" w:hAnsi="Arial"/>
                <w:sz w:val="18"/>
                <w:szCs w:val="18"/>
                <w:color w:val="auto"/>
              </w:rPr>
              <w:t>700</w:t>
            </w:r>
          </w:p>
        </w:tc>
        <w:tc>
          <w:tcPr>
            <w:tcW w:w="100" w:type="dxa"/>
            <w:vAlign w:val="bottom"/>
            <w:shd w:val="clear" w:color="auto" w:fill="CCEEFF"/>
          </w:tcPr>
          <w:p>
            <w:pPr>
              <w:spacing w:after="0"/>
              <w:rPr>
                <w:sz w:val="19"/>
                <w:szCs w:val="19"/>
                <w:color w:val="auto"/>
              </w:rPr>
            </w:pPr>
          </w:p>
        </w:tc>
        <w:tc>
          <w:tcPr>
            <w:tcW w:w="170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9"/>
              </w:rPr>
              <w:t>2022</w:t>
            </w:r>
          </w:p>
        </w:tc>
      </w:tr>
      <w:tr>
        <w:trPr>
          <w:trHeight w:val="230"/>
        </w:trPr>
        <w:tc>
          <w:tcPr>
            <w:tcW w:w="5280" w:type="dxa"/>
            <w:vAlign w:val="bottom"/>
            <w:gridSpan w:val="2"/>
            <w:shd w:val="clear" w:color="auto" w:fill="CCEEFF"/>
          </w:tcPr>
          <w:p>
            <w:pPr>
              <w:ind w:left="200"/>
              <w:spacing w:after="0"/>
              <w:rPr>
                <w:sz w:val="20"/>
                <w:szCs w:val="20"/>
                <w:color w:val="auto"/>
              </w:rPr>
            </w:pPr>
            <w:r>
              <w:rPr>
                <w:rFonts w:ascii="Arial" w:cs="Arial" w:eastAsia="Arial" w:hAnsi="Arial"/>
                <w:sz w:val="18"/>
                <w:szCs w:val="18"/>
                <w:color w:val="auto"/>
              </w:rPr>
              <w:t>(IAM)</w:t>
            </w:r>
          </w:p>
        </w:tc>
        <w:tc>
          <w:tcPr>
            <w:tcW w:w="286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36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700" w:type="dxa"/>
            <w:vAlign w:val="bottom"/>
            <w:shd w:val="clear" w:color="auto" w:fill="CCEEFF"/>
          </w:tcPr>
          <w:p>
            <w:pPr>
              <w:spacing w:after="0"/>
              <w:rPr>
                <w:sz w:val="20"/>
                <w:szCs w:val="20"/>
                <w:color w:val="auto"/>
              </w:rPr>
            </w:pPr>
          </w:p>
        </w:tc>
      </w:tr>
      <w:tr>
        <w:trPr>
          <w:trHeight w:val="243"/>
        </w:trPr>
        <w:tc>
          <w:tcPr>
            <w:tcW w:w="5280" w:type="dxa"/>
            <w:vAlign w:val="bottom"/>
            <w:gridSpan w:val="2"/>
          </w:tcPr>
          <w:p>
            <w:pPr>
              <w:ind w:left="40"/>
              <w:spacing w:after="0"/>
              <w:rPr>
                <w:sz w:val="20"/>
                <w:szCs w:val="20"/>
                <w:color w:val="auto"/>
              </w:rPr>
            </w:pPr>
            <w:r>
              <w:rPr>
                <w:rFonts w:ascii="Arial" w:cs="Arial" w:eastAsia="Arial" w:hAnsi="Arial"/>
                <w:sz w:val="18"/>
                <w:szCs w:val="18"/>
                <w:color w:val="auto"/>
              </w:rPr>
              <w:t>TWU</w:t>
            </w:r>
          </w:p>
        </w:tc>
        <w:tc>
          <w:tcPr>
            <w:tcW w:w="2980" w:type="dxa"/>
            <w:vAlign w:val="bottom"/>
            <w:gridSpan w:val="2"/>
          </w:tcPr>
          <w:p>
            <w:pPr>
              <w:ind w:left="20"/>
              <w:spacing w:after="0"/>
              <w:rPr>
                <w:sz w:val="20"/>
                <w:szCs w:val="20"/>
                <w:color w:val="auto"/>
              </w:rPr>
            </w:pPr>
            <w:r>
              <w:rPr>
                <w:rFonts w:ascii="Arial" w:cs="Arial" w:eastAsia="Arial" w:hAnsi="Arial"/>
                <w:sz w:val="18"/>
                <w:szCs w:val="18"/>
                <w:color w:val="auto"/>
              </w:rPr>
              <w:t>Dispatchers</w:t>
            </w:r>
          </w:p>
        </w:tc>
        <w:tc>
          <w:tcPr>
            <w:tcW w:w="1360" w:type="dxa"/>
            <w:vAlign w:val="bottom"/>
          </w:tcPr>
          <w:p>
            <w:pPr>
              <w:jc w:val="right"/>
              <w:ind w:right="31"/>
              <w:spacing w:after="0"/>
              <w:rPr>
                <w:sz w:val="20"/>
                <w:szCs w:val="20"/>
                <w:color w:val="auto"/>
              </w:rPr>
            </w:pPr>
            <w:r>
              <w:rPr>
                <w:rFonts w:ascii="Arial" w:cs="Arial" w:eastAsia="Arial" w:hAnsi="Arial"/>
                <w:sz w:val="18"/>
                <w:szCs w:val="18"/>
                <w:color w:val="auto"/>
              </w:rPr>
              <w:t>60</w:t>
            </w:r>
          </w:p>
        </w:tc>
        <w:tc>
          <w:tcPr>
            <w:tcW w:w="100" w:type="dxa"/>
            <w:vAlign w:val="bottom"/>
          </w:tcPr>
          <w:p>
            <w:pPr>
              <w:spacing w:after="0"/>
              <w:rPr>
                <w:sz w:val="21"/>
                <w:szCs w:val="21"/>
                <w:color w:val="auto"/>
              </w:rPr>
            </w:pPr>
          </w:p>
        </w:tc>
        <w:tc>
          <w:tcPr>
            <w:tcW w:w="1700" w:type="dxa"/>
            <w:vAlign w:val="bottom"/>
          </w:tcPr>
          <w:p>
            <w:pPr>
              <w:jc w:val="center"/>
              <w:spacing w:after="0"/>
              <w:rPr>
                <w:sz w:val="20"/>
                <w:szCs w:val="20"/>
                <w:color w:val="auto"/>
              </w:rPr>
            </w:pPr>
            <w:r>
              <w:rPr>
                <w:rFonts w:ascii="Arial" w:cs="Arial" w:eastAsia="Arial" w:hAnsi="Arial"/>
                <w:sz w:val="18"/>
                <w:szCs w:val="18"/>
                <w:color w:val="auto"/>
                <w:w w:val="99"/>
              </w:rPr>
              <w:t>2022</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180340</wp:posOffset>
            </wp:positionV>
            <wp:extent cx="1337945" cy="889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1337945" cy="8890"/>
                    </a:xfrm>
                    <a:prstGeom prst="rect">
                      <a:avLst/>
                    </a:prstGeom>
                    <a:noFill/>
                  </pic:spPr>
                </pic:pic>
              </a:graphicData>
            </a:graphic>
          </wp:anchor>
        </w:drawing>
      </w:r>
    </w:p>
    <w:p>
      <w:pPr>
        <w:spacing w:after="0" w:line="321" w:lineRule="exact"/>
        <w:rPr>
          <w:sz w:val="20"/>
          <w:szCs w:val="20"/>
          <w:color w:val="auto"/>
        </w:rPr>
      </w:pPr>
    </w:p>
    <w:p>
      <w:pPr>
        <w:ind w:left="420" w:hanging="412"/>
        <w:spacing w:after="0"/>
        <w:tabs>
          <w:tab w:leader="none" w:pos="420" w:val="left"/>
        </w:tabs>
        <w:numPr>
          <w:ilvl w:val="0"/>
          <w:numId w:val="5"/>
        </w:numPr>
        <w:rPr>
          <w:rFonts w:ascii="Arial" w:cs="Arial" w:eastAsia="Arial" w:hAnsi="Arial"/>
          <w:sz w:val="22"/>
          <w:szCs w:val="22"/>
          <w:color w:val="auto"/>
          <w:vertAlign w:val="superscript"/>
        </w:rPr>
      </w:pPr>
      <w:r>
        <w:rPr>
          <w:rFonts w:ascii="Arial" w:cs="Arial" w:eastAsia="Arial" w:hAnsi="Arial"/>
          <w:sz w:val="18"/>
          <w:szCs w:val="18"/>
          <w:color w:val="auto"/>
        </w:rPr>
        <w:t>Approximate number of active employees represented as of December 31, 2019.</w:t>
      </w:r>
    </w:p>
    <w:p>
      <w:pPr>
        <w:spacing w:after="0" w:line="161" w:lineRule="exact"/>
        <w:rPr>
          <w:sz w:val="20"/>
          <w:szCs w:val="20"/>
          <w:color w:val="auto"/>
        </w:rPr>
      </w:pPr>
    </w:p>
    <w:p>
      <w:pPr>
        <w:jc w:val="both"/>
        <w:ind w:left="60" w:firstLine="243"/>
        <w:spacing w:after="0" w:line="252" w:lineRule="auto"/>
        <w:rPr>
          <w:sz w:val="20"/>
          <w:szCs w:val="20"/>
          <w:color w:val="auto"/>
        </w:rPr>
      </w:pPr>
      <w:r>
        <w:rPr>
          <w:rFonts w:ascii="Arial" w:cs="Arial" w:eastAsia="Arial" w:hAnsi="Arial"/>
          <w:sz w:val="18"/>
          <w:szCs w:val="18"/>
          <w:color w:val="auto"/>
        </w:rPr>
        <w:t>Joint collective bargaining agreements (JCBAs) have been reached with post-Merger employee groups, except for contracts with the TWU-IAM Association which represents the mechanics and related, fleet service, stock clerks, maintenance control technicians and maintenance training instructors whose contracts became amendable in the third quarter of 2018. Agreements in principle were reached with the TWU-IAM Association on January 30, 2020 for JCBAs covering all of these workgroups. Those agreements are subject to membership ratification vote. Additionally, the post-Merger JCBAs covering our pilots and flight attendants became amendable in January 2020 and December 2019, respectively. Negotiations continue for new agreements.</w:t>
      </w:r>
    </w:p>
    <w:p>
      <w:pPr>
        <w:spacing w:after="0" w:line="155" w:lineRule="exact"/>
        <w:rPr>
          <w:sz w:val="20"/>
          <w:szCs w:val="20"/>
          <w:color w:val="auto"/>
        </w:rPr>
      </w:pPr>
    </w:p>
    <w:p>
      <w:pPr>
        <w:jc w:val="both"/>
        <w:ind w:firstLine="216"/>
        <w:spacing w:after="0" w:line="256" w:lineRule="auto"/>
        <w:rPr>
          <w:sz w:val="20"/>
          <w:szCs w:val="20"/>
          <w:color w:val="auto"/>
        </w:rPr>
      </w:pPr>
      <w:r>
        <w:rPr>
          <w:rFonts w:ascii="Arial" w:cs="Arial" w:eastAsia="Arial" w:hAnsi="Arial"/>
          <w:sz w:val="18"/>
          <w:szCs w:val="18"/>
          <w:color w:val="auto"/>
        </w:rPr>
        <w:t>Among our wholly-owned regional subsidiaries, the Envoy fleet service clerks, Piedmont flight attendants and Piedmont dispatchers have agreements that are now amendable and are engaged in traditional RLA negotiations. Envoy is also in negotiations with the union representing its flight attendants, whose contract becomes amendable in 2020.</w:t>
      </w:r>
    </w:p>
    <w:p>
      <w:pPr>
        <w:spacing w:after="0" w:line="130" w:lineRule="exact"/>
        <w:rPr>
          <w:sz w:val="20"/>
          <w:szCs w:val="20"/>
          <w:color w:val="auto"/>
        </w:rPr>
      </w:pPr>
    </w:p>
    <w:p>
      <w:pPr>
        <w:jc w:val="both"/>
        <w:ind w:firstLine="216"/>
        <w:spacing w:after="0" w:line="282" w:lineRule="auto"/>
        <w:rPr>
          <w:sz w:val="20"/>
          <w:szCs w:val="20"/>
          <w:color w:val="auto"/>
        </w:rPr>
      </w:pPr>
      <w:r>
        <w:rPr>
          <w:rFonts w:ascii="Arial" w:cs="Arial" w:eastAsia="Arial" w:hAnsi="Arial"/>
          <w:sz w:val="18"/>
          <w:szCs w:val="18"/>
          <w:color w:val="auto"/>
        </w:rPr>
        <w:t>For more discussion, see Part I, Item 1A. Risk Factors – “</w:t>
      </w:r>
      <w:r>
        <w:rPr>
          <w:rFonts w:ascii="Arial" w:cs="Arial" w:eastAsia="Arial" w:hAnsi="Arial"/>
          <w:sz w:val="18"/>
          <w:szCs w:val="18"/>
          <w:i w:val="1"/>
          <w:iCs w:val="1"/>
          <w:color w:val="auto"/>
        </w:rPr>
        <w:t>Union disputes, employee strikes and other labor-related disruptions, or our</w:t>
      </w:r>
      <w:r>
        <w:rPr>
          <w:rFonts w:ascii="Arial" w:cs="Arial" w:eastAsia="Arial" w:hAnsi="Arial"/>
          <w:sz w:val="18"/>
          <w:szCs w:val="18"/>
          <w:color w:val="auto"/>
        </w:rPr>
        <w:t xml:space="preserve"> </w:t>
      </w:r>
      <w:r>
        <w:rPr>
          <w:rFonts w:ascii="Arial" w:cs="Arial" w:eastAsia="Arial" w:hAnsi="Arial"/>
          <w:sz w:val="18"/>
          <w:szCs w:val="18"/>
          <w:i w:val="1"/>
          <w:iCs w:val="1"/>
          <w:color w:val="auto"/>
        </w:rPr>
        <w:t>inability to otherwise maintain labor costs at competitive levels may adversely affect our operations and financial performance</w:t>
      </w:r>
      <w:r>
        <w:rPr>
          <w:rFonts w:ascii="Arial" w:cs="Arial" w:eastAsia="Arial" w:hAnsi="Arial"/>
          <w:sz w:val="18"/>
          <w:szCs w:val="18"/>
          <w:color w:val="auto"/>
        </w:rPr>
        <w:t>.”</w:t>
      </w:r>
    </w:p>
    <w:p>
      <w:pPr>
        <w:spacing w:after="0" w:line="18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Aircraft Fuel</w:t>
      </w:r>
    </w:p>
    <w:p>
      <w:pPr>
        <w:spacing w:after="0" w:line="112" w:lineRule="exact"/>
        <w:rPr>
          <w:sz w:val="20"/>
          <w:szCs w:val="20"/>
          <w:color w:val="auto"/>
        </w:rPr>
      </w:pPr>
    </w:p>
    <w:p>
      <w:pPr>
        <w:jc w:val="both"/>
        <w:ind w:firstLine="216"/>
        <w:spacing w:after="0" w:line="256" w:lineRule="auto"/>
        <w:rPr>
          <w:sz w:val="20"/>
          <w:szCs w:val="20"/>
          <w:color w:val="auto"/>
        </w:rPr>
      </w:pPr>
      <w:r>
        <w:rPr>
          <w:rFonts w:ascii="Arial" w:cs="Arial" w:eastAsia="Arial" w:hAnsi="Arial"/>
          <w:sz w:val="18"/>
          <w:szCs w:val="18"/>
          <w:color w:val="auto"/>
        </w:rPr>
        <w:t>Our operations and financial results are significantly affected by the availability and price of aircraft fuel, which in 2019 was our second largest expense. Based on our 2020 forecasted mainline and regional fuel consumption, we estimate that a one cent per gallon increase in the price of aircraft fuel would increase our 2020 annual fuel expense by $47 million.</w:t>
      </w:r>
    </w:p>
    <w:p>
      <w:pPr>
        <w:spacing w:after="0" w:line="148" w:lineRule="exact"/>
        <w:rPr>
          <w:sz w:val="20"/>
          <w:szCs w:val="20"/>
          <w:color w:val="auto"/>
        </w:rPr>
      </w:pPr>
    </w:p>
    <w:p>
      <w:pPr>
        <w:jc w:val="both"/>
        <w:ind w:firstLine="216"/>
        <w:spacing w:after="0" w:line="262" w:lineRule="auto"/>
        <w:rPr>
          <w:sz w:val="20"/>
          <w:szCs w:val="20"/>
          <w:color w:val="auto"/>
        </w:rPr>
      </w:pPr>
      <w:r>
        <w:rPr>
          <w:rFonts w:ascii="Arial" w:cs="Arial" w:eastAsia="Arial" w:hAnsi="Arial"/>
          <w:sz w:val="18"/>
          <w:szCs w:val="18"/>
          <w:color w:val="auto"/>
        </w:rPr>
        <w:t>The following table shows annual aircraft fuel consumption and costs, including taxes, for our mainline and regional operations for 2019 and 2018 (gallons and aircraft fuel expense in millions).</w:t>
      </w:r>
    </w:p>
    <w:p>
      <w:pPr>
        <w:spacing w:after="0" w:line="292"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4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424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70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rPr>
              <w:t>Average Price</w:t>
            </w:r>
          </w:p>
        </w:tc>
        <w:tc>
          <w:tcPr>
            <w:tcW w:w="170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rPr>
              <w:t>Aircraft Fuel</w:t>
            </w:r>
          </w:p>
        </w:tc>
        <w:tc>
          <w:tcPr>
            <w:tcW w:w="1940" w:type="dxa"/>
            <w:vAlign w:val="bottom"/>
          </w:tcPr>
          <w:p>
            <w:pPr>
              <w:jc w:val="center"/>
              <w:spacing w:after="0"/>
              <w:rPr>
                <w:sz w:val="20"/>
                <w:szCs w:val="20"/>
                <w:color w:val="auto"/>
              </w:rPr>
            </w:pPr>
            <w:r>
              <w:rPr>
                <w:rFonts w:ascii="Arial" w:cs="Arial" w:eastAsia="Arial" w:hAnsi="Arial"/>
                <w:sz w:val="14"/>
                <w:szCs w:val="14"/>
                <w:b w:val="1"/>
                <w:bCs w:val="1"/>
                <w:color w:val="auto"/>
              </w:rPr>
              <w:t>Percent of Total</w:t>
            </w:r>
          </w:p>
        </w:tc>
      </w:tr>
      <w:tr>
        <w:trPr>
          <w:trHeight w:val="162"/>
        </w:trPr>
        <w:tc>
          <w:tcPr>
            <w:tcW w:w="4580" w:type="dxa"/>
            <w:vAlign w:val="bottom"/>
            <w:gridSpan w:val="3"/>
          </w:tcPr>
          <w:p>
            <w:pPr>
              <w:ind w:left="40"/>
              <w:spacing w:after="0"/>
              <w:rPr>
                <w:sz w:val="20"/>
                <w:szCs w:val="20"/>
                <w:color w:val="auto"/>
              </w:rPr>
            </w:pPr>
            <w:r>
              <w:rPr>
                <w:rFonts w:ascii="Arial" w:cs="Arial" w:eastAsia="Arial" w:hAnsi="Arial"/>
                <w:sz w:val="14"/>
                <w:szCs w:val="14"/>
                <w:b w:val="1"/>
                <w:bCs w:val="1"/>
                <w:color w:val="auto"/>
              </w:rPr>
              <w:t>Year</w:t>
            </w:r>
          </w:p>
        </w:tc>
        <w:tc>
          <w:tcPr>
            <w:tcW w:w="1000" w:type="dxa"/>
            <w:vAlign w:val="bottom"/>
          </w:tcPr>
          <w:p>
            <w:pPr>
              <w:jc w:val="center"/>
              <w:ind w:left="316"/>
              <w:spacing w:after="0"/>
              <w:rPr>
                <w:sz w:val="20"/>
                <w:szCs w:val="20"/>
                <w:color w:val="auto"/>
              </w:rPr>
            </w:pPr>
            <w:r>
              <w:rPr>
                <w:rFonts w:ascii="Arial" w:cs="Arial" w:eastAsia="Arial" w:hAnsi="Arial"/>
                <w:sz w:val="14"/>
                <w:szCs w:val="14"/>
                <w:b w:val="1"/>
                <w:bCs w:val="1"/>
                <w:color w:val="auto"/>
              </w:rPr>
              <w:t>Gallons</w:t>
            </w:r>
          </w:p>
        </w:tc>
        <w:tc>
          <w:tcPr>
            <w:tcW w:w="3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70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rPr>
              <w:t>per Gallon</w:t>
            </w:r>
          </w:p>
        </w:tc>
        <w:tc>
          <w:tcPr>
            <w:tcW w:w="170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rPr>
              <w:t>Expense</w:t>
            </w:r>
          </w:p>
        </w:tc>
        <w:tc>
          <w:tcPr>
            <w:tcW w:w="1940" w:type="dxa"/>
            <w:vAlign w:val="bottom"/>
          </w:tcPr>
          <w:p>
            <w:pPr>
              <w:jc w:val="center"/>
              <w:spacing w:after="0"/>
              <w:rPr>
                <w:sz w:val="20"/>
                <w:szCs w:val="20"/>
                <w:color w:val="auto"/>
              </w:rPr>
            </w:pPr>
            <w:r>
              <w:rPr>
                <w:rFonts w:ascii="Arial" w:cs="Arial" w:eastAsia="Arial" w:hAnsi="Arial"/>
                <w:sz w:val="14"/>
                <w:szCs w:val="14"/>
                <w:b w:val="1"/>
                <w:bCs w:val="1"/>
                <w:color w:val="auto"/>
              </w:rPr>
              <w:t>Operating Expenses</w:t>
            </w:r>
          </w:p>
        </w:tc>
      </w:tr>
      <w:tr>
        <w:trPr>
          <w:trHeight w:val="21"/>
        </w:trPr>
        <w:tc>
          <w:tcPr>
            <w:tcW w:w="40" w:type="dxa"/>
            <w:vAlign w:val="bottom"/>
            <w:tcBorders>
              <w:bottom w:val="single" w:sz="8" w:color="CCEEFF"/>
            </w:tcBorders>
          </w:tcPr>
          <w:p>
            <w:pPr>
              <w:spacing w:after="0" w:line="20" w:lineRule="exact"/>
              <w:rPr>
                <w:sz w:val="1"/>
                <w:szCs w:val="1"/>
                <w:color w:val="auto"/>
              </w:rPr>
            </w:pPr>
          </w:p>
        </w:tc>
        <w:tc>
          <w:tcPr>
            <w:tcW w:w="300" w:type="dxa"/>
            <w:vAlign w:val="bottom"/>
            <w:tcBorders>
              <w:top w:val="single" w:sz="8" w:color="auto"/>
              <w:bottom w:val="single" w:sz="8" w:color="CCEEFF"/>
            </w:tcBorders>
          </w:tcPr>
          <w:p>
            <w:pPr>
              <w:spacing w:after="0" w:line="20" w:lineRule="exact"/>
              <w:rPr>
                <w:sz w:val="1"/>
                <w:szCs w:val="1"/>
                <w:color w:val="auto"/>
              </w:rPr>
            </w:pPr>
          </w:p>
        </w:tc>
        <w:tc>
          <w:tcPr>
            <w:tcW w:w="4240" w:type="dxa"/>
            <w:vAlign w:val="bottom"/>
            <w:tcBorders>
              <w:bottom w:val="single" w:sz="8" w:color="CCEEFF"/>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6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6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940" w:type="dxa"/>
            <w:vAlign w:val="bottom"/>
            <w:tcBorders>
              <w:bottom w:val="single" w:sz="8" w:color="auto"/>
            </w:tcBorders>
          </w:tcPr>
          <w:p>
            <w:pPr>
              <w:spacing w:after="0" w:line="20" w:lineRule="exact"/>
              <w:rPr>
                <w:sz w:val="1"/>
                <w:szCs w:val="1"/>
                <w:color w:val="auto"/>
              </w:rPr>
            </w:pPr>
          </w:p>
        </w:tc>
      </w:tr>
      <w:tr>
        <w:trPr>
          <w:trHeight w:val="250"/>
        </w:trPr>
        <w:tc>
          <w:tcPr>
            <w:tcW w:w="4580" w:type="dxa"/>
            <w:vAlign w:val="bottom"/>
            <w:gridSpan w:val="3"/>
            <w:shd w:val="clear" w:color="auto" w:fill="CCEEFF"/>
          </w:tcPr>
          <w:p>
            <w:pPr>
              <w:ind w:left="40"/>
              <w:spacing w:after="0"/>
              <w:rPr>
                <w:sz w:val="20"/>
                <w:szCs w:val="20"/>
                <w:color w:val="auto"/>
              </w:rPr>
            </w:pPr>
            <w:r>
              <w:rPr>
                <w:rFonts w:ascii="Arial" w:cs="Arial" w:eastAsia="Arial" w:hAnsi="Arial"/>
                <w:sz w:val="18"/>
                <w:szCs w:val="18"/>
                <w:color w:val="auto"/>
              </w:rPr>
              <w:t>2019</w:t>
            </w:r>
          </w:p>
        </w:tc>
        <w:tc>
          <w:tcPr>
            <w:tcW w:w="1000" w:type="dxa"/>
            <w:vAlign w:val="bottom"/>
            <w:shd w:val="clear" w:color="auto" w:fill="CCEEFF"/>
          </w:tcPr>
          <w:p>
            <w:pPr>
              <w:jc w:val="center"/>
              <w:ind w:left="316"/>
              <w:spacing w:after="0"/>
              <w:rPr>
                <w:sz w:val="20"/>
                <w:szCs w:val="20"/>
                <w:color w:val="auto"/>
              </w:rPr>
            </w:pPr>
            <w:r>
              <w:rPr>
                <w:rFonts w:ascii="Arial" w:cs="Arial" w:eastAsia="Arial" w:hAnsi="Arial"/>
                <w:sz w:val="18"/>
                <w:szCs w:val="18"/>
                <w:color w:val="auto"/>
                <w:w w:val="97"/>
              </w:rPr>
              <w:t>4,537</w:t>
            </w:r>
          </w:p>
        </w:tc>
        <w:tc>
          <w:tcPr>
            <w:tcW w:w="2100" w:type="dxa"/>
            <w:vAlign w:val="bottom"/>
            <w:gridSpan w:val="3"/>
            <w:shd w:val="clear" w:color="auto" w:fill="CCEEFF"/>
          </w:tcPr>
          <w:p>
            <w:pPr>
              <w:jc w:val="right"/>
              <w:ind w:right="508"/>
              <w:spacing w:after="0"/>
              <w:rPr>
                <w:sz w:val="20"/>
                <w:szCs w:val="20"/>
                <w:color w:val="auto"/>
              </w:rPr>
            </w:pPr>
            <w:r>
              <w:rPr>
                <w:rFonts w:ascii="Arial" w:cs="Arial" w:eastAsia="Arial" w:hAnsi="Arial"/>
                <w:sz w:val="18"/>
                <w:szCs w:val="18"/>
                <w:color w:val="auto"/>
              </w:rPr>
              <w:t>$2.07</w:t>
            </w:r>
          </w:p>
        </w:tc>
        <w:tc>
          <w:tcPr>
            <w:tcW w:w="100" w:type="dxa"/>
            <w:vAlign w:val="bottom"/>
            <w:shd w:val="clear" w:color="auto" w:fill="CCEEFF"/>
          </w:tcPr>
          <w:p>
            <w:pPr>
              <w:spacing w:after="0"/>
              <w:rPr>
                <w:sz w:val="21"/>
                <w:szCs w:val="21"/>
                <w:color w:val="auto"/>
              </w:rPr>
            </w:pPr>
          </w:p>
        </w:tc>
        <w:tc>
          <w:tcPr>
            <w:tcW w:w="1600" w:type="dxa"/>
            <w:vAlign w:val="bottom"/>
            <w:shd w:val="clear" w:color="auto" w:fill="CCEEFF"/>
          </w:tcPr>
          <w:p>
            <w:pPr>
              <w:jc w:val="right"/>
              <w:ind w:right="439"/>
              <w:spacing w:after="0"/>
              <w:rPr>
                <w:sz w:val="20"/>
                <w:szCs w:val="20"/>
                <w:color w:val="auto"/>
              </w:rPr>
            </w:pPr>
            <w:r>
              <w:rPr>
                <w:rFonts w:ascii="Arial" w:cs="Arial" w:eastAsia="Arial" w:hAnsi="Arial"/>
                <w:sz w:val="18"/>
                <w:szCs w:val="18"/>
                <w:color w:val="auto"/>
              </w:rPr>
              <w:t>$9,395</w:t>
            </w:r>
          </w:p>
        </w:tc>
        <w:tc>
          <w:tcPr>
            <w:tcW w:w="100" w:type="dxa"/>
            <w:vAlign w:val="bottom"/>
            <w:shd w:val="clear" w:color="auto" w:fill="CCEEFF"/>
          </w:tcPr>
          <w:p>
            <w:pPr>
              <w:spacing w:after="0"/>
              <w:rPr>
                <w:sz w:val="21"/>
                <w:szCs w:val="21"/>
                <w:color w:val="auto"/>
              </w:rPr>
            </w:pPr>
          </w:p>
        </w:tc>
        <w:tc>
          <w:tcPr>
            <w:tcW w:w="194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7"/>
              </w:rPr>
              <w:t>22.0%</w:t>
            </w:r>
          </w:p>
        </w:tc>
      </w:tr>
      <w:tr>
        <w:trPr>
          <w:trHeight w:val="257"/>
        </w:trPr>
        <w:tc>
          <w:tcPr>
            <w:tcW w:w="4580" w:type="dxa"/>
            <w:vAlign w:val="bottom"/>
            <w:gridSpan w:val="3"/>
          </w:tcPr>
          <w:p>
            <w:pPr>
              <w:ind w:left="40"/>
              <w:spacing w:after="0"/>
              <w:rPr>
                <w:sz w:val="20"/>
                <w:szCs w:val="20"/>
                <w:color w:val="auto"/>
              </w:rPr>
            </w:pPr>
            <w:r>
              <w:rPr>
                <w:rFonts w:ascii="Arial" w:cs="Arial" w:eastAsia="Arial" w:hAnsi="Arial"/>
                <w:sz w:val="18"/>
                <w:szCs w:val="18"/>
                <w:color w:val="auto"/>
              </w:rPr>
              <w:t>2018</w:t>
            </w:r>
          </w:p>
        </w:tc>
        <w:tc>
          <w:tcPr>
            <w:tcW w:w="1000" w:type="dxa"/>
            <w:vAlign w:val="bottom"/>
          </w:tcPr>
          <w:p>
            <w:pPr>
              <w:jc w:val="center"/>
              <w:ind w:left="316"/>
              <w:spacing w:after="0"/>
              <w:rPr>
                <w:sz w:val="20"/>
                <w:szCs w:val="20"/>
                <w:color w:val="auto"/>
              </w:rPr>
            </w:pPr>
            <w:r>
              <w:rPr>
                <w:rFonts w:ascii="Arial" w:cs="Arial" w:eastAsia="Arial" w:hAnsi="Arial"/>
                <w:sz w:val="18"/>
                <w:szCs w:val="18"/>
                <w:color w:val="auto"/>
                <w:w w:val="97"/>
              </w:rPr>
              <w:t>4,447</w:t>
            </w:r>
          </w:p>
        </w:tc>
        <w:tc>
          <w:tcPr>
            <w:tcW w:w="2100" w:type="dxa"/>
            <w:vAlign w:val="bottom"/>
            <w:gridSpan w:val="3"/>
          </w:tcPr>
          <w:p>
            <w:pPr>
              <w:jc w:val="right"/>
              <w:ind w:right="508"/>
              <w:spacing w:after="0"/>
              <w:rPr>
                <w:sz w:val="20"/>
                <w:szCs w:val="20"/>
                <w:color w:val="auto"/>
              </w:rPr>
            </w:pPr>
            <w:r>
              <w:rPr>
                <w:rFonts w:ascii="Arial" w:cs="Arial" w:eastAsia="Arial" w:hAnsi="Arial"/>
                <w:sz w:val="18"/>
                <w:szCs w:val="18"/>
                <w:color w:val="auto"/>
              </w:rPr>
              <w:t>2.23</w:t>
            </w:r>
          </w:p>
        </w:tc>
        <w:tc>
          <w:tcPr>
            <w:tcW w:w="100" w:type="dxa"/>
            <w:vAlign w:val="bottom"/>
          </w:tcPr>
          <w:p>
            <w:pPr>
              <w:spacing w:after="0"/>
              <w:rPr>
                <w:sz w:val="22"/>
                <w:szCs w:val="22"/>
                <w:color w:val="auto"/>
              </w:rPr>
            </w:pPr>
          </w:p>
        </w:tc>
        <w:tc>
          <w:tcPr>
            <w:tcW w:w="1600" w:type="dxa"/>
            <w:vAlign w:val="bottom"/>
          </w:tcPr>
          <w:p>
            <w:pPr>
              <w:jc w:val="right"/>
              <w:ind w:right="439"/>
              <w:spacing w:after="0"/>
              <w:rPr>
                <w:sz w:val="20"/>
                <w:szCs w:val="20"/>
                <w:color w:val="auto"/>
              </w:rPr>
            </w:pPr>
            <w:r>
              <w:rPr>
                <w:rFonts w:ascii="Arial" w:cs="Arial" w:eastAsia="Arial" w:hAnsi="Arial"/>
                <w:sz w:val="18"/>
                <w:szCs w:val="18"/>
                <w:color w:val="auto"/>
              </w:rPr>
              <w:t>9,896</w:t>
            </w:r>
          </w:p>
        </w:tc>
        <w:tc>
          <w:tcPr>
            <w:tcW w:w="100" w:type="dxa"/>
            <w:vAlign w:val="bottom"/>
          </w:tcPr>
          <w:p>
            <w:pPr>
              <w:spacing w:after="0"/>
              <w:rPr>
                <w:sz w:val="22"/>
                <w:szCs w:val="22"/>
                <w:color w:val="auto"/>
              </w:rPr>
            </w:pPr>
          </w:p>
        </w:tc>
        <w:tc>
          <w:tcPr>
            <w:tcW w:w="1940" w:type="dxa"/>
            <w:vAlign w:val="bottom"/>
          </w:tcPr>
          <w:p>
            <w:pPr>
              <w:jc w:val="center"/>
              <w:spacing w:after="0"/>
              <w:rPr>
                <w:sz w:val="20"/>
                <w:szCs w:val="20"/>
                <w:color w:val="auto"/>
              </w:rPr>
            </w:pPr>
            <w:r>
              <w:rPr>
                <w:rFonts w:ascii="Arial" w:cs="Arial" w:eastAsia="Arial" w:hAnsi="Arial"/>
                <w:sz w:val="18"/>
                <w:szCs w:val="18"/>
                <w:color w:val="auto"/>
                <w:w w:val="97"/>
              </w:rPr>
              <w:t>23.6%</w:t>
            </w:r>
          </w:p>
        </w:tc>
      </w:tr>
      <w:tr>
        <w:trPr>
          <w:trHeight w:val="446"/>
        </w:trPr>
        <w:tc>
          <w:tcPr>
            <w:tcW w:w="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424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380" w:type="dxa"/>
            <w:vAlign w:val="bottom"/>
          </w:tcPr>
          <w:p>
            <w:pPr>
              <w:jc w:val="right"/>
              <w:ind w:right="50"/>
              <w:spacing w:after="0"/>
              <w:rPr>
                <w:sz w:val="20"/>
                <w:szCs w:val="20"/>
                <w:color w:val="auto"/>
              </w:rPr>
            </w:pPr>
            <w:r>
              <w:rPr>
                <w:rFonts w:ascii="Arial" w:cs="Arial" w:eastAsia="Arial" w:hAnsi="Arial"/>
                <w:sz w:val="18"/>
                <w:szCs w:val="18"/>
                <w:color w:val="auto"/>
              </w:rPr>
              <w:t>10</w:t>
            </w:r>
          </w:p>
        </w:tc>
        <w:tc>
          <w:tcPr>
            <w:tcW w:w="120" w:type="dxa"/>
            <w:vAlign w:val="bottom"/>
          </w:tcPr>
          <w:p>
            <w:pPr>
              <w:spacing w:after="0"/>
              <w:rPr>
                <w:sz w:val="24"/>
                <w:szCs w:val="24"/>
                <w:color w:val="auto"/>
              </w:rPr>
            </w:pPr>
          </w:p>
        </w:tc>
        <w:tc>
          <w:tcPr>
            <w:tcW w:w="16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940" w:type="dxa"/>
            <w:vAlign w:val="bottom"/>
          </w:tcPr>
          <w:p>
            <w:pPr>
              <w:spacing w:after="0"/>
              <w:rPr>
                <w:sz w:val="24"/>
                <w:szCs w:val="24"/>
                <w:color w:val="auto"/>
              </w:rPr>
            </w:pPr>
          </w:p>
        </w:tc>
      </w:tr>
    </w:tbl>
    <w:p>
      <w:pPr>
        <w:sectPr>
          <w:pgSz w:w="11900" w:h="16838" w:orient="portrait"/>
          <w:cols w:equalWidth="0" w:num="1">
            <w:col w:w="11420"/>
          </w:cols>
          <w:pgMar w:left="240" w:top="720" w:right="239" w:bottom="1440" w:gutter="0" w:footer="0" w:header="0"/>
        </w:sectPr>
      </w:pPr>
    </w:p>
    <w:bookmarkStart w:id="10" w:name="page11"/>
    <w:bookmarkEnd w:id="10"/>
    <w:p>
      <w:pPr>
        <w:jc w:val="both"/>
        <w:ind w:firstLine="216"/>
        <w:spacing w:after="0" w:line="254" w:lineRule="auto"/>
        <w:rPr>
          <w:sz w:val="20"/>
          <w:szCs w:val="20"/>
          <w:color w:val="auto"/>
        </w:rPr>
      </w:pPr>
      <w:r>
        <w:rPr>
          <w:rFonts w:ascii="Arial" w:cs="Arial" w:eastAsia="Arial" w:hAnsi="Arial"/>
          <w:sz w:val="18"/>
          <w:szCs w:val="18"/>
          <w:color w:val="auto"/>
        </w:rPr>
        <w:t>As of December 31, 2019, we did not have any fuel hedging contracts outstanding to hedge our fuel consumption. As such, and assuming we do not enter into any future transactions to hedge our fuel consumption, we will continue to be fully exposed to fluctuations in aircraft fuel prices. Our current policy is not to enter into transactions to hedge our fuel consumption, although we review that policy from time to time based on market conditions and other factors.</w:t>
      </w:r>
    </w:p>
    <w:p>
      <w:pPr>
        <w:spacing w:after="0" w:line="150" w:lineRule="exact"/>
        <w:rPr>
          <w:sz w:val="20"/>
          <w:szCs w:val="20"/>
          <w:color w:val="auto"/>
        </w:rPr>
      </w:pPr>
    </w:p>
    <w:p>
      <w:pPr>
        <w:jc w:val="both"/>
        <w:ind w:firstLine="216"/>
        <w:spacing w:after="0" w:line="251" w:lineRule="auto"/>
        <w:rPr>
          <w:sz w:val="20"/>
          <w:szCs w:val="20"/>
          <w:color w:val="auto"/>
        </w:rPr>
      </w:pPr>
      <w:r>
        <w:rPr>
          <w:rFonts w:ascii="Arial" w:cs="Arial" w:eastAsia="Arial" w:hAnsi="Arial"/>
          <w:sz w:val="18"/>
          <w:szCs w:val="18"/>
          <w:color w:val="auto"/>
        </w:rPr>
        <w:t>Aircraft fuel prices have in the past, and may in the future, experience substantial volatility. We cannot predict the future availability, price volatility or cost of aircraft fuel. Natural disasters (including hurricanes or similar events in the U.S. Southeast and on the Gulf Coast where a significant portion of domestic refining capacity is located), political disruptions or wars involving oil-producing countries, economic sanctions imposed against oil-producing countries or specific industry participants, changes in fuel-related governmental policy, the strength of the U.S. dollar against foreign currencies, changes in the cost to transport or store petroleum products, changes in access to petroleum product pipelines and terminals, speculation in the energy futures markets, changes in aircraft fuel production capacity or competing demand for fuel from other transport industries, such as maritime shipping, environmental concerns and other unpredictable events may result in fuel supply shortages, distribution challenges, additional fuel price volatility and cost increases in the future. See Part I, Item 1A. Risk Factors – “</w:t>
      </w:r>
      <w:r>
        <w:rPr>
          <w:rFonts w:ascii="Arial" w:cs="Arial" w:eastAsia="Arial" w:hAnsi="Arial"/>
          <w:sz w:val="18"/>
          <w:szCs w:val="18"/>
          <w:i w:val="1"/>
          <w:iCs w:val="1"/>
          <w:color w:val="auto"/>
        </w:rPr>
        <w:t>Our</w:t>
      </w:r>
      <w:r>
        <w:rPr>
          <w:rFonts w:ascii="Arial" w:cs="Arial" w:eastAsia="Arial" w:hAnsi="Arial"/>
          <w:sz w:val="18"/>
          <w:szCs w:val="18"/>
          <w:color w:val="auto"/>
        </w:rPr>
        <w:t xml:space="preserve"> </w:t>
      </w:r>
      <w:r>
        <w:rPr>
          <w:rFonts w:ascii="Arial" w:cs="Arial" w:eastAsia="Arial" w:hAnsi="Arial"/>
          <w:sz w:val="18"/>
          <w:szCs w:val="18"/>
          <w:i w:val="1"/>
          <w:iCs w:val="1"/>
          <w:color w:val="auto"/>
        </w:rPr>
        <w:t>business is very dependent on the price and availability of aircraft fuel. Continued periods of high volatility in fuel costs, increased fuel prices or significant disruptions in the supply of aircraft fuel could have a significant negative impact on our operating results and liquidity</w:t>
      </w:r>
      <w:r>
        <w:rPr>
          <w:rFonts w:ascii="Arial" w:cs="Arial" w:eastAsia="Arial" w:hAnsi="Arial"/>
          <w:sz w:val="18"/>
          <w:szCs w:val="18"/>
          <w:color w:val="auto"/>
        </w:rPr>
        <w:t>.”</w:t>
      </w:r>
    </w:p>
    <w:p>
      <w:pPr>
        <w:spacing w:after="0" w:line="21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Seasonality and Other Factors</w:t>
      </w:r>
    </w:p>
    <w:p>
      <w:pPr>
        <w:spacing w:after="0" w:line="112" w:lineRule="exact"/>
        <w:rPr>
          <w:sz w:val="20"/>
          <w:szCs w:val="20"/>
          <w:color w:val="auto"/>
        </w:rPr>
      </w:pPr>
    </w:p>
    <w:p>
      <w:pPr>
        <w:jc w:val="both"/>
        <w:ind w:firstLine="216"/>
        <w:spacing w:after="0" w:line="253" w:lineRule="auto"/>
        <w:rPr>
          <w:sz w:val="20"/>
          <w:szCs w:val="20"/>
          <w:color w:val="auto"/>
        </w:rPr>
      </w:pPr>
      <w:r>
        <w:rPr>
          <w:rFonts w:ascii="Arial" w:cs="Arial" w:eastAsia="Arial" w:hAnsi="Arial"/>
          <w:sz w:val="18"/>
          <w:szCs w:val="18"/>
          <w:color w:val="auto"/>
        </w:rPr>
        <w:t>Due to the greater demand for air travel during the summer months, revenues in the airline industry in the second and third quarters of the year tend to be greater than revenues in the first and fourth quarters of the year. General economic conditions, fears of terrorism or war, fare initiatives, fluctuations in fuel prices, labor actions, weather, natural disasters, outbreaks of disease and other factors could impact this seasonal pattern. Therefore, our quarterly results of operations are not necessarily indicative of operating results for the entire year, and historical operating results in a quarterly or annual period are not necessarily indicative of future operating results.</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Domestic and Global Regulatory Landscape</w:t>
      </w:r>
    </w:p>
    <w:p>
      <w:pPr>
        <w:spacing w:after="0" w:line="90" w:lineRule="exact"/>
        <w:rPr>
          <w:sz w:val="20"/>
          <w:szCs w:val="20"/>
          <w:color w:val="auto"/>
        </w:rPr>
      </w:pPr>
    </w:p>
    <w:p>
      <w:pPr>
        <w:ind w:left="220"/>
        <w:spacing w:after="0"/>
        <w:rPr>
          <w:sz w:val="20"/>
          <w:szCs w:val="20"/>
          <w:color w:val="auto"/>
        </w:rPr>
      </w:pPr>
      <w:r>
        <w:rPr>
          <w:rFonts w:ascii="Arial" w:cs="Arial" w:eastAsia="Arial" w:hAnsi="Arial"/>
          <w:sz w:val="18"/>
          <w:szCs w:val="18"/>
          <w:b w:val="1"/>
          <w:bCs w:val="1"/>
          <w:i w:val="1"/>
          <w:iCs w:val="1"/>
          <w:color w:val="auto"/>
        </w:rPr>
        <w:t>General</w:t>
      </w:r>
    </w:p>
    <w:p>
      <w:pPr>
        <w:spacing w:after="0" w:line="112" w:lineRule="exact"/>
        <w:rPr>
          <w:sz w:val="20"/>
          <w:szCs w:val="20"/>
          <w:color w:val="auto"/>
        </w:rPr>
      </w:pPr>
    </w:p>
    <w:p>
      <w:pPr>
        <w:jc w:val="both"/>
        <w:ind w:firstLine="216"/>
        <w:spacing w:after="0" w:line="262" w:lineRule="auto"/>
        <w:rPr>
          <w:sz w:val="20"/>
          <w:szCs w:val="20"/>
          <w:color w:val="auto"/>
        </w:rPr>
      </w:pPr>
      <w:r>
        <w:rPr>
          <w:rFonts w:ascii="Arial" w:cs="Arial" w:eastAsia="Arial" w:hAnsi="Arial"/>
          <w:sz w:val="18"/>
          <w:szCs w:val="18"/>
          <w:color w:val="auto"/>
        </w:rPr>
        <w:t>Airlines are subject to extensive domestic and international regulatory requirements. Domestically, the DOT and the Federal Aviation Administration (FAA) exercise significant regulatory authority over air carriers.</w:t>
      </w:r>
    </w:p>
    <w:p>
      <w:pPr>
        <w:spacing w:after="0" w:line="142" w:lineRule="exact"/>
        <w:rPr>
          <w:sz w:val="20"/>
          <w:szCs w:val="20"/>
          <w:color w:val="auto"/>
        </w:rPr>
      </w:pPr>
    </w:p>
    <w:p>
      <w:pPr>
        <w:jc w:val="both"/>
        <w:ind w:firstLine="216"/>
        <w:spacing w:after="0" w:line="256" w:lineRule="auto"/>
        <w:rPr>
          <w:sz w:val="20"/>
          <w:szCs w:val="20"/>
          <w:color w:val="auto"/>
        </w:rPr>
      </w:pPr>
      <w:r>
        <w:rPr>
          <w:rFonts w:ascii="Arial" w:cs="Arial" w:eastAsia="Arial" w:hAnsi="Arial"/>
          <w:sz w:val="18"/>
          <w:szCs w:val="18"/>
          <w:color w:val="auto"/>
        </w:rPr>
        <w:t>The DOT, among other things, oversees and regulates domestic and international codeshare agreements, international route authorities, competition and consumer protection matters such as advertising, denied boarding compensation and baggage liability. The Antitrust Division of the Department of Justice (DOJ), along with the DOT in certain instances, have jurisdiction over airline antitrust matters.</w:t>
      </w:r>
    </w:p>
    <w:p>
      <w:pPr>
        <w:spacing w:after="0" w:line="148" w:lineRule="exact"/>
        <w:rPr>
          <w:sz w:val="20"/>
          <w:szCs w:val="20"/>
          <w:color w:val="auto"/>
        </w:rPr>
      </w:pPr>
    </w:p>
    <w:p>
      <w:pPr>
        <w:jc w:val="both"/>
        <w:ind w:firstLine="216"/>
        <w:spacing w:after="0" w:line="253" w:lineRule="auto"/>
        <w:rPr>
          <w:sz w:val="20"/>
          <w:szCs w:val="20"/>
          <w:color w:val="auto"/>
        </w:rPr>
      </w:pPr>
      <w:r>
        <w:rPr>
          <w:rFonts w:ascii="Arial" w:cs="Arial" w:eastAsia="Arial" w:hAnsi="Arial"/>
          <w:sz w:val="18"/>
          <w:szCs w:val="18"/>
          <w:color w:val="auto"/>
        </w:rPr>
        <w:t>The FAA similarly exercises safety oversight and regulates most operational matters of our business, including how we operate and maintain our aircraft. FAA requirements cover, among other things, required technology and necessary onboard equipment; systems, procedures and training necessary to ensure the continuous airworthiness of our fleet of aircraft; safety measures and equipment; crew scheduling limitations and experience requirements; and many other technical aspects of airline operations. Additionally, our pilots and other employees are subject to rigorous certification standards, and our pilots and other crew members must adhere to flight time and rest requirements.</w:t>
      </w:r>
    </w:p>
    <w:p>
      <w:pPr>
        <w:spacing w:after="0" w:line="152" w:lineRule="exact"/>
        <w:rPr>
          <w:sz w:val="20"/>
          <w:szCs w:val="20"/>
          <w:color w:val="auto"/>
        </w:rPr>
      </w:pPr>
    </w:p>
    <w:p>
      <w:pPr>
        <w:jc w:val="both"/>
        <w:ind w:firstLine="216"/>
        <w:spacing w:after="0" w:line="262" w:lineRule="auto"/>
        <w:rPr>
          <w:sz w:val="20"/>
          <w:szCs w:val="20"/>
          <w:color w:val="auto"/>
        </w:rPr>
      </w:pPr>
      <w:r>
        <w:rPr>
          <w:rFonts w:ascii="Arial" w:cs="Arial" w:eastAsia="Arial" w:hAnsi="Arial"/>
          <w:sz w:val="18"/>
          <w:szCs w:val="18"/>
          <w:color w:val="auto"/>
        </w:rPr>
        <w:t>The FAA also controls the national airspace system, including operational rules and fees for air traffic control (ATC) services. The efficiency, reliability and capacity of the ATC network has a significant impact on our costs and on the timeliness of our operations.</w:t>
      </w:r>
    </w:p>
    <w:p>
      <w:pPr>
        <w:spacing w:after="0" w:line="142" w:lineRule="exact"/>
        <w:rPr>
          <w:sz w:val="20"/>
          <w:szCs w:val="20"/>
          <w:color w:val="auto"/>
        </w:rPr>
      </w:pPr>
    </w:p>
    <w:p>
      <w:pPr>
        <w:ind w:left="220"/>
        <w:spacing w:after="0"/>
        <w:rPr>
          <w:sz w:val="20"/>
          <w:szCs w:val="20"/>
          <w:color w:val="auto"/>
        </w:rPr>
      </w:pPr>
      <w:r>
        <w:rPr>
          <w:rFonts w:ascii="Arial" w:cs="Arial" w:eastAsia="Arial" w:hAnsi="Arial"/>
          <w:sz w:val="18"/>
          <w:szCs w:val="18"/>
          <w:color w:val="auto"/>
        </w:rPr>
        <w:t>The U.S. Postal Service has jurisdiction over certain aspects of the transportation of mail and related services.</w:t>
      </w:r>
    </w:p>
    <w:p>
      <w:pPr>
        <w:spacing w:after="0" w:line="230" w:lineRule="exact"/>
        <w:rPr>
          <w:sz w:val="20"/>
          <w:szCs w:val="20"/>
          <w:color w:val="auto"/>
        </w:rPr>
      </w:pPr>
    </w:p>
    <w:p>
      <w:pPr>
        <w:ind w:left="220"/>
        <w:spacing w:after="0"/>
        <w:rPr>
          <w:sz w:val="20"/>
          <w:szCs w:val="20"/>
          <w:color w:val="auto"/>
        </w:rPr>
      </w:pPr>
      <w:r>
        <w:rPr>
          <w:rFonts w:ascii="Arial" w:cs="Arial" w:eastAsia="Arial" w:hAnsi="Arial"/>
          <w:sz w:val="18"/>
          <w:szCs w:val="18"/>
          <w:b w:val="1"/>
          <w:bCs w:val="1"/>
          <w:i w:val="1"/>
          <w:iCs w:val="1"/>
          <w:color w:val="auto"/>
        </w:rPr>
        <w:t>Airport Access and Operations</w:t>
      </w:r>
    </w:p>
    <w:p>
      <w:pPr>
        <w:spacing w:after="0" w:line="112" w:lineRule="exact"/>
        <w:rPr>
          <w:sz w:val="20"/>
          <w:szCs w:val="20"/>
          <w:color w:val="auto"/>
        </w:rPr>
      </w:pPr>
    </w:p>
    <w:p>
      <w:pPr>
        <w:jc w:val="both"/>
        <w:ind w:firstLine="216"/>
        <w:spacing w:after="0" w:line="252" w:lineRule="auto"/>
        <w:rPr>
          <w:sz w:val="20"/>
          <w:szCs w:val="20"/>
          <w:color w:val="auto"/>
        </w:rPr>
      </w:pPr>
      <w:r>
        <w:rPr>
          <w:rFonts w:ascii="Arial" w:cs="Arial" w:eastAsia="Arial" w:hAnsi="Arial"/>
          <w:sz w:val="18"/>
          <w:szCs w:val="18"/>
          <w:color w:val="auto"/>
        </w:rPr>
        <w:t>Domestically, any U.S. airline authorized by the DOT is generally free to operate scheduled passenger service between any two points within the U.S. and its territories, with the exception of certain airports that require landing and take-off rights and authorizations (slots) and other facilities, and certain airports that impose geographic limitations on operations or curtail operations based on the time of day. Operations at three major domestic airports we serve (John F. Kennedy International Airport (JFK) and La Guardia Airport (LGA) in New York City, and Ronald Reagan Washington National Airport (DCA) in Washington, D.C.) and many foreign airports we serve (including LHR) are regulated by governmental entities through allocations of slots or similar regulatory mechanisms that limit the rights of carriers to conduct operations at those airports.</w:t>
      </w:r>
    </w:p>
    <w:p>
      <w:pPr>
        <w:spacing w:after="0" w:line="20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w:t>
      </w:r>
    </w:p>
    <w:p>
      <w:pPr>
        <w:sectPr>
          <w:pgSz w:w="11900" w:h="16838" w:orient="portrait"/>
          <w:cols w:equalWidth="0" w:num="1">
            <w:col w:w="11420"/>
          </w:cols>
          <w:pgMar w:left="240" w:top="733" w:right="239" w:bottom="1440" w:gutter="0" w:footer="0" w:header="0"/>
        </w:sectPr>
      </w:pPr>
    </w:p>
    <w:bookmarkStart w:id="11" w:name="page12"/>
    <w:bookmarkEnd w:id="11"/>
    <w:p>
      <w:pPr>
        <w:jc w:val="both"/>
        <w:spacing w:after="0" w:line="256" w:lineRule="auto"/>
        <w:rPr>
          <w:sz w:val="20"/>
          <w:szCs w:val="20"/>
          <w:color w:val="auto"/>
        </w:rPr>
      </w:pPr>
      <w:r>
        <w:rPr>
          <w:rFonts w:ascii="Arial" w:cs="Arial" w:eastAsia="Arial" w:hAnsi="Arial"/>
          <w:sz w:val="18"/>
          <w:szCs w:val="18"/>
          <w:color w:val="auto"/>
        </w:rPr>
        <w:t>Each slot represents the authorization to land at or take off from the particular airport during a specified time period. In addition to slot restrictions, operations at LGA and DCA are also limited based on a so-called “perimeter rule” which generally limits the stage length of the flights that can be operated from those airports to 1,500 and 1,250 miles, respectively.</w:t>
      </w:r>
    </w:p>
    <w:p>
      <w:pPr>
        <w:spacing w:after="0" w:line="148" w:lineRule="exact"/>
        <w:rPr>
          <w:sz w:val="20"/>
          <w:szCs w:val="20"/>
          <w:color w:val="auto"/>
        </w:rPr>
      </w:pPr>
    </w:p>
    <w:p>
      <w:pPr>
        <w:jc w:val="both"/>
        <w:ind w:firstLine="216"/>
        <w:spacing w:after="0" w:line="256" w:lineRule="auto"/>
        <w:rPr>
          <w:sz w:val="20"/>
          <w:szCs w:val="20"/>
          <w:color w:val="auto"/>
        </w:rPr>
      </w:pPr>
      <w:r>
        <w:rPr>
          <w:rFonts w:ascii="Arial" w:cs="Arial" w:eastAsia="Arial" w:hAnsi="Arial"/>
          <w:sz w:val="18"/>
          <w:szCs w:val="18"/>
          <w:color w:val="auto"/>
        </w:rPr>
        <w:t>Our ability to provide service can also be impaired at airports, such as ORD and LAX where the airport gate and other facilities are currently inadequate to accommodate all of the service that we would like to provide, or airports such as Dallas Love Field Airport where we have no access to gates at all.</w:t>
      </w:r>
    </w:p>
    <w:p>
      <w:pPr>
        <w:spacing w:after="0" w:line="148" w:lineRule="exact"/>
        <w:rPr>
          <w:sz w:val="20"/>
          <w:szCs w:val="20"/>
          <w:color w:val="auto"/>
        </w:rPr>
      </w:pPr>
    </w:p>
    <w:p>
      <w:pPr>
        <w:jc w:val="both"/>
        <w:ind w:firstLine="216"/>
        <w:spacing w:after="0" w:line="256" w:lineRule="auto"/>
        <w:rPr>
          <w:sz w:val="20"/>
          <w:szCs w:val="20"/>
          <w:color w:val="auto"/>
        </w:rPr>
      </w:pPr>
      <w:r>
        <w:rPr>
          <w:rFonts w:ascii="Arial" w:cs="Arial" w:eastAsia="Arial" w:hAnsi="Arial"/>
          <w:sz w:val="18"/>
          <w:szCs w:val="18"/>
          <w:color w:val="auto"/>
        </w:rPr>
        <w:t>Existing law also permits domestic local airport authorities to implement procedures and impose restrictions designed to abate noise, provided such procedures and restrictions do not unreasonably interfere with interstate or foreign commerce or the national transportation system. In some instances, these restrictions have caused curtailments in service or increases in operating costs.</w:t>
      </w:r>
    </w:p>
    <w:p>
      <w:pPr>
        <w:spacing w:after="0" w:line="207" w:lineRule="exact"/>
        <w:rPr>
          <w:sz w:val="20"/>
          <w:szCs w:val="20"/>
          <w:color w:val="auto"/>
        </w:rPr>
      </w:pPr>
    </w:p>
    <w:p>
      <w:pPr>
        <w:ind w:left="220"/>
        <w:spacing w:after="0"/>
        <w:rPr>
          <w:sz w:val="20"/>
          <w:szCs w:val="20"/>
          <w:color w:val="auto"/>
        </w:rPr>
      </w:pPr>
      <w:r>
        <w:rPr>
          <w:rFonts w:ascii="Arial" w:cs="Arial" w:eastAsia="Arial" w:hAnsi="Arial"/>
          <w:sz w:val="18"/>
          <w:szCs w:val="18"/>
          <w:b w:val="1"/>
          <w:bCs w:val="1"/>
          <w:i w:val="1"/>
          <w:iCs w:val="1"/>
          <w:color w:val="auto"/>
        </w:rPr>
        <w:t>Airline Fares, Taxes and User Fees</w:t>
      </w:r>
    </w:p>
    <w:p>
      <w:pPr>
        <w:spacing w:after="0" w:line="112" w:lineRule="exact"/>
        <w:rPr>
          <w:sz w:val="20"/>
          <w:szCs w:val="20"/>
          <w:color w:val="auto"/>
        </w:rPr>
      </w:pPr>
    </w:p>
    <w:p>
      <w:pPr>
        <w:jc w:val="both"/>
        <w:ind w:firstLine="216"/>
        <w:spacing w:after="0" w:line="256" w:lineRule="auto"/>
        <w:rPr>
          <w:sz w:val="20"/>
          <w:szCs w:val="20"/>
          <w:color w:val="auto"/>
        </w:rPr>
      </w:pPr>
      <w:r>
        <w:rPr>
          <w:rFonts w:ascii="Arial" w:cs="Arial" w:eastAsia="Arial" w:hAnsi="Arial"/>
          <w:sz w:val="18"/>
          <w:szCs w:val="18"/>
          <w:color w:val="auto"/>
        </w:rPr>
        <w:t>Airlines are permitted to establish their own domestic fares without governmental regulation. The DOT maintains authority over certain international fares, rates and charges, but only applies this authority on a limited basis. In addition, international fares and rates are sometimes subject to the jurisdiction of the governments of the foreign countries which we serve.</w:t>
      </w:r>
    </w:p>
    <w:p>
      <w:pPr>
        <w:spacing w:after="0" w:line="148" w:lineRule="exact"/>
        <w:rPr>
          <w:sz w:val="20"/>
          <w:szCs w:val="20"/>
          <w:color w:val="auto"/>
        </w:rPr>
      </w:pPr>
    </w:p>
    <w:p>
      <w:pPr>
        <w:jc w:val="both"/>
        <w:ind w:firstLine="216"/>
        <w:spacing w:after="0" w:line="254" w:lineRule="auto"/>
        <w:rPr>
          <w:sz w:val="20"/>
          <w:szCs w:val="20"/>
          <w:color w:val="auto"/>
        </w:rPr>
      </w:pPr>
      <w:r>
        <w:rPr>
          <w:rFonts w:ascii="Arial" w:cs="Arial" w:eastAsia="Arial" w:hAnsi="Arial"/>
          <w:sz w:val="18"/>
          <w:szCs w:val="18"/>
          <w:color w:val="auto"/>
        </w:rPr>
        <w:t>Airlines are obligated to collect a federal excise tax, commonly referred to as the “ticket tax,” on domestic and international air transportation, and to collect other taxes and charge other fees, such as foreign taxes, security fees and passenger facility charges. Although these taxes and fees are not our operating expenses, they represent an additional cost to our customers. These taxes and fees are subject to increase from time to time.</w:t>
      </w:r>
    </w:p>
    <w:p>
      <w:pPr>
        <w:spacing w:after="0" w:line="209" w:lineRule="exact"/>
        <w:rPr>
          <w:sz w:val="20"/>
          <w:szCs w:val="20"/>
          <w:color w:val="auto"/>
        </w:rPr>
      </w:pPr>
    </w:p>
    <w:p>
      <w:pPr>
        <w:ind w:left="220"/>
        <w:spacing w:after="0"/>
        <w:rPr>
          <w:sz w:val="20"/>
          <w:szCs w:val="20"/>
          <w:color w:val="auto"/>
        </w:rPr>
      </w:pPr>
      <w:r>
        <w:rPr>
          <w:rFonts w:ascii="Arial" w:cs="Arial" w:eastAsia="Arial" w:hAnsi="Arial"/>
          <w:sz w:val="18"/>
          <w:szCs w:val="18"/>
          <w:b w:val="1"/>
          <w:bCs w:val="1"/>
          <w:i w:val="1"/>
          <w:iCs w:val="1"/>
          <w:color w:val="auto"/>
        </w:rPr>
        <w:t>DOT Passenger Protection Rules</w:t>
      </w:r>
    </w:p>
    <w:p>
      <w:pPr>
        <w:spacing w:after="0" w:line="112" w:lineRule="exact"/>
        <w:rPr>
          <w:sz w:val="20"/>
          <w:szCs w:val="20"/>
          <w:color w:val="auto"/>
        </w:rPr>
      </w:pPr>
    </w:p>
    <w:p>
      <w:pPr>
        <w:jc w:val="both"/>
        <w:ind w:firstLine="216"/>
        <w:spacing w:after="0" w:line="254" w:lineRule="auto"/>
        <w:rPr>
          <w:sz w:val="20"/>
          <w:szCs w:val="20"/>
          <w:color w:val="auto"/>
        </w:rPr>
      </w:pPr>
      <w:r>
        <w:rPr>
          <w:rFonts w:ascii="Arial" w:cs="Arial" w:eastAsia="Arial" w:hAnsi="Arial"/>
          <w:sz w:val="18"/>
          <w:szCs w:val="18"/>
          <w:color w:val="auto"/>
        </w:rPr>
        <w:t>The DOT regulates airline interactions with passengers through the ticketing process, at the airport and on board the aircraft. Among other things, these regulations govern how our fares are displayed online, required customer disclosures, access by disabled passengers, handling of long onboard flight delays and reporting of mishandled bags. In 2020, the DOT is expected to implement a number of new regulations that will impact us, including disability rules for accessible lavatories and refunds for checked bag fees in the event of certain delays in delivery.</w:t>
      </w:r>
    </w:p>
    <w:p>
      <w:pPr>
        <w:spacing w:after="0" w:line="209" w:lineRule="exact"/>
        <w:rPr>
          <w:sz w:val="20"/>
          <w:szCs w:val="20"/>
          <w:color w:val="auto"/>
        </w:rPr>
      </w:pPr>
    </w:p>
    <w:p>
      <w:pPr>
        <w:ind w:left="220"/>
        <w:spacing w:after="0"/>
        <w:rPr>
          <w:sz w:val="20"/>
          <w:szCs w:val="20"/>
          <w:color w:val="auto"/>
        </w:rPr>
      </w:pPr>
      <w:r>
        <w:rPr>
          <w:rFonts w:ascii="Arial" w:cs="Arial" w:eastAsia="Arial" w:hAnsi="Arial"/>
          <w:sz w:val="18"/>
          <w:szCs w:val="18"/>
          <w:b w:val="1"/>
          <w:bCs w:val="1"/>
          <w:i w:val="1"/>
          <w:iCs w:val="1"/>
          <w:color w:val="auto"/>
        </w:rPr>
        <w:t>International</w:t>
      </w:r>
    </w:p>
    <w:p>
      <w:pPr>
        <w:spacing w:after="0" w:line="112" w:lineRule="exact"/>
        <w:rPr>
          <w:sz w:val="20"/>
          <w:szCs w:val="20"/>
          <w:color w:val="auto"/>
        </w:rPr>
      </w:pPr>
    </w:p>
    <w:p>
      <w:pPr>
        <w:jc w:val="both"/>
        <w:ind w:firstLine="216"/>
        <w:spacing w:after="0" w:line="253" w:lineRule="auto"/>
        <w:rPr>
          <w:sz w:val="20"/>
          <w:szCs w:val="20"/>
          <w:color w:val="auto"/>
        </w:rPr>
      </w:pPr>
      <w:r>
        <w:rPr>
          <w:rFonts w:ascii="Arial" w:cs="Arial" w:eastAsia="Arial" w:hAnsi="Arial"/>
          <w:sz w:val="18"/>
          <w:szCs w:val="18"/>
          <w:color w:val="auto"/>
        </w:rPr>
        <w:t>International air transportation is subject to extensive government regulation, including aviation agreements between the U.S. and other countries or governmental authorities, such as the EU. Moreover, our alliances with international carriers may be subject to the jurisdiction and regulations of various foreign agencies. The U.S. government has negotiated “open skies” agreements with many countries, which allow unrestricted route authority access between the U.S. and the foreign markets. While the U.S. has worked to increase the number of countries with which open skies agreements are in effect, a number of markets important to us, including China, do not have open skies agreements.</w:t>
      </w:r>
    </w:p>
    <w:p>
      <w:pPr>
        <w:spacing w:after="0" w:line="152" w:lineRule="exact"/>
        <w:rPr>
          <w:sz w:val="20"/>
          <w:szCs w:val="20"/>
          <w:color w:val="auto"/>
        </w:rPr>
      </w:pPr>
    </w:p>
    <w:p>
      <w:pPr>
        <w:jc w:val="both"/>
        <w:ind w:firstLine="216"/>
        <w:spacing w:after="0" w:line="256" w:lineRule="auto"/>
        <w:rPr>
          <w:sz w:val="20"/>
          <w:szCs w:val="20"/>
          <w:color w:val="auto"/>
        </w:rPr>
      </w:pPr>
      <w:r>
        <w:rPr>
          <w:rFonts w:ascii="Arial" w:cs="Arial" w:eastAsia="Arial" w:hAnsi="Arial"/>
          <w:sz w:val="18"/>
          <w:szCs w:val="18"/>
          <w:color w:val="auto"/>
        </w:rPr>
        <w:t>In addition, foreign countries impose passenger protection rules, which are analogous to, and often meet or exceed the requirements of, the DOT passenger protection rules discussed above. In cases where these foreign requirements exceed the DOT rules, we may bear additional burdens and liabilities. Further, various foreign airport authorities impose noise restrictions at their local airports.</w:t>
      </w:r>
    </w:p>
    <w:p>
      <w:pPr>
        <w:spacing w:after="0" w:line="207" w:lineRule="exact"/>
        <w:rPr>
          <w:sz w:val="20"/>
          <w:szCs w:val="20"/>
          <w:color w:val="auto"/>
        </w:rPr>
      </w:pPr>
    </w:p>
    <w:p>
      <w:pPr>
        <w:ind w:left="220"/>
        <w:spacing w:after="0"/>
        <w:rPr>
          <w:sz w:val="20"/>
          <w:szCs w:val="20"/>
          <w:color w:val="auto"/>
        </w:rPr>
      </w:pPr>
      <w:r>
        <w:rPr>
          <w:rFonts w:ascii="Arial" w:cs="Arial" w:eastAsia="Arial" w:hAnsi="Arial"/>
          <w:sz w:val="18"/>
          <w:szCs w:val="18"/>
          <w:b w:val="1"/>
          <w:bCs w:val="1"/>
          <w:i w:val="1"/>
          <w:iCs w:val="1"/>
          <w:color w:val="auto"/>
        </w:rPr>
        <w:t>Security</w:t>
      </w:r>
    </w:p>
    <w:p>
      <w:pPr>
        <w:spacing w:after="0" w:line="112" w:lineRule="exact"/>
        <w:rPr>
          <w:sz w:val="20"/>
          <w:szCs w:val="20"/>
          <w:color w:val="auto"/>
        </w:rPr>
      </w:pPr>
    </w:p>
    <w:p>
      <w:pPr>
        <w:jc w:val="both"/>
        <w:ind w:firstLine="216"/>
        <w:spacing w:after="0" w:line="251" w:lineRule="auto"/>
        <w:rPr>
          <w:sz w:val="20"/>
          <w:szCs w:val="20"/>
          <w:color w:val="auto"/>
        </w:rPr>
      </w:pPr>
      <w:r>
        <w:rPr>
          <w:rFonts w:ascii="Arial" w:cs="Arial" w:eastAsia="Arial" w:hAnsi="Arial"/>
          <w:sz w:val="18"/>
          <w:szCs w:val="18"/>
          <w:color w:val="auto"/>
        </w:rPr>
        <w:t>Since shortly after the events of September 11, 2001, substantially all aspects of civil aviation security in the U.S. or affecting U.S. carriers have been controlled or regulated by the federal government through the Transportation Security Administration (TSA). Requirements include flight deck security; carriage of federal air marshals at no charge; enhanced security screening of passengers, baggage, cargo, mail, employees and vendors; fingerprint-based background checks of all employees and vendor employees with access to secure areas of airports; and the provision of certain passenger data to the federal government and other international border security authorities, for security and immigration controls. Funding for the TSA is provided by a combination of air carrier fees, passenger fees and taxpayer funds. Customs and Border Protection, which, like the TSA, is part of the Department of Homeland Security (DHS), also promulgates requirements, performs services and collects fees that impact our provision of services. Additionally, we have at times found it necessary or desirable to make significant expenditures to comply with security-related requirements while seeking to reduce their impact on our customers, such as expenditures for automated security screening lines at airports. Our international service further requires us to comply with the civil aviation security regimes imposed at the foreign airports we serve.</w:t>
      </w:r>
    </w:p>
    <w:p>
      <w:pPr>
        <w:spacing w:after="0" w:line="21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12</w:t>
      </w:r>
    </w:p>
    <w:p>
      <w:pPr>
        <w:sectPr>
          <w:pgSz w:w="11900" w:h="16838" w:orient="portrait"/>
          <w:cols w:equalWidth="0" w:num="1">
            <w:col w:w="11420"/>
          </w:cols>
          <w:pgMar w:left="240" w:top="652" w:right="239" w:bottom="1440" w:gutter="0" w:footer="0" w:header="0"/>
        </w:sectPr>
      </w:pPr>
    </w:p>
    <w:bookmarkStart w:id="12" w:name="page13"/>
    <w:bookmarkEnd w:id="12"/>
    <w:p>
      <w:pPr>
        <w:ind w:left="220"/>
        <w:spacing w:after="0"/>
        <w:rPr>
          <w:sz w:val="20"/>
          <w:szCs w:val="20"/>
          <w:color w:val="auto"/>
        </w:rPr>
      </w:pPr>
      <w:r>
        <w:rPr>
          <w:rFonts w:ascii="Arial" w:cs="Arial" w:eastAsia="Arial" w:hAnsi="Arial"/>
          <w:sz w:val="18"/>
          <w:szCs w:val="18"/>
          <w:b w:val="1"/>
          <w:bCs w:val="1"/>
          <w:i w:val="1"/>
          <w:iCs w:val="1"/>
          <w:color w:val="auto"/>
        </w:rPr>
        <w:t>Environmental Matters</w:t>
      </w:r>
    </w:p>
    <w:p>
      <w:pPr>
        <w:spacing w:after="0" w:line="94" w:lineRule="exact"/>
        <w:rPr>
          <w:sz w:val="20"/>
          <w:szCs w:val="20"/>
          <w:color w:val="auto"/>
        </w:rPr>
      </w:pPr>
    </w:p>
    <w:p>
      <w:pPr>
        <w:ind w:left="220"/>
        <w:spacing w:after="0"/>
        <w:rPr>
          <w:sz w:val="20"/>
          <w:szCs w:val="20"/>
          <w:color w:val="auto"/>
        </w:rPr>
      </w:pPr>
      <w:r>
        <w:rPr>
          <w:rFonts w:ascii="Arial" w:cs="Arial" w:eastAsia="Arial" w:hAnsi="Arial"/>
          <w:sz w:val="18"/>
          <w:szCs w:val="18"/>
          <w:i w:val="1"/>
          <w:iCs w:val="1"/>
          <w:u w:val="single" w:color="auto"/>
          <w:color w:val="auto"/>
        </w:rPr>
        <w:t>Environmental Regulation</w:t>
      </w:r>
    </w:p>
    <w:p>
      <w:pPr>
        <w:spacing w:after="0" w:line="108" w:lineRule="exact"/>
        <w:rPr>
          <w:sz w:val="20"/>
          <w:szCs w:val="20"/>
          <w:color w:val="auto"/>
        </w:rPr>
      </w:pPr>
    </w:p>
    <w:p>
      <w:pPr>
        <w:jc w:val="both"/>
        <w:ind w:firstLine="216"/>
        <w:spacing w:after="0" w:line="252" w:lineRule="auto"/>
        <w:rPr>
          <w:sz w:val="20"/>
          <w:szCs w:val="20"/>
          <w:color w:val="auto"/>
        </w:rPr>
      </w:pPr>
      <w:r>
        <w:rPr>
          <w:rFonts w:ascii="Arial" w:cs="Arial" w:eastAsia="Arial" w:hAnsi="Arial"/>
          <w:sz w:val="18"/>
          <w:szCs w:val="18"/>
          <w:color w:val="auto"/>
        </w:rPr>
        <w:t>The airline industry is subject to various laws and government regulations concerning environmental matters in the U.S. and other countries. U.S. federal laws that have a particular impact on our operations include the Airport Noise and Capacity Act of 1990, the Clean Air Act, the Resource Conservation and Recovery Act, the Clean Water Act, the Safe Drinking Water Act and the Comprehensive Environmental Response, Compensation and Liability Act (Superfund Act). The U.S. Environmental Protection Agency (EPA) and other federal agencies have been authorized to promulgate regulations that have an impact on our operations. In addition to these federal activities, various states have been delegated certain authorities under the aforementioned federal statutes. Many state and local governments have adopted environmental laws and regulations which are similar to or stricter than federal requirements.</w:t>
      </w:r>
    </w:p>
    <w:p>
      <w:pPr>
        <w:spacing w:after="0" w:line="153" w:lineRule="exact"/>
        <w:rPr>
          <w:sz w:val="20"/>
          <w:szCs w:val="20"/>
          <w:color w:val="auto"/>
        </w:rPr>
      </w:pPr>
    </w:p>
    <w:p>
      <w:pPr>
        <w:jc w:val="both"/>
        <w:ind w:firstLine="216"/>
        <w:spacing w:after="0" w:line="254" w:lineRule="auto"/>
        <w:rPr>
          <w:sz w:val="20"/>
          <w:szCs w:val="20"/>
          <w:color w:val="auto"/>
        </w:rPr>
      </w:pPr>
      <w:r>
        <w:rPr>
          <w:rFonts w:ascii="Arial" w:cs="Arial" w:eastAsia="Arial" w:hAnsi="Arial"/>
          <w:sz w:val="18"/>
          <w:szCs w:val="18"/>
          <w:color w:val="auto"/>
        </w:rPr>
        <w:t>Revised underground storage tank regulations issued by the EPA in 2015 have affected certain airport fuel hydrant systems, with modifications of such systems needed in order to comply with applicable portions of the revised regulations. In addition, related to the EPA and state regulations pertaining to storm water management, several U.S. airport authorities are actively engaged in efforts to limit discharges of deicing fluid into the environment, often by requiring airlines to participate in the building or reconfiguring of airport deicing facilities.</w:t>
      </w:r>
    </w:p>
    <w:p>
      <w:pPr>
        <w:spacing w:after="0" w:line="150" w:lineRule="exact"/>
        <w:rPr>
          <w:sz w:val="20"/>
          <w:szCs w:val="20"/>
          <w:color w:val="auto"/>
        </w:rPr>
      </w:pPr>
    </w:p>
    <w:p>
      <w:pPr>
        <w:jc w:val="both"/>
        <w:ind w:firstLine="216"/>
        <w:spacing w:after="0" w:line="252" w:lineRule="auto"/>
        <w:rPr>
          <w:sz w:val="20"/>
          <w:szCs w:val="20"/>
          <w:color w:val="auto"/>
        </w:rPr>
      </w:pPr>
      <w:r>
        <w:rPr>
          <w:rFonts w:ascii="Arial" w:cs="Arial" w:eastAsia="Arial" w:hAnsi="Arial"/>
          <w:sz w:val="18"/>
          <w:szCs w:val="18"/>
          <w:color w:val="auto"/>
        </w:rPr>
        <w:t>The environmental laws to which we are subject include those related to responsibility for potential soil and groundwater contamination. We are conducting investigation and remediation activities to address soil and groundwater conditions at several sites, including airports and maintenance bases. We presently anticipate that the ongoing costs of such activities will not have a material impact on our operations. In addition, we have been named as a potentially responsible party (PRP) at certain Superfund sites. Our alleged volumetric contributions at such sites are relatively small in comparison to total contributions of all PRPs. Accordingly, we presently anticipate that any future payments of costs at such sites will not have a material impact on our operations.</w:t>
      </w:r>
    </w:p>
    <w:p>
      <w:pPr>
        <w:spacing w:after="0" w:line="155" w:lineRule="exact"/>
        <w:rPr>
          <w:sz w:val="20"/>
          <w:szCs w:val="20"/>
          <w:color w:val="auto"/>
        </w:rPr>
      </w:pPr>
    </w:p>
    <w:p>
      <w:pPr>
        <w:jc w:val="both"/>
        <w:ind w:firstLine="216"/>
        <w:spacing w:after="0" w:line="262" w:lineRule="auto"/>
        <w:rPr>
          <w:sz w:val="20"/>
          <w:szCs w:val="20"/>
          <w:color w:val="auto"/>
        </w:rPr>
      </w:pPr>
      <w:r>
        <w:rPr>
          <w:rFonts w:ascii="Arial" w:cs="Arial" w:eastAsia="Arial" w:hAnsi="Arial"/>
          <w:sz w:val="18"/>
          <w:szCs w:val="18"/>
          <w:color w:val="auto"/>
        </w:rPr>
        <w:t>We employ an environmental management system that provides a systematic approach for compliance with environmental regulations and management of a broad range of issues including air emissions, hazardous waste disposal, underground tanks, and aircraft water quality.</w:t>
      </w:r>
    </w:p>
    <w:p>
      <w:pPr>
        <w:spacing w:after="0" w:line="205" w:lineRule="exact"/>
        <w:rPr>
          <w:sz w:val="20"/>
          <w:szCs w:val="20"/>
          <w:color w:val="auto"/>
        </w:rPr>
      </w:pPr>
    </w:p>
    <w:p>
      <w:pPr>
        <w:ind w:left="220"/>
        <w:spacing w:after="0"/>
        <w:rPr>
          <w:sz w:val="20"/>
          <w:szCs w:val="20"/>
          <w:color w:val="auto"/>
        </w:rPr>
      </w:pPr>
      <w:r>
        <w:rPr>
          <w:rFonts w:ascii="Arial" w:cs="Arial" w:eastAsia="Arial" w:hAnsi="Arial"/>
          <w:sz w:val="18"/>
          <w:szCs w:val="18"/>
          <w:i w:val="1"/>
          <w:iCs w:val="1"/>
          <w:u w:val="single" w:color="auto"/>
          <w:color w:val="auto"/>
        </w:rPr>
        <w:t>Aircraft Emissions and Climate Change Requirements</w:t>
      </w:r>
    </w:p>
    <w:p>
      <w:pPr>
        <w:spacing w:after="0" w:line="108" w:lineRule="exact"/>
        <w:rPr>
          <w:sz w:val="20"/>
          <w:szCs w:val="20"/>
          <w:color w:val="auto"/>
        </w:rPr>
      </w:pPr>
    </w:p>
    <w:p>
      <w:pPr>
        <w:jc w:val="both"/>
        <w:ind w:firstLine="216"/>
        <w:spacing w:after="0" w:line="238" w:lineRule="auto"/>
        <w:rPr>
          <w:sz w:val="20"/>
          <w:szCs w:val="20"/>
          <w:color w:val="auto"/>
        </w:rPr>
      </w:pPr>
      <w:r>
        <w:rPr>
          <w:rFonts w:ascii="Arial" w:cs="Arial" w:eastAsia="Arial" w:hAnsi="Arial"/>
          <w:sz w:val="18"/>
          <w:szCs w:val="18"/>
          <w:color w:val="auto"/>
        </w:rPr>
        <w:t>Many aspects of our operations are subject to a number of increasingly stringent environmental regulations and concerns about climate change and greenhouse gas (GHG) emissions, including carbon dioxide (CO</w:t>
      </w:r>
      <w:r>
        <w:rPr>
          <w:rFonts w:ascii="Arial" w:cs="Arial" w:eastAsia="Arial" w:hAnsi="Arial"/>
          <w:sz w:val="21"/>
          <w:szCs w:val="21"/>
          <w:color w:val="auto"/>
          <w:vertAlign w:val="subscript"/>
        </w:rPr>
        <w:t>2</w:t>
      </w:r>
      <w:r>
        <w:rPr>
          <w:rFonts w:ascii="Arial" w:cs="Arial" w:eastAsia="Arial" w:hAnsi="Arial"/>
          <w:sz w:val="18"/>
          <w:szCs w:val="18"/>
          <w:color w:val="auto"/>
        </w:rPr>
        <w:t>) emissions. In particular, the International Civil Aviation Organization (ICAO) is in the process of adopting rules that will require us to limit the CO</w:t>
      </w:r>
      <w:r>
        <w:rPr>
          <w:rFonts w:ascii="Arial" w:cs="Arial" w:eastAsia="Arial" w:hAnsi="Arial"/>
          <w:sz w:val="21"/>
          <w:szCs w:val="21"/>
          <w:color w:val="auto"/>
          <w:vertAlign w:val="subscript"/>
        </w:rPr>
        <w:t>2</w:t>
      </w:r>
      <w:r>
        <w:rPr>
          <w:rFonts w:ascii="Arial" w:cs="Arial" w:eastAsia="Arial" w:hAnsi="Arial"/>
          <w:sz w:val="18"/>
          <w:szCs w:val="18"/>
          <w:color w:val="auto"/>
        </w:rPr>
        <w:t xml:space="preserve"> emissions of a significant majority of our international flights to a baseline level equal to our 2019-2020 average emissions from such flights. In 2016, ICAO passed a resolution adopting the Carbon Offsetting and Reduction Scheme for International Aviation (CORSIA), an international, market-based emissions offset program intended to achieve carbon-neutral growth in the international aviation sector after 2020. CORSIA is expected to be implemented in three phases: the Pilot Phase (from 2021 to 2023); the First Phase (from 2024 to 2027); and the Second Phase (from 2027 to 2035). American and the majority of other U.S. airlines currently report their CO</w:t>
      </w:r>
      <w:r>
        <w:rPr>
          <w:rFonts w:ascii="Arial" w:cs="Arial" w:eastAsia="Arial" w:hAnsi="Arial"/>
          <w:sz w:val="21"/>
          <w:szCs w:val="21"/>
          <w:color w:val="auto"/>
          <w:vertAlign w:val="subscript"/>
        </w:rPr>
        <w:t>2</w:t>
      </w:r>
      <w:r>
        <w:rPr>
          <w:rFonts w:ascii="Arial" w:cs="Arial" w:eastAsia="Arial" w:hAnsi="Arial"/>
          <w:sz w:val="18"/>
          <w:szCs w:val="18"/>
          <w:color w:val="auto"/>
        </w:rPr>
        <w:t xml:space="preserve"> emissions to the FAA in accordance with CORSIA requirements. It is expected that the FAA (with the support of Congress) will implement regulations to establish a carbon offset credit surrender mechanism and to provide for the oversight and compliance auditing of the CORSIA obligations of U.S. carriers, including American.</w:t>
      </w:r>
    </w:p>
    <w:p>
      <w:pPr>
        <w:spacing w:after="0" w:line="168" w:lineRule="exact"/>
        <w:rPr>
          <w:sz w:val="20"/>
          <w:szCs w:val="20"/>
          <w:color w:val="auto"/>
        </w:rPr>
      </w:pPr>
    </w:p>
    <w:p>
      <w:pPr>
        <w:jc w:val="both"/>
        <w:ind w:firstLine="216"/>
        <w:spacing w:after="0" w:line="245" w:lineRule="auto"/>
        <w:rPr>
          <w:sz w:val="20"/>
          <w:szCs w:val="20"/>
          <w:color w:val="auto"/>
        </w:rPr>
      </w:pPr>
      <w:r>
        <w:rPr>
          <w:rFonts w:ascii="Arial" w:cs="Arial" w:eastAsia="Arial" w:hAnsi="Arial"/>
          <w:sz w:val="18"/>
          <w:szCs w:val="18"/>
          <w:color w:val="auto"/>
        </w:rPr>
        <w:t>To meet their obligations under CORSIA, airlines will have the option to increase the efficiency of their fleet, use sustainable or lower carbon aircraft fuel, or purchase carbon offset credits. At this time, the costs of complying with our future obligations under CORSIA are uncertain and cannot be fully predicted. For example, we will not directly control our CORSIA compliance costs during the CORSIA Pilot and First Phases because such phases include a sharing mechanism for the growth in emissions for the global aviation sector. In addition, and with respect to all phases of CORSIA including after 2027, there is uncertainty with respect to the future supply, demand and price of sustainable or lower carbon aircraft fuel, carbon offset credits and technologies that could allow airlines to reduce their emissions of CO</w:t>
      </w:r>
      <w:r>
        <w:rPr>
          <w:rFonts w:ascii="Arial" w:cs="Arial" w:eastAsia="Arial" w:hAnsi="Arial"/>
          <w:sz w:val="21"/>
          <w:szCs w:val="21"/>
          <w:color w:val="auto"/>
          <w:vertAlign w:val="subscript"/>
        </w:rPr>
        <w:t>2</w:t>
      </w:r>
      <w:r>
        <w:rPr>
          <w:rFonts w:ascii="Arial" w:cs="Arial" w:eastAsia="Arial" w:hAnsi="Arial"/>
          <w:sz w:val="18"/>
          <w:szCs w:val="18"/>
          <w:color w:val="auto"/>
        </w:rPr>
        <w:t>.</w:t>
      </w:r>
    </w:p>
    <w:p>
      <w:pPr>
        <w:spacing w:after="0" w:line="21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13</w:t>
      </w:r>
    </w:p>
    <w:p>
      <w:pPr>
        <w:sectPr>
          <w:pgSz w:w="11900" w:h="16838" w:orient="portrait"/>
          <w:cols w:equalWidth="0" w:num="1">
            <w:col w:w="11420"/>
          </w:cols>
          <w:pgMar w:left="240" w:top="792" w:right="239" w:bottom="1440" w:gutter="0" w:footer="0" w:header="0"/>
        </w:sectPr>
      </w:pPr>
    </w:p>
    <w:bookmarkStart w:id="13" w:name="page14"/>
    <w:bookmarkEnd w:id="13"/>
    <w:p>
      <w:pPr>
        <w:jc w:val="both"/>
        <w:ind w:firstLine="216"/>
        <w:spacing w:after="0"/>
        <w:rPr>
          <w:sz w:val="20"/>
          <w:szCs w:val="20"/>
          <w:color w:val="auto"/>
        </w:rPr>
      </w:pPr>
      <w:r>
        <w:rPr>
          <w:rFonts w:ascii="Arial" w:cs="Arial" w:eastAsia="Arial" w:hAnsi="Arial"/>
          <w:sz w:val="18"/>
          <w:szCs w:val="18"/>
          <w:color w:val="auto"/>
        </w:rPr>
        <w:t>In the event that CORSIA does not come into force as expected, American and other airlines could become subject to an unpredictable and inconsistent array of national or regional emissions restrictions, creating a patchwork of complex regulatory requirements that will often affect global competitors differently and frequently offer no meaningful aviation environmental improvements. For example, a directive adopted in 2008 by the EU currently covers CO</w:t>
      </w:r>
      <w:r>
        <w:rPr>
          <w:rFonts w:ascii="Arial" w:cs="Arial" w:eastAsia="Arial" w:hAnsi="Arial"/>
          <w:sz w:val="21"/>
          <w:szCs w:val="21"/>
          <w:color w:val="auto"/>
          <w:vertAlign w:val="subscript"/>
        </w:rPr>
        <w:t>2</w:t>
      </w:r>
      <w:r>
        <w:rPr>
          <w:rFonts w:ascii="Arial" w:cs="Arial" w:eastAsia="Arial" w:hAnsi="Arial"/>
          <w:sz w:val="18"/>
          <w:szCs w:val="18"/>
          <w:color w:val="auto"/>
        </w:rPr>
        <w:t xml:space="preserve"> emissions from flights operating within the mostly European countries participating in the EU Emissions Trading System (ETS). The EU ETS does not apply to CO</w:t>
      </w:r>
      <w:r>
        <w:rPr>
          <w:rFonts w:ascii="Arial" w:cs="Arial" w:eastAsia="Arial" w:hAnsi="Arial"/>
          <w:sz w:val="21"/>
          <w:szCs w:val="21"/>
          <w:color w:val="auto"/>
          <w:vertAlign w:val="subscript"/>
        </w:rPr>
        <w:t>2</w:t>
      </w:r>
      <w:r>
        <w:rPr>
          <w:rFonts w:ascii="Arial" w:cs="Arial" w:eastAsia="Arial" w:hAnsi="Arial"/>
          <w:sz w:val="18"/>
          <w:szCs w:val="18"/>
          <w:color w:val="auto"/>
        </w:rPr>
        <w:t xml:space="preserve"> emissions from the vast majority of American flights serving EU countries because, in 2012, the EU agreed to suspend the application of its rules to international flights to pursue, instead, a global effort solely through ICAO. The EU has extended the suspension of its rules to international flights through the end of 2023, contingent on the successful implementation of CORSIA.</w:t>
      </w:r>
    </w:p>
    <w:p>
      <w:pPr>
        <w:spacing w:after="0" w:line="166" w:lineRule="exact"/>
        <w:rPr>
          <w:sz w:val="20"/>
          <w:szCs w:val="20"/>
          <w:color w:val="auto"/>
        </w:rPr>
      </w:pPr>
    </w:p>
    <w:p>
      <w:pPr>
        <w:ind w:left="220"/>
        <w:spacing w:after="0"/>
        <w:rPr>
          <w:sz w:val="20"/>
          <w:szCs w:val="20"/>
          <w:color w:val="auto"/>
        </w:rPr>
      </w:pPr>
      <w:r>
        <w:rPr>
          <w:rFonts w:ascii="Arial" w:cs="Arial" w:eastAsia="Arial" w:hAnsi="Arial"/>
          <w:sz w:val="18"/>
          <w:szCs w:val="18"/>
          <w:color w:val="auto"/>
        </w:rPr>
        <w:t>We have taken a number of actions that mitigate our GHG emissions and conserve fuel such as:</w:t>
      </w:r>
    </w:p>
    <w:p>
      <w:pPr>
        <w:spacing w:after="0" w:line="171" w:lineRule="exact"/>
        <w:rPr>
          <w:sz w:val="20"/>
          <w:szCs w:val="20"/>
          <w:color w:val="auto"/>
        </w:rPr>
      </w:pPr>
    </w:p>
    <w:p>
      <w:pPr>
        <w:ind w:left="1300" w:hanging="644"/>
        <w:spacing w:after="0" w:line="262" w:lineRule="auto"/>
        <w:tabs>
          <w:tab w:leader="none" w:pos="1300" w:val="left"/>
        </w:tabs>
        <w:numPr>
          <w:ilvl w:val="0"/>
          <w:numId w:val="6"/>
        </w:numPr>
        <w:rPr>
          <w:rFonts w:ascii="Arial" w:cs="Arial" w:eastAsia="Arial" w:hAnsi="Arial"/>
          <w:sz w:val="18"/>
          <w:szCs w:val="18"/>
          <w:color w:val="auto"/>
        </w:rPr>
      </w:pPr>
      <w:r>
        <w:rPr>
          <w:rFonts w:ascii="Arial" w:cs="Arial" w:eastAsia="Arial" w:hAnsi="Arial"/>
          <w:sz w:val="18"/>
          <w:szCs w:val="18"/>
          <w:color w:val="auto"/>
        </w:rPr>
        <w:t>retiring older, less fuel-efficient aircraft and replacing them with new, more fuel-efficient aircraft, resulting in the youngest mainline fleet of any U.S. network carrier;</w:t>
      </w:r>
    </w:p>
    <w:p>
      <w:pPr>
        <w:spacing w:after="0" w:line="142" w:lineRule="exact"/>
        <w:rPr>
          <w:rFonts w:ascii="Arial" w:cs="Arial" w:eastAsia="Arial" w:hAnsi="Arial"/>
          <w:sz w:val="18"/>
          <w:szCs w:val="18"/>
          <w:color w:val="auto"/>
        </w:rPr>
      </w:pPr>
    </w:p>
    <w:p>
      <w:pPr>
        <w:ind w:left="1300" w:hanging="644"/>
        <w:spacing w:after="0"/>
        <w:tabs>
          <w:tab w:leader="none" w:pos="1300" w:val="left"/>
        </w:tabs>
        <w:numPr>
          <w:ilvl w:val="0"/>
          <w:numId w:val="6"/>
        </w:numPr>
        <w:rPr>
          <w:rFonts w:ascii="Arial" w:cs="Arial" w:eastAsia="Arial" w:hAnsi="Arial"/>
          <w:sz w:val="18"/>
          <w:szCs w:val="18"/>
          <w:color w:val="auto"/>
        </w:rPr>
      </w:pPr>
      <w:r>
        <w:rPr>
          <w:rFonts w:ascii="Arial" w:cs="Arial" w:eastAsia="Arial" w:hAnsi="Arial"/>
          <w:sz w:val="18"/>
          <w:szCs w:val="18"/>
          <w:color w:val="auto"/>
        </w:rPr>
        <w:t>reducing fuel consumption through operational initiatives such as single-engine taxi and engine washing;</w:t>
      </w:r>
    </w:p>
    <w:p>
      <w:pPr>
        <w:spacing w:after="0" w:line="171" w:lineRule="exact"/>
        <w:rPr>
          <w:rFonts w:ascii="Arial" w:cs="Arial" w:eastAsia="Arial" w:hAnsi="Arial"/>
          <w:sz w:val="18"/>
          <w:szCs w:val="18"/>
          <w:color w:val="auto"/>
        </w:rPr>
      </w:pPr>
    </w:p>
    <w:p>
      <w:pPr>
        <w:ind w:left="1300" w:hanging="644"/>
        <w:spacing w:after="0"/>
        <w:tabs>
          <w:tab w:leader="none" w:pos="1300" w:val="left"/>
        </w:tabs>
        <w:numPr>
          <w:ilvl w:val="0"/>
          <w:numId w:val="6"/>
        </w:numPr>
        <w:rPr>
          <w:rFonts w:ascii="Arial" w:cs="Arial" w:eastAsia="Arial" w:hAnsi="Arial"/>
          <w:sz w:val="18"/>
          <w:szCs w:val="18"/>
          <w:color w:val="auto"/>
        </w:rPr>
      </w:pPr>
      <w:r>
        <w:rPr>
          <w:rFonts w:ascii="Arial" w:cs="Arial" w:eastAsia="Arial" w:hAnsi="Arial"/>
          <w:sz w:val="18"/>
          <w:szCs w:val="18"/>
          <w:color w:val="auto"/>
        </w:rPr>
        <w:t>working with the FAA and vendors to facilitate efficient airspace procedures, which also reduces aircraft emissions;</w:t>
      </w:r>
    </w:p>
    <w:p>
      <w:pPr>
        <w:spacing w:after="0" w:line="171" w:lineRule="exact"/>
        <w:rPr>
          <w:rFonts w:ascii="Arial" w:cs="Arial" w:eastAsia="Arial" w:hAnsi="Arial"/>
          <w:sz w:val="18"/>
          <w:szCs w:val="18"/>
          <w:color w:val="auto"/>
        </w:rPr>
      </w:pPr>
    </w:p>
    <w:p>
      <w:pPr>
        <w:ind w:left="1300" w:hanging="644"/>
        <w:spacing w:after="0" w:line="262" w:lineRule="auto"/>
        <w:tabs>
          <w:tab w:leader="none" w:pos="1300" w:val="left"/>
        </w:tabs>
        <w:numPr>
          <w:ilvl w:val="0"/>
          <w:numId w:val="6"/>
        </w:numPr>
        <w:rPr>
          <w:rFonts w:ascii="Arial" w:cs="Arial" w:eastAsia="Arial" w:hAnsi="Arial"/>
          <w:sz w:val="18"/>
          <w:szCs w:val="18"/>
          <w:color w:val="auto"/>
        </w:rPr>
      </w:pPr>
      <w:r>
        <w:rPr>
          <w:rFonts w:ascii="Arial" w:cs="Arial" w:eastAsia="Arial" w:hAnsi="Arial"/>
          <w:sz w:val="18"/>
          <w:szCs w:val="18"/>
          <w:color w:val="auto"/>
        </w:rPr>
        <w:t>updating our fleet with lightweight interiors including seats and furnishings and replacing existing cargo containers with lighter weight versions;</w:t>
      </w:r>
    </w:p>
    <w:p>
      <w:pPr>
        <w:spacing w:after="0" w:line="142" w:lineRule="exact"/>
        <w:rPr>
          <w:rFonts w:ascii="Arial" w:cs="Arial" w:eastAsia="Arial" w:hAnsi="Arial"/>
          <w:sz w:val="18"/>
          <w:szCs w:val="18"/>
          <w:color w:val="auto"/>
        </w:rPr>
      </w:pPr>
    </w:p>
    <w:p>
      <w:pPr>
        <w:ind w:left="1300" w:hanging="644"/>
        <w:spacing w:after="0" w:line="262" w:lineRule="auto"/>
        <w:tabs>
          <w:tab w:leader="none" w:pos="1300" w:val="left"/>
        </w:tabs>
        <w:numPr>
          <w:ilvl w:val="0"/>
          <w:numId w:val="6"/>
        </w:numPr>
        <w:rPr>
          <w:rFonts w:ascii="Arial" w:cs="Arial" w:eastAsia="Arial" w:hAnsi="Arial"/>
          <w:sz w:val="18"/>
          <w:szCs w:val="18"/>
          <w:color w:val="auto"/>
        </w:rPr>
      </w:pPr>
      <w:r>
        <w:rPr>
          <w:rFonts w:ascii="Arial" w:cs="Arial" w:eastAsia="Arial" w:hAnsi="Arial"/>
          <w:sz w:val="18"/>
          <w:szCs w:val="18"/>
          <w:color w:val="auto"/>
        </w:rPr>
        <w:t>replacing older, inefficient ground support equipment with new, more fuel-efficient ground support equipment, including alternative-fuel and electric powered equipment;</w:t>
      </w:r>
    </w:p>
    <w:p>
      <w:pPr>
        <w:spacing w:after="0" w:line="142" w:lineRule="exact"/>
        <w:rPr>
          <w:rFonts w:ascii="Arial" w:cs="Arial" w:eastAsia="Arial" w:hAnsi="Arial"/>
          <w:sz w:val="18"/>
          <w:szCs w:val="18"/>
          <w:color w:val="auto"/>
        </w:rPr>
      </w:pPr>
    </w:p>
    <w:p>
      <w:pPr>
        <w:ind w:left="1300" w:hanging="644"/>
        <w:spacing w:after="0"/>
        <w:tabs>
          <w:tab w:leader="none" w:pos="1300" w:val="left"/>
        </w:tabs>
        <w:numPr>
          <w:ilvl w:val="0"/>
          <w:numId w:val="6"/>
        </w:numPr>
        <w:rPr>
          <w:rFonts w:ascii="Arial" w:cs="Arial" w:eastAsia="Arial" w:hAnsi="Arial"/>
          <w:sz w:val="18"/>
          <w:szCs w:val="18"/>
          <w:color w:val="auto"/>
        </w:rPr>
      </w:pPr>
      <w:r>
        <w:rPr>
          <w:rFonts w:ascii="Arial" w:cs="Arial" w:eastAsia="Arial" w:hAnsi="Arial"/>
          <w:sz w:val="18"/>
          <w:szCs w:val="18"/>
          <w:color w:val="auto"/>
        </w:rPr>
        <w:t>purchasing renewable electricity to reduce indirect emissions associated with the production of the power we consume;</w:t>
      </w:r>
    </w:p>
    <w:p>
      <w:pPr>
        <w:spacing w:after="0" w:line="171" w:lineRule="exact"/>
        <w:rPr>
          <w:rFonts w:ascii="Arial" w:cs="Arial" w:eastAsia="Arial" w:hAnsi="Arial"/>
          <w:sz w:val="18"/>
          <w:szCs w:val="18"/>
          <w:color w:val="auto"/>
        </w:rPr>
      </w:pPr>
    </w:p>
    <w:p>
      <w:pPr>
        <w:ind w:left="1300" w:right="20" w:hanging="644"/>
        <w:spacing w:after="0" w:line="262" w:lineRule="auto"/>
        <w:tabs>
          <w:tab w:leader="none" w:pos="1300" w:val="left"/>
        </w:tabs>
        <w:numPr>
          <w:ilvl w:val="0"/>
          <w:numId w:val="6"/>
        </w:numPr>
        <w:rPr>
          <w:rFonts w:ascii="Arial" w:cs="Arial" w:eastAsia="Arial" w:hAnsi="Arial"/>
          <w:sz w:val="18"/>
          <w:szCs w:val="18"/>
          <w:color w:val="auto"/>
        </w:rPr>
      </w:pPr>
      <w:r>
        <w:rPr>
          <w:rFonts w:ascii="Arial" w:cs="Arial" w:eastAsia="Arial" w:hAnsi="Arial"/>
          <w:sz w:val="18"/>
          <w:szCs w:val="18"/>
          <w:color w:val="auto"/>
        </w:rPr>
        <w:t>seeking certification of certain of our buildings to the U.S. Green Building Council’s Leadership in Energy and Environmental Design (LEED) standard;</w:t>
      </w:r>
    </w:p>
    <w:p>
      <w:pPr>
        <w:spacing w:after="0" w:line="142" w:lineRule="exact"/>
        <w:rPr>
          <w:rFonts w:ascii="Arial" w:cs="Arial" w:eastAsia="Arial" w:hAnsi="Arial"/>
          <w:sz w:val="18"/>
          <w:szCs w:val="18"/>
          <w:color w:val="auto"/>
        </w:rPr>
      </w:pPr>
    </w:p>
    <w:p>
      <w:pPr>
        <w:ind w:left="1300" w:hanging="644"/>
        <w:spacing w:after="0" w:line="262" w:lineRule="auto"/>
        <w:tabs>
          <w:tab w:leader="none" w:pos="1300" w:val="left"/>
        </w:tabs>
        <w:numPr>
          <w:ilvl w:val="0"/>
          <w:numId w:val="6"/>
        </w:numPr>
        <w:rPr>
          <w:rFonts w:ascii="Arial" w:cs="Arial" w:eastAsia="Arial" w:hAnsi="Arial"/>
          <w:sz w:val="18"/>
          <w:szCs w:val="18"/>
          <w:color w:val="auto"/>
        </w:rPr>
      </w:pPr>
      <w:r>
        <w:rPr>
          <w:rFonts w:ascii="Arial" w:cs="Arial" w:eastAsia="Arial" w:hAnsi="Arial"/>
          <w:sz w:val="18"/>
          <w:szCs w:val="18"/>
          <w:color w:val="auto"/>
        </w:rPr>
        <w:t>entering into discussions with potential vendors to explore potential production pathways for sustainable alternative aircraft fuel; and</w:t>
      </w:r>
    </w:p>
    <w:p>
      <w:pPr>
        <w:spacing w:after="0" w:line="142" w:lineRule="exact"/>
        <w:rPr>
          <w:rFonts w:ascii="Arial" w:cs="Arial" w:eastAsia="Arial" w:hAnsi="Arial"/>
          <w:sz w:val="18"/>
          <w:szCs w:val="18"/>
          <w:color w:val="auto"/>
        </w:rPr>
      </w:pPr>
    </w:p>
    <w:p>
      <w:pPr>
        <w:ind w:left="1300" w:hanging="644"/>
        <w:spacing w:after="0"/>
        <w:tabs>
          <w:tab w:leader="none" w:pos="1300" w:val="left"/>
        </w:tabs>
        <w:numPr>
          <w:ilvl w:val="0"/>
          <w:numId w:val="6"/>
        </w:numPr>
        <w:rPr>
          <w:rFonts w:ascii="Arial" w:cs="Arial" w:eastAsia="Arial" w:hAnsi="Arial"/>
          <w:sz w:val="18"/>
          <w:szCs w:val="18"/>
          <w:color w:val="auto"/>
        </w:rPr>
      </w:pPr>
      <w:r>
        <w:rPr>
          <w:rFonts w:ascii="Arial" w:cs="Arial" w:eastAsia="Arial" w:hAnsi="Arial"/>
          <w:sz w:val="18"/>
          <w:szCs w:val="18"/>
          <w:color w:val="auto"/>
        </w:rPr>
        <w:t>collaborating with airports and other stakeholders to accelerate the introduction of sustainable or lower carbon fuels.</w:t>
      </w:r>
    </w:p>
    <w:p>
      <w:pPr>
        <w:spacing w:after="0" w:line="153" w:lineRule="exact"/>
        <w:rPr>
          <w:sz w:val="20"/>
          <w:szCs w:val="20"/>
          <w:color w:val="auto"/>
        </w:rPr>
      </w:pPr>
    </w:p>
    <w:p>
      <w:pPr>
        <w:jc w:val="both"/>
        <w:ind w:firstLine="216"/>
        <w:spacing w:after="0" w:line="282" w:lineRule="auto"/>
        <w:rPr>
          <w:sz w:val="20"/>
          <w:szCs w:val="20"/>
          <w:color w:val="auto"/>
        </w:rPr>
      </w:pPr>
      <w:r>
        <w:rPr>
          <w:rFonts w:ascii="Arial" w:cs="Arial" w:eastAsia="Arial" w:hAnsi="Arial"/>
          <w:sz w:val="18"/>
          <w:szCs w:val="18"/>
          <w:color w:val="auto"/>
        </w:rPr>
        <w:t xml:space="preserve">For further information, see our annual Corporate Responsibility Report, available on our website at </w:t>
      </w:r>
      <w:r>
        <w:rPr>
          <w:rFonts w:ascii="Arial" w:cs="Arial" w:eastAsia="Arial" w:hAnsi="Arial"/>
          <w:sz w:val="18"/>
          <w:szCs w:val="18"/>
          <w:i w:val="1"/>
          <w:iCs w:val="1"/>
          <w:color w:val="auto"/>
        </w:rPr>
        <w:t>www.aa.com/CRR</w:t>
      </w:r>
      <w:r>
        <w:rPr>
          <w:rFonts w:ascii="Arial" w:cs="Arial" w:eastAsia="Arial" w:hAnsi="Arial"/>
          <w:sz w:val="18"/>
          <w:szCs w:val="18"/>
          <w:color w:val="auto"/>
        </w:rPr>
        <w:t>. None of the information or contents of our website is incorporated into this Annual Report on Form 10-K.</w:t>
      </w:r>
    </w:p>
    <w:p>
      <w:pPr>
        <w:spacing w:after="0" w:line="185" w:lineRule="exact"/>
        <w:rPr>
          <w:sz w:val="20"/>
          <w:szCs w:val="20"/>
          <w:color w:val="auto"/>
        </w:rPr>
      </w:pPr>
    </w:p>
    <w:p>
      <w:pPr>
        <w:ind w:left="220"/>
        <w:spacing w:after="0"/>
        <w:rPr>
          <w:sz w:val="20"/>
          <w:szCs w:val="20"/>
          <w:color w:val="auto"/>
        </w:rPr>
      </w:pPr>
      <w:r>
        <w:rPr>
          <w:rFonts w:ascii="Arial" w:cs="Arial" w:eastAsia="Arial" w:hAnsi="Arial"/>
          <w:sz w:val="18"/>
          <w:szCs w:val="18"/>
          <w:b w:val="1"/>
          <w:bCs w:val="1"/>
          <w:i w:val="1"/>
          <w:iCs w:val="1"/>
          <w:color w:val="auto"/>
        </w:rPr>
        <w:t>Impact of Regulatory Requirements on Our Business</w:t>
      </w:r>
    </w:p>
    <w:p>
      <w:pPr>
        <w:spacing w:after="0" w:line="112" w:lineRule="exact"/>
        <w:rPr>
          <w:sz w:val="20"/>
          <w:szCs w:val="20"/>
          <w:color w:val="auto"/>
        </w:rPr>
      </w:pPr>
    </w:p>
    <w:p>
      <w:pPr>
        <w:jc w:val="both"/>
        <w:ind w:firstLine="216"/>
        <w:spacing w:after="0" w:line="247" w:lineRule="auto"/>
        <w:rPr>
          <w:sz w:val="20"/>
          <w:szCs w:val="20"/>
          <w:color w:val="auto"/>
        </w:rPr>
      </w:pPr>
      <w:r>
        <w:rPr>
          <w:rFonts w:ascii="Arial" w:cs="Arial" w:eastAsia="Arial" w:hAnsi="Arial"/>
          <w:sz w:val="18"/>
          <w:szCs w:val="18"/>
          <w:color w:val="auto"/>
        </w:rPr>
        <w:t>Regulatory requirements, including but not limited to those discussed above, affect operations and increase operating costs for the airline industry, including our airline subsidiaries, and future regulatory developments may continue to do the same in the future. See Part I, Item 1A. Risk Factors – “</w:t>
      </w:r>
      <w:r>
        <w:rPr>
          <w:rFonts w:ascii="Arial" w:cs="Arial" w:eastAsia="Arial" w:hAnsi="Arial"/>
          <w:sz w:val="18"/>
          <w:szCs w:val="18"/>
          <w:i w:val="1"/>
          <w:iCs w:val="1"/>
          <w:color w:val="auto"/>
        </w:rPr>
        <w:t>Evolving data security and privacy requirements could increase our costs, and any significant data security incident could</w:t>
      </w:r>
      <w:r>
        <w:rPr>
          <w:rFonts w:ascii="Arial" w:cs="Arial" w:eastAsia="Arial" w:hAnsi="Arial"/>
          <w:sz w:val="18"/>
          <w:szCs w:val="18"/>
          <w:color w:val="auto"/>
        </w:rPr>
        <w:t xml:space="preserve"> </w:t>
      </w:r>
      <w:r>
        <w:rPr>
          <w:rFonts w:ascii="Arial" w:cs="Arial" w:eastAsia="Arial" w:hAnsi="Arial"/>
          <w:sz w:val="18"/>
          <w:szCs w:val="18"/>
          <w:i w:val="1"/>
          <w:iCs w:val="1"/>
          <w:color w:val="auto"/>
        </w:rPr>
        <w:t>disrupt our operations, harm our reputation, expose us to legal risks and otherwise materially adversely affect our business, results of operations and financial condition,” “If we are unable to obtain and maintain adequate facilities and infrastructure throughout our system and, at some airports, adequate slots, we may be unable to operate our existing flight schedule and to expand or change our route network in the future, which may have a material adverse impact on our operations,” “Our business is subject to extensive government regulation, which may result in increases in our costs, disruptions to our operations, limits on our operating flexibility, reductions in the demand for air travel, and competitive disadvantages,” “The airline industry is heavily taxed,</w:t>
      </w:r>
      <w:r>
        <w:rPr>
          <w:rFonts w:ascii="Arial" w:cs="Arial" w:eastAsia="Arial" w:hAnsi="Arial"/>
          <w:sz w:val="18"/>
          <w:szCs w:val="18"/>
          <w:color w:val="auto"/>
        </w:rPr>
        <w:t>”</w:t>
      </w:r>
      <w:r>
        <w:rPr>
          <w:rFonts w:ascii="Arial" w:cs="Arial" w:eastAsia="Arial" w:hAnsi="Arial"/>
          <w:sz w:val="18"/>
          <w:szCs w:val="18"/>
          <w:i w:val="1"/>
          <w:iCs w:val="1"/>
          <w:color w:val="auto"/>
        </w:rPr>
        <w:t xml:space="preserve"> “We are subject to many forms of environmental and noise regulation and may incur substantial costs as a result,” </w:t>
      </w:r>
      <w:r>
        <w:rPr>
          <w:rFonts w:ascii="Arial" w:cs="Arial" w:eastAsia="Arial" w:hAnsi="Arial"/>
          <w:sz w:val="18"/>
          <w:szCs w:val="18"/>
          <w:color w:val="auto"/>
        </w:rPr>
        <w:t>and</w:t>
      </w:r>
      <w:r>
        <w:rPr>
          <w:rFonts w:ascii="Arial" w:cs="Arial" w:eastAsia="Arial" w:hAnsi="Arial"/>
          <w:sz w:val="18"/>
          <w:szCs w:val="18"/>
          <w:i w:val="1"/>
          <w:iCs w:val="1"/>
          <w:color w:val="auto"/>
        </w:rPr>
        <w:t xml:space="preserve"> “We are subject to risks associated with climate change, including increased regulation of our CO</w:t>
      </w:r>
      <w:r>
        <w:rPr>
          <w:rFonts w:ascii="Arial" w:cs="Arial" w:eastAsia="Arial" w:hAnsi="Arial"/>
          <w:sz w:val="21"/>
          <w:szCs w:val="21"/>
          <w:i w:val="1"/>
          <w:iCs w:val="1"/>
          <w:color w:val="auto"/>
          <w:vertAlign w:val="subscript"/>
        </w:rPr>
        <w:t>2</w:t>
      </w:r>
      <w:r>
        <w:rPr>
          <w:rFonts w:ascii="Arial" w:cs="Arial" w:eastAsia="Arial" w:hAnsi="Arial"/>
          <w:sz w:val="18"/>
          <w:szCs w:val="18"/>
          <w:i w:val="1"/>
          <w:iCs w:val="1"/>
          <w:color w:val="auto"/>
        </w:rPr>
        <w:t xml:space="preserve"> emissions and the potential increased impacts of severe weather events on our operations and infrastructure” </w:t>
      </w:r>
      <w:r>
        <w:rPr>
          <w:rFonts w:ascii="Arial" w:cs="Arial" w:eastAsia="Arial" w:hAnsi="Arial"/>
          <w:sz w:val="18"/>
          <w:szCs w:val="18"/>
          <w:color w:val="auto"/>
        </w:rPr>
        <w:t>for additional information.</w:t>
      </w:r>
    </w:p>
    <w:p>
      <w:pPr>
        <w:spacing w:after="0" w:line="21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14</w:t>
      </w:r>
    </w:p>
    <w:p>
      <w:pPr>
        <w:sectPr>
          <w:pgSz w:w="11900" w:h="16838" w:orient="portrait"/>
          <w:cols w:equalWidth="0" w:num="1">
            <w:col w:w="11420"/>
          </w:cols>
          <w:pgMar w:left="240" w:top="733" w:right="239" w:bottom="1440" w:gutter="0" w:footer="0" w:header="0"/>
        </w:sectPr>
      </w:pPr>
    </w:p>
    <w:bookmarkStart w:id="14" w:name="page15"/>
    <w:bookmarkEnd w:id="14"/>
    <w:p>
      <w:pPr>
        <w:spacing w:after="0"/>
        <w:rPr>
          <w:sz w:val="20"/>
          <w:szCs w:val="20"/>
          <w:color w:val="auto"/>
        </w:rPr>
      </w:pPr>
      <w:r>
        <w:rPr>
          <w:rFonts w:ascii="Arial" w:cs="Arial" w:eastAsia="Arial" w:hAnsi="Arial"/>
          <w:sz w:val="18"/>
          <w:szCs w:val="18"/>
          <w:b w:val="1"/>
          <w:bCs w:val="1"/>
          <w:color w:val="auto"/>
        </w:rPr>
        <w:t>Available Information</w:t>
      </w:r>
    </w:p>
    <w:p>
      <w:pPr>
        <w:spacing w:after="0" w:line="90" w:lineRule="exact"/>
        <w:rPr>
          <w:sz w:val="20"/>
          <w:szCs w:val="20"/>
          <w:color w:val="auto"/>
        </w:rPr>
      </w:pPr>
    </w:p>
    <w:p>
      <w:pPr>
        <w:ind w:left="220"/>
        <w:spacing w:after="0"/>
        <w:rPr>
          <w:sz w:val="20"/>
          <w:szCs w:val="20"/>
          <w:color w:val="auto"/>
        </w:rPr>
      </w:pPr>
      <w:r>
        <w:rPr>
          <w:rFonts w:ascii="Arial" w:cs="Arial" w:eastAsia="Arial" w:hAnsi="Arial"/>
          <w:sz w:val="18"/>
          <w:szCs w:val="18"/>
          <w:b w:val="1"/>
          <w:bCs w:val="1"/>
          <w:i w:val="1"/>
          <w:iCs w:val="1"/>
          <w:color w:val="auto"/>
        </w:rPr>
        <w:t>Use of Websites to Disclose Information</w:t>
      </w:r>
    </w:p>
    <w:p>
      <w:pPr>
        <w:spacing w:after="0" w:line="94" w:lineRule="exact"/>
        <w:rPr>
          <w:sz w:val="20"/>
          <w:szCs w:val="20"/>
          <w:color w:val="auto"/>
        </w:rPr>
      </w:pPr>
    </w:p>
    <w:p>
      <w:pPr>
        <w:jc w:val="both"/>
        <w:ind w:firstLine="216"/>
        <w:spacing w:after="0" w:line="257" w:lineRule="auto"/>
        <w:rPr>
          <w:sz w:val="20"/>
          <w:szCs w:val="20"/>
          <w:color w:val="auto"/>
        </w:rPr>
      </w:pPr>
      <w:r>
        <w:rPr>
          <w:rFonts w:ascii="Arial" w:cs="Arial" w:eastAsia="Arial" w:hAnsi="Arial"/>
          <w:sz w:val="18"/>
          <w:szCs w:val="18"/>
          <w:color w:val="auto"/>
        </w:rPr>
        <w:t xml:space="preserve">Our website is located at </w:t>
      </w:r>
      <w:r>
        <w:rPr>
          <w:rFonts w:ascii="Arial" w:cs="Arial" w:eastAsia="Arial" w:hAnsi="Arial"/>
          <w:sz w:val="18"/>
          <w:szCs w:val="18"/>
          <w:i w:val="1"/>
          <w:iCs w:val="1"/>
          <w:color w:val="auto"/>
        </w:rPr>
        <w:t>www.aa.com</w:t>
      </w:r>
      <w:r>
        <w:rPr>
          <w:rFonts w:ascii="Arial" w:cs="Arial" w:eastAsia="Arial" w:hAnsi="Arial"/>
          <w:sz w:val="18"/>
          <w:szCs w:val="18"/>
          <w:color w:val="auto"/>
        </w:rPr>
        <w:t xml:space="preserve">. We have made and expect in the future to make public disclosures to investors and the general public of information regarding AAG and its subsidiaries by means of the investor relations section of our website as well as through the use of our social media sites, including Facebook and Twitter. In order to receive notifications regarding new postings to our website, investors are encouraged to enroll on our website to receive automatic email alerts (see </w:t>
      </w:r>
      <w:r>
        <w:rPr>
          <w:rFonts w:ascii="Arial" w:cs="Arial" w:eastAsia="Arial" w:hAnsi="Arial"/>
          <w:sz w:val="18"/>
          <w:szCs w:val="18"/>
          <w:i w:val="1"/>
          <w:iCs w:val="1"/>
          <w:color w:val="auto"/>
        </w:rPr>
        <w:t>https://americanairlines.gcs-web.com/email-alerts</w:t>
      </w:r>
      <w:r>
        <w:rPr>
          <w:rFonts w:ascii="Arial" w:cs="Arial" w:eastAsia="Arial" w:hAnsi="Arial"/>
          <w:sz w:val="18"/>
          <w:szCs w:val="18"/>
          <w:color w:val="auto"/>
        </w:rPr>
        <w:t>), “follow” American (@AmericanAir) on Twitter and “like” American on our Facebook page (</w:t>
      </w:r>
      <w:r>
        <w:rPr>
          <w:rFonts w:ascii="Arial" w:cs="Arial" w:eastAsia="Arial" w:hAnsi="Arial"/>
          <w:sz w:val="18"/>
          <w:szCs w:val="18"/>
          <w:i w:val="1"/>
          <w:iCs w:val="1"/>
          <w:color w:val="auto"/>
        </w:rPr>
        <w:t>www.facebook.com/AmericanAirlines</w:t>
      </w:r>
      <w:r>
        <w:rPr>
          <w:rFonts w:ascii="Arial" w:cs="Arial" w:eastAsia="Arial" w:hAnsi="Arial"/>
          <w:sz w:val="18"/>
          <w:szCs w:val="18"/>
          <w:color w:val="auto"/>
        </w:rPr>
        <w:t>). None of the information or contents of our website or social media postings is incorporated into this Annual Report on Form 10-K.</w:t>
      </w:r>
    </w:p>
    <w:p>
      <w:pPr>
        <w:spacing w:after="0" w:line="206" w:lineRule="exact"/>
        <w:rPr>
          <w:sz w:val="20"/>
          <w:szCs w:val="20"/>
          <w:color w:val="auto"/>
        </w:rPr>
      </w:pPr>
    </w:p>
    <w:p>
      <w:pPr>
        <w:ind w:left="220"/>
        <w:spacing w:after="0"/>
        <w:rPr>
          <w:sz w:val="20"/>
          <w:szCs w:val="20"/>
          <w:color w:val="auto"/>
        </w:rPr>
      </w:pPr>
      <w:r>
        <w:rPr>
          <w:rFonts w:ascii="Arial" w:cs="Arial" w:eastAsia="Arial" w:hAnsi="Arial"/>
          <w:sz w:val="18"/>
          <w:szCs w:val="18"/>
          <w:b w:val="1"/>
          <w:bCs w:val="1"/>
          <w:i w:val="1"/>
          <w:iCs w:val="1"/>
          <w:color w:val="auto"/>
        </w:rPr>
        <w:t>Availability of SEC Reports</w:t>
      </w:r>
    </w:p>
    <w:p>
      <w:pPr>
        <w:spacing w:after="0" w:line="112" w:lineRule="exact"/>
        <w:rPr>
          <w:sz w:val="20"/>
          <w:szCs w:val="20"/>
          <w:color w:val="auto"/>
        </w:rPr>
      </w:pPr>
    </w:p>
    <w:p>
      <w:pPr>
        <w:jc w:val="both"/>
        <w:ind w:firstLine="216"/>
        <w:spacing w:after="0" w:line="254" w:lineRule="auto"/>
        <w:rPr>
          <w:sz w:val="20"/>
          <w:szCs w:val="20"/>
          <w:color w:val="auto"/>
        </w:rPr>
      </w:pPr>
      <w:r>
        <w:rPr>
          <w:rFonts w:ascii="Arial" w:cs="Arial" w:eastAsia="Arial" w:hAnsi="Arial"/>
          <w:sz w:val="18"/>
          <w:szCs w:val="18"/>
          <w:color w:val="auto"/>
        </w:rPr>
        <w:t xml:space="preserve">A copy of this Annual Report on Form 10-K, Quarterly Reports on Form 10-Q, Current Reports on Form 8-K and amendments to those reports are available free of charge on our website as soon as reasonably practicable after we electronically file such material with, or furnish it to, the SEC. The SEC also maintains a website that contains reports, proxy and information statements, and other information regarding issuers that file electronically with the SEC at </w:t>
      </w:r>
      <w:r>
        <w:rPr>
          <w:rFonts w:ascii="Arial" w:cs="Arial" w:eastAsia="Arial" w:hAnsi="Arial"/>
          <w:sz w:val="18"/>
          <w:szCs w:val="18"/>
          <w:i w:val="1"/>
          <w:iCs w:val="1"/>
          <w:color w:val="auto"/>
        </w:rPr>
        <w:t>www.sec.gov</w:t>
      </w:r>
      <w:r>
        <w:rPr>
          <w:rFonts w:ascii="Arial" w:cs="Arial" w:eastAsia="Arial" w:hAnsi="Arial"/>
          <w:sz w:val="18"/>
          <w:szCs w:val="18"/>
          <w:color w:val="auto"/>
        </w:rPr>
        <w:t>.</w:t>
      </w:r>
    </w:p>
    <w:p>
      <w:pPr>
        <w:spacing w:after="0" w:line="20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15</w:t>
      </w:r>
    </w:p>
    <w:p>
      <w:pPr>
        <w:sectPr>
          <w:pgSz w:w="11900" w:h="16838" w:orient="portrait"/>
          <w:cols w:equalWidth="0" w:num="1">
            <w:col w:w="11420"/>
          </w:cols>
          <w:pgMar w:left="240" w:top="792" w:right="239" w:bottom="1440" w:gutter="0" w:footer="0" w:header="0"/>
        </w:sectPr>
      </w:pPr>
    </w:p>
    <w:bookmarkStart w:id="15" w:name="page16"/>
    <w:bookmarkEnd w:id="15"/>
    <w:p>
      <w:pPr>
        <w:spacing w:after="0"/>
        <w:rPr>
          <w:sz w:val="20"/>
          <w:szCs w:val="20"/>
          <w:color w:val="auto"/>
        </w:rPr>
      </w:pPr>
      <w:r>
        <w:rPr>
          <w:rFonts w:ascii="Arial" w:cs="Arial" w:eastAsia="Arial" w:hAnsi="Arial"/>
          <w:sz w:val="18"/>
          <w:szCs w:val="18"/>
          <w:b w:val="1"/>
          <w:bCs w:val="1"/>
          <w:color w:val="auto"/>
        </w:rPr>
        <w:t>ITEM 1A. RISK FACTORS</w:t>
      </w:r>
    </w:p>
    <w:p>
      <w:pPr>
        <w:spacing w:after="0" w:line="112" w:lineRule="exact"/>
        <w:rPr>
          <w:sz w:val="20"/>
          <w:szCs w:val="20"/>
          <w:color w:val="auto"/>
        </w:rPr>
      </w:pPr>
    </w:p>
    <w:p>
      <w:pPr>
        <w:jc w:val="both"/>
        <w:ind w:firstLine="216"/>
        <w:spacing w:after="0" w:line="253" w:lineRule="auto"/>
        <w:rPr>
          <w:sz w:val="20"/>
          <w:szCs w:val="20"/>
          <w:color w:val="auto"/>
        </w:rPr>
      </w:pPr>
      <w:r>
        <w:rPr>
          <w:rFonts w:ascii="Arial" w:cs="Arial" w:eastAsia="Arial" w:hAnsi="Arial"/>
          <w:sz w:val="18"/>
          <w:szCs w:val="18"/>
          <w:color w:val="auto"/>
        </w:rPr>
        <w:t>Below are certain risk factors that may affect our business, results of operations and financial condition, or the trading price of our common stock or other securities. We caution the reader that these risk factors may not be exhaustive. We operate in a continually changing business environment, and new risks and uncertainties emerge from time to time. Management cannot predict such new risks and uncertainties, nor can it assess the extent to which any of the risk factors below or any such new risks and uncertainties, or any combination thereof, may impact our business.</w:t>
      </w:r>
    </w:p>
    <w:p>
      <w:pPr>
        <w:spacing w:after="0" w:line="211" w:lineRule="exact"/>
        <w:rPr>
          <w:sz w:val="20"/>
          <w:szCs w:val="20"/>
          <w:color w:val="auto"/>
        </w:rPr>
      </w:pPr>
    </w:p>
    <w:p>
      <w:pPr>
        <w:ind w:left="260"/>
        <w:spacing w:after="0"/>
        <w:rPr>
          <w:sz w:val="20"/>
          <w:szCs w:val="20"/>
          <w:color w:val="auto"/>
        </w:rPr>
      </w:pPr>
      <w:r>
        <w:rPr>
          <w:rFonts w:ascii="Arial" w:cs="Arial" w:eastAsia="Arial" w:hAnsi="Arial"/>
          <w:sz w:val="18"/>
          <w:szCs w:val="18"/>
          <w:b w:val="1"/>
          <w:bCs w:val="1"/>
          <w:i w:val="1"/>
          <w:iCs w:val="1"/>
          <w:color w:val="auto"/>
        </w:rPr>
        <w:t>The airline industry is intensely competitive and dynamic.</w:t>
      </w:r>
    </w:p>
    <w:p>
      <w:pPr>
        <w:spacing w:after="0" w:line="112" w:lineRule="exact"/>
        <w:rPr>
          <w:sz w:val="20"/>
          <w:szCs w:val="20"/>
          <w:color w:val="auto"/>
        </w:rPr>
      </w:pPr>
    </w:p>
    <w:p>
      <w:pPr>
        <w:jc w:val="both"/>
        <w:ind w:firstLine="216"/>
        <w:spacing w:after="0" w:line="252" w:lineRule="auto"/>
        <w:rPr>
          <w:sz w:val="20"/>
          <w:szCs w:val="20"/>
          <w:color w:val="auto"/>
        </w:rPr>
      </w:pPr>
      <w:r>
        <w:rPr>
          <w:rFonts w:ascii="Arial" w:cs="Arial" w:eastAsia="Arial" w:hAnsi="Arial"/>
          <w:sz w:val="18"/>
          <w:szCs w:val="18"/>
          <w:color w:val="auto"/>
        </w:rPr>
        <w:t>Our competitors include other major domestic airlines and foreign, regional and new entrant airlines, as well as joint ventures formed by some of these airlines, many of which have more financial or other resources and/or lower cost structures than ours, as well as other forms of transportation, including rail and private automobiles. In many of our markets we compete with at least one low-cost carrier (including so-called ultra-low cost carriers). Our revenues are sensitive to the actions of other carriers in many areas including pricing, scheduling, capacity, amenities, loyalty benefits and promotions, which can have a substantial adverse impact not only on our revenues, but on overall industry revenues. These factors may become even more significant in periods when the industry experiences large losses, as airlines under financial stress, or in bankruptcy, may institute pricing structures intended to achieve near-term survival rather than long-term viability.</w:t>
      </w:r>
    </w:p>
    <w:p>
      <w:pPr>
        <w:spacing w:after="0" w:line="153" w:lineRule="exact"/>
        <w:rPr>
          <w:sz w:val="20"/>
          <w:szCs w:val="20"/>
          <w:color w:val="auto"/>
        </w:rPr>
      </w:pPr>
    </w:p>
    <w:p>
      <w:pPr>
        <w:jc w:val="both"/>
        <w:ind w:firstLine="216"/>
        <w:spacing w:after="0" w:line="251" w:lineRule="auto"/>
        <w:rPr>
          <w:sz w:val="20"/>
          <w:szCs w:val="20"/>
          <w:color w:val="auto"/>
        </w:rPr>
      </w:pPr>
      <w:r>
        <w:rPr>
          <w:rFonts w:ascii="Arial" w:cs="Arial" w:eastAsia="Arial" w:hAnsi="Arial"/>
          <w:sz w:val="18"/>
          <w:szCs w:val="18"/>
          <w:color w:val="auto"/>
        </w:rPr>
        <w:t>Low-cost carriers (including so-called ultra-low-cost carriers) have a profound impact on industry revenues. Using the advantage of low unit costs, these carriers offer lower fares in order to shift demand from larger, more established airlines, and represent significant competitors, particularly for customers who fly infrequently, are price sensitive and therefore tend not to be loyal to any one particular carrier. A number of these low-cost carriers have announced growth strategies including commitments to acquire significant numbers of new aircraft for delivery in the next few years. These low-cost carriers are attempting to continue to increase their market share through growth and, potentially, consolidation, and are expected to continue to have an impact on our revenues and overall performance. We and several other large network carriers have implemented “Basic Economy” fares designed to more effectively compete against low-cost carriers, but we cannot predict whether these initiatives will be successful. While historically these carriers have provided competition in domestic markets, we have recently experienced new competition from low-cost carriers on international routes, including low-cost airlines executing international long-haul expansion strategies. The actions of existing or future low-cost carriers, including those described above, could have a material adverse effect on our operations and financial performance.</w:t>
      </w:r>
    </w:p>
    <w:p>
      <w:pPr>
        <w:spacing w:after="0" w:line="158" w:lineRule="exact"/>
        <w:rPr>
          <w:sz w:val="20"/>
          <w:szCs w:val="20"/>
          <w:color w:val="auto"/>
        </w:rPr>
      </w:pPr>
    </w:p>
    <w:p>
      <w:pPr>
        <w:jc w:val="both"/>
        <w:ind w:firstLine="216"/>
        <w:spacing w:after="0" w:line="253" w:lineRule="auto"/>
        <w:rPr>
          <w:sz w:val="20"/>
          <w:szCs w:val="20"/>
          <w:color w:val="auto"/>
        </w:rPr>
      </w:pPr>
      <w:r>
        <w:rPr>
          <w:rFonts w:ascii="Arial" w:cs="Arial" w:eastAsia="Arial" w:hAnsi="Arial"/>
          <w:sz w:val="18"/>
          <w:szCs w:val="18"/>
          <w:color w:val="auto"/>
        </w:rPr>
        <w:t>We provide air travel internationally, directly as well as through joint business, alliance, codeshare and similar arrangements to which we are a party. While our network is comprehensive, compared to some of our key global competitors, we generally have somewhat greater relative exposure to certain regions (for example, Latin America) and somewhat lower relative exposures to others (for example, China). Our financial performance relative to our key competitors will therefore be influenced significantly by macro-economic conditions in particular regions around the world and the relative exposure of our network to the markets in those regions.</w:t>
      </w:r>
    </w:p>
    <w:p>
      <w:pPr>
        <w:spacing w:after="0" w:line="152" w:lineRule="exact"/>
        <w:rPr>
          <w:sz w:val="20"/>
          <w:szCs w:val="20"/>
          <w:color w:val="auto"/>
        </w:rPr>
      </w:pPr>
    </w:p>
    <w:p>
      <w:pPr>
        <w:jc w:val="both"/>
        <w:ind w:firstLine="216"/>
        <w:spacing w:after="0" w:line="251" w:lineRule="auto"/>
        <w:rPr>
          <w:sz w:val="20"/>
          <w:szCs w:val="20"/>
          <w:color w:val="auto"/>
        </w:rPr>
      </w:pPr>
      <w:r>
        <w:rPr>
          <w:rFonts w:ascii="Arial" w:cs="Arial" w:eastAsia="Arial" w:hAnsi="Arial"/>
          <w:sz w:val="18"/>
          <w:szCs w:val="18"/>
          <w:color w:val="auto"/>
        </w:rPr>
        <w:t>In providing international air transportation, we compete to provide scheduled passenger and cargo service between the U.S. and various overseas locations with U.S. airlines, foreign investor-owned airlines and foreign state-owned or state-affiliated airlines. Competition is increasing from foreign state-owned and state-affiliated airlines in the Gulf region, including Emirates, Etihad Airways and Qatar Airways. These carriers have large numbers of international widebody aircraft in service and on order and are increasing service to the U.S. from locations both in and outside the Middle East. Service to and from locations outside of the Middle East is provided by some of these carriers under so-called “fifth freedom” rights permitted under international treaties which allow service to and from stopover points between an airline’s home country and the ultimate destination. Such flights, such as a stopover in Europe on flights to the United States, allow the carrier to sell tickets for travel between the stopover point and the United States in competition with service provided by us. We believe these state-owned and state-affiliated carriers in the Gulf region, including their affiliated carriers, benefit from significant government subsidies, which have allowed them to grow quickly, reinvest in their product and expand their global presence.</w:t>
      </w:r>
    </w:p>
    <w:p>
      <w:pPr>
        <w:spacing w:after="0" w:line="158" w:lineRule="exact"/>
        <w:rPr>
          <w:sz w:val="20"/>
          <w:szCs w:val="20"/>
          <w:color w:val="auto"/>
        </w:rPr>
      </w:pPr>
    </w:p>
    <w:p>
      <w:pPr>
        <w:jc w:val="both"/>
        <w:ind w:firstLine="216"/>
        <w:spacing w:after="0" w:line="253" w:lineRule="auto"/>
        <w:rPr>
          <w:sz w:val="20"/>
          <w:szCs w:val="20"/>
          <w:color w:val="auto"/>
        </w:rPr>
      </w:pPr>
      <w:r>
        <w:rPr>
          <w:rFonts w:ascii="Arial" w:cs="Arial" w:eastAsia="Arial" w:hAnsi="Arial"/>
          <w:sz w:val="18"/>
          <w:szCs w:val="18"/>
          <w:color w:val="auto"/>
        </w:rPr>
        <w:t xml:space="preserve">Our international service exposes us to foreign economies and the potential for reduced demand when any foreign country we serve suffers adverse local economic conditions. In addition, open skies agreements, which are now in place with a substantial number of countries around the world, provide international airlines with open access to U.S. markets, potentially subjecting us to increased competition on our international routes. See also </w:t>
      </w:r>
      <w:r>
        <w:rPr>
          <w:rFonts w:ascii="Arial" w:cs="Arial" w:eastAsia="Arial" w:hAnsi="Arial"/>
          <w:sz w:val="18"/>
          <w:szCs w:val="18"/>
          <w:i w:val="1"/>
          <w:iCs w:val="1"/>
          <w:color w:val="auto"/>
        </w:rPr>
        <w:t>“Our business is subject to extensive government regulation, which may result in increases in our costs, disruptions to our</w:t>
      </w:r>
      <w:r>
        <w:rPr>
          <w:rFonts w:ascii="Arial" w:cs="Arial" w:eastAsia="Arial" w:hAnsi="Arial"/>
          <w:sz w:val="18"/>
          <w:szCs w:val="18"/>
          <w:color w:val="auto"/>
        </w:rPr>
        <w:t xml:space="preserve"> </w:t>
      </w:r>
      <w:r>
        <w:rPr>
          <w:rFonts w:ascii="Arial" w:cs="Arial" w:eastAsia="Arial" w:hAnsi="Arial"/>
          <w:sz w:val="18"/>
          <w:szCs w:val="18"/>
          <w:i w:val="1"/>
          <w:iCs w:val="1"/>
          <w:color w:val="auto"/>
        </w:rPr>
        <w:t>operations, limits on our operating flexibility, reductions in the demand for air travel, and competitive disadvantages.”</w:t>
      </w:r>
    </w:p>
    <w:p>
      <w:pPr>
        <w:spacing w:after="0" w:line="20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16</w:t>
      </w:r>
    </w:p>
    <w:p>
      <w:pPr>
        <w:sectPr>
          <w:pgSz w:w="11900" w:h="16838" w:orient="portrait"/>
          <w:cols w:equalWidth="0" w:num="1">
            <w:col w:w="11420"/>
          </w:cols>
          <w:pgMar w:left="240" w:top="549" w:right="239" w:bottom="1440" w:gutter="0" w:footer="0" w:header="0"/>
        </w:sectPr>
      </w:pPr>
    </w:p>
    <w:bookmarkStart w:id="16" w:name="page17"/>
    <w:bookmarkEnd w:id="16"/>
    <w:p>
      <w:pPr>
        <w:jc w:val="both"/>
        <w:ind w:firstLine="216"/>
        <w:spacing w:after="0" w:line="253" w:lineRule="auto"/>
        <w:rPr>
          <w:sz w:val="20"/>
          <w:szCs w:val="20"/>
          <w:color w:val="auto"/>
        </w:rPr>
      </w:pPr>
      <w:r>
        <w:rPr>
          <w:rFonts w:ascii="Arial" w:cs="Arial" w:eastAsia="Arial" w:hAnsi="Arial"/>
          <w:sz w:val="18"/>
          <w:szCs w:val="18"/>
          <w:color w:val="auto"/>
        </w:rPr>
        <w:t>Certain airline alliances, joint ventures and joint businesses have been, or may in the future be, granted immunity from antitrust regulations by governmental authorities for specific areas of cooperation, such as joint pricing decisions. To the extent alliances formed by our competitors can undertake activities that are not available to us, our ability to effectively compete may be hindered. Our ability to attract and retain customers is dependent upon, among other things, our ability to offer our customers convenient access to desired markets. Our business could be adversely affected if we are unable to maintain or obtain alliance and marketing relationships with other air carriers in desired markets.</w:t>
      </w:r>
    </w:p>
    <w:p>
      <w:pPr>
        <w:spacing w:after="0" w:line="152" w:lineRule="exact"/>
        <w:rPr>
          <w:sz w:val="20"/>
          <w:szCs w:val="20"/>
          <w:color w:val="auto"/>
        </w:rPr>
      </w:pPr>
    </w:p>
    <w:p>
      <w:pPr>
        <w:jc w:val="both"/>
        <w:ind w:firstLine="216"/>
        <w:spacing w:after="0" w:line="251" w:lineRule="auto"/>
        <w:rPr>
          <w:sz w:val="20"/>
          <w:szCs w:val="20"/>
          <w:color w:val="auto"/>
        </w:rPr>
      </w:pPr>
      <w:r>
        <w:rPr>
          <w:rFonts w:ascii="Arial" w:cs="Arial" w:eastAsia="Arial" w:hAnsi="Arial"/>
          <w:sz w:val="18"/>
          <w:szCs w:val="18"/>
          <w:color w:val="auto"/>
        </w:rPr>
        <w:t>American has established a transatlantic JBA with British Airways, Iberia and Finnair, a transpacific JBA with Japan Airlines and a JBA relating to Australia and New Zealand with Qantas Airways, each of which has been granted antitrust immunity. The transatlantic JBA relationship benefits from a grant of antitrust immunity from the DOT and was reviewed by the EC in July 2010. In connection with this review, we provided certain commitments to the EC regarding, among other things, the availability of take-off and landing slots at LHR or LGW airports. The commitments accepted by the EC are binding for 10 years. In October 2018, in anticipation of Brexit and the expiry of the EC commitments in July 2020, the CMA opened an investigation into the transatlantic JBA. We continue to fully cooperate with the CMA. An application for antitrust immunity is also pending with the DOT to add Aer Lingus, which is owned by the parent company of British Airways and Iberia, to the transatlantic JBA. The foregoing arrangements are important aspects of our international network and we are dependent on the performance and continued cooperation of the other airlines party to those agreements. No assurances can be given as to any benefits that we may derive from such arrangements or any other arrangements that may ultimately be implemented, or whether or not regulators will, or if granted continue to, approve or impose material conditions on our business activities.</w:t>
      </w:r>
    </w:p>
    <w:p>
      <w:pPr>
        <w:spacing w:after="0" w:line="158" w:lineRule="exact"/>
        <w:rPr>
          <w:sz w:val="20"/>
          <w:szCs w:val="20"/>
          <w:color w:val="auto"/>
        </w:rPr>
      </w:pPr>
    </w:p>
    <w:p>
      <w:pPr>
        <w:jc w:val="both"/>
        <w:ind w:firstLine="216"/>
        <w:spacing w:after="0" w:line="252" w:lineRule="auto"/>
        <w:rPr>
          <w:sz w:val="20"/>
          <w:szCs w:val="20"/>
          <w:color w:val="auto"/>
        </w:rPr>
      </w:pPr>
      <w:r>
        <w:rPr>
          <w:rFonts w:ascii="Arial" w:cs="Arial" w:eastAsia="Arial" w:hAnsi="Arial"/>
          <w:sz w:val="18"/>
          <w:szCs w:val="18"/>
          <w:color w:val="auto"/>
        </w:rPr>
        <w:t>Additional mergers and other forms of industry consolidation, including antitrust immunity grants, may take place and may not involve us as a participant. Depending on which carriers combine and which assets, if any, are sold or otherwise transferred to other carriers in connection with any such combinations, our competitive position relative to the post-combination carriers or other carriers that acquire such assets could be harmed. In addition, as carriers combine through traditional mergers or antitrust immunity grants, their route networks will grow, and that growth will result in greater overlap with our network, which in turn could decrease our overall market share and revenues. Such consolidation is not limited to the U.S., but could include further consolidation among international carriers in Europe and elsewhere.</w:t>
      </w:r>
    </w:p>
    <w:p>
      <w:pPr>
        <w:spacing w:after="0" w:line="155" w:lineRule="exact"/>
        <w:rPr>
          <w:sz w:val="20"/>
          <w:szCs w:val="20"/>
          <w:color w:val="auto"/>
        </w:rPr>
      </w:pPr>
    </w:p>
    <w:p>
      <w:pPr>
        <w:jc w:val="both"/>
        <w:ind w:firstLine="216"/>
        <w:spacing w:after="0" w:line="253" w:lineRule="auto"/>
        <w:rPr>
          <w:sz w:val="20"/>
          <w:szCs w:val="20"/>
          <w:color w:val="auto"/>
        </w:rPr>
      </w:pPr>
      <w:r>
        <w:rPr>
          <w:rFonts w:ascii="Arial" w:cs="Arial" w:eastAsia="Arial" w:hAnsi="Arial"/>
          <w:sz w:val="18"/>
          <w:szCs w:val="18"/>
          <w:color w:val="auto"/>
        </w:rPr>
        <w:t>Additionally, our AAdvantage loyalty program, which is an important element of our sales and marketing programs, faces significant and increasing competition from the loyalty programs offered by other travel companies, as well as from similar loyalty benefits offered by banks and other financial services companies. Competition among loyalty programs is intense regarding the rewards, fees, required usage, and other terms and conditions of these programs. These competitive factors affect our ability to attract and retain customers, increase usage of our loyalty program and maximize the revenue generated by our loyalty program.</w:t>
      </w:r>
    </w:p>
    <w:p>
      <w:pPr>
        <w:spacing w:after="0" w:line="211" w:lineRule="exact"/>
        <w:rPr>
          <w:sz w:val="20"/>
          <w:szCs w:val="20"/>
          <w:color w:val="auto"/>
        </w:rPr>
      </w:pPr>
    </w:p>
    <w:p>
      <w:pPr>
        <w:ind w:left="260"/>
        <w:spacing w:after="0"/>
        <w:rPr>
          <w:sz w:val="20"/>
          <w:szCs w:val="20"/>
          <w:color w:val="auto"/>
        </w:rPr>
      </w:pPr>
      <w:r>
        <w:rPr>
          <w:rFonts w:ascii="Arial" w:cs="Arial" w:eastAsia="Arial" w:hAnsi="Arial"/>
          <w:sz w:val="18"/>
          <w:szCs w:val="18"/>
          <w:b w:val="1"/>
          <w:bCs w:val="1"/>
          <w:i w:val="1"/>
          <w:iCs w:val="1"/>
          <w:color w:val="auto"/>
        </w:rPr>
        <w:t>Downturns in economic conditions could adversely affect our business.</w:t>
      </w:r>
    </w:p>
    <w:p>
      <w:pPr>
        <w:spacing w:after="0" w:line="112" w:lineRule="exact"/>
        <w:rPr>
          <w:sz w:val="20"/>
          <w:szCs w:val="20"/>
          <w:color w:val="auto"/>
        </w:rPr>
      </w:pPr>
    </w:p>
    <w:p>
      <w:pPr>
        <w:jc w:val="both"/>
        <w:ind w:firstLine="216"/>
        <w:spacing w:after="0" w:line="253" w:lineRule="auto"/>
        <w:rPr>
          <w:sz w:val="20"/>
          <w:szCs w:val="20"/>
          <w:color w:val="auto"/>
        </w:rPr>
      </w:pPr>
      <w:r>
        <w:rPr>
          <w:rFonts w:ascii="Arial" w:cs="Arial" w:eastAsia="Arial" w:hAnsi="Arial"/>
          <w:sz w:val="18"/>
          <w:szCs w:val="18"/>
          <w:color w:val="auto"/>
        </w:rPr>
        <w:t xml:space="preserve">Due to the discretionary nature of business and leisure travel spending and the highly competitive nature of the airline industry, our revenues are heavily influenced by the condition of the U.S. economy and economies in other regions of the world. Unfavorable conditions in these broader economies have resulted, and may result in the future, in decreased passenger demand for air travel, changes in booking practices and related reactions by our competitors, all of which in turn have had, and may have in the future, a strong negative effect on our business. See also </w:t>
      </w:r>
      <w:r>
        <w:rPr>
          <w:rFonts w:ascii="Arial" w:cs="Arial" w:eastAsia="Arial" w:hAnsi="Arial"/>
          <w:sz w:val="18"/>
          <w:szCs w:val="18"/>
          <w:i w:val="1"/>
          <w:iCs w:val="1"/>
          <w:color w:val="auto"/>
        </w:rPr>
        <w:t>“The airline industry is intensely competitive and dynamic.”</w:t>
      </w:r>
    </w:p>
    <w:p>
      <w:pPr>
        <w:spacing w:after="0" w:line="211" w:lineRule="exact"/>
        <w:rPr>
          <w:sz w:val="20"/>
          <w:szCs w:val="20"/>
          <w:color w:val="auto"/>
        </w:rPr>
      </w:pPr>
    </w:p>
    <w:p>
      <w:pPr>
        <w:jc w:val="both"/>
        <w:ind w:left="260"/>
        <w:spacing w:after="0" w:line="287" w:lineRule="auto"/>
        <w:rPr>
          <w:sz w:val="20"/>
          <w:szCs w:val="20"/>
          <w:color w:val="auto"/>
        </w:rPr>
      </w:pPr>
      <w:r>
        <w:rPr>
          <w:rFonts w:ascii="Arial" w:cs="Arial" w:eastAsia="Arial" w:hAnsi="Arial"/>
          <w:sz w:val="18"/>
          <w:szCs w:val="18"/>
          <w:b w:val="1"/>
          <w:bCs w:val="1"/>
          <w:i w:val="1"/>
          <w:iCs w:val="1"/>
          <w:color w:val="auto"/>
        </w:rPr>
        <w:t>Our business has been and will continue to be affected by many changing economic and other conditions beyond our control, including global events that affect travel behavior, and our results of operations could be volatile and fluctuate due to seasonality.</w:t>
      </w:r>
    </w:p>
    <w:p>
      <w:pPr>
        <w:spacing w:after="0" w:line="40" w:lineRule="exact"/>
        <w:rPr>
          <w:sz w:val="20"/>
          <w:szCs w:val="20"/>
          <w:color w:val="auto"/>
        </w:rPr>
      </w:pPr>
    </w:p>
    <w:p>
      <w:pPr>
        <w:ind w:firstLine="216"/>
        <w:spacing w:after="0" w:line="262" w:lineRule="auto"/>
        <w:rPr>
          <w:sz w:val="20"/>
          <w:szCs w:val="20"/>
          <w:color w:val="auto"/>
        </w:rPr>
      </w:pPr>
      <w:r>
        <w:rPr>
          <w:rFonts w:ascii="Arial" w:cs="Arial" w:eastAsia="Arial" w:hAnsi="Arial"/>
          <w:sz w:val="18"/>
          <w:szCs w:val="18"/>
          <w:color w:val="auto"/>
        </w:rPr>
        <w:t>Our business, results of operations and financial condition have been and will continue to be affected by many changing economic and other conditions beyond our control, including, among others:</w:t>
      </w:r>
    </w:p>
    <w:p>
      <w:pPr>
        <w:spacing w:after="0" w:line="142" w:lineRule="exact"/>
        <w:rPr>
          <w:sz w:val="20"/>
          <w:szCs w:val="20"/>
          <w:color w:val="auto"/>
        </w:rPr>
      </w:pPr>
    </w:p>
    <w:p>
      <w:pPr>
        <w:ind w:left="1300" w:hanging="644"/>
        <w:spacing w:after="0" w:line="262" w:lineRule="auto"/>
        <w:tabs>
          <w:tab w:leader="none" w:pos="1300" w:val="left"/>
        </w:tabs>
        <w:numPr>
          <w:ilvl w:val="0"/>
          <w:numId w:val="7"/>
        </w:numPr>
        <w:rPr>
          <w:rFonts w:ascii="Arial" w:cs="Arial" w:eastAsia="Arial" w:hAnsi="Arial"/>
          <w:sz w:val="18"/>
          <w:szCs w:val="18"/>
          <w:color w:val="auto"/>
        </w:rPr>
      </w:pPr>
      <w:r>
        <w:rPr>
          <w:rFonts w:ascii="Arial" w:cs="Arial" w:eastAsia="Arial" w:hAnsi="Arial"/>
          <w:sz w:val="18"/>
          <w:szCs w:val="18"/>
          <w:color w:val="auto"/>
        </w:rPr>
        <w:t>actual or potential changes in international, national, regional and local economic, business and financial conditions, including recession, inflation, higher interest rates, wars, terrorist attacks and political instability;</w:t>
      </w:r>
    </w:p>
    <w:p>
      <w:pPr>
        <w:spacing w:after="0" w:line="142" w:lineRule="exact"/>
        <w:rPr>
          <w:rFonts w:ascii="Arial" w:cs="Arial" w:eastAsia="Arial" w:hAnsi="Arial"/>
          <w:sz w:val="18"/>
          <w:szCs w:val="18"/>
          <w:color w:val="auto"/>
        </w:rPr>
      </w:pPr>
    </w:p>
    <w:p>
      <w:pPr>
        <w:ind w:left="1300" w:hanging="644"/>
        <w:spacing w:after="0"/>
        <w:tabs>
          <w:tab w:leader="none" w:pos="1300" w:val="left"/>
        </w:tabs>
        <w:numPr>
          <w:ilvl w:val="0"/>
          <w:numId w:val="7"/>
        </w:numPr>
        <w:rPr>
          <w:rFonts w:ascii="Arial" w:cs="Arial" w:eastAsia="Arial" w:hAnsi="Arial"/>
          <w:sz w:val="18"/>
          <w:szCs w:val="18"/>
          <w:color w:val="auto"/>
        </w:rPr>
      </w:pPr>
      <w:r>
        <w:rPr>
          <w:rFonts w:ascii="Arial" w:cs="Arial" w:eastAsia="Arial" w:hAnsi="Arial"/>
          <w:sz w:val="18"/>
          <w:szCs w:val="18"/>
          <w:color w:val="auto"/>
        </w:rPr>
        <w:t>changes in consumer preferences, perceptions, spending patterns and demographic trends;</w:t>
      </w:r>
    </w:p>
    <w:p>
      <w:pPr>
        <w:spacing w:after="0" w:line="171" w:lineRule="exact"/>
        <w:rPr>
          <w:rFonts w:ascii="Arial" w:cs="Arial" w:eastAsia="Arial" w:hAnsi="Arial"/>
          <w:sz w:val="18"/>
          <w:szCs w:val="18"/>
          <w:color w:val="auto"/>
        </w:rPr>
      </w:pPr>
    </w:p>
    <w:p>
      <w:pPr>
        <w:ind w:left="1300" w:hanging="644"/>
        <w:spacing w:after="0"/>
        <w:tabs>
          <w:tab w:leader="none" w:pos="1300" w:val="left"/>
        </w:tabs>
        <w:numPr>
          <w:ilvl w:val="0"/>
          <w:numId w:val="7"/>
        </w:numPr>
        <w:rPr>
          <w:rFonts w:ascii="Arial" w:cs="Arial" w:eastAsia="Arial" w:hAnsi="Arial"/>
          <w:sz w:val="18"/>
          <w:szCs w:val="18"/>
          <w:color w:val="auto"/>
        </w:rPr>
      </w:pPr>
      <w:r>
        <w:rPr>
          <w:rFonts w:ascii="Arial" w:cs="Arial" w:eastAsia="Arial" w:hAnsi="Arial"/>
          <w:sz w:val="18"/>
          <w:szCs w:val="18"/>
          <w:color w:val="auto"/>
        </w:rPr>
        <w:t>changes in the competitive environment due to industry consolidation, changes in airline alliance affiliations, and other factors;</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17</w:t>
      </w:r>
    </w:p>
    <w:p>
      <w:pPr>
        <w:sectPr>
          <w:pgSz w:w="11900" w:h="16838" w:orient="portrait"/>
          <w:cols w:equalWidth="0" w:num="1">
            <w:col w:w="11420"/>
          </w:cols>
          <w:pgMar w:left="240" w:top="733" w:right="239" w:bottom="1440" w:gutter="0" w:footer="0" w:header="0"/>
        </w:sectPr>
      </w:pPr>
    </w:p>
    <w:bookmarkStart w:id="17" w:name="page18"/>
    <w:bookmarkEnd w:id="17"/>
    <w:p>
      <w:pPr>
        <w:ind w:left="1300" w:hanging="644"/>
        <w:spacing w:after="0"/>
        <w:tabs>
          <w:tab w:leader="none" w:pos="1300" w:val="left"/>
        </w:tabs>
        <w:numPr>
          <w:ilvl w:val="0"/>
          <w:numId w:val="8"/>
        </w:numPr>
        <w:rPr>
          <w:rFonts w:ascii="Arial" w:cs="Arial" w:eastAsia="Arial" w:hAnsi="Arial"/>
          <w:sz w:val="18"/>
          <w:szCs w:val="18"/>
          <w:color w:val="auto"/>
        </w:rPr>
      </w:pPr>
      <w:r>
        <w:rPr>
          <w:rFonts w:ascii="Arial" w:cs="Arial" w:eastAsia="Arial" w:hAnsi="Arial"/>
          <w:sz w:val="18"/>
          <w:szCs w:val="18"/>
          <w:color w:val="auto"/>
        </w:rPr>
        <w:t>actual or potential disruptions to the ATC systems;</w:t>
      </w:r>
    </w:p>
    <w:p>
      <w:pPr>
        <w:spacing w:after="0" w:line="171" w:lineRule="exact"/>
        <w:rPr>
          <w:rFonts w:ascii="Arial" w:cs="Arial" w:eastAsia="Arial" w:hAnsi="Arial"/>
          <w:sz w:val="18"/>
          <w:szCs w:val="18"/>
          <w:color w:val="auto"/>
        </w:rPr>
      </w:pPr>
    </w:p>
    <w:p>
      <w:pPr>
        <w:ind w:left="1300" w:hanging="644"/>
        <w:spacing w:after="0"/>
        <w:tabs>
          <w:tab w:leader="none" w:pos="1300" w:val="left"/>
        </w:tabs>
        <w:numPr>
          <w:ilvl w:val="0"/>
          <w:numId w:val="8"/>
        </w:numPr>
        <w:rPr>
          <w:rFonts w:ascii="Arial" w:cs="Arial" w:eastAsia="Arial" w:hAnsi="Arial"/>
          <w:sz w:val="18"/>
          <w:szCs w:val="18"/>
          <w:color w:val="auto"/>
        </w:rPr>
      </w:pPr>
      <w:r>
        <w:rPr>
          <w:rFonts w:ascii="Arial" w:cs="Arial" w:eastAsia="Arial" w:hAnsi="Arial"/>
          <w:sz w:val="18"/>
          <w:szCs w:val="18"/>
          <w:color w:val="auto"/>
        </w:rPr>
        <w:t>increases in costs of safety, security, and environmental measures;</w:t>
      </w:r>
    </w:p>
    <w:p>
      <w:pPr>
        <w:spacing w:after="0" w:line="171" w:lineRule="exact"/>
        <w:rPr>
          <w:rFonts w:ascii="Arial" w:cs="Arial" w:eastAsia="Arial" w:hAnsi="Arial"/>
          <w:sz w:val="18"/>
          <w:szCs w:val="18"/>
          <w:color w:val="auto"/>
        </w:rPr>
      </w:pPr>
    </w:p>
    <w:p>
      <w:pPr>
        <w:ind w:left="1300" w:hanging="644"/>
        <w:spacing w:after="0"/>
        <w:tabs>
          <w:tab w:leader="none" w:pos="1300" w:val="left"/>
        </w:tabs>
        <w:numPr>
          <w:ilvl w:val="0"/>
          <w:numId w:val="8"/>
        </w:numPr>
        <w:rPr>
          <w:rFonts w:ascii="Arial" w:cs="Arial" w:eastAsia="Arial" w:hAnsi="Arial"/>
          <w:sz w:val="18"/>
          <w:szCs w:val="18"/>
          <w:color w:val="auto"/>
        </w:rPr>
      </w:pPr>
      <w:r>
        <w:rPr>
          <w:rFonts w:ascii="Arial" w:cs="Arial" w:eastAsia="Arial" w:hAnsi="Arial"/>
          <w:sz w:val="18"/>
          <w:szCs w:val="18"/>
          <w:color w:val="auto"/>
        </w:rPr>
        <w:t>outbreaks of diseases that affect travel behavior; and</w:t>
      </w:r>
    </w:p>
    <w:p>
      <w:pPr>
        <w:spacing w:after="0" w:line="171" w:lineRule="exact"/>
        <w:rPr>
          <w:rFonts w:ascii="Arial" w:cs="Arial" w:eastAsia="Arial" w:hAnsi="Arial"/>
          <w:sz w:val="18"/>
          <w:szCs w:val="18"/>
          <w:color w:val="auto"/>
        </w:rPr>
      </w:pPr>
    </w:p>
    <w:p>
      <w:pPr>
        <w:ind w:left="1300" w:hanging="644"/>
        <w:spacing w:after="0" w:line="262" w:lineRule="auto"/>
        <w:tabs>
          <w:tab w:leader="none" w:pos="1300" w:val="left"/>
        </w:tabs>
        <w:numPr>
          <w:ilvl w:val="0"/>
          <w:numId w:val="8"/>
        </w:numPr>
        <w:rPr>
          <w:rFonts w:ascii="Arial" w:cs="Arial" w:eastAsia="Arial" w:hAnsi="Arial"/>
          <w:sz w:val="18"/>
          <w:szCs w:val="18"/>
          <w:color w:val="auto"/>
        </w:rPr>
      </w:pPr>
      <w:r>
        <w:rPr>
          <w:rFonts w:ascii="Arial" w:cs="Arial" w:eastAsia="Arial" w:hAnsi="Arial"/>
          <w:sz w:val="18"/>
          <w:szCs w:val="18"/>
          <w:color w:val="auto"/>
        </w:rPr>
        <w:t>weather and natural disasters, including increases in frequency, severity or duration of such disasters, and related costs caused by more severe weather due to climate change.</w:t>
      </w:r>
    </w:p>
    <w:p>
      <w:pPr>
        <w:spacing w:after="0" w:line="142" w:lineRule="exact"/>
        <w:rPr>
          <w:sz w:val="20"/>
          <w:szCs w:val="20"/>
          <w:color w:val="auto"/>
        </w:rPr>
      </w:pPr>
    </w:p>
    <w:p>
      <w:pPr>
        <w:jc w:val="both"/>
        <w:ind w:firstLine="216"/>
        <w:spacing w:after="0" w:line="251" w:lineRule="auto"/>
        <w:rPr>
          <w:sz w:val="20"/>
          <w:szCs w:val="20"/>
          <w:color w:val="auto"/>
        </w:rPr>
      </w:pPr>
      <w:r>
        <w:rPr>
          <w:rFonts w:ascii="Arial" w:cs="Arial" w:eastAsia="Arial" w:hAnsi="Arial"/>
          <w:sz w:val="18"/>
          <w:szCs w:val="18"/>
          <w:color w:val="auto"/>
        </w:rPr>
        <w:t>In particular, an outbreak of a contagious disease such as the Ebola virus, Middle East Respiratory Syndrome, Severe Acute Respiratory Syndrome, H1N1 influenza virus, avian flu, Zika virus, coronavirus or any other similar illness, if it were to become associated with air travel or persist for an extended period, could materially affect the airline industry and us by reducing revenues and adversely impacting our operations and passengers’ travel behavior. For example, the coronavirus outbreak that originated in or around Wuhan, China in January 2020 has resulted in the widespread suspension of commercial air service to the region, including by American, as well as the imposition by the U.S. and other governments of significant restrictions on inbound travel from this region. Our suspension of service, which remains in place as of the date of this report, and the potential for a period of significantly reduced demand for travel has and will likely continue to result in significant lost revenue. As a result of these or other conditions beyond our control, our results of operations could be volatile and subject to rapid and unexpected change. In addition, due to generally weaker demand for air travel during the winter, our revenues in the first and fourth quarters of the year could be weaker than revenues in the second and third quarters of the year.</w:t>
      </w:r>
    </w:p>
    <w:p>
      <w:pPr>
        <w:spacing w:after="0" w:line="217" w:lineRule="exact"/>
        <w:rPr>
          <w:sz w:val="20"/>
          <w:szCs w:val="20"/>
          <w:color w:val="auto"/>
        </w:rPr>
      </w:pPr>
    </w:p>
    <w:p>
      <w:pPr>
        <w:jc w:val="both"/>
        <w:ind w:left="260"/>
        <w:spacing w:after="0" w:line="269" w:lineRule="auto"/>
        <w:rPr>
          <w:sz w:val="20"/>
          <w:szCs w:val="20"/>
          <w:color w:val="auto"/>
        </w:rPr>
      </w:pPr>
      <w:r>
        <w:rPr>
          <w:rFonts w:ascii="Arial" w:cs="Arial" w:eastAsia="Arial" w:hAnsi="Arial"/>
          <w:sz w:val="18"/>
          <w:szCs w:val="18"/>
          <w:b w:val="1"/>
          <w:bCs w:val="1"/>
          <w:i w:val="1"/>
          <w:iCs w:val="1"/>
          <w:color w:val="auto"/>
        </w:rPr>
        <w:t>Our business is very dependent on the price and availability of aircraft fuel. Continued periods of high volatility in fuel costs, increased fuel prices or significant disruptions in the supply of aircraft fuel could have a significant negative impact on our operating results and liquidity.</w:t>
      </w:r>
    </w:p>
    <w:p>
      <w:pPr>
        <w:spacing w:after="0" w:line="55" w:lineRule="exact"/>
        <w:rPr>
          <w:sz w:val="20"/>
          <w:szCs w:val="20"/>
          <w:color w:val="auto"/>
        </w:rPr>
      </w:pPr>
    </w:p>
    <w:p>
      <w:pPr>
        <w:jc w:val="both"/>
        <w:ind w:right="20" w:firstLine="216"/>
        <w:spacing w:after="0" w:line="256" w:lineRule="auto"/>
        <w:rPr>
          <w:sz w:val="20"/>
          <w:szCs w:val="20"/>
          <w:color w:val="auto"/>
        </w:rPr>
      </w:pPr>
      <w:r>
        <w:rPr>
          <w:rFonts w:ascii="Arial" w:cs="Arial" w:eastAsia="Arial" w:hAnsi="Arial"/>
          <w:sz w:val="18"/>
          <w:szCs w:val="18"/>
          <w:color w:val="auto"/>
        </w:rPr>
        <w:t>Our operating results are materially impacted by changes in the availability, price volatility and cost of aircraft fuel, which represents one of the largest single cost items in our business. Market prices for aircraft fuel have fluctuated substantially over the past several years and prices continue to be highly volatile.</w:t>
      </w:r>
    </w:p>
    <w:p>
      <w:pPr>
        <w:spacing w:after="0" w:line="148" w:lineRule="exact"/>
        <w:rPr>
          <w:sz w:val="20"/>
          <w:szCs w:val="20"/>
          <w:color w:val="auto"/>
        </w:rPr>
      </w:pPr>
    </w:p>
    <w:p>
      <w:pPr>
        <w:jc w:val="both"/>
        <w:ind w:firstLine="216"/>
        <w:spacing w:after="0" w:line="253" w:lineRule="auto"/>
        <w:rPr>
          <w:sz w:val="20"/>
          <w:szCs w:val="20"/>
          <w:color w:val="auto"/>
        </w:rPr>
      </w:pPr>
      <w:r>
        <w:rPr>
          <w:rFonts w:ascii="Arial" w:cs="Arial" w:eastAsia="Arial" w:hAnsi="Arial"/>
          <w:sz w:val="18"/>
          <w:szCs w:val="18"/>
          <w:color w:val="auto"/>
        </w:rPr>
        <w:t>Because of the amount of fuel needed to operate our business, even a relatively small increase or decrease in the price of fuel can have a material effect on our operating results and liquidity. Due to the competitive nature of the airline industry and unpredictability of the market for air travel, we can offer no assurance that we may be able to increase our fares, impose fuel surcharges or otherwise increase revenues or decrease other operating costs sufficiently to offset fuel price increases. Similarly, we cannot predict actions that may be taken by our competitors in response to changes in fuel prices.</w:t>
      </w:r>
    </w:p>
    <w:p>
      <w:pPr>
        <w:spacing w:after="0" w:line="152" w:lineRule="exact"/>
        <w:rPr>
          <w:sz w:val="20"/>
          <w:szCs w:val="20"/>
          <w:color w:val="auto"/>
        </w:rPr>
      </w:pPr>
    </w:p>
    <w:p>
      <w:pPr>
        <w:jc w:val="both"/>
        <w:ind w:firstLine="216"/>
        <w:spacing w:after="0" w:line="251" w:lineRule="auto"/>
        <w:rPr>
          <w:sz w:val="20"/>
          <w:szCs w:val="20"/>
          <w:color w:val="auto"/>
        </w:rPr>
      </w:pPr>
      <w:r>
        <w:rPr>
          <w:rFonts w:ascii="Arial" w:cs="Arial" w:eastAsia="Arial" w:hAnsi="Arial"/>
          <w:sz w:val="18"/>
          <w:szCs w:val="18"/>
          <w:color w:val="auto"/>
        </w:rPr>
        <w:t>Although we are currently able to obtain adequate supplies of aircraft fuel, we cannot predict the future availability, price volatility or cost of aircraft fuel. Natural disasters (including hurricanes or similar events in the U.S. Southeast and on the Gulf Coast where a significant portion of domestic refining capacity is located), political disruptions or wars involving oil-producing countries, economic sanctions imposed against oil-producing countries or specific industry participants, changes in fuel-related governmental policy, the strength of the U.S. dollar against foreign currencies, changes in the cost to transport or store petroleum products, changes in access to petroleum product pipelines and terminals, speculation in the energy futures markets, changes in aircraft fuel production capacity, environmental concerns and other unpredictable events may result in fuel supply shortages, distribution challenges, additional fuel price volatility and cost increases in the future. For instance, effective January 1, 2020, rules adopted by the International Maritime Organization restrict the sulfur content allowable in marine fuels from 3.5% to 0.5%, which is expected to cause increased demand by maritime shipping companies for low-sulfur fuel and potentially lead to increased costs of aircraft fuel. Any of these factors or events could cause a disruption in or increased demands on oil production, refinery operations, pipeline capacity or terminal access and possibly result in significant increases in the price of aircraft fuel and diminished availability of aircraft fuel supply.</w:t>
      </w:r>
    </w:p>
    <w:p>
      <w:pPr>
        <w:spacing w:after="0" w:line="157" w:lineRule="exact"/>
        <w:rPr>
          <w:sz w:val="20"/>
          <w:szCs w:val="20"/>
          <w:color w:val="auto"/>
        </w:rPr>
      </w:pPr>
    </w:p>
    <w:p>
      <w:pPr>
        <w:jc w:val="both"/>
        <w:ind w:firstLine="216"/>
        <w:spacing w:after="0" w:line="252" w:lineRule="auto"/>
        <w:rPr>
          <w:sz w:val="20"/>
          <w:szCs w:val="20"/>
          <w:color w:val="auto"/>
        </w:rPr>
      </w:pPr>
      <w:r>
        <w:rPr>
          <w:rFonts w:ascii="Arial" w:cs="Arial" w:eastAsia="Arial" w:hAnsi="Arial"/>
          <w:sz w:val="18"/>
          <w:szCs w:val="18"/>
          <w:color w:val="auto"/>
        </w:rPr>
        <w:t xml:space="preserve">Our aviation fuel purchase contracts generally do not provide meaningful price protection against increases in fuel costs. Our current policy is not to enter into transactions to hedge our fuel consumption, although we review this policy from time to time based on market conditions and other factors. Accordingly, as of December 31, 2019, we did not have any fuel hedging contracts outstanding to hedge our fuel consumption. As such, and assuming we do not enter into any future transactions to hedge our fuel consumption, we will continue to be fully exposed to fluctuations in fuel prices. See also the discussion in Part II, Item 7A. Quantitative and Qualitative Disclosures About Market Risk – </w:t>
      </w:r>
      <w:r>
        <w:rPr>
          <w:rFonts w:ascii="Arial" w:cs="Arial" w:eastAsia="Arial" w:hAnsi="Arial"/>
          <w:sz w:val="18"/>
          <w:szCs w:val="18"/>
          <w:i w:val="1"/>
          <w:iCs w:val="1"/>
          <w:color w:val="auto"/>
        </w:rPr>
        <w:t>“Aircraft</w:t>
      </w:r>
      <w:r>
        <w:rPr>
          <w:rFonts w:ascii="Arial" w:cs="Arial" w:eastAsia="Arial" w:hAnsi="Arial"/>
          <w:sz w:val="18"/>
          <w:szCs w:val="18"/>
          <w:color w:val="auto"/>
        </w:rPr>
        <w:t xml:space="preserve"> </w:t>
      </w:r>
      <w:r>
        <w:rPr>
          <w:rFonts w:ascii="Arial" w:cs="Arial" w:eastAsia="Arial" w:hAnsi="Arial"/>
          <w:sz w:val="18"/>
          <w:szCs w:val="18"/>
          <w:i w:val="1"/>
          <w:iCs w:val="1"/>
          <w:color w:val="auto"/>
        </w:rPr>
        <w:t>Fuel.”</w:t>
      </w:r>
    </w:p>
    <w:p>
      <w:pPr>
        <w:spacing w:after="0" w:line="20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18</w:t>
      </w:r>
    </w:p>
    <w:p>
      <w:pPr>
        <w:sectPr>
          <w:pgSz w:w="11900" w:h="16838" w:orient="portrait"/>
          <w:cols w:equalWidth="0" w:num="1">
            <w:col w:w="11420"/>
          </w:cols>
          <w:pgMar w:left="240" w:top="733" w:right="239" w:bottom="1440" w:gutter="0" w:footer="0" w:header="0"/>
        </w:sectPr>
      </w:pPr>
    </w:p>
    <w:bookmarkStart w:id="18" w:name="page19"/>
    <w:bookmarkEnd w:id="18"/>
    <w:p>
      <w:pPr>
        <w:jc w:val="both"/>
        <w:ind w:left="260" w:right="20"/>
        <w:spacing w:after="0" w:line="269" w:lineRule="auto"/>
        <w:rPr>
          <w:sz w:val="20"/>
          <w:szCs w:val="20"/>
          <w:color w:val="auto"/>
        </w:rPr>
      </w:pPr>
      <w:r>
        <w:rPr>
          <w:rFonts w:ascii="Arial" w:cs="Arial" w:eastAsia="Arial" w:hAnsi="Arial"/>
          <w:sz w:val="18"/>
          <w:szCs w:val="18"/>
          <w:b w:val="1"/>
          <w:bCs w:val="1"/>
          <w:i w:val="1"/>
          <w:iCs w:val="1"/>
          <w:color w:val="auto"/>
        </w:rPr>
        <w:t>Our high level of debt and other obligations may limit our ability to fund general corporate requirements and obtain additional financing, may limit our flexibility in responding to competitive developments and cause our business to be vulnerable to adverse economic and industry conditions.</w:t>
      </w:r>
    </w:p>
    <w:p>
      <w:pPr>
        <w:spacing w:after="0" w:line="55" w:lineRule="exact"/>
        <w:rPr>
          <w:sz w:val="20"/>
          <w:szCs w:val="20"/>
          <w:color w:val="auto"/>
        </w:rPr>
      </w:pPr>
    </w:p>
    <w:p>
      <w:pPr>
        <w:jc w:val="both"/>
        <w:ind w:firstLine="216"/>
        <w:spacing w:after="0" w:line="253" w:lineRule="auto"/>
        <w:rPr>
          <w:sz w:val="20"/>
          <w:szCs w:val="20"/>
          <w:color w:val="auto"/>
        </w:rPr>
      </w:pPr>
      <w:r>
        <w:rPr>
          <w:rFonts w:ascii="Arial" w:cs="Arial" w:eastAsia="Arial" w:hAnsi="Arial"/>
          <w:sz w:val="18"/>
          <w:szCs w:val="18"/>
          <w:color w:val="auto"/>
        </w:rPr>
        <w:t>We have significant amounts of indebtedness and other obligations, including pension obligations, obligations to make future payments on flight equipment and property leases related to airport and other facilities, and substantial non-cancelable obligations under aircraft and related spare engine purchase agreements. Moreover, currently a substantial portion of our assets are pledged to secure our indebtedness. Our substantial indebtedness and other obligations, which are generally greater than the indebtedness and other obligations of our competitors, could have important consequences. For example, they:</w:t>
      </w:r>
    </w:p>
    <w:p>
      <w:pPr>
        <w:spacing w:after="0" w:line="152" w:lineRule="exact"/>
        <w:rPr>
          <w:sz w:val="20"/>
          <w:szCs w:val="20"/>
          <w:color w:val="auto"/>
        </w:rPr>
      </w:pPr>
    </w:p>
    <w:p>
      <w:pPr>
        <w:ind w:left="1300" w:hanging="644"/>
        <w:spacing w:after="0"/>
        <w:tabs>
          <w:tab w:leader="none" w:pos="1300" w:val="left"/>
        </w:tabs>
        <w:numPr>
          <w:ilvl w:val="0"/>
          <w:numId w:val="9"/>
        </w:numPr>
        <w:rPr>
          <w:rFonts w:ascii="Arial" w:cs="Arial" w:eastAsia="Arial" w:hAnsi="Arial"/>
          <w:sz w:val="18"/>
          <w:szCs w:val="18"/>
          <w:color w:val="auto"/>
        </w:rPr>
      </w:pPr>
      <w:r>
        <w:rPr>
          <w:rFonts w:ascii="Arial" w:cs="Arial" w:eastAsia="Arial" w:hAnsi="Arial"/>
          <w:sz w:val="18"/>
          <w:szCs w:val="18"/>
          <w:color w:val="auto"/>
        </w:rPr>
        <w:t>may make it more difficult for us to satisfy our obligations under our indebtedness;</w:t>
      </w:r>
    </w:p>
    <w:p>
      <w:pPr>
        <w:spacing w:after="0" w:line="171" w:lineRule="exact"/>
        <w:rPr>
          <w:rFonts w:ascii="Arial" w:cs="Arial" w:eastAsia="Arial" w:hAnsi="Arial"/>
          <w:sz w:val="18"/>
          <w:szCs w:val="18"/>
          <w:color w:val="auto"/>
        </w:rPr>
      </w:pPr>
    </w:p>
    <w:p>
      <w:pPr>
        <w:ind w:left="1300" w:hanging="644"/>
        <w:spacing w:after="0" w:line="262" w:lineRule="auto"/>
        <w:tabs>
          <w:tab w:leader="none" w:pos="1300" w:val="left"/>
        </w:tabs>
        <w:numPr>
          <w:ilvl w:val="0"/>
          <w:numId w:val="9"/>
        </w:numPr>
        <w:rPr>
          <w:rFonts w:ascii="Arial" w:cs="Arial" w:eastAsia="Arial" w:hAnsi="Arial"/>
          <w:sz w:val="18"/>
          <w:szCs w:val="18"/>
          <w:color w:val="auto"/>
        </w:rPr>
      </w:pPr>
      <w:r>
        <w:rPr>
          <w:rFonts w:ascii="Arial" w:cs="Arial" w:eastAsia="Arial" w:hAnsi="Arial"/>
          <w:sz w:val="18"/>
          <w:szCs w:val="18"/>
          <w:color w:val="auto"/>
        </w:rPr>
        <w:t>may limit our ability to obtain additional funding for working capital, capital expenditures, acquisitions, investments, integration costs and general corporate purposes, and adversely affect the terms on which such funding can be obtained;</w:t>
      </w:r>
    </w:p>
    <w:p>
      <w:pPr>
        <w:spacing w:after="0" w:line="142" w:lineRule="exact"/>
        <w:rPr>
          <w:rFonts w:ascii="Arial" w:cs="Arial" w:eastAsia="Arial" w:hAnsi="Arial"/>
          <w:sz w:val="18"/>
          <w:szCs w:val="18"/>
          <w:color w:val="auto"/>
        </w:rPr>
      </w:pPr>
    </w:p>
    <w:p>
      <w:pPr>
        <w:ind w:left="1300" w:hanging="644"/>
        <w:spacing w:after="0" w:line="262" w:lineRule="auto"/>
        <w:tabs>
          <w:tab w:leader="none" w:pos="1300" w:val="left"/>
        </w:tabs>
        <w:numPr>
          <w:ilvl w:val="0"/>
          <w:numId w:val="9"/>
        </w:numPr>
        <w:rPr>
          <w:rFonts w:ascii="Arial" w:cs="Arial" w:eastAsia="Arial" w:hAnsi="Arial"/>
          <w:sz w:val="18"/>
          <w:szCs w:val="18"/>
          <w:color w:val="auto"/>
        </w:rPr>
      </w:pPr>
      <w:r>
        <w:rPr>
          <w:rFonts w:ascii="Arial" w:cs="Arial" w:eastAsia="Arial" w:hAnsi="Arial"/>
          <w:sz w:val="18"/>
          <w:szCs w:val="18"/>
          <w:color w:val="auto"/>
        </w:rPr>
        <w:t>require us to dedicate a substantial portion of our cash flow from operations to payments on our indebtedness and other obligations, thereby reducing the funds available for other purposes;</w:t>
      </w:r>
    </w:p>
    <w:p>
      <w:pPr>
        <w:spacing w:after="0" w:line="142" w:lineRule="exact"/>
        <w:rPr>
          <w:rFonts w:ascii="Arial" w:cs="Arial" w:eastAsia="Arial" w:hAnsi="Arial"/>
          <w:sz w:val="18"/>
          <w:szCs w:val="18"/>
          <w:color w:val="auto"/>
        </w:rPr>
      </w:pPr>
    </w:p>
    <w:p>
      <w:pPr>
        <w:ind w:left="1300" w:right="20" w:hanging="644"/>
        <w:spacing w:after="0" w:line="262" w:lineRule="auto"/>
        <w:tabs>
          <w:tab w:leader="none" w:pos="1300" w:val="left"/>
        </w:tabs>
        <w:numPr>
          <w:ilvl w:val="0"/>
          <w:numId w:val="9"/>
        </w:numPr>
        <w:rPr>
          <w:rFonts w:ascii="Arial" w:cs="Arial" w:eastAsia="Arial" w:hAnsi="Arial"/>
          <w:sz w:val="18"/>
          <w:szCs w:val="18"/>
          <w:color w:val="auto"/>
        </w:rPr>
      </w:pPr>
      <w:r>
        <w:rPr>
          <w:rFonts w:ascii="Arial" w:cs="Arial" w:eastAsia="Arial" w:hAnsi="Arial"/>
          <w:sz w:val="18"/>
          <w:szCs w:val="18"/>
          <w:color w:val="auto"/>
        </w:rPr>
        <w:t>make us more vulnerable to economic downturns, industry conditions and catastrophic external events, particularly relative to competitors with lower relative levels of financial leverage;</w:t>
      </w:r>
    </w:p>
    <w:p>
      <w:pPr>
        <w:spacing w:after="0" w:line="142" w:lineRule="exact"/>
        <w:rPr>
          <w:rFonts w:ascii="Arial" w:cs="Arial" w:eastAsia="Arial" w:hAnsi="Arial"/>
          <w:sz w:val="18"/>
          <w:szCs w:val="18"/>
          <w:color w:val="auto"/>
        </w:rPr>
      </w:pPr>
    </w:p>
    <w:p>
      <w:pPr>
        <w:jc w:val="both"/>
        <w:ind w:left="1300" w:hanging="644"/>
        <w:spacing w:after="0" w:line="256" w:lineRule="auto"/>
        <w:tabs>
          <w:tab w:leader="none" w:pos="1300" w:val="left"/>
        </w:tabs>
        <w:numPr>
          <w:ilvl w:val="0"/>
          <w:numId w:val="9"/>
        </w:numPr>
        <w:rPr>
          <w:rFonts w:ascii="Arial" w:cs="Arial" w:eastAsia="Arial" w:hAnsi="Arial"/>
          <w:sz w:val="18"/>
          <w:szCs w:val="18"/>
          <w:color w:val="auto"/>
        </w:rPr>
      </w:pPr>
      <w:r>
        <w:rPr>
          <w:rFonts w:ascii="Arial" w:cs="Arial" w:eastAsia="Arial" w:hAnsi="Arial"/>
          <w:sz w:val="18"/>
          <w:szCs w:val="18"/>
          <w:color w:val="auto"/>
        </w:rPr>
        <w:t>significantly constrain our ability to respond, or respond quickly, to unexpected disruptions in our own operations, the U.S. or global economies, or the businesses in which we operate, or to take advantage of opportunities that would improve our business, operations, or competitive position versus other airlines;</w:t>
      </w:r>
    </w:p>
    <w:p>
      <w:pPr>
        <w:spacing w:after="0" w:line="147" w:lineRule="exact"/>
        <w:rPr>
          <w:rFonts w:ascii="Arial" w:cs="Arial" w:eastAsia="Arial" w:hAnsi="Arial"/>
          <w:sz w:val="18"/>
          <w:szCs w:val="18"/>
          <w:color w:val="auto"/>
        </w:rPr>
      </w:pPr>
    </w:p>
    <w:p>
      <w:pPr>
        <w:ind w:left="1300" w:hanging="644"/>
        <w:spacing w:after="0" w:line="262" w:lineRule="auto"/>
        <w:tabs>
          <w:tab w:leader="none" w:pos="1300" w:val="left"/>
        </w:tabs>
        <w:numPr>
          <w:ilvl w:val="0"/>
          <w:numId w:val="9"/>
        </w:numPr>
        <w:rPr>
          <w:rFonts w:ascii="Arial" w:cs="Arial" w:eastAsia="Arial" w:hAnsi="Arial"/>
          <w:sz w:val="18"/>
          <w:szCs w:val="18"/>
          <w:color w:val="auto"/>
        </w:rPr>
      </w:pPr>
      <w:r>
        <w:rPr>
          <w:rFonts w:ascii="Arial" w:cs="Arial" w:eastAsia="Arial" w:hAnsi="Arial"/>
          <w:sz w:val="18"/>
          <w:szCs w:val="18"/>
          <w:color w:val="auto"/>
        </w:rPr>
        <w:t>limit our ability to withstand competitive pressures and reduce our flexibility in responding to changing business and economic conditions;</w:t>
      </w:r>
    </w:p>
    <w:p>
      <w:pPr>
        <w:spacing w:after="0" w:line="142" w:lineRule="exact"/>
        <w:rPr>
          <w:rFonts w:ascii="Arial" w:cs="Arial" w:eastAsia="Arial" w:hAnsi="Arial"/>
          <w:sz w:val="18"/>
          <w:szCs w:val="18"/>
          <w:color w:val="auto"/>
        </w:rPr>
      </w:pPr>
    </w:p>
    <w:p>
      <w:pPr>
        <w:ind w:left="1300" w:hanging="644"/>
        <w:spacing w:after="0" w:line="262" w:lineRule="auto"/>
        <w:tabs>
          <w:tab w:leader="none" w:pos="1300" w:val="left"/>
        </w:tabs>
        <w:numPr>
          <w:ilvl w:val="0"/>
          <w:numId w:val="9"/>
        </w:numPr>
        <w:rPr>
          <w:rFonts w:ascii="Arial" w:cs="Arial" w:eastAsia="Arial" w:hAnsi="Arial"/>
          <w:sz w:val="18"/>
          <w:szCs w:val="18"/>
          <w:color w:val="auto"/>
        </w:rPr>
      </w:pPr>
      <w:r>
        <w:rPr>
          <w:rFonts w:ascii="Arial" w:cs="Arial" w:eastAsia="Arial" w:hAnsi="Arial"/>
          <w:sz w:val="18"/>
          <w:szCs w:val="18"/>
          <w:color w:val="auto"/>
        </w:rPr>
        <w:t>contain covenants requiring us to maintain an aggregate of at least $2.0 billion of unrestricted cash and cash equivalents and amounts available to be drawn under revolving credit facilities; and</w:t>
      </w:r>
    </w:p>
    <w:p>
      <w:pPr>
        <w:spacing w:after="0" w:line="142" w:lineRule="exact"/>
        <w:rPr>
          <w:rFonts w:ascii="Arial" w:cs="Arial" w:eastAsia="Arial" w:hAnsi="Arial"/>
          <w:sz w:val="18"/>
          <w:szCs w:val="18"/>
          <w:color w:val="auto"/>
        </w:rPr>
      </w:pPr>
    </w:p>
    <w:p>
      <w:pPr>
        <w:ind w:left="1300" w:hanging="644"/>
        <w:spacing w:after="0"/>
        <w:tabs>
          <w:tab w:leader="none" w:pos="1300" w:val="left"/>
        </w:tabs>
        <w:numPr>
          <w:ilvl w:val="0"/>
          <w:numId w:val="9"/>
        </w:numPr>
        <w:rPr>
          <w:rFonts w:ascii="Arial" w:cs="Arial" w:eastAsia="Arial" w:hAnsi="Arial"/>
          <w:sz w:val="18"/>
          <w:szCs w:val="18"/>
          <w:color w:val="auto"/>
        </w:rPr>
      </w:pPr>
      <w:r>
        <w:rPr>
          <w:rFonts w:ascii="Arial" w:cs="Arial" w:eastAsia="Arial" w:hAnsi="Arial"/>
          <w:sz w:val="18"/>
          <w:szCs w:val="18"/>
          <w:color w:val="auto"/>
        </w:rPr>
        <w:t>contain restrictive covenants that could, among other things:</w:t>
      </w:r>
    </w:p>
    <w:p>
      <w:pPr>
        <w:spacing w:after="0" w:line="171" w:lineRule="exact"/>
        <w:rPr>
          <w:rFonts w:ascii="Arial" w:cs="Arial" w:eastAsia="Arial" w:hAnsi="Arial"/>
          <w:sz w:val="18"/>
          <w:szCs w:val="18"/>
          <w:color w:val="auto"/>
        </w:rPr>
      </w:pPr>
    </w:p>
    <w:p>
      <w:pPr>
        <w:ind w:left="1960" w:hanging="655"/>
        <w:spacing w:after="0" w:line="262" w:lineRule="auto"/>
        <w:tabs>
          <w:tab w:leader="none" w:pos="1960" w:val="left"/>
        </w:tabs>
        <w:numPr>
          <w:ilvl w:val="1"/>
          <w:numId w:val="9"/>
        </w:numPr>
        <w:rPr>
          <w:rFonts w:ascii="Arial" w:cs="Arial" w:eastAsia="Arial" w:hAnsi="Arial"/>
          <w:sz w:val="18"/>
          <w:szCs w:val="18"/>
          <w:color w:val="auto"/>
        </w:rPr>
      </w:pPr>
      <w:r>
        <w:rPr>
          <w:rFonts w:ascii="Arial" w:cs="Arial" w:eastAsia="Arial" w:hAnsi="Arial"/>
          <w:sz w:val="18"/>
          <w:szCs w:val="18"/>
          <w:color w:val="auto"/>
        </w:rPr>
        <w:t>limit our ability to merge, consolidate, sell assets, incur additional indebtedness, issue preferred stock, make investments and pay dividends; and</w:t>
      </w:r>
    </w:p>
    <w:p>
      <w:pPr>
        <w:spacing w:after="0" w:line="142" w:lineRule="exact"/>
        <w:rPr>
          <w:rFonts w:ascii="Arial" w:cs="Arial" w:eastAsia="Arial" w:hAnsi="Arial"/>
          <w:sz w:val="18"/>
          <w:szCs w:val="18"/>
          <w:color w:val="auto"/>
        </w:rPr>
      </w:pPr>
    </w:p>
    <w:p>
      <w:pPr>
        <w:ind w:left="1960" w:hanging="655"/>
        <w:spacing w:after="0"/>
        <w:tabs>
          <w:tab w:leader="none" w:pos="1960" w:val="left"/>
        </w:tabs>
        <w:numPr>
          <w:ilvl w:val="1"/>
          <w:numId w:val="9"/>
        </w:numPr>
        <w:rPr>
          <w:rFonts w:ascii="Arial" w:cs="Arial" w:eastAsia="Arial" w:hAnsi="Arial"/>
          <w:sz w:val="18"/>
          <w:szCs w:val="18"/>
          <w:color w:val="auto"/>
        </w:rPr>
      </w:pPr>
      <w:r>
        <w:rPr>
          <w:rFonts w:ascii="Arial" w:cs="Arial" w:eastAsia="Arial" w:hAnsi="Arial"/>
          <w:sz w:val="18"/>
          <w:szCs w:val="18"/>
          <w:color w:val="auto"/>
        </w:rPr>
        <w:t>if breached, result in an event of default under our indebtedness.</w:t>
      </w:r>
    </w:p>
    <w:p>
      <w:pPr>
        <w:spacing w:after="0" w:line="171" w:lineRule="exact"/>
        <w:rPr>
          <w:sz w:val="20"/>
          <w:szCs w:val="20"/>
          <w:color w:val="auto"/>
        </w:rPr>
      </w:pPr>
    </w:p>
    <w:p>
      <w:pPr>
        <w:jc w:val="both"/>
        <w:ind w:firstLine="243"/>
        <w:spacing w:after="0" w:line="262" w:lineRule="auto"/>
        <w:rPr>
          <w:sz w:val="20"/>
          <w:szCs w:val="20"/>
          <w:color w:val="auto"/>
        </w:rPr>
      </w:pPr>
      <w:r>
        <w:rPr>
          <w:rFonts w:ascii="Arial" w:cs="Arial" w:eastAsia="Arial" w:hAnsi="Arial"/>
          <w:sz w:val="18"/>
          <w:szCs w:val="18"/>
          <w:color w:val="auto"/>
        </w:rPr>
        <w:t>These obligations could also impact our ability to obtain additional financing, if needed, and our flexibility in the conduct of our business, and could materially adversely affect our liquidity, results of operations and financial condition.</w:t>
      </w:r>
    </w:p>
    <w:p>
      <w:pPr>
        <w:spacing w:after="0" w:line="142" w:lineRule="exact"/>
        <w:rPr>
          <w:sz w:val="20"/>
          <w:szCs w:val="20"/>
          <w:color w:val="auto"/>
        </w:rPr>
      </w:pPr>
    </w:p>
    <w:p>
      <w:pPr>
        <w:jc w:val="both"/>
        <w:ind w:firstLine="216"/>
        <w:spacing w:after="0" w:line="252" w:lineRule="auto"/>
        <w:rPr>
          <w:sz w:val="20"/>
          <w:szCs w:val="20"/>
          <w:color w:val="auto"/>
        </w:rPr>
      </w:pPr>
      <w:r>
        <w:rPr>
          <w:rFonts w:ascii="Arial" w:cs="Arial" w:eastAsia="Arial" w:hAnsi="Arial"/>
          <w:sz w:val="18"/>
          <w:szCs w:val="18"/>
          <w:color w:val="auto"/>
        </w:rPr>
        <w:t>Further, a substantial portion of our long -term indebtedness bears interest at fluctuating interest rates, primarily based on the London interbank offered rate (LIBOR) for deposits of U.S. dollars. LIBOR tends to fluctuate based on general short-term interest rates, rates set by the U.S. Federal Reserve and other central banks, the supply of and demand for credit in the London interbank market and general economic conditions. We have not hedged our interest rate exposure with respect to our floating rate debt. Accordingly, our interest expense for any particular period will fluctuate based on LIBOR and other variable interest rates. To the extent the interest rates applicable to our floating rate debt increase, our interest expense will increase, in which event we may have difficulties making interest payments and funding our other fixed costs, and our available cash flow for general corporate requirements may be adversely affected.</w:t>
      </w:r>
    </w:p>
    <w:p>
      <w:pPr>
        <w:spacing w:after="0" w:line="153" w:lineRule="exact"/>
        <w:rPr>
          <w:sz w:val="20"/>
          <w:szCs w:val="20"/>
          <w:color w:val="auto"/>
        </w:rPr>
      </w:pPr>
    </w:p>
    <w:p>
      <w:pPr>
        <w:jc w:val="both"/>
        <w:ind w:firstLine="216"/>
        <w:spacing w:after="0" w:line="252" w:lineRule="auto"/>
        <w:rPr>
          <w:sz w:val="20"/>
          <w:szCs w:val="20"/>
          <w:color w:val="auto"/>
        </w:rPr>
      </w:pPr>
      <w:r>
        <w:rPr>
          <w:rFonts w:ascii="Arial" w:cs="Arial" w:eastAsia="Arial" w:hAnsi="Arial"/>
          <w:sz w:val="18"/>
          <w:szCs w:val="18"/>
          <w:color w:val="auto"/>
        </w:rPr>
        <w:t>On July 27, 2017, the U.K. Financial Conduct Authority (the authority that regulates LIBOR) announced that it intends to stop compelling banks to submit rates for the calculation of LIBOR after 2021. It is unclear whether new methods of calculating LIBOR will be established such that it continues to exist after 2021. Similarly, it is not possible to predict whether LIBOR will continue to be viewed as an acceptable market benchmark, what rate or rates may become acceptable alternatives to LIBOR, or what effect these changes in views or alternatives may have on financial markets for LIBOR-linked financial instruments. While the U.S. Federal Reserve, in conjunction with the Alternative Reference Rates Committee, is considering replacing U.S. dollar LIBOR with a newly created index, calculated based on repurchase agreements backed by treasury securities, we cannot currently predict whether this index will gain widespread acceptance as a replacement for LIBOR. It is not possible to predict the effect of these changes, other reforms or the establishment</w:t>
      </w:r>
    </w:p>
    <w:p>
      <w:pPr>
        <w:spacing w:after="0" w:line="20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19</w:t>
      </w:r>
    </w:p>
    <w:p>
      <w:pPr>
        <w:sectPr>
          <w:pgSz w:w="11900" w:h="16838" w:orient="portrait"/>
          <w:cols w:equalWidth="0" w:num="1">
            <w:col w:w="11420"/>
          </w:cols>
          <w:pgMar w:left="240" w:top="792" w:right="239" w:bottom="1440" w:gutter="0" w:footer="0" w:header="0"/>
        </w:sectPr>
      </w:pPr>
    </w:p>
    <w:bookmarkStart w:id="19" w:name="page20"/>
    <w:bookmarkEnd w:id="19"/>
    <w:p>
      <w:pPr>
        <w:jc w:val="both"/>
        <w:spacing w:after="0" w:line="262" w:lineRule="auto"/>
        <w:rPr>
          <w:sz w:val="20"/>
          <w:szCs w:val="20"/>
          <w:color w:val="auto"/>
        </w:rPr>
      </w:pPr>
      <w:r>
        <w:rPr>
          <w:rFonts w:ascii="Arial" w:cs="Arial" w:eastAsia="Arial" w:hAnsi="Arial"/>
          <w:sz w:val="18"/>
          <w:szCs w:val="18"/>
          <w:color w:val="auto"/>
        </w:rPr>
        <w:t xml:space="preserve">of alternative reference rates in the United Kingdom, the United States or elsewhere. See also the discussion of interest rate risk in Part II, Item 7A. Quantitative and Qualitative Disclosures About Market Risk – </w:t>
      </w:r>
      <w:r>
        <w:rPr>
          <w:rFonts w:ascii="Arial" w:cs="Arial" w:eastAsia="Arial" w:hAnsi="Arial"/>
          <w:sz w:val="18"/>
          <w:szCs w:val="18"/>
          <w:i w:val="1"/>
          <w:iCs w:val="1"/>
          <w:color w:val="auto"/>
        </w:rPr>
        <w:t>“Interest.”</w:t>
      </w:r>
    </w:p>
    <w:p>
      <w:pPr>
        <w:spacing w:after="0" w:line="142" w:lineRule="exact"/>
        <w:rPr>
          <w:sz w:val="20"/>
          <w:szCs w:val="20"/>
          <w:color w:val="auto"/>
        </w:rPr>
      </w:pPr>
    </w:p>
    <w:p>
      <w:pPr>
        <w:jc w:val="both"/>
        <w:ind w:firstLine="216"/>
        <w:spacing w:after="0" w:line="254" w:lineRule="auto"/>
        <w:rPr>
          <w:sz w:val="20"/>
          <w:szCs w:val="20"/>
          <w:color w:val="auto"/>
        </w:rPr>
      </w:pPr>
      <w:r>
        <w:rPr>
          <w:rFonts w:ascii="Arial" w:cs="Arial" w:eastAsia="Arial" w:hAnsi="Arial"/>
          <w:sz w:val="18"/>
          <w:szCs w:val="18"/>
          <w:color w:val="auto"/>
        </w:rPr>
        <w:t>We may in the future pursue amendments to our LIBOR-based debt transactions to provide for a transaction mechanism or other reference rate in anticipation of LIBOR’s discontinuation, but we may not be able to reach agreement with our lenders on any such amendments. As of December 31, 2019, we had $9.6 billion of borrowings based on LIBOR. The replacement of LIBOR with a comparable or successor rate could cause the amount of interest payable on our long-term debt to be different or higher than expected.</w:t>
      </w:r>
    </w:p>
    <w:p>
      <w:pPr>
        <w:spacing w:after="0" w:line="209" w:lineRule="exact"/>
        <w:rPr>
          <w:sz w:val="20"/>
          <w:szCs w:val="20"/>
          <w:color w:val="auto"/>
        </w:rPr>
      </w:pPr>
    </w:p>
    <w:p>
      <w:pPr>
        <w:ind w:left="260"/>
        <w:spacing w:after="0"/>
        <w:rPr>
          <w:sz w:val="20"/>
          <w:szCs w:val="20"/>
          <w:color w:val="auto"/>
        </w:rPr>
      </w:pPr>
      <w:r>
        <w:rPr>
          <w:rFonts w:ascii="Arial" w:cs="Arial" w:eastAsia="Arial" w:hAnsi="Arial"/>
          <w:sz w:val="18"/>
          <w:szCs w:val="18"/>
          <w:b w:val="1"/>
          <w:bCs w:val="1"/>
          <w:i w:val="1"/>
          <w:iCs w:val="1"/>
          <w:color w:val="auto"/>
        </w:rPr>
        <w:t>We will need to obtain sufficient financing or other capital to operate successfully.</w:t>
      </w:r>
    </w:p>
    <w:p>
      <w:pPr>
        <w:spacing w:after="0" w:line="112" w:lineRule="exact"/>
        <w:rPr>
          <w:sz w:val="20"/>
          <w:szCs w:val="20"/>
          <w:color w:val="auto"/>
        </w:rPr>
      </w:pPr>
    </w:p>
    <w:p>
      <w:pPr>
        <w:jc w:val="both"/>
        <w:ind w:firstLine="216"/>
        <w:spacing w:after="0" w:line="251" w:lineRule="auto"/>
        <w:rPr>
          <w:sz w:val="20"/>
          <w:szCs w:val="20"/>
          <w:color w:val="auto"/>
        </w:rPr>
      </w:pPr>
      <w:r>
        <w:rPr>
          <w:rFonts w:ascii="Arial" w:cs="Arial" w:eastAsia="Arial" w:hAnsi="Arial"/>
          <w:sz w:val="18"/>
          <w:szCs w:val="18"/>
          <w:color w:val="auto"/>
        </w:rPr>
        <w:t>Our business plan contemplates continued significant investments related to modernizing our fleet, improving the experience of our customers and updating our facilities. Significant capital resources will be required to execute this plan. We estimate that, based on our commitments as of December 31, 2019, our planned aggregate expenditures for aircraft purchase commitments and certain engines on a consolidated basis for calendar years 2020-2024 would be approximately $8.1 billion. We may also require financing to refinance maturing obligations and to provide liquidity to fund other corporate requirements. Accordingly, we will need substantial financing or other capital resources to finance such aircraft and engines and meet such other liquidity needs. If we are unable to arrange such financing at customary advance rates and on terms and conditions acceptable to us, we may need to use cash from operations or cash on hand to purchase such aircraft and engines or may seek to negotiate deferrals for such aircraft and engines with the applicable aircraft and engine manufacturers or otherwise defer corporate obligations. Depending on numerous factors applicable at the time we seek capital, many of which are out of our control, such as the state of the domestic and global economies, the capital and credit markets’ view of our prospects and the airline industry in general, and the general availability of debt and equity capital, the financing or other capital resources that we will need may not be available to us, or may be available only on onerous terms and conditions. There can be no assurance that we will be successful in obtaining financing or other needed sources of capital to operate successfully. An inability to obtain necessary financing on acceptable terms would have a material adverse impact on our business, results of operations and financial condition.</w:t>
      </w:r>
    </w:p>
    <w:p>
      <w:pPr>
        <w:spacing w:after="0" w:line="216" w:lineRule="exact"/>
        <w:rPr>
          <w:sz w:val="20"/>
          <w:szCs w:val="20"/>
          <w:color w:val="auto"/>
        </w:rPr>
      </w:pPr>
    </w:p>
    <w:p>
      <w:pPr>
        <w:ind w:left="260"/>
        <w:spacing w:after="0" w:line="287" w:lineRule="auto"/>
        <w:rPr>
          <w:sz w:val="20"/>
          <w:szCs w:val="20"/>
          <w:color w:val="auto"/>
        </w:rPr>
      </w:pPr>
      <w:r>
        <w:rPr>
          <w:rFonts w:ascii="Arial" w:cs="Arial" w:eastAsia="Arial" w:hAnsi="Arial"/>
          <w:sz w:val="18"/>
          <w:szCs w:val="18"/>
          <w:b w:val="1"/>
          <w:bCs w:val="1"/>
          <w:i w:val="1"/>
          <w:iCs w:val="1"/>
          <w:color w:val="auto"/>
        </w:rPr>
        <w:t>The loss of key personnel upon whom we depend to operate our business or the inability to attract additional qualified personnel could adversely affect our business.</w:t>
      </w:r>
    </w:p>
    <w:p>
      <w:pPr>
        <w:spacing w:after="0" w:line="40" w:lineRule="exact"/>
        <w:rPr>
          <w:sz w:val="20"/>
          <w:szCs w:val="20"/>
          <w:color w:val="auto"/>
        </w:rPr>
      </w:pPr>
    </w:p>
    <w:p>
      <w:pPr>
        <w:jc w:val="both"/>
        <w:ind w:firstLine="216"/>
        <w:spacing w:after="0" w:line="254" w:lineRule="auto"/>
        <w:rPr>
          <w:sz w:val="20"/>
          <w:szCs w:val="20"/>
          <w:color w:val="auto"/>
        </w:rPr>
      </w:pPr>
      <w:r>
        <w:rPr>
          <w:rFonts w:ascii="Arial" w:cs="Arial" w:eastAsia="Arial" w:hAnsi="Arial"/>
          <w:sz w:val="18"/>
          <w:szCs w:val="18"/>
          <w:color w:val="auto"/>
        </w:rPr>
        <w:t>We believe that our future success will depend in large part on our ability to retain or attract highly qualified management, technical and other personnel. We may not be successful in retaining key personnel or in attracting other highly qualified personnel. Any inability to retain or attract significant numbers of qualified management and other personnel would have a material adverse effect on our business, results of operations and financial condition.</w:t>
      </w:r>
    </w:p>
    <w:p>
      <w:pPr>
        <w:spacing w:after="0" w:line="209" w:lineRule="exact"/>
        <w:rPr>
          <w:sz w:val="20"/>
          <w:szCs w:val="20"/>
          <w:color w:val="auto"/>
        </w:rPr>
      </w:pPr>
    </w:p>
    <w:p>
      <w:pPr>
        <w:ind w:left="260"/>
        <w:spacing w:after="0" w:line="287" w:lineRule="auto"/>
        <w:rPr>
          <w:sz w:val="20"/>
          <w:szCs w:val="20"/>
          <w:color w:val="auto"/>
        </w:rPr>
      </w:pPr>
      <w:r>
        <w:rPr>
          <w:rFonts w:ascii="Arial" w:cs="Arial" w:eastAsia="Arial" w:hAnsi="Arial"/>
          <w:sz w:val="18"/>
          <w:szCs w:val="18"/>
          <w:b w:val="1"/>
          <w:bCs w:val="1"/>
          <w:i w:val="1"/>
          <w:iCs w:val="1"/>
          <w:color w:val="auto"/>
        </w:rPr>
        <w:t>Union disputes, employee strikes and other labor-related disruptions, or our inability to otherwise maintain labor costs at competitive levels may adversely affect our operations and financial performance.</w:t>
      </w:r>
    </w:p>
    <w:p>
      <w:pPr>
        <w:spacing w:after="0" w:line="40" w:lineRule="exact"/>
        <w:rPr>
          <w:sz w:val="20"/>
          <w:szCs w:val="20"/>
          <w:color w:val="auto"/>
        </w:rPr>
      </w:pPr>
    </w:p>
    <w:p>
      <w:pPr>
        <w:jc w:val="both"/>
        <w:ind w:firstLine="216"/>
        <w:spacing w:after="0" w:line="254" w:lineRule="auto"/>
        <w:rPr>
          <w:sz w:val="20"/>
          <w:szCs w:val="20"/>
          <w:color w:val="auto"/>
        </w:rPr>
      </w:pPr>
      <w:r>
        <w:rPr>
          <w:rFonts w:ascii="Arial" w:cs="Arial" w:eastAsia="Arial" w:hAnsi="Arial"/>
          <w:sz w:val="18"/>
          <w:szCs w:val="18"/>
          <w:color w:val="auto"/>
        </w:rPr>
        <w:t xml:space="preserve">Relations between air carriers and labor unions in the U.S. are governed by the RLA. Under the RLA, CBAs generally contain “amendable dates” rather than expiration dates, and the RLA requires that a carrier maintain the existing terms and conditions of employment following the amendable date through a multi-stage and usually lengthy series of bargaining processes overseen by the NMB. For the dates that the CBAs with our major work groups become amendable under the RLA, see Part I, Item 1. Business – </w:t>
      </w:r>
      <w:r>
        <w:rPr>
          <w:rFonts w:ascii="Arial" w:cs="Arial" w:eastAsia="Arial" w:hAnsi="Arial"/>
          <w:sz w:val="18"/>
          <w:szCs w:val="18"/>
          <w:i w:val="1"/>
          <w:iCs w:val="1"/>
          <w:color w:val="auto"/>
        </w:rPr>
        <w:t>“Employees and Labor Relations</w:t>
      </w:r>
      <w:r>
        <w:rPr>
          <w:rFonts w:ascii="Arial" w:cs="Arial" w:eastAsia="Arial" w:hAnsi="Arial"/>
          <w:sz w:val="18"/>
          <w:szCs w:val="18"/>
          <w:color w:val="auto"/>
        </w:rPr>
        <w:t>.”</w:t>
      </w:r>
    </w:p>
    <w:p>
      <w:pPr>
        <w:spacing w:after="0" w:line="150" w:lineRule="exact"/>
        <w:rPr>
          <w:sz w:val="20"/>
          <w:szCs w:val="20"/>
          <w:color w:val="auto"/>
        </w:rPr>
      </w:pPr>
    </w:p>
    <w:p>
      <w:pPr>
        <w:jc w:val="both"/>
        <w:ind w:firstLine="216"/>
        <w:spacing w:after="0" w:line="251" w:lineRule="auto"/>
        <w:rPr>
          <w:sz w:val="20"/>
          <w:szCs w:val="20"/>
          <w:color w:val="auto"/>
        </w:rPr>
      </w:pPr>
      <w:r>
        <w:rPr>
          <w:rFonts w:ascii="Arial" w:cs="Arial" w:eastAsia="Arial" w:hAnsi="Arial"/>
          <w:sz w:val="18"/>
          <w:szCs w:val="18"/>
          <w:color w:val="auto"/>
        </w:rPr>
        <w:t>In the case of a CBA that is amendable under the RLA, if no agreement is reached during direct negotiations between the parties, either party may request that the NMB appoint a federal mediator. The RLA prescribes no timetable for the direct negotiation and mediation processes, and it is not unusual for those processes to last for many months or even several years. If no agreement is reached in mediation, the NMB in its discretion may declare that an impasse exists and proffer binding arbitration to the parties. Either party may decline to submit to arbitration, and if arbitration is rejected by either party, a 30-day “cooling off” period commences. During or after that period, a PEB may be established, which examines the parties’ positions and recommends a solution. The PEB process lasts for 30 days and is followed by another 30-day “cooling off” period. At the end of this “cooling off” period, unless an agreement is reached or action is taken by Congress, the labor organization may exercise “self-help,” such as a strike, which could materially adversely affect our business, results of operations and financial condition.</w:t>
      </w:r>
    </w:p>
    <w:p>
      <w:pPr>
        <w:spacing w:after="0" w:line="159" w:lineRule="exact"/>
        <w:rPr>
          <w:sz w:val="20"/>
          <w:szCs w:val="20"/>
          <w:color w:val="auto"/>
        </w:rPr>
      </w:pPr>
    </w:p>
    <w:p>
      <w:pPr>
        <w:jc w:val="both"/>
        <w:ind w:firstLine="216"/>
        <w:spacing w:after="0" w:line="253" w:lineRule="auto"/>
        <w:rPr>
          <w:sz w:val="20"/>
          <w:szCs w:val="20"/>
          <w:color w:val="auto"/>
        </w:rPr>
      </w:pPr>
      <w:r>
        <w:rPr>
          <w:rFonts w:ascii="Arial" w:cs="Arial" w:eastAsia="Arial" w:hAnsi="Arial"/>
          <w:sz w:val="18"/>
          <w:szCs w:val="18"/>
          <w:color w:val="auto"/>
        </w:rPr>
        <w:t>None of the unions representing our employees presently may lawfully engage in concerted slowdowns or refusals to work, such as strikes, sick-outs or other similar activity, against us. Nonetheless, there is a risk that employees, either with or without union involvement, could engage in one or more concerted refusals to work that could individually or collectively harm the operation of our airline and impair our financial performance. For example, last year we initiated litigation and obtained a permanent injunction after the unions representing our mechanics and other ground workers</w:t>
      </w:r>
    </w:p>
    <w:p>
      <w:pPr>
        <w:spacing w:after="0" w:line="20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20</w:t>
      </w:r>
    </w:p>
    <w:p>
      <w:pPr>
        <w:sectPr>
          <w:pgSz w:w="11900" w:h="16838" w:orient="portrait"/>
          <w:cols w:equalWidth="0" w:num="1">
            <w:col w:w="11420"/>
          </w:cols>
          <w:pgMar w:left="240" w:top="733" w:right="239" w:bottom="1440" w:gutter="0" w:footer="0" w:header="0"/>
        </w:sectPr>
      </w:pPr>
    </w:p>
    <w:bookmarkStart w:id="20" w:name="page21"/>
    <w:bookmarkEnd w:id="20"/>
    <w:p>
      <w:pPr>
        <w:jc w:val="both"/>
        <w:spacing w:after="0" w:line="256" w:lineRule="auto"/>
        <w:rPr>
          <w:sz w:val="20"/>
          <w:szCs w:val="20"/>
          <w:color w:val="auto"/>
        </w:rPr>
      </w:pPr>
      <w:r>
        <w:rPr>
          <w:rFonts w:ascii="Arial" w:cs="Arial" w:eastAsia="Arial" w:hAnsi="Arial"/>
          <w:sz w:val="18"/>
          <w:szCs w:val="18"/>
          <w:color w:val="auto"/>
        </w:rPr>
        <w:t>engaged in an unlawful work action which adversely affected our operation. Additionally, some of our unions have brought and may continue to bring grievances to binding arbitration, including those related to wages. If successful, there is a risk these arbitral avenues could result in material additional costs that we did not anticipate. See also Part I, Item 1. Business – “</w:t>
      </w:r>
      <w:r>
        <w:rPr>
          <w:rFonts w:ascii="Arial" w:cs="Arial" w:eastAsia="Arial" w:hAnsi="Arial"/>
          <w:sz w:val="18"/>
          <w:szCs w:val="18"/>
          <w:i w:val="1"/>
          <w:iCs w:val="1"/>
          <w:color w:val="auto"/>
        </w:rPr>
        <w:t>Employees and Labor Relations</w:t>
      </w:r>
      <w:r>
        <w:rPr>
          <w:rFonts w:ascii="Arial" w:cs="Arial" w:eastAsia="Arial" w:hAnsi="Arial"/>
          <w:sz w:val="18"/>
          <w:szCs w:val="18"/>
          <w:color w:val="auto"/>
        </w:rPr>
        <w:t>.”</w:t>
      </w:r>
    </w:p>
    <w:p>
      <w:pPr>
        <w:spacing w:after="0" w:line="148" w:lineRule="exact"/>
        <w:rPr>
          <w:sz w:val="20"/>
          <w:szCs w:val="20"/>
          <w:color w:val="auto"/>
        </w:rPr>
      </w:pPr>
    </w:p>
    <w:p>
      <w:pPr>
        <w:jc w:val="both"/>
        <w:ind w:firstLine="216"/>
        <w:spacing w:after="0" w:line="253" w:lineRule="auto"/>
        <w:rPr>
          <w:sz w:val="20"/>
          <w:szCs w:val="20"/>
          <w:color w:val="auto"/>
        </w:rPr>
      </w:pPr>
      <w:r>
        <w:rPr>
          <w:rFonts w:ascii="Arial" w:cs="Arial" w:eastAsia="Arial" w:hAnsi="Arial"/>
          <w:sz w:val="18"/>
          <w:szCs w:val="18"/>
          <w:color w:val="auto"/>
        </w:rPr>
        <w:t>As of December 31, 2019, approximately 85% of our employees were represented for collective bargaining purposes by labor unions. Currently, we believe our labor costs are competitive relative to the other large network carriers. However, we cannot provide assurance that labor costs going forward will remain competitive because we are in negotiations for several important new labor agreements now and other agreements are scheduled to become amendable, competitors may significantly reduce their labor costs or we may agree to higher-cost provisions unilaterally or in connection with our current or future labor negotiations.</w:t>
      </w:r>
    </w:p>
    <w:p>
      <w:pPr>
        <w:spacing w:after="0" w:line="211" w:lineRule="exact"/>
        <w:rPr>
          <w:sz w:val="20"/>
          <w:szCs w:val="20"/>
          <w:color w:val="auto"/>
        </w:rPr>
      </w:pPr>
    </w:p>
    <w:p>
      <w:pPr>
        <w:ind w:left="260"/>
        <w:spacing w:after="0" w:line="287" w:lineRule="auto"/>
        <w:rPr>
          <w:sz w:val="20"/>
          <w:szCs w:val="20"/>
          <w:color w:val="auto"/>
        </w:rPr>
      </w:pPr>
      <w:r>
        <w:rPr>
          <w:rFonts w:ascii="Arial" w:cs="Arial" w:eastAsia="Arial" w:hAnsi="Arial"/>
          <w:sz w:val="18"/>
          <w:szCs w:val="18"/>
          <w:b w:val="1"/>
          <w:bCs w:val="1"/>
          <w:i w:val="1"/>
          <w:iCs w:val="1"/>
          <w:color w:val="auto"/>
        </w:rPr>
        <w:t>We have significant pension and other postretirement benefit funding obligations, which may adversely affect our liquidity, results of operations and financial condition.</w:t>
      </w:r>
    </w:p>
    <w:p>
      <w:pPr>
        <w:spacing w:after="0" w:line="40" w:lineRule="exact"/>
        <w:rPr>
          <w:sz w:val="20"/>
          <w:szCs w:val="20"/>
          <w:color w:val="auto"/>
        </w:rPr>
      </w:pPr>
    </w:p>
    <w:p>
      <w:pPr>
        <w:jc w:val="both"/>
        <w:ind w:firstLine="216"/>
        <w:spacing w:after="0" w:line="251" w:lineRule="auto"/>
        <w:rPr>
          <w:sz w:val="20"/>
          <w:szCs w:val="20"/>
          <w:color w:val="auto"/>
        </w:rPr>
      </w:pPr>
      <w:r>
        <w:rPr>
          <w:rFonts w:ascii="Arial" w:cs="Arial" w:eastAsia="Arial" w:hAnsi="Arial"/>
          <w:sz w:val="18"/>
          <w:szCs w:val="18"/>
          <w:color w:val="auto"/>
        </w:rPr>
        <w:t>Our pension funding obligations are significant. The amount of these obligations will depend on the performance of investments held in trust by the pension plans, interest rates for determining liabilities and actuarial experience. The minimum funding obligation applicable to our pension plans was subject to favorable temporary funding rules that expired at the end of 2017 and, as a result, our minimum pension funding obligations increased materially beginning in 2019. In addition, we have significant obligations for retiree medical and other postretirement benefits. Additionally, we participate in the International Association of Machinists &amp; Aerospace Workers (IAM) National Pension Fund (the IAM Pension Fund). The funding status of the IAM Pension Fund is subject to the risk that other employers may not meet their obligations, which under certain circumstances could cause our obligations to increase. Furthermore, if we were to withdraw from the IAM Pension Fund, if the IAM Pension fund were to terminate, or if the IAM Pension Fund were to undergo a mass withdrawal, we could be subject to liability as imposed by law.</w:t>
      </w:r>
    </w:p>
    <w:p>
      <w:pPr>
        <w:spacing w:after="0" w:line="218" w:lineRule="exact"/>
        <w:rPr>
          <w:sz w:val="20"/>
          <w:szCs w:val="20"/>
          <w:color w:val="auto"/>
        </w:rPr>
      </w:pPr>
    </w:p>
    <w:p>
      <w:pPr>
        <w:ind w:left="260"/>
        <w:spacing w:after="0"/>
        <w:rPr>
          <w:sz w:val="20"/>
          <w:szCs w:val="20"/>
          <w:color w:val="auto"/>
        </w:rPr>
      </w:pPr>
      <w:r>
        <w:rPr>
          <w:rFonts w:ascii="Arial" w:cs="Arial" w:eastAsia="Arial" w:hAnsi="Arial"/>
          <w:sz w:val="18"/>
          <w:szCs w:val="18"/>
          <w:b w:val="1"/>
          <w:bCs w:val="1"/>
          <w:i w:val="1"/>
          <w:iCs w:val="1"/>
          <w:color w:val="auto"/>
        </w:rPr>
        <w:t>Any damage to our reputation or brand image could adversely affect our business or financial results.</w:t>
      </w:r>
    </w:p>
    <w:p>
      <w:pPr>
        <w:spacing w:after="0" w:line="112" w:lineRule="exact"/>
        <w:rPr>
          <w:sz w:val="20"/>
          <w:szCs w:val="20"/>
          <w:color w:val="auto"/>
        </w:rPr>
      </w:pPr>
    </w:p>
    <w:p>
      <w:pPr>
        <w:jc w:val="both"/>
        <w:ind w:firstLine="243"/>
        <w:spacing w:after="0" w:line="252" w:lineRule="auto"/>
        <w:rPr>
          <w:sz w:val="20"/>
          <w:szCs w:val="20"/>
          <w:color w:val="auto"/>
        </w:rPr>
      </w:pPr>
      <w:r>
        <w:rPr>
          <w:rFonts w:ascii="Arial" w:cs="Arial" w:eastAsia="Arial" w:hAnsi="Arial"/>
          <w:sz w:val="18"/>
          <w:szCs w:val="18"/>
          <w:color w:val="auto"/>
        </w:rPr>
        <w:t>Maintaining a good reputation globally is critical to our business. Our reputation or brand image could be adversely impacted by, among other things, any failure to maintain high ethical, social and environmental sustainability practices for all of our operations and activities, our impact on the environment, public pressure from investors or policy groups to change our policies, such as movements to institute a “living wage,” customer perceptions of our advertising campaigns, sponsorship arrangements or marketing programs, customer perceptions of our use of social media, or customer perceptions of statements made by us, our employees and executives, agents or other third parties. Damage to our reputation or brand image or loss of customer confidence in our services could adversely affect our business and financial results, as well as require additional resources to rebuild our reputation.</w:t>
      </w:r>
    </w:p>
    <w:p>
      <w:pPr>
        <w:spacing w:after="0" w:line="212" w:lineRule="exact"/>
        <w:rPr>
          <w:sz w:val="20"/>
          <w:szCs w:val="20"/>
          <w:color w:val="auto"/>
        </w:rPr>
      </w:pPr>
    </w:p>
    <w:p>
      <w:pPr>
        <w:jc w:val="both"/>
        <w:ind w:left="260"/>
        <w:spacing w:after="0" w:line="269" w:lineRule="auto"/>
        <w:rPr>
          <w:sz w:val="20"/>
          <w:szCs w:val="20"/>
          <w:color w:val="auto"/>
        </w:rPr>
      </w:pPr>
      <w:r>
        <w:rPr>
          <w:rFonts w:ascii="Arial" w:cs="Arial" w:eastAsia="Arial" w:hAnsi="Arial"/>
          <w:sz w:val="18"/>
          <w:szCs w:val="18"/>
          <w:b w:val="1"/>
          <w:bCs w:val="1"/>
          <w:i w:val="1"/>
          <w:iCs w:val="1"/>
          <w:color w:val="auto"/>
        </w:rPr>
        <w:t>We are at risk of losses and adverse publicity stemming from any public incident involving our company, our people or our brand, including any accident or other public incident involving our personnel or aircraft, or the personnel or aircraft of our regional, codeshare or joint business operators.</w:t>
      </w:r>
    </w:p>
    <w:p>
      <w:pPr>
        <w:spacing w:after="0" w:line="55" w:lineRule="exact"/>
        <w:rPr>
          <w:sz w:val="20"/>
          <w:szCs w:val="20"/>
          <w:color w:val="auto"/>
        </w:rPr>
      </w:pPr>
    </w:p>
    <w:p>
      <w:pPr>
        <w:jc w:val="both"/>
        <w:ind w:firstLine="216"/>
        <w:spacing w:after="0" w:line="251" w:lineRule="auto"/>
        <w:rPr>
          <w:sz w:val="20"/>
          <w:szCs w:val="20"/>
          <w:color w:val="auto"/>
        </w:rPr>
      </w:pPr>
      <w:r>
        <w:rPr>
          <w:rFonts w:ascii="Arial" w:cs="Arial" w:eastAsia="Arial" w:hAnsi="Arial"/>
          <w:sz w:val="18"/>
          <w:szCs w:val="18"/>
          <w:color w:val="auto"/>
        </w:rPr>
        <w:t>In a modern world where news can be captured and travel rapidly, we are at risk of adverse publicity stemming from any public incident involving our company, our people or our brand. Such an incident could involve the actual or alleged behavior of any of our more than 133,000 employees. Further, if our personnel, one of our aircraft, a type of aircraft in our fleet, or personnel of, or an aircraft that is operated under our brand by, one of our regional operators or an airline with which we have a marketing alliance, joint business or codeshare relationship, were to be involved in a public incident, accident, catastrophe or regulatory enforcement action, we could be exposed to significant reputational harm and potential legal liability. The insurance we carry may be inapplicable or inadequate to cover any such incident, accident, catastrophe or action. In the event that our insurance is inapplicable or inadequate, we may be forced to bear substantial losses from an incident or accident. In addition, any such incident, accident, catastrophe or action involving our personnel, one of our aircraft (or personnel and aircraft of our regional operators and our codeshare partners), or a type of aircraft fleet could create an adverse public perception, which could harm our reputation, result in air travelers being reluctant to fly on our aircraft or those of our regional operators or codeshare partners, and adversely impact our business, results of operations and financial condition.</w:t>
      </w:r>
    </w:p>
    <w:p>
      <w:pPr>
        <w:spacing w:after="0" w:line="21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21</w:t>
      </w:r>
    </w:p>
    <w:p>
      <w:pPr>
        <w:sectPr>
          <w:pgSz w:w="11900" w:h="16838" w:orient="portrait"/>
          <w:cols w:equalWidth="0" w:num="1">
            <w:col w:w="11420"/>
          </w:cols>
          <w:pgMar w:left="240" w:top="733" w:right="239" w:bottom="1440" w:gutter="0" w:footer="0" w:header="0"/>
        </w:sectPr>
      </w:pPr>
    </w:p>
    <w:bookmarkStart w:id="21" w:name="page22"/>
    <w:bookmarkEnd w:id="21"/>
    <w:p>
      <w:pPr>
        <w:ind w:left="260" w:right="20"/>
        <w:spacing w:after="0" w:line="287" w:lineRule="auto"/>
        <w:rPr>
          <w:sz w:val="20"/>
          <w:szCs w:val="20"/>
          <w:color w:val="auto"/>
        </w:rPr>
      </w:pPr>
      <w:r>
        <w:rPr>
          <w:rFonts w:ascii="Arial" w:cs="Arial" w:eastAsia="Arial" w:hAnsi="Arial"/>
          <w:sz w:val="18"/>
          <w:szCs w:val="18"/>
          <w:b w:val="1"/>
          <w:bCs w:val="1"/>
          <w:i w:val="1"/>
          <w:iCs w:val="1"/>
          <w:color w:val="auto"/>
        </w:rPr>
        <w:t>Our business is subject to extensive government regulation, which may result in increases in our costs, disruptions to our operations, limits on our operating flexibility, reductions in the demand for air travel, and competitive disadvantages.</w:t>
      </w:r>
    </w:p>
    <w:p>
      <w:pPr>
        <w:spacing w:after="0" w:line="40" w:lineRule="exact"/>
        <w:rPr>
          <w:sz w:val="20"/>
          <w:szCs w:val="20"/>
          <w:color w:val="auto"/>
        </w:rPr>
      </w:pPr>
    </w:p>
    <w:p>
      <w:pPr>
        <w:jc w:val="both"/>
        <w:ind w:firstLine="216"/>
        <w:spacing w:after="0" w:line="256" w:lineRule="auto"/>
        <w:rPr>
          <w:sz w:val="20"/>
          <w:szCs w:val="20"/>
          <w:color w:val="auto"/>
        </w:rPr>
      </w:pPr>
      <w:r>
        <w:rPr>
          <w:rFonts w:ascii="Arial" w:cs="Arial" w:eastAsia="Arial" w:hAnsi="Arial"/>
          <w:sz w:val="18"/>
          <w:szCs w:val="18"/>
          <w:color w:val="auto"/>
        </w:rPr>
        <w:t>Airlines are subject to extensive domestic and international regulatory requirements. In the last several years, Congress has passed laws, and the DOT, the FAA, the TSA and the DHS have issued regulations and a number of other directives, that affect the airline industry. These requirements impose substantial costs on us and restrict the ways we may conduct our business.</w:t>
      </w:r>
    </w:p>
    <w:p>
      <w:pPr>
        <w:spacing w:after="0" w:line="148" w:lineRule="exact"/>
        <w:rPr>
          <w:sz w:val="20"/>
          <w:szCs w:val="20"/>
          <w:color w:val="auto"/>
        </w:rPr>
      </w:pPr>
    </w:p>
    <w:p>
      <w:pPr>
        <w:jc w:val="both"/>
        <w:ind w:firstLine="216"/>
        <w:spacing w:after="0" w:line="251" w:lineRule="auto"/>
        <w:rPr>
          <w:sz w:val="20"/>
          <w:szCs w:val="20"/>
          <w:color w:val="auto"/>
        </w:rPr>
      </w:pPr>
      <w:r>
        <w:rPr>
          <w:rFonts w:ascii="Arial" w:cs="Arial" w:eastAsia="Arial" w:hAnsi="Arial"/>
          <w:sz w:val="18"/>
          <w:szCs w:val="18"/>
          <w:color w:val="auto"/>
        </w:rPr>
        <w:t>For example, the FAA from time to time issues directives and other regulations relating to the maintenance and operation of aircraft that require significant expenditures or operational restrictions. These requirements can be issued with little or no notice, or can otherwise impact our ability to efficiently or fully utilize our aircraft, and in some instances have resulted in the temporary grounding of aircraft types altogether (including the March 2019 grounding of all Boeing 737 MAX aircraft, including the 24 aircraft in our fleet, which remains in place as of the date of this report), or otherwise caused substantial disruption and resulted in material costs to us and lost revenues. The FAA also exercises comprehensive regulatory authority over nearly all technical aspects of our operations. Our failure to comply with such requirements has in the past and may in the future result in fines and other enforcement actions by the FAA or other regulators. In the future, any new regulatory requirements, particularly requirements that limit our ability to operate or price our products, could have a material adverse effect on us and the industry.</w:t>
      </w:r>
    </w:p>
    <w:p>
      <w:pPr>
        <w:spacing w:after="0" w:line="159" w:lineRule="exact"/>
        <w:rPr>
          <w:sz w:val="20"/>
          <w:szCs w:val="20"/>
          <w:color w:val="auto"/>
        </w:rPr>
      </w:pPr>
    </w:p>
    <w:p>
      <w:pPr>
        <w:jc w:val="both"/>
        <w:ind w:firstLine="216"/>
        <w:spacing w:after="0" w:line="253" w:lineRule="auto"/>
        <w:rPr>
          <w:sz w:val="20"/>
          <w:szCs w:val="20"/>
          <w:color w:val="auto"/>
        </w:rPr>
      </w:pPr>
      <w:r>
        <w:rPr>
          <w:rFonts w:ascii="Arial" w:cs="Arial" w:eastAsia="Arial" w:hAnsi="Arial"/>
          <w:sz w:val="18"/>
          <w:szCs w:val="18"/>
          <w:color w:val="auto"/>
        </w:rPr>
        <w:t>DOT consumer rules dictate procedures for customer handling during long onboard delays, further regulate airline interactions with passengers, including passengers with disabilities, through the ticketing process, at the airport, and onboard the aircraft, and require disclosures concerning airline fares and ancillary fees such as baggage fees. Other DOT rules apply to post-ticket purchase price increases and an expansion of tarmac delay regulations to international airlines. In 2020, the DOT is expected to implement a number of new regulations that will impact us, including disability rules for accessible lavatories and refunds for checked bag fees in the event of certain delays in delivery.</w:t>
      </w:r>
    </w:p>
    <w:p>
      <w:pPr>
        <w:spacing w:after="0" w:line="152" w:lineRule="exact"/>
        <w:rPr>
          <w:sz w:val="20"/>
          <w:szCs w:val="20"/>
          <w:color w:val="auto"/>
        </w:rPr>
      </w:pPr>
    </w:p>
    <w:p>
      <w:pPr>
        <w:jc w:val="both"/>
        <w:ind w:firstLine="216"/>
        <w:spacing w:after="0" w:line="254" w:lineRule="auto"/>
        <w:rPr>
          <w:sz w:val="20"/>
          <w:szCs w:val="20"/>
          <w:color w:val="auto"/>
        </w:rPr>
      </w:pPr>
      <w:r>
        <w:rPr>
          <w:rFonts w:ascii="Arial" w:cs="Arial" w:eastAsia="Arial" w:hAnsi="Arial"/>
          <w:sz w:val="18"/>
          <w:szCs w:val="18"/>
          <w:color w:val="auto"/>
        </w:rPr>
        <w:t>The Aviation and Transportation Security Act mandates the federalization of certain airport security procedures and imposes additional security requirements on airports and airlines, most of which are funded by a per-ticket tax on passengers and a tax on airlines. Present and potential future security requirements can have the effect of imposing costs and inconvenience on travelers, potentially reducing the demand for air travel.</w:t>
      </w:r>
    </w:p>
    <w:p>
      <w:pPr>
        <w:spacing w:after="0" w:line="150" w:lineRule="exact"/>
        <w:rPr>
          <w:sz w:val="20"/>
          <w:szCs w:val="20"/>
          <w:color w:val="auto"/>
        </w:rPr>
      </w:pPr>
    </w:p>
    <w:p>
      <w:pPr>
        <w:jc w:val="both"/>
        <w:ind w:firstLine="216"/>
        <w:spacing w:after="0" w:line="262" w:lineRule="auto"/>
        <w:rPr>
          <w:sz w:val="20"/>
          <w:szCs w:val="20"/>
          <w:color w:val="auto"/>
        </w:rPr>
      </w:pPr>
      <w:r>
        <w:rPr>
          <w:rFonts w:ascii="Arial" w:cs="Arial" w:eastAsia="Arial" w:hAnsi="Arial"/>
          <w:sz w:val="18"/>
          <w:szCs w:val="18"/>
          <w:color w:val="auto"/>
        </w:rPr>
        <w:t>The results of our operations, demand for air travel, and the manner in which we conduct business each may be affected by changes in law and future actions taken by governmental agencies, including:</w:t>
      </w:r>
    </w:p>
    <w:p>
      <w:pPr>
        <w:spacing w:after="0" w:line="142" w:lineRule="exact"/>
        <w:rPr>
          <w:sz w:val="20"/>
          <w:szCs w:val="20"/>
          <w:color w:val="auto"/>
        </w:rPr>
      </w:pPr>
    </w:p>
    <w:p>
      <w:pPr>
        <w:ind w:left="1300" w:hanging="644"/>
        <w:spacing w:after="0" w:line="262" w:lineRule="auto"/>
        <w:tabs>
          <w:tab w:leader="none" w:pos="1300" w:val="left"/>
        </w:tabs>
        <w:numPr>
          <w:ilvl w:val="0"/>
          <w:numId w:val="10"/>
        </w:numPr>
        <w:rPr>
          <w:rFonts w:ascii="Arial" w:cs="Arial" w:eastAsia="Arial" w:hAnsi="Arial"/>
          <w:sz w:val="18"/>
          <w:szCs w:val="18"/>
          <w:color w:val="auto"/>
        </w:rPr>
      </w:pPr>
      <w:r>
        <w:rPr>
          <w:rFonts w:ascii="Arial" w:cs="Arial" w:eastAsia="Arial" w:hAnsi="Arial"/>
          <w:sz w:val="18"/>
          <w:szCs w:val="18"/>
          <w:color w:val="auto"/>
        </w:rPr>
        <w:t>changes in law that affect the services that can be offered by airlines in particular markets and at particular airports, or the types of fares offered or fees that can be charged to passengers;</w:t>
      </w:r>
    </w:p>
    <w:p>
      <w:pPr>
        <w:spacing w:after="0" w:line="142" w:lineRule="exact"/>
        <w:rPr>
          <w:rFonts w:ascii="Arial" w:cs="Arial" w:eastAsia="Arial" w:hAnsi="Arial"/>
          <w:sz w:val="18"/>
          <w:szCs w:val="18"/>
          <w:color w:val="auto"/>
        </w:rPr>
      </w:pPr>
    </w:p>
    <w:p>
      <w:pPr>
        <w:ind w:left="1300" w:hanging="644"/>
        <w:spacing w:after="0" w:line="262" w:lineRule="auto"/>
        <w:tabs>
          <w:tab w:leader="none" w:pos="1300" w:val="left"/>
        </w:tabs>
        <w:numPr>
          <w:ilvl w:val="0"/>
          <w:numId w:val="10"/>
        </w:numPr>
        <w:rPr>
          <w:rFonts w:ascii="Arial" w:cs="Arial" w:eastAsia="Arial" w:hAnsi="Arial"/>
          <w:sz w:val="18"/>
          <w:szCs w:val="18"/>
          <w:color w:val="auto"/>
        </w:rPr>
      </w:pPr>
      <w:r>
        <w:rPr>
          <w:rFonts w:ascii="Arial" w:cs="Arial" w:eastAsia="Arial" w:hAnsi="Arial"/>
          <w:sz w:val="18"/>
          <w:szCs w:val="18"/>
          <w:color w:val="auto"/>
        </w:rPr>
        <w:t>the granting and timing of certain governmental approvals (including antitrust or foreign government approvals) needed for codesharing alliances, joint businesses and other arrangements with other airlines;</w:t>
      </w:r>
    </w:p>
    <w:p>
      <w:pPr>
        <w:spacing w:after="0" w:line="142" w:lineRule="exact"/>
        <w:rPr>
          <w:rFonts w:ascii="Arial" w:cs="Arial" w:eastAsia="Arial" w:hAnsi="Arial"/>
          <w:sz w:val="18"/>
          <w:szCs w:val="18"/>
          <w:color w:val="auto"/>
        </w:rPr>
      </w:pPr>
    </w:p>
    <w:p>
      <w:pPr>
        <w:ind w:left="1300" w:hanging="644"/>
        <w:spacing w:after="0" w:line="262" w:lineRule="auto"/>
        <w:tabs>
          <w:tab w:leader="none" w:pos="1300" w:val="left"/>
        </w:tabs>
        <w:numPr>
          <w:ilvl w:val="0"/>
          <w:numId w:val="10"/>
        </w:numPr>
        <w:rPr>
          <w:rFonts w:ascii="Arial" w:cs="Arial" w:eastAsia="Arial" w:hAnsi="Arial"/>
          <w:sz w:val="18"/>
          <w:szCs w:val="18"/>
          <w:color w:val="auto"/>
        </w:rPr>
      </w:pPr>
      <w:r>
        <w:rPr>
          <w:rFonts w:ascii="Arial" w:cs="Arial" w:eastAsia="Arial" w:hAnsi="Arial"/>
          <w:sz w:val="18"/>
          <w:szCs w:val="18"/>
          <w:color w:val="auto"/>
        </w:rPr>
        <w:t>restrictions on competitive practices (for example, court orders, or agency regulations or orders, that would curtail an airline’s ability to respond to a competitor);</w:t>
      </w:r>
    </w:p>
    <w:p>
      <w:pPr>
        <w:spacing w:after="0" w:line="142" w:lineRule="exact"/>
        <w:rPr>
          <w:rFonts w:ascii="Arial" w:cs="Arial" w:eastAsia="Arial" w:hAnsi="Arial"/>
          <w:sz w:val="18"/>
          <w:szCs w:val="18"/>
          <w:color w:val="auto"/>
        </w:rPr>
      </w:pPr>
    </w:p>
    <w:p>
      <w:pPr>
        <w:ind w:left="1300" w:hanging="644"/>
        <w:spacing w:after="0"/>
        <w:tabs>
          <w:tab w:leader="none" w:pos="1300" w:val="left"/>
        </w:tabs>
        <w:numPr>
          <w:ilvl w:val="0"/>
          <w:numId w:val="10"/>
        </w:numPr>
        <w:rPr>
          <w:rFonts w:ascii="Arial" w:cs="Arial" w:eastAsia="Arial" w:hAnsi="Arial"/>
          <w:sz w:val="18"/>
          <w:szCs w:val="18"/>
          <w:color w:val="auto"/>
        </w:rPr>
      </w:pPr>
      <w:r>
        <w:rPr>
          <w:rFonts w:ascii="Arial" w:cs="Arial" w:eastAsia="Arial" w:hAnsi="Arial"/>
          <w:sz w:val="18"/>
          <w:szCs w:val="18"/>
          <w:color w:val="auto"/>
        </w:rPr>
        <w:t>the adoption of new passenger security standards or regulations that impact customer service standards;</w:t>
      </w:r>
    </w:p>
    <w:p>
      <w:pPr>
        <w:spacing w:after="0" w:line="171" w:lineRule="exact"/>
        <w:rPr>
          <w:rFonts w:ascii="Arial" w:cs="Arial" w:eastAsia="Arial" w:hAnsi="Arial"/>
          <w:sz w:val="18"/>
          <w:szCs w:val="18"/>
          <w:color w:val="auto"/>
        </w:rPr>
      </w:pPr>
    </w:p>
    <w:p>
      <w:pPr>
        <w:ind w:left="1300" w:right="20" w:hanging="644"/>
        <w:spacing w:after="0" w:line="262" w:lineRule="auto"/>
        <w:tabs>
          <w:tab w:leader="none" w:pos="1300" w:val="left"/>
        </w:tabs>
        <w:numPr>
          <w:ilvl w:val="0"/>
          <w:numId w:val="10"/>
        </w:numPr>
        <w:rPr>
          <w:rFonts w:ascii="Arial" w:cs="Arial" w:eastAsia="Arial" w:hAnsi="Arial"/>
          <w:sz w:val="18"/>
          <w:szCs w:val="18"/>
          <w:color w:val="auto"/>
        </w:rPr>
      </w:pPr>
      <w:r>
        <w:rPr>
          <w:rFonts w:ascii="Arial" w:cs="Arial" w:eastAsia="Arial" w:hAnsi="Arial"/>
          <w:sz w:val="18"/>
          <w:szCs w:val="18"/>
          <w:color w:val="auto"/>
        </w:rPr>
        <w:t>restrictions on airport operations, such as restrictions on the use of slots at airports or the auction or reallocation of slot rights currently held by us; and</w:t>
      </w:r>
    </w:p>
    <w:p>
      <w:pPr>
        <w:spacing w:after="0" w:line="142" w:lineRule="exact"/>
        <w:rPr>
          <w:rFonts w:ascii="Arial" w:cs="Arial" w:eastAsia="Arial" w:hAnsi="Arial"/>
          <w:sz w:val="18"/>
          <w:szCs w:val="18"/>
          <w:color w:val="auto"/>
        </w:rPr>
      </w:pPr>
    </w:p>
    <w:p>
      <w:pPr>
        <w:ind w:left="1300" w:hanging="644"/>
        <w:spacing w:after="0"/>
        <w:tabs>
          <w:tab w:leader="none" w:pos="1300" w:val="left"/>
        </w:tabs>
        <w:numPr>
          <w:ilvl w:val="0"/>
          <w:numId w:val="10"/>
        </w:numPr>
        <w:rPr>
          <w:rFonts w:ascii="Arial" w:cs="Arial" w:eastAsia="Arial" w:hAnsi="Arial"/>
          <w:sz w:val="18"/>
          <w:szCs w:val="18"/>
          <w:color w:val="auto"/>
        </w:rPr>
      </w:pPr>
      <w:r>
        <w:rPr>
          <w:rFonts w:ascii="Arial" w:cs="Arial" w:eastAsia="Arial" w:hAnsi="Arial"/>
          <w:sz w:val="18"/>
          <w:szCs w:val="18"/>
          <w:color w:val="auto"/>
        </w:rPr>
        <w:t>the adoption of more restrictive locally-imposed noise restrictions.</w:t>
      </w:r>
    </w:p>
    <w:p>
      <w:pPr>
        <w:spacing w:after="0" w:line="171" w:lineRule="exact"/>
        <w:rPr>
          <w:sz w:val="20"/>
          <w:szCs w:val="20"/>
          <w:color w:val="auto"/>
        </w:rPr>
      </w:pPr>
    </w:p>
    <w:p>
      <w:pPr>
        <w:jc w:val="both"/>
        <w:ind w:firstLine="216"/>
        <w:spacing w:after="0" w:line="256" w:lineRule="auto"/>
        <w:rPr>
          <w:sz w:val="20"/>
          <w:szCs w:val="20"/>
          <w:color w:val="auto"/>
        </w:rPr>
      </w:pPr>
      <w:r>
        <w:rPr>
          <w:rFonts w:ascii="Arial" w:cs="Arial" w:eastAsia="Arial" w:hAnsi="Arial"/>
          <w:sz w:val="18"/>
          <w:szCs w:val="18"/>
          <w:color w:val="auto"/>
        </w:rPr>
        <w:t>Each additional regulation or other form of regulatory oversight increases costs and adds greater complexity to airline operations and, in some cases, may reduce the demand for air travel. There can be no assurance that the increased costs or greater complexity associated with our compliance with new rules, anticipated rules or other forms of regulatory oversight will not have a material adverse effect on us.</w:t>
      </w:r>
    </w:p>
    <w:p>
      <w:pPr>
        <w:spacing w:after="0" w:line="148" w:lineRule="exact"/>
        <w:rPr>
          <w:sz w:val="20"/>
          <w:szCs w:val="20"/>
          <w:color w:val="auto"/>
        </w:rPr>
      </w:pPr>
    </w:p>
    <w:p>
      <w:pPr>
        <w:jc w:val="both"/>
        <w:ind w:firstLine="216"/>
        <w:spacing w:after="0" w:line="252" w:lineRule="auto"/>
        <w:rPr>
          <w:sz w:val="20"/>
          <w:szCs w:val="20"/>
          <w:color w:val="auto"/>
        </w:rPr>
      </w:pPr>
      <w:r>
        <w:rPr>
          <w:rFonts w:ascii="Arial" w:cs="Arial" w:eastAsia="Arial" w:hAnsi="Arial"/>
          <w:sz w:val="18"/>
          <w:szCs w:val="18"/>
          <w:color w:val="auto"/>
        </w:rPr>
        <w:t>Any significant reduction in air traffic capacity at and in the airspace serving key airports in the U.S. or overseas could have a material adverse effect on our business, results of operations and financial condition. In addition, the United States National Airspace System (the ATC system) is not successfully modernizing to meet the growing demand for U.S. air travel. Air traffic controllers rely on outdated procedures and technologies that routinely compel airlines to fly inefficient routes or take significant delays on the ground. The ATC system’s inability to manage existing travel demand has led government agencies to implement short-term capacity constraints during peak travel periods or adverse weather</w:t>
      </w:r>
    </w:p>
    <w:p>
      <w:pPr>
        <w:spacing w:after="0" w:line="20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22</w:t>
      </w:r>
    </w:p>
    <w:p>
      <w:pPr>
        <w:sectPr>
          <w:pgSz w:w="11900" w:h="16838" w:orient="portrait"/>
          <w:cols w:equalWidth="0" w:num="1">
            <w:col w:w="11420"/>
          </w:cols>
          <w:pgMar w:left="240" w:top="792" w:right="239" w:bottom="1440" w:gutter="0" w:footer="0" w:header="0"/>
        </w:sectPr>
      </w:pPr>
    </w:p>
    <w:bookmarkStart w:id="22" w:name="page23"/>
    <w:bookmarkEnd w:id="22"/>
    <w:p>
      <w:pPr>
        <w:jc w:val="both"/>
        <w:spacing w:after="0" w:line="256" w:lineRule="auto"/>
        <w:rPr>
          <w:sz w:val="20"/>
          <w:szCs w:val="20"/>
          <w:color w:val="auto"/>
        </w:rPr>
      </w:pPr>
      <w:r>
        <w:rPr>
          <w:rFonts w:ascii="Arial" w:cs="Arial" w:eastAsia="Arial" w:hAnsi="Arial"/>
          <w:sz w:val="18"/>
          <w:szCs w:val="18"/>
          <w:color w:val="auto"/>
        </w:rPr>
        <w:t>conditions in certain markets, resulting in delays and disruptions of air traffic. The outdated technologies also cause the ATC system to be less resilient in the event of a failure. For example, an automation failure and an evacuation, in 2015 and 2017 respectively, at the Washington Air Route Control Center resulted in cancellations and delays of hundreds of flights traversing the greater Washington, D.C. airspace.</w:t>
      </w:r>
    </w:p>
    <w:p>
      <w:pPr>
        <w:spacing w:after="0" w:line="148" w:lineRule="exact"/>
        <w:rPr>
          <w:sz w:val="20"/>
          <w:szCs w:val="20"/>
          <w:color w:val="auto"/>
        </w:rPr>
      </w:pPr>
    </w:p>
    <w:p>
      <w:pPr>
        <w:jc w:val="both"/>
        <w:ind w:firstLine="216"/>
        <w:spacing w:after="0" w:line="253" w:lineRule="auto"/>
        <w:rPr>
          <w:sz w:val="20"/>
          <w:szCs w:val="20"/>
          <w:color w:val="auto"/>
        </w:rPr>
      </w:pPr>
      <w:r>
        <w:rPr>
          <w:rFonts w:ascii="Arial" w:cs="Arial" w:eastAsia="Arial" w:hAnsi="Arial"/>
          <w:sz w:val="18"/>
          <w:szCs w:val="18"/>
          <w:color w:val="auto"/>
        </w:rPr>
        <w:t>In the early 2000s, the FAA embarked on a path to modernize the national airspace system, including migration from the current radar-based ATC system to a GPS-based system. This modernization of the ATC system, generally referred to as “NextGen,” has been plagued by delays and cost overruns, and it remains uncertain when the full array of benefits expected from this modernization will be available to the public and the airlines. Failure to update the ATC system in a timely manner and the substantial costs that may be imposed on airlines in order to fund a modernized ATC system may have a material adverse effect on our business.</w:t>
      </w:r>
    </w:p>
    <w:p>
      <w:pPr>
        <w:spacing w:after="0" w:line="152" w:lineRule="exact"/>
        <w:rPr>
          <w:sz w:val="20"/>
          <w:szCs w:val="20"/>
          <w:color w:val="auto"/>
        </w:rPr>
      </w:pPr>
    </w:p>
    <w:p>
      <w:pPr>
        <w:jc w:val="both"/>
        <w:ind w:firstLine="216"/>
        <w:spacing w:after="0" w:line="254" w:lineRule="auto"/>
        <w:rPr>
          <w:sz w:val="20"/>
          <w:szCs w:val="20"/>
          <w:color w:val="auto"/>
        </w:rPr>
      </w:pPr>
      <w:r>
        <w:rPr>
          <w:rFonts w:ascii="Arial" w:cs="Arial" w:eastAsia="Arial" w:hAnsi="Arial"/>
          <w:sz w:val="18"/>
          <w:szCs w:val="18"/>
          <w:color w:val="auto"/>
        </w:rPr>
        <w:t>Further, our business has been adversely impacted when government agencies have ceased to operate as expected including due to partial shut-downs, sequestrations or similar events. These events have resulted in, among other things, reduced demand for air travel, an actual or perceived reduction in ATC and security screening resources and related travel delays, as well as disruption in the ability of the FAA to grant required regulatory approvals, such as those that are involved when a new aircraft is first placed into service.</w:t>
      </w:r>
    </w:p>
    <w:p>
      <w:pPr>
        <w:spacing w:after="0" w:line="150" w:lineRule="exact"/>
        <w:rPr>
          <w:sz w:val="20"/>
          <w:szCs w:val="20"/>
          <w:color w:val="auto"/>
        </w:rPr>
      </w:pPr>
    </w:p>
    <w:p>
      <w:pPr>
        <w:jc w:val="both"/>
        <w:ind w:firstLine="216"/>
        <w:spacing w:after="0" w:line="251" w:lineRule="auto"/>
        <w:rPr>
          <w:sz w:val="20"/>
          <w:szCs w:val="20"/>
          <w:color w:val="auto"/>
        </w:rPr>
      </w:pPr>
      <w:r>
        <w:rPr>
          <w:rFonts w:ascii="Arial" w:cs="Arial" w:eastAsia="Arial" w:hAnsi="Arial"/>
          <w:sz w:val="18"/>
          <w:szCs w:val="18"/>
          <w:color w:val="auto"/>
        </w:rPr>
        <w:t>Our operating authority in international markets is subject to aviation agreements between the U.S. and the respective countries or governmental authorities, such as the EU, and in some cases, fares and schedules require the approval of the DOT and/or the relevant foreign governments. Moreover, alliances with international carriers may be subject to the jurisdiction and regulations of various foreign agencies. The U.S. government has negotiated “open skies” agreements with many countries, which agreements allow unrestricted route authority access between the U.S. and the foreign markets. While the U.S. has worked to increase the number of countries with which open skies agreements are in effect, a number of markets important to us, including China, do not have open skies agreements. For example, the open skies air services agreement between the U.S. and the EU, which took effect in March 2008, provides airlines from the U.S. and EU member states open access to each other’s markets, with freedom of pricing and unlimited rights to fly from the U.S. to any airport in the EU. As a result of the agreement and a subsequent open skies agreement involving the U.S. and the United Kingdom, which was agreed in anticipation of Brexit, we face increased competition in these markets, including LHR. Bilateral and multilateral agreements among the U.S. and various foreign governments of countries we serve but which are not covered by an open skies treaty are subject to periodic renegotiation. We currently operate a number of international routes under government arrangements that limit the number of airlines permitted to operate on the route, the capacity of the airlines providing services on the route, or the number of airlines allowed access to particular airports. If an open skies policy were to be adopted for any of these markets, it could have a material adverse impact on us and could result in the impairment of material amounts of our related tangible and intangible assets. In addition, competition from foreign airlines, revenue-sharing joint ventures, JBAs, and other alliance arrangements by and among other airlines could impair the value of our business and assets on the open skies routes.</w:t>
      </w:r>
    </w:p>
    <w:p>
      <w:pPr>
        <w:spacing w:after="0" w:line="156" w:lineRule="exact"/>
        <w:rPr>
          <w:sz w:val="20"/>
          <w:szCs w:val="20"/>
          <w:color w:val="auto"/>
        </w:rPr>
      </w:pPr>
    </w:p>
    <w:p>
      <w:pPr>
        <w:jc w:val="both"/>
        <w:ind w:firstLine="216"/>
        <w:spacing w:after="0" w:line="251" w:lineRule="auto"/>
        <w:rPr>
          <w:sz w:val="20"/>
          <w:szCs w:val="20"/>
          <w:color w:val="auto"/>
        </w:rPr>
      </w:pPr>
      <w:r>
        <w:rPr>
          <w:rFonts w:ascii="Arial" w:cs="Arial" w:eastAsia="Arial" w:hAnsi="Arial"/>
          <w:sz w:val="18"/>
          <w:szCs w:val="18"/>
          <w:color w:val="auto"/>
        </w:rPr>
        <w:t>Brexit occurred on January 31, 2020 under the terms of the agreement on the withdrawal of the United Kingdom of Great Britain and Northern Ireland from the European Union and the European Atomic Energy Community (the Withdrawal Agreement). There will now be a transition period during which the United Kingdom and the EU will seek to negotiate an agreement governing their future relationship, including in relation to air services. Under the Withdrawal Agreement, this transition period is scheduled to end on December 31, 2020, with a potential extension of up to two years, although the United Kingdom government has passed legislation preventing any such extension of the transition period. We face risks associated with Brexit, notably given the extent of our passenger and cargo traffic and that of our joint business partners that flows through LHR in the United Kingdom. During the transition period, our current air services may continue as we currently conduct them. However, Brexit will mandate further modification in the current regulatory regime, including in relation to commercial air service. The precise scope of traffic rights between the EU and the United Kingdom remains uncertain and therefore the continuation of our current services is not assured and could be subject to disruption. During the transition period, the United Kingdom and the EU will seek to implement a new air services agreement. We cannot predict the terms of any such successor air services agreement or whether changes in the relationship between the United Kingdom and the EU, including whether or not an agreement governing their future relationship is reached before the end of the transition period, could materially adversely affect our business, results of operations and financial condition. More generally, changes in U.S. or foreign government aviation policies could result in the alteration or termination of such agreements, diminish the value of route authorities, slots or other assets located abroad, or otherwise adversely affect our international operations.</w:t>
      </w:r>
    </w:p>
    <w:p>
      <w:pPr>
        <w:spacing w:after="0" w:line="21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23</w:t>
      </w:r>
    </w:p>
    <w:p>
      <w:pPr>
        <w:sectPr>
          <w:pgSz w:w="11900" w:h="16838" w:orient="portrait"/>
          <w:cols w:equalWidth="0" w:num="1">
            <w:col w:w="11420"/>
          </w:cols>
          <w:pgMar w:left="240" w:top="733" w:right="239" w:bottom="1440" w:gutter="0" w:footer="0" w:header="0"/>
        </w:sectPr>
      </w:pPr>
    </w:p>
    <w:bookmarkStart w:id="23" w:name="page24"/>
    <w:bookmarkEnd w:id="23"/>
    <w:p>
      <w:pPr>
        <w:jc w:val="both"/>
        <w:ind w:firstLine="216"/>
        <w:spacing w:after="0" w:line="269" w:lineRule="auto"/>
        <w:rPr>
          <w:sz w:val="20"/>
          <w:szCs w:val="20"/>
          <w:color w:val="auto"/>
        </w:rPr>
      </w:pPr>
      <w:r>
        <w:rPr>
          <w:rFonts w:ascii="Arial" w:cs="Arial" w:eastAsia="Arial" w:hAnsi="Arial"/>
          <w:sz w:val="18"/>
          <w:szCs w:val="18"/>
          <w:b w:val="1"/>
          <w:bCs w:val="1"/>
          <w:i w:val="1"/>
          <w:iCs w:val="1"/>
          <w:color w:val="auto"/>
        </w:rPr>
        <w:t>We operate a global business with international operations that are subject to economic and political instability and have been, and in the future may continue to be, adversely affected by numerous events, circumstances or government actions beyond our control.</w:t>
      </w:r>
    </w:p>
    <w:p>
      <w:pPr>
        <w:spacing w:after="0" w:line="55" w:lineRule="exact"/>
        <w:rPr>
          <w:sz w:val="20"/>
          <w:szCs w:val="20"/>
          <w:color w:val="auto"/>
        </w:rPr>
      </w:pPr>
    </w:p>
    <w:p>
      <w:pPr>
        <w:jc w:val="both"/>
        <w:ind w:firstLine="243"/>
        <w:spacing w:after="0" w:line="251" w:lineRule="auto"/>
        <w:rPr>
          <w:sz w:val="20"/>
          <w:szCs w:val="20"/>
          <w:color w:val="auto"/>
        </w:rPr>
      </w:pPr>
      <w:r>
        <w:rPr>
          <w:rFonts w:ascii="Arial" w:cs="Arial" w:eastAsia="Arial" w:hAnsi="Arial"/>
          <w:sz w:val="18"/>
          <w:szCs w:val="18"/>
          <w:color w:val="auto"/>
        </w:rPr>
        <w:t>We operate a global business with significant operations outside of the U.S. Our current international activities and prospects have been and in the future could be adversely affected by government policies, reversals or delays in the opening of foreign markets, increased competition in international markets, the performance of our alliance, joint business and codeshare partners in a given market, exchange controls or other restrictions on repatriation of funds, currency and political risks (including changes in exchange rates and currency devaluations), environmental regulation, increases in taxes and fees and changes in international government regulation of our operations, including the inability to obtain or retain needed route authorities and/or slots. Fluctuations in foreign currencies, including devaluations, exchange controls and other restrictions on the repatriation of funds, have significantly affected and may continue to significantly affect our operating performance, liquidity and the value of any cash held outside the U.S. in local currency. Such fluctuations in foreign currencies, including devaluations, cannot be predicted by us and can significantly affect the value of our assets located outside the United States. These conditions, as well as any further delays, devaluations or imposition of more stringent repatriation restrictions, may materially adversely affect our business, results of operations and financial condition.</w:t>
      </w:r>
    </w:p>
    <w:p>
      <w:pPr>
        <w:spacing w:after="0" w:line="158" w:lineRule="exact"/>
        <w:rPr>
          <w:sz w:val="20"/>
          <w:szCs w:val="20"/>
          <w:color w:val="auto"/>
        </w:rPr>
      </w:pPr>
    </w:p>
    <w:p>
      <w:pPr>
        <w:jc w:val="both"/>
        <w:ind w:firstLine="243"/>
        <w:spacing w:after="0" w:line="251" w:lineRule="auto"/>
        <w:rPr>
          <w:sz w:val="20"/>
          <w:szCs w:val="20"/>
          <w:color w:val="auto"/>
        </w:rPr>
      </w:pPr>
      <w:r>
        <w:rPr>
          <w:rFonts w:ascii="Arial" w:cs="Arial" w:eastAsia="Arial" w:hAnsi="Arial"/>
          <w:sz w:val="18"/>
          <w:szCs w:val="18"/>
          <w:color w:val="auto"/>
        </w:rPr>
        <w:t>More generally, our industry may be affected by any deterioration in global trade relations, including shifts in the trade policies of individual nations. For example, much of the demand for international air travel is the result of business travel in support of global trade. Should protectionist governmental policies, such as increased tariff or other trade barriers, travel limitations and other regulatory actions, have the effect of reducing global commercial activity, the result could be a material decrease in the demand for international air travel. Additionally, certain of the products and services that we purchase, including certain of our aircraft and related parts, are sourced from suppliers located in foreign countries, and the imposition of new tariffs, or any increase in existing tariffs, by the U.S. government in respect of the importation of such products could materially increase the amounts we pay for them. In particular, on October 2, 2019, the Office of the U.S. Trade Representative (USTR), as part of an ongoing dispute with the EU before the World Trade Organization (WTO) concerning, among other things, aircraft subsidies, was authorized by an arbitration tribunal of the WTO to impose up to $7.5 billion per year in import tariffs on certain goods originating from the EU. In October 2019, the USTR imposed tariffs on certain imports from the EU, including certain Airbus aircraft that we previously contracted to purchase, which were initially subject to an ad valorem duty of 10%. On February 14, 2020, the USTR increased such duty to 15% effective March 18, 2020. While the scope and rate of these tariffs are subject to change, if and to the extent these tariffs are imposed on us without any available means for us to mitigate or pass on the burden of these tariffs to Airbus, the effective cost of new Airbus aircraft required to implement our fleet plan would increase.</w:t>
      </w:r>
    </w:p>
    <w:p>
      <w:pPr>
        <w:spacing w:after="0" w:line="157" w:lineRule="exact"/>
        <w:rPr>
          <w:sz w:val="20"/>
          <w:szCs w:val="20"/>
          <w:color w:val="auto"/>
        </w:rPr>
      </w:pPr>
    </w:p>
    <w:p>
      <w:pPr>
        <w:jc w:val="both"/>
        <w:ind w:firstLine="216"/>
        <w:spacing w:after="0" w:line="251" w:lineRule="auto"/>
        <w:rPr>
          <w:sz w:val="20"/>
          <w:szCs w:val="20"/>
          <w:color w:val="auto"/>
        </w:rPr>
      </w:pPr>
      <w:r>
        <w:rPr>
          <w:rFonts w:ascii="Arial" w:cs="Arial" w:eastAsia="Arial" w:hAnsi="Arial"/>
          <w:sz w:val="18"/>
          <w:szCs w:val="18"/>
          <w:color w:val="auto"/>
        </w:rPr>
        <w:t>Brexit occurred on January 31, 2020 under the terms of the Withdrawal Agreement. There will now be a transition period during which the United Kingdom and the EU will seek to negotiate an agreement governing their future relationship, including in relation to air services. Under the Withdrawal Agreement, this transition period is scheduled to end on December 31, 2020, with a potential extension of up to two years, although the United Kingdom government has passed legislation preventing any such extension of the transition period. We face risks associated with Brexit, notably given the extent of our passenger and cargo traffic and that of our joint business partners that flows through LHR in the United Kingdom. During the transition period, our current air services may continue as we currently conduct them. The precise scope of traffic rights between the EU and the United Kingdom remains uncertain and therefore the continuation is not assured and could be subject to disruption. During the transition period, the United Kingdom and the EU will seek to implement a new air services agreement. We cannot predict the terms of any such successor air services agreement or whether changes in the relationship between the United Kingdom and the EU, including whether or not an agreement governing their future relationship is reached before the end of the transition period, could materially adversely affect our business, results of operations and financial condition.</w:t>
      </w:r>
    </w:p>
    <w:p>
      <w:pPr>
        <w:spacing w:after="0" w:line="158" w:lineRule="exact"/>
        <w:rPr>
          <w:sz w:val="20"/>
          <w:szCs w:val="20"/>
          <w:color w:val="auto"/>
        </w:rPr>
      </w:pPr>
    </w:p>
    <w:p>
      <w:pPr>
        <w:jc w:val="both"/>
        <w:ind w:firstLine="216"/>
        <w:spacing w:after="0" w:line="251" w:lineRule="auto"/>
        <w:rPr>
          <w:sz w:val="20"/>
          <w:szCs w:val="20"/>
          <w:color w:val="auto"/>
        </w:rPr>
      </w:pPr>
      <w:r>
        <w:rPr>
          <w:rFonts w:ascii="Arial" w:cs="Arial" w:eastAsia="Arial" w:hAnsi="Arial"/>
          <w:sz w:val="18"/>
          <w:szCs w:val="18"/>
          <w:color w:val="auto"/>
        </w:rPr>
        <w:t>Moreover, Brexit could adversely affect European or worldwide economic or market conditions and could contribute to further instability in global financial markets. In addition, Brexit has created uncertainty as to the future trade relationship between the EU and the United Kingdom, including air traffic services. LHR is presently a very important element of our international network, however it may become less desirable as a destination or as a hub location after Brexit when compared to other airports in Europe. Brexit could also lead to legal and regulatory uncertainty such as the identity of the relevant regulators, new regulatory action and/or potentially divergent treaties, laws and regulations as the United Kingdom determines which EU treaties, laws and regulations to replace or replicate, including those governing aviation, labor, environmental, data protection/privacy, competition and other matters applicable to the provision of air transportation services by us or our alliance, joint business or codeshare partners. For example in October 2018, in anticipation of Brexit and the expiry of the EC commitments in July 2020, the CMA opened an investigation into the transatlantic JBA. We continue to fully cooperate with the CMA. The impact on our business of any treaties, laws and regulations that replace the existing EU counterparts, or other governmental or regulatory actions taken by the United Kingdom or the EU in</w:t>
      </w:r>
    </w:p>
    <w:p>
      <w:pPr>
        <w:spacing w:after="0" w:line="21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24</w:t>
      </w:r>
    </w:p>
    <w:p>
      <w:pPr>
        <w:sectPr>
          <w:pgSz w:w="11900" w:h="16838" w:orient="portrait"/>
          <w:cols w:equalWidth="0" w:num="1">
            <w:col w:w="11420"/>
          </w:cols>
          <w:pgMar w:left="240" w:top="792" w:right="239" w:bottom="1440" w:gutter="0" w:footer="0" w:header="0"/>
        </w:sectPr>
      </w:pPr>
    </w:p>
    <w:bookmarkStart w:id="24" w:name="page25"/>
    <w:bookmarkEnd w:id="24"/>
    <w:p>
      <w:pPr>
        <w:jc w:val="both"/>
        <w:spacing w:after="0" w:line="256" w:lineRule="auto"/>
        <w:rPr>
          <w:sz w:val="20"/>
          <w:szCs w:val="20"/>
          <w:color w:val="auto"/>
        </w:rPr>
      </w:pPr>
      <w:r>
        <w:rPr>
          <w:rFonts w:ascii="Arial" w:cs="Arial" w:eastAsia="Arial" w:hAnsi="Arial"/>
          <w:sz w:val="18"/>
          <w:szCs w:val="18"/>
          <w:color w:val="auto"/>
        </w:rPr>
        <w:t>connection with or subsequent to Brexit, cannot be predicted, including whether or not regulators will continue to approve or impose material conditions on our business activities. Any of these effects, and others we cannot anticipate, could materially adversely affect our business, results of operations and financial condition.</w:t>
      </w:r>
    </w:p>
    <w:p>
      <w:pPr>
        <w:spacing w:after="0" w:line="126" w:lineRule="exact"/>
        <w:rPr>
          <w:sz w:val="20"/>
          <w:szCs w:val="20"/>
          <w:color w:val="auto"/>
        </w:rPr>
      </w:pPr>
    </w:p>
    <w:p>
      <w:pPr>
        <w:jc w:val="both"/>
        <w:ind w:firstLine="216"/>
        <w:spacing w:after="0" w:line="287" w:lineRule="auto"/>
        <w:rPr>
          <w:sz w:val="20"/>
          <w:szCs w:val="20"/>
          <w:color w:val="auto"/>
        </w:rPr>
      </w:pPr>
      <w:r>
        <w:rPr>
          <w:rFonts w:ascii="Arial" w:cs="Arial" w:eastAsia="Arial" w:hAnsi="Arial"/>
          <w:sz w:val="18"/>
          <w:szCs w:val="18"/>
          <w:b w:val="1"/>
          <w:bCs w:val="1"/>
          <w:i w:val="1"/>
          <w:iCs w:val="1"/>
          <w:color w:val="auto"/>
        </w:rPr>
        <w:t>We may be adversely affected by conflicts overseas or terrorist attacks; the travel industry continues to face ongoing security concerns.</w:t>
      </w:r>
    </w:p>
    <w:p>
      <w:pPr>
        <w:spacing w:after="0" w:line="40" w:lineRule="exact"/>
        <w:rPr>
          <w:sz w:val="20"/>
          <w:szCs w:val="20"/>
          <w:color w:val="auto"/>
        </w:rPr>
      </w:pPr>
    </w:p>
    <w:p>
      <w:pPr>
        <w:jc w:val="both"/>
        <w:ind w:firstLine="216"/>
        <w:spacing w:after="0" w:line="251" w:lineRule="auto"/>
        <w:rPr>
          <w:sz w:val="20"/>
          <w:szCs w:val="20"/>
          <w:color w:val="auto"/>
        </w:rPr>
      </w:pPr>
      <w:r>
        <w:rPr>
          <w:rFonts w:ascii="Arial" w:cs="Arial" w:eastAsia="Arial" w:hAnsi="Arial"/>
          <w:sz w:val="18"/>
          <w:szCs w:val="18"/>
          <w:color w:val="auto"/>
        </w:rPr>
        <w:t>Acts of terrorism or fear of such attacks, including elevated national threat warnings, wars or other military conflicts, may depress air travel, particularly on international routes, and cause declines in revenues and increases in costs. The attacks of September 11, 2001 and continuing terrorist threats, attacks and attempted attacks materially impacted and continue to impact air travel. Increased security procedures introduced at airports since the attacks of September 11, 2001 and any other such measures that may be introduced in the future generate higher operating costs for airlines. The Aviation and Transportation Security Act mandated improved flight deck security, deployment of federal air marshals on board flights, improved airport perimeter access security, airline crew security training, enhanced security screening of passengers, baggage, cargo, mail, employees and vendors, enhanced training and qualifications of security screening personnel, additional provision of passenger data to the U.S. Customs and Border Protection Agency and enhanced background checks. A concurrent increase in airport security charges and procedures, such as restrictions on carry-on baggage, has also had and may continue to have a disproportionate impact on short-haul travel, which constitutes a significant portion of our flying and revenue. Implementation of and compliance with increasingly-complex security and customs requirements will continue to result in increased costs for us and our passengers, and have caused and likely will continue to cause periodic service disruptions and delays. We have at times found it necessary or desirable to make significant expenditures to comply with security-related requirements while seeking to reduce their impact on our customers, such as expenditures for automated security screening lines at airports. As a result of competitive pressure, and the need to improve security screening throughput to support the pace of our operations, it is unlikely that we will be able to capture all security-related costs through increased fares. In addition, we cannot forecast what new security requirements may be imposed in the future, or their impact on our business.</w:t>
      </w:r>
    </w:p>
    <w:p>
      <w:pPr>
        <w:spacing w:after="0" w:line="170" w:lineRule="exact"/>
        <w:rPr>
          <w:sz w:val="20"/>
          <w:szCs w:val="20"/>
          <w:color w:val="auto"/>
        </w:rPr>
      </w:pPr>
    </w:p>
    <w:p>
      <w:pPr>
        <w:ind w:left="260"/>
        <w:spacing w:after="0" w:line="281" w:lineRule="auto"/>
        <w:rPr>
          <w:sz w:val="20"/>
          <w:szCs w:val="20"/>
          <w:color w:val="auto"/>
        </w:rPr>
      </w:pPr>
      <w:r>
        <w:rPr>
          <w:rFonts w:ascii="Arial" w:cs="Arial" w:eastAsia="Arial" w:hAnsi="Arial"/>
          <w:sz w:val="18"/>
          <w:szCs w:val="18"/>
          <w:b w:val="1"/>
          <w:bCs w:val="1"/>
          <w:i w:val="1"/>
          <w:iCs w:val="1"/>
          <w:color w:val="auto"/>
        </w:rPr>
        <w:t>We are subject to risks associated with climate change, including increased regulation of our CO</w:t>
      </w:r>
      <w:r>
        <w:rPr>
          <w:rFonts w:ascii="Arial" w:cs="Arial" w:eastAsia="Arial" w:hAnsi="Arial"/>
          <w:sz w:val="21"/>
          <w:szCs w:val="21"/>
          <w:b w:val="1"/>
          <w:bCs w:val="1"/>
          <w:i w:val="1"/>
          <w:iCs w:val="1"/>
          <w:color w:val="auto"/>
          <w:vertAlign w:val="subscript"/>
        </w:rPr>
        <w:t>2</w:t>
      </w:r>
      <w:r>
        <w:rPr>
          <w:rFonts w:ascii="Arial" w:cs="Arial" w:eastAsia="Arial" w:hAnsi="Arial"/>
          <w:sz w:val="18"/>
          <w:szCs w:val="18"/>
          <w:b w:val="1"/>
          <w:bCs w:val="1"/>
          <w:i w:val="1"/>
          <w:iCs w:val="1"/>
          <w:color w:val="auto"/>
        </w:rPr>
        <w:t xml:space="preserve"> emissions and the potential increased impacts of severe weather events on our operations and infrastructure.</w:t>
      </w:r>
    </w:p>
    <w:p>
      <w:pPr>
        <w:jc w:val="both"/>
        <w:ind w:firstLine="243"/>
        <w:spacing w:after="0" w:line="247" w:lineRule="auto"/>
        <w:rPr>
          <w:sz w:val="20"/>
          <w:szCs w:val="20"/>
          <w:color w:val="auto"/>
        </w:rPr>
      </w:pPr>
      <w:r>
        <w:rPr>
          <w:rFonts w:ascii="Arial" w:cs="Arial" w:eastAsia="Arial" w:hAnsi="Arial"/>
          <w:sz w:val="18"/>
          <w:szCs w:val="18"/>
          <w:color w:val="auto"/>
        </w:rPr>
        <w:t>There is increasing global regulatory focus on climate change and emissions of GHGs, including CO</w:t>
      </w:r>
      <w:r>
        <w:rPr>
          <w:rFonts w:ascii="Arial" w:cs="Arial" w:eastAsia="Arial" w:hAnsi="Arial"/>
          <w:sz w:val="21"/>
          <w:szCs w:val="21"/>
          <w:color w:val="auto"/>
          <w:vertAlign w:val="subscript"/>
        </w:rPr>
        <w:t>2</w:t>
      </w:r>
      <w:r>
        <w:rPr>
          <w:rFonts w:ascii="Arial" w:cs="Arial" w:eastAsia="Arial" w:hAnsi="Arial"/>
          <w:sz w:val="18"/>
          <w:szCs w:val="18"/>
          <w:color w:val="auto"/>
        </w:rPr>
        <w:t>. In particular, ICAO is in the process of adopting rules, including CORSIA, that will require American to limit the CO</w:t>
      </w:r>
      <w:r>
        <w:rPr>
          <w:rFonts w:ascii="Arial" w:cs="Arial" w:eastAsia="Arial" w:hAnsi="Arial"/>
          <w:sz w:val="21"/>
          <w:szCs w:val="21"/>
          <w:color w:val="auto"/>
          <w:vertAlign w:val="subscript"/>
        </w:rPr>
        <w:t>2</w:t>
      </w:r>
      <w:r>
        <w:rPr>
          <w:rFonts w:ascii="Arial" w:cs="Arial" w:eastAsia="Arial" w:hAnsi="Arial"/>
          <w:sz w:val="18"/>
          <w:szCs w:val="18"/>
          <w:color w:val="auto"/>
        </w:rPr>
        <w:t xml:space="preserve"> emissions of a significant majority of our international flights to a baseline level equal to our 2019-2020 average emissions from such flights.</w:t>
      </w:r>
    </w:p>
    <w:p>
      <w:pPr>
        <w:spacing w:after="0" w:line="155" w:lineRule="exact"/>
        <w:rPr>
          <w:sz w:val="20"/>
          <w:szCs w:val="20"/>
          <w:color w:val="auto"/>
        </w:rPr>
      </w:pPr>
    </w:p>
    <w:p>
      <w:pPr>
        <w:jc w:val="both"/>
        <w:ind w:firstLine="243"/>
        <w:spacing w:after="0" w:line="245" w:lineRule="auto"/>
        <w:rPr>
          <w:sz w:val="20"/>
          <w:szCs w:val="20"/>
          <w:color w:val="auto"/>
        </w:rPr>
      </w:pPr>
      <w:r>
        <w:rPr>
          <w:rFonts w:ascii="Arial" w:cs="Arial" w:eastAsia="Arial" w:hAnsi="Arial"/>
          <w:sz w:val="18"/>
          <w:szCs w:val="18"/>
          <w:color w:val="auto"/>
        </w:rPr>
        <w:t>At this time, the costs of our obligations under CORSIA are uncertain and cannot be fully predicted. For example, we will not directly control our CORSIA compliance costs during the CORSIA Pilot and First Phases because such phases include a sharing mechanism for the growth in emissions for the global aviation sector. In addition, there is uncertainty with respect to the future supply, demand and price of sustainable or lower carbon aircraft fuel, carbon offset credits and technologies that could allow airlines to reduce their emissions of CO</w:t>
      </w:r>
      <w:r>
        <w:rPr>
          <w:rFonts w:ascii="Arial" w:cs="Arial" w:eastAsia="Arial" w:hAnsi="Arial"/>
          <w:sz w:val="21"/>
          <w:szCs w:val="21"/>
          <w:color w:val="auto"/>
          <w:vertAlign w:val="subscript"/>
        </w:rPr>
        <w:t>2</w:t>
      </w:r>
      <w:r>
        <w:rPr>
          <w:rFonts w:ascii="Arial" w:cs="Arial" w:eastAsia="Arial" w:hAnsi="Arial"/>
          <w:sz w:val="18"/>
          <w:szCs w:val="18"/>
          <w:color w:val="auto"/>
        </w:rPr>
        <w:t>. Due to the competitive nature of the airline industry and unpredictability of the market for air travel, we can offer no assurance that we may be able to increase our fares, impose surcharges or otherwise increase revenues or decrease other operating costs sufficiently to offset our costs of meeting obligations under CORSIA.</w:t>
      </w:r>
    </w:p>
    <w:p>
      <w:pPr>
        <w:spacing w:after="0" w:line="160" w:lineRule="exact"/>
        <w:rPr>
          <w:sz w:val="20"/>
          <w:szCs w:val="20"/>
          <w:color w:val="auto"/>
        </w:rPr>
      </w:pPr>
    </w:p>
    <w:p>
      <w:pPr>
        <w:jc w:val="both"/>
        <w:ind w:firstLine="230"/>
        <w:spacing w:after="0" w:line="252" w:lineRule="auto"/>
        <w:rPr>
          <w:sz w:val="20"/>
          <w:szCs w:val="20"/>
          <w:color w:val="auto"/>
        </w:rPr>
      </w:pPr>
      <w:r>
        <w:rPr>
          <w:rFonts w:ascii="Arial" w:cs="Arial" w:eastAsia="Arial" w:hAnsi="Arial"/>
          <w:sz w:val="18"/>
          <w:szCs w:val="18"/>
          <w:color w:val="auto"/>
        </w:rPr>
        <w:t>In the event that CORSIA does not come into force as expected, American and other airlines could become subject to an unpredictable and inconsistent array of national or regional emissions restrictions, creating a patchwork of complex regulatory requirements that will often affect global competitors differently and frequently offer no meaningful aviation environmental improvements. Concerns over climate change are likely to result in the continued adoption of municipal, state, regional, and federal requirements or in changing business environments that may result in increased costs to the airline industry and us. In addition, several countries and U.S. states have adopted or are considering adopting programs to regulate GHG emissions. Finally, certain airports have adopted, and others could in the future adopt, GHG emission or climate-neutral goals that could impact our operations or require us to make changes or investments in our infrastructure.</w:t>
      </w:r>
    </w:p>
    <w:p>
      <w:pPr>
        <w:spacing w:after="0" w:line="153" w:lineRule="exact"/>
        <w:rPr>
          <w:sz w:val="20"/>
          <w:szCs w:val="20"/>
          <w:color w:val="auto"/>
        </w:rPr>
      </w:pPr>
    </w:p>
    <w:p>
      <w:pPr>
        <w:jc w:val="both"/>
        <w:ind w:firstLine="230"/>
        <w:spacing w:after="0" w:line="256" w:lineRule="auto"/>
        <w:rPr>
          <w:sz w:val="20"/>
          <w:szCs w:val="20"/>
          <w:color w:val="auto"/>
        </w:rPr>
      </w:pPr>
      <w:r>
        <w:rPr>
          <w:rFonts w:ascii="Arial" w:cs="Arial" w:eastAsia="Arial" w:hAnsi="Arial"/>
          <w:sz w:val="18"/>
          <w:szCs w:val="18"/>
          <w:color w:val="auto"/>
        </w:rPr>
        <w:t>All such climate change-related regulatory activity and developments may adversely affect our business and financial results by requiring us to reduce our emissions, make capital investments to modernize certain aspects of our operations, purchase carbon offset credits, or otherwise pay for our emissions. Such activity may also impact us indirectly by increasing our operating costs, including fuel costs.</w:t>
      </w:r>
    </w:p>
    <w:p>
      <w:pPr>
        <w:spacing w:after="0" w:line="20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25</w:t>
      </w:r>
    </w:p>
    <w:p>
      <w:pPr>
        <w:sectPr>
          <w:pgSz w:w="11900" w:h="16838" w:orient="portrait"/>
          <w:cols w:equalWidth="0" w:num="1">
            <w:col w:w="11420"/>
          </w:cols>
          <w:pgMar w:left="240" w:top="733" w:right="239" w:bottom="1440" w:gutter="0" w:footer="0" w:header="0"/>
        </w:sectPr>
      </w:pPr>
    </w:p>
    <w:bookmarkStart w:id="25" w:name="page26"/>
    <w:bookmarkEnd w:id="25"/>
    <w:p>
      <w:pPr>
        <w:jc w:val="both"/>
        <w:ind w:firstLine="216"/>
        <w:spacing w:after="0" w:line="253" w:lineRule="auto"/>
        <w:rPr>
          <w:sz w:val="20"/>
          <w:szCs w:val="20"/>
          <w:color w:val="auto"/>
        </w:rPr>
      </w:pPr>
      <w:r>
        <w:rPr>
          <w:rFonts w:ascii="Arial" w:cs="Arial" w:eastAsia="Arial" w:hAnsi="Arial"/>
          <w:sz w:val="18"/>
          <w:szCs w:val="18"/>
          <w:color w:val="auto"/>
        </w:rPr>
        <w:t>Finally, the potential physical effects of climate change, such as increased frequency and severity of storms, floods, fires, sea-level rise and other climate-related events, could affect our operations, infrastructure and financial results. Operational impacts, such as the canceling of flights, could result in loss of revenue. We could incur significant costs to improve the climate resiliency of our infrastructure and otherwise prepare for, respond to, and mitigate such physical effects of climate change. We are not able to accurately predict the materiality of any potential losses or costs associated with the physical effects of climate change.</w:t>
      </w:r>
    </w:p>
    <w:p>
      <w:pPr>
        <w:spacing w:after="0" w:line="211" w:lineRule="exact"/>
        <w:rPr>
          <w:sz w:val="20"/>
          <w:szCs w:val="20"/>
          <w:color w:val="auto"/>
        </w:rPr>
      </w:pPr>
    </w:p>
    <w:p>
      <w:pPr>
        <w:ind w:left="260"/>
        <w:spacing w:after="0"/>
        <w:rPr>
          <w:sz w:val="20"/>
          <w:szCs w:val="20"/>
          <w:color w:val="auto"/>
        </w:rPr>
      </w:pPr>
      <w:r>
        <w:rPr>
          <w:rFonts w:ascii="Arial" w:cs="Arial" w:eastAsia="Arial" w:hAnsi="Arial"/>
          <w:sz w:val="18"/>
          <w:szCs w:val="18"/>
          <w:b w:val="1"/>
          <w:bCs w:val="1"/>
          <w:i w:val="1"/>
          <w:iCs w:val="1"/>
          <w:color w:val="auto"/>
        </w:rPr>
        <w:t>We are subject to many forms of environmental and noise regulation and may incur substantial costs as a result.</w:t>
      </w:r>
    </w:p>
    <w:p>
      <w:pPr>
        <w:spacing w:after="0" w:line="112" w:lineRule="exact"/>
        <w:rPr>
          <w:sz w:val="20"/>
          <w:szCs w:val="20"/>
          <w:color w:val="auto"/>
        </w:rPr>
      </w:pPr>
    </w:p>
    <w:p>
      <w:pPr>
        <w:jc w:val="both"/>
        <w:ind w:firstLine="216"/>
        <w:spacing w:after="0" w:line="254" w:lineRule="auto"/>
        <w:rPr>
          <w:sz w:val="20"/>
          <w:szCs w:val="20"/>
          <w:color w:val="auto"/>
        </w:rPr>
      </w:pPr>
      <w:r>
        <w:rPr>
          <w:rFonts w:ascii="Arial" w:cs="Arial" w:eastAsia="Arial" w:hAnsi="Arial"/>
          <w:sz w:val="18"/>
          <w:szCs w:val="18"/>
          <w:color w:val="auto"/>
        </w:rPr>
        <w:t>We are subject to a number of increasingly stringent federal, state, local and foreign laws, regulations and ordinances relating to the protection of the environment and noise reduction, including those relating to emissions to the air, discharges to surface and subsurface waters, safe drinking water, and the management of hazardous substances, oils and waste materials. Compliance with environmental laws and regulations can require significant expenditures, and violations can lead to significant fines and penalties.</w:t>
      </w:r>
    </w:p>
    <w:p>
      <w:pPr>
        <w:spacing w:after="0" w:line="150" w:lineRule="exact"/>
        <w:rPr>
          <w:sz w:val="20"/>
          <w:szCs w:val="20"/>
          <w:color w:val="auto"/>
        </w:rPr>
      </w:pPr>
    </w:p>
    <w:p>
      <w:pPr>
        <w:jc w:val="both"/>
        <w:ind w:firstLine="216"/>
        <w:spacing w:after="0" w:line="252" w:lineRule="auto"/>
        <w:rPr>
          <w:sz w:val="20"/>
          <w:szCs w:val="20"/>
          <w:color w:val="auto"/>
        </w:rPr>
      </w:pPr>
      <w:r>
        <w:rPr>
          <w:rFonts w:ascii="Arial" w:cs="Arial" w:eastAsia="Arial" w:hAnsi="Arial"/>
          <w:sz w:val="18"/>
          <w:szCs w:val="18"/>
          <w:color w:val="auto"/>
        </w:rPr>
        <w:t>We are also subject to other environmental laws and regulations, including those that require us to investigate and remediate soil or groundwater to meet certain remediation standards. Under federal law, generators of waste materials, and current and former owners or operators of facilities, can be subject to liability for investigation and remediation costs at locations that have been identified as requiring response actions. Liability under these laws may be strict, joint and several, meaning that we could be liable for the costs of cleaning up environmental contamination regardless of fault or the amount of waste directly attributable to us. We have liability for investigation and remediation costs at various sites, although such costs currently are not expected to have a material adverse effect on our business.</w:t>
      </w:r>
    </w:p>
    <w:p>
      <w:pPr>
        <w:spacing w:after="0" w:line="155" w:lineRule="exact"/>
        <w:rPr>
          <w:sz w:val="20"/>
          <w:szCs w:val="20"/>
          <w:color w:val="auto"/>
        </w:rPr>
      </w:pPr>
    </w:p>
    <w:p>
      <w:pPr>
        <w:jc w:val="both"/>
        <w:ind w:firstLine="216"/>
        <w:spacing w:after="0" w:line="253" w:lineRule="auto"/>
        <w:rPr>
          <w:sz w:val="20"/>
          <w:szCs w:val="20"/>
          <w:color w:val="auto"/>
        </w:rPr>
      </w:pPr>
      <w:r>
        <w:rPr>
          <w:rFonts w:ascii="Arial" w:cs="Arial" w:eastAsia="Arial" w:hAnsi="Arial"/>
          <w:sz w:val="18"/>
          <w:szCs w:val="18"/>
          <w:color w:val="auto"/>
        </w:rPr>
        <w:t>We have various leases and agreements with respect to real property, tanks and pipelines with airports and other operators. Under these leases and agreements, we have agreed to indemnify the lessor or operator against environmental liabilities associated with the real property or operations described under the agreement, even in certain cases where we are not the party responsible for the initial event that caused the environmental damage. We also participate in leases with other airlines in fuel consortiums and fuel committees at airports, and such indemnities are generally joint and several among the participating airlines.</w:t>
      </w:r>
    </w:p>
    <w:p>
      <w:pPr>
        <w:spacing w:after="0" w:line="152" w:lineRule="exact"/>
        <w:rPr>
          <w:sz w:val="20"/>
          <w:szCs w:val="20"/>
          <w:color w:val="auto"/>
        </w:rPr>
      </w:pPr>
    </w:p>
    <w:p>
      <w:pPr>
        <w:jc w:val="both"/>
        <w:ind w:firstLine="216"/>
        <w:spacing w:after="0" w:line="254" w:lineRule="auto"/>
        <w:rPr>
          <w:sz w:val="20"/>
          <w:szCs w:val="20"/>
          <w:color w:val="auto"/>
        </w:rPr>
      </w:pPr>
      <w:r>
        <w:rPr>
          <w:rFonts w:ascii="Arial" w:cs="Arial" w:eastAsia="Arial" w:hAnsi="Arial"/>
          <w:sz w:val="18"/>
          <w:szCs w:val="18"/>
          <w:color w:val="auto"/>
        </w:rPr>
        <w:t>Governmental authorities in several U.S. and foreign cities are also considering, or have already implemented, aircraft noise reduction programs, including the imposition of nighttime curfews and limitations on daytime take offs and landings. We have been able to accommodate local noise restrictions imposed to date, but our operations could be adversely affected if locally-imposed regulations become more restrictive or widespread.</w:t>
      </w:r>
    </w:p>
    <w:p>
      <w:pPr>
        <w:spacing w:after="0" w:line="209" w:lineRule="exact"/>
        <w:rPr>
          <w:sz w:val="20"/>
          <w:szCs w:val="20"/>
          <w:color w:val="auto"/>
        </w:rPr>
      </w:pPr>
    </w:p>
    <w:p>
      <w:pPr>
        <w:ind w:left="220"/>
        <w:spacing w:after="0"/>
        <w:rPr>
          <w:sz w:val="20"/>
          <w:szCs w:val="20"/>
          <w:color w:val="auto"/>
        </w:rPr>
      </w:pPr>
      <w:r>
        <w:rPr>
          <w:rFonts w:ascii="Arial" w:cs="Arial" w:eastAsia="Arial" w:hAnsi="Arial"/>
          <w:sz w:val="18"/>
          <w:szCs w:val="18"/>
          <w:b w:val="1"/>
          <w:bCs w:val="1"/>
          <w:i w:val="1"/>
          <w:iCs w:val="1"/>
          <w:color w:val="auto"/>
        </w:rPr>
        <w:t>We depend on a limited number of suppliers for aircraft, aircraft engines and parts.</w:t>
      </w:r>
    </w:p>
    <w:p>
      <w:pPr>
        <w:spacing w:after="0" w:line="112" w:lineRule="exact"/>
        <w:rPr>
          <w:sz w:val="20"/>
          <w:szCs w:val="20"/>
          <w:color w:val="auto"/>
        </w:rPr>
      </w:pPr>
    </w:p>
    <w:p>
      <w:pPr>
        <w:jc w:val="both"/>
        <w:ind w:firstLine="243"/>
        <w:spacing w:after="0" w:line="251" w:lineRule="auto"/>
        <w:rPr>
          <w:sz w:val="20"/>
          <w:szCs w:val="20"/>
          <w:color w:val="auto"/>
        </w:rPr>
      </w:pPr>
      <w:r>
        <w:rPr>
          <w:rFonts w:ascii="Arial" w:cs="Arial" w:eastAsia="Arial" w:hAnsi="Arial"/>
          <w:sz w:val="18"/>
          <w:szCs w:val="18"/>
          <w:color w:val="auto"/>
        </w:rPr>
        <w:t>We depend on a limited number of suppliers for aircraft, aircraft engines and many aircraft and engine parts. For example, under our current fleet plan, by the end of 2020 all of our mainline aircraft will have been manufactured by either Airbus or Boeing and all of our regional aircraft will have been manufactured by either Bombardier or Embraer. Further, our supplier base continues to consolidate as evidenced by the recent acquisition of Rockwell Collins by United Technologies, the recent transactions involving Airbus and Bombardier and the pending transactions involving Boeing and Embraer, and Bombardier and Mitsubishi. Due to the limited number of these suppliers, we are vulnerable to any problems associated with the performance of their obligation to supply key aircraft, parts and engines, including design defects, mechanical problems, contractual performance by suppliers, adverse perception by the public that would result in customer avoidance of any of our aircraft or any action by the FAA or any other regulatory authority resulting in an inability to operate our aircraft, even temporarily. In particular, in March 2019, the FAA ordered the grounding of all Boeing 737 MAX aircraft, which remains in place as of the date of this report.</w:t>
      </w:r>
    </w:p>
    <w:p>
      <w:pPr>
        <w:spacing w:after="0" w:line="218" w:lineRule="exact"/>
        <w:rPr>
          <w:sz w:val="20"/>
          <w:szCs w:val="20"/>
          <w:color w:val="auto"/>
        </w:rPr>
      </w:pPr>
    </w:p>
    <w:p>
      <w:pPr>
        <w:ind w:left="260" w:right="20"/>
        <w:spacing w:after="0" w:line="287" w:lineRule="auto"/>
        <w:rPr>
          <w:sz w:val="20"/>
          <w:szCs w:val="20"/>
          <w:color w:val="auto"/>
        </w:rPr>
      </w:pPr>
      <w:r>
        <w:rPr>
          <w:rFonts w:ascii="Arial" w:cs="Arial" w:eastAsia="Arial" w:hAnsi="Arial"/>
          <w:sz w:val="18"/>
          <w:szCs w:val="18"/>
          <w:b w:val="1"/>
          <w:bCs w:val="1"/>
          <w:i w:val="1"/>
          <w:iCs w:val="1"/>
          <w:color w:val="auto"/>
        </w:rPr>
        <w:t>Delays in scheduled aircraft deliveries or other loss of anticipated fleet capacity, and failure of new aircraft to perform as expected, may adversely impact our business, results of operations and financial condition.</w:t>
      </w:r>
    </w:p>
    <w:p>
      <w:pPr>
        <w:spacing w:after="0" w:line="40" w:lineRule="exact"/>
        <w:rPr>
          <w:sz w:val="20"/>
          <w:szCs w:val="20"/>
          <w:color w:val="auto"/>
        </w:rPr>
      </w:pPr>
    </w:p>
    <w:p>
      <w:pPr>
        <w:jc w:val="both"/>
        <w:ind w:firstLine="216"/>
        <w:spacing w:after="0" w:line="252" w:lineRule="auto"/>
        <w:rPr>
          <w:sz w:val="20"/>
          <w:szCs w:val="20"/>
          <w:color w:val="auto"/>
        </w:rPr>
      </w:pPr>
      <w:r>
        <w:rPr>
          <w:rFonts w:ascii="Arial" w:cs="Arial" w:eastAsia="Arial" w:hAnsi="Arial"/>
          <w:sz w:val="18"/>
          <w:szCs w:val="18"/>
          <w:color w:val="auto"/>
        </w:rPr>
        <w:t>The success of our business depends on, among other things, effectively managing the number and types of aircraft we operate. If, for any reason, we are unable to accept or secure deliveries of new aircraft on contractually scheduled delivery dates, this could have negative impacts on our business, results of operations and financial condition. Our failure to integrate newly purchased aircraft into our fleet as planned might require us to seek extensions of the terms for some leased aircraft or otherwise delay the exit of certain aircraft from our fleet. Such unanticipated extensions or delays may require us to operate existing aircraft beyond the point at which it is economically optimal to retire them, resulting in increased maintenance costs, or reductions to our schedule, thereby reducing revenues. If new aircraft orders are not filled on a timely basis, we could face higher financing and operating costs than planned. In addition, if the aircraft we</w:t>
      </w:r>
    </w:p>
    <w:p>
      <w:pPr>
        <w:spacing w:after="0" w:line="20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26</w:t>
      </w:r>
    </w:p>
    <w:p>
      <w:pPr>
        <w:sectPr>
          <w:pgSz w:w="11900" w:h="16838" w:orient="portrait"/>
          <w:cols w:equalWidth="0" w:num="1">
            <w:col w:w="11420"/>
          </w:cols>
          <w:pgMar w:left="240" w:top="733" w:right="239" w:bottom="1440" w:gutter="0" w:footer="0" w:header="0"/>
        </w:sectPr>
      </w:pPr>
    </w:p>
    <w:bookmarkStart w:id="26" w:name="page27"/>
    <w:bookmarkEnd w:id="26"/>
    <w:p>
      <w:pPr>
        <w:jc w:val="both"/>
        <w:spacing w:after="0" w:line="251" w:lineRule="auto"/>
        <w:rPr>
          <w:sz w:val="20"/>
          <w:szCs w:val="20"/>
          <w:color w:val="auto"/>
        </w:rPr>
      </w:pPr>
      <w:r>
        <w:rPr>
          <w:rFonts w:ascii="Arial" w:cs="Arial" w:eastAsia="Arial" w:hAnsi="Arial"/>
          <w:sz w:val="18"/>
          <w:szCs w:val="18"/>
          <w:color w:val="auto"/>
        </w:rPr>
        <w:t>receive do not meet expected performance or quality standards, including with respect to fuel efficiency, safety and reliability, we could face higher financing and operating costs than planned and our business, results of operations and financial condition could be adversely impacted. For instance, in March 2019, the FAA grounded all Boeing 737 MAX aircraft, including the 24 aircraft in our fleet. For the duration of the Boeing 737 MAX grounding, we have been unable to take delivery of the Boeing 737 MAX aircraft we have on order from Boeing and have in some instances been required to extend the service lives of older, less efficient aircraft and delay service that we planned to offer. Further, deliveries of Boeing 737 MAX aircraft have remained suspended following the grounding, and Boeing is not currently manufacturing new 737 MAX aircraft. Depending on the ultimate duration of the grounding, various Boeing 737 MAX aircraft financings we previously obtained may be terminated and, as a result, we may be required to obtain alternate financing for these aircraft, which may not be available on terms and conditions as favorable as the previously obtained financings. Further, once the grounding has been lifted, we are likely to be subject to training requirements. Boeing has recommended that pilots receive special flight simulator training before operating the Boeing 737 MAX aircraft, and although the FAA is ultimately responsible for establishing training requirements for operating the Boeing 737 MAX, such additional training would further delay the aircraft’s return to service and impose restrictions on our ability to optimize our fleet. This and other operational requirements and uncertainties regarding the timing of the delivery of Boeing 737 MAX aircraft we have on order and how rapidly we will be able to take delivery of and integrate such Boeing 737 MAX aircraft into our fleet could potentially result in further significant constraints on our operating efficiency, capacity and growth plans.</w:t>
      </w:r>
    </w:p>
    <w:p>
      <w:pPr>
        <w:spacing w:after="0" w:line="215" w:lineRule="exact"/>
        <w:rPr>
          <w:sz w:val="20"/>
          <w:szCs w:val="20"/>
          <w:color w:val="auto"/>
        </w:rPr>
      </w:pPr>
    </w:p>
    <w:p>
      <w:pPr>
        <w:ind w:left="260"/>
        <w:spacing w:after="0" w:line="287" w:lineRule="auto"/>
        <w:rPr>
          <w:sz w:val="20"/>
          <w:szCs w:val="20"/>
          <w:color w:val="auto"/>
        </w:rPr>
      </w:pPr>
      <w:r>
        <w:rPr>
          <w:rFonts w:ascii="Arial" w:cs="Arial" w:eastAsia="Arial" w:hAnsi="Arial"/>
          <w:sz w:val="18"/>
          <w:szCs w:val="18"/>
          <w:b w:val="1"/>
          <w:bCs w:val="1"/>
          <w:i w:val="1"/>
          <w:iCs w:val="1"/>
          <w:color w:val="auto"/>
        </w:rPr>
        <w:t>We rely heavily on technology and automated systems to operate our business, and any failure of these technologies or systems could harm our business, results of operations and financial condition.</w:t>
      </w:r>
    </w:p>
    <w:p>
      <w:pPr>
        <w:spacing w:after="0" w:line="40" w:lineRule="exact"/>
        <w:rPr>
          <w:sz w:val="20"/>
          <w:szCs w:val="20"/>
          <w:color w:val="auto"/>
        </w:rPr>
      </w:pPr>
    </w:p>
    <w:p>
      <w:pPr>
        <w:jc w:val="both"/>
        <w:ind w:firstLine="243"/>
        <w:spacing w:after="0" w:line="251" w:lineRule="auto"/>
        <w:rPr>
          <w:sz w:val="20"/>
          <w:szCs w:val="20"/>
          <w:color w:val="auto"/>
        </w:rPr>
      </w:pPr>
      <w:r>
        <w:rPr>
          <w:rFonts w:ascii="Arial" w:cs="Arial" w:eastAsia="Arial" w:hAnsi="Arial"/>
          <w:sz w:val="18"/>
          <w:szCs w:val="18"/>
          <w:color w:val="auto"/>
        </w:rPr>
        <w:t>We are highly dependent on existing and emerging technology and automated systems to operate our business. These technologies and systems include our computerized airline reservation system, flight operations systems, financial planning, management and accounting systems, telecommunications systems, website, maintenance systems and check-in kiosks. In order for our operations to work efficiently, our website and reservation system must be able to accommodate a high volume of traffic, maintain secure information and deliver flight information, as well as issue electronic tickets and process critical financial information in a timely manner. Substantially all of our tickets are issued to passengers as electronic tickets. We depend on our reservation system, which is hosted and maintained under a long-term contract by a third-party service provider, to be able to issue, track and accept these electronic tickets. If our technologies or automated systems are not functioning or if our third-party service providers were to fail to adequately provide technical support, system maintenance or timely software upgrades for any one of our key existing systems, we could experience service disruptions or delays, which could harm our business and result in the loss of important data, increase our expenses and decrease our revenues. In the event that one or more of our primary technology or systems vendors goes into bankruptcy, ceases operations or fails to perform as promised, replacement services may not be readily available on a timely basis, at competitive rates or at all, and any transition time to a new system may be significant.</w:t>
      </w:r>
    </w:p>
    <w:p>
      <w:pPr>
        <w:spacing w:after="0" w:line="157" w:lineRule="exact"/>
        <w:rPr>
          <w:sz w:val="20"/>
          <w:szCs w:val="20"/>
          <w:color w:val="auto"/>
        </w:rPr>
      </w:pPr>
    </w:p>
    <w:p>
      <w:pPr>
        <w:jc w:val="both"/>
        <w:ind w:firstLine="243"/>
        <w:spacing w:after="0" w:line="252" w:lineRule="auto"/>
        <w:rPr>
          <w:sz w:val="20"/>
          <w:szCs w:val="20"/>
          <w:color w:val="auto"/>
        </w:rPr>
      </w:pPr>
      <w:r>
        <w:rPr>
          <w:rFonts w:ascii="Arial" w:cs="Arial" w:eastAsia="Arial" w:hAnsi="Arial"/>
          <w:sz w:val="18"/>
          <w:szCs w:val="18"/>
          <w:color w:val="auto"/>
        </w:rPr>
        <w:t>Our technologies and automated systems cannot be completely protected against events that are beyond our control, including natural disasters, power failures, terrorist attacks, cyber-attacks, data theft, equipment and software failures, computer viruses or telecommunications failures. Substantial or sustained system failures could cause service delays or failures and result in our customers purchasing tickets from other airlines. We cannot assure that our security measures, change control procedures or disaster recovery plans are adequate to prevent disruptions or delays. Disruption in or changes to these technologies or systems could result in a disruption to our business and the loss of important data. Any of the foregoing could result in a material adverse effect on our business, results of operations and financial condition.</w:t>
      </w:r>
    </w:p>
    <w:p>
      <w:pPr>
        <w:spacing w:after="0" w:line="214" w:lineRule="exact"/>
        <w:rPr>
          <w:sz w:val="20"/>
          <w:szCs w:val="20"/>
          <w:color w:val="auto"/>
        </w:rPr>
      </w:pPr>
    </w:p>
    <w:p>
      <w:pPr>
        <w:ind w:left="260"/>
        <w:spacing w:after="0"/>
        <w:rPr>
          <w:sz w:val="20"/>
          <w:szCs w:val="20"/>
          <w:color w:val="auto"/>
        </w:rPr>
      </w:pPr>
      <w:r>
        <w:rPr>
          <w:rFonts w:ascii="Arial" w:cs="Arial" w:eastAsia="Arial" w:hAnsi="Arial"/>
          <w:sz w:val="18"/>
          <w:szCs w:val="18"/>
          <w:b w:val="1"/>
          <w:bCs w:val="1"/>
          <w:i w:val="1"/>
          <w:iCs w:val="1"/>
          <w:color w:val="auto"/>
        </w:rPr>
        <w:t>We face challenges in integrating our computer, communications and other technology systems.</w:t>
      </w:r>
    </w:p>
    <w:p>
      <w:pPr>
        <w:spacing w:after="0" w:line="112" w:lineRule="exact"/>
        <w:rPr>
          <w:sz w:val="20"/>
          <w:szCs w:val="20"/>
          <w:color w:val="auto"/>
        </w:rPr>
      </w:pPr>
    </w:p>
    <w:p>
      <w:pPr>
        <w:jc w:val="both"/>
        <w:ind w:firstLine="216"/>
        <w:spacing w:after="0" w:line="252" w:lineRule="auto"/>
        <w:rPr>
          <w:sz w:val="20"/>
          <w:szCs w:val="20"/>
          <w:color w:val="auto"/>
        </w:rPr>
      </w:pPr>
      <w:r>
        <w:rPr>
          <w:rFonts w:ascii="Arial" w:cs="Arial" w:eastAsia="Arial" w:hAnsi="Arial"/>
          <w:sz w:val="18"/>
          <w:szCs w:val="18"/>
          <w:color w:val="auto"/>
        </w:rPr>
        <w:t>While we have to date successfully integrated many of our computer, communication and other technology systems in connection with the merger of US Airways and American, including our customer reservations system and our pilot, flight attendant and fleet scheduling system, we still have to complete several additional important system integration or replacement projects. In a number of prior airline mergers, the integration of these systems or deployment of replacement systems has taken longer, been more disruptive and cost more than originally forecasted. The implementation process to integrate or replace these various systems will involve a number of risks that could adversely impact our business, results of operations and financial condition. New systems will replace multiple legacy systems and the related implementation will be a complex and time-consuming project involving substantial expenditures for implementation consultants, system hardware, software and implementation activities, as well as the transformation of business and financial processes.</w:t>
      </w:r>
    </w:p>
    <w:p>
      <w:pPr>
        <w:spacing w:after="0" w:line="20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27</w:t>
      </w:r>
    </w:p>
    <w:p>
      <w:pPr>
        <w:sectPr>
          <w:pgSz w:w="11900" w:h="16838" w:orient="portrait"/>
          <w:cols w:equalWidth="0" w:num="1">
            <w:col w:w="11420"/>
          </w:cols>
          <w:pgMar w:left="240" w:top="652" w:right="239" w:bottom="1440" w:gutter="0" w:footer="0" w:header="0"/>
        </w:sectPr>
      </w:pPr>
    </w:p>
    <w:bookmarkStart w:id="27" w:name="page28"/>
    <w:bookmarkEnd w:id="27"/>
    <w:p>
      <w:pPr>
        <w:jc w:val="both"/>
        <w:ind w:firstLine="243"/>
        <w:spacing w:after="0" w:line="254" w:lineRule="auto"/>
        <w:rPr>
          <w:sz w:val="20"/>
          <w:szCs w:val="20"/>
          <w:color w:val="auto"/>
        </w:rPr>
      </w:pPr>
      <w:r>
        <w:rPr>
          <w:rFonts w:ascii="Arial" w:cs="Arial" w:eastAsia="Arial" w:hAnsi="Arial"/>
          <w:sz w:val="18"/>
          <w:szCs w:val="18"/>
          <w:color w:val="auto"/>
        </w:rPr>
        <w:t>We cannot assure that our security measures, change control procedures or disaster recovery plans will be adequate to prevent disruptions or delays in connection with systems integration or replacement. Disruptions in or changes to these systems could result in a disruption to our business and the loss of important data. Any of the foregoing could result in a material adverse effect on our business, results of operations and financial condition.</w:t>
      </w:r>
    </w:p>
    <w:p>
      <w:pPr>
        <w:spacing w:after="0" w:line="209" w:lineRule="exact"/>
        <w:rPr>
          <w:sz w:val="20"/>
          <w:szCs w:val="20"/>
          <w:color w:val="auto"/>
        </w:rPr>
      </w:pPr>
    </w:p>
    <w:p>
      <w:pPr>
        <w:jc w:val="both"/>
        <w:ind w:left="260"/>
        <w:spacing w:after="0" w:line="269" w:lineRule="auto"/>
        <w:rPr>
          <w:sz w:val="20"/>
          <w:szCs w:val="20"/>
          <w:color w:val="auto"/>
        </w:rPr>
      </w:pPr>
      <w:r>
        <w:rPr>
          <w:rFonts w:ascii="Arial" w:cs="Arial" w:eastAsia="Arial" w:hAnsi="Arial"/>
          <w:sz w:val="18"/>
          <w:szCs w:val="18"/>
          <w:b w:val="1"/>
          <w:bCs w:val="1"/>
          <w:i w:val="1"/>
          <w:iCs w:val="1"/>
          <w:color w:val="auto"/>
        </w:rPr>
        <w:t>Evolving data security and privacy requirements could increase our costs, and any significant data security incident could disrupt our operations, harm our reputation, expose us to legal risks and otherwise materially adversely affect our business, results of operations and financial condition.</w:t>
      </w:r>
    </w:p>
    <w:p>
      <w:pPr>
        <w:spacing w:after="0" w:line="55" w:lineRule="exact"/>
        <w:rPr>
          <w:sz w:val="20"/>
          <w:szCs w:val="20"/>
          <w:color w:val="auto"/>
        </w:rPr>
      </w:pPr>
    </w:p>
    <w:p>
      <w:pPr>
        <w:jc w:val="both"/>
        <w:ind w:firstLine="243"/>
        <w:spacing w:after="0" w:line="252" w:lineRule="auto"/>
        <w:rPr>
          <w:sz w:val="20"/>
          <w:szCs w:val="20"/>
          <w:color w:val="auto"/>
        </w:rPr>
      </w:pPr>
      <w:r>
        <w:rPr>
          <w:rFonts w:ascii="Arial" w:cs="Arial" w:eastAsia="Arial" w:hAnsi="Arial"/>
          <w:sz w:val="18"/>
          <w:szCs w:val="18"/>
          <w:color w:val="auto"/>
        </w:rPr>
        <w:t>Our business requires the secure processing and storage of sensitive information relating to our customers, employees, business partners and others. However, like any global enterprise operating in today’s digital business environment, we are subject to threats to the security of our networks and data, including threats potentially involving criminal hackers, hacktivists, state-sponsored actors, corporate espionage, employee malfeasance, and human or technological error. These threats continue to increase as the frequency, intensity and sophistication of attempted attacks and intrusions increase around the world. We have been the target of cybersecurity attacks in the past and expect that we will continue to be in the future.</w:t>
      </w:r>
    </w:p>
    <w:p>
      <w:pPr>
        <w:spacing w:after="0" w:line="155" w:lineRule="exact"/>
        <w:rPr>
          <w:sz w:val="20"/>
          <w:szCs w:val="20"/>
          <w:color w:val="auto"/>
        </w:rPr>
      </w:pPr>
    </w:p>
    <w:p>
      <w:pPr>
        <w:jc w:val="both"/>
        <w:ind w:firstLine="243"/>
        <w:spacing w:after="0" w:line="252" w:lineRule="auto"/>
        <w:rPr>
          <w:sz w:val="20"/>
          <w:szCs w:val="20"/>
          <w:color w:val="auto"/>
        </w:rPr>
      </w:pPr>
      <w:r>
        <w:rPr>
          <w:rFonts w:ascii="Arial" w:cs="Arial" w:eastAsia="Arial" w:hAnsi="Arial"/>
          <w:sz w:val="18"/>
          <w:szCs w:val="18"/>
          <w:color w:val="auto"/>
        </w:rPr>
        <w:t>Furthermore, in response to these threats there has been heightened legislative and regulatory focus on data privacy and cybersecurity in the U.S., the EU and elsewhere, particularly with respect to critical infrastructure providers, including those in the transportation sector. As a result, we must comply with a proliferating and fast-evolving set of legal requirements in this area, including substantive cybersecurity standards as well as requirements for notifying regulators and affected individuals in the event of a data security incident. This regulatory environment is increasingly challenging and may present material obligations and risks to our business, including significantly expanded compliance burdens, costs and enforcement risks. For example, in May 2018, the EU’s new General Data Protection Regulation, commonly referred to as GDPR, came into effect, which imposes a host of new data privacy and security requirements, imposing significant costs on us and carrying substantial penalties for non-compliance.</w:t>
      </w:r>
    </w:p>
    <w:p>
      <w:pPr>
        <w:spacing w:after="0" w:line="152" w:lineRule="exact"/>
        <w:rPr>
          <w:sz w:val="20"/>
          <w:szCs w:val="20"/>
          <w:color w:val="auto"/>
        </w:rPr>
      </w:pPr>
    </w:p>
    <w:p>
      <w:pPr>
        <w:jc w:val="both"/>
        <w:ind w:firstLine="243"/>
        <w:spacing w:after="0" w:line="254" w:lineRule="auto"/>
        <w:rPr>
          <w:sz w:val="20"/>
          <w:szCs w:val="20"/>
          <w:color w:val="auto"/>
        </w:rPr>
      </w:pPr>
      <w:r>
        <w:rPr>
          <w:rFonts w:ascii="Arial" w:cs="Arial" w:eastAsia="Arial" w:hAnsi="Arial"/>
          <w:sz w:val="18"/>
          <w:szCs w:val="18"/>
          <w:color w:val="auto"/>
        </w:rPr>
        <w:t>In addition, many of our commercial partners, including credit card companies, have imposed data security standards that we must meet. In particular, we are required by the Payment Card Industry Security Standards Council, founded by the credit card companies, to comply with their highest level of data security standards. While we continue our efforts to meet these standards, new and revised standards may be imposed that may be difficult for us to meet and could increase our costs.</w:t>
      </w:r>
    </w:p>
    <w:p>
      <w:pPr>
        <w:spacing w:after="0" w:line="150" w:lineRule="exact"/>
        <w:rPr>
          <w:sz w:val="20"/>
          <w:szCs w:val="20"/>
          <w:color w:val="auto"/>
        </w:rPr>
      </w:pPr>
    </w:p>
    <w:p>
      <w:pPr>
        <w:jc w:val="both"/>
        <w:ind w:firstLine="243"/>
        <w:spacing w:after="0" w:line="251" w:lineRule="auto"/>
        <w:rPr>
          <w:sz w:val="20"/>
          <w:szCs w:val="20"/>
          <w:color w:val="auto"/>
        </w:rPr>
      </w:pPr>
      <w:r>
        <w:rPr>
          <w:rFonts w:ascii="Arial" w:cs="Arial" w:eastAsia="Arial" w:hAnsi="Arial"/>
          <w:sz w:val="18"/>
          <w:szCs w:val="18"/>
          <w:color w:val="auto"/>
        </w:rPr>
        <w:t>A significant cybersecurity incident could result in a range of potentially material negative consequences for us, including unauthorized access to, disclosure, modification, misuse, loss or destruction of company systems or data; theft of sensitive, regulated or confidential data, such as personal identifying information or our intellectual property; the loss of functionality of critical systems through ransomware, denial of service or other attacks; a deterioration in our relationships with business partners and other third parties; and business delays, service or system disruptions, damage to equipment and injury to persons or property. The methods used to obtain unauthorized access, disable or degrade service or sabotage systems are constantly evolving and may be difficult to anticipate or to detect for long periods of time. The constantly changing nature of the threats means that we may not be able to prevent all data security breaches or misuse of data. Similarly, we depend on the ability of our key commercial partners, including our regional carriers, distribution partners and technology vendors, to conduct their businesses in a manner that complies with applicable security standards and assures their ability to perform on a timely basis. A security failure, including a failure to meet relevant payment security standards, breach or other significant cybersecurity incident affecting one of our partners could result in potentially material negative consequences for us.</w:t>
      </w:r>
    </w:p>
    <w:p>
      <w:pPr>
        <w:spacing w:after="0" w:line="158" w:lineRule="exact"/>
        <w:rPr>
          <w:sz w:val="20"/>
          <w:szCs w:val="20"/>
          <w:color w:val="auto"/>
        </w:rPr>
      </w:pPr>
    </w:p>
    <w:p>
      <w:pPr>
        <w:jc w:val="both"/>
        <w:ind w:firstLine="243"/>
        <w:spacing w:after="0" w:line="252" w:lineRule="auto"/>
        <w:rPr>
          <w:sz w:val="20"/>
          <w:szCs w:val="20"/>
          <w:color w:val="auto"/>
        </w:rPr>
      </w:pPr>
      <w:r>
        <w:rPr>
          <w:rFonts w:ascii="Arial" w:cs="Arial" w:eastAsia="Arial" w:hAnsi="Arial"/>
          <w:sz w:val="18"/>
          <w:szCs w:val="18"/>
          <w:color w:val="auto"/>
        </w:rPr>
        <w:t>In addition, the costs and operational consequences of defending against, preparing for, responding to and remediating an incident of cybersecurity breach may be substantial. As cybersecurity threats become more frequent, intense and sophisticated, costs of proactive defense measures are increasing. Further, we could be exposed to litigation, regulatory enforcement or other legal action as a result of an incident, carrying the potential for damages, fines, sanctions or other penalties, as well as injunctive relief and enforcement actions requiring costly compliance measures. A significant number of recent privacy and data security incidents, including those involving other large airlines, have resulted in very substantial adverse financial consequences to those companies. A cybersecurity incident could also impact our brand, harm our reputation and adversely impact our relationship with our customers, employees and stockholders. Accordingly, failure to appropriately address these issues could result in material financial and other liabilities and cause significant reputational harm to our company.</w:t>
      </w:r>
    </w:p>
    <w:p>
      <w:pPr>
        <w:spacing w:after="0" w:line="20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28</w:t>
      </w:r>
    </w:p>
    <w:p>
      <w:pPr>
        <w:sectPr>
          <w:pgSz w:w="11900" w:h="16838" w:orient="portrait"/>
          <w:cols w:equalWidth="0" w:num="1">
            <w:col w:w="11420"/>
          </w:cols>
          <w:pgMar w:left="240" w:top="733" w:right="239" w:bottom="1440" w:gutter="0" w:footer="0" w:header="0"/>
        </w:sectPr>
      </w:pPr>
    </w:p>
    <w:bookmarkStart w:id="28" w:name="page29"/>
    <w:bookmarkEnd w:id="28"/>
    <w:p>
      <w:pPr>
        <w:ind w:left="260"/>
        <w:spacing w:after="0" w:line="287" w:lineRule="auto"/>
        <w:rPr>
          <w:sz w:val="20"/>
          <w:szCs w:val="20"/>
          <w:color w:val="auto"/>
        </w:rPr>
      </w:pPr>
      <w:r>
        <w:rPr>
          <w:rFonts w:ascii="Arial" w:cs="Arial" w:eastAsia="Arial" w:hAnsi="Arial"/>
          <w:sz w:val="18"/>
          <w:szCs w:val="18"/>
          <w:b w:val="1"/>
          <w:bCs w:val="1"/>
          <w:i w:val="1"/>
          <w:iCs w:val="1"/>
          <w:color w:val="auto"/>
        </w:rPr>
        <w:t>If we encounter problems with any of our third-party regional operators or third-party service providers, our operations could be adversely affected by a resulting decline in revenue or negative public perception about our services.</w:t>
      </w:r>
    </w:p>
    <w:p>
      <w:pPr>
        <w:spacing w:after="0" w:line="40" w:lineRule="exact"/>
        <w:rPr>
          <w:sz w:val="20"/>
          <w:szCs w:val="20"/>
          <w:color w:val="auto"/>
        </w:rPr>
      </w:pPr>
    </w:p>
    <w:p>
      <w:pPr>
        <w:jc w:val="both"/>
        <w:ind w:firstLine="243"/>
        <w:spacing w:after="0" w:line="251" w:lineRule="auto"/>
        <w:rPr>
          <w:sz w:val="20"/>
          <w:szCs w:val="20"/>
          <w:color w:val="auto"/>
        </w:rPr>
      </w:pPr>
      <w:r>
        <w:rPr>
          <w:rFonts w:ascii="Arial" w:cs="Arial" w:eastAsia="Arial" w:hAnsi="Arial"/>
          <w:sz w:val="18"/>
          <w:szCs w:val="18"/>
          <w:color w:val="auto"/>
        </w:rPr>
        <w:t>A significant portion of our regional operations are conducted by third-party operators on our behalf, substantially all of which are provided for under capacity purchase agreements. Due to our reliance on third parties to provide these essential services, we are subject to the risk of disruptions to their operations, which has in the past and may in the future result from many of the same risk factors disclosed in this report, such as the impact of adverse economic conditions, the inability of third parties to hire or retain skilled personnel, including pilots and mechanics, and other risk factors, such as an out-of-court or bankruptcy restructuring of any of our regional operators. Several of these third-party regional operators provide significant regional capacity that we would be unable to replace in a short period of time should that operator fail to perform its obligations to us. Disruptions to capital markets, shortages of skilled personnel and adverse economic conditions in general have subjected certain of these third-party regional operators to significant financial pressures, which have in the past and may in the future lead to bankruptcies among these operators. We may also experience disruption to our regional operations if we terminate the capacity purchase agreement with one or more of our current operators and transition the services to another provider. Any significant disruption to our regional operations would have a material adverse effect on our business, results of operations and financial condition.</w:t>
      </w:r>
    </w:p>
    <w:p>
      <w:pPr>
        <w:spacing w:after="0" w:line="158" w:lineRule="exact"/>
        <w:rPr>
          <w:sz w:val="20"/>
          <w:szCs w:val="20"/>
          <w:color w:val="auto"/>
        </w:rPr>
      </w:pPr>
    </w:p>
    <w:p>
      <w:pPr>
        <w:jc w:val="both"/>
        <w:ind w:firstLine="216"/>
        <w:spacing w:after="0" w:line="251" w:lineRule="auto"/>
        <w:rPr>
          <w:sz w:val="20"/>
          <w:szCs w:val="20"/>
          <w:color w:val="auto"/>
        </w:rPr>
      </w:pPr>
      <w:r>
        <w:rPr>
          <w:rFonts w:ascii="Arial" w:cs="Arial" w:eastAsia="Arial" w:hAnsi="Arial"/>
          <w:sz w:val="18"/>
          <w:szCs w:val="18"/>
          <w:color w:val="auto"/>
        </w:rPr>
        <w:t>In addition, our reliance upon others to provide essential services on behalf of our operations may result in our relative inability to control the efficiency and timeliness of contract services. We have entered into agreements with contractors to provide various facilities and services required for our operations, including distribution and sale of airline seat inventory, reservations, provision of information technology and services, regional operations, aircraft maintenance, ground services and facilities and baggage handling. Similar agreements may be entered into in any new markets we decide to serve. These agreements are generally subject to termination after notice by the third-party service provider. We are also at risk should one of these service providers cease operations, and there is no guarantee that we could replace these providers on a timely basis with comparably priced providers, or at all. Any material problems with the efficiency and timeliness of contract services, resulting from financial hardships or otherwise, could have a material adverse effect on our business, results of operations and financial condition.</w:t>
      </w:r>
    </w:p>
    <w:p>
      <w:pPr>
        <w:spacing w:after="0" w:line="218" w:lineRule="exact"/>
        <w:rPr>
          <w:sz w:val="20"/>
          <w:szCs w:val="20"/>
          <w:color w:val="auto"/>
        </w:rPr>
      </w:pPr>
    </w:p>
    <w:p>
      <w:pPr>
        <w:ind w:left="260"/>
        <w:spacing w:after="0"/>
        <w:rPr>
          <w:sz w:val="20"/>
          <w:szCs w:val="20"/>
          <w:color w:val="auto"/>
        </w:rPr>
      </w:pPr>
      <w:r>
        <w:rPr>
          <w:rFonts w:ascii="Arial" w:cs="Arial" w:eastAsia="Arial" w:hAnsi="Arial"/>
          <w:sz w:val="18"/>
          <w:szCs w:val="18"/>
          <w:b w:val="1"/>
          <w:bCs w:val="1"/>
          <w:i w:val="1"/>
          <w:iCs w:val="1"/>
          <w:color w:val="auto"/>
        </w:rPr>
        <w:t>We rely on third-party distribution channels and must manage effectively the costs, rights and functionality of these channels.</w:t>
      </w:r>
    </w:p>
    <w:p>
      <w:pPr>
        <w:spacing w:after="0" w:line="112" w:lineRule="exact"/>
        <w:rPr>
          <w:sz w:val="20"/>
          <w:szCs w:val="20"/>
          <w:color w:val="auto"/>
        </w:rPr>
      </w:pPr>
    </w:p>
    <w:p>
      <w:pPr>
        <w:jc w:val="both"/>
        <w:ind w:firstLine="243"/>
        <w:spacing w:after="0" w:line="251" w:lineRule="auto"/>
        <w:rPr>
          <w:sz w:val="20"/>
          <w:szCs w:val="20"/>
          <w:color w:val="auto"/>
        </w:rPr>
      </w:pPr>
      <w:r>
        <w:rPr>
          <w:rFonts w:ascii="Arial" w:cs="Arial" w:eastAsia="Arial" w:hAnsi="Arial"/>
          <w:sz w:val="18"/>
          <w:szCs w:val="18"/>
          <w:color w:val="auto"/>
        </w:rPr>
        <w:t xml:space="preserve">We rely on third-party distribution channels, including those provided by or through global distribution systems (GDSs) (e.g., Amadeus, Sabre and Travelport), conventional travel agents, travel management companies and online travel agents (OTAs) (e.g., Expedia, including its booking sites Orbitz and Travelocity, and Booking Holdings, including its booking sites Kayak and Priceline), to distribute a significant portion of our airline tickets, and we expect in the future to continue to rely on these channels. We are also dependent upon the ability and willingness of these distribution channels to expand their ability to distribute and collect revenues for ancillary products (e.g., fees for selective seating). These distribution channels are more expensive and at present have less functionality in respect of ancillary product offerings than those we operate ourselves, such as our website at </w:t>
      </w:r>
      <w:r>
        <w:rPr>
          <w:rFonts w:ascii="Arial" w:cs="Arial" w:eastAsia="Arial" w:hAnsi="Arial"/>
          <w:sz w:val="18"/>
          <w:szCs w:val="18"/>
          <w:i w:val="1"/>
          <w:iCs w:val="1"/>
          <w:color w:val="auto"/>
        </w:rPr>
        <w:t>www.aa.com</w:t>
      </w:r>
      <w:r>
        <w:rPr>
          <w:rFonts w:ascii="Arial" w:cs="Arial" w:eastAsia="Arial" w:hAnsi="Arial"/>
          <w:sz w:val="18"/>
          <w:szCs w:val="18"/>
          <w:color w:val="auto"/>
        </w:rPr>
        <w:t>. Certain of these distribution channels also effectively restrict the manner in which we distribute our products generally. To remain competitive, we will need to manage successfully our distribution costs and rights, increase our distribution flexibility and improve the functionality of our distribution channels, while maintaining an industry-competitive cost structure. Further, as distribution technology changes we will need to continue to update our technology by acquiring new technology from third parties, building the functionality ourselves, or a combination, which in any event will likely entail significant technological and commercial risk and involve potentially material investments. These imperatives may affect our relationships with conventional travel agents, travel management companies, GDSs and OTAs, including if consolidation of conventional travel agents, travel management companies, GDSs or OTAs continues, or should any of these parties seek to acquire other technology providers thereby potentially limiting our technology alternatives, such as the proposed acquisition of Farelogix by Sabre. Any inability to manage our third-party distribution costs, rights and functionality at a competitive level or any material diminishment or disruption in the distribution of our tickets could have a material adverse effect on our business, results of operations and financial condition.</w:t>
      </w:r>
    </w:p>
    <w:p>
      <w:pPr>
        <w:spacing w:after="0" w:line="20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29</w:t>
      </w:r>
    </w:p>
    <w:p>
      <w:pPr>
        <w:sectPr>
          <w:pgSz w:w="11900" w:h="16838" w:orient="portrait"/>
          <w:cols w:equalWidth="0" w:num="1">
            <w:col w:w="11420"/>
          </w:cols>
          <w:pgMar w:left="240" w:top="792" w:right="239" w:bottom="1440" w:gutter="0" w:footer="0" w:header="0"/>
        </w:sectPr>
      </w:pPr>
    </w:p>
    <w:bookmarkStart w:id="29" w:name="page30"/>
    <w:bookmarkEnd w:id="29"/>
    <w:p>
      <w:pPr>
        <w:jc w:val="both"/>
        <w:ind w:left="260"/>
        <w:spacing w:after="0" w:line="269" w:lineRule="auto"/>
        <w:rPr>
          <w:sz w:val="20"/>
          <w:szCs w:val="20"/>
          <w:color w:val="auto"/>
        </w:rPr>
      </w:pPr>
      <w:r>
        <w:rPr>
          <w:rFonts w:ascii="Arial" w:cs="Arial" w:eastAsia="Arial" w:hAnsi="Arial"/>
          <w:sz w:val="18"/>
          <w:szCs w:val="18"/>
          <w:b w:val="1"/>
          <w:bCs w:val="1"/>
          <w:i w:val="1"/>
          <w:iCs w:val="1"/>
          <w:color w:val="auto"/>
        </w:rPr>
        <w:t>If we are unable to obtain and maintain adequate facilities and infrastructure throughout our system and, at some airports, adequate slots, we may be unable to operate our existing flight schedule and to expand or change our route network in the future, which may have a material adverse impact on our operations.</w:t>
      </w:r>
    </w:p>
    <w:p>
      <w:pPr>
        <w:spacing w:after="0" w:line="55" w:lineRule="exact"/>
        <w:rPr>
          <w:sz w:val="20"/>
          <w:szCs w:val="20"/>
          <w:color w:val="auto"/>
        </w:rPr>
      </w:pPr>
    </w:p>
    <w:p>
      <w:pPr>
        <w:jc w:val="both"/>
        <w:ind w:firstLine="216"/>
        <w:spacing w:after="0" w:line="253" w:lineRule="auto"/>
        <w:rPr>
          <w:sz w:val="20"/>
          <w:szCs w:val="20"/>
          <w:color w:val="auto"/>
        </w:rPr>
      </w:pPr>
      <w:r>
        <w:rPr>
          <w:rFonts w:ascii="Arial" w:cs="Arial" w:eastAsia="Arial" w:hAnsi="Arial"/>
          <w:sz w:val="18"/>
          <w:szCs w:val="18"/>
          <w:color w:val="auto"/>
        </w:rPr>
        <w:t>In order to operate our existing and proposed flight schedule and, where desirable, add service along new or existing routes, we must be able to maintain and/or obtain adequate gates, check-in counters, operations areas, operations control facilities and administrative support space. As airports around the world become more congested, it may not be possible for us to ensure that our plans for new service can be implemented in a commercially viable manner, given operating constraints at airports throughout our network, including those imposed by inadequate facilities at desirable airports.</w:t>
      </w:r>
    </w:p>
    <w:p>
      <w:pPr>
        <w:spacing w:after="0" w:line="152" w:lineRule="exact"/>
        <w:rPr>
          <w:sz w:val="20"/>
          <w:szCs w:val="20"/>
          <w:color w:val="auto"/>
        </w:rPr>
      </w:pPr>
    </w:p>
    <w:p>
      <w:pPr>
        <w:jc w:val="both"/>
        <w:ind w:firstLine="216"/>
        <w:spacing w:after="0" w:line="252" w:lineRule="auto"/>
        <w:rPr>
          <w:sz w:val="20"/>
          <w:szCs w:val="20"/>
          <w:color w:val="auto"/>
        </w:rPr>
      </w:pPr>
      <w:r>
        <w:rPr>
          <w:rFonts w:ascii="Arial" w:cs="Arial" w:eastAsia="Arial" w:hAnsi="Arial"/>
          <w:sz w:val="18"/>
          <w:szCs w:val="18"/>
          <w:color w:val="auto"/>
        </w:rPr>
        <w:t>In light of constraints on existing facilities, there is presently a significant amount of capital spending underway at major airports in the United States, including large projects underway at a number of airports where we have significant operations, such as DCA, LAX, LGA and ORD. This spending is expected to result in increased costs to airlines and the traveling public that use those facilities as the airports seek to recover their investments through increased rental, landing and other facility costs. In some circumstances, such costs could be imposed by the relevant airport authority without our approval. Accordingly, our operating costs are expected to increase significantly at many airports at which we operate, including a number of our hubs and gateways, as a result of capital spending projects currently underway and additional projects that we expect to commence over the next several years.</w:t>
      </w:r>
    </w:p>
    <w:p>
      <w:pPr>
        <w:spacing w:after="0" w:line="153" w:lineRule="exact"/>
        <w:rPr>
          <w:sz w:val="20"/>
          <w:szCs w:val="20"/>
          <w:color w:val="auto"/>
        </w:rPr>
      </w:pPr>
    </w:p>
    <w:p>
      <w:pPr>
        <w:jc w:val="both"/>
        <w:ind w:firstLine="216"/>
        <w:spacing w:after="0" w:line="251" w:lineRule="auto"/>
        <w:rPr>
          <w:sz w:val="20"/>
          <w:szCs w:val="20"/>
          <w:color w:val="auto"/>
        </w:rPr>
      </w:pPr>
      <w:r>
        <w:rPr>
          <w:rFonts w:ascii="Arial" w:cs="Arial" w:eastAsia="Arial" w:hAnsi="Arial"/>
          <w:sz w:val="18"/>
          <w:szCs w:val="18"/>
          <w:color w:val="auto"/>
        </w:rPr>
        <w:t>In addition, operations at three major domestic airports, certain smaller domestic airports and many foreign airports we serve are regulated by governmental entities through allocations of slots or similar regulatory mechanisms that limit the rights of carriers to conduct operations at those airports. Each slot represents the authorization to land at or take off from the particular airport during a specified time period and may have other operational restrictions as well. In the U.S., the DOT and the FAA currently regulate the allocation of slots or slot exemptions at DCA and two New York City airports: JFK and LGA. Our operations at these airports generally require the allocation of slots or similar regulatory authority. In addition to slot restrictions, operations at DCA and LGA are also limited based on a so-called “perimeter rule” which generally limits the stage length of the flights that can be operated from those airports to 1,250 and 1,500 miles, respectively. Similarly, our operations at LHR, international airports in Beijing, Frankfurt, Paris, Tokyo and other airports outside the U.S. are regulated by local slot authorities pursuant to the IATA Worldwide Scheduling Guidelines and/or applicable local law. Termination of slot controls at some or all of the foregoing airports could affect our operational performance and competitive position. We currently have sufficient slots or analogous authorizations to operate our existing flights and we have generally, but not always, been able to obtain the rights to expand our operations and to change our schedules. However, there is no assurance that we will be able to obtain sufficient slots or analogous authorizations in the future or as to the cost of acquiring such rights because, among other reasons, such allocations are often sought after by other airlines and are subject to changes in governmental policies. We cannot provide any assurance that regulatory changes regarding the allocation of slots, the continued enforcement of a perimeter rule or similar regulatory authority will not have a material adverse impact on our operations.</w:t>
      </w:r>
    </w:p>
    <w:p>
      <w:pPr>
        <w:spacing w:after="0" w:line="156" w:lineRule="exact"/>
        <w:rPr>
          <w:sz w:val="20"/>
          <w:szCs w:val="20"/>
          <w:color w:val="auto"/>
        </w:rPr>
      </w:pPr>
    </w:p>
    <w:p>
      <w:pPr>
        <w:jc w:val="both"/>
        <w:ind w:firstLine="216"/>
        <w:spacing w:after="0" w:line="256" w:lineRule="auto"/>
        <w:rPr>
          <w:sz w:val="20"/>
          <w:szCs w:val="20"/>
          <w:color w:val="auto"/>
        </w:rPr>
      </w:pPr>
      <w:r>
        <w:rPr>
          <w:rFonts w:ascii="Arial" w:cs="Arial" w:eastAsia="Arial" w:hAnsi="Arial"/>
          <w:sz w:val="18"/>
          <w:szCs w:val="18"/>
          <w:color w:val="auto"/>
        </w:rPr>
        <w:t>Our ability to provide service can also be impaired at airports, such as LAX and ORD where the airport gate and other facilities are currently inadequate to accommodate all of the service that we would like to provide, or airports such as Dallas Love Field Airport where we have no access to gates at all.</w:t>
      </w:r>
    </w:p>
    <w:p>
      <w:pPr>
        <w:spacing w:after="0" w:line="148" w:lineRule="exact"/>
        <w:rPr>
          <w:sz w:val="20"/>
          <w:szCs w:val="20"/>
          <w:color w:val="auto"/>
        </w:rPr>
      </w:pPr>
    </w:p>
    <w:p>
      <w:pPr>
        <w:jc w:val="both"/>
        <w:ind w:firstLine="216"/>
        <w:spacing w:after="0" w:line="262" w:lineRule="auto"/>
        <w:rPr>
          <w:sz w:val="20"/>
          <w:szCs w:val="20"/>
          <w:color w:val="auto"/>
        </w:rPr>
      </w:pPr>
      <w:r>
        <w:rPr>
          <w:rFonts w:ascii="Arial" w:cs="Arial" w:eastAsia="Arial" w:hAnsi="Arial"/>
          <w:sz w:val="18"/>
          <w:szCs w:val="18"/>
          <w:color w:val="auto"/>
        </w:rPr>
        <w:t>Any limitation on our ability to acquire or maintain adequate gates, ticketing facilities, operations areas, operations control facilities, slots (where applicable), or office space could have a material adverse effect on our business, results of operations and financial condition.</w:t>
      </w:r>
    </w:p>
    <w:p>
      <w:pPr>
        <w:spacing w:after="0" w:line="201" w:lineRule="exact"/>
        <w:rPr>
          <w:sz w:val="20"/>
          <w:szCs w:val="20"/>
          <w:color w:val="auto"/>
        </w:rPr>
      </w:pPr>
    </w:p>
    <w:p>
      <w:pPr>
        <w:ind w:left="260"/>
        <w:spacing w:after="0"/>
        <w:rPr>
          <w:sz w:val="20"/>
          <w:szCs w:val="20"/>
          <w:color w:val="auto"/>
        </w:rPr>
      </w:pPr>
      <w:r>
        <w:rPr>
          <w:rFonts w:ascii="Arial" w:cs="Arial" w:eastAsia="Arial" w:hAnsi="Arial"/>
          <w:sz w:val="18"/>
          <w:szCs w:val="18"/>
          <w:b w:val="1"/>
          <w:bCs w:val="1"/>
          <w:i w:val="1"/>
          <w:iCs w:val="1"/>
          <w:color w:val="auto"/>
        </w:rPr>
        <w:t>Interruptions or disruptions in service at one of our key facilities could have a material adverse impact on our operations.</w:t>
      </w:r>
    </w:p>
    <w:p>
      <w:pPr>
        <w:spacing w:after="0" w:line="112" w:lineRule="exact"/>
        <w:rPr>
          <w:sz w:val="20"/>
          <w:szCs w:val="20"/>
          <w:color w:val="auto"/>
        </w:rPr>
      </w:pPr>
    </w:p>
    <w:p>
      <w:pPr>
        <w:jc w:val="both"/>
        <w:ind w:firstLine="243"/>
        <w:spacing w:after="0" w:line="251" w:lineRule="auto"/>
        <w:rPr>
          <w:sz w:val="20"/>
          <w:szCs w:val="20"/>
          <w:color w:val="auto"/>
        </w:rPr>
      </w:pPr>
      <w:r>
        <w:rPr>
          <w:rFonts w:ascii="Arial" w:cs="Arial" w:eastAsia="Arial" w:hAnsi="Arial"/>
          <w:sz w:val="18"/>
          <w:szCs w:val="18"/>
          <w:color w:val="auto"/>
        </w:rPr>
        <w:t>We operate principally through our hubs and gateways in Charlotte, Chicago, Dallas/Fort Worth, London Heathrow, Los Angeles, Miami, New York, Philadelphia, Phoenix and Washington, D.C. Substantially all of our flights either originate at or fly into one of these locations. A significant interruption or disruption in service at one of our hubs, gateways or other airports where we have a significant presence, resulting from ATC delays, weather conditions, natural disasters, growth constraints, performance by third-party service providers (such as electric utility or telecommunications providers), failure of computer systems, disruptions at airport facilities or other key facilities used by us to manage our operations (such as occurred in the United Kingdom at LGW on December 20, 2018 and LHR on January 8, 2019 due to unauthorized drone activity), labor relations, power supplies, fuel supplies, terrorist activities, or otherwise could result in the cancellation or delay of a significant portion of our flights and, as a result, could have a severe impact on our business, results of operations and financial condition. We have limited control, particularly in the short term, over the operation, quality or maintenance of many of the services on which our operations depend and over whether vendors of such services will improve or continue to provide services that are essential to our business.</w:t>
      </w:r>
    </w:p>
    <w:p>
      <w:pPr>
        <w:spacing w:after="0" w:line="21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30</w:t>
      </w:r>
    </w:p>
    <w:p>
      <w:pPr>
        <w:sectPr>
          <w:pgSz w:w="11900" w:h="16838" w:orient="portrait"/>
          <w:cols w:equalWidth="0" w:num="1">
            <w:col w:w="11420"/>
          </w:cols>
          <w:pgMar w:left="240" w:top="792" w:right="239" w:bottom="1440" w:gutter="0" w:footer="0" w:header="0"/>
        </w:sectPr>
      </w:pPr>
    </w:p>
    <w:bookmarkStart w:id="30" w:name="page31"/>
    <w:bookmarkEnd w:id="30"/>
    <w:p>
      <w:pPr>
        <w:ind w:left="260"/>
        <w:spacing w:after="0" w:line="287" w:lineRule="auto"/>
        <w:rPr>
          <w:sz w:val="20"/>
          <w:szCs w:val="20"/>
          <w:color w:val="auto"/>
        </w:rPr>
      </w:pPr>
      <w:r>
        <w:rPr>
          <w:rFonts w:ascii="Arial" w:cs="Arial" w:eastAsia="Arial" w:hAnsi="Arial"/>
          <w:sz w:val="18"/>
          <w:szCs w:val="18"/>
          <w:b w:val="1"/>
          <w:bCs w:val="1"/>
          <w:i w:val="1"/>
          <w:iCs w:val="1"/>
          <w:color w:val="auto"/>
        </w:rPr>
        <w:t>Changes to our business model that are designed to increase revenues may not be successful and may cause operational difficulties or decreased demand.</w:t>
      </w:r>
    </w:p>
    <w:p>
      <w:pPr>
        <w:spacing w:after="0" w:line="40" w:lineRule="exact"/>
        <w:rPr>
          <w:sz w:val="20"/>
          <w:szCs w:val="20"/>
          <w:color w:val="auto"/>
        </w:rPr>
      </w:pPr>
    </w:p>
    <w:p>
      <w:pPr>
        <w:jc w:val="both"/>
        <w:ind w:firstLine="216"/>
        <w:spacing w:after="0" w:line="251" w:lineRule="auto"/>
        <w:rPr>
          <w:sz w:val="20"/>
          <w:szCs w:val="20"/>
          <w:color w:val="auto"/>
        </w:rPr>
      </w:pPr>
      <w:r>
        <w:rPr>
          <w:rFonts w:ascii="Arial" w:cs="Arial" w:eastAsia="Arial" w:hAnsi="Arial"/>
          <w:sz w:val="18"/>
          <w:szCs w:val="18"/>
          <w:color w:val="auto"/>
        </w:rPr>
        <w:t>We have recently instituted, and intend to institute in the future, changes to our business model designed to increase revenues and offset costs. These measures include further segmentation of the classes of services we offer, such as Premium Economy service and Basic Economy service, enhancements to our AAdvantage loyalty program, charging separately for services that had previously been included within the price of a ticket, increasing other pre-existing fees, reconfiguration of our aircraft cabins, and efforts to optimize our network including by focusing growth on a limited number of large hubs. We may introduce additional initiatives in the future; however, as time goes on, we expect that it will be more difficult to identify and implement additional initiatives. We cannot assure that these measures or any future initiatives will be successful in increasing our revenues. Additionally, the implementation of these initiatives may create logistical challenges that could harm the operational performance of our airline or result in decreased demand. Also, our implementation of any new or increased fees might reduce the demand for air travel on our airline or across the industry in general, particularly if weakened economic conditions make our customers more sensitive to increased travel costs or provide a significant competitive advantage to other carriers that determine not to institute similar charges.</w:t>
      </w:r>
    </w:p>
    <w:p>
      <w:pPr>
        <w:spacing w:after="0" w:line="217" w:lineRule="exact"/>
        <w:rPr>
          <w:sz w:val="20"/>
          <w:szCs w:val="20"/>
          <w:color w:val="auto"/>
        </w:rPr>
      </w:pPr>
    </w:p>
    <w:p>
      <w:pPr>
        <w:ind w:left="260"/>
        <w:spacing w:after="0" w:line="287" w:lineRule="auto"/>
        <w:rPr>
          <w:sz w:val="20"/>
          <w:szCs w:val="20"/>
          <w:color w:val="auto"/>
        </w:rPr>
      </w:pPr>
      <w:r>
        <w:rPr>
          <w:rFonts w:ascii="Arial" w:cs="Arial" w:eastAsia="Arial" w:hAnsi="Arial"/>
          <w:sz w:val="18"/>
          <w:szCs w:val="18"/>
          <w:b w:val="1"/>
          <w:bCs w:val="1"/>
          <w:i w:val="1"/>
          <w:iCs w:val="1"/>
          <w:color w:val="auto"/>
        </w:rPr>
        <w:t>Our intellectual property rights, particularly our branding rights, are valuable, and any inability to protect them may adversely affect our business and financial results.</w:t>
      </w:r>
    </w:p>
    <w:p>
      <w:pPr>
        <w:spacing w:after="0" w:line="40" w:lineRule="exact"/>
        <w:rPr>
          <w:sz w:val="20"/>
          <w:szCs w:val="20"/>
          <w:color w:val="auto"/>
        </w:rPr>
      </w:pPr>
    </w:p>
    <w:p>
      <w:pPr>
        <w:jc w:val="both"/>
        <w:ind w:firstLine="243"/>
        <w:spacing w:after="0" w:line="252" w:lineRule="auto"/>
        <w:rPr>
          <w:sz w:val="20"/>
          <w:szCs w:val="20"/>
          <w:color w:val="auto"/>
        </w:rPr>
      </w:pPr>
      <w:r>
        <w:rPr>
          <w:rFonts w:ascii="Arial" w:cs="Arial" w:eastAsia="Arial" w:hAnsi="Arial"/>
          <w:sz w:val="18"/>
          <w:szCs w:val="18"/>
          <w:color w:val="auto"/>
        </w:rPr>
        <w:t>We consider our intellectual property rights, particularly our branding rights such as our trademarks applicable to our airline and AAdvantage loyalty program, to be a significant and valuable aspect of our business. We protect our intellectual property rights through a combination of trademark, copyright and other forms of legal protection, contractual agreements and policing of third-party misuses of our intellectual property. Our failure to obtain or adequately protect our intellectual property or any change in law that lessens or removes the current legal protections of our intellectual property may diminish our competitiveness and adversely affect our business and financial results. Any litigation or disputes regarding intellectual property may be costly and time-consuming and may divert the attention of our management and key personnel from our business operations, either of which may adversely affect our business and financial results.</w:t>
      </w:r>
    </w:p>
    <w:p>
      <w:pPr>
        <w:spacing w:after="0" w:line="212" w:lineRule="exact"/>
        <w:rPr>
          <w:sz w:val="20"/>
          <w:szCs w:val="20"/>
          <w:color w:val="auto"/>
        </w:rPr>
      </w:pPr>
    </w:p>
    <w:p>
      <w:pPr>
        <w:ind w:left="260" w:right="20"/>
        <w:spacing w:after="0" w:line="287" w:lineRule="auto"/>
        <w:rPr>
          <w:sz w:val="20"/>
          <w:szCs w:val="20"/>
          <w:color w:val="auto"/>
        </w:rPr>
      </w:pPr>
      <w:r>
        <w:rPr>
          <w:rFonts w:ascii="Arial" w:cs="Arial" w:eastAsia="Arial" w:hAnsi="Arial"/>
          <w:sz w:val="18"/>
          <w:szCs w:val="18"/>
          <w:b w:val="1"/>
          <w:bCs w:val="1"/>
          <w:i w:val="1"/>
          <w:iCs w:val="1"/>
          <w:color w:val="auto"/>
        </w:rPr>
        <w:t>We may be a party to litigation in the normal course of business or otherwise, which could affect our financial position and liquidity.</w:t>
      </w:r>
    </w:p>
    <w:p>
      <w:pPr>
        <w:spacing w:after="0" w:line="40" w:lineRule="exact"/>
        <w:rPr>
          <w:sz w:val="20"/>
          <w:szCs w:val="20"/>
          <w:color w:val="auto"/>
        </w:rPr>
      </w:pPr>
    </w:p>
    <w:p>
      <w:pPr>
        <w:jc w:val="both"/>
        <w:ind w:firstLine="162"/>
        <w:spacing w:after="0" w:line="251" w:lineRule="auto"/>
        <w:rPr>
          <w:sz w:val="20"/>
          <w:szCs w:val="20"/>
          <w:color w:val="auto"/>
        </w:rPr>
      </w:pPr>
      <w:r>
        <w:rPr>
          <w:rFonts w:ascii="Arial" w:cs="Arial" w:eastAsia="Arial" w:hAnsi="Arial"/>
          <w:sz w:val="18"/>
          <w:szCs w:val="18"/>
          <w:color w:val="auto"/>
        </w:rPr>
        <w:t>From time to time, we are a party to or otherwise involved in legal proceedings, claims and government inspections or investigations and other legal matters, both inside and outside the United States, arising in the ordinary course of our business or otherwise. We are currently involved in various legal proceedings and claims that have not yet been fully resolved, and additional claims may arise in the future. Legal proceedings can be complex and take many months, or even years, to reach resolution, with the final outcome depending on a number of variables, some of which are not within our control. Litigation is subject to significant uncertainty and may be expensive, time-consuming, and disruptive to our operations. Although we will vigorously defend ourselves in such legal proceedings, their ultimate resolution and potential financial and other impacts on us are uncertain. For these and other reasons, we may choose to settle legal proceedings and claims, regardless of their actual merit. If a legal proceeding is resolved against us, it could result in significant compensatory damages, and in certain circumstances punitive or trebled damages, disgorgement of revenue or profits, remedial corporate measures or injunctive relief imposed on us. If our existing insurance does not cover the amount or types of damages awarded, or if other resolution or actions taken as a result of the legal proceeding were to restrain our ability to operate or market our services, our consolidated financial position, results of operations or cash flows could be materially adversely affected. In addition, legal proceedings, and any adverse resolution thereof, can result in adverse publicity and damage to our reputation, which could adversely impact our business. Additional information regarding certain legal matters in which we are involved can be found in Part I, Item 3. Legal Proceedings.</w:t>
      </w:r>
    </w:p>
    <w:p>
      <w:pPr>
        <w:spacing w:after="0" w:line="216" w:lineRule="exact"/>
        <w:rPr>
          <w:sz w:val="20"/>
          <w:szCs w:val="20"/>
          <w:color w:val="auto"/>
        </w:rPr>
      </w:pPr>
    </w:p>
    <w:p>
      <w:pPr>
        <w:jc w:val="both"/>
        <w:ind w:left="260"/>
        <w:spacing w:after="0" w:line="269" w:lineRule="auto"/>
        <w:rPr>
          <w:sz w:val="20"/>
          <w:szCs w:val="20"/>
          <w:color w:val="auto"/>
        </w:rPr>
      </w:pPr>
      <w:r>
        <w:rPr>
          <w:rFonts w:ascii="Arial" w:cs="Arial" w:eastAsia="Arial" w:hAnsi="Arial"/>
          <w:sz w:val="18"/>
          <w:szCs w:val="18"/>
          <w:b w:val="1"/>
          <w:bCs w:val="1"/>
          <w:i w:val="1"/>
          <w:iCs w:val="1"/>
          <w:color w:val="auto"/>
        </w:rPr>
        <w:t>A higher than normal number of pilot retirements, more stringent duty time regulations, increased flight hour requirement for commercial airline pilots, reductions in the number of military pilots entering the commercial workforce, increased training requirements and other factors have caused a shortage of pilots that could materially adversely affect our business.</w:t>
      </w:r>
    </w:p>
    <w:p>
      <w:pPr>
        <w:spacing w:after="0" w:line="55" w:lineRule="exact"/>
        <w:rPr>
          <w:sz w:val="20"/>
          <w:szCs w:val="20"/>
          <w:color w:val="auto"/>
        </w:rPr>
      </w:pPr>
    </w:p>
    <w:p>
      <w:pPr>
        <w:jc w:val="both"/>
        <w:ind w:firstLine="243"/>
        <w:spacing w:after="0" w:line="252" w:lineRule="auto"/>
        <w:rPr>
          <w:sz w:val="20"/>
          <w:szCs w:val="20"/>
          <w:color w:val="auto"/>
        </w:rPr>
      </w:pPr>
      <w:r>
        <w:rPr>
          <w:rFonts w:ascii="Arial" w:cs="Arial" w:eastAsia="Arial" w:hAnsi="Arial"/>
          <w:sz w:val="18"/>
          <w:szCs w:val="18"/>
          <w:color w:val="auto"/>
        </w:rPr>
        <w:t>We currently have a higher than normal number of pilots eligible for retirement. Large numbers of pilots in the industry are approaching the FAA’s mandatory retirement age of 65. Our pilots and other employees are subject to rigorous certification standards, and our pilots and other crew members must adhere to flight time and rest requirements. Commencing in 2013, the minimum flight hour requirement to achieve a commercial pilot’s license in the United States (an Air Transport Pilot’s certificate) increased from 250 to 1,500 hours, thereby significantly increasing the time and cost commitment required to become licensed to fly commercial aircraft. Additionally, the number of military pilots being trained by the U.S. armed forces and available as commercial pilots upon their retirement from military service has been decreasing. These and other factors have contributed to a shortage of qualified, entry-level pilots and increased compensation costs,</w:t>
      </w:r>
    </w:p>
    <w:p>
      <w:pPr>
        <w:spacing w:after="0" w:line="20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31</w:t>
      </w:r>
    </w:p>
    <w:p>
      <w:pPr>
        <w:sectPr>
          <w:pgSz w:w="11900" w:h="16838" w:orient="portrait"/>
          <w:cols w:equalWidth="0" w:num="1">
            <w:col w:w="11420"/>
          </w:cols>
          <w:pgMar w:left="240" w:top="792" w:right="239" w:bottom="1440" w:gutter="0" w:footer="0" w:header="0"/>
        </w:sectPr>
      </w:pPr>
    </w:p>
    <w:bookmarkStart w:id="31" w:name="page32"/>
    <w:bookmarkEnd w:id="31"/>
    <w:p>
      <w:pPr>
        <w:jc w:val="both"/>
        <w:spacing w:after="0" w:line="252" w:lineRule="auto"/>
        <w:rPr>
          <w:sz w:val="20"/>
          <w:szCs w:val="20"/>
          <w:color w:val="auto"/>
        </w:rPr>
      </w:pPr>
      <w:r>
        <w:rPr>
          <w:rFonts w:ascii="Arial" w:cs="Arial" w:eastAsia="Arial" w:hAnsi="Arial"/>
          <w:sz w:val="18"/>
          <w:szCs w:val="18"/>
          <w:color w:val="auto"/>
        </w:rPr>
        <w:t>particularly for our regional subsidiaries and our other regional partners who are being required by market conditions to pay significantly increased wages and large signing bonuses to their pilots in an attempt to achieve desired staffing levels. The foregoing factors have also led to increased competition from large, mainline carriers attempting to meet their hiring needs. We believe that this industry-wide pilot shortage is becoming an increasing problem for airlines in the United States. Our regional partners have recently been unable to hire adequate numbers of pilots to meet their needs, resulting in a reduction in the number of flights offered, disruptions, increased costs of operations, financial difficulties and other adverse effects, and these circumstances may become more severe in the future and thereby cause a material adverse effect on our business.</w:t>
      </w:r>
    </w:p>
    <w:p>
      <w:pPr>
        <w:spacing w:after="0" w:line="212" w:lineRule="exact"/>
        <w:rPr>
          <w:sz w:val="20"/>
          <w:szCs w:val="20"/>
          <w:color w:val="auto"/>
        </w:rPr>
      </w:pPr>
    </w:p>
    <w:p>
      <w:pPr>
        <w:ind w:left="260"/>
        <w:spacing w:after="0"/>
        <w:rPr>
          <w:sz w:val="20"/>
          <w:szCs w:val="20"/>
          <w:color w:val="auto"/>
        </w:rPr>
      </w:pPr>
      <w:r>
        <w:rPr>
          <w:rFonts w:ascii="Arial" w:cs="Arial" w:eastAsia="Arial" w:hAnsi="Arial"/>
          <w:sz w:val="18"/>
          <w:szCs w:val="18"/>
          <w:b w:val="1"/>
          <w:bCs w:val="1"/>
          <w:i w:val="1"/>
          <w:iCs w:val="1"/>
          <w:color w:val="auto"/>
        </w:rPr>
        <w:t>Increases in insurance costs or reductions in insurance coverage may adversely impact our operations and financial results.</w:t>
      </w:r>
    </w:p>
    <w:p>
      <w:pPr>
        <w:spacing w:after="0" w:line="112" w:lineRule="exact"/>
        <w:rPr>
          <w:sz w:val="20"/>
          <w:szCs w:val="20"/>
          <w:color w:val="auto"/>
        </w:rPr>
      </w:pPr>
    </w:p>
    <w:p>
      <w:pPr>
        <w:jc w:val="both"/>
        <w:ind w:firstLine="216"/>
        <w:spacing w:after="0" w:line="252" w:lineRule="auto"/>
        <w:rPr>
          <w:sz w:val="20"/>
          <w:szCs w:val="20"/>
          <w:color w:val="auto"/>
        </w:rPr>
      </w:pPr>
      <w:r>
        <w:rPr>
          <w:rFonts w:ascii="Arial" w:cs="Arial" w:eastAsia="Arial" w:hAnsi="Arial"/>
          <w:sz w:val="18"/>
          <w:szCs w:val="18"/>
          <w:color w:val="auto"/>
        </w:rPr>
        <w:t>The terrorist attacks of September 11, 2001 led to a significant increase in insurance premiums and a decrease in the insurance coverage available to commercial air carriers. Accordingly, our insurance costs increased significantly, and our ability to continue to obtain insurance even at current prices remains uncertain. If we are unable to maintain adequate insurance coverage, our business could be materially and adversely affected. Additionally, severe disruptions in the domestic and global financial markets could adversely impact the claims paying ability of some insurers. Future downgrades in the ratings of enough insurers could adversely impact both the availability of appropriate insurance coverage and its cost. Because of competitive pressures in our industry, our ability to pass along additional insurance costs to passengers is limited. As a result, further increases in insurance costs or reductions in available insurance coverage could have an adverse impact on our financial results.</w:t>
      </w:r>
    </w:p>
    <w:p>
      <w:pPr>
        <w:spacing w:after="0" w:line="211" w:lineRule="exact"/>
        <w:rPr>
          <w:sz w:val="20"/>
          <w:szCs w:val="20"/>
          <w:color w:val="auto"/>
        </w:rPr>
      </w:pPr>
    </w:p>
    <w:p>
      <w:pPr>
        <w:ind w:left="260"/>
        <w:spacing w:after="0"/>
        <w:rPr>
          <w:sz w:val="20"/>
          <w:szCs w:val="20"/>
          <w:color w:val="auto"/>
        </w:rPr>
      </w:pPr>
      <w:r>
        <w:rPr>
          <w:rFonts w:ascii="Arial" w:cs="Arial" w:eastAsia="Arial" w:hAnsi="Arial"/>
          <w:sz w:val="18"/>
          <w:szCs w:val="18"/>
          <w:b w:val="1"/>
          <w:bCs w:val="1"/>
          <w:i w:val="1"/>
          <w:iCs w:val="1"/>
          <w:color w:val="auto"/>
        </w:rPr>
        <w:t>The airline industry is heavily taxed.</w:t>
      </w:r>
    </w:p>
    <w:p>
      <w:pPr>
        <w:spacing w:after="0" w:line="112" w:lineRule="exact"/>
        <w:rPr>
          <w:sz w:val="20"/>
          <w:szCs w:val="20"/>
          <w:color w:val="auto"/>
        </w:rPr>
      </w:pPr>
    </w:p>
    <w:p>
      <w:pPr>
        <w:jc w:val="both"/>
        <w:ind w:firstLine="243"/>
        <w:spacing w:after="0" w:line="251" w:lineRule="auto"/>
        <w:rPr>
          <w:sz w:val="20"/>
          <w:szCs w:val="20"/>
          <w:color w:val="auto"/>
        </w:rPr>
      </w:pPr>
      <w:r>
        <w:rPr>
          <w:rFonts w:ascii="Arial" w:cs="Arial" w:eastAsia="Arial" w:hAnsi="Arial"/>
          <w:sz w:val="18"/>
          <w:szCs w:val="18"/>
          <w:color w:val="auto"/>
        </w:rPr>
        <w:t>The airline industry is subject to extensive government fees and taxation that negatively impact our revenue and profitability. The U.S. airline industry is one of the most heavily taxed of all industries. These fees and taxes have grown significantly in the past decade for domestic flights, and various U.S. fees and taxes also are assessed on international flights. For example, as permitted by federal legislation, most major U.S. airports impose a per-passenger facility charge on us. In addition, the governments of foreign countries in which we operate impose on U.S. airlines, including us, various fees and taxes, and these assessments have been increasing in number and amount in recent years. Moreover, we are obligated to collect a federal excise tax, commonly referred to as the “ticket tax,” on domestic and international air transportation. We collect the excise tax, along with certain other U.S. and foreign taxes and user fees on air transportation (such as passenger security fees), and pass along the collected amounts to the appropriate governmental agencies. Although these taxes and fees are not our operating expenses, they represent an additional cost to our customers. There are continuing efforts in Congress and in other countries to raise different portions of the various taxes, fees, and charges imposed on airlines and their passengers, including the passenger facility charge, and we may not be able to recover all of these charges from our customers. Increases in such taxes, fees and charges could negatively impact our business, results of operations and financial condition.</w:t>
      </w:r>
    </w:p>
    <w:p>
      <w:pPr>
        <w:spacing w:after="0" w:line="157" w:lineRule="exact"/>
        <w:rPr>
          <w:sz w:val="20"/>
          <w:szCs w:val="20"/>
          <w:color w:val="auto"/>
        </w:rPr>
      </w:pPr>
    </w:p>
    <w:p>
      <w:pPr>
        <w:jc w:val="both"/>
        <w:ind w:firstLine="216"/>
        <w:spacing w:after="0" w:line="256" w:lineRule="auto"/>
        <w:rPr>
          <w:sz w:val="20"/>
          <w:szCs w:val="20"/>
          <w:color w:val="auto"/>
        </w:rPr>
      </w:pPr>
      <w:r>
        <w:rPr>
          <w:rFonts w:ascii="Arial" w:cs="Arial" w:eastAsia="Arial" w:hAnsi="Arial"/>
          <w:sz w:val="18"/>
          <w:szCs w:val="18"/>
          <w:color w:val="auto"/>
        </w:rPr>
        <w:t>Under DOT regulations, all governmental taxes and fees must be included in the prices we quote or advertise to our customers. Due to the competitive revenue environment, many increases in these fees and taxes have been absorbed by the airline industry rather than being passed on to the customer. Further increases in fees and taxes may reduce demand for air travel, and thus our revenues.</w:t>
      </w:r>
    </w:p>
    <w:p>
      <w:pPr>
        <w:spacing w:after="0" w:line="207" w:lineRule="exact"/>
        <w:rPr>
          <w:sz w:val="20"/>
          <w:szCs w:val="20"/>
          <w:color w:val="auto"/>
        </w:rPr>
      </w:pPr>
    </w:p>
    <w:p>
      <w:pPr>
        <w:ind w:left="220"/>
        <w:spacing w:after="0"/>
        <w:rPr>
          <w:sz w:val="20"/>
          <w:szCs w:val="20"/>
          <w:color w:val="auto"/>
        </w:rPr>
      </w:pPr>
      <w:r>
        <w:rPr>
          <w:rFonts w:ascii="Arial" w:cs="Arial" w:eastAsia="Arial" w:hAnsi="Arial"/>
          <w:sz w:val="18"/>
          <w:szCs w:val="18"/>
          <w:b w:val="1"/>
          <w:bCs w:val="1"/>
          <w:i w:val="1"/>
          <w:iCs w:val="1"/>
          <w:color w:val="auto"/>
        </w:rPr>
        <w:t>Our ability to utilize our NOL Carryforwards may be limited.</w:t>
      </w:r>
    </w:p>
    <w:p>
      <w:pPr>
        <w:spacing w:after="0" w:line="112" w:lineRule="exact"/>
        <w:rPr>
          <w:sz w:val="20"/>
          <w:szCs w:val="20"/>
          <w:color w:val="auto"/>
        </w:rPr>
      </w:pPr>
    </w:p>
    <w:p>
      <w:pPr>
        <w:jc w:val="both"/>
        <w:ind w:firstLine="216"/>
        <w:spacing w:after="0" w:line="253" w:lineRule="auto"/>
        <w:rPr>
          <w:sz w:val="20"/>
          <w:szCs w:val="20"/>
          <w:color w:val="auto"/>
        </w:rPr>
      </w:pPr>
      <w:r>
        <w:rPr>
          <w:rFonts w:ascii="Arial" w:cs="Arial" w:eastAsia="Arial" w:hAnsi="Arial"/>
          <w:sz w:val="18"/>
          <w:szCs w:val="18"/>
          <w:color w:val="auto"/>
        </w:rPr>
        <w:t>Under the Internal Revenue Code of 1986, as amended (the Code), a corporation is generally allowed a deduction for net operating losses (NOLs) carried over from prior taxable years (NOL Carryforwards). As of December 31, 2019, we had available NOL Carryforwards of approximately $9.1 billion for regular federal income tax purposes that will expire, if unused, beginning in 2023, and approximately $3.0 billion for state income tax purposes that will expire, if unused, between 2020 and 2039. Our NOL Carryforwards are subject to adjustment on audit by the Internal Revenue Service and the respective state taxing authorities.</w:t>
      </w:r>
    </w:p>
    <w:p>
      <w:pPr>
        <w:spacing w:after="0" w:line="152" w:lineRule="exact"/>
        <w:rPr>
          <w:sz w:val="20"/>
          <w:szCs w:val="20"/>
          <w:color w:val="auto"/>
        </w:rPr>
      </w:pPr>
    </w:p>
    <w:p>
      <w:pPr>
        <w:jc w:val="both"/>
        <w:ind w:firstLine="216"/>
        <w:spacing w:after="0" w:line="252" w:lineRule="auto"/>
        <w:rPr>
          <w:sz w:val="20"/>
          <w:szCs w:val="20"/>
          <w:color w:val="auto"/>
        </w:rPr>
      </w:pPr>
      <w:r>
        <w:rPr>
          <w:rFonts w:ascii="Arial" w:cs="Arial" w:eastAsia="Arial" w:hAnsi="Arial"/>
          <w:sz w:val="18"/>
          <w:szCs w:val="18"/>
          <w:color w:val="auto"/>
        </w:rPr>
        <w:t>A corporation’s ability to deduct its federal NOL Carryforwards and to utilize certain other available tax attributes can be substantially constrained under the general annual limitation rules of Section 382 of the Code (Section 382) if it undergoes an “ownership change” as defined in Section 382 (generally where cumulative stock ownership changes among material stockholders exceed 50 percent during a rolling three-year period). In 2013, we experienced an ownership change in connection with our emergence from bankruptcy and US Airways Group experienced an ownership change in connection with the Merger. The general limitation rules for a debtor in a bankruptcy case are liberalized where the ownership change occurs upon emergence from bankruptcy. We elected to be covered by certain special rules for federal income tax purposes that permitted approximately $9.0 billion (with $7.3 billion of unlimited NOL still remaining at December 31, 2019) of our</w:t>
      </w:r>
    </w:p>
    <w:p>
      <w:pPr>
        <w:spacing w:after="0" w:line="20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32</w:t>
      </w:r>
    </w:p>
    <w:p>
      <w:pPr>
        <w:sectPr>
          <w:pgSz w:w="11900" w:h="16838" w:orient="portrait"/>
          <w:cols w:equalWidth="0" w:num="1">
            <w:col w:w="11420"/>
          </w:cols>
          <w:pgMar w:left="240" w:top="652" w:right="239" w:bottom="1440" w:gutter="0" w:footer="0" w:header="0"/>
        </w:sectPr>
      </w:pPr>
    </w:p>
    <w:bookmarkStart w:id="32" w:name="page33"/>
    <w:bookmarkEnd w:id="32"/>
    <w:p>
      <w:pPr>
        <w:jc w:val="both"/>
        <w:spacing w:after="0" w:line="253" w:lineRule="auto"/>
        <w:rPr>
          <w:sz w:val="20"/>
          <w:szCs w:val="20"/>
          <w:color w:val="auto"/>
        </w:rPr>
      </w:pPr>
      <w:r>
        <w:rPr>
          <w:rFonts w:ascii="Arial" w:cs="Arial" w:eastAsia="Arial" w:hAnsi="Arial"/>
          <w:sz w:val="18"/>
          <w:szCs w:val="18"/>
          <w:color w:val="auto"/>
        </w:rPr>
        <w:t>federal NOL Carryforwards to be utilized without regard to the annual limitation generally imposed by Section 382. If the special rules are determined not to apply, our ability to utilize such federal NOL Carryforwards may be subject to limitation. Substantially all of our remaining federal NOL Carryforwards attributable to US Airways Group and its subsidiaries are subject to limitation under Section 382 as a result of the Merger; however, our ability to utilize such NOL Carryforwards is not anticipated to be effectively constrained as a result of such limitation. Similar limitations may apply for state income tax purposes.</w:t>
      </w:r>
    </w:p>
    <w:p>
      <w:pPr>
        <w:spacing w:after="0" w:line="152" w:lineRule="exact"/>
        <w:rPr>
          <w:sz w:val="20"/>
          <w:szCs w:val="20"/>
          <w:color w:val="auto"/>
        </w:rPr>
      </w:pPr>
    </w:p>
    <w:p>
      <w:pPr>
        <w:jc w:val="both"/>
        <w:ind w:firstLine="216"/>
        <w:spacing w:after="0" w:line="252" w:lineRule="auto"/>
        <w:rPr>
          <w:sz w:val="20"/>
          <w:szCs w:val="20"/>
          <w:color w:val="auto"/>
        </w:rPr>
      </w:pPr>
      <w:r>
        <w:rPr>
          <w:rFonts w:ascii="Arial" w:cs="Arial" w:eastAsia="Arial" w:hAnsi="Arial"/>
          <w:sz w:val="18"/>
          <w:szCs w:val="18"/>
          <w:color w:val="auto"/>
        </w:rPr>
        <w:t>Notwithstanding the foregoing, an ownership change subsequent to our emergence from bankruptcy may severely limit or effectively eliminate our ability to utilize our NOL Carryforwards and other tax attributes. To reduce the risk of a potential adverse effect on our ability to utilize our NOL Carryforwards, our Certificate of Incorporation contains transfer restrictions applicable to certain substantial stockholders. These restrictions may adversely affect the ability of certain holders of AAG common stock to dispose of or acquire shares of AAG common stock. Although the purpose of these transfer restrictions is to prevent an ownership change from occurring, no assurance can be given that an ownership change will not occur even with these restrictions in place. See also “</w:t>
      </w:r>
      <w:r>
        <w:rPr>
          <w:rFonts w:ascii="Arial" w:cs="Arial" w:eastAsia="Arial" w:hAnsi="Arial"/>
          <w:sz w:val="18"/>
          <w:szCs w:val="18"/>
          <w:i w:val="1"/>
          <w:iCs w:val="1"/>
          <w:color w:val="auto"/>
        </w:rPr>
        <w:t>Certain provisions of AAG’s Certificate of Incorporation and</w:t>
      </w:r>
      <w:r>
        <w:rPr>
          <w:rFonts w:ascii="Arial" w:cs="Arial" w:eastAsia="Arial" w:hAnsi="Arial"/>
          <w:sz w:val="18"/>
          <w:szCs w:val="18"/>
          <w:color w:val="auto"/>
        </w:rPr>
        <w:t xml:space="preserve"> </w:t>
      </w:r>
      <w:r>
        <w:rPr>
          <w:rFonts w:ascii="Arial" w:cs="Arial" w:eastAsia="Arial" w:hAnsi="Arial"/>
          <w:sz w:val="18"/>
          <w:szCs w:val="18"/>
          <w:i w:val="1"/>
          <w:iCs w:val="1"/>
          <w:color w:val="auto"/>
        </w:rPr>
        <w:t>Bylaws make it difficult for stockholders to change the composition of our Board of Directors and may discourage takeover attempts that some of our stockholders might consider beneficial</w:t>
      </w:r>
      <w:r>
        <w:rPr>
          <w:rFonts w:ascii="Arial" w:cs="Arial" w:eastAsia="Arial" w:hAnsi="Arial"/>
          <w:sz w:val="18"/>
          <w:szCs w:val="18"/>
          <w:color w:val="auto"/>
        </w:rPr>
        <w:t>.”</w:t>
      </w:r>
    </w:p>
    <w:p>
      <w:pPr>
        <w:spacing w:after="0" w:line="152" w:lineRule="exact"/>
        <w:rPr>
          <w:sz w:val="20"/>
          <w:szCs w:val="20"/>
          <w:color w:val="auto"/>
        </w:rPr>
      </w:pPr>
    </w:p>
    <w:p>
      <w:pPr>
        <w:jc w:val="both"/>
        <w:ind w:firstLine="216"/>
        <w:spacing w:after="0" w:line="262" w:lineRule="auto"/>
        <w:rPr>
          <w:sz w:val="20"/>
          <w:szCs w:val="20"/>
          <w:color w:val="auto"/>
        </w:rPr>
      </w:pPr>
      <w:r>
        <w:rPr>
          <w:rFonts w:ascii="Arial" w:cs="Arial" w:eastAsia="Arial" w:hAnsi="Arial"/>
          <w:sz w:val="18"/>
          <w:szCs w:val="18"/>
          <w:color w:val="auto"/>
        </w:rPr>
        <w:t>Our ability to use our NOL Carryforwards also will depend on the amount of taxable income generated in future periods. The NOL Carryforwards may expire before we can generate sufficient taxable income to use them.</w:t>
      </w:r>
    </w:p>
    <w:p>
      <w:pPr>
        <w:spacing w:after="0" w:line="201" w:lineRule="exact"/>
        <w:rPr>
          <w:sz w:val="20"/>
          <w:szCs w:val="20"/>
          <w:color w:val="auto"/>
        </w:rPr>
      </w:pPr>
    </w:p>
    <w:p>
      <w:pPr>
        <w:ind w:left="260"/>
        <w:spacing w:after="0" w:line="287" w:lineRule="auto"/>
        <w:rPr>
          <w:sz w:val="20"/>
          <w:szCs w:val="20"/>
          <w:color w:val="auto"/>
        </w:rPr>
      </w:pPr>
      <w:r>
        <w:rPr>
          <w:rFonts w:ascii="Arial" w:cs="Arial" w:eastAsia="Arial" w:hAnsi="Arial"/>
          <w:sz w:val="18"/>
          <w:szCs w:val="18"/>
          <w:b w:val="1"/>
          <w:bCs w:val="1"/>
          <w:i w:val="1"/>
          <w:iCs w:val="1"/>
          <w:color w:val="auto"/>
        </w:rPr>
        <w:t>The commercial relationships that we have with other airlines, including any related equity investment, may not produce the returns or results we expect.</w:t>
      </w:r>
    </w:p>
    <w:p>
      <w:pPr>
        <w:spacing w:after="0" w:line="40" w:lineRule="exact"/>
        <w:rPr>
          <w:sz w:val="20"/>
          <w:szCs w:val="20"/>
          <w:color w:val="auto"/>
        </w:rPr>
      </w:pPr>
    </w:p>
    <w:p>
      <w:pPr>
        <w:jc w:val="both"/>
        <w:ind w:firstLine="216"/>
        <w:spacing w:after="0" w:line="251" w:lineRule="auto"/>
        <w:rPr>
          <w:sz w:val="20"/>
          <w:szCs w:val="20"/>
          <w:color w:val="auto"/>
        </w:rPr>
      </w:pPr>
      <w:r>
        <w:rPr>
          <w:rFonts w:ascii="Arial" w:cs="Arial" w:eastAsia="Arial" w:hAnsi="Arial"/>
          <w:sz w:val="18"/>
          <w:szCs w:val="18"/>
          <w:color w:val="auto"/>
        </w:rPr>
        <w:t>An important part of our strategy to expand our network has been to expand our commercial relationships with other airlines, such as by entering into global alliance, joint business and codeshare relationships, and, in one recent instance involving China Southern Airlines Company Limited (China Southern Airlines), by making a significant equity investment in another airline in connection with initiating such a commercial relationship. We may explore similar non-controlling investments in, and joint ventures and strategic alliances with, other carriers as part of our global business strategy. We face competition in forming and maintaining these commercial relationships since there are a limited number of potential arrangements and other airlines are looking to enter into similar relationships, and our inability to form or maintain these relationships or inability to form as many of these relationships as our competitors may have an adverse effect on our business. Any such existing or future investment could involve significant challenges and risks, including that we may not realize a satisfactory return on our investment or that they may not generate the expected revenue synergies. These events could have a material adverse effect on our business, results of operations and financial condition.</w:t>
      </w:r>
    </w:p>
    <w:p>
      <w:pPr>
        <w:spacing w:after="0" w:line="217" w:lineRule="exact"/>
        <w:rPr>
          <w:sz w:val="20"/>
          <w:szCs w:val="20"/>
          <w:color w:val="auto"/>
        </w:rPr>
      </w:pPr>
    </w:p>
    <w:p>
      <w:pPr>
        <w:ind w:left="260" w:right="20"/>
        <w:spacing w:after="0" w:line="287" w:lineRule="auto"/>
        <w:rPr>
          <w:sz w:val="20"/>
          <w:szCs w:val="20"/>
          <w:color w:val="auto"/>
        </w:rPr>
      </w:pPr>
      <w:r>
        <w:rPr>
          <w:rFonts w:ascii="Arial" w:cs="Arial" w:eastAsia="Arial" w:hAnsi="Arial"/>
          <w:sz w:val="18"/>
          <w:szCs w:val="18"/>
          <w:b w:val="1"/>
          <w:bCs w:val="1"/>
          <w:i w:val="1"/>
          <w:iCs w:val="1"/>
          <w:color w:val="auto"/>
        </w:rPr>
        <w:t>If our financial condition worsens, provisions in our credit card processing and other commercial agreements may adversely affect our liquidity.</w:t>
      </w:r>
    </w:p>
    <w:p>
      <w:pPr>
        <w:spacing w:after="0" w:line="40" w:lineRule="exact"/>
        <w:rPr>
          <w:sz w:val="20"/>
          <w:szCs w:val="20"/>
          <w:color w:val="auto"/>
        </w:rPr>
      </w:pPr>
    </w:p>
    <w:p>
      <w:pPr>
        <w:jc w:val="both"/>
        <w:ind w:firstLine="216"/>
        <w:spacing w:after="0" w:line="251" w:lineRule="auto"/>
        <w:rPr>
          <w:sz w:val="20"/>
          <w:szCs w:val="20"/>
          <w:color w:val="auto"/>
        </w:rPr>
      </w:pPr>
      <w:r>
        <w:rPr>
          <w:rFonts w:ascii="Arial" w:cs="Arial" w:eastAsia="Arial" w:hAnsi="Arial"/>
          <w:sz w:val="18"/>
          <w:szCs w:val="18"/>
          <w:color w:val="auto"/>
        </w:rPr>
        <w:t>We have agreements with companies that process customer credit card transactions for the sale of air travel and other services. These agreements allow these credit card processing companies, under certain conditions (including, with respect to certain agreements, our failure to maintain certain levels of liquidity), to hold an amount of our cash (a holdback) equal to some or all of the advance ticket sales that have been processed by that credit card processor, but for which we have not yet provided the air transportation. These credit card processing companies are not currently entitled to maintain any holdbacks pursuant to these requirements. These holdback requirements can be modified at the discretion of the credit card processing companies upon the occurrence of specific events, including material adverse changes in our financial condition. The imposition of holdback requirements, up to and including 100% of relevant advanced ticket sales, would materially reduce our liquidity. Likewise, other of our commercial agreements contain provisions that allow other entities to impose less-favorable terms, including the acceleration of amounts due, in the event of material adverse changes in our financial condition.</w:t>
      </w:r>
    </w:p>
    <w:p>
      <w:pPr>
        <w:spacing w:after="0" w:line="218" w:lineRule="exact"/>
        <w:rPr>
          <w:sz w:val="20"/>
          <w:szCs w:val="20"/>
          <w:color w:val="auto"/>
        </w:rPr>
      </w:pPr>
    </w:p>
    <w:p>
      <w:pPr>
        <w:ind w:left="260"/>
        <w:spacing w:after="0" w:line="287" w:lineRule="auto"/>
        <w:rPr>
          <w:sz w:val="20"/>
          <w:szCs w:val="20"/>
          <w:color w:val="auto"/>
        </w:rPr>
      </w:pPr>
      <w:r>
        <w:rPr>
          <w:rFonts w:ascii="Arial" w:cs="Arial" w:eastAsia="Arial" w:hAnsi="Arial"/>
          <w:sz w:val="18"/>
          <w:szCs w:val="18"/>
          <w:b w:val="1"/>
          <w:bCs w:val="1"/>
          <w:i w:val="1"/>
          <w:iCs w:val="1"/>
          <w:color w:val="auto"/>
        </w:rPr>
        <w:t>We have a significant amount of goodwill, which is assessed for impairment at least annually. In addition, we may never realize the full value of our intangible assets or long-lived assets, causing us to record material impairment charges.</w:t>
      </w:r>
    </w:p>
    <w:p>
      <w:pPr>
        <w:spacing w:after="0" w:line="40" w:lineRule="exact"/>
        <w:rPr>
          <w:sz w:val="20"/>
          <w:szCs w:val="20"/>
          <w:color w:val="auto"/>
        </w:rPr>
      </w:pPr>
    </w:p>
    <w:p>
      <w:pPr>
        <w:jc w:val="both"/>
        <w:ind w:firstLine="216"/>
        <w:spacing w:after="0" w:line="254" w:lineRule="auto"/>
        <w:rPr>
          <w:sz w:val="20"/>
          <w:szCs w:val="20"/>
          <w:color w:val="auto"/>
        </w:rPr>
      </w:pPr>
      <w:r>
        <w:rPr>
          <w:rFonts w:ascii="Arial" w:cs="Arial" w:eastAsia="Arial" w:hAnsi="Arial"/>
          <w:sz w:val="18"/>
          <w:szCs w:val="18"/>
          <w:color w:val="auto"/>
        </w:rPr>
        <w:t>Goodwill and indefinite-lived intangible assets are not amortized, but are assessed for impairment at least annually, or more frequently if conditions indicate that an impairment may have occurred. In accordance with applicable accounting standards, we first assess qualitative factors to determine whether it is necessary to perform a quantitative impairment test. In addition, we are required to assess certain of our other long-lived assets for impairment if conditions indicate that an impairment may have occurred.</w:t>
      </w:r>
    </w:p>
    <w:p>
      <w:pPr>
        <w:spacing w:after="0" w:line="20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33</w:t>
      </w:r>
    </w:p>
    <w:p>
      <w:pPr>
        <w:sectPr>
          <w:pgSz w:w="11900" w:h="16838" w:orient="portrait"/>
          <w:cols w:equalWidth="0" w:num="1">
            <w:col w:w="11420"/>
          </w:cols>
          <w:pgMar w:left="240" w:top="733" w:right="239" w:bottom="1440" w:gutter="0" w:footer="0" w:header="0"/>
        </w:sectPr>
      </w:pPr>
    </w:p>
    <w:bookmarkStart w:id="33" w:name="page34"/>
    <w:bookmarkEnd w:id="33"/>
    <w:p>
      <w:pPr>
        <w:jc w:val="both"/>
        <w:ind w:firstLine="216"/>
        <w:spacing w:after="0" w:line="253" w:lineRule="auto"/>
        <w:rPr>
          <w:sz w:val="20"/>
          <w:szCs w:val="20"/>
          <w:color w:val="auto"/>
        </w:rPr>
      </w:pPr>
      <w:r>
        <w:rPr>
          <w:rFonts w:ascii="Arial" w:cs="Arial" w:eastAsia="Arial" w:hAnsi="Arial"/>
          <w:sz w:val="18"/>
          <w:szCs w:val="18"/>
          <w:color w:val="auto"/>
        </w:rPr>
        <w:t>Future impairment of goodwill or other long-lived assets could be recorded in results of operations as a result of changes in assumptions, estimates, or circumstances, some of which are beyond our control. There can be no assurance that a material impairment charge of goodwill or tangible or intangible assets will be avoided. The value of our aircraft could be impacted in future periods by changes in supply and demand for these aircraft. Such changes in supply and demand for certain aircraft types could result from grounding of aircraft by us or other airlines. An impairment charge could have a material adverse effect on our business, results of operations and financial condition.</w:t>
      </w:r>
    </w:p>
    <w:p>
      <w:pPr>
        <w:spacing w:after="0" w:line="211" w:lineRule="exact"/>
        <w:rPr>
          <w:sz w:val="20"/>
          <w:szCs w:val="20"/>
          <w:color w:val="auto"/>
        </w:rPr>
      </w:pPr>
    </w:p>
    <w:p>
      <w:pPr>
        <w:ind w:left="220"/>
        <w:spacing w:after="0"/>
        <w:rPr>
          <w:sz w:val="20"/>
          <w:szCs w:val="20"/>
          <w:color w:val="auto"/>
        </w:rPr>
      </w:pPr>
      <w:r>
        <w:rPr>
          <w:rFonts w:ascii="Arial" w:cs="Arial" w:eastAsia="Arial" w:hAnsi="Arial"/>
          <w:sz w:val="18"/>
          <w:szCs w:val="18"/>
          <w:b w:val="1"/>
          <w:bCs w:val="1"/>
          <w:i w:val="1"/>
          <w:iCs w:val="1"/>
          <w:color w:val="auto"/>
        </w:rPr>
        <w:t>The price of AAG common stock has been and may in the future be volatile.</w:t>
      </w:r>
    </w:p>
    <w:p>
      <w:pPr>
        <w:spacing w:after="0" w:line="112" w:lineRule="exact"/>
        <w:rPr>
          <w:sz w:val="20"/>
          <w:szCs w:val="20"/>
          <w:color w:val="auto"/>
        </w:rPr>
      </w:pPr>
    </w:p>
    <w:p>
      <w:pPr>
        <w:jc w:val="both"/>
        <w:ind w:firstLine="216"/>
        <w:spacing w:after="0" w:line="262" w:lineRule="auto"/>
        <w:rPr>
          <w:sz w:val="20"/>
          <w:szCs w:val="20"/>
          <w:color w:val="auto"/>
        </w:rPr>
      </w:pPr>
      <w:r>
        <w:rPr>
          <w:rFonts w:ascii="Arial" w:cs="Arial" w:eastAsia="Arial" w:hAnsi="Arial"/>
          <w:sz w:val="18"/>
          <w:szCs w:val="18"/>
          <w:color w:val="auto"/>
        </w:rPr>
        <w:t>The market price of AAG common stock has fluctuated in the past, and may fluctuate substantially in the future, due to a variety of factors, many of which are beyond our control, including:</w:t>
      </w:r>
    </w:p>
    <w:p>
      <w:pPr>
        <w:spacing w:after="0" w:line="142" w:lineRule="exact"/>
        <w:rPr>
          <w:sz w:val="20"/>
          <w:szCs w:val="20"/>
          <w:color w:val="auto"/>
        </w:rPr>
      </w:pPr>
    </w:p>
    <w:p>
      <w:pPr>
        <w:ind w:left="1300" w:hanging="644"/>
        <w:spacing w:after="0"/>
        <w:tabs>
          <w:tab w:leader="none" w:pos="1300" w:val="left"/>
        </w:tabs>
        <w:numPr>
          <w:ilvl w:val="0"/>
          <w:numId w:val="11"/>
        </w:numPr>
        <w:rPr>
          <w:rFonts w:ascii="Arial" w:cs="Arial" w:eastAsia="Arial" w:hAnsi="Arial"/>
          <w:sz w:val="18"/>
          <w:szCs w:val="18"/>
          <w:color w:val="auto"/>
        </w:rPr>
      </w:pPr>
      <w:r>
        <w:rPr>
          <w:rFonts w:ascii="Arial" w:cs="Arial" w:eastAsia="Arial" w:hAnsi="Arial"/>
          <w:sz w:val="18"/>
          <w:szCs w:val="18"/>
          <w:color w:val="auto"/>
        </w:rPr>
        <w:t>macro-economic conditions, including the price of fuel;</w:t>
      </w:r>
    </w:p>
    <w:p>
      <w:pPr>
        <w:spacing w:after="0" w:line="171" w:lineRule="exact"/>
        <w:rPr>
          <w:rFonts w:ascii="Arial" w:cs="Arial" w:eastAsia="Arial" w:hAnsi="Arial"/>
          <w:sz w:val="18"/>
          <w:szCs w:val="18"/>
          <w:color w:val="auto"/>
        </w:rPr>
      </w:pPr>
    </w:p>
    <w:p>
      <w:pPr>
        <w:ind w:left="1300" w:hanging="644"/>
        <w:spacing w:after="0"/>
        <w:tabs>
          <w:tab w:leader="none" w:pos="1300" w:val="left"/>
        </w:tabs>
        <w:numPr>
          <w:ilvl w:val="0"/>
          <w:numId w:val="11"/>
        </w:numPr>
        <w:rPr>
          <w:rFonts w:ascii="Arial" w:cs="Arial" w:eastAsia="Arial" w:hAnsi="Arial"/>
          <w:sz w:val="18"/>
          <w:szCs w:val="18"/>
          <w:color w:val="auto"/>
        </w:rPr>
      </w:pPr>
      <w:r>
        <w:rPr>
          <w:rFonts w:ascii="Arial" w:cs="Arial" w:eastAsia="Arial" w:hAnsi="Arial"/>
          <w:sz w:val="18"/>
          <w:szCs w:val="18"/>
          <w:color w:val="auto"/>
        </w:rPr>
        <w:t>changes in market values of airline companies as well as general market conditions;</w:t>
      </w:r>
    </w:p>
    <w:p>
      <w:pPr>
        <w:spacing w:after="0" w:line="171" w:lineRule="exact"/>
        <w:rPr>
          <w:rFonts w:ascii="Arial" w:cs="Arial" w:eastAsia="Arial" w:hAnsi="Arial"/>
          <w:sz w:val="18"/>
          <w:szCs w:val="18"/>
          <w:color w:val="auto"/>
        </w:rPr>
      </w:pPr>
    </w:p>
    <w:p>
      <w:pPr>
        <w:ind w:left="1300" w:hanging="644"/>
        <w:spacing w:after="0"/>
        <w:tabs>
          <w:tab w:leader="none" w:pos="1300" w:val="left"/>
        </w:tabs>
        <w:numPr>
          <w:ilvl w:val="0"/>
          <w:numId w:val="11"/>
        </w:numPr>
        <w:rPr>
          <w:rFonts w:ascii="Arial" w:cs="Arial" w:eastAsia="Arial" w:hAnsi="Arial"/>
          <w:sz w:val="18"/>
          <w:szCs w:val="18"/>
          <w:color w:val="auto"/>
        </w:rPr>
      </w:pPr>
      <w:r>
        <w:rPr>
          <w:rFonts w:ascii="Arial" w:cs="Arial" w:eastAsia="Arial" w:hAnsi="Arial"/>
          <w:sz w:val="18"/>
          <w:szCs w:val="18"/>
          <w:color w:val="auto"/>
        </w:rPr>
        <w:t>our operating and financial results failing to meet the expectations of securities analysts or investors;</w:t>
      </w:r>
    </w:p>
    <w:p>
      <w:pPr>
        <w:spacing w:after="0" w:line="171" w:lineRule="exact"/>
        <w:rPr>
          <w:rFonts w:ascii="Arial" w:cs="Arial" w:eastAsia="Arial" w:hAnsi="Arial"/>
          <w:sz w:val="18"/>
          <w:szCs w:val="18"/>
          <w:color w:val="auto"/>
        </w:rPr>
      </w:pPr>
    </w:p>
    <w:p>
      <w:pPr>
        <w:ind w:left="1300" w:hanging="644"/>
        <w:spacing w:after="0"/>
        <w:tabs>
          <w:tab w:leader="none" w:pos="1300" w:val="left"/>
        </w:tabs>
        <w:numPr>
          <w:ilvl w:val="0"/>
          <w:numId w:val="11"/>
        </w:numPr>
        <w:rPr>
          <w:rFonts w:ascii="Arial" w:cs="Arial" w:eastAsia="Arial" w:hAnsi="Arial"/>
          <w:sz w:val="18"/>
          <w:szCs w:val="18"/>
          <w:color w:val="auto"/>
        </w:rPr>
      </w:pPr>
      <w:r>
        <w:rPr>
          <w:rFonts w:ascii="Arial" w:cs="Arial" w:eastAsia="Arial" w:hAnsi="Arial"/>
          <w:sz w:val="18"/>
          <w:szCs w:val="18"/>
          <w:color w:val="auto"/>
        </w:rPr>
        <w:t>changes in financial estimates or recommendations by securities analysts;</w:t>
      </w:r>
    </w:p>
    <w:p>
      <w:pPr>
        <w:spacing w:after="0" w:line="171" w:lineRule="exact"/>
        <w:rPr>
          <w:rFonts w:ascii="Arial" w:cs="Arial" w:eastAsia="Arial" w:hAnsi="Arial"/>
          <w:sz w:val="18"/>
          <w:szCs w:val="18"/>
          <w:color w:val="auto"/>
        </w:rPr>
      </w:pPr>
    </w:p>
    <w:p>
      <w:pPr>
        <w:ind w:left="1300" w:hanging="644"/>
        <w:spacing w:after="0"/>
        <w:tabs>
          <w:tab w:leader="none" w:pos="1300" w:val="left"/>
        </w:tabs>
        <w:numPr>
          <w:ilvl w:val="0"/>
          <w:numId w:val="11"/>
        </w:numPr>
        <w:rPr>
          <w:rFonts w:ascii="Arial" w:cs="Arial" w:eastAsia="Arial" w:hAnsi="Arial"/>
          <w:sz w:val="18"/>
          <w:szCs w:val="18"/>
          <w:color w:val="auto"/>
        </w:rPr>
      </w:pPr>
      <w:r>
        <w:rPr>
          <w:rFonts w:ascii="Arial" w:cs="Arial" w:eastAsia="Arial" w:hAnsi="Arial"/>
          <w:sz w:val="18"/>
          <w:szCs w:val="18"/>
          <w:color w:val="auto"/>
        </w:rPr>
        <w:t>changes in our level of outstanding indebtedness and other obligations;</w:t>
      </w:r>
    </w:p>
    <w:p>
      <w:pPr>
        <w:spacing w:after="0" w:line="171" w:lineRule="exact"/>
        <w:rPr>
          <w:rFonts w:ascii="Arial" w:cs="Arial" w:eastAsia="Arial" w:hAnsi="Arial"/>
          <w:sz w:val="18"/>
          <w:szCs w:val="18"/>
          <w:color w:val="auto"/>
        </w:rPr>
      </w:pPr>
    </w:p>
    <w:p>
      <w:pPr>
        <w:ind w:left="1300" w:hanging="644"/>
        <w:spacing w:after="0"/>
        <w:tabs>
          <w:tab w:leader="none" w:pos="1300" w:val="left"/>
        </w:tabs>
        <w:numPr>
          <w:ilvl w:val="0"/>
          <w:numId w:val="11"/>
        </w:numPr>
        <w:rPr>
          <w:rFonts w:ascii="Arial" w:cs="Arial" w:eastAsia="Arial" w:hAnsi="Arial"/>
          <w:sz w:val="18"/>
          <w:szCs w:val="18"/>
          <w:color w:val="auto"/>
        </w:rPr>
      </w:pPr>
      <w:r>
        <w:rPr>
          <w:rFonts w:ascii="Arial" w:cs="Arial" w:eastAsia="Arial" w:hAnsi="Arial"/>
          <w:sz w:val="18"/>
          <w:szCs w:val="18"/>
          <w:color w:val="auto"/>
        </w:rPr>
        <w:t>changes in our credit ratings;</w:t>
      </w:r>
    </w:p>
    <w:p>
      <w:pPr>
        <w:spacing w:after="0" w:line="171" w:lineRule="exact"/>
        <w:rPr>
          <w:rFonts w:ascii="Arial" w:cs="Arial" w:eastAsia="Arial" w:hAnsi="Arial"/>
          <w:sz w:val="18"/>
          <w:szCs w:val="18"/>
          <w:color w:val="auto"/>
        </w:rPr>
      </w:pPr>
    </w:p>
    <w:p>
      <w:pPr>
        <w:ind w:left="1300" w:hanging="644"/>
        <w:spacing w:after="0"/>
        <w:tabs>
          <w:tab w:leader="none" w:pos="1300" w:val="left"/>
        </w:tabs>
        <w:numPr>
          <w:ilvl w:val="0"/>
          <w:numId w:val="11"/>
        </w:numPr>
        <w:rPr>
          <w:rFonts w:ascii="Arial" w:cs="Arial" w:eastAsia="Arial" w:hAnsi="Arial"/>
          <w:sz w:val="18"/>
          <w:szCs w:val="18"/>
          <w:color w:val="auto"/>
        </w:rPr>
      </w:pPr>
      <w:r>
        <w:rPr>
          <w:rFonts w:ascii="Arial" w:cs="Arial" w:eastAsia="Arial" w:hAnsi="Arial"/>
          <w:sz w:val="18"/>
          <w:szCs w:val="18"/>
          <w:color w:val="auto"/>
        </w:rPr>
        <w:t>material announcements by us or our competitors;</w:t>
      </w:r>
    </w:p>
    <w:p>
      <w:pPr>
        <w:spacing w:after="0" w:line="171" w:lineRule="exact"/>
        <w:rPr>
          <w:rFonts w:ascii="Arial" w:cs="Arial" w:eastAsia="Arial" w:hAnsi="Arial"/>
          <w:sz w:val="18"/>
          <w:szCs w:val="18"/>
          <w:color w:val="auto"/>
        </w:rPr>
      </w:pPr>
    </w:p>
    <w:p>
      <w:pPr>
        <w:jc w:val="both"/>
        <w:ind w:left="1300" w:hanging="644"/>
        <w:spacing w:after="0" w:line="256" w:lineRule="auto"/>
        <w:tabs>
          <w:tab w:leader="none" w:pos="1300" w:val="left"/>
        </w:tabs>
        <w:numPr>
          <w:ilvl w:val="0"/>
          <w:numId w:val="11"/>
        </w:numPr>
        <w:rPr>
          <w:rFonts w:ascii="Arial" w:cs="Arial" w:eastAsia="Arial" w:hAnsi="Arial"/>
          <w:sz w:val="18"/>
          <w:szCs w:val="18"/>
          <w:color w:val="auto"/>
        </w:rPr>
      </w:pPr>
      <w:r>
        <w:rPr>
          <w:rFonts w:ascii="Arial" w:cs="Arial" w:eastAsia="Arial" w:hAnsi="Arial"/>
          <w:sz w:val="18"/>
          <w:szCs w:val="18"/>
          <w:color w:val="auto"/>
        </w:rPr>
        <w:t>expectations regarding our capital deployment program, including any existing or potential future share repurchase programs and any future dividend payments that may be declared by our Board of Directors, or any determination to cease repurchasing stock or paying dividends;</w:t>
      </w:r>
    </w:p>
    <w:p>
      <w:pPr>
        <w:spacing w:after="0" w:line="147" w:lineRule="exact"/>
        <w:rPr>
          <w:rFonts w:ascii="Arial" w:cs="Arial" w:eastAsia="Arial" w:hAnsi="Arial"/>
          <w:sz w:val="18"/>
          <w:szCs w:val="18"/>
          <w:color w:val="auto"/>
        </w:rPr>
      </w:pPr>
    </w:p>
    <w:p>
      <w:pPr>
        <w:ind w:left="1300" w:hanging="644"/>
        <w:spacing w:after="0"/>
        <w:tabs>
          <w:tab w:leader="none" w:pos="1300" w:val="left"/>
        </w:tabs>
        <w:numPr>
          <w:ilvl w:val="0"/>
          <w:numId w:val="11"/>
        </w:numPr>
        <w:rPr>
          <w:rFonts w:ascii="Arial" w:cs="Arial" w:eastAsia="Arial" w:hAnsi="Arial"/>
          <w:sz w:val="18"/>
          <w:szCs w:val="18"/>
          <w:color w:val="auto"/>
        </w:rPr>
      </w:pPr>
      <w:r>
        <w:rPr>
          <w:rFonts w:ascii="Arial" w:cs="Arial" w:eastAsia="Arial" w:hAnsi="Arial"/>
          <w:sz w:val="18"/>
          <w:szCs w:val="18"/>
          <w:color w:val="auto"/>
        </w:rPr>
        <w:t>new regulatory pronouncements and changes in regulatory guidelines;</w:t>
      </w:r>
    </w:p>
    <w:p>
      <w:pPr>
        <w:spacing w:after="0" w:line="171" w:lineRule="exact"/>
        <w:rPr>
          <w:rFonts w:ascii="Arial" w:cs="Arial" w:eastAsia="Arial" w:hAnsi="Arial"/>
          <w:sz w:val="18"/>
          <w:szCs w:val="18"/>
          <w:color w:val="auto"/>
        </w:rPr>
      </w:pPr>
    </w:p>
    <w:p>
      <w:pPr>
        <w:ind w:left="1300" w:hanging="644"/>
        <w:spacing w:after="0"/>
        <w:tabs>
          <w:tab w:leader="none" w:pos="1300" w:val="left"/>
        </w:tabs>
        <w:numPr>
          <w:ilvl w:val="0"/>
          <w:numId w:val="11"/>
        </w:numPr>
        <w:rPr>
          <w:rFonts w:ascii="Arial" w:cs="Arial" w:eastAsia="Arial" w:hAnsi="Arial"/>
          <w:sz w:val="18"/>
          <w:szCs w:val="18"/>
          <w:color w:val="auto"/>
        </w:rPr>
      </w:pPr>
      <w:r>
        <w:rPr>
          <w:rFonts w:ascii="Arial" w:cs="Arial" w:eastAsia="Arial" w:hAnsi="Arial"/>
          <w:sz w:val="18"/>
          <w:szCs w:val="18"/>
          <w:color w:val="auto"/>
        </w:rPr>
        <w:t>general and industry-specific economic conditions;</w:t>
      </w:r>
    </w:p>
    <w:p>
      <w:pPr>
        <w:spacing w:after="0" w:line="171" w:lineRule="exact"/>
        <w:rPr>
          <w:rFonts w:ascii="Arial" w:cs="Arial" w:eastAsia="Arial" w:hAnsi="Arial"/>
          <w:sz w:val="18"/>
          <w:szCs w:val="18"/>
          <w:color w:val="auto"/>
        </w:rPr>
      </w:pPr>
    </w:p>
    <w:p>
      <w:pPr>
        <w:ind w:left="1300" w:hanging="644"/>
        <w:spacing w:after="0"/>
        <w:tabs>
          <w:tab w:leader="none" w:pos="1300" w:val="left"/>
        </w:tabs>
        <w:numPr>
          <w:ilvl w:val="0"/>
          <w:numId w:val="11"/>
        </w:numPr>
        <w:rPr>
          <w:rFonts w:ascii="Arial" w:cs="Arial" w:eastAsia="Arial" w:hAnsi="Arial"/>
          <w:sz w:val="18"/>
          <w:szCs w:val="18"/>
          <w:color w:val="auto"/>
        </w:rPr>
      </w:pPr>
      <w:r>
        <w:rPr>
          <w:rFonts w:ascii="Arial" w:cs="Arial" w:eastAsia="Arial" w:hAnsi="Arial"/>
          <w:sz w:val="18"/>
          <w:szCs w:val="18"/>
          <w:color w:val="auto"/>
        </w:rPr>
        <w:t>changes in our key personnel;</w:t>
      </w:r>
    </w:p>
    <w:p>
      <w:pPr>
        <w:spacing w:after="0" w:line="171" w:lineRule="exact"/>
        <w:rPr>
          <w:rFonts w:ascii="Arial" w:cs="Arial" w:eastAsia="Arial" w:hAnsi="Arial"/>
          <w:sz w:val="18"/>
          <w:szCs w:val="18"/>
          <w:color w:val="auto"/>
        </w:rPr>
      </w:pPr>
    </w:p>
    <w:p>
      <w:pPr>
        <w:ind w:left="1300" w:hanging="644"/>
        <w:spacing w:after="0" w:line="262" w:lineRule="auto"/>
        <w:tabs>
          <w:tab w:leader="none" w:pos="1300" w:val="left"/>
        </w:tabs>
        <w:numPr>
          <w:ilvl w:val="0"/>
          <w:numId w:val="11"/>
        </w:numPr>
        <w:rPr>
          <w:rFonts w:ascii="Arial" w:cs="Arial" w:eastAsia="Arial" w:hAnsi="Arial"/>
          <w:sz w:val="18"/>
          <w:szCs w:val="18"/>
          <w:color w:val="auto"/>
        </w:rPr>
      </w:pPr>
      <w:r>
        <w:rPr>
          <w:rFonts w:ascii="Arial" w:cs="Arial" w:eastAsia="Arial" w:hAnsi="Arial"/>
          <w:sz w:val="18"/>
          <w:szCs w:val="18"/>
          <w:color w:val="auto"/>
        </w:rPr>
        <w:t>public sales of a substantial number of shares of AAG common stock or issuances of AAG common stock upon the exercise or conversion of restricted stock unit awards, stock appreciation rights, or other securities that may be issued from time to time;</w:t>
      </w:r>
    </w:p>
    <w:p>
      <w:pPr>
        <w:spacing w:after="0" w:line="142" w:lineRule="exact"/>
        <w:rPr>
          <w:rFonts w:ascii="Arial" w:cs="Arial" w:eastAsia="Arial" w:hAnsi="Arial"/>
          <w:sz w:val="18"/>
          <w:szCs w:val="18"/>
          <w:color w:val="auto"/>
        </w:rPr>
      </w:pPr>
    </w:p>
    <w:p>
      <w:pPr>
        <w:ind w:left="1300" w:hanging="644"/>
        <w:spacing w:after="0"/>
        <w:tabs>
          <w:tab w:leader="none" w:pos="1300" w:val="left"/>
        </w:tabs>
        <w:numPr>
          <w:ilvl w:val="0"/>
          <w:numId w:val="11"/>
        </w:numPr>
        <w:rPr>
          <w:rFonts w:ascii="Arial" w:cs="Arial" w:eastAsia="Arial" w:hAnsi="Arial"/>
          <w:sz w:val="18"/>
          <w:szCs w:val="18"/>
          <w:color w:val="auto"/>
        </w:rPr>
      </w:pPr>
      <w:r>
        <w:rPr>
          <w:rFonts w:ascii="Arial" w:cs="Arial" w:eastAsia="Arial" w:hAnsi="Arial"/>
          <w:sz w:val="18"/>
          <w:szCs w:val="18"/>
          <w:color w:val="auto"/>
        </w:rPr>
        <w:t>increases or decreases in reported holdings by insiders or other significant stockholders; and</w:t>
      </w:r>
    </w:p>
    <w:p>
      <w:pPr>
        <w:spacing w:after="0" w:line="171" w:lineRule="exact"/>
        <w:rPr>
          <w:rFonts w:ascii="Arial" w:cs="Arial" w:eastAsia="Arial" w:hAnsi="Arial"/>
          <w:sz w:val="18"/>
          <w:szCs w:val="18"/>
          <w:color w:val="auto"/>
        </w:rPr>
      </w:pPr>
    </w:p>
    <w:p>
      <w:pPr>
        <w:ind w:left="1300" w:hanging="644"/>
        <w:spacing w:after="0"/>
        <w:tabs>
          <w:tab w:leader="none" w:pos="1300" w:val="left"/>
        </w:tabs>
        <w:numPr>
          <w:ilvl w:val="0"/>
          <w:numId w:val="11"/>
        </w:numPr>
        <w:rPr>
          <w:rFonts w:ascii="Arial" w:cs="Arial" w:eastAsia="Arial" w:hAnsi="Arial"/>
          <w:sz w:val="18"/>
          <w:szCs w:val="18"/>
          <w:color w:val="auto"/>
        </w:rPr>
      </w:pPr>
      <w:r>
        <w:rPr>
          <w:rFonts w:ascii="Arial" w:cs="Arial" w:eastAsia="Arial" w:hAnsi="Arial"/>
          <w:sz w:val="18"/>
          <w:szCs w:val="18"/>
          <w:color w:val="auto"/>
        </w:rPr>
        <w:t>fluctuations in trading volume.</w:t>
      </w:r>
    </w:p>
    <w:p>
      <w:pPr>
        <w:spacing w:after="0" w:line="230" w:lineRule="exact"/>
        <w:rPr>
          <w:sz w:val="20"/>
          <w:szCs w:val="20"/>
          <w:color w:val="auto"/>
        </w:rPr>
      </w:pPr>
    </w:p>
    <w:p>
      <w:pPr>
        <w:jc w:val="both"/>
        <w:ind w:left="260"/>
        <w:spacing w:after="0" w:line="269" w:lineRule="auto"/>
        <w:rPr>
          <w:sz w:val="20"/>
          <w:szCs w:val="20"/>
          <w:color w:val="auto"/>
        </w:rPr>
      </w:pPr>
      <w:r>
        <w:rPr>
          <w:rFonts w:ascii="Arial" w:cs="Arial" w:eastAsia="Arial" w:hAnsi="Arial"/>
          <w:sz w:val="18"/>
          <w:szCs w:val="18"/>
          <w:b w:val="1"/>
          <w:bCs w:val="1"/>
          <w:i w:val="1"/>
          <w:iCs w:val="1"/>
          <w:color w:val="auto"/>
        </w:rPr>
        <w:t>We cannot guarantee that we will continue to repurchase our common stock or pay dividends on our common stock or that our capital deployment program will enhance long-term stockholder value. Our capital deployment program could increase the volatility of the price of our common stock and diminish our cash reserves.</w:t>
      </w:r>
    </w:p>
    <w:p>
      <w:pPr>
        <w:spacing w:after="0" w:line="55" w:lineRule="exact"/>
        <w:rPr>
          <w:sz w:val="20"/>
          <w:szCs w:val="20"/>
          <w:color w:val="auto"/>
        </w:rPr>
      </w:pPr>
    </w:p>
    <w:p>
      <w:pPr>
        <w:jc w:val="both"/>
        <w:ind w:firstLine="216"/>
        <w:spacing w:after="0" w:line="252" w:lineRule="auto"/>
        <w:rPr>
          <w:sz w:val="20"/>
          <w:szCs w:val="20"/>
          <w:color w:val="auto"/>
        </w:rPr>
      </w:pPr>
      <w:r>
        <w:rPr>
          <w:rFonts w:ascii="Arial" w:cs="Arial" w:eastAsia="Arial" w:hAnsi="Arial"/>
          <w:sz w:val="18"/>
          <w:szCs w:val="18"/>
          <w:color w:val="auto"/>
        </w:rPr>
        <w:t>Since July 2014, as part of our capital deployment program, our Board of Directors has approved seven share repurchase programs aggregating $13.0 billion of authority. As of December 31, 2019, there was $ 565 million of remaining authority to repurchase shares under our current $2.0 billion share repurchase program. Share repurchases under our repurchase programs may be made through a variety of methods, which may include open market purchases, privately negotiated transactions, block trades or accelerated share repurchase transactions. These share repurchase programs do not obligate us to acquire any specific number of shares or to repurchase any specific number of shares for any fixed period, and may be suspended at any time at our discretion and without prior notice. The timing and amount of repurchases, if any, will be subject to market and economic conditions, applicable legal requirements and other relevant factors. Our repurchase of AAG common stock may be limited, suspended or discontinued at any time at our discretion and without prior notice.</w:t>
      </w:r>
    </w:p>
    <w:p>
      <w:pPr>
        <w:spacing w:after="0" w:line="20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34</w:t>
      </w:r>
    </w:p>
    <w:p>
      <w:pPr>
        <w:sectPr>
          <w:pgSz w:w="11900" w:h="16838" w:orient="portrait"/>
          <w:cols w:equalWidth="0" w:num="1">
            <w:col w:w="11420"/>
          </w:cols>
          <w:pgMar w:left="240" w:top="733" w:right="239" w:bottom="1440" w:gutter="0" w:footer="0" w:header="0"/>
        </w:sectPr>
      </w:pPr>
    </w:p>
    <w:bookmarkStart w:id="34" w:name="page35"/>
    <w:bookmarkEnd w:id="34"/>
    <w:p>
      <w:pPr>
        <w:jc w:val="both"/>
        <w:ind w:firstLine="216"/>
        <w:spacing w:after="0" w:line="252" w:lineRule="auto"/>
        <w:rPr>
          <w:sz w:val="20"/>
          <w:szCs w:val="20"/>
          <w:color w:val="auto"/>
        </w:rPr>
      </w:pPr>
      <w:r>
        <w:rPr>
          <w:rFonts w:ascii="Arial" w:cs="Arial" w:eastAsia="Arial" w:hAnsi="Arial"/>
          <w:sz w:val="18"/>
          <w:szCs w:val="18"/>
          <w:color w:val="auto"/>
        </w:rPr>
        <w:t>Our Board of Directors commenced declaring quarterly cash dividends in July 2014 as part of our capital deployment program. However, any future dividends that may be declared and paid from time to time will be subject to market and economic conditions, applicable legal requirements and other relevant factors. We are not obligated to continue a dividend for any fixed period, and the payment of dividends may be suspended or discontinued at any time at our discretion and without prior notice. We will continue to retain future earnings to develop our business, as opportunities arise, and evaluate on a quarterly basis the amount and timing of future dividends based on our operating results, financial condition, capital requirements and general business conditions. The amount and timing of any future dividends may vary, and the payment of any dividend does not assure that we will pay dividends in the future.</w:t>
      </w:r>
    </w:p>
    <w:p>
      <w:pPr>
        <w:spacing w:after="0" w:line="153" w:lineRule="exact"/>
        <w:rPr>
          <w:sz w:val="20"/>
          <w:szCs w:val="20"/>
          <w:color w:val="auto"/>
        </w:rPr>
      </w:pPr>
    </w:p>
    <w:p>
      <w:pPr>
        <w:jc w:val="both"/>
        <w:ind w:firstLine="216"/>
        <w:spacing w:after="0" w:line="252" w:lineRule="auto"/>
        <w:rPr>
          <w:sz w:val="20"/>
          <w:szCs w:val="20"/>
          <w:color w:val="auto"/>
        </w:rPr>
      </w:pPr>
      <w:r>
        <w:rPr>
          <w:rFonts w:ascii="Arial" w:cs="Arial" w:eastAsia="Arial" w:hAnsi="Arial"/>
          <w:sz w:val="18"/>
          <w:szCs w:val="18"/>
          <w:color w:val="auto"/>
        </w:rPr>
        <w:t>In addition, any future repurchases of AAG common stock or payment of dividends, or any determination to cease repurchasing stock or paying dividends, could affect our stock price and increase its volatility. The existence of a share repurchase program and any future dividends could cause our stock price to be higher than it would otherwise be and could potentially reduce the market liquidity for our stock. Additionally, any future repurchases of AAG common stock or payment of dividends will diminish our cash reserves, which may impact our ability to finance future growth and to pursue possible future strategic opportunities and acquisitions. Further, our repurchase of AAG common stock may fluctuate such that our cash flow may be insufficient to fully cover our share repurchases. Although our share repurchase programs are intended to enhance long-term stockholder value, there is no assurance that they will do so.</w:t>
      </w:r>
    </w:p>
    <w:p>
      <w:pPr>
        <w:spacing w:after="0" w:line="212" w:lineRule="exact"/>
        <w:rPr>
          <w:sz w:val="20"/>
          <w:szCs w:val="20"/>
          <w:color w:val="auto"/>
        </w:rPr>
      </w:pPr>
    </w:p>
    <w:p>
      <w:pPr>
        <w:ind w:left="260"/>
        <w:spacing w:after="0" w:line="287" w:lineRule="auto"/>
        <w:rPr>
          <w:sz w:val="20"/>
          <w:szCs w:val="20"/>
          <w:color w:val="auto"/>
        </w:rPr>
      </w:pPr>
      <w:r>
        <w:rPr>
          <w:rFonts w:ascii="Arial" w:cs="Arial" w:eastAsia="Arial" w:hAnsi="Arial"/>
          <w:sz w:val="18"/>
          <w:szCs w:val="18"/>
          <w:b w:val="1"/>
          <w:bCs w:val="1"/>
          <w:i w:val="1"/>
          <w:iCs w:val="1"/>
          <w:color w:val="auto"/>
        </w:rPr>
        <w:t>AAG’s Certificate of Incorporation and Bylaws include provisions that limit voting and acquisition and disposition of our equity interests.</w:t>
      </w:r>
    </w:p>
    <w:p>
      <w:pPr>
        <w:spacing w:after="0" w:line="40" w:lineRule="exact"/>
        <w:rPr>
          <w:sz w:val="20"/>
          <w:szCs w:val="20"/>
          <w:color w:val="auto"/>
        </w:rPr>
      </w:pPr>
    </w:p>
    <w:p>
      <w:pPr>
        <w:jc w:val="both"/>
        <w:ind w:firstLine="216"/>
        <w:spacing w:after="0" w:line="252" w:lineRule="auto"/>
        <w:rPr>
          <w:sz w:val="20"/>
          <w:szCs w:val="20"/>
          <w:color w:val="auto"/>
        </w:rPr>
      </w:pPr>
      <w:r>
        <w:rPr>
          <w:rFonts w:ascii="Arial" w:cs="Arial" w:eastAsia="Arial" w:hAnsi="Arial"/>
          <w:sz w:val="18"/>
          <w:szCs w:val="18"/>
          <w:color w:val="auto"/>
        </w:rPr>
        <w:t>Our Certificate of Incorporation and Bylaws include significant provisions that limit voting and ownership and disposition of our equity interests, as described in Part II, Item 5. Market for American Airlines Group’s Common Stock, Related Stockholder Matters and Issuer Purchases of Equity Securities - “</w:t>
      </w:r>
      <w:r>
        <w:rPr>
          <w:rFonts w:ascii="Arial" w:cs="Arial" w:eastAsia="Arial" w:hAnsi="Arial"/>
          <w:sz w:val="18"/>
          <w:szCs w:val="18"/>
          <w:i w:val="1"/>
          <w:iCs w:val="1"/>
          <w:color w:val="auto"/>
        </w:rPr>
        <w:t>Ownership Restrictions</w:t>
      </w:r>
      <w:r>
        <w:rPr>
          <w:rFonts w:ascii="Arial" w:cs="Arial" w:eastAsia="Arial" w:hAnsi="Arial"/>
          <w:sz w:val="18"/>
          <w:szCs w:val="18"/>
          <w:color w:val="auto"/>
        </w:rPr>
        <w:t>” and AAG’s Description of the Registrants’ Securities Registered Pursuant to Section 12 of the Securities Exchange Act of 1934, which is filed as Exhibit 4.1 hereto. These restrictions may adversely affect the ability of certain holders of AAG common stock and our other equity interests to vote such interests and adversely affect the ability of persons to acquire shares of AAG common stock and our other equity interests.</w:t>
      </w:r>
    </w:p>
    <w:p>
      <w:pPr>
        <w:spacing w:after="0" w:line="214" w:lineRule="exact"/>
        <w:rPr>
          <w:sz w:val="20"/>
          <w:szCs w:val="20"/>
          <w:color w:val="auto"/>
        </w:rPr>
      </w:pPr>
    </w:p>
    <w:p>
      <w:pPr>
        <w:ind w:left="260"/>
        <w:spacing w:after="0" w:line="287" w:lineRule="auto"/>
        <w:rPr>
          <w:sz w:val="20"/>
          <w:szCs w:val="20"/>
          <w:color w:val="auto"/>
        </w:rPr>
      </w:pPr>
      <w:r>
        <w:rPr>
          <w:rFonts w:ascii="Arial" w:cs="Arial" w:eastAsia="Arial" w:hAnsi="Arial"/>
          <w:sz w:val="18"/>
          <w:szCs w:val="18"/>
          <w:b w:val="1"/>
          <w:bCs w:val="1"/>
          <w:i w:val="1"/>
          <w:iCs w:val="1"/>
          <w:color w:val="auto"/>
        </w:rPr>
        <w:t>Certain provisions of AAG’s Certificate of Incorporation and Bylaws make it difficult for stockholders to change the composition of our Board of Directors and may discourage takeover attempts that some of our stockholders might consider beneficial.</w:t>
      </w:r>
    </w:p>
    <w:p>
      <w:pPr>
        <w:spacing w:after="0" w:line="40" w:lineRule="exact"/>
        <w:rPr>
          <w:sz w:val="20"/>
          <w:szCs w:val="20"/>
          <w:color w:val="auto"/>
        </w:rPr>
      </w:pPr>
    </w:p>
    <w:p>
      <w:pPr>
        <w:jc w:val="both"/>
        <w:ind w:firstLine="216"/>
        <w:spacing w:after="0" w:line="256" w:lineRule="auto"/>
        <w:rPr>
          <w:sz w:val="20"/>
          <w:szCs w:val="20"/>
          <w:color w:val="auto"/>
        </w:rPr>
      </w:pPr>
      <w:r>
        <w:rPr>
          <w:rFonts w:ascii="Arial" w:cs="Arial" w:eastAsia="Arial" w:hAnsi="Arial"/>
          <w:sz w:val="18"/>
          <w:szCs w:val="18"/>
          <w:color w:val="auto"/>
        </w:rPr>
        <w:t>Certain provisions of our Certificate of Incorporation and Bylaws, as currently in effect, may have the effect of delaying or preventing changes in control if our Board of Directors determines that such changes in control are not in our best interest and the best interest of our stockholders. These provisions include, among other things, the following:</w:t>
      </w:r>
    </w:p>
    <w:p>
      <w:pPr>
        <w:spacing w:after="0" w:line="148" w:lineRule="exact"/>
        <w:rPr>
          <w:sz w:val="20"/>
          <w:szCs w:val="20"/>
          <w:color w:val="auto"/>
        </w:rPr>
      </w:pPr>
    </w:p>
    <w:p>
      <w:pPr>
        <w:ind w:left="1300" w:hanging="644"/>
        <w:spacing w:after="0"/>
        <w:tabs>
          <w:tab w:leader="none" w:pos="1300" w:val="left"/>
        </w:tabs>
        <w:numPr>
          <w:ilvl w:val="0"/>
          <w:numId w:val="12"/>
        </w:numPr>
        <w:rPr>
          <w:rFonts w:ascii="Arial" w:cs="Arial" w:eastAsia="Arial" w:hAnsi="Arial"/>
          <w:sz w:val="18"/>
          <w:szCs w:val="18"/>
          <w:color w:val="auto"/>
        </w:rPr>
      </w:pPr>
      <w:r>
        <w:rPr>
          <w:rFonts w:ascii="Arial" w:cs="Arial" w:eastAsia="Arial" w:hAnsi="Arial"/>
          <w:sz w:val="18"/>
          <w:szCs w:val="18"/>
          <w:color w:val="auto"/>
        </w:rPr>
        <w:t>advance notice procedures for stockholder proposals to be considered at stockholders’ meetings;</w:t>
      </w:r>
    </w:p>
    <w:p>
      <w:pPr>
        <w:spacing w:after="0" w:line="171" w:lineRule="exact"/>
        <w:rPr>
          <w:rFonts w:ascii="Arial" w:cs="Arial" w:eastAsia="Arial" w:hAnsi="Arial"/>
          <w:sz w:val="18"/>
          <w:szCs w:val="18"/>
          <w:color w:val="auto"/>
        </w:rPr>
      </w:pPr>
    </w:p>
    <w:p>
      <w:pPr>
        <w:ind w:left="1300" w:hanging="644"/>
        <w:spacing w:after="0"/>
        <w:tabs>
          <w:tab w:leader="none" w:pos="1300" w:val="left"/>
        </w:tabs>
        <w:numPr>
          <w:ilvl w:val="0"/>
          <w:numId w:val="12"/>
        </w:numPr>
        <w:rPr>
          <w:rFonts w:ascii="Arial" w:cs="Arial" w:eastAsia="Arial" w:hAnsi="Arial"/>
          <w:sz w:val="18"/>
          <w:szCs w:val="18"/>
          <w:color w:val="auto"/>
        </w:rPr>
      </w:pPr>
      <w:r>
        <w:rPr>
          <w:rFonts w:ascii="Arial" w:cs="Arial" w:eastAsia="Arial" w:hAnsi="Arial"/>
          <w:sz w:val="18"/>
          <w:szCs w:val="18"/>
          <w:color w:val="auto"/>
        </w:rPr>
        <w:t>the ability of our Board of Directors to fill vacancies on the board;</w:t>
      </w:r>
    </w:p>
    <w:p>
      <w:pPr>
        <w:spacing w:after="0" w:line="171" w:lineRule="exact"/>
        <w:rPr>
          <w:rFonts w:ascii="Arial" w:cs="Arial" w:eastAsia="Arial" w:hAnsi="Arial"/>
          <w:sz w:val="18"/>
          <w:szCs w:val="18"/>
          <w:color w:val="auto"/>
        </w:rPr>
      </w:pPr>
    </w:p>
    <w:p>
      <w:pPr>
        <w:ind w:left="1300" w:hanging="644"/>
        <w:spacing w:after="0"/>
        <w:tabs>
          <w:tab w:leader="none" w:pos="1300" w:val="left"/>
        </w:tabs>
        <w:numPr>
          <w:ilvl w:val="0"/>
          <w:numId w:val="12"/>
        </w:numPr>
        <w:rPr>
          <w:rFonts w:ascii="Arial" w:cs="Arial" w:eastAsia="Arial" w:hAnsi="Arial"/>
          <w:sz w:val="18"/>
          <w:szCs w:val="18"/>
          <w:color w:val="auto"/>
        </w:rPr>
      </w:pPr>
      <w:r>
        <w:rPr>
          <w:rFonts w:ascii="Arial" w:cs="Arial" w:eastAsia="Arial" w:hAnsi="Arial"/>
          <w:sz w:val="18"/>
          <w:szCs w:val="18"/>
          <w:color w:val="auto"/>
        </w:rPr>
        <w:t>a prohibition against stockholders taking action by written consent;</w:t>
      </w:r>
    </w:p>
    <w:p>
      <w:pPr>
        <w:spacing w:after="0" w:line="171" w:lineRule="exact"/>
        <w:rPr>
          <w:rFonts w:ascii="Arial" w:cs="Arial" w:eastAsia="Arial" w:hAnsi="Arial"/>
          <w:sz w:val="18"/>
          <w:szCs w:val="18"/>
          <w:color w:val="auto"/>
        </w:rPr>
      </w:pPr>
    </w:p>
    <w:p>
      <w:pPr>
        <w:ind w:left="1300" w:hanging="644"/>
        <w:spacing w:after="0" w:line="262" w:lineRule="auto"/>
        <w:tabs>
          <w:tab w:leader="none" w:pos="1300" w:val="left"/>
        </w:tabs>
        <w:numPr>
          <w:ilvl w:val="0"/>
          <w:numId w:val="12"/>
        </w:numPr>
        <w:rPr>
          <w:rFonts w:ascii="Arial" w:cs="Arial" w:eastAsia="Arial" w:hAnsi="Arial"/>
          <w:sz w:val="18"/>
          <w:szCs w:val="18"/>
          <w:color w:val="auto"/>
        </w:rPr>
      </w:pPr>
      <w:r>
        <w:rPr>
          <w:rFonts w:ascii="Arial" w:cs="Arial" w:eastAsia="Arial" w:hAnsi="Arial"/>
          <w:sz w:val="18"/>
          <w:szCs w:val="18"/>
          <w:color w:val="auto"/>
        </w:rPr>
        <w:t>stockholders are restricted from calling a special meeting unless they hold at least 20% of our outstanding shares and follow the procedures provided for in the amended Bylaws;</w:t>
      </w:r>
    </w:p>
    <w:p>
      <w:pPr>
        <w:spacing w:after="0" w:line="142" w:lineRule="exact"/>
        <w:rPr>
          <w:rFonts w:ascii="Arial" w:cs="Arial" w:eastAsia="Arial" w:hAnsi="Arial"/>
          <w:sz w:val="18"/>
          <w:szCs w:val="18"/>
          <w:color w:val="auto"/>
        </w:rPr>
      </w:pPr>
    </w:p>
    <w:p>
      <w:pPr>
        <w:ind w:left="1300" w:hanging="644"/>
        <w:spacing w:after="0" w:line="262" w:lineRule="auto"/>
        <w:tabs>
          <w:tab w:leader="none" w:pos="1300" w:val="left"/>
        </w:tabs>
        <w:numPr>
          <w:ilvl w:val="0"/>
          <w:numId w:val="12"/>
        </w:numPr>
        <w:rPr>
          <w:rFonts w:ascii="Arial" w:cs="Arial" w:eastAsia="Arial" w:hAnsi="Arial"/>
          <w:sz w:val="18"/>
          <w:szCs w:val="18"/>
          <w:color w:val="auto"/>
        </w:rPr>
      </w:pPr>
      <w:r>
        <w:rPr>
          <w:rFonts w:ascii="Arial" w:cs="Arial" w:eastAsia="Arial" w:hAnsi="Arial"/>
          <w:sz w:val="18"/>
          <w:szCs w:val="18"/>
          <w:color w:val="auto"/>
        </w:rPr>
        <w:t>a requirement that holders of at least 80% of the voting power of the shares entitled to vote in the election of directors approve any amendment of our Bylaws submitted to stockholders for approval; and</w:t>
      </w:r>
    </w:p>
    <w:p>
      <w:pPr>
        <w:spacing w:after="0" w:line="142" w:lineRule="exact"/>
        <w:rPr>
          <w:rFonts w:ascii="Arial" w:cs="Arial" w:eastAsia="Arial" w:hAnsi="Arial"/>
          <w:sz w:val="18"/>
          <w:szCs w:val="18"/>
          <w:color w:val="auto"/>
        </w:rPr>
      </w:pPr>
    </w:p>
    <w:p>
      <w:pPr>
        <w:ind w:left="1300" w:hanging="644"/>
        <w:spacing w:after="0"/>
        <w:tabs>
          <w:tab w:leader="none" w:pos="1300" w:val="left"/>
        </w:tabs>
        <w:numPr>
          <w:ilvl w:val="0"/>
          <w:numId w:val="12"/>
        </w:numPr>
        <w:rPr>
          <w:rFonts w:ascii="Arial" w:cs="Arial" w:eastAsia="Arial" w:hAnsi="Arial"/>
          <w:sz w:val="18"/>
          <w:szCs w:val="18"/>
          <w:color w:val="auto"/>
        </w:rPr>
      </w:pPr>
      <w:r>
        <w:rPr>
          <w:rFonts w:ascii="Arial" w:cs="Arial" w:eastAsia="Arial" w:hAnsi="Arial"/>
          <w:sz w:val="18"/>
          <w:szCs w:val="18"/>
          <w:color w:val="auto"/>
        </w:rPr>
        <w:t>super-majority voting requirements to modify or amend specified provisions of our Certificate of Incorporation.</w:t>
      </w:r>
    </w:p>
    <w:p>
      <w:pPr>
        <w:spacing w:after="0" w:line="171" w:lineRule="exact"/>
        <w:rPr>
          <w:sz w:val="20"/>
          <w:szCs w:val="20"/>
          <w:color w:val="auto"/>
        </w:rPr>
      </w:pPr>
    </w:p>
    <w:p>
      <w:pPr>
        <w:jc w:val="both"/>
        <w:ind w:firstLine="216"/>
        <w:spacing w:after="0" w:line="252" w:lineRule="auto"/>
        <w:rPr>
          <w:sz w:val="20"/>
          <w:szCs w:val="20"/>
          <w:color w:val="auto"/>
        </w:rPr>
      </w:pPr>
      <w:r>
        <w:rPr>
          <w:rFonts w:ascii="Arial" w:cs="Arial" w:eastAsia="Arial" w:hAnsi="Arial"/>
          <w:sz w:val="18"/>
          <w:szCs w:val="18"/>
          <w:color w:val="auto"/>
        </w:rPr>
        <w:t>These provisions are not intended to prevent a takeover, but are intended to protect and maximize the value of the interests of our stockholders. While these provisions have the effect of encouraging persons seeking to acquire control of our company to negotiate with our Board of Directors, they could enable our Board of Directors to prevent a transaction that some, or a majority, of our stockholders might believe to be in their best interest and, in that case, may prevent or discourage attempts to remove and replace incumbent directors. In addition, we are subject to the provisions of Section 203 of the Delaware General Corporation Law, which prohibits business combinations with interested stockholders. Interested stockholders do not include stockholders whose acquisition of our securities is approved by the Board of Directors prior to the investment under Section 203.</w:t>
      </w:r>
    </w:p>
    <w:p>
      <w:pPr>
        <w:spacing w:after="0" w:line="20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35</w:t>
      </w:r>
    </w:p>
    <w:p>
      <w:pPr>
        <w:sectPr>
          <w:pgSz w:w="11900" w:h="16838" w:orient="portrait"/>
          <w:cols w:equalWidth="0" w:num="1">
            <w:col w:w="11420"/>
          </w:cols>
          <w:pgMar w:left="240" w:top="733" w:right="239" w:bottom="1440" w:gutter="0" w:footer="0" w:header="0"/>
        </w:sectPr>
      </w:pPr>
    </w:p>
    <w:bookmarkStart w:id="35" w:name="page36"/>
    <w:bookmarkEnd w:id="35"/>
    <w:p>
      <w:pPr>
        <w:spacing w:after="0"/>
        <w:rPr>
          <w:sz w:val="20"/>
          <w:szCs w:val="20"/>
          <w:color w:val="auto"/>
        </w:rPr>
      </w:pPr>
      <w:r>
        <w:rPr>
          <w:rFonts w:ascii="Arial" w:cs="Arial" w:eastAsia="Arial" w:hAnsi="Arial"/>
          <w:sz w:val="18"/>
          <w:szCs w:val="18"/>
          <w:b w:val="1"/>
          <w:bCs w:val="1"/>
          <w:color w:val="auto"/>
        </w:rPr>
        <w:t>ITEM 1B. UNRESOLVED STAFF COMMENTS</w:t>
      </w:r>
    </w:p>
    <w:p>
      <w:pPr>
        <w:spacing w:after="0" w:line="112" w:lineRule="exact"/>
        <w:rPr>
          <w:sz w:val="20"/>
          <w:szCs w:val="20"/>
          <w:color w:val="auto"/>
        </w:rPr>
      </w:pPr>
    </w:p>
    <w:p>
      <w:pPr>
        <w:ind w:firstLine="216"/>
        <w:spacing w:after="0" w:line="262" w:lineRule="auto"/>
        <w:rPr>
          <w:sz w:val="20"/>
          <w:szCs w:val="20"/>
          <w:color w:val="auto"/>
        </w:rPr>
      </w:pPr>
      <w:r>
        <w:rPr>
          <w:rFonts w:ascii="Arial" w:cs="Arial" w:eastAsia="Arial" w:hAnsi="Arial"/>
          <w:sz w:val="18"/>
          <w:szCs w:val="18"/>
          <w:color w:val="auto"/>
        </w:rPr>
        <w:t>We had no unresolved Securities and Exchange Commission staff comments that were issued 180 days or more preceding December 31, 2019.</w:t>
      </w:r>
    </w:p>
    <w:p>
      <w:pPr>
        <w:spacing w:after="0" w:line="19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36</w:t>
      </w:r>
    </w:p>
    <w:p>
      <w:pPr>
        <w:sectPr>
          <w:pgSz w:w="11900" w:h="16838" w:orient="portrait"/>
          <w:cols w:equalWidth="0" w:num="1">
            <w:col w:w="11420"/>
          </w:cols>
          <w:pgMar w:left="240" w:top="792" w:right="239" w:bottom="1440" w:gutter="0" w:footer="0" w:header="0"/>
        </w:sectPr>
      </w:pPr>
    </w:p>
    <w:bookmarkStart w:id="36" w:name="page37"/>
    <w:bookmarkEnd w:id="36"/>
    <w:p>
      <w:pPr>
        <w:spacing w:after="0"/>
        <w:rPr>
          <w:sz w:val="20"/>
          <w:szCs w:val="20"/>
          <w:color w:val="auto"/>
        </w:rPr>
      </w:pPr>
      <w:r>
        <w:rPr>
          <w:rFonts w:ascii="Arial" w:cs="Arial" w:eastAsia="Arial" w:hAnsi="Arial"/>
          <w:sz w:val="18"/>
          <w:szCs w:val="18"/>
          <w:b w:val="1"/>
          <w:bCs w:val="1"/>
          <w:color w:val="auto"/>
        </w:rPr>
        <w:t>ITEM 2. PROPERTIES</w:t>
      </w:r>
    </w:p>
    <w:p>
      <w:pPr>
        <w:spacing w:after="0" w:line="9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Flight Equipment and Fleet Renewal</w:t>
      </w:r>
    </w:p>
    <w:p>
      <w:pPr>
        <w:spacing w:after="0" w:line="112" w:lineRule="exact"/>
        <w:rPr>
          <w:sz w:val="20"/>
          <w:szCs w:val="20"/>
          <w:color w:val="auto"/>
        </w:rPr>
      </w:pPr>
    </w:p>
    <w:p>
      <w:pPr>
        <w:jc w:val="both"/>
        <w:ind w:firstLine="216"/>
        <w:spacing w:after="0" w:line="253" w:lineRule="auto"/>
        <w:rPr>
          <w:sz w:val="20"/>
          <w:szCs w:val="20"/>
          <w:color w:val="auto"/>
        </w:rPr>
      </w:pPr>
      <w:r>
        <w:rPr>
          <w:rFonts w:ascii="Arial" w:cs="Arial" w:eastAsia="Arial" w:hAnsi="Arial"/>
          <w:sz w:val="18"/>
          <w:szCs w:val="18"/>
          <w:color w:val="auto"/>
        </w:rPr>
        <w:t>As of December 31, 2019, American operated a mainline fleet of 942 aircraft. In 2019, we continued our extensive fleet renewal program, which has provided us with the youngest fleet of the major U.S. network carriers. During 2019, American took delivery of 24 mainline aircraft and retired 38 mainline aircraft. We are supported by our wholly-owned and third-party regional carriers that fly under capacity purchase agreements operating as American Eagle. As of December 31, 2019, American Eagle operated 605 regional aircraft. During 2019, we increased our regional fleet by a net of ten aircraft, including the addition of 46 regional aircraft and retirement of 36 regional aircraft.</w:t>
      </w:r>
    </w:p>
    <w:p>
      <w:pPr>
        <w:spacing w:after="0" w:line="211" w:lineRule="exact"/>
        <w:rPr>
          <w:sz w:val="20"/>
          <w:szCs w:val="20"/>
          <w:color w:val="auto"/>
        </w:rPr>
      </w:pPr>
    </w:p>
    <w:p>
      <w:pPr>
        <w:ind w:left="220"/>
        <w:spacing w:after="0"/>
        <w:rPr>
          <w:sz w:val="20"/>
          <w:szCs w:val="20"/>
          <w:color w:val="auto"/>
        </w:rPr>
      </w:pPr>
      <w:r>
        <w:rPr>
          <w:rFonts w:ascii="Arial" w:cs="Arial" w:eastAsia="Arial" w:hAnsi="Arial"/>
          <w:sz w:val="18"/>
          <w:szCs w:val="18"/>
          <w:b w:val="1"/>
          <w:bCs w:val="1"/>
          <w:i w:val="1"/>
          <w:iCs w:val="1"/>
          <w:color w:val="auto"/>
        </w:rPr>
        <w:t>Mainline</w:t>
      </w:r>
    </w:p>
    <w:p>
      <w:pPr>
        <w:spacing w:after="0" w:line="112" w:lineRule="exact"/>
        <w:rPr>
          <w:sz w:val="20"/>
          <w:szCs w:val="20"/>
          <w:color w:val="auto"/>
        </w:rPr>
      </w:pPr>
    </w:p>
    <w:p>
      <w:pPr>
        <w:ind w:left="220"/>
        <w:spacing w:after="0"/>
        <w:rPr>
          <w:sz w:val="20"/>
          <w:szCs w:val="20"/>
          <w:color w:val="auto"/>
        </w:rPr>
      </w:pPr>
      <w:r>
        <w:rPr>
          <w:rFonts w:ascii="Arial" w:cs="Arial" w:eastAsia="Arial" w:hAnsi="Arial"/>
          <w:sz w:val="18"/>
          <w:szCs w:val="18"/>
          <w:color w:val="auto"/>
        </w:rPr>
        <w:t>As of December 31, 2019, American’s mainline fleet consisted of the following aircraft:</w:t>
      </w:r>
    </w:p>
    <w:p>
      <w:pPr>
        <w:spacing w:after="0" w:line="321"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6400" w:type="dxa"/>
            <w:vAlign w:val="bottom"/>
          </w:tcPr>
          <w:p>
            <w:pPr>
              <w:spacing w:after="0"/>
              <w:rPr>
                <w:sz w:val="14"/>
                <w:szCs w:val="14"/>
                <w:color w:val="auto"/>
              </w:rPr>
            </w:pPr>
          </w:p>
        </w:tc>
        <w:tc>
          <w:tcPr>
            <w:tcW w:w="1060" w:type="dxa"/>
            <w:vAlign w:val="bottom"/>
            <w:gridSpan w:val="2"/>
          </w:tcPr>
          <w:p>
            <w:pPr>
              <w:jc w:val="center"/>
              <w:ind w:right="140"/>
              <w:spacing w:after="0"/>
              <w:rPr>
                <w:sz w:val="20"/>
                <w:szCs w:val="20"/>
                <w:color w:val="auto"/>
              </w:rPr>
            </w:pPr>
            <w:r>
              <w:rPr>
                <w:rFonts w:ascii="Arial" w:cs="Arial" w:eastAsia="Arial" w:hAnsi="Arial"/>
                <w:sz w:val="14"/>
                <w:szCs w:val="14"/>
                <w:b w:val="1"/>
                <w:bCs w:val="1"/>
                <w:color w:val="auto"/>
              </w:rPr>
              <w:t>Average</w:t>
            </w:r>
          </w:p>
        </w:tc>
        <w:tc>
          <w:tcPr>
            <w:tcW w:w="102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rPr>
              <w:t>Average</w:t>
            </w:r>
          </w:p>
        </w:tc>
        <w:tc>
          <w:tcPr>
            <w:tcW w:w="9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00" w:type="dxa"/>
            <w:vAlign w:val="bottom"/>
          </w:tcPr>
          <w:p>
            <w:pPr>
              <w:spacing w:after="0"/>
              <w:rPr>
                <w:sz w:val="14"/>
                <w:szCs w:val="14"/>
                <w:color w:val="auto"/>
              </w:rPr>
            </w:pPr>
          </w:p>
        </w:tc>
      </w:tr>
      <w:tr>
        <w:trPr>
          <w:trHeight w:val="162"/>
        </w:trPr>
        <w:tc>
          <w:tcPr>
            <w:tcW w:w="6400" w:type="dxa"/>
            <w:vAlign w:val="bottom"/>
          </w:tcPr>
          <w:p>
            <w:pPr>
              <w:spacing w:after="0"/>
              <w:rPr>
                <w:sz w:val="14"/>
                <w:szCs w:val="14"/>
                <w:color w:val="auto"/>
              </w:rPr>
            </w:pPr>
          </w:p>
        </w:tc>
        <w:tc>
          <w:tcPr>
            <w:tcW w:w="106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rPr>
              <w:t>Seating</w:t>
            </w:r>
          </w:p>
        </w:tc>
        <w:tc>
          <w:tcPr>
            <w:tcW w:w="102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rPr>
              <w:t>Age</w:t>
            </w:r>
          </w:p>
        </w:tc>
        <w:tc>
          <w:tcPr>
            <w:tcW w:w="9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00" w:type="dxa"/>
            <w:vAlign w:val="bottom"/>
          </w:tcPr>
          <w:p>
            <w:pPr>
              <w:spacing w:after="0"/>
              <w:rPr>
                <w:sz w:val="14"/>
                <w:szCs w:val="14"/>
                <w:color w:val="auto"/>
              </w:rPr>
            </w:pPr>
          </w:p>
        </w:tc>
      </w:tr>
      <w:tr>
        <w:trPr>
          <w:trHeight w:val="196"/>
        </w:trPr>
        <w:tc>
          <w:tcPr>
            <w:tcW w:w="6400" w:type="dxa"/>
            <w:vAlign w:val="bottom"/>
          </w:tcPr>
          <w:p>
            <w:pPr>
              <w:spacing w:after="0"/>
              <w:rPr>
                <w:sz w:val="17"/>
                <w:szCs w:val="17"/>
                <w:color w:val="auto"/>
              </w:rPr>
            </w:pPr>
          </w:p>
        </w:tc>
        <w:tc>
          <w:tcPr>
            <w:tcW w:w="106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rPr>
              <w:t>Capacity</w:t>
            </w:r>
          </w:p>
        </w:tc>
        <w:tc>
          <w:tcPr>
            <w:tcW w:w="102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rPr>
              <w:t>(Years)</w:t>
            </w:r>
          </w:p>
        </w:tc>
        <w:tc>
          <w:tcPr>
            <w:tcW w:w="1020" w:type="dxa"/>
            <w:vAlign w:val="bottom"/>
            <w:gridSpan w:val="2"/>
          </w:tcPr>
          <w:p>
            <w:pPr>
              <w:ind w:left="220"/>
              <w:spacing w:after="0"/>
              <w:rPr>
                <w:sz w:val="20"/>
                <w:szCs w:val="20"/>
                <w:color w:val="auto"/>
              </w:rPr>
            </w:pPr>
            <w:r>
              <w:rPr>
                <w:rFonts w:ascii="Arial" w:cs="Arial" w:eastAsia="Arial" w:hAnsi="Arial"/>
                <w:sz w:val="14"/>
                <w:szCs w:val="14"/>
                <w:b w:val="1"/>
                <w:bCs w:val="1"/>
                <w:color w:val="auto"/>
              </w:rPr>
              <w:t>Owned</w:t>
            </w:r>
          </w:p>
        </w:tc>
        <w:tc>
          <w:tcPr>
            <w:tcW w:w="1020" w:type="dxa"/>
            <w:vAlign w:val="bottom"/>
            <w:gridSpan w:val="2"/>
          </w:tcPr>
          <w:p>
            <w:pPr>
              <w:ind w:left="200"/>
              <w:spacing w:after="0"/>
              <w:rPr>
                <w:sz w:val="20"/>
                <w:szCs w:val="20"/>
                <w:color w:val="auto"/>
              </w:rPr>
            </w:pPr>
            <w:r>
              <w:rPr>
                <w:rFonts w:ascii="Arial" w:cs="Arial" w:eastAsia="Arial" w:hAnsi="Arial"/>
                <w:sz w:val="14"/>
                <w:szCs w:val="14"/>
                <w:b w:val="1"/>
                <w:bCs w:val="1"/>
                <w:color w:val="auto"/>
              </w:rPr>
              <w:t>Leased</w:t>
            </w:r>
          </w:p>
        </w:tc>
        <w:tc>
          <w:tcPr>
            <w:tcW w:w="900" w:type="dxa"/>
            <w:vAlign w:val="bottom"/>
          </w:tcPr>
          <w:p>
            <w:pPr>
              <w:jc w:val="right"/>
              <w:ind w:right="191"/>
              <w:spacing w:after="0"/>
              <w:rPr>
                <w:sz w:val="20"/>
                <w:szCs w:val="20"/>
                <w:color w:val="auto"/>
              </w:rPr>
            </w:pPr>
            <w:r>
              <w:rPr>
                <w:rFonts w:ascii="Arial" w:cs="Arial" w:eastAsia="Arial" w:hAnsi="Arial"/>
                <w:sz w:val="14"/>
                <w:szCs w:val="14"/>
                <w:b w:val="1"/>
                <w:bCs w:val="1"/>
                <w:color w:val="auto"/>
              </w:rPr>
              <w:t>Total</w:t>
            </w:r>
          </w:p>
        </w:tc>
      </w:tr>
      <w:tr>
        <w:trPr>
          <w:trHeight w:val="256"/>
        </w:trPr>
        <w:tc>
          <w:tcPr>
            <w:tcW w:w="6400" w:type="dxa"/>
            <w:vAlign w:val="bottom"/>
            <w:tcBorders>
              <w:top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Airbus A319</w:t>
            </w:r>
          </w:p>
        </w:tc>
        <w:tc>
          <w:tcPr>
            <w:tcW w:w="940" w:type="dxa"/>
            <w:vAlign w:val="bottom"/>
            <w:tcBorders>
              <w:top w:val="single" w:sz="8" w:color="auto"/>
            </w:tcBorders>
            <w:shd w:val="clear" w:color="auto" w:fill="CCEEFF"/>
          </w:tcPr>
          <w:p>
            <w:pPr>
              <w:jc w:val="right"/>
              <w:ind w:right="33"/>
              <w:spacing w:after="0"/>
              <w:rPr>
                <w:sz w:val="20"/>
                <w:szCs w:val="20"/>
                <w:color w:val="auto"/>
              </w:rPr>
            </w:pPr>
            <w:r>
              <w:rPr>
                <w:rFonts w:ascii="Arial" w:cs="Arial" w:eastAsia="Arial" w:hAnsi="Arial"/>
                <w:sz w:val="18"/>
                <w:szCs w:val="18"/>
                <w:color w:val="auto"/>
              </w:rPr>
              <w:t>128</w:t>
            </w:r>
          </w:p>
        </w:tc>
        <w:tc>
          <w:tcPr>
            <w:tcW w:w="120" w:type="dxa"/>
            <w:vAlign w:val="bottom"/>
            <w:tcBorders>
              <w:top w:val="single" w:sz="8" w:color="CCEEFF"/>
            </w:tcBorders>
            <w:shd w:val="clear" w:color="auto" w:fill="CCEEFF"/>
          </w:tcPr>
          <w:p>
            <w:pPr>
              <w:spacing w:after="0"/>
              <w:rPr>
                <w:sz w:val="22"/>
                <w:szCs w:val="22"/>
                <w:color w:val="auto"/>
              </w:rPr>
            </w:pPr>
          </w:p>
        </w:tc>
        <w:tc>
          <w:tcPr>
            <w:tcW w:w="920" w:type="dxa"/>
            <w:vAlign w:val="bottom"/>
            <w:tcBorders>
              <w:top w:val="single" w:sz="8" w:color="auto"/>
            </w:tcBorders>
            <w:shd w:val="clear" w:color="auto" w:fill="CCEEFF"/>
          </w:tcPr>
          <w:p>
            <w:pPr>
              <w:jc w:val="right"/>
              <w:ind w:right="13"/>
              <w:spacing w:after="0"/>
              <w:rPr>
                <w:sz w:val="20"/>
                <w:szCs w:val="20"/>
                <w:color w:val="auto"/>
              </w:rPr>
            </w:pPr>
            <w:r>
              <w:rPr>
                <w:rFonts w:ascii="Arial" w:cs="Arial" w:eastAsia="Arial" w:hAnsi="Arial"/>
                <w:sz w:val="18"/>
                <w:szCs w:val="18"/>
                <w:color w:val="auto"/>
              </w:rPr>
              <w:t>15.7</w:t>
            </w:r>
          </w:p>
        </w:tc>
        <w:tc>
          <w:tcPr>
            <w:tcW w:w="100" w:type="dxa"/>
            <w:vAlign w:val="bottom"/>
            <w:tcBorders>
              <w:top w:val="single" w:sz="8" w:color="CCEEFF"/>
            </w:tcBorders>
            <w:shd w:val="clear" w:color="auto" w:fill="CCEEFF"/>
          </w:tcPr>
          <w:p>
            <w:pPr>
              <w:spacing w:after="0"/>
              <w:rPr>
                <w:sz w:val="22"/>
                <w:szCs w:val="22"/>
                <w:color w:val="auto"/>
              </w:rPr>
            </w:pPr>
          </w:p>
        </w:tc>
        <w:tc>
          <w:tcPr>
            <w:tcW w:w="920" w:type="dxa"/>
            <w:vAlign w:val="bottom"/>
            <w:tcBorders>
              <w:top w:val="single" w:sz="8" w:color="auto"/>
            </w:tcBorders>
            <w:shd w:val="clear" w:color="auto" w:fill="CCEEFF"/>
          </w:tcPr>
          <w:p>
            <w:pPr>
              <w:jc w:val="right"/>
              <w:ind w:right="31"/>
              <w:spacing w:after="0"/>
              <w:rPr>
                <w:sz w:val="20"/>
                <w:szCs w:val="20"/>
                <w:color w:val="auto"/>
              </w:rPr>
            </w:pPr>
            <w:r>
              <w:rPr>
                <w:rFonts w:ascii="Arial" w:cs="Arial" w:eastAsia="Arial" w:hAnsi="Arial"/>
                <w:sz w:val="18"/>
                <w:szCs w:val="18"/>
                <w:color w:val="auto"/>
              </w:rPr>
              <w:t>21</w:t>
            </w:r>
          </w:p>
        </w:tc>
        <w:tc>
          <w:tcPr>
            <w:tcW w:w="100" w:type="dxa"/>
            <w:vAlign w:val="bottom"/>
            <w:tcBorders>
              <w:top w:val="single" w:sz="8" w:color="CCEEFF"/>
            </w:tcBorders>
            <w:shd w:val="clear" w:color="auto" w:fill="CCEEFF"/>
          </w:tcPr>
          <w:p>
            <w:pPr>
              <w:spacing w:after="0"/>
              <w:rPr>
                <w:sz w:val="22"/>
                <w:szCs w:val="22"/>
                <w:color w:val="auto"/>
              </w:rPr>
            </w:pPr>
          </w:p>
        </w:tc>
        <w:tc>
          <w:tcPr>
            <w:tcW w:w="900" w:type="dxa"/>
            <w:vAlign w:val="bottom"/>
            <w:tcBorders>
              <w:top w:val="single" w:sz="8" w:color="auto"/>
            </w:tcBorders>
            <w:shd w:val="clear" w:color="auto" w:fill="CCEEFF"/>
          </w:tcPr>
          <w:p>
            <w:pPr>
              <w:jc w:val="right"/>
              <w:ind w:right="11"/>
              <w:spacing w:after="0"/>
              <w:rPr>
                <w:sz w:val="20"/>
                <w:szCs w:val="20"/>
                <w:color w:val="auto"/>
              </w:rPr>
            </w:pPr>
            <w:r>
              <w:rPr>
                <w:rFonts w:ascii="Arial" w:cs="Arial" w:eastAsia="Arial" w:hAnsi="Arial"/>
                <w:sz w:val="18"/>
                <w:szCs w:val="18"/>
                <w:color w:val="auto"/>
              </w:rPr>
              <w:t>111</w:t>
            </w:r>
          </w:p>
        </w:tc>
        <w:tc>
          <w:tcPr>
            <w:tcW w:w="120" w:type="dxa"/>
            <w:vAlign w:val="bottom"/>
            <w:tcBorders>
              <w:top w:val="single" w:sz="8" w:color="CCEEFF"/>
            </w:tcBorders>
            <w:shd w:val="clear" w:color="auto" w:fill="CCEEFF"/>
          </w:tcPr>
          <w:p>
            <w:pPr>
              <w:spacing w:after="0"/>
              <w:rPr>
                <w:sz w:val="22"/>
                <w:szCs w:val="22"/>
                <w:color w:val="auto"/>
              </w:rPr>
            </w:pPr>
          </w:p>
        </w:tc>
        <w:tc>
          <w:tcPr>
            <w:tcW w:w="900" w:type="dxa"/>
            <w:vAlign w:val="bottom"/>
            <w:tcBorders>
              <w:top w:val="single" w:sz="8" w:color="auto"/>
            </w:tcBorders>
            <w:shd w:val="clear" w:color="auto" w:fill="CCEEFF"/>
          </w:tcPr>
          <w:p>
            <w:pPr>
              <w:jc w:val="right"/>
              <w:ind w:right="11"/>
              <w:spacing w:after="0"/>
              <w:rPr>
                <w:sz w:val="20"/>
                <w:szCs w:val="20"/>
                <w:color w:val="auto"/>
              </w:rPr>
            </w:pPr>
            <w:r>
              <w:rPr>
                <w:rFonts w:ascii="Arial" w:cs="Arial" w:eastAsia="Arial" w:hAnsi="Arial"/>
                <w:sz w:val="18"/>
                <w:szCs w:val="18"/>
                <w:color w:val="auto"/>
              </w:rPr>
              <w:t>132</w:t>
            </w:r>
          </w:p>
        </w:tc>
      </w:tr>
      <w:tr>
        <w:trPr>
          <w:trHeight w:val="263"/>
        </w:trPr>
        <w:tc>
          <w:tcPr>
            <w:tcW w:w="6400" w:type="dxa"/>
            <w:vAlign w:val="bottom"/>
          </w:tcPr>
          <w:p>
            <w:pPr>
              <w:ind w:left="40"/>
              <w:spacing w:after="0"/>
              <w:rPr>
                <w:sz w:val="20"/>
                <w:szCs w:val="20"/>
                <w:color w:val="auto"/>
              </w:rPr>
            </w:pPr>
            <w:r>
              <w:rPr>
                <w:rFonts w:ascii="Arial" w:cs="Arial" w:eastAsia="Arial" w:hAnsi="Arial"/>
                <w:sz w:val="18"/>
                <w:szCs w:val="18"/>
                <w:color w:val="auto"/>
              </w:rPr>
              <w:t>Airbus A320</w:t>
            </w:r>
          </w:p>
        </w:tc>
        <w:tc>
          <w:tcPr>
            <w:tcW w:w="940" w:type="dxa"/>
            <w:vAlign w:val="bottom"/>
          </w:tcPr>
          <w:p>
            <w:pPr>
              <w:jc w:val="right"/>
              <w:ind w:right="33"/>
              <w:spacing w:after="0"/>
              <w:rPr>
                <w:sz w:val="20"/>
                <w:szCs w:val="20"/>
                <w:color w:val="auto"/>
              </w:rPr>
            </w:pPr>
            <w:r>
              <w:rPr>
                <w:rFonts w:ascii="Arial" w:cs="Arial" w:eastAsia="Arial" w:hAnsi="Arial"/>
                <w:sz w:val="18"/>
                <w:szCs w:val="18"/>
                <w:color w:val="auto"/>
              </w:rPr>
              <w:t>150</w:t>
            </w:r>
          </w:p>
        </w:tc>
        <w:tc>
          <w:tcPr>
            <w:tcW w:w="120" w:type="dxa"/>
            <w:vAlign w:val="bottom"/>
          </w:tcPr>
          <w:p>
            <w:pPr>
              <w:spacing w:after="0"/>
              <w:rPr>
                <w:sz w:val="22"/>
                <w:szCs w:val="22"/>
                <w:color w:val="auto"/>
              </w:rPr>
            </w:pPr>
          </w:p>
        </w:tc>
        <w:tc>
          <w:tcPr>
            <w:tcW w:w="920" w:type="dxa"/>
            <w:vAlign w:val="bottom"/>
          </w:tcPr>
          <w:p>
            <w:pPr>
              <w:jc w:val="right"/>
              <w:ind w:right="13"/>
              <w:spacing w:after="0"/>
              <w:rPr>
                <w:sz w:val="20"/>
                <w:szCs w:val="20"/>
                <w:color w:val="auto"/>
              </w:rPr>
            </w:pPr>
            <w:r>
              <w:rPr>
                <w:rFonts w:ascii="Arial" w:cs="Arial" w:eastAsia="Arial" w:hAnsi="Arial"/>
                <w:sz w:val="18"/>
                <w:szCs w:val="18"/>
                <w:color w:val="auto"/>
              </w:rPr>
              <w:t>18.7</w:t>
            </w:r>
          </w:p>
        </w:tc>
        <w:tc>
          <w:tcPr>
            <w:tcW w:w="100" w:type="dxa"/>
            <w:vAlign w:val="bottom"/>
          </w:tcPr>
          <w:p>
            <w:pPr>
              <w:spacing w:after="0"/>
              <w:rPr>
                <w:sz w:val="22"/>
                <w:szCs w:val="22"/>
                <w:color w:val="auto"/>
              </w:rPr>
            </w:pPr>
          </w:p>
        </w:tc>
        <w:tc>
          <w:tcPr>
            <w:tcW w:w="920" w:type="dxa"/>
            <w:vAlign w:val="bottom"/>
          </w:tcPr>
          <w:p>
            <w:pPr>
              <w:jc w:val="right"/>
              <w:ind w:right="31"/>
              <w:spacing w:after="0"/>
              <w:rPr>
                <w:sz w:val="20"/>
                <w:szCs w:val="20"/>
                <w:color w:val="auto"/>
              </w:rPr>
            </w:pPr>
            <w:r>
              <w:rPr>
                <w:rFonts w:ascii="Arial" w:cs="Arial" w:eastAsia="Arial" w:hAnsi="Arial"/>
                <w:sz w:val="18"/>
                <w:szCs w:val="18"/>
                <w:color w:val="auto"/>
              </w:rPr>
              <w:t>10</w:t>
            </w:r>
          </w:p>
        </w:tc>
        <w:tc>
          <w:tcPr>
            <w:tcW w:w="100" w:type="dxa"/>
            <w:vAlign w:val="bottom"/>
          </w:tcPr>
          <w:p>
            <w:pPr>
              <w:spacing w:after="0"/>
              <w:rPr>
                <w:sz w:val="22"/>
                <w:szCs w:val="22"/>
                <w:color w:val="auto"/>
              </w:rPr>
            </w:pPr>
          </w:p>
        </w:tc>
        <w:tc>
          <w:tcPr>
            <w:tcW w:w="900" w:type="dxa"/>
            <w:vAlign w:val="bottom"/>
          </w:tcPr>
          <w:p>
            <w:pPr>
              <w:jc w:val="right"/>
              <w:ind w:right="11"/>
              <w:spacing w:after="0"/>
              <w:rPr>
                <w:sz w:val="20"/>
                <w:szCs w:val="20"/>
                <w:color w:val="auto"/>
              </w:rPr>
            </w:pPr>
            <w:r>
              <w:rPr>
                <w:rFonts w:ascii="Arial" w:cs="Arial" w:eastAsia="Arial" w:hAnsi="Arial"/>
                <w:sz w:val="18"/>
                <w:szCs w:val="18"/>
                <w:color w:val="auto"/>
              </w:rPr>
              <w:t>38</w:t>
            </w:r>
          </w:p>
        </w:tc>
        <w:tc>
          <w:tcPr>
            <w:tcW w:w="120" w:type="dxa"/>
            <w:vAlign w:val="bottom"/>
          </w:tcPr>
          <w:p>
            <w:pPr>
              <w:spacing w:after="0"/>
              <w:rPr>
                <w:sz w:val="22"/>
                <w:szCs w:val="22"/>
                <w:color w:val="auto"/>
              </w:rPr>
            </w:pPr>
          </w:p>
        </w:tc>
        <w:tc>
          <w:tcPr>
            <w:tcW w:w="900" w:type="dxa"/>
            <w:vAlign w:val="bottom"/>
          </w:tcPr>
          <w:p>
            <w:pPr>
              <w:jc w:val="right"/>
              <w:ind w:right="11"/>
              <w:spacing w:after="0"/>
              <w:rPr>
                <w:sz w:val="20"/>
                <w:szCs w:val="20"/>
                <w:color w:val="auto"/>
              </w:rPr>
            </w:pPr>
            <w:r>
              <w:rPr>
                <w:rFonts w:ascii="Arial" w:cs="Arial" w:eastAsia="Arial" w:hAnsi="Arial"/>
                <w:sz w:val="18"/>
                <w:szCs w:val="18"/>
                <w:color w:val="auto"/>
              </w:rPr>
              <w:t>48</w:t>
            </w:r>
          </w:p>
        </w:tc>
      </w:tr>
      <w:tr>
        <w:trPr>
          <w:trHeight w:val="277"/>
        </w:trPr>
        <w:tc>
          <w:tcPr>
            <w:tcW w:w="6400" w:type="dxa"/>
            <w:vAlign w:val="bottom"/>
            <w:shd w:val="clear" w:color="auto" w:fill="CCEEFF"/>
          </w:tcPr>
          <w:p>
            <w:pPr>
              <w:ind w:left="40"/>
              <w:spacing w:after="0"/>
              <w:rPr>
                <w:sz w:val="20"/>
                <w:szCs w:val="20"/>
                <w:color w:val="auto"/>
              </w:rPr>
            </w:pPr>
            <w:r>
              <w:rPr>
                <w:rFonts w:ascii="Arial" w:cs="Arial" w:eastAsia="Arial" w:hAnsi="Arial"/>
                <w:sz w:val="18"/>
                <w:szCs w:val="18"/>
                <w:color w:val="auto"/>
              </w:rPr>
              <w:t>Airbus A321</w:t>
            </w:r>
          </w:p>
        </w:tc>
        <w:tc>
          <w:tcPr>
            <w:tcW w:w="940" w:type="dxa"/>
            <w:vAlign w:val="bottom"/>
            <w:shd w:val="clear" w:color="auto" w:fill="CCEEFF"/>
          </w:tcPr>
          <w:p>
            <w:pPr>
              <w:jc w:val="right"/>
              <w:ind w:right="33"/>
              <w:spacing w:after="0"/>
              <w:rPr>
                <w:sz w:val="20"/>
                <w:szCs w:val="20"/>
                <w:color w:val="auto"/>
              </w:rPr>
            </w:pPr>
            <w:r>
              <w:rPr>
                <w:rFonts w:ascii="Arial" w:cs="Arial" w:eastAsia="Arial" w:hAnsi="Arial"/>
                <w:sz w:val="18"/>
                <w:szCs w:val="18"/>
                <w:color w:val="auto"/>
              </w:rPr>
              <w:t>179</w:t>
            </w:r>
          </w:p>
        </w:tc>
        <w:tc>
          <w:tcPr>
            <w:tcW w:w="120" w:type="dxa"/>
            <w:vAlign w:val="bottom"/>
            <w:shd w:val="clear" w:color="auto" w:fill="CCEEFF"/>
          </w:tcPr>
          <w:p>
            <w:pPr>
              <w:spacing w:after="0"/>
              <w:rPr>
                <w:sz w:val="24"/>
                <w:szCs w:val="24"/>
                <w:color w:val="auto"/>
              </w:rPr>
            </w:pPr>
          </w:p>
        </w:tc>
        <w:tc>
          <w:tcPr>
            <w:tcW w:w="920" w:type="dxa"/>
            <w:vAlign w:val="bottom"/>
            <w:shd w:val="clear" w:color="auto" w:fill="CCEEFF"/>
          </w:tcPr>
          <w:p>
            <w:pPr>
              <w:jc w:val="right"/>
              <w:ind w:right="13"/>
              <w:spacing w:after="0"/>
              <w:rPr>
                <w:sz w:val="20"/>
                <w:szCs w:val="20"/>
                <w:color w:val="auto"/>
              </w:rPr>
            </w:pPr>
            <w:r>
              <w:rPr>
                <w:rFonts w:ascii="Arial" w:cs="Arial" w:eastAsia="Arial" w:hAnsi="Arial"/>
                <w:sz w:val="18"/>
                <w:szCs w:val="18"/>
                <w:color w:val="auto"/>
              </w:rPr>
              <w:t>7.4</w:t>
            </w:r>
          </w:p>
        </w:tc>
        <w:tc>
          <w:tcPr>
            <w:tcW w:w="100" w:type="dxa"/>
            <w:vAlign w:val="bottom"/>
            <w:shd w:val="clear" w:color="auto" w:fill="CCEEFF"/>
          </w:tcPr>
          <w:p>
            <w:pPr>
              <w:spacing w:after="0"/>
              <w:rPr>
                <w:sz w:val="24"/>
                <w:szCs w:val="24"/>
                <w:color w:val="auto"/>
              </w:rPr>
            </w:pPr>
          </w:p>
        </w:tc>
        <w:tc>
          <w:tcPr>
            <w:tcW w:w="920" w:type="dxa"/>
            <w:vAlign w:val="bottom"/>
            <w:shd w:val="clear" w:color="auto" w:fill="CCEEFF"/>
          </w:tcPr>
          <w:p>
            <w:pPr>
              <w:jc w:val="right"/>
              <w:ind w:right="31"/>
              <w:spacing w:after="0"/>
              <w:rPr>
                <w:sz w:val="20"/>
                <w:szCs w:val="20"/>
                <w:color w:val="auto"/>
              </w:rPr>
            </w:pPr>
            <w:r>
              <w:rPr>
                <w:rFonts w:ascii="Arial" w:cs="Arial" w:eastAsia="Arial" w:hAnsi="Arial"/>
                <w:sz w:val="18"/>
                <w:szCs w:val="18"/>
                <w:color w:val="auto"/>
              </w:rPr>
              <w:t>165</w:t>
            </w:r>
          </w:p>
        </w:tc>
        <w:tc>
          <w:tcPr>
            <w:tcW w:w="100" w:type="dxa"/>
            <w:vAlign w:val="bottom"/>
            <w:shd w:val="clear" w:color="auto" w:fill="CCEEFF"/>
          </w:tcPr>
          <w:p>
            <w:pPr>
              <w:spacing w:after="0"/>
              <w:rPr>
                <w:sz w:val="24"/>
                <w:szCs w:val="24"/>
                <w:color w:val="auto"/>
              </w:rPr>
            </w:pPr>
          </w:p>
        </w:tc>
        <w:tc>
          <w:tcPr>
            <w:tcW w:w="90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53</w:t>
            </w:r>
          </w:p>
        </w:tc>
        <w:tc>
          <w:tcPr>
            <w:tcW w:w="120" w:type="dxa"/>
            <w:vAlign w:val="bottom"/>
            <w:shd w:val="clear" w:color="auto" w:fill="CCEEFF"/>
          </w:tcPr>
          <w:p>
            <w:pPr>
              <w:spacing w:after="0"/>
              <w:rPr>
                <w:sz w:val="24"/>
                <w:szCs w:val="24"/>
                <w:color w:val="auto"/>
              </w:rPr>
            </w:pPr>
          </w:p>
        </w:tc>
        <w:tc>
          <w:tcPr>
            <w:tcW w:w="90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218</w:t>
            </w:r>
          </w:p>
        </w:tc>
      </w:tr>
      <w:tr>
        <w:trPr>
          <w:trHeight w:val="263"/>
        </w:trPr>
        <w:tc>
          <w:tcPr>
            <w:tcW w:w="6400" w:type="dxa"/>
            <w:vAlign w:val="bottom"/>
          </w:tcPr>
          <w:p>
            <w:pPr>
              <w:ind w:left="40"/>
              <w:spacing w:after="0"/>
              <w:rPr>
                <w:sz w:val="20"/>
                <w:szCs w:val="20"/>
                <w:color w:val="auto"/>
              </w:rPr>
            </w:pPr>
            <w:r>
              <w:rPr>
                <w:rFonts w:ascii="Arial" w:cs="Arial" w:eastAsia="Arial" w:hAnsi="Arial"/>
                <w:sz w:val="18"/>
                <w:szCs w:val="18"/>
                <w:color w:val="auto"/>
              </w:rPr>
              <w:t>Airbus A321neo</w:t>
            </w:r>
          </w:p>
        </w:tc>
        <w:tc>
          <w:tcPr>
            <w:tcW w:w="940" w:type="dxa"/>
            <w:vAlign w:val="bottom"/>
          </w:tcPr>
          <w:p>
            <w:pPr>
              <w:jc w:val="right"/>
              <w:ind w:right="33"/>
              <w:spacing w:after="0"/>
              <w:rPr>
                <w:sz w:val="20"/>
                <w:szCs w:val="20"/>
                <w:color w:val="auto"/>
              </w:rPr>
            </w:pPr>
            <w:r>
              <w:rPr>
                <w:rFonts w:ascii="Arial" w:cs="Arial" w:eastAsia="Arial" w:hAnsi="Arial"/>
                <w:sz w:val="18"/>
                <w:szCs w:val="18"/>
                <w:color w:val="auto"/>
              </w:rPr>
              <w:t>196</w:t>
            </w:r>
          </w:p>
        </w:tc>
        <w:tc>
          <w:tcPr>
            <w:tcW w:w="120" w:type="dxa"/>
            <w:vAlign w:val="bottom"/>
          </w:tcPr>
          <w:p>
            <w:pPr>
              <w:spacing w:after="0"/>
              <w:rPr>
                <w:sz w:val="22"/>
                <w:szCs w:val="22"/>
                <w:color w:val="auto"/>
              </w:rPr>
            </w:pPr>
          </w:p>
        </w:tc>
        <w:tc>
          <w:tcPr>
            <w:tcW w:w="920" w:type="dxa"/>
            <w:vAlign w:val="bottom"/>
          </w:tcPr>
          <w:p>
            <w:pPr>
              <w:jc w:val="right"/>
              <w:ind w:right="13"/>
              <w:spacing w:after="0"/>
              <w:rPr>
                <w:sz w:val="20"/>
                <w:szCs w:val="20"/>
                <w:color w:val="auto"/>
              </w:rPr>
            </w:pPr>
            <w:r>
              <w:rPr>
                <w:rFonts w:ascii="Arial" w:cs="Arial" w:eastAsia="Arial" w:hAnsi="Arial"/>
                <w:sz w:val="18"/>
                <w:szCs w:val="18"/>
                <w:color w:val="auto"/>
              </w:rPr>
              <w:t>0.4</w:t>
            </w:r>
          </w:p>
        </w:tc>
        <w:tc>
          <w:tcPr>
            <w:tcW w:w="100" w:type="dxa"/>
            <w:vAlign w:val="bottom"/>
          </w:tcPr>
          <w:p>
            <w:pPr>
              <w:spacing w:after="0"/>
              <w:rPr>
                <w:sz w:val="22"/>
                <w:szCs w:val="22"/>
                <w:color w:val="auto"/>
              </w:rPr>
            </w:pPr>
          </w:p>
        </w:tc>
        <w:tc>
          <w:tcPr>
            <w:tcW w:w="920" w:type="dxa"/>
            <w:vAlign w:val="bottom"/>
          </w:tcPr>
          <w:p>
            <w:pPr>
              <w:jc w:val="right"/>
              <w:ind w:right="31"/>
              <w:spacing w:after="0"/>
              <w:rPr>
                <w:sz w:val="20"/>
                <w:szCs w:val="20"/>
                <w:color w:val="auto"/>
              </w:rPr>
            </w:pPr>
            <w:r>
              <w:rPr>
                <w:rFonts w:ascii="Arial" w:cs="Arial" w:eastAsia="Arial" w:hAnsi="Arial"/>
                <w:sz w:val="18"/>
                <w:szCs w:val="18"/>
                <w:color w:val="auto"/>
              </w:rPr>
              <w:t>2</w:t>
            </w:r>
          </w:p>
        </w:tc>
        <w:tc>
          <w:tcPr>
            <w:tcW w:w="100" w:type="dxa"/>
            <w:vAlign w:val="bottom"/>
          </w:tcPr>
          <w:p>
            <w:pPr>
              <w:spacing w:after="0"/>
              <w:rPr>
                <w:sz w:val="22"/>
                <w:szCs w:val="22"/>
                <w:color w:val="auto"/>
              </w:rPr>
            </w:pPr>
          </w:p>
        </w:tc>
        <w:tc>
          <w:tcPr>
            <w:tcW w:w="900" w:type="dxa"/>
            <w:vAlign w:val="bottom"/>
          </w:tcPr>
          <w:p>
            <w:pPr>
              <w:jc w:val="right"/>
              <w:ind w:right="11"/>
              <w:spacing w:after="0"/>
              <w:rPr>
                <w:sz w:val="20"/>
                <w:szCs w:val="20"/>
                <w:color w:val="auto"/>
              </w:rPr>
            </w:pPr>
            <w:r>
              <w:rPr>
                <w:rFonts w:ascii="Arial" w:cs="Arial" w:eastAsia="Arial" w:hAnsi="Arial"/>
                <w:sz w:val="18"/>
                <w:szCs w:val="18"/>
                <w:color w:val="auto"/>
              </w:rPr>
              <w:t>10</w:t>
            </w:r>
          </w:p>
        </w:tc>
        <w:tc>
          <w:tcPr>
            <w:tcW w:w="120" w:type="dxa"/>
            <w:vAlign w:val="bottom"/>
          </w:tcPr>
          <w:p>
            <w:pPr>
              <w:spacing w:after="0"/>
              <w:rPr>
                <w:sz w:val="22"/>
                <w:szCs w:val="22"/>
                <w:color w:val="auto"/>
              </w:rPr>
            </w:pPr>
          </w:p>
        </w:tc>
        <w:tc>
          <w:tcPr>
            <w:tcW w:w="900" w:type="dxa"/>
            <w:vAlign w:val="bottom"/>
          </w:tcPr>
          <w:p>
            <w:pPr>
              <w:jc w:val="right"/>
              <w:ind w:right="11"/>
              <w:spacing w:after="0"/>
              <w:rPr>
                <w:sz w:val="20"/>
                <w:szCs w:val="20"/>
                <w:color w:val="auto"/>
              </w:rPr>
            </w:pPr>
            <w:r>
              <w:rPr>
                <w:rFonts w:ascii="Arial" w:cs="Arial" w:eastAsia="Arial" w:hAnsi="Arial"/>
                <w:sz w:val="18"/>
                <w:szCs w:val="18"/>
                <w:color w:val="auto"/>
              </w:rPr>
              <w:t>12</w:t>
            </w:r>
          </w:p>
        </w:tc>
      </w:tr>
      <w:tr>
        <w:trPr>
          <w:trHeight w:val="277"/>
        </w:trPr>
        <w:tc>
          <w:tcPr>
            <w:tcW w:w="6400" w:type="dxa"/>
            <w:vAlign w:val="bottom"/>
            <w:shd w:val="clear" w:color="auto" w:fill="CCEEFF"/>
          </w:tcPr>
          <w:p>
            <w:pPr>
              <w:ind w:left="40"/>
              <w:spacing w:after="0"/>
              <w:rPr>
                <w:sz w:val="20"/>
                <w:szCs w:val="20"/>
                <w:color w:val="auto"/>
              </w:rPr>
            </w:pPr>
            <w:r>
              <w:rPr>
                <w:rFonts w:ascii="Arial" w:cs="Arial" w:eastAsia="Arial" w:hAnsi="Arial"/>
                <w:sz w:val="18"/>
                <w:szCs w:val="18"/>
                <w:color w:val="auto"/>
              </w:rPr>
              <w:t>Airbus A330-200</w:t>
            </w:r>
          </w:p>
        </w:tc>
        <w:tc>
          <w:tcPr>
            <w:tcW w:w="940" w:type="dxa"/>
            <w:vAlign w:val="bottom"/>
            <w:shd w:val="clear" w:color="auto" w:fill="CCEEFF"/>
          </w:tcPr>
          <w:p>
            <w:pPr>
              <w:jc w:val="right"/>
              <w:ind w:right="33"/>
              <w:spacing w:after="0"/>
              <w:rPr>
                <w:sz w:val="20"/>
                <w:szCs w:val="20"/>
                <w:color w:val="auto"/>
              </w:rPr>
            </w:pPr>
            <w:r>
              <w:rPr>
                <w:rFonts w:ascii="Arial" w:cs="Arial" w:eastAsia="Arial" w:hAnsi="Arial"/>
                <w:sz w:val="18"/>
                <w:szCs w:val="18"/>
                <w:color w:val="auto"/>
              </w:rPr>
              <w:t>247</w:t>
            </w:r>
          </w:p>
        </w:tc>
        <w:tc>
          <w:tcPr>
            <w:tcW w:w="120" w:type="dxa"/>
            <w:vAlign w:val="bottom"/>
            <w:shd w:val="clear" w:color="auto" w:fill="CCEEFF"/>
          </w:tcPr>
          <w:p>
            <w:pPr>
              <w:spacing w:after="0"/>
              <w:rPr>
                <w:sz w:val="24"/>
                <w:szCs w:val="24"/>
                <w:color w:val="auto"/>
              </w:rPr>
            </w:pPr>
          </w:p>
        </w:tc>
        <w:tc>
          <w:tcPr>
            <w:tcW w:w="920" w:type="dxa"/>
            <w:vAlign w:val="bottom"/>
            <w:shd w:val="clear" w:color="auto" w:fill="CCEEFF"/>
          </w:tcPr>
          <w:p>
            <w:pPr>
              <w:jc w:val="right"/>
              <w:ind w:right="13"/>
              <w:spacing w:after="0"/>
              <w:rPr>
                <w:sz w:val="20"/>
                <w:szCs w:val="20"/>
                <w:color w:val="auto"/>
              </w:rPr>
            </w:pPr>
            <w:r>
              <w:rPr>
                <w:rFonts w:ascii="Arial" w:cs="Arial" w:eastAsia="Arial" w:hAnsi="Arial"/>
                <w:sz w:val="18"/>
                <w:szCs w:val="18"/>
                <w:color w:val="auto"/>
              </w:rPr>
              <w:t>8.0</w:t>
            </w:r>
          </w:p>
        </w:tc>
        <w:tc>
          <w:tcPr>
            <w:tcW w:w="100" w:type="dxa"/>
            <w:vAlign w:val="bottom"/>
            <w:shd w:val="clear" w:color="auto" w:fill="CCEEFF"/>
          </w:tcPr>
          <w:p>
            <w:pPr>
              <w:spacing w:after="0"/>
              <w:rPr>
                <w:sz w:val="24"/>
                <w:szCs w:val="24"/>
                <w:color w:val="auto"/>
              </w:rPr>
            </w:pPr>
          </w:p>
        </w:tc>
        <w:tc>
          <w:tcPr>
            <w:tcW w:w="920" w:type="dxa"/>
            <w:vAlign w:val="bottom"/>
            <w:shd w:val="clear" w:color="auto" w:fill="CCEEFF"/>
          </w:tcPr>
          <w:p>
            <w:pPr>
              <w:jc w:val="right"/>
              <w:ind w:right="31"/>
              <w:spacing w:after="0"/>
              <w:rPr>
                <w:sz w:val="20"/>
                <w:szCs w:val="20"/>
                <w:color w:val="auto"/>
              </w:rPr>
            </w:pPr>
            <w:r>
              <w:rPr>
                <w:rFonts w:ascii="Arial" w:cs="Arial" w:eastAsia="Arial" w:hAnsi="Arial"/>
                <w:sz w:val="18"/>
                <w:szCs w:val="18"/>
                <w:color w:val="auto"/>
              </w:rPr>
              <w:t>15</w:t>
            </w:r>
          </w:p>
        </w:tc>
        <w:tc>
          <w:tcPr>
            <w:tcW w:w="100" w:type="dxa"/>
            <w:vAlign w:val="bottom"/>
            <w:shd w:val="clear" w:color="auto" w:fill="CCEEFF"/>
          </w:tcPr>
          <w:p>
            <w:pPr>
              <w:spacing w:after="0"/>
              <w:rPr>
                <w:sz w:val="24"/>
                <w:szCs w:val="24"/>
                <w:color w:val="auto"/>
              </w:rPr>
            </w:pPr>
          </w:p>
        </w:tc>
        <w:tc>
          <w:tcPr>
            <w:tcW w:w="10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90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15</w:t>
            </w:r>
          </w:p>
        </w:tc>
      </w:tr>
      <w:tr>
        <w:trPr>
          <w:trHeight w:val="263"/>
        </w:trPr>
        <w:tc>
          <w:tcPr>
            <w:tcW w:w="6400" w:type="dxa"/>
            <w:vAlign w:val="bottom"/>
          </w:tcPr>
          <w:p>
            <w:pPr>
              <w:ind w:left="40"/>
              <w:spacing w:after="0"/>
              <w:rPr>
                <w:sz w:val="20"/>
                <w:szCs w:val="20"/>
                <w:color w:val="auto"/>
              </w:rPr>
            </w:pPr>
            <w:r>
              <w:rPr>
                <w:rFonts w:ascii="Arial" w:cs="Arial" w:eastAsia="Arial" w:hAnsi="Arial"/>
                <w:sz w:val="18"/>
                <w:szCs w:val="18"/>
                <w:color w:val="auto"/>
              </w:rPr>
              <w:t>Airbus A330-300</w:t>
            </w:r>
          </w:p>
        </w:tc>
        <w:tc>
          <w:tcPr>
            <w:tcW w:w="940" w:type="dxa"/>
            <w:vAlign w:val="bottom"/>
          </w:tcPr>
          <w:p>
            <w:pPr>
              <w:jc w:val="right"/>
              <w:ind w:right="33"/>
              <w:spacing w:after="0"/>
              <w:rPr>
                <w:sz w:val="20"/>
                <w:szCs w:val="20"/>
                <w:color w:val="auto"/>
              </w:rPr>
            </w:pPr>
            <w:r>
              <w:rPr>
                <w:rFonts w:ascii="Arial" w:cs="Arial" w:eastAsia="Arial" w:hAnsi="Arial"/>
                <w:sz w:val="18"/>
                <w:szCs w:val="18"/>
                <w:color w:val="auto"/>
              </w:rPr>
              <w:t>291</w:t>
            </w:r>
          </w:p>
        </w:tc>
        <w:tc>
          <w:tcPr>
            <w:tcW w:w="120" w:type="dxa"/>
            <w:vAlign w:val="bottom"/>
          </w:tcPr>
          <w:p>
            <w:pPr>
              <w:spacing w:after="0"/>
              <w:rPr>
                <w:sz w:val="22"/>
                <w:szCs w:val="22"/>
                <w:color w:val="auto"/>
              </w:rPr>
            </w:pPr>
          </w:p>
        </w:tc>
        <w:tc>
          <w:tcPr>
            <w:tcW w:w="920" w:type="dxa"/>
            <w:vAlign w:val="bottom"/>
          </w:tcPr>
          <w:p>
            <w:pPr>
              <w:jc w:val="right"/>
              <w:ind w:right="13"/>
              <w:spacing w:after="0"/>
              <w:rPr>
                <w:sz w:val="20"/>
                <w:szCs w:val="20"/>
                <w:color w:val="auto"/>
              </w:rPr>
            </w:pPr>
            <w:r>
              <w:rPr>
                <w:rFonts w:ascii="Arial" w:cs="Arial" w:eastAsia="Arial" w:hAnsi="Arial"/>
                <w:sz w:val="18"/>
                <w:szCs w:val="18"/>
                <w:color w:val="auto"/>
              </w:rPr>
              <w:t>19.4</w:t>
            </w:r>
          </w:p>
        </w:tc>
        <w:tc>
          <w:tcPr>
            <w:tcW w:w="100" w:type="dxa"/>
            <w:vAlign w:val="bottom"/>
          </w:tcPr>
          <w:p>
            <w:pPr>
              <w:spacing w:after="0"/>
              <w:rPr>
                <w:sz w:val="22"/>
                <w:szCs w:val="22"/>
                <w:color w:val="auto"/>
              </w:rPr>
            </w:pPr>
          </w:p>
        </w:tc>
        <w:tc>
          <w:tcPr>
            <w:tcW w:w="920" w:type="dxa"/>
            <w:vAlign w:val="bottom"/>
          </w:tcPr>
          <w:p>
            <w:pPr>
              <w:jc w:val="right"/>
              <w:ind w:right="31"/>
              <w:spacing w:after="0"/>
              <w:rPr>
                <w:sz w:val="20"/>
                <w:szCs w:val="20"/>
                <w:color w:val="auto"/>
              </w:rPr>
            </w:pPr>
            <w:r>
              <w:rPr>
                <w:rFonts w:ascii="Arial" w:cs="Arial" w:eastAsia="Arial" w:hAnsi="Arial"/>
                <w:sz w:val="18"/>
                <w:szCs w:val="18"/>
                <w:color w:val="auto"/>
              </w:rPr>
              <w:t>4</w:t>
            </w:r>
          </w:p>
        </w:tc>
        <w:tc>
          <w:tcPr>
            <w:tcW w:w="100" w:type="dxa"/>
            <w:vAlign w:val="bottom"/>
          </w:tcPr>
          <w:p>
            <w:pPr>
              <w:spacing w:after="0"/>
              <w:rPr>
                <w:sz w:val="22"/>
                <w:szCs w:val="22"/>
                <w:color w:val="auto"/>
              </w:rPr>
            </w:pPr>
          </w:p>
        </w:tc>
        <w:tc>
          <w:tcPr>
            <w:tcW w:w="900" w:type="dxa"/>
            <w:vAlign w:val="bottom"/>
          </w:tcPr>
          <w:p>
            <w:pPr>
              <w:jc w:val="right"/>
              <w:ind w:right="11"/>
              <w:spacing w:after="0"/>
              <w:rPr>
                <w:sz w:val="20"/>
                <w:szCs w:val="20"/>
                <w:color w:val="auto"/>
              </w:rPr>
            </w:pPr>
            <w:r>
              <w:rPr>
                <w:rFonts w:ascii="Arial" w:cs="Arial" w:eastAsia="Arial" w:hAnsi="Arial"/>
                <w:sz w:val="18"/>
                <w:szCs w:val="18"/>
                <w:color w:val="auto"/>
              </w:rPr>
              <w:t>5</w:t>
            </w:r>
          </w:p>
        </w:tc>
        <w:tc>
          <w:tcPr>
            <w:tcW w:w="120" w:type="dxa"/>
            <w:vAlign w:val="bottom"/>
          </w:tcPr>
          <w:p>
            <w:pPr>
              <w:spacing w:after="0"/>
              <w:rPr>
                <w:sz w:val="22"/>
                <w:szCs w:val="22"/>
                <w:color w:val="auto"/>
              </w:rPr>
            </w:pPr>
          </w:p>
        </w:tc>
        <w:tc>
          <w:tcPr>
            <w:tcW w:w="900" w:type="dxa"/>
            <w:vAlign w:val="bottom"/>
          </w:tcPr>
          <w:p>
            <w:pPr>
              <w:jc w:val="right"/>
              <w:ind w:right="11"/>
              <w:spacing w:after="0"/>
              <w:rPr>
                <w:sz w:val="20"/>
                <w:szCs w:val="20"/>
                <w:color w:val="auto"/>
              </w:rPr>
            </w:pPr>
            <w:r>
              <w:rPr>
                <w:rFonts w:ascii="Arial" w:cs="Arial" w:eastAsia="Arial" w:hAnsi="Arial"/>
                <w:sz w:val="18"/>
                <w:szCs w:val="18"/>
                <w:color w:val="auto"/>
              </w:rPr>
              <w:t>9</w:t>
            </w:r>
          </w:p>
        </w:tc>
      </w:tr>
      <w:tr>
        <w:trPr>
          <w:trHeight w:val="277"/>
        </w:trPr>
        <w:tc>
          <w:tcPr>
            <w:tcW w:w="6400" w:type="dxa"/>
            <w:vAlign w:val="bottom"/>
            <w:shd w:val="clear" w:color="auto" w:fill="CCEEFF"/>
          </w:tcPr>
          <w:p>
            <w:pPr>
              <w:ind w:left="40"/>
              <w:spacing w:after="0"/>
              <w:rPr>
                <w:sz w:val="20"/>
                <w:szCs w:val="20"/>
                <w:color w:val="auto"/>
              </w:rPr>
            </w:pPr>
            <w:r>
              <w:rPr>
                <w:rFonts w:ascii="Arial" w:cs="Arial" w:eastAsia="Arial" w:hAnsi="Arial"/>
                <w:sz w:val="18"/>
                <w:szCs w:val="18"/>
                <w:color w:val="auto"/>
              </w:rPr>
              <w:t>Boeing 737-800</w:t>
            </w:r>
          </w:p>
        </w:tc>
        <w:tc>
          <w:tcPr>
            <w:tcW w:w="940" w:type="dxa"/>
            <w:vAlign w:val="bottom"/>
            <w:shd w:val="clear" w:color="auto" w:fill="CCEEFF"/>
          </w:tcPr>
          <w:p>
            <w:pPr>
              <w:jc w:val="right"/>
              <w:ind w:right="33"/>
              <w:spacing w:after="0"/>
              <w:rPr>
                <w:sz w:val="20"/>
                <w:szCs w:val="20"/>
                <w:color w:val="auto"/>
              </w:rPr>
            </w:pPr>
            <w:r>
              <w:rPr>
                <w:rFonts w:ascii="Arial" w:cs="Arial" w:eastAsia="Arial" w:hAnsi="Arial"/>
                <w:sz w:val="18"/>
                <w:szCs w:val="18"/>
                <w:color w:val="auto"/>
              </w:rPr>
              <w:t>163</w:t>
            </w:r>
          </w:p>
        </w:tc>
        <w:tc>
          <w:tcPr>
            <w:tcW w:w="120" w:type="dxa"/>
            <w:vAlign w:val="bottom"/>
            <w:shd w:val="clear" w:color="auto" w:fill="CCEEFF"/>
          </w:tcPr>
          <w:p>
            <w:pPr>
              <w:spacing w:after="0"/>
              <w:rPr>
                <w:sz w:val="24"/>
                <w:szCs w:val="24"/>
                <w:color w:val="auto"/>
              </w:rPr>
            </w:pPr>
          </w:p>
        </w:tc>
        <w:tc>
          <w:tcPr>
            <w:tcW w:w="920" w:type="dxa"/>
            <w:vAlign w:val="bottom"/>
            <w:shd w:val="clear" w:color="auto" w:fill="CCEEFF"/>
          </w:tcPr>
          <w:p>
            <w:pPr>
              <w:jc w:val="right"/>
              <w:ind w:right="13"/>
              <w:spacing w:after="0"/>
              <w:rPr>
                <w:sz w:val="20"/>
                <w:szCs w:val="20"/>
                <w:color w:val="auto"/>
              </w:rPr>
            </w:pPr>
            <w:r>
              <w:rPr>
                <w:rFonts w:ascii="Arial" w:cs="Arial" w:eastAsia="Arial" w:hAnsi="Arial"/>
                <w:sz w:val="18"/>
                <w:szCs w:val="18"/>
                <w:color w:val="auto"/>
              </w:rPr>
              <w:t>10.1</w:t>
            </w:r>
          </w:p>
        </w:tc>
        <w:tc>
          <w:tcPr>
            <w:tcW w:w="100" w:type="dxa"/>
            <w:vAlign w:val="bottom"/>
            <w:shd w:val="clear" w:color="auto" w:fill="CCEEFF"/>
          </w:tcPr>
          <w:p>
            <w:pPr>
              <w:spacing w:after="0"/>
              <w:rPr>
                <w:sz w:val="24"/>
                <w:szCs w:val="24"/>
                <w:color w:val="auto"/>
              </w:rPr>
            </w:pPr>
          </w:p>
        </w:tc>
        <w:tc>
          <w:tcPr>
            <w:tcW w:w="920" w:type="dxa"/>
            <w:vAlign w:val="bottom"/>
            <w:shd w:val="clear" w:color="auto" w:fill="CCEEFF"/>
          </w:tcPr>
          <w:p>
            <w:pPr>
              <w:jc w:val="right"/>
              <w:ind w:right="31"/>
              <w:spacing w:after="0"/>
              <w:rPr>
                <w:sz w:val="20"/>
                <w:szCs w:val="20"/>
                <w:color w:val="auto"/>
              </w:rPr>
            </w:pPr>
            <w:r>
              <w:rPr>
                <w:rFonts w:ascii="Arial" w:cs="Arial" w:eastAsia="Arial" w:hAnsi="Arial"/>
                <w:sz w:val="18"/>
                <w:szCs w:val="18"/>
                <w:color w:val="auto"/>
              </w:rPr>
              <w:t>132</w:t>
            </w:r>
          </w:p>
        </w:tc>
        <w:tc>
          <w:tcPr>
            <w:tcW w:w="100" w:type="dxa"/>
            <w:vAlign w:val="bottom"/>
            <w:shd w:val="clear" w:color="auto" w:fill="CCEEFF"/>
          </w:tcPr>
          <w:p>
            <w:pPr>
              <w:spacing w:after="0"/>
              <w:rPr>
                <w:sz w:val="24"/>
                <w:szCs w:val="24"/>
                <w:color w:val="auto"/>
              </w:rPr>
            </w:pPr>
          </w:p>
        </w:tc>
        <w:tc>
          <w:tcPr>
            <w:tcW w:w="90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172</w:t>
            </w:r>
          </w:p>
        </w:tc>
        <w:tc>
          <w:tcPr>
            <w:tcW w:w="120" w:type="dxa"/>
            <w:vAlign w:val="bottom"/>
            <w:shd w:val="clear" w:color="auto" w:fill="CCEEFF"/>
          </w:tcPr>
          <w:p>
            <w:pPr>
              <w:spacing w:after="0"/>
              <w:rPr>
                <w:sz w:val="24"/>
                <w:szCs w:val="24"/>
                <w:color w:val="auto"/>
              </w:rPr>
            </w:pPr>
          </w:p>
        </w:tc>
        <w:tc>
          <w:tcPr>
            <w:tcW w:w="90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304</w:t>
            </w:r>
          </w:p>
        </w:tc>
      </w:tr>
      <w:tr>
        <w:trPr>
          <w:trHeight w:val="270"/>
        </w:trPr>
        <w:tc>
          <w:tcPr>
            <w:tcW w:w="6400" w:type="dxa"/>
            <w:vAlign w:val="bottom"/>
          </w:tcPr>
          <w:p>
            <w:pPr>
              <w:ind w:left="40"/>
              <w:spacing w:after="0"/>
              <w:rPr>
                <w:sz w:val="20"/>
                <w:szCs w:val="20"/>
                <w:color w:val="auto"/>
              </w:rPr>
            </w:pPr>
            <w:r>
              <w:rPr>
                <w:rFonts w:ascii="Arial" w:cs="Arial" w:eastAsia="Arial" w:hAnsi="Arial"/>
                <w:sz w:val="18"/>
                <w:szCs w:val="18"/>
                <w:color w:val="auto"/>
              </w:rPr>
              <w:t xml:space="preserve">Boeing 737-8 MAX </w:t>
            </w:r>
            <w:r>
              <w:rPr>
                <w:rFonts w:ascii="Arial" w:cs="Arial" w:eastAsia="Arial" w:hAnsi="Arial"/>
                <w:sz w:val="21"/>
                <w:szCs w:val="21"/>
                <w:color w:val="auto"/>
                <w:vertAlign w:val="superscript"/>
              </w:rPr>
              <w:t>(1)</w:t>
            </w:r>
          </w:p>
        </w:tc>
        <w:tc>
          <w:tcPr>
            <w:tcW w:w="940" w:type="dxa"/>
            <w:vAlign w:val="bottom"/>
          </w:tcPr>
          <w:p>
            <w:pPr>
              <w:jc w:val="right"/>
              <w:ind w:right="33"/>
              <w:spacing w:after="0"/>
              <w:rPr>
                <w:sz w:val="20"/>
                <w:szCs w:val="20"/>
                <w:color w:val="auto"/>
              </w:rPr>
            </w:pPr>
            <w:r>
              <w:rPr>
                <w:rFonts w:ascii="Arial" w:cs="Arial" w:eastAsia="Arial" w:hAnsi="Arial"/>
                <w:sz w:val="18"/>
                <w:szCs w:val="18"/>
                <w:color w:val="auto"/>
              </w:rPr>
              <w:t>172</w:t>
            </w:r>
          </w:p>
        </w:tc>
        <w:tc>
          <w:tcPr>
            <w:tcW w:w="120" w:type="dxa"/>
            <w:vAlign w:val="bottom"/>
          </w:tcPr>
          <w:p>
            <w:pPr>
              <w:spacing w:after="0"/>
              <w:rPr>
                <w:sz w:val="23"/>
                <w:szCs w:val="23"/>
                <w:color w:val="auto"/>
              </w:rPr>
            </w:pPr>
          </w:p>
        </w:tc>
        <w:tc>
          <w:tcPr>
            <w:tcW w:w="920" w:type="dxa"/>
            <w:vAlign w:val="bottom"/>
          </w:tcPr>
          <w:p>
            <w:pPr>
              <w:jc w:val="right"/>
              <w:ind w:right="13"/>
              <w:spacing w:after="0"/>
              <w:rPr>
                <w:sz w:val="20"/>
                <w:szCs w:val="20"/>
                <w:color w:val="auto"/>
              </w:rPr>
            </w:pPr>
            <w:r>
              <w:rPr>
                <w:rFonts w:ascii="Arial" w:cs="Arial" w:eastAsia="Arial" w:hAnsi="Arial"/>
                <w:sz w:val="18"/>
                <w:szCs w:val="18"/>
                <w:color w:val="auto"/>
              </w:rPr>
              <w:t>1.4</w:t>
            </w:r>
          </w:p>
        </w:tc>
        <w:tc>
          <w:tcPr>
            <w:tcW w:w="100" w:type="dxa"/>
            <w:vAlign w:val="bottom"/>
          </w:tcPr>
          <w:p>
            <w:pPr>
              <w:spacing w:after="0"/>
              <w:rPr>
                <w:sz w:val="23"/>
                <w:szCs w:val="23"/>
                <w:color w:val="auto"/>
              </w:rPr>
            </w:pPr>
          </w:p>
        </w:tc>
        <w:tc>
          <w:tcPr>
            <w:tcW w:w="920" w:type="dxa"/>
            <w:vAlign w:val="bottom"/>
          </w:tcPr>
          <w:p>
            <w:pPr>
              <w:jc w:val="right"/>
              <w:ind w:right="31"/>
              <w:spacing w:after="0"/>
              <w:rPr>
                <w:sz w:val="20"/>
                <w:szCs w:val="20"/>
                <w:color w:val="auto"/>
              </w:rPr>
            </w:pPr>
            <w:r>
              <w:rPr>
                <w:rFonts w:ascii="Arial" w:cs="Arial" w:eastAsia="Arial" w:hAnsi="Arial"/>
                <w:sz w:val="18"/>
                <w:szCs w:val="18"/>
                <w:color w:val="auto"/>
              </w:rPr>
              <w:t>9</w:t>
            </w:r>
          </w:p>
        </w:tc>
        <w:tc>
          <w:tcPr>
            <w:tcW w:w="100" w:type="dxa"/>
            <w:vAlign w:val="bottom"/>
          </w:tcPr>
          <w:p>
            <w:pPr>
              <w:spacing w:after="0"/>
              <w:rPr>
                <w:sz w:val="23"/>
                <w:szCs w:val="23"/>
                <w:color w:val="auto"/>
              </w:rPr>
            </w:pPr>
          </w:p>
        </w:tc>
        <w:tc>
          <w:tcPr>
            <w:tcW w:w="900" w:type="dxa"/>
            <w:vAlign w:val="bottom"/>
          </w:tcPr>
          <w:p>
            <w:pPr>
              <w:jc w:val="right"/>
              <w:ind w:right="11"/>
              <w:spacing w:after="0"/>
              <w:rPr>
                <w:sz w:val="20"/>
                <w:szCs w:val="20"/>
                <w:color w:val="auto"/>
              </w:rPr>
            </w:pPr>
            <w:r>
              <w:rPr>
                <w:rFonts w:ascii="Arial" w:cs="Arial" w:eastAsia="Arial" w:hAnsi="Arial"/>
                <w:sz w:val="18"/>
                <w:szCs w:val="18"/>
                <w:color w:val="auto"/>
              </w:rPr>
              <w:t>15</w:t>
            </w:r>
          </w:p>
        </w:tc>
        <w:tc>
          <w:tcPr>
            <w:tcW w:w="120" w:type="dxa"/>
            <w:vAlign w:val="bottom"/>
          </w:tcPr>
          <w:p>
            <w:pPr>
              <w:spacing w:after="0"/>
              <w:rPr>
                <w:sz w:val="23"/>
                <w:szCs w:val="23"/>
                <w:color w:val="auto"/>
              </w:rPr>
            </w:pPr>
          </w:p>
        </w:tc>
        <w:tc>
          <w:tcPr>
            <w:tcW w:w="900" w:type="dxa"/>
            <w:vAlign w:val="bottom"/>
          </w:tcPr>
          <w:p>
            <w:pPr>
              <w:jc w:val="right"/>
              <w:ind w:right="11"/>
              <w:spacing w:after="0"/>
              <w:rPr>
                <w:sz w:val="20"/>
                <w:szCs w:val="20"/>
                <w:color w:val="auto"/>
              </w:rPr>
            </w:pPr>
            <w:r>
              <w:rPr>
                <w:rFonts w:ascii="Arial" w:cs="Arial" w:eastAsia="Arial" w:hAnsi="Arial"/>
                <w:sz w:val="18"/>
                <w:szCs w:val="18"/>
                <w:color w:val="auto"/>
              </w:rPr>
              <w:t>24</w:t>
            </w:r>
          </w:p>
        </w:tc>
      </w:tr>
      <w:tr>
        <w:trPr>
          <w:trHeight w:val="270"/>
        </w:trPr>
        <w:tc>
          <w:tcPr>
            <w:tcW w:w="6400" w:type="dxa"/>
            <w:vAlign w:val="bottom"/>
            <w:shd w:val="clear" w:color="auto" w:fill="CCEEFF"/>
          </w:tcPr>
          <w:p>
            <w:pPr>
              <w:ind w:left="40"/>
              <w:spacing w:after="0"/>
              <w:rPr>
                <w:sz w:val="20"/>
                <w:szCs w:val="20"/>
                <w:color w:val="auto"/>
              </w:rPr>
            </w:pPr>
            <w:r>
              <w:rPr>
                <w:rFonts w:ascii="Arial" w:cs="Arial" w:eastAsia="Arial" w:hAnsi="Arial"/>
                <w:sz w:val="18"/>
                <w:szCs w:val="18"/>
                <w:color w:val="auto"/>
              </w:rPr>
              <w:t>Boeing 757-200</w:t>
            </w:r>
          </w:p>
        </w:tc>
        <w:tc>
          <w:tcPr>
            <w:tcW w:w="940" w:type="dxa"/>
            <w:vAlign w:val="bottom"/>
            <w:shd w:val="clear" w:color="auto" w:fill="CCEEFF"/>
          </w:tcPr>
          <w:p>
            <w:pPr>
              <w:jc w:val="right"/>
              <w:ind w:right="33"/>
              <w:spacing w:after="0"/>
              <w:rPr>
                <w:sz w:val="20"/>
                <w:szCs w:val="20"/>
                <w:color w:val="auto"/>
              </w:rPr>
            </w:pPr>
            <w:r>
              <w:rPr>
                <w:rFonts w:ascii="Arial" w:cs="Arial" w:eastAsia="Arial" w:hAnsi="Arial"/>
                <w:sz w:val="18"/>
                <w:szCs w:val="18"/>
                <w:color w:val="auto"/>
              </w:rPr>
              <w:t>180</w:t>
            </w:r>
          </w:p>
        </w:tc>
        <w:tc>
          <w:tcPr>
            <w:tcW w:w="120" w:type="dxa"/>
            <w:vAlign w:val="bottom"/>
            <w:shd w:val="clear" w:color="auto" w:fill="CCEEFF"/>
          </w:tcPr>
          <w:p>
            <w:pPr>
              <w:spacing w:after="0"/>
              <w:rPr>
                <w:sz w:val="23"/>
                <w:szCs w:val="23"/>
                <w:color w:val="auto"/>
              </w:rPr>
            </w:pPr>
          </w:p>
        </w:tc>
        <w:tc>
          <w:tcPr>
            <w:tcW w:w="920" w:type="dxa"/>
            <w:vAlign w:val="bottom"/>
            <w:shd w:val="clear" w:color="auto" w:fill="CCEEFF"/>
          </w:tcPr>
          <w:p>
            <w:pPr>
              <w:jc w:val="right"/>
              <w:ind w:right="13"/>
              <w:spacing w:after="0"/>
              <w:rPr>
                <w:sz w:val="20"/>
                <w:szCs w:val="20"/>
                <w:color w:val="auto"/>
              </w:rPr>
            </w:pPr>
            <w:r>
              <w:rPr>
                <w:rFonts w:ascii="Arial" w:cs="Arial" w:eastAsia="Arial" w:hAnsi="Arial"/>
                <w:sz w:val="18"/>
                <w:szCs w:val="18"/>
                <w:color w:val="auto"/>
              </w:rPr>
              <w:t>20.1</w:t>
            </w:r>
          </w:p>
        </w:tc>
        <w:tc>
          <w:tcPr>
            <w:tcW w:w="100" w:type="dxa"/>
            <w:vAlign w:val="bottom"/>
            <w:shd w:val="clear" w:color="auto" w:fill="CCEEFF"/>
          </w:tcPr>
          <w:p>
            <w:pPr>
              <w:spacing w:after="0"/>
              <w:rPr>
                <w:sz w:val="23"/>
                <w:szCs w:val="23"/>
                <w:color w:val="auto"/>
              </w:rPr>
            </w:pPr>
          </w:p>
        </w:tc>
        <w:tc>
          <w:tcPr>
            <w:tcW w:w="920" w:type="dxa"/>
            <w:vAlign w:val="bottom"/>
            <w:shd w:val="clear" w:color="auto" w:fill="CCEEFF"/>
          </w:tcPr>
          <w:p>
            <w:pPr>
              <w:jc w:val="right"/>
              <w:ind w:right="31"/>
              <w:spacing w:after="0"/>
              <w:rPr>
                <w:sz w:val="20"/>
                <w:szCs w:val="20"/>
                <w:color w:val="auto"/>
              </w:rPr>
            </w:pPr>
            <w:r>
              <w:rPr>
                <w:rFonts w:ascii="Arial" w:cs="Arial" w:eastAsia="Arial" w:hAnsi="Arial"/>
                <w:sz w:val="18"/>
                <w:szCs w:val="18"/>
                <w:color w:val="auto"/>
              </w:rPr>
              <w:t>31</w:t>
            </w:r>
          </w:p>
        </w:tc>
        <w:tc>
          <w:tcPr>
            <w:tcW w:w="100" w:type="dxa"/>
            <w:vAlign w:val="bottom"/>
            <w:shd w:val="clear" w:color="auto" w:fill="CCEEFF"/>
          </w:tcPr>
          <w:p>
            <w:pPr>
              <w:spacing w:after="0"/>
              <w:rPr>
                <w:sz w:val="23"/>
                <w:szCs w:val="23"/>
                <w:color w:val="auto"/>
              </w:rPr>
            </w:pPr>
          </w:p>
        </w:tc>
        <w:tc>
          <w:tcPr>
            <w:tcW w:w="90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3</w:t>
            </w:r>
          </w:p>
        </w:tc>
        <w:tc>
          <w:tcPr>
            <w:tcW w:w="120" w:type="dxa"/>
            <w:vAlign w:val="bottom"/>
            <w:shd w:val="clear" w:color="auto" w:fill="CCEEFF"/>
          </w:tcPr>
          <w:p>
            <w:pPr>
              <w:spacing w:after="0"/>
              <w:rPr>
                <w:sz w:val="23"/>
                <w:szCs w:val="23"/>
                <w:color w:val="auto"/>
              </w:rPr>
            </w:pPr>
          </w:p>
        </w:tc>
        <w:tc>
          <w:tcPr>
            <w:tcW w:w="90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34</w:t>
            </w:r>
          </w:p>
        </w:tc>
      </w:tr>
      <w:tr>
        <w:trPr>
          <w:trHeight w:val="263"/>
        </w:trPr>
        <w:tc>
          <w:tcPr>
            <w:tcW w:w="6400" w:type="dxa"/>
            <w:vAlign w:val="bottom"/>
          </w:tcPr>
          <w:p>
            <w:pPr>
              <w:ind w:left="40"/>
              <w:spacing w:after="0"/>
              <w:rPr>
                <w:sz w:val="20"/>
                <w:szCs w:val="20"/>
                <w:color w:val="auto"/>
              </w:rPr>
            </w:pPr>
            <w:r>
              <w:rPr>
                <w:rFonts w:ascii="Arial" w:cs="Arial" w:eastAsia="Arial" w:hAnsi="Arial"/>
                <w:sz w:val="18"/>
                <w:szCs w:val="18"/>
                <w:color w:val="auto"/>
              </w:rPr>
              <w:t>Boeing 767-300ER</w:t>
            </w:r>
          </w:p>
        </w:tc>
        <w:tc>
          <w:tcPr>
            <w:tcW w:w="940" w:type="dxa"/>
            <w:vAlign w:val="bottom"/>
          </w:tcPr>
          <w:p>
            <w:pPr>
              <w:jc w:val="right"/>
              <w:ind w:right="33"/>
              <w:spacing w:after="0"/>
              <w:rPr>
                <w:sz w:val="20"/>
                <w:szCs w:val="20"/>
                <w:color w:val="auto"/>
              </w:rPr>
            </w:pPr>
            <w:r>
              <w:rPr>
                <w:rFonts w:ascii="Arial" w:cs="Arial" w:eastAsia="Arial" w:hAnsi="Arial"/>
                <w:sz w:val="18"/>
                <w:szCs w:val="18"/>
                <w:color w:val="auto"/>
              </w:rPr>
              <w:t>209</w:t>
            </w:r>
          </w:p>
        </w:tc>
        <w:tc>
          <w:tcPr>
            <w:tcW w:w="120" w:type="dxa"/>
            <w:vAlign w:val="bottom"/>
          </w:tcPr>
          <w:p>
            <w:pPr>
              <w:spacing w:after="0"/>
              <w:rPr>
                <w:sz w:val="22"/>
                <w:szCs w:val="22"/>
                <w:color w:val="auto"/>
              </w:rPr>
            </w:pPr>
          </w:p>
        </w:tc>
        <w:tc>
          <w:tcPr>
            <w:tcW w:w="920" w:type="dxa"/>
            <w:vAlign w:val="bottom"/>
          </w:tcPr>
          <w:p>
            <w:pPr>
              <w:jc w:val="right"/>
              <w:ind w:right="13"/>
              <w:spacing w:after="0"/>
              <w:rPr>
                <w:sz w:val="20"/>
                <w:szCs w:val="20"/>
                <w:color w:val="auto"/>
              </w:rPr>
            </w:pPr>
            <w:r>
              <w:rPr>
                <w:rFonts w:ascii="Arial" w:cs="Arial" w:eastAsia="Arial" w:hAnsi="Arial"/>
                <w:sz w:val="18"/>
                <w:szCs w:val="18"/>
                <w:color w:val="auto"/>
              </w:rPr>
              <w:t>19.9</w:t>
            </w:r>
          </w:p>
        </w:tc>
        <w:tc>
          <w:tcPr>
            <w:tcW w:w="100" w:type="dxa"/>
            <w:vAlign w:val="bottom"/>
          </w:tcPr>
          <w:p>
            <w:pPr>
              <w:spacing w:after="0"/>
              <w:rPr>
                <w:sz w:val="22"/>
                <w:szCs w:val="22"/>
                <w:color w:val="auto"/>
              </w:rPr>
            </w:pPr>
          </w:p>
        </w:tc>
        <w:tc>
          <w:tcPr>
            <w:tcW w:w="920" w:type="dxa"/>
            <w:vAlign w:val="bottom"/>
          </w:tcPr>
          <w:p>
            <w:pPr>
              <w:jc w:val="right"/>
              <w:ind w:right="31"/>
              <w:spacing w:after="0"/>
              <w:rPr>
                <w:sz w:val="20"/>
                <w:szCs w:val="20"/>
                <w:color w:val="auto"/>
              </w:rPr>
            </w:pPr>
            <w:r>
              <w:rPr>
                <w:rFonts w:ascii="Arial" w:cs="Arial" w:eastAsia="Arial" w:hAnsi="Arial"/>
                <w:sz w:val="18"/>
                <w:szCs w:val="18"/>
                <w:color w:val="auto"/>
              </w:rPr>
              <w:t>17</w:t>
            </w:r>
          </w:p>
        </w:tc>
        <w:tc>
          <w:tcPr>
            <w:tcW w:w="100" w:type="dxa"/>
            <w:vAlign w:val="bottom"/>
          </w:tcPr>
          <w:p>
            <w:pPr>
              <w:spacing w:after="0"/>
              <w:rPr>
                <w:sz w:val="22"/>
                <w:szCs w:val="22"/>
                <w:color w:val="auto"/>
              </w:rPr>
            </w:pPr>
          </w:p>
        </w:tc>
        <w:tc>
          <w:tcPr>
            <w:tcW w:w="10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900" w:type="dxa"/>
            <w:vAlign w:val="bottom"/>
          </w:tcPr>
          <w:p>
            <w:pPr>
              <w:jc w:val="right"/>
              <w:ind w:right="11"/>
              <w:spacing w:after="0"/>
              <w:rPr>
                <w:sz w:val="20"/>
                <w:szCs w:val="20"/>
                <w:color w:val="auto"/>
              </w:rPr>
            </w:pPr>
            <w:r>
              <w:rPr>
                <w:rFonts w:ascii="Arial" w:cs="Arial" w:eastAsia="Arial" w:hAnsi="Arial"/>
                <w:sz w:val="18"/>
                <w:szCs w:val="18"/>
                <w:color w:val="auto"/>
              </w:rPr>
              <w:t>17</w:t>
            </w:r>
          </w:p>
        </w:tc>
      </w:tr>
      <w:tr>
        <w:trPr>
          <w:trHeight w:val="277"/>
        </w:trPr>
        <w:tc>
          <w:tcPr>
            <w:tcW w:w="6400" w:type="dxa"/>
            <w:vAlign w:val="bottom"/>
            <w:shd w:val="clear" w:color="auto" w:fill="CCEEFF"/>
          </w:tcPr>
          <w:p>
            <w:pPr>
              <w:ind w:left="40"/>
              <w:spacing w:after="0"/>
              <w:rPr>
                <w:sz w:val="20"/>
                <w:szCs w:val="20"/>
                <w:color w:val="auto"/>
              </w:rPr>
            </w:pPr>
            <w:r>
              <w:rPr>
                <w:rFonts w:ascii="Arial" w:cs="Arial" w:eastAsia="Arial" w:hAnsi="Arial"/>
                <w:sz w:val="18"/>
                <w:szCs w:val="18"/>
                <w:color w:val="auto"/>
              </w:rPr>
              <w:t>Boeing 777-200ER</w:t>
            </w:r>
          </w:p>
        </w:tc>
        <w:tc>
          <w:tcPr>
            <w:tcW w:w="940" w:type="dxa"/>
            <w:vAlign w:val="bottom"/>
            <w:shd w:val="clear" w:color="auto" w:fill="CCEEFF"/>
          </w:tcPr>
          <w:p>
            <w:pPr>
              <w:jc w:val="right"/>
              <w:ind w:right="33"/>
              <w:spacing w:after="0"/>
              <w:rPr>
                <w:sz w:val="20"/>
                <w:szCs w:val="20"/>
                <w:color w:val="auto"/>
              </w:rPr>
            </w:pPr>
            <w:r>
              <w:rPr>
                <w:rFonts w:ascii="Arial" w:cs="Arial" w:eastAsia="Arial" w:hAnsi="Arial"/>
                <w:sz w:val="18"/>
                <w:szCs w:val="18"/>
                <w:color w:val="auto"/>
              </w:rPr>
              <w:t>273</w:t>
            </w:r>
          </w:p>
        </w:tc>
        <w:tc>
          <w:tcPr>
            <w:tcW w:w="120" w:type="dxa"/>
            <w:vAlign w:val="bottom"/>
            <w:shd w:val="clear" w:color="auto" w:fill="CCEEFF"/>
          </w:tcPr>
          <w:p>
            <w:pPr>
              <w:spacing w:after="0"/>
              <w:rPr>
                <w:sz w:val="24"/>
                <w:szCs w:val="24"/>
                <w:color w:val="auto"/>
              </w:rPr>
            </w:pPr>
          </w:p>
        </w:tc>
        <w:tc>
          <w:tcPr>
            <w:tcW w:w="920" w:type="dxa"/>
            <w:vAlign w:val="bottom"/>
            <w:shd w:val="clear" w:color="auto" w:fill="CCEEFF"/>
          </w:tcPr>
          <w:p>
            <w:pPr>
              <w:jc w:val="right"/>
              <w:ind w:right="13"/>
              <w:spacing w:after="0"/>
              <w:rPr>
                <w:sz w:val="20"/>
                <w:szCs w:val="20"/>
                <w:color w:val="auto"/>
              </w:rPr>
            </w:pPr>
            <w:r>
              <w:rPr>
                <w:rFonts w:ascii="Arial" w:cs="Arial" w:eastAsia="Arial" w:hAnsi="Arial"/>
                <w:sz w:val="18"/>
                <w:szCs w:val="18"/>
                <w:color w:val="auto"/>
              </w:rPr>
              <w:t>19.0</w:t>
            </w:r>
          </w:p>
        </w:tc>
        <w:tc>
          <w:tcPr>
            <w:tcW w:w="100" w:type="dxa"/>
            <w:vAlign w:val="bottom"/>
            <w:shd w:val="clear" w:color="auto" w:fill="CCEEFF"/>
          </w:tcPr>
          <w:p>
            <w:pPr>
              <w:spacing w:after="0"/>
              <w:rPr>
                <w:sz w:val="24"/>
                <w:szCs w:val="24"/>
                <w:color w:val="auto"/>
              </w:rPr>
            </w:pPr>
          </w:p>
        </w:tc>
        <w:tc>
          <w:tcPr>
            <w:tcW w:w="920" w:type="dxa"/>
            <w:vAlign w:val="bottom"/>
            <w:shd w:val="clear" w:color="auto" w:fill="CCEEFF"/>
          </w:tcPr>
          <w:p>
            <w:pPr>
              <w:jc w:val="right"/>
              <w:ind w:right="31"/>
              <w:spacing w:after="0"/>
              <w:rPr>
                <w:sz w:val="20"/>
                <w:szCs w:val="20"/>
                <w:color w:val="auto"/>
              </w:rPr>
            </w:pPr>
            <w:r>
              <w:rPr>
                <w:rFonts w:ascii="Arial" w:cs="Arial" w:eastAsia="Arial" w:hAnsi="Arial"/>
                <w:sz w:val="18"/>
                <w:szCs w:val="18"/>
                <w:color w:val="auto"/>
              </w:rPr>
              <w:t>44</w:t>
            </w:r>
          </w:p>
        </w:tc>
        <w:tc>
          <w:tcPr>
            <w:tcW w:w="100" w:type="dxa"/>
            <w:vAlign w:val="bottom"/>
            <w:shd w:val="clear" w:color="auto" w:fill="CCEEFF"/>
          </w:tcPr>
          <w:p>
            <w:pPr>
              <w:spacing w:after="0"/>
              <w:rPr>
                <w:sz w:val="24"/>
                <w:szCs w:val="24"/>
                <w:color w:val="auto"/>
              </w:rPr>
            </w:pPr>
          </w:p>
        </w:tc>
        <w:tc>
          <w:tcPr>
            <w:tcW w:w="90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3</w:t>
            </w:r>
          </w:p>
        </w:tc>
        <w:tc>
          <w:tcPr>
            <w:tcW w:w="120" w:type="dxa"/>
            <w:vAlign w:val="bottom"/>
            <w:shd w:val="clear" w:color="auto" w:fill="CCEEFF"/>
          </w:tcPr>
          <w:p>
            <w:pPr>
              <w:spacing w:after="0"/>
              <w:rPr>
                <w:sz w:val="24"/>
                <w:szCs w:val="24"/>
                <w:color w:val="auto"/>
              </w:rPr>
            </w:pPr>
          </w:p>
        </w:tc>
        <w:tc>
          <w:tcPr>
            <w:tcW w:w="90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47</w:t>
            </w:r>
          </w:p>
        </w:tc>
      </w:tr>
      <w:tr>
        <w:trPr>
          <w:trHeight w:val="263"/>
        </w:trPr>
        <w:tc>
          <w:tcPr>
            <w:tcW w:w="6400" w:type="dxa"/>
            <w:vAlign w:val="bottom"/>
          </w:tcPr>
          <w:p>
            <w:pPr>
              <w:ind w:left="40"/>
              <w:spacing w:after="0"/>
              <w:rPr>
                <w:sz w:val="20"/>
                <w:szCs w:val="20"/>
                <w:color w:val="auto"/>
              </w:rPr>
            </w:pPr>
            <w:r>
              <w:rPr>
                <w:rFonts w:ascii="Arial" w:cs="Arial" w:eastAsia="Arial" w:hAnsi="Arial"/>
                <w:sz w:val="18"/>
                <w:szCs w:val="18"/>
                <w:color w:val="auto"/>
              </w:rPr>
              <w:t>Boeing 777-300ER</w:t>
            </w:r>
          </w:p>
        </w:tc>
        <w:tc>
          <w:tcPr>
            <w:tcW w:w="940" w:type="dxa"/>
            <w:vAlign w:val="bottom"/>
          </w:tcPr>
          <w:p>
            <w:pPr>
              <w:jc w:val="right"/>
              <w:ind w:right="33"/>
              <w:spacing w:after="0"/>
              <w:rPr>
                <w:sz w:val="20"/>
                <w:szCs w:val="20"/>
                <w:color w:val="auto"/>
              </w:rPr>
            </w:pPr>
            <w:r>
              <w:rPr>
                <w:rFonts w:ascii="Arial" w:cs="Arial" w:eastAsia="Arial" w:hAnsi="Arial"/>
                <w:sz w:val="18"/>
                <w:szCs w:val="18"/>
                <w:color w:val="auto"/>
              </w:rPr>
              <w:t>304</w:t>
            </w:r>
          </w:p>
        </w:tc>
        <w:tc>
          <w:tcPr>
            <w:tcW w:w="120" w:type="dxa"/>
            <w:vAlign w:val="bottom"/>
          </w:tcPr>
          <w:p>
            <w:pPr>
              <w:spacing w:after="0"/>
              <w:rPr>
                <w:sz w:val="22"/>
                <w:szCs w:val="22"/>
                <w:color w:val="auto"/>
              </w:rPr>
            </w:pPr>
          </w:p>
        </w:tc>
        <w:tc>
          <w:tcPr>
            <w:tcW w:w="920" w:type="dxa"/>
            <w:vAlign w:val="bottom"/>
          </w:tcPr>
          <w:p>
            <w:pPr>
              <w:jc w:val="right"/>
              <w:ind w:right="13"/>
              <w:spacing w:after="0"/>
              <w:rPr>
                <w:sz w:val="20"/>
                <w:szCs w:val="20"/>
                <w:color w:val="auto"/>
              </w:rPr>
            </w:pPr>
            <w:r>
              <w:rPr>
                <w:rFonts w:ascii="Arial" w:cs="Arial" w:eastAsia="Arial" w:hAnsi="Arial"/>
                <w:sz w:val="18"/>
                <w:szCs w:val="18"/>
                <w:color w:val="auto"/>
              </w:rPr>
              <w:t>5.8</w:t>
            </w:r>
          </w:p>
        </w:tc>
        <w:tc>
          <w:tcPr>
            <w:tcW w:w="100" w:type="dxa"/>
            <w:vAlign w:val="bottom"/>
          </w:tcPr>
          <w:p>
            <w:pPr>
              <w:spacing w:after="0"/>
              <w:rPr>
                <w:sz w:val="22"/>
                <w:szCs w:val="22"/>
                <w:color w:val="auto"/>
              </w:rPr>
            </w:pPr>
          </w:p>
        </w:tc>
        <w:tc>
          <w:tcPr>
            <w:tcW w:w="920" w:type="dxa"/>
            <w:vAlign w:val="bottom"/>
          </w:tcPr>
          <w:p>
            <w:pPr>
              <w:jc w:val="right"/>
              <w:ind w:right="31"/>
              <w:spacing w:after="0"/>
              <w:rPr>
                <w:sz w:val="20"/>
                <w:szCs w:val="20"/>
                <w:color w:val="auto"/>
              </w:rPr>
            </w:pPr>
            <w:r>
              <w:rPr>
                <w:rFonts w:ascii="Arial" w:cs="Arial" w:eastAsia="Arial" w:hAnsi="Arial"/>
                <w:sz w:val="18"/>
                <w:szCs w:val="18"/>
                <w:color w:val="auto"/>
              </w:rPr>
              <w:t>18</w:t>
            </w:r>
          </w:p>
        </w:tc>
        <w:tc>
          <w:tcPr>
            <w:tcW w:w="100" w:type="dxa"/>
            <w:vAlign w:val="bottom"/>
          </w:tcPr>
          <w:p>
            <w:pPr>
              <w:spacing w:after="0"/>
              <w:rPr>
                <w:sz w:val="22"/>
                <w:szCs w:val="22"/>
                <w:color w:val="auto"/>
              </w:rPr>
            </w:pPr>
          </w:p>
        </w:tc>
        <w:tc>
          <w:tcPr>
            <w:tcW w:w="900" w:type="dxa"/>
            <w:vAlign w:val="bottom"/>
          </w:tcPr>
          <w:p>
            <w:pPr>
              <w:jc w:val="right"/>
              <w:ind w:right="11"/>
              <w:spacing w:after="0"/>
              <w:rPr>
                <w:sz w:val="20"/>
                <w:szCs w:val="20"/>
                <w:color w:val="auto"/>
              </w:rPr>
            </w:pPr>
            <w:r>
              <w:rPr>
                <w:rFonts w:ascii="Arial" w:cs="Arial" w:eastAsia="Arial" w:hAnsi="Arial"/>
                <w:sz w:val="18"/>
                <w:szCs w:val="18"/>
                <w:color w:val="auto"/>
              </w:rPr>
              <w:t>2</w:t>
            </w:r>
          </w:p>
        </w:tc>
        <w:tc>
          <w:tcPr>
            <w:tcW w:w="120" w:type="dxa"/>
            <w:vAlign w:val="bottom"/>
          </w:tcPr>
          <w:p>
            <w:pPr>
              <w:spacing w:after="0"/>
              <w:rPr>
                <w:sz w:val="22"/>
                <w:szCs w:val="22"/>
                <w:color w:val="auto"/>
              </w:rPr>
            </w:pPr>
          </w:p>
        </w:tc>
        <w:tc>
          <w:tcPr>
            <w:tcW w:w="900" w:type="dxa"/>
            <w:vAlign w:val="bottom"/>
          </w:tcPr>
          <w:p>
            <w:pPr>
              <w:jc w:val="right"/>
              <w:ind w:right="11"/>
              <w:spacing w:after="0"/>
              <w:rPr>
                <w:sz w:val="20"/>
                <w:szCs w:val="20"/>
                <w:color w:val="auto"/>
              </w:rPr>
            </w:pPr>
            <w:r>
              <w:rPr>
                <w:rFonts w:ascii="Arial" w:cs="Arial" w:eastAsia="Arial" w:hAnsi="Arial"/>
                <w:sz w:val="18"/>
                <w:szCs w:val="18"/>
                <w:color w:val="auto"/>
              </w:rPr>
              <w:t>20</w:t>
            </w:r>
          </w:p>
        </w:tc>
      </w:tr>
      <w:tr>
        <w:trPr>
          <w:trHeight w:val="277"/>
        </w:trPr>
        <w:tc>
          <w:tcPr>
            <w:tcW w:w="6400" w:type="dxa"/>
            <w:vAlign w:val="bottom"/>
            <w:shd w:val="clear" w:color="auto" w:fill="CCEEFF"/>
          </w:tcPr>
          <w:p>
            <w:pPr>
              <w:ind w:left="40"/>
              <w:spacing w:after="0"/>
              <w:rPr>
                <w:sz w:val="20"/>
                <w:szCs w:val="20"/>
                <w:color w:val="auto"/>
              </w:rPr>
            </w:pPr>
            <w:r>
              <w:rPr>
                <w:rFonts w:ascii="Arial" w:cs="Arial" w:eastAsia="Arial" w:hAnsi="Arial"/>
                <w:sz w:val="18"/>
                <w:szCs w:val="18"/>
                <w:color w:val="auto"/>
              </w:rPr>
              <w:t>Boeing 787-8</w:t>
            </w:r>
          </w:p>
        </w:tc>
        <w:tc>
          <w:tcPr>
            <w:tcW w:w="940" w:type="dxa"/>
            <w:vAlign w:val="bottom"/>
            <w:shd w:val="clear" w:color="auto" w:fill="CCEEFF"/>
          </w:tcPr>
          <w:p>
            <w:pPr>
              <w:jc w:val="right"/>
              <w:ind w:right="33"/>
              <w:spacing w:after="0"/>
              <w:rPr>
                <w:sz w:val="20"/>
                <w:szCs w:val="20"/>
                <w:color w:val="auto"/>
              </w:rPr>
            </w:pPr>
            <w:r>
              <w:rPr>
                <w:rFonts w:ascii="Arial" w:cs="Arial" w:eastAsia="Arial" w:hAnsi="Arial"/>
                <w:sz w:val="18"/>
                <w:szCs w:val="18"/>
                <w:color w:val="auto"/>
              </w:rPr>
              <w:t>234</w:t>
            </w:r>
          </w:p>
        </w:tc>
        <w:tc>
          <w:tcPr>
            <w:tcW w:w="120" w:type="dxa"/>
            <w:vAlign w:val="bottom"/>
            <w:shd w:val="clear" w:color="auto" w:fill="CCEEFF"/>
          </w:tcPr>
          <w:p>
            <w:pPr>
              <w:spacing w:after="0"/>
              <w:rPr>
                <w:sz w:val="24"/>
                <w:szCs w:val="24"/>
                <w:color w:val="auto"/>
              </w:rPr>
            </w:pPr>
          </w:p>
        </w:tc>
        <w:tc>
          <w:tcPr>
            <w:tcW w:w="920" w:type="dxa"/>
            <w:vAlign w:val="bottom"/>
            <w:shd w:val="clear" w:color="auto" w:fill="CCEEFF"/>
          </w:tcPr>
          <w:p>
            <w:pPr>
              <w:jc w:val="right"/>
              <w:ind w:right="13"/>
              <w:spacing w:after="0"/>
              <w:rPr>
                <w:sz w:val="20"/>
                <w:szCs w:val="20"/>
                <w:color w:val="auto"/>
              </w:rPr>
            </w:pPr>
            <w:r>
              <w:rPr>
                <w:rFonts w:ascii="Arial" w:cs="Arial" w:eastAsia="Arial" w:hAnsi="Arial"/>
                <w:sz w:val="18"/>
                <w:szCs w:val="18"/>
                <w:color w:val="auto"/>
              </w:rPr>
              <w:t>4.1</w:t>
            </w:r>
          </w:p>
        </w:tc>
        <w:tc>
          <w:tcPr>
            <w:tcW w:w="100" w:type="dxa"/>
            <w:vAlign w:val="bottom"/>
            <w:shd w:val="clear" w:color="auto" w:fill="CCEEFF"/>
          </w:tcPr>
          <w:p>
            <w:pPr>
              <w:spacing w:after="0"/>
              <w:rPr>
                <w:sz w:val="24"/>
                <w:szCs w:val="24"/>
                <w:color w:val="auto"/>
              </w:rPr>
            </w:pPr>
          </w:p>
        </w:tc>
        <w:tc>
          <w:tcPr>
            <w:tcW w:w="920" w:type="dxa"/>
            <w:vAlign w:val="bottom"/>
            <w:shd w:val="clear" w:color="auto" w:fill="CCEEFF"/>
          </w:tcPr>
          <w:p>
            <w:pPr>
              <w:jc w:val="right"/>
              <w:ind w:right="31"/>
              <w:spacing w:after="0"/>
              <w:rPr>
                <w:sz w:val="20"/>
                <w:szCs w:val="20"/>
                <w:color w:val="auto"/>
              </w:rPr>
            </w:pPr>
            <w:r>
              <w:rPr>
                <w:rFonts w:ascii="Arial" w:cs="Arial" w:eastAsia="Arial" w:hAnsi="Arial"/>
                <w:sz w:val="18"/>
                <w:szCs w:val="18"/>
                <w:color w:val="auto"/>
              </w:rPr>
              <w:t>20</w:t>
            </w:r>
          </w:p>
        </w:tc>
        <w:tc>
          <w:tcPr>
            <w:tcW w:w="100" w:type="dxa"/>
            <w:vAlign w:val="bottom"/>
            <w:shd w:val="clear" w:color="auto" w:fill="CCEEFF"/>
          </w:tcPr>
          <w:p>
            <w:pPr>
              <w:spacing w:after="0"/>
              <w:rPr>
                <w:sz w:val="24"/>
                <w:szCs w:val="24"/>
                <w:color w:val="auto"/>
              </w:rPr>
            </w:pPr>
          </w:p>
        </w:tc>
        <w:tc>
          <w:tcPr>
            <w:tcW w:w="10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90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20</w:t>
            </w:r>
          </w:p>
        </w:tc>
      </w:tr>
      <w:tr>
        <w:trPr>
          <w:trHeight w:val="263"/>
        </w:trPr>
        <w:tc>
          <w:tcPr>
            <w:tcW w:w="6400" w:type="dxa"/>
            <w:vAlign w:val="bottom"/>
          </w:tcPr>
          <w:p>
            <w:pPr>
              <w:ind w:left="40"/>
              <w:spacing w:after="0"/>
              <w:rPr>
                <w:sz w:val="20"/>
                <w:szCs w:val="20"/>
                <w:color w:val="auto"/>
              </w:rPr>
            </w:pPr>
            <w:r>
              <w:rPr>
                <w:rFonts w:ascii="Arial" w:cs="Arial" w:eastAsia="Arial" w:hAnsi="Arial"/>
                <w:sz w:val="18"/>
                <w:szCs w:val="18"/>
                <w:color w:val="auto"/>
              </w:rPr>
              <w:t>Boeing 787-9</w:t>
            </w:r>
          </w:p>
        </w:tc>
        <w:tc>
          <w:tcPr>
            <w:tcW w:w="940" w:type="dxa"/>
            <w:vAlign w:val="bottom"/>
          </w:tcPr>
          <w:p>
            <w:pPr>
              <w:jc w:val="right"/>
              <w:ind w:right="33"/>
              <w:spacing w:after="0"/>
              <w:rPr>
                <w:sz w:val="20"/>
                <w:szCs w:val="20"/>
                <w:color w:val="auto"/>
              </w:rPr>
            </w:pPr>
            <w:r>
              <w:rPr>
                <w:rFonts w:ascii="Arial" w:cs="Arial" w:eastAsia="Arial" w:hAnsi="Arial"/>
                <w:sz w:val="18"/>
                <w:szCs w:val="18"/>
                <w:color w:val="auto"/>
              </w:rPr>
              <w:t>285</w:t>
            </w:r>
          </w:p>
        </w:tc>
        <w:tc>
          <w:tcPr>
            <w:tcW w:w="120" w:type="dxa"/>
            <w:vAlign w:val="bottom"/>
          </w:tcPr>
          <w:p>
            <w:pPr>
              <w:spacing w:after="0"/>
              <w:rPr>
                <w:sz w:val="22"/>
                <w:szCs w:val="22"/>
                <w:color w:val="auto"/>
              </w:rPr>
            </w:pPr>
          </w:p>
        </w:tc>
        <w:tc>
          <w:tcPr>
            <w:tcW w:w="920" w:type="dxa"/>
            <w:vAlign w:val="bottom"/>
          </w:tcPr>
          <w:p>
            <w:pPr>
              <w:jc w:val="right"/>
              <w:ind w:right="13"/>
              <w:spacing w:after="0"/>
              <w:rPr>
                <w:sz w:val="20"/>
                <w:szCs w:val="20"/>
                <w:color w:val="auto"/>
              </w:rPr>
            </w:pPr>
            <w:r>
              <w:rPr>
                <w:rFonts w:ascii="Arial" w:cs="Arial" w:eastAsia="Arial" w:hAnsi="Arial"/>
                <w:sz w:val="18"/>
                <w:szCs w:val="18"/>
                <w:color w:val="auto"/>
              </w:rPr>
              <w:t>2.2</w:t>
            </w:r>
          </w:p>
        </w:tc>
        <w:tc>
          <w:tcPr>
            <w:tcW w:w="100" w:type="dxa"/>
            <w:vAlign w:val="bottom"/>
          </w:tcPr>
          <w:p>
            <w:pPr>
              <w:spacing w:after="0"/>
              <w:rPr>
                <w:sz w:val="22"/>
                <w:szCs w:val="22"/>
                <w:color w:val="auto"/>
              </w:rPr>
            </w:pPr>
          </w:p>
        </w:tc>
        <w:tc>
          <w:tcPr>
            <w:tcW w:w="920" w:type="dxa"/>
            <w:vAlign w:val="bottom"/>
          </w:tcPr>
          <w:p>
            <w:pPr>
              <w:jc w:val="right"/>
              <w:ind w:right="31"/>
              <w:spacing w:after="0"/>
              <w:rPr>
                <w:sz w:val="20"/>
                <w:szCs w:val="20"/>
                <w:color w:val="auto"/>
              </w:rPr>
            </w:pPr>
            <w:r>
              <w:rPr>
                <w:rFonts w:ascii="Arial" w:cs="Arial" w:eastAsia="Arial" w:hAnsi="Arial"/>
                <w:sz w:val="18"/>
                <w:szCs w:val="18"/>
                <w:color w:val="auto"/>
              </w:rPr>
              <w:t>17</w:t>
            </w:r>
          </w:p>
        </w:tc>
        <w:tc>
          <w:tcPr>
            <w:tcW w:w="100" w:type="dxa"/>
            <w:vAlign w:val="bottom"/>
          </w:tcPr>
          <w:p>
            <w:pPr>
              <w:spacing w:after="0"/>
              <w:rPr>
                <w:sz w:val="22"/>
                <w:szCs w:val="22"/>
                <w:color w:val="auto"/>
              </w:rPr>
            </w:pPr>
          </w:p>
        </w:tc>
        <w:tc>
          <w:tcPr>
            <w:tcW w:w="900" w:type="dxa"/>
            <w:vAlign w:val="bottom"/>
          </w:tcPr>
          <w:p>
            <w:pPr>
              <w:jc w:val="right"/>
              <w:ind w:right="11"/>
              <w:spacing w:after="0"/>
              <w:rPr>
                <w:sz w:val="20"/>
                <w:szCs w:val="20"/>
                <w:color w:val="auto"/>
              </w:rPr>
            </w:pPr>
            <w:r>
              <w:rPr>
                <w:rFonts w:ascii="Arial" w:cs="Arial" w:eastAsia="Arial" w:hAnsi="Arial"/>
                <w:sz w:val="18"/>
                <w:szCs w:val="18"/>
                <w:color w:val="auto"/>
              </w:rPr>
              <w:t>5</w:t>
            </w:r>
          </w:p>
        </w:tc>
        <w:tc>
          <w:tcPr>
            <w:tcW w:w="120" w:type="dxa"/>
            <w:vAlign w:val="bottom"/>
          </w:tcPr>
          <w:p>
            <w:pPr>
              <w:spacing w:after="0"/>
              <w:rPr>
                <w:sz w:val="22"/>
                <w:szCs w:val="22"/>
                <w:color w:val="auto"/>
              </w:rPr>
            </w:pPr>
          </w:p>
        </w:tc>
        <w:tc>
          <w:tcPr>
            <w:tcW w:w="900" w:type="dxa"/>
            <w:vAlign w:val="bottom"/>
          </w:tcPr>
          <w:p>
            <w:pPr>
              <w:jc w:val="right"/>
              <w:ind w:right="11"/>
              <w:spacing w:after="0"/>
              <w:rPr>
                <w:sz w:val="20"/>
                <w:szCs w:val="20"/>
                <w:color w:val="auto"/>
              </w:rPr>
            </w:pPr>
            <w:r>
              <w:rPr>
                <w:rFonts w:ascii="Arial" w:cs="Arial" w:eastAsia="Arial" w:hAnsi="Arial"/>
                <w:sz w:val="18"/>
                <w:szCs w:val="18"/>
                <w:color w:val="auto"/>
              </w:rPr>
              <w:t>22</w:t>
            </w:r>
          </w:p>
        </w:tc>
      </w:tr>
      <w:tr>
        <w:trPr>
          <w:trHeight w:val="277"/>
        </w:trPr>
        <w:tc>
          <w:tcPr>
            <w:tcW w:w="6400" w:type="dxa"/>
            <w:vAlign w:val="bottom"/>
            <w:shd w:val="clear" w:color="auto" w:fill="CCEEFF"/>
          </w:tcPr>
          <w:p>
            <w:pPr>
              <w:ind w:left="40"/>
              <w:spacing w:after="0"/>
              <w:rPr>
                <w:sz w:val="20"/>
                <w:szCs w:val="20"/>
                <w:color w:val="auto"/>
              </w:rPr>
            </w:pPr>
            <w:r>
              <w:rPr>
                <w:rFonts w:ascii="Arial" w:cs="Arial" w:eastAsia="Arial" w:hAnsi="Arial"/>
                <w:sz w:val="18"/>
                <w:szCs w:val="18"/>
                <w:color w:val="auto"/>
              </w:rPr>
              <w:t>Embraer 190</w:t>
            </w:r>
          </w:p>
        </w:tc>
        <w:tc>
          <w:tcPr>
            <w:tcW w:w="940" w:type="dxa"/>
            <w:vAlign w:val="bottom"/>
            <w:shd w:val="clear" w:color="auto" w:fill="CCEEFF"/>
          </w:tcPr>
          <w:p>
            <w:pPr>
              <w:jc w:val="right"/>
              <w:ind w:right="33"/>
              <w:spacing w:after="0"/>
              <w:rPr>
                <w:sz w:val="20"/>
                <w:szCs w:val="20"/>
                <w:color w:val="auto"/>
              </w:rPr>
            </w:pPr>
            <w:r>
              <w:rPr>
                <w:rFonts w:ascii="Arial" w:cs="Arial" w:eastAsia="Arial" w:hAnsi="Arial"/>
                <w:sz w:val="18"/>
                <w:szCs w:val="18"/>
                <w:color w:val="auto"/>
              </w:rPr>
              <w:t>99</w:t>
            </w:r>
          </w:p>
        </w:tc>
        <w:tc>
          <w:tcPr>
            <w:tcW w:w="120" w:type="dxa"/>
            <w:vAlign w:val="bottom"/>
            <w:shd w:val="clear" w:color="auto" w:fill="CCEEFF"/>
          </w:tcPr>
          <w:p>
            <w:pPr>
              <w:spacing w:after="0"/>
              <w:rPr>
                <w:sz w:val="24"/>
                <w:szCs w:val="24"/>
                <w:color w:val="auto"/>
              </w:rPr>
            </w:pPr>
          </w:p>
        </w:tc>
        <w:tc>
          <w:tcPr>
            <w:tcW w:w="920" w:type="dxa"/>
            <w:vAlign w:val="bottom"/>
            <w:shd w:val="clear" w:color="auto" w:fill="CCEEFF"/>
          </w:tcPr>
          <w:p>
            <w:pPr>
              <w:jc w:val="right"/>
              <w:ind w:right="13"/>
              <w:spacing w:after="0"/>
              <w:rPr>
                <w:sz w:val="20"/>
                <w:szCs w:val="20"/>
                <w:color w:val="auto"/>
              </w:rPr>
            </w:pPr>
            <w:r>
              <w:rPr>
                <w:rFonts w:ascii="Arial" w:cs="Arial" w:eastAsia="Arial" w:hAnsi="Arial"/>
                <w:sz w:val="18"/>
                <w:szCs w:val="18"/>
                <w:color w:val="auto"/>
              </w:rPr>
              <w:t>12.1</w:t>
            </w:r>
          </w:p>
        </w:tc>
        <w:tc>
          <w:tcPr>
            <w:tcW w:w="100" w:type="dxa"/>
            <w:vAlign w:val="bottom"/>
            <w:shd w:val="clear" w:color="auto" w:fill="CCEEFF"/>
          </w:tcPr>
          <w:p>
            <w:pPr>
              <w:spacing w:after="0"/>
              <w:rPr>
                <w:sz w:val="24"/>
                <w:szCs w:val="24"/>
                <w:color w:val="auto"/>
              </w:rPr>
            </w:pPr>
          </w:p>
        </w:tc>
        <w:tc>
          <w:tcPr>
            <w:tcW w:w="920" w:type="dxa"/>
            <w:vAlign w:val="bottom"/>
            <w:shd w:val="clear" w:color="auto" w:fill="CCEEFF"/>
          </w:tcPr>
          <w:p>
            <w:pPr>
              <w:jc w:val="right"/>
              <w:ind w:right="31"/>
              <w:spacing w:after="0"/>
              <w:rPr>
                <w:sz w:val="20"/>
                <w:szCs w:val="20"/>
                <w:color w:val="auto"/>
              </w:rPr>
            </w:pPr>
            <w:r>
              <w:rPr>
                <w:rFonts w:ascii="Arial" w:cs="Arial" w:eastAsia="Arial" w:hAnsi="Arial"/>
                <w:sz w:val="18"/>
                <w:szCs w:val="18"/>
                <w:color w:val="auto"/>
              </w:rPr>
              <w:t>20</w:t>
            </w:r>
          </w:p>
        </w:tc>
        <w:tc>
          <w:tcPr>
            <w:tcW w:w="100" w:type="dxa"/>
            <w:vAlign w:val="bottom"/>
            <w:shd w:val="clear" w:color="auto" w:fill="CCEEFF"/>
          </w:tcPr>
          <w:p>
            <w:pPr>
              <w:spacing w:after="0"/>
              <w:rPr>
                <w:sz w:val="24"/>
                <w:szCs w:val="24"/>
                <w:color w:val="auto"/>
              </w:rPr>
            </w:pPr>
          </w:p>
        </w:tc>
        <w:tc>
          <w:tcPr>
            <w:tcW w:w="10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90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20</w:t>
            </w:r>
          </w:p>
        </w:tc>
      </w:tr>
      <w:tr>
        <w:trPr>
          <w:trHeight w:val="244"/>
        </w:trPr>
        <w:tc>
          <w:tcPr>
            <w:tcW w:w="6400" w:type="dxa"/>
            <w:vAlign w:val="bottom"/>
          </w:tcPr>
          <w:p>
            <w:pPr>
              <w:ind w:left="40"/>
              <w:spacing w:after="0"/>
              <w:rPr>
                <w:sz w:val="20"/>
                <w:szCs w:val="20"/>
                <w:color w:val="auto"/>
              </w:rPr>
            </w:pPr>
            <w:r>
              <w:rPr>
                <w:rFonts w:ascii="Arial" w:cs="Arial" w:eastAsia="Arial" w:hAnsi="Arial"/>
                <w:sz w:val="18"/>
                <w:szCs w:val="18"/>
                <w:color w:val="auto"/>
              </w:rPr>
              <w:t>Total</w:t>
            </w:r>
          </w:p>
        </w:tc>
        <w:tc>
          <w:tcPr>
            <w:tcW w:w="9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920" w:type="dxa"/>
            <w:vAlign w:val="bottom"/>
            <w:tcBorders>
              <w:top w:val="single" w:sz="8" w:color="auto"/>
              <w:bottom w:val="single" w:sz="8" w:color="auto"/>
            </w:tcBorders>
          </w:tcPr>
          <w:p>
            <w:pPr>
              <w:jc w:val="right"/>
              <w:ind w:right="13"/>
              <w:spacing w:after="0"/>
              <w:rPr>
                <w:sz w:val="20"/>
                <w:szCs w:val="20"/>
                <w:color w:val="auto"/>
              </w:rPr>
            </w:pPr>
            <w:r>
              <w:rPr>
                <w:rFonts w:ascii="Arial" w:cs="Arial" w:eastAsia="Arial" w:hAnsi="Arial"/>
                <w:sz w:val="18"/>
                <w:szCs w:val="18"/>
                <w:color w:val="auto"/>
              </w:rPr>
              <w:t>11.0</w:t>
            </w:r>
          </w:p>
        </w:tc>
        <w:tc>
          <w:tcPr>
            <w:tcW w:w="100" w:type="dxa"/>
            <w:vAlign w:val="bottom"/>
          </w:tcPr>
          <w:p>
            <w:pPr>
              <w:spacing w:after="0"/>
              <w:rPr>
                <w:sz w:val="21"/>
                <w:szCs w:val="21"/>
                <w:color w:val="auto"/>
              </w:rPr>
            </w:pPr>
          </w:p>
        </w:tc>
        <w:tc>
          <w:tcPr>
            <w:tcW w:w="920" w:type="dxa"/>
            <w:vAlign w:val="bottom"/>
            <w:tcBorders>
              <w:top w:val="single" w:sz="8" w:color="auto"/>
              <w:bottom w:val="single" w:sz="8" w:color="auto"/>
            </w:tcBorders>
          </w:tcPr>
          <w:p>
            <w:pPr>
              <w:jc w:val="right"/>
              <w:ind w:right="31"/>
              <w:spacing w:after="0"/>
              <w:rPr>
                <w:sz w:val="20"/>
                <w:szCs w:val="20"/>
                <w:color w:val="auto"/>
              </w:rPr>
            </w:pPr>
            <w:r>
              <w:rPr>
                <w:rFonts w:ascii="Arial" w:cs="Arial" w:eastAsia="Arial" w:hAnsi="Arial"/>
                <w:sz w:val="18"/>
                <w:szCs w:val="18"/>
                <w:color w:val="auto"/>
              </w:rPr>
              <w:t>525</w:t>
            </w:r>
          </w:p>
        </w:tc>
        <w:tc>
          <w:tcPr>
            <w:tcW w:w="100" w:type="dxa"/>
            <w:vAlign w:val="bottom"/>
          </w:tcPr>
          <w:p>
            <w:pPr>
              <w:spacing w:after="0"/>
              <w:rPr>
                <w:sz w:val="21"/>
                <w:szCs w:val="21"/>
                <w:color w:val="auto"/>
              </w:rPr>
            </w:pPr>
          </w:p>
        </w:tc>
        <w:tc>
          <w:tcPr>
            <w:tcW w:w="900" w:type="dxa"/>
            <w:vAlign w:val="bottom"/>
            <w:tcBorders>
              <w:top w:val="single" w:sz="8" w:color="auto"/>
              <w:bottom w:val="single" w:sz="8" w:color="auto"/>
            </w:tcBorders>
          </w:tcPr>
          <w:p>
            <w:pPr>
              <w:jc w:val="right"/>
              <w:ind w:right="11"/>
              <w:spacing w:after="0"/>
              <w:rPr>
                <w:sz w:val="20"/>
                <w:szCs w:val="20"/>
                <w:color w:val="auto"/>
              </w:rPr>
            </w:pPr>
            <w:r>
              <w:rPr>
                <w:rFonts w:ascii="Arial" w:cs="Arial" w:eastAsia="Arial" w:hAnsi="Arial"/>
                <w:sz w:val="18"/>
                <w:szCs w:val="18"/>
                <w:color w:val="auto"/>
              </w:rPr>
              <w:t>417</w:t>
            </w:r>
          </w:p>
        </w:tc>
        <w:tc>
          <w:tcPr>
            <w:tcW w:w="120" w:type="dxa"/>
            <w:vAlign w:val="bottom"/>
          </w:tcPr>
          <w:p>
            <w:pPr>
              <w:spacing w:after="0"/>
              <w:rPr>
                <w:sz w:val="21"/>
                <w:szCs w:val="21"/>
                <w:color w:val="auto"/>
              </w:rPr>
            </w:pPr>
          </w:p>
        </w:tc>
        <w:tc>
          <w:tcPr>
            <w:tcW w:w="900" w:type="dxa"/>
            <w:vAlign w:val="bottom"/>
            <w:tcBorders>
              <w:top w:val="single" w:sz="8" w:color="auto"/>
              <w:bottom w:val="single" w:sz="8" w:color="auto"/>
            </w:tcBorders>
          </w:tcPr>
          <w:p>
            <w:pPr>
              <w:jc w:val="right"/>
              <w:ind w:right="11"/>
              <w:spacing w:after="0"/>
              <w:rPr>
                <w:sz w:val="20"/>
                <w:szCs w:val="20"/>
                <w:color w:val="auto"/>
              </w:rPr>
            </w:pPr>
            <w:r>
              <w:rPr>
                <w:rFonts w:ascii="Arial" w:cs="Arial" w:eastAsia="Arial" w:hAnsi="Arial"/>
                <w:sz w:val="18"/>
                <w:szCs w:val="18"/>
                <w:color w:val="auto"/>
              </w:rPr>
              <w:t>942</w:t>
            </w:r>
          </w:p>
        </w:tc>
      </w:tr>
      <w:tr>
        <w:trPr>
          <w:trHeight w:val="20"/>
        </w:trPr>
        <w:tc>
          <w:tcPr>
            <w:tcW w:w="640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163195</wp:posOffset>
            </wp:positionV>
            <wp:extent cx="1337945" cy="889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1337945" cy="8890"/>
                    </a:xfrm>
                    <a:prstGeom prst="rect">
                      <a:avLst/>
                    </a:prstGeom>
                    <a:noFill/>
                  </pic:spPr>
                </pic:pic>
              </a:graphicData>
            </a:graphic>
          </wp:anchor>
        </w:drawing>
      </w:r>
    </w:p>
    <w:p>
      <w:pPr>
        <w:spacing w:after="0" w:line="330" w:lineRule="exact"/>
        <w:rPr>
          <w:sz w:val="20"/>
          <w:szCs w:val="20"/>
          <w:color w:val="auto"/>
        </w:rPr>
      </w:pPr>
    </w:p>
    <w:p>
      <w:pPr>
        <w:ind w:left="340" w:hanging="332"/>
        <w:spacing w:after="0" w:line="225" w:lineRule="auto"/>
        <w:tabs>
          <w:tab w:leader="none" w:pos="340" w:val="left"/>
        </w:tabs>
        <w:numPr>
          <w:ilvl w:val="0"/>
          <w:numId w:val="13"/>
        </w:numPr>
        <w:rPr>
          <w:rFonts w:ascii="Arial" w:cs="Arial" w:eastAsia="Arial" w:hAnsi="Arial"/>
          <w:sz w:val="22"/>
          <w:szCs w:val="22"/>
          <w:color w:val="auto"/>
          <w:vertAlign w:val="superscript"/>
        </w:rPr>
      </w:pPr>
      <w:r>
        <w:rPr>
          <w:rFonts w:ascii="Arial" w:cs="Arial" w:eastAsia="Arial" w:hAnsi="Arial"/>
          <w:sz w:val="18"/>
          <w:szCs w:val="18"/>
          <w:color w:val="auto"/>
        </w:rPr>
        <w:t>On March 13, 2019, a directive from the FAA grounded all U.S.-registered Boeing 737 MAX aircraft. We have removed all Boeing 737 MAX flying from our flight schedule through August 17, 2020 and will continue to assess this timeline.</w:t>
      </w:r>
    </w:p>
    <w:p>
      <w:pPr>
        <w:spacing w:after="0" w:line="21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37</w:t>
      </w:r>
    </w:p>
    <w:p>
      <w:pPr>
        <w:sectPr>
          <w:pgSz w:w="11900" w:h="16838" w:orient="portrait"/>
          <w:cols w:equalWidth="0" w:num="1">
            <w:col w:w="11420"/>
          </w:cols>
          <w:pgMar w:left="240" w:top="792" w:right="239" w:bottom="1440" w:gutter="0" w:footer="0" w:header="0"/>
        </w:sectPr>
      </w:pPr>
    </w:p>
    <w:bookmarkStart w:id="37" w:name="page38"/>
    <w:bookmarkEnd w:id="37"/>
    <w:p>
      <w:pPr>
        <w:ind w:left="220"/>
        <w:spacing w:after="0"/>
        <w:rPr>
          <w:sz w:val="20"/>
          <w:szCs w:val="20"/>
          <w:color w:val="auto"/>
        </w:rPr>
      </w:pPr>
      <w:r>
        <w:rPr>
          <w:rFonts w:ascii="Arial" w:cs="Arial" w:eastAsia="Arial" w:hAnsi="Arial"/>
          <w:sz w:val="18"/>
          <w:szCs w:val="18"/>
          <w:b w:val="1"/>
          <w:bCs w:val="1"/>
          <w:i w:val="1"/>
          <w:iCs w:val="1"/>
          <w:color w:val="auto"/>
        </w:rPr>
        <w:t>Regional</w:t>
      </w:r>
    </w:p>
    <w:p>
      <w:pPr>
        <w:spacing w:after="0" w:line="112" w:lineRule="exact"/>
        <w:rPr>
          <w:sz w:val="20"/>
          <w:szCs w:val="20"/>
          <w:color w:val="auto"/>
        </w:rPr>
      </w:pPr>
    </w:p>
    <w:p>
      <w:pPr>
        <w:ind w:right="520" w:firstLine="243"/>
        <w:spacing w:after="0" w:line="262" w:lineRule="auto"/>
        <w:rPr>
          <w:sz w:val="20"/>
          <w:szCs w:val="20"/>
          <w:color w:val="auto"/>
        </w:rPr>
      </w:pPr>
      <w:r>
        <w:rPr>
          <w:rFonts w:ascii="Arial" w:cs="Arial" w:eastAsia="Arial" w:hAnsi="Arial"/>
          <w:sz w:val="18"/>
          <w:szCs w:val="18"/>
          <w:color w:val="auto"/>
        </w:rPr>
        <w:t>As of December 31, 2019, the fleet of our wholly-owned and third-party regional carriers operating as American Eagle consisted of the following aircraft:</w:t>
      </w:r>
    </w:p>
    <w:p>
      <w:pPr>
        <w:spacing w:after="0" w:line="292"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2180" w:type="dxa"/>
            <w:vAlign w:val="bottom"/>
          </w:tcPr>
          <w:p>
            <w:pPr>
              <w:spacing w:after="0"/>
              <w:rPr>
                <w:sz w:val="14"/>
                <w:szCs w:val="14"/>
                <w:color w:val="auto"/>
              </w:rPr>
            </w:pPr>
          </w:p>
        </w:tc>
        <w:tc>
          <w:tcPr>
            <w:tcW w:w="12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680" w:type="dxa"/>
            <w:vAlign w:val="bottom"/>
            <w:gridSpan w:val="2"/>
          </w:tcPr>
          <w:p>
            <w:pPr>
              <w:jc w:val="center"/>
              <w:ind w:right="120"/>
              <w:spacing w:after="0"/>
              <w:rPr>
                <w:sz w:val="20"/>
                <w:szCs w:val="20"/>
                <w:color w:val="auto"/>
              </w:rPr>
            </w:pPr>
            <w:r>
              <w:rPr>
                <w:rFonts w:ascii="Arial" w:cs="Arial" w:eastAsia="Arial" w:hAnsi="Arial"/>
                <w:sz w:val="14"/>
                <w:szCs w:val="14"/>
                <w:b w:val="1"/>
                <w:bCs w:val="1"/>
                <w:color w:val="auto"/>
              </w:rPr>
              <w:t>Owned or Leased</w:t>
            </w:r>
          </w:p>
        </w:tc>
        <w:tc>
          <w:tcPr>
            <w:tcW w:w="6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9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360" w:type="dxa"/>
            <w:vAlign w:val="bottom"/>
          </w:tcPr>
          <w:p>
            <w:pPr>
              <w:jc w:val="center"/>
              <w:spacing w:after="0"/>
              <w:rPr>
                <w:sz w:val="20"/>
                <w:szCs w:val="20"/>
                <w:color w:val="auto"/>
              </w:rPr>
            </w:pPr>
            <w:r>
              <w:rPr>
                <w:rFonts w:ascii="Arial" w:cs="Arial" w:eastAsia="Arial" w:hAnsi="Arial"/>
                <w:sz w:val="14"/>
                <w:szCs w:val="14"/>
                <w:b w:val="1"/>
                <w:bCs w:val="1"/>
                <w:color w:val="auto"/>
              </w:rPr>
              <w:t>Number of</w:t>
            </w:r>
          </w:p>
        </w:tc>
        <w:tc>
          <w:tcPr>
            <w:tcW w:w="0" w:type="dxa"/>
            <w:vAlign w:val="bottom"/>
          </w:tcPr>
          <w:p>
            <w:pPr>
              <w:spacing w:after="0"/>
              <w:rPr>
                <w:sz w:val="1"/>
                <w:szCs w:val="1"/>
                <w:color w:val="auto"/>
              </w:rPr>
            </w:pPr>
          </w:p>
        </w:tc>
      </w:tr>
      <w:tr>
        <w:trPr>
          <w:trHeight w:val="162"/>
        </w:trPr>
        <w:tc>
          <w:tcPr>
            <w:tcW w:w="2180" w:type="dxa"/>
            <w:vAlign w:val="bottom"/>
          </w:tcPr>
          <w:p>
            <w:pPr>
              <w:spacing w:after="0"/>
              <w:rPr>
                <w:sz w:val="14"/>
                <w:szCs w:val="14"/>
                <w:color w:val="auto"/>
              </w:rPr>
            </w:pPr>
          </w:p>
        </w:tc>
        <w:tc>
          <w:tcPr>
            <w:tcW w:w="1280" w:type="dxa"/>
            <w:vAlign w:val="bottom"/>
          </w:tcPr>
          <w:p>
            <w:pPr>
              <w:jc w:val="right"/>
              <w:spacing w:after="0"/>
              <w:rPr>
                <w:sz w:val="20"/>
                <w:szCs w:val="20"/>
                <w:color w:val="auto"/>
              </w:rPr>
            </w:pPr>
            <w:r>
              <w:rPr>
                <w:rFonts w:ascii="Arial" w:cs="Arial" w:eastAsia="Arial" w:hAnsi="Arial"/>
                <w:sz w:val="14"/>
                <w:szCs w:val="14"/>
                <w:b w:val="1"/>
                <w:bCs w:val="1"/>
                <w:color w:val="auto"/>
              </w:rPr>
              <w:t>Average Seating</w:t>
            </w:r>
          </w:p>
        </w:tc>
        <w:tc>
          <w:tcPr>
            <w:tcW w:w="1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68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rPr>
              <w:t>by Third Party</w:t>
            </w:r>
          </w:p>
        </w:tc>
        <w:tc>
          <w:tcPr>
            <w:tcW w:w="6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020" w:type="dxa"/>
            <w:vAlign w:val="bottom"/>
            <w:gridSpan w:val="2"/>
          </w:tcPr>
          <w:p>
            <w:pPr>
              <w:ind w:left="300"/>
              <w:spacing w:after="0"/>
              <w:rPr>
                <w:sz w:val="20"/>
                <w:szCs w:val="20"/>
                <w:color w:val="auto"/>
              </w:rPr>
            </w:pPr>
            <w:r>
              <w:rPr>
                <w:rFonts w:ascii="Arial" w:cs="Arial" w:eastAsia="Arial" w:hAnsi="Arial"/>
                <w:sz w:val="14"/>
                <w:szCs w:val="14"/>
                <w:b w:val="1"/>
                <w:bCs w:val="1"/>
                <w:color w:val="auto"/>
              </w:rPr>
              <w:t>Operating Regional</w:t>
            </w:r>
          </w:p>
        </w:tc>
        <w:tc>
          <w:tcPr>
            <w:tcW w:w="1360" w:type="dxa"/>
            <w:vAlign w:val="bottom"/>
          </w:tcPr>
          <w:p>
            <w:pPr>
              <w:jc w:val="center"/>
              <w:spacing w:after="0"/>
              <w:rPr>
                <w:sz w:val="20"/>
                <w:szCs w:val="20"/>
                <w:color w:val="auto"/>
              </w:rPr>
            </w:pPr>
            <w:r>
              <w:rPr>
                <w:rFonts w:ascii="Arial" w:cs="Arial" w:eastAsia="Arial" w:hAnsi="Arial"/>
                <w:sz w:val="14"/>
                <w:szCs w:val="14"/>
                <w:b w:val="1"/>
                <w:bCs w:val="1"/>
                <w:color w:val="auto"/>
              </w:rPr>
              <w:t>Aircraft</w:t>
            </w:r>
          </w:p>
        </w:tc>
        <w:tc>
          <w:tcPr>
            <w:tcW w:w="0" w:type="dxa"/>
            <w:vAlign w:val="bottom"/>
          </w:tcPr>
          <w:p>
            <w:pPr>
              <w:spacing w:after="0"/>
              <w:rPr>
                <w:sz w:val="1"/>
                <w:szCs w:val="1"/>
                <w:color w:val="auto"/>
              </w:rPr>
            </w:pPr>
          </w:p>
        </w:tc>
      </w:tr>
      <w:tr>
        <w:trPr>
          <w:trHeight w:val="196"/>
        </w:trPr>
        <w:tc>
          <w:tcPr>
            <w:tcW w:w="2180" w:type="dxa"/>
            <w:vAlign w:val="bottom"/>
            <w:tcBorders>
              <w:bottom w:val="single" w:sz="8" w:color="CCEEFF"/>
            </w:tcBorders>
          </w:tcPr>
          <w:p>
            <w:pPr>
              <w:spacing w:after="0"/>
              <w:rPr>
                <w:sz w:val="17"/>
                <w:szCs w:val="17"/>
                <w:color w:val="auto"/>
              </w:rPr>
            </w:pPr>
          </w:p>
        </w:tc>
        <w:tc>
          <w:tcPr>
            <w:tcW w:w="1280" w:type="dxa"/>
            <w:vAlign w:val="bottom"/>
            <w:tcBorders>
              <w:bottom w:val="single" w:sz="8" w:color="435363"/>
            </w:tcBorders>
          </w:tcPr>
          <w:p>
            <w:pPr>
              <w:jc w:val="right"/>
              <w:ind w:right="254"/>
              <w:spacing w:after="0"/>
              <w:rPr>
                <w:sz w:val="20"/>
                <w:szCs w:val="20"/>
                <w:color w:val="auto"/>
              </w:rPr>
            </w:pPr>
            <w:r>
              <w:rPr>
                <w:rFonts w:ascii="Arial" w:cs="Arial" w:eastAsia="Arial" w:hAnsi="Arial"/>
                <w:sz w:val="14"/>
                <w:szCs w:val="14"/>
                <w:b w:val="1"/>
                <w:bCs w:val="1"/>
                <w:color w:val="auto"/>
              </w:rPr>
              <w:t>Capacity</w:t>
            </w:r>
          </w:p>
        </w:tc>
        <w:tc>
          <w:tcPr>
            <w:tcW w:w="120" w:type="dxa"/>
            <w:vAlign w:val="bottom"/>
            <w:tcBorders>
              <w:bottom w:val="single" w:sz="8" w:color="CCEEFF"/>
            </w:tcBorders>
          </w:tcPr>
          <w:p>
            <w:pPr>
              <w:spacing w:after="0"/>
              <w:rPr>
                <w:sz w:val="17"/>
                <w:szCs w:val="17"/>
                <w:color w:val="auto"/>
              </w:rPr>
            </w:pPr>
          </w:p>
        </w:tc>
        <w:tc>
          <w:tcPr>
            <w:tcW w:w="800" w:type="dxa"/>
            <w:vAlign w:val="bottom"/>
            <w:tcBorders>
              <w:bottom w:val="single" w:sz="8" w:color="435363"/>
            </w:tcBorders>
          </w:tcPr>
          <w:p>
            <w:pPr>
              <w:jc w:val="right"/>
              <w:ind w:right="88"/>
              <w:spacing w:after="0"/>
              <w:rPr>
                <w:sz w:val="20"/>
                <w:szCs w:val="20"/>
                <w:color w:val="auto"/>
              </w:rPr>
            </w:pPr>
            <w:r>
              <w:rPr>
                <w:rFonts w:ascii="Arial" w:cs="Arial" w:eastAsia="Arial" w:hAnsi="Arial"/>
                <w:sz w:val="14"/>
                <w:szCs w:val="14"/>
                <w:b w:val="1"/>
                <w:bCs w:val="1"/>
                <w:color w:val="auto"/>
              </w:rPr>
              <w:t>Owned</w:t>
            </w:r>
          </w:p>
        </w:tc>
        <w:tc>
          <w:tcPr>
            <w:tcW w:w="120" w:type="dxa"/>
            <w:vAlign w:val="bottom"/>
            <w:tcBorders>
              <w:bottom w:val="single" w:sz="8" w:color="CCEEFF"/>
            </w:tcBorders>
          </w:tcPr>
          <w:p>
            <w:pPr>
              <w:spacing w:after="0"/>
              <w:rPr>
                <w:sz w:val="17"/>
                <w:szCs w:val="17"/>
                <w:color w:val="auto"/>
              </w:rPr>
            </w:pPr>
          </w:p>
        </w:tc>
        <w:tc>
          <w:tcPr>
            <w:tcW w:w="940" w:type="dxa"/>
            <w:vAlign w:val="bottom"/>
            <w:tcBorders>
              <w:bottom w:val="single" w:sz="8" w:color="435363"/>
            </w:tcBorders>
          </w:tcPr>
          <w:p>
            <w:pPr>
              <w:jc w:val="right"/>
              <w:ind w:right="132"/>
              <w:spacing w:after="0"/>
              <w:rPr>
                <w:sz w:val="20"/>
                <w:szCs w:val="20"/>
                <w:color w:val="auto"/>
              </w:rPr>
            </w:pPr>
            <w:r>
              <w:rPr>
                <w:rFonts w:ascii="Arial" w:cs="Arial" w:eastAsia="Arial" w:hAnsi="Arial"/>
                <w:sz w:val="14"/>
                <w:szCs w:val="14"/>
                <w:b w:val="1"/>
                <w:bCs w:val="1"/>
                <w:color w:val="auto"/>
              </w:rPr>
              <w:t>Leased</w:t>
            </w:r>
          </w:p>
        </w:tc>
        <w:tc>
          <w:tcPr>
            <w:tcW w:w="120" w:type="dxa"/>
            <w:vAlign w:val="bottom"/>
            <w:tcBorders>
              <w:bottom w:val="single" w:sz="8" w:color="CCEEFF"/>
            </w:tcBorders>
          </w:tcPr>
          <w:p>
            <w:pPr>
              <w:spacing w:after="0"/>
              <w:rPr>
                <w:sz w:val="17"/>
                <w:szCs w:val="17"/>
                <w:color w:val="auto"/>
              </w:rPr>
            </w:pPr>
          </w:p>
        </w:tc>
        <w:tc>
          <w:tcPr>
            <w:tcW w:w="1580" w:type="dxa"/>
            <w:vAlign w:val="bottom"/>
            <w:tcBorders>
              <w:bottom w:val="single" w:sz="8" w:color="435363"/>
            </w:tcBorders>
          </w:tcPr>
          <w:p>
            <w:pPr>
              <w:jc w:val="center"/>
              <w:spacing w:after="0"/>
              <w:rPr>
                <w:sz w:val="20"/>
                <w:szCs w:val="20"/>
                <w:color w:val="auto"/>
              </w:rPr>
            </w:pPr>
            <w:r>
              <w:rPr>
                <w:rFonts w:ascii="Arial" w:cs="Arial" w:eastAsia="Arial" w:hAnsi="Arial"/>
                <w:sz w:val="14"/>
                <w:szCs w:val="14"/>
                <w:b w:val="1"/>
                <w:bCs w:val="1"/>
                <w:color w:val="auto"/>
              </w:rPr>
              <w:t>Regional Carrier</w:t>
            </w:r>
          </w:p>
        </w:tc>
        <w:tc>
          <w:tcPr>
            <w:tcW w:w="100" w:type="dxa"/>
            <w:vAlign w:val="bottom"/>
            <w:tcBorders>
              <w:bottom w:val="single" w:sz="8" w:color="CCEEFF"/>
            </w:tcBorders>
          </w:tcPr>
          <w:p>
            <w:pPr>
              <w:spacing w:after="0"/>
              <w:rPr>
                <w:sz w:val="17"/>
                <w:szCs w:val="17"/>
                <w:color w:val="auto"/>
              </w:rPr>
            </w:pPr>
          </w:p>
        </w:tc>
        <w:tc>
          <w:tcPr>
            <w:tcW w:w="680" w:type="dxa"/>
            <w:vAlign w:val="bottom"/>
            <w:tcBorders>
              <w:bottom w:val="single" w:sz="8" w:color="435363"/>
            </w:tcBorders>
          </w:tcPr>
          <w:p>
            <w:pPr>
              <w:jc w:val="right"/>
              <w:ind w:right="72"/>
              <w:spacing w:after="0"/>
              <w:rPr>
                <w:sz w:val="20"/>
                <w:szCs w:val="20"/>
                <w:color w:val="auto"/>
              </w:rPr>
            </w:pPr>
            <w:r>
              <w:rPr>
                <w:rFonts w:ascii="Arial" w:cs="Arial" w:eastAsia="Arial" w:hAnsi="Arial"/>
                <w:sz w:val="14"/>
                <w:szCs w:val="14"/>
                <w:b w:val="1"/>
                <w:bCs w:val="1"/>
                <w:color w:val="auto"/>
              </w:rPr>
              <w:t>Total</w:t>
            </w:r>
          </w:p>
        </w:tc>
        <w:tc>
          <w:tcPr>
            <w:tcW w:w="120" w:type="dxa"/>
            <w:vAlign w:val="bottom"/>
            <w:tcBorders>
              <w:bottom w:val="single" w:sz="8" w:color="CCEEFF"/>
            </w:tcBorders>
          </w:tcPr>
          <w:p>
            <w:pPr>
              <w:spacing w:after="0"/>
              <w:rPr>
                <w:sz w:val="17"/>
                <w:szCs w:val="17"/>
                <w:color w:val="auto"/>
              </w:rPr>
            </w:pPr>
          </w:p>
        </w:tc>
        <w:tc>
          <w:tcPr>
            <w:tcW w:w="1920" w:type="dxa"/>
            <w:vAlign w:val="bottom"/>
            <w:tcBorders>
              <w:bottom w:val="single" w:sz="8" w:color="435363"/>
            </w:tcBorders>
          </w:tcPr>
          <w:p>
            <w:pPr>
              <w:jc w:val="right"/>
              <w:ind w:right="632"/>
              <w:spacing w:after="0"/>
              <w:rPr>
                <w:sz w:val="20"/>
                <w:szCs w:val="20"/>
                <w:color w:val="auto"/>
              </w:rPr>
            </w:pPr>
            <w:r>
              <w:rPr>
                <w:rFonts w:ascii="Arial" w:cs="Arial" w:eastAsia="Arial" w:hAnsi="Arial"/>
                <w:sz w:val="14"/>
                <w:szCs w:val="14"/>
                <w:b w:val="1"/>
                <w:bCs w:val="1"/>
                <w:color w:val="auto"/>
              </w:rPr>
              <w:t>Carrier</w:t>
            </w:r>
          </w:p>
        </w:tc>
        <w:tc>
          <w:tcPr>
            <w:tcW w:w="100" w:type="dxa"/>
            <w:vAlign w:val="bottom"/>
            <w:tcBorders>
              <w:bottom w:val="single" w:sz="8" w:color="CCEEFF"/>
            </w:tcBorders>
          </w:tcPr>
          <w:p>
            <w:pPr>
              <w:spacing w:after="0"/>
              <w:rPr>
                <w:sz w:val="17"/>
                <w:szCs w:val="17"/>
                <w:color w:val="auto"/>
              </w:rPr>
            </w:pPr>
          </w:p>
        </w:tc>
        <w:tc>
          <w:tcPr>
            <w:tcW w:w="1360" w:type="dxa"/>
            <w:vAlign w:val="bottom"/>
            <w:tcBorders>
              <w:bottom w:val="single" w:sz="8" w:color="435363"/>
            </w:tcBorders>
          </w:tcPr>
          <w:p>
            <w:pPr>
              <w:jc w:val="center"/>
              <w:spacing w:after="0"/>
              <w:rPr>
                <w:sz w:val="20"/>
                <w:szCs w:val="20"/>
                <w:color w:val="auto"/>
              </w:rPr>
            </w:pPr>
            <w:r>
              <w:rPr>
                <w:rFonts w:ascii="Arial" w:cs="Arial" w:eastAsia="Arial" w:hAnsi="Arial"/>
                <w:sz w:val="14"/>
                <w:szCs w:val="14"/>
                <w:b w:val="1"/>
                <w:bCs w:val="1"/>
                <w:color w:val="auto"/>
              </w:rPr>
              <w:t>Operated</w:t>
            </w:r>
          </w:p>
        </w:tc>
        <w:tc>
          <w:tcPr>
            <w:tcW w:w="0" w:type="dxa"/>
            <w:vAlign w:val="bottom"/>
          </w:tcPr>
          <w:p>
            <w:pPr>
              <w:spacing w:after="0"/>
              <w:rPr>
                <w:sz w:val="1"/>
                <w:szCs w:val="1"/>
                <w:color w:val="auto"/>
              </w:rPr>
            </w:pPr>
          </w:p>
        </w:tc>
      </w:tr>
      <w:tr>
        <w:trPr>
          <w:trHeight w:val="256"/>
        </w:trPr>
        <w:tc>
          <w:tcPr>
            <w:tcW w:w="2180" w:type="dxa"/>
            <w:vAlign w:val="bottom"/>
            <w:shd w:val="clear" w:color="auto" w:fill="CCEEFF"/>
          </w:tcPr>
          <w:p>
            <w:pPr>
              <w:ind w:left="40"/>
              <w:spacing w:after="0"/>
              <w:rPr>
                <w:sz w:val="20"/>
                <w:szCs w:val="20"/>
                <w:color w:val="auto"/>
              </w:rPr>
            </w:pPr>
            <w:r>
              <w:rPr>
                <w:rFonts w:ascii="Arial" w:cs="Arial" w:eastAsia="Arial" w:hAnsi="Arial"/>
                <w:sz w:val="18"/>
                <w:szCs w:val="18"/>
                <w:color w:val="auto"/>
              </w:rPr>
              <w:t>Bombardier CRJ 200</w:t>
            </w:r>
          </w:p>
        </w:tc>
        <w:tc>
          <w:tcPr>
            <w:tcW w:w="1280" w:type="dxa"/>
            <w:vAlign w:val="bottom"/>
            <w:shd w:val="clear" w:color="auto" w:fill="CCEEFF"/>
          </w:tcPr>
          <w:p>
            <w:pPr>
              <w:jc w:val="right"/>
              <w:ind w:right="34"/>
              <w:spacing w:after="0"/>
              <w:rPr>
                <w:sz w:val="20"/>
                <w:szCs w:val="20"/>
                <w:color w:val="auto"/>
              </w:rPr>
            </w:pPr>
            <w:r>
              <w:rPr>
                <w:rFonts w:ascii="Arial" w:cs="Arial" w:eastAsia="Arial" w:hAnsi="Arial"/>
                <w:sz w:val="18"/>
                <w:szCs w:val="18"/>
                <w:color w:val="auto"/>
              </w:rPr>
              <w:t>50</w:t>
            </w:r>
          </w:p>
        </w:tc>
        <w:tc>
          <w:tcPr>
            <w:tcW w:w="920" w:type="dxa"/>
            <w:vAlign w:val="bottom"/>
            <w:gridSpan w:val="2"/>
            <w:shd w:val="clear" w:color="auto" w:fill="CCEEFF"/>
          </w:tcPr>
          <w:p>
            <w:pPr>
              <w:jc w:val="right"/>
              <w:ind w:right="48"/>
              <w:spacing w:after="0"/>
              <w:rPr>
                <w:sz w:val="20"/>
                <w:szCs w:val="20"/>
                <w:color w:val="auto"/>
              </w:rPr>
            </w:pPr>
            <w:r>
              <w:rPr>
                <w:rFonts w:ascii="Arial" w:cs="Arial" w:eastAsia="Arial" w:hAnsi="Arial"/>
                <w:sz w:val="18"/>
                <w:szCs w:val="18"/>
                <w:color w:val="auto"/>
              </w:rPr>
              <w:t>12</w:t>
            </w:r>
          </w:p>
        </w:tc>
        <w:tc>
          <w:tcPr>
            <w:tcW w:w="120" w:type="dxa"/>
            <w:vAlign w:val="bottom"/>
            <w:shd w:val="clear" w:color="auto" w:fill="CCEEFF"/>
          </w:tcPr>
          <w:p>
            <w:pPr>
              <w:spacing w:after="0"/>
              <w:rPr>
                <w:sz w:val="22"/>
                <w:szCs w:val="22"/>
                <w:color w:val="auto"/>
              </w:rPr>
            </w:pPr>
          </w:p>
        </w:tc>
        <w:tc>
          <w:tcPr>
            <w:tcW w:w="940" w:type="dxa"/>
            <w:vAlign w:val="bottom"/>
            <w:shd w:val="clear" w:color="auto" w:fill="CCEEFF"/>
          </w:tcPr>
          <w:p>
            <w:pPr>
              <w:jc w:val="right"/>
              <w:ind w:right="32"/>
              <w:spacing w:after="0"/>
              <w:rPr>
                <w:sz w:val="20"/>
                <w:szCs w:val="20"/>
                <w:color w:val="auto"/>
              </w:rPr>
            </w:pPr>
            <w:r>
              <w:rPr>
                <w:rFonts w:ascii="Arial" w:cs="Arial" w:eastAsia="Arial" w:hAnsi="Arial"/>
                <w:sz w:val="18"/>
                <w:szCs w:val="18"/>
                <w:color w:val="auto"/>
              </w:rPr>
              <w:t>7</w:t>
            </w:r>
          </w:p>
        </w:tc>
        <w:tc>
          <w:tcPr>
            <w:tcW w:w="120" w:type="dxa"/>
            <w:vAlign w:val="bottom"/>
            <w:shd w:val="clear" w:color="auto" w:fill="CCEEFF"/>
          </w:tcPr>
          <w:p>
            <w:pPr>
              <w:spacing w:after="0"/>
              <w:rPr>
                <w:sz w:val="22"/>
                <w:szCs w:val="22"/>
                <w:color w:val="auto"/>
              </w:rPr>
            </w:pPr>
          </w:p>
        </w:tc>
        <w:tc>
          <w:tcPr>
            <w:tcW w:w="16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68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19</w:t>
            </w:r>
          </w:p>
        </w:tc>
        <w:tc>
          <w:tcPr>
            <w:tcW w:w="120" w:type="dxa"/>
            <w:vAlign w:val="bottom"/>
            <w:shd w:val="clear" w:color="auto" w:fill="CCEEFF"/>
          </w:tcPr>
          <w:p>
            <w:pPr>
              <w:spacing w:after="0"/>
              <w:rPr>
                <w:sz w:val="22"/>
                <w:szCs w:val="22"/>
                <w:color w:val="auto"/>
              </w:rPr>
            </w:pPr>
          </w:p>
        </w:tc>
        <w:tc>
          <w:tcPr>
            <w:tcW w:w="20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PSA</w:t>
            </w:r>
          </w:p>
        </w:tc>
        <w:tc>
          <w:tcPr>
            <w:tcW w:w="1360" w:type="dxa"/>
            <w:vAlign w:val="bottom"/>
            <w:shd w:val="clear" w:color="auto" w:fill="CCEEFF"/>
          </w:tcPr>
          <w:p>
            <w:pPr>
              <w:jc w:val="right"/>
              <w:ind w:right="13"/>
              <w:spacing w:after="0"/>
              <w:rPr>
                <w:sz w:val="20"/>
                <w:szCs w:val="20"/>
                <w:color w:val="auto"/>
              </w:rPr>
            </w:pPr>
            <w:r>
              <w:rPr>
                <w:rFonts w:ascii="Arial" w:cs="Arial" w:eastAsia="Arial" w:hAnsi="Arial"/>
                <w:sz w:val="18"/>
                <w:szCs w:val="18"/>
                <w:color w:val="auto"/>
              </w:rPr>
              <w:t>19</w:t>
            </w:r>
          </w:p>
        </w:tc>
        <w:tc>
          <w:tcPr>
            <w:tcW w:w="0" w:type="dxa"/>
            <w:vAlign w:val="bottom"/>
          </w:tcPr>
          <w:p>
            <w:pPr>
              <w:spacing w:after="0"/>
              <w:rPr>
                <w:sz w:val="1"/>
                <w:szCs w:val="1"/>
                <w:color w:val="auto"/>
              </w:rPr>
            </w:pPr>
          </w:p>
        </w:tc>
      </w:tr>
      <w:tr>
        <w:trPr>
          <w:trHeight w:val="365"/>
        </w:trPr>
        <w:tc>
          <w:tcPr>
            <w:tcW w:w="2180" w:type="dxa"/>
            <w:vAlign w:val="bottom"/>
          </w:tcPr>
          <w:p>
            <w:pPr>
              <w:ind w:left="40"/>
              <w:spacing w:after="0"/>
              <w:rPr>
                <w:sz w:val="20"/>
                <w:szCs w:val="20"/>
                <w:color w:val="auto"/>
              </w:rPr>
            </w:pPr>
            <w:r>
              <w:rPr>
                <w:rFonts w:ascii="Arial" w:cs="Arial" w:eastAsia="Arial" w:hAnsi="Arial"/>
                <w:sz w:val="18"/>
                <w:szCs w:val="18"/>
                <w:color w:val="auto"/>
              </w:rPr>
              <w:t>Bombardier CRJ 700</w:t>
            </w:r>
          </w:p>
        </w:tc>
        <w:tc>
          <w:tcPr>
            <w:tcW w:w="1280" w:type="dxa"/>
            <w:vAlign w:val="bottom"/>
          </w:tcPr>
          <w:p>
            <w:pPr>
              <w:jc w:val="right"/>
              <w:ind w:right="34"/>
              <w:spacing w:after="0"/>
              <w:rPr>
                <w:sz w:val="20"/>
                <w:szCs w:val="20"/>
                <w:color w:val="auto"/>
              </w:rPr>
            </w:pPr>
            <w:r>
              <w:rPr>
                <w:rFonts w:ascii="Arial" w:cs="Arial" w:eastAsia="Arial" w:hAnsi="Arial"/>
                <w:sz w:val="18"/>
                <w:szCs w:val="18"/>
                <w:color w:val="auto"/>
              </w:rPr>
              <w:t>66</w:t>
            </w:r>
          </w:p>
        </w:tc>
        <w:tc>
          <w:tcPr>
            <w:tcW w:w="920" w:type="dxa"/>
            <w:vAlign w:val="bottom"/>
            <w:gridSpan w:val="2"/>
          </w:tcPr>
          <w:p>
            <w:pPr>
              <w:jc w:val="right"/>
              <w:ind w:right="48"/>
              <w:spacing w:after="0"/>
              <w:rPr>
                <w:sz w:val="20"/>
                <w:szCs w:val="20"/>
                <w:color w:val="auto"/>
              </w:rPr>
            </w:pPr>
            <w:r>
              <w:rPr>
                <w:rFonts w:ascii="Arial" w:cs="Arial" w:eastAsia="Arial" w:hAnsi="Arial"/>
                <w:sz w:val="18"/>
                <w:szCs w:val="18"/>
                <w:color w:val="auto"/>
              </w:rPr>
              <w:t>54</w:t>
            </w:r>
          </w:p>
        </w:tc>
        <w:tc>
          <w:tcPr>
            <w:tcW w:w="120" w:type="dxa"/>
            <w:vAlign w:val="bottom"/>
          </w:tcPr>
          <w:p>
            <w:pPr>
              <w:spacing w:after="0"/>
              <w:rPr>
                <w:sz w:val="24"/>
                <w:szCs w:val="24"/>
                <w:color w:val="auto"/>
              </w:rPr>
            </w:pPr>
          </w:p>
        </w:tc>
        <w:tc>
          <w:tcPr>
            <w:tcW w:w="940" w:type="dxa"/>
            <w:vAlign w:val="bottom"/>
          </w:tcPr>
          <w:p>
            <w:pPr>
              <w:jc w:val="right"/>
              <w:ind w:right="32"/>
              <w:spacing w:after="0"/>
              <w:rPr>
                <w:sz w:val="20"/>
                <w:szCs w:val="20"/>
                <w:color w:val="auto"/>
              </w:rPr>
            </w:pPr>
            <w:r>
              <w:rPr>
                <w:rFonts w:ascii="Arial" w:cs="Arial" w:eastAsia="Arial" w:hAnsi="Arial"/>
                <w:sz w:val="18"/>
                <w:szCs w:val="18"/>
                <w:color w:val="auto"/>
              </w:rPr>
              <w:t>7</w:t>
            </w:r>
          </w:p>
        </w:tc>
        <w:tc>
          <w:tcPr>
            <w:tcW w:w="120" w:type="dxa"/>
            <w:vAlign w:val="bottom"/>
          </w:tcPr>
          <w:p>
            <w:pPr>
              <w:spacing w:after="0"/>
              <w:rPr>
                <w:sz w:val="24"/>
                <w:szCs w:val="24"/>
                <w:color w:val="auto"/>
              </w:rPr>
            </w:pPr>
          </w:p>
        </w:tc>
        <w:tc>
          <w:tcPr>
            <w:tcW w:w="1580" w:type="dxa"/>
            <w:vAlign w:val="bottom"/>
          </w:tcPr>
          <w:p>
            <w:pPr>
              <w:jc w:val="right"/>
              <w:ind w:right="15"/>
              <w:spacing w:after="0"/>
              <w:rPr>
                <w:sz w:val="20"/>
                <w:szCs w:val="20"/>
                <w:color w:val="auto"/>
              </w:rPr>
            </w:pPr>
            <w:r>
              <w:rPr>
                <w:rFonts w:ascii="Arial" w:cs="Arial" w:eastAsia="Arial" w:hAnsi="Arial"/>
                <w:sz w:val="18"/>
                <w:szCs w:val="18"/>
                <w:color w:val="auto"/>
              </w:rPr>
              <w:t>60</w:t>
            </w:r>
          </w:p>
        </w:tc>
        <w:tc>
          <w:tcPr>
            <w:tcW w:w="100" w:type="dxa"/>
            <w:vAlign w:val="bottom"/>
          </w:tcPr>
          <w:p>
            <w:pPr>
              <w:spacing w:after="0"/>
              <w:rPr>
                <w:sz w:val="24"/>
                <w:szCs w:val="24"/>
                <w:color w:val="auto"/>
              </w:rPr>
            </w:pPr>
          </w:p>
        </w:tc>
        <w:tc>
          <w:tcPr>
            <w:tcW w:w="680" w:type="dxa"/>
            <w:vAlign w:val="bottom"/>
          </w:tcPr>
          <w:p>
            <w:pPr>
              <w:jc w:val="right"/>
              <w:ind w:right="12"/>
              <w:spacing w:after="0"/>
              <w:rPr>
                <w:sz w:val="20"/>
                <w:szCs w:val="20"/>
                <w:color w:val="auto"/>
              </w:rPr>
            </w:pPr>
            <w:r>
              <w:rPr>
                <w:rFonts w:ascii="Arial" w:cs="Arial" w:eastAsia="Arial" w:hAnsi="Arial"/>
                <w:sz w:val="18"/>
                <w:szCs w:val="18"/>
                <w:color w:val="auto"/>
              </w:rPr>
              <w:t>121</w:t>
            </w:r>
          </w:p>
        </w:tc>
        <w:tc>
          <w:tcPr>
            <w:tcW w:w="120" w:type="dxa"/>
            <w:vAlign w:val="bottom"/>
          </w:tcPr>
          <w:p>
            <w:pPr>
              <w:spacing w:after="0"/>
              <w:rPr>
                <w:sz w:val="24"/>
                <w:szCs w:val="24"/>
                <w:color w:val="auto"/>
              </w:rPr>
            </w:pPr>
          </w:p>
        </w:tc>
        <w:tc>
          <w:tcPr>
            <w:tcW w:w="2020" w:type="dxa"/>
            <w:vAlign w:val="bottom"/>
            <w:gridSpan w:val="2"/>
          </w:tcPr>
          <w:p>
            <w:pPr>
              <w:jc w:val="right"/>
              <w:ind w:right="120"/>
              <w:spacing w:after="0"/>
              <w:rPr>
                <w:sz w:val="20"/>
                <w:szCs w:val="20"/>
                <w:color w:val="auto"/>
              </w:rPr>
            </w:pPr>
            <w:r>
              <w:rPr>
                <w:rFonts w:ascii="Arial" w:cs="Arial" w:eastAsia="Arial" w:hAnsi="Arial"/>
                <w:sz w:val="18"/>
                <w:szCs w:val="18"/>
                <w:color w:val="auto"/>
              </w:rPr>
              <w:t>SkyWest</w:t>
            </w:r>
          </w:p>
        </w:tc>
        <w:tc>
          <w:tcPr>
            <w:tcW w:w="1360" w:type="dxa"/>
            <w:vAlign w:val="bottom"/>
          </w:tcPr>
          <w:p>
            <w:pPr>
              <w:jc w:val="right"/>
              <w:ind w:right="13"/>
              <w:spacing w:after="0"/>
              <w:rPr>
                <w:sz w:val="20"/>
                <w:szCs w:val="20"/>
                <w:color w:val="auto"/>
              </w:rPr>
            </w:pPr>
            <w:r>
              <w:rPr>
                <w:rFonts w:ascii="Arial" w:cs="Arial" w:eastAsia="Arial" w:hAnsi="Arial"/>
                <w:sz w:val="18"/>
                <w:szCs w:val="18"/>
                <w:color w:val="auto"/>
              </w:rPr>
              <w:t>60</w:t>
            </w:r>
          </w:p>
        </w:tc>
        <w:tc>
          <w:tcPr>
            <w:tcW w:w="0" w:type="dxa"/>
            <w:vAlign w:val="bottom"/>
          </w:tcPr>
          <w:p>
            <w:pPr>
              <w:spacing w:after="0"/>
              <w:rPr>
                <w:sz w:val="1"/>
                <w:szCs w:val="1"/>
                <w:color w:val="auto"/>
              </w:rPr>
            </w:pPr>
          </w:p>
        </w:tc>
      </w:tr>
      <w:tr>
        <w:trPr>
          <w:trHeight w:val="270"/>
        </w:trPr>
        <w:tc>
          <w:tcPr>
            <w:tcW w:w="2180" w:type="dxa"/>
            <w:vAlign w:val="bottom"/>
          </w:tcPr>
          <w:p>
            <w:pPr>
              <w:spacing w:after="0"/>
              <w:rPr>
                <w:sz w:val="23"/>
                <w:szCs w:val="23"/>
                <w:color w:val="auto"/>
              </w:rPr>
            </w:pPr>
          </w:p>
        </w:tc>
        <w:tc>
          <w:tcPr>
            <w:tcW w:w="128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80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94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58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68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2020" w:type="dxa"/>
            <w:vAlign w:val="bottom"/>
            <w:gridSpan w:val="2"/>
          </w:tcPr>
          <w:p>
            <w:pPr>
              <w:jc w:val="right"/>
              <w:ind w:right="120"/>
              <w:spacing w:after="0"/>
              <w:rPr>
                <w:sz w:val="20"/>
                <w:szCs w:val="20"/>
                <w:color w:val="auto"/>
              </w:rPr>
            </w:pPr>
            <w:r>
              <w:rPr>
                <w:rFonts w:ascii="Arial" w:cs="Arial" w:eastAsia="Arial" w:hAnsi="Arial"/>
                <w:sz w:val="18"/>
                <w:szCs w:val="18"/>
                <w:color w:val="auto"/>
              </w:rPr>
              <w:t>PSA</w:t>
            </w:r>
          </w:p>
        </w:tc>
        <w:tc>
          <w:tcPr>
            <w:tcW w:w="1360" w:type="dxa"/>
            <w:vAlign w:val="bottom"/>
          </w:tcPr>
          <w:p>
            <w:pPr>
              <w:jc w:val="right"/>
              <w:ind w:right="13"/>
              <w:spacing w:after="0"/>
              <w:rPr>
                <w:sz w:val="20"/>
                <w:szCs w:val="20"/>
                <w:color w:val="auto"/>
              </w:rPr>
            </w:pPr>
            <w:r>
              <w:rPr>
                <w:rFonts w:ascii="Arial" w:cs="Arial" w:eastAsia="Arial" w:hAnsi="Arial"/>
                <w:sz w:val="18"/>
                <w:szCs w:val="18"/>
                <w:color w:val="auto"/>
              </w:rPr>
              <w:t>56</w:t>
            </w:r>
          </w:p>
        </w:tc>
        <w:tc>
          <w:tcPr>
            <w:tcW w:w="0" w:type="dxa"/>
            <w:vAlign w:val="bottom"/>
          </w:tcPr>
          <w:p>
            <w:pPr>
              <w:spacing w:after="0"/>
              <w:rPr>
                <w:sz w:val="1"/>
                <w:szCs w:val="1"/>
                <w:color w:val="auto"/>
              </w:rPr>
            </w:pPr>
          </w:p>
        </w:tc>
      </w:tr>
      <w:tr>
        <w:trPr>
          <w:trHeight w:val="270"/>
        </w:trPr>
        <w:tc>
          <w:tcPr>
            <w:tcW w:w="2180" w:type="dxa"/>
            <w:vAlign w:val="bottom"/>
          </w:tcPr>
          <w:p>
            <w:pPr>
              <w:spacing w:after="0"/>
              <w:rPr>
                <w:sz w:val="23"/>
                <w:szCs w:val="23"/>
                <w:color w:val="auto"/>
              </w:rPr>
            </w:pPr>
          </w:p>
        </w:tc>
        <w:tc>
          <w:tcPr>
            <w:tcW w:w="128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80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94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58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68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2020" w:type="dxa"/>
            <w:vAlign w:val="bottom"/>
            <w:gridSpan w:val="2"/>
          </w:tcPr>
          <w:p>
            <w:pPr>
              <w:jc w:val="right"/>
              <w:ind w:right="120"/>
              <w:spacing w:after="0"/>
              <w:rPr>
                <w:sz w:val="20"/>
                <w:szCs w:val="20"/>
                <w:color w:val="auto"/>
              </w:rPr>
            </w:pPr>
            <w:r>
              <w:rPr>
                <w:rFonts w:ascii="Arial" w:cs="Arial" w:eastAsia="Arial" w:hAnsi="Arial"/>
                <w:sz w:val="18"/>
                <w:szCs w:val="18"/>
                <w:color w:val="auto"/>
              </w:rPr>
              <w:t>Envoy</w:t>
            </w:r>
          </w:p>
        </w:tc>
        <w:tc>
          <w:tcPr>
            <w:tcW w:w="1360" w:type="dxa"/>
            <w:vAlign w:val="bottom"/>
          </w:tcPr>
          <w:p>
            <w:pPr>
              <w:jc w:val="right"/>
              <w:ind w:right="13"/>
              <w:spacing w:after="0"/>
              <w:rPr>
                <w:sz w:val="20"/>
                <w:szCs w:val="20"/>
                <w:color w:val="auto"/>
              </w:rPr>
            </w:pPr>
            <w:r>
              <w:rPr>
                <w:rFonts w:ascii="Arial" w:cs="Arial" w:eastAsia="Arial" w:hAnsi="Arial"/>
                <w:sz w:val="18"/>
                <w:szCs w:val="18"/>
                <w:color w:val="auto"/>
              </w:rPr>
              <w:t>5</w:t>
            </w:r>
          </w:p>
        </w:tc>
        <w:tc>
          <w:tcPr>
            <w:tcW w:w="0" w:type="dxa"/>
            <w:vAlign w:val="bottom"/>
          </w:tcPr>
          <w:p>
            <w:pPr>
              <w:spacing w:after="0"/>
              <w:rPr>
                <w:sz w:val="1"/>
                <w:szCs w:val="1"/>
                <w:color w:val="auto"/>
              </w:rPr>
            </w:pPr>
          </w:p>
        </w:tc>
      </w:tr>
      <w:tr>
        <w:trPr>
          <w:trHeight w:val="27"/>
        </w:trPr>
        <w:tc>
          <w:tcPr>
            <w:tcW w:w="218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20" w:type="dxa"/>
            <w:vAlign w:val="bottom"/>
          </w:tcPr>
          <w:p>
            <w:pPr>
              <w:spacing w:after="0"/>
              <w:rPr>
                <w:sz w:val="2"/>
                <w:szCs w:val="2"/>
                <w:color w:val="auto"/>
              </w:rPr>
            </w:pPr>
          </w:p>
        </w:tc>
        <w:tc>
          <w:tcPr>
            <w:tcW w:w="800" w:type="dxa"/>
            <w:vAlign w:val="bottom"/>
          </w:tcPr>
          <w:p>
            <w:pPr>
              <w:spacing w:after="0"/>
              <w:rPr>
                <w:sz w:val="2"/>
                <w:szCs w:val="2"/>
                <w:color w:val="auto"/>
              </w:rPr>
            </w:pPr>
          </w:p>
        </w:tc>
        <w:tc>
          <w:tcPr>
            <w:tcW w:w="120" w:type="dxa"/>
            <w:vAlign w:val="bottom"/>
          </w:tcPr>
          <w:p>
            <w:pPr>
              <w:spacing w:after="0"/>
              <w:rPr>
                <w:sz w:val="2"/>
                <w:szCs w:val="2"/>
                <w:color w:val="auto"/>
              </w:rPr>
            </w:pPr>
          </w:p>
        </w:tc>
        <w:tc>
          <w:tcPr>
            <w:tcW w:w="9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580" w:type="dxa"/>
            <w:vAlign w:val="bottom"/>
          </w:tcPr>
          <w:p>
            <w:pPr>
              <w:spacing w:after="0"/>
              <w:rPr>
                <w:sz w:val="2"/>
                <w:szCs w:val="2"/>
                <w:color w:val="auto"/>
              </w:rPr>
            </w:pPr>
          </w:p>
        </w:tc>
        <w:tc>
          <w:tcPr>
            <w:tcW w:w="100" w:type="dxa"/>
            <w:vAlign w:val="bottom"/>
          </w:tcPr>
          <w:p>
            <w:pPr>
              <w:spacing w:after="0"/>
              <w:rPr>
                <w:sz w:val="2"/>
                <w:szCs w:val="2"/>
                <w:color w:val="auto"/>
              </w:rPr>
            </w:pPr>
          </w:p>
        </w:tc>
        <w:tc>
          <w:tcPr>
            <w:tcW w:w="6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20" w:type="dxa"/>
            <w:vAlign w:val="bottom"/>
            <w:gridSpan w:val="2"/>
            <w:vMerge w:val="restart"/>
          </w:tcPr>
          <w:p>
            <w:pPr>
              <w:jc w:val="right"/>
              <w:ind w:right="120"/>
              <w:spacing w:after="0"/>
              <w:rPr>
                <w:sz w:val="20"/>
                <w:szCs w:val="20"/>
                <w:color w:val="auto"/>
              </w:rPr>
            </w:pPr>
            <w:r>
              <w:rPr>
                <w:rFonts w:ascii="Arial" w:cs="Arial" w:eastAsia="Arial" w:hAnsi="Arial"/>
                <w:sz w:val="18"/>
                <w:szCs w:val="18"/>
                <w:color w:val="auto"/>
              </w:rPr>
              <w:t>Total</w:t>
            </w:r>
          </w:p>
        </w:tc>
        <w:tc>
          <w:tcPr>
            <w:tcW w:w="13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2180" w:type="dxa"/>
            <w:vAlign w:val="bottom"/>
          </w:tcPr>
          <w:p>
            <w:pPr>
              <w:spacing w:after="0"/>
              <w:rPr>
                <w:sz w:val="20"/>
                <w:szCs w:val="20"/>
                <w:color w:val="auto"/>
              </w:rPr>
            </w:pPr>
          </w:p>
        </w:tc>
        <w:tc>
          <w:tcPr>
            <w:tcW w:w="12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5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020" w:type="dxa"/>
            <w:vAlign w:val="bottom"/>
            <w:gridSpan w:val="2"/>
            <w:vMerge w:val="continue"/>
          </w:tcPr>
          <w:p>
            <w:pPr>
              <w:spacing w:after="0"/>
              <w:rPr>
                <w:sz w:val="20"/>
                <w:szCs w:val="20"/>
                <w:color w:val="auto"/>
              </w:rPr>
            </w:pPr>
          </w:p>
        </w:tc>
        <w:tc>
          <w:tcPr>
            <w:tcW w:w="1360" w:type="dxa"/>
            <w:vAlign w:val="bottom"/>
          </w:tcPr>
          <w:p>
            <w:pPr>
              <w:jc w:val="right"/>
              <w:ind w:right="13"/>
              <w:spacing w:after="0"/>
              <w:rPr>
                <w:sz w:val="20"/>
                <w:szCs w:val="20"/>
                <w:color w:val="auto"/>
              </w:rPr>
            </w:pPr>
            <w:r>
              <w:rPr>
                <w:rFonts w:ascii="Arial" w:cs="Arial" w:eastAsia="Arial" w:hAnsi="Arial"/>
                <w:sz w:val="18"/>
                <w:szCs w:val="18"/>
                <w:color w:val="auto"/>
              </w:rPr>
              <w:t>121</w:t>
            </w:r>
          </w:p>
        </w:tc>
        <w:tc>
          <w:tcPr>
            <w:tcW w:w="0" w:type="dxa"/>
            <w:vAlign w:val="bottom"/>
          </w:tcPr>
          <w:p>
            <w:pPr>
              <w:spacing w:after="0"/>
              <w:rPr>
                <w:sz w:val="1"/>
                <w:szCs w:val="1"/>
                <w:color w:val="auto"/>
              </w:rPr>
            </w:pPr>
          </w:p>
        </w:tc>
      </w:tr>
      <w:tr>
        <w:trPr>
          <w:trHeight w:val="135"/>
        </w:trPr>
        <w:tc>
          <w:tcPr>
            <w:tcW w:w="2180" w:type="dxa"/>
            <w:vAlign w:val="bottom"/>
          </w:tcPr>
          <w:p>
            <w:pPr>
              <w:spacing w:after="0"/>
              <w:rPr>
                <w:sz w:val="11"/>
                <w:szCs w:val="11"/>
                <w:color w:val="auto"/>
              </w:rPr>
            </w:pPr>
          </w:p>
        </w:tc>
        <w:tc>
          <w:tcPr>
            <w:tcW w:w="12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5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9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3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43"/>
        </w:trPr>
        <w:tc>
          <w:tcPr>
            <w:tcW w:w="2180" w:type="dxa"/>
            <w:vAlign w:val="bottom"/>
            <w:shd w:val="clear" w:color="auto" w:fill="CCEEFF"/>
          </w:tcPr>
          <w:p>
            <w:pPr>
              <w:ind w:left="40"/>
              <w:spacing w:after="0"/>
              <w:rPr>
                <w:sz w:val="20"/>
                <w:szCs w:val="20"/>
                <w:color w:val="auto"/>
              </w:rPr>
            </w:pPr>
            <w:r>
              <w:rPr>
                <w:rFonts w:ascii="Arial" w:cs="Arial" w:eastAsia="Arial" w:hAnsi="Arial"/>
                <w:sz w:val="18"/>
                <w:szCs w:val="18"/>
                <w:color w:val="auto"/>
              </w:rPr>
              <w:t>Bombardier CRJ 900</w:t>
            </w:r>
          </w:p>
        </w:tc>
        <w:tc>
          <w:tcPr>
            <w:tcW w:w="1280" w:type="dxa"/>
            <w:vAlign w:val="bottom"/>
            <w:shd w:val="clear" w:color="auto" w:fill="CCEEFF"/>
          </w:tcPr>
          <w:p>
            <w:pPr>
              <w:jc w:val="right"/>
              <w:ind w:right="34"/>
              <w:spacing w:after="0"/>
              <w:rPr>
                <w:sz w:val="20"/>
                <w:szCs w:val="20"/>
                <w:color w:val="auto"/>
              </w:rPr>
            </w:pPr>
            <w:r>
              <w:rPr>
                <w:rFonts w:ascii="Arial" w:cs="Arial" w:eastAsia="Arial" w:hAnsi="Arial"/>
                <w:sz w:val="18"/>
                <w:szCs w:val="18"/>
                <w:color w:val="auto"/>
              </w:rPr>
              <w:t>77</w:t>
            </w:r>
          </w:p>
        </w:tc>
        <w:tc>
          <w:tcPr>
            <w:tcW w:w="920" w:type="dxa"/>
            <w:vAlign w:val="bottom"/>
            <w:gridSpan w:val="2"/>
            <w:shd w:val="clear" w:color="auto" w:fill="CCEEFF"/>
          </w:tcPr>
          <w:p>
            <w:pPr>
              <w:jc w:val="right"/>
              <w:ind w:right="48"/>
              <w:spacing w:after="0"/>
              <w:rPr>
                <w:sz w:val="20"/>
                <w:szCs w:val="20"/>
                <w:color w:val="auto"/>
              </w:rPr>
            </w:pPr>
            <w:r>
              <w:rPr>
                <w:rFonts w:ascii="Arial" w:cs="Arial" w:eastAsia="Arial" w:hAnsi="Arial"/>
                <w:sz w:val="18"/>
                <w:szCs w:val="18"/>
                <w:color w:val="auto"/>
              </w:rPr>
              <w:t>66</w:t>
            </w:r>
          </w:p>
        </w:tc>
        <w:tc>
          <w:tcPr>
            <w:tcW w:w="120" w:type="dxa"/>
            <w:vAlign w:val="bottom"/>
            <w:shd w:val="clear" w:color="auto" w:fill="CCEEFF"/>
          </w:tcPr>
          <w:p>
            <w:pPr>
              <w:spacing w:after="0"/>
              <w:rPr>
                <w:sz w:val="21"/>
                <w:szCs w:val="21"/>
                <w:color w:val="auto"/>
              </w:rPr>
            </w:pPr>
          </w:p>
        </w:tc>
        <w:tc>
          <w:tcPr>
            <w:tcW w:w="106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1580" w:type="dxa"/>
            <w:vAlign w:val="bottom"/>
            <w:shd w:val="clear" w:color="auto" w:fill="CCEEFF"/>
          </w:tcPr>
          <w:p>
            <w:pPr>
              <w:jc w:val="right"/>
              <w:ind w:right="15"/>
              <w:spacing w:after="0"/>
              <w:rPr>
                <w:sz w:val="20"/>
                <w:szCs w:val="20"/>
                <w:color w:val="auto"/>
              </w:rPr>
            </w:pPr>
            <w:r>
              <w:rPr>
                <w:rFonts w:ascii="Arial" w:cs="Arial" w:eastAsia="Arial" w:hAnsi="Arial"/>
                <w:sz w:val="18"/>
                <w:szCs w:val="18"/>
                <w:color w:val="auto"/>
              </w:rPr>
              <w:t>60</w:t>
            </w:r>
          </w:p>
        </w:tc>
        <w:tc>
          <w:tcPr>
            <w:tcW w:w="100" w:type="dxa"/>
            <w:vAlign w:val="bottom"/>
            <w:shd w:val="clear" w:color="auto" w:fill="CCEEFF"/>
          </w:tcPr>
          <w:p>
            <w:pPr>
              <w:spacing w:after="0"/>
              <w:rPr>
                <w:sz w:val="21"/>
                <w:szCs w:val="21"/>
                <w:color w:val="auto"/>
              </w:rPr>
            </w:pPr>
          </w:p>
        </w:tc>
        <w:tc>
          <w:tcPr>
            <w:tcW w:w="68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126</w:t>
            </w:r>
          </w:p>
        </w:tc>
        <w:tc>
          <w:tcPr>
            <w:tcW w:w="120" w:type="dxa"/>
            <w:vAlign w:val="bottom"/>
            <w:shd w:val="clear" w:color="auto" w:fill="CCEEFF"/>
          </w:tcPr>
          <w:p>
            <w:pPr>
              <w:spacing w:after="0"/>
              <w:rPr>
                <w:sz w:val="21"/>
                <w:szCs w:val="21"/>
                <w:color w:val="auto"/>
              </w:rPr>
            </w:pPr>
          </w:p>
        </w:tc>
        <w:tc>
          <w:tcPr>
            <w:tcW w:w="20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PSA</w:t>
            </w:r>
          </w:p>
        </w:tc>
        <w:tc>
          <w:tcPr>
            <w:tcW w:w="1360" w:type="dxa"/>
            <w:vAlign w:val="bottom"/>
            <w:shd w:val="clear" w:color="auto" w:fill="CCEEFF"/>
          </w:tcPr>
          <w:p>
            <w:pPr>
              <w:jc w:val="right"/>
              <w:ind w:right="13"/>
              <w:spacing w:after="0"/>
              <w:rPr>
                <w:sz w:val="20"/>
                <w:szCs w:val="20"/>
                <w:color w:val="auto"/>
              </w:rPr>
            </w:pPr>
            <w:r>
              <w:rPr>
                <w:rFonts w:ascii="Arial" w:cs="Arial" w:eastAsia="Arial" w:hAnsi="Arial"/>
                <w:sz w:val="18"/>
                <w:szCs w:val="18"/>
                <w:color w:val="auto"/>
              </w:rPr>
              <w:t>66</w:t>
            </w:r>
          </w:p>
        </w:tc>
        <w:tc>
          <w:tcPr>
            <w:tcW w:w="0" w:type="dxa"/>
            <w:vAlign w:val="bottom"/>
          </w:tcPr>
          <w:p>
            <w:pPr>
              <w:spacing w:after="0"/>
              <w:rPr>
                <w:sz w:val="1"/>
                <w:szCs w:val="1"/>
                <w:color w:val="auto"/>
              </w:rPr>
            </w:pPr>
          </w:p>
        </w:tc>
      </w:tr>
      <w:tr>
        <w:trPr>
          <w:trHeight w:val="302"/>
        </w:trPr>
        <w:tc>
          <w:tcPr>
            <w:tcW w:w="2180" w:type="dxa"/>
            <w:vAlign w:val="bottom"/>
            <w:tcBorders>
              <w:bottom w:val="single" w:sz="8" w:color="CCEEFF"/>
            </w:tcBorders>
            <w:shd w:val="clear" w:color="auto" w:fill="CCEEFF"/>
          </w:tcPr>
          <w:p>
            <w:pPr>
              <w:spacing w:after="0"/>
              <w:rPr>
                <w:sz w:val="24"/>
                <w:szCs w:val="24"/>
                <w:color w:val="auto"/>
              </w:rPr>
            </w:pPr>
          </w:p>
        </w:tc>
        <w:tc>
          <w:tcPr>
            <w:tcW w:w="1280" w:type="dxa"/>
            <w:vAlign w:val="bottom"/>
            <w:tcBorders>
              <w:bottom w:val="single" w:sz="8" w:color="CCEEFF"/>
            </w:tcBorders>
            <w:shd w:val="clear" w:color="auto" w:fill="CCEEFF"/>
          </w:tcPr>
          <w:p>
            <w:pPr>
              <w:spacing w:after="0"/>
              <w:rPr>
                <w:sz w:val="24"/>
                <w:szCs w:val="24"/>
                <w:color w:val="auto"/>
              </w:rPr>
            </w:pPr>
          </w:p>
        </w:tc>
        <w:tc>
          <w:tcPr>
            <w:tcW w:w="120" w:type="dxa"/>
            <w:vAlign w:val="bottom"/>
            <w:tcBorders>
              <w:bottom w:val="single" w:sz="8" w:color="CCEEFF"/>
            </w:tcBorders>
            <w:shd w:val="clear" w:color="auto" w:fill="CCEEFF"/>
          </w:tcPr>
          <w:p>
            <w:pPr>
              <w:spacing w:after="0"/>
              <w:rPr>
                <w:sz w:val="24"/>
                <w:szCs w:val="24"/>
                <w:color w:val="auto"/>
              </w:rPr>
            </w:pPr>
          </w:p>
        </w:tc>
        <w:tc>
          <w:tcPr>
            <w:tcW w:w="800" w:type="dxa"/>
            <w:vAlign w:val="bottom"/>
            <w:tcBorders>
              <w:bottom w:val="single" w:sz="8" w:color="CCEEFF"/>
            </w:tcBorders>
            <w:shd w:val="clear" w:color="auto" w:fill="CCEEFF"/>
          </w:tcPr>
          <w:p>
            <w:pPr>
              <w:spacing w:after="0"/>
              <w:rPr>
                <w:sz w:val="24"/>
                <w:szCs w:val="24"/>
                <w:color w:val="auto"/>
              </w:rPr>
            </w:pPr>
          </w:p>
        </w:tc>
        <w:tc>
          <w:tcPr>
            <w:tcW w:w="120" w:type="dxa"/>
            <w:vAlign w:val="bottom"/>
            <w:tcBorders>
              <w:bottom w:val="single" w:sz="8" w:color="CCEEFF"/>
            </w:tcBorders>
            <w:shd w:val="clear" w:color="auto" w:fill="CCEEFF"/>
          </w:tcPr>
          <w:p>
            <w:pPr>
              <w:spacing w:after="0"/>
              <w:rPr>
                <w:sz w:val="24"/>
                <w:szCs w:val="24"/>
                <w:color w:val="auto"/>
              </w:rPr>
            </w:pPr>
          </w:p>
        </w:tc>
        <w:tc>
          <w:tcPr>
            <w:tcW w:w="940" w:type="dxa"/>
            <w:vAlign w:val="bottom"/>
            <w:tcBorders>
              <w:bottom w:val="single" w:sz="8" w:color="CCEEFF"/>
            </w:tcBorders>
            <w:shd w:val="clear" w:color="auto" w:fill="CCEEFF"/>
          </w:tcPr>
          <w:p>
            <w:pPr>
              <w:spacing w:after="0"/>
              <w:rPr>
                <w:sz w:val="24"/>
                <w:szCs w:val="24"/>
                <w:color w:val="auto"/>
              </w:rPr>
            </w:pPr>
          </w:p>
        </w:tc>
        <w:tc>
          <w:tcPr>
            <w:tcW w:w="120" w:type="dxa"/>
            <w:vAlign w:val="bottom"/>
            <w:tcBorders>
              <w:bottom w:val="single" w:sz="8" w:color="CCEEFF"/>
            </w:tcBorders>
            <w:shd w:val="clear" w:color="auto" w:fill="CCEEFF"/>
          </w:tcPr>
          <w:p>
            <w:pPr>
              <w:spacing w:after="0"/>
              <w:rPr>
                <w:sz w:val="24"/>
                <w:szCs w:val="24"/>
                <w:color w:val="auto"/>
              </w:rPr>
            </w:pPr>
          </w:p>
        </w:tc>
        <w:tc>
          <w:tcPr>
            <w:tcW w:w="1580" w:type="dxa"/>
            <w:vAlign w:val="bottom"/>
            <w:tcBorders>
              <w:bottom w:val="single" w:sz="8" w:color="CCEEFF"/>
            </w:tcBorders>
            <w:shd w:val="clear" w:color="auto" w:fill="CCEEFF"/>
          </w:tcPr>
          <w:p>
            <w:pPr>
              <w:spacing w:after="0"/>
              <w:rPr>
                <w:sz w:val="24"/>
                <w:szCs w:val="24"/>
                <w:color w:val="auto"/>
              </w:rPr>
            </w:pPr>
          </w:p>
        </w:tc>
        <w:tc>
          <w:tcPr>
            <w:tcW w:w="100" w:type="dxa"/>
            <w:vAlign w:val="bottom"/>
            <w:tcBorders>
              <w:bottom w:val="single" w:sz="8" w:color="CCEEFF"/>
            </w:tcBorders>
            <w:shd w:val="clear" w:color="auto" w:fill="CCEEFF"/>
          </w:tcPr>
          <w:p>
            <w:pPr>
              <w:spacing w:after="0"/>
              <w:rPr>
                <w:sz w:val="24"/>
                <w:szCs w:val="24"/>
                <w:color w:val="auto"/>
              </w:rPr>
            </w:pPr>
          </w:p>
        </w:tc>
        <w:tc>
          <w:tcPr>
            <w:tcW w:w="680" w:type="dxa"/>
            <w:vAlign w:val="bottom"/>
            <w:tcBorders>
              <w:bottom w:val="single" w:sz="8" w:color="CCEEFF"/>
            </w:tcBorders>
            <w:shd w:val="clear" w:color="auto" w:fill="CCEEFF"/>
          </w:tcPr>
          <w:p>
            <w:pPr>
              <w:spacing w:after="0"/>
              <w:rPr>
                <w:sz w:val="24"/>
                <w:szCs w:val="24"/>
                <w:color w:val="auto"/>
              </w:rPr>
            </w:pPr>
          </w:p>
        </w:tc>
        <w:tc>
          <w:tcPr>
            <w:tcW w:w="120" w:type="dxa"/>
            <w:vAlign w:val="bottom"/>
            <w:tcBorders>
              <w:bottom w:val="single" w:sz="8" w:color="CCEEFF"/>
            </w:tcBorders>
            <w:shd w:val="clear" w:color="auto" w:fill="CCEEFF"/>
          </w:tcPr>
          <w:p>
            <w:pPr>
              <w:spacing w:after="0"/>
              <w:rPr>
                <w:sz w:val="24"/>
                <w:szCs w:val="24"/>
                <w:color w:val="auto"/>
              </w:rPr>
            </w:pPr>
          </w:p>
        </w:tc>
        <w:tc>
          <w:tcPr>
            <w:tcW w:w="2020" w:type="dxa"/>
            <w:vAlign w:val="bottom"/>
            <w:tcBorders>
              <w:bottom w:val="single" w:sz="8" w:color="CCEEFF"/>
            </w:tcBorders>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Mesa</w:t>
            </w:r>
          </w:p>
        </w:tc>
        <w:tc>
          <w:tcPr>
            <w:tcW w:w="136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60</w:t>
            </w:r>
          </w:p>
        </w:tc>
        <w:tc>
          <w:tcPr>
            <w:tcW w:w="0" w:type="dxa"/>
            <w:vAlign w:val="bottom"/>
          </w:tcPr>
          <w:p>
            <w:pPr>
              <w:spacing w:after="0"/>
              <w:rPr>
                <w:sz w:val="1"/>
                <w:szCs w:val="1"/>
                <w:color w:val="auto"/>
              </w:rPr>
            </w:pPr>
          </w:p>
        </w:tc>
      </w:tr>
      <w:tr>
        <w:trPr>
          <w:trHeight w:val="250"/>
        </w:trPr>
        <w:tc>
          <w:tcPr>
            <w:tcW w:w="2180" w:type="dxa"/>
            <w:vAlign w:val="bottom"/>
            <w:tcBorders>
              <w:top w:val="single" w:sz="8" w:color="CCEEFF"/>
            </w:tcBorders>
            <w:shd w:val="clear" w:color="auto" w:fill="CCEEFF"/>
          </w:tcPr>
          <w:p>
            <w:pPr>
              <w:spacing w:after="0"/>
              <w:rPr>
                <w:sz w:val="21"/>
                <w:szCs w:val="21"/>
                <w:color w:val="auto"/>
              </w:rPr>
            </w:pPr>
          </w:p>
        </w:tc>
        <w:tc>
          <w:tcPr>
            <w:tcW w:w="1280" w:type="dxa"/>
            <w:vAlign w:val="bottom"/>
            <w:tcBorders>
              <w:top w:val="single" w:sz="8" w:color="CCEEFF"/>
            </w:tcBorders>
            <w:shd w:val="clear" w:color="auto" w:fill="CCEEFF"/>
          </w:tcPr>
          <w:p>
            <w:pPr>
              <w:spacing w:after="0"/>
              <w:rPr>
                <w:sz w:val="21"/>
                <w:szCs w:val="21"/>
                <w:color w:val="auto"/>
              </w:rPr>
            </w:pPr>
          </w:p>
        </w:tc>
        <w:tc>
          <w:tcPr>
            <w:tcW w:w="120" w:type="dxa"/>
            <w:vAlign w:val="bottom"/>
            <w:tcBorders>
              <w:top w:val="single" w:sz="8" w:color="CCEEFF"/>
            </w:tcBorders>
            <w:shd w:val="clear" w:color="auto" w:fill="CCEEFF"/>
          </w:tcPr>
          <w:p>
            <w:pPr>
              <w:spacing w:after="0"/>
              <w:rPr>
                <w:sz w:val="21"/>
                <w:szCs w:val="21"/>
                <w:color w:val="auto"/>
              </w:rPr>
            </w:pPr>
          </w:p>
        </w:tc>
        <w:tc>
          <w:tcPr>
            <w:tcW w:w="800" w:type="dxa"/>
            <w:vAlign w:val="bottom"/>
            <w:tcBorders>
              <w:top w:val="single" w:sz="8" w:color="CCEEFF"/>
            </w:tcBorders>
            <w:shd w:val="clear" w:color="auto" w:fill="CCEEFF"/>
          </w:tcPr>
          <w:p>
            <w:pPr>
              <w:spacing w:after="0"/>
              <w:rPr>
                <w:sz w:val="21"/>
                <w:szCs w:val="21"/>
                <w:color w:val="auto"/>
              </w:rPr>
            </w:pPr>
          </w:p>
        </w:tc>
        <w:tc>
          <w:tcPr>
            <w:tcW w:w="120" w:type="dxa"/>
            <w:vAlign w:val="bottom"/>
            <w:tcBorders>
              <w:top w:val="single" w:sz="8" w:color="CCEEFF"/>
            </w:tcBorders>
            <w:shd w:val="clear" w:color="auto" w:fill="CCEEFF"/>
          </w:tcPr>
          <w:p>
            <w:pPr>
              <w:spacing w:after="0"/>
              <w:rPr>
                <w:sz w:val="21"/>
                <w:szCs w:val="21"/>
                <w:color w:val="auto"/>
              </w:rPr>
            </w:pPr>
          </w:p>
        </w:tc>
        <w:tc>
          <w:tcPr>
            <w:tcW w:w="940" w:type="dxa"/>
            <w:vAlign w:val="bottom"/>
            <w:tcBorders>
              <w:top w:val="single" w:sz="8" w:color="CCEEFF"/>
            </w:tcBorders>
            <w:shd w:val="clear" w:color="auto" w:fill="CCEEFF"/>
          </w:tcPr>
          <w:p>
            <w:pPr>
              <w:spacing w:after="0"/>
              <w:rPr>
                <w:sz w:val="21"/>
                <w:szCs w:val="21"/>
                <w:color w:val="auto"/>
              </w:rPr>
            </w:pPr>
          </w:p>
        </w:tc>
        <w:tc>
          <w:tcPr>
            <w:tcW w:w="120" w:type="dxa"/>
            <w:vAlign w:val="bottom"/>
            <w:tcBorders>
              <w:top w:val="single" w:sz="8" w:color="CCEEFF"/>
            </w:tcBorders>
            <w:shd w:val="clear" w:color="auto" w:fill="CCEEFF"/>
          </w:tcPr>
          <w:p>
            <w:pPr>
              <w:spacing w:after="0"/>
              <w:rPr>
                <w:sz w:val="21"/>
                <w:szCs w:val="21"/>
                <w:color w:val="auto"/>
              </w:rPr>
            </w:pPr>
          </w:p>
        </w:tc>
        <w:tc>
          <w:tcPr>
            <w:tcW w:w="1580" w:type="dxa"/>
            <w:vAlign w:val="bottom"/>
            <w:tcBorders>
              <w:top w:val="single" w:sz="8" w:color="CCEEFF"/>
            </w:tcBorders>
            <w:shd w:val="clear" w:color="auto" w:fill="CCEEFF"/>
          </w:tcPr>
          <w:p>
            <w:pPr>
              <w:spacing w:after="0"/>
              <w:rPr>
                <w:sz w:val="21"/>
                <w:szCs w:val="21"/>
                <w:color w:val="auto"/>
              </w:rPr>
            </w:pPr>
          </w:p>
        </w:tc>
        <w:tc>
          <w:tcPr>
            <w:tcW w:w="100" w:type="dxa"/>
            <w:vAlign w:val="bottom"/>
            <w:tcBorders>
              <w:top w:val="single" w:sz="8" w:color="CCEEFF"/>
            </w:tcBorders>
            <w:shd w:val="clear" w:color="auto" w:fill="CCEEFF"/>
          </w:tcPr>
          <w:p>
            <w:pPr>
              <w:spacing w:after="0"/>
              <w:rPr>
                <w:sz w:val="21"/>
                <w:szCs w:val="21"/>
                <w:color w:val="auto"/>
              </w:rPr>
            </w:pPr>
          </w:p>
        </w:tc>
        <w:tc>
          <w:tcPr>
            <w:tcW w:w="680" w:type="dxa"/>
            <w:vAlign w:val="bottom"/>
            <w:tcBorders>
              <w:top w:val="single" w:sz="8" w:color="CCEEFF"/>
            </w:tcBorders>
            <w:shd w:val="clear" w:color="auto" w:fill="CCEEFF"/>
          </w:tcPr>
          <w:p>
            <w:pPr>
              <w:spacing w:after="0"/>
              <w:rPr>
                <w:sz w:val="21"/>
                <w:szCs w:val="21"/>
                <w:color w:val="auto"/>
              </w:rPr>
            </w:pPr>
          </w:p>
        </w:tc>
        <w:tc>
          <w:tcPr>
            <w:tcW w:w="120" w:type="dxa"/>
            <w:vAlign w:val="bottom"/>
            <w:tcBorders>
              <w:top w:val="single" w:sz="8" w:color="CCEEFF"/>
            </w:tcBorders>
            <w:shd w:val="clear" w:color="auto" w:fill="CCEEFF"/>
          </w:tcPr>
          <w:p>
            <w:pPr>
              <w:spacing w:after="0"/>
              <w:rPr>
                <w:sz w:val="21"/>
                <w:szCs w:val="21"/>
                <w:color w:val="auto"/>
              </w:rPr>
            </w:pPr>
          </w:p>
        </w:tc>
        <w:tc>
          <w:tcPr>
            <w:tcW w:w="2020" w:type="dxa"/>
            <w:vAlign w:val="bottom"/>
            <w:tcBorders>
              <w:top w:val="single" w:sz="8" w:color="CCEEFF"/>
            </w:tcBorders>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Total</w:t>
            </w:r>
          </w:p>
        </w:tc>
        <w:tc>
          <w:tcPr>
            <w:tcW w:w="1360" w:type="dxa"/>
            <w:vAlign w:val="bottom"/>
            <w:tcBorders>
              <w:top w:val="single" w:sz="8" w:color="auto"/>
            </w:tcBorders>
            <w:shd w:val="clear" w:color="auto" w:fill="CCEEFF"/>
          </w:tcPr>
          <w:p>
            <w:pPr>
              <w:jc w:val="right"/>
              <w:ind w:right="13"/>
              <w:spacing w:after="0"/>
              <w:rPr>
                <w:sz w:val="20"/>
                <w:szCs w:val="20"/>
                <w:color w:val="auto"/>
              </w:rPr>
            </w:pPr>
            <w:r>
              <w:rPr>
                <w:rFonts w:ascii="Arial" w:cs="Arial" w:eastAsia="Arial" w:hAnsi="Arial"/>
                <w:sz w:val="18"/>
                <w:szCs w:val="18"/>
                <w:color w:val="auto"/>
              </w:rPr>
              <w:t>126</w:t>
            </w:r>
          </w:p>
        </w:tc>
        <w:tc>
          <w:tcPr>
            <w:tcW w:w="0" w:type="dxa"/>
            <w:vAlign w:val="bottom"/>
          </w:tcPr>
          <w:p>
            <w:pPr>
              <w:spacing w:after="0"/>
              <w:rPr>
                <w:sz w:val="1"/>
                <w:szCs w:val="1"/>
                <w:color w:val="auto"/>
              </w:rPr>
            </w:pPr>
          </w:p>
        </w:tc>
      </w:tr>
      <w:tr>
        <w:trPr>
          <w:trHeight w:val="365"/>
        </w:trPr>
        <w:tc>
          <w:tcPr>
            <w:tcW w:w="2180" w:type="dxa"/>
            <w:vAlign w:val="bottom"/>
          </w:tcPr>
          <w:p>
            <w:pPr>
              <w:ind w:left="40"/>
              <w:spacing w:after="0"/>
              <w:rPr>
                <w:sz w:val="20"/>
                <w:szCs w:val="20"/>
                <w:color w:val="auto"/>
              </w:rPr>
            </w:pPr>
            <w:r>
              <w:rPr>
                <w:rFonts w:ascii="Arial" w:cs="Arial" w:eastAsia="Arial" w:hAnsi="Arial"/>
                <w:sz w:val="18"/>
                <w:szCs w:val="18"/>
                <w:color w:val="auto"/>
              </w:rPr>
              <w:t>Embraer E175</w:t>
            </w:r>
          </w:p>
        </w:tc>
        <w:tc>
          <w:tcPr>
            <w:tcW w:w="1280" w:type="dxa"/>
            <w:vAlign w:val="bottom"/>
          </w:tcPr>
          <w:p>
            <w:pPr>
              <w:jc w:val="right"/>
              <w:ind w:right="34"/>
              <w:spacing w:after="0"/>
              <w:rPr>
                <w:sz w:val="20"/>
                <w:szCs w:val="20"/>
                <w:color w:val="auto"/>
              </w:rPr>
            </w:pPr>
            <w:r>
              <w:rPr>
                <w:rFonts w:ascii="Arial" w:cs="Arial" w:eastAsia="Arial" w:hAnsi="Arial"/>
                <w:sz w:val="18"/>
                <w:szCs w:val="18"/>
                <w:color w:val="auto"/>
              </w:rPr>
              <w:t>76</w:t>
            </w:r>
          </w:p>
        </w:tc>
        <w:tc>
          <w:tcPr>
            <w:tcW w:w="920" w:type="dxa"/>
            <w:vAlign w:val="bottom"/>
            <w:gridSpan w:val="2"/>
          </w:tcPr>
          <w:p>
            <w:pPr>
              <w:jc w:val="right"/>
              <w:ind w:right="48"/>
              <w:spacing w:after="0"/>
              <w:rPr>
                <w:sz w:val="20"/>
                <w:szCs w:val="20"/>
                <w:color w:val="auto"/>
              </w:rPr>
            </w:pPr>
            <w:r>
              <w:rPr>
                <w:rFonts w:ascii="Arial" w:cs="Arial" w:eastAsia="Arial" w:hAnsi="Arial"/>
                <w:sz w:val="18"/>
                <w:szCs w:val="18"/>
                <w:color w:val="auto"/>
              </w:rPr>
              <w:t>90</w:t>
            </w:r>
          </w:p>
        </w:tc>
        <w:tc>
          <w:tcPr>
            <w:tcW w:w="120" w:type="dxa"/>
            <w:vAlign w:val="bottom"/>
          </w:tcPr>
          <w:p>
            <w:pPr>
              <w:spacing w:after="0"/>
              <w:rPr>
                <w:sz w:val="24"/>
                <w:szCs w:val="24"/>
                <w:color w:val="auto"/>
              </w:rPr>
            </w:pPr>
          </w:p>
        </w:tc>
        <w:tc>
          <w:tcPr>
            <w:tcW w:w="106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1580" w:type="dxa"/>
            <w:vAlign w:val="bottom"/>
          </w:tcPr>
          <w:p>
            <w:pPr>
              <w:jc w:val="right"/>
              <w:ind w:right="15"/>
              <w:spacing w:after="0"/>
              <w:rPr>
                <w:sz w:val="20"/>
                <w:szCs w:val="20"/>
                <w:color w:val="auto"/>
              </w:rPr>
            </w:pPr>
            <w:r>
              <w:rPr>
                <w:rFonts w:ascii="Arial" w:cs="Arial" w:eastAsia="Arial" w:hAnsi="Arial"/>
                <w:sz w:val="18"/>
                <w:szCs w:val="18"/>
                <w:color w:val="auto"/>
              </w:rPr>
              <w:t>85</w:t>
            </w:r>
          </w:p>
        </w:tc>
        <w:tc>
          <w:tcPr>
            <w:tcW w:w="100" w:type="dxa"/>
            <w:vAlign w:val="bottom"/>
          </w:tcPr>
          <w:p>
            <w:pPr>
              <w:spacing w:after="0"/>
              <w:rPr>
                <w:sz w:val="24"/>
                <w:szCs w:val="24"/>
                <w:color w:val="auto"/>
              </w:rPr>
            </w:pPr>
          </w:p>
        </w:tc>
        <w:tc>
          <w:tcPr>
            <w:tcW w:w="680" w:type="dxa"/>
            <w:vAlign w:val="bottom"/>
          </w:tcPr>
          <w:p>
            <w:pPr>
              <w:jc w:val="right"/>
              <w:ind w:right="12"/>
              <w:spacing w:after="0"/>
              <w:rPr>
                <w:sz w:val="20"/>
                <w:szCs w:val="20"/>
                <w:color w:val="auto"/>
              </w:rPr>
            </w:pPr>
            <w:r>
              <w:rPr>
                <w:rFonts w:ascii="Arial" w:cs="Arial" w:eastAsia="Arial" w:hAnsi="Arial"/>
                <w:sz w:val="18"/>
                <w:szCs w:val="18"/>
                <w:color w:val="auto"/>
              </w:rPr>
              <w:t>175</w:t>
            </w:r>
          </w:p>
        </w:tc>
        <w:tc>
          <w:tcPr>
            <w:tcW w:w="120" w:type="dxa"/>
            <w:vAlign w:val="bottom"/>
          </w:tcPr>
          <w:p>
            <w:pPr>
              <w:spacing w:after="0"/>
              <w:rPr>
                <w:sz w:val="24"/>
                <w:szCs w:val="24"/>
                <w:color w:val="auto"/>
              </w:rPr>
            </w:pPr>
          </w:p>
        </w:tc>
        <w:tc>
          <w:tcPr>
            <w:tcW w:w="2020" w:type="dxa"/>
            <w:vAlign w:val="bottom"/>
            <w:gridSpan w:val="2"/>
          </w:tcPr>
          <w:p>
            <w:pPr>
              <w:jc w:val="right"/>
              <w:ind w:right="120"/>
              <w:spacing w:after="0"/>
              <w:rPr>
                <w:sz w:val="20"/>
                <w:szCs w:val="20"/>
                <w:color w:val="auto"/>
              </w:rPr>
            </w:pPr>
            <w:r>
              <w:rPr>
                <w:rFonts w:ascii="Arial" w:cs="Arial" w:eastAsia="Arial" w:hAnsi="Arial"/>
                <w:sz w:val="18"/>
                <w:szCs w:val="18"/>
                <w:color w:val="auto"/>
              </w:rPr>
              <w:t>Republic</w:t>
            </w:r>
          </w:p>
        </w:tc>
        <w:tc>
          <w:tcPr>
            <w:tcW w:w="1360" w:type="dxa"/>
            <w:vAlign w:val="bottom"/>
          </w:tcPr>
          <w:p>
            <w:pPr>
              <w:jc w:val="right"/>
              <w:ind w:right="13"/>
              <w:spacing w:after="0"/>
              <w:rPr>
                <w:sz w:val="20"/>
                <w:szCs w:val="20"/>
                <w:color w:val="auto"/>
              </w:rPr>
            </w:pPr>
            <w:r>
              <w:rPr>
                <w:rFonts w:ascii="Arial" w:cs="Arial" w:eastAsia="Arial" w:hAnsi="Arial"/>
                <w:sz w:val="18"/>
                <w:szCs w:val="18"/>
                <w:color w:val="auto"/>
              </w:rPr>
              <w:t>85</w:t>
            </w:r>
          </w:p>
        </w:tc>
        <w:tc>
          <w:tcPr>
            <w:tcW w:w="0" w:type="dxa"/>
            <w:vAlign w:val="bottom"/>
          </w:tcPr>
          <w:p>
            <w:pPr>
              <w:spacing w:after="0"/>
              <w:rPr>
                <w:sz w:val="1"/>
                <w:szCs w:val="1"/>
                <w:color w:val="auto"/>
              </w:rPr>
            </w:pPr>
          </w:p>
        </w:tc>
      </w:tr>
      <w:tr>
        <w:trPr>
          <w:trHeight w:val="270"/>
        </w:trPr>
        <w:tc>
          <w:tcPr>
            <w:tcW w:w="2180" w:type="dxa"/>
            <w:vAlign w:val="bottom"/>
          </w:tcPr>
          <w:p>
            <w:pPr>
              <w:spacing w:after="0"/>
              <w:rPr>
                <w:sz w:val="23"/>
                <w:szCs w:val="23"/>
                <w:color w:val="auto"/>
              </w:rPr>
            </w:pPr>
          </w:p>
        </w:tc>
        <w:tc>
          <w:tcPr>
            <w:tcW w:w="128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80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94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58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68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2020" w:type="dxa"/>
            <w:vAlign w:val="bottom"/>
            <w:gridSpan w:val="2"/>
          </w:tcPr>
          <w:p>
            <w:pPr>
              <w:jc w:val="right"/>
              <w:ind w:right="120"/>
              <w:spacing w:after="0"/>
              <w:rPr>
                <w:sz w:val="20"/>
                <w:szCs w:val="20"/>
                <w:color w:val="auto"/>
              </w:rPr>
            </w:pPr>
            <w:r>
              <w:rPr>
                <w:rFonts w:ascii="Arial" w:cs="Arial" w:eastAsia="Arial" w:hAnsi="Arial"/>
                <w:sz w:val="18"/>
                <w:szCs w:val="18"/>
                <w:color w:val="auto"/>
              </w:rPr>
              <w:t>Envoy</w:t>
            </w:r>
          </w:p>
        </w:tc>
        <w:tc>
          <w:tcPr>
            <w:tcW w:w="1360" w:type="dxa"/>
            <w:vAlign w:val="bottom"/>
          </w:tcPr>
          <w:p>
            <w:pPr>
              <w:jc w:val="right"/>
              <w:ind w:right="13"/>
              <w:spacing w:after="0"/>
              <w:rPr>
                <w:sz w:val="20"/>
                <w:szCs w:val="20"/>
                <w:color w:val="auto"/>
              </w:rPr>
            </w:pPr>
            <w:r>
              <w:rPr>
                <w:rFonts w:ascii="Arial" w:cs="Arial" w:eastAsia="Arial" w:hAnsi="Arial"/>
                <w:sz w:val="18"/>
                <w:szCs w:val="18"/>
                <w:color w:val="auto"/>
              </w:rPr>
              <w:t>70</w:t>
            </w:r>
          </w:p>
        </w:tc>
        <w:tc>
          <w:tcPr>
            <w:tcW w:w="0" w:type="dxa"/>
            <w:vAlign w:val="bottom"/>
          </w:tcPr>
          <w:p>
            <w:pPr>
              <w:spacing w:after="0"/>
              <w:rPr>
                <w:sz w:val="1"/>
                <w:szCs w:val="1"/>
                <w:color w:val="auto"/>
              </w:rPr>
            </w:pPr>
          </w:p>
        </w:tc>
      </w:tr>
      <w:tr>
        <w:trPr>
          <w:trHeight w:val="270"/>
        </w:trPr>
        <w:tc>
          <w:tcPr>
            <w:tcW w:w="2180" w:type="dxa"/>
            <w:vAlign w:val="bottom"/>
          </w:tcPr>
          <w:p>
            <w:pPr>
              <w:spacing w:after="0"/>
              <w:rPr>
                <w:sz w:val="23"/>
                <w:szCs w:val="23"/>
                <w:color w:val="auto"/>
              </w:rPr>
            </w:pPr>
          </w:p>
        </w:tc>
        <w:tc>
          <w:tcPr>
            <w:tcW w:w="128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80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94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58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68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2020" w:type="dxa"/>
            <w:vAlign w:val="bottom"/>
            <w:gridSpan w:val="2"/>
          </w:tcPr>
          <w:p>
            <w:pPr>
              <w:jc w:val="right"/>
              <w:ind w:right="120"/>
              <w:spacing w:after="0"/>
              <w:rPr>
                <w:sz w:val="20"/>
                <w:szCs w:val="20"/>
                <w:color w:val="auto"/>
              </w:rPr>
            </w:pPr>
            <w:r>
              <w:rPr>
                <w:rFonts w:ascii="Arial" w:cs="Arial" w:eastAsia="Arial" w:hAnsi="Arial"/>
                <w:sz w:val="18"/>
                <w:szCs w:val="18"/>
                <w:color w:val="auto"/>
              </w:rPr>
              <w:t>Compass</w:t>
            </w:r>
          </w:p>
        </w:tc>
        <w:tc>
          <w:tcPr>
            <w:tcW w:w="1360" w:type="dxa"/>
            <w:vAlign w:val="bottom"/>
          </w:tcPr>
          <w:p>
            <w:pPr>
              <w:jc w:val="right"/>
              <w:ind w:right="13"/>
              <w:spacing w:after="0"/>
              <w:rPr>
                <w:sz w:val="20"/>
                <w:szCs w:val="20"/>
                <w:color w:val="auto"/>
              </w:rPr>
            </w:pPr>
            <w:r>
              <w:rPr>
                <w:rFonts w:ascii="Arial" w:cs="Arial" w:eastAsia="Arial" w:hAnsi="Arial"/>
                <w:sz w:val="18"/>
                <w:szCs w:val="18"/>
                <w:color w:val="auto"/>
              </w:rPr>
              <w:t>20</w:t>
            </w:r>
          </w:p>
        </w:tc>
        <w:tc>
          <w:tcPr>
            <w:tcW w:w="0" w:type="dxa"/>
            <w:vAlign w:val="bottom"/>
          </w:tcPr>
          <w:p>
            <w:pPr>
              <w:spacing w:after="0"/>
              <w:rPr>
                <w:sz w:val="1"/>
                <w:szCs w:val="1"/>
                <w:color w:val="auto"/>
              </w:rPr>
            </w:pPr>
          </w:p>
        </w:tc>
      </w:tr>
      <w:tr>
        <w:trPr>
          <w:trHeight w:val="27"/>
        </w:trPr>
        <w:tc>
          <w:tcPr>
            <w:tcW w:w="218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20" w:type="dxa"/>
            <w:vAlign w:val="bottom"/>
          </w:tcPr>
          <w:p>
            <w:pPr>
              <w:spacing w:after="0"/>
              <w:rPr>
                <w:sz w:val="2"/>
                <w:szCs w:val="2"/>
                <w:color w:val="auto"/>
              </w:rPr>
            </w:pPr>
          </w:p>
        </w:tc>
        <w:tc>
          <w:tcPr>
            <w:tcW w:w="800" w:type="dxa"/>
            <w:vAlign w:val="bottom"/>
          </w:tcPr>
          <w:p>
            <w:pPr>
              <w:spacing w:after="0"/>
              <w:rPr>
                <w:sz w:val="2"/>
                <w:szCs w:val="2"/>
                <w:color w:val="auto"/>
              </w:rPr>
            </w:pPr>
          </w:p>
        </w:tc>
        <w:tc>
          <w:tcPr>
            <w:tcW w:w="120" w:type="dxa"/>
            <w:vAlign w:val="bottom"/>
          </w:tcPr>
          <w:p>
            <w:pPr>
              <w:spacing w:after="0"/>
              <w:rPr>
                <w:sz w:val="2"/>
                <w:szCs w:val="2"/>
                <w:color w:val="auto"/>
              </w:rPr>
            </w:pPr>
          </w:p>
        </w:tc>
        <w:tc>
          <w:tcPr>
            <w:tcW w:w="9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580" w:type="dxa"/>
            <w:vAlign w:val="bottom"/>
          </w:tcPr>
          <w:p>
            <w:pPr>
              <w:spacing w:after="0"/>
              <w:rPr>
                <w:sz w:val="2"/>
                <w:szCs w:val="2"/>
                <w:color w:val="auto"/>
              </w:rPr>
            </w:pPr>
          </w:p>
        </w:tc>
        <w:tc>
          <w:tcPr>
            <w:tcW w:w="100" w:type="dxa"/>
            <w:vAlign w:val="bottom"/>
          </w:tcPr>
          <w:p>
            <w:pPr>
              <w:spacing w:after="0"/>
              <w:rPr>
                <w:sz w:val="2"/>
                <w:szCs w:val="2"/>
                <w:color w:val="auto"/>
              </w:rPr>
            </w:pPr>
          </w:p>
        </w:tc>
        <w:tc>
          <w:tcPr>
            <w:tcW w:w="6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20" w:type="dxa"/>
            <w:vAlign w:val="bottom"/>
            <w:gridSpan w:val="2"/>
            <w:vMerge w:val="restart"/>
          </w:tcPr>
          <w:p>
            <w:pPr>
              <w:jc w:val="right"/>
              <w:ind w:right="120"/>
              <w:spacing w:after="0"/>
              <w:rPr>
                <w:sz w:val="20"/>
                <w:szCs w:val="20"/>
                <w:color w:val="auto"/>
              </w:rPr>
            </w:pPr>
            <w:r>
              <w:rPr>
                <w:rFonts w:ascii="Arial" w:cs="Arial" w:eastAsia="Arial" w:hAnsi="Arial"/>
                <w:sz w:val="18"/>
                <w:szCs w:val="18"/>
                <w:color w:val="auto"/>
              </w:rPr>
              <w:t>Total</w:t>
            </w:r>
          </w:p>
        </w:tc>
        <w:tc>
          <w:tcPr>
            <w:tcW w:w="1360" w:type="dxa"/>
            <w:vAlign w:val="bottom"/>
            <w:tcBorders>
              <w:bottom w:val="single" w:sz="8" w:color="435363"/>
            </w:tcBorders>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2180" w:type="dxa"/>
            <w:vAlign w:val="bottom"/>
          </w:tcPr>
          <w:p>
            <w:pPr>
              <w:spacing w:after="0"/>
              <w:rPr>
                <w:sz w:val="20"/>
                <w:szCs w:val="20"/>
                <w:color w:val="auto"/>
              </w:rPr>
            </w:pPr>
          </w:p>
        </w:tc>
        <w:tc>
          <w:tcPr>
            <w:tcW w:w="12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5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020" w:type="dxa"/>
            <w:vAlign w:val="bottom"/>
            <w:gridSpan w:val="2"/>
            <w:vMerge w:val="continue"/>
          </w:tcPr>
          <w:p>
            <w:pPr>
              <w:spacing w:after="0"/>
              <w:rPr>
                <w:sz w:val="20"/>
                <w:szCs w:val="20"/>
                <w:color w:val="auto"/>
              </w:rPr>
            </w:pPr>
          </w:p>
        </w:tc>
        <w:tc>
          <w:tcPr>
            <w:tcW w:w="1360" w:type="dxa"/>
            <w:vAlign w:val="bottom"/>
          </w:tcPr>
          <w:p>
            <w:pPr>
              <w:jc w:val="right"/>
              <w:ind w:right="13"/>
              <w:spacing w:after="0"/>
              <w:rPr>
                <w:sz w:val="20"/>
                <w:szCs w:val="20"/>
                <w:color w:val="auto"/>
              </w:rPr>
            </w:pPr>
            <w:r>
              <w:rPr>
                <w:rFonts w:ascii="Arial" w:cs="Arial" w:eastAsia="Arial" w:hAnsi="Arial"/>
                <w:sz w:val="18"/>
                <w:szCs w:val="18"/>
                <w:color w:val="auto"/>
              </w:rPr>
              <w:t>175</w:t>
            </w:r>
          </w:p>
        </w:tc>
        <w:tc>
          <w:tcPr>
            <w:tcW w:w="0" w:type="dxa"/>
            <w:vAlign w:val="bottom"/>
          </w:tcPr>
          <w:p>
            <w:pPr>
              <w:spacing w:after="0"/>
              <w:rPr>
                <w:sz w:val="1"/>
                <w:szCs w:val="1"/>
                <w:color w:val="auto"/>
              </w:rPr>
            </w:pPr>
          </w:p>
        </w:tc>
      </w:tr>
      <w:tr>
        <w:trPr>
          <w:trHeight w:val="135"/>
        </w:trPr>
        <w:tc>
          <w:tcPr>
            <w:tcW w:w="2180" w:type="dxa"/>
            <w:vAlign w:val="bottom"/>
          </w:tcPr>
          <w:p>
            <w:pPr>
              <w:spacing w:after="0"/>
              <w:rPr>
                <w:sz w:val="11"/>
                <w:szCs w:val="11"/>
                <w:color w:val="auto"/>
              </w:rPr>
            </w:pPr>
          </w:p>
        </w:tc>
        <w:tc>
          <w:tcPr>
            <w:tcW w:w="12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5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9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3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70"/>
        </w:trPr>
        <w:tc>
          <w:tcPr>
            <w:tcW w:w="2180" w:type="dxa"/>
            <w:vAlign w:val="bottom"/>
            <w:shd w:val="clear" w:color="auto" w:fill="CCEEFF"/>
          </w:tcPr>
          <w:p>
            <w:pPr>
              <w:ind w:left="40"/>
              <w:spacing w:after="0"/>
              <w:rPr>
                <w:sz w:val="20"/>
                <w:szCs w:val="20"/>
                <w:color w:val="auto"/>
              </w:rPr>
            </w:pPr>
            <w:r>
              <w:rPr>
                <w:rFonts w:ascii="Arial" w:cs="Arial" w:eastAsia="Arial" w:hAnsi="Arial"/>
                <w:sz w:val="18"/>
                <w:szCs w:val="18"/>
                <w:color w:val="auto"/>
              </w:rPr>
              <w:t xml:space="preserve">Embraer ERJ 140 </w:t>
            </w:r>
            <w:r>
              <w:rPr>
                <w:rFonts w:ascii="Arial" w:cs="Arial" w:eastAsia="Arial" w:hAnsi="Arial"/>
                <w:sz w:val="18"/>
                <w:szCs w:val="18"/>
                <w:b w:val="1"/>
                <w:bCs w:val="1"/>
                <w:color w:val="auto"/>
                <w:vertAlign w:val="superscript"/>
              </w:rPr>
              <w:t>(1)</w:t>
            </w:r>
          </w:p>
        </w:tc>
        <w:tc>
          <w:tcPr>
            <w:tcW w:w="1280" w:type="dxa"/>
            <w:vAlign w:val="bottom"/>
            <w:shd w:val="clear" w:color="auto" w:fill="CCEEFF"/>
          </w:tcPr>
          <w:p>
            <w:pPr>
              <w:jc w:val="right"/>
              <w:ind w:right="34"/>
              <w:spacing w:after="0"/>
              <w:rPr>
                <w:sz w:val="20"/>
                <w:szCs w:val="20"/>
                <w:color w:val="auto"/>
              </w:rPr>
            </w:pPr>
            <w:r>
              <w:rPr>
                <w:rFonts w:ascii="Arial" w:cs="Arial" w:eastAsia="Arial" w:hAnsi="Arial"/>
                <w:sz w:val="18"/>
                <w:szCs w:val="18"/>
                <w:color w:val="auto"/>
              </w:rPr>
              <w:t>44</w:t>
            </w:r>
          </w:p>
        </w:tc>
        <w:tc>
          <w:tcPr>
            <w:tcW w:w="920" w:type="dxa"/>
            <w:vAlign w:val="bottom"/>
            <w:gridSpan w:val="2"/>
            <w:shd w:val="clear" w:color="auto" w:fill="CCEEFF"/>
          </w:tcPr>
          <w:p>
            <w:pPr>
              <w:jc w:val="right"/>
              <w:ind w:right="48"/>
              <w:spacing w:after="0"/>
              <w:rPr>
                <w:sz w:val="20"/>
                <w:szCs w:val="20"/>
                <w:color w:val="auto"/>
              </w:rPr>
            </w:pPr>
            <w:r>
              <w:rPr>
                <w:rFonts w:ascii="Arial" w:cs="Arial" w:eastAsia="Arial" w:hAnsi="Arial"/>
                <w:sz w:val="18"/>
                <w:szCs w:val="18"/>
                <w:color w:val="auto"/>
              </w:rPr>
              <w:t>46</w:t>
            </w:r>
          </w:p>
        </w:tc>
        <w:tc>
          <w:tcPr>
            <w:tcW w:w="120" w:type="dxa"/>
            <w:vAlign w:val="bottom"/>
            <w:shd w:val="clear" w:color="auto" w:fill="CCEEFF"/>
          </w:tcPr>
          <w:p>
            <w:pPr>
              <w:spacing w:after="0"/>
              <w:rPr>
                <w:sz w:val="23"/>
                <w:szCs w:val="23"/>
                <w:color w:val="auto"/>
              </w:rPr>
            </w:pPr>
          </w:p>
        </w:tc>
        <w:tc>
          <w:tcPr>
            <w:tcW w:w="106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16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68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46</w:t>
            </w:r>
          </w:p>
        </w:tc>
        <w:tc>
          <w:tcPr>
            <w:tcW w:w="120" w:type="dxa"/>
            <w:vAlign w:val="bottom"/>
            <w:shd w:val="clear" w:color="auto" w:fill="CCEEFF"/>
          </w:tcPr>
          <w:p>
            <w:pPr>
              <w:spacing w:after="0"/>
              <w:rPr>
                <w:sz w:val="23"/>
                <w:szCs w:val="23"/>
                <w:color w:val="auto"/>
              </w:rPr>
            </w:pPr>
          </w:p>
        </w:tc>
        <w:tc>
          <w:tcPr>
            <w:tcW w:w="20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Envoy</w:t>
            </w:r>
          </w:p>
        </w:tc>
        <w:tc>
          <w:tcPr>
            <w:tcW w:w="1360" w:type="dxa"/>
            <w:vAlign w:val="bottom"/>
            <w:shd w:val="clear" w:color="auto" w:fill="CCEEFF"/>
          </w:tcPr>
          <w:p>
            <w:pPr>
              <w:jc w:val="right"/>
              <w:ind w:right="13"/>
              <w:spacing w:after="0"/>
              <w:rPr>
                <w:sz w:val="20"/>
                <w:szCs w:val="20"/>
                <w:color w:val="auto"/>
              </w:rPr>
            </w:pPr>
            <w:r>
              <w:rPr>
                <w:rFonts w:ascii="Arial" w:cs="Arial" w:eastAsia="Arial" w:hAnsi="Arial"/>
                <w:sz w:val="18"/>
                <w:szCs w:val="18"/>
                <w:color w:val="auto"/>
              </w:rPr>
              <w:t>46</w:t>
            </w:r>
          </w:p>
        </w:tc>
        <w:tc>
          <w:tcPr>
            <w:tcW w:w="0" w:type="dxa"/>
            <w:vAlign w:val="bottom"/>
          </w:tcPr>
          <w:p>
            <w:pPr>
              <w:spacing w:after="0"/>
              <w:rPr>
                <w:sz w:val="1"/>
                <w:szCs w:val="1"/>
                <w:color w:val="auto"/>
              </w:rPr>
            </w:pPr>
          </w:p>
        </w:tc>
      </w:tr>
      <w:tr>
        <w:trPr>
          <w:trHeight w:val="365"/>
        </w:trPr>
        <w:tc>
          <w:tcPr>
            <w:tcW w:w="2180" w:type="dxa"/>
            <w:vAlign w:val="bottom"/>
          </w:tcPr>
          <w:p>
            <w:pPr>
              <w:ind w:left="40"/>
              <w:spacing w:after="0"/>
              <w:rPr>
                <w:sz w:val="20"/>
                <w:szCs w:val="20"/>
                <w:color w:val="auto"/>
              </w:rPr>
            </w:pPr>
            <w:r>
              <w:rPr>
                <w:rFonts w:ascii="Arial" w:cs="Arial" w:eastAsia="Arial" w:hAnsi="Arial"/>
                <w:sz w:val="18"/>
                <w:szCs w:val="18"/>
                <w:color w:val="auto"/>
              </w:rPr>
              <w:t>Embraer ERJ 145</w:t>
            </w:r>
          </w:p>
        </w:tc>
        <w:tc>
          <w:tcPr>
            <w:tcW w:w="1280" w:type="dxa"/>
            <w:vAlign w:val="bottom"/>
          </w:tcPr>
          <w:p>
            <w:pPr>
              <w:jc w:val="right"/>
              <w:ind w:right="34"/>
              <w:spacing w:after="0"/>
              <w:rPr>
                <w:sz w:val="20"/>
                <w:szCs w:val="20"/>
                <w:color w:val="auto"/>
              </w:rPr>
            </w:pPr>
            <w:r>
              <w:rPr>
                <w:rFonts w:ascii="Arial" w:cs="Arial" w:eastAsia="Arial" w:hAnsi="Arial"/>
                <w:sz w:val="18"/>
                <w:szCs w:val="18"/>
                <w:color w:val="auto"/>
              </w:rPr>
              <w:t>50</w:t>
            </w:r>
          </w:p>
        </w:tc>
        <w:tc>
          <w:tcPr>
            <w:tcW w:w="920" w:type="dxa"/>
            <w:vAlign w:val="bottom"/>
            <w:gridSpan w:val="2"/>
          </w:tcPr>
          <w:p>
            <w:pPr>
              <w:jc w:val="right"/>
              <w:ind w:right="48"/>
              <w:spacing w:after="0"/>
              <w:rPr>
                <w:sz w:val="20"/>
                <w:szCs w:val="20"/>
                <w:color w:val="auto"/>
              </w:rPr>
            </w:pPr>
            <w:r>
              <w:rPr>
                <w:rFonts w:ascii="Arial" w:cs="Arial" w:eastAsia="Arial" w:hAnsi="Arial"/>
                <w:sz w:val="18"/>
                <w:szCs w:val="18"/>
                <w:color w:val="auto"/>
              </w:rPr>
              <w:t>118</w:t>
            </w:r>
          </w:p>
        </w:tc>
        <w:tc>
          <w:tcPr>
            <w:tcW w:w="120" w:type="dxa"/>
            <w:vAlign w:val="bottom"/>
          </w:tcPr>
          <w:p>
            <w:pPr>
              <w:spacing w:after="0"/>
              <w:rPr>
                <w:sz w:val="24"/>
                <w:szCs w:val="24"/>
                <w:color w:val="auto"/>
              </w:rPr>
            </w:pPr>
          </w:p>
        </w:tc>
        <w:tc>
          <w:tcPr>
            <w:tcW w:w="106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168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680" w:type="dxa"/>
            <w:vAlign w:val="bottom"/>
          </w:tcPr>
          <w:p>
            <w:pPr>
              <w:jc w:val="right"/>
              <w:ind w:right="12"/>
              <w:spacing w:after="0"/>
              <w:rPr>
                <w:sz w:val="20"/>
                <w:szCs w:val="20"/>
                <w:color w:val="auto"/>
              </w:rPr>
            </w:pPr>
            <w:r>
              <w:rPr>
                <w:rFonts w:ascii="Arial" w:cs="Arial" w:eastAsia="Arial" w:hAnsi="Arial"/>
                <w:sz w:val="18"/>
                <w:szCs w:val="18"/>
                <w:color w:val="auto"/>
              </w:rPr>
              <w:t>118</w:t>
            </w:r>
          </w:p>
        </w:tc>
        <w:tc>
          <w:tcPr>
            <w:tcW w:w="120" w:type="dxa"/>
            <w:vAlign w:val="bottom"/>
          </w:tcPr>
          <w:p>
            <w:pPr>
              <w:spacing w:after="0"/>
              <w:rPr>
                <w:sz w:val="24"/>
                <w:szCs w:val="24"/>
                <w:color w:val="auto"/>
              </w:rPr>
            </w:pPr>
          </w:p>
        </w:tc>
        <w:tc>
          <w:tcPr>
            <w:tcW w:w="2020" w:type="dxa"/>
            <w:vAlign w:val="bottom"/>
            <w:gridSpan w:val="2"/>
          </w:tcPr>
          <w:p>
            <w:pPr>
              <w:jc w:val="right"/>
              <w:ind w:right="120"/>
              <w:spacing w:after="0"/>
              <w:rPr>
                <w:sz w:val="20"/>
                <w:szCs w:val="20"/>
                <w:color w:val="auto"/>
              </w:rPr>
            </w:pPr>
            <w:r>
              <w:rPr>
                <w:rFonts w:ascii="Arial" w:cs="Arial" w:eastAsia="Arial" w:hAnsi="Arial"/>
                <w:sz w:val="18"/>
                <w:szCs w:val="18"/>
                <w:color w:val="auto"/>
              </w:rPr>
              <w:t>Piedmont</w:t>
            </w:r>
          </w:p>
        </w:tc>
        <w:tc>
          <w:tcPr>
            <w:tcW w:w="1360" w:type="dxa"/>
            <w:vAlign w:val="bottom"/>
          </w:tcPr>
          <w:p>
            <w:pPr>
              <w:jc w:val="right"/>
              <w:ind w:right="13"/>
              <w:spacing w:after="0"/>
              <w:rPr>
                <w:sz w:val="20"/>
                <w:szCs w:val="20"/>
                <w:color w:val="auto"/>
              </w:rPr>
            </w:pPr>
            <w:r>
              <w:rPr>
                <w:rFonts w:ascii="Arial" w:cs="Arial" w:eastAsia="Arial" w:hAnsi="Arial"/>
                <w:sz w:val="18"/>
                <w:szCs w:val="18"/>
                <w:color w:val="auto"/>
              </w:rPr>
              <w:t>60</w:t>
            </w:r>
          </w:p>
        </w:tc>
        <w:tc>
          <w:tcPr>
            <w:tcW w:w="0" w:type="dxa"/>
            <w:vAlign w:val="bottom"/>
          </w:tcPr>
          <w:p>
            <w:pPr>
              <w:spacing w:after="0"/>
              <w:rPr>
                <w:sz w:val="1"/>
                <w:szCs w:val="1"/>
                <w:color w:val="auto"/>
              </w:rPr>
            </w:pPr>
          </w:p>
        </w:tc>
      </w:tr>
      <w:tr>
        <w:trPr>
          <w:trHeight w:val="270"/>
        </w:trPr>
        <w:tc>
          <w:tcPr>
            <w:tcW w:w="2180" w:type="dxa"/>
            <w:vAlign w:val="bottom"/>
          </w:tcPr>
          <w:p>
            <w:pPr>
              <w:spacing w:after="0"/>
              <w:rPr>
                <w:sz w:val="23"/>
                <w:szCs w:val="23"/>
                <w:color w:val="auto"/>
              </w:rPr>
            </w:pPr>
          </w:p>
        </w:tc>
        <w:tc>
          <w:tcPr>
            <w:tcW w:w="128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80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94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58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68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2020" w:type="dxa"/>
            <w:vAlign w:val="bottom"/>
            <w:gridSpan w:val="2"/>
          </w:tcPr>
          <w:p>
            <w:pPr>
              <w:jc w:val="right"/>
              <w:ind w:right="120"/>
              <w:spacing w:after="0"/>
              <w:rPr>
                <w:sz w:val="20"/>
                <w:szCs w:val="20"/>
                <w:color w:val="auto"/>
              </w:rPr>
            </w:pPr>
            <w:r>
              <w:rPr>
                <w:rFonts w:ascii="Arial" w:cs="Arial" w:eastAsia="Arial" w:hAnsi="Arial"/>
                <w:sz w:val="18"/>
                <w:szCs w:val="18"/>
                <w:color w:val="auto"/>
              </w:rPr>
              <w:t>Envoy</w:t>
            </w:r>
          </w:p>
        </w:tc>
        <w:tc>
          <w:tcPr>
            <w:tcW w:w="1360" w:type="dxa"/>
            <w:vAlign w:val="bottom"/>
          </w:tcPr>
          <w:p>
            <w:pPr>
              <w:jc w:val="right"/>
              <w:ind w:right="13"/>
              <w:spacing w:after="0"/>
              <w:rPr>
                <w:sz w:val="20"/>
                <w:szCs w:val="20"/>
                <w:color w:val="auto"/>
              </w:rPr>
            </w:pPr>
            <w:r>
              <w:rPr>
                <w:rFonts w:ascii="Arial" w:cs="Arial" w:eastAsia="Arial" w:hAnsi="Arial"/>
                <w:sz w:val="18"/>
                <w:szCs w:val="18"/>
                <w:color w:val="auto"/>
              </w:rPr>
              <w:t>58</w:t>
            </w:r>
          </w:p>
        </w:tc>
        <w:tc>
          <w:tcPr>
            <w:tcW w:w="0" w:type="dxa"/>
            <w:vAlign w:val="bottom"/>
          </w:tcPr>
          <w:p>
            <w:pPr>
              <w:spacing w:after="0"/>
              <w:rPr>
                <w:sz w:val="1"/>
                <w:szCs w:val="1"/>
                <w:color w:val="auto"/>
              </w:rPr>
            </w:pPr>
          </w:p>
        </w:tc>
      </w:tr>
      <w:tr>
        <w:trPr>
          <w:trHeight w:val="27"/>
        </w:trPr>
        <w:tc>
          <w:tcPr>
            <w:tcW w:w="218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20" w:type="dxa"/>
            <w:vAlign w:val="bottom"/>
          </w:tcPr>
          <w:p>
            <w:pPr>
              <w:spacing w:after="0"/>
              <w:rPr>
                <w:sz w:val="2"/>
                <w:szCs w:val="2"/>
                <w:color w:val="auto"/>
              </w:rPr>
            </w:pPr>
          </w:p>
        </w:tc>
        <w:tc>
          <w:tcPr>
            <w:tcW w:w="800" w:type="dxa"/>
            <w:vAlign w:val="bottom"/>
          </w:tcPr>
          <w:p>
            <w:pPr>
              <w:spacing w:after="0"/>
              <w:rPr>
                <w:sz w:val="2"/>
                <w:szCs w:val="2"/>
                <w:color w:val="auto"/>
              </w:rPr>
            </w:pPr>
          </w:p>
        </w:tc>
        <w:tc>
          <w:tcPr>
            <w:tcW w:w="120" w:type="dxa"/>
            <w:vAlign w:val="bottom"/>
          </w:tcPr>
          <w:p>
            <w:pPr>
              <w:spacing w:after="0"/>
              <w:rPr>
                <w:sz w:val="2"/>
                <w:szCs w:val="2"/>
                <w:color w:val="auto"/>
              </w:rPr>
            </w:pPr>
          </w:p>
        </w:tc>
        <w:tc>
          <w:tcPr>
            <w:tcW w:w="9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580" w:type="dxa"/>
            <w:vAlign w:val="bottom"/>
          </w:tcPr>
          <w:p>
            <w:pPr>
              <w:spacing w:after="0"/>
              <w:rPr>
                <w:sz w:val="2"/>
                <w:szCs w:val="2"/>
                <w:color w:val="auto"/>
              </w:rPr>
            </w:pPr>
          </w:p>
        </w:tc>
        <w:tc>
          <w:tcPr>
            <w:tcW w:w="100" w:type="dxa"/>
            <w:vAlign w:val="bottom"/>
          </w:tcPr>
          <w:p>
            <w:pPr>
              <w:spacing w:after="0"/>
              <w:rPr>
                <w:sz w:val="2"/>
                <w:szCs w:val="2"/>
                <w:color w:val="auto"/>
              </w:rPr>
            </w:pPr>
          </w:p>
        </w:tc>
        <w:tc>
          <w:tcPr>
            <w:tcW w:w="6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20" w:type="dxa"/>
            <w:vAlign w:val="bottom"/>
            <w:gridSpan w:val="2"/>
            <w:vMerge w:val="restart"/>
          </w:tcPr>
          <w:p>
            <w:pPr>
              <w:jc w:val="right"/>
              <w:ind w:right="120"/>
              <w:spacing w:after="0"/>
              <w:rPr>
                <w:sz w:val="20"/>
                <w:szCs w:val="20"/>
                <w:color w:val="auto"/>
              </w:rPr>
            </w:pPr>
            <w:r>
              <w:rPr>
                <w:rFonts w:ascii="Arial" w:cs="Arial" w:eastAsia="Arial" w:hAnsi="Arial"/>
                <w:sz w:val="18"/>
                <w:szCs w:val="18"/>
                <w:color w:val="auto"/>
              </w:rPr>
              <w:t>Total</w:t>
            </w:r>
          </w:p>
        </w:tc>
        <w:tc>
          <w:tcPr>
            <w:tcW w:w="13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2180" w:type="dxa"/>
            <w:vAlign w:val="bottom"/>
            <w:tcBorders>
              <w:bottom w:val="single" w:sz="8" w:color="CCEEFF"/>
            </w:tcBorders>
          </w:tcPr>
          <w:p>
            <w:pPr>
              <w:spacing w:after="0"/>
              <w:rPr>
                <w:sz w:val="21"/>
                <w:szCs w:val="21"/>
                <w:color w:val="auto"/>
              </w:rPr>
            </w:pPr>
          </w:p>
        </w:tc>
        <w:tc>
          <w:tcPr>
            <w:tcW w:w="1280" w:type="dxa"/>
            <w:vAlign w:val="bottom"/>
            <w:tcBorders>
              <w:bottom w:val="single" w:sz="8" w:color="CCEEFF"/>
            </w:tcBorders>
          </w:tcPr>
          <w:p>
            <w:pPr>
              <w:spacing w:after="0"/>
              <w:rPr>
                <w:sz w:val="21"/>
                <w:szCs w:val="21"/>
                <w:color w:val="auto"/>
              </w:rPr>
            </w:pPr>
          </w:p>
        </w:tc>
        <w:tc>
          <w:tcPr>
            <w:tcW w:w="120" w:type="dxa"/>
            <w:vAlign w:val="bottom"/>
            <w:tcBorders>
              <w:bottom w:val="single" w:sz="8" w:color="CCEEFF"/>
            </w:tcBorders>
          </w:tcPr>
          <w:p>
            <w:pPr>
              <w:spacing w:after="0"/>
              <w:rPr>
                <w:sz w:val="21"/>
                <w:szCs w:val="21"/>
                <w:color w:val="auto"/>
              </w:rPr>
            </w:pPr>
          </w:p>
        </w:tc>
        <w:tc>
          <w:tcPr>
            <w:tcW w:w="800" w:type="dxa"/>
            <w:vAlign w:val="bottom"/>
            <w:tcBorders>
              <w:bottom w:val="single" w:sz="8" w:color="auto"/>
            </w:tcBorders>
          </w:tcPr>
          <w:p>
            <w:pPr>
              <w:spacing w:after="0"/>
              <w:rPr>
                <w:sz w:val="21"/>
                <w:szCs w:val="21"/>
                <w:color w:val="auto"/>
              </w:rPr>
            </w:pPr>
          </w:p>
        </w:tc>
        <w:tc>
          <w:tcPr>
            <w:tcW w:w="120" w:type="dxa"/>
            <w:vAlign w:val="bottom"/>
            <w:tcBorders>
              <w:bottom w:val="single" w:sz="8" w:color="CCEEFF"/>
            </w:tcBorders>
          </w:tcPr>
          <w:p>
            <w:pPr>
              <w:spacing w:after="0"/>
              <w:rPr>
                <w:sz w:val="21"/>
                <w:szCs w:val="21"/>
                <w:color w:val="auto"/>
              </w:rPr>
            </w:pPr>
          </w:p>
        </w:tc>
        <w:tc>
          <w:tcPr>
            <w:tcW w:w="940" w:type="dxa"/>
            <w:vAlign w:val="bottom"/>
            <w:tcBorders>
              <w:bottom w:val="single" w:sz="8" w:color="auto"/>
            </w:tcBorders>
          </w:tcPr>
          <w:p>
            <w:pPr>
              <w:spacing w:after="0"/>
              <w:rPr>
                <w:sz w:val="21"/>
                <w:szCs w:val="21"/>
                <w:color w:val="auto"/>
              </w:rPr>
            </w:pPr>
          </w:p>
        </w:tc>
        <w:tc>
          <w:tcPr>
            <w:tcW w:w="120" w:type="dxa"/>
            <w:vAlign w:val="bottom"/>
            <w:tcBorders>
              <w:bottom w:val="single" w:sz="8" w:color="CCEEFF"/>
            </w:tcBorders>
          </w:tcPr>
          <w:p>
            <w:pPr>
              <w:spacing w:after="0"/>
              <w:rPr>
                <w:sz w:val="21"/>
                <w:szCs w:val="21"/>
                <w:color w:val="auto"/>
              </w:rPr>
            </w:pPr>
          </w:p>
        </w:tc>
        <w:tc>
          <w:tcPr>
            <w:tcW w:w="1580" w:type="dxa"/>
            <w:vAlign w:val="bottom"/>
            <w:tcBorders>
              <w:bottom w:val="single" w:sz="8" w:color="auto"/>
            </w:tcBorders>
          </w:tcPr>
          <w:p>
            <w:pPr>
              <w:spacing w:after="0"/>
              <w:rPr>
                <w:sz w:val="21"/>
                <w:szCs w:val="21"/>
                <w:color w:val="auto"/>
              </w:rPr>
            </w:pPr>
          </w:p>
        </w:tc>
        <w:tc>
          <w:tcPr>
            <w:tcW w:w="100" w:type="dxa"/>
            <w:vAlign w:val="bottom"/>
            <w:tcBorders>
              <w:bottom w:val="single" w:sz="8" w:color="CCEEFF"/>
            </w:tcBorders>
          </w:tcPr>
          <w:p>
            <w:pPr>
              <w:spacing w:after="0"/>
              <w:rPr>
                <w:sz w:val="21"/>
                <w:szCs w:val="21"/>
                <w:color w:val="auto"/>
              </w:rPr>
            </w:pPr>
          </w:p>
        </w:tc>
        <w:tc>
          <w:tcPr>
            <w:tcW w:w="680" w:type="dxa"/>
            <w:vAlign w:val="bottom"/>
            <w:tcBorders>
              <w:bottom w:val="single" w:sz="8" w:color="auto"/>
            </w:tcBorders>
          </w:tcPr>
          <w:p>
            <w:pPr>
              <w:spacing w:after="0"/>
              <w:rPr>
                <w:sz w:val="21"/>
                <w:szCs w:val="21"/>
                <w:color w:val="auto"/>
              </w:rPr>
            </w:pPr>
          </w:p>
        </w:tc>
        <w:tc>
          <w:tcPr>
            <w:tcW w:w="120" w:type="dxa"/>
            <w:vAlign w:val="bottom"/>
            <w:tcBorders>
              <w:bottom w:val="single" w:sz="8" w:color="CCEEFF"/>
            </w:tcBorders>
          </w:tcPr>
          <w:p>
            <w:pPr>
              <w:spacing w:after="0"/>
              <w:rPr>
                <w:sz w:val="21"/>
                <w:szCs w:val="21"/>
                <w:color w:val="auto"/>
              </w:rPr>
            </w:pPr>
          </w:p>
        </w:tc>
        <w:tc>
          <w:tcPr>
            <w:tcW w:w="2020" w:type="dxa"/>
            <w:vAlign w:val="bottom"/>
            <w:tcBorders>
              <w:bottom w:val="single" w:sz="8" w:color="CCEEFF"/>
            </w:tcBorders>
            <w:gridSpan w:val="2"/>
            <w:vMerge w:val="continue"/>
          </w:tcPr>
          <w:p>
            <w:pPr>
              <w:spacing w:after="0"/>
              <w:rPr>
                <w:sz w:val="21"/>
                <w:szCs w:val="21"/>
                <w:color w:val="auto"/>
              </w:rPr>
            </w:pPr>
          </w:p>
        </w:tc>
        <w:tc>
          <w:tcPr>
            <w:tcW w:w="1360" w:type="dxa"/>
            <w:vAlign w:val="bottom"/>
            <w:tcBorders>
              <w:bottom w:val="single" w:sz="8" w:color="auto"/>
            </w:tcBorders>
          </w:tcPr>
          <w:p>
            <w:pPr>
              <w:jc w:val="right"/>
              <w:ind w:right="13"/>
              <w:spacing w:after="0"/>
              <w:rPr>
                <w:sz w:val="20"/>
                <w:szCs w:val="20"/>
                <w:color w:val="auto"/>
              </w:rPr>
            </w:pPr>
            <w:r>
              <w:rPr>
                <w:rFonts w:ascii="Arial" w:cs="Arial" w:eastAsia="Arial" w:hAnsi="Arial"/>
                <w:sz w:val="18"/>
                <w:szCs w:val="18"/>
                <w:color w:val="auto"/>
              </w:rPr>
              <w:t>118</w:t>
            </w:r>
          </w:p>
        </w:tc>
        <w:tc>
          <w:tcPr>
            <w:tcW w:w="0" w:type="dxa"/>
            <w:vAlign w:val="bottom"/>
          </w:tcPr>
          <w:p>
            <w:pPr>
              <w:spacing w:after="0"/>
              <w:rPr>
                <w:sz w:val="1"/>
                <w:szCs w:val="1"/>
                <w:color w:val="auto"/>
              </w:rPr>
            </w:pPr>
          </w:p>
        </w:tc>
      </w:tr>
      <w:tr>
        <w:trPr>
          <w:trHeight w:val="250"/>
        </w:trPr>
        <w:tc>
          <w:tcPr>
            <w:tcW w:w="2180" w:type="dxa"/>
            <w:vAlign w:val="bottom"/>
            <w:shd w:val="clear" w:color="auto" w:fill="CCEEFF"/>
          </w:tcPr>
          <w:p>
            <w:pPr>
              <w:ind w:left="40"/>
              <w:spacing w:after="0"/>
              <w:rPr>
                <w:sz w:val="20"/>
                <w:szCs w:val="20"/>
                <w:color w:val="auto"/>
              </w:rPr>
            </w:pPr>
            <w:r>
              <w:rPr>
                <w:rFonts w:ascii="Arial" w:cs="Arial" w:eastAsia="Arial" w:hAnsi="Arial"/>
                <w:sz w:val="18"/>
                <w:szCs w:val="18"/>
                <w:color w:val="auto"/>
              </w:rPr>
              <w:t>Total</w:t>
            </w:r>
          </w:p>
        </w:tc>
        <w:tc>
          <w:tcPr>
            <w:tcW w:w="1280" w:type="dxa"/>
            <w:vAlign w:val="bottom"/>
            <w:shd w:val="clear" w:color="auto" w:fill="CCEEFF"/>
          </w:tcPr>
          <w:p>
            <w:pPr>
              <w:spacing w:after="0"/>
              <w:rPr>
                <w:sz w:val="21"/>
                <w:szCs w:val="21"/>
                <w:color w:val="auto"/>
              </w:rPr>
            </w:pPr>
          </w:p>
        </w:tc>
        <w:tc>
          <w:tcPr>
            <w:tcW w:w="920" w:type="dxa"/>
            <w:vAlign w:val="bottom"/>
            <w:gridSpan w:val="2"/>
            <w:shd w:val="clear" w:color="auto" w:fill="CCEEFF"/>
          </w:tcPr>
          <w:p>
            <w:pPr>
              <w:jc w:val="right"/>
              <w:ind w:right="48"/>
              <w:spacing w:after="0"/>
              <w:rPr>
                <w:sz w:val="20"/>
                <w:szCs w:val="20"/>
                <w:color w:val="auto"/>
              </w:rPr>
            </w:pPr>
            <w:r>
              <w:rPr>
                <w:rFonts w:ascii="Arial" w:cs="Arial" w:eastAsia="Arial" w:hAnsi="Arial"/>
                <w:sz w:val="18"/>
                <w:szCs w:val="18"/>
                <w:color w:val="auto"/>
              </w:rPr>
              <w:t>386</w:t>
            </w:r>
          </w:p>
        </w:tc>
        <w:tc>
          <w:tcPr>
            <w:tcW w:w="120" w:type="dxa"/>
            <w:vAlign w:val="bottom"/>
            <w:shd w:val="clear" w:color="auto" w:fill="CCEEFF"/>
          </w:tcPr>
          <w:p>
            <w:pPr>
              <w:spacing w:after="0"/>
              <w:rPr>
                <w:sz w:val="21"/>
                <w:szCs w:val="21"/>
                <w:color w:val="auto"/>
              </w:rPr>
            </w:pPr>
          </w:p>
        </w:tc>
        <w:tc>
          <w:tcPr>
            <w:tcW w:w="940" w:type="dxa"/>
            <w:vAlign w:val="bottom"/>
            <w:shd w:val="clear" w:color="auto" w:fill="CCEEFF"/>
          </w:tcPr>
          <w:p>
            <w:pPr>
              <w:jc w:val="right"/>
              <w:ind w:right="32"/>
              <w:spacing w:after="0"/>
              <w:rPr>
                <w:sz w:val="20"/>
                <w:szCs w:val="20"/>
                <w:color w:val="auto"/>
              </w:rPr>
            </w:pPr>
            <w:r>
              <w:rPr>
                <w:rFonts w:ascii="Arial" w:cs="Arial" w:eastAsia="Arial" w:hAnsi="Arial"/>
                <w:sz w:val="18"/>
                <w:szCs w:val="18"/>
                <w:color w:val="auto"/>
              </w:rPr>
              <w:t>14</w:t>
            </w:r>
          </w:p>
        </w:tc>
        <w:tc>
          <w:tcPr>
            <w:tcW w:w="120" w:type="dxa"/>
            <w:vAlign w:val="bottom"/>
            <w:shd w:val="clear" w:color="auto" w:fill="CCEEFF"/>
          </w:tcPr>
          <w:p>
            <w:pPr>
              <w:spacing w:after="0"/>
              <w:rPr>
                <w:sz w:val="21"/>
                <w:szCs w:val="21"/>
                <w:color w:val="auto"/>
              </w:rPr>
            </w:pPr>
          </w:p>
        </w:tc>
        <w:tc>
          <w:tcPr>
            <w:tcW w:w="1580" w:type="dxa"/>
            <w:vAlign w:val="bottom"/>
            <w:shd w:val="clear" w:color="auto" w:fill="CCEEFF"/>
          </w:tcPr>
          <w:p>
            <w:pPr>
              <w:jc w:val="right"/>
              <w:ind w:right="15"/>
              <w:spacing w:after="0"/>
              <w:rPr>
                <w:sz w:val="20"/>
                <w:szCs w:val="20"/>
                <w:color w:val="auto"/>
              </w:rPr>
            </w:pPr>
            <w:r>
              <w:rPr>
                <w:rFonts w:ascii="Arial" w:cs="Arial" w:eastAsia="Arial" w:hAnsi="Arial"/>
                <w:sz w:val="18"/>
                <w:szCs w:val="18"/>
                <w:color w:val="auto"/>
              </w:rPr>
              <w:t>205</w:t>
            </w:r>
          </w:p>
        </w:tc>
        <w:tc>
          <w:tcPr>
            <w:tcW w:w="100" w:type="dxa"/>
            <w:vAlign w:val="bottom"/>
            <w:shd w:val="clear" w:color="auto" w:fill="CCEEFF"/>
          </w:tcPr>
          <w:p>
            <w:pPr>
              <w:spacing w:after="0"/>
              <w:rPr>
                <w:sz w:val="21"/>
                <w:szCs w:val="21"/>
                <w:color w:val="auto"/>
              </w:rPr>
            </w:pPr>
          </w:p>
        </w:tc>
        <w:tc>
          <w:tcPr>
            <w:tcW w:w="68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605</w:t>
            </w:r>
          </w:p>
        </w:tc>
        <w:tc>
          <w:tcPr>
            <w:tcW w:w="120" w:type="dxa"/>
            <w:vAlign w:val="bottom"/>
            <w:shd w:val="clear" w:color="auto" w:fill="CCEEFF"/>
          </w:tcPr>
          <w:p>
            <w:pPr>
              <w:spacing w:after="0"/>
              <w:rPr>
                <w:sz w:val="21"/>
                <w:szCs w:val="21"/>
                <w:color w:val="auto"/>
              </w:rPr>
            </w:pPr>
          </w:p>
        </w:tc>
        <w:tc>
          <w:tcPr>
            <w:tcW w:w="192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1360" w:type="dxa"/>
            <w:vAlign w:val="bottom"/>
            <w:shd w:val="clear" w:color="auto" w:fill="CCEEFF"/>
          </w:tcPr>
          <w:p>
            <w:pPr>
              <w:jc w:val="right"/>
              <w:ind w:right="13"/>
              <w:spacing w:after="0"/>
              <w:rPr>
                <w:sz w:val="20"/>
                <w:szCs w:val="20"/>
                <w:color w:val="auto"/>
              </w:rPr>
            </w:pPr>
            <w:r>
              <w:rPr>
                <w:rFonts w:ascii="Arial" w:cs="Arial" w:eastAsia="Arial" w:hAnsi="Arial"/>
                <w:sz w:val="18"/>
                <w:szCs w:val="18"/>
                <w:color w:val="auto"/>
              </w:rPr>
              <w:t>605</w:t>
            </w:r>
          </w:p>
        </w:tc>
        <w:tc>
          <w:tcPr>
            <w:tcW w:w="0" w:type="dxa"/>
            <w:vAlign w:val="bottom"/>
          </w:tcPr>
          <w:p>
            <w:pPr>
              <w:spacing w:after="0"/>
              <w:rPr>
                <w:sz w:val="1"/>
                <w:szCs w:val="1"/>
                <w:color w:val="auto"/>
              </w:rPr>
            </w:pPr>
          </w:p>
        </w:tc>
      </w:tr>
      <w:tr>
        <w:trPr>
          <w:trHeight w:val="20"/>
        </w:trPr>
        <w:tc>
          <w:tcPr>
            <w:tcW w:w="2180" w:type="dxa"/>
            <w:vAlign w:val="bottom"/>
            <w:tcBorders>
              <w:top w:val="single" w:sz="8" w:color="CCEEFF"/>
            </w:tcBorders>
          </w:tcPr>
          <w:p>
            <w:pPr>
              <w:spacing w:after="0" w:line="20" w:lineRule="exact"/>
              <w:rPr>
                <w:sz w:val="1"/>
                <w:szCs w:val="1"/>
                <w:color w:val="auto"/>
              </w:rPr>
            </w:pPr>
          </w:p>
        </w:tc>
        <w:tc>
          <w:tcPr>
            <w:tcW w:w="128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5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9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36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163195</wp:posOffset>
            </wp:positionV>
            <wp:extent cx="1337945" cy="889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1337945" cy="8890"/>
                    </a:xfrm>
                    <a:prstGeom prst="rect">
                      <a:avLst/>
                    </a:prstGeom>
                    <a:noFill/>
                  </pic:spPr>
                </pic:pic>
              </a:graphicData>
            </a:graphic>
          </wp:anchor>
        </w:drawing>
      </w:r>
    </w:p>
    <w:p>
      <w:pPr>
        <w:spacing w:after="0" w:line="308" w:lineRule="exact"/>
        <w:rPr>
          <w:sz w:val="20"/>
          <w:szCs w:val="20"/>
          <w:color w:val="auto"/>
        </w:rPr>
      </w:pPr>
    </w:p>
    <w:p>
      <w:pPr>
        <w:ind w:left="340" w:hanging="332"/>
        <w:spacing w:after="0"/>
        <w:tabs>
          <w:tab w:leader="none" w:pos="340" w:val="left"/>
        </w:tabs>
        <w:numPr>
          <w:ilvl w:val="0"/>
          <w:numId w:val="14"/>
        </w:numPr>
        <w:rPr>
          <w:rFonts w:ascii="Arial" w:cs="Arial" w:eastAsia="Arial" w:hAnsi="Arial"/>
          <w:sz w:val="22"/>
          <w:szCs w:val="22"/>
          <w:color w:val="auto"/>
          <w:vertAlign w:val="superscript"/>
        </w:rPr>
      </w:pPr>
      <w:r>
        <w:rPr>
          <w:rFonts w:ascii="Arial" w:cs="Arial" w:eastAsia="Arial" w:hAnsi="Arial"/>
          <w:sz w:val="18"/>
          <w:szCs w:val="18"/>
          <w:color w:val="auto"/>
        </w:rPr>
        <w:t>Excluded from the total operating aircraft count above are 12 owned Embraer ERJ 140s that are being held in temporary storage.</w:t>
      </w:r>
    </w:p>
    <w:p>
      <w:pPr>
        <w:spacing w:after="0" w:line="161" w:lineRule="exact"/>
        <w:rPr>
          <w:sz w:val="20"/>
          <w:szCs w:val="20"/>
          <w:color w:val="auto"/>
        </w:rPr>
      </w:pPr>
    </w:p>
    <w:p>
      <w:pPr>
        <w:ind w:firstLine="216"/>
        <w:spacing w:after="0" w:line="262" w:lineRule="auto"/>
        <w:rPr>
          <w:sz w:val="20"/>
          <w:szCs w:val="20"/>
          <w:color w:val="auto"/>
        </w:rPr>
      </w:pPr>
      <w:r>
        <w:rPr>
          <w:rFonts w:ascii="Arial" w:cs="Arial" w:eastAsia="Arial" w:hAnsi="Arial"/>
          <w:sz w:val="18"/>
          <w:szCs w:val="18"/>
          <w:color w:val="auto"/>
        </w:rPr>
        <w:t>See Note 12 to AAG’s Consolidated Financial Statements in Part II, Item 8A and Note 10 to American’s Consolidated Financial Statements in Part II, Item 8B for additional information on our capacity purchase agreements with third-party regional carriers.</w:t>
      </w:r>
    </w:p>
    <w:p>
      <w:pPr>
        <w:spacing w:after="0" w:line="19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38</w:t>
      </w:r>
    </w:p>
    <w:p>
      <w:pPr>
        <w:sectPr>
          <w:pgSz w:w="11900" w:h="16838" w:orient="portrait"/>
          <w:cols w:equalWidth="0" w:num="1">
            <w:col w:w="11420"/>
          </w:cols>
          <w:pgMar w:left="240" w:top="792" w:right="239" w:bottom="1440" w:gutter="0" w:footer="0" w:header="0"/>
        </w:sectPr>
      </w:pPr>
    </w:p>
    <w:bookmarkStart w:id="38" w:name="page39"/>
    <w:bookmarkEnd w:id="38"/>
    <w:p>
      <w:pPr>
        <w:ind w:left="220"/>
        <w:spacing w:after="0"/>
        <w:rPr>
          <w:sz w:val="20"/>
          <w:szCs w:val="20"/>
          <w:color w:val="auto"/>
        </w:rPr>
      </w:pPr>
      <w:r>
        <w:rPr>
          <w:rFonts w:ascii="Arial" w:cs="Arial" w:eastAsia="Arial" w:hAnsi="Arial"/>
          <w:sz w:val="18"/>
          <w:szCs w:val="18"/>
          <w:b w:val="1"/>
          <w:bCs w:val="1"/>
          <w:i w:val="1"/>
          <w:iCs w:val="1"/>
          <w:color w:val="auto"/>
        </w:rPr>
        <w:t>Aircraft and Engine Purchase Commitments</w:t>
      </w:r>
    </w:p>
    <w:p>
      <w:pPr>
        <w:spacing w:after="0" w:line="112" w:lineRule="exact"/>
        <w:rPr>
          <w:sz w:val="20"/>
          <w:szCs w:val="20"/>
          <w:color w:val="auto"/>
        </w:rPr>
      </w:pPr>
    </w:p>
    <w:p>
      <w:pPr>
        <w:ind w:firstLine="216"/>
        <w:spacing w:after="0" w:line="281" w:lineRule="auto"/>
        <w:rPr>
          <w:sz w:val="20"/>
          <w:szCs w:val="20"/>
          <w:color w:val="auto"/>
        </w:rPr>
      </w:pPr>
      <w:r>
        <w:rPr>
          <w:rFonts w:ascii="Arial" w:cs="Arial" w:eastAsia="Arial" w:hAnsi="Arial"/>
          <w:sz w:val="18"/>
          <w:szCs w:val="18"/>
          <w:color w:val="auto"/>
        </w:rPr>
        <w:t xml:space="preserve">As of December 31, 2019, we had definitive purchase agreements with Airbus, Boeing, Embraer and Bombardier for the acquisition of the following mainline and regional aircraft </w:t>
      </w:r>
      <w:r>
        <w:rPr>
          <w:rFonts w:ascii="Arial" w:cs="Arial" w:eastAsia="Arial" w:hAnsi="Arial"/>
          <w:sz w:val="21"/>
          <w:szCs w:val="21"/>
          <w:color w:val="auto"/>
          <w:vertAlign w:val="superscript"/>
        </w:rPr>
        <w:t>(1)</w:t>
      </w:r>
      <w:r>
        <w:rPr>
          <w:rFonts w:ascii="Arial" w:cs="Arial" w:eastAsia="Arial" w:hAnsi="Arial"/>
          <w:sz w:val="18"/>
          <w:szCs w:val="18"/>
          <w:color w:val="auto"/>
        </w:rPr>
        <w:t>:</w:t>
      </w:r>
    </w:p>
    <w:p>
      <w:pPr>
        <w:spacing w:after="0" w:line="219"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4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250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120" w:type="dxa"/>
            <w:vAlign w:val="bottom"/>
            <w:gridSpan w:val="2"/>
          </w:tcPr>
          <w:p>
            <w:pPr>
              <w:ind w:left="200"/>
              <w:spacing w:after="0"/>
              <w:rPr>
                <w:sz w:val="20"/>
                <w:szCs w:val="20"/>
                <w:color w:val="auto"/>
              </w:rPr>
            </w:pPr>
            <w:r>
              <w:rPr>
                <w:rFonts w:ascii="Arial" w:cs="Arial" w:eastAsia="Arial" w:hAnsi="Arial"/>
                <w:sz w:val="14"/>
                <w:szCs w:val="14"/>
                <w:b w:val="1"/>
                <w:bCs w:val="1"/>
                <w:color w:val="auto"/>
              </w:rPr>
              <w:t>2025 and</w:t>
            </w:r>
          </w:p>
        </w:tc>
        <w:tc>
          <w:tcPr>
            <w:tcW w:w="1020" w:type="dxa"/>
            <w:vAlign w:val="bottom"/>
          </w:tcPr>
          <w:p>
            <w:pPr>
              <w:spacing w:after="0"/>
              <w:rPr>
                <w:sz w:val="14"/>
                <w:szCs w:val="14"/>
                <w:color w:val="auto"/>
              </w:rPr>
            </w:pPr>
          </w:p>
        </w:tc>
      </w:tr>
      <w:tr>
        <w:trPr>
          <w:trHeight w:val="196"/>
        </w:trPr>
        <w:tc>
          <w:tcPr>
            <w:tcW w:w="3540" w:type="dxa"/>
            <w:vAlign w:val="bottom"/>
            <w:tcBorders>
              <w:bottom w:val="single" w:sz="8" w:color="CCEEFF"/>
            </w:tcBorders>
            <w:gridSpan w:val="6"/>
          </w:tcPr>
          <w:p>
            <w:pPr>
              <w:spacing w:after="0"/>
              <w:rPr>
                <w:sz w:val="17"/>
                <w:szCs w:val="17"/>
                <w:color w:val="auto"/>
              </w:rPr>
            </w:pP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2020</w:t>
            </w:r>
          </w:p>
        </w:tc>
        <w:tc>
          <w:tcPr>
            <w:tcW w:w="340" w:type="dxa"/>
            <w:vAlign w:val="bottom"/>
            <w:tcBorders>
              <w:bottom w:val="single" w:sz="8" w:color="auto"/>
            </w:tcBorders>
          </w:tcPr>
          <w:p>
            <w:pPr>
              <w:spacing w:after="0"/>
              <w:rPr>
                <w:sz w:val="17"/>
                <w:szCs w:val="17"/>
                <w:color w:val="auto"/>
              </w:rPr>
            </w:pPr>
          </w:p>
        </w:tc>
        <w:tc>
          <w:tcPr>
            <w:tcW w:w="120" w:type="dxa"/>
            <w:vAlign w:val="bottom"/>
            <w:tcBorders>
              <w:bottom w:val="single" w:sz="8" w:color="CCEEFF"/>
            </w:tcBorders>
          </w:tcPr>
          <w:p>
            <w:pPr>
              <w:spacing w:after="0"/>
              <w:rPr>
                <w:sz w:val="17"/>
                <w:szCs w:val="17"/>
                <w:color w:val="auto"/>
              </w:rPr>
            </w:pPr>
          </w:p>
        </w:tc>
        <w:tc>
          <w:tcPr>
            <w:tcW w:w="1040" w:type="dxa"/>
            <w:vAlign w:val="bottom"/>
            <w:tcBorders>
              <w:bottom w:val="single" w:sz="8" w:color="auto"/>
            </w:tcBorders>
          </w:tcPr>
          <w:p>
            <w:pPr>
              <w:jc w:val="right"/>
              <w:ind w:right="273"/>
              <w:spacing w:after="0"/>
              <w:rPr>
                <w:sz w:val="20"/>
                <w:szCs w:val="20"/>
                <w:color w:val="auto"/>
              </w:rPr>
            </w:pPr>
            <w:r>
              <w:rPr>
                <w:rFonts w:ascii="Arial" w:cs="Arial" w:eastAsia="Arial" w:hAnsi="Arial"/>
                <w:sz w:val="14"/>
                <w:szCs w:val="14"/>
                <w:b w:val="1"/>
                <w:bCs w:val="1"/>
                <w:color w:val="auto"/>
              </w:rPr>
              <w:t>2021</w:t>
            </w:r>
          </w:p>
        </w:tc>
        <w:tc>
          <w:tcPr>
            <w:tcW w:w="120" w:type="dxa"/>
            <w:vAlign w:val="bottom"/>
            <w:tcBorders>
              <w:bottom w:val="single" w:sz="8" w:color="CCEEFF"/>
            </w:tcBorders>
          </w:tcPr>
          <w:p>
            <w:pPr>
              <w:spacing w:after="0"/>
              <w:rPr>
                <w:sz w:val="17"/>
                <w:szCs w:val="17"/>
                <w:color w:val="auto"/>
              </w:rPr>
            </w:pPr>
          </w:p>
        </w:tc>
        <w:tc>
          <w:tcPr>
            <w:tcW w:w="1040" w:type="dxa"/>
            <w:vAlign w:val="bottom"/>
            <w:tcBorders>
              <w:bottom w:val="single" w:sz="8" w:color="auto"/>
            </w:tcBorders>
          </w:tcPr>
          <w:p>
            <w:pPr>
              <w:jc w:val="right"/>
              <w:ind w:right="273"/>
              <w:spacing w:after="0"/>
              <w:rPr>
                <w:sz w:val="20"/>
                <w:szCs w:val="20"/>
                <w:color w:val="auto"/>
              </w:rPr>
            </w:pPr>
            <w:r>
              <w:rPr>
                <w:rFonts w:ascii="Arial" w:cs="Arial" w:eastAsia="Arial" w:hAnsi="Arial"/>
                <w:sz w:val="14"/>
                <w:szCs w:val="14"/>
                <w:b w:val="1"/>
                <w:bCs w:val="1"/>
                <w:color w:val="auto"/>
              </w:rPr>
              <w:t>2022</w:t>
            </w:r>
          </w:p>
        </w:tc>
        <w:tc>
          <w:tcPr>
            <w:tcW w:w="140" w:type="dxa"/>
            <w:vAlign w:val="bottom"/>
            <w:tcBorders>
              <w:bottom w:val="single" w:sz="8" w:color="CCEEFF"/>
            </w:tcBorders>
          </w:tcPr>
          <w:p>
            <w:pPr>
              <w:spacing w:after="0"/>
              <w:rPr>
                <w:sz w:val="17"/>
                <w:szCs w:val="17"/>
                <w:color w:val="auto"/>
              </w:rPr>
            </w:pPr>
          </w:p>
        </w:tc>
        <w:tc>
          <w:tcPr>
            <w:tcW w:w="1020" w:type="dxa"/>
            <w:vAlign w:val="bottom"/>
            <w:tcBorders>
              <w:bottom w:val="single" w:sz="8" w:color="auto"/>
            </w:tcBorders>
          </w:tcPr>
          <w:p>
            <w:pPr>
              <w:jc w:val="right"/>
              <w:ind w:right="273"/>
              <w:spacing w:after="0"/>
              <w:rPr>
                <w:sz w:val="20"/>
                <w:szCs w:val="20"/>
                <w:color w:val="auto"/>
              </w:rPr>
            </w:pPr>
            <w:r>
              <w:rPr>
                <w:rFonts w:ascii="Arial" w:cs="Arial" w:eastAsia="Arial" w:hAnsi="Arial"/>
                <w:sz w:val="14"/>
                <w:szCs w:val="14"/>
                <w:b w:val="1"/>
                <w:bCs w:val="1"/>
                <w:color w:val="auto"/>
              </w:rPr>
              <w:t>2023</w:t>
            </w:r>
          </w:p>
        </w:tc>
        <w:tc>
          <w:tcPr>
            <w:tcW w:w="100" w:type="dxa"/>
            <w:vAlign w:val="bottom"/>
            <w:tcBorders>
              <w:bottom w:val="single" w:sz="8" w:color="CCEEFF"/>
            </w:tcBorders>
          </w:tcPr>
          <w:p>
            <w:pPr>
              <w:spacing w:after="0"/>
              <w:rPr>
                <w:sz w:val="17"/>
                <w:szCs w:val="17"/>
                <w:color w:val="auto"/>
              </w:rPr>
            </w:pPr>
          </w:p>
        </w:tc>
        <w:tc>
          <w:tcPr>
            <w:tcW w:w="1020" w:type="dxa"/>
            <w:vAlign w:val="bottom"/>
            <w:tcBorders>
              <w:bottom w:val="single" w:sz="8" w:color="auto"/>
            </w:tcBorders>
          </w:tcPr>
          <w:p>
            <w:pPr>
              <w:jc w:val="right"/>
              <w:ind w:right="253"/>
              <w:spacing w:after="0"/>
              <w:rPr>
                <w:sz w:val="20"/>
                <w:szCs w:val="20"/>
                <w:color w:val="auto"/>
              </w:rPr>
            </w:pPr>
            <w:r>
              <w:rPr>
                <w:rFonts w:ascii="Arial" w:cs="Arial" w:eastAsia="Arial" w:hAnsi="Arial"/>
                <w:sz w:val="14"/>
                <w:szCs w:val="14"/>
                <w:b w:val="1"/>
                <w:bCs w:val="1"/>
                <w:color w:val="auto"/>
              </w:rPr>
              <w:t>2024</w:t>
            </w:r>
          </w:p>
        </w:tc>
        <w:tc>
          <w:tcPr>
            <w:tcW w:w="100" w:type="dxa"/>
            <w:vAlign w:val="bottom"/>
            <w:tcBorders>
              <w:bottom w:val="single" w:sz="8" w:color="CCEEFF"/>
            </w:tcBorders>
          </w:tcPr>
          <w:p>
            <w:pPr>
              <w:spacing w:after="0"/>
              <w:rPr>
                <w:sz w:val="17"/>
                <w:szCs w:val="17"/>
                <w:color w:val="auto"/>
              </w:rPr>
            </w:pPr>
          </w:p>
        </w:tc>
        <w:tc>
          <w:tcPr>
            <w:tcW w:w="1020" w:type="dxa"/>
            <w:vAlign w:val="bottom"/>
            <w:tcBorders>
              <w:bottom w:val="single" w:sz="8" w:color="auto"/>
            </w:tcBorders>
          </w:tcPr>
          <w:p>
            <w:pPr>
              <w:jc w:val="right"/>
              <w:ind w:right="74"/>
              <w:spacing w:after="0"/>
              <w:rPr>
                <w:sz w:val="20"/>
                <w:szCs w:val="20"/>
                <w:color w:val="auto"/>
              </w:rPr>
            </w:pPr>
            <w:r>
              <w:rPr>
                <w:rFonts w:ascii="Arial" w:cs="Arial" w:eastAsia="Arial" w:hAnsi="Arial"/>
                <w:sz w:val="14"/>
                <w:szCs w:val="14"/>
                <w:b w:val="1"/>
                <w:bCs w:val="1"/>
                <w:color w:val="auto"/>
              </w:rPr>
              <w:t>Thereafter</w:t>
            </w:r>
          </w:p>
        </w:tc>
        <w:tc>
          <w:tcPr>
            <w:tcW w:w="100" w:type="dxa"/>
            <w:vAlign w:val="bottom"/>
            <w:tcBorders>
              <w:bottom w:val="single" w:sz="8" w:color="CCEEFF"/>
            </w:tcBorders>
          </w:tcPr>
          <w:p>
            <w:pPr>
              <w:spacing w:after="0"/>
              <w:rPr>
                <w:sz w:val="17"/>
                <w:szCs w:val="17"/>
                <w:color w:val="auto"/>
              </w:rPr>
            </w:pPr>
          </w:p>
        </w:tc>
        <w:tc>
          <w:tcPr>
            <w:tcW w:w="1020" w:type="dxa"/>
            <w:vAlign w:val="bottom"/>
            <w:tcBorders>
              <w:bottom w:val="single" w:sz="8" w:color="auto"/>
            </w:tcBorders>
          </w:tcPr>
          <w:p>
            <w:pPr>
              <w:jc w:val="right"/>
              <w:ind w:right="253"/>
              <w:spacing w:after="0"/>
              <w:rPr>
                <w:sz w:val="20"/>
                <w:szCs w:val="20"/>
                <w:color w:val="auto"/>
              </w:rPr>
            </w:pPr>
            <w:r>
              <w:rPr>
                <w:rFonts w:ascii="Arial" w:cs="Arial" w:eastAsia="Arial" w:hAnsi="Arial"/>
                <w:sz w:val="14"/>
                <w:szCs w:val="14"/>
                <w:b w:val="1"/>
                <w:bCs w:val="1"/>
                <w:color w:val="auto"/>
              </w:rPr>
              <w:t>Total</w:t>
            </w:r>
          </w:p>
        </w:tc>
      </w:tr>
      <w:tr>
        <w:trPr>
          <w:trHeight w:val="202"/>
        </w:trPr>
        <w:tc>
          <w:tcPr>
            <w:tcW w:w="4240" w:type="dxa"/>
            <w:vAlign w:val="bottom"/>
            <w:gridSpan w:val="7"/>
            <w:shd w:val="clear" w:color="auto" w:fill="CCEEFF"/>
          </w:tcPr>
          <w:p>
            <w:pPr>
              <w:ind w:left="40"/>
              <w:spacing w:after="0" w:line="202" w:lineRule="exact"/>
              <w:rPr>
                <w:sz w:val="20"/>
                <w:szCs w:val="20"/>
                <w:color w:val="auto"/>
              </w:rPr>
            </w:pPr>
            <w:r>
              <w:rPr>
                <w:rFonts w:ascii="Arial" w:cs="Arial" w:eastAsia="Arial" w:hAnsi="Arial"/>
                <w:sz w:val="18"/>
                <w:szCs w:val="18"/>
                <w:b w:val="1"/>
                <w:bCs w:val="1"/>
                <w:color w:val="auto"/>
              </w:rPr>
              <w:t>Airbus</w:t>
            </w:r>
          </w:p>
        </w:tc>
        <w:tc>
          <w:tcPr>
            <w:tcW w:w="3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0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20" w:type="dxa"/>
            <w:vAlign w:val="bottom"/>
            <w:shd w:val="clear" w:color="auto" w:fill="CCEEFF"/>
          </w:tcPr>
          <w:p>
            <w:pPr>
              <w:spacing w:after="0"/>
              <w:rPr>
                <w:sz w:val="17"/>
                <w:szCs w:val="17"/>
                <w:color w:val="auto"/>
              </w:rPr>
            </w:pPr>
          </w:p>
        </w:tc>
      </w:tr>
      <w:tr>
        <w:trPr>
          <w:trHeight w:val="48"/>
        </w:trPr>
        <w:tc>
          <w:tcPr>
            <w:tcW w:w="40" w:type="dxa"/>
            <w:vAlign w:val="bottom"/>
            <w:tcBorders>
              <w:top w:val="single" w:sz="8" w:color="CCEEFF"/>
            </w:tcBorders>
            <w:shd w:val="clear" w:color="auto" w:fill="CCEEFF"/>
          </w:tcPr>
          <w:p>
            <w:pPr>
              <w:spacing w:after="0"/>
              <w:rPr>
                <w:sz w:val="4"/>
                <w:szCs w:val="4"/>
                <w:color w:val="auto"/>
              </w:rPr>
            </w:pPr>
          </w:p>
        </w:tc>
        <w:tc>
          <w:tcPr>
            <w:tcW w:w="560" w:type="dxa"/>
            <w:vAlign w:val="bottom"/>
            <w:tcBorders>
              <w:top w:val="single" w:sz="8" w:color="auto"/>
            </w:tcBorders>
            <w:shd w:val="clear" w:color="auto" w:fill="CCEEFF"/>
          </w:tcPr>
          <w:p>
            <w:pPr>
              <w:spacing w:after="0"/>
              <w:rPr>
                <w:sz w:val="4"/>
                <w:szCs w:val="4"/>
                <w:color w:val="auto"/>
              </w:rPr>
            </w:pPr>
          </w:p>
        </w:tc>
        <w:tc>
          <w:tcPr>
            <w:tcW w:w="40" w:type="dxa"/>
            <w:vAlign w:val="bottom"/>
            <w:tcBorders>
              <w:top w:val="single" w:sz="8" w:color="CCEEFF"/>
            </w:tcBorders>
            <w:shd w:val="clear" w:color="auto" w:fill="CCEEFF"/>
          </w:tcPr>
          <w:p>
            <w:pPr>
              <w:spacing w:after="0"/>
              <w:rPr>
                <w:sz w:val="4"/>
                <w:szCs w:val="4"/>
                <w:color w:val="auto"/>
              </w:rPr>
            </w:pPr>
          </w:p>
        </w:tc>
        <w:tc>
          <w:tcPr>
            <w:tcW w:w="120" w:type="dxa"/>
            <w:vAlign w:val="bottom"/>
            <w:tcBorders>
              <w:top w:val="single" w:sz="8" w:color="CCEEFF"/>
            </w:tcBorders>
            <w:shd w:val="clear" w:color="auto" w:fill="CCEEFF"/>
          </w:tcPr>
          <w:p>
            <w:pPr>
              <w:spacing w:after="0"/>
              <w:rPr>
                <w:sz w:val="4"/>
                <w:szCs w:val="4"/>
                <w:color w:val="auto"/>
              </w:rPr>
            </w:pPr>
          </w:p>
        </w:tc>
        <w:tc>
          <w:tcPr>
            <w:tcW w:w="280" w:type="dxa"/>
            <w:vAlign w:val="bottom"/>
            <w:tcBorders>
              <w:top w:val="single" w:sz="8" w:color="CCEEFF"/>
            </w:tcBorders>
            <w:shd w:val="clear" w:color="auto" w:fill="CCEEFF"/>
          </w:tcPr>
          <w:p>
            <w:pPr>
              <w:spacing w:after="0"/>
              <w:rPr>
                <w:sz w:val="4"/>
                <w:szCs w:val="4"/>
                <w:color w:val="auto"/>
              </w:rPr>
            </w:pPr>
          </w:p>
        </w:tc>
        <w:tc>
          <w:tcPr>
            <w:tcW w:w="2500" w:type="dxa"/>
            <w:vAlign w:val="bottom"/>
            <w:tcBorders>
              <w:top w:val="single" w:sz="8" w:color="CCEEFF"/>
            </w:tcBorders>
            <w:shd w:val="clear" w:color="auto" w:fill="CCEEFF"/>
          </w:tcPr>
          <w:p>
            <w:pPr>
              <w:spacing w:after="0"/>
              <w:rPr>
                <w:sz w:val="4"/>
                <w:szCs w:val="4"/>
                <w:color w:val="auto"/>
              </w:rPr>
            </w:pPr>
          </w:p>
        </w:tc>
        <w:tc>
          <w:tcPr>
            <w:tcW w:w="700" w:type="dxa"/>
            <w:vAlign w:val="bottom"/>
            <w:tcBorders>
              <w:top w:val="single" w:sz="8" w:color="CCEEFF"/>
            </w:tcBorders>
            <w:shd w:val="clear" w:color="auto" w:fill="CCEEFF"/>
          </w:tcPr>
          <w:p>
            <w:pPr>
              <w:spacing w:after="0"/>
              <w:rPr>
                <w:sz w:val="4"/>
                <w:szCs w:val="4"/>
                <w:color w:val="auto"/>
              </w:rPr>
            </w:pPr>
          </w:p>
        </w:tc>
        <w:tc>
          <w:tcPr>
            <w:tcW w:w="340" w:type="dxa"/>
            <w:vAlign w:val="bottom"/>
            <w:tcBorders>
              <w:top w:val="single" w:sz="8" w:color="CCEEFF"/>
            </w:tcBorders>
            <w:shd w:val="clear" w:color="auto" w:fill="CCEEFF"/>
          </w:tcPr>
          <w:p>
            <w:pPr>
              <w:spacing w:after="0"/>
              <w:rPr>
                <w:sz w:val="4"/>
                <w:szCs w:val="4"/>
                <w:color w:val="auto"/>
              </w:rPr>
            </w:pPr>
          </w:p>
        </w:tc>
        <w:tc>
          <w:tcPr>
            <w:tcW w:w="120" w:type="dxa"/>
            <w:vAlign w:val="bottom"/>
            <w:tcBorders>
              <w:top w:val="single" w:sz="8" w:color="CCEEFF"/>
            </w:tcBorders>
            <w:shd w:val="clear" w:color="auto" w:fill="CCEEFF"/>
          </w:tcPr>
          <w:p>
            <w:pPr>
              <w:spacing w:after="0"/>
              <w:rPr>
                <w:sz w:val="4"/>
                <w:szCs w:val="4"/>
                <w:color w:val="auto"/>
              </w:rPr>
            </w:pPr>
          </w:p>
        </w:tc>
        <w:tc>
          <w:tcPr>
            <w:tcW w:w="1040" w:type="dxa"/>
            <w:vAlign w:val="bottom"/>
            <w:tcBorders>
              <w:top w:val="single" w:sz="8" w:color="CCEEFF"/>
            </w:tcBorders>
            <w:shd w:val="clear" w:color="auto" w:fill="CCEEFF"/>
          </w:tcPr>
          <w:p>
            <w:pPr>
              <w:spacing w:after="0"/>
              <w:rPr>
                <w:sz w:val="4"/>
                <w:szCs w:val="4"/>
                <w:color w:val="auto"/>
              </w:rPr>
            </w:pPr>
          </w:p>
        </w:tc>
        <w:tc>
          <w:tcPr>
            <w:tcW w:w="120" w:type="dxa"/>
            <w:vAlign w:val="bottom"/>
            <w:tcBorders>
              <w:top w:val="single" w:sz="8" w:color="CCEEFF"/>
            </w:tcBorders>
            <w:shd w:val="clear" w:color="auto" w:fill="CCEEFF"/>
          </w:tcPr>
          <w:p>
            <w:pPr>
              <w:spacing w:after="0"/>
              <w:rPr>
                <w:sz w:val="4"/>
                <w:szCs w:val="4"/>
                <w:color w:val="auto"/>
              </w:rPr>
            </w:pPr>
          </w:p>
        </w:tc>
        <w:tc>
          <w:tcPr>
            <w:tcW w:w="1040" w:type="dxa"/>
            <w:vAlign w:val="bottom"/>
            <w:tcBorders>
              <w:top w:val="single" w:sz="8" w:color="CCEEFF"/>
            </w:tcBorders>
            <w:shd w:val="clear" w:color="auto" w:fill="CCEEFF"/>
          </w:tcPr>
          <w:p>
            <w:pPr>
              <w:spacing w:after="0"/>
              <w:rPr>
                <w:sz w:val="4"/>
                <w:szCs w:val="4"/>
                <w:color w:val="auto"/>
              </w:rPr>
            </w:pPr>
          </w:p>
        </w:tc>
        <w:tc>
          <w:tcPr>
            <w:tcW w:w="140" w:type="dxa"/>
            <w:vAlign w:val="bottom"/>
            <w:tcBorders>
              <w:top w:val="single" w:sz="8" w:color="CCEEFF"/>
            </w:tcBorders>
            <w:shd w:val="clear" w:color="auto" w:fill="CCEEFF"/>
          </w:tcPr>
          <w:p>
            <w:pPr>
              <w:spacing w:after="0"/>
              <w:rPr>
                <w:sz w:val="4"/>
                <w:szCs w:val="4"/>
                <w:color w:val="auto"/>
              </w:rPr>
            </w:pPr>
          </w:p>
        </w:tc>
        <w:tc>
          <w:tcPr>
            <w:tcW w:w="1020" w:type="dxa"/>
            <w:vAlign w:val="bottom"/>
            <w:tcBorders>
              <w:top w:val="single" w:sz="8" w:color="CCEEFF"/>
            </w:tcBorders>
            <w:shd w:val="clear" w:color="auto" w:fill="CCEEFF"/>
          </w:tcPr>
          <w:p>
            <w:pPr>
              <w:spacing w:after="0"/>
              <w:rPr>
                <w:sz w:val="4"/>
                <w:szCs w:val="4"/>
                <w:color w:val="auto"/>
              </w:rPr>
            </w:pPr>
          </w:p>
        </w:tc>
        <w:tc>
          <w:tcPr>
            <w:tcW w:w="100" w:type="dxa"/>
            <w:vAlign w:val="bottom"/>
            <w:tcBorders>
              <w:top w:val="single" w:sz="8" w:color="CCEEFF"/>
            </w:tcBorders>
            <w:shd w:val="clear" w:color="auto" w:fill="CCEEFF"/>
          </w:tcPr>
          <w:p>
            <w:pPr>
              <w:spacing w:after="0"/>
              <w:rPr>
                <w:sz w:val="4"/>
                <w:szCs w:val="4"/>
                <w:color w:val="auto"/>
              </w:rPr>
            </w:pPr>
          </w:p>
        </w:tc>
        <w:tc>
          <w:tcPr>
            <w:tcW w:w="1020" w:type="dxa"/>
            <w:vAlign w:val="bottom"/>
            <w:tcBorders>
              <w:top w:val="single" w:sz="8" w:color="CCEEFF"/>
            </w:tcBorders>
            <w:shd w:val="clear" w:color="auto" w:fill="CCEEFF"/>
          </w:tcPr>
          <w:p>
            <w:pPr>
              <w:spacing w:after="0"/>
              <w:rPr>
                <w:sz w:val="4"/>
                <w:szCs w:val="4"/>
                <w:color w:val="auto"/>
              </w:rPr>
            </w:pPr>
          </w:p>
        </w:tc>
        <w:tc>
          <w:tcPr>
            <w:tcW w:w="100" w:type="dxa"/>
            <w:vAlign w:val="bottom"/>
            <w:tcBorders>
              <w:top w:val="single" w:sz="8" w:color="CCEEFF"/>
            </w:tcBorders>
            <w:shd w:val="clear" w:color="auto" w:fill="CCEEFF"/>
          </w:tcPr>
          <w:p>
            <w:pPr>
              <w:spacing w:after="0"/>
              <w:rPr>
                <w:sz w:val="4"/>
                <w:szCs w:val="4"/>
                <w:color w:val="auto"/>
              </w:rPr>
            </w:pPr>
          </w:p>
        </w:tc>
        <w:tc>
          <w:tcPr>
            <w:tcW w:w="1020" w:type="dxa"/>
            <w:vAlign w:val="bottom"/>
            <w:tcBorders>
              <w:top w:val="single" w:sz="8" w:color="CCEEFF"/>
            </w:tcBorders>
            <w:shd w:val="clear" w:color="auto" w:fill="CCEEFF"/>
          </w:tcPr>
          <w:p>
            <w:pPr>
              <w:spacing w:after="0"/>
              <w:rPr>
                <w:sz w:val="4"/>
                <w:szCs w:val="4"/>
                <w:color w:val="auto"/>
              </w:rPr>
            </w:pPr>
          </w:p>
        </w:tc>
        <w:tc>
          <w:tcPr>
            <w:tcW w:w="100" w:type="dxa"/>
            <w:vAlign w:val="bottom"/>
            <w:tcBorders>
              <w:top w:val="single" w:sz="8" w:color="CCEEFF"/>
            </w:tcBorders>
            <w:shd w:val="clear" w:color="auto" w:fill="CCEEFF"/>
          </w:tcPr>
          <w:p>
            <w:pPr>
              <w:spacing w:after="0"/>
              <w:rPr>
                <w:sz w:val="4"/>
                <w:szCs w:val="4"/>
                <w:color w:val="auto"/>
              </w:rPr>
            </w:pPr>
          </w:p>
        </w:tc>
        <w:tc>
          <w:tcPr>
            <w:tcW w:w="1020" w:type="dxa"/>
            <w:vAlign w:val="bottom"/>
            <w:tcBorders>
              <w:top w:val="single" w:sz="8" w:color="CCEEFF"/>
            </w:tcBorders>
            <w:shd w:val="clear" w:color="auto" w:fill="CCEEFF"/>
          </w:tcPr>
          <w:p>
            <w:pPr>
              <w:spacing w:after="0"/>
              <w:rPr>
                <w:sz w:val="4"/>
                <w:szCs w:val="4"/>
                <w:color w:val="auto"/>
              </w:rPr>
            </w:pPr>
          </w:p>
        </w:tc>
      </w:tr>
      <w:tr>
        <w:trPr>
          <w:trHeight w:val="270"/>
        </w:trPr>
        <w:tc>
          <w:tcPr>
            <w:tcW w:w="4240" w:type="dxa"/>
            <w:vAlign w:val="bottom"/>
            <w:gridSpan w:val="7"/>
          </w:tcPr>
          <w:p>
            <w:pPr>
              <w:ind w:left="40"/>
              <w:spacing w:after="0"/>
              <w:rPr>
                <w:sz w:val="20"/>
                <w:szCs w:val="20"/>
                <w:color w:val="auto"/>
              </w:rPr>
            </w:pPr>
            <w:r>
              <w:rPr>
                <w:rFonts w:ascii="Arial" w:cs="Arial" w:eastAsia="Arial" w:hAnsi="Arial"/>
                <w:sz w:val="18"/>
                <w:szCs w:val="18"/>
                <w:color w:val="auto"/>
              </w:rPr>
              <w:t xml:space="preserve">A320neo Family </w:t>
            </w:r>
            <w:r>
              <w:rPr>
                <w:rFonts w:ascii="Arial" w:cs="Arial" w:eastAsia="Arial" w:hAnsi="Arial"/>
                <w:sz w:val="21"/>
                <w:szCs w:val="21"/>
                <w:color w:val="auto"/>
                <w:vertAlign w:val="superscript"/>
              </w:rPr>
              <w:t>(2)</w:t>
            </w:r>
          </w:p>
        </w:tc>
        <w:tc>
          <w:tcPr>
            <w:tcW w:w="340" w:type="dxa"/>
            <w:vAlign w:val="bottom"/>
          </w:tcPr>
          <w:p>
            <w:pPr>
              <w:jc w:val="right"/>
              <w:ind w:right="30"/>
              <w:spacing w:after="0"/>
              <w:rPr>
                <w:sz w:val="20"/>
                <w:szCs w:val="20"/>
                <w:color w:val="auto"/>
              </w:rPr>
            </w:pPr>
            <w:r>
              <w:rPr>
                <w:rFonts w:ascii="Arial" w:cs="Arial" w:eastAsia="Arial" w:hAnsi="Arial"/>
                <w:sz w:val="18"/>
                <w:szCs w:val="18"/>
                <w:color w:val="auto"/>
                <w:w w:val="99"/>
              </w:rPr>
              <w:t>18</w:t>
            </w:r>
          </w:p>
        </w:tc>
        <w:tc>
          <w:tcPr>
            <w:tcW w:w="120" w:type="dxa"/>
            <w:vAlign w:val="bottom"/>
          </w:tcPr>
          <w:p>
            <w:pPr>
              <w:spacing w:after="0"/>
              <w:rPr>
                <w:sz w:val="23"/>
                <w:szCs w:val="23"/>
                <w:color w:val="auto"/>
              </w:rPr>
            </w:pPr>
          </w:p>
        </w:tc>
        <w:tc>
          <w:tcPr>
            <w:tcW w:w="1040" w:type="dxa"/>
            <w:vAlign w:val="bottom"/>
          </w:tcPr>
          <w:p>
            <w:pPr>
              <w:jc w:val="right"/>
              <w:ind w:right="33"/>
              <w:spacing w:after="0"/>
              <w:rPr>
                <w:sz w:val="20"/>
                <w:szCs w:val="20"/>
                <w:color w:val="auto"/>
              </w:rPr>
            </w:pPr>
            <w:r>
              <w:rPr>
                <w:rFonts w:ascii="Arial" w:cs="Arial" w:eastAsia="Arial" w:hAnsi="Arial"/>
                <w:sz w:val="18"/>
                <w:szCs w:val="18"/>
                <w:color w:val="auto"/>
              </w:rPr>
              <w:t>15</w:t>
            </w:r>
          </w:p>
        </w:tc>
        <w:tc>
          <w:tcPr>
            <w:tcW w:w="120" w:type="dxa"/>
            <w:vAlign w:val="bottom"/>
          </w:tcPr>
          <w:p>
            <w:pPr>
              <w:spacing w:after="0"/>
              <w:rPr>
                <w:sz w:val="23"/>
                <w:szCs w:val="23"/>
                <w:color w:val="auto"/>
              </w:rPr>
            </w:pPr>
          </w:p>
        </w:tc>
        <w:tc>
          <w:tcPr>
            <w:tcW w:w="1040" w:type="dxa"/>
            <w:vAlign w:val="bottom"/>
          </w:tcPr>
          <w:p>
            <w:pPr>
              <w:jc w:val="right"/>
              <w:ind w:right="33"/>
              <w:spacing w:after="0"/>
              <w:rPr>
                <w:sz w:val="20"/>
                <w:szCs w:val="20"/>
                <w:color w:val="auto"/>
              </w:rPr>
            </w:pPr>
            <w:r>
              <w:rPr>
                <w:rFonts w:ascii="Arial" w:cs="Arial" w:eastAsia="Arial" w:hAnsi="Arial"/>
                <w:sz w:val="18"/>
                <w:szCs w:val="18"/>
                <w:color w:val="auto"/>
              </w:rPr>
              <w:t>25</w:t>
            </w:r>
          </w:p>
        </w:tc>
        <w:tc>
          <w:tcPr>
            <w:tcW w:w="140" w:type="dxa"/>
            <w:vAlign w:val="bottom"/>
          </w:tcPr>
          <w:p>
            <w:pPr>
              <w:spacing w:after="0"/>
              <w:rPr>
                <w:sz w:val="23"/>
                <w:szCs w:val="23"/>
                <w:color w:val="auto"/>
              </w:rPr>
            </w:pPr>
          </w:p>
        </w:tc>
        <w:tc>
          <w:tcPr>
            <w:tcW w:w="1020" w:type="dxa"/>
            <w:vAlign w:val="bottom"/>
          </w:tcPr>
          <w:p>
            <w:pPr>
              <w:jc w:val="right"/>
              <w:ind w:right="33"/>
              <w:spacing w:after="0"/>
              <w:rPr>
                <w:sz w:val="20"/>
                <w:szCs w:val="20"/>
                <w:color w:val="auto"/>
              </w:rPr>
            </w:pPr>
            <w:r>
              <w:rPr>
                <w:rFonts w:ascii="Arial" w:cs="Arial" w:eastAsia="Arial" w:hAnsi="Arial"/>
                <w:sz w:val="18"/>
                <w:szCs w:val="18"/>
                <w:color w:val="auto"/>
              </w:rPr>
              <w:t>8</w:t>
            </w:r>
          </w:p>
        </w:tc>
        <w:tc>
          <w:tcPr>
            <w:tcW w:w="100" w:type="dxa"/>
            <w:vAlign w:val="bottom"/>
          </w:tcPr>
          <w:p>
            <w:pPr>
              <w:spacing w:after="0"/>
              <w:rPr>
                <w:sz w:val="23"/>
                <w:szCs w:val="23"/>
                <w:color w:val="auto"/>
              </w:rPr>
            </w:pPr>
          </w:p>
        </w:tc>
        <w:tc>
          <w:tcPr>
            <w:tcW w:w="1020" w:type="dxa"/>
            <w:vAlign w:val="bottom"/>
          </w:tcPr>
          <w:p>
            <w:pPr>
              <w:jc w:val="right"/>
              <w:ind w:right="13"/>
              <w:spacing w:after="0"/>
              <w:rPr>
                <w:sz w:val="20"/>
                <w:szCs w:val="20"/>
                <w:color w:val="auto"/>
              </w:rPr>
            </w:pPr>
            <w:r>
              <w:rPr>
                <w:rFonts w:ascii="Arial" w:cs="Arial" w:eastAsia="Arial" w:hAnsi="Arial"/>
                <w:sz w:val="18"/>
                <w:szCs w:val="18"/>
                <w:color w:val="auto"/>
              </w:rPr>
              <w:t>22</w:t>
            </w:r>
          </w:p>
        </w:tc>
        <w:tc>
          <w:tcPr>
            <w:tcW w:w="100" w:type="dxa"/>
            <w:vAlign w:val="bottom"/>
          </w:tcPr>
          <w:p>
            <w:pPr>
              <w:spacing w:after="0"/>
              <w:rPr>
                <w:sz w:val="23"/>
                <w:szCs w:val="23"/>
                <w:color w:val="auto"/>
              </w:rPr>
            </w:pPr>
          </w:p>
        </w:tc>
        <w:tc>
          <w:tcPr>
            <w:tcW w:w="1020" w:type="dxa"/>
            <w:vAlign w:val="bottom"/>
          </w:tcPr>
          <w:p>
            <w:pPr>
              <w:jc w:val="right"/>
              <w:ind w:right="14"/>
              <w:spacing w:after="0"/>
              <w:rPr>
                <w:sz w:val="20"/>
                <w:szCs w:val="20"/>
                <w:color w:val="auto"/>
              </w:rPr>
            </w:pPr>
            <w:r>
              <w:rPr>
                <w:rFonts w:ascii="Arial" w:cs="Arial" w:eastAsia="Arial" w:hAnsi="Arial"/>
                <w:sz w:val="18"/>
                <w:szCs w:val="18"/>
                <w:color w:val="auto"/>
              </w:rPr>
              <w:t>20</w:t>
            </w:r>
          </w:p>
        </w:tc>
        <w:tc>
          <w:tcPr>
            <w:tcW w:w="100" w:type="dxa"/>
            <w:vAlign w:val="bottom"/>
          </w:tcPr>
          <w:p>
            <w:pPr>
              <w:spacing w:after="0"/>
              <w:rPr>
                <w:sz w:val="23"/>
                <w:szCs w:val="23"/>
                <w:color w:val="auto"/>
              </w:rPr>
            </w:pPr>
          </w:p>
        </w:tc>
        <w:tc>
          <w:tcPr>
            <w:tcW w:w="1020" w:type="dxa"/>
            <w:vAlign w:val="bottom"/>
          </w:tcPr>
          <w:p>
            <w:pPr>
              <w:jc w:val="right"/>
              <w:ind w:right="13"/>
              <w:spacing w:after="0"/>
              <w:rPr>
                <w:sz w:val="20"/>
                <w:szCs w:val="20"/>
                <w:color w:val="auto"/>
              </w:rPr>
            </w:pPr>
            <w:r>
              <w:rPr>
                <w:rFonts w:ascii="Arial" w:cs="Arial" w:eastAsia="Arial" w:hAnsi="Arial"/>
                <w:sz w:val="18"/>
                <w:szCs w:val="18"/>
                <w:color w:val="auto"/>
              </w:rPr>
              <w:t>108</w:t>
            </w:r>
          </w:p>
        </w:tc>
      </w:tr>
      <w:tr>
        <w:trPr>
          <w:trHeight w:val="203"/>
        </w:trPr>
        <w:tc>
          <w:tcPr>
            <w:tcW w:w="4240" w:type="dxa"/>
            <w:vAlign w:val="bottom"/>
            <w:gridSpan w:val="7"/>
            <w:shd w:val="clear" w:color="auto" w:fill="CCEEFF"/>
          </w:tcPr>
          <w:p>
            <w:pPr>
              <w:ind w:left="40"/>
              <w:spacing w:after="0" w:line="202" w:lineRule="exact"/>
              <w:rPr>
                <w:sz w:val="20"/>
                <w:szCs w:val="20"/>
                <w:color w:val="auto"/>
              </w:rPr>
            </w:pPr>
            <w:r>
              <w:rPr>
                <w:rFonts w:ascii="Arial" w:cs="Arial" w:eastAsia="Arial" w:hAnsi="Arial"/>
                <w:sz w:val="18"/>
                <w:szCs w:val="18"/>
                <w:b w:val="1"/>
                <w:bCs w:val="1"/>
                <w:color w:val="auto"/>
              </w:rPr>
              <w:t>Boeing</w:t>
            </w:r>
          </w:p>
        </w:tc>
        <w:tc>
          <w:tcPr>
            <w:tcW w:w="3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0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20" w:type="dxa"/>
            <w:vAlign w:val="bottom"/>
            <w:shd w:val="clear" w:color="auto" w:fill="CCEEFF"/>
          </w:tcPr>
          <w:p>
            <w:pPr>
              <w:spacing w:after="0"/>
              <w:rPr>
                <w:sz w:val="17"/>
                <w:szCs w:val="17"/>
                <w:color w:val="auto"/>
              </w:rPr>
            </w:pPr>
          </w:p>
        </w:tc>
      </w:tr>
      <w:tr>
        <w:trPr>
          <w:trHeight w:val="48"/>
        </w:trPr>
        <w:tc>
          <w:tcPr>
            <w:tcW w:w="40" w:type="dxa"/>
            <w:vAlign w:val="bottom"/>
            <w:tcBorders>
              <w:top w:val="single" w:sz="8" w:color="CCEEFF"/>
            </w:tcBorders>
            <w:shd w:val="clear" w:color="auto" w:fill="CCEEFF"/>
          </w:tcPr>
          <w:p>
            <w:pPr>
              <w:spacing w:after="0"/>
              <w:rPr>
                <w:sz w:val="4"/>
                <w:szCs w:val="4"/>
                <w:color w:val="auto"/>
              </w:rPr>
            </w:pPr>
          </w:p>
        </w:tc>
        <w:tc>
          <w:tcPr>
            <w:tcW w:w="560" w:type="dxa"/>
            <w:vAlign w:val="bottom"/>
            <w:tcBorders>
              <w:top w:val="single" w:sz="8" w:color="auto"/>
            </w:tcBorders>
            <w:shd w:val="clear" w:color="auto" w:fill="CCEEFF"/>
          </w:tcPr>
          <w:p>
            <w:pPr>
              <w:spacing w:after="0"/>
              <w:rPr>
                <w:sz w:val="4"/>
                <w:szCs w:val="4"/>
                <w:color w:val="auto"/>
              </w:rPr>
            </w:pPr>
          </w:p>
        </w:tc>
        <w:tc>
          <w:tcPr>
            <w:tcW w:w="40" w:type="dxa"/>
            <w:vAlign w:val="bottom"/>
            <w:tcBorders>
              <w:top w:val="single" w:sz="8" w:color="auto"/>
            </w:tcBorders>
            <w:shd w:val="clear" w:color="auto" w:fill="CCEEFF"/>
          </w:tcPr>
          <w:p>
            <w:pPr>
              <w:spacing w:after="0"/>
              <w:rPr>
                <w:sz w:val="4"/>
                <w:szCs w:val="4"/>
                <w:color w:val="auto"/>
              </w:rPr>
            </w:pPr>
          </w:p>
        </w:tc>
        <w:tc>
          <w:tcPr>
            <w:tcW w:w="120" w:type="dxa"/>
            <w:vAlign w:val="bottom"/>
            <w:tcBorders>
              <w:top w:val="single" w:sz="8" w:color="CCEEFF"/>
            </w:tcBorders>
            <w:shd w:val="clear" w:color="auto" w:fill="CCEEFF"/>
          </w:tcPr>
          <w:p>
            <w:pPr>
              <w:spacing w:after="0"/>
              <w:rPr>
                <w:sz w:val="4"/>
                <w:szCs w:val="4"/>
                <w:color w:val="auto"/>
              </w:rPr>
            </w:pPr>
          </w:p>
        </w:tc>
        <w:tc>
          <w:tcPr>
            <w:tcW w:w="280" w:type="dxa"/>
            <w:vAlign w:val="bottom"/>
            <w:tcBorders>
              <w:top w:val="single" w:sz="8" w:color="CCEEFF"/>
            </w:tcBorders>
            <w:shd w:val="clear" w:color="auto" w:fill="CCEEFF"/>
          </w:tcPr>
          <w:p>
            <w:pPr>
              <w:spacing w:after="0"/>
              <w:rPr>
                <w:sz w:val="4"/>
                <w:szCs w:val="4"/>
                <w:color w:val="auto"/>
              </w:rPr>
            </w:pPr>
          </w:p>
        </w:tc>
        <w:tc>
          <w:tcPr>
            <w:tcW w:w="2500" w:type="dxa"/>
            <w:vAlign w:val="bottom"/>
            <w:tcBorders>
              <w:top w:val="single" w:sz="8" w:color="CCEEFF"/>
            </w:tcBorders>
            <w:shd w:val="clear" w:color="auto" w:fill="CCEEFF"/>
          </w:tcPr>
          <w:p>
            <w:pPr>
              <w:spacing w:after="0"/>
              <w:rPr>
                <w:sz w:val="4"/>
                <w:szCs w:val="4"/>
                <w:color w:val="auto"/>
              </w:rPr>
            </w:pPr>
          </w:p>
        </w:tc>
        <w:tc>
          <w:tcPr>
            <w:tcW w:w="700" w:type="dxa"/>
            <w:vAlign w:val="bottom"/>
            <w:tcBorders>
              <w:top w:val="single" w:sz="8" w:color="CCEEFF"/>
            </w:tcBorders>
            <w:shd w:val="clear" w:color="auto" w:fill="CCEEFF"/>
          </w:tcPr>
          <w:p>
            <w:pPr>
              <w:spacing w:after="0"/>
              <w:rPr>
                <w:sz w:val="4"/>
                <w:szCs w:val="4"/>
                <w:color w:val="auto"/>
              </w:rPr>
            </w:pPr>
          </w:p>
        </w:tc>
        <w:tc>
          <w:tcPr>
            <w:tcW w:w="340" w:type="dxa"/>
            <w:vAlign w:val="bottom"/>
            <w:tcBorders>
              <w:top w:val="single" w:sz="8" w:color="CCEEFF"/>
            </w:tcBorders>
            <w:shd w:val="clear" w:color="auto" w:fill="CCEEFF"/>
          </w:tcPr>
          <w:p>
            <w:pPr>
              <w:spacing w:after="0"/>
              <w:rPr>
                <w:sz w:val="4"/>
                <w:szCs w:val="4"/>
                <w:color w:val="auto"/>
              </w:rPr>
            </w:pPr>
          </w:p>
        </w:tc>
        <w:tc>
          <w:tcPr>
            <w:tcW w:w="120" w:type="dxa"/>
            <w:vAlign w:val="bottom"/>
            <w:tcBorders>
              <w:top w:val="single" w:sz="8" w:color="CCEEFF"/>
            </w:tcBorders>
            <w:shd w:val="clear" w:color="auto" w:fill="CCEEFF"/>
          </w:tcPr>
          <w:p>
            <w:pPr>
              <w:spacing w:after="0"/>
              <w:rPr>
                <w:sz w:val="4"/>
                <w:szCs w:val="4"/>
                <w:color w:val="auto"/>
              </w:rPr>
            </w:pPr>
          </w:p>
        </w:tc>
        <w:tc>
          <w:tcPr>
            <w:tcW w:w="1040" w:type="dxa"/>
            <w:vAlign w:val="bottom"/>
            <w:tcBorders>
              <w:top w:val="single" w:sz="8" w:color="CCEEFF"/>
            </w:tcBorders>
            <w:shd w:val="clear" w:color="auto" w:fill="CCEEFF"/>
          </w:tcPr>
          <w:p>
            <w:pPr>
              <w:spacing w:after="0"/>
              <w:rPr>
                <w:sz w:val="4"/>
                <w:szCs w:val="4"/>
                <w:color w:val="auto"/>
              </w:rPr>
            </w:pPr>
          </w:p>
        </w:tc>
        <w:tc>
          <w:tcPr>
            <w:tcW w:w="120" w:type="dxa"/>
            <w:vAlign w:val="bottom"/>
            <w:tcBorders>
              <w:top w:val="single" w:sz="8" w:color="CCEEFF"/>
            </w:tcBorders>
            <w:shd w:val="clear" w:color="auto" w:fill="CCEEFF"/>
          </w:tcPr>
          <w:p>
            <w:pPr>
              <w:spacing w:after="0"/>
              <w:rPr>
                <w:sz w:val="4"/>
                <w:szCs w:val="4"/>
                <w:color w:val="auto"/>
              </w:rPr>
            </w:pPr>
          </w:p>
        </w:tc>
        <w:tc>
          <w:tcPr>
            <w:tcW w:w="1040" w:type="dxa"/>
            <w:vAlign w:val="bottom"/>
            <w:tcBorders>
              <w:top w:val="single" w:sz="8" w:color="CCEEFF"/>
            </w:tcBorders>
            <w:shd w:val="clear" w:color="auto" w:fill="CCEEFF"/>
          </w:tcPr>
          <w:p>
            <w:pPr>
              <w:spacing w:after="0"/>
              <w:rPr>
                <w:sz w:val="4"/>
                <w:szCs w:val="4"/>
                <w:color w:val="auto"/>
              </w:rPr>
            </w:pPr>
          </w:p>
        </w:tc>
        <w:tc>
          <w:tcPr>
            <w:tcW w:w="140" w:type="dxa"/>
            <w:vAlign w:val="bottom"/>
            <w:tcBorders>
              <w:top w:val="single" w:sz="8" w:color="CCEEFF"/>
            </w:tcBorders>
            <w:shd w:val="clear" w:color="auto" w:fill="CCEEFF"/>
          </w:tcPr>
          <w:p>
            <w:pPr>
              <w:spacing w:after="0"/>
              <w:rPr>
                <w:sz w:val="4"/>
                <w:szCs w:val="4"/>
                <w:color w:val="auto"/>
              </w:rPr>
            </w:pPr>
          </w:p>
        </w:tc>
        <w:tc>
          <w:tcPr>
            <w:tcW w:w="1020" w:type="dxa"/>
            <w:vAlign w:val="bottom"/>
            <w:tcBorders>
              <w:top w:val="single" w:sz="8" w:color="CCEEFF"/>
            </w:tcBorders>
            <w:shd w:val="clear" w:color="auto" w:fill="CCEEFF"/>
          </w:tcPr>
          <w:p>
            <w:pPr>
              <w:spacing w:after="0"/>
              <w:rPr>
                <w:sz w:val="4"/>
                <w:szCs w:val="4"/>
                <w:color w:val="auto"/>
              </w:rPr>
            </w:pPr>
          </w:p>
        </w:tc>
        <w:tc>
          <w:tcPr>
            <w:tcW w:w="100" w:type="dxa"/>
            <w:vAlign w:val="bottom"/>
            <w:tcBorders>
              <w:top w:val="single" w:sz="8" w:color="CCEEFF"/>
            </w:tcBorders>
            <w:shd w:val="clear" w:color="auto" w:fill="CCEEFF"/>
          </w:tcPr>
          <w:p>
            <w:pPr>
              <w:spacing w:after="0"/>
              <w:rPr>
                <w:sz w:val="4"/>
                <w:szCs w:val="4"/>
                <w:color w:val="auto"/>
              </w:rPr>
            </w:pPr>
          </w:p>
        </w:tc>
        <w:tc>
          <w:tcPr>
            <w:tcW w:w="1020" w:type="dxa"/>
            <w:vAlign w:val="bottom"/>
            <w:tcBorders>
              <w:top w:val="single" w:sz="8" w:color="CCEEFF"/>
            </w:tcBorders>
            <w:shd w:val="clear" w:color="auto" w:fill="CCEEFF"/>
          </w:tcPr>
          <w:p>
            <w:pPr>
              <w:spacing w:after="0"/>
              <w:rPr>
                <w:sz w:val="4"/>
                <w:szCs w:val="4"/>
                <w:color w:val="auto"/>
              </w:rPr>
            </w:pPr>
          </w:p>
        </w:tc>
        <w:tc>
          <w:tcPr>
            <w:tcW w:w="100" w:type="dxa"/>
            <w:vAlign w:val="bottom"/>
            <w:tcBorders>
              <w:top w:val="single" w:sz="8" w:color="CCEEFF"/>
            </w:tcBorders>
            <w:shd w:val="clear" w:color="auto" w:fill="CCEEFF"/>
          </w:tcPr>
          <w:p>
            <w:pPr>
              <w:spacing w:after="0"/>
              <w:rPr>
                <w:sz w:val="4"/>
                <w:szCs w:val="4"/>
                <w:color w:val="auto"/>
              </w:rPr>
            </w:pPr>
          </w:p>
        </w:tc>
        <w:tc>
          <w:tcPr>
            <w:tcW w:w="1020" w:type="dxa"/>
            <w:vAlign w:val="bottom"/>
            <w:tcBorders>
              <w:top w:val="single" w:sz="8" w:color="CCEEFF"/>
            </w:tcBorders>
            <w:shd w:val="clear" w:color="auto" w:fill="CCEEFF"/>
          </w:tcPr>
          <w:p>
            <w:pPr>
              <w:spacing w:after="0"/>
              <w:rPr>
                <w:sz w:val="4"/>
                <w:szCs w:val="4"/>
                <w:color w:val="auto"/>
              </w:rPr>
            </w:pPr>
          </w:p>
        </w:tc>
        <w:tc>
          <w:tcPr>
            <w:tcW w:w="100" w:type="dxa"/>
            <w:vAlign w:val="bottom"/>
            <w:tcBorders>
              <w:top w:val="single" w:sz="8" w:color="CCEEFF"/>
            </w:tcBorders>
            <w:shd w:val="clear" w:color="auto" w:fill="CCEEFF"/>
          </w:tcPr>
          <w:p>
            <w:pPr>
              <w:spacing w:after="0"/>
              <w:rPr>
                <w:sz w:val="4"/>
                <w:szCs w:val="4"/>
                <w:color w:val="auto"/>
              </w:rPr>
            </w:pPr>
          </w:p>
        </w:tc>
        <w:tc>
          <w:tcPr>
            <w:tcW w:w="1020" w:type="dxa"/>
            <w:vAlign w:val="bottom"/>
            <w:tcBorders>
              <w:top w:val="single" w:sz="8" w:color="CCEEFF"/>
            </w:tcBorders>
            <w:shd w:val="clear" w:color="auto" w:fill="CCEEFF"/>
          </w:tcPr>
          <w:p>
            <w:pPr>
              <w:spacing w:after="0"/>
              <w:rPr>
                <w:sz w:val="4"/>
                <w:szCs w:val="4"/>
                <w:color w:val="auto"/>
              </w:rPr>
            </w:pPr>
          </w:p>
        </w:tc>
      </w:tr>
      <w:tr>
        <w:trPr>
          <w:trHeight w:val="270"/>
        </w:trPr>
        <w:tc>
          <w:tcPr>
            <w:tcW w:w="4240" w:type="dxa"/>
            <w:vAlign w:val="bottom"/>
            <w:gridSpan w:val="7"/>
          </w:tcPr>
          <w:p>
            <w:pPr>
              <w:ind w:left="40"/>
              <w:spacing w:after="0"/>
              <w:rPr>
                <w:sz w:val="20"/>
                <w:szCs w:val="20"/>
                <w:color w:val="auto"/>
              </w:rPr>
            </w:pPr>
            <w:r>
              <w:rPr>
                <w:rFonts w:ascii="Arial" w:cs="Arial" w:eastAsia="Arial" w:hAnsi="Arial"/>
                <w:sz w:val="18"/>
                <w:szCs w:val="18"/>
                <w:color w:val="auto"/>
              </w:rPr>
              <w:t xml:space="preserve">737 MAX Family </w:t>
            </w:r>
            <w:r>
              <w:rPr>
                <w:rFonts w:ascii="Arial" w:cs="Arial" w:eastAsia="Arial" w:hAnsi="Arial"/>
                <w:sz w:val="21"/>
                <w:szCs w:val="21"/>
                <w:color w:val="auto"/>
                <w:vertAlign w:val="superscript"/>
              </w:rPr>
              <w:t>(3)</w:t>
            </w:r>
          </w:p>
        </w:tc>
        <w:tc>
          <w:tcPr>
            <w:tcW w:w="340" w:type="dxa"/>
            <w:vAlign w:val="bottom"/>
          </w:tcPr>
          <w:p>
            <w:pPr>
              <w:jc w:val="right"/>
              <w:ind w:right="30"/>
              <w:spacing w:after="0"/>
              <w:rPr>
                <w:sz w:val="20"/>
                <w:szCs w:val="20"/>
                <w:color w:val="auto"/>
              </w:rPr>
            </w:pPr>
            <w:r>
              <w:rPr>
                <w:rFonts w:ascii="Arial" w:cs="Arial" w:eastAsia="Arial" w:hAnsi="Arial"/>
                <w:sz w:val="18"/>
                <w:szCs w:val="18"/>
                <w:color w:val="auto"/>
                <w:w w:val="99"/>
              </w:rPr>
              <w:t>22</w:t>
            </w:r>
          </w:p>
        </w:tc>
        <w:tc>
          <w:tcPr>
            <w:tcW w:w="120" w:type="dxa"/>
            <w:vAlign w:val="bottom"/>
          </w:tcPr>
          <w:p>
            <w:pPr>
              <w:spacing w:after="0"/>
              <w:rPr>
                <w:sz w:val="23"/>
                <w:szCs w:val="23"/>
                <w:color w:val="auto"/>
              </w:rPr>
            </w:pPr>
          </w:p>
        </w:tc>
        <w:tc>
          <w:tcPr>
            <w:tcW w:w="1040" w:type="dxa"/>
            <w:vAlign w:val="bottom"/>
          </w:tcPr>
          <w:p>
            <w:pPr>
              <w:jc w:val="right"/>
              <w:ind w:right="33"/>
              <w:spacing w:after="0"/>
              <w:rPr>
                <w:sz w:val="20"/>
                <w:szCs w:val="20"/>
                <w:color w:val="auto"/>
              </w:rPr>
            </w:pPr>
            <w:r>
              <w:rPr>
                <w:rFonts w:ascii="Arial" w:cs="Arial" w:eastAsia="Arial" w:hAnsi="Arial"/>
                <w:sz w:val="18"/>
                <w:szCs w:val="18"/>
                <w:color w:val="auto"/>
              </w:rPr>
              <w:t>14</w:t>
            </w:r>
          </w:p>
        </w:tc>
        <w:tc>
          <w:tcPr>
            <w:tcW w:w="120" w:type="dxa"/>
            <w:vAlign w:val="bottom"/>
          </w:tcPr>
          <w:p>
            <w:pPr>
              <w:spacing w:after="0"/>
              <w:rPr>
                <w:sz w:val="23"/>
                <w:szCs w:val="23"/>
                <w:color w:val="auto"/>
              </w:rPr>
            </w:pPr>
          </w:p>
        </w:tc>
        <w:tc>
          <w:tcPr>
            <w:tcW w:w="118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11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12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020" w:type="dxa"/>
            <w:vAlign w:val="bottom"/>
          </w:tcPr>
          <w:p>
            <w:pPr>
              <w:jc w:val="right"/>
              <w:ind w:right="14"/>
              <w:spacing w:after="0"/>
              <w:rPr>
                <w:sz w:val="20"/>
                <w:szCs w:val="20"/>
                <w:color w:val="auto"/>
              </w:rPr>
            </w:pPr>
            <w:r>
              <w:rPr>
                <w:rFonts w:ascii="Arial" w:cs="Arial" w:eastAsia="Arial" w:hAnsi="Arial"/>
                <w:sz w:val="18"/>
                <w:szCs w:val="18"/>
                <w:color w:val="auto"/>
              </w:rPr>
              <w:t>40</w:t>
            </w:r>
          </w:p>
        </w:tc>
        <w:tc>
          <w:tcPr>
            <w:tcW w:w="100" w:type="dxa"/>
            <w:vAlign w:val="bottom"/>
          </w:tcPr>
          <w:p>
            <w:pPr>
              <w:spacing w:after="0"/>
              <w:rPr>
                <w:sz w:val="23"/>
                <w:szCs w:val="23"/>
                <w:color w:val="auto"/>
              </w:rPr>
            </w:pPr>
          </w:p>
        </w:tc>
        <w:tc>
          <w:tcPr>
            <w:tcW w:w="1020" w:type="dxa"/>
            <w:vAlign w:val="bottom"/>
          </w:tcPr>
          <w:p>
            <w:pPr>
              <w:jc w:val="right"/>
              <w:ind w:right="13"/>
              <w:spacing w:after="0"/>
              <w:rPr>
                <w:sz w:val="20"/>
                <w:szCs w:val="20"/>
                <w:color w:val="auto"/>
              </w:rPr>
            </w:pPr>
            <w:r>
              <w:rPr>
                <w:rFonts w:ascii="Arial" w:cs="Arial" w:eastAsia="Arial" w:hAnsi="Arial"/>
                <w:sz w:val="18"/>
                <w:szCs w:val="18"/>
                <w:color w:val="auto"/>
              </w:rPr>
              <w:t>76</w:t>
            </w:r>
          </w:p>
        </w:tc>
      </w:tr>
      <w:tr>
        <w:trPr>
          <w:trHeight w:val="250"/>
        </w:trPr>
        <w:tc>
          <w:tcPr>
            <w:tcW w:w="4240" w:type="dxa"/>
            <w:vAlign w:val="bottom"/>
            <w:tcBorders>
              <w:bottom w:val="single" w:sz="8" w:color="CCEEFF"/>
            </w:tcBorders>
            <w:gridSpan w:val="7"/>
            <w:shd w:val="clear" w:color="auto" w:fill="CCEEFF"/>
          </w:tcPr>
          <w:p>
            <w:pPr>
              <w:ind w:left="40"/>
              <w:spacing w:after="0"/>
              <w:rPr>
                <w:sz w:val="20"/>
                <w:szCs w:val="20"/>
                <w:color w:val="auto"/>
              </w:rPr>
            </w:pPr>
            <w:r>
              <w:rPr>
                <w:rFonts w:ascii="Arial" w:cs="Arial" w:eastAsia="Arial" w:hAnsi="Arial"/>
                <w:sz w:val="18"/>
                <w:szCs w:val="18"/>
                <w:color w:val="auto"/>
              </w:rPr>
              <w:t>787 Family</w:t>
            </w:r>
          </w:p>
        </w:tc>
        <w:tc>
          <w:tcPr>
            <w:tcW w:w="3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12</w:t>
            </w:r>
          </w:p>
        </w:tc>
        <w:tc>
          <w:tcPr>
            <w:tcW w:w="1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10</w:t>
            </w:r>
          </w:p>
        </w:tc>
        <w:tc>
          <w:tcPr>
            <w:tcW w:w="12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102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6</w:t>
            </w:r>
          </w:p>
        </w:tc>
        <w:tc>
          <w:tcPr>
            <w:tcW w:w="10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6</w:t>
            </w:r>
          </w:p>
        </w:tc>
        <w:tc>
          <w:tcPr>
            <w:tcW w:w="10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13</w:t>
            </w:r>
          </w:p>
        </w:tc>
        <w:tc>
          <w:tcPr>
            <w:tcW w:w="10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47</w:t>
            </w:r>
          </w:p>
        </w:tc>
      </w:tr>
      <w:tr>
        <w:trPr>
          <w:trHeight w:val="203"/>
        </w:trPr>
        <w:tc>
          <w:tcPr>
            <w:tcW w:w="4240" w:type="dxa"/>
            <w:vAlign w:val="bottom"/>
            <w:gridSpan w:val="7"/>
          </w:tcPr>
          <w:p>
            <w:pPr>
              <w:ind w:left="40"/>
              <w:spacing w:after="0" w:line="202" w:lineRule="exact"/>
              <w:rPr>
                <w:sz w:val="20"/>
                <w:szCs w:val="20"/>
                <w:color w:val="auto"/>
              </w:rPr>
            </w:pPr>
            <w:r>
              <w:rPr>
                <w:rFonts w:ascii="Arial" w:cs="Arial" w:eastAsia="Arial" w:hAnsi="Arial"/>
                <w:sz w:val="18"/>
                <w:szCs w:val="18"/>
                <w:b w:val="1"/>
                <w:bCs w:val="1"/>
                <w:color w:val="auto"/>
              </w:rPr>
              <w:t>Embraer</w:t>
            </w:r>
          </w:p>
        </w:tc>
        <w:tc>
          <w:tcPr>
            <w:tcW w:w="3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20" w:type="dxa"/>
            <w:vAlign w:val="bottom"/>
          </w:tcPr>
          <w:p>
            <w:pPr>
              <w:spacing w:after="0"/>
              <w:rPr>
                <w:sz w:val="17"/>
                <w:szCs w:val="17"/>
                <w:color w:val="auto"/>
              </w:rPr>
            </w:pPr>
          </w:p>
        </w:tc>
      </w:tr>
      <w:tr>
        <w:trPr>
          <w:trHeight w:val="48"/>
        </w:trPr>
        <w:tc>
          <w:tcPr>
            <w:tcW w:w="40" w:type="dxa"/>
            <w:vAlign w:val="bottom"/>
          </w:tcPr>
          <w:p>
            <w:pPr>
              <w:spacing w:after="0"/>
              <w:rPr>
                <w:sz w:val="4"/>
                <w:szCs w:val="4"/>
                <w:color w:val="auto"/>
              </w:rPr>
            </w:pPr>
          </w:p>
        </w:tc>
        <w:tc>
          <w:tcPr>
            <w:tcW w:w="560" w:type="dxa"/>
            <w:vAlign w:val="bottom"/>
            <w:tcBorders>
              <w:top w:val="single" w:sz="8" w:color="auto"/>
            </w:tcBorders>
          </w:tcPr>
          <w:p>
            <w:pPr>
              <w:spacing w:after="0"/>
              <w:rPr>
                <w:sz w:val="4"/>
                <w:szCs w:val="4"/>
                <w:color w:val="auto"/>
              </w:rPr>
            </w:pPr>
          </w:p>
        </w:tc>
        <w:tc>
          <w:tcPr>
            <w:tcW w:w="40" w:type="dxa"/>
            <w:vAlign w:val="bottom"/>
            <w:tcBorders>
              <w:top w:val="single" w:sz="8" w:color="auto"/>
            </w:tcBorders>
          </w:tcPr>
          <w:p>
            <w:pPr>
              <w:spacing w:after="0"/>
              <w:rPr>
                <w:sz w:val="4"/>
                <w:szCs w:val="4"/>
                <w:color w:val="auto"/>
              </w:rPr>
            </w:pPr>
          </w:p>
        </w:tc>
        <w:tc>
          <w:tcPr>
            <w:tcW w:w="120" w:type="dxa"/>
            <w:vAlign w:val="bottom"/>
            <w:tcBorders>
              <w:top w:val="single" w:sz="8" w:color="auto"/>
            </w:tcBorders>
          </w:tcPr>
          <w:p>
            <w:pPr>
              <w:spacing w:after="0"/>
              <w:rPr>
                <w:sz w:val="4"/>
                <w:szCs w:val="4"/>
                <w:color w:val="auto"/>
              </w:rPr>
            </w:pPr>
          </w:p>
        </w:tc>
        <w:tc>
          <w:tcPr>
            <w:tcW w:w="280" w:type="dxa"/>
            <w:vAlign w:val="bottom"/>
          </w:tcPr>
          <w:p>
            <w:pPr>
              <w:spacing w:after="0"/>
              <w:rPr>
                <w:sz w:val="4"/>
                <w:szCs w:val="4"/>
                <w:color w:val="auto"/>
              </w:rPr>
            </w:pPr>
          </w:p>
        </w:tc>
        <w:tc>
          <w:tcPr>
            <w:tcW w:w="2500" w:type="dxa"/>
            <w:vAlign w:val="bottom"/>
          </w:tcPr>
          <w:p>
            <w:pPr>
              <w:spacing w:after="0"/>
              <w:rPr>
                <w:sz w:val="4"/>
                <w:szCs w:val="4"/>
                <w:color w:val="auto"/>
              </w:rPr>
            </w:pPr>
          </w:p>
        </w:tc>
        <w:tc>
          <w:tcPr>
            <w:tcW w:w="700" w:type="dxa"/>
            <w:vAlign w:val="bottom"/>
          </w:tcPr>
          <w:p>
            <w:pPr>
              <w:spacing w:after="0"/>
              <w:rPr>
                <w:sz w:val="4"/>
                <w:szCs w:val="4"/>
                <w:color w:val="auto"/>
              </w:rPr>
            </w:pPr>
          </w:p>
        </w:tc>
        <w:tc>
          <w:tcPr>
            <w:tcW w:w="340" w:type="dxa"/>
            <w:vAlign w:val="bottom"/>
          </w:tcPr>
          <w:p>
            <w:pPr>
              <w:spacing w:after="0"/>
              <w:rPr>
                <w:sz w:val="4"/>
                <w:szCs w:val="4"/>
                <w:color w:val="auto"/>
              </w:rPr>
            </w:pPr>
          </w:p>
        </w:tc>
        <w:tc>
          <w:tcPr>
            <w:tcW w:w="120" w:type="dxa"/>
            <w:vAlign w:val="bottom"/>
          </w:tcPr>
          <w:p>
            <w:pPr>
              <w:spacing w:after="0"/>
              <w:rPr>
                <w:sz w:val="4"/>
                <w:szCs w:val="4"/>
                <w:color w:val="auto"/>
              </w:rPr>
            </w:pPr>
          </w:p>
        </w:tc>
        <w:tc>
          <w:tcPr>
            <w:tcW w:w="1040" w:type="dxa"/>
            <w:vAlign w:val="bottom"/>
          </w:tcPr>
          <w:p>
            <w:pPr>
              <w:spacing w:after="0"/>
              <w:rPr>
                <w:sz w:val="4"/>
                <w:szCs w:val="4"/>
                <w:color w:val="auto"/>
              </w:rPr>
            </w:pPr>
          </w:p>
        </w:tc>
        <w:tc>
          <w:tcPr>
            <w:tcW w:w="120" w:type="dxa"/>
            <w:vAlign w:val="bottom"/>
          </w:tcPr>
          <w:p>
            <w:pPr>
              <w:spacing w:after="0"/>
              <w:rPr>
                <w:sz w:val="4"/>
                <w:szCs w:val="4"/>
                <w:color w:val="auto"/>
              </w:rPr>
            </w:pPr>
          </w:p>
        </w:tc>
        <w:tc>
          <w:tcPr>
            <w:tcW w:w="1040" w:type="dxa"/>
            <w:vAlign w:val="bottom"/>
          </w:tcPr>
          <w:p>
            <w:pPr>
              <w:spacing w:after="0"/>
              <w:rPr>
                <w:sz w:val="4"/>
                <w:szCs w:val="4"/>
                <w:color w:val="auto"/>
              </w:rPr>
            </w:pPr>
          </w:p>
        </w:tc>
        <w:tc>
          <w:tcPr>
            <w:tcW w:w="140" w:type="dxa"/>
            <w:vAlign w:val="bottom"/>
          </w:tcPr>
          <w:p>
            <w:pPr>
              <w:spacing w:after="0"/>
              <w:rPr>
                <w:sz w:val="4"/>
                <w:szCs w:val="4"/>
                <w:color w:val="auto"/>
              </w:rPr>
            </w:pPr>
          </w:p>
        </w:tc>
        <w:tc>
          <w:tcPr>
            <w:tcW w:w="1020" w:type="dxa"/>
            <w:vAlign w:val="bottom"/>
          </w:tcPr>
          <w:p>
            <w:pPr>
              <w:spacing w:after="0"/>
              <w:rPr>
                <w:sz w:val="4"/>
                <w:szCs w:val="4"/>
                <w:color w:val="auto"/>
              </w:rPr>
            </w:pPr>
          </w:p>
        </w:tc>
        <w:tc>
          <w:tcPr>
            <w:tcW w:w="100" w:type="dxa"/>
            <w:vAlign w:val="bottom"/>
          </w:tcPr>
          <w:p>
            <w:pPr>
              <w:spacing w:after="0"/>
              <w:rPr>
                <w:sz w:val="4"/>
                <w:szCs w:val="4"/>
                <w:color w:val="auto"/>
              </w:rPr>
            </w:pPr>
          </w:p>
        </w:tc>
        <w:tc>
          <w:tcPr>
            <w:tcW w:w="1020" w:type="dxa"/>
            <w:vAlign w:val="bottom"/>
          </w:tcPr>
          <w:p>
            <w:pPr>
              <w:spacing w:after="0"/>
              <w:rPr>
                <w:sz w:val="4"/>
                <w:szCs w:val="4"/>
                <w:color w:val="auto"/>
              </w:rPr>
            </w:pPr>
          </w:p>
        </w:tc>
        <w:tc>
          <w:tcPr>
            <w:tcW w:w="100" w:type="dxa"/>
            <w:vAlign w:val="bottom"/>
          </w:tcPr>
          <w:p>
            <w:pPr>
              <w:spacing w:after="0"/>
              <w:rPr>
                <w:sz w:val="4"/>
                <w:szCs w:val="4"/>
                <w:color w:val="auto"/>
              </w:rPr>
            </w:pPr>
          </w:p>
        </w:tc>
        <w:tc>
          <w:tcPr>
            <w:tcW w:w="1020" w:type="dxa"/>
            <w:vAlign w:val="bottom"/>
          </w:tcPr>
          <w:p>
            <w:pPr>
              <w:spacing w:after="0"/>
              <w:rPr>
                <w:sz w:val="4"/>
                <w:szCs w:val="4"/>
                <w:color w:val="auto"/>
              </w:rPr>
            </w:pPr>
          </w:p>
        </w:tc>
        <w:tc>
          <w:tcPr>
            <w:tcW w:w="100" w:type="dxa"/>
            <w:vAlign w:val="bottom"/>
          </w:tcPr>
          <w:p>
            <w:pPr>
              <w:spacing w:after="0"/>
              <w:rPr>
                <w:sz w:val="4"/>
                <w:szCs w:val="4"/>
                <w:color w:val="auto"/>
              </w:rPr>
            </w:pPr>
          </w:p>
        </w:tc>
        <w:tc>
          <w:tcPr>
            <w:tcW w:w="1020" w:type="dxa"/>
            <w:vAlign w:val="bottom"/>
          </w:tcPr>
          <w:p>
            <w:pPr>
              <w:spacing w:after="0"/>
              <w:rPr>
                <w:sz w:val="4"/>
                <w:szCs w:val="4"/>
                <w:color w:val="auto"/>
              </w:rPr>
            </w:pPr>
          </w:p>
        </w:tc>
      </w:tr>
      <w:tr>
        <w:trPr>
          <w:trHeight w:val="250"/>
        </w:trPr>
        <w:tc>
          <w:tcPr>
            <w:tcW w:w="4240" w:type="dxa"/>
            <w:vAlign w:val="bottom"/>
            <w:tcBorders>
              <w:bottom w:val="single" w:sz="8" w:color="CCEEFF"/>
            </w:tcBorders>
            <w:gridSpan w:val="7"/>
            <w:shd w:val="clear" w:color="auto" w:fill="CCEEFF"/>
          </w:tcPr>
          <w:p>
            <w:pPr>
              <w:ind w:left="40"/>
              <w:spacing w:after="0"/>
              <w:rPr>
                <w:sz w:val="20"/>
                <w:szCs w:val="20"/>
                <w:color w:val="auto"/>
              </w:rPr>
            </w:pPr>
            <w:r>
              <w:rPr>
                <w:rFonts w:ascii="Arial" w:cs="Arial" w:eastAsia="Arial" w:hAnsi="Arial"/>
                <w:sz w:val="18"/>
                <w:szCs w:val="18"/>
                <w:color w:val="auto"/>
              </w:rPr>
              <w:t>E175</w:t>
            </w:r>
          </w:p>
        </w:tc>
        <w:tc>
          <w:tcPr>
            <w:tcW w:w="3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14</w:t>
            </w:r>
          </w:p>
        </w:tc>
        <w:tc>
          <w:tcPr>
            <w:tcW w:w="12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1180" w:type="dxa"/>
            <w:vAlign w:val="bottom"/>
            <w:tcBorders>
              <w:bottom w:val="single" w:sz="8" w:color="CCEEFF"/>
            </w:tcBorders>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11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12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12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02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14</w:t>
            </w:r>
          </w:p>
        </w:tc>
      </w:tr>
      <w:tr>
        <w:trPr>
          <w:trHeight w:val="203"/>
        </w:trPr>
        <w:tc>
          <w:tcPr>
            <w:tcW w:w="4240" w:type="dxa"/>
            <w:vAlign w:val="bottom"/>
            <w:gridSpan w:val="7"/>
          </w:tcPr>
          <w:p>
            <w:pPr>
              <w:ind w:left="40"/>
              <w:spacing w:after="0" w:line="202" w:lineRule="exact"/>
              <w:rPr>
                <w:sz w:val="20"/>
                <w:szCs w:val="20"/>
                <w:color w:val="auto"/>
              </w:rPr>
            </w:pPr>
            <w:r>
              <w:rPr>
                <w:rFonts w:ascii="Arial" w:cs="Arial" w:eastAsia="Arial" w:hAnsi="Arial"/>
                <w:sz w:val="18"/>
                <w:szCs w:val="18"/>
                <w:b w:val="1"/>
                <w:bCs w:val="1"/>
                <w:color w:val="auto"/>
              </w:rPr>
              <w:t>Bombardier</w:t>
            </w:r>
          </w:p>
        </w:tc>
        <w:tc>
          <w:tcPr>
            <w:tcW w:w="3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20" w:type="dxa"/>
            <w:vAlign w:val="bottom"/>
          </w:tcPr>
          <w:p>
            <w:pPr>
              <w:spacing w:after="0"/>
              <w:rPr>
                <w:sz w:val="17"/>
                <w:szCs w:val="17"/>
                <w:color w:val="auto"/>
              </w:rPr>
            </w:pPr>
          </w:p>
        </w:tc>
      </w:tr>
      <w:tr>
        <w:trPr>
          <w:trHeight w:val="48"/>
        </w:trPr>
        <w:tc>
          <w:tcPr>
            <w:tcW w:w="40" w:type="dxa"/>
            <w:vAlign w:val="bottom"/>
          </w:tcPr>
          <w:p>
            <w:pPr>
              <w:spacing w:after="0"/>
              <w:rPr>
                <w:sz w:val="4"/>
                <w:szCs w:val="4"/>
                <w:color w:val="auto"/>
              </w:rPr>
            </w:pPr>
          </w:p>
        </w:tc>
        <w:tc>
          <w:tcPr>
            <w:tcW w:w="560" w:type="dxa"/>
            <w:vAlign w:val="bottom"/>
            <w:tcBorders>
              <w:top w:val="single" w:sz="8" w:color="auto"/>
            </w:tcBorders>
          </w:tcPr>
          <w:p>
            <w:pPr>
              <w:spacing w:after="0"/>
              <w:rPr>
                <w:sz w:val="4"/>
                <w:szCs w:val="4"/>
                <w:color w:val="auto"/>
              </w:rPr>
            </w:pPr>
          </w:p>
        </w:tc>
        <w:tc>
          <w:tcPr>
            <w:tcW w:w="40" w:type="dxa"/>
            <w:vAlign w:val="bottom"/>
            <w:tcBorders>
              <w:top w:val="single" w:sz="8" w:color="auto"/>
            </w:tcBorders>
          </w:tcPr>
          <w:p>
            <w:pPr>
              <w:spacing w:after="0"/>
              <w:rPr>
                <w:sz w:val="4"/>
                <w:szCs w:val="4"/>
                <w:color w:val="auto"/>
              </w:rPr>
            </w:pPr>
          </w:p>
        </w:tc>
        <w:tc>
          <w:tcPr>
            <w:tcW w:w="120" w:type="dxa"/>
            <w:vAlign w:val="bottom"/>
            <w:tcBorders>
              <w:top w:val="single" w:sz="8" w:color="auto"/>
            </w:tcBorders>
          </w:tcPr>
          <w:p>
            <w:pPr>
              <w:spacing w:after="0"/>
              <w:rPr>
                <w:sz w:val="4"/>
                <w:szCs w:val="4"/>
                <w:color w:val="auto"/>
              </w:rPr>
            </w:pPr>
          </w:p>
        </w:tc>
        <w:tc>
          <w:tcPr>
            <w:tcW w:w="280" w:type="dxa"/>
            <w:vAlign w:val="bottom"/>
            <w:tcBorders>
              <w:top w:val="single" w:sz="8" w:color="auto"/>
            </w:tcBorders>
          </w:tcPr>
          <w:p>
            <w:pPr>
              <w:spacing w:after="0"/>
              <w:rPr>
                <w:sz w:val="4"/>
                <w:szCs w:val="4"/>
                <w:color w:val="auto"/>
              </w:rPr>
            </w:pPr>
          </w:p>
        </w:tc>
        <w:tc>
          <w:tcPr>
            <w:tcW w:w="2500" w:type="dxa"/>
            <w:vAlign w:val="bottom"/>
          </w:tcPr>
          <w:p>
            <w:pPr>
              <w:spacing w:after="0"/>
              <w:rPr>
                <w:sz w:val="4"/>
                <w:szCs w:val="4"/>
                <w:color w:val="auto"/>
              </w:rPr>
            </w:pPr>
          </w:p>
        </w:tc>
        <w:tc>
          <w:tcPr>
            <w:tcW w:w="700" w:type="dxa"/>
            <w:vAlign w:val="bottom"/>
          </w:tcPr>
          <w:p>
            <w:pPr>
              <w:spacing w:after="0"/>
              <w:rPr>
                <w:sz w:val="4"/>
                <w:szCs w:val="4"/>
                <w:color w:val="auto"/>
              </w:rPr>
            </w:pPr>
          </w:p>
        </w:tc>
        <w:tc>
          <w:tcPr>
            <w:tcW w:w="340" w:type="dxa"/>
            <w:vAlign w:val="bottom"/>
          </w:tcPr>
          <w:p>
            <w:pPr>
              <w:spacing w:after="0"/>
              <w:rPr>
                <w:sz w:val="4"/>
                <w:szCs w:val="4"/>
                <w:color w:val="auto"/>
              </w:rPr>
            </w:pPr>
          </w:p>
        </w:tc>
        <w:tc>
          <w:tcPr>
            <w:tcW w:w="120" w:type="dxa"/>
            <w:vAlign w:val="bottom"/>
          </w:tcPr>
          <w:p>
            <w:pPr>
              <w:spacing w:after="0"/>
              <w:rPr>
                <w:sz w:val="4"/>
                <w:szCs w:val="4"/>
                <w:color w:val="auto"/>
              </w:rPr>
            </w:pPr>
          </w:p>
        </w:tc>
        <w:tc>
          <w:tcPr>
            <w:tcW w:w="1040" w:type="dxa"/>
            <w:vAlign w:val="bottom"/>
          </w:tcPr>
          <w:p>
            <w:pPr>
              <w:spacing w:after="0"/>
              <w:rPr>
                <w:sz w:val="4"/>
                <w:szCs w:val="4"/>
                <w:color w:val="auto"/>
              </w:rPr>
            </w:pPr>
          </w:p>
        </w:tc>
        <w:tc>
          <w:tcPr>
            <w:tcW w:w="120" w:type="dxa"/>
            <w:vAlign w:val="bottom"/>
          </w:tcPr>
          <w:p>
            <w:pPr>
              <w:spacing w:after="0"/>
              <w:rPr>
                <w:sz w:val="4"/>
                <w:szCs w:val="4"/>
                <w:color w:val="auto"/>
              </w:rPr>
            </w:pPr>
          </w:p>
        </w:tc>
        <w:tc>
          <w:tcPr>
            <w:tcW w:w="1040" w:type="dxa"/>
            <w:vAlign w:val="bottom"/>
          </w:tcPr>
          <w:p>
            <w:pPr>
              <w:spacing w:after="0"/>
              <w:rPr>
                <w:sz w:val="4"/>
                <w:szCs w:val="4"/>
                <w:color w:val="auto"/>
              </w:rPr>
            </w:pPr>
          </w:p>
        </w:tc>
        <w:tc>
          <w:tcPr>
            <w:tcW w:w="140" w:type="dxa"/>
            <w:vAlign w:val="bottom"/>
          </w:tcPr>
          <w:p>
            <w:pPr>
              <w:spacing w:after="0"/>
              <w:rPr>
                <w:sz w:val="4"/>
                <w:szCs w:val="4"/>
                <w:color w:val="auto"/>
              </w:rPr>
            </w:pPr>
          </w:p>
        </w:tc>
        <w:tc>
          <w:tcPr>
            <w:tcW w:w="1020" w:type="dxa"/>
            <w:vAlign w:val="bottom"/>
          </w:tcPr>
          <w:p>
            <w:pPr>
              <w:spacing w:after="0"/>
              <w:rPr>
                <w:sz w:val="4"/>
                <w:szCs w:val="4"/>
                <w:color w:val="auto"/>
              </w:rPr>
            </w:pPr>
          </w:p>
        </w:tc>
        <w:tc>
          <w:tcPr>
            <w:tcW w:w="100" w:type="dxa"/>
            <w:vAlign w:val="bottom"/>
          </w:tcPr>
          <w:p>
            <w:pPr>
              <w:spacing w:after="0"/>
              <w:rPr>
                <w:sz w:val="4"/>
                <w:szCs w:val="4"/>
                <w:color w:val="auto"/>
              </w:rPr>
            </w:pPr>
          </w:p>
        </w:tc>
        <w:tc>
          <w:tcPr>
            <w:tcW w:w="1020" w:type="dxa"/>
            <w:vAlign w:val="bottom"/>
          </w:tcPr>
          <w:p>
            <w:pPr>
              <w:spacing w:after="0"/>
              <w:rPr>
                <w:sz w:val="4"/>
                <w:szCs w:val="4"/>
                <w:color w:val="auto"/>
              </w:rPr>
            </w:pPr>
          </w:p>
        </w:tc>
        <w:tc>
          <w:tcPr>
            <w:tcW w:w="100" w:type="dxa"/>
            <w:vAlign w:val="bottom"/>
          </w:tcPr>
          <w:p>
            <w:pPr>
              <w:spacing w:after="0"/>
              <w:rPr>
                <w:sz w:val="4"/>
                <w:szCs w:val="4"/>
                <w:color w:val="auto"/>
              </w:rPr>
            </w:pPr>
          </w:p>
        </w:tc>
        <w:tc>
          <w:tcPr>
            <w:tcW w:w="1020" w:type="dxa"/>
            <w:vAlign w:val="bottom"/>
          </w:tcPr>
          <w:p>
            <w:pPr>
              <w:spacing w:after="0"/>
              <w:rPr>
                <w:sz w:val="4"/>
                <w:szCs w:val="4"/>
                <w:color w:val="auto"/>
              </w:rPr>
            </w:pPr>
          </w:p>
        </w:tc>
        <w:tc>
          <w:tcPr>
            <w:tcW w:w="100" w:type="dxa"/>
            <w:vAlign w:val="bottom"/>
          </w:tcPr>
          <w:p>
            <w:pPr>
              <w:spacing w:after="0"/>
              <w:rPr>
                <w:sz w:val="4"/>
                <w:szCs w:val="4"/>
                <w:color w:val="auto"/>
              </w:rPr>
            </w:pPr>
          </w:p>
        </w:tc>
        <w:tc>
          <w:tcPr>
            <w:tcW w:w="1020" w:type="dxa"/>
            <w:vAlign w:val="bottom"/>
          </w:tcPr>
          <w:p>
            <w:pPr>
              <w:spacing w:after="0"/>
              <w:rPr>
                <w:sz w:val="4"/>
                <w:szCs w:val="4"/>
                <w:color w:val="auto"/>
              </w:rPr>
            </w:pPr>
          </w:p>
        </w:tc>
      </w:tr>
      <w:tr>
        <w:trPr>
          <w:trHeight w:val="270"/>
        </w:trPr>
        <w:tc>
          <w:tcPr>
            <w:tcW w:w="3540" w:type="dxa"/>
            <w:vAlign w:val="bottom"/>
            <w:tcBorders>
              <w:bottom w:val="single" w:sz="8" w:color="CCEEFF"/>
            </w:tcBorders>
            <w:gridSpan w:val="6"/>
            <w:shd w:val="clear" w:color="auto" w:fill="CCEEFF"/>
          </w:tcPr>
          <w:p>
            <w:pPr>
              <w:ind w:left="40"/>
              <w:spacing w:after="0"/>
              <w:rPr>
                <w:sz w:val="20"/>
                <w:szCs w:val="20"/>
                <w:color w:val="auto"/>
              </w:rPr>
            </w:pPr>
            <w:r>
              <w:rPr>
                <w:rFonts w:ascii="Arial" w:cs="Arial" w:eastAsia="Arial" w:hAnsi="Arial"/>
                <w:sz w:val="18"/>
                <w:szCs w:val="18"/>
                <w:color w:val="auto"/>
              </w:rPr>
              <w:t>CRJ900</w:t>
            </w:r>
          </w:p>
        </w:tc>
        <w:tc>
          <w:tcPr>
            <w:tcW w:w="700" w:type="dxa"/>
            <w:vAlign w:val="bottom"/>
            <w:tcBorders>
              <w:bottom w:val="single" w:sz="8" w:color="CCEEFF"/>
            </w:tcBorders>
            <w:shd w:val="clear" w:color="auto" w:fill="CCEEFF"/>
          </w:tcPr>
          <w:p>
            <w:pPr>
              <w:spacing w:after="0"/>
              <w:rPr>
                <w:sz w:val="23"/>
                <w:szCs w:val="23"/>
                <w:color w:val="auto"/>
              </w:rPr>
            </w:pPr>
          </w:p>
        </w:tc>
        <w:tc>
          <w:tcPr>
            <w:tcW w:w="3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3</w:t>
            </w:r>
          </w:p>
        </w:tc>
        <w:tc>
          <w:tcPr>
            <w:tcW w:w="120" w:type="dxa"/>
            <w:vAlign w:val="bottom"/>
            <w:tcBorders>
              <w:bottom w:val="single" w:sz="8" w:color="CCEEFF"/>
            </w:tcBorders>
            <w:shd w:val="clear" w:color="auto" w:fill="CCEEFF"/>
          </w:tcPr>
          <w:p>
            <w:pPr>
              <w:spacing w:after="0"/>
              <w:rPr>
                <w:sz w:val="23"/>
                <w:szCs w:val="23"/>
                <w:color w:val="auto"/>
              </w:rPr>
            </w:pPr>
          </w:p>
        </w:tc>
        <w:tc>
          <w:tcPr>
            <w:tcW w:w="116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1180" w:type="dxa"/>
            <w:vAlign w:val="bottom"/>
            <w:tcBorders>
              <w:bottom w:val="single" w:sz="8" w:color="CCEEFF"/>
            </w:tcBorders>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11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12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12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02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3</w:t>
            </w:r>
          </w:p>
        </w:tc>
      </w:tr>
      <w:tr>
        <w:trPr>
          <w:trHeight w:val="237"/>
        </w:trPr>
        <w:tc>
          <w:tcPr>
            <w:tcW w:w="40" w:type="dxa"/>
            <w:vAlign w:val="bottom"/>
          </w:tcPr>
          <w:p>
            <w:pPr>
              <w:spacing w:after="0"/>
              <w:rPr>
                <w:sz w:val="20"/>
                <w:szCs w:val="20"/>
                <w:color w:val="auto"/>
              </w:rPr>
            </w:pPr>
          </w:p>
        </w:tc>
        <w:tc>
          <w:tcPr>
            <w:tcW w:w="3500" w:type="dxa"/>
            <w:vAlign w:val="bottom"/>
            <w:gridSpan w:val="5"/>
          </w:tcPr>
          <w:p>
            <w:pPr>
              <w:ind w:left="140"/>
              <w:spacing w:after="0"/>
              <w:rPr>
                <w:sz w:val="20"/>
                <w:szCs w:val="20"/>
                <w:color w:val="auto"/>
              </w:rPr>
            </w:pPr>
            <w:r>
              <w:rPr>
                <w:rFonts w:ascii="Arial" w:cs="Arial" w:eastAsia="Arial" w:hAnsi="Arial"/>
                <w:sz w:val="18"/>
                <w:szCs w:val="18"/>
                <w:color w:val="auto"/>
              </w:rPr>
              <w:t>Total</w:t>
            </w:r>
          </w:p>
        </w:tc>
        <w:tc>
          <w:tcPr>
            <w:tcW w:w="700" w:type="dxa"/>
            <w:vAlign w:val="bottom"/>
            <w:tcBorders>
              <w:top w:val="single" w:sz="8" w:color="auto"/>
            </w:tcBorders>
          </w:tcPr>
          <w:p>
            <w:pPr>
              <w:spacing w:after="0"/>
              <w:rPr>
                <w:sz w:val="20"/>
                <w:szCs w:val="20"/>
                <w:color w:val="auto"/>
              </w:rPr>
            </w:pPr>
          </w:p>
        </w:tc>
        <w:tc>
          <w:tcPr>
            <w:tcW w:w="34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w w:val="99"/>
              </w:rPr>
              <w:t>69</w:t>
            </w:r>
          </w:p>
        </w:tc>
        <w:tc>
          <w:tcPr>
            <w:tcW w:w="120" w:type="dxa"/>
            <w:vAlign w:val="bottom"/>
          </w:tcPr>
          <w:p>
            <w:pPr>
              <w:spacing w:after="0"/>
              <w:rPr>
                <w:sz w:val="20"/>
                <w:szCs w:val="20"/>
                <w:color w:val="auto"/>
              </w:rPr>
            </w:pPr>
          </w:p>
        </w:tc>
        <w:tc>
          <w:tcPr>
            <w:tcW w:w="1040" w:type="dxa"/>
            <w:vAlign w:val="bottom"/>
            <w:tcBorders>
              <w:top w:val="single" w:sz="8" w:color="auto"/>
            </w:tcBorders>
          </w:tcPr>
          <w:p>
            <w:pPr>
              <w:jc w:val="right"/>
              <w:ind w:right="33"/>
              <w:spacing w:after="0"/>
              <w:rPr>
                <w:sz w:val="20"/>
                <w:szCs w:val="20"/>
                <w:color w:val="auto"/>
              </w:rPr>
            </w:pPr>
            <w:r>
              <w:rPr>
                <w:rFonts w:ascii="Arial" w:cs="Arial" w:eastAsia="Arial" w:hAnsi="Arial"/>
                <w:sz w:val="18"/>
                <w:szCs w:val="18"/>
                <w:color w:val="auto"/>
              </w:rPr>
              <w:t>39</w:t>
            </w:r>
          </w:p>
        </w:tc>
        <w:tc>
          <w:tcPr>
            <w:tcW w:w="120" w:type="dxa"/>
            <w:vAlign w:val="bottom"/>
          </w:tcPr>
          <w:p>
            <w:pPr>
              <w:spacing w:after="0"/>
              <w:rPr>
                <w:sz w:val="20"/>
                <w:szCs w:val="20"/>
                <w:color w:val="auto"/>
              </w:rPr>
            </w:pPr>
          </w:p>
        </w:tc>
        <w:tc>
          <w:tcPr>
            <w:tcW w:w="1040" w:type="dxa"/>
            <w:vAlign w:val="bottom"/>
            <w:tcBorders>
              <w:top w:val="single" w:sz="8" w:color="auto"/>
            </w:tcBorders>
          </w:tcPr>
          <w:p>
            <w:pPr>
              <w:jc w:val="right"/>
              <w:ind w:right="33"/>
              <w:spacing w:after="0"/>
              <w:rPr>
                <w:sz w:val="20"/>
                <w:szCs w:val="20"/>
                <w:color w:val="auto"/>
              </w:rPr>
            </w:pPr>
            <w:r>
              <w:rPr>
                <w:rFonts w:ascii="Arial" w:cs="Arial" w:eastAsia="Arial" w:hAnsi="Arial"/>
                <w:sz w:val="18"/>
                <w:szCs w:val="18"/>
                <w:color w:val="auto"/>
              </w:rPr>
              <w:t>25</w:t>
            </w:r>
          </w:p>
        </w:tc>
        <w:tc>
          <w:tcPr>
            <w:tcW w:w="140" w:type="dxa"/>
            <w:vAlign w:val="bottom"/>
          </w:tcPr>
          <w:p>
            <w:pPr>
              <w:spacing w:after="0"/>
              <w:rPr>
                <w:sz w:val="20"/>
                <w:szCs w:val="20"/>
                <w:color w:val="auto"/>
              </w:rPr>
            </w:pPr>
          </w:p>
        </w:tc>
        <w:tc>
          <w:tcPr>
            <w:tcW w:w="1020" w:type="dxa"/>
            <w:vAlign w:val="bottom"/>
            <w:tcBorders>
              <w:top w:val="single" w:sz="8" w:color="auto"/>
            </w:tcBorders>
          </w:tcPr>
          <w:p>
            <w:pPr>
              <w:jc w:val="right"/>
              <w:ind w:right="33"/>
              <w:spacing w:after="0"/>
              <w:rPr>
                <w:sz w:val="20"/>
                <w:szCs w:val="20"/>
                <w:color w:val="auto"/>
              </w:rPr>
            </w:pPr>
            <w:r>
              <w:rPr>
                <w:rFonts w:ascii="Arial" w:cs="Arial" w:eastAsia="Arial" w:hAnsi="Arial"/>
                <w:sz w:val="18"/>
                <w:szCs w:val="18"/>
                <w:color w:val="auto"/>
              </w:rPr>
              <w:t>14</w:t>
            </w:r>
          </w:p>
        </w:tc>
        <w:tc>
          <w:tcPr>
            <w:tcW w:w="100" w:type="dxa"/>
            <w:vAlign w:val="bottom"/>
          </w:tcPr>
          <w:p>
            <w:pPr>
              <w:spacing w:after="0"/>
              <w:rPr>
                <w:sz w:val="20"/>
                <w:szCs w:val="20"/>
                <w:color w:val="auto"/>
              </w:rPr>
            </w:pPr>
          </w:p>
        </w:tc>
        <w:tc>
          <w:tcPr>
            <w:tcW w:w="1020" w:type="dxa"/>
            <w:vAlign w:val="bottom"/>
            <w:tcBorders>
              <w:top w:val="single" w:sz="8" w:color="auto"/>
            </w:tcBorders>
          </w:tcPr>
          <w:p>
            <w:pPr>
              <w:jc w:val="right"/>
              <w:ind w:right="13"/>
              <w:spacing w:after="0"/>
              <w:rPr>
                <w:sz w:val="20"/>
                <w:szCs w:val="20"/>
                <w:color w:val="auto"/>
              </w:rPr>
            </w:pPr>
            <w:r>
              <w:rPr>
                <w:rFonts w:ascii="Arial" w:cs="Arial" w:eastAsia="Arial" w:hAnsi="Arial"/>
                <w:sz w:val="18"/>
                <w:szCs w:val="18"/>
                <w:color w:val="auto"/>
              </w:rPr>
              <w:t>28</w:t>
            </w:r>
          </w:p>
        </w:tc>
        <w:tc>
          <w:tcPr>
            <w:tcW w:w="100" w:type="dxa"/>
            <w:vAlign w:val="bottom"/>
          </w:tcPr>
          <w:p>
            <w:pPr>
              <w:spacing w:after="0"/>
              <w:rPr>
                <w:sz w:val="20"/>
                <w:szCs w:val="20"/>
                <w:color w:val="auto"/>
              </w:rPr>
            </w:pPr>
          </w:p>
        </w:tc>
        <w:tc>
          <w:tcPr>
            <w:tcW w:w="1020" w:type="dxa"/>
            <w:vAlign w:val="bottom"/>
            <w:tcBorders>
              <w:top w:val="single" w:sz="8" w:color="auto"/>
            </w:tcBorders>
          </w:tcPr>
          <w:p>
            <w:pPr>
              <w:jc w:val="right"/>
              <w:ind w:right="14"/>
              <w:spacing w:after="0"/>
              <w:rPr>
                <w:sz w:val="20"/>
                <w:szCs w:val="20"/>
                <w:color w:val="auto"/>
              </w:rPr>
            </w:pPr>
            <w:r>
              <w:rPr>
                <w:rFonts w:ascii="Arial" w:cs="Arial" w:eastAsia="Arial" w:hAnsi="Arial"/>
                <w:sz w:val="18"/>
                <w:szCs w:val="18"/>
                <w:color w:val="auto"/>
              </w:rPr>
              <w:t>73</w:t>
            </w:r>
          </w:p>
        </w:tc>
        <w:tc>
          <w:tcPr>
            <w:tcW w:w="100" w:type="dxa"/>
            <w:vAlign w:val="bottom"/>
          </w:tcPr>
          <w:p>
            <w:pPr>
              <w:spacing w:after="0"/>
              <w:rPr>
                <w:sz w:val="20"/>
                <w:szCs w:val="20"/>
                <w:color w:val="auto"/>
              </w:rPr>
            </w:pPr>
          </w:p>
        </w:tc>
        <w:tc>
          <w:tcPr>
            <w:tcW w:w="1020" w:type="dxa"/>
            <w:vAlign w:val="bottom"/>
            <w:tcBorders>
              <w:top w:val="single" w:sz="8" w:color="auto"/>
            </w:tcBorders>
          </w:tcPr>
          <w:p>
            <w:pPr>
              <w:jc w:val="right"/>
              <w:ind w:right="13"/>
              <w:spacing w:after="0"/>
              <w:rPr>
                <w:sz w:val="20"/>
                <w:szCs w:val="20"/>
                <w:color w:val="auto"/>
              </w:rPr>
            </w:pPr>
            <w:r>
              <w:rPr>
                <w:rFonts w:ascii="Arial" w:cs="Arial" w:eastAsia="Arial" w:hAnsi="Arial"/>
                <w:sz w:val="18"/>
                <w:szCs w:val="18"/>
                <w:color w:val="auto"/>
              </w:rPr>
              <w:t>248</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171450</wp:posOffset>
            </wp:positionV>
            <wp:extent cx="1337945" cy="889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1337945" cy="8890"/>
                    </a:xfrm>
                    <a:prstGeom prst="rect">
                      <a:avLst/>
                    </a:prstGeom>
                    <a:noFill/>
                  </pic:spPr>
                </pic:pic>
              </a:graphicData>
            </a:graphic>
          </wp:anchor>
        </w:drawing>
      </w:r>
    </w:p>
    <w:p>
      <w:pPr>
        <w:spacing w:after="0" w:line="344" w:lineRule="exact"/>
        <w:rPr>
          <w:sz w:val="20"/>
          <w:szCs w:val="20"/>
          <w:color w:val="auto"/>
        </w:rPr>
      </w:pPr>
    </w:p>
    <w:p>
      <w:pPr>
        <w:ind w:left="580" w:hanging="329"/>
        <w:spacing w:after="0" w:line="225" w:lineRule="auto"/>
        <w:tabs>
          <w:tab w:leader="none" w:pos="580" w:val="left"/>
        </w:tabs>
        <w:numPr>
          <w:ilvl w:val="0"/>
          <w:numId w:val="15"/>
        </w:numPr>
        <w:rPr>
          <w:rFonts w:ascii="Arial" w:cs="Arial" w:eastAsia="Arial" w:hAnsi="Arial"/>
          <w:sz w:val="22"/>
          <w:szCs w:val="22"/>
          <w:color w:val="auto"/>
          <w:vertAlign w:val="superscript"/>
        </w:rPr>
      </w:pPr>
      <w:r>
        <w:rPr>
          <w:rFonts w:ascii="Arial" w:cs="Arial" w:eastAsia="Arial" w:hAnsi="Arial"/>
          <w:sz w:val="18"/>
          <w:szCs w:val="18"/>
          <w:color w:val="auto"/>
        </w:rPr>
        <w:t>Delivery schedule represents our best estimate as of the date of this report. Actual delivery dates are subject to change based on many potential factors including production delays by the manufacturer.</w:t>
      </w:r>
    </w:p>
    <w:p>
      <w:pPr>
        <w:spacing w:after="0" w:line="163" w:lineRule="exact"/>
        <w:rPr>
          <w:rFonts w:ascii="Arial" w:cs="Arial" w:eastAsia="Arial" w:hAnsi="Arial"/>
          <w:sz w:val="22"/>
          <w:szCs w:val="22"/>
          <w:color w:val="auto"/>
          <w:vertAlign w:val="superscript"/>
        </w:rPr>
      </w:pPr>
    </w:p>
    <w:p>
      <w:pPr>
        <w:jc w:val="both"/>
        <w:ind w:left="580" w:hanging="329"/>
        <w:spacing w:after="0"/>
        <w:tabs>
          <w:tab w:leader="none" w:pos="580" w:val="left"/>
        </w:tabs>
        <w:numPr>
          <w:ilvl w:val="0"/>
          <w:numId w:val="15"/>
        </w:numPr>
        <w:rPr>
          <w:rFonts w:ascii="Arial" w:cs="Arial" w:eastAsia="Arial" w:hAnsi="Arial"/>
          <w:sz w:val="22"/>
          <w:szCs w:val="22"/>
          <w:color w:val="auto"/>
          <w:vertAlign w:val="superscript"/>
        </w:rPr>
      </w:pPr>
      <w:r>
        <w:rPr>
          <w:rFonts w:ascii="Arial" w:cs="Arial" w:eastAsia="Arial" w:hAnsi="Arial"/>
          <w:sz w:val="18"/>
          <w:szCs w:val="18"/>
          <w:color w:val="auto"/>
        </w:rPr>
        <w:t>In October 2019, the Office of the U.S. Trade Representative announced a 10% tariff on new Airbus aircraft imported from Europe. Effective March 18, 2020, this tariff rate will increase to 15%. We are evaluating the impact of this tariff on our future Airbus deliveries. See Part I, Item 1A. Risk Factors - “</w:t>
      </w:r>
      <w:r>
        <w:rPr>
          <w:rFonts w:ascii="Arial" w:cs="Arial" w:eastAsia="Arial" w:hAnsi="Arial"/>
          <w:sz w:val="18"/>
          <w:szCs w:val="18"/>
          <w:i w:val="1"/>
          <w:iCs w:val="1"/>
          <w:color w:val="auto"/>
        </w:rPr>
        <w:t>We operate a global business with international operations that are subject to economic and political</w:t>
      </w:r>
      <w:r>
        <w:rPr>
          <w:rFonts w:ascii="Arial" w:cs="Arial" w:eastAsia="Arial" w:hAnsi="Arial"/>
          <w:sz w:val="18"/>
          <w:szCs w:val="18"/>
          <w:color w:val="auto"/>
        </w:rPr>
        <w:t xml:space="preserve"> </w:t>
      </w:r>
      <w:r>
        <w:rPr>
          <w:rFonts w:ascii="Arial" w:cs="Arial" w:eastAsia="Arial" w:hAnsi="Arial"/>
          <w:sz w:val="18"/>
          <w:szCs w:val="18"/>
          <w:i w:val="1"/>
          <w:iCs w:val="1"/>
          <w:color w:val="auto"/>
        </w:rPr>
        <w:t>instability and have been, and in the future may continue to be, adversely affected by numerous events, circumstances or government actions beyond our control.</w:t>
      </w:r>
      <w:r>
        <w:rPr>
          <w:rFonts w:ascii="Arial" w:cs="Arial" w:eastAsia="Arial" w:hAnsi="Arial"/>
          <w:sz w:val="18"/>
          <w:szCs w:val="18"/>
          <w:color w:val="auto"/>
        </w:rPr>
        <w:t>”</w:t>
      </w:r>
    </w:p>
    <w:p>
      <w:pPr>
        <w:spacing w:after="0" w:line="161" w:lineRule="exact"/>
        <w:rPr>
          <w:rFonts w:ascii="Arial" w:cs="Arial" w:eastAsia="Arial" w:hAnsi="Arial"/>
          <w:sz w:val="22"/>
          <w:szCs w:val="22"/>
          <w:color w:val="auto"/>
          <w:vertAlign w:val="superscript"/>
        </w:rPr>
      </w:pPr>
    </w:p>
    <w:p>
      <w:pPr>
        <w:jc w:val="both"/>
        <w:ind w:left="580" w:hanging="329"/>
        <w:spacing w:after="0" w:line="242" w:lineRule="auto"/>
        <w:tabs>
          <w:tab w:leader="none" w:pos="580" w:val="left"/>
        </w:tabs>
        <w:numPr>
          <w:ilvl w:val="0"/>
          <w:numId w:val="15"/>
        </w:numPr>
        <w:rPr>
          <w:rFonts w:ascii="Arial" w:cs="Arial" w:eastAsia="Arial" w:hAnsi="Arial"/>
          <w:sz w:val="22"/>
          <w:szCs w:val="22"/>
          <w:color w:val="auto"/>
          <w:vertAlign w:val="superscript"/>
        </w:rPr>
      </w:pPr>
      <w:r>
        <w:rPr>
          <w:rFonts w:ascii="Arial" w:cs="Arial" w:eastAsia="Arial" w:hAnsi="Arial"/>
          <w:sz w:val="18"/>
          <w:szCs w:val="18"/>
          <w:color w:val="auto"/>
        </w:rPr>
        <w:t>On March 13, 2019, a directive from the FAA grounded all U.S.-registered Boeing 737 MAX aircraft. We currently have 76 Boeing 737 MAX Family aircraft on order and we have not taken delivery of any Boeing 737 MAX Family aircraft since the grounding. The extent of the delay to the scheduled deliveries of the Boeing 737 MAX aircraft included in the table above is expected to be impacted by the length of time the FAA order remains in place, Boeing's production rate and the pace at which Boeing can deliver aircraft following the lifting of the FAA order, among other factors. The above table reflects our estimate of future Boeing 737 MAX aircraft deliveries based on information currently available to us; however, the actual delivery schedule may differ from the table above, potentially materially.</w:t>
      </w:r>
    </w:p>
    <w:p>
      <w:pPr>
        <w:spacing w:after="0" w:line="160" w:lineRule="exact"/>
        <w:rPr>
          <w:sz w:val="20"/>
          <w:szCs w:val="20"/>
          <w:color w:val="auto"/>
        </w:rPr>
      </w:pPr>
    </w:p>
    <w:p>
      <w:pPr>
        <w:ind w:left="300"/>
        <w:spacing w:after="0"/>
        <w:rPr>
          <w:sz w:val="20"/>
          <w:szCs w:val="20"/>
          <w:color w:val="auto"/>
        </w:rPr>
      </w:pPr>
      <w:r>
        <w:rPr>
          <w:rFonts w:ascii="Arial" w:cs="Arial" w:eastAsia="Arial" w:hAnsi="Arial"/>
          <w:sz w:val="18"/>
          <w:szCs w:val="18"/>
          <w:color w:val="auto"/>
        </w:rPr>
        <w:t>We also have agreements for 34 spare engines to be delivered in 2020 and beyond.</w:t>
      </w:r>
    </w:p>
    <w:p>
      <w:pPr>
        <w:spacing w:after="0" w:line="171" w:lineRule="exact"/>
        <w:rPr>
          <w:sz w:val="20"/>
          <w:szCs w:val="20"/>
          <w:color w:val="auto"/>
        </w:rPr>
      </w:pPr>
    </w:p>
    <w:p>
      <w:pPr>
        <w:jc w:val="both"/>
        <w:ind w:firstLine="243"/>
        <w:spacing w:after="0" w:line="252" w:lineRule="auto"/>
        <w:rPr>
          <w:sz w:val="20"/>
          <w:szCs w:val="20"/>
          <w:color w:val="auto"/>
        </w:rPr>
      </w:pPr>
      <w:r>
        <w:rPr>
          <w:rFonts w:ascii="Arial" w:cs="Arial" w:eastAsia="Arial" w:hAnsi="Arial"/>
          <w:sz w:val="18"/>
          <w:szCs w:val="18"/>
          <w:color w:val="auto"/>
        </w:rPr>
        <w:t>We currently have financing commitments in place for all aircraft on order and scheduled to be delivered through May 2020. Our ability to draw on the financing commitments we have in place is subject to the satisfaction of various terms and conditions, including in some cases, on our acquisition of the aircraft by a certain date. We do not have financing commitments in place for four aircraft scheduled to be delivered in 2020: two Airbus A320neo Family aircraft and two Boeing 737 MAX Family aircraft. We also do not have financing commitments in place for any of the aircraft scheduled to be delivered beyond 2020, except for 10 Boeing 787 Family aircraft scheduled to be delivered in 2021. See Part I, Item 1A. Risk Factors –</w:t>
      </w:r>
      <w:r>
        <w:rPr>
          <w:rFonts w:ascii="Arial" w:cs="Arial" w:eastAsia="Arial" w:hAnsi="Arial"/>
          <w:sz w:val="18"/>
          <w:szCs w:val="18"/>
          <w:i w:val="1"/>
          <w:iCs w:val="1"/>
          <w:color w:val="auto"/>
        </w:rPr>
        <w:t>“We will need to obtain sufficient financing or other capital to operate successfully”</w:t>
      </w:r>
      <w:r>
        <w:rPr>
          <w:rFonts w:ascii="Arial" w:cs="Arial" w:eastAsia="Arial" w:hAnsi="Arial"/>
          <w:sz w:val="18"/>
          <w:szCs w:val="18"/>
          <w:color w:val="auto"/>
        </w:rPr>
        <w:t xml:space="preserve"> for additional discussion.</w:t>
      </w:r>
    </w:p>
    <w:p>
      <w:pPr>
        <w:spacing w:after="0" w:line="155" w:lineRule="exact"/>
        <w:rPr>
          <w:sz w:val="20"/>
          <w:szCs w:val="20"/>
          <w:color w:val="auto"/>
        </w:rPr>
      </w:pPr>
    </w:p>
    <w:p>
      <w:pPr>
        <w:jc w:val="both"/>
        <w:ind w:firstLine="243"/>
        <w:spacing w:after="0" w:line="262" w:lineRule="auto"/>
        <w:rPr>
          <w:sz w:val="20"/>
          <w:szCs w:val="20"/>
          <w:color w:val="auto"/>
        </w:rPr>
      </w:pPr>
      <w:r>
        <w:rPr>
          <w:rFonts w:ascii="Arial" w:cs="Arial" w:eastAsia="Arial" w:hAnsi="Arial"/>
          <w:sz w:val="18"/>
          <w:szCs w:val="18"/>
          <w:color w:val="auto"/>
        </w:rPr>
        <w:t>See Note 12 to AAG’s Consolidated Financial Statements in Part II, Item 8A and Note 10 to American’s Consolidated Financial Statements in Part II, Item 8B for additional information on aircraft and engine acquisition commitments.</w:t>
      </w:r>
    </w:p>
    <w:p>
      <w:pPr>
        <w:spacing w:after="0" w:line="19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39</w:t>
      </w:r>
    </w:p>
    <w:p>
      <w:pPr>
        <w:sectPr>
          <w:pgSz w:w="11900" w:h="16838" w:orient="portrait"/>
          <w:cols w:equalWidth="0" w:num="1">
            <w:col w:w="11420"/>
          </w:cols>
          <w:pgMar w:left="240" w:top="792" w:right="239" w:bottom="1440" w:gutter="0" w:footer="0" w:header="0"/>
        </w:sectPr>
      </w:pPr>
    </w:p>
    <w:bookmarkStart w:id="39" w:name="page40"/>
    <w:bookmarkEnd w:id="39"/>
    <w:p>
      <w:pPr>
        <w:spacing w:after="0"/>
        <w:rPr>
          <w:sz w:val="20"/>
          <w:szCs w:val="20"/>
          <w:color w:val="auto"/>
        </w:rPr>
      </w:pPr>
      <w:r>
        <w:rPr>
          <w:rFonts w:ascii="Arial" w:cs="Arial" w:eastAsia="Arial" w:hAnsi="Arial"/>
          <w:sz w:val="18"/>
          <w:szCs w:val="18"/>
          <w:b w:val="1"/>
          <w:bCs w:val="1"/>
          <w:color w:val="auto"/>
        </w:rPr>
        <w:t>Ground Properties</w:t>
      </w:r>
    </w:p>
    <w:p>
      <w:pPr>
        <w:spacing w:after="0" w:line="112" w:lineRule="exact"/>
        <w:rPr>
          <w:sz w:val="20"/>
          <w:szCs w:val="20"/>
          <w:color w:val="auto"/>
        </w:rPr>
      </w:pPr>
    </w:p>
    <w:p>
      <w:pPr>
        <w:jc w:val="both"/>
        <w:ind w:firstLine="243"/>
        <w:spacing w:after="0" w:line="253" w:lineRule="auto"/>
        <w:rPr>
          <w:sz w:val="20"/>
          <w:szCs w:val="20"/>
          <w:color w:val="auto"/>
        </w:rPr>
      </w:pPr>
      <w:r>
        <w:rPr>
          <w:rFonts w:ascii="Arial" w:cs="Arial" w:eastAsia="Arial" w:hAnsi="Arial"/>
          <w:sz w:val="18"/>
          <w:szCs w:val="18"/>
          <w:color w:val="auto"/>
        </w:rPr>
        <w:t>At each airport where we conduct flight operations, we have agreements, generally with a governmental unit or authority, for the use of passenger, operations and baggage handling space as well as runways and taxiways. These agreements, particularly in the U.S., often contain provisions for periodic adjustments to rates and charges applicable under such agreements. These rates and charges also vary with our level of operations and the operations of the airport. Additionally, at our hub locations and in certain other cities we serve, we lease administrative offices, catering, cargo, training, maintenance and other facilities.</w:t>
      </w:r>
    </w:p>
    <w:p>
      <w:pPr>
        <w:spacing w:after="0" w:line="152" w:lineRule="exact"/>
        <w:rPr>
          <w:sz w:val="20"/>
          <w:szCs w:val="20"/>
          <w:color w:val="auto"/>
        </w:rPr>
      </w:pPr>
    </w:p>
    <w:p>
      <w:pPr>
        <w:jc w:val="both"/>
        <w:ind w:firstLine="243"/>
        <w:spacing w:after="0" w:line="256" w:lineRule="auto"/>
        <w:rPr>
          <w:sz w:val="20"/>
          <w:szCs w:val="20"/>
          <w:color w:val="auto"/>
        </w:rPr>
      </w:pPr>
      <w:r>
        <w:rPr>
          <w:rFonts w:ascii="Arial" w:cs="Arial" w:eastAsia="Arial" w:hAnsi="Arial"/>
          <w:sz w:val="18"/>
          <w:szCs w:val="18"/>
          <w:color w:val="auto"/>
        </w:rPr>
        <w:t>We lease or have built on leased property our headquarters and training facilities in Fort Worth, Texas, our principal overhaul and maintenance base in Tulsa, Oklahoma, our regional reservation offices, and administrative offices throughout the U.S. and abroad. Construction was completed in 2019 on our new headquarters on the corporate campus in Fort Worth, Texas.</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3. LEGAL PROCEEDINGS</w:t>
      </w:r>
    </w:p>
    <w:p>
      <w:pPr>
        <w:spacing w:after="0" w:line="94" w:lineRule="exact"/>
        <w:rPr>
          <w:sz w:val="20"/>
          <w:szCs w:val="20"/>
          <w:color w:val="auto"/>
        </w:rPr>
      </w:pPr>
    </w:p>
    <w:p>
      <w:pPr>
        <w:jc w:val="both"/>
        <w:ind w:firstLine="216"/>
        <w:spacing w:after="0" w:line="258" w:lineRule="auto"/>
        <w:rPr>
          <w:sz w:val="20"/>
          <w:szCs w:val="20"/>
          <w:color w:val="auto"/>
        </w:rPr>
      </w:pPr>
      <w:r>
        <w:rPr>
          <w:rFonts w:ascii="Arial" w:cs="Arial" w:eastAsia="Arial" w:hAnsi="Arial"/>
          <w:sz w:val="18"/>
          <w:szCs w:val="18"/>
          <w:i w:val="1"/>
          <w:iCs w:val="1"/>
          <w:color w:val="auto"/>
        </w:rPr>
        <w:t>Chapter 11 Cases</w:t>
      </w:r>
      <w:r>
        <w:rPr>
          <w:rFonts w:ascii="Arial" w:cs="Arial" w:eastAsia="Arial" w:hAnsi="Arial"/>
          <w:sz w:val="18"/>
          <w:szCs w:val="18"/>
          <w:color w:val="auto"/>
        </w:rPr>
        <w:t>. On November 29, 2011, AMR, American, and certain of AMR’s other direct and indirect domestic subsidiaries (the</w:t>
      </w:r>
      <w:r>
        <w:rPr>
          <w:rFonts w:ascii="Arial" w:cs="Arial" w:eastAsia="Arial" w:hAnsi="Arial"/>
          <w:sz w:val="18"/>
          <w:szCs w:val="18"/>
          <w:i w:val="1"/>
          <w:iCs w:val="1"/>
          <w:color w:val="auto"/>
        </w:rPr>
        <w:t xml:space="preserve"> </w:t>
      </w:r>
      <w:r>
        <w:rPr>
          <w:rFonts w:ascii="Arial" w:cs="Arial" w:eastAsia="Arial" w:hAnsi="Arial"/>
          <w:sz w:val="18"/>
          <w:szCs w:val="18"/>
          <w:color w:val="auto"/>
        </w:rPr>
        <w:t>Debtors) filed voluntary petitions for relief under Chapter 11 of the United States Bankruptcy Code in the United States Bankruptcy Court for the Southern District of New York (the Bankruptcy Court). On October 21, 2013, the Bankruptcy Court entered an order approving and confirming the Debtors’ fourth amended joint plan of reorganization (as amended, the Plan). On the Effective Date, December 9, 2013, the Debtors consummated their reorganization pursuant to the Plan and completed the Merger.</w:t>
      </w:r>
    </w:p>
    <w:p>
      <w:pPr>
        <w:spacing w:after="0" w:line="148" w:lineRule="exact"/>
        <w:rPr>
          <w:sz w:val="20"/>
          <w:szCs w:val="20"/>
          <w:color w:val="auto"/>
        </w:rPr>
      </w:pPr>
    </w:p>
    <w:p>
      <w:pPr>
        <w:jc w:val="both"/>
        <w:ind w:firstLine="216"/>
        <w:spacing w:after="0" w:line="251" w:lineRule="auto"/>
        <w:rPr>
          <w:sz w:val="20"/>
          <w:szCs w:val="20"/>
          <w:color w:val="auto"/>
        </w:rPr>
      </w:pPr>
      <w:r>
        <w:rPr>
          <w:rFonts w:ascii="Arial" w:cs="Arial" w:eastAsia="Arial" w:hAnsi="Arial"/>
          <w:sz w:val="18"/>
          <w:szCs w:val="18"/>
          <w:color w:val="auto"/>
        </w:rPr>
        <w:t>Pursuant to rulings of the Bankruptcy Court, the Plan established the Disputed Claims Reserve to hold shares of AAG common stock reserved for issuance to disputed claimholders at the Effective Date that ultimately become holders of allowed claims. The shares of AAG common stock issued to the Disputed Claims Reserve were originally issued on December 13, 2013 and have at all times since been included in the number of shares issued and outstanding as reported from time to time in our quarterly and annual reports, including for purposes of calculating earnings per common share. As disputed claims are resolved, the claimants receive distributions of shares from the Disputed Claims Reserve. However, we are not required to distribute additional shares above the limits contemplated by the Plan, even if the shares remaining for distribution in the Disputed Claims Reserve are not sufficient to fully pay any additional allowed unsecured claims. To the extent that any of the reserved shares remain undistributed upon resolution of all remaining disputed claims, such shares will not be returned to us but rather will be distributed to former AMR stockholders and former convertible noteholders treated as stockholders under the Plan. As of December 31, 2019, the Disputed Claims Reserve held approximately 7 million shares of AAG common stock.</w:t>
      </w:r>
    </w:p>
    <w:p>
      <w:pPr>
        <w:spacing w:after="0" w:line="140" w:lineRule="exact"/>
        <w:rPr>
          <w:sz w:val="20"/>
          <w:szCs w:val="20"/>
          <w:color w:val="auto"/>
        </w:rPr>
      </w:pPr>
    </w:p>
    <w:p>
      <w:pPr>
        <w:jc w:val="both"/>
        <w:ind w:firstLine="216"/>
        <w:spacing w:after="0" w:line="255" w:lineRule="auto"/>
        <w:rPr>
          <w:sz w:val="20"/>
          <w:szCs w:val="20"/>
          <w:color w:val="auto"/>
        </w:rPr>
      </w:pPr>
      <w:r>
        <w:rPr>
          <w:rFonts w:ascii="Arial" w:cs="Arial" w:eastAsia="Arial" w:hAnsi="Arial"/>
          <w:sz w:val="18"/>
          <w:szCs w:val="18"/>
          <w:i w:val="1"/>
          <w:iCs w:val="1"/>
          <w:color w:val="auto"/>
        </w:rPr>
        <w:t xml:space="preserve">Private Party Antitrust Action Related to Passenger Capacity. </w:t>
      </w:r>
      <w:r>
        <w:rPr>
          <w:rFonts w:ascii="Arial" w:cs="Arial" w:eastAsia="Arial" w:hAnsi="Arial"/>
          <w:sz w:val="18"/>
          <w:szCs w:val="18"/>
          <w:color w:val="auto"/>
        </w:rPr>
        <w:t>We, along with Delta Air Lines, Inc., Southwest Airlines Co., United Airlines,</w:t>
      </w:r>
      <w:r>
        <w:rPr>
          <w:rFonts w:ascii="Arial" w:cs="Arial" w:eastAsia="Arial" w:hAnsi="Arial"/>
          <w:sz w:val="18"/>
          <w:szCs w:val="18"/>
          <w:i w:val="1"/>
          <w:iCs w:val="1"/>
          <w:color w:val="auto"/>
        </w:rPr>
        <w:t xml:space="preserve"> </w:t>
      </w:r>
      <w:r>
        <w:rPr>
          <w:rFonts w:ascii="Arial" w:cs="Arial" w:eastAsia="Arial" w:hAnsi="Arial"/>
          <w:sz w:val="18"/>
          <w:szCs w:val="18"/>
          <w:color w:val="auto"/>
        </w:rPr>
        <w:t>Inc. and, in the case of litigation filed in Canada, Air Canada, were named as defendants in approximately 100 putative class action lawsuits alleging unlawful agreements with respect to air passenger capacity. The U.S. lawsuits were consolidated in the Federal District Court for the District of Columbia (the DC Court). On June 15, 2018, we reached a settlement agreement with the plaintiffs in the amount of $45 million to resolve all class claims in the U.S. lawsuits. That settlement was approved by the DC Court on May 13, 2019. Three parties who objected to the settlement have appealed that decision to the United States Court of Appeals for the District of Columbia. We believe these appeals are without merit and intend to vigorously defend against them.</w:t>
      </w:r>
    </w:p>
    <w:p>
      <w:pPr>
        <w:spacing w:after="0" w:line="135" w:lineRule="exact"/>
        <w:rPr>
          <w:sz w:val="20"/>
          <w:szCs w:val="20"/>
          <w:color w:val="auto"/>
        </w:rPr>
      </w:pPr>
    </w:p>
    <w:p>
      <w:pPr>
        <w:jc w:val="both"/>
        <w:ind w:firstLine="216"/>
        <w:spacing w:after="0" w:line="255" w:lineRule="auto"/>
        <w:rPr>
          <w:sz w:val="20"/>
          <w:szCs w:val="20"/>
          <w:color w:val="auto"/>
        </w:rPr>
      </w:pPr>
      <w:r>
        <w:rPr>
          <w:rFonts w:ascii="Arial" w:cs="Arial" w:eastAsia="Arial" w:hAnsi="Arial"/>
          <w:sz w:val="18"/>
          <w:szCs w:val="18"/>
          <w:i w:val="1"/>
          <w:iCs w:val="1"/>
          <w:color w:val="auto"/>
        </w:rPr>
        <w:t>Private Party Antitrust Action Related to the Merger</w:t>
      </w:r>
      <w:r>
        <w:rPr>
          <w:rFonts w:ascii="Arial" w:cs="Arial" w:eastAsia="Arial" w:hAnsi="Arial"/>
          <w:sz w:val="18"/>
          <w:szCs w:val="18"/>
          <w:color w:val="auto"/>
        </w:rPr>
        <w:t>. On August 6, 2013, a lawsuit captioned Carolyn Fjord, et al., v. AMR Corporation, et al.,</w:t>
      </w:r>
      <w:r>
        <w:rPr>
          <w:rFonts w:ascii="Arial" w:cs="Arial" w:eastAsia="Arial" w:hAnsi="Arial"/>
          <w:sz w:val="18"/>
          <w:szCs w:val="18"/>
          <w:i w:val="1"/>
          <w:iCs w:val="1"/>
          <w:color w:val="auto"/>
        </w:rPr>
        <w:t xml:space="preserve"> </w:t>
      </w:r>
      <w:r>
        <w:rPr>
          <w:rFonts w:ascii="Arial" w:cs="Arial" w:eastAsia="Arial" w:hAnsi="Arial"/>
          <w:sz w:val="18"/>
          <w:szCs w:val="18"/>
          <w:color w:val="auto"/>
        </w:rPr>
        <w:t>was filed in the Bankruptcy Court. The complaint named as defendants US Airways Group, US Airways, AMR and American, alleged that the effect of the Merger may be to create a monopoly in violation of Section 7 of the Clayton Antitrust Act, and sought injunctive relief and/or divestiture. On November 27, 2013, the Bankruptcy Court denied plaintiffs’ motion to preliminarily enjoin the Merger. On August 29, 2018, the Bankruptcy Court denied in part defendants' motion for summary judgment, and fully denied plaintiffs' cross-motion for summary judgment. The parties' evidentiary cases were presented before the Bankruptcy Court in a bench trial in March 2019. The parties submitted proposed findings of fact and conclusions of law and made closing arguments in April 2019, and we are awaiting the Bankruptcy Court's decision. We believe this lawsuit is without merit and intend to vigorously defend against the allegations.</w:t>
      </w:r>
    </w:p>
    <w:p>
      <w:pPr>
        <w:spacing w:after="0" w:line="131" w:lineRule="exact"/>
        <w:rPr>
          <w:sz w:val="20"/>
          <w:szCs w:val="20"/>
          <w:color w:val="auto"/>
        </w:rPr>
      </w:pPr>
    </w:p>
    <w:p>
      <w:pPr>
        <w:jc w:val="both"/>
        <w:ind w:firstLine="162"/>
        <w:spacing w:after="0" w:line="258" w:lineRule="auto"/>
        <w:rPr>
          <w:sz w:val="20"/>
          <w:szCs w:val="20"/>
          <w:color w:val="auto"/>
        </w:rPr>
      </w:pPr>
      <w:r>
        <w:rPr>
          <w:rFonts w:ascii="Arial" w:cs="Arial" w:eastAsia="Arial" w:hAnsi="Arial"/>
          <w:sz w:val="18"/>
          <w:szCs w:val="18"/>
          <w:i w:val="1"/>
          <w:iCs w:val="1"/>
          <w:color w:val="auto"/>
        </w:rPr>
        <w:t xml:space="preserve">Pension Benefits Action. </w:t>
      </w:r>
      <w:r>
        <w:rPr>
          <w:rFonts w:ascii="Arial" w:cs="Arial" w:eastAsia="Arial" w:hAnsi="Arial"/>
          <w:sz w:val="18"/>
          <w:szCs w:val="18"/>
          <w:color w:val="auto"/>
        </w:rPr>
        <w:t>On December 11, 2018, a lawsuit captioned Torres, et al. v. American Airlines, Inc., The Employee Benefits</w:t>
      </w:r>
      <w:r>
        <w:rPr>
          <w:rFonts w:ascii="Arial" w:cs="Arial" w:eastAsia="Arial" w:hAnsi="Arial"/>
          <w:sz w:val="18"/>
          <w:szCs w:val="18"/>
          <w:i w:val="1"/>
          <w:iCs w:val="1"/>
          <w:color w:val="auto"/>
        </w:rPr>
        <w:t xml:space="preserve"> </w:t>
      </w:r>
      <w:r>
        <w:rPr>
          <w:rFonts w:ascii="Arial" w:cs="Arial" w:eastAsia="Arial" w:hAnsi="Arial"/>
          <w:sz w:val="18"/>
          <w:szCs w:val="18"/>
          <w:color w:val="auto"/>
        </w:rPr>
        <w:t>Committee and John/Jane Does 1-5, was filed in the United States District Court for the Northern District of Texas. The plaintiffs in this lawsuit purport to represent a class consisting of all participants in and beneficiaries under any of the four American defined benefit pension plans who elected to receive an optional form of benefit other than a lump sum distribution of a participant’s vested benefit. Under the Employee Retirement Income Security Act (ERISA), participants</w:t>
      </w:r>
    </w:p>
    <w:p>
      <w:pPr>
        <w:spacing w:after="0" w:line="20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40</w:t>
      </w:r>
    </w:p>
    <w:p>
      <w:pPr>
        <w:sectPr>
          <w:pgSz w:w="11900" w:h="16838" w:orient="portrait"/>
          <w:cols w:equalWidth="0" w:num="1">
            <w:col w:w="11420"/>
          </w:cols>
          <w:pgMar w:left="240" w:top="792" w:right="239" w:bottom="1440" w:gutter="0" w:footer="0" w:header="0"/>
        </w:sectPr>
      </w:pPr>
    </w:p>
    <w:bookmarkStart w:id="40" w:name="page41"/>
    <w:bookmarkEnd w:id="40"/>
    <w:p>
      <w:pPr>
        <w:jc w:val="both"/>
        <w:spacing w:after="0" w:line="253" w:lineRule="auto"/>
        <w:rPr>
          <w:sz w:val="20"/>
          <w:szCs w:val="20"/>
          <w:color w:val="auto"/>
        </w:rPr>
      </w:pPr>
      <w:r>
        <w:rPr>
          <w:rFonts w:ascii="Arial" w:cs="Arial" w:eastAsia="Arial" w:hAnsi="Arial"/>
          <w:sz w:val="18"/>
          <w:szCs w:val="18"/>
          <w:color w:val="auto"/>
        </w:rPr>
        <w:t>covered by defined benefit plans accrue retirement benefits in the form of a single life annuity payable upon retirement on a monthly basis until the employee’s death, and may elect certain alternative forms of benefit payments. Plaintiffs contend that the mortality tables used by American for purposes of calculations related to these alternative forms of benefits are outdated and that more recent mortality tables would have provided more generous benefits and should have been used to make those calculations. The court has denied our motion to dismiss the complaint. We believe this lawsuit is without merit and intend to vigorously defend against the allegations.</w:t>
      </w:r>
    </w:p>
    <w:p>
      <w:pPr>
        <w:spacing w:after="0" w:line="134" w:lineRule="exact"/>
        <w:rPr>
          <w:sz w:val="20"/>
          <w:szCs w:val="20"/>
          <w:color w:val="auto"/>
        </w:rPr>
      </w:pPr>
    </w:p>
    <w:p>
      <w:pPr>
        <w:jc w:val="both"/>
        <w:ind w:firstLine="216"/>
        <w:spacing w:after="0" w:line="257" w:lineRule="auto"/>
        <w:rPr>
          <w:sz w:val="20"/>
          <w:szCs w:val="20"/>
          <w:color w:val="auto"/>
        </w:rPr>
      </w:pPr>
      <w:r>
        <w:rPr>
          <w:rFonts w:ascii="Arial" w:cs="Arial" w:eastAsia="Arial" w:hAnsi="Arial"/>
          <w:sz w:val="18"/>
          <w:szCs w:val="18"/>
          <w:i w:val="1"/>
          <w:iCs w:val="1"/>
          <w:color w:val="auto"/>
        </w:rPr>
        <w:t>General</w:t>
      </w:r>
      <w:r>
        <w:rPr>
          <w:rFonts w:ascii="Arial" w:cs="Arial" w:eastAsia="Arial" w:hAnsi="Arial"/>
          <w:sz w:val="18"/>
          <w:szCs w:val="18"/>
          <w:color w:val="auto"/>
        </w:rPr>
        <w:t>. In addition to the specifically identified legal proceedings, we and our subsidiaries are also engaged in other legal proceedings from</w:t>
      </w:r>
      <w:r>
        <w:rPr>
          <w:rFonts w:ascii="Arial" w:cs="Arial" w:eastAsia="Arial" w:hAnsi="Arial"/>
          <w:sz w:val="18"/>
          <w:szCs w:val="18"/>
          <w:i w:val="1"/>
          <w:iCs w:val="1"/>
          <w:color w:val="auto"/>
        </w:rPr>
        <w:t xml:space="preserve"> </w:t>
      </w:r>
      <w:r>
        <w:rPr>
          <w:rFonts w:ascii="Arial" w:cs="Arial" w:eastAsia="Arial" w:hAnsi="Arial"/>
          <w:sz w:val="18"/>
          <w:szCs w:val="18"/>
          <w:color w:val="auto"/>
        </w:rPr>
        <w:t>time to time. Legal proceedings can be complex and take many months, or even years, to reach resolution, with the final outcome depending on a number of variables, some of which are not within our control. Therefore, although we will vigorously defend ourselves in each of the actions described above and such other legal proceedings, their ultimate resolution and potential financial and other impacts on us are uncertain but could be material. See Part I, Item 1A. Risk Factors –</w:t>
      </w:r>
      <w:r>
        <w:rPr>
          <w:rFonts w:ascii="Arial" w:cs="Arial" w:eastAsia="Arial" w:hAnsi="Arial"/>
          <w:sz w:val="18"/>
          <w:szCs w:val="18"/>
          <w:i w:val="1"/>
          <w:iCs w:val="1"/>
          <w:color w:val="auto"/>
        </w:rPr>
        <w:t>“We may be a party to litigation in the normal course of business or</w:t>
      </w:r>
      <w:r>
        <w:rPr>
          <w:rFonts w:ascii="Arial" w:cs="Arial" w:eastAsia="Arial" w:hAnsi="Arial"/>
          <w:sz w:val="18"/>
          <w:szCs w:val="18"/>
          <w:color w:val="auto"/>
        </w:rPr>
        <w:t xml:space="preserve"> </w:t>
      </w:r>
      <w:r>
        <w:rPr>
          <w:rFonts w:ascii="Arial" w:cs="Arial" w:eastAsia="Arial" w:hAnsi="Arial"/>
          <w:sz w:val="18"/>
          <w:szCs w:val="18"/>
          <w:i w:val="1"/>
          <w:iCs w:val="1"/>
          <w:color w:val="auto"/>
        </w:rPr>
        <w:t xml:space="preserve">otherwise, which could affect our financial position and liquidity” </w:t>
      </w:r>
      <w:r>
        <w:rPr>
          <w:rFonts w:ascii="Arial" w:cs="Arial" w:eastAsia="Arial" w:hAnsi="Arial"/>
          <w:sz w:val="18"/>
          <w:szCs w:val="18"/>
          <w:color w:val="auto"/>
        </w:rPr>
        <w:t>for additional discussion.</w:t>
      </w:r>
    </w:p>
    <w:p>
      <w:pPr>
        <w:spacing w:after="0" w:line="20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4. MINE SAFETY DISCLOSURES</w:t>
      </w:r>
    </w:p>
    <w:p>
      <w:pPr>
        <w:spacing w:after="0" w:line="112" w:lineRule="exact"/>
        <w:rPr>
          <w:sz w:val="20"/>
          <w:szCs w:val="20"/>
          <w:color w:val="auto"/>
        </w:rPr>
      </w:pPr>
    </w:p>
    <w:p>
      <w:pPr>
        <w:ind w:left="220"/>
        <w:spacing w:after="0"/>
        <w:rPr>
          <w:sz w:val="20"/>
          <w:szCs w:val="20"/>
          <w:color w:val="auto"/>
        </w:rPr>
      </w:pPr>
      <w:r>
        <w:rPr>
          <w:rFonts w:ascii="Arial" w:cs="Arial" w:eastAsia="Arial" w:hAnsi="Arial"/>
          <w:sz w:val="18"/>
          <w:szCs w:val="18"/>
          <w:color w:val="auto"/>
        </w:rPr>
        <w:t>Not Applicable.</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41</w:t>
      </w:r>
    </w:p>
    <w:p>
      <w:pPr>
        <w:sectPr>
          <w:pgSz w:w="11900" w:h="16838" w:orient="portrait"/>
          <w:cols w:equalWidth="0" w:num="1">
            <w:col w:w="11420"/>
          </w:cols>
          <w:pgMar w:left="240" w:top="733" w:right="239" w:bottom="1440" w:gutter="0" w:footer="0" w:header="0"/>
        </w:sectPr>
      </w:pPr>
    </w:p>
    <w:bookmarkStart w:id="41" w:name="page42"/>
    <w:bookmarkEnd w:id="41"/>
    <w:p>
      <w:pPr>
        <w:jc w:val="center"/>
        <w:ind w:right="-19"/>
        <w:spacing w:after="0"/>
        <w:rPr>
          <w:sz w:val="20"/>
          <w:szCs w:val="20"/>
          <w:color w:val="auto"/>
        </w:rPr>
      </w:pPr>
      <w:r>
        <w:rPr>
          <w:rFonts w:ascii="Arial" w:cs="Arial" w:eastAsia="Arial" w:hAnsi="Arial"/>
          <w:sz w:val="18"/>
          <w:szCs w:val="18"/>
          <w:b w:val="1"/>
          <w:bCs w:val="1"/>
          <w:color w:val="auto"/>
        </w:rPr>
        <w:t>PART II</w:t>
      </w:r>
    </w:p>
    <w:p>
      <w:pPr>
        <w:spacing w:after="0" w:line="252" w:lineRule="exact"/>
        <w:rPr>
          <w:sz w:val="20"/>
          <w:szCs w:val="20"/>
          <w:color w:val="auto"/>
        </w:rPr>
      </w:pPr>
    </w:p>
    <w:p>
      <w:pPr>
        <w:ind w:left="900" w:right="520" w:hanging="890"/>
        <w:spacing w:after="0" w:line="287" w:lineRule="auto"/>
        <w:tabs>
          <w:tab w:leader="none" w:pos="880" w:val="left"/>
        </w:tabs>
        <w:rPr>
          <w:sz w:val="20"/>
          <w:szCs w:val="20"/>
          <w:color w:val="auto"/>
        </w:rPr>
      </w:pPr>
      <w:r>
        <w:rPr>
          <w:rFonts w:ascii="Arial" w:cs="Arial" w:eastAsia="Arial" w:hAnsi="Arial"/>
          <w:sz w:val="18"/>
          <w:szCs w:val="18"/>
          <w:b w:val="1"/>
          <w:bCs w:val="1"/>
          <w:color w:val="auto"/>
        </w:rPr>
        <w:t>ITEM 5.</w:t>
        <w:tab/>
        <w:t>MARKET FOR AMERICAN AIRLINES GROUP’S COMMON STOCK, RELATED STOCKHOLDER MATTERS AND ISSUER PURCHASES OF EQUITY SECURITIES</w:t>
      </w:r>
    </w:p>
    <w:p>
      <w:pPr>
        <w:spacing w:after="0" w:line="1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Stock Exchange Listing</w:t>
      </w:r>
    </w:p>
    <w:p>
      <w:pPr>
        <w:spacing w:after="0" w:line="112" w:lineRule="exact"/>
        <w:rPr>
          <w:sz w:val="20"/>
          <w:szCs w:val="20"/>
          <w:color w:val="auto"/>
        </w:rPr>
      </w:pPr>
    </w:p>
    <w:p>
      <w:pPr>
        <w:jc w:val="both"/>
        <w:ind w:right="20" w:firstLine="216"/>
        <w:spacing w:after="0" w:line="262" w:lineRule="auto"/>
        <w:rPr>
          <w:sz w:val="20"/>
          <w:szCs w:val="20"/>
          <w:color w:val="auto"/>
        </w:rPr>
      </w:pPr>
      <w:r>
        <w:rPr>
          <w:rFonts w:ascii="Arial" w:cs="Arial" w:eastAsia="Arial" w:hAnsi="Arial"/>
          <w:sz w:val="18"/>
          <w:szCs w:val="18"/>
          <w:color w:val="auto"/>
        </w:rPr>
        <w:t>Our common stock is listed on The Nasdaq Global Select Market under the symbol “AAL.” There is no trading market for the common stock of American, which is a wholly-owned subsidiary of AAG.</w:t>
      </w:r>
    </w:p>
    <w:p>
      <w:pPr>
        <w:spacing w:after="0" w:line="142" w:lineRule="exact"/>
        <w:rPr>
          <w:sz w:val="20"/>
          <w:szCs w:val="20"/>
          <w:color w:val="auto"/>
        </w:rPr>
      </w:pPr>
    </w:p>
    <w:p>
      <w:pPr>
        <w:jc w:val="both"/>
        <w:ind w:firstLine="216"/>
        <w:spacing w:after="0" w:line="256" w:lineRule="auto"/>
        <w:rPr>
          <w:sz w:val="20"/>
          <w:szCs w:val="20"/>
          <w:color w:val="auto"/>
        </w:rPr>
      </w:pPr>
      <w:r>
        <w:rPr>
          <w:rFonts w:ascii="Arial" w:cs="Arial" w:eastAsia="Arial" w:hAnsi="Arial"/>
          <w:sz w:val="18"/>
          <w:szCs w:val="18"/>
          <w:color w:val="auto"/>
        </w:rPr>
        <w:t>As of February 14, 2020, the closing price of our common stock was $29.20 and there were 12,995 holders of record. However, because many of the shares of our common stock are held by brokers and other institutions on behalf of stockholders, we believe there are substantially more beneficial holders of our common stock than record holders.</w:t>
      </w:r>
    </w:p>
    <w:p>
      <w:pPr>
        <w:spacing w:after="0" w:line="148" w:lineRule="exact"/>
        <w:rPr>
          <w:sz w:val="20"/>
          <w:szCs w:val="20"/>
          <w:color w:val="auto"/>
        </w:rPr>
      </w:pPr>
    </w:p>
    <w:p>
      <w:pPr>
        <w:jc w:val="both"/>
        <w:ind w:firstLine="216"/>
        <w:spacing w:after="0" w:line="256" w:lineRule="auto"/>
        <w:rPr>
          <w:sz w:val="20"/>
          <w:szCs w:val="20"/>
          <w:color w:val="auto"/>
        </w:rPr>
      </w:pPr>
      <w:r>
        <w:rPr>
          <w:rFonts w:ascii="Arial" w:cs="Arial" w:eastAsia="Arial" w:hAnsi="Arial"/>
          <w:sz w:val="18"/>
          <w:szCs w:val="18"/>
          <w:color w:val="auto"/>
        </w:rPr>
        <w:t>Information on securities authorized for issuance under our equity compensation plans will be set forth in our Proxy Statement for the 2020 Annual Meeting of Stockholders of American Airlines Group Inc. (the Proxy Statement) under the caption “Equity Compensation Plan Information” and is incorporated by reference into this Annual Report on Form 10-K.</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Dividends on Common Stock</w:t>
      </w:r>
    </w:p>
    <w:p>
      <w:pPr>
        <w:spacing w:after="0" w:line="112" w:lineRule="exact"/>
        <w:rPr>
          <w:sz w:val="20"/>
          <w:szCs w:val="20"/>
          <w:color w:val="auto"/>
        </w:rPr>
      </w:pPr>
    </w:p>
    <w:p>
      <w:pPr>
        <w:jc w:val="both"/>
        <w:ind w:firstLine="216"/>
        <w:spacing w:after="0" w:line="262" w:lineRule="auto"/>
        <w:rPr>
          <w:sz w:val="20"/>
          <w:szCs w:val="20"/>
          <w:color w:val="auto"/>
        </w:rPr>
      </w:pPr>
      <w:r>
        <w:rPr>
          <w:rFonts w:ascii="Arial" w:cs="Arial" w:eastAsia="Arial" w:hAnsi="Arial"/>
          <w:sz w:val="18"/>
          <w:szCs w:val="18"/>
          <w:color w:val="auto"/>
        </w:rPr>
        <w:t>In January 2020, we announced that our Board of Directors declared a $0.10 per share cash dividend for stockholders of record on February 5, 2020, and payable on February 19, 2020.</w:t>
      </w:r>
    </w:p>
    <w:p>
      <w:pPr>
        <w:spacing w:after="0" w:line="142" w:lineRule="exact"/>
        <w:rPr>
          <w:sz w:val="20"/>
          <w:szCs w:val="20"/>
          <w:color w:val="auto"/>
        </w:rPr>
      </w:pPr>
    </w:p>
    <w:p>
      <w:pPr>
        <w:jc w:val="both"/>
        <w:ind w:firstLine="216"/>
        <w:spacing w:after="0" w:line="254" w:lineRule="auto"/>
        <w:rPr>
          <w:sz w:val="20"/>
          <w:szCs w:val="20"/>
          <w:color w:val="auto"/>
        </w:rPr>
      </w:pPr>
      <w:r>
        <w:rPr>
          <w:rFonts w:ascii="Arial" w:cs="Arial" w:eastAsia="Arial" w:hAnsi="Arial"/>
          <w:sz w:val="18"/>
          <w:szCs w:val="18"/>
          <w:color w:val="auto"/>
        </w:rPr>
        <w:t>The total cash payment for dividends during the years ended December 31, 2019 and 2018 was $178 million and $186 million, respectively. Any future dividends that may be declared and paid from time to time will be subject to market and economic conditions, applicable legal requirements and other relevant factors. We are not obligated to continue a dividend for any fixed period, and the payment of dividends may be suspended or discontinued at any time at our discretion and without prior notice.</w:t>
      </w:r>
    </w:p>
    <w:p>
      <w:pPr>
        <w:spacing w:after="0" w:line="20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Stock Performance Graph</w:t>
      </w:r>
    </w:p>
    <w:p>
      <w:pPr>
        <w:spacing w:after="0" w:line="94" w:lineRule="exact"/>
        <w:rPr>
          <w:sz w:val="20"/>
          <w:szCs w:val="20"/>
          <w:color w:val="auto"/>
        </w:rPr>
      </w:pPr>
    </w:p>
    <w:p>
      <w:pPr>
        <w:jc w:val="both"/>
        <w:ind w:firstLine="243"/>
        <w:spacing w:after="0" w:line="266" w:lineRule="auto"/>
        <w:rPr>
          <w:sz w:val="20"/>
          <w:szCs w:val="20"/>
          <w:color w:val="auto"/>
        </w:rPr>
      </w:pPr>
      <w:r>
        <w:rPr>
          <w:rFonts w:ascii="Arial" w:cs="Arial" w:eastAsia="Arial" w:hAnsi="Arial"/>
          <w:sz w:val="18"/>
          <w:szCs w:val="18"/>
          <w:i w:val="1"/>
          <w:iCs w:val="1"/>
          <w:color w:val="auto"/>
        </w:rPr>
        <w:t>The following stock performance graph and related information shall not be deemed “soliciting material” or “filed” with the Securities and Exchange Commission, nor shall such information be incorporated by reference into any future filings under the Securities Act of 1933 or the Exchange Act, each as amended, except to the extent that we specifically incorporate it by reference into such filing.</w:t>
      </w:r>
    </w:p>
    <w:p>
      <w:pPr>
        <w:spacing w:after="0" w:line="140" w:lineRule="exact"/>
        <w:rPr>
          <w:sz w:val="20"/>
          <w:szCs w:val="20"/>
          <w:color w:val="auto"/>
        </w:rPr>
      </w:pPr>
    </w:p>
    <w:p>
      <w:pPr>
        <w:jc w:val="both"/>
        <w:ind w:firstLine="216"/>
        <w:spacing w:after="0" w:line="253" w:lineRule="auto"/>
        <w:rPr>
          <w:sz w:val="20"/>
          <w:szCs w:val="20"/>
          <w:color w:val="auto"/>
        </w:rPr>
      </w:pPr>
      <w:r>
        <w:rPr>
          <w:rFonts w:ascii="Arial" w:cs="Arial" w:eastAsia="Arial" w:hAnsi="Arial"/>
          <w:sz w:val="18"/>
          <w:szCs w:val="18"/>
          <w:color w:val="auto"/>
        </w:rPr>
        <w:t>The following stock performance graph compares the cumulative total stockholder returns during the period from December 31, 2014 to December 31, 2019 of our common stock to the New York Stock Exchange (NYSE) ARCA Airline Index and the Standard and Poor’s (S&amp;P) 500 Stock Index. The comparison assumes $100 was invested on December 31, 2014 in our common stock and in each of the foregoing indices and assumes that all dividends were reinvested. The stock performance shown on the following graph represents historical stock performance and is not necessarily indicative of future stock price performance.</w:t>
      </w:r>
    </w:p>
    <w:p>
      <w:pPr>
        <w:spacing w:after="0" w:line="36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42</w:t>
      </w:r>
    </w:p>
    <w:p>
      <w:pPr>
        <w:sectPr>
          <w:pgSz w:w="11900" w:h="16838" w:orient="portrait"/>
          <w:cols w:equalWidth="0" w:num="1">
            <w:col w:w="11420"/>
          </w:cols>
          <w:pgMar w:left="240" w:top="549" w:right="239" w:bottom="1440" w:gutter="0" w:footer="0" w:header="0"/>
        </w:sectPr>
      </w:pPr>
    </w:p>
    <w:bookmarkStart w:id="42" w:name="page43"/>
    <w:bookmarkEnd w:id="42"/>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860425</wp:posOffset>
            </wp:positionH>
            <wp:positionV relativeFrom="page">
              <wp:posOffset>363220</wp:posOffset>
            </wp:positionV>
            <wp:extent cx="5848985" cy="289877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clrChange>
                        <a:clrFrom>
                          <a:srgbClr val="FFFFFF"/>
                        </a:clrFrom>
                        <a:clrTo>
                          <a:srgbClr val="FFFFFF">
                            <a:alpha val="0"/>
                          </a:srgbClr>
                        </a:clrTo>
                      </a:clrChange>
                      <a:extLst>
                        <a:ext uri="{28A0092B-C50C-407E-A947-70E740481C1C}"/>
                      </a:extLst>
                    </a:blip>
                    <a:srcRect/>
                    <a:stretch>
                      <a:fillRect/>
                    </a:stretch>
                  </pic:blipFill>
                  <pic:spPr bwMode="auto">
                    <a:xfrm>
                      <a:off x="0" y="0"/>
                      <a:ext cx="5848985" cy="289877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2" w:lineRule="exact"/>
        <w:rPr>
          <w:sz w:val="20"/>
          <w:szCs w:val="20"/>
          <w:color w:val="auto"/>
        </w:rPr>
      </w:pPr>
    </w:p>
    <w:tbl>
      <w:tblPr>
        <w:tblLayout w:type="fixed"/>
        <w:tblInd w:w="0" w:type="dxa"/>
        <w:tblCellMar>
          <w:top w:w="0" w:type="dxa"/>
          <w:left w:w="0" w:type="dxa"/>
          <w:bottom w:w="0" w:type="dxa"/>
          <w:right w:w="0" w:type="dxa"/>
        </w:tblCellMar>
      </w:tblPr>
      <w:tr>
        <w:trPr>
          <w:trHeight w:val="196"/>
        </w:trPr>
        <w:tc>
          <w:tcPr>
            <w:tcW w:w="4000" w:type="dxa"/>
            <w:vAlign w:val="bottom"/>
            <w:tcBorders>
              <w:bottom w:val="single" w:sz="8" w:color="CCEEFF"/>
            </w:tcBorders>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980" w:type="dxa"/>
            <w:vAlign w:val="bottom"/>
            <w:tcBorders>
              <w:bottom w:val="single" w:sz="8" w:color="auto"/>
            </w:tcBorders>
          </w:tcPr>
          <w:p>
            <w:pPr>
              <w:jc w:val="right"/>
              <w:ind w:right="134"/>
              <w:spacing w:after="0"/>
              <w:rPr>
                <w:sz w:val="20"/>
                <w:szCs w:val="20"/>
                <w:color w:val="auto"/>
              </w:rPr>
            </w:pPr>
            <w:r>
              <w:rPr>
                <w:rFonts w:ascii="Arial" w:cs="Arial" w:eastAsia="Arial" w:hAnsi="Arial"/>
                <w:sz w:val="14"/>
                <w:szCs w:val="14"/>
                <w:b w:val="1"/>
                <w:bCs w:val="1"/>
                <w:color w:val="auto"/>
              </w:rPr>
              <w:t>12/31/2014</w:t>
            </w:r>
          </w:p>
        </w:tc>
        <w:tc>
          <w:tcPr>
            <w:tcW w:w="100" w:type="dxa"/>
            <w:vAlign w:val="bottom"/>
            <w:tcBorders>
              <w:bottom w:val="single" w:sz="8" w:color="CCEEFF"/>
            </w:tcBorders>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980" w:type="dxa"/>
            <w:vAlign w:val="bottom"/>
            <w:tcBorders>
              <w:bottom w:val="single" w:sz="8" w:color="auto"/>
            </w:tcBorders>
          </w:tcPr>
          <w:p>
            <w:pPr>
              <w:jc w:val="right"/>
              <w:ind w:right="134"/>
              <w:spacing w:after="0"/>
              <w:rPr>
                <w:sz w:val="20"/>
                <w:szCs w:val="20"/>
                <w:color w:val="auto"/>
              </w:rPr>
            </w:pPr>
            <w:r>
              <w:rPr>
                <w:rFonts w:ascii="Arial" w:cs="Arial" w:eastAsia="Arial" w:hAnsi="Arial"/>
                <w:sz w:val="14"/>
                <w:szCs w:val="14"/>
                <w:b w:val="1"/>
                <w:bCs w:val="1"/>
                <w:color w:val="auto"/>
              </w:rPr>
              <w:t>12/31/2015</w:t>
            </w:r>
          </w:p>
        </w:tc>
        <w:tc>
          <w:tcPr>
            <w:tcW w:w="100" w:type="dxa"/>
            <w:vAlign w:val="bottom"/>
            <w:tcBorders>
              <w:bottom w:val="single" w:sz="8" w:color="CCEEFF"/>
            </w:tcBorders>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980" w:type="dxa"/>
            <w:vAlign w:val="bottom"/>
            <w:tcBorders>
              <w:bottom w:val="single" w:sz="8" w:color="auto"/>
            </w:tcBorders>
          </w:tcPr>
          <w:p>
            <w:pPr>
              <w:jc w:val="right"/>
              <w:ind w:right="134"/>
              <w:spacing w:after="0"/>
              <w:rPr>
                <w:sz w:val="20"/>
                <w:szCs w:val="20"/>
                <w:color w:val="auto"/>
              </w:rPr>
            </w:pPr>
            <w:r>
              <w:rPr>
                <w:rFonts w:ascii="Arial" w:cs="Arial" w:eastAsia="Arial" w:hAnsi="Arial"/>
                <w:sz w:val="14"/>
                <w:szCs w:val="14"/>
                <w:b w:val="1"/>
                <w:bCs w:val="1"/>
                <w:color w:val="auto"/>
              </w:rPr>
              <w:t>12/31/2016</w:t>
            </w:r>
          </w:p>
        </w:tc>
        <w:tc>
          <w:tcPr>
            <w:tcW w:w="100" w:type="dxa"/>
            <w:vAlign w:val="bottom"/>
            <w:tcBorders>
              <w:bottom w:val="single" w:sz="8" w:color="CCEEFF"/>
            </w:tcBorders>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960" w:type="dxa"/>
            <w:vAlign w:val="bottom"/>
            <w:tcBorders>
              <w:bottom w:val="single" w:sz="8" w:color="auto"/>
            </w:tcBorders>
          </w:tcPr>
          <w:p>
            <w:pPr>
              <w:jc w:val="right"/>
              <w:ind w:right="114"/>
              <w:spacing w:after="0"/>
              <w:rPr>
                <w:sz w:val="20"/>
                <w:szCs w:val="20"/>
                <w:color w:val="auto"/>
              </w:rPr>
            </w:pPr>
            <w:r>
              <w:rPr>
                <w:rFonts w:ascii="Arial" w:cs="Arial" w:eastAsia="Arial" w:hAnsi="Arial"/>
                <w:sz w:val="14"/>
                <w:szCs w:val="14"/>
                <w:b w:val="1"/>
                <w:bCs w:val="1"/>
                <w:color w:val="auto"/>
              </w:rPr>
              <w:t>12/31/2017</w:t>
            </w:r>
          </w:p>
        </w:tc>
        <w:tc>
          <w:tcPr>
            <w:tcW w:w="120" w:type="dxa"/>
            <w:vAlign w:val="bottom"/>
            <w:tcBorders>
              <w:bottom w:val="single" w:sz="8" w:color="CCEEFF"/>
            </w:tcBorders>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980" w:type="dxa"/>
            <w:vAlign w:val="bottom"/>
            <w:tcBorders>
              <w:bottom w:val="single" w:sz="8" w:color="auto"/>
            </w:tcBorders>
          </w:tcPr>
          <w:p>
            <w:pPr>
              <w:jc w:val="right"/>
              <w:ind w:right="114"/>
              <w:spacing w:after="0"/>
              <w:rPr>
                <w:sz w:val="20"/>
                <w:szCs w:val="20"/>
                <w:color w:val="auto"/>
              </w:rPr>
            </w:pPr>
            <w:r>
              <w:rPr>
                <w:rFonts w:ascii="Arial" w:cs="Arial" w:eastAsia="Arial" w:hAnsi="Arial"/>
                <w:sz w:val="14"/>
                <w:szCs w:val="14"/>
                <w:b w:val="1"/>
                <w:bCs w:val="1"/>
                <w:color w:val="auto"/>
              </w:rPr>
              <w:t>12/31/2018</w:t>
            </w:r>
          </w:p>
        </w:tc>
        <w:tc>
          <w:tcPr>
            <w:tcW w:w="120" w:type="dxa"/>
            <w:vAlign w:val="bottom"/>
            <w:tcBorders>
              <w:bottom w:val="single" w:sz="8" w:color="CCEEFF"/>
            </w:tcBorders>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980" w:type="dxa"/>
            <w:vAlign w:val="bottom"/>
            <w:tcBorders>
              <w:bottom w:val="single" w:sz="8" w:color="auto"/>
            </w:tcBorders>
          </w:tcPr>
          <w:p>
            <w:pPr>
              <w:jc w:val="right"/>
              <w:ind w:right="134"/>
              <w:spacing w:after="0"/>
              <w:rPr>
                <w:sz w:val="20"/>
                <w:szCs w:val="20"/>
                <w:color w:val="auto"/>
              </w:rPr>
            </w:pPr>
            <w:r>
              <w:rPr>
                <w:rFonts w:ascii="Arial" w:cs="Arial" w:eastAsia="Arial" w:hAnsi="Arial"/>
                <w:sz w:val="14"/>
                <w:szCs w:val="14"/>
                <w:b w:val="1"/>
                <w:bCs w:val="1"/>
                <w:color w:val="auto"/>
              </w:rPr>
              <w:t>12/31/2019</w:t>
            </w:r>
          </w:p>
        </w:tc>
      </w:tr>
      <w:tr>
        <w:trPr>
          <w:trHeight w:val="256"/>
        </w:trPr>
        <w:tc>
          <w:tcPr>
            <w:tcW w:w="4000" w:type="dxa"/>
            <w:vAlign w:val="bottom"/>
            <w:shd w:val="clear" w:color="auto" w:fill="CCEEFF"/>
          </w:tcPr>
          <w:p>
            <w:pPr>
              <w:ind w:left="40"/>
              <w:spacing w:after="0"/>
              <w:rPr>
                <w:sz w:val="20"/>
                <w:szCs w:val="20"/>
                <w:color w:val="auto"/>
              </w:rPr>
            </w:pPr>
            <w:r>
              <w:rPr>
                <w:rFonts w:ascii="Arial" w:cs="Arial" w:eastAsia="Arial" w:hAnsi="Arial"/>
                <w:sz w:val="18"/>
                <w:szCs w:val="18"/>
                <w:color w:val="auto"/>
              </w:rPr>
              <w:t>American Airlines Group Inc. (AAL)</w:t>
            </w: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980" w:type="dxa"/>
            <w:vAlign w:val="bottom"/>
            <w:shd w:val="clear" w:color="auto" w:fill="CCEEFF"/>
          </w:tcPr>
          <w:p>
            <w:pPr>
              <w:jc w:val="right"/>
              <w:ind w:right="14"/>
              <w:spacing w:after="0"/>
              <w:rPr>
                <w:sz w:val="20"/>
                <w:szCs w:val="20"/>
                <w:color w:val="auto"/>
              </w:rPr>
            </w:pPr>
            <w:r>
              <w:rPr>
                <w:rFonts w:ascii="Arial" w:cs="Arial" w:eastAsia="Arial" w:hAnsi="Arial"/>
                <w:sz w:val="18"/>
                <w:szCs w:val="18"/>
                <w:color w:val="auto"/>
              </w:rPr>
              <w:t>100</w:t>
            </w:r>
          </w:p>
        </w:tc>
        <w:tc>
          <w:tcPr>
            <w:tcW w:w="100" w:type="dxa"/>
            <w:vAlign w:val="bottom"/>
            <w:shd w:val="clear" w:color="auto" w:fill="CCEEFF"/>
          </w:tcPr>
          <w:p>
            <w:pPr>
              <w:spacing w:after="0"/>
              <w:rPr>
                <w:sz w:val="22"/>
                <w:szCs w:val="22"/>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80" w:type="dxa"/>
            <w:vAlign w:val="bottom"/>
            <w:shd w:val="clear" w:color="auto" w:fill="CCEEFF"/>
          </w:tcPr>
          <w:p>
            <w:pPr>
              <w:jc w:val="right"/>
              <w:ind w:right="34"/>
              <w:spacing w:after="0"/>
              <w:rPr>
                <w:sz w:val="20"/>
                <w:szCs w:val="20"/>
                <w:color w:val="auto"/>
              </w:rPr>
            </w:pPr>
            <w:r>
              <w:rPr>
                <w:rFonts w:ascii="Arial" w:cs="Arial" w:eastAsia="Arial" w:hAnsi="Arial"/>
                <w:sz w:val="18"/>
                <w:szCs w:val="18"/>
                <w:color w:val="auto"/>
              </w:rPr>
              <w:t>80</w:t>
            </w:r>
          </w:p>
        </w:tc>
        <w:tc>
          <w:tcPr>
            <w:tcW w:w="100" w:type="dxa"/>
            <w:vAlign w:val="bottom"/>
            <w:shd w:val="clear" w:color="auto" w:fill="CCEEFF"/>
          </w:tcPr>
          <w:p>
            <w:pPr>
              <w:spacing w:after="0"/>
              <w:rPr>
                <w:sz w:val="22"/>
                <w:szCs w:val="22"/>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80" w:type="dxa"/>
            <w:vAlign w:val="bottom"/>
            <w:shd w:val="clear" w:color="auto" w:fill="CCEEFF"/>
          </w:tcPr>
          <w:p>
            <w:pPr>
              <w:jc w:val="right"/>
              <w:ind w:right="34"/>
              <w:spacing w:after="0"/>
              <w:rPr>
                <w:sz w:val="20"/>
                <w:szCs w:val="20"/>
                <w:color w:val="auto"/>
              </w:rPr>
            </w:pPr>
            <w:r>
              <w:rPr>
                <w:rFonts w:ascii="Arial" w:cs="Arial" w:eastAsia="Arial" w:hAnsi="Arial"/>
                <w:sz w:val="18"/>
                <w:szCs w:val="18"/>
                <w:color w:val="auto"/>
              </w:rPr>
              <w:t>89</w:t>
            </w:r>
          </w:p>
        </w:tc>
        <w:tc>
          <w:tcPr>
            <w:tcW w:w="100" w:type="dxa"/>
            <w:vAlign w:val="bottom"/>
            <w:shd w:val="clear" w:color="auto" w:fill="CCEEFF"/>
          </w:tcPr>
          <w:p>
            <w:pPr>
              <w:spacing w:after="0"/>
              <w:rPr>
                <w:sz w:val="22"/>
                <w:szCs w:val="22"/>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960" w:type="dxa"/>
            <w:vAlign w:val="bottom"/>
            <w:shd w:val="clear" w:color="auto" w:fill="CCEEFF"/>
          </w:tcPr>
          <w:p>
            <w:pPr>
              <w:jc w:val="right"/>
              <w:ind w:right="14"/>
              <w:spacing w:after="0"/>
              <w:rPr>
                <w:sz w:val="20"/>
                <w:szCs w:val="20"/>
                <w:color w:val="auto"/>
              </w:rPr>
            </w:pPr>
            <w:r>
              <w:rPr>
                <w:rFonts w:ascii="Arial" w:cs="Arial" w:eastAsia="Arial" w:hAnsi="Arial"/>
                <w:sz w:val="18"/>
                <w:szCs w:val="18"/>
                <w:color w:val="auto"/>
              </w:rPr>
              <w:t>100</w:t>
            </w:r>
          </w:p>
        </w:tc>
        <w:tc>
          <w:tcPr>
            <w:tcW w:w="120" w:type="dxa"/>
            <w:vAlign w:val="bottom"/>
            <w:shd w:val="clear" w:color="auto" w:fill="CCEEFF"/>
          </w:tcPr>
          <w:p>
            <w:pPr>
              <w:spacing w:after="0"/>
              <w:rPr>
                <w:sz w:val="22"/>
                <w:szCs w:val="22"/>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980" w:type="dxa"/>
            <w:vAlign w:val="bottom"/>
            <w:shd w:val="clear" w:color="auto" w:fill="CCEEFF"/>
          </w:tcPr>
          <w:p>
            <w:pPr>
              <w:jc w:val="right"/>
              <w:ind w:right="14"/>
              <w:spacing w:after="0"/>
              <w:rPr>
                <w:sz w:val="20"/>
                <w:szCs w:val="20"/>
                <w:color w:val="auto"/>
              </w:rPr>
            </w:pPr>
            <w:r>
              <w:rPr>
                <w:rFonts w:ascii="Arial" w:cs="Arial" w:eastAsia="Arial" w:hAnsi="Arial"/>
                <w:sz w:val="18"/>
                <w:szCs w:val="18"/>
                <w:color w:val="auto"/>
              </w:rPr>
              <w:t>62</w:t>
            </w:r>
          </w:p>
        </w:tc>
        <w:tc>
          <w:tcPr>
            <w:tcW w:w="120" w:type="dxa"/>
            <w:vAlign w:val="bottom"/>
            <w:shd w:val="clear" w:color="auto" w:fill="CCEEFF"/>
          </w:tcPr>
          <w:p>
            <w:pPr>
              <w:spacing w:after="0"/>
              <w:rPr>
                <w:sz w:val="22"/>
                <w:szCs w:val="22"/>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980" w:type="dxa"/>
            <w:vAlign w:val="bottom"/>
            <w:shd w:val="clear" w:color="auto" w:fill="CCEEFF"/>
          </w:tcPr>
          <w:p>
            <w:pPr>
              <w:jc w:val="right"/>
              <w:ind w:right="14"/>
              <w:spacing w:after="0"/>
              <w:rPr>
                <w:sz w:val="20"/>
                <w:szCs w:val="20"/>
                <w:color w:val="auto"/>
              </w:rPr>
            </w:pPr>
            <w:r>
              <w:rPr>
                <w:rFonts w:ascii="Arial" w:cs="Arial" w:eastAsia="Arial" w:hAnsi="Arial"/>
                <w:sz w:val="18"/>
                <w:szCs w:val="18"/>
                <w:color w:val="auto"/>
              </w:rPr>
              <w:t>56</w:t>
            </w:r>
          </w:p>
        </w:tc>
      </w:tr>
      <w:tr>
        <w:trPr>
          <w:trHeight w:val="263"/>
        </w:trPr>
        <w:tc>
          <w:tcPr>
            <w:tcW w:w="4000" w:type="dxa"/>
            <w:vAlign w:val="bottom"/>
          </w:tcPr>
          <w:p>
            <w:pPr>
              <w:ind w:left="40"/>
              <w:spacing w:after="0"/>
              <w:rPr>
                <w:sz w:val="20"/>
                <w:szCs w:val="20"/>
                <w:color w:val="auto"/>
              </w:rPr>
            </w:pPr>
            <w:r>
              <w:rPr>
                <w:rFonts w:ascii="Arial" w:cs="Arial" w:eastAsia="Arial" w:hAnsi="Arial"/>
                <w:sz w:val="18"/>
                <w:szCs w:val="18"/>
                <w:color w:val="auto"/>
              </w:rPr>
              <w:t>NYSE ARCA Airline Index (XAL)</w:t>
            </w:r>
          </w:p>
        </w:tc>
        <w:tc>
          <w:tcPr>
            <w:tcW w:w="160" w:type="dxa"/>
            <w:vAlign w:val="bottom"/>
          </w:tcPr>
          <w:p>
            <w:pPr>
              <w:spacing w:after="0"/>
              <w:rPr>
                <w:sz w:val="22"/>
                <w:szCs w:val="22"/>
                <w:color w:val="auto"/>
              </w:rPr>
            </w:pPr>
          </w:p>
        </w:tc>
        <w:tc>
          <w:tcPr>
            <w:tcW w:w="980" w:type="dxa"/>
            <w:vAlign w:val="bottom"/>
          </w:tcPr>
          <w:p>
            <w:pPr>
              <w:jc w:val="right"/>
              <w:ind w:right="14"/>
              <w:spacing w:after="0"/>
              <w:rPr>
                <w:sz w:val="20"/>
                <w:szCs w:val="20"/>
                <w:color w:val="auto"/>
              </w:rPr>
            </w:pPr>
            <w:r>
              <w:rPr>
                <w:rFonts w:ascii="Arial" w:cs="Arial" w:eastAsia="Arial" w:hAnsi="Arial"/>
                <w:sz w:val="18"/>
                <w:szCs w:val="18"/>
                <w:color w:val="auto"/>
              </w:rPr>
              <w:t>100</w:t>
            </w:r>
          </w:p>
        </w:tc>
        <w:tc>
          <w:tcPr>
            <w:tcW w:w="10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980" w:type="dxa"/>
            <w:vAlign w:val="bottom"/>
          </w:tcPr>
          <w:p>
            <w:pPr>
              <w:jc w:val="right"/>
              <w:ind w:right="34"/>
              <w:spacing w:after="0"/>
              <w:rPr>
                <w:sz w:val="20"/>
                <w:szCs w:val="20"/>
                <w:color w:val="auto"/>
              </w:rPr>
            </w:pPr>
            <w:r>
              <w:rPr>
                <w:rFonts w:ascii="Arial" w:cs="Arial" w:eastAsia="Arial" w:hAnsi="Arial"/>
                <w:sz w:val="18"/>
                <w:szCs w:val="18"/>
                <w:color w:val="auto"/>
              </w:rPr>
              <w:t>83</w:t>
            </w:r>
          </w:p>
        </w:tc>
        <w:tc>
          <w:tcPr>
            <w:tcW w:w="10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980" w:type="dxa"/>
            <w:vAlign w:val="bottom"/>
          </w:tcPr>
          <w:p>
            <w:pPr>
              <w:jc w:val="right"/>
              <w:ind w:right="34"/>
              <w:spacing w:after="0"/>
              <w:rPr>
                <w:sz w:val="20"/>
                <w:szCs w:val="20"/>
                <w:color w:val="auto"/>
              </w:rPr>
            </w:pPr>
            <w:r>
              <w:rPr>
                <w:rFonts w:ascii="Arial" w:cs="Arial" w:eastAsia="Arial" w:hAnsi="Arial"/>
                <w:sz w:val="18"/>
                <w:szCs w:val="18"/>
                <w:color w:val="auto"/>
              </w:rPr>
              <w:t>106</w:t>
            </w:r>
          </w:p>
        </w:tc>
        <w:tc>
          <w:tcPr>
            <w:tcW w:w="10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960" w:type="dxa"/>
            <w:vAlign w:val="bottom"/>
          </w:tcPr>
          <w:p>
            <w:pPr>
              <w:jc w:val="right"/>
              <w:ind w:right="14"/>
              <w:spacing w:after="0"/>
              <w:rPr>
                <w:sz w:val="20"/>
                <w:szCs w:val="20"/>
                <w:color w:val="auto"/>
              </w:rPr>
            </w:pPr>
            <w:r>
              <w:rPr>
                <w:rFonts w:ascii="Arial" w:cs="Arial" w:eastAsia="Arial" w:hAnsi="Arial"/>
                <w:sz w:val="18"/>
                <w:szCs w:val="18"/>
                <w:color w:val="auto"/>
              </w:rPr>
              <w:t>112</w:t>
            </w:r>
          </w:p>
        </w:tc>
        <w:tc>
          <w:tcPr>
            <w:tcW w:w="12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980" w:type="dxa"/>
            <w:vAlign w:val="bottom"/>
          </w:tcPr>
          <w:p>
            <w:pPr>
              <w:jc w:val="right"/>
              <w:ind w:right="14"/>
              <w:spacing w:after="0"/>
              <w:rPr>
                <w:sz w:val="20"/>
                <w:szCs w:val="20"/>
                <w:color w:val="auto"/>
              </w:rPr>
            </w:pPr>
            <w:r>
              <w:rPr>
                <w:rFonts w:ascii="Arial" w:cs="Arial" w:eastAsia="Arial" w:hAnsi="Arial"/>
                <w:sz w:val="18"/>
                <w:szCs w:val="18"/>
                <w:color w:val="auto"/>
              </w:rPr>
              <w:t>87</w:t>
            </w:r>
          </w:p>
        </w:tc>
        <w:tc>
          <w:tcPr>
            <w:tcW w:w="12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980" w:type="dxa"/>
            <w:vAlign w:val="bottom"/>
          </w:tcPr>
          <w:p>
            <w:pPr>
              <w:jc w:val="right"/>
              <w:ind w:right="14"/>
              <w:spacing w:after="0"/>
              <w:rPr>
                <w:sz w:val="20"/>
                <w:szCs w:val="20"/>
                <w:color w:val="auto"/>
              </w:rPr>
            </w:pPr>
            <w:r>
              <w:rPr>
                <w:rFonts w:ascii="Arial" w:cs="Arial" w:eastAsia="Arial" w:hAnsi="Arial"/>
                <w:sz w:val="18"/>
                <w:szCs w:val="18"/>
                <w:color w:val="auto"/>
              </w:rPr>
              <w:t>106</w:t>
            </w:r>
          </w:p>
        </w:tc>
      </w:tr>
      <w:tr>
        <w:trPr>
          <w:trHeight w:val="277"/>
        </w:trPr>
        <w:tc>
          <w:tcPr>
            <w:tcW w:w="4000" w:type="dxa"/>
            <w:vAlign w:val="bottom"/>
            <w:shd w:val="clear" w:color="auto" w:fill="CCEEFF"/>
          </w:tcPr>
          <w:p>
            <w:pPr>
              <w:ind w:left="40"/>
              <w:spacing w:after="0"/>
              <w:rPr>
                <w:sz w:val="20"/>
                <w:szCs w:val="20"/>
                <w:color w:val="auto"/>
              </w:rPr>
            </w:pPr>
            <w:r>
              <w:rPr>
                <w:rFonts w:ascii="Arial" w:cs="Arial" w:eastAsia="Arial" w:hAnsi="Arial"/>
                <w:sz w:val="18"/>
                <w:szCs w:val="18"/>
                <w:color w:val="auto"/>
              </w:rPr>
              <w:t>S&amp;P 500 Index (GSPC)</w:t>
            </w:r>
          </w:p>
        </w:tc>
        <w:tc>
          <w:tcPr>
            <w:tcW w:w="160" w:type="dxa"/>
            <w:vAlign w:val="bottom"/>
            <w:shd w:val="clear" w:color="auto" w:fill="CCEEFF"/>
          </w:tcPr>
          <w:p>
            <w:pPr>
              <w:spacing w:after="0"/>
              <w:rPr>
                <w:sz w:val="24"/>
                <w:szCs w:val="24"/>
                <w:color w:val="auto"/>
              </w:rPr>
            </w:pPr>
          </w:p>
        </w:tc>
        <w:tc>
          <w:tcPr>
            <w:tcW w:w="980" w:type="dxa"/>
            <w:vAlign w:val="bottom"/>
            <w:shd w:val="clear" w:color="auto" w:fill="CCEEFF"/>
          </w:tcPr>
          <w:p>
            <w:pPr>
              <w:jc w:val="right"/>
              <w:ind w:right="14"/>
              <w:spacing w:after="0"/>
              <w:rPr>
                <w:sz w:val="20"/>
                <w:szCs w:val="20"/>
                <w:color w:val="auto"/>
              </w:rPr>
            </w:pPr>
            <w:r>
              <w:rPr>
                <w:rFonts w:ascii="Arial" w:cs="Arial" w:eastAsia="Arial" w:hAnsi="Arial"/>
                <w:sz w:val="18"/>
                <w:szCs w:val="18"/>
                <w:color w:val="auto"/>
              </w:rPr>
              <w:t>100</w:t>
            </w:r>
          </w:p>
        </w:tc>
        <w:tc>
          <w:tcPr>
            <w:tcW w:w="10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980" w:type="dxa"/>
            <w:vAlign w:val="bottom"/>
            <w:shd w:val="clear" w:color="auto" w:fill="CCEEFF"/>
          </w:tcPr>
          <w:p>
            <w:pPr>
              <w:jc w:val="right"/>
              <w:ind w:right="34"/>
              <w:spacing w:after="0"/>
              <w:rPr>
                <w:sz w:val="20"/>
                <w:szCs w:val="20"/>
                <w:color w:val="auto"/>
              </w:rPr>
            </w:pPr>
            <w:r>
              <w:rPr>
                <w:rFonts w:ascii="Arial" w:cs="Arial" w:eastAsia="Arial" w:hAnsi="Arial"/>
                <w:sz w:val="18"/>
                <w:szCs w:val="18"/>
                <w:color w:val="auto"/>
              </w:rPr>
              <w:t>99</w:t>
            </w:r>
          </w:p>
        </w:tc>
        <w:tc>
          <w:tcPr>
            <w:tcW w:w="10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980" w:type="dxa"/>
            <w:vAlign w:val="bottom"/>
            <w:shd w:val="clear" w:color="auto" w:fill="CCEEFF"/>
          </w:tcPr>
          <w:p>
            <w:pPr>
              <w:jc w:val="right"/>
              <w:ind w:right="34"/>
              <w:spacing w:after="0"/>
              <w:rPr>
                <w:sz w:val="20"/>
                <w:szCs w:val="20"/>
                <w:color w:val="auto"/>
              </w:rPr>
            </w:pPr>
            <w:r>
              <w:rPr>
                <w:rFonts w:ascii="Arial" w:cs="Arial" w:eastAsia="Arial" w:hAnsi="Arial"/>
                <w:sz w:val="18"/>
                <w:szCs w:val="18"/>
                <w:color w:val="auto"/>
              </w:rPr>
              <w:t>109</w:t>
            </w:r>
          </w:p>
        </w:tc>
        <w:tc>
          <w:tcPr>
            <w:tcW w:w="10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960" w:type="dxa"/>
            <w:vAlign w:val="bottom"/>
            <w:shd w:val="clear" w:color="auto" w:fill="CCEEFF"/>
          </w:tcPr>
          <w:p>
            <w:pPr>
              <w:jc w:val="right"/>
              <w:ind w:right="14"/>
              <w:spacing w:after="0"/>
              <w:rPr>
                <w:sz w:val="20"/>
                <w:szCs w:val="20"/>
                <w:color w:val="auto"/>
              </w:rPr>
            </w:pPr>
            <w:r>
              <w:rPr>
                <w:rFonts w:ascii="Arial" w:cs="Arial" w:eastAsia="Arial" w:hAnsi="Arial"/>
                <w:sz w:val="18"/>
                <w:szCs w:val="18"/>
                <w:color w:val="auto"/>
              </w:rPr>
              <w:t>130</w:t>
            </w:r>
          </w:p>
        </w:tc>
        <w:tc>
          <w:tcPr>
            <w:tcW w:w="12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980" w:type="dxa"/>
            <w:vAlign w:val="bottom"/>
            <w:shd w:val="clear" w:color="auto" w:fill="CCEEFF"/>
          </w:tcPr>
          <w:p>
            <w:pPr>
              <w:jc w:val="right"/>
              <w:ind w:right="14"/>
              <w:spacing w:after="0"/>
              <w:rPr>
                <w:sz w:val="20"/>
                <w:szCs w:val="20"/>
                <w:color w:val="auto"/>
              </w:rPr>
            </w:pPr>
            <w:r>
              <w:rPr>
                <w:rFonts w:ascii="Arial" w:cs="Arial" w:eastAsia="Arial" w:hAnsi="Arial"/>
                <w:sz w:val="18"/>
                <w:szCs w:val="18"/>
                <w:color w:val="auto"/>
              </w:rPr>
              <w:t>122</w:t>
            </w:r>
          </w:p>
        </w:tc>
        <w:tc>
          <w:tcPr>
            <w:tcW w:w="12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980" w:type="dxa"/>
            <w:vAlign w:val="bottom"/>
            <w:shd w:val="clear" w:color="auto" w:fill="CCEEFF"/>
          </w:tcPr>
          <w:p>
            <w:pPr>
              <w:jc w:val="right"/>
              <w:ind w:right="14"/>
              <w:spacing w:after="0"/>
              <w:rPr>
                <w:sz w:val="20"/>
                <w:szCs w:val="20"/>
                <w:color w:val="auto"/>
              </w:rPr>
            </w:pPr>
            <w:r>
              <w:rPr>
                <w:rFonts w:ascii="Arial" w:cs="Arial" w:eastAsia="Arial" w:hAnsi="Arial"/>
                <w:sz w:val="18"/>
                <w:szCs w:val="18"/>
                <w:color w:val="auto"/>
              </w:rPr>
              <w:t>157</w:t>
            </w:r>
          </w:p>
        </w:tc>
      </w:tr>
    </w:tbl>
    <w:p>
      <w:pPr>
        <w:spacing w:after="0" w:line="22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Purchases of Equity Securities by the Issuer and Affiliated Purchasers</w:t>
      </w:r>
    </w:p>
    <w:p>
      <w:pPr>
        <w:spacing w:after="0" w:line="112" w:lineRule="exact"/>
        <w:rPr>
          <w:sz w:val="20"/>
          <w:szCs w:val="20"/>
          <w:color w:val="auto"/>
        </w:rPr>
      </w:pPr>
    </w:p>
    <w:p>
      <w:pPr>
        <w:jc w:val="both"/>
        <w:ind w:firstLine="216"/>
        <w:spacing w:after="0" w:line="262" w:lineRule="auto"/>
        <w:rPr>
          <w:sz w:val="20"/>
          <w:szCs w:val="20"/>
          <w:color w:val="auto"/>
        </w:rPr>
      </w:pPr>
      <w:r>
        <w:rPr>
          <w:rFonts w:ascii="Arial" w:cs="Arial" w:eastAsia="Arial" w:hAnsi="Arial"/>
          <w:sz w:val="18"/>
          <w:szCs w:val="18"/>
          <w:color w:val="auto"/>
        </w:rPr>
        <w:t>In April 2018, we announced that our Board of Directors authorized a $ 2.0 billion share repurchase program that will expire on December 31, 2020. Since July 2014, our Board of Directors has approved seven share repurchase programs aggregating $13.0 billion of authority.</w:t>
      </w:r>
    </w:p>
    <w:p>
      <w:pPr>
        <w:spacing w:after="0" w:line="142" w:lineRule="exact"/>
        <w:rPr>
          <w:sz w:val="20"/>
          <w:szCs w:val="20"/>
          <w:color w:val="auto"/>
        </w:rPr>
      </w:pPr>
    </w:p>
    <w:p>
      <w:pPr>
        <w:jc w:val="both"/>
        <w:ind w:firstLine="216"/>
        <w:spacing w:after="0" w:line="254" w:lineRule="auto"/>
        <w:rPr>
          <w:sz w:val="20"/>
          <w:szCs w:val="20"/>
          <w:color w:val="auto"/>
        </w:rPr>
      </w:pPr>
      <w:r>
        <w:rPr>
          <w:rFonts w:ascii="Arial" w:cs="Arial" w:eastAsia="Arial" w:hAnsi="Arial"/>
          <w:sz w:val="18"/>
          <w:szCs w:val="18"/>
          <w:color w:val="auto"/>
        </w:rPr>
        <w:t>In 2019, we repurchased 33.8 million shares of AAG common stock for $1.1 billion at a weighted average cost per share of $32.09. In 2018, we repurchased 16.6 million shares of AAG common stock for $800 million at a weighted average cost per share of $48.15. Since the inception of our share repurchase programs in July 2014 through December 31, 2019, we have repurchased 312.7 million shares of AAG common stock for $12.4 billion at a weighted average cost per share of $39.76.</w:t>
      </w:r>
    </w:p>
    <w:p>
      <w:pPr>
        <w:spacing w:after="0" w:line="150" w:lineRule="exact"/>
        <w:rPr>
          <w:sz w:val="20"/>
          <w:szCs w:val="20"/>
          <w:color w:val="auto"/>
        </w:rPr>
      </w:pPr>
    </w:p>
    <w:p>
      <w:pPr>
        <w:jc w:val="both"/>
        <w:ind w:firstLine="216"/>
        <w:spacing w:after="0" w:line="262" w:lineRule="auto"/>
        <w:rPr>
          <w:sz w:val="20"/>
          <w:szCs w:val="20"/>
          <w:color w:val="auto"/>
        </w:rPr>
      </w:pPr>
      <w:r>
        <w:rPr>
          <w:rFonts w:ascii="Arial" w:cs="Arial" w:eastAsia="Arial" w:hAnsi="Arial"/>
          <w:sz w:val="18"/>
          <w:szCs w:val="18"/>
          <w:color w:val="auto"/>
        </w:rPr>
        <w:t>The following table displays information with respect to our purchases of shares of AAG common stock during the three months ended December 31, 2019.</w:t>
      </w:r>
    </w:p>
    <w:p>
      <w:pPr>
        <w:spacing w:after="0" w:line="292"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28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60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5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040" w:type="dxa"/>
            <w:vAlign w:val="bottom"/>
            <w:gridSpan w:val="2"/>
          </w:tcPr>
          <w:p>
            <w:pPr>
              <w:jc w:val="center"/>
              <w:ind w:right="140"/>
              <w:spacing w:after="0"/>
              <w:rPr>
                <w:sz w:val="20"/>
                <w:szCs w:val="20"/>
                <w:color w:val="auto"/>
              </w:rPr>
            </w:pPr>
            <w:r>
              <w:rPr>
                <w:rFonts w:ascii="Arial" w:cs="Arial" w:eastAsia="Arial" w:hAnsi="Arial"/>
                <w:sz w:val="14"/>
                <w:szCs w:val="14"/>
                <w:b w:val="1"/>
                <w:bCs w:val="1"/>
                <w:color w:val="auto"/>
              </w:rPr>
              <w:t>Total number of shares</w:t>
            </w:r>
          </w:p>
        </w:tc>
        <w:tc>
          <w:tcPr>
            <w:tcW w:w="2720" w:type="dxa"/>
            <w:vAlign w:val="bottom"/>
          </w:tcPr>
          <w:p>
            <w:pPr>
              <w:jc w:val="center"/>
              <w:spacing w:after="0"/>
              <w:rPr>
                <w:sz w:val="20"/>
                <w:szCs w:val="20"/>
                <w:color w:val="auto"/>
              </w:rPr>
            </w:pPr>
            <w:r>
              <w:rPr>
                <w:rFonts w:ascii="Arial" w:cs="Arial" w:eastAsia="Arial" w:hAnsi="Arial"/>
                <w:sz w:val="14"/>
                <w:szCs w:val="14"/>
                <w:b w:val="1"/>
                <w:bCs w:val="1"/>
                <w:color w:val="auto"/>
              </w:rPr>
              <w:t>Maximum dollar value of shares</w:t>
            </w:r>
          </w:p>
        </w:tc>
      </w:tr>
      <w:tr>
        <w:trPr>
          <w:trHeight w:val="162"/>
        </w:trPr>
        <w:tc>
          <w:tcPr>
            <w:tcW w:w="28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60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5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040" w:type="dxa"/>
            <w:vAlign w:val="bottom"/>
            <w:gridSpan w:val="2"/>
          </w:tcPr>
          <w:p>
            <w:pPr>
              <w:jc w:val="center"/>
              <w:ind w:right="160"/>
              <w:spacing w:after="0"/>
              <w:rPr>
                <w:sz w:val="20"/>
                <w:szCs w:val="20"/>
                <w:color w:val="auto"/>
              </w:rPr>
            </w:pPr>
            <w:r>
              <w:rPr>
                <w:rFonts w:ascii="Arial" w:cs="Arial" w:eastAsia="Arial" w:hAnsi="Arial"/>
                <w:sz w:val="14"/>
                <w:szCs w:val="14"/>
                <w:b w:val="1"/>
                <w:bCs w:val="1"/>
                <w:color w:val="auto"/>
              </w:rPr>
              <w:t>purchased as part of</w:t>
            </w:r>
          </w:p>
        </w:tc>
        <w:tc>
          <w:tcPr>
            <w:tcW w:w="2720" w:type="dxa"/>
            <w:vAlign w:val="bottom"/>
          </w:tcPr>
          <w:p>
            <w:pPr>
              <w:jc w:val="center"/>
              <w:spacing w:after="0"/>
              <w:rPr>
                <w:sz w:val="20"/>
                <w:szCs w:val="20"/>
                <w:color w:val="auto"/>
              </w:rPr>
            </w:pPr>
            <w:r>
              <w:rPr>
                <w:rFonts w:ascii="Arial" w:cs="Arial" w:eastAsia="Arial" w:hAnsi="Arial"/>
                <w:sz w:val="14"/>
                <w:szCs w:val="14"/>
                <w:b w:val="1"/>
                <w:bCs w:val="1"/>
                <w:color w:val="auto"/>
              </w:rPr>
              <w:t>that may be purchased under</w:t>
            </w:r>
          </w:p>
        </w:tc>
      </w:tr>
      <w:tr>
        <w:trPr>
          <w:trHeight w:val="162"/>
        </w:trPr>
        <w:tc>
          <w:tcPr>
            <w:tcW w:w="28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960" w:type="dxa"/>
            <w:vAlign w:val="bottom"/>
            <w:gridSpan w:val="2"/>
          </w:tcPr>
          <w:p>
            <w:pPr>
              <w:jc w:val="center"/>
              <w:ind w:right="360"/>
              <w:spacing w:after="0"/>
              <w:rPr>
                <w:sz w:val="20"/>
                <w:szCs w:val="20"/>
                <w:color w:val="auto"/>
              </w:rPr>
            </w:pPr>
            <w:r>
              <w:rPr>
                <w:rFonts w:ascii="Arial" w:cs="Arial" w:eastAsia="Arial" w:hAnsi="Arial"/>
                <w:sz w:val="14"/>
                <w:szCs w:val="14"/>
                <w:b w:val="1"/>
                <w:bCs w:val="1"/>
                <w:color w:val="auto"/>
              </w:rPr>
              <w:t>Total number of</w:t>
            </w:r>
          </w:p>
        </w:tc>
        <w:tc>
          <w:tcPr>
            <w:tcW w:w="1700" w:type="dxa"/>
            <w:vAlign w:val="bottom"/>
            <w:gridSpan w:val="2"/>
          </w:tcPr>
          <w:p>
            <w:pPr>
              <w:jc w:val="center"/>
              <w:ind w:right="120"/>
              <w:spacing w:after="0"/>
              <w:rPr>
                <w:sz w:val="20"/>
                <w:szCs w:val="20"/>
                <w:color w:val="auto"/>
              </w:rPr>
            </w:pPr>
            <w:r>
              <w:rPr>
                <w:rFonts w:ascii="Arial" w:cs="Arial" w:eastAsia="Arial" w:hAnsi="Arial"/>
                <w:sz w:val="14"/>
                <w:szCs w:val="14"/>
                <w:b w:val="1"/>
                <w:bCs w:val="1"/>
                <w:color w:val="auto"/>
              </w:rPr>
              <w:t>Average price</w:t>
            </w:r>
          </w:p>
        </w:tc>
        <w:tc>
          <w:tcPr>
            <w:tcW w:w="2040" w:type="dxa"/>
            <w:vAlign w:val="bottom"/>
            <w:gridSpan w:val="2"/>
          </w:tcPr>
          <w:p>
            <w:pPr>
              <w:jc w:val="center"/>
              <w:ind w:right="120"/>
              <w:spacing w:after="0"/>
              <w:rPr>
                <w:sz w:val="20"/>
                <w:szCs w:val="20"/>
                <w:color w:val="auto"/>
              </w:rPr>
            </w:pPr>
            <w:r>
              <w:rPr>
                <w:rFonts w:ascii="Arial" w:cs="Arial" w:eastAsia="Arial" w:hAnsi="Arial"/>
                <w:sz w:val="14"/>
                <w:szCs w:val="14"/>
                <w:b w:val="1"/>
                <w:bCs w:val="1"/>
                <w:color w:val="auto"/>
              </w:rPr>
              <w:t>publicly announced</w:t>
            </w:r>
          </w:p>
        </w:tc>
        <w:tc>
          <w:tcPr>
            <w:tcW w:w="2720" w:type="dxa"/>
            <w:vAlign w:val="bottom"/>
          </w:tcPr>
          <w:p>
            <w:pPr>
              <w:jc w:val="center"/>
              <w:spacing w:after="0"/>
              <w:rPr>
                <w:sz w:val="20"/>
                <w:szCs w:val="20"/>
                <w:color w:val="auto"/>
              </w:rPr>
            </w:pPr>
            <w:r>
              <w:rPr>
                <w:rFonts w:ascii="Arial" w:cs="Arial" w:eastAsia="Arial" w:hAnsi="Arial"/>
                <w:sz w:val="14"/>
                <w:szCs w:val="14"/>
                <w:b w:val="1"/>
                <w:bCs w:val="1"/>
                <w:color w:val="auto"/>
              </w:rPr>
              <w:t>the plan or program</w:t>
            </w:r>
          </w:p>
        </w:tc>
      </w:tr>
      <w:tr>
        <w:trPr>
          <w:trHeight w:val="196"/>
        </w:trPr>
        <w:tc>
          <w:tcPr>
            <w:tcW w:w="2880" w:type="dxa"/>
            <w:vAlign w:val="bottom"/>
            <w:tcBorders>
              <w:bottom w:val="single" w:sz="8" w:color="auto"/>
            </w:tcBorders>
          </w:tcPr>
          <w:p>
            <w:pPr>
              <w:ind w:left="1080"/>
              <w:spacing w:after="0"/>
              <w:rPr>
                <w:sz w:val="20"/>
                <w:szCs w:val="20"/>
                <w:color w:val="auto"/>
              </w:rPr>
            </w:pPr>
            <w:r>
              <w:rPr>
                <w:rFonts w:ascii="Arial" w:cs="Arial" w:eastAsia="Arial" w:hAnsi="Arial"/>
                <w:sz w:val="14"/>
                <w:szCs w:val="14"/>
                <w:b w:val="1"/>
                <w:bCs w:val="1"/>
                <w:color w:val="auto"/>
              </w:rPr>
              <w:t>Period</w:t>
            </w:r>
          </w:p>
        </w:tc>
        <w:tc>
          <w:tcPr>
            <w:tcW w:w="120" w:type="dxa"/>
            <w:vAlign w:val="bottom"/>
            <w:tcBorders>
              <w:bottom w:val="single" w:sz="8" w:color="CCEEFF"/>
            </w:tcBorders>
          </w:tcPr>
          <w:p>
            <w:pPr>
              <w:spacing w:after="0"/>
              <w:rPr>
                <w:sz w:val="17"/>
                <w:szCs w:val="17"/>
                <w:color w:val="auto"/>
              </w:rPr>
            </w:pPr>
          </w:p>
        </w:tc>
        <w:tc>
          <w:tcPr>
            <w:tcW w:w="160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rPr>
              <w:t>shares purchased</w:t>
            </w:r>
          </w:p>
        </w:tc>
        <w:tc>
          <w:tcPr>
            <w:tcW w:w="360" w:type="dxa"/>
            <w:vAlign w:val="bottom"/>
            <w:tcBorders>
              <w:bottom w:val="single" w:sz="8" w:color="CCEEFF"/>
            </w:tcBorders>
          </w:tcPr>
          <w:p>
            <w:pPr>
              <w:spacing w:after="0"/>
              <w:rPr>
                <w:sz w:val="17"/>
                <w:szCs w:val="17"/>
                <w:color w:val="auto"/>
              </w:rPr>
            </w:pPr>
          </w:p>
        </w:tc>
        <w:tc>
          <w:tcPr>
            <w:tcW w:w="158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rPr>
              <w:t>paid per share</w:t>
            </w:r>
          </w:p>
        </w:tc>
        <w:tc>
          <w:tcPr>
            <w:tcW w:w="120" w:type="dxa"/>
            <w:vAlign w:val="bottom"/>
            <w:tcBorders>
              <w:bottom w:val="single" w:sz="8" w:color="CCEEFF"/>
            </w:tcBorders>
          </w:tcPr>
          <w:p>
            <w:pPr>
              <w:spacing w:after="0"/>
              <w:rPr>
                <w:sz w:val="17"/>
                <w:szCs w:val="17"/>
                <w:color w:val="auto"/>
              </w:rPr>
            </w:pPr>
          </w:p>
        </w:tc>
        <w:tc>
          <w:tcPr>
            <w:tcW w:w="192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rPr>
              <w:t>plan or program</w:t>
            </w:r>
          </w:p>
        </w:tc>
        <w:tc>
          <w:tcPr>
            <w:tcW w:w="120" w:type="dxa"/>
            <w:vAlign w:val="bottom"/>
            <w:tcBorders>
              <w:bottom w:val="single" w:sz="8" w:color="CCEEFF"/>
            </w:tcBorders>
          </w:tcPr>
          <w:p>
            <w:pPr>
              <w:spacing w:after="0"/>
              <w:rPr>
                <w:sz w:val="17"/>
                <w:szCs w:val="17"/>
                <w:color w:val="auto"/>
              </w:rPr>
            </w:pPr>
          </w:p>
        </w:tc>
        <w:tc>
          <w:tcPr>
            <w:tcW w:w="272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rPr>
              <w:t>(in millions)</w:t>
            </w:r>
          </w:p>
        </w:tc>
      </w:tr>
      <w:tr>
        <w:trPr>
          <w:trHeight w:val="256"/>
        </w:trPr>
        <w:tc>
          <w:tcPr>
            <w:tcW w:w="3000" w:type="dxa"/>
            <w:vAlign w:val="bottom"/>
            <w:gridSpan w:val="2"/>
            <w:shd w:val="clear" w:color="auto" w:fill="CCEEFF"/>
          </w:tcPr>
          <w:p>
            <w:pPr>
              <w:ind w:left="40"/>
              <w:spacing w:after="0"/>
              <w:rPr>
                <w:sz w:val="20"/>
                <w:szCs w:val="20"/>
                <w:color w:val="auto"/>
              </w:rPr>
            </w:pPr>
            <w:r>
              <w:rPr>
                <w:rFonts w:ascii="Arial" w:cs="Arial" w:eastAsia="Arial" w:hAnsi="Arial"/>
                <w:sz w:val="18"/>
                <w:szCs w:val="18"/>
                <w:color w:val="auto"/>
              </w:rPr>
              <w:t>October 2019</w:t>
            </w:r>
          </w:p>
        </w:tc>
        <w:tc>
          <w:tcPr>
            <w:tcW w:w="160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8"/>
              </w:rPr>
              <w:t>710,556</w:t>
            </w:r>
          </w:p>
        </w:tc>
        <w:tc>
          <w:tcPr>
            <w:tcW w:w="360" w:type="dxa"/>
            <w:vAlign w:val="bottom"/>
            <w:shd w:val="clear" w:color="auto" w:fill="CCEEFF"/>
          </w:tcPr>
          <w:p>
            <w:pPr>
              <w:spacing w:after="0"/>
              <w:rPr>
                <w:sz w:val="22"/>
                <w:szCs w:val="22"/>
                <w:color w:val="auto"/>
              </w:rPr>
            </w:pPr>
          </w:p>
        </w:tc>
        <w:tc>
          <w:tcPr>
            <w:tcW w:w="158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8"/>
              </w:rPr>
              <w:t>$30.65</w:t>
            </w:r>
          </w:p>
        </w:tc>
        <w:tc>
          <w:tcPr>
            <w:tcW w:w="120" w:type="dxa"/>
            <w:vAlign w:val="bottom"/>
            <w:shd w:val="clear" w:color="auto" w:fill="CCEEFF"/>
          </w:tcPr>
          <w:p>
            <w:pPr>
              <w:spacing w:after="0"/>
              <w:rPr>
                <w:sz w:val="22"/>
                <w:szCs w:val="22"/>
                <w:color w:val="auto"/>
              </w:rPr>
            </w:pPr>
          </w:p>
        </w:tc>
        <w:tc>
          <w:tcPr>
            <w:tcW w:w="192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8"/>
              </w:rPr>
              <w:t>710,556</w:t>
            </w:r>
          </w:p>
        </w:tc>
        <w:tc>
          <w:tcPr>
            <w:tcW w:w="120" w:type="dxa"/>
            <w:vAlign w:val="bottom"/>
            <w:shd w:val="clear" w:color="auto" w:fill="CCEEFF"/>
          </w:tcPr>
          <w:p>
            <w:pPr>
              <w:spacing w:after="0"/>
              <w:rPr>
                <w:sz w:val="22"/>
                <w:szCs w:val="22"/>
                <w:color w:val="auto"/>
              </w:rPr>
            </w:pPr>
          </w:p>
        </w:tc>
        <w:tc>
          <w:tcPr>
            <w:tcW w:w="272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9"/>
              </w:rPr>
              <w:t>$828</w:t>
            </w:r>
          </w:p>
        </w:tc>
      </w:tr>
      <w:tr>
        <w:trPr>
          <w:trHeight w:val="263"/>
        </w:trPr>
        <w:tc>
          <w:tcPr>
            <w:tcW w:w="3000" w:type="dxa"/>
            <w:vAlign w:val="bottom"/>
            <w:gridSpan w:val="2"/>
          </w:tcPr>
          <w:p>
            <w:pPr>
              <w:ind w:left="40"/>
              <w:spacing w:after="0"/>
              <w:rPr>
                <w:sz w:val="20"/>
                <w:szCs w:val="20"/>
                <w:color w:val="auto"/>
              </w:rPr>
            </w:pPr>
            <w:r>
              <w:rPr>
                <w:rFonts w:ascii="Arial" w:cs="Arial" w:eastAsia="Arial" w:hAnsi="Arial"/>
                <w:sz w:val="18"/>
                <w:szCs w:val="18"/>
                <w:color w:val="auto"/>
              </w:rPr>
              <w:t>November 2019</w:t>
            </w:r>
          </w:p>
        </w:tc>
        <w:tc>
          <w:tcPr>
            <w:tcW w:w="1600" w:type="dxa"/>
            <w:vAlign w:val="bottom"/>
          </w:tcPr>
          <w:p>
            <w:pPr>
              <w:jc w:val="center"/>
              <w:spacing w:after="0"/>
              <w:rPr>
                <w:sz w:val="20"/>
                <w:szCs w:val="20"/>
                <w:color w:val="auto"/>
              </w:rPr>
            </w:pPr>
            <w:r>
              <w:rPr>
                <w:rFonts w:ascii="Arial" w:cs="Arial" w:eastAsia="Arial" w:hAnsi="Arial"/>
                <w:sz w:val="18"/>
                <w:szCs w:val="18"/>
                <w:color w:val="auto"/>
                <w:w w:val="99"/>
              </w:rPr>
              <w:t>4,181,541</w:t>
            </w:r>
          </w:p>
        </w:tc>
        <w:tc>
          <w:tcPr>
            <w:tcW w:w="360" w:type="dxa"/>
            <w:vAlign w:val="bottom"/>
          </w:tcPr>
          <w:p>
            <w:pPr>
              <w:spacing w:after="0"/>
              <w:rPr>
                <w:sz w:val="22"/>
                <w:szCs w:val="22"/>
                <w:color w:val="auto"/>
              </w:rPr>
            </w:pPr>
          </w:p>
        </w:tc>
        <w:tc>
          <w:tcPr>
            <w:tcW w:w="1580" w:type="dxa"/>
            <w:vAlign w:val="bottom"/>
          </w:tcPr>
          <w:p>
            <w:pPr>
              <w:jc w:val="center"/>
              <w:spacing w:after="0"/>
              <w:rPr>
                <w:sz w:val="20"/>
                <w:szCs w:val="20"/>
                <w:color w:val="auto"/>
              </w:rPr>
            </w:pPr>
            <w:r>
              <w:rPr>
                <w:rFonts w:ascii="Arial" w:cs="Arial" w:eastAsia="Arial" w:hAnsi="Arial"/>
                <w:sz w:val="18"/>
                <w:szCs w:val="18"/>
                <w:color w:val="auto"/>
                <w:w w:val="98"/>
              </w:rPr>
              <w:t>$29.42</w:t>
            </w:r>
          </w:p>
        </w:tc>
        <w:tc>
          <w:tcPr>
            <w:tcW w:w="120" w:type="dxa"/>
            <w:vAlign w:val="bottom"/>
          </w:tcPr>
          <w:p>
            <w:pPr>
              <w:spacing w:after="0"/>
              <w:rPr>
                <w:sz w:val="22"/>
                <w:szCs w:val="22"/>
                <w:color w:val="auto"/>
              </w:rPr>
            </w:pPr>
          </w:p>
        </w:tc>
        <w:tc>
          <w:tcPr>
            <w:tcW w:w="1920" w:type="dxa"/>
            <w:vAlign w:val="bottom"/>
          </w:tcPr>
          <w:p>
            <w:pPr>
              <w:jc w:val="center"/>
              <w:spacing w:after="0"/>
              <w:rPr>
                <w:sz w:val="20"/>
                <w:szCs w:val="20"/>
                <w:color w:val="auto"/>
              </w:rPr>
            </w:pPr>
            <w:r>
              <w:rPr>
                <w:rFonts w:ascii="Arial" w:cs="Arial" w:eastAsia="Arial" w:hAnsi="Arial"/>
                <w:sz w:val="18"/>
                <w:szCs w:val="18"/>
                <w:color w:val="auto"/>
                <w:w w:val="99"/>
              </w:rPr>
              <w:t>4,181,541</w:t>
            </w:r>
          </w:p>
        </w:tc>
        <w:tc>
          <w:tcPr>
            <w:tcW w:w="120" w:type="dxa"/>
            <w:vAlign w:val="bottom"/>
          </w:tcPr>
          <w:p>
            <w:pPr>
              <w:spacing w:after="0"/>
              <w:rPr>
                <w:sz w:val="22"/>
                <w:szCs w:val="22"/>
                <w:color w:val="auto"/>
              </w:rPr>
            </w:pPr>
          </w:p>
        </w:tc>
        <w:tc>
          <w:tcPr>
            <w:tcW w:w="2720" w:type="dxa"/>
            <w:vAlign w:val="bottom"/>
          </w:tcPr>
          <w:p>
            <w:pPr>
              <w:jc w:val="center"/>
              <w:spacing w:after="0"/>
              <w:rPr>
                <w:sz w:val="20"/>
                <w:szCs w:val="20"/>
                <w:color w:val="auto"/>
              </w:rPr>
            </w:pPr>
            <w:r>
              <w:rPr>
                <w:rFonts w:ascii="Arial" w:cs="Arial" w:eastAsia="Arial" w:hAnsi="Arial"/>
                <w:sz w:val="18"/>
                <w:szCs w:val="18"/>
                <w:color w:val="auto"/>
                <w:w w:val="99"/>
              </w:rPr>
              <w:t>$705</w:t>
            </w:r>
          </w:p>
        </w:tc>
      </w:tr>
      <w:tr>
        <w:trPr>
          <w:trHeight w:val="277"/>
        </w:trPr>
        <w:tc>
          <w:tcPr>
            <w:tcW w:w="3000" w:type="dxa"/>
            <w:vAlign w:val="bottom"/>
            <w:gridSpan w:val="2"/>
            <w:shd w:val="clear" w:color="auto" w:fill="CCEEFF"/>
          </w:tcPr>
          <w:p>
            <w:pPr>
              <w:ind w:left="40"/>
              <w:spacing w:after="0"/>
              <w:rPr>
                <w:sz w:val="20"/>
                <w:szCs w:val="20"/>
                <w:color w:val="auto"/>
              </w:rPr>
            </w:pPr>
            <w:r>
              <w:rPr>
                <w:rFonts w:ascii="Arial" w:cs="Arial" w:eastAsia="Arial" w:hAnsi="Arial"/>
                <w:sz w:val="18"/>
                <w:szCs w:val="18"/>
                <w:color w:val="auto"/>
              </w:rPr>
              <w:t>December 2019</w:t>
            </w:r>
          </w:p>
        </w:tc>
        <w:tc>
          <w:tcPr>
            <w:tcW w:w="160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9"/>
              </w:rPr>
              <w:t>4,975,466</w:t>
            </w:r>
          </w:p>
        </w:tc>
        <w:tc>
          <w:tcPr>
            <w:tcW w:w="360" w:type="dxa"/>
            <w:vAlign w:val="bottom"/>
            <w:shd w:val="clear" w:color="auto" w:fill="CCEEFF"/>
          </w:tcPr>
          <w:p>
            <w:pPr>
              <w:spacing w:after="0"/>
              <w:rPr>
                <w:sz w:val="24"/>
                <w:szCs w:val="24"/>
                <w:color w:val="auto"/>
              </w:rPr>
            </w:pPr>
          </w:p>
        </w:tc>
        <w:tc>
          <w:tcPr>
            <w:tcW w:w="158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8"/>
              </w:rPr>
              <w:t>$28.12</w:t>
            </w:r>
          </w:p>
        </w:tc>
        <w:tc>
          <w:tcPr>
            <w:tcW w:w="120" w:type="dxa"/>
            <w:vAlign w:val="bottom"/>
            <w:shd w:val="clear" w:color="auto" w:fill="CCEEFF"/>
          </w:tcPr>
          <w:p>
            <w:pPr>
              <w:spacing w:after="0"/>
              <w:rPr>
                <w:sz w:val="24"/>
                <w:szCs w:val="24"/>
                <w:color w:val="auto"/>
              </w:rPr>
            </w:pPr>
          </w:p>
        </w:tc>
        <w:tc>
          <w:tcPr>
            <w:tcW w:w="192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9"/>
              </w:rPr>
              <w:t>4,975,466</w:t>
            </w:r>
          </w:p>
        </w:tc>
        <w:tc>
          <w:tcPr>
            <w:tcW w:w="120" w:type="dxa"/>
            <w:vAlign w:val="bottom"/>
            <w:shd w:val="clear" w:color="auto" w:fill="CCEEFF"/>
          </w:tcPr>
          <w:p>
            <w:pPr>
              <w:spacing w:after="0"/>
              <w:rPr>
                <w:sz w:val="24"/>
                <w:szCs w:val="24"/>
                <w:color w:val="auto"/>
              </w:rPr>
            </w:pPr>
          </w:p>
        </w:tc>
        <w:tc>
          <w:tcPr>
            <w:tcW w:w="272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9"/>
              </w:rPr>
              <w:t>$565</w:t>
            </w:r>
          </w:p>
        </w:tc>
      </w:tr>
    </w:tbl>
    <w:p>
      <w:pPr>
        <w:spacing w:after="0" w:line="161" w:lineRule="exact"/>
        <w:rPr>
          <w:sz w:val="20"/>
          <w:szCs w:val="20"/>
          <w:color w:val="auto"/>
        </w:rPr>
      </w:pPr>
    </w:p>
    <w:p>
      <w:pPr>
        <w:jc w:val="both"/>
        <w:ind w:firstLine="216"/>
        <w:spacing w:after="0" w:line="253" w:lineRule="auto"/>
        <w:rPr>
          <w:sz w:val="20"/>
          <w:szCs w:val="20"/>
          <w:color w:val="auto"/>
        </w:rPr>
      </w:pPr>
      <w:r>
        <w:rPr>
          <w:rFonts w:ascii="Arial" w:cs="Arial" w:eastAsia="Arial" w:hAnsi="Arial"/>
          <w:sz w:val="18"/>
          <w:szCs w:val="18"/>
          <w:color w:val="auto"/>
        </w:rPr>
        <w:t>Share repurchases under our repurchase programs may be made through a variety of methods, which may include open market purchases, privately negotiated transactions, block trades or accelerated share repurchase transactions. Any such repurchases that may be made from time to time will be subject to market and economic conditions, applicable legal requirements and other relevant factors. We are not obligated to repurchase any specific number of shares and our repurchase of AAG common stock may be limited, suspended or discontinued at any time at our discretion and without prior notice.</w:t>
      </w:r>
    </w:p>
    <w:p>
      <w:pPr>
        <w:spacing w:after="0" w:line="20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43</w:t>
      </w:r>
    </w:p>
    <w:p>
      <w:pPr>
        <w:sectPr>
          <w:pgSz w:w="11900" w:h="16838" w:orient="portrait"/>
          <w:cols w:equalWidth="0" w:num="1">
            <w:col w:w="11420"/>
          </w:cols>
          <w:pgMar w:left="240" w:top="1440" w:right="239" w:bottom="1440" w:gutter="0" w:footer="0" w:header="0"/>
        </w:sectPr>
      </w:pPr>
    </w:p>
    <w:bookmarkStart w:id="43" w:name="page44"/>
    <w:bookmarkEnd w:id="43"/>
    <w:p>
      <w:pPr>
        <w:jc w:val="both"/>
        <w:ind w:firstLine="216"/>
        <w:spacing w:after="0" w:line="266" w:lineRule="auto"/>
        <w:rPr>
          <w:sz w:val="20"/>
          <w:szCs w:val="20"/>
          <w:color w:val="auto"/>
        </w:rPr>
      </w:pPr>
      <w:r>
        <w:rPr>
          <w:rFonts w:ascii="Arial" w:cs="Arial" w:eastAsia="Arial" w:hAnsi="Arial"/>
          <w:sz w:val="18"/>
          <w:szCs w:val="18"/>
          <w:color w:val="auto"/>
        </w:rPr>
        <w:t>See Part I, Item 1A. Risk Factors – “</w:t>
      </w:r>
      <w:r>
        <w:rPr>
          <w:rFonts w:ascii="Arial" w:cs="Arial" w:eastAsia="Arial" w:hAnsi="Arial"/>
          <w:sz w:val="18"/>
          <w:szCs w:val="18"/>
          <w:i w:val="1"/>
          <w:iCs w:val="1"/>
          <w:color w:val="auto"/>
        </w:rPr>
        <w:t>We cannot guarantee that we will continue to repurchase our common stock or pay dividends on our</w:t>
      </w:r>
      <w:r>
        <w:rPr>
          <w:rFonts w:ascii="Arial" w:cs="Arial" w:eastAsia="Arial" w:hAnsi="Arial"/>
          <w:sz w:val="18"/>
          <w:szCs w:val="18"/>
          <w:color w:val="auto"/>
        </w:rPr>
        <w:t xml:space="preserve"> </w:t>
      </w:r>
      <w:r>
        <w:rPr>
          <w:rFonts w:ascii="Arial" w:cs="Arial" w:eastAsia="Arial" w:hAnsi="Arial"/>
          <w:sz w:val="18"/>
          <w:szCs w:val="18"/>
          <w:i w:val="1"/>
          <w:iCs w:val="1"/>
          <w:color w:val="auto"/>
        </w:rPr>
        <w:t>common stock or that our capital deployment program will enhance long-term stockholder value. Our capital deployment program could increase the volatility of the price of our common stock and diminish our cash reserves</w:t>
      </w:r>
      <w:r>
        <w:rPr>
          <w:rFonts w:ascii="Arial" w:cs="Arial" w:eastAsia="Arial" w:hAnsi="Arial"/>
          <w:sz w:val="18"/>
          <w:szCs w:val="18"/>
          <w:color w:val="auto"/>
        </w:rPr>
        <w:t>.”</w:t>
      </w:r>
    </w:p>
    <w:p>
      <w:pPr>
        <w:spacing w:after="0" w:line="19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Ownership Restrictions</w:t>
      </w:r>
    </w:p>
    <w:p>
      <w:pPr>
        <w:spacing w:after="0" w:line="112" w:lineRule="exact"/>
        <w:rPr>
          <w:sz w:val="20"/>
          <w:szCs w:val="20"/>
          <w:color w:val="auto"/>
        </w:rPr>
      </w:pPr>
    </w:p>
    <w:p>
      <w:pPr>
        <w:jc w:val="both"/>
        <w:ind w:firstLine="216"/>
        <w:spacing w:after="0" w:line="252" w:lineRule="auto"/>
        <w:rPr>
          <w:sz w:val="20"/>
          <w:szCs w:val="20"/>
          <w:color w:val="auto"/>
        </w:rPr>
      </w:pPr>
      <w:r>
        <w:rPr>
          <w:rFonts w:ascii="Arial" w:cs="Arial" w:eastAsia="Arial" w:hAnsi="Arial"/>
          <w:sz w:val="18"/>
          <w:szCs w:val="18"/>
          <w:color w:val="auto"/>
        </w:rPr>
        <w:t>AAG’s Certificate of Incorporation and Bylaws provide that, consistent with the requirements of Subtitle VII of Title 49 of the United States Code, as amended (the Aviation Act), any persons or entities who are not a “citizen of the United States” (as defined under the Aviation Act and administrative interpretations issued by the DOT, its predecessors and successors, from time to time), including any agent, trustee or representative of such persons or entities (a non-citizen), shall not, in the aggregate, own (beneficially or of record) and/or control more than (a) 24.9% of the aggregate votes of all of our outstanding equity securities or (b) 49.0% of our outstanding equity securities. Our Certificate of Incorporation and Bylaws further specify that it is the duty of each stockholder who is a non-citizen to register his, her or its equity securities on our foreign stock record and provide for remedies applicable to stockholders that exceed the voting and ownership caps described above.</w:t>
      </w:r>
    </w:p>
    <w:p>
      <w:pPr>
        <w:spacing w:after="0" w:line="153" w:lineRule="exact"/>
        <w:rPr>
          <w:sz w:val="20"/>
          <w:szCs w:val="20"/>
          <w:color w:val="auto"/>
        </w:rPr>
      </w:pPr>
    </w:p>
    <w:p>
      <w:pPr>
        <w:jc w:val="both"/>
        <w:ind w:firstLine="216"/>
        <w:spacing w:after="0" w:line="256" w:lineRule="auto"/>
        <w:rPr>
          <w:sz w:val="20"/>
          <w:szCs w:val="20"/>
          <w:color w:val="auto"/>
        </w:rPr>
      </w:pPr>
      <w:r>
        <w:rPr>
          <w:rFonts w:ascii="Arial" w:cs="Arial" w:eastAsia="Arial" w:hAnsi="Arial"/>
          <w:sz w:val="18"/>
          <w:szCs w:val="18"/>
          <w:color w:val="auto"/>
        </w:rPr>
        <w:t>In addition, to reduce the risk of a potential adverse effect on our ability to use our NOL Carryforwards and certain other tax attributes for federal income tax purposes, our Certificate of Incorporation contains certain restrictions on the acquisition and disposition of our common stock by substantial stockholders (generally holders of more than 4.75%).</w:t>
      </w:r>
    </w:p>
    <w:p>
      <w:pPr>
        <w:spacing w:after="0" w:line="130" w:lineRule="exact"/>
        <w:rPr>
          <w:sz w:val="20"/>
          <w:szCs w:val="20"/>
          <w:color w:val="auto"/>
        </w:rPr>
      </w:pPr>
    </w:p>
    <w:p>
      <w:pPr>
        <w:jc w:val="both"/>
        <w:ind w:firstLine="216"/>
        <w:spacing w:after="0" w:line="261" w:lineRule="auto"/>
        <w:rPr>
          <w:sz w:val="20"/>
          <w:szCs w:val="20"/>
          <w:color w:val="auto"/>
        </w:rPr>
      </w:pPr>
      <w:r>
        <w:rPr>
          <w:rFonts w:ascii="Arial" w:cs="Arial" w:eastAsia="Arial" w:hAnsi="Arial"/>
          <w:sz w:val="18"/>
          <w:szCs w:val="18"/>
          <w:color w:val="auto"/>
        </w:rPr>
        <w:t xml:space="preserve">See Part I, Item 1A. Risk Factors – </w:t>
      </w:r>
      <w:r>
        <w:rPr>
          <w:rFonts w:ascii="Arial" w:cs="Arial" w:eastAsia="Arial" w:hAnsi="Arial"/>
          <w:sz w:val="18"/>
          <w:szCs w:val="18"/>
          <w:i w:val="1"/>
          <w:iCs w:val="1"/>
          <w:color w:val="auto"/>
        </w:rPr>
        <w:t>“AAG’s Certificate of Incorporation and Bylaws include provisions that limit voting and acquisition and</w:t>
      </w:r>
      <w:r>
        <w:rPr>
          <w:rFonts w:ascii="Arial" w:cs="Arial" w:eastAsia="Arial" w:hAnsi="Arial"/>
          <w:sz w:val="18"/>
          <w:szCs w:val="18"/>
          <w:color w:val="auto"/>
        </w:rPr>
        <w:t xml:space="preserve"> </w:t>
      </w:r>
      <w:r>
        <w:rPr>
          <w:rFonts w:ascii="Arial" w:cs="Arial" w:eastAsia="Arial" w:hAnsi="Arial"/>
          <w:sz w:val="18"/>
          <w:szCs w:val="18"/>
          <w:i w:val="1"/>
          <w:iCs w:val="1"/>
          <w:color w:val="auto"/>
        </w:rPr>
        <w:t xml:space="preserve">disposition of our equity interests.” </w:t>
      </w:r>
      <w:r>
        <w:rPr>
          <w:rFonts w:ascii="Arial" w:cs="Arial" w:eastAsia="Arial" w:hAnsi="Arial"/>
          <w:sz w:val="18"/>
          <w:szCs w:val="18"/>
          <w:color w:val="auto"/>
        </w:rPr>
        <w:t>Also see AAG’s Certification of Incorporation and Bylaws, which are filed as Exhibits 3.1, 3.2 and 3.3 hereto,</w:t>
      </w:r>
      <w:r>
        <w:rPr>
          <w:rFonts w:ascii="Arial" w:cs="Arial" w:eastAsia="Arial" w:hAnsi="Arial"/>
          <w:sz w:val="18"/>
          <w:szCs w:val="18"/>
          <w:i w:val="1"/>
          <w:iCs w:val="1"/>
          <w:color w:val="auto"/>
        </w:rPr>
        <w:t xml:space="preserve"> </w:t>
      </w:r>
      <w:r>
        <w:rPr>
          <w:rFonts w:ascii="Arial" w:cs="Arial" w:eastAsia="Arial" w:hAnsi="Arial"/>
          <w:sz w:val="18"/>
          <w:szCs w:val="18"/>
          <w:color w:val="auto"/>
        </w:rPr>
        <w:t>for the full text of the foregoing restrictions and AAG’s Description of the Registrants’ Securities Registered Pursuant to Section 12 of the Securities Exchange Act of 1934, which is filed as Exhibit 4.1 hereto, for a more detailed description.</w:t>
      </w:r>
    </w:p>
    <w:p>
      <w:pPr>
        <w:spacing w:after="0" w:line="19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44</w:t>
      </w:r>
    </w:p>
    <w:p>
      <w:pPr>
        <w:sectPr>
          <w:pgSz w:w="11900" w:h="16838" w:orient="portrait"/>
          <w:cols w:equalWidth="0" w:num="1">
            <w:col w:w="11420"/>
          </w:cols>
          <w:pgMar w:left="240" w:top="715" w:right="239" w:bottom="1440" w:gutter="0" w:footer="0" w:header="0"/>
        </w:sectPr>
      </w:pPr>
    </w:p>
    <w:bookmarkStart w:id="44" w:name="page45"/>
    <w:bookmarkEnd w:id="44"/>
    <w:p>
      <w:pPr>
        <w:spacing w:after="0"/>
        <w:rPr>
          <w:sz w:val="20"/>
          <w:szCs w:val="20"/>
          <w:color w:val="auto"/>
        </w:rPr>
      </w:pPr>
      <w:r>
        <w:rPr>
          <w:rFonts w:ascii="Arial" w:cs="Arial" w:eastAsia="Arial" w:hAnsi="Arial"/>
          <w:sz w:val="18"/>
          <w:szCs w:val="18"/>
          <w:b w:val="1"/>
          <w:bCs w:val="1"/>
          <w:color w:val="auto"/>
        </w:rPr>
        <w:t>ITEM 6. SELECTED CONSOLIDATED FINANCIAL DATA</w:t>
      </w:r>
    </w:p>
    <w:p>
      <w:pPr>
        <w:spacing w:after="0" w:line="112" w:lineRule="exact"/>
        <w:rPr>
          <w:sz w:val="20"/>
          <w:szCs w:val="20"/>
          <w:color w:val="auto"/>
        </w:rPr>
      </w:pPr>
    </w:p>
    <w:p>
      <w:pPr>
        <w:ind w:left="260"/>
        <w:spacing w:after="0"/>
        <w:rPr>
          <w:sz w:val="20"/>
          <w:szCs w:val="20"/>
          <w:color w:val="auto"/>
        </w:rPr>
      </w:pPr>
      <w:r>
        <w:rPr>
          <w:rFonts w:ascii="Arial" w:cs="Arial" w:eastAsia="Arial" w:hAnsi="Arial"/>
          <w:sz w:val="18"/>
          <w:szCs w:val="18"/>
          <w:color w:val="auto"/>
        </w:rPr>
        <w:t>We adopted three new accounting standards as of January 1, 2018: Accounting Standards Update (ASU) 2016-02: Leases (Topic 842) (the</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New Lease Standard), ASU 2014-09: Revenue from Contracts with Customers (the New Revenue Standard) and ASU 2017-07: Compensation</w:t>
      </w:r>
    </w:p>
    <w:p>
      <w:pPr>
        <w:spacing w:after="0" w:line="9" w:lineRule="exact"/>
        <w:rPr>
          <w:sz w:val="20"/>
          <w:szCs w:val="20"/>
          <w:color w:val="auto"/>
        </w:rPr>
      </w:pPr>
    </w:p>
    <w:p>
      <w:pPr>
        <w:jc w:val="both"/>
        <w:ind w:firstLine="8"/>
        <w:spacing w:after="0" w:line="253" w:lineRule="auto"/>
        <w:tabs>
          <w:tab w:leader="none" w:pos="113" w:val="left"/>
        </w:tabs>
        <w:numPr>
          <w:ilvl w:val="0"/>
          <w:numId w:val="16"/>
        </w:numPr>
        <w:rPr>
          <w:rFonts w:ascii="Arial" w:cs="Arial" w:eastAsia="Arial" w:hAnsi="Arial"/>
          <w:sz w:val="18"/>
          <w:szCs w:val="18"/>
          <w:color w:val="auto"/>
        </w:rPr>
      </w:pPr>
      <w:r>
        <w:rPr>
          <w:rFonts w:ascii="Arial" w:cs="Arial" w:eastAsia="Arial" w:hAnsi="Arial"/>
          <w:sz w:val="18"/>
          <w:szCs w:val="18"/>
          <w:color w:val="auto"/>
        </w:rPr>
        <w:t>Retirement Benefits (the New Retirement Standard). The 2017 and 2016 financial information presented within Item 6. Selected Consolidated Financial Data has been recast to reflect the impact of the adoption of the New Revenue Standard and the New Retirement Standard. The New Lease Standard did not require the recast of prior periods. See Note 1(b) to AAG’s and American’s Consolidated Financial Statements in Part II, Items 8A and 8B, respectively, of AAG’s and American’s Annual Report on Form 10-K for the year ended December 31, 2018 (the 2018 Form 10-K), for further information on the impacts of these new accounting standards.</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Selected Consolidated Financial Data of AAG</w:t>
      </w:r>
    </w:p>
    <w:p>
      <w:pPr>
        <w:spacing w:after="0" w:line="112" w:lineRule="exact"/>
        <w:rPr>
          <w:sz w:val="20"/>
          <w:szCs w:val="20"/>
          <w:color w:val="auto"/>
        </w:rPr>
      </w:pPr>
    </w:p>
    <w:p>
      <w:pPr>
        <w:jc w:val="both"/>
        <w:ind w:firstLine="216"/>
        <w:spacing w:after="0" w:line="256" w:lineRule="auto"/>
        <w:rPr>
          <w:sz w:val="20"/>
          <w:szCs w:val="20"/>
          <w:color w:val="auto"/>
        </w:rPr>
      </w:pPr>
      <w:r>
        <w:rPr>
          <w:rFonts w:ascii="Arial" w:cs="Arial" w:eastAsia="Arial" w:hAnsi="Arial"/>
          <w:sz w:val="18"/>
          <w:szCs w:val="18"/>
          <w:color w:val="auto"/>
        </w:rPr>
        <w:t>The selected consolidated financial data presented below under the captions “Consolidated Statements of Operations data” and “Consolidated Balance Sheet data” for the years ended December 31, 2019, 2018, 2017, 2016 and 2015 are derived from AAG’s audited consolidated financial statements.</w:t>
      </w:r>
    </w:p>
    <w:p>
      <w:pPr>
        <w:spacing w:after="0" w:line="298" w:lineRule="exact"/>
        <w:rPr>
          <w:sz w:val="20"/>
          <w:szCs w:val="20"/>
          <w:color w:val="auto"/>
        </w:rPr>
      </w:pPr>
    </w:p>
    <w:tbl>
      <w:tblPr>
        <w:tblLayout w:type="fixed"/>
        <w:tblInd w:w="0" w:type="dxa"/>
        <w:tblCellMar>
          <w:top w:w="0" w:type="dxa"/>
          <w:left w:w="0" w:type="dxa"/>
          <w:bottom w:w="0" w:type="dxa"/>
          <w:right w:w="0" w:type="dxa"/>
        </w:tblCellMar>
      </w:tblPr>
      <w:tr>
        <w:trPr>
          <w:trHeight w:val="196"/>
        </w:trPr>
        <w:tc>
          <w:tcPr>
            <w:tcW w:w="40" w:type="dxa"/>
            <w:vAlign w:val="bottom"/>
          </w:tcPr>
          <w:p>
            <w:pPr>
              <w:spacing w:after="0"/>
              <w:rPr>
                <w:sz w:val="17"/>
                <w:szCs w:val="17"/>
                <w:color w:val="auto"/>
              </w:rPr>
            </w:pPr>
          </w:p>
        </w:tc>
        <w:tc>
          <w:tcPr>
            <w:tcW w:w="1520" w:type="dxa"/>
            <w:vAlign w:val="bottom"/>
          </w:tcPr>
          <w:p>
            <w:pPr>
              <w:spacing w:after="0"/>
              <w:rPr>
                <w:sz w:val="17"/>
                <w:szCs w:val="17"/>
                <w:color w:val="auto"/>
              </w:rPr>
            </w:pPr>
          </w:p>
        </w:tc>
        <w:tc>
          <w:tcPr>
            <w:tcW w:w="132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300" w:type="dxa"/>
            <w:vAlign w:val="bottom"/>
            <w:tcBorders>
              <w:bottom w:val="single" w:sz="8" w:color="auto"/>
            </w:tcBorders>
          </w:tcPr>
          <w:p>
            <w:pPr>
              <w:spacing w:after="0"/>
              <w:rPr>
                <w:sz w:val="17"/>
                <w:szCs w:val="17"/>
                <w:color w:val="auto"/>
              </w:rPr>
            </w:pPr>
          </w:p>
        </w:tc>
        <w:tc>
          <w:tcPr>
            <w:tcW w:w="960" w:type="dxa"/>
            <w:vAlign w:val="bottom"/>
            <w:tcBorders>
              <w:bottom w:val="single" w:sz="8" w:color="auto"/>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2840" w:type="dxa"/>
            <w:vAlign w:val="bottom"/>
            <w:tcBorders>
              <w:bottom w:val="single" w:sz="8" w:color="auto"/>
            </w:tcBorders>
            <w:gridSpan w:val="6"/>
          </w:tcPr>
          <w:p>
            <w:pPr>
              <w:jc w:val="center"/>
              <w:ind w:left="673"/>
              <w:spacing w:after="0"/>
              <w:rPr>
                <w:sz w:val="20"/>
                <w:szCs w:val="20"/>
                <w:color w:val="auto"/>
              </w:rPr>
            </w:pPr>
            <w:r>
              <w:rPr>
                <w:rFonts w:ascii="Arial" w:cs="Arial" w:eastAsia="Arial" w:hAnsi="Arial"/>
                <w:sz w:val="14"/>
                <w:szCs w:val="14"/>
                <w:b w:val="1"/>
                <w:bCs w:val="1"/>
                <w:color w:val="auto"/>
              </w:rPr>
              <w:t>Year Ended December 31,</w:t>
            </w:r>
          </w:p>
        </w:tc>
        <w:tc>
          <w:tcPr>
            <w:tcW w:w="960" w:type="dxa"/>
            <w:vAlign w:val="bottom"/>
            <w:tcBorders>
              <w:bottom w:val="single" w:sz="8" w:color="auto"/>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300" w:type="dxa"/>
            <w:vAlign w:val="bottom"/>
            <w:tcBorders>
              <w:bottom w:val="single" w:sz="8" w:color="auto"/>
            </w:tcBorders>
          </w:tcPr>
          <w:p>
            <w:pPr>
              <w:spacing w:after="0"/>
              <w:rPr>
                <w:sz w:val="17"/>
                <w:szCs w:val="17"/>
                <w:color w:val="auto"/>
              </w:rPr>
            </w:pPr>
          </w:p>
        </w:tc>
        <w:tc>
          <w:tcPr>
            <w:tcW w:w="960" w:type="dxa"/>
            <w:vAlign w:val="bottom"/>
            <w:tcBorders>
              <w:bottom w:val="single" w:sz="8" w:color="auto"/>
            </w:tcBorders>
          </w:tcPr>
          <w:p>
            <w:pPr>
              <w:spacing w:after="0"/>
              <w:rPr>
                <w:sz w:val="17"/>
                <w:szCs w:val="17"/>
                <w:color w:val="auto"/>
              </w:rPr>
            </w:pPr>
          </w:p>
        </w:tc>
      </w:tr>
      <w:tr>
        <w:trPr>
          <w:trHeight w:val="264"/>
        </w:trPr>
        <w:tc>
          <w:tcPr>
            <w:tcW w:w="40" w:type="dxa"/>
            <w:vAlign w:val="bottom"/>
          </w:tcPr>
          <w:p>
            <w:pPr>
              <w:spacing w:after="0"/>
              <w:rPr>
                <w:sz w:val="22"/>
                <w:szCs w:val="22"/>
                <w:color w:val="auto"/>
              </w:rPr>
            </w:pPr>
          </w:p>
        </w:tc>
        <w:tc>
          <w:tcPr>
            <w:tcW w:w="1520" w:type="dxa"/>
            <w:vAlign w:val="bottom"/>
          </w:tcPr>
          <w:p>
            <w:pPr>
              <w:spacing w:after="0"/>
              <w:rPr>
                <w:sz w:val="22"/>
                <w:szCs w:val="22"/>
                <w:color w:val="auto"/>
              </w:rPr>
            </w:pPr>
          </w:p>
        </w:tc>
        <w:tc>
          <w:tcPr>
            <w:tcW w:w="1320" w:type="dxa"/>
            <w:vAlign w:val="bottom"/>
          </w:tcPr>
          <w:p>
            <w:pPr>
              <w:spacing w:after="0"/>
              <w:rPr>
                <w:sz w:val="22"/>
                <w:szCs w:val="22"/>
                <w:color w:val="auto"/>
              </w:rPr>
            </w:pPr>
          </w:p>
        </w:tc>
        <w:tc>
          <w:tcPr>
            <w:tcW w:w="1020" w:type="dxa"/>
            <w:vAlign w:val="bottom"/>
          </w:tcPr>
          <w:p>
            <w:pPr>
              <w:spacing w:after="0"/>
              <w:rPr>
                <w:sz w:val="22"/>
                <w:szCs w:val="22"/>
                <w:color w:val="auto"/>
              </w:rPr>
            </w:pPr>
          </w:p>
        </w:tc>
        <w:tc>
          <w:tcPr>
            <w:tcW w:w="740" w:type="dxa"/>
            <w:vAlign w:val="bottom"/>
          </w:tcPr>
          <w:p>
            <w:pPr>
              <w:spacing w:after="0"/>
              <w:rPr>
                <w:sz w:val="22"/>
                <w:szCs w:val="22"/>
                <w:color w:val="auto"/>
              </w:rPr>
            </w:pPr>
          </w:p>
        </w:tc>
        <w:tc>
          <w:tcPr>
            <w:tcW w:w="300" w:type="dxa"/>
            <w:vAlign w:val="bottom"/>
            <w:tcBorders>
              <w:bottom w:val="single" w:sz="8" w:color="auto"/>
            </w:tcBorders>
          </w:tcPr>
          <w:p>
            <w:pPr>
              <w:spacing w:after="0"/>
              <w:rPr>
                <w:sz w:val="22"/>
                <w:szCs w:val="22"/>
                <w:color w:val="auto"/>
              </w:rPr>
            </w:pPr>
          </w:p>
        </w:tc>
        <w:tc>
          <w:tcPr>
            <w:tcW w:w="960" w:type="dxa"/>
            <w:vAlign w:val="bottom"/>
            <w:tcBorders>
              <w:bottom w:val="single" w:sz="8" w:color="auto"/>
            </w:tcBorders>
          </w:tcPr>
          <w:p>
            <w:pPr>
              <w:jc w:val="right"/>
              <w:ind w:right="371"/>
              <w:spacing w:after="0"/>
              <w:rPr>
                <w:sz w:val="20"/>
                <w:szCs w:val="20"/>
                <w:color w:val="auto"/>
              </w:rPr>
            </w:pPr>
            <w:r>
              <w:rPr>
                <w:rFonts w:ascii="Arial" w:cs="Arial" w:eastAsia="Arial" w:hAnsi="Arial"/>
                <w:sz w:val="14"/>
                <w:szCs w:val="14"/>
                <w:b w:val="1"/>
                <w:bCs w:val="1"/>
                <w:color w:val="auto"/>
              </w:rPr>
              <w:t>2019</w:t>
            </w:r>
          </w:p>
        </w:tc>
        <w:tc>
          <w:tcPr>
            <w:tcW w:w="120" w:type="dxa"/>
            <w:vAlign w:val="bottom"/>
            <w:tcBorders>
              <w:bottom w:val="single" w:sz="8" w:color="auto"/>
            </w:tcBorders>
          </w:tcPr>
          <w:p>
            <w:pPr>
              <w:spacing w:after="0"/>
              <w:rPr>
                <w:sz w:val="22"/>
                <w:szCs w:val="22"/>
                <w:color w:val="auto"/>
              </w:rPr>
            </w:pPr>
          </w:p>
        </w:tc>
        <w:tc>
          <w:tcPr>
            <w:tcW w:w="220" w:type="dxa"/>
            <w:vAlign w:val="bottom"/>
            <w:tcBorders>
              <w:bottom w:val="single" w:sz="8" w:color="auto"/>
            </w:tcBorders>
          </w:tcPr>
          <w:p>
            <w:pPr>
              <w:spacing w:after="0"/>
              <w:rPr>
                <w:sz w:val="22"/>
                <w:szCs w:val="22"/>
                <w:color w:val="auto"/>
              </w:rPr>
            </w:pPr>
          </w:p>
        </w:tc>
        <w:tc>
          <w:tcPr>
            <w:tcW w:w="1040" w:type="dxa"/>
            <w:vAlign w:val="bottom"/>
            <w:tcBorders>
              <w:bottom w:val="single" w:sz="8" w:color="auto"/>
            </w:tcBorders>
          </w:tcPr>
          <w:p>
            <w:pPr>
              <w:jc w:val="right"/>
              <w:ind w:right="373"/>
              <w:spacing w:after="0"/>
              <w:rPr>
                <w:sz w:val="20"/>
                <w:szCs w:val="20"/>
                <w:color w:val="auto"/>
              </w:rPr>
            </w:pPr>
            <w:r>
              <w:rPr>
                <w:rFonts w:ascii="Arial" w:cs="Arial" w:eastAsia="Arial" w:hAnsi="Arial"/>
                <w:sz w:val="14"/>
                <w:szCs w:val="14"/>
                <w:b w:val="1"/>
                <w:bCs w:val="1"/>
                <w:color w:val="auto"/>
              </w:rPr>
              <w:t>2018</w:t>
            </w:r>
          </w:p>
        </w:tc>
        <w:tc>
          <w:tcPr>
            <w:tcW w:w="120" w:type="dxa"/>
            <w:vAlign w:val="bottom"/>
            <w:tcBorders>
              <w:bottom w:val="single" w:sz="8" w:color="auto"/>
            </w:tcBorders>
          </w:tcPr>
          <w:p>
            <w:pPr>
              <w:spacing w:after="0"/>
              <w:rPr>
                <w:sz w:val="22"/>
                <w:szCs w:val="22"/>
                <w:color w:val="auto"/>
              </w:rPr>
            </w:pPr>
          </w:p>
        </w:tc>
        <w:tc>
          <w:tcPr>
            <w:tcW w:w="300" w:type="dxa"/>
            <w:vAlign w:val="bottom"/>
            <w:tcBorders>
              <w:bottom w:val="single" w:sz="8" w:color="auto"/>
            </w:tcBorders>
          </w:tcPr>
          <w:p>
            <w:pPr>
              <w:spacing w:after="0"/>
              <w:rPr>
                <w:sz w:val="22"/>
                <w:szCs w:val="22"/>
                <w:color w:val="auto"/>
              </w:rPr>
            </w:pPr>
          </w:p>
        </w:tc>
        <w:tc>
          <w:tcPr>
            <w:tcW w:w="960" w:type="dxa"/>
            <w:vAlign w:val="bottom"/>
            <w:tcBorders>
              <w:bottom w:val="single" w:sz="8" w:color="auto"/>
            </w:tcBorders>
          </w:tcPr>
          <w:p>
            <w:pPr>
              <w:jc w:val="center"/>
              <w:ind w:right="191"/>
              <w:spacing w:after="0"/>
              <w:rPr>
                <w:sz w:val="20"/>
                <w:szCs w:val="20"/>
                <w:color w:val="auto"/>
              </w:rPr>
            </w:pPr>
            <w:r>
              <w:rPr>
                <w:rFonts w:ascii="Arial" w:cs="Arial" w:eastAsia="Arial" w:hAnsi="Arial"/>
                <w:sz w:val="14"/>
                <w:szCs w:val="14"/>
                <w:b w:val="1"/>
                <w:bCs w:val="1"/>
                <w:color w:val="auto"/>
              </w:rPr>
              <w:t>2017</w:t>
            </w:r>
          </w:p>
        </w:tc>
        <w:tc>
          <w:tcPr>
            <w:tcW w:w="120" w:type="dxa"/>
            <w:vAlign w:val="bottom"/>
            <w:tcBorders>
              <w:bottom w:val="single" w:sz="8" w:color="auto"/>
            </w:tcBorders>
          </w:tcPr>
          <w:p>
            <w:pPr>
              <w:spacing w:after="0"/>
              <w:rPr>
                <w:sz w:val="22"/>
                <w:szCs w:val="22"/>
                <w:color w:val="auto"/>
              </w:rPr>
            </w:pPr>
          </w:p>
        </w:tc>
        <w:tc>
          <w:tcPr>
            <w:tcW w:w="300" w:type="dxa"/>
            <w:vAlign w:val="bottom"/>
            <w:tcBorders>
              <w:bottom w:val="single" w:sz="8" w:color="auto"/>
            </w:tcBorders>
          </w:tcPr>
          <w:p>
            <w:pPr>
              <w:spacing w:after="0"/>
              <w:rPr>
                <w:sz w:val="22"/>
                <w:szCs w:val="22"/>
                <w:color w:val="auto"/>
              </w:rPr>
            </w:pPr>
          </w:p>
        </w:tc>
        <w:tc>
          <w:tcPr>
            <w:tcW w:w="960" w:type="dxa"/>
            <w:vAlign w:val="bottom"/>
            <w:tcBorders>
              <w:bottom w:val="single" w:sz="8" w:color="auto"/>
            </w:tcBorders>
          </w:tcPr>
          <w:p>
            <w:pPr>
              <w:jc w:val="right"/>
              <w:ind w:right="391"/>
              <w:spacing w:after="0"/>
              <w:rPr>
                <w:sz w:val="20"/>
                <w:szCs w:val="20"/>
                <w:color w:val="auto"/>
              </w:rPr>
            </w:pPr>
            <w:r>
              <w:rPr>
                <w:rFonts w:ascii="Arial" w:cs="Arial" w:eastAsia="Arial" w:hAnsi="Arial"/>
                <w:sz w:val="14"/>
                <w:szCs w:val="14"/>
                <w:b w:val="1"/>
                <w:bCs w:val="1"/>
                <w:color w:val="auto"/>
              </w:rPr>
              <w:t>2016</w:t>
            </w:r>
          </w:p>
        </w:tc>
        <w:tc>
          <w:tcPr>
            <w:tcW w:w="120" w:type="dxa"/>
            <w:vAlign w:val="bottom"/>
            <w:tcBorders>
              <w:bottom w:val="single" w:sz="8" w:color="auto"/>
            </w:tcBorders>
          </w:tcPr>
          <w:p>
            <w:pPr>
              <w:spacing w:after="0"/>
              <w:rPr>
                <w:sz w:val="22"/>
                <w:szCs w:val="22"/>
                <w:color w:val="auto"/>
              </w:rPr>
            </w:pPr>
          </w:p>
        </w:tc>
        <w:tc>
          <w:tcPr>
            <w:tcW w:w="300" w:type="dxa"/>
            <w:vAlign w:val="bottom"/>
            <w:tcBorders>
              <w:bottom w:val="single" w:sz="8" w:color="auto"/>
            </w:tcBorders>
          </w:tcPr>
          <w:p>
            <w:pPr>
              <w:spacing w:after="0"/>
              <w:rPr>
                <w:sz w:val="22"/>
                <w:szCs w:val="22"/>
                <w:color w:val="auto"/>
              </w:rPr>
            </w:pPr>
          </w:p>
        </w:tc>
        <w:tc>
          <w:tcPr>
            <w:tcW w:w="960" w:type="dxa"/>
            <w:vAlign w:val="bottom"/>
            <w:tcBorders>
              <w:bottom w:val="single" w:sz="8" w:color="auto"/>
            </w:tcBorders>
          </w:tcPr>
          <w:p>
            <w:pPr>
              <w:jc w:val="right"/>
              <w:ind w:right="391"/>
              <w:spacing w:after="0"/>
              <w:rPr>
                <w:sz w:val="20"/>
                <w:szCs w:val="20"/>
                <w:color w:val="auto"/>
              </w:rPr>
            </w:pPr>
            <w:r>
              <w:rPr>
                <w:rFonts w:ascii="Arial" w:cs="Arial" w:eastAsia="Arial" w:hAnsi="Arial"/>
                <w:sz w:val="14"/>
                <w:szCs w:val="14"/>
                <w:b w:val="1"/>
                <w:bCs w:val="1"/>
                <w:color w:val="auto"/>
              </w:rPr>
              <w:t>2015</w:t>
            </w:r>
          </w:p>
        </w:tc>
      </w:tr>
      <w:tr>
        <w:trPr>
          <w:trHeight w:val="210"/>
        </w:trPr>
        <w:tc>
          <w:tcPr>
            <w:tcW w:w="40" w:type="dxa"/>
            <w:vAlign w:val="bottom"/>
          </w:tcPr>
          <w:p>
            <w:pPr>
              <w:spacing w:after="0"/>
              <w:rPr>
                <w:sz w:val="18"/>
                <w:szCs w:val="18"/>
                <w:color w:val="auto"/>
              </w:rPr>
            </w:pPr>
          </w:p>
        </w:tc>
        <w:tc>
          <w:tcPr>
            <w:tcW w:w="152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920" w:type="dxa"/>
            <w:vAlign w:val="bottom"/>
            <w:gridSpan w:val="8"/>
          </w:tcPr>
          <w:p>
            <w:pPr>
              <w:jc w:val="center"/>
              <w:ind w:right="320"/>
              <w:spacing w:after="0"/>
              <w:rPr>
                <w:sz w:val="20"/>
                <w:szCs w:val="20"/>
                <w:color w:val="auto"/>
              </w:rPr>
            </w:pPr>
            <w:r>
              <w:rPr>
                <w:rFonts w:ascii="Arial" w:cs="Arial" w:eastAsia="Arial" w:hAnsi="Arial"/>
                <w:sz w:val="14"/>
                <w:szCs w:val="14"/>
                <w:b w:val="1"/>
                <w:bCs w:val="1"/>
                <w:color w:val="auto"/>
              </w:rPr>
              <w:t>(In millions, except share and per share amounts)</w:t>
            </w:r>
          </w:p>
        </w:tc>
        <w:tc>
          <w:tcPr>
            <w:tcW w:w="300" w:type="dxa"/>
            <w:vAlign w:val="bottom"/>
          </w:tcPr>
          <w:p>
            <w:pPr>
              <w:spacing w:after="0"/>
              <w:rPr>
                <w:sz w:val="18"/>
                <w:szCs w:val="18"/>
                <w:color w:val="auto"/>
              </w:rPr>
            </w:pPr>
          </w:p>
        </w:tc>
        <w:tc>
          <w:tcPr>
            <w:tcW w:w="960" w:type="dxa"/>
            <w:vAlign w:val="bottom"/>
          </w:tcPr>
          <w:p>
            <w:pPr>
              <w:spacing w:after="0"/>
              <w:rPr>
                <w:sz w:val="18"/>
                <w:szCs w:val="18"/>
                <w:color w:val="auto"/>
              </w:rPr>
            </w:pPr>
          </w:p>
        </w:tc>
      </w:tr>
      <w:tr>
        <w:trPr>
          <w:trHeight w:val="256"/>
        </w:trPr>
        <w:tc>
          <w:tcPr>
            <w:tcW w:w="40" w:type="dxa"/>
            <w:vAlign w:val="bottom"/>
            <w:tcBorders>
              <w:bottom w:val="single" w:sz="8" w:color="CCEEFF"/>
            </w:tcBorders>
            <w:shd w:val="clear" w:color="auto" w:fill="CCEEFF"/>
          </w:tcPr>
          <w:p>
            <w:pPr>
              <w:spacing w:after="0"/>
              <w:rPr>
                <w:sz w:val="22"/>
                <w:szCs w:val="22"/>
                <w:color w:val="auto"/>
              </w:rPr>
            </w:pPr>
          </w:p>
        </w:tc>
        <w:tc>
          <w:tcPr>
            <w:tcW w:w="3860" w:type="dxa"/>
            <w:vAlign w:val="bottom"/>
            <w:tcBorders>
              <w:bottom w:val="single" w:sz="8" w:color="auto"/>
            </w:tcBorders>
            <w:gridSpan w:val="3"/>
            <w:shd w:val="clear" w:color="auto" w:fill="CCEEFF"/>
          </w:tcPr>
          <w:p>
            <w:pPr>
              <w:spacing w:after="0"/>
              <w:rPr>
                <w:sz w:val="20"/>
                <w:szCs w:val="20"/>
                <w:color w:val="auto"/>
              </w:rPr>
            </w:pPr>
            <w:r>
              <w:rPr>
                <w:rFonts w:ascii="Arial" w:cs="Arial" w:eastAsia="Arial" w:hAnsi="Arial"/>
                <w:sz w:val="18"/>
                <w:szCs w:val="18"/>
                <w:b w:val="1"/>
                <w:bCs w:val="1"/>
                <w:color w:val="auto"/>
                <w:w w:val="99"/>
              </w:rPr>
              <w:t>Consolidated Statements of Operations data:</w:t>
            </w:r>
          </w:p>
        </w:tc>
        <w:tc>
          <w:tcPr>
            <w:tcW w:w="740" w:type="dxa"/>
            <w:vAlign w:val="bottom"/>
            <w:tcBorders>
              <w:bottom w:val="single" w:sz="8" w:color="CCEEFF"/>
            </w:tcBorders>
            <w:shd w:val="clear" w:color="auto" w:fill="CCEEFF"/>
          </w:tcPr>
          <w:p>
            <w:pPr>
              <w:spacing w:after="0"/>
              <w:rPr>
                <w:sz w:val="22"/>
                <w:szCs w:val="22"/>
                <w:color w:val="auto"/>
              </w:rPr>
            </w:pPr>
          </w:p>
        </w:tc>
        <w:tc>
          <w:tcPr>
            <w:tcW w:w="300" w:type="dxa"/>
            <w:vAlign w:val="bottom"/>
            <w:tcBorders>
              <w:bottom w:val="single" w:sz="8" w:color="CCEEFF"/>
            </w:tcBorders>
            <w:shd w:val="clear" w:color="auto" w:fill="CCEEFF"/>
          </w:tcPr>
          <w:p>
            <w:pPr>
              <w:spacing w:after="0"/>
              <w:rPr>
                <w:sz w:val="22"/>
                <w:szCs w:val="22"/>
                <w:color w:val="auto"/>
              </w:rPr>
            </w:pPr>
          </w:p>
        </w:tc>
        <w:tc>
          <w:tcPr>
            <w:tcW w:w="96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CCEEFF"/>
            </w:tcBorders>
            <w:shd w:val="clear" w:color="auto" w:fill="CCEEFF"/>
          </w:tcPr>
          <w:p>
            <w:pPr>
              <w:spacing w:after="0"/>
              <w:rPr>
                <w:sz w:val="22"/>
                <w:szCs w:val="22"/>
                <w:color w:val="auto"/>
              </w:rPr>
            </w:pPr>
          </w:p>
        </w:tc>
        <w:tc>
          <w:tcPr>
            <w:tcW w:w="104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300" w:type="dxa"/>
            <w:vAlign w:val="bottom"/>
            <w:tcBorders>
              <w:bottom w:val="single" w:sz="8" w:color="CCEEFF"/>
            </w:tcBorders>
            <w:shd w:val="clear" w:color="auto" w:fill="CCEEFF"/>
          </w:tcPr>
          <w:p>
            <w:pPr>
              <w:spacing w:after="0"/>
              <w:rPr>
                <w:sz w:val="22"/>
                <w:szCs w:val="22"/>
                <w:color w:val="auto"/>
              </w:rPr>
            </w:pPr>
          </w:p>
        </w:tc>
        <w:tc>
          <w:tcPr>
            <w:tcW w:w="96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300" w:type="dxa"/>
            <w:vAlign w:val="bottom"/>
            <w:tcBorders>
              <w:bottom w:val="single" w:sz="8" w:color="CCEEFF"/>
            </w:tcBorders>
            <w:shd w:val="clear" w:color="auto" w:fill="CCEEFF"/>
          </w:tcPr>
          <w:p>
            <w:pPr>
              <w:spacing w:after="0"/>
              <w:rPr>
                <w:sz w:val="22"/>
                <w:szCs w:val="22"/>
                <w:color w:val="auto"/>
              </w:rPr>
            </w:pPr>
          </w:p>
        </w:tc>
        <w:tc>
          <w:tcPr>
            <w:tcW w:w="96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300" w:type="dxa"/>
            <w:vAlign w:val="bottom"/>
            <w:tcBorders>
              <w:bottom w:val="single" w:sz="8" w:color="CCEEFF"/>
            </w:tcBorders>
            <w:shd w:val="clear" w:color="auto" w:fill="CCEEFF"/>
          </w:tcPr>
          <w:p>
            <w:pPr>
              <w:spacing w:after="0"/>
              <w:rPr>
                <w:sz w:val="22"/>
                <w:szCs w:val="22"/>
                <w:color w:val="auto"/>
              </w:rPr>
            </w:pPr>
          </w:p>
        </w:tc>
        <w:tc>
          <w:tcPr>
            <w:tcW w:w="960" w:type="dxa"/>
            <w:vAlign w:val="bottom"/>
            <w:tcBorders>
              <w:bottom w:val="single" w:sz="8" w:color="CCEEFF"/>
            </w:tcBorders>
            <w:shd w:val="clear" w:color="auto" w:fill="CCEEFF"/>
          </w:tcPr>
          <w:p>
            <w:pPr>
              <w:spacing w:after="0"/>
              <w:rPr>
                <w:sz w:val="22"/>
                <w:szCs w:val="22"/>
                <w:color w:val="auto"/>
              </w:rPr>
            </w:pPr>
          </w:p>
        </w:tc>
      </w:tr>
      <w:tr>
        <w:trPr>
          <w:trHeight w:val="263"/>
        </w:trPr>
        <w:tc>
          <w:tcPr>
            <w:tcW w:w="40" w:type="dxa"/>
            <w:vAlign w:val="bottom"/>
          </w:tcPr>
          <w:p>
            <w:pPr>
              <w:spacing w:after="0"/>
              <w:rPr>
                <w:sz w:val="22"/>
                <w:szCs w:val="22"/>
                <w:color w:val="auto"/>
              </w:rPr>
            </w:pPr>
          </w:p>
        </w:tc>
        <w:tc>
          <w:tcPr>
            <w:tcW w:w="4600" w:type="dxa"/>
            <w:vAlign w:val="bottom"/>
            <w:gridSpan w:val="4"/>
          </w:tcPr>
          <w:p>
            <w:pPr>
              <w:spacing w:after="0"/>
              <w:rPr>
                <w:sz w:val="20"/>
                <w:szCs w:val="20"/>
                <w:color w:val="auto"/>
              </w:rPr>
            </w:pPr>
            <w:r>
              <w:rPr>
                <w:rFonts w:ascii="Arial" w:cs="Arial" w:eastAsia="Arial" w:hAnsi="Arial"/>
                <w:sz w:val="18"/>
                <w:szCs w:val="18"/>
                <w:color w:val="auto"/>
              </w:rPr>
              <w:t>Total operating revenues</w:t>
            </w:r>
          </w:p>
        </w:tc>
        <w:tc>
          <w:tcPr>
            <w:tcW w:w="300" w:type="dxa"/>
            <w:vAlign w:val="bottom"/>
          </w:tcPr>
          <w:p>
            <w:pPr>
              <w:jc w:val="right"/>
              <w:ind w:right="90"/>
              <w:spacing w:after="0"/>
              <w:rPr>
                <w:sz w:val="20"/>
                <w:szCs w:val="20"/>
                <w:color w:val="auto"/>
              </w:rPr>
            </w:pPr>
            <w:r>
              <w:rPr>
                <w:rFonts w:ascii="Arial" w:cs="Arial" w:eastAsia="Arial" w:hAnsi="Arial"/>
                <w:sz w:val="18"/>
                <w:szCs w:val="18"/>
                <w:color w:val="auto"/>
                <w:w w:val="99"/>
              </w:rPr>
              <w:t>$</w:t>
            </w:r>
          </w:p>
        </w:tc>
        <w:tc>
          <w:tcPr>
            <w:tcW w:w="960" w:type="dxa"/>
            <w:vAlign w:val="bottom"/>
          </w:tcPr>
          <w:p>
            <w:pPr>
              <w:jc w:val="right"/>
              <w:ind w:right="11"/>
              <w:spacing w:after="0"/>
              <w:rPr>
                <w:sz w:val="20"/>
                <w:szCs w:val="20"/>
                <w:color w:val="auto"/>
              </w:rPr>
            </w:pPr>
            <w:r>
              <w:rPr>
                <w:rFonts w:ascii="Arial" w:cs="Arial" w:eastAsia="Arial" w:hAnsi="Arial"/>
                <w:sz w:val="18"/>
                <w:szCs w:val="18"/>
                <w:color w:val="auto"/>
              </w:rPr>
              <w:t>45,768</w:t>
            </w:r>
          </w:p>
        </w:tc>
        <w:tc>
          <w:tcPr>
            <w:tcW w:w="120" w:type="dxa"/>
            <w:vAlign w:val="bottom"/>
          </w:tcPr>
          <w:p>
            <w:pPr>
              <w:spacing w:after="0"/>
              <w:rPr>
                <w:sz w:val="22"/>
                <w:szCs w:val="22"/>
                <w:color w:val="auto"/>
              </w:rPr>
            </w:pPr>
          </w:p>
        </w:tc>
        <w:tc>
          <w:tcPr>
            <w:tcW w:w="220" w:type="dxa"/>
            <w:vAlign w:val="bottom"/>
          </w:tcPr>
          <w:p>
            <w:pPr>
              <w:jc w:val="right"/>
              <w:ind w:right="10"/>
              <w:spacing w:after="0"/>
              <w:rPr>
                <w:sz w:val="20"/>
                <w:szCs w:val="20"/>
                <w:color w:val="auto"/>
              </w:rPr>
            </w:pPr>
            <w:r>
              <w:rPr>
                <w:rFonts w:ascii="Arial" w:cs="Arial" w:eastAsia="Arial" w:hAnsi="Arial"/>
                <w:sz w:val="18"/>
                <w:szCs w:val="18"/>
                <w:color w:val="auto"/>
                <w:w w:val="99"/>
              </w:rPr>
              <w:t>$</w:t>
            </w:r>
          </w:p>
        </w:tc>
        <w:tc>
          <w:tcPr>
            <w:tcW w:w="1040" w:type="dxa"/>
            <w:vAlign w:val="bottom"/>
          </w:tcPr>
          <w:p>
            <w:pPr>
              <w:jc w:val="right"/>
              <w:ind w:right="13"/>
              <w:spacing w:after="0"/>
              <w:rPr>
                <w:sz w:val="20"/>
                <w:szCs w:val="20"/>
                <w:color w:val="auto"/>
              </w:rPr>
            </w:pPr>
            <w:r>
              <w:rPr>
                <w:rFonts w:ascii="Arial" w:cs="Arial" w:eastAsia="Arial" w:hAnsi="Arial"/>
                <w:sz w:val="18"/>
                <w:szCs w:val="18"/>
                <w:color w:val="auto"/>
              </w:rPr>
              <w:t>44,541</w:t>
            </w:r>
          </w:p>
        </w:tc>
        <w:tc>
          <w:tcPr>
            <w:tcW w:w="120" w:type="dxa"/>
            <w:vAlign w:val="bottom"/>
          </w:tcPr>
          <w:p>
            <w:pPr>
              <w:spacing w:after="0"/>
              <w:rPr>
                <w:sz w:val="22"/>
                <w:szCs w:val="22"/>
                <w:color w:val="auto"/>
              </w:rPr>
            </w:pPr>
          </w:p>
        </w:tc>
        <w:tc>
          <w:tcPr>
            <w:tcW w:w="300" w:type="dxa"/>
            <w:vAlign w:val="bottom"/>
          </w:tcPr>
          <w:p>
            <w:pPr>
              <w:jc w:val="right"/>
              <w:ind w:right="90"/>
              <w:spacing w:after="0"/>
              <w:rPr>
                <w:sz w:val="20"/>
                <w:szCs w:val="20"/>
                <w:color w:val="auto"/>
              </w:rPr>
            </w:pPr>
            <w:r>
              <w:rPr>
                <w:rFonts w:ascii="Arial" w:cs="Arial" w:eastAsia="Arial" w:hAnsi="Arial"/>
                <w:sz w:val="18"/>
                <w:szCs w:val="18"/>
                <w:color w:val="auto"/>
                <w:w w:val="99"/>
              </w:rPr>
              <w:t>$</w:t>
            </w:r>
          </w:p>
        </w:tc>
        <w:tc>
          <w:tcPr>
            <w:tcW w:w="960" w:type="dxa"/>
            <w:vAlign w:val="bottom"/>
          </w:tcPr>
          <w:p>
            <w:pPr>
              <w:jc w:val="right"/>
              <w:ind w:right="11"/>
              <w:spacing w:after="0"/>
              <w:rPr>
                <w:sz w:val="20"/>
                <w:szCs w:val="20"/>
                <w:color w:val="auto"/>
              </w:rPr>
            </w:pPr>
            <w:r>
              <w:rPr>
                <w:rFonts w:ascii="Arial" w:cs="Arial" w:eastAsia="Arial" w:hAnsi="Arial"/>
                <w:sz w:val="18"/>
                <w:szCs w:val="18"/>
                <w:color w:val="auto"/>
              </w:rPr>
              <w:t>42,622</w:t>
            </w:r>
          </w:p>
        </w:tc>
        <w:tc>
          <w:tcPr>
            <w:tcW w:w="120" w:type="dxa"/>
            <w:vAlign w:val="bottom"/>
          </w:tcPr>
          <w:p>
            <w:pPr>
              <w:spacing w:after="0"/>
              <w:rPr>
                <w:sz w:val="22"/>
                <w:szCs w:val="22"/>
                <w:color w:val="auto"/>
              </w:rPr>
            </w:pPr>
          </w:p>
        </w:tc>
        <w:tc>
          <w:tcPr>
            <w:tcW w:w="300" w:type="dxa"/>
            <w:vAlign w:val="bottom"/>
          </w:tcPr>
          <w:p>
            <w:pPr>
              <w:jc w:val="right"/>
              <w:ind w:right="90"/>
              <w:spacing w:after="0"/>
              <w:rPr>
                <w:sz w:val="20"/>
                <w:szCs w:val="20"/>
                <w:color w:val="auto"/>
              </w:rPr>
            </w:pPr>
            <w:r>
              <w:rPr>
                <w:rFonts w:ascii="Arial" w:cs="Arial" w:eastAsia="Arial" w:hAnsi="Arial"/>
                <w:sz w:val="18"/>
                <w:szCs w:val="18"/>
                <w:color w:val="auto"/>
                <w:w w:val="99"/>
              </w:rPr>
              <w:t>$</w:t>
            </w:r>
          </w:p>
        </w:tc>
        <w:tc>
          <w:tcPr>
            <w:tcW w:w="960" w:type="dxa"/>
            <w:vAlign w:val="bottom"/>
          </w:tcPr>
          <w:p>
            <w:pPr>
              <w:jc w:val="right"/>
              <w:ind w:right="11"/>
              <w:spacing w:after="0"/>
              <w:rPr>
                <w:sz w:val="20"/>
                <w:szCs w:val="20"/>
                <w:color w:val="auto"/>
              </w:rPr>
            </w:pPr>
            <w:r>
              <w:rPr>
                <w:rFonts w:ascii="Arial" w:cs="Arial" w:eastAsia="Arial" w:hAnsi="Arial"/>
                <w:sz w:val="18"/>
                <w:szCs w:val="18"/>
                <w:color w:val="auto"/>
              </w:rPr>
              <w:t>40,142</w:t>
            </w:r>
          </w:p>
        </w:tc>
        <w:tc>
          <w:tcPr>
            <w:tcW w:w="120" w:type="dxa"/>
            <w:vAlign w:val="bottom"/>
          </w:tcPr>
          <w:p>
            <w:pPr>
              <w:spacing w:after="0"/>
              <w:rPr>
                <w:sz w:val="22"/>
                <w:szCs w:val="22"/>
                <w:color w:val="auto"/>
              </w:rPr>
            </w:pPr>
          </w:p>
        </w:tc>
        <w:tc>
          <w:tcPr>
            <w:tcW w:w="300" w:type="dxa"/>
            <w:vAlign w:val="bottom"/>
          </w:tcPr>
          <w:p>
            <w:pPr>
              <w:jc w:val="right"/>
              <w:ind w:right="90"/>
              <w:spacing w:after="0"/>
              <w:rPr>
                <w:sz w:val="20"/>
                <w:szCs w:val="20"/>
                <w:color w:val="auto"/>
              </w:rPr>
            </w:pPr>
            <w:r>
              <w:rPr>
                <w:rFonts w:ascii="Arial" w:cs="Arial" w:eastAsia="Arial" w:hAnsi="Arial"/>
                <w:sz w:val="18"/>
                <w:szCs w:val="18"/>
                <w:color w:val="auto"/>
                <w:w w:val="99"/>
              </w:rPr>
              <w:t>$</w:t>
            </w:r>
          </w:p>
        </w:tc>
        <w:tc>
          <w:tcPr>
            <w:tcW w:w="960" w:type="dxa"/>
            <w:vAlign w:val="bottom"/>
          </w:tcPr>
          <w:p>
            <w:pPr>
              <w:jc w:val="right"/>
              <w:ind w:right="11"/>
              <w:spacing w:after="0"/>
              <w:rPr>
                <w:sz w:val="20"/>
                <w:szCs w:val="20"/>
                <w:color w:val="auto"/>
              </w:rPr>
            </w:pPr>
            <w:r>
              <w:rPr>
                <w:rFonts w:ascii="Arial" w:cs="Arial" w:eastAsia="Arial" w:hAnsi="Arial"/>
                <w:sz w:val="18"/>
                <w:szCs w:val="18"/>
                <w:color w:val="auto"/>
              </w:rPr>
              <w:t>40,990</w:t>
            </w:r>
          </w:p>
        </w:tc>
      </w:tr>
      <w:tr>
        <w:trPr>
          <w:trHeight w:val="277"/>
        </w:trPr>
        <w:tc>
          <w:tcPr>
            <w:tcW w:w="40" w:type="dxa"/>
            <w:vAlign w:val="bottom"/>
            <w:shd w:val="clear" w:color="auto" w:fill="CCEEFF"/>
          </w:tcPr>
          <w:p>
            <w:pPr>
              <w:spacing w:after="0"/>
              <w:rPr>
                <w:sz w:val="24"/>
                <w:szCs w:val="24"/>
                <w:color w:val="auto"/>
              </w:rPr>
            </w:pPr>
          </w:p>
        </w:tc>
        <w:tc>
          <w:tcPr>
            <w:tcW w:w="4600" w:type="dxa"/>
            <w:vAlign w:val="bottom"/>
            <w:gridSpan w:val="4"/>
            <w:shd w:val="clear" w:color="auto" w:fill="CCEEFF"/>
          </w:tcPr>
          <w:p>
            <w:pPr>
              <w:spacing w:after="0"/>
              <w:rPr>
                <w:sz w:val="20"/>
                <w:szCs w:val="20"/>
                <w:color w:val="auto"/>
              </w:rPr>
            </w:pPr>
            <w:r>
              <w:rPr>
                <w:rFonts w:ascii="Arial" w:cs="Arial" w:eastAsia="Arial" w:hAnsi="Arial"/>
                <w:sz w:val="18"/>
                <w:szCs w:val="18"/>
                <w:color w:val="auto"/>
              </w:rPr>
              <w:t>Total operating expenses</w:t>
            </w:r>
          </w:p>
        </w:tc>
        <w:tc>
          <w:tcPr>
            <w:tcW w:w="300" w:type="dxa"/>
            <w:vAlign w:val="bottom"/>
            <w:tcBorders>
              <w:bottom w:val="single" w:sz="8" w:color="auto"/>
            </w:tcBorders>
            <w:shd w:val="clear" w:color="auto" w:fill="CCEEFF"/>
          </w:tcPr>
          <w:p>
            <w:pPr>
              <w:spacing w:after="0"/>
              <w:rPr>
                <w:sz w:val="24"/>
                <w:szCs w:val="24"/>
                <w:color w:val="auto"/>
              </w:rPr>
            </w:pPr>
          </w:p>
        </w:tc>
        <w:tc>
          <w:tcPr>
            <w:tcW w:w="960" w:type="dxa"/>
            <w:vAlign w:val="bottom"/>
            <w:tcBorders>
              <w:bottom w:val="single" w:sz="8" w:color="auto"/>
            </w:tcBorders>
            <w:shd w:val="clear" w:color="auto" w:fill="CCEEFF"/>
          </w:tcPr>
          <w:p>
            <w:pPr>
              <w:jc w:val="right"/>
              <w:ind w:right="11"/>
              <w:spacing w:after="0"/>
              <w:rPr>
                <w:sz w:val="20"/>
                <w:szCs w:val="20"/>
                <w:color w:val="auto"/>
              </w:rPr>
            </w:pPr>
            <w:r>
              <w:rPr>
                <w:rFonts w:ascii="Arial" w:cs="Arial" w:eastAsia="Arial" w:hAnsi="Arial"/>
                <w:sz w:val="18"/>
                <w:szCs w:val="18"/>
                <w:color w:val="auto"/>
              </w:rPr>
              <w:t>42,703</w:t>
            </w:r>
          </w:p>
        </w:tc>
        <w:tc>
          <w:tcPr>
            <w:tcW w:w="120" w:type="dxa"/>
            <w:vAlign w:val="bottom"/>
            <w:shd w:val="clear" w:color="auto" w:fill="CCEEFF"/>
          </w:tcPr>
          <w:p>
            <w:pPr>
              <w:spacing w:after="0"/>
              <w:rPr>
                <w:sz w:val="24"/>
                <w:szCs w:val="24"/>
                <w:color w:val="auto"/>
              </w:rPr>
            </w:pPr>
          </w:p>
        </w:tc>
        <w:tc>
          <w:tcPr>
            <w:tcW w:w="220" w:type="dxa"/>
            <w:vAlign w:val="bottom"/>
            <w:tcBorders>
              <w:bottom w:val="single" w:sz="8" w:color="auto"/>
            </w:tcBorders>
            <w:shd w:val="clear" w:color="auto" w:fill="CCEEFF"/>
          </w:tcPr>
          <w:p>
            <w:pPr>
              <w:spacing w:after="0"/>
              <w:rPr>
                <w:sz w:val="24"/>
                <w:szCs w:val="24"/>
                <w:color w:val="auto"/>
              </w:rPr>
            </w:pPr>
          </w:p>
        </w:tc>
        <w:tc>
          <w:tcPr>
            <w:tcW w:w="1040" w:type="dxa"/>
            <w:vAlign w:val="bottom"/>
            <w:tcBorders>
              <w:bottom w:val="single" w:sz="8" w:color="auto"/>
            </w:tcBorders>
            <w:shd w:val="clear" w:color="auto" w:fill="CCEEFF"/>
          </w:tcPr>
          <w:p>
            <w:pPr>
              <w:jc w:val="right"/>
              <w:ind w:right="13"/>
              <w:spacing w:after="0"/>
              <w:rPr>
                <w:sz w:val="20"/>
                <w:szCs w:val="20"/>
                <w:color w:val="auto"/>
              </w:rPr>
            </w:pPr>
            <w:r>
              <w:rPr>
                <w:rFonts w:ascii="Arial" w:cs="Arial" w:eastAsia="Arial" w:hAnsi="Arial"/>
                <w:sz w:val="18"/>
                <w:szCs w:val="18"/>
                <w:color w:val="auto"/>
              </w:rPr>
              <w:t>41,885</w:t>
            </w:r>
          </w:p>
        </w:tc>
        <w:tc>
          <w:tcPr>
            <w:tcW w:w="120" w:type="dxa"/>
            <w:vAlign w:val="bottom"/>
            <w:shd w:val="clear" w:color="auto" w:fill="CCEEFF"/>
          </w:tcPr>
          <w:p>
            <w:pPr>
              <w:spacing w:after="0"/>
              <w:rPr>
                <w:sz w:val="24"/>
                <w:szCs w:val="24"/>
                <w:color w:val="auto"/>
              </w:rPr>
            </w:pPr>
          </w:p>
        </w:tc>
        <w:tc>
          <w:tcPr>
            <w:tcW w:w="300" w:type="dxa"/>
            <w:vAlign w:val="bottom"/>
            <w:tcBorders>
              <w:bottom w:val="single" w:sz="8" w:color="auto"/>
            </w:tcBorders>
            <w:shd w:val="clear" w:color="auto" w:fill="CCEEFF"/>
          </w:tcPr>
          <w:p>
            <w:pPr>
              <w:spacing w:after="0"/>
              <w:rPr>
                <w:sz w:val="24"/>
                <w:szCs w:val="24"/>
                <w:color w:val="auto"/>
              </w:rPr>
            </w:pPr>
          </w:p>
        </w:tc>
        <w:tc>
          <w:tcPr>
            <w:tcW w:w="960" w:type="dxa"/>
            <w:vAlign w:val="bottom"/>
            <w:tcBorders>
              <w:bottom w:val="single" w:sz="8" w:color="auto"/>
            </w:tcBorders>
            <w:shd w:val="clear" w:color="auto" w:fill="CCEEFF"/>
          </w:tcPr>
          <w:p>
            <w:pPr>
              <w:jc w:val="right"/>
              <w:ind w:right="11"/>
              <w:spacing w:after="0"/>
              <w:rPr>
                <w:sz w:val="20"/>
                <w:szCs w:val="20"/>
                <w:color w:val="auto"/>
              </w:rPr>
            </w:pPr>
            <w:r>
              <w:rPr>
                <w:rFonts w:ascii="Arial" w:cs="Arial" w:eastAsia="Arial" w:hAnsi="Arial"/>
                <w:sz w:val="18"/>
                <w:szCs w:val="18"/>
                <w:color w:val="auto"/>
              </w:rPr>
              <w:t>38,391</w:t>
            </w:r>
          </w:p>
        </w:tc>
        <w:tc>
          <w:tcPr>
            <w:tcW w:w="120" w:type="dxa"/>
            <w:vAlign w:val="bottom"/>
            <w:shd w:val="clear" w:color="auto" w:fill="CCEEFF"/>
          </w:tcPr>
          <w:p>
            <w:pPr>
              <w:spacing w:after="0"/>
              <w:rPr>
                <w:sz w:val="24"/>
                <w:szCs w:val="24"/>
                <w:color w:val="auto"/>
              </w:rPr>
            </w:pPr>
          </w:p>
        </w:tc>
        <w:tc>
          <w:tcPr>
            <w:tcW w:w="300" w:type="dxa"/>
            <w:vAlign w:val="bottom"/>
            <w:tcBorders>
              <w:bottom w:val="single" w:sz="8" w:color="auto"/>
            </w:tcBorders>
            <w:shd w:val="clear" w:color="auto" w:fill="CCEEFF"/>
          </w:tcPr>
          <w:p>
            <w:pPr>
              <w:spacing w:after="0"/>
              <w:rPr>
                <w:sz w:val="24"/>
                <w:szCs w:val="24"/>
                <w:color w:val="auto"/>
              </w:rPr>
            </w:pPr>
          </w:p>
        </w:tc>
        <w:tc>
          <w:tcPr>
            <w:tcW w:w="960" w:type="dxa"/>
            <w:vAlign w:val="bottom"/>
            <w:tcBorders>
              <w:bottom w:val="single" w:sz="8" w:color="auto"/>
            </w:tcBorders>
            <w:shd w:val="clear" w:color="auto" w:fill="CCEEFF"/>
          </w:tcPr>
          <w:p>
            <w:pPr>
              <w:jc w:val="right"/>
              <w:ind w:right="11"/>
              <w:spacing w:after="0"/>
              <w:rPr>
                <w:sz w:val="20"/>
                <w:szCs w:val="20"/>
                <w:color w:val="auto"/>
              </w:rPr>
            </w:pPr>
            <w:r>
              <w:rPr>
                <w:rFonts w:ascii="Arial" w:cs="Arial" w:eastAsia="Arial" w:hAnsi="Arial"/>
                <w:sz w:val="18"/>
                <w:szCs w:val="18"/>
                <w:color w:val="auto"/>
              </w:rPr>
              <w:t>35,082</w:t>
            </w:r>
          </w:p>
        </w:tc>
        <w:tc>
          <w:tcPr>
            <w:tcW w:w="120" w:type="dxa"/>
            <w:vAlign w:val="bottom"/>
            <w:shd w:val="clear" w:color="auto" w:fill="CCEEFF"/>
          </w:tcPr>
          <w:p>
            <w:pPr>
              <w:spacing w:after="0"/>
              <w:rPr>
                <w:sz w:val="24"/>
                <w:szCs w:val="24"/>
                <w:color w:val="auto"/>
              </w:rPr>
            </w:pPr>
          </w:p>
        </w:tc>
        <w:tc>
          <w:tcPr>
            <w:tcW w:w="300" w:type="dxa"/>
            <w:vAlign w:val="bottom"/>
            <w:tcBorders>
              <w:bottom w:val="single" w:sz="8" w:color="auto"/>
            </w:tcBorders>
            <w:shd w:val="clear" w:color="auto" w:fill="CCEEFF"/>
          </w:tcPr>
          <w:p>
            <w:pPr>
              <w:spacing w:after="0"/>
              <w:rPr>
                <w:sz w:val="24"/>
                <w:szCs w:val="24"/>
                <w:color w:val="auto"/>
              </w:rPr>
            </w:pPr>
          </w:p>
        </w:tc>
        <w:tc>
          <w:tcPr>
            <w:tcW w:w="960" w:type="dxa"/>
            <w:vAlign w:val="bottom"/>
            <w:tcBorders>
              <w:bottom w:val="single" w:sz="8" w:color="auto"/>
            </w:tcBorders>
            <w:shd w:val="clear" w:color="auto" w:fill="CCEEFF"/>
          </w:tcPr>
          <w:p>
            <w:pPr>
              <w:jc w:val="right"/>
              <w:ind w:right="11"/>
              <w:spacing w:after="0"/>
              <w:rPr>
                <w:sz w:val="20"/>
                <w:szCs w:val="20"/>
                <w:color w:val="auto"/>
              </w:rPr>
            </w:pPr>
            <w:r>
              <w:rPr>
                <w:rFonts w:ascii="Arial" w:cs="Arial" w:eastAsia="Arial" w:hAnsi="Arial"/>
                <w:sz w:val="18"/>
                <w:szCs w:val="18"/>
                <w:color w:val="auto"/>
              </w:rPr>
              <w:t>34,786</w:t>
            </w:r>
          </w:p>
        </w:tc>
      </w:tr>
      <w:tr>
        <w:trPr>
          <w:trHeight w:val="243"/>
        </w:trPr>
        <w:tc>
          <w:tcPr>
            <w:tcW w:w="40" w:type="dxa"/>
            <w:vAlign w:val="bottom"/>
          </w:tcPr>
          <w:p>
            <w:pPr>
              <w:spacing w:after="0"/>
              <w:rPr>
                <w:sz w:val="21"/>
                <w:szCs w:val="21"/>
                <w:color w:val="auto"/>
              </w:rPr>
            </w:pPr>
          </w:p>
        </w:tc>
        <w:tc>
          <w:tcPr>
            <w:tcW w:w="4600" w:type="dxa"/>
            <w:vAlign w:val="bottom"/>
            <w:gridSpan w:val="4"/>
          </w:tcPr>
          <w:p>
            <w:pPr>
              <w:spacing w:after="0"/>
              <w:rPr>
                <w:sz w:val="20"/>
                <w:szCs w:val="20"/>
                <w:color w:val="auto"/>
              </w:rPr>
            </w:pPr>
            <w:r>
              <w:rPr>
                <w:rFonts w:ascii="Arial" w:cs="Arial" w:eastAsia="Arial" w:hAnsi="Arial"/>
                <w:sz w:val="18"/>
                <w:szCs w:val="18"/>
                <w:color w:val="auto"/>
              </w:rPr>
              <w:t>Operating income</w:t>
            </w:r>
          </w:p>
        </w:tc>
        <w:tc>
          <w:tcPr>
            <w:tcW w:w="300" w:type="dxa"/>
            <w:vAlign w:val="bottom"/>
          </w:tcPr>
          <w:p>
            <w:pPr>
              <w:spacing w:after="0"/>
              <w:rPr>
                <w:sz w:val="21"/>
                <w:szCs w:val="21"/>
                <w:color w:val="auto"/>
              </w:rPr>
            </w:pPr>
          </w:p>
        </w:tc>
        <w:tc>
          <w:tcPr>
            <w:tcW w:w="960" w:type="dxa"/>
            <w:vAlign w:val="bottom"/>
          </w:tcPr>
          <w:p>
            <w:pPr>
              <w:jc w:val="right"/>
              <w:ind w:right="11"/>
              <w:spacing w:after="0"/>
              <w:rPr>
                <w:sz w:val="20"/>
                <w:szCs w:val="20"/>
                <w:color w:val="auto"/>
              </w:rPr>
            </w:pPr>
            <w:r>
              <w:rPr>
                <w:rFonts w:ascii="Arial" w:cs="Arial" w:eastAsia="Arial" w:hAnsi="Arial"/>
                <w:sz w:val="18"/>
                <w:szCs w:val="18"/>
                <w:color w:val="auto"/>
              </w:rPr>
              <w:t>3,065</w:t>
            </w: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040" w:type="dxa"/>
            <w:vAlign w:val="bottom"/>
          </w:tcPr>
          <w:p>
            <w:pPr>
              <w:jc w:val="right"/>
              <w:ind w:right="13"/>
              <w:spacing w:after="0"/>
              <w:rPr>
                <w:sz w:val="20"/>
                <w:szCs w:val="20"/>
                <w:color w:val="auto"/>
              </w:rPr>
            </w:pPr>
            <w:r>
              <w:rPr>
                <w:rFonts w:ascii="Arial" w:cs="Arial" w:eastAsia="Arial" w:hAnsi="Arial"/>
                <w:sz w:val="18"/>
                <w:szCs w:val="18"/>
                <w:color w:val="auto"/>
              </w:rPr>
              <w:t>2,656</w:t>
            </w:r>
          </w:p>
        </w:tc>
        <w:tc>
          <w:tcPr>
            <w:tcW w:w="1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960" w:type="dxa"/>
            <w:vAlign w:val="bottom"/>
          </w:tcPr>
          <w:p>
            <w:pPr>
              <w:jc w:val="right"/>
              <w:ind w:right="11"/>
              <w:spacing w:after="0"/>
              <w:rPr>
                <w:sz w:val="20"/>
                <w:szCs w:val="20"/>
                <w:color w:val="auto"/>
              </w:rPr>
            </w:pPr>
            <w:r>
              <w:rPr>
                <w:rFonts w:ascii="Arial" w:cs="Arial" w:eastAsia="Arial" w:hAnsi="Arial"/>
                <w:sz w:val="18"/>
                <w:szCs w:val="18"/>
                <w:color w:val="auto"/>
              </w:rPr>
              <w:t>4,231</w:t>
            </w:r>
          </w:p>
        </w:tc>
        <w:tc>
          <w:tcPr>
            <w:tcW w:w="1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960" w:type="dxa"/>
            <w:vAlign w:val="bottom"/>
          </w:tcPr>
          <w:p>
            <w:pPr>
              <w:jc w:val="right"/>
              <w:ind w:right="11"/>
              <w:spacing w:after="0"/>
              <w:rPr>
                <w:sz w:val="20"/>
                <w:szCs w:val="20"/>
                <w:color w:val="auto"/>
              </w:rPr>
            </w:pPr>
            <w:r>
              <w:rPr>
                <w:rFonts w:ascii="Arial" w:cs="Arial" w:eastAsia="Arial" w:hAnsi="Arial"/>
                <w:sz w:val="18"/>
                <w:szCs w:val="18"/>
                <w:color w:val="auto"/>
              </w:rPr>
              <w:t>5,060</w:t>
            </w:r>
          </w:p>
        </w:tc>
        <w:tc>
          <w:tcPr>
            <w:tcW w:w="1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960" w:type="dxa"/>
            <w:vAlign w:val="bottom"/>
          </w:tcPr>
          <w:p>
            <w:pPr>
              <w:jc w:val="right"/>
              <w:ind w:right="11"/>
              <w:spacing w:after="0"/>
              <w:rPr>
                <w:sz w:val="20"/>
                <w:szCs w:val="20"/>
                <w:color w:val="auto"/>
              </w:rPr>
            </w:pPr>
            <w:r>
              <w:rPr>
                <w:rFonts w:ascii="Arial" w:cs="Arial" w:eastAsia="Arial" w:hAnsi="Arial"/>
                <w:sz w:val="18"/>
                <w:szCs w:val="18"/>
                <w:color w:val="auto"/>
              </w:rPr>
              <w:t>6,204</w:t>
            </w:r>
          </w:p>
        </w:tc>
      </w:tr>
      <w:tr>
        <w:trPr>
          <w:trHeight w:val="277"/>
        </w:trPr>
        <w:tc>
          <w:tcPr>
            <w:tcW w:w="40" w:type="dxa"/>
            <w:vAlign w:val="bottom"/>
            <w:shd w:val="clear" w:color="auto" w:fill="CCEEFF"/>
          </w:tcPr>
          <w:p>
            <w:pPr>
              <w:spacing w:after="0"/>
              <w:rPr>
                <w:sz w:val="24"/>
                <w:szCs w:val="24"/>
                <w:color w:val="auto"/>
              </w:rPr>
            </w:pPr>
          </w:p>
        </w:tc>
        <w:tc>
          <w:tcPr>
            <w:tcW w:w="4600" w:type="dxa"/>
            <w:vAlign w:val="bottom"/>
            <w:gridSpan w:val="4"/>
            <w:shd w:val="clear" w:color="auto" w:fill="CCEEFF"/>
          </w:tcPr>
          <w:p>
            <w:pPr>
              <w:spacing w:after="0"/>
              <w:rPr>
                <w:sz w:val="20"/>
                <w:szCs w:val="20"/>
                <w:color w:val="auto"/>
              </w:rPr>
            </w:pPr>
            <w:r>
              <w:rPr>
                <w:rFonts w:ascii="Arial" w:cs="Arial" w:eastAsia="Arial" w:hAnsi="Arial"/>
                <w:sz w:val="18"/>
                <w:szCs w:val="18"/>
                <w:color w:val="auto"/>
              </w:rPr>
              <w:t>Net income</w:t>
            </w:r>
          </w:p>
        </w:tc>
        <w:tc>
          <w:tcPr>
            <w:tcW w:w="300" w:type="dxa"/>
            <w:vAlign w:val="bottom"/>
            <w:shd w:val="clear" w:color="auto" w:fill="CCEEFF"/>
          </w:tcPr>
          <w:p>
            <w:pPr>
              <w:spacing w:after="0"/>
              <w:rPr>
                <w:sz w:val="24"/>
                <w:szCs w:val="24"/>
                <w:color w:val="auto"/>
              </w:rPr>
            </w:pPr>
          </w:p>
        </w:tc>
        <w:tc>
          <w:tcPr>
            <w:tcW w:w="96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1,686</w:t>
            </w:r>
          </w:p>
        </w:tc>
        <w:tc>
          <w:tcPr>
            <w:tcW w:w="120" w:type="dxa"/>
            <w:vAlign w:val="bottom"/>
            <w:shd w:val="clear" w:color="auto" w:fill="CCEEFF"/>
          </w:tcPr>
          <w:p>
            <w:pPr>
              <w:spacing w:after="0"/>
              <w:rPr>
                <w:sz w:val="24"/>
                <w:szCs w:val="24"/>
                <w:color w:val="auto"/>
              </w:rPr>
            </w:pPr>
          </w:p>
        </w:tc>
        <w:tc>
          <w:tcPr>
            <w:tcW w:w="220" w:type="dxa"/>
            <w:vAlign w:val="bottom"/>
            <w:shd w:val="clear" w:color="auto" w:fill="CCEEFF"/>
          </w:tcPr>
          <w:p>
            <w:pPr>
              <w:spacing w:after="0"/>
              <w:rPr>
                <w:sz w:val="24"/>
                <w:szCs w:val="24"/>
                <w:color w:val="auto"/>
              </w:rPr>
            </w:pPr>
          </w:p>
        </w:tc>
        <w:tc>
          <w:tcPr>
            <w:tcW w:w="1040" w:type="dxa"/>
            <w:vAlign w:val="bottom"/>
            <w:shd w:val="clear" w:color="auto" w:fill="CCEEFF"/>
          </w:tcPr>
          <w:p>
            <w:pPr>
              <w:jc w:val="right"/>
              <w:ind w:right="13"/>
              <w:spacing w:after="0"/>
              <w:rPr>
                <w:sz w:val="20"/>
                <w:szCs w:val="20"/>
                <w:color w:val="auto"/>
              </w:rPr>
            </w:pPr>
            <w:r>
              <w:rPr>
                <w:rFonts w:ascii="Arial" w:cs="Arial" w:eastAsia="Arial" w:hAnsi="Arial"/>
                <w:sz w:val="18"/>
                <w:szCs w:val="18"/>
                <w:color w:val="auto"/>
              </w:rPr>
              <w:t>1,412</w:t>
            </w:r>
          </w:p>
        </w:tc>
        <w:tc>
          <w:tcPr>
            <w:tcW w:w="120" w:type="dxa"/>
            <w:vAlign w:val="bottom"/>
            <w:shd w:val="clear" w:color="auto" w:fill="CCEEFF"/>
          </w:tcPr>
          <w:p>
            <w:pPr>
              <w:spacing w:after="0"/>
              <w:rPr>
                <w:sz w:val="24"/>
                <w:szCs w:val="24"/>
                <w:color w:val="auto"/>
              </w:rPr>
            </w:pPr>
          </w:p>
        </w:tc>
        <w:tc>
          <w:tcPr>
            <w:tcW w:w="300" w:type="dxa"/>
            <w:vAlign w:val="bottom"/>
            <w:shd w:val="clear" w:color="auto" w:fill="CCEEFF"/>
          </w:tcPr>
          <w:p>
            <w:pPr>
              <w:spacing w:after="0"/>
              <w:rPr>
                <w:sz w:val="24"/>
                <w:szCs w:val="24"/>
                <w:color w:val="auto"/>
              </w:rPr>
            </w:pPr>
          </w:p>
        </w:tc>
        <w:tc>
          <w:tcPr>
            <w:tcW w:w="96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1,282</w:t>
            </w:r>
          </w:p>
        </w:tc>
        <w:tc>
          <w:tcPr>
            <w:tcW w:w="120" w:type="dxa"/>
            <w:vAlign w:val="bottom"/>
            <w:shd w:val="clear" w:color="auto" w:fill="CCEEFF"/>
          </w:tcPr>
          <w:p>
            <w:pPr>
              <w:spacing w:after="0"/>
              <w:rPr>
                <w:sz w:val="24"/>
                <w:szCs w:val="24"/>
                <w:color w:val="auto"/>
              </w:rPr>
            </w:pPr>
          </w:p>
        </w:tc>
        <w:tc>
          <w:tcPr>
            <w:tcW w:w="300" w:type="dxa"/>
            <w:vAlign w:val="bottom"/>
            <w:shd w:val="clear" w:color="auto" w:fill="CCEEFF"/>
          </w:tcPr>
          <w:p>
            <w:pPr>
              <w:spacing w:after="0"/>
              <w:rPr>
                <w:sz w:val="24"/>
                <w:szCs w:val="24"/>
                <w:color w:val="auto"/>
              </w:rPr>
            </w:pPr>
          </w:p>
        </w:tc>
        <w:tc>
          <w:tcPr>
            <w:tcW w:w="96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2,584</w:t>
            </w:r>
          </w:p>
        </w:tc>
        <w:tc>
          <w:tcPr>
            <w:tcW w:w="120" w:type="dxa"/>
            <w:vAlign w:val="bottom"/>
            <w:shd w:val="clear" w:color="auto" w:fill="CCEEFF"/>
          </w:tcPr>
          <w:p>
            <w:pPr>
              <w:spacing w:after="0"/>
              <w:rPr>
                <w:sz w:val="24"/>
                <w:szCs w:val="24"/>
                <w:color w:val="auto"/>
              </w:rPr>
            </w:pPr>
          </w:p>
        </w:tc>
        <w:tc>
          <w:tcPr>
            <w:tcW w:w="300" w:type="dxa"/>
            <w:vAlign w:val="bottom"/>
            <w:shd w:val="clear" w:color="auto" w:fill="CCEEFF"/>
          </w:tcPr>
          <w:p>
            <w:pPr>
              <w:spacing w:after="0"/>
              <w:rPr>
                <w:sz w:val="24"/>
                <w:szCs w:val="24"/>
                <w:color w:val="auto"/>
              </w:rPr>
            </w:pPr>
          </w:p>
        </w:tc>
        <w:tc>
          <w:tcPr>
            <w:tcW w:w="96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7,610</w:t>
            </w:r>
          </w:p>
        </w:tc>
      </w:tr>
      <w:tr>
        <w:trPr>
          <w:trHeight w:val="263"/>
        </w:trPr>
        <w:tc>
          <w:tcPr>
            <w:tcW w:w="40" w:type="dxa"/>
            <w:vAlign w:val="bottom"/>
          </w:tcPr>
          <w:p>
            <w:pPr>
              <w:spacing w:after="0"/>
              <w:rPr>
                <w:sz w:val="22"/>
                <w:szCs w:val="22"/>
                <w:color w:val="auto"/>
              </w:rPr>
            </w:pPr>
          </w:p>
        </w:tc>
        <w:tc>
          <w:tcPr>
            <w:tcW w:w="4600" w:type="dxa"/>
            <w:vAlign w:val="bottom"/>
            <w:gridSpan w:val="4"/>
          </w:tcPr>
          <w:p>
            <w:pPr>
              <w:spacing w:after="0"/>
              <w:rPr>
                <w:sz w:val="20"/>
                <w:szCs w:val="20"/>
                <w:color w:val="auto"/>
              </w:rPr>
            </w:pPr>
            <w:r>
              <w:rPr>
                <w:rFonts w:ascii="Arial" w:cs="Arial" w:eastAsia="Arial" w:hAnsi="Arial"/>
                <w:sz w:val="18"/>
                <w:szCs w:val="18"/>
                <w:color w:val="auto"/>
              </w:rPr>
              <w:t>Earnings per common share:</w:t>
            </w:r>
          </w:p>
        </w:tc>
        <w:tc>
          <w:tcPr>
            <w:tcW w:w="300" w:type="dxa"/>
            <w:vAlign w:val="bottom"/>
          </w:tcPr>
          <w:p>
            <w:pPr>
              <w:spacing w:after="0"/>
              <w:rPr>
                <w:sz w:val="22"/>
                <w:szCs w:val="22"/>
                <w:color w:val="auto"/>
              </w:rPr>
            </w:pPr>
          </w:p>
        </w:tc>
        <w:tc>
          <w:tcPr>
            <w:tcW w:w="96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104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96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96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960" w:type="dxa"/>
            <w:vAlign w:val="bottom"/>
          </w:tcPr>
          <w:p>
            <w:pPr>
              <w:spacing w:after="0"/>
              <w:rPr>
                <w:sz w:val="22"/>
                <w:szCs w:val="22"/>
                <w:color w:val="auto"/>
              </w:rPr>
            </w:pPr>
          </w:p>
        </w:tc>
      </w:tr>
      <w:tr>
        <w:trPr>
          <w:trHeight w:val="277"/>
        </w:trPr>
        <w:tc>
          <w:tcPr>
            <w:tcW w:w="40" w:type="dxa"/>
            <w:vAlign w:val="bottom"/>
            <w:shd w:val="clear" w:color="auto" w:fill="CCEEFF"/>
          </w:tcPr>
          <w:p>
            <w:pPr>
              <w:spacing w:after="0"/>
              <w:rPr>
                <w:sz w:val="24"/>
                <w:szCs w:val="24"/>
                <w:color w:val="auto"/>
              </w:rPr>
            </w:pPr>
          </w:p>
        </w:tc>
        <w:tc>
          <w:tcPr>
            <w:tcW w:w="4600" w:type="dxa"/>
            <w:vAlign w:val="bottom"/>
            <w:gridSpan w:val="4"/>
            <w:shd w:val="clear" w:color="auto" w:fill="CCEEFF"/>
          </w:tcPr>
          <w:p>
            <w:pPr>
              <w:ind w:left="140"/>
              <w:spacing w:after="0"/>
              <w:rPr>
                <w:sz w:val="20"/>
                <w:szCs w:val="20"/>
                <w:color w:val="auto"/>
              </w:rPr>
            </w:pPr>
            <w:r>
              <w:rPr>
                <w:rFonts w:ascii="Arial" w:cs="Arial" w:eastAsia="Arial" w:hAnsi="Arial"/>
                <w:sz w:val="18"/>
                <w:szCs w:val="18"/>
                <w:color w:val="auto"/>
              </w:rPr>
              <w:t>Basic</w:t>
            </w:r>
          </w:p>
        </w:tc>
        <w:tc>
          <w:tcPr>
            <w:tcW w:w="30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96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3.80</w:t>
            </w:r>
          </w:p>
        </w:tc>
        <w:tc>
          <w:tcPr>
            <w:tcW w:w="120" w:type="dxa"/>
            <w:vAlign w:val="bottom"/>
            <w:shd w:val="clear" w:color="auto" w:fill="CCEEFF"/>
          </w:tcPr>
          <w:p>
            <w:pPr>
              <w:spacing w:after="0"/>
              <w:rPr>
                <w:sz w:val="24"/>
                <w:szCs w:val="24"/>
                <w:color w:val="auto"/>
              </w:rPr>
            </w:pPr>
          </w:p>
        </w:tc>
        <w:tc>
          <w:tcPr>
            <w:tcW w:w="2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040" w:type="dxa"/>
            <w:vAlign w:val="bottom"/>
            <w:shd w:val="clear" w:color="auto" w:fill="CCEEFF"/>
          </w:tcPr>
          <w:p>
            <w:pPr>
              <w:jc w:val="right"/>
              <w:ind w:right="13"/>
              <w:spacing w:after="0"/>
              <w:rPr>
                <w:sz w:val="20"/>
                <w:szCs w:val="20"/>
                <w:color w:val="auto"/>
              </w:rPr>
            </w:pPr>
            <w:r>
              <w:rPr>
                <w:rFonts w:ascii="Arial" w:cs="Arial" w:eastAsia="Arial" w:hAnsi="Arial"/>
                <w:sz w:val="18"/>
                <w:szCs w:val="18"/>
                <w:color w:val="auto"/>
              </w:rPr>
              <w:t>3.04</w:t>
            </w:r>
          </w:p>
        </w:tc>
        <w:tc>
          <w:tcPr>
            <w:tcW w:w="120" w:type="dxa"/>
            <w:vAlign w:val="bottom"/>
            <w:shd w:val="clear" w:color="auto" w:fill="CCEEFF"/>
          </w:tcPr>
          <w:p>
            <w:pPr>
              <w:spacing w:after="0"/>
              <w:rPr>
                <w:sz w:val="24"/>
                <w:szCs w:val="24"/>
                <w:color w:val="auto"/>
              </w:rPr>
            </w:pPr>
          </w:p>
        </w:tc>
        <w:tc>
          <w:tcPr>
            <w:tcW w:w="30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96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2.62</w:t>
            </w:r>
          </w:p>
        </w:tc>
        <w:tc>
          <w:tcPr>
            <w:tcW w:w="120" w:type="dxa"/>
            <w:vAlign w:val="bottom"/>
            <w:shd w:val="clear" w:color="auto" w:fill="CCEEFF"/>
          </w:tcPr>
          <w:p>
            <w:pPr>
              <w:spacing w:after="0"/>
              <w:rPr>
                <w:sz w:val="24"/>
                <w:szCs w:val="24"/>
                <w:color w:val="auto"/>
              </w:rPr>
            </w:pPr>
          </w:p>
        </w:tc>
        <w:tc>
          <w:tcPr>
            <w:tcW w:w="30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96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4.68</w:t>
            </w:r>
          </w:p>
        </w:tc>
        <w:tc>
          <w:tcPr>
            <w:tcW w:w="120" w:type="dxa"/>
            <w:vAlign w:val="bottom"/>
            <w:shd w:val="clear" w:color="auto" w:fill="CCEEFF"/>
          </w:tcPr>
          <w:p>
            <w:pPr>
              <w:spacing w:after="0"/>
              <w:rPr>
                <w:sz w:val="24"/>
                <w:szCs w:val="24"/>
                <w:color w:val="auto"/>
              </w:rPr>
            </w:pPr>
          </w:p>
        </w:tc>
        <w:tc>
          <w:tcPr>
            <w:tcW w:w="30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96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11.39</w:t>
            </w:r>
          </w:p>
        </w:tc>
      </w:tr>
      <w:tr>
        <w:trPr>
          <w:trHeight w:val="263"/>
        </w:trPr>
        <w:tc>
          <w:tcPr>
            <w:tcW w:w="40" w:type="dxa"/>
            <w:vAlign w:val="bottom"/>
          </w:tcPr>
          <w:p>
            <w:pPr>
              <w:spacing w:after="0"/>
              <w:rPr>
                <w:sz w:val="22"/>
                <w:szCs w:val="22"/>
                <w:color w:val="auto"/>
              </w:rPr>
            </w:pPr>
          </w:p>
        </w:tc>
        <w:tc>
          <w:tcPr>
            <w:tcW w:w="4600" w:type="dxa"/>
            <w:vAlign w:val="bottom"/>
            <w:gridSpan w:val="4"/>
          </w:tcPr>
          <w:p>
            <w:pPr>
              <w:ind w:left="140"/>
              <w:spacing w:after="0"/>
              <w:rPr>
                <w:sz w:val="20"/>
                <w:szCs w:val="20"/>
                <w:color w:val="auto"/>
              </w:rPr>
            </w:pPr>
            <w:r>
              <w:rPr>
                <w:rFonts w:ascii="Arial" w:cs="Arial" w:eastAsia="Arial" w:hAnsi="Arial"/>
                <w:sz w:val="18"/>
                <w:szCs w:val="18"/>
                <w:color w:val="auto"/>
              </w:rPr>
              <w:t>Diluted</w:t>
            </w:r>
          </w:p>
        </w:tc>
        <w:tc>
          <w:tcPr>
            <w:tcW w:w="300" w:type="dxa"/>
            <w:vAlign w:val="bottom"/>
          </w:tcPr>
          <w:p>
            <w:pPr>
              <w:spacing w:after="0"/>
              <w:rPr>
                <w:sz w:val="22"/>
                <w:szCs w:val="22"/>
                <w:color w:val="auto"/>
              </w:rPr>
            </w:pPr>
          </w:p>
        </w:tc>
        <w:tc>
          <w:tcPr>
            <w:tcW w:w="960" w:type="dxa"/>
            <w:vAlign w:val="bottom"/>
          </w:tcPr>
          <w:p>
            <w:pPr>
              <w:jc w:val="right"/>
              <w:ind w:right="11"/>
              <w:spacing w:after="0"/>
              <w:rPr>
                <w:sz w:val="20"/>
                <w:szCs w:val="20"/>
                <w:color w:val="auto"/>
              </w:rPr>
            </w:pPr>
            <w:r>
              <w:rPr>
                <w:rFonts w:ascii="Arial" w:cs="Arial" w:eastAsia="Arial" w:hAnsi="Arial"/>
                <w:sz w:val="18"/>
                <w:szCs w:val="18"/>
                <w:color w:val="auto"/>
              </w:rPr>
              <w:t>3.79</w:t>
            </w:r>
          </w:p>
        </w:tc>
        <w:tc>
          <w:tcPr>
            <w:tcW w:w="12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1040" w:type="dxa"/>
            <w:vAlign w:val="bottom"/>
          </w:tcPr>
          <w:p>
            <w:pPr>
              <w:jc w:val="right"/>
              <w:ind w:right="13"/>
              <w:spacing w:after="0"/>
              <w:rPr>
                <w:sz w:val="20"/>
                <w:szCs w:val="20"/>
                <w:color w:val="auto"/>
              </w:rPr>
            </w:pPr>
            <w:r>
              <w:rPr>
                <w:rFonts w:ascii="Arial" w:cs="Arial" w:eastAsia="Arial" w:hAnsi="Arial"/>
                <w:sz w:val="18"/>
                <w:szCs w:val="18"/>
                <w:color w:val="auto"/>
              </w:rPr>
              <w:t>3.03</w:t>
            </w:r>
          </w:p>
        </w:tc>
        <w:tc>
          <w:tcPr>
            <w:tcW w:w="12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960" w:type="dxa"/>
            <w:vAlign w:val="bottom"/>
          </w:tcPr>
          <w:p>
            <w:pPr>
              <w:jc w:val="right"/>
              <w:ind w:right="11"/>
              <w:spacing w:after="0"/>
              <w:rPr>
                <w:sz w:val="20"/>
                <w:szCs w:val="20"/>
                <w:color w:val="auto"/>
              </w:rPr>
            </w:pPr>
            <w:r>
              <w:rPr>
                <w:rFonts w:ascii="Arial" w:cs="Arial" w:eastAsia="Arial" w:hAnsi="Arial"/>
                <w:sz w:val="18"/>
                <w:szCs w:val="18"/>
                <w:color w:val="auto"/>
              </w:rPr>
              <w:t>2.61</w:t>
            </w:r>
          </w:p>
        </w:tc>
        <w:tc>
          <w:tcPr>
            <w:tcW w:w="12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960" w:type="dxa"/>
            <w:vAlign w:val="bottom"/>
          </w:tcPr>
          <w:p>
            <w:pPr>
              <w:jc w:val="right"/>
              <w:ind w:right="11"/>
              <w:spacing w:after="0"/>
              <w:rPr>
                <w:sz w:val="20"/>
                <w:szCs w:val="20"/>
                <w:color w:val="auto"/>
              </w:rPr>
            </w:pPr>
            <w:r>
              <w:rPr>
                <w:rFonts w:ascii="Arial" w:cs="Arial" w:eastAsia="Arial" w:hAnsi="Arial"/>
                <w:sz w:val="18"/>
                <w:szCs w:val="18"/>
                <w:color w:val="auto"/>
              </w:rPr>
              <w:t>4.65</w:t>
            </w:r>
          </w:p>
        </w:tc>
        <w:tc>
          <w:tcPr>
            <w:tcW w:w="12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960" w:type="dxa"/>
            <w:vAlign w:val="bottom"/>
          </w:tcPr>
          <w:p>
            <w:pPr>
              <w:jc w:val="right"/>
              <w:ind w:right="11"/>
              <w:spacing w:after="0"/>
              <w:rPr>
                <w:sz w:val="20"/>
                <w:szCs w:val="20"/>
                <w:color w:val="auto"/>
              </w:rPr>
            </w:pPr>
            <w:r>
              <w:rPr>
                <w:rFonts w:ascii="Arial" w:cs="Arial" w:eastAsia="Arial" w:hAnsi="Arial"/>
                <w:sz w:val="18"/>
                <w:szCs w:val="18"/>
                <w:color w:val="auto"/>
              </w:rPr>
              <w:t>11.07</w:t>
            </w:r>
          </w:p>
        </w:tc>
      </w:tr>
      <w:tr>
        <w:trPr>
          <w:trHeight w:val="277"/>
        </w:trPr>
        <w:tc>
          <w:tcPr>
            <w:tcW w:w="40" w:type="dxa"/>
            <w:vAlign w:val="bottom"/>
            <w:shd w:val="clear" w:color="auto" w:fill="CCEEFF"/>
          </w:tcPr>
          <w:p>
            <w:pPr>
              <w:spacing w:after="0"/>
              <w:rPr>
                <w:sz w:val="24"/>
                <w:szCs w:val="24"/>
                <w:color w:val="auto"/>
              </w:rPr>
            </w:pPr>
          </w:p>
        </w:tc>
        <w:tc>
          <w:tcPr>
            <w:tcW w:w="4600" w:type="dxa"/>
            <w:vAlign w:val="bottom"/>
            <w:gridSpan w:val="4"/>
            <w:shd w:val="clear" w:color="auto" w:fill="CCEEFF"/>
          </w:tcPr>
          <w:p>
            <w:pPr>
              <w:spacing w:after="0"/>
              <w:rPr>
                <w:sz w:val="20"/>
                <w:szCs w:val="20"/>
                <w:color w:val="auto"/>
              </w:rPr>
            </w:pPr>
            <w:r>
              <w:rPr>
                <w:rFonts w:ascii="Arial" w:cs="Arial" w:eastAsia="Arial" w:hAnsi="Arial"/>
                <w:sz w:val="18"/>
                <w:szCs w:val="18"/>
                <w:color w:val="auto"/>
              </w:rPr>
              <w:t>Shares used for computation (in thousands):</w:t>
            </w:r>
          </w:p>
        </w:tc>
        <w:tc>
          <w:tcPr>
            <w:tcW w:w="300" w:type="dxa"/>
            <w:vAlign w:val="bottom"/>
            <w:shd w:val="clear" w:color="auto" w:fill="CCEEFF"/>
          </w:tcPr>
          <w:p>
            <w:pPr>
              <w:spacing w:after="0"/>
              <w:rPr>
                <w:sz w:val="24"/>
                <w:szCs w:val="24"/>
                <w:color w:val="auto"/>
              </w:rPr>
            </w:pPr>
          </w:p>
        </w:tc>
        <w:tc>
          <w:tcPr>
            <w:tcW w:w="96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220" w:type="dxa"/>
            <w:vAlign w:val="bottom"/>
            <w:shd w:val="clear" w:color="auto" w:fill="CCEEFF"/>
          </w:tcPr>
          <w:p>
            <w:pPr>
              <w:spacing w:after="0"/>
              <w:rPr>
                <w:sz w:val="24"/>
                <w:szCs w:val="24"/>
                <w:color w:val="auto"/>
              </w:rPr>
            </w:pPr>
          </w:p>
        </w:tc>
        <w:tc>
          <w:tcPr>
            <w:tcW w:w="104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300" w:type="dxa"/>
            <w:vAlign w:val="bottom"/>
            <w:shd w:val="clear" w:color="auto" w:fill="CCEEFF"/>
          </w:tcPr>
          <w:p>
            <w:pPr>
              <w:spacing w:after="0"/>
              <w:rPr>
                <w:sz w:val="24"/>
                <w:szCs w:val="24"/>
                <w:color w:val="auto"/>
              </w:rPr>
            </w:pPr>
          </w:p>
        </w:tc>
        <w:tc>
          <w:tcPr>
            <w:tcW w:w="96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300" w:type="dxa"/>
            <w:vAlign w:val="bottom"/>
            <w:shd w:val="clear" w:color="auto" w:fill="CCEEFF"/>
          </w:tcPr>
          <w:p>
            <w:pPr>
              <w:spacing w:after="0"/>
              <w:rPr>
                <w:sz w:val="24"/>
                <w:szCs w:val="24"/>
                <w:color w:val="auto"/>
              </w:rPr>
            </w:pPr>
          </w:p>
        </w:tc>
        <w:tc>
          <w:tcPr>
            <w:tcW w:w="96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300" w:type="dxa"/>
            <w:vAlign w:val="bottom"/>
            <w:shd w:val="clear" w:color="auto" w:fill="CCEEFF"/>
          </w:tcPr>
          <w:p>
            <w:pPr>
              <w:spacing w:after="0"/>
              <w:rPr>
                <w:sz w:val="24"/>
                <w:szCs w:val="24"/>
                <w:color w:val="auto"/>
              </w:rPr>
            </w:pPr>
          </w:p>
        </w:tc>
        <w:tc>
          <w:tcPr>
            <w:tcW w:w="960" w:type="dxa"/>
            <w:vAlign w:val="bottom"/>
            <w:shd w:val="clear" w:color="auto" w:fill="CCEEFF"/>
          </w:tcPr>
          <w:p>
            <w:pPr>
              <w:spacing w:after="0"/>
              <w:rPr>
                <w:sz w:val="24"/>
                <w:szCs w:val="24"/>
                <w:color w:val="auto"/>
              </w:rPr>
            </w:pPr>
          </w:p>
        </w:tc>
      </w:tr>
      <w:tr>
        <w:trPr>
          <w:trHeight w:val="263"/>
        </w:trPr>
        <w:tc>
          <w:tcPr>
            <w:tcW w:w="40" w:type="dxa"/>
            <w:vAlign w:val="bottom"/>
          </w:tcPr>
          <w:p>
            <w:pPr>
              <w:spacing w:after="0"/>
              <w:rPr>
                <w:sz w:val="22"/>
                <w:szCs w:val="22"/>
                <w:color w:val="auto"/>
              </w:rPr>
            </w:pPr>
          </w:p>
        </w:tc>
        <w:tc>
          <w:tcPr>
            <w:tcW w:w="4600" w:type="dxa"/>
            <w:vAlign w:val="bottom"/>
            <w:gridSpan w:val="4"/>
          </w:tcPr>
          <w:p>
            <w:pPr>
              <w:ind w:left="140"/>
              <w:spacing w:after="0"/>
              <w:rPr>
                <w:sz w:val="20"/>
                <w:szCs w:val="20"/>
                <w:color w:val="auto"/>
              </w:rPr>
            </w:pPr>
            <w:r>
              <w:rPr>
                <w:rFonts w:ascii="Arial" w:cs="Arial" w:eastAsia="Arial" w:hAnsi="Arial"/>
                <w:sz w:val="18"/>
                <w:szCs w:val="18"/>
                <w:color w:val="auto"/>
              </w:rPr>
              <w:t>Basic</w:t>
            </w:r>
          </w:p>
        </w:tc>
        <w:tc>
          <w:tcPr>
            <w:tcW w:w="300" w:type="dxa"/>
            <w:vAlign w:val="bottom"/>
          </w:tcPr>
          <w:p>
            <w:pPr>
              <w:spacing w:after="0"/>
              <w:rPr>
                <w:sz w:val="22"/>
                <w:szCs w:val="22"/>
                <w:color w:val="auto"/>
              </w:rPr>
            </w:pPr>
          </w:p>
        </w:tc>
        <w:tc>
          <w:tcPr>
            <w:tcW w:w="960" w:type="dxa"/>
            <w:vAlign w:val="bottom"/>
          </w:tcPr>
          <w:p>
            <w:pPr>
              <w:jc w:val="right"/>
              <w:ind w:right="11"/>
              <w:spacing w:after="0"/>
              <w:rPr>
                <w:sz w:val="20"/>
                <w:szCs w:val="20"/>
                <w:color w:val="auto"/>
              </w:rPr>
            </w:pPr>
            <w:r>
              <w:rPr>
                <w:rFonts w:ascii="Arial" w:cs="Arial" w:eastAsia="Arial" w:hAnsi="Arial"/>
                <w:sz w:val="18"/>
                <w:szCs w:val="18"/>
                <w:color w:val="auto"/>
              </w:rPr>
              <w:t>443,363</w:t>
            </w:r>
          </w:p>
        </w:tc>
        <w:tc>
          <w:tcPr>
            <w:tcW w:w="12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1040" w:type="dxa"/>
            <w:vAlign w:val="bottom"/>
          </w:tcPr>
          <w:p>
            <w:pPr>
              <w:jc w:val="right"/>
              <w:ind w:right="13"/>
              <w:spacing w:after="0"/>
              <w:rPr>
                <w:sz w:val="20"/>
                <w:szCs w:val="20"/>
                <w:color w:val="auto"/>
              </w:rPr>
            </w:pPr>
            <w:r>
              <w:rPr>
                <w:rFonts w:ascii="Arial" w:cs="Arial" w:eastAsia="Arial" w:hAnsi="Arial"/>
                <w:sz w:val="18"/>
                <w:szCs w:val="18"/>
                <w:color w:val="auto"/>
              </w:rPr>
              <w:t>464,236</w:t>
            </w:r>
          </w:p>
        </w:tc>
        <w:tc>
          <w:tcPr>
            <w:tcW w:w="12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960" w:type="dxa"/>
            <w:vAlign w:val="bottom"/>
          </w:tcPr>
          <w:p>
            <w:pPr>
              <w:jc w:val="right"/>
              <w:ind w:right="11"/>
              <w:spacing w:after="0"/>
              <w:rPr>
                <w:sz w:val="20"/>
                <w:szCs w:val="20"/>
                <w:color w:val="auto"/>
              </w:rPr>
            </w:pPr>
            <w:r>
              <w:rPr>
                <w:rFonts w:ascii="Arial" w:cs="Arial" w:eastAsia="Arial" w:hAnsi="Arial"/>
                <w:sz w:val="18"/>
                <w:szCs w:val="18"/>
                <w:color w:val="auto"/>
              </w:rPr>
              <w:t>489,164</w:t>
            </w:r>
          </w:p>
        </w:tc>
        <w:tc>
          <w:tcPr>
            <w:tcW w:w="12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960" w:type="dxa"/>
            <w:vAlign w:val="bottom"/>
          </w:tcPr>
          <w:p>
            <w:pPr>
              <w:jc w:val="right"/>
              <w:ind w:right="11"/>
              <w:spacing w:after="0"/>
              <w:rPr>
                <w:sz w:val="20"/>
                <w:szCs w:val="20"/>
                <w:color w:val="auto"/>
              </w:rPr>
            </w:pPr>
            <w:r>
              <w:rPr>
                <w:rFonts w:ascii="Arial" w:cs="Arial" w:eastAsia="Arial" w:hAnsi="Arial"/>
                <w:sz w:val="18"/>
                <w:szCs w:val="18"/>
                <w:color w:val="auto"/>
              </w:rPr>
              <w:t>552,308</w:t>
            </w:r>
          </w:p>
        </w:tc>
        <w:tc>
          <w:tcPr>
            <w:tcW w:w="12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960" w:type="dxa"/>
            <w:vAlign w:val="bottom"/>
          </w:tcPr>
          <w:p>
            <w:pPr>
              <w:jc w:val="right"/>
              <w:ind w:right="11"/>
              <w:spacing w:after="0"/>
              <w:rPr>
                <w:sz w:val="20"/>
                <w:szCs w:val="20"/>
                <w:color w:val="auto"/>
              </w:rPr>
            </w:pPr>
            <w:r>
              <w:rPr>
                <w:rFonts w:ascii="Arial" w:cs="Arial" w:eastAsia="Arial" w:hAnsi="Arial"/>
                <w:sz w:val="18"/>
                <w:szCs w:val="18"/>
                <w:color w:val="auto"/>
              </w:rPr>
              <w:t>668,393</w:t>
            </w:r>
          </w:p>
        </w:tc>
      </w:tr>
      <w:tr>
        <w:trPr>
          <w:trHeight w:val="277"/>
        </w:trPr>
        <w:tc>
          <w:tcPr>
            <w:tcW w:w="40" w:type="dxa"/>
            <w:vAlign w:val="bottom"/>
            <w:shd w:val="clear" w:color="auto" w:fill="CCEEFF"/>
          </w:tcPr>
          <w:p>
            <w:pPr>
              <w:spacing w:after="0"/>
              <w:rPr>
                <w:sz w:val="24"/>
                <w:szCs w:val="24"/>
                <w:color w:val="auto"/>
              </w:rPr>
            </w:pPr>
          </w:p>
        </w:tc>
        <w:tc>
          <w:tcPr>
            <w:tcW w:w="4600" w:type="dxa"/>
            <w:vAlign w:val="bottom"/>
            <w:gridSpan w:val="4"/>
            <w:shd w:val="clear" w:color="auto" w:fill="CCEEFF"/>
          </w:tcPr>
          <w:p>
            <w:pPr>
              <w:ind w:left="140"/>
              <w:spacing w:after="0"/>
              <w:rPr>
                <w:sz w:val="20"/>
                <w:szCs w:val="20"/>
                <w:color w:val="auto"/>
              </w:rPr>
            </w:pPr>
            <w:r>
              <w:rPr>
                <w:rFonts w:ascii="Arial" w:cs="Arial" w:eastAsia="Arial" w:hAnsi="Arial"/>
                <w:sz w:val="18"/>
                <w:szCs w:val="18"/>
                <w:color w:val="auto"/>
              </w:rPr>
              <w:t>Diluted</w:t>
            </w:r>
          </w:p>
        </w:tc>
        <w:tc>
          <w:tcPr>
            <w:tcW w:w="300" w:type="dxa"/>
            <w:vAlign w:val="bottom"/>
            <w:shd w:val="clear" w:color="auto" w:fill="CCEEFF"/>
          </w:tcPr>
          <w:p>
            <w:pPr>
              <w:spacing w:after="0"/>
              <w:rPr>
                <w:sz w:val="24"/>
                <w:szCs w:val="24"/>
                <w:color w:val="auto"/>
              </w:rPr>
            </w:pPr>
          </w:p>
        </w:tc>
        <w:tc>
          <w:tcPr>
            <w:tcW w:w="96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444,269</w:t>
            </w:r>
          </w:p>
        </w:tc>
        <w:tc>
          <w:tcPr>
            <w:tcW w:w="120" w:type="dxa"/>
            <w:vAlign w:val="bottom"/>
            <w:shd w:val="clear" w:color="auto" w:fill="CCEEFF"/>
          </w:tcPr>
          <w:p>
            <w:pPr>
              <w:spacing w:after="0"/>
              <w:rPr>
                <w:sz w:val="24"/>
                <w:szCs w:val="24"/>
                <w:color w:val="auto"/>
              </w:rPr>
            </w:pPr>
          </w:p>
        </w:tc>
        <w:tc>
          <w:tcPr>
            <w:tcW w:w="220" w:type="dxa"/>
            <w:vAlign w:val="bottom"/>
            <w:shd w:val="clear" w:color="auto" w:fill="CCEEFF"/>
          </w:tcPr>
          <w:p>
            <w:pPr>
              <w:spacing w:after="0"/>
              <w:rPr>
                <w:sz w:val="24"/>
                <w:szCs w:val="24"/>
                <w:color w:val="auto"/>
              </w:rPr>
            </w:pPr>
          </w:p>
        </w:tc>
        <w:tc>
          <w:tcPr>
            <w:tcW w:w="1040" w:type="dxa"/>
            <w:vAlign w:val="bottom"/>
            <w:shd w:val="clear" w:color="auto" w:fill="CCEEFF"/>
          </w:tcPr>
          <w:p>
            <w:pPr>
              <w:jc w:val="right"/>
              <w:ind w:right="13"/>
              <w:spacing w:after="0"/>
              <w:rPr>
                <w:sz w:val="20"/>
                <w:szCs w:val="20"/>
                <w:color w:val="auto"/>
              </w:rPr>
            </w:pPr>
            <w:r>
              <w:rPr>
                <w:rFonts w:ascii="Arial" w:cs="Arial" w:eastAsia="Arial" w:hAnsi="Arial"/>
                <w:sz w:val="18"/>
                <w:szCs w:val="18"/>
                <w:color w:val="auto"/>
              </w:rPr>
              <w:t>465,660</w:t>
            </w:r>
          </w:p>
        </w:tc>
        <w:tc>
          <w:tcPr>
            <w:tcW w:w="120" w:type="dxa"/>
            <w:vAlign w:val="bottom"/>
            <w:shd w:val="clear" w:color="auto" w:fill="CCEEFF"/>
          </w:tcPr>
          <w:p>
            <w:pPr>
              <w:spacing w:after="0"/>
              <w:rPr>
                <w:sz w:val="24"/>
                <w:szCs w:val="24"/>
                <w:color w:val="auto"/>
              </w:rPr>
            </w:pPr>
          </w:p>
        </w:tc>
        <w:tc>
          <w:tcPr>
            <w:tcW w:w="300" w:type="dxa"/>
            <w:vAlign w:val="bottom"/>
            <w:shd w:val="clear" w:color="auto" w:fill="CCEEFF"/>
          </w:tcPr>
          <w:p>
            <w:pPr>
              <w:spacing w:after="0"/>
              <w:rPr>
                <w:sz w:val="24"/>
                <w:szCs w:val="24"/>
                <w:color w:val="auto"/>
              </w:rPr>
            </w:pPr>
          </w:p>
        </w:tc>
        <w:tc>
          <w:tcPr>
            <w:tcW w:w="96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491,692</w:t>
            </w:r>
          </w:p>
        </w:tc>
        <w:tc>
          <w:tcPr>
            <w:tcW w:w="120" w:type="dxa"/>
            <w:vAlign w:val="bottom"/>
            <w:shd w:val="clear" w:color="auto" w:fill="CCEEFF"/>
          </w:tcPr>
          <w:p>
            <w:pPr>
              <w:spacing w:after="0"/>
              <w:rPr>
                <w:sz w:val="24"/>
                <w:szCs w:val="24"/>
                <w:color w:val="auto"/>
              </w:rPr>
            </w:pPr>
          </w:p>
        </w:tc>
        <w:tc>
          <w:tcPr>
            <w:tcW w:w="300" w:type="dxa"/>
            <w:vAlign w:val="bottom"/>
            <w:shd w:val="clear" w:color="auto" w:fill="CCEEFF"/>
          </w:tcPr>
          <w:p>
            <w:pPr>
              <w:spacing w:after="0"/>
              <w:rPr>
                <w:sz w:val="24"/>
                <w:szCs w:val="24"/>
                <w:color w:val="auto"/>
              </w:rPr>
            </w:pPr>
          </w:p>
        </w:tc>
        <w:tc>
          <w:tcPr>
            <w:tcW w:w="96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556,099</w:t>
            </w:r>
          </w:p>
        </w:tc>
        <w:tc>
          <w:tcPr>
            <w:tcW w:w="120" w:type="dxa"/>
            <w:vAlign w:val="bottom"/>
            <w:shd w:val="clear" w:color="auto" w:fill="CCEEFF"/>
          </w:tcPr>
          <w:p>
            <w:pPr>
              <w:spacing w:after="0"/>
              <w:rPr>
                <w:sz w:val="24"/>
                <w:szCs w:val="24"/>
                <w:color w:val="auto"/>
              </w:rPr>
            </w:pPr>
          </w:p>
        </w:tc>
        <w:tc>
          <w:tcPr>
            <w:tcW w:w="300" w:type="dxa"/>
            <w:vAlign w:val="bottom"/>
            <w:shd w:val="clear" w:color="auto" w:fill="CCEEFF"/>
          </w:tcPr>
          <w:p>
            <w:pPr>
              <w:spacing w:after="0"/>
              <w:rPr>
                <w:sz w:val="24"/>
                <w:szCs w:val="24"/>
                <w:color w:val="auto"/>
              </w:rPr>
            </w:pPr>
          </w:p>
        </w:tc>
        <w:tc>
          <w:tcPr>
            <w:tcW w:w="96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687,355</w:t>
            </w:r>
          </w:p>
        </w:tc>
      </w:tr>
      <w:tr>
        <w:trPr>
          <w:trHeight w:val="257"/>
        </w:trPr>
        <w:tc>
          <w:tcPr>
            <w:tcW w:w="40" w:type="dxa"/>
            <w:vAlign w:val="bottom"/>
          </w:tcPr>
          <w:p>
            <w:pPr>
              <w:spacing w:after="0"/>
              <w:rPr>
                <w:sz w:val="22"/>
                <w:szCs w:val="22"/>
                <w:color w:val="auto"/>
              </w:rPr>
            </w:pPr>
          </w:p>
        </w:tc>
        <w:tc>
          <w:tcPr>
            <w:tcW w:w="4600" w:type="dxa"/>
            <w:vAlign w:val="bottom"/>
            <w:gridSpan w:val="4"/>
          </w:tcPr>
          <w:p>
            <w:pPr>
              <w:spacing w:after="0"/>
              <w:rPr>
                <w:sz w:val="20"/>
                <w:szCs w:val="20"/>
                <w:color w:val="auto"/>
              </w:rPr>
            </w:pPr>
            <w:r>
              <w:rPr>
                <w:rFonts w:ascii="Arial" w:cs="Arial" w:eastAsia="Arial" w:hAnsi="Arial"/>
                <w:sz w:val="18"/>
                <w:szCs w:val="18"/>
                <w:color w:val="auto"/>
              </w:rPr>
              <w:t>Cash dividends declared per common share</w:t>
            </w:r>
          </w:p>
        </w:tc>
        <w:tc>
          <w:tcPr>
            <w:tcW w:w="300" w:type="dxa"/>
            <w:vAlign w:val="bottom"/>
          </w:tcPr>
          <w:p>
            <w:pPr>
              <w:jc w:val="right"/>
              <w:ind w:right="90"/>
              <w:spacing w:after="0"/>
              <w:rPr>
                <w:sz w:val="20"/>
                <w:szCs w:val="20"/>
                <w:color w:val="auto"/>
              </w:rPr>
            </w:pPr>
            <w:r>
              <w:rPr>
                <w:rFonts w:ascii="Arial" w:cs="Arial" w:eastAsia="Arial" w:hAnsi="Arial"/>
                <w:sz w:val="18"/>
                <w:szCs w:val="18"/>
                <w:color w:val="auto"/>
                <w:w w:val="99"/>
              </w:rPr>
              <w:t>$</w:t>
            </w:r>
          </w:p>
        </w:tc>
        <w:tc>
          <w:tcPr>
            <w:tcW w:w="960" w:type="dxa"/>
            <w:vAlign w:val="bottom"/>
          </w:tcPr>
          <w:p>
            <w:pPr>
              <w:jc w:val="right"/>
              <w:ind w:right="11"/>
              <w:spacing w:after="0"/>
              <w:rPr>
                <w:sz w:val="20"/>
                <w:szCs w:val="20"/>
                <w:color w:val="auto"/>
              </w:rPr>
            </w:pPr>
            <w:r>
              <w:rPr>
                <w:rFonts w:ascii="Arial" w:cs="Arial" w:eastAsia="Arial" w:hAnsi="Arial"/>
                <w:sz w:val="18"/>
                <w:szCs w:val="18"/>
                <w:color w:val="auto"/>
              </w:rPr>
              <w:t>0.40</w:t>
            </w:r>
          </w:p>
        </w:tc>
        <w:tc>
          <w:tcPr>
            <w:tcW w:w="120" w:type="dxa"/>
            <w:vAlign w:val="bottom"/>
          </w:tcPr>
          <w:p>
            <w:pPr>
              <w:spacing w:after="0"/>
              <w:rPr>
                <w:sz w:val="22"/>
                <w:szCs w:val="22"/>
                <w:color w:val="auto"/>
              </w:rPr>
            </w:pPr>
          </w:p>
        </w:tc>
        <w:tc>
          <w:tcPr>
            <w:tcW w:w="220" w:type="dxa"/>
            <w:vAlign w:val="bottom"/>
          </w:tcPr>
          <w:p>
            <w:pPr>
              <w:jc w:val="right"/>
              <w:ind w:right="10"/>
              <w:spacing w:after="0"/>
              <w:rPr>
                <w:sz w:val="20"/>
                <w:szCs w:val="20"/>
                <w:color w:val="auto"/>
              </w:rPr>
            </w:pPr>
            <w:r>
              <w:rPr>
                <w:rFonts w:ascii="Arial" w:cs="Arial" w:eastAsia="Arial" w:hAnsi="Arial"/>
                <w:sz w:val="18"/>
                <w:szCs w:val="18"/>
                <w:color w:val="auto"/>
                <w:w w:val="99"/>
              </w:rPr>
              <w:t>$</w:t>
            </w:r>
          </w:p>
        </w:tc>
        <w:tc>
          <w:tcPr>
            <w:tcW w:w="1040" w:type="dxa"/>
            <w:vAlign w:val="bottom"/>
          </w:tcPr>
          <w:p>
            <w:pPr>
              <w:jc w:val="right"/>
              <w:ind w:right="13"/>
              <w:spacing w:after="0"/>
              <w:rPr>
                <w:sz w:val="20"/>
                <w:szCs w:val="20"/>
                <w:color w:val="auto"/>
              </w:rPr>
            </w:pPr>
            <w:r>
              <w:rPr>
                <w:rFonts w:ascii="Arial" w:cs="Arial" w:eastAsia="Arial" w:hAnsi="Arial"/>
                <w:sz w:val="18"/>
                <w:szCs w:val="18"/>
                <w:color w:val="auto"/>
              </w:rPr>
              <w:t>0.40</w:t>
            </w:r>
          </w:p>
        </w:tc>
        <w:tc>
          <w:tcPr>
            <w:tcW w:w="120" w:type="dxa"/>
            <w:vAlign w:val="bottom"/>
          </w:tcPr>
          <w:p>
            <w:pPr>
              <w:spacing w:after="0"/>
              <w:rPr>
                <w:sz w:val="22"/>
                <w:szCs w:val="22"/>
                <w:color w:val="auto"/>
              </w:rPr>
            </w:pPr>
          </w:p>
        </w:tc>
        <w:tc>
          <w:tcPr>
            <w:tcW w:w="300" w:type="dxa"/>
            <w:vAlign w:val="bottom"/>
          </w:tcPr>
          <w:p>
            <w:pPr>
              <w:jc w:val="right"/>
              <w:ind w:right="90"/>
              <w:spacing w:after="0"/>
              <w:rPr>
                <w:sz w:val="20"/>
                <w:szCs w:val="20"/>
                <w:color w:val="auto"/>
              </w:rPr>
            </w:pPr>
            <w:r>
              <w:rPr>
                <w:rFonts w:ascii="Arial" w:cs="Arial" w:eastAsia="Arial" w:hAnsi="Arial"/>
                <w:sz w:val="18"/>
                <w:szCs w:val="18"/>
                <w:color w:val="auto"/>
                <w:w w:val="99"/>
              </w:rPr>
              <w:t>$</w:t>
            </w:r>
          </w:p>
        </w:tc>
        <w:tc>
          <w:tcPr>
            <w:tcW w:w="960" w:type="dxa"/>
            <w:vAlign w:val="bottom"/>
          </w:tcPr>
          <w:p>
            <w:pPr>
              <w:jc w:val="right"/>
              <w:ind w:right="11"/>
              <w:spacing w:after="0"/>
              <w:rPr>
                <w:sz w:val="20"/>
                <w:szCs w:val="20"/>
                <w:color w:val="auto"/>
              </w:rPr>
            </w:pPr>
            <w:r>
              <w:rPr>
                <w:rFonts w:ascii="Arial" w:cs="Arial" w:eastAsia="Arial" w:hAnsi="Arial"/>
                <w:sz w:val="18"/>
                <w:szCs w:val="18"/>
                <w:color w:val="auto"/>
              </w:rPr>
              <w:t>0.40</w:t>
            </w:r>
          </w:p>
        </w:tc>
        <w:tc>
          <w:tcPr>
            <w:tcW w:w="120" w:type="dxa"/>
            <w:vAlign w:val="bottom"/>
          </w:tcPr>
          <w:p>
            <w:pPr>
              <w:spacing w:after="0"/>
              <w:rPr>
                <w:sz w:val="22"/>
                <w:szCs w:val="22"/>
                <w:color w:val="auto"/>
              </w:rPr>
            </w:pPr>
          </w:p>
        </w:tc>
        <w:tc>
          <w:tcPr>
            <w:tcW w:w="300" w:type="dxa"/>
            <w:vAlign w:val="bottom"/>
          </w:tcPr>
          <w:p>
            <w:pPr>
              <w:jc w:val="right"/>
              <w:ind w:right="90"/>
              <w:spacing w:after="0"/>
              <w:rPr>
                <w:sz w:val="20"/>
                <w:szCs w:val="20"/>
                <w:color w:val="auto"/>
              </w:rPr>
            </w:pPr>
            <w:r>
              <w:rPr>
                <w:rFonts w:ascii="Arial" w:cs="Arial" w:eastAsia="Arial" w:hAnsi="Arial"/>
                <w:sz w:val="18"/>
                <w:szCs w:val="18"/>
                <w:color w:val="auto"/>
                <w:w w:val="99"/>
              </w:rPr>
              <w:t>$</w:t>
            </w:r>
          </w:p>
        </w:tc>
        <w:tc>
          <w:tcPr>
            <w:tcW w:w="960" w:type="dxa"/>
            <w:vAlign w:val="bottom"/>
          </w:tcPr>
          <w:p>
            <w:pPr>
              <w:jc w:val="right"/>
              <w:ind w:right="11"/>
              <w:spacing w:after="0"/>
              <w:rPr>
                <w:sz w:val="20"/>
                <w:szCs w:val="20"/>
                <w:color w:val="auto"/>
              </w:rPr>
            </w:pPr>
            <w:r>
              <w:rPr>
                <w:rFonts w:ascii="Arial" w:cs="Arial" w:eastAsia="Arial" w:hAnsi="Arial"/>
                <w:sz w:val="18"/>
                <w:szCs w:val="18"/>
                <w:color w:val="auto"/>
              </w:rPr>
              <w:t>0.40</w:t>
            </w:r>
          </w:p>
        </w:tc>
        <w:tc>
          <w:tcPr>
            <w:tcW w:w="120" w:type="dxa"/>
            <w:vAlign w:val="bottom"/>
          </w:tcPr>
          <w:p>
            <w:pPr>
              <w:spacing w:after="0"/>
              <w:rPr>
                <w:sz w:val="22"/>
                <w:szCs w:val="22"/>
                <w:color w:val="auto"/>
              </w:rPr>
            </w:pPr>
          </w:p>
        </w:tc>
        <w:tc>
          <w:tcPr>
            <w:tcW w:w="300" w:type="dxa"/>
            <w:vAlign w:val="bottom"/>
          </w:tcPr>
          <w:p>
            <w:pPr>
              <w:jc w:val="right"/>
              <w:ind w:right="90"/>
              <w:spacing w:after="0"/>
              <w:rPr>
                <w:sz w:val="20"/>
                <w:szCs w:val="20"/>
                <w:color w:val="auto"/>
              </w:rPr>
            </w:pPr>
            <w:r>
              <w:rPr>
                <w:rFonts w:ascii="Arial" w:cs="Arial" w:eastAsia="Arial" w:hAnsi="Arial"/>
                <w:sz w:val="18"/>
                <w:szCs w:val="18"/>
                <w:color w:val="auto"/>
                <w:w w:val="99"/>
              </w:rPr>
              <w:t>$</w:t>
            </w:r>
          </w:p>
        </w:tc>
        <w:tc>
          <w:tcPr>
            <w:tcW w:w="960" w:type="dxa"/>
            <w:vAlign w:val="bottom"/>
          </w:tcPr>
          <w:p>
            <w:pPr>
              <w:jc w:val="right"/>
              <w:ind w:right="11"/>
              <w:spacing w:after="0"/>
              <w:rPr>
                <w:sz w:val="20"/>
                <w:szCs w:val="20"/>
                <w:color w:val="auto"/>
              </w:rPr>
            </w:pPr>
            <w:r>
              <w:rPr>
                <w:rFonts w:ascii="Arial" w:cs="Arial" w:eastAsia="Arial" w:hAnsi="Arial"/>
                <w:sz w:val="18"/>
                <w:szCs w:val="18"/>
                <w:color w:val="auto"/>
              </w:rPr>
              <w:t>0.40</w:t>
            </w:r>
          </w:p>
        </w:tc>
      </w:tr>
      <w:tr>
        <w:trPr>
          <w:trHeight w:val="135"/>
        </w:trPr>
        <w:tc>
          <w:tcPr>
            <w:tcW w:w="40" w:type="dxa"/>
            <w:vAlign w:val="bottom"/>
          </w:tcPr>
          <w:p>
            <w:pPr>
              <w:spacing w:after="0"/>
              <w:rPr>
                <w:sz w:val="11"/>
                <w:szCs w:val="11"/>
                <w:color w:val="auto"/>
              </w:rPr>
            </w:pPr>
          </w:p>
        </w:tc>
        <w:tc>
          <w:tcPr>
            <w:tcW w:w="1520" w:type="dxa"/>
            <w:vAlign w:val="bottom"/>
          </w:tcPr>
          <w:p>
            <w:pPr>
              <w:spacing w:after="0"/>
              <w:rPr>
                <w:sz w:val="11"/>
                <w:szCs w:val="11"/>
                <w:color w:val="auto"/>
              </w:rPr>
            </w:pPr>
          </w:p>
        </w:tc>
        <w:tc>
          <w:tcPr>
            <w:tcW w:w="132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960" w:type="dxa"/>
            <w:vAlign w:val="bottom"/>
          </w:tcPr>
          <w:p>
            <w:pPr>
              <w:spacing w:after="0"/>
              <w:rPr>
                <w:sz w:val="11"/>
                <w:szCs w:val="11"/>
                <w:color w:val="auto"/>
              </w:rPr>
            </w:pPr>
          </w:p>
        </w:tc>
      </w:tr>
      <w:tr>
        <w:trPr>
          <w:trHeight w:val="203"/>
        </w:trPr>
        <w:tc>
          <w:tcPr>
            <w:tcW w:w="40" w:type="dxa"/>
            <w:vAlign w:val="bottom"/>
            <w:shd w:val="clear" w:color="auto" w:fill="CCEEFF"/>
          </w:tcPr>
          <w:p>
            <w:pPr>
              <w:spacing w:after="0"/>
              <w:rPr>
                <w:sz w:val="17"/>
                <w:szCs w:val="17"/>
                <w:color w:val="auto"/>
              </w:rPr>
            </w:pPr>
          </w:p>
        </w:tc>
        <w:tc>
          <w:tcPr>
            <w:tcW w:w="4600" w:type="dxa"/>
            <w:vAlign w:val="bottom"/>
            <w:gridSpan w:val="4"/>
            <w:shd w:val="clear" w:color="auto" w:fill="CCEEFF"/>
          </w:tcPr>
          <w:p>
            <w:pPr>
              <w:spacing w:after="0" w:line="202" w:lineRule="exact"/>
              <w:rPr>
                <w:sz w:val="20"/>
                <w:szCs w:val="20"/>
                <w:color w:val="auto"/>
              </w:rPr>
            </w:pPr>
            <w:r>
              <w:rPr>
                <w:rFonts w:ascii="Arial" w:cs="Arial" w:eastAsia="Arial" w:hAnsi="Arial"/>
                <w:sz w:val="18"/>
                <w:szCs w:val="18"/>
                <w:b w:val="1"/>
                <w:bCs w:val="1"/>
                <w:color w:val="auto"/>
              </w:rPr>
              <w:t>Consolidated Balance Sheet data</w:t>
            </w:r>
          </w:p>
        </w:tc>
        <w:tc>
          <w:tcPr>
            <w:tcW w:w="30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0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r>
      <w:tr>
        <w:trPr>
          <w:trHeight w:val="217"/>
        </w:trPr>
        <w:tc>
          <w:tcPr>
            <w:tcW w:w="40" w:type="dxa"/>
            <w:vAlign w:val="bottom"/>
            <w:tcBorders>
              <w:top w:val="single" w:sz="8" w:color="CCEEFF"/>
            </w:tcBorders>
            <w:shd w:val="clear" w:color="auto" w:fill="CCEEFF"/>
          </w:tcPr>
          <w:p>
            <w:pPr>
              <w:spacing w:after="0"/>
              <w:rPr>
                <w:sz w:val="18"/>
                <w:szCs w:val="18"/>
                <w:color w:val="auto"/>
              </w:rPr>
            </w:pPr>
          </w:p>
        </w:tc>
        <w:tc>
          <w:tcPr>
            <w:tcW w:w="2840" w:type="dxa"/>
            <w:vAlign w:val="bottom"/>
            <w:tcBorders>
              <w:top w:val="single" w:sz="8" w:color="auto"/>
            </w:tcBorders>
            <w:gridSpan w:val="2"/>
            <w:shd w:val="clear" w:color="auto" w:fill="CCEEFF"/>
          </w:tcPr>
          <w:p>
            <w:pPr>
              <w:spacing w:after="0" w:line="182" w:lineRule="exact"/>
              <w:rPr>
                <w:sz w:val="20"/>
                <w:szCs w:val="20"/>
                <w:color w:val="auto"/>
              </w:rPr>
            </w:pPr>
            <w:r>
              <w:rPr>
                <w:rFonts w:ascii="Arial" w:cs="Arial" w:eastAsia="Arial" w:hAnsi="Arial"/>
                <w:sz w:val="18"/>
                <w:szCs w:val="18"/>
                <w:b w:val="1"/>
                <w:bCs w:val="1"/>
                <w:color w:val="auto"/>
              </w:rPr>
              <w:t>(at end of period):</w:t>
            </w:r>
          </w:p>
        </w:tc>
        <w:tc>
          <w:tcPr>
            <w:tcW w:w="1760" w:type="dxa"/>
            <w:vAlign w:val="bottom"/>
            <w:tcBorders>
              <w:top w:val="single" w:sz="8" w:color="CCEEFF"/>
            </w:tcBorders>
            <w:gridSpan w:val="2"/>
            <w:shd w:val="clear" w:color="auto" w:fill="CCEEFF"/>
          </w:tcPr>
          <w:p>
            <w:pPr>
              <w:spacing w:after="0"/>
              <w:rPr>
                <w:sz w:val="18"/>
                <w:szCs w:val="18"/>
                <w:color w:val="auto"/>
              </w:rPr>
            </w:pPr>
          </w:p>
        </w:tc>
        <w:tc>
          <w:tcPr>
            <w:tcW w:w="300" w:type="dxa"/>
            <w:vAlign w:val="bottom"/>
            <w:tcBorders>
              <w:top w:val="single" w:sz="8" w:color="CCEEFF"/>
            </w:tcBorders>
            <w:shd w:val="clear" w:color="auto" w:fill="CCEEFF"/>
          </w:tcPr>
          <w:p>
            <w:pPr>
              <w:spacing w:after="0"/>
              <w:rPr>
                <w:sz w:val="18"/>
                <w:szCs w:val="18"/>
                <w:color w:val="auto"/>
              </w:rPr>
            </w:pPr>
          </w:p>
        </w:tc>
        <w:tc>
          <w:tcPr>
            <w:tcW w:w="96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CCEEFF"/>
            </w:tcBorders>
            <w:shd w:val="clear" w:color="auto" w:fill="CCEEFF"/>
          </w:tcPr>
          <w:p>
            <w:pPr>
              <w:spacing w:after="0"/>
              <w:rPr>
                <w:sz w:val="18"/>
                <w:szCs w:val="18"/>
                <w:color w:val="auto"/>
              </w:rPr>
            </w:pPr>
          </w:p>
        </w:tc>
        <w:tc>
          <w:tcPr>
            <w:tcW w:w="104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300" w:type="dxa"/>
            <w:vAlign w:val="bottom"/>
            <w:tcBorders>
              <w:top w:val="single" w:sz="8" w:color="CCEEFF"/>
            </w:tcBorders>
            <w:shd w:val="clear" w:color="auto" w:fill="CCEEFF"/>
          </w:tcPr>
          <w:p>
            <w:pPr>
              <w:spacing w:after="0"/>
              <w:rPr>
                <w:sz w:val="18"/>
                <w:szCs w:val="18"/>
                <w:color w:val="auto"/>
              </w:rPr>
            </w:pPr>
          </w:p>
        </w:tc>
        <w:tc>
          <w:tcPr>
            <w:tcW w:w="96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300" w:type="dxa"/>
            <w:vAlign w:val="bottom"/>
            <w:tcBorders>
              <w:top w:val="single" w:sz="8" w:color="CCEEFF"/>
            </w:tcBorders>
            <w:shd w:val="clear" w:color="auto" w:fill="CCEEFF"/>
          </w:tcPr>
          <w:p>
            <w:pPr>
              <w:spacing w:after="0"/>
              <w:rPr>
                <w:sz w:val="18"/>
                <w:szCs w:val="18"/>
                <w:color w:val="auto"/>
              </w:rPr>
            </w:pPr>
          </w:p>
        </w:tc>
        <w:tc>
          <w:tcPr>
            <w:tcW w:w="96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300" w:type="dxa"/>
            <w:vAlign w:val="bottom"/>
            <w:tcBorders>
              <w:top w:val="single" w:sz="8" w:color="CCEEFF"/>
            </w:tcBorders>
            <w:shd w:val="clear" w:color="auto" w:fill="CCEEFF"/>
          </w:tcPr>
          <w:p>
            <w:pPr>
              <w:spacing w:after="0"/>
              <w:rPr>
                <w:sz w:val="18"/>
                <w:szCs w:val="18"/>
                <w:color w:val="auto"/>
              </w:rPr>
            </w:pPr>
          </w:p>
        </w:tc>
        <w:tc>
          <w:tcPr>
            <w:tcW w:w="960" w:type="dxa"/>
            <w:vAlign w:val="bottom"/>
            <w:tcBorders>
              <w:top w:val="single" w:sz="8" w:color="CCEEFF"/>
            </w:tcBorders>
            <w:shd w:val="clear" w:color="auto" w:fill="CCEEFF"/>
          </w:tcPr>
          <w:p>
            <w:pPr>
              <w:spacing w:after="0"/>
              <w:rPr>
                <w:sz w:val="18"/>
                <w:szCs w:val="18"/>
                <w:color w:val="auto"/>
              </w:rPr>
            </w:pPr>
          </w:p>
        </w:tc>
      </w:tr>
      <w:tr>
        <w:trPr>
          <w:trHeight w:val="263"/>
        </w:trPr>
        <w:tc>
          <w:tcPr>
            <w:tcW w:w="40" w:type="dxa"/>
            <w:vAlign w:val="bottom"/>
            <w:tcBorders>
              <w:top w:val="single" w:sz="8" w:color="CCEEFF"/>
            </w:tcBorders>
          </w:tcPr>
          <w:p>
            <w:pPr>
              <w:spacing w:after="0"/>
              <w:rPr>
                <w:sz w:val="22"/>
                <w:szCs w:val="22"/>
                <w:color w:val="auto"/>
              </w:rPr>
            </w:pPr>
          </w:p>
        </w:tc>
        <w:tc>
          <w:tcPr>
            <w:tcW w:w="1520" w:type="dxa"/>
            <w:vAlign w:val="bottom"/>
            <w:tcBorders>
              <w:top w:val="single" w:sz="8" w:color="auto"/>
            </w:tcBorders>
          </w:tcPr>
          <w:p>
            <w:pPr>
              <w:spacing w:after="0"/>
              <w:rPr>
                <w:sz w:val="20"/>
                <w:szCs w:val="20"/>
                <w:color w:val="auto"/>
              </w:rPr>
            </w:pPr>
            <w:r>
              <w:rPr>
                <w:rFonts w:ascii="Arial" w:cs="Arial" w:eastAsia="Arial" w:hAnsi="Arial"/>
                <w:sz w:val="18"/>
                <w:szCs w:val="18"/>
                <w:color w:val="auto"/>
              </w:rPr>
              <w:t>Total assets</w:t>
            </w:r>
          </w:p>
        </w:tc>
        <w:tc>
          <w:tcPr>
            <w:tcW w:w="3080" w:type="dxa"/>
            <w:vAlign w:val="bottom"/>
            <w:tcBorders>
              <w:top w:val="single" w:sz="8" w:color="CCEEFF"/>
            </w:tcBorders>
            <w:gridSpan w:val="3"/>
          </w:tcPr>
          <w:p>
            <w:pPr>
              <w:spacing w:after="0"/>
              <w:rPr>
                <w:sz w:val="22"/>
                <w:szCs w:val="22"/>
                <w:color w:val="auto"/>
              </w:rPr>
            </w:pPr>
          </w:p>
        </w:tc>
        <w:tc>
          <w:tcPr>
            <w:tcW w:w="300" w:type="dxa"/>
            <w:vAlign w:val="bottom"/>
            <w:tcBorders>
              <w:top w:val="single" w:sz="8" w:color="CCEEFF"/>
            </w:tcBorders>
          </w:tcPr>
          <w:p>
            <w:pPr>
              <w:jc w:val="right"/>
              <w:ind w:right="90"/>
              <w:spacing w:after="0"/>
              <w:rPr>
                <w:sz w:val="20"/>
                <w:szCs w:val="20"/>
                <w:color w:val="auto"/>
              </w:rPr>
            </w:pPr>
            <w:r>
              <w:rPr>
                <w:rFonts w:ascii="Arial" w:cs="Arial" w:eastAsia="Arial" w:hAnsi="Arial"/>
                <w:sz w:val="18"/>
                <w:szCs w:val="18"/>
                <w:color w:val="auto"/>
                <w:w w:val="99"/>
              </w:rPr>
              <w:t>$</w:t>
            </w:r>
          </w:p>
        </w:tc>
        <w:tc>
          <w:tcPr>
            <w:tcW w:w="960" w:type="dxa"/>
            <w:vAlign w:val="bottom"/>
            <w:tcBorders>
              <w:top w:val="single" w:sz="8" w:color="CCEEFF"/>
            </w:tcBorders>
          </w:tcPr>
          <w:p>
            <w:pPr>
              <w:jc w:val="right"/>
              <w:ind w:right="11"/>
              <w:spacing w:after="0"/>
              <w:rPr>
                <w:sz w:val="20"/>
                <w:szCs w:val="20"/>
                <w:color w:val="auto"/>
              </w:rPr>
            </w:pPr>
            <w:r>
              <w:rPr>
                <w:rFonts w:ascii="Arial" w:cs="Arial" w:eastAsia="Arial" w:hAnsi="Arial"/>
                <w:sz w:val="18"/>
                <w:szCs w:val="18"/>
                <w:color w:val="auto"/>
              </w:rPr>
              <w:t>59,995</w:t>
            </w:r>
          </w:p>
        </w:tc>
        <w:tc>
          <w:tcPr>
            <w:tcW w:w="120" w:type="dxa"/>
            <w:vAlign w:val="bottom"/>
            <w:tcBorders>
              <w:top w:val="single" w:sz="8" w:color="CCEEFF"/>
            </w:tcBorders>
          </w:tcPr>
          <w:p>
            <w:pPr>
              <w:spacing w:after="0"/>
              <w:rPr>
                <w:sz w:val="22"/>
                <w:szCs w:val="22"/>
                <w:color w:val="auto"/>
              </w:rPr>
            </w:pPr>
          </w:p>
        </w:tc>
        <w:tc>
          <w:tcPr>
            <w:tcW w:w="220" w:type="dxa"/>
            <w:vAlign w:val="bottom"/>
            <w:tcBorders>
              <w:top w:val="single" w:sz="8" w:color="CCEEFF"/>
            </w:tcBorders>
          </w:tcPr>
          <w:p>
            <w:pPr>
              <w:jc w:val="right"/>
              <w:ind w:right="10"/>
              <w:spacing w:after="0"/>
              <w:rPr>
                <w:sz w:val="20"/>
                <w:szCs w:val="20"/>
                <w:color w:val="auto"/>
              </w:rPr>
            </w:pPr>
            <w:r>
              <w:rPr>
                <w:rFonts w:ascii="Arial" w:cs="Arial" w:eastAsia="Arial" w:hAnsi="Arial"/>
                <w:sz w:val="18"/>
                <w:szCs w:val="18"/>
                <w:color w:val="auto"/>
                <w:w w:val="99"/>
              </w:rPr>
              <w:t>$</w:t>
            </w:r>
          </w:p>
        </w:tc>
        <w:tc>
          <w:tcPr>
            <w:tcW w:w="1040" w:type="dxa"/>
            <w:vAlign w:val="bottom"/>
            <w:tcBorders>
              <w:top w:val="single" w:sz="8" w:color="CCEEFF"/>
            </w:tcBorders>
          </w:tcPr>
          <w:p>
            <w:pPr>
              <w:jc w:val="right"/>
              <w:ind w:right="13"/>
              <w:spacing w:after="0"/>
              <w:rPr>
                <w:sz w:val="20"/>
                <w:szCs w:val="20"/>
                <w:color w:val="auto"/>
              </w:rPr>
            </w:pPr>
            <w:r>
              <w:rPr>
                <w:rFonts w:ascii="Arial" w:cs="Arial" w:eastAsia="Arial" w:hAnsi="Arial"/>
                <w:sz w:val="18"/>
                <w:szCs w:val="18"/>
                <w:color w:val="auto"/>
              </w:rPr>
              <w:t>60,580</w:t>
            </w:r>
          </w:p>
        </w:tc>
        <w:tc>
          <w:tcPr>
            <w:tcW w:w="120" w:type="dxa"/>
            <w:vAlign w:val="bottom"/>
            <w:tcBorders>
              <w:top w:val="single" w:sz="8" w:color="CCEEFF"/>
            </w:tcBorders>
          </w:tcPr>
          <w:p>
            <w:pPr>
              <w:spacing w:after="0"/>
              <w:rPr>
                <w:sz w:val="22"/>
                <w:szCs w:val="22"/>
                <w:color w:val="auto"/>
              </w:rPr>
            </w:pPr>
          </w:p>
        </w:tc>
        <w:tc>
          <w:tcPr>
            <w:tcW w:w="300" w:type="dxa"/>
            <w:vAlign w:val="bottom"/>
            <w:tcBorders>
              <w:top w:val="single" w:sz="8" w:color="CCEEFF"/>
            </w:tcBorders>
          </w:tcPr>
          <w:p>
            <w:pPr>
              <w:jc w:val="right"/>
              <w:ind w:right="90"/>
              <w:spacing w:after="0"/>
              <w:rPr>
                <w:sz w:val="20"/>
                <w:szCs w:val="20"/>
                <w:color w:val="auto"/>
              </w:rPr>
            </w:pPr>
            <w:r>
              <w:rPr>
                <w:rFonts w:ascii="Arial" w:cs="Arial" w:eastAsia="Arial" w:hAnsi="Arial"/>
                <w:sz w:val="18"/>
                <w:szCs w:val="18"/>
                <w:color w:val="auto"/>
                <w:w w:val="99"/>
              </w:rPr>
              <w:t>$</w:t>
            </w:r>
          </w:p>
        </w:tc>
        <w:tc>
          <w:tcPr>
            <w:tcW w:w="960" w:type="dxa"/>
            <w:vAlign w:val="bottom"/>
            <w:tcBorders>
              <w:top w:val="single" w:sz="8" w:color="CCEEFF"/>
            </w:tcBorders>
          </w:tcPr>
          <w:p>
            <w:pPr>
              <w:jc w:val="right"/>
              <w:ind w:right="11"/>
              <w:spacing w:after="0"/>
              <w:rPr>
                <w:sz w:val="20"/>
                <w:szCs w:val="20"/>
                <w:color w:val="auto"/>
              </w:rPr>
            </w:pPr>
            <w:r>
              <w:rPr>
                <w:rFonts w:ascii="Arial" w:cs="Arial" w:eastAsia="Arial" w:hAnsi="Arial"/>
                <w:sz w:val="18"/>
                <w:szCs w:val="18"/>
                <w:color w:val="auto"/>
              </w:rPr>
              <w:t>52,785</w:t>
            </w:r>
          </w:p>
        </w:tc>
        <w:tc>
          <w:tcPr>
            <w:tcW w:w="120" w:type="dxa"/>
            <w:vAlign w:val="bottom"/>
            <w:tcBorders>
              <w:top w:val="single" w:sz="8" w:color="CCEEFF"/>
            </w:tcBorders>
          </w:tcPr>
          <w:p>
            <w:pPr>
              <w:spacing w:after="0"/>
              <w:rPr>
                <w:sz w:val="22"/>
                <w:szCs w:val="22"/>
                <w:color w:val="auto"/>
              </w:rPr>
            </w:pPr>
          </w:p>
        </w:tc>
        <w:tc>
          <w:tcPr>
            <w:tcW w:w="300" w:type="dxa"/>
            <w:vAlign w:val="bottom"/>
            <w:tcBorders>
              <w:top w:val="single" w:sz="8" w:color="CCEEFF"/>
            </w:tcBorders>
          </w:tcPr>
          <w:p>
            <w:pPr>
              <w:jc w:val="right"/>
              <w:ind w:right="90"/>
              <w:spacing w:after="0"/>
              <w:rPr>
                <w:sz w:val="20"/>
                <w:szCs w:val="20"/>
                <w:color w:val="auto"/>
              </w:rPr>
            </w:pPr>
            <w:r>
              <w:rPr>
                <w:rFonts w:ascii="Arial" w:cs="Arial" w:eastAsia="Arial" w:hAnsi="Arial"/>
                <w:sz w:val="18"/>
                <w:szCs w:val="18"/>
                <w:color w:val="auto"/>
                <w:w w:val="99"/>
              </w:rPr>
              <w:t>$</w:t>
            </w:r>
          </w:p>
        </w:tc>
        <w:tc>
          <w:tcPr>
            <w:tcW w:w="960" w:type="dxa"/>
            <w:vAlign w:val="bottom"/>
            <w:tcBorders>
              <w:top w:val="single" w:sz="8" w:color="CCEEFF"/>
            </w:tcBorders>
          </w:tcPr>
          <w:p>
            <w:pPr>
              <w:jc w:val="right"/>
              <w:ind w:right="11"/>
              <w:spacing w:after="0"/>
              <w:rPr>
                <w:sz w:val="20"/>
                <w:szCs w:val="20"/>
                <w:color w:val="auto"/>
              </w:rPr>
            </w:pPr>
            <w:r>
              <w:rPr>
                <w:rFonts w:ascii="Arial" w:cs="Arial" w:eastAsia="Arial" w:hAnsi="Arial"/>
                <w:sz w:val="18"/>
                <w:szCs w:val="18"/>
                <w:color w:val="auto"/>
              </w:rPr>
              <w:t>53,610</w:t>
            </w:r>
          </w:p>
        </w:tc>
        <w:tc>
          <w:tcPr>
            <w:tcW w:w="120" w:type="dxa"/>
            <w:vAlign w:val="bottom"/>
            <w:tcBorders>
              <w:top w:val="single" w:sz="8" w:color="CCEEFF"/>
            </w:tcBorders>
          </w:tcPr>
          <w:p>
            <w:pPr>
              <w:spacing w:after="0"/>
              <w:rPr>
                <w:sz w:val="22"/>
                <w:szCs w:val="22"/>
                <w:color w:val="auto"/>
              </w:rPr>
            </w:pPr>
          </w:p>
        </w:tc>
        <w:tc>
          <w:tcPr>
            <w:tcW w:w="300" w:type="dxa"/>
            <w:vAlign w:val="bottom"/>
            <w:tcBorders>
              <w:top w:val="single" w:sz="8" w:color="CCEEFF"/>
            </w:tcBorders>
          </w:tcPr>
          <w:p>
            <w:pPr>
              <w:jc w:val="right"/>
              <w:ind w:right="90"/>
              <w:spacing w:after="0"/>
              <w:rPr>
                <w:sz w:val="20"/>
                <w:szCs w:val="20"/>
                <w:color w:val="auto"/>
              </w:rPr>
            </w:pPr>
            <w:r>
              <w:rPr>
                <w:rFonts w:ascii="Arial" w:cs="Arial" w:eastAsia="Arial" w:hAnsi="Arial"/>
                <w:sz w:val="18"/>
                <w:szCs w:val="18"/>
                <w:color w:val="auto"/>
                <w:w w:val="99"/>
              </w:rPr>
              <w:t>$</w:t>
            </w:r>
          </w:p>
        </w:tc>
        <w:tc>
          <w:tcPr>
            <w:tcW w:w="960" w:type="dxa"/>
            <w:vAlign w:val="bottom"/>
            <w:tcBorders>
              <w:top w:val="single" w:sz="8" w:color="CCEEFF"/>
            </w:tcBorders>
          </w:tcPr>
          <w:p>
            <w:pPr>
              <w:jc w:val="right"/>
              <w:ind w:right="11"/>
              <w:spacing w:after="0"/>
              <w:rPr>
                <w:sz w:val="20"/>
                <w:szCs w:val="20"/>
                <w:color w:val="auto"/>
              </w:rPr>
            </w:pPr>
            <w:r>
              <w:rPr>
                <w:rFonts w:ascii="Arial" w:cs="Arial" w:eastAsia="Arial" w:hAnsi="Arial"/>
                <w:sz w:val="18"/>
                <w:szCs w:val="18"/>
                <w:color w:val="auto"/>
              </w:rPr>
              <w:t>48,415</w:t>
            </w:r>
          </w:p>
        </w:tc>
      </w:tr>
      <w:tr>
        <w:trPr>
          <w:trHeight w:val="277"/>
        </w:trPr>
        <w:tc>
          <w:tcPr>
            <w:tcW w:w="40" w:type="dxa"/>
            <w:vAlign w:val="bottom"/>
            <w:shd w:val="clear" w:color="auto" w:fill="CCEEFF"/>
          </w:tcPr>
          <w:p>
            <w:pPr>
              <w:spacing w:after="0"/>
              <w:rPr>
                <w:sz w:val="24"/>
                <w:szCs w:val="24"/>
                <w:color w:val="auto"/>
              </w:rPr>
            </w:pPr>
          </w:p>
        </w:tc>
        <w:tc>
          <w:tcPr>
            <w:tcW w:w="4600" w:type="dxa"/>
            <w:vAlign w:val="bottom"/>
            <w:gridSpan w:val="4"/>
            <w:shd w:val="clear" w:color="auto" w:fill="CCEEFF"/>
          </w:tcPr>
          <w:p>
            <w:pPr>
              <w:spacing w:after="0"/>
              <w:rPr>
                <w:sz w:val="20"/>
                <w:szCs w:val="20"/>
                <w:color w:val="auto"/>
              </w:rPr>
            </w:pPr>
            <w:r>
              <w:rPr>
                <w:rFonts w:ascii="Arial" w:cs="Arial" w:eastAsia="Arial" w:hAnsi="Arial"/>
                <w:sz w:val="18"/>
                <w:szCs w:val="18"/>
                <w:color w:val="auto"/>
              </w:rPr>
              <w:t>Debt and finance leases</w:t>
            </w:r>
          </w:p>
        </w:tc>
        <w:tc>
          <w:tcPr>
            <w:tcW w:w="300" w:type="dxa"/>
            <w:vAlign w:val="bottom"/>
            <w:shd w:val="clear" w:color="auto" w:fill="CCEEFF"/>
          </w:tcPr>
          <w:p>
            <w:pPr>
              <w:spacing w:after="0"/>
              <w:rPr>
                <w:sz w:val="24"/>
                <w:szCs w:val="24"/>
                <w:color w:val="auto"/>
              </w:rPr>
            </w:pPr>
          </w:p>
        </w:tc>
        <w:tc>
          <w:tcPr>
            <w:tcW w:w="96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24,315</w:t>
            </w:r>
          </w:p>
        </w:tc>
        <w:tc>
          <w:tcPr>
            <w:tcW w:w="120" w:type="dxa"/>
            <w:vAlign w:val="bottom"/>
            <w:shd w:val="clear" w:color="auto" w:fill="CCEEFF"/>
          </w:tcPr>
          <w:p>
            <w:pPr>
              <w:spacing w:after="0"/>
              <w:rPr>
                <w:sz w:val="24"/>
                <w:szCs w:val="24"/>
                <w:color w:val="auto"/>
              </w:rPr>
            </w:pPr>
          </w:p>
        </w:tc>
        <w:tc>
          <w:tcPr>
            <w:tcW w:w="220" w:type="dxa"/>
            <w:vAlign w:val="bottom"/>
            <w:shd w:val="clear" w:color="auto" w:fill="CCEEFF"/>
          </w:tcPr>
          <w:p>
            <w:pPr>
              <w:spacing w:after="0"/>
              <w:rPr>
                <w:sz w:val="24"/>
                <w:szCs w:val="24"/>
                <w:color w:val="auto"/>
              </w:rPr>
            </w:pPr>
          </w:p>
        </w:tc>
        <w:tc>
          <w:tcPr>
            <w:tcW w:w="1040" w:type="dxa"/>
            <w:vAlign w:val="bottom"/>
            <w:shd w:val="clear" w:color="auto" w:fill="CCEEFF"/>
          </w:tcPr>
          <w:p>
            <w:pPr>
              <w:jc w:val="right"/>
              <w:ind w:right="13"/>
              <w:spacing w:after="0"/>
              <w:rPr>
                <w:sz w:val="20"/>
                <w:szCs w:val="20"/>
                <w:color w:val="auto"/>
              </w:rPr>
            </w:pPr>
            <w:r>
              <w:rPr>
                <w:rFonts w:ascii="Arial" w:cs="Arial" w:eastAsia="Arial" w:hAnsi="Arial"/>
                <w:sz w:val="18"/>
                <w:szCs w:val="18"/>
                <w:color w:val="auto"/>
              </w:rPr>
              <w:t>24,473</w:t>
            </w:r>
          </w:p>
        </w:tc>
        <w:tc>
          <w:tcPr>
            <w:tcW w:w="120" w:type="dxa"/>
            <w:vAlign w:val="bottom"/>
            <w:shd w:val="clear" w:color="auto" w:fill="CCEEFF"/>
          </w:tcPr>
          <w:p>
            <w:pPr>
              <w:spacing w:after="0"/>
              <w:rPr>
                <w:sz w:val="24"/>
                <w:szCs w:val="24"/>
                <w:color w:val="auto"/>
              </w:rPr>
            </w:pPr>
          </w:p>
        </w:tc>
        <w:tc>
          <w:tcPr>
            <w:tcW w:w="300" w:type="dxa"/>
            <w:vAlign w:val="bottom"/>
            <w:shd w:val="clear" w:color="auto" w:fill="CCEEFF"/>
          </w:tcPr>
          <w:p>
            <w:pPr>
              <w:spacing w:after="0"/>
              <w:rPr>
                <w:sz w:val="24"/>
                <w:szCs w:val="24"/>
                <w:color w:val="auto"/>
              </w:rPr>
            </w:pPr>
          </w:p>
        </w:tc>
        <w:tc>
          <w:tcPr>
            <w:tcW w:w="96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25,065</w:t>
            </w:r>
          </w:p>
        </w:tc>
        <w:tc>
          <w:tcPr>
            <w:tcW w:w="120" w:type="dxa"/>
            <w:vAlign w:val="bottom"/>
            <w:shd w:val="clear" w:color="auto" w:fill="CCEEFF"/>
          </w:tcPr>
          <w:p>
            <w:pPr>
              <w:spacing w:after="0"/>
              <w:rPr>
                <w:sz w:val="24"/>
                <w:szCs w:val="24"/>
                <w:color w:val="auto"/>
              </w:rPr>
            </w:pPr>
          </w:p>
        </w:tc>
        <w:tc>
          <w:tcPr>
            <w:tcW w:w="300" w:type="dxa"/>
            <w:vAlign w:val="bottom"/>
            <w:shd w:val="clear" w:color="auto" w:fill="CCEEFF"/>
          </w:tcPr>
          <w:p>
            <w:pPr>
              <w:spacing w:after="0"/>
              <w:rPr>
                <w:sz w:val="24"/>
                <w:szCs w:val="24"/>
                <w:color w:val="auto"/>
              </w:rPr>
            </w:pPr>
          </w:p>
        </w:tc>
        <w:tc>
          <w:tcPr>
            <w:tcW w:w="96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24,344</w:t>
            </w:r>
          </w:p>
        </w:tc>
        <w:tc>
          <w:tcPr>
            <w:tcW w:w="120" w:type="dxa"/>
            <w:vAlign w:val="bottom"/>
            <w:shd w:val="clear" w:color="auto" w:fill="CCEEFF"/>
          </w:tcPr>
          <w:p>
            <w:pPr>
              <w:spacing w:after="0"/>
              <w:rPr>
                <w:sz w:val="24"/>
                <w:szCs w:val="24"/>
                <w:color w:val="auto"/>
              </w:rPr>
            </w:pPr>
          </w:p>
        </w:tc>
        <w:tc>
          <w:tcPr>
            <w:tcW w:w="300" w:type="dxa"/>
            <w:vAlign w:val="bottom"/>
            <w:shd w:val="clear" w:color="auto" w:fill="CCEEFF"/>
          </w:tcPr>
          <w:p>
            <w:pPr>
              <w:spacing w:after="0"/>
              <w:rPr>
                <w:sz w:val="24"/>
                <w:szCs w:val="24"/>
                <w:color w:val="auto"/>
              </w:rPr>
            </w:pPr>
          </w:p>
        </w:tc>
        <w:tc>
          <w:tcPr>
            <w:tcW w:w="96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20,561</w:t>
            </w:r>
          </w:p>
        </w:tc>
      </w:tr>
      <w:tr>
        <w:trPr>
          <w:trHeight w:val="270"/>
        </w:trPr>
        <w:tc>
          <w:tcPr>
            <w:tcW w:w="40" w:type="dxa"/>
            <w:vAlign w:val="bottom"/>
          </w:tcPr>
          <w:p>
            <w:pPr>
              <w:spacing w:after="0"/>
              <w:rPr>
                <w:sz w:val="23"/>
                <w:szCs w:val="23"/>
                <w:color w:val="auto"/>
              </w:rPr>
            </w:pPr>
          </w:p>
        </w:tc>
        <w:tc>
          <w:tcPr>
            <w:tcW w:w="4600" w:type="dxa"/>
            <w:vAlign w:val="bottom"/>
            <w:gridSpan w:val="4"/>
          </w:tcPr>
          <w:p>
            <w:pPr>
              <w:spacing w:after="0"/>
              <w:rPr>
                <w:sz w:val="20"/>
                <w:szCs w:val="20"/>
                <w:color w:val="auto"/>
              </w:rPr>
            </w:pPr>
            <w:r>
              <w:rPr>
                <w:rFonts w:ascii="Arial" w:cs="Arial" w:eastAsia="Arial" w:hAnsi="Arial"/>
                <w:sz w:val="18"/>
                <w:szCs w:val="18"/>
                <w:color w:val="auto"/>
              </w:rPr>
              <w:t xml:space="preserve">Pension and postretirement obligations </w:t>
            </w:r>
            <w:r>
              <w:rPr>
                <w:rFonts w:ascii="Arial" w:cs="Arial" w:eastAsia="Arial" w:hAnsi="Arial"/>
                <w:sz w:val="21"/>
                <w:szCs w:val="21"/>
                <w:color w:val="auto"/>
                <w:vertAlign w:val="superscript"/>
              </w:rPr>
              <w:t>(1)</w:t>
            </w:r>
          </w:p>
        </w:tc>
        <w:tc>
          <w:tcPr>
            <w:tcW w:w="300" w:type="dxa"/>
            <w:vAlign w:val="bottom"/>
          </w:tcPr>
          <w:p>
            <w:pPr>
              <w:spacing w:after="0"/>
              <w:rPr>
                <w:sz w:val="23"/>
                <w:szCs w:val="23"/>
                <w:color w:val="auto"/>
              </w:rPr>
            </w:pPr>
          </w:p>
        </w:tc>
        <w:tc>
          <w:tcPr>
            <w:tcW w:w="960" w:type="dxa"/>
            <w:vAlign w:val="bottom"/>
          </w:tcPr>
          <w:p>
            <w:pPr>
              <w:jc w:val="right"/>
              <w:ind w:right="11"/>
              <w:spacing w:after="0"/>
              <w:rPr>
                <w:sz w:val="20"/>
                <w:szCs w:val="20"/>
                <w:color w:val="auto"/>
              </w:rPr>
            </w:pPr>
            <w:r>
              <w:rPr>
                <w:rFonts w:ascii="Arial" w:cs="Arial" w:eastAsia="Arial" w:hAnsi="Arial"/>
                <w:sz w:val="18"/>
                <w:szCs w:val="18"/>
                <w:color w:val="auto"/>
              </w:rPr>
              <w:t>6,081</w:t>
            </w:r>
          </w:p>
        </w:tc>
        <w:tc>
          <w:tcPr>
            <w:tcW w:w="12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1040" w:type="dxa"/>
            <w:vAlign w:val="bottom"/>
          </w:tcPr>
          <w:p>
            <w:pPr>
              <w:jc w:val="right"/>
              <w:ind w:right="13"/>
              <w:spacing w:after="0"/>
              <w:rPr>
                <w:sz w:val="20"/>
                <w:szCs w:val="20"/>
                <w:color w:val="auto"/>
              </w:rPr>
            </w:pPr>
            <w:r>
              <w:rPr>
                <w:rFonts w:ascii="Arial" w:cs="Arial" w:eastAsia="Arial" w:hAnsi="Arial"/>
                <w:sz w:val="18"/>
                <w:szCs w:val="18"/>
                <w:color w:val="auto"/>
              </w:rPr>
              <w:t>6,937</w:t>
            </w:r>
          </w:p>
        </w:tc>
        <w:tc>
          <w:tcPr>
            <w:tcW w:w="12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960" w:type="dxa"/>
            <w:vAlign w:val="bottom"/>
          </w:tcPr>
          <w:p>
            <w:pPr>
              <w:jc w:val="right"/>
              <w:ind w:right="11"/>
              <w:spacing w:after="0"/>
              <w:rPr>
                <w:sz w:val="20"/>
                <w:szCs w:val="20"/>
                <w:color w:val="auto"/>
              </w:rPr>
            </w:pPr>
            <w:r>
              <w:rPr>
                <w:rFonts w:ascii="Arial" w:cs="Arial" w:eastAsia="Arial" w:hAnsi="Arial"/>
                <w:sz w:val="18"/>
                <w:szCs w:val="18"/>
                <w:color w:val="auto"/>
              </w:rPr>
              <w:t>7,596</w:t>
            </w:r>
          </w:p>
        </w:tc>
        <w:tc>
          <w:tcPr>
            <w:tcW w:w="12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960" w:type="dxa"/>
            <w:vAlign w:val="bottom"/>
          </w:tcPr>
          <w:p>
            <w:pPr>
              <w:jc w:val="right"/>
              <w:ind w:right="11"/>
              <w:spacing w:after="0"/>
              <w:rPr>
                <w:sz w:val="20"/>
                <w:szCs w:val="20"/>
                <w:color w:val="auto"/>
              </w:rPr>
            </w:pPr>
            <w:r>
              <w:rPr>
                <w:rFonts w:ascii="Arial" w:cs="Arial" w:eastAsia="Arial" w:hAnsi="Arial"/>
                <w:sz w:val="18"/>
                <w:szCs w:val="18"/>
                <w:color w:val="auto"/>
              </w:rPr>
              <w:t>7,946</w:t>
            </w:r>
          </w:p>
        </w:tc>
        <w:tc>
          <w:tcPr>
            <w:tcW w:w="12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960" w:type="dxa"/>
            <w:vAlign w:val="bottom"/>
          </w:tcPr>
          <w:p>
            <w:pPr>
              <w:jc w:val="right"/>
              <w:ind w:right="11"/>
              <w:spacing w:after="0"/>
              <w:rPr>
                <w:sz w:val="20"/>
                <w:szCs w:val="20"/>
                <w:color w:val="auto"/>
              </w:rPr>
            </w:pPr>
            <w:r>
              <w:rPr>
                <w:rFonts w:ascii="Arial" w:cs="Arial" w:eastAsia="Arial" w:hAnsi="Arial"/>
                <w:sz w:val="18"/>
                <w:szCs w:val="18"/>
                <w:color w:val="auto"/>
              </w:rPr>
              <w:t>7,566</w:t>
            </w:r>
          </w:p>
        </w:tc>
      </w:tr>
      <w:tr>
        <w:trPr>
          <w:trHeight w:val="270"/>
        </w:trPr>
        <w:tc>
          <w:tcPr>
            <w:tcW w:w="40" w:type="dxa"/>
            <w:vAlign w:val="bottom"/>
            <w:shd w:val="clear" w:color="auto" w:fill="CCEEFF"/>
          </w:tcPr>
          <w:p>
            <w:pPr>
              <w:spacing w:after="0"/>
              <w:rPr>
                <w:sz w:val="23"/>
                <w:szCs w:val="23"/>
                <w:color w:val="auto"/>
              </w:rPr>
            </w:pPr>
          </w:p>
        </w:tc>
        <w:tc>
          <w:tcPr>
            <w:tcW w:w="4600" w:type="dxa"/>
            <w:vAlign w:val="bottom"/>
            <w:gridSpan w:val="4"/>
            <w:shd w:val="clear" w:color="auto" w:fill="CCEEFF"/>
          </w:tcPr>
          <w:p>
            <w:pPr>
              <w:spacing w:after="0"/>
              <w:rPr>
                <w:sz w:val="20"/>
                <w:szCs w:val="20"/>
                <w:color w:val="auto"/>
              </w:rPr>
            </w:pPr>
            <w:r>
              <w:rPr>
                <w:rFonts w:ascii="Arial" w:cs="Arial" w:eastAsia="Arial" w:hAnsi="Arial"/>
                <w:sz w:val="18"/>
                <w:szCs w:val="18"/>
                <w:color w:val="auto"/>
              </w:rPr>
              <w:t>Operating lease liabilities</w:t>
            </w:r>
          </w:p>
        </w:tc>
        <w:tc>
          <w:tcPr>
            <w:tcW w:w="300" w:type="dxa"/>
            <w:vAlign w:val="bottom"/>
            <w:shd w:val="clear" w:color="auto" w:fill="CCEEFF"/>
          </w:tcPr>
          <w:p>
            <w:pPr>
              <w:spacing w:after="0"/>
              <w:rPr>
                <w:sz w:val="23"/>
                <w:szCs w:val="23"/>
                <w:color w:val="auto"/>
              </w:rPr>
            </w:pPr>
          </w:p>
        </w:tc>
        <w:tc>
          <w:tcPr>
            <w:tcW w:w="96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9,129</w:t>
            </w:r>
          </w:p>
        </w:tc>
        <w:tc>
          <w:tcPr>
            <w:tcW w:w="120" w:type="dxa"/>
            <w:vAlign w:val="bottom"/>
            <w:shd w:val="clear" w:color="auto" w:fill="CCEEFF"/>
          </w:tcPr>
          <w:p>
            <w:pPr>
              <w:spacing w:after="0"/>
              <w:rPr>
                <w:sz w:val="23"/>
                <w:szCs w:val="23"/>
                <w:color w:val="auto"/>
              </w:rPr>
            </w:pPr>
          </w:p>
        </w:tc>
        <w:tc>
          <w:tcPr>
            <w:tcW w:w="220" w:type="dxa"/>
            <w:vAlign w:val="bottom"/>
            <w:shd w:val="clear" w:color="auto" w:fill="CCEEFF"/>
          </w:tcPr>
          <w:p>
            <w:pPr>
              <w:spacing w:after="0"/>
              <w:rPr>
                <w:sz w:val="23"/>
                <w:szCs w:val="23"/>
                <w:color w:val="auto"/>
              </w:rPr>
            </w:pPr>
          </w:p>
        </w:tc>
        <w:tc>
          <w:tcPr>
            <w:tcW w:w="1040" w:type="dxa"/>
            <w:vAlign w:val="bottom"/>
            <w:shd w:val="clear" w:color="auto" w:fill="CCEEFF"/>
          </w:tcPr>
          <w:p>
            <w:pPr>
              <w:jc w:val="right"/>
              <w:ind w:right="13"/>
              <w:spacing w:after="0"/>
              <w:rPr>
                <w:sz w:val="20"/>
                <w:szCs w:val="20"/>
                <w:color w:val="auto"/>
              </w:rPr>
            </w:pPr>
            <w:r>
              <w:rPr>
                <w:rFonts w:ascii="Arial" w:cs="Arial" w:eastAsia="Arial" w:hAnsi="Arial"/>
                <w:sz w:val="18"/>
                <w:szCs w:val="18"/>
                <w:color w:val="auto"/>
              </w:rPr>
              <w:t>9,556</w:t>
            </w:r>
          </w:p>
        </w:tc>
        <w:tc>
          <w:tcPr>
            <w:tcW w:w="120" w:type="dxa"/>
            <w:vAlign w:val="bottom"/>
            <w:shd w:val="clear" w:color="auto" w:fill="CCEEFF"/>
          </w:tcPr>
          <w:p>
            <w:pPr>
              <w:spacing w:after="0"/>
              <w:rPr>
                <w:sz w:val="23"/>
                <w:szCs w:val="23"/>
                <w:color w:val="auto"/>
              </w:rPr>
            </w:pPr>
          </w:p>
        </w:tc>
        <w:tc>
          <w:tcPr>
            <w:tcW w:w="300" w:type="dxa"/>
            <w:vAlign w:val="bottom"/>
            <w:shd w:val="clear" w:color="auto" w:fill="CCEEFF"/>
          </w:tcPr>
          <w:p>
            <w:pPr>
              <w:spacing w:after="0"/>
              <w:rPr>
                <w:sz w:val="23"/>
                <w:szCs w:val="23"/>
                <w:color w:val="auto"/>
              </w:rPr>
            </w:pPr>
          </w:p>
        </w:tc>
        <w:tc>
          <w:tcPr>
            <w:tcW w:w="10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300" w:type="dxa"/>
            <w:vAlign w:val="bottom"/>
            <w:shd w:val="clear" w:color="auto" w:fill="CCEEFF"/>
          </w:tcPr>
          <w:p>
            <w:pPr>
              <w:spacing w:after="0"/>
              <w:rPr>
                <w:sz w:val="23"/>
                <w:szCs w:val="23"/>
                <w:color w:val="auto"/>
              </w:rPr>
            </w:pPr>
          </w:p>
        </w:tc>
        <w:tc>
          <w:tcPr>
            <w:tcW w:w="10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300" w:type="dxa"/>
            <w:vAlign w:val="bottom"/>
            <w:shd w:val="clear" w:color="auto" w:fill="CCEEFF"/>
          </w:tcPr>
          <w:p>
            <w:pPr>
              <w:spacing w:after="0"/>
              <w:rPr>
                <w:sz w:val="23"/>
                <w:szCs w:val="23"/>
                <w:color w:val="auto"/>
              </w:rPr>
            </w:pPr>
          </w:p>
        </w:tc>
        <w:tc>
          <w:tcPr>
            <w:tcW w:w="96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w:t>
            </w:r>
          </w:p>
        </w:tc>
      </w:tr>
      <w:tr>
        <w:trPr>
          <w:trHeight w:val="257"/>
        </w:trPr>
        <w:tc>
          <w:tcPr>
            <w:tcW w:w="40" w:type="dxa"/>
            <w:vAlign w:val="bottom"/>
          </w:tcPr>
          <w:p>
            <w:pPr>
              <w:spacing w:after="0"/>
              <w:rPr>
                <w:sz w:val="22"/>
                <w:szCs w:val="22"/>
                <w:color w:val="auto"/>
              </w:rPr>
            </w:pPr>
          </w:p>
        </w:tc>
        <w:tc>
          <w:tcPr>
            <w:tcW w:w="4600" w:type="dxa"/>
            <w:vAlign w:val="bottom"/>
            <w:gridSpan w:val="4"/>
          </w:tcPr>
          <w:p>
            <w:pPr>
              <w:spacing w:after="0"/>
              <w:rPr>
                <w:sz w:val="20"/>
                <w:szCs w:val="20"/>
                <w:color w:val="auto"/>
              </w:rPr>
            </w:pPr>
            <w:r>
              <w:rPr>
                <w:rFonts w:ascii="Arial" w:cs="Arial" w:eastAsia="Arial" w:hAnsi="Arial"/>
                <w:sz w:val="18"/>
                <w:szCs w:val="18"/>
                <w:color w:val="auto"/>
              </w:rPr>
              <w:t>Stockholders’ equity (deficit)</w:t>
            </w:r>
          </w:p>
        </w:tc>
        <w:tc>
          <w:tcPr>
            <w:tcW w:w="300" w:type="dxa"/>
            <w:vAlign w:val="bottom"/>
          </w:tcPr>
          <w:p>
            <w:pPr>
              <w:spacing w:after="0"/>
              <w:rPr>
                <w:sz w:val="22"/>
                <w:szCs w:val="22"/>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(118)</w:t>
            </w:r>
          </w:p>
        </w:tc>
        <w:tc>
          <w:tcPr>
            <w:tcW w:w="12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(169)</w:t>
            </w:r>
          </w:p>
        </w:tc>
        <w:tc>
          <w:tcPr>
            <w:tcW w:w="12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(780)</w:t>
            </w:r>
          </w:p>
        </w:tc>
        <w:tc>
          <w:tcPr>
            <w:tcW w:w="12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(286)</w:t>
            </w:r>
          </w:p>
        </w:tc>
        <w:tc>
          <w:tcPr>
            <w:tcW w:w="12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960" w:type="dxa"/>
            <w:vAlign w:val="bottom"/>
          </w:tcPr>
          <w:p>
            <w:pPr>
              <w:jc w:val="right"/>
              <w:ind w:right="11"/>
              <w:spacing w:after="0"/>
              <w:rPr>
                <w:sz w:val="20"/>
                <w:szCs w:val="20"/>
                <w:color w:val="auto"/>
              </w:rPr>
            </w:pPr>
            <w:r>
              <w:rPr>
                <w:rFonts w:ascii="Arial" w:cs="Arial" w:eastAsia="Arial" w:hAnsi="Arial"/>
                <w:sz w:val="18"/>
                <w:szCs w:val="18"/>
                <w:color w:val="auto"/>
              </w:rPr>
              <w:t>5,635</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171450</wp:posOffset>
            </wp:positionV>
            <wp:extent cx="1337945" cy="889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1337945" cy="8890"/>
                    </a:xfrm>
                    <a:prstGeom prst="rect">
                      <a:avLst/>
                    </a:prstGeom>
                    <a:noFill/>
                  </pic:spPr>
                </pic:pic>
              </a:graphicData>
            </a:graphic>
          </wp:anchor>
        </w:drawing>
      </w:r>
    </w:p>
    <w:p>
      <w:pPr>
        <w:spacing w:after="0" w:line="344" w:lineRule="exact"/>
        <w:rPr>
          <w:sz w:val="20"/>
          <w:szCs w:val="20"/>
          <w:color w:val="auto"/>
        </w:rPr>
      </w:pPr>
    </w:p>
    <w:p>
      <w:pPr>
        <w:ind w:left="660" w:hanging="652"/>
        <w:spacing w:after="0" w:line="225" w:lineRule="auto"/>
        <w:tabs>
          <w:tab w:leader="none" w:pos="660" w:val="left"/>
        </w:tabs>
        <w:numPr>
          <w:ilvl w:val="0"/>
          <w:numId w:val="17"/>
        </w:numPr>
        <w:rPr>
          <w:rFonts w:ascii="Arial" w:cs="Arial" w:eastAsia="Arial" w:hAnsi="Arial"/>
          <w:sz w:val="22"/>
          <w:szCs w:val="22"/>
          <w:color w:val="auto"/>
          <w:vertAlign w:val="superscript"/>
        </w:rPr>
      </w:pPr>
      <w:r>
        <w:rPr>
          <w:rFonts w:ascii="Arial" w:cs="Arial" w:eastAsia="Arial" w:hAnsi="Arial"/>
          <w:sz w:val="18"/>
          <w:szCs w:val="18"/>
          <w:color w:val="auto"/>
        </w:rPr>
        <w:t>Substantially all defined benefit pension plans were frozen effective November 1, 2012. See Note 10 to AAG's Consolidated Financial Statements in Part II, Item 8A for further information on pension and postretirement benefits.</w:t>
      </w:r>
    </w:p>
    <w:p>
      <w:pPr>
        <w:spacing w:after="0" w:line="22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Reconciliation of GAAP to Non-GAAP Financial Measures</w:t>
      </w:r>
    </w:p>
    <w:p>
      <w:pPr>
        <w:spacing w:after="0" w:line="112" w:lineRule="exact"/>
        <w:rPr>
          <w:sz w:val="20"/>
          <w:szCs w:val="20"/>
          <w:color w:val="auto"/>
        </w:rPr>
      </w:pPr>
    </w:p>
    <w:p>
      <w:pPr>
        <w:jc w:val="both"/>
        <w:ind w:firstLine="216"/>
        <w:spacing w:after="0" w:line="252" w:lineRule="auto"/>
        <w:rPr>
          <w:sz w:val="20"/>
          <w:szCs w:val="20"/>
          <w:color w:val="auto"/>
        </w:rPr>
      </w:pPr>
      <w:r>
        <w:rPr>
          <w:rFonts w:ascii="Arial" w:cs="Arial" w:eastAsia="Arial" w:hAnsi="Arial"/>
          <w:sz w:val="18"/>
          <w:szCs w:val="18"/>
          <w:color w:val="auto"/>
        </w:rPr>
        <w:t>We sometimes use financial measures that are derived from the consolidated financial statements but that are not presented in accordance with accounting principles generally accepted in the United States (GAAP) to understand and evaluate our current operating performance and to allow for period-to-period comparisons. We believe these non-GAAP financial measures may also provide useful information to investors and others. These non-GAAP measures may not be comparable to similarly titled non-GAAP measures of other companies, and should be considered in addition to, and not as a substitute for or superior to, any measure of performance, cash flow or liquidity prepared in accordance with GAAP. We are providing a reconciliation of reported non-GAAP financial measures to their comparable financial measures on a GAAP basis.</w:t>
      </w:r>
    </w:p>
    <w:p>
      <w:pPr>
        <w:spacing w:after="0" w:line="20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45</w:t>
      </w:r>
    </w:p>
    <w:p>
      <w:pPr>
        <w:sectPr>
          <w:pgSz w:w="11900" w:h="16838" w:orient="portrait"/>
          <w:cols w:equalWidth="0" w:num="1">
            <w:col w:w="11420"/>
          </w:cols>
          <w:pgMar w:left="240" w:top="792" w:right="239" w:bottom="1440" w:gutter="0" w:footer="0" w:header="0"/>
        </w:sectPr>
      </w:pPr>
    </w:p>
    <w:bookmarkStart w:id="45" w:name="page46"/>
    <w:bookmarkEnd w:id="45"/>
    <w:p>
      <w:pPr>
        <w:jc w:val="both"/>
        <w:ind w:firstLine="216"/>
        <w:spacing w:after="0" w:line="253" w:lineRule="auto"/>
        <w:rPr>
          <w:sz w:val="20"/>
          <w:szCs w:val="20"/>
          <w:color w:val="auto"/>
        </w:rPr>
      </w:pPr>
      <w:r>
        <w:rPr>
          <w:rFonts w:ascii="Arial" w:cs="Arial" w:eastAsia="Arial" w:hAnsi="Arial"/>
          <w:sz w:val="18"/>
          <w:szCs w:val="18"/>
          <w:color w:val="auto"/>
        </w:rPr>
        <w:t>The following table presents the components of our total net special items and the reconciliation of pre-tax income and net income (GAAP measures) to pre-tax income excluding net special items and net income excluding net special items (non-GAAP measures). Management uses pre-tax income excluding net special items and net income excluding net special items to evaluate our current operating performance and to allow for period-to-period comparisons. As net special items may vary from period-to-period in nature and amount, the adjustment to exclude net special items allows management an additional tool to understand our core operating performance.</w:t>
      </w:r>
    </w:p>
    <w:p>
      <w:pPr>
        <w:spacing w:after="0" w:line="301" w:lineRule="exact"/>
        <w:rPr>
          <w:sz w:val="20"/>
          <w:szCs w:val="20"/>
          <w:color w:val="auto"/>
        </w:rPr>
      </w:pPr>
    </w:p>
    <w:tbl>
      <w:tblPr>
        <w:tblLayout w:type="fixed"/>
        <w:tblInd w:w="0" w:type="dxa"/>
        <w:tblCellMar>
          <w:top w:w="0" w:type="dxa"/>
          <w:left w:w="0" w:type="dxa"/>
          <w:bottom w:w="0" w:type="dxa"/>
          <w:right w:w="0" w:type="dxa"/>
        </w:tblCellMar>
      </w:tblPr>
      <w:tr>
        <w:trPr>
          <w:trHeight w:val="196"/>
        </w:trPr>
        <w:tc>
          <w:tcPr>
            <w:tcW w:w="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96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54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2500" w:type="dxa"/>
            <w:vAlign w:val="bottom"/>
          </w:tcPr>
          <w:p>
            <w:pPr>
              <w:spacing w:after="0"/>
              <w:rPr>
                <w:sz w:val="17"/>
                <w:szCs w:val="17"/>
                <w:color w:val="auto"/>
              </w:rPr>
            </w:pPr>
          </w:p>
        </w:tc>
        <w:tc>
          <w:tcPr>
            <w:tcW w:w="2920" w:type="dxa"/>
            <w:vAlign w:val="bottom"/>
            <w:tcBorders>
              <w:bottom w:val="single" w:sz="8" w:color="auto"/>
            </w:tcBorders>
            <w:gridSpan w:val="4"/>
          </w:tcPr>
          <w:p>
            <w:pPr>
              <w:jc w:val="right"/>
              <w:ind w:right="173"/>
              <w:spacing w:after="0"/>
              <w:rPr>
                <w:sz w:val="20"/>
                <w:szCs w:val="20"/>
                <w:color w:val="auto"/>
              </w:rPr>
            </w:pPr>
            <w:r>
              <w:rPr>
                <w:rFonts w:ascii="Arial" w:cs="Arial" w:eastAsia="Arial" w:hAnsi="Arial"/>
                <w:sz w:val="14"/>
                <w:szCs w:val="14"/>
                <w:b w:val="1"/>
                <w:bCs w:val="1"/>
                <w:color w:val="auto"/>
              </w:rPr>
              <w:t>Year Ended December 31,</w:t>
            </w:r>
          </w:p>
        </w:tc>
        <w:tc>
          <w:tcPr>
            <w:tcW w:w="620" w:type="dxa"/>
            <w:vAlign w:val="bottom"/>
            <w:tcBorders>
              <w:bottom w:val="single" w:sz="8" w:color="auto"/>
            </w:tcBorders>
          </w:tcPr>
          <w:p>
            <w:pPr>
              <w:spacing w:after="0"/>
              <w:rPr>
                <w:sz w:val="17"/>
                <w:szCs w:val="17"/>
                <w:color w:val="auto"/>
              </w:rPr>
            </w:pPr>
          </w:p>
        </w:tc>
      </w:tr>
      <w:tr>
        <w:trPr>
          <w:trHeight w:val="264"/>
        </w:trPr>
        <w:tc>
          <w:tcPr>
            <w:tcW w:w="4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296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154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2500" w:type="dxa"/>
            <w:vAlign w:val="bottom"/>
          </w:tcPr>
          <w:p>
            <w:pPr>
              <w:spacing w:after="0"/>
              <w:rPr>
                <w:sz w:val="22"/>
                <w:szCs w:val="22"/>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2019</w:t>
            </w:r>
          </w:p>
        </w:tc>
        <w:tc>
          <w:tcPr>
            <w:tcW w:w="640" w:type="dxa"/>
            <w:vAlign w:val="bottom"/>
            <w:tcBorders>
              <w:bottom w:val="single" w:sz="8" w:color="auto"/>
            </w:tcBorders>
          </w:tcPr>
          <w:p>
            <w:pPr>
              <w:spacing w:after="0"/>
              <w:rPr>
                <w:sz w:val="22"/>
                <w:szCs w:val="22"/>
                <w:color w:val="auto"/>
              </w:rPr>
            </w:pPr>
          </w:p>
        </w:tc>
        <w:tc>
          <w:tcPr>
            <w:tcW w:w="100" w:type="dxa"/>
            <w:vAlign w:val="bottom"/>
            <w:tcBorders>
              <w:bottom w:val="single" w:sz="8" w:color="auto"/>
            </w:tcBorders>
          </w:tcPr>
          <w:p>
            <w:pPr>
              <w:spacing w:after="0"/>
              <w:rPr>
                <w:sz w:val="22"/>
                <w:szCs w:val="22"/>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2018</w:t>
            </w:r>
          </w:p>
        </w:tc>
        <w:tc>
          <w:tcPr>
            <w:tcW w:w="620" w:type="dxa"/>
            <w:vAlign w:val="bottom"/>
            <w:tcBorders>
              <w:bottom w:val="single" w:sz="8" w:color="auto"/>
            </w:tcBorders>
          </w:tcPr>
          <w:p>
            <w:pPr>
              <w:spacing w:after="0"/>
              <w:rPr>
                <w:sz w:val="22"/>
                <w:szCs w:val="22"/>
                <w:color w:val="auto"/>
              </w:rPr>
            </w:pPr>
          </w:p>
        </w:tc>
      </w:tr>
      <w:tr>
        <w:trPr>
          <w:trHeight w:val="210"/>
        </w:trPr>
        <w:tc>
          <w:tcPr>
            <w:tcW w:w="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9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5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250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840" w:type="dxa"/>
            <w:vAlign w:val="bottom"/>
            <w:gridSpan w:val="3"/>
          </w:tcPr>
          <w:p>
            <w:pPr>
              <w:jc w:val="right"/>
              <w:ind w:right="653"/>
              <w:spacing w:after="0"/>
              <w:rPr>
                <w:sz w:val="20"/>
                <w:szCs w:val="20"/>
                <w:color w:val="auto"/>
              </w:rPr>
            </w:pPr>
            <w:r>
              <w:rPr>
                <w:rFonts w:ascii="Arial" w:cs="Arial" w:eastAsia="Arial" w:hAnsi="Arial"/>
                <w:sz w:val="14"/>
                <w:szCs w:val="14"/>
                <w:b w:val="1"/>
                <w:bCs w:val="1"/>
                <w:color w:val="auto"/>
              </w:rPr>
              <w:t>(In millions)</w:t>
            </w:r>
          </w:p>
        </w:tc>
        <w:tc>
          <w:tcPr>
            <w:tcW w:w="620" w:type="dxa"/>
            <w:vAlign w:val="bottom"/>
          </w:tcPr>
          <w:p>
            <w:pPr>
              <w:spacing w:after="0"/>
              <w:rPr>
                <w:sz w:val="18"/>
                <w:szCs w:val="18"/>
                <w:color w:val="auto"/>
              </w:rPr>
            </w:pPr>
          </w:p>
        </w:tc>
      </w:tr>
      <w:tr>
        <w:trPr>
          <w:trHeight w:val="222"/>
        </w:trPr>
        <w:tc>
          <w:tcPr>
            <w:tcW w:w="7880" w:type="dxa"/>
            <w:vAlign w:val="bottom"/>
            <w:gridSpan w:val="7"/>
            <w:shd w:val="clear" w:color="auto" w:fill="CCEEFF"/>
          </w:tcPr>
          <w:p>
            <w:pPr>
              <w:ind w:left="40"/>
              <w:spacing w:after="0" w:line="222" w:lineRule="exact"/>
              <w:rPr>
                <w:sz w:val="20"/>
                <w:szCs w:val="20"/>
                <w:color w:val="auto"/>
              </w:rPr>
            </w:pPr>
            <w:r>
              <w:rPr>
                <w:rFonts w:ascii="Arial" w:cs="Arial" w:eastAsia="Arial" w:hAnsi="Arial"/>
                <w:sz w:val="18"/>
                <w:szCs w:val="18"/>
                <w:b w:val="1"/>
                <w:bCs w:val="1"/>
                <w:color w:val="auto"/>
              </w:rPr>
              <w:t xml:space="preserve">Components of Total Special Items, Net: </w:t>
            </w:r>
            <w:r>
              <w:rPr>
                <w:rFonts w:ascii="Arial" w:cs="Arial" w:eastAsia="Arial" w:hAnsi="Arial"/>
                <w:sz w:val="21"/>
                <w:szCs w:val="21"/>
                <w:b w:val="1"/>
                <w:bCs w:val="1"/>
                <w:color w:val="auto"/>
                <w:vertAlign w:val="superscript"/>
              </w:rPr>
              <w:t>(1)</w:t>
            </w:r>
          </w:p>
        </w:tc>
        <w:tc>
          <w:tcPr>
            <w:tcW w:w="1080" w:type="dxa"/>
            <w:vAlign w:val="bottom"/>
            <w:shd w:val="clear" w:color="auto" w:fill="CCEEFF"/>
          </w:tcPr>
          <w:p>
            <w:pPr>
              <w:spacing w:after="0"/>
              <w:rPr>
                <w:sz w:val="19"/>
                <w:szCs w:val="19"/>
                <w:color w:val="auto"/>
              </w:rPr>
            </w:pPr>
          </w:p>
        </w:tc>
        <w:tc>
          <w:tcPr>
            <w:tcW w:w="6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c>
          <w:tcPr>
            <w:tcW w:w="620" w:type="dxa"/>
            <w:vAlign w:val="bottom"/>
            <w:shd w:val="clear" w:color="auto" w:fill="CCEEFF"/>
          </w:tcPr>
          <w:p>
            <w:pPr>
              <w:spacing w:after="0"/>
              <w:rPr>
                <w:sz w:val="19"/>
                <w:szCs w:val="19"/>
                <w:color w:val="auto"/>
              </w:rPr>
            </w:pPr>
          </w:p>
        </w:tc>
      </w:tr>
      <w:tr>
        <w:trPr>
          <w:trHeight w:val="34"/>
        </w:trPr>
        <w:tc>
          <w:tcPr>
            <w:tcW w:w="40" w:type="dxa"/>
            <w:vAlign w:val="bottom"/>
            <w:tcBorders>
              <w:top w:val="single" w:sz="8" w:color="CCEEFF"/>
            </w:tcBorders>
            <w:shd w:val="clear" w:color="auto" w:fill="CCEEFF"/>
          </w:tcPr>
          <w:p>
            <w:pPr>
              <w:spacing w:after="0"/>
              <w:rPr>
                <w:sz w:val="2"/>
                <w:szCs w:val="2"/>
                <w:color w:val="auto"/>
              </w:rPr>
            </w:pPr>
          </w:p>
        </w:tc>
        <w:tc>
          <w:tcPr>
            <w:tcW w:w="140" w:type="dxa"/>
            <w:vAlign w:val="bottom"/>
            <w:tcBorders>
              <w:top w:val="single" w:sz="8" w:color="auto"/>
            </w:tcBorders>
            <w:shd w:val="clear" w:color="auto" w:fill="CCEEFF"/>
          </w:tcPr>
          <w:p>
            <w:pPr>
              <w:spacing w:after="0"/>
              <w:rPr>
                <w:sz w:val="2"/>
                <w:szCs w:val="2"/>
                <w:color w:val="auto"/>
              </w:rPr>
            </w:pPr>
          </w:p>
        </w:tc>
        <w:tc>
          <w:tcPr>
            <w:tcW w:w="2960" w:type="dxa"/>
            <w:vAlign w:val="bottom"/>
            <w:tcBorders>
              <w:top w:val="single" w:sz="8" w:color="auto"/>
            </w:tcBorders>
            <w:shd w:val="clear" w:color="auto" w:fill="CCEEFF"/>
          </w:tcPr>
          <w:p>
            <w:pPr>
              <w:spacing w:after="0"/>
              <w:rPr>
                <w:sz w:val="2"/>
                <w:szCs w:val="2"/>
                <w:color w:val="auto"/>
              </w:rPr>
            </w:pPr>
          </w:p>
        </w:tc>
        <w:tc>
          <w:tcPr>
            <w:tcW w:w="340" w:type="dxa"/>
            <w:vAlign w:val="bottom"/>
            <w:tcBorders>
              <w:top w:val="single" w:sz="8" w:color="auto"/>
            </w:tcBorders>
            <w:shd w:val="clear" w:color="auto" w:fill="CCEEFF"/>
          </w:tcPr>
          <w:p>
            <w:pPr>
              <w:spacing w:after="0"/>
              <w:rPr>
                <w:sz w:val="2"/>
                <w:szCs w:val="2"/>
                <w:color w:val="auto"/>
              </w:rPr>
            </w:pPr>
          </w:p>
        </w:tc>
        <w:tc>
          <w:tcPr>
            <w:tcW w:w="1540" w:type="dxa"/>
            <w:vAlign w:val="bottom"/>
            <w:tcBorders>
              <w:top w:val="single" w:sz="8" w:color="CCEEFF"/>
            </w:tcBorders>
            <w:shd w:val="clear" w:color="auto" w:fill="CCEEFF"/>
          </w:tcPr>
          <w:p>
            <w:pPr>
              <w:spacing w:after="0"/>
              <w:rPr>
                <w:sz w:val="2"/>
                <w:szCs w:val="2"/>
                <w:color w:val="auto"/>
              </w:rPr>
            </w:pPr>
          </w:p>
        </w:tc>
        <w:tc>
          <w:tcPr>
            <w:tcW w:w="360" w:type="dxa"/>
            <w:vAlign w:val="bottom"/>
            <w:tcBorders>
              <w:top w:val="single" w:sz="8" w:color="CCEEFF"/>
            </w:tcBorders>
            <w:shd w:val="clear" w:color="auto" w:fill="CCEEFF"/>
          </w:tcPr>
          <w:p>
            <w:pPr>
              <w:spacing w:after="0"/>
              <w:rPr>
                <w:sz w:val="2"/>
                <w:szCs w:val="2"/>
                <w:color w:val="auto"/>
              </w:rPr>
            </w:pPr>
          </w:p>
        </w:tc>
        <w:tc>
          <w:tcPr>
            <w:tcW w:w="2500" w:type="dxa"/>
            <w:vAlign w:val="bottom"/>
            <w:tcBorders>
              <w:top w:val="single" w:sz="8" w:color="CCEEFF"/>
            </w:tcBorders>
            <w:shd w:val="clear" w:color="auto" w:fill="CCEEFF"/>
          </w:tcPr>
          <w:p>
            <w:pPr>
              <w:spacing w:after="0"/>
              <w:rPr>
                <w:sz w:val="2"/>
                <w:szCs w:val="2"/>
                <w:color w:val="auto"/>
              </w:rPr>
            </w:pPr>
          </w:p>
        </w:tc>
        <w:tc>
          <w:tcPr>
            <w:tcW w:w="1080" w:type="dxa"/>
            <w:vAlign w:val="bottom"/>
            <w:tcBorders>
              <w:top w:val="single" w:sz="8" w:color="CCEEFF"/>
            </w:tcBorders>
            <w:shd w:val="clear" w:color="auto" w:fill="CCEEFF"/>
          </w:tcPr>
          <w:p>
            <w:pPr>
              <w:spacing w:after="0"/>
              <w:rPr>
                <w:sz w:val="2"/>
                <w:szCs w:val="2"/>
                <w:color w:val="auto"/>
              </w:rPr>
            </w:pPr>
          </w:p>
        </w:tc>
        <w:tc>
          <w:tcPr>
            <w:tcW w:w="640" w:type="dxa"/>
            <w:vAlign w:val="bottom"/>
            <w:tcBorders>
              <w:top w:val="single" w:sz="8" w:color="CCEEFF"/>
            </w:tcBorders>
            <w:shd w:val="clear" w:color="auto" w:fill="CCEEFF"/>
          </w:tcPr>
          <w:p>
            <w:pPr>
              <w:spacing w:after="0"/>
              <w:rPr>
                <w:sz w:val="2"/>
                <w:szCs w:val="2"/>
                <w:color w:val="auto"/>
              </w:rPr>
            </w:pPr>
          </w:p>
        </w:tc>
        <w:tc>
          <w:tcPr>
            <w:tcW w:w="100" w:type="dxa"/>
            <w:vAlign w:val="bottom"/>
            <w:tcBorders>
              <w:top w:val="single" w:sz="8" w:color="CCEEFF"/>
            </w:tcBorders>
            <w:shd w:val="clear" w:color="auto" w:fill="CCEEFF"/>
          </w:tcPr>
          <w:p>
            <w:pPr>
              <w:spacing w:after="0"/>
              <w:rPr>
                <w:sz w:val="2"/>
                <w:szCs w:val="2"/>
                <w:color w:val="auto"/>
              </w:rPr>
            </w:pPr>
          </w:p>
        </w:tc>
        <w:tc>
          <w:tcPr>
            <w:tcW w:w="1100" w:type="dxa"/>
            <w:vAlign w:val="bottom"/>
            <w:tcBorders>
              <w:top w:val="single" w:sz="8" w:color="CCEEFF"/>
            </w:tcBorders>
            <w:shd w:val="clear" w:color="auto" w:fill="CCEEFF"/>
          </w:tcPr>
          <w:p>
            <w:pPr>
              <w:spacing w:after="0"/>
              <w:rPr>
                <w:sz w:val="2"/>
                <w:szCs w:val="2"/>
                <w:color w:val="auto"/>
              </w:rPr>
            </w:pPr>
          </w:p>
        </w:tc>
        <w:tc>
          <w:tcPr>
            <w:tcW w:w="620" w:type="dxa"/>
            <w:vAlign w:val="bottom"/>
            <w:tcBorders>
              <w:top w:val="single" w:sz="8" w:color="CCEEFF"/>
            </w:tcBorders>
            <w:shd w:val="clear" w:color="auto" w:fill="CCEEFF"/>
          </w:tcPr>
          <w:p>
            <w:pPr>
              <w:spacing w:after="0"/>
              <w:rPr>
                <w:sz w:val="2"/>
                <w:szCs w:val="2"/>
                <w:color w:val="auto"/>
              </w:rPr>
            </w:pPr>
          </w:p>
        </w:tc>
      </w:tr>
      <w:tr>
        <w:trPr>
          <w:trHeight w:val="270"/>
        </w:trPr>
        <w:tc>
          <w:tcPr>
            <w:tcW w:w="7880" w:type="dxa"/>
            <w:vAlign w:val="bottom"/>
            <w:gridSpan w:val="7"/>
          </w:tcPr>
          <w:p>
            <w:pPr>
              <w:ind w:left="40"/>
              <w:spacing w:after="0"/>
              <w:rPr>
                <w:sz w:val="20"/>
                <w:szCs w:val="20"/>
                <w:color w:val="auto"/>
              </w:rPr>
            </w:pPr>
            <w:r>
              <w:rPr>
                <w:rFonts w:ascii="Arial" w:cs="Arial" w:eastAsia="Arial" w:hAnsi="Arial"/>
                <w:sz w:val="18"/>
                <w:szCs w:val="18"/>
                <w:color w:val="auto"/>
              </w:rPr>
              <w:t xml:space="preserve">Fleet restructuring expenses </w:t>
            </w:r>
            <w:r>
              <w:rPr>
                <w:rFonts w:ascii="Arial" w:cs="Arial" w:eastAsia="Arial" w:hAnsi="Arial"/>
                <w:sz w:val="21"/>
                <w:szCs w:val="21"/>
                <w:color w:val="auto"/>
                <w:vertAlign w:val="superscript"/>
              </w:rPr>
              <w:t>(2)</w:t>
            </w:r>
          </w:p>
        </w:tc>
        <w:tc>
          <w:tcPr>
            <w:tcW w:w="1080" w:type="dxa"/>
            <w:vAlign w:val="bottom"/>
          </w:tcPr>
          <w:p>
            <w:pPr>
              <w:jc w:val="right"/>
              <w:ind w:right="874"/>
              <w:spacing w:after="0"/>
              <w:rPr>
                <w:sz w:val="20"/>
                <w:szCs w:val="20"/>
                <w:color w:val="auto"/>
              </w:rPr>
            </w:pPr>
            <w:r>
              <w:rPr>
                <w:rFonts w:ascii="Arial" w:cs="Arial" w:eastAsia="Arial" w:hAnsi="Arial"/>
                <w:sz w:val="18"/>
                <w:szCs w:val="18"/>
                <w:color w:val="auto"/>
                <w:w w:val="99"/>
              </w:rPr>
              <w:t>$</w:t>
            </w:r>
          </w:p>
        </w:tc>
        <w:tc>
          <w:tcPr>
            <w:tcW w:w="640" w:type="dxa"/>
            <w:vAlign w:val="bottom"/>
          </w:tcPr>
          <w:p>
            <w:pPr>
              <w:jc w:val="right"/>
              <w:ind w:right="31"/>
              <w:spacing w:after="0"/>
              <w:rPr>
                <w:sz w:val="20"/>
                <w:szCs w:val="20"/>
                <w:color w:val="auto"/>
              </w:rPr>
            </w:pPr>
            <w:r>
              <w:rPr>
                <w:rFonts w:ascii="Arial" w:cs="Arial" w:eastAsia="Arial" w:hAnsi="Arial"/>
                <w:sz w:val="18"/>
                <w:szCs w:val="18"/>
                <w:color w:val="auto"/>
              </w:rPr>
              <w:t>271</w:t>
            </w:r>
          </w:p>
        </w:tc>
        <w:tc>
          <w:tcPr>
            <w:tcW w:w="100" w:type="dxa"/>
            <w:vAlign w:val="bottom"/>
          </w:tcPr>
          <w:p>
            <w:pPr>
              <w:spacing w:after="0"/>
              <w:rPr>
                <w:sz w:val="23"/>
                <w:szCs w:val="23"/>
                <w:color w:val="auto"/>
              </w:rPr>
            </w:pPr>
          </w:p>
        </w:tc>
        <w:tc>
          <w:tcPr>
            <w:tcW w:w="1100" w:type="dxa"/>
            <w:vAlign w:val="bottom"/>
          </w:tcPr>
          <w:p>
            <w:pPr>
              <w:jc w:val="right"/>
              <w:ind w:right="873"/>
              <w:spacing w:after="0"/>
              <w:rPr>
                <w:sz w:val="20"/>
                <w:szCs w:val="20"/>
                <w:color w:val="auto"/>
              </w:rPr>
            </w:pPr>
            <w:r>
              <w:rPr>
                <w:rFonts w:ascii="Arial" w:cs="Arial" w:eastAsia="Arial" w:hAnsi="Arial"/>
                <w:sz w:val="18"/>
                <w:szCs w:val="18"/>
                <w:color w:val="auto"/>
              </w:rPr>
              <w:t>$</w:t>
            </w:r>
          </w:p>
        </w:tc>
        <w:tc>
          <w:tcPr>
            <w:tcW w:w="620" w:type="dxa"/>
            <w:vAlign w:val="bottom"/>
          </w:tcPr>
          <w:p>
            <w:pPr>
              <w:jc w:val="right"/>
              <w:ind w:right="10"/>
              <w:spacing w:after="0"/>
              <w:rPr>
                <w:sz w:val="20"/>
                <w:szCs w:val="20"/>
                <w:color w:val="auto"/>
              </w:rPr>
            </w:pPr>
            <w:r>
              <w:rPr>
                <w:rFonts w:ascii="Arial" w:cs="Arial" w:eastAsia="Arial" w:hAnsi="Arial"/>
                <w:sz w:val="18"/>
                <w:szCs w:val="18"/>
                <w:color w:val="auto"/>
              </w:rPr>
              <w:t>422</w:t>
            </w:r>
          </w:p>
        </w:tc>
      </w:tr>
      <w:tr>
        <w:trPr>
          <w:trHeight w:val="270"/>
        </w:trPr>
        <w:tc>
          <w:tcPr>
            <w:tcW w:w="7880" w:type="dxa"/>
            <w:vAlign w:val="bottom"/>
            <w:gridSpan w:val="7"/>
            <w:shd w:val="clear" w:color="auto" w:fill="CCEEFF"/>
          </w:tcPr>
          <w:p>
            <w:pPr>
              <w:ind w:left="40"/>
              <w:spacing w:after="0"/>
              <w:rPr>
                <w:sz w:val="20"/>
                <w:szCs w:val="20"/>
                <w:color w:val="auto"/>
              </w:rPr>
            </w:pPr>
            <w:r>
              <w:rPr>
                <w:rFonts w:ascii="Arial" w:cs="Arial" w:eastAsia="Arial" w:hAnsi="Arial"/>
                <w:sz w:val="18"/>
                <w:szCs w:val="18"/>
                <w:color w:val="auto"/>
              </w:rPr>
              <w:t xml:space="preserve">Fleet impairment </w:t>
            </w:r>
            <w:r>
              <w:rPr>
                <w:rFonts w:ascii="Arial" w:cs="Arial" w:eastAsia="Arial" w:hAnsi="Arial"/>
                <w:sz w:val="21"/>
                <w:szCs w:val="21"/>
                <w:color w:val="auto"/>
                <w:vertAlign w:val="superscript"/>
              </w:rPr>
              <w:t>(3)</w:t>
            </w:r>
          </w:p>
        </w:tc>
        <w:tc>
          <w:tcPr>
            <w:tcW w:w="1080" w:type="dxa"/>
            <w:vAlign w:val="bottom"/>
            <w:shd w:val="clear" w:color="auto" w:fill="CCEEFF"/>
          </w:tcPr>
          <w:p>
            <w:pPr>
              <w:spacing w:after="0"/>
              <w:rPr>
                <w:sz w:val="23"/>
                <w:szCs w:val="23"/>
                <w:color w:val="auto"/>
              </w:rPr>
            </w:pPr>
          </w:p>
        </w:tc>
        <w:tc>
          <w:tcPr>
            <w:tcW w:w="640" w:type="dxa"/>
            <w:vAlign w:val="bottom"/>
            <w:shd w:val="clear" w:color="auto" w:fill="CCEEFF"/>
          </w:tcPr>
          <w:p>
            <w:pPr>
              <w:jc w:val="right"/>
              <w:ind w:right="31"/>
              <w:spacing w:after="0"/>
              <w:rPr>
                <w:sz w:val="20"/>
                <w:szCs w:val="20"/>
                <w:color w:val="auto"/>
              </w:rPr>
            </w:pPr>
            <w:r>
              <w:rPr>
                <w:rFonts w:ascii="Arial" w:cs="Arial" w:eastAsia="Arial" w:hAnsi="Arial"/>
                <w:sz w:val="18"/>
                <w:szCs w:val="18"/>
                <w:color w:val="auto"/>
              </w:rPr>
              <w:t>213</w:t>
            </w:r>
          </w:p>
        </w:tc>
        <w:tc>
          <w:tcPr>
            <w:tcW w:w="100" w:type="dxa"/>
            <w:vAlign w:val="bottom"/>
            <w:shd w:val="clear" w:color="auto" w:fill="CCEEFF"/>
          </w:tcPr>
          <w:p>
            <w:pPr>
              <w:spacing w:after="0"/>
              <w:rPr>
                <w:sz w:val="23"/>
                <w:szCs w:val="23"/>
                <w:color w:val="auto"/>
              </w:rPr>
            </w:pPr>
          </w:p>
        </w:tc>
        <w:tc>
          <w:tcPr>
            <w:tcW w:w="1100" w:type="dxa"/>
            <w:vAlign w:val="bottom"/>
            <w:shd w:val="clear" w:color="auto" w:fill="CCEEFF"/>
          </w:tcPr>
          <w:p>
            <w:pPr>
              <w:spacing w:after="0"/>
              <w:rPr>
                <w:sz w:val="23"/>
                <w:szCs w:val="23"/>
                <w:color w:val="auto"/>
              </w:rPr>
            </w:pPr>
          </w:p>
        </w:tc>
        <w:tc>
          <w:tcPr>
            <w:tcW w:w="6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w:t>
            </w:r>
          </w:p>
        </w:tc>
      </w:tr>
      <w:tr>
        <w:trPr>
          <w:trHeight w:val="270"/>
        </w:trPr>
        <w:tc>
          <w:tcPr>
            <w:tcW w:w="7880" w:type="dxa"/>
            <w:vAlign w:val="bottom"/>
            <w:gridSpan w:val="7"/>
          </w:tcPr>
          <w:p>
            <w:pPr>
              <w:ind w:left="40"/>
              <w:spacing w:after="0"/>
              <w:rPr>
                <w:sz w:val="20"/>
                <w:szCs w:val="20"/>
                <w:color w:val="auto"/>
              </w:rPr>
            </w:pPr>
            <w:r>
              <w:rPr>
                <w:rFonts w:ascii="Arial" w:cs="Arial" w:eastAsia="Arial" w:hAnsi="Arial"/>
                <w:sz w:val="18"/>
                <w:szCs w:val="18"/>
                <w:color w:val="auto"/>
              </w:rPr>
              <w:t xml:space="preserve">Merger integration expenses </w:t>
            </w:r>
            <w:r>
              <w:rPr>
                <w:rFonts w:ascii="Arial" w:cs="Arial" w:eastAsia="Arial" w:hAnsi="Arial"/>
                <w:sz w:val="21"/>
                <w:szCs w:val="21"/>
                <w:color w:val="auto"/>
                <w:vertAlign w:val="superscript"/>
              </w:rPr>
              <w:t>(4)</w:t>
            </w:r>
          </w:p>
        </w:tc>
        <w:tc>
          <w:tcPr>
            <w:tcW w:w="1080" w:type="dxa"/>
            <w:vAlign w:val="bottom"/>
          </w:tcPr>
          <w:p>
            <w:pPr>
              <w:spacing w:after="0"/>
              <w:rPr>
                <w:sz w:val="23"/>
                <w:szCs w:val="23"/>
                <w:color w:val="auto"/>
              </w:rPr>
            </w:pPr>
          </w:p>
        </w:tc>
        <w:tc>
          <w:tcPr>
            <w:tcW w:w="640" w:type="dxa"/>
            <w:vAlign w:val="bottom"/>
          </w:tcPr>
          <w:p>
            <w:pPr>
              <w:jc w:val="right"/>
              <w:ind w:right="31"/>
              <w:spacing w:after="0"/>
              <w:rPr>
                <w:sz w:val="20"/>
                <w:szCs w:val="20"/>
                <w:color w:val="auto"/>
              </w:rPr>
            </w:pPr>
            <w:r>
              <w:rPr>
                <w:rFonts w:ascii="Arial" w:cs="Arial" w:eastAsia="Arial" w:hAnsi="Arial"/>
                <w:sz w:val="18"/>
                <w:szCs w:val="18"/>
                <w:color w:val="auto"/>
              </w:rPr>
              <w:t>191</w:t>
            </w:r>
          </w:p>
        </w:tc>
        <w:tc>
          <w:tcPr>
            <w:tcW w:w="100" w:type="dxa"/>
            <w:vAlign w:val="bottom"/>
          </w:tcPr>
          <w:p>
            <w:pPr>
              <w:spacing w:after="0"/>
              <w:rPr>
                <w:sz w:val="23"/>
                <w:szCs w:val="23"/>
                <w:color w:val="auto"/>
              </w:rPr>
            </w:pPr>
          </w:p>
        </w:tc>
        <w:tc>
          <w:tcPr>
            <w:tcW w:w="1100" w:type="dxa"/>
            <w:vAlign w:val="bottom"/>
          </w:tcPr>
          <w:p>
            <w:pPr>
              <w:spacing w:after="0"/>
              <w:rPr>
                <w:sz w:val="23"/>
                <w:szCs w:val="23"/>
                <w:color w:val="auto"/>
              </w:rPr>
            </w:pPr>
          </w:p>
        </w:tc>
        <w:tc>
          <w:tcPr>
            <w:tcW w:w="620" w:type="dxa"/>
            <w:vAlign w:val="bottom"/>
          </w:tcPr>
          <w:p>
            <w:pPr>
              <w:jc w:val="right"/>
              <w:ind w:right="10"/>
              <w:spacing w:after="0"/>
              <w:rPr>
                <w:sz w:val="20"/>
                <w:szCs w:val="20"/>
                <w:color w:val="auto"/>
              </w:rPr>
            </w:pPr>
            <w:r>
              <w:rPr>
                <w:rFonts w:ascii="Arial" w:cs="Arial" w:eastAsia="Arial" w:hAnsi="Arial"/>
                <w:sz w:val="18"/>
                <w:szCs w:val="18"/>
                <w:color w:val="auto"/>
              </w:rPr>
              <w:t>268</w:t>
            </w:r>
          </w:p>
        </w:tc>
      </w:tr>
      <w:tr>
        <w:trPr>
          <w:trHeight w:val="270"/>
        </w:trPr>
        <w:tc>
          <w:tcPr>
            <w:tcW w:w="7880" w:type="dxa"/>
            <w:vAlign w:val="bottom"/>
            <w:gridSpan w:val="7"/>
            <w:shd w:val="clear" w:color="auto" w:fill="CCEEFF"/>
          </w:tcPr>
          <w:p>
            <w:pPr>
              <w:ind w:left="40"/>
              <w:spacing w:after="0"/>
              <w:rPr>
                <w:sz w:val="20"/>
                <w:szCs w:val="20"/>
                <w:color w:val="auto"/>
              </w:rPr>
            </w:pPr>
            <w:r>
              <w:rPr>
                <w:rFonts w:ascii="Arial" w:cs="Arial" w:eastAsia="Arial" w:hAnsi="Arial"/>
                <w:sz w:val="18"/>
                <w:szCs w:val="18"/>
                <w:color w:val="auto"/>
              </w:rPr>
              <w:t>Litigation reserve adjustments</w:t>
            </w:r>
          </w:p>
        </w:tc>
        <w:tc>
          <w:tcPr>
            <w:tcW w:w="1080" w:type="dxa"/>
            <w:vAlign w:val="bottom"/>
            <w:shd w:val="clear" w:color="auto" w:fill="CCEEFF"/>
          </w:tcPr>
          <w:p>
            <w:pPr>
              <w:spacing w:after="0"/>
              <w:rPr>
                <w:sz w:val="23"/>
                <w:szCs w:val="23"/>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(53)</w:t>
            </w:r>
          </w:p>
        </w:tc>
        <w:tc>
          <w:tcPr>
            <w:tcW w:w="100" w:type="dxa"/>
            <w:vAlign w:val="bottom"/>
            <w:shd w:val="clear" w:color="auto" w:fill="CCEEFF"/>
          </w:tcPr>
          <w:p>
            <w:pPr>
              <w:spacing w:after="0"/>
              <w:rPr>
                <w:sz w:val="23"/>
                <w:szCs w:val="23"/>
                <w:color w:val="auto"/>
              </w:rPr>
            </w:pPr>
          </w:p>
        </w:tc>
        <w:tc>
          <w:tcPr>
            <w:tcW w:w="1100" w:type="dxa"/>
            <w:vAlign w:val="bottom"/>
            <w:shd w:val="clear" w:color="auto" w:fill="CCEEFF"/>
          </w:tcPr>
          <w:p>
            <w:pPr>
              <w:spacing w:after="0"/>
              <w:rPr>
                <w:sz w:val="23"/>
                <w:szCs w:val="23"/>
                <w:color w:val="auto"/>
              </w:rPr>
            </w:pPr>
          </w:p>
        </w:tc>
        <w:tc>
          <w:tcPr>
            <w:tcW w:w="6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45</w:t>
            </w:r>
          </w:p>
        </w:tc>
      </w:tr>
      <w:tr>
        <w:trPr>
          <w:trHeight w:val="270"/>
        </w:trPr>
        <w:tc>
          <w:tcPr>
            <w:tcW w:w="7880" w:type="dxa"/>
            <w:vAlign w:val="bottom"/>
            <w:gridSpan w:val="7"/>
          </w:tcPr>
          <w:p>
            <w:pPr>
              <w:ind w:left="40"/>
              <w:spacing w:after="0"/>
              <w:rPr>
                <w:sz w:val="20"/>
                <w:szCs w:val="20"/>
                <w:color w:val="auto"/>
              </w:rPr>
            </w:pPr>
            <w:r>
              <w:rPr>
                <w:rFonts w:ascii="Arial" w:cs="Arial" w:eastAsia="Arial" w:hAnsi="Arial"/>
                <w:sz w:val="18"/>
                <w:szCs w:val="18"/>
                <w:color w:val="auto"/>
              </w:rPr>
              <w:t xml:space="preserve">Mark-to-market adjustments on bankruptcy obligations, net </w:t>
            </w:r>
            <w:r>
              <w:rPr>
                <w:rFonts w:ascii="Arial" w:cs="Arial" w:eastAsia="Arial" w:hAnsi="Arial"/>
                <w:sz w:val="21"/>
                <w:szCs w:val="21"/>
                <w:color w:val="auto"/>
                <w:vertAlign w:val="superscript"/>
              </w:rPr>
              <w:t>(5)</w:t>
            </w:r>
          </w:p>
        </w:tc>
        <w:tc>
          <w:tcPr>
            <w:tcW w:w="1080" w:type="dxa"/>
            <w:vAlign w:val="bottom"/>
          </w:tcPr>
          <w:p>
            <w:pPr>
              <w:spacing w:after="0"/>
              <w:rPr>
                <w:sz w:val="23"/>
                <w:szCs w:val="23"/>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(11)</w:t>
            </w:r>
          </w:p>
        </w:tc>
        <w:tc>
          <w:tcPr>
            <w:tcW w:w="100" w:type="dxa"/>
            <w:vAlign w:val="bottom"/>
          </w:tcPr>
          <w:p>
            <w:pPr>
              <w:spacing w:after="0"/>
              <w:rPr>
                <w:sz w:val="23"/>
                <w:szCs w:val="23"/>
                <w:color w:val="auto"/>
              </w:rPr>
            </w:pPr>
          </w:p>
        </w:tc>
        <w:tc>
          <w:tcPr>
            <w:tcW w:w="1100" w:type="dxa"/>
            <w:vAlign w:val="bottom"/>
          </w:tcPr>
          <w:p>
            <w:pPr>
              <w:spacing w:after="0"/>
              <w:rPr>
                <w:sz w:val="23"/>
                <w:szCs w:val="23"/>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(76)</w:t>
            </w:r>
          </w:p>
        </w:tc>
      </w:tr>
      <w:tr>
        <w:trPr>
          <w:trHeight w:val="270"/>
        </w:trPr>
        <w:tc>
          <w:tcPr>
            <w:tcW w:w="7880" w:type="dxa"/>
            <w:vAlign w:val="bottom"/>
            <w:gridSpan w:val="7"/>
            <w:shd w:val="clear" w:color="auto" w:fill="CCEEFF"/>
          </w:tcPr>
          <w:p>
            <w:pPr>
              <w:ind w:left="40"/>
              <w:spacing w:after="0"/>
              <w:rPr>
                <w:sz w:val="20"/>
                <w:szCs w:val="20"/>
                <w:color w:val="auto"/>
              </w:rPr>
            </w:pPr>
            <w:r>
              <w:rPr>
                <w:rFonts w:ascii="Arial" w:cs="Arial" w:eastAsia="Arial" w:hAnsi="Arial"/>
                <w:sz w:val="18"/>
                <w:szCs w:val="18"/>
                <w:color w:val="auto"/>
              </w:rPr>
              <w:t xml:space="preserve">Severance expenses </w:t>
            </w:r>
            <w:r>
              <w:rPr>
                <w:rFonts w:ascii="Arial" w:cs="Arial" w:eastAsia="Arial" w:hAnsi="Arial"/>
                <w:sz w:val="21"/>
                <w:szCs w:val="21"/>
                <w:color w:val="auto"/>
                <w:vertAlign w:val="superscript"/>
              </w:rPr>
              <w:t>(6)</w:t>
            </w:r>
          </w:p>
        </w:tc>
        <w:tc>
          <w:tcPr>
            <w:tcW w:w="1080" w:type="dxa"/>
            <w:vAlign w:val="bottom"/>
            <w:shd w:val="clear" w:color="auto" w:fill="CCEEFF"/>
          </w:tcPr>
          <w:p>
            <w:pPr>
              <w:spacing w:after="0"/>
              <w:rPr>
                <w:sz w:val="23"/>
                <w:szCs w:val="23"/>
                <w:color w:val="auto"/>
              </w:rPr>
            </w:pPr>
          </w:p>
        </w:tc>
        <w:tc>
          <w:tcPr>
            <w:tcW w:w="640" w:type="dxa"/>
            <w:vAlign w:val="bottom"/>
            <w:shd w:val="clear" w:color="auto" w:fill="CCEEFF"/>
          </w:tcPr>
          <w:p>
            <w:pPr>
              <w:jc w:val="right"/>
              <w:ind w:right="31"/>
              <w:spacing w:after="0"/>
              <w:rPr>
                <w:sz w:val="20"/>
                <w:szCs w:val="20"/>
                <w:color w:val="auto"/>
              </w:rPr>
            </w:pPr>
            <w:r>
              <w:rPr>
                <w:rFonts w:ascii="Arial" w:cs="Arial" w:eastAsia="Arial" w:hAnsi="Arial"/>
                <w:sz w:val="18"/>
                <w:szCs w:val="18"/>
                <w:color w:val="auto"/>
              </w:rPr>
              <w:t>11</w:t>
            </w:r>
          </w:p>
        </w:tc>
        <w:tc>
          <w:tcPr>
            <w:tcW w:w="100" w:type="dxa"/>
            <w:vAlign w:val="bottom"/>
            <w:shd w:val="clear" w:color="auto" w:fill="CCEEFF"/>
          </w:tcPr>
          <w:p>
            <w:pPr>
              <w:spacing w:after="0"/>
              <w:rPr>
                <w:sz w:val="23"/>
                <w:szCs w:val="23"/>
                <w:color w:val="auto"/>
              </w:rPr>
            </w:pPr>
          </w:p>
        </w:tc>
        <w:tc>
          <w:tcPr>
            <w:tcW w:w="1100" w:type="dxa"/>
            <w:vAlign w:val="bottom"/>
            <w:shd w:val="clear" w:color="auto" w:fill="CCEEFF"/>
          </w:tcPr>
          <w:p>
            <w:pPr>
              <w:spacing w:after="0"/>
              <w:rPr>
                <w:sz w:val="23"/>
                <w:szCs w:val="23"/>
                <w:color w:val="auto"/>
              </w:rPr>
            </w:pPr>
          </w:p>
        </w:tc>
        <w:tc>
          <w:tcPr>
            <w:tcW w:w="6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58</w:t>
            </w:r>
          </w:p>
        </w:tc>
      </w:tr>
      <w:tr>
        <w:trPr>
          <w:trHeight w:val="270"/>
        </w:trPr>
        <w:tc>
          <w:tcPr>
            <w:tcW w:w="7880" w:type="dxa"/>
            <w:vAlign w:val="bottom"/>
            <w:gridSpan w:val="7"/>
          </w:tcPr>
          <w:p>
            <w:pPr>
              <w:ind w:left="40"/>
              <w:spacing w:after="0"/>
              <w:rPr>
                <w:sz w:val="20"/>
                <w:szCs w:val="20"/>
                <w:color w:val="auto"/>
              </w:rPr>
            </w:pPr>
            <w:r>
              <w:rPr>
                <w:rFonts w:ascii="Arial" w:cs="Arial" w:eastAsia="Arial" w:hAnsi="Arial"/>
                <w:sz w:val="18"/>
                <w:szCs w:val="18"/>
                <w:color w:val="auto"/>
              </w:rPr>
              <w:t xml:space="preserve">Intangible asset impairment </w:t>
            </w:r>
            <w:r>
              <w:rPr>
                <w:rFonts w:ascii="Arial" w:cs="Arial" w:eastAsia="Arial" w:hAnsi="Arial"/>
                <w:sz w:val="21"/>
                <w:szCs w:val="21"/>
                <w:color w:val="auto"/>
                <w:vertAlign w:val="superscript"/>
              </w:rPr>
              <w:t>(7)</w:t>
            </w:r>
          </w:p>
        </w:tc>
        <w:tc>
          <w:tcPr>
            <w:tcW w:w="1080" w:type="dxa"/>
            <w:vAlign w:val="bottom"/>
          </w:tcPr>
          <w:p>
            <w:pPr>
              <w:spacing w:after="0"/>
              <w:rPr>
                <w:sz w:val="23"/>
                <w:szCs w:val="23"/>
                <w:color w:val="auto"/>
              </w:rPr>
            </w:pPr>
          </w:p>
        </w:tc>
        <w:tc>
          <w:tcPr>
            <w:tcW w:w="7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100" w:type="dxa"/>
            <w:vAlign w:val="bottom"/>
          </w:tcPr>
          <w:p>
            <w:pPr>
              <w:spacing w:after="0"/>
              <w:rPr>
                <w:sz w:val="23"/>
                <w:szCs w:val="23"/>
                <w:color w:val="auto"/>
              </w:rPr>
            </w:pPr>
          </w:p>
        </w:tc>
        <w:tc>
          <w:tcPr>
            <w:tcW w:w="620" w:type="dxa"/>
            <w:vAlign w:val="bottom"/>
          </w:tcPr>
          <w:p>
            <w:pPr>
              <w:jc w:val="right"/>
              <w:ind w:right="10"/>
              <w:spacing w:after="0"/>
              <w:rPr>
                <w:sz w:val="20"/>
                <w:szCs w:val="20"/>
                <w:color w:val="auto"/>
              </w:rPr>
            </w:pPr>
            <w:r>
              <w:rPr>
                <w:rFonts w:ascii="Arial" w:cs="Arial" w:eastAsia="Arial" w:hAnsi="Arial"/>
                <w:sz w:val="18"/>
                <w:szCs w:val="18"/>
                <w:color w:val="auto"/>
              </w:rPr>
              <w:t>26</w:t>
            </w:r>
          </w:p>
        </w:tc>
      </w:tr>
      <w:tr>
        <w:trPr>
          <w:trHeight w:val="270"/>
        </w:trPr>
        <w:tc>
          <w:tcPr>
            <w:tcW w:w="7880" w:type="dxa"/>
            <w:vAlign w:val="bottom"/>
            <w:gridSpan w:val="7"/>
            <w:shd w:val="clear" w:color="auto" w:fill="CCEEFF"/>
          </w:tcPr>
          <w:p>
            <w:pPr>
              <w:ind w:left="40"/>
              <w:spacing w:after="0"/>
              <w:rPr>
                <w:sz w:val="20"/>
                <w:szCs w:val="20"/>
                <w:color w:val="auto"/>
              </w:rPr>
            </w:pPr>
            <w:r>
              <w:rPr>
                <w:rFonts w:ascii="Arial" w:cs="Arial" w:eastAsia="Arial" w:hAnsi="Arial"/>
                <w:sz w:val="18"/>
                <w:szCs w:val="18"/>
                <w:color w:val="auto"/>
              </w:rPr>
              <w:t>Labor contract expenses</w:t>
            </w:r>
          </w:p>
        </w:tc>
        <w:tc>
          <w:tcPr>
            <w:tcW w:w="1080" w:type="dxa"/>
            <w:vAlign w:val="bottom"/>
            <w:shd w:val="clear" w:color="auto" w:fill="CCEEFF"/>
          </w:tcPr>
          <w:p>
            <w:pPr>
              <w:spacing w:after="0"/>
              <w:rPr>
                <w:sz w:val="23"/>
                <w:szCs w:val="23"/>
                <w:color w:val="auto"/>
              </w:rPr>
            </w:pPr>
          </w:p>
        </w:tc>
        <w:tc>
          <w:tcPr>
            <w:tcW w:w="7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100" w:type="dxa"/>
            <w:vAlign w:val="bottom"/>
            <w:shd w:val="clear" w:color="auto" w:fill="CCEEFF"/>
          </w:tcPr>
          <w:p>
            <w:pPr>
              <w:spacing w:after="0"/>
              <w:rPr>
                <w:sz w:val="23"/>
                <w:szCs w:val="23"/>
                <w:color w:val="auto"/>
              </w:rPr>
            </w:pPr>
          </w:p>
        </w:tc>
        <w:tc>
          <w:tcPr>
            <w:tcW w:w="6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13</w:t>
            </w:r>
          </w:p>
        </w:tc>
      </w:tr>
      <w:tr>
        <w:trPr>
          <w:trHeight w:val="264"/>
        </w:trPr>
        <w:tc>
          <w:tcPr>
            <w:tcW w:w="7880" w:type="dxa"/>
            <w:vAlign w:val="bottom"/>
            <w:tcBorders>
              <w:bottom w:val="single" w:sz="8" w:color="CCEEFF"/>
            </w:tcBorders>
            <w:gridSpan w:val="7"/>
          </w:tcPr>
          <w:p>
            <w:pPr>
              <w:ind w:left="40"/>
              <w:spacing w:after="0"/>
              <w:rPr>
                <w:sz w:val="20"/>
                <w:szCs w:val="20"/>
                <w:color w:val="auto"/>
              </w:rPr>
            </w:pPr>
            <w:r>
              <w:rPr>
                <w:rFonts w:ascii="Arial" w:cs="Arial" w:eastAsia="Arial" w:hAnsi="Arial"/>
                <w:sz w:val="18"/>
                <w:szCs w:val="18"/>
                <w:color w:val="auto"/>
              </w:rPr>
              <w:t>Other operating charges, net</w:t>
            </w:r>
          </w:p>
        </w:tc>
        <w:tc>
          <w:tcPr>
            <w:tcW w:w="1080" w:type="dxa"/>
            <w:vAlign w:val="bottom"/>
            <w:tcBorders>
              <w:bottom w:val="single" w:sz="8" w:color="auto"/>
            </w:tcBorders>
          </w:tcPr>
          <w:p>
            <w:pPr>
              <w:spacing w:after="0"/>
              <w:rPr>
                <w:sz w:val="22"/>
                <w:szCs w:val="22"/>
                <w:color w:val="auto"/>
              </w:rPr>
            </w:pPr>
          </w:p>
        </w:tc>
        <w:tc>
          <w:tcPr>
            <w:tcW w:w="640" w:type="dxa"/>
            <w:vAlign w:val="bottom"/>
            <w:tcBorders>
              <w:bottom w:val="single" w:sz="8" w:color="auto"/>
            </w:tcBorders>
          </w:tcPr>
          <w:p>
            <w:pPr>
              <w:jc w:val="right"/>
              <w:ind w:right="31"/>
              <w:spacing w:after="0"/>
              <w:rPr>
                <w:sz w:val="20"/>
                <w:szCs w:val="20"/>
                <w:color w:val="auto"/>
              </w:rPr>
            </w:pPr>
            <w:r>
              <w:rPr>
                <w:rFonts w:ascii="Arial" w:cs="Arial" w:eastAsia="Arial" w:hAnsi="Arial"/>
                <w:sz w:val="18"/>
                <w:szCs w:val="18"/>
                <w:color w:val="auto"/>
              </w:rPr>
              <w:t>13</w:t>
            </w:r>
          </w:p>
        </w:tc>
        <w:tc>
          <w:tcPr>
            <w:tcW w:w="100" w:type="dxa"/>
            <w:vAlign w:val="bottom"/>
            <w:tcBorders>
              <w:bottom w:val="single" w:sz="8" w:color="CCEEFF"/>
            </w:tcBorders>
          </w:tcPr>
          <w:p>
            <w:pPr>
              <w:spacing w:after="0"/>
              <w:rPr>
                <w:sz w:val="22"/>
                <w:szCs w:val="22"/>
                <w:color w:val="auto"/>
              </w:rPr>
            </w:pPr>
          </w:p>
        </w:tc>
        <w:tc>
          <w:tcPr>
            <w:tcW w:w="1100" w:type="dxa"/>
            <w:vAlign w:val="bottom"/>
            <w:tcBorders>
              <w:bottom w:val="single" w:sz="8" w:color="auto"/>
            </w:tcBorders>
          </w:tcPr>
          <w:p>
            <w:pPr>
              <w:spacing w:after="0"/>
              <w:rPr>
                <w:sz w:val="22"/>
                <w:szCs w:val="22"/>
                <w:color w:val="auto"/>
              </w:rPr>
            </w:pPr>
          </w:p>
        </w:tc>
        <w:tc>
          <w:tcPr>
            <w:tcW w:w="62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31</w:t>
            </w:r>
          </w:p>
        </w:tc>
      </w:tr>
      <w:tr>
        <w:trPr>
          <w:trHeight w:val="257"/>
        </w:trPr>
        <w:tc>
          <w:tcPr>
            <w:tcW w:w="40" w:type="dxa"/>
            <w:vAlign w:val="bottom"/>
            <w:shd w:val="clear" w:color="auto" w:fill="CCEEFF"/>
          </w:tcPr>
          <w:p>
            <w:pPr>
              <w:spacing w:after="0"/>
              <w:rPr>
                <w:sz w:val="22"/>
                <w:szCs w:val="22"/>
                <w:color w:val="auto"/>
              </w:rPr>
            </w:pPr>
          </w:p>
        </w:tc>
        <w:tc>
          <w:tcPr>
            <w:tcW w:w="140" w:type="dxa"/>
            <w:vAlign w:val="bottom"/>
            <w:shd w:val="clear" w:color="auto" w:fill="CCEEFF"/>
          </w:tcPr>
          <w:p>
            <w:pPr>
              <w:spacing w:after="0"/>
              <w:rPr>
                <w:sz w:val="22"/>
                <w:szCs w:val="22"/>
                <w:color w:val="auto"/>
              </w:rPr>
            </w:pPr>
          </w:p>
        </w:tc>
        <w:tc>
          <w:tcPr>
            <w:tcW w:w="7700" w:type="dxa"/>
            <w:vAlign w:val="bottom"/>
            <w:gridSpan w:val="5"/>
            <w:shd w:val="clear" w:color="auto" w:fill="CCEEFF"/>
          </w:tcPr>
          <w:p>
            <w:pPr>
              <w:spacing w:after="0"/>
              <w:rPr>
                <w:sz w:val="20"/>
                <w:szCs w:val="20"/>
                <w:color w:val="auto"/>
              </w:rPr>
            </w:pPr>
            <w:r>
              <w:rPr>
                <w:rFonts w:ascii="Arial" w:cs="Arial" w:eastAsia="Arial" w:hAnsi="Arial"/>
                <w:sz w:val="18"/>
                <w:szCs w:val="18"/>
                <w:color w:val="auto"/>
              </w:rPr>
              <w:t>Mainline operating special items, net</w:t>
            </w:r>
          </w:p>
        </w:tc>
        <w:tc>
          <w:tcPr>
            <w:tcW w:w="1080" w:type="dxa"/>
            <w:vAlign w:val="bottom"/>
            <w:shd w:val="clear" w:color="auto" w:fill="CCEEFF"/>
          </w:tcPr>
          <w:p>
            <w:pPr>
              <w:spacing w:after="0"/>
              <w:rPr>
                <w:sz w:val="22"/>
                <w:szCs w:val="22"/>
                <w:color w:val="auto"/>
              </w:rPr>
            </w:pPr>
          </w:p>
        </w:tc>
        <w:tc>
          <w:tcPr>
            <w:tcW w:w="640" w:type="dxa"/>
            <w:vAlign w:val="bottom"/>
            <w:shd w:val="clear" w:color="auto" w:fill="CCEEFF"/>
          </w:tcPr>
          <w:p>
            <w:pPr>
              <w:jc w:val="right"/>
              <w:ind w:right="31"/>
              <w:spacing w:after="0"/>
              <w:rPr>
                <w:sz w:val="20"/>
                <w:szCs w:val="20"/>
                <w:color w:val="auto"/>
              </w:rPr>
            </w:pPr>
            <w:r>
              <w:rPr>
                <w:rFonts w:ascii="Arial" w:cs="Arial" w:eastAsia="Arial" w:hAnsi="Arial"/>
                <w:sz w:val="18"/>
                <w:szCs w:val="18"/>
                <w:color w:val="auto"/>
              </w:rPr>
              <w:t>635</w:t>
            </w:r>
          </w:p>
        </w:tc>
        <w:tc>
          <w:tcPr>
            <w:tcW w:w="100" w:type="dxa"/>
            <w:vAlign w:val="bottom"/>
            <w:shd w:val="clear" w:color="auto" w:fill="CCEEFF"/>
          </w:tcPr>
          <w:p>
            <w:pPr>
              <w:spacing w:after="0"/>
              <w:rPr>
                <w:sz w:val="22"/>
                <w:szCs w:val="22"/>
                <w:color w:val="auto"/>
              </w:rPr>
            </w:pPr>
          </w:p>
        </w:tc>
        <w:tc>
          <w:tcPr>
            <w:tcW w:w="1100" w:type="dxa"/>
            <w:vAlign w:val="bottom"/>
            <w:shd w:val="clear" w:color="auto" w:fill="CCEEFF"/>
          </w:tcPr>
          <w:p>
            <w:pPr>
              <w:spacing w:after="0"/>
              <w:rPr>
                <w:sz w:val="22"/>
                <w:szCs w:val="22"/>
                <w:color w:val="auto"/>
              </w:rPr>
            </w:pPr>
          </w:p>
        </w:tc>
        <w:tc>
          <w:tcPr>
            <w:tcW w:w="6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787</w:t>
            </w:r>
          </w:p>
        </w:tc>
      </w:tr>
      <w:tr>
        <w:trPr>
          <w:trHeight w:val="264"/>
        </w:trPr>
        <w:tc>
          <w:tcPr>
            <w:tcW w:w="40" w:type="dxa"/>
            <w:vAlign w:val="bottom"/>
            <w:tcBorders>
              <w:bottom w:val="single" w:sz="8" w:color="CCEEFF"/>
            </w:tcBorders>
          </w:tcPr>
          <w:p>
            <w:pPr>
              <w:spacing w:after="0"/>
              <w:rPr>
                <w:sz w:val="22"/>
                <w:szCs w:val="22"/>
                <w:color w:val="auto"/>
              </w:rPr>
            </w:pPr>
          </w:p>
        </w:tc>
        <w:tc>
          <w:tcPr>
            <w:tcW w:w="140" w:type="dxa"/>
            <w:vAlign w:val="bottom"/>
            <w:tcBorders>
              <w:bottom w:val="single" w:sz="8" w:color="CCEEFF"/>
            </w:tcBorders>
          </w:tcPr>
          <w:p>
            <w:pPr>
              <w:spacing w:after="0"/>
              <w:rPr>
                <w:sz w:val="22"/>
                <w:szCs w:val="22"/>
                <w:color w:val="auto"/>
              </w:rPr>
            </w:pPr>
          </w:p>
        </w:tc>
        <w:tc>
          <w:tcPr>
            <w:tcW w:w="7700" w:type="dxa"/>
            <w:vAlign w:val="bottom"/>
            <w:tcBorders>
              <w:bottom w:val="single" w:sz="8" w:color="CCEEFF"/>
            </w:tcBorders>
            <w:gridSpan w:val="5"/>
          </w:tcPr>
          <w:p>
            <w:pPr>
              <w:spacing w:after="0"/>
              <w:rPr>
                <w:sz w:val="20"/>
                <w:szCs w:val="20"/>
                <w:color w:val="auto"/>
              </w:rPr>
            </w:pPr>
            <w:r>
              <w:rPr>
                <w:rFonts w:ascii="Arial" w:cs="Arial" w:eastAsia="Arial" w:hAnsi="Arial"/>
                <w:sz w:val="18"/>
                <w:szCs w:val="18"/>
                <w:color w:val="auto"/>
              </w:rPr>
              <w:t>Regional operating special items, net</w:t>
            </w:r>
          </w:p>
        </w:tc>
        <w:tc>
          <w:tcPr>
            <w:tcW w:w="1080" w:type="dxa"/>
            <w:vAlign w:val="bottom"/>
            <w:tcBorders>
              <w:bottom w:val="single" w:sz="8" w:color="auto"/>
            </w:tcBorders>
          </w:tcPr>
          <w:p>
            <w:pPr>
              <w:spacing w:after="0"/>
              <w:rPr>
                <w:sz w:val="22"/>
                <w:szCs w:val="22"/>
                <w:color w:val="auto"/>
              </w:rPr>
            </w:pPr>
          </w:p>
        </w:tc>
        <w:tc>
          <w:tcPr>
            <w:tcW w:w="640" w:type="dxa"/>
            <w:vAlign w:val="bottom"/>
            <w:tcBorders>
              <w:bottom w:val="single" w:sz="8" w:color="auto"/>
            </w:tcBorders>
          </w:tcPr>
          <w:p>
            <w:pPr>
              <w:jc w:val="right"/>
              <w:ind w:right="31"/>
              <w:spacing w:after="0"/>
              <w:rPr>
                <w:sz w:val="20"/>
                <w:szCs w:val="20"/>
                <w:color w:val="auto"/>
              </w:rPr>
            </w:pPr>
            <w:r>
              <w:rPr>
                <w:rFonts w:ascii="Arial" w:cs="Arial" w:eastAsia="Arial" w:hAnsi="Arial"/>
                <w:sz w:val="18"/>
                <w:szCs w:val="18"/>
                <w:color w:val="auto"/>
              </w:rPr>
              <w:t>6</w:t>
            </w:r>
          </w:p>
        </w:tc>
        <w:tc>
          <w:tcPr>
            <w:tcW w:w="100" w:type="dxa"/>
            <w:vAlign w:val="bottom"/>
            <w:tcBorders>
              <w:bottom w:val="single" w:sz="8" w:color="CCEEFF"/>
            </w:tcBorders>
          </w:tcPr>
          <w:p>
            <w:pPr>
              <w:spacing w:after="0"/>
              <w:rPr>
                <w:sz w:val="22"/>
                <w:szCs w:val="22"/>
                <w:color w:val="auto"/>
              </w:rPr>
            </w:pPr>
          </w:p>
        </w:tc>
        <w:tc>
          <w:tcPr>
            <w:tcW w:w="1100" w:type="dxa"/>
            <w:vAlign w:val="bottom"/>
            <w:tcBorders>
              <w:bottom w:val="single" w:sz="8" w:color="auto"/>
            </w:tcBorders>
          </w:tcPr>
          <w:p>
            <w:pPr>
              <w:spacing w:after="0"/>
              <w:rPr>
                <w:sz w:val="22"/>
                <w:szCs w:val="22"/>
                <w:color w:val="auto"/>
              </w:rPr>
            </w:pPr>
          </w:p>
        </w:tc>
        <w:tc>
          <w:tcPr>
            <w:tcW w:w="62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6</w:t>
            </w:r>
          </w:p>
        </w:tc>
      </w:tr>
      <w:tr>
        <w:trPr>
          <w:trHeight w:val="250"/>
        </w:trPr>
        <w:tc>
          <w:tcPr>
            <w:tcW w:w="4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7700" w:type="dxa"/>
            <w:vAlign w:val="bottom"/>
            <w:gridSpan w:val="5"/>
            <w:shd w:val="clear" w:color="auto" w:fill="CCEEFF"/>
          </w:tcPr>
          <w:p>
            <w:pPr>
              <w:ind w:left="200"/>
              <w:spacing w:after="0"/>
              <w:rPr>
                <w:sz w:val="20"/>
                <w:szCs w:val="20"/>
                <w:color w:val="auto"/>
              </w:rPr>
            </w:pPr>
            <w:r>
              <w:rPr>
                <w:rFonts w:ascii="Arial" w:cs="Arial" w:eastAsia="Arial" w:hAnsi="Arial"/>
                <w:sz w:val="18"/>
                <w:szCs w:val="18"/>
                <w:color w:val="auto"/>
              </w:rPr>
              <w:t>Operating special items, net</w:t>
            </w:r>
          </w:p>
        </w:tc>
        <w:tc>
          <w:tcPr>
            <w:tcW w:w="1080" w:type="dxa"/>
            <w:vAlign w:val="bottom"/>
            <w:tcBorders>
              <w:bottom w:val="single" w:sz="8" w:color="auto"/>
            </w:tcBorders>
            <w:shd w:val="clear" w:color="auto" w:fill="CCEEFF"/>
          </w:tcPr>
          <w:p>
            <w:pPr>
              <w:spacing w:after="0"/>
              <w:rPr>
                <w:sz w:val="21"/>
                <w:szCs w:val="21"/>
                <w:color w:val="auto"/>
              </w:rPr>
            </w:pPr>
          </w:p>
        </w:tc>
        <w:tc>
          <w:tcPr>
            <w:tcW w:w="640" w:type="dxa"/>
            <w:vAlign w:val="bottom"/>
            <w:tcBorders>
              <w:bottom w:val="single" w:sz="8" w:color="auto"/>
            </w:tcBorders>
            <w:shd w:val="clear" w:color="auto" w:fill="CCEEFF"/>
          </w:tcPr>
          <w:p>
            <w:pPr>
              <w:jc w:val="right"/>
              <w:ind w:right="31"/>
              <w:spacing w:after="0"/>
              <w:rPr>
                <w:sz w:val="20"/>
                <w:szCs w:val="20"/>
                <w:color w:val="auto"/>
              </w:rPr>
            </w:pPr>
            <w:r>
              <w:rPr>
                <w:rFonts w:ascii="Arial" w:cs="Arial" w:eastAsia="Arial" w:hAnsi="Arial"/>
                <w:sz w:val="18"/>
                <w:szCs w:val="18"/>
                <w:color w:val="auto"/>
              </w:rPr>
              <w:t>641</w:t>
            </w:r>
          </w:p>
        </w:tc>
        <w:tc>
          <w:tcPr>
            <w:tcW w:w="100" w:type="dxa"/>
            <w:vAlign w:val="bottom"/>
            <w:shd w:val="clear" w:color="auto" w:fill="CCEEFF"/>
          </w:tcPr>
          <w:p>
            <w:pPr>
              <w:spacing w:after="0"/>
              <w:rPr>
                <w:sz w:val="21"/>
                <w:szCs w:val="21"/>
                <w:color w:val="auto"/>
              </w:rPr>
            </w:pPr>
          </w:p>
        </w:tc>
        <w:tc>
          <w:tcPr>
            <w:tcW w:w="1100" w:type="dxa"/>
            <w:vAlign w:val="bottom"/>
            <w:tcBorders>
              <w:bottom w:val="single" w:sz="8" w:color="auto"/>
            </w:tcBorders>
            <w:shd w:val="clear" w:color="auto" w:fill="CCEEFF"/>
          </w:tcPr>
          <w:p>
            <w:pPr>
              <w:spacing w:after="0"/>
              <w:rPr>
                <w:sz w:val="21"/>
                <w:szCs w:val="21"/>
                <w:color w:val="auto"/>
              </w:rPr>
            </w:pPr>
          </w:p>
        </w:tc>
        <w:tc>
          <w:tcPr>
            <w:tcW w:w="62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793</w:t>
            </w:r>
          </w:p>
        </w:tc>
      </w:tr>
      <w:tr>
        <w:trPr>
          <w:trHeight w:val="250"/>
        </w:trPr>
        <w:tc>
          <w:tcPr>
            <w:tcW w:w="7880" w:type="dxa"/>
            <w:vAlign w:val="bottom"/>
            <w:gridSpan w:val="7"/>
          </w:tcPr>
          <w:p>
            <w:pPr>
              <w:ind w:left="40"/>
              <w:spacing w:after="0"/>
              <w:rPr>
                <w:sz w:val="20"/>
                <w:szCs w:val="20"/>
                <w:color w:val="auto"/>
              </w:rPr>
            </w:pPr>
            <w:r>
              <w:rPr>
                <w:rFonts w:ascii="Arial" w:cs="Arial" w:eastAsia="Arial" w:hAnsi="Arial"/>
                <w:sz w:val="18"/>
                <w:szCs w:val="18"/>
                <w:color w:val="auto"/>
              </w:rPr>
              <w:t>Debt refinancing and extinguishment charges</w:t>
            </w:r>
          </w:p>
        </w:tc>
        <w:tc>
          <w:tcPr>
            <w:tcW w:w="1080" w:type="dxa"/>
            <w:vAlign w:val="bottom"/>
          </w:tcPr>
          <w:p>
            <w:pPr>
              <w:spacing w:after="0"/>
              <w:rPr>
                <w:sz w:val="21"/>
                <w:szCs w:val="21"/>
                <w:color w:val="auto"/>
              </w:rPr>
            </w:pPr>
          </w:p>
        </w:tc>
        <w:tc>
          <w:tcPr>
            <w:tcW w:w="640" w:type="dxa"/>
            <w:vAlign w:val="bottom"/>
          </w:tcPr>
          <w:p>
            <w:pPr>
              <w:jc w:val="right"/>
              <w:ind w:right="31"/>
              <w:spacing w:after="0"/>
              <w:rPr>
                <w:sz w:val="20"/>
                <w:szCs w:val="20"/>
                <w:color w:val="auto"/>
              </w:rPr>
            </w:pPr>
            <w:r>
              <w:rPr>
                <w:rFonts w:ascii="Arial" w:cs="Arial" w:eastAsia="Arial" w:hAnsi="Arial"/>
                <w:sz w:val="18"/>
                <w:szCs w:val="18"/>
                <w:color w:val="auto"/>
              </w:rPr>
              <w:t>16</w:t>
            </w:r>
          </w:p>
        </w:tc>
        <w:tc>
          <w:tcPr>
            <w:tcW w:w="100" w:type="dxa"/>
            <w:vAlign w:val="bottom"/>
          </w:tcPr>
          <w:p>
            <w:pPr>
              <w:spacing w:after="0"/>
              <w:rPr>
                <w:sz w:val="21"/>
                <w:szCs w:val="21"/>
                <w:color w:val="auto"/>
              </w:rPr>
            </w:pPr>
          </w:p>
        </w:tc>
        <w:tc>
          <w:tcPr>
            <w:tcW w:w="1100" w:type="dxa"/>
            <w:vAlign w:val="bottom"/>
          </w:tcPr>
          <w:p>
            <w:pPr>
              <w:spacing w:after="0"/>
              <w:rPr>
                <w:sz w:val="21"/>
                <w:szCs w:val="21"/>
                <w:color w:val="auto"/>
              </w:rPr>
            </w:pPr>
          </w:p>
        </w:tc>
        <w:tc>
          <w:tcPr>
            <w:tcW w:w="620" w:type="dxa"/>
            <w:vAlign w:val="bottom"/>
          </w:tcPr>
          <w:p>
            <w:pPr>
              <w:jc w:val="right"/>
              <w:ind w:right="10"/>
              <w:spacing w:after="0"/>
              <w:rPr>
                <w:sz w:val="20"/>
                <w:szCs w:val="20"/>
                <w:color w:val="auto"/>
              </w:rPr>
            </w:pPr>
            <w:r>
              <w:rPr>
                <w:rFonts w:ascii="Arial" w:cs="Arial" w:eastAsia="Arial" w:hAnsi="Arial"/>
                <w:sz w:val="18"/>
                <w:szCs w:val="18"/>
                <w:color w:val="auto"/>
              </w:rPr>
              <w:t>13</w:t>
            </w:r>
          </w:p>
        </w:tc>
      </w:tr>
      <w:tr>
        <w:trPr>
          <w:trHeight w:val="277"/>
        </w:trPr>
        <w:tc>
          <w:tcPr>
            <w:tcW w:w="7880" w:type="dxa"/>
            <w:vAlign w:val="bottom"/>
            <w:gridSpan w:val="7"/>
            <w:shd w:val="clear" w:color="auto" w:fill="CCEEFF"/>
          </w:tcPr>
          <w:p>
            <w:pPr>
              <w:ind w:left="40"/>
              <w:spacing w:after="0"/>
              <w:rPr>
                <w:sz w:val="20"/>
                <w:szCs w:val="20"/>
                <w:color w:val="auto"/>
              </w:rPr>
            </w:pPr>
            <w:r>
              <w:rPr>
                <w:rFonts w:ascii="Arial" w:cs="Arial" w:eastAsia="Arial" w:hAnsi="Arial"/>
                <w:sz w:val="18"/>
                <w:szCs w:val="18"/>
                <w:color w:val="auto"/>
              </w:rPr>
              <w:t xml:space="preserve">Mark-to-market adjustments on equity and other investments, net </w:t>
            </w:r>
            <w:r>
              <w:rPr>
                <w:rFonts w:ascii="Arial" w:cs="Arial" w:eastAsia="Arial" w:hAnsi="Arial"/>
                <w:sz w:val="21"/>
                <w:szCs w:val="21"/>
                <w:color w:val="auto"/>
                <w:vertAlign w:val="superscript"/>
              </w:rPr>
              <w:t>(8)</w:t>
            </w:r>
          </w:p>
        </w:tc>
        <w:tc>
          <w:tcPr>
            <w:tcW w:w="1080" w:type="dxa"/>
            <w:vAlign w:val="bottom"/>
            <w:shd w:val="clear" w:color="auto" w:fill="CCEEFF"/>
          </w:tcPr>
          <w:p>
            <w:pPr>
              <w:spacing w:after="0"/>
              <w:rPr>
                <w:sz w:val="24"/>
                <w:szCs w:val="24"/>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w:t>
            </w:r>
          </w:p>
        </w:tc>
        <w:tc>
          <w:tcPr>
            <w:tcW w:w="100" w:type="dxa"/>
            <w:vAlign w:val="bottom"/>
            <w:shd w:val="clear" w:color="auto" w:fill="CCEEFF"/>
          </w:tcPr>
          <w:p>
            <w:pPr>
              <w:spacing w:after="0"/>
              <w:rPr>
                <w:sz w:val="24"/>
                <w:szCs w:val="24"/>
                <w:color w:val="auto"/>
              </w:rPr>
            </w:pPr>
          </w:p>
        </w:tc>
        <w:tc>
          <w:tcPr>
            <w:tcW w:w="1100" w:type="dxa"/>
            <w:vAlign w:val="bottom"/>
            <w:shd w:val="clear" w:color="auto" w:fill="CCEEFF"/>
          </w:tcPr>
          <w:p>
            <w:pPr>
              <w:spacing w:after="0"/>
              <w:rPr>
                <w:sz w:val="24"/>
                <w:szCs w:val="24"/>
                <w:color w:val="auto"/>
              </w:rPr>
            </w:pPr>
          </w:p>
        </w:tc>
        <w:tc>
          <w:tcPr>
            <w:tcW w:w="6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104</w:t>
            </w:r>
          </w:p>
        </w:tc>
      </w:tr>
      <w:tr>
        <w:trPr>
          <w:trHeight w:val="264"/>
        </w:trPr>
        <w:tc>
          <w:tcPr>
            <w:tcW w:w="7880" w:type="dxa"/>
            <w:vAlign w:val="bottom"/>
            <w:tcBorders>
              <w:bottom w:val="single" w:sz="8" w:color="CCEEFF"/>
            </w:tcBorders>
            <w:gridSpan w:val="7"/>
          </w:tcPr>
          <w:p>
            <w:pPr>
              <w:ind w:left="40"/>
              <w:spacing w:after="0"/>
              <w:rPr>
                <w:sz w:val="20"/>
                <w:szCs w:val="20"/>
                <w:color w:val="auto"/>
              </w:rPr>
            </w:pPr>
            <w:r>
              <w:rPr>
                <w:rFonts w:ascii="Arial" w:cs="Arial" w:eastAsia="Arial" w:hAnsi="Arial"/>
                <w:sz w:val="18"/>
                <w:szCs w:val="18"/>
                <w:color w:val="auto"/>
              </w:rPr>
              <w:t>Other nonoperating income, net</w:t>
            </w:r>
          </w:p>
        </w:tc>
        <w:tc>
          <w:tcPr>
            <w:tcW w:w="1080" w:type="dxa"/>
            <w:vAlign w:val="bottom"/>
            <w:tcBorders>
              <w:bottom w:val="single" w:sz="8" w:color="auto"/>
            </w:tcBorders>
          </w:tcPr>
          <w:p>
            <w:pPr>
              <w:spacing w:after="0"/>
              <w:rPr>
                <w:sz w:val="22"/>
                <w:szCs w:val="22"/>
                <w:color w:val="auto"/>
              </w:rPr>
            </w:pP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w:t>
            </w:r>
          </w:p>
        </w:tc>
        <w:tc>
          <w:tcPr>
            <w:tcW w:w="100" w:type="dxa"/>
            <w:vAlign w:val="bottom"/>
            <w:tcBorders>
              <w:bottom w:val="single" w:sz="8" w:color="CCEEFF"/>
            </w:tcBorders>
          </w:tcPr>
          <w:p>
            <w:pPr>
              <w:spacing w:after="0"/>
              <w:rPr>
                <w:sz w:val="22"/>
                <w:szCs w:val="22"/>
                <w:color w:val="auto"/>
              </w:rPr>
            </w:pPr>
          </w:p>
        </w:tc>
        <w:tc>
          <w:tcPr>
            <w:tcW w:w="1100" w:type="dxa"/>
            <w:vAlign w:val="bottom"/>
            <w:tcBorders>
              <w:bottom w:val="single" w:sz="8" w:color="auto"/>
            </w:tcBorders>
          </w:tcPr>
          <w:p>
            <w:pPr>
              <w:spacing w:after="0"/>
              <w:rPr>
                <w:sz w:val="22"/>
                <w:szCs w:val="22"/>
                <w:color w:val="auto"/>
              </w:rPr>
            </w:pP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w:t>
            </w:r>
          </w:p>
        </w:tc>
      </w:tr>
      <w:tr>
        <w:trPr>
          <w:trHeight w:val="250"/>
        </w:trPr>
        <w:tc>
          <w:tcPr>
            <w:tcW w:w="4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7700" w:type="dxa"/>
            <w:vAlign w:val="bottom"/>
            <w:gridSpan w:val="5"/>
            <w:shd w:val="clear" w:color="auto" w:fill="CCEEFF"/>
          </w:tcPr>
          <w:p>
            <w:pPr>
              <w:spacing w:after="0"/>
              <w:rPr>
                <w:sz w:val="20"/>
                <w:szCs w:val="20"/>
                <w:color w:val="auto"/>
              </w:rPr>
            </w:pPr>
            <w:r>
              <w:rPr>
                <w:rFonts w:ascii="Arial" w:cs="Arial" w:eastAsia="Arial" w:hAnsi="Arial"/>
                <w:sz w:val="18"/>
                <w:szCs w:val="18"/>
                <w:color w:val="auto"/>
              </w:rPr>
              <w:t>Nonoperating special items, net</w:t>
            </w:r>
          </w:p>
        </w:tc>
        <w:tc>
          <w:tcPr>
            <w:tcW w:w="1080" w:type="dxa"/>
            <w:vAlign w:val="bottom"/>
            <w:tcBorders>
              <w:bottom w:val="single" w:sz="8" w:color="auto"/>
            </w:tcBorders>
            <w:shd w:val="clear" w:color="auto" w:fill="CCEEFF"/>
          </w:tcPr>
          <w:p>
            <w:pPr>
              <w:spacing w:after="0"/>
              <w:rPr>
                <w:sz w:val="21"/>
                <w:szCs w:val="21"/>
                <w:color w:val="auto"/>
              </w:rPr>
            </w:pPr>
          </w:p>
        </w:tc>
        <w:tc>
          <w:tcPr>
            <w:tcW w:w="640" w:type="dxa"/>
            <w:vAlign w:val="bottom"/>
            <w:tcBorders>
              <w:bottom w:val="single" w:sz="8" w:color="auto"/>
            </w:tcBorders>
            <w:shd w:val="clear" w:color="auto" w:fill="CCEEFF"/>
          </w:tcPr>
          <w:p>
            <w:pPr>
              <w:jc w:val="right"/>
              <w:ind w:right="31"/>
              <w:spacing w:after="0"/>
              <w:rPr>
                <w:sz w:val="20"/>
                <w:szCs w:val="20"/>
                <w:color w:val="auto"/>
              </w:rPr>
            </w:pPr>
            <w:r>
              <w:rPr>
                <w:rFonts w:ascii="Arial" w:cs="Arial" w:eastAsia="Arial" w:hAnsi="Arial"/>
                <w:sz w:val="18"/>
                <w:szCs w:val="18"/>
                <w:color w:val="auto"/>
              </w:rPr>
              <w:t>3</w:t>
            </w:r>
          </w:p>
        </w:tc>
        <w:tc>
          <w:tcPr>
            <w:tcW w:w="100" w:type="dxa"/>
            <w:vAlign w:val="bottom"/>
            <w:shd w:val="clear" w:color="auto" w:fill="CCEEFF"/>
          </w:tcPr>
          <w:p>
            <w:pPr>
              <w:spacing w:after="0"/>
              <w:rPr>
                <w:sz w:val="21"/>
                <w:szCs w:val="21"/>
                <w:color w:val="auto"/>
              </w:rPr>
            </w:pPr>
          </w:p>
        </w:tc>
        <w:tc>
          <w:tcPr>
            <w:tcW w:w="1100" w:type="dxa"/>
            <w:vAlign w:val="bottom"/>
            <w:tcBorders>
              <w:bottom w:val="single" w:sz="8" w:color="auto"/>
            </w:tcBorders>
            <w:shd w:val="clear" w:color="auto" w:fill="CCEEFF"/>
          </w:tcPr>
          <w:p>
            <w:pPr>
              <w:spacing w:after="0"/>
              <w:rPr>
                <w:sz w:val="21"/>
                <w:szCs w:val="21"/>
                <w:color w:val="auto"/>
              </w:rPr>
            </w:pPr>
          </w:p>
        </w:tc>
        <w:tc>
          <w:tcPr>
            <w:tcW w:w="62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113</w:t>
            </w:r>
          </w:p>
        </w:tc>
      </w:tr>
      <w:tr>
        <w:trPr>
          <w:trHeight w:val="250"/>
        </w:trPr>
        <w:tc>
          <w:tcPr>
            <w:tcW w:w="40" w:type="dxa"/>
            <w:vAlign w:val="bottom"/>
            <w:tcBorders>
              <w:bottom w:val="single" w:sz="8" w:color="CCEEFF"/>
            </w:tcBorders>
          </w:tcPr>
          <w:p>
            <w:pPr>
              <w:spacing w:after="0"/>
              <w:rPr>
                <w:sz w:val="21"/>
                <w:szCs w:val="21"/>
                <w:color w:val="auto"/>
              </w:rPr>
            </w:pPr>
          </w:p>
        </w:tc>
        <w:tc>
          <w:tcPr>
            <w:tcW w:w="140" w:type="dxa"/>
            <w:vAlign w:val="bottom"/>
            <w:tcBorders>
              <w:bottom w:val="single" w:sz="8" w:color="CCEEFF"/>
            </w:tcBorders>
          </w:tcPr>
          <w:p>
            <w:pPr>
              <w:spacing w:after="0"/>
              <w:rPr>
                <w:sz w:val="21"/>
                <w:szCs w:val="21"/>
                <w:color w:val="auto"/>
              </w:rPr>
            </w:pPr>
          </w:p>
        </w:tc>
        <w:tc>
          <w:tcPr>
            <w:tcW w:w="7700" w:type="dxa"/>
            <w:vAlign w:val="bottom"/>
            <w:tcBorders>
              <w:bottom w:val="single" w:sz="8" w:color="CCEEFF"/>
            </w:tcBorders>
            <w:gridSpan w:val="5"/>
          </w:tcPr>
          <w:p>
            <w:pPr>
              <w:ind w:left="200"/>
              <w:spacing w:after="0"/>
              <w:rPr>
                <w:sz w:val="20"/>
                <w:szCs w:val="20"/>
                <w:color w:val="auto"/>
              </w:rPr>
            </w:pPr>
            <w:r>
              <w:rPr>
                <w:rFonts w:ascii="Arial" w:cs="Arial" w:eastAsia="Arial" w:hAnsi="Arial"/>
                <w:sz w:val="18"/>
                <w:szCs w:val="18"/>
                <w:color w:val="auto"/>
              </w:rPr>
              <w:t>Pre-tax special items, net</w:t>
            </w:r>
          </w:p>
        </w:tc>
        <w:tc>
          <w:tcPr>
            <w:tcW w:w="1080" w:type="dxa"/>
            <w:vAlign w:val="bottom"/>
            <w:tcBorders>
              <w:bottom w:val="single" w:sz="8" w:color="auto"/>
            </w:tcBorders>
          </w:tcPr>
          <w:p>
            <w:pPr>
              <w:spacing w:after="0"/>
              <w:rPr>
                <w:sz w:val="21"/>
                <w:szCs w:val="21"/>
                <w:color w:val="auto"/>
              </w:rPr>
            </w:pPr>
          </w:p>
        </w:tc>
        <w:tc>
          <w:tcPr>
            <w:tcW w:w="640" w:type="dxa"/>
            <w:vAlign w:val="bottom"/>
            <w:tcBorders>
              <w:bottom w:val="single" w:sz="8" w:color="auto"/>
            </w:tcBorders>
          </w:tcPr>
          <w:p>
            <w:pPr>
              <w:jc w:val="right"/>
              <w:ind w:right="31"/>
              <w:spacing w:after="0"/>
              <w:rPr>
                <w:sz w:val="20"/>
                <w:szCs w:val="20"/>
                <w:color w:val="auto"/>
              </w:rPr>
            </w:pPr>
            <w:r>
              <w:rPr>
                <w:rFonts w:ascii="Arial" w:cs="Arial" w:eastAsia="Arial" w:hAnsi="Arial"/>
                <w:sz w:val="18"/>
                <w:szCs w:val="18"/>
                <w:color w:val="auto"/>
              </w:rPr>
              <w:t>644</w:t>
            </w:r>
          </w:p>
        </w:tc>
        <w:tc>
          <w:tcPr>
            <w:tcW w:w="100" w:type="dxa"/>
            <w:vAlign w:val="bottom"/>
            <w:tcBorders>
              <w:bottom w:val="single" w:sz="8" w:color="CCEEFF"/>
            </w:tcBorders>
          </w:tcPr>
          <w:p>
            <w:pPr>
              <w:spacing w:after="0"/>
              <w:rPr>
                <w:sz w:val="21"/>
                <w:szCs w:val="21"/>
                <w:color w:val="auto"/>
              </w:rPr>
            </w:pPr>
          </w:p>
        </w:tc>
        <w:tc>
          <w:tcPr>
            <w:tcW w:w="1100" w:type="dxa"/>
            <w:vAlign w:val="bottom"/>
            <w:tcBorders>
              <w:bottom w:val="single" w:sz="8" w:color="auto"/>
            </w:tcBorders>
          </w:tcPr>
          <w:p>
            <w:pPr>
              <w:spacing w:after="0"/>
              <w:rPr>
                <w:sz w:val="21"/>
                <w:szCs w:val="21"/>
                <w:color w:val="auto"/>
              </w:rPr>
            </w:pPr>
          </w:p>
        </w:tc>
        <w:tc>
          <w:tcPr>
            <w:tcW w:w="62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906</w:t>
            </w:r>
          </w:p>
        </w:tc>
      </w:tr>
      <w:tr>
        <w:trPr>
          <w:trHeight w:val="257"/>
        </w:trPr>
        <w:tc>
          <w:tcPr>
            <w:tcW w:w="7880" w:type="dxa"/>
            <w:vAlign w:val="bottom"/>
            <w:gridSpan w:val="7"/>
            <w:shd w:val="clear" w:color="auto" w:fill="CCEEFF"/>
          </w:tcPr>
          <w:p>
            <w:pPr>
              <w:ind w:left="40"/>
              <w:spacing w:after="0"/>
              <w:rPr>
                <w:sz w:val="20"/>
                <w:szCs w:val="20"/>
                <w:color w:val="auto"/>
              </w:rPr>
            </w:pPr>
            <w:r>
              <w:rPr>
                <w:rFonts w:ascii="Arial" w:cs="Arial" w:eastAsia="Arial" w:hAnsi="Arial"/>
                <w:sz w:val="18"/>
                <w:szCs w:val="18"/>
                <w:color w:val="auto"/>
              </w:rPr>
              <w:t xml:space="preserve">Income tax special items, net </w:t>
            </w:r>
            <w:r>
              <w:rPr>
                <w:rFonts w:ascii="Arial" w:cs="Arial" w:eastAsia="Arial" w:hAnsi="Arial"/>
                <w:sz w:val="21"/>
                <w:szCs w:val="21"/>
                <w:color w:val="auto"/>
                <w:vertAlign w:val="superscript"/>
              </w:rPr>
              <w:t>(9)</w:t>
            </w:r>
          </w:p>
        </w:tc>
        <w:tc>
          <w:tcPr>
            <w:tcW w:w="1080" w:type="dxa"/>
            <w:vAlign w:val="bottom"/>
            <w:shd w:val="clear" w:color="auto" w:fill="CCEEFF"/>
          </w:tcPr>
          <w:p>
            <w:pPr>
              <w:spacing w:after="0"/>
              <w:rPr>
                <w:sz w:val="22"/>
                <w:szCs w:val="22"/>
                <w:color w:val="auto"/>
              </w:rPr>
            </w:pPr>
          </w:p>
        </w:tc>
        <w:tc>
          <w:tcPr>
            <w:tcW w:w="7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100" w:type="dxa"/>
            <w:vAlign w:val="bottom"/>
            <w:shd w:val="clear" w:color="auto" w:fill="CCEEFF"/>
          </w:tcPr>
          <w:p>
            <w:pPr>
              <w:spacing w:after="0"/>
              <w:rPr>
                <w:sz w:val="22"/>
                <w:szCs w:val="22"/>
                <w:color w:val="auto"/>
              </w:rPr>
            </w:pPr>
          </w:p>
        </w:tc>
        <w:tc>
          <w:tcPr>
            <w:tcW w:w="6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18</w:t>
            </w:r>
          </w:p>
        </w:tc>
      </w:tr>
      <w:tr>
        <w:trPr>
          <w:trHeight w:val="284"/>
        </w:trPr>
        <w:tc>
          <w:tcPr>
            <w:tcW w:w="40" w:type="dxa"/>
            <w:vAlign w:val="bottom"/>
            <w:tcBorders>
              <w:bottom w:val="single" w:sz="8" w:color="CCEEFF"/>
            </w:tcBorders>
          </w:tcPr>
          <w:p>
            <w:pPr>
              <w:spacing w:after="0"/>
              <w:rPr>
                <w:sz w:val="24"/>
                <w:szCs w:val="24"/>
                <w:color w:val="auto"/>
              </w:rPr>
            </w:pPr>
          </w:p>
        </w:tc>
        <w:tc>
          <w:tcPr>
            <w:tcW w:w="140" w:type="dxa"/>
            <w:vAlign w:val="bottom"/>
            <w:tcBorders>
              <w:bottom w:val="single" w:sz="8" w:color="CCEEFF"/>
            </w:tcBorders>
          </w:tcPr>
          <w:p>
            <w:pPr>
              <w:spacing w:after="0"/>
              <w:rPr>
                <w:sz w:val="24"/>
                <w:szCs w:val="24"/>
                <w:color w:val="auto"/>
              </w:rPr>
            </w:pPr>
          </w:p>
        </w:tc>
        <w:tc>
          <w:tcPr>
            <w:tcW w:w="7700" w:type="dxa"/>
            <w:vAlign w:val="bottom"/>
            <w:tcBorders>
              <w:bottom w:val="single" w:sz="8" w:color="CCEEFF"/>
            </w:tcBorders>
            <w:gridSpan w:val="5"/>
          </w:tcPr>
          <w:p>
            <w:pPr>
              <w:ind w:left="200"/>
              <w:spacing w:after="0"/>
              <w:rPr>
                <w:sz w:val="20"/>
                <w:szCs w:val="20"/>
                <w:color w:val="auto"/>
              </w:rPr>
            </w:pPr>
            <w:r>
              <w:rPr>
                <w:rFonts w:ascii="Arial" w:cs="Arial" w:eastAsia="Arial" w:hAnsi="Arial"/>
                <w:sz w:val="18"/>
                <w:szCs w:val="18"/>
                <w:color w:val="auto"/>
              </w:rPr>
              <w:t>Total special items, net</w:t>
            </w:r>
          </w:p>
        </w:tc>
        <w:tc>
          <w:tcPr>
            <w:tcW w:w="1080" w:type="dxa"/>
            <w:vAlign w:val="bottom"/>
            <w:tcBorders>
              <w:top w:val="single" w:sz="8" w:color="auto"/>
              <w:bottom w:val="single" w:sz="8" w:color="auto"/>
            </w:tcBorders>
          </w:tcPr>
          <w:p>
            <w:pPr>
              <w:jc w:val="right"/>
              <w:ind w:right="874"/>
              <w:spacing w:after="0"/>
              <w:rPr>
                <w:sz w:val="20"/>
                <w:szCs w:val="20"/>
                <w:color w:val="auto"/>
              </w:rPr>
            </w:pPr>
            <w:r>
              <w:rPr>
                <w:rFonts w:ascii="Arial" w:cs="Arial" w:eastAsia="Arial" w:hAnsi="Arial"/>
                <w:sz w:val="18"/>
                <w:szCs w:val="18"/>
                <w:color w:val="auto"/>
                <w:w w:val="99"/>
              </w:rPr>
              <w:t>$</w:t>
            </w:r>
          </w:p>
        </w:tc>
        <w:tc>
          <w:tcPr>
            <w:tcW w:w="640" w:type="dxa"/>
            <w:vAlign w:val="bottom"/>
            <w:tcBorders>
              <w:top w:val="single" w:sz="8" w:color="auto"/>
              <w:bottom w:val="single" w:sz="8" w:color="auto"/>
            </w:tcBorders>
          </w:tcPr>
          <w:p>
            <w:pPr>
              <w:jc w:val="right"/>
              <w:ind w:right="31"/>
              <w:spacing w:after="0"/>
              <w:rPr>
                <w:sz w:val="20"/>
                <w:szCs w:val="20"/>
                <w:color w:val="auto"/>
              </w:rPr>
            </w:pPr>
            <w:r>
              <w:rPr>
                <w:rFonts w:ascii="Arial" w:cs="Arial" w:eastAsia="Arial" w:hAnsi="Arial"/>
                <w:sz w:val="18"/>
                <w:szCs w:val="18"/>
                <w:color w:val="auto"/>
              </w:rPr>
              <w:t>644</w:t>
            </w:r>
          </w:p>
        </w:tc>
        <w:tc>
          <w:tcPr>
            <w:tcW w:w="100" w:type="dxa"/>
            <w:vAlign w:val="bottom"/>
            <w:tcBorders>
              <w:bottom w:val="single" w:sz="8" w:color="CCEEFF"/>
            </w:tcBorders>
          </w:tcPr>
          <w:p>
            <w:pPr>
              <w:spacing w:after="0"/>
              <w:rPr>
                <w:sz w:val="24"/>
                <w:szCs w:val="24"/>
                <w:color w:val="auto"/>
              </w:rPr>
            </w:pPr>
          </w:p>
        </w:tc>
        <w:tc>
          <w:tcPr>
            <w:tcW w:w="1100" w:type="dxa"/>
            <w:vAlign w:val="bottom"/>
            <w:tcBorders>
              <w:top w:val="single" w:sz="8" w:color="auto"/>
              <w:bottom w:val="single" w:sz="8" w:color="auto"/>
            </w:tcBorders>
          </w:tcPr>
          <w:p>
            <w:pPr>
              <w:jc w:val="right"/>
              <w:ind w:right="873"/>
              <w:spacing w:after="0"/>
              <w:rPr>
                <w:sz w:val="20"/>
                <w:szCs w:val="20"/>
                <w:color w:val="auto"/>
              </w:rPr>
            </w:pPr>
            <w:r>
              <w:rPr>
                <w:rFonts w:ascii="Arial" w:cs="Arial" w:eastAsia="Arial" w:hAnsi="Arial"/>
                <w:sz w:val="18"/>
                <w:szCs w:val="18"/>
                <w:color w:val="auto"/>
              </w:rPr>
              <w:t>$</w:t>
            </w:r>
          </w:p>
        </w:tc>
        <w:tc>
          <w:tcPr>
            <w:tcW w:w="62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rPr>
              <w:t>924</w:t>
            </w:r>
          </w:p>
        </w:tc>
      </w:tr>
      <w:tr>
        <w:trPr>
          <w:trHeight w:val="364"/>
        </w:trPr>
        <w:tc>
          <w:tcPr>
            <w:tcW w:w="40" w:type="dxa"/>
            <w:vAlign w:val="bottom"/>
            <w:tcBorders>
              <w:bottom w:val="single" w:sz="8" w:color="CCEEFF"/>
            </w:tcBorders>
            <w:shd w:val="clear" w:color="auto" w:fill="CCEEFF"/>
          </w:tcPr>
          <w:p>
            <w:pPr>
              <w:spacing w:after="0"/>
              <w:rPr>
                <w:sz w:val="24"/>
                <w:szCs w:val="24"/>
                <w:color w:val="auto"/>
              </w:rPr>
            </w:pPr>
          </w:p>
        </w:tc>
        <w:tc>
          <w:tcPr>
            <w:tcW w:w="5340" w:type="dxa"/>
            <w:vAlign w:val="bottom"/>
            <w:tcBorders>
              <w:bottom w:val="single" w:sz="8" w:color="auto"/>
            </w:tcBorders>
            <w:gridSpan w:val="5"/>
            <w:shd w:val="clear" w:color="auto" w:fill="CCEEFF"/>
          </w:tcPr>
          <w:p>
            <w:pPr>
              <w:spacing w:after="0"/>
              <w:rPr>
                <w:sz w:val="20"/>
                <w:szCs w:val="20"/>
                <w:color w:val="auto"/>
              </w:rPr>
            </w:pPr>
            <w:r>
              <w:rPr>
                <w:rFonts w:ascii="Arial" w:cs="Arial" w:eastAsia="Arial" w:hAnsi="Arial"/>
                <w:sz w:val="18"/>
                <w:szCs w:val="18"/>
                <w:b w:val="1"/>
                <w:bCs w:val="1"/>
                <w:color w:val="auto"/>
                <w:w w:val="99"/>
                <w:shd w:val="clear" w:color="auto" w:fill="CCEEFF"/>
              </w:rPr>
              <w:t>Reconciliation of Pre-Tax Income Excluding Net Special Items:</w:t>
            </w:r>
          </w:p>
        </w:tc>
        <w:tc>
          <w:tcPr>
            <w:tcW w:w="2500" w:type="dxa"/>
            <w:vAlign w:val="bottom"/>
            <w:tcBorders>
              <w:bottom w:val="single" w:sz="8" w:color="CCEEFF"/>
            </w:tcBorders>
            <w:shd w:val="clear" w:color="auto" w:fill="CCEEFF"/>
          </w:tcPr>
          <w:p>
            <w:pPr>
              <w:spacing w:after="0"/>
              <w:rPr>
                <w:sz w:val="24"/>
                <w:szCs w:val="24"/>
                <w:color w:val="auto"/>
              </w:rPr>
            </w:pPr>
          </w:p>
        </w:tc>
        <w:tc>
          <w:tcPr>
            <w:tcW w:w="1080" w:type="dxa"/>
            <w:vAlign w:val="bottom"/>
            <w:tcBorders>
              <w:bottom w:val="single" w:sz="8" w:color="CCEEFF"/>
            </w:tcBorders>
            <w:shd w:val="clear" w:color="auto" w:fill="CCEEFF"/>
          </w:tcPr>
          <w:p>
            <w:pPr>
              <w:spacing w:after="0"/>
              <w:rPr>
                <w:sz w:val="24"/>
                <w:szCs w:val="24"/>
                <w:color w:val="auto"/>
              </w:rPr>
            </w:pPr>
          </w:p>
        </w:tc>
        <w:tc>
          <w:tcPr>
            <w:tcW w:w="640" w:type="dxa"/>
            <w:vAlign w:val="bottom"/>
            <w:tcBorders>
              <w:bottom w:val="single" w:sz="8" w:color="CCEEFF"/>
            </w:tcBorders>
            <w:shd w:val="clear" w:color="auto" w:fill="CCEEFF"/>
          </w:tcPr>
          <w:p>
            <w:pPr>
              <w:spacing w:after="0"/>
              <w:rPr>
                <w:sz w:val="24"/>
                <w:szCs w:val="24"/>
                <w:color w:val="auto"/>
              </w:rPr>
            </w:pPr>
          </w:p>
        </w:tc>
        <w:tc>
          <w:tcPr>
            <w:tcW w:w="100" w:type="dxa"/>
            <w:vAlign w:val="bottom"/>
            <w:tcBorders>
              <w:bottom w:val="single" w:sz="8" w:color="CCEEFF"/>
            </w:tcBorders>
            <w:shd w:val="clear" w:color="auto" w:fill="CCEEFF"/>
          </w:tcPr>
          <w:p>
            <w:pPr>
              <w:spacing w:after="0"/>
              <w:rPr>
                <w:sz w:val="24"/>
                <w:szCs w:val="24"/>
                <w:color w:val="auto"/>
              </w:rPr>
            </w:pPr>
          </w:p>
        </w:tc>
        <w:tc>
          <w:tcPr>
            <w:tcW w:w="1100" w:type="dxa"/>
            <w:vAlign w:val="bottom"/>
            <w:tcBorders>
              <w:bottom w:val="single" w:sz="8" w:color="CCEEFF"/>
            </w:tcBorders>
            <w:shd w:val="clear" w:color="auto" w:fill="CCEEFF"/>
          </w:tcPr>
          <w:p>
            <w:pPr>
              <w:spacing w:after="0"/>
              <w:rPr>
                <w:sz w:val="24"/>
                <w:szCs w:val="24"/>
                <w:color w:val="auto"/>
              </w:rPr>
            </w:pPr>
          </w:p>
        </w:tc>
        <w:tc>
          <w:tcPr>
            <w:tcW w:w="620" w:type="dxa"/>
            <w:vAlign w:val="bottom"/>
            <w:tcBorders>
              <w:bottom w:val="single" w:sz="8" w:color="CCEEFF"/>
            </w:tcBorders>
            <w:shd w:val="clear" w:color="auto" w:fill="CCEEFF"/>
          </w:tcPr>
          <w:p>
            <w:pPr>
              <w:spacing w:after="0"/>
              <w:rPr>
                <w:sz w:val="24"/>
                <w:szCs w:val="24"/>
                <w:color w:val="auto"/>
              </w:rPr>
            </w:pPr>
          </w:p>
        </w:tc>
      </w:tr>
      <w:tr>
        <w:trPr>
          <w:trHeight w:val="263"/>
        </w:trPr>
        <w:tc>
          <w:tcPr>
            <w:tcW w:w="7880" w:type="dxa"/>
            <w:vAlign w:val="bottom"/>
            <w:tcBorders>
              <w:top w:val="single" w:sz="8" w:color="CCEEFF"/>
            </w:tcBorders>
            <w:gridSpan w:val="7"/>
          </w:tcPr>
          <w:p>
            <w:pPr>
              <w:ind w:left="40"/>
              <w:spacing w:after="0"/>
              <w:rPr>
                <w:sz w:val="20"/>
                <w:szCs w:val="20"/>
                <w:color w:val="auto"/>
              </w:rPr>
            </w:pPr>
            <w:r>
              <w:rPr>
                <w:rFonts w:ascii="Arial" w:cs="Arial" w:eastAsia="Arial" w:hAnsi="Arial"/>
                <w:sz w:val="18"/>
                <w:szCs w:val="18"/>
                <w:color w:val="auto"/>
              </w:rPr>
              <w:t>Pre-tax income – GAAP</w:t>
            </w:r>
          </w:p>
        </w:tc>
        <w:tc>
          <w:tcPr>
            <w:tcW w:w="1080" w:type="dxa"/>
            <w:vAlign w:val="bottom"/>
            <w:tcBorders>
              <w:top w:val="single" w:sz="8" w:color="CCEEFF"/>
            </w:tcBorders>
          </w:tcPr>
          <w:p>
            <w:pPr>
              <w:jc w:val="right"/>
              <w:ind w:right="874"/>
              <w:spacing w:after="0"/>
              <w:rPr>
                <w:sz w:val="20"/>
                <w:szCs w:val="20"/>
                <w:color w:val="auto"/>
              </w:rPr>
            </w:pPr>
            <w:r>
              <w:rPr>
                <w:rFonts w:ascii="Arial" w:cs="Arial" w:eastAsia="Arial" w:hAnsi="Arial"/>
                <w:sz w:val="18"/>
                <w:szCs w:val="18"/>
                <w:color w:val="auto"/>
                <w:w w:val="99"/>
              </w:rPr>
              <w:t>$</w:t>
            </w:r>
          </w:p>
        </w:tc>
        <w:tc>
          <w:tcPr>
            <w:tcW w:w="640" w:type="dxa"/>
            <w:vAlign w:val="bottom"/>
            <w:tcBorders>
              <w:top w:val="single" w:sz="8" w:color="CCEEFF"/>
            </w:tcBorders>
          </w:tcPr>
          <w:p>
            <w:pPr>
              <w:jc w:val="right"/>
              <w:ind w:right="31"/>
              <w:spacing w:after="0"/>
              <w:rPr>
                <w:sz w:val="20"/>
                <w:szCs w:val="20"/>
                <w:color w:val="auto"/>
              </w:rPr>
            </w:pPr>
            <w:r>
              <w:rPr>
                <w:rFonts w:ascii="Arial" w:cs="Arial" w:eastAsia="Arial" w:hAnsi="Arial"/>
                <w:sz w:val="18"/>
                <w:szCs w:val="18"/>
                <w:color w:val="auto"/>
              </w:rPr>
              <w:t>2,256</w:t>
            </w:r>
          </w:p>
        </w:tc>
        <w:tc>
          <w:tcPr>
            <w:tcW w:w="100" w:type="dxa"/>
            <w:vAlign w:val="bottom"/>
            <w:tcBorders>
              <w:top w:val="single" w:sz="8" w:color="CCEEFF"/>
            </w:tcBorders>
          </w:tcPr>
          <w:p>
            <w:pPr>
              <w:spacing w:after="0"/>
              <w:rPr>
                <w:sz w:val="22"/>
                <w:szCs w:val="22"/>
                <w:color w:val="auto"/>
              </w:rPr>
            </w:pPr>
          </w:p>
        </w:tc>
        <w:tc>
          <w:tcPr>
            <w:tcW w:w="1100" w:type="dxa"/>
            <w:vAlign w:val="bottom"/>
            <w:tcBorders>
              <w:top w:val="single" w:sz="8" w:color="CCEEFF"/>
            </w:tcBorders>
          </w:tcPr>
          <w:p>
            <w:pPr>
              <w:jc w:val="right"/>
              <w:ind w:right="873"/>
              <w:spacing w:after="0"/>
              <w:rPr>
                <w:sz w:val="20"/>
                <w:szCs w:val="20"/>
                <w:color w:val="auto"/>
              </w:rPr>
            </w:pPr>
            <w:r>
              <w:rPr>
                <w:rFonts w:ascii="Arial" w:cs="Arial" w:eastAsia="Arial" w:hAnsi="Arial"/>
                <w:sz w:val="18"/>
                <w:szCs w:val="18"/>
                <w:color w:val="auto"/>
              </w:rPr>
              <w:t>$</w:t>
            </w:r>
          </w:p>
        </w:tc>
        <w:tc>
          <w:tcPr>
            <w:tcW w:w="620" w:type="dxa"/>
            <w:vAlign w:val="bottom"/>
            <w:tcBorders>
              <w:top w:val="single" w:sz="8" w:color="CCEEFF"/>
            </w:tcBorders>
          </w:tcPr>
          <w:p>
            <w:pPr>
              <w:jc w:val="right"/>
              <w:ind w:right="10"/>
              <w:spacing w:after="0"/>
              <w:rPr>
                <w:sz w:val="20"/>
                <w:szCs w:val="20"/>
                <w:color w:val="auto"/>
              </w:rPr>
            </w:pPr>
            <w:r>
              <w:rPr>
                <w:rFonts w:ascii="Arial" w:cs="Arial" w:eastAsia="Arial" w:hAnsi="Arial"/>
                <w:sz w:val="18"/>
                <w:szCs w:val="18"/>
                <w:color w:val="auto"/>
              </w:rPr>
              <w:t>1,884</w:t>
            </w:r>
          </w:p>
        </w:tc>
      </w:tr>
      <w:tr>
        <w:trPr>
          <w:trHeight w:val="277"/>
        </w:trPr>
        <w:tc>
          <w:tcPr>
            <w:tcW w:w="40" w:type="dxa"/>
            <w:vAlign w:val="bottom"/>
            <w:tcBorders>
              <w:bottom w:val="single" w:sz="8" w:color="CCEEFF"/>
            </w:tcBorders>
            <w:shd w:val="clear" w:color="auto" w:fill="CCEEFF"/>
          </w:tcPr>
          <w:p>
            <w:pPr>
              <w:spacing w:after="0"/>
              <w:rPr>
                <w:sz w:val="24"/>
                <w:szCs w:val="24"/>
                <w:color w:val="auto"/>
              </w:rPr>
            </w:pPr>
          </w:p>
        </w:tc>
        <w:tc>
          <w:tcPr>
            <w:tcW w:w="140" w:type="dxa"/>
            <w:vAlign w:val="bottom"/>
            <w:tcBorders>
              <w:bottom w:val="single" w:sz="8" w:color="CCEEFF"/>
            </w:tcBorders>
            <w:shd w:val="clear" w:color="auto" w:fill="CCEEFF"/>
          </w:tcPr>
          <w:p>
            <w:pPr>
              <w:spacing w:after="0"/>
              <w:rPr>
                <w:sz w:val="24"/>
                <w:szCs w:val="24"/>
                <w:color w:val="auto"/>
              </w:rPr>
            </w:pPr>
          </w:p>
        </w:tc>
        <w:tc>
          <w:tcPr>
            <w:tcW w:w="3300" w:type="dxa"/>
            <w:vAlign w:val="bottom"/>
            <w:tcBorders>
              <w:bottom w:val="single" w:sz="8" w:color="CCEEFF"/>
            </w:tcBorders>
            <w:gridSpan w:val="2"/>
            <w:shd w:val="clear" w:color="auto" w:fill="CCEEFF"/>
          </w:tcPr>
          <w:p>
            <w:pPr>
              <w:spacing w:after="0"/>
              <w:rPr>
                <w:sz w:val="20"/>
                <w:szCs w:val="20"/>
                <w:color w:val="auto"/>
              </w:rPr>
            </w:pPr>
            <w:r>
              <w:rPr>
                <w:rFonts w:ascii="Arial" w:cs="Arial" w:eastAsia="Arial" w:hAnsi="Arial"/>
                <w:sz w:val="18"/>
                <w:szCs w:val="18"/>
                <w:color w:val="auto"/>
                <w:shd w:val="clear" w:color="auto" w:fill="CCEEFF"/>
              </w:rPr>
              <w:t>Adjusted for: Pre-tax special items, net</w:t>
            </w:r>
          </w:p>
        </w:tc>
        <w:tc>
          <w:tcPr>
            <w:tcW w:w="1540" w:type="dxa"/>
            <w:vAlign w:val="bottom"/>
            <w:tcBorders>
              <w:bottom w:val="single" w:sz="8" w:color="CCEEFF"/>
            </w:tcBorders>
            <w:shd w:val="clear" w:color="auto" w:fill="CCEEFF"/>
          </w:tcPr>
          <w:p>
            <w:pPr>
              <w:spacing w:after="0"/>
              <w:rPr>
                <w:sz w:val="24"/>
                <w:szCs w:val="24"/>
                <w:color w:val="auto"/>
              </w:rPr>
            </w:pPr>
          </w:p>
        </w:tc>
        <w:tc>
          <w:tcPr>
            <w:tcW w:w="2860" w:type="dxa"/>
            <w:vAlign w:val="bottom"/>
            <w:tcBorders>
              <w:bottom w:val="single" w:sz="8" w:color="CCEEFF"/>
            </w:tcBorders>
            <w:gridSpan w:val="2"/>
            <w:shd w:val="clear" w:color="auto" w:fill="CCEEFF"/>
          </w:tcPr>
          <w:p>
            <w:pPr>
              <w:spacing w:after="0"/>
              <w:rPr>
                <w:sz w:val="24"/>
                <w:szCs w:val="24"/>
                <w:color w:val="auto"/>
              </w:rPr>
            </w:pPr>
          </w:p>
        </w:tc>
        <w:tc>
          <w:tcPr>
            <w:tcW w:w="1080" w:type="dxa"/>
            <w:vAlign w:val="bottom"/>
            <w:tcBorders>
              <w:bottom w:val="single" w:sz="8" w:color="CCEEFF"/>
            </w:tcBorders>
            <w:shd w:val="clear" w:color="auto" w:fill="CCEEFF"/>
          </w:tcPr>
          <w:p>
            <w:pPr>
              <w:spacing w:after="0"/>
              <w:rPr>
                <w:sz w:val="24"/>
                <w:szCs w:val="24"/>
                <w:color w:val="auto"/>
              </w:rPr>
            </w:pPr>
          </w:p>
        </w:tc>
        <w:tc>
          <w:tcPr>
            <w:tcW w:w="64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644</w:t>
            </w:r>
          </w:p>
        </w:tc>
        <w:tc>
          <w:tcPr>
            <w:tcW w:w="100" w:type="dxa"/>
            <w:vAlign w:val="bottom"/>
            <w:tcBorders>
              <w:bottom w:val="single" w:sz="8" w:color="CCEEFF"/>
            </w:tcBorders>
            <w:shd w:val="clear" w:color="auto" w:fill="CCEEFF"/>
          </w:tcPr>
          <w:p>
            <w:pPr>
              <w:spacing w:after="0"/>
              <w:rPr>
                <w:sz w:val="24"/>
                <w:szCs w:val="24"/>
                <w:color w:val="auto"/>
              </w:rPr>
            </w:pPr>
          </w:p>
        </w:tc>
        <w:tc>
          <w:tcPr>
            <w:tcW w:w="1100" w:type="dxa"/>
            <w:vAlign w:val="bottom"/>
            <w:tcBorders>
              <w:bottom w:val="single" w:sz="8" w:color="CCEEFF"/>
            </w:tcBorders>
            <w:shd w:val="clear" w:color="auto" w:fill="CCEEFF"/>
          </w:tcPr>
          <w:p>
            <w:pPr>
              <w:spacing w:after="0"/>
              <w:rPr>
                <w:sz w:val="24"/>
                <w:szCs w:val="24"/>
                <w:color w:val="auto"/>
              </w:rPr>
            </w:pPr>
          </w:p>
        </w:tc>
        <w:tc>
          <w:tcPr>
            <w:tcW w:w="6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906</w:t>
            </w:r>
          </w:p>
        </w:tc>
      </w:tr>
      <w:tr>
        <w:trPr>
          <w:trHeight w:val="290"/>
        </w:trPr>
        <w:tc>
          <w:tcPr>
            <w:tcW w:w="7880" w:type="dxa"/>
            <w:vAlign w:val="bottom"/>
            <w:tcBorders>
              <w:bottom w:val="single" w:sz="8" w:color="CCEEFF"/>
            </w:tcBorders>
            <w:gridSpan w:val="7"/>
          </w:tcPr>
          <w:p>
            <w:pPr>
              <w:ind w:left="40"/>
              <w:spacing w:after="0"/>
              <w:rPr>
                <w:sz w:val="20"/>
                <w:szCs w:val="20"/>
                <w:color w:val="auto"/>
              </w:rPr>
            </w:pPr>
            <w:r>
              <w:rPr>
                <w:rFonts w:ascii="Arial" w:cs="Arial" w:eastAsia="Arial" w:hAnsi="Arial"/>
                <w:sz w:val="18"/>
                <w:szCs w:val="18"/>
                <w:color w:val="auto"/>
              </w:rPr>
              <w:t>Pre-tax income excluding net special items</w:t>
            </w:r>
          </w:p>
        </w:tc>
        <w:tc>
          <w:tcPr>
            <w:tcW w:w="1080" w:type="dxa"/>
            <w:vAlign w:val="bottom"/>
            <w:tcBorders>
              <w:top w:val="single" w:sz="8" w:color="auto"/>
              <w:bottom w:val="single" w:sz="8" w:color="auto"/>
            </w:tcBorders>
          </w:tcPr>
          <w:p>
            <w:pPr>
              <w:jc w:val="right"/>
              <w:ind w:right="874"/>
              <w:spacing w:after="0"/>
              <w:rPr>
                <w:sz w:val="20"/>
                <w:szCs w:val="20"/>
                <w:color w:val="auto"/>
              </w:rPr>
            </w:pPr>
            <w:r>
              <w:rPr>
                <w:rFonts w:ascii="Arial" w:cs="Arial" w:eastAsia="Arial" w:hAnsi="Arial"/>
                <w:sz w:val="18"/>
                <w:szCs w:val="18"/>
                <w:color w:val="auto"/>
                <w:w w:val="99"/>
              </w:rPr>
              <w:t>$</w:t>
            </w:r>
          </w:p>
        </w:tc>
        <w:tc>
          <w:tcPr>
            <w:tcW w:w="640" w:type="dxa"/>
            <w:vAlign w:val="bottom"/>
            <w:tcBorders>
              <w:top w:val="single" w:sz="8" w:color="auto"/>
              <w:bottom w:val="single" w:sz="8" w:color="auto"/>
            </w:tcBorders>
          </w:tcPr>
          <w:p>
            <w:pPr>
              <w:jc w:val="right"/>
              <w:ind w:right="31"/>
              <w:spacing w:after="0"/>
              <w:rPr>
                <w:sz w:val="20"/>
                <w:szCs w:val="20"/>
                <w:color w:val="auto"/>
              </w:rPr>
            </w:pPr>
            <w:r>
              <w:rPr>
                <w:rFonts w:ascii="Arial" w:cs="Arial" w:eastAsia="Arial" w:hAnsi="Arial"/>
                <w:sz w:val="18"/>
                <w:szCs w:val="18"/>
                <w:color w:val="auto"/>
              </w:rPr>
              <w:t>2,900</w:t>
            </w:r>
          </w:p>
        </w:tc>
        <w:tc>
          <w:tcPr>
            <w:tcW w:w="100" w:type="dxa"/>
            <w:vAlign w:val="bottom"/>
            <w:tcBorders>
              <w:bottom w:val="single" w:sz="8" w:color="CCEEFF"/>
            </w:tcBorders>
          </w:tcPr>
          <w:p>
            <w:pPr>
              <w:spacing w:after="0"/>
              <w:rPr>
                <w:sz w:val="24"/>
                <w:szCs w:val="24"/>
                <w:color w:val="auto"/>
              </w:rPr>
            </w:pPr>
          </w:p>
        </w:tc>
        <w:tc>
          <w:tcPr>
            <w:tcW w:w="1100" w:type="dxa"/>
            <w:vAlign w:val="bottom"/>
            <w:tcBorders>
              <w:top w:val="single" w:sz="8" w:color="auto"/>
              <w:bottom w:val="single" w:sz="8" w:color="auto"/>
            </w:tcBorders>
          </w:tcPr>
          <w:p>
            <w:pPr>
              <w:jc w:val="right"/>
              <w:ind w:right="873"/>
              <w:spacing w:after="0"/>
              <w:rPr>
                <w:sz w:val="20"/>
                <w:szCs w:val="20"/>
                <w:color w:val="auto"/>
              </w:rPr>
            </w:pPr>
            <w:r>
              <w:rPr>
                <w:rFonts w:ascii="Arial" w:cs="Arial" w:eastAsia="Arial" w:hAnsi="Arial"/>
                <w:sz w:val="18"/>
                <w:szCs w:val="18"/>
                <w:color w:val="auto"/>
              </w:rPr>
              <w:t>$</w:t>
            </w:r>
          </w:p>
        </w:tc>
        <w:tc>
          <w:tcPr>
            <w:tcW w:w="62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rPr>
              <w:t>2,790</w:t>
            </w:r>
          </w:p>
        </w:tc>
      </w:tr>
      <w:tr>
        <w:trPr>
          <w:trHeight w:val="357"/>
        </w:trPr>
        <w:tc>
          <w:tcPr>
            <w:tcW w:w="40" w:type="dxa"/>
            <w:vAlign w:val="bottom"/>
            <w:tcBorders>
              <w:bottom w:val="single" w:sz="8" w:color="CCEEFF"/>
            </w:tcBorders>
            <w:shd w:val="clear" w:color="auto" w:fill="CCEEFF"/>
          </w:tcPr>
          <w:p>
            <w:pPr>
              <w:spacing w:after="0"/>
              <w:rPr>
                <w:sz w:val="24"/>
                <w:szCs w:val="24"/>
                <w:color w:val="auto"/>
              </w:rPr>
            </w:pPr>
          </w:p>
        </w:tc>
        <w:tc>
          <w:tcPr>
            <w:tcW w:w="4980" w:type="dxa"/>
            <w:vAlign w:val="bottom"/>
            <w:tcBorders>
              <w:bottom w:val="single" w:sz="8" w:color="auto"/>
            </w:tcBorders>
            <w:gridSpan w:val="4"/>
            <w:shd w:val="clear" w:color="auto" w:fill="CCEEFF"/>
          </w:tcPr>
          <w:p>
            <w:pPr>
              <w:spacing w:after="0"/>
              <w:rPr>
                <w:sz w:val="20"/>
                <w:szCs w:val="20"/>
                <w:color w:val="auto"/>
              </w:rPr>
            </w:pPr>
            <w:r>
              <w:rPr>
                <w:rFonts w:ascii="Arial" w:cs="Arial" w:eastAsia="Arial" w:hAnsi="Arial"/>
                <w:sz w:val="18"/>
                <w:szCs w:val="18"/>
                <w:b w:val="1"/>
                <w:bCs w:val="1"/>
                <w:color w:val="auto"/>
                <w:w w:val="99"/>
                <w:shd w:val="clear" w:color="auto" w:fill="CCEEFF"/>
              </w:rPr>
              <w:t>Reconciliation of Net Income Excluding Net Special Items:</w:t>
            </w:r>
          </w:p>
        </w:tc>
        <w:tc>
          <w:tcPr>
            <w:tcW w:w="2860" w:type="dxa"/>
            <w:vAlign w:val="bottom"/>
            <w:tcBorders>
              <w:bottom w:val="single" w:sz="8" w:color="CCEEFF"/>
            </w:tcBorders>
            <w:gridSpan w:val="2"/>
            <w:shd w:val="clear" w:color="auto" w:fill="CCEEFF"/>
          </w:tcPr>
          <w:p>
            <w:pPr>
              <w:spacing w:after="0"/>
              <w:rPr>
                <w:sz w:val="24"/>
                <w:szCs w:val="24"/>
                <w:color w:val="auto"/>
              </w:rPr>
            </w:pPr>
          </w:p>
        </w:tc>
        <w:tc>
          <w:tcPr>
            <w:tcW w:w="1080" w:type="dxa"/>
            <w:vAlign w:val="bottom"/>
            <w:tcBorders>
              <w:bottom w:val="single" w:sz="8" w:color="CCEEFF"/>
            </w:tcBorders>
            <w:shd w:val="clear" w:color="auto" w:fill="CCEEFF"/>
          </w:tcPr>
          <w:p>
            <w:pPr>
              <w:spacing w:after="0"/>
              <w:rPr>
                <w:sz w:val="24"/>
                <w:szCs w:val="24"/>
                <w:color w:val="auto"/>
              </w:rPr>
            </w:pPr>
          </w:p>
        </w:tc>
        <w:tc>
          <w:tcPr>
            <w:tcW w:w="640" w:type="dxa"/>
            <w:vAlign w:val="bottom"/>
            <w:tcBorders>
              <w:bottom w:val="single" w:sz="8" w:color="CCEEFF"/>
            </w:tcBorders>
            <w:shd w:val="clear" w:color="auto" w:fill="CCEEFF"/>
          </w:tcPr>
          <w:p>
            <w:pPr>
              <w:spacing w:after="0"/>
              <w:rPr>
                <w:sz w:val="24"/>
                <w:szCs w:val="24"/>
                <w:color w:val="auto"/>
              </w:rPr>
            </w:pPr>
          </w:p>
        </w:tc>
        <w:tc>
          <w:tcPr>
            <w:tcW w:w="100" w:type="dxa"/>
            <w:vAlign w:val="bottom"/>
            <w:tcBorders>
              <w:bottom w:val="single" w:sz="8" w:color="CCEEFF"/>
            </w:tcBorders>
            <w:shd w:val="clear" w:color="auto" w:fill="CCEEFF"/>
          </w:tcPr>
          <w:p>
            <w:pPr>
              <w:spacing w:after="0"/>
              <w:rPr>
                <w:sz w:val="24"/>
                <w:szCs w:val="24"/>
                <w:color w:val="auto"/>
              </w:rPr>
            </w:pPr>
          </w:p>
        </w:tc>
        <w:tc>
          <w:tcPr>
            <w:tcW w:w="1100" w:type="dxa"/>
            <w:vAlign w:val="bottom"/>
            <w:tcBorders>
              <w:bottom w:val="single" w:sz="8" w:color="CCEEFF"/>
            </w:tcBorders>
            <w:shd w:val="clear" w:color="auto" w:fill="CCEEFF"/>
          </w:tcPr>
          <w:p>
            <w:pPr>
              <w:spacing w:after="0"/>
              <w:rPr>
                <w:sz w:val="24"/>
                <w:szCs w:val="24"/>
                <w:color w:val="auto"/>
              </w:rPr>
            </w:pPr>
          </w:p>
        </w:tc>
        <w:tc>
          <w:tcPr>
            <w:tcW w:w="620" w:type="dxa"/>
            <w:vAlign w:val="bottom"/>
            <w:tcBorders>
              <w:bottom w:val="single" w:sz="8" w:color="CCEEFF"/>
            </w:tcBorders>
            <w:shd w:val="clear" w:color="auto" w:fill="CCEEFF"/>
          </w:tcPr>
          <w:p>
            <w:pPr>
              <w:spacing w:after="0"/>
              <w:rPr>
                <w:sz w:val="24"/>
                <w:szCs w:val="24"/>
                <w:color w:val="auto"/>
              </w:rPr>
            </w:pPr>
          </w:p>
        </w:tc>
      </w:tr>
      <w:tr>
        <w:trPr>
          <w:trHeight w:val="263"/>
        </w:trPr>
        <w:tc>
          <w:tcPr>
            <w:tcW w:w="7880" w:type="dxa"/>
            <w:vAlign w:val="bottom"/>
            <w:tcBorders>
              <w:top w:val="single" w:sz="8" w:color="CCEEFF"/>
            </w:tcBorders>
            <w:gridSpan w:val="7"/>
          </w:tcPr>
          <w:p>
            <w:pPr>
              <w:ind w:left="40"/>
              <w:spacing w:after="0"/>
              <w:rPr>
                <w:sz w:val="20"/>
                <w:szCs w:val="20"/>
                <w:color w:val="auto"/>
              </w:rPr>
            </w:pPr>
            <w:r>
              <w:rPr>
                <w:rFonts w:ascii="Arial" w:cs="Arial" w:eastAsia="Arial" w:hAnsi="Arial"/>
                <w:sz w:val="18"/>
                <w:szCs w:val="18"/>
                <w:color w:val="auto"/>
              </w:rPr>
              <w:t>Net income – GAAP</w:t>
            </w:r>
          </w:p>
        </w:tc>
        <w:tc>
          <w:tcPr>
            <w:tcW w:w="1080" w:type="dxa"/>
            <w:vAlign w:val="bottom"/>
            <w:tcBorders>
              <w:top w:val="single" w:sz="8" w:color="CCEEFF"/>
            </w:tcBorders>
          </w:tcPr>
          <w:p>
            <w:pPr>
              <w:jc w:val="right"/>
              <w:ind w:right="874"/>
              <w:spacing w:after="0"/>
              <w:rPr>
                <w:sz w:val="20"/>
                <w:szCs w:val="20"/>
                <w:color w:val="auto"/>
              </w:rPr>
            </w:pPr>
            <w:r>
              <w:rPr>
                <w:rFonts w:ascii="Arial" w:cs="Arial" w:eastAsia="Arial" w:hAnsi="Arial"/>
                <w:sz w:val="18"/>
                <w:szCs w:val="18"/>
                <w:color w:val="auto"/>
                <w:w w:val="99"/>
              </w:rPr>
              <w:t>$</w:t>
            </w:r>
          </w:p>
        </w:tc>
        <w:tc>
          <w:tcPr>
            <w:tcW w:w="640" w:type="dxa"/>
            <w:vAlign w:val="bottom"/>
            <w:tcBorders>
              <w:top w:val="single" w:sz="8" w:color="CCEEFF"/>
            </w:tcBorders>
          </w:tcPr>
          <w:p>
            <w:pPr>
              <w:jc w:val="right"/>
              <w:ind w:right="31"/>
              <w:spacing w:after="0"/>
              <w:rPr>
                <w:sz w:val="20"/>
                <w:szCs w:val="20"/>
                <w:color w:val="auto"/>
              </w:rPr>
            </w:pPr>
            <w:r>
              <w:rPr>
                <w:rFonts w:ascii="Arial" w:cs="Arial" w:eastAsia="Arial" w:hAnsi="Arial"/>
                <w:sz w:val="18"/>
                <w:szCs w:val="18"/>
                <w:color w:val="auto"/>
              </w:rPr>
              <w:t>1,686</w:t>
            </w:r>
          </w:p>
        </w:tc>
        <w:tc>
          <w:tcPr>
            <w:tcW w:w="100" w:type="dxa"/>
            <w:vAlign w:val="bottom"/>
            <w:tcBorders>
              <w:top w:val="single" w:sz="8" w:color="CCEEFF"/>
            </w:tcBorders>
          </w:tcPr>
          <w:p>
            <w:pPr>
              <w:spacing w:after="0"/>
              <w:rPr>
                <w:sz w:val="22"/>
                <w:szCs w:val="22"/>
                <w:color w:val="auto"/>
              </w:rPr>
            </w:pPr>
          </w:p>
        </w:tc>
        <w:tc>
          <w:tcPr>
            <w:tcW w:w="1100" w:type="dxa"/>
            <w:vAlign w:val="bottom"/>
            <w:tcBorders>
              <w:top w:val="single" w:sz="8" w:color="CCEEFF"/>
            </w:tcBorders>
          </w:tcPr>
          <w:p>
            <w:pPr>
              <w:jc w:val="right"/>
              <w:ind w:right="873"/>
              <w:spacing w:after="0"/>
              <w:rPr>
                <w:sz w:val="20"/>
                <w:szCs w:val="20"/>
                <w:color w:val="auto"/>
              </w:rPr>
            </w:pPr>
            <w:r>
              <w:rPr>
                <w:rFonts w:ascii="Arial" w:cs="Arial" w:eastAsia="Arial" w:hAnsi="Arial"/>
                <w:sz w:val="18"/>
                <w:szCs w:val="18"/>
                <w:color w:val="auto"/>
              </w:rPr>
              <w:t>$</w:t>
            </w:r>
          </w:p>
        </w:tc>
        <w:tc>
          <w:tcPr>
            <w:tcW w:w="620" w:type="dxa"/>
            <w:vAlign w:val="bottom"/>
            <w:tcBorders>
              <w:top w:val="single" w:sz="8" w:color="CCEEFF"/>
            </w:tcBorders>
          </w:tcPr>
          <w:p>
            <w:pPr>
              <w:jc w:val="right"/>
              <w:ind w:right="10"/>
              <w:spacing w:after="0"/>
              <w:rPr>
                <w:sz w:val="20"/>
                <w:szCs w:val="20"/>
                <w:color w:val="auto"/>
              </w:rPr>
            </w:pPr>
            <w:r>
              <w:rPr>
                <w:rFonts w:ascii="Arial" w:cs="Arial" w:eastAsia="Arial" w:hAnsi="Arial"/>
                <w:sz w:val="18"/>
                <w:szCs w:val="18"/>
                <w:color w:val="auto"/>
              </w:rPr>
              <w:t>1,412</w:t>
            </w:r>
          </w:p>
        </w:tc>
      </w:tr>
      <w:tr>
        <w:trPr>
          <w:trHeight w:val="257"/>
        </w:trPr>
        <w:tc>
          <w:tcPr>
            <w:tcW w:w="4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spacing w:after="0"/>
              <w:rPr>
                <w:sz w:val="22"/>
                <w:szCs w:val="22"/>
                <w:color w:val="auto"/>
              </w:rPr>
            </w:pPr>
          </w:p>
        </w:tc>
        <w:tc>
          <w:tcPr>
            <w:tcW w:w="296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shd w:val="clear" w:color="auto" w:fill="CCEEFF"/>
              </w:rPr>
              <w:t>Adjusted for: Total special items, net</w:t>
            </w:r>
          </w:p>
        </w:tc>
        <w:tc>
          <w:tcPr>
            <w:tcW w:w="4740" w:type="dxa"/>
            <w:vAlign w:val="bottom"/>
            <w:tcBorders>
              <w:bottom w:val="single" w:sz="8" w:color="CCEEFF"/>
            </w:tcBorders>
            <w:gridSpan w:val="4"/>
            <w:shd w:val="clear" w:color="auto" w:fill="CCEEFF"/>
          </w:tcPr>
          <w:p>
            <w:pPr>
              <w:spacing w:after="0"/>
              <w:rPr>
                <w:sz w:val="22"/>
                <w:szCs w:val="22"/>
                <w:color w:val="auto"/>
              </w:rPr>
            </w:pPr>
          </w:p>
        </w:tc>
        <w:tc>
          <w:tcPr>
            <w:tcW w:w="1080" w:type="dxa"/>
            <w:vAlign w:val="bottom"/>
            <w:tcBorders>
              <w:bottom w:val="single" w:sz="8" w:color="CCEEFF"/>
            </w:tcBorders>
            <w:shd w:val="clear" w:color="auto" w:fill="CCEEFF"/>
          </w:tcPr>
          <w:p>
            <w:pPr>
              <w:spacing w:after="0"/>
              <w:rPr>
                <w:sz w:val="22"/>
                <w:szCs w:val="22"/>
                <w:color w:val="auto"/>
              </w:rPr>
            </w:pPr>
          </w:p>
        </w:tc>
        <w:tc>
          <w:tcPr>
            <w:tcW w:w="64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644</w:t>
            </w:r>
          </w:p>
        </w:tc>
        <w:tc>
          <w:tcPr>
            <w:tcW w:w="100" w:type="dxa"/>
            <w:vAlign w:val="bottom"/>
            <w:tcBorders>
              <w:bottom w:val="single" w:sz="8" w:color="CCEEFF"/>
            </w:tcBorders>
            <w:shd w:val="clear" w:color="auto" w:fill="CCEEFF"/>
          </w:tcPr>
          <w:p>
            <w:pPr>
              <w:spacing w:after="0"/>
              <w:rPr>
                <w:sz w:val="22"/>
                <w:szCs w:val="22"/>
                <w:color w:val="auto"/>
              </w:rPr>
            </w:pPr>
          </w:p>
        </w:tc>
        <w:tc>
          <w:tcPr>
            <w:tcW w:w="1100" w:type="dxa"/>
            <w:vAlign w:val="bottom"/>
            <w:tcBorders>
              <w:bottom w:val="single" w:sz="8" w:color="CCEEFF"/>
            </w:tcBorders>
            <w:shd w:val="clear" w:color="auto" w:fill="CCEEFF"/>
          </w:tcPr>
          <w:p>
            <w:pPr>
              <w:spacing w:after="0"/>
              <w:rPr>
                <w:sz w:val="22"/>
                <w:szCs w:val="22"/>
                <w:color w:val="auto"/>
              </w:rPr>
            </w:pPr>
          </w:p>
        </w:tc>
        <w:tc>
          <w:tcPr>
            <w:tcW w:w="6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924</w:t>
            </w:r>
          </w:p>
        </w:tc>
      </w:tr>
      <w:tr>
        <w:trPr>
          <w:trHeight w:val="264"/>
        </w:trPr>
        <w:tc>
          <w:tcPr>
            <w:tcW w:w="40" w:type="dxa"/>
            <w:vAlign w:val="bottom"/>
            <w:tcBorders>
              <w:bottom w:val="single" w:sz="8" w:color="CCEEFF"/>
            </w:tcBorders>
          </w:tcPr>
          <w:p>
            <w:pPr>
              <w:spacing w:after="0"/>
              <w:rPr>
                <w:sz w:val="22"/>
                <w:szCs w:val="22"/>
                <w:color w:val="auto"/>
              </w:rPr>
            </w:pPr>
          </w:p>
        </w:tc>
        <w:tc>
          <w:tcPr>
            <w:tcW w:w="140" w:type="dxa"/>
            <w:vAlign w:val="bottom"/>
            <w:tcBorders>
              <w:bottom w:val="single" w:sz="8" w:color="CCEEFF"/>
            </w:tcBorders>
          </w:tcPr>
          <w:p>
            <w:pPr>
              <w:spacing w:after="0"/>
              <w:rPr>
                <w:sz w:val="22"/>
                <w:szCs w:val="22"/>
                <w:color w:val="auto"/>
              </w:rPr>
            </w:pPr>
          </w:p>
        </w:tc>
        <w:tc>
          <w:tcPr>
            <w:tcW w:w="7700" w:type="dxa"/>
            <w:vAlign w:val="bottom"/>
            <w:tcBorders>
              <w:bottom w:val="single" w:sz="8" w:color="CCEEFF"/>
            </w:tcBorders>
            <w:gridSpan w:val="5"/>
          </w:tcPr>
          <w:p>
            <w:pPr>
              <w:spacing w:after="0"/>
              <w:rPr>
                <w:sz w:val="20"/>
                <w:szCs w:val="20"/>
                <w:color w:val="auto"/>
              </w:rPr>
            </w:pPr>
            <w:r>
              <w:rPr>
                <w:rFonts w:ascii="Arial" w:cs="Arial" w:eastAsia="Arial" w:hAnsi="Arial"/>
                <w:sz w:val="18"/>
                <w:szCs w:val="18"/>
                <w:color w:val="auto"/>
              </w:rPr>
              <w:t>Adjusted for: Net tax effect of net special items</w:t>
            </w:r>
          </w:p>
        </w:tc>
        <w:tc>
          <w:tcPr>
            <w:tcW w:w="1080" w:type="dxa"/>
            <w:vAlign w:val="bottom"/>
            <w:tcBorders>
              <w:bottom w:val="single" w:sz="8" w:color="auto"/>
            </w:tcBorders>
          </w:tcPr>
          <w:p>
            <w:pPr>
              <w:spacing w:after="0"/>
              <w:rPr>
                <w:sz w:val="22"/>
                <w:szCs w:val="22"/>
                <w:color w:val="auto"/>
              </w:rPr>
            </w:pP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(151)</w:t>
            </w:r>
          </w:p>
        </w:tc>
        <w:tc>
          <w:tcPr>
            <w:tcW w:w="100" w:type="dxa"/>
            <w:vAlign w:val="bottom"/>
            <w:tcBorders>
              <w:bottom w:val="single" w:sz="8" w:color="CCEEFF"/>
            </w:tcBorders>
          </w:tcPr>
          <w:p>
            <w:pPr>
              <w:spacing w:after="0"/>
              <w:rPr>
                <w:sz w:val="22"/>
                <w:szCs w:val="22"/>
                <w:color w:val="auto"/>
              </w:rPr>
            </w:pPr>
          </w:p>
        </w:tc>
        <w:tc>
          <w:tcPr>
            <w:tcW w:w="1100" w:type="dxa"/>
            <w:vAlign w:val="bottom"/>
            <w:tcBorders>
              <w:bottom w:val="single" w:sz="8" w:color="auto"/>
            </w:tcBorders>
          </w:tcPr>
          <w:p>
            <w:pPr>
              <w:spacing w:after="0"/>
              <w:rPr>
                <w:sz w:val="22"/>
                <w:szCs w:val="22"/>
                <w:color w:val="auto"/>
              </w:rPr>
            </w:pP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(219)</w:t>
            </w:r>
          </w:p>
        </w:tc>
      </w:tr>
      <w:tr>
        <w:trPr>
          <w:trHeight w:val="262"/>
        </w:trPr>
        <w:tc>
          <w:tcPr>
            <w:tcW w:w="40" w:type="dxa"/>
            <w:vAlign w:val="bottom"/>
            <w:tcBorders>
              <w:bottom w:val="single" w:sz="8" w:color="CCEEFF"/>
            </w:tcBorders>
            <w:shd w:val="clear" w:color="auto" w:fill="CCEEFF"/>
          </w:tcPr>
          <w:p>
            <w:pPr>
              <w:spacing w:after="0"/>
              <w:rPr>
                <w:sz w:val="22"/>
                <w:szCs w:val="22"/>
                <w:color w:val="auto"/>
              </w:rPr>
            </w:pPr>
          </w:p>
        </w:tc>
        <w:tc>
          <w:tcPr>
            <w:tcW w:w="3100" w:type="dxa"/>
            <w:vAlign w:val="bottom"/>
            <w:tcBorders>
              <w:bottom w:val="single" w:sz="8" w:color="CCEEFF"/>
            </w:tcBorders>
            <w:gridSpan w:val="2"/>
            <w:shd w:val="clear" w:color="auto" w:fill="CCEEFF"/>
          </w:tcPr>
          <w:p>
            <w:pPr>
              <w:spacing w:after="0"/>
              <w:rPr>
                <w:sz w:val="20"/>
                <w:szCs w:val="20"/>
                <w:color w:val="auto"/>
              </w:rPr>
            </w:pPr>
            <w:r>
              <w:rPr>
                <w:rFonts w:ascii="Arial" w:cs="Arial" w:eastAsia="Arial" w:hAnsi="Arial"/>
                <w:sz w:val="18"/>
                <w:szCs w:val="18"/>
                <w:color w:val="auto"/>
                <w:w w:val="98"/>
                <w:shd w:val="clear" w:color="auto" w:fill="CCEEFF"/>
              </w:rPr>
              <w:t>Net income excluding net special items</w:t>
            </w:r>
          </w:p>
        </w:tc>
        <w:tc>
          <w:tcPr>
            <w:tcW w:w="4740" w:type="dxa"/>
            <w:vAlign w:val="bottom"/>
            <w:tcBorders>
              <w:bottom w:val="single" w:sz="8" w:color="CCEEFF"/>
            </w:tcBorders>
            <w:gridSpan w:val="4"/>
            <w:shd w:val="clear" w:color="auto" w:fill="CCEEFF"/>
          </w:tcPr>
          <w:p>
            <w:pPr>
              <w:spacing w:after="0"/>
              <w:rPr>
                <w:sz w:val="22"/>
                <w:szCs w:val="22"/>
                <w:color w:val="auto"/>
              </w:rPr>
            </w:pPr>
          </w:p>
        </w:tc>
        <w:tc>
          <w:tcPr>
            <w:tcW w:w="1080" w:type="dxa"/>
            <w:vAlign w:val="bottom"/>
            <w:tcBorders>
              <w:bottom w:val="single" w:sz="8" w:color="CCEEFF"/>
            </w:tcBorders>
            <w:shd w:val="clear" w:color="auto" w:fill="CCEEFF"/>
          </w:tcPr>
          <w:p>
            <w:pPr>
              <w:jc w:val="right"/>
              <w:ind w:right="874"/>
              <w:spacing w:after="0"/>
              <w:rPr>
                <w:sz w:val="20"/>
                <w:szCs w:val="20"/>
                <w:color w:val="auto"/>
              </w:rPr>
            </w:pPr>
            <w:r>
              <w:rPr>
                <w:rFonts w:ascii="Arial" w:cs="Arial" w:eastAsia="Arial" w:hAnsi="Arial"/>
                <w:sz w:val="18"/>
                <w:szCs w:val="18"/>
                <w:color w:val="auto"/>
                <w:w w:val="99"/>
              </w:rPr>
              <w:t>$</w:t>
            </w:r>
          </w:p>
        </w:tc>
        <w:tc>
          <w:tcPr>
            <w:tcW w:w="64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2,179</w:t>
            </w:r>
          </w:p>
        </w:tc>
        <w:tc>
          <w:tcPr>
            <w:tcW w:w="100" w:type="dxa"/>
            <w:vAlign w:val="bottom"/>
            <w:tcBorders>
              <w:bottom w:val="single" w:sz="8" w:color="CCEEFF"/>
            </w:tcBorders>
            <w:shd w:val="clear" w:color="auto" w:fill="CCEEFF"/>
          </w:tcPr>
          <w:p>
            <w:pPr>
              <w:spacing w:after="0"/>
              <w:rPr>
                <w:sz w:val="22"/>
                <w:szCs w:val="22"/>
                <w:color w:val="auto"/>
              </w:rPr>
            </w:pPr>
          </w:p>
        </w:tc>
        <w:tc>
          <w:tcPr>
            <w:tcW w:w="1100" w:type="dxa"/>
            <w:vAlign w:val="bottom"/>
            <w:tcBorders>
              <w:bottom w:val="single" w:sz="8" w:color="CCEEFF"/>
            </w:tcBorders>
            <w:shd w:val="clear" w:color="auto" w:fill="CCEEFF"/>
          </w:tcPr>
          <w:p>
            <w:pPr>
              <w:jc w:val="right"/>
              <w:ind w:right="873"/>
              <w:spacing w:after="0"/>
              <w:rPr>
                <w:sz w:val="20"/>
                <w:szCs w:val="20"/>
                <w:color w:val="auto"/>
              </w:rPr>
            </w:pPr>
            <w:r>
              <w:rPr>
                <w:rFonts w:ascii="Arial" w:cs="Arial" w:eastAsia="Arial" w:hAnsi="Arial"/>
                <w:sz w:val="18"/>
                <w:szCs w:val="18"/>
                <w:color w:val="auto"/>
              </w:rPr>
              <w:t>$</w:t>
            </w:r>
          </w:p>
        </w:tc>
        <w:tc>
          <w:tcPr>
            <w:tcW w:w="6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2,117</w:t>
            </w:r>
          </w:p>
        </w:tc>
      </w:tr>
      <w:tr>
        <w:trPr>
          <w:trHeight w:val="20"/>
        </w:trPr>
        <w:tc>
          <w:tcPr>
            <w:tcW w:w="4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296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tcBorders>
          </w:tcPr>
          <w:p>
            <w:pPr>
              <w:spacing w:after="0" w:line="20" w:lineRule="exact"/>
              <w:rPr>
                <w:sz w:val="1"/>
                <w:szCs w:val="1"/>
                <w:color w:val="auto"/>
              </w:rPr>
            </w:pPr>
          </w:p>
        </w:tc>
        <w:tc>
          <w:tcPr>
            <w:tcW w:w="154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tcBorders>
          </w:tcPr>
          <w:p>
            <w:pPr>
              <w:spacing w:after="0" w:line="20" w:lineRule="exact"/>
              <w:rPr>
                <w:sz w:val="1"/>
                <w:szCs w:val="1"/>
                <w:color w:val="auto"/>
              </w:rPr>
            </w:pPr>
          </w:p>
        </w:tc>
        <w:tc>
          <w:tcPr>
            <w:tcW w:w="2500" w:type="dxa"/>
            <w:vAlign w:val="bottom"/>
            <w:tcBorders>
              <w:top w:val="single" w:sz="8" w:color="CCEEFF"/>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163195</wp:posOffset>
            </wp:positionV>
            <wp:extent cx="1337945" cy="889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1337945" cy="8890"/>
                    </a:xfrm>
                    <a:prstGeom prst="rect">
                      <a:avLst/>
                    </a:prstGeom>
                    <a:noFill/>
                  </pic:spPr>
                </pic:pic>
              </a:graphicData>
            </a:graphic>
          </wp:anchor>
        </w:drawing>
      </w:r>
    </w:p>
    <w:p>
      <w:pPr>
        <w:sectPr>
          <w:pgSz w:w="11900" w:h="16838" w:orient="portrait"/>
          <w:cols w:equalWidth="0" w:num="1">
            <w:col w:w="11420"/>
          </w:cols>
          <w:pgMar w:left="240" w:top="733" w:right="239" w:bottom="1440" w:gutter="0" w:footer="0" w:header="0"/>
        </w:sectPr>
      </w:pPr>
    </w:p>
    <w:p>
      <w:pPr>
        <w:spacing w:after="0" w:line="348" w:lineRule="exact"/>
        <w:rPr>
          <w:sz w:val="20"/>
          <w:szCs w:val="20"/>
          <w:color w:val="auto"/>
        </w:rPr>
      </w:pPr>
    </w:p>
    <w:p>
      <w:pPr>
        <w:spacing w:after="0"/>
        <w:rPr>
          <w:sz w:val="20"/>
          <w:szCs w:val="20"/>
          <w:color w:val="auto"/>
        </w:rPr>
      </w:pPr>
      <w:r>
        <w:rPr>
          <w:rFonts w:ascii="Arial" w:cs="Arial" w:eastAsia="Arial" w:hAnsi="Arial"/>
          <w:sz w:val="11"/>
          <w:szCs w:val="11"/>
          <w:color w:val="auto"/>
        </w:rPr>
        <w:t>(1)</w:t>
      </w:r>
    </w:p>
    <w:p>
      <w:pPr>
        <w:spacing w:after="0" w:line="252" w:lineRule="exact"/>
        <w:rPr>
          <w:sz w:val="20"/>
          <w:szCs w:val="20"/>
          <w:color w:val="auto"/>
        </w:rPr>
      </w:pPr>
    </w:p>
    <w:p>
      <w:pPr>
        <w:spacing w:after="0"/>
        <w:rPr>
          <w:sz w:val="20"/>
          <w:szCs w:val="20"/>
          <w:color w:val="auto"/>
        </w:rPr>
      </w:pPr>
      <w:r>
        <w:rPr>
          <w:rFonts w:ascii="Arial" w:cs="Arial" w:eastAsia="Arial" w:hAnsi="Arial"/>
          <w:sz w:val="11"/>
          <w:szCs w:val="11"/>
          <w:color w:val="auto"/>
        </w:rPr>
        <w:t>(2)</w:t>
      </w:r>
    </w:p>
    <w:p>
      <w:pPr>
        <w:spacing w:after="0" w:line="200" w:lineRule="exact"/>
        <w:rPr>
          <w:sz w:val="20"/>
          <w:szCs w:val="20"/>
          <w:color w:val="auto"/>
        </w:rPr>
      </w:pPr>
    </w:p>
    <w:p>
      <w:pPr>
        <w:spacing w:after="0" w:line="268" w:lineRule="exact"/>
        <w:rPr>
          <w:sz w:val="20"/>
          <w:szCs w:val="20"/>
          <w:color w:val="auto"/>
        </w:rPr>
      </w:pPr>
    </w:p>
    <w:p>
      <w:pPr>
        <w:spacing w:after="0"/>
        <w:rPr>
          <w:sz w:val="20"/>
          <w:szCs w:val="20"/>
          <w:color w:val="auto"/>
        </w:rPr>
      </w:pPr>
      <w:r>
        <w:rPr>
          <w:rFonts w:ascii="Arial" w:cs="Arial" w:eastAsia="Arial" w:hAnsi="Arial"/>
          <w:sz w:val="11"/>
          <w:szCs w:val="11"/>
          <w:color w:val="auto"/>
        </w:rPr>
        <w:t>(3)</w:t>
      </w:r>
    </w:p>
    <w:p>
      <w:pPr>
        <w:spacing w:after="0" w:line="20" w:lineRule="exact"/>
        <w:rPr>
          <w:sz w:val="20"/>
          <w:szCs w:val="20"/>
          <w:color w:val="auto"/>
        </w:rPr>
      </w:pPr>
      <w:r>
        <w:rPr>
          <w:sz w:val="20"/>
          <w:szCs w:val="20"/>
          <w:color w:val="auto"/>
        </w:rPr>
        <w:br w:type="column"/>
      </w:r>
    </w:p>
    <w:p>
      <w:pPr>
        <w:spacing w:after="0" w:line="330" w:lineRule="exact"/>
        <w:rPr>
          <w:sz w:val="20"/>
          <w:szCs w:val="20"/>
          <w:color w:val="auto"/>
        </w:rPr>
      </w:pPr>
    </w:p>
    <w:p>
      <w:pPr>
        <w:spacing w:after="0"/>
        <w:rPr>
          <w:sz w:val="20"/>
          <w:szCs w:val="20"/>
          <w:color w:val="auto"/>
        </w:rPr>
      </w:pPr>
      <w:r>
        <w:rPr>
          <w:rFonts w:ascii="Arial" w:cs="Arial" w:eastAsia="Arial" w:hAnsi="Arial"/>
          <w:sz w:val="18"/>
          <w:szCs w:val="18"/>
          <w:color w:val="auto"/>
        </w:rPr>
        <w:t>See Note 2 to AAG’s Consolidated Financial Statements in Part II, Item 8A for further information on net special items.</w:t>
      </w:r>
    </w:p>
    <w:p>
      <w:pPr>
        <w:spacing w:after="0" w:line="171" w:lineRule="exact"/>
        <w:rPr>
          <w:sz w:val="20"/>
          <w:szCs w:val="20"/>
          <w:color w:val="auto"/>
        </w:rPr>
      </w:pPr>
    </w:p>
    <w:p>
      <w:pPr>
        <w:ind w:left="640" w:right="20" w:hanging="647"/>
        <w:spacing w:after="0" w:line="262" w:lineRule="auto"/>
        <w:rPr>
          <w:sz w:val="20"/>
          <w:szCs w:val="20"/>
          <w:color w:val="auto"/>
        </w:rPr>
      </w:pPr>
      <w:r>
        <w:rPr>
          <w:rFonts w:ascii="Arial" w:cs="Arial" w:eastAsia="Arial" w:hAnsi="Arial"/>
          <w:sz w:val="18"/>
          <w:szCs w:val="18"/>
          <w:color w:val="auto"/>
        </w:rPr>
        <w:t>Fleet restructuring expenses principally included accelerated depreciation and rent expense for aircraft and related equipment grounded or expected to be grounded earlier than planned.</w:t>
      </w:r>
    </w:p>
    <w:p>
      <w:pPr>
        <w:spacing w:after="0" w:line="142" w:lineRule="exact"/>
        <w:rPr>
          <w:sz w:val="20"/>
          <w:szCs w:val="20"/>
          <w:color w:val="auto"/>
        </w:rPr>
      </w:pPr>
    </w:p>
    <w:p>
      <w:pPr>
        <w:jc w:val="center"/>
        <w:ind w:right="380"/>
        <w:spacing w:after="0"/>
        <w:rPr>
          <w:sz w:val="20"/>
          <w:szCs w:val="20"/>
          <w:color w:val="auto"/>
        </w:rPr>
      </w:pPr>
      <w:r>
        <w:rPr>
          <w:rFonts w:ascii="Arial" w:cs="Arial" w:eastAsia="Arial" w:hAnsi="Arial"/>
          <w:sz w:val="18"/>
          <w:szCs w:val="18"/>
          <w:color w:val="auto"/>
        </w:rPr>
        <w:t>Fleet impairment principally includes a non-cash write-down of aircraft related to the planned retirement of our Embraer E190 fleet.</w:t>
      </w:r>
    </w:p>
    <w:p>
      <w:pPr>
        <w:spacing w:after="0" w:line="225" w:lineRule="exact"/>
        <w:rPr>
          <w:sz w:val="20"/>
          <w:szCs w:val="20"/>
          <w:color w:val="auto"/>
        </w:rPr>
      </w:pPr>
    </w:p>
    <w:p>
      <w:pPr>
        <w:jc w:val="center"/>
        <w:ind w:right="640"/>
        <w:spacing w:after="0"/>
        <w:rPr>
          <w:sz w:val="20"/>
          <w:szCs w:val="20"/>
          <w:color w:val="auto"/>
        </w:rPr>
      </w:pPr>
      <w:r>
        <w:rPr>
          <w:rFonts w:ascii="Arial" w:cs="Arial" w:eastAsia="Arial" w:hAnsi="Arial"/>
          <w:sz w:val="18"/>
          <w:szCs w:val="18"/>
          <w:color w:val="auto"/>
        </w:rPr>
        <w:t>46</w:t>
      </w:r>
    </w:p>
    <w:p>
      <w:pPr>
        <w:sectPr>
          <w:pgSz w:w="11900" w:h="16838" w:orient="portrait"/>
          <w:cols w:equalWidth="0" w:num="2">
            <w:col w:w="140" w:space="520"/>
            <w:col w:w="10760"/>
          </w:cols>
          <w:pgMar w:left="240" w:top="733" w:right="239" w:bottom="1440" w:gutter="0" w:footer="0" w:header="0"/>
          <w:type w:val="continuous"/>
        </w:sectPr>
      </w:pPr>
    </w:p>
    <w:bookmarkStart w:id="46" w:name="page47"/>
    <w:bookmarkEnd w:id="46"/>
    <w:p>
      <w:pPr>
        <w:spacing w:after="0"/>
        <w:rPr>
          <w:sz w:val="20"/>
          <w:szCs w:val="20"/>
          <w:color w:val="auto"/>
        </w:rPr>
      </w:pPr>
      <w:r>
        <w:rPr>
          <w:rFonts w:ascii="Arial" w:cs="Arial" w:eastAsia="Arial" w:hAnsi="Arial"/>
          <w:sz w:val="11"/>
          <w:szCs w:val="11"/>
          <w:color w:val="auto"/>
        </w:rPr>
        <w:t>(4)</w:t>
      </w:r>
    </w:p>
    <w:p>
      <w:pPr>
        <w:spacing w:after="0" w:line="200" w:lineRule="exact"/>
        <w:rPr>
          <w:sz w:val="20"/>
          <w:szCs w:val="20"/>
          <w:color w:val="auto"/>
        </w:rPr>
      </w:pPr>
    </w:p>
    <w:p>
      <w:pPr>
        <w:spacing w:after="0" w:line="268" w:lineRule="exact"/>
        <w:rPr>
          <w:sz w:val="20"/>
          <w:szCs w:val="20"/>
          <w:color w:val="auto"/>
        </w:rPr>
      </w:pPr>
    </w:p>
    <w:p>
      <w:pPr>
        <w:spacing w:after="0"/>
        <w:rPr>
          <w:sz w:val="20"/>
          <w:szCs w:val="20"/>
          <w:color w:val="auto"/>
        </w:rPr>
      </w:pPr>
      <w:r>
        <w:rPr>
          <w:rFonts w:ascii="Arial" w:cs="Arial" w:eastAsia="Arial" w:hAnsi="Arial"/>
          <w:sz w:val="11"/>
          <w:szCs w:val="11"/>
          <w:color w:val="auto"/>
        </w:rPr>
        <w:t>(5)</w:t>
      </w:r>
    </w:p>
    <w:p>
      <w:pPr>
        <w:spacing w:after="0" w:line="252" w:lineRule="exact"/>
        <w:rPr>
          <w:sz w:val="20"/>
          <w:szCs w:val="20"/>
          <w:color w:val="auto"/>
        </w:rPr>
      </w:pPr>
    </w:p>
    <w:p>
      <w:pPr>
        <w:spacing w:after="0"/>
        <w:rPr>
          <w:sz w:val="20"/>
          <w:szCs w:val="20"/>
          <w:color w:val="auto"/>
        </w:rPr>
      </w:pPr>
      <w:r>
        <w:rPr>
          <w:rFonts w:ascii="Arial" w:cs="Arial" w:eastAsia="Arial" w:hAnsi="Arial"/>
          <w:sz w:val="11"/>
          <w:szCs w:val="11"/>
          <w:color w:val="auto"/>
        </w:rPr>
        <w:t>(6)</w:t>
      </w:r>
    </w:p>
    <w:p>
      <w:pPr>
        <w:spacing w:after="0" w:line="252" w:lineRule="exact"/>
        <w:rPr>
          <w:sz w:val="20"/>
          <w:szCs w:val="20"/>
          <w:color w:val="auto"/>
        </w:rPr>
      </w:pPr>
    </w:p>
    <w:p>
      <w:pPr>
        <w:spacing w:after="0"/>
        <w:rPr>
          <w:sz w:val="20"/>
          <w:szCs w:val="20"/>
          <w:color w:val="auto"/>
        </w:rPr>
      </w:pPr>
      <w:r>
        <w:rPr>
          <w:rFonts w:ascii="Arial" w:cs="Arial" w:eastAsia="Arial" w:hAnsi="Arial"/>
          <w:sz w:val="11"/>
          <w:szCs w:val="11"/>
          <w:color w:val="auto"/>
        </w:rPr>
        <w:t>(7)</w:t>
      </w:r>
    </w:p>
    <w:p>
      <w:pPr>
        <w:spacing w:after="0" w:line="200" w:lineRule="exact"/>
        <w:rPr>
          <w:sz w:val="20"/>
          <w:szCs w:val="20"/>
          <w:color w:val="auto"/>
        </w:rPr>
      </w:pPr>
    </w:p>
    <w:p>
      <w:pPr>
        <w:spacing w:after="0" w:line="268" w:lineRule="exact"/>
        <w:rPr>
          <w:sz w:val="20"/>
          <w:szCs w:val="20"/>
          <w:color w:val="auto"/>
        </w:rPr>
      </w:pPr>
    </w:p>
    <w:p>
      <w:pPr>
        <w:spacing w:after="0"/>
        <w:rPr>
          <w:sz w:val="20"/>
          <w:szCs w:val="20"/>
          <w:color w:val="auto"/>
        </w:rPr>
      </w:pPr>
      <w:r>
        <w:rPr>
          <w:rFonts w:ascii="Arial" w:cs="Arial" w:eastAsia="Arial" w:hAnsi="Arial"/>
          <w:sz w:val="11"/>
          <w:szCs w:val="11"/>
          <w:color w:val="auto"/>
        </w:rPr>
        <w:t>(8)</w:t>
      </w:r>
    </w:p>
    <w:p>
      <w:pPr>
        <w:spacing w:after="0" w:line="200" w:lineRule="exact"/>
        <w:rPr>
          <w:sz w:val="20"/>
          <w:szCs w:val="20"/>
          <w:color w:val="auto"/>
        </w:rPr>
      </w:pPr>
    </w:p>
    <w:p>
      <w:pPr>
        <w:spacing w:after="0" w:line="268" w:lineRule="exact"/>
        <w:rPr>
          <w:sz w:val="20"/>
          <w:szCs w:val="20"/>
          <w:color w:val="auto"/>
        </w:rPr>
      </w:pPr>
    </w:p>
    <w:p>
      <w:pPr>
        <w:spacing w:after="0"/>
        <w:rPr>
          <w:sz w:val="20"/>
          <w:szCs w:val="20"/>
          <w:color w:val="auto"/>
        </w:rPr>
      </w:pPr>
      <w:r>
        <w:rPr>
          <w:rFonts w:ascii="Arial" w:cs="Arial" w:eastAsia="Arial" w:hAnsi="Arial"/>
          <w:sz w:val="11"/>
          <w:szCs w:val="11"/>
          <w:color w:val="auto"/>
        </w:rPr>
        <w:t>(9)</w:t>
      </w:r>
    </w:p>
    <w:p>
      <w:pPr>
        <w:spacing w:after="0" w:line="20" w:lineRule="exact"/>
        <w:rPr>
          <w:sz w:val="20"/>
          <w:szCs w:val="20"/>
          <w:color w:val="auto"/>
        </w:rPr>
      </w:pPr>
      <w:r>
        <w:rPr>
          <w:sz w:val="20"/>
          <w:szCs w:val="20"/>
          <w:color w:val="auto"/>
        </w:rPr>
        <w:br w:type="column"/>
      </w:r>
    </w:p>
    <w:p>
      <w:pPr>
        <w:ind w:left="640" w:hanging="647"/>
        <w:spacing w:after="0" w:line="262" w:lineRule="auto"/>
        <w:rPr>
          <w:sz w:val="20"/>
          <w:szCs w:val="20"/>
          <w:color w:val="auto"/>
        </w:rPr>
      </w:pPr>
      <w:r>
        <w:rPr>
          <w:rFonts w:ascii="Arial" w:cs="Arial" w:eastAsia="Arial" w:hAnsi="Arial"/>
          <w:sz w:val="18"/>
          <w:szCs w:val="18"/>
          <w:color w:val="auto"/>
        </w:rPr>
        <w:t>Merger integration expenses included costs associated with integration projects, principally our technical operations, flight attendant, human resources and payroll systems.</w:t>
      </w:r>
    </w:p>
    <w:p>
      <w:pPr>
        <w:spacing w:after="0" w:line="142" w:lineRule="exact"/>
        <w:rPr>
          <w:sz w:val="20"/>
          <w:szCs w:val="20"/>
          <w:color w:val="auto"/>
        </w:rPr>
      </w:pPr>
    </w:p>
    <w:p>
      <w:pPr>
        <w:spacing w:after="0"/>
        <w:rPr>
          <w:sz w:val="20"/>
          <w:szCs w:val="20"/>
          <w:color w:val="auto"/>
        </w:rPr>
      </w:pPr>
      <w:r>
        <w:rPr>
          <w:rFonts w:ascii="Arial" w:cs="Arial" w:eastAsia="Arial" w:hAnsi="Arial"/>
          <w:sz w:val="18"/>
          <w:szCs w:val="18"/>
          <w:color w:val="auto"/>
        </w:rPr>
        <w:t>Bankruptcy obligations that will be settled in shares of our common stock are marked-to-market based on our stock price.</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color w:val="auto"/>
        </w:rPr>
        <w:t>Severance expenses primarily included costs associated with reductions of management and support staff team members.</w:t>
      </w:r>
    </w:p>
    <w:p>
      <w:pPr>
        <w:spacing w:after="0" w:line="171" w:lineRule="exact"/>
        <w:rPr>
          <w:sz w:val="20"/>
          <w:szCs w:val="20"/>
          <w:color w:val="auto"/>
        </w:rPr>
      </w:pPr>
    </w:p>
    <w:p>
      <w:pPr>
        <w:ind w:left="640" w:hanging="647"/>
        <w:spacing w:after="0" w:line="262" w:lineRule="auto"/>
        <w:rPr>
          <w:sz w:val="20"/>
          <w:szCs w:val="20"/>
          <w:color w:val="auto"/>
        </w:rPr>
      </w:pPr>
      <w:r>
        <w:rPr>
          <w:rFonts w:ascii="Arial" w:cs="Arial" w:eastAsia="Arial" w:hAnsi="Arial"/>
          <w:sz w:val="18"/>
          <w:szCs w:val="18"/>
          <w:color w:val="auto"/>
        </w:rPr>
        <w:t>Intangible asset impairment includes a non-cash charge to write-off our Brazil route authority as a result of the U.S.-Brazil open skies agreement.</w:t>
      </w:r>
    </w:p>
    <w:p>
      <w:pPr>
        <w:spacing w:after="0" w:line="142" w:lineRule="exact"/>
        <w:rPr>
          <w:sz w:val="20"/>
          <w:szCs w:val="20"/>
          <w:color w:val="auto"/>
        </w:rPr>
      </w:pPr>
    </w:p>
    <w:p>
      <w:pPr>
        <w:ind w:left="640" w:hanging="647"/>
        <w:spacing w:after="0" w:line="262" w:lineRule="auto"/>
        <w:rPr>
          <w:sz w:val="20"/>
          <w:szCs w:val="20"/>
          <w:color w:val="auto"/>
        </w:rPr>
      </w:pPr>
      <w:r>
        <w:rPr>
          <w:rFonts w:ascii="Arial" w:cs="Arial" w:eastAsia="Arial" w:hAnsi="Arial"/>
          <w:sz w:val="18"/>
          <w:szCs w:val="18"/>
          <w:color w:val="auto"/>
        </w:rPr>
        <w:t>Mark-to-market adjustments on equity and other investments, net primarily relates to net unrealized gains and losses associated with our equity investment in China Southern Airlines.</w:t>
      </w:r>
    </w:p>
    <w:p>
      <w:pPr>
        <w:spacing w:after="0" w:line="142" w:lineRule="exact"/>
        <w:rPr>
          <w:sz w:val="20"/>
          <w:szCs w:val="20"/>
          <w:color w:val="auto"/>
        </w:rPr>
      </w:pPr>
    </w:p>
    <w:p>
      <w:pPr>
        <w:spacing w:after="0"/>
        <w:rPr>
          <w:sz w:val="20"/>
          <w:szCs w:val="20"/>
          <w:color w:val="auto"/>
        </w:rPr>
      </w:pPr>
      <w:r>
        <w:rPr>
          <w:rFonts w:ascii="Arial" w:cs="Arial" w:eastAsia="Arial" w:hAnsi="Arial"/>
          <w:sz w:val="18"/>
          <w:szCs w:val="18"/>
          <w:color w:val="auto"/>
        </w:rPr>
        <w:t>Income tax special items, net for 2018 included an $18 million charge related to an international income tax matter.</w:t>
      </w:r>
    </w:p>
    <w:p>
      <w:pPr>
        <w:spacing w:after="0" w:line="171" w:lineRule="exact"/>
        <w:rPr>
          <w:sz w:val="20"/>
          <w:szCs w:val="20"/>
          <w:color w:val="auto"/>
        </w:rPr>
      </w:pPr>
    </w:p>
    <w:p>
      <w:pPr>
        <w:sectPr>
          <w:pgSz w:w="11900" w:h="16838" w:orient="portrait"/>
          <w:cols w:equalWidth="0" w:num="2">
            <w:col w:w="140" w:space="520"/>
            <w:col w:w="10760"/>
          </w:cols>
          <w:pgMar w:left="240" w:top="731" w:right="239" w:bottom="1440" w:gutter="0" w:footer="0" w:header="0"/>
        </w:sectPr>
      </w:pPr>
    </w:p>
    <w:p>
      <w:pPr>
        <w:jc w:val="both"/>
        <w:ind w:firstLine="216"/>
        <w:spacing w:after="0" w:line="253" w:lineRule="auto"/>
        <w:rPr>
          <w:sz w:val="20"/>
          <w:szCs w:val="20"/>
          <w:color w:val="auto"/>
        </w:rPr>
      </w:pPr>
      <w:r>
        <w:rPr>
          <w:rFonts w:ascii="Arial" w:cs="Arial" w:eastAsia="Arial" w:hAnsi="Arial"/>
          <w:sz w:val="18"/>
          <w:szCs w:val="18"/>
          <w:color w:val="auto"/>
        </w:rPr>
        <w:t>Additionally, the table below presents the reconciliation of total operating expenses (GAAP measure) to total operating costs excluding net special items and fuel (non-GAAP measure). Management uses total operating costs excluding net special items and fuel to evaluate our current operating performance and for period-to-period comparisons. The price of fuel, over which we have no control, impacts the comparability of period-to-period financial performance. The adjustment to exclude aircraft fuel and net special items allows management an additional tool to understand and analyze our non-fuel costs and core operating performance. Amounts may not recalculate due to rounding.</w:t>
      </w:r>
    </w:p>
    <w:p>
      <w:pPr>
        <w:spacing w:after="0" w:line="301" w:lineRule="exact"/>
        <w:rPr>
          <w:sz w:val="20"/>
          <w:szCs w:val="20"/>
          <w:color w:val="auto"/>
        </w:rPr>
      </w:pPr>
    </w:p>
    <w:p>
      <w:pPr>
        <w:ind w:left="8780"/>
        <w:spacing w:after="0"/>
        <w:rPr>
          <w:sz w:val="20"/>
          <w:szCs w:val="20"/>
          <w:color w:val="auto"/>
        </w:rPr>
      </w:pPr>
      <w:r>
        <w:rPr>
          <w:rFonts w:ascii="Arial" w:cs="Arial" w:eastAsia="Arial" w:hAnsi="Arial"/>
          <w:sz w:val="14"/>
          <w:szCs w:val="14"/>
          <w:b w:val="1"/>
          <w:bCs w:val="1"/>
          <w:color w:val="auto"/>
        </w:rPr>
        <w:t>Year Ended December 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5005070</wp:posOffset>
            </wp:positionH>
            <wp:positionV relativeFrom="paragraph">
              <wp:posOffset>26035</wp:posOffset>
            </wp:positionV>
            <wp:extent cx="2246630" cy="889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2246630" cy="8890"/>
                    </a:xfrm>
                    <a:prstGeom prst="rect">
                      <a:avLst/>
                    </a:prstGeom>
                    <a:noFill/>
                  </pic:spPr>
                </pic:pic>
              </a:graphicData>
            </a:graphic>
          </wp:anchor>
        </w:drawing>
      </w:r>
    </w:p>
    <w:p>
      <w:pPr>
        <w:spacing w:after="0" w:line="103" w:lineRule="exact"/>
        <w:rPr>
          <w:sz w:val="20"/>
          <w:szCs w:val="20"/>
          <w:color w:val="auto"/>
        </w:rPr>
      </w:pPr>
    </w:p>
    <w:tbl>
      <w:tblPr>
        <w:tblLayout w:type="fixed"/>
        <w:tblInd w:w="0" w:type="dxa"/>
        <w:tblCellMar>
          <w:top w:w="0" w:type="dxa"/>
          <w:left w:w="0" w:type="dxa"/>
          <w:bottom w:w="0" w:type="dxa"/>
          <w:right w:w="0" w:type="dxa"/>
        </w:tblCellMar>
      </w:tblPr>
      <w:tr>
        <w:trPr>
          <w:trHeight w:val="196"/>
        </w:trPr>
        <w:tc>
          <w:tcPr>
            <w:tcW w:w="40" w:type="dxa"/>
            <w:vAlign w:val="bottom"/>
            <w:tcBorders>
              <w:bottom w:val="single" w:sz="8" w:color="CCEEFF"/>
            </w:tcBorders>
          </w:tcPr>
          <w:p>
            <w:pPr>
              <w:spacing w:after="0"/>
              <w:rPr>
                <w:sz w:val="17"/>
                <w:szCs w:val="17"/>
                <w:color w:val="auto"/>
              </w:rPr>
            </w:pPr>
          </w:p>
        </w:tc>
        <w:tc>
          <w:tcPr>
            <w:tcW w:w="4340" w:type="dxa"/>
            <w:vAlign w:val="bottom"/>
            <w:tcBorders>
              <w:bottom w:val="single" w:sz="8" w:color="CCEEFF"/>
            </w:tcBorders>
          </w:tcPr>
          <w:p>
            <w:pPr>
              <w:spacing w:after="0"/>
              <w:rPr>
                <w:sz w:val="17"/>
                <w:szCs w:val="17"/>
                <w:color w:val="auto"/>
              </w:rPr>
            </w:pPr>
          </w:p>
        </w:tc>
        <w:tc>
          <w:tcPr>
            <w:tcW w:w="3500" w:type="dxa"/>
            <w:vAlign w:val="bottom"/>
            <w:tcBorders>
              <w:bottom w:val="single" w:sz="8" w:color="CCEEFF"/>
            </w:tcBorders>
          </w:tcPr>
          <w:p>
            <w:pPr>
              <w:spacing w:after="0"/>
              <w:rPr>
                <w:sz w:val="17"/>
                <w:szCs w:val="17"/>
                <w:color w:val="auto"/>
              </w:rPr>
            </w:pPr>
          </w:p>
        </w:tc>
        <w:tc>
          <w:tcPr>
            <w:tcW w:w="420" w:type="dxa"/>
            <w:vAlign w:val="bottom"/>
            <w:tcBorders>
              <w:bottom w:val="single" w:sz="8" w:color="auto"/>
            </w:tcBorders>
          </w:tcPr>
          <w:p>
            <w:pPr>
              <w:spacing w:after="0"/>
              <w:rPr>
                <w:sz w:val="17"/>
                <w:szCs w:val="17"/>
                <w:color w:val="auto"/>
              </w:rPr>
            </w:pPr>
          </w:p>
        </w:tc>
        <w:tc>
          <w:tcPr>
            <w:tcW w:w="1300" w:type="dxa"/>
            <w:vAlign w:val="bottom"/>
            <w:tcBorders>
              <w:bottom w:val="single" w:sz="8" w:color="auto"/>
            </w:tcBorders>
          </w:tcPr>
          <w:p>
            <w:pPr>
              <w:jc w:val="right"/>
              <w:ind w:right="611"/>
              <w:spacing w:after="0"/>
              <w:rPr>
                <w:sz w:val="20"/>
                <w:szCs w:val="20"/>
                <w:color w:val="auto"/>
              </w:rPr>
            </w:pPr>
            <w:r>
              <w:rPr>
                <w:rFonts w:ascii="Arial" w:cs="Arial" w:eastAsia="Arial" w:hAnsi="Arial"/>
                <w:sz w:val="14"/>
                <w:szCs w:val="14"/>
                <w:b w:val="1"/>
                <w:bCs w:val="1"/>
                <w:color w:val="auto"/>
              </w:rPr>
              <w:t>2019</w:t>
            </w:r>
          </w:p>
        </w:tc>
        <w:tc>
          <w:tcPr>
            <w:tcW w:w="100" w:type="dxa"/>
            <w:vAlign w:val="bottom"/>
            <w:tcBorders>
              <w:bottom w:val="single" w:sz="8" w:color="CCEEFF"/>
            </w:tcBorders>
          </w:tcPr>
          <w:p>
            <w:pPr>
              <w:spacing w:after="0"/>
              <w:rPr>
                <w:sz w:val="17"/>
                <w:szCs w:val="17"/>
                <w:color w:val="auto"/>
              </w:rPr>
            </w:pPr>
          </w:p>
        </w:tc>
        <w:tc>
          <w:tcPr>
            <w:tcW w:w="420" w:type="dxa"/>
            <w:vAlign w:val="bottom"/>
            <w:tcBorders>
              <w:bottom w:val="single" w:sz="8" w:color="auto"/>
            </w:tcBorders>
          </w:tcPr>
          <w:p>
            <w:pPr>
              <w:spacing w:after="0"/>
              <w:rPr>
                <w:sz w:val="17"/>
                <w:szCs w:val="17"/>
                <w:color w:val="auto"/>
              </w:rPr>
            </w:pPr>
          </w:p>
        </w:tc>
        <w:tc>
          <w:tcPr>
            <w:tcW w:w="1300" w:type="dxa"/>
            <w:vAlign w:val="bottom"/>
            <w:tcBorders>
              <w:bottom w:val="single" w:sz="8" w:color="auto"/>
            </w:tcBorders>
          </w:tcPr>
          <w:p>
            <w:pPr>
              <w:jc w:val="right"/>
              <w:ind w:right="611"/>
              <w:spacing w:after="0"/>
              <w:rPr>
                <w:sz w:val="20"/>
                <w:szCs w:val="20"/>
                <w:color w:val="auto"/>
              </w:rPr>
            </w:pPr>
            <w:r>
              <w:rPr>
                <w:rFonts w:ascii="Arial" w:cs="Arial" w:eastAsia="Arial" w:hAnsi="Arial"/>
                <w:sz w:val="14"/>
                <w:szCs w:val="14"/>
                <w:b w:val="1"/>
                <w:bCs w:val="1"/>
                <w:color w:val="auto"/>
              </w:rPr>
              <w:t>2018</w:t>
            </w:r>
          </w:p>
        </w:tc>
      </w:tr>
      <w:tr>
        <w:trPr>
          <w:trHeight w:val="193"/>
        </w:trPr>
        <w:tc>
          <w:tcPr>
            <w:tcW w:w="7880" w:type="dxa"/>
            <w:vAlign w:val="bottom"/>
            <w:gridSpan w:val="3"/>
            <w:shd w:val="clear" w:color="auto" w:fill="CCEEFF"/>
          </w:tcPr>
          <w:p>
            <w:pPr>
              <w:ind w:left="40"/>
              <w:spacing w:after="0" w:line="193" w:lineRule="exact"/>
              <w:rPr>
                <w:sz w:val="20"/>
                <w:szCs w:val="20"/>
                <w:color w:val="auto"/>
              </w:rPr>
            </w:pPr>
            <w:r>
              <w:rPr>
                <w:rFonts w:ascii="Arial" w:cs="Arial" w:eastAsia="Arial" w:hAnsi="Arial"/>
                <w:sz w:val="18"/>
                <w:szCs w:val="18"/>
                <w:b w:val="1"/>
                <w:bCs w:val="1"/>
                <w:color w:val="auto"/>
              </w:rPr>
              <w:t>Reconciliation of Total Operating Costs per Available Seat</w:t>
            </w:r>
          </w:p>
        </w:tc>
        <w:tc>
          <w:tcPr>
            <w:tcW w:w="420" w:type="dxa"/>
            <w:vAlign w:val="bottom"/>
            <w:shd w:val="clear" w:color="auto" w:fill="CCEEFF"/>
          </w:tcPr>
          <w:p>
            <w:pPr>
              <w:spacing w:after="0"/>
              <w:rPr>
                <w:sz w:val="16"/>
                <w:szCs w:val="16"/>
                <w:color w:val="auto"/>
              </w:rPr>
            </w:pPr>
          </w:p>
        </w:tc>
        <w:tc>
          <w:tcPr>
            <w:tcW w:w="13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420" w:type="dxa"/>
            <w:vAlign w:val="bottom"/>
            <w:shd w:val="clear" w:color="auto" w:fill="CCEEFF"/>
          </w:tcPr>
          <w:p>
            <w:pPr>
              <w:spacing w:after="0"/>
              <w:rPr>
                <w:sz w:val="16"/>
                <w:szCs w:val="16"/>
                <w:color w:val="auto"/>
              </w:rPr>
            </w:pPr>
          </w:p>
        </w:tc>
        <w:tc>
          <w:tcPr>
            <w:tcW w:w="1300" w:type="dxa"/>
            <w:vAlign w:val="bottom"/>
            <w:shd w:val="clear" w:color="auto" w:fill="CCEEFF"/>
          </w:tcPr>
          <w:p>
            <w:pPr>
              <w:spacing w:after="0"/>
              <w:rPr>
                <w:sz w:val="16"/>
                <w:szCs w:val="16"/>
                <w:color w:val="auto"/>
              </w:rPr>
            </w:pPr>
          </w:p>
        </w:tc>
      </w:tr>
      <w:tr>
        <w:trPr>
          <w:trHeight w:val="198"/>
        </w:trPr>
        <w:tc>
          <w:tcPr>
            <w:tcW w:w="7880" w:type="dxa"/>
            <w:vAlign w:val="bottom"/>
            <w:gridSpan w:val="3"/>
            <w:shd w:val="clear" w:color="auto" w:fill="CCEEFF"/>
          </w:tcPr>
          <w:p>
            <w:pPr>
              <w:ind w:left="40"/>
              <w:spacing w:after="0" w:line="199" w:lineRule="exact"/>
              <w:rPr>
                <w:sz w:val="20"/>
                <w:szCs w:val="20"/>
                <w:color w:val="auto"/>
              </w:rPr>
            </w:pPr>
            <w:r>
              <w:rPr>
                <w:rFonts w:ascii="Arial" w:cs="Arial" w:eastAsia="Arial" w:hAnsi="Arial"/>
                <w:sz w:val="18"/>
                <w:szCs w:val="18"/>
                <w:b w:val="1"/>
                <w:bCs w:val="1"/>
                <w:color w:val="auto"/>
              </w:rPr>
              <w:t>Mile (CASM) Excluding Net Special Items and Fuel:</w:t>
            </w:r>
          </w:p>
        </w:tc>
        <w:tc>
          <w:tcPr>
            <w:tcW w:w="420" w:type="dxa"/>
            <w:vAlign w:val="bottom"/>
            <w:shd w:val="clear" w:color="auto" w:fill="CCEEFF"/>
          </w:tcPr>
          <w:p>
            <w:pPr>
              <w:spacing w:after="0"/>
              <w:rPr>
                <w:sz w:val="17"/>
                <w:szCs w:val="17"/>
                <w:color w:val="auto"/>
              </w:rPr>
            </w:pPr>
          </w:p>
        </w:tc>
        <w:tc>
          <w:tcPr>
            <w:tcW w:w="13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420" w:type="dxa"/>
            <w:vAlign w:val="bottom"/>
            <w:shd w:val="clear" w:color="auto" w:fill="CCEEFF"/>
          </w:tcPr>
          <w:p>
            <w:pPr>
              <w:spacing w:after="0"/>
              <w:rPr>
                <w:sz w:val="17"/>
                <w:szCs w:val="17"/>
                <w:color w:val="auto"/>
              </w:rPr>
            </w:pPr>
          </w:p>
        </w:tc>
        <w:tc>
          <w:tcPr>
            <w:tcW w:w="1300" w:type="dxa"/>
            <w:vAlign w:val="bottom"/>
            <w:shd w:val="clear" w:color="auto" w:fill="CCEEFF"/>
          </w:tcPr>
          <w:p>
            <w:pPr>
              <w:spacing w:after="0"/>
              <w:rPr>
                <w:sz w:val="17"/>
                <w:szCs w:val="17"/>
                <w:color w:val="auto"/>
              </w:rPr>
            </w:pPr>
          </w:p>
        </w:tc>
      </w:tr>
      <w:tr>
        <w:trPr>
          <w:trHeight w:val="34"/>
        </w:trPr>
        <w:tc>
          <w:tcPr>
            <w:tcW w:w="40" w:type="dxa"/>
            <w:vAlign w:val="bottom"/>
            <w:tcBorders>
              <w:top w:val="single" w:sz="8" w:color="CCEEFF"/>
            </w:tcBorders>
            <w:shd w:val="clear" w:color="auto" w:fill="CCEEFF"/>
          </w:tcPr>
          <w:p>
            <w:pPr>
              <w:spacing w:after="0"/>
              <w:rPr>
                <w:sz w:val="2"/>
                <w:szCs w:val="2"/>
                <w:color w:val="auto"/>
              </w:rPr>
            </w:pPr>
          </w:p>
        </w:tc>
        <w:tc>
          <w:tcPr>
            <w:tcW w:w="4340" w:type="dxa"/>
            <w:vAlign w:val="bottom"/>
            <w:tcBorders>
              <w:top w:val="single" w:sz="8" w:color="auto"/>
            </w:tcBorders>
            <w:shd w:val="clear" w:color="auto" w:fill="CCEEFF"/>
          </w:tcPr>
          <w:p>
            <w:pPr>
              <w:spacing w:after="0"/>
              <w:rPr>
                <w:sz w:val="2"/>
                <w:szCs w:val="2"/>
                <w:color w:val="auto"/>
              </w:rPr>
            </w:pPr>
          </w:p>
        </w:tc>
        <w:tc>
          <w:tcPr>
            <w:tcW w:w="3500" w:type="dxa"/>
            <w:vAlign w:val="bottom"/>
            <w:tcBorders>
              <w:top w:val="single" w:sz="8" w:color="CCEEFF"/>
            </w:tcBorders>
            <w:shd w:val="clear" w:color="auto" w:fill="CCEEFF"/>
          </w:tcPr>
          <w:p>
            <w:pPr>
              <w:spacing w:after="0"/>
              <w:rPr>
                <w:sz w:val="2"/>
                <w:szCs w:val="2"/>
                <w:color w:val="auto"/>
              </w:rPr>
            </w:pPr>
          </w:p>
        </w:tc>
        <w:tc>
          <w:tcPr>
            <w:tcW w:w="420" w:type="dxa"/>
            <w:vAlign w:val="bottom"/>
            <w:tcBorders>
              <w:top w:val="single" w:sz="8" w:color="CCEEFF"/>
            </w:tcBorders>
            <w:shd w:val="clear" w:color="auto" w:fill="CCEEFF"/>
          </w:tcPr>
          <w:p>
            <w:pPr>
              <w:spacing w:after="0"/>
              <w:rPr>
                <w:sz w:val="2"/>
                <w:szCs w:val="2"/>
                <w:color w:val="auto"/>
              </w:rPr>
            </w:pPr>
          </w:p>
        </w:tc>
        <w:tc>
          <w:tcPr>
            <w:tcW w:w="1300" w:type="dxa"/>
            <w:vAlign w:val="bottom"/>
            <w:tcBorders>
              <w:top w:val="single" w:sz="8" w:color="CCEEFF"/>
            </w:tcBorders>
            <w:shd w:val="clear" w:color="auto" w:fill="CCEEFF"/>
          </w:tcPr>
          <w:p>
            <w:pPr>
              <w:spacing w:after="0"/>
              <w:rPr>
                <w:sz w:val="2"/>
                <w:szCs w:val="2"/>
                <w:color w:val="auto"/>
              </w:rPr>
            </w:pPr>
          </w:p>
        </w:tc>
        <w:tc>
          <w:tcPr>
            <w:tcW w:w="100" w:type="dxa"/>
            <w:vAlign w:val="bottom"/>
            <w:tcBorders>
              <w:top w:val="single" w:sz="8" w:color="CCEEFF"/>
            </w:tcBorders>
            <w:shd w:val="clear" w:color="auto" w:fill="CCEEFF"/>
          </w:tcPr>
          <w:p>
            <w:pPr>
              <w:spacing w:after="0"/>
              <w:rPr>
                <w:sz w:val="2"/>
                <w:szCs w:val="2"/>
                <w:color w:val="auto"/>
              </w:rPr>
            </w:pPr>
          </w:p>
        </w:tc>
        <w:tc>
          <w:tcPr>
            <w:tcW w:w="420" w:type="dxa"/>
            <w:vAlign w:val="bottom"/>
            <w:tcBorders>
              <w:top w:val="single" w:sz="8" w:color="CCEEFF"/>
            </w:tcBorders>
            <w:shd w:val="clear" w:color="auto" w:fill="CCEEFF"/>
          </w:tcPr>
          <w:p>
            <w:pPr>
              <w:spacing w:after="0"/>
              <w:rPr>
                <w:sz w:val="2"/>
                <w:szCs w:val="2"/>
                <w:color w:val="auto"/>
              </w:rPr>
            </w:pPr>
          </w:p>
        </w:tc>
        <w:tc>
          <w:tcPr>
            <w:tcW w:w="1300" w:type="dxa"/>
            <w:vAlign w:val="bottom"/>
            <w:tcBorders>
              <w:top w:val="single" w:sz="8" w:color="CCEEFF"/>
            </w:tcBorders>
            <w:shd w:val="clear" w:color="auto" w:fill="CCEEFF"/>
          </w:tcPr>
          <w:p>
            <w:pPr>
              <w:spacing w:after="0"/>
              <w:rPr>
                <w:sz w:val="2"/>
                <w:szCs w:val="2"/>
                <w:color w:val="auto"/>
              </w:rPr>
            </w:pPr>
          </w:p>
        </w:tc>
      </w:tr>
      <w:tr>
        <w:trPr>
          <w:trHeight w:val="204"/>
        </w:trPr>
        <w:tc>
          <w:tcPr>
            <w:tcW w:w="7880" w:type="dxa"/>
            <w:vAlign w:val="bottom"/>
            <w:gridSpan w:val="3"/>
          </w:tcPr>
          <w:p>
            <w:pPr>
              <w:ind w:left="40"/>
              <w:spacing w:after="0"/>
              <w:rPr>
                <w:sz w:val="20"/>
                <w:szCs w:val="20"/>
                <w:color w:val="auto"/>
              </w:rPr>
            </w:pPr>
            <w:r>
              <w:rPr>
                <w:rFonts w:ascii="Arial" w:cs="Arial" w:eastAsia="Arial" w:hAnsi="Arial"/>
                <w:sz w:val="14"/>
                <w:szCs w:val="14"/>
                <w:b w:val="1"/>
                <w:bCs w:val="1"/>
                <w:color w:val="auto"/>
              </w:rPr>
              <w:t>(In millions)</w:t>
            </w:r>
          </w:p>
        </w:tc>
        <w:tc>
          <w:tcPr>
            <w:tcW w:w="420" w:type="dxa"/>
            <w:vAlign w:val="bottom"/>
          </w:tcPr>
          <w:p>
            <w:pPr>
              <w:spacing w:after="0"/>
              <w:rPr>
                <w:sz w:val="17"/>
                <w:szCs w:val="17"/>
                <w:color w:val="auto"/>
              </w:rPr>
            </w:pPr>
          </w:p>
        </w:tc>
        <w:tc>
          <w:tcPr>
            <w:tcW w:w="13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1300" w:type="dxa"/>
            <w:vAlign w:val="bottom"/>
          </w:tcPr>
          <w:p>
            <w:pPr>
              <w:spacing w:after="0"/>
              <w:rPr>
                <w:sz w:val="17"/>
                <w:szCs w:val="17"/>
                <w:color w:val="auto"/>
              </w:rPr>
            </w:pPr>
          </w:p>
        </w:tc>
      </w:tr>
      <w:tr>
        <w:trPr>
          <w:trHeight w:val="66"/>
        </w:trPr>
        <w:tc>
          <w:tcPr>
            <w:tcW w:w="40" w:type="dxa"/>
            <w:vAlign w:val="bottom"/>
          </w:tcPr>
          <w:p>
            <w:pPr>
              <w:spacing w:after="0"/>
              <w:rPr>
                <w:sz w:val="5"/>
                <w:szCs w:val="5"/>
                <w:color w:val="auto"/>
              </w:rPr>
            </w:pPr>
          </w:p>
        </w:tc>
        <w:tc>
          <w:tcPr>
            <w:tcW w:w="4340" w:type="dxa"/>
            <w:vAlign w:val="bottom"/>
          </w:tcPr>
          <w:p>
            <w:pPr>
              <w:spacing w:after="0"/>
              <w:rPr>
                <w:sz w:val="5"/>
                <w:szCs w:val="5"/>
                <w:color w:val="auto"/>
              </w:rPr>
            </w:pPr>
          </w:p>
        </w:tc>
        <w:tc>
          <w:tcPr>
            <w:tcW w:w="3500" w:type="dxa"/>
            <w:vAlign w:val="bottom"/>
          </w:tcPr>
          <w:p>
            <w:pPr>
              <w:spacing w:after="0"/>
              <w:rPr>
                <w:sz w:val="5"/>
                <w:szCs w:val="5"/>
                <w:color w:val="auto"/>
              </w:rPr>
            </w:pPr>
          </w:p>
        </w:tc>
        <w:tc>
          <w:tcPr>
            <w:tcW w:w="420" w:type="dxa"/>
            <w:vAlign w:val="bottom"/>
          </w:tcPr>
          <w:p>
            <w:pPr>
              <w:spacing w:after="0"/>
              <w:rPr>
                <w:sz w:val="5"/>
                <w:szCs w:val="5"/>
                <w:color w:val="auto"/>
              </w:rPr>
            </w:pPr>
          </w:p>
        </w:tc>
        <w:tc>
          <w:tcPr>
            <w:tcW w:w="1300" w:type="dxa"/>
            <w:vAlign w:val="bottom"/>
          </w:tcPr>
          <w:p>
            <w:pPr>
              <w:spacing w:after="0"/>
              <w:rPr>
                <w:sz w:val="5"/>
                <w:szCs w:val="5"/>
                <w:color w:val="auto"/>
              </w:rPr>
            </w:pPr>
          </w:p>
        </w:tc>
        <w:tc>
          <w:tcPr>
            <w:tcW w:w="100" w:type="dxa"/>
            <w:vAlign w:val="bottom"/>
          </w:tcPr>
          <w:p>
            <w:pPr>
              <w:spacing w:after="0"/>
              <w:rPr>
                <w:sz w:val="5"/>
                <w:szCs w:val="5"/>
                <w:color w:val="auto"/>
              </w:rPr>
            </w:pPr>
          </w:p>
        </w:tc>
        <w:tc>
          <w:tcPr>
            <w:tcW w:w="420" w:type="dxa"/>
            <w:vAlign w:val="bottom"/>
          </w:tcPr>
          <w:p>
            <w:pPr>
              <w:spacing w:after="0"/>
              <w:rPr>
                <w:sz w:val="5"/>
                <w:szCs w:val="5"/>
                <w:color w:val="auto"/>
              </w:rPr>
            </w:pPr>
          </w:p>
        </w:tc>
        <w:tc>
          <w:tcPr>
            <w:tcW w:w="1300" w:type="dxa"/>
            <w:vAlign w:val="bottom"/>
          </w:tcPr>
          <w:p>
            <w:pPr>
              <w:spacing w:after="0"/>
              <w:rPr>
                <w:sz w:val="5"/>
                <w:szCs w:val="5"/>
                <w:color w:val="auto"/>
              </w:rPr>
            </w:pPr>
          </w:p>
        </w:tc>
      </w:tr>
      <w:tr>
        <w:trPr>
          <w:trHeight w:val="270"/>
        </w:trPr>
        <w:tc>
          <w:tcPr>
            <w:tcW w:w="7880" w:type="dxa"/>
            <w:vAlign w:val="bottom"/>
            <w:gridSpan w:val="3"/>
            <w:shd w:val="clear" w:color="auto" w:fill="CCEEFF"/>
          </w:tcPr>
          <w:p>
            <w:pPr>
              <w:ind w:left="40"/>
              <w:spacing w:after="0"/>
              <w:rPr>
                <w:sz w:val="20"/>
                <w:szCs w:val="20"/>
                <w:color w:val="auto"/>
              </w:rPr>
            </w:pPr>
            <w:r>
              <w:rPr>
                <w:rFonts w:ascii="Arial" w:cs="Arial" w:eastAsia="Arial" w:hAnsi="Arial"/>
                <w:sz w:val="18"/>
                <w:szCs w:val="18"/>
                <w:color w:val="auto"/>
              </w:rPr>
              <w:t>Total operating expenses - GAAP</w:t>
            </w:r>
          </w:p>
        </w:tc>
        <w:tc>
          <w:tcPr>
            <w:tcW w:w="420" w:type="dxa"/>
            <w:vAlign w:val="bottom"/>
            <w:shd w:val="clear" w:color="auto" w:fill="CCEEFF"/>
          </w:tcPr>
          <w:p>
            <w:pPr>
              <w:jc w:val="right"/>
              <w:ind w:right="210"/>
              <w:spacing w:after="0"/>
              <w:rPr>
                <w:sz w:val="20"/>
                <w:szCs w:val="20"/>
                <w:color w:val="auto"/>
              </w:rPr>
            </w:pPr>
            <w:r>
              <w:rPr>
                <w:rFonts w:ascii="Arial" w:cs="Arial" w:eastAsia="Arial" w:hAnsi="Arial"/>
                <w:sz w:val="18"/>
                <w:szCs w:val="18"/>
                <w:color w:val="auto"/>
                <w:w w:val="99"/>
              </w:rPr>
              <w:t>$</w:t>
            </w:r>
          </w:p>
        </w:tc>
        <w:tc>
          <w:tcPr>
            <w:tcW w:w="1300" w:type="dxa"/>
            <w:vAlign w:val="bottom"/>
            <w:shd w:val="clear" w:color="auto" w:fill="CCEEFF"/>
          </w:tcPr>
          <w:p>
            <w:pPr>
              <w:jc w:val="right"/>
              <w:ind w:right="31"/>
              <w:spacing w:after="0"/>
              <w:rPr>
                <w:sz w:val="20"/>
                <w:szCs w:val="20"/>
                <w:color w:val="auto"/>
              </w:rPr>
            </w:pPr>
            <w:r>
              <w:rPr>
                <w:rFonts w:ascii="Arial" w:cs="Arial" w:eastAsia="Arial" w:hAnsi="Arial"/>
                <w:sz w:val="18"/>
                <w:szCs w:val="18"/>
                <w:color w:val="auto"/>
              </w:rPr>
              <w:t>42,703</w:t>
            </w:r>
          </w:p>
        </w:tc>
        <w:tc>
          <w:tcPr>
            <w:tcW w:w="100" w:type="dxa"/>
            <w:vAlign w:val="bottom"/>
            <w:shd w:val="clear" w:color="auto" w:fill="CCEEFF"/>
          </w:tcPr>
          <w:p>
            <w:pPr>
              <w:spacing w:after="0"/>
              <w:rPr>
                <w:sz w:val="23"/>
                <w:szCs w:val="23"/>
                <w:color w:val="auto"/>
              </w:rPr>
            </w:pPr>
          </w:p>
        </w:tc>
        <w:tc>
          <w:tcPr>
            <w:tcW w:w="420" w:type="dxa"/>
            <w:vAlign w:val="bottom"/>
            <w:shd w:val="clear" w:color="auto" w:fill="CCEEFF"/>
          </w:tcPr>
          <w:p>
            <w:pPr>
              <w:jc w:val="right"/>
              <w:ind w:right="190"/>
              <w:spacing w:after="0"/>
              <w:rPr>
                <w:sz w:val="20"/>
                <w:szCs w:val="20"/>
                <w:color w:val="auto"/>
              </w:rPr>
            </w:pPr>
            <w:r>
              <w:rPr>
                <w:rFonts w:ascii="Arial" w:cs="Arial" w:eastAsia="Arial" w:hAnsi="Arial"/>
                <w:sz w:val="18"/>
                <w:szCs w:val="18"/>
                <w:color w:val="auto"/>
              </w:rPr>
              <w:t>$</w:t>
            </w:r>
          </w:p>
        </w:tc>
        <w:tc>
          <w:tcPr>
            <w:tcW w:w="130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41,885</w:t>
            </w:r>
          </w:p>
        </w:tc>
      </w:tr>
      <w:tr>
        <w:trPr>
          <w:trHeight w:val="270"/>
        </w:trPr>
        <w:tc>
          <w:tcPr>
            <w:tcW w:w="7880" w:type="dxa"/>
            <w:vAlign w:val="bottom"/>
            <w:gridSpan w:val="3"/>
          </w:tcPr>
          <w:p>
            <w:pPr>
              <w:ind w:left="40"/>
              <w:spacing w:after="0"/>
              <w:rPr>
                <w:sz w:val="20"/>
                <w:szCs w:val="20"/>
                <w:color w:val="auto"/>
              </w:rPr>
            </w:pPr>
            <w:r>
              <w:rPr>
                <w:rFonts w:ascii="Arial" w:cs="Arial" w:eastAsia="Arial" w:hAnsi="Arial"/>
                <w:sz w:val="18"/>
                <w:szCs w:val="18"/>
                <w:color w:val="auto"/>
              </w:rPr>
              <w:t xml:space="preserve">Operating net special items </w:t>
            </w:r>
            <w:r>
              <w:rPr>
                <w:rFonts w:ascii="Arial" w:cs="Arial" w:eastAsia="Arial" w:hAnsi="Arial"/>
                <w:sz w:val="21"/>
                <w:szCs w:val="21"/>
                <w:color w:val="auto"/>
                <w:vertAlign w:val="superscript"/>
              </w:rPr>
              <w:t>(1)</w:t>
            </w:r>
            <w:r>
              <w:rPr>
                <w:rFonts w:ascii="Arial" w:cs="Arial" w:eastAsia="Arial" w:hAnsi="Arial"/>
                <w:sz w:val="18"/>
                <w:szCs w:val="18"/>
                <w:color w:val="auto"/>
              </w:rPr>
              <w:t>:</w:t>
            </w:r>
          </w:p>
        </w:tc>
        <w:tc>
          <w:tcPr>
            <w:tcW w:w="420" w:type="dxa"/>
            <w:vAlign w:val="bottom"/>
          </w:tcPr>
          <w:p>
            <w:pPr>
              <w:spacing w:after="0"/>
              <w:rPr>
                <w:sz w:val="23"/>
                <w:szCs w:val="23"/>
                <w:color w:val="auto"/>
              </w:rPr>
            </w:pPr>
          </w:p>
        </w:tc>
        <w:tc>
          <w:tcPr>
            <w:tcW w:w="13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420" w:type="dxa"/>
            <w:vAlign w:val="bottom"/>
          </w:tcPr>
          <w:p>
            <w:pPr>
              <w:spacing w:after="0"/>
              <w:rPr>
                <w:sz w:val="23"/>
                <w:szCs w:val="23"/>
                <w:color w:val="auto"/>
              </w:rPr>
            </w:pPr>
          </w:p>
        </w:tc>
        <w:tc>
          <w:tcPr>
            <w:tcW w:w="1300" w:type="dxa"/>
            <w:vAlign w:val="bottom"/>
          </w:tcPr>
          <w:p>
            <w:pPr>
              <w:spacing w:after="0"/>
              <w:rPr>
                <w:sz w:val="23"/>
                <w:szCs w:val="23"/>
                <w:color w:val="auto"/>
              </w:rPr>
            </w:pPr>
          </w:p>
        </w:tc>
      </w:tr>
      <w:tr>
        <w:trPr>
          <w:trHeight w:val="270"/>
        </w:trPr>
        <w:tc>
          <w:tcPr>
            <w:tcW w:w="40" w:type="dxa"/>
            <w:vAlign w:val="bottom"/>
            <w:shd w:val="clear" w:color="auto" w:fill="CCEEFF"/>
          </w:tcPr>
          <w:p>
            <w:pPr>
              <w:spacing w:after="0"/>
              <w:rPr>
                <w:sz w:val="23"/>
                <w:szCs w:val="23"/>
                <w:color w:val="auto"/>
              </w:rPr>
            </w:pPr>
          </w:p>
        </w:tc>
        <w:tc>
          <w:tcPr>
            <w:tcW w:w="7840" w:type="dxa"/>
            <w:vAlign w:val="bottom"/>
            <w:gridSpan w:val="2"/>
            <w:shd w:val="clear" w:color="auto" w:fill="CCEEFF"/>
          </w:tcPr>
          <w:p>
            <w:pPr>
              <w:ind w:left="340"/>
              <w:spacing w:after="0"/>
              <w:rPr>
                <w:sz w:val="20"/>
                <w:szCs w:val="20"/>
                <w:color w:val="auto"/>
              </w:rPr>
            </w:pPr>
            <w:r>
              <w:rPr>
                <w:rFonts w:ascii="Arial" w:cs="Arial" w:eastAsia="Arial" w:hAnsi="Arial"/>
                <w:sz w:val="18"/>
                <w:szCs w:val="18"/>
                <w:color w:val="auto"/>
              </w:rPr>
              <w:t>Mainline operating special items, net</w:t>
            </w:r>
          </w:p>
        </w:tc>
        <w:tc>
          <w:tcPr>
            <w:tcW w:w="420" w:type="dxa"/>
            <w:vAlign w:val="bottom"/>
            <w:shd w:val="clear" w:color="auto" w:fill="CCEEFF"/>
          </w:tcPr>
          <w:p>
            <w:pPr>
              <w:spacing w:after="0"/>
              <w:rPr>
                <w:sz w:val="23"/>
                <w:szCs w:val="23"/>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(635)</w:t>
            </w:r>
          </w:p>
        </w:tc>
        <w:tc>
          <w:tcPr>
            <w:tcW w:w="100" w:type="dxa"/>
            <w:vAlign w:val="bottom"/>
            <w:shd w:val="clear" w:color="auto" w:fill="CCEEFF"/>
          </w:tcPr>
          <w:p>
            <w:pPr>
              <w:spacing w:after="0"/>
              <w:rPr>
                <w:sz w:val="23"/>
                <w:szCs w:val="23"/>
                <w:color w:val="auto"/>
              </w:rPr>
            </w:pPr>
          </w:p>
        </w:tc>
        <w:tc>
          <w:tcPr>
            <w:tcW w:w="420" w:type="dxa"/>
            <w:vAlign w:val="bottom"/>
            <w:shd w:val="clear" w:color="auto" w:fill="CCEEFF"/>
          </w:tcPr>
          <w:p>
            <w:pPr>
              <w:spacing w:after="0"/>
              <w:rPr>
                <w:sz w:val="23"/>
                <w:szCs w:val="23"/>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(787)</w:t>
            </w:r>
          </w:p>
        </w:tc>
      </w:tr>
      <w:tr>
        <w:trPr>
          <w:trHeight w:val="263"/>
        </w:trPr>
        <w:tc>
          <w:tcPr>
            <w:tcW w:w="40" w:type="dxa"/>
            <w:vAlign w:val="bottom"/>
          </w:tcPr>
          <w:p>
            <w:pPr>
              <w:spacing w:after="0"/>
              <w:rPr>
                <w:sz w:val="22"/>
                <w:szCs w:val="22"/>
                <w:color w:val="auto"/>
              </w:rPr>
            </w:pPr>
          </w:p>
        </w:tc>
        <w:tc>
          <w:tcPr>
            <w:tcW w:w="7840" w:type="dxa"/>
            <w:vAlign w:val="bottom"/>
            <w:gridSpan w:val="2"/>
          </w:tcPr>
          <w:p>
            <w:pPr>
              <w:ind w:left="340"/>
              <w:spacing w:after="0"/>
              <w:rPr>
                <w:sz w:val="20"/>
                <w:szCs w:val="20"/>
                <w:color w:val="auto"/>
              </w:rPr>
            </w:pPr>
            <w:r>
              <w:rPr>
                <w:rFonts w:ascii="Arial" w:cs="Arial" w:eastAsia="Arial" w:hAnsi="Arial"/>
                <w:sz w:val="18"/>
                <w:szCs w:val="18"/>
                <w:color w:val="auto"/>
              </w:rPr>
              <w:t>Regional operating special items, net</w:t>
            </w:r>
          </w:p>
        </w:tc>
        <w:tc>
          <w:tcPr>
            <w:tcW w:w="420" w:type="dxa"/>
            <w:vAlign w:val="bottom"/>
          </w:tcPr>
          <w:p>
            <w:pPr>
              <w:spacing w:after="0"/>
              <w:rPr>
                <w:sz w:val="22"/>
                <w:szCs w:val="22"/>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(6)</w:t>
            </w:r>
          </w:p>
        </w:tc>
        <w:tc>
          <w:tcPr>
            <w:tcW w:w="100" w:type="dxa"/>
            <w:vAlign w:val="bottom"/>
          </w:tcPr>
          <w:p>
            <w:pPr>
              <w:spacing w:after="0"/>
              <w:rPr>
                <w:sz w:val="22"/>
                <w:szCs w:val="22"/>
                <w:color w:val="auto"/>
              </w:rPr>
            </w:pPr>
          </w:p>
        </w:tc>
        <w:tc>
          <w:tcPr>
            <w:tcW w:w="420" w:type="dxa"/>
            <w:vAlign w:val="bottom"/>
          </w:tcPr>
          <w:p>
            <w:pPr>
              <w:spacing w:after="0"/>
              <w:rPr>
                <w:sz w:val="22"/>
                <w:szCs w:val="22"/>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(6)</w:t>
            </w:r>
          </w:p>
        </w:tc>
      </w:tr>
      <w:tr>
        <w:trPr>
          <w:trHeight w:val="257"/>
        </w:trPr>
        <w:tc>
          <w:tcPr>
            <w:tcW w:w="788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8"/>
                <w:szCs w:val="18"/>
                <w:color w:val="auto"/>
              </w:rPr>
              <w:t>Fuel:</w:t>
            </w:r>
          </w:p>
        </w:tc>
        <w:tc>
          <w:tcPr>
            <w:tcW w:w="420" w:type="dxa"/>
            <w:vAlign w:val="bottom"/>
            <w:tcBorders>
              <w:bottom w:val="single" w:sz="8" w:color="CCEEFF"/>
            </w:tcBorders>
            <w:shd w:val="clear" w:color="auto" w:fill="CCEEFF"/>
          </w:tcPr>
          <w:p>
            <w:pPr>
              <w:spacing w:after="0"/>
              <w:rPr>
                <w:sz w:val="22"/>
                <w:szCs w:val="22"/>
                <w:color w:val="auto"/>
              </w:rPr>
            </w:pPr>
          </w:p>
        </w:tc>
        <w:tc>
          <w:tcPr>
            <w:tcW w:w="130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420" w:type="dxa"/>
            <w:vAlign w:val="bottom"/>
            <w:tcBorders>
              <w:bottom w:val="single" w:sz="8" w:color="CCEEFF"/>
            </w:tcBorders>
            <w:shd w:val="clear" w:color="auto" w:fill="CCEEFF"/>
          </w:tcPr>
          <w:p>
            <w:pPr>
              <w:spacing w:after="0"/>
              <w:rPr>
                <w:sz w:val="22"/>
                <w:szCs w:val="22"/>
                <w:color w:val="auto"/>
              </w:rPr>
            </w:pPr>
          </w:p>
        </w:tc>
        <w:tc>
          <w:tcPr>
            <w:tcW w:w="1300" w:type="dxa"/>
            <w:vAlign w:val="bottom"/>
            <w:tcBorders>
              <w:bottom w:val="single" w:sz="8" w:color="CCEEFF"/>
            </w:tcBorders>
            <w:shd w:val="clear" w:color="auto" w:fill="CCEEFF"/>
          </w:tcPr>
          <w:p>
            <w:pPr>
              <w:spacing w:after="0"/>
              <w:rPr>
                <w:sz w:val="22"/>
                <w:szCs w:val="22"/>
                <w:color w:val="auto"/>
              </w:rPr>
            </w:pPr>
          </w:p>
        </w:tc>
      </w:tr>
      <w:tr>
        <w:trPr>
          <w:trHeight w:val="263"/>
        </w:trPr>
        <w:tc>
          <w:tcPr>
            <w:tcW w:w="40" w:type="dxa"/>
            <w:vAlign w:val="bottom"/>
          </w:tcPr>
          <w:p>
            <w:pPr>
              <w:spacing w:after="0"/>
              <w:rPr>
                <w:sz w:val="22"/>
                <w:szCs w:val="22"/>
                <w:color w:val="auto"/>
              </w:rPr>
            </w:pPr>
          </w:p>
        </w:tc>
        <w:tc>
          <w:tcPr>
            <w:tcW w:w="7840" w:type="dxa"/>
            <w:vAlign w:val="bottom"/>
            <w:gridSpan w:val="2"/>
          </w:tcPr>
          <w:p>
            <w:pPr>
              <w:ind w:left="340"/>
              <w:spacing w:after="0"/>
              <w:rPr>
                <w:sz w:val="20"/>
                <w:szCs w:val="20"/>
                <w:color w:val="auto"/>
              </w:rPr>
            </w:pPr>
            <w:r>
              <w:rPr>
                <w:rFonts w:ascii="Arial" w:cs="Arial" w:eastAsia="Arial" w:hAnsi="Arial"/>
                <w:sz w:val="18"/>
                <w:szCs w:val="18"/>
                <w:color w:val="auto"/>
              </w:rPr>
              <w:t>Aircraft fuel and related taxes - mainline</w:t>
            </w:r>
          </w:p>
        </w:tc>
        <w:tc>
          <w:tcPr>
            <w:tcW w:w="420" w:type="dxa"/>
            <w:vAlign w:val="bottom"/>
          </w:tcPr>
          <w:p>
            <w:pPr>
              <w:spacing w:after="0"/>
              <w:rPr>
                <w:sz w:val="22"/>
                <w:szCs w:val="22"/>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(7,526)</w:t>
            </w:r>
          </w:p>
        </w:tc>
        <w:tc>
          <w:tcPr>
            <w:tcW w:w="100" w:type="dxa"/>
            <w:vAlign w:val="bottom"/>
          </w:tcPr>
          <w:p>
            <w:pPr>
              <w:spacing w:after="0"/>
              <w:rPr>
                <w:sz w:val="22"/>
                <w:szCs w:val="22"/>
                <w:color w:val="auto"/>
              </w:rPr>
            </w:pPr>
          </w:p>
        </w:tc>
        <w:tc>
          <w:tcPr>
            <w:tcW w:w="420" w:type="dxa"/>
            <w:vAlign w:val="bottom"/>
          </w:tcPr>
          <w:p>
            <w:pPr>
              <w:spacing w:after="0"/>
              <w:rPr>
                <w:sz w:val="22"/>
                <w:szCs w:val="22"/>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(8,053)</w:t>
            </w:r>
          </w:p>
        </w:tc>
      </w:tr>
      <w:tr>
        <w:trPr>
          <w:trHeight w:val="277"/>
        </w:trPr>
        <w:tc>
          <w:tcPr>
            <w:tcW w:w="40" w:type="dxa"/>
            <w:vAlign w:val="bottom"/>
            <w:shd w:val="clear" w:color="auto" w:fill="CCEEFF"/>
          </w:tcPr>
          <w:p>
            <w:pPr>
              <w:spacing w:after="0"/>
              <w:rPr>
                <w:sz w:val="24"/>
                <w:szCs w:val="24"/>
                <w:color w:val="auto"/>
              </w:rPr>
            </w:pPr>
          </w:p>
        </w:tc>
        <w:tc>
          <w:tcPr>
            <w:tcW w:w="7840" w:type="dxa"/>
            <w:vAlign w:val="bottom"/>
            <w:gridSpan w:val="2"/>
            <w:shd w:val="clear" w:color="auto" w:fill="CCEEFF"/>
          </w:tcPr>
          <w:p>
            <w:pPr>
              <w:ind w:left="340"/>
              <w:spacing w:after="0"/>
              <w:rPr>
                <w:sz w:val="20"/>
                <w:szCs w:val="20"/>
                <w:color w:val="auto"/>
              </w:rPr>
            </w:pPr>
            <w:r>
              <w:rPr>
                <w:rFonts w:ascii="Arial" w:cs="Arial" w:eastAsia="Arial" w:hAnsi="Arial"/>
                <w:sz w:val="18"/>
                <w:szCs w:val="18"/>
                <w:color w:val="auto"/>
              </w:rPr>
              <w:t>Aircraft fuel and related taxes - regional</w:t>
            </w:r>
          </w:p>
        </w:tc>
        <w:tc>
          <w:tcPr>
            <w:tcW w:w="420" w:type="dxa"/>
            <w:vAlign w:val="bottom"/>
            <w:tcBorders>
              <w:bottom w:val="single" w:sz="8" w:color="auto"/>
            </w:tcBorders>
            <w:shd w:val="clear" w:color="auto" w:fill="CCEEFF"/>
          </w:tcPr>
          <w:p>
            <w:pPr>
              <w:spacing w:after="0"/>
              <w:rPr>
                <w:sz w:val="24"/>
                <w:szCs w:val="24"/>
                <w:color w:val="auto"/>
              </w:rPr>
            </w:pPr>
          </w:p>
        </w:tc>
        <w:tc>
          <w:tcPr>
            <w:tcW w:w="13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(1,869)</w:t>
            </w:r>
          </w:p>
        </w:tc>
        <w:tc>
          <w:tcPr>
            <w:tcW w:w="100" w:type="dxa"/>
            <w:vAlign w:val="bottom"/>
            <w:shd w:val="clear" w:color="auto" w:fill="CCEEFF"/>
          </w:tcPr>
          <w:p>
            <w:pPr>
              <w:spacing w:after="0"/>
              <w:rPr>
                <w:sz w:val="24"/>
                <w:szCs w:val="24"/>
                <w:color w:val="auto"/>
              </w:rPr>
            </w:pPr>
          </w:p>
        </w:tc>
        <w:tc>
          <w:tcPr>
            <w:tcW w:w="420" w:type="dxa"/>
            <w:vAlign w:val="bottom"/>
            <w:tcBorders>
              <w:bottom w:val="single" w:sz="8" w:color="auto"/>
            </w:tcBorders>
            <w:shd w:val="clear" w:color="auto" w:fill="CCEEFF"/>
          </w:tcPr>
          <w:p>
            <w:pPr>
              <w:spacing w:after="0"/>
              <w:rPr>
                <w:sz w:val="24"/>
                <w:szCs w:val="24"/>
                <w:color w:val="auto"/>
              </w:rPr>
            </w:pPr>
          </w:p>
        </w:tc>
        <w:tc>
          <w:tcPr>
            <w:tcW w:w="13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(1,843)</w:t>
            </w:r>
          </w:p>
        </w:tc>
      </w:tr>
      <w:tr>
        <w:trPr>
          <w:trHeight w:val="284"/>
        </w:trPr>
        <w:tc>
          <w:tcPr>
            <w:tcW w:w="7880" w:type="dxa"/>
            <w:vAlign w:val="bottom"/>
            <w:tcBorders>
              <w:bottom w:val="single" w:sz="8" w:color="CCEEFF"/>
            </w:tcBorders>
            <w:gridSpan w:val="3"/>
          </w:tcPr>
          <w:p>
            <w:pPr>
              <w:ind w:left="40"/>
              <w:spacing w:after="0"/>
              <w:rPr>
                <w:sz w:val="20"/>
                <w:szCs w:val="20"/>
                <w:color w:val="auto"/>
              </w:rPr>
            </w:pPr>
            <w:r>
              <w:rPr>
                <w:rFonts w:ascii="Arial" w:cs="Arial" w:eastAsia="Arial" w:hAnsi="Arial"/>
                <w:sz w:val="18"/>
                <w:szCs w:val="18"/>
                <w:color w:val="auto"/>
              </w:rPr>
              <w:t>Total operating expenses, excluding net special items and fuel</w:t>
            </w:r>
          </w:p>
        </w:tc>
        <w:tc>
          <w:tcPr>
            <w:tcW w:w="420" w:type="dxa"/>
            <w:vAlign w:val="bottom"/>
            <w:tcBorders>
              <w:bottom w:val="single" w:sz="8" w:color="auto"/>
            </w:tcBorders>
          </w:tcPr>
          <w:p>
            <w:pPr>
              <w:jc w:val="right"/>
              <w:ind w:right="210"/>
              <w:spacing w:after="0"/>
              <w:rPr>
                <w:sz w:val="20"/>
                <w:szCs w:val="20"/>
                <w:color w:val="auto"/>
              </w:rPr>
            </w:pPr>
            <w:r>
              <w:rPr>
                <w:rFonts w:ascii="Arial" w:cs="Arial" w:eastAsia="Arial" w:hAnsi="Arial"/>
                <w:sz w:val="18"/>
                <w:szCs w:val="18"/>
                <w:color w:val="auto"/>
                <w:w w:val="99"/>
              </w:rPr>
              <w:t>$</w:t>
            </w:r>
          </w:p>
        </w:tc>
        <w:tc>
          <w:tcPr>
            <w:tcW w:w="1300" w:type="dxa"/>
            <w:vAlign w:val="bottom"/>
            <w:tcBorders>
              <w:bottom w:val="single" w:sz="8" w:color="auto"/>
            </w:tcBorders>
          </w:tcPr>
          <w:p>
            <w:pPr>
              <w:jc w:val="right"/>
              <w:ind w:right="31"/>
              <w:spacing w:after="0"/>
              <w:rPr>
                <w:sz w:val="20"/>
                <w:szCs w:val="20"/>
                <w:color w:val="auto"/>
              </w:rPr>
            </w:pPr>
            <w:r>
              <w:rPr>
                <w:rFonts w:ascii="Arial" w:cs="Arial" w:eastAsia="Arial" w:hAnsi="Arial"/>
                <w:sz w:val="18"/>
                <w:szCs w:val="18"/>
                <w:color w:val="auto"/>
              </w:rPr>
              <w:t>32,667</w:t>
            </w:r>
          </w:p>
        </w:tc>
        <w:tc>
          <w:tcPr>
            <w:tcW w:w="100" w:type="dxa"/>
            <w:vAlign w:val="bottom"/>
            <w:tcBorders>
              <w:bottom w:val="single" w:sz="8" w:color="CCEEFF"/>
            </w:tcBorders>
          </w:tcPr>
          <w:p>
            <w:pPr>
              <w:spacing w:after="0"/>
              <w:rPr>
                <w:sz w:val="24"/>
                <w:szCs w:val="24"/>
                <w:color w:val="auto"/>
              </w:rPr>
            </w:pPr>
          </w:p>
        </w:tc>
        <w:tc>
          <w:tcPr>
            <w:tcW w:w="420" w:type="dxa"/>
            <w:vAlign w:val="bottom"/>
            <w:tcBorders>
              <w:bottom w:val="single" w:sz="8" w:color="auto"/>
            </w:tcBorders>
          </w:tcPr>
          <w:p>
            <w:pPr>
              <w:jc w:val="right"/>
              <w:ind w:right="190"/>
              <w:spacing w:after="0"/>
              <w:rPr>
                <w:sz w:val="20"/>
                <w:szCs w:val="20"/>
                <w:color w:val="auto"/>
              </w:rPr>
            </w:pPr>
            <w:r>
              <w:rPr>
                <w:rFonts w:ascii="Arial" w:cs="Arial" w:eastAsia="Arial" w:hAnsi="Arial"/>
                <w:sz w:val="18"/>
                <w:szCs w:val="18"/>
                <w:color w:val="auto"/>
              </w:rPr>
              <w:t>$</w:t>
            </w:r>
          </w:p>
        </w:tc>
        <w:tc>
          <w:tcPr>
            <w:tcW w:w="1300" w:type="dxa"/>
            <w:vAlign w:val="bottom"/>
            <w:tcBorders>
              <w:bottom w:val="single" w:sz="8" w:color="auto"/>
            </w:tcBorders>
          </w:tcPr>
          <w:p>
            <w:pPr>
              <w:jc w:val="right"/>
              <w:ind w:right="11"/>
              <w:spacing w:after="0"/>
              <w:rPr>
                <w:sz w:val="20"/>
                <w:szCs w:val="20"/>
                <w:color w:val="auto"/>
              </w:rPr>
            </w:pPr>
            <w:r>
              <w:rPr>
                <w:rFonts w:ascii="Arial" w:cs="Arial" w:eastAsia="Arial" w:hAnsi="Arial"/>
                <w:sz w:val="18"/>
                <w:szCs w:val="18"/>
                <w:color w:val="auto"/>
              </w:rPr>
              <w:t>31,196</w:t>
            </w:r>
          </w:p>
        </w:tc>
      </w:tr>
      <w:tr>
        <w:trPr>
          <w:trHeight w:val="257"/>
        </w:trPr>
        <w:tc>
          <w:tcPr>
            <w:tcW w:w="7880" w:type="dxa"/>
            <w:vAlign w:val="bottom"/>
            <w:gridSpan w:val="3"/>
            <w:shd w:val="clear" w:color="auto" w:fill="CCEEFF"/>
          </w:tcPr>
          <w:p>
            <w:pPr>
              <w:ind w:left="40"/>
              <w:spacing w:after="0"/>
              <w:rPr>
                <w:sz w:val="20"/>
                <w:szCs w:val="20"/>
                <w:color w:val="auto"/>
              </w:rPr>
            </w:pPr>
            <w:r>
              <w:rPr>
                <w:rFonts w:ascii="Arial" w:cs="Arial" w:eastAsia="Arial" w:hAnsi="Arial"/>
                <w:sz w:val="14"/>
                <w:szCs w:val="14"/>
                <w:b w:val="1"/>
                <w:bCs w:val="1"/>
                <w:color w:val="auto"/>
              </w:rPr>
              <w:t>(In millions)</w:t>
            </w:r>
          </w:p>
        </w:tc>
        <w:tc>
          <w:tcPr>
            <w:tcW w:w="420" w:type="dxa"/>
            <w:vAlign w:val="bottom"/>
            <w:shd w:val="clear" w:color="auto" w:fill="CCEEFF"/>
          </w:tcPr>
          <w:p>
            <w:pPr>
              <w:spacing w:after="0"/>
              <w:rPr>
                <w:sz w:val="22"/>
                <w:szCs w:val="22"/>
                <w:color w:val="auto"/>
              </w:rPr>
            </w:pPr>
          </w:p>
        </w:tc>
        <w:tc>
          <w:tcPr>
            <w:tcW w:w="130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420" w:type="dxa"/>
            <w:vAlign w:val="bottom"/>
            <w:shd w:val="clear" w:color="auto" w:fill="CCEEFF"/>
          </w:tcPr>
          <w:p>
            <w:pPr>
              <w:spacing w:after="0"/>
              <w:rPr>
                <w:sz w:val="22"/>
                <w:szCs w:val="22"/>
                <w:color w:val="auto"/>
              </w:rPr>
            </w:pPr>
          </w:p>
        </w:tc>
        <w:tc>
          <w:tcPr>
            <w:tcW w:w="1300" w:type="dxa"/>
            <w:vAlign w:val="bottom"/>
            <w:shd w:val="clear" w:color="auto" w:fill="CCEEFF"/>
          </w:tcPr>
          <w:p>
            <w:pPr>
              <w:spacing w:after="0"/>
              <w:rPr>
                <w:sz w:val="22"/>
                <w:szCs w:val="22"/>
                <w:color w:val="auto"/>
              </w:rPr>
            </w:pPr>
          </w:p>
        </w:tc>
      </w:tr>
      <w:tr>
        <w:trPr>
          <w:trHeight w:val="263"/>
        </w:trPr>
        <w:tc>
          <w:tcPr>
            <w:tcW w:w="7880" w:type="dxa"/>
            <w:vAlign w:val="bottom"/>
            <w:gridSpan w:val="3"/>
          </w:tcPr>
          <w:p>
            <w:pPr>
              <w:ind w:left="40"/>
              <w:spacing w:after="0"/>
              <w:rPr>
                <w:sz w:val="20"/>
                <w:szCs w:val="20"/>
                <w:color w:val="auto"/>
              </w:rPr>
            </w:pPr>
            <w:r>
              <w:rPr>
                <w:rFonts w:ascii="Arial" w:cs="Arial" w:eastAsia="Arial" w:hAnsi="Arial"/>
                <w:sz w:val="18"/>
                <w:szCs w:val="18"/>
                <w:color w:val="auto"/>
              </w:rPr>
              <w:t>Total Available Seat Miles (ASM)</w:t>
            </w:r>
          </w:p>
        </w:tc>
        <w:tc>
          <w:tcPr>
            <w:tcW w:w="420" w:type="dxa"/>
            <w:vAlign w:val="bottom"/>
          </w:tcPr>
          <w:p>
            <w:pPr>
              <w:spacing w:after="0"/>
              <w:rPr>
                <w:sz w:val="22"/>
                <w:szCs w:val="22"/>
                <w:color w:val="auto"/>
              </w:rPr>
            </w:pPr>
          </w:p>
        </w:tc>
        <w:tc>
          <w:tcPr>
            <w:tcW w:w="1300" w:type="dxa"/>
            <w:vAlign w:val="bottom"/>
          </w:tcPr>
          <w:p>
            <w:pPr>
              <w:jc w:val="right"/>
              <w:ind w:right="31"/>
              <w:spacing w:after="0"/>
              <w:rPr>
                <w:sz w:val="20"/>
                <w:szCs w:val="20"/>
                <w:color w:val="auto"/>
              </w:rPr>
            </w:pPr>
            <w:r>
              <w:rPr>
                <w:rFonts w:ascii="Arial" w:cs="Arial" w:eastAsia="Arial" w:hAnsi="Arial"/>
                <w:sz w:val="18"/>
                <w:szCs w:val="18"/>
                <w:color w:val="auto"/>
              </w:rPr>
              <w:t>285,088</w:t>
            </w:r>
          </w:p>
        </w:tc>
        <w:tc>
          <w:tcPr>
            <w:tcW w:w="100" w:type="dxa"/>
            <w:vAlign w:val="bottom"/>
          </w:tcPr>
          <w:p>
            <w:pPr>
              <w:spacing w:after="0"/>
              <w:rPr>
                <w:sz w:val="22"/>
                <w:szCs w:val="22"/>
                <w:color w:val="auto"/>
              </w:rPr>
            </w:pPr>
          </w:p>
        </w:tc>
        <w:tc>
          <w:tcPr>
            <w:tcW w:w="420" w:type="dxa"/>
            <w:vAlign w:val="bottom"/>
          </w:tcPr>
          <w:p>
            <w:pPr>
              <w:spacing w:after="0"/>
              <w:rPr>
                <w:sz w:val="22"/>
                <w:szCs w:val="22"/>
                <w:color w:val="auto"/>
              </w:rPr>
            </w:pPr>
          </w:p>
        </w:tc>
        <w:tc>
          <w:tcPr>
            <w:tcW w:w="1300" w:type="dxa"/>
            <w:vAlign w:val="bottom"/>
          </w:tcPr>
          <w:p>
            <w:pPr>
              <w:jc w:val="right"/>
              <w:ind w:right="11"/>
              <w:spacing w:after="0"/>
              <w:rPr>
                <w:sz w:val="20"/>
                <w:szCs w:val="20"/>
                <w:color w:val="auto"/>
              </w:rPr>
            </w:pPr>
            <w:r>
              <w:rPr>
                <w:rFonts w:ascii="Arial" w:cs="Arial" w:eastAsia="Arial" w:hAnsi="Arial"/>
                <w:sz w:val="18"/>
                <w:szCs w:val="18"/>
                <w:color w:val="auto"/>
              </w:rPr>
              <w:t>282,054</w:t>
            </w:r>
          </w:p>
        </w:tc>
      </w:tr>
      <w:tr>
        <w:trPr>
          <w:trHeight w:val="277"/>
        </w:trPr>
        <w:tc>
          <w:tcPr>
            <w:tcW w:w="7880" w:type="dxa"/>
            <w:vAlign w:val="bottom"/>
            <w:gridSpan w:val="3"/>
            <w:shd w:val="clear" w:color="auto" w:fill="CCEEFF"/>
          </w:tcPr>
          <w:p>
            <w:pPr>
              <w:ind w:left="40"/>
              <w:spacing w:after="0"/>
              <w:rPr>
                <w:sz w:val="20"/>
                <w:szCs w:val="20"/>
                <w:color w:val="auto"/>
              </w:rPr>
            </w:pPr>
            <w:r>
              <w:rPr>
                <w:rFonts w:ascii="Arial" w:cs="Arial" w:eastAsia="Arial" w:hAnsi="Arial"/>
                <w:sz w:val="14"/>
                <w:szCs w:val="14"/>
                <w:b w:val="1"/>
                <w:bCs w:val="1"/>
                <w:color w:val="auto"/>
              </w:rPr>
              <w:t>(In cents)</w:t>
            </w:r>
          </w:p>
        </w:tc>
        <w:tc>
          <w:tcPr>
            <w:tcW w:w="420" w:type="dxa"/>
            <w:vAlign w:val="bottom"/>
            <w:shd w:val="clear" w:color="auto" w:fill="CCEEFF"/>
          </w:tcPr>
          <w:p>
            <w:pPr>
              <w:spacing w:after="0"/>
              <w:rPr>
                <w:sz w:val="24"/>
                <w:szCs w:val="24"/>
                <w:color w:val="auto"/>
              </w:rPr>
            </w:pPr>
          </w:p>
        </w:tc>
        <w:tc>
          <w:tcPr>
            <w:tcW w:w="130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420" w:type="dxa"/>
            <w:vAlign w:val="bottom"/>
            <w:shd w:val="clear" w:color="auto" w:fill="CCEEFF"/>
          </w:tcPr>
          <w:p>
            <w:pPr>
              <w:spacing w:after="0"/>
              <w:rPr>
                <w:sz w:val="24"/>
                <w:szCs w:val="24"/>
                <w:color w:val="auto"/>
              </w:rPr>
            </w:pPr>
          </w:p>
        </w:tc>
        <w:tc>
          <w:tcPr>
            <w:tcW w:w="1300" w:type="dxa"/>
            <w:vAlign w:val="bottom"/>
            <w:shd w:val="clear" w:color="auto" w:fill="CCEEFF"/>
          </w:tcPr>
          <w:p>
            <w:pPr>
              <w:spacing w:after="0"/>
              <w:rPr>
                <w:sz w:val="24"/>
                <w:szCs w:val="24"/>
                <w:color w:val="auto"/>
              </w:rPr>
            </w:pPr>
          </w:p>
        </w:tc>
      </w:tr>
      <w:tr>
        <w:trPr>
          <w:trHeight w:val="263"/>
        </w:trPr>
        <w:tc>
          <w:tcPr>
            <w:tcW w:w="7880" w:type="dxa"/>
            <w:vAlign w:val="bottom"/>
            <w:gridSpan w:val="3"/>
          </w:tcPr>
          <w:p>
            <w:pPr>
              <w:ind w:left="40"/>
              <w:spacing w:after="0"/>
              <w:rPr>
                <w:sz w:val="20"/>
                <w:szCs w:val="20"/>
                <w:color w:val="auto"/>
              </w:rPr>
            </w:pPr>
            <w:r>
              <w:rPr>
                <w:rFonts w:ascii="Arial" w:cs="Arial" w:eastAsia="Arial" w:hAnsi="Arial"/>
                <w:sz w:val="18"/>
                <w:szCs w:val="18"/>
                <w:color w:val="auto"/>
              </w:rPr>
              <w:t>Total operating CASM</w:t>
            </w:r>
          </w:p>
        </w:tc>
        <w:tc>
          <w:tcPr>
            <w:tcW w:w="420" w:type="dxa"/>
            <w:vAlign w:val="bottom"/>
          </w:tcPr>
          <w:p>
            <w:pPr>
              <w:spacing w:after="0"/>
              <w:rPr>
                <w:sz w:val="22"/>
                <w:szCs w:val="22"/>
                <w:color w:val="auto"/>
              </w:rPr>
            </w:pPr>
          </w:p>
        </w:tc>
        <w:tc>
          <w:tcPr>
            <w:tcW w:w="1300" w:type="dxa"/>
            <w:vAlign w:val="bottom"/>
          </w:tcPr>
          <w:p>
            <w:pPr>
              <w:jc w:val="right"/>
              <w:ind w:right="31"/>
              <w:spacing w:after="0"/>
              <w:rPr>
                <w:sz w:val="20"/>
                <w:szCs w:val="20"/>
                <w:color w:val="auto"/>
              </w:rPr>
            </w:pPr>
            <w:r>
              <w:rPr>
                <w:rFonts w:ascii="Arial" w:cs="Arial" w:eastAsia="Arial" w:hAnsi="Arial"/>
                <w:sz w:val="18"/>
                <w:szCs w:val="18"/>
                <w:color w:val="auto"/>
              </w:rPr>
              <w:t>14.98</w:t>
            </w:r>
          </w:p>
        </w:tc>
        <w:tc>
          <w:tcPr>
            <w:tcW w:w="100" w:type="dxa"/>
            <w:vAlign w:val="bottom"/>
          </w:tcPr>
          <w:p>
            <w:pPr>
              <w:spacing w:after="0"/>
              <w:rPr>
                <w:sz w:val="22"/>
                <w:szCs w:val="22"/>
                <w:color w:val="auto"/>
              </w:rPr>
            </w:pPr>
          </w:p>
        </w:tc>
        <w:tc>
          <w:tcPr>
            <w:tcW w:w="420" w:type="dxa"/>
            <w:vAlign w:val="bottom"/>
          </w:tcPr>
          <w:p>
            <w:pPr>
              <w:spacing w:after="0"/>
              <w:rPr>
                <w:sz w:val="22"/>
                <w:szCs w:val="22"/>
                <w:color w:val="auto"/>
              </w:rPr>
            </w:pPr>
          </w:p>
        </w:tc>
        <w:tc>
          <w:tcPr>
            <w:tcW w:w="1300" w:type="dxa"/>
            <w:vAlign w:val="bottom"/>
          </w:tcPr>
          <w:p>
            <w:pPr>
              <w:jc w:val="right"/>
              <w:ind w:right="11"/>
              <w:spacing w:after="0"/>
              <w:rPr>
                <w:sz w:val="20"/>
                <w:szCs w:val="20"/>
                <w:color w:val="auto"/>
              </w:rPr>
            </w:pPr>
            <w:r>
              <w:rPr>
                <w:rFonts w:ascii="Arial" w:cs="Arial" w:eastAsia="Arial" w:hAnsi="Arial"/>
                <w:sz w:val="18"/>
                <w:szCs w:val="18"/>
                <w:color w:val="auto"/>
              </w:rPr>
              <w:t>14.85</w:t>
            </w:r>
          </w:p>
        </w:tc>
      </w:tr>
      <w:tr>
        <w:trPr>
          <w:trHeight w:val="277"/>
        </w:trPr>
        <w:tc>
          <w:tcPr>
            <w:tcW w:w="7880" w:type="dxa"/>
            <w:vAlign w:val="bottom"/>
            <w:gridSpan w:val="3"/>
            <w:shd w:val="clear" w:color="auto" w:fill="CCEEFF"/>
          </w:tcPr>
          <w:p>
            <w:pPr>
              <w:ind w:left="40"/>
              <w:spacing w:after="0"/>
              <w:rPr>
                <w:sz w:val="20"/>
                <w:szCs w:val="20"/>
                <w:color w:val="auto"/>
              </w:rPr>
            </w:pPr>
            <w:r>
              <w:rPr>
                <w:rFonts w:ascii="Arial" w:cs="Arial" w:eastAsia="Arial" w:hAnsi="Arial"/>
                <w:sz w:val="18"/>
                <w:szCs w:val="18"/>
                <w:color w:val="auto"/>
              </w:rPr>
              <w:t xml:space="preserve">Operating net special items per ASM </w:t>
            </w:r>
            <w:r>
              <w:rPr>
                <w:rFonts w:ascii="Arial" w:cs="Arial" w:eastAsia="Arial" w:hAnsi="Arial"/>
                <w:sz w:val="21"/>
                <w:szCs w:val="21"/>
                <w:color w:val="auto"/>
                <w:vertAlign w:val="superscript"/>
              </w:rPr>
              <w:t>(1)</w:t>
            </w:r>
            <w:r>
              <w:rPr>
                <w:rFonts w:ascii="Arial" w:cs="Arial" w:eastAsia="Arial" w:hAnsi="Arial"/>
                <w:sz w:val="18"/>
                <w:szCs w:val="18"/>
                <w:color w:val="auto"/>
              </w:rPr>
              <w:t>:</w:t>
            </w:r>
          </w:p>
        </w:tc>
        <w:tc>
          <w:tcPr>
            <w:tcW w:w="420" w:type="dxa"/>
            <w:vAlign w:val="bottom"/>
            <w:shd w:val="clear" w:color="auto" w:fill="CCEEFF"/>
          </w:tcPr>
          <w:p>
            <w:pPr>
              <w:spacing w:after="0"/>
              <w:rPr>
                <w:sz w:val="24"/>
                <w:szCs w:val="24"/>
                <w:color w:val="auto"/>
              </w:rPr>
            </w:pPr>
          </w:p>
        </w:tc>
        <w:tc>
          <w:tcPr>
            <w:tcW w:w="130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420" w:type="dxa"/>
            <w:vAlign w:val="bottom"/>
            <w:shd w:val="clear" w:color="auto" w:fill="CCEEFF"/>
          </w:tcPr>
          <w:p>
            <w:pPr>
              <w:spacing w:after="0"/>
              <w:rPr>
                <w:sz w:val="24"/>
                <w:szCs w:val="24"/>
                <w:color w:val="auto"/>
              </w:rPr>
            </w:pPr>
          </w:p>
        </w:tc>
        <w:tc>
          <w:tcPr>
            <w:tcW w:w="1300" w:type="dxa"/>
            <w:vAlign w:val="bottom"/>
            <w:shd w:val="clear" w:color="auto" w:fill="CCEEFF"/>
          </w:tcPr>
          <w:p>
            <w:pPr>
              <w:spacing w:after="0"/>
              <w:rPr>
                <w:sz w:val="24"/>
                <w:szCs w:val="24"/>
                <w:color w:val="auto"/>
              </w:rPr>
            </w:pPr>
          </w:p>
        </w:tc>
      </w:tr>
      <w:tr>
        <w:trPr>
          <w:trHeight w:val="263"/>
        </w:trPr>
        <w:tc>
          <w:tcPr>
            <w:tcW w:w="40" w:type="dxa"/>
            <w:vAlign w:val="bottom"/>
          </w:tcPr>
          <w:p>
            <w:pPr>
              <w:spacing w:after="0"/>
              <w:rPr>
                <w:sz w:val="22"/>
                <w:szCs w:val="22"/>
                <w:color w:val="auto"/>
              </w:rPr>
            </w:pPr>
          </w:p>
        </w:tc>
        <w:tc>
          <w:tcPr>
            <w:tcW w:w="7840" w:type="dxa"/>
            <w:vAlign w:val="bottom"/>
            <w:gridSpan w:val="2"/>
          </w:tcPr>
          <w:p>
            <w:pPr>
              <w:ind w:left="340"/>
              <w:spacing w:after="0"/>
              <w:rPr>
                <w:sz w:val="20"/>
                <w:szCs w:val="20"/>
                <w:color w:val="auto"/>
              </w:rPr>
            </w:pPr>
            <w:r>
              <w:rPr>
                <w:rFonts w:ascii="Arial" w:cs="Arial" w:eastAsia="Arial" w:hAnsi="Arial"/>
                <w:sz w:val="18"/>
                <w:szCs w:val="18"/>
                <w:color w:val="auto"/>
              </w:rPr>
              <w:t>Mainline operating special items, net</w:t>
            </w:r>
          </w:p>
        </w:tc>
        <w:tc>
          <w:tcPr>
            <w:tcW w:w="420" w:type="dxa"/>
            <w:vAlign w:val="bottom"/>
          </w:tcPr>
          <w:p>
            <w:pPr>
              <w:spacing w:after="0"/>
              <w:rPr>
                <w:sz w:val="22"/>
                <w:szCs w:val="22"/>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(0.22)</w:t>
            </w:r>
          </w:p>
        </w:tc>
        <w:tc>
          <w:tcPr>
            <w:tcW w:w="100" w:type="dxa"/>
            <w:vAlign w:val="bottom"/>
          </w:tcPr>
          <w:p>
            <w:pPr>
              <w:spacing w:after="0"/>
              <w:rPr>
                <w:sz w:val="22"/>
                <w:szCs w:val="22"/>
                <w:color w:val="auto"/>
              </w:rPr>
            </w:pPr>
          </w:p>
        </w:tc>
        <w:tc>
          <w:tcPr>
            <w:tcW w:w="420" w:type="dxa"/>
            <w:vAlign w:val="bottom"/>
          </w:tcPr>
          <w:p>
            <w:pPr>
              <w:spacing w:after="0"/>
              <w:rPr>
                <w:sz w:val="22"/>
                <w:szCs w:val="22"/>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(0.28)</w:t>
            </w:r>
          </w:p>
        </w:tc>
      </w:tr>
      <w:tr>
        <w:trPr>
          <w:trHeight w:val="277"/>
        </w:trPr>
        <w:tc>
          <w:tcPr>
            <w:tcW w:w="40" w:type="dxa"/>
            <w:vAlign w:val="bottom"/>
            <w:shd w:val="clear" w:color="auto" w:fill="CCEEFF"/>
          </w:tcPr>
          <w:p>
            <w:pPr>
              <w:spacing w:after="0"/>
              <w:rPr>
                <w:sz w:val="24"/>
                <w:szCs w:val="24"/>
                <w:color w:val="auto"/>
              </w:rPr>
            </w:pPr>
          </w:p>
        </w:tc>
        <w:tc>
          <w:tcPr>
            <w:tcW w:w="7840" w:type="dxa"/>
            <w:vAlign w:val="bottom"/>
            <w:gridSpan w:val="2"/>
            <w:shd w:val="clear" w:color="auto" w:fill="CCEEFF"/>
          </w:tcPr>
          <w:p>
            <w:pPr>
              <w:ind w:left="340"/>
              <w:spacing w:after="0"/>
              <w:rPr>
                <w:sz w:val="20"/>
                <w:szCs w:val="20"/>
                <w:color w:val="auto"/>
              </w:rPr>
            </w:pPr>
            <w:r>
              <w:rPr>
                <w:rFonts w:ascii="Arial" w:cs="Arial" w:eastAsia="Arial" w:hAnsi="Arial"/>
                <w:sz w:val="18"/>
                <w:szCs w:val="18"/>
                <w:color w:val="auto"/>
              </w:rPr>
              <w:t>Regional operating special items, net</w:t>
            </w:r>
          </w:p>
        </w:tc>
        <w:tc>
          <w:tcPr>
            <w:tcW w:w="420" w:type="dxa"/>
            <w:vAlign w:val="bottom"/>
            <w:shd w:val="clear" w:color="auto" w:fill="CCEEFF"/>
          </w:tcPr>
          <w:p>
            <w:pPr>
              <w:spacing w:after="0"/>
              <w:rPr>
                <w:sz w:val="24"/>
                <w:szCs w:val="24"/>
                <w:color w:val="auto"/>
              </w:rPr>
            </w:pPr>
          </w:p>
        </w:tc>
        <w:tc>
          <w:tcPr>
            <w:tcW w:w="14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420" w:type="dxa"/>
            <w:vAlign w:val="bottom"/>
            <w:shd w:val="clear" w:color="auto" w:fill="CCEEFF"/>
          </w:tcPr>
          <w:p>
            <w:pPr>
              <w:spacing w:after="0"/>
              <w:rPr>
                <w:sz w:val="24"/>
                <w:szCs w:val="24"/>
                <w:color w:val="auto"/>
              </w:rPr>
            </w:pPr>
          </w:p>
        </w:tc>
        <w:tc>
          <w:tcPr>
            <w:tcW w:w="130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w:t>
            </w:r>
          </w:p>
        </w:tc>
      </w:tr>
      <w:tr>
        <w:trPr>
          <w:trHeight w:val="243"/>
        </w:trPr>
        <w:tc>
          <w:tcPr>
            <w:tcW w:w="7880" w:type="dxa"/>
            <w:vAlign w:val="bottom"/>
            <w:gridSpan w:val="3"/>
          </w:tcPr>
          <w:p>
            <w:pPr>
              <w:ind w:left="40"/>
              <w:spacing w:after="0"/>
              <w:rPr>
                <w:sz w:val="20"/>
                <w:szCs w:val="20"/>
                <w:color w:val="auto"/>
              </w:rPr>
            </w:pPr>
            <w:r>
              <w:rPr>
                <w:rFonts w:ascii="Arial" w:cs="Arial" w:eastAsia="Arial" w:hAnsi="Arial"/>
                <w:sz w:val="18"/>
                <w:szCs w:val="18"/>
                <w:color w:val="auto"/>
              </w:rPr>
              <w:t>Fuel per ASM:</w:t>
            </w:r>
          </w:p>
        </w:tc>
        <w:tc>
          <w:tcPr>
            <w:tcW w:w="420" w:type="dxa"/>
            <w:vAlign w:val="bottom"/>
          </w:tcPr>
          <w:p>
            <w:pPr>
              <w:spacing w:after="0"/>
              <w:rPr>
                <w:sz w:val="21"/>
                <w:szCs w:val="21"/>
                <w:color w:val="auto"/>
              </w:rPr>
            </w:pPr>
          </w:p>
        </w:tc>
        <w:tc>
          <w:tcPr>
            <w:tcW w:w="13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1300" w:type="dxa"/>
            <w:vAlign w:val="bottom"/>
          </w:tcPr>
          <w:p>
            <w:pPr>
              <w:spacing w:after="0"/>
              <w:rPr>
                <w:sz w:val="21"/>
                <w:szCs w:val="21"/>
                <w:color w:val="auto"/>
              </w:rPr>
            </w:pPr>
          </w:p>
        </w:tc>
      </w:tr>
      <w:tr>
        <w:trPr>
          <w:trHeight w:val="27"/>
        </w:trPr>
        <w:tc>
          <w:tcPr>
            <w:tcW w:w="40" w:type="dxa"/>
            <w:vAlign w:val="bottom"/>
          </w:tcPr>
          <w:p>
            <w:pPr>
              <w:spacing w:after="0"/>
              <w:rPr>
                <w:sz w:val="2"/>
                <w:szCs w:val="2"/>
                <w:color w:val="auto"/>
              </w:rPr>
            </w:pPr>
          </w:p>
        </w:tc>
        <w:tc>
          <w:tcPr>
            <w:tcW w:w="4340" w:type="dxa"/>
            <w:vAlign w:val="bottom"/>
          </w:tcPr>
          <w:p>
            <w:pPr>
              <w:spacing w:after="0"/>
              <w:rPr>
                <w:sz w:val="2"/>
                <w:szCs w:val="2"/>
                <w:color w:val="auto"/>
              </w:rPr>
            </w:pPr>
          </w:p>
        </w:tc>
        <w:tc>
          <w:tcPr>
            <w:tcW w:w="3500" w:type="dxa"/>
            <w:vAlign w:val="bottom"/>
          </w:tcPr>
          <w:p>
            <w:pPr>
              <w:spacing w:after="0"/>
              <w:rPr>
                <w:sz w:val="2"/>
                <w:szCs w:val="2"/>
                <w:color w:val="auto"/>
              </w:rPr>
            </w:pPr>
          </w:p>
        </w:tc>
        <w:tc>
          <w:tcPr>
            <w:tcW w:w="42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00" w:type="dxa"/>
            <w:vAlign w:val="bottom"/>
          </w:tcPr>
          <w:p>
            <w:pPr>
              <w:spacing w:after="0"/>
              <w:rPr>
                <w:sz w:val="2"/>
                <w:szCs w:val="2"/>
                <w:color w:val="auto"/>
              </w:rPr>
            </w:pPr>
          </w:p>
        </w:tc>
        <w:tc>
          <w:tcPr>
            <w:tcW w:w="420" w:type="dxa"/>
            <w:vAlign w:val="bottom"/>
          </w:tcPr>
          <w:p>
            <w:pPr>
              <w:spacing w:after="0"/>
              <w:rPr>
                <w:sz w:val="2"/>
                <w:szCs w:val="2"/>
                <w:color w:val="auto"/>
              </w:rPr>
            </w:pPr>
          </w:p>
        </w:tc>
        <w:tc>
          <w:tcPr>
            <w:tcW w:w="1300" w:type="dxa"/>
            <w:vAlign w:val="bottom"/>
          </w:tcPr>
          <w:p>
            <w:pPr>
              <w:spacing w:after="0"/>
              <w:rPr>
                <w:sz w:val="2"/>
                <w:szCs w:val="2"/>
                <w:color w:val="auto"/>
              </w:rPr>
            </w:pPr>
          </w:p>
        </w:tc>
      </w:tr>
      <w:tr>
        <w:trPr>
          <w:trHeight w:val="270"/>
        </w:trPr>
        <w:tc>
          <w:tcPr>
            <w:tcW w:w="40" w:type="dxa"/>
            <w:vAlign w:val="bottom"/>
            <w:shd w:val="clear" w:color="auto" w:fill="CCEEFF"/>
          </w:tcPr>
          <w:p>
            <w:pPr>
              <w:spacing w:after="0"/>
              <w:rPr>
                <w:sz w:val="23"/>
                <w:szCs w:val="23"/>
                <w:color w:val="auto"/>
              </w:rPr>
            </w:pPr>
          </w:p>
        </w:tc>
        <w:tc>
          <w:tcPr>
            <w:tcW w:w="7840" w:type="dxa"/>
            <w:vAlign w:val="bottom"/>
            <w:gridSpan w:val="2"/>
            <w:shd w:val="clear" w:color="auto" w:fill="CCEEFF"/>
          </w:tcPr>
          <w:p>
            <w:pPr>
              <w:ind w:left="340"/>
              <w:spacing w:after="0"/>
              <w:rPr>
                <w:sz w:val="20"/>
                <w:szCs w:val="20"/>
                <w:color w:val="auto"/>
              </w:rPr>
            </w:pPr>
            <w:r>
              <w:rPr>
                <w:rFonts w:ascii="Arial" w:cs="Arial" w:eastAsia="Arial" w:hAnsi="Arial"/>
                <w:sz w:val="18"/>
                <w:szCs w:val="18"/>
                <w:color w:val="auto"/>
              </w:rPr>
              <w:t>Aircraft fuel and related taxes - mainline</w:t>
            </w:r>
          </w:p>
        </w:tc>
        <w:tc>
          <w:tcPr>
            <w:tcW w:w="420" w:type="dxa"/>
            <w:vAlign w:val="bottom"/>
            <w:shd w:val="clear" w:color="auto" w:fill="CCEEFF"/>
          </w:tcPr>
          <w:p>
            <w:pPr>
              <w:spacing w:after="0"/>
              <w:rPr>
                <w:sz w:val="23"/>
                <w:szCs w:val="23"/>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(2.64)</w:t>
            </w:r>
          </w:p>
        </w:tc>
        <w:tc>
          <w:tcPr>
            <w:tcW w:w="100" w:type="dxa"/>
            <w:vAlign w:val="bottom"/>
            <w:shd w:val="clear" w:color="auto" w:fill="CCEEFF"/>
          </w:tcPr>
          <w:p>
            <w:pPr>
              <w:spacing w:after="0"/>
              <w:rPr>
                <w:sz w:val="23"/>
                <w:szCs w:val="23"/>
                <w:color w:val="auto"/>
              </w:rPr>
            </w:pPr>
          </w:p>
        </w:tc>
        <w:tc>
          <w:tcPr>
            <w:tcW w:w="420" w:type="dxa"/>
            <w:vAlign w:val="bottom"/>
            <w:shd w:val="clear" w:color="auto" w:fill="CCEEFF"/>
          </w:tcPr>
          <w:p>
            <w:pPr>
              <w:spacing w:after="0"/>
              <w:rPr>
                <w:sz w:val="23"/>
                <w:szCs w:val="23"/>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(2.86)</w:t>
            </w:r>
          </w:p>
        </w:tc>
      </w:tr>
      <w:tr>
        <w:trPr>
          <w:trHeight w:val="264"/>
        </w:trPr>
        <w:tc>
          <w:tcPr>
            <w:tcW w:w="40" w:type="dxa"/>
            <w:vAlign w:val="bottom"/>
            <w:tcBorders>
              <w:bottom w:val="single" w:sz="8" w:color="CCEEFF"/>
            </w:tcBorders>
          </w:tcPr>
          <w:p>
            <w:pPr>
              <w:spacing w:after="0"/>
              <w:rPr>
                <w:sz w:val="22"/>
                <w:szCs w:val="22"/>
                <w:color w:val="auto"/>
              </w:rPr>
            </w:pPr>
          </w:p>
        </w:tc>
        <w:tc>
          <w:tcPr>
            <w:tcW w:w="7840" w:type="dxa"/>
            <w:vAlign w:val="bottom"/>
            <w:tcBorders>
              <w:bottom w:val="single" w:sz="8" w:color="CCEEFF"/>
            </w:tcBorders>
            <w:gridSpan w:val="2"/>
          </w:tcPr>
          <w:p>
            <w:pPr>
              <w:ind w:left="340"/>
              <w:spacing w:after="0"/>
              <w:rPr>
                <w:sz w:val="20"/>
                <w:szCs w:val="20"/>
                <w:color w:val="auto"/>
              </w:rPr>
            </w:pPr>
            <w:r>
              <w:rPr>
                <w:rFonts w:ascii="Arial" w:cs="Arial" w:eastAsia="Arial" w:hAnsi="Arial"/>
                <w:sz w:val="18"/>
                <w:szCs w:val="18"/>
                <w:color w:val="auto"/>
              </w:rPr>
              <w:t>Aircraft fuel and related taxes - regional</w:t>
            </w:r>
          </w:p>
        </w:tc>
        <w:tc>
          <w:tcPr>
            <w:tcW w:w="420" w:type="dxa"/>
            <w:vAlign w:val="bottom"/>
            <w:tcBorders>
              <w:bottom w:val="single" w:sz="8" w:color="auto"/>
            </w:tcBorders>
          </w:tcPr>
          <w:p>
            <w:pPr>
              <w:spacing w:after="0"/>
              <w:rPr>
                <w:sz w:val="22"/>
                <w:szCs w:val="22"/>
                <w:color w:val="auto"/>
              </w:rPr>
            </w:pP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(0.66)</w:t>
            </w:r>
          </w:p>
        </w:tc>
        <w:tc>
          <w:tcPr>
            <w:tcW w:w="100" w:type="dxa"/>
            <w:vAlign w:val="bottom"/>
            <w:tcBorders>
              <w:bottom w:val="single" w:sz="8" w:color="CCEEFF"/>
            </w:tcBorders>
          </w:tcPr>
          <w:p>
            <w:pPr>
              <w:spacing w:after="0"/>
              <w:rPr>
                <w:sz w:val="22"/>
                <w:szCs w:val="22"/>
                <w:color w:val="auto"/>
              </w:rPr>
            </w:pPr>
          </w:p>
        </w:tc>
        <w:tc>
          <w:tcPr>
            <w:tcW w:w="420" w:type="dxa"/>
            <w:vAlign w:val="bottom"/>
            <w:tcBorders>
              <w:bottom w:val="single" w:sz="8" w:color="auto"/>
            </w:tcBorders>
          </w:tcPr>
          <w:p>
            <w:pPr>
              <w:spacing w:after="0"/>
              <w:rPr>
                <w:sz w:val="22"/>
                <w:szCs w:val="22"/>
                <w:color w:val="auto"/>
              </w:rPr>
            </w:pP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(0.65)</w:t>
            </w:r>
          </w:p>
        </w:tc>
      </w:tr>
      <w:tr>
        <w:trPr>
          <w:trHeight w:val="250"/>
        </w:trPr>
        <w:tc>
          <w:tcPr>
            <w:tcW w:w="788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8"/>
                <w:szCs w:val="18"/>
                <w:color w:val="auto"/>
              </w:rPr>
              <w:t>Total CASM, excluding net special items and fuel</w:t>
            </w:r>
          </w:p>
        </w:tc>
        <w:tc>
          <w:tcPr>
            <w:tcW w:w="420" w:type="dxa"/>
            <w:vAlign w:val="bottom"/>
            <w:tcBorders>
              <w:bottom w:val="single" w:sz="8" w:color="auto"/>
            </w:tcBorders>
            <w:shd w:val="clear" w:color="auto" w:fill="CCEEFF"/>
          </w:tcPr>
          <w:p>
            <w:pPr>
              <w:spacing w:after="0"/>
              <w:rPr>
                <w:sz w:val="21"/>
                <w:szCs w:val="21"/>
                <w:color w:val="auto"/>
              </w:rPr>
            </w:pPr>
          </w:p>
        </w:tc>
        <w:tc>
          <w:tcPr>
            <w:tcW w:w="1300" w:type="dxa"/>
            <w:vAlign w:val="bottom"/>
            <w:tcBorders>
              <w:bottom w:val="single" w:sz="8" w:color="auto"/>
            </w:tcBorders>
            <w:shd w:val="clear" w:color="auto" w:fill="CCEEFF"/>
          </w:tcPr>
          <w:p>
            <w:pPr>
              <w:jc w:val="right"/>
              <w:ind w:right="31"/>
              <w:spacing w:after="0"/>
              <w:rPr>
                <w:sz w:val="20"/>
                <w:szCs w:val="20"/>
                <w:color w:val="auto"/>
              </w:rPr>
            </w:pPr>
            <w:r>
              <w:rPr>
                <w:rFonts w:ascii="Arial" w:cs="Arial" w:eastAsia="Arial" w:hAnsi="Arial"/>
                <w:sz w:val="18"/>
                <w:szCs w:val="18"/>
                <w:color w:val="auto"/>
              </w:rPr>
              <w:t>11.46</w:t>
            </w:r>
          </w:p>
        </w:tc>
        <w:tc>
          <w:tcPr>
            <w:tcW w:w="10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auto"/>
            </w:tcBorders>
            <w:shd w:val="clear" w:color="auto" w:fill="CCEEFF"/>
          </w:tcPr>
          <w:p>
            <w:pPr>
              <w:spacing w:after="0"/>
              <w:rPr>
                <w:sz w:val="21"/>
                <w:szCs w:val="21"/>
                <w:color w:val="auto"/>
              </w:rPr>
            </w:pPr>
          </w:p>
        </w:tc>
        <w:tc>
          <w:tcPr>
            <w:tcW w:w="1300" w:type="dxa"/>
            <w:vAlign w:val="bottom"/>
            <w:tcBorders>
              <w:bottom w:val="single" w:sz="8" w:color="auto"/>
            </w:tcBorders>
            <w:shd w:val="clear" w:color="auto" w:fill="CCEEFF"/>
          </w:tcPr>
          <w:p>
            <w:pPr>
              <w:jc w:val="right"/>
              <w:ind w:right="11"/>
              <w:spacing w:after="0"/>
              <w:rPr>
                <w:sz w:val="20"/>
                <w:szCs w:val="20"/>
                <w:color w:val="auto"/>
              </w:rPr>
            </w:pPr>
            <w:r>
              <w:rPr>
                <w:rFonts w:ascii="Arial" w:cs="Arial" w:eastAsia="Arial" w:hAnsi="Arial"/>
                <w:sz w:val="18"/>
                <w:szCs w:val="18"/>
                <w:color w:val="auto"/>
              </w:rPr>
              <w:t>11.06</w:t>
            </w:r>
          </w:p>
        </w:tc>
      </w:tr>
      <w:tr>
        <w:trPr>
          <w:trHeight w:val="20"/>
        </w:trPr>
        <w:tc>
          <w:tcPr>
            <w:tcW w:w="40" w:type="dxa"/>
            <w:vAlign w:val="bottom"/>
          </w:tcPr>
          <w:p>
            <w:pPr>
              <w:spacing w:after="0" w:line="20" w:lineRule="exact"/>
              <w:rPr>
                <w:sz w:val="1"/>
                <w:szCs w:val="1"/>
                <w:color w:val="auto"/>
              </w:rPr>
            </w:pPr>
          </w:p>
        </w:tc>
        <w:tc>
          <w:tcPr>
            <w:tcW w:w="4340" w:type="dxa"/>
            <w:vAlign w:val="bottom"/>
          </w:tcPr>
          <w:p>
            <w:pPr>
              <w:spacing w:after="0" w:line="20" w:lineRule="exact"/>
              <w:rPr>
                <w:sz w:val="1"/>
                <w:szCs w:val="1"/>
                <w:color w:val="auto"/>
              </w:rPr>
            </w:pPr>
          </w:p>
        </w:tc>
        <w:tc>
          <w:tcPr>
            <w:tcW w:w="3500" w:type="dxa"/>
            <w:vAlign w:val="bottom"/>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163195</wp:posOffset>
            </wp:positionV>
            <wp:extent cx="1337945" cy="889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1337945" cy="8890"/>
                    </a:xfrm>
                    <a:prstGeom prst="rect">
                      <a:avLst/>
                    </a:prstGeom>
                    <a:noFill/>
                  </pic:spPr>
                </pic:pic>
              </a:graphicData>
            </a:graphic>
          </wp:anchor>
        </w:drawing>
      </w:r>
    </w:p>
    <w:p>
      <w:pPr>
        <w:spacing w:after="0" w:line="330" w:lineRule="exact"/>
        <w:rPr>
          <w:sz w:val="20"/>
          <w:szCs w:val="20"/>
          <w:color w:val="auto"/>
        </w:rPr>
      </w:pPr>
    </w:p>
    <w:p>
      <w:pPr>
        <w:ind w:left="5620" w:right="1380" w:hanging="5612"/>
        <w:spacing w:after="0" w:line="459" w:lineRule="auto"/>
        <w:tabs>
          <w:tab w:leader="none" w:pos="662" w:val="left"/>
        </w:tabs>
        <w:numPr>
          <w:ilvl w:val="0"/>
          <w:numId w:val="18"/>
        </w:numPr>
        <w:rPr>
          <w:rFonts w:ascii="Arial" w:cs="Arial" w:eastAsia="Arial" w:hAnsi="Arial"/>
          <w:sz w:val="22"/>
          <w:szCs w:val="22"/>
          <w:color w:val="auto"/>
          <w:vertAlign w:val="superscript"/>
        </w:rPr>
      </w:pPr>
      <w:r>
        <w:rPr>
          <w:rFonts w:ascii="Arial" w:cs="Arial" w:eastAsia="Arial" w:hAnsi="Arial"/>
          <w:sz w:val="18"/>
          <w:szCs w:val="18"/>
          <w:color w:val="auto"/>
        </w:rPr>
        <w:t>See Note 2 to AAG’s Consolidated Financial Statements in Part II, Item 8A for further information on net special items. 47</w:t>
      </w:r>
    </w:p>
    <w:p>
      <w:pPr>
        <w:sectPr>
          <w:pgSz w:w="11900" w:h="16838" w:orient="portrait"/>
          <w:cols w:equalWidth="0" w:num="1">
            <w:col w:w="11420"/>
          </w:cols>
          <w:pgMar w:left="240" w:top="731" w:right="239" w:bottom="1440" w:gutter="0" w:footer="0" w:header="0"/>
          <w:type w:val="continuous"/>
        </w:sectPr>
      </w:pPr>
    </w:p>
    <w:bookmarkStart w:id="47" w:name="page48"/>
    <w:bookmarkEnd w:id="47"/>
    <w:p>
      <w:pPr>
        <w:ind w:left="60"/>
        <w:spacing w:after="0"/>
        <w:rPr>
          <w:sz w:val="20"/>
          <w:szCs w:val="20"/>
          <w:color w:val="auto"/>
        </w:rPr>
      </w:pPr>
      <w:r>
        <w:rPr>
          <w:rFonts w:ascii="Arial" w:cs="Arial" w:eastAsia="Arial" w:hAnsi="Arial"/>
          <w:sz w:val="18"/>
          <w:szCs w:val="18"/>
          <w:b w:val="1"/>
          <w:bCs w:val="1"/>
          <w:color w:val="auto"/>
        </w:rPr>
        <w:t>Selected Consolidated Financial Data of American</w:t>
      </w:r>
    </w:p>
    <w:p>
      <w:pPr>
        <w:spacing w:after="0" w:line="112" w:lineRule="exact"/>
        <w:rPr>
          <w:sz w:val="20"/>
          <w:szCs w:val="20"/>
          <w:color w:val="auto"/>
        </w:rPr>
      </w:pPr>
    </w:p>
    <w:p>
      <w:pPr>
        <w:jc w:val="both"/>
        <w:ind w:firstLine="216"/>
        <w:spacing w:after="0" w:line="256" w:lineRule="auto"/>
        <w:rPr>
          <w:sz w:val="20"/>
          <w:szCs w:val="20"/>
          <w:color w:val="auto"/>
        </w:rPr>
      </w:pPr>
      <w:r>
        <w:rPr>
          <w:rFonts w:ascii="Arial" w:cs="Arial" w:eastAsia="Arial" w:hAnsi="Arial"/>
          <w:sz w:val="18"/>
          <w:szCs w:val="18"/>
          <w:color w:val="auto"/>
        </w:rPr>
        <w:t>The selected consolidated financial data presented below under the captions “Consolidated Statements of Operations data” and “Consolidated Balance Sheet data” for the years ended December 31, 2019, 2018, 2017, 2016 and 2015 are derived from American’s audited consolidated financial statements.</w:t>
      </w:r>
    </w:p>
    <w:p>
      <w:pPr>
        <w:spacing w:after="0" w:line="298" w:lineRule="exact"/>
        <w:rPr>
          <w:sz w:val="20"/>
          <w:szCs w:val="20"/>
          <w:color w:val="auto"/>
        </w:rPr>
      </w:pPr>
    </w:p>
    <w:tbl>
      <w:tblPr>
        <w:tblLayout w:type="fixed"/>
        <w:tblInd w:w="0" w:type="dxa"/>
        <w:tblCellMar>
          <w:top w:w="0" w:type="dxa"/>
          <w:left w:w="0" w:type="dxa"/>
          <w:bottom w:w="0" w:type="dxa"/>
          <w:right w:w="0" w:type="dxa"/>
        </w:tblCellMar>
      </w:tblPr>
      <w:tr>
        <w:trPr>
          <w:trHeight w:val="196"/>
        </w:trPr>
        <w:tc>
          <w:tcPr>
            <w:tcW w:w="40" w:type="dxa"/>
            <w:vAlign w:val="bottom"/>
          </w:tcPr>
          <w:p>
            <w:pPr>
              <w:spacing w:after="0"/>
              <w:rPr>
                <w:sz w:val="17"/>
                <w:szCs w:val="17"/>
                <w:color w:val="auto"/>
              </w:rPr>
            </w:pPr>
          </w:p>
        </w:tc>
        <w:tc>
          <w:tcPr>
            <w:tcW w:w="1520" w:type="dxa"/>
            <w:vAlign w:val="bottom"/>
          </w:tcPr>
          <w:p>
            <w:pPr>
              <w:spacing w:after="0"/>
              <w:rPr>
                <w:sz w:val="17"/>
                <w:szCs w:val="17"/>
                <w:color w:val="auto"/>
              </w:rPr>
            </w:pPr>
          </w:p>
        </w:tc>
        <w:tc>
          <w:tcPr>
            <w:tcW w:w="132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300" w:type="dxa"/>
            <w:vAlign w:val="bottom"/>
            <w:tcBorders>
              <w:bottom w:val="single" w:sz="8" w:color="auto"/>
            </w:tcBorders>
          </w:tcPr>
          <w:p>
            <w:pPr>
              <w:spacing w:after="0"/>
              <w:rPr>
                <w:sz w:val="17"/>
                <w:szCs w:val="17"/>
                <w:color w:val="auto"/>
              </w:rPr>
            </w:pPr>
          </w:p>
        </w:tc>
        <w:tc>
          <w:tcPr>
            <w:tcW w:w="960" w:type="dxa"/>
            <w:vAlign w:val="bottom"/>
            <w:tcBorders>
              <w:bottom w:val="single" w:sz="8" w:color="auto"/>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320" w:type="dxa"/>
            <w:vAlign w:val="bottom"/>
            <w:tcBorders>
              <w:bottom w:val="single" w:sz="8" w:color="auto"/>
            </w:tcBorders>
          </w:tcPr>
          <w:p>
            <w:pPr>
              <w:spacing w:after="0"/>
              <w:rPr>
                <w:sz w:val="17"/>
                <w:szCs w:val="17"/>
                <w:color w:val="auto"/>
              </w:rPr>
            </w:pPr>
          </w:p>
        </w:tc>
        <w:tc>
          <w:tcPr>
            <w:tcW w:w="960" w:type="dxa"/>
            <w:vAlign w:val="bottom"/>
            <w:tcBorders>
              <w:bottom w:val="single" w:sz="8" w:color="auto"/>
            </w:tcBorders>
          </w:tcPr>
          <w:p>
            <w:pPr>
              <w:spacing w:after="0"/>
              <w:rPr>
                <w:sz w:val="17"/>
                <w:szCs w:val="17"/>
                <w:color w:val="auto"/>
              </w:rPr>
            </w:pPr>
          </w:p>
        </w:tc>
        <w:tc>
          <w:tcPr>
            <w:tcW w:w="1940" w:type="dxa"/>
            <w:vAlign w:val="bottom"/>
            <w:tcBorders>
              <w:bottom w:val="single" w:sz="8" w:color="auto"/>
            </w:tcBorders>
            <w:gridSpan w:val="6"/>
          </w:tcPr>
          <w:p>
            <w:pPr>
              <w:jc w:val="center"/>
              <w:ind w:right="50"/>
              <w:spacing w:after="0"/>
              <w:rPr>
                <w:sz w:val="20"/>
                <w:szCs w:val="20"/>
                <w:color w:val="auto"/>
              </w:rPr>
            </w:pPr>
            <w:r>
              <w:rPr>
                <w:rFonts w:ascii="Arial" w:cs="Arial" w:eastAsia="Arial" w:hAnsi="Arial"/>
                <w:sz w:val="14"/>
                <w:szCs w:val="14"/>
                <w:b w:val="1"/>
                <w:bCs w:val="1"/>
                <w:color w:val="auto"/>
              </w:rPr>
              <w:t>Year Ended December 31,</w:t>
            </w:r>
          </w:p>
        </w:tc>
        <w:tc>
          <w:tcPr>
            <w:tcW w:w="1020" w:type="dxa"/>
            <w:vAlign w:val="bottom"/>
            <w:tcBorders>
              <w:bottom w:val="single" w:sz="8" w:color="auto"/>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340" w:type="dxa"/>
            <w:vAlign w:val="bottom"/>
            <w:tcBorders>
              <w:bottom w:val="single" w:sz="8" w:color="auto"/>
            </w:tcBorders>
          </w:tcPr>
          <w:p>
            <w:pPr>
              <w:spacing w:after="0"/>
              <w:rPr>
                <w:sz w:val="17"/>
                <w:szCs w:val="17"/>
                <w:color w:val="auto"/>
              </w:rPr>
            </w:pPr>
          </w:p>
        </w:tc>
        <w:tc>
          <w:tcPr>
            <w:tcW w:w="1040" w:type="dxa"/>
            <w:vAlign w:val="bottom"/>
            <w:tcBorders>
              <w:bottom w:val="single" w:sz="8" w:color="auto"/>
            </w:tcBorders>
          </w:tcPr>
          <w:p>
            <w:pPr>
              <w:spacing w:after="0"/>
              <w:rPr>
                <w:sz w:val="17"/>
                <w:szCs w:val="17"/>
                <w:color w:val="auto"/>
              </w:rPr>
            </w:pPr>
          </w:p>
        </w:tc>
      </w:tr>
      <w:tr>
        <w:trPr>
          <w:trHeight w:val="264"/>
        </w:trPr>
        <w:tc>
          <w:tcPr>
            <w:tcW w:w="40" w:type="dxa"/>
            <w:vAlign w:val="bottom"/>
          </w:tcPr>
          <w:p>
            <w:pPr>
              <w:spacing w:after="0"/>
              <w:rPr>
                <w:sz w:val="22"/>
                <w:szCs w:val="22"/>
                <w:color w:val="auto"/>
              </w:rPr>
            </w:pPr>
          </w:p>
        </w:tc>
        <w:tc>
          <w:tcPr>
            <w:tcW w:w="1520" w:type="dxa"/>
            <w:vAlign w:val="bottom"/>
          </w:tcPr>
          <w:p>
            <w:pPr>
              <w:spacing w:after="0"/>
              <w:rPr>
                <w:sz w:val="22"/>
                <w:szCs w:val="22"/>
                <w:color w:val="auto"/>
              </w:rPr>
            </w:pPr>
          </w:p>
        </w:tc>
        <w:tc>
          <w:tcPr>
            <w:tcW w:w="1320" w:type="dxa"/>
            <w:vAlign w:val="bottom"/>
          </w:tcPr>
          <w:p>
            <w:pPr>
              <w:spacing w:after="0"/>
              <w:rPr>
                <w:sz w:val="22"/>
                <w:szCs w:val="22"/>
                <w:color w:val="auto"/>
              </w:rPr>
            </w:pPr>
          </w:p>
        </w:tc>
        <w:tc>
          <w:tcPr>
            <w:tcW w:w="1020" w:type="dxa"/>
            <w:vAlign w:val="bottom"/>
          </w:tcPr>
          <w:p>
            <w:pPr>
              <w:spacing w:after="0"/>
              <w:rPr>
                <w:sz w:val="22"/>
                <w:szCs w:val="22"/>
                <w:color w:val="auto"/>
              </w:rPr>
            </w:pPr>
          </w:p>
        </w:tc>
        <w:tc>
          <w:tcPr>
            <w:tcW w:w="420" w:type="dxa"/>
            <w:vAlign w:val="bottom"/>
          </w:tcPr>
          <w:p>
            <w:pPr>
              <w:spacing w:after="0"/>
              <w:rPr>
                <w:sz w:val="22"/>
                <w:szCs w:val="22"/>
                <w:color w:val="auto"/>
              </w:rPr>
            </w:pPr>
          </w:p>
        </w:tc>
        <w:tc>
          <w:tcPr>
            <w:tcW w:w="300" w:type="dxa"/>
            <w:vAlign w:val="bottom"/>
            <w:tcBorders>
              <w:bottom w:val="single" w:sz="8" w:color="auto"/>
            </w:tcBorders>
          </w:tcPr>
          <w:p>
            <w:pPr>
              <w:spacing w:after="0"/>
              <w:rPr>
                <w:sz w:val="22"/>
                <w:szCs w:val="22"/>
                <w:color w:val="auto"/>
              </w:rPr>
            </w:pPr>
          </w:p>
        </w:tc>
        <w:tc>
          <w:tcPr>
            <w:tcW w:w="960" w:type="dxa"/>
            <w:vAlign w:val="bottom"/>
            <w:tcBorders>
              <w:bottom w:val="single" w:sz="8" w:color="auto"/>
            </w:tcBorders>
          </w:tcPr>
          <w:p>
            <w:pPr>
              <w:jc w:val="right"/>
              <w:ind w:right="372"/>
              <w:spacing w:after="0"/>
              <w:rPr>
                <w:sz w:val="20"/>
                <w:szCs w:val="20"/>
                <w:color w:val="auto"/>
              </w:rPr>
            </w:pPr>
            <w:r>
              <w:rPr>
                <w:rFonts w:ascii="Arial" w:cs="Arial" w:eastAsia="Arial" w:hAnsi="Arial"/>
                <w:sz w:val="14"/>
                <w:szCs w:val="14"/>
                <w:b w:val="1"/>
                <w:bCs w:val="1"/>
                <w:color w:val="auto"/>
              </w:rPr>
              <w:t>2019</w:t>
            </w:r>
          </w:p>
        </w:tc>
        <w:tc>
          <w:tcPr>
            <w:tcW w:w="120" w:type="dxa"/>
            <w:vAlign w:val="bottom"/>
            <w:tcBorders>
              <w:bottom w:val="single" w:sz="8" w:color="auto"/>
            </w:tcBorders>
          </w:tcPr>
          <w:p>
            <w:pPr>
              <w:spacing w:after="0"/>
              <w:rPr>
                <w:sz w:val="22"/>
                <w:szCs w:val="22"/>
                <w:color w:val="auto"/>
              </w:rPr>
            </w:pPr>
          </w:p>
        </w:tc>
        <w:tc>
          <w:tcPr>
            <w:tcW w:w="320" w:type="dxa"/>
            <w:vAlign w:val="bottom"/>
            <w:tcBorders>
              <w:bottom w:val="single" w:sz="8" w:color="auto"/>
            </w:tcBorders>
          </w:tcPr>
          <w:p>
            <w:pPr>
              <w:spacing w:after="0"/>
              <w:rPr>
                <w:sz w:val="22"/>
                <w:szCs w:val="22"/>
                <w:color w:val="auto"/>
              </w:rPr>
            </w:pPr>
          </w:p>
        </w:tc>
        <w:tc>
          <w:tcPr>
            <w:tcW w:w="960" w:type="dxa"/>
            <w:vAlign w:val="bottom"/>
            <w:tcBorders>
              <w:bottom w:val="single" w:sz="8" w:color="auto"/>
            </w:tcBorders>
          </w:tcPr>
          <w:p>
            <w:pPr>
              <w:jc w:val="right"/>
              <w:ind w:right="352"/>
              <w:spacing w:after="0"/>
              <w:rPr>
                <w:sz w:val="20"/>
                <w:szCs w:val="20"/>
                <w:color w:val="auto"/>
              </w:rPr>
            </w:pPr>
            <w:r>
              <w:rPr>
                <w:rFonts w:ascii="Arial" w:cs="Arial" w:eastAsia="Arial" w:hAnsi="Arial"/>
                <w:sz w:val="14"/>
                <w:szCs w:val="14"/>
                <w:b w:val="1"/>
                <w:bCs w:val="1"/>
                <w:color w:val="auto"/>
              </w:rPr>
              <w:t>2018</w:t>
            </w:r>
          </w:p>
        </w:tc>
        <w:tc>
          <w:tcPr>
            <w:tcW w:w="100" w:type="dxa"/>
            <w:vAlign w:val="bottom"/>
            <w:tcBorders>
              <w:bottom w:val="single" w:sz="8" w:color="auto"/>
            </w:tcBorders>
          </w:tcPr>
          <w:p>
            <w:pPr>
              <w:spacing w:after="0"/>
              <w:rPr>
                <w:sz w:val="22"/>
                <w:szCs w:val="22"/>
                <w:color w:val="auto"/>
              </w:rPr>
            </w:pPr>
          </w:p>
        </w:tc>
        <w:tc>
          <w:tcPr>
            <w:tcW w:w="100" w:type="dxa"/>
            <w:vAlign w:val="bottom"/>
            <w:tcBorders>
              <w:bottom w:val="single" w:sz="8" w:color="auto"/>
            </w:tcBorders>
          </w:tcPr>
          <w:p>
            <w:pPr>
              <w:spacing w:after="0"/>
              <w:rPr>
                <w:sz w:val="22"/>
                <w:szCs w:val="22"/>
                <w:color w:val="auto"/>
              </w:rPr>
            </w:pPr>
          </w:p>
        </w:tc>
        <w:tc>
          <w:tcPr>
            <w:tcW w:w="220" w:type="dxa"/>
            <w:vAlign w:val="bottom"/>
            <w:tcBorders>
              <w:bottom w:val="single" w:sz="8" w:color="auto"/>
            </w:tcBorders>
          </w:tcPr>
          <w:p>
            <w:pPr>
              <w:spacing w:after="0"/>
              <w:rPr>
                <w:sz w:val="22"/>
                <w:szCs w:val="22"/>
                <w:color w:val="auto"/>
              </w:rPr>
            </w:pPr>
          </w:p>
        </w:tc>
        <w:tc>
          <w:tcPr>
            <w:tcW w:w="1040" w:type="dxa"/>
            <w:vAlign w:val="bottom"/>
            <w:tcBorders>
              <w:bottom w:val="single" w:sz="8" w:color="auto"/>
            </w:tcBorders>
          </w:tcPr>
          <w:p>
            <w:pPr>
              <w:jc w:val="right"/>
              <w:ind w:right="373"/>
              <w:spacing w:after="0"/>
              <w:rPr>
                <w:sz w:val="20"/>
                <w:szCs w:val="20"/>
                <w:color w:val="auto"/>
              </w:rPr>
            </w:pPr>
            <w:r>
              <w:rPr>
                <w:rFonts w:ascii="Arial" w:cs="Arial" w:eastAsia="Arial" w:hAnsi="Arial"/>
                <w:sz w:val="14"/>
                <w:szCs w:val="14"/>
                <w:b w:val="1"/>
                <w:bCs w:val="1"/>
                <w:color w:val="auto"/>
              </w:rPr>
              <w:t>2017</w:t>
            </w:r>
          </w:p>
        </w:tc>
        <w:tc>
          <w:tcPr>
            <w:tcW w:w="120" w:type="dxa"/>
            <w:vAlign w:val="bottom"/>
            <w:tcBorders>
              <w:bottom w:val="single" w:sz="8" w:color="auto"/>
            </w:tcBorders>
          </w:tcPr>
          <w:p>
            <w:pPr>
              <w:spacing w:after="0"/>
              <w:rPr>
                <w:sz w:val="22"/>
                <w:szCs w:val="22"/>
                <w:color w:val="auto"/>
              </w:rPr>
            </w:pPr>
          </w:p>
        </w:tc>
        <w:tc>
          <w:tcPr>
            <w:tcW w:w="360" w:type="dxa"/>
            <w:vAlign w:val="bottom"/>
            <w:tcBorders>
              <w:bottom w:val="single" w:sz="8" w:color="auto"/>
            </w:tcBorders>
          </w:tcPr>
          <w:p>
            <w:pPr>
              <w:spacing w:after="0"/>
              <w:rPr>
                <w:sz w:val="22"/>
                <w:szCs w:val="22"/>
                <w:color w:val="auto"/>
              </w:rPr>
            </w:pPr>
          </w:p>
        </w:tc>
        <w:tc>
          <w:tcPr>
            <w:tcW w:w="1020" w:type="dxa"/>
            <w:vAlign w:val="bottom"/>
            <w:tcBorders>
              <w:bottom w:val="single" w:sz="8" w:color="auto"/>
            </w:tcBorders>
          </w:tcPr>
          <w:p>
            <w:pPr>
              <w:jc w:val="right"/>
              <w:ind w:right="452"/>
              <w:spacing w:after="0"/>
              <w:rPr>
                <w:sz w:val="20"/>
                <w:szCs w:val="20"/>
                <w:color w:val="auto"/>
              </w:rPr>
            </w:pPr>
            <w:r>
              <w:rPr>
                <w:rFonts w:ascii="Arial" w:cs="Arial" w:eastAsia="Arial" w:hAnsi="Arial"/>
                <w:sz w:val="14"/>
                <w:szCs w:val="14"/>
                <w:b w:val="1"/>
                <w:bCs w:val="1"/>
                <w:color w:val="auto"/>
              </w:rPr>
              <w:t>2016</w:t>
            </w:r>
          </w:p>
        </w:tc>
        <w:tc>
          <w:tcPr>
            <w:tcW w:w="100" w:type="dxa"/>
            <w:vAlign w:val="bottom"/>
            <w:tcBorders>
              <w:bottom w:val="single" w:sz="8" w:color="auto"/>
            </w:tcBorders>
          </w:tcPr>
          <w:p>
            <w:pPr>
              <w:spacing w:after="0"/>
              <w:rPr>
                <w:sz w:val="22"/>
                <w:szCs w:val="22"/>
                <w:color w:val="auto"/>
              </w:rPr>
            </w:pPr>
          </w:p>
        </w:tc>
        <w:tc>
          <w:tcPr>
            <w:tcW w:w="340" w:type="dxa"/>
            <w:vAlign w:val="bottom"/>
            <w:tcBorders>
              <w:bottom w:val="single" w:sz="8" w:color="auto"/>
            </w:tcBorders>
          </w:tcPr>
          <w:p>
            <w:pPr>
              <w:spacing w:after="0"/>
              <w:rPr>
                <w:sz w:val="22"/>
                <w:szCs w:val="22"/>
                <w:color w:val="auto"/>
              </w:rPr>
            </w:pPr>
          </w:p>
        </w:tc>
        <w:tc>
          <w:tcPr>
            <w:tcW w:w="1040" w:type="dxa"/>
            <w:vAlign w:val="bottom"/>
            <w:tcBorders>
              <w:bottom w:val="single" w:sz="8" w:color="auto"/>
            </w:tcBorders>
          </w:tcPr>
          <w:p>
            <w:pPr>
              <w:jc w:val="right"/>
              <w:ind w:right="432"/>
              <w:spacing w:after="0"/>
              <w:rPr>
                <w:sz w:val="20"/>
                <w:szCs w:val="20"/>
                <w:color w:val="auto"/>
              </w:rPr>
            </w:pPr>
            <w:r>
              <w:rPr>
                <w:rFonts w:ascii="Arial" w:cs="Arial" w:eastAsia="Arial" w:hAnsi="Arial"/>
                <w:sz w:val="14"/>
                <w:szCs w:val="14"/>
                <w:b w:val="1"/>
                <w:bCs w:val="1"/>
                <w:color w:val="auto"/>
              </w:rPr>
              <w:t>2015</w:t>
            </w:r>
          </w:p>
        </w:tc>
      </w:tr>
      <w:tr>
        <w:trPr>
          <w:trHeight w:val="210"/>
        </w:trPr>
        <w:tc>
          <w:tcPr>
            <w:tcW w:w="40" w:type="dxa"/>
            <w:vAlign w:val="bottom"/>
          </w:tcPr>
          <w:p>
            <w:pPr>
              <w:spacing w:after="0"/>
              <w:rPr>
                <w:sz w:val="18"/>
                <w:szCs w:val="18"/>
                <w:color w:val="auto"/>
              </w:rPr>
            </w:pPr>
          </w:p>
        </w:tc>
        <w:tc>
          <w:tcPr>
            <w:tcW w:w="152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60" w:type="dxa"/>
            <w:vAlign w:val="bottom"/>
            <w:gridSpan w:val="2"/>
          </w:tcPr>
          <w:p>
            <w:pPr>
              <w:jc w:val="center"/>
              <w:ind w:right="200"/>
              <w:spacing w:after="0"/>
              <w:rPr>
                <w:sz w:val="20"/>
                <w:szCs w:val="20"/>
                <w:color w:val="auto"/>
              </w:rPr>
            </w:pPr>
            <w:r>
              <w:rPr>
                <w:rFonts w:ascii="Arial" w:cs="Arial" w:eastAsia="Arial" w:hAnsi="Arial"/>
                <w:sz w:val="14"/>
                <w:szCs w:val="14"/>
                <w:b w:val="1"/>
                <w:bCs w:val="1"/>
                <w:color w:val="auto"/>
              </w:rPr>
              <w:t>(In millions)</w:t>
            </w:r>
          </w:p>
        </w:tc>
        <w:tc>
          <w:tcPr>
            <w:tcW w:w="36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040" w:type="dxa"/>
            <w:vAlign w:val="bottom"/>
          </w:tcPr>
          <w:p>
            <w:pPr>
              <w:spacing w:after="0"/>
              <w:rPr>
                <w:sz w:val="18"/>
                <w:szCs w:val="18"/>
                <w:color w:val="auto"/>
              </w:rPr>
            </w:pPr>
          </w:p>
        </w:tc>
      </w:tr>
      <w:tr>
        <w:trPr>
          <w:trHeight w:val="256"/>
        </w:trPr>
        <w:tc>
          <w:tcPr>
            <w:tcW w:w="40" w:type="dxa"/>
            <w:vAlign w:val="bottom"/>
            <w:tcBorders>
              <w:bottom w:val="single" w:sz="8" w:color="CCEEFF"/>
            </w:tcBorders>
            <w:shd w:val="clear" w:color="auto" w:fill="CCEEFF"/>
          </w:tcPr>
          <w:p>
            <w:pPr>
              <w:spacing w:after="0"/>
              <w:rPr>
                <w:sz w:val="22"/>
                <w:szCs w:val="22"/>
                <w:color w:val="auto"/>
              </w:rPr>
            </w:pPr>
          </w:p>
        </w:tc>
        <w:tc>
          <w:tcPr>
            <w:tcW w:w="3860" w:type="dxa"/>
            <w:vAlign w:val="bottom"/>
            <w:tcBorders>
              <w:bottom w:val="single" w:sz="8" w:color="auto"/>
            </w:tcBorders>
            <w:gridSpan w:val="3"/>
            <w:shd w:val="clear" w:color="auto" w:fill="CCEEFF"/>
          </w:tcPr>
          <w:p>
            <w:pPr>
              <w:spacing w:after="0"/>
              <w:rPr>
                <w:sz w:val="20"/>
                <w:szCs w:val="20"/>
                <w:color w:val="auto"/>
              </w:rPr>
            </w:pPr>
            <w:r>
              <w:rPr>
                <w:rFonts w:ascii="Arial" w:cs="Arial" w:eastAsia="Arial" w:hAnsi="Arial"/>
                <w:sz w:val="18"/>
                <w:szCs w:val="18"/>
                <w:b w:val="1"/>
                <w:bCs w:val="1"/>
                <w:color w:val="auto"/>
                <w:w w:val="99"/>
              </w:rPr>
              <w:t>Consolidated Statements of Operations data:</w:t>
            </w:r>
          </w:p>
        </w:tc>
        <w:tc>
          <w:tcPr>
            <w:tcW w:w="420" w:type="dxa"/>
            <w:vAlign w:val="bottom"/>
            <w:tcBorders>
              <w:bottom w:val="single" w:sz="8" w:color="CCEEFF"/>
            </w:tcBorders>
            <w:shd w:val="clear" w:color="auto" w:fill="CCEEFF"/>
          </w:tcPr>
          <w:p>
            <w:pPr>
              <w:spacing w:after="0"/>
              <w:rPr>
                <w:sz w:val="22"/>
                <w:szCs w:val="22"/>
                <w:color w:val="auto"/>
              </w:rPr>
            </w:pPr>
          </w:p>
        </w:tc>
        <w:tc>
          <w:tcPr>
            <w:tcW w:w="300" w:type="dxa"/>
            <w:vAlign w:val="bottom"/>
            <w:tcBorders>
              <w:bottom w:val="single" w:sz="8" w:color="CCEEFF"/>
            </w:tcBorders>
            <w:shd w:val="clear" w:color="auto" w:fill="CCEEFF"/>
          </w:tcPr>
          <w:p>
            <w:pPr>
              <w:spacing w:after="0"/>
              <w:rPr>
                <w:sz w:val="22"/>
                <w:szCs w:val="22"/>
                <w:color w:val="auto"/>
              </w:rPr>
            </w:pPr>
          </w:p>
        </w:tc>
        <w:tc>
          <w:tcPr>
            <w:tcW w:w="96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320" w:type="dxa"/>
            <w:vAlign w:val="bottom"/>
            <w:tcBorders>
              <w:bottom w:val="single" w:sz="8" w:color="CCEEFF"/>
            </w:tcBorders>
            <w:shd w:val="clear" w:color="auto" w:fill="CCEEFF"/>
          </w:tcPr>
          <w:p>
            <w:pPr>
              <w:spacing w:after="0"/>
              <w:rPr>
                <w:sz w:val="22"/>
                <w:szCs w:val="22"/>
                <w:color w:val="auto"/>
              </w:rPr>
            </w:pPr>
          </w:p>
        </w:tc>
        <w:tc>
          <w:tcPr>
            <w:tcW w:w="96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CCEEFF"/>
            </w:tcBorders>
            <w:shd w:val="clear" w:color="auto" w:fill="CCEEFF"/>
          </w:tcPr>
          <w:p>
            <w:pPr>
              <w:spacing w:after="0"/>
              <w:rPr>
                <w:sz w:val="22"/>
                <w:szCs w:val="22"/>
                <w:color w:val="auto"/>
              </w:rPr>
            </w:pPr>
          </w:p>
        </w:tc>
        <w:tc>
          <w:tcPr>
            <w:tcW w:w="104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360" w:type="dxa"/>
            <w:vAlign w:val="bottom"/>
            <w:tcBorders>
              <w:bottom w:val="single" w:sz="8" w:color="CCEEFF"/>
            </w:tcBorders>
            <w:shd w:val="clear" w:color="auto" w:fill="CCEEFF"/>
          </w:tcPr>
          <w:p>
            <w:pPr>
              <w:spacing w:after="0"/>
              <w:rPr>
                <w:sz w:val="22"/>
                <w:szCs w:val="22"/>
                <w:color w:val="auto"/>
              </w:rPr>
            </w:pPr>
          </w:p>
        </w:tc>
        <w:tc>
          <w:tcPr>
            <w:tcW w:w="102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340" w:type="dxa"/>
            <w:vAlign w:val="bottom"/>
            <w:tcBorders>
              <w:bottom w:val="single" w:sz="8" w:color="CCEEFF"/>
            </w:tcBorders>
            <w:shd w:val="clear" w:color="auto" w:fill="CCEEFF"/>
          </w:tcPr>
          <w:p>
            <w:pPr>
              <w:spacing w:after="0"/>
              <w:rPr>
                <w:sz w:val="22"/>
                <w:szCs w:val="22"/>
                <w:color w:val="auto"/>
              </w:rPr>
            </w:pPr>
          </w:p>
        </w:tc>
        <w:tc>
          <w:tcPr>
            <w:tcW w:w="1040" w:type="dxa"/>
            <w:vAlign w:val="bottom"/>
            <w:tcBorders>
              <w:bottom w:val="single" w:sz="8" w:color="CCEEFF"/>
            </w:tcBorders>
            <w:shd w:val="clear" w:color="auto" w:fill="CCEEFF"/>
          </w:tcPr>
          <w:p>
            <w:pPr>
              <w:spacing w:after="0"/>
              <w:rPr>
                <w:sz w:val="22"/>
                <w:szCs w:val="22"/>
                <w:color w:val="auto"/>
              </w:rPr>
            </w:pPr>
          </w:p>
        </w:tc>
      </w:tr>
      <w:tr>
        <w:trPr>
          <w:trHeight w:val="263"/>
        </w:trPr>
        <w:tc>
          <w:tcPr>
            <w:tcW w:w="40" w:type="dxa"/>
            <w:vAlign w:val="bottom"/>
          </w:tcPr>
          <w:p>
            <w:pPr>
              <w:spacing w:after="0"/>
              <w:rPr>
                <w:sz w:val="22"/>
                <w:szCs w:val="22"/>
                <w:color w:val="auto"/>
              </w:rPr>
            </w:pPr>
          </w:p>
        </w:tc>
        <w:tc>
          <w:tcPr>
            <w:tcW w:w="4280" w:type="dxa"/>
            <w:vAlign w:val="bottom"/>
            <w:gridSpan w:val="4"/>
          </w:tcPr>
          <w:p>
            <w:pPr>
              <w:spacing w:after="0"/>
              <w:rPr>
                <w:sz w:val="20"/>
                <w:szCs w:val="20"/>
                <w:color w:val="auto"/>
              </w:rPr>
            </w:pPr>
            <w:r>
              <w:rPr>
                <w:rFonts w:ascii="Arial" w:cs="Arial" w:eastAsia="Arial" w:hAnsi="Arial"/>
                <w:sz w:val="18"/>
                <w:szCs w:val="18"/>
                <w:color w:val="auto"/>
              </w:rPr>
              <w:t>Total operating revenues</w:t>
            </w:r>
          </w:p>
        </w:tc>
        <w:tc>
          <w:tcPr>
            <w:tcW w:w="300" w:type="dxa"/>
            <w:vAlign w:val="bottom"/>
          </w:tcPr>
          <w:p>
            <w:pPr>
              <w:jc w:val="right"/>
              <w:ind w:right="90"/>
              <w:spacing w:after="0"/>
              <w:rPr>
                <w:sz w:val="20"/>
                <w:szCs w:val="20"/>
                <w:color w:val="auto"/>
              </w:rPr>
            </w:pPr>
            <w:r>
              <w:rPr>
                <w:rFonts w:ascii="Arial" w:cs="Arial" w:eastAsia="Arial" w:hAnsi="Arial"/>
                <w:sz w:val="18"/>
                <w:szCs w:val="18"/>
                <w:color w:val="auto"/>
                <w:w w:val="99"/>
              </w:rPr>
              <w:t>$</w:t>
            </w:r>
          </w:p>
        </w:tc>
        <w:tc>
          <w:tcPr>
            <w:tcW w:w="960" w:type="dxa"/>
            <w:vAlign w:val="bottom"/>
          </w:tcPr>
          <w:p>
            <w:pPr>
              <w:jc w:val="right"/>
              <w:ind w:right="12"/>
              <w:spacing w:after="0"/>
              <w:rPr>
                <w:sz w:val="20"/>
                <w:szCs w:val="20"/>
                <w:color w:val="auto"/>
              </w:rPr>
            </w:pPr>
            <w:r>
              <w:rPr>
                <w:rFonts w:ascii="Arial" w:cs="Arial" w:eastAsia="Arial" w:hAnsi="Arial"/>
                <w:sz w:val="18"/>
                <w:szCs w:val="18"/>
                <w:color w:val="auto"/>
              </w:rPr>
              <w:t>45,761</w:t>
            </w:r>
          </w:p>
        </w:tc>
        <w:tc>
          <w:tcPr>
            <w:tcW w:w="120" w:type="dxa"/>
            <w:vAlign w:val="bottom"/>
          </w:tcPr>
          <w:p>
            <w:pPr>
              <w:spacing w:after="0"/>
              <w:rPr>
                <w:sz w:val="22"/>
                <w:szCs w:val="22"/>
                <w:color w:val="auto"/>
              </w:rPr>
            </w:pPr>
          </w:p>
        </w:tc>
        <w:tc>
          <w:tcPr>
            <w:tcW w:w="320" w:type="dxa"/>
            <w:vAlign w:val="bottom"/>
          </w:tcPr>
          <w:p>
            <w:pPr>
              <w:jc w:val="right"/>
              <w:ind w:right="110"/>
              <w:spacing w:after="0"/>
              <w:rPr>
                <w:sz w:val="20"/>
                <w:szCs w:val="20"/>
                <w:color w:val="auto"/>
              </w:rPr>
            </w:pPr>
            <w:r>
              <w:rPr>
                <w:rFonts w:ascii="Arial" w:cs="Arial" w:eastAsia="Arial" w:hAnsi="Arial"/>
                <w:sz w:val="18"/>
                <w:szCs w:val="18"/>
                <w:color w:val="auto"/>
                <w:w w:val="99"/>
              </w:rPr>
              <w:t>$</w:t>
            </w:r>
          </w:p>
        </w:tc>
        <w:tc>
          <w:tcPr>
            <w:tcW w:w="960" w:type="dxa"/>
            <w:vAlign w:val="bottom"/>
          </w:tcPr>
          <w:p>
            <w:pPr>
              <w:jc w:val="right"/>
              <w:spacing w:after="0"/>
              <w:rPr>
                <w:sz w:val="20"/>
                <w:szCs w:val="20"/>
                <w:color w:val="auto"/>
              </w:rPr>
            </w:pPr>
            <w:r>
              <w:rPr>
                <w:rFonts w:ascii="Arial" w:cs="Arial" w:eastAsia="Arial" w:hAnsi="Arial"/>
                <w:sz w:val="18"/>
                <w:szCs w:val="18"/>
                <w:color w:val="auto"/>
              </w:rPr>
              <w:t>44,530</w:t>
            </w:r>
          </w:p>
        </w:tc>
        <w:tc>
          <w:tcPr>
            <w:tcW w:w="420" w:type="dxa"/>
            <w:vAlign w:val="bottom"/>
            <w:gridSpan w:val="3"/>
          </w:tcPr>
          <w:p>
            <w:pPr>
              <w:jc w:val="right"/>
              <w:ind w:right="100"/>
              <w:spacing w:after="0"/>
              <w:rPr>
                <w:sz w:val="20"/>
                <w:szCs w:val="20"/>
                <w:color w:val="auto"/>
              </w:rPr>
            </w:pPr>
            <w:r>
              <w:rPr>
                <w:rFonts w:ascii="Arial" w:cs="Arial" w:eastAsia="Arial" w:hAnsi="Arial"/>
                <w:sz w:val="18"/>
                <w:szCs w:val="18"/>
                <w:color w:val="auto"/>
              </w:rPr>
              <w:t>$</w:t>
            </w:r>
          </w:p>
        </w:tc>
        <w:tc>
          <w:tcPr>
            <w:tcW w:w="1040" w:type="dxa"/>
            <w:vAlign w:val="bottom"/>
          </w:tcPr>
          <w:p>
            <w:pPr>
              <w:jc w:val="right"/>
              <w:ind w:right="13"/>
              <w:spacing w:after="0"/>
              <w:rPr>
                <w:sz w:val="20"/>
                <w:szCs w:val="20"/>
                <w:color w:val="auto"/>
              </w:rPr>
            </w:pPr>
            <w:r>
              <w:rPr>
                <w:rFonts w:ascii="Arial" w:cs="Arial" w:eastAsia="Arial" w:hAnsi="Arial"/>
                <w:sz w:val="18"/>
                <w:szCs w:val="18"/>
                <w:color w:val="auto"/>
              </w:rPr>
              <w:t>42,610</w:t>
            </w:r>
          </w:p>
        </w:tc>
        <w:tc>
          <w:tcPr>
            <w:tcW w:w="120" w:type="dxa"/>
            <w:vAlign w:val="bottom"/>
          </w:tcPr>
          <w:p>
            <w:pPr>
              <w:spacing w:after="0"/>
              <w:rPr>
                <w:sz w:val="22"/>
                <w:szCs w:val="22"/>
                <w:color w:val="auto"/>
              </w:rPr>
            </w:pPr>
          </w:p>
        </w:tc>
        <w:tc>
          <w:tcPr>
            <w:tcW w:w="360" w:type="dxa"/>
            <w:vAlign w:val="bottom"/>
          </w:tcPr>
          <w:p>
            <w:pPr>
              <w:jc w:val="right"/>
              <w:ind w:right="150"/>
              <w:spacing w:after="0"/>
              <w:rPr>
                <w:sz w:val="20"/>
                <w:szCs w:val="20"/>
                <w:color w:val="auto"/>
              </w:rPr>
            </w:pPr>
            <w:r>
              <w:rPr>
                <w:rFonts w:ascii="Arial" w:cs="Arial" w:eastAsia="Arial" w:hAnsi="Arial"/>
                <w:sz w:val="18"/>
                <w:szCs w:val="18"/>
                <w:color w:val="auto"/>
                <w:w w:val="99"/>
              </w:rPr>
              <w:t>$</w:t>
            </w:r>
          </w:p>
        </w:tc>
        <w:tc>
          <w:tcPr>
            <w:tcW w:w="1020" w:type="dxa"/>
            <w:vAlign w:val="bottom"/>
          </w:tcPr>
          <w:p>
            <w:pPr>
              <w:jc w:val="right"/>
              <w:ind w:right="32"/>
              <w:spacing w:after="0"/>
              <w:rPr>
                <w:sz w:val="20"/>
                <w:szCs w:val="20"/>
                <w:color w:val="auto"/>
              </w:rPr>
            </w:pPr>
            <w:r>
              <w:rPr>
                <w:rFonts w:ascii="Arial" w:cs="Arial" w:eastAsia="Arial" w:hAnsi="Arial"/>
                <w:sz w:val="18"/>
                <w:szCs w:val="18"/>
                <w:color w:val="auto"/>
              </w:rPr>
              <w:t>40,125</w:t>
            </w:r>
          </w:p>
        </w:tc>
        <w:tc>
          <w:tcPr>
            <w:tcW w:w="100" w:type="dxa"/>
            <w:vAlign w:val="bottom"/>
          </w:tcPr>
          <w:p>
            <w:pPr>
              <w:spacing w:after="0"/>
              <w:rPr>
                <w:sz w:val="22"/>
                <w:szCs w:val="22"/>
                <w:color w:val="auto"/>
              </w:rPr>
            </w:pPr>
          </w:p>
        </w:tc>
        <w:tc>
          <w:tcPr>
            <w:tcW w:w="340" w:type="dxa"/>
            <w:vAlign w:val="bottom"/>
          </w:tcPr>
          <w:p>
            <w:pPr>
              <w:jc w:val="right"/>
              <w:ind w:right="130"/>
              <w:spacing w:after="0"/>
              <w:rPr>
                <w:sz w:val="20"/>
                <w:szCs w:val="20"/>
                <w:color w:val="auto"/>
              </w:rPr>
            </w:pPr>
            <w:r>
              <w:rPr>
                <w:rFonts w:ascii="Arial" w:cs="Arial" w:eastAsia="Arial" w:hAnsi="Arial"/>
                <w:sz w:val="18"/>
                <w:szCs w:val="18"/>
                <w:color w:val="auto"/>
                <w:w w:val="99"/>
              </w:rPr>
              <w:t>$</w:t>
            </w:r>
          </w:p>
        </w:tc>
        <w:tc>
          <w:tcPr>
            <w:tcW w:w="1040" w:type="dxa"/>
            <w:vAlign w:val="bottom"/>
          </w:tcPr>
          <w:p>
            <w:pPr>
              <w:jc w:val="right"/>
              <w:ind w:right="12"/>
              <w:spacing w:after="0"/>
              <w:rPr>
                <w:sz w:val="20"/>
                <w:szCs w:val="20"/>
                <w:color w:val="auto"/>
              </w:rPr>
            </w:pPr>
            <w:r>
              <w:rPr>
                <w:rFonts w:ascii="Arial" w:cs="Arial" w:eastAsia="Arial" w:hAnsi="Arial"/>
                <w:sz w:val="18"/>
                <w:szCs w:val="18"/>
                <w:color w:val="auto"/>
              </w:rPr>
              <w:t>40,938</w:t>
            </w:r>
          </w:p>
        </w:tc>
      </w:tr>
      <w:tr>
        <w:trPr>
          <w:trHeight w:val="277"/>
        </w:trPr>
        <w:tc>
          <w:tcPr>
            <w:tcW w:w="40" w:type="dxa"/>
            <w:vAlign w:val="bottom"/>
            <w:shd w:val="clear" w:color="auto" w:fill="CCEEFF"/>
          </w:tcPr>
          <w:p>
            <w:pPr>
              <w:spacing w:after="0"/>
              <w:rPr>
                <w:sz w:val="24"/>
                <w:szCs w:val="24"/>
                <w:color w:val="auto"/>
              </w:rPr>
            </w:pPr>
          </w:p>
        </w:tc>
        <w:tc>
          <w:tcPr>
            <w:tcW w:w="4280" w:type="dxa"/>
            <w:vAlign w:val="bottom"/>
            <w:gridSpan w:val="4"/>
            <w:shd w:val="clear" w:color="auto" w:fill="CCEEFF"/>
          </w:tcPr>
          <w:p>
            <w:pPr>
              <w:spacing w:after="0"/>
              <w:rPr>
                <w:sz w:val="20"/>
                <w:szCs w:val="20"/>
                <w:color w:val="auto"/>
              </w:rPr>
            </w:pPr>
            <w:r>
              <w:rPr>
                <w:rFonts w:ascii="Arial" w:cs="Arial" w:eastAsia="Arial" w:hAnsi="Arial"/>
                <w:sz w:val="18"/>
                <w:szCs w:val="18"/>
                <w:color w:val="auto"/>
              </w:rPr>
              <w:t>Total operating expenses</w:t>
            </w:r>
          </w:p>
        </w:tc>
        <w:tc>
          <w:tcPr>
            <w:tcW w:w="300" w:type="dxa"/>
            <w:vAlign w:val="bottom"/>
            <w:tcBorders>
              <w:bottom w:val="single" w:sz="8" w:color="auto"/>
            </w:tcBorders>
            <w:shd w:val="clear" w:color="auto" w:fill="CCEEFF"/>
          </w:tcPr>
          <w:p>
            <w:pPr>
              <w:spacing w:after="0"/>
              <w:rPr>
                <w:sz w:val="24"/>
                <w:szCs w:val="24"/>
                <w:color w:val="auto"/>
              </w:rPr>
            </w:pPr>
          </w:p>
        </w:tc>
        <w:tc>
          <w:tcPr>
            <w:tcW w:w="960" w:type="dxa"/>
            <w:vAlign w:val="bottom"/>
            <w:tcBorders>
              <w:bottom w:val="single" w:sz="8" w:color="auto"/>
            </w:tcBorders>
            <w:shd w:val="clear" w:color="auto" w:fill="CCEEFF"/>
          </w:tcPr>
          <w:p>
            <w:pPr>
              <w:jc w:val="right"/>
              <w:ind w:right="12"/>
              <w:spacing w:after="0"/>
              <w:rPr>
                <w:sz w:val="20"/>
                <w:szCs w:val="20"/>
                <w:color w:val="auto"/>
              </w:rPr>
            </w:pPr>
            <w:r>
              <w:rPr>
                <w:rFonts w:ascii="Arial" w:cs="Arial" w:eastAsia="Arial" w:hAnsi="Arial"/>
                <w:sz w:val="18"/>
                <w:szCs w:val="18"/>
                <w:color w:val="auto"/>
              </w:rPr>
              <w:t>42,714</w:t>
            </w:r>
          </w:p>
        </w:tc>
        <w:tc>
          <w:tcPr>
            <w:tcW w:w="120" w:type="dxa"/>
            <w:vAlign w:val="bottom"/>
            <w:shd w:val="clear" w:color="auto" w:fill="CCEEFF"/>
          </w:tcPr>
          <w:p>
            <w:pPr>
              <w:spacing w:after="0"/>
              <w:rPr>
                <w:sz w:val="24"/>
                <w:szCs w:val="24"/>
                <w:color w:val="auto"/>
              </w:rPr>
            </w:pPr>
          </w:p>
        </w:tc>
        <w:tc>
          <w:tcPr>
            <w:tcW w:w="320" w:type="dxa"/>
            <w:vAlign w:val="bottom"/>
            <w:tcBorders>
              <w:bottom w:val="single" w:sz="8" w:color="auto"/>
            </w:tcBorders>
            <w:shd w:val="clear" w:color="auto" w:fill="CCEEFF"/>
          </w:tcPr>
          <w:p>
            <w:pPr>
              <w:spacing w:after="0"/>
              <w:rPr>
                <w:sz w:val="24"/>
                <w:szCs w:val="24"/>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41,807</w:t>
            </w:r>
          </w:p>
        </w:tc>
        <w:tc>
          <w:tcPr>
            <w:tcW w:w="100" w:type="dxa"/>
            <w:vAlign w:val="bottom"/>
            <w:tcBorders>
              <w:bottom w:val="single" w:sz="8" w:color="auto"/>
            </w:tcBorders>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220" w:type="dxa"/>
            <w:vAlign w:val="bottom"/>
            <w:tcBorders>
              <w:bottom w:val="single" w:sz="8" w:color="auto"/>
            </w:tcBorders>
            <w:shd w:val="clear" w:color="auto" w:fill="CCEEFF"/>
          </w:tcPr>
          <w:p>
            <w:pPr>
              <w:spacing w:after="0"/>
              <w:rPr>
                <w:sz w:val="24"/>
                <w:szCs w:val="24"/>
                <w:color w:val="auto"/>
              </w:rPr>
            </w:pPr>
          </w:p>
        </w:tc>
        <w:tc>
          <w:tcPr>
            <w:tcW w:w="1040" w:type="dxa"/>
            <w:vAlign w:val="bottom"/>
            <w:tcBorders>
              <w:bottom w:val="single" w:sz="8" w:color="auto"/>
            </w:tcBorders>
            <w:shd w:val="clear" w:color="auto" w:fill="CCEEFF"/>
          </w:tcPr>
          <w:p>
            <w:pPr>
              <w:jc w:val="right"/>
              <w:ind w:right="13"/>
              <w:spacing w:after="0"/>
              <w:rPr>
                <w:sz w:val="20"/>
                <w:szCs w:val="20"/>
                <w:color w:val="auto"/>
              </w:rPr>
            </w:pPr>
            <w:r>
              <w:rPr>
                <w:rFonts w:ascii="Arial" w:cs="Arial" w:eastAsia="Arial" w:hAnsi="Arial"/>
                <w:sz w:val="18"/>
                <w:szCs w:val="18"/>
                <w:color w:val="auto"/>
              </w:rPr>
              <w:t>38,405</w:t>
            </w:r>
          </w:p>
        </w:tc>
        <w:tc>
          <w:tcPr>
            <w:tcW w:w="120" w:type="dxa"/>
            <w:vAlign w:val="bottom"/>
            <w:shd w:val="clear" w:color="auto" w:fill="CCEEFF"/>
          </w:tcPr>
          <w:p>
            <w:pPr>
              <w:spacing w:after="0"/>
              <w:rPr>
                <w:sz w:val="24"/>
                <w:szCs w:val="24"/>
                <w:color w:val="auto"/>
              </w:rPr>
            </w:pPr>
          </w:p>
        </w:tc>
        <w:tc>
          <w:tcPr>
            <w:tcW w:w="360" w:type="dxa"/>
            <w:vAlign w:val="bottom"/>
            <w:tcBorders>
              <w:bottom w:val="single" w:sz="8" w:color="auto"/>
            </w:tcBorders>
            <w:shd w:val="clear" w:color="auto" w:fill="CCEEFF"/>
          </w:tcPr>
          <w:p>
            <w:pPr>
              <w:spacing w:after="0"/>
              <w:rPr>
                <w:sz w:val="24"/>
                <w:szCs w:val="24"/>
                <w:color w:val="auto"/>
              </w:rPr>
            </w:pPr>
          </w:p>
        </w:tc>
        <w:tc>
          <w:tcPr>
            <w:tcW w:w="1020" w:type="dxa"/>
            <w:vAlign w:val="bottom"/>
            <w:tcBorders>
              <w:bottom w:val="single" w:sz="8" w:color="auto"/>
            </w:tcBorders>
            <w:shd w:val="clear" w:color="auto" w:fill="CCEEFF"/>
          </w:tcPr>
          <w:p>
            <w:pPr>
              <w:jc w:val="right"/>
              <w:ind w:right="32"/>
              <w:spacing w:after="0"/>
              <w:rPr>
                <w:sz w:val="20"/>
                <w:szCs w:val="20"/>
                <w:color w:val="auto"/>
              </w:rPr>
            </w:pPr>
            <w:r>
              <w:rPr>
                <w:rFonts w:ascii="Arial" w:cs="Arial" w:eastAsia="Arial" w:hAnsi="Arial"/>
                <w:sz w:val="18"/>
                <w:szCs w:val="18"/>
                <w:color w:val="auto"/>
              </w:rPr>
              <w:t>35,045</w:t>
            </w:r>
          </w:p>
        </w:tc>
        <w:tc>
          <w:tcPr>
            <w:tcW w:w="100" w:type="dxa"/>
            <w:vAlign w:val="bottom"/>
            <w:shd w:val="clear" w:color="auto" w:fill="CCEEFF"/>
          </w:tcPr>
          <w:p>
            <w:pPr>
              <w:spacing w:after="0"/>
              <w:rPr>
                <w:sz w:val="24"/>
                <w:szCs w:val="24"/>
                <w:color w:val="auto"/>
              </w:rPr>
            </w:pPr>
          </w:p>
        </w:tc>
        <w:tc>
          <w:tcPr>
            <w:tcW w:w="340" w:type="dxa"/>
            <w:vAlign w:val="bottom"/>
            <w:tcBorders>
              <w:bottom w:val="single" w:sz="8" w:color="auto"/>
            </w:tcBorders>
            <w:shd w:val="clear" w:color="auto" w:fill="CCEEFF"/>
          </w:tcPr>
          <w:p>
            <w:pPr>
              <w:spacing w:after="0"/>
              <w:rPr>
                <w:sz w:val="24"/>
                <w:szCs w:val="24"/>
                <w:color w:val="auto"/>
              </w:rPr>
            </w:pPr>
          </w:p>
        </w:tc>
        <w:tc>
          <w:tcPr>
            <w:tcW w:w="1040" w:type="dxa"/>
            <w:vAlign w:val="bottom"/>
            <w:tcBorders>
              <w:bottom w:val="single" w:sz="8" w:color="auto"/>
            </w:tcBorders>
            <w:shd w:val="clear" w:color="auto" w:fill="CCEEFF"/>
          </w:tcPr>
          <w:p>
            <w:pPr>
              <w:jc w:val="right"/>
              <w:ind w:right="12"/>
              <w:spacing w:after="0"/>
              <w:rPr>
                <w:sz w:val="20"/>
                <w:szCs w:val="20"/>
                <w:color w:val="auto"/>
              </w:rPr>
            </w:pPr>
            <w:r>
              <w:rPr>
                <w:rFonts w:ascii="Arial" w:cs="Arial" w:eastAsia="Arial" w:hAnsi="Arial"/>
                <w:sz w:val="18"/>
                <w:szCs w:val="18"/>
                <w:color w:val="auto"/>
              </w:rPr>
              <w:t>34,749</w:t>
            </w:r>
          </w:p>
        </w:tc>
      </w:tr>
      <w:tr>
        <w:trPr>
          <w:trHeight w:val="243"/>
        </w:trPr>
        <w:tc>
          <w:tcPr>
            <w:tcW w:w="40" w:type="dxa"/>
            <w:vAlign w:val="bottom"/>
          </w:tcPr>
          <w:p>
            <w:pPr>
              <w:spacing w:after="0"/>
              <w:rPr>
                <w:sz w:val="21"/>
                <w:szCs w:val="21"/>
                <w:color w:val="auto"/>
              </w:rPr>
            </w:pPr>
          </w:p>
        </w:tc>
        <w:tc>
          <w:tcPr>
            <w:tcW w:w="4280" w:type="dxa"/>
            <w:vAlign w:val="bottom"/>
            <w:gridSpan w:val="4"/>
          </w:tcPr>
          <w:p>
            <w:pPr>
              <w:spacing w:after="0"/>
              <w:rPr>
                <w:sz w:val="20"/>
                <w:szCs w:val="20"/>
                <w:color w:val="auto"/>
              </w:rPr>
            </w:pPr>
            <w:r>
              <w:rPr>
                <w:rFonts w:ascii="Arial" w:cs="Arial" w:eastAsia="Arial" w:hAnsi="Arial"/>
                <w:sz w:val="18"/>
                <w:szCs w:val="18"/>
                <w:color w:val="auto"/>
              </w:rPr>
              <w:t>Operating income</w:t>
            </w:r>
          </w:p>
        </w:tc>
        <w:tc>
          <w:tcPr>
            <w:tcW w:w="300" w:type="dxa"/>
            <w:vAlign w:val="bottom"/>
          </w:tcPr>
          <w:p>
            <w:pPr>
              <w:spacing w:after="0"/>
              <w:rPr>
                <w:sz w:val="21"/>
                <w:szCs w:val="21"/>
                <w:color w:val="auto"/>
              </w:rPr>
            </w:pPr>
          </w:p>
        </w:tc>
        <w:tc>
          <w:tcPr>
            <w:tcW w:w="960" w:type="dxa"/>
            <w:vAlign w:val="bottom"/>
          </w:tcPr>
          <w:p>
            <w:pPr>
              <w:jc w:val="right"/>
              <w:ind w:right="12"/>
              <w:spacing w:after="0"/>
              <w:rPr>
                <w:sz w:val="20"/>
                <w:szCs w:val="20"/>
                <w:color w:val="auto"/>
              </w:rPr>
            </w:pPr>
            <w:r>
              <w:rPr>
                <w:rFonts w:ascii="Arial" w:cs="Arial" w:eastAsia="Arial" w:hAnsi="Arial"/>
                <w:sz w:val="18"/>
                <w:szCs w:val="18"/>
                <w:color w:val="auto"/>
              </w:rPr>
              <w:t>3,047</w:t>
            </w:r>
          </w:p>
        </w:tc>
        <w:tc>
          <w:tcPr>
            <w:tcW w:w="1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2,723</w:t>
            </w:r>
          </w:p>
        </w:tc>
        <w:tc>
          <w:tcPr>
            <w:tcW w:w="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040" w:type="dxa"/>
            <w:vAlign w:val="bottom"/>
          </w:tcPr>
          <w:p>
            <w:pPr>
              <w:jc w:val="right"/>
              <w:ind w:right="13"/>
              <w:spacing w:after="0"/>
              <w:rPr>
                <w:sz w:val="20"/>
                <w:szCs w:val="20"/>
                <w:color w:val="auto"/>
              </w:rPr>
            </w:pPr>
            <w:r>
              <w:rPr>
                <w:rFonts w:ascii="Arial" w:cs="Arial" w:eastAsia="Arial" w:hAnsi="Arial"/>
                <w:sz w:val="18"/>
                <w:szCs w:val="18"/>
                <w:color w:val="auto"/>
              </w:rPr>
              <w:t>4,205</w:t>
            </w:r>
          </w:p>
        </w:tc>
        <w:tc>
          <w:tcPr>
            <w:tcW w:w="12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020" w:type="dxa"/>
            <w:vAlign w:val="bottom"/>
          </w:tcPr>
          <w:p>
            <w:pPr>
              <w:jc w:val="right"/>
              <w:ind w:right="32"/>
              <w:spacing w:after="0"/>
              <w:rPr>
                <w:sz w:val="20"/>
                <w:szCs w:val="20"/>
                <w:color w:val="auto"/>
              </w:rPr>
            </w:pPr>
            <w:r>
              <w:rPr>
                <w:rFonts w:ascii="Arial" w:cs="Arial" w:eastAsia="Arial" w:hAnsi="Arial"/>
                <w:sz w:val="18"/>
                <w:szCs w:val="18"/>
                <w:color w:val="auto"/>
              </w:rPr>
              <w:t>5,080</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040" w:type="dxa"/>
            <w:vAlign w:val="bottom"/>
          </w:tcPr>
          <w:p>
            <w:pPr>
              <w:jc w:val="right"/>
              <w:ind w:right="12"/>
              <w:spacing w:after="0"/>
              <w:rPr>
                <w:sz w:val="20"/>
                <w:szCs w:val="20"/>
                <w:color w:val="auto"/>
              </w:rPr>
            </w:pPr>
            <w:r>
              <w:rPr>
                <w:rFonts w:ascii="Arial" w:cs="Arial" w:eastAsia="Arial" w:hAnsi="Arial"/>
                <w:sz w:val="18"/>
                <w:szCs w:val="18"/>
                <w:color w:val="auto"/>
              </w:rPr>
              <w:t>6,189</w:t>
            </w:r>
          </w:p>
        </w:tc>
      </w:tr>
      <w:tr>
        <w:trPr>
          <w:trHeight w:val="277"/>
        </w:trPr>
        <w:tc>
          <w:tcPr>
            <w:tcW w:w="40" w:type="dxa"/>
            <w:vAlign w:val="bottom"/>
            <w:shd w:val="clear" w:color="auto" w:fill="CCEEFF"/>
          </w:tcPr>
          <w:p>
            <w:pPr>
              <w:spacing w:after="0"/>
              <w:rPr>
                <w:sz w:val="24"/>
                <w:szCs w:val="24"/>
                <w:color w:val="auto"/>
              </w:rPr>
            </w:pPr>
          </w:p>
        </w:tc>
        <w:tc>
          <w:tcPr>
            <w:tcW w:w="4280" w:type="dxa"/>
            <w:vAlign w:val="bottom"/>
            <w:gridSpan w:val="4"/>
            <w:shd w:val="clear" w:color="auto" w:fill="CCEEFF"/>
          </w:tcPr>
          <w:p>
            <w:pPr>
              <w:spacing w:after="0"/>
              <w:rPr>
                <w:sz w:val="20"/>
                <w:szCs w:val="20"/>
                <w:color w:val="auto"/>
              </w:rPr>
            </w:pPr>
            <w:r>
              <w:rPr>
                <w:rFonts w:ascii="Arial" w:cs="Arial" w:eastAsia="Arial" w:hAnsi="Arial"/>
                <w:sz w:val="18"/>
                <w:szCs w:val="18"/>
                <w:color w:val="auto"/>
              </w:rPr>
              <w:t>Net income</w:t>
            </w:r>
          </w:p>
        </w:tc>
        <w:tc>
          <w:tcPr>
            <w:tcW w:w="300" w:type="dxa"/>
            <w:vAlign w:val="bottom"/>
            <w:shd w:val="clear" w:color="auto" w:fill="CCEEFF"/>
          </w:tcPr>
          <w:p>
            <w:pPr>
              <w:spacing w:after="0"/>
              <w:rPr>
                <w:sz w:val="24"/>
                <w:szCs w:val="24"/>
                <w:color w:val="auto"/>
              </w:rPr>
            </w:pPr>
          </w:p>
        </w:tc>
        <w:tc>
          <w:tcPr>
            <w:tcW w:w="96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1,972</w:t>
            </w:r>
          </w:p>
        </w:tc>
        <w:tc>
          <w:tcPr>
            <w:tcW w:w="120" w:type="dxa"/>
            <w:vAlign w:val="bottom"/>
            <w:shd w:val="clear" w:color="auto" w:fill="CCEEFF"/>
          </w:tcPr>
          <w:p>
            <w:pPr>
              <w:spacing w:after="0"/>
              <w:rPr>
                <w:sz w:val="24"/>
                <w:szCs w:val="24"/>
                <w:color w:val="auto"/>
              </w:rPr>
            </w:pPr>
          </w:p>
        </w:tc>
        <w:tc>
          <w:tcPr>
            <w:tcW w:w="320" w:type="dxa"/>
            <w:vAlign w:val="bottom"/>
            <w:shd w:val="clear" w:color="auto" w:fill="CCEEFF"/>
          </w:tcPr>
          <w:p>
            <w:pPr>
              <w:spacing w:after="0"/>
              <w:rPr>
                <w:sz w:val="24"/>
                <w:szCs w:val="24"/>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1,658</w:t>
            </w:r>
          </w:p>
        </w:tc>
        <w:tc>
          <w:tcPr>
            <w:tcW w:w="10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220" w:type="dxa"/>
            <w:vAlign w:val="bottom"/>
            <w:shd w:val="clear" w:color="auto" w:fill="CCEEFF"/>
          </w:tcPr>
          <w:p>
            <w:pPr>
              <w:spacing w:after="0"/>
              <w:rPr>
                <w:sz w:val="24"/>
                <w:szCs w:val="24"/>
                <w:color w:val="auto"/>
              </w:rPr>
            </w:pPr>
          </w:p>
        </w:tc>
        <w:tc>
          <w:tcPr>
            <w:tcW w:w="1040" w:type="dxa"/>
            <w:vAlign w:val="bottom"/>
            <w:shd w:val="clear" w:color="auto" w:fill="CCEEFF"/>
          </w:tcPr>
          <w:p>
            <w:pPr>
              <w:jc w:val="right"/>
              <w:ind w:right="13"/>
              <w:spacing w:after="0"/>
              <w:rPr>
                <w:sz w:val="20"/>
                <w:szCs w:val="20"/>
                <w:color w:val="auto"/>
              </w:rPr>
            </w:pPr>
            <w:r>
              <w:rPr>
                <w:rFonts w:ascii="Arial" w:cs="Arial" w:eastAsia="Arial" w:hAnsi="Arial"/>
                <w:sz w:val="18"/>
                <w:szCs w:val="18"/>
                <w:color w:val="auto"/>
              </w:rPr>
              <w:t>1,285</w:t>
            </w:r>
          </w:p>
        </w:tc>
        <w:tc>
          <w:tcPr>
            <w:tcW w:w="120" w:type="dxa"/>
            <w:vAlign w:val="bottom"/>
            <w:shd w:val="clear" w:color="auto" w:fill="CCEEFF"/>
          </w:tcPr>
          <w:p>
            <w:pPr>
              <w:spacing w:after="0"/>
              <w:rPr>
                <w:sz w:val="24"/>
                <w:szCs w:val="24"/>
                <w:color w:val="auto"/>
              </w:rPr>
            </w:pPr>
          </w:p>
        </w:tc>
        <w:tc>
          <w:tcPr>
            <w:tcW w:w="360" w:type="dxa"/>
            <w:vAlign w:val="bottom"/>
            <w:shd w:val="clear" w:color="auto" w:fill="CCEEFF"/>
          </w:tcPr>
          <w:p>
            <w:pPr>
              <w:spacing w:after="0"/>
              <w:rPr>
                <w:sz w:val="24"/>
                <w:szCs w:val="24"/>
                <w:color w:val="auto"/>
              </w:rPr>
            </w:pPr>
          </w:p>
        </w:tc>
        <w:tc>
          <w:tcPr>
            <w:tcW w:w="1020" w:type="dxa"/>
            <w:vAlign w:val="bottom"/>
            <w:shd w:val="clear" w:color="auto" w:fill="CCEEFF"/>
          </w:tcPr>
          <w:p>
            <w:pPr>
              <w:jc w:val="right"/>
              <w:ind w:right="32"/>
              <w:spacing w:after="0"/>
              <w:rPr>
                <w:sz w:val="20"/>
                <w:szCs w:val="20"/>
                <w:color w:val="auto"/>
              </w:rPr>
            </w:pPr>
            <w:r>
              <w:rPr>
                <w:rFonts w:ascii="Arial" w:cs="Arial" w:eastAsia="Arial" w:hAnsi="Arial"/>
                <w:sz w:val="18"/>
                <w:szCs w:val="18"/>
                <w:color w:val="auto"/>
              </w:rPr>
              <w:t>2,689</w:t>
            </w:r>
          </w:p>
        </w:tc>
        <w:tc>
          <w:tcPr>
            <w:tcW w:w="100" w:type="dxa"/>
            <w:vAlign w:val="bottom"/>
            <w:shd w:val="clear" w:color="auto" w:fill="CCEEFF"/>
          </w:tcPr>
          <w:p>
            <w:pPr>
              <w:spacing w:after="0"/>
              <w:rPr>
                <w:sz w:val="24"/>
                <w:szCs w:val="24"/>
                <w:color w:val="auto"/>
              </w:rPr>
            </w:pPr>
          </w:p>
        </w:tc>
        <w:tc>
          <w:tcPr>
            <w:tcW w:w="340" w:type="dxa"/>
            <w:vAlign w:val="bottom"/>
            <w:shd w:val="clear" w:color="auto" w:fill="CCEEFF"/>
          </w:tcPr>
          <w:p>
            <w:pPr>
              <w:spacing w:after="0"/>
              <w:rPr>
                <w:sz w:val="24"/>
                <w:szCs w:val="24"/>
                <w:color w:val="auto"/>
              </w:rPr>
            </w:pPr>
          </w:p>
        </w:tc>
        <w:tc>
          <w:tcPr>
            <w:tcW w:w="104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8,120</w:t>
            </w:r>
          </w:p>
        </w:tc>
      </w:tr>
      <w:tr>
        <w:trPr>
          <w:trHeight w:val="324"/>
        </w:trPr>
        <w:tc>
          <w:tcPr>
            <w:tcW w:w="40" w:type="dxa"/>
            <w:vAlign w:val="bottom"/>
          </w:tcPr>
          <w:p>
            <w:pPr>
              <w:spacing w:after="0"/>
              <w:rPr>
                <w:sz w:val="24"/>
                <w:szCs w:val="24"/>
                <w:color w:val="auto"/>
              </w:rPr>
            </w:pPr>
          </w:p>
        </w:tc>
        <w:tc>
          <w:tcPr>
            <w:tcW w:w="4280" w:type="dxa"/>
            <w:vAlign w:val="bottom"/>
            <w:gridSpan w:val="4"/>
          </w:tcPr>
          <w:p>
            <w:pPr>
              <w:spacing w:after="0"/>
              <w:rPr>
                <w:sz w:val="20"/>
                <w:szCs w:val="20"/>
                <w:color w:val="auto"/>
              </w:rPr>
            </w:pPr>
            <w:r>
              <w:rPr>
                <w:rFonts w:ascii="Arial" w:cs="Arial" w:eastAsia="Arial" w:hAnsi="Arial"/>
                <w:sz w:val="18"/>
                <w:szCs w:val="18"/>
                <w:b w:val="1"/>
                <w:bCs w:val="1"/>
                <w:color w:val="auto"/>
              </w:rPr>
              <w:t>Consolidated Balance Sheet data</w:t>
            </w:r>
          </w:p>
        </w:tc>
        <w:tc>
          <w:tcPr>
            <w:tcW w:w="30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040" w:type="dxa"/>
            <w:vAlign w:val="bottom"/>
          </w:tcPr>
          <w:p>
            <w:pPr>
              <w:spacing w:after="0"/>
              <w:rPr>
                <w:sz w:val="24"/>
                <w:szCs w:val="24"/>
                <w:color w:val="auto"/>
              </w:rPr>
            </w:pPr>
          </w:p>
        </w:tc>
      </w:tr>
      <w:tr>
        <w:trPr>
          <w:trHeight w:val="183"/>
        </w:trPr>
        <w:tc>
          <w:tcPr>
            <w:tcW w:w="40" w:type="dxa"/>
            <w:vAlign w:val="bottom"/>
          </w:tcPr>
          <w:p>
            <w:pPr>
              <w:spacing w:after="0"/>
              <w:rPr>
                <w:sz w:val="15"/>
                <w:szCs w:val="15"/>
                <w:color w:val="auto"/>
              </w:rPr>
            </w:pPr>
          </w:p>
        </w:tc>
        <w:tc>
          <w:tcPr>
            <w:tcW w:w="2840" w:type="dxa"/>
            <w:vAlign w:val="bottom"/>
            <w:tcBorders>
              <w:top w:val="single" w:sz="8" w:color="auto"/>
            </w:tcBorders>
            <w:gridSpan w:val="2"/>
          </w:tcPr>
          <w:p>
            <w:pPr>
              <w:spacing w:after="0" w:line="182" w:lineRule="exact"/>
              <w:rPr>
                <w:sz w:val="20"/>
                <w:szCs w:val="20"/>
                <w:color w:val="auto"/>
              </w:rPr>
            </w:pPr>
            <w:r>
              <w:rPr>
                <w:rFonts w:ascii="Arial" w:cs="Arial" w:eastAsia="Arial" w:hAnsi="Arial"/>
                <w:sz w:val="18"/>
                <w:szCs w:val="18"/>
                <w:b w:val="1"/>
                <w:bCs w:val="1"/>
                <w:color w:val="auto"/>
              </w:rPr>
              <w:t>(at end of period):</w:t>
            </w:r>
          </w:p>
        </w:tc>
        <w:tc>
          <w:tcPr>
            <w:tcW w:w="1440" w:type="dxa"/>
            <w:vAlign w:val="bottom"/>
            <w:gridSpan w:val="2"/>
          </w:tcPr>
          <w:p>
            <w:pPr>
              <w:spacing w:after="0"/>
              <w:rPr>
                <w:sz w:val="15"/>
                <w:szCs w:val="15"/>
                <w:color w:val="auto"/>
              </w:rPr>
            </w:pPr>
          </w:p>
        </w:tc>
        <w:tc>
          <w:tcPr>
            <w:tcW w:w="30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040" w:type="dxa"/>
            <w:vAlign w:val="bottom"/>
          </w:tcPr>
          <w:p>
            <w:pPr>
              <w:spacing w:after="0"/>
              <w:rPr>
                <w:sz w:val="15"/>
                <w:szCs w:val="15"/>
                <w:color w:val="auto"/>
              </w:rPr>
            </w:pPr>
          </w:p>
        </w:tc>
      </w:tr>
      <w:tr>
        <w:trPr>
          <w:trHeight w:val="34"/>
        </w:trPr>
        <w:tc>
          <w:tcPr>
            <w:tcW w:w="40" w:type="dxa"/>
            <w:vAlign w:val="bottom"/>
          </w:tcPr>
          <w:p>
            <w:pPr>
              <w:spacing w:after="0"/>
              <w:rPr>
                <w:sz w:val="2"/>
                <w:szCs w:val="2"/>
                <w:color w:val="auto"/>
              </w:rPr>
            </w:pPr>
          </w:p>
        </w:tc>
        <w:tc>
          <w:tcPr>
            <w:tcW w:w="1520" w:type="dxa"/>
            <w:vAlign w:val="bottom"/>
            <w:tcBorders>
              <w:top w:val="single" w:sz="8" w:color="auto"/>
            </w:tcBorders>
          </w:tcPr>
          <w:p>
            <w:pPr>
              <w:spacing w:after="0"/>
              <w:rPr>
                <w:sz w:val="2"/>
                <w:szCs w:val="2"/>
                <w:color w:val="auto"/>
              </w:rPr>
            </w:pPr>
          </w:p>
        </w:tc>
        <w:tc>
          <w:tcPr>
            <w:tcW w:w="1320" w:type="dxa"/>
            <w:vAlign w:val="bottom"/>
          </w:tcPr>
          <w:p>
            <w:pPr>
              <w:spacing w:after="0"/>
              <w:rPr>
                <w:sz w:val="2"/>
                <w:szCs w:val="2"/>
                <w:color w:val="auto"/>
              </w:rPr>
            </w:pPr>
          </w:p>
        </w:tc>
        <w:tc>
          <w:tcPr>
            <w:tcW w:w="1020" w:type="dxa"/>
            <w:vAlign w:val="bottom"/>
          </w:tcPr>
          <w:p>
            <w:pPr>
              <w:spacing w:after="0"/>
              <w:rPr>
                <w:sz w:val="2"/>
                <w:szCs w:val="2"/>
                <w:color w:val="auto"/>
              </w:rPr>
            </w:pPr>
          </w:p>
        </w:tc>
        <w:tc>
          <w:tcPr>
            <w:tcW w:w="420" w:type="dxa"/>
            <w:vAlign w:val="bottom"/>
          </w:tcPr>
          <w:p>
            <w:pPr>
              <w:spacing w:after="0"/>
              <w:rPr>
                <w:sz w:val="2"/>
                <w:szCs w:val="2"/>
                <w:color w:val="auto"/>
              </w:rPr>
            </w:pPr>
          </w:p>
        </w:tc>
        <w:tc>
          <w:tcPr>
            <w:tcW w:w="300" w:type="dxa"/>
            <w:vAlign w:val="bottom"/>
          </w:tcPr>
          <w:p>
            <w:pPr>
              <w:spacing w:after="0"/>
              <w:rPr>
                <w:sz w:val="2"/>
                <w:szCs w:val="2"/>
                <w:color w:val="auto"/>
              </w:rPr>
            </w:pPr>
          </w:p>
        </w:tc>
        <w:tc>
          <w:tcPr>
            <w:tcW w:w="96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40" w:type="dxa"/>
            <w:vAlign w:val="bottom"/>
          </w:tcPr>
          <w:p>
            <w:pPr>
              <w:spacing w:after="0"/>
              <w:rPr>
                <w:sz w:val="2"/>
                <w:szCs w:val="2"/>
                <w:color w:val="auto"/>
              </w:rPr>
            </w:pPr>
          </w:p>
        </w:tc>
      </w:tr>
      <w:tr>
        <w:trPr>
          <w:trHeight w:val="270"/>
        </w:trPr>
        <w:tc>
          <w:tcPr>
            <w:tcW w:w="40" w:type="dxa"/>
            <w:vAlign w:val="bottom"/>
            <w:shd w:val="clear" w:color="auto" w:fill="CCEEFF"/>
          </w:tcPr>
          <w:p>
            <w:pPr>
              <w:spacing w:after="0"/>
              <w:rPr>
                <w:sz w:val="23"/>
                <w:szCs w:val="23"/>
                <w:color w:val="auto"/>
              </w:rPr>
            </w:pPr>
          </w:p>
        </w:tc>
        <w:tc>
          <w:tcPr>
            <w:tcW w:w="4280" w:type="dxa"/>
            <w:vAlign w:val="bottom"/>
            <w:gridSpan w:val="4"/>
            <w:shd w:val="clear" w:color="auto" w:fill="CCEEFF"/>
          </w:tcPr>
          <w:p>
            <w:pPr>
              <w:spacing w:after="0"/>
              <w:rPr>
                <w:sz w:val="20"/>
                <w:szCs w:val="20"/>
                <w:color w:val="auto"/>
              </w:rPr>
            </w:pPr>
            <w:r>
              <w:rPr>
                <w:rFonts w:ascii="Arial" w:cs="Arial" w:eastAsia="Arial" w:hAnsi="Arial"/>
                <w:sz w:val="18"/>
                <w:szCs w:val="18"/>
                <w:color w:val="auto"/>
              </w:rPr>
              <w:t>Total assets</w:t>
            </w:r>
          </w:p>
        </w:tc>
        <w:tc>
          <w:tcPr>
            <w:tcW w:w="30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96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71,890</w:t>
            </w:r>
          </w:p>
        </w:tc>
        <w:tc>
          <w:tcPr>
            <w:tcW w:w="120" w:type="dxa"/>
            <w:vAlign w:val="bottom"/>
            <w:shd w:val="clear" w:color="auto" w:fill="CCEEFF"/>
          </w:tcPr>
          <w:p>
            <w:pPr>
              <w:spacing w:after="0"/>
              <w:rPr>
                <w:sz w:val="23"/>
                <w:szCs w:val="23"/>
                <w:color w:val="auto"/>
              </w:rPr>
            </w:pPr>
          </w:p>
        </w:tc>
        <w:tc>
          <w:tcPr>
            <w:tcW w:w="32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70,878</w:t>
            </w:r>
          </w:p>
        </w:tc>
        <w:tc>
          <w:tcPr>
            <w:tcW w:w="42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1040" w:type="dxa"/>
            <w:vAlign w:val="bottom"/>
            <w:shd w:val="clear" w:color="auto" w:fill="CCEEFF"/>
          </w:tcPr>
          <w:p>
            <w:pPr>
              <w:jc w:val="right"/>
              <w:ind w:right="13"/>
              <w:spacing w:after="0"/>
              <w:rPr>
                <w:sz w:val="20"/>
                <w:szCs w:val="20"/>
                <w:color w:val="auto"/>
              </w:rPr>
            </w:pPr>
            <w:r>
              <w:rPr>
                <w:rFonts w:ascii="Arial" w:cs="Arial" w:eastAsia="Arial" w:hAnsi="Arial"/>
                <w:sz w:val="18"/>
                <w:szCs w:val="18"/>
                <w:color w:val="auto"/>
              </w:rPr>
              <w:t>61,401</w:t>
            </w:r>
          </w:p>
        </w:tc>
        <w:tc>
          <w:tcPr>
            <w:tcW w:w="120" w:type="dxa"/>
            <w:vAlign w:val="bottom"/>
            <w:shd w:val="clear" w:color="auto" w:fill="CCEEFF"/>
          </w:tcPr>
          <w:p>
            <w:pPr>
              <w:spacing w:after="0"/>
              <w:rPr>
                <w:sz w:val="23"/>
                <w:szCs w:val="23"/>
                <w:color w:val="auto"/>
              </w:rPr>
            </w:pPr>
          </w:p>
        </w:tc>
        <w:tc>
          <w:tcPr>
            <w:tcW w:w="36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020" w:type="dxa"/>
            <w:vAlign w:val="bottom"/>
            <w:shd w:val="clear" w:color="auto" w:fill="CCEEFF"/>
          </w:tcPr>
          <w:p>
            <w:pPr>
              <w:jc w:val="right"/>
              <w:ind w:right="32"/>
              <w:spacing w:after="0"/>
              <w:rPr>
                <w:sz w:val="20"/>
                <w:szCs w:val="20"/>
                <w:color w:val="auto"/>
              </w:rPr>
            </w:pPr>
            <w:r>
              <w:rPr>
                <w:rFonts w:ascii="Arial" w:cs="Arial" w:eastAsia="Arial" w:hAnsi="Arial"/>
                <w:sz w:val="18"/>
                <w:szCs w:val="18"/>
                <w:color w:val="auto"/>
              </w:rPr>
              <w:t>60,428</w:t>
            </w:r>
          </w:p>
        </w:tc>
        <w:tc>
          <w:tcPr>
            <w:tcW w:w="100" w:type="dxa"/>
            <w:vAlign w:val="bottom"/>
            <w:shd w:val="clear" w:color="auto" w:fill="CCEEFF"/>
          </w:tcPr>
          <w:p>
            <w:pPr>
              <w:spacing w:after="0"/>
              <w:rPr>
                <w:sz w:val="23"/>
                <w:szCs w:val="23"/>
                <w:color w:val="auto"/>
              </w:rPr>
            </w:pPr>
          </w:p>
        </w:tc>
        <w:tc>
          <w:tcPr>
            <w:tcW w:w="34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04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50,439</w:t>
            </w:r>
          </w:p>
        </w:tc>
      </w:tr>
      <w:tr>
        <w:trPr>
          <w:trHeight w:val="263"/>
        </w:trPr>
        <w:tc>
          <w:tcPr>
            <w:tcW w:w="40" w:type="dxa"/>
            <w:vAlign w:val="bottom"/>
          </w:tcPr>
          <w:p>
            <w:pPr>
              <w:spacing w:after="0"/>
              <w:rPr>
                <w:sz w:val="22"/>
                <w:szCs w:val="22"/>
                <w:color w:val="auto"/>
              </w:rPr>
            </w:pPr>
          </w:p>
        </w:tc>
        <w:tc>
          <w:tcPr>
            <w:tcW w:w="4280" w:type="dxa"/>
            <w:vAlign w:val="bottom"/>
            <w:gridSpan w:val="4"/>
          </w:tcPr>
          <w:p>
            <w:pPr>
              <w:spacing w:after="0"/>
              <w:rPr>
                <w:sz w:val="20"/>
                <w:szCs w:val="20"/>
                <w:color w:val="auto"/>
              </w:rPr>
            </w:pPr>
            <w:r>
              <w:rPr>
                <w:rFonts w:ascii="Arial" w:cs="Arial" w:eastAsia="Arial" w:hAnsi="Arial"/>
                <w:sz w:val="18"/>
                <w:szCs w:val="18"/>
                <w:color w:val="auto"/>
              </w:rPr>
              <w:t>Debt and finance leases</w:t>
            </w:r>
          </w:p>
        </w:tc>
        <w:tc>
          <w:tcPr>
            <w:tcW w:w="300" w:type="dxa"/>
            <w:vAlign w:val="bottom"/>
          </w:tcPr>
          <w:p>
            <w:pPr>
              <w:spacing w:after="0"/>
              <w:rPr>
                <w:sz w:val="22"/>
                <w:szCs w:val="22"/>
                <w:color w:val="auto"/>
              </w:rPr>
            </w:pPr>
          </w:p>
        </w:tc>
        <w:tc>
          <w:tcPr>
            <w:tcW w:w="960" w:type="dxa"/>
            <w:vAlign w:val="bottom"/>
          </w:tcPr>
          <w:p>
            <w:pPr>
              <w:jc w:val="right"/>
              <w:ind w:right="12"/>
              <w:spacing w:after="0"/>
              <w:rPr>
                <w:sz w:val="20"/>
                <w:szCs w:val="20"/>
                <w:color w:val="auto"/>
              </w:rPr>
            </w:pPr>
            <w:r>
              <w:rPr>
                <w:rFonts w:ascii="Arial" w:cs="Arial" w:eastAsia="Arial" w:hAnsi="Arial"/>
                <w:sz w:val="18"/>
                <w:szCs w:val="18"/>
                <w:color w:val="auto"/>
              </w:rPr>
              <w:t>23,042</w:t>
            </w:r>
          </w:p>
        </w:tc>
        <w:tc>
          <w:tcPr>
            <w:tcW w:w="12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23,197</w:t>
            </w:r>
          </w:p>
        </w:tc>
        <w:tc>
          <w:tcPr>
            <w:tcW w:w="1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1040" w:type="dxa"/>
            <w:vAlign w:val="bottom"/>
          </w:tcPr>
          <w:p>
            <w:pPr>
              <w:jc w:val="right"/>
              <w:ind w:right="13"/>
              <w:spacing w:after="0"/>
              <w:rPr>
                <w:sz w:val="20"/>
                <w:szCs w:val="20"/>
                <w:color w:val="auto"/>
              </w:rPr>
            </w:pPr>
            <w:r>
              <w:rPr>
                <w:rFonts w:ascii="Arial" w:cs="Arial" w:eastAsia="Arial" w:hAnsi="Arial"/>
                <w:sz w:val="18"/>
                <w:szCs w:val="18"/>
                <w:color w:val="auto"/>
              </w:rPr>
              <w:t>23,294</w:t>
            </w:r>
          </w:p>
        </w:tc>
        <w:tc>
          <w:tcPr>
            <w:tcW w:w="12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1020" w:type="dxa"/>
            <w:vAlign w:val="bottom"/>
          </w:tcPr>
          <w:p>
            <w:pPr>
              <w:jc w:val="right"/>
              <w:ind w:right="32"/>
              <w:spacing w:after="0"/>
              <w:rPr>
                <w:sz w:val="20"/>
                <w:szCs w:val="20"/>
                <w:color w:val="auto"/>
              </w:rPr>
            </w:pPr>
            <w:r>
              <w:rPr>
                <w:rFonts w:ascii="Arial" w:cs="Arial" w:eastAsia="Arial" w:hAnsi="Arial"/>
                <w:sz w:val="18"/>
                <w:szCs w:val="18"/>
                <w:color w:val="auto"/>
              </w:rPr>
              <w:t>22,577</w:t>
            </w:r>
          </w:p>
        </w:tc>
        <w:tc>
          <w:tcPr>
            <w:tcW w:w="10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1040" w:type="dxa"/>
            <w:vAlign w:val="bottom"/>
          </w:tcPr>
          <w:p>
            <w:pPr>
              <w:jc w:val="right"/>
              <w:ind w:right="12"/>
              <w:spacing w:after="0"/>
              <w:rPr>
                <w:sz w:val="20"/>
                <w:szCs w:val="20"/>
                <w:color w:val="auto"/>
              </w:rPr>
            </w:pPr>
            <w:r>
              <w:rPr>
                <w:rFonts w:ascii="Arial" w:cs="Arial" w:eastAsia="Arial" w:hAnsi="Arial"/>
                <w:sz w:val="18"/>
                <w:szCs w:val="18"/>
                <w:color w:val="auto"/>
              </w:rPr>
              <w:t>18,826</w:t>
            </w:r>
          </w:p>
        </w:tc>
      </w:tr>
      <w:tr>
        <w:trPr>
          <w:trHeight w:val="277"/>
        </w:trPr>
        <w:tc>
          <w:tcPr>
            <w:tcW w:w="40" w:type="dxa"/>
            <w:vAlign w:val="bottom"/>
            <w:shd w:val="clear" w:color="auto" w:fill="CCEEFF"/>
          </w:tcPr>
          <w:p>
            <w:pPr>
              <w:spacing w:after="0"/>
              <w:rPr>
                <w:sz w:val="24"/>
                <w:szCs w:val="24"/>
                <w:color w:val="auto"/>
              </w:rPr>
            </w:pPr>
          </w:p>
        </w:tc>
        <w:tc>
          <w:tcPr>
            <w:tcW w:w="4280" w:type="dxa"/>
            <w:vAlign w:val="bottom"/>
            <w:gridSpan w:val="4"/>
            <w:shd w:val="clear" w:color="auto" w:fill="CCEEFF"/>
          </w:tcPr>
          <w:p>
            <w:pPr>
              <w:spacing w:after="0"/>
              <w:rPr>
                <w:sz w:val="20"/>
                <w:szCs w:val="20"/>
                <w:color w:val="auto"/>
              </w:rPr>
            </w:pPr>
            <w:r>
              <w:rPr>
                <w:rFonts w:ascii="Arial" w:cs="Arial" w:eastAsia="Arial" w:hAnsi="Arial"/>
                <w:sz w:val="18"/>
                <w:szCs w:val="18"/>
                <w:color w:val="auto"/>
              </w:rPr>
              <w:t xml:space="preserve">Pension and postretirement obligations </w:t>
            </w:r>
            <w:r>
              <w:rPr>
                <w:rFonts w:ascii="Arial" w:cs="Arial" w:eastAsia="Arial" w:hAnsi="Arial"/>
                <w:sz w:val="21"/>
                <w:szCs w:val="21"/>
                <w:color w:val="auto"/>
                <w:vertAlign w:val="superscript"/>
              </w:rPr>
              <w:t>(1)</w:t>
            </w:r>
          </w:p>
        </w:tc>
        <w:tc>
          <w:tcPr>
            <w:tcW w:w="300" w:type="dxa"/>
            <w:vAlign w:val="bottom"/>
            <w:shd w:val="clear" w:color="auto" w:fill="CCEEFF"/>
          </w:tcPr>
          <w:p>
            <w:pPr>
              <w:spacing w:after="0"/>
              <w:rPr>
                <w:sz w:val="24"/>
                <w:szCs w:val="24"/>
                <w:color w:val="auto"/>
              </w:rPr>
            </w:pPr>
          </w:p>
        </w:tc>
        <w:tc>
          <w:tcPr>
            <w:tcW w:w="96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6,037</w:t>
            </w:r>
          </w:p>
        </w:tc>
        <w:tc>
          <w:tcPr>
            <w:tcW w:w="120" w:type="dxa"/>
            <w:vAlign w:val="bottom"/>
            <w:shd w:val="clear" w:color="auto" w:fill="CCEEFF"/>
          </w:tcPr>
          <w:p>
            <w:pPr>
              <w:spacing w:after="0"/>
              <w:rPr>
                <w:sz w:val="24"/>
                <w:szCs w:val="24"/>
                <w:color w:val="auto"/>
              </w:rPr>
            </w:pPr>
          </w:p>
        </w:tc>
        <w:tc>
          <w:tcPr>
            <w:tcW w:w="320" w:type="dxa"/>
            <w:vAlign w:val="bottom"/>
            <w:shd w:val="clear" w:color="auto" w:fill="CCEEFF"/>
          </w:tcPr>
          <w:p>
            <w:pPr>
              <w:spacing w:after="0"/>
              <w:rPr>
                <w:sz w:val="24"/>
                <w:szCs w:val="24"/>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6,893</w:t>
            </w:r>
          </w:p>
        </w:tc>
        <w:tc>
          <w:tcPr>
            <w:tcW w:w="10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220" w:type="dxa"/>
            <w:vAlign w:val="bottom"/>
            <w:shd w:val="clear" w:color="auto" w:fill="CCEEFF"/>
          </w:tcPr>
          <w:p>
            <w:pPr>
              <w:spacing w:after="0"/>
              <w:rPr>
                <w:sz w:val="24"/>
                <w:szCs w:val="24"/>
                <w:color w:val="auto"/>
              </w:rPr>
            </w:pPr>
          </w:p>
        </w:tc>
        <w:tc>
          <w:tcPr>
            <w:tcW w:w="1040" w:type="dxa"/>
            <w:vAlign w:val="bottom"/>
            <w:shd w:val="clear" w:color="auto" w:fill="CCEEFF"/>
          </w:tcPr>
          <w:p>
            <w:pPr>
              <w:jc w:val="right"/>
              <w:ind w:right="13"/>
              <w:spacing w:after="0"/>
              <w:rPr>
                <w:sz w:val="20"/>
                <w:szCs w:val="20"/>
                <w:color w:val="auto"/>
              </w:rPr>
            </w:pPr>
            <w:r>
              <w:rPr>
                <w:rFonts w:ascii="Arial" w:cs="Arial" w:eastAsia="Arial" w:hAnsi="Arial"/>
                <w:sz w:val="18"/>
                <w:szCs w:val="18"/>
                <w:color w:val="auto"/>
              </w:rPr>
              <w:t>7,550</w:t>
            </w:r>
          </w:p>
        </w:tc>
        <w:tc>
          <w:tcPr>
            <w:tcW w:w="120" w:type="dxa"/>
            <w:vAlign w:val="bottom"/>
            <w:shd w:val="clear" w:color="auto" w:fill="CCEEFF"/>
          </w:tcPr>
          <w:p>
            <w:pPr>
              <w:spacing w:after="0"/>
              <w:rPr>
                <w:sz w:val="24"/>
                <w:szCs w:val="24"/>
                <w:color w:val="auto"/>
              </w:rPr>
            </w:pPr>
          </w:p>
        </w:tc>
        <w:tc>
          <w:tcPr>
            <w:tcW w:w="360" w:type="dxa"/>
            <w:vAlign w:val="bottom"/>
            <w:shd w:val="clear" w:color="auto" w:fill="CCEEFF"/>
          </w:tcPr>
          <w:p>
            <w:pPr>
              <w:spacing w:after="0"/>
              <w:rPr>
                <w:sz w:val="24"/>
                <w:szCs w:val="24"/>
                <w:color w:val="auto"/>
              </w:rPr>
            </w:pPr>
          </w:p>
        </w:tc>
        <w:tc>
          <w:tcPr>
            <w:tcW w:w="1020" w:type="dxa"/>
            <w:vAlign w:val="bottom"/>
            <w:shd w:val="clear" w:color="auto" w:fill="CCEEFF"/>
          </w:tcPr>
          <w:p>
            <w:pPr>
              <w:jc w:val="right"/>
              <w:ind w:right="32"/>
              <w:spacing w:after="0"/>
              <w:rPr>
                <w:sz w:val="20"/>
                <w:szCs w:val="20"/>
                <w:color w:val="auto"/>
              </w:rPr>
            </w:pPr>
            <w:r>
              <w:rPr>
                <w:rFonts w:ascii="Arial" w:cs="Arial" w:eastAsia="Arial" w:hAnsi="Arial"/>
                <w:sz w:val="18"/>
                <w:szCs w:val="18"/>
                <w:color w:val="auto"/>
              </w:rPr>
              <w:t>7,904</w:t>
            </w:r>
          </w:p>
        </w:tc>
        <w:tc>
          <w:tcPr>
            <w:tcW w:w="100" w:type="dxa"/>
            <w:vAlign w:val="bottom"/>
            <w:shd w:val="clear" w:color="auto" w:fill="CCEEFF"/>
          </w:tcPr>
          <w:p>
            <w:pPr>
              <w:spacing w:after="0"/>
              <w:rPr>
                <w:sz w:val="24"/>
                <w:szCs w:val="24"/>
                <w:color w:val="auto"/>
              </w:rPr>
            </w:pPr>
          </w:p>
        </w:tc>
        <w:tc>
          <w:tcPr>
            <w:tcW w:w="340" w:type="dxa"/>
            <w:vAlign w:val="bottom"/>
            <w:shd w:val="clear" w:color="auto" w:fill="CCEEFF"/>
          </w:tcPr>
          <w:p>
            <w:pPr>
              <w:spacing w:after="0"/>
              <w:rPr>
                <w:sz w:val="24"/>
                <w:szCs w:val="24"/>
                <w:color w:val="auto"/>
              </w:rPr>
            </w:pPr>
          </w:p>
        </w:tc>
        <w:tc>
          <w:tcPr>
            <w:tcW w:w="104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7,526</w:t>
            </w:r>
          </w:p>
        </w:tc>
      </w:tr>
      <w:tr>
        <w:trPr>
          <w:trHeight w:val="263"/>
        </w:trPr>
        <w:tc>
          <w:tcPr>
            <w:tcW w:w="40" w:type="dxa"/>
            <w:vAlign w:val="bottom"/>
          </w:tcPr>
          <w:p>
            <w:pPr>
              <w:spacing w:after="0"/>
              <w:rPr>
                <w:sz w:val="22"/>
                <w:szCs w:val="22"/>
                <w:color w:val="auto"/>
              </w:rPr>
            </w:pPr>
          </w:p>
        </w:tc>
        <w:tc>
          <w:tcPr>
            <w:tcW w:w="4280" w:type="dxa"/>
            <w:vAlign w:val="bottom"/>
            <w:gridSpan w:val="4"/>
          </w:tcPr>
          <w:p>
            <w:pPr>
              <w:spacing w:after="0"/>
              <w:rPr>
                <w:sz w:val="20"/>
                <w:szCs w:val="20"/>
                <w:color w:val="auto"/>
              </w:rPr>
            </w:pPr>
            <w:r>
              <w:rPr>
                <w:rFonts w:ascii="Arial" w:cs="Arial" w:eastAsia="Arial" w:hAnsi="Arial"/>
                <w:sz w:val="18"/>
                <w:szCs w:val="18"/>
                <w:color w:val="auto"/>
              </w:rPr>
              <w:t>Operating lease liabilities</w:t>
            </w:r>
          </w:p>
        </w:tc>
        <w:tc>
          <w:tcPr>
            <w:tcW w:w="300" w:type="dxa"/>
            <w:vAlign w:val="bottom"/>
          </w:tcPr>
          <w:p>
            <w:pPr>
              <w:spacing w:after="0"/>
              <w:rPr>
                <w:sz w:val="22"/>
                <w:szCs w:val="22"/>
                <w:color w:val="auto"/>
              </w:rPr>
            </w:pPr>
          </w:p>
        </w:tc>
        <w:tc>
          <w:tcPr>
            <w:tcW w:w="960" w:type="dxa"/>
            <w:vAlign w:val="bottom"/>
          </w:tcPr>
          <w:p>
            <w:pPr>
              <w:jc w:val="right"/>
              <w:ind w:right="12"/>
              <w:spacing w:after="0"/>
              <w:rPr>
                <w:sz w:val="20"/>
                <w:szCs w:val="20"/>
                <w:color w:val="auto"/>
              </w:rPr>
            </w:pPr>
            <w:r>
              <w:rPr>
                <w:rFonts w:ascii="Arial" w:cs="Arial" w:eastAsia="Arial" w:hAnsi="Arial"/>
                <w:sz w:val="18"/>
                <w:szCs w:val="18"/>
                <w:color w:val="auto"/>
              </w:rPr>
              <w:t>9,083</w:t>
            </w:r>
          </w:p>
        </w:tc>
        <w:tc>
          <w:tcPr>
            <w:tcW w:w="12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9,496</w:t>
            </w:r>
          </w:p>
        </w:tc>
        <w:tc>
          <w:tcPr>
            <w:tcW w:w="1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11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360" w:type="dxa"/>
            <w:vAlign w:val="bottom"/>
          </w:tcPr>
          <w:p>
            <w:pPr>
              <w:spacing w:after="0"/>
              <w:rPr>
                <w:sz w:val="22"/>
                <w:szCs w:val="22"/>
                <w:color w:val="auto"/>
              </w:rPr>
            </w:pPr>
          </w:p>
        </w:tc>
        <w:tc>
          <w:tcPr>
            <w:tcW w:w="11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340" w:type="dxa"/>
            <w:vAlign w:val="bottom"/>
          </w:tcPr>
          <w:p>
            <w:pPr>
              <w:spacing w:after="0"/>
              <w:rPr>
                <w:sz w:val="22"/>
                <w:szCs w:val="22"/>
                <w:color w:val="auto"/>
              </w:rPr>
            </w:pPr>
          </w:p>
        </w:tc>
        <w:tc>
          <w:tcPr>
            <w:tcW w:w="1040" w:type="dxa"/>
            <w:vAlign w:val="bottom"/>
          </w:tcPr>
          <w:p>
            <w:pPr>
              <w:jc w:val="right"/>
              <w:ind w:right="12"/>
              <w:spacing w:after="0"/>
              <w:rPr>
                <w:sz w:val="20"/>
                <w:szCs w:val="20"/>
                <w:color w:val="auto"/>
              </w:rPr>
            </w:pPr>
            <w:r>
              <w:rPr>
                <w:rFonts w:ascii="Arial" w:cs="Arial" w:eastAsia="Arial" w:hAnsi="Arial"/>
                <w:sz w:val="18"/>
                <w:szCs w:val="18"/>
                <w:color w:val="auto"/>
              </w:rPr>
              <w:t>—</w:t>
            </w:r>
          </w:p>
        </w:tc>
      </w:tr>
      <w:tr>
        <w:trPr>
          <w:trHeight w:val="277"/>
        </w:trPr>
        <w:tc>
          <w:tcPr>
            <w:tcW w:w="40" w:type="dxa"/>
            <w:vAlign w:val="bottom"/>
            <w:shd w:val="clear" w:color="auto" w:fill="CCEEFF"/>
          </w:tcPr>
          <w:p>
            <w:pPr>
              <w:spacing w:after="0"/>
              <w:rPr>
                <w:sz w:val="24"/>
                <w:szCs w:val="24"/>
                <w:color w:val="auto"/>
              </w:rPr>
            </w:pPr>
          </w:p>
        </w:tc>
        <w:tc>
          <w:tcPr>
            <w:tcW w:w="4280" w:type="dxa"/>
            <w:vAlign w:val="bottom"/>
            <w:gridSpan w:val="4"/>
            <w:shd w:val="clear" w:color="auto" w:fill="CCEEFF"/>
          </w:tcPr>
          <w:p>
            <w:pPr>
              <w:spacing w:after="0"/>
              <w:rPr>
                <w:sz w:val="20"/>
                <w:szCs w:val="20"/>
                <w:color w:val="auto"/>
              </w:rPr>
            </w:pPr>
            <w:r>
              <w:rPr>
                <w:rFonts w:ascii="Arial" w:cs="Arial" w:eastAsia="Arial" w:hAnsi="Arial"/>
                <w:sz w:val="18"/>
                <w:szCs w:val="18"/>
                <w:color w:val="auto"/>
              </w:rPr>
              <w:t>Stockholder’s equity</w:t>
            </w:r>
          </w:p>
        </w:tc>
        <w:tc>
          <w:tcPr>
            <w:tcW w:w="300" w:type="dxa"/>
            <w:vAlign w:val="bottom"/>
            <w:shd w:val="clear" w:color="auto" w:fill="CCEEFF"/>
          </w:tcPr>
          <w:p>
            <w:pPr>
              <w:spacing w:after="0"/>
              <w:rPr>
                <w:sz w:val="24"/>
                <w:szCs w:val="24"/>
                <w:color w:val="auto"/>
              </w:rPr>
            </w:pPr>
          </w:p>
        </w:tc>
        <w:tc>
          <w:tcPr>
            <w:tcW w:w="96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13,422</w:t>
            </w:r>
          </w:p>
        </w:tc>
        <w:tc>
          <w:tcPr>
            <w:tcW w:w="120" w:type="dxa"/>
            <w:vAlign w:val="bottom"/>
            <w:shd w:val="clear" w:color="auto" w:fill="CCEEFF"/>
          </w:tcPr>
          <w:p>
            <w:pPr>
              <w:spacing w:after="0"/>
              <w:rPr>
                <w:sz w:val="24"/>
                <w:szCs w:val="24"/>
                <w:color w:val="auto"/>
              </w:rPr>
            </w:pPr>
          </w:p>
        </w:tc>
        <w:tc>
          <w:tcPr>
            <w:tcW w:w="320" w:type="dxa"/>
            <w:vAlign w:val="bottom"/>
            <w:shd w:val="clear" w:color="auto" w:fill="CCEEFF"/>
          </w:tcPr>
          <w:p>
            <w:pPr>
              <w:spacing w:after="0"/>
              <w:rPr>
                <w:sz w:val="24"/>
                <w:szCs w:val="24"/>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11,770</w:t>
            </w:r>
          </w:p>
        </w:tc>
        <w:tc>
          <w:tcPr>
            <w:tcW w:w="10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220" w:type="dxa"/>
            <w:vAlign w:val="bottom"/>
            <w:shd w:val="clear" w:color="auto" w:fill="CCEEFF"/>
          </w:tcPr>
          <w:p>
            <w:pPr>
              <w:spacing w:after="0"/>
              <w:rPr>
                <w:sz w:val="24"/>
                <w:szCs w:val="24"/>
                <w:color w:val="auto"/>
              </w:rPr>
            </w:pPr>
          </w:p>
        </w:tc>
        <w:tc>
          <w:tcPr>
            <w:tcW w:w="1040" w:type="dxa"/>
            <w:vAlign w:val="bottom"/>
            <w:shd w:val="clear" w:color="auto" w:fill="CCEEFF"/>
          </w:tcPr>
          <w:p>
            <w:pPr>
              <w:jc w:val="right"/>
              <w:ind w:right="13"/>
              <w:spacing w:after="0"/>
              <w:rPr>
                <w:sz w:val="20"/>
                <w:szCs w:val="20"/>
                <w:color w:val="auto"/>
              </w:rPr>
            </w:pPr>
            <w:r>
              <w:rPr>
                <w:rFonts w:ascii="Arial" w:cs="Arial" w:eastAsia="Arial" w:hAnsi="Arial"/>
                <w:sz w:val="18"/>
                <w:szCs w:val="18"/>
                <w:color w:val="auto"/>
              </w:rPr>
              <w:t>9,888</w:t>
            </w:r>
          </w:p>
        </w:tc>
        <w:tc>
          <w:tcPr>
            <w:tcW w:w="120" w:type="dxa"/>
            <w:vAlign w:val="bottom"/>
            <w:shd w:val="clear" w:color="auto" w:fill="CCEEFF"/>
          </w:tcPr>
          <w:p>
            <w:pPr>
              <w:spacing w:after="0"/>
              <w:rPr>
                <w:sz w:val="24"/>
                <w:szCs w:val="24"/>
                <w:color w:val="auto"/>
              </w:rPr>
            </w:pPr>
          </w:p>
        </w:tc>
        <w:tc>
          <w:tcPr>
            <w:tcW w:w="360" w:type="dxa"/>
            <w:vAlign w:val="bottom"/>
            <w:shd w:val="clear" w:color="auto" w:fill="CCEEFF"/>
          </w:tcPr>
          <w:p>
            <w:pPr>
              <w:spacing w:after="0"/>
              <w:rPr>
                <w:sz w:val="24"/>
                <w:szCs w:val="24"/>
                <w:color w:val="auto"/>
              </w:rPr>
            </w:pPr>
          </w:p>
        </w:tc>
        <w:tc>
          <w:tcPr>
            <w:tcW w:w="1020" w:type="dxa"/>
            <w:vAlign w:val="bottom"/>
            <w:shd w:val="clear" w:color="auto" w:fill="CCEEFF"/>
          </w:tcPr>
          <w:p>
            <w:pPr>
              <w:jc w:val="right"/>
              <w:ind w:right="32"/>
              <w:spacing w:after="0"/>
              <w:rPr>
                <w:sz w:val="20"/>
                <w:szCs w:val="20"/>
                <w:color w:val="auto"/>
              </w:rPr>
            </w:pPr>
            <w:r>
              <w:rPr>
                <w:rFonts w:ascii="Arial" w:cs="Arial" w:eastAsia="Arial" w:hAnsi="Arial"/>
                <w:sz w:val="18"/>
                <w:szCs w:val="18"/>
                <w:color w:val="auto"/>
              </w:rPr>
              <w:t>8,578</w:t>
            </w:r>
          </w:p>
        </w:tc>
        <w:tc>
          <w:tcPr>
            <w:tcW w:w="100" w:type="dxa"/>
            <w:vAlign w:val="bottom"/>
            <w:shd w:val="clear" w:color="auto" w:fill="CCEEFF"/>
          </w:tcPr>
          <w:p>
            <w:pPr>
              <w:spacing w:after="0"/>
              <w:rPr>
                <w:sz w:val="24"/>
                <w:szCs w:val="24"/>
                <w:color w:val="auto"/>
              </w:rPr>
            </w:pPr>
          </w:p>
        </w:tc>
        <w:tc>
          <w:tcPr>
            <w:tcW w:w="340" w:type="dxa"/>
            <w:vAlign w:val="bottom"/>
            <w:shd w:val="clear" w:color="auto" w:fill="CCEEFF"/>
          </w:tcPr>
          <w:p>
            <w:pPr>
              <w:spacing w:after="0"/>
              <w:rPr>
                <w:sz w:val="24"/>
                <w:szCs w:val="24"/>
                <w:color w:val="auto"/>
              </w:rPr>
            </w:pPr>
          </w:p>
        </w:tc>
        <w:tc>
          <w:tcPr>
            <w:tcW w:w="104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9,698</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163195</wp:posOffset>
            </wp:positionV>
            <wp:extent cx="1337945" cy="889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1337945" cy="8890"/>
                    </a:xfrm>
                    <a:prstGeom prst="rect">
                      <a:avLst/>
                    </a:prstGeom>
                    <a:noFill/>
                  </pic:spPr>
                </pic:pic>
              </a:graphicData>
            </a:graphic>
          </wp:anchor>
        </w:drawing>
      </w:r>
    </w:p>
    <w:p>
      <w:pPr>
        <w:spacing w:after="0" w:line="330" w:lineRule="exact"/>
        <w:rPr>
          <w:sz w:val="20"/>
          <w:szCs w:val="20"/>
          <w:color w:val="auto"/>
        </w:rPr>
      </w:pPr>
    </w:p>
    <w:p>
      <w:pPr>
        <w:ind w:left="340" w:right="20" w:hanging="332"/>
        <w:spacing w:after="0" w:line="225" w:lineRule="auto"/>
        <w:tabs>
          <w:tab w:leader="none" w:pos="340" w:val="left"/>
        </w:tabs>
        <w:numPr>
          <w:ilvl w:val="0"/>
          <w:numId w:val="19"/>
        </w:numPr>
        <w:rPr>
          <w:rFonts w:ascii="Arial" w:cs="Arial" w:eastAsia="Arial" w:hAnsi="Arial"/>
          <w:sz w:val="22"/>
          <w:szCs w:val="22"/>
          <w:color w:val="auto"/>
          <w:vertAlign w:val="superscript"/>
        </w:rPr>
      </w:pPr>
      <w:r>
        <w:rPr>
          <w:rFonts w:ascii="Arial" w:cs="Arial" w:eastAsia="Arial" w:hAnsi="Arial"/>
          <w:sz w:val="18"/>
          <w:szCs w:val="18"/>
          <w:color w:val="auto"/>
        </w:rPr>
        <w:t>Substantially all defined benefit pension plans were frozen effective November 1, 2012. See Note 8 to American's Consolidated Financial Statements in Part II, Item 8B for further information on pension and postretirement benefits.</w:t>
      </w:r>
    </w:p>
    <w:p>
      <w:pPr>
        <w:spacing w:after="0" w:line="21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48</w:t>
      </w:r>
    </w:p>
    <w:p>
      <w:pPr>
        <w:sectPr>
          <w:pgSz w:w="11900" w:h="16838" w:orient="portrait"/>
          <w:cols w:equalWidth="0" w:num="1">
            <w:col w:w="11420"/>
          </w:cols>
          <w:pgMar w:left="240" w:top="792" w:right="239" w:bottom="1440" w:gutter="0" w:footer="0" w:header="0"/>
        </w:sectPr>
      </w:pPr>
    </w:p>
    <w:bookmarkStart w:id="48" w:name="page49"/>
    <w:bookmarkEnd w:id="48"/>
    <w:p>
      <w:pPr>
        <w:spacing w:after="0"/>
        <w:rPr>
          <w:sz w:val="20"/>
          <w:szCs w:val="20"/>
          <w:color w:val="auto"/>
        </w:rPr>
      </w:pPr>
      <w:r>
        <w:rPr>
          <w:rFonts w:ascii="Arial" w:cs="Arial" w:eastAsia="Arial" w:hAnsi="Arial"/>
          <w:sz w:val="18"/>
          <w:szCs w:val="18"/>
          <w:b w:val="1"/>
          <w:bCs w:val="1"/>
          <w:color w:val="auto"/>
        </w:rPr>
        <w:t>ITEM 7. MANAGEMENT’S DISCUSSION AND ANALYSIS OF FINANCIAL CONDITION AND RESULTS OF OPERATIONS</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Background</w:t>
      </w:r>
    </w:p>
    <w:p>
      <w:pPr>
        <w:spacing w:after="0" w:line="112" w:lineRule="exact"/>
        <w:rPr>
          <w:sz w:val="20"/>
          <w:szCs w:val="20"/>
          <w:color w:val="auto"/>
        </w:rPr>
      </w:pPr>
    </w:p>
    <w:p>
      <w:pPr>
        <w:jc w:val="both"/>
        <w:ind w:firstLine="216"/>
        <w:spacing w:after="0" w:line="254" w:lineRule="auto"/>
        <w:rPr>
          <w:sz w:val="20"/>
          <w:szCs w:val="20"/>
          <w:color w:val="auto"/>
        </w:rPr>
      </w:pPr>
      <w:r>
        <w:rPr>
          <w:rFonts w:ascii="Arial" w:cs="Arial" w:eastAsia="Arial" w:hAnsi="Arial"/>
          <w:sz w:val="18"/>
          <w:szCs w:val="18"/>
          <w:color w:val="auto"/>
        </w:rPr>
        <w:t>Together with our wholly-owned regional airline subsidiaries and third-party regional carriers operating as American Eagle, our airline operates an average of 6,800 flights per day to more than 365 destinations in 61 countries through our hubs and gateways in Charlotte, Chicago, Dallas/Fort Worth, London Heathrow, Los Angeles, Miami, New York, Philadelphia, Phoenix and Washington, D.C. In 2019, approximately 215 million passengers boarded our flights.</w:t>
      </w:r>
    </w:p>
    <w:p>
      <w:pPr>
        <w:spacing w:after="0" w:line="20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2019 Financial Overview</w:t>
      </w:r>
    </w:p>
    <w:p>
      <w:pPr>
        <w:spacing w:after="0" w:line="94"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AAG’s 2019 Results</w:t>
      </w:r>
    </w:p>
    <w:p>
      <w:pPr>
        <w:spacing w:after="0" w:line="108" w:lineRule="exact"/>
        <w:rPr>
          <w:sz w:val="20"/>
          <w:szCs w:val="20"/>
          <w:color w:val="auto"/>
        </w:rPr>
      </w:pPr>
    </w:p>
    <w:p>
      <w:pPr>
        <w:jc w:val="both"/>
        <w:ind w:firstLine="216"/>
        <w:spacing w:after="0" w:line="262" w:lineRule="auto"/>
        <w:rPr>
          <w:sz w:val="20"/>
          <w:szCs w:val="20"/>
          <w:color w:val="auto"/>
        </w:rPr>
      </w:pPr>
      <w:r>
        <w:rPr>
          <w:rFonts w:ascii="Arial" w:cs="Arial" w:eastAsia="Arial" w:hAnsi="Arial"/>
          <w:sz w:val="18"/>
          <w:szCs w:val="18"/>
          <w:color w:val="auto"/>
        </w:rPr>
        <w:t>The selected financial data presented below is derived from AAG’s audited consolidated financial statements included in Part II, Item 8A of this report and should be read in conjunction with those financial statements and the related notes thereto.</w:t>
      </w:r>
    </w:p>
    <w:p>
      <w:pPr>
        <w:spacing w:after="0" w:line="292"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562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640" w:type="dxa"/>
            <w:vAlign w:val="bottom"/>
            <w:gridSpan w:val="3"/>
          </w:tcPr>
          <w:p>
            <w:pPr>
              <w:jc w:val="center"/>
              <w:ind w:left="493"/>
              <w:spacing w:after="0"/>
              <w:rPr>
                <w:sz w:val="20"/>
                <w:szCs w:val="20"/>
                <w:color w:val="auto"/>
              </w:rPr>
            </w:pPr>
            <w:r>
              <w:rPr>
                <w:rFonts w:ascii="Arial" w:cs="Arial" w:eastAsia="Arial" w:hAnsi="Arial"/>
                <w:sz w:val="14"/>
                <w:szCs w:val="14"/>
                <w:b w:val="1"/>
                <w:bCs w:val="1"/>
                <w:color w:val="auto"/>
              </w:rPr>
              <w:t>Year Ended</w:t>
            </w:r>
          </w:p>
        </w:tc>
        <w:tc>
          <w:tcPr>
            <w:tcW w:w="9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1460" w:type="dxa"/>
            <w:vAlign w:val="bottom"/>
            <w:vMerge w:val="restart"/>
          </w:tcPr>
          <w:p>
            <w:pPr>
              <w:jc w:val="center"/>
              <w:ind w:left="13"/>
              <w:spacing w:after="0"/>
              <w:rPr>
                <w:sz w:val="20"/>
                <w:szCs w:val="20"/>
                <w:color w:val="auto"/>
              </w:rPr>
            </w:pPr>
            <w:r>
              <w:rPr>
                <w:rFonts w:ascii="Arial" w:cs="Arial" w:eastAsia="Arial" w:hAnsi="Arial"/>
                <w:sz w:val="14"/>
                <w:szCs w:val="14"/>
                <w:b w:val="1"/>
                <w:bCs w:val="1"/>
                <w:color w:val="auto"/>
              </w:rPr>
              <w:t>Percent</w:t>
            </w:r>
          </w:p>
        </w:tc>
        <w:tc>
          <w:tcPr>
            <w:tcW w:w="0" w:type="dxa"/>
            <w:vAlign w:val="bottom"/>
          </w:tcPr>
          <w:p>
            <w:pPr>
              <w:spacing w:after="0"/>
              <w:rPr>
                <w:sz w:val="1"/>
                <w:szCs w:val="1"/>
                <w:color w:val="auto"/>
              </w:rPr>
            </w:pPr>
          </w:p>
        </w:tc>
      </w:tr>
      <w:tr>
        <w:trPr>
          <w:trHeight w:val="148"/>
        </w:trPr>
        <w:tc>
          <w:tcPr>
            <w:tcW w:w="562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640" w:type="dxa"/>
            <w:vAlign w:val="bottom"/>
            <w:gridSpan w:val="3"/>
          </w:tcPr>
          <w:p>
            <w:pPr>
              <w:jc w:val="center"/>
              <w:ind w:left="493"/>
              <w:spacing w:after="0" w:line="149" w:lineRule="exact"/>
              <w:rPr>
                <w:sz w:val="20"/>
                <w:szCs w:val="20"/>
                <w:color w:val="auto"/>
              </w:rPr>
            </w:pPr>
            <w:r>
              <w:rPr>
                <w:rFonts w:ascii="Arial" w:cs="Arial" w:eastAsia="Arial" w:hAnsi="Arial"/>
                <w:sz w:val="14"/>
                <w:szCs w:val="14"/>
                <w:b w:val="1"/>
                <w:bCs w:val="1"/>
                <w:color w:val="auto"/>
              </w:rPr>
              <w:t>December 31,</w:t>
            </w:r>
          </w:p>
        </w:tc>
        <w:tc>
          <w:tcPr>
            <w:tcW w:w="9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160" w:type="dxa"/>
            <w:vAlign w:val="bottom"/>
          </w:tcPr>
          <w:p>
            <w:pPr>
              <w:spacing w:after="0"/>
              <w:rPr>
                <w:sz w:val="12"/>
                <w:szCs w:val="12"/>
                <w:color w:val="auto"/>
              </w:rPr>
            </w:pPr>
          </w:p>
        </w:tc>
        <w:tc>
          <w:tcPr>
            <w:tcW w:w="146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54"/>
        </w:trPr>
        <w:tc>
          <w:tcPr>
            <w:tcW w:w="5620" w:type="dxa"/>
            <w:vAlign w:val="bottom"/>
          </w:tcPr>
          <w:p>
            <w:pPr>
              <w:spacing w:after="0"/>
              <w:rPr>
                <w:sz w:val="4"/>
                <w:szCs w:val="4"/>
                <w:color w:val="auto"/>
              </w:rPr>
            </w:pPr>
          </w:p>
        </w:tc>
        <w:tc>
          <w:tcPr>
            <w:tcW w:w="320" w:type="dxa"/>
            <w:vAlign w:val="bottom"/>
            <w:tcBorders>
              <w:bottom w:val="single" w:sz="8" w:color="auto"/>
            </w:tcBorders>
          </w:tcPr>
          <w:p>
            <w:pPr>
              <w:spacing w:after="0"/>
              <w:rPr>
                <w:sz w:val="4"/>
                <w:szCs w:val="4"/>
                <w:color w:val="auto"/>
              </w:rPr>
            </w:pPr>
          </w:p>
        </w:tc>
        <w:tc>
          <w:tcPr>
            <w:tcW w:w="1060" w:type="dxa"/>
            <w:vAlign w:val="bottom"/>
            <w:tcBorders>
              <w:bottom w:val="single" w:sz="8" w:color="auto"/>
            </w:tcBorders>
          </w:tcPr>
          <w:p>
            <w:pPr>
              <w:spacing w:after="0"/>
              <w:rPr>
                <w:sz w:val="4"/>
                <w:szCs w:val="4"/>
                <w:color w:val="auto"/>
              </w:rPr>
            </w:pPr>
          </w:p>
        </w:tc>
        <w:tc>
          <w:tcPr>
            <w:tcW w:w="100" w:type="dxa"/>
            <w:vAlign w:val="bottom"/>
            <w:tcBorders>
              <w:bottom w:val="single" w:sz="8" w:color="auto"/>
            </w:tcBorders>
          </w:tcPr>
          <w:p>
            <w:pPr>
              <w:spacing w:after="0"/>
              <w:rPr>
                <w:sz w:val="4"/>
                <w:szCs w:val="4"/>
                <w:color w:val="auto"/>
              </w:rPr>
            </w:pPr>
          </w:p>
        </w:tc>
        <w:tc>
          <w:tcPr>
            <w:tcW w:w="480" w:type="dxa"/>
            <w:vAlign w:val="bottom"/>
            <w:tcBorders>
              <w:bottom w:val="single" w:sz="8" w:color="auto"/>
            </w:tcBorders>
          </w:tcPr>
          <w:p>
            <w:pPr>
              <w:spacing w:after="0"/>
              <w:rPr>
                <w:sz w:val="4"/>
                <w:szCs w:val="4"/>
                <w:color w:val="auto"/>
              </w:rPr>
            </w:pPr>
          </w:p>
        </w:tc>
        <w:tc>
          <w:tcPr>
            <w:tcW w:w="900" w:type="dxa"/>
            <w:vAlign w:val="bottom"/>
            <w:tcBorders>
              <w:bottom w:val="single" w:sz="8" w:color="auto"/>
            </w:tcBorders>
          </w:tcPr>
          <w:p>
            <w:pPr>
              <w:spacing w:after="0"/>
              <w:rPr>
                <w:sz w:val="4"/>
                <w:szCs w:val="4"/>
                <w:color w:val="auto"/>
              </w:rPr>
            </w:pPr>
          </w:p>
        </w:tc>
        <w:tc>
          <w:tcPr>
            <w:tcW w:w="100" w:type="dxa"/>
            <w:vAlign w:val="bottom"/>
          </w:tcPr>
          <w:p>
            <w:pPr>
              <w:spacing w:after="0"/>
              <w:rPr>
                <w:sz w:val="4"/>
                <w:szCs w:val="4"/>
                <w:color w:val="auto"/>
              </w:rPr>
            </w:pPr>
          </w:p>
        </w:tc>
        <w:tc>
          <w:tcPr>
            <w:tcW w:w="220" w:type="dxa"/>
            <w:vAlign w:val="bottom"/>
          </w:tcPr>
          <w:p>
            <w:pPr>
              <w:spacing w:after="0"/>
              <w:rPr>
                <w:sz w:val="4"/>
                <w:szCs w:val="4"/>
                <w:color w:val="auto"/>
              </w:rPr>
            </w:pPr>
          </w:p>
        </w:tc>
        <w:tc>
          <w:tcPr>
            <w:tcW w:w="1160" w:type="dxa"/>
            <w:vAlign w:val="bottom"/>
            <w:vMerge w:val="restart"/>
          </w:tcPr>
          <w:p>
            <w:pPr>
              <w:jc w:val="right"/>
              <w:ind w:right="312"/>
              <w:spacing w:after="0" w:line="135" w:lineRule="exact"/>
              <w:rPr>
                <w:sz w:val="20"/>
                <w:szCs w:val="20"/>
                <w:color w:val="auto"/>
              </w:rPr>
            </w:pPr>
            <w:r>
              <w:rPr>
                <w:rFonts w:ascii="Arial" w:cs="Arial" w:eastAsia="Arial" w:hAnsi="Arial"/>
                <w:sz w:val="14"/>
                <w:szCs w:val="14"/>
                <w:b w:val="1"/>
                <w:bCs w:val="1"/>
                <w:color w:val="auto"/>
              </w:rPr>
              <w:t>Increase</w:t>
            </w:r>
          </w:p>
        </w:tc>
        <w:tc>
          <w:tcPr>
            <w:tcW w:w="1460" w:type="dxa"/>
            <w:vAlign w:val="bottom"/>
            <w:vMerge w:val="restart"/>
          </w:tcPr>
          <w:p>
            <w:pPr>
              <w:jc w:val="center"/>
              <w:ind w:left="33"/>
              <w:spacing w:after="0" w:line="135" w:lineRule="exact"/>
              <w:rPr>
                <w:sz w:val="20"/>
                <w:szCs w:val="20"/>
                <w:color w:val="auto"/>
              </w:rPr>
            </w:pPr>
            <w:r>
              <w:rPr>
                <w:rFonts w:ascii="Arial" w:cs="Arial" w:eastAsia="Arial" w:hAnsi="Arial"/>
                <w:sz w:val="14"/>
                <w:szCs w:val="14"/>
                <w:b w:val="1"/>
                <w:bCs w:val="1"/>
                <w:color w:val="auto"/>
              </w:rPr>
              <w:t>Increase</w:t>
            </w:r>
          </w:p>
        </w:tc>
        <w:tc>
          <w:tcPr>
            <w:tcW w:w="0" w:type="dxa"/>
            <w:vAlign w:val="bottom"/>
          </w:tcPr>
          <w:p>
            <w:pPr>
              <w:spacing w:after="0"/>
              <w:rPr>
                <w:sz w:val="1"/>
                <w:szCs w:val="1"/>
                <w:color w:val="auto"/>
              </w:rPr>
            </w:pPr>
          </w:p>
        </w:tc>
      </w:tr>
      <w:tr>
        <w:trPr>
          <w:trHeight w:val="61"/>
        </w:trPr>
        <w:tc>
          <w:tcPr>
            <w:tcW w:w="5620" w:type="dxa"/>
            <w:vAlign w:val="bottom"/>
          </w:tcPr>
          <w:p>
            <w:pPr>
              <w:spacing w:after="0"/>
              <w:rPr>
                <w:sz w:val="5"/>
                <w:szCs w:val="5"/>
                <w:color w:val="auto"/>
              </w:rPr>
            </w:pPr>
          </w:p>
        </w:tc>
        <w:tc>
          <w:tcPr>
            <w:tcW w:w="320" w:type="dxa"/>
            <w:vAlign w:val="bottom"/>
          </w:tcPr>
          <w:p>
            <w:pPr>
              <w:spacing w:after="0"/>
              <w:rPr>
                <w:sz w:val="5"/>
                <w:szCs w:val="5"/>
                <w:color w:val="auto"/>
              </w:rPr>
            </w:pPr>
          </w:p>
        </w:tc>
        <w:tc>
          <w:tcPr>
            <w:tcW w:w="1060" w:type="dxa"/>
            <w:vAlign w:val="bottom"/>
          </w:tcPr>
          <w:p>
            <w:pPr>
              <w:spacing w:after="0"/>
              <w:rPr>
                <w:sz w:val="5"/>
                <w:szCs w:val="5"/>
                <w:color w:val="auto"/>
              </w:rPr>
            </w:pPr>
          </w:p>
        </w:tc>
        <w:tc>
          <w:tcPr>
            <w:tcW w:w="100" w:type="dxa"/>
            <w:vAlign w:val="bottom"/>
          </w:tcPr>
          <w:p>
            <w:pPr>
              <w:spacing w:after="0"/>
              <w:rPr>
                <w:sz w:val="5"/>
                <w:szCs w:val="5"/>
                <w:color w:val="auto"/>
              </w:rPr>
            </w:pPr>
          </w:p>
        </w:tc>
        <w:tc>
          <w:tcPr>
            <w:tcW w:w="480" w:type="dxa"/>
            <w:vAlign w:val="bottom"/>
          </w:tcPr>
          <w:p>
            <w:pPr>
              <w:spacing w:after="0"/>
              <w:rPr>
                <w:sz w:val="5"/>
                <w:szCs w:val="5"/>
                <w:color w:val="auto"/>
              </w:rPr>
            </w:pPr>
          </w:p>
        </w:tc>
        <w:tc>
          <w:tcPr>
            <w:tcW w:w="900" w:type="dxa"/>
            <w:vAlign w:val="bottom"/>
          </w:tcPr>
          <w:p>
            <w:pPr>
              <w:spacing w:after="0"/>
              <w:rPr>
                <w:sz w:val="5"/>
                <w:szCs w:val="5"/>
                <w:color w:val="auto"/>
              </w:rPr>
            </w:pPr>
          </w:p>
        </w:tc>
        <w:tc>
          <w:tcPr>
            <w:tcW w:w="100" w:type="dxa"/>
            <w:vAlign w:val="bottom"/>
          </w:tcPr>
          <w:p>
            <w:pPr>
              <w:spacing w:after="0"/>
              <w:rPr>
                <w:sz w:val="5"/>
                <w:szCs w:val="5"/>
                <w:color w:val="auto"/>
              </w:rPr>
            </w:pPr>
          </w:p>
        </w:tc>
        <w:tc>
          <w:tcPr>
            <w:tcW w:w="220" w:type="dxa"/>
            <w:vAlign w:val="bottom"/>
          </w:tcPr>
          <w:p>
            <w:pPr>
              <w:spacing w:after="0"/>
              <w:rPr>
                <w:sz w:val="5"/>
                <w:szCs w:val="5"/>
                <w:color w:val="auto"/>
              </w:rPr>
            </w:pPr>
          </w:p>
        </w:tc>
        <w:tc>
          <w:tcPr>
            <w:tcW w:w="1160" w:type="dxa"/>
            <w:vAlign w:val="bottom"/>
            <w:vMerge w:val="continue"/>
          </w:tcPr>
          <w:p>
            <w:pPr>
              <w:spacing w:after="0"/>
              <w:rPr>
                <w:sz w:val="5"/>
                <w:szCs w:val="5"/>
                <w:color w:val="auto"/>
              </w:rPr>
            </w:pPr>
          </w:p>
        </w:tc>
        <w:tc>
          <w:tcPr>
            <w:tcW w:w="146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96"/>
        </w:trPr>
        <w:tc>
          <w:tcPr>
            <w:tcW w:w="5620" w:type="dxa"/>
            <w:vAlign w:val="bottom"/>
          </w:tcPr>
          <w:p>
            <w:pPr>
              <w:spacing w:after="0"/>
              <w:rPr>
                <w:sz w:val="17"/>
                <w:szCs w:val="17"/>
                <w:color w:val="auto"/>
              </w:rPr>
            </w:pPr>
          </w:p>
        </w:tc>
        <w:tc>
          <w:tcPr>
            <w:tcW w:w="320" w:type="dxa"/>
            <w:vAlign w:val="bottom"/>
            <w:tcBorders>
              <w:bottom w:val="single" w:sz="8" w:color="auto"/>
            </w:tcBorders>
          </w:tcPr>
          <w:p>
            <w:pPr>
              <w:spacing w:after="0"/>
              <w:rPr>
                <w:sz w:val="17"/>
                <w:szCs w:val="17"/>
                <w:color w:val="auto"/>
              </w:rPr>
            </w:pPr>
          </w:p>
        </w:tc>
        <w:tc>
          <w:tcPr>
            <w:tcW w:w="1060" w:type="dxa"/>
            <w:vAlign w:val="bottom"/>
            <w:tcBorders>
              <w:bottom w:val="single" w:sz="8" w:color="auto"/>
            </w:tcBorders>
          </w:tcPr>
          <w:p>
            <w:pPr>
              <w:jc w:val="right"/>
              <w:ind w:right="453"/>
              <w:spacing w:after="0"/>
              <w:rPr>
                <w:sz w:val="20"/>
                <w:szCs w:val="20"/>
                <w:color w:val="auto"/>
              </w:rPr>
            </w:pPr>
            <w:r>
              <w:rPr>
                <w:rFonts w:ascii="Arial" w:cs="Arial" w:eastAsia="Arial" w:hAnsi="Arial"/>
                <w:sz w:val="14"/>
                <w:szCs w:val="14"/>
                <w:b w:val="1"/>
                <w:bCs w:val="1"/>
                <w:color w:val="auto"/>
              </w:rPr>
              <w:t>2019</w:t>
            </w:r>
          </w:p>
        </w:tc>
        <w:tc>
          <w:tcPr>
            <w:tcW w:w="100" w:type="dxa"/>
            <w:vAlign w:val="bottom"/>
            <w:tcBorders>
              <w:bottom w:val="single" w:sz="8" w:color="auto"/>
            </w:tcBorders>
          </w:tcPr>
          <w:p>
            <w:pPr>
              <w:spacing w:after="0"/>
              <w:rPr>
                <w:sz w:val="17"/>
                <w:szCs w:val="17"/>
                <w:color w:val="auto"/>
              </w:rPr>
            </w:pPr>
          </w:p>
        </w:tc>
        <w:tc>
          <w:tcPr>
            <w:tcW w:w="480" w:type="dxa"/>
            <w:vAlign w:val="bottom"/>
            <w:tcBorders>
              <w:bottom w:val="single" w:sz="8" w:color="auto"/>
            </w:tcBorders>
          </w:tcPr>
          <w:p>
            <w:pPr>
              <w:spacing w:after="0"/>
              <w:rPr>
                <w:sz w:val="17"/>
                <w:szCs w:val="17"/>
                <w:color w:val="auto"/>
              </w:rPr>
            </w:pPr>
          </w:p>
        </w:tc>
        <w:tc>
          <w:tcPr>
            <w:tcW w:w="900" w:type="dxa"/>
            <w:vAlign w:val="bottom"/>
            <w:tcBorders>
              <w:bottom w:val="single" w:sz="8" w:color="auto"/>
            </w:tcBorders>
          </w:tcPr>
          <w:p>
            <w:pPr>
              <w:jc w:val="right"/>
              <w:ind w:right="451"/>
              <w:spacing w:after="0"/>
              <w:rPr>
                <w:sz w:val="20"/>
                <w:szCs w:val="20"/>
                <w:color w:val="auto"/>
              </w:rPr>
            </w:pPr>
            <w:r>
              <w:rPr>
                <w:rFonts w:ascii="Arial" w:cs="Arial" w:eastAsia="Arial" w:hAnsi="Arial"/>
                <w:sz w:val="14"/>
                <w:szCs w:val="14"/>
                <w:b w:val="1"/>
                <w:bCs w:val="1"/>
                <w:color w:val="auto"/>
              </w:rPr>
              <w:t>2018</w:t>
            </w:r>
          </w:p>
        </w:tc>
        <w:tc>
          <w:tcPr>
            <w:tcW w:w="100" w:type="dxa"/>
            <w:vAlign w:val="bottom"/>
            <w:tcBorders>
              <w:bottom w:val="single" w:sz="8" w:color="auto"/>
            </w:tcBorders>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1160" w:type="dxa"/>
            <w:vAlign w:val="bottom"/>
            <w:tcBorders>
              <w:bottom w:val="single" w:sz="8" w:color="auto"/>
            </w:tcBorders>
          </w:tcPr>
          <w:p>
            <w:pPr>
              <w:jc w:val="right"/>
              <w:ind w:right="232"/>
              <w:spacing w:after="0"/>
              <w:rPr>
                <w:sz w:val="20"/>
                <w:szCs w:val="20"/>
                <w:color w:val="auto"/>
              </w:rPr>
            </w:pPr>
            <w:r>
              <w:rPr>
                <w:rFonts w:ascii="Arial" w:cs="Arial" w:eastAsia="Arial" w:hAnsi="Arial"/>
                <w:sz w:val="14"/>
                <w:szCs w:val="14"/>
                <w:b w:val="1"/>
                <w:bCs w:val="1"/>
                <w:color w:val="auto"/>
              </w:rPr>
              <w:t>(Decrease)</w:t>
            </w:r>
          </w:p>
        </w:tc>
        <w:tc>
          <w:tcPr>
            <w:tcW w:w="1460" w:type="dxa"/>
            <w:vAlign w:val="bottom"/>
            <w:tcBorders>
              <w:bottom w:val="single" w:sz="8" w:color="auto"/>
            </w:tcBorders>
          </w:tcPr>
          <w:p>
            <w:pPr>
              <w:jc w:val="center"/>
              <w:ind w:left="33"/>
              <w:spacing w:after="0"/>
              <w:rPr>
                <w:sz w:val="20"/>
                <w:szCs w:val="20"/>
                <w:color w:val="auto"/>
              </w:rPr>
            </w:pPr>
            <w:r>
              <w:rPr>
                <w:rFonts w:ascii="Arial" w:cs="Arial" w:eastAsia="Arial" w:hAnsi="Arial"/>
                <w:sz w:val="14"/>
                <w:szCs w:val="14"/>
                <w:b w:val="1"/>
                <w:bCs w:val="1"/>
                <w:color w:val="auto"/>
              </w:rPr>
              <w:t>(Decrease)</w:t>
            </w:r>
          </w:p>
        </w:tc>
        <w:tc>
          <w:tcPr>
            <w:tcW w:w="0" w:type="dxa"/>
            <w:vAlign w:val="bottom"/>
          </w:tcPr>
          <w:p>
            <w:pPr>
              <w:spacing w:after="0"/>
              <w:rPr>
                <w:sz w:val="1"/>
                <w:szCs w:val="1"/>
                <w:color w:val="auto"/>
              </w:rPr>
            </w:pPr>
          </w:p>
        </w:tc>
      </w:tr>
      <w:tr>
        <w:trPr>
          <w:trHeight w:val="210"/>
        </w:trPr>
        <w:tc>
          <w:tcPr>
            <w:tcW w:w="56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860" w:type="dxa"/>
            <w:vAlign w:val="bottom"/>
            <w:gridSpan w:val="5"/>
          </w:tcPr>
          <w:p>
            <w:pPr>
              <w:ind w:left="40"/>
              <w:spacing w:after="0"/>
              <w:rPr>
                <w:sz w:val="20"/>
                <w:szCs w:val="20"/>
                <w:color w:val="auto"/>
              </w:rPr>
            </w:pPr>
            <w:r>
              <w:rPr>
                <w:rFonts w:ascii="Arial" w:cs="Arial" w:eastAsia="Arial" w:hAnsi="Arial"/>
                <w:sz w:val="14"/>
                <w:szCs w:val="14"/>
                <w:b w:val="1"/>
                <w:bCs w:val="1"/>
                <w:color w:val="auto"/>
              </w:rPr>
              <w:t>(In millions, except percentage changes)</w:t>
            </w:r>
          </w:p>
        </w:tc>
        <w:tc>
          <w:tcPr>
            <w:tcW w:w="14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6"/>
        </w:trPr>
        <w:tc>
          <w:tcPr>
            <w:tcW w:w="5620" w:type="dxa"/>
            <w:vAlign w:val="bottom"/>
            <w:shd w:val="clear" w:color="auto" w:fill="CCEEFF"/>
          </w:tcPr>
          <w:p>
            <w:pPr>
              <w:ind w:left="40"/>
              <w:spacing w:after="0"/>
              <w:rPr>
                <w:sz w:val="20"/>
                <w:szCs w:val="20"/>
                <w:color w:val="auto"/>
              </w:rPr>
            </w:pPr>
            <w:r>
              <w:rPr>
                <w:rFonts w:ascii="Arial" w:cs="Arial" w:eastAsia="Arial" w:hAnsi="Arial"/>
                <w:sz w:val="18"/>
                <w:szCs w:val="18"/>
                <w:color w:val="auto"/>
              </w:rPr>
              <w:t>Passenger revenue</w:t>
            </w:r>
          </w:p>
        </w:tc>
        <w:tc>
          <w:tcPr>
            <w:tcW w:w="32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060" w:type="dxa"/>
            <w:vAlign w:val="bottom"/>
            <w:shd w:val="clear" w:color="auto" w:fill="CCEEFF"/>
          </w:tcPr>
          <w:p>
            <w:pPr>
              <w:jc w:val="right"/>
              <w:ind w:right="33"/>
              <w:spacing w:after="0"/>
              <w:rPr>
                <w:sz w:val="20"/>
                <w:szCs w:val="20"/>
                <w:color w:val="auto"/>
              </w:rPr>
            </w:pPr>
            <w:r>
              <w:rPr>
                <w:rFonts w:ascii="Arial" w:cs="Arial" w:eastAsia="Arial" w:hAnsi="Arial"/>
                <w:sz w:val="18"/>
                <w:szCs w:val="18"/>
                <w:color w:val="auto"/>
              </w:rPr>
              <w:t>42,010</w:t>
            </w:r>
          </w:p>
        </w:tc>
        <w:tc>
          <w:tcPr>
            <w:tcW w:w="100" w:type="dxa"/>
            <w:vAlign w:val="bottom"/>
            <w:shd w:val="clear" w:color="auto" w:fill="CCEEFF"/>
          </w:tcPr>
          <w:p>
            <w:pPr>
              <w:spacing w:after="0"/>
              <w:rPr>
                <w:sz w:val="24"/>
                <w:szCs w:val="24"/>
                <w:color w:val="auto"/>
              </w:rPr>
            </w:pPr>
          </w:p>
        </w:tc>
        <w:tc>
          <w:tcPr>
            <w:tcW w:w="480" w:type="dxa"/>
            <w:vAlign w:val="bottom"/>
            <w:shd w:val="clear" w:color="auto" w:fill="CCEEFF"/>
          </w:tcPr>
          <w:p>
            <w:pPr>
              <w:ind w:left="20"/>
              <w:spacing w:after="0"/>
              <w:rPr>
                <w:sz w:val="20"/>
                <w:szCs w:val="20"/>
                <w:color w:val="auto"/>
              </w:rPr>
            </w:pPr>
            <w:r>
              <w:rPr>
                <w:rFonts w:ascii="Arial" w:cs="Arial" w:eastAsia="Arial" w:hAnsi="Arial"/>
                <w:sz w:val="18"/>
                <w:szCs w:val="18"/>
                <w:color w:val="auto"/>
              </w:rPr>
              <w:t>$</w:t>
            </w:r>
          </w:p>
        </w:tc>
        <w:tc>
          <w:tcPr>
            <w:tcW w:w="900" w:type="dxa"/>
            <w:vAlign w:val="bottom"/>
            <w:shd w:val="clear" w:color="auto" w:fill="CCEEFF"/>
          </w:tcPr>
          <w:p>
            <w:pPr>
              <w:jc w:val="right"/>
              <w:ind w:right="31"/>
              <w:spacing w:after="0"/>
              <w:rPr>
                <w:sz w:val="20"/>
                <w:szCs w:val="20"/>
                <w:color w:val="auto"/>
              </w:rPr>
            </w:pPr>
            <w:r>
              <w:rPr>
                <w:rFonts w:ascii="Arial" w:cs="Arial" w:eastAsia="Arial" w:hAnsi="Arial"/>
                <w:sz w:val="18"/>
                <w:szCs w:val="18"/>
                <w:color w:val="auto"/>
              </w:rPr>
              <w:t>40,676</w:t>
            </w:r>
          </w:p>
        </w:tc>
        <w:tc>
          <w:tcPr>
            <w:tcW w:w="100" w:type="dxa"/>
            <w:vAlign w:val="bottom"/>
            <w:shd w:val="clear" w:color="auto" w:fill="CCEEFF"/>
          </w:tcPr>
          <w:p>
            <w:pPr>
              <w:spacing w:after="0"/>
              <w:rPr>
                <w:sz w:val="24"/>
                <w:szCs w:val="24"/>
                <w:color w:val="auto"/>
              </w:rPr>
            </w:pPr>
          </w:p>
        </w:tc>
        <w:tc>
          <w:tcPr>
            <w:tcW w:w="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6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1,334</w:t>
            </w:r>
          </w:p>
        </w:tc>
        <w:tc>
          <w:tcPr>
            <w:tcW w:w="1460" w:type="dxa"/>
            <w:vAlign w:val="bottom"/>
            <w:shd w:val="clear" w:color="auto" w:fill="CCEEFF"/>
          </w:tcPr>
          <w:p>
            <w:pPr>
              <w:jc w:val="right"/>
              <w:ind w:right="13"/>
              <w:spacing w:after="0"/>
              <w:rPr>
                <w:sz w:val="20"/>
                <w:szCs w:val="20"/>
                <w:color w:val="auto"/>
              </w:rPr>
            </w:pPr>
            <w:r>
              <w:rPr>
                <w:rFonts w:ascii="Arial" w:cs="Arial" w:eastAsia="Arial" w:hAnsi="Arial"/>
                <w:sz w:val="18"/>
                <w:szCs w:val="18"/>
                <w:color w:val="auto"/>
              </w:rPr>
              <w:t>3.3</w:t>
            </w:r>
          </w:p>
        </w:tc>
        <w:tc>
          <w:tcPr>
            <w:tcW w:w="0" w:type="dxa"/>
            <w:vAlign w:val="bottom"/>
          </w:tcPr>
          <w:p>
            <w:pPr>
              <w:spacing w:after="0"/>
              <w:rPr>
                <w:sz w:val="1"/>
                <w:szCs w:val="1"/>
                <w:color w:val="auto"/>
              </w:rPr>
            </w:pPr>
          </w:p>
        </w:tc>
      </w:tr>
      <w:tr>
        <w:trPr>
          <w:trHeight w:val="263"/>
        </w:trPr>
        <w:tc>
          <w:tcPr>
            <w:tcW w:w="5620" w:type="dxa"/>
            <w:vAlign w:val="bottom"/>
          </w:tcPr>
          <w:p>
            <w:pPr>
              <w:ind w:left="40"/>
              <w:spacing w:after="0"/>
              <w:rPr>
                <w:sz w:val="20"/>
                <w:szCs w:val="20"/>
                <w:color w:val="auto"/>
              </w:rPr>
            </w:pPr>
            <w:r>
              <w:rPr>
                <w:rFonts w:ascii="Arial" w:cs="Arial" w:eastAsia="Arial" w:hAnsi="Arial"/>
                <w:sz w:val="18"/>
                <w:szCs w:val="18"/>
                <w:color w:val="auto"/>
              </w:rPr>
              <w:t>Cargo revenue</w:t>
            </w:r>
          </w:p>
        </w:tc>
        <w:tc>
          <w:tcPr>
            <w:tcW w:w="320" w:type="dxa"/>
            <w:vAlign w:val="bottom"/>
          </w:tcPr>
          <w:p>
            <w:pPr>
              <w:spacing w:after="0"/>
              <w:rPr>
                <w:sz w:val="22"/>
                <w:szCs w:val="22"/>
                <w:color w:val="auto"/>
              </w:rPr>
            </w:pPr>
          </w:p>
        </w:tc>
        <w:tc>
          <w:tcPr>
            <w:tcW w:w="1060" w:type="dxa"/>
            <w:vAlign w:val="bottom"/>
          </w:tcPr>
          <w:p>
            <w:pPr>
              <w:jc w:val="right"/>
              <w:ind w:right="33"/>
              <w:spacing w:after="0"/>
              <w:rPr>
                <w:sz w:val="20"/>
                <w:szCs w:val="20"/>
                <w:color w:val="auto"/>
              </w:rPr>
            </w:pPr>
            <w:r>
              <w:rPr>
                <w:rFonts w:ascii="Arial" w:cs="Arial" w:eastAsia="Arial" w:hAnsi="Arial"/>
                <w:sz w:val="18"/>
                <w:szCs w:val="18"/>
                <w:color w:val="auto"/>
              </w:rPr>
              <w:t>863</w:t>
            </w:r>
          </w:p>
        </w:tc>
        <w:tc>
          <w:tcPr>
            <w:tcW w:w="100" w:type="dxa"/>
            <w:vAlign w:val="bottom"/>
          </w:tcPr>
          <w:p>
            <w:pPr>
              <w:spacing w:after="0"/>
              <w:rPr>
                <w:sz w:val="22"/>
                <w:szCs w:val="22"/>
                <w:color w:val="auto"/>
              </w:rPr>
            </w:pPr>
          </w:p>
        </w:tc>
        <w:tc>
          <w:tcPr>
            <w:tcW w:w="480" w:type="dxa"/>
            <w:vAlign w:val="bottom"/>
          </w:tcPr>
          <w:p>
            <w:pPr>
              <w:spacing w:after="0"/>
              <w:rPr>
                <w:sz w:val="22"/>
                <w:szCs w:val="22"/>
                <w:color w:val="auto"/>
              </w:rPr>
            </w:pPr>
          </w:p>
        </w:tc>
        <w:tc>
          <w:tcPr>
            <w:tcW w:w="900" w:type="dxa"/>
            <w:vAlign w:val="bottom"/>
          </w:tcPr>
          <w:p>
            <w:pPr>
              <w:jc w:val="right"/>
              <w:ind w:right="31"/>
              <w:spacing w:after="0"/>
              <w:rPr>
                <w:sz w:val="20"/>
                <w:szCs w:val="20"/>
                <w:color w:val="auto"/>
              </w:rPr>
            </w:pPr>
            <w:r>
              <w:rPr>
                <w:rFonts w:ascii="Arial" w:cs="Arial" w:eastAsia="Arial" w:hAnsi="Arial"/>
                <w:sz w:val="18"/>
                <w:szCs w:val="18"/>
                <w:color w:val="auto"/>
              </w:rPr>
              <w:t>1,013</w:t>
            </w:r>
          </w:p>
        </w:tc>
        <w:tc>
          <w:tcPr>
            <w:tcW w:w="10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(150)</w:t>
            </w:r>
          </w:p>
        </w:tc>
        <w:tc>
          <w:tcPr>
            <w:tcW w:w="1460" w:type="dxa"/>
            <w:vAlign w:val="bottom"/>
          </w:tcPr>
          <w:p>
            <w:pPr>
              <w:jc w:val="right"/>
              <w:spacing w:after="0"/>
              <w:rPr>
                <w:sz w:val="20"/>
                <w:szCs w:val="20"/>
                <w:color w:val="auto"/>
              </w:rPr>
            </w:pPr>
            <w:r>
              <w:rPr>
                <w:rFonts w:ascii="Arial" w:cs="Arial" w:eastAsia="Arial" w:hAnsi="Arial"/>
                <w:sz w:val="18"/>
                <w:szCs w:val="18"/>
                <w:color w:val="auto"/>
              </w:rPr>
              <w:t>(14.8)</w:t>
            </w:r>
          </w:p>
        </w:tc>
        <w:tc>
          <w:tcPr>
            <w:tcW w:w="0" w:type="dxa"/>
            <w:vAlign w:val="bottom"/>
          </w:tcPr>
          <w:p>
            <w:pPr>
              <w:spacing w:after="0"/>
              <w:rPr>
                <w:sz w:val="1"/>
                <w:szCs w:val="1"/>
                <w:color w:val="auto"/>
              </w:rPr>
            </w:pPr>
          </w:p>
        </w:tc>
      </w:tr>
      <w:tr>
        <w:trPr>
          <w:trHeight w:val="277"/>
        </w:trPr>
        <w:tc>
          <w:tcPr>
            <w:tcW w:w="5620" w:type="dxa"/>
            <w:vAlign w:val="bottom"/>
            <w:shd w:val="clear" w:color="auto" w:fill="CCEEFF"/>
          </w:tcPr>
          <w:p>
            <w:pPr>
              <w:ind w:left="40"/>
              <w:spacing w:after="0"/>
              <w:rPr>
                <w:sz w:val="20"/>
                <w:szCs w:val="20"/>
                <w:color w:val="auto"/>
              </w:rPr>
            </w:pPr>
            <w:r>
              <w:rPr>
                <w:rFonts w:ascii="Arial" w:cs="Arial" w:eastAsia="Arial" w:hAnsi="Arial"/>
                <w:sz w:val="18"/>
                <w:szCs w:val="18"/>
                <w:color w:val="auto"/>
              </w:rPr>
              <w:t>Other operating revenue</w:t>
            </w:r>
          </w:p>
        </w:tc>
        <w:tc>
          <w:tcPr>
            <w:tcW w:w="320" w:type="dxa"/>
            <w:vAlign w:val="bottom"/>
            <w:shd w:val="clear" w:color="auto" w:fill="CCEEFF"/>
          </w:tcPr>
          <w:p>
            <w:pPr>
              <w:spacing w:after="0"/>
              <w:rPr>
                <w:sz w:val="24"/>
                <w:szCs w:val="24"/>
                <w:color w:val="auto"/>
              </w:rPr>
            </w:pPr>
          </w:p>
        </w:tc>
        <w:tc>
          <w:tcPr>
            <w:tcW w:w="1060" w:type="dxa"/>
            <w:vAlign w:val="bottom"/>
            <w:shd w:val="clear" w:color="auto" w:fill="CCEEFF"/>
          </w:tcPr>
          <w:p>
            <w:pPr>
              <w:jc w:val="right"/>
              <w:ind w:right="33"/>
              <w:spacing w:after="0"/>
              <w:rPr>
                <w:sz w:val="20"/>
                <w:szCs w:val="20"/>
                <w:color w:val="auto"/>
              </w:rPr>
            </w:pPr>
            <w:r>
              <w:rPr>
                <w:rFonts w:ascii="Arial" w:cs="Arial" w:eastAsia="Arial" w:hAnsi="Arial"/>
                <w:sz w:val="18"/>
                <w:szCs w:val="18"/>
                <w:color w:val="auto"/>
              </w:rPr>
              <w:t>2,895</w:t>
            </w:r>
          </w:p>
        </w:tc>
        <w:tc>
          <w:tcPr>
            <w:tcW w:w="100" w:type="dxa"/>
            <w:vAlign w:val="bottom"/>
            <w:shd w:val="clear" w:color="auto" w:fill="CCEEFF"/>
          </w:tcPr>
          <w:p>
            <w:pPr>
              <w:spacing w:after="0"/>
              <w:rPr>
                <w:sz w:val="24"/>
                <w:szCs w:val="24"/>
                <w:color w:val="auto"/>
              </w:rPr>
            </w:pPr>
          </w:p>
        </w:tc>
        <w:tc>
          <w:tcPr>
            <w:tcW w:w="480" w:type="dxa"/>
            <w:vAlign w:val="bottom"/>
            <w:shd w:val="clear" w:color="auto" w:fill="CCEEFF"/>
          </w:tcPr>
          <w:p>
            <w:pPr>
              <w:spacing w:after="0"/>
              <w:rPr>
                <w:sz w:val="24"/>
                <w:szCs w:val="24"/>
                <w:color w:val="auto"/>
              </w:rPr>
            </w:pPr>
          </w:p>
        </w:tc>
        <w:tc>
          <w:tcPr>
            <w:tcW w:w="900" w:type="dxa"/>
            <w:vAlign w:val="bottom"/>
            <w:shd w:val="clear" w:color="auto" w:fill="CCEEFF"/>
          </w:tcPr>
          <w:p>
            <w:pPr>
              <w:jc w:val="right"/>
              <w:ind w:right="31"/>
              <w:spacing w:after="0"/>
              <w:rPr>
                <w:sz w:val="20"/>
                <w:szCs w:val="20"/>
                <w:color w:val="auto"/>
              </w:rPr>
            </w:pPr>
            <w:r>
              <w:rPr>
                <w:rFonts w:ascii="Arial" w:cs="Arial" w:eastAsia="Arial" w:hAnsi="Arial"/>
                <w:sz w:val="18"/>
                <w:szCs w:val="18"/>
                <w:color w:val="auto"/>
              </w:rPr>
              <w:t>2,852</w:t>
            </w:r>
          </w:p>
        </w:tc>
        <w:tc>
          <w:tcPr>
            <w:tcW w:w="100" w:type="dxa"/>
            <w:vAlign w:val="bottom"/>
            <w:shd w:val="clear" w:color="auto" w:fill="CCEEFF"/>
          </w:tcPr>
          <w:p>
            <w:pPr>
              <w:spacing w:after="0"/>
              <w:rPr>
                <w:sz w:val="24"/>
                <w:szCs w:val="24"/>
                <w:color w:val="auto"/>
              </w:rPr>
            </w:pPr>
          </w:p>
        </w:tc>
        <w:tc>
          <w:tcPr>
            <w:tcW w:w="220" w:type="dxa"/>
            <w:vAlign w:val="bottom"/>
            <w:shd w:val="clear" w:color="auto" w:fill="CCEEFF"/>
          </w:tcPr>
          <w:p>
            <w:pPr>
              <w:spacing w:after="0"/>
              <w:rPr>
                <w:sz w:val="24"/>
                <w:szCs w:val="24"/>
                <w:color w:val="auto"/>
              </w:rPr>
            </w:pPr>
          </w:p>
        </w:tc>
        <w:tc>
          <w:tcPr>
            <w:tcW w:w="116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43</w:t>
            </w:r>
          </w:p>
        </w:tc>
        <w:tc>
          <w:tcPr>
            <w:tcW w:w="1460" w:type="dxa"/>
            <w:vAlign w:val="bottom"/>
            <w:shd w:val="clear" w:color="auto" w:fill="CCEEFF"/>
          </w:tcPr>
          <w:p>
            <w:pPr>
              <w:jc w:val="right"/>
              <w:ind w:right="13"/>
              <w:spacing w:after="0"/>
              <w:rPr>
                <w:sz w:val="20"/>
                <w:szCs w:val="20"/>
                <w:color w:val="auto"/>
              </w:rPr>
            </w:pPr>
            <w:r>
              <w:rPr>
                <w:rFonts w:ascii="Arial" w:cs="Arial" w:eastAsia="Arial" w:hAnsi="Arial"/>
                <w:sz w:val="18"/>
                <w:szCs w:val="18"/>
                <w:color w:val="auto"/>
              </w:rPr>
              <w:t>1.5</w:t>
            </w:r>
          </w:p>
        </w:tc>
        <w:tc>
          <w:tcPr>
            <w:tcW w:w="0" w:type="dxa"/>
            <w:vAlign w:val="bottom"/>
          </w:tcPr>
          <w:p>
            <w:pPr>
              <w:spacing w:after="0"/>
              <w:rPr>
                <w:sz w:val="1"/>
                <w:szCs w:val="1"/>
                <w:color w:val="auto"/>
              </w:rPr>
            </w:pPr>
          </w:p>
        </w:tc>
      </w:tr>
      <w:tr>
        <w:trPr>
          <w:trHeight w:val="263"/>
        </w:trPr>
        <w:tc>
          <w:tcPr>
            <w:tcW w:w="5620" w:type="dxa"/>
            <w:vAlign w:val="bottom"/>
          </w:tcPr>
          <w:p>
            <w:pPr>
              <w:ind w:left="40"/>
              <w:spacing w:after="0"/>
              <w:rPr>
                <w:sz w:val="20"/>
                <w:szCs w:val="20"/>
                <w:color w:val="auto"/>
              </w:rPr>
            </w:pPr>
            <w:r>
              <w:rPr>
                <w:rFonts w:ascii="Arial" w:cs="Arial" w:eastAsia="Arial" w:hAnsi="Arial"/>
                <w:sz w:val="18"/>
                <w:szCs w:val="18"/>
                <w:color w:val="auto"/>
              </w:rPr>
              <w:t>Total operating revenues</w:t>
            </w:r>
          </w:p>
        </w:tc>
        <w:tc>
          <w:tcPr>
            <w:tcW w:w="320" w:type="dxa"/>
            <w:vAlign w:val="bottom"/>
          </w:tcPr>
          <w:p>
            <w:pPr>
              <w:spacing w:after="0"/>
              <w:rPr>
                <w:sz w:val="22"/>
                <w:szCs w:val="22"/>
                <w:color w:val="auto"/>
              </w:rPr>
            </w:pPr>
          </w:p>
        </w:tc>
        <w:tc>
          <w:tcPr>
            <w:tcW w:w="1060" w:type="dxa"/>
            <w:vAlign w:val="bottom"/>
          </w:tcPr>
          <w:p>
            <w:pPr>
              <w:jc w:val="right"/>
              <w:ind w:right="33"/>
              <w:spacing w:after="0"/>
              <w:rPr>
                <w:sz w:val="20"/>
                <w:szCs w:val="20"/>
                <w:color w:val="auto"/>
              </w:rPr>
            </w:pPr>
            <w:r>
              <w:rPr>
                <w:rFonts w:ascii="Arial" w:cs="Arial" w:eastAsia="Arial" w:hAnsi="Arial"/>
                <w:sz w:val="18"/>
                <w:szCs w:val="18"/>
                <w:color w:val="auto"/>
              </w:rPr>
              <w:t>45,768</w:t>
            </w:r>
          </w:p>
        </w:tc>
        <w:tc>
          <w:tcPr>
            <w:tcW w:w="100" w:type="dxa"/>
            <w:vAlign w:val="bottom"/>
          </w:tcPr>
          <w:p>
            <w:pPr>
              <w:spacing w:after="0"/>
              <w:rPr>
                <w:sz w:val="22"/>
                <w:szCs w:val="22"/>
                <w:color w:val="auto"/>
              </w:rPr>
            </w:pPr>
          </w:p>
        </w:tc>
        <w:tc>
          <w:tcPr>
            <w:tcW w:w="480" w:type="dxa"/>
            <w:vAlign w:val="bottom"/>
          </w:tcPr>
          <w:p>
            <w:pPr>
              <w:spacing w:after="0"/>
              <w:rPr>
                <w:sz w:val="22"/>
                <w:szCs w:val="22"/>
                <w:color w:val="auto"/>
              </w:rPr>
            </w:pPr>
          </w:p>
        </w:tc>
        <w:tc>
          <w:tcPr>
            <w:tcW w:w="900" w:type="dxa"/>
            <w:vAlign w:val="bottom"/>
          </w:tcPr>
          <w:p>
            <w:pPr>
              <w:jc w:val="right"/>
              <w:ind w:right="31"/>
              <w:spacing w:after="0"/>
              <w:rPr>
                <w:sz w:val="20"/>
                <w:szCs w:val="20"/>
                <w:color w:val="auto"/>
              </w:rPr>
            </w:pPr>
            <w:r>
              <w:rPr>
                <w:rFonts w:ascii="Arial" w:cs="Arial" w:eastAsia="Arial" w:hAnsi="Arial"/>
                <w:sz w:val="18"/>
                <w:szCs w:val="18"/>
                <w:color w:val="auto"/>
              </w:rPr>
              <w:t>44,541</w:t>
            </w:r>
          </w:p>
        </w:tc>
        <w:tc>
          <w:tcPr>
            <w:tcW w:w="10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1160" w:type="dxa"/>
            <w:vAlign w:val="bottom"/>
          </w:tcPr>
          <w:p>
            <w:pPr>
              <w:jc w:val="right"/>
              <w:ind w:right="12"/>
              <w:spacing w:after="0"/>
              <w:rPr>
                <w:sz w:val="20"/>
                <w:szCs w:val="20"/>
                <w:color w:val="auto"/>
              </w:rPr>
            </w:pPr>
            <w:r>
              <w:rPr>
                <w:rFonts w:ascii="Arial" w:cs="Arial" w:eastAsia="Arial" w:hAnsi="Arial"/>
                <w:sz w:val="18"/>
                <w:szCs w:val="18"/>
                <w:color w:val="auto"/>
              </w:rPr>
              <w:t>1,227</w:t>
            </w:r>
          </w:p>
        </w:tc>
        <w:tc>
          <w:tcPr>
            <w:tcW w:w="1460" w:type="dxa"/>
            <w:vAlign w:val="bottom"/>
          </w:tcPr>
          <w:p>
            <w:pPr>
              <w:jc w:val="right"/>
              <w:ind w:right="13"/>
              <w:spacing w:after="0"/>
              <w:rPr>
                <w:sz w:val="20"/>
                <w:szCs w:val="20"/>
                <w:color w:val="auto"/>
              </w:rPr>
            </w:pPr>
            <w:r>
              <w:rPr>
                <w:rFonts w:ascii="Arial" w:cs="Arial" w:eastAsia="Arial" w:hAnsi="Arial"/>
                <w:sz w:val="18"/>
                <w:szCs w:val="18"/>
                <w:color w:val="auto"/>
              </w:rPr>
              <w:t>2.8</w:t>
            </w:r>
          </w:p>
        </w:tc>
        <w:tc>
          <w:tcPr>
            <w:tcW w:w="0" w:type="dxa"/>
            <w:vAlign w:val="bottom"/>
          </w:tcPr>
          <w:p>
            <w:pPr>
              <w:spacing w:after="0"/>
              <w:rPr>
                <w:sz w:val="1"/>
                <w:szCs w:val="1"/>
                <w:color w:val="auto"/>
              </w:rPr>
            </w:pPr>
          </w:p>
        </w:tc>
      </w:tr>
      <w:tr>
        <w:trPr>
          <w:trHeight w:val="277"/>
        </w:trPr>
        <w:tc>
          <w:tcPr>
            <w:tcW w:w="5620" w:type="dxa"/>
            <w:vAlign w:val="bottom"/>
            <w:shd w:val="clear" w:color="auto" w:fill="CCEEFF"/>
          </w:tcPr>
          <w:p>
            <w:pPr>
              <w:ind w:left="40"/>
              <w:spacing w:after="0"/>
              <w:rPr>
                <w:sz w:val="20"/>
                <w:szCs w:val="20"/>
                <w:color w:val="auto"/>
              </w:rPr>
            </w:pPr>
            <w:r>
              <w:rPr>
                <w:rFonts w:ascii="Arial" w:cs="Arial" w:eastAsia="Arial" w:hAnsi="Arial"/>
                <w:sz w:val="18"/>
                <w:szCs w:val="18"/>
                <w:color w:val="auto"/>
              </w:rPr>
              <w:t>Mainline and regional aircraft fuel and related taxes</w:t>
            </w:r>
          </w:p>
        </w:tc>
        <w:tc>
          <w:tcPr>
            <w:tcW w:w="320" w:type="dxa"/>
            <w:vAlign w:val="bottom"/>
            <w:shd w:val="clear" w:color="auto" w:fill="CCEEFF"/>
          </w:tcPr>
          <w:p>
            <w:pPr>
              <w:spacing w:after="0"/>
              <w:rPr>
                <w:sz w:val="24"/>
                <w:szCs w:val="24"/>
                <w:color w:val="auto"/>
              </w:rPr>
            </w:pPr>
          </w:p>
        </w:tc>
        <w:tc>
          <w:tcPr>
            <w:tcW w:w="1060" w:type="dxa"/>
            <w:vAlign w:val="bottom"/>
            <w:shd w:val="clear" w:color="auto" w:fill="CCEEFF"/>
          </w:tcPr>
          <w:p>
            <w:pPr>
              <w:jc w:val="right"/>
              <w:ind w:right="33"/>
              <w:spacing w:after="0"/>
              <w:rPr>
                <w:sz w:val="20"/>
                <w:szCs w:val="20"/>
                <w:color w:val="auto"/>
              </w:rPr>
            </w:pPr>
            <w:r>
              <w:rPr>
                <w:rFonts w:ascii="Arial" w:cs="Arial" w:eastAsia="Arial" w:hAnsi="Arial"/>
                <w:sz w:val="18"/>
                <w:szCs w:val="18"/>
                <w:color w:val="auto"/>
              </w:rPr>
              <w:t>9,395</w:t>
            </w:r>
          </w:p>
        </w:tc>
        <w:tc>
          <w:tcPr>
            <w:tcW w:w="100" w:type="dxa"/>
            <w:vAlign w:val="bottom"/>
            <w:shd w:val="clear" w:color="auto" w:fill="CCEEFF"/>
          </w:tcPr>
          <w:p>
            <w:pPr>
              <w:spacing w:after="0"/>
              <w:rPr>
                <w:sz w:val="24"/>
                <w:szCs w:val="24"/>
                <w:color w:val="auto"/>
              </w:rPr>
            </w:pPr>
          </w:p>
        </w:tc>
        <w:tc>
          <w:tcPr>
            <w:tcW w:w="480" w:type="dxa"/>
            <w:vAlign w:val="bottom"/>
            <w:shd w:val="clear" w:color="auto" w:fill="CCEEFF"/>
          </w:tcPr>
          <w:p>
            <w:pPr>
              <w:spacing w:after="0"/>
              <w:rPr>
                <w:sz w:val="24"/>
                <w:szCs w:val="24"/>
                <w:color w:val="auto"/>
              </w:rPr>
            </w:pPr>
          </w:p>
        </w:tc>
        <w:tc>
          <w:tcPr>
            <w:tcW w:w="900" w:type="dxa"/>
            <w:vAlign w:val="bottom"/>
            <w:shd w:val="clear" w:color="auto" w:fill="CCEEFF"/>
          </w:tcPr>
          <w:p>
            <w:pPr>
              <w:jc w:val="right"/>
              <w:ind w:right="31"/>
              <w:spacing w:after="0"/>
              <w:rPr>
                <w:sz w:val="20"/>
                <w:szCs w:val="20"/>
                <w:color w:val="auto"/>
              </w:rPr>
            </w:pPr>
            <w:r>
              <w:rPr>
                <w:rFonts w:ascii="Arial" w:cs="Arial" w:eastAsia="Arial" w:hAnsi="Arial"/>
                <w:sz w:val="18"/>
                <w:szCs w:val="18"/>
                <w:color w:val="auto"/>
              </w:rPr>
              <w:t>9,896</w:t>
            </w:r>
          </w:p>
        </w:tc>
        <w:tc>
          <w:tcPr>
            <w:tcW w:w="100" w:type="dxa"/>
            <w:vAlign w:val="bottom"/>
            <w:shd w:val="clear" w:color="auto" w:fill="CCEEFF"/>
          </w:tcPr>
          <w:p>
            <w:pPr>
              <w:spacing w:after="0"/>
              <w:rPr>
                <w:sz w:val="24"/>
                <w:szCs w:val="24"/>
                <w:color w:val="auto"/>
              </w:rPr>
            </w:pPr>
          </w:p>
        </w:tc>
        <w:tc>
          <w:tcPr>
            <w:tcW w:w="220" w:type="dxa"/>
            <w:vAlign w:val="bottom"/>
            <w:shd w:val="clear" w:color="auto" w:fill="CCEEFF"/>
          </w:tcPr>
          <w:p>
            <w:pPr>
              <w:spacing w:after="0"/>
              <w:rPr>
                <w:sz w:val="24"/>
                <w:szCs w:val="24"/>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(501)</w:t>
            </w:r>
          </w:p>
        </w:tc>
        <w:tc>
          <w:tcPr>
            <w:tcW w:w="1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(5.1)</w:t>
            </w:r>
          </w:p>
        </w:tc>
        <w:tc>
          <w:tcPr>
            <w:tcW w:w="0" w:type="dxa"/>
            <w:vAlign w:val="bottom"/>
          </w:tcPr>
          <w:p>
            <w:pPr>
              <w:spacing w:after="0"/>
              <w:rPr>
                <w:sz w:val="1"/>
                <w:szCs w:val="1"/>
                <w:color w:val="auto"/>
              </w:rPr>
            </w:pPr>
          </w:p>
        </w:tc>
      </w:tr>
      <w:tr>
        <w:trPr>
          <w:trHeight w:val="263"/>
        </w:trPr>
        <w:tc>
          <w:tcPr>
            <w:tcW w:w="5620" w:type="dxa"/>
            <w:vAlign w:val="bottom"/>
          </w:tcPr>
          <w:p>
            <w:pPr>
              <w:ind w:left="40"/>
              <w:spacing w:after="0"/>
              <w:rPr>
                <w:sz w:val="20"/>
                <w:szCs w:val="20"/>
                <w:color w:val="auto"/>
              </w:rPr>
            </w:pPr>
            <w:r>
              <w:rPr>
                <w:rFonts w:ascii="Arial" w:cs="Arial" w:eastAsia="Arial" w:hAnsi="Arial"/>
                <w:sz w:val="18"/>
                <w:szCs w:val="18"/>
                <w:color w:val="auto"/>
              </w:rPr>
              <w:t>Salaries, wages and benefits</w:t>
            </w:r>
          </w:p>
        </w:tc>
        <w:tc>
          <w:tcPr>
            <w:tcW w:w="320" w:type="dxa"/>
            <w:vAlign w:val="bottom"/>
          </w:tcPr>
          <w:p>
            <w:pPr>
              <w:spacing w:after="0"/>
              <w:rPr>
                <w:sz w:val="22"/>
                <w:szCs w:val="22"/>
                <w:color w:val="auto"/>
              </w:rPr>
            </w:pPr>
          </w:p>
        </w:tc>
        <w:tc>
          <w:tcPr>
            <w:tcW w:w="1060" w:type="dxa"/>
            <w:vAlign w:val="bottom"/>
          </w:tcPr>
          <w:p>
            <w:pPr>
              <w:jc w:val="right"/>
              <w:ind w:right="33"/>
              <w:spacing w:after="0"/>
              <w:rPr>
                <w:sz w:val="20"/>
                <w:szCs w:val="20"/>
                <w:color w:val="auto"/>
              </w:rPr>
            </w:pPr>
            <w:r>
              <w:rPr>
                <w:rFonts w:ascii="Arial" w:cs="Arial" w:eastAsia="Arial" w:hAnsi="Arial"/>
                <w:sz w:val="18"/>
                <w:szCs w:val="18"/>
                <w:color w:val="auto"/>
              </w:rPr>
              <w:t>12,609</w:t>
            </w:r>
          </w:p>
        </w:tc>
        <w:tc>
          <w:tcPr>
            <w:tcW w:w="100" w:type="dxa"/>
            <w:vAlign w:val="bottom"/>
          </w:tcPr>
          <w:p>
            <w:pPr>
              <w:spacing w:after="0"/>
              <w:rPr>
                <w:sz w:val="22"/>
                <w:szCs w:val="22"/>
                <w:color w:val="auto"/>
              </w:rPr>
            </w:pPr>
          </w:p>
        </w:tc>
        <w:tc>
          <w:tcPr>
            <w:tcW w:w="480" w:type="dxa"/>
            <w:vAlign w:val="bottom"/>
          </w:tcPr>
          <w:p>
            <w:pPr>
              <w:spacing w:after="0"/>
              <w:rPr>
                <w:sz w:val="22"/>
                <w:szCs w:val="22"/>
                <w:color w:val="auto"/>
              </w:rPr>
            </w:pPr>
          </w:p>
        </w:tc>
        <w:tc>
          <w:tcPr>
            <w:tcW w:w="900" w:type="dxa"/>
            <w:vAlign w:val="bottom"/>
          </w:tcPr>
          <w:p>
            <w:pPr>
              <w:jc w:val="right"/>
              <w:ind w:right="31"/>
              <w:spacing w:after="0"/>
              <w:rPr>
                <w:sz w:val="20"/>
                <w:szCs w:val="20"/>
                <w:color w:val="auto"/>
              </w:rPr>
            </w:pPr>
            <w:r>
              <w:rPr>
                <w:rFonts w:ascii="Arial" w:cs="Arial" w:eastAsia="Arial" w:hAnsi="Arial"/>
                <w:sz w:val="18"/>
                <w:szCs w:val="18"/>
                <w:color w:val="auto"/>
              </w:rPr>
              <w:t>12,251</w:t>
            </w:r>
          </w:p>
        </w:tc>
        <w:tc>
          <w:tcPr>
            <w:tcW w:w="10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1160" w:type="dxa"/>
            <w:vAlign w:val="bottom"/>
          </w:tcPr>
          <w:p>
            <w:pPr>
              <w:jc w:val="right"/>
              <w:ind w:right="12"/>
              <w:spacing w:after="0"/>
              <w:rPr>
                <w:sz w:val="20"/>
                <w:szCs w:val="20"/>
                <w:color w:val="auto"/>
              </w:rPr>
            </w:pPr>
            <w:r>
              <w:rPr>
                <w:rFonts w:ascii="Arial" w:cs="Arial" w:eastAsia="Arial" w:hAnsi="Arial"/>
                <w:sz w:val="18"/>
                <w:szCs w:val="18"/>
                <w:color w:val="auto"/>
              </w:rPr>
              <w:t>358</w:t>
            </w:r>
          </w:p>
        </w:tc>
        <w:tc>
          <w:tcPr>
            <w:tcW w:w="1460" w:type="dxa"/>
            <w:vAlign w:val="bottom"/>
          </w:tcPr>
          <w:p>
            <w:pPr>
              <w:jc w:val="right"/>
              <w:ind w:right="13"/>
              <w:spacing w:after="0"/>
              <w:rPr>
                <w:sz w:val="20"/>
                <w:szCs w:val="20"/>
                <w:color w:val="auto"/>
              </w:rPr>
            </w:pPr>
            <w:r>
              <w:rPr>
                <w:rFonts w:ascii="Arial" w:cs="Arial" w:eastAsia="Arial" w:hAnsi="Arial"/>
                <w:sz w:val="18"/>
                <w:szCs w:val="18"/>
                <w:color w:val="auto"/>
              </w:rPr>
              <w:t>2.9</w:t>
            </w:r>
          </w:p>
        </w:tc>
        <w:tc>
          <w:tcPr>
            <w:tcW w:w="0" w:type="dxa"/>
            <w:vAlign w:val="bottom"/>
          </w:tcPr>
          <w:p>
            <w:pPr>
              <w:spacing w:after="0"/>
              <w:rPr>
                <w:sz w:val="1"/>
                <w:szCs w:val="1"/>
                <w:color w:val="auto"/>
              </w:rPr>
            </w:pPr>
          </w:p>
        </w:tc>
      </w:tr>
      <w:tr>
        <w:trPr>
          <w:trHeight w:val="277"/>
        </w:trPr>
        <w:tc>
          <w:tcPr>
            <w:tcW w:w="5620" w:type="dxa"/>
            <w:vAlign w:val="bottom"/>
            <w:shd w:val="clear" w:color="auto" w:fill="CCEEFF"/>
          </w:tcPr>
          <w:p>
            <w:pPr>
              <w:ind w:left="40"/>
              <w:spacing w:after="0"/>
              <w:rPr>
                <w:sz w:val="20"/>
                <w:szCs w:val="20"/>
                <w:color w:val="auto"/>
              </w:rPr>
            </w:pPr>
            <w:r>
              <w:rPr>
                <w:rFonts w:ascii="Arial" w:cs="Arial" w:eastAsia="Arial" w:hAnsi="Arial"/>
                <w:sz w:val="18"/>
                <w:szCs w:val="18"/>
                <w:color w:val="auto"/>
              </w:rPr>
              <w:t>Total operating expenses</w:t>
            </w:r>
          </w:p>
        </w:tc>
        <w:tc>
          <w:tcPr>
            <w:tcW w:w="320" w:type="dxa"/>
            <w:vAlign w:val="bottom"/>
            <w:shd w:val="clear" w:color="auto" w:fill="CCEEFF"/>
          </w:tcPr>
          <w:p>
            <w:pPr>
              <w:spacing w:after="0"/>
              <w:rPr>
                <w:sz w:val="24"/>
                <w:szCs w:val="24"/>
                <w:color w:val="auto"/>
              </w:rPr>
            </w:pPr>
          </w:p>
        </w:tc>
        <w:tc>
          <w:tcPr>
            <w:tcW w:w="1060" w:type="dxa"/>
            <w:vAlign w:val="bottom"/>
            <w:shd w:val="clear" w:color="auto" w:fill="CCEEFF"/>
          </w:tcPr>
          <w:p>
            <w:pPr>
              <w:jc w:val="right"/>
              <w:ind w:right="33"/>
              <w:spacing w:after="0"/>
              <w:rPr>
                <w:sz w:val="20"/>
                <w:szCs w:val="20"/>
                <w:color w:val="auto"/>
              </w:rPr>
            </w:pPr>
            <w:r>
              <w:rPr>
                <w:rFonts w:ascii="Arial" w:cs="Arial" w:eastAsia="Arial" w:hAnsi="Arial"/>
                <w:sz w:val="18"/>
                <w:szCs w:val="18"/>
                <w:color w:val="auto"/>
              </w:rPr>
              <w:t>42,703</w:t>
            </w:r>
          </w:p>
        </w:tc>
        <w:tc>
          <w:tcPr>
            <w:tcW w:w="100" w:type="dxa"/>
            <w:vAlign w:val="bottom"/>
            <w:shd w:val="clear" w:color="auto" w:fill="CCEEFF"/>
          </w:tcPr>
          <w:p>
            <w:pPr>
              <w:spacing w:after="0"/>
              <w:rPr>
                <w:sz w:val="24"/>
                <w:szCs w:val="24"/>
                <w:color w:val="auto"/>
              </w:rPr>
            </w:pPr>
          </w:p>
        </w:tc>
        <w:tc>
          <w:tcPr>
            <w:tcW w:w="480" w:type="dxa"/>
            <w:vAlign w:val="bottom"/>
            <w:shd w:val="clear" w:color="auto" w:fill="CCEEFF"/>
          </w:tcPr>
          <w:p>
            <w:pPr>
              <w:spacing w:after="0"/>
              <w:rPr>
                <w:sz w:val="24"/>
                <w:szCs w:val="24"/>
                <w:color w:val="auto"/>
              </w:rPr>
            </w:pPr>
          </w:p>
        </w:tc>
        <w:tc>
          <w:tcPr>
            <w:tcW w:w="900" w:type="dxa"/>
            <w:vAlign w:val="bottom"/>
            <w:shd w:val="clear" w:color="auto" w:fill="CCEEFF"/>
          </w:tcPr>
          <w:p>
            <w:pPr>
              <w:jc w:val="right"/>
              <w:ind w:right="31"/>
              <w:spacing w:after="0"/>
              <w:rPr>
                <w:sz w:val="20"/>
                <w:szCs w:val="20"/>
                <w:color w:val="auto"/>
              </w:rPr>
            </w:pPr>
            <w:r>
              <w:rPr>
                <w:rFonts w:ascii="Arial" w:cs="Arial" w:eastAsia="Arial" w:hAnsi="Arial"/>
                <w:sz w:val="18"/>
                <w:szCs w:val="18"/>
                <w:color w:val="auto"/>
              </w:rPr>
              <w:t>41,885</w:t>
            </w:r>
          </w:p>
        </w:tc>
        <w:tc>
          <w:tcPr>
            <w:tcW w:w="100" w:type="dxa"/>
            <w:vAlign w:val="bottom"/>
            <w:shd w:val="clear" w:color="auto" w:fill="CCEEFF"/>
          </w:tcPr>
          <w:p>
            <w:pPr>
              <w:spacing w:after="0"/>
              <w:rPr>
                <w:sz w:val="24"/>
                <w:szCs w:val="24"/>
                <w:color w:val="auto"/>
              </w:rPr>
            </w:pPr>
          </w:p>
        </w:tc>
        <w:tc>
          <w:tcPr>
            <w:tcW w:w="220" w:type="dxa"/>
            <w:vAlign w:val="bottom"/>
            <w:shd w:val="clear" w:color="auto" w:fill="CCEEFF"/>
          </w:tcPr>
          <w:p>
            <w:pPr>
              <w:spacing w:after="0"/>
              <w:rPr>
                <w:sz w:val="24"/>
                <w:szCs w:val="24"/>
                <w:color w:val="auto"/>
              </w:rPr>
            </w:pPr>
          </w:p>
        </w:tc>
        <w:tc>
          <w:tcPr>
            <w:tcW w:w="116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818</w:t>
            </w:r>
          </w:p>
        </w:tc>
        <w:tc>
          <w:tcPr>
            <w:tcW w:w="1460" w:type="dxa"/>
            <w:vAlign w:val="bottom"/>
            <w:shd w:val="clear" w:color="auto" w:fill="CCEEFF"/>
          </w:tcPr>
          <w:p>
            <w:pPr>
              <w:jc w:val="right"/>
              <w:ind w:right="13"/>
              <w:spacing w:after="0"/>
              <w:rPr>
                <w:sz w:val="20"/>
                <w:szCs w:val="20"/>
                <w:color w:val="auto"/>
              </w:rPr>
            </w:pPr>
            <w:r>
              <w:rPr>
                <w:rFonts w:ascii="Arial" w:cs="Arial" w:eastAsia="Arial" w:hAnsi="Arial"/>
                <w:sz w:val="18"/>
                <w:szCs w:val="18"/>
                <w:color w:val="auto"/>
              </w:rPr>
              <w:t>2.0</w:t>
            </w:r>
          </w:p>
        </w:tc>
        <w:tc>
          <w:tcPr>
            <w:tcW w:w="0" w:type="dxa"/>
            <w:vAlign w:val="bottom"/>
          </w:tcPr>
          <w:p>
            <w:pPr>
              <w:spacing w:after="0"/>
              <w:rPr>
                <w:sz w:val="1"/>
                <w:szCs w:val="1"/>
                <w:color w:val="auto"/>
              </w:rPr>
            </w:pPr>
          </w:p>
        </w:tc>
      </w:tr>
      <w:tr>
        <w:trPr>
          <w:trHeight w:val="263"/>
        </w:trPr>
        <w:tc>
          <w:tcPr>
            <w:tcW w:w="5620" w:type="dxa"/>
            <w:vAlign w:val="bottom"/>
          </w:tcPr>
          <w:p>
            <w:pPr>
              <w:ind w:left="40"/>
              <w:spacing w:after="0"/>
              <w:rPr>
                <w:sz w:val="20"/>
                <w:szCs w:val="20"/>
                <w:color w:val="auto"/>
              </w:rPr>
            </w:pPr>
            <w:r>
              <w:rPr>
                <w:rFonts w:ascii="Arial" w:cs="Arial" w:eastAsia="Arial" w:hAnsi="Arial"/>
                <w:sz w:val="18"/>
                <w:szCs w:val="18"/>
                <w:color w:val="auto"/>
              </w:rPr>
              <w:t>Operating income</w:t>
            </w:r>
          </w:p>
        </w:tc>
        <w:tc>
          <w:tcPr>
            <w:tcW w:w="320" w:type="dxa"/>
            <w:vAlign w:val="bottom"/>
          </w:tcPr>
          <w:p>
            <w:pPr>
              <w:spacing w:after="0"/>
              <w:rPr>
                <w:sz w:val="22"/>
                <w:szCs w:val="22"/>
                <w:color w:val="auto"/>
              </w:rPr>
            </w:pPr>
          </w:p>
        </w:tc>
        <w:tc>
          <w:tcPr>
            <w:tcW w:w="1060" w:type="dxa"/>
            <w:vAlign w:val="bottom"/>
          </w:tcPr>
          <w:p>
            <w:pPr>
              <w:jc w:val="right"/>
              <w:ind w:right="33"/>
              <w:spacing w:after="0"/>
              <w:rPr>
                <w:sz w:val="20"/>
                <w:szCs w:val="20"/>
                <w:color w:val="auto"/>
              </w:rPr>
            </w:pPr>
            <w:r>
              <w:rPr>
                <w:rFonts w:ascii="Arial" w:cs="Arial" w:eastAsia="Arial" w:hAnsi="Arial"/>
                <w:sz w:val="18"/>
                <w:szCs w:val="18"/>
                <w:color w:val="auto"/>
              </w:rPr>
              <w:t>3,065</w:t>
            </w:r>
          </w:p>
        </w:tc>
        <w:tc>
          <w:tcPr>
            <w:tcW w:w="100" w:type="dxa"/>
            <w:vAlign w:val="bottom"/>
          </w:tcPr>
          <w:p>
            <w:pPr>
              <w:spacing w:after="0"/>
              <w:rPr>
                <w:sz w:val="22"/>
                <w:szCs w:val="22"/>
                <w:color w:val="auto"/>
              </w:rPr>
            </w:pPr>
          </w:p>
        </w:tc>
        <w:tc>
          <w:tcPr>
            <w:tcW w:w="480" w:type="dxa"/>
            <w:vAlign w:val="bottom"/>
          </w:tcPr>
          <w:p>
            <w:pPr>
              <w:spacing w:after="0"/>
              <w:rPr>
                <w:sz w:val="22"/>
                <w:szCs w:val="22"/>
                <w:color w:val="auto"/>
              </w:rPr>
            </w:pPr>
          </w:p>
        </w:tc>
        <w:tc>
          <w:tcPr>
            <w:tcW w:w="900" w:type="dxa"/>
            <w:vAlign w:val="bottom"/>
          </w:tcPr>
          <w:p>
            <w:pPr>
              <w:jc w:val="right"/>
              <w:ind w:right="31"/>
              <w:spacing w:after="0"/>
              <w:rPr>
                <w:sz w:val="20"/>
                <w:szCs w:val="20"/>
                <w:color w:val="auto"/>
              </w:rPr>
            </w:pPr>
            <w:r>
              <w:rPr>
                <w:rFonts w:ascii="Arial" w:cs="Arial" w:eastAsia="Arial" w:hAnsi="Arial"/>
                <w:sz w:val="18"/>
                <w:szCs w:val="18"/>
                <w:color w:val="auto"/>
              </w:rPr>
              <w:t>2,656</w:t>
            </w:r>
          </w:p>
        </w:tc>
        <w:tc>
          <w:tcPr>
            <w:tcW w:w="10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1160" w:type="dxa"/>
            <w:vAlign w:val="bottom"/>
          </w:tcPr>
          <w:p>
            <w:pPr>
              <w:jc w:val="right"/>
              <w:ind w:right="12"/>
              <w:spacing w:after="0"/>
              <w:rPr>
                <w:sz w:val="20"/>
                <w:szCs w:val="20"/>
                <w:color w:val="auto"/>
              </w:rPr>
            </w:pPr>
            <w:r>
              <w:rPr>
                <w:rFonts w:ascii="Arial" w:cs="Arial" w:eastAsia="Arial" w:hAnsi="Arial"/>
                <w:sz w:val="18"/>
                <w:szCs w:val="18"/>
                <w:color w:val="auto"/>
              </w:rPr>
              <w:t>409</w:t>
            </w:r>
          </w:p>
        </w:tc>
        <w:tc>
          <w:tcPr>
            <w:tcW w:w="1460" w:type="dxa"/>
            <w:vAlign w:val="bottom"/>
          </w:tcPr>
          <w:p>
            <w:pPr>
              <w:jc w:val="right"/>
              <w:ind w:right="13"/>
              <w:spacing w:after="0"/>
              <w:rPr>
                <w:sz w:val="20"/>
                <w:szCs w:val="20"/>
                <w:color w:val="auto"/>
              </w:rPr>
            </w:pPr>
            <w:r>
              <w:rPr>
                <w:rFonts w:ascii="Arial" w:cs="Arial" w:eastAsia="Arial" w:hAnsi="Arial"/>
                <w:sz w:val="18"/>
                <w:szCs w:val="18"/>
                <w:color w:val="auto"/>
              </w:rPr>
              <w:t>15.4</w:t>
            </w:r>
          </w:p>
        </w:tc>
        <w:tc>
          <w:tcPr>
            <w:tcW w:w="0" w:type="dxa"/>
            <w:vAlign w:val="bottom"/>
          </w:tcPr>
          <w:p>
            <w:pPr>
              <w:spacing w:after="0"/>
              <w:rPr>
                <w:sz w:val="1"/>
                <w:szCs w:val="1"/>
                <w:color w:val="auto"/>
              </w:rPr>
            </w:pPr>
          </w:p>
        </w:tc>
      </w:tr>
      <w:tr>
        <w:trPr>
          <w:trHeight w:val="277"/>
        </w:trPr>
        <w:tc>
          <w:tcPr>
            <w:tcW w:w="5620" w:type="dxa"/>
            <w:vAlign w:val="bottom"/>
            <w:shd w:val="clear" w:color="auto" w:fill="CCEEFF"/>
          </w:tcPr>
          <w:p>
            <w:pPr>
              <w:ind w:left="40"/>
              <w:spacing w:after="0"/>
              <w:rPr>
                <w:sz w:val="20"/>
                <w:szCs w:val="20"/>
                <w:color w:val="auto"/>
              </w:rPr>
            </w:pPr>
            <w:r>
              <w:rPr>
                <w:rFonts w:ascii="Arial" w:cs="Arial" w:eastAsia="Arial" w:hAnsi="Arial"/>
                <w:sz w:val="18"/>
                <w:szCs w:val="18"/>
                <w:color w:val="auto"/>
              </w:rPr>
              <w:t>Pre-tax income</w:t>
            </w:r>
          </w:p>
        </w:tc>
        <w:tc>
          <w:tcPr>
            <w:tcW w:w="320" w:type="dxa"/>
            <w:vAlign w:val="bottom"/>
            <w:shd w:val="clear" w:color="auto" w:fill="CCEEFF"/>
          </w:tcPr>
          <w:p>
            <w:pPr>
              <w:spacing w:after="0"/>
              <w:rPr>
                <w:sz w:val="24"/>
                <w:szCs w:val="24"/>
                <w:color w:val="auto"/>
              </w:rPr>
            </w:pPr>
          </w:p>
        </w:tc>
        <w:tc>
          <w:tcPr>
            <w:tcW w:w="1060" w:type="dxa"/>
            <w:vAlign w:val="bottom"/>
            <w:shd w:val="clear" w:color="auto" w:fill="CCEEFF"/>
          </w:tcPr>
          <w:p>
            <w:pPr>
              <w:jc w:val="right"/>
              <w:ind w:right="33"/>
              <w:spacing w:after="0"/>
              <w:rPr>
                <w:sz w:val="20"/>
                <w:szCs w:val="20"/>
                <w:color w:val="auto"/>
              </w:rPr>
            </w:pPr>
            <w:r>
              <w:rPr>
                <w:rFonts w:ascii="Arial" w:cs="Arial" w:eastAsia="Arial" w:hAnsi="Arial"/>
                <w:sz w:val="18"/>
                <w:szCs w:val="18"/>
                <w:color w:val="auto"/>
              </w:rPr>
              <w:t>2,256</w:t>
            </w:r>
          </w:p>
        </w:tc>
        <w:tc>
          <w:tcPr>
            <w:tcW w:w="100" w:type="dxa"/>
            <w:vAlign w:val="bottom"/>
            <w:shd w:val="clear" w:color="auto" w:fill="CCEEFF"/>
          </w:tcPr>
          <w:p>
            <w:pPr>
              <w:spacing w:after="0"/>
              <w:rPr>
                <w:sz w:val="24"/>
                <w:szCs w:val="24"/>
                <w:color w:val="auto"/>
              </w:rPr>
            </w:pPr>
          </w:p>
        </w:tc>
        <w:tc>
          <w:tcPr>
            <w:tcW w:w="480" w:type="dxa"/>
            <w:vAlign w:val="bottom"/>
            <w:shd w:val="clear" w:color="auto" w:fill="CCEEFF"/>
          </w:tcPr>
          <w:p>
            <w:pPr>
              <w:spacing w:after="0"/>
              <w:rPr>
                <w:sz w:val="24"/>
                <w:szCs w:val="24"/>
                <w:color w:val="auto"/>
              </w:rPr>
            </w:pPr>
          </w:p>
        </w:tc>
        <w:tc>
          <w:tcPr>
            <w:tcW w:w="900" w:type="dxa"/>
            <w:vAlign w:val="bottom"/>
            <w:shd w:val="clear" w:color="auto" w:fill="CCEEFF"/>
          </w:tcPr>
          <w:p>
            <w:pPr>
              <w:jc w:val="right"/>
              <w:ind w:right="31"/>
              <w:spacing w:after="0"/>
              <w:rPr>
                <w:sz w:val="20"/>
                <w:szCs w:val="20"/>
                <w:color w:val="auto"/>
              </w:rPr>
            </w:pPr>
            <w:r>
              <w:rPr>
                <w:rFonts w:ascii="Arial" w:cs="Arial" w:eastAsia="Arial" w:hAnsi="Arial"/>
                <w:sz w:val="18"/>
                <w:szCs w:val="18"/>
                <w:color w:val="auto"/>
              </w:rPr>
              <w:t>1,884</w:t>
            </w:r>
          </w:p>
        </w:tc>
        <w:tc>
          <w:tcPr>
            <w:tcW w:w="100" w:type="dxa"/>
            <w:vAlign w:val="bottom"/>
            <w:shd w:val="clear" w:color="auto" w:fill="CCEEFF"/>
          </w:tcPr>
          <w:p>
            <w:pPr>
              <w:spacing w:after="0"/>
              <w:rPr>
                <w:sz w:val="24"/>
                <w:szCs w:val="24"/>
                <w:color w:val="auto"/>
              </w:rPr>
            </w:pPr>
          </w:p>
        </w:tc>
        <w:tc>
          <w:tcPr>
            <w:tcW w:w="220" w:type="dxa"/>
            <w:vAlign w:val="bottom"/>
            <w:shd w:val="clear" w:color="auto" w:fill="CCEEFF"/>
          </w:tcPr>
          <w:p>
            <w:pPr>
              <w:spacing w:after="0"/>
              <w:rPr>
                <w:sz w:val="24"/>
                <w:szCs w:val="24"/>
                <w:color w:val="auto"/>
              </w:rPr>
            </w:pPr>
          </w:p>
        </w:tc>
        <w:tc>
          <w:tcPr>
            <w:tcW w:w="116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372</w:t>
            </w:r>
          </w:p>
        </w:tc>
        <w:tc>
          <w:tcPr>
            <w:tcW w:w="1460" w:type="dxa"/>
            <w:vAlign w:val="bottom"/>
            <w:shd w:val="clear" w:color="auto" w:fill="CCEEFF"/>
          </w:tcPr>
          <w:p>
            <w:pPr>
              <w:jc w:val="right"/>
              <w:ind w:right="13"/>
              <w:spacing w:after="0"/>
              <w:rPr>
                <w:sz w:val="20"/>
                <w:szCs w:val="20"/>
                <w:color w:val="auto"/>
              </w:rPr>
            </w:pPr>
            <w:r>
              <w:rPr>
                <w:rFonts w:ascii="Arial" w:cs="Arial" w:eastAsia="Arial" w:hAnsi="Arial"/>
                <w:sz w:val="18"/>
                <w:szCs w:val="18"/>
                <w:color w:val="auto"/>
              </w:rPr>
              <w:t>19.7</w:t>
            </w:r>
          </w:p>
        </w:tc>
        <w:tc>
          <w:tcPr>
            <w:tcW w:w="0" w:type="dxa"/>
            <w:vAlign w:val="bottom"/>
          </w:tcPr>
          <w:p>
            <w:pPr>
              <w:spacing w:after="0"/>
              <w:rPr>
                <w:sz w:val="1"/>
                <w:szCs w:val="1"/>
                <w:color w:val="auto"/>
              </w:rPr>
            </w:pPr>
          </w:p>
        </w:tc>
      </w:tr>
      <w:tr>
        <w:trPr>
          <w:trHeight w:val="263"/>
        </w:trPr>
        <w:tc>
          <w:tcPr>
            <w:tcW w:w="5620" w:type="dxa"/>
            <w:vAlign w:val="bottom"/>
          </w:tcPr>
          <w:p>
            <w:pPr>
              <w:ind w:left="40"/>
              <w:spacing w:after="0"/>
              <w:rPr>
                <w:sz w:val="20"/>
                <w:szCs w:val="20"/>
                <w:color w:val="auto"/>
              </w:rPr>
            </w:pPr>
            <w:r>
              <w:rPr>
                <w:rFonts w:ascii="Arial" w:cs="Arial" w:eastAsia="Arial" w:hAnsi="Arial"/>
                <w:sz w:val="18"/>
                <w:szCs w:val="18"/>
                <w:color w:val="auto"/>
              </w:rPr>
              <w:t>Income tax provision</w:t>
            </w:r>
          </w:p>
        </w:tc>
        <w:tc>
          <w:tcPr>
            <w:tcW w:w="320" w:type="dxa"/>
            <w:vAlign w:val="bottom"/>
          </w:tcPr>
          <w:p>
            <w:pPr>
              <w:spacing w:after="0"/>
              <w:rPr>
                <w:sz w:val="22"/>
                <w:szCs w:val="22"/>
                <w:color w:val="auto"/>
              </w:rPr>
            </w:pPr>
          </w:p>
        </w:tc>
        <w:tc>
          <w:tcPr>
            <w:tcW w:w="1060" w:type="dxa"/>
            <w:vAlign w:val="bottom"/>
          </w:tcPr>
          <w:p>
            <w:pPr>
              <w:jc w:val="right"/>
              <w:ind w:right="33"/>
              <w:spacing w:after="0"/>
              <w:rPr>
                <w:sz w:val="20"/>
                <w:szCs w:val="20"/>
                <w:color w:val="auto"/>
              </w:rPr>
            </w:pPr>
            <w:r>
              <w:rPr>
                <w:rFonts w:ascii="Arial" w:cs="Arial" w:eastAsia="Arial" w:hAnsi="Arial"/>
                <w:sz w:val="18"/>
                <w:szCs w:val="18"/>
                <w:color w:val="auto"/>
              </w:rPr>
              <w:t>570</w:t>
            </w:r>
          </w:p>
        </w:tc>
        <w:tc>
          <w:tcPr>
            <w:tcW w:w="100" w:type="dxa"/>
            <w:vAlign w:val="bottom"/>
          </w:tcPr>
          <w:p>
            <w:pPr>
              <w:spacing w:after="0"/>
              <w:rPr>
                <w:sz w:val="22"/>
                <w:szCs w:val="22"/>
                <w:color w:val="auto"/>
              </w:rPr>
            </w:pPr>
          </w:p>
        </w:tc>
        <w:tc>
          <w:tcPr>
            <w:tcW w:w="480" w:type="dxa"/>
            <w:vAlign w:val="bottom"/>
          </w:tcPr>
          <w:p>
            <w:pPr>
              <w:spacing w:after="0"/>
              <w:rPr>
                <w:sz w:val="22"/>
                <w:szCs w:val="22"/>
                <w:color w:val="auto"/>
              </w:rPr>
            </w:pPr>
          </w:p>
        </w:tc>
        <w:tc>
          <w:tcPr>
            <w:tcW w:w="900" w:type="dxa"/>
            <w:vAlign w:val="bottom"/>
          </w:tcPr>
          <w:p>
            <w:pPr>
              <w:jc w:val="right"/>
              <w:ind w:right="31"/>
              <w:spacing w:after="0"/>
              <w:rPr>
                <w:sz w:val="20"/>
                <w:szCs w:val="20"/>
                <w:color w:val="auto"/>
              </w:rPr>
            </w:pPr>
            <w:r>
              <w:rPr>
                <w:rFonts w:ascii="Arial" w:cs="Arial" w:eastAsia="Arial" w:hAnsi="Arial"/>
                <w:sz w:val="18"/>
                <w:szCs w:val="18"/>
                <w:color w:val="auto"/>
              </w:rPr>
              <w:t>472</w:t>
            </w:r>
          </w:p>
        </w:tc>
        <w:tc>
          <w:tcPr>
            <w:tcW w:w="10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1160" w:type="dxa"/>
            <w:vAlign w:val="bottom"/>
          </w:tcPr>
          <w:p>
            <w:pPr>
              <w:jc w:val="right"/>
              <w:ind w:right="12"/>
              <w:spacing w:after="0"/>
              <w:rPr>
                <w:sz w:val="20"/>
                <w:szCs w:val="20"/>
                <w:color w:val="auto"/>
              </w:rPr>
            </w:pPr>
            <w:r>
              <w:rPr>
                <w:rFonts w:ascii="Arial" w:cs="Arial" w:eastAsia="Arial" w:hAnsi="Arial"/>
                <w:sz w:val="18"/>
                <w:szCs w:val="18"/>
                <w:color w:val="auto"/>
              </w:rPr>
              <w:t>98</w:t>
            </w:r>
          </w:p>
        </w:tc>
        <w:tc>
          <w:tcPr>
            <w:tcW w:w="1460" w:type="dxa"/>
            <w:vAlign w:val="bottom"/>
          </w:tcPr>
          <w:p>
            <w:pPr>
              <w:jc w:val="right"/>
              <w:ind w:right="13"/>
              <w:spacing w:after="0"/>
              <w:rPr>
                <w:sz w:val="20"/>
                <w:szCs w:val="20"/>
                <w:color w:val="auto"/>
              </w:rPr>
            </w:pPr>
            <w:r>
              <w:rPr>
                <w:rFonts w:ascii="Arial" w:cs="Arial" w:eastAsia="Arial" w:hAnsi="Arial"/>
                <w:sz w:val="18"/>
                <w:szCs w:val="18"/>
                <w:color w:val="auto"/>
              </w:rPr>
              <w:t>20.7</w:t>
            </w:r>
          </w:p>
        </w:tc>
        <w:tc>
          <w:tcPr>
            <w:tcW w:w="0" w:type="dxa"/>
            <w:vAlign w:val="bottom"/>
          </w:tcPr>
          <w:p>
            <w:pPr>
              <w:spacing w:after="0"/>
              <w:rPr>
                <w:sz w:val="1"/>
                <w:szCs w:val="1"/>
                <w:color w:val="auto"/>
              </w:rPr>
            </w:pPr>
          </w:p>
        </w:tc>
      </w:tr>
      <w:tr>
        <w:trPr>
          <w:trHeight w:val="277"/>
        </w:trPr>
        <w:tc>
          <w:tcPr>
            <w:tcW w:w="5620" w:type="dxa"/>
            <w:vAlign w:val="bottom"/>
            <w:shd w:val="clear" w:color="auto" w:fill="CCEEFF"/>
          </w:tcPr>
          <w:p>
            <w:pPr>
              <w:ind w:left="40"/>
              <w:spacing w:after="0"/>
              <w:rPr>
                <w:sz w:val="20"/>
                <w:szCs w:val="20"/>
                <w:color w:val="auto"/>
              </w:rPr>
            </w:pPr>
            <w:r>
              <w:rPr>
                <w:rFonts w:ascii="Arial" w:cs="Arial" w:eastAsia="Arial" w:hAnsi="Arial"/>
                <w:sz w:val="18"/>
                <w:szCs w:val="18"/>
                <w:color w:val="auto"/>
              </w:rPr>
              <w:t>Net income</w:t>
            </w:r>
          </w:p>
        </w:tc>
        <w:tc>
          <w:tcPr>
            <w:tcW w:w="320" w:type="dxa"/>
            <w:vAlign w:val="bottom"/>
            <w:shd w:val="clear" w:color="auto" w:fill="CCEEFF"/>
          </w:tcPr>
          <w:p>
            <w:pPr>
              <w:spacing w:after="0"/>
              <w:rPr>
                <w:sz w:val="24"/>
                <w:szCs w:val="24"/>
                <w:color w:val="auto"/>
              </w:rPr>
            </w:pPr>
          </w:p>
        </w:tc>
        <w:tc>
          <w:tcPr>
            <w:tcW w:w="1060" w:type="dxa"/>
            <w:vAlign w:val="bottom"/>
            <w:shd w:val="clear" w:color="auto" w:fill="CCEEFF"/>
          </w:tcPr>
          <w:p>
            <w:pPr>
              <w:jc w:val="right"/>
              <w:ind w:right="33"/>
              <w:spacing w:after="0"/>
              <w:rPr>
                <w:sz w:val="20"/>
                <w:szCs w:val="20"/>
                <w:color w:val="auto"/>
              </w:rPr>
            </w:pPr>
            <w:r>
              <w:rPr>
                <w:rFonts w:ascii="Arial" w:cs="Arial" w:eastAsia="Arial" w:hAnsi="Arial"/>
                <w:sz w:val="18"/>
                <w:szCs w:val="18"/>
                <w:color w:val="auto"/>
              </w:rPr>
              <w:t>1,686</w:t>
            </w:r>
          </w:p>
        </w:tc>
        <w:tc>
          <w:tcPr>
            <w:tcW w:w="100" w:type="dxa"/>
            <w:vAlign w:val="bottom"/>
            <w:shd w:val="clear" w:color="auto" w:fill="CCEEFF"/>
          </w:tcPr>
          <w:p>
            <w:pPr>
              <w:spacing w:after="0"/>
              <w:rPr>
                <w:sz w:val="24"/>
                <w:szCs w:val="24"/>
                <w:color w:val="auto"/>
              </w:rPr>
            </w:pPr>
          </w:p>
        </w:tc>
        <w:tc>
          <w:tcPr>
            <w:tcW w:w="480" w:type="dxa"/>
            <w:vAlign w:val="bottom"/>
            <w:shd w:val="clear" w:color="auto" w:fill="CCEEFF"/>
          </w:tcPr>
          <w:p>
            <w:pPr>
              <w:spacing w:after="0"/>
              <w:rPr>
                <w:sz w:val="24"/>
                <w:szCs w:val="24"/>
                <w:color w:val="auto"/>
              </w:rPr>
            </w:pPr>
          </w:p>
        </w:tc>
        <w:tc>
          <w:tcPr>
            <w:tcW w:w="900" w:type="dxa"/>
            <w:vAlign w:val="bottom"/>
            <w:shd w:val="clear" w:color="auto" w:fill="CCEEFF"/>
          </w:tcPr>
          <w:p>
            <w:pPr>
              <w:jc w:val="right"/>
              <w:ind w:right="31"/>
              <w:spacing w:after="0"/>
              <w:rPr>
                <w:sz w:val="20"/>
                <w:szCs w:val="20"/>
                <w:color w:val="auto"/>
              </w:rPr>
            </w:pPr>
            <w:r>
              <w:rPr>
                <w:rFonts w:ascii="Arial" w:cs="Arial" w:eastAsia="Arial" w:hAnsi="Arial"/>
                <w:sz w:val="18"/>
                <w:szCs w:val="18"/>
                <w:color w:val="auto"/>
              </w:rPr>
              <w:t>1,412</w:t>
            </w:r>
          </w:p>
        </w:tc>
        <w:tc>
          <w:tcPr>
            <w:tcW w:w="100" w:type="dxa"/>
            <w:vAlign w:val="bottom"/>
            <w:shd w:val="clear" w:color="auto" w:fill="CCEEFF"/>
          </w:tcPr>
          <w:p>
            <w:pPr>
              <w:spacing w:after="0"/>
              <w:rPr>
                <w:sz w:val="24"/>
                <w:szCs w:val="24"/>
                <w:color w:val="auto"/>
              </w:rPr>
            </w:pPr>
          </w:p>
        </w:tc>
        <w:tc>
          <w:tcPr>
            <w:tcW w:w="220" w:type="dxa"/>
            <w:vAlign w:val="bottom"/>
            <w:shd w:val="clear" w:color="auto" w:fill="CCEEFF"/>
          </w:tcPr>
          <w:p>
            <w:pPr>
              <w:spacing w:after="0"/>
              <w:rPr>
                <w:sz w:val="24"/>
                <w:szCs w:val="24"/>
                <w:color w:val="auto"/>
              </w:rPr>
            </w:pPr>
          </w:p>
        </w:tc>
        <w:tc>
          <w:tcPr>
            <w:tcW w:w="116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274</w:t>
            </w:r>
          </w:p>
        </w:tc>
        <w:tc>
          <w:tcPr>
            <w:tcW w:w="1460" w:type="dxa"/>
            <w:vAlign w:val="bottom"/>
            <w:shd w:val="clear" w:color="auto" w:fill="CCEEFF"/>
          </w:tcPr>
          <w:p>
            <w:pPr>
              <w:jc w:val="right"/>
              <w:ind w:right="13"/>
              <w:spacing w:after="0"/>
              <w:rPr>
                <w:sz w:val="20"/>
                <w:szCs w:val="20"/>
                <w:color w:val="auto"/>
              </w:rPr>
            </w:pPr>
            <w:r>
              <w:rPr>
                <w:rFonts w:ascii="Arial" w:cs="Arial" w:eastAsia="Arial" w:hAnsi="Arial"/>
                <w:sz w:val="18"/>
                <w:szCs w:val="18"/>
                <w:color w:val="auto"/>
              </w:rPr>
              <w:t>19.4</w:t>
            </w:r>
          </w:p>
        </w:tc>
        <w:tc>
          <w:tcPr>
            <w:tcW w:w="0" w:type="dxa"/>
            <w:vAlign w:val="bottom"/>
          </w:tcPr>
          <w:p>
            <w:pPr>
              <w:spacing w:after="0"/>
              <w:rPr>
                <w:sz w:val="1"/>
                <w:szCs w:val="1"/>
                <w:color w:val="auto"/>
              </w:rPr>
            </w:pPr>
          </w:p>
        </w:tc>
      </w:tr>
      <w:tr>
        <w:trPr>
          <w:trHeight w:val="324"/>
        </w:trPr>
        <w:tc>
          <w:tcPr>
            <w:tcW w:w="56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14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0"/>
        </w:trPr>
        <w:tc>
          <w:tcPr>
            <w:tcW w:w="5620" w:type="dxa"/>
            <w:vAlign w:val="bottom"/>
            <w:shd w:val="clear" w:color="auto" w:fill="CCEEFF"/>
          </w:tcPr>
          <w:p>
            <w:pPr>
              <w:ind w:left="40"/>
              <w:spacing w:after="0"/>
              <w:rPr>
                <w:sz w:val="20"/>
                <w:szCs w:val="20"/>
                <w:color w:val="auto"/>
              </w:rPr>
            </w:pPr>
            <w:r>
              <w:rPr>
                <w:rFonts w:ascii="Arial" w:cs="Arial" w:eastAsia="Arial" w:hAnsi="Arial"/>
                <w:sz w:val="18"/>
                <w:szCs w:val="18"/>
                <w:color w:val="auto"/>
              </w:rPr>
              <w:t>Pre-tax income – GAAP</w:t>
            </w:r>
          </w:p>
        </w:tc>
        <w:tc>
          <w:tcPr>
            <w:tcW w:w="32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060" w:type="dxa"/>
            <w:vAlign w:val="bottom"/>
            <w:shd w:val="clear" w:color="auto" w:fill="CCEEFF"/>
          </w:tcPr>
          <w:p>
            <w:pPr>
              <w:jc w:val="right"/>
              <w:ind w:right="33"/>
              <w:spacing w:after="0"/>
              <w:rPr>
                <w:sz w:val="20"/>
                <w:szCs w:val="20"/>
                <w:color w:val="auto"/>
              </w:rPr>
            </w:pPr>
            <w:r>
              <w:rPr>
                <w:rFonts w:ascii="Arial" w:cs="Arial" w:eastAsia="Arial" w:hAnsi="Arial"/>
                <w:sz w:val="18"/>
                <w:szCs w:val="18"/>
                <w:color w:val="auto"/>
              </w:rPr>
              <w:t>2,256</w:t>
            </w:r>
          </w:p>
        </w:tc>
        <w:tc>
          <w:tcPr>
            <w:tcW w:w="100" w:type="dxa"/>
            <w:vAlign w:val="bottom"/>
            <w:shd w:val="clear" w:color="auto" w:fill="CCEEFF"/>
          </w:tcPr>
          <w:p>
            <w:pPr>
              <w:spacing w:after="0"/>
              <w:rPr>
                <w:sz w:val="23"/>
                <w:szCs w:val="23"/>
                <w:color w:val="auto"/>
              </w:rPr>
            </w:pPr>
          </w:p>
        </w:tc>
        <w:tc>
          <w:tcPr>
            <w:tcW w:w="480" w:type="dxa"/>
            <w:vAlign w:val="bottom"/>
            <w:shd w:val="clear" w:color="auto" w:fill="CCEEFF"/>
          </w:tcPr>
          <w:p>
            <w:pPr>
              <w:ind w:left="20"/>
              <w:spacing w:after="0"/>
              <w:rPr>
                <w:sz w:val="20"/>
                <w:szCs w:val="20"/>
                <w:color w:val="auto"/>
              </w:rPr>
            </w:pPr>
            <w:r>
              <w:rPr>
                <w:rFonts w:ascii="Arial" w:cs="Arial" w:eastAsia="Arial" w:hAnsi="Arial"/>
                <w:sz w:val="18"/>
                <w:szCs w:val="18"/>
                <w:color w:val="auto"/>
              </w:rPr>
              <w:t>$</w:t>
            </w:r>
          </w:p>
        </w:tc>
        <w:tc>
          <w:tcPr>
            <w:tcW w:w="900" w:type="dxa"/>
            <w:vAlign w:val="bottom"/>
            <w:shd w:val="clear" w:color="auto" w:fill="CCEEFF"/>
          </w:tcPr>
          <w:p>
            <w:pPr>
              <w:jc w:val="right"/>
              <w:ind w:right="31"/>
              <w:spacing w:after="0"/>
              <w:rPr>
                <w:sz w:val="20"/>
                <w:szCs w:val="20"/>
                <w:color w:val="auto"/>
              </w:rPr>
            </w:pPr>
            <w:r>
              <w:rPr>
                <w:rFonts w:ascii="Arial" w:cs="Arial" w:eastAsia="Arial" w:hAnsi="Arial"/>
                <w:sz w:val="18"/>
                <w:szCs w:val="18"/>
                <w:color w:val="auto"/>
              </w:rPr>
              <w:t>1,884</w:t>
            </w:r>
          </w:p>
        </w:tc>
        <w:tc>
          <w:tcPr>
            <w:tcW w:w="100" w:type="dxa"/>
            <w:vAlign w:val="bottom"/>
            <w:shd w:val="clear" w:color="auto" w:fill="CCEEFF"/>
          </w:tcPr>
          <w:p>
            <w:pPr>
              <w:spacing w:after="0"/>
              <w:rPr>
                <w:sz w:val="23"/>
                <w:szCs w:val="23"/>
                <w:color w:val="auto"/>
              </w:rPr>
            </w:pPr>
          </w:p>
        </w:tc>
        <w:tc>
          <w:tcPr>
            <w:tcW w:w="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6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372</w:t>
            </w:r>
          </w:p>
        </w:tc>
        <w:tc>
          <w:tcPr>
            <w:tcW w:w="1460" w:type="dxa"/>
            <w:vAlign w:val="bottom"/>
            <w:shd w:val="clear" w:color="auto" w:fill="CCEEFF"/>
          </w:tcPr>
          <w:p>
            <w:pPr>
              <w:jc w:val="right"/>
              <w:ind w:right="13"/>
              <w:spacing w:after="0"/>
              <w:rPr>
                <w:sz w:val="20"/>
                <w:szCs w:val="20"/>
                <w:color w:val="auto"/>
              </w:rPr>
            </w:pPr>
            <w:r>
              <w:rPr>
                <w:rFonts w:ascii="Arial" w:cs="Arial" w:eastAsia="Arial" w:hAnsi="Arial"/>
                <w:sz w:val="18"/>
                <w:szCs w:val="18"/>
                <w:color w:val="auto"/>
              </w:rPr>
              <w:t>19.7</w:t>
            </w:r>
          </w:p>
        </w:tc>
        <w:tc>
          <w:tcPr>
            <w:tcW w:w="0" w:type="dxa"/>
            <w:vAlign w:val="bottom"/>
          </w:tcPr>
          <w:p>
            <w:pPr>
              <w:spacing w:after="0"/>
              <w:rPr>
                <w:sz w:val="1"/>
                <w:szCs w:val="1"/>
                <w:color w:val="auto"/>
              </w:rPr>
            </w:pPr>
          </w:p>
        </w:tc>
      </w:tr>
      <w:tr>
        <w:trPr>
          <w:trHeight w:val="270"/>
        </w:trPr>
        <w:tc>
          <w:tcPr>
            <w:tcW w:w="5620" w:type="dxa"/>
            <w:vAlign w:val="bottom"/>
            <w:tcBorders>
              <w:bottom w:val="single" w:sz="8" w:color="CCEEFF"/>
            </w:tcBorders>
          </w:tcPr>
          <w:p>
            <w:pPr>
              <w:ind w:left="220"/>
              <w:spacing w:after="0"/>
              <w:rPr>
                <w:sz w:val="20"/>
                <w:szCs w:val="20"/>
                <w:color w:val="auto"/>
              </w:rPr>
            </w:pPr>
            <w:r>
              <w:rPr>
                <w:rFonts w:ascii="Arial" w:cs="Arial" w:eastAsia="Arial" w:hAnsi="Arial"/>
                <w:sz w:val="18"/>
                <w:szCs w:val="18"/>
                <w:color w:val="auto"/>
              </w:rPr>
              <w:t xml:space="preserve">Adjusted for: Pre-tax net special items </w:t>
            </w:r>
            <w:r>
              <w:rPr>
                <w:rFonts w:ascii="Arial" w:cs="Arial" w:eastAsia="Arial" w:hAnsi="Arial"/>
                <w:sz w:val="21"/>
                <w:szCs w:val="21"/>
                <w:color w:val="auto"/>
                <w:vertAlign w:val="superscript"/>
              </w:rPr>
              <w:t>(1)</w:t>
            </w:r>
          </w:p>
        </w:tc>
        <w:tc>
          <w:tcPr>
            <w:tcW w:w="320" w:type="dxa"/>
            <w:vAlign w:val="bottom"/>
            <w:tcBorders>
              <w:bottom w:val="single" w:sz="8" w:color="auto"/>
            </w:tcBorders>
          </w:tcPr>
          <w:p>
            <w:pPr>
              <w:spacing w:after="0"/>
              <w:rPr>
                <w:sz w:val="23"/>
                <w:szCs w:val="23"/>
                <w:color w:val="auto"/>
              </w:rPr>
            </w:pPr>
          </w:p>
        </w:tc>
        <w:tc>
          <w:tcPr>
            <w:tcW w:w="1060" w:type="dxa"/>
            <w:vAlign w:val="bottom"/>
            <w:tcBorders>
              <w:bottom w:val="single" w:sz="8" w:color="auto"/>
            </w:tcBorders>
          </w:tcPr>
          <w:p>
            <w:pPr>
              <w:jc w:val="right"/>
              <w:ind w:right="33"/>
              <w:spacing w:after="0"/>
              <w:rPr>
                <w:sz w:val="20"/>
                <w:szCs w:val="20"/>
                <w:color w:val="auto"/>
              </w:rPr>
            </w:pPr>
            <w:r>
              <w:rPr>
                <w:rFonts w:ascii="Arial" w:cs="Arial" w:eastAsia="Arial" w:hAnsi="Arial"/>
                <w:sz w:val="18"/>
                <w:szCs w:val="18"/>
                <w:color w:val="auto"/>
              </w:rPr>
              <w:t>644</w:t>
            </w:r>
          </w:p>
        </w:tc>
        <w:tc>
          <w:tcPr>
            <w:tcW w:w="100" w:type="dxa"/>
            <w:vAlign w:val="bottom"/>
            <w:tcBorders>
              <w:bottom w:val="single" w:sz="8" w:color="CCEEFF"/>
            </w:tcBorders>
          </w:tcPr>
          <w:p>
            <w:pPr>
              <w:spacing w:after="0"/>
              <w:rPr>
                <w:sz w:val="23"/>
                <w:szCs w:val="23"/>
                <w:color w:val="auto"/>
              </w:rPr>
            </w:pPr>
          </w:p>
        </w:tc>
        <w:tc>
          <w:tcPr>
            <w:tcW w:w="480" w:type="dxa"/>
            <w:vAlign w:val="bottom"/>
            <w:tcBorders>
              <w:bottom w:val="single" w:sz="8" w:color="auto"/>
            </w:tcBorders>
          </w:tcPr>
          <w:p>
            <w:pPr>
              <w:spacing w:after="0"/>
              <w:rPr>
                <w:sz w:val="23"/>
                <w:szCs w:val="23"/>
                <w:color w:val="auto"/>
              </w:rPr>
            </w:pPr>
          </w:p>
        </w:tc>
        <w:tc>
          <w:tcPr>
            <w:tcW w:w="900" w:type="dxa"/>
            <w:vAlign w:val="bottom"/>
            <w:tcBorders>
              <w:bottom w:val="single" w:sz="8" w:color="auto"/>
            </w:tcBorders>
          </w:tcPr>
          <w:p>
            <w:pPr>
              <w:jc w:val="right"/>
              <w:ind w:right="31"/>
              <w:spacing w:after="0"/>
              <w:rPr>
                <w:sz w:val="20"/>
                <w:szCs w:val="20"/>
                <w:color w:val="auto"/>
              </w:rPr>
            </w:pPr>
            <w:r>
              <w:rPr>
                <w:rFonts w:ascii="Arial" w:cs="Arial" w:eastAsia="Arial" w:hAnsi="Arial"/>
                <w:sz w:val="18"/>
                <w:szCs w:val="18"/>
                <w:color w:val="auto"/>
              </w:rPr>
              <w:t>906</w:t>
            </w:r>
          </w:p>
        </w:tc>
        <w:tc>
          <w:tcPr>
            <w:tcW w:w="100" w:type="dxa"/>
            <w:vAlign w:val="bottom"/>
            <w:tcBorders>
              <w:bottom w:val="single" w:sz="8" w:color="CCEEFF"/>
            </w:tcBorders>
          </w:tcPr>
          <w:p>
            <w:pPr>
              <w:spacing w:after="0"/>
              <w:rPr>
                <w:sz w:val="23"/>
                <w:szCs w:val="23"/>
                <w:color w:val="auto"/>
              </w:rPr>
            </w:pPr>
          </w:p>
        </w:tc>
        <w:tc>
          <w:tcPr>
            <w:tcW w:w="220" w:type="dxa"/>
            <w:vAlign w:val="bottom"/>
            <w:tcBorders>
              <w:bottom w:val="single" w:sz="8" w:color="auto"/>
            </w:tcBorders>
          </w:tcPr>
          <w:p>
            <w:pPr>
              <w:spacing w:after="0"/>
              <w:rPr>
                <w:sz w:val="23"/>
                <w:szCs w:val="23"/>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(262)</w:t>
            </w:r>
          </w:p>
        </w:tc>
        <w:tc>
          <w:tcPr>
            <w:tcW w:w="1460" w:type="dxa"/>
            <w:vAlign w:val="bottom"/>
            <w:tcBorders>
              <w:bottom w:val="single" w:sz="8" w:color="CCEEFF"/>
            </w:tcBorders>
          </w:tcPr>
          <w:p>
            <w:pPr>
              <w:jc w:val="right"/>
              <w:spacing w:after="0"/>
              <w:rPr>
                <w:sz w:val="20"/>
                <w:szCs w:val="20"/>
                <w:color w:val="auto"/>
              </w:rPr>
            </w:pPr>
            <w:r>
              <w:rPr>
                <w:rFonts w:ascii="Arial" w:cs="Arial" w:eastAsia="Arial" w:hAnsi="Arial"/>
                <w:sz w:val="18"/>
                <w:szCs w:val="18"/>
                <w:color w:val="auto"/>
              </w:rPr>
              <w:t>(28.9)</w:t>
            </w:r>
          </w:p>
        </w:tc>
        <w:tc>
          <w:tcPr>
            <w:tcW w:w="0" w:type="dxa"/>
            <w:vAlign w:val="bottom"/>
          </w:tcPr>
          <w:p>
            <w:pPr>
              <w:spacing w:after="0"/>
              <w:rPr>
                <w:sz w:val="1"/>
                <w:szCs w:val="1"/>
                <w:color w:val="auto"/>
              </w:rPr>
            </w:pPr>
          </w:p>
        </w:tc>
      </w:tr>
      <w:tr>
        <w:trPr>
          <w:trHeight w:val="250"/>
        </w:trPr>
        <w:tc>
          <w:tcPr>
            <w:tcW w:w="56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Pre-tax income excluding net special items</w:t>
            </w:r>
          </w:p>
        </w:tc>
        <w:tc>
          <w:tcPr>
            <w:tcW w:w="320" w:type="dxa"/>
            <w:vAlign w:val="bottom"/>
            <w:tcBorders>
              <w:bottom w:val="single" w:sz="8" w:color="auto"/>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060" w:type="dxa"/>
            <w:vAlign w:val="bottom"/>
            <w:tcBorders>
              <w:bottom w:val="single" w:sz="8" w:color="auto"/>
            </w:tcBorders>
            <w:shd w:val="clear" w:color="auto" w:fill="CCEEFF"/>
          </w:tcPr>
          <w:p>
            <w:pPr>
              <w:jc w:val="right"/>
              <w:ind w:right="33"/>
              <w:spacing w:after="0"/>
              <w:rPr>
                <w:sz w:val="20"/>
                <w:szCs w:val="20"/>
                <w:color w:val="auto"/>
              </w:rPr>
            </w:pPr>
            <w:r>
              <w:rPr>
                <w:rFonts w:ascii="Arial" w:cs="Arial" w:eastAsia="Arial" w:hAnsi="Arial"/>
                <w:sz w:val="18"/>
                <w:szCs w:val="18"/>
                <w:color w:val="auto"/>
              </w:rPr>
              <w:t>2,900</w:t>
            </w:r>
          </w:p>
        </w:tc>
        <w:tc>
          <w:tcPr>
            <w:tcW w:w="100" w:type="dxa"/>
            <w:vAlign w:val="bottom"/>
            <w:tcBorders>
              <w:bottom w:val="single" w:sz="8" w:color="CCEEFF"/>
            </w:tcBorders>
            <w:shd w:val="clear" w:color="auto" w:fill="CCEEFF"/>
          </w:tcPr>
          <w:p>
            <w:pPr>
              <w:spacing w:after="0"/>
              <w:rPr>
                <w:sz w:val="21"/>
                <w:szCs w:val="21"/>
                <w:color w:val="auto"/>
              </w:rPr>
            </w:pPr>
          </w:p>
        </w:tc>
        <w:tc>
          <w:tcPr>
            <w:tcW w:w="48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w:t>
            </w:r>
          </w:p>
        </w:tc>
        <w:tc>
          <w:tcPr>
            <w:tcW w:w="900" w:type="dxa"/>
            <w:vAlign w:val="bottom"/>
            <w:tcBorders>
              <w:bottom w:val="single" w:sz="8" w:color="auto"/>
            </w:tcBorders>
            <w:shd w:val="clear" w:color="auto" w:fill="CCEEFF"/>
          </w:tcPr>
          <w:p>
            <w:pPr>
              <w:jc w:val="right"/>
              <w:ind w:right="31"/>
              <w:spacing w:after="0"/>
              <w:rPr>
                <w:sz w:val="20"/>
                <w:szCs w:val="20"/>
                <w:color w:val="auto"/>
              </w:rPr>
            </w:pPr>
            <w:r>
              <w:rPr>
                <w:rFonts w:ascii="Arial" w:cs="Arial" w:eastAsia="Arial" w:hAnsi="Arial"/>
                <w:sz w:val="18"/>
                <w:szCs w:val="18"/>
                <w:color w:val="auto"/>
              </w:rPr>
              <w:t>2,790</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60" w:type="dxa"/>
            <w:vAlign w:val="bottom"/>
            <w:tcBorders>
              <w:bottom w:val="single" w:sz="8" w:color="auto"/>
            </w:tcBorders>
            <w:shd w:val="clear" w:color="auto" w:fill="CCEEFF"/>
          </w:tcPr>
          <w:p>
            <w:pPr>
              <w:jc w:val="right"/>
              <w:ind w:right="12"/>
              <w:spacing w:after="0"/>
              <w:rPr>
                <w:sz w:val="20"/>
                <w:szCs w:val="20"/>
                <w:color w:val="auto"/>
              </w:rPr>
            </w:pPr>
            <w:r>
              <w:rPr>
                <w:rFonts w:ascii="Arial" w:cs="Arial" w:eastAsia="Arial" w:hAnsi="Arial"/>
                <w:sz w:val="18"/>
                <w:szCs w:val="18"/>
                <w:color w:val="auto"/>
              </w:rPr>
              <w:t>110</w:t>
            </w:r>
          </w:p>
        </w:tc>
        <w:tc>
          <w:tcPr>
            <w:tcW w:w="146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3.9</w:t>
            </w:r>
          </w:p>
        </w:tc>
        <w:tc>
          <w:tcPr>
            <w:tcW w:w="0" w:type="dxa"/>
            <w:vAlign w:val="bottom"/>
          </w:tcPr>
          <w:p>
            <w:pPr>
              <w:spacing w:after="0"/>
              <w:rPr>
                <w:sz w:val="1"/>
                <w:szCs w:val="1"/>
                <w:color w:val="auto"/>
              </w:rPr>
            </w:pPr>
          </w:p>
        </w:tc>
      </w:tr>
      <w:tr>
        <w:trPr>
          <w:trHeight w:val="20"/>
        </w:trPr>
        <w:tc>
          <w:tcPr>
            <w:tcW w:w="562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4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163195</wp:posOffset>
            </wp:positionV>
            <wp:extent cx="1337945" cy="889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1337945" cy="8890"/>
                    </a:xfrm>
                    <a:prstGeom prst="rect">
                      <a:avLst/>
                    </a:prstGeom>
                    <a:noFill/>
                  </pic:spPr>
                </pic:pic>
              </a:graphicData>
            </a:graphic>
          </wp:anchor>
        </w:drawing>
      </w:r>
    </w:p>
    <w:p>
      <w:pPr>
        <w:spacing w:after="0" w:line="312" w:lineRule="exact"/>
        <w:rPr>
          <w:sz w:val="20"/>
          <w:szCs w:val="20"/>
          <w:color w:val="auto"/>
        </w:rPr>
      </w:pPr>
    </w:p>
    <w:p>
      <w:pPr>
        <w:ind w:left="500" w:hanging="492"/>
        <w:spacing w:after="0" w:line="235" w:lineRule="auto"/>
        <w:tabs>
          <w:tab w:leader="none" w:pos="500" w:val="left"/>
        </w:tabs>
        <w:numPr>
          <w:ilvl w:val="0"/>
          <w:numId w:val="20"/>
        </w:numPr>
        <w:rPr>
          <w:rFonts w:ascii="Arial" w:cs="Arial" w:eastAsia="Arial" w:hAnsi="Arial"/>
          <w:sz w:val="22"/>
          <w:szCs w:val="22"/>
          <w:color w:val="auto"/>
          <w:vertAlign w:val="superscript"/>
        </w:rPr>
      </w:pPr>
      <w:r>
        <w:rPr>
          <w:rFonts w:ascii="Arial" w:cs="Arial" w:eastAsia="Arial" w:hAnsi="Arial"/>
          <w:sz w:val="18"/>
          <w:szCs w:val="18"/>
          <w:color w:val="auto"/>
        </w:rPr>
        <w:t xml:space="preserve">See Part II, Item 6. Selected Consolidated Financial Data – </w:t>
      </w:r>
      <w:r>
        <w:rPr>
          <w:rFonts w:ascii="Arial" w:cs="Arial" w:eastAsia="Arial" w:hAnsi="Arial"/>
          <w:sz w:val="18"/>
          <w:szCs w:val="18"/>
          <w:i w:val="1"/>
          <w:iCs w:val="1"/>
          <w:color w:val="auto"/>
        </w:rPr>
        <w:t>“Reconciliation of GAAP to Non-GAAP Financial Measures”</w:t>
      </w:r>
      <w:r>
        <w:rPr>
          <w:rFonts w:ascii="Arial" w:cs="Arial" w:eastAsia="Arial" w:hAnsi="Arial"/>
          <w:sz w:val="18"/>
          <w:szCs w:val="18"/>
          <w:color w:val="auto"/>
        </w:rPr>
        <w:t xml:space="preserve"> and Note 2 to AAG’s Consolidated Financial Statements in Part II, Item 8A for details on the components of net special items.</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Pre-Tax Income and Net Income</w:t>
      </w:r>
    </w:p>
    <w:p>
      <w:pPr>
        <w:spacing w:after="0" w:line="112" w:lineRule="exact"/>
        <w:rPr>
          <w:sz w:val="20"/>
          <w:szCs w:val="20"/>
          <w:color w:val="auto"/>
        </w:rPr>
      </w:pPr>
    </w:p>
    <w:p>
      <w:pPr>
        <w:jc w:val="both"/>
        <w:ind w:firstLine="216"/>
        <w:spacing w:after="0" w:line="253" w:lineRule="auto"/>
        <w:rPr>
          <w:sz w:val="20"/>
          <w:szCs w:val="20"/>
          <w:color w:val="auto"/>
        </w:rPr>
      </w:pPr>
      <w:r>
        <w:rPr>
          <w:rFonts w:ascii="Arial" w:cs="Arial" w:eastAsia="Arial" w:hAnsi="Arial"/>
          <w:sz w:val="18"/>
          <w:szCs w:val="18"/>
          <w:color w:val="auto"/>
        </w:rPr>
        <w:t>Pre-tax income and net income were $2.3 billion and $1.7 billion in 2019, respectively. This compares to 2018 pre-tax income and net income of $1.9 billion and $1.4 billion, respectively. Excluding the effects of pre-tax net special items, pre-tax income was $2.9 billion and $2.8 billion in 2019 and 2018, respectively. The year-over-year increase in our pre-tax income on both a GAAP basis and excluding pre-tax net special items was principally driven by higher revenues and lower fuel costs, offset in part by increases in salaries, wages and benefits, maintenance expenses and costs associated with increased regional capacity.</w:t>
      </w:r>
    </w:p>
    <w:p>
      <w:pPr>
        <w:spacing w:after="0" w:line="20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49</w:t>
      </w:r>
    </w:p>
    <w:p>
      <w:pPr>
        <w:sectPr>
          <w:pgSz w:w="11900" w:h="16838" w:orient="portrait"/>
          <w:cols w:equalWidth="0" w:num="1">
            <w:col w:w="11420"/>
          </w:cols>
          <w:pgMar w:left="240" w:top="549" w:right="239" w:bottom="1440" w:gutter="0" w:footer="0" w:header="0"/>
        </w:sectPr>
      </w:pPr>
    </w:p>
    <w:bookmarkStart w:id="49" w:name="page50"/>
    <w:bookmarkEnd w:id="49"/>
    <w:p>
      <w:pPr>
        <w:spacing w:after="0"/>
        <w:rPr>
          <w:sz w:val="20"/>
          <w:szCs w:val="20"/>
          <w:color w:val="auto"/>
        </w:rPr>
      </w:pPr>
      <w:r>
        <w:rPr>
          <w:rFonts w:ascii="Arial" w:cs="Arial" w:eastAsia="Arial" w:hAnsi="Arial"/>
          <w:sz w:val="18"/>
          <w:szCs w:val="18"/>
          <w:b w:val="1"/>
          <w:bCs w:val="1"/>
          <w:i w:val="1"/>
          <w:iCs w:val="1"/>
          <w:color w:val="auto"/>
        </w:rPr>
        <w:t>Fleet and Operation</w:t>
      </w:r>
    </w:p>
    <w:p>
      <w:pPr>
        <w:spacing w:after="0" w:line="94" w:lineRule="exact"/>
        <w:rPr>
          <w:sz w:val="20"/>
          <w:szCs w:val="20"/>
          <w:color w:val="auto"/>
        </w:rPr>
      </w:pPr>
    </w:p>
    <w:p>
      <w:pPr>
        <w:ind w:left="260"/>
        <w:spacing w:after="0"/>
        <w:rPr>
          <w:sz w:val="20"/>
          <w:szCs w:val="20"/>
          <w:color w:val="auto"/>
        </w:rPr>
      </w:pPr>
      <w:r>
        <w:rPr>
          <w:rFonts w:ascii="Arial" w:cs="Arial" w:eastAsia="Arial" w:hAnsi="Arial"/>
          <w:sz w:val="18"/>
          <w:szCs w:val="18"/>
          <w:i w:val="1"/>
          <w:iCs w:val="1"/>
          <w:u w:val="single" w:color="auto"/>
          <w:color w:val="auto"/>
        </w:rPr>
        <w:t>Boeing 737 MAX</w:t>
      </w:r>
    </w:p>
    <w:p>
      <w:pPr>
        <w:spacing w:after="0" w:line="108" w:lineRule="exact"/>
        <w:rPr>
          <w:sz w:val="20"/>
          <w:szCs w:val="20"/>
          <w:color w:val="auto"/>
        </w:rPr>
      </w:pPr>
    </w:p>
    <w:p>
      <w:pPr>
        <w:jc w:val="both"/>
        <w:ind w:firstLine="243"/>
        <w:spacing w:after="0" w:line="256" w:lineRule="auto"/>
        <w:rPr>
          <w:sz w:val="20"/>
          <w:szCs w:val="20"/>
          <w:color w:val="auto"/>
        </w:rPr>
      </w:pPr>
      <w:r>
        <w:rPr>
          <w:rFonts w:ascii="Arial" w:cs="Arial" w:eastAsia="Arial" w:hAnsi="Arial"/>
          <w:sz w:val="18"/>
          <w:szCs w:val="18"/>
          <w:color w:val="auto"/>
        </w:rPr>
        <w:t>On March 13, 2019, a directive from the FAA grounded all U.S.-registered Boeing 737 MAX aircraft. Our fleet currently includes 24 Boeing 737 MAX aircraft with an additional 76 aircraft on order. As a result of this directive, we canceled approximately 27,600 flights in 2019. We have removed all Boeing 737 MAX flying from our flight schedule through August 17, 2020 and continue to assess this timeline.</w:t>
      </w:r>
    </w:p>
    <w:p>
      <w:pPr>
        <w:spacing w:after="0" w:line="148" w:lineRule="exact"/>
        <w:rPr>
          <w:sz w:val="20"/>
          <w:szCs w:val="20"/>
          <w:color w:val="auto"/>
        </w:rPr>
      </w:pPr>
    </w:p>
    <w:p>
      <w:pPr>
        <w:jc w:val="both"/>
        <w:ind w:firstLine="243"/>
        <w:spacing w:after="0" w:line="262" w:lineRule="auto"/>
        <w:rPr>
          <w:sz w:val="20"/>
          <w:szCs w:val="20"/>
          <w:color w:val="auto"/>
        </w:rPr>
      </w:pPr>
      <w:r>
        <w:rPr>
          <w:rFonts w:ascii="Arial" w:cs="Arial" w:eastAsia="Arial" w:hAnsi="Arial"/>
          <w:sz w:val="18"/>
          <w:szCs w:val="18"/>
          <w:color w:val="auto"/>
        </w:rPr>
        <w:t>Our estimate of the financial damages incurred in 2019 due to the Boeing 737 MAX grounding and related cancellations was approximately $540 million.</w:t>
      </w:r>
    </w:p>
    <w:p>
      <w:pPr>
        <w:spacing w:after="0" w:line="142" w:lineRule="exact"/>
        <w:rPr>
          <w:sz w:val="20"/>
          <w:szCs w:val="20"/>
          <w:color w:val="auto"/>
        </w:rPr>
      </w:pPr>
    </w:p>
    <w:p>
      <w:pPr>
        <w:jc w:val="both"/>
        <w:ind w:firstLine="243"/>
        <w:spacing w:after="0" w:line="252" w:lineRule="auto"/>
        <w:rPr>
          <w:sz w:val="20"/>
          <w:szCs w:val="20"/>
          <w:color w:val="auto"/>
        </w:rPr>
      </w:pPr>
      <w:r>
        <w:rPr>
          <w:rFonts w:ascii="Arial" w:cs="Arial" w:eastAsia="Arial" w:hAnsi="Arial"/>
          <w:sz w:val="18"/>
          <w:szCs w:val="18"/>
          <w:color w:val="auto"/>
        </w:rPr>
        <w:t>As previously announced in January 2020, we reached a confidential agreement with Boeing on compensation related to financial damages incurred in 2019 due to the grounding of the Boeing 737 MAX aircraft. The settlement did not have a material impact on 2019 earnings because we are accounting for substantially all of the compensation as a reduction in cost basis of grounded Boeing 737 MAX aircraft and certain future Boeing 737 MAX aircraft deliveries. Our future aircraft purchase commitments in Note 12 to AAG’s Consolidated Financial Statements in Part II, Item 8A reflect the portion of the compensation we expect to receive in the future as Boeing 737 MAX aircraft are delivered. These amounts reflect our best estimate in light of the uncertainty surrounding the timing of future Boeing 737 MAX aircraft deliveries.</w:t>
      </w:r>
    </w:p>
    <w:p>
      <w:pPr>
        <w:spacing w:after="0" w:line="155" w:lineRule="exact"/>
        <w:rPr>
          <w:sz w:val="20"/>
          <w:szCs w:val="20"/>
          <w:color w:val="auto"/>
        </w:rPr>
      </w:pPr>
    </w:p>
    <w:p>
      <w:pPr>
        <w:jc w:val="both"/>
        <w:ind w:firstLine="243"/>
        <w:spacing w:after="0" w:line="254" w:lineRule="auto"/>
        <w:rPr>
          <w:sz w:val="20"/>
          <w:szCs w:val="20"/>
          <w:color w:val="auto"/>
        </w:rPr>
      </w:pPr>
      <w:r>
        <w:rPr>
          <w:rFonts w:ascii="Arial" w:cs="Arial" w:eastAsia="Arial" w:hAnsi="Arial"/>
          <w:sz w:val="18"/>
          <w:szCs w:val="18"/>
          <w:color w:val="auto"/>
        </w:rPr>
        <w:t>Due to the impact of the Boeing 737 MAX grounding on our 2019 financial results, our Board of Directors authorized a discretionary portion of the settlement to be returned to team members through our 2019 profit-sharing program. The profit-sharing award was based on our estimate of full-year 2019 financial damages for the Boeing 737 MAX grounding. As a result, an additional accrual of approximately $30 million was made to our 2019 profit-sharing program.</w:t>
      </w:r>
    </w:p>
    <w:p>
      <w:pPr>
        <w:spacing w:after="0" w:line="150" w:lineRule="exact"/>
        <w:rPr>
          <w:sz w:val="20"/>
          <w:szCs w:val="20"/>
          <w:color w:val="auto"/>
        </w:rPr>
      </w:pPr>
    </w:p>
    <w:p>
      <w:pPr>
        <w:jc w:val="both"/>
        <w:ind w:firstLine="243"/>
        <w:spacing w:after="0" w:line="256" w:lineRule="auto"/>
        <w:rPr>
          <w:sz w:val="20"/>
          <w:szCs w:val="20"/>
          <w:color w:val="auto"/>
        </w:rPr>
      </w:pPr>
      <w:r>
        <w:rPr>
          <w:rFonts w:ascii="Arial" w:cs="Arial" w:eastAsia="Arial" w:hAnsi="Arial"/>
          <w:sz w:val="18"/>
          <w:szCs w:val="18"/>
          <w:color w:val="auto"/>
        </w:rPr>
        <w:t>We are pleased with the settlement agreement we reached for 2019, which was intended to address our financial damages incurred in 2019 due to the grounding of the Boeing 737 MAX aircraft. However, the aircraft remain grounded and therefore we continue to incur financial damages in 2020. We expect discussions to continue with Boeing for further compensation for these damages.</w:t>
      </w:r>
    </w:p>
    <w:p>
      <w:pPr>
        <w:spacing w:after="0" w:line="211" w:lineRule="exact"/>
        <w:rPr>
          <w:sz w:val="20"/>
          <w:szCs w:val="20"/>
          <w:color w:val="auto"/>
        </w:rPr>
      </w:pPr>
    </w:p>
    <w:p>
      <w:pPr>
        <w:ind w:left="260"/>
        <w:spacing w:after="0"/>
        <w:rPr>
          <w:sz w:val="20"/>
          <w:szCs w:val="20"/>
          <w:color w:val="auto"/>
        </w:rPr>
      </w:pPr>
      <w:r>
        <w:rPr>
          <w:rFonts w:ascii="Arial" w:cs="Arial" w:eastAsia="Arial" w:hAnsi="Arial"/>
          <w:sz w:val="18"/>
          <w:szCs w:val="18"/>
          <w:i w:val="1"/>
          <w:iCs w:val="1"/>
          <w:u w:val="single" w:color="auto"/>
          <w:color w:val="auto"/>
        </w:rPr>
        <w:t>Operational Slowdown</w:t>
      </w:r>
    </w:p>
    <w:p>
      <w:pPr>
        <w:spacing w:after="0" w:line="108" w:lineRule="exact"/>
        <w:rPr>
          <w:sz w:val="20"/>
          <w:szCs w:val="20"/>
          <w:color w:val="auto"/>
        </w:rPr>
      </w:pPr>
    </w:p>
    <w:p>
      <w:pPr>
        <w:jc w:val="both"/>
        <w:ind w:firstLine="216"/>
        <w:spacing w:after="0" w:line="254" w:lineRule="auto"/>
        <w:rPr>
          <w:sz w:val="20"/>
          <w:szCs w:val="20"/>
          <w:color w:val="auto"/>
        </w:rPr>
      </w:pPr>
      <w:r>
        <w:rPr>
          <w:rFonts w:ascii="Arial" w:cs="Arial" w:eastAsia="Arial" w:hAnsi="Arial"/>
          <w:sz w:val="18"/>
          <w:szCs w:val="18"/>
          <w:color w:val="auto"/>
        </w:rPr>
        <w:t>In 2019, the TWU-IAM Association engaged in an illegal work slowdown in an effort to influence contract negotiations. This slowdown significantly impacted our operation and caused a significant number of flight cancellations and delays in the second and third quarters of 2019. Agreements in principle were reached on January 30, 2020 for JCBAs covering all of the workgroups represented by the TWU-IAM Association. Those agreements are subject to membership ratification vote.</w:t>
      </w:r>
    </w:p>
    <w:p>
      <w:pPr>
        <w:spacing w:after="0" w:line="20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Revenue</w:t>
      </w:r>
    </w:p>
    <w:p>
      <w:pPr>
        <w:spacing w:after="0" w:line="112" w:lineRule="exact"/>
        <w:rPr>
          <w:sz w:val="20"/>
          <w:szCs w:val="20"/>
          <w:color w:val="auto"/>
        </w:rPr>
      </w:pPr>
    </w:p>
    <w:p>
      <w:pPr>
        <w:jc w:val="both"/>
        <w:ind w:firstLine="216"/>
        <w:spacing w:after="0" w:line="270" w:lineRule="auto"/>
        <w:rPr>
          <w:sz w:val="20"/>
          <w:szCs w:val="20"/>
          <w:color w:val="auto"/>
        </w:rPr>
      </w:pPr>
      <w:r>
        <w:rPr>
          <w:rFonts w:ascii="Arial" w:cs="Arial" w:eastAsia="Arial" w:hAnsi="Arial"/>
          <w:sz w:val="17"/>
          <w:szCs w:val="17"/>
          <w:color w:val="auto"/>
        </w:rPr>
        <w:t>In 2019, we reported total operating revenues of $45.8 billion, an increase of $ 1.2 billion, or 2.8%, as compared to 2018. Passenger revenue was $42.0 billion, an increase of $1.3 billion, or 3.3%, as compared to 2018. The increase in passenger revenue in 2019 was due to continued strength in passenger demand resulting in a 4.4% increase in revenue passenger miles (RPMs) and a 2.6 point increase in passenger load factor. Domestic passenger revenue per available seat mile (PRASM) increased 2.0% as compared to 2018. Latin America was the best performing international region in 2019, with PRASM increasing 3.4% followed by Pacific with PRASM increasing 3.1%, while Atlantic PRASM declined 1.5% principally due to lower transfer payments related to our joint business arrangement and foreign currency effects.</w:t>
      </w:r>
    </w:p>
    <w:p>
      <w:pPr>
        <w:spacing w:after="0" w:line="139" w:lineRule="exact"/>
        <w:rPr>
          <w:sz w:val="20"/>
          <w:szCs w:val="20"/>
          <w:color w:val="auto"/>
        </w:rPr>
      </w:pPr>
    </w:p>
    <w:p>
      <w:pPr>
        <w:jc w:val="both"/>
        <w:ind w:firstLine="216"/>
        <w:spacing w:after="0" w:line="254" w:lineRule="auto"/>
        <w:rPr>
          <w:sz w:val="20"/>
          <w:szCs w:val="20"/>
          <w:color w:val="auto"/>
        </w:rPr>
      </w:pPr>
      <w:r>
        <w:rPr>
          <w:rFonts w:ascii="Arial" w:cs="Arial" w:eastAsia="Arial" w:hAnsi="Arial"/>
          <w:sz w:val="18"/>
          <w:szCs w:val="18"/>
          <w:color w:val="auto"/>
        </w:rPr>
        <w:t>In 2019, cargo revenue was $863 million, a decrease of $150 million, or 14.8%, as compared to 2018, primarily due to a 14.4% decrease in cargo ton miles reflecting declines in freight volumes, principally as a result of international schedule reductions. Other operating revenue increased $43 million, or 1.5%, in 2019 as compared to 2018, principally driven by higher revenue associated with our airport clubs and loyalty program.</w:t>
      </w:r>
    </w:p>
    <w:p>
      <w:pPr>
        <w:spacing w:after="0" w:line="150" w:lineRule="exact"/>
        <w:rPr>
          <w:sz w:val="20"/>
          <w:szCs w:val="20"/>
          <w:color w:val="auto"/>
        </w:rPr>
      </w:pPr>
    </w:p>
    <w:p>
      <w:pPr>
        <w:ind w:left="220"/>
        <w:spacing w:after="0"/>
        <w:rPr>
          <w:sz w:val="20"/>
          <w:szCs w:val="20"/>
          <w:color w:val="auto"/>
        </w:rPr>
      </w:pPr>
      <w:r>
        <w:rPr>
          <w:rFonts w:ascii="Arial" w:cs="Arial" w:eastAsia="Arial" w:hAnsi="Arial"/>
          <w:sz w:val="18"/>
          <w:szCs w:val="18"/>
          <w:color w:val="auto"/>
        </w:rPr>
        <w:t>Our total revenue per available seat mile (TRASM) was 16.05 cents in 2019, a 1.7% increase as compared to 15.79 cents in 2018.</w:t>
      </w:r>
    </w:p>
    <w:p>
      <w:pPr>
        <w:spacing w:after="0" w:line="23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Fuel</w:t>
      </w:r>
    </w:p>
    <w:p>
      <w:pPr>
        <w:spacing w:after="0" w:line="112" w:lineRule="exact"/>
        <w:rPr>
          <w:sz w:val="20"/>
          <w:szCs w:val="20"/>
          <w:color w:val="auto"/>
        </w:rPr>
      </w:pPr>
    </w:p>
    <w:p>
      <w:pPr>
        <w:jc w:val="both"/>
        <w:ind w:firstLine="216"/>
        <w:spacing w:after="0" w:line="256" w:lineRule="auto"/>
        <w:rPr>
          <w:sz w:val="20"/>
          <w:szCs w:val="20"/>
          <w:color w:val="auto"/>
        </w:rPr>
      </w:pPr>
      <w:r>
        <w:rPr>
          <w:rFonts w:ascii="Arial" w:cs="Arial" w:eastAsia="Arial" w:hAnsi="Arial"/>
          <w:sz w:val="18"/>
          <w:szCs w:val="18"/>
          <w:color w:val="auto"/>
        </w:rPr>
        <w:t>Our mainline and regional fuel expense totaled $9.4 billion in 2019, which was $501 million, or 5.1%, lower compared to 2018. This decrease was primarily driven by a 6.9% decrease in the average price per gallon of fuel including related taxes to $2.07 in 2019 from $2.23 in 2018, offset in part by a 2.0% increase in gallons of fuel consumed.</w:t>
      </w:r>
    </w:p>
    <w:p>
      <w:pPr>
        <w:spacing w:after="0" w:line="20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50</w:t>
      </w:r>
    </w:p>
    <w:p>
      <w:pPr>
        <w:sectPr>
          <w:pgSz w:w="11900" w:h="16838" w:orient="portrait"/>
          <w:cols w:equalWidth="0" w:num="1">
            <w:col w:w="11420"/>
          </w:cols>
          <w:pgMar w:left="240" w:top="792" w:right="239" w:bottom="1440" w:gutter="0" w:footer="0" w:header="0"/>
        </w:sectPr>
      </w:pPr>
    </w:p>
    <w:bookmarkStart w:id="50" w:name="page51"/>
    <w:bookmarkEnd w:id="50"/>
    <w:p>
      <w:pPr>
        <w:jc w:val="both"/>
        <w:ind w:firstLine="216"/>
        <w:spacing w:after="0" w:line="254" w:lineRule="auto"/>
        <w:rPr>
          <w:sz w:val="20"/>
          <w:szCs w:val="20"/>
          <w:color w:val="auto"/>
        </w:rPr>
      </w:pPr>
      <w:r>
        <w:rPr>
          <w:rFonts w:ascii="Arial" w:cs="Arial" w:eastAsia="Arial" w:hAnsi="Arial"/>
          <w:sz w:val="18"/>
          <w:szCs w:val="18"/>
          <w:color w:val="auto"/>
        </w:rPr>
        <w:t>As of December 31, 2019, we did not have any fuel hedging contracts outstanding to hedge our fuel consumption. Our current policy is not to enter into transactions to hedge our fuel consumption, although we review that policy from time to time based on market conditions and other factors. As such, and assuming we do not enter into any future transactions to hedge our fuel consumption, we will continue to be fully exposed to fluctuations in fuel prices.</w:t>
      </w:r>
    </w:p>
    <w:p>
      <w:pPr>
        <w:spacing w:after="0" w:line="20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Other Costs</w:t>
      </w:r>
    </w:p>
    <w:p>
      <w:pPr>
        <w:spacing w:after="0" w:line="112" w:lineRule="exact"/>
        <w:rPr>
          <w:sz w:val="20"/>
          <w:szCs w:val="20"/>
          <w:color w:val="auto"/>
        </w:rPr>
      </w:pPr>
    </w:p>
    <w:p>
      <w:pPr>
        <w:jc w:val="both"/>
        <w:ind w:firstLine="216"/>
        <w:spacing w:after="0" w:line="262" w:lineRule="auto"/>
        <w:rPr>
          <w:sz w:val="20"/>
          <w:szCs w:val="20"/>
          <w:color w:val="auto"/>
        </w:rPr>
      </w:pPr>
      <w:r>
        <w:rPr>
          <w:rFonts w:ascii="Arial" w:cs="Arial" w:eastAsia="Arial" w:hAnsi="Arial"/>
          <w:sz w:val="18"/>
          <w:szCs w:val="18"/>
          <w:color w:val="auto"/>
        </w:rPr>
        <w:t>We remain committed to actively managing our cost structure, which we believe is necessary in an industry whose economic prospects are heavily dependent upon two variables we cannot control: the health of the economy and the price of fuel.</w:t>
      </w:r>
    </w:p>
    <w:p>
      <w:pPr>
        <w:spacing w:after="0" w:line="142" w:lineRule="exact"/>
        <w:rPr>
          <w:sz w:val="20"/>
          <w:szCs w:val="20"/>
          <w:color w:val="auto"/>
        </w:rPr>
      </w:pPr>
    </w:p>
    <w:p>
      <w:pPr>
        <w:ind w:left="220"/>
        <w:spacing w:after="0"/>
        <w:rPr>
          <w:sz w:val="20"/>
          <w:szCs w:val="20"/>
          <w:color w:val="auto"/>
        </w:rPr>
      </w:pPr>
      <w:r>
        <w:rPr>
          <w:rFonts w:ascii="Arial" w:cs="Arial" w:eastAsia="Arial" w:hAnsi="Arial"/>
          <w:sz w:val="18"/>
          <w:szCs w:val="18"/>
          <w:color w:val="auto"/>
        </w:rPr>
        <w:t>Our 2019 total cost per available seat mile (CASM) was 14.98 cents, an increase of 0.9%, from 14.85 cents in 2018.</w:t>
      </w:r>
    </w:p>
    <w:p>
      <w:pPr>
        <w:spacing w:after="0" w:line="171" w:lineRule="exact"/>
        <w:rPr>
          <w:sz w:val="20"/>
          <w:szCs w:val="20"/>
          <w:color w:val="auto"/>
        </w:rPr>
      </w:pPr>
    </w:p>
    <w:p>
      <w:pPr>
        <w:jc w:val="both"/>
        <w:ind w:firstLine="216"/>
        <w:spacing w:after="0" w:line="256" w:lineRule="auto"/>
        <w:rPr>
          <w:sz w:val="20"/>
          <w:szCs w:val="20"/>
          <w:color w:val="auto"/>
        </w:rPr>
      </w:pPr>
      <w:r>
        <w:rPr>
          <w:rFonts w:ascii="Arial" w:cs="Arial" w:eastAsia="Arial" w:hAnsi="Arial"/>
          <w:sz w:val="18"/>
          <w:szCs w:val="18"/>
          <w:color w:val="auto"/>
        </w:rPr>
        <w:t>Our 2019 CASM excluding net special items and fuel was 11.46 cents, an increase of 3.6%, from 11.06 cents in 2018. The increase was primarily driven by higher maintenance expenses, costs associated with increased regional capacity and lower than planned capacity in 2019 due to the Boeing 737 MAX grounding.</w:t>
      </w:r>
    </w:p>
    <w:p>
      <w:pPr>
        <w:spacing w:after="0" w:line="130" w:lineRule="exact"/>
        <w:rPr>
          <w:sz w:val="20"/>
          <w:szCs w:val="20"/>
          <w:color w:val="auto"/>
        </w:rPr>
      </w:pPr>
    </w:p>
    <w:p>
      <w:pPr>
        <w:jc w:val="both"/>
        <w:ind w:right="20" w:firstLine="216"/>
        <w:spacing w:after="0" w:line="282" w:lineRule="auto"/>
        <w:rPr>
          <w:sz w:val="20"/>
          <w:szCs w:val="20"/>
          <w:color w:val="auto"/>
        </w:rPr>
      </w:pPr>
      <w:r>
        <w:rPr>
          <w:rFonts w:ascii="Arial" w:cs="Arial" w:eastAsia="Arial" w:hAnsi="Arial"/>
          <w:sz w:val="18"/>
          <w:szCs w:val="18"/>
          <w:color w:val="auto"/>
        </w:rPr>
        <w:t xml:space="preserve">For a reconciliation of CASM excluding net special items and fuel, see Part II, Item 6. Selected Consolidated Financial Data – </w:t>
      </w:r>
      <w:r>
        <w:rPr>
          <w:rFonts w:ascii="Arial" w:cs="Arial" w:eastAsia="Arial" w:hAnsi="Arial"/>
          <w:sz w:val="18"/>
          <w:szCs w:val="18"/>
          <w:i w:val="1"/>
          <w:iCs w:val="1"/>
          <w:color w:val="auto"/>
        </w:rPr>
        <w:t>“Reconciliation</w:t>
      </w:r>
      <w:r>
        <w:rPr>
          <w:rFonts w:ascii="Arial" w:cs="Arial" w:eastAsia="Arial" w:hAnsi="Arial"/>
          <w:sz w:val="18"/>
          <w:szCs w:val="18"/>
          <w:color w:val="auto"/>
        </w:rPr>
        <w:t xml:space="preserve"> </w:t>
      </w:r>
      <w:r>
        <w:rPr>
          <w:rFonts w:ascii="Arial" w:cs="Arial" w:eastAsia="Arial" w:hAnsi="Arial"/>
          <w:sz w:val="18"/>
          <w:szCs w:val="18"/>
          <w:i w:val="1"/>
          <w:iCs w:val="1"/>
          <w:color w:val="auto"/>
        </w:rPr>
        <w:t>of GAAP to Non-GAAP Financial Measures.”</w:t>
      </w:r>
    </w:p>
    <w:p>
      <w:pPr>
        <w:spacing w:after="0" w:line="18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Liquidity</w:t>
      </w:r>
    </w:p>
    <w:p>
      <w:pPr>
        <w:spacing w:after="0" w:line="112" w:lineRule="exact"/>
        <w:rPr>
          <w:sz w:val="20"/>
          <w:szCs w:val="20"/>
          <w:color w:val="auto"/>
        </w:rPr>
      </w:pPr>
    </w:p>
    <w:p>
      <w:pPr>
        <w:jc w:val="both"/>
        <w:ind w:firstLine="216"/>
        <w:spacing w:after="0" w:line="256" w:lineRule="auto"/>
        <w:rPr>
          <w:sz w:val="20"/>
          <w:szCs w:val="20"/>
          <w:color w:val="auto"/>
        </w:rPr>
      </w:pPr>
      <w:r>
        <w:rPr>
          <w:rFonts w:ascii="Arial" w:cs="Arial" w:eastAsia="Arial" w:hAnsi="Arial"/>
          <w:sz w:val="18"/>
          <w:szCs w:val="18"/>
          <w:color w:val="auto"/>
        </w:rPr>
        <w:t>As of December 31, 2019, we had approximately $7.0 billion in total available liquidity, consisting of $3.8 billion in unrestricted cash and short-term investments and $3.2 billion in undrawn capacity under our revolving credit facilities. We also had restricted cash and short-term investments of $158 million.</w:t>
      </w:r>
    </w:p>
    <w:p>
      <w:pPr>
        <w:spacing w:after="0" w:line="67" w:lineRule="exact"/>
        <w:rPr>
          <w:sz w:val="20"/>
          <w:szCs w:val="20"/>
          <w:color w:val="auto"/>
        </w:rPr>
      </w:pPr>
    </w:p>
    <w:p>
      <w:pPr>
        <w:ind w:left="220"/>
        <w:spacing w:after="0"/>
        <w:rPr>
          <w:sz w:val="20"/>
          <w:szCs w:val="20"/>
          <w:color w:val="auto"/>
        </w:rPr>
      </w:pPr>
      <w:r>
        <w:rPr>
          <w:rFonts w:ascii="Arial" w:cs="Arial" w:eastAsia="Arial" w:hAnsi="Arial"/>
          <w:sz w:val="18"/>
          <w:szCs w:val="18"/>
          <w:color w:val="auto"/>
        </w:rPr>
        <w:t>During 2019, we completed the following significant financing transactions:</w:t>
      </w:r>
    </w:p>
    <w:p>
      <w:pPr>
        <w:spacing w:after="0" w:line="171" w:lineRule="exact"/>
        <w:rPr>
          <w:sz w:val="20"/>
          <w:szCs w:val="20"/>
          <w:color w:val="auto"/>
        </w:rPr>
      </w:pPr>
    </w:p>
    <w:p>
      <w:pPr>
        <w:ind w:left="1300" w:hanging="644"/>
        <w:spacing w:after="0" w:line="262" w:lineRule="auto"/>
        <w:tabs>
          <w:tab w:leader="none" w:pos="1300" w:val="left"/>
        </w:tabs>
        <w:numPr>
          <w:ilvl w:val="0"/>
          <w:numId w:val="21"/>
        </w:numPr>
        <w:rPr>
          <w:rFonts w:ascii="Arial" w:cs="Arial" w:eastAsia="Arial" w:hAnsi="Arial"/>
          <w:sz w:val="18"/>
          <w:szCs w:val="18"/>
          <w:color w:val="auto"/>
        </w:rPr>
      </w:pPr>
      <w:r>
        <w:rPr>
          <w:rFonts w:ascii="Arial" w:cs="Arial" w:eastAsia="Arial" w:hAnsi="Arial"/>
          <w:sz w:val="18"/>
          <w:szCs w:val="18"/>
          <w:color w:val="auto"/>
        </w:rPr>
        <w:t>raised $3.2 billion from enhanced equipment trust certificates (EETCs) and other aircraft and flight equipment financing, of which $1.3 billion was used to repay existing indebtedness;</w:t>
      </w:r>
    </w:p>
    <w:p>
      <w:pPr>
        <w:spacing w:after="0" w:line="142" w:lineRule="exact"/>
        <w:rPr>
          <w:rFonts w:ascii="Arial" w:cs="Arial" w:eastAsia="Arial" w:hAnsi="Arial"/>
          <w:sz w:val="18"/>
          <w:szCs w:val="18"/>
          <w:color w:val="auto"/>
        </w:rPr>
      </w:pPr>
    </w:p>
    <w:p>
      <w:pPr>
        <w:ind w:left="1300" w:hanging="644"/>
        <w:spacing w:after="0"/>
        <w:tabs>
          <w:tab w:leader="none" w:pos="1300" w:val="left"/>
        </w:tabs>
        <w:numPr>
          <w:ilvl w:val="0"/>
          <w:numId w:val="21"/>
        </w:numPr>
        <w:rPr>
          <w:rFonts w:ascii="Arial" w:cs="Arial" w:eastAsia="Arial" w:hAnsi="Arial"/>
          <w:sz w:val="18"/>
          <w:szCs w:val="18"/>
          <w:color w:val="auto"/>
        </w:rPr>
      </w:pPr>
      <w:r>
        <w:rPr>
          <w:rFonts w:ascii="Arial" w:cs="Arial" w:eastAsia="Arial" w:hAnsi="Arial"/>
          <w:sz w:val="18"/>
          <w:szCs w:val="18"/>
          <w:color w:val="auto"/>
        </w:rPr>
        <w:t>issued $750 million in aggregate principal amount of 5.000% senior notes due 2022 (the 5.000% senior notes);</w:t>
      </w:r>
    </w:p>
    <w:p>
      <w:pPr>
        <w:spacing w:after="0" w:line="171" w:lineRule="exact"/>
        <w:rPr>
          <w:rFonts w:ascii="Arial" w:cs="Arial" w:eastAsia="Arial" w:hAnsi="Arial"/>
          <w:sz w:val="18"/>
          <w:szCs w:val="18"/>
          <w:color w:val="auto"/>
        </w:rPr>
      </w:pPr>
    </w:p>
    <w:p>
      <w:pPr>
        <w:ind w:left="1300" w:hanging="644"/>
        <w:spacing w:after="0"/>
        <w:tabs>
          <w:tab w:leader="none" w:pos="1300" w:val="left"/>
        </w:tabs>
        <w:numPr>
          <w:ilvl w:val="0"/>
          <w:numId w:val="21"/>
        </w:numPr>
        <w:rPr>
          <w:rFonts w:ascii="Arial" w:cs="Arial" w:eastAsia="Arial" w:hAnsi="Arial"/>
          <w:sz w:val="18"/>
          <w:szCs w:val="18"/>
          <w:color w:val="auto"/>
        </w:rPr>
      </w:pPr>
      <w:r>
        <w:rPr>
          <w:rFonts w:ascii="Arial" w:cs="Arial" w:eastAsia="Arial" w:hAnsi="Arial"/>
          <w:sz w:val="18"/>
          <w:szCs w:val="18"/>
          <w:color w:val="auto"/>
        </w:rPr>
        <w:t>raised $850 million from aircraft sale-leaseback transactions; and</w:t>
      </w:r>
    </w:p>
    <w:p>
      <w:pPr>
        <w:spacing w:after="0" w:line="171" w:lineRule="exact"/>
        <w:rPr>
          <w:rFonts w:ascii="Arial" w:cs="Arial" w:eastAsia="Arial" w:hAnsi="Arial"/>
          <w:sz w:val="18"/>
          <w:szCs w:val="18"/>
          <w:color w:val="auto"/>
        </w:rPr>
      </w:pPr>
    </w:p>
    <w:p>
      <w:pPr>
        <w:jc w:val="both"/>
        <w:ind w:left="1300" w:hanging="644"/>
        <w:spacing w:after="0" w:line="256" w:lineRule="auto"/>
        <w:tabs>
          <w:tab w:leader="none" w:pos="1300" w:val="left"/>
        </w:tabs>
        <w:numPr>
          <w:ilvl w:val="0"/>
          <w:numId w:val="21"/>
        </w:numPr>
        <w:rPr>
          <w:rFonts w:ascii="Arial" w:cs="Arial" w:eastAsia="Arial" w:hAnsi="Arial"/>
          <w:sz w:val="18"/>
          <w:szCs w:val="18"/>
          <w:color w:val="auto"/>
        </w:rPr>
      </w:pPr>
      <w:r>
        <w:rPr>
          <w:rFonts w:ascii="Arial" w:cs="Arial" w:eastAsia="Arial" w:hAnsi="Arial"/>
          <w:sz w:val="18"/>
          <w:szCs w:val="18"/>
          <w:color w:val="auto"/>
        </w:rPr>
        <w:t>extended the maturities on $2.8 billion of our revolving credit facility commitments by one year from 2023 to 2024, and due to uncertainty surrounding the timing of the Boeing 737 MAX aircraft return to service, entered into an additional $400 million short-term revolving line of credit.</w:t>
      </w:r>
    </w:p>
    <w:p>
      <w:pPr>
        <w:spacing w:after="0" w:line="148" w:lineRule="exact"/>
        <w:rPr>
          <w:sz w:val="20"/>
          <w:szCs w:val="20"/>
          <w:color w:val="auto"/>
        </w:rPr>
      </w:pPr>
    </w:p>
    <w:p>
      <w:pPr>
        <w:ind w:left="220"/>
        <w:spacing w:after="0"/>
        <w:rPr>
          <w:sz w:val="20"/>
          <w:szCs w:val="20"/>
          <w:color w:val="auto"/>
        </w:rPr>
      </w:pPr>
      <w:r>
        <w:rPr>
          <w:rFonts w:ascii="Arial" w:cs="Arial" w:eastAsia="Arial" w:hAnsi="Arial"/>
          <w:sz w:val="18"/>
          <w:szCs w:val="18"/>
          <w:color w:val="auto"/>
        </w:rPr>
        <w:t>See Note 5 to AAG’s Consolidated Financial Statements in Part II, Item 8A for additional information on our debt obligations.</w:t>
      </w:r>
    </w:p>
    <w:p>
      <w:pPr>
        <w:spacing w:after="0" w:line="171" w:lineRule="exact"/>
        <w:rPr>
          <w:sz w:val="20"/>
          <w:szCs w:val="20"/>
          <w:color w:val="auto"/>
        </w:rPr>
      </w:pPr>
    </w:p>
    <w:p>
      <w:pPr>
        <w:jc w:val="both"/>
        <w:ind w:firstLine="216"/>
        <w:spacing w:after="0" w:line="254" w:lineRule="auto"/>
        <w:rPr>
          <w:sz w:val="20"/>
          <w:szCs w:val="20"/>
          <w:color w:val="auto"/>
        </w:rPr>
      </w:pPr>
      <w:r>
        <w:rPr>
          <w:rFonts w:ascii="Arial" w:cs="Arial" w:eastAsia="Arial" w:hAnsi="Arial"/>
          <w:sz w:val="18"/>
          <w:szCs w:val="18"/>
          <w:color w:val="auto"/>
        </w:rPr>
        <w:t>Additionally, we returned $1.3 billion to our stockholders in 2019, including the repurchase of $1.1 billion of our common stock, or 33.8 million shares, and quarterly dividend payments totaling $178 million. Since our capital return program commenced in mid-2014, we have returned $13.6 billion to stockholders, including $12.4 billion in share repurchases, or 312.7 million shares, and $1.2 billion in quarterly dividend payments.</w:t>
      </w:r>
    </w:p>
    <w:p>
      <w:pPr>
        <w:spacing w:after="0" w:line="20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51</w:t>
      </w:r>
    </w:p>
    <w:p>
      <w:pPr>
        <w:sectPr>
          <w:pgSz w:w="11900" w:h="16838" w:orient="portrait"/>
          <w:cols w:equalWidth="0" w:num="1">
            <w:col w:w="11420"/>
          </w:cols>
          <w:pgMar w:left="240" w:top="733" w:right="239" w:bottom="1440" w:gutter="0" w:footer="0" w:header="0"/>
        </w:sectPr>
      </w:pPr>
    </w:p>
    <w:bookmarkStart w:id="51" w:name="page52"/>
    <w:bookmarkEnd w:id="51"/>
    <w:p>
      <w:pPr>
        <w:spacing w:after="0"/>
        <w:rPr>
          <w:sz w:val="20"/>
          <w:szCs w:val="20"/>
          <w:color w:val="auto"/>
        </w:rPr>
      </w:pPr>
      <w:r>
        <w:rPr>
          <w:rFonts w:ascii="Arial" w:cs="Arial" w:eastAsia="Arial" w:hAnsi="Arial"/>
          <w:sz w:val="18"/>
          <w:szCs w:val="18"/>
          <w:b w:val="1"/>
          <w:bCs w:val="1"/>
          <w:color w:val="auto"/>
        </w:rPr>
        <w:t>AAG’s Results of Operations</w:t>
      </w:r>
    </w:p>
    <w:p>
      <w:pPr>
        <w:spacing w:after="0" w:line="112" w:lineRule="exact"/>
        <w:rPr>
          <w:sz w:val="20"/>
          <w:szCs w:val="20"/>
          <w:color w:val="auto"/>
        </w:rPr>
      </w:pPr>
    </w:p>
    <w:p>
      <w:pPr>
        <w:ind w:firstLine="243"/>
        <w:spacing w:after="0" w:line="262" w:lineRule="auto"/>
        <w:rPr>
          <w:sz w:val="20"/>
          <w:szCs w:val="20"/>
          <w:color w:val="auto"/>
        </w:rPr>
      </w:pPr>
      <w:r>
        <w:rPr>
          <w:rFonts w:ascii="Arial" w:cs="Arial" w:eastAsia="Arial" w:hAnsi="Arial"/>
          <w:sz w:val="18"/>
          <w:szCs w:val="18"/>
          <w:color w:val="auto"/>
        </w:rPr>
        <w:t>For a comparison of the 2018 to 2017 reporting periods, see Part II, Item 7. Management’s Discussion and Analysis of Financial Condition and Results of Operations – “</w:t>
      </w:r>
      <w:r>
        <w:rPr>
          <w:rFonts w:ascii="Arial" w:cs="Arial" w:eastAsia="Arial" w:hAnsi="Arial"/>
          <w:sz w:val="18"/>
          <w:szCs w:val="18"/>
          <w:i w:val="1"/>
          <w:iCs w:val="1"/>
          <w:color w:val="auto"/>
        </w:rPr>
        <w:t>AAG’s Results of Operations</w:t>
      </w:r>
      <w:r>
        <w:rPr>
          <w:rFonts w:ascii="Arial" w:cs="Arial" w:eastAsia="Arial" w:hAnsi="Arial"/>
          <w:sz w:val="18"/>
          <w:szCs w:val="18"/>
          <w:color w:val="auto"/>
        </w:rPr>
        <w:t xml:space="preserve"> – </w:t>
      </w:r>
      <w:r>
        <w:rPr>
          <w:rFonts w:ascii="Arial" w:cs="Arial" w:eastAsia="Arial" w:hAnsi="Arial"/>
          <w:sz w:val="18"/>
          <w:szCs w:val="18"/>
          <w:i w:val="1"/>
          <w:iCs w:val="1"/>
          <w:color w:val="auto"/>
        </w:rPr>
        <w:t>2018 Compared to 2017”</w:t>
      </w:r>
      <w:r>
        <w:rPr>
          <w:rFonts w:ascii="Arial" w:cs="Arial" w:eastAsia="Arial" w:hAnsi="Arial"/>
          <w:sz w:val="18"/>
          <w:szCs w:val="18"/>
          <w:color w:val="auto"/>
        </w:rPr>
        <w:t xml:space="preserve"> of our 2018 Form 10-K.</w:t>
      </w:r>
    </w:p>
    <w:p>
      <w:pPr>
        <w:spacing w:after="0" w:line="20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Operating Statistics</w:t>
      </w:r>
    </w:p>
    <w:p>
      <w:pPr>
        <w:spacing w:after="0" w:line="112" w:lineRule="exact"/>
        <w:rPr>
          <w:sz w:val="20"/>
          <w:szCs w:val="20"/>
          <w:color w:val="auto"/>
        </w:rPr>
      </w:pPr>
    </w:p>
    <w:p>
      <w:pPr>
        <w:ind w:left="220"/>
        <w:spacing w:after="0"/>
        <w:rPr>
          <w:sz w:val="20"/>
          <w:szCs w:val="20"/>
          <w:color w:val="auto"/>
        </w:rPr>
      </w:pPr>
      <w:r>
        <w:rPr>
          <w:rFonts w:ascii="Arial" w:cs="Arial" w:eastAsia="Arial" w:hAnsi="Arial"/>
          <w:sz w:val="18"/>
          <w:szCs w:val="18"/>
          <w:color w:val="auto"/>
        </w:rPr>
        <w:t>The table below sets forth selected operating data for the years ended December 31, 2019 and 2018.</w:t>
      </w:r>
    </w:p>
    <w:p>
      <w:pPr>
        <w:spacing w:after="0" w:line="375" w:lineRule="exact"/>
        <w:rPr>
          <w:sz w:val="20"/>
          <w:szCs w:val="20"/>
          <w:color w:val="auto"/>
        </w:rPr>
      </w:pPr>
    </w:p>
    <w:tbl>
      <w:tblPr>
        <w:tblLayout w:type="fixed"/>
        <w:tblInd w:w="0" w:type="dxa"/>
        <w:tblCellMar>
          <w:top w:w="0" w:type="dxa"/>
          <w:left w:w="0" w:type="dxa"/>
          <w:bottom w:w="0" w:type="dxa"/>
          <w:right w:w="0" w:type="dxa"/>
        </w:tblCellMar>
      </w:tblPr>
      <w:tr>
        <w:trPr>
          <w:trHeight w:val="196"/>
        </w:trPr>
        <w:tc>
          <w:tcPr>
            <w:tcW w:w="6740" w:type="dxa"/>
            <w:vAlign w:val="bottom"/>
          </w:tcPr>
          <w:p>
            <w:pPr>
              <w:spacing w:after="0"/>
              <w:rPr>
                <w:sz w:val="17"/>
                <w:szCs w:val="17"/>
                <w:color w:val="auto"/>
              </w:rPr>
            </w:pPr>
          </w:p>
        </w:tc>
        <w:tc>
          <w:tcPr>
            <w:tcW w:w="3100" w:type="dxa"/>
            <w:vAlign w:val="bottom"/>
            <w:tcBorders>
              <w:bottom w:val="single" w:sz="8" w:color="auto"/>
            </w:tcBorders>
            <w:gridSpan w:val="3"/>
          </w:tcPr>
          <w:p>
            <w:pPr>
              <w:jc w:val="right"/>
              <w:ind w:right="571"/>
              <w:spacing w:after="0"/>
              <w:rPr>
                <w:sz w:val="20"/>
                <w:szCs w:val="20"/>
                <w:color w:val="auto"/>
              </w:rPr>
            </w:pPr>
            <w:r>
              <w:rPr>
                <w:rFonts w:ascii="Arial" w:cs="Arial" w:eastAsia="Arial" w:hAnsi="Arial"/>
                <w:sz w:val="14"/>
                <w:szCs w:val="14"/>
                <w:b w:val="1"/>
                <w:bCs w:val="1"/>
                <w:color w:val="auto"/>
              </w:rPr>
              <w:t>Year Ended December 31,</w:t>
            </w:r>
          </w:p>
        </w:tc>
        <w:tc>
          <w:tcPr>
            <w:tcW w:w="100" w:type="dxa"/>
            <w:vAlign w:val="bottom"/>
          </w:tcPr>
          <w:p>
            <w:pPr>
              <w:spacing w:after="0"/>
              <w:rPr>
                <w:sz w:val="17"/>
                <w:szCs w:val="17"/>
                <w:color w:val="auto"/>
              </w:rPr>
            </w:pPr>
          </w:p>
        </w:tc>
        <w:tc>
          <w:tcPr>
            <w:tcW w:w="1480" w:type="dxa"/>
            <w:vAlign w:val="bottom"/>
          </w:tcPr>
          <w:p>
            <w:pPr>
              <w:spacing w:after="0"/>
              <w:rPr>
                <w:sz w:val="17"/>
                <w:szCs w:val="17"/>
                <w:color w:val="auto"/>
              </w:rPr>
            </w:pPr>
          </w:p>
        </w:tc>
      </w:tr>
      <w:tr>
        <w:trPr>
          <w:trHeight w:val="264"/>
        </w:trPr>
        <w:tc>
          <w:tcPr>
            <w:tcW w:w="6740" w:type="dxa"/>
            <w:vAlign w:val="bottom"/>
            <w:tcBorders>
              <w:bottom w:val="single" w:sz="8" w:color="CCEEFF"/>
            </w:tcBorders>
          </w:tcPr>
          <w:p>
            <w:pPr>
              <w:spacing w:after="0"/>
              <w:rPr>
                <w:sz w:val="22"/>
                <w:szCs w:val="22"/>
                <w:color w:val="auto"/>
              </w:rPr>
            </w:pPr>
          </w:p>
        </w:tc>
        <w:tc>
          <w:tcPr>
            <w:tcW w:w="1500" w:type="dxa"/>
            <w:vAlign w:val="bottom"/>
            <w:tcBorders>
              <w:bottom w:val="single" w:sz="8" w:color="auto"/>
            </w:tcBorders>
          </w:tcPr>
          <w:p>
            <w:pPr>
              <w:jc w:val="right"/>
              <w:ind w:right="493"/>
              <w:spacing w:after="0"/>
              <w:rPr>
                <w:sz w:val="20"/>
                <w:szCs w:val="20"/>
                <w:color w:val="auto"/>
              </w:rPr>
            </w:pPr>
            <w:r>
              <w:rPr>
                <w:rFonts w:ascii="Arial" w:cs="Arial" w:eastAsia="Arial" w:hAnsi="Arial"/>
                <w:sz w:val="14"/>
                <w:szCs w:val="14"/>
                <w:b w:val="1"/>
                <w:bCs w:val="1"/>
                <w:color w:val="auto"/>
              </w:rPr>
              <w:t>2019</w:t>
            </w:r>
          </w:p>
        </w:tc>
        <w:tc>
          <w:tcPr>
            <w:tcW w:w="120" w:type="dxa"/>
            <w:vAlign w:val="bottom"/>
            <w:tcBorders>
              <w:bottom w:val="single" w:sz="8" w:color="CCEEFF"/>
            </w:tcBorders>
          </w:tcPr>
          <w:p>
            <w:pPr>
              <w:spacing w:after="0"/>
              <w:rPr>
                <w:sz w:val="22"/>
                <w:szCs w:val="22"/>
                <w:color w:val="auto"/>
              </w:rPr>
            </w:pPr>
          </w:p>
        </w:tc>
        <w:tc>
          <w:tcPr>
            <w:tcW w:w="1480" w:type="dxa"/>
            <w:vAlign w:val="bottom"/>
            <w:tcBorders>
              <w:bottom w:val="single" w:sz="8" w:color="auto"/>
            </w:tcBorders>
          </w:tcPr>
          <w:p>
            <w:pPr>
              <w:jc w:val="right"/>
              <w:ind w:right="491"/>
              <w:spacing w:after="0"/>
              <w:rPr>
                <w:sz w:val="20"/>
                <w:szCs w:val="20"/>
                <w:color w:val="auto"/>
              </w:rPr>
            </w:pPr>
            <w:r>
              <w:rPr>
                <w:rFonts w:ascii="Arial" w:cs="Arial" w:eastAsia="Arial" w:hAnsi="Arial"/>
                <w:sz w:val="14"/>
                <w:szCs w:val="14"/>
                <w:b w:val="1"/>
                <w:bCs w:val="1"/>
                <w:color w:val="auto"/>
              </w:rPr>
              <w:t>2018</w:t>
            </w:r>
          </w:p>
        </w:tc>
        <w:tc>
          <w:tcPr>
            <w:tcW w:w="100" w:type="dxa"/>
            <w:vAlign w:val="bottom"/>
            <w:tcBorders>
              <w:bottom w:val="single" w:sz="8" w:color="CCEEFF"/>
            </w:tcBorders>
          </w:tcPr>
          <w:p>
            <w:pPr>
              <w:spacing w:after="0"/>
              <w:rPr>
                <w:sz w:val="22"/>
                <w:szCs w:val="22"/>
                <w:color w:val="auto"/>
              </w:rPr>
            </w:pPr>
          </w:p>
        </w:tc>
        <w:tc>
          <w:tcPr>
            <w:tcW w:w="148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Increase (Decrease)</w:t>
            </w:r>
          </w:p>
        </w:tc>
      </w:tr>
      <w:tr>
        <w:trPr>
          <w:trHeight w:val="256"/>
        </w:trPr>
        <w:tc>
          <w:tcPr>
            <w:tcW w:w="6740" w:type="dxa"/>
            <w:vAlign w:val="bottom"/>
            <w:shd w:val="clear" w:color="auto" w:fill="CCEEFF"/>
          </w:tcPr>
          <w:p>
            <w:pPr>
              <w:ind w:left="180"/>
              <w:spacing w:after="0"/>
              <w:rPr>
                <w:sz w:val="20"/>
                <w:szCs w:val="20"/>
                <w:color w:val="auto"/>
              </w:rPr>
            </w:pPr>
            <w:r>
              <w:rPr>
                <w:rFonts w:ascii="Arial" w:cs="Arial" w:eastAsia="Arial" w:hAnsi="Arial"/>
                <w:sz w:val="18"/>
                <w:szCs w:val="18"/>
                <w:color w:val="auto"/>
              </w:rPr>
              <w:t xml:space="preserve">Revenue passenger miles (millions) </w:t>
            </w:r>
            <w:r>
              <w:rPr>
                <w:rFonts w:ascii="Arial" w:cs="Arial" w:eastAsia="Arial" w:hAnsi="Arial"/>
                <w:sz w:val="21"/>
                <w:szCs w:val="21"/>
                <w:color w:val="auto"/>
                <w:vertAlign w:val="superscript"/>
              </w:rPr>
              <w:t>(a)</w:t>
            </w:r>
          </w:p>
        </w:tc>
        <w:tc>
          <w:tcPr>
            <w:tcW w:w="1500" w:type="dxa"/>
            <w:vAlign w:val="bottom"/>
            <w:shd w:val="clear" w:color="auto" w:fill="CCEEFF"/>
          </w:tcPr>
          <w:p>
            <w:pPr>
              <w:jc w:val="right"/>
              <w:ind w:right="33"/>
              <w:spacing w:after="0"/>
              <w:rPr>
                <w:sz w:val="20"/>
                <w:szCs w:val="20"/>
                <w:color w:val="auto"/>
              </w:rPr>
            </w:pPr>
            <w:r>
              <w:rPr>
                <w:rFonts w:ascii="Arial" w:cs="Arial" w:eastAsia="Arial" w:hAnsi="Arial"/>
                <w:sz w:val="18"/>
                <w:szCs w:val="18"/>
                <w:color w:val="auto"/>
              </w:rPr>
              <w:t>241,252</w:t>
            </w:r>
          </w:p>
        </w:tc>
        <w:tc>
          <w:tcPr>
            <w:tcW w:w="120" w:type="dxa"/>
            <w:vAlign w:val="bottom"/>
            <w:shd w:val="clear" w:color="auto" w:fill="CCEEFF"/>
          </w:tcPr>
          <w:p>
            <w:pPr>
              <w:spacing w:after="0"/>
              <w:rPr>
                <w:sz w:val="22"/>
                <w:szCs w:val="22"/>
                <w:color w:val="auto"/>
              </w:rPr>
            </w:pPr>
          </w:p>
        </w:tc>
        <w:tc>
          <w:tcPr>
            <w:tcW w:w="148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231,160</w:t>
            </w:r>
          </w:p>
        </w:tc>
        <w:tc>
          <w:tcPr>
            <w:tcW w:w="15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4.4%</w:t>
            </w:r>
          </w:p>
        </w:tc>
      </w:tr>
      <w:tr>
        <w:trPr>
          <w:trHeight w:val="270"/>
        </w:trPr>
        <w:tc>
          <w:tcPr>
            <w:tcW w:w="6740" w:type="dxa"/>
            <w:vAlign w:val="bottom"/>
          </w:tcPr>
          <w:p>
            <w:pPr>
              <w:ind w:left="180"/>
              <w:spacing w:after="0"/>
              <w:rPr>
                <w:sz w:val="20"/>
                <w:szCs w:val="20"/>
                <w:color w:val="auto"/>
              </w:rPr>
            </w:pPr>
            <w:r>
              <w:rPr>
                <w:rFonts w:ascii="Arial" w:cs="Arial" w:eastAsia="Arial" w:hAnsi="Arial"/>
                <w:sz w:val="18"/>
                <w:szCs w:val="18"/>
                <w:color w:val="auto"/>
              </w:rPr>
              <w:t xml:space="preserve">Available seat miles (millions) </w:t>
            </w:r>
            <w:r>
              <w:rPr>
                <w:rFonts w:ascii="Arial" w:cs="Arial" w:eastAsia="Arial" w:hAnsi="Arial"/>
                <w:sz w:val="21"/>
                <w:szCs w:val="21"/>
                <w:color w:val="auto"/>
                <w:vertAlign w:val="superscript"/>
              </w:rPr>
              <w:t>(b)</w:t>
            </w:r>
          </w:p>
        </w:tc>
        <w:tc>
          <w:tcPr>
            <w:tcW w:w="1500" w:type="dxa"/>
            <w:vAlign w:val="bottom"/>
          </w:tcPr>
          <w:p>
            <w:pPr>
              <w:jc w:val="right"/>
              <w:ind w:right="33"/>
              <w:spacing w:after="0"/>
              <w:rPr>
                <w:sz w:val="20"/>
                <w:szCs w:val="20"/>
                <w:color w:val="auto"/>
              </w:rPr>
            </w:pPr>
            <w:r>
              <w:rPr>
                <w:rFonts w:ascii="Arial" w:cs="Arial" w:eastAsia="Arial" w:hAnsi="Arial"/>
                <w:sz w:val="18"/>
                <w:szCs w:val="18"/>
                <w:color w:val="auto"/>
              </w:rPr>
              <w:t>285,088</w:t>
            </w:r>
          </w:p>
        </w:tc>
        <w:tc>
          <w:tcPr>
            <w:tcW w:w="120" w:type="dxa"/>
            <w:vAlign w:val="bottom"/>
          </w:tcPr>
          <w:p>
            <w:pPr>
              <w:spacing w:after="0"/>
              <w:rPr>
                <w:sz w:val="23"/>
                <w:szCs w:val="23"/>
                <w:color w:val="auto"/>
              </w:rPr>
            </w:pPr>
          </w:p>
        </w:tc>
        <w:tc>
          <w:tcPr>
            <w:tcW w:w="1480" w:type="dxa"/>
            <w:vAlign w:val="bottom"/>
          </w:tcPr>
          <w:p>
            <w:pPr>
              <w:jc w:val="right"/>
              <w:ind w:right="11"/>
              <w:spacing w:after="0"/>
              <w:rPr>
                <w:sz w:val="20"/>
                <w:szCs w:val="20"/>
                <w:color w:val="auto"/>
              </w:rPr>
            </w:pPr>
            <w:r>
              <w:rPr>
                <w:rFonts w:ascii="Arial" w:cs="Arial" w:eastAsia="Arial" w:hAnsi="Arial"/>
                <w:sz w:val="18"/>
                <w:szCs w:val="18"/>
                <w:color w:val="auto"/>
              </w:rPr>
              <w:t>282,054</w:t>
            </w:r>
          </w:p>
        </w:tc>
        <w:tc>
          <w:tcPr>
            <w:tcW w:w="1580" w:type="dxa"/>
            <w:vAlign w:val="bottom"/>
            <w:gridSpan w:val="2"/>
          </w:tcPr>
          <w:p>
            <w:pPr>
              <w:jc w:val="right"/>
              <w:spacing w:after="0"/>
              <w:rPr>
                <w:sz w:val="20"/>
                <w:szCs w:val="20"/>
                <w:color w:val="auto"/>
              </w:rPr>
            </w:pPr>
            <w:r>
              <w:rPr>
                <w:rFonts w:ascii="Arial" w:cs="Arial" w:eastAsia="Arial" w:hAnsi="Arial"/>
                <w:sz w:val="18"/>
                <w:szCs w:val="18"/>
                <w:color w:val="auto"/>
              </w:rPr>
              <w:t>1.1%</w:t>
            </w:r>
          </w:p>
        </w:tc>
      </w:tr>
      <w:tr>
        <w:trPr>
          <w:trHeight w:val="270"/>
        </w:trPr>
        <w:tc>
          <w:tcPr>
            <w:tcW w:w="6740" w:type="dxa"/>
            <w:vAlign w:val="bottom"/>
            <w:shd w:val="clear" w:color="auto" w:fill="CCEEFF"/>
          </w:tcPr>
          <w:p>
            <w:pPr>
              <w:ind w:left="180"/>
              <w:spacing w:after="0"/>
              <w:rPr>
                <w:sz w:val="20"/>
                <w:szCs w:val="20"/>
                <w:color w:val="auto"/>
              </w:rPr>
            </w:pPr>
            <w:r>
              <w:rPr>
                <w:rFonts w:ascii="Arial" w:cs="Arial" w:eastAsia="Arial" w:hAnsi="Arial"/>
                <w:sz w:val="18"/>
                <w:szCs w:val="18"/>
                <w:color w:val="auto"/>
              </w:rPr>
              <w:t xml:space="preserve">Passenger load factor (percent) </w:t>
            </w:r>
            <w:r>
              <w:rPr>
                <w:rFonts w:ascii="Arial" w:cs="Arial" w:eastAsia="Arial" w:hAnsi="Arial"/>
                <w:sz w:val="21"/>
                <w:szCs w:val="21"/>
                <w:color w:val="auto"/>
                <w:vertAlign w:val="superscript"/>
              </w:rPr>
              <w:t>(c)</w:t>
            </w:r>
          </w:p>
        </w:tc>
        <w:tc>
          <w:tcPr>
            <w:tcW w:w="1500" w:type="dxa"/>
            <w:vAlign w:val="bottom"/>
            <w:shd w:val="clear" w:color="auto" w:fill="CCEEFF"/>
          </w:tcPr>
          <w:p>
            <w:pPr>
              <w:jc w:val="right"/>
              <w:ind w:right="33"/>
              <w:spacing w:after="0"/>
              <w:rPr>
                <w:sz w:val="20"/>
                <w:szCs w:val="20"/>
                <w:color w:val="auto"/>
              </w:rPr>
            </w:pPr>
            <w:r>
              <w:rPr>
                <w:rFonts w:ascii="Arial" w:cs="Arial" w:eastAsia="Arial" w:hAnsi="Arial"/>
                <w:sz w:val="18"/>
                <w:szCs w:val="18"/>
                <w:color w:val="auto"/>
              </w:rPr>
              <w:t>84.6</w:t>
            </w:r>
          </w:p>
        </w:tc>
        <w:tc>
          <w:tcPr>
            <w:tcW w:w="120" w:type="dxa"/>
            <w:vAlign w:val="bottom"/>
            <w:shd w:val="clear" w:color="auto" w:fill="CCEEFF"/>
          </w:tcPr>
          <w:p>
            <w:pPr>
              <w:spacing w:after="0"/>
              <w:rPr>
                <w:sz w:val="23"/>
                <w:szCs w:val="23"/>
                <w:color w:val="auto"/>
              </w:rPr>
            </w:pPr>
          </w:p>
        </w:tc>
        <w:tc>
          <w:tcPr>
            <w:tcW w:w="148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82.0</w:t>
            </w:r>
          </w:p>
        </w:tc>
        <w:tc>
          <w:tcPr>
            <w:tcW w:w="100" w:type="dxa"/>
            <w:vAlign w:val="bottom"/>
            <w:shd w:val="clear" w:color="auto" w:fill="CCEEFF"/>
          </w:tcPr>
          <w:p>
            <w:pPr>
              <w:spacing w:after="0"/>
              <w:rPr>
                <w:sz w:val="23"/>
                <w:szCs w:val="23"/>
                <w:color w:val="auto"/>
              </w:rPr>
            </w:pPr>
          </w:p>
        </w:tc>
        <w:tc>
          <w:tcPr>
            <w:tcW w:w="1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2.6pts</w:t>
            </w:r>
          </w:p>
        </w:tc>
      </w:tr>
      <w:tr>
        <w:trPr>
          <w:trHeight w:val="270"/>
        </w:trPr>
        <w:tc>
          <w:tcPr>
            <w:tcW w:w="6740" w:type="dxa"/>
            <w:vAlign w:val="bottom"/>
          </w:tcPr>
          <w:p>
            <w:pPr>
              <w:ind w:left="180"/>
              <w:spacing w:after="0"/>
              <w:rPr>
                <w:sz w:val="20"/>
                <w:szCs w:val="20"/>
                <w:color w:val="auto"/>
              </w:rPr>
            </w:pPr>
            <w:r>
              <w:rPr>
                <w:rFonts w:ascii="Arial" w:cs="Arial" w:eastAsia="Arial" w:hAnsi="Arial"/>
                <w:sz w:val="18"/>
                <w:szCs w:val="18"/>
                <w:color w:val="auto"/>
              </w:rPr>
              <w:t xml:space="preserve">Yield (cents) </w:t>
            </w:r>
            <w:r>
              <w:rPr>
                <w:rFonts w:ascii="Arial" w:cs="Arial" w:eastAsia="Arial" w:hAnsi="Arial"/>
                <w:sz w:val="21"/>
                <w:szCs w:val="21"/>
                <w:color w:val="auto"/>
                <w:vertAlign w:val="superscript"/>
              </w:rPr>
              <w:t>(d)</w:t>
            </w:r>
          </w:p>
        </w:tc>
        <w:tc>
          <w:tcPr>
            <w:tcW w:w="1500" w:type="dxa"/>
            <w:vAlign w:val="bottom"/>
          </w:tcPr>
          <w:p>
            <w:pPr>
              <w:jc w:val="right"/>
              <w:ind w:right="33"/>
              <w:spacing w:after="0"/>
              <w:rPr>
                <w:sz w:val="20"/>
                <w:szCs w:val="20"/>
                <w:color w:val="auto"/>
              </w:rPr>
            </w:pPr>
            <w:r>
              <w:rPr>
                <w:rFonts w:ascii="Arial" w:cs="Arial" w:eastAsia="Arial" w:hAnsi="Arial"/>
                <w:sz w:val="18"/>
                <w:szCs w:val="18"/>
                <w:color w:val="auto"/>
              </w:rPr>
              <w:t>17.41</w:t>
            </w:r>
          </w:p>
        </w:tc>
        <w:tc>
          <w:tcPr>
            <w:tcW w:w="120" w:type="dxa"/>
            <w:vAlign w:val="bottom"/>
          </w:tcPr>
          <w:p>
            <w:pPr>
              <w:spacing w:after="0"/>
              <w:rPr>
                <w:sz w:val="23"/>
                <w:szCs w:val="23"/>
                <w:color w:val="auto"/>
              </w:rPr>
            </w:pPr>
          </w:p>
        </w:tc>
        <w:tc>
          <w:tcPr>
            <w:tcW w:w="1480" w:type="dxa"/>
            <w:vAlign w:val="bottom"/>
          </w:tcPr>
          <w:p>
            <w:pPr>
              <w:jc w:val="right"/>
              <w:ind w:right="11"/>
              <w:spacing w:after="0"/>
              <w:rPr>
                <w:sz w:val="20"/>
                <w:szCs w:val="20"/>
                <w:color w:val="auto"/>
              </w:rPr>
            </w:pPr>
            <w:r>
              <w:rPr>
                <w:rFonts w:ascii="Arial" w:cs="Arial" w:eastAsia="Arial" w:hAnsi="Arial"/>
                <w:sz w:val="18"/>
                <w:szCs w:val="18"/>
                <w:color w:val="auto"/>
              </w:rPr>
              <w:t>17.60</w:t>
            </w:r>
          </w:p>
        </w:tc>
        <w:tc>
          <w:tcPr>
            <w:tcW w:w="1580" w:type="dxa"/>
            <w:vAlign w:val="bottom"/>
            <w:gridSpan w:val="2"/>
          </w:tcPr>
          <w:p>
            <w:pPr>
              <w:jc w:val="right"/>
              <w:spacing w:after="0"/>
              <w:rPr>
                <w:sz w:val="20"/>
                <w:szCs w:val="20"/>
                <w:color w:val="auto"/>
              </w:rPr>
            </w:pPr>
            <w:r>
              <w:rPr>
                <w:rFonts w:ascii="Arial" w:cs="Arial" w:eastAsia="Arial" w:hAnsi="Arial"/>
                <w:sz w:val="18"/>
                <w:szCs w:val="18"/>
                <w:color w:val="auto"/>
              </w:rPr>
              <w:t>(1.0)%</w:t>
            </w:r>
          </w:p>
        </w:tc>
      </w:tr>
      <w:tr>
        <w:trPr>
          <w:trHeight w:val="270"/>
        </w:trPr>
        <w:tc>
          <w:tcPr>
            <w:tcW w:w="6740" w:type="dxa"/>
            <w:vAlign w:val="bottom"/>
            <w:shd w:val="clear" w:color="auto" w:fill="CCEEFF"/>
          </w:tcPr>
          <w:p>
            <w:pPr>
              <w:ind w:left="180"/>
              <w:spacing w:after="0"/>
              <w:rPr>
                <w:sz w:val="20"/>
                <w:szCs w:val="20"/>
                <w:color w:val="auto"/>
              </w:rPr>
            </w:pPr>
            <w:r>
              <w:rPr>
                <w:rFonts w:ascii="Arial" w:cs="Arial" w:eastAsia="Arial" w:hAnsi="Arial"/>
                <w:sz w:val="18"/>
                <w:szCs w:val="18"/>
                <w:color w:val="auto"/>
              </w:rPr>
              <w:t xml:space="preserve">Passenger revenue per available seat mile (cents) </w:t>
            </w:r>
            <w:r>
              <w:rPr>
                <w:rFonts w:ascii="Arial" w:cs="Arial" w:eastAsia="Arial" w:hAnsi="Arial"/>
                <w:sz w:val="21"/>
                <w:szCs w:val="21"/>
                <w:color w:val="auto"/>
                <w:vertAlign w:val="superscript"/>
              </w:rPr>
              <w:t>(e)</w:t>
            </w:r>
          </w:p>
        </w:tc>
        <w:tc>
          <w:tcPr>
            <w:tcW w:w="1500" w:type="dxa"/>
            <w:vAlign w:val="bottom"/>
            <w:shd w:val="clear" w:color="auto" w:fill="CCEEFF"/>
          </w:tcPr>
          <w:p>
            <w:pPr>
              <w:jc w:val="right"/>
              <w:ind w:right="33"/>
              <w:spacing w:after="0"/>
              <w:rPr>
                <w:sz w:val="20"/>
                <w:szCs w:val="20"/>
                <w:color w:val="auto"/>
              </w:rPr>
            </w:pPr>
            <w:r>
              <w:rPr>
                <w:rFonts w:ascii="Arial" w:cs="Arial" w:eastAsia="Arial" w:hAnsi="Arial"/>
                <w:sz w:val="18"/>
                <w:szCs w:val="18"/>
                <w:color w:val="auto"/>
              </w:rPr>
              <w:t>14.74</w:t>
            </w:r>
          </w:p>
        </w:tc>
        <w:tc>
          <w:tcPr>
            <w:tcW w:w="120" w:type="dxa"/>
            <w:vAlign w:val="bottom"/>
            <w:shd w:val="clear" w:color="auto" w:fill="CCEEFF"/>
          </w:tcPr>
          <w:p>
            <w:pPr>
              <w:spacing w:after="0"/>
              <w:rPr>
                <w:sz w:val="23"/>
                <w:szCs w:val="23"/>
                <w:color w:val="auto"/>
              </w:rPr>
            </w:pPr>
          </w:p>
        </w:tc>
        <w:tc>
          <w:tcPr>
            <w:tcW w:w="148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14.42</w:t>
            </w:r>
          </w:p>
        </w:tc>
        <w:tc>
          <w:tcPr>
            <w:tcW w:w="15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2.2%</w:t>
            </w:r>
          </w:p>
        </w:tc>
      </w:tr>
      <w:tr>
        <w:trPr>
          <w:trHeight w:val="270"/>
        </w:trPr>
        <w:tc>
          <w:tcPr>
            <w:tcW w:w="6740" w:type="dxa"/>
            <w:vAlign w:val="bottom"/>
          </w:tcPr>
          <w:p>
            <w:pPr>
              <w:ind w:left="180"/>
              <w:spacing w:after="0"/>
              <w:rPr>
                <w:sz w:val="20"/>
                <w:szCs w:val="20"/>
                <w:color w:val="auto"/>
              </w:rPr>
            </w:pPr>
            <w:r>
              <w:rPr>
                <w:rFonts w:ascii="Arial" w:cs="Arial" w:eastAsia="Arial" w:hAnsi="Arial"/>
                <w:sz w:val="18"/>
                <w:szCs w:val="18"/>
                <w:color w:val="auto"/>
              </w:rPr>
              <w:t xml:space="preserve">Total revenue per available seat mile (cents) </w:t>
            </w:r>
            <w:r>
              <w:rPr>
                <w:rFonts w:ascii="Arial" w:cs="Arial" w:eastAsia="Arial" w:hAnsi="Arial"/>
                <w:sz w:val="21"/>
                <w:szCs w:val="21"/>
                <w:color w:val="auto"/>
                <w:vertAlign w:val="superscript"/>
              </w:rPr>
              <w:t>(f)</w:t>
            </w:r>
          </w:p>
        </w:tc>
        <w:tc>
          <w:tcPr>
            <w:tcW w:w="1500" w:type="dxa"/>
            <w:vAlign w:val="bottom"/>
          </w:tcPr>
          <w:p>
            <w:pPr>
              <w:jc w:val="right"/>
              <w:ind w:right="33"/>
              <w:spacing w:after="0"/>
              <w:rPr>
                <w:sz w:val="20"/>
                <w:szCs w:val="20"/>
                <w:color w:val="auto"/>
              </w:rPr>
            </w:pPr>
            <w:r>
              <w:rPr>
                <w:rFonts w:ascii="Arial" w:cs="Arial" w:eastAsia="Arial" w:hAnsi="Arial"/>
                <w:sz w:val="18"/>
                <w:szCs w:val="18"/>
                <w:color w:val="auto"/>
              </w:rPr>
              <w:t>16.05</w:t>
            </w:r>
          </w:p>
        </w:tc>
        <w:tc>
          <w:tcPr>
            <w:tcW w:w="120" w:type="dxa"/>
            <w:vAlign w:val="bottom"/>
          </w:tcPr>
          <w:p>
            <w:pPr>
              <w:spacing w:after="0"/>
              <w:rPr>
                <w:sz w:val="23"/>
                <w:szCs w:val="23"/>
                <w:color w:val="auto"/>
              </w:rPr>
            </w:pPr>
          </w:p>
        </w:tc>
        <w:tc>
          <w:tcPr>
            <w:tcW w:w="1480" w:type="dxa"/>
            <w:vAlign w:val="bottom"/>
          </w:tcPr>
          <w:p>
            <w:pPr>
              <w:jc w:val="right"/>
              <w:ind w:right="11"/>
              <w:spacing w:after="0"/>
              <w:rPr>
                <w:sz w:val="20"/>
                <w:szCs w:val="20"/>
                <w:color w:val="auto"/>
              </w:rPr>
            </w:pPr>
            <w:r>
              <w:rPr>
                <w:rFonts w:ascii="Arial" w:cs="Arial" w:eastAsia="Arial" w:hAnsi="Arial"/>
                <w:sz w:val="18"/>
                <w:szCs w:val="18"/>
                <w:color w:val="auto"/>
              </w:rPr>
              <w:t>15.79</w:t>
            </w:r>
          </w:p>
        </w:tc>
        <w:tc>
          <w:tcPr>
            <w:tcW w:w="1580" w:type="dxa"/>
            <w:vAlign w:val="bottom"/>
            <w:gridSpan w:val="2"/>
          </w:tcPr>
          <w:p>
            <w:pPr>
              <w:jc w:val="right"/>
              <w:spacing w:after="0"/>
              <w:rPr>
                <w:sz w:val="20"/>
                <w:szCs w:val="20"/>
                <w:color w:val="auto"/>
              </w:rPr>
            </w:pPr>
            <w:r>
              <w:rPr>
                <w:rFonts w:ascii="Arial" w:cs="Arial" w:eastAsia="Arial" w:hAnsi="Arial"/>
                <w:sz w:val="18"/>
                <w:szCs w:val="18"/>
                <w:color w:val="auto"/>
              </w:rPr>
              <w:t>1.7%</w:t>
            </w:r>
          </w:p>
        </w:tc>
      </w:tr>
      <w:tr>
        <w:trPr>
          <w:trHeight w:val="270"/>
        </w:trPr>
        <w:tc>
          <w:tcPr>
            <w:tcW w:w="6740" w:type="dxa"/>
            <w:vAlign w:val="bottom"/>
            <w:shd w:val="clear" w:color="auto" w:fill="CCEEFF"/>
          </w:tcPr>
          <w:p>
            <w:pPr>
              <w:ind w:left="180"/>
              <w:spacing w:after="0"/>
              <w:rPr>
                <w:sz w:val="20"/>
                <w:szCs w:val="20"/>
                <w:color w:val="auto"/>
              </w:rPr>
            </w:pPr>
            <w:r>
              <w:rPr>
                <w:rFonts w:ascii="Arial" w:cs="Arial" w:eastAsia="Arial" w:hAnsi="Arial"/>
                <w:sz w:val="18"/>
                <w:szCs w:val="18"/>
                <w:color w:val="auto"/>
              </w:rPr>
              <w:t xml:space="preserve">Aircraft at end of period </w:t>
            </w:r>
            <w:r>
              <w:rPr>
                <w:rFonts w:ascii="Arial" w:cs="Arial" w:eastAsia="Arial" w:hAnsi="Arial"/>
                <w:sz w:val="21"/>
                <w:szCs w:val="21"/>
                <w:color w:val="auto"/>
                <w:vertAlign w:val="superscript"/>
              </w:rPr>
              <w:t>(g)</w:t>
            </w:r>
          </w:p>
        </w:tc>
        <w:tc>
          <w:tcPr>
            <w:tcW w:w="1500" w:type="dxa"/>
            <w:vAlign w:val="bottom"/>
            <w:shd w:val="clear" w:color="auto" w:fill="CCEEFF"/>
          </w:tcPr>
          <w:p>
            <w:pPr>
              <w:jc w:val="right"/>
              <w:ind w:right="33"/>
              <w:spacing w:after="0"/>
              <w:rPr>
                <w:sz w:val="20"/>
                <w:szCs w:val="20"/>
                <w:color w:val="auto"/>
              </w:rPr>
            </w:pPr>
            <w:r>
              <w:rPr>
                <w:rFonts w:ascii="Arial" w:cs="Arial" w:eastAsia="Arial" w:hAnsi="Arial"/>
                <w:sz w:val="18"/>
                <w:szCs w:val="18"/>
                <w:color w:val="auto"/>
              </w:rPr>
              <w:t>1,547</w:t>
            </w:r>
          </w:p>
        </w:tc>
        <w:tc>
          <w:tcPr>
            <w:tcW w:w="120" w:type="dxa"/>
            <w:vAlign w:val="bottom"/>
            <w:shd w:val="clear" w:color="auto" w:fill="CCEEFF"/>
          </w:tcPr>
          <w:p>
            <w:pPr>
              <w:spacing w:after="0"/>
              <w:rPr>
                <w:sz w:val="23"/>
                <w:szCs w:val="23"/>
                <w:color w:val="auto"/>
              </w:rPr>
            </w:pPr>
          </w:p>
        </w:tc>
        <w:tc>
          <w:tcPr>
            <w:tcW w:w="148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1,551</w:t>
            </w:r>
          </w:p>
        </w:tc>
        <w:tc>
          <w:tcPr>
            <w:tcW w:w="15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(0.3)%</w:t>
            </w:r>
          </w:p>
        </w:tc>
      </w:tr>
      <w:tr>
        <w:trPr>
          <w:trHeight w:val="263"/>
        </w:trPr>
        <w:tc>
          <w:tcPr>
            <w:tcW w:w="6740" w:type="dxa"/>
            <w:vAlign w:val="bottom"/>
          </w:tcPr>
          <w:p>
            <w:pPr>
              <w:ind w:left="180"/>
              <w:spacing w:after="0"/>
              <w:rPr>
                <w:sz w:val="20"/>
                <w:szCs w:val="20"/>
                <w:color w:val="auto"/>
              </w:rPr>
            </w:pPr>
            <w:r>
              <w:rPr>
                <w:rFonts w:ascii="Arial" w:cs="Arial" w:eastAsia="Arial" w:hAnsi="Arial"/>
                <w:sz w:val="18"/>
                <w:szCs w:val="18"/>
                <w:color w:val="auto"/>
              </w:rPr>
              <w:t>Fuel consumption (gallons in millions)</w:t>
            </w:r>
          </w:p>
        </w:tc>
        <w:tc>
          <w:tcPr>
            <w:tcW w:w="1500" w:type="dxa"/>
            <w:vAlign w:val="bottom"/>
          </w:tcPr>
          <w:p>
            <w:pPr>
              <w:jc w:val="right"/>
              <w:ind w:right="33"/>
              <w:spacing w:after="0"/>
              <w:rPr>
                <w:sz w:val="20"/>
                <w:szCs w:val="20"/>
                <w:color w:val="auto"/>
              </w:rPr>
            </w:pPr>
            <w:r>
              <w:rPr>
                <w:rFonts w:ascii="Arial" w:cs="Arial" w:eastAsia="Arial" w:hAnsi="Arial"/>
                <w:sz w:val="18"/>
                <w:szCs w:val="18"/>
                <w:color w:val="auto"/>
              </w:rPr>
              <w:t>4,537</w:t>
            </w:r>
          </w:p>
        </w:tc>
        <w:tc>
          <w:tcPr>
            <w:tcW w:w="120" w:type="dxa"/>
            <w:vAlign w:val="bottom"/>
          </w:tcPr>
          <w:p>
            <w:pPr>
              <w:spacing w:after="0"/>
              <w:rPr>
                <w:sz w:val="22"/>
                <w:szCs w:val="22"/>
                <w:color w:val="auto"/>
              </w:rPr>
            </w:pPr>
          </w:p>
        </w:tc>
        <w:tc>
          <w:tcPr>
            <w:tcW w:w="1480" w:type="dxa"/>
            <w:vAlign w:val="bottom"/>
          </w:tcPr>
          <w:p>
            <w:pPr>
              <w:jc w:val="right"/>
              <w:ind w:right="11"/>
              <w:spacing w:after="0"/>
              <w:rPr>
                <w:sz w:val="20"/>
                <w:szCs w:val="20"/>
                <w:color w:val="auto"/>
              </w:rPr>
            </w:pPr>
            <w:r>
              <w:rPr>
                <w:rFonts w:ascii="Arial" w:cs="Arial" w:eastAsia="Arial" w:hAnsi="Arial"/>
                <w:sz w:val="18"/>
                <w:szCs w:val="18"/>
                <w:color w:val="auto"/>
              </w:rPr>
              <w:t>4,447</w:t>
            </w:r>
          </w:p>
        </w:tc>
        <w:tc>
          <w:tcPr>
            <w:tcW w:w="1580" w:type="dxa"/>
            <w:vAlign w:val="bottom"/>
            <w:gridSpan w:val="2"/>
          </w:tcPr>
          <w:p>
            <w:pPr>
              <w:jc w:val="right"/>
              <w:spacing w:after="0"/>
              <w:rPr>
                <w:sz w:val="20"/>
                <w:szCs w:val="20"/>
                <w:color w:val="auto"/>
              </w:rPr>
            </w:pPr>
            <w:r>
              <w:rPr>
                <w:rFonts w:ascii="Arial" w:cs="Arial" w:eastAsia="Arial" w:hAnsi="Arial"/>
                <w:sz w:val="18"/>
                <w:szCs w:val="18"/>
                <w:color w:val="auto"/>
              </w:rPr>
              <w:t>2.0%</w:t>
            </w:r>
          </w:p>
        </w:tc>
      </w:tr>
      <w:tr>
        <w:trPr>
          <w:trHeight w:val="277"/>
        </w:trPr>
        <w:tc>
          <w:tcPr>
            <w:tcW w:w="6740" w:type="dxa"/>
            <w:vAlign w:val="bottom"/>
            <w:shd w:val="clear" w:color="auto" w:fill="CCEEFF"/>
          </w:tcPr>
          <w:p>
            <w:pPr>
              <w:ind w:left="180"/>
              <w:spacing w:after="0"/>
              <w:rPr>
                <w:sz w:val="20"/>
                <w:szCs w:val="20"/>
                <w:color w:val="auto"/>
              </w:rPr>
            </w:pPr>
            <w:r>
              <w:rPr>
                <w:rFonts w:ascii="Arial" w:cs="Arial" w:eastAsia="Arial" w:hAnsi="Arial"/>
                <w:sz w:val="18"/>
                <w:szCs w:val="18"/>
                <w:color w:val="auto"/>
              </w:rPr>
              <w:t>Average aircraft fuel price including related taxes (dollars per gallon)</w:t>
            </w:r>
          </w:p>
        </w:tc>
        <w:tc>
          <w:tcPr>
            <w:tcW w:w="1500" w:type="dxa"/>
            <w:vAlign w:val="bottom"/>
            <w:shd w:val="clear" w:color="auto" w:fill="CCEEFF"/>
          </w:tcPr>
          <w:p>
            <w:pPr>
              <w:jc w:val="right"/>
              <w:ind w:right="33"/>
              <w:spacing w:after="0"/>
              <w:rPr>
                <w:sz w:val="20"/>
                <w:szCs w:val="20"/>
                <w:color w:val="auto"/>
              </w:rPr>
            </w:pPr>
            <w:r>
              <w:rPr>
                <w:rFonts w:ascii="Arial" w:cs="Arial" w:eastAsia="Arial" w:hAnsi="Arial"/>
                <w:sz w:val="18"/>
                <w:szCs w:val="18"/>
                <w:color w:val="auto"/>
              </w:rPr>
              <w:t>2.07</w:t>
            </w:r>
          </w:p>
        </w:tc>
        <w:tc>
          <w:tcPr>
            <w:tcW w:w="120" w:type="dxa"/>
            <w:vAlign w:val="bottom"/>
            <w:shd w:val="clear" w:color="auto" w:fill="CCEEFF"/>
          </w:tcPr>
          <w:p>
            <w:pPr>
              <w:spacing w:after="0"/>
              <w:rPr>
                <w:sz w:val="24"/>
                <w:szCs w:val="24"/>
                <w:color w:val="auto"/>
              </w:rPr>
            </w:pPr>
          </w:p>
        </w:tc>
        <w:tc>
          <w:tcPr>
            <w:tcW w:w="148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2.23</w:t>
            </w:r>
          </w:p>
        </w:tc>
        <w:tc>
          <w:tcPr>
            <w:tcW w:w="15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(6.9)%</w:t>
            </w:r>
          </w:p>
        </w:tc>
      </w:tr>
      <w:tr>
        <w:trPr>
          <w:trHeight w:val="263"/>
        </w:trPr>
        <w:tc>
          <w:tcPr>
            <w:tcW w:w="6740" w:type="dxa"/>
            <w:vAlign w:val="bottom"/>
          </w:tcPr>
          <w:p>
            <w:pPr>
              <w:ind w:left="180"/>
              <w:spacing w:after="0"/>
              <w:rPr>
                <w:sz w:val="20"/>
                <w:szCs w:val="20"/>
                <w:color w:val="auto"/>
              </w:rPr>
            </w:pPr>
            <w:r>
              <w:rPr>
                <w:rFonts w:ascii="Arial" w:cs="Arial" w:eastAsia="Arial" w:hAnsi="Arial"/>
                <w:sz w:val="18"/>
                <w:szCs w:val="18"/>
                <w:color w:val="auto"/>
              </w:rPr>
              <w:t>Full-time equivalent employees at end of period</w:t>
            </w:r>
          </w:p>
        </w:tc>
        <w:tc>
          <w:tcPr>
            <w:tcW w:w="1500" w:type="dxa"/>
            <w:vAlign w:val="bottom"/>
          </w:tcPr>
          <w:p>
            <w:pPr>
              <w:jc w:val="right"/>
              <w:ind w:right="33"/>
              <w:spacing w:after="0"/>
              <w:rPr>
                <w:sz w:val="20"/>
                <w:szCs w:val="20"/>
                <w:color w:val="auto"/>
              </w:rPr>
            </w:pPr>
            <w:r>
              <w:rPr>
                <w:rFonts w:ascii="Arial" w:cs="Arial" w:eastAsia="Arial" w:hAnsi="Arial"/>
                <w:sz w:val="18"/>
                <w:szCs w:val="18"/>
                <w:color w:val="auto"/>
              </w:rPr>
              <w:t>133,700</w:t>
            </w:r>
          </w:p>
        </w:tc>
        <w:tc>
          <w:tcPr>
            <w:tcW w:w="120" w:type="dxa"/>
            <w:vAlign w:val="bottom"/>
          </w:tcPr>
          <w:p>
            <w:pPr>
              <w:spacing w:after="0"/>
              <w:rPr>
                <w:sz w:val="22"/>
                <w:szCs w:val="22"/>
                <w:color w:val="auto"/>
              </w:rPr>
            </w:pPr>
          </w:p>
        </w:tc>
        <w:tc>
          <w:tcPr>
            <w:tcW w:w="1480" w:type="dxa"/>
            <w:vAlign w:val="bottom"/>
          </w:tcPr>
          <w:p>
            <w:pPr>
              <w:jc w:val="right"/>
              <w:ind w:right="11"/>
              <w:spacing w:after="0"/>
              <w:rPr>
                <w:sz w:val="20"/>
                <w:szCs w:val="20"/>
                <w:color w:val="auto"/>
              </w:rPr>
            </w:pPr>
            <w:r>
              <w:rPr>
                <w:rFonts w:ascii="Arial" w:cs="Arial" w:eastAsia="Arial" w:hAnsi="Arial"/>
                <w:sz w:val="18"/>
                <w:szCs w:val="18"/>
                <w:color w:val="auto"/>
              </w:rPr>
              <w:t>128,900</w:t>
            </w:r>
          </w:p>
        </w:tc>
        <w:tc>
          <w:tcPr>
            <w:tcW w:w="1580" w:type="dxa"/>
            <w:vAlign w:val="bottom"/>
            <w:gridSpan w:val="2"/>
          </w:tcPr>
          <w:p>
            <w:pPr>
              <w:jc w:val="right"/>
              <w:spacing w:after="0"/>
              <w:rPr>
                <w:sz w:val="20"/>
                <w:szCs w:val="20"/>
                <w:color w:val="auto"/>
              </w:rPr>
            </w:pPr>
            <w:r>
              <w:rPr>
                <w:rFonts w:ascii="Arial" w:cs="Arial" w:eastAsia="Arial" w:hAnsi="Arial"/>
                <w:sz w:val="18"/>
                <w:szCs w:val="18"/>
                <w:color w:val="auto"/>
              </w:rPr>
              <w:t>3.7%</w:t>
            </w:r>
          </w:p>
        </w:tc>
      </w:tr>
      <w:tr>
        <w:trPr>
          <w:trHeight w:val="277"/>
        </w:trPr>
        <w:tc>
          <w:tcPr>
            <w:tcW w:w="6740" w:type="dxa"/>
            <w:vAlign w:val="bottom"/>
            <w:shd w:val="clear" w:color="auto" w:fill="CCEEFF"/>
          </w:tcPr>
          <w:p>
            <w:pPr>
              <w:ind w:left="180"/>
              <w:spacing w:after="0"/>
              <w:rPr>
                <w:sz w:val="20"/>
                <w:szCs w:val="20"/>
                <w:color w:val="auto"/>
              </w:rPr>
            </w:pPr>
            <w:r>
              <w:rPr>
                <w:rFonts w:ascii="Arial" w:cs="Arial" w:eastAsia="Arial" w:hAnsi="Arial"/>
                <w:sz w:val="18"/>
                <w:szCs w:val="18"/>
                <w:color w:val="auto"/>
              </w:rPr>
              <w:t xml:space="preserve">Operating cost per available seat mile (cents) </w:t>
            </w:r>
            <w:r>
              <w:rPr>
                <w:rFonts w:ascii="Arial" w:cs="Arial" w:eastAsia="Arial" w:hAnsi="Arial"/>
                <w:sz w:val="21"/>
                <w:szCs w:val="21"/>
                <w:color w:val="auto"/>
                <w:vertAlign w:val="superscript"/>
              </w:rPr>
              <w:t>(h)</w:t>
            </w:r>
          </w:p>
        </w:tc>
        <w:tc>
          <w:tcPr>
            <w:tcW w:w="1500" w:type="dxa"/>
            <w:vAlign w:val="bottom"/>
            <w:shd w:val="clear" w:color="auto" w:fill="CCEEFF"/>
          </w:tcPr>
          <w:p>
            <w:pPr>
              <w:jc w:val="right"/>
              <w:ind w:right="33"/>
              <w:spacing w:after="0"/>
              <w:rPr>
                <w:sz w:val="20"/>
                <w:szCs w:val="20"/>
                <w:color w:val="auto"/>
              </w:rPr>
            </w:pPr>
            <w:r>
              <w:rPr>
                <w:rFonts w:ascii="Arial" w:cs="Arial" w:eastAsia="Arial" w:hAnsi="Arial"/>
                <w:sz w:val="18"/>
                <w:szCs w:val="18"/>
                <w:color w:val="auto"/>
              </w:rPr>
              <w:t>14.98</w:t>
            </w:r>
          </w:p>
        </w:tc>
        <w:tc>
          <w:tcPr>
            <w:tcW w:w="120" w:type="dxa"/>
            <w:vAlign w:val="bottom"/>
            <w:shd w:val="clear" w:color="auto" w:fill="CCEEFF"/>
          </w:tcPr>
          <w:p>
            <w:pPr>
              <w:spacing w:after="0"/>
              <w:rPr>
                <w:sz w:val="24"/>
                <w:szCs w:val="24"/>
                <w:color w:val="auto"/>
              </w:rPr>
            </w:pPr>
          </w:p>
        </w:tc>
        <w:tc>
          <w:tcPr>
            <w:tcW w:w="148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14.85</w:t>
            </w:r>
          </w:p>
        </w:tc>
        <w:tc>
          <w:tcPr>
            <w:tcW w:w="15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0.9%</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163195</wp:posOffset>
            </wp:positionV>
            <wp:extent cx="1372235" cy="889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1372235" cy="8890"/>
                    </a:xfrm>
                    <a:prstGeom prst="rect">
                      <a:avLst/>
                    </a:prstGeom>
                    <a:noFill/>
                  </pic:spPr>
                </pic:pic>
              </a:graphicData>
            </a:graphic>
          </wp:anchor>
        </w:drawing>
      </w:r>
    </w:p>
    <w:p>
      <w:pPr>
        <w:sectPr>
          <w:pgSz w:w="11900" w:h="16838" w:orient="portrait"/>
          <w:cols w:equalWidth="0" w:num="1">
            <w:col w:w="11420"/>
          </w:cols>
          <w:pgMar w:left="240" w:top="792" w:right="239" w:bottom="1440" w:gutter="0" w:footer="0" w:header="0"/>
        </w:sectPr>
      </w:pPr>
    </w:p>
    <w:p>
      <w:pPr>
        <w:spacing w:after="0" w:line="348" w:lineRule="exact"/>
        <w:rPr>
          <w:sz w:val="20"/>
          <w:szCs w:val="20"/>
          <w:color w:val="auto"/>
        </w:rPr>
      </w:pPr>
    </w:p>
    <w:p>
      <w:pPr>
        <w:spacing w:after="0"/>
        <w:rPr>
          <w:sz w:val="20"/>
          <w:szCs w:val="20"/>
          <w:color w:val="auto"/>
        </w:rPr>
      </w:pPr>
      <w:r>
        <w:rPr>
          <w:rFonts w:ascii="Arial" w:cs="Arial" w:eastAsia="Arial" w:hAnsi="Arial"/>
          <w:sz w:val="11"/>
          <w:szCs w:val="11"/>
          <w:color w:val="auto"/>
        </w:rPr>
        <w:t>(a)</w:t>
      </w:r>
    </w:p>
    <w:p>
      <w:pPr>
        <w:spacing w:after="0" w:line="252" w:lineRule="exact"/>
        <w:rPr>
          <w:sz w:val="20"/>
          <w:szCs w:val="20"/>
          <w:color w:val="auto"/>
        </w:rPr>
      </w:pPr>
    </w:p>
    <w:p>
      <w:pPr>
        <w:spacing w:after="0"/>
        <w:rPr>
          <w:sz w:val="20"/>
          <w:szCs w:val="20"/>
          <w:color w:val="auto"/>
        </w:rPr>
      </w:pPr>
      <w:r>
        <w:rPr>
          <w:rFonts w:ascii="Arial" w:cs="Arial" w:eastAsia="Arial" w:hAnsi="Arial"/>
          <w:sz w:val="11"/>
          <w:szCs w:val="11"/>
          <w:color w:val="auto"/>
        </w:rPr>
        <w:t>(b)</w:t>
      </w:r>
    </w:p>
    <w:p>
      <w:pPr>
        <w:spacing w:after="0" w:line="252" w:lineRule="exact"/>
        <w:rPr>
          <w:sz w:val="20"/>
          <w:szCs w:val="20"/>
          <w:color w:val="auto"/>
        </w:rPr>
      </w:pPr>
    </w:p>
    <w:p>
      <w:pPr>
        <w:spacing w:after="0"/>
        <w:rPr>
          <w:sz w:val="20"/>
          <w:szCs w:val="20"/>
          <w:color w:val="auto"/>
        </w:rPr>
      </w:pPr>
      <w:r>
        <w:rPr>
          <w:rFonts w:ascii="Arial" w:cs="Arial" w:eastAsia="Arial" w:hAnsi="Arial"/>
          <w:sz w:val="11"/>
          <w:szCs w:val="11"/>
          <w:color w:val="auto"/>
        </w:rPr>
        <w:t>(c)</w:t>
      </w:r>
    </w:p>
    <w:p>
      <w:pPr>
        <w:spacing w:after="0" w:line="252" w:lineRule="exact"/>
        <w:rPr>
          <w:sz w:val="20"/>
          <w:szCs w:val="20"/>
          <w:color w:val="auto"/>
        </w:rPr>
      </w:pPr>
    </w:p>
    <w:p>
      <w:pPr>
        <w:spacing w:after="0"/>
        <w:rPr>
          <w:sz w:val="20"/>
          <w:szCs w:val="20"/>
          <w:color w:val="auto"/>
        </w:rPr>
      </w:pPr>
      <w:r>
        <w:rPr>
          <w:rFonts w:ascii="Arial" w:cs="Arial" w:eastAsia="Arial" w:hAnsi="Arial"/>
          <w:sz w:val="11"/>
          <w:szCs w:val="11"/>
          <w:color w:val="auto"/>
        </w:rPr>
        <w:t>(d)</w:t>
      </w:r>
    </w:p>
    <w:p>
      <w:pPr>
        <w:spacing w:after="0" w:line="252" w:lineRule="exact"/>
        <w:rPr>
          <w:sz w:val="20"/>
          <w:szCs w:val="20"/>
          <w:color w:val="auto"/>
        </w:rPr>
      </w:pPr>
    </w:p>
    <w:p>
      <w:pPr>
        <w:spacing w:after="0"/>
        <w:rPr>
          <w:sz w:val="20"/>
          <w:szCs w:val="20"/>
          <w:color w:val="auto"/>
        </w:rPr>
      </w:pPr>
      <w:r>
        <w:rPr>
          <w:rFonts w:ascii="Arial" w:cs="Arial" w:eastAsia="Arial" w:hAnsi="Arial"/>
          <w:sz w:val="11"/>
          <w:szCs w:val="11"/>
          <w:color w:val="auto"/>
        </w:rPr>
        <w:t>(e)</w:t>
      </w:r>
    </w:p>
    <w:p>
      <w:pPr>
        <w:spacing w:after="0" w:line="252" w:lineRule="exact"/>
        <w:rPr>
          <w:sz w:val="20"/>
          <w:szCs w:val="20"/>
          <w:color w:val="auto"/>
        </w:rPr>
      </w:pPr>
    </w:p>
    <w:p>
      <w:pPr>
        <w:spacing w:after="0"/>
        <w:rPr>
          <w:sz w:val="20"/>
          <w:szCs w:val="20"/>
          <w:color w:val="auto"/>
        </w:rPr>
      </w:pPr>
      <w:r>
        <w:rPr>
          <w:rFonts w:ascii="Arial" w:cs="Arial" w:eastAsia="Arial" w:hAnsi="Arial"/>
          <w:sz w:val="11"/>
          <w:szCs w:val="11"/>
          <w:color w:val="auto"/>
        </w:rPr>
        <w:t>(f)</w:t>
      </w:r>
    </w:p>
    <w:p>
      <w:pPr>
        <w:spacing w:after="0" w:line="252" w:lineRule="exact"/>
        <w:rPr>
          <w:sz w:val="20"/>
          <w:szCs w:val="20"/>
          <w:color w:val="auto"/>
        </w:rPr>
      </w:pPr>
    </w:p>
    <w:p>
      <w:pPr>
        <w:spacing w:after="0"/>
        <w:rPr>
          <w:sz w:val="20"/>
          <w:szCs w:val="20"/>
          <w:color w:val="auto"/>
        </w:rPr>
      </w:pPr>
      <w:r>
        <w:rPr>
          <w:rFonts w:ascii="Arial" w:cs="Arial" w:eastAsia="Arial" w:hAnsi="Arial"/>
          <w:sz w:val="11"/>
          <w:szCs w:val="11"/>
          <w:color w:val="auto"/>
        </w:rPr>
        <w:t>(g)</w:t>
      </w:r>
    </w:p>
    <w:p>
      <w:pPr>
        <w:spacing w:after="0" w:line="20" w:lineRule="exact"/>
        <w:rPr>
          <w:sz w:val="20"/>
          <w:szCs w:val="20"/>
          <w:color w:val="auto"/>
        </w:rPr>
      </w:pPr>
      <w:r>
        <w:rPr>
          <w:sz w:val="20"/>
          <w:szCs w:val="20"/>
          <w:color w:val="auto"/>
        </w:rPr>
        <w:br w:type="column"/>
      </w:r>
    </w:p>
    <w:p>
      <w:pPr>
        <w:spacing w:after="0" w:line="330" w:lineRule="exact"/>
        <w:rPr>
          <w:sz w:val="20"/>
          <w:szCs w:val="20"/>
          <w:color w:val="auto"/>
        </w:rPr>
      </w:pPr>
    </w:p>
    <w:p>
      <w:pPr>
        <w:spacing w:after="0"/>
        <w:rPr>
          <w:sz w:val="20"/>
          <w:szCs w:val="20"/>
          <w:color w:val="auto"/>
        </w:rPr>
      </w:pPr>
      <w:r>
        <w:rPr>
          <w:rFonts w:ascii="Arial" w:cs="Arial" w:eastAsia="Arial" w:hAnsi="Arial"/>
          <w:sz w:val="18"/>
          <w:szCs w:val="18"/>
          <w:color w:val="auto"/>
        </w:rPr>
        <w:t>Revenue passenger mile (RPM) – A basic measure of sales volume. One RPM represents one passenger flown one mile.</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color w:val="auto"/>
        </w:rPr>
        <w:t>Available seat mile (ASM) – A basic measure of production. One ASM represents one seat flown one mile.</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color w:val="auto"/>
        </w:rPr>
        <w:t>Passenger load factor – The percentage of available seats that are filled with revenue passengers.</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color w:val="auto"/>
        </w:rPr>
        <w:t>Yield – A measure of airline revenue derived by dividing passenger revenue by RPMs.</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color w:val="auto"/>
        </w:rPr>
        <w:t>Passenger revenue per available seat mile (PRASM) – Passenger revenue divided by ASMs.</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color w:val="auto"/>
        </w:rPr>
        <w:t>Total revenue per available seat mile (TRASM) – Total revenues divided by ASMs.</w:t>
      </w:r>
    </w:p>
    <w:p>
      <w:pPr>
        <w:spacing w:after="0" w:line="171" w:lineRule="exact"/>
        <w:rPr>
          <w:sz w:val="20"/>
          <w:szCs w:val="20"/>
          <w:color w:val="auto"/>
        </w:rPr>
      </w:pPr>
    </w:p>
    <w:p>
      <w:pPr>
        <w:spacing w:after="0" w:line="262" w:lineRule="auto"/>
        <w:rPr>
          <w:sz w:val="20"/>
          <w:szCs w:val="20"/>
          <w:color w:val="auto"/>
        </w:rPr>
      </w:pPr>
      <w:r>
        <w:rPr>
          <w:rFonts w:ascii="Arial" w:cs="Arial" w:eastAsia="Arial" w:hAnsi="Arial"/>
          <w:sz w:val="18"/>
          <w:szCs w:val="18"/>
          <w:color w:val="auto"/>
        </w:rPr>
        <w:t>Includes aircraft owned and leased by American as well as aircraft operated by third-party regional carriers under capacity purchase agreements. Excludes 12 Embraer E140 regional aircraft that are in temporary storage.</w:t>
      </w:r>
    </w:p>
    <w:p>
      <w:pPr>
        <w:spacing w:after="0" w:line="106" w:lineRule="exact"/>
        <w:rPr>
          <w:sz w:val="20"/>
          <w:szCs w:val="20"/>
          <w:color w:val="auto"/>
        </w:rPr>
      </w:pPr>
    </w:p>
    <w:p>
      <w:pPr>
        <w:sectPr>
          <w:pgSz w:w="11900" w:h="16838" w:orient="portrait"/>
          <w:cols w:equalWidth="0" w:num="2">
            <w:col w:w="140" w:space="520"/>
            <w:col w:w="10760"/>
          </w:cols>
          <w:pgMar w:left="240" w:top="792" w:right="239" w:bottom="1440" w:gutter="0" w:footer="0" w:header="0"/>
          <w:type w:val="continuous"/>
        </w:sectPr>
      </w:pPr>
    </w:p>
    <w:p>
      <w:pPr>
        <w:ind w:left="660" w:hanging="652"/>
        <w:spacing w:after="0"/>
        <w:tabs>
          <w:tab w:leader="none" w:pos="660" w:val="left"/>
        </w:tabs>
        <w:numPr>
          <w:ilvl w:val="0"/>
          <w:numId w:val="22"/>
        </w:numPr>
        <w:rPr>
          <w:rFonts w:ascii="Arial" w:cs="Arial" w:eastAsia="Arial" w:hAnsi="Arial"/>
          <w:sz w:val="22"/>
          <w:szCs w:val="22"/>
          <w:color w:val="auto"/>
          <w:vertAlign w:val="superscript"/>
        </w:rPr>
      </w:pPr>
      <w:r>
        <w:rPr>
          <w:rFonts w:ascii="Arial" w:cs="Arial" w:eastAsia="Arial" w:hAnsi="Arial"/>
          <w:sz w:val="18"/>
          <w:szCs w:val="18"/>
          <w:color w:val="auto"/>
        </w:rPr>
        <w:t>Operating cost per available seat mile (CASM) – Operating expenses divided by ASMs.</w:t>
      </w:r>
    </w:p>
    <w:p>
      <w:pPr>
        <w:spacing w:after="0" w:line="22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Results of Operations – 2019 Compared to 2018</w:t>
      </w:r>
    </w:p>
    <w:p>
      <w:pPr>
        <w:spacing w:after="0" w:line="94" w:lineRule="exact"/>
        <w:rPr>
          <w:sz w:val="20"/>
          <w:szCs w:val="20"/>
          <w:color w:val="auto"/>
        </w:rPr>
      </w:pPr>
    </w:p>
    <w:p>
      <w:pPr>
        <w:ind w:left="260"/>
        <w:spacing w:after="0"/>
        <w:rPr>
          <w:sz w:val="20"/>
          <w:szCs w:val="20"/>
          <w:color w:val="auto"/>
        </w:rPr>
      </w:pPr>
      <w:r>
        <w:rPr>
          <w:rFonts w:ascii="Arial" w:cs="Arial" w:eastAsia="Arial" w:hAnsi="Arial"/>
          <w:sz w:val="18"/>
          <w:szCs w:val="18"/>
          <w:i w:val="1"/>
          <w:iCs w:val="1"/>
          <w:u w:val="single" w:color="auto"/>
          <w:color w:val="auto"/>
        </w:rPr>
        <w:t>Operating Revenues</w:t>
      </w:r>
    </w:p>
    <w:p>
      <w:pPr>
        <w:spacing w:after="0" w:line="352" w:lineRule="exact"/>
        <w:rPr>
          <w:sz w:val="20"/>
          <w:szCs w:val="20"/>
          <w:color w:val="auto"/>
        </w:rPr>
      </w:pPr>
    </w:p>
    <w:tbl>
      <w:tblPr>
        <w:tblLayout w:type="fixed"/>
        <w:tblInd w:w="0" w:type="dxa"/>
        <w:tblCellMar>
          <w:top w:w="0" w:type="dxa"/>
          <w:left w:w="0" w:type="dxa"/>
          <w:bottom w:w="0" w:type="dxa"/>
          <w:right w:w="0" w:type="dxa"/>
        </w:tblCellMar>
      </w:tblPr>
      <w:tr>
        <w:trPr>
          <w:trHeight w:val="189"/>
        </w:trPr>
        <w:tc>
          <w:tcPr>
            <w:tcW w:w="516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2920" w:type="dxa"/>
            <w:vAlign w:val="bottom"/>
            <w:gridSpan w:val="5"/>
          </w:tcPr>
          <w:p>
            <w:pPr>
              <w:ind w:left="400"/>
              <w:spacing w:after="0"/>
              <w:rPr>
                <w:sz w:val="20"/>
                <w:szCs w:val="20"/>
                <w:color w:val="auto"/>
              </w:rPr>
            </w:pPr>
            <w:r>
              <w:rPr>
                <w:rFonts w:ascii="Arial" w:cs="Arial" w:eastAsia="Arial" w:hAnsi="Arial"/>
                <w:sz w:val="14"/>
                <w:szCs w:val="14"/>
                <w:b w:val="1"/>
                <w:bCs w:val="1"/>
                <w:color w:val="auto"/>
              </w:rPr>
              <w:t>Year Ended December 31,</w:t>
            </w:r>
          </w:p>
        </w:tc>
        <w:tc>
          <w:tcPr>
            <w:tcW w:w="240" w:type="dxa"/>
            <w:vAlign w:val="bottom"/>
          </w:tcPr>
          <w:p>
            <w:pPr>
              <w:spacing w:after="0"/>
              <w:rPr>
                <w:sz w:val="16"/>
                <w:szCs w:val="16"/>
                <w:color w:val="auto"/>
              </w:rPr>
            </w:pPr>
          </w:p>
        </w:tc>
        <w:tc>
          <w:tcPr>
            <w:tcW w:w="1240" w:type="dxa"/>
            <w:vAlign w:val="bottom"/>
          </w:tcPr>
          <w:p>
            <w:pPr>
              <w:spacing w:after="0"/>
              <w:rPr>
                <w:sz w:val="16"/>
                <w:szCs w:val="16"/>
                <w:color w:val="auto"/>
              </w:rPr>
            </w:pPr>
          </w:p>
        </w:tc>
        <w:tc>
          <w:tcPr>
            <w:tcW w:w="1580" w:type="dxa"/>
            <w:vAlign w:val="bottom"/>
          </w:tcPr>
          <w:p>
            <w:pPr>
              <w:jc w:val="center"/>
              <w:ind w:left="18"/>
              <w:spacing w:after="0"/>
              <w:rPr>
                <w:sz w:val="20"/>
                <w:szCs w:val="20"/>
                <w:color w:val="auto"/>
              </w:rPr>
            </w:pPr>
            <w:r>
              <w:rPr>
                <w:rFonts w:ascii="Arial" w:cs="Arial" w:eastAsia="Arial" w:hAnsi="Arial"/>
                <w:sz w:val="14"/>
                <w:szCs w:val="14"/>
                <w:b w:val="1"/>
                <w:bCs w:val="1"/>
                <w:color w:val="auto"/>
              </w:rPr>
              <w:t>Percent</w:t>
            </w:r>
          </w:p>
        </w:tc>
        <w:tc>
          <w:tcPr>
            <w:tcW w:w="0" w:type="dxa"/>
            <w:vAlign w:val="bottom"/>
          </w:tcPr>
          <w:p>
            <w:pPr>
              <w:spacing w:after="0"/>
              <w:rPr>
                <w:sz w:val="1"/>
                <w:szCs w:val="1"/>
                <w:color w:val="auto"/>
              </w:rPr>
            </w:pPr>
          </w:p>
        </w:tc>
      </w:tr>
      <w:tr>
        <w:trPr>
          <w:trHeight w:val="54"/>
        </w:trPr>
        <w:tc>
          <w:tcPr>
            <w:tcW w:w="5160" w:type="dxa"/>
            <w:vAlign w:val="bottom"/>
          </w:tcPr>
          <w:p>
            <w:pPr>
              <w:spacing w:after="0"/>
              <w:rPr>
                <w:sz w:val="4"/>
                <w:szCs w:val="4"/>
                <w:color w:val="auto"/>
              </w:rPr>
            </w:pPr>
          </w:p>
        </w:tc>
        <w:tc>
          <w:tcPr>
            <w:tcW w:w="280" w:type="dxa"/>
            <w:vAlign w:val="bottom"/>
            <w:tcBorders>
              <w:bottom w:val="single" w:sz="8" w:color="auto"/>
            </w:tcBorders>
          </w:tcPr>
          <w:p>
            <w:pPr>
              <w:spacing w:after="0"/>
              <w:rPr>
                <w:sz w:val="4"/>
                <w:szCs w:val="4"/>
                <w:color w:val="auto"/>
              </w:rPr>
            </w:pPr>
          </w:p>
        </w:tc>
        <w:tc>
          <w:tcPr>
            <w:tcW w:w="1220" w:type="dxa"/>
            <w:vAlign w:val="bottom"/>
            <w:tcBorders>
              <w:bottom w:val="single" w:sz="8" w:color="auto"/>
            </w:tcBorders>
          </w:tcPr>
          <w:p>
            <w:pPr>
              <w:spacing w:after="0"/>
              <w:rPr>
                <w:sz w:val="4"/>
                <w:szCs w:val="4"/>
                <w:color w:val="auto"/>
              </w:rPr>
            </w:pPr>
          </w:p>
        </w:tc>
        <w:tc>
          <w:tcPr>
            <w:tcW w:w="100" w:type="dxa"/>
            <w:vAlign w:val="bottom"/>
            <w:tcBorders>
              <w:bottom w:val="single" w:sz="8" w:color="auto"/>
            </w:tcBorders>
          </w:tcPr>
          <w:p>
            <w:pPr>
              <w:spacing w:after="0"/>
              <w:rPr>
                <w:sz w:val="4"/>
                <w:szCs w:val="4"/>
                <w:color w:val="auto"/>
              </w:rPr>
            </w:pPr>
          </w:p>
        </w:tc>
        <w:tc>
          <w:tcPr>
            <w:tcW w:w="140" w:type="dxa"/>
            <w:vAlign w:val="bottom"/>
            <w:tcBorders>
              <w:bottom w:val="single" w:sz="8" w:color="auto"/>
            </w:tcBorders>
          </w:tcPr>
          <w:p>
            <w:pPr>
              <w:spacing w:after="0"/>
              <w:rPr>
                <w:sz w:val="4"/>
                <w:szCs w:val="4"/>
                <w:color w:val="auto"/>
              </w:rPr>
            </w:pPr>
          </w:p>
        </w:tc>
        <w:tc>
          <w:tcPr>
            <w:tcW w:w="1340" w:type="dxa"/>
            <w:vAlign w:val="bottom"/>
            <w:tcBorders>
              <w:bottom w:val="single" w:sz="8" w:color="auto"/>
            </w:tcBorders>
          </w:tcPr>
          <w:p>
            <w:pPr>
              <w:spacing w:after="0"/>
              <w:rPr>
                <w:sz w:val="4"/>
                <w:szCs w:val="4"/>
                <w:color w:val="auto"/>
              </w:rPr>
            </w:pPr>
          </w:p>
        </w:tc>
        <w:tc>
          <w:tcPr>
            <w:tcW w:w="120" w:type="dxa"/>
            <w:vAlign w:val="bottom"/>
          </w:tcPr>
          <w:p>
            <w:pPr>
              <w:spacing w:after="0"/>
              <w:rPr>
                <w:sz w:val="4"/>
                <w:szCs w:val="4"/>
                <w:color w:val="auto"/>
              </w:rPr>
            </w:pPr>
          </w:p>
        </w:tc>
        <w:tc>
          <w:tcPr>
            <w:tcW w:w="240" w:type="dxa"/>
            <w:vAlign w:val="bottom"/>
          </w:tcPr>
          <w:p>
            <w:pPr>
              <w:spacing w:after="0"/>
              <w:rPr>
                <w:sz w:val="4"/>
                <w:szCs w:val="4"/>
                <w:color w:val="auto"/>
              </w:rPr>
            </w:pPr>
          </w:p>
        </w:tc>
        <w:tc>
          <w:tcPr>
            <w:tcW w:w="1240" w:type="dxa"/>
            <w:vAlign w:val="bottom"/>
            <w:vMerge w:val="restart"/>
          </w:tcPr>
          <w:p>
            <w:pPr>
              <w:jc w:val="right"/>
              <w:ind w:right="376"/>
              <w:spacing w:after="0" w:line="135" w:lineRule="exact"/>
              <w:rPr>
                <w:sz w:val="20"/>
                <w:szCs w:val="20"/>
                <w:color w:val="auto"/>
              </w:rPr>
            </w:pPr>
            <w:r>
              <w:rPr>
                <w:rFonts w:ascii="Arial" w:cs="Arial" w:eastAsia="Arial" w:hAnsi="Arial"/>
                <w:sz w:val="14"/>
                <w:szCs w:val="14"/>
                <w:b w:val="1"/>
                <w:bCs w:val="1"/>
                <w:color w:val="auto"/>
              </w:rPr>
              <w:t>Increase</w:t>
            </w:r>
          </w:p>
        </w:tc>
        <w:tc>
          <w:tcPr>
            <w:tcW w:w="1580" w:type="dxa"/>
            <w:vAlign w:val="bottom"/>
            <w:vMerge w:val="restart"/>
          </w:tcPr>
          <w:p>
            <w:pPr>
              <w:jc w:val="center"/>
              <w:ind w:left="38"/>
              <w:spacing w:after="0" w:line="135" w:lineRule="exact"/>
              <w:rPr>
                <w:sz w:val="20"/>
                <w:szCs w:val="20"/>
                <w:color w:val="auto"/>
              </w:rPr>
            </w:pPr>
            <w:r>
              <w:rPr>
                <w:rFonts w:ascii="Arial" w:cs="Arial" w:eastAsia="Arial" w:hAnsi="Arial"/>
                <w:sz w:val="14"/>
                <w:szCs w:val="14"/>
                <w:b w:val="1"/>
                <w:bCs w:val="1"/>
                <w:color w:val="auto"/>
              </w:rPr>
              <w:t>Increase</w:t>
            </w:r>
          </w:p>
        </w:tc>
        <w:tc>
          <w:tcPr>
            <w:tcW w:w="0" w:type="dxa"/>
            <w:vAlign w:val="bottom"/>
          </w:tcPr>
          <w:p>
            <w:pPr>
              <w:spacing w:after="0"/>
              <w:rPr>
                <w:sz w:val="1"/>
                <w:szCs w:val="1"/>
                <w:color w:val="auto"/>
              </w:rPr>
            </w:pPr>
          </w:p>
        </w:tc>
      </w:tr>
      <w:tr>
        <w:trPr>
          <w:trHeight w:val="61"/>
        </w:trPr>
        <w:tc>
          <w:tcPr>
            <w:tcW w:w="5160" w:type="dxa"/>
            <w:vAlign w:val="bottom"/>
          </w:tcPr>
          <w:p>
            <w:pPr>
              <w:spacing w:after="0"/>
              <w:rPr>
                <w:sz w:val="5"/>
                <w:szCs w:val="5"/>
                <w:color w:val="auto"/>
              </w:rPr>
            </w:pPr>
          </w:p>
        </w:tc>
        <w:tc>
          <w:tcPr>
            <w:tcW w:w="280" w:type="dxa"/>
            <w:vAlign w:val="bottom"/>
          </w:tcPr>
          <w:p>
            <w:pPr>
              <w:spacing w:after="0"/>
              <w:rPr>
                <w:sz w:val="5"/>
                <w:szCs w:val="5"/>
                <w:color w:val="auto"/>
              </w:rPr>
            </w:pPr>
          </w:p>
        </w:tc>
        <w:tc>
          <w:tcPr>
            <w:tcW w:w="1220" w:type="dxa"/>
            <w:vAlign w:val="bottom"/>
          </w:tcPr>
          <w:p>
            <w:pPr>
              <w:spacing w:after="0"/>
              <w:rPr>
                <w:sz w:val="5"/>
                <w:szCs w:val="5"/>
                <w:color w:val="auto"/>
              </w:rPr>
            </w:pPr>
          </w:p>
        </w:tc>
        <w:tc>
          <w:tcPr>
            <w:tcW w:w="100" w:type="dxa"/>
            <w:vAlign w:val="bottom"/>
          </w:tcPr>
          <w:p>
            <w:pPr>
              <w:spacing w:after="0"/>
              <w:rPr>
                <w:sz w:val="5"/>
                <w:szCs w:val="5"/>
                <w:color w:val="auto"/>
              </w:rPr>
            </w:pPr>
          </w:p>
        </w:tc>
        <w:tc>
          <w:tcPr>
            <w:tcW w:w="140" w:type="dxa"/>
            <w:vAlign w:val="bottom"/>
          </w:tcPr>
          <w:p>
            <w:pPr>
              <w:spacing w:after="0"/>
              <w:rPr>
                <w:sz w:val="5"/>
                <w:szCs w:val="5"/>
                <w:color w:val="auto"/>
              </w:rPr>
            </w:pPr>
          </w:p>
        </w:tc>
        <w:tc>
          <w:tcPr>
            <w:tcW w:w="1340" w:type="dxa"/>
            <w:vAlign w:val="bottom"/>
          </w:tcPr>
          <w:p>
            <w:pPr>
              <w:spacing w:after="0"/>
              <w:rPr>
                <w:sz w:val="5"/>
                <w:szCs w:val="5"/>
                <w:color w:val="auto"/>
              </w:rPr>
            </w:pPr>
          </w:p>
        </w:tc>
        <w:tc>
          <w:tcPr>
            <w:tcW w:w="120" w:type="dxa"/>
            <w:vAlign w:val="bottom"/>
          </w:tcPr>
          <w:p>
            <w:pPr>
              <w:spacing w:after="0"/>
              <w:rPr>
                <w:sz w:val="5"/>
                <w:szCs w:val="5"/>
                <w:color w:val="auto"/>
              </w:rPr>
            </w:pPr>
          </w:p>
        </w:tc>
        <w:tc>
          <w:tcPr>
            <w:tcW w:w="240" w:type="dxa"/>
            <w:vAlign w:val="bottom"/>
          </w:tcPr>
          <w:p>
            <w:pPr>
              <w:spacing w:after="0"/>
              <w:rPr>
                <w:sz w:val="5"/>
                <w:szCs w:val="5"/>
                <w:color w:val="auto"/>
              </w:rPr>
            </w:pPr>
          </w:p>
        </w:tc>
        <w:tc>
          <w:tcPr>
            <w:tcW w:w="1240" w:type="dxa"/>
            <w:vAlign w:val="bottom"/>
            <w:vMerge w:val="continue"/>
          </w:tcPr>
          <w:p>
            <w:pPr>
              <w:spacing w:after="0"/>
              <w:rPr>
                <w:sz w:val="5"/>
                <w:szCs w:val="5"/>
                <w:color w:val="auto"/>
              </w:rPr>
            </w:pPr>
          </w:p>
        </w:tc>
        <w:tc>
          <w:tcPr>
            <w:tcW w:w="158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96"/>
        </w:trPr>
        <w:tc>
          <w:tcPr>
            <w:tcW w:w="5160" w:type="dxa"/>
            <w:vAlign w:val="bottom"/>
          </w:tcPr>
          <w:p>
            <w:pPr>
              <w:spacing w:after="0"/>
              <w:rPr>
                <w:sz w:val="17"/>
                <w:szCs w:val="17"/>
                <w:color w:val="auto"/>
              </w:rPr>
            </w:pPr>
          </w:p>
        </w:tc>
        <w:tc>
          <w:tcPr>
            <w:tcW w:w="280" w:type="dxa"/>
            <w:vAlign w:val="bottom"/>
            <w:tcBorders>
              <w:bottom w:val="single" w:sz="8" w:color="auto"/>
            </w:tcBorders>
          </w:tcPr>
          <w:p>
            <w:pPr>
              <w:spacing w:after="0"/>
              <w:rPr>
                <w:sz w:val="17"/>
                <w:szCs w:val="17"/>
                <w:color w:val="auto"/>
              </w:rPr>
            </w:pPr>
          </w:p>
        </w:tc>
        <w:tc>
          <w:tcPr>
            <w:tcW w:w="1220" w:type="dxa"/>
            <w:vAlign w:val="bottom"/>
            <w:tcBorders>
              <w:bottom w:val="single" w:sz="8" w:color="auto"/>
            </w:tcBorders>
          </w:tcPr>
          <w:p>
            <w:pPr>
              <w:jc w:val="right"/>
              <w:ind w:right="515"/>
              <w:spacing w:after="0"/>
              <w:rPr>
                <w:sz w:val="20"/>
                <w:szCs w:val="20"/>
                <w:color w:val="auto"/>
              </w:rPr>
            </w:pPr>
            <w:r>
              <w:rPr>
                <w:rFonts w:ascii="Arial" w:cs="Arial" w:eastAsia="Arial" w:hAnsi="Arial"/>
                <w:sz w:val="14"/>
                <w:szCs w:val="14"/>
                <w:b w:val="1"/>
                <w:bCs w:val="1"/>
                <w:color w:val="auto"/>
              </w:rPr>
              <w:t>2019</w:t>
            </w:r>
          </w:p>
        </w:tc>
        <w:tc>
          <w:tcPr>
            <w:tcW w:w="100" w:type="dxa"/>
            <w:vAlign w:val="bottom"/>
            <w:tcBorders>
              <w:bottom w:val="single" w:sz="8" w:color="auto"/>
            </w:tcBorders>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1340" w:type="dxa"/>
            <w:vAlign w:val="bottom"/>
            <w:tcBorders>
              <w:bottom w:val="single" w:sz="8" w:color="auto"/>
            </w:tcBorders>
          </w:tcPr>
          <w:p>
            <w:pPr>
              <w:jc w:val="right"/>
              <w:ind w:right="496"/>
              <w:spacing w:after="0"/>
              <w:rPr>
                <w:sz w:val="20"/>
                <w:szCs w:val="20"/>
                <w:color w:val="auto"/>
              </w:rPr>
            </w:pPr>
            <w:r>
              <w:rPr>
                <w:rFonts w:ascii="Arial" w:cs="Arial" w:eastAsia="Arial" w:hAnsi="Arial"/>
                <w:sz w:val="14"/>
                <w:szCs w:val="14"/>
                <w:b w:val="1"/>
                <w:bCs w:val="1"/>
                <w:color w:val="auto"/>
              </w:rPr>
              <w:t>2018</w:t>
            </w:r>
          </w:p>
        </w:tc>
        <w:tc>
          <w:tcPr>
            <w:tcW w:w="120" w:type="dxa"/>
            <w:vAlign w:val="bottom"/>
            <w:tcBorders>
              <w:bottom w:val="single" w:sz="8" w:color="auto"/>
            </w:tcBorders>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1240" w:type="dxa"/>
            <w:vAlign w:val="bottom"/>
            <w:tcBorders>
              <w:bottom w:val="single" w:sz="8" w:color="auto"/>
            </w:tcBorders>
          </w:tcPr>
          <w:p>
            <w:pPr>
              <w:jc w:val="right"/>
              <w:ind w:right="296"/>
              <w:spacing w:after="0"/>
              <w:rPr>
                <w:sz w:val="20"/>
                <w:szCs w:val="20"/>
                <w:color w:val="auto"/>
              </w:rPr>
            </w:pPr>
            <w:r>
              <w:rPr>
                <w:rFonts w:ascii="Arial" w:cs="Arial" w:eastAsia="Arial" w:hAnsi="Arial"/>
                <w:sz w:val="14"/>
                <w:szCs w:val="14"/>
                <w:b w:val="1"/>
                <w:bCs w:val="1"/>
                <w:color w:val="auto"/>
              </w:rPr>
              <w:t>(Decrease)</w:t>
            </w:r>
          </w:p>
        </w:tc>
        <w:tc>
          <w:tcPr>
            <w:tcW w:w="1580" w:type="dxa"/>
            <w:vAlign w:val="bottom"/>
            <w:tcBorders>
              <w:bottom w:val="single" w:sz="8" w:color="auto"/>
            </w:tcBorders>
          </w:tcPr>
          <w:p>
            <w:pPr>
              <w:jc w:val="center"/>
              <w:ind w:left="38"/>
              <w:spacing w:after="0"/>
              <w:rPr>
                <w:sz w:val="20"/>
                <w:szCs w:val="20"/>
                <w:color w:val="auto"/>
              </w:rPr>
            </w:pPr>
            <w:r>
              <w:rPr>
                <w:rFonts w:ascii="Arial" w:cs="Arial" w:eastAsia="Arial" w:hAnsi="Arial"/>
                <w:sz w:val="14"/>
                <w:szCs w:val="14"/>
                <w:b w:val="1"/>
                <w:bCs w:val="1"/>
                <w:color w:val="auto"/>
              </w:rPr>
              <w:t>(Decrease)</w:t>
            </w:r>
          </w:p>
        </w:tc>
        <w:tc>
          <w:tcPr>
            <w:tcW w:w="0" w:type="dxa"/>
            <w:vAlign w:val="bottom"/>
          </w:tcPr>
          <w:p>
            <w:pPr>
              <w:spacing w:after="0"/>
              <w:rPr>
                <w:sz w:val="1"/>
                <w:szCs w:val="1"/>
                <w:color w:val="auto"/>
              </w:rPr>
            </w:pPr>
          </w:p>
        </w:tc>
      </w:tr>
      <w:tr>
        <w:trPr>
          <w:trHeight w:val="210"/>
        </w:trPr>
        <w:tc>
          <w:tcPr>
            <w:tcW w:w="51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940" w:type="dxa"/>
            <w:vAlign w:val="bottom"/>
            <w:gridSpan w:val="4"/>
          </w:tcPr>
          <w:p>
            <w:pPr>
              <w:jc w:val="right"/>
              <w:ind w:right="76"/>
              <w:spacing w:after="0"/>
              <w:rPr>
                <w:sz w:val="20"/>
                <w:szCs w:val="20"/>
                <w:color w:val="auto"/>
              </w:rPr>
            </w:pPr>
            <w:r>
              <w:rPr>
                <w:rFonts w:ascii="Arial" w:cs="Arial" w:eastAsia="Arial" w:hAnsi="Arial"/>
                <w:sz w:val="14"/>
                <w:szCs w:val="14"/>
                <w:b w:val="1"/>
                <w:bCs w:val="1"/>
                <w:color w:val="auto"/>
              </w:rPr>
              <w:t>(In millions, except percentage changes)</w:t>
            </w:r>
          </w:p>
        </w:tc>
        <w:tc>
          <w:tcPr>
            <w:tcW w:w="15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6"/>
        </w:trPr>
        <w:tc>
          <w:tcPr>
            <w:tcW w:w="5160" w:type="dxa"/>
            <w:vAlign w:val="bottom"/>
            <w:shd w:val="clear" w:color="auto" w:fill="CCEEFF"/>
          </w:tcPr>
          <w:p>
            <w:pPr>
              <w:ind w:left="40"/>
              <w:spacing w:after="0"/>
              <w:rPr>
                <w:sz w:val="20"/>
                <w:szCs w:val="20"/>
                <w:color w:val="auto"/>
              </w:rPr>
            </w:pPr>
            <w:r>
              <w:rPr>
                <w:rFonts w:ascii="Arial" w:cs="Arial" w:eastAsia="Arial" w:hAnsi="Arial"/>
                <w:sz w:val="18"/>
                <w:szCs w:val="18"/>
                <w:color w:val="auto"/>
              </w:rPr>
              <w:t>Passenger</w:t>
            </w:r>
          </w:p>
        </w:tc>
        <w:tc>
          <w:tcPr>
            <w:tcW w:w="28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220" w:type="dxa"/>
            <w:vAlign w:val="bottom"/>
            <w:shd w:val="clear" w:color="auto" w:fill="CCEEFF"/>
          </w:tcPr>
          <w:p>
            <w:pPr>
              <w:jc w:val="right"/>
              <w:ind w:right="35"/>
              <w:spacing w:after="0"/>
              <w:rPr>
                <w:sz w:val="20"/>
                <w:szCs w:val="20"/>
                <w:color w:val="auto"/>
              </w:rPr>
            </w:pPr>
            <w:r>
              <w:rPr>
                <w:rFonts w:ascii="Arial" w:cs="Arial" w:eastAsia="Arial" w:hAnsi="Arial"/>
                <w:sz w:val="18"/>
                <w:szCs w:val="18"/>
                <w:color w:val="auto"/>
              </w:rPr>
              <w:t>42,010</w:t>
            </w:r>
          </w:p>
        </w:tc>
        <w:tc>
          <w:tcPr>
            <w:tcW w:w="100" w:type="dxa"/>
            <w:vAlign w:val="bottom"/>
            <w:shd w:val="clear" w:color="auto" w:fill="CCEEFF"/>
          </w:tcPr>
          <w:p>
            <w:pPr>
              <w:spacing w:after="0"/>
              <w:rPr>
                <w:sz w:val="24"/>
                <w:szCs w:val="24"/>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40" w:type="dxa"/>
            <w:vAlign w:val="bottom"/>
            <w:shd w:val="clear" w:color="auto" w:fill="CCEEFF"/>
          </w:tcPr>
          <w:p>
            <w:pPr>
              <w:jc w:val="right"/>
              <w:ind w:right="16"/>
              <w:spacing w:after="0"/>
              <w:rPr>
                <w:sz w:val="20"/>
                <w:szCs w:val="20"/>
                <w:color w:val="auto"/>
              </w:rPr>
            </w:pPr>
            <w:r>
              <w:rPr>
                <w:rFonts w:ascii="Arial" w:cs="Arial" w:eastAsia="Arial" w:hAnsi="Arial"/>
                <w:sz w:val="18"/>
                <w:szCs w:val="18"/>
                <w:color w:val="auto"/>
              </w:rPr>
              <w:t>40,676</w:t>
            </w:r>
          </w:p>
        </w:tc>
        <w:tc>
          <w:tcPr>
            <w:tcW w:w="120" w:type="dxa"/>
            <w:vAlign w:val="bottom"/>
            <w:shd w:val="clear" w:color="auto" w:fill="CCEEFF"/>
          </w:tcPr>
          <w:p>
            <w:pPr>
              <w:spacing w:after="0"/>
              <w:rPr>
                <w:sz w:val="24"/>
                <w:szCs w:val="24"/>
                <w:color w:val="auto"/>
              </w:rPr>
            </w:pPr>
          </w:p>
        </w:tc>
        <w:tc>
          <w:tcPr>
            <w:tcW w:w="24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240" w:type="dxa"/>
            <w:vAlign w:val="bottom"/>
            <w:shd w:val="clear" w:color="auto" w:fill="CCEEFF"/>
          </w:tcPr>
          <w:p>
            <w:pPr>
              <w:jc w:val="right"/>
              <w:ind w:right="16"/>
              <w:spacing w:after="0"/>
              <w:rPr>
                <w:sz w:val="20"/>
                <w:szCs w:val="20"/>
                <w:color w:val="auto"/>
              </w:rPr>
            </w:pPr>
            <w:r>
              <w:rPr>
                <w:rFonts w:ascii="Arial" w:cs="Arial" w:eastAsia="Arial" w:hAnsi="Arial"/>
                <w:sz w:val="18"/>
                <w:szCs w:val="18"/>
                <w:color w:val="auto"/>
              </w:rPr>
              <w:t>1,334</w:t>
            </w:r>
          </w:p>
        </w:tc>
        <w:tc>
          <w:tcPr>
            <w:tcW w:w="1580" w:type="dxa"/>
            <w:vAlign w:val="bottom"/>
            <w:shd w:val="clear" w:color="auto" w:fill="CCEEFF"/>
          </w:tcPr>
          <w:p>
            <w:pPr>
              <w:jc w:val="right"/>
              <w:ind w:right="18"/>
              <w:spacing w:after="0"/>
              <w:rPr>
                <w:sz w:val="20"/>
                <w:szCs w:val="20"/>
                <w:color w:val="auto"/>
              </w:rPr>
            </w:pPr>
            <w:r>
              <w:rPr>
                <w:rFonts w:ascii="Arial" w:cs="Arial" w:eastAsia="Arial" w:hAnsi="Arial"/>
                <w:sz w:val="18"/>
                <w:szCs w:val="18"/>
                <w:color w:val="auto"/>
              </w:rPr>
              <w:t>3.3</w:t>
            </w:r>
          </w:p>
        </w:tc>
        <w:tc>
          <w:tcPr>
            <w:tcW w:w="0" w:type="dxa"/>
            <w:vAlign w:val="bottom"/>
          </w:tcPr>
          <w:p>
            <w:pPr>
              <w:spacing w:after="0"/>
              <w:rPr>
                <w:sz w:val="1"/>
                <w:szCs w:val="1"/>
                <w:color w:val="auto"/>
              </w:rPr>
            </w:pPr>
          </w:p>
        </w:tc>
      </w:tr>
      <w:tr>
        <w:trPr>
          <w:trHeight w:val="263"/>
        </w:trPr>
        <w:tc>
          <w:tcPr>
            <w:tcW w:w="5160" w:type="dxa"/>
            <w:vAlign w:val="bottom"/>
          </w:tcPr>
          <w:p>
            <w:pPr>
              <w:ind w:left="40"/>
              <w:spacing w:after="0"/>
              <w:rPr>
                <w:sz w:val="20"/>
                <w:szCs w:val="20"/>
                <w:color w:val="auto"/>
              </w:rPr>
            </w:pPr>
            <w:r>
              <w:rPr>
                <w:rFonts w:ascii="Arial" w:cs="Arial" w:eastAsia="Arial" w:hAnsi="Arial"/>
                <w:sz w:val="18"/>
                <w:szCs w:val="18"/>
                <w:color w:val="auto"/>
              </w:rPr>
              <w:t>Cargo</w:t>
            </w:r>
          </w:p>
        </w:tc>
        <w:tc>
          <w:tcPr>
            <w:tcW w:w="280" w:type="dxa"/>
            <w:vAlign w:val="bottom"/>
          </w:tcPr>
          <w:p>
            <w:pPr>
              <w:spacing w:after="0"/>
              <w:rPr>
                <w:sz w:val="22"/>
                <w:szCs w:val="22"/>
                <w:color w:val="auto"/>
              </w:rPr>
            </w:pPr>
          </w:p>
        </w:tc>
        <w:tc>
          <w:tcPr>
            <w:tcW w:w="1220" w:type="dxa"/>
            <w:vAlign w:val="bottom"/>
          </w:tcPr>
          <w:p>
            <w:pPr>
              <w:jc w:val="right"/>
              <w:ind w:right="35"/>
              <w:spacing w:after="0"/>
              <w:rPr>
                <w:sz w:val="20"/>
                <w:szCs w:val="20"/>
                <w:color w:val="auto"/>
              </w:rPr>
            </w:pPr>
            <w:r>
              <w:rPr>
                <w:rFonts w:ascii="Arial" w:cs="Arial" w:eastAsia="Arial" w:hAnsi="Arial"/>
                <w:sz w:val="18"/>
                <w:szCs w:val="18"/>
                <w:color w:val="auto"/>
              </w:rPr>
              <w:t>863</w:t>
            </w:r>
          </w:p>
        </w:tc>
        <w:tc>
          <w:tcPr>
            <w:tcW w:w="10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340" w:type="dxa"/>
            <w:vAlign w:val="bottom"/>
          </w:tcPr>
          <w:p>
            <w:pPr>
              <w:jc w:val="right"/>
              <w:ind w:right="16"/>
              <w:spacing w:after="0"/>
              <w:rPr>
                <w:sz w:val="20"/>
                <w:szCs w:val="20"/>
                <w:color w:val="auto"/>
              </w:rPr>
            </w:pPr>
            <w:r>
              <w:rPr>
                <w:rFonts w:ascii="Arial" w:cs="Arial" w:eastAsia="Arial" w:hAnsi="Arial"/>
                <w:sz w:val="18"/>
                <w:szCs w:val="18"/>
                <w:color w:val="auto"/>
              </w:rPr>
              <w:t>1,013</w:t>
            </w:r>
          </w:p>
        </w:tc>
        <w:tc>
          <w:tcPr>
            <w:tcW w:w="12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(150)</w:t>
            </w:r>
          </w:p>
        </w:tc>
        <w:tc>
          <w:tcPr>
            <w:tcW w:w="1580" w:type="dxa"/>
            <w:vAlign w:val="bottom"/>
          </w:tcPr>
          <w:p>
            <w:pPr>
              <w:jc w:val="right"/>
              <w:spacing w:after="0"/>
              <w:rPr>
                <w:sz w:val="20"/>
                <w:szCs w:val="20"/>
                <w:color w:val="auto"/>
              </w:rPr>
            </w:pPr>
            <w:r>
              <w:rPr>
                <w:rFonts w:ascii="Arial" w:cs="Arial" w:eastAsia="Arial" w:hAnsi="Arial"/>
                <w:sz w:val="18"/>
                <w:szCs w:val="18"/>
                <w:color w:val="auto"/>
              </w:rPr>
              <w:t>(14.8)</w:t>
            </w:r>
          </w:p>
        </w:tc>
        <w:tc>
          <w:tcPr>
            <w:tcW w:w="0" w:type="dxa"/>
            <w:vAlign w:val="bottom"/>
          </w:tcPr>
          <w:p>
            <w:pPr>
              <w:spacing w:after="0"/>
              <w:rPr>
                <w:sz w:val="1"/>
                <w:szCs w:val="1"/>
                <w:color w:val="auto"/>
              </w:rPr>
            </w:pPr>
          </w:p>
        </w:tc>
      </w:tr>
      <w:tr>
        <w:trPr>
          <w:trHeight w:val="277"/>
        </w:trPr>
        <w:tc>
          <w:tcPr>
            <w:tcW w:w="5160" w:type="dxa"/>
            <w:vAlign w:val="bottom"/>
            <w:shd w:val="clear" w:color="auto" w:fill="CCEEFF"/>
          </w:tcPr>
          <w:p>
            <w:pPr>
              <w:ind w:left="40"/>
              <w:spacing w:after="0"/>
              <w:rPr>
                <w:sz w:val="20"/>
                <w:szCs w:val="20"/>
                <w:color w:val="auto"/>
              </w:rPr>
            </w:pPr>
            <w:r>
              <w:rPr>
                <w:rFonts w:ascii="Arial" w:cs="Arial" w:eastAsia="Arial" w:hAnsi="Arial"/>
                <w:sz w:val="18"/>
                <w:szCs w:val="18"/>
                <w:color w:val="auto"/>
              </w:rPr>
              <w:t>Other</w:t>
            </w:r>
          </w:p>
        </w:tc>
        <w:tc>
          <w:tcPr>
            <w:tcW w:w="280" w:type="dxa"/>
            <w:vAlign w:val="bottom"/>
            <w:tcBorders>
              <w:bottom w:val="single" w:sz="8" w:color="auto"/>
            </w:tcBorders>
            <w:shd w:val="clear" w:color="auto" w:fill="CCEEFF"/>
          </w:tcPr>
          <w:p>
            <w:pPr>
              <w:spacing w:after="0"/>
              <w:rPr>
                <w:sz w:val="24"/>
                <w:szCs w:val="24"/>
                <w:color w:val="auto"/>
              </w:rPr>
            </w:pPr>
          </w:p>
        </w:tc>
        <w:tc>
          <w:tcPr>
            <w:tcW w:w="1220" w:type="dxa"/>
            <w:vAlign w:val="bottom"/>
            <w:tcBorders>
              <w:bottom w:val="single" w:sz="8" w:color="auto"/>
            </w:tcBorders>
            <w:shd w:val="clear" w:color="auto" w:fill="CCEEFF"/>
          </w:tcPr>
          <w:p>
            <w:pPr>
              <w:jc w:val="right"/>
              <w:ind w:right="35"/>
              <w:spacing w:after="0"/>
              <w:rPr>
                <w:sz w:val="20"/>
                <w:szCs w:val="20"/>
                <w:color w:val="auto"/>
              </w:rPr>
            </w:pPr>
            <w:r>
              <w:rPr>
                <w:rFonts w:ascii="Arial" w:cs="Arial" w:eastAsia="Arial" w:hAnsi="Arial"/>
                <w:sz w:val="18"/>
                <w:szCs w:val="18"/>
                <w:color w:val="auto"/>
              </w:rPr>
              <w:t>2,895</w:t>
            </w:r>
          </w:p>
        </w:tc>
        <w:tc>
          <w:tcPr>
            <w:tcW w:w="100" w:type="dxa"/>
            <w:vAlign w:val="bottom"/>
            <w:shd w:val="clear" w:color="auto" w:fill="CCEEFF"/>
          </w:tcPr>
          <w:p>
            <w:pPr>
              <w:spacing w:after="0"/>
              <w:rPr>
                <w:sz w:val="24"/>
                <w:szCs w:val="24"/>
                <w:color w:val="auto"/>
              </w:rPr>
            </w:pPr>
          </w:p>
        </w:tc>
        <w:tc>
          <w:tcPr>
            <w:tcW w:w="140" w:type="dxa"/>
            <w:vAlign w:val="bottom"/>
            <w:tcBorders>
              <w:bottom w:val="single" w:sz="8" w:color="auto"/>
            </w:tcBorders>
            <w:shd w:val="clear" w:color="auto" w:fill="CCEEFF"/>
          </w:tcPr>
          <w:p>
            <w:pPr>
              <w:spacing w:after="0"/>
              <w:rPr>
                <w:sz w:val="24"/>
                <w:szCs w:val="24"/>
                <w:color w:val="auto"/>
              </w:rPr>
            </w:pPr>
          </w:p>
        </w:tc>
        <w:tc>
          <w:tcPr>
            <w:tcW w:w="1340" w:type="dxa"/>
            <w:vAlign w:val="bottom"/>
            <w:tcBorders>
              <w:bottom w:val="single" w:sz="8" w:color="auto"/>
            </w:tcBorders>
            <w:shd w:val="clear" w:color="auto" w:fill="CCEEFF"/>
          </w:tcPr>
          <w:p>
            <w:pPr>
              <w:jc w:val="right"/>
              <w:ind w:right="16"/>
              <w:spacing w:after="0"/>
              <w:rPr>
                <w:sz w:val="20"/>
                <w:szCs w:val="20"/>
                <w:color w:val="auto"/>
              </w:rPr>
            </w:pPr>
            <w:r>
              <w:rPr>
                <w:rFonts w:ascii="Arial" w:cs="Arial" w:eastAsia="Arial" w:hAnsi="Arial"/>
                <w:sz w:val="18"/>
                <w:szCs w:val="18"/>
                <w:color w:val="auto"/>
              </w:rPr>
              <w:t>2,852</w:t>
            </w:r>
          </w:p>
        </w:tc>
        <w:tc>
          <w:tcPr>
            <w:tcW w:w="120" w:type="dxa"/>
            <w:vAlign w:val="bottom"/>
            <w:shd w:val="clear" w:color="auto" w:fill="CCEEFF"/>
          </w:tcPr>
          <w:p>
            <w:pPr>
              <w:spacing w:after="0"/>
              <w:rPr>
                <w:sz w:val="24"/>
                <w:szCs w:val="24"/>
                <w:color w:val="auto"/>
              </w:rPr>
            </w:pPr>
          </w:p>
        </w:tc>
        <w:tc>
          <w:tcPr>
            <w:tcW w:w="240" w:type="dxa"/>
            <w:vAlign w:val="bottom"/>
            <w:tcBorders>
              <w:bottom w:val="single" w:sz="8" w:color="auto"/>
            </w:tcBorders>
            <w:shd w:val="clear" w:color="auto" w:fill="CCEEFF"/>
          </w:tcPr>
          <w:p>
            <w:pPr>
              <w:spacing w:after="0"/>
              <w:rPr>
                <w:sz w:val="24"/>
                <w:szCs w:val="24"/>
                <w:color w:val="auto"/>
              </w:rPr>
            </w:pPr>
          </w:p>
        </w:tc>
        <w:tc>
          <w:tcPr>
            <w:tcW w:w="1240" w:type="dxa"/>
            <w:vAlign w:val="bottom"/>
            <w:tcBorders>
              <w:bottom w:val="single" w:sz="8" w:color="auto"/>
            </w:tcBorders>
            <w:shd w:val="clear" w:color="auto" w:fill="CCEEFF"/>
          </w:tcPr>
          <w:p>
            <w:pPr>
              <w:jc w:val="right"/>
              <w:ind w:right="16"/>
              <w:spacing w:after="0"/>
              <w:rPr>
                <w:sz w:val="20"/>
                <w:szCs w:val="20"/>
                <w:color w:val="auto"/>
              </w:rPr>
            </w:pPr>
            <w:r>
              <w:rPr>
                <w:rFonts w:ascii="Arial" w:cs="Arial" w:eastAsia="Arial" w:hAnsi="Arial"/>
                <w:sz w:val="18"/>
                <w:szCs w:val="18"/>
                <w:color w:val="auto"/>
              </w:rPr>
              <w:t>43</w:t>
            </w:r>
          </w:p>
        </w:tc>
        <w:tc>
          <w:tcPr>
            <w:tcW w:w="1580" w:type="dxa"/>
            <w:vAlign w:val="bottom"/>
            <w:shd w:val="clear" w:color="auto" w:fill="CCEEFF"/>
          </w:tcPr>
          <w:p>
            <w:pPr>
              <w:jc w:val="right"/>
              <w:ind w:right="18"/>
              <w:spacing w:after="0"/>
              <w:rPr>
                <w:sz w:val="20"/>
                <w:szCs w:val="20"/>
                <w:color w:val="auto"/>
              </w:rPr>
            </w:pPr>
            <w:r>
              <w:rPr>
                <w:rFonts w:ascii="Arial" w:cs="Arial" w:eastAsia="Arial" w:hAnsi="Arial"/>
                <w:sz w:val="18"/>
                <w:szCs w:val="18"/>
                <w:color w:val="auto"/>
              </w:rPr>
              <w:t>1.5</w:t>
            </w:r>
          </w:p>
        </w:tc>
        <w:tc>
          <w:tcPr>
            <w:tcW w:w="0" w:type="dxa"/>
            <w:vAlign w:val="bottom"/>
          </w:tcPr>
          <w:p>
            <w:pPr>
              <w:spacing w:after="0"/>
              <w:rPr>
                <w:sz w:val="1"/>
                <w:szCs w:val="1"/>
                <w:color w:val="auto"/>
              </w:rPr>
            </w:pPr>
          </w:p>
        </w:tc>
      </w:tr>
      <w:tr>
        <w:trPr>
          <w:trHeight w:val="250"/>
        </w:trPr>
        <w:tc>
          <w:tcPr>
            <w:tcW w:w="5160" w:type="dxa"/>
            <w:vAlign w:val="bottom"/>
          </w:tcPr>
          <w:p>
            <w:pPr>
              <w:ind w:left="280"/>
              <w:spacing w:after="0"/>
              <w:rPr>
                <w:sz w:val="20"/>
                <w:szCs w:val="20"/>
                <w:color w:val="auto"/>
              </w:rPr>
            </w:pPr>
            <w:r>
              <w:rPr>
                <w:rFonts w:ascii="Arial" w:cs="Arial" w:eastAsia="Arial" w:hAnsi="Arial"/>
                <w:sz w:val="18"/>
                <w:szCs w:val="18"/>
                <w:color w:val="auto"/>
              </w:rPr>
              <w:t>Total operating revenues</w:t>
            </w:r>
          </w:p>
        </w:tc>
        <w:tc>
          <w:tcPr>
            <w:tcW w:w="28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color w:val="auto"/>
                <w:w w:val="99"/>
              </w:rPr>
              <w:t>$</w:t>
            </w:r>
          </w:p>
        </w:tc>
        <w:tc>
          <w:tcPr>
            <w:tcW w:w="1220" w:type="dxa"/>
            <w:vAlign w:val="bottom"/>
            <w:tcBorders>
              <w:bottom w:val="single" w:sz="8" w:color="auto"/>
            </w:tcBorders>
          </w:tcPr>
          <w:p>
            <w:pPr>
              <w:jc w:val="right"/>
              <w:ind w:right="35"/>
              <w:spacing w:after="0"/>
              <w:rPr>
                <w:sz w:val="20"/>
                <w:szCs w:val="20"/>
                <w:color w:val="auto"/>
              </w:rPr>
            </w:pPr>
            <w:r>
              <w:rPr>
                <w:rFonts w:ascii="Arial" w:cs="Arial" w:eastAsia="Arial" w:hAnsi="Arial"/>
                <w:sz w:val="18"/>
                <w:szCs w:val="18"/>
                <w:color w:val="auto"/>
              </w:rPr>
              <w:t>45,768</w:t>
            </w:r>
          </w:p>
        </w:tc>
        <w:tc>
          <w:tcPr>
            <w:tcW w:w="100" w:type="dxa"/>
            <w:vAlign w:val="bottom"/>
          </w:tcPr>
          <w:p>
            <w:pPr>
              <w:spacing w:after="0"/>
              <w:rPr>
                <w:sz w:val="21"/>
                <w:szCs w:val="21"/>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340" w:type="dxa"/>
            <w:vAlign w:val="bottom"/>
            <w:tcBorders>
              <w:bottom w:val="single" w:sz="8" w:color="auto"/>
            </w:tcBorders>
          </w:tcPr>
          <w:p>
            <w:pPr>
              <w:jc w:val="right"/>
              <w:ind w:right="16"/>
              <w:spacing w:after="0"/>
              <w:rPr>
                <w:sz w:val="20"/>
                <w:szCs w:val="20"/>
                <w:color w:val="auto"/>
              </w:rPr>
            </w:pPr>
            <w:r>
              <w:rPr>
                <w:rFonts w:ascii="Arial" w:cs="Arial" w:eastAsia="Arial" w:hAnsi="Arial"/>
                <w:sz w:val="18"/>
                <w:szCs w:val="18"/>
                <w:color w:val="auto"/>
              </w:rPr>
              <w:t>44,541</w:t>
            </w:r>
          </w:p>
        </w:tc>
        <w:tc>
          <w:tcPr>
            <w:tcW w:w="120" w:type="dxa"/>
            <w:vAlign w:val="bottom"/>
          </w:tcPr>
          <w:p>
            <w:pPr>
              <w:spacing w:after="0"/>
              <w:rPr>
                <w:sz w:val="21"/>
                <w:szCs w:val="21"/>
                <w:color w:val="auto"/>
              </w:rPr>
            </w:pPr>
          </w:p>
        </w:tc>
        <w:tc>
          <w:tcPr>
            <w:tcW w:w="24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w w:val="99"/>
              </w:rPr>
              <w:t>$</w:t>
            </w:r>
          </w:p>
        </w:tc>
        <w:tc>
          <w:tcPr>
            <w:tcW w:w="1240" w:type="dxa"/>
            <w:vAlign w:val="bottom"/>
            <w:tcBorders>
              <w:bottom w:val="single" w:sz="8" w:color="auto"/>
            </w:tcBorders>
          </w:tcPr>
          <w:p>
            <w:pPr>
              <w:jc w:val="right"/>
              <w:ind w:right="16"/>
              <w:spacing w:after="0"/>
              <w:rPr>
                <w:sz w:val="20"/>
                <w:szCs w:val="20"/>
                <w:color w:val="auto"/>
              </w:rPr>
            </w:pPr>
            <w:r>
              <w:rPr>
                <w:rFonts w:ascii="Arial" w:cs="Arial" w:eastAsia="Arial" w:hAnsi="Arial"/>
                <w:sz w:val="18"/>
                <w:szCs w:val="18"/>
                <w:color w:val="auto"/>
              </w:rPr>
              <w:t>1,227</w:t>
            </w:r>
          </w:p>
        </w:tc>
        <w:tc>
          <w:tcPr>
            <w:tcW w:w="1580" w:type="dxa"/>
            <w:vAlign w:val="bottom"/>
          </w:tcPr>
          <w:p>
            <w:pPr>
              <w:jc w:val="right"/>
              <w:ind w:right="18"/>
              <w:spacing w:after="0"/>
              <w:rPr>
                <w:sz w:val="20"/>
                <w:szCs w:val="20"/>
                <w:color w:val="auto"/>
              </w:rPr>
            </w:pPr>
            <w:r>
              <w:rPr>
                <w:rFonts w:ascii="Arial" w:cs="Arial" w:eastAsia="Arial" w:hAnsi="Arial"/>
                <w:sz w:val="18"/>
                <w:szCs w:val="18"/>
                <w:color w:val="auto"/>
              </w:rPr>
              <w:t>2.8</w:t>
            </w:r>
          </w:p>
        </w:tc>
        <w:tc>
          <w:tcPr>
            <w:tcW w:w="0" w:type="dxa"/>
            <w:vAlign w:val="bottom"/>
          </w:tcPr>
          <w:p>
            <w:pPr>
              <w:spacing w:after="0"/>
              <w:rPr>
                <w:sz w:val="1"/>
                <w:szCs w:val="1"/>
                <w:color w:val="auto"/>
              </w:rPr>
            </w:pPr>
          </w:p>
        </w:tc>
      </w:tr>
      <w:tr>
        <w:trPr>
          <w:trHeight w:val="20"/>
        </w:trPr>
        <w:tc>
          <w:tcPr>
            <w:tcW w:w="516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5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3"/>
        </w:trPr>
        <w:tc>
          <w:tcPr>
            <w:tcW w:w="51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220" w:type="dxa"/>
            <w:vAlign w:val="bottom"/>
          </w:tcPr>
          <w:p>
            <w:pPr>
              <w:jc w:val="right"/>
              <w:ind w:right="755"/>
              <w:spacing w:after="0"/>
              <w:rPr>
                <w:sz w:val="20"/>
                <w:szCs w:val="20"/>
                <w:color w:val="auto"/>
              </w:rPr>
            </w:pPr>
            <w:r>
              <w:rPr>
                <w:rFonts w:ascii="Arial" w:cs="Arial" w:eastAsia="Arial" w:hAnsi="Arial"/>
                <w:sz w:val="18"/>
                <w:szCs w:val="18"/>
                <w:color w:val="auto"/>
              </w:rPr>
              <w:t>52</w:t>
            </w: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792" w:right="239" w:bottom="1440" w:gutter="0" w:footer="0" w:header="0"/>
          <w:type w:val="continuous"/>
        </w:sectPr>
      </w:pPr>
    </w:p>
    <w:bookmarkStart w:id="52" w:name="page53"/>
    <w:bookmarkEnd w:id="52"/>
    <w:p>
      <w:pPr>
        <w:ind w:left="220"/>
        <w:spacing w:after="0"/>
        <w:rPr>
          <w:sz w:val="20"/>
          <w:szCs w:val="20"/>
          <w:color w:val="auto"/>
        </w:rPr>
      </w:pPr>
      <w:r>
        <w:rPr>
          <w:rFonts w:ascii="Arial" w:cs="Arial" w:eastAsia="Arial" w:hAnsi="Arial"/>
          <w:sz w:val="18"/>
          <w:szCs w:val="18"/>
          <w:color w:val="auto"/>
        </w:rPr>
        <w:t>This table presents our total passenger revenue and the year-over-year change in certain operating statistics:</w:t>
      </w:r>
    </w:p>
    <w:p>
      <w:pPr>
        <w:spacing w:after="0" w:line="321"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28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4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260" w:type="dxa"/>
            <w:vAlign w:val="bottom"/>
            <w:gridSpan w:val="4"/>
          </w:tcPr>
          <w:p>
            <w:pPr>
              <w:jc w:val="center"/>
              <w:ind w:right="100"/>
              <w:spacing w:after="0"/>
              <w:rPr>
                <w:sz w:val="20"/>
                <w:szCs w:val="20"/>
                <w:color w:val="auto"/>
              </w:rPr>
            </w:pPr>
            <w:r>
              <w:rPr>
                <w:rFonts w:ascii="Arial" w:cs="Arial" w:eastAsia="Arial" w:hAnsi="Arial"/>
                <w:sz w:val="14"/>
                <w:szCs w:val="14"/>
                <w:b w:val="1"/>
                <w:bCs w:val="1"/>
                <w:color w:val="auto"/>
              </w:rPr>
              <w:t>Increase (Decrease)</w:t>
            </w:r>
          </w:p>
        </w:tc>
        <w:tc>
          <w:tcPr>
            <w:tcW w:w="10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20" w:type="dxa"/>
            <w:vAlign w:val="bottom"/>
          </w:tcPr>
          <w:p>
            <w:pPr>
              <w:spacing w:after="0"/>
              <w:rPr>
                <w:sz w:val="14"/>
                <w:szCs w:val="14"/>
                <w:color w:val="auto"/>
              </w:rPr>
            </w:pPr>
          </w:p>
        </w:tc>
      </w:tr>
      <w:tr>
        <w:trPr>
          <w:trHeight w:val="196"/>
        </w:trPr>
        <w:tc>
          <w:tcPr>
            <w:tcW w:w="288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4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20" w:type="dxa"/>
            <w:vAlign w:val="bottom"/>
            <w:tcBorders>
              <w:bottom w:val="single" w:sz="8" w:color="auto"/>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1020" w:type="dxa"/>
            <w:vAlign w:val="bottom"/>
            <w:tcBorders>
              <w:bottom w:val="single" w:sz="8" w:color="auto"/>
            </w:tcBorders>
          </w:tcPr>
          <w:p>
            <w:pPr>
              <w:spacing w:after="0"/>
              <w:rPr>
                <w:sz w:val="17"/>
                <w:szCs w:val="17"/>
                <w:color w:val="auto"/>
              </w:rPr>
            </w:pPr>
          </w:p>
        </w:tc>
        <w:tc>
          <w:tcPr>
            <w:tcW w:w="2380" w:type="dxa"/>
            <w:vAlign w:val="bottom"/>
            <w:tcBorders>
              <w:bottom w:val="single" w:sz="8" w:color="auto"/>
            </w:tcBorders>
            <w:gridSpan w:val="5"/>
          </w:tcPr>
          <w:p>
            <w:pPr>
              <w:jc w:val="center"/>
              <w:spacing w:after="0"/>
              <w:rPr>
                <w:sz w:val="20"/>
                <w:szCs w:val="20"/>
                <w:color w:val="auto"/>
              </w:rPr>
            </w:pPr>
            <w:r>
              <w:rPr>
                <w:rFonts w:ascii="Arial" w:cs="Arial" w:eastAsia="Arial" w:hAnsi="Arial"/>
                <w:sz w:val="14"/>
                <w:szCs w:val="14"/>
                <w:b w:val="1"/>
                <w:bCs w:val="1"/>
                <w:color w:val="auto"/>
              </w:rPr>
              <w:t>vs. Year Ended December 31, 2018</w:t>
            </w:r>
          </w:p>
        </w:tc>
        <w:tc>
          <w:tcPr>
            <w:tcW w:w="1020" w:type="dxa"/>
            <w:vAlign w:val="bottom"/>
            <w:tcBorders>
              <w:bottom w:val="single" w:sz="8" w:color="auto"/>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1020" w:type="dxa"/>
            <w:vAlign w:val="bottom"/>
            <w:tcBorders>
              <w:bottom w:val="single" w:sz="8" w:color="auto"/>
            </w:tcBorders>
          </w:tcPr>
          <w:p>
            <w:pPr>
              <w:spacing w:after="0"/>
              <w:rPr>
                <w:sz w:val="17"/>
                <w:szCs w:val="17"/>
                <w:color w:val="auto"/>
              </w:rPr>
            </w:pPr>
          </w:p>
        </w:tc>
      </w:tr>
      <w:tr>
        <w:trPr>
          <w:trHeight w:val="175"/>
        </w:trPr>
        <w:tc>
          <w:tcPr>
            <w:tcW w:w="2880" w:type="dxa"/>
            <w:vAlign w:val="bottom"/>
          </w:tcPr>
          <w:p>
            <w:pPr>
              <w:spacing w:after="0"/>
              <w:rPr>
                <w:sz w:val="15"/>
                <w:szCs w:val="15"/>
                <w:color w:val="auto"/>
              </w:rPr>
            </w:pPr>
          </w:p>
        </w:tc>
        <w:tc>
          <w:tcPr>
            <w:tcW w:w="1840" w:type="dxa"/>
            <w:vAlign w:val="bottom"/>
            <w:gridSpan w:val="3"/>
          </w:tcPr>
          <w:p>
            <w:pPr>
              <w:jc w:val="center"/>
              <w:ind w:right="120"/>
              <w:spacing w:after="0"/>
              <w:rPr>
                <w:sz w:val="20"/>
                <w:szCs w:val="20"/>
                <w:color w:val="auto"/>
              </w:rPr>
            </w:pPr>
            <w:r>
              <w:rPr>
                <w:rFonts w:ascii="Arial" w:cs="Arial" w:eastAsia="Arial" w:hAnsi="Arial"/>
                <w:sz w:val="14"/>
                <w:szCs w:val="14"/>
                <w:b w:val="1"/>
                <w:bCs w:val="1"/>
                <w:color w:val="auto"/>
              </w:rPr>
              <w:t>Year Ended December</w:t>
            </w:r>
          </w:p>
        </w:tc>
        <w:tc>
          <w:tcPr>
            <w:tcW w:w="114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rPr>
              <w:t>Passenger</w:t>
            </w:r>
          </w:p>
        </w:tc>
        <w:tc>
          <w:tcPr>
            <w:tcW w:w="10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140" w:type="dxa"/>
            <w:vAlign w:val="bottom"/>
            <w:gridSpan w:val="2"/>
          </w:tcPr>
          <w:p>
            <w:pPr>
              <w:jc w:val="center"/>
              <w:ind w:right="120"/>
              <w:spacing w:after="0"/>
              <w:rPr>
                <w:sz w:val="20"/>
                <w:szCs w:val="20"/>
                <w:color w:val="auto"/>
              </w:rPr>
            </w:pPr>
            <w:r>
              <w:rPr>
                <w:rFonts w:ascii="Arial" w:cs="Arial" w:eastAsia="Arial" w:hAnsi="Arial"/>
                <w:sz w:val="14"/>
                <w:szCs w:val="14"/>
                <w:b w:val="1"/>
                <w:bCs w:val="1"/>
                <w:color w:val="auto"/>
              </w:rPr>
              <w:t>Load</w:t>
            </w:r>
          </w:p>
        </w:tc>
        <w:tc>
          <w:tcPr>
            <w:tcW w:w="1140" w:type="dxa"/>
            <w:vAlign w:val="bottom"/>
            <w:gridSpan w:val="2"/>
          </w:tcPr>
          <w:p>
            <w:pPr>
              <w:jc w:val="center"/>
              <w:ind w:right="120"/>
              <w:spacing w:after="0"/>
              <w:rPr>
                <w:sz w:val="20"/>
                <w:szCs w:val="20"/>
                <w:color w:val="auto"/>
              </w:rPr>
            </w:pPr>
            <w:r>
              <w:rPr>
                <w:rFonts w:ascii="Arial" w:cs="Arial" w:eastAsia="Arial" w:hAnsi="Arial"/>
                <w:sz w:val="14"/>
                <w:szCs w:val="14"/>
                <w:b w:val="1"/>
                <w:bCs w:val="1"/>
                <w:color w:val="auto"/>
              </w:rPr>
              <w:t>Passenger</w:t>
            </w:r>
          </w:p>
        </w:tc>
        <w:tc>
          <w:tcPr>
            <w:tcW w:w="1020" w:type="dxa"/>
            <w:vAlign w:val="bottom"/>
          </w:tcPr>
          <w:p>
            <w:pPr>
              <w:spacing w:after="0"/>
              <w:rPr>
                <w:sz w:val="15"/>
                <w:szCs w:val="15"/>
                <w:color w:val="auto"/>
              </w:rPr>
            </w:pPr>
          </w:p>
        </w:tc>
      </w:tr>
      <w:tr>
        <w:trPr>
          <w:trHeight w:val="196"/>
        </w:trPr>
        <w:tc>
          <w:tcPr>
            <w:tcW w:w="2880" w:type="dxa"/>
            <w:vAlign w:val="bottom"/>
          </w:tcPr>
          <w:p>
            <w:pPr>
              <w:spacing w:after="0"/>
              <w:rPr>
                <w:sz w:val="17"/>
                <w:szCs w:val="17"/>
                <w:color w:val="auto"/>
              </w:rPr>
            </w:pPr>
          </w:p>
        </w:tc>
        <w:tc>
          <w:tcPr>
            <w:tcW w:w="280" w:type="dxa"/>
            <w:vAlign w:val="bottom"/>
            <w:tcBorders>
              <w:bottom w:val="single" w:sz="8" w:color="auto"/>
            </w:tcBorders>
          </w:tcPr>
          <w:p>
            <w:pPr>
              <w:spacing w:after="0"/>
              <w:rPr>
                <w:sz w:val="17"/>
                <w:szCs w:val="17"/>
                <w:color w:val="auto"/>
              </w:rPr>
            </w:pPr>
          </w:p>
        </w:tc>
        <w:tc>
          <w:tcPr>
            <w:tcW w:w="1460" w:type="dxa"/>
            <w:vAlign w:val="bottom"/>
            <w:tcBorders>
              <w:bottom w:val="single" w:sz="8" w:color="auto"/>
            </w:tcBorders>
          </w:tcPr>
          <w:p>
            <w:pPr>
              <w:jc w:val="center"/>
              <w:ind w:right="222"/>
              <w:spacing w:after="0"/>
              <w:rPr>
                <w:sz w:val="20"/>
                <w:szCs w:val="20"/>
                <w:color w:val="auto"/>
              </w:rPr>
            </w:pPr>
            <w:r>
              <w:rPr>
                <w:rFonts w:ascii="Arial" w:cs="Arial" w:eastAsia="Arial" w:hAnsi="Arial"/>
                <w:sz w:val="14"/>
                <w:szCs w:val="14"/>
                <w:b w:val="1"/>
                <w:bCs w:val="1"/>
                <w:color w:val="auto"/>
              </w:rPr>
              <w:t>31, 2019</w:t>
            </w:r>
          </w:p>
        </w:tc>
        <w:tc>
          <w:tcPr>
            <w:tcW w:w="100" w:type="dxa"/>
            <w:vAlign w:val="bottom"/>
          </w:tcPr>
          <w:p>
            <w:pPr>
              <w:spacing w:after="0"/>
              <w:rPr>
                <w:sz w:val="17"/>
                <w:szCs w:val="17"/>
                <w:color w:val="auto"/>
              </w:rPr>
            </w:pPr>
          </w:p>
        </w:tc>
        <w:tc>
          <w:tcPr>
            <w:tcW w:w="102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rPr>
              <w:t>Revenue</w:t>
            </w:r>
          </w:p>
        </w:tc>
        <w:tc>
          <w:tcPr>
            <w:tcW w:w="120" w:type="dxa"/>
            <w:vAlign w:val="bottom"/>
          </w:tcPr>
          <w:p>
            <w:pPr>
              <w:spacing w:after="0"/>
              <w:rPr>
                <w:sz w:val="17"/>
                <w:szCs w:val="17"/>
                <w:color w:val="auto"/>
              </w:rPr>
            </w:pPr>
          </w:p>
        </w:tc>
        <w:tc>
          <w:tcPr>
            <w:tcW w:w="1020" w:type="dxa"/>
            <w:vAlign w:val="bottom"/>
            <w:tcBorders>
              <w:bottom w:val="single" w:sz="8" w:color="auto"/>
            </w:tcBorders>
          </w:tcPr>
          <w:p>
            <w:pPr>
              <w:jc w:val="right"/>
              <w:ind w:right="239"/>
              <w:spacing w:after="0"/>
              <w:rPr>
                <w:sz w:val="20"/>
                <w:szCs w:val="20"/>
                <w:color w:val="auto"/>
              </w:rPr>
            </w:pPr>
            <w:r>
              <w:rPr>
                <w:rFonts w:ascii="Arial" w:cs="Arial" w:eastAsia="Arial" w:hAnsi="Arial"/>
                <w:sz w:val="14"/>
                <w:szCs w:val="14"/>
                <w:b w:val="1"/>
                <w:bCs w:val="1"/>
                <w:color w:val="auto"/>
              </w:rPr>
              <w:t>RPMs</w:t>
            </w:r>
          </w:p>
        </w:tc>
        <w:tc>
          <w:tcPr>
            <w:tcW w:w="120" w:type="dxa"/>
            <w:vAlign w:val="bottom"/>
          </w:tcPr>
          <w:p>
            <w:pPr>
              <w:spacing w:after="0"/>
              <w:rPr>
                <w:sz w:val="17"/>
                <w:szCs w:val="17"/>
                <w:color w:val="auto"/>
              </w:rPr>
            </w:pPr>
          </w:p>
        </w:tc>
        <w:tc>
          <w:tcPr>
            <w:tcW w:w="1020" w:type="dxa"/>
            <w:vAlign w:val="bottom"/>
            <w:tcBorders>
              <w:bottom w:val="single" w:sz="8" w:color="auto"/>
            </w:tcBorders>
          </w:tcPr>
          <w:p>
            <w:pPr>
              <w:jc w:val="right"/>
              <w:ind w:right="248"/>
              <w:spacing w:after="0"/>
              <w:rPr>
                <w:sz w:val="20"/>
                <w:szCs w:val="20"/>
                <w:color w:val="auto"/>
              </w:rPr>
            </w:pPr>
            <w:r>
              <w:rPr>
                <w:rFonts w:ascii="Arial" w:cs="Arial" w:eastAsia="Arial" w:hAnsi="Arial"/>
                <w:sz w:val="14"/>
                <w:szCs w:val="14"/>
                <w:b w:val="1"/>
                <w:bCs w:val="1"/>
                <w:color w:val="auto"/>
              </w:rPr>
              <w:t>ASMs</w:t>
            </w:r>
          </w:p>
        </w:tc>
        <w:tc>
          <w:tcPr>
            <w:tcW w:w="100" w:type="dxa"/>
            <w:vAlign w:val="bottom"/>
          </w:tcPr>
          <w:p>
            <w:pPr>
              <w:spacing w:after="0"/>
              <w:rPr>
                <w:sz w:val="17"/>
                <w:szCs w:val="17"/>
                <w:color w:val="auto"/>
              </w:rPr>
            </w:pPr>
          </w:p>
        </w:tc>
        <w:tc>
          <w:tcPr>
            <w:tcW w:w="104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rPr>
              <w:t>Factor</w:t>
            </w:r>
          </w:p>
        </w:tc>
        <w:tc>
          <w:tcPr>
            <w:tcW w:w="100" w:type="dxa"/>
            <w:vAlign w:val="bottom"/>
          </w:tcPr>
          <w:p>
            <w:pPr>
              <w:spacing w:after="0"/>
              <w:rPr>
                <w:sz w:val="17"/>
                <w:szCs w:val="17"/>
                <w:color w:val="auto"/>
              </w:rPr>
            </w:pPr>
          </w:p>
        </w:tc>
        <w:tc>
          <w:tcPr>
            <w:tcW w:w="102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rPr>
              <w:t>Yield</w:t>
            </w:r>
          </w:p>
        </w:tc>
        <w:tc>
          <w:tcPr>
            <w:tcW w:w="120" w:type="dxa"/>
            <w:vAlign w:val="bottom"/>
          </w:tcPr>
          <w:p>
            <w:pPr>
              <w:spacing w:after="0"/>
              <w:rPr>
                <w:sz w:val="17"/>
                <w:szCs w:val="17"/>
                <w:color w:val="auto"/>
              </w:rPr>
            </w:pPr>
          </w:p>
        </w:tc>
        <w:tc>
          <w:tcPr>
            <w:tcW w:w="1020" w:type="dxa"/>
            <w:vAlign w:val="bottom"/>
            <w:tcBorders>
              <w:bottom w:val="single" w:sz="8" w:color="auto"/>
            </w:tcBorders>
          </w:tcPr>
          <w:p>
            <w:pPr>
              <w:jc w:val="right"/>
              <w:ind w:right="179"/>
              <w:spacing w:after="0"/>
              <w:rPr>
                <w:sz w:val="20"/>
                <w:szCs w:val="20"/>
                <w:color w:val="auto"/>
              </w:rPr>
            </w:pPr>
            <w:r>
              <w:rPr>
                <w:rFonts w:ascii="Arial" w:cs="Arial" w:eastAsia="Arial" w:hAnsi="Arial"/>
                <w:sz w:val="14"/>
                <w:szCs w:val="14"/>
                <w:b w:val="1"/>
                <w:bCs w:val="1"/>
                <w:color w:val="auto"/>
              </w:rPr>
              <w:t>PRASM</w:t>
            </w:r>
          </w:p>
        </w:tc>
      </w:tr>
      <w:tr>
        <w:trPr>
          <w:trHeight w:val="264"/>
        </w:trPr>
        <w:tc>
          <w:tcPr>
            <w:tcW w:w="288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1560" w:type="dxa"/>
            <w:vAlign w:val="bottom"/>
            <w:gridSpan w:val="2"/>
          </w:tcPr>
          <w:p>
            <w:pPr>
              <w:jc w:val="center"/>
              <w:ind w:right="400"/>
              <w:spacing w:after="0"/>
              <w:rPr>
                <w:sz w:val="20"/>
                <w:szCs w:val="20"/>
                <w:color w:val="auto"/>
              </w:rPr>
            </w:pPr>
            <w:r>
              <w:rPr>
                <w:rFonts w:ascii="Arial" w:cs="Arial" w:eastAsia="Arial" w:hAnsi="Arial"/>
                <w:sz w:val="14"/>
                <w:szCs w:val="14"/>
                <w:b w:val="1"/>
                <w:bCs w:val="1"/>
                <w:color w:val="auto"/>
              </w:rPr>
              <w:t>(In millions)</w:t>
            </w:r>
          </w:p>
        </w:tc>
        <w:tc>
          <w:tcPr>
            <w:tcW w:w="10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0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0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04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0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020" w:type="dxa"/>
            <w:vAlign w:val="bottom"/>
          </w:tcPr>
          <w:p>
            <w:pPr>
              <w:spacing w:after="0"/>
              <w:rPr>
                <w:sz w:val="22"/>
                <w:szCs w:val="22"/>
                <w:color w:val="auto"/>
              </w:rPr>
            </w:pPr>
          </w:p>
        </w:tc>
      </w:tr>
      <w:tr>
        <w:trPr>
          <w:trHeight w:val="276"/>
        </w:trPr>
        <w:tc>
          <w:tcPr>
            <w:tcW w:w="2880" w:type="dxa"/>
            <w:vAlign w:val="bottom"/>
            <w:shd w:val="clear" w:color="auto" w:fill="CCEEFF"/>
          </w:tcPr>
          <w:p>
            <w:pPr>
              <w:ind w:left="40"/>
              <w:spacing w:after="0"/>
              <w:rPr>
                <w:sz w:val="20"/>
                <w:szCs w:val="20"/>
                <w:color w:val="auto"/>
              </w:rPr>
            </w:pPr>
            <w:r>
              <w:rPr>
                <w:rFonts w:ascii="Arial" w:cs="Arial" w:eastAsia="Arial" w:hAnsi="Arial"/>
                <w:sz w:val="18"/>
                <w:szCs w:val="18"/>
                <w:color w:val="auto"/>
              </w:rPr>
              <w:t>Passenger revenue</w:t>
            </w:r>
          </w:p>
        </w:tc>
        <w:tc>
          <w:tcPr>
            <w:tcW w:w="280" w:type="dxa"/>
            <w:vAlign w:val="bottom"/>
            <w:shd w:val="clear" w:color="auto" w:fill="CCEEFF"/>
          </w:tcPr>
          <w:p>
            <w:pPr>
              <w:jc w:val="right"/>
              <w:ind w:right="79"/>
              <w:spacing w:after="0"/>
              <w:rPr>
                <w:sz w:val="20"/>
                <w:szCs w:val="20"/>
                <w:color w:val="auto"/>
              </w:rPr>
            </w:pPr>
            <w:r>
              <w:rPr>
                <w:rFonts w:ascii="Arial" w:cs="Arial" w:eastAsia="Arial" w:hAnsi="Arial"/>
                <w:sz w:val="18"/>
                <w:szCs w:val="18"/>
                <w:color w:val="auto"/>
                <w:w w:val="99"/>
              </w:rPr>
              <w:t>$</w:t>
            </w:r>
          </w:p>
        </w:tc>
        <w:tc>
          <w:tcPr>
            <w:tcW w:w="1460" w:type="dxa"/>
            <w:vAlign w:val="bottom"/>
            <w:shd w:val="clear" w:color="auto" w:fill="CCEEFF"/>
          </w:tcPr>
          <w:p>
            <w:pPr>
              <w:jc w:val="right"/>
              <w:ind w:right="42"/>
              <w:spacing w:after="0"/>
              <w:rPr>
                <w:sz w:val="20"/>
                <w:szCs w:val="20"/>
                <w:color w:val="auto"/>
              </w:rPr>
            </w:pPr>
            <w:r>
              <w:rPr>
                <w:rFonts w:ascii="Arial" w:cs="Arial" w:eastAsia="Arial" w:hAnsi="Arial"/>
                <w:sz w:val="18"/>
                <w:szCs w:val="18"/>
                <w:color w:val="auto"/>
              </w:rPr>
              <w:t>42,010</w:t>
            </w:r>
          </w:p>
        </w:tc>
        <w:tc>
          <w:tcPr>
            <w:tcW w:w="100" w:type="dxa"/>
            <w:vAlign w:val="bottom"/>
            <w:shd w:val="clear" w:color="auto" w:fill="CCEEFF"/>
          </w:tcPr>
          <w:p>
            <w:pPr>
              <w:spacing w:after="0"/>
              <w:rPr>
                <w:sz w:val="24"/>
                <w:szCs w:val="24"/>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3.3%</w:t>
            </w:r>
          </w:p>
        </w:tc>
        <w:tc>
          <w:tcPr>
            <w:tcW w:w="120" w:type="dxa"/>
            <w:vAlign w:val="bottom"/>
            <w:shd w:val="clear" w:color="auto" w:fill="CCEEFF"/>
          </w:tcPr>
          <w:p>
            <w:pPr>
              <w:spacing w:after="0"/>
              <w:rPr>
                <w:sz w:val="24"/>
                <w:szCs w:val="24"/>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4.4%</w:t>
            </w:r>
          </w:p>
        </w:tc>
        <w:tc>
          <w:tcPr>
            <w:tcW w:w="11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1.1%</w:t>
            </w:r>
          </w:p>
        </w:tc>
        <w:tc>
          <w:tcPr>
            <w:tcW w:w="100" w:type="dxa"/>
            <w:vAlign w:val="bottom"/>
            <w:shd w:val="clear" w:color="auto" w:fill="CCEEFF"/>
          </w:tcPr>
          <w:p>
            <w:pPr>
              <w:spacing w:after="0"/>
              <w:rPr>
                <w:sz w:val="24"/>
                <w:szCs w:val="24"/>
                <w:color w:val="auto"/>
              </w:rPr>
            </w:pPr>
          </w:p>
        </w:tc>
        <w:tc>
          <w:tcPr>
            <w:tcW w:w="1140" w:type="dxa"/>
            <w:vAlign w:val="bottom"/>
            <w:gridSpan w:val="2"/>
            <w:shd w:val="clear" w:color="auto" w:fill="CCEEFF"/>
          </w:tcPr>
          <w:p>
            <w:pPr>
              <w:ind w:left="520"/>
              <w:spacing w:after="0"/>
              <w:rPr>
                <w:sz w:val="20"/>
                <w:szCs w:val="20"/>
                <w:color w:val="auto"/>
              </w:rPr>
            </w:pPr>
            <w:r>
              <w:rPr>
                <w:rFonts w:ascii="Arial" w:cs="Arial" w:eastAsia="Arial" w:hAnsi="Arial"/>
                <w:sz w:val="18"/>
                <w:szCs w:val="18"/>
                <w:color w:val="auto"/>
              </w:rPr>
              <w:t>2.6pts</w:t>
            </w: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w:t>
            </w:r>
          </w:p>
        </w:tc>
        <w:tc>
          <w:tcPr>
            <w:tcW w:w="120" w:type="dxa"/>
            <w:vAlign w:val="bottom"/>
            <w:shd w:val="clear" w:color="auto" w:fill="CCEEFF"/>
          </w:tcPr>
          <w:p>
            <w:pPr>
              <w:spacing w:after="0"/>
              <w:rPr>
                <w:sz w:val="24"/>
                <w:szCs w:val="24"/>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w:t>
            </w:r>
          </w:p>
        </w:tc>
      </w:tr>
    </w:tbl>
    <w:p>
      <w:pPr>
        <w:spacing w:after="0" w:line="161" w:lineRule="exact"/>
        <w:rPr>
          <w:sz w:val="20"/>
          <w:szCs w:val="20"/>
          <w:color w:val="auto"/>
        </w:rPr>
      </w:pPr>
    </w:p>
    <w:p>
      <w:pPr>
        <w:jc w:val="both"/>
        <w:ind w:firstLine="216"/>
        <w:spacing w:after="0" w:line="253" w:lineRule="auto"/>
        <w:rPr>
          <w:sz w:val="20"/>
          <w:szCs w:val="20"/>
          <w:color w:val="auto"/>
        </w:rPr>
      </w:pPr>
      <w:r>
        <w:rPr>
          <w:rFonts w:ascii="Arial" w:cs="Arial" w:eastAsia="Arial" w:hAnsi="Arial"/>
          <w:sz w:val="18"/>
          <w:szCs w:val="18"/>
          <w:color w:val="auto"/>
        </w:rPr>
        <w:t>Passenger revenue increased $ 1.3 billion, or 3.3%, in 2019 from 2018 due to continued strength in passenger demand resulting in a 4.4% increase in RPMs and a 2.6 point increase in passenger load factor. Domestic PRASM increased 2.0% in 2019 as compared to 2018. Latin America was the best performing international region in 2019, with PRASM increasing 3.4% followed by Pacific with PRASM increasing 3.1%, while Atlantic PRASM declined 1.5% principally due to lower transfer payments related to our joint business arrangement and foreign currency effects.</w:t>
      </w:r>
    </w:p>
    <w:p>
      <w:pPr>
        <w:spacing w:after="0" w:line="152" w:lineRule="exact"/>
        <w:rPr>
          <w:sz w:val="20"/>
          <w:szCs w:val="20"/>
          <w:color w:val="auto"/>
        </w:rPr>
      </w:pPr>
    </w:p>
    <w:p>
      <w:pPr>
        <w:jc w:val="both"/>
        <w:ind w:firstLine="216"/>
        <w:spacing w:after="0" w:line="262" w:lineRule="auto"/>
        <w:rPr>
          <w:sz w:val="20"/>
          <w:szCs w:val="20"/>
          <w:color w:val="auto"/>
        </w:rPr>
      </w:pPr>
      <w:r>
        <w:rPr>
          <w:rFonts w:ascii="Arial" w:cs="Arial" w:eastAsia="Arial" w:hAnsi="Arial"/>
          <w:sz w:val="18"/>
          <w:szCs w:val="18"/>
          <w:color w:val="auto"/>
        </w:rPr>
        <w:t>Cargo revenue decreased $150 million, or 14.8%, in 2019 from 2018 primarily due to a 14.4% decrease in cargo ton miles reflecting declines in international freight volumes, principally as a result of international schedule reductions.</w:t>
      </w:r>
    </w:p>
    <w:p>
      <w:pPr>
        <w:spacing w:after="0" w:line="142" w:lineRule="exact"/>
        <w:rPr>
          <w:sz w:val="20"/>
          <w:szCs w:val="20"/>
          <w:color w:val="auto"/>
        </w:rPr>
      </w:pPr>
    </w:p>
    <w:p>
      <w:pPr>
        <w:jc w:val="both"/>
        <w:ind w:right="20" w:firstLine="216"/>
        <w:spacing w:after="0" w:line="262" w:lineRule="auto"/>
        <w:rPr>
          <w:sz w:val="20"/>
          <w:szCs w:val="20"/>
          <w:color w:val="auto"/>
        </w:rPr>
      </w:pPr>
      <w:r>
        <w:rPr>
          <w:rFonts w:ascii="Arial" w:cs="Arial" w:eastAsia="Arial" w:hAnsi="Arial"/>
          <w:sz w:val="18"/>
          <w:szCs w:val="18"/>
          <w:color w:val="auto"/>
        </w:rPr>
        <w:t>Other operating revenue increased $43 million, or 1.5%, in 2019 from 2018 primarily due to higher revenue associated with our airport clubs and loyalty program.</w:t>
      </w:r>
    </w:p>
    <w:p>
      <w:pPr>
        <w:spacing w:after="0" w:line="142" w:lineRule="exact"/>
        <w:rPr>
          <w:sz w:val="20"/>
          <w:szCs w:val="20"/>
          <w:color w:val="auto"/>
        </w:rPr>
      </w:pPr>
    </w:p>
    <w:p>
      <w:pPr>
        <w:jc w:val="both"/>
        <w:ind w:firstLine="216"/>
        <w:spacing w:after="0" w:line="262" w:lineRule="auto"/>
        <w:rPr>
          <w:sz w:val="20"/>
          <w:szCs w:val="20"/>
          <w:color w:val="auto"/>
        </w:rPr>
      </w:pPr>
      <w:r>
        <w:rPr>
          <w:rFonts w:ascii="Arial" w:cs="Arial" w:eastAsia="Arial" w:hAnsi="Arial"/>
          <w:sz w:val="18"/>
          <w:szCs w:val="18"/>
          <w:color w:val="auto"/>
        </w:rPr>
        <w:t>Total operating revenues in 2019 increased $1.2 billion, or 2.8%, from 2018 driven principally by a 3.3% increase in passenger revenue as described above. Our TRASM was 16.05 cents in 2019, a 1.7% increase as compared to 15.79 cents in 2018.</w:t>
      </w:r>
    </w:p>
    <w:p>
      <w:pPr>
        <w:spacing w:after="0" w:line="205" w:lineRule="exact"/>
        <w:rPr>
          <w:sz w:val="20"/>
          <w:szCs w:val="20"/>
          <w:color w:val="auto"/>
        </w:rPr>
      </w:pPr>
    </w:p>
    <w:p>
      <w:pPr>
        <w:ind w:left="220"/>
        <w:spacing w:after="0"/>
        <w:rPr>
          <w:sz w:val="20"/>
          <w:szCs w:val="20"/>
          <w:color w:val="auto"/>
        </w:rPr>
      </w:pPr>
      <w:r>
        <w:rPr>
          <w:rFonts w:ascii="Arial" w:cs="Arial" w:eastAsia="Arial" w:hAnsi="Arial"/>
          <w:sz w:val="18"/>
          <w:szCs w:val="18"/>
          <w:i w:val="1"/>
          <w:iCs w:val="1"/>
          <w:u w:val="single" w:color="auto"/>
          <w:color w:val="auto"/>
        </w:rPr>
        <w:t>Operating Expenses</w:t>
      </w:r>
    </w:p>
    <w:p>
      <w:pPr>
        <w:spacing w:after="0" w:line="352" w:lineRule="exact"/>
        <w:rPr>
          <w:sz w:val="20"/>
          <w:szCs w:val="20"/>
          <w:color w:val="auto"/>
        </w:rPr>
      </w:pPr>
    </w:p>
    <w:tbl>
      <w:tblPr>
        <w:tblLayout w:type="fixed"/>
        <w:tblInd w:w="0" w:type="dxa"/>
        <w:tblCellMar>
          <w:top w:w="0" w:type="dxa"/>
          <w:left w:w="0" w:type="dxa"/>
          <w:bottom w:w="0" w:type="dxa"/>
          <w:right w:w="0" w:type="dxa"/>
        </w:tblCellMar>
      </w:tblPr>
      <w:tr>
        <w:trPr>
          <w:trHeight w:val="189"/>
        </w:trPr>
        <w:tc>
          <w:tcPr>
            <w:tcW w:w="516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2840" w:type="dxa"/>
            <w:vAlign w:val="bottom"/>
            <w:gridSpan w:val="5"/>
          </w:tcPr>
          <w:p>
            <w:pPr>
              <w:ind w:left="320"/>
              <w:spacing w:after="0"/>
              <w:rPr>
                <w:sz w:val="20"/>
                <w:szCs w:val="20"/>
                <w:color w:val="auto"/>
              </w:rPr>
            </w:pPr>
            <w:r>
              <w:rPr>
                <w:rFonts w:ascii="Arial" w:cs="Arial" w:eastAsia="Arial" w:hAnsi="Arial"/>
                <w:sz w:val="14"/>
                <w:szCs w:val="14"/>
                <w:b w:val="1"/>
                <w:bCs w:val="1"/>
                <w:color w:val="auto"/>
              </w:rPr>
              <w:t>Year Ended December 31,</w:t>
            </w:r>
          </w:p>
        </w:tc>
        <w:tc>
          <w:tcPr>
            <w:tcW w:w="240" w:type="dxa"/>
            <w:vAlign w:val="bottom"/>
          </w:tcPr>
          <w:p>
            <w:pPr>
              <w:spacing w:after="0"/>
              <w:rPr>
                <w:sz w:val="16"/>
                <w:szCs w:val="16"/>
                <w:color w:val="auto"/>
              </w:rPr>
            </w:pPr>
          </w:p>
        </w:tc>
        <w:tc>
          <w:tcPr>
            <w:tcW w:w="1240" w:type="dxa"/>
            <w:vAlign w:val="bottom"/>
          </w:tcPr>
          <w:p>
            <w:pPr>
              <w:spacing w:after="0"/>
              <w:rPr>
                <w:sz w:val="16"/>
                <w:szCs w:val="16"/>
                <w:color w:val="auto"/>
              </w:rPr>
            </w:pPr>
          </w:p>
        </w:tc>
        <w:tc>
          <w:tcPr>
            <w:tcW w:w="1580" w:type="dxa"/>
            <w:vAlign w:val="bottom"/>
          </w:tcPr>
          <w:p>
            <w:pPr>
              <w:jc w:val="center"/>
              <w:ind w:left="14"/>
              <w:spacing w:after="0"/>
              <w:rPr>
                <w:sz w:val="20"/>
                <w:szCs w:val="20"/>
                <w:color w:val="auto"/>
              </w:rPr>
            </w:pPr>
            <w:r>
              <w:rPr>
                <w:rFonts w:ascii="Arial" w:cs="Arial" w:eastAsia="Arial" w:hAnsi="Arial"/>
                <w:sz w:val="14"/>
                <w:szCs w:val="14"/>
                <w:b w:val="1"/>
                <w:bCs w:val="1"/>
                <w:color w:val="auto"/>
              </w:rPr>
              <w:t>Percent</w:t>
            </w:r>
          </w:p>
        </w:tc>
        <w:tc>
          <w:tcPr>
            <w:tcW w:w="0" w:type="dxa"/>
            <w:vAlign w:val="bottom"/>
          </w:tcPr>
          <w:p>
            <w:pPr>
              <w:spacing w:after="0"/>
              <w:rPr>
                <w:sz w:val="1"/>
                <w:szCs w:val="1"/>
                <w:color w:val="auto"/>
              </w:rPr>
            </w:pPr>
          </w:p>
        </w:tc>
      </w:tr>
      <w:tr>
        <w:trPr>
          <w:trHeight w:val="54"/>
        </w:trPr>
        <w:tc>
          <w:tcPr>
            <w:tcW w:w="5160" w:type="dxa"/>
            <w:vAlign w:val="bottom"/>
          </w:tcPr>
          <w:p>
            <w:pPr>
              <w:spacing w:after="0"/>
              <w:rPr>
                <w:sz w:val="4"/>
                <w:szCs w:val="4"/>
                <w:color w:val="auto"/>
              </w:rPr>
            </w:pPr>
          </w:p>
        </w:tc>
        <w:tc>
          <w:tcPr>
            <w:tcW w:w="360" w:type="dxa"/>
            <w:vAlign w:val="bottom"/>
            <w:tcBorders>
              <w:bottom w:val="single" w:sz="8" w:color="auto"/>
            </w:tcBorders>
          </w:tcPr>
          <w:p>
            <w:pPr>
              <w:spacing w:after="0"/>
              <w:rPr>
                <w:sz w:val="4"/>
                <w:szCs w:val="4"/>
                <w:color w:val="auto"/>
              </w:rPr>
            </w:pPr>
          </w:p>
        </w:tc>
        <w:tc>
          <w:tcPr>
            <w:tcW w:w="1140" w:type="dxa"/>
            <w:vAlign w:val="bottom"/>
            <w:tcBorders>
              <w:bottom w:val="single" w:sz="8" w:color="auto"/>
            </w:tcBorders>
          </w:tcPr>
          <w:p>
            <w:pPr>
              <w:spacing w:after="0"/>
              <w:rPr>
                <w:sz w:val="4"/>
                <w:szCs w:val="4"/>
                <w:color w:val="auto"/>
              </w:rPr>
            </w:pPr>
          </w:p>
        </w:tc>
        <w:tc>
          <w:tcPr>
            <w:tcW w:w="100" w:type="dxa"/>
            <w:vAlign w:val="bottom"/>
            <w:tcBorders>
              <w:bottom w:val="single" w:sz="8" w:color="auto"/>
            </w:tcBorders>
          </w:tcPr>
          <w:p>
            <w:pPr>
              <w:spacing w:after="0"/>
              <w:rPr>
                <w:sz w:val="4"/>
                <w:szCs w:val="4"/>
                <w:color w:val="auto"/>
              </w:rPr>
            </w:pPr>
          </w:p>
        </w:tc>
        <w:tc>
          <w:tcPr>
            <w:tcW w:w="140" w:type="dxa"/>
            <w:vAlign w:val="bottom"/>
            <w:tcBorders>
              <w:bottom w:val="single" w:sz="8" w:color="auto"/>
            </w:tcBorders>
          </w:tcPr>
          <w:p>
            <w:pPr>
              <w:spacing w:after="0"/>
              <w:rPr>
                <w:sz w:val="4"/>
                <w:szCs w:val="4"/>
                <w:color w:val="auto"/>
              </w:rPr>
            </w:pPr>
          </w:p>
        </w:tc>
        <w:tc>
          <w:tcPr>
            <w:tcW w:w="1340" w:type="dxa"/>
            <w:vAlign w:val="bottom"/>
            <w:tcBorders>
              <w:bottom w:val="single" w:sz="8" w:color="auto"/>
            </w:tcBorders>
          </w:tcPr>
          <w:p>
            <w:pPr>
              <w:spacing w:after="0"/>
              <w:rPr>
                <w:sz w:val="4"/>
                <w:szCs w:val="4"/>
                <w:color w:val="auto"/>
              </w:rPr>
            </w:pPr>
          </w:p>
        </w:tc>
        <w:tc>
          <w:tcPr>
            <w:tcW w:w="120" w:type="dxa"/>
            <w:vAlign w:val="bottom"/>
          </w:tcPr>
          <w:p>
            <w:pPr>
              <w:spacing w:after="0"/>
              <w:rPr>
                <w:sz w:val="4"/>
                <w:szCs w:val="4"/>
                <w:color w:val="auto"/>
              </w:rPr>
            </w:pPr>
          </w:p>
        </w:tc>
        <w:tc>
          <w:tcPr>
            <w:tcW w:w="240" w:type="dxa"/>
            <w:vAlign w:val="bottom"/>
          </w:tcPr>
          <w:p>
            <w:pPr>
              <w:spacing w:after="0"/>
              <w:rPr>
                <w:sz w:val="4"/>
                <w:szCs w:val="4"/>
                <w:color w:val="auto"/>
              </w:rPr>
            </w:pPr>
          </w:p>
        </w:tc>
        <w:tc>
          <w:tcPr>
            <w:tcW w:w="1240" w:type="dxa"/>
            <w:vAlign w:val="bottom"/>
            <w:vMerge w:val="restart"/>
          </w:tcPr>
          <w:p>
            <w:pPr>
              <w:jc w:val="right"/>
              <w:ind w:right="373"/>
              <w:spacing w:after="0" w:line="135" w:lineRule="exact"/>
              <w:rPr>
                <w:sz w:val="20"/>
                <w:szCs w:val="20"/>
                <w:color w:val="auto"/>
              </w:rPr>
            </w:pPr>
            <w:r>
              <w:rPr>
                <w:rFonts w:ascii="Arial" w:cs="Arial" w:eastAsia="Arial" w:hAnsi="Arial"/>
                <w:sz w:val="14"/>
                <w:szCs w:val="14"/>
                <w:b w:val="1"/>
                <w:bCs w:val="1"/>
                <w:color w:val="auto"/>
              </w:rPr>
              <w:t>Increase</w:t>
            </w:r>
          </w:p>
        </w:tc>
        <w:tc>
          <w:tcPr>
            <w:tcW w:w="1580" w:type="dxa"/>
            <w:vAlign w:val="bottom"/>
            <w:vMerge w:val="restart"/>
          </w:tcPr>
          <w:p>
            <w:pPr>
              <w:jc w:val="center"/>
              <w:ind w:left="34"/>
              <w:spacing w:after="0" w:line="135" w:lineRule="exact"/>
              <w:rPr>
                <w:sz w:val="20"/>
                <w:szCs w:val="20"/>
                <w:color w:val="auto"/>
              </w:rPr>
            </w:pPr>
            <w:r>
              <w:rPr>
                <w:rFonts w:ascii="Arial" w:cs="Arial" w:eastAsia="Arial" w:hAnsi="Arial"/>
                <w:sz w:val="14"/>
                <w:szCs w:val="14"/>
                <w:b w:val="1"/>
                <w:bCs w:val="1"/>
                <w:color w:val="auto"/>
              </w:rPr>
              <w:t>Increase</w:t>
            </w:r>
          </w:p>
        </w:tc>
        <w:tc>
          <w:tcPr>
            <w:tcW w:w="0" w:type="dxa"/>
            <w:vAlign w:val="bottom"/>
          </w:tcPr>
          <w:p>
            <w:pPr>
              <w:spacing w:after="0"/>
              <w:rPr>
                <w:sz w:val="1"/>
                <w:szCs w:val="1"/>
                <w:color w:val="auto"/>
              </w:rPr>
            </w:pPr>
          </w:p>
        </w:tc>
      </w:tr>
      <w:tr>
        <w:trPr>
          <w:trHeight w:val="61"/>
        </w:trPr>
        <w:tc>
          <w:tcPr>
            <w:tcW w:w="5160" w:type="dxa"/>
            <w:vAlign w:val="bottom"/>
          </w:tcPr>
          <w:p>
            <w:pPr>
              <w:spacing w:after="0"/>
              <w:rPr>
                <w:sz w:val="5"/>
                <w:szCs w:val="5"/>
                <w:color w:val="auto"/>
              </w:rPr>
            </w:pPr>
          </w:p>
        </w:tc>
        <w:tc>
          <w:tcPr>
            <w:tcW w:w="360" w:type="dxa"/>
            <w:vAlign w:val="bottom"/>
          </w:tcPr>
          <w:p>
            <w:pPr>
              <w:spacing w:after="0"/>
              <w:rPr>
                <w:sz w:val="5"/>
                <w:szCs w:val="5"/>
                <w:color w:val="auto"/>
              </w:rPr>
            </w:pPr>
          </w:p>
        </w:tc>
        <w:tc>
          <w:tcPr>
            <w:tcW w:w="1140" w:type="dxa"/>
            <w:vAlign w:val="bottom"/>
          </w:tcPr>
          <w:p>
            <w:pPr>
              <w:spacing w:after="0"/>
              <w:rPr>
                <w:sz w:val="5"/>
                <w:szCs w:val="5"/>
                <w:color w:val="auto"/>
              </w:rPr>
            </w:pPr>
          </w:p>
        </w:tc>
        <w:tc>
          <w:tcPr>
            <w:tcW w:w="100" w:type="dxa"/>
            <w:vAlign w:val="bottom"/>
          </w:tcPr>
          <w:p>
            <w:pPr>
              <w:spacing w:after="0"/>
              <w:rPr>
                <w:sz w:val="5"/>
                <w:szCs w:val="5"/>
                <w:color w:val="auto"/>
              </w:rPr>
            </w:pPr>
          </w:p>
        </w:tc>
        <w:tc>
          <w:tcPr>
            <w:tcW w:w="140" w:type="dxa"/>
            <w:vAlign w:val="bottom"/>
          </w:tcPr>
          <w:p>
            <w:pPr>
              <w:spacing w:after="0"/>
              <w:rPr>
                <w:sz w:val="5"/>
                <w:szCs w:val="5"/>
                <w:color w:val="auto"/>
              </w:rPr>
            </w:pPr>
          </w:p>
        </w:tc>
        <w:tc>
          <w:tcPr>
            <w:tcW w:w="1340" w:type="dxa"/>
            <w:vAlign w:val="bottom"/>
          </w:tcPr>
          <w:p>
            <w:pPr>
              <w:spacing w:after="0"/>
              <w:rPr>
                <w:sz w:val="5"/>
                <w:szCs w:val="5"/>
                <w:color w:val="auto"/>
              </w:rPr>
            </w:pPr>
          </w:p>
        </w:tc>
        <w:tc>
          <w:tcPr>
            <w:tcW w:w="120" w:type="dxa"/>
            <w:vAlign w:val="bottom"/>
          </w:tcPr>
          <w:p>
            <w:pPr>
              <w:spacing w:after="0"/>
              <w:rPr>
                <w:sz w:val="5"/>
                <w:szCs w:val="5"/>
                <w:color w:val="auto"/>
              </w:rPr>
            </w:pPr>
          </w:p>
        </w:tc>
        <w:tc>
          <w:tcPr>
            <w:tcW w:w="240" w:type="dxa"/>
            <w:vAlign w:val="bottom"/>
          </w:tcPr>
          <w:p>
            <w:pPr>
              <w:spacing w:after="0"/>
              <w:rPr>
                <w:sz w:val="5"/>
                <w:szCs w:val="5"/>
                <w:color w:val="auto"/>
              </w:rPr>
            </w:pPr>
          </w:p>
        </w:tc>
        <w:tc>
          <w:tcPr>
            <w:tcW w:w="1240" w:type="dxa"/>
            <w:vAlign w:val="bottom"/>
            <w:vMerge w:val="continue"/>
          </w:tcPr>
          <w:p>
            <w:pPr>
              <w:spacing w:after="0"/>
              <w:rPr>
                <w:sz w:val="5"/>
                <w:szCs w:val="5"/>
                <w:color w:val="auto"/>
              </w:rPr>
            </w:pPr>
          </w:p>
        </w:tc>
        <w:tc>
          <w:tcPr>
            <w:tcW w:w="158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96"/>
        </w:trPr>
        <w:tc>
          <w:tcPr>
            <w:tcW w:w="5160" w:type="dxa"/>
            <w:vAlign w:val="bottom"/>
          </w:tcPr>
          <w:p>
            <w:pPr>
              <w:spacing w:after="0"/>
              <w:rPr>
                <w:sz w:val="17"/>
                <w:szCs w:val="17"/>
                <w:color w:val="auto"/>
              </w:rPr>
            </w:pPr>
          </w:p>
        </w:tc>
        <w:tc>
          <w:tcPr>
            <w:tcW w:w="360" w:type="dxa"/>
            <w:vAlign w:val="bottom"/>
            <w:tcBorders>
              <w:bottom w:val="single" w:sz="8" w:color="auto"/>
            </w:tcBorders>
          </w:tcPr>
          <w:p>
            <w:pPr>
              <w:spacing w:after="0"/>
              <w:rPr>
                <w:sz w:val="17"/>
                <w:szCs w:val="17"/>
                <w:color w:val="auto"/>
              </w:rPr>
            </w:pPr>
          </w:p>
        </w:tc>
        <w:tc>
          <w:tcPr>
            <w:tcW w:w="1140" w:type="dxa"/>
            <w:vAlign w:val="bottom"/>
            <w:tcBorders>
              <w:bottom w:val="single" w:sz="8" w:color="auto"/>
            </w:tcBorders>
          </w:tcPr>
          <w:p>
            <w:pPr>
              <w:jc w:val="right"/>
              <w:ind w:right="513"/>
              <w:spacing w:after="0"/>
              <w:rPr>
                <w:sz w:val="20"/>
                <w:szCs w:val="20"/>
                <w:color w:val="auto"/>
              </w:rPr>
            </w:pPr>
            <w:r>
              <w:rPr>
                <w:rFonts w:ascii="Arial" w:cs="Arial" w:eastAsia="Arial" w:hAnsi="Arial"/>
                <w:sz w:val="14"/>
                <w:szCs w:val="14"/>
                <w:b w:val="1"/>
                <w:bCs w:val="1"/>
                <w:color w:val="auto"/>
              </w:rPr>
              <w:t>2019</w:t>
            </w:r>
          </w:p>
        </w:tc>
        <w:tc>
          <w:tcPr>
            <w:tcW w:w="100" w:type="dxa"/>
            <w:vAlign w:val="bottom"/>
            <w:tcBorders>
              <w:bottom w:val="single" w:sz="8" w:color="auto"/>
            </w:tcBorders>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1340" w:type="dxa"/>
            <w:vAlign w:val="bottom"/>
            <w:tcBorders>
              <w:bottom w:val="single" w:sz="8" w:color="auto"/>
            </w:tcBorders>
          </w:tcPr>
          <w:p>
            <w:pPr>
              <w:jc w:val="right"/>
              <w:ind w:right="493"/>
              <w:spacing w:after="0"/>
              <w:rPr>
                <w:sz w:val="20"/>
                <w:szCs w:val="20"/>
                <w:color w:val="auto"/>
              </w:rPr>
            </w:pPr>
            <w:r>
              <w:rPr>
                <w:rFonts w:ascii="Arial" w:cs="Arial" w:eastAsia="Arial" w:hAnsi="Arial"/>
                <w:sz w:val="14"/>
                <w:szCs w:val="14"/>
                <w:b w:val="1"/>
                <w:bCs w:val="1"/>
                <w:color w:val="auto"/>
              </w:rPr>
              <w:t>2018</w:t>
            </w:r>
          </w:p>
        </w:tc>
        <w:tc>
          <w:tcPr>
            <w:tcW w:w="120" w:type="dxa"/>
            <w:vAlign w:val="bottom"/>
            <w:tcBorders>
              <w:bottom w:val="single" w:sz="8" w:color="auto"/>
            </w:tcBorders>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1240" w:type="dxa"/>
            <w:vAlign w:val="bottom"/>
            <w:tcBorders>
              <w:bottom w:val="single" w:sz="8" w:color="auto"/>
            </w:tcBorders>
          </w:tcPr>
          <w:p>
            <w:pPr>
              <w:jc w:val="right"/>
              <w:ind w:right="293"/>
              <w:spacing w:after="0"/>
              <w:rPr>
                <w:sz w:val="20"/>
                <w:szCs w:val="20"/>
                <w:color w:val="auto"/>
              </w:rPr>
            </w:pPr>
            <w:r>
              <w:rPr>
                <w:rFonts w:ascii="Arial" w:cs="Arial" w:eastAsia="Arial" w:hAnsi="Arial"/>
                <w:sz w:val="14"/>
                <w:szCs w:val="14"/>
                <w:b w:val="1"/>
                <w:bCs w:val="1"/>
                <w:color w:val="auto"/>
              </w:rPr>
              <w:t>(Decrease)</w:t>
            </w:r>
          </w:p>
        </w:tc>
        <w:tc>
          <w:tcPr>
            <w:tcW w:w="1580" w:type="dxa"/>
            <w:vAlign w:val="bottom"/>
            <w:tcBorders>
              <w:bottom w:val="single" w:sz="8" w:color="auto"/>
            </w:tcBorders>
          </w:tcPr>
          <w:p>
            <w:pPr>
              <w:jc w:val="center"/>
              <w:ind w:left="34"/>
              <w:spacing w:after="0"/>
              <w:rPr>
                <w:sz w:val="20"/>
                <w:szCs w:val="20"/>
                <w:color w:val="auto"/>
              </w:rPr>
            </w:pPr>
            <w:r>
              <w:rPr>
                <w:rFonts w:ascii="Arial" w:cs="Arial" w:eastAsia="Arial" w:hAnsi="Arial"/>
                <w:sz w:val="14"/>
                <w:szCs w:val="14"/>
                <w:b w:val="1"/>
                <w:bCs w:val="1"/>
                <w:color w:val="auto"/>
              </w:rPr>
              <w:t>(Decrease)</w:t>
            </w:r>
          </w:p>
        </w:tc>
        <w:tc>
          <w:tcPr>
            <w:tcW w:w="0" w:type="dxa"/>
            <w:vAlign w:val="bottom"/>
          </w:tcPr>
          <w:p>
            <w:pPr>
              <w:spacing w:after="0"/>
              <w:rPr>
                <w:sz w:val="1"/>
                <w:szCs w:val="1"/>
                <w:color w:val="auto"/>
              </w:rPr>
            </w:pPr>
          </w:p>
        </w:tc>
      </w:tr>
      <w:tr>
        <w:trPr>
          <w:trHeight w:val="210"/>
        </w:trPr>
        <w:tc>
          <w:tcPr>
            <w:tcW w:w="516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940" w:type="dxa"/>
            <w:vAlign w:val="bottom"/>
            <w:gridSpan w:val="4"/>
          </w:tcPr>
          <w:p>
            <w:pPr>
              <w:jc w:val="right"/>
              <w:ind w:right="73"/>
              <w:spacing w:after="0"/>
              <w:rPr>
                <w:sz w:val="20"/>
                <w:szCs w:val="20"/>
                <w:color w:val="auto"/>
              </w:rPr>
            </w:pPr>
            <w:r>
              <w:rPr>
                <w:rFonts w:ascii="Arial" w:cs="Arial" w:eastAsia="Arial" w:hAnsi="Arial"/>
                <w:sz w:val="14"/>
                <w:szCs w:val="14"/>
                <w:b w:val="1"/>
                <w:bCs w:val="1"/>
                <w:color w:val="auto"/>
              </w:rPr>
              <w:t>(In millions, except percentage changes)</w:t>
            </w:r>
          </w:p>
        </w:tc>
        <w:tc>
          <w:tcPr>
            <w:tcW w:w="15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6"/>
        </w:trPr>
        <w:tc>
          <w:tcPr>
            <w:tcW w:w="5160" w:type="dxa"/>
            <w:vAlign w:val="bottom"/>
            <w:shd w:val="clear" w:color="auto" w:fill="CCEEFF"/>
          </w:tcPr>
          <w:p>
            <w:pPr>
              <w:ind w:left="40"/>
              <w:spacing w:after="0"/>
              <w:rPr>
                <w:sz w:val="20"/>
                <w:szCs w:val="20"/>
                <w:color w:val="auto"/>
              </w:rPr>
            </w:pPr>
            <w:r>
              <w:rPr>
                <w:rFonts w:ascii="Arial" w:cs="Arial" w:eastAsia="Arial" w:hAnsi="Arial"/>
                <w:sz w:val="18"/>
                <w:szCs w:val="18"/>
                <w:color w:val="auto"/>
              </w:rPr>
              <w:t>Aircraft fuel and related taxes</w:t>
            </w:r>
          </w:p>
        </w:tc>
        <w:tc>
          <w:tcPr>
            <w:tcW w:w="36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140" w:type="dxa"/>
            <w:vAlign w:val="bottom"/>
            <w:shd w:val="clear" w:color="auto" w:fill="CCEEFF"/>
          </w:tcPr>
          <w:p>
            <w:pPr>
              <w:jc w:val="right"/>
              <w:ind w:right="33"/>
              <w:spacing w:after="0"/>
              <w:rPr>
                <w:sz w:val="20"/>
                <w:szCs w:val="20"/>
                <w:color w:val="auto"/>
              </w:rPr>
            </w:pPr>
            <w:r>
              <w:rPr>
                <w:rFonts w:ascii="Arial" w:cs="Arial" w:eastAsia="Arial" w:hAnsi="Arial"/>
                <w:sz w:val="18"/>
                <w:szCs w:val="18"/>
                <w:color w:val="auto"/>
              </w:rPr>
              <w:t>7,526</w:t>
            </w:r>
          </w:p>
        </w:tc>
        <w:tc>
          <w:tcPr>
            <w:tcW w:w="100" w:type="dxa"/>
            <w:vAlign w:val="bottom"/>
            <w:shd w:val="clear" w:color="auto" w:fill="CCEEFF"/>
          </w:tcPr>
          <w:p>
            <w:pPr>
              <w:spacing w:after="0"/>
              <w:rPr>
                <w:sz w:val="24"/>
                <w:szCs w:val="24"/>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40" w:type="dxa"/>
            <w:vAlign w:val="bottom"/>
            <w:shd w:val="clear" w:color="auto" w:fill="CCEEFF"/>
          </w:tcPr>
          <w:p>
            <w:pPr>
              <w:jc w:val="right"/>
              <w:ind w:right="13"/>
              <w:spacing w:after="0"/>
              <w:rPr>
                <w:sz w:val="20"/>
                <w:szCs w:val="20"/>
                <w:color w:val="auto"/>
              </w:rPr>
            </w:pPr>
            <w:r>
              <w:rPr>
                <w:rFonts w:ascii="Arial" w:cs="Arial" w:eastAsia="Arial" w:hAnsi="Arial"/>
                <w:sz w:val="18"/>
                <w:szCs w:val="18"/>
                <w:color w:val="auto"/>
              </w:rPr>
              <w:t>8,053</w:t>
            </w:r>
          </w:p>
        </w:tc>
        <w:tc>
          <w:tcPr>
            <w:tcW w:w="120" w:type="dxa"/>
            <w:vAlign w:val="bottom"/>
            <w:shd w:val="clear" w:color="auto" w:fill="CCEEFF"/>
          </w:tcPr>
          <w:p>
            <w:pPr>
              <w:spacing w:after="0"/>
              <w:rPr>
                <w:sz w:val="24"/>
                <w:szCs w:val="24"/>
                <w:color w:val="auto"/>
              </w:rPr>
            </w:pPr>
          </w:p>
        </w:tc>
        <w:tc>
          <w:tcPr>
            <w:tcW w:w="24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(527)</w:t>
            </w:r>
          </w:p>
        </w:tc>
        <w:tc>
          <w:tcPr>
            <w:tcW w:w="1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(6.5)</w:t>
            </w:r>
          </w:p>
        </w:tc>
        <w:tc>
          <w:tcPr>
            <w:tcW w:w="0" w:type="dxa"/>
            <w:vAlign w:val="bottom"/>
          </w:tcPr>
          <w:p>
            <w:pPr>
              <w:spacing w:after="0"/>
              <w:rPr>
                <w:sz w:val="1"/>
                <w:szCs w:val="1"/>
                <w:color w:val="auto"/>
              </w:rPr>
            </w:pPr>
          </w:p>
        </w:tc>
      </w:tr>
      <w:tr>
        <w:trPr>
          <w:trHeight w:val="263"/>
        </w:trPr>
        <w:tc>
          <w:tcPr>
            <w:tcW w:w="5160" w:type="dxa"/>
            <w:vAlign w:val="bottom"/>
          </w:tcPr>
          <w:p>
            <w:pPr>
              <w:ind w:left="40"/>
              <w:spacing w:after="0"/>
              <w:rPr>
                <w:sz w:val="20"/>
                <w:szCs w:val="20"/>
                <w:color w:val="auto"/>
              </w:rPr>
            </w:pPr>
            <w:r>
              <w:rPr>
                <w:rFonts w:ascii="Arial" w:cs="Arial" w:eastAsia="Arial" w:hAnsi="Arial"/>
                <w:sz w:val="18"/>
                <w:szCs w:val="18"/>
                <w:color w:val="auto"/>
              </w:rPr>
              <w:t>Salaries, wages and benefits</w:t>
            </w:r>
          </w:p>
        </w:tc>
        <w:tc>
          <w:tcPr>
            <w:tcW w:w="360" w:type="dxa"/>
            <w:vAlign w:val="bottom"/>
          </w:tcPr>
          <w:p>
            <w:pPr>
              <w:spacing w:after="0"/>
              <w:rPr>
                <w:sz w:val="22"/>
                <w:szCs w:val="22"/>
                <w:color w:val="auto"/>
              </w:rPr>
            </w:pPr>
          </w:p>
        </w:tc>
        <w:tc>
          <w:tcPr>
            <w:tcW w:w="1140" w:type="dxa"/>
            <w:vAlign w:val="bottom"/>
          </w:tcPr>
          <w:p>
            <w:pPr>
              <w:jc w:val="right"/>
              <w:ind w:right="33"/>
              <w:spacing w:after="0"/>
              <w:rPr>
                <w:sz w:val="20"/>
                <w:szCs w:val="20"/>
                <w:color w:val="auto"/>
              </w:rPr>
            </w:pPr>
            <w:r>
              <w:rPr>
                <w:rFonts w:ascii="Arial" w:cs="Arial" w:eastAsia="Arial" w:hAnsi="Arial"/>
                <w:sz w:val="18"/>
                <w:szCs w:val="18"/>
                <w:color w:val="auto"/>
              </w:rPr>
              <w:t>12,609</w:t>
            </w:r>
          </w:p>
        </w:tc>
        <w:tc>
          <w:tcPr>
            <w:tcW w:w="10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340" w:type="dxa"/>
            <w:vAlign w:val="bottom"/>
          </w:tcPr>
          <w:p>
            <w:pPr>
              <w:jc w:val="right"/>
              <w:ind w:right="13"/>
              <w:spacing w:after="0"/>
              <w:rPr>
                <w:sz w:val="20"/>
                <w:szCs w:val="20"/>
                <w:color w:val="auto"/>
              </w:rPr>
            </w:pPr>
            <w:r>
              <w:rPr>
                <w:rFonts w:ascii="Arial" w:cs="Arial" w:eastAsia="Arial" w:hAnsi="Arial"/>
                <w:sz w:val="18"/>
                <w:szCs w:val="18"/>
                <w:color w:val="auto"/>
              </w:rPr>
              <w:t>12,251</w:t>
            </w:r>
          </w:p>
        </w:tc>
        <w:tc>
          <w:tcPr>
            <w:tcW w:w="12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1240" w:type="dxa"/>
            <w:vAlign w:val="bottom"/>
          </w:tcPr>
          <w:p>
            <w:pPr>
              <w:jc w:val="right"/>
              <w:ind w:right="13"/>
              <w:spacing w:after="0"/>
              <w:rPr>
                <w:sz w:val="20"/>
                <w:szCs w:val="20"/>
                <w:color w:val="auto"/>
              </w:rPr>
            </w:pPr>
            <w:r>
              <w:rPr>
                <w:rFonts w:ascii="Arial" w:cs="Arial" w:eastAsia="Arial" w:hAnsi="Arial"/>
                <w:sz w:val="18"/>
                <w:szCs w:val="18"/>
                <w:color w:val="auto"/>
              </w:rPr>
              <w:t>358</w:t>
            </w:r>
          </w:p>
        </w:tc>
        <w:tc>
          <w:tcPr>
            <w:tcW w:w="1580" w:type="dxa"/>
            <w:vAlign w:val="bottom"/>
          </w:tcPr>
          <w:p>
            <w:pPr>
              <w:jc w:val="right"/>
              <w:ind w:right="14"/>
              <w:spacing w:after="0"/>
              <w:rPr>
                <w:sz w:val="20"/>
                <w:szCs w:val="20"/>
                <w:color w:val="auto"/>
              </w:rPr>
            </w:pPr>
            <w:r>
              <w:rPr>
                <w:rFonts w:ascii="Arial" w:cs="Arial" w:eastAsia="Arial" w:hAnsi="Arial"/>
                <w:sz w:val="18"/>
                <w:szCs w:val="18"/>
                <w:color w:val="auto"/>
              </w:rPr>
              <w:t>2.9</w:t>
            </w:r>
          </w:p>
        </w:tc>
        <w:tc>
          <w:tcPr>
            <w:tcW w:w="0" w:type="dxa"/>
            <w:vAlign w:val="bottom"/>
          </w:tcPr>
          <w:p>
            <w:pPr>
              <w:spacing w:after="0"/>
              <w:rPr>
                <w:sz w:val="1"/>
                <w:szCs w:val="1"/>
                <w:color w:val="auto"/>
              </w:rPr>
            </w:pPr>
          </w:p>
        </w:tc>
      </w:tr>
      <w:tr>
        <w:trPr>
          <w:trHeight w:val="277"/>
        </w:trPr>
        <w:tc>
          <w:tcPr>
            <w:tcW w:w="5160" w:type="dxa"/>
            <w:vAlign w:val="bottom"/>
            <w:shd w:val="clear" w:color="auto" w:fill="CCEEFF"/>
          </w:tcPr>
          <w:p>
            <w:pPr>
              <w:ind w:left="40"/>
              <w:spacing w:after="0"/>
              <w:rPr>
                <w:sz w:val="20"/>
                <w:szCs w:val="20"/>
                <w:color w:val="auto"/>
              </w:rPr>
            </w:pPr>
            <w:r>
              <w:rPr>
                <w:rFonts w:ascii="Arial" w:cs="Arial" w:eastAsia="Arial" w:hAnsi="Arial"/>
                <w:sz w:val="18"/>
                <w:szCs w:val="18"/>
                <w:color w:val="auto"/>
              </w:rPr>
              <w:t>Maintenance, materials and repairs</w:t>
            </w:r>
          </w:p>
        </w:tc>
        <w:tc>
          <w:tcPr>
            <w:tcW w:w="360" w:type="dxa"/>
            <w:vAlign w:val="bottom"/>
            <w:shd w:val="clear" w:color="auto" w:fill="CCEEFF"/>
          </w:tcPr>
          <w:p>
            <w:pPr>
              <w:spacing w:after="0"/>
              <w:rPr>
                <w:sz w:val="24"/>
                <w:szCs w:val="24"/>
                <w:color w:val="auto"/>
              </w:rPr>
            </w:pPr>
          </w:p>
        </w:tc>
        <w:tc>
          <w:tcPr>
            <w:tcW w:w="1140" w:type="dxa"/>
            <w:vAlign w:val="bottom"/>
            <w:shd w:val="clear" w:color="auto" w:fill="CCEEFF"/>
          </w:tcPr>
          <w:p>
            <w:pPr>
              <w:jc w:val="right"/>
              <w:ind w:right="33"/>
              <w:spacing w:after="0"/>
              <w:rPr>
                <w:sz w:val="20"/>
                <w:szCs w:val="20"/>
                <w:color w:val="auto"/>
              </w:rPr>
            </w:pPr>
            <w:r>
              <w:rPr>
                <w:rFonts w:ascii="Arial" w:cs="Arial" w:eastAsia="Arial" w:hAnsi="Arial"/>
                <w:sz w:val="18"/>
                <w:szCs w:val="18"/>
                <w:color w:val="auto"/>
              </w:rPr>
              <w:t>2,380</w:t>
            </w:r>
          </w:p>
        </w:tc>
        <w:tc>
          <w:tcPr>
            <w:tcW w:w="10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1340" w:type="dxa"/>
            <w:vAlign w:val="bottom"/>
            <w:shd w:val="clear" w:color="auto" w:fill="CCEEFF"/>
          </w:tcPr>
          <w:p>
            <w:pPr>
              <w:jc w:val="right"/>
              <w:ind w:right="13"/>
              <w:spacing w:after="0"/>
              <w:rPr>
                <w:sz w:val="20"/>
                <w:szCs w:val="20"/>
                <w:color w:val="auto"/>
              </w:rPr>
            </w:pPr>
            <w:r>
              <w:rPr>
                <w:rFonts w:ascii="Arial" w:cs="Arial" w:eastAsia="Arial" w:hAnsi="Arial"/>
                <w:sz w:val="18"/>
                <w:szCs w:val="18"/>
                <w:color w:val="auto"/>
              </w:rPr>
              <w:t>2,050</w:t>
            </w:r>
          </w:p>
        </w:tc>
        <w:tc>
          <w:tcPr>
            <w:tcW w:w="120" w:type="dxa"/>
            <w:vAlign w:val="bottom"/>
            <w:shd w:val="clear" w:color="auto" w:fill="CCEEFF"/>
          </w:tcPr>
          <w:p>
            <w:pPr>
              <w:spacing w:after="0"/>
              <w:rPr>
                <w:sz w:val="24"/>
                <w:szCs w:val="24"/>
                <w:color w:val="auto"/>
              </w:rPr>
            </w:pPr>
          </w:p>
        </w:tc>
        <w:tc>
          <w:tcPr>
            <w:tcW w:w="240" w:type="dxa"/>
            <w:vAlign w:val="bottom"/>
            <w:shd w:val="clear" w:color="auto" w:fill="CCEEFF"/>
          </w:tcPr>
          <w:p>
            <w:pPr>
              <w:spacing w:after="0"/>
              <w:rPr>
                <w:sz w:val="24"/>
                <w:szCs w:val="24"/>
                <w:color w:val="auto"/>
              </w:rPr>
            </w:pPr>
          </w:p>
        </w:tc>
        <w:tc>
          <w:tcPr>
            <w:tcW w:w="1240" w:type="dxa"/>
            <w:vAlign w:val="bottom"/>
            <w:shd w:val="clear" w:color="auto" w:fill="CCEEFF"/>
          </w:tcPr>
          <w:p>
            <w:pPr>
              <w:jc w:val="right"/>
              <w:ind w:right="13"/>
              <w:spacing w:after="0"/>
              <w:rPr>
                <w:sz w:val="20"/>
                <w:szCs w:val="20"/>
                <w:color w:val="auto"/>
              </w:rPr>
            </w:pPr>
            <w:r>
              <w:rPr>
                <w:rFonts w:ascii="Arial" w:cs="Arial" w:eastAsia="Arial" w:hAnsi="Arial"/>
                <w:sz w:val="18"/>
                <w:szCs w:val="18"/>
                <w:color w:val="auto"/>
              </w:rPr>
              <w:t>330</w:t>
            </w:r>
          </w:p>
        </w:tc>
        <w:tc>
          <w:tcPr>
            <w:tcW w:w="1580" w:type="dxa"/>
            <w:vAlign w:val="bottom"/>
            <w:shd w:val="clear" w:color="auto" w:fill="CCEEFF"/>
          </w:tcPr>
          <w:p>
            <w:pPr>
              <w:jc w:val="right"/>
              <w:ind w:right="14"/>
              <w:spacing w:after="0"/>
              <w:rPr>
                <w:sz w:val="20"/>
                <w:szCs w:val="20"/>
                <w:color w:val="auto"/>
              </w:rPr>
            </w:pPr>
            <w:r>
              <w:rPr>
                <w:rFonts w:ascii="Arial" w:cs="Arial" w:eastAsia="Arial" w:hAnsi="Arial"/>
                <w:sz w:val="18"/>
                <w:szCs w:val="18"/>
                <w:color w:val="auto"/>
              </w:rPr>
              <w:t>16.1</w:t>
            </w:r>
          </w:p>
        </w:tc>
        <w:tc>
          <w:tcPr>
            <w:tcW w:w="0" w:type="dxa"/>
            <w:vAlign w:val="bottom"/>
          </w:tcPr>
          <w:p>
            <w:pPr>
              <w:spacing w:after="0"/>
              <w:rPr>
                <w:sz w:val="1"/>
                <w:szCs w:val="1"/>
                <w:color w:val="auto"/>
              </w:rPr>
            </w:pPr>
          </w:p>
        </w:tc>
      </w:tr>
      <w:tr>
        <w:trPr>
          <w:trHeight w:val="263"/>
        </w:trPr>
        <w:tc>
          <w:tcPr>
            <w:tcW w:w="5160" w:type="dxa"/>
            <w:vAlign w:val="bottom"/>
          </w:tcPr>
          <w:p>
            <w:pPr>
              <w:ind w:left="40"/>
              <w:spacing w:after="0"/>
              <w:rPr>
                <w:sz w:val="20"/>
                <w:szCs w:val="20"/>
                <w:color w:val="auto"/>
              </w:rPr>
            </w:pPr>
            <w:r>
              <w:rPr>
                <w:rFonts w:ascii="Arial" w:cs="Arial" w:eastAsia="Arial" w:hAnsi="Arial"/>
                <w:sz w:val="18"/>
                <w:szCs w:val="18"/>
                <w:color w:val="auto"/>
              </w:rPr>
              <w:t>Other rent and landing fees</w:t>
            </w:r>
          </w:p>
        </w:tc>
        <w:tc>
          <w:tcPr>
            <w:tcW w:w="360" w:type="dxa"/>
            <w:vAlign w:val="bottom"/>
          </w:tcPr>
          <w:p>
            <w:pPr>
              <w:spacing w:after="0"/>
              <w:rPr>
                <w:sz w:val="22"/>
                <w:szCs w:val="22"/>
                <w:color w:val="auto"/>
              </w:rPr>
            </w:pPr>
          </w:p>
        </w:tc>
        <w:tc>
          <w:tcPr>
            <w:tcW w:w="1140" w:type="dxa"/>
            <w:vAlign w:val="bottom"/>
          </w:tcPr>
          <w:p>
            <w:pPr>
              <w:jc w:val="right"/>
              <w:ind w:right="33"/>
              <w:spacing w:after="0"/>
              <w:rPr>
                <w:sz w:val="20"/>
                <w:szCs w:val="20"/>
                <w:color w:val="auto"/>
              </w:rPr>
            </w:pPr>
            <w:r>
              <w:rPr>
                <w:rFonts w:ascii="Arial" w:cs="Arial" w:eastAsia="Arial" w:hAnsi="Arial"/>
                <w:sz w:val="18"/>
                <w:szCs w:val="18"/>
                <w:color w:val="auto"/>
              </w:rPr>
              <w:t>2,055</w:t>
            </w:r>
          </w:p>
        </w:tc>
        <w:tc>
          <w:tcPr>
            <w:tcW w:w="10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340" w:type="dxa"/>
            <w:vAlign w:val="bottom"/>
          </w:tcPr>
          <w:p>
            <w:pPr>
              <w:jc w:val="right"/>
              <w:ind w:right="13"/>
              <w:spacing w:after="0"/>
              <w:rPr>
                <w:sz w:val="20"/>
                <w:szCs w:val="20"/>
                <w:color w:val="auto"/>
              </w:rPr>
            </w:pPr>
            <w:r>
              <w:rPr>
                <w:rFonts w:ascii="Arial" w:cs="Arial" w:eastAsia="Arial" w:hAnsi="Arial"/>
                <w:sz w:val="18"/>
                <w:szCs w:val="18"/>
                <w:color w:val="auto"/>
              </w:rPr>
              <w:t>1,900</w:t>
            </w:r>
          </w:p>
        </w:tc>
        <w:tc>
          <w:tcPr>
            <w:tcW w:w="12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1240" w:type="dxa"/>
            <w:vAlign w:val="bottom"/>
          </w:tcPr>
          <w:p>
            <w:pPr>
              <w:jc w:val="right"/>
              <w:ind w:right="13"/>
              <w:spacing w:after="0"/>
              <w:rPr>
                <w:sz w:val="20"/>
                <w:szCs w:val="20"/>
                <w:color w:val="auto"/>
              </w:rPr>
            </w:pPr>
            <w:r>
              <w:rPr>
                <w:rFonts w:ascii="Arial" w:cs="Arial" w:eastAsia="Arial" w:hAnsi="Arial"/>
                <w:sz w:val="18"/>
                <w:szCs w:val="18"/>
                <w:color w:val="auto"/>
              </w:rPr>
              <w:t>155</w:t>
            </w:r>
          </w:p>
        </w:tc>
        <w:tc>
          <w:tcPr>
            <w:tcW w:w="1580" w:type="dxa"/>
            <w:vAlign w:val="bottom"/>
          </w:tcPr>
          <w:p>
            <w:pPr>
              <w:jc w:val="right"/>
              <w:ind w:right="14"/>
              <w:spacing w:after="0"/>
              <w:rPr>
                <w:sz w:val="20"/>
                <w:szCs w:val="20"/>
                <w:color w:val="auto"/>
              </w:rPr>
            </w:pPr>
            <w:r>
              <w:rPr>
                <w:rFonts w:ascii="Arial" w:cs="Arial" w:eastAsia="Arial" w:hAnsi="Arial"/>
                <w:sz w:val="18"/>
                <w:szCs w:val="18"/>
                <w:color w:val="auto"/>
              </w:rPr>
              <w:t>8.2</w:t>
            </w:r>
          </w:p>
        </w:tc>
        <w:tc>
          <w:tcPr>
            <w:tcW w:w="0" w:type="dxa"/>
            <w:vAlign w:val="bottom"/>
          </w:tcPr>
          <w:p>
            <w:pPr>
              <w:spacing w:after="0"/>
              <w:rPr>
                <w:sz w:val="1"/>
                <w:szCs w:val="1"/>
                <w:color w:val="auto"/>
              </w:rPr>
            </w:pPr>
          </w:p>
        </w:tc>
      </w:tr>
      <w:tr>
        <w:trPr>
          <w:trHeight w:val="277"/>
        </w:trPr>
        <w:tc>
          <w:tcPr>
            <w:tcW w:w="5160" w:type="dxa"/>
            <w:vAlign w:val="bottom"/>
            <w:shd w:val="clear" w:color="auto" w:fill="CCEEFF"/>
          </w:tcPr>
          <w:p>
            <w:pPr>
              <w:ind w:left="40"/>
              <w:spacing w:after="0"/>
              <w:rPr>
                <w:sz w:val="20"/>
                <w:szCs w:val="20"/>
                <w:color w:val="auto"/>
              </w:rPr>
            </w:pPr>
            <w:r>
              <w:rPr>
                <w:rFonts w:ascii="Arial" w:cs="Arial" w:eastAsia="Arial" w:hAnsi="Arial"/>
                <w:sz w:val="18"/>
                <w:szCs w:val="18"/>
                <w:color w:val="auto"/>
              </w:rPr>
              <w:t>Aircraft rent</w:t>
            </w:r>
          </w:p>
        </w:tc>
        <w:tc>
          <w:tcPr>
            <w:tcW w:w="360" w:type="dxa"/>
            <w:vAlign w:val="bottom"/>
            <w:shd w:val="clear" w:color="auto" w:fill="CCEEFF"/>
          </w:tcPr>
          <w:p>
            <w:pPr>
              <w:spacing w:after="0"/>
              <w:rPr>
                <w:sz w:val="24"/>
                <w:szCs w:val="24"/>
                <w:color w:val="auto"/>
              </w:rPr>
            </w:pPr>
          </w:p>
        </w:tc>
        <w:tc>
          <w:tcPr>
            <w:tcW w:w="1140" w:type="dxa"/>
            <w:vAlign w:val="bottom"/>
            <w:shd w:val="clear" w:color="auto" w:fill="CCEEFF"/>
          </w:tcPr>
          <w:p>
            <w:pPr>
              <w:jc w:val="right"/>
              <w:ind w:right="33"/>
              <w:spacing w:after="0"/>
              <w:rPr>
                <w:sz w:val="20"/>
                <w:szCs w:val="20"/>
                <w:color w:val="auto"/>
              </w:rPr>
            </w:pPr>
            <w:r>
              <w:rPr>
                <w:rFonts w:ascii="Arial" w:cs="Arial" w:eastAsia="Arial" w:hAnsi="Arial"/>
                <w:sz w:val="18"/>
                <w:szCs w:val="18"/>
                <w:color w:val="auto"/>
              </w:rPr>
              <w:t>1,326</w:t>
            </w:r>
          </w:p>
        </w:tc>
        <w:tc>
          <w:tcPr>
            <w:tcW w:w="10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1340" w:type="dxa"/>
            <w:vAlign w:val="bottom"/>
            <w:shd w:val="clear" w:color="auto" w:fill="CCEEFF"/>
          </w:tcPr>
          <w:p>
            <w:pPr>
              <w:jc w:val="right"/>
              <w:ind w:right="13"/>
              <w:spacing w:after="0"/>
              <w:rPr>
                <w:sz w:val="20"/>
                <w:szCs w:val="20"/>
                <w:color w:val="auto"/>
              </w:rPr>
            </w:pPr>
            <w:r>
              <w:rPr>
                <w:rFonts w:ascii="Arial" w:cs="Arial" w:eastAsia="Arial" w:hAnsi="Arial"/>
                <w:sz w:val="18"/>
                <w:szCs w:val="18"/>
                <w:color w:val="auto"/>
              </w:rPr>
              <w:t>1,264</w:t>
            </w:r>
          </w:p>
        </w:tc>
        <w:tc>
          <w:tcPr>
            <w:tcW w:w="120" w:type="dxa"/>
            <w:vAlign w:val="bottom"/>
            <w:shd w:val="clear" w:color="auto" w:fill="CCEEFF"/>
          </w:tcPr>
          <w:p>
            <w:pPr>
              <w:spacing w:after="0"/>
              <w:rPr>
                <w:sz w:val="24"/>
                <w:szCs w:val="24"/>
                <w:color w:val="auto"/>
              </w:rPr>
            </w:pPr>
          </w:p>
        </w:tc>
        <w:tc>
          <w:tcPr>
            <w:tcW w:w="240" w:type="dxa"/>
            <w:vAlign w:val="bottom"/>
            <w:shd w:val="clear" w:color="auto" w:fill="CCEEFF"/>
          </w:tcPr>
          <w:p>
            <w:pPr>
              <w:spacing w:after="0"/>
              <w:rPr>
                <w:sz w:val="24"/>
                <w:szCs w:val="24"/>
                <w:color w:val="auto"/>
              </w:rPr>
            </w:pPr>
          </w:p>
        </w:tc>
        <w:tc>
          <w:tcPr>
            <w:tcW w:w="1240" w:type="dxa"/>
            <w:vAlign w:val="bottom"/>
            <w:shd w:val="clear" w:color="auto" w:fill="CCEEFF"/>
          </w:tcPr>
          <w:p>
            <w:pPr>
              <w:jc w:val="right"/>
              <w:ind w:right="13"/>
              <w:spacing w:after="0"/>
              <w:rPr>
                <w:sz w:val="20"/>
                <w:szCs w:val="20"/>
                <w:color w:val="auto"/>
              </w:rPr>
            </w:pPr>
            <w:r>
              <w:rPr>
                <w:rFonts w:ascii="Arial" w:cs="Arial" w:eastAsia="Arial" w:hAnsi="Arial"/>
                <w:sz w:val="18"/>
                <w:szCs w:val="18"/>
                <w:color w:val="auto"/>
              </w:rPr>
              <w:t>62</w:t>
            </w:r>
          </w:p>
        </w:tc>
        <w:tc>
          <w:tcPr>
            <w:tcW w:w="1580" w:type="dxa"/>
            <w:vAlign w:val="bottom"/>
            <w:shd w:val="clear" w:color="auto" w:fill="CCEEFF"/>
          </w:tcPr>
          <w:p>
            <w:pPr>
              <w:jc w:val="right"/>
              <w:ind w:right="14"/>
              <w:spacing w:after="0"/>
              <w:rPr>
                <w:sz w:val="20"/>
                <w:szCs w:val="20"/>
                <w:color w:val="auto"/>
              </w:rPr>
            </w:pPr>
            <w:r>
              <w:rPr>
                <w:rFonts w:ascii="Arial" w:cs="Arial" w:eastAsia="Arial" w:hAnsi="Arial"/>
                <w:sz w:val="18"/>
                <w:szCs w:val="18"/>
                <w:color w:val="auto"/>
              </w:rPr>
              <w:t>4.9</w:t>
            </w:r>
          </w:p>
        </w:tc>
        <w:tc>
          <w:tcPr>
            <w:tcW w:w="0" w:type="dxa"/>
            <w:vAlign w:val="bottom"/>
          </w:tcPr>
          <w:p>
            <w:pPr>
              <w:spacing w:after="0"/>
              <w:rPr>
                <w:sz w:val="1"/>
                <w:szCs w:val="1"/>
                <w:color w:val="auto"/>
              </w:rPr>
            </w:pPr>
          </w:p>
        </w:tc>
      </w:tr>
      <w:tr>
        <w:trPr>
          <w:trHeight w:val="263"/>
        </w:trPr>
        <w:tc>
          <w:tcPr>
            <w:tcW w:w="5160" w:type="dxa"/>
            <w:vAlign w:val="bottom"/>
          </w:tcPr>
          <w:p>
            <w:pPr>
              <w:ind w:left="40"/>
              <w:spacing w:after="0"/>
              <w:rPr>
                <w:sz w:val="20"/>
                <w:szCs w:val="20"/>
                <w:color w:val="auto"/>
              </w:rPr>
            </w:pPr>
            <w:r>
              <w:rPr>
                <w:rFonts w:ascii="Arial" w:cs="Arial" w:eastAsia="Arial" w:hAnsi="Arial"/>
                <w:sz w:val="18"/>
                <w:szCs w:val="18"/>
                <w:color w:val="auto"/>
              </w:rPr>
              <w:t>Selling expenses</w:t>
            </w:r>
          </w:p>
        </w:tc>
        <w:tc>
          <w:tcPr>
            <w:tcW w:w="360" w:type="dxa"/>
            <w:vAlign w:val="bottom"/>
          </w:tcPr>
          <w:p>
            <w:pPr>
              <w:spacing w:after="0"/>
              <w:rPr>
                <w:sz w:val="22"/>
                <w:szCs w:val="22"/>
                <w:color w:val="auto"/>
              </w:rPr>
            </w:pPr>
          </w:p>
        </w:tc>
        <w:tc>
          <w:tcPr>
            <w:tcW w:w="1140" w:type="dxa"/>
            <w:vAlign w:val="bottom"/>
          </w:tcPr>
          <w:p>
            <w:pPr>
              <w:jc w:val="right"/>
              <w:ind w:right="33"/>
              <w:spacing w:after="0"/>
              <w:rPr>
                <w:sz w:val="20"/>
                <w:szCs w:val="20"/>
                <w:color w:val="auto"/>
              </w:rPr>
            </w:pPr>
            <w:r>
              <w:rPr>
                <w:rFonts w:ascii="Arial" w:cs="Arial" w:eastAsia="Arial" w:hAnsi="Arial"/>
                <w:sz w:val="18"/>
                <w:szCs w:val="18"/>
                <w:color w:val="auto"/>
              </w:rPr>
              <w:t>1,602</w:t>
            </w:r>
          </w:p>
        </w:tc>
        <w:tc>
          <w:tcPr>
            <w:tcW w:w="10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340" w:type="dxa"/>
            <w:vAlign w:val="bottom"/>
          </w:tcPr>
          <w:p>
            <w:pPr>
              <w:jc w:val="right"/>
              <w:ind w:right="13"/>
              <w:spacing w:after="0"/>
              <w:rPr>
                <w:sz w:val="20"/>
                <w:szCs w:val="20"/>
                <w:color w:val="auto"/>
              </w:rPr>
            </w:pPr>
            <w:r>
              <w:rPr>
                <w:rFonts w:ascii="Arial" w:cs="Arial" w:eastAsia="Arial" w:hAnsi="Arial"/>
                <w:sz w:val="18"/>
                <w:szCs w:val="18"/>
                <w:color w:val="auto"/>
              </w:rPr>
              <w:t>1,520</w:t>
            </w:r>
          </w:p>
        </w:tc>
        <w:tc>
          <w:tcPr>
            <w:tcW w:w="12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1240" w:type="dxa"/>
            <w:vAlign w:val="bottom"/>
          </w:tcPr>
          <w:p>
            <w:pPr>
              <w:jc w:val="right"/>
              <w:ind w:right="13"/>
              <w:spacing w:after="0"/>
              <w:rPr>
                <w:sz w:val="20"/>
                <w:szCs w:val="20"/>
                <w:color w:val="auto"/>
              </w:rPr>
            </w:pPr>
            <w:r>
              <w:rPr>
                <w:rFonts w:ascii="Arial" w:cs="Arial" w:eastAsia="Arial" w:hAnsi="Arial"/>
                <w:sz w:val="18"/>
                <w:szCs w:val="18"/>
                <w:color w:val="auto"/>
              </w:rPr>
              <w:t>82</w:t>
            </w:r>
          </w:p>
        </w:tc>
        <w:tc>
          <w:tcPr>
            <w:tcW w:w="1580" w:type="dxa"/>
            <w:vAlign w:val="bottom"/>
          </w:tcPr>
          <w:p>
            <w:pPr>
              <w:jc w:val="right"/>
              <w:ind w:right="14"/>
              <w:spacing w:after="0"/>
              <w:rPr>
                <w:sz w:val="20"/>
                <w:szCs w:val="20"/>
                <w:color w:val="auto"/>
              </w:rPr>
            </w:pPr>
            <w:r>
              <w:rPr>
                <w:rFonts w:ascii="Arial" w:cs="Arial" w:eastAsia="Arial" w:hAnsi="Arial"/>
                <w:sz w:val="18"/>
                <w:szCs w:val="18"/>
                <w:color w:val="auto"/>
              </w:rPr>
              <w:t>5.4</w:t>
            </w:r>
          </w:p>
        </w:tc>
        <w:tc>
          <w:tcPr>
            <w:tcW w:w="0" w:type="dxa"/>
            <w:vAlign w:val="bottom"/>
          </w:tcPr>
          <w:p>
            <w:pPr>
              <w:spacing w:after="0"/>
              <w:rPr>
                <w:sz w:val="1"/>
                <w:szCs w:val="1"/>
                <w:color w:val="auto"/>
              </w:rPr>
            </w:pPr>
          </w:p>
        </w:tc>
      </w:tr>
      <w:tr>
        <w:trPr>
          <w:trHeight w:val="277"/>
        </w:trPr>
        <w:tc>
          <w:tcPr>
            <w:tcW w:w="5160" w:type="dxa"/>
            <w:vAlign w:val="bottom"/>
            <w:shd w:val="clear" w:color="auto" w:fill="CCEEFF"/>
          </w:tcPr>
          <w:p>
            <w:pPr>
              <w:ind w:left="40"/>
              <w:spacing w:after="0"/>
              <w:rPr>
                <w:sz w:val="20"/>
                <w:szCs w:val="20"/>
                <w:color w:val="auto"/>
              </w:rPr>
            </w:pPr>
            <w:r>
              <w:rPr>
                <w:rFonts w:ascii="Arial" w:cs="Arial" w:eastAsia="Arial" w:hAnsi="Arial"/>
                <w:sz w:val="18"/>
                <w:szCs w:val="18"/>
                <w:color w:val="auto"/>
              </w:rPr>
              <w:t>Depreciation and amortization</w:t>
            </w:r>
          </w:p>
        </w:tc>
        <w:tc>
          <w:tcPr>
            <w:tcW w:w="360" w:type="dxa"/>
            <w:vAlign w:val="bottom"/>
            <w:shd w:val="clear" w:color="auto" w:fill="CCEEFF"/>
          </w:tcPr>
          <w:p>
            <w:pPr>
              <w:spacing w:after="0"/>
              <w:rPr>
                <w:sz w:val="24"/>
                <w:szCs w:val="24"/>
                <w:color w:val="auto"/>
              </w:rPr>
            </w:pPr>
          </w:p>
        </w:tc>
        <w:tc>
          <w:tcPr>
            <w:tcW w:w="1140" w:type="dxa"/>
            <w:vAlign w:val="bottom"/>
            <w:shd w:val="clear" w:color="auto" w:fill="CCEEFF"/>
          </w:tcPr>
          <w:p>
            <w:pPr>
              <w:jc w:val="right"/>
              <w:ind w:right="33"/>
              <w:spacing w:after="0"/>
              <w:rPr>
                <w:sz w:val="20"/>
                <w:szCs w:val="20"/>
                <w:color w:val="auto"/>
              </w:rPr>
            </w:pPr>
            <w:r>
              <w:rPr>
                <w:rFonts w:ascii="Arial" w:cs="Arial" w:eastAsia="Arial" w:hAnsi="Arial"/>
                <w:sz w:val="18"/>
                <w:szCs w:val="18"/>
                <w:color w:val="auto"/>
              </w:rPr>
              <w:t>1,982</w:t>
            </w:r>
          </w:p>
        </w:tc>
        <w:tc>
          <w:tcPr>
            <w:tcW w:w="10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1340" w:type="dxa"/>
            <w:vAlign w:val="bottom"/>
            <w:shd w:val="clear" w:color="auto" w:fill="CCEEFF"/>
          </w:tcPr>
          <w:p>
            <w:pPr>
              <w:jc w:val="right"/>
              <w:ind w:right="13"/>
              <w:spacing w:after="0"/>
              <w:rPr>
                <w:sz w:val="20"/>
                <w:szCs w:val="20"/>
                <w:color w:val="auto"/>
              </w:rPr>
            </w:pPr>
            <w:r>
              <w:rPr>
                <w:rFonts w:ascii="Arial" w:cs="Arial" w:eastAsia="Arial" w:hAnsi="Arial"/>
                <w:sz w:val="18"/>
                <w:szCs w:val="18"/>
                <w:color w:val="auto"/>
              </w:rPr>
              <w:t>1,839</w:t>
            </w:r>
          </w:p>
        </w:tc>
        <w:tc>
          <w:tcPr>
            <w:tcW w:w="120" w:type="dxa"/>
            <w:vAlign w:val="bottom"/>
            <w:shd w:val="clear" w:color="auto" w:fill="CCEEFF"/>
          </w:tcPr>
          <w:p>
            <w:pPr>
              <w:spacing w:after="0"/>
              <w:rPr>
                <w:sz w:val="24"/>
                <w:szCs w:val="24"/>
                <w:color w:val="auto"/>
              </w:rPr>
            </w:pPr>
          </w:p>
        </w:tc>
        <w:tc>
          <w:tcPr>
            <w:tcW w:w="240" w:type="dxa"/>
            <w:vAlign w:val="bottom"/>
            <w:shd w:val="clear" w:color="auto" w:fill="CCEEFF"/>
          </w:tcPr>
          <w:p>
            <w:pPr>
              <w:spacing w:after="0"/>
              <w:rPr>
                <w:sz w:val="24"/>
                <w:szCs w:val="24"/>
                <w:color w:val="auto"/>
              </w:rPr>
            </w:pPr>
          </w:p>
        </w:tc>
        <w:tc>
          <w:tcPr>
            <w:tcW w:w="1240" w:type="dxa"/>
            <w:vAlign w:val="bottom"/>
            <w:shd w:val="clear" w:color="auto" w:fill="CCEEFF"/>
          </w:tcPr>
          <w:p>
            <w:pPr>
              <w:jc w:val="right"/>
              <w:ind w:right="13"/>
              <w:spacing w:after="0"/>
              <w:rPr>
                <w:sz w:val="20"/>
                <w:szCs w:val="20"/>
                <w:color w:val="auto"/>
              </w:rPr>
            </w:pPr>
            <w:r>
              <w:rPr>
                <w:rFonts w:ascii="Arial" w:cs="Arial" w:eastAsia="Arial" w:hAnsi="Arial"/>
                <w:sz w:val="18"/>
                <w:szCs w:val="18"/>
                <w:color w:val="auto"/>
              </w:rPr>
              <w:t>143</w:t>
            </w:r>
          </w:p>
        </w:tc>
        <w:tc>
          <w:tcPr>
            <w:tcW w:w="1580" w:type="dxa"/>
            <w:vAlign w:val="bottom"/>
            <w:shd w:val="clear" w:color="auto" w:fill="CCEEFF"/>
          </w:tcPr>
          <w:p>
            <w:pPr>
              <w:jc w:val="right"/>
              <w:ind w:right="14"/>
              <w:spacing w:after="0"/>
              <w:rPr>
                <w:sz w:val="20"/>
                <w:szCs w:val="20"/>
                <w:color w:val="auto"/>
              </w:rPr>
            </w:pPr>
            <w:r>
              <w:rPr>
                <w:rFonts w:ascii="Arial" w:cs="Arial" w:eastAsia="Arial" w:hAnsi="Arial"/>
                <w:sz w:val="18"/>
                <w:szCs w:val="18"/>
                <w:color w:val="auto"/>
              </w:rPr>
              <w:t>7.7</w:t>
            </w:r>
          </w:p>
        </w:tc>
        <w:tc>
          <w:tcPr>
            <w:tcW w:w="0" w:type="dxa"/>
            <w:vAlign w:val="bottom"/>
          </w:tcPr>
          <w:p>
            <w:pPr>
              <w:spacing w:after="0"/>
              <w:rPr>
                <w:sz w:val="1"/>
                <w:szCs w:val="1"/>
                <w:color w:val="auto"/>
              </w:rPr>
            </w:pPr>
          </w:p>
        </w:tc>
      </w:tr>
      <w:tr>
        <w:trPr>
          <w:trHeight w:val="263"/>
        </w:trPr>
        <w:tc>
          <w:tcPr>
            <w:tcW w:w="5160" w:type="dxa"/>
            <w:vAlign w:val="bottom"/>
          </w:tcPr>
          <w:p>
            <w:pPr>
              <w:ind w:left="40"/>
              <w:spacing w:after="0"/>
              <w:rPr>
                <w:sz w:val="20"/>
                <w:szCs w:val="20"/>
                <w:color w:val="auto"/>
              </w:rPr>
            </w:pPr>
            <w:r>
              <w:rPr>
                <w:rFonts w:ascii="Arial" w:cs="Arial" w:eastAsia="Arial" w:hAnsi="Arial"/>
                <w:sz w:val="18"/>
                <w:szCs w:val="18"/>
                <w:color w:val="auto"/>
              </w:rPr>
              <w:t>Mainline operating special items, net</w:t>
            </w:r>
          </w:p>
        </w:tc>
        <w:tc>
          <w:tcPr>
            <w:tcW w:w="360" w:type="dxa"/>
            <w:vAlign w:val="bottom"/>
          </w:tcPr>
          <w:p>
            <w:pPr>
              <w:spacing w:after="0"/>
              <w:rPr>
                <w:sz w:val="22"/>
                <w:szCs w:val="22"/>
                <w:color w:val="auto"/>
              </w:rPr>
            </w:pPr>
          </w:p>
        </w:tc>
        <w:tc>
          <w:tcPr>
            <w:tcW w:w="1140" w:type="dxa"/>
            <w:vAlign w:val="bottom"/>
          </w:tcPr>
          <w:p>
            <w:pPr>
              <w:jc w:val="right"/>
              <w:ind w:right="33"/>
              <w:spacing w:after="0"/>
              <w:rPr>
                <w:sz w:val="20"/>
                <w:szCs w:val="20"/>
                <w:color w:val="auto"/>
              </w:rPr>
            </w:pPr>
            <w:r>
              <w:rPr>
                <w:rFonts w:ascii="Arial" w:cs="Arial" w:eastAsia="Arial" w:hAnsi="Arial"/>
                <w:sz w:val="18"/>
                <w:szCs w:val="18"/>
                <w:color w:val="auto"/>
              </w:rPr>
              <w:t>635</w:t>
            </w:r>
          </w:p>
        </w:tc>
        <w:tc>
          <w:tcPr>
            <w:tcW w:w="10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340" w:type="dxa"/>
            <w:vAlign w:val="bottom"/>
          </w:tcPr>
          <w:p>
            <w:pPr>
              <w:jc w:val="right"/>
              <w:ind w:right="13"/>
              <w:spacing w:after="0"/>
              <w:rPr>
                <w:sz w:val="20"/>
                <w:szCs w:val="20"/>
                <w:color w:val="auto"/>
              </w:rPr>
            </w:pPr>
            <w:r>
              <w:rPr>
                <w:rFonts w:ascii="Arial" w:cs="Arial" w:eastAsia="Arial" w:hAnsi="Arial"/>
                <w:sz w:val="18"/>
                <w:szCs w:val="18"/>
                <w:color w:val="auto"/>
              </w:rPr>
              <w:t>787</w:t>
            </w:r>
          </w:p>
        </w:tc>
        <w:tc>
          <w:tcPr>
            <w:tcW w:w="12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(152)</w:t>
            </w:r>
          </w:p>
        </w:tc>
        <w:tc>
          <w:tcPr>
            <w:tcW w:w="1580" w:type="dxa"/>
            <w:vAlign w:val="bottom"/>
          </w:tcPr>
          <w:p>
            <w:pPr>
              <w:jc w:val="right"/>
              <w:spacing w:after="0"/>
              <w:rPr>
                <w:sz w:val="20"/>
                <w:szCs w:val="20"/>
                <w:color w:val="auto"/>
              </w:rPr>
            </w:pPr>
            <w:r>
              <w:rPr>
                <w:rFonts w:ascii="Arial" w:cs="Arial" w:eastAsia="Arial" w:hAnsi="Arial"/>
                <w:sz w:val="18"/>
                <w:szCs w:val="18"/>
                <w:color w:val="auto"/>
              </w:rPr>
              <w:t>(19.4)</w:t>
            </w:r>
          </w:p>
        </w:tc>
        <w:tc>
          <w:tcPr>
            <w:tcW w:w="0" w:type="dxa"/>
            <w:vAlign w:val="bottom"/>
          </w:tcPr>
          <w:p>
            <w:pPr>
              <w:spacing w:after="0"/>
              <w:rPr>
                <w:sz w:val="1"/>
                <w:szCs w:val="1"/>
                <w:color w:val="auto"/>
              </w:rPr>
            </w:pPr>
          </w:p>
        </w:tc>
      </w:tr>
      <w:tr>
        <w:trPr>
          <w:trHeight w:val="277"/>
        </w:trPr>
        <w:tc>
          <w:tcPr>
            <w:tcW w:w="5160" w:type="dxa"/>
            <w:vAlign w:val="bottom"/>
            <w:shd w:val="clear" w:color="auto" w:fill="CCEEFF"/>
          </w:tcPr>
          <w:p>
            <w:pPr>
              <w:ind w:left="40"/>
              <w:spacing w:after="0"/>
              <w:rPr>
                <w:sz w:val="20"/>
                <w:szCs w:val="20"/>
                <w:color w:val="auto"/>
              </w:rPr>
            </w:pPr>
            <w:r>
              <w:rPr>
                <w:rFonts w:ascii="Arial" w:cs="Arial" w:eastAsia="Arial" w:hAnsi="Arial"/>
                <w:sz w:val="18"/>
                <w:szCs w:val="18"/>
                <w:color w:val="auto"/>
              </w:rPr>
              <w:t>Other</w:t>
            </w:r>
          </w:p>
        </w:tc>
        <w:tc>
          <w:tcPr>
            <w:tcW w:w="360" w:type="dxa"/>
            <w:vAlign w:val="bottom"/>
            <w:shd w:val="clear" w:color="auto" w:fill="CCEEFF"/>
          </w:tcPr>
          <w:p>
            <w:pPr>
              <w:spacing w:after="0"/>
              <w:rPr>
                <w:sz w:val="24"/>
                <w:szCs w:val="24"/>
                <w:color w:val="auto"/>
              </w:rPr>
            </w:pPr>
          </w:p>
        </w:tc>
        <w:tc>
          <w:tcPr>
            <w:tcW w:w="1140" w:type="dxa"/>
            <w:vAlign w:val="bottom"/>
            <w:shd w:val="clear" w:color="auto" w:fill="CCEEFF"/>
          </w:tcPr>
          <w:p>
            <w:pPr>
              <w:jc w:val="right"/>
              <w:ind w:right="33"/>
              <w:spacing w:after="0"/>
              <w:rPr>
                <w:sz w:val="20"/>
                <w:szCs w:val="20"/>
                <w:color w:val="auto"/>
              </w:rPr>
            </w:pPr>
            <w:r>
              <w:rPr>
                <w:rFonts w:ascii="Arial" w:cs="Arial" w:eastAsia="Arial" w:hAnsi="Arial"/>
                <w:sz w:val="18"/>
                <w:szCs w:val="18"/>
                <w:color w:val="auto"/>
              </w:rPr>
              <w:t>5,087</w:t>
            </w:r>
          </w:p>
        </w:tc>
        <w:tc>
          <w:tcPr>
            <w:tcW w:w="10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1340" w:type="dxa"/>
            <w:vAlign w:val="bottom"/>
            <w:shd w:val="clear" w:color="auto" w:fill="CCEEFF"/>
          </w:tcPr>
          <w:p>
            <w:pPr>
              <w:jc w:val="right"/>
              <w:ind w:right="13"/>
              <w:spacing w:after="0"/>
              <w:rPr>
                <w:sz w:val="20"/>
                <w:szCs w:val="20"/>
                <w:color w:val="auto"/>
              </w:rPr>
            </w:pPr>
            <w:r>
              <w:rPr>
                <w:rFonts w:ascii="Arial" w:cs="Arial" w:eastAsia="Arial" w:hAnsi="Arial"/>
                <w:sz w:val="18"/>
                <w:szCs w:val="18"/>
                <w:color w:val="auto"/>
              </w:rPr>
              <w:t>5,088</w:t>
            </w:r>
          </w:p>
        </w:tc>
        <w:tc>
          <w:tcPr>
            <w:tcW w:w="120" w:type="dxa"/>
            <w:vAlign w:val="bottom"/>
            <w:shd w:val="clear" w:color="auto" w:fill="CCEEFF"/>
          </w:tcPr>
          <w:p>
            <w:pPr>
              <w:spacing w:after="0"/>
              <w:rPr>
                <w:sz w:val="24"/>
                <w:szCs w:val="24"/>
                <w:color w:val="auto"/>
              </w:rPr>
            </w:pPr>
          </w:p>
        </w:tc>
        <w:tc>
          <w:tcPr>
            <w:tcW w:w="240" w:type="dxa"/>
            <w:vAlign w:val="bottom"/>
            <w:shd w:val="clear" w:color="auto" w:fill="CCEEFF"/>
          </w:tcPr>
          <w:p>
            <w:pPr>
              <w:spacing w:after="0"/>
              <w:rPr>
                <w:sz w:val="24"/>
                <w:szCs w:val="24"/>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1580" w:type="dxa"/>
            <w:vAlign w:val="bottom"/>
            <w:shd w:val="clear" w:color="auto" w:fill="CCEEFF"/>
          </w:tcPr>
          <w:p>
            <w:pPr>
              <w:jc w:val="right"/>
              <w:ind w:right="14"/>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43"/>
        </w:trPr>
        <w:tc>
          <w:tcPr>
            <w:tcW w:w="5160" w:type="dxa"/>
            <w:vAlign w:val="bottom"/>
          </w:tcPr>
          <w:p>
            <w:pPr>
              <w:ind w:left="40"/>
              <w:spacing w:after="0"/>
              <w:rPr>
                <w:sz w:val="20"/>
                <w:szCs w:val="20"/>
                <w:color w:val="auto"/>
              </w:rPr>
            </w:pPr>
            <w:r>
              <w:rPr>
                <w:rFonts w:ascii="Arial" w:cs="Arial" w:eastAsia="Arial" w:hAnsi="Arial"/>
                <w:sz w:val="18"/>
                <w:szCs w:val="18"/>
                <w:color w:val="auto"/>
              </w:rPr>
              <w:t>Regional expenses:</w:t>
            </w:r>
          </w:p>
        </w:tc>
        <w:tc>
          <w:tcPr>
            <w:tcW w:w="36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3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240" w:type="dxa"/>
            <w:vAlign w:val="bottom"/>
          </w:tcPr>
          <w:p>
            <w:pPr>
              <w:spacing w:after="0"/>
              <w:rPr>
                <w:sz w:val="21"/>
                <w:szCs w:val="21"/>
                <w:color w:val="auto"/>
              </w:rPr>
            </w:pPr>
          </w:p>
        </w:tc>
        <w:tc>
          <w:tcPr>
            <w:tcW w:w="15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516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5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5160" w:type="dxa"/>
            <w:vAlign w:val="bottom"/>
            <w:shd w:val="clear" w:color="auto" w:fill="CCEEFF"/>
          </w:tcPr>
          <w:p>
            <w:pPr>
              <w:ind w:left="180"/>
              <w:spacing w:after="0"/>
              <w:rPr>
                <w:sz w:val="20"/>
                <w:szCs w:val="20"/>
                <w:color w:val="auto"/>
              </w:rPr>
            </w:pPr>
            <w:r>
              <w:rPr>
                <w:rFonts w:ascii="Arial" w:cs="Arial" w:eastAsia="Arial" w:hAnsi="Arial"/>
                <w:sz w:val="18"/>
                <w:szCs w:val="18"/>
                <w:color w:val="auto"/>
              </w:rPr>
              <w:t>Aircraft fuel and related taxes</w:t>
            </w:r>
          </w:p>
        </w:tc>
        <w:tc>
          <w:tcPr>
            <w:tcW w:w="360" w:type="dxa"/>
            <w:vAlign w:val="bottom"/>
            <w:shd w:val="clear" w:color="auto" w:fill="CCEEFF"/>
          </w:tcPr>
          <w:p>
            <w:pPr>
              <w:spacing w:after="0"/>
              <w:rPr>
                <w:sz w:val="23"/>
                <w:szCs w:val="23"/>
                <w:color w:val="auto"/>
              </w:rPr>
            </w:pPr>
          </w:p>
        </w:tc>
        <w:tc>
          <w:tcPr>
            <w:tcW w:w="1140" w:type="dxa"/>
            <w:vAlign w:val="bottom"/>
            <w:shd w:val="clear" w:color="auto" w:fill="CCEEFF"/>
          </w:tcPr>
          <w:p>
            <w:pPr>
              <w:jc w:val="right"/>
              <w:ind w:right="33"/>
              <w:spacing w:after="0"/>
              <w:rPr>
                <w:sz w:val="20"/>
                <w:szCs w:val="20"/>
                <w:color w:val="auto"/>
              </w:rPr>
            </w:pPr>
            <w:r>
              <w:rPr>
                <w:rFonts w:ascii="Arial" w:cs="Arial" w:eastAsia="Arial" w:hAnsi="Arial"/>
                <w:sz w:val="18"/>
                <w:szCs w:val="18"/>
                <w:color w:val="auto"/>
              </w:rPr>
              <w:t>1,869</w:t>
            </w:r>
          </w:p>
        </w:tc>
        <w:tc>
          <w:tcPr>
            <w:tcW w:w="100" w:type="dxa"/>
            <w:vAlign w:val="bottom"/>
            <w:shd w:val="clear" w:color="auto" w:fill="CCEEFF"/>
          </w:tcPr>
          <w:p>
            <w:pPr>
              <w:spacing w:after="0"/>
              <w:rPr>
                <w:sz w:val="23"/>
                <w:szCs w:val="23"/>
                <w:color w:val="auto"/>
              </w:rPr>
            </w:pPr>
          </w:p>
        </w:tc>
        <w:tc>
          <w:tcPr>
            <w:tcW w:w="140" w:type="dxa"/>
            <w:vAlign w:val="bottom"/>
            <w:shd w:val="clear" w:color="auto" w:fill="CCEEFF"/>
          </w:tcPr>
          <w:p>
            <w:pPr>
              <w:spacing w:after="0"/>
              <w:rPr>
                <w:sz w:val="23"/>
                <w:szCs w:val="23"/>
                <w:color w:val="auto"/>
              </w:rPr>
            </w:pPr>
          </w:p>
        </w:tc>
        <w:tc>
          <w:tcPr>
            <w:tcW w:w="1340" w:type="dxa"/>
            <w:vAlign w:val="bottom"/>
            <w:shd w:val="clear" w:color="auto" w:fill="CCEEFF"/>
          </w:tcPr>
          <w:p>
            <w:pPr>
              <w:jc w:val="right"/>
              <w:ind w:right="13"/>
              <w:spacing w:after="0"/>
              <w:rPr>
                <w:sz w:val="20"/>
                <w:szCs w:val="20"/>
                <w:color w:val="auto"/>
              </w:rPr>
            </w:pPr>
            <w:r>
              <w:rPr>
                <w:rFonts w:ascii="Arial" w:cs="Arial" w:eastAsia="Arial" w:hAnsi="Arial"/>
                <w:sz w:val="18"/>
                <w:szCs w:val="18"/>
                <w:color w:val="auto"/>
              </w:rPr>
              <w:t>1,843</w:t>
            </w:r>
          </w:p>
        </w:tc>
        <w:tc>
          <w:tcPr>
            <w:tcW w:w="120" w:type="dxa"/>
            <w:vAlign w:val="bottom"/>
            <w:shd w:val="clear" w:color="auto" w:fill="CCEEFF"/>
          </w:tcPr>
          <w:p>
            <w:pPr>
              <w:spacing w:after="0"/>
              <w:rPr>
                <w:sz w:val="23"/>
                <w:szCs w:val="23"/>
                <w:color w:val="auto"/>
              </w:rPr>
            </w:pPr>
          </w:p>
        </w:tc>
        <w:tc>
          <w:tcPr>
            <w:tcW w:w="240" w:type="dxa"/>
            <w:vAlign w:val="bottom"/>
            <w:shd w:val="clear" w:color="auto" w:fill="CCEEFF"/>
          </w:tcPr>
          <w:p>
            <w:pPr>
              <w:spacing w:after="0"/>
              <w:rPr>
                <w:sz w:val="23"/>
                <w:szCs w:val="23"/>
                <w:color w:val="auto"/>
              </w:rPr>
            </w:pPr>
          </w:p>
        </w:tc>
        <w:tc>
          <w:tcPr>
            <w:tcW w:w="1240" w:type="dxa"/>
            <w:vAlign w:val="bottom"/>
            <w:shd w:val="clear" w:color="auto" w:fill="CCEEFF"/>
          </w:tcPr>
          <w:p>
            <w:pPr>
              <w:jc w:val="right"/>
              <w:ind w:right="13"/>
              <w:spacing w:after="0"/>
              <w:rPr>
                <w:sz w:val="20"/>
                <w:szCs w:val="20"/>
                <w:color w:val="auto"/>
              </w:rPr>
            </w:pPr>
            <w:r>
              <w:rPr>
                <w:rFonts w:ascii="Arial" w:cs="Arial" w:eastAsia="Arial" w:hAnsi="Arial"/>
                <w:sz w:val="18"/>
                <w:szCs w:val="18"/>
                <w:color w:val="auto"/>
              </w:rPr>
              <w:t>26</w:t>
            </w:r>
          </w:p>
        </w:tc>
        <w:tc>
          <w:tcPr>
            <w:tcW w:w="1580" w:type="dxa"/>
            <w:vAlign w:val="bottom"/>
            <w:shd w:val="clear" w:color="auto" w:fill="CCEEFF"/>
          </w:tcPr>
          <w:p>
            <w:pPr>
              <w:jc w:val="right"/>
              <w:ind w:right="14"/>
              <w:spacing w:after="0"/>
              <w:rPr>
                <w:sz w:val="20"/>
                <w:szCs w:val="20"/>
                <w:color w:val="auto"/>
              </w:rPr>
            </w:pPr>
            <w:r>
              <w:rPr>
                <w:rFonts w:ascii="Arial" w:cs="Arial" w:eastAsia="Arial" w:hAnsi="Arial"/>
                <w:sz w:val="18"/>
                <w:szCs w:val="18"/>
                <w:color w:val="auto"/>
              </w:rPr>
              <w:t>1.4</w:t>
            </w:r>
          </w:p>
        </w:tc>
        <w:tc>
          <w:tcPr>
            <w:tcW w:w="0" w:type="dxa"/>
            <w:vAlign w:val="bottom"/>
          </w:tcPr>
          <w:p>
            <w:pPr>
              <w:spacing w:after="0"/>
              <w:rPr>
                <w:sz w:val="1"/>
                <w:szCs w:val="1"/>
                <w:color w:val="auto"/>
              </w:rPr>
            </w:pPr>
          </w:p>
        </w:tc>
      </w:tr>
      <w:tr>
        <w:trPr>
          <w:trHeight w:val="264"/>
        </w:trPr>
        <w:tc>
          <w:tcPr>
            <w:tcW w:w="5160" w:type="dxa"/>
            <w:vAlign w:val="bottom"/>
            <w:tcBorders>
              <w:bottom w:val="single" w:sz="8" w:color="CCEEFF"/>
            </w:tcBorders>
          </w:tcPr>
          <w:p>
            <w:pPr>
              <w:ind w:left="180"/>
              <w:spacing w:after="0"/>
              <w:rPr>
                <w:sz w:val="20"/>
                <w:szCs w:val="20"/>
                <w:color w:val="auto"/>
              </w:rPr>
            </w:pPr>
            <w:r>
              <w:rPr>
                <w:rFonts w:ascii="Arial" w:cs="Arial" w:eastAsia="Arial" w:hAnsi="Arial"/>
                <w:sz w:val="18"/>
                <w:szCs w:val="18"/>
                <w:color w:val="auto"/>
              </w:rPr>
              <w:t>Other</w:t>
            </w:r>
          </w:p>
        </w:tc>
        <w:tc>
          <w:tcPr>
            <w:tcW w:w="360" w:type="dxa"/>
            <w:vAlign w:val="bottom"/>
            <w:tcBorders>
              <w:bottom w:val="single" w:sz="8" w:color="auto"/>
            </w:tcBorders>
          </w:tcPr>
          <w:p>
            <w:pPr>
              <w:spacing w:after="0"/>
              <w:rPr>
                <w:sz w:val="22"/>
                <w:szCs w:val="22"/>
                <w:color w:val="auto"/>
              </w:rPr>
            </w:pPr>
          </w:p>
        </w:tc>
        <w:tc>
          <w:tcPr>
            <w:tcW w:w="1140" w:type="dxa"/>
            <w:vAlign w:val="bottom"/>
            <w:tcBorders>
              <w:bottom w:val="single" w:sz="8" w:color="auto"/>
            </w:tcBorders>
          </w:tcPr>
          <w:p>
            <w:pPr>
              <w:jc w:val="right"/>
              <w:ind w:right="33"/>
              <w:spacing w:after="0"/>
              <w:rPr>
                <w:sz w:val="20"/>
                <w:szCs w:val="20"/>
                <w:color w:val="auto"/>
              </w:rPr>
            </w:pPr>
            <w:r>
              <w:rPr>
                <w:rFonts w:ascii="Arial" w:cs="Arial" w:eastAsia="Arial" w:hAnsi="Arial"/>
                <w:sz w:val="18"/>
                <w:szCs w:val="18"/>
                <w:color w:val="auto"/>
              </w:rPr>
              <w:t>5,632</w:t>
            </w:r>
          </w:p>
        </w:tc>
        <w:tc>
          <w:tcPr>
            <w:tcW w:w="100" w:type="dxa"/>
            <w:vAlign w:val="bottom"/>
            <w:tcBorders>
              <w:bottom w:val="single" w:sz="8" w:color="CCEEFF"/>
            </w:tcBorders>
          </w:tcPr>
          <w:p>
            <w:pPr>
              <w:spacing w:after="0"/>
              <w:rPr>
                <w:sz w:val="22"/>
                <w:szCs w:val="22"/>
                <w:color w:val="auto"/>
              </w:rPr>
            </w:pPr>
          </w:p>
        </w:tc>
        <w:tc>
          <w:tcPr>
            <w:tcW w:w="140" w:type="dxa"/>
            <w:vAlign w:val="bottom"/>
            <w:tcBorders>
              <w:bottom w:val="single" w:sz="8" w:color="auto"/>
            </w:tcBorders>
          </w:tcPr>
          <w:p>
            <w:pPr>
              <w:spacing w:after="0"/>
              <w:rPr>
                <w:sz w:val="22"/>
                <w:szCs w:val="22"/>
                <w:color w:val="auto"/>
              </w:rPr>
            </w:pPr>
          </w:p>
        </w:tc>
        <w:tc>
          <w:tcPr>
            <w:tcW w:w="1340" w:type="dxa"/>
            <w:vAlign w:val="bottom"/>
            <w:tcBorders>
              <w:bottom w:val="single" w:sz="8" w:color="auto"/>
            </w:tcBorders>
          </w:tcPr>
          <w:p>
            <w:pPr>
              <w:jc w:val="right"/>
              <w:ind w:right="13"/>
              <w:spacing w:after="0"/>
              <w:rPr>
                <w:sz w:val="20"/>
                <w:szCs w:val="20"/>
                <w:color w:val="auto"/>
              </w:rPr>
            </w:pPr>
            <w:r>
              <w:rPr>
                <w:rFonts w:ascii="Arial" w:cs="Arial" w:eastAsia="Arial" w:hAnsi="Arial"/>
                <w:sz w:val="18"/>
                <w:szCs w:val="18"/>
                <w:color w:val="auto"/>
              </w:rPr>
              <w:t>5,290</w:t>
            </w:r>
          </w:p>
        </w:tc>
        <w:tc>
          <w:tcPr>
            <w:tcW w:w="120" w:type="dxa"/>
            <w:vAlign w:val="bottom"/>
            <w:tcBorders>
              <w:bottom w:val="single" w:sz="8" w:color="CCEEFF"/>
            </w:tcBorders>
          </w:tcPr>
          <w:p>
            <w:pPr>
              <w:spacing w:after="0"/>
              <w:rPr>
                <w:sz w:val="22"/>
                <w:szCs w:val="22"/>
                <w:color w:val="auto"/>
              </w:rPr>
            </w:pPr>
          </w:p>
        </w:tc>
        <w:tc>
          <w:tcPr>
            <w:tcW w:w="240" w:type="dxa"/>
            <w:vAlign w:val="bottom"/>
            <w:tcBorders>
              <w:bottom w:val="single" w:sz="8" w:color="auto"/>
            </w:tcBorders>
          </w:tcPr>
          <w:p>
            <w:pPr>
              <w:spacing w:after="0"/>
              <w:rPr>
                <w:sz w:val="22"/>
                <w:szCs w:val="22"/>
                <w:color w:val="auto"/>
              </w:rPr>
            </w:pPr>
          </w:p>
        </w:tc>
        <w:tc>
          <w:tcPr>
            <w:tcW w:w="1240" w:type="dxa"/>
            <w:vAlign w:val="bottom"/>
            <w:tcBorders>
              <w:bottom w:val="single" w:sz="8" w:color="auto"/>
            </w:tcBorders>
          </w:tcPr>
          <w:p>
            <w:pPr>
              <w:jc w:val="right"/>
              <w:ind w:right="13"/>
              <w:spacing w:after="0"/>
              <w:rPr>
                <w:sz w:val="20"/>
                <w:szCs w:val="20"/>
                <w:color w:val="auto"/>
              </w:rPr>
            </w:pPr>
            <w:r>
              <w:rPr>
                <w:rFonts w:ascii="Arial" w:cs="Arial" w:eastAsia="Arial" w:hAnsi="Arial"/>
                <w:sz w:val="18"/>
                <w:szCs w:val="18"/>
                <w:color w:val="auto"/>
              </w:rPr>
              <w:t>342</w:t>
            </w:r>
          </w:p>
        </w:tc>
        <w:tc>
          <w:tcPr>
            <w:tcW w:w="1580" w:type="dxa"/>
            <w:vAlign w:val="bottom"/>
            <w:tcBorders>
              <w:bottom w:val="single" w:sz="8" w:color="CCEEFF"/>
            </w:tcBorders>
          </w:tcPr>
          <w:p>
            <w:pPr>
              <w:jc w:val="right"/>
              <w:ind w:right="14"/>
              <w:spacing w:after="0"/>
              <w:rPr>
                <w:sz w:val="20"/>
                <w:szCs w:val="20"/>
                <w:color w:val="auto"/>
              </w:rPr>
            </w:pPr>
            <w:r>
              <w:rPr>
                <w:rFonts w:ascii="Arial" w:cs="Arial" w:eastAsia="Arial" w:hAnsi="Arial"/>
                <w:sz w:val="18"/>
                <w:szCs w:val="18"/>
                <w:color w:val="auto"/>
              </w:rPr>
              <w:t>6.5</w:t>
            </w:r>
          </w:p>
        </w:tc>
        <w:tc>
          <w:tcPr>
            <w:tcW w:w="0" w:type="dxa"/>
            <w:vAlign w:val="bottom"/>
          </w:tcPr>
          <w:p>
            <w:pPr>
              <w:spacing w:after="0"/>
              <w:rPr>
                <w:sz w:val="1"/>
                <w:szCs w:val="1"/>
                <w:color w:val="auto"/>
              </w:rPr>
            </w:pPr>
          </w:p>
        </w:tc>
      </w:tr>
      <w:tr>
        <w:trPr>
          <w:trHeight w:val="257"/>
        </w:trPr>
        <w:tc>
          <w:tcPr>
            <w:tcW w:w="516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Total operating expenses</w:t>
            </w:r>
          </w:p>
        </w:tc>
        <w:tc>
          <w:tcPr>
            <w:tcW w:w="360" w:type="dxa"/>
            <w:vAlign w:val="bottom"/>
            <w:tcBorders>
              <w:bottom w:val="single" w:sz="8" w:color="auto"/>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140" w:type="dxa"/>
            <w:vAlign w:val="bottom"/>
            <w:tcBorders>
              <w:bottom w:val="single" w:sz="8" w:color="auto"/>
            </w:tcBorders>
            <w:shd w:val="clear" w:color="auto" w:fill="CCEEFF"/>
          </w:tcPr>
          <w:p>
            <w:pPr>
              <w:jc w:val="right"/>
              <w:ind w:right="33"/>
              <w:spacing w:after="0"/>
              <w:rPr>
                <w:sz w:val="20"/>
                <w:szCs w:val="20"/>
                <w:color w:val="auto"/>
              </w:rPr>
            </w:pPr>
            <w:r>
              <w:rPr>
                <w:rFonts w:ascii="Arial" w:cs="Arial" w:eastAsia="Arial" w:hAnsi="Arial"/>
                <w:sz w:val="18"/>
                <w:szCs w:val="18"/>
                <w:color w:val="auto"/>
              </w:rPr>
              <w:t>42,703</w:t>
            </w:r>
          </w:p>
        </w:tc>
        <w:tc>
          <w:tcPr>
            <w:tcW w:w="10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40" w:type="dxa"/>
            <w:vAlign w:val="bottom"/>
            <w:tcBorders>
              <w:bottom w:val="single" w:sz="8" w:color="auto"/>
            </w:tcBorders>
            <w:shd w:val="clear" w:color="auto" w:fill="CCEEFF"/>
          </w:tcPr>
          <w:p>
            <w:pPr>
              <w:jc w:val="right"/>
              <w:ind w:right="13"/>
              <w:spacing w:after="0"/>
              <w:rPr>
                <w:sz w:val="20"/>
                <w:szCs w:val="20"/>
                <w:color w:val="auto"/>
              </w:rPr>
            </w:pPr>
            <w:r>
              <w:rPr>
                <w:rFonts w:ascii="Arial" w:cs="Arial" w:eastAsia="Arial" w:hAnsi="Arial"/>
                <w:sz w:val="18"/>
                <w:szCs w:val="18"/>
                <w:color w:val="auto"/>
              </w:rPr>
              <w:t>41,885</w:t>
            </w:r>
          </w:p>
        </w:tc>
        <w:tc>
          <w:tcPr>
            <w:tcW w:w="12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240" w:type="dxa"/>
            <w:vAlign w:val="bottom"/>
            <w:tcBorders>
              <w:bottom w:val="single" w:sz="8" w:color="auto"/>
            </w:tcBorders>
            <w:shd w:val="clear" w:color="auto" w:fill="CCEEFF"/>
          </w:tcPr>
          <w:p>
            <w:pPr>
              <w:jc w:val="right"/>
              <w:ind w:right="13"/>
              <w:spacing w:after="0"/>
              <w:rPr>
                <w:sz w:val="20"/>
                <w:szCs w:val="20"/>
                <w:color w:val="auto"/>
              </w:rPr>
            </w:pPr>
            <w:r>
              <w:rPr>
                <w:rFonts w:ascii="Arial" w:cs="Arial" w:eastAsia="Arial" w:hAnsi="Arial"/>
                <w:sz w:val="18"/>
                <w:szCs w:val="18"/>
                <w:color w:val="auto"/>
              </w:rPr>
              <w:t>818</w:t>
            </w:r>
          </w:p>
        </w:tc>
        <w:tc>
          <w:tcPr>
            <w:tcW w:w="158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2.0</w:t>
            </w:r>
          </w:p>
        </w:tc>
        <w:tc>
          <w:tcPr>
            <w:tcW w:w="0" w:type="dxa"/>
            <w:vAlign w:val="bottom"/>
          </w:tcPr>
          <w:p>
            <w:pPr>
              <w:spacing w:after="0"/>
              <w:rPr>
                <w:sz w:val="1"/>
                <w:szCs w:val="1"/>
                <w:color w:val="auto"/>
              </w:rPr>
            </w:pPr>
          </w:p>
        </w:tc>
      </w:tr>
      <w:tr>
        <w:trPr>
          <w:trHeight w:val="20"/>
        </w:trPr>
        <w:tc>
          <w:tcPr>
            <w:tcW w:w="516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5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61" w:lineRule="exact"/>
        <w:rPr>
          <w:sz w:val="20"/>
          <w:szCs w:val="20"/>
          <w:color w:val="auto"/>
        </w:rPr>
      </w:pPr>
    </w:p>
    <w:p>
      <w:pPr>
        <w:jc w:val="both"/>
        <w:ind w:firstLine="216"/>
        <w:spacing w:after="0" w:line="262" w:lineRule="auto"/>
        <w:rPr>
          <w:sz w:val="20"/>
          <w:szCs w:val="20"/>
          <w:color w:val="auto"/>
        </w:rPr>
      </w:pPr>
      <w:r>
        <w:rPr>
          <w:rFonts w:ascii="Arial" w:cs="Arial" w:eastAsia="Arial" w:hAnsi="Arial"/>
          <w:sz w:val="18"/>
          <w:szCs w:val="18"/>
          <w:color w:val="auto"/>
        </w:rPr>
        <w:t>Total operating expenses increased $818 million, or 2.0%, in 2019 from 2018. See detailed explanations below relating to changes in total CASM.</w:t>
      </w:r>
    </w:p>
    <w:p>
      <w:pPr>
        <w:spacing w:after="0" w:line="205" w:lineRule="exact"/>
        <w:rPr>
          <w:sz w:val="20"/>
          <w:szCs w:val="20"/>
          <w:color w:val="auto"/>
        </w:rPr>
      </w:pPr>
    </w:p>
    <w:p>
      <w:pPr>
        <w:ind w:left="220"/>
        <w:spacing w:after="0"/>
        <w:rPr>
          <w:sz w:val="20"/>
          <w:szCs w:val="20"/>
          <w:color w:val="auto"/>
        </w:rPr>
      </w:pPr>
      <w:r>
        <w:rPr>
          <w:rFonts w:ascii="Arial" w:cs="Arial" w:eastAsia="Arial" w:hAnsi="Arial"/>
          <w:sz w:val="18"/>
          <w:szCs w:val="18"/>
          <w:i w:val="1"/>
          <w:iCs w:val="1"/>
          <w:u w:val="single" w:color="auto"/>
          <w:color w:val="auto"/>
        </w:rPr>
        <w:t>Total CASM</w:t>
      </w:r>
    </w:p>
    <w:p>
      <w:pPr>
        <w:spacing w:after="0" w:line="108" w:lineRule="exact"/>
        <w:rPr>
          <w:sz w:val="20"/>
          <w:szCs w:val="20"/>
          <w:color w:val="auto"/>
        </w:rPr>
      </w:pPr>
    </w:p>
    <w:p>
      <w:pPr>
        <w:jc w:val="both"/>
        <w:ind w:firstLine="216"/>
        <w:spacing w:after="0" w:line="253" w:lineRule="auto"/>
        <w:rPr>
          <w:sz w:val="20"/>
          <w:szCs w:val="20"/>
          <w:color w:val="auto"/>
        </w:rPr>
      </w:pPr>
      <w:r>
        <w:rPr>
          <w:rFonts w:ascii="Arial" w:cs="Arial" w:eastAsia="Arial" w:hAnsi="Arial"/>
          <w:sz w:val="18"/>
          <w:szCs w:val="18"/>
          <w:color w:val="auto"/>
        </w:rPr>
        <w:t>We sometimes use financial measures that are derived from the consolidated financial statements but that are not presented in accordance with GAAP to understand and evaluate our current operating performance and to allow for period-to-period comparisons. We believe these non-GAAP financial measures may also provide useful information to investors and others. These non-GAAP measures may not be comparable to similarly titled non-GAAP measures of other companies, and should be considered in addition to, and not as a substitute for or superior to, any measure of performance,</w:t>
      </w:r>
    </w:p>
    <w:p>
      <w:pPr>
        <w:spacing w:after="0" w:line="20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53</w:t>
      </w:r>
    </w:p>
    <w:p>
      <w:pPr>
        <w:sectPr>
          <w:pgSz w:w="11900" w:h="16838" w:orient="portrait"/>
          <w:cols w:equalWidth="0" w:num="1">
            <w:col w:w="11420"/>
          </w:cols>
          <w:pgMar w:left="240" w:top="733" w:right="239" w:bottom="1440" w:gutter="0" w:footer="0" w:header="0"/>
        </w:sectPr>
      </w:pPr>
    </w:p>
    <w:bookmarkStart w:id="53" w:name="page54"/>
    <w:bookmarkEnd w:id="53"/>
    <w:p>
      <w:pPr>
        <w:jc w:val="both"/>
        <w:spacing w:after="0" w:line="262" w:lineRule="auto"/>
        <w:rPr>
          <w:sz w:val="20"/>
          <w:szCs w:val="20"/>
          <w:color w:val="auto"/>
        </w:rPr>
      </w:pPr>
      <w:r>
        <w:rPr>
          <w:rFonts w:ascii="Arial" w:cs="Arial" w:eastAsia="Arial" w:hAnsi="Arial"/>
          <w:sz w:val="18"/>
          <w:szCs w:val="18"/>
          <w:color w:val="auto"/>
        </w:rPr>
        <w:t>cash flow or liquidity prepared in accordance with GAAP. We are providing a reconciliation of reported non-GAAP financial measures to their comparable financial measures on a GAAP basis.</w:t>
      </w:r>
    </w:p>
    <w:p>
      <w:pPr>
        <w:spacing w:after="0" w:line="142" w:lineRule="exact"/>
        <w:rPr>
          <w:sz w:val="20"/>
          <w:szCs w:val="20"/>
          <w:color w:val="auto"/>
        </w:rPr>
      </w:pPr>
    </w:p>
    <w:p>
      <w:pPr>
        <w:jc w:val="both"/>
        <w:ind w:firstLine="216"/>
        <w:spacing w:after="0" w:line="253" w:lineRule="auto"/>
        <w:rPr>
          <w:sz w:val="20"/>
          <w:szCs w:val="20"/>
          <w:color w:val="auto"/>
        </w:rPr>
      </w:pPr>
      <w:r>
        <w:rPr>
          <w:rFonts w:ascii="Arial" w:cs="Arial" w:eastAsia="Arial" w:hAnsi="Arial"/>
          <w:sz w:val="18"/>
          <w:szCs w:val="18"/>
          <w:color w:val="auto"/>
        </w:rPr>
        <w:t>The table below presents the reconciliation of total operating expenses (GAAP measure) to total operating costs excluding net special items and fuel (non-GAAP measure). Management uses total operating costs excluding net special items and fuel to evaluate our current operating performance and for period-to-period comparisons. The price of fuel, over which we have no control, impacts the comparability of period-to-period financial performance. The adjustment to exclude aircraft fuel and net special items allows management an additional tool to understand and analyze our non-fuel costs and core operating performance.</w:t>
      </w:r>
    </w:p>
    <w:p>
      <w:pPr>
        <w:spacing w:after="0" w:line="152" w:lineRule="exact"/>
        <w:rPr>
          <w:sz w:val="20"/>
          <w:szCs w:val="20"/>
          <w:color w:val="auto"/>
        </w:rPr>
      </w:pPr>
    </w:p>
    <w:p>
      <w:pPr>
        <w:jc w:val="both"/>
        <w:ind w:firstLine="216"/>
        <w:spacing w:after="0" w:line="262" w:lineRule="auto"/>
        <w:rPr>
          <w:sz w:val="20"/>
          <w:szCs w:val="20"/>
          <w:color w:val="auto"/>
        </w:rPr>
      </w:pPr>
      <w:r>
        <w:rPr>
          <w:rFonts w:ascii="Arial" w:cs="Arial" w:eastAsia="Arial" w:hAnsi="Arial"/>
          <w:sz w:val="18"/>
          <w:szCs w:val="18"/>
          <w:color w:val="auto"/>
        </w:rPr>
        <w:t>The major components of our total CASM and our total CASM excluding net special items and fuel for the years ended December 31, 2019 and 2018 are as follows (amounts may not recalculate due to rounding):</w:t>
      </w:r>
    </w:p>
    <w:p>
      <w:pPr>
        <w:sectPr>
          <w:pgSz w:w="11900" w:h="16838" w:orient="portrait"/>
          <w:cols w:equalWidth="0" w:num="1">
            <w:col w:w="11420"/>
          </w:cols>
          <w:pgMar w:left="240" w:top="652" w:right="2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8" w:lineRule="exact"/>
        <w:rPr>
          <w:sz w:val="20"/>
          <w:szCs w:val="20"/>
          <w:color w:val="auto"/>
        </w:rPr>
      </w:pPr>
    </w:p>
    <w:p>
      <w:pPr>
        <w:ind w:left="40"/>
        <w:spacing w:after="0"/>
        <w:rPr>
          <w:sz w:val="20"/>
          <w:szCs w:val="20"/>
          <w:color w:val="auto"/>
        </w:rPr>
      </w:pPr>
      <w:r>
        <w:rPr>
          <w:rFonts w:ascii="Arial" w:cs="Arial" w:eastAsia="Arial" w:hAnsi="Arial"/>
          <w:sz w:val="18"/>
          <w:szCs w:val="18"/>
          <w:color w:val="auto"/>
        </w:rPr>
        <w:t>Total CASM: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-147320</wp:posOffset>
            </wp:positionV>
            <wp:extent cx="7246620" cy="17145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246620" cy="171450"/>
                    </a:xfrm>
                    <a:prstGeom prst="rect">
                      <a:avLst/>
                    </a:prstGeom>
                    <a:noFill/>
                  </pic:spPr>
                </pic:pic>
              </a:graphicData>
            </a:graphic>
          </wp:anchor>
        </w:drawing>
      </w:r>
    </w:p>
    <w:p>
      <w:pPr>
        <w:spacing w:after="0" w:line="43" w:lineRule="exact"/>
        <w:rPr>
          <w:sz w:val="20"/>
          <w:szCs w:val="20"/>
          <w:color w:val="auto"/>
        </w:rPr>
      </w:pPr>
    </w:p>
    <w:p>
      <w:pPr>
        <w:ind w:left="280"/>
        <w:spacing w:after="0"/>
        <w:rPr>
          <w:sz w:val="20"/>
          <w:szCs w:val="20"/>
          <w:color w:val="auto"/>
        </w:rPr>
      </w:pPr>
      <w:r>
        <w:rPr>
          <w:rFonts w:ascii="Arial" w:cs="Arial" w:eastAsia="Arial" w:hAnsi="Arial"/>
          <w:sz w:val="18"/>
          <w:szCs w:val="18"/>
          <w:color w:val="auto"/>
        </w:rPr>
        <w:t>Aircraft fuel and related taxes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23495</wp:posOffset>
            </wp:positionV>
            <wp:extent cx="7246620" cy="17145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246620" cy="171450"/>
                    </a:xfrm>
                    <a:prstGeom prst="rect">
                      <a:avLst/>
                    </a:prstGeom>
                    <a:noFill/>
                  </pic:spPr>
                </pic:pic>
              </a:graphicData>
            </a:graphic>
          </wp:anchor>
        </w:drawing>
      </w:r>
    </w:p>
    <w:p>
      <w:pPr>
        <w:spacing w:after="0" w:line="43" w:lineRule="exact"/>
        <w:rPr>
          <w:sz w:val="20"/>
          <w:szCs w:val="20"/>
          <w:color w:val="auto"/>
        </w:rPr>
      </w:pPr>
    </w:p>
    <w:p>
      <w:pPr>
        <w:ind w:left="280"/>
        <w:spacing w:after="0"/>
        <w:rPr>
          <w:sz w:val="20"/>
          <w:szCs w:val="20"/>
          <w:color w:val="auto"/>
        </w:rPr>
      </w:pPr>
      <w:r>
        <w:rPr>
          <w:rFonts w:ascii="Arial" w:cs="Arial" w:eastAsia="Arial" w:hAnsi="Arial"/>
          <w:sz w:val="18"/>
          <w:szCs w:val="18"/>
          <w:color w:val="auto"/>
        </w:rPr>
        <w:t>Salaries, wages and benefits</w:t>
      </w:r>
    </w:p>
    <w:p>
      <w:pPr>
        <w:spacing w:after="0" w:line="63" w:lineRule="exact"/>
        <w:rPr>
          <w:sz w:val="20"/>
          <w:szCs w:val="20"/>
          <w:color w:val="auto"/>
        </w:rPr>
      </w:pPr>
    </w:p>
    <w:p>
      <w:pPr>
        <w:ind w:left="280"/>
        <w:spacing w:after="0"/>
        <w:rPr>
          <w:sz w:val="20"/>
          <w:szCs w:val="20"/>
          <w:color w:val="auto"/>
        </w:rPr>
      </w:pPr>
      <w:r>
        <w:rPr>
          <w:rFonts w:ascii="Arial" w:cs="Arial" w:eastAsia="Arial" w:hAnsi="Arial"/>
          <w:sz w:val="18"/>
          <w:szCs w:val="18"/>
          <w:color w:val="auto"/>
        </w:rPr>
        <w:t>Maintenance, materials and repairs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23495</wp:posOffset>
            </wp:positionV>
            <wp:extent cx="7246620" cy="17145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246620" cy="171450"/>
                    </a:xfrm>
                    <a:prstGeom prst="rect">
                      <a:avLst/>
                    </a:prstGeom>
                    <a:noFill/>
                  </pic:spPr>
                </pic:pic>
              </a:graphicData>
            </a:graphic>
          </wp:anchor>
        </w:drawing>
      </w:r>
    </w:p>
    <w:p>
      <w:pPr>
        <w:spacing w:after="0" w:line="43" w:lineRule="exact"/>
        <w:rPr>
          <w:sz w:val="20"/>
          <w:szCs w:val="20"/>
          <w:color w:val="auto"/>
        </w:rPr>
      </w:pPr>
    </w:p>
    <w:p>
      <w:pPr>
        <w:ind w:left="280"/>
        <w:spacing w:after="0"/>
        <w:rPr>
          <w:sz w:val="20"/>
          <w:szCs w:val="20"/>
          <w:color w:val="auto"/>
        </w:rPr>
      </w:pPr>
      <w:r>
        <w:rPr>
          <w:rFonts w:ascii="Arial" w:cs="Arial" w:eastAsia="Arial" w:hAnsi="Arial"/>
          <w:sz w:val="18"/>
          <w:szCs w:val="18"/>
          <w:color w:val="auto"/>
        </w:rPr>
        <w:t>Other rent and landing fees</w:t>
      </w:r>
    </w:p>
    <w:p>
      <w:pPr>
        <w:spacing w:after="0" w:line="63" w:lineRule="exact"/>
        <w:rPr>
          <w:sz w:val="20"/>
          <w:szCs w:val="20"/>
          <w:color w:val="auto"/>
        </w:rPr>
      </w:pPr>
    </w:p>
    <w:p>
      <w:pPr>
        <w:ind w:left="280"/>
        <w:spacing w:after="0"/>
        <w:rPr>
          <w:sz w:val="20"/>
          <w:szCs w:val="20"/>
          <w:color w:val="auto"/>
        </w:rPr>
      </w:pPr>
      <w:r>
        <w:rPr>
          <w:rFonts w:ascii="Arial" w:cs="Arial" w:eastAsia="Arial" w:hAnsi="Arial"/>
          <w:sz w:val="18"/>
          <w:szCs w:val="18"/>
          <w:color w:val="auto"/>
        </w:rPr>
        <w:t>Aircraft rent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23495</wp:posOffset>
            </wp:positionV>
            <wp:extent cx="7246620" cy="17145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246620" cy="171450"/>
                    </a:xfrm>
                    <a:prstGeom prst="rect">
                      <a:avLst/>
                    </a:prstGeom>
                    <a:noFill/>
                  </pic:spPr>
                </pic:pic>
              </a:graphicData>
            </a:graphic>
          </wp:anchor>
        </w:drawing>
      </w:r>
    </w:p>
    <w:p>
      <w:pPr>
        <w:spacing w:after="0" w:line="43" w:lineRule="exact"/>
        <w:rPr>
          <w:sz w:val="20"/>
          <w:szCs w:val="20"/>
          <w:color w:val="auto"/>
        </w:rPr>
      </w:pPr>
    </w:p>
    <w:p>
      <w:pPr>
        <w:ind w:left="280"/>
        <w:spacing w:after="0"/>
        <w:rPr>
          <w:sz w:val="20"/>
          <w:szCs w:val="20"/>
          <w:color w:val="auto"/>
        </w:rPr>
      </w:pPr>
      <w:r>
        <w:rPr>
          <w:rFonts w:ascii="Arial" w:cs="Arial" w:eastAsia="Arial" w:hAnsi="Arial"/>
          <w:sz w:val="18"/>
          <w:szCs w:val="18"/>
          <w:color w:val="auto"/>
        </w:rPr>
        <w:t>Selling expenses</w:t>
      </w:r>
    </w:p>
    <w:p>
      <w:pPr>
        <w:spacing w:after="0" w:line="63" w:lineRule="exact"/>
        <w:rPr>
          <w:sz w:val="20"/>
          <w:szCs w:val="20"/>
          <w:color w:val="auto"/>
        </w:rPr>
      </w:pPr>
    </w:p>
    <w:p>
      <w:pPr>
        <w:ind w:left="280"/>
        <w:spacing w:after="0"/>
        <w:rPr>
          <w:sz w:val="20"/>
          <w:szCs w:val="20"/>
          <w:color w:val="auto"/>
        </w:rPr>
      </w:pPr>
      <w:r>
        <w:rPr>
          <w:rFonts w:ascii="Arial" w:cs="Arial" w:eastAsia="Arial" w:hAnsi="Arial"/>
          <w:sz w:val="18"/>
          <w:szCs w:val="18"/>
          <w:color w:val="auto"/>
        </w:rPr>
        <w:t>Depreciation and amortization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23495</wp:posOffset>
            </wp:positionV>
            <wp:extent cx="7246620" cy="17145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246620" cy="171450"/>
                    </a:xfrm>
                    <a:prstGeom prst="rect">
                      <a:avLst/>
                    </a:prstGeom>
                    <a:noFill/>
                  </pic:spPr>
                </pic:pic>
              </a:graphicData>
            </a:graphic>
          </wp:anchor>
        </w:drawing>
      </w:r>
    </w:p>
    <w:p>
      <w:pPr>
        <w:spacing w:after="0" w:line="43" w:lineRule="exact"/>
        <w:rPr>
          <w:sz w:val="20"/>
          <w:szCs w:val="20"/>
          <w:color w:val="auto"/>
        </w:rPr>
      </w:pPr>
    </w:p>
    <w:p>
      <w:pPr>
        <w:ind w:left="280"/>
        <w:spacing w:after="0"/>
        <w:rPr>
          <w:sz w:val="20"/>
          <w:szCs w:val="20"/>
          <w:color w:val="auto"/>
        </w:rPr>
      </w:pPr>
      <w:r>
        <w:rPr>
          <w:rFonts w:ascii="Arial" w:cs="Arial" w:eastAsia="Arial" w:hAnsi="Arial"/>
          <w:sz w:val="18"/>
          <w:szCs w:val="18"/>
          <w:color w:val="auto"/>
        </w:rPr>
        <w:t>Special items, net</w:t>
      </w:r>
    </w:p>
    <w:p>
      <w:pPr>
        <w:spacing w:after="0" w:line="63" w:lineRule="exact"/>
        <w:rPr>
          <w:sz w:val="20"/>
          <w:szCs w:val="20"/>
          <w:color w:val="auto"/>
        </w:rPr>
      </w:pPr>
    </w:p>
    <w:p>
      <w:pPr>
        <w:ind w:left="280"/>
        <w:spacing w:after="0"/>
        <w:rPr>
          <w:sz w:val="20"/>
          <w:szCs w:val="20"/>
          <w:color w:val="auto"/>
        </w:rPr>
      </w:pPr>
      <w:r>
        <w:rPr>
          <w:rFonts w:ascii="Arial" w:cs="Arial" w:eastAsia="Arial" w:hAnsi="Arial"/>
          <w:sz w:val="18"/>
          <w:szCs w:val="18"/>
          <w:color w:val="auto"/>
        </w:rPr>
        <w:t>Other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23495</wp:posOffset>
            </wp:positionV>
            <wp:extent cx="7246620" cy="17145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246620" cy="171450"/>
                    </a:xfrm>
                    <a:prstGeom prst="rect">
                      <a:avLst/>
                    </a:prstGeom>
                    <a:noFill/>
                  </pic:spPr>
                </pic:pic>
              </a:graphicData>
            </a:graphic>
          </wp:anchor>
        </w:drawing>
      </w:r>
    </w:p>
    <w:p>
      <w:pPr>
        <w:spacing w:after="0" w:line="43" w:lineRule="exact"/>
        <w:rPr>
          <w:sz w:val="20"/>
          <w:szCs w:val="20"/>
          <w:color w:val="auto"/>
        </w:rPr>
      </w:pPr>
    </w:p>
    <w:p>
      <w:pPr>
        <w:ind w:left="280"/>
        <w:spacing w:after="0"/>
        <w:rPr>
          <w:sz w:val="20"/>
          <w:szCs w:val="20"/>
          <w:color w:val="auto"/>
        </w:rPr>
      </w:pPr>
      <w:r>
        <w:rPr>
          <w:rFonts w:ascii="Arial" w:cs="Arial" w:eastAsia="Arial" w:hAnsi="Arial"/>
          <w:sz w:val="18"/>
          <w:szCs w:val="18"/>
          <w:color w:val="auto"/>
        </w:rPr>
        <w:t>Regional expenses:</w:t>
      </w:r>
    </w:p>
    <w:p>
      <w:pPr>
        <w:spacing w:after="0" w:line="63" w:lineRule="exact"/>
        <w:rPr>
          <w:sz w:val="20"/>
          <w:szCs w:val="20"/>
          <w:color w:val="auto"/>
        </w:rPr>
      </w:pPr>
    </w:p>
    <w:p>
      <w:pPr>
        <w:ind w:left="380"/>
        <w:spacing w:after="0"/>
        <w:rPr>
          <w:sz w:val="20"/>
          <w:szCs w:val="20"/>
          <w:color w:val="auto"/>
        </w:rPr>
      </w:pPr>
      <w:r>
        <w:rPr>
          <w:rFonts w:ascii="Arial" w:cs="Arial" w:eastAsia="Arial" w:hAnsi="Arial"/>
          <w:sz w:val="18"/>
          <w:szCs w:val="18"/>
          <w:color w:val="auto"/>
        </w:rPr>
        <w:t>Aircraft fuel and related taxes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23495</wp:posOffset>
            </wp:positionV>
            <wp:extent cx="7246620" cy="17145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246620" cy="171450"/>
                    </a:xfrm>
                    <a:prstGeom prst="rect">
                      <a:avLst/>
                    </a:prstGeom>
                    <a:noFill/>
                  </pic:spPr>
                </pic:pic>
              </a:graphicData>
            </a:graphic>
          </wp:anchor>
        </w:drawing>
      </w:r>
    </w:p>
    <w:p>
      <w:pPr>
        <w:spacing w:after="0" w:line="43" w:lineRule="exact"/>
        <w:rPr>
          <w:sz w:val="20"/>
          <w:szCs w:val="20"/>
          <w:color w:val="auto"/>
        </w:rPr>
      </w:pPr>
    </w:p>
    <w:p>
      <w:pPr>
        <w:ind w:left="380"/>
        <w:spacing w:after="0"/>
        <w:rPr>
          <w:sz w:val="20"/>
          <w:szCs w:val="20"/>
          <w:color w:val="auto"/>
        </w:rPr>
      </w:pPr>
      <w:r>
        <w:rPr>
          <w:rFonts w:ascii="Arial" w:cs="Arial" w:eastAsia="Arial" w:hAnsi="Arial"/>
          <w:sz w:val="18"/>
          <w:szCs w:val="18"/>
          <w:color w:val="auto"/>
        </w:rPr>
        <w:t>Other</w:t>
      </w:r>
    </w:p>
    <w:p>
      <w:pPr>
        <w:spacing w:after="0" w:line="63" w:lineRule="exact"/>
        <w:rPr>
          <w:sz w:val="20"/>
          <w:szCs w:val="20"/>
          <w:color w:val="auto"/>
        </w:rPr>
      </w:pPr>
    </w:p>
    <w:p>
      <w:pPr>
        <w:ind w:left="500"/>
        <w:spacing w:after="0"/>
        <w:rPr>
          <w:sz w:val="20"/>
          <w:szCs w:val="20"/>
          <w:color w:val="auto"/>
        </w:rPr>
      </w:pPr>
      <w:r>
        <w:rPr>
          <w:rFonts w:ascii="Arial" w:cs="Arial" w:eastAsia="Arial" w:hAnsi="Arial"/>
          <w:sz w:val="18"/>
          <w:szCs w:val="18"/>
          <w:color w:val="auto"/>
        </w:rPr>
        <w:t>Total CASM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23495</wp:posOffset>
            </wp:positionV>
            <wp:extent cx="7246620" cy="17145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246620" cy="171450"/>
                    </a:xfrm>
                    <a:prstGeom prst="rect">
                      <a:avLst/>
                    </a:prstGeom>
                    <a:noFill/>
                  </pic:spPr>
                </pic:pic>
              </a:graphicData>
            </a:graphic>
          </wp:anchor>
        </w:drawing>
      </w:r>
    </w:p>
    <w:p>
      <w:pPr>
        <w:spacing w:after="0" w:line="43" w:lineRule="exact"/>
        <w:rPr>
          <w:sz w:val="20"/>
          <w:szCs w:val="20"/>
          <w:color w:val="auto"/>
        </w:rPr>
      </w:pPr>
    </w:p>
    <w:p>
      <w:pPr>
        <w:ind w:left="280"/>
        <w:spacing w:after="0"/>
        <w:rPr>
          <w:sz w:val="20"/>
          <w:szCs w:val="20"/>
          <w:color w:val="auto"/>
        </w:rPr>
      </w:pPr>
      <w:r>
        <w:rPr>
          <w:rFonts w:ascii="Arial" w:cs="Arial" w:eastAsia="Arial" w:hAnsi="Arial"/>
          <w:sz w:val="18"/>
          <w:szCs w:val="18"/>
          <w:color w:val="auto"/>
        </w:rPr>
        <w:t>Mainline operating special items, net</w:t>
      </w:r>
    </w:p>
    <w:p>
      <w:pPr>
        <w:spacing w:after="0" w:line="63" w:lineRule="exact"/>
        <w:rPr>
          <w:sz w:val="20"/>
          <w:szCs w:val="20"/>
          <w:color w:val="auto"/>
        </w:rPr>
      </w:pPr>
    </w:p>
    <w:p>
      <w:pPr>
        <w:ind w:left="280"/>
        <w:spacing w:after="0"/>
        <w:rPr>
          <w:sz w:val="20"/>
          <w:szCs w:val="20"/>
          <w:color w:val="auto"/>
        </w:rPr>
      </w:pPr>
      <w:r>
        <w:rPr>
          <w:rFonts w:ascii="Arial" w:cs="Arial" w:eastAsia="Arial" w:hAnsi="Arial"/>
          <w:sz w:val="18"/>
          <w:szCs w:val="18"/>
          <w:color w:val="auto"/>
        </w:rPr>
        <w:t>Aircraft fuel and related taxes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23495</wp:posOffset>
            </wp:positionV>
            <wp:extent cx="7246620" cy="17145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246620" cy="171450"/>
                    </a:xfrm>
                    <a:prstGeom prst="rect">
                      <a:avLst/>
                    </a:prstGeom>
                    <a:noFill/>
                  </pic:spPr>
                </pic:pic>
              </a:graphicData>
            </a:graphic>
          </wp:anchor>
        </w:drawing>
      </w:r>
    </w:p>
    <w:p>
      <w:pPr>
        <w:spacing w:after="0" w:line="57" w:lineRule="exact"/>
        <w:rPr>
          <w:sz w:val="20"/>
          <w:szCs w:val="20"/>
          <w:color w:val="auto"/>
        </w:rPr>
      </w:pPr>
    </w:p>
    <w:p>
      <w:pPr>
        <w:ind w:left="380"/>
        <w:spacing w:after="0"/>
        <w:rPr>
          <w:sz w:val="20"/>
          <w:szCs w:val="20"/>
          <w:color w:val="auto"/>
        </w:rPr>
      </w:pPr>
      <w:r>
        <w:rPr>
          <w:rFonts w:ascii="Arial" w:cs="Arial" w:eastAsia="Arial" w:hAnsi="Arial"/>
          <w:sz w:val="18"/>
          <w:szCs w:val="18"/>
          <w:color w:val="auto"/>
        </w:rPr>
        <w:t>Aircraft fuel and related taxes - mainline</w:t>
      </w:r>
    </w:p>
    <w:p>
      <w:pPr>
        <w:spacing w:after="0" w:line="63" w:lineRule="exact"/>
        <w:rPr>
          <w:sz w:val="20"/>
          <w:szCs w:val="20"/>
          <w:color w:val="auto"/>
        </w:rPr>
      </w:pPr>
    </w:p>
    <w:p>
      <w:pPr>
        <w:ind w:left="380"/>
        <w:spacing w:after="0"/>
        <w:rPr>
          <w:sz w:val="20"/>
          <w:szCs w:val="20"/>
          <w:color w:val="auto"/>
        </w:rPr>
      </w:pPr>
      <w:r>
        <w:rPr>
          <w:rFonts w:ascii="Arial" w:cs="Arial" w:eastAsia="Arial" w:hAnsi="Arial"/>
          <w:sz w:val="18"/>
          <w:szCs w:val="18"/>
          <w:color w:val="auto"/>
        </w:rPr>
        <w:t>Aircraft fuel and related taxes - regional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18034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246620" cy="180340"/>
                    </a:xfrm>
                    <a:prstGeom prst="rect">
                      <a:avLst/>
                    </a:prstGeom>
                    <a:noFill/>
                  </pic:spPr>
                </pic:pic>
              </a:graphicData>
            </a:graphic>
          </wp:anchor>
        </w:drawing>
      </w:r>
    </w:p>
    <w:p>
      <w:pPr>
        <w:spacing w:after="0" w:line="57" w:lineRule="exact"/>
        <w:rPr>
          <w:sz w:val="20"/>
          <w:szCs w:val="20"/>
          <w:color w:val="auto"/>
        </w:rPr>
      </w:pPr>
    </w:p>
    <w:p>
      <w:pPr>
        <w:ind w:left="500"/>
        <w:spacing w:after="0"/>
        <w:rPr>
          <w:sz w:val="20"/>
          <w:szCs w:val="20"/>
          <w:color w:val="auto"/>
        </w:rPr>
      </w:pPr>
      <w:r>
        <w:rPr>
          <w:rFonts w:ascii="Arial" w:cs="Arial" w:eastAsia="Arial" w:hAnsi="Arial"/>
          <w:sz w:val="18"/>
          <w:szCs w:val="18"/>
          <w:color w:val="auto"/>
        </w:rPr>
        <w:t>Total CASM, excluding net special items and fuel</w:t>
      </w:r>
    </w:p>
    <w:p>
      <w:pPr>
        <w:spacing w:after="0" w:line="212" w:lineRule="exact"/>
        <w:rPr>
          <w:sz w:val="20"/>
          <w:szCs w:val="20"/>
          <w:color w:val="auto"/>
        </w:rPr>
      </w:pPr>
    </w:p>
    <w:p>
      <w:pPr>
        <w:ind w:left="260"/>
        <w:spacing w:after="0"/>
        <w:rPr>
          <w:sz w:val="20"/>
          <w:szCs w:val="20"/>
          <w:color w:val="auto"/>
        </w:rPr>
      </w:pPr>
      <w:r>
        <w:rPr>
          <w:rFonts w:ascii="Arial" w:cs="Arial" w:eastAsia="Arial" w:hAnsi="Arial"/>
          <w:sz w:val="17"/>
          <w:szCs w:val="17"/>
          <w:color w:val="auto"/>
        </w:rPr>
        <w:t>Significant changes in the components of total CASM are as follows:</w:t>
      </w:r>
    </w:p>
    <w:p>
      <w:pPr>
        <w:spacing w:after="0" w:line="20" w:lineRule="exact"/>
        <w:rPr>
          <w:sz w:val="20"/>
          <w:szCs w:val="20"/>
          <w:color w:val="auto"/>
        </w:rPr>
      </w:pPr>
      <w:r>
        <w:rPr>
          <w:sz w:val="20"/>
          <w:szCs w:val="20"/>
          <w:color w:val="auto"/>
        </w:rPr>
        <w:br w:type="column"/>
      </w:r>
    </w:p>
    <w:p>
      <w:pPr>
        <w:spacing w:after="0" w:line="286"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89"/>
        </w:trPr>
        <w:tc>
          <w:tcPr>
            <w:tcW w:w="3100" w:type="dxa"/>
            <w:vAlign w:val="bottom"/>
            <w:gridSpan w:val="3"/>
          </w:tcPr>
          <w:p>
            <w:pPr>
              <w:jc w:val="right"/>
              <w:ind w:right="571"/>
              <w:spacing w:after="0"/>
              <w:rPr>
                <w:sz w:val="20"/>
                <w:szCs w:val="20"/>
                <w:color w:val="auto"/>
              </w:rPr>
            </w:pPr>
            <w:r>
              <w:rPr>
                <w:rFonts w:ascii="Arial" w:cs="Arial" w:eastAsia="Arial" w:hAnsi="Arial"/>
                <w:sz w:val="14"/>
                <w:szCs w:val="14"/>
                <w:b w:val="1"/>
                <w:bCs w:val="1"/>
                <w:color w:val="auto"/>
              </w:rPr>
              <w:t>Year Ended December 31,</w:t>
            </w:r>
          </w:p>
        </w:tc>
        <w:tc>
          <w:tcPr>
            <w:tcW w:w="1580" w:type="dxa"/>
            <w:vAlign w:val="bottom"/>
          </w:tcPr>
          <w:p>
            <w:pPr>
              <w:jc w:val="center"/>
              <w:ind w:left="13"/>
              <w:spacing w:after="0"/>
              <w:rPr>
                <w:sz w:val="20"/>
                <w:szCs w:val="20"/>
                <w:color w:val="auto"/>
              </w:rPr>
            </w:pPr>
            <w:r>
              <w:rPr>
                <w:rFonts w:ascii="Arial" w:cs="Arial" w:eastAsia="Arial" w:hAnsi="Arial"/>
                <w:sz w:val="14"/>
                <w:szCs w:val="14"/>
                <w:b w:val="1"/>
                <w:bCs w:val="1"/>
                <w:color w:val="auto"/>
              </w:rPr>
              <w:t>Percent</w:t>
            </w:r>
          </w:p>
        </w:tc>
        <w:tc>
          <w:tcPr>
            <w:tcW w:w="0" w:type="dxa"/>
            <w:vAlign w:val="bottom"/>
          </w:tcPr>
          <w:p>
            <w:pPr>
              <w:spacing w:after="0"/>
              <w:rPr>
                <w:sz w:val="1"/>
                <w:szCs w:val="1"/>
                <w:color w:val="auto"/>
              </w:rPr>
            </w:pPr>
          </w:p>
        </w:tc>
      </w:tr>
      <w:tr>
        <w:trPr>
          <w:trHeight w:val="54"/>
        </w:trPr>
        <w:tc>
          <w:tcPr>
            <w:tcW w:w="1500" w:type="dxa"/>
            <w:vAlign w:val="bottom"/>
            <w:tcBorders>
              <w:bottom w:val="single" w:sz="8" w:color="auto"/>
            </w:tcBorders>
          </w:tcPr>
          <w:p>
            <w:pPr>
              <w:spacing w:after="0"/>
              <w:rPr>
                <w:sz w:val="4"/>
                <w:szCs w:val="4"/>
                <w:color w:val="auto"/>
              </w:rPr>
            </w:pPr>
          </w:p>
        </w:tc>
        <w:tc>
          <w:tcPr>
            <w:tcW w:w="120" w:type="dxa"/>
            <w:vAlign w:val="bottom"/>
            <w:tcBorders>
              <w:bottom w:val="single" w:sz="8" w:color="auto"/>
            </w:tcBorders>
          </w:tcPr>
          <w:p>
            <w:pPr>
              <w:spacing w:after="0"/>
              <w:rPr>
                <w:sz w:val="4"/>
                <w:szCs w:val="4"/>
                <w:color w:val="auto"/>
              </w:rPr>
            </w:pPr>
          </w:p>
        </w:tc>
        <w:tc>
          <w:tcPr>
            <w:tcW w:w="1480" w:type="dxa"/>
            <w:vAlign w:val="bottom"/>
            <w:tcBorders>
              <w:bottom w:val="single" w:sz="8" w:color="auto"/>
            </w:tcBorders>
          </w:tcPr>
          <w:p>
            <w:pPr>
              <w:spacing w:after="0"/>
              <w:rPr>
                <w:sz w:val="4"/>
                <w:szCs w:val="4"/>
                <w:color w:val="auto"/>
              </w:rPr>
            </w:pPr>
          </w:p>
        </w:tc>
        <w:tc>
          <w:tcPr>
            <w:tcW w:w="1580" w:type="dxa"/>
            <w:vAlign w:val="bottom"/>
            <w:vMerge w:val="restart"/>
          </w:tcPr>
          <w:p>
            <w:pPr>
              <w:jc w:val="center"/>
              <w:ind w:left="33"/>
              <w:spacing w:after="0" w:line="135" w:lineRule="exact"/>
              <w:rPr>
                <w:sz w:val="20"/>
                <w:szCs w:val="20"/>
                <w:color w:val="auto"/>
              </w:rPr>
            </w:pPr>
            <w:r>
              <w:rPr>
                <w:rFonts w:ascii="Arial" w:cs="Arial" w:eastAsia="Arial" w:hAnsi="Arial"/>
                <w:sz w:val="14"/>
                <w:szCs w:val="14"/>
                <w:b w:val="1"/>
                <w:bCs w:val="1"/>
                <w:color w:val="auto"/>
              </w:rPr>
              <w:t>Increase</w:t>
            </w:r>
          </w:p>
        </w:tc>
        <w:tc>
          <w:tcPr>
            <w:tcW w:w="0" w:type="dxa"/>
            <w:vAlign w:val="bottom"/>
          </w:tcPr>
          <w:p>
            <w:pPr>
              <w:spacing w:after="0"/>
              <w:rPr>
                <w:sz w:val="1"/>
                <w:szCs w:val="1"/>
                <w:color w:val="auto"/>
              </w:rPr>
            </w:pPr>
          </w:p>
        </w:tc>
      </w:tr>
      <w:tr>
        <w:trPr>
          <w:trHeight w:val="61"/>
        </w:trPr>
        <w:tc>
          <w:tcPr>
            <w:tcW w:w="1500" w:type="dxa"/>
            <w:vAlign w:val="bottom"/>
          </w:tcPr>
          <w:p>
            <w:pPr>
              <w:spacing w:after="0"/>
              <w:rPr>
                <w:sz w:val="5"/>
                <w:szCs w:val="5"/>
                <w:color w:val="auto"/>
              </w:rPr>
            </w:pPr>
          </w:p>
        </w:tc>
        <w:tc>
          <w:tcPr>
            <w:tcW w:w="120" w:type="dxa"/>
            <w:vAlign w:val="bottom"/>
          </w:tcPr>
          <w:p>
            <w:pPr>
              <w:spacing w:after="0"/>
              <w:rPr>
                <w:sz w:val="5"/>
                <w:szCs w:val="5"/>
                <w:color w:val="auto"/>
              </w:rPr>
            </w:pPr>
          </w:p>
        </w:tc>
        <w:tc>
          <w:tcPr>
            <w:tcW w:w="1480" w:type="dxa"/>
            <w:vAlign w:val="bottom"/>
          </w:tcPr>
          <w:p>
            <w:pPr>
              <w:spacing w:after="0"/>
              <w:rPr>
                <w:sz w:val="5"/>
                <w:szCs w:val="5"/>
                <w:color w:val="auto"/>
              </w:rPr>
            </w:pPr>
          </w:p>
        </w:tc>
        <w:tc>
          <w:tcPr>
            <w:tcW w:w="158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96"/>
        </w:trPr>
        <w:tc>
          <w:tcPr>
            <w:tcW w:w="1500" w:type="dxa"/>
            <w:vAlign w:val="bottom"/>
            <w:tcBorders>
              <w:bottom w:val="single" w:sz="8" w:color="auto"/>
            </w:tcBorders>
          </w:tcPr>
          <w:p>
            <w:pPr>
              <w:jc w:val="right"/>
              <w:ind w:right="493"/>
              <w:spacing w:after="0"/>
              <w:rPr>
                <w:sz w:val="20"/>
                <w:szCs w:val="20"/>
                <w:color w:val="auto"/>
              </w:rPr>
            </w:pPr>
            <w:r>
              <w:rPr>
                <w:rFonts w:ascii="Arial" w:cs="Arial" w:eastAsia="Arial" w:hAnsi="Arial"/>
                <w:sz w:val="14"/>
                <w:szCs w:val="14"/>
                <w:b w:val="1"/>
                <w:bCs w:val="1"/>
                <w:color w:val="auto"/>
              </w:rPr>
              <w:t>2019</w:t>
            </w:r>
          </w:p>
        </w:tc>
        <w:tc>
          <w:tcPr>
            <w:tcW w:w="120" w:type="dxa"/>
            <w:vAlign w:val="bottom"/>
            <w:tcBorders>
              <w:bottom w:val="single" w:sz="8" w:color="auto"/>
            </w:tcBorders>
          </w:tcPr>
          <w:p>
            <w:pPr>
              <w:spacing w:after="0"/>
              <w:rPr>
                <w:sz w:val="17"/>
                <w:szCs w:val="17"/>
                <w:color w:val="auto"/>
              </w:rPr>
            </w:pPr>
          </w:p>
        </w:tc>
        <w:tc>
          <w:tcPr>
            <w:tcW w:w="1480" w:type="dxa"/>
            <w:vAlign w:val="bottom"/>
            <w:tcBorders>
              <w:bottom w:val="single" w:sz="8" w:color="auto"/>
            </w:tcBorders>
          </w:tcPr>
          <w:p>
            <w:pPr>
              <w:jc w:val="right"/>
              <w:ind w:right="491"/>
              <w:spacing w:after="0"/>
              <w:rPr>
                <w:sz w:val="20"/>
                <w:szCs w:val="20"/>
                <w:color w:val="auto"/>
              </w:rPr>
            </w:pPr>
            <w:r>
              <w:rPr>
                <w:rFonts w:ascii="Arial" w:cs="Arial" w:eastAsia="Arial" w:hAnsi="Arial"/>
                <w:sz w:val="14"/>
                <w:szCs w:val="14"/>
                <w:b w:val="1"/>
                <w:bCs w:val="1"/>
                <w:color w:val="auto"/>
              </w:rPr>
              <w:t>2018</w:t>
            </w:r>
          </w:p>
        </w:tc>
        <w:tc>
          <w:tcPr>
            <w:tcW w:w="1580" w:type="dxa"/>
            <w:vAlign w:val="bottom"/>
            <w:tcBorders>
              <w:bottom w:val="single" w:sz="8" w:color="auto"/>
            </w:tcBorders>
          </w:tcPr>
          <w:p>
            <w:pPr>
              <w:jc w:val="center"/>
              <w:ind w:left="33"/>
              <w:spacing w:after="0"/>
              <w:rPr>
                <w:sz w:val="20"/>
                <w:szCs w:val="20"/>
                <w:color w:val="auto"/>
              </w:rPr>
            </w:pPr>
            <w:r>
              <w:rPr>
                <w:rFonts w:ascii="Arial" w:cs="Arial" w:eastAsia="Arial" w:hAnsi="Arial"/>
                <w:sz w:val="14"/>
                <w:szCs w:val="14"/>
                <w:b w:val="1"/>
                <w:bCs w:val="1"/>
                <w:color w:val="auto"/>
              </w:rPr>
              <w:t>(Decrease)</w:t>
            </w:r>
          </w:p>
        </w:tc>
        <w:tc>
          <w:tcPr>
            <w:tcW w:w="0" w:type="dxa"/>
            <w:vAlign w:val="bottom"/>
          </w:tcPr>
          <w:p>
            <w:pPr>
              <w:spacing w:after="0"/>
              <w:rPr>
                <w:sz w:val="1"/>
                <w:szCs w:val="1"/>
                <w:color w:val="auto"/>
              </w:rPr>
            </w:pPr>
          </w:p>
        </w:tc>
      </w:tr>
      <w:tr>
        <w:trPr>
          <w:trHeight w:val="204"/>
        </w:trPr>
        <w:tc>
          <w:tcPr>
            <w:tcW w:w="4680" w:type="dxa"/>
            <w:vAlign w:val="bottom"/>
            <w:gridSpan w:val="4"/>
          </w:tcPr>
          <w:p>
            <w:pPr>
              <w:jc w:val="right"/>
              <w:ind w:right="933"/>
              <w:spacing w:after="0"/>
              <w:rPr>
                <w:sz w:val="20"/>
                <w:szCs w:val="20"/>
                <w:color w:val="auto"/>
              </w:rPr>
            </w:pPr>
            <w:r>
              <w:rPr>
                <w:rFonts w:ascii="Arial" w:cs="Arial" w:eastAsia="Arial" w:hAnsi="Arial"/>
                <w:sz w:val="14"/>
                <w:szCs w:val="14"/>
                <w:b w:val="1"/>
                <w:bCs w:val="1"/>
                <w:color w:val="auto"/>
              </w:rPr>
              <w:t>(In cents, except percentage changes)</w:t>
            </w:r>
          </w:p>
        </w:tc>
        <w:tc>
          <w:tcPr>
            <w:tcW w:w="0" w:type="dxa"/>
            <w:vAlign w:val="bottom"/>
          </w:tcPr>
          <w:p>
            <w:pPr>
              <w:spacing w:after="0"/>
              <w:rPr>
                <w:sz w:val="1"/>
                <w:szCs w:val="1"/>
                <w:color w:val="auto"/>
              </w:rPr>
            </w:pPr>
          </w:p>
        </w:tc>
      </w:tr>
      <w:tr>
        <w:trPr>
          <w:trHeight w:val="539"/>
        </w:trPr>
        <w:tc>
          <w:tcPr>
            <w:tcW w:w="1500" w:type="dxa"/>
            <w:vAlign w:val="bottom"/>
          </w:tcPr>
          <w:p>
            <w:pPr>
              <w:jc w:val="right"/>
              <w:ind w:right="33"/>
              <w:spacing w:after="0"/>
              <w:rPr>
                <w:sz w:val="20"/>
                <w:szCs w:val="20"/>
                <w:color w:val="auto"/>
              </w:rPr>
            </w:pPr>
            <w:r>
              <w:rPr>
                <w:rFonts w:ascii="Arial" w:cs="Arial" w:eastAsia="Arial" w:hAnsi="Arial"/>
                <w:sz w:val="18"/>
                <w:szCs w:val="18"/>
                <w:color w:val="auto"/>
              </w:rPr>
              <w:t>2.64</w:t>
            </w:r>
          </w:p>
        </w:tc>
        <w:tc>
          <w:tcPr>
            <w:tcW w:w="120" w:type="dxa"/>
            <w:vAlign w:val="bottom"/>
          </w:tcPr>
          <w:p>
            <w:pPr>
              <w:spacing w:after="0"/>
              <w:rPr>
                <w:sz w:val="24"/>
                <w:szCs w:val="24"/>
                <w:color w:val="auto"/>
              </w:rPr>
            </w:pPr>
          </w:p>
        </w:tc>
        <w:tc>
          <w:tcPr>
            <w:tcW w:w="1480" w:type="dxa"/>
            <w:vAlign w:val="bottom"/>
          </w:tcPr>
          <w:p>
            <w:pPr>
              <w:jc w:val="right"/>
              <w:ind w:right="11"/>
              <w:spacing w:after="0"/>
              <w:rPr>
                <w:sz w:val="20"/>
                <w:szCs w:val="20"/>
                <w:color w:val="auto"/>
              </w:rPr>
            </w:pPr>
            <w:r>
              <w:rPr>
                <w:rFonts w:ascii="Arial" w:cs="Arial" w:eastAsia="Arial" w:hAnsi="Arial"/>
                <w:sz w:val="18"/>
                <w:szCs w:val="18"/>
                <w:color w:val="auto"/>
              </w:rPr>
              <w:t>2.86</w:t>
            </w:r>
          </w:p>
        </w:tc>
        <w:tc>
          <w:tcPr>
            <w:tcW w:w="1580" w:type="dxa"/>
            <w:vAlign w:val="bottom"/>
          </w:tcPr>
          <w:p>
            <w:pPr>
              <w:jc w:val="right"/>
              <w:spacing w:after="0"/>
              <w:rPr>
                <w:sz w:val="20"/>
                <w:szCs w:val="20"/>
                <w:color w:val="auto"/>
              </w:rPr>
            </w:pPr>
            <w:r>
              <w:rPr>
                <w:rFonts w:ascii="Arial" w:cs="Arial" w:eastAsia="Arial" w:hAnsi="Arial"/>
                <w:sz w:val="18"/>
                <w:szCs w:val="18"/>
                <w:color w:val="auto"/>
              </w:rPr>
              <w:t>(7.5)</w:t>
            </w:r>
          </w:p>
        </w:tc>
        <w:tc>
          <w:tcPr>
            <w:tcW w:w="0" w:type="dxa"/>
            <w:vAlign w:val="bottom"/>
          </w:tcPr>
          <w:p>
            <w:pPr>
              <w:spacing w:after="0"/>
              <w:rPr>
                <w:sz w:val="1"/>
                <w:szCs w:val="1"/>
                <w:color w:val="auto"/>
              </w:rPr>
            </w:pPr>
          </w:p>
        </w:tc>
      </w:tr>
      <w:tr>
        <w:trPr>
          <w:trHeight w:val="270"/>
        </w:trPr>
        <w:tc>
          <w:tcPr>
            <w:tcW w:w="1500" w:type="dxa"/>
            <w:vAlign w:val="bottom"/>
          </w:tcPr>
          <w:p>
            <w:pPr>
              <w:jc w:val="right"/>
              <w:ind w:right="33"/>
              <w:spacing w:after="0"/>
              <w:rPr>
                <w:sz w:val="20"/>
                <w:szCs w:val="20"/>
                <w:color w:val="auto"/>
              </w:rPr>
            </w:pPr>
            <w:r>
              <w:rPr>
                <w:rFonts w:ascii="Arial" w:cs="Arial" w:eastAsia="Arial" w:hAnsi="Arial"/>
                <w:sz w:val="18"/>
                <w:szCs w:val="18"/>
                <w:color w:val="auto"/>
              </w:rPr>
              <w:t>4.42</w:t>
            </w:r>
          </w:p>
        </w:tc>
        <w:tc>
          <w:tcPr>
            <w:tcW w:w="120" w:type="dxa"/>
            <w:vAlign w:val="bottom"/>
          </w:tcPr>
          <w:p>
            <w:pPr>
              <w:spacing w:after="0"/>
              <w:rPr>
                <w:sz w:val="23"/>
                <w:szCs w:val="23"/>
                <w:color w:val="auto"/>
              </w:rPr>
            </w:pPr>
          </w:p>
        </w:tc>
        <w:tc>
          <w:tcPr>
            <w:tcW w:w="1480" w:type="dxa"/>
            <w:vAlign w:val="bottom"/>
          </w:tcPr>
          <w:p>
            <w:pPr>
              <w:jc w:val="right"/>
              <w:ind w:right="11"/>
              <w:spacing w:after="0"/>
              <w:rPr>
                <w:sz w:val="20"/>
                <w:szCs w:val="20"/>
                <w:color w:val="auto"/>
              </w:rPr>
            </w:pPr>
            <w:r>
              <w:rPr>
                <w:rFonts w:ascii="Arial" w:cs="Arial" w:eastAsia="Arial" w:hAnsi="Arial"/>
                <w:sz w:val="18"/>
                <w:szCs w:val="18"/>
                <w:color w:val="auto"/>
              </w:rPr>
              <w:t>4.34</w:t>
            </w:r>
          </w:p>
        </w:tc>
        <w:tc>
          <w:tcPr>
            <w:tcW w:w="1580" w:type="dxa"/>
            <w:vAlign w:val="bottom"/>
          </w:tcPr>
          <w:p>
            <w:pPr>
              <w:jc w:val="right"/>
              <w:ind w:right="13"/>
              <w:spacing w:after="0"/>
              <w:rPr>
                <w:sz w:val="20"/>
                <w:szCs w:val="20"/>
                <w:color w:val="auto"/>
              </w:rPr>
            </w:pPr>
            <w:r>
              <w:rPr>
                <w:rFonts w:ascii="Arial" w:cs="Arial" w:eastAsia="Arial" w:hAnsi="Arial"/>
                <w:sz w:val="18"/>
                <w:szCs w:val="18"/>
                <w:color w:val="auto"/>
              </w:rPr>
              <w:t>1.8</w:t>
            </w:r>
          </w:p>
        </w:tc>
        <w:tc>
          <w:tcPr>
            <w:tcW w:w="0" w:type="dxa"/>
            <w:vAlign w:val="bottom"/>
          </w:tcPr>
          <w:p>
            <w:pPr>
              <w:spacing w:after="0"/>
              <w:rPr>
                <w:sz w:val="1"/>
                <w:szCs w:val="1"/>
                <w:color w:val="auto"/>
              </w:rPr>
            </w:pPr>
          </w:p>
        </w:tc>
      </w:tr>
      <w:tr>
        <w:trPr>
          <w:trHeight w:val="270"/>
        </w:trPr>
        <w:tc>
          <w:tcPr>
            <w:tcW w:w="1500" w:type="dxa"/>
            <w:vAlign w:val="bottom"/>
          </w:tcPr>
          <w:p>
            <w:pPr>
              <w:jc w:val="right"/>
              <w:ind w:right="33"/>
              <w:spacing w:after="0"/>
              <w:rPr>
                <w:sz w:val="20"/>
                <w:szCs w:val="20"/>
                <w:color w:val="auto"/>
              </w:rPr>
            </w:pPr>
            <w:r>
              <w:rPr>
                <w:rFonts w:ascii="Arial" w:cs="Arial" w:eastAsia="Arial" w:hAnsi="Arial"/>
                <w:sz w:val="18"/>
                <w:szCs w:val="18"/>
                <w:color w:val="auto"/>
              </w:rPr>
              <w:t>0.83</w:t>
            </w:r>
          </w:p>
        </w:tc>
        <w:tc>
          <w:tcPr>
            <w:tcW w:w="120" w:type="dxa"/>
            <w:vAlign w:val="bottom"/>
          </w:tcPr>
          <w:p>
            <w:pPr>
              <w:spacing w:after="0"/>
              <w:rPr>
                <w:sz w:val="23"/>
                <w:szCs w:val="23"/>
                <w:color w:val="auto"/>
              </w:rPr>
            </w:pPr>
          </w:p>
        </w:tc>
        <w:tc>
          <w:tcPr>
            <w:tcW w:w="1480" w:type="dxa"/>
            <w:vAlign w:val="bottom"/>
          </w:tcPr>
          <w:p>
            <w:pPr>
              <w:jc w:val="right"/>
              <w:ind w:right="11"/>
              <w:spacing w:after="0"/>
              <w:rPr>
                <w:sz w:val="20"/>
                <w:szCs w:val="20"/>
                <w:color w:val="auto"/>
              </w:rPr>
            </w:pPr>
            <w:r>
              <w:rPr>
                <w:rFonts w:ascii="Arial" w:cs="Arial" w:eastAsia="Arial" w:hAnsi="Arial"/>
                <w:sz w:val="18"/>
                <w:szCs w:val="18"/>
                <w:color w:val="auto"/>
              </w:rPr>
              <w:t>0.73</w:t>
            </w:r>
          </w:p>
        </w:tc>
        <w:tc>
          <w:tcPr>
            <w:tcW w:w="1580" w:type="dxa"/>
            <w:vAlign w:val="bottom"/>
          </w:tcPr>
          <w:p>
            <w:pPr>
              <w:jc w:val="right"/>
              <w:ind w:right="13"/>
              <w:spacing w:after="0"/>
              <w:rPr>
                <w:sz w:val="20"/>
                <w:szCs w:val="20"/>
                <w:color w:val="auto"/>
              </w:rPr>
            </w:pPr>
            <w:r>
              <w:rPr>
                <w:rFonts w:ascii="Arial" w:cs="Arial" w:eastAsia="Arial" w:hAnsi="Arial"/>
                <w:sz w:val="18"/>
                <w:szCs w:val="18"/>
                <w:color w:val="auto"/>
              </w:rPr>
              <w:t>14.9</w:t>
            </w:r>
          </w:p>
        </w:tc>
        <w:tc>
          <w:tcPr>
            <w:tcW w:w="0" w:type="dxa"/>
            <w:vAlign w:val="bottom"/>
          </w:tcPr>
          <w:p>
            <w:pPr>
              <w:spacing w:after="0"/>
              <w:rPr>
                <w:sz w:val="1"/>
                <w:szCs w:val="1"/>
                <w:color w:val="auto"/>
              </w:rPr>
            </w:pPr>
          </w:p>
        </w:tc>
      </w:tr>
      <w:tr>
        <w:trPr>
          <w:trHeight w:val="270"/>
        </w:trPr>
        <w:tc>
          <w:tcPr>
            <w:tcW w:w="1500" w:type="dxa"/>
            <w:vAlign w:val="bottom"/>
          </w:tcPr>
          <w:p>
            <w:pPr>
              <w:jc w:val="right"/>
              <w:ind w:right="33"/>
              <w:spacing w:after="0"/>
              <w:rPr>
                <w:sz w:val="20"/>
                <w:szCs w:val="20"/>
                <w:color w:val="auto"/>
              </w:rPr>
            </w:pPr>
            <w:r>
              <w:rPr>
                <w:rFonts w:ascii="Arial" w:cs="Arial" w:eastAsia="Arial" w:hAnsi="Arial"/>
                <w:sz w:val="18"/>
                <w:szCs w:val="18"/>
                <w:color w:val="auto"/>
              </w:rPr>
              <w:t>0.72</w:t>
            </w:r>
          </w:p>
        </w:tc>
        <w:tc>
          <w:tcPr>
            <w:tcW w:w="120" w:type="dxa"/>
            <w:vAlign w:val="bottom"/>
          </w:tcPr>
          <w:p>
            <w:pPr>
              <w:spacing w:after="0"/>
              <w:rPr>
                <w:sz w:val="23"/>
                <w:szCs w:val="23"/>
                <w:color w:val="auto"/>
              </w:rPr>
            </w:pPr>
          </w:p>
        </w:tc>
        <w:tc>
          <w:tcPr>
            <w:tcW w:w="1480" w:type="dxa"/>
            <w:vAlign w:val="bottom"/>
          </w:tcPr>
          <w:p>
            <w:pPr>
              <w:jc w:val="right"/>
              <w:ind w:right="11"/>
              <w:spacing w:after="0"/>
              <w:rPr>
                <w:sz w:val="20"/>
                <w:szCs w:val="20"/>
                <w:color w:val="auto"/>
              </w:rPr>
            </w:pPr>
            <w:r>
              <w:rPr>
                <w:rFonts w:ascii="Arial" w:cs="Arial" w:eastAsia="Arial" w:hAnsi="Arial"/>
                <w:sz w:val="18"/>
                <w:szCs w:val="18"/>
                <w:color w:val="auto"/>
              </w:rPr>
              <w:t>0.67</w:t>
            </w:r>
          </w:p>
        </w:tc>
        <w:tc>
          <w:tcPr>
            <w:tcW w:w="1580" w:type="dxa"/>
            <w:vAlign w:val="bottom"/>
          </w:tcPr>
          <w:p>
            <w:pPr>
              <w:jc w:val="right"/>
              <w:ind w:right="13"/>
              <w:spacing w:after="0"/>
              <w:rPr>
                <w:sz w:val="20"/>
                <w:szCs w:val="20"/>
                <w:color w:val="auto"/>
              </w:rPr>
            </w:pPr>
            <w:r>
              <w:rPr>
                <w:rFonts w:ascii="Arial" w:cs="Arial" w:eastAsia="Arial" w:hAnsi="Arial"/>
                <w:sz w:val="18"/>
                <w:szCs w:val="18"/>
                <w:color w:val="auto"/>
              </w:rPr>
              <w:t>7.0</w:t>
            </w:r>
          </w:p>
        </w:tc>
        <w:tc>
          <w:tcPr>
            <w:tcW w:w="0" w:type="dxa"/>
            <w:vAlign w:val="bottom"/>
          </w:tcPr>
          <w:p>
            <w:pPr>
              <w:spacing w:after="0"/>
              <w:rPr>
                <w:sz w:val="1"/>
                <w:szCs w:val="1"/>
                <w:color w:val="auto"/>
              </w:rPr>
            </w:pPr>
          </w:p>
        </w:tc>
      </w:tr>
      <w:tr>
        <w:trPr>
          <w:trHeight w:val="270"/>
        </w:trPr>
        <w:tc>
          <w:tcPr>
            <w:tcW w:w="1500" w:type="dxa"/>
            <w:vAlign w:val="bottom"/>
          </w:tcPr>
          <w:p>
            <w:pPr>
              <w:jc w:val="right"/>
              <w:ind w:right="33"/>
              <w:spacing w:after="0"/>
              <w:rPr>
                <w:sz w:val="20"/>
                <w:szCs w:val="20"/>
                <w:color w:val="auto"/>
              </w:rPr>
            </w:pPr>
            <w:r>
              <w:rPr>
                <w:rFonts w:ascii="Arial" w:cs="Arial" w:eastAsia="Arial" w:hAnsi="Arial"/>
                <w:sz w:val="18"/>
                <w:szCs w:val="18"/>
                <w:color w:val="auto"/>
              </w:rPr>
              <w:t>0.47</w:t>
            </w:r>
          </w:p>
        </w:tc>
        <w:tc>
          <w:tcPr>
            <w:tcW w:w="120" w:type="dxa"/>
            <w:vAlign w:val="bottom"/>
          </w:tcPr>
          <w:p>
            <w:pPr>
              <w:spacing w:after="0"/>
              <w:rPr>
                <w:sz w:val="23"/>
                <w:szCs w:val="23"/>
                <w:color w:val="auto"/>
              </w:rPr>
            </w:pPr>
          </w:p>
        </w:tc>
        <w:tc>
          <w:tcPr>
            <w:tcW w:w="1480" w:type="dxa"/>
            <w:vAlign w:val="bottom"/>
          </w:tcPr>
          <w:p>
            <w:pPr>
              <w:jc w:val="right"/>
              <w:ind w:right="11"/>
              <w:spacing w:after="0"/>
              <w:rPr>
                <w:sz w:val="20"/>
                <w:szCs w:val="20"/>
                <w:color w:val="auto"/>
              </w:rPr>
            </w:pPr>
            <w:r>
              <w:rPr>
                <w:rFonts w:ascii="Arial" w:cs="Arial" w:eastAsia="Arial" w:hAnsi="Arial"/>
                <w:sz w:val="18"/>
                <w:szCs w:val="18"/>
                <w:color w:val="auto"/>
              </w:rPr>
              <w:t>0.45</w:t>
            </w:r>
          </w:p>
        </w:tc>
        <w:tc>
          <w:tcPr>
            <w:tcW w:w="1580" w:type="dxa"/>
            <w:vAlign w:val="bottom"/>
          </w:tcPr>
          <w:p>
            <w:pPr>
              <w:jc w:val="right"/>
              <w:ind w:right="13"/>
              <w:spacing w:after="0"/>
              <w:rPr>
                <w:sz w:val="20"/>
                <w:szCs w:val="20"/>
                <w:color w:val="auto"/>
              </w:rPr>
            </w:pPr>
            <w:r>
              <w:rPr>
                <w:rFonts w:ascii="Arial" w:cs="Arial" w:eastAsia="Arial" w:hAnsi="Arial"/>
                <w:sz w:val="18"/>
                <w:szCs w:val="18"/>
                <w:color w:val="auto"/>
              </w:rPr>
              <w:t>3.8</w:t>
            </w:r>
          </w:p>
        </w:tc>
        <w:tc>
          <w:tcPr>
            <w:tcW w:w="0" w:type="dxa"/>
            <w:vAlign w:val="bottom"/>
          </w:tcPr>
          <w:p>
            <w:pPr>
              <w:spacing w:after="0"/>
              <w:rPr>
                <w:sz w:val="1"/>
                <w:szCs w:val="1"/>
                <w:color w:val="auto"/>
              </w:rPr>
            </w:pPr>
          </w:p>
        </w:tc>
      </w:tr>
      <w:tr>
        <w:trPr>
          <w:trHeight w:val="270"/>
        </w:trPr>
        <w:tc>
          <w:tcPr>
            <w:tcW w:w="1500" w:type="dxa"/>
            <w:vAlign w:val="bottom"/>
          </w:tcPr>
          <w:p>
            <w:pPr>
              <w:jc w:val="right"/>
              <w:ind w:right="33"/>
              <w:spacing w:after="0"/>
              <w:rPr>
                <w:sz w:val="20"/>
                <w:szCs w:val="20"/>
                <w:color w:val="auto"/>
              </w:rPr>
            </w:pPr>
            <w:r>
              <w:rPr>
                <w:rFonts w:ascii="Arial" w:cs="Arial" w:eastAsia="Arial" w:hAnsi="Arial"/>
                <w:sz w:val="18"/>
                <w:szCs w:val="18"/>
                <w:color w:val="auto"/>
              </w:rPr>
              <w:t>0.56</w:t>
            </w:r>
          </w:p>
        </w:tc>
        <w:tc>
          <w:tcPr>
            <w:tcW w:w="120" w:type="dxa"/>
            <w:vAlign w:val="bottom"/>
          </w:tcPr>
          <w:p>
            <w:pPr>
              <w:spacing w:after="0"/>
              <w:rPr>
                <w:sz w:val="23"/>
                <w:szCs w:val="23"/>
                <w:color w:val="auto"/>
              </w:rPr>
            </w:pPr>
          </w:p>
        </w:tc>
        <w:tc>
          <w:tcPr>
            <w:tcW w:w="1480" w:type="dxa"/>
            <w:vAlign w:val="bottom"/>
          </w:tcPr>
          <w:p>
            <w:pPr>
              <w:jc w:val="right"/>
              <w:ind w:right="11"/>
              <w:spacing w:after="0"/>
              <w:rPr>
                <w:sz w:val="20"/>
                <w:szCs w:val="20"/>
                <w:color w:val="auto"/>
              </w:rPr>
            </w:pPr>
            <w:r>
              <w:rPr>
                <w:rFonts w:ascii="Arial" w:cs="Arial" w:eastAsia="Arial" w:hAnsi="Arial"/>
                <w:sz w:val="18"/>
                <w:szCs w:val="18"/>
                <w:color w:val="auto"/>
              </w:rPr>
              <w:t>0.54</w:t>
            </w:r>
          </w:p>
        </w:tc>
        <w:tc>
          <w:tcPr>
            <w:tcW w:w="1580" w:type="dxa"/>
            <w:vAlign w:val="bottom"/>
          </w:tcPr>
          <w:p>
            <w:pPr>
              <w:jc w:val="right"/>
              <w:ind w:right="13"/>
              <w:spacing w:after="0"/>
              <w:rPr>
                <w:sz w:val="20"/>
                <w:szCs w:val="20"/>
                <w:color w:val="auto"/>
              </w:rPr>
            </w:pPr>
            <w:r>
              <w:rPr>
                <w:rFonts w:ascii="Arial" w:cs="Arial" w:eastAsia="Arial" w:hAnsi="Arial"/>
                <w:sz w:val="18"/>
                <w:szCs w:val="18"/>
                <w:color w:val="auto"/>
              </w:rPr>
              <w:t>4.3</w:t>
            </w:r>
          </w:p>
        </w:tc>
        <w:tc>
          <w:tcPr>
            <w:tcW w:w="0" w:type="dxa"/>
            <w:vAlign w:val="bottom"/>
          </w:tcPr>
          <w:p>
            <w:pPr>
              <w:spacing w:after="0"/>
              <w:rPr>
                <w:sz w:val="1"/>
                <w:szCs w:val="1"/>
                <w:color w:val="auto"/>
              </w:rPr>
            </w:pPr>
          </w:p>
        </w:tc>
      </w:tr>
      <w:tr>
        <w:trPr>
          <w:trHeight w:val="270"/>
        </w:trPr>
        <w:tc>
          <w:tcPr>
            <w:tcW w:w="1500" w:type="dxa"/>
            <w:vAlign w:val="bottom"/>
          </w:tcPr>
          <w:p>
            <w:pPr>
              <w:jc w:val="right"/>
              <w:ind w:right="33"/>
              <w:spacing w:after="0"/>
              <w:rPr>
                <w:sz w:val="20"/>
                <w:szCs w:val="20"/>
                <w:color w:val="auto"/>
              </w:rPr>
            </w:pPr>
            <w:r>
              <w:rPr>
                <w:rFonts w:ascii="Arial" w:cs="Arial" w:eastAsia="Arial" w:hAnsi="Arial"/>
                <w:sz w:val="18"/>
                <w:szCs w:val="18"/>
                <w:color w:val="auto"/>
              </w:rPr>
              <w:t>0.70</w:t>
            </w:r>
          </w:p>
        </w:tc>
        <w:tc>
          <w:tcPr>
            <w:tcW w:w="120" w:type="dxa"/>
            <w:vAlign w:val="bottom"/>
          </w:tcPr>
          <w:p>
            <w:pPr>
              <w:spacing w:after="0"/>
              <w:rPr>
                <w:sz w:val="23"/>
                <w:szCs w:val="23"/>
                <w:color w:val="auto"/>
              </w:rPr>
            </w:pPr>
          </w:p>
        </w:tc>
        <w:tc>
          <w:tcPr>
            <w:tcW w:w="1480" w:type="dxa"/>
            <w:vAlign w:val="bottom"/>
          </w:tcPr>
          <w:p>
            <w:pPr>
              <w:jc w:val="right"/>
              <w:ind w:right="11"/>
              <w:spacing w:after="0"/>
              <w:rPr>
                <w:sz w:val="20"/>
                <w:szCs w:val="20"/>
                <w:color w:val="auto"/>
              </w:rPr>
            </w:pPr>
            <w:r>
              <w:rPr>
                <w:rFonts w:ascii="Arial" w:cs="Arial" w:eastAsia="Arial" w:hAnsi="Arial"/>
                <w:sz w:val="18"/>
                <w:szCs w:val="18"/>
                <w:color w:val="auto"/>
              </w:rPr>
              <w:t>0.65</w:t>
            </w:r>
          </w:p>
        </w:tc>
        <w:tc>
          <w:tcPr>
            <w:tcW w:w="1580" w:type="dxa"/>
            <w:vAlign w:val="bottom"/>
          </w:tcPr>
          <w:p>
            <w:pPr>
              <w:jc w:val="right"/>
              <w:ind w:right="13"/>
              <w:spacing w:after="0"/>
              <w:rPr>
                <w:sz w:val="20"/>
                <w:szCs w:val="20"/>
                <w:color w:val="auto"/>
              </w:rPr>
            </w:pPr>
            <w:r>
              <w:rPr>
                <w:rFonts w:ascii="Arial" w:cs="Arial" w:eastAsia="Arial" w:hAnsi="Arial"/>
                <w:sz w:val="18"/>
                <w:szCs w:val="18"/>
                <w:color w:val="auto"/>
              </w:rPr>
              <w:t>6.6</w:t>
            </w:r>
          </w:p>
        </w:tc>
        <w:tc>
          <w:tcPr>
            <w:tcW w:w="0" w:type="dxa"/>
            <w:vAlign w:val="bottom"/>
          </w:tcPr>
          <w:p>
            <w:pPr>
              <w:spacing w:after="0"/>
              <w:rPr>
                <w:sz w:val="1"/>
                <w:szCs w:val="1"/>
                <w:color w:val="auto"/>
              </w:rPr>
            </w:pPr>
          </w:p>
        </w:tc>
      </w:tr>
      <w:tr>
        <w:trPr>
          <w:trHeight w:val="270"/>
        </w:trPr>
        <w:tc>
          <w:tcPr>
            <w:tcW w:w="1500" w:type="dxa"/>
            <w:vAlign w:val="bottom"/>
          </w:tcPr>
          <w:p>
            <w:pPr>
              <w:jc w:val="right"/>
              <w:ind w:right="33"/>
              <w:spacing w:after="0"/>
              <w:rPr>
                <w:sz w:val="20"/>
                <w:szCs w:val="20"/>
                <w:color w:val="auto"/>
              </w:rPr>
            </w:pPr>
            <w:r>
              <w:rPr>
                <w:rFonts w:ascii="Arial" w:cs="Arial" w:eastAsia="Arial" w:hAnsi="Arial"/>
                <w:sz w:val="18"/>
                <w:szCs w:val="18"/>
                <w:color w:val="auto"/>
              </w:rPr>
              <w:t>0.22</w:t>
            </w:r>
          </w:p>
        </w:tc>
        <w:tc>
          <w:tcPr>
            <w:tcW w:w="120" w:type="dxa"/>
            <w:vAlign w:val="bottom"/>
          </w:tcPr>
          <w:p>
            <w:pPr>
              <w:spacing w:after="0"/>
              <w:rPr>
                <w:sz w:val="23"/>
                <w:szCs w:val="23"/>
                <w:color w:val="auto"/>
              </w:rPr>
            </w:pPr>
          </w:p>
        </w:tc>
        <w:tc>
          <w:tcPr>
            <w:tcW w:w="1480" w:type="dxa"/>
            <w:vAlign w:val="bottom"/>
          </w:tcPr>
          <w:p>
            <w:pPr>
              <w:jc w:val="right"/>
              <w:ind w:right="11"/>
              <w:spacing w:after="0"/>
              <w:rPr>
                <w:sz w:val="20"/>
                <w:szCs w:val="20"/>
                <w:color w:val="auto"/>
              </w:rPr>
            </w:pPr>
            <w:r>
              <w:rPr>
                <w:rFonts w:ascii="Arial" w:cs="Arial" w:eastAsia="Arial" w:hAnsi="Arial"/>
                <w:sz w:val="18"/>
                <w:szCs w:val="18"/>
                <w:color w:val="auto"/>
              </w:rPr>
              <w:t>0.28</w:t>
            </w:r>
          </w:p>
        </w:tc>
        <w:tc>
          <w:tcPr>
            <w:tcW w:w="1580" w:type="dxa"/>
            <w:vAlign w:val="bottom"/>
          </w:tcPr>
          <w:p>
            <w:pPr>
              <w:jc w:val="right"/>
              <w:spacing w:after="0"/>
              <w:rPr>
                <w:sz w:val="20"/>
                <w:szCs w:val="20"/>
                <w:color w:val="auto"/>
              </w:rPr>
            </w:pPr>
            <w:r>
              <w:rPr>
                <w:rFonts w:ascii="Arial" w:cs="Arial" w:eastAsia="Arial" w:hAnsi="Arial"/>
                <w:sz w:val="18"/>
                <w:szCs w:val="18"/>
                <w:color w:val="auto"/>
              </w:rPr>
              <w:t>(20.2)</w:t>
            </w:r>
          </w:p>
        </w:tc>
        <w:tc>
          <w:tcPr>
            <w:tcW w:w="0" w:type="dxa"/>
            <w:vAlign w:val="bottom"/>
          </w:tcPr>
          <w:p>
            <w:pPr>
              <w:spacing w:after="0"/>
              <w:rPr>
                <w:sz w:val="1"/>
                <w:szCs w:val="1"/>
                <w:color w:val="auto"/>
              </w:rPr>
            </w:pPr>
          </w:p>
        </w:tc>
      </w:tr>
      <w:tr>
        <w:trPr>
          <w:trHeight w:val="270"/>
        </w:trPr>
        <w:tc>
          <w:tcPr>
            <w:tcW w:w="1500" w:type="dxa"/>
            <w:vAlign w:val="bottom"/>
          </w:tcPr>
          <w:p>
            <w:pPr>
              <w:jc w:val="right"/>
              <w:ind w:right="33"/>
              <w:spacing w:after="0"/>
              <w:rPr>
                <w:sz w:val="20"/>
                <w:szCs w:val="20"/>
                <w:color w:val="auto"/>
              </w:rPr>
            </w:pPr>
            <w:r>
              <w:rPr>
                <w:rFonts w:ascii="Arial" w:cs="Arial" w:eastAsia="Arial" w:hAnsi="Arial"/>
                <w:sz w:val="18"/>
                <w:szCs w:val="18"/>
                <w:color w:val="auto"/>
              </w:rPr>
              <w:t>1.78</w:t>
            </w:r>
          </w:p>
        </w:tc>
        <w:tc>
          <w:tcPr>
            <w:tcW w:w="120" w:type="dxa"/>
            <w:vAlign w:val="bottom"/>
          </w:tcPr>
          <w:p>
            <w:pPr>
              <w:spacing w:after="0"/>
              <w:rPr>
                <w:sz w:val="23"/>
                <w:szCs w:val="23"/>
                <w:color w:val="auto"/>
              </w:rPr>
            </w:pPr>
          </w:p>
        </w:tc>
        <w:tc>
          <w:tcPr>
            <w:tcW w:w="1480" w:type="dxa"/>
            <w:vAlign w:val="bottom"/>
          </w:tcPr>
          <w:p>
            <w:pPr>
              <w:jc w:val="right"/>
              <w:ind w:right="11"/>
              <w:spacing w:after="0"/>
              <w:rPr>
                <w:sz w:val="20"/>
                <w:szCs w:val="20"/>
                <w:color w:val="auto"/>
              </w:rPr>
            </w:pPr>
            <w:r>
              <w:rPr>
                <w:rFonts w:ascii="Arial" w:cs="Arial" w:eastAsia="Arial" w:hAnsi="Arial"/>
                <w:sz w:val="18"/>
                <w:szCs w:val="18"/>
                <w:color w:val="auto"/>
              </w:rPr>
              <w:t>1.80</w:t>
            </w:r>
          </w:p>
        </w:tc>
        <w:tc>
          <w:tcPr>
            <w:tcW w:w="1580" w:type="dxa"/>
            <w:vAlign w:val="bottom"/>
          </w:tcPr>
          <w:p>
            <w:pPr>
              <w:jc w:val="right"/>
              <w:spacing w:after="0"/>
              <w:rPr>
                <w:sz w:val="20"/>
                <w:szCs w:val="20"/>
                <w:color w:val="auto"/>
              </w:rPr>
            </w:pPr>
            <w:r>
              <w:rPr>
                <w:rFonts w:ascii="Arial" w:cs="Arial" w:eastAsia="Arial" w:hAnsi="Arial"/>
                <w:sz w:val="18"/>
                <w:szCs w:val="18"/>
                <w:color w:val="auto"/>
              </w:rPr>
              <w:t>(1.1)</w:t>
            </w:r>
          </w:p>
        </w:tc>
        <w:tc>
          <w:tcPr>
            <w:tcW w:w="0" w:type="dxa"/>
            <w:vAlign w:val="bottom"/>
          </w:tcPr>
          <w:p>
            <w:pPr>
              <w:spacing w:after="0"/>
              <w:rPr>
                <w:sz w:val="1"/>
                <w:szCs w:val="1"/>
                <w:color w:val="auto"/>
              </w:rPr>
            </w:pPr>
          </w:p>
        </w:tc>
      </w:tr>
      <w:tr>
        <w:trPr>
          <w:trHeight w:val="540"/>
        </w:trPr>
        <w:tc>
          <w:tcPr>
            <w:tcW w:w="1500" w:type="dxa"/>
            <w:vAlign w:val="bottom"/>
          </w:tcPr>
          <w:p>
            <w:pPr>
              <w:jc w:val="right"/>
              <w:ind w:right="33"/>
              <w:spacing w:after="0"/>
              <w:rPr>
                <w:sz w:val="20"/>
                <w:szCs w:val="20"/>
                <w:color w:val="auto"/>
              </w:rPr>
            </w:pPr>
            <w:r>
              <w:rPr>
                <w:rFonts w:ascii="Arial" w:cs="Arial" w:eastAsia="Arial" w:hAnsi="Arial"/>
                <w:sz w:val="18"/>
                <w:szCs w:val="18"/>
                <w:color w:val="auto"/>
              </w:rPr>
              <w:t>0.66</w:t>
            </w:r>
          </w:p>
        </w:tc>
        <w:tc>
          <w:tcPr>
            <w:tcW w:w="120" w:type="dxa"/>
            <w:vAlign w:val="bottom"/>
          </w:tcPr>
          <w:p>
            <w:pPr>
              <w:spacing w:after="0"/>
              <w:rPr>
                <w:sz w:val="24"/>
                <w:szCs w:val="24"/>
                <w:color w:val="auto"/>
              </w:rPr>
            </w:pPr>
          </w:p>
        </w:tc>
        <w:tc>
          <w:tcPr>
            <w:tcW w:w="1480" w:type="dxa"/>
            <w:vAlign w:val="bottom"/>
          </w:tcPr>
          <w:p>
            <w:pPr>
              <w:jc w:val="right"/>
              <w:ind w:right="11"/>
              <w:spacing w:after="0"/>
              <w:rPr>
                <w:sz w:val="20"/>
                <w:szCs w:val="20"/>
                <w:color w:val="auto"/>
              </w:rPr>
            </w:pPr>
            <w:r>
              <w:rPr>
                <w:rFonts w:ascii="Arial" w:cs="Arial" w:eastAsia="Arial" w:hAnsi="Arial"/>
                <w:sz w:val="18"/>
                <w:szCs w:val="18"/>
                <w:color w:val="auto"/>
              </w:rPr>
              <w:t>0.65</w:t>
            </w:r>
          </w:p>
        </w:tc>
        <w:tc>
          <w:tcPr>
            <w:tcW w:w="1580" w:type="dxa"/>
            <w:vAlign w:val="bottom"/>
          </w:tcPr>
          <w:p>
            <w:pPr>
              <w:jc w:val="right"/>
              <w:ind w:right="13"/>
              <w:spacing w:after="0"/>
              <w:rPr>
                <w:sz w:val="20"/>
                <w:szCs w:val="20"/>
                <w:color w:val="auto"/>
              </w:rPr>
            </w:pPr>
            <w:r>
              <w:rPr>
                <w:rFonts w:ascii="Arial" w:cs="Arial" w:eastAsia="Arial" w:hAnsi="Arial"/>
                <w:sz w:val="18"/>
                <w:szCs w:val="18"/>
                <w:color w:val="auto"/>
              </w:rPr>
              <w:t>0.3</w:t>
            </w:r>
          </w:p>
        </w:tc>
        <w:tc>
          <w:tcPr>
            <w:tcW w:w="0" w:type="dxa"/>
            <w:vAlign w:val="bottom"/>
          </w:tcPr>
          <w:p>
            <w:pPr>
              <w:spacing w:after="0"/>
              <w:rPr>
                <w:sz w:val="1"/>
                <w:szCs w:val="1"/>
                <w:color w:val="auto"/>
              </w:rPr>
            </w:pPr>
          </w:p>
        </w:tc>
      </w:tr>
      <w:tr>
        <w:trPr>
          <w:trHeight w:val="277"/>
        </w:trPr>
        <w:tc>
          <w:tcPr>
            <w:tcW w:w="1500" w:type="dxa"/>
            <w:vAlign w:val="bottom"/>
            <w:tcBorders>
              <w:bottom w:val="single" w:sz="8" w:color="auto"/>
            </w:tcBorders>
          </w:tcPr>
          <w:p>
            <w:pPr>
              <w:jc w:val="right"/>
              <w:ind w:right="33"/>
              <w:spacing w:after="0"/>
              <w:rPr>
                <w:sz w:val="20"/>
                <w:szCs w:val="20"/>
                <w:color w:val="auto"/>
              </w:rPr>
            </w:pPr>
            <w:r>
              <w:rPr>
                <w:rFonts w:ascii="Arial" w:cs="Arial" w:eastAsia="Arial" w:hAnsi="Arial"/>
                <w:sz w:val="18"/>
                <w:szCs w:val="18"/>
                <w:color w:val="auto"/>
              </w:rPr>
              <w:t>1.98</w:t>
            </w:r>
          </w:p>
        </w:tc>
        <w:tc>
          <w:tcPr>
            <w:tcW w:w="120" w:type="dxa"/>
            <w:vAlign w:val="bottom"/>
          </w:tcPr>
          <w:p>
            <w:pPr>
              <w:spacing w:after="0"/>
              <w:rPr>
                <w:sz w:val="24"/>
                <w:szCs w:val="24"/>
                <w:color w:val="auto"/>
              </w:rPr>
            </w:pPr>
          </w:p>
        </w:tc>
        <w:tc>
          <w:tcPr>
            <w:tcW w:w="1480" w:type="dxa"/>
            <w:vAlign w:val="bottom"/>
            <w:tcBorders>
              <w:bottom w:val="single" w:sz="8" w:color="auto"/>
            </w:tcBorders>
          </w:tcPr>
          <w:p>
            <w:pPr>
              <w:jc w:val="right"/>
              <w:ind w:right="11"/>
              <w:spacing w:after="0"/>
              <w:rPr>
                <w:sz w:val="20"/>
                <w:szCs w:val="20"/>
                <w:color w:val="auto"/>
              </w:rPr>
            </w:pPr>
            <w:r>
              <w:rPr>
                <w:rFonts w:ascii="Arial" w:cs="Arial" w:eastAsia="Arial" w:hAnsi="Arial"/>
                <w:sz w:val="18"/>
                <w:szCs w:val="18"/>
                <w:color w:val="auto"/>
              </w:rPr>
              <w:t>1.88</w:t>
            </w:r>
          </w:p>
        </w:tc>
        <w:tc>
          <w:tcPr>
            <w:tcW w:w="1580" w:type="dxa"/>
            <w:vAlign w:val="bottom"/>
          </w:tcPr>
          <w:p>
            <w:pPr>
              <w:jc w:val="right"/>
              <w:ind w:right="13"/>
              <w:spacing w:after="0"/>
              <w:rPr>
                <w:sz w:val="20"/>
                <w:szCs w:val="20"/>
                <w:color w:val="auto"/>
              </w:rPr>
            </w:pPr>
            <w:r>
              <w:rPr>
                <w:rFonts w:ascii="Arial" w:cs="Arial" w:eastAsia="Arial" w:hAnsi="Arial"/>
                <w:sz w:val="18"/>
                <w:szCs w:val="18"/>
                <w:color w:val="auto"/>
              </w:rPr>
              <w:t>5.3</w:t>
            </w:r>
          </w:p>
        </w:tc>
        <w:tc>
          <w:tcPr>
            <w:tcW w:w="0" w:type="dxa"/>
            <w:vAlign w:val="bottom"/>
          </w:tcPr>
          <w:p>
            <w:pPr>
              <w:spacing w:after="0"/>
              <w:rPr>
                <w:sz w:val="1"/>
                <w:szCs w:val="1"/>
                <w:color w:val="auto"/>
              </w:rPr>
            </w:pPr>
          </w:p>
        </w:tc>
      </w:tr>
      <w:tr>
        <w:trPr>
          <w:trHeight w:val="243"/>
        </w:trPr>
        <w:tc>
          <w:tcPr>
            <w:tcW w:w="1500" w:type="dxa"/>
            <w:vAlign w:val="bottom"/>
          </w:tcPr>
          <w:p>
            <w:pPr>
              <w:jc w:val="right"/>
              <w:ind w:right="33"/>
              <w:spacing w:after="0"/>
              <w:rPr>
                <w:sz w:val="20"/>
                <w:szCs w:val="20"/>
                <w:color w:val="auto"/>
              </w:rPr>
            </w:pPr>
            <w:r>
              <w:rPr>
                <w:rFonts w:ascii="Arial" w:cs="Arial" w:eastAsia="Arial" w:hAnsi="Arial"/>
                <w:sz w:val="18"/>
                <w:szCs w:val="18"/>
                <w:color w:val="auto"/>
              </w:rPr>
              <w:t>14.98</w:t>
            </w:r>
          </w:p>
        </w:tc>
        <w:tc>
          <w:tcPr>
            <w:tcW w:w="120" w:type="dxa"/>
            <w:vAlign w:val="bottom"/>
          </w:tcPr>
          <w:p>
            <w:pPr>
              <w:spacing w:after="0"/>
              <w:rPr>
                <w:sz w:val="21"/>
                <w:szCs w:val="21"/>
                <w:color w:val="auto"/>
              </w:rPr>
            </w:pPr>
          </w:p>
        </w:tc>
        <w:tc>
          <w:tcPr>
            <w:tcW w:w="1480" w:type="dxa"/>
            <w:vAlign w:val="bottom"/>
          </w:tcPr>
          <w:p>
            <w:pPr>
              <w:jc w:val="right"/>
              <w:ind w:right="11"/>
              <w:spacing w:after="0"/>
              <w:rPr>
                <w:sz w:val="20"/>
                <w:szCs w:val="20"/>
                <w:color w:val="auto"/>
              </w:rPr>
            </w:pPr>
            <w:r>
              <w:rPr>
                <w:rFonts w:ascii="Arial" w:cs="Arial" w:eastAsia="Arial" w:hAnsi="Arial"/>
                <w:sz w:val="18"/>
                <w:szCs w:val="18"/>
                <w:color w:val="auto"/>
              </w:rPr>
              <w:t>14.85</w:t>
            </w:r>
          </w:p>
        </w:tc>
        <w:tc>
          <w:tcPr>
            <w:tcW w:w="1580" w:type="dxa"/>
            <w:vAlign w:val="bottom"/>
          </w:tcPr>
          <w:p>
            <w:pPr>
              <w:jc w:val="right"/>
              <w:ind w:right="13"/>
              <w:spacing w:after="0"/>
              <w:rPr>
                <w:sz w:val="20"/>
                <w:szCs w:val="20"/>
                <w:color w:val="auto"/>
              </w:rPr>
            </w:pPr>
            <w:r>
              <w:rPr>
                <w:rFonts w:ascii="Arial" w:cs="Arial" w:eastAsia="Arial" w:hAnsi="Arial"/>
                <w:sz w:val="18"/>
                <w:szCs w:val="18"/>
                <w:color w:val="auto"/>
              </w:rPr>
              <w:t>0.9</w:t>
            </w:r>
          </w:p>
        </w:tc>
        <w:tc>
          <w:tcPr>
            <w:tcW w:w="0" w:type="dxa"/>
            <w:vAlign w:val="bottom"/>
          </w:tcPr>
          <w:p>
            <w:pPr>
              <w:spacing w:after="0"/>
              <w:rPr>
                <w:sz w:val="1"/>
                <w:szCs w:val="1"/>
                <w:color w:val="auto"/>
              </w:rPr>
            </w:pPr>
          </w:p>
        </w:tc>
      </w:tr>
      <w:tr>
        <w:trPr>
          <w:trHeight w:val="270"/>
        </w:trPr>
        <w:tc>
          <w:tcPr>
            <w:tcW w:w="1500" w:type="dxa"/>
            <w:vAlign w:val="bottom"/>
          </w:tcPr>
          <w:p>
            <w:pPr>
              <w:jc w:val="right"/>
              <w:spacing w:after="0"/>
              <w:rPr>
                <w:sz w:val="20"/>
                <w:szCs w:val="20"/>
                <w:color w:val="auto"/>
              </w:rPr>
            </w:pPr>
            <w:r>
              <w:rPr>
                <w:rFonts w:ascii="Arial" w:cs="Arial" w:eastAsia="Arial" w:hAnsi="Arial"/>
                <w:sz w:val="18"/>
                <w:szCs w:val="18"/>
                <w:color w:val="auto"/>
              </w:rPr>
              <w:t>(0.22)</w:t>
            </w:r>
          </w:p>
        </w:tc>
        <w:tc>
          <w:tcPr>
            <w:tcW w:w="120" w:type="dxa"/>
            <w:vAlign w:val="bottom"/>
          </w:tcPr>
          <w:p>
            <w:pPr>
              <w:spacing w:after="0"/>
              <w:rPr>
                <w:sz w:val="23"/>
                <w:szCs w:val="23"/>
                <w:color w:val="auto"/>
              </w:rPr>
            </w:pPr>
          </w:p>
        </w:tc>
        <w:tc>
          <w:tcPr>
            <w:tcW w:w="1480" w:type="dxa"/>
            <w:vAlign w:val="bottom"/>
          </w:tcPr>
          <w:p>
            <w:pPr>
              <w:jc w:val="right"/>
              <w:spacing w:after="0"/>
              <w:rPr>
                <w:sz w:val="20"/>
                <w:szCs w:val="20"/>
                <w:color w:val="auto"/>
              </w:rPr>
            </w:pPr>
            <w:r>
              <w:rPr>
                <w:rFonts w:ascii="Arial" w:cs="Arial" w:eastAsia="Arial" w:hAnsi="Arial"/>
                <w:sz w:val="18"/>
                <w:szCs w:val="18"/>
                <w:color w:val="auto"/>
              </w:rPr>
              <w:t>(0.28)</w:t>
            </w:r>
          </w:p>
        </w:tc>
        <w:tc>
          <w:tcPr>
            <w:tcW w:w="1580" w:type="dxa"/>
            <w:vAlign w:val="bottom"/>
          </w:tcPr>
          <w:p>
            <w:pPr>
              <w:jc w:val="right"/>
              <w:spacing w:after="0"/>
              <w:rPr>
                <w:sz w:val="20"/>
                <w:szCs w:val="20"/>
                <w:color w:val="auto"/>
              </w:rPr>
            </w:pPr>
            <w:r>
              <w:rPr>
                <w:rFonts w:ascii="Arial" w:cs="Arial" w:eastAsia="Arial" w:hAnsi="Arial"/>
                <w:sz w:val="18"/>
                <w:szCs w:val="18"/>
                <w:color w:val="auto"/>
              </w:rPr>
              <w:t>(20.2)</w:t>
            </w:r>
          </w:p>
        </w:tc>
        <w:tc>
          <w:tcPr>
            <w:tcW w:w="0" w:type="dxa"/>
            <w:vAlign w:val="bottom"/>
          </w:tcPr>
          <w:p>
            <w:pPr>
              <w:spacing w:after="0"/>
              <w:rPr>
                <w:sz w:val="1"/>
                <w:szCs w:val="1"/>
                <w:color w:val="auto"/>
              </w:rPr>
            </w:pPr>
          </w:p>
        </w:tc>
      </w:tr>
      <w:tr>
        <w:trPr>
          <w:trHeight w:val="540"/>
        </w:trPr>
        <w:tc>
          <w:tcPr>
            <w:tcW w:w="1500" w:type="dxa"/>
            <w:vAlign w:val="bottom"/>
          </w:tcPr>
          <w:p>
            <w:pPr>
              <w:jc w:val="right"/>
              <w:spacing w:after="0"/>
              <w:rPr>
                <w:sz w:val="20"/>
                <w:szCs w:val="20"/>
                <w:color w:val="auto"/>
              </w:rPr>
            </w:pPr>
            <w:r>
              <w:rPr>
                <w:rFonts w:ascii="Arial" w:cs="Arial" w:eastAsia="Arial" w:hAnsi="Arial"/>
                <w:sz w:val="18"/>
                <w:szCs w:val="18"/>
                <w:color w:val="auto"/>
              </w:rPr>
              <w:t>(2.64)</w:t>
            </w:r>
          </w:p>
        </w:tc>
        <w:tc>
          <w:tcPr>
            <w:tcW w:w="120" w:type="dxa"/>
            <w:vAlign w:val="bottom"/>
          </w:tcPr>
          <w:p>
            <w:pPr>
              <w:spacing w:after="0"/>
              <w:rPr>
                <w:sz w:val="24"/>
                <w:szCs w:val="24"/>
                <w:color w:val="auto"/>
              </w:rPr>
            </w:pPr>
          </w:p>
        </w:tc>
        <w:tc>
          <w:tcPr>
            <w:tcW w:w="1480" w:type="dxa"/>
            <w:vAlign w:val="bottom"/>
          </w:tcPr>
          <w:p>
            <w:pPr>
              <w:jc w:val="right"/>
              <w:spacing w:after="0"/>
              <w:rPr>
                <w:sz w:val="20"/>
                <w:szCs w:val="20"/>
                <w:color w:val="auto"/>
              </w:rPr>
            </w:pPr>
            <w:r>
              <w:rPr>
                <w:rFonts w:ascii="Arial" w:cs="Arial" w:eastAsia="Arial" w:hAnsi="Arial"/>
                <w:sz w:val="18"/>
                <w:szCs w:val="18"/>
                <w:color w:val="auto"/>
              </w:rPr>
              <w:t>(2.86)</w:t>
            </w:r>
          </w:p>
        </w:tc>
        <w:tc>
          <w:tcPr>
            <w:tcW w:w="1580" w:type="dxa"/>
            <w:vAlign w:val="bottom"/>
          </w:tcPr>
          <w:p>
            <w:pPr>
              <w:jc w:val="right"/>
              <w:spacing w:after="0"/>
              <w:rPr>
                <w:sz w:val="20"/>
                <w:szCs w:val="20"/>
                <w:color w:val="auto"/>
              </w:rPr>
            </w:pPr>
            <w:r>
              <w:rPr>
                <w:rFonts w:ascii="Arial" w:cs="Arial" w:eastAsia="Arial" w:hAnsi="Arial"/>
                <w:sz w:val="18"/>
                <w:szCs w:val="18"/>
                <w:color w:val="auto"/>
              </w:rPr>
              <w:t>(7.5)</w:t>
            </w:r>
          </w:p>
        </w:tc>
        <w:tc>
          <w:tcPr>
            <w:tcW w:w="0" w:type="dxa"/>
            <w:vAlign w:val="bottom"/>
          </w:tcPr>
          <w:p>
            <w:pPr>
              <w:spacing w:after="0"/>
              <w:rPr>
                <w:sz w:val="1"/>
                <w:szCs w:val="1"/>
                <w:color w:val="auto"/>
              </w:rPr>
            </w:pPr>
          </w:p>
        </w:tc>
      </w:tr>
      <w:tr>
        <w:trPr>
          <w:trHeight w:val="277"/>
        </w:trPr>
        <w:tc>
          <w:tcPr>
            <w:tcW w:w="15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(0.66)</w:t>
            </w:r>
          </w:p>
        </w:tc>
        <w:tc>
          <w:tcPr>
            <w:tcW w:w="120" w:type="dxa"/>
            <w:vAlign w:val="bottom"/>
          </w:tcPr>
          <w:p>
            <w:pPr>
              <w:spacing w:after="0"/>
              <w:rPr>
                <w:sz w:val="24"/>
                <w:szCs w:val="24"/>
                <w:color w:val="auto"/>
              </w:rPr>
            </w:pPr>
          </w:p>
        </w:tc>
        <w:tc>
          <w:tcPr>
            <w:tcW w:w="14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(0.65)</w:t>
            </w:r>
          </w:p>
        </w:tc>
        <w:tc>
          <w:tcPr>
            <w:tcW w:w="1580" w:type="dxa"/>
            <w:vAlign w:val="bottom"/>
          </w:tcPr>
          <w:p>
            <w:pPr>
              <w:jc w:val="right"/>
              <w:ind w:right="13"/>
              <w:spacing w:after="0"/>
              <w:rPr>
                <w:sz w:val="20"/>
                <w:szCs w:val="20"/>
                <w:color w:val="auto"/>
              </w:rPr>
            </w:pPr>
            <w:r>
              <w:rPr>
                <w:rFonts w:ascii="Arial" w:cs="Arial" w:eastAsia="Arial" w:hAnsi="Arial"/>
                <w:sz w:val="18"/>
                <w:szCs w:val="18"/>
                <w:color w:val="auto"/>
              </w:rPr>
              <w:t>0.3</w:t>
            </w:r>
          </w:p>
        </w:tc>
        <w:tc>
          <w:tcPr>
            <w:tcW w:w="0" w:type="dxa"/>
            <w:vAlign w:val="bottom"/>
          </w:tcPr>
          <w:p>
            <w:pPr>
              <w:spacing w:after="0"/>
              <w:rPr>
                <w:sz w:val="1"/>
                <w:szCs w:val="1"/>
                <w:color w:val="auto"/>
              </w:rPr>
            </w:pPr>
          </w:p>
        </w:tc>
      </w:tr>
      <w:tr>
        <w:trPr>
          <w:trHeight w:val="257"/>
        </w:trPr>
        <w:tc>
          <w:tcPr>
            <w:tcW w:w="1500" w:type="dxa"/>
            <w:vAlign w:val="bottom"/>
            <w:tcBorders>
              <w:bottom w:val="single" w:sz="8" w:color="auto"/>
            </w:tcBorders>
          </w:tcPr>
          <w:p>
            <w:pPr>
              <w:jc w:val="right"/>
              <w:ind w:right="33"/>
              <w:spacing w:after="0"/>
              <w:rPr>
                <w:sz w:val="20"/>
                <w:szCs w:val="20"/>
                <w:color w:val="auto"/>
              </w:rPr>
            </w:pPr>
            <w:r>
              <w:rPr>
                <w:rFonts w:ascii="Arial" w:cs="Arial" w:eastAsia="Arial" w:hAnsi="Arial"/>
                <w:sz w:val="18"/>
                <w:szCs w:val="18"/>
                <w:color w:val="auto"/>
              </w:rPr>
              <w:t>11.46</w:t>
            </w:r>
          </w:p>
        </w:tc>
        <w:tc>
          <w:tcPr>
            <w:tcW w:w="120" w:type="dxa"/>
            <w:vAlign w:val="bottom"/>
          </w:tcPr>
          <w:p>
            <w:pPr>
              <w:spacing w:after="0"/>
              <w:rPr>
                <w:sz w:val="22"/>
                <w:szCs w:val="22"/>
                <w:color w:val="auto"/>
              </w:rPr>
            </w:pPr>
          </w:p>
        </w:tc>
        <w:tc>
          <w:tcPr>
            <w:tcW w:w="1480" w:type="dxa"/>
            <w:vAlign w:val="bottom"/>
            <w:tcBorders>
              <w:bottom w:val="single" w:sz="8" w:color="auto"/>
            </w:tcBorders>
          </w:tcPr>
          <w:p>
            <w:pPr>
              <w:jc w:val="right"/>
              <w:ind w:right="11"/>
              <w:spacing w:after="0"/>
              <w:rPr>
                <w:sz w:val="20"/>
                <w:szCs w:val="20"/>
                <w:color w:val="auto"/>
              </w:rPr>
            </w:pPr>
            <w:r>
              <w:rPr>
                <w:rFonts w:ascii="Arial" w:cs="Arial" w:eastAsia="Arial" w:hAnsi="Arial"/>
                <w:sz w:val="18"/>
                <w:szCs w:val="18"/>
                <w:color w:val="auto"/>
              </w:rPr>
              <w:t>11.06</w:t>
            </w:r>
          </w:p>
        </w:tc>
        <w:tc>
          <w:tcPr>
            <w:tcW w:w="1580" w:type="dxa"/>
            <w:vAlign w:val="bottom"/>
          </w:tcPr>
          <w:p>
            <w:pPr>
              <w:jc w:val="right"/>
              <w:ind w:right="13"/>
              <w:spacing w:after="0"/>
              <w:rPr>
                <w:sz w:val="20"/>
                <w:szCs w:val="20"/>
                <w:color w:val="auto"/>
              </w:rPr>
            </w:pPr>
            <w:r>
              <w:rPr>
                <w:rFonts w:ascii="Arial" w:cs="Arial" w:eastAsia="Arial" w:hAnsi="Arial"/>
                <w:sz w:val="18"/>
                <w:szCs w:val="18"/>
                <w:color w:val="auto"/>
              </w:rPr>
              <w:t>3.6</w:t>
            </w:r>
          </w:p>
        </w:tc>
        <w:tc>
          <w:tcPr>
            <w:tcW w:w="0" w:type="dxa"/>
            <w:vAlign w:val="bottom"/>
          </w:tcPr>
          <w:p>
            <w:pPr>
              <w:spacing w:after="0"/>
              <w:rPr>
                <w:sz w:val="1"/>
                <w:szCs w:val="1"/>
                <w:color w:val="auto"/>
              </w:rPr>
            </w:pPr>
          </w:p>
        </w:tc>
      </w:tr>
      <w:tr>
        <w:trPr>
          <w:trHeight w:val="20"/>
        </w:trPr>
        <w:tc>
          <w:tcPr>
            <w:tcW w:w="15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80" w:type="dxa"/>
            <w:vAlign w:val="bottom"/>
            <w:tcBorders>
              <w:bottom w:val="single" w:sz="8" w:color="auto"/>
            </w:tcBorders>
          </w:tcPr>
          <w:p>
            <w:pPr>
              <w:spacing w:after="0" w:line="20" w:lineRule="exact"/>
              <w:rPr>
                <w:sz w:val="1"/>
                <w:szCs w:val="1"/>
                <w:color w:val="auto"/>
              </w:rPr>
            </w:pPr>
          </w:p>
        </w:tc>
        <w:tc>
          <w:tcPr>
            <w:tcW w:w="15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539" w:lineRule="exact"/>
        <w:rPr>
          <w:sz w:val="20"/>
          <w:szCs w:val="20"/>
          <w:color w:val="auto"/>
        </w:rPr>
      </w:pPr>
    </w:p>
    <w:p>
      <w:pPr>
        <w:sectPr>
          <w:pgSz w:w="11900" w:h="16838" w:orient="portrait"/>
          <w:cols w:equalWidth="0" w:num="2">
            <w:col w:w="6020" w:space="720"/>
            <w:col w:w="4680"/>
          </w:cols>
          <w:pgMar w:left="240" w:top="652" w:right="239" w:bottom="1440" w:gutter="0" w:footer="0" w:header="0"/>
          <w:type w:val="continuous"/>
        </w:sectPr>
      </w:pPr>
    </w:p>
    <w:p>
      <w:pPr>
        <w:ind w:left="580" w:hanging="329"/>
        <w:spacing w:after="0" w:line="262" w:lineRule="auto"/>
        <w:tabs>
          <w:tab w:leader="none" w:pos="580" w:val="left"/>
        </w:tabs>
        <w:numPr>
          <w:ilvl w:val="0"/>
          <w:numId w:val="23"/>
        </w:numPr>
        <w:rPr>
          <w:rFonts w:ascii="Arial" w:cs="Arial" w:eastAsia="Arial" w:hAnsi="Arial"/>
          <w:sz w:val="18"/>
          <w:szCs w:val="18"/>
          <w:color w:val="auto"/>
        </w:rPr>
      </w:pPr>
      <w:r>
        <w:rPr>
          <w:rFonts w:ascii="Arial" w:cs="Arial" w:eastAsia="Arial" w:hAnsi="Arial"/>
          <w:sz w:val="18"/>
          <w:szCs w:val="18"/>
          <w:color w:val="auto"/>
        </w:rPr>
        <w:t>Mainline aircraft fuel and related taxes per ASM decreased 7.5% in 2019 as compared to 2018 primarily due to a 7.1% decrease in the average price per gallon of fuel including related taxes to $2.05 in 2019 from $2.21 in 2018.</w:t>
      </w:r>
    </w:p>
    <w:p>
      <w:pPr>
        <w:spacing w:after="0" w:line="142" w:lineRule="exact"/>
        <w:rPr>
          <w:rFonts w:ascii="Arial" w:cs="Arial" w:eastAsia="Arial" w:hAnsi="Arial"/>
          <w:sz w:val="18"/>
          <w:szCs w:val="18"/>
          <w:color w:val="auto"/>
        </w:rPr>
      </w:pPr>
    </w:p>
    <w:p>
      <w:pPr>
        <w:jc w:val="both"/>
        <w:ind w:left="580" w:hanging="329"/>
        <w:spacing w:after="0" w:line="252" w:lineRule="auto"/>
        <w:tabs>
          <w:tab w:leader="none" w:pos="580" w:val="left"/>
        </w:tabs>
        <w:numPr>
          <w:ilvl w:val="0"/>
          <w:numId w:val="23"/>
        </w:numPr>
        <w:rPr>
          <w:rFonts w:ascii="Arial" w:cs="Arial" w:eastAsia="Arial" w:hAnsi="Arial"/>
          <w:sz w:val="18"/>
          <w:szCs w:val="18"/>
          <w:color w:val="auto"/>
        </w:rPr>
      </w:pPr>
      <w:r>
        <w:rPr>
          <w:rFonts w:ascii="Arial" w:cs="Arial" w:eastAsia="Arial" w:hAnsi="Arial"/>
          <w:sz w:val="18"/>
          <w:szCs w:val="18"/>
          <w:color w:val="auto"/>
        </w:rPr>
        <w:t>Maintenance, materials and repairs per ASM increased 14.9% in 2019 as compared to 2018 primarily due to a contract change that resulted in certain flight equipment transitioning to a flight hour based contract (referred to as power by the hour) whereby expense is incurred and recognized based on actual hours flown. Previously, this flight equipment was covered by a time and materials based contract whereby expense is incurred and recognized as maintenance is performed. An increase in the volume of airframe and engine overhauls performed under time and material based contracts as well as an increase in the volume of component part repairs also drove higher maintenance expenses in 2019.</w:t>
      </w:r>
    </w:p>
    <w:p>
      <w:pPr>
        <w:spacing w:after="0" w:line="154" w:lineRule="exact"/>
        <w:rPr>
          <w:rFonts w:ascii="Arial" w:cs="Arial" w:eastAsia="Arial" w:hAnsi="Arial"/>
          <w:sz w:val="18"/>
          <w:szCs w:val="18"/>
          <w:color w:val="auto"/>
        </w:rPr>
      </w:pPr>
    </w:p>
    <w:p>
      <w:pPr>
        <w:ind w:left="580" w:hanging="329"/>
        <w:spacing w:after="0" w:line="262" w:lineRule="auto"/>
        <w:tabs>
          <w:tab w:leader="none" w:pos="580" w:val="left"/>
        </w:tabs>
        <w:numPr>
          <w:ilvl w:val="0"/>
          <w:numId w:val="23"/>
        </w:numPr>
        <w:rPr>
          <w:rFonts w:ascii="Arial" w:cs="Arial" w:eastAsia="Arial" w:hAnsi="Arial"/>
          <w:sz w:val="18"/>
          <w:szCs w:val="18"/>
          <w:color w:val="auto"/>
        </w:rPr>
      </w:pPr>
      <w:r>
        <w:rPr>
          <w:rFonts w:ascii="Arial" w:cs="Arial" w:eastAsia="Arial" w:hAnsi="Arial"/>
          <w:sz w:val="18"/>
          <w:szCs w:val="18"/>
          <w:color w:val="auto"/>
        </w:rPr>
        <w:t>Other rent and landing fees per ASM increased 7.0% in 2019 as compared to 2018 primarily due to an expansion at DFW that became fully operational in May 2019 and rate increases at certain hub airports.</w:t>
      </w:r>
    </w:p>
    <w:p>
      <w:pPr>
        <w:spacing w:after="0" w:line="19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54</w:t>
      </w:r>
    </w:p>
    <w:p>
      <w:pPr>
        <w:sectPr>
          <w:pgSz w:w="11900" w:h="16838" w:orient="portrait"/>
          <w:cols w:equalWidth="0" w:num="1">
            <w:col w:w="11420"/>
          </w:cols>
          <w:pgMar w:left="240" w:top="652" w:right="239" w:bottom="1440" w:gutter="0" w:footer="0" w:header="0"/>
          <w:type w:val="continuous"/>
        </w:sectPr>
      </w:pPr>
    </w:p>
    <w:bookmarkStart w:id="54" w:name="page55"/>
    <w:bookmarkEnd w:id="54"/>
    <w:p>
      <w:pPr>
        <w:jc w:val="both"/>
        <w:ind w:left="580" w:hanging="329"/>
        <w:spacing w:after="0" w:line="256" w:lineRule="auto"/>
        <w:tabs>
          <w:tab w:leader="none" w:pos="580" w:val="left"/>
        </w:tabs>
        <w:numPr>
          <w:ilvl w:val="0"/>
          <w:numId w:val="24"/>
        </w:numPr>
        <w:rPr>
          <w:rFonts w:ascii="Arial" w:cs="Arial" w:eastAsia="Arial" w:hAnsi="Arial"/>
          <w:sz w:val="18"/>
          <w:szCs w:val="18"/>
          <w:color w:val="auto"/>
        </w:rPr>
      </w:pPr>
      <w:r>
        <w:rPr>
          <w:rFonts w:ascii="Arial" w:cs="Arial" w:eastAsia="Arial" w:hAnsi="Arial"/>
          <w:sz w:val="18"/>
          <w:szCs w:val="18"/>
          <w:color w:val="auto"/>
        </w:rPr>
        <w:t>Depreciation and amortization per ASM increased 6.6% in 2019 as compared to 2018 due in part to airport and other facility improvements and the harmonization of interior configurations across the mainline fleet. Depreciation associated with aircraft acquired as part of our fleet renewal program also contributed to the increase.</w:t>
      </w:r>
    </w:p>
    <w:p>
      <w:pPr>
        <w:spacing w:after="0" w:line="147" w:lineRule="exact"/>
        <w:rPr>
          <w:rFonts w:ascii="Arial" w:cs="Arial" w:eastAsia="Arial" w:hAnsi="Arial"/>
          <w:sz w:val="18"/>
          <w:szCs w:val="18"/>
          <w:color w:val="auto"/>
        </w:rPr>
      </w:pPr>
    </w:p>
    <w:p>
      <w:pPr>
        <w:jc w:val="both"/>
        <w:ind w:left="580" w:hanging="329"/>
        <w:spacing w:after="0" w:line="256" w:lineRule="auto"/>
        <w:tabs>
          <w:tab w:leader="none" w:pos="580" w:val="left"/>
        </w:tabs>
        <w:numPr>
          <w:ilvl w:val="0"/>
          <w:numId w:val="24"/>
        </w:numPr>
        <w:rPr>
          <w:rFonts w:ascii="Arial" w:cs="Arial" w:eastAsia="Arial" w:hAnsi="Arial"/>
          <w:sz w:val="18"/>
          <w:szCs w:val="18"/>
          <w:color w:val="auto"/>
        </w:rPr>
      </w:pPr>
      <w:r>
        <w:rPr>
          <w:rFonts w:ascii="Arial" w:cs="Arial" w:eastAsia="Arial" w:hAnsi="Arial"/>
          <w:sz w:val="18"/>
          <w:szCs w:val="18"/>
          <w:color w:val="auto"/>
        </w:rPr>
        <w:t>Regional aircraft fuel and related taxes per ASM increased 0.3% in 2019 as compared to 2018 primarily due to an 8.3% increase in gallons of fuel consumed, offset in part by a 6.4% decrease in the average price per gallon of fuel including related taxes to $2.15 in 2019 from $2.30 in 2018.</w:t>
      </w:r>
    </w:p>
    <w:p>
      <w:pPr>
        <w:spacing w:after="0" w:line="147" w:lineRule="exact"/>
        <w:rPr>
          <w:rFonts w:ascii="Arial" w:cs="Arial" w:eastAsia="Arial" w:hAnsi="Arial"/>
          <w:sz w:val="18"/>
          <w:szCs w:val="18"/>
          <w:color w:val="auto"/>
        </w:rPr>
      </w:pPr>
    </w:p>
    <w:p>
      <w:pPr>
        <w:ind w:left="580" w:hanging="329"/>
        <w:spacing w:after="0" w:line="262" w:lineRule="auto"/>
        <w:tabs>
          <w:tab w:leader="none" w:pos="580" w:val="left"/>
        </w:tabs>
        <w:numPr>
          <w:ilvl w:val="0"/>
          <w:numId w:val="24"/>
        </w:numPr>
        <w:rPr>
          <w:rFonts w:ascii="Arial" w:cs="Arial" w:eastAsia="Arial" w:hAnsi="Arial"/>
          <w:sz w:val="18"/>
          <w:szCs w:val="18"/>
          <w:color w:val="auto"/>
        </w:rPr>
      </w:pPr>
      <w:r>
        <w:rPr>
          <w:rFonts w:ascii="Arial" w:cs="Arial" w:eastAsia="Arial" w:hAnsi="Arial"/>
          <w:sz w:val="18"/>
          <w:szCs w:val="18"/>
          <w:color w:val="auto"/>
        </w:rPr>
        <w:t>Regional other operating expenses per ASM increased 5.3% in 2019 as compared to 2018 primarily driven by an 8.3% increase in regional capacity, principally from our wholly-owned regional carriers.</w:t>
      </w:r>
    </w:p>
    <w:p>
      <w:pPr>
        <w:spacing w:after="0" w:line="205" w:lineRule="exact"/>
        <w:rPr>
          <w:sz w:val="20"/>
          <w:szCs w:val="20"/>
          <w:color w:val="auto"/>
        </w:rPr>
      </w:pPr>
    </w:p>
    <w:p>
      <w:pPr>
        <w:ind w:left="220"/>
        <w:spacing w:after="0"/>
        <w:rPr>
          <w:sz w:val="20"/>
          <w:szCs w:val="20"/>
          <w:color w:val="auto"/>
        </w:rPr>
      </w:pPr>
      <w:r>
        <w:rPr>
          <w:rFonts w:ascii="Arial" w:cs="Arial" w:eastAsia="Arial" w:hAnsi="Arial"/>
          <w:sz w:val="18"/>
          <w:szCs w:val="18"/>
          <w:i w:val="1"/>
          <w:iCs w:val="1"/>
          <w:u w:val="single" w:color="auto"/>
          <w:color w:val="auto"/>
        </w:rPr>
        <w:t>Operating Special Items, Net</w:t>
      </w:r>
    </w:p>
    <w:p>
      <w:pPr>
        <w:spacing w:after="0" w:line="339" w:lineRule="exact"/>
        <w:rPr>
          <w:sz w:val="20"/>
          <w:szCs w:val="20"/>
          <w:color w:val="auto"/>
        </w:rPr>
      </w:pPr>
    </w:p>
    <w:tbl>
      <w:tblPr>
        <w:tblLayout w:type="fixed"/>
        <w:tblInd w:w="0" w:type="dxa"/>
        <w:tblCellMar>
          <w:top w:w="0" w:type="dxa"/>
          <w:left w:w="0" w:type="dxa"/>
          <w:bottom w:w="0" w:type="dxa"/>
          <w:right w:w="0" w:type="dxa"/>
        </w:tblCellMar>
      </w:tblPr>
      <w:tr>
        <w:trPr>
          <w:trHeight w:val="196"/>
        </w:trPr>
        <w:tc>
          <w:tcPr>
            <w:tcW w:w="7880" w:type="dxa"/>
            <w:vAlign w:val="bottom"/>
          </w:tcPr>
          <w:p>
            <w:pPr>
              <w:spacing w:after="0"/>
              <w:rPr>
                <w:sz w:val="17"/>
                <w:szCs w:val="17"/>
                <w:color w:val="auto"/>
              </w:rPr>
            </w:pPr>
          </w:p>
        </w:tc>
        <w:tc>
          <w:tcPr>
            <w:tcW w:w="2980" w:type="dxa"/>
            <w:vAlign w:val="bottom"/>
            <w:tcBorders>
              <w:bottom w:val="single" w:sz="8" w:color="auto"/>
            </w:tcBorders>
            <w:gridSpan w:val="4"/>
          </w:tcPr>
          <w:p>
            <w:pPr>
              <w:jc w:val="right"/>
              <w:ind w:right="376"/>
              <w:spacing w:after="0"/>
              <w:rPr>
                <w:sz w:val="20"/>
                <w:szCs w:val="20"/>
                <w:color w:val="auto"/>
              </w:rPr>
            </w:pPr>
            <w:r>
              <w:rPr>
                <w:rFonts w:ascii="Arial" w:cs="Arial" w:eastAsia="Arial" w:hAnsi="Arial"/>
                <w:sz w:val="14"/>
                <w:szCs w:val="14"/>
                <w:b w:val="1"/>
                <w:bCs w:val="1"/>
                <w:color w:val="auto"/>
              </w:rPr>
              <w:t>Year Ended December 31,</w:t>
            </w:r>
          </w:p>
        </w:tc>
        <w:tc>
          <w:tcPr>
            <w:tcW w:w="560" w:type="dxa"/>
            <w:vAlign w:val="bottom"/>
            <w:tcBorders>
              <w:bottom w:val="single" w:sz="8" w:color="auto"/>
            </w:tcBorders>
          </w:tcPr>
          <w:p>
            <w:pPr>
              <w:spacing w:after="0"/>
              <w:rPr>
                <w:sz w:val="17"/>
                <w:szCs w:val="17"/>
                <w:color w:val="auto"/>
              </w:rPr>
            </w:pPr>
          </w:p>
        </w:tc>
      </w:tr>
      <w:tr>
        <w:trPr>
          <w:trHeight w:val="264"/>
        </w:trPr>
        <w:tc>
          <w:tcPr>
            <w:tcW w:w="7880" w:type="dxa"/>
            <w:vAlign w:val="bottom"/>
          </w:tcPr>
          <w:p>
            <w:pPr>
              <w:spacing w:after="0"/>
              <w:rPr>
                <w:sz w:val="22"/>
                <w:szCs w:val="22"/>
                <w:color w:val="auto"/>
              </w:rPr>
            </w:pPr>
          </w:p>
        </w:tc>
        <w:tc>
          <w:tcPr>
            <w:tcW w:w="1160" w:type="dxa"/>
            <w:vAlign w:val="bottom"/>
            <w:tcBorders>
              <w:bottom w:val="single" w:sz="8" w:color="auto"/>
            </w:tcBorders>
          </w:tcPr>
          <w:p>
            <w:pPr>
              <w:jc w:val="right"/>
              <w:ind w:right="59"/>
              <w:spacing w:after="0"/>
              <w:rPr>
                <w:sz w:val="20"/>
                <w:szCs w:val="20"/>
                <w:color w:val="auto"/>
              </w:rPr>
            </w:pPr>
            <w:r>
              <w:rPr>
                <w:rFonts w:ascii="Arial" w:cs="Arial" w:eastAsia="Arial" w:hAnsi="Arial"/>
                <w:sz w:val="14"/>
                <w:szCs w:val="14"/>
                <w:b w:val="1"/>
                <w:bCs w:val="1"/>
                <w:color w:val="auto"/>
              </w:rPr>
              <w:t>2019</w:t>
            </w:r>
          </w:p>
        </w:tc>
        <w:tc>
          <w:tcPr>
            <w:tcW w:w="560" w:type="dxa"/>
            <w:vAlign w:val="bottom"/>
            <w:tcBorders>
              <w:bottom w:val="single" w:sz="8" w:color="auto"/>
            </w:tcBorders>
          </w:tcPr>
          <w:p>
            <w:pPr>
              <w:spacing w:after="0"/>
              <w:rPr>
                <w:sz w:val="22"/>
                <w:szCs w:val="22"/>
                <w:color w:val="auto"/>
              </w:rPr>
            </w:pPr>
          </w:p>
        </w:tc>
        <w:tc>
          <w:tcPr>
            <w:tcW w:w="100" w:type="dxa"/>
            <w:vAlign w:val="bottom"/>
            <w:tcBorders>
              <w:bottom w:val="single" w:sz="8" w:color="auto"/>
            </w:tcBorders>
          </w:tcPr>
          <w:p>
            <w:pPr>
              <w:spacing w:after="0"/>
              <w:rPr>
                <w:sz w:val="22"/>
                <w:szCs w:val="22"/>
                <w:color w:val="auto"/>
              </w:rPr>
            </w:pPr>
          </w:p>
        </w:tc>
        <w:tc>
          <w:tcPr>
            <w:tcW w:w="1160" w:type="dxa"/>
            <w:vAlign w:val="bottom"/>
            <w:tcBorders>
              <w:bottom w:val="single" w:sz="8" w:color="auto"/>
            </w:tcBorders>
          </w:tcPr>
          <w:p>
            <w:pPr>
              <w:jc w:val="right"/>
              <w:ind w:right="56"/>
              <w:spacing w:after="0"/>
              <w:rPr>
                <w:sz w:val="20"/>
                <w:szCs w:val="20"/>
                <w:color w:val="auto"/>
              </w:rPr>
            </w:pPr>
            <w:r>
              <w:rPr>
                <w:rFonts w:ascii="Arial" w:cs="Arial" w:eastAsia="Arial" w:hAnsi="Arial"/>
                <w:sz w:val="14"/>
                <w:szCs w:val="14"/>
                <w:b w:val="1"/>
                <w:bCs w:val="1"/>
                <w:color w:val="auto"/>
              </w:rPr>
              <w:t>2018</w:t>
            </w:r>
          </w:p>
        </w:tc>
        <w:tc>
          <w:tcPr>
            <w:tcW w:w="560" w:type="dxa"/>
            <w:vAlign w:val="bottom"/>
            <w:tcBorders>
              <w:bottom w:val="single" w:sz="8" w:color="auto"/>
            </w:tcBorders>
          </w:tcPr>
          <w:p>
            <w:pPr>
              <w:spacing w:after="0"/>
              <w:rPr>
                <w:sz w:val="22"/>
                <w:szCs w:val="22"/>
                <w:color w:val="auto"/>
              </w:rPr>
            </w:pPr>
          </w:p>
        </w:tc>
      </w:tr>
      <w:tr>
        <w:trPr>
          <w:trHeight w:val="210"/>
        </w:trPr>
        <w:tc>
          <w:tcPr>
            <w:tcW w:w="788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820" w:type="dxa"/>
            <w:vAlign w:val="bottom"/>
            <w:gridSpan w:val="3"/>
          </w:tcPr>
          <w:p>
            <w:pPr>
              <w:jc w:val="right"/>
              <w:ind w:right="716"/>
              <w:spacing w:after="0"/>
              <w:rPr>
                <w:sz w:val="20"/>
                <w:szCs w:val="20"/>
                <w:color w:val="auto"/>
              </w:rPr>
            </w:pPr>
            <w:r>
              <w:rPr>
                <w:rFonts w:ascii="Arial" w:cs="Arial" w:eastAsia="Arial" w:hAnsi="Arial"/>
                <w:sz w:val="14"/>
                <w:szCs w:val="14"/>
                <w:b w:val="1"/>
                <w:bCs w:val="1"/>
                <w:color w:val="auto"/>
              </w:rPr>
              <w:t>(In millions)</w:t>
            </w:r>
          </w:p>
        </w:tc>
        <w:tc>
          <w:tcPr>
            <w:tcW w:w="560" w:type="dxa"/>
            <w:vAlign w:val="bottom"/>
          </w:tcPr>
          <w:p>
            <w:pPr>
              <w:spacing w:after="0"/>
              <w:rPr>
                <w:sz w:val="18"/>
                <w:szCs w:val="18"/>
                <w:color w:val="auto"/>
              </w:rPr>
            </w:pPr>
          </w:p>
        </w:tc>
      </w:tr>
      <w:tr>
        <w:trPr>
          <w:trHeight w:val="276"/>
        </w:trPr>
        <w:tc>
          <w:tcPr>
            <w:tcW w:w="7880" w:type="dxa"/>
            <w:vAlign w:val="bottom"/>
            <w:shd w:val="clear" w:color="auto" w:fill="CCEEFF"/>
          </w:tcPr>
          <w:p>
            <w:pPr>
              <w:ind w:left="40"/>
              <w:spacing w:after="0"/>
              <w:rPr>
                <w:sz w:val="20"/>
                <w:szCs w:val="20"/>
                <w:color w:val="auto"/>
              </w:rPr>
            </w:pPr>
            <w:r>
              <w:rPr>
                <w:rFonts w:ascii="Arial" w:cs="Arial" w:eastAsia="Arial" w:hAnsi="Arial"/>
                <w:sz w:val="18"/>
                <w:szCs w:val="18"/>
                <w:color w:val="auto"/>
              </w:rPr>
              <w:t xml:space="preserve">Fleet restructuring expenses </w:t>
            </w:r>
            <w:r>
              <w:rPr>
                <w:rFonts w:ascii="Arial" w:cs="Arial" w:eastAsia="Arial" w:hAnsi="Arial"/>
                <w:sz w:val="21"/>
                <w:szCs w:val="21"/>
                <w:color w:val="auto"/>
                <w:vertAlign w:val="superscript"/>
              </w:rPr>
              <w:t>(1)</w:t>
            </w:r>
          </w:p>
        </w:tc>
        <w:tc>
          <w:tcPr>
            <w:tcW w:w="1160" w:type="dxa"/>
            <w:vAlign w:val="bottom"/>
            <w:shd w:val="clear" w:color="auto" w:fill="CCEEFF"/>
          </w:tcPr>
          <w:p>
            <w:pPr>
              <w:jc w:val="right"/>
              <w:ind w:right="959"/>
              <w:spacing w:after="0"/>
              <w:rPr>
                <w:sz w:val="20"/>
                <w:szCs w:val="20"/>
                <w:color w:val="auto"/>
              </w:rPr>
            </w:pPr>
            <w:r>
              <w:rPr>
                <w:rFonts w:ascii="Arial" w:cs="Arial" w:eastAsia="Arial" w:hAnsi="Arial"/>
                <w:sz w:val="18"/>
                <w:szCs w:val="18"/>
                <w:color w:val="auto"/>
                <w:w w:val="99"/>
              </w:rPr>
              <w:t>$</w:t>
            </w:r>
          </w:p>
        </w:tc>
        <w:tc>
          <w:tcPr>
            <w:tcW w:w="560" w:type="dxa"/>
            <w:vAlign w:val="bottom"/>
            <w:shd w:val="clear" w:color="auto" w:fill="CCEEFF"/>
          </w:tcPr>
          <w:p>
            <w:pPr>
              <w:jc w:val="right"/>
              <w:ind w:right="31"/>
              <w:spacing w:after="0"/>
              <w:rPr>
                <w:sz w:val="20"/>
                <w:szCs w:val="20"/>
                <w:color w:val="auto"/>
              </w:rPr>
            </w:pPr>
            <w:r>
              <w:rPr>
                <w:rFonts w:ascii="Arial" w:cs="Arial" w:eastAsia="Arial" w:hAnsi="Arial"/>
                <w:sz w:val="18"/>
                <w:szCs w:val="18"/>
                <w:color w:val="auto"/>
              </w:rPr>
              <w:t>271</w:t>
            </w:r>
          </w:p>
        </w:tc>
        <w:tc>
          <w:tcPr>
            <w:tcW w:w="100" w:type="dxa"/>
            <w:vAlign w:val="bottom"/>
            <w:shd w:val="clear" w:color="auto" w:fill="CCEEFF"/>
          </w:tcPr>
          <w:p>
            <w:pPr>
              <w:spacing w:after="0"/>
              <w:rPr>
                <w:sz w:val="24"/>
                <w:szCs w:val="24"/>
                <w:color w:val="auto"/>
              </w:rPr>
            </w:pPr>
          </w:p>
        </w:tc>
        <w:tc>
          <w:tcPr>
            <w:tcW w:w="1160" w:type="dxa"/>
            <w:vAlign w:val="bottom"/>
            <w:shd w:val="clear" w:color="auto" w:fill="CCEEFF"/>
          </w:tcPr>
          <w:p>
            <w:pPr>
              <w:jc w:val="right"/>
              <w:ind w:right="936"/>
              <w:spacing w:after="0"/>
              <w:rPr>
                <w:sz w:val="20"/>
                <w:szCs w:val="20"/>
                <w:color w:val="auto"/>
              </w:rPr>
            </w:pPr>
            <w:r>
              <w:rPr>
                <w:rFonts w:ascii="Arial" w:cs="Arial" w:eastAsia="Arial" w:hAnsi="Arial"/>
                <w:sz w:val="18"/>
                <w:szCs w:val="18"/>
                <w:color w:val="auto"/>
              </w:rPr>
              <w:t>$</w:t>
            </w:r>
          </w:p>
        </w:tc>
        <w:tc>
          <w:tcPr>
            <w:tcW w:w="56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422</w:t>
            </w:r>
          </w:p>
        </w:tc>
      </w:tr>
      <w:tr>
        <w:trPr>
          <w:trHeight w:val="270"/>
        </w:trPr>
        <w:tc>
          <w:tcPr>
            <w:tcW w:w="7880" w:type="dxa"/>
            <w:vAlign w:val="bottom"/>
          </w:tcPr>
          <w:p>
            <w:pPr>
              <w:ind w:left="40"/>
              <w:spacing w:after="0"/>
              <w:rPr>
                <w:sz w:val="20"/>
                <w:szCs w:val="20"/>
                <w:color w:val="auto"/>
              </w:rPr>
            </w:pPr>
            <w:r>
              <w:rPr>
                <w:rFonts w:ascii="Arial" w:cs="Arial" w:eastAsia="Arial" w:hAnsi="Arial"/>
                <w:sz w:val="18"/>
                <w:szCs w:val="18"/>
                <w:color w:val="auto"/>
              </w:rPr>
              <w:t xml:space="preserve">Fleet impairment </w:t>
            </w:r>
            <w:r>
              <w:rPr>
                <w:rFonts w:ascii="Arial" w:cs="Arial" w:eastAsia="Arial" w:hAnsi="Arial"/>
                <w:sz w:val="21"/>
                <w:szCs w:val="21"/>
                <w:color w:val="auto"/>
                <w:vertAlign w:val="superscript"/>
              </w:rPr>
              <w:t>(2)</w:t>
            </w:r>
          </w:p>
        </w:tc>
        <w:tc>
          <w:tcPr>
            <w:tcW w:w="1160" w:type="dxa"/>
            <w:vAlign w:val="bottom"/>
          </w:tcPr>
          <w:p>
            <w:pPr>
              <w:spacing w:after="0"/>
              <w:rPr>
                <w:sz w:val="23"/>
                <w:szCs w:val="23"/>
                <w:color w:val="auto"/>
              </w:rPr>
            </w:pPr>
          </w:p>
        </w:tc>
        <w:tc>
          <w:tcPr>
            <w:tcW w:w="560" w:type="dxa"/>
            <w:vAlign w:val="bottom"/>
          </w:tcPr>
          <w:p>
            <w:pPr>
              <w:jc w:val="right"/>
              <w:ind w:right="31"/>
              <w:spacing w:after="0"/>
              <w:rPr>
                <w:sz w:val="20"/>
                <w:szCs w:val="20"/>
                <w:color w:val="auto"/>
              </w:rPr>
            </w:pPr>
            <w:r>
              <w:rPr>
                <w:rFonts w:ascii="Arial" w:cs="Arial" w:eastAsia="Arial" w:hAnsi="Arial"/>
                <w:sz w:val="18"/>
                <w:szCs w:val="18"/>
                <w:color w:val="auto"/>
              </w:rPr>
              <w:t>213</w:t>
            </w:r>
          </w:p>
        </w:tc>
        <w:tc>
          <w:tcPr>
            <w:tcW w:w="100" w:type="dxa"/>
            <w:vAlign w:val="bottom"/>
          </w:tcPr>
          <w:p>
            <w:pPr>
              <w:spacing w:after="0"/>
              <w:rPr>
                <w:sz w:val="23"/>
                <w:szCs w:val="23"/>
                <w:color w:val="auto"/>
              </w:rPr>
            </w:pPr>
          </w:p>
        </w:tc>
        <w:tc>
          <w:tcPr>
            <w:tcW w:w="1160" w:type="dxa"/>
            <w:vAlign w:val="bottom"/>
          </w:tcPr>
          <w:p>
            <w:pPr>
              <w:spacing w:after="0"/>
              <w:rPr>
                <w:sz w:val="23"/>
                <w:szCs w:val="23"/>
                <w:color w:val="auto"/>
              </w:rPr>
            </w:pPr>
          </w:p>
        </w:tc>
        <w:tc>
          <w:tcPr>
            <w:tcW w:w="560" w:type="dxa"/>
            <w:vAlign w:val="bottom"/>
          </w:tcPr>
          <w:p>
            <w:pPr>
              <w:jc w:val="right"/>
              <w:ind w:right="10"/>
              <w:spacing w:after="0"/>
              <w:rPr>
                <w:sz w:val="20"/>
                <w:szCs w:val="20"/>
                <w:color w:val="auto"/>
              </w:rPr>
            </w:pPr>
            <w:r>
              <w:rPr>
                <w:rFonts w:ascii="Arial" w:cs="Arial" w:eastAsia="Arial" w:hAnsi="Arial"/>
                <w:sz w:val="18"/>
                <w:szCs w:val="18"/>
                <w:color w:val="auto"/>
              </w:rPr>
              <w:t>—</w:t>
            </w:r>
          </w:p>
        </w:tc>
      </w:tr>
      <w:tr>
        <w:trPr>
          <w:trHeight w:val="270"/>
        </w:trPr>
        <w:tc>
          <w:tcPr>
            <w:tcW w:w="7880" w:type="dxa"/>
            <w:vAlign w:val="bottom"/>
            <w:shd w:val="clear" w:color="auto" w:fill="CCEEFF"/>
          </w:tcPr>
          <w:p>
            <w:pPr>
              <w:ind w:left="40"/>
              <w:spacing w:after="0"/>
              <w:rPr>
                <w:sz w:val="20"/>
                <w:szCs w:val="20"/>
                <w:color w:val="auto"/>
              </w:rPr>
            </w:pPr>
            <w:r>
              <w:rPr>
                <w:rFonts w:ascii="Arial" w:cs="Arial" w:eastAsia="Arial" w:hAnsi="Arial"/>
                <w:sz w:val="18"/>
                <w:szCs w:val="18"/>
                <w:color w:val="auto"/>
              </w:rPr>
              <w:t xml:space="preserve">Merger integration expenses </w:t>
            </w:r>
            <w:r>
              <w:rPr>
                <w:rFonts w:ascii="Arial" w:cs="Arial" w:eastAsia="Arial" w:hAnsi="Arial"/>
                <w:sz w:val="21"/>
                <w:szCs w:val="21"/>
                <w:color w:val="auto"/>
                <w:vertAlign w:val="superscript"/>
              </w:rPr>
              <w:t>(3)</w:t>
            </w:r>
          </w:p>
        </w:tc>
        <w:tc>
          <w:tcPr>
            <w:tcW w:w="1160" w:type="dxa"/>
            <w:vAlign w:val="bottom"/>
            <w:shd w:val="clear" w:color="auto" w:fill="CCEEFF"/>
          </w:tcPr>
          <w:p>
            <w:pPr>
              <w:spacing w:after="0"/>
              <w:rPr>
                <w:sz w:val="23"/>
                <w:szCs w:val="23"/>
                <w:color w:val="auto"/>
              </w:rPr>
            </w:pPr>
          </w:p>
        </w:tc>
        <w:tc>
          <w:tcPr>
            <w:tcW w:w="560" w:type="dxa"/>
            <w:vAlign w:val="bottom"/>
            <w:shd w:val="clear" w:color="auto" w:fill="CCEEFF"/>
          </w:tcPr>
          <w:p>
            <w:pPr>
              <w:jc w:val="right"/>
              <w:ind w:right="31"/>
              <w:spacing w:after="0"/>
              <w:rPr>
                <w:sz w:val="20"/>
                <w:szCs w:val="20"/>
                <w:color w:val="auto"/>
              </w:rPr>
            </w:pPr>
            <w:r>
              <w:rPr>
                <w:rFonts w:ascii="Arial" w:cs="Arial" w:eastAsia="Arial" w:hAnsi="Arial"/>
                <w:sz w:val="18"/>
                <w:szCs w:val="18"/>
                <w:color w:val="auto"/>
              </w:rPr>
              <w:t>191</w:t>
            </w:r>
          </w:p>
        </w:tc>
        <w:tc>
          <w:tcPr>
            <w:tcW w:w="100" w:type="dxa"/>
            <w:vAlign w:val="bottom"/>
            <w:shd w:val="clear" w:color="auto" w:fill="CCEEFF"/>
          </w:tcPr>
          <w:p>
            <w:pPr>
              <w:spacing w:after="0"/>
              <w:rPr>
                <w:sz w:val="23"/>
                <w:szCs w:val="23"/>
                <w:color w:val="auto"/>
              </w:rPr>
            </w:pPr>
          </w:p>
        </w:tc>
        <w:tc>
          <w:tcPr>
            <w:tcW w:w="1160" w:type="dxa"/>
            <w:vAlign w:val="bottom"/>
            <w:shd w:val="clear" w:color="auto" w:fill="CCEEFF"/>
          </w:tcPr>
          <w:p>
            <w:pPr>
              <w:spacing w:after="0"/>
              <w:rPr>
                <w:sz w:val="23"/>
                <w:szCs w:val="23"/>
                <w:color w:val="auto"/>
              </w:rPr>
            </w:pPr>
          </w:p>
        </w:tc>
        <w:tc>
          <w:tcPr>
            <w:tcW w:w="56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268</w:t>
            </w:r>
          </w:p>
        </w:tc>
      </w:tr>
      <w:tr>
        <w:trPr>
          <w:trHeight w:val="263"/>
        </w:trPr>
        <w:tc>
          <w:tcPr>
            <w:tcW w:w="7880" w:type="dxa"/>
            <w:vAlign w:val="bottom"/>
          </w:tcPr>
          <w:p>
            <w:pPr>
              <w:ind w:left="40"/>
              <w:spacing w:after="0"/>
              <w:rPr>
                <w:sz w:val="20"/>
                <w:szCs w:val="20"/>
                <w:color w:val="auto"/>
              </w:rPr>
            </w:pPr>
            <w:r>
              <w:rPr>
                <w:rFonts w:ascii="Arial" w:cs="Arial" w:eastAsia="Arial" w:hAnsi="Arial"/>
                <w:sz w:val="18"/>
                <w:szCs w:val="18"/>
                <w:color w:val="auto"/>
              </w:rPr>
              <w:t>Litigation reserve adjustments</w:t>
            </w:r>
          </w:p>
        </w:tc>
        <w:tc>
          <w:tcPr>
            <w:tcW w:w="1160" w:type="dxa"/>
            <w:vAlign w:val="bottom"/>
          </w:tcPr>
          <w:p>
            <w:pPr>
              <w:spacing w:after="0"/>
              <w:rPr>
                <w:sz w:val="22"/>
                <w:szCs w:val="22"/>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(53)</w:t>
            </w:r>
          </w:p>
        </w:tc>
        <w:tc>
          <w:tcPr>
            <w:tcW w:w="100" w:type="dxa"/>
            <w:vAlign w:val="bottom"/>
          </w:tcPr>
          <w:p>
            <w:pPr>
              <w:spacing w:after="0"/>
              <w:rPr>
                <w:sz w:val="22"/>
                <w:szCs w:val="22"/>
                <w:color w:val="auto"/>
              </w:rPr>
            </w:pPr>
          </w:p>
        </w:tc>
        <w:tc>
          <w:tcPr>
            <w:tcW w:w="1160" w:type="dxa"/>
            <w:vAlign w:val="bottom"/>
          </w:tcPr>
          <w:p>
            <w:pPr>
              <w:spacing w:after="0"/>
              <w:rPr>
                <w:sz w:val="22"/>
                <w:szCs w:val="22"/>
                <w:color w:val="auto"/>
              </w:rPr>
            </w:pPr>
          </w:p>
        </w:tc>
        <w:tc>
          <w:tcPr>
            <w:tcW w:w="560" w:type="dxa"/>
            <w:vAlign w:val="bottom"/>
          </w:tcPr>
          <w:p>
            <w:pPr>
              <w:jc w:val="right"/>
              <w:ind w:right="10"/>
              <w:spacing w:after="0"/>
              <w:rPr>
                <w:sz w:val="20"/>
                <w:szCs w:val="20"/>
                <w:color w:val="auto"/>
              </w:rPr>
            </w:pPr>
            <w:r>
              <w:rPr>
                <w:rFonts w:ascii="Arial" w:cs="Arial" w:eastAsia="Arial" w:hAnsi="Arial"/>
                <w:sz w:val="18"/>
                <w:szCs w:val="18"/>
                <w:color w:val="auto"/>
              </w:rPr>
              <w:t>45</w:t>
            </w:r>
          </w:p>
        </w:tc>
      </w:tr>
      <w:tr>
        <w:trPr>
          <w:trHeight w:val="277"/>
        </w:trPr>
        <w:tc>
          <w:tcPr>
            <w:tcW w:w="7880" w:type="dxa"/>
            <w:vAlign w:val="bottom"/>
            <w:shd w:val="clear" w:color="auto" w:fill="CCEEFF"/>
          </w:tcPr>
          <w:p>
            <w:pPr>
              <w:ind w:left="40"/>
              <w:spacing w:after="0"/>
              <w:rPr>
                <w:sz w:val="20"/>
                <w:szCs w:val="20"/>
                <w:color w:val="auto"/>
              </w:rPr>
            </w:pPr>
            <w:r>
              <w:rPr>
                <w:rFonts w:ascii="Arial" w:cs="Arial" w:eastAsia="Arial" w:hAnsi="Arial"/>
                <w:sz w:val="18"/>
                <w:szCs w:val="18"/>
                <w:color w:val="auto"/>
              </w:rPr>
              <w:t xml:space="preserve">Mark-to-market adjustments on bankruptcy obligations, net </w:t>
            </w:r>
            <w:r>
              <w:rPr>
                <w:rFonts w:ascii="Arial" w:cs="Arial" w:eastAsia="Arial" w:hAnsi="Arial"/>
                <w:sz w:val="21"/>
                <w:szCs w:val="21"/>
                <w:color w:val="auto"/>
                <w:vertAlign w:val="superscript"/>
              </w:rPr>
              <w:t>(4)</w:t>
            </w:r>
          </w:p>
        </w:tc>
        <w:tc>
          <w:tcPr>
            <w:tcW w:w="1160" w:type="dxa"/>
            <w:vAlign w:val="bottom"/>
            <w:shd w:val="clear" w:color="auto" w:fill="CCEEFF"/>
          </w:tcPr>
          <w:p>
            <w:pPr>
              <w:spacing w:after="0"/>
              <w:rPr>
                <w:sz w:val="24"/>
                <w:szCs w:val="24"/>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w:t>
            </w:r>
          </w:p>
        </w:tc>
        <w:tc>
          <w:tcPr>
            <w:tcW w:w="100" w:type="dxa"/>
            <w:vAlign w:val="bottom"/>
            <w:shd w:val="clear" w:color="auto" w:fill="CCEEFF"/>
          </w:tcPr>
          <w:p>
            <w:pPr>
              <w:spacing w:after="0"/>
              <w:rPr>
                <w:sz w:val="24"/>
                <w:szCs w:val="24"/>
                <w:color w:val="auto"/>
              </w:rPr>
            </w:pPr>
          </w:p>
        </w:tc>
        <w:tc>
          <w:tcPr>
            <w:tcW w:w="1160" w:type="dxa"/>
            <w:vAlign w:val="bottom"/>
            <w:shd w:val="clear" w:color="auto" w:fill="CCEEFF"/>
          </w:tcPr>
          <w:p>
            <w:pPr>
              <w:spacing w:after="0"/>
              <w:rPr>
                <w:sz w:val="24"/>
                <w:szCs w:val="24"/>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(76)</w:t>
            </w:r>
          </w:p>
        </w:tc>
      </w:tr>
      <w:tr>
        <w:trPr>
          <w:trHeight w:val="270"/>
        </w:trPr>
        <w:tc>
          <w:tcPr>
            <w:tcW w:w="7880" w:type="dxa"/>
            <w:vAlign w:val="bottom"/>
          </w:tcPr>
          <w:p>
            <w:pPr>
              <w:ind w:left="40"/>
              <w:spacing w:after="0"/>
              <w:rPr>
                <w:sz w:val="20"/>
                <w:szCs w:val="20"/>
                <w:color w:val="auto"/>
              </w:rPr>
            </w:pPr>
            <w:r>
              <w:rPr>
                <w:rFonts w:ascii="Arial" w:cs="Arial" w:eastAsia="Arial" w:hAnsi="Arial"/>
                <w:sz w:val="18"/>
                <w:szCs w:val="18"/>
                <w:color w:val="auto"/>
              </w:rPr>
              <w:t xml:space="preserve">Severance expenses </w:t>
            </w:r>
            <w:r>
              <w:rPr>
                <w:rFonts w:ascii="Arial" w:cs="Arial" w:eastAsia="Arial" w:hAnsi="Arial"/>
                <w:sz w:val="21"/>
                <w:szCs w:val="21"/>
                <w:color w:val="auto"/>
                <w:vertAlign w:val="superscript"/>
              </w:rPr>
              <w:t>(5)</w:t>
            </w:r>
          </w:p>
        </w:tc>
        <w:tc>
          <w:tcPr>
            <w:tcW w:w="1160" w:type="dxa"/>
            <w:vAlign w:val="bottom"/>
          </w:tcPr>
          <w:p>
            <w:pPr>
              <w:spacing w:after="0"/>
              <w:rPr>
                <w:sz w:val="23"/>
                <w:szCs w:val="23"/>
                <w:color w:val="auto"/>
              </w:rPr>
            </w:pPr>
          </w:p>
        </w:tc>
        <w:tc>
          <w:tcPr>
            <w:tcW w:w="560" w:type="dxa"/>
            <w:vAlign w:val="bottom"/>
          </w:tcPr>
          <w:p>
            <w:pPr>
              <w:jc w:val="right"/>
              <w:ind w:right="31"/>
              <w:spacing w:after="0"/>
              <w:rPr>
                <w:sz w:val="20"/>
                <w:szCs w:val="20"/>
                <w:color w:val="auto"/>
              </w:rPr>
            </w:pPr>
            <w:r>
              <w:rPr>
                <w:rFonts w:ascii="Arial" w:cs="Arial" w:eastAsia="Arial" w:hAnsi="Arial"/>
                <w:sz w:val="18"/>
                <w:szCs w:val="18"/>
                <w:color w:val="auto"/>
              </w:rPr>
              <w:t>11</w:t>
            </w:r>
          </w:p>
        </w:tc>
        <w:tc>
          <w:tcPr>
            <w:tcW w:w="100" w:type="dxa"/>
            <w:vAlign w:val="bottom"/>
          </w:tcPr>
          <w:p>
            <w:pPr>
              <w:spacing w:after="0"/>
              <w:rPr>
                <w:sz w:val="23"/>
                <w:szCs w:val="23"/>
                <w:color w:val="auto"/>
              </w:rPr>
            </w:pPr>
          </w:p>
        </w:tc>
        <w:tc>
          <w:tcPr>
            <w:tcW w:w="1160" w:type="dxa"/>
            <w:vAlign w:val="bottom"/>
          </w:tcPr>
          <w:p>
            <w:pPr>
              <w:spacing w:after="0"/>
              <w:rPr>
                <w:sz w:val="23"/>
                <w:szCs w:val="23"/>
                <w:color w:val="auto"/>
              </w:rPr>
            </w:pPr>
          </w:p>
        </w:tc>
        <w:tc>
          <w:tcPr>
            <w:tcW w:w="560" w:type="dxa"/>
            <w:vAlign w:val="bottom"/>
          </w:tcPr>
          <w:p>
            <w:pPr>
              <w:jc w:val="right"/>
              <w:ind w:right="10"/>
              <w:spacing w:after="0"/>
              <w:rPr>
                <w:sz w:val="20"/>
                <w:szCs w:val="20"/>
                <w:color w:val="auto"/>
              </w:rPr>
            </w:pPr>
            <w:r>
              <w:rPr>
                <w:rFonts w:ascii="Arial" w:cs="Arial" w:eastAsia="Arial" w:hAnsi="Arial"/>
                <w:sz w:val="18"/>
                <w:szCs w:val="18"/>
                <w:color w:val="auto"/>
              </w:rPr>
              <w:t>58</w:t>
            </w:r>
          </w:p>
        </w:tc>
      </w:tr>
      <w:tr>
        <w:trPr>
          <w:trHeight w:val="270"/>
        </w:trPr>
        <w:tc>
          <w:tcPr>
            <w:tcW w:w="7880" w:type="dxa"/>
            <w:vAlign w:val="bottom"/>
            <w:shd w:val="clear" w:color="auto" w:fill="CCEEFF"/>
          </w:tcPr>
          <w:p>
            <w:pPr>
              <w:ind w:left="40"/>
              <w:spacing w:after="0"/>
              <w:rPr>
                <w:sz w:val="20"/>
                <w:szCs w:val="20"/>
                <w:color w:val="auto"/>
              </w:rPr>
            </w:pPr>
            <w:r>
              <w:rPr>
                <w:rFonts w:ascii="Arial" w:cs="Arial" w:eastAsia="Arial" w:hAnsi="Arial"/>
                <w:sz w:val="18"/>
                <w:szCs w:val="18"/>
                <w:color w:val="auto"/>
              </w:rPr>
              <w:t xml:space="preserve">Intangible asset impairment </w:t>
            </w:r>
            <w:r>
              <w:rPr>
                <w:rFonts w:ascii="Arial" w:cs="Arial" w:eastAsia="Arial" w:hAnsi="Arial"/>
                <w:sz w:val="21"/>
                <w:szCs w:val="21"/>
                <w:color w:val="auto"/>
                <w:vertAlign w:val="superscript"/>
              </w:rPr>
              <w:t>(6)</w:t>
            </w:r>
          </w:p>
        </w:tc>
        <w:tc>
          <w:tcPr>
            <w:tcW w:w="1160" w:type="dxa"/>
            <w:vAlign w:val="bottom"/>
            <w:shd w:val="clear" w:color="auto" w:fill="CCEEFF"/>
          </w:tcPr>
          <w:p>
            <w:pPr>
              <w:spacing w:after="0"/>
              <w:rPr>
                <w:sz w:val="23"/>
                <w:szCs w:val="23"/>
                <w:color w:val="auto"/>
              </w:rPr>
            </w:pPr>
          </w:p>
        </w:tc>
        <w:tc>
          <w:tcPr>
            <w:tcW w:w="6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160" w:type="dxa"/>
            <w:vAlign w:val="bottom"/>
            <w:shd w:val="clear" w:color="auto" w:fill="CCEEFF"/>
          </w:tcPr>
          <w:p>
            <w:pPr>
              <w:spacing w:after="0"/>
              <w:rPr>
                <w:sz w:val="23"/>
                <w:szCs w:val="23"/>
                <w:color w:val="auto"/>
              </w:rPr>
            </w:pPr>
          </w:p>
        </w:tc>
        <w:tc>
          <w:tcPr>
            <w:tcW w:w="56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26</w:t>
            </w:r>
          </w:p>
        </w:tc>
      </w:tr>
      <w:tr>
        <w:trPr>
          <w:trHeight w:val="263"/>
        </w:trPr>
        <w:tc>
          <w:tcPr>
            <w:tcW w:w="7880" w:type="dxa"/>
            <w:vAlign w:val="bottom"/>
          </w:tcPr>
          <w:p>
            <w:pPr>
              <w:ind w:left="40"/>
              <w:spacing w:after="0"/>
              <w:rPr>
                <w:sz w:val="20"/>
                <w:szCs w:val="20"/>
                <w:color w:val="auto"/>
              </w:rPr>
            </w:pPr>
            <w:r>
              <w:rPr>
                <w:rFonts w:ascii="Arial" w:cs="Arial" w:eastAsia="Arial" w:hAnsi="Arial"/>
                <w:sz w:val="18"/>
                <w:szCs w:val="18"/>
                <w:color w:val="auto"/>
              </w:rPr>
              <w:t>Labor contract expenses</w:t>
            </w:r>
          </w:p>
        </w:tc>
        <w:tc>
          <w:tcPr>
            <w:tcW w:w="1160" w:type="dxa"/>
            <w:vAlign w:val="bottom"/>
          </w:tcPr>
          <w:p>
            <w:pPr>
              <w:spacing w:after="0"/>
              <w:rPr>
                <w:sz w:val="22"/>
                <w:szCs w:val="22"/>
                <w:color w:val="auto"/>
              </w:rPr>
            </w:pPr>
          </w:p>
        </w:tc>
        <w:tc>
          <w:tcPr>
            <w:tcW w:w="6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160" w:type="dxa"/>
            <w:vAlign w:val="bottom"/>
          </w:tcPr>
          <w:p>
            <w:pPr>
              <w:spacing w:after="0"/>
              <w:rPr>
                <w:sz w:val="22"/>
                <w:szCs w:val="22"/>
                <w:color w:val="auto"/>
              </w:rPr>
            </w:pPr>
          </w:p>
        </w:tc>
        <w:tc>
          <w:tcPr>
            <w:tcW w:w="560" w:type="dxa"/>
            <w:vAlign w:val="bottom"/>
          </w:tcPr>
          <w:p>
            <w:pPr>
              <w:jc w:val="right"/>
              <w:ind w:right="10"/>
              <w:spacing w:after="0"/>
              <w:rPr>
                <w:sz w:val="20"/>
                <w:szCs w:val="20"/>
                <w:color w:val="auto"/>
              </w:rPr>
            </w:pPr>
            <w:r>
              <w:rPr>
                <w:rFonts w:ascii="Arial" w:cs="Arial" w:eastAsia="Arial" w:hAnsi="Arial"/>
                <w:sz w:val="18"/>
                <w:szCs w:val="18"/>
                <w:color w:val="auto"/>
              </w:rPr>
              <w:t>13</w:t>
            </w:r>
          </w:p>
        </w:tc>
      </w:tr>
      <w:tr>
        <w:trPr>
          <w:trHeight w:val="277"/>
        </w:trPr>
        <w:tc>
          <w:tcPr>
            <w:tcW w:w="7880" w:type="dxa"/>
            <w:vAlign w:val="bottom"/>
            <w:shd w:val="clear" w:color="auto" w:fill="CCEEFF"/>
          </w:tcPr>
          <w:p>
            <w:pPr>
              <w:ind w:left="40"/>
              <w:spacing w:after="0"/>
              <w:rPr>
                <w:sz w:val="20"/>
                <w:szCs w:val="20"/>
                <w:color w:val="auto"/>
              </w:rPr>
            </w:pPr>
            <w:r>
              <w:rPr>
                <w:rFonts w:ascii="Arial" w:cs="Arial" w:eastAsia="Arial" w:hAnsi="Arial"/>
                <w:sz w:val="18"/>
                <w:szCs w:val="18"/>
                <w:color w:val="auto"/>
              </w:rPr>
              <w:t>Other operating charges, net</w:t>
            </w:r>
          </w:p>
        </w:tc>
        <w:tc>
          <w:tcPr>
            <w:tcW w:w="1160" w:type="dxa"/>
            <w:vAlign w:val="bottom"/>
            <w:tcBorders>
              <w:bottom w:val="single" w:sz="8" w:color="auto"/>
            </w:tcBorders>
            <w:shd w:val="clear" w:color="auto" w:fill="CCEEFF"/>
          </w:tcPr>
          <w:p>
            <w:pPr>
              <w:spacing w:after="0"/>
              <w:rPr>
                <w:sz w:val="24"/>
                <w:szCs w:val="24"/>
                <w:color w:val="auto"/>
              </w:rPr>
            </w:pPr>
          </w:p>
        </w:tc>
        <w:tc>
          <w:tcPr>
            <w:tcW w:w="560" w:type="dxa"/>
            <w:vAlign w:val="bottom"/>
            <w:tcBorders>
              <w:bottom w:val="single" w:sz="8" w:color="auto"/>
            </w:tcBorders>
            <w:shd w:val="clear" w:color="auto" w:fill="CCEEFF"/>
          </w:tcPr>
          <w:p>
            <w:pPr>
              <w:jc w:val="right"/>
              <w:ind w:right="31"/>
              <w:spacing w:after="0"/>
              <w:rPr>
                <w:sz w:val="20"/>
                <w:szCs w:val="20"/>
                <w:color w:val="auto"/>
              </w:rPr>
            </w:pPr>
            <w:r>
              <w:rPr>
                <w:rFonts w:ascii="Arial" w:cs="Arial" w:eastAsia="Arial" w:hAnsi="Arial"/>
                <w:sz w:val="18"/>
                <w:szCs w:val="18"/>
                <w:color w:val="auto"/>
              </w:rPr>
              <w:t>13</w:t>
            </w:r>
          </w:p>
        </w:tc>
        <w:tc>
          <w:tcPr>
            <w:tcW w:w="100" w:type="dxa"/>
            <w:vAlign w:val="bottom"/>
            <w:shd w:val="clear" w:color="auto" w:fill="CCEEFF"/>
          </w:tcPr>
          <w:p>
            <w:pPr>
              <w:spacing w:after="0"/>
              <w:rPr>
                <w:sz w:val="24"/>
                <w:szCs w:val="24"/>
                <w:color w:val="auto"/>
              </w:rPr>
            </w:pPr>
          </w:p>
        </w:tc>
        <w:tc>
          <w:tcPr>
            <w:tcW w:w="1160" w:type="dxa"/>
            <w:vAlign w:val="bottom"/>
            <w:tcBorders>
              <w:bottom w:val="single" w:sz="8" w:color="auto"/>
            </w:tcBorders>
            <w:shd w:val="clear" w:color="auto" w:fill="CCEEFF"/>
          </w:tcPr>
          <w:p>
            <w:pPr>
              <w:spacing w:after="0"/>
              <w:rPr>
                <w:sz w:val="24"/>
                <w:szCs w:val="24"/>
                <w:color w:val="auto"/>
              </w:rPr>
            </w:pPr>
          </w:p>
        </w:tc>
        <w:tc>
          <w:tcPr>
            <w:tcW w:w="56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31</w:t>
            </w:r>
          </w:p>
        </w:tc>
      </w:tr>
      <w:tr>
        <w:trPr>
          <w:trHeight w:val="243"/>
        </w:trPr>
        <w:tc>
          <w:tcPr>
            <w:tcW w:w="7880" w:type="dxa"/>
            <w:vAlign w:val="bottom"/>
          </w:tcPr>
          <w:p>
            <w:pPr>
              <w:ind w:left="280"/>
              <w:spacing w:after="0"/>
              <w:rPr>
                <w:sz w:val="20"/>
                <w:szCs w:val="20"/>
                <w:color w:val="auto"/>
              </w:rPr>
            </w:pPr>
            <w:r>
              <w:rPr>
                <w:rFonts w:ascii="Arial" w:cs="Arial" w:eastAsia="Arial" w:hAnsi="Arial"/>
                <w:sz w:val="18"/>
                <w:szCs w:val="18"/>
                <w:color w:val="auto"/>
              </w:rPr>
              <w:t>Total mainline operating special items, net</w:t>
            </w:r>
          </w:p>
        </w:tc>
        <w:tc>
          <w:tcPr>
            <w:tcW w:w="1160" w:type="dxa"/>
            <w:vAlign w:val="bottom"/>
          </w:tcPr>
          <w:p>
            <w:pPr>
              <w:spacing w:after="0"/>
              <w:rPr>
                <w:sz w:val="21"/>
                <w:szCs w:val="21"/>
                <w:color w:val="auto"/>
              </w:rPr>
            </w:pPr>
          </w:p>
        </w:tc>
        <w:tc>
          <w:tcPr>
            <w:tcW w:w="560" w:type="dxa"/>
            <w:vAlign w:val="bottom"/>
          </w:tcPr>
          <w:p>
            <w:pPr>
              <w:jc w:val="right"/>
              <w:ind w:right="31"/>
              <w:spacing w:after="0"/>
              <w:rPr>
                <w:sz w:val="20"/>
                <w:szCs w:val="20"/>
                <w:color w:val="auto"/>
              </w:rPr>
            </w:pPr>
            <w:r>
              <w:rPr>
                <w:rFonts w:ascii="Arial" w:cs="Arial" w:eastAsia="Arial" w:hAnsi="Arial"/>
                <w:sz w:val="18"/>
                <w:szCs w:val="18"/>
                <w:color w:val="auto"/>
              </w:rPr>
              <w:t>635</w:t>
            </w:r>
          </w:p>
        </w:tc>
        <w:tc>
          <w:tcPr>
            <w:tcW w:w="100" w:type="dxa"/>
            <w:vAlign w:val="bottom"/>
          </w:tcPr>
          <w:p>
            <w:pPr>
              <w:spacing w:after="0"/>
              <w:rPr>
                <w:sz w:val="21"/>
                <w:szCs w:val="21"/>
                <w:color w:val="auto"/>
              </w:rPr>
            </w:pPr>
          </w:p>
        </w:tc>
        <w:tc>
          <w:tcPr>
            <w:tcW w:w="1160" w:type="dxa"/>
            <w:vAlign w:val="bottom"/>
          </w:tcPr>
          <w:p>
            <w:pPr>
              <w:spacing w:after="0"/>
              <w:rPr>
                <w:sz w:val="21"/>
                <w:szCs w:val="21"/>
                <w:color w:val="auto"/>
              </w:rPr>
            </w:pPr>
          </w:p>
        </w:tc>
        <w:tc>
          <w:tcPr>
            <w:tcW w:w="560" w:type="dxa"/>
            <w:vAlign w:val="bottom"/>
          </w:tcPr>
          <w:p>
            <w:pPr>
              <w:jc w:val="right"/>
              <w:ind w:right="10"/>
              <w:spacing w:after="0"/>
              <w:rPr>
                <w:sz w:val="20"/>
                <w:szCs w:val="20"/>
                <w:color w:val="auto"/>
              </w:rPr>
            </w:pPr>
            <w:r>
              <w:rPr>
                <w:rFonts w:ascii="Arial" w:cs="Arial" w:eastAsia="Arial" w:hAnsi="Arial"/>
                <w:sz w:val="18"/>
                <w:szCs w:val="18"/>
                <w:color w:val="auto"/>
              </w:rPr>
              <w:t>787</w:t>
            </w:r>
          </w:p>
        </w:tc>
      </w:tr>
      <w:tr>
        <w:trPr>
          <w:trHeight w:val="277"/>
        </w:trPr>
        <w:tc>
          <w:tcPr>
            <w:tcW w:w="7880" w:type="dxa"/>
            <w:vAlign w:val="bottom"/>
            <w:shd w:val="clear" w:color="auto" w:fill="CCEEFF"/>
          </w:tcPr>
          <w:p>
            <w:pPr>
              <w:ind w:left="40"/>
              <w:spacing w:after="0"/>
              <w:rPr>
                <w:sz w:val="20"/>
                <w:szCs w:val="20"/>
                <w:color w:val="auto"/>
              </w:rPr>
            </w:pPr>
            <w:r>
              <w:rPr>
                <w:rFonts w:ascii="Arial" w:cs="Arial" w:eastAsia="Arial" w:hAnsi="Arial"/>
                <w:sz w:val="18"/>
                <w:szCs w:val="18"/>
                <w:color w:val="auto"/>
              </w:rPr>
              <w:t>Regional operating special items, net</w:t>
            </w:r>
          </w:p>
        </w:tc>
        <w:tc>
          <w:tcPr>
            <w:tcW w:w="1160" w:type="dxa"/>
            <w:vAlign w:val="bottom"/>
            <w:tcBorders>
              <w:bottom w:val="single" w:sz="8" w:color="auto"/>
            </w:tcBorders>
            <w:shd w:val="clear" w:color="auto" w:fill="CCEEFF"/>
          </w:tcPr>
          <w:p>
            <w:pPr>
              <w:spacing w:after="0"/>
              <w:rPr>
                <w:sz w:val="24"/>
                <w:szCs w:val="24"/>
                <w:color w:val="auto"/>
              </w:rPr>
            </w:pPr>
          </w:p>
        </w:tc>
        <w:tc>
          <w:tcPr>
            <w:tcW w:w="560" w:type="dxa"/>
            <w:vAlign w:val="bottom"/>
            <w:tcBorders>
              <w:bottom w:val="single" w:sz="8" w:color="auto"/>
            </w:tcBorders>
            <w:shd w:val="clear" w:color="auto" w:fill="CCEEFF"/>
          </w:tcPr>
          <w:p>
            <w:pPr>
              <w:jc w:val="right"/>
              <w:ind w:right="31"/>
              <w:spacing w:after="0"/>
              <w:rPr>
                <w:sz w:val="20"/>
                <w:szCs w:val="20"/>
                <w:color w:val="auto"/>
              </w:rPr>
            </w:pPr>
            <w:r>
              <w:rPr>
                <w:rFonts w:ascii="Arial" w:cs="Arial" w:eastAsia="Arial" w:hAnsi="Arial"/>
                <w:sz w:val="18"/>
                <w:szCs w:val="18"/>
                <w:color w:val="auto"/>
              </w:rPr>
              <w:t>6</w:t>
            </w:r>
          </w:p>
        </w:tc>
        <w:tc>
          <w:tcPr>
            <w:tcW w:w="100" w:type="dxa"/>
            <w:vAlign w:val="bottom"/>
            <w:shd w:val="clear" w:color="auto" w:fill="CCEEFF"/>
          </w:tcPr>
          <w:p>
            <w:pPr>
              <w:spacing w:after="0"/>
              <w:rPr>
                <w:sz w:val="24"/>
                <w:szCs w:val="24"/>
                <w:color w:val="auto"/>
              </w:rPr>
            </w:pPr>
          </w:p>
        </w:tc>
        <w:tc>
          <w:tcPr>
            <w:tcW w:w="1160" w:type="dxa"/>
            <w:vAlign w:val="bottom"/>
            <w:tcBorders>
              <w:bottom w:val="single" w:sz="8" w:color="auto"/>
            </w:tcBorders>
            <w:shd w:val="clear" w:color="auto" w:fill="CCEEFF"/>
          </w:tcPr>
          <w:p>
            <w:pPr>
              <w:spacing w:after="0"/>
              <w:rPr>
                <w:sz w:val="24"/>
                <w:szCs w:val="24"/>
                <w:color w:val="auto"/>
              </w:rPr>
            </w:pPr>
          </w:p>
        </w:tc>
        <w:tc>
          <w:tcPr>
            <w:tcW w:w="56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6</w:t>
            </w:r>
          </w:p>
        </w:tc>
      </w:tr>
      <w:tr>
        <w:trPr>
          <w:trHeight w:val="244"/>
        </w:trPr>
        <w:tc>
          <w:tcPr>
            <w:tcW w:w="7880" w:type="dxa"/>
            <w:vAlign w:val="bottom"/>
          </w:tcPr>
          <w:p>
            <w:pPr>
              <w:ind w:left="280"/>
              <w:spacing w:after="0"/>
              <w:rPr>
                <w:sz w:val="20"/>
                <w:szCs w:val="20"/>
                <w:color w:val="auto"/>
              </w:rPr>
            </w:pPr>
            <w:r>
              <w:rPr>
                <w:rFonts w:ascii="Arial" w:cs="Arial" w:eastAsia="Arial" w:hAnsi="Arial"/>
                <w:sz w:val="18"/>
                <w:szCs w:val="18"/>
                <w:color w:val="auto"/>
              </w:rPr>
              <w:t>Total operating special items, net</w:t>
            </w:r>
          </w:p>
        </w:tc>
        <w:tc>
          <w:tcPr>
            <w:tcW w:w="1160" w:type="dxa"/>
            <w:vAlign w:val="bottom"/>
            <w:tcBorders>
              <w:bottom w:val="single" w:sz="8" w:color="auto"/>
            </w:tcBorders>
          </w:tcPr>
          <w:p>
            <w:pPr>
              <w:jc w:val="right"/>
              <w:ind w:right="959"/>
              <w:spacing w:after="0"/>
              <w:rPr>
                <w:sz w:val="20"/>
                <w:szCs w:val="20"/>
                <w:color w:val="auto"/>
              </w:rPr>
            </w:pPr>
            <w:r>
              <w:rPr>
                <w:rFonts w:ascii="Arial" w:cs="Arial" w:eastAsia="Arial" w:hAnsi="Arial"/>
                <w:sz w:val="18"/>
                <w:szCs w:val="18"/>
                <w:color w:val="auto"/>
                <w:w w:val="99"/>
              </w:rPr>
              <w:t>$</w:t>
            </w:r>
          </w:p>
        </w:tc>
        <w:tc>
          <w:tcPr>
            <w:tcW w:w="560" w:type="dxa"/>
            <w:vAlign w:val="bottom"/>
            <w:tcBorders>
              <w:bottom w:val="single" w:sz="8" w:color="auto"/>
            </w:tcBorders>
          </w:tcPr>
          <w:p>
            <w:pPr>
              <w:jc w:val="right"/>
              <w:ind w:right="31"/>
              <w:spacing w:after="0"/>
              <w:rPr>
                <w:sz w:val="20"/>
                <w:szCs w:val="20"/>
                <w:color w:val="auto"/>
              </w:rPr>
            </w:pPr>
            <w:r>
              <w:rPr>
                <w:rFonts w:ascii="Arial" w:cs="Arial" w:eastAsia="Arial" w:hAnsi="Arial"/>
                <w:sz w:val="18"/>
                <w:szCs w:val="18"/>
                <w:color w:val="auto"/>
              </w:rPr>
              <w:t>641</w:t>
            </w:r>
          </w:p>
        </w:tc>
        <w:tc>
          <w:tcPr>
            <w:tcW w:w="100" w:type="dxa"/>
            <w:vAlign w:val="bottom"/>
          </w:tcPr>
          <w:p>
            <w:pPr>
              <w:spacing w:after="0"/>
              <w:rPr>
                <w:sz w:val="21"/>
                <w:szCs w:val="21"/>
                <w:color w:val="auto"/>
              </w:rPr>
            </w:pPr>
          </w:p>
        </w:tc>
        <w:tc>
          <w:tcPr>
            <w:tcW w:w="1160" w:type="dxa"/>
            <w:vAlign w:val="bottom"/>
            <w:tcBorders>
              <w:bottom w:val="single" w:sz="8" w:color="auto"/>
            </w:tcBorders>
          </w:tcPr>
          <w:p>
            <w:pPr>
              <w:jc w:val="right"/>
              <w:ind w:right="936"/>
              <w:spacing w:after="0"/>
              <w:rPr>
                <w:sz w:val="20"/>
                <w:szCs w:val="20"/>
                <w:color w:val="auto"/>
              </w:rPr>
            </w:pPr>
            <w:r>
              <w:rPr>
                <w:rFonts w:ascii="Arial" w:cs="Arial" w:eastAsia="Arial" w:hAnsi="Arial"/>
                <w:sz w:val="18"/>
                <w:szCs w:val="18"/>
                <w:color w:val="auto"/>
              </w:rPr>
              <w:t>$</w:t>
            </w:r>
          </w:p>
        </w:tc>
        <w:tc>
          <w:tcPr>
            <w:tcW w:w="56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793</w:t>
            </w:r>
          </w:p>
        </w:tc>
      </w:tr>
      <w:tr>
        <w:trPr>
          <w:trHeight w:val="20"/>
        </w:trPr>
        <w:tc>
          <w:tcPr>
            <w:tcW w:w="7880" w:type="dxa"/>
            <w:vAlign w:val="bottom"/>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163195</wp:posOffset>
            </wp:positionV>
            <wp:extent cx="1372235" cy="889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1372235" cy="8890"/>
                    </a:xfrm>
                    <a:prstGeom prst="rect">
                      <a:avLst/>
                    </a:prstGeom>
                    <a:noFill/>
                  </pic:spPr>
                </pic:pic>
              </a:graphicData>
            </a:graphic>
          </wp:anchor>
        </w:drawing>
      </w:r>
    </w:p>
    <w:p>
      <w:pPr>
        <w:sectPr>
          <w:pgSz w:w="11900" w:h="16838" w:orient="portrait"/>
          <w:cols w:equalWidth="0" w:num="1">
            <w:col w:w="11420"/>
          </w:cols>
          <w:pgMar w:left="240" w:top="733" w:right="239" w:bottom="1440" w:gutter="0" w:footer="0" w:header="0"/>
        </w:sectPr>
      </w:pPr>
    </w:p>
    <w:p>
      <w:pPr>
        <w:spacing w:after="0" w:line="348" w:lineRule="exact"/>
        <w:rPr>
          <w:sz w:val="20"/>
          <w:szCs w:val="20"/>
          <w:color w:val="auto"/>
        </w:rPr>
      </w:pPr>
    </w:p>
    <w:p>
      <w:pPr>
        <w:spacing w:after="0"/>
        <w:rPr>
          <w:sz w:val="20"/>
          <w:szCs w:val="20"/>
          <w:color w:val="auto"/>
        </w:rPr>
      </w:pPr>
      <w:r>
        <w:rPr>
          <w:rFonts w:ascii="Arial" w:cs="Arial" w:eastAsia="Arial" w:hAnsi="Arial"/>
          <w:sz w:val="11"/>
          <w:szCs w:val="11"/>
          <w:color w:val="auto"/>
        </w:rPr>
        <w:t>(1)</w:t>
      </w:r>
    </w:p>
    <w:p>
      <w:pPr>
        <w:spacing w:after="0" w:line="200" w:lineRule="exact"/>
        <w:rPr>
          <w:sz w:val="20"/>
          <w:szCs w:val="20"/>
          <w:color w:val="auto"/>
        </w:rPr>
      </w:pPr>
    </w:p>
    <w:p>
      <w:pPr>
        <w:spacing w:after="0" w:line="268" w:lineRule="exact"/>
        <w:rPr>
          <w:sz w:val="20"/>
          <w:szCs w:val="20"/>
          <w:color w:val="auto"/>
        </w:rPr>
      </w:pPr>
    </w:p>
    <w:p>
      <w:pPr>
        <w:spacing w:after="0"/>
        <w:rPr>
          <w:sz w:val="20"/>
          <w:szCs w:val="20"/>
          <w:color w:val="auto"/>
        </w:rPr>
      </w:pPr>
      <w:r>
        <w:rPr>
          <w:rFonts w:ascii="Arial" w:cs="Arial" w:eastAsia="Arial" w:hAnsi="Arial"/>
          <w:sz w:val="11"/>
          <w:szCs w:val="11"/>
          <w:color w:val="auto"/>
        </w:rPr>
        <w:t>(2)</w:t>
      </w:r>
    </w:p>
    <w:p>
      <w:pPr>
        <w:spacing w:after="0" w:line="252" w:lineRule="exact"/>
        <w:rPr>
          <w:sz w:val="20"/>
          <w:szCs w:val="20"/>
          <w:color w:val="auto"/>
        </w:rPr>
      </w:pPr>
    </w:p>
    <w:p>
      <w:pPr>
        <w:spacing w:after="0"/>
        <w:rPr>
          <w:sz w:val="20"/>
          <w:szCs w:val="20"/>
          <w:color w:val="auto"/>
        </w:rPr>
      </w:pPr>
      <w:r>
        <w:rPr>
          <w:rFonts w:ascii="Arial" w:cs="Arial" w:eastAsia="Arial" w:hAnsi="Arial"/>
          <w:sz w:val="11"/>
          <w:szCs w:val="11"/>
          <w:color w:val="auto"/>
        </w:rPr>
        <w:t>(3)</w:t>
      </w:r>
    </w:p>
    <w:p>
      <w:pPr>
        <w:spacing w:after="0" w:line="20" w:lineRule="exact"/>
        <w:rPr>
          <w:sz w:val="20"/>
          <w:szCs w:val="20"/>
          <w:color w:val="auto"/>
        </w:rPr>
      </w:pPr>
      <w:r>
        <w:rPr>
          <w:sz w:val="20"/>
          <w:szCs w:val="20"/>
          <w:color w:val="auto"/>
        </w:rPr>
        <w:br w:type="column"/>
      </w:r>
    </w:p>
    <w:p>
      <w:pPr>
        <w:spacing w:after="0" w:line="330" w:lineRule="exact"/>
        <w:rPr>
          <w:sz w:val="20"/>
          <w:szCs w:val="20"/>
          <w:color w:val="auto"/>
        </w:rPr>
      </w:pPr>
    </w:p>
    <w:p>
      <w:pPr>
        <w:ind w:left="640" w:right="20" w:hanging="647"/>
        <w:spacing w:after="0" w:line="262" w:lineRule="auto"/>
        <w:rPr>
          <w:sz w:val="20"/>
          <w:szCs w:val="20"/>
          <w:color w:val="auto"/>
        </w:rPr>
      </w:pPr>
      <w:r>
        <w:rPr>
          <w:rFonts w:ascii="Arial" w:cs="Arial" w:eastAsia="Arial" w:hAnsi="Arial"/>
          <w:sz w:val="18"/>
          <w:szCs w:val="18"/>
          <w:color w:val="auto"/>
        </w:rPr>
        <w:t>Fleet restructuring expenses principally included accelerated depreciation and rent expense for aircraft and related equipment grounded or expected to be grounded earlier than planned.</w:t>
      </w:r>
    </w:p>
    <w:p>
      <w:pPr>
        <w:spacing w:after="0" w:line="142" w:lineRule="exact"/>
        <w:rPr>
          <w:sz w:val="20"/>
          <w:szCs w:val="20"/>
          <w:color w:val="auto"/>
        </w:rPr>
      </w:pPr>
    </w:p>
    <w:p>
      <w:pPr>
        <w:spacing w:after="0"/>
        <w:rPr>
          <w:sz w:val="20"/>
          <w:szCs w:val="20"/>
          <w:color w:val="auto"/>
        </w:rPr>
      </w:pPr>
      <w:r>
        <w:rPr>
          <w:rFonts w:ascii="Arial" w:cs="Arial" w:eastAsia="Arial" w:hAnsi="Arial"/>
          <w:sz w:val="18"/>
          <w:szCs w:val="18"/>
          <w:color w:val="auto"/>
        </w:rPr>
        <w:t>Fleet impairment principally includes a non-cash write-down of aircraft related to the planned retirement of our Embraer E190 fleet.</w:t>
      </w:r>
    </w:p>
    <w:p>
      <w:pPr>
        <w:spacing w:after="0" w:line="171" w:lineRule="exact"/>
        <w:rPr>
          <w:sz w:val="20"/>
          <w:szCs w:val="20"/>
          <w:color w:val="auto"/>
        </w:rPr>
      </w:pPr>
    </w:p>
    <w:p>
      <w:pPr>
        <w:ind w:left="640" w:hanging="647"/>
        <w:spacing w:after="0" w:line="262" w:lineRule="auto"/>
        <w:rPr>
          <w:sz w:val="20"/>
          <w:szCs w:val="20"/>
          <w:color w:val="auto"/>
        </w:rPr>
      </w:pPr>
      <w:r>
        <w:rPr>
          <w:rFonts w:ascii="Arial" w:cs="Arial" w:eastAsia="Arial" w:hAnsi="Arial"/>
          <w:sz w:val="18"/>
          <w:szCs w:val="18"/>
          <w:color w:val="auto"/>
        </w:rPr>
        <w:t>Merger integration expenses included costs associated with integration projects, principally our technical operations, flight attendant, human resources and payroll systems.</w:t>
      </w:r>
    </w:p>
    <w:p>
      <w:pPr>
        <w:spacing w:after="0" w:line="140" w:lineRule="exact"/>
        <w:rPr>
          <w:sz w:val="20"/>
          <w:szCs w:val="20"/>
          <w:color w:val="auto"/>
        </w:rPr>
      </w:pPr>
    </w:p>
    <w:p>
      <w:pPr>
        <w:sectPr>
          <w:pgSz w:w="11900" w:h="16838" w:orient="portrait"/>
          <w:cols w:equalWidth="0" w:num="2">
            <w:col w:w="140" w:space="520"/>
            <w:col w:w="10760"/>
          </w:cols>
          <w:pgMar w:left="240" w:top="733" w:right="239" w:bottom="1440" w:gutter="0" w:footer="0" w:header="0"/>
          <w:type w:val="continuous"/>
        </w:sectPr>
      </w:pPr>
    </w:p>
    <w:p>
      <w:pPr>
        <w:spacing w:after="0"/>
        <w:rPr>
          <w:sz w:val="20"/>
          <w:szCs w:val="20"/>
          <w:color w:val="auto"/>
        </w:rPr>
      </w:pPr>
      <w:r>
        <w:rPr>
          <w:rFonts w:ascii="Arial" w:cs="Arial" w:eastAsia="Arial" w:hAnsi="Arial"/>
          <w:sz w:val="11"/>
          <w:szCs w:val="11"/>
          <w:color w:val="auto"/>
        </w:rPr>
        <w:t>(4)</w:t>
      </w:r>
    </w:p>
    <w:p>
      <w:pPr>
        <w:spacing w:after="0" w:line="252" w:lineRule="exact"/>
        <w:rPr>
          <w:sz w:val="20"/>
          <w:szCs w:val="20"/>
          <w:color w:val="auto"/>
        </w:rPr>
      </w:pPr>
    </w:p>
    <w:p>
      <w:pPr>
        <w:spacing w:after="0"/>
        <w:rPr>
          <w:sz w:val="20"/>
          <w:szCs w:val="20"/>
          <w:color w:val="auto"/>
        </w:rPr>
      </w:pPr>
      <w:r>
        <w:rPr>
          <w:rFonts w:ascii="Arial" w:cs="Arial" w:eastAsia="Arial" w:hAnsi="Arial"/>
          <w:sz w:val="11"/>
          <w:szCs w:val="11"/>
          <w:color w:val="auto"/>
        </w:rPr>
        <w:t>(5)</w:t>
      </w:r>
    </w:p>
    <w:p>
      <w:pPr>
        <w:spacing w:after="0" w:line="252" w:lineRule="exact"/>
        <w:rPr>
          <w:sz w:val="20"/>
          <w:szCs w:val="20"/>
          <w:color w:val="auto"/>
        </w:rPr>
      </w:pPr>
    </w:p>
    <w:p>
      <w:pPr>
        <w:spacing w:after="0"/>
        <w:rPr>
          <w:sz w:val="20"/>
          <w:szCs w:val="20"/>
          <w:color w:val="auto"/>
        </w:rPr>
      </w:pPr>
      <w:r>
        <w:rPr>
          <w:rFonts w:ascii="Arial" w:cs="Arial" w:eastAsia="Arial" w:hAnsi="Arial"/>
          <w:sz w:val="11"/>
          <w:szCs w:val="11"/>
          <w:color w:val="auto"/>
        </w:rPr>
        <w:t>(6)</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8"/>
          <w:szCs w:val="18"/>
          <w:color w:val="auto"/>
        </w:rPr>
        <w:t>Bankruptcy obligations that will be settled in shares of our common stock are marked-to-market based on our stock price.</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color w:val="auto"/>
        </w:rPr>
        <w:t>Severance expenses primarily included costs associated with reductions of management and support staff team members.</w:t>
      </w:r>
    </w:p>
    <w:p>
      <w:pPr>
        <w:spacing w:after="0" w:line="171" w:lineRule="exact"/>
        <w:rPr>
          <w:sz w:val="20"/>
          <w:szCs w:val="20"/>
          <w:color w:val="auto"/>
        </w:rPr>
      </w:pPr>
    </w:p>
    <w:p>
      <w:pPr>
        <w:ind w:left="640" w:hanging="647"/>
        <w:spacing w:after="0" w:line="262" w:lineRule="auto"/>
        <w:rPr>
          <w:sz w:val="20"/>
          <w:szCs w:val="20"/>
          <w:color w:val="auto"/>
        </w:rPr>
      </w:pPr>
      <w:r>
        <w:rPr>
          <w:rFonts w:ascii="Arial" w:cs="Arial" w:eastAsia="Arial" w:hAnsi="Arial"/>
          <w:sz w:val="18"/>
          <w:szCs w:val="18"/>
          <w:color w:val="auto"/>
        </w:rPr>
        <w:t>Intangible asset impairment includes a non-cash charge to write-off our Brazil route authority as a result of the U.S.-Brazil open skies agreement.</w:t>
      </w:r>
    </w:p>
    <w:p>
      <w:pPr>
        <w:spacing w:after="0" w:line="196" w:lineRule="exact"/>
        <w:rPr>
          <w:sz w:val="20"/>
          <w:szCs w:val="20"/>
          <w:color w:val="auto"/>
        </w:rPr>
      </w:pPr>
    </w:p>
    <w:p>
      <w:pPr>
        <w:jc w:val="center"/>
        <w:ind w:right="640"/>
        <w:spacing w:after="0"/>
        <w:rPr>
          <w:sz w:val="20"/>
          <w:szCs w:val="20"/>
          <w:color w:val="auto"/>
        </w:rPr>
      </w:pPr>
      <w:r>
        <w:rPr>
          <w:rFonts w:ascii="Arial" w:cs="Arial" w:eastAsia="Arial" w:hAnsi="Arial"/>
          <w:sz w:val="18"/>
          <w:szCs w:val="18"/>
          <w:color w:val="auto"/>
        </w:rPr>
        <w:t>55</w:t>
      </w:r>
    </w:p>
    <w:p>
      <w:pPr>
        <w:sectPr>
          <w:pgSz w:w="11900" w:h="16838" w:orient="portrait"/>
          <w:cols w:equalWidth="0" w:num="2">
            <w:col w:w="140" w:space="520"/>
            <w:col w:w="10760"/>
          </w:cols>
          <w:pgMar w:left="240" w:top="733" w:right="239" w:bottom="1440" w:gutter="0" w:footer="0" w:header="0"/>
          <w:type w:val="continuous"/>
        </w:sectPr>
      </w:pPr>
    </w:p>
    <w:bookmarkStart w:id="55" w:name="page56"/>
    <w:bookmarkEnd w:id="55"/>
    <w:p>
      <w:pPr>
        <w:ind w:left="220"/>
        <w:spacing w:after="0"/>
        <w:rPr>
          <w:sz w:val="20"/>
          <w:szCs w:val="20"/>
          <w:color w:val="auto"/>
        </w:rPr>
      </w:pPr>
      <w:r>
        <w:rPr>
          <w:rFonts w:ascii="Arial" w:cs="Arial" w:eastAsia="Arial" w:hAnsi="Arial"/>
          <w:sz w:val="18"/>
          <w:szCs w:val="18"/>
          <w:i w:val="1"/>
          <w:iCs w:val="1"/>
          <w:u w:val="single" w:color="auto"/>
          <w:color w:val="auto"/>
        </w:rPr>
        <w:t>Nonoperating Results</w:t>
      </w:r>
    </w:p>
    <w:p>
      <w:pPr>
        <w:spacing w:after="0" w:line="352" w:lineRule="exact"/>
        <w:rPr>
          <w:sz w:val="20"/>
          <w:szCs w:val="20"/>
          <w:color w:val="auto"/>
        </w:rPr>
      </w:pPr>
    </w:p>
    <w:tbl>
      <w:tblPr>
        <w:tblLayout w:type="fixed"/>
        <w:tblInd w:w="0" w:type="dxa"/>
        <w:tblCellMar>
          <w:top w:w="0" w:type="dxa"/>
          <w:left w:w="0" w:type="dxa"/>
          <w:bottom w:w="0" w:type="dxa"/>
          <w:right w:w="0" w:type="dxa"/>
        </w:tblCellMar>
      </w:tblPr>
      <w:tr>
        <w:trPr>
          <w:trHeight w:val="189"/>
        </w:trPr>
        <w:tc>
          <w:tcPr>
            <w:tcW w:w="516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2840" w:type="dxa"/>
            <w:vAlign w:val="bottom"/>
            <w:gridSpan w:val="5"/>
          </w:tcPr>
          <w:p>
            <w:pPr>
              <w:ind w:left="320"/>
              <w:spacing w:after="0"/>
              <w:rPr>
                <w:sz w:val="20"/>
                <w:szCs w:val="20"/>
                <w:color w:val="auto"/>
              </w:rPr>
            </w:pPr>
            <w:r>
              <w:rPr>
                <w:rFonts w:ascii="Arial" w:cs="Arial" w:eastAsia="Arial" w:hAnsi="Arial"/>
                <w:sz w:val="14"/>
                <w:szCs w:val="14"/>
                <w:b w:val="1"/>
                <w:bCs w:val="1"/>
                <w:color w:val="auto"/>
              </w:rPr>
              <w:t>Year Ended December 31,</w:t>
            </w:r>
          </w:p>
        </w:tc>
        <w:tc>
          <w:tcPr>
            <w:tcW w:w="240" w:type="dxa"/>
            <w:vAlign w:val="bottom"/>
          </w:tcPr>
          <w:p>
            <w:pPr>
              <w:spacing w:after="0"/>
              <w:rPr>
                <w:sz w:val="16"/>
                <w:szCs w:val="16"/>
                <w:color w:val="auto"/>
              </w:rPr>
            </w:pPr>
          </w:p>
        </w:tc>
        <w:tc>
          <w:tcPr>
            <w:tcW w:w="1240" w:type="dxa"/>
            <w:vAlign w:val="bottom"/>
          </w:tcPr>
          <w:p>
            <w:pPr>
              <w:spacing w:after="0"/>
              <w:rPr>
                <w:sz w:val="16"/>
                <w:szCs w:val="16"/>
                <w:color w:val="auto"/>
              </w:rPr>
            </w:pPr>
          </w:p>
        </w:tc>
        <w:tc>
          <w:tcPr>
            <w:tcW w:w="1580" w:type="dxa"/>
            <w:vAlign w:val="bottom"/>
          </w:tcPr>
          <w:p>
            <w:pPr>
              <w:jc w:val="center"/>
              <w:ind w:left="18"/>
              <w:spacing w:after="0"/>
              <w:rPr>
                <w:sz w:val="20"/>
                <w:szCs w:val="20"/>
                <w:color w:val="auto"/>
              </w:rPr>
            </w:pPr>
            <w:r>
              <w:rPr>
                <w:rFonts w:ascii="Arial" w:cs="Arial" w:eastAsia="Arial" w:hAnsi="Arial"/>
                <w:sz w:val="14"/>
                <w:szCs w:val="14"/>
                <w:b w:val="1"/>
                <w:bCs w:val="1"/>
                <w:color w:val="auto"/>
              </w:rPr>
              <w:t>Percent</w:t>
            </w:r>
          </w:p>
        </w:tc>
        <w:tc>
          <w:tcPr>
            <w:tcW w:w="0" w:type="dxa"/>
            <w:vAlign w:val="bottom"/>
          </w:tcPr>
          <w:p>
            <w:pPr>
              <w:spacing w:after="0"/>
              <w:rPr>
                <w:sz w:val="1"/>
                <w:szCs w:val="1"/>
                <w:color w:val="auto"/>
              </w:rPr>
            </w:pPr>
          </w:p>
        </w:tc>
      </w:tr>
      <w:tr>
        <w:trPr>
          <w:trHeight w:val="54"/>
        </w:trPr>
        <w:tc>
          <w:tcPr>
            <w:tcW w:w="5160" w:type="dxa"/>
            <w:vAlign w:val="bottom"/>
          </w:tcPr>
          <w:p>
            <w:pPr>
              <w:spacing w:after="0"/>
              <w:rPr>
                <w:sz w:val="4"/>
                <w:szCs w:val="4"/>
                <w:color w:val="auto"/>
              </w:rPr>
            </w:pPr>
          </w:p>
        </w:tc>
        <w:tc>
          <w:tcPr>
            <w:tcW w:w="360" w:type="dxa"/>
            <w:vAlign w:val="bottom"/>
            <w:tcBorders>
              <w:bottom w:val="single" w:sz="8" w:color="auto"/>
            </w:tcBorders>
          </w:tcPr>
          <w:p>
            <w:pPr>
              <w:spacing w:after="0"/>
              <w:rPr>
                <w:sz w:val="4"/>
                <w:szCs w:val="4"/>
                <w:color w:val="auto"/>
              </w:rPr>
            </w:pPr>
          </w:p>
        </w:tc>
        <w:tc>
          <w:tcPr>
            <w:tcW w:w="1140" w:type="dxa"/>
            <w:vAlign w:val="bottom"/>
            <w:tcBorders>
              <w:bottom w:val="single" w:sz="8" w:color="auto"/>
            </w:tcBorders>
          </w:tcPr>
          <w:p>
            <w:pPr>
              <w:spacing w:after="0"/>
              <w:rPr>
                <w:sz w:val="4"/>
                <w:szCs w:val="4"/>
                <w:color w:val="auto"/>
              </w:rPr>
            </w:pPr>
          </w:p>
        </w:tc>
        <w:tc>
          <w:tcPr>
            <w:tcW w:w="100" w:type="dxa"/>
            <w:vAlign w:val="bottom"/>
            <w:tcBorders>
              <w:bottom w:val="single" w:sz="8" w:color="auto"/>
            </w:tcBorders>
          </w:tcPr>
          <w:p>
            <w:pPr>
              <w:spacing w:after="0"/>
              <w:rPr>
                <w:sz w:val="4"/>
                <w:szCs w:val="4"/>
                <w:color w:val="auto"/>
              </w:rPr>
            </w:pPr>
          </w:p>
        </w:tc>
        <w:tc>
          <w:tcPr>
            <w:tcW w:w="140" w:type="dxa"/>
            <w:vAlign w:val="bottom"/>
            <w:tcBorders>
              <w:bottom w:val="single" w:sz="8" w:color="auto"/>
            </w:tcBorders>
          </w:tcPr>
          <w:p>
            <w:pPr>
              <w:spacing w:after="0"/>
              <w:rPr>
                <w:sz w:val="4"/>
                <w:szCs w:val="4"/>
                <w:color w:val="auto"/>
              </w:rPr>
            </w:pPr>
          </w:p>
        </w:tc>
        <w:tc>
          <w:tcPr>
            <w:tcW w:w="1340" w:type="dxa"/>
            <w:vAlign w:val="bottom"/>
            <w:tcBorders>
              <w:bottom w:val="single" w:sz="8" w:color="auto"/>
            </w:tcBorders>
          </w:tcPr>
          <w:p>
            <w:pPr>
              <w:spacing w:after="0"/>
              <w:rPr>
                <w:sz w:val="4"/>
                <w:szCs w:val="4"/>
                <w:color w:val="auto"/>
              </w:rPr>
            </w:pPr>
          </w:p>
        </w:tc>
        <w:tc>
          <w:tcPr>
            <w:tcW w:w="120" w:type="dxa"/>
            <w:vAlign w:val="bottom"/>
          </w:tcPr>
          <w:p>
            <w:pPr>
              <w:spacing w:after="0"/>
              <w:rPr>
                <w:sz w:val="4"/>
                <w:szCs w:val="4"/>
                <w:color w:val="auto"/>
              </w:rPr>
            </w:pPr>
          </w:p>
        </w:tc>
        <w:tc>
          <w:tcPr>
            <w:tcW w:w="240" w:type="dxa"/>
            <w:vAlign w:val="bottom"/>
          </w:tcPr>
          <w:p>
            <w:pPr>
              <w:spacing w:after="0"/>
              <w:rPr>
                <w:sz w:val="4"/>
                <w:szCs w:val="4"/>
                <w:color w:val="auto"/>
              </w:rPr>
            </w:pPr>
          </w:p>
        </w:tc>
        <w:tc>
          <w:tcPr>
            <w:tcW w:w="1240" w:type="dxa"/>
            <w:vAlign w:val="bottom"/>
            <w:vMerge w:val="restart"/>
          </w:tcPr>
          <w:p>
            <w:pPr>
              <w:jc w:val="right"/>
              <w:ind w:right="376"/>
              <w:spacing w:after="0" w:line="135" w:lineRule="exact"/>
              <w:rPr>
                <w:sz w:val="20"/>
                <w:szCs w:val="20"/>
                <w:color w:val="auto"/>
              </w:rPr>
            </w:pPr>
            <w:r>
              <w:rPr>
                <w:rFonts w:ascii="Arial" w:cs="Arial" w:eastAsia="Arial" w:hAnsi="Arial"/>
                <w:sz w:val="14"/>
                <w:szCs w:val="14"/>
                <w:b w:val="1"/>
                <w:bCs w:val="1"/>
                <w:color w:val="auto"/>
              </w:rPr>
              <w:t>Increase</w:t>
            </w:r>
          </w:p>
        </w:tc>
        <w:tc>
          <w:tcPr>
            <w:tcW w:w="1580" w:type="dxa"/>
            <w:vAlign w:val="bottom"/>
            <w:vMerge w:val="restart"/>
          </w:tcPr>
          <w:p>
            <w:pPr>
              <w:jc w:val="center"/>
              <w:ind w:left="38"/>
              <w:spacing w:after="0" w:line="135" w:lineRule="exact"/>
              <w:rPr>
                <w:sz w:val="20"/>
                <w:szCs w:val="20"/>
                <w:color w:val="auto"/>
              </w:rPr>
            </w:pPr>
            <w:r>
              <w:rPr>
                <w:rFonts w:ascii="Arial" w:cs="Arial" w:eastAsia="Arial" w:hAnsi="Arial"/>
                <w:sz w:val="14"/>
                <w:szCs w:val="14"/>
                <w:b w:val="1"/>
                <w:bCs w:val="1"/>
                <w:color w:val="auto"/>
              </w:rPr>
              <w:t>Increase</w:t>
            </w:r>
          </w:p>
        </w:tc>
        <w:tc>
          <w:tcPr>
            <w:tcW w:w="0" w:type="dxa"/>
            <w:vAlign w:val="bottom"/>
          </w:tcPr>
          <w:p>
            <w:pPr>
              <w:spacing w:after="0"/>
              <w:rPr>
                <w:sz w:val="1"/>
                <w:szCs w:val="1"/>
                <w:color w:val="auto"/>
              </w:rPr>
            </w:pPr>
          </w:p>
        </w:tc>
      </w:tr>
      <w:tr>
        <w:trPr>
          <w:trHeight w:val="61"/>
        </w:trPr>
        <w:tc>
          <w:tcPr>
            <w:tcW w:w="5160" w:type="dxa"/>
            <w:vAlign w:val="bottom"/>
          </w:tcPr>
          <w:p>
            <w:pPr>
              <w:spacing w:after="0"/>
              <w:rPr>
                <w:sz w:val="5"/>
                <w:szCs w:val="5"/>
                <w:color w:val="auto"/>
              </w:rPr>
            </w:pPr>
          </w:p>
        </w:tc>
        <w:tc>
          <w:tcPr>
            <w:tcW w:w="360" w:type="dxa"/>
            <w:vAlign w:val="bottom"/>
          </w:tcPr>
          <w:p>
            <w:pPr>
              <w:spacing w:after="0"/>
              <w:rPr>
                <w:sz w:val="5"/>
                <w:szCs w:val="5"/>
                <w:color w:val="auto"/>
              </w:rPr>
            </w:pPr>
          </w:p>
        </w:tc>
        <w:tc>
          <w:tcPr>
            <w:tcW w:w="1140" w:type="dxa"/>
            <w:vAlign w:val="bottom"/>
          </w:tcPr>
          <w:p>
            <w:pPr>
              <w:spacing w:after="0"/>
              <w:rPr>
                <w:sz w:val="5"/>
                <w:szCs w:val="5"/>
                <w:color w:val="auto"/>
              </w:rPr>
            </w:pPr>
          </w:p>
        </w:tc>
        <w:tc>
          <w:tcPr>
            <w:tcW w:w="100" w:type="dxa"/>
            <w:vAlign w:val="bottom"/>
          </w:tcPr>
          <w:p>
            <w:pPr>
              <w:spacing w:after="0"/>
              <w:rPr>
                <w:sz w:val="5"/>
                <w:szCs w:val="5"/>
                <w:color w:val="auto"/>
              </w:rPr>
            </w:pPr>
          </w:p>
        </w:tc>
        <w:tc>
          <w:tcPr>
            <w:tcW w:w="140" w:type="dxa"/>
            <w:vAlign w:val="bottom"/>
          </w:tcPr>
          <w:p>
            <w:pPr>
              <w:spacing w:after="0"/>
              <w:rPr>
                <w:sz w:val="5"/>
                <w:szCs w:val="5"/>
                <w:color w:val="auto"/>
              </w:rPr>
            </w:pPr>
          </w:p>
        </w:tc>
        <w:tc>
          <w:tcPr>
            <w:tcW w:w="1340" w:type="dxa"/>
            <w:vAlign w:val="bottom"/>
          </w:tcPr>
          <w:p>
            <w:pPr>
              <w:spacing w:after="0"/>
              <w:rPr>
                <w:sz w:val="5"/>
                <w:szCs w:val="5"/>
                <w:color w:val="auto"/>
              </w:rPr>
            </w:pPr>
          </w:p>
        </w:tc>
        <w:tc>
          <w:tcPr>
            <w:tcW w:w="120" w:type="dxa"/>
            <w:vAlign w:val="bottom"/>
          </w:tcPr>
          <w:p>
            <w:pPr>
              <w:spacing w:after="0"/>
              <w:rPr>
                <w:sz w:val="5"/>
                <w:szCs w:val="5"/>
                <w:color w:val="auto"/>
              </w:rPr>
            </w:pPr>
          </w:p>
        </w:tc>
        <w:tc>
          <w:tcPr>
            <w:tcW w:w="240" w:type="dxa"/>
            <w:vAlign w:val="bottom"/>
          </w:tcPr>
          <w:p>
            <w:pPr>
              <w:spacing w:after="0"/>
              <w:rPr>
                <w:sz w:val="5"/>
                <w:szCs w:val="5"/>
                <w:color w:val="auto"/>
              </w:rPr>
            </w:pPr>
          </w:p>
        </w:tc>
        <w:tc>
          <w:tcPr>
            <w:tcW w:w="1240" w:type="dxa"/>
            <w:vAlign w:val="bottom"/>
            <w:vMerge w:val="continue"/>
          </w:tcPr>
          <w:p>
            <w:pPr>
              <w:spacing w:after="0"/>
              <w:rPr>
                <w:sz w:val="5"/>
                <w:szCs w:val="5"/>
                <w:color w:val="auto"/>
              </w:rPr>
            </w:pPr>
          </w:p>
        </w:tc>
        <w:tc>
          <w:tcPr>
            <w:tcW w:w="158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96"/>
        </w:trPr>
        <w:tc>
          <w:tcPr>
            <w:tcW w:w="5160" w:type="dxa"/>
            <w:vAlign w:val="bottom"/>
          </w:tcPr>
          <w:p>
            <w:pPr>
              <w:spacing w:after="0"/>
              <w:rPr>
                <w:sz w:val="17"/>
                <w:szCs w:val="17"/>
                <w:color w:val="auto"/>
              </w:rPr>
            </w:pPr>
          </w:p>
        </w:tc>
        <w:tc>
          <w:tcPr>
            <w:tcW w:w="360" w:type="dxa"/>
            <w:vAlign w:val="bottom"/>
            <w:tcBorders>
              <w:bottom w:val="single" w:sz="8" w:color="auto"/>
            </w:tcBorders>
          </w:tcPr>
          <w:p>
            <w:pPr>
              <w:spacing w:after="0"/>
              <w:rPr>
                <w:sz w:val="17"/>
                <w:szCs w:val="17"/>
                <w:color w:val="auto"/>
              </w:rPr>
            </w:pPr>
          </w:p>
        </w:tc>
        <w:tc>
          <w:tcPr>
            <w:tcW w:w="1140" w:type="dxa"/>
            <w:vAlign w:val="bottom"/>
            <w:tcBorders>
              <w:bottom w:val="single" w:sz="8" w:color="auto"/>
            </w:tcBorders>
          </w:tcPr>
          <w:p>
            <w:pPr>
              <w:jc w:val="right"/>
              <w:ind w:right="516"/>
              <w:spacing w:after="0"/>
              <w:rPr>
                <w:sz w:val="20"/>
                <w:szCs w:val="20"/>
                <w:color w:val="auto"/>
              </w:rPr>
            </w:pPr>
            <w:r>
              <w:rPr>
                <w:rFonts w:ascii="Arial" w:cs="Arial" w:eastAsia="Arial" w:hAnsi="Arial"/>
                <w:sz w:val="14"/>
                <w:szCs w:val="14"/>
                <w:b w:val="1"/>
                <w:bCs w:val="1"/>
                <w:color w:val="auto"/>
              </w:rPr>
              <w:t>2019</w:t>
            </w:r>
          </w:p>
        </w:tc>
        <w:tc>
          <w:tcPr>
            <w:tcW w:w="100" w:type="dxa"/>
            <w:vAlign w:val="bottom"/>
            <w:tcBorders>
              <w:bottom w:val="single" w:sz="8" w:color="auto"/>
            </w:tcBorders>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1340" w:type="dxa"/>
            <w:vAlign w:val="bottom"/>
            <w:tcBorders>
              <w:bottom w:val="single" w:sz="8" w:color="auto"/>
            </w:tcBorders>
          </w:tcPr>
          <w:p>
            <w:pPr>
              <w:jc w:val="right"/>
              <w:ind w:right="496"/>
              <w:spacing w:after="0"/>
              <w:rPr>
                <w:sz w:val="20"/>
                <w:szCs w:val="20"/>
                <w:color w:val="auto"/>
              </w:rPr>
            </w:pPr>
            <w:r>
              <w:rPr>
                <w:rFonts w:ascii="Arial" w:cs="Arial" w:eastAsia="Arial" w:hAnsi="Arial"/>
                <w:sz w:val="14"/>
                <w:szCs w:val="14"/>
                <w:b w:val="1"/>
                <w:bCs w:val="1"/>
                <w:color w:val="auto"/>
              </w:rPr>
              <w:t>2018</w:t>
            </w:r>
          </w:p>
        </w:tc>
        <w:tc>
          <w:tcPr>
            <w:tcW w:w="120" w:type="dxa"/>
            <w:vAlign w:val="bottom"/>
            <w:tcBorders>
              <w:bottom w:val="single" w:sz="8" w:color="auto"/>
            </w:tcBorders>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1240" w:type="dxa"/>
            <w:vAlign w:val="bottom"/>
            <w:tcBorders>
              <w:bottom w:val="single" w:sz="8" w:color="auto"/>
            </w:tcBorders>
          </w:tcPr>
          <w:p>
            <w:pPr>
              <w:jc w:val="right"/>
              <w:ind w:right="296"/>
              <w:spacing w:after="0"/>
              <w:rPr>
                <w:sz w:val="20"/>
                <w:szCs w:val="20"/>
                <w:color w:val="auto"/>
              </w:rPr>
            </w:pPr>
            <w:r>
              <w:rPr>
                <w:rFonts w:ascii="Arial" w:cs="Arial" w:eastAsia="Arial" w:hAnsi="Arial"/>
                <w:sz w:val="14"/>
                <w:szCs w:val="14"/>
                <w:b w:val="1"/>
                <w:bCs w:val="1"/>
                <w:color w:val="auto"/>
              </w:rPr>
              <w:t>(Decrease)</w:t>
            </w:r>
          </w:p>
        </w:tc>
        <w:tc>
          <w:tcPr>
            <w:tcW w:w="1580" w:type="dxa"/>
            <w:vAlign w:val="bottom"/>
            <w:tcBorders>
              <w:bottom w:val="single" w:sz="8" w:color="auto"/>
            </w:tcBorders>
          </w:tcPr>
          <w:p>
            <w:pPr>
              <w:jc w:val="center"/>
              <w:ind w:left="38"/>
              <w:spacing w:after="0"/>
              <w:rPr>
                <w:sz w:val="20"/>
                <w:szCs w:val="20"/>
                <w:color w:val="auto"/>
              </w:rPr>
            </w:pPr>
            <w:r>
              <w:rPr>
                <w:rFonts w:ascii="Arial" w:cs="Arial" w:eastAsia="Arial" w:hAnsi="Arial"/>
                <w:sz w:val="14"/>
                <w:szCs w:val="14"/>
                <w:b w:val="1"/>
                <w:bCs w:val="1"/>
                <w:color w:val="auto"/>
              </w:rPr>
              <w:t>(Decrease)</w:t>
            </w:r>
          </w:p>
        </w:tc>
        <w:tc>
          <w:tcPr>
            <w:tcW w:w="0" w:type="dxa"/>
            <w:vAlign w:val="bottom"/>
          </w:tcPr>
          <w:p>
            <w:pPr>
              <w:spacing w:after="0"/>
              <w:rPr>
                <w:sz w:val="1"/>
                <w:szCs w:val="1"/>
                <w:color w:val="auto"/>
              </w:rPr>
            </w:pPr>
          </w:p>
        </w:tc>
      </w:tr>
      <w:tr>
        <w:trPr>
          <w:trHeight w:val="210"/>
        </w:trPr>
        <w:tc>
          <w:tcPr>
            <w:tcW w:w="516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940" w:type="dxa"/>
            <w:vAlign w:val="bottom"/>
            <w:gridSpan w:val="4"/>
          </w:tcPr>
          <w:p>
            <w:pPr>
              <w:jc w:val="right"/>
              <w:ind w:right="76"/>
              <w:spacing w:after="0"/>
              <w:rPr>
                <w:sz w:val="20"/>
                <w:szCs w:val="20"/>
                <w:color w:val="auto"/>
              </w:rPr>
            </w:pPr>
            <w:r>
              <w:rPr>
                <w:rFonts w:ascii="Arial" w:cs="Arial" w:eastAsia="Arial" w:hAnsi="Arial"/>
                <w:sz w:val="14"/>
                <w:szCs w:val="14"/>
                <w:b w:val="1"/>
                <w:bCs w:val="1"/>
                <w:color w:val="auto"/>
              </w:rPr>
              <w:t>(In millions, except percentage changes)</w:t>
            </w:r>
          </w:p>
        </w:tc>
        <w:tc>
          <w:tcPr>
            <w:tcW w:w="15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6"/>
        </w:trPr>
        <w:tc>
          <w:tcPr>
            <w:tcW w:w="5160" w:type="dxa"/>
            <w:vAlign w:val="bottom"/>
            <w:shd w:val="clear" w:color="auto" w:fill="CCEEFF"/>
          </w:tcPr>
          <w:p>
            <w:pPr>
              <w:ind w:left="40"/>
              <w:spacing w:after="0"/>
              <w:rPr>
                <w:sz w:val="20"/>
                <w:szCs w:val="20"/>
                <w:color w:val="auto"/>
              </w:rPr>
            </w:pPr>
            <w:r>
              <w:rPr>
                <w:rFonts w:ascii="Arial" w:cs="Arial" w:eastAsia="Arial" w:hAnsi="Arial"/>
                <w:sz w:val="18"/>
                <w:szCs w:val="18"/>
                <w:color w:val="auto"/>
              </w:rPr>
              <w:t>Interest income</w:t>
            </w:r>
          </w:p>
        </w:tc>
        <w:tc>
          <w:tcPr>
            <w:tcW w:w="36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140" w:type="dxa"/>
            <w:vAlign w:val="bottom"/>
            <w:shd w:val="clear" w:color="auto" w:fill="CCEEFF"/>
          </w:tcPr>
          <w:p>
            <w:pPr>
              <w:jc w:val="right"/>
              <w:ind w:right="36"/>
              <w:spacing w:after="0"/>
              <w:rPr>
                <w:sz w:val="20"/>
                <w:szCs w:val="20"/>
                <w:color w:val="auto"/>
              </w:rPr>
            </w:pPr>
            <w:r>
              <w:rPr>
                <w:rFonts w:ascii="Arial" w:cs="Arial" w:eastAsia="Arial" w:hAnsi="Arial"/>
                <w:sz w:val="18"/>
                <w:szCs w:val="18"/>
                <w:color w:val="auto"/>
              </w:rPr>
              <w:t>127</w:t>
            </w:r>
          </w:p>
        </w:tc>
        <w:tc>
          <w:tcPr>
            <w:tcW w:w="100" w:type="dxa"/>
            <w:vAlign w:val="bottom"/>
            <w:shd w:val="clear" w:color="auto" w:fill="CCEEFF"/>
          </w:tcPr>
          <w:p>
            <w:pPr>
              <w:spacing w:after="0"/>
              <w:rPr>
                <w:sz w:val="24"/>
                <w:szCs w:val="24"/>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40" w:type="dxa"/>
            <w:vAlign w:val="bottom"/>
            <w:shd w:val="clear" w:color="auto" w:fill="CCEEFF"/>
          </w:tcPr>
          <w:p>
            <w:pPr>
              <w:jc w:val="right"/>
              <w:ind w:right="16"/>
              <w:spacing w:after="0"/>
              <w:rPr>
                <w:sz w:val="20"/>
                <w:szCs w:val="20"/>
                <w:color w:val="auto"/>
              </w:rPr>
            </w:pPr>
            <w:r>
              <w:rPr>
                <w:rFonts w:ascii="Arial" w:cs="Arial" w:eastAsia="Arial" w:hAnsi="Arial"/>
                <w:sz w:val="18"/>
                <w:szCs w:val="18"/>
                <w:color w:val="auto"/>
              </w:rPr>
              <w:t>118</w:t>
            </w:r>
          </w:p>
        </w:tc>
        <w:tc>
          <w:tcPr>
            <w:tcW w:w="120" w:type="dxa"/>
            <w:vAlign w:val="bottom"/>
            <w:shd w:val="clear" w:color="auto" w:fill="CCEEFF"/>
          </w:tcPr>
          <w:p>
            <w:pPr>
              <w:spacing w:after="0"/>
              <w:rPr>
                <w:sz w:val="24"/>
                <w:szCs w:val="24"/>
                <w:color w:val="auto"/>
              </w:rPr>
            </w:pPr>
          </w:p>
        </w:tc>
        <w:tc>
          <w:tcPr>
            <w:tcW w:w="24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240" w:type="dxa"/>
            <w:vAlign w:val="bottom"/>
            <w:shd w:val="clear" w:color="auto" w:fill="CCEEFF"/>
          </w:tcPr>
          <w:p>
            <w:pPr>
              <w:jc w:val="right"/>
              <w:ind w:right="16"/>
              <w:spacing w:after="0"/>
              <w:rPr>
                <w:sz w:val="20"/>
                <w:szCs w:val="20"/>
                <w:color w:val="auto"/>
              </w:rPr>
            </w:pPr>
            <w:r>
              <w:rPr>
                <w:rFonts w:ascii="Arial" w:cs="Arial" w:eastAsia="Arial" w:hAnsi="Arial"/>
                <w:sz w:val="18"/>
                <w:szCs w:val="18"/>
                <w:color w:val="auto"/>
              </w:rPr>
              <w:t>9</w:t>
            </w:r>
          </w:p>
        </w:tc>
        <w:tc>
          <w:tcPr>
            <w:tcW w:w="1580" w:type="dxa"/>
            <w:vAlign w:val="bottom"/>
            <w:shd w:val="clear" w:color="auto" w:fill="CCEEFF"/>
          </w:tcPr>
          <w:p>
            <w:pPr>
              <w:jc w:val="right"/>
              <w:ind w:right="18"/>
              <w:spacing w:after="0"/>
              <w:rPr>
                <w:sz w:val="20"/>
                <w:szCs w:val="20"/>
                <w:color w:val="auto"/>
              </w:rPr>
            </w:pPr>
            <w:r>
              <w:rPr>
                <w:rFonts w:ascii="Arial" w:cs="Arial" w:eastAsia="Arial" w:hAnsi="Arial"/>
                <w:sz w:val="18"/>
                <w:szCs w:val="18"/>
                <w:color w:val="auto"/>
              </w:rPr>
              <w:t>7.1</w:t>
            </w:r>
          </w:p>
        </w:tc>
        <w:tc>
          <w:tcPr>
            <w:tcW w:w="0" w:type="dxa"/>
            <w:vAlign w:val="bottom"/>
          </w:tcPr>
          <w:p>
            <w:pPr>
              <w:spacing w:after="0"/>
              <w:rPr>
                <w:sz w:val="1"/>
                <w:szCs w:val="1"/>
                <w:color w:val="auto"/>
              </w:rPr>
            </w:pPr>
          </w:p>
        </w:tc>
      </w:tr>
      <w:tr>
        <w:trPr>
          <w:trHeight w:val="263"/>
        </w:trPr>
        <w:tc>
          <w:tcPr>
            <w:tcW w:w="5160" w:type="dxa"/>
            <w:vAlign w:val="bottom"/>
          </w:tcPr>
          <w:p>
            <w:pPr>
              <w:ind w:left="40"/>
              <w:spacing w:after="0"/>
              <w:rPr>
                <w:sz w:val="20"/>
                <w:szCs w:val="20"/>
                <w:color w:val="auto"/>
              </w:rPr>
            </w:pPr>
            <w:r>
              <w:rPr>
                <w:rFonts w:ascii="Arial" w:cs="Arial" w:eastAsia="Arial" w:hAnsi="Arial"/>
                <w:sz w:val="18"/>
                <w:szCs w:val="18"/>
                <w:color w:val="auto"/>
              </w:rPr>
              <w:t>Interest expense, net</w:t>
            </w:r>
          </w:p>
        </w:tc>
        <w:tc>
          <w:tcPr>
            <w:tcW w:w="360" w:type="dxa"/>
            <w:vAlign w:val="bottom"/>
          </w:tcPr>
          <w:p>
            <w:pPr>
              <w:spacing w:after="0"/>
              <w:rPr>
                <w:sz w:val="22"/>
                <w:szCs w:val="22"/>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(1,095)</w:t>
            </w:r>
          </w:p>
        </w:tc>
        <w:tc>
          <w:tcPr>
            <w:tcW w:w="10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(1,056)</w:t>
            </w:r>
          </w:p>
        </w:tc>
        <w:tc>
          <w:tcPr>
            <w:tcW w:w="12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(39)</w:t>
            </w:r>
          </w:p>
        </w:tc>
        <w:tc>
          <w:tcPr>
            <w:tcW w:w="1580" w:type="dxa"/>
            <w:vAlign w:val="bottom"/>
          </w:tcPr>
          <w:p>
            <w:pPr>
              <w:jc w:val="right"/>
              <w:ind w:right="18"/>
              <w:spacing w:after="0"/>
              <w:rPr>
                <w:sz w:val="20"/>
                <w:szCs w:val="20"/>
                <w:color w:val="auto"/>
              </w:rPr>
            </w:pPr>
            <w:r>
              <w:rPr>
                <w:rFonts w:ascii="Arial" w:cs="Arial" w:eastAsia="Arial" w:hAnsi="Arial"/>
                <w:sz w:val="18"/>
                <w:szCs w:val="18"/>
                <w:color w:val="auto"/>
              </w:rPr>
              <w:t>3.7</w:t>
            </w:r>
          </w:p>
        </w:tc>
        <w:tc>
          <w:tcPr>
            <w:tcW w:w="0" w:type="dxa"/>
            <w:vAlign w:val="bottom"/>
          </w:tcPr>
          <w:p>
            <w:pPr>
              <w:spacing w:after="0"/>
              <w:rPr>
                <w:sz w:val="1"/>
                <w:szCs w:val="1"/>
                <w:color w:val="auto"/>
              </w:rPr>
            </w:pPr>
          </w:p>
        </w:tc>
      </w:tr>
      <w:tr>
        <w:trPr>
          <w:trHeight w:val="277"/>
        </w:trPr>
        <w:tc>
          <w:tcPr>
            <w:tcW w:w="5160" w:type="dxa"/>
            <w:vAlign w:val="bottom"/>
            <w:shd w:val="clear" w:color="auto" w:fill="CCEEFF"/>
          </w:tcPr>
          <w:p>
            <w:pPr>
              <w:ind w:left="40"/>
              <w:spacing w:after="0"/>
              <w:rPr>
                <w:sz w:val="20"/>
                <w:szCs w:val="20"/>
                <w:color w:val="auto"/>
              </w:rPr>
            </w:pPr>
            <w:r>
              <w:rPr>
                <w:rFonts w:ascii="Arial" w:cs="Arial" w:eastAsia="Arial" w:hAnsi="Arial"/>
                <w:sz w:val="18"/>
                <w:szCs w:val="18"/>
                <w:color w:val="auto"/>
              </w:rPr>
              <w:t>Other income, net</w:t>
            </w:r>
          </w:p>
        </w:tc>
        <w:tc>
          <w:tcPr>
            <w:tcW w:w="360" w:type="dxa"/>
            <w:vAlign w:val="bottom"/>
            <w:tcBorders>
              <w:bottom w:val="single" w:sz="8" w:color="auto"/>
            </w:tcBorders>
            <w:shd w:val="clear" w:color="auto" w:fill="CCEEFF"/>
          </w:tcPr>
          <w:p>
            <w:pPr>
              <w:spacing w:after="0"/>
              <w:rPr>
                <w:sz w:val="24"/>
                <w:szCs w:val="24"/>
                <w:color w:val="auto"/>
              </w:rPr>
            </w:pPr>
          </w:p>
        </w:tc>
        <w:tc>
          <w:tcPr>
            <w:tcW w:w="1140" w:type="dxa"/>
            <w:vAlign w:val="bottom"/>
            <w:tcBorders>
              <w:bottom w:val="single" w:sz="8" w:color="auto"/>
            </w:tcBorders>
            <w:shd w:val="clear" w:color="auto" w:fill="CCEEFF"/>
          </w:tcPr>
          <w:p>
            <w:pPr>
              <w:jc w:val="right"/>
              <w:ind w:right="36"/>
              <w:spacing w:after="0"/>
              <w:rPr>
                <w:sz w:val="20"/>
                <w:szCs w:val="20"/>
                <w:color w:val="auto"/>
              </w:rPr>
            </w:pPr>
            <w:r>
              <w:rPr>
                <w:rFonts w:ascii="Arial" w:cs="Arial" w:eastAsia="Arial" w:hAnsi="Arial"/>
                <w:sz w:val="18"/>
                <w:szCs w:val="18"/>
                <w:color w:val="auto"/>
              </w:rPr>
              <w:t>159</w:t>
            </w:r>
          </w:p>
        </w:tc>
        <w:tc>
          <w:tcPr>
            <w:tcW w:w="100" w:type="dxa"/>
            <w:vAlign w:val="bottom"/>
            <w:shd w:val="clear" w:color="auto" w:fill="CCEEFF"/>
          </w:tcPr>
          <w:p>
            <w:pPr>
              <w:spacing w:after="0"/>
              <w:rPr>
                <w:sz w:val="24"/>
                <w:szCs w:val="24"/>
                <w:color w:val="auto"/>
              </w:rPr>
            </w:pPr>
          </w:p>
        </w:tc>
        <w:tc>
          <w:tcPr>
            <w:tcW w:w="140" w:type="dxa"/>
            <w:vAlign w:val="bottom"/>
            <w:tcBorders>
              <w:bottom w:val="single" w:sz="8" w:color="auto"/>
            </w:tcBorders>
            <w:shd w:val="clear" w:color="auto" w:fill="CCEEFF"/>
          </w:tcPr>
          <w:p>
            <w:pPr>
              <w:spacing w:after="0"/>
              <w:rPr>
                <w:sz w:val="24"/>
                <w:szCs w:val="24"/>
                <w:color w:val="auto"/>
              </w:rPr>
            </w:pPr>
          </w:p>
        </w:tc>
        <w:tc>
          <w:tcPr>
            <w:tcW w:w="1340" w:type="dxa"/>
            <w:vAlign w:val="bottom"/>
            <w:tcBorders>
              <w:bottom w:val="single" w:sz="8" w:color="auto"/>
            </w:tcBorders>
            <w:shd w:val="clear" w:color="auto" w:fill="CCEEFF"/>
          </w:tcPr>
          <w:p>
            <w:pPr>
              <w:jc w:val="right"/>
              <w:ind w:right="16"/>
              <w:spacing w:after="0"/>
              <w:rPr>
                <w:sz w:val="20"/>
                <w:szCs w:val="20"/>
                <w:color w:val="auto"/>
              </w:rPr>
            </w:pPr>
            <w:r>
              <w:rPr>
                <w:rFonts w:ascii="Arial" w:cs="Arial" w:eastAsia="Arial" w:hAnsi="Arial"/>
                <w:sz w:val="18"/>
                <w:szCs w:val="18"/>
                <w:color w:val="auto"/>
              </w:rPr>
              <w:t>166</w:t>
            </w:r>
          </w:p>
        </w:tc>
        <w:tc>
          <w:tcPr>
            <w:tcW w:w="120" w:type="dxa"/>
            <w:vAlign w:val="bottom"/>
            <w:shd w:val="clear" w:color="auto" w:fill="CCEEFF"/>
          </w:tcPr>
          <w:p>
            <w:pPr>
              <w:spacing w:after="0"/>
              <w:rPr>
                <w:sz w:val="24"/>
                <w:szCs w:val="24"/>
                <w:color w:val="auto"/>
              </w:rPr>
            </w:pPr>
          </w:p>
        </w:tc>
        <w:tc>
          <w:tcPr>
            <w:tcW w:w="240" w:type="dxa"/>
            <w:vAlign w:val="bottom"/>
            <w:tcBorders>
              <w:bottom w:val="single" w:sz="8" w:color="auto"/>
            </w:tcBorders>
            <w:shd w:val="clear" w:color="auto" w:fill="CCEEFF"/>
          </w:tcPr>
          <w:p>
            <w:pPr>
              <w:spacing w:after="0"/>
              <w:rPr>
                <w:sz w:val="24"/>
                <w:szCs w:val="24"/>
                <w:color w:val="auto"/>
              </w:rPr>
            </w:pPr>
          </w:p>
        </w:tc>
        <w:tc>
          <w:tcPr>
            <w:tcW w:w="12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w:t>
            </w:r>
          </w:p>
        </w:tc>
        <w:tc>
          <w:tcPr>
            <w:tcW w:w="1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(3.8)</w:t>
            </w:r>
          </w:p>
        </w:tc>
        <w:tc>
          <w:tcPr>
            <w:tcW w:w="0" w:type="dxa"/>
            <w:vAlign w:val="bottom"/>
          </w:tcPr>
          <w:p>
            <w:pPr>
              <w:spacing w:after="0"/>
              <w:rPr>
                <w:sz w:val="1"/>
                <w:szCs w:val="1"/>
                <w:color w:val="auto"/>
              </w:rPr>
            </w:pPr>
          </w:p>
        </w:tc>
      </w:tr>
      <w:tr>
        <w:trPr>
          <w:trHeight w:val="250"/>
        </w:trPr>
        <w:tc>
          <w:tcPr>
            <w:tcW w:w="5160" w:type="dxa"/>
            <w:vAlign w:val="bottom"/>
          </w:tcPr>
          <w:p>
            <w:pPr>
              <w:ind w:left="280"/>
              <w:spacing w:after="0"/>
              <w:rPr>
                <w:sz w:val="20"/>
                <w:szCs w:val="20"/>
                <w:color w:val="auto"/>
              </w:rPr>
            </w:pPr>
            <w:r>
              <w:rPr>
                <w:rFonts w:ascii="Arial" w:cs="Arial" w:eastAsia="Arial" w:hAnsi="Arial"/>
                <w:sz w:val="18"/>
                <w:szCs w:val="18"/>
                <w:color w:val="auto"/>
              </w:rPr>
              <w:t>Total nonoperating expense, net</w:t>
            </w:r>
          </w:p>
        </w:tc>
        <w:tc>
          <w:tcPr>
            <w:tcW w:w="360" w:type="dxa"/>
            <w:vAlign w:val="bottom"/>
            <w:tcBorders>
              <w:bottom w:val="single" w:sz="8" w:color="auto"/>
            </w:tcBorders>
          </w:tcPr>
          <w:p>
            <w:pPr>
              <w:jc w:val="right"/>
              <w:ind w:right="150"/>
              <w:spacing w:after="0"/>
              <w:rPr>
                <w:sz w:val="20"/>
                <w:szCs w:val="20"/>
                <w:color w:val="auto"/>
              </w:rPr>
            </w:pPr>
            <w:r>
              <w:rPr>
                <w:rFonts w:ascii="Arial" w:cs="Arial" w:eastAsia="Arial" w:hAnsi="Arial"/>
                <w:sz w:val="18"/>
                <w:szCs w:val="18"/>
                <w:color w:val="auto"/>
                <w:w w:val="99"/>
              </w:rPr>
              <w:t>$</w:t>
            </w: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(809)</w:t>
            </w:r>
          </w:p>
        </w:tc>
        <w:tc>
          <w:tcPr>
            <w:tcW w:w="100" w:type="dxa"/>
            <w:vAlign w:val="bottom"/>
          </w:tcPr>
          <w:p>
            <w:pPr>
              <w:spacing w:after="0"/>
              <w:rPr>
                <w:sz w:val="21"/>
                <w:szCs w:val="21"/>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3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(772)</w:t>
            </w:r>
          </w:p>
        </w:tc>
        <w:tc>
          <w:tcPr>
            <w:tcW w:w="120" w:type="dxa"/>
            <w:vAlign w:val="bottom"/>
          </w:tcPr>
          <w:p>
            <w:pPr>
              <w:spacing w:after="0"/>
              <w:rPr>
                <w:sz w:val="21"/>
                <w:szCs w:val="21"/>
                <w:color w:val="auto"/>
              </w:rPr>
            </w:pPr>
          </w:p>
        </w:tc>
        <w:tc>
          <w:tcPr>
            <w:tcW w:w="24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w w:val="99"/>
              </w:rPr>
              <w:t>$</w:t>
            </w: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(37)</w:t>
            </w:r>
          </w:p>
        </w:tc>
        <w:tc>
          <w:tcPr>
            <w:tcW w:w="1580" w:type="dxa"/>
            <w:vAlign w:val="bottom"/>
          </w:tcPr>
          <w:p>
            <w:pPr>
              <w:jc w:val="right"/>
              <w:ind w:right="18"/>
              <w:spacing w:after="0"/>
              <w:rPr>
                <w:sz w:val="20"/>
                <w:szCs w:val="20"/>
                <w:color w:val="auto"/>
              </w:rPr>
            </w:pPr>
            <w:r>
              <w:rPr>
                <w:rFonts w:ascii="Arial" w:cs="Arial" w:eastAsia="Arial" w:hAnsi="Arial"/>
                <w:sz w:val="18"/>
                <w:szCs w:val="18"/>
                <w:color w:val="auto"/>
              </w:rPr>
              <w:t>4.8</w:t>
            </w:r>
          </w:p>
        </w:tc>
        <w:tc>
          <w:tcPr>
            <w:tcW w:w="0" w:type="dxa"/>
            <w:vAlign w:val="bottom"/>
          </w:tcPr>
          <w:p>
            <w:pPr>
              <w:spacing w:after="0"/>
              <w:rPr>
                <w:sz w:val="1"/>
                <w:szCs w:val="1"/>
                <w:color w:val="auto"/>
              </w:rPr>
            </w:pPr>
          </w:p>
        </w:tc>
      </w:tr>
      <w:tr>
        <w:trPr>
          <w:trHeight w:val="20"/>
        </w:trPr>
        <w:tc>
          <w:tcPr>
            <w:tcW w:w="516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5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61" w:lineRule="exact"/>
        <w:rPr>
          <w:sz w:val="20"/>
          <w:szCs w:val="20"/>
          <w:color w:val="auto"/>
        </w:rPr>
      </w:pPr>
    </w:p>
    <w:p>
      <w:pPr>
        <w:ind w:left="220"/>
        <w:spacing w:after="0"/>
        <w:rPr>
          <w:sz w:val="20"/>
          <w:szCs w:val="20"/>
          <w:color w:val="auto"/>
        </w:rPr>
      </w:pPr>
      <w:r>
        <w:rPr>
          <w:rFonts w:ascii="Arial" w:cs="Arial" w:eastAsia="Arial" w:hAnsi="Arial"/>
          <w:sz w:val="18"/>
          <w:szCs w:val="18"/>
          <w:color w:val="auto"/>
        </w:rPr>
        <w:t>Interest expense, net increased $39 million, or 3.7% in 2019 as compared to 2018, primarily due to lower capitalized interest.</w:t>
      </w:r>
    </w:p>
    <w:p>
      <w:pPr>
        <w:spacing w:after="0" w:line="171" w:lineRule="exact"/>
        <w:rPr>
          <w:sz w:val="20"/>
          <w:szCs w:val="20"/>
          <w:color w:val="auto"/>
        </w:rPr>
      </w:pPr>
    </w:p>
    <w:p>
      <w:pPr>
        <w:jc w:val="both"/>
        <w:ind w:firstLine="216"/>
        <w:spacing w:after="0" w:line="256" w:lineRule="auto"/>
        <w:rPr>
          <w:sz w:val="20"/>
          <w:szCs w:val="20"/>
          <w:color w:val="auto"/>
        </w:rPr>
      </w:pPr>
      <w:r>
        <w:rPr>
          <w:rFonts w:ascii="Arial" w:cs="Arial" w:eastAsia="Arial" w:hAnsi="Arial"/>
          <w:sz w:val="18"/>
          <w:szCs w:val="18"/>
          <w:color w:val="auto"/>
        </w:rPr>
        <w:t>In 2019, other nonoperating income, net principally included $183 million of non-service related pension and other postretirement benefit plan income. This income was offset in part by $32 million of net foreign currency losses principally associated with losses from Latin American currencies.</w:t>
      </w:r>
    </w:p>
    <w:p>
      <w:pPr>
        <w:spacing w:after="0" w:line="148" w:lineRule="exact"/>
        <w:rPr>
          <w:sz w:val="20"/>
          <w:szCs w:val="20"/>
          <w:color w:val="auto"/>
        </w:rPr>
      </w:pPr>
    </w:p>
    <w:p>
      <w:pPr>
        <w:jc w:val="both"/>
        <w:ind w:firstLine="216"/>
        <w:spacing w:after="0" w:line="256" w:lineRule="auto"/>
        <w:rPr>
          <w:sz w:val="20"/>
          <w:szCs w:val="20"/>
          <w:color w:val="auto"/>
        </w:rPr>
      </w:pPr>
      <w:r>
        <w:rPr>
          <w:rFonts w:ascii="Arial" w:cs="Arial" w:eastAsia="Arial" w:hAnsi="Arial"/>
          <w:sz w:val="18"/>
          <w:szCs w:val="18"/>
          <w:color w:val="auto"/>
        </w:rPr>
        <w:t>In 2018, other nonoperating income, net principally included $308 million of non-service related pension and other postretirement benefit plan income. This income was offset in part by a $104 million net special charge for mark-to-market unrealized losses primarily associated with our equity investment in China Southern Airlines and $55 million of net foreign currency losses from Latin American currencies.</w:t>
      </w:r>
    </w:p>
    <w:p>
      <w:pPr>
        <w:spacing w:after="0" w:line="148" w:lineRule="exact"/>
        <w:rPr>
          <w:sz w:val="20"/>
          <w:szCs w:val="20"/>
          <w:color w:val="auto"/>
        </w:rPr>
      </w:pPr>
    </w:p>
    <w:p>
      <w:pPr>
        <w:jc w:val="both"/>
        <w:ind w:firstLine="216"/>
        <w:spacing w:after="0" w:line="262" w:lineRule="auto"/>
        <w:rPr>
          <w:sz w:val="20"/>
          <w:szCs w:val="20"/>
          <w:color w:val="auto"/>
        </w:rPr>
      </w:pPr>
      <w:r>
        <w:rPr>
          <w:rFonts w:ascii="Arial" w:cs="Arial" w:eastAsia="Arial" w:hAnsi="Arial"/>
          <w:sz w:val="18"/>
          <w:szCs w:val="18"/>
          <w:color w:val="auto"/>
        </w:rPr>
        <w:t>The decrease in non-service related pension and other postretirement benefit plan income in 2019 as compared to 2018 is principally due to a decrease in the expected return on pension plan assets.</w:t>
      </w:r>
    </w:p>
    <w:p>
      <w:pPr>
        <w:spacing w:after="0" w:line="205" w:lineRule="exact"/>
        <w:rPr>
          <w:sz w:val="20"/>
          <w:szCs w:val="20"/>
          <w:color w:val="auto"/>
        </w:rPr>
      </w:pPr>
    </w:p>
    <w:p>
      <w:pPr>
        <w:ind w:left="220"/>
        <w:spacing w:after="0"/>
        <w:rPr>
          <w:sz w:val="20"/>
          <w:szCs w:val="20"/>
          <w:color w:val="auto"/>
        </w:rPr>
      </w:pPr>
      <w:r>
        <w:rPr>
          <w:rFonts w:ascii="Arial" w:cs="Arial" w:eastAsia="Arial" w:hAnsi="Arial"/>
          <w:sz w:val="18"/>
          <w:szCs w:val="18"/>
          <w:i w:val="1"/>
          <w:iCs w:val="1"/>
          <w:u w:val="single" w:color="auto"/>
          <w:color w:val="auto"/>
        </w:rPr>
        <w:t>Income Taxes</w:t>
      </w:r>
    </w:p>
    <w:p>
      <w:pPr>
        <w:spacing w:after="0" w:line="108" w:lineRule="exact"/>
        <w:rPr>
          <w:sz w:val="20"/>
          <w:szCs w:val="20"/>
          <w:color w:val="auto"/>
        </w:rPr>
      </w:pPr>
    </w:p>
    <w:p>
      <w:pPr>
        <w:jc w:val="both"/>
        <w:ind w:firstLine="216"/>
        <w:spacing w:after="0" w:line="254" w:lineRule="auto"/>
        <w:rPr>
          <w:sz w:val="20"/>
          <w:szCs w:val="20"/>
          <w:color w:val="auto"/>
        </w:rPr>
      </w:pPr>
      <w:r>
        <w:rPr>
          <w:rFonts w:ascii="Arial" w:cs="Arial" w:eastAsia="Arial" w:hAnsi="Arial"/>
          <w:sz w:val="18"/>
          <w:szCs w:val="18"/>
          <w:color w:val="auto"/>
        </w:rPr>
        <w:t>In 2019, we recorded an income tax provision of $570 million at an effective rate of approximately 25%, which was substantially non-cash due to utilization of our net operating losses (NOLs). Substantially all of our income before income taxes is attributable to the United States. At December 31, 2019, we had approximately $9.1 billion of federal NOLs and $3.0 billion of state NOLs, substantially all of which we expect to be available in 2020 to reduce future federal and state taxable income.</w:t>
      </w:r>
    </w:p>
    <w:p>
      <w:pPr>
        <w:spacing w:after="0" w:line="150" w:lineRule="exact"/>
        <w:rPr>
          <w:sz w:val="20"/>
          <w:szCs w:val="20"/>
          <w:color w:val="auto"/>
        </w:rPr>
      </w:pPr>
    </w:p>
    <w:p>
      <w:pPr>
        <w:ind w:left="220"/>
        <w:spacing w:after="0"/>
        <w:rPr>
          <w:sz w:val="20"/>
          <w:szCs w:val="20"/>
          <w:color w:val="auto"/>
        </w:rPr>
      </w:pPr>
      <w:r>
        <w:rPr>
          <w:rFonts w:ascii="Arial" w:cs="Arial" w:eastAsia="Arial" w:hAnsi="Arial"/>
          <w:sz w:val="18"/>
          <w:szCs w:val="18"/>
          <w:color w:val="auto"/>
        </w:rPr>
        <w:t>In 2018, we recorded an income tax provision of $472 million at an effective rate of approximately 25%, which was substantially non-cash.</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This provision included an $18 million special income tax charge related to an international income tax matter.</w:t>
      </w:r>
    </w:p>
    <w:p>
      <w:pPr>
        <w:spacing w:after="0" w:line="171" w:lineRule="exact"/>
        <w:rPr>
          <w:sz w:val="20"/>
          <w:szCs w:val="20"/>
          <w:color w:val="auto"/>
        </w:rPr>
      </w:pPr>
    </w:p>
    <w:p>
      <w:pPr>
        <w:ind w:left="220"/>
        <w:spacing w:after="0"/>
        <w:rPr>
          <w:sz w:val="20"/>
          <w:szCs w:val="20"/>
          <w:color w:val="auto"/>
        </w:rPr>
      </w:pPr>
      <w:r>
        <w:rPr>
          <w:rFonts w:ascii="Arial" w:cs="Arial" w:eastAsia="Arial" w:hAnsi="Arial"/>
          <w:sz w:val="18"/>
          <w:szCs w:val="18"/>
          <w:color w:val="auto"/>
        </w:rPr>
        <w:t>See Note 7 to AAG’s Consolidated Financial Statements in Part II, Item 8A for additional information on income taxes.</w:t>
      </w:r>
    </w:p>
    <w:p>
      <w:pPr>
        <w:spacing w:after="0" w:line="23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American’s Results of Operations</w:t>
      </w:r>
    </w:p>
    <w:p>
      <w:pPr>
        <w:spacing w:after="0" w:line="112" w:lineRule="exact"/>
        <w:rPr>
          <w:sz w:val="20"/>
          <w:szCs w:val="20"/>
          <w:color w:val="auto"/>
        </w:rPr>
      </w:pPr>
    </w:p>
    <w:p>
      <w:pPr>
        <w:jc w:val="both"/>
        <w:ind w:firstLine="243"/>
        <w:spacing w:after="0" w:line="262" w:lineRule="auto"/>
        <w:rPr>
          <w:sz w:val="20"/>
          <w:szCs w:val="20"/>
          <w:color w:val="auto"/>
        </w:rPr>
      </w:pPr>
      <w:r>
        <w:rPr>
          <w:rFonts w:ascii="Arial" w:cs="Arial" w:eastAsia="Arial" w:hAnsi="Arial"/>
          <w:sz w:val="18"/>
          <w:szCs w:val="18"/>
          <w:color w:val="auto"/>
        </w:rPr>
        <w:t>For a comparison of the 2018 to 2017 reporting periods, see Part II, Item 7. Management’s Discussion and Analysis of Financial Condition and Results of Operations – “</w:t>
      </w:r>
      <w:r>
        <w:rPr>
          <w:rFonts w:ascii="Arial" w:cs="Arial" w:eastAsia="Arial" w:hAnsi="Arial"/>
          <w:sz w:val="18"/>
          <w:szCs w:val="18"/>
          <w:i w:val="1"/>
          <w:iCs w:val="1"/>
          <w:color w:val="auto"/>
        </w:rPr>
        <w:t>American’s Results of Operations</w:t>
      </w:r>
      <w:r>
        <w:rPr>
          <w:rFonts w:ascii="Arial" w:cs="Arial" w:eastAsia="Arial" w:hAnsi="Arial"/>
          <w:sz w:val="18"/>
          <w:szCs w:val="18"/>
          <w:color w:val="auto"/>
        </w:rPr>
        <w:t xml:space="preserve"> – </w:t>
      </w:r>
      <w:r>
        <w:rPr>
          <w:rFonts w:ascii="Arial" w:cs="Arial" w:eastAsia="Arial" w:hAnsi="Arial"/>
          <w:sz w:val="18"/>
          <w:szCs w:val="18"/>
          <w:i w:val="1"/>
          <w:iCs w:val="1"/>
          <w:color w:val="auto"/>
        </w:rPr>
        <w:t>2018 Compared to 2017”</w:t>
      </w:r>
      <w:r>
        <w:rPr>
          <w:rFonts w:ascii="Arial" w:cs="Arial" w:eastAsia="Arial" w:hAnsi="Arial"/>
          <w:sz w:val="18"/>
          <w:szCs w:val="18"/>
          <w:color w:val="auto"/>
        </w:rPr>
        <w:t xml:space="preserve"> of American’s 2018 Form 10-K.</w:t>
      </w:r>
    </w:p>
    <w:p>
      <w:pPr>
        <w:spacing w:after="0" w:line="20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Results of Operations – 2019 Compared to 2018</w:t>
      </w:r>
    </w:p>
    <w:p>
      <w:pPr>
        <w:spacing w:after="0" w:line="94" w:lineRule="exact"/>
        <w:rPr>
          <w:sz w:val="20"/>
          <w:szCs w:val="20"/>
          <w:color w:val="auto"/>
        </w:rPr>
      </w:pPr>
    </w:p>
    <w:p>
      <w:pPr>
        <w:ind w:left="220"/>
        <w:spacing w:after="0"/>
        <w:rPr>
          <w:sz w:val="20"/>
          <w:szCs w:val="20"/>
          <w:color w:val="auto"/>
        </w:rPr>
      </w:pPr>
      <w:r>
        <w:rPr>
          <w:rFonts w:ascii="Arial" w:cs="Arial" w:eastAsia="Arial" w:hAnsi="Arial"/>
          <w:sz w:val="18"/>
          <w:szCs w:val="18"/>
          <w:i w:val="1"/>
          <w:iCs w:val="1"/>
          <w:u w:val="single" w:color="auto"/>
          <w:color w:val="auto"/>
        </w:rPr>
        <w:t>Operating Revenues</w:t>
      </w:r>
    </w:p>
    <w:p>
      <w:pPr>
        <w:spacing w:after="0" w:line="200" w:lineRule="exact"/>
        <w:rPr>
          <w:sz w:val="20"/>
          <w:szCs w:val="20"/>
          <w:color w:val="auto"/>
        </w:rPr>
      </w:pPr>
    </w:p>
    <w:p>
      <w:pPr>
        <w:spacing w:after="0" w:line="314" w:lineRule="exact"/>
        <w:rPr>
          <w:sz w:val="20"/>
          <w:szCs w:val="20"/>
          <w:color w:val="auto"/>
        </w:rPr>
      </w:pPr>
    </w:p>
    <w:tbl>
      <w:tblPr>
        <w:tblLayout w:type="fixed"/>
        <w:tblInd w:w="0" w:type="dxa"/>
        <w:tblCellMar>
          <w:top w:w="0" w:type="dxa"/>
          <w:left w:w="0" w:type="dxa"/>
          <w:bottom w:w="0" w:type="dxa"/>
          <w:right w:w="0" w:type="dxa"/>
        </w:tblCellMar>
      </w:tblPr>
      <w:tr>
        <w:trPr>
          <w:trHeight w:val="189"/>
        </w:trPr>
        <w:tc>
          <w:tcPr>
            <w:tcW w:w="502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2800" w:type="dxa"/>
            <w:vAlign w:val="bottom"/>
            <w:gridSpan w:val="5"/>
          </w:tcPr>
          <w:p>
            <w:pPr>
              <w:ind w:left="300"/>
              <w:spacing w:after="0"/>
              <w:rPr>
                <w:sz w:val="20"/>
                <w:szCs w:val="20"/>
                <w:color w:val="auto"/>
              </w:rPr>
            </w:pPr>
            <w:r>
              <w:rPr>
                <w:rFonts w:ascii="Arial" w:cs="Arial" w:eastAsia="Arial" w:hAnsi="Arial"/>
                <w:sz w:val="14"/>
                <w:szCs w:val="14"/>
                <w:b w:val="1"/>
                <w:bCs w:val="1"/>
                <w:color w:val="auto"/>
              </w:rPr>
              <w:t>Year Ended December 31,</w:t>
            </w:r>
          </w:p>
        </w:tc>
        <w:tc>
          <w:tcPr>
            <w:tcW w:w="240" w:type="dxa"/>
            <w:vAlign w:val="bottom"/>
          </w:tcPr>
          <w:p>
            <w:pPr>
              <w:spacing w:after="0"/>
              <w:rPr>
                <w:sz w:val="16"/>
                <w:szCs w:val="16"/>
                <w:color w:val="auto"/>
              </w:rPr>
            </w:pPr>
          </w:p>
        </w:tc>
        <w:tc>
          <w:tcPr>
            <w:tcW w:w="1220" w:type="dxa"/>
            <w:vAlign w:val="bottom"/>
          </w:tcPr>
          <w:p>
            <w:pPr>
              <w:spacing w:after="0"/>
              <w:rPr>
                <w:sz w:val="16"/>
                <w:szCs w:val="16"/>
                <w:color w:val="auto"/>
              </w:rPr>
            </w:pPr>
          </w:p>
        </w:tc>
        <w:tc>
          <w:tcPr>
            <w:tcW w:w="1540" w:type="dxa"/>
            <w:vAlign w:val="bottom"/>
          </w:tcPr>
          <w:p>
            <w:pPr>
              <w:jc w:val="center"/>
              <w:ind w:left="18"/>
              <w:spacing w:after="0"/>
              <w:rPr>
                <w:sz w:val="20"/>
                <w:szCs w:val="20"/>
                <w:color w:val="auto"/>
              </w:rPr>
            </w:pPr>
            <w:r>
              <w:rPr>
                <w:rFonts w:ascii="Arial" w:cs="Arial" w:eastAsia="Arial" w:hAnsi="Arial"/>
                <w:sz w:val="14"/>
                <w:szCs w:val="14"/>
                <w:b w:val="1"/>
                <w:bCs w:val="1"/>
                <w:color w:val="auto"/>
              </w:rPr>
              <w:t>Percent</w:t>
            </w:r>
          </w:p>
        </w:tc>
        <w:tc>
          <w:tcPr>
            <w:tcW w:w="0" w:type="dxa"/>
            <w:vAlign w:val="bottom"/>
          </w:tcPr>
          <w:p>
            <w:pPr>
              <w:spacing w:after="0"/>
              <w:rPr>
                <w:sz w:val="1"/>
                <w:szCs w:val="1"/>
                <w:color w:val="auto"/>
              </w:rPr>
            </w:pPr>
          </w:p>
        </w:tc>
      </w:tr>
      <w:tr>
        <w:trPr>
          <w:trHeight w:val="54"/>
        </w:trPr>
        <w:tc>
          <w:tcPr>
            <w:tcW w:w="5020" w:type="dxa"/>
            <w:vAlign w:val="bottom"/>
          </w:tcPr>
          <w:p>
            <w:pPr>
              <w:spacing w:after="0"/>
              <w:rPr>
                <w:sz w:val="4"/>
                <w:szCs w:val="4"/>
                <w:color w:val="auto"/>
              </w:rPr>
            </w:pPr>
          </w:p>
        </w:tc>
        <w:tc>
          <w:tcPr>
            <w:tcW w:w="340" w:type="dxa"/>
            <w:vAlign w:val="bottom"/>
            <w:tcBorders>
              <w:bottom w:val="single" w:sz="8" w:color="auto"/>
            </w:tcBorders>
          </w:tcPr>
          <w:p>
            <w:pPr>
              <w:spacing w:after="0"/>
              <w:rPr>
                <w:sz w:val="4"/>
                <w:szCs w:val="4"/>
                <w:color w:val="auto"/>
              </w:rPr>
            </w:pPr>
          </w:p>
        </w:tc>
        <w:tc>
          <w:tcPr>
            <w:tcW w:w="1120" w:type="dxa"/>
            <w:vAlign w:val="bottom"/>
            <w:tcBorders>
              <w:bottom w:val="single" w:sz="8" w:color="auto"/>
            </w:tcBorders>
          </w:tcPr>
          <w:p>
            <w:pPr>
              <w:spacing w:after="0"/>
              <w:rPr>
                <w:sz w:val="4"/>
                <w:szCs w:val="4"/>
                <w:color w:val="auto"/>
              </w:rPr>
            </w:pPr>
          </w:p>
        </w:tc>
        <w:tc>
          <w:tcPr>
            <w:tcW w:w="100" w:type="dxa"/>
            <w:vAlign w:val="bottom"/>
            <w:tcBorders>
              <w:bottom w:val="single" w:sz="8" w:color="auto"/>
            </w:tcBorders>
          </w:tcPr>
          <w:p>
            <w:pPr>
              <w:spacing w:after="0"/>
              <w:rPr>
                <w:sz w:val="4"/>
                <w:szCs w:val="4"/>
                <w:color w:val="auto"/>
              </w:rPr>
            </w:pPr>
          </w:p>
        </w:tc>
        <w:tc>
          <w:tcPr>
            <w:tcW w:w="140" w:type="dxa"/>
            <w:vAlign w:val="bottom"/>
            <w:tcBorders>
              <w:bottom w:val="single" w:sz="8" w:color="auto"/>
            </w:tcBorders>
          </w:tcPr>
          <w:p>
            <w:pPr>
              <w:spacing w:after="0"/>
              <w:rPr>
                <w:sz w:val="4"/>
                <w:szCs w:val="4"/>
                <w:color w:val="auto"/>
              </w:rPr>
            </w:pPr>
          </w:p>
        </w:tc>
        <w:tc>
          <w:tcPr>
            <w:tcW w:w="1320" w:type="dxa"/>
            <w:vAlign w:val="bottom"/>
            <w:tcBorders>
              <w:bottom w:val="single" w:sz="8" w:color="auto"/>
            </w:tcBorders>
          </w:tcPr>
          <w:p>
            <w:pPr>
              <w:spacing w:after="0"/>
              <w:rPr>
                <w:sz w:val="4"/>
                <w:szCs w:val="4"/>
                <w:color w:val="auto"/>
              </w:rPr>
            </w:pPr>
          </w:p>
        </w:tc>
        <w:tc>
          <w:tcPr>
            <w:tcW w:w="120" w:type="dxa"/>
            <w:vAlign w:val="bottom"/>
          </w:tcPr>
          <w:p>
            <w:pPr>
              <w:spacing w:after="0"/>
              <w:rPr>
                <w:sz w:val="4"/>
                <w:szCs w:val="4"/>
                <w:color w:val="auto"/>
              </w:rPr>
            </w:pPr>
          </w:p>
        </w:tc>
        <w:tc>
          <w:tcPr>
            <w:tcW w:w="240" w:type="dxa"/>
            <w:vAlign w:val="bottom"/>
          </w:tcPr>
          <w:p>
            <w:pPr>
              <w:spacing w:after="0"/>
              <w:rPr>
                <w:sz w:val="4"/>
                <w:szCs w:val="4"/>
                <w:color w:val="auto"/>
              </w:rPr>
            </w:pPr>
          </w:p>
        </w:tc>
        <w:tc>
          <w:tcPr>
            <w:tcW w:w="1220" w:type="dxa"/>
            <w:vAlign w:val="bottom"/>
            <w:vMerge w:val="restart"/>
          </w:tcPr>
          <w:p>
            <w:pPr>
              <w:jc w:val="right"/>
              <w:ind w:right="356"/>
              <w:spacing w:after="0" w:line="135" w:lineRule="exact"/>
              <w:rPr>
                <w:sz w:val="20"/>
                <w:szCs w:val="20"/>
                <w:color w:val="auto"/>
              </w:rPr>
            </w:pPr>
            <w:r>
              <w:rPr>
                <w:rFonts w:ascii="Arial" w:cs="Arial" w:eastAsia="Arial" w:hAnsi="Arial"/>
                <w:sz w:val="14"/>
                <w:szCs w:val="14"/>
                <w:b w:val="1"/>
                <w:bCs w:val="1"/>
                <w:color w:val="auto"/>
              </w:rPr>
              <w:t>Increase</w:t>
            </w:r>
          </w:p>
        </w:tc>
        <w:tc>
          <w:tcPr>
            <w:tcW w:w="1540" w:type="dxa"/>
            <w:vAlign w:val="bottom"/>
            <w:vMerge w:val="restart"/>
          </w:tcPr>
          <w:p>
            <w:pPr>
              <w:jc w:val="center"/>
              <w:ind w:left="18"/>
              <w:spacing w:after="0" w:line="135" w:lineRule="exact"/>
              <w:rPr>
                <w:sz w:val="20"/>
                <w:szCs w:val="20"/>
                <w:color w:val="auto"/>
              </w:rPr>
            </w:pPr>
            <w:r>
              <w:rPr>
                <w:rFonts w:ascii="Arial" w:cs="Arial" w:eastAsia="Arial" w:hAnsi="Arial"/>
                <w:sz w:val="14"/>
                <w:szCs w:val="14"/>
                <w:b w:val="1"/>
                <w:bCs w:val="1"/>
                <w:color w:val="auto"/>
              </w:rPr>
              <w:t>Increase</w:t>
            </w:r>
          </w:p>
        </w:tc>
        <w:tc>
          <w:tcPr>
            <w:tcW w:w="0" w:type="dxa"/>
            <w:vAlign w:val="bottom"/>
          </w:tcPr>
          <w:p>
            <w:pPr>
              <w:spacing w:after="0"/>
              <w:rPr>
                <w:sz w:val="1"/>
                <w:szCs w:val="1"/>
                <w:color w:val="auto"/>
              </w:rPr>
            </w:pPr>
          </w:p>
        </w:tc>
      </w:tr>
      <w:tr>
        <w:trPr>
          <w:trHeight w:val="61"/>
        </w:trPr>
        <w:tc>
          <w:tcPr>
            <w:tcW w:w="5020" w:type="dxa"/>
            <w:vAlign w:val="bottom"/>
          </w:tcPr>
          <w:p>
            <w:pPr>
              <w:spacing w:after="0"/>
              <w:rPr>
                <w:sz w:val="5"/>
                <w:szCs w:val="5"/>
                <w:color w:val="auto"/>
              </w:rPr>
            </w:pPr>
          </w:p>
        </w:tc>
        <w:tc>
          <w:tcPr>
            <w:tcW w:w="340" w:type="dxa"/>
            <w:vAlign w:val="bottom"/>
          </w:tcPr>
          <w:p>
            <w:pPr>
              <w:spacing w:after="0"/>
              <w:rPr>
                <w:sz w:val="5"/>
                <w:szCs w:val="5"/>
                <w:color w:val="auto"/>
              </w:rPr>
            </w:pPr>
          </w:p>
        </w:tc>
        <w:tc>
          <w:tcPr>
            <w:tcW w:w="1120" w:type="dxa"/>
            <w:vAlign w:val="bottom"/>
          </w:tcPr>
          <w:p>
            <w:pPr>
              <w:spacing w:after="0"/>
              <w:rPr>
                <w:sz w:val="5"/>
                <w:szCs w:val="5"/>
                <w:color w:val="auto"/>
              </w:rPr>
            </w:pPr>
          </w:p>
        </w:tc>
        <w:tc>
          <w:tcPr>
            <w:tcW w:w="100" w:type="dxa"/>
            <w:vAlign w:val="bottom"/>
          </w:tcPr>
          <w:p>
            <w:pPr>
              <w:spacing w:after="0"/>
              <w:rPr>
                <w:sz w:val="5"/>
                <w:szCs w:val="5"/>
                <w:color w:val="auto"/>
              </w:rPr>
            </w:pPr>
          </w:p>
        </w:tc>
        <w:tc>
          <w:tcPr>
            <w:tcW w:w="140" w:type="dxa"/>
            <w:vAlign w:val="bottom"/>
          </w:tcPr>
          <w:p>
            <w:pPr>
              <w:spacing w:after="0"/>
              <w:rPr>
                <w:sz w:val="5"/>
                <w:szCs w:val="5"/>
                <w:color w:val="auto"/>
              </w:rPr>
            </w:pPr>
          </w:p>
        </w:tc>
        <w:tc>
          <w:tcPr>
            <w:tcW w:w="1320" w:type="dxa"/>
            <w:vAlign w:val="bottom"/>
          </w:tcPr>
          <w:p>
            <w:pPr>
              <w:spacing w:after="0"/>
              <w:rPr>
                <w:sz w:val="5"/>
                <w:szCs w:val="5"/>
                <w:color w:val="auto"/>
              </w:rPr>
            </w:pPr>
          </w:p>
        </w:tc>
        <w:tc>
          <w:tcPr>
            <w:tcW w:w="120" w:type="dxa"/>
            <w:vAlign w:val="bottom"/>
          </w:tcPr>
          <w:p>
            <w:pPr>
              <w:spacing w:after="0"/>
              <w:rPr>
                <w:sz w:val="5"/>
                <w:szCs w:val="5"/>
                <w:color w:val="auto"/>
              </w:rPr>
            </w:pPr>
          </w:p>
        </w:tc>
        <w:tc>
          <w:tcPr>
            <w:tcW w:w="240" w:type="dxa"/>
            <w:vAlign w:val="bottom"/>
          </w:tcPr>
          <w:p>
            <w:pPr>
              <w:spacing w:after="0"/>
              <w:rPr>
                <w:sz w:val="5"/>
                <w:szCs w:val="5"/>
                <w:color w:val="auto"/>
              </w:rPr>
            </w:pPr>
          </w:p>
        </w:tc>
        <w:tc>
          <w:tcPr>
            <w:tcW w:w="1220" w:type="dxa"/>
            <w:vAlign w:val="bottom"/>
            <w:vMerge w:val="continue"/>
          </w:tcPr>
          <w:p>
            <w:pPr>
              <w:spacing w:after="0"/>
              <w:rPr>
                <w:sz w:val="5"/>
                <w:szCs w:val="5"/>
                <w:color w:val="auto"/>
              </w:rPr>
            </w:pPr>
          </w:p>
        </w:tc>
        <w:tc>
          <w:tcPr>
            <w:tcW w:w="154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96"/>
        </w:trPr>
        <w:tc>
          <w:tcPr>
            <w:tcW w:w="5020" w:type="dxa"/>
            <w:vAlign w:val="bottom"/>
          </w:tcPr>
          <w:p>
            <w:pPr>
              <w:spacing w:after="0"/>
              <w:rPr>
                <w:sz w:val="17"/>
                <w:szCs w:val="17"/>
                <w:color w:val="auto"/>
              </w:rPr>
            </w:pPr>
          </w:p>
        </w:tc>
        <w:tc>
          <w:tcPr>
            <w:tcW w:w="340" w:type="dxa"/>
            <w:vAlign w:val="bottom"/>
            <w:tcBorders>
              <w:bottom w:val="single" w:sz="8" w:color="auto"/>
            </w:tcBorders>
          </w:tcPr>
          <w:p>
            <w:pPr>
              <w:spacing w:after="0"/>
              <w:rPr>
                <w:sz w:val="17"/>
                <w:szCs w:val="17"/>
                <w:color w:val="auto"/>
              </w:rPr>
            </w:pPr>
          </w:p>
        </w:tc>
        <w:tc>
          <w:tcPr>
            <w:tcW w:w="1120" w:type="dxa"/>
            <w:vAlign w:val="bottom"/>
            <w:tcBorders>
              <w:bottom w:val="single" w:sz="8" w:color="auto"/>
            </w:tcBorders>
          </w:tcPr>
          <w:p>
            <w:pPr>
              <w:jc w:val="right"/>
              <w:ind w:right="495"/>
              <w:spacing w:after="0"/>
              <w:rPr>
                <w:sz w:val="20"/>
                <w:szCs w:val="20"/>
                <w:color w:val="auto"/>
              </w:rPr>
            </w:pPr>
            <w:r>
              <w:rPr>
                <w:rFonts w:ascii="Arial" w:cs="Arial" w:eastAsia="Arial" w:hAnsi="Arial"/>
                <w:sz w:val="14"/>
                <w:szCs w:val="14"/>
                <w:b w:val="1"/>
                <w:bCs w:val="1"/>
                <w:color w:val="auto"/>
              </w:rPr>
              <w:t>2019</w:t>
            </w:r>
          </w:p>
        </w:tc>
        <w:tc>
          <w:tcPr>
            <w:tcW w:w="100" w:type="dxa"/>
            <w:vAlign w:val="bottom"/>
            <w:tcBorders>
              <w:bottom w:val="single" w:sz="8" w:color="auto"/>
            </w:tcBorders>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1320" w:type="dxa"/>
            <w:vAlign w:val="bottom"/>
            <w:tcBorders>
              <w:bottom w:val="single" w:sz="8" w:color="auto"/>
            </w:tcBorders>
          </w:tcPr>
          <w:p>
            <w:pPr>
              <w:jc w:val="right"/>
              <w:ind w:right="476"/>
              <w:spacing w:after="0"/>
              <w:rPr>
                <w:sz w:val="20"/>
                <w:szCs w:val="20"/>
                <w:color w:val="auto"/>
              </w:rPr>
            </w:pPr>
            <w:r>
              <w:rPr>
                <w:rFonts w:ascii="Arial" w:cs="Arial" w:eastAsia="Arial" w:hAnsi="Arial"/>
                <w:sz w:val="14"/>
                <w:szCs w:val="14"/>
                <w:b w:val="1"/>
                <w:bCs w:val="1"/>
                <w:color w:val="auto"/>
              </w:rPr>
              <w:t>2018</w:t>
            </w:r>
          </w:p>
        </w:tc>
        <w:tc>
          <w:tcPr>
            <w:tcW w:w="120" w:type="dxa"/>
            <w:vAlign w:val="bottom"/>
            <w:tcBorders>
              <w:bottom w:val="single" w:sz="8" w:color="auto"/>
            </w:tcBorders>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1220" w:type="dxa"/>
            <w:vAlign w:val="bottom"/>
            <w:tcBorders>
              <w:bottom w:val="single" w:sz="8" w:color="auto"/>
            </w:tcBorders>
          </w:tcPr>
          <w:p>
            <w:pPr>
              <w:jc w:val="right"/>
              <w:ind w:right="296"/>
              <w:spacing w:after="0"/>
              <w:rPr>
                <w:sz w:val="20"/>
                <w:szCs w:val="20"/>
                <w:color w:val="auto"/>
              </w:rPr>
            </w:pPr>
            <w:r>
              <w:rPr>
                <w:rFonts w:ascii="Arial" w:cs="Arial" w:eastAsia="Arial" w:hAnsi="Arial"/>
                <w:sz w:val="14"/>
                <w:szCs w:val="14"/>
                <w:b w:val="1"/>
                <w:bCs w:val="1"/>
                <w:color w:val="auto"/>
              </w:rPr>
              <w:t>(Decrease)</w:t>
            </w:r>
          </w:p>
        </w:tc>
        <w:tc>
          <w:tcPr>
            <w:tcW w:w="1540" w:type="dxa"/>
            <w:vAlign w:val="bottom"/>
            <w:tcBorders>
              <w:bottom w:val="single" w:sz="8" w:color="auto"/>
            </w:tcBorders>
          </w:tcPr>
          <w:p>
            <w:pPr>
              <w:jc w:val="center"/>
              <w:ind w:left="18"/>
              <w:spacing w:after="0"/>
              <w:rPr>
                <w:sz w:val="20"/>
                <w:szCs w:val="20"/>
                <w:color w:val="auto"/>
              </w:rPr>
            </w:pPr>
            <w:r>
              <w:rPr>
                <w:rFonts w:ascii="Arial" w:cs="Arial" w:eastAsia="Arial" w:hAnsi="Arial"/>
                <w:sz w:val="14"/>
                <w:szCs w:val="14"/>
                <w:b w:val="1"/>
                <w:bCs w:val="1"/>
                <w:color w:val="auto"/>
              </w:rPr>
              <w:t>(Decrease)</w:t>
            </w:r>
          </w:p>
        </w:tc>
        <w:tc>
          <w:tcPr>
            <w:tcW w:w="0" w:type="dxa"/>
            <w:vAlign w:val="bottom"/>
          </w:tcPr>
          <w:p>
            <w:pPr>
              <w:spacing w:after="0"/>
              <w:rPr>
                <w:sz w:val="1"/>
                <w:szCs w:val="1"/>
                <w:color w:val="auto"/>
              </w:rPr>
            </w:pPr>
          </w:p>
        </w:tc>
      </w:tr>
      <w:tr>
        <w:trPr>
          <w:trHeight w:val="210"/>
        </w:trPr>
        <w:tc>
          <w:tcPr>
            <w:tcW w:w="50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900" w:type="dxa"/>
            <w:vAlign w:val="bottom"/>
            <w:gridSpan w:val="4"/>
          </w:tcPr>
          <w:p>
            <w:pPr>
              <w:jc w:val="right"/>
              <w:ind w:right="36"/>
              <w:spacing w:after="0"/>
              <w:rPr>
                <w:sz w:val="20"/>
                <w:szCs w:val="20"/>
                <w:color w:val="auto"/>
              </w:rPr>
            </w:pPr>
            <w:r>
              <w:rPr>
                <w:rFonts w:ascii="Arial" w:cs="Arial" w:eastAsia="Arial" w:hAnsi="Arial"/>
                <w:sz w:val="14"/>
                <w:szCs w:val="14"/>
                <w:b w:val="1"/>
                <w:bCs w:val="1"/>
                <w:color w:val="auto"/>
              </w:rPr>
              <w:t>(In millions, except percentage changes)</w:t>
            </w:r>
          </w:p>
        </w:tc>
        <w:tc>
          <w:tcPr>
            <w:tcW w:w="15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6"/>
        </w:trPr>
        <w:tc>
          <w:tcPr>
            <w:tcW w:w="5020" w:type="dxa"/>
            <w:vAlign w:val="bottom"/>
            <w:shd w:val="clear" w:color="auto" w:fill="CCEEFF"/>
          </w:tcPr>
          <w:p>
            <w:pPr>
              <w:ind w:left="40"/>
              <w:spacing w:after="0"/>
              <w:rPr>
                <w:sz w:val="20"/>
                <w:szCs w:val="20"/>
                <w:color w:val="auto"/>
              </w:rPr>
            </w:pPr>
            <w:r>
              <w:rPr>
                <w:rFonts w:ascii="Arial" w:cs="Arial" w:eastAsia="Arial" w:hAnsi="Arial"/>
                <w:sz w:val="18"/>
                <w:szCs w:val="18"/>
                <w:color w:val="auto"/>
              </w:rPr>
              <w:t>Passenger</w:t>
            </w:r>
          </w:p>
        </w:tc>
        <w:tc>
          <w:tcPr>
            <w:tcW w:w="34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120" w:type="dxa"/>
            <w:vAlign w:val="bottom"/>
            <w:shd w:val="clear" w:color="auto" w:fill="CCEEFF"/>
          </w:tcPr>
          <w:p>
            <w:pPr>
              <w:jc w:val="right"/>
              <w:ind w:right="35"/>
              <w:spacing w:after="0"/>
              <w:rPr>
                <w:sz w:val="20"/>
                <w:szCs w:val="20"/>
                <w:color w:val="auto"/>
              </w:rPr>
            </w:pPr>
            <w:r>
              <w:rPr>
                <w:rFonts w:ascii="Arial" w:cs="Arial" w:eastAsia="Arial" w:hAnsi="Arial"/>
                <w:sz w:val="18"/>
                <w:szCs w:val="18"/>
                <w:color w:val="auto"/>
              </w:rPr>
              <w:t>42,010</w:t>
            </w:r>
          </w:p>
        </w:tc>
        <w:tc>
          <w:tcPr>
            <w:tcW w:w="100" w:type="dxa"/>
            <w:vAlign w:val="bottom"/>
            <w:shd w:val="clear" w:color="auto" w:fill="CCEEFF"/>
          </w:tcPr>
          <w:p>
            <w:pPr>
              <w:spacing w:after="0"/>
              <w:rPr>
                <w:sz w:val="24"/>
                <w:szCs w:val="24"/>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320" w:type="dxa"/>
            <w:vAlign w:val="bottom"/>
            <w:shd w:val="clear" w:color="auto" w:fill="CCEEFF"/>
          </w:tcPr>
          <w:p>
            <w:pPr>
              <w:jc w:val="right"/>
              <w:ind w:right="16"/>
              <w:spacing w:after="0"/>
              <w:rPr>
                <w:sz w:val="20"/>
                <w:szCs w:val="20"/>
                <w:color w:val="auto"/>
              </w:rPr>
            </w:pPr>
            <w:r>
              <w:rPr>
                <w:rFonts w:ascii="Arial" w:cs="Arial" w:eastAsia="Arial" w:hAnsi="Arial"/>
                <w:sz w:val="18"/>
                <w:szCs w:val="18"/>
                <w:color w:val="auto"/>
              </w:rPr>
              <w:t>40,676</w:t>
            </w:r>
          </w:p>
        </w:tc>
        <w:tc>
          <w:tcPr>
            <w:tcW w:w="120" w:type="dxa"/>
            <w:vAlign w:val="bottom"/>
            <w:shd w:val="clear" w:color="auto" w:fill="CCEEFF"/>
          </w:tcPr>
          <w:p>
            <w:pPr>
              <w:spacing w:after="0"/>
              <w:rPr>
                <w:sz w:val="24"/>
                <w:szCs w:val="24"/>
                <w:color w:val="auto"/>
              </w:rPr>
            </w:pPr>
          </w:p>
        </w:tc>
        <w:tc>
          <w:tcPr>
            <w:tcW w:w="24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220" w:type="dxa"/>
            <w:vAlign w:val="bottom"/>
            <w:shd w:val="clear" w:color="auto" w:fill="CCEEFF"/>
          </w:tcPr>
          <w:p>
            <w:pPr>
              <w:jc w:val="right"/>
              <w:ind w:right="36"/>
              <w:spacing w:after="0"/>
              <w:rPr>
                <w:sz w:val="20"/>
                <w:szCs w:val="20"/>
                <w:color w:val="auto"/>
              </w:rPr>
            </w:pPr>
            <w:r>
              <w:rPr>
                <w:rFonts w:ascii="Arial" w:cs="Arial" w:eastAsia="Arial" w:hAnsi="Arial"/>
                <w:sz w:val="18"/>
                <w:szCs w:val="18"/>
                <w:color w:val="auto"/>
              </w:rPr>
              <w:t>1,334</w:t>
            </w:r>
          </w:p>
        </w:tc>
        <w:tc>
          <w:tcPr>
            <w:tcW w:w="1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3.3</w:t>
            </w:r>
          </w:p>
        </w:tc>
        <w:tc>
          <w:tcPr>
            <w:tcW w:w="0" w:type="dxa"/>
            <w:vAlign w:val="bottom"/>
          </w:tcPr>
          <w:p>
            <w:pPr>
              <w:spacing w:after="0"/>
              <w:rPr>
                <w:sz w:val="1"/>
                <w:szCs w:val="1"/>
                <w:color w:val="auto"/>
              </w:rPr>
            </w:pPr>
          </w:p>
        </w:tc>
      </w:tr>
      <w:tr>
        <w:trPr>
          <w:trHeight w:val="263"/>
        </w:trPr>
        <w:tc>
          <w:tcPr>
            <w:tcW w:w="5020" w:type="dxa"/>
            <w:vAlign w:val="bottom"/>
          </w:tcPr>
          <w:p>
            <w:pPr>
              <w:ind w:left="40"/>
              <w:spacing w:after="0"/>
              <w:rPr>
                <w:sz w:val="20"/>
                <w:szCs w:val="20"/>
                <w:color w:val="auto"/>
              </w:rPr>
            </w:pPr>
            <w:r>
              <w:rPr>
                <w:rFonts w:ascii="Arial" w:cs="Arial" w:eastAsia="Arial" w:hAnsi="Arial"/>
                <w:sz w:val="18"/>
                <w:szCs w:val="18"/>
                <w:color w:val="auto"/>
              </w:rPr>
              <w:t>Cargo</w:t>
            </w:r>
          </w:p>
        </w:tc>
        <w:tc>
          <w:tcPr>
            <w:tcW w:w="340" w:type="dxa"/>
            <w:vAlign w:val="bottom"/>
          </w:tcPr>
          <w:p>
            <w:pPr>
              <w:spacing w:after="0"/>
              <w:rPr>
                <w:sz w:val="22"/>
                <w:szCs w:val="22"/>
                <w:color w:val="auto"/>
              </w:rPr>
            </w:pPr>
          </w:p>
        </w:tc>
        <w:tc>
          <w:tcPr>
            <w:tcW w:w="1120" w:type="dxa"/>
            <w:vAlign w:val="bottom"/>
          </w:tcPr>
          <w:p>
            <w:pPr>
              <w:jc w:val="right"/>
              <w:ind w:right="35"/>
              <w:spacing w:after="0"/>
              <w:rPr>
                <w:sz w:val="20"/>
                <w:szCs w:val="20"/>
                <w:color w:val="auto"/>
              </w:rPr>
            </w:pPr>
            <w:r>
              <w:rPr>
                <w:rFonts w:ascii="Arial" w:cs="Arial" w:eastAsia="Arial" w:hAnsi="Arial"/>
                <w:sz w:val="18"/>
                <w:szCs w:val="18"/>
                <w:color w:val="auto"/>
              </w:rPr>
              <w:t>863</w:t>
            </w:r>
          </w:p>
        </w:tc>
        <w:tc>
          <w:tcPr>
            <w:tcW w:w="10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320" w:type="dxa"/>
            <w:vAlign w:val="bottom"/>
          </w:tcPr>
          <w:p>
            <w:pPr>
              <w:jc w:val="right"/>
              <w:ind w:right="16"/>
              <w:spacing w:after="0"/>
              <w:rPr>
                <w:sz w:val="20"/>
                <w:szCs w:val="20"/>
                <w:color w:val="auto"/>
              </w:rPr>
            </w:pPr>
            <w:r>
              <w:rPr>
                <w:rFonts w:ascii="Arial" w:cs="Arial" w:eastAsia="Arial" w:hAnsi="Arial"/>
                <w:sz w:val="18"/>
                <w:szCs w:val="18"/>
                <w:color w:val="auto"/>
              </w:rPr>
              <w:t>1,013</w:t>
            </w:r>
          </w:p>
        </w:tc>
        <w:tc>
          <w:tcPr>
            <w:tcW w:w="12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(150)</w:t>
            </w:r>
          </w:p>
        </w:tc>
        <w:tc>
          <w:tcPr>
            <w:tcW w:w="1540" w:type="dxa"/>
            <w:vAlign w:val="bottom"/>
          </w:tcPr>
          <w:p>
            <w:pPr>
              <w:jc w:val="right"/>
              <w:spacing w:after="0"/>
              <w:rPr>
                <w:sz w:val="20"/>
                <w:szCs w:val="20"/>
                <w:color w:val="auto"/>
              </w:rPr>
            </w:pPr>
            <w:r>
              <w:rPr>
                <w:rFonts w:ascii="Arial" w:cs="Arial" w:eastAsia="Arial" w:hAnsi="Arial"/>
                <w:sz w:val="18"/>
                <w:szCs w:val="18"/>
                <w:color w:val="auto"/>
              </w:rPr>
              <w:t>(14.8)</w:t>
            </w:r>
          </w:p>
        </w:tc>
        <w:tc>
          <w:tcPr>
            <w:tcW w:w="0" w:type="dxa"/>
            <w:vAlign w:val="bottom"/>
          </w:tcPr>
          <w:p>
            <w:pPr>
              <w:spacing w:after="0"/>
              <w:rPr>
                <w:sz w:val="1"/>
                <w:szCs w:val="1"/>
                <w:color w:val="auto"/>
              </w:rPr>
            </w:pPr>
          </w:p>
        </w:tc>
      </w:tr>
      <w:tr>
        <w:trPr>
          <w:trHeight w:val="277"/>
        </w:trPr>
        <w:tc>
          <w:tcPr>
            <w:tcW w:w="5020" w:type="dxa"/>
            <w:vAlign w:val="bottom"/>
            <w:shd w:val="clear" w:color="auto" w:fill="CCEEFF"/>
          </w:tcPr>
          <w:p>
            <w:pPr>
              <w:ind w:left="40"/>
              <w:spacing w:after="0"/>
              <w:rPr>
                <w:sz w:val="20"/>
                <w:szCs w:val="20"/>
                <w:color w:val="auto"/>
              </w:rPr>
            </w:pPr>
            <w:r>
              <w:rPr>
                <w:rFonts w:ascii="Arial" w:cs="Arial" w:eastAsia="Arial" w:hAnsi="Arial"/>
                <w:sz w:val="18"/>
                <w:szCs w:val="18"/>
                <w:color w:val="auto"/>
              </w:rPr>
              <w:t>Other</w:t>
            </w:r>
          </w:p>
        </w:tc>
        <w:tc>
          <w:tcPr>
            <w:tcW w:w="340" w:type="dxa"/>
            <w:vAlign w:val="bottom"/>
            <w:tcBorders>
              <w:bottom w:val="single" w:sz="8" w:color="auto"/>
            </w:tcBorders>
            <w:shd w:val="clear" w:color="auto" w:fill="CCEEFF"/>
          </w:tcPr>
          <w:p>
            <w:pPr>
              <w:spacing w:after="0"/>
              <w:rPr>
                <w:sz w:val="24"/>
                <w:szCs w:val="24"/>
                <w:color w:val="auto"/>
              </w:rPr>
            </w:pPr>
          </w:p>
        </w:tc>
        <w:tc>
          <w:tcPr>
            <w:tcW w:w="1120" w:type="dxa"/>
            <w:vAlign w:val="bottom"/>
            <w:tcBorders>
              <w:bottom w:val="single" w:sz="8" w:color="auto"/>
            </w:tcBorders>
            <w:shd w:val="clear" w:color="auto" w:fill="CCEEFF"/>
          </w:tcPr>
          <w:p>
            <w:pPr>
              <w:jc w:val="right"/>
              <w:ind w:right="35"/>
              <w:spacing w:after="0"/>
              <w:rPr>
                <w:sz w:val="20"/>
                <w:szCs w:val="20"/>
                <w:color w:val="auto"/>
              </w:rPr>
            </w:pPr>
            <w:r>
              <w:rPr>
                <w:rFonts w:ascii="Arial" w:cs="Arial" w:eastAsia="Arial" w:hAnsi="Arial"/>
                <w:sz w:val="18"/>
                <w:szCs w:val="18"/>
                <w:color w:val="auto"/>
              </w:rPr>
              <w:t>2,888</w:t>
            </w:r>
          </w:p>
        </w:tc>
        <w:tc>
          <w:tcPr>
            <w:tcW w:w="100" w:type="dxa"/>
            <w:vAlign w:val="bottom"/>
            <w:shd w:val="clear" w:color="auto" w:fill="CCEEFF"/>
          </w:tcPr>
          <w:p>
            <w:pPr>
              <w:spacing w:after="0"/>
              <w:rPr>
                <w:sz w:val="24"/>
                <w:szCs w:val="24"/>
                <w:color w:val="auto"/>
              </w:rPr>
            </w:pPr>
          </w:p>
        </w:tc>
        <w:tc>
          <w:tcPr>
            <w:tcW w:w="140" w:type="dxa"/>
            <w:vAlign w:val="bottom"/>
            <w:tcBorders>
              <w:bottom w:val="single" w:sz="8" w:color="auto"/>
            </w:tcBorders>
            <w:shd w:val="clear" w:color="auto" w:fill="CCEEFF"/>
          </w:tcPr>
          <w:p>
            <w:pPr>
              <w:spacing w:after="0"/>
              <w:rPr>
                <w:sz w:val="24"/>
                <w:szCs w:val="24"/>
                <w:color w:val="auto"/>
              </w:rPr>
            </w:pPr>
          </w:p>
        </w:tc>
        <w:tc>
          <w:tcPr>
            <w:tcW w:w="1320" w:type="dxa"/>
            <w:vAlign w:val="bottom"/>
            <w:tcBorders>
              <w:bottom w:val="single" w:sz="8" w:color="auto"/>
            </w:tcBorders>
            <w:shd w:val="clear" w:color="auto" w:fill="CCEEFF"/>
          </w:tcPr>
          <w:p>
            <w:pPr>
              <w:jc w:val="right"/>
              <w:ind w:right="16"/>
              <w:spacing w:after="0"/>
              <w:rPr>
                <w:sz w:val="20"/>
                <w:szCs w:val="20"/>
                <w:color w:val="auto"/>
              </w:rPr>
            </w:pPr>
            <w:r>
              <w:rPr>
                <w:rFonts w:ascii="Arial" w:cs="Arial" w:eastAsia="Arial" w:hAnsi="Arial"/>
                <w:sz w:val="18"/>
                <w:szCs w:val="18"/>
                <w:color w:val="auto"/>
              </w:rPr>
              <w:t>2,841</w:t>
            </w:r>
          </w:p>
        </w:tc>
        <w:tc>
          <w:tcPr>
            <w:tcW w:w="120" w:type="dxa"/>
            <w:vAlign w:val="bottom"/>
            <w:shd w:val="clear" w:color="auto" w:fill="CCEEFF"/>
          </w:tcPr>
          <w:p>
            <w:pPr>
              <w:spacing w:after="0"/>
              <w:rPr>
                <w:sz w:val="24"/>
                <w:szCs w:val="24"/>
                <w:color w:val="auto"/>
              </w:rPr>
            </w:pPr>
          </w:p>
        </w:tc>
        <w:tc>
          <w:tcPr>
            <w:tcW w:w="240" w:type="dxa"/>
            <w:vAlign w:val="bottom"/>
            <w:tcBorders>
              <w:bottom w:val="single" w:sz="8" w:color="auto"/>
            </w:tcBorders>
            <w:shd w:val="clear" w:color="auto" w:fill="CCEEFF"/>
          </w:tcPr>
          <w:p>
            <w:pPr>
              <w:spacing w:after="0"/>
              <w:rPr>
                <w:sz w:val="24"/>
                <w:szCs w:val="24"/>
                <w:color w:val="auto"/>
              </w:rPr>
            </w:pPr>
          </w:p>
        </w:tc>
        <w:tc>
          <w:tcPr>
            <w:tcW w:w="1220" w:type="dxa"/>
            <w:vAlign w:val="bottom"/>
            <w:tcBorders>
              <w:bottom w:val="single" w:sz="8" w:color="auto"/>
            </w:tcBorders>
            <w:shd w:val="clear" w:color="auto" w:fill="CCEEFF"/>
          </w:tcPr>
          <w:p>
            <w:pPr>
              <w:jc w:val="right"/>
              <w:ind w:right="36"/>
              <w:spacing w:after="0"/>
              <w:rPr>
                <w:sz w:val="20"/>
                <w:szCs w:val="20"/>
                <w:color w:val="auto"/>
              </w:rPr>
            </w:pPr>
            <w:r>
              <w:rPr>
                <w:rFonts w:ascii="Arial" w:cs="Arial" w:eastAsia="Arial" w:hAnsi="Arial"/>
                <w:sz w:val="18"/>
                <w:szCs w:val="18"/>
                <w:color w:val="auto"/>
              </w:rPr>
              <w:t>47</w:t>
            </w:r>
          </w:p>
        </w:tc>
        <w:tc>
          <w:tcPr>
            <w:tcW w:w="1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w:t>
            </w:r>
          </w:p>
        </w:tc>
        <w:tc>
          <w:tcPr>
            <w:tcW w:w="0" w:type="dxa"/>
            <w:vAlign w:val="bottom"/>
          </w:tcPr>
          <w:p>
            <w:pPr>
              <w:spacing w:after="0"/>
              <w:rPr>
                <w:sz w:val="1"/>
                <w:szCs w:val="1"/>
                <w:color w:val="auto"/>
              </w:rPr>
            </w:pPr>
          </w:p>
        </w:tc>
      </w:tr>
      <w:tr>
        <w:trPr>
          <w:trHeight w:val="250"/>
        </w:trPr>
        <w:tc>
          <w:tcPr>
            <w:tcW w:w="5020" w:type="dxa"/>
            <w:vAlign w:val="bottom"/>
          </w:tcPr>
          <w:p>
            <w:pPr>
              <w:ind w:left="280"/>
              <w:spacing w:after="0"/>
              <w:rPr>
                <w:sz w:val="20"/>
                <w:szCs w:val="20"/>
                <w:color w:val="auto"/>
              </w:rPr>
            </w:pPr>
            <w:r>
              <w:rPr>
                <w:rFonts w:ascii="Arial" w:cs="Arial" w:eastAsia="Arial" w:hAnsi="Arial"/>
                <w:sz w:val="18"/>
                <w:szCs w:val="18"/>
                <w:color w:val="auto"/>
              </w:rPr>
              <w:t>Total operating revenues</w:t>
            </w:r>
          </w:p>
        </w:tc>
        <w:tc>
          <w:tcPr>
            <w:tcW w:w="340" w:type="dxa"/>
            <w:vAlign w:val="bottom"/>
            <w:tcBorders>
              <w:bottom w:val="single" w:sz="8" w:color="auto"/>
            </w:tcBorders>
          </w:tcPr>
          <w:p>
            <w:pPr>
              <w:jc w:val="right"/>
              <w:ind w:right="13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auto"/>
            </w:tcBorders>
          </w:tcPr>
          <w:p>
            <w:pPr>
              <w:jc w:val="right"/>
              <w:ind w:right="35"/>
              <w:spacing w:after="0"/>
              <w:rPr>
                <w:sz w:val="20"/>
                <w:szCs w:val="20"/>
                <w:color w:val="auto"/>
              </w:rPr>
            </w:pPr>
            <w:r>
              <w:rPr>
                <w:rFonts w:ascii="Arial" w:cs="Arial" w:eastAsia="Arial" w:hAnsi="Arial"/>
                <w:sz w:val="18"/>
                <w:szCs w:val="18"/>
                <w:color w:val="auto"/>
              </w:rPr>
              <w:t>45,761</w:t>
            </w:r>
          </w:p>
        </w:tc>
        <w:tc>
          <w:tcPr>
            <w:tcW w:w="100" w:type="dxa"/>
            <w:vAlign w:val="bottom"/>
          </w:tcPr>
          <w:p>
            <w:pPr>
              <w:spacing w:after="0"/>
              <w:rPr>
                <w:sz w:val="21"/>
                <w:szCs w:val="21"/>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320" w:type="dxa"/>
            <w:vAlign w:val="bottom"/>
            <w:tcBorders>
              <w:bottom w:val="single" w:sz="8" w:color="auto"/>
            </w:tcBorders>
          </w:tcPr>
          <w:p>
            <w:pPr>
              <w:jc w:val="right"/>
              <w:ind w:right="16"/>
              <w:spacing w:after="0"/>
              <w:rPr>
                <w:sz w:val="20"/>
                <w:szCs w:val="20"/>
                <w:color w:val="auto"/>
              </w:rPr>
            </w:pPr>
            <w:r>
              <w:rPr>
                <w:rFonts w:ascii="Arial" w:cs="Arial" w:eastAsia="Arial" w:hAnsi="Arial"/>
                <w:sz w:val="18"/>
                <w:szCs w:val="18"/>
                <w:color w:val="auto"/>
              </w:rPr>
              <w:t>44,530</w:t>
            </w:r>
          </w:p>
        </w:tc>
        <w:tc>
          <w:tcPr>
            <w:tcW w:w="120" w:type="dxa"/>
            <w:vAlign w:val="bottom"/>
          </w:tcPr>
          <w:p>
            <w:pPr>
              <w:spacing w:after="0"/>
              <w:rPr>
                <w:sz w:val="21"/>
                <w:szCs w:val="21"/>
                <w:color w:val="auto"/>
              </w:rPr>
            </w:pPr>
          </w:p>
        </w:tc>
        <w:tc>
          <w:tcPr>
            <w:tcW w:w="24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w w:val="99"/>
              </w:rPr>
              <w:t>$</w:t>
            </w:r>
          </w:p>
        </w:tc>
        <w:tc>
          <w:tcPr>
            <w:tcW w:w="1220" w:type="dxa"/>
            <w:vAlign w:val="bottom"/>
            <w:tcBorders>
              <w:bottom w:val="single" w:sz="8" w:color="auto"/>
            </w:tcBorders>
          </w:tcPr>
          <w:p>
            <w:pPr>
              <w:jc w:val="right"/>
              <w:ind w:right="36"/>
              <w:spacing w:after="0"/>
              <w:rPr>
                <w:sz w:val="20"/>
                <w:szCs w:val="20"/>
                <w:color w:val="auto"/>
              </w:rPr>
            </w:pPr>
            <w:r>
              <w:rPr>
                <w:rFonts w:ascii="Arial" w:cs="Arial" w:eastAsia="Arial" w:hAnsi="Arial"/>
                <w:sz w:val="18"/>
                <w:szCs w:val="18"/>
                <w:color w:val="auto"/>
              </w:rPr>
              <w:t>1,231</w:t>
            </w:r>
          </w:p>
        </w:tc>
        <w:tc>
          <w:tcPr>
            <w:tcW w:w="1540" w:type="dxa"/>
            <w:vAlign w:val="bottom"/>
          </w:tcPr>
          <w:p>
            <w:pPr>
              <w:jc w:val="right"/>
              <w:spacing w:after="0"/>
              <w:rPr>
                <w:sz w:val="20"/>
                <w:szCs w:val="20"/>
                <w:color w:val="auto"/>
              </w:rPr>
            </w:pPr>
            <w:r>
              <w:rPr>
                <w:rFonts w:ascii="Arial" w:cs="Arial" w:eastAsia="Arial" w:hAnsi="Arial"/>
                <w:sz w:val="18"/>
                <w:szCs w:val="18"/>
                <w:color w:val="auto"/>
              </w:rPr>
              <w:t>2.8</w:t>
            </w:r>
          </w:p>
        </w:tc>
        <w:tc>
          <w:tcPr>
            <w:tcW w:w="0" w:type="dxa"/>
            <w:vAlign w:val="bottom"/>
          </w:tcPr>
          <w:p>
            <w:pPr>
              <w:spacing w:after="0"/>
              <w:rPr>
                <w:sz w:val="1"/>
                <w:szCs w:val="1"/>
                <w:color w:val="auto"/>
              </w:rPr>
            </w:pPr>
          </w:p>
        </w:tc>
      </w:tr>
      <w:tr>
        <w:trPr>
          <w:trHeight w:val="20"/>
        </w:trPr>
        <w:tc>
          <w:tcPr>
            <w:tcW w:w="502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5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75"/>
        </w:trPr>
        <w:tc>
          <w:tcPr>
            <w:tcW w:w="50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120" w:type="dxa"/>
            <w:vAlign w:val="bottom"/>
          </w:tcPr>
          <w:p>
            <w:pPr>
              <w:jc w:val="right"/>
              <w:ind w:right="575"/>
              <w:spacing w:after="0"/>
              <w:rPr>
                <w:sz w:val="20"/>
                <w:szCs w:val="20"/>
                <w:color w:val="auto"/>
              </w:rPr>
            </w:pPr>
            <w:r>
              <w:rPr>
                <w:rFonts w:ascii="Arial" w:cs="Arial" w:eastAsia="Arial" w:hAnsi="Arial"/>
                <w:sz w:val="18"/>
                <w:szCs w:val="18"/>
                <w:color w:val="auto"/>
              </w:rPr>
              <w:t>56</w:t>
            </w: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154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796" w:right="239" w:bottom="1440" w:gutter="0" w:footer="0" w:header="0"/>
        </w:sectPr>
      </w:pPr>
    </w:p>
    <w:bookmarkStart w:id="56" w:name="page57"/>
    <w:bookmarkEnd w:id="56"/>
    <w:p>
      <w:pPr>
        <w:jc w:val="both"/>
        <w:ind w:firstLine="216"/>
        <w:spacing w:after="0" w:line="254" w:lineRule="auto"/>
        <w:rPr>
          <w:sz w:val="20"/>
          <w:szCs w:val="20"/>
          <w:color w:val="auto"/>
        </w:rPr>
      </w:pPr>
      <w:r>
        <w:rPr>
          <w:rFonts w:ascii="Arial" w:cs="Arial" w:eastAsia="Arial" w:hAnsi="Arial"/>
          <w:sz w:val="18"/>
          <w:szCs w:val="18"/>
          <w:color w:val="auto"/>
        </w:rPr>
        <w:t>Passenger revenue increased $1.3 billion, or 3.3%, in 2019 from 2018 due to continued strength in passenger demand resulting in an increase in RPMs and a year-over-year increase in passenger load factor. Domestic PRASM increased in 2019 as compared to 2018. Latin America PRASM was the best performing international region in 2019, followed by Pacific PRASM, while Atlantic PRASM declined principally due to lower transfer payments related to American’s joint business arrangement and foreign currency effects.</w:t>
      </w:r>
    </w:p>
    <w:p>
      <w:pPr>
        <w:spacing w:after="0" w:line="150" w:lineRule="exact"/>
        <w:rPr>
          <w:sz w:val="20"/>
          <w:szCs w:val="20"/>
          <w:color w:val="auto"/>
        </w:rPr>
      </w:pPr>
    </w:p>
    <w:p>
      <w:pPr>
        <w:jc w:val="both"/>
        <w:ind w:firstLine="216"/>
        <w:spacing w:after="0" w:line="262" w:lineRule="auto"/>
        <w:rPr>
          <w:sz w:val="20"/>
          <w:szCs w:val="20"/>
          <w:color w:val="auto"/>
        </w:rPr>
      </w:pPr>
      <w:r>
        <w:rPr>
          <w:rFonts w:ascii="Arial" w:cs="Arial" w:eastAsia="Arial" w:hAnsi="Arial"/>
          <w:sz w:val="18"/>
          <w:szCs w:val="18"/>
          <w:color w:val="auto"/>
        </w:rPr>
        <w:t>Cargo revenue decreased $150 million, or 14.8%, in 2019 from 2018 primarily due to a decrease in cargo ton miles reflecting declines in international freight volumes, principally as a result of international schedule reductions.</w:t>
      </w:r>
    </w:p>
    <w:p>
      <w:pPr>
        <w:spacing w:after="0" w:line="142" w:lineRule="exact"/>
        <w:rPr>
          <w:sz w:val="20"/>
          <w:szCs w:val="20"/>
          <w:color w:val="auto"/>
        </w:rPr>
      </w:pPr>
    </w:p>
    <w:p>
      <w:pPr>
        <w:jc w:val="both"/>
        <w:ind w:firstLine="216"/>
        <w:spacing w:after="0" w:line="262" w:lineRule="auto"/>
        <w:rPr>
          <w:sz w:val="20"/>
          <w:szCs w:val="20"/>
          <w:color w:val="auto"/>
        </w:rPr>
      </w:pPr>
      <w:r>
        <w:rPr>
          <w:rFonts w:ascii="Arial" w:cs="Arial" w:eastAsia="Arial" w:hAnsi="Arial"/>
          <w:sz w:val="18"/>
          <w:szCs w:val="18"/>
          <w:color w:val="auto"/>
        </w:rPr>
        <w:t>Other operating revenue increased $47 million, or 1.7% in 2019 from 2018 primarily due to higher revenue associated with American’s airport clubs and loyalty program.</w:t>
      </w:r>
    </w:p>
    <w:p>
      <w:pPr>
        <w:spacing w:after="0" w:line="142" w:lineRule="exact"/>
        <w:rPr>
          <w:sz w:val="20"/>
          <w:szCs w:val="20"/>
          <w:color w:val="auto"/>
        </w:rPr>
      </w:pPr>
    </w:p>
    <w:p>
      <w:pPr>
        <w:jc w:val="both"/>
        <w:ind w:firstLine="216"/>
        <w:spacing w:after="0" w:line="262" w:lineRule="auto"/>
        <w:rPr>
          <w:sz w:val="20"/>
          <w:szCs w:val="20"/>
          <w:color w:val="auto"/>
        </w:rPr>
      </w:pPr>
      <w:r>
        <w:rPr>
          <w:rFonts w:ascii="Arial" w:cs="Arial" w:eastAsia="Arial" w:hAnsi="Arial"/>
          <w:sz w:val="18"/>
          <w:szCs w:val="18"/>
          <w:color w:val="auto"/>
        </w:rPr>
        <w:t>Total operating revenues in 2019 increased $1.2 billion, or 2.8%, from 2018 driven principally by a 3.3% increase in passenger revenue as described above.</w:t>
      </w:r>
    </w:p>
    <w:p>
      <w:pPr>
        <w:spacing w:after="0" w:line="205" w:lineRule="exact"/>
        <w:rPr>
          <w:sz w:val="20"/>
          <w:szCs w:val="20"/>
          <w:color w:val="auto"/>
        </w:rPr>
      </w:pPr>
    </w:p>
    <w:p>
      <w:pPr>
        <w:ind w:left="220"/>
        <w:spacing w:after="0"/>
        <w:rPr>
          <w:sz w:val="20"/>
          <w:szCs w:val="20"/>
          <w:color w:val="auto"/>
        </w:rPr>
      </w:pPr>
      <w:r>
        <w:rPr>
          <w:rFonts w:ascii="Arial" w:cs="Arial" w:eastAsia="Arial" w:hAnsi="Arial"/>
          <w:sz w:val="18"/>
          <w:szCs w:val="18"/>
          <w:i w:val="1"/>
          <w:iCs w:val="1"/>
          <w:u w:val="single" w:color="auto"/>
          <w:color w:val="auto"/>
        </w:rPr>
        <w:t>Operating Expenses</w:t>
      </w:r>
    </w:p>
    <w:p>
      <w:pPr>
        <w:spacing w:after="0" w:line="200" w:lineRule="exact"/>
        <w:rPr>
          <w:sz w:val="20"/>
          <w:szCs w:val="20"/>
          <w:color w:val="auto"/>
        </w:rPr>
      </w:pPr>
    </w:p>
    <w:p>
      <w:pPr>
        <w:spacing w:after="0" w:line="301"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516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740" w:type="dxa"/>
            <w:vAlign w:val="bottom"/>
            <w:gridSpan w:val="3"/>
          </w:tcPr>
          <w:p>
            <w:pPr>
              <w:jc w:val="right"/>
              <w:ind w:right="76"/>
              <w:spacing w:after="0"/>
              <w:rPr>
                <w:sz w:val="20"/>
                <w:szCs w:val="20"/>
                <w:color w:val="auto"/>
              </w:rPr>
            </w:pPr>
            <w:r>
              <w:rPr>
                <w:rFonts w:ascii="Arial" w:cs="Arial" w:eastAsia="Arial" w:hAnsi="Arial"/>
                <w:sz w:val="14"/>
                <w:szCs w:val="14"/>
                <w:b w:val="1"/>
                <w:bCs w:val="1"/>
                <w:color w:val="auto"/>
              </w:rPr>
              <w:t>Year Ended</w:t>
            </w:r>
          </w:p>
        </w:tc>
        <w:tc>
          <w:tcPr>
            <w:tcW w:w="9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240" w:type="dxa"/>
            <w:vAlign w:val="bottom"/>
          </w:tcPr>
          <w:p>
            <w:pPr>
              <w:spacing w:after="0"/>
              <w:rPr>
                <w:sz w:val="14"/>
                <w:szCs w:val="14"/>
                <w:color w:val="auto"/>
              </w:rPr>
            </w:pPr>
          </w:p>
        </w:tc>
        <w:tc>
          <w:tcPr>
            <w:tcW w:w="1580" w:type="dxa"/>
            <w:vAlign w:val="bottom"/>
            <w:vMerge w:val="restart"/>
          </w:tcPr>
          <w:p>
            <w:pPr>
              <w:jc w:val="center"/>
              <w:ind w:left="14"/>
              <w:spacing w:after="0"/>
              <w:rPr>
                <w:sz w:val="20"/>
                <w:szCs w:val="20"/>
                <w:color w:val="auto"/>
              </w:rPr>
            </w:pPr>
            <w:r>
              <w:rPr>
                <w:rFonts w:ascii="Arial" w:cs="Arial" w:eastAsia="Arial" w:hAnsi="Arial"/>
                <w:sz w:val="14"/>
                <w:szCs w:val="14"/>
                <w:b w:val="1"/>
                <w:bCs w:val="1"/>
                <w:color w:val="auto"/>
              </w:rPr>
              <w:t>Percent</w:t>
            </w:r>
          </w:p>
        </w:tc>
        <w:tc>
          <w:tcPr>
            <w:tcW w:w="0" w:type="dxa"/>
            <w:vAlign w:val="bottom"/>
          </w:tcPr>
          <w:p>
            <w:pPr>
              <w:spacing w:after="0"/>
              <w:rPr>
                <w:sz w:val="1"/>
                <w:szCs w:val="1"/>
                <w:color w:val="auto"/>
              </w:rPr>
            </w:pPr>
          </w:p>
        </w:tc>
      </w:tr>
      <w:tr>
        <w:trPr>
          <w:trHeight w:val="148"/>
        </w:trPr>
        <w:tc>
          <w:tcPr>
            <w:tcW w:w="516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1740" w:type="dxa"/>
            <w:vAlign w:val="bottom"/>
            <w:gridSpan w:val="3"/>
          </w:tcPr>
          <w:p>
            <w:pPr>
              <w:jc w:val="right"/>
              <w:spacing w:after="0" w:line="149" w:lineRule="exact"/>
              <w:rPr>
                <w:sz w:val="20"/>
                <w:szCs w:val="20"/>
                <w:color w:val="auto"/>
              </w:rPr>
            </w:pPr>
            <w:r>
              <w:rPr>
                <w:rFonts w:ascii="Arial" w:cs="Arial" w:eastAsia="Arial" w:hAnsi="Arial"/>
                <w:sz w:val="14"/>
                <w:szCs w:val="14"/>
                <w:b w:val="1"/>
                <w:bCs w:val="1"/>
                <w:color w:val="auto"/>
              </w:rPr>
              <w:t>December 31,</w:t>
            </w:r>
          </w:p>
        </w:tc>
        <w:tc>
          <w:tcPr>
            <w:tcW w:w="9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240" w:type="dxa"/>
            <w:vAlign w:val="bottom"/>
          </w:tcPr>
          <w:p>
            <w:pPr>
              <w:spacing w:after="0"/>
              <w:rPr>
                <w:sz w:val="12"/>
                <w:szCs w:val="12"/>
                <w:color w:val="auto"/>
              </w:rPr>
            </w:pPr>
          </w:p>
        </w:tc>
        <w:tc>
          <w:tcPr>
            <w:tcW w:w="158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54"/>
        </w:trPr>
        <w:tc>
          <w:tcPr>
            <w:tcW w:w="5160" w:type="dxa"/>
            <w:vAlign w:val="bottom"/>
          </w:tcPr>
          <w:p>
            <w:pPr>
              <w:spacing w:after="0"/>
              <w:rPr>
                <w:sz w:val="4"/>
                <w:szCs w:val="4"/>
                <w:color w:val="auto"/>
              </w:rPr>
            </w:pPr>
          </w:p>
        </w:tc>
        <w:tc>
          <w:tcPr>
            <w:tcW w:w="360" w:type="dxa"/>
            <w:vAlign w:val="bottom"/>
            <w:tcBorders>
              <w:bottom w:val="single" w:sz="8" w:color="auto"/>
            </w:tcBorders>
          </w:tcPr>
          <w:p>
            <w:pPr>
              <w:spacing w:after="0"/>
              <w:rPr>
                <w:sz w:val="4"/>
                <w:szCs w:val="4"/>
                <w:color w:val="auto"/>
              </w:rPr>
            </w:pPr>
          </w:p>
        </w:tc>
        <w:tc>
          <w:tcPr>
            <w:tcW w:w="1140" w:type="dxa"/>
            <w:vAlign w:val="bottom"/>
            <w:tcBorders>
              <w:bottom w:val="single" w:sz="8" w:color="auto"/>
            </w:tcBorders>
          </w:tcPr>
          <w:p>
            <w:pPr>
              <w:spacing w:after="0"/>
              <w:rPr>
                <w:sz w:val="4"/>
                <w:szCs w:val="4"/>
                <w:color w:val="auto"/>
              </w:rPr>
            </w:pPr>
          </w:p>
        </w:tc>
        <w:tc>
          <w:tcPr>
            <w:tcW w:w="100" w:type="dxa"/>
            <w:vAlign w:val="bottom"/>
            <w:tcBorders>
              <w:bottom w:val="single" w:sz="8" w:color="auto"/>
            </w:tcBorders>
          </w:tcPr>
          <w:p>
            <w:pPr>
              <w:spacing w:after="0"/>
              <w:rPr>
                <w:sz w:val="4"/>
                <w:szCs w:val="4"/>
                <w:color w:val="auto"/>
              </w:rPr>
            </w:pPr>
          </w:p>
        </w:tc>
        <w:tc>
          <w:tcPr>
            <w:tcW w:w="500" w:type="dxa"/>
            <w:vAlign w:val="bottom"/>
            <w:tcBorders>
              <w:bottom w:val="single" w:sz="8" w:color="auto"/>
            </w:tcBorders>
          </w:tcPr>
          <w:p>
            <w:pPr>
              <w:spacing w:after="0"/>
              <w:rPr>
                <w:sz w:val="4"/>
                <w:szCs w:val="4"/>
                <w:color w:val="auto"/>
              </w:rPr>
            </w:pPr>
          </w:p>
        </w:tc>
        <w:tc>
          <w:tcPr>
            <w:tcW w:w="980" w:type="dxa"/>
            <w:vAlign w:val="bottom"/>
            <w:tcBorders>
              <w:bottom w:val="single" w:sz="8" w:color="auto"/>
            </w:tcBorders>
          </w:tcPr>
          <w:p>
            <w:pPr>
              <w:spacing w:after="0"/>
              <w:rPr>
                <w:sz w:val="4"/>
                <w:szCs w:val="4"/>
                <w:color w:val="auto"/>
              </w:rPr>
            </w:pPr>
          </w:p>
        </w:tc>
        <w:tc>
          <w:tcPr>
            <w:tcW w:w="120" w:type="dxa"/>
            <w:vAlign w:val="bottom"/>
          </w:tcPr>
          <w:p>
            <w:pPr>
              <w:spacing w:after="0"/>
              <w:rPr>
                <w:sz w:val="4"/>
                <w:szCs w:val="4"/>
                <w:color w:val="auto"/>
              </w:rPr>
            </w:pPr>
          </w:p>
        </w:tc>
        <w:tc>
          <w:tcPr>
            <w:tcW w:w="240" w:type="dxa"/>
            <w:vAlign w:val="bottom"/>
          </w:tcPr>
          <w:p>
            <w:pPr>
              <w:spacing w:after="0"/>
              <w:rPr>
                <w:sz w:val="4"/>
                <w:szCs w:val="4"/>
                <w:color w:val="auto"/>
              </w:rPr>
            </w:pPr>
          </w:p>
        </w:tc>
        <w:tc>
          <w:tcPr>
            <w:tcW w:w="1240" w:type="dxa"/>
            <w:vAlign w:val="bottom"/>
            <w:vMerge w:val="restart"/>
          </w:tcPr>
          <w:p>
            <w:pPr>
              <w:jc w:val="right"/>
              <w:ind w:right="373"/>
              <w:spacing w:after="0" w:line="135" w:lineRule="exact"/>
              <w:rPr>
                <w:sz w:val="20"/>
                <w:szCs w:val="20"/>
                <w:color w:val="auto"/>
              </w:rPr>
            </w:pPr>
            <w:r>
              <w:rPr>
                <w:rFonts w:ascii="Arial" w:cs="Arial" w:eastAsia="Arial" w:hAnsi="Arial"/>
                <w:sz w:val="14"/>
                <w:szCs w:val="14"/>
                <w:b w:val="1"/>
                <w:bCs w:val="1"/>
                <w:color w:val="auto"/>
              </w:rPr>
              <w:t>Increase</w:t>
            </w:r>
          </w:p>
        </w:tc>
        <w:tc>
          <w:tcPr>
            <w:tcW w:w="1580" w:type="dxa"/>
            <w:vAlign w:val="bottom"/>
            <w:vMerge w:val="restart"/>
          </w:tcPr>
          <w:p>
            <w:pPr>
              <w:jc w:val="center"/>
              <w:ind w:left="34"/>
              <w:spacing w:after="0" w:line="135" w:lineRule="exact"/>
              <w:rPr>
                <w:sz w:val="20"/>
                <w:szCs w:val="20"/>
                <w:color w:val="auto"/>
              </w:rPr>
            </w:pPr>
            <w:r>
              <w:rPr>
                <w:rFonts w:ascii="Arial" w:cs="Arial" w:eastAsia="Arial" w:hAnsi="Arial"/>
                <w:sz w:val="14"/>
                <w:szCs w:val="14"/>
                <w:b w:val="1"/>
                <w:bCs w:val="1"/>
                <w:color w:val="auto"/>
              </w:rPr>
              <w:t>Increase</w:t>
            </w:r>
          </w:p>
        </w:tc>
        <w:tc>
          <w:tcPr>
            <w:tcW w:w="0" w:type="dxa"/>
            <w:vAlign w:val="bottom"/>
          </w:tcPr>
          <w:p>
            <w:pPr>
              <w:spacing w:after="0"/>
              <w:rPr>
                <w:sz w:val="1"/>
                <w:szCs w:val="1"/>
                <w:color w:val="auto"/>
              </w:rPr>
            </w:pPr>
          </w:p>
        </w:tc>
      </w:tr>
      <w:tr>
        <w:trPr>
          <w:trHeight w:val="61"/>
        </w:trPr>
        <w:tc>
          <w:tcPr>
            <w:tcW w:w="5160" w:type="dxa"/>
            <w:vAlign w:val="bottom"/>
          </w:tcPr>
          <w:p>
            <w:pPr>
              <w:spacing w:after="0"/>
              <w:rPr>
                <w:sz w:val="5"/>
                <w:szCs w:val="5"/>
                <w:color w:val="auto"/>
              </w:rPr>
            </w:pPr>
          </w:p>
        </w:tc>
        <w:tc>
          <w:tcPr>
            <w:tcW w:w="360" w:type="dxa"/>
            <w:vAlign w:val="bottom"/>
          </w:tcPr>
          <w:p>
            <w:pPr>
              <w:spacing w:after="0"/>
              <w:rPr>
                <w:sz w:val="5"/>
                <w:szCs w:val="5"/>
                <w:color w:val="auto"/>
              </w:rPr>
            </w:pPr>
          </w:p>
        </w:tc>
        <w:tc>
          <w:tcPr>
            <w:tcW w:w="1140" w:type="dxa"/>
            <w:vAlign w:val="bottom"/>
          </w:tcPr>
          <w:p>
            <w:pPr>
              <w:spacing w:after="0"/>
              <w:rPr>
                <w:sz w:val="5"/>
                <w:szCs w:val="5"/>
                <w:color w:val="auto"/>
              </w:rPr>
            </w:pPr>
          </w:p>
        </w:tc>
        <w:tc>
          <w:tcPr>
            <w:tcW w:w="100" w:type="dxa"/>
            <w:vAlign w:val="bottom"/>
          </w:tcPr>
          <w:p>
            <w:pPr>
              <w:spacing w:after="0"/>
              <w:rPr>
                <w:sz w:val="5"/>
                <w:szCs w:val="5"/>
                <w:color w:val="auto"/>
              </w:rPr>
            </w:pPr>
          </w:p>
        </w:tc>
        <w:tc>
          <w:tcPr>
            <w:tcW w:w="500" w:type="dxa"/>
            <w:vAlign w:val="bottom"/>
          </w:tcPr>
          <w:p>
            <w:pPr>
              <w:spacing w:after="0"/>
              <w:rPr>
                <w:sz w:val="5"/>
                <w:szCs w:val="5"/>
                <w:color w:val="auto"/>
              </w:rPr>
            </w:pPr>
          </w:p>
        </w:tc>
        <w:tc>
          <w:tcPr>
            <w:tcW w:w="980" w:type="dxa"/>
            <w:vAlign w:val="bottom"/>
          </w:tcPr>
          <w:p>
            <w:pPr>
              <w:spacing w:after="0"/>
              <w:rPr>
                <w:sz w:val="5"/>
                <w:szCs w:val="5"/>
                <w:color w:val="auto"/>
              </w:rPr>
            </w:pPr>
          </w:p>
        </w:tc>
        <w:tc>
          <w:tcPr>
            <w:tcW w:w="120" w:type="dxa"/>
            <w:vAlign w:val="bottom"/>
          </w:tcPr>
          <w:p>
            <w:pPr>
              <w:spacing w:after="0"/>
              <w:rPr>
                <w:sz w:val="5"/>
                <w:szCs w:val="5"/>
                <w:color w:val="auto"/>
              </w:rPr>
            </w:pPr>
          </w:p>
        </w:tc>
        <w:tc>
          <w:tcPr>
            <w:tcW w:w="240" w:type="dxa"/>
            <w:vAlign w:val="bottom"/>
          </w:tcPr>
          <w:p>
            <w:pPr>
              <w:spacing w:after="0"/>
              <w:rPr>
                <w:sz w:val="5"/>
                <w:szCs w:val="5"/>
                <w:color w:val="auto"/>
              </w:rPr>
            </w:pPr>
          </w:p>
        </w:tc>
        <w:tc>
          <w:tcPr>
            <w:tcW w:w="1240" w:type="dxa"/>
            <w:vAlign w:val="bottom"/>
            <w:vMerge w:val="continue"/>
          </w:tcPr>
          <w:p>
            <w:pPr>
              <w:spacing w:after="0"/>
              <w:rPr>
                <w:sz w:val="5"/>
                <w:szCs w:val="5"/>
                <w:color w:val="auto"/>
              </w:rPr>
            </w:pPr>
          </w:p>
        </w:tc>
        <w:tc>
          <w:tcPr>
            <w:tcW w:w="158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96"/>
        </w:trPr>
        <w:tc>
          <w:tcPr>
            <w:tcW w:w="5160" w:type="dxa"/>
            <w:vAlign w:val="bottom"/>
          </w:tcPr>
          <w:p>
            <w:pPr>
              <w:spacing w:after="0"/>
              <w:rPr>
                <w:sz w:val="17"/>
                <w:szCs w:val="17"/>
                <w:color w:val="auto"/>
              </w:rPr>
            </w:pPr>
          </w:p>
        </w:tc>
        <w:tc>
          <w:tcPr>
            <w:tcW w:w="360" w:type="dxa"/>
            <w:vAlign w:val="bottom"/>
            <w:tcBorders>
              <w:bottom w:val="single" w:sz="8" w:color="auto"/>
            </w:tcBorders>
          </w:tcPr>
          <w:p>
            <w:pPr>
              <w:spacing w:after="0"/>
              <w:rPr>
                <w:sz w:val="17"/>
                <w:szCs w:val="17"/>
                <w:color w:val="auto"/>
              </w:rPr>
            </w:pPr>
          </w:p>
        </w:tc>
        <w:tc>
          <w:tcPr>
            <w:tcW w:w="1140" w:type="dxa"/>
            <w:vAlign w:val="bottom"/>
            <w:tcBorders>
              <w:bottom w:val="single" w:sz="8" w:color="auto"/>
            </w:tcBorders>
          </w:tcPr>
          <w:p>
            <w:pPr>
              <w:jc w:val="right"/>
              <w:ind w:right="514"/>
              <w:spacing w:after="0"/>
              <w:rPr>
                <w:sz w:val="20"/>
                <w:szCs w:val="20"/>
                <w:color w:val="auto"/>
              </w:rPr>
            </w:pPr>
            <w:r>
              <w:rPr>
                <w:rFonts w:ascii="Arial" w:cs="Arial" w:eastAsia="Arial" w:hAnsi="Arial"/>
                <w:sz w:val="14"/>
                <w:szCs w:val="14"/>
                <w:b w:val="1"/>
                <w:bCs w:val="1"/>
                <w:color w:val="auto"/>
              </w:rPr>
              <w:t>2019</w:t>
            </w:r>
          </w:p>
        </w:tc>
        <w:tc>
          <w:tcPr>
            <w:tcW w:w="100" w:type="dxa"/>
            <w:vAlign w:val="bottom"/>
            <w:tcBorders>
              <w:bottom w:val="single" w:sz="8" w:color="auto"/>
            </w:tcBorders>
          </w:tcPr>
          <w:p>
            <w:pPr>
              <w:spacing w:after="0"/>
              <w:rPr>
                <w:sz w:val="17"/>
                <w:szCs w:val="17"/>
                <w:color w:val="auto"/>
              </w:rPr>
            </w:pPr>
          </w:p>
        </w:tc>
        <w:tc>
          <w:tcPr>
            <w:tcW w:w="500" w:type="dxa"/>
            <w:vAlign w:val="bottom"/>
            <w:tcBorders>
              <w:bottom w:val="single" w:sz="8" w:color="auto"/>
            </w:tcBorders>
          </w:tcPr>
          <w:p>
            <w:pPr>
              <w:spacing w:after="0"/>
              <w:rPr>
                <w:sz w:val="17"/>
                <w:szCs w:val="17"/>
                <w:color w:val="auto"/>
              </w:rPr>
            </w:pPr>
          </w:p>
        </w:tc>
        <w:tc>
          <w:tcPr>
            <w:tcW w:w="980" w:type="dxa"/>
            <w:vAlign w:val="bottom"/>
            <w:tcBorders>
              <w:bottom w:val="single" w:sz="8" w:color="auto"/>
            </w:tcBorders>
          </w:tcPr>
          <w:p>
            <w:pPr>
              <w:jc w:val="right"/>
              <w:ind w:right="491"/>
              <w:spacing w:after="0"/>
              <w:rPr>
                <w:sz w:val="20"/>
                <w:szCs w:val="20"/>
                <w:color w:val="auto"/>
              </w:rPr>
            </w:pPr>
            <w:r>
              <w:rPr>
                <w:rFonts w:ascii="Arial" w:cs="Arial" w:eastAsia="Arial" w:hAnsi="Arial"/>
                <w:sz w:val="14"/>
                <w:szCs w:val="14"/>
                <w:b w:val="1"/>
                <w:bCs w:val="1"/>
                <w:color w:val="auto"/>
              </w:rPr>
              <w:t>2018</w:t>
            </w:r>
          </w:p>
        </w:tc>
        <w:tc>
          <w:tcPr>
            <w:tcW w:w="120" w:type="dxa"/>
            <w:vAlign w:val="bottom"/>
            <w:tcBorders>
              <w:bottom w:val="single" w:sz="8" w:color="auto"/>
            </w:tcBorders>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1240" w:type="dxa"/>
            <w:vAlign w:val="bottom"/>
            <w:tcBorders>
              <w:bottom w:val="single" w:sz="8" w:color="auto"/>
            </w:tcBorders>
          </w:tcPr>
          <w:p>
            <w:pPr>
              <w:jc w:val="right"/>
              <w:ind w:right="293"/>
              <w:spacing w:after="0"/>
              <w:rPr>
                <w:sz w:val="20"/>
                <w:szCs w:val="20"/>
                <w:color w:val="auto"/>
              </w:rPr>
            </w:pPr>
            <w:r>
              <w:rPr>
                <w:rFonts w:ascii="Arial" w:cs="Arial" w:eastAsia="Arial" w:hAnsi="Arial"/>
                <w:sz w:val="14"/>
                <w:szCs w:val="14"/>
                <w:b w:val="1"/>
                <w:bCs w:val="1"/>
                <w:color w:val="auto"/>
              </w:rPr>
              <w:t>(Decrease)</w:t>
            </w:r>
          </w:p>
        </w:tc>
        <w:tc>
          <w:tcPr>
            <w:tcW w:w="1580" w:type="dxa"/>
            <w:vAlign w:val="bottom"/>
            <w:tcBorders>
              <w:bottom w:val="single" w:sz="8" w:color="auto"/>
            </w:tcBorders>
          </w:tcPr>
          <w:p>
            <w:pPr>
              <w:jc w:val="center"/>
              <w:ind w:left="34"/>
              <w:spacing w:after="0"/>
              <w:rPr>
                <w:sz w:val="20"/>
                <w:szCs w:val="20"/>
                <w:color w:val="auto"/>
              </w:rPr>
            </w:pPr>
            <w:r>
              <w:rPr>
                <w:rFonts w:ascii="Arial" w:cs="Arial" w:eastAsia="Arial" w:hAnsi="Arial"/>
                <w:sz w:val="14"/>
                <w:szCs w:val="14"/>
                <w:b w:val="1"/>
                <w:bCs w:val="1"/>
                <w:color w:val="auto"/>
              </w:rPr>
              <w:t>(Decrease)</w:t>
            </w:r>
          </w:p>
        </w:tc>
        <w:tc>
          <w:tcPr>
            <w:tcW w:w="0" w:type="dxa"/>
            <w:vAlign w:val="bottom"/>
          </w:tcPr>
          <w:p>
            <w:pPr>
              <w:spacing w:after="0"/>
              <w:rPr>
                <w:sz w:val="1"/>
                <w:szCs w:val="1"/>
                <w:color w:val="auto"/>
              </w:rPr>
            </w:pPr>
          </w:p>
        </w:tc>
      </w:tr>
      <w:tr>
        <w:trPr>
          <w:trHeight w:val="210"/>
        </w:trPr>
        <w:tc>
          <w:tcPr>
            <w:tcW w:w="516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080" w:type="dxa"/>
            <w:vAlign w:val="bottom"/>
            <w:gridSpan w:val="5"/>
          </w:tcPr>
          <w:p>
            <w:pPr>
              <w:jc w:val="right"/>
              <w:ind w:right="73"/>
              <w:spacing w:after="0"/>
              <w:rPr>
                <w:sz w:val="20"/>
                <w:szCs w:val="20"/>
                <w:color w:val="auto"/>
              </w:rPr>
            </w:pPr>
            <w:r>
              <w:rPr>
                <w:rFonts w:ascii="Arial" w:cs="Arial" w:eastAsia="Arial" w:hAnsi="Arial"/>
                <w:sz w:val="14"/>
                <w:szCs w:val="14"/>
                <w:b w:val="1"/>
                <w:bCs w:val="1"/>
                <w:color w:val="auto"/>
              </w:rPr>
              <w:t>(In millions, except percentage changes)</w:t>
            </w:r>
          </w:p>
        </w:tc>
        <w:tc>
          <w:tcPr>
            <w:tcW w:w="15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6"/>
        </w:trPr>
        <w:tc>
          <w:tcPr>
            <w:tcW w:w="5160" w:type="dxa"/>
            <w:vAlign w:val="bottom"/>
            <w:shd w:val="clear" w:color="auto" w:fill="CCEEFF"/>
          </w:tcPr>
          <w:p>
            <w:pPr>
              <w:ind w:left="40"/>
              <w:spacing w:after="0"/>
              <w:rPr>
                <w:sz w:val="20"/>
                <w:szCs w:val="20"/>
                <w:color w:val="auto"/>
              </w:rPr>
            </w:pPr>
            <w:r>
              <w:rPr>
                <w:rFonts w:ascii="Arial" w:cs="Arial" w:eastAsia="Arial" w:hAnsi="Arial"/>
                <w:sz w:val="18"/>
                <w:szCs w:val="18"/>
                <w:color w:val="auto"/>
              </w:rPr>
              <w:t>Aircraft fuel and related taxes</w:t>
            </w:r>
          </w:p>
        </w:tc>
        <w:tc>
          <w:tcPr>
            <w:tcW w:w="36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140" w:type="dxa"/>
            <w:vAlign w:val="bottom"/>
            <w:shd w:val="clear" w:color="auto" w:fill="CCEEFF"/>
          </w:tcPr>
          <w:p>
            <w:pPr>
              <w:jc w:val="right"/>
              <w:ind w:right="34"/>
              <w:spacing w:after="0"/>
              <w:rPr>
                <w:sz w:val="20"/>
                <w:szCs w:val="20"/>
                <w:color w:val="auto"/>
              </w:rPr>
            </w:pPr>
            <w:r>
              <w:rPr>
                <w:rFonts w:ascii="Arial" w:cs="Arial" w:eastAsia="Arial" w:hAnsi="Arial"/>
                <w:sz w:val="18"/>
                <w:szCs w:val="18"/>
                <w:color w:val="auto"/>
              </w:rPr>
              <w:t>7,526</w:t>
            </w:r>
          </w:p>
        </w:tc>
        <w:tc>
          <w:tcPr>
            <w:tcW w:w="100" w:type="dxa"/>
            <w:vAlign w:val="bottom"/>
            <w:shd w:val="clear" w:color="auto" w:fill="CCEEFF"/>
          </w:tcPr>
          <w:p>
            <w:pPr>
              <w:spacing w:after="0"/>
              <w:rPr>
                <w:sz w:val="24"/>
                <w:szCs w:val="24"/>
                <w:color w:val="auto"/>
              </w:rPr>
            </w:pPr>
          </w:p>
        </w:tc>
        <w:tc>
          <w:tcPr>
            <w:tcW w:w="500" w:type="dxa"/>
            <w:vAlign w:val="bottom"/>
            <w:shd w:val="clear" w:color="auto" w:fill="CCEEFF"/>
          </w:tcPr>
          <w:p>
            <w:pPr>
              <w:jc w:val="right"/>
              <w:ind w:right="296"/>
              <w:spacing w:after="0"/>
              <w:rPr>
                <w:sz w:val="20"/>
                <w:szCs w:val="20"/>
                <w:color w:val="auto"/>
              </w:rPr>
            </w:pPr>
            <w:r>
              <w:rPr>
                <w:rFonts w:ascii="Arial" w:cs="Arial" w:eastAsia="Arial" w:hAnsi="Arial"/>
                <w:sz w:val="18"/>
                <w:szCs w:val="18"/>
                <w:color w:val="auto"/>
                <w:w w:val="99"/>
              </w:rPr>
              <w:t>$</w:t>
            </w:r>
          </w:p>
        </w:tc>
        <w:tc>
          <w:tcPr>
            <w:tcW w:w="98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8,053</w:t>
            </w:r>
          </w:p>
        </w:tc>
        <w:tc>
          <w:tcPr>
            <w:tcW w:w="120" w:type="dxa"/>
            <w:vAlign w:val="bottom"/>
            <w:shd w:val="clear" w:color="auto" w:fill="CCEEFF"/>
          </w:tcPr>
          <w:p>
            <w:pPr>
              <w:spacing w:after="0"/>
              <w:rPr>
                <w:sz w:val="24"/>
                <w:szCs w:val="24"/>
                <w:color w:val="auto"/>
              </w:rPr>
            </w:pPr>
          </w:p>
        </w:tc>
        <w:tc>
          <w:tcPr>
            <w:tcW w:w="24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(527)</w:t>
            </w:r>
          </w:p>
        </w:tc>
        <w:tc>
          <w:tcPr>
            <w:tcW w:w="1580" w:type="dxa"/>
            <w:vAlign w:val="bottom"/>
            <w:shd w:val="clear" w:color="auto" w:fill="CCEEFF"/>
          </w:tcPr>
          <w:p>
            <w:pPr>
              <w:jc w:val="right"/>
              <w:ind w:right="14"/>
              <w:spacing w:after="0"/>
              <w:rPr>
                <w:sz w:val="20"/>
                <w:szCs w:val="20"/>
                <w:color w:val="auto"/>
              </w:rPr>
            </w:pPr>
            <w:r>
              <w:rPr>
                <w:rFonts w:ascii="Arial" w:cs="Arial" w:eastAsia="Arial" w:hAnsi="Arial"/>
                <w:sz w:val="18"/>
                <w:szCs w:val="18"/>
                <w:color w:val="auto"/>
              </w:rPr>
              <w:t>(6.5)</w:t>
            </w:r>
          </w:p>
        </w:tc>
        <w:tc>
          <w:tcPr>
            <w:tcW w:w="0" w:type="dxa"/>
            <w:vAlign w:val="bottom"/>
          </w:tcPr>
          <w:p>
            <w:pPr>
              <w:spacing w:after="0"/>
              <w:rPr>
                <w:sz w:val="1"/>
                <w:szCs w:val="1"/>
                <w:color w:val="auto"/>
              </w:rPr>
            </w:pPr>
          </w:p>
        </w:tc>
      </w:tr>
      <w:tr>
        <w:trPr>
          <w:trHeight w:val="263"/>
        </w:trPr>
        <w:tc>
          <w:tcPr>
            <w:tcW w:w="5160" w:type="dxa"/>
            <w:vAlign w:val="bottom"/>
          </w:tcPr>
          <w:p>
            <w:pPr>
              <w:ind w:left="40"/>
              <w:spacing w:after="0"/>
              <w:rPr>
                <w:sz w:val="20"/>
                <w:szCs w:val="20"/>
                <w:color w:val="auto"/>
              </w:rPr>
            </w:pPr>
            <w:r>
              <w:rPr>
                <w:rFonts w:ascii="Arial" w:cs="Arial" w:eastAsia="Arial" w:hAnsi="Arial"/>
                <w:sz w:val="18"/>
                <w:szCs w:val="18"/>
                <w:color w:val="auto"/>
              </w:rPr>
              <w:t>Salaries, wages and benefits</w:t>
            </w:r>
          </w:p>
        </w:tc>
        <w:tc>
          <w:tcPr>
            <w:tcW w:w="360" w:type="dxa"/>
            <w:vAlign w:val="bottom"/>
          </w:tcPr>
          <w:p>
            <w:pPr>
              <w:spacing w:after="0"/>
              <w:rPr>
                <w:sz w:val="22"/>
                <w:szCs w:val="22"/>
                <w:color w:val="auto"/>
              </w:rPr>
            </w:pPr>
          </w:p>
        </w:tc>
        <w:tc>
          <w:tcPr>
            <w:tcW w:w="1140" w:type="dxa"/>
            <w:vAlign w:val="bottom"/>
          </w:tcPr>
          <w:p>
            <w:pPr>
              <w:jc w:val="right"/>
              <w:ind w:right="34"/>
              <w:spacing w:after="0"/>
              <w:rPr>
                <w:sz w:val="20"/>
                <w:szCs w:val="20"/>
                <w:color w:val="auto"/>
              </w:rPr>
            </w:pPr>
            <w:r>
              <w:rPr>
                <w:rFonts w:ascii="Arial" w:cs="Arial" w:eastAsia="Arial" w:hAnsi="Arial"/>
                <w:sz w:val="18"/>
                <w:szCs w:val="18"/>
                <w:color w:val="auto"/>
              </w:rPr>
              <w:t>12,600</w:t>
            </w:r>
          </w:p>
        </w:tc>
        <w:tc>
          <w:tcPr>
            <w:tcW w:w="100" w:type="dxa"/>
            <w:vAlign w:val="bottom"/>
          </w:tcPr>
          <w:p>
            <w:pPr>
              <w:spacing w:after="0"/>
              <w:rPr>
                <w:sz w:val="22"/>
                <w:szCs w:val="22"/>
                <w:color w:val="auto"/>
              </w:rPr>
            </w:pPr>
          </w:p>
        </w:tc>
        <w:tc>
          <w:tcPr>
            <w:tcW w:w="500" w:type="dxa"/>
            <w:vAlign w:val="bottom"/>
          </w:tcPr>
          <w:p>
            <w:pPr>
              <w:spacing w:after="0"/>
              <w:rPr>
                <w:sz w:val="22"/>
                <w:szCs w:val="22"/>
                <w:color w:val="auto"/>
              </w:rPr>
            </w:pPr>
          </w:p>
        </w:tc>
        <w:tc>
          <w:tcPr>
            <w:tcW w:w="980" w:type="dxa"/>
            <w:vAlign w:val="bottom"/>
          </w:tcPr>
          <w:p>
            <w:pPr>
              <w:jc w:val="right"/>
              <w:ind w:right="11"/>
              <w:spacing w:after="0"/>
              <w:rPr>
                <w:sz w:val="20"/>
                <w:szCs w:val="20"/>
                <w:color w:val="auto"/>
              </w:rPr>
            </w:pPr>
            <w:r>
              <w:rPr>
                <w:rFonts w:ascii="Arial" w:cs="Arial" w:eastAsia="Arial" w:hAnsi="Arial"/>
                <w:sz w:val="18"/>
                <w:szCs w:val="18"/>
                <w:color w:val="auto"/>
              </w:rPr>
              <w:t>12,240</w:t>
            </w:r>
          </w:p>
        </w:tc>
        <w:tc>
          <w:tcPr>
            <w:tcW w:w="12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1240" w:type="dxa"/>
            <w:vAlign w:val="bottom"/>
          </w:tcPr>
          <w:p>
            <w:pPr>
              <w:jc w:val="right"/>
              <w:ind w:right="13"/>
              <w:spacing w:after="0"/>
              <w:rPr>
                <w:sz w:val="20"/>
                <w:szCs w:val="20"/>
                <w:color w:val="auto"/>
              </w:rPr>
            </w:pPr>
            <w:r>
              <w:rPr>
                <w:rFonts w:ascii="Arial" w:cs="Arial" w:eastAsia="Arial" w:hAnsi="Arial"/>
                <w:sz w:val="18"/>
                <w:szCs w:val="18"/>
                <w:color w:val="auto"/>
              </w:rPr>
              <w:t>360</w:t>
            </w:r>
          </w:p>
        </w:tc>
        <w:tc>
          <w:tcPr>
            <w:tcW w:w="1580" w:type="dxa"/>
            <w:vAlign w:val="bottom"/>
          </w:tcPr>
          <w:p>
            <w:pPr>
              <w:jc w:val="right"/>
              <w:ind w:right="14"/>
              <w:spacing w:after="0"/>
              <w:rPr>
                <w:sz w:val="20"/>
                <w:szCs w:val="20"/>
                <w:color w:val="auto"/>
              </w:rPr>
            </w:pPr>
            <w:r>
              <w:rPr>
                <w:rFonts w:ascii="Arial" w:cs="Arial" w:eastAsia="Arial" w:hAnsi="Arial"/>
                <w:sz w:val="18"/>
                <w:szCs w:val="18"/>
                <w:color w:val="auto"/>
              </w:rPr>
              <w:t>2.9</w:t>
            </w:r>
          </w:p>
        </w:tc>
        <w:tc>
          <w:tcPr>
            <w:tcW w:w="0" w:type="dxa"/>
            <w:vAlign w:val="bottom"/>
          </w:tcPr>
          <w:p>
            <w:pPr>
              <w:spacing w:after="0"/>
              <w:rPr>
                <w:sz w:val="1"/>
                <w:szCs w:val="1"/>
                <w:color w:val="auto"/>
              </w:rPr>
            </w:pPr>
          </w:p>
        </w:tc>
      </w:tr>
      <w:tr>
        <w:trPr>
          <w:trHeight w:val="277"/>
        </w:trPr>
        <w:tc>
          <w:tcPr>
            <w:tcW w:w="5160" w:type="dxa"/>
            <w:vAlign w:val="bottom"/>
            <w:shd w:val="clear" w:color="auto" w:fill="CCEEFF"/>
          </w:tcPr>
          <w:p>
            <w:pPr>
              <w:ind w:left="40"/>
              <w:spacing w:after="0"/>
              <w:rPr>
                <w:sz w:val="20"/>
                <w:szCs w:val="20"/>
                <w:color w:val="auto"/>
              </w:rPr>
            </w:pPr>
            <w:r>
              <w:rPr>
                <w:rFonts w:ascii="Arial" w:cs="Arial" w:eastAsia="Arial" w:hAnsi="Arial"/>
                <w:sz w:val="18"/>
                <w:szCs w:val="18"/>
                <w:color w:val="auto"/>
              </w:rPr>
              <w:t>Maintenance, materials and repairs</w:t>
            </w:r>
          </w:p>
        </w:tc>
        <w:tc>
          <w:tcPr>
            <w:tcW w:w="360" w:type="dxa"/>
            <w:vAlign w:val="bottom"/>
            <w:shd w:val="clear" w:color="auto" w:fill="CCEEFF"/>
          </w:tcPr>
          <w:p>
            <w:pPr>
              <w:spacing w:after="0"/>
              <w:rPr>
                <w:sz w:val="24"/>
                <w:szCs w:val="24"/>
                <w:color w:val="auto"/>
              </w:rPr>
            </w:pPr>
          </w:p>
        </w:tc>
        <w:tc>
          <w:tcPr>
            <w:tcW w:w="1140" w:type="dxa"/>
            <w:vAlign w:val="bottom"/>
            <w:shd w:val="clear" w:color="auto" w:fill="CCEEFF"/>
          </w:tcPr>
          <w:p>
            <w:pPr>
              <w:jc w:val="right"/>
              <w:ind w:right="34"/>
              <w:spacing w:after="0"/>
              <w:rPr>
                <w:sz w:val="20"/>
                <w:szCs w:val="20"/>
                <w:color w:val="auto"/>
              </w:rPr>
            </w:pPr>
            <w:r>
              <w:rPr>
                <w:rFonts w:ascii="Arial" w:cs="Arial" w:eastAsia="Arial" w:hAnsi="Arial"/>
                <w:sz w:val="18"/>
                <w:szCs w:val="18"/>
                <w:color w:val="auto"/>
              </w:rPr>
              <w:t>2,380</w:t>
            </w:r>
          </w:p>
        </w:tc>
        <w:tc>
          <w:tcPr>
            <w:tcW w:w="100" w:type="dxa"/>
            <w:vAlign w:val="bottom"/>
            <w:shd w:val="clear" w:color="auto" w:fill="CCEEFF"/>
          </w:tcPr>
          <w:p>
            <w:pPr>
              <w:spacing w:after="0"/>
              <w:rPr>
                <w:sz w:val="24"/>
                <w:szCs w:val="24"/>
                <w:color w:val="auto"/>
              </w:rPr>
            </w:pPr>
          </w:p>
        </w:tc>
        <w:tc>
          <w:tcPr>
            <w:tcW w:w="500" w:type="dxa"/>
            <w:vAlign w:val="bottom"/>
            <w:shd w:val="clear" w:color="auto" w:fill="CCEEFF"/>
          </w:tcPr>
          <w:p>
            <w:pPr>
              <w:spacing w:after="0"/>
              <w:rPr>
                <w:sz w:val="24"/>
                <w:szCs w:val="24"/>
                <w:color w:val="auto"/>
              </w:rPr>
            </w:pPr>
          </w:p>
        </w:tc>
        <w:tc>
          <w:tcPr>
            <w:tcW w:w="98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2,050</w:t>
            </w:r>
          </w:p>
        </w:tc>
        <w:tc>
          <w:tcPr>
            <w:tcW w:w="120" w:type="dxa"/>
            <w:vAlign w:val="bottom"/>
            <w:shd w:val="clear" w:color="auto" w:fill="CCEEFF"/>
          </w:tcPr>
          <w:p>
            <w:pPr>
              <w:spacing w:after="0"/>
              <w:rPr>
                <w:sz w:val="24"/>
                <w:szCs w:val="24"/>
                <w:color w:val="auto"/>
              </w:rPr>
            </w:pPr>
          </w:p>
        </w:tc>
        <w:tc>
          <w:tcPr>
            <w:tcW w:w="240" w:type="dxa"/>
            <w:vAlign w:val="bottom"/>
            <w:shd w:val="clear" w:color="auto" w:fill="CCEEFF"/>
          </w:tcPr>
          <w:p>
            <w:pPr>
              <w:spacing w:after="0"/>
              <w:rPr>
                <w:sz w:val="24"/>
                <w:szCs w:val="24"/>
                <w:color w:val="auto"/>
              </w:rPr>
            </w:pPr>
          </w:p>
        </w:tc>
        <w:tc>
          <w:tcPr>
            <w:tcW w:w="1240" w:type="dxa"/>
            <w:vAlign w:val="bottom"/>
            <w:shd w:val="clear" w:color="auto" w:fill="CCEEFF"/>
          </w:tcPr>
          <w:p>
            <w:pPr>
              <w:jc w:val="right"/>
              <w:ind w:right="13"/>
              <w:spacing w:after="0"/>
              <w:rPr>
                <w:sz w:val="20"/>
                <w:szCs w:val="20"/>
                <w:color w:val="auto"/>
              </w:rPr>
            </w:pPr>
            <w:r>
              <w:rPr>
                <w:rFonts w:ascii="Arial" w:cs="Arial" w:eastAsia="Arial" w:hAnsi="Arial"/>
                <w:sz w:val="18"/>
                <w:szCs w:val="18"/>
                <w:color w:val="auto"/>
              </w:rPr>
              <w:t>330</w:t>
            </w:r>
          </w:p>
        </w:tc>
        <w:tc>
          <w:tcPr>
            <w:tcW w:w="1580" w:type="dxa"/>
            <w:vAlign w:val="bottom"/>
            <w:shd w:val="clear" w:color="auto" w:fill="CCEEFF"/>
          </w:tcPr>
          <w:p>
            <w:pPr>
              <w:jc w:val="right"/>
              <w:ind w:right="14"/>
              <w:spacing w:after="0"/>
              <w:rPr>
                <w:sz w:val="20"/>
                <w:szCs w:val="20"/>
                <w:color w:val="auto"/>
              </w:rPr>
            </w:pPr>
            <w:r>
              <w:rPr>
                <w:rFonts w:ascii="Arial" w:cs="Arial" w:eastAsia="Arial" w:hAnsi="Arial"/>
                <w:sz w:val="18"/>
                <w:szCs w:val="18"/>
                <w:color w:val="auto"/>
              </w:rPr>
              <w:t>16.1</w:t>
            </w:r>
          </w:p>
        </w:tc>
        <w:tc>
          <w:tcPr>
            <w:tcW w:w="0" w:type="dxa"/>
            <w:vAlign w:val="bottom"/>
          </w:tcPr>
          <w:p>
            <w:pPr>
              <w:spacing w:after="0"/>
              <w:rPr>
                <w:sz w:val="1"/>
                <w:szCs w:val="1"/>
                <w:color w:val="auto"/>
              </w:rPr>
            </w:pPr>
          </w:p>
        </w:tc>
      </w:tr>
      <w:tr>
        <w:trPr>
          <w:trHeight w:val="263"/>
        </w:trPr>
        <w:tc>
          <w:tcPr>
            <w:tcW w:w="5160" w:type="dxa"/>
            <w:vAlign w:val="bottom"/>
          </w:tcPr>
          <w:p>
            <w:pPr>
              <w:ind w:left="40"/>
              <w:spacing w:after="0"/>
              <w:rPr>
                <w:sz w:val="20"/>
                <w:szCs w:val="20"/>
                <w:color w:val="auto"/>
              </w:rPr>
            </w:pPr>
            <w:r>
              <w:rPr>
                <w:rFonts w:ascii="Arial" w:cs="Arial" w:eastAsia="Arial" w:hAnsi="Arial"/>
                <w:sz w:val="18"/>
                <w:szCs w:val="18"/>
                <w:color w:val="auto"/>
              </w:rPr>
              <w:t>Other rent and landing fees</w:t>
            </w:r>
          </w:p>
        </w:tc>
        <w:tc>
          <w:tcPr>
            <w:tcW w:w="360" w:type="dxa"/>
            <w:vAlign w:val="bottom"/>
          </w:tcPr>
          <w:p>
            <w:pPr>
              <w:spacing w:after="0"/>
              <w:rPr>
                <w:sz w:val="22"/>
                <w:szCs w:val="22"/>
                <w:color w:val="auto"/>
              </w:rPr>
            </w:pPr>
          </w:p>
        </w:tc>
        <w:tc>
          <w:tcPr>
            <w:tcW w:w="1140" w:type="dxa"/>
            <w:vAlign w:val="bottom"/>
          </w:tcPr>
          <w:p>
            <w:pPr>
              <w:jc w:val="right"/>
              <w:ind w:right="34"/>
              <w:spacing w:after="0"/>
              <w:rPr>
                <w:sz w:val="20"/>
                <w:szCs w:val="20"/>
                <w:color w:val="auto"/>
              </w:rPr>
            </w:pPr>
            <w:r>
              <w:rPr>
                <w:rFonts w:ascii="Arial" w:cs="Arial" w:eastAsia="Arial" w:hAnsi="Arial"/>
                <w:sz w:val="18"/>
                <w:szCs w:val="18"/>
                <w:color w:val="auto"/>
              </w:rPr>
              <w:t>2,055</w:t>
            </w:r>
          </w:p>
        </w:tc>
        <w:tc>
          <w:tcPr>
            <w:tcW w:w="100" w:type="dxa"/>
            <w:vAlign w:val="bottom"/>
          </w:tcPr>
          <w:p>
            <w:pPr>
              <w:spacing w:after="0"/>
              <w:rPr>
                <w:sz w:val="22"/>
                <w:szCs w:val="22"/>
                <w:color w:val="auto"/>
              </w:rPr>
            </w:pPr>
          </w:p>
        </w:tc>
        <w:tc>
          <w:tcPr>
            <w:tcW w:w="500" w:type="dxa"/>
            <w:vAlign w:val="bottom"/>
          </w:tcPr>
          <w:p>
            <w:pPr>
              <w:spacing w:after="0"/>
              <w:rPr>
                <w:sz w:val="22"/>
                <w:szCs w:val="22"/>
                <w:color w:val="auto"/>
              </w:rPr>
            </w:pPr>
          </w:p>
        </w:tc>
        <w:tc>
          <w:tcPr>
            <w:tcW w:w="980" w:type="dxa"/>
            <w:vAlign w:val="bottom"/>
          </w:tcPr>
          <w:p>
            <w:pPr>
              <w:jc w:val="right"/>
              <w:ind w:right="11"/>
              <w:spacing w:after="0"/>
              <w:rPr>
                <w:sz w:val="20"/>
                <w:szCs w:val="20"/>
                <w:color w:val="auto"/>
              </w:rPr>
            </w:pPr>
            <w:r>
              <w:rPr>
                <w:rFonts w:ascii="Arial" w:cs="Arial" w:eastAsia="Arial" w:hAnsi="Arial"/>
                <w:sz w:val="18"/>
                <w:szCs w:val="18"/>
                <w:color w:val="auto"/>
              </w:rPr>
              <w:t>1,900</w:t>
            </w:r>
          </w:p>
        </w:tc>
        <w:tc>
          <w:tcPr>
            <w:tcW w:w="12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1240" w:type="dxa"/>
            <w:vAlign w:val="bottom"/>
          </w:tcPr>
          <w:p>
            <w:pPr>
              <w:jc w:val="right"/>
              <w:ind w:right="13"/>
              <w:spacing w:after="0"/>
              <w:rPr>
                <w:sz w:val="20"/>
                <w:szCs w:val="20"/>
                <w:color w:val="auto"/>
              </w:rPr>
            </w:pPr>
            <w:r>
              <w:rPr>
                <w:rFonts w:ascii="Arial" w:cs="Arial" w:eastAsia="Arial" w:hAnsi="Arial"/>
                <w:sz w:val="18"/>
                <w:szCs w:val="18"/>
                <w:color w:val="auto"/>
              </w:rPr>
              <w:t>155</w:t>
            </w:r>
          </w:p>
        </w:tc>
        <w:tc>
          <w:tcPr>
            <w:tcW w:w="1580" w:type="dxa"/>
            <w:vAlign w:val="bottom"/>
          </w:tcPr>
          <w:p>
            <w:pPr>
              <w:jc w:val="right"/>
              <w:ind w:right="14"/>
              <w:spacing w:after="0"/>
              <w:rPr>
                <w:sz w:val="20"/>
                <w:szCs w:val="20"/>
                <w:color w:val="auto"/>
              </w:rPr>
            </w:pPr>
            <w:r>
              <w:rPr>
                <w:rFonts w:ascii="Arial" w:cs="Arial" w:eastAsia="Arial" w:hAnsi="Arial"/>
                <w:sz w:val="18"/>
                <w:szCs w:val="18"/>
                <w:color w:val="auto"/>
              </w:rPr>
              <w:t>8.2</w:t>
            </w:r>
          </w:p>
        </w:tc>
        <w:tc>
          <w:tcPr>
            <w:tcW w:w="0" w:type="dxa"/>
            <w:vAlign w:val="bottom"/>
          </w:tcPr>
          <w:p>
            <w:pPr>
              <w:spacing w:after="0"/>
              <w:rPr>
                <w:sz w:val="1"/>
                <w:szCs w:val="1"/>
                <w:color w:val="auto"/>
              </w:rPr>
            </w:pPr>
          </w:p>
        </w:tc>
      </w:tr>
      <w:tr>
        <w:trPr>
          <w:trHeight w:val="277"/>
        </w:trPr>
        <w:tc>
          <w:tcPr>
            <w:tcW w:w="5160" w:type="dxa"/>
            <w:vAlign w:val="bottom"/>
            <w:shd w:val="clear" w:color="auto" w:fill="CCEEFF"/>
          </w:tcPr>
          <w:p>
            <w:pPr>
              <w:ind w:left="40"/>
              <w:spacing w:after="0"/>
              <w:rPr>
                <w:sz w:val="20"/>
                <w:szCs w:val="20"/>
                <w:color w:val="auto"/>
              </w:rPr>
            </w:pPr>
            <w:r>
              <w:rPr>
                <w:rFonts w:ascii="Arial" w:cs="Arial" w:eastAsia="Arial" w:hAnsi="Arial"/>
                <w:sz w:val="18"/>
                <w:szCs w:val="18"/>
                <w:color w:val="auto"/>
              </w:rPr>
              <w:t>Aircraft rent</w:t>
            </w:r>
          </w:p>
        </w:tc>
        <w:tc>
          <w:tcPr>
            <w:tcW w:w="360" w:type="dxa"/>
            <w:vAlign w:val="bottom"/>
            <w:shd w:val="clear" w:color="auto" w:fill="CCEEFF"/>
          </w:tcPr>
          <w:p>
            <w:pPr>
              <w:spacing w:after="0"/>
              <w:rPr>
                <w:sz w:val="24"/>
                <w:szCs w:val="24"/>
                <w:color w:val="auto"/>
              </w:rPr>
            </w:pPr>
          </w:p>
        </w:tc>
        <w:tc>
          <w:tcPr>
            <w:tcW w:w="1140" w:type="dxa"/>
            <w:vAlign w:val="bottom"/>
            <w:shd w:val="clear" w:color="auto" w:fill="CCEEFF"/>
          </w:tcPr>
          <w:p>
            <w:pPr>
              <w:jc w:val="right"/>
              <w:ind w:right="34"/>
              <w:spacing w:after="0"/>
              <w:rPr>
                <w:sz w:val="20"/>
                <w:szCs w:val="20"/>
                <w:color w:val="auto"/>
              </w:rPr>
            </w:pPr>
            <w:r>
              <w:rPr>
                <w:rFonts w:ascii="Arial" w:cs="Arial" w:eastAsia="Arial" w:hAnsi="Arial"/>
                <w:sz w:val="18"/>
                <w:szCs w:val="18"/>
                <w:color w:val="auto"/>
              </w:rPr>
              <w:t>1,326</w:t>
            </w:r>
          </w:p>
        </w:tc>
        <w:tc>
          <w:tcPr>
            <w:tcW w:w="100" w:type="dxa"/>
            <w:vAlign w:val="bottom"/>
            <w:shd w:val="clear" w:color="auto" w:fill="CCEEFF"/>
          </w:tcPr>
          <w:p>
            <w:pPr>
              <w:spacing w:after="0"/>
              <w:rPr>
                <w:sz w:val="24"/>
                <w:szCs w:val="24"/>
                <w:color w:val="auto"/>
              </w:rPr>
            </w:pPr>
          </w:p>
        </w:tc>
        <w:tc>
          <w:tcPr>
            <w:tcW w:w="500" w:type="dxa"/>
            <w:vAlign w:val="bottom"/>
            <w:shd w:val="clear" w:color="auto" w:fill="CCEEFF"/>
          </w:tcPr>
          <w:p>
            <w:pPr>
              <w:spacing w:after="0"/>
              <w:rPr>
                <w:sz w:val="24"/>
                <w:szCs w:val="24"/>
                <w:color w:val="auto"/>
              </w:rPr>
            </w:pPr>
          </w:p>
        </w:tc>
        <w:tc>
          <w:tcPr>
            <w:tcW w:w="98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1,264</w:t>
            </w:r>
          </w:p>
        </w:tc>
        <w:tc>
          <w:tcPr>
            <w:tcW w:w="120" w:type="dxa"/>
            <w:vAlign w:val="bottom"/>
            <w:shd w:val="clear" w:color="auto" w:fill="CCEEFF"/>
          </w:tcPr>
          <w:p>
            <w:pPr>
              <w:spacing w:after="0"/>
              <w:rPr>
                <w:sz w:val="24"/>
                <w:szCs w:val="24"/>
                <w:color w:val="auto"/>
              </w:rPr>
            </w:pPr>
          </w:p>
        </w:tc>
        <w:tc>
          <w:tcPr>
            <w:tcW w:w="240" w:type="dxa"/>
            <w:vAlign w:val="bottom"/>
            <w:shd w:val="clear" w:color="auto" w:fill="CCEEFF"/>
          </w:tcPr>
          <w:p>
            <w:pPr>
              <w:spacing w:after="0"/>
              <w:rPr>
                <w:sz w:val="24"/>
                <w:szCs w:val="24"/>
                <w:color w:val="auto"/>
              </w:rPr>
            </w:pPr>
          </w:p>
        </w:tc>
        <w:tc>
          <w:tcPr>
            <w:tcW w:w="1240" w:type="dxa"/>
            <w:vAlign w:val="bottom"/>
            <w:shd w:val="clear" w:color="auto" w:fill="CCEEFF"/>
          </w:tcPr>
          <w:p>
            <w:pPr>
              <w:jc w:val="right"/>
              <w:ind w:right="13"/>
              <w:spacing w:after="0"/>
              <w:rPr>
                <w:sz w:val="20"/>
                <w:szCs w:val="20"/>
                <w:color w:val="auto"/>
              </w:rPr>
            </w:pPr>
            <w:r>
              <w:rPr>
                <w:rFonts w:ascii="Arial" w:cs="Arial" w:eastAsia="Arial" w:hAnsi="Arial"/>
                <w:sz w:val="18"/>
                <w:szCs w:val="18"/>
                <w:color w:val="auto"/>
              </w:rPr>
              <w:t>62</w:t>
            </w:r>
          </w:p>
        </w:tc>
        <w:tc>
          <w:tcPr>
            <w:tcW w:w="1580" w:type="dxa"/>
            <w:vAlign w:val="bottom"/>
            <w:shd w:val="clear" w:color="auto" w:fill="CCEEFF"/>
          </w:tcPr>
          <w:p>
            <w:pPr>
              <w:jc w:val="right"/>
              <w:ind w:right="14"/>
              <w:spacing w:after="0"/>
              <w:rPr>
                <w:sz w:val="20"/>
                <w:szCs w:val="20"/>
                <w:color w:val="auto"/>
              </w:rPr>
            </w:pPr>
            <w:r>
              <w:rPr>
                <w:rFonts w:ascii="Arial" w:cs="Arial" w:eastAsia="Arial" w:hAnsi="Arial"/>
                <w:sz w:val="18"/>
                <w:szCs w:val="18"/>
                <w:color w:val="auto"/>
              </w:rPr>
              <w:t>4.9</w:t>
            </w:r>
          </w:p>
        </w:tc>
        <w:tc>
          <w:tcPr>
            <w:tcW w:w="0" w:type="dxa"/>
            <w:vAlign w:val="bottom"/>
          </w:tcPr>
          <w:p>
            <w:pPr>
              <w:spacing w:after="0"/>
              <w:rPr>
                <w:sz w:val="1"/>
                <w:szCs w:val="1"/>
                <w:color w:val="auto"/>
              </w:rPr>
            </w:pPr>
          </w:p>
        </w:tc>
      </w:tr>
      <w:tr>
        <w:trPr>
          <w:trHeight w:val="263"/>
        </w:trPr>
        <w:tc>
          <w:tcPr>
            <w:tcW w:w="5160" w:type="dxa"/>
            <w:vAlign w:val="bottom"/>
          </w:tcPr>
          <w:p>
            <w:pPr>
              <w:ind w:left="40"/>
              <w:spacing w:after="0"/>
              <w:rPr>
                <w:sz w:val="20"/>
                <w:szCs w:val="20"/>
                <w:color w:val="auto"/>
              </w:rPr>
            </w:pPr>
            <w:r>
              <w:rPr>
                <w:rFonts w:ascii="Arial" w:cs="Arial" w:eastAsia="Arial" w:hAnsi="Arial"/>
                <w:sz w:val="18"/>
                <w:szCs w:val="18"/>
                <w:color w:val="auto"/>
              </w:rPr>
              <w:t>Selling expenses</w:t>
            </w:r>
          </w:p>
        </w:tc>
        <w:tc>
          <w:tcPr>
            <w:tcW w:w="360" w:type="dxa"/>
            <w:vAlign w:val="bottom"/>
          </w:tcPr>
          <w:p>
            <w:pPr>
              <w:spacing w:after="0"/>
              <w:rPr>
                <w:sz w:val="22"/>
                <w:szCs w:val="22"/>
                <w:color w:val="auto"/>
              </w:rPr>
            </w:pPr>
          </w:p>
        </w:tc>
        <w:tc>
          <w:tcPr>
            <w:tcW w:w="1140" w:type="dxa"/>
            <w:vAlign w:val="bottom"/>
          </w:tcPr>
          <w:p>
            <w:pPr>
              <w:jc w:val="right"/>
              <w:ind w:right="34"/>
              <w:spacing w:after="0"/>
              <w:rPr>
                <w:sz w:val="20"/>
                <w:szCs w:val="20"/>
                <w:color w:val="auto"/>
              </w:rPr>
            </w:pPr>
            <w:r>
              <w:rPr>
                <w:rFonts w:ascii="Arial" w:cs="Arial" w:eastAsia="Arial" w:hAnsi="Arial"/>
                <w:sz w:val="18"/>
                <w:szCs w:val="18"/>
                <w:color w:val="auto"/>
              </w:rPr>
              <w:t>1,602</w:t>
            </w:r>
          </w:p>
        </w:tc>
        <w:tc>
          <w:tcPr>
            <w:tcW w:w="100" w:type="dxa"/>
            <w:vAlign w:val="bottom"/>
          </w:tcPr>
          <w:p>
            <w:pPr>
              <w:spacing w:after="0"/>
              <w:rPr>
                <w:sz w:val="22"/>
                <w:szCs w:val="22"/>
                <w:color w:val="auto"/>
              </w:rPr>
            </w:pPr>
          </w:p>
        </w:tc>
        <w:tc>
          <w:tcPr>
            <w:tcW w:w="500" w:type="dxa"/>
            <w:vAlign w:val="bottom"/>
          </w:tcPr>
          <w:p>
            <w:pPr>
              <w:spacing w:after="0"/>
              <w:rPr>
                <w:sz w:val="22"/>
                <w:szCs w:val="22"/>
                <w:color w:val="auto"/>
              </w:rPr>
            </w:pPr>
          </w:p>
        </w:tc>
        <w:tc>
          <w:tcPr>
            <w:tcW w:w="980" w:type="dxa"/>
            <w:vAlign w:val="bottom"/>
          </w:tcPr>
          <w:p>
            <w:pPr>
              <w:jc w:val="right"/>
              <w:ind w:right="11"/>
              <w:spacing w:after="0"/>
              <w:rPr>
                <w:sz w:val="20"/>
                <w:szCs w:val="20"/>
                <w:color w:val="auto"/>
              </w:rPr>
            </w:pPr>
            <w:r>
              <w:rPr>
                <w:rFonts w:ascii="Arial" w:cs="Arial" w:eastAsia="Arial" w:hAnsi="Arial"/>
                <w:sz w:val="18"/>
                <w:szCs w:val="18"/>
                <w:color w:val="auto"/>
              </w:rPr>
              <w:t>1,520</w:t>
            </w:r>
          </w:p>
        </w:tc>
        <w:tc>
          <w:tcPr>
            <w:tcW w:w="12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1240" w:type="dxa"/>
            <w:vAlign w:val="bottom"/>
          </w:tcPr>
          <w:p>
            <w:pPr>
              <w:jc w:val="right"/>
              <w:ind w:right="13"/>
              <w:spacing w:after="0"/>
              <w:rPr>
                <w:sz w:val="20"/>
                <w:szCs w:val="20"/>
                <w:color w:val="auto"/>
              </w:rPr>
            </w:pPr>
            <w:r>
              <w:rPr>
                <w:rFonts w:ascii="Arial" w:cs="Arial" w:eastAsia="Arial" w:hAnsi="Arial"/>
                <w:sz w:val="18"/>
                <w:szCs w:val="18"/>
                <w:color w:val="auto"/>
              </w:rPr>
              <w:t>82</w:t>
            </w:r>
          </w:p>
        </w:tc>
        <w:tc>
          <w:tcPr>
            <w:tcW w:w="1580" w:type="dxa"/>
            <w:vAlign w:val="bottom"/>
          </w:tcPr>
          <w:p>
            <w:pPr>
              <w:jc w:val="right"/>
              <w:ind w:right="14"/>
              <w:spacing w:after="0"/>
              <w:rPr>
                <w:sz w:val="20"/>
                <w:szCs w:val="20"/>
                <w:color w:val="auto"/>
              </w:rPr>
            </w:pPr>
            <w:r>
              <w:rPr>
                <w:rFonts w:ascii="Arial" w:cs="Arial" w:eastAsia="Arial" w:hAnsi="Arial"/>
                <w:sz w:val="18"/>
                <w:szCs w:val="18"/>
                <w:color w:val="auto"/>
              </w:rPr>
              <w:t>5.4</w:t>
            </w:r>
          </w:p>
        </w:tc>
        <w:tc>
          <w:tcPr>
            <w:tcW w:w="0" w:type="dxa"/>
            <w:vAlign w:val="bottom"/>
          </w:tcPr>
          <w:p>
            <w:pPr>
              <w:spacing w:after="0"/>
              <w:rPr>
                <w:sz w:val="1"/>
                <w:szCs w:val="1"/>
                <w:color w:val="auto"/>
              </w:rPr>
            </w:pPr>
          </w:p>
        </w:tc>
      </w:tr>
      <w:tr>
        <w:trPr>
          <w:trHeight w:val="277"/>
        </w:trPr>
        <w:tc>
          <w:tcPr>
            <w:tcW w:w="5160" w:type="dxa"/>
            <w:vAlign w:val="bottom"/>
            <w:shd w:val="clear" w:color="auto" w:fill="CCEEFF"/>
          </w:tcPr>
          <w:p>
            <w:pPr>
              <w:ind w:left="40"/>
              <w:spacing w:after="0"/>
              <w:rPr>
                <w:sz w:val="20"/>
                <w:szCs w:val="20"/>
                <w:color w:val="auto"/>
              </w:rPr>
            </w:pPr>
            <w:r>
              <w:rPr>
                <w:rFonts w:ascii="Arial" w:cs="Arial" w:eastAsia="Arial" w:hAnsi="Arial"/>
                <w:sz w:val="18"/>
                <w:szCs w:val="18"/>
                <w:color w:val="auto"/>
              </w:rPr>
              <w:t>Depreciation and amortization</w:t>
            </w:r>
          </w:p>
        </w:tc>
        <w:tc>
          <w:tcPr>
            <w:tcW w:w="360" w:type="dxa"/>
            <w:vAlign w:val="bottom"/>
            <w:shd w:val="clear" w:color="auto" w:fill="CCEEFF"/>
          </w:tcPr>
          <w:p>
            <w:pPr>
              <w:spacing w:after="0"/>
              <w:rPr>
                <w:sz w:val="24"/>
                <w:szCs w:val="24"/>
                <w:color w:val="auto"/>
              </w:rPr>
            </w:pPr>
          </w:p>
        </w:tc>
        <w:tc>
          <w:tcPr>
            <w:tcW w:w="1140" w:type="dxa"/>
            <w:vAlign w:val="bottom"/>
            <w:shd w:val="clear" w:color="auto" w:fill="CCEEFF"/>
          </w:tcPr>
          <w:p>
            <w:pPr>
              <w:jc w:val="right"/>
              <w:ind w:right="34"/>
              <w:spacing w:after="0"/>
              <w:rPr>
                <w:sz w:val="20"/>
                <w:szCs w:val="20"/>
                <w:color w:val="auto"/>
              </w:rPr>
            </w:pPr>
            <w:r>
              <w:rPr>
                <w:rFonts w:ascii="Arial" w:cs="Arial" w:eastAsia="Arial" w:hAnsi="Arial"/>
                <w:sz w:val="18"/>
                <w:szCs w:val="18"/>
                <w:color w:val="auto"/>
              </w:rPr>
              <w:t>1,982</w:t>
            </w:r>
          </w:p>
        </w:tc>
        <w:tc>
          <w:tcPr>
            <w:tcW w:w="100" w:type="dxa"/>
            <w:vAlign w:val="bottom"/>
            <w:shd w:val="clear" w:color="auto" w:fill="CCEEFF"/>
          </w:tcPr>
          <w:p>
            <w:pPr>
              <w:spacing w:after="0"/>
              <w:rPr>
                <w:sz w:val="24"/>
                <w:szCs w:val="24"/>
                <w:color w:val="auto"/>
              </w:rPr>
            </w:pPr>
          </w:p>
        </w:tc>
        <w:tc>
          <w:tcPr>
            <w:tcW w:w="500" w:type="dxa"/>
            <w:vAlign w:val="bottom"/>
            <w:shd w:val="clear" w:color="auto" w:fill="CCEEFF"/>
          </w:tcPr>
          <w:p>
            <w:pPr>
              <w:spacing w:after="0"/>
              <w:rPr>
                <w:sz w:val="24"/>
                <w:szCs w:val="24"/>
                <w:color w:val="auto"/>
              </w:rPr>
            </w:pPr>
          </w:p>
        </w:tc>
        <w:tc>
          <w:tcPr>
            <w:tcW w:w="98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1,839</w:t>
            </w:r>
          </w:p>
        </w:tc>
        <w:tc>
          <w:tcPr>
            <w:tcW w:w="120" w:type="dxa"/>
            <w:vAlign w:val="bottom"/>
            <w:shd w:val="clear" w:color="auto" w:fill="CCEEFF"/>
          </w:tcPr>
          <w:p>
            <w:pPr>
              <w:spacing w:after="0"/>
              <w:rPr>
                <w:sz w:val="24"/>
                <w:szCs w:val="24"/>
                <w:color w:val="auto"/>
              </w:rPr>
            </w:pPr>
          </w:p>
        </w:tc>
        <w:tc>
          <w:tcPr>
            <w:tcW w:w="240" w:type="dxa"/>
            <w:vAlign w:val="bottom"/>
            <w:shd w:val="clear" w:color="auto" w:fill="CCEEFF"/>
          </w:tcPr>
          <w:p>
            <w:pPr>
              <w:spacing w:after="0"/>
              <w:rPr>
                <w:sz w:val="24"/>
                <w:szCs w:val="24"/>
                <w:color w:val="auto"/>
              </w:rPr>
            </w:pPr>
          </w:p>
        </w:tc>
        <w:tc>
          <w:tcPr>
            <w:tcW w:w="1240" w:type="dxa"/>
            <w:vAlign w:val="bottom"/>
            <w:shd w:val="clear" w:color="auto" w:fill="CCEEFF"/>
          </w:tcPr>
          <w:p>
            <w:pPr>
              <w:jc w:val="right"/>
              <w:ind w:right="13"/>
              <w:spacing w:after="0"/>
              <w:rPr>
                <w:sz w:val="20"/>
                <w:szCs w:val="20"/>
                <w:color w:val="auto"/>
              </w:rPr>
            </w:pPr>
            <w:r>
              <w:rPr>
                <w:rFonts w:ascii="Arial" w:cs="Arial" w:eastAsia="Arial" w:hAnsi="Arial"/>
                <w:sz w:val="18"/>
                <w:szCs w:val="18"/>
                <w:color w:val="auto"/>
              </w:rPr>
              <w:t>143</w:t>
            </w:r>
          </w:p>
        </w:tc>
        <w:tc>
          <w:tcPr>
            <w:tcW w:w="1580" w:type="dxa"/>
            <w:vAlign w:val="bottom"/>
            <w:shd w:val="clear" w:color="auto" w:fill="CCEEFF"/>
          </w:tcPr>
          <w:p>
            <w:pPr>
              <w:jc w:val="right"/>
              <w:ind w:right="14"/>
              <w:spacing w:after="0"/>
              <w:rPr>
                <w:sz w:val="20"/>
                <w:szCs w:val="20"/>
                <w:color w:val="auto"/>
              </w:rPr>
            </w:pPr>
            <w:r>
              <w:rPr>
                <w:rFonts w:ascii="Arial" w:cs="Arial" w:eastAsia="Arial" w:hAnsi="Arial"/>
                <w:sz w:val="18"/>
                <w:szCs w:val="18"/>
                <w:color w:val="auto"/>
              </w:rPr>
              <w:t>7.7</w:t>
            </w:r>
          </w:p>
        </w:tc>
        <w:tc>
          <w:tcPr>
            <w:tcW w:w="0" w:type="dxa"/>
            <w:vAlign w:val="bottom"/>
          </w:tcPr>
          <w:p>
            <w:pPr>
              <w:spacing w:after="0"/>
              <w:rPr>
                <w:sz w:val="1"/>
                <w:szCs w:val="1"/>
                <w:color w:val="auto"/>
              </w:rPr>
            </w:pPr>
          </w:p>
        </w:tc>
      </w:tr>
      <w:tr>
        <w:trPr>
          <w:trHeight w:val="263"/>
        </w:trPr>
        <w:tc>
          <w:tcPr>
            <w:tcW w:w="5160" w:type="dxa"/>
            <w:vAlign w:val="bottom"/>
          </w:tcPr>
          <w:p>
            <w:pPr>
              <w:ind w:left="40"/>
              <w:spacing w:after="0"/>
              <w:rPr>
                <w:sz w:val="20"/>
                <w:szCs w:val="20"/>
                <w:color w:val="auto"/>
              </w:rPr>
            </w:pPr>
            <w:r>
              <w:rPr>
                <w:rFonts w:ascii="Arial" w:cs="Arial" w:eastAsia="Arial" w:hAnsi="Arial"/>
                <w:sz w:val="18"/>
                <w:szCs w:val="18"/>
                <w:color w:val="auto"/>
              </w:rPr>
              <w:t>Mainline operating special items, net</w:t>
            </w:r>
          </w:p>
        </w:tc>
        <w:tc>
          <w:tcPr>
            <w:tcW w:w="360" w:type="dxa"/>
            <w:vAlign w:val="bottom"/>
          </w:tcPr>
          <w:p>
            <w:pPr>
              <w:spacing w:after="0"/>
              <w:rPr>
                <w:sz w:val="22"/>
                <w:szCs w:val="22"/>
                <w:color w:val="auto"/>
              </w:rPr>
            </w:pPr>
          </w:p>
        </w:tc>
        <w:tc>
          <w:tcPr>
            <w:tcW w:w="1140" w:type="dxa"/>
            <w:vAlign w:val="bottom"/>
          </w:tcPr>
          <w:p>
            <w:pPr>
              <w:jc w:val="right"/>
              <w:ind w:right="34"/>
              <w:spacing w:after="0"/>
              <w:rPr>
                <w:sz w:val="20"/>
                <w:szCs w:val="20"/>
                <w:color w:val="auto"/>
              </w:rPr>
            </w:pPr>
            <w:r>
              <w:rPr>
                <w:rFonts w:ascii="Arial" w:cs="Arial" w:eastAsia="Arial" w:hAnsi="Arial"/>
                <w:sz w:val="18"/>
                <w:szCs w:val="18"/>
                <w:color w:val="auto"/>
              </w:rPr>
              <w:t>635</w:t>
            </w:r>
          </w:p>
        </w:tc>
        <w:tc>
          <w:tcPr>
            <w:tcW w:w="100" w:type="dxa"/>
            <w:vAlign w:val="bottom"/>
          </w:tcPr>
          <w:p>
            <w:pPr>
              <w:spacing w:after="0"/>
              <w:rPr>
                <w:sz w:val="22"/>
                <w:szCs w:val="22"/>
                <w:color w:val="auto"/>
              </w:rPr>
            </w:pPr>
          </w:p>
        </w:tc>
        <w:tc>
          <w:tcPr>
            <w:tcW w:w="500" w:type="dxa"/>
            <w:vAlign w:val="bottom"/>
          </w:tcPr>
          <w:p>
            <w:pPr>
              <w:spacing w:after="0"/>
              <w:rPr>
                <w:sz w:val="22"/>
                <w:szCs w:val="22"/>
                <w:color w:val="auto"/>
              </w:rPr>
            </w:pPr>
          </w:p>
        </w:tc>
        <w:tc>
          <w:tcPr>
            <w:tcW w:w="980" w:type="dxa"/>
            <w:vAlign w:val="bottom"/>
          </w:tcPr>
          <w:p>
            <w:pPr>
              <w:jc w:val="right"/>
              <w:ind w:right="11"/>
              <w:spacing w:after="0"/>
              <w:rPr>
                <w:sz w:val="20"/>
                <w:szCs w:val="20"/>
                <w:color w:val="auto"/>
              </w:rPr>
            </w:pPr>
            <w:r>
              <w:rPr>
                <w:rFonts w:ascii="Arial" w:cs="Arial" w:eastAsia="Arial" w:hAnsi="Arial"/>
                <w:sz w:val="18"/>
                <w:szCs w:val="18"/>
                <w:color w:val="auto"/>
              </w:rPr>
              <w:t>787</w:t>
            </w:r>
          </w:p>
        </w:tc>
        <w:tc>
          <w:tcPr>
            <w:tcW w:w="12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(152)</w:t>
            </w:r>
          </w:p>
        </w:tc>
        <w:tc>
          <w:tcPr>
            <w:tcW w:w="1580" w:type="dxa"/>
            <w:vAlign w:val="bottom"/>
          </w:tcPr>
          <w:p>
            <w:pPr>
              <w:jc w:val="right"/>
              <w:ind w:right="14"/>
              <w:spacing w:after="0"/>
              <w:rPr>
                <w:sz w:val="20"/>
                <w:szCs w:val="20"/>
                <w:color w:val="auto"/>
              </w:rPr>
            </w:pPr>
            <w:r>
              <w:rPr>
                <w:rFonts w:ascii="Arial" w:cs="Arial" w:eastAsia="Arial" w:hAnsi="Arial"/>
                <w:sz w:val="18"/>
                <w:szCs w:val="18"/>
                <w:color w:val="auto"/>
              </w:rPr>
              <w:t>(19.4)</w:t>
            </w:r>
          </w:p>
        </w:tc>
        <w:tc>
          <w:tcPr>
            <w:tcW w:w="0" w:type="dxa"/>
            <w:vAlign w:val="bottom"/>
          </w:tcPr>
          <w:p>
            <w:pPr>
              <w:spacing w:after="0"/>
              <w:rPr>
                <w:sz w:val="1"/>
                <w:szCs w:val="1"/>
                <w:color w:val="auto"/>
              </w:rPr>
            </w:pPr>
          </w:p>
        </w:tc>
      </w:tr>
      <w:tr>
        <w:trPr>
          <w:trHeight w:val="277"/>
        </w:trPr>
        <w:tc>
          <w:tcPr>
            <w:tcW w:w="5160" w:type="dxa"/>
            <w:vAlign w:val="bottom"/>
            <w:shd w:val="clear" w:color="auto" w:fill="CCEEFF"/>
          </w:tcPr>
          <w:p>
            <w:pPr>
              <w:ind w:left="40"/>
              <w:spacing w:after="0"/>
              <w:rPr>
                <w:sz w:val="20"/>
                <w:szCs w:val="20"/>
                <w:color w:val="auto"/>
              </w:rPr>
            </w:pPr>
            <w:r>
              <w:rPr>
                <w:rFonts w:ascii="Arial" w:cs="Arial" w:eastAsia="Arial" w:hAnsi="Arial"/>
                <w:sz w:val="18"/>
                <w:szCs w:val="18"/>
                <w:color w:val="auto"/>
              </w:rPr>
              <w:t>Other</w:t>
            </w:r>
          </w:p>
        </w:tc>
        <w:tc>
          <w:tcPr>
            <w:tcW w:w="360" w:type="dxa"/>
            <w:vAlign w:val="bottom"/>
            <w:shd w:val="clear" w:color="auto" w:fill="CCEEFF"/>
          </w:tcPr>
          <w:p>
            <w:pPr>
              <w:spacing w:after="0"/>
              <w:rPr>
                <w:sz w:val="24"/>
                <w:szCs w:val="24"/>
                <w:color w:val="auto"/>
              </w:rPr>
            </w:pPr>
          </w:p>
        </w:tc>
        <w:tc>
          <w:tcPr>
            <w:tcW w:w="1140" w:type="dxa"/>
            <w:vAlign w:val="bottom"/>
            <w:shd w:val="clear" w:color="auto" w:fill="CCEEFF"/>
          </w:tcPr>
          <w:p>
            <w:pPr>
              <w:jc w:val="right"/>
              <w:ind w:right="34"/>
              <w:spacing w:after="0"/>
              <w:rPr>
                <w:sz w:val="20"/>
                <w:szCs w:val="20"/>
                <w:color w:val="auto"/>
              </w:rPr>
            </w:pPr>
            <w:r>
              <w:rPr>
                <w:rFonts w:ascii="Arial" w:cs="Arial" w:eastAsia="Arial" w:hAnsi="Arial"/>
                <w:sz w:val="18"/>
                <w:szCs w:val="18"/>
                <w:color w:val="auto"/>
              </w:rPr>
              <w:t>5,090</w:t>
            </w:r>
          </w:p>
        </w:tc>
        <w:tc>
          <w:tcPr>
            <w:tcW w:w="100" w:type="dxa"/>
            <w:vAlign w:val="bottom"/>
            <w:shd w:val="clear" w:color="auto" w:fill="CCEEFF"/>
          </w:tcPr>
          <w:p>
            <w:pPr>
              <w:spacing w:after="0"/>
              <w:rPr>
                <w:sz w:val="24"/>
                <w:szCs w:val="24"/>
                <w:color w:val="auto"/>
              </w:rPr>
            </w:pPr>
          </w:p>
        </w:tc>
        <w:tc>
          <w:tcPr>
            <w:tcW w:w="500" w:type="dxa"/>
            <w:vAlign w:val="bottom"/>
            <w:shd w:val="clear" w:color="auto" w:fill="CCEEFF"/>
          </w:tcPr>
          <w:p>
            <w:pPr>
              <w:spacing w:after="0"/>
              <w:rPr>
                <w:sz w:val="24"/>
                <w:szCs w:val="24"/>
                <w:color w:val="auto"/>
              </w:rPr>
            </w:pPr>
          </w:p>
        </w:tc>
        <w:tc>
          <w:tcPr>
            <w:tcW w:w="98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5,090</w:t>
            </w:r>
          </w:p>
        </w:tc>
        <w:tc>
          <w:tcPr>
            <w:tcW w:w="120" w:type="dxa"/>
            <w:vAlign w:val="bottom"/>
            <w:shd w:val="clear" w:color="auto" w:fill="CCEEFF"/>
          </w:tcPr>
          <w:p>
            <w:pPr>
              <w:spacing w:after="0"/>
              <w:rPr>
                <w:sz w:val="24"/>
                <w:szCs w:val="24"/>
                <w:color w:val="auto"/>
              </w:rPr>
            </w:pPr>
          </w:p>
        </w:tc>
        <w:tc>
          <w:tcPr>
            <w:tcW w:w="240" w:type="dxa"/>
            <w:vAlign w:val="bottom"/>
            <w:shd w:val="clear" w:color="auto" w:fill="CCEEFF"/>
          </w:tcPr>
          <w:p>
            <w:pPr>
              <w:spacing w:after="0"/>
              <w:rPr>
                <w:sz w:val="24"/>
                <w:szCs w:val="24"/>
                <w:color w:val="auto"/>
              </w:rPr>
            </w:pPr>
          </w:p>
        </w:tc>
        <w:tc>
          <w:tcPr>
            <w:tcW w:w="1240" w:type="dxa"/>
            <w:vAlign w:val="bottom"/>
            <w:shd w:val="clear" w:color="auto" w:fill="CCEEFF"/>
          </w:tcPr>
          <w:p>
            <w:pPr>
              <w:jc w:val="right"/>
              <w:ind w:right="13"/>
              <w:spacing w:after="0"/>
              <w:rPr>
                <w:sz w:val="20"/>
                <w:szCs w:val="20"/>
                <w:color w:val="auto"/>
              </w:rPr>
            </w:pPr>
            <w:r>
              <w:rPr>
                <w:rFonts w:ascii="Arial" w:cs="Arial" w:eastAsia="Arial" w:hAnsi="Arial"/>
                <w:sz w:val="18"/>
                <w:szCs w:val="18"/>
                <w:color w:val="auto"/>
              </w:rPr>
              <w:t>—</w:t>
            </w:r>
          </w:p>
        </w:tc>
        <w:tc>
          <w:tcPr>
            <w:tcW w:w="1580" w:type="dxa"/>
            <w:vAlign w:val="bottom"/>
            <w:shd w:val="clear" w:color="auto" w:fill="CCEEFF"/>
          </w:tcPr>
          <w:p>
            <w:pPr>
              <w:jc w:val="right"/>
              <w:ind w:right="14"/>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43"/>
        </w:trPr>
        <w:tc>
          <w:tcPr>
            <w:tcW w:w="5160" w:type="dxa"/>
            <w:vAlign w:val="bottom"/>
          </w:tcPr>
          <w:p>
            <w:pPr>
              <w:ind w:left="40"/>
              <w:spacing w:after="0"/>
              <w:rPr>
                <w:sz w:val="20"/>
                <w:szCs w:val="20"/>
                <w:color w:val="auto"/>
              </w:rPr>
            </w:pPr>
            <w:r>
              <w:rPr>
                <w:rFonts w:ascii="Arial" w:cs="Arial" w:eastAsia="Arial" w:hAnsi="Arial"/>
                <w:sz w:val="18"/>
                <w:szCs w:val="18"/>
                <w:color w:val="auto"/>
              </w:rPr>
              <w:t>Regional expenses:</w:t>
            </w:r>
          </w:p>
        </w:tc>
        <w:tc>
          <w:tcPr>
            <w:tcW w:w="36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9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240" w:type="dxa"/>
            <w:vAlign w:val="bottom"/>
          </w:tcPr>
          <w:p>
            <w:pPr>
              <w:spacing w:after="0"/>
              <w:rPr>
                <w:sz w:val="21"/>
                <w:szCs w:val="21"/>
                <w:color w:val="auto"/>
              </w:rPr>
            </w:pPr>
          </w:p>
        </w:tc>
        <w:tc>
          <w:tcPr>
            <w:tcW w:w="15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516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500" w:type="dxa"/>
            <w:vAlign w:val="bottom"/>
          </w:tcPr>
          <w:p>
            <w:pPr>
              <w:spacing w:after="0"/>
              <w:rPr>
                <w:sz w:val="2"/>
                <w:szCs w:val="2"/>
                <w:color w:val="auto"/>
              </w:rPr>
            </w:pPr>
          </w:p>
        </w:tc>
        <w:tc>
          <w:tcPr>
            <w:tcW w:w="9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5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5160" w:type="dxa"/>
            <w:vAlign w:val="bottom"/>
            <w:shd w:val="clear" w:color="auto" w:fill="CCEEFF"/>
          </w:tcPr>
          <w:p>
            <w:pPr>
              <w:ind w:left="180"/>
              <w:spacing w:after="0"/>
              <w:rPr>
                <w:sz w:val="20"/>
                <w:szCs w:val="20"/>
                <w:color w:val="auto"/>
              </w:rPr>
            </w:pPr>
            <w:r>
              <w:rPr>
                <w:rFonts w:ascii="Arial" w:cs="Arial" w:eastAsia="Arial" w:hAnsi="Arial"/>
                <w:sz w:val="18"/>
                <w:szCs w:val="18"/>
                <w:color w:val="auto"/>
              </w:rPr>
              <w:t>Aircraft fuel and related taxes</w:t>
            </w:r>
          </w:p>
        </w:tc>
        <w:tc>
          <w:tcPr>
            <w:tcW w:w="360" w:type="dxa"/>
            <w:vAlign w:val="bottom"/>
            <w:shd w:val="clear" w:color="auto" w:fill="CCEEFF"/>
          </w:tcPr>
          <w:p>
            <w:pPr>
              <w:spacing w:after="0"/>
              <w:rPr>
                <w:sz w:val="23"/>
                <w:szCs w:val="23"/>
                <w:color w:val="auto"/>
              </w:rPr>
            </w:pPr>
          </w:p>
        </w:tc>
        <w:tc>
          <w:tcPr>
            <w:tcW w:w="1140" w:type="dxa"/>
            <w:vAlign w:val="bottom"/>
            <w:shd w:val="clear" w:color="auto" w:fill="CCEEFF"/>
          </w:tcPr>
          <w:p>
            <w:pPr>
              <w:jc w:val="right"/>
              <w:ind w:right="34"/>
              <w:spacing w:after="0"/>
              <w:rPr>
                <w:sz w:val="20"/>
                <w:szCs w:val="20"/>
                <w:color w:val="auto"/>
              </w:rPr>
            </w:pPr>
            <w:r>
              <w:rPr>
                <w:rFonts w:ascii="Arial" w:cs="Arial" w:eastAsia="Arial" w:hAnsi="Arial"/>
                <w:sz w:val="18"/>
                <w:szCs w:val="18"/>
                <w:color w:val="auto"/>
              </w:rPr>
              <w:t>1,869</w:t>
            </w:r>
          </w:p>
        </w:tc>
        <w:tc>
          <w:tcPr>
            <w:tcW w:w="100" w:type="dxa"/>
            <w:vAlign w:val="bottom"/>
            <w:shd w:val="clear" w:color="auto" w:fill="CCEEFF"/>
          </w:tcPr>
          <w:p>
            <w:pPr>
              <w:spacing w:after="0"/>
              <w:rPr>
                <w:sz w:val="23"/>
                <w:szCs w:val="23"/>
                <w:color w:val="auto"/>
              </w:rPr>
            </w:pPr>
          </w:p>
        </w:tc>
        <w:tc>
          <w:tcPr>
            <w:tcW w:w="500" w:type="dxa"/>
            <w:vAlign w:val="bottom"/>
            <w:shd w:val="clear" w:color="auto" w:fill="CCEEFF"/>
          </w:tcPr>
          <w:p>
            <w:pPr>
              <w:spacing w:after="0"/>
              <w:rPr>
                <w:sz w:val="23"/>
                <w:szCs w:val="23"/>
                <w:color w:val="auto"/>
              </w:rPr>
            </w:pPr>
          </w:p>
        </w:tc>
        <w:tc>
          <w:tcPr>
            <w:tcW w:w="98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1,843</w:t>
            </w:r>
          </w:p>
        </w:tc>
        <w:tc>
          <w:tcPr>
            <w:tcW w:w="120" w:type="dxa"/>
            <w:vAlign w:val="bottom"/>
            <w:shd w:val="clear" w:color="auto" w:fill="CCEEFF"/>
          </w:tcPr>
          <w:p>
            <w:pPr>
              <w:spacing w:after="0"/>
              <w:rPr>
                <w:sz w:val="23"/>
                <w:szCs w:val="23"/>
                <w:color w:val="auto"/>
              </w:rPr>
            </w:pPr>
          </w:p>
        </w:tc>
        <w:tc>
          <w:tcPr>
            <w:tcW w:w="240" w:type="dxa"/>
            <w:vAlign w:val="bottom"/>
            <w:shd w:val="clear" w:color="auto" w:fill="CCEEFF"/>
          </w:tcPr>
          <w:p>
            <w:pPr>
              <w:spacing w:after="0"/>
              <w:rPr>
                <w:sz w:val="23"/>
                <w:szCs w:val="23"/>
                <w:color w:val="auto"/>
              </w:rPr>
            </w:pPr>
          </w:p>
        </w:tc>
        <w:tc>
          <w:tcPr>
            <w:tcW w:w="1240" w:type="dxa"/>
            <w:vAlign w:val="bottom"/>
            <w:shd w:val="clear" w:color="auto" w:fill="CCEEFF"/>
          </w:tcPr>
          <w:p>
            <w:pPr>
              <w:jc w:val="right"/>
              <w:ind w:right="13"/>
              <w:spacing w:after="0"/>
              <w:rPr>
                <w:sz w:val="20"/>
                <w:szCs w:val="20"/>
                <w:color w:val="auto"/>
              </w:rPr>
            </w:pPr>
            <w:r>
              <w:rPr>
                <w:rFonts w:ascii="Arial" w:cs="Arial" w:eastAsia="Arial" w:hAnsi="Arial"/>
                <w:sz w:val="18"/>
                <w:szCs w:val="18"/>
                <w:color w:val="auto"/>
              </w:rPr>
              <w:t>26</w:t>
            </w:r>
          </w:p>
        </w:tc>
        <w:tc>
          <w:tcPr>
            <w:tcW w:w="1580" w:type="dxa"/>
            <w:vAlign w:val="bottom"/>
            <w:shd w:val="clear" w:color="auto" w:fill="CCEEFF"/>
          </w:tcPr>
          <w:p>
            <w:pPr>
              <w:jc w:val="right"/>
              <w:ind w:right="14"/>
              <w:spacing w:after="0"/>
              <w:rPr>
                <w:sz w:val="20"/>
                <w:szCs w:val="20"/>
                <w:color w:val="auto"/>
              </w:rPr>
            </w:pPr>
            <w:r>
              <w:rPr>
                <w:rFonts w:ascii="Arial" w:cs="Arial" w:eastAsia="Arial" w:hAnsi="Arial"/>
                <w:sz w:val="18"/>
                <w:szCs w:val="18"/>
                <w:color w:val="auto"/>
              </w:rPr>
              <w:t>1.4</w:t>
            </w:r>
          </w:p>
        </w:tc>
        <w:tc>
          <w:tcPr>
            <w:tcW w:w="0" w:type="dxa"/>
            <w:vAlign w:val="bottom"/>
          </w:tcPr>
          <w:p>
            <w:pPr>
              <w:spacing w:after="0"/>
              <w:rPr>
                <w:sz w:val="1"/>
                <w:szCs w:val="1"/>
                <w:color w:val="auto"/>
              </w:rPr>
            </w:pPr>
          </w:p>
        </w:tc>
      </w:tr>
      <w:tr>
        <w:trPr>
          <w:trHeight w:val="264"/>
        </w:trPr>
        <w:tc>
          <w:tcPr>
            <w:tcW w:w="5160" w:type="dxa"/>
            <w:vAlign w:val="bottom"/>
            <w:tcBorders>
              <w:bottom w:val="single" w:sz="8" w:color="CCEEFF"/>
            </w:tcBorders>
          </w:tcPr>
          <w:p>
            <w:pPr>
              <w:ind w:left="180"/>
              <w:spacing w:after="0"/>
              <w:rPr>
                <w:sz w:val="20"/>
                <w:szCs w:val="20"/>
                <w:color w:val="auto"/>
              </w:rPr>
            </w:pPr>
            <w:r>
              <w:rPr>
                <w:rFonts w:ascii="Arial" w:cs="Arial" w:eastAsia="Arial" w:hAnsi="Arial"/>
                <w:sz w:val="18"/>
                <w:szCs w:val="18"/>
                <w:color w:val="auto"/>
              </w:rPr>
              <w:t>Other</w:t>
            </w:r>
          </w:p>
        </w:tc>
        <w:tc>
          <w:tcPr>
            <w:tcW w:w="360" w:type="dxa"/>
            <w:vAlign w:val="bottom"/>
            <w:tcBorders>
              <w:bottom w:val="single" w:sz="8" w:color="auto"/>
            </w:tcBorders>
          </w:tcPr>
          <w:p>
            <w:pPr>
              <w:spacing w:after="0"/>
              <w:rPr>
                <w:sz w:val="22"/>
                <w:szCs w:val="22"/>
                <w:color w:val="auto"/>
              </w:rPr>
            </w:pPr>
          </w:p>
        </w:tc>
        <w:tc>
          <w:tcPr>
            <w:tcW w:w="1140" w:type="dxa"/>
            <w:vAlign w:val="bottom"/>
            <w:tcBorders>
              <w:bottom w:val="single" w:sz="8" w:color="auto"/>
            </w:tcBorders>
          </w:tcPr>
          <w:p>
            <w:pPr>
              <w:jc w:val="right"/>
              <w:ind w:right="34"/>
              <w:spacing w:after="0"/>
              <w:rPr>
                <w:sz w:val="20"/>
                <w:szCs w:val="20"/>
                <w:color w:val="auto"/>
              </w:rPr>
            </w:pPr>
            <w:r>
              <w:rPr>
                <w:rFonts w:ascii="Arial" w:cs="Arial" w:eastAsia="Arial" w:hAnsi="Arial"/>
                <w:sz w:val="18"/>
                <w:szCs w:val="18"/>
                <w:color w:val="auto"/>
              </w:rPr>
              <w:t>5,649</w:t>
            </w:r>
          </w:p>
        </w:tc>
        <w:tc>
          <w:tcPr>
            <w:tcW w:w="100" w:type="dxa"/>
            <w:vAlign w:val="bottom"/>
            <w:tcBorders>
              <w:bottom w:val="single" w:sz="8" w:color="CCEEFF"/>
            </w:tcBorders>
          </w:tcPr>
          <w:p>
            <w:pPr>
              <w:spacing w:after="0"/>
              <w:rPr>
                <w:sz w:val="22"/>
                <w:szCs w:val="22"/>
                <w:color w:val="auto"/>
              </w:rPr>
            </w:pPr>
          </w:p>
        </w:tc>
        <w:tc>
          <w:tcPr>
            <w:tcW w:w="500" w:type="dxa"/>
            <w:vAlign w:val="bottom"/>
            <w:tcBorders>
              <w:bottom w:val="single" w:sz="8" w:color="auto"/>
            </w:tcBorders>
          </w:tcPr>
          <w:p>
            <w:pPr>
              <w:spacing w:after="0"/>
              <w:rPr>
                <w:sz w:val="22"/>
                <w:szCs w:val="22"/>
                <w:color w:val="auto"/>
              </w:rPr>
            </w:pPr>
          </w:p>
        </w:tc>
        <w:tc>
          <w:tcPr>
            <w:tcW w:w="980" w:type="dxa"/>
            <w:vAlign w:val="bottom"/>
            <w:tcBorders>
              <w:bottom w:val="single" w:sz="8" w:color="auto"/>
            </w:tcBorders>
          </w:tcPr>
          <w:p>
            <w:pPr>
              <w:jc w:val="right"/>
              <w:ind w:right="11"/>
              <w:spacing w:after="0"/>
              <w:rPr>
                <w:sz w:val="20"/>
                <w:szCs w:val="20"/>
                <w:color w:val="auto"/>
              </w:rPr>
            </w:pPr>
            <w:r>
              <w:rPr>
                <w:rFonts w:ascii="Arial" w:cs="Arial" w:eastAsia="Arial" w:hAnsi="Arial"/>
                <w:sz w:val="18"/>
                <w:szCs w:val="18"/>
                <w:color w:val="auto"/>
              </w:rPr>
              <w:t>5,221</w:t>
            </w:r>
          </w:p>
        </w:tc>
        <w:tc>
          <w:tcPr>
            <w:tcW w:w="120" w:type="dxa"/>
            <w:vAlign w:val="bottom"/>
            <w:tcBorders>
              <w:bottom w:val="single" w:sz="8" w:color="CCEEFF"/>
            </w:tcBorders>
          </w:tcPr>
          <w:p>
            <w:pPr>
              <w:spacing w:after="0"/>
              <w:rPr>
                <w:sz w:val="22"/>
                <w:szCs w:val="22"/>
                <w:color w:val="auto"/>
              </w:rPr>
            </w:pPr>
          </w:p>
        </w:tc>
        <w:tc>
          <w:tcPr>
            <w:tcW w:w="240" w:type="dxa"/>
            <w:vAlign w:val="bottom"/>
            <w:tcBorders>
              <w:bottom w:val="single" w:sz="8" w:color="auto"/>
            </w:tcBorders>
          </w:tcPr>
          <w:p>
            <w:pPr>
              <w:spacing w:after="0"/>
              <w:rPr>
                <w:sz w:val="22"/>
                <w:szCs w:val="22"/>
                <w:color w:val="auto"/>
              </w:rPr>
            </w:pPr>
          </w:p>
        </w:tc>
        <w:tc>
          <w:tcPr>
            <w:tcW w:w="1240" w:type="dxa"/>
            <w:vAlign w:val="bottom"/>
            <w:tcBorders>
              <w:bottom w:val="single" w:sz="8" w:color="auto"/>
            </w:tcBorders>
          </w:tcPr>
          <w:p>
            <w:pPr>
              <w:jc w:val="right"/>
              <w:ind w:right="13"/>
              <w:spacing w:after="0"/>
              <w:rPr>
                <w:sz w:val="20"/>
                <w:szCs w:val="20"/>
                <w:color w:val="auto"/>
              </w:rPr>
            </w:pPr>
            <w:r>
              <w:rPr>
                <w:rFonts w:ascii="Arial" w:cs="Arial" w:eastAsia="Arial" w:hAnsi="Arial"/>
                <w:sz w:val="18"/>
                <w:szCs w:val="18"/>
                <w:color w:val="auto"/>
              </w:rPr>
              <w:t>428</w:t>
            </w:r>
          </w:p>
        </w:tc>
        <w:tc>
          <w:tcPr>
            <w:tcW w:w="1580" w:type="dxa"/>
            <w:vAlign w:val="bottom"/>
            <w:tcBorders>
              <w:bottom w:val="single" w:sz="8" w:color="CCEEFF"/>
            </w:tcBorders>
          </w:tcPr>
          <w:p>
            <w:pPr>
              <w:jc w:val="right"/>
              <w:ind w:right="14"/>
              <w:spacing w:after="0"/>
              <w:rPr>
                <w:sz w:val="20"/>
                <w:szCs w:val="20"/>
                <w:color w:val="auto"/>
              </w:rPr>
            </w:pPr>
            <w:r>
              <w:rPr>
                <w:rFonts w:ascii="Arial" w:cs="Arial" w:eastAsia="Arial" w:hAnsi="Arial"/>
                <w:sz w:val="18"/>
                <w:szCs w:val="18"/>
                <w:color w:val="auto"/>
              </w:rPr>
              <w:t>8.2</w:t>
            </w:r>
          </w:p>
        </w:tc>
        <w:tc>
          <w:tcPr>
            <w:tcW w:w="0" w:type="dxa"/>
            <w:vAlign w:val="bottom"/>
          </w:tcPr>
          <w:p>
            <w:pPr>
              <w:spacing w:after="0"/>
              <w:rPr>
                <w:sz w:val="1"/>
                <w:szCs w:val="1"/>
                <w:color w:val="auto"/>
              </w:rPr>
            </w:pPr>
          </w:p>
        </w:tc>
      </w:tr>
      <w:tr>
        <w:trPr>
          <w:trHeight w:val="257"/>
        </w:trPr>
        <w:tc>
          <w:tcPr>
            <w:tcW w:w="516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Total operating expenses</w:t>
            </w:r>
          </w:p>
        </w:tc>
        <w:tc>
          <w:tcPr>
            <w:tcW w:w="360" w:type="dxa"/>
            <w:vAlign w:val="bottom"/>
            <w:tcBorders>
              <w:bottom w:val="single" w:sz="8" w:color="auto"/>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140" w:type="dxa"/>
            <w:vAlign w:val="bottom"/>
            <w:tcBorders>
              <w:bottom w:val="single" w:sz="8" w:color="auto"/>
            </w:tcBorders>
            <w:shd w:val="clear" w:color="auto" w:fill="CCEEFF"/>
          </w:tcPr>
          <w:p>
            <w:pPr>
              <w:jc w:val="right"/>
              <w:ind w:right="34"/>
              <w:spacing w:after="0"/>
              <w:rPr>
                <w:sz w:val="20"/>
                <w:szCs w:val="20"/>
                <w:color w:val="auto"/>
              </w:rPr>
            </w:pPr>
            <w:r>
              <w:rPr>
                <w:rFonts w:ascii="Arial" w:cs="Arial" w:eastAsia="Arial" w:hAnsi="Arial"/>
                <w:sz w:val="18"/>
                <w:szCs w:val="18"/>
                <w:color w:val="auto"/>
              </w:rPr>
              <w:t>42,714</w:t>
            </w:r>
          </w:p>
        </w:tc>
        <w:tc>
          <w:tcPr>
            <w:tcW w:w="100" w:type="dxa"/>
            <w:vAlign w:val="bottom"/>
            <w:tcBorders>
              <w:bottom w:val="single" w:sz="8" w:color="CCEEFF"/>
            </w:tcBorders>
            <w:shd w:val="clear" w:color="auto" w:fill="CCEEFF"/>
          </w:tcPr>
          <w:p>
            <w:pPr>
              <w:spacing w:after="0"/>
              <w:rPr>
                <w:sz w:val="22"/>
                <w:szCs w:val="22"/>
                <w:color w:val="auto"/>
              </w:rPr>
            </w:pPr>
          </w:p>
        </w:tc>
        <w:tc>
          <w:tcPr>
            <w:tcW w:w="500" w:type="dxa"/>
            <w:vAlign w:val="bottom"/>
            <w:tcBorders>
              <w:bottom w:val="single" w:sz="8" w:color="auto"/>
            </w:tcBorders>
            <w:shd w:val="clear" w:color="auto" w:fill="CCEEFF"/>
          </w:tcPr>
          <w:p>
            <w:pPr>
              <w:jc w:val="right"/>
              <w:ind w:right="296"/>
              <w:spacing w:after="0"/>
              <w:rPr>
                <w:sz w:val="20"/>
                <w:szCs w:val="20"/>
                <w:color w:val="auto"/>
              </w:rPr>
            </w:pPr>
            <w:r>
              <w:rPr>
                <w:rFonts w:ascii="Arial" w:cs="Arial" w:eastAsia="Arial" w:hAnsi="Arial"/>
                <w:sz w:val="18"/>
                <w:szCs w:val="18"/>
                <w:color w:val="auto"/>
                <w:w w:val="99"/>
              </w:rPr>
              <w:t>$</w:t>
            </w:r>
          </w:p>
        </w:tc>
        <w:tc>
          <w:tcPr>
            <w:tcW w:w="980" w:type="dxa"/>
            <w:vAlign w:val="bottom"/>
            <w:tcBorders>
              <w:bottom w:val="single" w:sz="8" w:color="auto"/>
            </w:tcBorders>
            <w:shd w:val="clear" w:color="auto" w:fill="CCEEFF"/>
          </w:tcPr>
          <w:p>
            <w:pPr>
              <w:jc w:val="right"/>
              <w:ind w:right="11"/>
              <w:spacing w:after="0"/>
              <w:rPr>
                <w:sz w:val="20"/>
                <w:szCs w:val="20"/>
                <w:color w:val="auto"/>
              </w:rPr>
            </w:pPr>
            <w:r>
              <w:rPr>
                <w:rFonts w:ascii="Arial" w:cs="Arial" w:eastAsia="Arial" w:hAnsi="Arial"/>
                <w:sz w:val="18"/>
                <w:szCs w:val="18"/>
                <w:color w:val="auto"/>
              </w:rPr>
              <w:t>41,807</w:t>
            </w:r>
          </w:p>
        </w:tc>
        <w:tc>
          <w:tcPr>
            <w:tcW w:w="12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240" w:type="dxa"/>
            <w:vAlign w:val="bottom"/>
            <w:tcBorders>
              <w:bottom w:val="single" w:sz="8" w:color="auto"/>
            </w:tcBorders>
            <w:shd w:val="clear" w:color="auto" w:fill="CCEEFF"/>
          </w:tcPr>
          <w:p>
            <w:pPr>
              <w:jc w:val="right"/>
              <w:ind w:right="13"/>
              <w:spacing w:after="0"/>
              <w:rPr>
                <w:sz w:val="20"/>
                <w:szCs w:val="20"/>
                <w:color w:val="auto"/>
              </w:rPr>
            </w:pPr>
            <w:r>
              <w:rPr>
                <w:rFonts w:ascii="Arial" w:cs="Arial" w:eastAsia="Arial" w:hAnsi="Arial"/>
                <w:sz w:val="18"/>
                <w:szCs w:val="18"/>
                <w:color w:val="auto"/>
              </w:rPr>
              <w:t>907</w:t>
            </w:r>
          </w:p>
        </w:tc>
        <w:tc>
          <w:tcPr>
            <w:tcW w:w="158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2.2</w:t>
            </w:r>
          </w:p>
        </w:tc>
        <w:tc>
          <w:tcPr>
            <w:tcW w:w="0" w:type="dxa"/>
            <w:vAlign w:val="bottom"/>
          </w:tcPr>
          <w:p>
            <w:pPr>
              <w:spacing w:after="0"/>
              <w:rPr>
                <w:sz w:val="1"/>
                <w:szCs w:val="1"/>
                <w:color w:val="auto"/>
              </w:rPr>
            </w:pPr>
          </w:p>
        </w:tc>
      </w:tr>
      <w:tr>
        <w:trPr>
          <w:trHeight w:val="20"/>
        </w:trPr>
        <w:tc>
          <w:tcPr>
            <w:tcW w:w="516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5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23" w:lineRule="exact"/>
        <w:rPr>
          <w:sz w:val="20"/>
          <w:szCs w:val="20"/>
          <w:color w:val="auto"/>
        </w:rPr>
      </w:pPr>
    </w:p>
    <w:p>
      <w:pPr>
        <w:ind w:left="220"/>
        <w:spacing w:after="0"/>
        <w:rPr>
          <w:sz w:val="20"/>
          <w:szCs w:val="20"/>
          <w:color w:val="auto"/>
        </w:rPr>
      </w:pPr>
      <w:r>
        <w:rPr>
          <w:rFonts w:ascii="Arial" w:cs="Arial" w:eastAsia="Arial" w:hAnsi="Arial"/>
          <w:sz w:val="18"/>
          <w:szCs w:val="18"/>
          <w:color w:val="auto"/>
        </w:rPr>
        <w:t>Total operating expenses increased $907 million, or 2.2%, in 2019 from 2018.</w:t>
      </w:r>
    </w:p>
    <w:p>
      <w:pPr>
        <w:spacing w:after="0" w:line="171" w:lineRule="exact"/>
        <w:rPr>
          <w:sz w:val="20"/>
          <w:szCs w:val="20"/>
          <w:color w:val="auto"/>
        </w:rPr>
      </w:pPr>
    </w:p>
    <w:p>
      <w:pPr>
        <w:ind w:left="220"/>
        <w:spacing w:after="0"/>
        <w:rPr>
          <w:sz w:val="20"/>
          <w:szCs w:val="20"/>
          <w:color w:val="auto"/>
        </w:rPr>
      </w:pPr>
      <w:r>
        <w:rPr>
          <w:rFonts w:ascii="Arial" w:cs="Arial" w:eastAsia="Arial" w:hAnsi="Arial"/>
          <w:sz w:val="18"/>
          <w:szCs w:val="18"/>
          <w:color w:val="auto"/>
        </w:rPr>
        <w:t>Significant changes in the components of American’s total operating expenses are as follows:</w:t>
      </w:r>
    </w:p>
    <w:p>
      <w:pPr>
        <w:spacing w:after="0" w:line="171" w:lineRule="exact"/>
        <w:rPr>
          <w:sz w:val="20"/>
          <w:szCs w:val="20"/>
          <w:color w:val="auto"/>
        </w:rPr>
      </w:pPr>
    </w:p>
    <w:p>
      <w:pPr>
        <w:ind w:left="580" w:right="20" w:hanging="329"/>
        <w:spacing w:after="0" w:line="262" w:lineRule="auto"/>
        <w:tabs>
          <w:tab w:leader="none" w:pos="580" w:val="left"/>
        </w:tabs>
        <w:numPr>
          <w:ilvl w:val="0"/>
          <w:numId w:val="25"/>
        </w:numPr>
        <w:rPr>
          <w:rFonts w:ascii="Arial" w:cs="Arial" w:eastAsia="Arial" w:hAnsi="Arial"/>
          <w:sz w:val="18"/>
          <w:szCs w:val="18"/>
          <w:color w:val="auto"/>
        </w:rPr>
      </w:pPr>
      <w:r>
        <w:rPr>
          <w:rFonts w:ascii="Arial" w:cs="Arial" w:eastAsia="Arial" w:hAnsi="Arial"/>
          <w:sz w:val="18"/>
          <w:szCs w:val="18"/>
          <w:color w:val="auto"/>
        </w:rPr>
        <w:t>Mainline aircraft fuel and related taxes decreased 6.5% in 2019 as compared to 2018 primarily due to a 7.1% decrease in the average price per gallon of fuel including related taxes to $2.05 in 2019 from $2.21 in 2018.</w:t>
      </w:r>
    </w:p>
    <w:p>
      <w:pPr>
        <w:spacing w:after="0" w:line="88" w:lineRule="exact"/>
        <w:rPr>
          <w:rFonts w:ascii="Arial" w:cs="Arial" w:eastAsia="Arial" w:hAnsi="Arial"/>
          <w:sz w:val="18"/>
          <w:szCs w:val="18"/>
          <w:color w:val="auto"/>
        </w:rPr>
      </w:pPr>
    </w:p>
    <w:p>
      <w:pPr>
        <w:jc w:val="both"/>
        <w:ind w:left="580" w:hanging="329"/>
        <w:spacing w:after="0" w:line="252" w:lineRule="auto"/>
        <w:tabs>
          <w:tab w:leader="none" w:pos="580" w:val="left"/>
        </w:tabs>
        <w:numPr>
          <w:ilvl w:val="0"/>
          <w:numId w:val="25"/>
        </w:numPr>
        <w:rPr>
          <w:rFonts w:ascii="Arial" w:cs="Arial" w:eastAsia="Arial" w:hAnsi="Arial"/>
          <w:sz w:val="18"/>
          <w:szCs w:val="18"/>
          <w:color w:val="auto"/>
        </w:rPr>
      </w:pPr>
      <w:r>
        <w:rPr>
          <w:rFonts w:ascii="Arial" w:cs="Arial" w:eastAsia="Arial" w:hAnsi="Arial"/>
          <w:sz w:val="18"/>
          <w:szCs w:val="18"/>
          <w:color w:val="auto"/>
        </w:rPr>
        <w:t>Maintenance, materials and repairs increased 16.1% in 2019 as compared to 2018 primarily due to a contract change that resulted in certain flight equipment transitioning to a flight hour based contract (referred to as power by the hour) whereby expense is incurred and recognized based on actual hours flown. Previously, this flight equipment was covered by a time and materials based contract whereby expense is incurred and recognized as maintenance is performed. An increase in the volume of airframe and engine overhauls performed under time and material based contracts as well as an increase in the volume of component part repairs also drove higher maintenance expenses in 2019.</w:t>
      </w:r>
    </w:p>
    <w:p>
      <w:pPr>
        <w:spacing w:after="0" w:line="100" w:lineRule="exact"/>
        <w:rPr>
          <w:rFonts w:ascii="Arial" w:cs="Arial" w:eastAsia="Arial" w:hAnsi="Arial"/>
          <w:sz w:val="18"/>
          <w:szCs w:val="18"/>
          <w:color w:val="auto"/>
        </w:rPr>
      </w:pPr>
    </w:p>
    <w:p>
      <w:pPr>
        <w:ind w:left="580" w:hanging="329"/>
        <w:spacing w:after="0" w:line="262" w:lineRule="auto"/>
        <w:tabs>
          <w:tab w:leader="none" w:pos="580" w:val="left"/>
        </w:tabs>
        <w:numPr>
          <w:ilvl w:val="0"/>
          <w:numId w:val="25"/>
        </w:numPr>
        <w:rPr>
          <w:rFonts w:ascii="Arial" w:cs="Arial" w:eastAsia="Arial" w:hAnsi="Arial"/>
          <w:sz w:val="18"/>
          <w:szCs w:val="18"/>
          <w:color w:val="auto"/>
        </w:rPr>
      </w:pPr>
      <w:r>
        <w:rPr>
          <w:rFonts w:ascii="Arial" w:cs="Arial" w:eastAsia="Arial" w:hAnsi="Arial"/>
          <w:sz w:val="18"/>
          <w:szCs w:val="18"/>
          <w:color w:val="auto"/>
        </w:rPr>
        <w:t>Other rent and landing fees increased 8.2% in 2019 as compared to 2018 primarily due to an expansion at DFW that became fully operational in May 2019 and rate increases at certain hub airports.</w:t>
      </w:r>
    </w:p>
    <w:p>
      <w:pPr>
        <w:spacing w:after="0" w:line="88" w:lineRule="exact"/>
        <w:rPr>
          <w:rFonts w:ascii="Arial" w:cs="Arial" w:eastAsia="Arial" w:hAnsi="Arial"/>
          <w:sz w:val="18"/>
          <w:szCs w:val="18"/>
          <w:color w:val="auto"/>
        </w:rPr>
      </w:pPr>
    </w:p>
    <w:p>
      <w:pPr>
        <w:jc w:val="both"/>
        <w:ind w:left="580" w:hanging="329"/>
        <w:spacing w:after="0" w:line="256" w:lineRule="auto"/>
        <w:tabs>
          <w:tab w:leader="none" w:pos="580" w:val="left"/>
        </w:tabs>
        <w:numPr>
          <w:ilvl w:val="0"/>
          <w:numId w:val="25"/>
        </w:numPr>
        <w:rPr>
          <w:rFonts w:ascii="Arial" w:cs="Arial" w:eastAsia="Arial" w:hAnsi="Arial"/>
          <w:sz w:val="18"/>
          <w:szCs w:val="18"/>
          <w:color w:val="auto"/>
        </w:rPr>
      </w:pPr>
      <w:r>
        <w:rPr>
          <w:rFonts w:ascii="Arial" w:cs="Arial" w:eastAsia="Arial" w:hAnsi="Arial"/>
          <w:sz w:val="18"/>
          <w:szCs w:val="18"/>
          <w:color w:val="auto"/>
        </w:rPr>
        <w:t>Depreciation and amortization increased 7.7% in 2019 as compared to 2018 due in part to airport and other facility improvements and the harmonization of interior configurations across the mainline fleet. Depreciation associated with aircraft acquired as part of American’s fleet renewal program also contributed to the increase.</w:t>
      </w:r>
    </w:p>
    <w:p>
      <w:pPr>
        <w:spacing w:after="0" w:line="20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57</w:t>
      </w:r>
    </w:p>
    <w:p>
      <w:pPr>
        <w:sectPr>
          <w:pgSz w:w="11900" w:h="16838" w:orient="portrait"/>
          <w:cols w:equalWidth="0" w:num="1">
            <w:col w:w="11420"/>
          </w:cols>
          <w:pgMar w:left="240" w:top="733" w:right="239" w:bottom="1440" w:gutter="0" w:footer="0" w:header="0"/>
        </w:sectPr>
      </w:pPr>
    </w:p>
    <w:bookmarkStart w:id="57" w:name="page58"/>
    <w:bookmarkEnd w:id="57"/>
    <w:p>
      <w:pPr>
        <w:jc w:val="both"/>
        <w:ind w:left="580" w:hanging="329"/>
        <w:spacing w:after="0" w:line="256" w:lineRule="auto"/>
        <w:tabs>
          <w:tab w:leader="none" w:pos="580" w:val="left"/>
        </w:tabs>
        <w:numPr>
          <w:ilvl w:val="0"/>
          <w:numId w:val="26"/>
        </w:numPr>
        <w:rPr>
          <w:rFonts w:ascii="Arial" w:cs="Arial" w:eastAsia="Arial" w:hAnsi="Arial"/>
          <w:sz w:val="18"/>
          <w:szCs w:val="18"/>
          <w:color w:val="auto"/>
        </w:rPr>
      </w:pPr>
      <w:r>
        <w:rPr>
          <w:rFonts w:ascii="Arial" w:cs="Arial" w:eastAsia="Arial" w:hAnsi="Arial"/>
          <w:sz w:val="18"/>
          <w:szCs w:val="18"/>
          <w:color w:val="auto"/>
        </w:rPr>
        <w:t>Regional aircraft fuel and related taxes increased 1.4% in 2019 as compared to 2018 primarily due to an 8.3% increase in gallons of fuel consumed, offset in part by a 6.4% decrease in the average price per gallon of fuel including related taxes to $2.15 in 2019 from $2.30 in 2018.</w:t>
      </w:r>
    </w:p>
    <w:p>
      <w:pPr>
        <w:spacing w:after="0" w:line="93" w:lineRule="exact"/>
        <w:rPr>
          <w:rFonts w:ascii="Arial" w:cs="Arial" w:eastAsia="Arial" w:hAnsi="Arial"/>
          <w:sz w:val="18"/>
          <w:szCs w:val="18"/>
          <w:color w:val="auto"/>
        </w:rPr>
      </w:pPr>
    </w:p>
    <w:p>
      <w:pPr>
        <w:ind w:left="580" w:hanging="329"/>
        <w:spacing w:after="0"/>
        <w:tabs>
          <w:tab w:leader="none" w:pos="580" w:val="left"/>
        </w:tabs>
        <w:numPr>
          <w:ilvl w:val="0"/>
          <w:numId w:val="26"/>
        </w:numPr>
        <w:rPr>
          <w:rFonts w:ascii="Arial" w:cs="Arial" w:eastAsia="Arial" w:hAnsi="Arial"/>
          <w:sz w:val="18"/>
          <w:szCs w:val="18"/>
          <w:color w:val="auto"/>
        </w:rPr>
      </w:pPr>
      <w:r>
        <w:rPr>
          <w:rFonts w:ascii="Arial" w:cs="Arial" w:eastAsia="Arial" w:hAnsi="Arial"/>
          <w:sz w:val="18"/>
          <w:szCs w:val="18"/>
          <w:color w:val="auto"/>
        </w:rPr>
        <w:t>Regional other operating expenses increased 8.2% in 2019 as compared to 2018 primarily driven by an increase in regional capacity.</w:t>
      </w:r>
    </w:p>
    <w:p>
      <w:pPr>
        <w:spacing w:after="0" w:line="234" w:lineRule="exact"/>
        <w:rPr>
          <w:sz w:val="20"/>
          <w:szCs w:val="20"/>
          <w:color w:val="auto"/>
        </w:rPr>
      </w:pPr>
    </w:p>
    <w:p>
      <w:pPr>
        <w:ind w:left="220"/>
        <w:spacing w:after="0"/>
        <w:rPr>
          <w:sz w:val="20"/>
          <w:szCs w:val="20"/>
          <w:color w:val="auto"/>
        </w:rPr>
      </w:pPr>
      <w:r>
        <w:rPr>
          <w:rFonts w:ascii="Arial" w:cs="Arial" w:eastAsia="Arial" w:hAnsi="Arial"/>
          <w:sz w:val="18"/>
          <w:szCs w:val="18"/>
          <w:i w:val="1"/>
          <w:iCs w:val="1"/>
          <w:u w:val="single" w:color="auto"/>
          <w:color w:val="auto"/>
        </w:rPr>
        <w:t>Operating Special Items, Net</w:t>
      </w:r>
    </w:p>
    <w:p>
      <w:pPr>
        <w:spacing w:after="0" w:line="200" w:lineRule="exact"/>
        <w:rPr>
          <w:sz w:val="20"/>
          <w:szCs w:val="20"/>
          <w:color w:val="auto"/>
        </w:rPr>
      </w:pPr>
    </w:p>
    <w:p>
      <w:pPr>
        <w:spacing w:after="0" w:line="301" w:lineRule="exact"/>
        <w:rPr>
          <w:sz w:val="20"/>
          <w:szCs w:val="20"/>
          <w:color w:val="auto"/>
        </w:rPr>
      </w:pPr>
    </w:p>
    <w:tbl>
      <w:tblPr>
        <w:tblLayout w:type="fixed"/>
        <w:tblInd w:w="0" w:type="dxa"/>
        <w:tblCellMar>
          <w:top w:w="0" w:type="dxa"/>
          <w:left w:w="0" w:type="dxa"/>
          <w:bottom w:w="0" w:type="dxa"/>
          <w:right w:w="0" w:type="dxa"/>
        </w:tblCellMar>
      </w:tblPr>
      <w:tr>
        <w:trPr>
          <w:trHeight w:val="196"/>
        </w:trPr>
        <w:tc>
          <w:tcPr>
            <w:tcW w:w="7440" w:type="dxa"/>
            <w:vAlign w:val="bottom"/>
          </w:tcPr>
          <w:p>
            <w:pPr>
              <w:spacing w:after="0"/>
              <w:rPr>
                <w:sz w:val="17"/>
                <w:szCs w:val="17"/>
                <w:color w:val="auto"/>
              </w:rPr>
            </w:pPr>
          </w:p>
        </w:tc>
        <w:tc>
          <w:tcPr>
            <w:tcW w:w="2860" w:type="dxa"/>
            <w:vAlign w:val="bottom"/>
            <w:tcBorders>
              <w:bottom w:val="single" w:sz="8" w:color="auto"/>
            </w:tcBorders>
            <w:gridSpan w:val="4"/>
          </w:tcPr>
          <w:p>
            <w:pPr>
              <w:jc w:val="right"/>
              <w:ind w:right="176"/>
              <w:spacing w:after="0"/>
              <w:rPr>
                <w:sz w:val="20"/>
                <w:szCs w:val="20"/>
                <w:color w:val="auto"/>
              </w:rPr>
            </w:pPr>
            <w:r>
              <w:rPr>
                <w:rFonts w:ascii="Arial" w:cs="Arial" w:eastAsia="Arial" w:hAnsi="Arial"/>
                <w:sz w:val="14"/>
                <w:szCs w:val="14"/>
                <w:b w:val="1"/>
                <w:bCs w:val="1"/>
                <w:color w:val="auto"/>
              </w:rPr>
              <w:t>Year Ended December 31,</w:t>
            </w:r>
          </w:p>
        </w:tc>
        <w:tc>
          <w:tcPr>
            <w:tcW w:w="540" w:type="dxa"/>
            <w:vAlign w:val="bottom"/>
            <w:tcBorders>
              <w:bottom w:val="single" w:sz="8" w:color="auto"/>
            </w:tcBorders>
          </w:tcPr>
          <w:p>
            <w:pPr>
              <w:spacing w:after="0"/>
              <w:rPr>
                <w:sz w:val="17"/>
                <w:szCs w:val="17"/>
                <w:color w:val="auto"/>
              </w:rPr>
            </w:pPr>
          </w:p>
        </w:tc>
      </w:tr>
      <w:tr>
        <w:trPr>
          <w:trHeight w:val="264"/>
        </w:trPr>
        <w:tc>
          <w:tcPr>
            <w:tcW w:w="7440" w:type="dxa"/>
            <w:vAlign w:val="bottom"/>
          </w:tcPr>
          <w:p>
            <w:pPr>
              <w:spacing w:after="0"/>
              <w:rPr>
                <w:sz w:val="22"/>
                <w:szCs w:val="22"/>
                <w:color w:val="auto"/>
              </w:rPr>
            </w:pPr>
          </w:p>
        </w:tc>
        <w:tc>
          <w:tcPr>
            <w:tcW w:w="1100" w:type="dxa"/>
            <w:vAlign w:val="bottom"/>
            <w:tcBorders>
              <w:bottom w:val="single" w:sz="8" w:color="auto"/>
            </w:tcBorders>
          </w:tcPr>
          <w:p>
            <w:pPr>
              <w:jc w:val="right"/>
              <w:ind w:right="39"/>
              <w:spacing w:after="0"/>
              <w:rPr>
                <w:sz w:val="20"/>
                <w:szCs w:val="20"/>
                <w:color w:val="auto"/>
              </w:rPr>
            </w:pPr>
            <w:r>
              <w:rPr>
                <w:rFonts w:ascii="Arial" w:cs="Arial" w:eastAsia="Arial" w:hAnsi="Arial"/>
                <w:sz w:val="14"/>
                <w:szCs w:val="14"/>
                <w:b w:val="1"/>
                <w:bCs w:val="1"/>
                <w:color w:val="auto"/>
              </w:rPr>
              <w:t>2019</w:t>
            </w:r>
          </w:p>
        </w:tc>
        <w:tc>
          <w:tcPr>
            <w:tcW w:w="540" w:type="dxa"/>
            <w:vAlign w:val="bottom"/>
            <w:tcBorders>
              <w:bottom w:val="single" w:sz="8" w:color="auto"/>
            </w:tcBorders>
          </w:tcPr>
          <w:p>
            <w:pPr>
              <w:spacing w:after="0"/>
              <w:rPr>
                <w:sz w:val="22"/>
                <w:szCs w:val="22"/>
                <w:color w:val="auto"/>
              </w:rPr>
            </w:pPr>
          </w:p>
        </w:tc>
        <w:tc>
          <w:tcPr>
            <w:tcW w:w="120" w:type="dxa"/>
            <w:vAlign w:val="bottom"/>
            <w:tcBorders>
              <w:bottom w:val="single" w:sz="8" w:color="auto"/>
            </w:tcBorders>
          </w:tcPr>
          <w:p>
            <w:pPr>
              <w:spacing w:after="0"/>
              <w:rPr>
                <w:sz w:val="22"/>
                <w:szCs w:val="22"/>
                <w:color w:val="auto"/>
              </w:rPr>
            </w:pPr>
          </w:p>
        </w:tc>
        <w:tc>
          <w:tcPr>
            <w:tcW w:w="1100" w:type="dxa"/>
            <w:vAlign w:val="bottom"/>
            <w:tcBorders>
              <w:bottom w:val="single" w:sz="8" w:color="auto"/>
            </w:tcBorders>
          </w:tcPr>
          <w:p>
            <w:pPr>
              <w:jc w:val="right"/>
              <w:ind w:right="36"/>
              <w:spacing w:after="0"/>
              <w:rPr>
                <w:sz w:val="20"/>
                <w:szCs w:val="20"/>
                <w:color w:val="auto"/>
              </w:rPr>
            </w:pPr>
            <w:r>
              <w:rPr>
                <w:rFonts w:ascii="Arial" w:cs="Arial" w:eastAsia="Arial" w:hAnsi="Arial"/>
                <w:sz w:val="14"/>
                <w:szCs w:val="14"/>
                <w:b w:val="1"/>
                <w:bCs w:val="1"/>
                <w:color w:val="auto"/>
              </w:rPr>
              <w:t>2018</w:t>
            </w:r>
          </w:p>
        </w:tc>
        <w:tc>
          <w:tcPr>
            <w:tcW w:w="540" w:type="dxa"/>
            <w:vAlign w:val="bottom"/>
            <w:tcBorders>
              <w:bottom w:val="single" w:sz="8" w:color="auto"/>
            </w:tcBorders>
          </w:tcPr>
          <w:p>
            <w:pPr>
              <w:spacing w:after="0"/>
              <w:rPr>
                <w:sz w:val="22"/>
                <w:szCs w:val="22"/>
                <w:color w:val="auto"/>
              </w:rPr>
            </w:pPr>
          </w:p>
        </w:tc>
      </w:tr>
      <w:tr>
        <w:trPr>
          <w:trHeight w:val="210"/>
        </w:trPr>
        <w:tc>
          <w:tcPr>
            <w:tcW w:w="744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760" w:type="dxa"/>
            <w:vAlign w:val="bottom"/>
            <w:gridSpan w:val="3"/>
          </w:tcPr>
          <w:p>
            <w:pPr>
              <w:jc w:val="right"/>
              <w:ind w:right="656"/>
              <w:spacing w:after="0"/>
              <w:rPr>
                <w:sz w:val="20"/>
                <w:szCs w:val="20"/>
                <w:color w:val="auto"/>
              </w:rPr>
            </w:pPr>
            <w:r>
              <w:rPr>
                <w:rFonts w:ascii="Arial" w:cs="Arial" w:eastAsia="Arial" w:hAnsi="Arial"/>
                <w:sz w:val="14"/>
                <w:szCs w:val="14"/>
                <w:b w:val="1"/>
                <w:bCs w:val="1"/>
                <w:color w:val="auto"/>
              </w:rPr>
              <w:t>(In millions)</w:t>
            </w:r>
          </w:p>
        </w:tc>
        <w:tc>
          <w:tcPr>
            <w:tcW w:w="540" w:type="dxa"/>
            <w:vAlign w:val="bottom"/>
          </w:tcPr>
          <w:p>
            <w:pPr>
              <w:spacing w:after="0"/>
              <w:rPr>
                <w:sz w:val="18"/>
                <w:szCs w:val="18"/>
                <w:color w:val="auto"/>
              </w:rPr>
            </w:pPr>
          </w:p>
        </w:tc>
      </w:tr>
      <w:tr>
        <w:trPr>
          <w:trHeight w:val="276"/>
        </w:trPr>
        <w:tc>
          <w:tcPr>
            <w:tcW w:w="7440" w:type="dxa"/>
            <w:vAlign w:val="bottom"/>
            <w:shd w:val="clear" w:color="auto" w:fill="CCEEFF"/>
          </w:tcPr>
          <w:p>
            <w:pPr>
              <w:ind w:left="40"/>
              <w:spacing w:after="0"/>
              <w:rPr>
                <w:sz w:val="20"/>
                <w:szCs w:val="20"/>
                <w:color w:val="auto"/>
              </w:rPr>
            </w:pPr>
            <w:r>
              <w:rPr>
                <w:rFonts w:ascii="Arial" w:cs="Arial" w:eastAsia="Arial" w:hAnsi="Arial"/>
                <w:sz w:val="18"/>
                <w:szCs w:val="18"/>
                <w:color w:val="auto"/>
              </w:rPr>
              <w:t xml:space="preserve">Fleet restructuring expenses </w:t>
            </w:r>
            <w:r>
              <w:rPr>
                <w:rFonts w:ascii="Arial" w:cs="Arial" w:eastAsia="Arial" w:hAnsi="Arial"/>
                <w:sz w:val="21"/>
                <w:szCs w:val="21"/>
                <w:color w:val="auto"/>
                <w:vertAlign w:val="superscript"/>
              </w:rPr>
              <w:t>(1)</w:t>
            </w:r>
          </w:p>
        </w:tc>
        <w:tc>
          <w:tcPr>
            <w:tcW w:w="1100" w:type="dxa"/>
            <w:vAlign w:val="bottom"/>
            <w:shd w:val="clear" w:color="auto" w:fill="CCEEFF"/>
          </w:tcPr>
          <w:p>
            <w:pPr>
              <w:jc w:val="right"/>
              <w:ind w:right="899"/>
              <w:spacing w:after="0"/>
              <w:rPr>
                <w:sz w:val="20"/>
                <w:szCs w:val="20"/>
                <w:color w:val="auto"/>
              </w:rPr>
            </w:pPr>
            <w:r>
              <w:rPr>
                <w:rFonts w:ascii="Arial" w:cs="Arial" w:eastAsia="Arial" w:hAnsi="Arial"/>
                <w:sz w:val="18"/>
                <w:szCs w:val="18"/>
                <w:color w:val="auto"/>
                <w:w w:val="99"/>
              </w:rPr>
              <w:t>$</w:t>
            </w:r>
          </w:p>
        </w:tc>
        <w:tc>
          <w:tcPr>
            <w:tcW w:w="54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271</w:t>
            </w:r>
          </w:p>
        </w:tc>
        <w:tc>
          <w:tcPr>
            <w:tcW w:w="120" w:type="dxa"/>
            <w:vAlign w:val="bottom"/>
            <w:shd w:val="clear" w:color="auto" w:fill="CCEEFF"/>
          </w:tcPr>
          <w:p>
            <w:pPr>
              <w:spacing w:after="0"/>
              <w:rPr>
                <w:sz w:val="24"/>
                <w:szCs w:val="24"/>
                <w:color w:val="auto"/>
              </w:rPr>
            </w:pPr>
          </w:p>
        </w:tc>
        <w:tc>
          <w:tcPr>
            <w:tcW w:w="1100" w:type="dxa"/>
            <w:vAlign w:val="bottom"/>
            <w:shd w:val="clear" w:color="auto" w:fill="CCEEFF"/>
          </w:tcPr>
          <w:p>
            <w:pPr>
              <w:jc w:val="right"/>
              <w:ind w:right="896"/>
              <w:spacing w:after="0"/>
              <w:rPr>
                <w:sz w:val="20"/>
                <w:szCs w:val="20"/>
                <w:color w:val="auto"/>
              </w:rPr>
            </w:pPr>
            <w:r>
              <w:rPr>
                <w:rFonts w:ascii="Arial" w:cs="Arial" w:eastAsia="Arial" w:hAnsi="Arial"/>
                <w:sz w:val="18"/>
                <w:szCs w:val="18"/>
                <w:color w:val="auto"/>
                <w:w w:val="99"/>
              </w:rPr>
              <w:t>$</w:t>
            </w:r>
          </w:p>
        </w:tc>
        <w:tc>
          <w:tcPr>
            <w:tcW w:w="54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422</w:t>
            </w:r>
          </w:p>
        </w:tc>
      </w:tr>
      <w:tr>
        <w:trPr>
          <w:trHeight w:val="270"/>
        </w:trPr>
        <w:tc>
          <w:tcPr>
            <w:tcW w:w="7440" w:type="dxa"/>
            <w:vAlign w:val="bottom"/>
          </w:tcPr>
          <w:p>
            <w:pPr>
              <w:ind w:left="40"/>
              <w:spacing w:after="0"/>
              <w:rPr>
                <w:sz w:val="20"/>
                <w:szCs w:val="20"/>
                <w:color w:val="auto"/>
              </w:rPr>
            </w:pPr>
            <w:r>
              <w:rPr>
                <w:rFonts w:ascii="Arial" w:cs="Arial" w:eastAsia="Arial" w:hAnsi="Arial"/>
                <w:sz w:val="18"/>
                <w:szCs w:val="18"/>
                <w:color w:val="auto"/>
              </w:rPr>
              <w:t xml:space="preserve">Fleet impairment </w:t>
            </w:r>
            <w:r>
              <w:rPr>
                <w:rFonts w:ascii="Arial" w:cs="Arial" w:eastAsia="Arial" w:hAnsi="Arial"/>
                <w:sz w:val="21"/>
                <w:szCs w:val="21"/>
                <w:color w:val="auto"/>
                <w:vertAlign w:val="superscript"/>
              </w:rPr>
              <w:t>(2)</w:t>
            </w:r>
          </w:p>
        </w:tc>
        <w:tc>
          <w:tcPr>
            <w:tcW w:w="1100" w:type="dxa"/>
            <w:vAlign w:val="bottom"/>
          </w:tcPr>
          <w:p>
            <w:pPr>
              <w:spacing w:after="0"/>
              <w:rPr>
                <w:sz w:val="23"/>
                <w:szCs w:val="23"/>
                <w:color w:val="auto"/>
              </w:rPr>
            </w:pPr>
          </w:p>
        </w:tc>
        <w:tc>
          <w:tcPr>
            <w:tcW w:w="540" w:type="dxa"/>
            <w:vAlign w:val="bottom"/>
          </w:tcPr>
          <w:p>
            <w:pPr>
              <w:jc w:val="right"/>
              <w:ind w:right="12"/>
              <w:spacing w:after="0"/>
              <w:rPr>
                <w:sz w:val="20"/>
                <w:szCs w:val="20"/>
                <w:color w:val="auto"/>
              </w:rPr>
            </w:pPr>
            <w:r>
              <w:rPr>
                <w:rFonts w:ascii="Arial" w:cs="Arial" w:eastAsia="Arial" w:hAnsi="Arial"/>
                <w:sz w:val="18"/>
                <w:szCs w:val="18"/>
                <w:color w:val="auto"/>
              </w:rPr>
              <w:t>213</w:t>
            </w:r>
          </w:p>
        </w:tc>
        <w:tc>
          <w:tcPr>
            <w:tcW w:w="120" w:type="dxa"/>
            <w:vAlign w:val="bottom"/>
          </w:tcPr>
          <w:p>
            <w:pPr>
              <w:spacing w:after="0"/>
              <w:rPr>
                <w:sz w:val="23"/>
                <w:szCs w:val="23"/>
                <w:color w:val="auto"/>
              </w:rPr>
            </w:pPr>
          </w:p>
        </w:tc>
        <w:tc>
          <w:tcPr>
            <w:tcW w:w="1100" w:type="dxa"/>
            <w:vAlign w:val="bottom"/>
          </w:tcPr>
          <w:p>
            <w:pPr>
              <w:spacing w:after="0"/>
              <w:rPr>
                <w:sz w:val="23"/>
                <w:szCs w:val="23"/>
                <w:color w:val="auto"/>
              </w:rPr>
            </w:pPr>
          </w:p>
        </w:tc>
        <w:tc>
          <w:tcPr>
            <w:tcW w:w="540" w:type="dxa"/>
            <w:vAlign w:val="bottom"/>
          </w:tcPr>
          <w:p>
            <w:pPr>
              <w:jc w:val="right"/>
              <w:ind w:right="10"/>
              <w:spacing w:after="0"/>
              <w:rPr>
                <w:sz w:val="20"/>
                <w:szCs w:val="20"/>
                <w:color w:val="auto"/>
              </w:rPr>
            </w:pPr>
            <w:r>
              <w:rPr>
                <w:rFonts w:ascii="Arial" w:cs="Arial" w:eastAsia="Arial" w:hAnsi="Arial"/>
                <w:sz w:val="18"/>
                <w:szCs w:val="18"/>
                <w:color w:val="auto"/>
              </w:rPr>
              <w:t>—</w:t>
            </w:r>
          </w:p>
        </w:tc>
      </w:tr>
      <w:tr>
        <w:trPr>
          <w:trHeight w:val="270"/>
        </w:trPr>
        <w:tc>
          <w:tcPr>
            <w:tcW w:w="7440" w:type="dxa"/>
            <w:vAlign w:val="bottom"/>
            <w:shd w:val="clear" w:color="auto" w:fill="CCEEFF"/>
          </w:tcPr>
          <w:p>
            <w:pPr>
              <w:ind w:left="40"/>
              <w:spacing w:after="0"/>
              <w:rPr>
                <w:sz w:val="20"/>
                <w:szCs w:val="20"/>
                <w:color w:val="auto"/>
              </w:rPr>
            </w:pPr>
            <w:r>
              <w:rPr>
                <w:rFonts w:ascii="Arial" w:cs="Arial" w:eastAsia="Arial" w:hAnsi="Arial"/>
                <w:sz w:val="18"/>
                <w:szCs w:val="18"/>
                <w:color w:val="auto"/>
              </w:rPr>
              <w:t xml:space="preserve">Merger integration expenses </w:t>
            </w:r>
            <w:r>
              <w:rPr>
                <w:rFonts w:ascii="Arial" w:cs="Arial" w:eastAsia="Arial" w:hAnsi="Arial"/>
                <w:sz w:val="21"/>
                <w:szCs w:val="21"/>
                <w:color w:val="auto"/>
                <w:vertAlign w:val="superscript"/>
              </w:rPr>
              <w:t>(3)</w:t>
            </w:r>
          </w:p>
        </w:tc>
        <w:tc>
          <w:tcPr>
            <w:tcW w:w="1100" w:type="dxa"/>
            <w:vAlign w:val="bottom"/>
            <w:shd w:val="clear" w:color="auto" w:fill="CCEEFF"/>
          </w:tcPr>
          <w:p>
            <w:pPr>
              <w:spacing w:after="0"/>
              <w:rPr>
                <w:sz w:val="23"/>
                <w:szCs w:val="23"/>
                <w:color w:val="auto"/>
              </w:rPr>
            </w:pPr>
          </w:p>
        </w:tc>
        <w:tc>
          <w:tcPr>
            <w:tcW w:w="54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191</w:t>
            </w:r>
          </w:p>
        </w:tc>
        <w:tc>
          <w:tcPr>
            <w:tcW w:w="120" w:type="dxa"/>
            <w:vAlign w:val="bottom"/>
            <w:shd w:val="clear" w:color="auto" w:fill="CCEEFF"/>
          </w:tcPr>
          <w:p>
            <w:pPr>
              <w:spacing w:after="0"/>
              <w:rPr>
                <w:sz w:val="23"/>
                <w:szCs w:val="23"/>
                <w:color w:val="auto"/>
              </w:rPr>
            </w:pPr>
          </w:p>
        </w:tc>
        <w:tc>
          <w:tcPr>
            <w:tcW w:w="1100" w:type="dxa"/>
            <w:vAlign w:val="bottom"/>
            <w:shd w:val="clear" w:color="auto" w:fill="CCEEFF"/>
          </w:tcPr>
          <w:p>
            <w:pPr>
              <w:spacing w:after="0"/>
              <w:rPr>
                <w:sz w:val="23"/>
                <w:szCs w:val="23"/>
                <w:color w:val="auto"/>
              </w:rPr>
            </w:pPr>
          </w:p>
        </w:tc>
        <w:tc>
          <w:tcPr>
            <w:tcW w:w="54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268</w:t>
            </w:r>
          </w:p>
        </w:tc>
      </w:tr>
      <w:tr>
        <w:trPr>
          <w:trHeight w:val="263"/>
        </w:trPr>
        <w:tc>
          <w:tcPr>
            <w:tcW w:w="7440" w:type="dxa"/>
            <w:vAlign w:val="bottom"/>
          </w:tcPr>
          <w:p>
            <w:pPr>
              <w:ind w:left="40"/>
              <w:spacing w:after="0"/>
              <w:rPr>
                <w:sz w:val="20"/>
                <w:szCs w:val="20"/>
                <w:color w:val="auto"/>
              </w:rPr>
            </w:pPr>
            <w:r>
              <w:rPr>
                <w:rFonts w:ascii="Arial" w:cs="Arial" w:eastAsia="Arial" w:hAnsi="Arial"/>
                <w:sz w:val="18"/>
                <w:szCs w:val="18"/>
                <w:color w:val="auto"/>
              </w:rPr>
              <w:t>Litigation reserve adjustments</w:t>
            </w:r>
          </w:p>
        </w:tc>
        <w:tc>
          <w:tcPr>
            <w:tcW w:w="1100" w:type="dxa"/>
            <w:vAlign w:val="bottom"/>
          </w:tcPr>
          <w:p>
            <w:pPr>
              <w:spacing w:after="0"/>
              <w:rPr>
                <w:sz w:val="22"/>
                <w:szCs w:val="22"/>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rPr>
              <w:t>(53)</w:t>
            </w:r>
          </w:p>
        </w:tc>
        <w:tc>
          <w:tcPr>
            <w:tcW w:w="120" w:type="dxa"/>
            <w:vAlign w:val="bottom"/>
          </w:tcPr>
          <w:p>
            <w:pPr>
              <w:spacing w:after="0"/>
              <w:rPr>
                <w:sz w:val="22"/>
                <w:szCs w:val="22"/>
                <w:color w:val="auto"/>
              </w:rPr>
            </w:pPr>
          </w:p>
        </w:tc>
        <w:tc>
          <w:tcPr>
            <w:tcW w:w="1100" w:type="dxa"/>
            <w:vAlign w:val="bottom"/>
          </w:tcPr>
          <w:p>
            <w:pPr>
              <w:spacing w:after="0"/>
              <w:rPr>
                <w:sz w:val="22"/>
                <w:szCs w:val="22"/>
                <w:color w:val="auto"/>
              </w:rPr>
            </w:pPr>
          </w:p>
        </w:tc>
        <w:tc>
          <w:tcPr>
            <w:tcW w:w="540" w:type="dxa"/>
            <w:vAlign w:val="bottom"/>
          </w:tcPr>
          <w:p>
            <w:pPr>
              <w:jc w:val="right"/>
              <w:ind w:right="10"/>
              <w:spacing w:after="0"/>
              <w:rPr>
                <w:sz w:val="20"/>
                <w:szCs w:val="20"/>
                <w:color w:val="auto"/>
              </w:rPr>
            </w:pPr>
            <w:r>
              <w:rPr>
                <w:rFonts w:ascii="Arial" w:cs="Arial" w:eastAsia="Arial" w:hAnsi="Arial"/>
                <w:sz w:val="18"/>
                <w:szCs w:val="18"/>
                <w:color w:val="auto"/>
              </w:rPr>
              <w:t>45</w:t>
            </w:r>
          </w:p>
        </w:tc>
      </w:tr>
      <w:tr>
        <w:trPr>
          <w:trHeight w:val="277"/>
        </w:trPr>
        <w:tc>
          <w:tcPr>
            <w:tcW w:w="7440" w:type="dxa"/>
            <w:vAlign w:val="bottom"/>
            <w:shd w:val="clear" w:color="auto" w:fill="CCEEFF"/>
          </w:tcPr>
          <w:p>
            <w:pPr>
              <w:ind w:left="40"/>
              <w:spacing w:after="0"/>
              <w:rPr>
                <w:sz w:val="20"/>
                <w:szCs w:val="20"/>
                <w:color w:val="auto"/>
              </w:rPr>
            </w:pPr>
            <w:r>
              <w:rPr>
                <w:rFonts w:ascii="Arial" w:cs="Arial" w:eastAsia="Arial" w:hAnsi="Arial"/>
                <w:sz w:val="18"/>
                <w:szCs w:val="18"/>
                <w:color w:val="auto"/>
              </w:rPr>
              <w:t xml:space="preserve">Mark-to-market adjustments on bankruptcy obligations, net </w:t>
            </w:r>
            <w:r>
              <w:rPr>
                <w:rFonts w:ascii="Arial" w:cs="Arial" w:eastAsia="Arial" w:hAnsi="Arial"/>
                <w:sz w:val="21"/>
                <w:szCs w:val="21"/>
                <w:color w:val="auto"/>
                <w:vertAlign w:val="superscript"/>
              </w:rPr>
              <w:t>(4)</w:t>
            </w:r>
          </w:p>
        </w:tc>
        <w:tc>
          <w:tcPr>
            <w:tcW w:w="1100" w:type="dxa"/>
            <w:vAlign w:val="bottom"/>
            <w:shd w:val="clear" w:color="auto" w:fill="CCEEFF"/>
          </w:tcPr>
          <w:p>
            <w:pPr>
              <w:spacing w:after="0"/>
              <w:rPr>
                <w:sz w:val="24"/>
                <w:szCs w:val="24"/>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w:t>
            </w:r>
          </w:p>
        </w:tc>
        <w:tc>
          <w:tcPr>
            <w:tcW w:w="120" w:type="dxa"/>
            <w:vAlign w:val="bottom"/>
            <w:shd w:val="clear" w:color="auto" w:fill="CCEEFF"/>
          </w:tcPr>
          <w:p>
            <w:pPr>
              <w:spacing w:after="0"/>
              <w:rPr>
                <w:sz w:val="24"/>
                <w:szCs w:val="24"/>
                <w:color w:val="auto"/>
              </w:rPr>
            </w:pPr>
          </w:p>
        </w:tc>
        <w:tc>
          <w:tcPr>
            <w:tcW w:w="1100" w:type="dxa"/>
            <w:vAlign w:val="bottom"/>
            <w:shd w:val="clear" w:color="auto" w:fill="CCEEFF"/>
          </w:tcPr>
          <w:p>
            <w:pPr>
              <w:spacing w:after="0"/>
              <w:rPr>
                <w:sz w:val="24"/>
                <w:szCs w:val="24"/>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(76)</w:t>
            </w:r>
          </w:p>
        </w:tc>
      </w:tr>
      <w:tr>
        <w:trPr>
          <w:trHeight w:val="270"/>
        </w:trPr>
        <w:tc>
          <w:tcPr>
            <w:tcW w:w="7440" w:type="dxa"/>
            <w:vAlign w:val="bottom"/>
          </w:tcPr>
          <w:p>
            <w:pPr>
              <w:ind w:left="40"/>
              <w:spacing w:after="0"/>
              <w:rPr>
                <w:sz w:val="20"/>
                <w:szCs w:val="20"/>
                <w:color w:val="auto"/>
              </w:rPr>
            </w:pPr>
            <w:r>
              <w:rPr>
                <w:rFonts w:ascii="Arial" w:cs="Arial" w:eastAsia="Arial" w:hAnsi="Arial"/>
                <w:sz w:val="18"/>
                <w:szCs w:val="18"/>
                <w:color w:val="auto"/>
              </w:rPr>
              <w:t xml:space="preserve">Severance expenses </w:t>
            </w:r>
            <w:r>
              <w:rPr>
                <w:rFonts w:ascii="Arial" w:cs="Arial" w:eastAsia="Arial" w:hAnsi="Arial"/>
                <w:sz w:val="21"/>
                <w:szCs w:val="21"/>
                <w:color w:val="auto"/>
                <w:vertAlign w:val="superscript"/>
              </w:rPr>
              <w:t>(5)</w:t>
            </w:r>
          </w:p>
        </w:tc>
        <w:tc>
          <w:tcPr>
            <w:tcW w:w="1100" w:type="dxa"/>
            <w:vAlign w:val="bottom"/>
          </w:tcPr>
          <w:p>
            <w:pPr>
              <w:spacing w:after="0"/>
              <w:rPr>
                <w:sz w:val="23"/>
                <w:szCs w:val="23"/>
                <w:color w:val="auto"/>
              </w:rPr>
            </w:pPr>
          </w:p>
        </w:tc>
        <w:tc>
          <w:tcPr>
            <w:tcW w:w="540" w:type="dxa"/>
            <w:vAlign w:val="bottom"/>
          </w:tcPr>
          <w:p>
            <w:pPr>
              <w:jc w:val="right"/>
              <w:ind w:right="12"/>
              <w:spacing w:after="0"/>
              <w:rPr>
                <w:sz w:val="20"/>
                <w:szCs w:val="20"/>
                <w:color w:val="auto"/>
              </w:rPr>
            </w:pPr>
            <w:r>
              <w:rPr>
                <w:rFonts w:ascii="Arial" w:cs="Arial" w:eastAsia="Arial" w:hAnsi="Arial"/>
                <w:sz w:val="18"/>
                <w:szCs w:val="18"/>
                <w:color w:val="auto"/>
              </w:rPr>
              <w:t>11</w:t>
            </w:r>
          </w:p>
        </w:tc>
        <w:tc>
          <w:tcPr>
            <w:tcW w:w="120" w:type="dxa"/>
            <w:vAlign w:val="bottom"/>
          </w:tcPr>
          <w:p>
            <w:pPr>
              <w:spacing w:after="0"/>
              <w:rPr>
                <w:sz w:val="23"/>
                <w:szCs w:val="23"/>
                <w:color w:val="auto"/>
              </w:rPr>
            </w:pPr>
          </w:p>
        </w:tc>
        <w:tc>
          <w:tcPr>
            <w:tcW w:w="1100" w:type="dxa"/>
            <w:vAlign w:val="bottom"/>
          </w:tcPr>
          <w:p>
            <w:pPr>
              <w:spacing w:after="0"/>
              <w:rPr>
                <w:sz w:val="23"/>
                <w:szCs w:val="23"/>
                <w:color w:val="auto"/>
              </w:rPr>
            </w:pPr>
          </w:p>
        </w:tc>
        <w:tc>
          <w:tcPr>
            <w:tcW w:w="540" w:type="dxa"/>
            <w:vAlign w:val="bottom"/>
          </w:tcPr>
          <w:p>
            <w:pPr>
              <w:jc w:val="right"/>
              <w:ind w:right="10"/>
              <w:spacing w:after="0"/>
              <w:rPr>
                <w:sz w:val="20"/>
                <w:szCs w:val="20"/>
                <w:color w:val="auto"/>
              </w:rPr>
            </w:pPr>
            <w:r>
              <w:rPr>
                <w:rFonts w:ascii="Arial" w:cs="Arial" w:eastAsia="Arial" w:hAnsi="Arial"/>
                <w:sz w:val="18"/>
                <w:szCs w:val="18"/>
                <w:color w:val="auto"/>
              </w:rPr>
              <w:t>58</w:t>
            </w:r>
          </w:p>
        </w:tc>
      </w:tr>
      <w:tr>
        <w:trPr>
          <w:trHeight w:val="270"/>
        </w:trPr>
        <w:tc>
          <w:tcPr>
            <w:tcW w:w="7440" w:type="dxa"/>
            <w:vAlign w:val="bottom"/>
            <w:shd w:val="clear" w:color="auto" w:fill="CCEEFF"/>
          </w:tcPr>
          <w:p>
            <w:pPr>
              <w:ind w:left="40"/>
              <w:spacing w:after="0"/>
              <w:rPr>
                <w:sz w:val="20"/>
                <w:szCs w:val="20"/>
                <w:color w:val="auto"/>
              </w:rPr>
            </w:pPr>
            <w:r>
              <w:rPr>
                <w:rFonts w:ascii="Arial" w:cs="Arial" w:eastAsia="Arial" w:hAnsi="Arial"/>
                <w:sz w:val="18"/>
                <w:szCs w:val="18"/>
                <w:color w:val="auto"/>
              </w:rPr>
              <w:t xml:space="preserve">Intangible asset impairment </w:t>
            </w:r>
            <w:r>
              <w:rPr>
                <w:rFonts w:ascii="Arial" w:cs="Arial" w:eastAsia="Arial" w:hAnsi="Arial"/>
                <w:sz w:val="21"/>
                <w:szCs w:val="21"/>
                <w:color w:val="auto"/>
                <w:vertAlign w:val="superscript"/>
              </w:rPr>
              <w:t>(6)</w:t>
            </w:r>
          </w:p>
        </w:tc>
        <w:tc>
          <w:tcPr>
            <w:tcW w:w="1100" w:type="dxa"/>
            <w:vAlign w:val="bottom"/>
            <w:shd w:val="clear" w:color="auto" w:fill="CCEEFF"/>
          </w:tcPr>
          <w:p>
            <w:pPr>
              <w:spacing w:after="0"/>
              <w:rPr>
                <w:sz w:val="23"/>
                <w:szCs w:val="23"/>
                <w:color w:val="auto"/>
              </w:rPr>
            </w:pPr>
          </w:p>
        </w:tc>
        <w:tc>
          <w:tcPr>
            <w:tcW w:w="6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100" w:type="dxa"/>
            <w:vAlign w:val="bottom"/>
            <w:shd w:val="clear" w:color="auto" w:fill="CCEEFF"/>
          </w:tcPr>
          <w:p>
            <w:pPr>
              <w:spacing w:after="0"/>
              <w:rPr>
                <w:sz w:val="23"/>
                <w:szCs w:val="23"/>
                <w:color w:val="auto"/>
              </w:rPr>
            </w:pPr>
          </w:p>
        </w:tc>
        <w:tc>
          <w:tcPr>
            <w:tcW w:w="54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26</w:t>
            </w:r>
          </w:p>
        </w:tc>
      </w:tr>
      <w:tr>
        <w:trPr>
          <w:trHeight w:val="263"/>
        </w:trPr>
        <w:tc>
          <w:tcPr>
            <w:tcW w:w="7440" w:type="dxa"/>
            <w:vAlign w:val="bottom"/>
          </w:tcPr>
          <w:p>
            <w:pPr>
              <w:ind w:left="40"/>
              <w:spacing w:after="0"/>
              <w:rPr>
                <w:sz w:val="20"/>
                <w:szCs w:val="20"/>
                <w:color w:val="auto"/>
              </w:rPr>
            </w:pPr>
            <w:r>
              <w:rPr>
                <w:rFonts w:ascii="Arial" w:cs="Arial" w:eastAsia="Arial" w:hAnsi="Arial"/>
                <w:sz w:val="18"/>
                <w:szCs w:val="18"/>
                <w:color w:val="auto"/>
              </w:rPr>
              <w:t>Labor contract expenses</w:t>
            </w:r>
          </w:p>
        </w:tc>
        <w:tc>
          <w:tcPr>
            <w:tcW w:w="1100" w:type="dxa"/>
            <w:vAlign w:val="bottom"/>
          </w:tcPr>
          <w:p>
            <w:pPr>
              <w:spacing w:after="0"/>
              <w:rPr>
                <w:sz w:val="22"/>
                <w:szCs w:val="22"/>
                <w:color w:val="auto"/>
              </w:rPr>
            </w:pPr>
          </w:p>
        </w:tc>
        <w:tc>
          <w:tcPr>
            <w:tcW w:w="6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100" w:type="dxa"/>
            <w:vAlign w:val="bottom"/>
          </w:tcPr>
          <w:p>
            <w:pPr>
              <w:spacing w:after="0"/>
              <w:rPr>
                <w:sz w:val="22"/>
                <w:szCs w:val="22"/>
                <w:color w:val="auto"/>
              </w:rPr>
            </w:pPr>
          </w:p>
        </w:tc>
        <w:tc>
          <w:tcPr>
            <w:tcW w:w="540" w:type="dxa"/>
            <w:vAlign w:val="bottom"/>
          </w:tcPr>
          <w:p>
            <w:pPr>
              <w:jc w:val="right"/>
              <w:ind w:right="10"/>
              <w:spacing w:after="0"/>
              <w:rPr>
                <w:sz w:val="20"/>
                <w:szCs w:val="20"/>
                <w:color w:val="auto"/>
              </w:rPr>
            </w:pPr>
            <w:r>
              <w:rPr>
                <w:rFonts w:ascii="Arial" w:cs="Arial" w:eastAsia="Arial" w:hAnsi="Arial"/>
                <w:sz w:val="18"/>
                <w:szCs w:val="18"/>
                <w:color w:val="auto"/>
              </w:rPr>
              <w:t>13</w:t>
            </w:r>
          </w:p>
        </w:tc>
      </w:tr>
      <w:tr>
        <w:trPr>
          <w:trHeight w:val="270"/>
        </w:trPr>
        <w:tc>
          <w:tcPr>
            <w:tcW w:w="7440" w:type="dxa"/>
            <w:vAlign w:val="bottom"/>
            <w:shd w:val="clear" w:color="auto" w:fill="CCEEFF"/>
          </w:tcPr>
          <w:p>
            <w:pPr>
              <w:ind w:left="40"/>
              <w:spacing w:after="0"/>
              <w:rPr>
                <w:sz w:val="20"/>
                <w:szCs w:val="20"/>
                <w:color w:val="auto"/>
              </w:rPr>
            </w:pPr>
            <w:r>
              <w:rPr>
                <w:rFonts w:ascii="Arial" w:cs="Arial" w:eastAsia="Arial" w:hAnsi="Arial"/>
                <w:sz w:val="18"/>
                <w:szCs w:val="18"/>
                <w:color w:val="auto"/>
              </w:rPr>
              <w:t>Other operating charges, net</w:t>
            </w:r>
          </w:p>
        </w:tc>
        <w:tc>
          <w:tcPr>
            <w:tcW w:w="1100" w:type="dxa"/>
            <w:vAlign w:val="bottom"/>
            <w:tcBorders>
              <w:bottom w:val="single" w:sz="8" w:color="auto"/>
            </w:tcBorders>
            <w:shd w:val="clear" w:color="auto" w:fill="CCEEFF"/>
          </w:tcPr>
          <w:p>
            <w:pPr>
              <w:spacing w:after="0"/>
              <w:rPr>
                <w:sz w:val="23"/>
                <w:szCs w:val="23"/>
                <w:color w:val="auto"/>
              </w:rPr>
            </w:pPr>
          </w:p>
        </w:tc>
        <w:tc>
          <w:tcPr>
            <w:tcW w:w="540" w:type="dxa"/>
            <w:vAlign w:val="bottom"/>
            <w:tcBorders>
              <w:bottom w:val="single" w:sz="8" w:color="auto"/>
            </w:tcBorders>
            <w:shd w:val="clear" w:color="auto" w:fill="CCEEFF"/>
          </w:tcPr>
          <w:p>
            <w:pPr>
              <w:jc w:val="right"/>
              <w:ind w:right="12"/>
              <w:spacing w:after="0"/>
              <w:rPr>
                <w:sz w:val="20"/>
                <w:szCs w:val="20"/>
                <w:color w:val="auto"/>
              </w:rPr>
            </w:pPr>
            <w:r>
              <w:rPr>
                <w:rFonts w:ascii="Arial" w:cs="Arial" w:eastAsia="Arial" w:hAnsi="Arial"/>
                <w:sz w:val="18"/>
                <w:szCs w:val="18"/>
                <w:color w:val="auto"/>
              </w:rPr>
              <w:t>13</w:t>
            </w:r>
          </w:p>
        </w:tc>
        <w:tc>
          <w:tcPr>
            <w:tcW w:w="120" w:type="dxa"/>
            <w:vAlign w:val="bottom"/>
            <w:shd w:val="clear" w:color="auto" w:fill="CCEEFF"/>
          </w:tcPr>
          <w:p>
            <w:pPr>
              <w:spacing w:after="0"/>
              <w:rPr>
                <w:sz w:val="23"/>
                <w:szCs w:val="23"/>
                <w:color w:val="auto"/>
              </w:rPr>
            </w:pPr>
          </w:p>
        </w:tc>
        <w:tc>
          <w:tcPr>
            <w:tcW w:w="1100" w:type="dxa"/>
            <w:vAlign w:val="bottom"/>
            <w:tcBorders>
              <w:bottom w:val="single" w:sz="8" w:color="auto"/>
            </w:tcBorders>
            <w:shd w:val="clear" w:color="auto" w:fill="CCEEFF"/>
          </w:tcPr>
          <w:p>
            <w:pPr>
              <w:spacing w:after="0"/>
              <w:rPr>
                <w:sz w:val="23"/>
                <w:szCs w:val="23"/>
                <w:color w:val="auto"/>
              </w:rPr>
            </w:pPr>
          </w:p>
        </w:tc>
        <w:tc>
          <w:tcPr>
            <w:tcW w:w="54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31</w:t>
            </w:r>
          </w:p>
        </w:tc>
      </w:tr>
      <w:tr>
        <w:trPr>
          <w:trHeight w:val="257"/>
        </w:trPr>
        <w:tc>
          <w:tcPr>
            <w:tcW w:w="7440" w:type="dxa"/>
            <w:vAlign w:val="bottom"/>
          </w:tcPr>
          <w:p>
            <w:pPr>
              <w:ind w:left="280"/>
              <w:spacing w:after="0"/>
              <w:rPr>
                <w:sz w:val="20"/>
                <w:szCs w:val="20"/>
                <w:color w:val="auto"/>
              </w:rPr>
            </w:pPr>
            <w:r>
              <w:rPr>
                <w:rFonts w:ascii="Arial" w:cs="Arial" w:eastAsia="Arial" w:hAnsi="Arial"/>
                <w:sz w:val="18"/>
                <w:szCs w:val="18"/>
                <w:color w:val="auto"/>
              </w:rPr>
              <w:t>Total mainline operating special items, net</w:t>
            </w:r>
          </w:p>
        </w:tc>
        <w:tc>
          <w:tcPr>
            <w:tcW w:w="1100" w:type="dxa"/>
            <w:vAlign w:val="bottom"/>
            <w:tcBorders>
              <w:bottom w:val="single" w:sz="8" w:color="auto"/>
            </w:tcBorders>
          </w:tcPr>
          <w:p>
            <w:pPr>
              <w:jc w:val="right"/>
              <w:ind w:right="899"/>
              <w:spacing w:after="0"/>
              <w:rPr>
                <w:sz w:val="20"/>
                <w:szCs w:val="20"/>
                <w:color w:val="auto"/>
              </w:rPr>
            </w:pPr>
            <w:r>
              <w:rPr>
                <w:rFonts w:ascii="Arial" w:cs="Arial" w:eastAsia="Arial" w:hAnsi="Arial"/>
                <w:sz w:val="18"/>
                <w:szCs w:val="18"/>
                <w:color w:val="auto"/>
                <w:w w:val="99"/>
              </w:rPr>
              <w:t>$</w:t>
            </w:r>
          </w:p>
        </w:tc>
        <w:tc>
          <w:tcPr>
            <w:tcW w:w="540" w:type="dxa"/>
            <w:vAlign w:val="bottom"/>
            <w:tcBorders>
              <w:bottom w:val="single" w:sz="8" w:color="auto"/>
            </w:tcBorders>
          </w:tcPr>
          <w:p>
            <w:pPr>
              <w:jc w:val="right"/>
              <w:ind w:right="12"/>
              <w:spacing w:after="0"/>
              <w:rPr>
                <w:sz w:val="20"/>
                <w:szCs w:val="20"/>
                <w:color w:val="auto"/>
              </w:rPr>
            </w:pPr>
            <w:r>
              <w:rPr>
                <w:rFonts w:ascii="Arial" w:cs="Arial" w:eastAsia="Arial" w:hAnsi="Arial"/>
                <w:sz w:val="18"/>
                <w:szCs w:val="18"/>
                <w:color w:val="auto"/>
              </w:rPr>
              <w:t>635</w:t>
            </w:r>
          </w:p>
        </w:tc>
        <w:tc>
          <w:tcPr>
            <w:tcW w:w="120" w:type="dxa"/>
            <w:vAlign w:val="bottom"/>
          </w:tcPr>
          <w:p>
            <w:pPr>
              <w:spacing w:after="0"/>
              <w:rPr>
                <w:sz w:val="22"/>
                <w:szCs w:val="22"/>
                <w:color w:val="auto"/>
              </w:rPr>
            </w:pPr>
          </w:p>
        </w:tc>
        <w:tc>
          <w:tcPr>
            <w:tcW w:w="1100" w:type="dxa"/>
            <w:vAlign w:val="bottom"/>
            <w:tcBorders>
              <w:bottom w:val="single" w:sz="8" w:color="auto"/>
            </w:tcBorders>
          </w:tcPr>
          <w:p>
            <w:pPr>
              <w:jc w:val="right"/>
              <w:ind w:right="896"/>
              <w:spacing w:after="0"/>
              <w:rPr>
                <w:sz w:val="20"/>
                <w:szCs w:val="20"/>
                <w:color w:val="auto"/>
              </w:rPr>
            </w:pPr>
            <w:r>
              <w:rPr>
                <w:rFonts w:ascii="Arial" w:cs="Arial" w:eastAsia="Arial" w:hAnsi="Arial"/>
                <w:sz w:val="18"/>
                <w:szCs w:val="18"/>
                <w:color w:val="auto"/>
                <w:w w:val="99"/>
              </w:rPr>
              <w:t>$</w:t>
            </w:r>
          </w:p>
        </w:tc>
        <w:tc>
          <w:tcPr>
            <w:tcW w:w="54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787</w:t>
            </w:r>
          </w:p>
        </w:tc>
      </w:tr>
      <w:tr>
        <w:trPr>
          <w:trHeight w:val="20"/>
        </w:trPr>
        <w:tc>
          <w:tcPr>
            <w:tcW w:w="7440" w:type="dxa"/>
            <w:vAlign w:val="bottom"/>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248920</wp:posOffset>
            </wp:positionV>
            <wp:extent cx="1337945" cy="889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1337945" cy="8890"/>
                    </a:xfrm>
                    <a:prstGeom prst="rect">
                      <a:avLst/>
                    </a:prstGeom>
                    <a:noFill/>
                  </pic:spPr>
                </pic:pic>
              </a:graphicData>
            </a:graphic>
          </wp:anchor>
        </w:drawing>
      </w:r>
    </w:p>
    <w:p>
      <w:pPr>
        <w:sectPr>
          <w:pgSz w:w="11900" w:h="16838" w:orient="portrait"/>
          <w:cols w:equalWidth="0" w:num="1">
            <w:col w:w="11420"/>
          </w:cols>
          <w:pgMar w:left="240" w:top="679" w:right="2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45" w:lineRule="exact"/>
        <w:rPr>
          <w:sz w:val="20"/>
          <w:szCs w:val="20"/>
          <w:color w:val="auto"/>
        </w:rPr>
      </w:pPr>
    </w:p>
    <w:p>
      <w:pPr>
        <w:spacing w:after="0"/>
        <w:rPr>
          <w:sz w:val="20"/>
          <w:szCs w:val="20"/>
          <w:color w:val="auto"/>
        </w:rPr>
      </w:pPr>
      <w:r>
        <w:rPr>
          <w:rFonts w:ascii="Arial" w:cs="Arial" w:eastAsia="Arial" w:hAnsi="Arial"/>
          <w:sz w:val="11"/>
          <w:szCs w:val="11"/>
          <w:color w:val="auto"/>
        </w:rPr>
        <w:t>(1)</w:t>
      </w:r>
    </w:p>
    <w:p>
      <w:pPr>
        <w:spacing w:after="0" w:line="387" w:lineRule="exact"/>
        <w:rPr>
          <w:sz w:val="20"/>
          <w:szCs w:val="20"/>
          <w:color w:val="auto"/>
        </w:rPr>
      </w:pPr>
    </w:p>
    <w:p>
      <w:pPr>
        <w:spacing w:after="0"/>
        <w:rPr>
          <w:sz w:val="20"/>
          <w:szCs w:val="20"/>
          <w:color w:val="auto"/>
        </w:rPr>
      </w:pPr>
      <w:r>
        <w:rPr>
          <w:rFonts w:ascii="Arial" w:cs="Arial" w:eastAsia="Arial" w:hAnsi="Arial"/>
          <w:sz w:val="11"/>
          <w:szCs w:val="11"/>
          <w:color w:val="auto"/>
        </w:rPr>
        <w:t>(2)</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27" w:lineRule="exact"/>
        <w:rPr>
          <w:sz w:val="20"/>
          <w:szCs w:val="20"/>
          <w:color w:val="auto"/>
        </w:rPr>
      </w:pPr>
    </w:p>
    <w:p>
      <w:pPr>
        <w:ind w:right="20"/>
        <w:spacing w:after="0" w:line="262" w:lineRule="auto"/>
        <w:rPr>
          <w:sz w:val="20"/>
          <w:szCs w:val="20"/>
          <w:color w:val="auto"/>
        </w:rPr>
      </w:pPr>
      <w:r>
        <w:rPr>
          <w:rFonts w:ascii="Arial" w:cs="Arial" w:eastAsia="Arial" w:hAnsi="Arial"/>
          <w:sz w:val="18"/>
          <w:szCs w:val="18"/>
          <w:color w:val="auto"/>
        </w:rPr>
        <w:t>Fleet restructuring expenses principally included accelerated depreciation and rent expense for aircraft and related equipment grounded or expected to be grounded earlier than planned.</w:t>
      </w:r>
    </w:p>
    <w:p>
      <w:pPr>
        <w:spacing w:after="0" w:line="61" w:lineRule="exact"/>
        <w:rPr>
          <w:sz w:val="20"/>
          <w:szCs w:val="20"/>
          <w:color w:val="auto"/>
        </w:rPr>
      </w:pPr>
    </w:p>
    <w:p>
      <w:pPr>
        <w:spacing w:after="0" w:line="262" w:lineRule="auto"/>
        <w:rPr>
          <w:sz w:val="20"/>
          <w:szCs w:val="20"/>
          <w:color w:val="auto"/>
        </w:rPr>
      </w:pPr>
      <w:r>
        <w:rPr>
          <w:rFonts w:ascii="Arial" w:cs="Arial" w:eastAsia="Arial" w:hAnsi="Arial"/>
          <w:sz w:val="18"/>
          <w:szCs w:val="18"/>
          <w:color w:val="auto"/>
        </w:rPr>
        <w:t>Fleet impairment principally includes a non-cash write-down of aircraft related to the planned retirement of American's Embraer E190 fleet.</w:t>
      </w:r>
    </w:p>
    <w:p>
      <w:pPr>
        <w:spacing w:after="0" w:line="88" w:lineRule="exact"/>
        <w:rPr>
          <w:sz w:val="20"/>
          <w:szCs w:val="20"/>
          <w:color w:val="auto"/>
        </w:rPr>
      </w:pPr>
    </w:p>
    <w:p>
      <w:pPr>
        <w:sectPr>
          <w:pgSz w:w="11900" w:h="16838" w:orient="portrait"/>
          <w:cols w:equalWidth="0" w:num="2">
            <w:col w:w="140" w:space="520"/>
            <w:col w:w="10760"/>
          </w:cols>
          <w:pgMar w:left="240" w:top="679" w:right="239" w:bottom="1440" w:gutter="0" w:footer="0" w:header="0"/>
          <w:type w:val="continuous"/>
        </w:sectPr>
      </w:pPr>
    </w:p>
    <w:p>
      <w:pPr>
        <w:ind w:left="660" w:hanging="652"/>
        <w:spacing w:after="0" w:line="225" w:lineRule="auto"/>
        <w:tabs>
          <w:tab w:leader="none" w:pos="660" w:val="left"/>
        </w:tabs>
        <w:numPr>
          <w:ilvl w:val="0"/>
          <w:numId w:val="27"/>
        </w:numPr>
        <w:rPr>
          <w:rFonts w:ascii="Arial" w:cs="Arial" w:eastAsia="Arial" w:hAnsi="Arial"/>
          <w:sz w:val="22"/>
          <w:szCs w:val="22"/>
          <w:color w:val="auto"/>
          <w:vertAlign w:val="superscript"/>
        </w:rPr>
      </w:pPr>
      <w:r>
        <w:rPr>
          <w:rFonts w:ascii="Arial" w:cs="Arial" w:eastAsia="Arial" w:hAnsi="Arial"/>
          <w:sz w:val="18"/>
          <w:szCs w:val="18"/>
          <w:color w:val="auto"/>
        </w:rPr>
        <w:t>Merger integration expenses included costs associated with integration projects, principally American's technical operations, flight attendant, human resources and payroll systems.</w:t>
      </w:r>
    </w:p>
    <w:p>
      <w:pPr>
        <w:sectPr>
          <w:pgSz w:w="11900" w:h="16838" w:orient="portrait"/>
          <w:cols w:equalWidth="0" w:num="1">
            <w:col w:w="11420"/>
          </w:cols>
          <w:pgMar w:left="240" w:top="679" w:right="239" w:bottom="1440" w:gutter="0" w:footer="0" w:header="0"/>
          <w:type w:val="continuous"/>
        </w:sectPr>
      </w:pPr>
    </w:p>
    <w:p>
      <w:pPr>
        <w:spacing w:after="0" w:line="107" w:lineRule="exact"/>
        <w:rPr>
          <w:sz w:val="20"/>
          <w:szCs w:val="20"/>
          <w:color w:val="auto"/>
        </w:rPr>
      </w:pPr>
    </w:p>
    <w:p>
      <w:pPr>
        <w:spacing w:after="0"/>
        <w:rPr>
          <w:sz w:val="20"/>
          <w:szCs w:val="20"/>
          <w:color w:val="auto"/>
        </w:rPr>
      </w:pPr>
      <w:r>
        <w:rPr>
          <w:rFonts w:ascii="Arial" w:cs="Arial" w:eastAsia="Arial" w:hAnsi="Arial"/>
          <w:sz w:val="11"/>
          <w:szCs w:val="11"/>
          <w:color w:val="auto"/>
        </w:rPr>
        <w:t>(4)</w:t>
      </w:r>
    </w:p>
    <w:p>
      <w:pPr>
        <w:spacing w:after="0" w:line="198" w:lineRule="exact"/>
        <w:rPr>
          <w:sz w:val="20"/>
          <w:szCs w:val="20"/>
          <w:color w:val="auto"/>
        </w:rPr>
      </w:pPr>
    </w:p>
    <w:p>
      <w:pPr>
        <w:spacing w:after="0"/>
        <w:rPr>
          <w:sz w:val="20"/>
          <w:szCs w:val="20"/>
          <w:color w:val="auto"/>
        </w:rPr>
      </w:pPr>
      <w:r>
        <w:rPr>
          <w:rFonts w:ascii="Arial" w:cs="Arial" w:eastAsia="Arial" w:hAnsi="Arial"/>
          <w:sz w:val="11"/>
          <w:szCs w:val="11"/>
          <w:color w:val="auto"/>
        </w:rPr>
        <w:t>(5)</w:t>
      </w:r>
    </w:p>
    <w:p>
      <w:pPr>
        <w:spacing w:after="0" w:line="198" w:lineRule="exact"/>
        <w:rPr>
          <w:sz w:val="20"/>
          <w:szCs w:val="20"/>
          <w:color w:val="auto"/>
        </w:rPr>
      </w:pPr>
    </w:p>
    <w:p>
      <w:pPr>
        <w:spacing w:after="0"/>
        <w:rPr>
          <w:sz w:val="20"/>
          <w:szCs w:val="20"/>
          <w:color w:val="auto"/>
        </w:rPr>
      </w:pPr>
      <w:r>
        <w:rPr>
          <w:rFonts w:ascii="Arial" w:cs="Arial" w:eastAsia="Arial" w:hAnsi="Arial"/>
          <w:sz w:val="11"/>
          <w:szCs w:val="11"/>
          <w:color w:val="auto"/>
        </w:rPr>
        <w:t>(6)</w:t>
      </w:r>
    </w:p>
    <w:p>
      <w:pPr>
        <w:spacing w:after="0" w:line="20" w:lineRule="exact"/>
        <w:rPr>
          <w:sz w:val="20"/>
          <w:szCs w:val="20"/>
          <w:color w:val="auto"/>
        </w:rPr>
      </w:pPr>
      <w:r>
        <w:rPr>
          <w:sz w:val="20"/>
          <w:szCs w:val="20"/>
          <w:color w:val="auto"/>
        </w:rPr>
        <w:br w:type="column"/>
      </w:r>
    </w:p>
    <w:p>
      <w:pPr>
        <w:spacing w:after="0" w:line="89" w:lineRule="exact"/>
        <w:rPr>
          <w:sz w:val="20"/>
          <w:szCs w:val="20"/>
          <w:color w:val="auto"/>
        </w:rPr>
      </w:pPr>
    </w:p>
    <w:p>
      <w:pPr>
        <w:spacing w:after="0"/>
        <w:rPr>
          <w:sz w:val="20"/>
          <w:szCs w:val="20"/>
          <w:color w:val="auto"/>
        </w:rPr>
      </w:pPr>
      <w:r>
        <w:rPr>
          <w:rFonts w:ascii="Arial" w:cs="Arial" w:eastAsia="Arial" w:hAnsi="Arial"/>
          <w:sz w:val="18"/>
          <w:szCs w:val="18"/>
          <w:color w:val="auto"/>
        </w:rPr>
        <w:t>Bankruptcy obligations that will be settled in shares of AAG common stock are marked-to-market based on AAG’s stock price.</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Severance expenses primarily included costs associated with reductions of management and support staff team members.</w:t>
      </w:r>
    </w:p>
    <w:p>
      <w:pPr>
        <w:spacing w:after="0" w:line="117" w:lineRule="exact"/>
        <w:rPr>
          <w:sz w:val="20"/>
          <w:szCs w:val="20"/>
          <w:color w:val="auto"/>
        </w:rPr>
      </w:pPr>
    </w:p>
    <w:p>
      <w:pPr>
        <w:spacing w:after="0" w:line="262" w:lineRule="auto"/>
        <w:rPr>
          <w:sz w:val="20"/>
          <w:szCs w:val="20"/>
          <w:color w:val="auto"/>
        </w:rPr>
      </w:pPr>
      <w:r>
        <w:rPr>
          <w:rFonts w:ascii="Arial" w:cs="Arial" w:eastAsia="Arial" w:hAnsi="Arial"/>
          <w:sz w:val="18"/>
          <w:szCs w:val="18"/>
          <w:color w:val="auto"/>
        </w:rPr>
        <w:t>Intangible asset impairment includes a non-cash charge to write-off American’s Brazil route authority as a result of the U.S.-Brazil open skies agreement.</w:t>
      </w:r>
    </w:p>
    <w:p>
      <w:pPr>
        <w:spacing w:after="0" w:line="200" w:lineRule="exact"/>
        <w:rPr>
          <w:sz w:val="20"/>
          <w:szCs w:val="20"/>
          <w:color w:val="auto"/>
        </w:rPr>
      </w:pPr>
    </w:p>
    <w:p>
      <w:pPr>
        <w:sectPr>
          <w:pgSz w:w="11900" w:h="16838" w:orient="portrait"/>
          <w:cols w:equalWidth="0" w:num="2">
            <w:col w:w="140" w:space="520"/>
            <w:col w:w="10760"/>
          </w:cols>
          <w:pgMar w:left="240" w:top="679" w:right="239" w:bottom="1440" w:gutter="0" w:footer="0" w:header="0"/>
          <w:type w:val="continuous"/>
        </w:sectPr>
      </w:pPr>
    </w:p>
    <w:p>
      <w:pPr>
        <w:spacing w:after="0" w:line="5" w:lineRule="exact"/>
        <w:rPr>
          <w:sz w:val="20"/>
          <w:szCs w:val="20"/>
          <w:color w:val="auto"/>
        </w:rPr>
      </w:pPr>
    </w:p>
    <w:p>
      <w:pPr>
        <w:ind w:left="220"/>
        <w:spacing w:after="0"/>
        <w:rPr>
          <w:sz w:val="20"/>
          <w:szCs w:val="20"/>
          <w:color w:val="auto"/>
        </w:rPr>
      </w:pPr>
      <w:r>
        <w:rPr>
          <w:rFonts w:ascii="Arial" w:cs="Arial" w:eastAsia="Arial" w:hAnsi="Arial"/>
          <w:sz w:val="18"/>
          <w:szCs w:val="18"/>
          <w:i w:val="1"/>
          <w:iCs w:val="1"/>
          <w:u w:val="single" w:color="auto"/>
          <w:color w:val="auto"/>
        </w:rPr>
        <w:t>Nonoperating Results</w:t>
      </w:r>
    </w:p>
    <w:p>
      <w:pPr>
        <w:spacing w:after="0" w:line="200" w:lineRule="exact"/>
        <w:rPr>
          <w:sz w:val="20"/>
          <w:szCs w:val="20"/>
          <w:color w:val="auto"/>
        </w:rPr>
      </w:pPr>
    </w:p>
    <w:p>
      <w:pPr>
        <w:spacing w:after="0" w:line="301"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502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720" w:type="dxa"/>
            <w:vAlign w:val="bottom"/>
            <w:gridSpan w:val="3"/>
          </w:tcPr>
          <w:p>
            <w:pPr>
              <w:jc w:val="right"/>
              <w:ind w:right="56"/>
              <w:spacing w:after="0"/>
              <w:rPr>
                <w:sz w:val="20"/>
                <w:szCs w:val="20"/>
                <w:color w:val="auto"/>
              </w:rPr>
            </w:pPr>
            <w:r>
              <w:rPr>
                <w:rFonts w:ascii="Arial" w:cs="Arial" w:eastAsia="Arial" w:hAnsi="Arial"/>
                <w:sz w:val="14"/>
                <w:szCs w:val="14"/>
                <w:b w:val="1"/>
                <w:bCs w:val="1"/>
                <w:color w:val="auto"/>
              </w:rPr>
              <w:t>Year Ended</w:t>
            </w:r>
          </w:p>
        </w:tc>
        <w:tc>
          <w:tcPr>
            <w:tcW w:w="9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1540" w:type="dxa"/>
            <w:vAlign w:val="bottom"/>
            <w:vMerge w:val="restart"/>
          </w:tcPr>
          <w:p>
            <w:pPr>
              <w:jc w:val="center"/>
              <w:ind w:left="18"/>
              <w:spacing w:after="0"/>
              <w:rPr>
                <w:sz w:val="20"/>
                <w:szCs w:val="20"/>
                <w:color w:val="auto"/>
              </w:rPr>
            </w:pPr>
            <w:r>
              <w:rPr>
                <w:rFonts w:ascii="Arial" w:cs="Arial" w:eastAsia="Arial" w:hAnsi="Arial"/>
                <w:sz w:val="14"/>
                <w:szCs w:val="14"/>
                <w:b w:val="1"/>
                <w:bCs w:val="1"/>
                <w:color w:val="auto"/>
              </w:rPr>
              <w:t>Percent</w:t>
            </w:r>
          </w:p>
        </w:tc>
        <w:tc>
          <w:tcPr>
            <w:tcW w:w="0" w:type="dxa"/>
            <w:vAlign w:val="bottom"/>
          </w:tcPr>
          <w:p>
            <w:pPr>
              <w:spacing w:after="0"/>
              <w:rPr>
                <w:sz w:val="1"/>
                <w:szCs w:val="1"/>
                <w:color w:val="auto"/>
              </w:rPr>
            </w:pPr>
          </w:p>
        </w:tc>
      </w:tr>
      <w:tr>
        <w:trPr>
          <w:trHeight w:val="148"/>
        </w:trPr>
        <w:tc>
          <w:tcPr>
            <w:tcW w:w="502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1720" w:type="dxa"/>
            <w:vAlign w:val="bottom"/>
            <w:gridSpan w:val="3"/>
          </w:tcPr>
          <w:p>
            <w:pPr>
              <w:jc w:val="right"/>
              <w:spacing w:after="0" w:line="149" w:lineRule="exact"/>
              <w:rPr>
                <w:sz w:val="20"/>
                <w:szCs w:val="20"/>
                <w:color w:val="auto"/>
              </w:rPr>
            </w:pPr>
            <w:r>
              <w:rPr>
                <w:rFonts w:ascii="Arial" w:cs="Arial" w:eastAsia="Arial" w:hAnsi="Arial"/>
                <w:sz w:val="14"/>
                <w:szCs w:val="14"/>
                <w:b w:val="1"/>
                <w:bCs w:val="1"/>
                <w:color w:val="auto"/>
              </w:rPr>
              <w:t>December 31,</w:t>
            </w:r>
          </w:p>
        </w:tc>
        <w:tc>
          <w:tcPr>
            <w:tcW w:w="9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220" w:type="dxa"/>
            <w:vAlign w:val="bottom"/>
          </w:tcPr>
          <w:p>
            <w:pPr>
              <w:spacing w:after="0"/>
              <w:rPr>
                <w:sz w:val="12"/>
                <w:szCs w:val="12"/>
                <w:color w:val="auto"/>
              </w:rPr>
            </w:pPr>
          </w:p>
        </w:tc>
        <w:tc>
          <w:tcPr>
            <w:tcW w:w="154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54"/>
        </w:trPr>
        <w:tc>
          <w:tcPr>
            <w:tcW w:w="5020" w:type="dxa"/>
            <w:vAlign w:val="bottom"/>
          </w:tcPr>
          <w:p>
            <w:pPr>
              <w:spacing w:after="0"/>
              <w:rPr>
                <w:sz w:val="4"/>
                <w:szCs w:val="4"/>
                <w:color w:val="auto"/>
              </w:rPr>
            </w:pPr>
          </w:p>
        </w:tc>
        <w:tc>
          <w:tcPr>
            <w:tcW w:w="340" w:type="dxa"/>
            <w:vAlign w:val="bottom"/>
            <w:tcBorders>
              <w:bottom w:val="single" w:sz="8" w:color="auto"/>
            </w:tcBorders>
          </w:tcPr>
          <w:p>
            <w:pPr>
              <w:spacing w:after="0"/>
              <w:rPr>
                <w:sz w:val="4"/>
                <w:szCs w:val="4"/>
                <w:color w:val="auto"/>
              </w:rPr>
            </w:pPr>
          </w:p>
        </w:tc>
        <w:tc>
          <w:tcPr>
            <w:tcW w:w="1120" w:type="dxa"/>
            <w:vAlign w:val="bottom"/>
            <w:tcBorders>
              <w:bottom w:val="single" w:sz="8" w:color="auto"/>
            </w:tcBorders>
          </w:tcPr>
          <w:p>
            <w:pPr>
              <w:spacing w:after="0"/>
              <w:rPr>
                <w:sz w:val="4"/>
                <w:szCs w:val="4"/>
                <w:color w:val="auto"/>
              </w:rPr>
            </w:pPr>
          </w:p>
        </w:tc>
        <w:tc>
          <w:tcPr>
            <w:tcW w:w="100" w:type="dxa"/>
            <w:vAlign w:val="bottom"/>
            <w:tcBorders>
              <w:bottom w:val="single" w:sz="8" w:color="auto"/>
            </w:tcBorders>
          </w:tcPr>
          <w:p>
            <w:pPr>
              <w:spacing w:after="0"/>
              <w:rPr>
                <w:sz w:val="4"/>
                <w:szCs w:val="4"/>
                <w:color w:val="auto"/>
              </w:rPr>
            </w:pPr>
          </w:p>
        </w:tc>
        <w:tc>
          <w:tcPr>
            <w:tcW w:w="500" w:type="dxa"/>
            <w:vAlign w:val="bottom"/>
            <w:tcBorders>
              <w:bottom w:val="single" w:sz="8" w:color="auto"/>
            </w:tcBorders>
          </w:tcPr>
          <w:p>
            <w:pPr>
              <w:spacing w:after="0"/>
              <w:rPr>
                <w:sz w:val="4"/>
                <w:szCs w:val="4"/>
                <w:color w:val="auto"/>
              </w:rPr>
            </w:pPr>
          </w:p>
        </w:tc>
        <w:tc>
          <w:tcPr>
            <w:tcW w:w="960" w:type="dxa"/>
            <w:vAlign w:val="bottom"/>
            <w:tcBorders>
              <w:bottom w:val="single" w:sz="8" w:color="auto"/>
            </w:tcBorders>
          </w:tcPr>
          <w:p>
            <w:pPr>
              <w:spacing w:after="0"/>
              <w:rPr>
                <w:sz w:val="4"/>
                <w:szCs w:val="4"/>
                <w:color w:val="auto"/>
              </w:rPr>
            </w:pPr>
          </w:p>
        </w:tc>
        <w:tc>
          <w:tcPr>
            <w:tcW w:w="120" w:type="dxa"/>
            <w:vAlign w:val="bottom"/>
          </w:tcPr>
          <w:p>
            <w:pPr>
              <w:spacing w:after="0"/>
              <w:rPr>
                <w:sz w:val="4"/>
                <w:szCs w:val="4"/>
                <w:color w:val="auto"/>
              </w:rPr>
            </w:pPr>
          </w:p>
        </w:tc>
        <w:tc>
          <w:tcPr>
            <w:tcW w:w="240" w:type="dxa"/>
            <w:vAlign w:val="bottom"/>
          </w:tcPr>
          <w:p>
            <w:pPr>
              <w:spacing w:after="0"/>
              <w:rPr>
                <w:sz w:val="4"/>
                <w:szCs w:val="4"/>
                <w:color w:val="auto"/>
              </w:rPr>
            </w:pPr>
          </w:p>
        </w:tc>
        <w:tc>
          <w:tcPr>
            <w:tcW w:w="1220" w:type="dxa"/>
            <w:vAlign w:val="bottom"/>
            <w:vMerge w:val="restart"/>
          </w:tcPr>
          <w:p>
            <w:pPr>
              <w:jc w:val="right"/>
              <w:ind w:right="356"/>
              <w:spacing w:after="0" w:line="135" w:lineRule="exact"/>
              <w:rPr>
                <w:sz w:val="20"/>
                <w:szCs w:val="20"/>
                <w:color w:val="auto"/>
              </w:rPr>
            </w:pPr>
            <w:r>
              <w:rPr>
                <w:rFonts w:ascii="Arial" w:cs="Arial" w:eastAsia="Arial" w:hAnsi="Arial"/>
                <w:sz w:val="14"/>
                <w:szCs w:val="14"/>
                <w:b w:val="1"/>
                <w:bCs w:val="1"/>
                <w:color w:val="auto"/>
              </w:rPr>
              <w:t>Increase</w:t>
            </w:r>
          </w:p>
        </w:tc>
        <w:tc>
          <w:tcPr>
            <w:tcW w:w="1540" w:type="dxa"/>
            <w:vAlign w:val="bottom"/>
            <w:vMerge w:val="restart"/>
          </w:tcPr>
          <w:p>
            <w:pPr>
              <w:jc w:val="center"/>
              <w:ind w:left="18"/>
              <w:spacing w:after="0" w:line="135" w:lineRule="exact"/>
              <w:rPr>
                <w:sz w:val="20"/>
                <w:szCs w:val="20"/>
                <w:color w:val="auto"/>
              </w:rPr>
            </w:pPr>
            <w:r>
              <w:rPr>
                <w:rFonts w:ascii="Arial" w:cs="Arial" w:eastAsia="Arial" w:hAnsi="Arial"/>
                <w:sz w:val="14"/>
                <w:szCs w:val="14"/>
                <w:b w:val="1"/>
                <w:bCs w:val="1"/>
                <w:color w:val="auto"/>
              </w:rPr>
              <w:t>Increase</w:t>
            </w:r>
          </w:p>
        </w:tc>
        <w:tc>
          <w:tcPr>
            <w:tcW w:w="0" w:type="dxa"/>
            <w:vAlign w:val="bottom"/>
          </w:tcPr>
          <w:p>
            <w:pPr>
              <w:spacing w:after="0"/>
              <w:rPr>
                <w:sz w:val="1"/>
                <w:szCs w:val="1"/>
                <w:color w:val="auto"/>
              </w:rPr>
            </w:pPr>
          </w:p>
        </w:tc>
      </w:tr>
      <w:tr>
        <w:trPr>
          <w:trHeight w:val="61"/>
        </w:trPr>
        <w:tc>
          <w:tcPr>
            <w:tcW w:w="5020" w:type="dxa"/>
            <w:vAlign w:val="bottom"/>
          </w:tcPr>
          <w:p>
            <w:pPr>
              <w:spacing w:after="0"/>
              <w:rPr>
                <w:sz w:val="5"/>
                <w:szCs w:val="5"/>
                <w:color w:val="auto"/>
              </w:rPr>
            </w:pPr>
          </w:p>
        </w:tc>
        <w:tc>
          <w:tcPr>
            <w:tcW w:w="340" w:type="dxa"/>
            <w:vAlign w:val="bottom"/>
          </w:tcPr>
          <w:p>
            <w:pPr>
              <w:spacing w:after="0"/>
              <w:rPr>
                <w:sz w:val="5"/>
                <w:szCs w:val="5"/>
                <w:color w:val="auto"/>
              </w:rPr>
            </w:pPr>
          </w:p>
        </w:tc>
        <w:tc>
          <w:tcPr>
            <w:tcW w:w="1120" w:type="dxa"/>
            <w:vAlign w:val="bottom"/>
          </w:tcPr>
          <w:p>
            <w:pPr>
              <w:spacing w:after="0"/>
              <w:rPr>
                <w:sz w:val="5"/>
                <w:szCs w:val="5"/>
                <w:color w:val="auto"/>
              </w:rPr>
            </w:pPr>
          </w:p>
        </w:tc>
        <w:tc>
          <w:tcPr>
            <w:tcW w:w="100" w:type="dxa"/>
            <w:vAlign w:val="bottom"/>
          </w:tcPr>
          <w:p>
            <w:pPr>
              <w:spacing w:after="0"/>
              <w:rPr>
                <w:sz w:val="5"/>
                <w:szCs w:val="5"/>
                <w:color w:val="auto"/>
              </w:rPr>
            </w:pPr>
          </w:p>
        </w:tc>
        <w:tc>
          <w:tcPr>
            <w:tcW w:w="500" w:type="dxa"/>
            <w:vAlign w:val="bottom"/>
          </w:tcPr>
          <w:p>
            <w:pPr>
              <w:spacing w:after="0"/>
              <w:rPr>
                <w:sz w:val="5"/>
                <w:szCs w:val="5"/>
                <w:color w:val="auto"/>
              </w:rPr>
            </w:pPr>
          </w:p>
        </w:tc>
        <w:tc>
          <w:tcPr>
            <w:tcW w:w="960" w:type="dxa"/>
            <w:vAlign w:val="bottom"/>
          </w:tcPr>
          <w:p>
            <w:pPr>
              <w:spacing w:after="0"/>
              <w:rPr>
                <w:sz w:val="5"/>
                <w:szCs w:val="5"/>
                <w:color w:val="auto"/>
              </w:rPr>
            </w:pPr>
          </w:p>
        </w:tc>
        <w:tc>
          <w:tcPr>
            <w:tcW w:w="120" w:type="dxa"/>
            <w:vAlign w:val="bottom"/>
          </w:tcPr>
          <w:p>
            <w:pPr>
              <w:spacing w:after="0"/>
              <w:rPr>
                <w:sz w:val="5"/>
                <w:szCs w:val="5"/>
                <w:color w:val="auto"/>
              </w:rPr>
            </w:pPr>
          </w:p>
        </w:tc>
        <w:tc>
          <w:tcPr>
            <w:tcW w:w="240" w:type="dxa"/>
            <w:vAlign w:val="bottom"/>
          </w:tcPr>
          <w:p>
            <w:pPr>
              <w:spacing w:after="0"/>
              <w:rPr>
                <w:sz w:val="5"/>
                <w:szCs w:val="5"/>
                <w:color w:val="auto"/>
              </w:rPr>
            </w:pPr>
          </w:p>
        </w:tc>
        <w:tc>
          <w:tcPr>
            <w:tcW w:w="1220" w:type="dxa"/>
            <w:vAlign w:val="bottom"/>
            <w:vMerge w:val="continue"/>
          </w:tcPr>
          <w:p>
            <w:pPr>
              <w:spacing w:after="0"/>
              <w:rPr>
                <w:sz w:val="5"/>
                <w:szCs w:val="5"/>
                <w:color w:val="auto"/>
              </w:rPr>
            </w:pPr>
          </w:p>
        </w:tc>
        <w:tc>
          <w:tcPr>
            <w:tcW w:w="154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96"/>
        </w:trPr>
        <w:tc>
          <w:tcPr>
            <w:tcW w:w="5020" w:type="dxa"/>
            <w:vAlign w:val="bottom"/>
          </w:tcPr>
          <w:p>
            <w:pPr>
              <w:spacing w:after="0"/>
              <w:rPr>
                <w:sz w:val="17"/>
                <w:szCs w:val="17"/>
                <w:color w:val="auto"/>
              </w:rPr>
            </w:pPr>
          </w:p>
        </w:tc>
        <w:tc>
          <w:tcPr>
            <w:tcW w:w="340" w:type="dxa"/>
            <w:vAlign w:val="bottom"/>
            <w:tcBorders>
              <w:bottom w:val="single" w:sz="8" w:color="auto"/>
            </w:tcBorders>
          </w:tcPr>
          <w:p>
            <w:pPr>
              <w:spacing w:after="0"/>
              <w:rPr>
                <w:sz w:val="17"/>
                <w:szCs w:val="17"/>
                <w:color w:val="auto"/>
              </w:rPr>
            </w:pPr>
          </w:p>
        </w:tc>
        <w:tc>
          <w:tcPr>
            <w:tcW w:w="1120" w:type="dxa"/>
            <w:vAlign w:val="bottom"/>
            <w:tcBorders>
              <w:bottom w:val="single" w:sz="8" w:color="auto"/>
            </w:tcBorders>
          </w:tcPr>
          <w:p>
            <w:pPr>
              <w:jc w:val="right"/>
              <w:ind w:right="498"/>
              <w:spacing w:after="0"/>
              <w:rPr>
                <w:sz w:val="20"/>
                <w:szCs w:val="20"/>
                <w:color w:val="auto"/>
              </w:rPr>
            </w:pPr>
            <w:r>
              <w:rPr>
                <w:rFonts w:ascii="Arial" w:cs="Arial" w:eastAsia="Arial" w:hAnsi="Arial"/>
                <w:sz w:val="14"/>
                <w:szCs w:val="14"/>
                <w:b w:val="1"/>
                <w:bCs w:val="1"/>
                <w:color w:val="auto"/>
              </w:rPr>
              <w:t>2019</w:t>
            </w:r>
          </w:p>
        </w:tc>
        <w:tc>
          <w:tcPr>
            <w:tcW w:w="100" w:type="dxa"/>
            <w:vAlign w:val="bottom"/>
            <w:tcBorders>
              <w:bottom w:val="single" w:sz="8" w:color="auto"/>
            </w:tcBorders>
          </w:tcPr>
          <w:p>
            <w:pPr>
              <w:spacing w:after="0"/>
              <w:rPr>
                <w:sz w:val="17"/>
                <w:szCs w:val="17"/>
                <w:color w:val="auto"/>
              </w:rPr>
            </w:pPr>
          </w:p>
        </w:tc>
        <w:tc>
          <w:tcPr>
            <w:tcW w:w="500" w:type="dxa"/>
            <w:vAlign w:val="bottom"/>
            <w:tcBorders>
              <w:bottom w:val="single" w:sz="8" w:color="auto"/>
            </w:tcBorders>
          </w:tcPr>
          <w:p>
            <w:pPr>
              <w:spacing w:after="0"/>
              <w:rPr>
                <w:sz w:val="17"/>
                <w:szCs w:val="17"/>
                <w:color w:val="auto"/>
              </w:rPr>
            </w:pPr>
          </w:p>
        </w:tc>
        <w:tc>
          <w:tcPr>
            <w:tcW w:w="960" w:type="dxa"/>
            <w:vAlign w:val="bottom"/>
            <w:tcBorders>
              <w:bottom w:val="single" w:sz="8" w:color="auto"/>
            </w:tcBorders>
          </w:tcPr>
          <w:p>
            <w:pPr>
              <w:jc w:val="right"/>
              <w:ind w:right="474"/>
              <w:spacing w:after="0"/>
              <w:rPr>
                <w:sz w:val="20"/>
                <w:szCs w:val="20"/>
                <w:color w:val="auto"/>
              </w:rPr>
            </w:pPr>
            <w:r>
              <w:rPr>
                <w:rFonts w:ascii="Arial" w:cs="Arial" w:eastAsia="Arial" w:hAnsi="Arial"/>
                <w:sz w:val="14"/>
                <w:szCs w:val="14"/>
                <w:b w:val="1"/>
                <w:bCs w:val="1"/>
                <w:color w:val="auto"/>
              </w:rPr>
              <w:t>2018</w:t>
            </w:r>
          </w:p>
        </w:tc>
        <w:tc>
          <w:tcPr>
            <w:tcW w:w="120" w:type="dxa"/>
            <w:vAlign w:val="bottom"/>
            <w:tcBorders>
              <w:bottom w:val="single" w:sz="8" w:color="auto"/>
            </w:tcBorders>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1220" w:type="dxa"/>
            <w:vAlign w:val="bottom"/>
            <w:tcBorders>
              <w:bottom w:val="single" w:sz="8" w:color="auto"/>
            </w:tcBorders>
          </w:tcPr>
          <w:p>
            <w:pPr>
              <w:jc w:val="right"/>
              <w:ind w:right="296"/>
              <w:spacing w:after="0"/>
              <w:rPr>
                <w:sz w:val="20"/>
                <w:szCs w:val="20"/>
                <w:color w:val="auto"/>
              </w:rPr>
            </w:pPr>
            <w:r>
              <w:rPr>
                <w:rFonts w:ascii="Arial" w:cs="Arial" w:eastAsia="Arial" w:hAnsi="Arial"/>
                <w:sz w:val="14"/>
                <w:szCs w:val="14"/>
                <w:b w:val="1"/>
                <w:bCs w:val="1"/>
                <w:color w:val="auto"/>
              </w:rPr>
              <w:t>(Decrease)</w:t>
            </w:r>
          </w:p>
        </w:tc>
        <w:tc>
          <w:tcPr>
            <w:tcW w:w="1540" w:type="dxa"/>
            <w:vAlign w:val="bottom"/>
            <w:tcBorders>
              <w:bottom w:val="single" w:sz="8" w:color="auto"/>
            </w:tcBorders>
          </w:tcPr>
          <w:p>
            <w:pPr>
              <w:jc w:val="center"/>
              <w:ind w:left="18"/>
              <w:spacing w:after="0"/>
              <w:rPr>
                <w:sz w:val="20"/>
                <w:szCs w:val="20"/>
                <w:color w:val="auto"/>
              </w:rPr>
            </w:pPr>
            <w:r>
              <w:rPr>
                <w:rFonts w:ascii="Arial" w:cs="Arial" w:eastAsia="Arial" w:hAnsi="Arial"/>
                <w:sz w:val="14"/>
                <w:szCs w:val="14"/>
                <w:b w:val="1"/>
                <w:bCs w:val="1"/>
                <w:color w:val="auto"/>
              </w:rPr>
              <w:t>(Decrease)</w:t>
            </w:r>
          </w:p>
        </w:tc>
        <w:tc>
          <w:tcPr>
            <w:tcW w:w="0" w:type="dxa"/>
            <w:vAlign w:val="bottom"/>
          </w:tcPr>
          <w:p>
            <w:pPr>
              <w:spacing w:after="0"/>
              <w:rPr>
                <w:sz w:val="1"/>
                <w:szCs w:val="1"/>
                <w:color w:val="auto"/>
              </w:rPr>
            </w:pPr>
          </w:p>
        </w:tc>
      </w:tr>
      <w:tr>
        <w:trPr>
          <w:trHeight w:val="210"/>
        </w:trPr>
        <w:tc>
          <w:tcPr>
            <w:tcW w:w="50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040" w:type="dxa"/>
            <w:vAlign w:val="bottom"/>
            <w:gridSpan w:val="5"/>
          </w:tcPr>
          <w:p>
            <w:pPr>
              <w:jc w:val="right"/>
              <w:ind w:right="36"/>
              <w:spacing w:after="0"/>
              <w:rPr>
                <w:sz w:val="20"/>
                <w:szCs w:val="20"/>
                <w:color w:val="auto"/>
              </w:rPr>
            </w:pPr>
            <w:r>
              <w:rPr>
                <w:rFonts w:ascii="Arial" w:cs="Arial" w:eastAsia="Arial" w:hAnsi="Arial"/>
                <w:sz w:val="14"/>
                <w:szCs w:val="14"/>
                <w:b w:val="1"/>
                <w:bCs w:val="1"/>
                <w:color w:val="auto"/>
              </w:rPr>
              <w:t>(In millions, except percentage changes)</w:t>
            </w:r>
          </w:p>
        </w:tc>
        <w:tc>
          <w:tcPr>
            <w:tcW w:w="15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6"/>
        </w:trPr>
        <w:tc>
          <w:tcPr>
            <w:tcW w:w="5020" w:type="dxa"/>
            <w:vAlign w:val="bottom"/>
            <w:shd w:val="clear" w:color="auto" w:fill="CCEEFF"/>
          </w:tcPr>
          <w:p>
            <w:pPr>
              <w:ind w:left="40"/>
              <w:spacing w:after="0"/>
              <w:rPr>
                <w:sz w:val="20"/>
                <w:szCs w:val="20"/>
                <w:color w:val="auto"/>
              </w:rPr>
            </w:pPr>
            <w:r>
              <w:rPr>
                <w:rFonts w:ascii="Arial" w:cs="Arial" w:eastAsia="Arial" w:hAnsi="Arial"/>
                <w:sz w:val="18"/>
                <w:szCs w:val="18"/>
                <w:color w:val="auto"/>
              </w:rPr>
              <w:t>Interest income</w:t>
            </w:r>
          </w:p>
        </w:tc>
        <w:tc>
          <w:tcPr>
            <w:tcW w:w="34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120" w:type="dxa"/>
            <w:vAlign w:val="bottom"/>
            <w:shd w:val="clear" w:color="auto" w:fill="CCEEFF"/>
          </w:tcPr>
          <w:p>
            <w:pPr>
              <w:jc w:val="right"/>
              <w:ind w:right="38"/>
              <w:spacing w:after="0"/>
              <w:rPr>
                <w:sz w:val="20"/>
                <w:szCs w:val="20"/>
                <w:color w:val="auto"/>
              </w:rPr>
            </w:pPr>
            <w:r>
              <w:rPr>
                <w:rFonts w:ascii="Arial" w:cs="Arial" w:eastAsia="Arial" w:hAnsi="Arial"/>
                <w:sz w:val="18"/>
                <w:szCs w:val="18"/>
                <w:color w:val="auto"/>
              </w:rPr>
              <w:t>515</w:t>
            </w:r>
          </w:p>
        </w:tc>
        <w:tc>
          <w:tcPr>
            <w:tcW w:w="100" w:type="dxa"/>
            <w:vAlign w:val="bottom"/>
            <w:shd w:val="clear" w:color="auto" w:fill="CCEEFF"/>
          </w:tcPr>
          <w:p>
            <w:pPr>
              <w:spacing w:after="0"/>
              <w:rPr>
                <w:sz w:val="24"/>
                <w:szCs w:val="24"/>
                <w:color w:val="auto"/>
              </w:rPr>
            </w:pPr>
          </w:p>
        </w:tc>
        <w:tc>
          <w:tcPr>
            <w:tcW w:w="500" w:type="dxa"/>
            <w:vAlign w:val="bottom"/>
            <w:shd w:val="clear" w:color="auto" w:fill="CCEEFF"/>
          </w:tcPr>
          <w:p>
            <w:pPr>
              <w:jc w:val="right"/>
              <w:ind w:right="276"/>
              <w:spacing w:after="0"/>
              <w:rPr>
                <w:sz w:val="20"/>
                <w:szCs w:val="20"/>
                <w:color w:val="auto"/>
              </w:rPr>
            </w:pPr>
            <w:r>
              <w:rPr>
                <w:rFonts w:ascii="Arial" w:cs="Arial" w:eastAsia="Arial" w:hAnsi="Arial"/>
                <w:sz w:val="18"/>
                <w:szCs w:val="18"/>
                <w:color w:val="auto"/>
              </w:rPr>
              <w:t>$</w:t>
            </w:r>
          </w:p>
        </w:tc>
        <w:tc>
          <w:tcPr>
            <w:tcW w:w="960" w:type="dxa"/>
            <w:vAlign w:val="bottom"/>
            <w:shd w:val="clear" w:color="auto" w:fill="CCEEFF"/>
          </w:tcPr>
          <w:p>
            <w:pPr>
              <w:jc w:val="right"/>
              <w:ind w:right="14"/>
              <w:spacing w:after="0"/>
              <w:rPr>
                <w:sz w:val="20"/>
                <w:szCs w:val="20"/>
                <w:color w:val="auto"/>
              </w:rPr>
            </w:pPr>
            <w:r>
              <w:rPr>
                <w:rFonts w:ascii="Arial" w:cs="Arial" w:eastAsia="Arial" w:hAnsi="Arial"/>
                <w:sz w:val="18"/>
                <w:szCs w:val="18"/>
                <w:color w:val="auto"/>
              </w:rPr>
              <w:t>330</w:t>
            </w:r>
          </w:p>
        </w:tc>
        <w:tc>
          <w:tcPr>
            <w:tcW w:w="120" w:type="dxa"/>
            <w:vAlign w:val="bottom"/>
            <w:shd w:val="clear" w:color="auto" w:fill="CCEEFF"/>
          </w:tcPr>
          <w:p>
            <w:pPr>
              <w:spacing w:after="0"/>
              <w:rPr>
                <w:sz w:val="24"/>
                <w:szCs w:val="24"/>
                <w:color w:val="auto"/>
              </w:rPr>
            </w:pPr>
          </w:p>
        </w:tc>
        <w:tc>
          <w:tcPr>
            <w:tcW w:w="24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220" w:type="dxa"/>
            <w:vAlign w:val="bottom"/>
            <w:shd w:val="clear" w:color="auto" w:fill="CCEEFF"/>
          </w:tcPr>
          <w:p>
            <w:pPr>
              <w:jc w:val="right"/>
              <w:ind w:right="36"/>
              <w:spacing w:after="0"/>
              <w:rPr>
                <w:sz w:val="20"/>
                <w:szCs w:val="20"/>
                <w:color w:val="auto"/>
              </w:rPr>
            </w:pPr>
            <w:r>
              <w:rPr>
                <w:rFonts w:ascii="Arial" w:cs="Arial" w:eastAsia="Arial" w:hAnsi="Arial"/>
                <w:sz w:val="18"/>
                <w:szCs w:val="18"/>
                <w:color w:val="auto"/>
              </w:rPr>
              <w:t>185</w:t>
            </w:r>
          </w:p>
        </w:tc>
        <w:tc>
          <w:tcPr>
            <w:tcW w:w="1540" w:type="dxa"/>
            <w:vAlign w:val="bottom"/>
            <w:shd w:val="clear" w:color="auto" w:fill="CCEEFF"/>
          </w:tcPr>
          <w:p>
            <w:pPr>
              <w:jc w:val="right"/>
              <w:ind w:right="18"/>
              <w:spacing w:after="0"/>
              <w:rPr>
                <w:sz w:val="20"/>
                <w:szCs w:val="20"/>
                <w:color w:val="auto"/>
              </w:rPr>
            </w:pPr>
            <w:r>
              <w:rPr>
                <w:rFonts w:ascii="Arial" w:cs="Arial" w:eastAsia="Arial" w:hAnsi="Arial"/>
                <w:sz w:val="18"/>
                <w:szCs w:val="18"/>
                <w:color w:val="auto"/>
              </w:rPr>
              <w:t>56.1</w:t>
            </w:r>
          </w:p>
        </w:tc>
        <w:tc>
          <w:tcPr>
            <w:tcW w:w="0" w:type="dxa"/>
            <w:vAlign w:val="bottom"/>
          </w:tcPr>
          <w:p>
            <w:pPr>
              <w:spacing w:after="0"/>
              <w:rPr>
                <w:sz w:val="1"/>
                <w:szCs w:val="1"/>
                <w:color w:val="auto"/>
              </w:rPr>
            </w:pPr>
          </w:p>
        </w:tc>
      </w:tr>
      <w:tr>
        <w:trPr>
          <w:trHeight w:val="263"/>
        </w:trPr>
        <w:tc>
          <w:tcPr>
            <w:tcW w:w="5020" w:type="dxa"/>
            <w:vAlign w:val="bottom"/>
          </w:tcPr>
          <w:p>
            <w:pPr>
              <w:ind w:left="40"/>
              <w:spacing w:after="0"/>
              <w:rPr>
                <w:sz w:val="20"/>
                <w:szCs w:val="20"/>
                <w:color w:val="auto"/>
              </w:rPr>
            </w:pPr>
            <w:r>
              <w:rPr>
                <w:rFonts w:ascii="Arial" w:cs="Arial" w:eastAsia="Arial" w:hAnsi="Arial"/>
                <w:sz w:val="18"/>
                <w:szCs w:val="18"/>
                <w:color w:val="auto"/>
              </w:rPr>
              <w:t>Interest expense, net</w:t>
            </w:r>
          </w:p>
        </w:tc>
        <w:tc>
          <w:tcPr>
            <w:tcW w:w="340" w:type="dxa"/>
            <w:vAlign w:val="bottom"/>
          </w:tcPr>
          <w:p>
            <w:pPr>
              <w:spacing w:after="0"/>
              <w:rPr>
                <w:sz w:val="22"/>
                <w:szCs w:val="22"/>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(1,109)</w:t>
            </w:r>
          </w:p>
        </w:tc>
        <w:tc>
          <w:tcPr>
            <w:tcW w:w="100" w:type="dxa"/>
            <w:vAlign w:val="bottom"/>
          </w:tcPr>
          <w:p>
            <w:pPr>
              <w:spacing w:after="0"/>
              <w:rPr>
                <w:sz w:val="22"/>
                <w:szCs w:val="22"/>
                <w:color w:val="auto"/>
              </w:rPr>
            </w:pPr>
          </w:p>
        </w:tc>
        <w:tc>
          <w:tcPr>
            <w:tcW w:w="500" w:type="dxa"/>
            <w:vAlign w:val="bottom"/>
          </w:tcPr>
          <w:p>
            <w:pPr>
              <w:spacing w:after="0"/>
              <w:rPr>
                <w:sz w:val="22"/>
                <w:szCs w:val="22"/>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(1,028)</w:t>
            </w:r>
          </w:p>
        </w:tc>
        <w:tc>
          <w:tcPr>
            <w:tcW w:w="12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(81)</w:t>
            </w:r>
          </w:p>
        </w:tc>
        <w:tc>
          <w:tcPr>
            <w:tcW w:w="1540" w:type="dxa"/>
            <w:vAlign w:val="bottom"/>
          </w:tcPr>
          <w:p>
            <w:pPr>
              <w:jc w:val="right"/>
              <w:ind w:right="18"/>
              <w:spacing w:after="0"/>
              <w:rPr>
                <w:sz w:val="20"/>
                <w:szCs w:val="20"/>
                <w:color w:val="auto"/>
              </w:rPr>
            </w:pPr>
            <w:r>
              <w:rPr>
                <w:rFonts w:ascii="Arial" w:cs="Arial" w:eastAsia="Arial" w:hAnsi="Arial"/>
                <w:sz w:val="18"/>
                <w:szCs w:val="18"/>
                <w:color w:val="auto"/>
              </w:rPr>
              <w:t>7.8</w:t>
            </w:r>
          </w:p>
        </w:tc>
        <w:tc>
          <w:tcPr>
            <w:tcW w:w="0" w:type="dxa"/>
            <w:vAlign w:val="bottom"/>
          </w:tcPr>
          <w:p>
            <w:pPr>
              <w:spacing w:after="0"/>
              <w:rPr>
                <w:sz w:val="1"/>
                <w:szCs w:val="1"/>
                <w:color w:val="auto"/>
              </w:rPr>
            </w:pPr>
          </w:p>
        </w:tc>
      </w:tr>
      <w:tr>
        <w:trPr>
          <w:trHeight w:val="277"/>
        </w:trPr>
        <w:tc>
          <w:tcPr>
            <w:tcW w:w="5020" w:type="dxa"/>
            <w:vAlign w:val="bottom"/>
            <w:shd w:val="clear" w:color="auto" w:fill="CCEEFF"/>
          </w:tcPr>
          <w:p>
            <w:pPr>
              <w:ind w:left="40"/>
              <w:spacing w:after="0"/>
              <w:rPr>
                <w:sz w:val="20"/>
                <w:szCs w:val="20"/>
                <w:color w:val="auto"/>
              </w:rPr>
            </w:pPr>
            <w:r>
              <w:rPr>
                <w:rFonts w:ascii="Arial" w:cs="Arial" w:eastAsia="Arial" w:hAnsi="Arial"/>
                <w:sz w:val="18"/>
                <w:szCs w:val="18"/>
                <w:color w:val="auto"/>
              </w:rPr>
              <w:t>Other income, net</w:t>
            </w:r>
          </w:p>
        </w:tc>
        <w:tc>
          <w:tcPr>
            <w:tcW w:w="340" w:type="dxa"/>
            <w:vAlign w:val="bottom"/>
            <w:tcBorders>
              <w:bottom w:val="single" w:sz="8" w:color="auto"/>
            </w:tcBorders>
            <w:shd w:val="clear" w:color="auto" w:fill="CCEEFF"/>
          </w:tcPr>
          <w:p>
            <w:pPr>
              <w:spacing w:after="0"/>
              <w:rPr>
                <w:sz w:val="24"/>
                <w:szCs w:val="24"/>
                <w:color w:val="auto"/>
              </w:rPr>
            </w:pPr>
          </w:p>
        </w:tc>
        <w:tc>
          <w:tcPr>
            <w:tcW w:w="1120" w:type="dxa"/>
            <w:vAlign w:val="bottom"/>
            <w:tcBorders>
              <w:bottom w:val="single" w:sz="8" w:color="auto"/>
            </w:tcBorders>
            <w:shd w:val="clear" w:color="auto" w:fill="CCEEFF"/>
          </w:tcPr>
          <w:p>
            <w:pPr>
              <w:jc w:val="right"/>
              <w:ind w:right="38"/>
              <w:spacing w:after="0"/>
              <w:rPr>
                <w:sz w:val="20"/>
                <w:szCs w:val="20"/>
                <w:color w:val="auto"/>
              </w:rPr>
            </w:pPr>
            <w:r>
              <w:rPr>
                <w:rFonts w:ascii="Arial" w:cs="Arial" w:eastAsia="Arial" w:hAnsi="Arial"/>
                <w:sz w:val="18"/>
                <w:szCs w:val="18"/>
                <w:color w:val="auto"/>
              </w:rPr>
              <w:t>152</w:t>
            </w:r>
          </w:p>
        </w:tc>
        <w:tc>
          <w:tcPr>
            <w:tcW w:w="100" w:type="dxa"/>
            <w:vAlign w:val="bottom"/>
            <w:shd w:val="clear" w:color="auto" w:fill="CCEEFF"/>
          </w:tcPr>
          <w:p>
            <w:pPr>
              <w:spacing w:after="0"/>
              <w:rPr>
                <w:sz w:val="24"/>
                <w:szCs w:val="24"/>
                <w:color w:val="auto"/>
              </w:rPr>
            </w:pPr>
          </w:p>
        </w:tc>
        <w:tc>
          <w:tcPr>
            <w:tcW w:w="500" w:type="dxa"/>
            <w:vAlign w:val="bottom"/>
            <w:tcBorders>
              <w:bottom w:val="single" w:sz="8" w:color="auto"/>
            </w:tcBorders>
            <w:shd w:val="clear" w:color="auto" w:fill="CCEEFF"/>
          </w:tcPr>
          <w:p>
            <w:pPr>
              <w:spacing w:after="0"/>
              <w:rPr>
                <w:sz w:val="24"/>
                <w:szCs w:val="24"/>
                <w:color w:val="auto"/>
              </w:rPr>
            </w:pPr>
          </w:p>
        </w:tc>
        <w:tc>
          <w:tcPr>
            <w:tcW w:w="960" w:type="dxa"/>
            <w:vAlign w:val="bottom"/>
            <w:tcBorders>
              <w:bottom w:val="single" w:sz="8" w:color="auto"/>
            </w:tcBorders>
            <w:shd w:val="clear" w:color="auto" w:fill="CCEEFF"/>
          </w:tcPr>
          <w:p>
            <w:pPr>
              <w:jc w:val="right"/>
              <w:ind w:right="14"/>
              <w:spacing w:after="0"/>
              <w:rPr>
                <w:sz w:val="20"/>
                <w:szCs w:val="20"/>
                <w:color w:val="auto"/>
              </w:rPr>
            </w:pPr>
            <w:r>
              <w:rPr>
                <w:rFonts w:ascii="Arial" w:cs="Arial" w:eastAsia="Arial" w:hAnsi="Arial"/>
                <w:sz w:val="18"/>
                <w:szCs w:val="18"/>
                <w:color w:val="auto"/>
              </w:rPr>
              <w:t>167</w:t>
            </w:r>
          </w:p>
        </w:tc>
        <w:tc>
          <w:tcPr>
            <w:tcW w:w="120" w:type="dxa"/>
            <w:vAlign w:val="bottom"/>
            <w:shd w:val="clear" w:color="auto" w:fill="CCEEFF"/>
          </w:tcPr>
          <w:p>
            <w:pPr>
              <w:spacing w:after="0"/>
              <w:rPr>
                <w:sz w:val="24"/>
                <w:szCs w:val="24"/>
                <w:color w:val="auto"/>
              </w:rPr>
            </w:pPr>
          </w:p>
        </w:tc>
        <w:tc>
          <w:tcPr>
            <w:tcW w:w="240" w:type="dxa"/>
            <w:vAlign w:val="bottom"/>
            <w:tcBorders>
              <w:bottom w:val="single" w:sz="8" w:color="auto"/>
            </w:tcBorders>
            <w:shd w:val="clear" w:color="auto" w:fill="CCEEFF"/>
          </w:tcPr>
          <w:p>
            <w:pPr>
              <w:spacing w:after="0"/>
              <w:rPr>
                <w:sz w:val="24"/>
                <w:szCs w:val="24"/>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w:t>
            </w:r>
          </w:p>
        </w:tc>
        <w:tc>
          <w:tcPr>
            <w:tcW w:w="1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(9.3)</w:t>
            </w:r>
          </w:p>
        </w:tc>
        <w:tc>
          <w:tcPr>
            <w:tcW w:w="0" w:type="dxa"/>
            <w:vAlign w:val="bottom"/>
          </w:tcPr>
          <w:p>
            <w:pPr>
              <w:spacing w:after="0"/>
              <w:rPr>
                <w:sz w:val="1"/>
                <w:szCs w:val="1"/>
                <w:color w:val="auto"/>
              </w:rPr>
            </w:pPr>
          </w:p>
        </w:tc>
      </w:tr>
      <w:tr>
        <w:trPr>
          <w:trHeight w:val="250"/>
        </w:trPr>
        <w:tc>
          <w:tcPr>
            <w:tcW w:w="5020" w:type="dxa"/>
            <w:vAlign w:val="bottom"/>
          </w:tcPr>
          <w:p>
            <w:pPr>
              <w:ind w:left="280"/>
              <w:spacing w:after="0"/>
              <w:rPr>
                <w:sz w:val="20"/>
                <w:szCs w:val="20"/>
                <w:color w:val="auto"/>
              </w:rPr>
            </w:pPr>
            <w:r>
              <w:rPr>
                <w:rFonts w:ascii="Arial" w:cs="Arial" w:eastAsia="Arial" w:hAnsi="Arial"/>
                <w:sz w:val="18"/>
                <w:szCs w:val="18"/>
                <w:color w:val="auto"/>
              </w:rPr>
              <w:t>Total nonoperating expense, net</w:t>
            </w:r>
          </w:p>
        </w:tc>
        <w:tc>
          <w:tcPr>
            <w:tcW w:w="340" w:type="dxa"/>
            <w:vAlign w:val="bottom"/>
            <w:tcBorders>
              <w:bottom w:val="single" w:sz="8" w:color="auto"/>
            </w:tcBorders>
          </w:tcPr>
          <w:p>
            <w:pPr>
              <w:jc w:val="right"/>
              <w:ind w:right="13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(442)</w:t>
            </w:r>
          </w:p>
        </w:tc>
        <w:tc>
          <w:tcPr>
            <w:tcW w:w="100" w:type="dxa"/>
            <w:vAlign w:val="bottom"/>
          </w:tcPr>
          <w:p>
            <w:pPr>
              <w:spacing w:after="0"/>
              <w:rPr>
                <w:sz w:val="21"/>
                <w:szCs w:val="21"/>
                <w:color w:val="auto"/>
              </w:rPr>
            </w:pPr>
          </w:p>
        </w:tc>
        <w:tc>
          <w:tcPr>
            <w:tcW w:w="500" w:type="dxa"/>
            <w:vAlign w:val="bottom"/>
            <w:tcBorders>
              <w:bottom w:val="single" w:sz="8" w:color="auto"/>
            </w:tcBorders>
          </w:tcPr>
          <w:p>
            <w:pPr>
              <w:jc w:val="right"/>
              <w:ind w:right="276"/>
              <w:spacing w:after="0"/>
              <w:rPr>
                <w:sz w:val="20"/>
                <w:szCs w:val="20"/>
                <w:color w:val="auto"/>
              </w:rPr>
            </w:pPr>
            <w:r>
              <w:rPr>
                <w:rFonts w:ascii="Arial" w:cs="Arial" w:eastAsia="Arial" w:hAnsi="Arial"/>
                <w:sz w:val="18"/>
                <w:szCs w:val="18"/>
                <w:color w:val="auto"/>
              </w:rPr>
              <w:t>$</w:t>
            </w: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(531)</w:t>
            </w:r>
          </w:p>
        </w:tc>
        <w:tc>
          <w:tcPr>
            <w:tcW w:w="120" w:type="dxa"/>
            <w:vAlign w:val="bottom"/>
          </w:tcPr>
          <w:p>
            <w:pPr>
              <w:spacing w:after="0"/>
              <w:rPr>
                <w:sz w:val="21"/>
                <w:szCs w:val="21"/>
                <w:color w:val="auto"/>
              </w:rPr>
            </w:pPr>
          </w:p>
        </w:tc>
        <w:tc>
          <w:tcPr>
            <w:tcW w:w="24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w w:val="99"/>
              </w:rPr>
              <w:t>$</w:t>
            </w:r>
          </w:p>
        </w:tc>
        <w:tc>
          <w:tcPr>
            <w:tcW w:w="1220" w:type="dxa"/>
            <w:vAlign w:val="bottom"/>
            <w:tcBorders>
              <w:bottom w:val="single" w:sz="8" w:color="auto"/>
            </w:tcBorders>
          </w:tcPr>
          <w:p>
            <w:pPr>
              <w:jc w:val="right"/>
              <w:ind w:right="36"/>
              <w:spacing w:after="0"/>
              <w:rPr>
                <w:sz w:val="20"/>
                <w:szCs w:val="20"/>
                <w:color w:val="auto"/>
              </w:rPr>
            </w:pPr>
            <w:r>
              <w:rPr>
                <w:rFonts w:ascii="Arial" w:cs="Arial" w:eastAsia="Arial" w:hAnsi="Arial"/>
                <w:sz w:val="18"/>
                <w:szCs w:val="18"/>
                <w:color w:val="auto"/>
              </w:rPr>
              <w:t>89</w:t>
            </w:r>
          </w:p>
        </w:tc>
        <w:tc>
          <w:tcPr>
            <w:tcW w:w="1540" w:type="dxa"/>
            <w:vAlign w:val="bottom"/>
          </w:tcPr>
          <w:p>
            <w:pPr>
              <w:jc w:val="right"/>
              <w:spacing w:after="0"/>
              <w:rPr>
                <w:sz w:val="20"/>
                <w:szCs w:val="20"/>
                <w:color w:val="auto"/>
              </w:rPr>
            </w:pPr>
            <w:r>
              <w:rPr>
                <w:rFonts w:ascii="Arial" w:cs="Arial" w:eastAsia="Arial" w:hAnsi="Arial"/>
                <w:sz w:val="18"/>
                <w:szCs w:val="18"/>
                <w:color w:val="auto"/>
              </w:rPr>
              <w:t>(16.9)</w:t>
            </w:r>
          </w:p>
        </w:tc>
        <w:tc>
          <w:tcPr>
            <w:tcW w:w="0" w:type="dxa"/>
            <w:vAlign w:val="bottom"/>
          </w:tcPr>
          <w:p>
            <w:pPr>
              <w:spacing w:after="0"/>
              <w:rPr>
                <w:sz w:val="1"/>
                <w:szCs w:val="1"/>
                <w:color w:val="auto"/>
              </w:rPr>
            </w:pPr>
          </w:p>
        </w:tc>
      </w:tr>
      <w:tr>
        <w:trPr>
          <w:trHeight w:val="20"/>
        </w:trPr>
        <w:tc>
          <w:tcPr>
            <w:tcW w:w="502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5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23" w:lineRule="exact"/>
        <w:rPr>
          <w:sz w:val="20"/>
          <w:szCs w:val="20"/>
          <w:color w:val="auto"/>
        </w:rPr>
      </w:pPr>
    </w:p>
    <w:p>
      <w:pPr>
        <w:ind w:firstLine="216"/>
        <w:spacing w:after="0" w:line="262" w:lineRule="auto"/>
        <w:rPr>
          <w:sz w:val="20"/>
          <w:szCs w:val="20"/>
          <w:color w:val="auto"/>
        </w:rPr>
      </w:pPr>
      <w:r>
        <w:rPr>
          <w:rFonts w:ascii="Arial" w:cs="Arial" w:eastAsia="Arial" w:hAnsi="Arial"/>
          <w:sz w:val="18"/>
          <w:szCs w:val="18"/>
          <w:color w:val="auto"/>
        </w:rPr>
        <w:t>Interest income increased $185 million, or 56.1%, due to higher interest-bearing related party receivables from American’s parent company, AAG in 2019 as compared to 2018.</w:t>
      </w:r>
    </w:p>
    <w:p>
      <w:pPr>
        <w:spacing w:after="0" w:line="19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58</w:t>
      </w:r>
    </w:p>
    <w:p>
      <w:pPr>
        <w:sectPr>
          <w:pgSz w:w="11900" w:h="16838" w:orient="portrait"/>
          <w:cols w:equalWidth="0" w:num="1">
            <w:col w:w="11420"/>
          </w:cols>
          <w:pgMar w:left="240" w:top="679" w:right="239" w:bottom="1440" w:gutter="0" w:footer="0" w:header="0"/>
          <w:type w:val="continuous"/>
        </w:sectPr>
      </w:pPr>
    </w:p>
    <w:bookmarkStart w:id="58" w:name="page59"/>
    <w:bookmarkEnd w:id="58"/>
    <w:p>
      <w:pPr>
        <w:jc w:val="both"/>
        <w:ind w:right="20" w:firstLine="216"/>
        <w:spacing w:after="0" w:line="262" w:lineRule="auto"/>
        <w:rPr>
          <w:sz w:val="20"/>
          <w:szCs w:val="20"/>
          <w:color w:val="auto"/>
        </w:rPr>
      </w:pPr>
      <w:r>
        <w:rPr>
          <w:rFonts w:ascii="Arial" w:cs="Arial" w:eastAsia="Arial" w:hAnsi="Arial"/>
          <w:sz w:val="18"/>
          <w:szCs w:val="18"/>
          <w:color w:val="auto"/>
        </w:rPr>
        <w:t>Interest expense, net increased $81 million, or 7.8%, in 2019 as compared to 2018, primarily due to higher-interest bearing related party payables to other AAG subsidiaries and lower capitalized interest.</w:t>
      </w:r>
    </w:p>
    <w:p>
      <w:pPr>
        <w:spacing w:after="0" w:line="142" w:lineRule="exact"/>
        <w:rPr>
          <w:sz w:val="20"/>
          <w:szCs w:val="20"/>
          <w:color w:val="auto"/>
        </w:rPr>
      </w:pPr>
    </w:p>
    <w:p>
      <w:pPr>
        <w:jc w:val="both"/>
        <w:ind w:firstLine="216"/>
        <w:spacing w:after="0" w:line="256" w:lineRule="auto"/>
        <w:rPr>
          <w:sz w:val="20"/>
          <w:szCs w:val="20"/>
          <w:color w:val="auto"/>
        </w:rPr>
      </w:pPr>
      <w:r>
        <w:rPr>
          <w:rFonts w:ascii="Arial" w:cs="Arial" w:eastAsia="Arial" w:hAnsi="Arial"/>
          <w:sz w:val="18"/>
          <w:szCs w:val="18"/>
          <w:color w:val="auto"/>
        </w:rPr>
        <w:t>In 2019, other nonoperating income, net principally included $183 million of non-service related pension and other postretirement benefit plan income. This income was offset in part by $32 million of net foreign currency losses principally associated with losses from Latin American currencies.</w:t>
      </w:r>
    </w:p>
    <w:p>
      <w:pPr>
        <w:spacing w:after="0" w:line="148" w:lineRule="exact"/>
        <w:rPr>
          <w:sz w:val="20"/>
          <w:szCs w:val="20"/>
          <w:color w:val="auto"/>
        </w:rPr>
      </w:pPr>
    </w:p>
    <w:p>
      <w:pPr>
        <w:jc w:val="both"/>
        <w:ind w:firstLine="216"/>
        <w:spacing w:after="0" w:line="256" w:lineRule="auto"/>
        <w:rPr>
          <w:sz w:val="20"/>
          <w:szCs w:val="20"/>
          <w:color w:val="auto"/>
        </w:rPr>
      </w:pPr>
      <w:r>
        <w:rPr>
          <w:rFonts w:ascii="Arial" w:cs="Arial" w:eastAsia="Arial" w:hAnsi="Arial"/>
          <w:sz w:val="18"/>
          <w:szCs w:val="18"/>
          <w:color w:val="auto"/>
        </w:rPr>
        <w:t>In 2018, other nonoperating income, net principally included $309 million of non-service related pension and other postretirement benefit plan income. This income was offset in part by a $104 million net special charge for mark-to-market unrealized losses primarily associated with American’s equity investment in China Southern Airlines and $54 million of net foreign currency losses from Latin American currencies.</w:t>
      </w:r>
    </w:p>
    <w:p>
      <w:pPr>
        <w:spacing w:after="0" w:line="148" w:lineRule="exact"/>
        <w:rPr>
          <w:sz w:val="20"/>
          <w:szCs w:val="20"/>
          <w:color w:val="auto"/>
        </w:rPr>
      </w:pPr>
    </w:p>
    <w:p>
      <w:pPr>
        <w:jc w:val="both"/>
        <w:ind w:firstLine="216"/>
        <w:spacing w:after="0" w:line="262" w:lineRule="auto"/>
        <w:rPr>
          <w:sz w:val="20"/>
          <w:szCs w:val="20"/>
          <w:color w:val="auto"/>
        </w:rPr>
      </w:pPr>
      <w:r>
        <w:rPr>
          <w:rFonts w:ascii="Arial" w:cs="Arial" w:eastAsia="Arial" w:hAnsi="Arial"/>
          <w:sz w:val="18"/>
          <w:szCs w:val="18"/>
          <w:color w:val="auto"/>
        </w:rPr>
        <w:t>The decrease in non-service related pension and other postretirement benefit plan income in 2019 as compared to 2018 is principally due to a decrease in the expected return on pension plan assets.</w:t>
      </w:r>
    </w:p>
    <w:p>
      <w:pPr>
        <w:spacing w:after="0" w:line="205" w:lineRule="exact"/>
        <w:rPr>
          <w:sz w:val="20"/>
          <w:szCs w:val="20"/>
          <w:color w:val="auto"/>
        </w:rPr>
      </w:pPr>
    </w:p>
    <w:p>
      <w:pPr>
        <w:ind w:left="220"/>
        <w:spacing w:after="0"/>
        <w:rPr>
          <w:sz w:val="20"/>
          <w:szCs w:val="20"/>
          <w:color w:val="auto"/>
        </w:rPr>
      </w:pPr>
      <w:r>
        <w:rPr>
          <w:rFonts w:ascii="Arial" w:cs="Arial" w:eastAsia="Arial" w:hAnsi="Arial"/>
          <w:sz w:val="18"/>
          <w:szCs w:val="18"/>
          <w:i w:val="1"/>
          <w:iCs w:val="1"/>
          <w:u w:val="single" w:color="auto"/>
          <w:color w:val="auto"/>
        </w:rPr>
        <w:t>Income Taxes</w:t>
      </w:r>
    </w:p>
    <w:p>
      <w:pPr>
        <w:spacing w:after="0" w:line="108" w:lineRule="exact"/>
        <w:rPr>
          <w:sz w:val="20"/>
          <w:szCs w:val="20"/>
          <w:color w:val="auto"/>
        </w:rPr>
      </w:pPr>
    </w:p>
    <w:p>
      <w:pPr>
        <w:ind w:left="220"/>
        <w:spacing w:after="0"/>
        <w:rPr>
          <w:sz w:val="20"/>
          <w:szCs w:val="20"/>
          <w:color w:val="auto"/>
        </w:rPr>
      </w:pPr>
      <w:r>
        <w:rPr>
          <w:rFonts w:ascii="Arial" w:cs="Arial" w:eastAsia="Arial" w:hAnsi="Arial"/>
          <w:sz w:val="18"/>
          <w:szCs w:val="18"/>
          <w:color w:val="auto"/>
        </w:rPr>
        <w:t>American is part of the AAG consolidated income tax return.</w:t>
      </w:r>
    </w:p>
    <w:p>
      <w:pPr>
        <w:spacing w:after="0" w:line="90" w:lineRule="exact"/>
        <w:rPr>
          <w:sz w:val="20"/>
          <w:szCs w:val="20"/>
          <w:color w:val="auto"/>
        </w:rPr>
      </w:pPr>
    </w:p>
    <w:p>
      <w:pPr>
        <w:jc w:val="both"/>
        <w:ind w:firstLine="216"/>
        <w:spacing w:after="0" w:line="254" w:lineRule="auto"/>
        <w:rPr>
          <w:sz w:val="20"/>
          <w:szCs w:val="20"/>
          <w:color w:val="auto"/>
        </w:rPr>
      </w:pPr>
      <w:r>
        <w:rPr>
          <w:rFonts w:ascii="Arial" w:cs="Arial" w:eastAsia="Arial" w:hAnsi="Arial"/>
          <w:sz w:val="18"/>
          <w:szCs w:val="18"/>
          <w:color w:val="auto"/>
        </w:rPr>
        <w:t>In 2019, American recorded an income tax provision of $633 million at an effective rate of approximately 24%, which was substantially non-cash due to utilization of its NOLs. Substantially all of American’s income before income taxes is attributable to the United States. At December 31, 2019, American had approximately $9.2 billion of federal NOLs and $2.9 billion of state NOLs, substantially all of which American expects to be available in 2020 to reduce future federal and state taxable income.</w:t>
      </w:r>
    </w:p>
    <w:p>
      <w:pPr>
        <w:spacing w:after="0" w:line="150" w:lineRule="exact"/>
        <w:rPr>
          <w:sz w:val="20"/>
          <w:szCs w:val="20"/>
          <w:color w:val="auto"/>
        </w:rPr>
      </w:pPr>
    </w:p>
    <w:p>
      <w:pPr>
        <w:jc w:val="both"/>
        <w:ind w:right="20" w:firstLine="216"/>
        <w:spacing w:after="0" w:line="262" w:lineRule="auto"/>
        <w:rPr>
          <w:sz w:val="20"/>
          <w:szCs w:val="20"/>
          <w:color w:val="auto"/>
        </w:rPr>
      </w:pPr>
      <w:r>
        <w:rPr>
          <w:rFonts w:ascii="Arial" w:cs="Arial" w:eastAsia="Arial" w:hAnsi="Arial"/>
          <w:sz w:val="18"/>
          <w:szCs w:val="18"/>
          <w:color w:val="auto"/>
        </w:rPr>
        <w:t>In 2018, American recorded an income tax provision of $534 million at an effective rate of approximately 24%, which was substantially non-cash. This provision included an $18 million special income tax charge related to an international income tax matter.</w:t>
      </w:r>
    </w:p>
    <w:p>
      <w:pPr>
        <w:spacing w:after="0" w:line="142" w:lineRule="exact"/>
        <w:rPr>
          <w:sz w:val="20"/>
          <w:szCs w:val="20"/>
          <w:color w:val="auto"/>
        </w:rPr>
      </w:pPr>
    </w:p>
    <w:p>
      <w:pPr>
        <w:ind w:left="220"/>
        <w:spacing w:after="0"/>
        <w:rPr>
          <w:sz w:val="20"/>
          <w:szCs w:val="20"/>
          <w:color w:val="auto"/>
        </w:rPr>
      </w:pPr>
      <w:r>
        <w:rPr>
          <w:rFonts w:ascii="Arial" w:cs="Arial" w:eastAsia="Arial" w:hAnsi="Arial"/>
          <w:sz w:val="18"/>
          <w:szCs w:val="18"/>
          <w:color w:val="auto"/>
        </w:rPr>
        <w:t>See Note 5 to American’s Consolidated Financial Statements in Part II, Item 8B for additional information on income taxes.</w:t>
      </w:r>
    </w:p>
    <w:p>
      <w:pPr>
        <w:spacing w:after="0" w:line="23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Liquidity and Capital Resources</w:t>
      </w:r>
    </w:p>
    <w:p>
      <w:pPr>
        <w:spacing w:after="0" w:line="9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Liquidity</w:t>
      </w:r>
    </w:p>
    <w:p>
      <w:pPr>
        <w:spacing w:after="0" w:line="112" w:lineRule="exact"/>
        <w:rPr>
          <w:sz w:val="20"/>
          <w:szCs w:val="20"/>
          <w:color w:val="auto"/>
        </w:rPr>
      </w:pPr>
    </w:p>
    <w:p>
      <w:pPr>
        <w:jc w:val="both"/>
        <w:ind w:firstLine="216"/>
        <w:spacing w:after="0" w:line="262" w:lineRule="auto"/>
        <w:rPr>
          <w:sz w:val="20"/>
          <w:szCs w:val="20"/>
          <w:color w:val="auto"/>
        </w:rPr>
      </w:pPr>
      <w:r>
        <w:rPr>
          <w:rFonts w:ascii="Arial" w:cs="Arial" w:eastAsia="Arial" w:hAnsi="Arial"/>
          <w:sz w:val="18"/>
          <w:szCs w:val="18"/>
          <w:color w:val="auto"/>
        </w:rPr>
        <w:t>As of December 31, 2019, AAG had approximately $7.0 billion in total available liquidity and $158 million in restricted cash and short-term investments. Additional detail regarding our available liquidity is provided in the table below (in millions):</w:t>
      </w:r>
    </w:p>
    <w:p>
      <w:pPr>
        <w:spacing w:after="0" w:line="346" w:lineRule="exact"/>
        <w:rPr>
          <w:sz w:val="20"/>
          <w:szCs w:val="20"/>
          <w:color w:val="auto"/>
        </w:rPr>
      </w:pPr>
    </w:p>
    <w:p>
      <w:pPr>
        <w:ind w:left="6880"/>
        <w:spacing w:after="0"/>
        <w:tabs>
          <w:tab w:leader="none" w:pos="9660" w:val="left"/>
        </w:tabs>
        <w:rPr>
          <w:sz w:val="20"/>
          <w:szCs w:val="20"/>
          <w:color w:val="auto"/>
        </w:rPr>
      </w:pPr>
      <w:r>
        <w:rPr>
          <w:rFonts w:ascii="Arial" w:cs="Arial" w:eastAsia="Arial" w:hAnsi="Arial"/>
          <w:sz w:val="14"/>
          <w:szCs w:val="14"/>
          <w:b w:val="1"/>
          <w:bCs w:val="1"/>
          <w:color w:val="auto"/>
        </w:rPr>
        <w:t>AAG</w:t>
      </w:r>
      <w:r>
        <w:rPr>
          <w:sz w:val="20"/>
          <w:szCs w:val="20"/>
          <w:color w:val="auto"/>
        </w:rPr>
        <w:tab/>
      </w:r>
      <w:r>
        <w:rPr>
          <w:rFonts w:ascii="Arial" w:cs="Arial" w:eastAsia="Arial" w:hAnsi="Arial"/>
          <w:sz w:val="14"/>
          <w:szCs w:val="14"/>
          <w:b w:val="1"/>
          <w:bCs w:val="1"/>
          <w:color w:val="auto"/>
        </w:rPr>
        <w:t>American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3547110</wp:posOffset>
            </wp:positionH>
            <wp:positionV relativeFrom="paragraph">
              <wp:posOffset>26035</wp:posOffset>
            </wp:positionV>
            <wp:extent cx="3704590" cy="889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3704590" cy="8890"/>
                    </a:xfrm>
                    <a:prstGeom prst="rect">
                      <a:avLst/>
                    </a:prstGeom>
                    <a:noFill/>
                  </pic:spPr>
                </pic:pic>
              </a:graphicData>
            </a:graphic>
          </wp:anchor>
        </w:drawing>
      </w:r>
    </w:p>
    <w:p>
      <w:pPr>
        <w:sectPr>
          <w:pgSz w:w="11900" w:h="16838" w:orient="portrait"/>
          <w:cols w:equalWidth="0" w:num="1">
            <w:col w:w="11420"/>
          </w:cols>
          <w:pgMar w:left="240" w:top="733" w:right="239" w:bottom="1440" w:gutter="0" w:footer="0" w:header="0"/>
        </w:sectPr>
      </w:pPr>
    </w:p>
    <w:p>
      <w:pPr>
        <w:spacing w:after="0" w:line="109" w:lineRule="exact"/>
        <w:rPr>
          <w:sz w:val="20"/>
          <w:szCs w:val="20"/>
          <w:color w:val="auto"/>
        </w:rPr>
      </w:pPr>
    </w:p>
    <w:p>
      <w:pPr>
        <w:jc w:val="center"/>
        <w:ind w:left="5700"/>
        <w:spacing w:after="0"/>
        <w:rPr>
          <w:sz w:val="20"/>
          <w:szCs w:val="20"/>
          <w:color w:val="auto"/>
        </w:rPr>
      </w:pPr>
      <w:r>
        <w:rPr>
          <w:rFonts w:ascii="Arial" w:cs="Arial" w:eastAsia="Arial" w:hAnsi="Arial"/>
          <w:sz w:val="14"/>
          <w:szCs w:val="14"/>
          <w:b w:val="1"/>
          <w:bCs w:val="1"/>
          <w:color w:val="auto"/>
        </w:rPr>
        <w:t>December 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3547110</wp:posOffset>
            </wp:positionH>
            <wp:positionV relativeFrom="paragraph">
              <wp:posOffset>26035</wp:posOffset>
            </wp:positionV>
            <wp:extent cx="1818005" cy="889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1818005" cy="8890"/>
                    </a:xfrm>
                    <a:prstGeom prst="rect">
                      <a:avLst/>
                    </a:prstGeom>
                    <a:noFill/>
                  </pic:spPr>
                </pic:pic>
              </a:graphicData>
            </a:graphic>
          </wp:anchor>
        </w:drawing>
      </w:r>
    </w:p>
    <w:p>
      <w:pPr>
        <w:spacing w:after="0" w:line="103" w:lineRule="exact"/>
        <w:rPr>
          <w:sz w:val="20"/>
          <w:szCs w:val="20"/>
          <w:color w:val="auto"/>
        </w:rPr>
      </w:pPr>
    </w:p>
    <w:p>
      <w:pPr>
        <w:ind w:left="6120"/>
        <w:spacing w:after="0"/>
        <w:tabs>
          <w:tab w:leader="none" w:pos="7580" w:val="left"/>
        </w:tabs>
        <w:rPr>
          <w:sz w:val="20"/>
          <w:szCs w:val="20"/>
          <w:color w:val="auto"/>
        </w:rPr>
      </w:pPr>
      <w:r>
        <w:rPr>
          <w:rFonts w:ascii="Arial" w:cs="Arial" w:eastAsia="Arial" w:hAnsi="Arial"/>
          <w:sz w:val="14"/>
          <w:szCs w:val="14"/>
          <w:b w:val="1"/>
          <w:bCs w:val="1"/>
          <w:color w:val="auto"/>
        </w:rPr>
        <w:t>2019</w:t>
      </w:r>
      <w:r>
        <w:rPr>
          <w:sz w:val="20"/>
          <w:szCs w:val="20"/>
          <w:color w:val="auto"/>
        </w:rPr>
        <w:tab/>
      </w:r>
      <w:r>
        <w:rPr>
          <w:rFonts w:ascii="Arial" w:cs="Arial" w:eastAsia="Arial" w:hAnsi="Arial"/>
          <w:sz w:val="14"/>
          <w:szCs w:val="14"/>
          <w:b w:val="1"/>
          <w:bCs w:val="1"/>
          <w:color w:val="auto"/>
        </w:rPr>
        <w:t>2018</w:t>
      </w:r>
    </w:p>
    <w:p>
      <w:pPr>
        <w:spacing w:after="0" w:line="20" w:lineRule="exact"/>
        <w:rPr>
          <w:sz w:val="20"/>
          <w:szCs w:val="20"/>
          <w:color w:val="auto"/>
        </w:rPr>
      </w:pPr>
      <w:r>
        <w:rPr>
          <w:sz w:val="20"/>
          <w:szCs w:val="20"/>
          <w:color w:val="auto"/>
        </w:rPr>
        <w:br w:type="column"/>
      </w:r>
    </w:p>
    <w:p>
      <w:pPr>
        <w:spacing w:after="0" w:line="89" w:lineRule="exact"/>
        <w:rPr>
          <w:sz w:val="20"/>
          <w:szCs w:val="20"/>
          <w:color w:val="auto"/>
        </w:rPr>
      </w:pPr>
    </w:p>
    <w:p>
      <w:pPr>
        <w:jc w:val="center"/>
        <w:ind w:right="480"/>
        <w:spacing w:after="0"/>
        <w:rPr>
          <w:sz w:val="20"/>
          <w:szCs w:val="20"/>
          <w:color w:val="auto"/>
        </w:rPr>
      </w:pPr>
      <w:r>
        <w:rPr>
          <w:rFonts w:ascii="Arial" w:cs="Arial" w:eastAsia="Arial" w:hAnsi="Arial"/>
          <w:sz w:val="14"/>
          <w:szCs w:val="14"/>
          <w:b w:val="1"/>
          <w:bCs w:val="1"/>
          <w:color w:val="auto"/>
        </w:rPr>
        <w:t>December 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-331470</wp:posOffset>
            </wp:positionH>
            <wp:positionV relativeFrom="paragraph">
              <wp:posOffset>26035</wp:posOffset>
            </wp:positionV>
            <wp:extent cx="1818005" cy="889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1818005" cy="8890"/>
                    </a:xfrm>
                    <a:prstGeom prst="rect">
                      <a:avLst/>
                    </a:prstGeom>
                    <a:noFill/>
                  </pic:spPr>
                </pic:pic>
              </a:graphicData>
            </a:graphic>
          </wp:anchor>
        </w:drawing>
      </w:r>
    </w:p>
    <w:p>
      <w:pPr>
        <w:spacing w:after="0" w:line="103" w:lineRule="exact"/>
        <w:rPr>
          <w:sz w:val="20"/>
          <w:szCs w:val="20"/>
          <w:color w:val="auto"/>
        </w:rPr>
      </w:pPr>
    </w:p>
    <w:p>
      <w:pPr>
        <w:spacing w:after="0"/>
        <w:tabs>
          <w:tab w:leader="none" w:pos="1480" w:val="left"/>
        </w:tabs>
        <w:rPr>
          <w:sz w:val="20"/>
          <w:szCs w:val="20"/>
          <w:color w:val="auto"/>
        </w:rPr>
      </w:pPr>
      <w:r>
        <w:rPr>
          <w:rFonts w:ascii="Arial" w:cs="Arial" w:eastAsia="Arial" w:hAnsi="Arial"/>
          <w:sz w:val="14"/>
          <w:szCs w:val="14"/>
          <w:b w:val="1"/>
          <w:bCs w:val="1"/>
          <w:color w:val="auto"/>
        </w:rPr>
        <w:t>2019</w:t>
      </w:r>
      <w:r>
        <w:rPr>
          <w:sz w:val="20"/>
          <w:szCs w:val="20"/>
          <w:color w:val="auto"/>
        </w:rPr>
        <w:tab/>
      </w:r>
      <w:r>
        <w:rPr>
          <w:rFonts w:ascii="Arial" w:cs="Arial" w:eastAsia="Arial" w:hAnsi="Arial"/>
          <w:sz w:val="14"/>
          <w:szCs w:val="14"/>
          <w:b w:val="1"/>
          <w:bCs w:val="1"/>
          <w:color w:val="auto"/>
        </w:rPr>
        <w:t>2018</w:t>
      </w:r>
    </w:p>
    <w:p>
      <w:pPr>
        <w:spacing w:after="0" w:line="29" w:lineRule="exact"/>
        <w:rPr>
          <w:sz w:val="20"/>
          <w:szCs w:val="20"/>
          <w:color w:val="auto"/>
        </w:rPr>
      </w:pPr>
    </w:p>
    <w:p>
      <w:pPr>
        <w:sectPr>
          <w:pgSz w:w="11900" w:h="16838" w:orient="portrait"/>
          <w:cols w:equalWidth="0" w:num="2">
            <w:col w:w="8360" w:space="720"/>
            <w:col w:w="2340"/>
          </w:cols>
          <w:pgMar w:left="240" w:top="733" w:right="239" w:bottom="1440" w:gutter="0" w:footer="0" w:header="0"/>
          <w:type w:val="continuous"/>
        </w:sectPr>
      </w:pPr>
    </w:p>
    <w:tbl>
      <w:tblPr>
        <w:tblLayout w:type="fixed"/>
        <w:tblInd w:w="0" w:type="dxa"/>
        <w:tblCellMar>
          <w:top w:w="0" w:type="dxa"/>
          <w:left w:w="0" w:type="dxa"/>
          <w:bottom w:w="0" w:type="dxa"/>
          <w:right w:w="0" w:type="dxa"/>
        </w:tblCellMar>
      </w:tblPr>
      <w:tr>
        <w:trPr>
          <w:trHeight w:val="262"/>
        </w:trPr>
        <w:tc>
          <w:tcPr>
            <w:tcW w:w="5580" w:type="dxa"/>
            <w:vAlign w:val="bottom"/>
            <w:tcBorders>
              <w:top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Cash</w:t>
            </w:r>
          </w:p>
        </w:tc>
        <w:tc>
          <w:tcPr>
            <w:tcW w:w="480" w:type="dxa"/>
            <w:vAlign w:val="bottom"/>
            <w:tcBorders>
              <w:top w:val="single" w:sz="8" w:color="auto"/>
            </w:tcBorders>
            <w:shd w:val="clear" w:color="auto" w:fill="CCEEFF"/>
          </w:tcPr>
          <w:p>
            <w:pPr>
              <w:jc w:val="right"/>
              <w:ind w:right="250"/>
              <w:spacing w:after="0"/>
              <w:rPr>
                <w:sz w:val="20"/>
                <w:szCs w:val="20"/>
                <w:color w:val="auto"/>
              </w:rPr>
            </w:pPr>
            <w:r>
              <w:rPr>
                <w:rFonts w:ascii="Arial" w:cs="Arial" w:eastAsia="Arial" w:hAnsi="Arial"/>
                <w:sz w:val="18"/>
                <w:szCs w:val="18"/>
                <w:color w:val="auto"/>
              </w:rPr>
              <w:t>$</w:t>
            </w:r>
          </w:p>
        </w:tc>
        <w:tc>
          <w:tcPr>
            <w:tcW w:w="900" w:type="dxa"/>
            <w:vAlign w:val="bottom"/>
            <w:tcBorders>
              <w:top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280</w:t>
            </w:r>
          </w:p>
        </w:tc>
        <w:tc>
          <w:tcPr>
            <w:tcW w:w="120" w:type="dxa"/>
            <w:vAlign w:val="bottom"/>
            <w:tcBorders>
              <w:top w:val="single" w:sz="8" w:color="CCEEFF"/>
            </w:tcBorders>
            <w:shd w:val="clear" w:color="auto" w:fill="CCEEFF"/>
          </w:tcPr>
          <w:p>
            <w:pPr>
              <w:spacing w:after="0"/>
              <w:rPr>
                <w:sz w:val="22"/>
                <w:szCs w:val="22"/>
                <w:color w:val="auto"/>
              </w:rPr>
            </w:pPr>
          </w:p>
        </w:tc>
        <w:tc>
          <w:tcPr>
            <w:tcW w:w="460" w:type="dxa"/>
            <w:vAlign w:val="bottom"/>
            <w:tcBorders>
              <w:top w:val="single" w:sz="8" w:color="auto"/>
            </w:tcBorders>
            <w:shd w:val="clear" w:color="auto" w:fill="CCEEFF"/>
          </w:tcPr>
          <w:p>
            <w:pPr>
              <w:jc w:val="right"/>
              <w:ind w:right="250"/>
              <w:spacing w:after="0"/>
              <w:rPr>
                <w:sz w:val="20"/>
                <w:szCs w:val="20"/>
                <w:color w:val="auto"/>
              </w:rPr>
            </w:pPr>
            <w:r>
              <w:rPr>
                <w:rFonts w:ascii="Arial" w:cs="Arial" w:eastAsia="Arial" w:hAnsi="Arial"/>
                <w:sz w:val="18"/>
                <w:szCs w:val="18"/>
                <w:color w:val="auto"/>
                <w:w w:val="99"/>
              </w:rPr>
              <w:t>$</w:t>
            </w:r>
          </w:p>
        </w:tc>
        <w:tc>
          <w:tcPr>
            <w:tcW w:w="900" w:type="dxa"/>
            <w:vAlign w:val="bottom"/>
            <w:tcBorders>
              <w:top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275</w:t>
            </w:r>
          </w:p>
        </w:tc>
        <w:tc>
          <w:tcPr>
            <w:tcW w:w="120" w:type="dxa"/>
            <w:vAlign w:val="bottom"/>
            <w:tcBorders>
              <w:top w:val="single" w:sz="8" w:color="CCEEFF"/>
            </w:tcBorders>
            <w:shd w:val="clear" w:color="auto" w:fill="CCEEFF"/>
          </w:tcPr>
          <w:p>
            <w:pPr>
              <w:spacing w:after="0"/>
              <w:rPr>
                <w:sz w:val="22"/>
                <w:szCs w:val="22"/>
                <w:color w:val="auto"/>
              </w:rPr>
            </w:pPr>
          </w:p>
        </w:tc>
        <w:tc>
          <w:tcPr>
            <w:tcW w:w="480" w:type="dxa"/>
            <w:vAlign w:val="bottom"/>
            <w:tcBorders>
              <w:top w:val="single" w:sz="8" w:color="auto"/>
            </w:tcBorders>
            <w:shd w:val="clear" w:color="auto" w:fill="CCEEFF"/>
          </w:tcPr>
          <w:p>
            <w:pPr>
              <w:jc w:val="right"/>
              <w:ind w:right="270"/>
              <w:spacing w:after="0"/>
              <w:rPr>
                <w:sz w:val="20"/>
                <w:szCs w:val="20"/>
                <w:color w:val="auto"/>
              </w:rPr>
            </w:pPr>
            <w:r>
              <w:rPr>
                <w:rFonts w:ascii="Arial" w:cs="Arial" w:eastAsia="Arial" w:hAnsi="Arial"/>
                <w:sz w:val="18"/>
                <w:szCs w:val="18"/>
                <w:color w:val="auto"/>
                <w:w w:val="99"/>
              </w:rPr>
              <w:t>$</w:t>
            </w:r>
          </w:p>
        </w:tc>
        <w:tc>
          <w:tcPr>
            <w:tcW w:w="900" w:type="dxa"/>
            <w:vAlign w:val="bottom"/>
            <w:tcBorders>
              <w:top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267</w:t>
            </w:r>
          </w:p>
        </w:tc>
        <w:tc>
          <w:tcPr>
            <w:tcW w:w="100" w:type="dxa"/>
            <w:vAlign w:val="bottom"/>
            <w:tcBorders>
              <w:top w:val="single" w:sz="8" w:color="CCEEFF"/>
            </w:tcBorders>
            <w:shd w:val="clear" w:color="auto" w:fill="CCEEFF"/>
          </w:tcPr>
          <w:p>
            <w:pPr>
              <w:spacing w:after="0"/>
              <w:rPr>
                <w:sz w:val="22"/>
                <w:szCs w:val="22"/>
                <w:color w:val="auto"/>
              </w:rPr>
            </w:pPr>
          </w:p>
        </w:tc>
        <w:tc>
          <w:tcPr>
            <w:tcW w:w="480" w:type="dxa"/>
            <w:vAlign w:val="bottom"/>
            <w:tcBorders>
              <w:top w:val="single" w:sz="8" w:color="auto"/>
            </w:tcBorders>
            <w:shd w:val="clear" w:color="auto" w:fill="CCEEFF"/>
          </w:tcPr>
          <w:p>
            <w:pPr>
              <w:jc w:val="right"/>
              <w:ind w:right="270"/>
              <w:spacing w:after="0"/>
              <w:rPr>
                <w:sz w:val="20"/>
                <w:szCs w:val="20"/>
                <w:color w:val="auto"/>
              </w:rPr>
            </w:pPr>
            <w:r>
              <w:rPr>
                <w:rFonts w:ascii="Arial" w:cs="Arial" w:eastAsia="Arial" w:hAnsi="Arial"/>
                <w:sz w:val="18"/>
                <w:szCs w:val="18"/>
                <w:color w:val="auto"/>
                <w:w w:val="99"/>
              </w:rPr>
              <w:t>$</w:t>
            </w:r>
          </w:p>
        </w:tc>
        <w:tc>
          <w:tcPr>
            <w:tcW w:w="900" w:type="dxa"/>
            <w:vAlign w:val="bottom"/>
            <w:tcBorders>
              <w:top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265</w:t>
            </w:r>
          </w:p>
        </w:tc>
      </w:tr>
      <w:tr>
        <w:trPr>
          <w:trHeight w:val="263"/>
        </w:trPr>
        <w:tc>
          <w:tcPr>
            <w:tcW w:w="5580" w:type="dxa"/>
            <w:vAlign w:val="bottom"/>
          </w:tcPr>
          <w:p>
            <w:pPr>
              <w:ind w:left="40"/>
              <w:spacing w:after="0"/>
              <w:rPr>
                <w:sz w:val="20"/>
                <w:szCs w:val="20"/>
                <w:color w:val="auto"/>
              </w:rPr>
            </w:pPr>
            <w:r>
              <w:rPr>
                <w:rFonts w:ascii="Arial" w:cs="Arial" w:eastAsia="Arial" w:hAnsi="Arial"/>
                <w:sz w:val="18"/>
                <w:szCs w:val="18"/>
                <w:color w:val="auto"/>
              </w:rPr>
              <w:t>Short-term investments</w:t>
            </w:r>
          </w:p>
        </w:tc>
        <w:tc>
          <w:tcPr>
            <w:tcW w:w="480" w:type="dxa"/>
            <w:vAlign w:val="bottom"/>
          </w:tcPr>
          <w:p>
            <w:pPr>
              <w:spacing w:after="0"/>
              <w:rPr>
                <w:sz w:val="22"/>
                <w:szCs w:val="22"/>
                <w:color w:val="auto"/>
              </w:rPr>
            </w:pPr>
          </w:p>
        </w:tc>
        <w:tc>
          <w:tcPr>
            <w:tcW w:w="900" w:type="dxa"/>
            <w:vAlign w:val="bottom"/>
          </w:tcPr>
          <w:p>
            <w:pPr>
              <w:jc w:val="right"/>
              <w:ind w:right="10"/>
              <w:spacing w:after="0"/>
              <w:rPr>
                <w:sz w:val="20"/>
                <w:szCs w:val="20"/>
                <w:color w:val="auto"/>
              </w:rPr>
            </w:pPr>
            <w:r>
              <w:rPr>
                <w:rFonts w:ascii="Arial" w:cs="Arial" w:eastAsia="Arial" w:hAnsi="Arial"/>
                <w:sz w:val="18"/>
                <w:szCs w:val="18"/>
                <w:color w:val="auto"/>
              </w:rPr>
              <w:t>3,546</w:t>
            </w:r>
          </w:p>
        </w:tc>
        <w:tc>
          <w:tcPr>
            <w:tcW w:w="120" w:type="dxa"/>
            <w:vAlign w:val="bottom"/>
          </w:tcPr>
          <w:p>
            <w:pPr>
              <w:spacing w:after="0"/>
              <w:rPr>
                <w:sz w:val="22"/>
                <w:szCs w:val="22"/>
                <w:color w:val="auto"/>
              </w:rPr>
            </w:pPr>
          </w:p>
        </w:tc>
        <w:tc>
          <w:tcPr>
            <w:tcW w:w="460" w:type="dxa"/>
            <w:vAlign w:val="bottom"/>
          </w:tcPr>
          <w:p>
            <w:pPr>
              <w:spacing w:after="0"/>
              <w:rPr>
                <w:sz w:val="22"/>
                <w:szCs w:val="22"/>
                <w:color w:val="auto"/>
              </w:rPr>
            </w:pPr>
          </w:p>
        </w:tc>
        <w:tc>
          <w:tcPr>
            <w:tcW w:w="900" w:type="dxa"/>
            <w:vAlign w:val="bottom"/>
          </w:tcPr>
          <w:p>
            <w:pPr>
              <w:jc w:val="right"/>
              <w:ind w:right="10"/>
              <w:spacing w:after="0"/>
              <w:rPr>
                <w:sz w:val="20"/>
                <w:szCs w:val="20"/>
                <w:color w:val="auto"/>
              </w:rPr>
            </w:pPr>
            <w:r>
              <w:rPr>
                <w:rFonts w:ascii="Arial" w:cs="Arial" w:eastAsia="Arial" w:hAnsi="Arial"/>
                <w:sz w:val="18"/>
                <w:szCs w:val="18"/>
                <w:color w:val="auto"/>
              </w:rPr>
              <w:t>4,485</w:t>
            </w:r>
          </w:p>
        </w:tc>
        <w:tc>
          <w:tcPr>
            <w:tcW w:w="120" w:type="dxa"/>
            <w:vAlign w:val="bottom"/>
          </w:tcPr>
          <w:p>
            <w:pPr>
              <w:spacing w:after="0"/>
              <w:rPr>
                <w:sz w:val="22"/>
                <w:szCs w:val="22"/>
                <w:color w:val="auto"/>
              </w:rPr>
            </w:pPr>
          </w:p>
        </w:tc>
        <w:tc>
          <w:tcPr>
            <w:tcW w:w="480" w:type="dxa"/>
            <w:vAlign w:val="bottom"/>
          </w:tcPr>
          <w:p>
            <w:pPr>
              <w:spacing w:after="0"/>
              <w:rPr>
                <w:sz w:val="22"/>
                <w:szCs w:val="22"/>
                <w:color w:val="auto"/>
              </w:rPr>
            </w:pPr>
          </w:p>
        </w:tc>
        <w:tc>
          <w:tcPr>
            <w:tcW w:w="900" w:type="dxa"/>
            <w:vAlign w:val="bottom"/>
          </w:tcPr>
          <w:p>
            <w:pPr>
              <w:jc w:val="right"/>
              <w:ind w:right="30"/>
              <w:spacing w:after="0"/>
              <w:rPr>
                <w:sz w:val="20"/>
                <w:szCs w:val="20"/>
                <w:color w:val="auto"/>
              </w:rPr>
            </w:pPr>
            <w:r>
              <w:rPr>
                <w:rFonts w:ascii="Arial" w:cs="Arial" w:eastAsia="Arial" w:hAnsi="Arial"/>
                <w:sz w:val="18"/>
                <w:szCs w:val="18"/>
                <w:color w:val="auto"/>
              </w:rPr>
              <w:t>3,543</w:t>
            </w:r>
          </w:p>
        </w:tc>
        <w:tc>
          <w:tcPr>
            <w:tcW w:w="100" w:type="dxa"/>
            <w:vAlign w:val="bottom"/>
          </w:tcPr>
          <w:p>
            <w:pPr>
              <w:spacing w:after="0"/>
              <w:rPr>
                <w:sz w:val="22"/>
                <w:szCs w:val="22"/>
                <w:color w:val="auto"/>
              </w:rPr>
            </w:pPr>
          </w:p>
        </w:tc>
        <w:tc>
          <w:tcPr>
            <w:tcW w:w="480" w:type="dxa"/>
            <w:vAlign w:val="bottom"/>
          </w:tcPr>
          <w:p>
            <w:pPr>
              <w:spacing w:after="0"/>
              <w:rPr>
                <w:sz w:val="22"/>
                <w:szCs w:val="22"/>
                <w:color w:val="auto"/>
              </w:rPr>
            </w:pPr>
          </w:p>
        </w:tc>
        <w:tc>
          <w:tcPr>
            <w:tcW w:w="900" w:type="dxa"/>
            <w:vAlign w:val="bottom"/>
          </w:tcPr>
          <w:p>
            <w:pPr>
              <w:jc w:val="right"/>
              <w:ind w:right="10"/>
              <w:spacing w:after="0"/>
              <w:rPr>
                <w:sz w:val="20"/>
                <w:szCs w:val="20"/>
                <w:color w:val="auto"/>
              </w:rPr>
            </w:pPr>
            <w:r>
              <w:rPr>
                <w:rFonts w:ascii="Arial" w:cs="Arial" w:eastAsia="Arial" w:hAnsi="Arial"/>
                <w:sz w:val="18"/>
                <w:szCs w:val="18"/>
                <w:color w:val="auto"/>
              </w:rPr>
              <w:t>4,482</w:t>
            </w:r>
          </w:p>
        </w:tc>
      </w:tr>
      <w:tr>
        <w:trPr>
          <w:trHeight w:val="277"/>
        </w:trPr>
        <w:tc>
          <w:tcPr>
            <w:tcW w:w="5580" w:type="dxa"/>
            <w:vAlign w:val="bottom"/>
            <w:shd w:val="clear" w:color="auto" w:fill="CCEEFF"/>
          </w:tcPr>
          <w:p>
            <w:pPr>
              <w:ind w:left="40"/>
              <w:spacing w:after="0"/>
              <w:rPr>
                <w:sz w:val="20"/>
                <w:szCs w:val="20"/>
                <w:color w:val="auto"/>
              </w:rPr>
            </w:pPr>
            <w:r>
              <w:rPr>
                <w:rFonts w:ascii="Arial" w:cs="Arial" w:eastAsia="Arial" w:hAnsi="Arial"/>
                <w:sz w:val="18"/>
                <w:szCs w:val="18"/>
                <w:color w:val="auto"/>
              </w:rPr>
              <w:t xml:space="preserve">Undrawn revolving credit facilities </w:t>
            </w:r>
            <w:r>
              <w:rPr>
                <w:rFonts w:ascii="Arial" w:cs="Arial" w:eastAsia="Arial" w:hAnsi="Arial"/>
                <w:sz w:val="21"/>
                <w:szCs w:val="21"/>
                <w:color w:val="auto"/>
                <w:vertAlign w:val="superscript"/>
              </w:rPr>
              <w:t>(1)</w:t>
            </w:r>
          </w:p>
        </w:tc>
        <w:tc>
          <w:tcPr>
            <w:tcW w:w="480" w:type="dxa"/>
            <w:vAlign w:val="bottom"/>
            <w:tcBorders>
              <w:bottom w:val="single" w:sz="8" w:color="auto"/>
            </w:tcBorders>
            <w:shd w:val="clear" w:color="auto" w:fill="CCEEFF"/>
          </w:tcPr>
          <w:p>
            <w:pPr>
              <w:spacing w:after="0"/>
              <w:rPr>
                <w:sz w:val="24"/>
                <w:szCs w:val="24"/>
                <w:color w:val="auto"/>
              </w:rPr>
            </w:pPr>
          </w:p>
        </w:tc>
        <w:tc>
          <w:tcPr>
            <w:tcW w:w="90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3,243</w:t>
            </w:r>
          </w:p>
        </w:tc>
        <w:tc>
          <w:tcPr>
            <w:tcW w:w="120" w:type="dxa"/>
            <w:vAlign w:val="bottom"/>
            <w:shd w:val="clear" w:color="auto" w:fill="CCEEFF"/>
          </w:tcPr>
          <w:p>
            <w:pPr>
              <w:spacing w:after="0"/>
              <w:rPr>
                <w:sz w:val="24"/>
                <w:szCs w:val="24"/>
                <w:color w:val="auto"/>
              </w:rPr>
            </w:pPr>
          </w:p>
        </w:tc>
        <w:tc>
          <w:tcPr>
            <w:tcW w:w="460" w:type="dxa"/>
            <w:vAlign w:val="bottom"/>
            <w:tcBorders>
              <w:bottom w:val="single" w:sz="8" w:color="auto"/>
            </w:tcBorders>
            <w:shd w:val="clear" w:color="auto" w:fill="CCEEFF"/>
          </w:tcPr>
          <w:p>
            <w:pPr>
              <w:spacing w:after="0"/>
              <w:rPr>
                <w:sz w:val="24"/>
                <w:szCs w:val="24"/>
                <w:color w:val="auto"/>
              </w:rPr>
            </w:pPr>
          </w:p>
        </w:tc>
        <w:tc>
          <w:tcPr>
            <w:tcW w:w="90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2,843</w:t>
            </w:r>
          </w:p>
        </w:tc>
        <w:tc>
          <w:tcPr>
            <w:tcW w:w="120" w:type="dxa"/>
            <w:vAlign w:val="bottom"/>
            <w:shd w:val="clear" w:color="auto" w:fill="CCEEFF"/>
          </w:tcPr>
          <w:p>
            <w:pPr>
              <w:spacing w:after="0"/>
              <w:rPr>
                <w:sz w:val="24"/>
                <w:szCs w:val="24"/>
                <w:color w:val="auto"/>
              </w:rPr>
            </w:pPr>
          </w:p>
        </w:tc>
        <w:tc>
          <w:tcPr>
            <w:tcW w:w="480" w:type="dxa"/>
            <w:vAlign w:val="bottom"/>
            <w:tcBorders>
              <w:bottom w:val="single" w:sz="8" w:color="auto"/>
            </w:tcBorders>
            <w:shd w:val="clear" w:color="auto" w:fill="CCEEFF"/>
          </w:tcPr>
          <w:p>
            <w:pPr>
              <w:spacing w:after="0"/>
              <w:rPr>
                <w:sz w:val="24"/>
                <w:szCs w:val="24"/>
                <w:color w:val="auto"/>
              </w:rPr>
            </w:pPr>
          </w:p>
        </w:tc>
        <w:tc>
          <w:tcPr>
            <w:tcW w:w="90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3,243</w:t>
            </w:r>
          </w:p>
        </w:tc>
        <w:tc>
          <w:tcPr>
            <w:tcW w:w="100" w:type="dxa"/>
            <w:vAlign w:val="bottom"/>
            <w:shd w:val="clear" w:color="auto" w:fill="CCEEFF"/>
          </w:tcPr>
          <w:p>
            <w:pPr>
              <w:spacing w:after="0"/>
              <w:rPr>
                <w:sz w:val="24"/>
                <w:szCs w:val="24"/>
                <w:color w:val="auto"/>
              </w:rPr>
            </w:pPr>
          </w:p>
        </w:tc>
        <w:tc>
          <w:tcPr>
            <w:tcW w:w="480" w:type="dxa"/>
            <w:vAlign w:val="bottom"/>
            <w:tcBorders>
              <w:bottom w:val="single" w:sz="8" w:color="auto"/>
            </w:tcBorders>
            <w:shd w:val="clear" w:color="auto" w:fill="CCEEFF"/>
          </w:tcPr>
          <w:p>
            <w:pPr>
              <w:spacing w:after="0"/>
              <w:rPr>
                <w:sz w:val="24"/>
                <w:szCs w:val="24"/>
                <w:color w:val="auto"/>
              </w:rPr>
            </w:pPr>
          </w:p>
        </w:tc>
        <w:tc>
          <w:tcPr>
            <w:tcW w:w="90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2,843</w:t>
            </w:r>
          </w:p>
        </w:tc>
      </w:tr>
      <w:tr>
        <w:trPr>
          <w:trHeight w:val="244"/>
        </w:trPr>
        <w:tc>
          <w:tcPr>
            <w:tcW w:w="5580" w:type="dxa"/>
            <w:vAlign w:val="bottom"/>
          </w:tcPr>
          <w:p>
            <w:pPr>
              <w:ind w:left="380"/>
              <w:spacing w:after="0"/>
              <w:rPr>
                <w:sz w:val="20"/>
                <w:szCs w:val="20"/>
                <w:color w:val="auto"/>
              </w:rPr>
            </w:pPr>
            <w:r>
              <w:rPr>
                <w:rFonts w:ascii="Arial" w:cs="Arial" w:eastAsia="Arial" w:hAnsi="Arial"/>
                <w:sz w:val="18"/>
                <w:szCs w:val="18"/>
                <w:color w:val="auto"/>
              </w:rPr>
              <w:t>Total available liquidity</w:t>
            </w:r>
          </w:p>
        </w:tc>
        <w:tc>
          <w:tcPr>
            <w:tcW w:w="480" w:type="dxa"/>
            <w:vAlign w:val="bottom"/>
            <w:tcBorders>
              <w:bottom w:val="single" w:sz="8" w:color="auto"/>
            </w:tcBorders>
          </w:tcPr>
          <w:p>
            <w:pPr>
              <w:jc w:val="right"/>
              <w:ind w:right="250"/>
              <w:spacing w:after="0"/>
              <w:rPr>
                <w:sz w:val="20"/>
                <w:szCs w:val="20"/>
                <w:color w:val="auto"/>
              </w:rPr>
            </w:pPr>
            <w:r>
              <w:rPr>
                <w:rFonts w:ascii="Arial" w:cs="Arial" w:eastAsia="Arial" w:hAnsi="Arial"/>
                <w:sz w:val="18"/>
                <w:szCs w:val="18"/>
                <w:color w:val="auto"/>
              </w:rPr>
              <w:t>$</w:t>
            </w:r>
          </w:p>
        </w:tc>
        <w:tc>
          <w:tcPr>
            <w:tcW w:w="90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7,069</w:t>
            </w:r>
          </w:p>
        </w:tc>
        <w:tc>
          <w:tcPr>
            <w:tcW w:w="120" w:type="dxa"/>
            <w:vAlign w:val="bottom"/>
          </w:tcPr>
          <w:p>
            <w:pPr>
              <w:spacing w:after="0"/>
              <w:rPr>
                <w:sz w:val="21"/>
                <w:szCs w:val="21"/>
                <w:color w:val="auto"/>
              </w:rPr>
            </w:pPr>
          </w:p>
        </w:tc>
        <w:tc>
          <w:tcPr>
            <w:tcW w:w="460" w:type="dxa"/>
            <w:vAlign w:val="bottom"/>
            <w:tcBorders>
              <w:bottom w:val="single" w:sz="8" w:color="auto"/>
            </w:tcBorders>
          </w:tcPr>
          <w:p>
            <w:pPr>
              <w:jc w:val="right"/>
              <w:ind w:right="250"/>
              <w:spacing w:after="0"/>
              <w:rPr>
                <w:sz w:val="20"/>
                <w:szCs w:val="20"/>
                <w:color w:val="auto"/>
              </w:rPr>
            </w:pPr>
            <w:r>
              <w:rPr>
                <w:rFonts w:ascii="Arial" w:cs="Arial" w:eastAsia="Arial" w:hAnsi="Arial"/>
                <w:sz w:val="18"/>
                <w:szCs w:val="18"/>
                <w:color w:val="auto"/>
                <w:w w:val="99"/>
              </w:rPr>
              <w:t>$</w:t>
            </w:r>
          </w:p>
        </w:tc>
        <w:tc>
          <w:tcPr>
            <w:tcW w:w="90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7,603</w:t>
            </w:r>
          </w:p>
        </w:tc>
        <w:tc>
          <w:tcPr>
            <w:tcW w:w="120" w:type="dxa"/>
            <w:vAlign w:val="bottom"/>
          </w:tcPr>
          <w:p>
            <w:pPr>
              <w:spacing w:after="0"/>
              <w:rPr>
                <w:sz w:val="21"/>
                <w:szCs w:val="21"/>
                <w:color w:val="auto"/>
              </w:rPr>
            </w:pPr>
          </w:p>
        </w:tc>
        <w:tc>
          <w:tcPr>
            <w:tcW w:w="480" w:type="dxa"/>
            <w:vAlign w:val="bottom"/>
            <w:tcBorders>
              <w:bottom w:val="single" w:sz="8" w:color="auto"/>
            </w:tcBorders>
          </w:tcPr>
          <w:p>
            <w:pPr>
              <w:jc w:val="right"/>
              <w:ind w:right="270"/>
              <w:spacing w:after="0"/>
              <w:rPr>
                <w:sz w:val="20"/>
                <w:szCs w:val="20"/>
                <w:color w:val="auto"/>
              </w:rPr>
            </w:pPr>
            <w:r>
              <w:rPr>
                <w:rFonts w:ascii="Arial" w:cs="Arial" w:eastAsia="Arial" w:hAnsi="Arial"/>
                <w:sz w:val="18"/>
                <w:szCs w:val="18"/>
                <w:color w:val="auto"/>
                <w:w w:val="99"/>
              </w:rPr>
              <w:t>$</w:t>
            </w:r>
          </w:p>
        </w:tc>
        <w:tc>
          <w:tcPr>
            <w:tcW w:w="90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7,053</w:t>
            </w:r>
          </w:p>
        </w:tc>
        <w:tc>
          <w:tcPr>
            <w:tcW w:w="100" w:type="dxa"/>
            <w:vAlign w:val="bottom"/>
          </w:tcPr>
          <w:p>
            <w:pPr>
              <w:spacing w:after="0"/>
              <w:rPr>
                <w:sz w:val="21"/>
                <w:szCs w:val="21"/>
                <w:color w:val="auto"/>
              </w:rPr>
            </w:pPr>
          </w:p>
        </w:tc>
        <w:tc>
          <w:tcPr>
            <w:tcW w:w="480" w:type="dxa"/>
            <w:vAlign w:val="bottom"/>
            <w:tcBorders>
              <w:bottom w:val="single" w:sz="8" w:color="auto"/>
            </w:tcBorders>
          </w:tcPr>
          <w:p>
            <w:pPr>
              <w:jc w:val="right"/>
              <w:ind w:right="270"/>
              <w:spacing w:after="0"/>
              <w:rPr>
                <w:sz w:val="20"/>
                <w:szCs w:val="20"/>
                <w:color w:val="auto"/>
              </w:rPr>
            </w:pPr>
            <w:r>
              <w:rPr>
                <w:rFonts w:ascii="Arial" w:cs="Arial" w:eastAsia="Arial" w:hAnsi="Arial"/>
                <w:sz w:val="18"/>
                <w:szCs w:val="18"/>
                <w:color w:val="auto"/>
                <w:w w:val="99"/>
              </w:rPr>
              <w:t>$</w:t>
            </w:r>
          </w:p>
        </w:tc>
        <w:tc>
          <w:tcPr>
            <w:tcW w:w="90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7,590</w:t>
            </w:r>
          </w:p>
        </w:tc>
      </w:tr>
      <w:tr>
        <w:trPr>
          <w:trHeight w:val="20"/>
        </w:trPr>
        <w:tc>
          <w:tcPr>
            <w:tcW w:w="5580" w:type="dxa"/>
            <w:vAlign w:val="bottom"/>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163195</wp:posOffset>
            </wp:positionV>
            <wp:extent cx="1337945" cy="889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1337945" cy="8890"/>
                    </a:xfrm>
                    <a:prstGeom prst="rect">
                      <a:avLst/>
                    </a:prstGeom>
                    <a:noFill/>
                  </pic:spPr>
                </pic:pic>
              </a:graphicData>
            </a:graphic>
          </wp:anchor>
        </w:drawing>
      </w:r>
    </w:p>
    <w:p>
      <w:pPr>
        <w:spacing w:after="0" w:line="330" w:lineRule="exact"/>
        <w:rPr>
          <w:sz w:val="20"/>
          <w:szCs w:val="20"/>
          <w:color w:val="auto"/>
        </w:rPr>
      </w:pPr>
    </w:p>
    <w:p>
      <w:pPr>
        <w:jc w:val="both"/>
        <w:ind w:left="340" w:hanging="332"/>
        <w:spacing w:after="0"/>
        <w:tabs>
          <w:tab w:leader="none" w:pos="340" w:val="left"/>
        </w:tabs>
        <w:numPr>
          <w:ilvl w:val="0"/>
          <w:numId w:val="28"/>
        </w:numPr>
        <w:rPr>
          <w:rFonts w:ascii="Arial" w:cs="Arial" w:eastAsia="Arial" w:hAnsi="Arial"/>
          <w:sz w:val="22"/>
          <w:szCs w:val="22"/>
          <w:color w:val="auto"/>
          <w:vertAlign w:val="superscript"/>
        </w:rPr>
      </w:pPr>
      <w:r>
        <w:rPr>
          <w:rFonts w:ascii="Arial" w:cs="Arial" w:eastAsia="Arial" w:hAnsi="Arial"/>
          <w:sz w:val="18"/>
          <w:szCs w:val="18"/>
          <w:color w:val="auto"/>
        </w:rPr>
        <w:t>For 2019, this amount includes $400 million in borrowing capacity under a short-term revolving line of credit we arranged in December 2019 due to uncertainty surrounding the timing of the Boeing 737 MAX aircraft return to service. We have no present intention to borrow any amounts under this facility, which matures in September 2020 with an optional extension to December 2020. For additional discussion of this facility see Note 5 to AAG’s Consolidated Financial Statements in Part II, Item 8A and Note 3 to American’s Consolidated Financial Statements in Part II, Item 8B.</w:t>
      </w:r>
    </w:p>
    <w:p>
      <w:pPr>
        <w:spacing w:after="0" w:line="21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59</w:t>
      </w:r>
    </w:p>
    <w:p>
      <w:pPr>
        <w:sectPr>
          <w:pgSz w:w="11900" w:h="16838" w:orient="portrait"/>
          <w:cols w:equalWidth="0" w:num="1">
            <w:col w:w="11420"/>
          </w:cols>
          <w:pgMar w:left="240" w:top="733" w:right="239" w:bottom="1440" w:gutter="0" w:footer="0" w:header="0"/>
          <w:type w:val="continuous"/>
        </w:sectPr>
      </w:pPr>
    </w:p>
    <w:bookmarkStart w:id="59" w:name="page60"/>
    <w:bookmarkEnd w:id="59"/>
    <w:p>
      <w:pPr>
        <w:spacing w:after="0"/>
        <w:rPr>
          <w:sz w:val="20"/>
          <w:szCs w:val="20"/>
          <w:color w:val="auto"/>
        </w:rPr>
      </w:pPr>
      <w:r>
        <w:rPr>
          <w:rFonts w:ascii="Arial" w:cs="Arial" w:eastAsia="Arial" w:hAnsi="Arial"/>
          <w:sz w:val="18"/>
          <w:szCs w:val="18"/>
          <w:b w:val="1"/>
          <w:bCs w:val="1"/>
          <w:i w:val="1"/>
          <w:iCs w:val="1"/>
          <w:color w:val="auto"/>
        </w:rPr>
        <w:t>Share Repurchase Programs</w:t>
      </w:r>
    </w:p>
    <w:p>
      <w:pPr>
        <w:spacing w:after="0" w:line="112" w:lineRule="exact"/>
        <w:rPr>
          <w:sz w:val="20"/>
          <w:szCs w:val="20"/>
          <w:color w:val="auto"/>
        </w:rPr>
      </w:pPr>
    </w:p>
    <w:p>
      <w:pPr>
        <w:jc w:val="both"/>
        <w:ind w:firstLine="243"/>
        <w:spacing w:after="0" w:line="252" w:lineRule="auto"/>
        <w:rPr>
          <w:sz w:val="20"/>
          <w:szCs w:val="20"/>
          <w:color w:val="auto"/>
        </w:rPr>
      </w:pPr>
      <w:r>
        <w:rPr>
          <w:rFonts w:ascii="Arial" w:cs="Arial" w:eastAsia="Arial" w:hAnsi="Arial"/>
          <w:sz w:val="18"/>
          <w:szCs w:val="18"/>
          <w:color w:val="auto"/>
        </w:rPr>
        <w:t>In April 2018, we announced that our Board of Directors authorized a $2.0 billion share repurchase program that will expire on December 31, 2020. Since July 2014, our Board of Directors has approved seven share repurchase programs aggregating $13.0 billion of authority. As of December 31, 2019, there was $565 million of remaining authority to repurchase shares under our current $2.0 billion share repurchase program. Share repurchases under our repurchase programs may be made through a variety of methods, which may include open market purchases, privately negotiated transactions, block trades or accelerated share repurchase transactions. Any such repurchases that may be made from time to time will be subject to market and economic conditions, applicable legal requirements and other relevant factors. We are not obligated to repurchase any specific number of shares and our repurchase of AAG common stock may be limited, suspended or discontinued at any time at our discretion and without prior notice.</w:t>
      </w:r>
    </w:p>
    <w:p>
      <w:pPr>
        <w:spacing w:after="0" w:line="152" w:lineRule="exact"/>
        <w:rPr>
          <w:sz w:val="20"/>
          <w:szCs w:val="20"/>
          <w:color w:val="auto"/>
        </w:rPr>
      </w:pPr>
    </w:p>
    <w:p>
      <w:pPr>
        <w:jc w:val="both"/>
        <w:ind w:firstLine="243"/>
        <w:spacing w:after="0" w:line="256" w:lineRule="auto"/>
        <w:rPr>
          <w:sz w:val="20"/>
          <w:szCs w:val="20"/>
          <w:color w:val="auto"/>
        </w:rPr>
      </w:pPr>
      <w:r>
        <w:rPr>
          <w:rFonts w:ascii="Arial" w:cs="Arial" w:eastAsia="Arial" w:hAnsi="Arial"/>
          <w:sz w:val="18"/>
          <w:szCs w:val="18"/>
          <w:color w:val="auto"/>
        </w:rPr>
        <w:t>In 2019, we repurchased 33.8 million shares of AAG common stock for $1.1 billion at a weighted average cost per share of $32.09. Since the inception of our share repurchase programs in July 2014 through December 31, 2019, we have repurchased 312.7 million shares of AAG common stock for $12.4 billion at a weighted average cost per share of $39.76.</w:t>
      </w:r>
    </w:p>
    <w:p>
      <w:pPr>
        <w:spacing w:after="0" w:line="36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Cash Dividends</w:t>
      </w:r>
    </w:p>
    <w:p>
      <w:pPr>
        <w:spacing w:after="0" w:line="112" w:lineRule="exact"/>
        <w:rPr>
          <w:sz w:val="20"/>
          <w:szCs w:val="20"/>
          <w:color w:val="auto"/>
        </w:rPr>
      </w:pPr>
    </w:p>
    <w:p>
      <w:pPr>
        <w:ind w:left="260"/>
        <w:spacing w:after="0"/>
        <w:rPr>
          <w:sz w:val="20"/>
          <w:szCs w:val="20"/>
          <w:color w:val="auto"/>
        </w:rPr>
      </w:pPr>
      <w:r>
        <w:rPr>
          <w:rFonts w:ascii="Arial" w:cs="Arial" w:eastAsia="Arial" w:hAnsi="Arial"/>
          <w:sz w:val="18"/>
          <w:szCs w:val="18"/>
          <w:color w:val="auto"/>
        </w:rPr>
        <w:t>Our Board of Directors declared the following cash dividends during 2019:</w:t>
      </w:r>
    </w:p>
    <w:p>
      <w:pPr>
        <w:spacing w:after="0" w:line="321"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4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16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rPr>
              <w:t>For stockholders of record</w:t>
            </w:r>
          </w:p>
        </w:tc>
        <w:tc>
          <w:tcPr>
            <w:tcW w:w="20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120" w:type="dxa"/>
            <w:vAlign w:val="bottom"/>
          </w:tcPr>
          <w:p>
            <w:pPr>
              <w:jc w:val="right"/>
              <w:ind w:right="435"/>
              <w:spacing w:after="0"/>
              <w:rPr>
                <w:sz w:val="20"/>
                <w:szCs w:val="20"/>
                <w:color w:val="auto"/>
              </w:rPr>
            </w:pPr>
            <w:r>
              <w:rPr>
                <w:rFonts w:ascii="Arial" w:cs="Arial" w:eastAsia="Arial" w:hAnsi="Arial"/>
                <w:sz w:val="14"/>
                <w:szCs w:val="14"/>
                <w:b w:val="1"/>
                <w:bCs w:val="1"/>
                <w:color w:val="auto"/>
              </w:rPr>
              <w:t>Total</w:t>
            </w:r>
          </w:p>
        </w:tc>
      </w:tr>
      <w:tr>
        <w:trPr>
          <w:trHeight w:val="196"/>
        </w:trPr>
        <w:tc>
          <w:tcPr>
            <w:tcW w:w="4120" w:type="dxa"/>
            <w:vAlign w:val="bottom"/>
            <w:tcBorders>
              <w:bottom w:val="single" w:sz="8" w:color="auto"/>
            </w:tcBorders>
          </w:tcPr>
          <w:p>
            <w:pPr>
              <w:ind w:left="40"/>
              <w:spacing w:after="0"/>
              <w:rPr>
                <w:sz w:val="20"/>
                <w:szCs w:val="20"/>
                <w:color w:val="auto"/>
              </w:rPr>
            </w:pPr>
            <w:r>
              <w:rPr>
                <w:rFonts w:ascii="Arial" w:cs="Arial" w:eastAsia="Arial" w:hAnsi="Arial"/>
                <w:sz w:val="14"/>
                <w:szCs w:val="14"/>
                <w:b w:val="1"/>
                <w:bCs w:val="1"/>
                <w:color w:val="auto"/>
              </w:rPr>
              <w:t>Period</w:t>
            </w:r>
          </w:p>
        </w:tc>
        <w:tc>
          <w:tcPr>
            <w:tcW w:w="120" w:type="dxa"/>
            <w:vAlign w:val="bottom"/>
            <w:tcBorders>
              <w:bottom w:val="single" w:sz="8" w:color="CCEEFF"/>
            </w:tcBorders>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1140" w:type="dxa"/>
            <w:vAlign w:val="bottom"/>
            <w:tcBorders>
              <w:bottom w:val="single" w:sz="8" w:color="auto"/>
            </w:tcBorders>
          </w:tcPr>
          <w:p>
            <w:pPr>
              <w:jc w:val="right"/>
              <w:ind w:right="273"/>
              <w:spacing w:after="0"/>
              <w:rPr>
                <w:sz w:val="20"/>
                <w:szCs w:val="20"/>
                <w:color w:val="auto"/>
              </w:rPr>
            </w:pPr>
            <w:r>
              <w:rPr>
                <w:rFonts w:ascii="Arial" w:cs="Arial" w:eastAsia="Arial" w:hAnsi="Arial"/>
                <w:sz w:val="14"/>
                <w:szCs w:val="14"/>
                <w:b w:val="1"/>
                <w:bCs w:val="1"/>
                <w:color w:val="auto"/>
              </w:rPr>
              <w:t>Per share</w:t>
            </w:r>
          </w:p>
        </w:tc>
        <w:tc>
          <w:tcPr>
            <w:tcW w:w="100" w:type="dxa"/>
            <w:vAlign w:val="bottom"/>
            <w:tcBorders>
              <w:bottom w:val="single" w:sz="8" w:color="CCEEFF"/>
            </w:tcBorders>
          </w:tcPr>
          <w:p>
            <w:pPr>
              <w:spacing w:after="0"/>
              <w:rPr>
                <w:sz w:val="17"/>
                <w:szCs w:val="17"/>
                <w:color w:val="auto"/>
              </w:rPr>
            </w:pPr>
          </w:p>
        </w:tc>
        <w:tc>
          <w:tcPr>
            <w:tcW w:w="206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rPr>
              <w:t>as of</w:t>
            </w:r>
          </w:p>
        </w:tc>
        <w:tc>
          <w:tcPr>
            <w:tcW w:w="100" w:type="dxa"/>
            <w:vAlign w:val="bottom"/>
            <w:tcBorders>
              <w:bottom w:val="single" w:sz="8" w:color="CCEEFF"/>
            </w:tcBorders>
          </w:tcPr>
          <w:p>
            <w:pPr>
              <w:spacing w:after="0"/>
              <w:rPr>
                <w:sz w:val="17"/>
                <w:szCs w:val="17"/>
                <w:color w:val="auto"/>
              </w:rPr>
            </w:pPr>
          </w:p>
        </w:tc>
        <w:tc>
          <w:tcPr>
            <w:tcW w:w="206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rPr>
              <w:t>Payable on</w:t>
            </w:r>
          </w:p>
        </w:tc>
        <w:tc>
          <w:tcPr>
            <w:tcW w:w="100" w:type="dxa"/>
            <w:vAlign w:val="bottom"/>
            <w:tcBorders>
              <w:bottom w:val="single" w:sz="8" w:color="CCEEFF"/>
            </w:tcBorders>
          </w:tcPr>
          <w:p>
            <w:pPr>
              <w:spacing w:after="0"/>
              <w:rPr>
                <w:sz w:val="17"/>
                <w:szCs w:val="17"/>
                <w:color w:val="auto"/>
              </w:rPr>
            </w:pPr>
          </w:p>
        </w:tc>
        <w:tc>
          <w:tcPr>
            <w:tcW w:w="260" w:type="dxa"/>
            <w:vAlign w:val="bottom"/>
            <w:tcBorders>
              <w:bottom w:val="single" w:sz="8" w:color="auto"/>
            </w:tcBorders>
          </w:tcPr>
          <w:p>
            <w:pPr>
              <w:spacing w:after="0"/>
              <w:rPr>
                <w:sz w:val="17"/>
                <w:szCs w:val="17"/>
                <w:color w:val="auto"/>
              </w:rPr>
            </w:pPr>
          </w:p>
        </w:tc>
        <w:tc>
          <w:tcPr>
            <w:tcW w:w="1120" w:type="dxa"/>
            <w:vAlign w:val="bottom"/>
            <w:tcBorders>
              <w:bottom w:val="single" w:sz="8" w:color="auto"/>
            </w:tcBorders>
          </w:tcPr>
          <w:p>
            <w:pPr>
              <w:jc w:val="right"/>
              <w:ind w:right="275"/>
              <w:spacing w:after="0"/>
              <w:rPr>
                <w:sz w:val="20"/>
                <w:szCs w:val="20"/>
                <w:color w:val="auto"/>
              </w:rPr>
            </w:pPr>
            <w:r>
              <w:rPr>
                <w:rFonts w:ascii="Arial" w:cs="Arial" w:eastAsia="Arial" w:hAnsi="Arial"/>
                <w:sz w:val="14"/>
                <w:szCs w:val="14"/>
                <w:b w:val="1"/>
                <w:bCs w:val="1"/>
                <w:color w:val="auto"/>
              </w:rPr>
              <w:t>(millions)</w:t>
            </w:r>
          </w:p>
        </w:tc>
      </w:tr>
      <w:tr>
        <w:trPr>
          <w:trHeight w:val="256"/>
        </w:trPr>
        <w:tc>
          <w:tcPr>
            <w:tcW w:w="4240" w:type="dxa"/>
            <w:vAlign w:val="bottom"/>
            <w:gridSpan w:val="2"/>
            <w:shd w:val="clear" w:color="auto" w:fill="CCEEFF"/>
          </w:tcPr>
          <w:p>
            <w:pPr>
              <w:ind w:left="40"/>
              <w:spacing w:after="0"/>
              <w:rPr>
                <w:sz w:val="20"/>
                <w:szCs w:val="20"/>
                <w:color w:val="auto"/>
              </w:rPr>
            </w:pPr>
            <w:r>
              <w:rPr>
                <w:rFonts w:ascii="Arial" w:cs="Arial" w:eastAsia="Arial" w:hAnsi="Arial"/>
                <w:sz w:val="18"/>
                <w:szCs w:val="18"/>
                <w:color w:val="auto"/>
              </w:rPr>
              <w:t>First Quarter</w:t>
            </w:r>
          </w:p>
        </w:tc>
        <w:tc>
          <w:tcPr>
            <w:tcW w:w="24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140" w:type="dxa"/>
            <w:vAlign w:val="bottom"/>
            <w:shd w:val="clear" w:color="auto" w:fill="CCEEFF"/>
          </w:tcPr>
          <w:p>
            <w:pPr>
              <w:jc w:val="right"/>
              <w:ind w:right="33"/>
              <w:spacing w:after="0"/>
              <w:rPr>
                <w:sz w:val="20"/>
                <w:szCs w:val="20"/>
                <w:color w:val="auto"/>
              </w:rPr>
            </w:pPr>
            <w:r>
              <w:rPr>
                <w:rFonts w:ascii="Arial" w:cs="Arial" w:eastAsia="Arial" w:hAnsi="Arial"/>
                <w:sz w:val="18"/>
                <w:szCs w:val="18"/>
                <w:color w:val="auto"/>
              </w:rPr>
              <w:t>0.10</w:t>
            </w:r>
          </w:p>
        </w:tc>
        <w:tc>
          <w:tcPr>
            <w:tcW w:w="100" w:type="dxa"/>
            <w:vAlign w:val="bottom"/>
            <w:shd w:val="clear" w:color="auto" w:fill="CCEEFF"/>
          </w:tcPr>
          <w:p>
            <w:pPr>
              <w:spacing w:after="0"/>
              <w:rPr>
                <w:sz w:val="22"/>
                <w:szCs w:val="22"/>
                <w:color w:val="auto"/>
              </w:rPr>
            </w:pPr>
          </w:p>
        </w:tc>
        <w:tc>
          <w:tcPr>
            <w:tcW w:w="2160" w:type="dxa"/>
            <w:vAlign w:val="bottom"/>
            <w:gridSpan w:val="2"/>
            <w:shd w:val="clear" w:color="auto" w:fill="CCEEFF"/>
          </w:tcPr>
          <w:p>
            <w:pPr>
              <w:jc w:val="center"/>
              <w:ind w:right="100"/>
              <w:spacing w:after="0"/>
              <w:rPr>
                <w:sz w:val="20"/>
                <w:szCs w:val="20"/>
                <w:color w:val="auto"/>
              </w:rPr>
            </w:pPr>
            <w:r>
              <w:rPr>
                <w:rFonts w:ascii="Arial" w:cs="Arial" w:eastAsia="Arial" w:hAnsi="Arial"/>
                <w:sz w:val="18"/>
                <w:szCs w:val="18"/>
                <w:color w:val="auto"/>
              </w:rPr>
              <w:t>February 6, 2019</w:t>
            </w:r>
          </w:p>
        </w:tc>
        <w:tc>
          <w:tcPr>
            <w:tcW w:w="2160" w:type="dxa"/>
            <w:vAlign w:val="bottom"/>
            <w:gridSpan w:val="2"/>
            <w:shd w:val="clear" w:color="auto" w:fill="CCEEFF"/>
          </w:tcPr>
          <w:p>
            <w:pPr>
              <w:jc w:val="center"/>
              <w:ind w:right="100"/>
              <w:spacing w:after="0"/>
              <w:rPr>
                <w:sz w:val="20"/>
                <w:szCs w:val="20"/>
                <w:color w:val="auto"/>
              </w:rPr>
            </w:pPr>
            <w:r>
              <w:rPr>
                <w:rFonts w:ascii="Arial" w:cs="Arial" w:eastAsia="Arial" w:hAnsi="Arial"/>
                <w:sz w:val="18"/>
                <w:szCs w:val="18"/>
                <w:color w:val="auto"/>
                <w:w w:val="99"/>
              </w:rPr>
              <w:t>February 20, 2019</w:t>
            </w:r>
          </w:p>
        </w:tc>
        <w:tc>
          <w:tcPr>
            <w:tcW w:w="26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120" w:type="dxa"/>
            <w:vAlign w:val="bottom"/>
            <w:shd w:val="clear" w:color="auto" w:fill="CCEEFF"/>
          </w:tcPr>
          <w:p>
            <w:pPr>
              <w:jc w:val="right"/>
              <w:ind w:right="15"/>
              <w:spacing w:after="0"/>
              <w:rPr>
                <w:sz w:val="20"/>
                <w:szCs w:val="20"/>
                <w:color w:val="auto"/>
              </w:rPr>
            </w:pPr>
            <w:r>
              <w:rPr>
                <w:rFonts w:ascii="Arial" w:cs="Arial" w:eastAsia="Arial" w:hAnsi="Arial"/>
                <w:sz w:val="18"/>
                <w:szCs w:val="18"/>
                <w:color w:val="auto"/>
              </w:rPr>
              <w:t>46</w:t>
            </w:r>
          </w:p>
        </w:tc>
      </w:tr>
      <w:tr>
        <w:trPr>
          <w:trHeight w:val="263"/>
        </w:trPr>
        <w:tc>
          <w:tcPr>
            <w:tcW w:w="4240" w:type="dxa"/>
            <w:vAlign w:val="bottom"/>
            <w:gridSpan w:val="2"/>
          </w:tcPr>
          <w:p>
            <w:pPr>
              <w:ind w:left="40"/>
              <w:spacing w:after="0"/>
              <w:rPr>
                <w:sz w:val="20"/>
                <w:szCs w:val="20"/>
                <w:color w:val="auto"/>
              </w:rPr>
            </w:pPr>
            <w:r>
              <w:rPr>
                <w:rFonts w:ascii="Arial" w:cs="Arial" w:eastAsia="Arial" w:hAnsi="Arial"/>
                <w:sz w:val="18"/>
                <w:szCs w:val="18"/>
                <w:color w:val="auto"/>
              </w:rPr>
              <w:t>Second Quarter</w:t>
            </w:r>
          </w:p>
        </w:tc>
        <w:tc>
          <w:tcPr>
            <w:tcW w:w="240" w:type="dxa"/>
            <w:vAlign w:val="bottom"/>
          </w:tcPr>
          <w:p>
            <w:pPr>
              <w:spacing w:after="0"/>
              <w:rPr>
                <w:sz w:val="22"/>
                <w:szCs w:val="22"/>
                <w:color w:val="auto"/>
              </w:rPr>
            </w:pPr>
          </w:p>
        </w:tc>
        <w:tc>
          <w:tcPr>
            <w:tcW w:w="1140" w:type="dxa"/>
            <w:vAlign w:val="bottom"/>
          </w:tcPr>
          <w:p>
            <w:pPr>
              <w:jc w:val="right"/>
              <w:ind w:right="33"/>
              <w:spacing w:after="0"/>
              <w:rPr>
                <w:sz w:val="20"/>
                <w:szCs w:val="20"/>
                <w:color w:val="auto"/>
              </w:rPr>
            </w:pPr>
            <w:r>
              <w:rPr>
                <w:rFonts w:ascii="Arial" w:cs="Arial" w:eastAsia="Arial" w:hAnsi="Arial"/>
                <w:sz w:val="18"/>
                <w:szCs w:val="18"/>
                <w:color w:val="auto"/>
              </w:rPr>
              <w:t>0.10</w:t>
            </w:r>
          </w:p>
        </w:tc>
        <w:tc>
          <w:tcPr>
            <w:tcW w:w="100" w:type="dxa"/>
            <w:vAlign w:val="bottom"/>
          </w:tcPr>
          <w:p>
            <w:pPr>
              <w:spacing w:after="0"/>
              <w:rPr>
                <w:sz w:val="22"/>
                <w:szCs w:val="22"/>
                <w:color w:val="auto"/>
              </w:rPr>
            </w:pPr>
          </w:p>
        </w:tc>
        <w:tc>
          <w:tcPr>
            <w:tcW w:w="2160" w:type="dxa"/>
            <w:vAlign w:val="bottom"/>
            <w:gridSpan w:val="2"/>
          </w:tcPr>
          <w:p>
            <w:pPr>
              <w:jc w:val="center"/>
              <w:ind w:right="100"/>
              <w:spacing w:after="0"/>
              <w:rPr>
                <w:sz w:val="20"/>
                <w:szCs w:val="20"/>
                <w:color w:val="auto"/>
              </w:rPr>
            </w:pPr>
            <w:r>
              <w:rPr>
                <w:rFonts w:ascii="Arial" w:cs="Arial" w:eastAsia="Arial" w:hAnsi="Arial"/>
                <w:sz w:val="18"/>
                <w:szCs w:val="18"/>
                <w:color w:val="auto"/>
                <w:w w:val="98"/>
              </w:rPr>
              <w:t>May 8, 2019</w:t>
            </w:r>
          </w:p>
        </w:tc>
        <w:tc>
          <w:tcPr>
            <w:tcW w:w="2160" w:type="dxa"/>
            <w:vAlign w:val="bottom"/>
            <w:gridSpan w:val="2"/>
          </w:tcPr>
          <w:p>
            <w:pPr>
              <w:jc w:val="center"/>
              <w:ind w:right="100"/>
              <w:spacing w:after="0"/>
              <w:rPr>
                <w:sz w:val="20"/>
                <w:szCs w:val="20"/>
                <w:color w:val="auto"/>
              </w:rPr>
            </w:pPr>
            <w:r>
              <w:rPr>
                <w:rFonts w:ascii="Arial" w:cs="Arial" w:eastAsia="Arial" w:hAnsi="Arial"/>
                <w:sz w:val="18"/>
                <w:szCs w:val="18"/>
                <w:color w:val="auto"/>
              </w:rPr>
              <w:t>May 22, 2019</w:t>
            </w:r>
          </w:p>
        </w:tc>
        <w:tc>
          <w:tcPr>
            <w:tcW w:w="260" w:type="dxa"/>
            <w:vAlign w:val="bottom"/>
          </w:tcPr>
          <w:p>
            <w:pPr>
              <w:spacing w:after="0"/>
              <w:rPr>
                <w:sz w:val="22"/>
                <w:szCs w:val="22"/>
                <w:color w:val="auto"/>
              </w:rPr>
            </w:pPr>
          </w:p>
        </w:tc>
        <w:tc>
          <w:tcPr>
            <w:tcW w:w="1120" w:type="dxa"/>
            <w:vAlign w:val="bottom"/>
          </w:tcPr>
          <w:p>
            <w:pPr>
              <w:jc w:val="right"/>
              <w:ind w:right="15"/>
              <w:spacing w:after="0"/>
              <w:rPr>
                <w:sz w:val="20"/>
                <w:szCs w:val="20"/>
                <w:color w:val="auto"/>
              </w:rPr>
            </w:pPr>
            <w:r>
              <w:rPr>
                <w:rFonts w:ascii="Arial" w:cs="Arial" w:eastAsia="Arial" w:hAnsi="Arial"/>
                <w:sz w:val="18"/>
                <w:szCs w:val="18"/>
                <w:color w:val="auto"/>
              </w:rPr>
              <w:t>44</w:t>
            </w:r>
          </w:p>
        </w:tc>
      </w:tr>
      <w:tr>
        <w:trPr>
          <w:trHeight w:val="277"/>
        </w:trPr>
        <w:tc>
          <w:tcPr>
            <w:tcW w:w="4240" w:type="dxa"/>
            <w:vAlign w:val="bottom"/>
            <w:gridSpan w:val="2"/>
            <w:shd w:val="clear" w:color="auto" w:fill="CCEEFF"/>
          </w:tcPr>
          <w:p>
            <w:pPr>
              <w:ind w:left="40"/>
              <w:spacing w:after="0"/>
              <w:rPr>
                <w:sz w:val="20"/>
                <w:szCs w:val="20"/>
                <w:color w:val="auto"/>
              </w:rPr>
            </w:pPr>
            <w:r>
              <w:rPr>
                <w:rFonts w:ascii="Arial" w:cs="Arial" w:eastAsia="Arial" w:hAnsi="Arial"/>
                <w:sz w:val="18"/>
                <w:szCs w:val="18"/>
                <w:color w:val="auto"/>
              </w:rPr>
              <w:t>Third Quarter</w:t>
            </w:r>
          </w:p>
        </w:tc>
        <w:tc>
          <w:tcPr>
            <w:tcW w:w="240" w:type="dxa"/>
            <w:vAlign w:val="bottom"/>
            <w:shd w:val="clear" w:color="auto" w:fill="CCEEFF"/>
          </w:tcPr>
          <w:p>
            <w:pPr>
              <w:spacing w:after="0"/>
              <w:rPr>
                <w:sz w:val="24"/>
                <w:szCs w:val="24"/>
                <w:color w:val="auto"/>
              </w:rPr>
            </w:pPr>
          </w:p>
        </w:tc>
        <w:tc>
          <w:tcPr>
            <w:tcW w:w="1140" w:type="dxa"/>
            <w:vAlign w:val="bottom"/>
            <w:shd w:val="clear" w:color="auto" w:fill="CCEEFF"/>
          </w:tcPr>
          <w:p>
            <w:pPr>
              <w:jc w:val="right"/>
              <w:ind w:right="33"/>
              <w:spacing w:after="0"/>
              <w:rPr>
                <w:sz w:val="20"/>
                <w:szCs w:val="20"/>
                <w:color w:val="auto"/>
              </w:rPr>
            </w:pPr>
            <w:r>
              <w:rPr>
                <w:rFonts w:ascii="Arial" w:cs="Arial" w:eastAsia="Arial" w:hAnsi="Arial"/>
                <w:sz w:val="18"/>
                <w:szCs w:val="18"/>
                <w:color w:val="auto"/>
              </w:rPr>
              <w:t>0.10</w:t>
            </w:r>
          </w:p>
        </w:tc>
        <w:tc>
          <w:tcPr>
            <w:tcW w:w="100" w:type="dxa"/>
            <w:vAlign w:val="bottom"/>
            <w:shd w:val="clear" w:color="auto" w:fill="CCEEFF"/>
          </w:tcPr>
          <w:p>
            <w:pPr>
              <w:spacing w:after="0"/>
              <w:rPr>
                <w:sz w:val="24"/>
                <w:szCs w:val="24"/>
                <w:color w:val="auto"/>
              </w:rPr>
            </w:pPr>
          </w:p>
        </w:tc>
        <w:tc>
          <w:tcPr>
            <w:tcW w:w="2160" w:type="dxa"/>
            <w:vAlign w:val="bottom"/>
            <w:gridSpan w:val="2"/>
            <w:shd w:val="clear" w:color="auto" w:fill="CCEEFF"/>
          </w:tcPr>
          <w:p>
            <w:pPr>
              <w:jc w:val="center"/>
              <w:ind w:right="100"/>
              <w:spacing w:after="0"/>
              <w:rPr>
                <w:sz w:val="20"/>
                <w:szCs w:val="20"/>
                <w:color w:val="auto"/>
              </w:rPr>
            </w:pPr>
            <w:r>
              <w:rPr>
                <w:rFonts w:ascii="Arial" w:cs="Arial" w:eastAsia="Arial" w:hAnsi="Arial"/>
                <w:sz w:val="18"/>
                <w:szCs w:val="18"/>
                <w:color w:val="auto"/>
              </w:rPr>
              <w:t>August 7, 2019</w:t>
            </w:r>
          </w:p>
        </w:tc>
        <w:tc>
          <w:tcPr>
            <w:tcW w:w="2160" w:type="dxa"/>
            <w:vAlign w:val="bottom"/>
            <w:gridSpan w:val="2"/>
            <w:shd w:val="clear" w:color="auto" w:fill="CCEEFF"/>
          </w:tcPr>
          <w:p>
            <w:pPr>
              <w:jc w:val="center"/>
              <w:ind w:right="100"/>
              <w:spacing w:after="0"/>
              <w:rPr>
                <w:sz w:val="20"/>
                <w:szCs w:val="20"/>
                <w:color w:val="auto"/>
              </w:rPr>
            </w:pPr>
            <w:r>
              <w:rPr>
                <w:rFonts w:ascii="Arial" w:cs="Arial" w:eastAsia="Arial" w:hAnsi="Arial"/>
                <w:sz w:val="18"/>
                <w:szCs w:val="18"/>
                <w:color w:val="auto"/>
                <w:w w:val="99"/>
              </w:rPr>
              <w:t>August 21, 2019</w:t>
            </w:r>
          </w:p>
        </w:tc>
        <w:tc>
          <w:tcPr>
            <w:tcW w:w="260" w:type="dxa"/>
            <w:vAlign w:val="bottom"/>
            <w:shd w:val="clear" w:color="auto" w:fill="CCEEFF"/>
          </w:tcPr>
          <w:p>
            <w:pPr>
              <w:spacing w:after="0"/>
              <w:rPr>
                <w:sz w:val="24"/>
                <w:szCs w:val="24"/>
                <w:color w:val="auto"/>
              </w:rPr>
            </w:pPr>
          </w:p>
        </w:tc>
        <w:tc>
          <w:tcPr>
            <w:tcW w:w="1120" w:type="dxa"/>
            <w:vAlign w:val="bottom"/>
            <w:shd w:val="clear" w:color="auto" w:fill="CCEEFF"/>
          </w:tcPr>
          <w:p>
            <w:pPr>
              <w:jc w:val="right"/>
              <w:ind w:right="15"/>
              <w:spacing w:after="0"/>
              <w:rPr>
                <w:sz w:val="20"/>
                <w:szCs w:val="20"/>
                <w:color w:val="auto"/>
              </w:rPr>
            </w:pPr>
            <w:r>
              <w:rPr>
                <w:rFonts w:ascii="Arial" w:cs="Arial" w:eastAsia="Arial" w:hAnsi="Arial"/>
                <w:sz w:val="18"/>
                <w:szCs w:val="18"/>
                <w:color w:val="auto"/>
              </w:rPr>
              <w:t>44</w:t>
            </w:r>
          </w:p>
        </w:tc>
      </w:tr>
      <w:tr>
        <w:trPr>
          <w:trHeight w:val="264"/>
        </w:trPr>
        <w:tc>
          <w:tcPr>
            <w:tcW w:w="4240" w:type="dxa"/>
            <w:vAlign w:val="bottom"/>
            <w:tcBorders>
              <w:bottom w:val="single" w:sz="8" w:color="CCEEFF"/>
            </w:tcBorders>
            <w:gridSpan w:val="2"/>
          </w:tcPr>
          <w:p>
            <w:pPr>
              <w:ind w:left="40"/>
              <w:spacing w:after="0"/>
              <w:rPr>
                <w:sz w:val="20"/>
                <w:szCs w:val="20"/>
                <w:color w:val="auto"/>
              </w:rPr>
            </w:pPr>
            <w:r>
              <w:rPr>
                <w:rFonts w:ascii="Arial" w:cs="Arial" w:eastAsia="Arial" w:hAnsi="Arial"/>
                <w:sz w:val="18"/>
                <w:szCs w:val="18"/>
                <w:color w:val="auto"/>
              </w:rPr>
              <w:t>Fourth Quarter</w:t>
            </w:r>
          </w:p>
        </w:tc>
        <w:tc>
          <w:tcPr>
            <w:tcW w:w="240" w:type="dxa"/>
            <w:vAlign w:val="bottom"/>
            <w:tcBorders>
              <w:bottom w:val="single" w:sz="8" w:color="auto"/>
            </w:tcBorders>
          </w:tcPr>
          <w:p>
            <w:pPr>
              <w:spacing w:after="0"/>
              <w:rPr>
                <w:sz w:val="22"/>
                <w:szCs w:val="22"/>
                <w:color w:val="auto"/>
              </w:rPr>
            </w:pPr>
          </w:p>
        </w:tc>
        <w:tc>
          <w:tcPr>
            <w:tcW w:w="1140" w:type="dxa"/>
            <w:vAlign w:val="bottom"/>
            <w:tcBorders>
              <w:bottom w:val="single" w:sz="8" w:color="auto"/>
            </w:tcBorders>
          </w:tcPr>
          <w:p>
            <w:pPr>
              <w:jc w:val="right"/>
              <w:ind w:right="33"/>
              <w:spacing w:after="0"/>
              <w:rPr>
                <w:sz w:val="20"/>
                <w:szCs w:val="20"/>
                <w:color w:val="auto"/>
              </w:rPr>
            </w:pPr>
            <w:r>
              <w:rPr>
                <w:rFonts w:ascii="Arial" w:cs="Arial" w:eastAsia="Arial" w:hAnsi="Arial"/>
                <w:sz w:val="18"/>
                <w:szCs w:val="18"/>
                <w:color w:val="auto"/>
              </w:rPr>
              <w:t>0.10</w:t>
            </w:r>
          </w:p>
        </w:tc>
        <w:tc>
          <w:tcPr>
            <w:tcW w:w="100" w:type="dxa"/>
            <w:vAlign w:val="bottom"/>
            <w:tcBorders>
              <w:bottom w:val="single" w:sz="8" w:color="CCEEFF"/>
            </w:tcBorders>
          </w:tcPr>
          <w:p>
            <w:pPr>
              <w:spacing w:after="0"/>
              <w:rPr>
                <w:sz w:val="22"/>
                <w:szCs w:val="22"/>
                <w:color w:val="auto"/>
              </w:rPr>
            </w:pPr>
          </w:p>
        </w:tc>
        <w:tc>
          <w:tcPr>
            <w:tcW w:w="2160" w:type="dxa"/>
            <w:vAlign w:val="bottom"/>
            <w:tcBorders>
              <w:bottom w:val="single" w:sz="8" w:color="CCEEFF"/>
            </w:tcBorders>
            <w:gridSpan w:val="2"/>
          </w:tcPr>
          <w:p>
            <w:pPr>
              <w:jc w:val="center"/>
              <w:ind w:right="120"/>
              <w:spacing w:after="0"/>
              <w:rPr>
                <w:sz w:val="20"/>
                <w:szCs w:val="20"/>
                <w:color w:val="auto"/>
              </w:rPr>
            </w:pPr>
            <w:r>
              <w:rPr>
                <w:rFonts w:ascii="Arial" w:cs="Arial" w:eastAsia="Arial" w:hAnsi="Arial"/>
                <w:sz w:val="18"/>
                <w:szCs w:val="18"/>
                <w:color w:val="auto"/>
                <w:w w:val="99"/>
              </w:rPr>
              <w:t>November 6, 2019</w:t>
            </w:r>
          </w:p>
        </w:tc>
        <w:tc>
          <w:tcPr>
            <w:tcW w:w="2160" w:type="dxa"/>
            <w:vAlign w:val="bottom"/>
            <w:tcBorders>
              <w:bottom w:val="single" w:sz="8" w:color="CCEEFF"/>
            </w:tcBorders>
            <w:gridSpan w:val="2"/>
          </w:tcPr>
          <w:p>
            <w:pPr>
              <w:jc w:val="center"/>
              <w:ind w:right="100"/>
              <w:spacing w:after="0"/>
              <w:rPr>
                <w:sz w:val="20"/>
                <w:szCs w:val="20"/>
                <w:color w:val="auto"/>
              </w:rPr>
            </w:pPr>
            <w:r>
              <w:rPr>
                <w:rFonts w:ascii="Arial" w:cs="Arial" w:eastAsia="Arial" w:hAnsi="Arial"/>
                <w:sz w:val="18"/>
                <w:szCs w:val="18"/>
                <w:color w:val="auto"/>
                <w:w w:val="99"/>
              </w:rPr>
              <w:t>November 20, 2019</w:t>
            </w:r>
          </w:p>
        </w:tc>
        <w:tc>
          <w:tcPr>
            <w:tcW w:w="260" w:type="dxa"/>
            <w:vAlign w:val="bottom"/>
            <w:tcBorders>
              <w:bottom w:val="single" w:sz="8" w:color="auto"/>
            </w:tcBorders>
          </w:tcPr>
          <w:p>
            <w:pPr>
              <w:spacing w:after="0"/>
              <w:rPr>
                <w:sz w:val="22"/>
                <w:szCs w:val="22"/>
                <w:color w:val="auto"/>
              </w:rPr>
            </w:pPr>
          </w:p>
        </w:tc>
        <w:tc>
          <w:tcPr>
            <w:tcW w:w="1120" w:type="dxa"/>
            <w:vAlign w:val="bottom"/>
            <w:tcBorders>
              <w:bottom w:val="single" w:sz="8" w:color="auto"/>
            </w:tcBorders>
          </w:tcPr>
          <w:p>
            <w:pPr>
              <w:jc w:val="right"/>
              <w:ind w:right="15"/>
              <w:spacing w:after="0"/>
              <w:rPr>
                <w:sz w:val="20"/>
                <w:szCs w:val="20"/>
                <w:color w:val="auto"/>
              </w:rPr>
            </w:pPr>
            <w:r>
              <w:rPr>
                <w:rFonts w:ascii="Arial" w:cs="Arial" w:eastAsia="Arial" w:hAnsi="Arial"/>
                <w:sz w:val="18"/>
                <w:szCs w:val="18"/>
                <w:color w:val="auto"/>
              </w:rPr>
              <w:t>44</w:t>
            </w:r>
          </w:p>
        </w:tc>
      </w:tr>
      <w:tr>
        <w:trPr>
          <w:trHeight w:val="257"/>
        </w:trPr>
        <w:tc>
          <w:tcPr>
            <w:tcW w:w="4240" w:type="dxa"/>
            <w:vAlign w:val="bottom"/>
            <w:tcBorders>
              <w:bottom w:val="single" w:sz="8" w:color="CCEEFF"/>
            </w:tcBorders>
            <w:gridSpan w:val="2"/>
            <w:shd w:val="clear" w:color="auto" w:fill="CCEEFF"/>
          </w:tcPr>
          <w:p>
            <w:pPr>
              <w:ind w:left="180"/>
              <w:spacing w:after="0"/>
              <w:rPr>
                <w:sz w:val="20"/>
                <w:szCs w:val="20"/>
                <w:color w:val="auto"/>
              </w:rPr>
            </w:pPr>
            <w:r>
              <w:rPr>
                <w:rFonts w:ascii="Arial" w:cs="Arial" w:eastAsia="Arial" w:hAnsi="Arial"/>
                <w:sz w:val="18"/>
                <w:szCs w:val="18"/>
                <w:color w:val="auto"/>
              </w:rPr>
              <w:t>Total</w:t>
            </w:r>
          </w:p>
        </w:tc>
        <w:tc>
          <w:tcPr>
            <w:tcW w:w="24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140" w:type="dxa"/>
            <w:vAlign w:val="bottom"/>
            <w:tcBorders>
              <w:bottom w:val="single" w:sz="8" w:color="auto"/>
            </w:tcBorders>
            <w:shd w:val="clear" w:color="auto" w:fill="CCEEFF"/>
          </w:tcPr>
          <w:p>
            <w:pPr>
              <w:jc w:val="right"/>
              <w:ind w:right="33"/>
              <w:spacing w:after="0"/>
              <w:rPr>
                <w:sz w:val="20"/>
                <w:szCs w:val="20"/>
                <w:color w:val="auto"/>
              </w:rPr>
            </w:pPr>
            <w:r>
              <w:rPr>
                <w:rFonts w:ascii="Arial" w:cs="Arial" w:eastAsia="Arial" w:hAnsi="Arial"/>
                <w:sz w:val="18"/>
                <w:szCs w:val="18"/>
                <w:color w:val="auto"/>
              </w:rPr>
              <w:t>0.40</w:t>
            </w:r>
          </w:p>
        </w:tc>
        <w:tc>
          <w:tcPr>
            <w:tcW w:w="100" w:type="dxa"/>
            <w:vAlign w:val="bottom"/>
            <w:tcBorders>
              <w:bottom w:val="single" w:sz="8" w:color="CCEEFF"/>
            </w:tcBorders>
            <w:shd w:val="clear" w:color="auto" w:fill="CCEEFF"/>
          </w:tcPr>
          <w:p>
            <w:pPr>
              <w:spacing w:after="0"/>
              <w:rPr>
                <w:sz w:val="22"/>
                <w:szCs w:val="22"/>
                <w:color w:val="auto"/>
              </w:rPr>
            </w:pPr>
          </w:p>
        </w:tc>
        <w:tc>
          <w:tcPr>
            <w:tcW w:w="206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206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26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auto"/>
            </w:tcBorders>
            <w:shd w:val="clear" w:color="auto" w:fill="CCEEFF"/>
          </w:tcPr>
          <w:p>
            <w:pPr>
              <w:jc w:val="right"/>
              <w:ind w:right="15"/>
              <w:spacing w:after="0"/>
              <w:rPr>
                <w:sz w:val="20"/>
                <w:szCs w:val="20"/>
                <w:color w:val="auto"/>
              </w:rPr>
            </w:pPr>
            <w:r>
              <w:rPr>
                <w:rFonts w:ascii="Arial" w:cs="Arial" w:eastAsia="Arial" w:hAnsi="Arial"/>
                <w:sz w:val="18"/>
                <w:szCs w:val="18"/>
                <w:color w:val="auto"/>
              </w:rPr>
              <w:t>178</w:t>
            </w:r>
          </w:p>
        </w:tc>
      </w:tr>
      <w:tr>
        <w:trPr>
          <w:trHeight w:val="20"/>
        </w:trPr>
        <w:tc>
          <w:tcPr>
            <w:tcW w:w="4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r>
    </w:tbl>
    <w:p>
      <w:pPr>
        <w:spacing w:after="0" w:line="161" w:lineRule="exact"/>
        <w:rPr>
          <w:sz w:val="20"/>
          <w:szCs w:val="20"/>
          <w:color w:val="auto"/>
        </w:rPr>
      </w:pPr>
    </w:p>
    <w:p>
      <w:pPr>
        <w:jc w:val="both"/>
        <w:ind w:firstLine="243"/>
        <w:spacing w:after="0" w:line="262" w:lineRule="auto"/>
        <w:rPr>
          <w:sz w:val="20"/>
          <w:szCs w:val="20"/>
          <w:color w:val="auto"/>
        </w:rPr>
      </w:pPr>
      <w:r>
        <w:rPr>
          <w:rFonts w:ascii="Arial" w:cs="Arial" w:eastAsia="Arial" w:hAnsi="Arial"/>
          <w:sz w:val="18"/>
          <w:szCs w:val="18"/>
          <w:color w:val="auto"/>
        </w:rPr>
        <w:t>In January 2020, we announced that our Board of Directors declared a $0.10 per share cash dividend for stockholders of record on February 5, 2020, and payable on February 19, 2020.</w:t>
      </w:r>
    </w:p>
    <w:p>
      <w:pPr>
        <w:spacing w:after="0" w:line="142" w:lineRule="exact"/>
        <w:rPr>
          <w:sz w:val="20"/>
          <w:szCs w:val="20"/>
          <w:color w:val="auto"/>
        </w:rPr>
      </w:pPr>
    </w:p>
    <w:p>
      <w:pPr>
        <w:jc w:val="both"/>
        <w:ind w:firstLine="243"/>
        <w:spacing w:after="0" w:line="256" w:lineRule="auto"/>
        <w:rPr>
          <w:sz w:val="20"/>
          <w:szCs w:val="20"/>
          <w:color w:val="auto"/>
        </w:rPr>
      </w:pPr>
      <w:r>
        <w:rPr>
          <w:rFonts w:ascii="Arial" w:cs="Arial" w:eastAsia="Arial" w:hAnsi="Arial"/>
          <w:sz w:val="18"/>
          <w:szCs w:val="18"/>
          <w:color w:val="auto"/>
        </w:rPr>
        <w:t>Any future dividends that may be declared and paid from time to time will be subject to market and economic conditions, applicable legal requirements and other relevant factors. We are not obligated to continue a dividend for any fixed period, and the payment of dividends may be suspended or discontinued at any time at our discretion and without prior notice.</w:t>
      </w:r>
    </w:p>
    <w:p>
      <w:pPr>
        <w:spacing w:after="0" w:line="207" w:lineRule="exact"/>
        <w:rPr>
          <w:sz w:val="20"/>
          <w:szCs w:val="20"/>
          <w:color w:val="auto"/>
        </w:rPr>
      </w:pPr>
    </w:p>
    <w:p>
      <w:pPr>
        <w:ind w:left="220"/>
        <w:spacing w:after="0"/>
        <w:rPr>
          <w:sz w:val="20"/>
          <w:szCs w:val="20"/>
          <w:color w:val="auto"/>
        </w:rPr>
      </w:pPr>
      <w:r>
        <w:rPr>
          <w:rFonts w:ascii="Arial" w:cs="Arial" w:eastAsia="Arial" w:hAnsi="Arial"/>
          <w:sz w:val="18"/>
          <w:szCs w:val="18"/>
          <w:b w:val="1"/>
          <w:bCs w:val="1"/>
          <w:i w:val="1"/>
          <w:iCs w:val="1"/>
          <w:color w:val="auto"/>
        </w:rPr>
        <w:t>Collateral-Related Covenants</w:t>
      </w:r>
    </w:p>
    <w:p>
      <w:pPr>
        <w:spacing w:after="0" w:line="112" w:lineRule="exact"/>
        <w:rPr>
          <w:sz w:val="20"/>
          <w:szCs w:val="20"/>
          <w:color w:val="auto"/>
        </w:rPr>
      </w:pPr>
    </w:p>
    <w:p>
      <w:pPr>
        <w:jc w:val="both"/>
        <w:ind w:firstLine="216"/>
        <w:spacing w:after="0" w:line="252" w:lineRule="auto"/>
        <w:rPr>
          <w:sz w:val="20"/>
          <w:szCs w:val="20"/>
          <w:color w:val="auto"/>
        </w:rPr>
      </w:pPr>
      <w:r>
        <w:rPr>
          <w:rFonts w:ascii="Arial" w:cs="Arial" w:eastAsia="Arial" w:hAnsi="Arial"/>
          <w:sz w:val="18"/>
          <w:szCs w:val="18"/>
          <w:color w:val="auto"/>
        </w:rPr>
        <w:t>Certain of our debt financing agreements (including our term loans, revolving credit facilities and spare engine EETCs) contain loan to value ratio covenants and require us to appraise the related collateral annually. Pursuant to such agreements, if the loan to value ratio exceeds a specified threshold or the value of the appraised collateral fails to meet a specified threshold, as the case may be, we are required, as applicable, to pledge additional qualifying collateral (which in some cases may include cash or investment securities), or pay down such financing, in whole or in part. As of December 31, 2019, we were in compliance with the foregoing collateral coverage tests as of the most recent applicable measurement dates. For further information regarding our collateral-related covenants, see Note 5 to AAG’s Consolidated Financial Statements in Part II, Item 8A and Note 3 to American’s Consolidated Financial Statements in Part II, Item 8B.</w:t>
      </w:r>
    </w:p>
    <w:p>
      <w:pPr>
        <w:spacing w:after="0" w:line="21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Sources and Uses of Cash</w:t>
      </w:r>
    </w:p>
    <w:p>
      <w:pPr>
        <w:spacing w:after="0" w:line="112" w:lineRule="exact"/>
        <w:rPr>
          <w:sz w:val="20"/>
          <w:szCs w:val="20"/>
          <w:color w:val="auto"/>
        </w:rPr>
      </w:pPr>
    </w:p>
    <w:p>
      <w:pPr>
        <w:jc w:val="both"/>
        <w:ind w:firstLine="243"/>
        <w:spacing w:after="0" w:line="262" w:lineRule="auto"/>
        <w:rPr>
          <w:sz w:val="20"/>
          <w:szCs w:val="20"/>
          <w:color w:val="auto"/>
        </w:rPr>
      </w:pPr>
      <w:r>
        <w:rPr>
          <w:rFonts w:ascii="Arial" w:cs="Arial" w:eastAsia="Arial" w:hAnsi="Arial"/>
          <w:sz w:val="18"/>
          <w:szCs w:val="18"/>
          <w:color w:val="auto"/>
        </w:rPr>
        <w:t>For a comparison of the 2018 and 2017 reporting periods, see Part II, Item 7. Management’s Discussion and Analysis of Financial Condition and Results of Operations – “</w:t>
      </w:r>
      <w:r>
        <w:rPr>
          <w:rFonts w:ascii="Arial" w:cs="Arial" w:eastAsia="Arial" w:hAnsi="Arial"/>
          <w:sz w:val="18"/>
          <w:szCs w:val="18"/>
          <w:i w:val="1"/>
          <w:iCs w:val="1"/>
          <w:color w:val="auto"/>
        </w:rPr>
        <w:t>Sources and Uses of Cash”</w:t>
      </w:r>
      <w:r>
        <w:rPr>
          <w:rFonts w:ascii="Arial" w:cs="Arial" w:eastAsia="Arial" w:hAnsi="Arial"/>
          <w:sz w:val="18"/>
          <w:szCs w:val="18"/>
          <w:color w:val="auto"/>
        </w:rPr>
        <w:t xml:space="preserve"> of our 2018 Form 10-K.</w:t>
      </w:r>
    </w:p>
    <w:p>
      <w:pPr>
        <w:spacing w:after="0" w:line="39" w:lineRule="exact"/>
        <w:rPr>
          <w:sz w:val="20"/>
          <w:szCs w:val="20"/>
          <w:color w:val="auto"/>
        </w:rPr>
      </w:pPr>
    </w:p>
    <w:p>
      <w:pPr>
        <w:ind w:left="220"/>
        <w:spacing w:after="0"/>
        <w:rPr>
          <w:sz w:val="20"/>
          <w:szCs w:val="20"/>
          <w:color w:val="auto"/>
        </w:rPr>
      </w:pPr>
      <w:r>
        <w:rPr>
          <w:rFonts w:ascii="Arial" w:cs="Arial" w:eastAsia="Arial" w:hAnsi="Arial"/>
          <w:sz w:val="18"/>
          <w:szCs w:val="18"/>
          <w:b w:val="1"/>
          <w:bCs w:val="1"/>
          <w:i w:val="1"/>
          <w:iCs w:val="1"/>
          <w:u w:val="single" w:color="auto"/>
          <w:color w:val="auto"/>
        </w:rPr>
        <w:t>AAG</w:t>
      </w:r>
    </w:p>
    <w:p>
      <w:pPr>
        <w:spacing w:after="0" w:line="94" w:lineRule="exact"/>
        <w:rPr>
          <w:sz w:val="20"/>
          <w:szCs w:val="20"/>
          <w:color w:val="auto"/>
        </w:rPr>
      </w:pPr>
    </w:p>
    <w:p>
      <w:pPr>
        <w:ind w:left="220"/>
        <w:spacing w:after="0"/>
        <w:rPr>
          <w:sz w:val="20"/>
          <w:szCs w:val="20"/>
          <w:color w:val="auto"/>
        </w:rPr>
      </w:pPr>
      <w:r>
        <w:rPr>
          <w:rFonts w:ascii="Arial" w:cs="Arial" w:eastAsia="Arial" w:hAnsi="Arial"/>
          <w:sz w:val="18"/>
          <w:szCs w:val="18"/>
          <w:i w:val="1"/>
          <w:iCs w:val="1"/>
          <w:u w:val="single" w:color="auto"/>
          <w:color w:val="auto"/>
        </w:rPr>
        <w:t>2019 Compared to 2018</w:t>
      </w:r>
    </w:p>
    <w:p>
      <w:pPr>
        <w:spacing w:after="0" w:line="90" w:lineRule="exact"/>
        <w:rPr>
          <w:sz w:val="20"/>
          <w:szCs w:val="20"/>
          <w:color w:val="auto"/>
        </w:rPr>
      </w:pPr>
    </w:p>
    <w:p>
      <w:pPr>
        <w:ind w:left="220"/>
        <w:spacing w:after="0"/>
        <w:rPr>
          <w:sz w:val="20"/>
          <w:szCs w:val="20"/>
          <w:color w:val="auto"/>
        </w:rPr>
      </w:pPr>
      <w:r>
        <w:rPr>
          <w:rFonts w:ascii="Arial" w:cs="Arial" w:eastAsia="Arial" w:hAnsi="Arial"/>
          <w:sz w:val="18"/>
          <w:szCs w:val="18"/>
          <w:i w:val="1"/>
          <w:iCs w:val="1"/>
          <w:color w:val="auto"/>
        </w:rPr>
        <w:t>Operating Activities</w:t>
      </w:r>
    </w:p>
    <w:p>
      <w:pPr>
        <w:spacing w:after="0" w:line="108" w:lineRule="exact"/>
        <w:rPr>
          <w:sz w:val="20"/>
          <w:szCs w:val="20"/>
          <w:color w:val="auto"/>
        </w:rPr>
      </w:pPr>
    </w:p>
    <w:p>
      <w:pPr>
        <w:jc w:val="both"/>
        <w:ind w:firstLine="216"/>
        <w:spacing w:after="0" w:line="254" w:lineRule="auto"/>
        <w:rPr>
          <w:sz w:val="20"/>
          <w:szCs w:val="20"/>
          <w:color w:val="auto"/>
        </w:rPr>
      </w:pPr>
      <w:r>
        <w:rPr>
          <w:rFonts w:ascii="Arial" w:cs="Arial" w:eastAsia="Arial" w:hAnsi="Arial"/>
          <w:sz w:val="18"/>
          <w:szCs w:val="18"/>
          <w:color w:val="auto"/>
        </w:rPr>
        <w:t>Our net cash provided by operating activities was $3.8 billion and $3.5 billion in 2019 and 2018, respectively, a year-over-year increase of $282 million. This increase in operating cash flows was primarily due to higher profitability in 2019 as well as working capital increases principally in our air traffic liability and loyalty program deferred revenue. These increases were offset in part by higher contributions to our defined benefit pension plans in 2019 as compared to 2018.</w:t>
      </w:r>
    </w:p>
    <w:p>
      <w:pPr>
        <w:spacing w:after="0" w:line="20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60</w:t>
      </w:r>
    </w:p>
    <w:p>
      <w:pPr>
        <w:sectPr>
          <w:pgSz w:w="11900" w:h="16838" w:orient="portrait"/>
          <w:cols w:equalWidth="0" w:num="1">
            <w:col w:w="11420"/>
          </w:cols>
          <w:pgMar w:left="240" w:top="792" w:right="239" w:bottom="1440" w:gutter="0" w:footer="0" w:header="0"/>
        </w:sectPr>
      </w:pPr>
    </w:p>
    <w:bookmarkStart w:id="60" w:name="page61"/>
    <w:bookmarkEnd w:id="60"/>
    <w:p>
      <w:pPr>
        <w:ind w:left="220"/>
        <w:spacing w:after="0"/>
        <w:rPr>
          <w:sz w:val="20"/>
          <w:szCs w:val="20"/>
          <w:color w:val="auto"/>
        </w:rPr>
      </w:pPr>
      <w:r>
        <w:rPr>
          <w:rFonts w:ascii="Arial" w:cs="Arial" w:eastAsia="Arial" w:hAnsi="Arial"/>
          <w:sz w:val="18"/>
          <w:szCs w:val="18"/>
          <w:i w:val="1"/>
          <w:iCs w:val="1"/>
          <w:color w:val="auto"/>
        </w:rPr>
        <w:t>Investing Activities</w:t>
      </w:r>
    </w:p>
    <w:p>
      <w:pPr>
        <w:spacing w:after="0" w:line="108" w:lineRule="exact"/>
        <w:rPr>
          <w:sz w:val="20"/>
          <w:szCs w:val="20"/>
          <w:color w:val="auto"/>
        </w:rPr>
      </w:pPr>
    </w:p>
    <w:p>
      <w:pPr>
        <w:ind w:left="220"/>
        <w:spacing w:after="0"/>
        <w:rPr>
          <w:sz w:val="20"/>
          <w:szCs w:val="20"/>
          <w:color w:val="auto"/>
        </w:rPr>
      </w:pPr>
      <w:r>
        <w:rPr>
          <w:rFonts w:ascii="Arial" w:cs="Arial" w:eastAsia="Arial" w:hAnsi="Arial"/>
          <w:sz w:val="18"/>
          <w:szCs w:val="18"/>
          <w:color w:val="auto"/>
        </w:rPr>
        <w:t>Our net cash used in investing activities was $2.2 billion and $2.0 billion in 2019 and 2018, respectively.</w:t>
      </w:r>
    </w:p>
    <w:p>
      <w:pPr>
        <w:spacing w:after="0" w:line="171" w:lineRule="exact"/>
        <w:rPr>
          <w:sz w:val="20"/>
          <w:szCs w:val="20"/>
          <w:color w:val="auto"/>
        </w:rPr>
      </w:pPr>
    </w:p>
    <w:p>
      <w:pPr>
        <w:jc w:val="both"/>
        <w:ind w:firstLine="216"/>
        <w:spacing w:after="0" w:line="254" w:lineRule="auto"/>
        <w:rPr>
          <w:sz w:val="20"/>
          <w:szCs w:val="20"/>
          <w:color w:val="auto"/>
        </w:rPr>
      </w:pPr>
      <w:r>
        <w:rPr>
          <w:rFonts w:ascii="Arial" w:cs="Arial" w:eastAsia="Arial" w:hAnsi="Arial"/>
          <w:sz w:val="18"/>
          <w:szCs w:val="18"/>
          <w:color w:val="auto"/>
        </w:rPr>
        <w:t>Our principal investing activities in 2019 included expenditures of $4.3 billion for property and equipment, including 21 Embraer E175 aircraft, 12 Bombardier CRJ900 aircraft, 12 Airbus A321neo aircraft, four Boeing 737 MAX aircraft and two Boeing 787 Family aircraft. These cash outflows were offset in part by $960 million in net sales of short-term investments, $850 million of proceeds from aircraft sale-leaseback transactions and $250 million in proceeds from a vendor.</w:t>
      </w:r>
    </w:p>
    <w:p>
      <w:pPr>
        <w:spacing w:after="0" w:line="150" w:lineRule="exact"/>
        <w:rPr>
          <w:sz w:val="20"/>
          <w:szCs w:val="20"/>
          <w:color w:val="auto"/>
        </w:rPr>
      </w:pPr>
    </w:p>
    <w:p>
      <w:pPr>
        <w:jc w:val="both"/>
        <w:ind w:firstLine="216"/>
        <w:spacing w:after="0" w:line="256" w:lineRule="auto"/>
        <w:rPr>
          <w:sz w:val="20"/>
          <w:szCs w:val="20"/>
          <w:color w:val="auto"/>
        </w:rPr>
      </w:pPr>
      <w:r>
        <w:rPr>
          <w:rFonts w:ascii="Arial" w:cs="Arial" w:eastAsia="Arial" w:hAnsi="Arial"/>
          <w:sz w:val="18"/>
          <w:szCs w:val="18"/>
          <w:color w:val="auto"/>
        </w:rPr>
        <w:t>Our principal investing activities in 2018 included expenditures of $3.7 billion for property and equipment, including 16 Boeing 737 MAX aircraft, six Boeing 787 family aircraft and five Embraer E175 aircraft. These cash outflows were offset in part by $1.1 billion of proceeds from aircraft sale-leaseback transactions and $293 million in net sales of short-term investments.</w:t>
      </w:r>
    </w:p>
    <w:p>
      <w:pPr>
        <w:spacing w:after="0" w:line="211" w:lineRule="exact"/>
        <w:rPr>
          <w:sz w:val="20"/>
          <w:szCs w:val="20"/>
          <w:color w:val="auto"/>
        </w:rPr>
      </w:pPr>
    </w:p>
    <w:p>
      <w:pPr>
        <w:ind w:left="220"/>
        <w:spacing w:after="0"/>
        <w:rPr>
          <w:sz w:val="20"/>
          <w:szCs w:val="20"/>
          <w:color w:val="auto"/>
        </w:rPr>
      </w:pPr>
      <w:r>
        <w:rPr>
          <w:rFonts w:ascii="Arial" w:cs="Arial" w:eastAsia="Arial" w:hAnsi="Arial"/>
          <w:sz w:val="18"/>
          <w:szCs w:val="18"/>
          <w:i w:val="1"/>
          <w:iCs w:val="1"/>
          <w:color w:val="auto"/>
        </w:rPr>
        <w:t>Financing Activities</w:t>
      </w:r>
    </w:p>
    <w:p>
      <w:pPr>
        <w:spacing w:after="0" w:line="108" w:lineRule="exact"/>
        <w:rPr>
          <w:sz w:val="20"/>
          <w:szCs w:val="20"/>
          <w:color w:val="auto"/>
        </w:rPr>
      </w:pPr>
    </w:p>
    <w:p>
      <w:pPr>
        <w:ind w:left="220"/>
        <w:spacing w:after="0"/>
        <w:rPr>
          <w:sz w:val="20"/>
          <w:szCs w:val="20"/>
          <w:color w:val="auto"/>
        </w:rPr>
      </w:pPr>
      <w:r>
        <w:rPr>
          <w:rFonts w:ascii="Arial" w:cs="Arial" w:eastAsia="Arial" w:hAnsi="Arial"/>
          <w:sz w:val="18"/>
          <w:szCs w:val="18"/>
          <w:color w:val="auto"/>
        </w:rPr>
        <w:t>Our net cash used in financing activities was $1.6 billion and $1.7 billion in 2019 and 2018, respectively.</w:t>
      </w:r>
    </w:p>
    <w:p>
      <w:pPr>
        <w:spacing w:after="0" w:line="171" w:lineRule="exact"/>
        <w:rPr>
          <w:sz w:val="20"/>
          <w:szCs w:val="20"/>
          <w:color w:val="auto"/>
        </w:rPr>
      </w:pPr>
    </w:p>
    <w:p>
      <w:pPr>
        <w:jc w:val="both"/>
        <w:ind w:firstLine="216"/>
        <w:spacing w:after="0" w:line="253" w:lineRule="auto"/>
        <w:rPr>
          <w:sz w:val="20"/>
          <w:szCs w:val="20"/>
          <w:color w:val="auto"/>
        </w:rPr>
      </w:pPr>
      <w:r>
        <w:rPr>
          <w:rFonts w:ascii="Arial" w:cs="Arial" w:eastAsia="Arial" w:hAnsi="Arial"/>
          <w:sz w:val="18"/>
          <w:szCs w:val="18"/>
          <w:color w:val="auto"/>
        </w:rPr>
        <w:t>Our principal financing activities in 2019 included $4.2 billion in debt repayments, consisting of $2.9 billion in scheduled debt repayments and the prepayment of $1.3 billion of secured loans. We also had $1.1 billion in share repurchases and $ 178 million in dividend payments. These cash outflows were offset in part by $4.0 billion in proceeds from the issuance of debt, consisting of $3.2 billion in connection with the issuance of equipment notes related to EETCs and the financing of certain aircraft and other flight equipment, as well as the issuance of $750 million aggregate principal amount of 5.000% senior notes.</w:t>
      </w:r>
    </w:p>
    <w:p>
      <w:pPr>
        <w:spacing w:after="0" w:line="152" w:lineRule="exact"/>
        <w:rPr>
          <w:sz w:val="20"/>
          <w:szCs w:val="20"/>
          <w:color w:val="auto"/>
        </w:rPr>
      </w:pPr>
    </w:p>
    <w:p>
      <w:pPr>
        <w:jc w:val="both"/>
        <w:ind w:firstLine="216"/>
        <w:spacing w:after="0" w:line="253" w:lineRule="auto"/>
        <w:rPr>
          <w:sz w:val="20"/>
          <w:szCs w:val="20"/>
          <w:color w:val="auto"/>
        </w:rPr>
      </w:pPr>
      <w:r>
        <w:rPr>
          <w:rFonts w:ascii="Arial" w:cs="Arial" w:eastAsia="Arial" w:hAnsi="Arial"/>
          <w:sz w:val="18"/>
          <w:szCs w:val="18"/>
          <w:color w:val="auto"/>
        </w:rPr>
        <w:t>Our principal financing activities in 2018 included $2.9 billion in debt repayments, consisting of $2.4 billion in scheduled debt repayments and the prepayment of $513 million of secured loans. We also had $837 million in share repurchases and $186 million in dividend payments. These cash outflows were offset in part by $2.4 billion in proceeds from the issuance of debt, consisting of $1.9 billion in connection with the issuance of equipment notes related to EETCs and the financing of certain aircraft and pre-delivery purchase deposits, as well as an incremental $500 million on a term loan facility.</w:t>
      </w:r>
    </w:p>
    <w:p>
      <w:pPr>
        <w:spacing w:after="0" w:line="211" w:lineRule="exact"/>
        <w:rPr>
          <w:sz w:val="20"/>
          <w:szCs w:val="20"/>
          <w:color w:val="auto"/>
        </w:rPr>
      </w:pPr>
    </w:p>
    <w:p>
      <w:pPr>
        <w:ind w:left="220"/>
        <w:spacing w:after="0"/>
        <w:rPr>
          <w:sz w:val="20"/>
          <w:szCs w:val="20"/>
          <w:color w:val="auto"/>
        </w:rPr>
      </w:pPr>
      <w:r>
        <w:rPr>
          <w:rFonts w:ascii="Arial" w:cs="Arial" w:eastAsia="Arial" w:hAnsi="Arial"/>
          <w:sz w:val="18"/>
          <w:szCs w:val="18"/>
          <w:b w:val="1"/>
          <w:bCs w:val="1"/>
          <w:i w:val="1"/>
          <w:iCs w:val="1"/>
          <w:u w:val="single" w:color="auto"/>
          <w:color w:val="auto"/>
        </w:rPr>
        <w:t>American</w:t>
      </w:r>
    </w:p>
    <w:p>
      <w:pPr>
        <w:spacing w:after="0" w:line="94" w:lineRule="exact"/>
        <w:rPr>
          <w:sz w:val="20"/>
          <w:szCs w:val="20"/>
          <w:color w:val="auto"/>
        </w:rPr>
      </w:pPr>
    </w:p>
    <w:p>
      <w:pPr>
        <w:ind w:left="220"/>
        <w:spacing w:after="0"/>
        <w:rPr>
          <w:sz w:val="20"/>
          <w:szCs w:val="20"/>
          <w:color w:val="auto"/>
        </w:rPr>
      </w:pPr>
      <w:r>
        <w:rPr>
          <w:rFonts w:ascii="Arial" w:cs="Arial" w:eastAsia="Arial" w:hAnsi="Arial"/>
          <w:sz w:val="18"/>
          <w:szCs w:val="18"/>
          <w:i w:val="1"/>
          <w:iCs w:val="1"/>
          <w:u w:val="single" w:color="auto"/>
          <w:color w:val="auto"/>
        </w:rPr>
        <w:t>2019 Compared to 2018</w:t>
      </w:r>
    </w:p>
    <w:p>
      <w:pPr>
        <w:spacing w:after="0" w:line="90" w:lineRule="exact"/>
        <w:rPr>
          <w:sz w:val="20"/>
          <w:szCs w:val="20"/>
          <w:color w:val="auto"/>
        </w:rPr>
      </w:pPr>
    </w:p>
    <w:p>
      <w:pPr>
        <w:ind w:left="220"/>
        <w:spacing w:after="0"/>
        <w:rPr>
          <w:sz w:val="20"/>
          <w:szCs w:val="20"/>
          <w:color w:val="auto"/>
        </w:rPr>
      </w:pPr>
      <w:r>
        <w:rPr>
          <w:rFonts w:ascii="Arial" w:cs="Arial" w:eastAsia="Arial" w:hAnsi="Arial"/>
          <w:sz w:val="18"/>
          <w:szCs w:val="18"/>
          <w:i w:val="1"/>
          <w:iCs w:val="1"/>
          <w:color w:val="auto"/>
        </w:rPr>
        <w:t>Operating Activities</w:t>
      </w:r>
    </w:p>
    <w:p>
      <w:pPr>
        <w:spacing w:after="0" w:line="108" w:lineRule="exact"/>
        <w:rPr>
          <w:sz w:val="20"/>
          <w:szCs w:val="20"/>
          <w:color w:val="auto"/>
        </w:rPr>
      </w:pPr>
    </w:p>
    <w:p>
      <w:pPr>
        <w:jc w:val="both"/>
        <w:ind w:firstLine="216"/>
        <w:spacing w:after="0" w:line="254" w:lineRule="auto"/>
        <w:rPr>
          <w:sz w:val="20"/>
          <w:szCs w:val="20"/>
          <w:color w:val="auto"/>
        </w:rPr>
      </w:pPr>
      <w:r>
        <w:rPr>
          <w:rFonts w:ascii="Arial" w:cs="Arial" w:eastAsia="Arial" w:hAnsi="Arial"/>
          <w:sz w:val="18"/>
          <w:szCs w:val="18"/>
          <w:color w:val="auto"/>
        </w:rPr>
        <w:t>American’s net cash provided by operating activities was $2.4 billion and $1.9 billion in 2019 and 2018, respectively, a year-over-year increase of $486 million. This increase in operating cash flows was primarily due to higher profitability in 2019 as well as working capital increases principally in American's air traffic liability and loyalty program deferred revenue. These increases were offset in part by higher contributions to American's defined benefit pension plans in 2019 as compared to 2018.</w:t>
      </w:r>
    </w:p>
    <w:p>
      <w:pPr>
        <w:spacing w:after="0" w:line="213" w:lineRule="exact"/>
        <w:rPr>
          <w:sz w:val="20"/>
          <w:szCs w:val="20"/>
          <w:color w:val="auto"/>
        </w:rPr>
      </w:pPr>
    </w:p>
    <w:p>
      <w:pPr>
        <w:ind w:left="220"/>
        <w:spacing w:after="0"/>
        <w:rPr>
          <w:sz w:val="20"/>
          <w:szCs w:val="20"/>
          <w:color w:val="auto"/>
        </w:rPr>
      </w:pPr>
      <w:r>
        <w:rPr>
          <w:rFonts w:ascii="Arial" w:cs="Arial" w:eastAsia="Arial" w:hAnsi="Arial"/>
          <w:sz w:val="18"/>
          <w:szCs w:val="18"/>
          <w:i w:val="1"/>
          <w:iCs w:val="1"/>
          <w:color w:val="auto"/>
        </w:rPr>
        <w:t>Investing Activities</w:t>
      </w:r>
    </w:p>
    <w:p>
      <w:pPr>
        <w:spacing w:after="0" w:line="108" w:lineRule="exact"/>
        <w:rPr>
          <w:sz w:val="20"/>
          <w:szCs w:val="20"/>
          <w:color w:val="auto"/>
        </w:rPr>
      </w:pPr>
    </w:p>
    <w:p>
      <w:pPr>
        <w:ind w:left="220"/>
        <w:spacing w:after="0"/>
        <w:rPr>
          <w:sz w:val="20"/>
          <w:szCs w:val="20"/>
          <w:color w:val="auto"/>
        </w:rPr>
      </w:pPr>
      <w:r>
        <w:rPr>
          <w:rFonts w:ascii="Arial" w:cs="Arial" w:eastAsia="Arial" w:hAnsi="Arial"/>
          <w:sz w:val="18"/>
          <w:szCs w:val="18"/>
          <w:color w:val="auto"/>
        </w:rPr>
        <w:t>American’s net cash used in investing activities was $2.1 billion and $1.9 billion in 2019 and 2018, respectively.</w:t>
      </w:r>
    </w:p>
    <w:p>
      <w:pPr>
        <w:spacing w:after="0" w:line="171" w:lineRule="exact"/>
        <w:rPr>
          <w:sz w:val="20"/>
          <w:szCs w:val="20"/>
          <w:color w:val="auto"/>
        </w:rPr>
      </w:pPr>
    </w:p>
    <w:p>
      <w:pPr>
        <w:jc w:val="both"/>
        <w:ind w:firstLine="216"/>
        <w:spacing w:after="0" w:line="254" w:lineRule="auto"/>
        <w:rPr>
          <w:sz w:val="20"/>
          <w:szCs w:val="20"/>
          <w:color w:val="auto"/>
        </w:rPr>
      </w:pPr>
      <w:r>
        <w:rPr>
          <w:rFonts w:ascii="Arial" w:cs="Arial" w:eastAsia="Arial" w:hAnsi="Arial"/>
          <w:sz w:val="18"/>
          <w:szCs w:val="18"/>
          <w:color w:val="auto"/>
        </w:rPr>
        <w:t>American’s principal investing activities in 2019 included expenditures of $4.2 billion for property and equipment, including 21 Embraer E175 aircraft, 12 Bombardier CRJ900 aircraft, 12 Airbus A321neo aircraft, four Boeing 737 MAX aircraft and two Boeing 787 Family aircraft. These cash outflows were offset in part by $960 million in net sales of short-term investments, $850 million of proceeds from aircraft sale-leaseback transactions and $250 million in proceeds from a vendor.</w:t>
      </w:r>
    </w:p>
    <w:p>
      <w:pPr>
        <w:spacing w:after="0" w:line="150" w:lineRule="exact"/>
        <w:rPr>
          <w:sz w:val="20"/>
          <w:szCs w:val="20"/>
          <w:color w:val="auto"/>
        </w:rPr>
      </w:pPr>
    </w:p>
    <w:p>
      <w:pPr>
        <w:jc w:val="both"/>
        <w:ind w:firstLine="216"/>
        <w:spacing w:after="0" w:line="256" w:lineRule="auto"/>
        <w:rPr>
          <w:sz w:val="20"/>
          <w:szCs w:val="20"/>
          <w:color w:val="auto"/>
        </w:rPr>
      </w:pPr>
      <w:r>
        <w:rPr>
          <w:rFonts w:ascii="Arial" w:cs="Arial" w:eastAsia="Arial" w:hAnsi="Arial"/>
          <w:sz w:val="18"/>
          <w:szCs w:val="18"/>
          <w:color w:val="auto"/>
        </w:rPr>
        <w:t>American’s principal investing activities in 2018 included expenditures of $3.7 billion for property and equipment, including 16 Boeing 737 MAX aircraft, six Boeing 787 family aircraft and five Embraer E175 aircraft. These cash outflows were offset in part by $1.1 billion of proceeds from aircraft sale-leaseback transactions and $293 million in net sales of short-term investments.</w:t>
      </w:r>
    </w:p>
    <w:p>
      <w:pPr>
        <w:spacing w:after="0" w:line="211" w:lineRule="exact"/>
        <w:rPr>
          <w:sz w:val="20"/>
          <w:szCs w:val="20"/>
          <w:color w:val="auto"/>
        </w:rPr>
      </w:pPr>
    </w:p>
    <w:p>
      <w:pPr>
        <w:ind w:left="220"/>
        <w:spacing w:after="0"/>
        <w:rPr>
          <w:sz w:val="20"/>
          <w:szCs w:val="20"/>
          <w:color w:val="auto"/>
        </w:rPr>
      </w:pPr>
      <w:r>
        <w:rPr>
          <w:rFonts w:ascii="Arial" w:cs="Arial" w:eastAsia="Arial" w:hAnsi="Arial"/>
          <w:sz w:val="18"/>
          <w:szCs w:val="18"/>
          <w:i w:val="1"/>
          <w:iCs w:val="1"/>
          <w:color w:val="auto"/>
        </w:rPr>
        <w:t>Financing Activities</w:t>
      </w:r>
    </w:p>
    <w:p>
      <w:pPr>
        <w:spacing w:after="0" w:line="108" w:lineRule="exact"/>
        <w:rPr>
          <w:sz w:val="20"/>
          <w:szCs w:val="20"/>
          <w:color w:val="auto"/>
        </w:rPr>
      </w:pPr>
    </w:p>
    <w:p>
      <w:pPr>
        <w:ind w:left="220"/>
        <w:spacing w:after="0"/>
        <w:rPr>
          <w:sz w:val="20"/>
          <w:szCs w:val="20"/>
          <w:color w:val="auto"/>
        </w:rPr>
      </w:pPr>
      <w:r>
        <w:rPr>
          <w:rFonts w:ascii="Arial" w:cs="Arial" w:eastAsia="Arial" w:hAnsi="Arial"/>
          <w:sz w:val="18"/>
          <w:szCs w:val="18"/>
          <w:color w:val="auto"/>
        </w:rPr>
        <w:t>American’s net cash used in financing activities was $282 million and $147 million in 2019 and 2018, respectively.</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61</w:t>
      </w:r>
    </w:p>
    <w:p>
      <w:pPr>
        <w:sectPr>
          <w:pgSz w:w="11900" w:h="16838" w:orient="portrait"/>
          <w:cols w:equalWidth="0" w:num="1">
            <w:col w:w="11420"/>
          </w:cols>
          <w:pgMar w:left="240" w:top="796" w:right="239" w:bottom="1440" w:gutter="0" w:footer="0" w:header="0"/>
        </w:sectPr>
      </w:pPr>
    </w:p>
    <w:bookmarkStart w:id="61" w:name="page62"/>
    <w:bookmarkEnd w:id="61"/>
    <w:p>
      <w:pPr>
        <w:jc w:val="both"/>
        <w:ind w:firstLine="216"/>
        <w:spacing w:after="0" w:line="256" w:lineRule="auto"/>
        <w:rPr>
          <w:sz w:val="20"/>
          <w:szCs w:val="20"/>
          <w:color w:val="auto"/>
        </w:rPr>
      </w:pPr>
      <w:r>
        <w:rPr>
          <w:rFonts w:ascii="Arial" w:cs="Arial" w:eastAsia="Arial" w:hAnsi="Arial"/>
          <w:sz w:val="18"/>
          <w:szCs w:val="18"/>
          <w:color w:val="auto"/>
        </w:rPr>
        <w:t>American’s principal financing activities in 2019 included $3.4 billion in debt repayments, consisting of $2.1 billion in scheduled debt repayments and the prepayment of $ 1.3 billion of secured loans. These cash outflows were offset in part by $3.2 billion in proceeds from the issuance of debt for equipment notes related to EETCs and the financing of certain aircraft and other flight equipment.</w:t>
      </w:r>
    </w:p>
    <w:p>
      <w:pPr>
        <w:spacing w:after="0" w:line="148" w:lineRule="exact"/>
        <w:rPr>
          <w:sz w:val="20"/>
          <w:szCs w:val="20"/>
          <w:color w:val="auto"/>
        </w:rPr>
      </w:pPr>
    </w:p>
    <w:p>
      <w:pPr>
        <w:jc w:val="both"/>
        <w:ind w:firstLine="216"/>
        <w:spacing w:after="0" w:line="254" w:lineRule="auto"/>
        <w:rPr>
          <w:sz w:val="20"/>
          <w:szCs w:val="20"/>
          <w:color w:val="auto"/>
        </w:rPr>
      </w:pPr>
      <w:r>
        <w:rPr>
          <w:rFonts w:ascii="Arial" w:cs="Arial" w:eastAsia="Arial" w:hAnsi="Arial"/>
          <w:sz w:val="18"/>
          <w:szCs w:val="18"/>
          <w:color w:val="auto"/>
        </w:rPr>
        <w:t>American’s principal financing activities in 2018 included $2.4 billion in debt repayments, consisting of $1.9 billion in scheduled debt repayments and the prepayment of $513 million of secured loans. These cash outflows were offset by $2.4 billion in proceeds from the issuance of debt, consisting of $1.9 billion in connection with the issuance of equipment notes related to EETCs and the financing of certain aircraft and pre-delivery purchase deposits, as well as an incremental $500 million on a term loan facility.</w:t>
      </w:r>
    </w:p>
    <w:p>
      <w:pPr>
        <w:spacing w:after="0" w:line="20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Commitments</w:t>
      </w:r>
    </w:p>
    <w:p>
      <w:pPr>
        <w:spacing w:after="0" w:line="112" w:lineRule="exact"/>
        <w:rPr>
          <w:sz w:val="20"/>
          <w:szCs w:val="20"/>
          <w:color w:val="auto"/>
        </w:rPr>
      </w:pPr>
    </w:p>
    <w:p>
      <w:pPr>
        <w:jc w:val="both"/>
        <w:ind w:firstLine="216"/>
        <w:spacing w:after="0" w:line="262" w:lineRule="auto"/>
        <w:rPr>
          <w:sz w:val="20"/>
          <w:szCs w:val="20"/>
          <w:color w:val="auto"/>
        </w:rPr>
      </w:pPr>
      <w:r>
        <w:rPr>
          <w:rFonts w:ascii="Arial" w:cs="Arial" w:eastAsia="Arial" w:hAnsi="Arial"/>
          <w:sz w:val="18"/>
          <w:szCs w:val="18"/>
          <w:color w:val="auto"/>
        </w:rPr>
        <w:t>For further information regarding our commitments, see the Notes to AAG’s Consolidated Financial Statements in Part II, Item 8A and the Notes to American’s Consolidated Financial Statements in Part II, Item 8B at the referenced footnotes below.</w:t>
      </w:r>
    </w:p>
    <w:p>
      <w:pPr>
        <w:spacing w:after="0" w:line="292" w:lineRule="exact"/>
        <w:rPr>
          <w:sz w:val="20"/>
          <w:szCs w:val="20"/>
          <w:color w:val="auto"/>
        </w:rPr>
      </w:pPr>
    </w:p>
    <w:tbl>
      <w:tblPr>
        <w:tblLayout w:type="fixed"/>
        <w:tblInd w:w="0" w:type="dxa"/>
        <w:tblCellMar>
          <w:top w:w="0" w:type="dxa"/>
          <w:left w:w="0" w:type="dxa"/>
          <w:bottom w:w="0" w:type="dxa"/>
          <w:right w:w="0" w:type="dxa"/>
        </w:tblCellMar>
      </w:tblPr>
      <w:tr>
        <w:trPr>
          <w:trHeight w:val="196"/>
        </w:trPr>
        <w:tc>
          <w:tcPr>
            <w:tcW w:w="8100" w:type="dxa"/>
            <w:vAlign w:val="bottom"/>
            <w:tcBorders>
              <w:bottom w:val="single" w:sz="8" w:color="CCEEFF"/>
            </w:tcBorders>
          </w:tcPr>
          <w:p>
            <w:pPr>
              <w:spacing w:after="0"/>
              <w:rPr>
                <w:sz w:val="17"/>
                <w:szCs w:val="17"/>
                <w:color w:val="auto"/>
              </w:rPr>
            </w:pPr>
          </w:p>
        </w:tc>
        <w:tc>
          <w:tcPr>
            <w:tcW w:w="160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rPr>
              <w:t>AAG</w:t>
            </w:r>
          </w:p>
        </w:tc>
        <w:tc>
          <w:tcPr>
            <w:tcW w:w="120" w:type="dxa"/>
            <w:vAlign w:val="bottom"/>
            <w:tcBorders>
              <w:bottom w:val="single" w:sz="8" w:color="CCEEFF"/>
            </w:tcBorders>
          </w:tcPr>
          <w:p>
            <w:pPr>
              <w:spacing w:after="0"/>
              <w:rPr>
                <w:sz w:val="17"/>
                <w:szCs w:val="17"/>
                <w:color w:val="auto"/>
              </w:rPr>
            </w:pPr>
          </w:p>
        </w:tc>
        <w:tc>
          <w:tcPr>
            <w:tcW w:w="160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rPr>
              <w:t>American</w:t>
            </w:r>
          </w:p>
        </w:tc>
      </w:tr>
      <w:tr>
        <w:trPr>
          <w:trHeight w:val="256"/>
        </w:trPr>
        <w:tc>
          <w:tcPr>
            <w:tcW w:w="8100" w:type="dxa"/>
            <w:vAlign w:val="bottom"/>
            <w:shd w:val="clear" w:color="auto" w:fill="CCEEFF"/>
          </w:tcPr>
          <w:p>
            <w:pPr>
              <w:ind w:left="40"/>
              <w:spacing w:after="0"/>
              <w:rPr>
                <w:sz w:val="20"/>
                <w:szCs w:val="20"/>
                <w:color w:val="auto"/>
              </w:rPr>
            </w:pPr>
            <w:r>
              <w:rPr>
                <w:rFonts w:ascii="Arial" w:cs="Arial" w:eastAsia="Arial" w:hAnsi="Arial"/>
                <w:sz w:val="18"/>
                <w:szCs w:val="18"/>
                <w:color w:val="auto"/>
              </w:rPr>
              <w:t>Long-term debt and debt covenants</w:t>
            </w:r>
          </w:p>
        </w:tc>
        <w:tc>
          <w:tcPr>
            <w:tcW w:w="1720" w:type="dxa"/>
            <w:vAlign w:val="bottom"/>
            <w:gridSpan w:val="2"/>
            <w:shd w:val="clear" w:color="auto" w:fill="CCEEFF"/>
          </w:tcPr>
          <w:p>
            <w:pPr>
              <w:jc w:val="center"/>
              <w:ind w:right="140"/>
              <w:spacing w:after="0"/>
              <w:rPr>
                <w:sz w:val="20"/>
                <w:szCs w:val="20"/>
                <w:color w:val="auto"/>
              </w:rPr>
            </w:pPr>
            <w:r>
              <w:rPr>
                <w:rFonts w:ascii="Arial" w:cs="Arial" w:eastAsia="Arial" w:hAnsi="Arial"/>
                <w:sz w:val="18"/>
                <w:szCs w:val="18"/>
                <w:color w:val="auto"/>
              </w:rPr>
              <w:t>Note 5</w:t>
            </w:r>
          </w:p>
        </w:tc>
        <w:tc>
          <w:tcPr>
            <w:tcW w:w="160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7"/>
              </w:rPr>
              <w:t>Note 3</w:t>
            </w:r>
          </w:p>
        </w:tc>
      </w:tr>
      <w:tr>
        <w:trPr>
          <w:trHeight w:val="263"/>
        </w:trPr>
        <w:tc>
          <w:tcPr>
            <w:tcW w:w="8100" w:type="dxa"/>
            <w:vAlign w:val="bottom"/>
          </w:tcPr>
          <w:p>
            <w:pPr>
              <w:ind w:left="40"/>
              <w:spacing w:after="0"/>
              <w:rPr>
                <w:sz w:val="20"/>
                <w:szCs w:val="20"/>
                <w:color w:val="auto"/>
              </w:rPr>
            </w:pPr>
            <w:r>
              <w:rPr>
                <w:rFonts w:ascii="Arial" w:cs="Arial" w:eastAsia="Arial" w:hAnsi="Arial"/>
                <w:sz w:val="18"/>
                <w:szCs w:val="18"/>
                <w:color w:val="auto"/>
              </w:rPr>
              <w:t>Leases</w:t>
            </w:r>
          </w:p>
        </w:tc>
        <w:tc>
          <w:tcPr>
            <w:tcW w:w="1720" w:type="dxa"/>
            <w:vAlign w:val="bottom"/>
            <w:gridSpan w:val="2"/>
          </w:tcPr>
          <w:p>
            <w:pPr>
              <w:jc w:val="center"/>
              <w:ind w:right="140"/>
              <w:spacing w:after="0"/>
              <w:rPr>
                <w:sz w:val="20"/>
                <w:szCs w:val="20"/>
                <w:color w:val="auto"/>
              </w:rPr>
            </w:pPr>
            <w:r>
              <w:rPr>
                <w:rFonts w:ascii="Arial" w:cs="Arial" w:eastAsia="Arial" w:hAnsi="Arial"/>
                <w:sz w:val="18"/>
                <w:szCs w:val="18"/>
                <w:color w:val="auto"/>
              </w:rPr>
              <w:t>Note 6</w:t>
            </w:r>
          </w:p>
        </w:tc>
        <w:tc>
          <w:tcPr>
            <w:tcW w:w="1600" w:type="dxa"/>
            <w:vAlign w:val="bottom"/>
          </w:tcPr>
          <w:p>
            <w:pPr>
              <w:jc w:val="center"/>
              <w:spacing w:after="0"/>
              <w:rPr>
                <w:sz w:val="20"/>
                <w:szCs w:val="20"/>
                <w:color w:val="auto"/>
              </w:rPr>
            </w:pPr>
            <w:r>
              <w:rPr>
                <w:rFonts w:ascii="Arial" w:cs="Arial" w:eastAsia="Arial" w:hAnsi="Arial"/>
                <w:sz w:val="18"/>
                <w:szCs w:val="18"/>
                <w:color w:val="auto"/>
                <w:w w:val="97"/>
              </w:rPr>
              <w:t>Note 4</w:t>
            </w:r>
          </w:p>
        </w:tc>
      </w:tr>
      <w:tr>
        <w:trPr>
          <w:trHeight w:val="263"/>
        </w:trPr>
        <w:tc>
          <w:tcPr>
            <w:tcW w:w="8100" w:type="dxa"/>
            <w:vAlign w:val="bottom"/>
            <w:shd w:val="clear" w:color="auto" w:fill="CCEEFF"/>
          </w:tcPr>
          <w:p>
            <w:pPr>
              <w:ind w:left="40"/>
              <w:spacing w:after="0"/>
              <w:rPr>
                <w:sz w:val="20"/>
                <w:szCs w:val="20"/>
                <w:color w:val="auto"/>
              </w:rPr>
            </w:pPr>
            <w:r>
              <w:rPr>
                <w:rFonts w:ascii="Arial" w:cs="Arial" w:eastAsia="Arial" w:hAnsi="Arial"/>
                <w:sz w:val="18"/>
                <w:szCs w:val="18"/>
                <w:color w:val="auto"/>
              </w:rPr>
              <w:t>Employee benefit plans</w:t>
            </w:r>
          </w:p>
        </w:tc>
        <w:tc>
          <w:tcPr>
            <w:tcW w:w="1720" w:type="dxa"/>
            <w:vAlign w:val="bottom"/>
            <w:gridSpan w:val="2"/>
            <w:shd w:val="clear" w:color="auto" w:fill="CCEEFF"/>
          </w:tcPr>
          <w:p>
            <w:pPr>
              <w:jc w:val="center"/>
              <w:ind w:right="140"/>
              <w:spacing w:after="0"/>
              <w:rPr>
                <w:sz w:val="20"/>
                <w:szCs w:val="20"/>
                <w:color w:val="auto"/>
              </w:rPr>
            </w:pPr>
            <w:r>
              <w:rPr>
                <w:rFonts w:ascii="Arial" w:cs="Arial" w:eastAsia="Arial" w:hAnsi="Arial"/>
                <w:sz w:val="18"/>
                <w:szCs w:val="18"/>
                <w:color w:val="auto"/>
                <w:w w:val="98"/>
              </w:rPr>
              <w:t>Note 10</w:t>
            </w:r>
          </w:p>
        </w:tc>
        <w:tc>
          <w:tcPr>
            <w:tcW w:w="160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7"/>
              </w:rPr>
              <w:t>Note 8</w:t>
            </w:r>
          </w:p>
        </w:tc>
      </w:tr>
      <w:tr>
        <w:trPr>
          <w:trHeight w:val="243"/>
        </w:trPr>
        <w:tc>
          <w:tcPr>
            <w:tcW w:w="8100" w:type="dxa"/>
            <w:vAlign w:val="bottom"/>
          </w:tcPr>
          <w:p>
            <w:pPr>
              <w:ind w:left="40"/>
              <w:spacing w:after="0"/>
              <w:rPr>
                <w:sz w:val="20"/>
                <w:szCs w:val="20"/>
                <w:color w:val="auto"/>
              </w:rPr>
            </w:pPr>
            <w:r>
              <w:rPr>
                <w:rFonts w:ascii="Arial" w:cs="Arial" w:eastAsia="Arial" w:hAnsi="Arial"/>
                <w:sz w:val="18"/>
                <w:szCs w:val="18"/>
                <w:color w:val="auto"/>
              </w:rPr>
              <w:t>Commitments, contingencies and guarantees</w:t>
            </w:r>
          </w:p>
        </w:tc>
        <w:tc>
          <w:tcPr>
            <w:tcW w:w="1720" w:type="dxa"/>
            <w:vAlign w:val="bottom"/>
            <w:gridSpan w:val="2"/>
          </w:tcPr>
          <w:p>
            <w:pPr>
              <w:jc w:val="center"/>
              <w:ind w:right="140"/>
              <w:spacing w:after="0"/>
              <w:rPr>
                <w:sz w:val="20"/>
                <w:szCs w:val="20"/>
                <w:color w:val="auto"/>
              </w:rPr>
            </w:pPr>
            <w:r>
              <w:rPr>
                <w:rFonts w:ascii="Arial" w:cs="Arial" w:eastAsia="Arial" w:hAnsi="Arial"/>
                <w:sz w:val="18"/>
                <w:szCs w:val="18"/>
                <w:color w:val="auto"/>
                <w:w w:val="98"/>
              </w:rPr>
              <w:t>Note 12</w:t>
            </w:r>
          </w:p>
        </w:tc>
        <w:tc>
          <w:tcPr>
            <w:tcW w:w="1600" w:type="dxa"/>
            <w:vAlign w:val="bottom"/>
          </w:tcPr>
          <w:p>
            <w:pPr>
              <w:jc w:val="center"/>
              <w:spacing w:after="0"/>
              <w:rPr>
                <w:sz w:val="20"/>
                <w:szCs w:val="20"/>
                <w:color w:val="auto"/>
              </w:rPr>
            </w:pPr>
            <w:r>
              <w:rPr>
                <w:rFonts w:ascii="Arial" w:cs="Arial" w:eastAsia="Arial" w:hAnsi="Arial"/>
                <w:sz w:val="18"/>
                <w:szCs w:val="18"/>
                <w:color w:val="auto"/>
              </w:rPr>
              <w:t>Note 10</w:t>
            </w:r>
          </w:p>
        </w:tc>
      </w:tr>
    </w:tbl>
    <w:p>
      <w:pPr>
        <w:spacing w:after="0" w:line="234" w:lineRule="exact"/>
        <w:rPr>
          <w:sz w:val="20"/>
          <w:szCs w:val="20"/>
          <w:color w:val="auto"/>
        </w:rPr>
      </w:pPr>
    </w:p>
    <w:p>
      <w:pPr>
        <w:ind w:left="220"/>
        <w:spacing w:after="0"/>
        <w:rPr>
          <w:sz w:val="20"/>
          <w:szCs w:val="20"/>
          <w:color w:val="auto"/>
        </w:rPr>
      </w:pPr>
      <w:r>
        <w:rPr>
          <w:rFonts w:ascii="Arial" w:cs="Arial" w:eastAsia="Arial" w:hAnsi="Arial"/>
          <w:sz w:val="18"/>
          <w:szCs w:val="18"/>
          <w:b w:val="1"/>
          <w:bCs w:val="1"/>
          <w:i w:val="1"/>
          <w:iCs w:val="1"/>
          <w:color w:val="auto"/>
        </w:rPr>
        <w:t>Off-Balance Sheet Arrangements</w:t>
      </w:r>
    </w:p>
    <w:p>
      <w:pPr>
        <w:spacing w:after="0" w:line="112" w:lineRule="exact"/>
        <w:rPr>
          <w:sz w:val="20"/>
          <w:szCs w:val="20"/>
          <w:color w:val="auto"/>
        </w:rPr>
      </w:pPr>
    </w:p>
    <w:p>
      <w:pPr>
        <w:jc w:val="both"/>
        <w:ind w:firstLine="216"/>
        <w:spacing w:after="0" w:line="253" w:lineRule="auto"/>
        <w:rPr>
          <w:sz w:val="20"/>
          <w:szCs w:val="20"/>
          <w:color w:val="auto"/>
        </w:rPr>
      </w:pPr>
      <w:r>
        <w:rPr>
          <w:rFonts w:ascii="Arial" w:cs="Arial" w:eastAsia="Arial" w:hAnsi="Arial"/>
          <w:sz w:val="18"/>
          <w:szCs w:val="18"/>
          <w:color w:val="auto"/>
        </w:rPr>
        <w:t>An off-balance sheet arrangement is any transaction, agreement or other contractual arrangement involving an unconsolidated entity under which a company has (1) made guarantees, (2) a retained or a contingent interest in transferred assets, (3) an obligation under derivative instruments classified as equity or (4) any obligation arising out of a material variable interest in an unconsolidated entity that provides financing, liquidity, market risk or credit risk support to us, or that engages in leasing, hedging or research and development arrangements with us.</w:t>
      </w:r>
    </w:p>
    <w:p>
      <w:pPr>
        <w:spacing w:after="0" w:line="152" w:lineRule="exact"/>
        <w:rPr>
          <w:sz w:val="20"/>
          <w:szCs w:val="20"/>
          <w:color w:val="auto"/>
        </w:rPr>
      </w:pPr>
    </w:p>
    <w:p>
      <w:pPr>
        <w:jc w:val="both"/>
        <w:ind w:firstLine="216"/>
        <w:spacing w:after="0" w:line="262" w:lineRule="auto"/>
        <w:rPr>
          <w:sz w:val="20"/>
          <w:szCs w:val="20"/>
          <w:color w:val="auto"/>
        </w:rPr>
      </w:pPr>
      <w:r>
        <w:rPr>
          <w:rFonts w:ascii="Arial" w:cs="Arial" w:eastAsia="Arial" w:hAnsi="Arial"/>
          <w:sz w:val="18"/>
          <w:szCs w:val="18"/>
          <w:color w:val="auto"/>
        </w:rPr>
        <w:t>We have no off-balance sheet arrangements of the types described in the first three categories above that we believe may have a material current or future effect on financial condition, liquidity or results of operations.</w:t>
      </w:r>
    </w:p>
    <w:p>
      <w:pPr>
        <w:spacing w:after="0" w:line="205" w:lineRule="exact"/>
        <w:rPr>
          <w:sz w:val="20"/>
          <w:szCs w:val="20"/>
          <w:color w:val="auto"/>
        </w:rPr>
      </w:pPr>
    </w:p>
    <w:p>
      <w:pPr>
        <w:ind w:left="220"/>
        <w:spacing w:after="0"/>
        <w:rPr>
          <w:sz w:val="20"/>
          <w:szCs w:val="20"/>
          <w:color w:val="auto"/>
        </w:rPr>
      </w:pPr>
      <w:r>
        <w:rPr>
          <w:rFonts w:ascii="Arial" w:cs="Arial" w:eastAsia="Arial" w:hAnsi="Arial"/>
          <w:sz w:val="18"/>
          <w:szCs w:val="18"/>
          <w:i w:val="1"/>
          <w:iCs w:val="1"/>
          <w:u w:val="single" w:color="auto"/>
          <w:color w:val="auto"/>
        </w:rPr>
        <w:t>Pass-Through Trusts</w:t>
      </w:r>
    </w:p>
    <w:p>
      <w:pPr>
        <w:spacing w:after="0" w:line="108" w:lineRule="exact"/>
        <w:rPr>
          <w:sz w:val="20"/>
          <w:szCs w:val="20"/>
          <w:color w:val="auto"/>
        </w:rPr>
      </w:pPr>
    </w:p>
    <w:p>
      <w:pPr>
        <w:jc w:val="both"/>
        <w:ind w:firstLine="216"/>
        <w:spacing w:after="0" w:line="251" w:lineRule="auto"/>
        <w:rPr>
          <w:sz w:val="20"/>
          <w:szCs w:val="20"/>
          <w:color w:val="auto"/>
        </w:rPr>
      </w:pPr>
      <w:r>
        <w:rPr>
          <w:rFonts w:ascii="Arial" w:cs="Arial" w:eastAsia="Arial" w:hAnsi="Arial"/>
          <w:sz w:val="18"/>
          <w:szCs w:val="18"/>
          <w:color w:val="auto"/>
        </w:rPr>
        <w:t>American currently operates 382 owned aircraft and 69 leased aircraft, and owns 79 spare aircraft engines, which in each case were financed with EETCs issued by pass-through trusts. These trusts are off-balance sheet entities, the primary purpose of which is to finance the acquisition of flight equipment or to permit issuance of debt backed by existing flight equipment. In the case of aircraft EETCs, rather than finance each aircraft separately when such aircraft is purchased, delivered or refinanced, these trusts allow American to raise the financing for a number of aircraft at one time and, if applicable, place such funds in escrow pending a future purchase, delivery or refinancing of the relevant aircraft. Similarly, in the case of the spare engine EETCs, the trusts allow American to use its existing pool of spare engines to raise financing under a single facility. The trusts have also been structured to provide for certain credit enhancements, such as liquidity facilities to cover certain interest payments, that reduce the risks to the purchasers of the trust certificates and, as a result, reduce the cost of aircraft financing to American.</w:t>
      </w:r>
    </w:p>
    <w:p>
      <w:pPr>
        <w:spacing w:after="0" w:line="159" w:lineRule="exact"/>
        <w:rPr>
          <w:sz w:val="20"/>
          <w:szCs w:val="20"/>
          <w:color w:val="auto"/>
        </w:rPr>
      </w:pPr>
    </w:p>
    <w:p>
      <w:pPr>
        <w:jc w:val="both"/>
        <w:ind w:firstLine="216"/>
        <w:spacing w:after="0" w:line="251" w:lineRule="auto"/>
        <w:rPr>
          <w:sz w:val="20"/>
          <w:szCs w:val="20"/>
          <w:color w:val="auto"/>
        </w:rPr>
      </w:pPr>
      <w:r>
        <w:rPr>
          <w:rFonts w:ascii="Arial" w:cs="Arial" w:eastAsia="Arial" w:hAnsi="Arial"/>
          <w:sz w:val="18"/>
          <w:szCs w:val="18"/>
          <w:color w:val="auto"/>
        </w:rPr>
        <w:t>Each trust covers a set number of aircraft or spare engines scheduled to be delivered, financed or refinanced upon the issuance of the EETC or within a specific period of time thereafter. At the time of each covered aircraft or spare engine financing, the relevant trust used the proceeds of the issuance of the EETC (which may have been available at the time of issuance thereof or held in escrow until financing of the applicable aircraft following its delivery) to purchase equipment notes relating to the financed aircraft or engines. The equipment notes are issued, at American’s election, in connection with a mortgage financing of the aircraft or spare engines or, in certain cases, by a separate owner trust in connection with a leveraged lease financing of the aircraft. In the case of a leveraged lease financing, the owner trust then leases the aircraft to American. In both cases, the equipment notes are secured by a security interest in the aircraft or engines, as applicable. The pass-through trust certificates are not direct obligations of, nor are they guaranteed by, AAG or American. However, in the case of mortgage financings, the equipment notes issued to the trusts are direct obligations of American and, in certain instances, have been guaranteed by AAG. As of December 31, 2019, $11.9 billion associated with these mortgage financings is reflected as debt in the accompanying consolidated balance sheet.</w:t>
      </w:r>
    </w:p>
    <w:p>
      <w:pPr>
        <w:spacing w:after="0" w:line="21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62</w:t>
      </w:r>
    </w:p>
    <w:p>
      <w:pPr>
        <w:sectPr>
          <w:pgSz w:w="11900" w:h="16838" w:orient="portrait"/>
          <w:cols w:equalWidth="0" w:num="1">
            <w:col w:w="11420"/>
          </w:cols>
          <w:pgMar w:left="240" w:top="733" w:right="239" w:bottom="1440" w:gutter="0" w:footer="0" w:header="0"/>
        </w:sectPr>
      </w:pPr>
    </w:p>
    <w:bookmarkStart w:id="62" w:name="page63"/>
    <w:bookmarkEnd w:id="62"/>
    <w:p>
      <w:pPr>
        <w:jc w:val="both"/>
        <w:ind w:firstLine="216"/>
        <w:spacing w:after="0" w:line="254" w:lineRule="auto"/>
        <w:rPr>
          <w:sz w:val="20"/>
          <w:szCs w:val="20"/>
          <w:color w:val="auto"/>
        </w:rPr>
      </w:pPr>
      <w:r>
        <w:rPr>
          <w:rFonts w:ascii="Arial" w:cs="Arial" w:eastAsia="Arial" w:hAnsi="Arial"/>
          <w:sz w:val="18"/>
          <w:szCs w:val="18"/>
          <w:color w:val="auto"/>
        </w:rPr>
        <w:t>With respect to leveraged leases, American evaluated whether the leases had characteristics of a variable interest entity. American concluded the leasing entities met the criteria for variable interest entities; however, American concluded it is not the primary beneficiary under these leasing arrangements and accounts for the majority of its EETC leveraged lease financings as operating leases. American’s total future payments to the trusts of each of the relevant EETCs under these leveraged lease financings are $177 million as of December 31, 2019.</w:t>
      </w:r>
    </w:p>
    <w:p>
      <w:pPr>
        <w:spacing w:after="0" w:line="213" w:lineRule="exact"/>
        <w:rPr>
          <w:sz w:val="20"/>
          <w:szCs w:val="20"/>
          <w:color w:val="auto"/>
        </w:rPr>
      </w:pPr>
    </w:p>
    <w:p>
      <w:pPr>
        <w:ind w:left="220"/>
        <w:spacing w:after="0"/>
        <w:rPr>
          <w:sz w:val="20"/>
          <w:szCs w:val="20"/>
          <w:color w:val="auto"/>
        </w:rPr>
      </w:pPr>
      <w:r>
        <w:rPr>
          <w:rFonts w:ascii="Arial" w:cs="Arial" w:eastAsia="Arial" w:hAnsi="Arial"/>
          <w:sz w:val="18"/>
          <w:szCs w:val="18"/>
          <w:i w:val="1"/>
          <w:iCs w:val="1"/>
          <w:u w:val="single" w:color="auto"/>
          <w:color w:val="auto"/>
        </w:rPr>
        <w:t>Letters of Credit and Other</w:t>
      </w:r>
    </w:p>
    <w:p>
      <w:pPr>
        <w:spacing w:after="0" w:line="108" w:lineRule="exact"/>
        <w:rPr>
          <w:sz w:val="20"/>
          <w:szCs w:val="20"/>
          <w:color w:val="auto"/>
        </w:rPr>
      </w:pPr>
    </w:p>
    <w:p>
      <w:pPr>
        <w:jc w:val="both"/>
        <w:ind w:firstLine="243"/>
        <w:spacing w:after="0" w:line="254" w:lineRule="auto"/>
        <w:rPr>
          <w:sz w:val="20"/>
          <w:szCs w:val="20"/>
          <w:color w:val="auto"/>
        </w:rPr>
      </w:pPr>
      <w:r>
        <w:rPr>
          <w:rFonts w:ascii="Arial" w:cs="Arial" w:eastAsia="Arial" w:hAnsi="Arial"/>
          <w:sz w:val="18"/>
          <w:szCs w:val="18"/>
          <w:color w:val="auto"/>
        </w:rPr>
        <w:t>We provide financial assurance, such as letters of credit, surety bonds or restricted cash and investments, primarily to support projected workers’ compensation obligations and airport commitments. As of December 31, 2019, we had $572 million of letters of credit and surety bonds securing various obligations. The letters of credit and surety bonds that are subject to expiration will expire on various dates through 2022.</w:t>
      </w:r>
    </w:p>
    <w:p>
      <w:pPr>
        <w:spacing w:after="0" w:line="20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Contractual Obligations</w:t>
      </w:r>
    </w:p>
    <w:p>
      <w:pPr>
        <w:spacing w:after="0" w:line="112" w:lineRule="exact"/>
        <w:rPr>
          <w:sz w:val="20"/>
          <w:szCs w:val="20"/>
          <w:color w:val="auto"/>
        </w:rPr>
      </w:pPr>
    </w:p>
    <w:p>
      <w:pPr>
        <w:jc w:val="both"/>
        <w:ind w:firstLine="216"/>
        <w:spacing w:after="0" w:line="256" w:lineRule="auto"/>
        <w:rPr>
          <w:sz w:val="20"/>
          <w:szCs w:val="20"/>
          <w:color w:val="auto"/>
        </w:rPr>
      </w:pPr>
      <w:r>
        <w:rPr>
          <w:rFonts w:ascii="Arial" w:cs="Arial" w:eastAsia="Arial" w:hAnsi="Arial"/>
          <w:sz w:val="18"/>
          <w:szCs w:val="18"/>
          <w:color w:val="auto"/>
        </w:rPr>
        <w:t>The following table provides details of our future cash contractual obligations as of December 31, 2019. Except to the extent set forth in the applicable accompanying footnotes, this table does not include commitments that are contingent on events or other factors that are uncertain or unknown at this time.</w:t>
      </w:r>
    </w:p>
    <w:p>
      <w:pPr>
        <w:spacing w:after="0" w:line="293" w:lineRule="exact"/>
        <w:rPr>
          <w:sz w:val="20"/>
          <w:szCs w:val="20"/>
          <w:color w:val="auto"/>
        </w:rPr>
      </w:pPr>
    </w:p>
    <w:tbl>
      <w:tblPr>
        <w:tblLayout w:type="fixed"/>
        <w:tblInd w:w="0" w:type="dxa"/>
        <w:tblCellMar>
          <w:top w:w="0" w:type="dxa"/>
          <w:left w:w="0" w:type="dxa"/>
          <w:bottom w:w="0" w:type="dxa"/>
          <w:right w:w="0" w:type="dxa"/>
        </w:tblCellMar>
      </w:tblPr>
      <w:tr>
        <w:trPr>
          <w:trHeight w:val="228"/>
        </w:trPr>
        <w:tc>
          <w:tcPr>
            <w:tcW w:w="4220" w:type="dxa"/>
            <w:vAlign w:val="bottom"/>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720" w:type="dxa"/>
            <w:vAlign w:val="bottom"/>
            <w:tcBorders>
              <w:bottom w:val="single" w:sz="8" w:color="auto"/>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720" w:type="dxa"/>
            <w:vAlign w:val="bottom"/>
            <w:tcBorders>
              <w:bottom w:val="single" w:sz="8" w:color="auto"/>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2880" w:type="dxa"/>
            <w:vAlign w:val="bottom"/>
            <w:tcBorders>
              <w:bottom w:val="single" w:sz="8" w:color="auto"/>
            </w:tcBorders>
            <w:gridSpan w:val="8"/>
          </w:tcPr>
          <w:p>
            <w:pPr>
              <w:ind w:left="400"/>
              <w:spacing w:after="0"/>
              <w:rPr>
                <w:sz w:val="20"/>
                <w:szCs w:val="20"/>
                <w:color w:val="auto"/>
              </w:rPr>
            </w:pPr>
            <w:r>
              <w:rPr>
                <w:rFonts w:ascii="Arial" w:cs="Arial" w:eastAsia="Arial" w:hAnsi="Arial"/>
                <w:sz w:val="16"/>
                <w:szCs w:val="16"/>
                <w:b w:val="1"/>
                <w:bCs w:val="1"/>
                <w:color w:val="auto"/>
              </w:rPr>
              <w:t>Payments Due by Period</w:t>
            </w:r>
          </w:p>
        </w:tc>
        <w:tc>
          <w:tcPr>
            <w:tcW w:w="14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720" w:type="dxa"/>
            <w:vAlign w:val="bottom"/>
            <w:tcBorders>
              <w:bottom w:val="single" w:sz="8" w:color="auto"/>
            </w:tcBorders>
          </w:tcPr>
          <w:p>
            <w:pPr>
              <w:spacing w:after="0"/>
              <w:rPr>
                <w:sz w:val="19"/>
                <w:szCs w:val="19"/>
                <w:color w:val="auto"/>
              </w:rPr>
            </w:pPr>
          </w:p>
        </w:tc>
      </w:tr>
      <w:tr>
        <w:trPr>
          <w:trHeight w:val="176"/>
        </w:trPr>
        <w:tc>
          <w:tcPr>
            <w:tcW w:w="42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0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rPr>
              <w:t>2025 and</w:t>
            </w:r>
          </w:p>
        </w:tc>
        <w:tc>
          <w:tcPr>
            <w:tcW w:w="200" w:type="dxa"/>
            <w:vAlign w:val="bottom"/>
          </w:tcPr>
          <w:p>
            <w:pPr>
              <w:spacing w:after="0"/>
              <w:rPr>
                <w:sz w:val="15"/>
                <w:szCs w:val="15"/>
                <w:color w:val="auto"/>
              </w:rPr>
            </w:pPr>
          </w:p>
        </w:tc>
        <w:tc>
          <w:tcPr>
            <w:tcW w:w="720" w:type="dxa"/>
            <w:vAlign w:val="bottom"/>
          </w:tcPr>
          <w:p>
            <w:pPr>
              <w:spacing w:after="0"/>
              <w:rPr>
                <w:sz w:val="15"/>
                <w:szCs w:val="15"/>
                <w:color w:val="auto"/>
              </w:rPr>
            </w:pPr>
          </w:p>
        </w:tc>
      </w:tr>
      <w:tr>
        <w:trPr>
          <w:trHeight w:val="196"/>
        </w:trPr>
        <w:tc>
          <w:tcPr>
            <w:tcW w:w="42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20" w:type="dxa"/>
            <w:vAlign w:val="bottom"/>
          </w:tcPr>
          <w:p>
            <w:pPr>
              <w:jc w:val="right"/>
              <w:ind w:right="211"/>
              <w:spacing w:after="0"/>
              <w:rPr>
                <w:sz w:val="20"/>
                <w:szCs w:val="20"/>
                <w:color w:val="auto"/>
              </w:rPr>
            </w:pPr>
            <w:r>
              <w:rPr>
                <w:rFonts w:ascii="Arial" w:cs="Arial" w:eastAsia="Arial" w:hAnsi="Arial"/>
                <w:sz w:val="14"/>
                <w:szCs w:val="14"/>
                <w:b w:val="1"/>
                <w:bCs w:val="1"/>
                <w:color w:val="auto"/>
              </w:rPr>
              <w:t>2020</w:t>
            </w: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20" w:type="dxa"/>
            <w:vAlign w:val="bottom"/>
          </w:tcPr>
          <w:p>
            <w:pPr>
              <w:jc w:val="right"/>
              <w:ind w:right="211"/>
              <w:spacing w:after="0"/>
              <w:rPr>
                <w:sz w:val="20"/>
                <w:szCs w:val="20"/>
                <w:color w:val="auto"/>
              </w:rPr>
            </w:pPr>
            <w:r>
              <w:rPr>
                <w:rFonts w:ascii="Arial" w:cs="Arial" w:eastAsia="Arial" w:hAnsi="Arial"/>
                <w:sz w:val="14"/>
                <w:szCs w:val="14"/>
                <w:b w:val="1"/>
                <w:bCs w:val="1"/>
                <w:color w:val="auto"/>
              </w:rPr>
              <w:t>2021</w:t>
            </w:r>
          </w:p>
        </w:tc>
        <w:tc>
          <w:tcPr>
            <w:tcW w:w="1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20" w:type="dxa"/>
            <w:vAlign w:val="bottom"/>
          </w:tcPr>
          <w:p>
            <w:pPr>
              <w:jc w:val="right"/>
              <w:ind w:right="212"/>
              <w:spacing w:after="0"/>
              <w:rPr>
                <w:sz w:val="20"/>
                <w:szCs w:val="20"/>
                <w:color w:val="auto"/>
              </w:rPr>
            </w:pPr>
            <w:r>
              <w:rPr>
                <w:rFonts w:ascii="Arial" w:cs="Arial" w:eastAsia="Arial" w:hAnsi="Arial"/>
                <w:sz w:val="14"/>
                <w:szCs w:val="14"/>
                <w:b w:val="1"/>
                <w:bCs w:val="1"/>
                <w:color w:val="auto"/>
              </w:rPr>
              <w:t>2022</w:t>
            </w:r>
          </w:p>
        </w:tc>
        <w:tc>
          <w:tcPr>
            <w:tcW w:w="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700" w:type="dxa"/>
            <w:vAlign w:val="bottom"/>
          </w:tcPr>
          <w:p>
            <w:pPr>
              <w:jc w:val="right"/>
              <w:ind w:right="211"/>
              <w:spacing w:after="0"/>
              <w:rPr>
                <w:sz w:val="20"/>
                <w:szCs w:val="20"/>
                <w:color w:val="auto"/>
              </w:rPr>
            </w:pPr>
            <w:r>
              <w:rPr>
                <w:rFonts w:ascii="Arial" w:cs="Arial" w:eastAsia="Arial" w:hAnsi="Arial"/>
                <w:sz w:val="14"/>
                <w:szCs w:val="14"/>
                <w:b w:val="1"/>
                <w:bCs w:val="1"/>
                <w:color w:val="auto"/>
              </w:rPr>
              <w:t>2023</w:t>
            </w:r>
          </w:p>
        </w:tc>
        <w:tc>
          <w:tcPr>
            <w:tcW w:w="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700" w:type="dxa"/>
            <w:vAlign w:val="bottom"/>
          </w:tcPr>
          <w:p>
            <w:pPr>
              <w:jc w:val="right"/>
              <w:ind w:right="211"/>
              <w:spacing w:after="0"/>
              <w:rPr>
                <w:sz w:val="20"/>
                <w:szCs w:val="20"/>
                <w:color w:val="auto"/>
              </w:rPr>
            </w:pPr>
            <w:r>
              <w:rPr>
                <w:rFonts w:ascii="Arial" w:cs="Arial" w:eastAsia="Arial" w:hAnsi="Arial"/>
                <w:sz w:val="14"/>
                <w:szCs w:val="14"/>
                <w:b w:val="1"/>
                <w:bCs w:val="1"/>
                <w:color w:val="auto"/>
              </w:rPr>
              <w:t>2024</w:t>
            </w: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0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rPr>
              <w:t>Thereafter</w:t>
            </w:r>
          </w:p>
        </w:tc>
        <w:tc>
          <w:tcPr>
            <w:tcW w:w="200" w:type="dxa"/>
            <w:vAlign w:val="bottom"/>
          </w:tcPr>
          <w:p>
            <w:pPr>
              <w:spacing w:after="0"/>
              <w:rPr>
                <w:sz w:val="17"/>
                <w:szCs w:val="17"/>
                <w:color w:val="auto"/>
              </w:rPr>
            </w:pPr>
          </w:p>
        </w:tc>
        <w:tc>
          <w:tcPr>
            <w:tcW w:w="720" w:type="dxa"/>
            <w:vAlign w:val="bottom"/>
          </w:tcPr>
          <w:p>
            <w:pPr>
              <w:jc w:val="right"/>
              <w:ind w:right="211"/>
              <w:spacing w:after="0"/>
              <w:rPr>
                <w:sz w:val="20"/>
                <w:szCs w:val="20"/>
                <w:color w:val="auto"/>
              </w:rPr>
            </w:pPr>
            <w:r>
              <w:rPr>
                <w:rFonts w:ascii="Arial" w:cs="Arial" w:eastAsia="Arial" w:hAnsi="Arial"/>
                <w:sz w:val="14"/>
                <w:szCs w:val="14"/>
                <w:b w:val="1"/>
                <w:bCs w:val="1"/>
                <w:color w:val="auto"/>
              </w:rPr>
              <w:t>Total</w:t>
            </w:r>
          </w:p>
        </w:tc>
      </w:tr>
      <w:tr>
        <w:trPr>
          <w:trHeight w:val="270"/>
        </w:trPr>
        <w:tc>
          <w:tcPr>
            <w:tcW w:w="4220" w:type="dxa"/>
            <w:vAlign w:val="bottom"/>
            <w:tcBorders>
              <w:top w:val="single" w:sz="8" w:color="CCEEFF"/>
            </w:tcBorders>
            <w:shd w:val="clear" w:color="auto" w:fill="CCEEFF"/>
          </w:tcPr>
          <w:p>
            <w:pPr>
              <w:ind w:left="40"/>
              <w:spacing w:after="0"/>
              <w:rPr>
                <w:sz w:val="20"/>
                <w:szCs w:val="20"/>
                <w:color w:val="auto"/>
              </w:rPr>
            </w:pPr>
            <w:r>
              <w:rPr>
                <w:rFonts w:ascii="Arial" w:cs="Arial" w:eastAsia="Arial" w:hAnsi="Arial"/>
                <w:sz w:val="18"/>
                <w:szCs w:val="18"/>
                <w:i w:val="1"/>
                <w:iCs w:val="1"/>
                <w:color w:val="auto"/>
              </w:rPr>
              <w:t xml:space="preserve">American </w:t>
            </w:r>
            <w:r>
              <w:rPr>
                <w:rFonts w:ascii="Arial" w:cs="Arial" w:eastAsia="Arial" w:hAnsi="Arial"/>
                <w:sz w:val="21"/>
                <w:szCs w:val="21"/>
                <w:i w:val="1"/>
                <w:iCs w:val="1"/>
                <w:color w:val="auto"/>
                <w:vertAlign w:val="superscript"/>
              </w:rPr>
              <w:t>(a)</w:t>
            </w:r>
          </w:p>
        </w:tc>
        <w:tc>
          <w:tcPr>
            <w:tcW w:w="200" w:type="dxa"/>
            <w:vAlign w:val="bottom"/>
            <w:tcBorders>
              <w:top w:val="single" w:sz="8" w:color="auto"/>
            </w:tcBorders>
            <w:shd w:val="clear" w:color="auto" w:fill="CCEEFF"/>
          </w:tcPr>
          <w:p>
            <w:pPr>
              <w:spacing w:after="0"/>
              <w:rPr>
                <w:sz w:val="23"/>
                <w:szCs w:val="23"/>
                <w:color w:val="auto"/>
              </w:rPr>
            </w:pPr>
          </w:p>
        </w:tc>
        <w:tc>
          <w:tcPr>
            <w:tcW w:w="720" w:type="dxa"/>
            <w:vAlign w:val="bottom"/>
            <w:tcBorders>
              <w:top w:val="single" w:sz="8" w:color="auto"/>
            </w:tcBorders>
            <w:shd w:val="clear" w:color="auto" w:fill="CCEEFF"/>
          </w:tcPr>
          <w:p>
            <w:pPr>
              <w:spacing w:after="0"/>
              <w:rPr>
                <w:sz w:val="23"/>
                <w:szCs w:val="23"/>
                <w:color w:val="auto"/>
              </w:rPr>
            </w:pPr>
          </w:p>
        </w:tc>
        <w:tc>
          <w:tcPr>
            <w:tcW w:w="100" w:type="dxa"/>
            <w:vAlign w:val="bottom"/>
            <w:tcBorders>
              <w:top w:val="single" w:sz="8" w:color="auto"/>
            </w:tcBorders>
            <w:shd w:val="clear" w:color="auto" w:fill="CCEEFF"/>
          </w:tcPr>
          <w:p>
            <w:pPr>
              <w:spacing w:after="0"/>
              <w:rPr>
                <w:sz w:val="23"/>
                <w:szCs w:val="23"/>
                <w:color w:val="auto"/>
              </w:rPr>
            </w:pPr>
          </w:p>
        </w:tc>
        <w:tc>
          <w:tcPr>
            <w:tcW w:w="200" w:type="dxa"/>
            <w:vAlign w:val="bottom"/>
            <w:tcBorders>
              <w:top w:val="single" w:sz="8" w:color="auto"/>
            </w:tcBorders>
            <w:shd w:val="clear" w:color="auto" w:fill="CCEEFF"/>
          </w:tcPr>
          <w:p>
            <w:pPr>
              <w:spacing w:after="0"/>
              <w:rPr>
                <w:sz w:val="23"/>
                <w:szCs w:val="23"/>
                <w:color w:val="auto"/>
              </w:rPr>
            </w:pPr>
          </w:p>
        </w:tc>
        <w:tc>
          <w:tcPr>
            <w:tcW w:w="720" w:type="dxa"/>
            <w:vAlign w:val="bottom"/>
            <w:tcBorders>
              <w:top w:val="single" w:sz="8" w:color="auto"/>
            </w:tcBorders>
            <w:shd w:val="clear" w:color="auto" w:fill="CCEEFF"/>
          </w:tcPr>
          <w:p>
            <w:pPr>
              <w:spacing w:after="0"/>
              <w:rPr>
                <w:sz w:val="23"/>
                <w:szCs w:val="23"/>
                <w:color w:val="auto"/>
              </w:rPr>
            </w:pPr>
          </w:p>
        </w:tc>
        <w:tc>
          <w:tcPr>
            <w:tcW w:w="120" w:type="dxa"/>
            <w:vAlign w:val="bottom"/>
            <w:tcBorders>
              <w:top w:val="single" w:sz="8" w:color="auto"/>
            </w:tcBorders>
            <w:shd w:val="clear" w:color="auto" w:fill="CCEEFF"/>
          </w:tcPr>
          <w:p>
            <w:pPr>
              <w:spacing w:after="0"/>
              <w:rPr>
                <w:sz w:val="23"/>
                <w:szCs w:val="23"/>
                <w:color w:val="auto"/>
              </w:rPr>
            </w:pPr>
          </w:p>
        </w:tc>
        <w:tc>
          <w:tcPr>
            <w:tcW w:w="200" w:type="dxa"/>
            <w:vAlign w:val="bottom"/>
            <w:tcBorders>
              <w:top w:val="single" w:sz="8" w:color="auto"/>
            </w:tcBorders>
            <w:shd w:val="clear" w:color="auto" w:fill="CCEEFF"/>
          </w:tcPr>
          <w:p>
            <w:pPr>
              <w:spacing w:after="0"/>
              <w:rPr>
                <w:sz w:val="23"/>
                <w:szCs w:val="23"/>
                <w:color w:val="auto"/>
              </w:rPr>
            </w:pPr>
          </w:p>
        </w:tc>
        <w:tc>
          <w:tcPr>
            <w:tcW w:w="720" w:type="dxa"/>
            <w:vAlign w:val="bottom"/>
            <w:tcBorders>
              <w:top w:val="single" w:sz="8" w:color="auto"/>
            </w:tcBorders>
            <w:shd w:val="clear" w:color="auto" w:fill="CCEEFF"/>
          </w:tcPr>
          <w:p>
            <w:pPr>
              <w:spacing w:after="0"/>
              <w:rPr>
                <w:sz w:val="23"/>
                <w:szCs w:val="23"/>
                <w:color w:val="auto"/>
              </w:rPr>
            </w:pPr>
          </w:p>
        </w:tc>
        <w:tc>
          <w:tcPr>
            <w:tcW w:w="100" w:type="dxa"/>
            <w:vAlign w:val="bottom"/>
            <w:tcBorders>
              <w:top w:val="single" w:sz="8" w:color="CCEEFF"/>
            </w:tcBorders>
            <w:shd w:val="clear" w:color="auto" w:fill="CCEEFF"/>
          </w:tcPr>
          <w:p>
            <w:pPr>
              <w:spacing w:after="0"/>
              <w:rPr>
                <w:sz w:val="23"/>
                <w:szCs w:val="23"/>
                <w:color w:val="auto"/>
              </w:rPr>
            </w:pPr>
          </w:p>
        </w:tc>
        <w:tc>
          <w:tcPr>
            <w:tcW w:w="220" w:type="dxa"/>
            <w:vAlign w:val="bottom"/>
            <w:tcBorders>
              <w:top w:val="single" w:sz="8" w:color="auto"/>
            </w:tcBorders>
            <w:shd w:val="clear" w:color="auto" w:fill="CCEEFF"/>
          </w:tcPr>
          <w:p>
            <w:pPr>
              <w:spacing w:after="0"/>
              <w:rPr>
                <w:sz w:val="23"/>
                <w:szCs w:val="23"/>
                <w:color w:val="auto"/>
              </w:rPr>
            </w:pPr>
          </w:p>
        </w:tc>
        <w:tc>
          <w:tcPr>
            <w:tcW w:w="700" w:type="dxa"/>
            <w:vAlign w:val="bottom"/>
            <w:tcBorders>
              <w:top w:val="single" w:sz="8" w:color="auto"/>
            </w:tcBorders>
            <w:shd w:val="clear" w:color="auto" w:fill="CCEEFF"/>
          </w:tcPr>
          <w:p>
            <w:pPr>
              <w:spacing w:after="0"/>
              <w:rPr>
                <w:sz w:val="23"/>
                <w:szCs w:val="23"/>
                <w:color w:val="auto"/>
              </w:rPr>
            </w:pPr>
          </w:p>
        </w:tc>
        <w:tc>
          <w:tcPr>
            <w:tcW w:w="100" w:type="dxa"/>
            <w:vAlign w:val="bottom"/>
            <w:tcBorders>
              <w:top w:val="single" w:sz="8" w:color="CCEEFF"/>
            </w:tcBorders>
            <w:shd w:val="clear" w:color="auto" w:fill="CCEEFF"/>
          </w:tcPr>
          <w:p>
            <w:pPr>
              <w:spacing w:after="0"/>
              <w:rPr>
                <w:sz w:val="23"/>
                <w:szCs w:val="23"/>
                <w:color w:val="auto"/>
              </w:rPr>
            </w:pPr>
          </w:p>
        </w:tc>
        <w:tc>
          <w:tcPr>
            <w:tcW w:w="220" w:type="dxa"/>
            <w:vAlign w:val="bottom"/>
            <w:tcBorders>
              <w:top w:val="single" w:sz="8" w:color="auto"/>
            </w:tcBorders>
            <w:shd w:val="clear" w:color="auto" w:fill="CCEEFF"/>
          </w:tcPr>
          <w:p>
            <w:pPr>
              <w:spacing w:after="0"/>
              <w:rPr>
                <w:sz w:val="23"/>
                <w:szCs w:val="23"/>
                <w:color w:val="auto"/>
              </w:rPr>
            </w:pPr>
          </w:p>
        </w:tc>
        <w:tc>
          <w:tcPr>
            <w:tcW w:w="700" w:type="dxa"/>
            <w:vAlign w:val="bottom"/>
            <w:tcBorders>
              <w:top w:val="single" w:sz="8" w:color="auto"/>
            </w:tcBorders>
            <w:shd w:val="clear" w:color="auto" w:fill="CCEEFF"/>
          </w:tcPr>
          <w:p>
            <w:pPr>
              <w:spacing w:after="0"/>
              <w:rPr>
                <w:sz w:val="23"/>
                <w:szCs w:val="23"/>
                <w:color w:val="auto"/>
              </w:rPr>
            </w:pPr>
          </w:p>
        </w:tc>
        <w:tc>
          <w:tcPr>
            <w:tcW w:w="120" w:type="dxa"/>
            <w:vAlign w:val="bottom"/>
            <w:tcBorders>
              <w:top w:val="single" w:sz="8" w:color="CCEEFF"/>
            </w:tcBorders>
            <w:shd w:val="clear" w:color="auto" w:fill="CCEEFF"/>
          </w:tcPr>
          <w:p>
            <w:pPr>
              <w:spacing w:after="0"/>
              <w:rPr>
                <w:sz w:val="23"/>
                <w:szCs w:val="23"/>
                <w:color w:val="auto"/>
              </w:rPr>
            </w:pPr>
          </w:p>
        </w:tc>
        <w:tc>
          <w:tcPr>
            <w:tcW w:w="140" w:type="dxa"/>
            <w:vAlign w:val="bottom"/>
            <w:tcBorders>
              <w:top w:val="single" w:sz="8" w:color="auto"/>
            </w:tcBorders>
            <w:shd w:val="clear" w:color="auto" w:fill="CCEEFF"/>
          </w:tcPr>
          <w:p>
            <w:pPr>
              <w:spacing w:after="0"/>
              <w:rPr>
                <w:sz w:val="23"/>
                <w:szCs w:val="23"/>
                <w:color w:val="auto"/>
              </w:rPr>
            </w:pPr>
          </w:p>
        </w:tc>
        <w:tc>
          <w:tcPr>
            <w:tcW w:w="900" w:type="dxa"/>
            <w:vAlign w:val="bottom"/>
            <w:tcBorders>
              <w:top w:val="single" w:sz="8" w:color="auto"/>
            </w:tcBorders>
            <w:shd w:val="clear" w:color="auto" w:fill="CCEEFF"/>
          </w:tcPr>
          <w:p>
            <w:pPr>
              <w:spacing w:after="0"/>
              <w:rPr>
                <w:sz w:val="23"/>
                <w:szCs w:val="23"/>
                <w:color w:val="auto"/>
              </w:rPr>
            </w:pPr>
          </w:p>
        </w:tc>
        <w:tc>
          <w:tcPr>
            <w:tcW w:w="100" w:type="dxa"/>
            <w:vAlign w:val="bottom"/>
            <w:tcBorders>
              <w:top w:val="single" w:sz="8" w:color="CCEEFF"/>
            </w:tcBorders>
            <w:shd w:val="clear" w:color="auto" w:fill="CCEEFF"/>
          </w:tcPr>
          <w:p>
            <w:pPr>
              <w:spacing w:after="0"/>
              <w:rPr>
                <w:sz w:val="23"/>
                <w:szCs w:val="23"/>
                <w:color w:val="auto"/>
              </w:rPr>
            </w:pPr>
          </w:p>
        </w:tc>
        <w:tc>
          <w:tcPr>
            <w:tcW w:w="200" w:type="dxa"/>
            <w:vAlign w:val="bottom"/>
            <w:tcBorders>
              <w:top w:val="single" w:sz="8" w:color="auto"/>
            </w:tcBorders>
            <w:shd w:val="clear" w:color="auto" w:fill="CCEEFF"/>
          </w:tcPr>
          <w:p>
            <w:pPr>
              <w:spacing w:after="0"/>
              <w:rPr>
                <w:sz w:val="23"/>
                <w:szCs w:val="23"/>
                <w:color w:val="auto"/>
              </w:rPr>
            </w:pPr>
          </w:p>
        </w:tc>
        <w:tc>
          <w:tcPr>
            <w:tcW w:w="720" w:type="dxa"/>
            <w:vAlign w:val="bottom"/>
            <w:tcBorders>
              <w:top w:val="single" w:sz="8" w:color="auto"/>
            </w:tcBorders>
            <w:shd w:val="clear" w:color="auto" w:fill="CCEEFF"/>
          </w:tcPr>
          <w:p>
            <w:pPr>
              <w:spacing w:after="0"/>
              <w:rPr>
                <w:sz w:val="23"/>
                <w:szCs w:val="23"/>
                <w:color w:val="auto"/>
              </w:rPr>
            </w:pPr>
          </w:p>
        </w:tc>
      </w:tr>
      <w:tr>
        <w:trPr>
          <w:trHeight w:val="263"/>
        </w:trPr>
        <w:tc>
          <w:tcPr>
            <w:tcW w:w="4220" w:type="dxa"/>
            <w:vAlign w:val="bottom"/>
          </w:tcPr>
          <w:p>
            <w:pPr>
              <w:ind w:left="40"/>
              <w:spacing w:after="0"/>
              <w:rPr>
                <w:sz w:val="20"/>
                <w:szCs w:val="20"/>
                <w:color w:val="auto"/>
              </w:rPr>
            </w:pPr>
            <w:r>
              <w:rPr>
                <w:rFonts w:ascii="Arial" w:cs="Arial" w:eastAsia="Arial" w:hAnsi="Arial"/>
                <w:sz w:val="18"/>
                <w:szCs w:val="18"/>
                <w:color w:val="auto"/>
              </w:rPr>
              <w:t>Long-term debt:</w:t>
            </w:r>
          </w:p>
        </w:tc>
        <w:tc>
          <w:tcPr>
            <w:tcW w:w="200" w:type="dxa"/>
            <w:vAlign w:val="bottom"/>
          </w:tcPr>
          <w:p>
            <w:pPr>
              <w:spacing w:after="0"/>
              <w:rPr>
                <w:sz w:val="22"/>
                <w:szCs w:val="22"/>
                <w:color w:val="auto"/>
              </w:rPr>
            </w:pPr>
          </w:p>
        </w:tc>
        <w:tc>
          <w:tcPr>
            <w:tcW w:w="7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7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7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7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7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9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720" w:type="dxa"/>
            <w:vAlign w:val="bottom"/>
          </w:tcPr>
          <w:p>
            <w:pPr>
              <w:spacing w:after="0"/>
              <w:rPr>
                <w:sz w:val="22"/>
                <w:szCs w:val="22"/>
                <w:color w:val="auto"/>
              </w:rPr>
            </w:pPr>
          </w:p>
        </w:tc>
      </w:tr>
      <w:tr>
        <w:trPr>
          <w:trHeight w:val="277"/>
        </w:trPr>
        <w:tc>
          <w:tcPr>
            <w:tcW w:w="4220" w:type="dxa"/>
            <w:vAlign w:val="bottom"/>
            <w:shd w:val="clear" w:color="auto" w:fill="CCEEFF"/>
          </w:tcPr>
          <w:p>
            <w:pPr>
              <w:ind w:left="180"/>
              <w:spacing w:after="0"/>
              <w:rPr>
                <w:sz w:val="20"/>
                <w:szCs w:val="20"/>
                <w:color w:val="auto"/>
              </w:rPr>
            </w:pPr>
            <w:r>
              <w:rPr>
                <w:rFonts w:ascii="Arial" w:cs="Arial" w:eastAsia="Arial" w:hAnsi="Arial"/>
                <w:sz w:val="18"/>
                <w:szCs w:val="18"/>
                <w:color w:val="auto"/>
              </w:rPr>
              <w:t xml:space="preserve">Principal amount </w:t>
            </w:r>
            <w:r>
              <w:rPr>
                <w:rFonts w:ascii="Arial" w:cs="Arial" w:eastAsia="Arial" w:hAnsi="Arial"/>
                <w:sz w:val="21"/>
                <w:szCs w:val="21"/>
                <w:color w:val="auto"/>
                <w:vertAlign w:val="superscript"/>
              </w:rPr>
              <w:t>(b), (d)</w:t>
            </w:r>
            <w:r>
              <w:rPr>
                <w:rFonts w:ascii="Arial" w:cs="Arial" w:eastAsia="Arial" w:hAnsi="Arial"/>
                <w:sz w:val="18"/>
                <w:szCs w:val="18"/>
                <w:color w:val="auto"/>
              </w:rPr>
              <w:t xml:space="preserve"> (See Note 3)</w:t>
            </w:r>
          </w:p>
        </w:tc>
        <w:tc>
          <w:tcPr>
            <w:tcW w:w="2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72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2,293</w:t>
            </w:r>
          </w:p>
        </w:tc>
        <w:tc>
          <w:tcPr>
            <w:tcW w:w="100" w:type="dxa"/>
            <w:vAlign w:val="bottom"/>
            <w:shd w:val="clear" w:color="auto" w:fill="CCEEFF"/>
          </w:tcPr>
          <w:p>
            <w:pPr>
              <w:spacing w:after="0"/>
              <w:rPr>
                <w:sz w:val="24"/>
                <w:szCs w:val="24"/>
                <w:color w:val="auto"/>
              </w:rPr>
            </w:pPr>
          </w:p>
        </w:tc>
        <w:tc>
          <w:tcPr>
            <w:tcW w:w="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2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3,508</w:t>
            </w:r>
          </w:p>
        </w:tc>
        <w:tc>
          <w:tcPr>
            <w:tcW w:w="120" w:type="dxa"/>
            <w:vAlign w:val="bottom"/>
            <w:shd w:val="clear" w:color="auto" w:fill="CCEEFF"/>
          </w:tcPr>
          <w:p>
            <w:pPr>
              <w:spacing w:after="0"/>
              <w:rPr>
                <w:sz w:val="24"/>
                <w:szCs w:val="24"/>
                <w:color w:val="auto"/>
              </w:rPr>
            </w:pPr>
          </w:p>
        </w:tc>
        <w:tc>
          <w:tcPr>
            <w:tcW w:w="2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720" w:type="dxa"/>
            <w:vAlign w:val="bottom"/>
            <w:shd w:val="clear" w:color="auto" w:fill="CCEEFF"/>
          </w:tcPr>
          <w:p>
            <w:pPr>
              <w:jc w:val="right"/>
              <w:ind w:right="32"/>
              <w:spacing w:after="0"/>
              <w:rPr>
                <w:sz w:val="20"/>
                <w:szCs w:val="20"/>
                <w:color w:val="auto"/>
              </w:rPr>
            </w:pPr>
            <w:r>
              <w:rPr>
                <w:rFonts w:ascii="Arial" w:cs="Arial" w:eastAsia="Arial" w:hAnsi="Arial"/>
                <w:sz w:val="18"/>
                <w:szCs w:val="18"/>
                <w:color w:val="auto"/>
              </w:rPr>
              <w:t>1,551</w:t>
            </w:r>
          </w:p>
        </w:tc>
        <w:tc>
          <w:tcPr>
            <w:tcW w:w="100" w:type="dxa"/>
            <w:vAlign w:val="bottom"/>
            <w:shd w:val="clear" w:color="auto" w:fill="CCEEFF"/>
          </w:tcPr>
          <w:p>
            <w:pPr>
              <w:spacing w:after="0"/>
              <w:rPr>
                <w:sz w:val="24"/>
                <w:szCs w:val="24"/>
                <w:color w:val="auto"/>
              </w:rPr>
            </w:pPr>
          </w:p>
        </w:tc>
        <w:tc>
          <w:tcPr>
            <w:tcW w:w="2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70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4,072</w:t>
            </w:r>
          </w:p>
        </w:tc>
        <w:tc>
          <w:tcPr>
            <w:tcW w:w="100" w:type="dxa"/>
            <w:vAlign w:val="bottom"/>
            <w:shd w:val="clear" w:color="auto" w:fill="CCEEFF"/>
          </w:tcPr>
          <w:p>
            <w:pPr>
              <w:spacing w:after="0"/>
              <w:rPr>
                <w:sz w:val="24"/>
                <w:szCs w:val="24"/>
                <w:color w:val="auto"/>
              </w:rPr>
            </w:pPr>
          </w:p>
        </w:tc>
        <w:tc>
          <w:tcPr>
            <w:tcW w:w="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0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1,521</w:t>
            </w:r>
          </w:p>
        </w:tc>
        <w:tc>
          <w:tcPr>
            <w:tcW w:w="120" w:type="dxa"/>
            <w:vAlign w:val="bottom"/>
            <w:shd w:val="clear" w:color="auto" w:fill="CCEEFF"/>
          </w:tcPr>
          <w:p>
            <w:pPr>
              <w:spacing w:after="0"/>
              <w:rPr>
                <w:sz w:val="24"/>
                <w:szCs w:val="24"/>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900" w:type="dxa"/>
            <w:vAlign w:val="bottom"/>
            <w:shd w:val="clear" w:color="auto" w:fill="CCEEFF"/>
          </w:tcPr>
          <w:p>
            <w:pPr>
              <w:jc w:val="right"/>
              <w:ind w:right="32"/>
              <w:spacing w:after="0"/>
              <w:rPr>
                <w:sz w:val="20"/>
                <w:szCs w:val="20"/>
                <w:color w:val="auto"/>
              </w:rPr>
            </w:pPr>
            <w:r>
              <w:rPr>
                <w:rFonts w:ascii="Arial" w:cs="Arial" w:eastAsia="Arial" w:hAnsi="Arial"/>
                <w:sz w:val="18"/>
                <w:szCs w:val="18"/>
                <w:color w:val="auto"/>
              </w:rPr>
              <w:t>9,632</w:t>
            </w:r>
          </w:p>
        </w:tc>
        <w:tc>
          <w:tcPr>
            <w:tcW w:w="100" w:type="dxa"/>
            <w:vAlign w:val="bottom"/>
            <w:shd w:val="clear" w:color="auto" w:fill="CCEEFF"/>
          </w:tcPr>
          <w:p>
            <w:pPr>
              <w:spacing w:after="0"/>
              <w:rPr>
                <w:sz w:val="24"/>
                <w:szCs w:val="24"/>
                <w:color w:val="auto"/>
              </w:rPr>
            </w:pPr>
          </w:p>
        </w:tc>
        <w:tc>
          <w:tcPr>
            <w:tcW w:w="2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72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22,577</w:t>
            </w:r>
          </w:p>
        </w:tc>
      </w:tr>
      <w:tr>
        <w:trPr>
          <w:trHeight w:val="270"/>
        </w:trPr>
        <w:tc>
          <w:tcPr>
            <w:tcW w:w="4220" w:type="dxa"/>
            <w:vAlign w:val="bottom"/>
          </w:tcPr>
          <w:p>
            <w:pPr>
              <w:ind w:left="180"/>
              <w:spacing w:after="0"/>
              <w:rPr>
                <w:sz w:val="20"/>
                <w:szCs w:val="20"/>
                <w:color w:val="auto"/>
              </w:rPr>
            </w:pPr>
            <w:r>
              <w:rPr>
                <w:rFonts w:ascii="Arial" w:cs="Arial" w:eastAsia="Arial" w:hAnsi="Arial"/>
                <w:sz w:val="18"/>
                <w:szCs w:val="18"/>
                <w:color w:val="auto"/>
              </w:rPr>
              <w:t xml:space="preserve">Interest obligations </w:t>
            </w:r>
            <w:r>
              <w:rPr>
                <w:rFonts w:ascii="Arial" w:cs="Arial" w:eastAsia="Arial" w:hAnsi="Arial"/>
                <w:sz w:val="21"/>
                <w:szCs w:val="21"/>
                <w:color w:val="auto"/>
                <w:vertAlign w:val="superscript"/>
              </w:rPr>
              <w:t>(c), (d)</w:t>
            </w:r>
          </w:p>
        </w:tc>
        <w:tc>
          <w:tcPr>
            <w:tcW w:w="200" w:type="dxa"/>
            <w:vAlign w:val="bottom"/>
          </w:tcPr>
          <w:p>
            <w:pPr>
              <w:spacing w:after="0"/>
              <w:rPr>
                <w:sz w:val="23"/>
                <w:szCs w:val="23"/>
                <w:color w:val="auto"/>
              </w:rPr>
            </w:pPr>
          </w:p>
        </w:tc>
        <w:tc>
          <w:tcPr>
            <w:tcW w:w="720" w:type="dxa"/>
            <w:vAlign w:val="bottom"/>
          </w:tcPr>
          <w:p>
            <w:pPr>
              <w:jc w:val="right"/>
              <w:ind w:right="11"/>
              <w:spacing w:after="0"/>
              <w:rPr>
                <w:sz w:val="20"/>
                <w:szCs w:val="20"/>
                <w:color w:val="auto"/>
              </w:rPr>
            </w:pPr>
            <w:r>
              <w:rPr>
                <w:rFonts w:ascii="Arial" w:cs="Arial" w:eastAsia="Arial" w:hAnsi="Arial"/>
                <w:sz w:val="18"/>
                <w:szCs w:val="18"/>
                <w:color w:val="auto"/>
              </w:rPr>
              <w:t>830</w:t>
            </w:r>
          </w:p>
        </w:tc>
        <w:tc>
          <w:tcPr>
            <w:tcW w:w="10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720" w:type="dxa"/>
            <w:vAlign w:val="bottom"/>
          </w:tcPr>
          <w:p>
            <w:pPr>
              <w:jc w:val="right"/>
              <w:ind w:right="11"/>
              <w:spacing w:after="0"/>
              <w:rPr>
                <w:sz w:val="20"/>
                <w:szCs w:val="20"/>
                <w:color w:val="auto"/>
              </w:rPr>
            </w:pPr>
            <w:r>
              <w:rPr>
                <w:rFonts w:ascii="Arial" w:cs="Arial" w:eastAsia="Arial" w:hAnsi="Arial"/>
                <w:sz w:val="18"/>
                <w:szCs w:val="18"/>
                <w:color w:val="auto"/>
              </w:rPr>
              <w:t>721</w:t>
            </w:r>
          </w:p>
        </w:tc>
        <w:tc>
          <w:tcPr>
            <w:tcW w:w="12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720" w:type="dxa"/>
            <w:vAlign w:val="bottom"/>
          </w:tcPr>
          <w:p>
            <w:pPr>
              <w:jc w:val="right"/>
              <w:ind w:right="32"/>
              <w:spacing w:after="0"/>
              <w:rPr>
                <w:sz w:val="20"/>
                <w:szCs w:val="20"/>
                <w:color w:val="auto"/>
              </w:rPr>
            </w:pPr>
            <w:r>
              <w:rPr>
                <w:rFonts w:ascii="Arial" w:cs="Arial" w:eastAsia="Arial" w:hAnsi="Arial"/>
                <w:sz w:val="18"/>
                <w:szCs w:val="18"/>
                <w:color w:val="auto"/>
              </w:rPr>
              <w:t>596</w:t>
            </w:r>
          </w:p>
        </w:tc>
        <w:tc>
          <w:tcPr>
            <w:tcW w:w="10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700" w:type="dxa"/>
            <w:vAlign w:val="bottom"/>
          </w:tcPr>
          <w:p>
            <w:pPr>
              <w:jc w:val="right"/>
              <w:ind w:right="11"/>
              <w:spacing w:after="0"/>
              <w:rPr>
                <w:sz w:val="20"/>
                <w:szCs w:val="20"/>
                <w:color w:val="auto"/>
              </w:rPr>
            </w:pPr>
            <w:r>
              <w:rPr>
                <w:rFonts w:ascii="Arial" w:cs="Arial" w:eastAsia="Arial" w:hAnsi="Arial"/>
                <w:sz w:val="18"/>
                <w:szCs w:val="18"/>
                <w:color w:val="auto"/>
              </w:rPr>
              <w:t>510</w:t>
            </w:r>
          </w:p>
        </w:tc>
        <w:tc>
          <w:tcPr>
            <w:tcW w:w="10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700" w:type="dxa"/>
            <w:vAlign w:val="bottom"/>
          </w:tcPr>
          <w:p>
            <w:pPr>
              <w:jc w:val="right"/>
              <w:ind w:right="11"/>
              <w:spacing w:after="0"/>
              <w:rPr>
                <w:sz w:val="20"/>
                <w:szCs w:val="20"/>
                <w:color w:val="auto"/>
              </w:rPr>
            </w:pPr>
            <w:r>
              <w:rPr>
                <w:rFonts w:ascii="Arial" w:cs="Arial" w:eastAsia="Arial" w:hAnsi="Arial"/>
                <w:sz w:val="18"/>
                <w:szCs w:val="18"/>
                <w:color w:val="auto"/>
              </w:rPr>
              <w:t>388</w:t>
            </w:r>
          </w:p>
        </w:tc>
        <w:tc>
          <w:tcPr>
            <w:tcW w:w="12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900" w:type="dxa"/>
            <w:vAlign w:val="bottom"/>
          </w:tcPr>
          <w:p>
            <w:pPr>
              <w:jc w:val="right"/>
              <w:ind w:right="32"/>
              <w:spacing w:after="0"/>
              <w:rPr>
                <w:sz w:val="20"/>
                <w:szCs w:val="20"/>
                <w:color w:val="auto"/>
              </w:rPr>
            </w:pPr>
            <w:r>
              <w:rPr>
                <w:rFonts w:ascii="Arial" w:cs="Arial" w:eastAsia="Arial" w:hAnsi="Arial"/>
                <w:sz w:val="18"/>
                <w:szCs w:val="18"/>
                <w:color w:val="auto"/>
              </w:rPr>
              <w:t>885</w:t>
            </w:r>
          </w:p>
        </w:tc>
        <w:tc>
          <w:tcPr>
            <w:tcW w:w="10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720" w:type="dxa"/>
            <w:vAlign w:val="bottom"/>
          </w:tcPr>
          <w:p>
            <w:pPr>
              <w:jc w:val="right"/>
              <w:ind w:right="11"/>
              <w:spacing w:after="0"/>
              <w:rPr>
                <w:sz w:val="20"/>
                <w:szCs w:val="20"/>
                <w:color w:val="auto"/>
              </w:rPr>
            </w:pPr>
            <w:r>
              <w:rPr>
                <w:rFonts w:ascii="Arial" w:cs="Arial" w:eastAsia="Arial" w:hAnsi="Arial"/>
                <w:sz w:val="18"/>
                <w:szCs w:val="18"/>
                <w:color w:val="auto"/>
              </w:rPr>
              <w:t>3,930</w:t>
            </w:r>
          </w:p>
        </w:tc>
      </w:tr>
      <w:tr>
        <w:trPr>
          <w:trHeight w:val="270"/>
        </w:trPr>
        <w:tc>
          <w:tcPr>
            <w:tcW w:w="4220" w:type="dxa"/>
            <w:vAlign w:val="bottom"/>
            <w:shd w:val="clear" w:color="auto" w:fill="CCEEFF"/>
          </w:tcPr>
          <w:p>
            <w:pPr>
              <w:ind w:left="40"/>
              <w:spacing w:after="0"/>
              <w:rPr>
                <w:sz w:val="20"/>
                <w:szCs w:val="20"/>
                <w:color w:val="auto"/>
              </w:rPr>
            </w:pPr>
            <w:r>
              <w:rPr>
                <w:rFonts w:ascii="Arial" w:cs="Arial" w:eastAsia="Arial" w:hAnsi="Arial"/>
                <w:sz w:val="18"/>
                <w:szCs w:val="18"/>
                <w:color w:val="auto"/>
              </w:rPr>
              <w:t>Finance lease obligations (See Note 4)</w:t>
            </w:r>
          </w:p>
        </w:tc>
        <w:tc>
          <w:tcPr>
            <w:tcW w:w="200" w:type="dxa"/>
            <w:vAlign w:val="bottom"/>
            <w:shd w:val="clear" w:color="auto" w:fill="CCEEFF"/>
          </w:tcPr>
          <w:p>
            <w:pPr>
              <w:spacing w:after="0"/>
              <w:rPr>
                <w:sz w:val="23"/>
                <w:szCs w:val="23"/>
                <w:color w:val="auto"/>
              </w:rPr>
            </w:pPr>
          </w:p>
        </w:tc>
        <w:tc>
          <w:tcPr>
            <w:tcW w:w="72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153</w:t>
            </w:r>
          </w:p>
        </w:tc>
        <w:tc>
          <w:tcPr>
            <w:tcW w:w="100" w:type="dxa"/>
            <w:vAlign w:val="bottom"/>
            <w:shd w:val="clear" w:color="auto" w:fill="CCEEFF"/>
          </w:tcPr>
          <w:p>
            <w:pPr>
              <w:spacing w:after="0"/>
              <w:rPr>
                <w:sz w:val="23"/>
                <w:szCs w:val="23"/>
                <w:color w:val="auto"/>
              </w:rPr>
            </w:pPr>
          </w:p>
        </w:tc>
        <w:tc>
          <w:tcPr>
            <w:tcW w:w="200" w:type="dxa"/>
            <w:vAlign w:val="bottom"/>
            <w:shd w:val="clear" w:color="auto" w:fill="CCEEFF"/>
          </w:tcPr>
          <w:p>
            <w:pPr>
              <w:spacing w:after="0"/>
              <w:rPr>
                <w:sz w:val="23"/>
                <w:szCs w:val="23"/>
                <w:color w:val="auto"/>
              </w:rPr>
            </w:pPr>
          </w:p>
        </w:tc>
        <w:tc>
          <w:tcPr>
            <w:tcW w:w="72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128</w:t>
            </w:r>
          </w:p>
        </w:tc>
        <w:tc>
          <w:tcPr>
            <w:tcW w:w="120" w:type="dxa"/>
            <w:vAlign w:val="bottom"/>
            <w:shd w:val="clear" w:color="auto" w:fill="CCEEFF"/>
          </w:tcPr>
          <w:p>
            <w:pPr>
              <w:spacing w:after="0"/>
              <w:rPr>
                <w:sz w:val="23"/>
                <w:szCs w:val="23"/>
                <w:color w:val="auto"/>
              </w:rPr>
            </w:pPr>
          </w:p>
        </w:tc>
        <w:tc>
          <w:tcPr>
            <w:tcW w:w="200" w:type="dxa"/>
            <w:vAlign w:val="bottom"/>
            <w:shd w:val="clear" w:color="auto" w:fill="CCEEFF"/>
          </w:tcPr>
          <w:p>
            <w:pPr>
              <w:spacing w:after="0"/>
              <w:rPr>
                <w:sz w:val="23"/>
                <w:szCs w:val="23"/>
                <w:color w:val="auto"/>
              </w:rPr>
            </w:pPr>
          </w:p>
        </w:tc>
        <w:tc>
          <w:tcPr>
            <w:tcW w:w="720" w:type="dxa"/>
            <w:vAlign w:val="bottom"/>
            <w:shd w:val="clear" w:color="auto" w:fill="CCEEFF"/>
          </w:tcPr>
          <w:p>
            <w:pPr>
              <w:jc w:val="right"/>
              <w:ind w:right="32"/>
              <w:spacing w:after="0"/>
              <w:rPr>
                <w:sz w:val="20"/>
                <w:szCs w:val="20"/>
                <w:color w:val="auto"/>
              </w:rPr>
            </w:pPr>
            <w:r>
              <w:rPr>
                <w:rFonts w:ascii="Arial" w:cs="Arial" w:eastAsia="Arial" w:hAnsi="Arial"/>
                <w:sz w:val="18"/>
                <w:szCs w:val="18"/>
                <w:color w:val="auto"/>
              </w:rPr>
              <w:t>132</w:t>
            </w:r>
          </w:p>
        </w:tc>
        <w:tc>
          <w:tcPr>
            <w:tcW w:w="100" w:type="dxa"/>
            <w:vAlign w:val="bottom"/>
            <w:shd w:val="clear" w:color="auto" w:fill="CCEEFF"/>
          </w:tcPr>
          <w:p>
            <w:pPr>
              <w:spacing w:after="0"/>
              <w:rPr>
                <w:sz w:val="23"/>
                <w:szCs w:val="23"/>
                <w:color w:val="auto"/>
              </w:rPr>
            </w:pPr>
          </w:p>
        </w:tc>
        <w:tc>
          <w:tcPr>
            <w:tcW w:w="220" w:type="dxa"/>
            <w:vAlign w:val="bottom"/>
            <w:shd w:val="clear" w:color="auto" w:fill="CCEEFF"/>
          </w:tcPr>
          <w:p>
            <w:pPr>
              <w:spacing w:after="0"/>
              <w:rPr>
                <w:sz w:val="23"/>
                <w:szCs w:val="23"/>
                <w:color w:val="auto"/>
              </w:rPr>
            </w:pPr>
          </w:p>
        </w:tc>
        <w:tc>
          <w:tcPr>
            <w:tcW w:w="70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110</w:t>
            </w:r>
          </w:p>
        </w:tc>
        <w:tc>
          <w:tcPr>
            <w:tcW w:w="100" w:type="dxa"/>
            <w:vAlign w:val="bottom"/>
            <w:shd w:val="clear" w:color="auto" w:fill="CCEEFF"/>
          </w:tcPr>
          <w:p>
            <w:pPr>
              <w:spacing w:after="0"/>
              <w:rPr>
                <w:sz w:val="23"/>
                <w:szCs w:val="23"/>
                <w:color w:val="auto"/>
              </w:rPr>
            </w:pPr>
          </w:p>
        </w:tc>
        <w:tc>
          <w:tcPr>
            <w:tcW w:w="220" w:type="dxa"/>
            <w:vAlign w:val="bottom"/>
            <w:shd w:val="clear" w:color="auto" w:fill="CCEEFF"/>
          </w:tcPr>
          <w:p>
            <w:pPr>
              <w:spacing w:after="0"/>
              <w:rPr>
                <w:sz w:val="23"/>
                <w:szCs w:val="23"/>
                <w:color w:val="auto"/>
              </w:rPr>
            </w:pPr>
          </w:p>
        </w:tc>
        <w:tc>
          <w:tcPr>
            <w:tcW w:w="70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116</w:t>
            </w:r>
          </w:p>
        </w:tc>
        <w:tc>
          <w:tcPr>
            <w:tcW w:w="120" w:type="dxa"/>
            <w:vAlign w:val="bottom"/>
            <w:shd w:val="clear" w:color="auto" w:fill="CCEEFF"/>
          </w:tcPr>
          <w:p>
            <w:pPr>
              <w:spacing w:after="0"/>
              <w:rPr>
                <w:sz w:val="23"/>
                <w:szCs w:val="23"/>
                <w:color w:val="auto"/>
              </w:rPr>
            </w:pPr>
          </w:p>
        </w:tc>
        <w:tc>
          <w:tcPr>
            <w:tcW w:w="140" w:type="dxa"/>
            <w:vAlign w:val="bottom"/>
            <w:shd w:val="clear" w:color="auto" w:fill="CCEEFF"/>
          </w:tcPr>
          <w:p>
            <w:pPr>
              <w:spacing w:after="0"/>
              <w:rPr>
                <w:sz w:val="23"/>
                <w:szCs w:val="23"/>
                <w:color w:val="auto"/>
              </w:rPr>
            </w:pPr>
          </w:p>
        </w:tc>
        <w:tc>
          <w:tcPr>
            <w:tcW w:w="900" w:type="dxa"/>
            <w:vAlign w:val="bottom"/>
            <w:shd w:val="clear" w:color="auto" w:fill="CCEEFF"/>
          </w:tcPr>
          <w:p>
            <w:pPr>
              <w:jc w:val="right"/>
              <w:ind w:right="32"/>
              <w:spacing w:after="0"/>
              <w:rPr>
                <w:sz w:val="20"/>
                <w:szCs w:val="20"/>
                <w:color w:val="auto"/>
              </w:rPr>
            </w:pPr>
            <w:r>
              <w:rPr>
                <w:rFonts w:ascii="Arial" w:cs="Arial" w:eastAsia="Arial" w:hAnsi="Arial"/>
                <w:sz w:val="18"/>
                <w:szCs w:val="18"/>
                <w:color w:val="auto"/>
              </w:rPr>
              <w:t>171</w:t>
            </w:r>
          </w:p>
        </w:tc>
        <w:tc>
          <w:tcPr>
            <w:tcW w:w="100" w:type="dxa"/>
            <w:vAlign w:val="bottom"/>
            <w:shd w:val="clear" w:color="auto" w:fill="CCEEFF"/>
          </w:tcPr>
          <w:p>
            <w:pPr>
              <w:spacing w:after="0"/>
              <w:rPr>
                <w:sz w:val="23"/>
                <w:szCs w:val="23"/>
                <w:color w:val="auto"/>
              </w:rPr>
            </w:pPr>
          </w:p>
        </w:tc>
        <w:tc>
          <w:tcPr>
            <w:tcW w:w="200" w:type="dxa"/>
            <w:vAlign w:val="bottom"/>
            <w:shd w:val="clear" w:color="auto" w:fill="CCEEFF"/>
          </w:tcPr>
          <w:p>
            <w:pPr>
              <w:spacing w:after="0"/>
              <w:rPr>
                <w:sz w:val="23"/>
                <w:szCs w:val="23"/>
                <w:color w:val="auto"/>
              </w:rPr>
            </w:pPr>
          </w:p>
        </w:tc>
        <w:tc>
          <w:tcPr>
            <w:tcW w:w="72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810</w:t>
            </w:r>
          </w:p>
        </w:tc>
      </w:tr>
      <w:tr>
        <w:trPr>
          <w:trHeight w:val="229"/>
        </w:trPr>
        <w:tc>
          <w:tcPr>
            <w:tcW w:w="4220" w:type="dxa"/>
            <w:vAlign w:val="bottom"/>
          </w:tcPr>
          <w:p>
            <w:pPr>
              <w:ind w:left="40"/>
              <w:spacing w:after="0" w:line="229" w:lineRule="exact"/>
              <w:rPr>
                <w:sz w:val="20"/>
                <w:szCs w:val="20"/>
                <w:color w:val="auto"/>
              </w:rPr>
            </w:pPr>
            <w:r>
              <w:rPr>
                <w:rFonts w:ascii="Arial" w:cs="Arial" w:eastAsia="Arial" w:hAnsi="Arial"/>
                <w:sz w:val="18"/>
                <w:szCs w:val="18"/>
                <w:color w:val="auto"/>
              </w:rPr>
              <w:t xml:space="preserve">Aircraft and engine purchase commitments </w:t>
            </w:r>
            <w:r>
              <w:rPr>
                <w:rFonts w:ascii="Arial" w:cs="Arial" w:eastAsia="Arial" w:hAnsi="Arial"/>
                <w:sz w:val="21"/>
                <w:szCs w:val="21"/>
                <w:color w:val="auto"/>
                <w:vertAlign w:val="superscript"/>
              </w:rPr>
              <w:t>(e)</w:t>
            </w:r>
            <w:r>
              <w:rPr>
                <w:rFonts w:ascii="Arial" w:cs="Arial" w:eastAsia="Arial" w:hAnsi="Arial"/>
                <w:sz w:val="18"/>
                <w:szCs w:val="18"/>
                <w:color w:val="auto"/>
              </w:rPr>
              <w:t xml:space="preserve"> (See</w:t>
            </w:r>
          </w:p>
        </w:tc>
        <w:tc>
          <w:tcPr>
            <w:tcW w:w="20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720" w:type="dxa"/>
            <w:vAlign w:val="bottom"/>
          </w:tcPr>
          <w:p>
            <w:pPr>
              <w:spacing w:after="0"/>
              <w:rPr>
                <w:sz w:val="19"/>
                <w:szCs w:val="19"/>
                <w:color w:val="auto"/>
              </w:rPr>
            </w:pPr>
          </w:p>
        </w:tc>
      </w:tr>
      <w:tr>
        <w:trPr>
          <w:trHeight w:val="224"/>
        </w:trPr>
        <w:tc>
          <w:tcPr>
            <w:tcW w:w="4220" w:type="dxa"/>
            <w:vAlign w:val="bottom"/>
          </w:tcPr>
          <w:p>
            <w:pPr>
              <w:ind w:left="200"/>
              <w:spacing w:after="0"/>
              <w:rPr>
                <w:sz w:val="20"/>
                <w:szCs w:val="20"/>
                <w:color w:val="auto"/>
              </w:rPr>
            </w:pPr>
            <w:r>
              <w:rPr>
                <w:rFonts w:ascii="Arial" w:cs="Arial" w:eastAsia="Arial" w:hAnsi="Arial"/>
                <w:sz w:val="18"/>
                <w:szCs w:val="18"/>
                <w:color w:val="auto"/>
              </w:rPr>
              <w:t>Note 10(a))</w:t>
            </w:r>
          </w:p>
        </w:tc>
        <w:tc>
          <w:tcPr>
            <w:tcW w:w="200" w:type="dxa"/>
            <w:vAlign w:val="bottom"/>
          </w:tcPr>
          <w:p>
            <w:pPr>
              <w:spacing w:after="0"/>
              <w:rPr>
                <w:sz w:val="19"/>
                <w:szCs w:val="19"/>
                <w:color w:val="auto"/>
              </w:rPr>
            </w:pPr>
          </w:p>
        </w:tc>
        <w:tc>
          <w:tcPr>
            <w:tcW w:w="720" w:type="dxa"/>
            <w:vAlign w:val="bottom"/>
          </w:tcPr>
          <w:p>
            <w:pPr>
              <w:jc w:val="right"/>
              <w:ind w:right="11"/>
              <w:spacing w:after="0"/>
              <w:rPr>
                <w:sz w:val="20"/>
                <w:szCs w:val="20"/>
                <w:color w:val="auto"/>
              </w:rPr>
            </w:pPr>
            <w:r>
              <w:rPr>
                <w:rFonts w:ascii="Arial" w:cs="Arial" w:eastAsia="Arial" w:hAnsi="Arial"/>
                <w:sz w:val="18"/>
                <w:szCs w:val="18"/>
                <w:color w:val="auto"/>
              </w:rPr>
              <w:t>1,629</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720" w:type="dxa"/>
            <w:vAlign w:val="bottom"/>
          </w:tcPr>
          <w:p>
            <w:pPr>
              <w:jc w:val="right"/>
              <w:ind w:right="11"/>
              <w:spacing w:after="0"/>
              <w:rPr>
                <w:sz w:val="20"/>
                <w:szCs w:val="20"/>
                <w:color w:val="auto"/>
              </w:rPr>
            </w:pPr>
            <w:r>
              <w:rPr>
                <w:rFonts w:ascii="Arial" w:cs="Arial" w:eastAsia="Arial" w:hAnsi="Arial"/>
                <w:sz w:val="18"/>
                <w:szCs w:val="18"/>
                <w:color w:val="auto"/>
              </w:rPr>
              <w:t>750</w:t>
            </w: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720" w:type="dxa"/>
            <w:vAlign w:val="bottom"/>
          </w:tcPr>
          <w:p>
            <w:pPr>
              <w:jc w:val="right"/>
              <w:ind w:right="32"/>
              <w:spacing w:after="0"/>
              <w:rPr>
                <w:sz w:val="20"/>
                <w:szCs w:val="20"/>
                <w:color w:val="auto"/>
              </w:rPr>
            </w:pPr>
            <w:r>
              <w:rPr>
                <w:rFonts w:ascii="Arial" w:cs="Arial" w:eastAsia="Arial" w:hAnsi="Arial"/>
                <w:sz w:val="18"/>
                <w:szCs w:val="18"/>
                <w:color w:val="auto"/>
              </w:rPr>
              <w:t>1,599</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700" w:type="dxa"/>
            <w:vAlign w:val="bottom"/>
          </w:tcPr>
          <w:p>
            <w:pPr>
              <w:jc w:val="right"/>
              <w:ind w:right="11"/>
              <w:spacing w:after="0"/>
              <w:rPr>
                <w:sz w:val="20"/>
                <w:szCs w:val="20"/>
                <w:color w:val="auto"/>
              </w:rPr>
            </w:pPr>
            <w:r>
              <w:rPr>
                <w:rFonts w:ascii="Arial" w:cs="Arial" w:eastAsia="Arial" w:hAnsi="Arial"/>
                <w:sz w:val="18"/>
                <w:szCs w:val="18"/>
                <w:color w:val="auto"/>
              </w:rPr>
              <w:t>1,543</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700" w:type="dxa"/>
            <w:vAlign w:val="bottom"/>
          </w:tcPr>
          <w:p>
            <w:pPr>
              <w:jc w:val="right"/>
              <w:ind w:right="11"/>
              <w:spacing w:after="0"/>
              <w:rPr>
                <w:sz w:val="20"/>
                <w:szCs w:val="20"/>
                <w:color w:val="auto"/>
              </w:rPr>
            </w:pPr>
            <w:r>
              <w:rPr>
                <w:rFonts w:ascii="Arial" w:cs="Arial" w:eastAsia="Arial" w:hAnsi="Arial"/>
                <w:sz w:val="18"/>
                <w:szCs w:val="18"/>
                <w:color w:val="auto"/>
              </w:rPr>
              <w:t>2,574</w:t>
            </w: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00" w:type="dxa"/>
            <w:vAlign w:val="bottom"/>
          </w:tcPr>
          <w:p>
            <w:pPr>
              <w:jc w:val="right"/>
              <w:ind w:right="32"/>
              <w:spacing w:after="0"/>
              <w:rPr>
                <w:sz w:val="20"/>
                <w:szCs w:val="20"/>
                <w:color w:val="auto"/>
              </w:rPr>
            </w:pPr>
            <w:r>
              <w:rPr>
                <w:rFonts w:ascii="Arial" w:cs="Arial" w:eastAsia="Arial" w:hAnsi="Arial"/>
                <w:sz w:val="18"/>
                <w:szCs w:val="18"/>
                <w:color w:val="auto"/>
              </w:rPr>
              <w:t>4,855</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720" w:type="dxa"/>
            <w:vAlign w:val="bottom"/>
          </w:tcPr>
          <w:p>
            <w:pPr>
              <w:jc w:val="right"/>
              <w:ind w:right="11"/>
              <w:spacing w:after="0"/>
              <w:rPr>
                <w:sz w:val="20"/>
                <w:szCs w:val="20"/>
                <w:color w:val="auto"/>
              </w:rPr>
            </w:pPr>
            <w:r>
              <w:rPr>
                <w:rFonts w:ascii="Arial" w:cs="Arial" w:eastAsia="Arial" w:hAnsi="Arial"/>
                <w:sz w:val="18"/>
                <w:szCs w:val="18"/>
                <w:color w:val="auto"/>
              </w:rPr>
              <w:t>12,950</w:t>
            </w:r>
          </w:p>
        </w:tc>
      </w:tr>
      <w:tr>
        <w:trPr>
          <w:trHeight w:val="277"/>
        </w:trPr>
        <w:tc>
          <w:tcPr>
            <w:tcW w:w="4220" w:type="dxa"/>
            <w:vAlign w:val="bottom"/>
            <w:shd w:val="clear" w:color="auto" w:fill="CCEEFF"/>
          </w:tcPr>
          <w:p>
            <w:pPr>
              <w:ind w:left="40"/>
              <w:spacing w:after="0"/>
              <w:rPr>
                <w:sz w:val="20"/>
                <w:szCs w:val="20"/>
                <w:color w:val="auto"/>
              </w:rPr>
            </w:pPr>
            <w:r>
              <w:rPr>
                <w:rFonts w:ascii="Arial" w:cs="Arial" w:eastAsia="Arial" w:hAnsi="Arial"/>
                <w:sz w:val="18"/>
                <w:szCs w:val="18"/>
                <w:color w:val="auto"/>
              </w:rPr>
              <w:t>Operating lease commitments (See Note 4)</w:t>
            </w:r>
          </w:p>
        </w:tc>
        <w:tc>
          <w:tcPr>
            <w:tcW w:w="200" w:type="dxa"/>
            <w:vAlign w:val="bottom"/>
            <w:shd w:val="clear" w:color="auto" w:fill="CCEEFF"/>
          </w:tcPr>
          <w:p>
            <w:pPr>
              <w:spacing w:after="0"/>
              <w:rPr>
                <w:sz w:val="24"/>
                <w:szCs w:val="24"/>
                <w:color w:val="auto"/>
              </w:rPr>
            </w:pPr>
          </w:p>
        </w:tc>
        <w:tc>
          <w:tcPr>
            <w:tcW w:w="72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2,013</w:t>
            </w:r>
          </w:p>
        </w:tc>
        <w:tc>
          <w:tcPr>
            <w:tcW w:w="100" w:type="dxa"/>
            <w:vAlign w:val="bottom"/>
            <w:shd w:val="clear" w:color="auto" w:fill="CCEEFF"/>
          </w:tcPr>
          <w:p>
            <w:pPr>
              <w:spacing w:after="0"/>
              <w:rPr>
                <w:sz w:val="24"/>
                <w:szCs w:val="24"/>
                <w:color w:val="auto"/>
              </w:rPr>
            </w:pPr>
          </w:p>
        </w:tc>
        <w:tc>
          <w:tcPr>
            <w:tcW w:w="200" w:type="dxa"/>
            <w:vAlign w:val="bottom"/>
            <w:shd w:val="clear" w:color="auto" w:fill="CCEEFF"/>
          </w:tcPr>
          <w:p>
            <w:pPr>
              <w:spacing w:after="0"/>
              <w:rPr>
                <w:sz w:val="24"/>
                <w:szCs w:val="24"/>
                <w:color w:val="auto"/>
              </w:rPr>
            </w:pPr>
          </w:p>
        </w:tc>
        <w:tc>
          <w:tcPr>
            <w:tcW w:w="72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1,979</w:t>
            </w:r>
          </w:p>
        </w:tc>
        <w:tc>
          <w:tcPr>
            <w:tcW w:w="120" w:type="dxa"/>
            <w:vAlign w:val="bottom"/>
            <w:shd w:val="clear" w:color="auto" w:fill="CCEEFF"/>
          </w:tcPr>
          <w:p>
            <w:pPr>
              <w:spacing w:after="0"/>
              <w:rPr>
                <w:sz w:val="24"/>
                <w:szCs w:val="24"/>
                <w:color w:val="auto"/>
              </w:rPr>
            </w:pPr>
          </w:p>
        </w:tc>
        <w:tc>
          <w:tcPr>
            <w:tcW w:w="200" w:type="dxa"/>
            <w:vAlign w:val="bottom"/>
            <w:shd w:val="clear" w:color="auto" w:fill="CCEEFF"/>
          </w:tcPr>
          <w:p>
            <w:pPr>
              <w:spacing w:after="0"/>
              <w:rPr>
                <w:sz w:val="24"/>
                <w:szCs w:val="24"/>
                <w:color w:val="auto"/>
              </w:rPr>
            </w:pPr>
          </w:p>
        </w:tc>
        <w:tc>
          <w:tcPr>
            <w:tcW w:w="720" w:type="dxa"/>
            <w:vAlign w:val="bottom"/>
            <w:shd w:val="clear" w:color="auto" w:fill="CCEEFF"/>
          </w:tcPr>
          <w:p>
            <w:pPr>
              <w:jc w:val="right"/>
              <w:ind w:right="32"/>
              <w:spacing w:after="0"/>
              <w:rPr>
                <w:sz w:val="20"/>
                <w:szCs w:val="20"/>
                <w:color w:val="auto"/>
              </w:rPr>
            </w:pPr>
            <w:r>
              <w:rPr>
                <w:rFonts w:ascii="Arial" w:cs="Arial" w:eastAsia="Arial" w:hAnsi="Arial"/>
                <w:sz w:val="18"/>
                <w:szCs w:val="18"/>
                <w:color w:val="auto"/>
              </w:rPr>
              <w:t>1,807</w:t>
            </w:r>
          </w:p>
        </w:tc>
        <w:tc>
          <w:tcPr>
            <w:tcW w:w="100" w:type="dxa"/>
            <w:vAlign w:val="bottom"/>
            <w:shd w:val="clear" w:color="auto" w:fill="CCEEFF"/>
          </w:tcPr>
          <w:p>
            <w:pPr>
              <w:spacing w:after="0"/>
              <w:rPr>
                <w:sz w:val="24"/>
                <w:szCs w:val="24"/>
                <w:color w:val="auto"/>
              </w:rPr>
            </w:pPr>
          </w:p>
        </w:tc>
        <w:tc>
          <w:tcPr>
            <w:tcW w:w="220" w:type="dxa"/>
            <w:vAlign w:val="bottom"/>
            <w:shd w:val="clear" w:color="auto" w:fill="CCEEFF"/>
          </w:tcPr>
          <w:p>
            <w:pPr>
              <w:spacing w:after="0"/>
              <w:rPr>
                <w:sz w:val="24"/>
                <w:szCs w:val="24"/>
                <w:color w:val="auto"/>
              </w:rPr>
            </w:pPr>
          </w:p>
        </w:tc>
        <w:tc>
          <w:tcPr>
            <w:tcW w:w="70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1,623</w:t>
            </w:r>
          </w:p>
        </w:tc>
        <w:tc>
          <w:tcPr>
            <w:tcW w:w="100" w:type="dxa"/>
            <w:vAlign w:val="bottom"/>
            <w:shd w:val="clear" w:color="auto" w:fill="CCEEFF"/>
          </w:tcPr>
          <w:p>
            <w:pPr>
              <w:spacing w:after="0"/>
              <w:rPr>
                <w:sz w:val="24"/>
                <w:szCs w:val="24"/>
                <w:color w:val="auto"/>
              </w:rPr>
            </w:pPr>
          </w:p>
        </w:tc>
        <w:tc>
          <w:tcPr>
            <w:tcW w:w="220" w:type="dxa"/>
            <w:vAlign w:val="bottom"/>
            <w:shd w:val="clear" w:color="auto" w:fill="CCEEFF"/>
          </w:tcPr>
          <w:p>
            <w:pPr>
              <w:spacing w:after="0"/>
              <w:rPr>
                <w:sz w:val="24"/>
                <w:szCs w:val="24"/>
                <w:color w:val="auto"/>
              </w:rPr>
            </w:pPr>
          </w:p>
        </w:tc>
        <w:tc>
          <w:tcPr>
            <w:tcW w:w="70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1,227</w:t>
            </w:r>
          </w:p>
        </w:tc>
        <w:tc>
          <w:tcPr>
            <w:tcW w:w="12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900" w:type="dxa"/>
            <w:vAlign w:val="bottom"/>
            <w:shd w:val="clear" w:color="auto" w:fill="CCEEFF"/>
          </w:tcPr>
          <w:p>
            <w:pPr>
              <w:jc w:val="right"/>
              <w:ind w:right="32"/>
              <w:spacing w:after="0"/>
              <w:rPr>
                <w:sz w:val="20"/>
                <w:szCs w:val="20"/>
                <w:color w:val="auto"/>
              </w:rPr>
            </w:pPr>
            <w:r>
              <w:rPr>
                <w:rFonts w:ascii="Arial" w:cs="Arial" w:eastAsia="Arial" w:hAnsi="Arial"/>
                <w:sz w:val="18"/>
                <w:szCs w:val="18"/>
                <w:color w:val="auto"/>
              </w:rPr>
              <w:t>4,451</w:t>
            </w:r>
          </w:p>
        </w:tc>
        <w:tc>
          <w:tcPr>
            <w:tcW w:w="100" w:type="dxa"/>
            <w:vAlign w:val="bottom"/>
            <w:shd w:val="clear" w:color="auto" w:fill="CCEEFF"/>
          </w:tcPr>
          <w:p>
            <w:pPr>
              <w:spacing w:after="0"/>
              <w:rPr>
                <w:sz w:val="24"/>
                <w:szCs w:val="24"/>
                <w:color w:val="auto"/>
              </w:rPr>
            </w:pPr>
          </w:p>
        </w:tc>
        <w:tc>
          <w:tcPr>
            <w:tcW w:w="200" w:type="dxa"/>
            <w:vAlign w:val="bottom"/>
            <w:shd w:val="clear" w:color="auto" w:fill="CCEEFF"/>
          </w:tcPr>
          <w:p>
            <w:pPr>
              <w:spacing w:after="0"/>
              <w:rPr>
                <w:sz w:val="24"/>
                <w:szCs w:val="24"/>
                <w:color w:val="auto"/>
              </w:rPr>
            </w:pPr>
          </w:p>
        </w:tc>
        <w:tc>
          <w:tcPr>
            <w:tcW w:w="72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13,100</w:t>
            </w:r>
          </w:p>
        </w:tc>
      </w:tr>
      <w:tr>
        <w:trPr>
          <w:trHeight w:val="229"/>
        </w:trPr>
        <w:tc>
          <w:tcPr>
            <w:tcW w:w="4220" w:type="dxa"/>
            <w:vAlign w:val="bottom"/>
          </w:tcPr>
          <w:p>
            <w:pPr>
              <w:ind w:left="40"/>
              <w:spacing w:after="0" w:line="229" w:lineRule="exact"/>
              <w:rPr>
                <w:sz w:val="20"/>
                <w:szCs w:val="20"/>
                <w:color w:val="auto"/>
              </w:rPr>
            </w:pPr>
            <w:r>
              <w:rPr>
                <w:rFonts w:ascii="Arial" w:cs="Arial" w:eastAsia="Arial" w:hAnsi="Arial"/>
                <w:sz w:val="18"/>
                <w:szCs w:val="18"/>
                <w:color w:val="auto"/>
              </w:rPr>
              <w:t xml:space="preserve">Regional capacity purchase agreements </w:t>
            </w:r>
            <w:r>
              <w:rPr>
                <w:rFonts w:ascii="Arial" w:cs="Arial" w:eastAsia="Arial" w:hAnsi="Arial"/>
                <w:sz w:val="21"/>
                <w:szCs w:val="21"/>
                <w:color w:val="auto"/>
                <w:vertAlign w:val="superscript"/>
              </w:rPr>
              <w:t>(f)</w:t>
            </w:r>
            <w:r>
              <w:rPr>
                <w:rFonts w:ascii="Arial" w:cs="Arial" w:eastAsia="Arial" w:hAnsi="Arial"/>
                <w:sz w:val="18"/>
                <w:szCs w:val="18"/>
                <w:color w:val="auto"/>
              </w:rPr>
              <w:t xml:space="preserve"> (See</w:t>
            </w:r>
          </w:p>
        </w:tc>
        <w:tc>
          <w:tcPr>
            <w:tcW w:w="20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720" w:type="dxa"/>
            <w:vAlign w:val="bottom"/>
          </w:tcPr>
          <w:p>
            <w:pPr>
              <w:spacing w:after="0"/>
              <w:rPr>
                <w:sz w:val="19"/>
                <w:szCs w:val="19"/>
                <w:color w:val="auto"/>
              </w:rPr>
            </w:pPr>
          </w:p>
        </w:tc>
      </w:tr>
      <w:tr>
        <w:trPr>
          <w:trHeight w:val="224"/>
        </w:trPr>
        <w:tc>
          <w:tcPr>
            <w:tcW w:w="4220" w:type="dxa"/>
            <w:vAlign w:val="bottom"/>
          </w:tcPr>
          <w:p>
            <w:pPr>
              <w:ind w:left="200"/>
              <w:spacing w:after="0"/>
              <w:rPr>
                <w:sz w:val="20"/>
                <w:szCs w:val="20"/>
                <w:color w:val="auto"/>
              </w:rPr>
            </w:pPr>
            <w:r>
              <w:rPr>
                <w:rFonts w:ascii="Arial" w:cs="Arial" w:eastAsia="Arial" w:hAnsi="Arial"/>
                <w:sz w:val="18"/>
                <w:szCs w:val="18"/>
                <w:color w:val="auto"/>
              </w:rPr>
              <w:t>Note 10(b))</w:t>
            </w:r>
          </w:p>
        </w:tc>
        <w:tc>
          <w:tcPr>
            <w:tcW w:w="200" w:type="dxa"/>
            <w:vAlign w:val="bottom"/>
          </w:tcPr>
          <w:p>
            <w:pPr>
              <w:spacing w:after="0"/>
              <w:rPr>
                <w:sz w:val="19"/>
                <w:szCs w:val="19"/>
                <w:color w:val="auto"/>
              </w:rPr>
            </w:pPr>
          </w:p>
        </w:tc>
        <w:tc>
          <w:tcPr>
            <w:tcW w:w="720" w:type="dxa"/>
            <w:vAlign w:val="bottom"/>
          </w:tcPr>
          <w:p>
            <w:pPr>
              <w:jc w:val="right"/>
              <w:ind w:right="11"/>
              <w:spacing w:after="0"/>
              <w:rPr>
                <w:sz w:val="20"/>
                <w:szCs w:val="20"/>
                <w:color w:val="auto"/>
              </w:rPr>
            </w:pPr>
            <w:r>
              <w:rPr>
                <w:rFonts w:ascii="Arial" w:cs="Arial" w:eastAsia="Arial" w:hAnsi="Arial"/>
                <w:sz w:val="18"/>
                <w:szCs w:val="18"/>
                <w:color w:val="auto"/>
              </w:rPr>
              <w:t>1,115</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720" w:type="dxa"/>
            <w:vAlign w:val="bottom"/>
          </w:tcPr>
          <w:p>
            <w:pPr>
              <w:jc w:val="right"/>
              <w:ind w:right="11"/>
              <w:spacing w:after="0"/>
              <w:rPr>
                <w:sz w:val="20"/>
                <w:szCs w:val="20"/>
                <w:color w:val="auto"/>
              </w:rPr>
            </w:pPr>
            <w:r>
              <w:rPr>
                <w:rFonts w:ascii="Arial" w:cs="Arial" w:eastAsia="Arial" w:hAnsi="Arial"/>
                <w:sz w:val="18"/>
                <w:szCs w:val="18"/>
                <w:color w:val="auto"/>
              </w:rPr>
              <w:t>1,185</w:t>
            </w: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720" w:type="dxa"/>
            <w:vAlign w:val="bottom"/>
          </w:tcPr>
          <w:p>
            <w:pPr>
              <w:jc w:val="right"/>
              <w:ind w:right="32"/>
              <w:spacing w:after="0"/>
              <w:rPr>
                <w:sz w:val="20"/>
                <w:szCs w:val="20"/>
                <w:color w:val="auto"/>
              </w:rPr>
            </w:pPr>
            <w:r>
              <w:rPr>
                <w:rFonts w:ascii="Arial" w:cs="Arial" w:eastAsia="Arial" w:hAnsi="Arial"/>
                <w:sz w:val="18"/>
                <w:szCs w:val="18"/>
                <w:color w:val="auto"/>
              </w:rPr>
              <w:t>1,126</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700" w:type="dxa"/>
            <w:vAlign w:val="bottom"/>
          </w:tcPr>
          <w:p>
            <w:pPr>
              <w:jc w:val="right"/>
              <w:ind w:right="11"/>
              <w:spacing w:after="0"/>
              <w:rPr>
                <w:sz w:val="20"/>
                <w:szCs w:val="20"/>
                <w:color w:val="auto"/>
              </w:rPr>
            </w:pPr>
            <w:r>
              <w:rPr>
                <w:rFonts w:ascii="Arial" w:cs="Arial" w:eastAsia="Arial" w:hAnsi="Arial"/>
                <w:sz w:val="18"/>
                <w:szCs w:val="18"/>
                <w:color w:val="auto"/>
              </w:rPr>
              <w:t>1,077</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700" w:type="dxa"/>
            <w:vAlign w:val="bottom"/>
          </w:tcPr>
          <w:p>
            <w:pPr>
              <w:jc w:val="right"/>
              <w:ind w:right="11"/>
              <w:spacing w:after="0"/>
              <w:rPr>
                <w:sz w:val="20"/>
                <w:szCs w:val="20"/>
                <w:color w:val="auto"/>
              </w:rPr>
            </w:pPr>
            <w:r>
              <w:rPr>
                <w:rFonts w:ascii="Arial" w:cs="Arial" w:eastAsia="Arial" w:hAnsi="Arial"/>
                <w:sz w:val="18"/>
                <w:szCs w:val="18"/>
                <w:color w:val="auto"/>
              </w:rPr>
              <w:t>1,077</w:t>
            </w: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00" w:type="dxa"/>
            <w:vAlign w:val="bottom"/>
          </w:tcPr>
          <w:p>
            <w:pPr>
              <w:jc w:val="right"/>
              <w:ind w:right="32"/>
              <w:spacing w:after="0"/>
              <w:rPr>
                <w:sz w:val="20"/>
                <w:szCs w:val="20"/>
                <w:color w:val="auto"/>
              </w:rPr>
            </w:pPr>
            <w:r>
              <w:rPr>
                <w:rFonts w:ascii="Arial" w:cs="Arial" w:eastAsia="Arial" w:hAnsi="Arial"/>
                <w:sz w:val="18"/>
                <w:szCs w:val="18"/>
                <w:color w:val="auto"/>
              </w:rPr>
              <w:t>3,402</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720" w:type="dxa"/>
            <w:vAlign w:val="bottom"/>
          </w:tcPr>
          <w:p>
            <w:pPr>
              <w:jc w:val="right"/>
              <w:ind w:right="11"/>
              <w:spacing w:after="0"/>
              <w:rPr>
                <w:sz w:val="20"/>
                <w:szCs w:val="20"/>
                <w:color w:val="auto"/>
              </w:rPr>
            </w:pPr>
            <w:r>
              <w:rPr>
                <w:rFonts w:ascii="Arial" w:cs="Arial" w:eastAsia="Arial" w:hAnsi="Arial"/>
                <w:sz w:val="18"/>
                <w:szCs w:val="18"/>
                <w:color w:val="auto"/>
              </w:rPr>
              <w:t>8,982</w:t>
            </w:r>
          </w:p>
        </w:tc>
      </w:tr>
      <w:tr>
        <w:trPr>
          <w:trHeight w:val="277"/>
        </w:trPr>
        <w:tc>
          <w:tcPr>
            <w:tcW w:w="4220" w:type="dxa"/>
            <w:vAlign w:val="bottom"/>
            <w:shd w:val="clear" w:color="auto" w:fill="CCEEFF"/>
          </w:tcPr>
          <w:p>
            <w:pPr>
              <w:ind w:left="40"/>
              <w:spacing w:after="0"/>
              <w:rPr>
                <w:sz w:val="20"/>
                <w:szCs w:val="20"/>
                <w:color w:val="auto"/>
              </w:rPr>
            </w:pPr>
            <w:r>
              <w:rPr>
                <w:rFonts w:ascii="Arial" w:cs="Arial" w:eastAsia="Arial" w:hAnsi="Arial"/>
                <w:sz w:val="18"/>
                <w:szCs w:val="18"/>
                <w:color w:val="auto"/>
              </w:rPr>
              <w:t xml:space="preserve">Minimum pension obligations </w:t>
            </w:r>
            <w:r>
              <w:rPr>
                <w:rFonts w:ascii="Arial" w:cs="Arial" w:eastAsia="Arial" w:hAnsi="Arial"/>
                <w:sz w:val="21"/>
                <w:szCs w:val="21"/>
                <w:color w:val="auto"/>
                <w:vertAlign w:val="superscript"/>
              </w:rPr>
              <w:t>(g)</w:t>
            </w:r>
            <w:r>
              <w:rPr>
                <w:rFonts w:ascii="Arial" w:cs="Arial" w:eastAsia="Arial" w:hAnsi="Arial"/>
                <w:sz w:val="18"/>
                <w:szCs w:val="18"/>
                <w:color w:val="auto"/>
              </w:rPr>
              <w:t xml:space="preserve"> (See Note 8)</w:t>
            </w:r>
          </w:p>
        </w:tc>
        <w:tc>
          <w:tcPr>
            <w:tcW w:w="200" w:type="dxa"/>
            <w:vAlign w:val="bottom"/>
            <w:shd w:val="clear" w:color="auto" w:fill="CCEEFF"/>
          </w:tcPr>
          <w:p>
            <w:pPr>
              <w:spacing w:after="0"/>
              <w:rPr>
                <w:sz w:val="24"/>
                <w:szCs w:val="24"/>
                <w:color w:val="auto"/>
              </w:rPr>
            </w:pPr>
          </w:p>
        </w:tc>
        <w:tc>
          <w:tcPr>
            <w:tcW w:w="72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193</w:t>
            </w:r>
          </w:p>
        </w:tc>
        <w:tc>
          <w:tcPr>
            <w:tcW w:w="100" w:type="dxa"/>
            <w:vAlign w:val="bottom"/>
            <w:shd w:val="clear" w:color="auto" w:fill="CCEEFF"/>
          </w:tcPr>
          <w:p>
            <w:pPr>
              <w:spacing w:after="0"/>
              <w:rPr>
                <w:sz w:val="24"/>
                <w:szCs w:val="24"/>
                <w:color w:val="auto"/>
              </w:rPr>
            </w:pPr>
          </w:p>
        </w:tc>
        <w:tc>
          <w:tcPr>
            <w:tcW w:w="200" w:type="dxa"/>
            <w:vAlign w:val="bottom"/>
            <w:shd w:val="clear" w:color="auto" w:fill="CCEEFF"/>
          </w:tcPr>
          <w:p>
            <w:pPr>
              <w:spacing w:after="0"/>
              <w:rPr>
                <w:sz w:val="24"/>
                <w:szCs w:val="24"/>
                <w:color w:val="auto"/>
              </w:rPr>
            </w:pPr>
          </w:p>
        </w:tc>
        <w:tc>
          <w:tcPr>
            <w:tcW w:w="72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493</w:t>
            </w:r>
          </w:p>
        </w:tc>
        <w:tc>
          <w:tcPr>
            <w:tcW w:w="120" w:type="dxa"/>
            <w:vAlign w:val="bottom"/>
            <w:shd w:val="clear" w:color="auto" w:fill="CCEEFF"/>
          </w:tcPr>
          <w:p>
            <w:pPr>
              <w:spacing w:after="0"/>
              <w:rPr>
                <w:sz w:val="24"/>
                <w:szCs w:val="24"/>
                <w:color w:val="auto"/>
              </w:rPr>
            </w:pPr>
          </w:p>
        </w:tc>
        <w:tc>
          <w:tcPr>
            <w:tcW w:w="200" w:type="dxa"/>
            <w:vAlign w:val="bottom"/>
            <w:shd w:val="clear" w:color="auto" w:fill="CCEEFF"/>
          </w:tcPr>
          <w:p>
            <w:pPr>
              <w:spacing w:after="0"/>
              <w:rPr>
                <w:sz w:val="24"/>
                <w:szCs w:val="24"/>
                <w:color w:val="auto"/>
              </w:rPr>
            </w:pPr>
          </w:p>
        </w:tc>
        <w:tc>
          <w:tcPr>
            <w:tcW w:w="720" w:type="dxa"/>
            <w:vAlign w:val="bottom"/>
            <w:shd w:val="clear" w:color="auto" w:fill="CCEEFF"/>
          </w:tcPr>
          <w:p>
            <w:pPr>
              <w:jc w:val="right"/>
              <w:ind w:right="32"/>
              <w:spacing w:after="0"/>
              <w:rPr>
                <w:sz w:val="20"/>
                <w:szCs w:val="20"/>
                <w:color w:val="auto"/>
              </w:rPr>
            </w:pPr>
            <w:r>
              <w:rPr>
                <w:rFonts w:ascii="Arial" w:cs="Arial" w:eastAsia="Arial" w:hAnsi="Arial"/>
                <w:sz w:val="18"/>
                <w:szCs w:val="18"/>
                <w:color w:val="auto"/>
              </w:rPr>
              <w:t>607</w:t>
            </w:r>
          </w:p>
        </w:tc>
        <w:tc>
          <w:tcPr>
            <w:tcW w:w="100" w:type="dxa"/>
            <w:vAlign w:val="bottom"/>
            <w:shd w:val="clear" w:color="auto" w:fill="CCEEFF"/>
          </w:tcPr>
          <w:p>
            <w:pPr>
              <w:spacing w:after="0"/>
              <w:rPr>
                <w:sz w:val="24"/>
                <w:szCs w:val="24"/>
                <w:color w:val="auto"/>
              </w:rPr>
            </w:pPr>
          </w:p>
        </w:tc>
        <w:tc>
          <w:tcPr>
            <w:tcW w:w="220" w:type="dxa"/>
            <w:vAlign w:val="bottom"/>
            <w:shd w:val="clear" w:color="auto" w:fill="CCEEFF"/>
          </w:tcPr>
          <w:p>
            <w:pPr>
              <w:spacing w:after="0"/>
              <w:rPr>
                <w:sz w:val="24"/>
                <w:szCs w:val="24"/>
                <w:color w:val="auto"/>
              </w:rPr>
            </w:pPr>
          </w:p>
        </w:tc>
        <w:tc>
          <w:tcPr>
            <w:tcW w:w="70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618</w:t>
            </w:r>
          </w:p>
        </w:tc>
        <w:tc>
          <w:tcPr>
            <w:tcW w:w="100" w:type="dxa"/>
            <w:vAlign w:val="bottom"/>
            <w:shd w:val="clear" w:color="auto" w:fill="CCEEFF"/>
          </w:tcPr>
          <w:p>
            <w:pPr>
              <w:spacing w:after="0"/>
              <w:rPr>
                <w:sz w:val="24"/>
                <w:szCs w:val="24"/>
                <w:color w:val="auto"/>
              </w:rPr>
            </w:pPr>
          </w:p>
        </w:tc>
        <w:tc>
          <w:tcPr>
            <w:tcW w:w="220" w:type="dxa"/>
            <w:vAlign w:val="bottom"/>
            <w:shd w:val="clear" w:color="auto" w:fill="CCEEFF"/>
          </w:tcPr>
          <w:p>
            <w:pPr>
              <w:spacing w:after="0"/>
              <w:rPr>
                <w:sz w:val="24"/>
                <w:szCs w:val="24"/>
                <w:color w:val="auto"/>
              </w:rPr>
            </w:pPr>
          </w:p>
        </w:tc>
        <w:tc>
          <w:tcPr>
            <w:tcW w:w="70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654</w:t>
            </w:r>
          </w:p>
        </w:tc>
        <w:tc>
          <w:tcPr>
            <w:tcW w:w="12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900" w:type="dxa"/>
            <w:vAlign w:val="bottom"/>
            <w:shd w:val="clear" w:color="auto" w:fill="CCEEFF"/>
          </w:tcPr>
          <w:p>
            <w:pPr>
              <w:jc w:val="right"/>
              <w:ind w:right="32"/>
              <w:spacing w:after="0"/>
              <w:rPr>
                <w:sz w:val="20"/>
                <w:szCs w:val="20"/>
                <w:color w:val="auto"/>
              </w:rPr>
            </w:pPr>
            <w:r>
              <w:rPr>
                <w:rFonts w:ascii="Arial" w:cs="Arial" w:eastAsia="Arial" w:hAnsi="Arial"/>
                <w:sz w:val="18"/>
                <w:szCs w:val="18"/>
                <w:color w:val="auto"/>
              </w:rPr>
              <w:t>413</w:t>
            </w:r>
          </w:p>
        </w:tc>
        <w:tc>
          <w:tcPr>
            <w:tcW w:w="100" w:type="dxa"/>
            <w:vAlign w:val="bottom"/>
            <w:shd w:val="clear" w:color="auto" w:fill="CCEEFF"/>
          </w:tcPr>
          <w:p>
            <w:pPr>
              <w:spacing w:after="0"/>
              <w:rPr>
                <w:sz w:val="24"/>
                <w:szCs w:val="24"/>
                <w:color w:val="auto"/>
              </w:rPr>
            </w:pPr>
          </w:p>
        </w:tc>
        <w:tc>
          <w:tcPr>
            <w:tcW w:w="200" w:type="dxa"/>
            <w:vAlign w:val="bottom"/>
            <w:shd w:val="clear" w:color="auto" w:fill="CCEEFF"/>
          </w:tcPr>
          <w:p>
            <w:pPr>
              <w:spacing w:after="0"/>
              <w:rPr>
                <w:sz w:val="24"/>
                <w:szCs w:val="24"/>
                <w:color w:val="auto"/>
              </w:rPr>
            </w:pPr>
          </w:p>
        </w:tc>
        <w:tc>
          <w:tcPr>
            <w:tcW w:w="72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2,978</w:t>
            </w:r>
          </w:p>
        </w:tc>
      </w:tr>
      <w:tr>
        <w:trPr>
          <w:trHeight w:val="229"/>
        </w:trPr>
        <w:tc>
          <w:tcPr>
            <w:tcW w:w="4220" w:type="dxa"/>
            <w:vAlign w:val="bottom"/>
          </w:tcPr>
          <w:p>
            <w:pPr>
              <w:ind w:left="40"/>
              <w:spacing w:after="0"/>
              <w:rPr>
                <w:sz w:val="20"/>
                <w:szCs w:val="20"/>
                <w:color w:val="auto"/>
              </w:rPr>
            </w:pPr>
            <w:r>
              <w:rPr>
                <w:rFonts w:ascii="Arial" w:cs="Arial" w:eastAsia="Arial" w:hAnsi="Arial"/>
                <w:sz w:val="18"/>
                <w:szCs w:val="18"/>
                <w:color w:val="auto"/>
              </w:rPr>
              <w:t>Retiree medical and other postretirement benefits</w:t>
            </w:r>
          </w:p>
        </w:tc>
        <w:tc>
          <w:tcPr>
            <w:tcW w:w="20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720" w:type="dxa"/>
            <w:vAlign w:val="bottom"/>
          </w:tcPr>
          <w:p>
            <w:pPr>
              <w:spacing w:after="0"/>
              <w:rPr>
                <w:sz w:val="19"/>
                <w:szCs w:val="19"/>
                <w:color w:val="auto"/>
              </w:rPr>
            </w:pPr>
          </w:p>
        </w:tc>
      </w:tr>
      <w:tr>
        <w:trPr>
          <w:trHeight w:val="224"/>
        </w:trPr>
        <w:tc>
          <w:tcPr>
            <w:tcW w:w="4220" w:type="dxa"/>
            <w:vAlign w:val="bottom"/>
          </w:tcPr>
          <w:p>
            <w:pPr>
              <w:ind w:left="200"/>
              <w:spacing w:after="0"/>
              <w:rPr>
                <w:sz w:val="20"/>
                <w:szCs w:val="20"/>
                <w:color w:val="auto"/>
              </w:rPr>
            </w:pPr>
            <w:r>
              <w:rPr>
                <w:rFonts w:ascii="Arial" w:cs="Arial" w:eastAsia="Arial" w:hAnsi="Arial"/>
                <w:sz w:val="18"/>
                <w:szCs w:val="18"/>
                <w:color w:val="auto"/>
              </w:rPr>
              <w:t>(See Note 8)</w:t>
            </w:r>
          </w:p>
        </w:tc>
        <w:tc>
          <w:tcPr>
            <w:tcW w:w="200" w:type="dxa"/>
            <w:vAlign w:val="bottom"/>
          </w:tcPr>
          <w:p>
            <w:pPr>
              <w:spacing w:after="0"/>
              <w:rPr>
                <w:sz w:val="19"/>
                <w:szCs w:val="19"/>
                <w:color w:val="auto"/>
              </w:rPr>
            </w:pPr>
          </w:p>
        </w:tc>
        <w:tc>
          <w:tcPr>
            <w:tcW w:w="720" w:type="dxa"/>
            <w:vAlign w:val="bottom"/>
          </w:tcPr>
          <w:p>
            <w:pPr>
              <w:jc w:val="right"/>
              <w:ind w:right="11"/>
              <w:spacing w:after="0"/>
              <w:rPr>
                <w:sz w:val="20"/>
                <w:szCs w:val="20"/>
                <w:color w:val="auto"/>
              </w:rPr>
            </w:pPr>
            <w:r>
              <w:rPr>
                <w:rFonts w:ascii="Arial" w:cs="Arial" w:eastAsia="Arial" w:hAnsi="Arial"/>
                <w:sz w:val="18"/>
                <w:szCs w:val="18"/>
                <w:color w:val="auto"/>
              </w:rPr>
              <w:t>24</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720" w:type="dxa"/>
            <w:vAlign w:val="bottom"/>
          </w:tcPr>
          <w:p>
            <w:pPr>
              <w:jc w:val="right"/>
              <w:ind w:right="11"/>
              <w:spacing w:after="0"/>
              <w:rPr>
                <w:sz w:val="20"/>
                <w:szCs w:val="20"/>
                <w:color w:val="auto"/>
              </w:rPr>
            </w:pPr>
            <w:r>
              <w:rPr>
                <w:rFonts w:ascii="Arial" w:cs="Arial" w:eastAsia="Arial" w:hAnsi="Arial"/>
                <w:sz w:val="18"/>
                <w:szCs w:val="18"/>
                <w:color w:val="auto"/>
              </w:rPr>
              <w:t>18</w:t>
            </w: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720" w:type="dxa"/>
            <w:vAlign w:val="bottom"/>
          </w:tcPr>
          <w:p>
            <w:pPr>
              <w:jc w:val="right"/>
              <w:ind w:right="32"/>
              <w:spacing w:after="0"/>
              <w:rPr>
                <w:sz w:val="20"/>
                <w:szCs w:val="20"/>
                <w:color w:val="auto"/>
              </w:rPr>
            </w:pPr>
            <w:r>
              <w:rPr>
                <w:rFonts w:ascii="Arial" w:cs="Arial" w:eastAsia="Arial" w:hAnsi="Arial"/>
                <w:sz w:val="18"/>
                <w:szCs w:val="18"/>
                <w:color w:val="auto"/>
              </w:rPr>
              <w:t>18</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700" w:type="dxa"/>
            <w:vAlign w:val="bottom"/>
          </w:tcPr>
          <w:p>
            <w:pPr>
              <w:jc w:val="right"/>
              <w:ind w:right="11"/>
              <w:spacing w:after="0"/>
              <w:rPr>
                <w:sz w:val="20"/>
                <w:szCs w:val="20"/>
                <w:color w:val="auto"/>
              </w:rPr>
            </w:pPr>
            <w:r>
              <w:rPr>
                <w:rFonts w:ascii="Arial" w:cs="Arial" w:eastAsia="Arial" w:hAnsi="Arial"/>
                <w:sz w:val="18"/>
                <w:szCs w:val="18"/>
                <w:color w:val="auto"/>
              </w:rPr>
              <w:t>17</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700" w:type="dxa"/>
            <w:vAlign w:val="bottom"/>
          </w:tcPr>
          <w:p>
            <w:pPr>
              <w:jc w:val="right"/>
              <w:ind w:right="11"/>
              <w:spacing w:after="0"/>
              <w:rPr>
                <w:sz w:val="20"/>
                <w:szCs w:val="20"/>
                <w:color w:val="auto"/>
              </w:rPr>
            </w:pPr>
            <w:r>
              <w:rPr>
                <w:rFonts w:ascii="Arial" w:cs="Arial" w:eastAsia="Arial" w:hAnsi="Arial"/>
                <w:sz w:val="18"/>
                <w:szCs w:val="18"/>
                <w:color w:val="auto"/>
              </w:rPr>
              <w:t>29</w:t>
            </w: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00" w:type="dxa"/>
            <w:vAlign w:val="bottom"/>
          </w:tcPr>
          <w:p>
            <w:pPr>
              <w:jc w:val="right"/>
              <w:ind w:right="32"/>
              <w:spacing w:after="0"/>
              <w:rPr>
                <w:sz w:val="20"/>
                <w:szCs w:val="20"/>
                <w:color w:val="auto"/>
              </w:rPr>
            </w:pPr>
            <w:r>
              <w:rPr>
                <w:rFonts w:ascii="Arial" w:cs="Arial" w:eastAsia="Arial" w:hAnsi="Arial"/>
                <w:sz w:val="18"/>
                <w:szCs w:val="18"/>
                <w:color w:val="auto"/>
              </w:rPr>
              <w:t>265</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720" w:type="dxa"/>
            <w:vAlign w:val="bottom"/>
          </w:tcPr>
          <w:p>
            <w:pPr>
              <w:jc w:val="right"/>
              <w:ind w:right="11"/>
              <w:spacing w:after="0"/>
              <w:rPr>
                <w:sz w:val="20"/>
                <w:szCs w:val="20"/>
                <w:color w:val="auto"/>
              </w:rPr>
            </w:pPr>
            <w:r>
              <w:rPr>
                <w:rFonts w:ascii="Arial" w:cs="Arial" w:eastAsia="Arial" w:hAnsi="Arial"/>
                <w:sz w:val="18"/>
                <w:szCs w:val="18"/>
                <w:color w:val="auto"/>
              </w:rPr>
              <w:t>371</w:t>
            </w:r>
          </w:p>
        </w:tc>
      </w:tr>
      <w:tr>
        <w:trPr>
          <w:trHeight w:val="277"/>
        </w:trPr>
        <w:tc>
          <w:tcPr>
            <w:tcW w:w="4220" w:type="dxa"/>
            <w:vAlign w:val="bottom"/>
            <w:shd w:val="clear" w:color="auto" w:fill="CCEEFF"/>
          </w:tcPr>
          <w:p>
            <w:pPr>
              <w:ind w:left="40"/>
              <w:spacing w:after="0"/>
              <w:rPr>
                <w:sz w:val="20"/>
                <w:szCs w:val="20"/>
                <w:color w:val="auto"/>
              </w:rPr>
            </w:pPr>
            <w:r>
              <w:rPr>
                <w:rFonts w:ascii="Arial" w:cs="Arial" w:eastAsia="Arial" w:hAnsi="Arial"/>
                <w:sz w:val="18"/>
                <w:szCs w:val="18"/>
                <w:color w:val="auto"/>
              </w:rPr>
              <w:t xml:space="preserve">Other purchase obligations </w:t>
            </w:r>
            <w:r>
              <w:rPr>
                <w:rFonts w:ascii="Arial" w:cs="Arial" w:eastAsia="Arial" w:hAnsi="Arial"/>
                <w:sz w:val="21"/>
                <w:szCs w:val="21"/>
                <w:color w:val="auto"/>
                <w:vertAlign w:val="superscript"/>
              </w:rPr>
              <w:t>(h)</w:t>
            </w:r>
            <w:r>
              <w:rPr>
                <w:rFonts w:ascii="Arial" w:cs="Arial" w:eastAsia="Arial" w:hAnsi="Arial"/>
                <w:sz w:val="18"/>
                <w:szCs w:val="18"/>
                <w:color w:val="auto"/>
              </w:rPr>
              <w:t xml:space="preserve"> (See Note 10(a))</w:t>
            </w:r>
          </w:p>
        </w:tc>
        <w:tc>
          <w:tcPr>
            <w:tcW w:w="200" w:type="dxa"/>
            <w:vAlign w:val="bottom"/>
            <w:tcBorders>
              <w:bottom w:val="single" w:sz="8" w:color="auto"/>
            </w:tcBorders>
            <w:shd w:val="clear" w:color="auto" w:fill="CCEEFF"/>
          </w:tcPr>
          <w:p>
            <w:pPr>
              <w:spacing w:after="0"/>
              <w:rPr>
                <w:sz w:val="24"/>
                <w:szCs w:val="24"/>
                <w:color w:val="auto"/>
              </w:rPr>
            </w:pPr>
          </w:p>
        </w:tc>
        <w:tc>
          <w:tcPr>
            <w:tcW w:w="720" w:type="dxa"/>
            <w:vAlign w:val="bottom"/>
            <w:tcBorders>
              <w:bottom w:val="single" w:sz="8" w:color="auto"/>
            </w:tcBorders>
            <w:shd w:val="clear" w:color="auto" w:fill="CCEEFF"/>
          </w:tcPr>
          <w:p>
            <w:pPr>
              <w:jc w:val="right"/>
              <w:ind w:right="11"/>
              <w:spacing w:after="0"/>
              <w:rPr>
                <w:sz w:val="20"/>
                <w:szCs w:val="20"/>
                <w:color w:val="auto"/>
              </w:rPr>
            </w:pPr>
            <w:r>
              <w:rPr>
                <w:rFonts w:ascii="Arial" w:cs="Arial" w:eastAsia="Arial" w:hAnsi="Arial"/>
                <w:sz w:val="18"/>
                <w:szCs w:val="18"/>
                <w:color w:val="auto"/>
              </w:rPr>
              <w:t>3,546</w:t>
            </w:r>
          </w:p>
        </w:tc>
        <w:tc>
          <w:tcPr>
            <w:tcW w:w="100" w:type="dxa"/>
            <w:vAlign w:val="bottom"/>
            <w:shd w:val="clear" w:color="auto" w:fill="CCEEFF"/>
          </w:tcPr>
          <w:p>
            <w:pPr>
              <w:spacing w:after="0"/>
              <w:rPr>
                <w:sz w:val="24"/>
                <w:szCs w:val="24"/>
                <w:color w:val="auto"/>
              </w:rPr>
            </w:pPr>
          </w:p>
        </w:tc>
        <w:tc>
          <w:tcPr>
            <w:tcW w:w="200" w:type="dxa"/>
            <w:vAlign w:val="bottom"/>
            <w:tcBorders>
              <w:bottom w:val="single" w:sz="8" w:color="auto"/>
            </w:tcBorders>
            <w:shd w:val="clear" w:color="auto" w:fill="CCEEFF"/>
          </w:tcPr>
          <w:p>
            <w:pPr>
              <w:spacing w:after="0"/>
              <w:rPr>
                <w:sz w:val="24"/>
                <w:szCs w:val="24"/>
                <w:color w:val="auto"/>
              </w:rPr>
            </w:pPr>
          </w:p>
        </w:tc>
        <w:tc>
          <w:tcPr>
            <w:tcW w:w="720" w:type="dxa"/>
            <w:vAlign w:val="bottom"/>
            <w:tcBorders>
              <w:bottom w:val="single" w:sz="8" w:color="auto"/>
            </w:tcBorders>
            <w:shd w:val="clear" w:color="auto" w:fill="CCEEFF"/>
          </w:tcPr>
          <w:p>
            <w:pPr>
              <w:jc w:val="right"/>
              <w:ind w:right="11"/>
              <w:spacing w:after="0"/>
              <w:rPr>
                <w:sz w:val="20"/>
                <w:szCs w:val="20"/>
                <w:color w:val="auto"/>
              </w:rPr>
            </w:pPr>
            <w:r>
              <w:rPr>
                <w:rFonts w:ascii="Arial" w:cs="Arial" w:eastAsia="Arial" w:hAnsi="Arial"/>
                <w:sz w:val="18"/>
                <w:szCs w:val="18"/>
                <w:color w:val="auto"/>
              </w:rPr>
              <w:t>3,508</w:t>
            </w:r>
          </w:p>
        </w:tc>
        <w:tc>
          <w:tcPr>
            <w:tcW w:w="120" w:type="dxa"/>
            <w:vAlign w:val="bottom"/>
            <w:shd w:val="clear" w:color="auto" w:fill="CCEEFF"/>
          </w:tcPr>
          <w:p>
            <w:pPr>
              <w:spacing w:after="0"/>
              <w:rPr>
                <w:sz w:val="24"/>
                <w:szCs w:val="24"/>
                <w:color w:val="auto"/>
              </w:rPr>
            </w:pPr>
          </w:p>
        </w:tc>
        <w:tc>
          <w:tcPr>
            <w:tcW w:w="200" w:type="dxa"/>
            <w:vAlign w:val="bottom"/>
            <w:tcBorders>
              <w:bottom w:val="single" w:sz="8" w:color="auto"/>
            </w:tcBorders>
            <w:shd w:val="clear" w:color="auto" w:fill="CCEEFF"/>
          </w:tcPr>
          <w:p>
            <w:pPr>
              <w:spacing w:after="0"/>
              <w:rPr>
                <w:sz w:val="24"/>
                <w:szCs w:val="24"/>
                <w:color w:val="auto"/>
              </w:rPr>
            </w:pPr>
          </w:p>
        </w:tc>
        <w:tc>
          <w:tcPr>
            <w:tcW w:w="720" w:type="dxa"/>
            <w:vAlign w:val="bottom"/>
            <w:tcBorders>
              <w:bottom w:val="single" w:sz="8" w:color="auto"/>
            </w:tcBorders>
            <w:shd w:val="clear" w:color="auto" w:fill="CCEEFF"/>
          </w:tcPr>
          <w:p>
            <w:pPr>
              <w:jc w:val="right"/>
              <w:ind w:right="32"/>
              <w:spacing w:after="0"/>
              <w:rPr>
                <w:sz w:val="20"/>
                <w:szCs w:val="20"/>
                <w:color w:val="auto"/>
              </w:rPr>
            </w:pPr>
            <w:r>
              <w:rPr>
                <w:rFonts w:ascii="Arial" w:cs="Arial" w:eastAsia="Arial" w:hAnsi="Arial"/>
                <w:sz w:val="18"/>
                <w:szCs w:val="18"/>
                <w:color w:val="auto"/>
              </w:rPr>
              <w:t>1,328</w:t>
            </w:r>
          </w:p>
        </w:tc>
        <w:tc>
          <w:tcPr>
            <w:tcW w:w="100" w:type="dxa"/>
            <w:vAlign w:val="bottom"/>
            <w:shd w:val="clear" w:color="auto" w:fill="CCEEFF"/>
          </w:tcPr>
          <w:p>
            <w:pPr>
              <w:spacing w:after="0"/>
              <w:rPr>
                <w:sz w:val="24"/>
                <w:szCs w:val="24"/>
                <w:color w:val="auto"/>
              </w:rPr>
            </w:pPr>
          </w:p>
        </w:tc>
        <w:tc>
          <w:tcPr>
            <w:tcW w:w="220" w:type="dxa"/>
            <w:vAlign w:val="bottom"/>
            <w:tcBorders>
              <w:bottom w:val="single" w:sz="8" w:color="auto"/>
            </w:tcBorders>
            <w:shd w:val="clear" w:color="auto" w:fill="CCEEFF"/>
          </w:tcPr>
          <w:p>
            <w:pPr>
              <w:spacing w:after="0"/>
              <w:rPr>
                <w:sz w:val="24"/>
                <w:szCs w:val="24"/>
                <w:color w:val="auto"/>
              </w:rPr>
            </w:pPr>
          </w:p>
        </w:tc>
        <w:tc>
          <w:tcPr>
            <w:tcW w:w="700" w:type="dxa"/>
            <w:vAlign w:val="bottom"/>
            <w:tcBorders>
              <w:bottom w:val="single" w:sz="8" w:color="auto"/>
            </w:tcBorders>
            <w:shd w:val="clear" w:color="auto" w:fill="CCEEFF"/>
          </w:tcPr>
          <w:p>
            <w:pPr>
              <w:jc w:val="right"/>
              <w:ind w:right="11"/>
              <w:spacing w:after="0"/>
              <w:rPr>
                <w:sz w:val="20"/>
                <w:szCs w:val="20"/>
                <w:color w:val="auto"/>
              </w:rPr>
            </w:pPr>
            <w:r>
              <w:rPr>
                <w:rFonts w:ascii="Arial" w:cs="Arial" w:eastAsia="Arial" w:hAnsi="Arial"/>
                <w:sz w:val="18"/>
                <w:szCs w:val="18"/>
                <w:color w:val="auto"/>
              </w:rPr>
              <w:t>130</w:t>
            </w:r>
          </w:p>
        </w:tc>
        <w:tc>
          <w:tcPr>
            <w:tcW w:w="100" w:type="dxa"/>
            <w:vAlign w:val="bottom"/>
            <w:shd w:val="clear" w:color="auto" w:fill="CCEEFF"/>
          </w:tcPr>
          <w:p>
            <w:pPr>
              <w:spacing w:after="0"/>
              <w:rPr>
                <w:sz w:val="24"/>
                <w:szCs w:val="24"/>
                <w:color w:val="auto"/>
              </w:rPr>
            </w:pPr>
          </w:p>
        </w:tc>
        <w:tc>
          <w:tcPr>
            <w:tcW w:w="220" w:type="dxa"/>
            <w:vAlign w:val="bottom"/>
            <w:tcBorders>
              <w:bottom w:val="single" w:sz="8" w:color="auto"/>
            </w:tcBorders>
            <w:shd w:val="clear" w:color="auto" w:fill="CCEEFF"/>
          </w:tcPr>
          <w:p>
            <w:pPr>
              <w:spacing w:after="0"/>
              <w:rPr>
                <w:sz w:val="24"/>
                <w:szCs w:val="24"/>
                <w:color w:val="auto"/>
              </w:rPr>
            </w:pPr>
          </w:p>
        </w:tc>
        <w:tc>
          <w:tcPr>
            <w:tcW w:w="700" w:type="dxa"/>
            <w:vAlign w:val="bottom"/>
            <w:tcBorders>
              <w:bottom w:val="single" w:sz="8" w:color="auto"/>
            </w:tcBorders>
            <w:shd w:val="clear" w:color="auto" w:fill="CCEEFF"/>
          </w:tcPr>
          <w:p>
            <w:pPr>
              <w:jc w:val="right"/>
              <w:ind w:right="11"/>
              <w:spacing w:after="0"/>
              <w:rPr>
                <w:sz w:val="20"/>
                <w:szCs w:val="20"/>
                <w:color w:val="auto"/>
              </w:rPr>
            </w:pPr>
            <w:r>
              <w:rPr>
                <w:rFonts w:ascii="Arial" w:cs="Arial" w:eastAsia="Arial" w:hAnsi="Arial"/>
                <w:sz w:val="18"/>
                <w:szCs w:val="18"/>
                <w:color w:val="auto"/>
              </w:rPr>
              <w:t>81</w:t>
            </w:r>
          </w:p>
        </w:tc>
        <w:tc>
          <w:tcPr>
            <w:tcW w:w="120" w:type="dxa"/>
            <w:vAlign w:val="bottom"/>
            <w:shd w:val="clear" w:color="auto" w:fill="CCEEFF"/>
          </w:tcPr>
          <w:p>
            <w:pPr>
              <w:spacing w:after="0"/>
              <w:rPr>
                <w:sz w:val="24"/>
                <w:szCs w:val="24"/>
                <w:color w:val="auto"/>
              </w:rPr>
            </w:pPr>
          </w:p>
        </w:tc>
        <w:tc>
          <w:tcPr>
            <w:tcW w:w="140" w:type="dxa"/>
            <w:vAlign w:val="bottom"/>
            <w:tcBorders>
              <w:bottom w:val="single" w:sz="8" w:color="auto"/>
            </w:tcBorders>
            <w:shd w:val="clear" w:color="auto" w:fill="CCEEFF"/>
          </w:tcPr>
          <w:p>
            <w:pPr>
              <w:spacing w:after="0"/>
              <w:rPr>
                <w:sz w:val="24"/>
                <w:szCs w:val="24"/>
                <w:color w:val="auto"/>
              </w:rPr>
            </w:pPr>
          </w:p>
        </w:tc>
        <w:tc>
          <w:tcPr>
            <w:tcW w:w="900" w:type="dxa"/>
            <w:vAlign w:val="bottom"/>
            <w:tcBorders>
              <w:bottom w:val="single" w:sz="8" w:color="auto"/>
            </w:tcBorders>
            <w:shd w:val="clear" w:color="auto" w:fill="CCEEFF"/>
          </w:tcPr>
          <w:p>
            <w:pPr>
              <w:jc w:val="right"/>
              <w:ind w:right="32"/>
              <w:spacing w:after="0"/>
              <w:rPr>
                <w:sz w:val="20"/>
                <w:szCs w:val="20"/>
                <w:color w:val="auto"/>
              </w:rPr>
            </w:pPr>
            <w:r>
              <w:rPr>
                <w:rFonts w:ascii="Arial" w:cs="Arial" w:eastAsia="Arial" w:hAnsi="Arial"/>
                <w:sz w:val="18"/>
                <w:szCs w:val="18"/>
                <w:color w:val="auto"/>
              </w:rPr>
              <w:t>77</w:t>
            </w:r>
          </w:p>
        </w:tc>
        <w:tc>
          <w:tcPr>
            <w:tcW w:w="100" w:type="dxa"/>
            <w:vAlign w:val="bottom"/>
            <w:shd w:val="clear" w:color="auto" w:fill="CCEEFF"/>
          </w:tcPr>
          <w:p>
            <w:pPr>
              <w:spacing w:after="0"/>
              <w:rPr>
                <w:sz w:val="24"/>
                <w:szCs w:val="24"/>
                <w:color w:val="auto"/>
              </w:rPr>
            </w:pPr>
          </w:p>
        </w:tc>
        <w:tc>
          <w:tcPr>
            <w:tcW w:w="200" w:type="dxa"/>
            <w:vAlign w:val="bottom"/>
            <w:tcBorders>
              <w:bottom w:val="single" w:sz="8" w:color="auto"/>
            </w:tcBorders>
            <w:shd w:val="clear" w:color="auto" w:fill="CCEEFF"/>
          </w:tcPr>
          <w:p>
            <w:pPr>
              <w:spacing w:after="0"/>
              <w:rPr>
                <w:sz w:val="24"/>
                <w:szCs w:val="24"/>
                <w:color w:val="auto"/>
              </w:rPr>
            </w:pPr>
          </w:p>
        </w:tc>
        <w:tc>
          <w:tcPr>
            <w:tcW w:w="720" w:type="dxa"/>
            <w:vAlign w:val="bottom"/>
            <w:tcBorders>
              <w:bottom w:val="single" w:sz="8" w:color="auto"/>
            </w:tcBorders>
            <w:shd w:val="clear" w:color="auto" w:fill="CCEEFF"/>
          </w:tcPr>
          <w:p>
            <w:pPr>
              <w:jc w:val="right"/>
              <w:ind w:right="11"/>
              <w:spacing w:after="0"/>
              <w:rPr>
                <w:sz w:val="20"/>
                <w:szCs w:val="20"/>
                <w:color w:val="auto"/>
              </w:rPr>
            </w:pPr>
            <w:r>
              <w:rPr>
                <w:rFonts w:ascii="Arial" w:cs="Arial" w:eastAsia="Arial" w:hAnsi="Arial"/>
                <w:sz w:val="18"/>
                <w:szCs w:val="18"/>
                <w:color w:val="auto"/>
              </w:rPr>
              <w:t>8,670</w:t>
            </w:r>
          </w:p>
        </w:tc>
      </w:tr>
      <w:tr>
        <w:trPr>
          <w:trHeight w:val="243"/>
        </w:trPr>
        <w:tc>
          <w:tcPr>
            <w:tcW w:w="4220" w:type="dxa"/>
            <w:vAlign w:val="bottom"/>
          </w:tcPr>
          <w:p>
            <w:pPr>
              <w:ind w:left="380"/>
              <w:spacing w:after="0"/>
              <w:rPr>
                <w:sz w:val="20"/>
                <w:szCs w:val="20"/>
                <w:color w:val="auto"/>
              </w:rPr>
            </w:pPr>
            <w:r>
              <w:rPr>
                <w:rFonts w:ascii="Arial" w:cs="Arial" w:eastAsia="Arial" w:hAnsi="Arial"/>
                <w:sz w:val="18"/>
                <w:szCs w:val="18"/>
                <w:color w:val="auto"/>
              </w:rPr>
              <w:t>Total American Contractual Obligations</w:t>
            </w:r>
          </w:p>
        </w:tc>
        <w:tc>
          <w:tcPr>
            <w:tcW w:w="20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720" w:type="dxa"/>
            <w:vAlign w:val="bottom"/>
          </w:tcPr>
          <w:p>
            <w:pPr>
              <w:jc w:val="right"/>
              <w:ind w:right="11"/>
              <w:spacing w:after="0"/>
              <w:rPr>
                <w:sz w:val="20"/>
                <w:szCs w:val="20"/>
                <w:color w:val="auto"/>
              </w:rPr>
            </w:pPr>
            <w:r>
              <w:rPr>
                <w:rFonts w:ascii="Arial" w:cs="Arial" w:eastAsia="Arial" w:hAnsi="Arial"/>
                <w:sz w:val="18"/>
                <w:szCs w:val="18"/>
                <w:color w:val="auto"/>
              </w:rPr>
              <w:t>11,796</w:t>
            </w:r>
          </w:p>
        </w:tc>
        <w:tc>
          <w:tcPr>
            <w:tcW w:w="100" w:type="dxa"/>
            <w:vAlign w:val="bottom"/>
          </w:tcPr>
          <w:p>
            <w:pPr>
              <w:spacing w:after="0"/>
              <w:rPr>
                <w:sz w:val="21"/>
                <w:szCs w:val="21"/>
                <w:color w:val="auto"/>
              </w:rPr>
            </w:pPr>
          </w:p>
        </w:tc>
        <w:tc>
          <w:tcPr>
            <w:tcW w:w="200" w:type="dxa"/>
            <w:vAlign w:val="bottom"/>
          </w:tcPr>
          <w:p>
            <w:pPr>
              <w:jc w:val="right"/>
              <w:spacing w:after="0"/>
              <w:rPr>
                <w:sz w:val="20"/>
                <w:szCs w:val="20"/>
                <w:color w:val="auto"/>
              </w:rPr>
            </w:pPr>
            <w:r>
              <w:rPr>
                <w:rFonts w:ascii="Arial" w:cs="Arial" w:eastAsia="Arial" w:hAnsi="Arial"/>
                <w:sz w:val="18"/>
                <w:szCs w:val="18"/>
                <w:color w:val="auto"/>
              </w:rPr>
              <w:t>$</w:t>
            </w:r>
          </w:p>
        </w:tc>
        <w:tc>
          <w:tcPr>
            <w:tcW w:w="720" w:type="dxa"/>
            <w:vAlign w:val="bottom"/>
          </w:tcPr>
          <w:p>
            <w:pPr>
              <w:jc w:val="right"/>
              <w:ind w:right="11"/>
              <w:spacing w:after="0"/>
              <w:rPr>
                <w:sz w:val="20"/>
                <w:szCs w:val="20"/>
                <w:color w:val="auto"/>
              </w:rPr>
            </w:pPr>
            <w:r>
              <w:rPr>
                <w:rFonts w:ascii="Arial" w:cs="Arial" w:eastAsia="Arial" w:hAnsi="Arial"/>
                <w:sz w:val="18"/>
                <w:szCs w:val="18"/>
                <w:color w:val="auto"/>
              </w:rPr>
              <w:t>12,290</w:t>
            </w:r>
          </w:p>
        </w:tc>
        <w:tc>
          <w:tcPr>
            <w:tcW w:w="120" w:type="dxa"/>
            <w:vAlign w:val="bottom"/>
          </w:tcPr>
          <w:p>
            <w:pPr>
              <w:spacing w:after="0"/>
              <w:rPr>
                <w:sz w:val="21"/>
                <w:szCs w:val="21"/>
                <w:color w:val="auto"/>
              </w:rPr>
            </w:pPr>
          </w:p>
        </w:tc>
        <w:tc>
          <w:tcPr>
            <w:tcW w:w="20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720" w:type="dxa"/>
            <w:vAlign w:val="bottom"/>
          </w:tcPr>
          <w:p>
            <w:pPr>
              <w:jc w:val="right"/>
              <w:ind w:right="32"/>
              <w:spacing w:after="0"/>
              <w:rPr>
                <w:sz w:val="20"/>
                <w:szCs w:val="20"/>
                <w:color w:val="auto"/>
              </w:rPr>
            </w:pPr>
            <w:r>
              <w:rPr>
                <w:rFonts w:ascii="Arial" w:cs="Arial" w:eastAsia="Arial" w:hAnsi="Arial"/>
                <w:sz w:val="18"/>
                <w:szCs w:val="18"/>
                <w:color w:val="auto"/>
              </w:rPr>
              <w:t>8,764</w:t>
            </w:r>
          </w:p>
        </w:tc>
        <w:tc>
          <w:tcPr>
            <w:tcW w:w="100" w:type="dxa"/>
            <w:vAlign w:val="bottom"/>
          </w:tcPr>
          <w:p>
            <w:pPr>
              <w:spacing w:after="0"/>
              <w:rPr>
                <w:sz w:val="21"/>
                <w:szCs w:val="21"/>
                <w:color w:val="auto"/>
              </w:rPr>
            </w:pPr>
          </w:p>
        </w:tc>
        <w:tc>
          <w:tcPr>
            <w:tcW w:w="220" w:type="dxa"/>
            <w:vAlign w:val="bottom"/>
          </w:tcPr>
          <w:p>
            <w:pPr>
              <w:jc w:val="right"/>
              <w:ind w:right="10"/>
              <w:spacing w:after="0"/>
              <w:rPr>
                <w:sz w:val="20"/>
                <w:szCs w:val="20"/>
                <w:color w:val="auto"/>
              </w:rPr>
            </w:pPr>
            <w:r>
              <w:rPr>
                <w:rFonts w:ascii="Arial" w:cs="Arial" w:eastAsia="Arial" w:hAnsi="Arial"/>
                <w:sz w:val="18"/>
                <w:szCs w:val="18"/>
                <w:color w:val="auto"/>
                <w:w w:val="99"/>
              </w:rPr>
              <w:t>$</w:t>
            </w:r>
          </w:p>
        </w:tc>
        <w:tc>
          <w:tcPr>
            <w:tcW w:w="700" w:type="dxa"/>
            <w:vAlign w:val="bottom"/>
          </w:tcPr>
          <w:p>
            <w:pPr>
              <w:jc w:val="right"/>
              <w:ind w:right="11"/>
              <w:spacing w:after="0"/>
              <w:rPr>
                <w:sz w:val="20"/>
                <w:szCs w:val="20"/>
                <w:color w:val="auto"/>
              </w:rPr>
            </w:pPr>
            <w:r>
              <w:rPr>
                <w:rFonts w:ascii="Arial" w:cs="Arial" w:eastAsia="Arial" w:hAnsi="Arial"/>
                <w:sz w:val="18"/>
                <w:szCs w:val="18"/>
                <w:color w:val="auto"/>
              </w:rPr>
              <w:t>9,700</w:t>
            </w:r>
          </w:p>
        </w:tc>
        <w:tc>
          <w:tcPr>
            <w:tcW w:w="100" w:type="dxa"/>
            <w:vAlign w:val="bottom"/>
          </w:tcPr>
          <w:p>
            <w:pPr>
              <w:spacing w:after="0"/>
              <w:rPr>
                <w:sz w:val="21"/>
                <w:szCs w:val="21"/>
                <w:color w:val="auto"/>
              </w:rPr>
            </w:pPr>
          </w:p>
        </w:tc>
        <w:tc>
          <w:tcPr>
            <w:tcW w:w="220" w:type="dxa"/>
            <w:vAlign w:val="bottom"/>
          </w:tcPr>
          <w:p>
            <w:pPr>
              <w:jc w:val="right"/>
              <w:spacing w:after="0"/>
              <w:rPr>
                <w:sz w:val="20"/>
                <w:szCs w:val="20"/>
                <w:color w:val="auto"/>
              </w:rPr>
            </w:pPr>
            <w:r>
              <w:rPr>
                <w:rFonts w:ascii="Arial" w:cs="Arial" w:eastAsia="Arial" w:hAnsi="Arial"/>
                <w:sz w:val="18"/>
                <w:szCs w:val="18"/>
                <w:color w:val="auto"/>
              </w:rPr>
              <w:t>$</w:t>
            </w:r>
          </w:p>
        </w:tc>
        <w:tc>
          <w:tcPr>
            <w:tcW w:w="700" w:type="dxa"/>
            <w:vAlign w:val="bottom"/>
          </w:tcPr>
          <w:p>
            <w:pPr>
              <w:jc w:val="right"/>
              <w:ind w:right="11"/>
              <w:spacing w:after="0"/>
              <w:rPr>
                <w:sz w:val="20"/>
                <w:szCs w:val="20"/>
                <w:color w:val="auto"/>
              </w:rPr>
            </w:pPr>
            <w:r>
              <w:rPr>
                <w:rFonts w:ascii="Arial" w:cs="Arial" w:eastAsia="Arial" w:hAnsi="Arial"/>
                <w:sz w:val="18"/>
                <w:szCs w:val="18"/>
                <w:color w:val="auto"/>
              </w:rPr>
              <w:t>7,667</w:t>
            </w:r>
          </w:p>
        </w:tc>
        <w:tc>
          <w:tcPr>
            <w:tcW w:w="120" w:type="dxa"/>
            <w:vAlign w:val="bottom"/>
          </w:tcPr>
          <w:p>
            <w:pPr>
              <w:spacing w:after="0"/>
              <w:rPr>
                <w:sz w:val="21"/>
                <w:szCs w:val="21"/>
                <w:color w:val="auto"/>
              </w:rPr>
            </w:pPr>
          </w:p>
        </w:tc>
        <w:tc>
          <w:tcPr>
            <w:tcW w:w="14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900" w:type="dxa"/>
            <w:vAlign w:val="bottom"/>
          </w:tcPr>
          <w:p>
            <w:pPr>
              <w:jc w:val="right"/>
              <w:ind w:right="32"/>
              <w:spacing w:after="0"/>
              <w:rPr>
                <w:sz w:val="20"/>
                <w:szCs w:val="20"/>
                <w:color w:val="auto"/>
              </w:rPr>
            </w:pPr>
            <w:r>
              <w:rPr>
                <w:rFonts w:ascii="Arial" w:cs="Arial" w:eastAsia="Arial" w:hAnsi="Arial"/>
                <w:sz w:val="18"/>
                <w:szCs w:val="18"/>
                <w:color w:val="auto"/>
              </w:rPr>
              <w:t>24,151</w:t>
            </w:r>
          </w:p>
        </w:tc>
        <w:tc>
          <w:tcPr>
            <w:tcW w:w="100" w:type="dxa"/>
            <w:vAlign w:val="bottom"/>
          </w:tcPr>
          <w:p>
            <w:pPr>
              <w:spacing w:after="0"/>
              <w:rPr>
                <w:sz w:val="21"/>
                <w:szCs w:val="21"/>
                <w:color w:val="auto"/>
              </w:rPr>
            </w:pPr>
          </w:p>
        </w:tc>
        <w:tc>
          <w:tcPr>
            <w:tcW w:w="20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720" w:type="dxa"/>
            <w:vAlign w:val="bottom"/>
          </w:tcPr>
          <w:p>
            <w:pPr>
              <w:jc w:val="right"/>
              <w:ind w:right="11"/>
              <w:spacing w:after="0"/>
              <w:rPr>
                <w:sz w:val="20"/>
                <w:szCs w:val="20"/>
                <w:color w:val="auto"/>
              </w:rPr>
            </w:pPr>
            <w:r>
              <w:rPr>
                <w:rFonts w:ascii="Arial" w:cs="Arial" w:eastAsia="Arial" w:hAnsi="Arial"/>
                <w:sz w:val="18"/>
                <w:szCs w:val="18"/>
                <w:color w:val="auto"/>
              </w:rPr>
              <w:t>74,368</w:t>
            </w:r>
          </w:p>
        </w:tc>
      </w:tr>
      <w:tr>
        <w:trPr>
          <w:trHeight w:val="331"/>
        </w:trPr>
        <w:tc>
          <w:tcPr>
            <w:tcW w:w="4220" w:type="dxa"/>
            <w:vAlign w:val="bottom"/>
            <w:shd w:val="clear" w:color="auto" w:fill="CCEEFF"/>
          </w:tcPr>
          <w:p>
            <w:pPr>
              <w:spacing w:after="0"/>
              <w:rPr>
                <w:sz w:val="24"/>
                <w:szCs w:val="24"/>
                <w:color w:val="auto"/>
              </w:rPr>
            </w:pPr>
          </w:p>
        </w:tc>
        <w:tc>
          <w:tcPr>
            <w:tcW w:w="200" w:type="dxa"/>
            <w:vAlign w:val="bottom"/>
            <w:shd w:val="clear" w:color="auto" w:fill="CCEEFF"/>
          </w:tcPr>
          <w:p>
            <w:pPr>
              <w:spacing w:after="0"/>
              <w:rPr>
                <w:sz w:val="24"/>
                <w:szCs w:val="24"/>
                <w:color w:val="auto"/>
              </w:rPr>
            </w:pPr>
          </w:p>
        </w:tc>
        <w:tc>
          <w:tcPr>
            <w:tcW w:w="72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200" w:type="dxa"/>
            <w:vAlign w:val="bottom"/>
            <w:shd w:val="clear" w:color="auto" w:fill="CCEEFF"/>
          </w:tcPr>
          <w:p>
            <w:pPr>
              <w:spacing w:after="0"/>
              <w:rPr>
                <w:sz w:val="24"/>
                <w:szCs w:val="24"/>
                <w:color w:val="auto"/>
              </w:rPr>
            </w:pPr>
          </w:p>
        </w:tc>
        <w:tc>
          <w:tcPr>
            <w:tcW w:w="72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200" w:type="dxa"/>
            <w:vAlign w:val="bottom"/>
            <w:shd w:val="clear" w:color="auto" w:fill="CCEEFF"/>
          </w:tcPr>
          <w:p>
            <w:pPr>
              <w:spacing w:after="0"/>
              <w:rPr>
                <w:sz w:val="24"/>
                <w:szCs w:val="24"/>
                <w:color w:val="auto"/>
              </w:rPr>
            </w:pPr>
          </w:p>
        </w:tc>
        <w:tc>
          <w:tcPr>
            <w:tcW w:w="72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220" w:type="dxa"/>
            <w:vAlign w:val="bottom"/>
            <w:shd w:val="clear" w:color="auto" w:fill="CCEEFF"/>
          </w:tcPr>
          <w:p>
            <w:pPr>
              <w:spacing w:after="0"/>
              <w:rPr>
                <w:sz w:val="24"/>
                <w:szCs w:val="24"/>
                <w:color w:val="auto"/>
              </w:rPr>
            </w:pPr>
          </w:p>
        </w:tc>
        <w:tc>
          <w:tcPr>
            <w:tcW w:w="70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220" w:type="dxa"/>
            <w:vAlign w:val="bottom"/>
            <w:shd w:val="clear" w:color="auto" w:fill="CCEEFF"/>
          </w:tcPr>
          <w:p>
            <w:pPr>
              <w:spacing w:after="0"/>
              <w:rPr>
                <w:sz w:val="24"/>
                <w:szCs w:val="24"/>
                <w:color w:val="auto"/>
              </w:rPr>
            </w:pPr>
          </w:p>
        </w:tc>
        <w:tc>
          <w:tcPr>
            <w:tcW w:w="70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90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200" w:type="dxa"/>
            <w:vAlign w:val="bottom"/>
            <w:shd w:val="clear" w:color="auto" w:fill="CCEEFF"/>
          </w:tcPr>
          <w:p>
            <w:pPr>
              <w:spacing w:after="0"/>
              <w:rPr>
                <w:sz w:val="24"/>
                <w:szCs w:val="24"/>
                <w:color w:val="auto"/>
              </w:rPr>
            </w:pPr>
          </w:p>
        </w:tc>
        <w:tc>
          <w:tcPr>
            <w:tcW w:w="720" w:type="dxa"/>
            <w:vAlign w:val="bottom"/>
            <w:shd w:val="clear" w:color="auto" w:fill="CCEEFF"/>
          </w:tcPr>
          <w:p>
            <w:pPr>
              <w:spacing w:after="0"/>
              <w:rPr>
                <w:sz w:val="24"/>
                <w:szCs w:val="24"/>
                <w:color w:val="auto"/>
              </w:rPr>
            </w:pPr>
          </w:p>
        </w:tc>
      </w:tr>
      <w:tr>
        <w:trPr>
          <w:trHeight w:val="270"/>
        </w:trPr>
        <w:tc>
          <w:tcPr>
            <w:tcW w:w="4220" w:type="dxa"/>
            <w:vAlign w:val="bottom"/>
          </w:tcPr>
          <w:p>
            <w:pPr>
              <w:ind w:left="40"/>
              <w:spacing w:after="0"/>
              <w:rPr>
                <w:sz w:val="20"/>
                <w:szCs w:val="20"/>
                <w:color w:val="auto"/>
              </w:rPr>
            </w:pPr>
            <w:r>
              <w:rPr>
                <w:rFonts w:ascii="Arial" w:cs="Arial" w:eastAsia="Arial" w:hAnsi="Arial"/>
                <w:sz w:val="18"/>
                <w:szCs w:val="18"/>
                <w:i w:val="1"/>
                <w:iCs w:val="1"/>
                <w:color w:val="auto"/>
              </w:rPr>
              <w:t xml:space="preserve">AAG Parent and Other AAG Subsidiaries </w:t>
            </w:r>
            <w:r>
              <w:rPr>
                <w:rFonts w:ascii="Arial" w:cs="Arial" w:eastAsia="Arial" w:hAnsi="Arial"/>
                <w:sz w:val="21"/>
                <w:szCs w:val="21"/>
                <w:i w:val="1"/>
                <w:iCs w:val="1"/>
                <w:color w:val="auto"/>
                <w:vertAlign w:val="superscript"/>
              </w:rPr>
              <w:t>(a)</w:t>
            </w:r>
          </w:p>
        </w:tc>
        <w:tc>
          <w:tcPr>
            <w:tcW w:w="200" w:type="dxa"/>
            <w:vAlign w:val="bottom"/>
          </w:tcPr>
          <w:p>
            <w:pPr>
              <w:spacing w:after="0"/>
              <w:rPr>
                <w:sz w:val="23"/>
                <w:szCs w:val="23"/>
                <w:color w:val="auto"/>
              </w:rPr>
            </w:pPr>
          </w:p>
        </w:tc>
        <w:tc>
          <w:tcPr>
            <w:tcW w:w="7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7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7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7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70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9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720" w:type="dxa"/>
            <w:vAlign w:val="bottom"/>
          </w:tcPr>
          <w:p>
            <w:pPr>
              <w:spacing w:after="0"/>
              <w:rPr>
                <w:sz w:val="23"/>
                <w:szCs w:val="23"/>
                <w:color w:val="auto"/>
              </w:rPr>
            </w:pPr>
          </w:p>
        </w:tc>
      </w:tr>
      <w:tr>
        <w:trPr>
          <w:trHeight w:val="270"/>
        </w:trPr>
        <w:tc>
          <w:tcPr>
            <w:tcW w:w="4220" w:type="dxa"/>
            <w:vAlign w:val="bottom"/>
            <w:shd w:val="clear" w:color="auto" w:fill="CCEEFF"/>
          </w:tcPr>
          <w:p>
            <w:pPr>
              <w:ind w:left="40"/>
              <w:spacing w:after="0"/>
              <w:rPr>
                <w:sz w:val="20"/>
                <w:szCs w:val="20"/>
                <w:color w:val="auto"/>
              </w:rPr>
            </w:pPr>
            <w:r>
              <w:rPr>
                <w:rFonts w:ascii="Arial" w:cs="Arial" w:eastAsia="Arial" w:hAnsi="Arial"/>
                <w:sz w:val="18"/>
                <w:szCs w:val="18"/>
                <w:color w:val="auto"/>
              </w:rPr>
              <w:t>Long-term debt:</w:t>
            </w:r>
          </w:p>
        </w:tc>
        <w:tc>
          <w:tcPr>
            <w:tcW w:w="200" w:type="dxa"/>
            <w:vAlign w:val="bottom"/>
            <w:shd w:val="clear" w:color="auto" w:fill="CCEEFF"/>
          </w:tcPr>
          <w:p>
            <w:pPr>
              <w:spacing w:after="0"/>
              <w:rPr>
                <w:sz w:val="23"/>
                <w:szCs w:val="23"/>
                <w:color w:val="auto"/>
              </w:rPr>
            </w:pPr>
          </w:p>
        </w:tc>
        <w:tc>
          <w:tcPr>
            <w:tcW w:w="72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200" w:type="dxa"/>
            <w:vAlign w:val="bottom"/>
            <w:shd w:val="clear" w:color="auto" w:fill="CCEEFF"/>
          </w:tcPr>
          <w:p>
            <w:pPr>
              <w:spacing w:after="0"/>
              <w:rPr>
                <w:sz w:val="23"/>
                <w:szCs w:val="23"/>
                <w:color w:val="auto"/>
              </w:rPr>
            </w:pPr>
          </w:p>
        </w:tc>
        <w:tc>
          <w:tcPr>
            <w:tcW w:w="72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200" w:type="dxa"/>
            <w:vAlign w:val="bottom"/>
            <w:shd w:val="clear" w:color="auto" w:fill="CCEEFF"/>
          </w:tcPr>
          <w:p>
            <w:pPr>
              <w:spacing w:after="0"/>
              <w:rPr>
                <w:sz w:val="23"/>
                <w:szCs w:val="23"/>
                <w:color w:val="auto"/>
              </w:rPr>
            </w:pPr>
          </w:p>
        </w:tc>
        <w:tc>
          <w:tcPr>
            <w:tcW w:w="72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220" w:type="dxa"/>
            <w:vAlign w:val="bottom"/>
            <w:shd w:val="clear" w:color="auto" w:fill="CCEEFF"/>
          </w:tcPr>
          <w:p>
            <w:pPr>
              <w:spacing w:after="0"/>
              <w:rPr>
                <w:sz w:val="23"/>
                <w:szCs w:val="23"/>
                <w:color w:val="auto"/>
              </w:rPr>
            </w:pPr>
          </w:p>
        </w:tc>
        <w:tc>
          <w:tcPr>
            <w:tcW w:w="70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220" w:type="dxa"/>
            <w:vAlign w:val="bottom"/>
            <w:shd w:val="clear" w:color="auto" w:fill="CCEEFF"/>
          </w:tcPr>
          <w:p>
            <w:pPr>
              <w:spacing w:after="0"/>
              <w:rPr>
                <w:sz w:val="23"/>
                <w:szCs w:val="23"/>
                <w:color w:val="auto"/>
              </w:rPr>
            </w:pPr>
          </w:p>
        </w:tc>
        <w:tc>
          <w:tcPr>
            <w:tcW w:w="70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140" w:type="dxa"/>
            <w:vAlign w:val="bottom"/>
            <w:shd w:val="clear" w:color="auto" w:fill="CCEEFF"/>
          </w:tcPr>
          <w:p>
            <w:pPr>
              <w:spacing w:after="0"/>
              <w:rPr>
                <w:sz w:val="23"/>
                <w:szCs w:val="23"/>
                <w:color w:val="auto"/>
              </w:rPr>
            </w:pPr>
          </w:p>
        </w:tc>
        <w:tc>
          <w:tcPr>
            <w:tcW w:w="90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200" w:type="dxa"/>
            <w:vAlign w:val="bottom"/>
            <w:shd w:val="clear" w:color="auto" w:fill="CCEEFF"/>
          </w:tcPr>
          <w:p>
            <w:pPr>
              <w:spacing w:after="0"/>
              <w:rPr>
                <w:sz w:val="23"/>
                <w:szCs w:val="23"/>
                <w:color w:val="auto"/>
              </w:rPr>
            </w:pPr>
          </w:p>
        </w:tc>
        <w:tc>
          <w:tcPr>
            <w:tcW w:w="720" w:type="dxa"/>
            <w:vAlign w:val="bottom"/>
            <w:shd w:val="clear" w:color="auto" w:fill="CCEEFF"/>
          </w:tcPr>
          <w:p>
            <w:pPr>
              <w:spacing w:after="0"/>
              <w:rPr>
                <w:sz w:val="23"/>
                <w:szCs w:val="23"/>
                <w:color w:val="auto"/>
              </w:rPr>
            </w:pPr>
          </w:p>
        </w:tc>
      </w:tr>
      <w:tr>
        <w:trPr>
          <w:trHeight w:val="270"/>
        </w:trPr>
        <w:tc>
          <w:tcPr>
            <w:tcW w:w="4220" w:type="dxa"/>
            <w:vAlign w:val="bottom"/>
          </w:tcPr>
          <w:p>
            <w:pPr>
              <w:ind w:left="180"/>
              <w:spacing w:after="0"/>
              <w:rPr>
                <w:sz w:val="20"/>
                <w:szCs w:val="20"/>
                <w:color w:val="auto"/>
              </w:rPr>
            </w:pPr>
            <w:r>
              <w:rPr>
                <w:rFonts w:ascii="Arial" w:cs="Arial" w:eastAsia="Arial" w:hAnsi="Arial"/>
                <w:sz w:val="18"/>
                <w:szCs w:val="18"/>
                <w:color w:val="auto"/>
              </w:rPr>
              <w:t xml:space="preserve">Principal amount </w:t>
            </w:r>
            <w:r>
              <w:rPr>
                <w:rFonts w:ascii="Arial" w:cs="Arial" w:eastAsia="Arial" w:hAnsi="Arial"/>
                <w:sz w:val="21"/>
                <w:szCs w:val="21"/>
                <w:color w:val="auto"/>
                <w:vertAlign w:val="superscript"/>
              </w:rPr>
              <w:t>(b)</w:t>
            </w:r>
            <w:r>
              <w:rPr>
                <w:rFonts w:ascii="Arial" w:cs="Arial" w:eastAsia="Arial" w:hAnsi="Arial"/>
                <w:sz w:val="18"/>
                <w:szCs w:val="18"/>
                <w:color w:val="auto"/>
              </w:rPr>
              <w:t xml:space="preserve"> (See Note 5)</w:t>
            </w:r>
          </w:p>
        </w:tc>
        <w:tc>
          <w:tcPr>
            <w:tcW w:w="20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720" w:type="dxa"/>
            <w:vAlign w:val="bottom"/>
          </w:tcPr>
          <w:p>
            <w:pPr>
              <w:jc w:val="right"/>
              <w:ind w:right="11"/>
              <w:spacing w:after="0"/>
              <w:rPr>
                <w:sz w:val="20"/>
                <w:szCs w:val="20"/>
                <w:color w:val="auto"/>
              </w:rPr>
            </w:pPr>
            <w:r>
              <w:rPr>
                <w:rFonts w:ascii="Arial" w:cs="Arial" w:eastAsia="Arial" w:hAnsi="Arial"/>
                <w:sz w:val="18"/>
                <w:szCs w:val="18"/>
                <w:color w:val="auto"/>
              </w:rPr>
              <w:t>505</w:t>
            </w:r>
          </w:p>
        </w:tc>
        <w:tc>
          <w:tcPr>
            <w:tcW w:w="100" w:type="dxa"/>
            <w:vAlign w:val="bottom"/>
          </w:tcPr>
          <w:p>
            <w:pPr>
              <w:spacing w:after="0"/>
              <w:rPr>
                <w:sz w:val="23"/>
                <w:szCs w:val="23"/>
                <w:color w:val="auto"/>
              </w:rPr>
            </w:pPr>
          </w:p>
        </w:tc>
        <w:tc>
          <w:tcPr>
            <w:tcW w:w="200" w:type="dxa"/>
            <w:vAlign w:val="bottom"/>
          </w:tcPr>
          <w:p>
            <w:pPr>
              <w:jc w:val="right"/>
              <w:spacing w:after="0"/>
              <w:rPr>
                <w:sz w:val="20"/>
                <w:szCs w:val="20"/>
                <w:color w:val="auto"/>
              </w:rPr>
            </w:pPr>
            <w:r>
              <w:rPr>
                <w:rFonts w:ascii="Arial" w:cs="Arial" w:eastAsia="Arial" w:hAnsi="Arial"/>
                <w:sz w:val="18"/>
                <w:szCs w:val="18"/>
                <w:color w:val="auto"/>
              </w:rPr>
              <w:t>$</w:t>
            </w:r>
          </w:p>
        </w:tc>
        <w:tc>
          <w:tcPr>
            <w:tcW w:w="720" w:type="dxa"/>
            <w:vAlign w:val="bottom"/>
          </w:tcPr>
          <w:p>
            <w:pPr>
              <w:jc w:val="right"/>
              <w:ind w:right="11"/>
              <w:spacing w:after="0"/>
              <w:rPr>
                <w:sz w:val="20"/>
                <w:szCs w:val="20"/>
                <w:color w:val="auto"/>
              </w:rPr>
            </w:pPr>
            <w:r>
              <w:rPr>
                <w:rFonts w:ascii="Arial" w:cs="Arial" w:eastAsia="Arial" w:hAnsi="Arial"/>
                <w:sz w:val="18"/>
                <w:szCs w:val="18"/>
                <w:color w:val="auto"/>
              </w:rPr>
              <w:t>2</w:t>
            </w:r>
          </w:p>
        </w:tc>
        <w:tc>
          <w:tcPr>
            <w:tcW w:w="120" w:type="dxa"/>
            <w:vAlign w:val="bottom"/>
          </w:tcPr>
          <w:p>
            <w:pPr>
              <w:spacing w:after="0"/>
              <w:rPr>
                <w:sz w:val="23"/>
                <w:szCs w:val="23"/>
                <w:color w:val="auto"/>
              </w:rPr>
            </w:pPr>
          </w:p>
        </w:tc>
        <w:tc>
          <w:tcPr>
            <w:tcW w:w="20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720" w:type="dxa"/>
            <w:vAlign w:val="bottom"/>
          </w:tcPr>
          <w:p>
            <w:pPr>
              <w:jc w:val="right"/>
              <w:ind w:right="32"/>
              <w:spacing w:after="0"/>
              <w:rPr>
                <w:sz w:val="20"/>
                <w:szCs w:val="20"/>
                <w:color w:val="auto"/>
              </w:rPr>
            </w:pPr>
            <w:r>
              <w:rPr>
                <w:rFonts w:ascii="Arial" w:cs="Arial" w:eastAsia="Arial" w:hAnsi="Arial"/>
                <w:sz w:val="18"/>
                <w:szCs w:val="18"/>
                <w:color w:val="auto"/>
              </w:rPr>
              <w:t>752</w:t>
            </w:r>
          </w:p>
        </w:tc>
        <w:tc>
          <w:tcPr>
            <w:tcW w:w="100" w:type="dxa"/>
            <w:vAlign w:val="bottom"/>
          </w:tcPr>
          <w:p>
            <w:pPr>
              <w:spacing w:after="0"/>
              <w:rPr>
                <w:sz w:val="23"/>
                <w:szCs w:val="23"/>
                <w:color w:val="auto"/>
              </w:rPr>
            </w:pPr>
          </w:p>
        </w:tc>
        <w:tc>
          <w:tcPr>
            <w:tcW w:w="220" w:type="dxa"/>
            <w:vAlign w:val="bottom"/>
          </w:tcPr>
          <w:p>
            <w:pPr>
              <w:jc w:val="right"/>
              <w:ind w:right="10"/>
              <w:spacing w:after="0"/>
              <w:rPr>
                <w:sz w:val="20"/>
                <w:szCs w:val="20"/>
                <w:color w:val="auto"/>
              </w:rPr>
            </w:pPr>
            <w:r>
              <w:rPr>
                <w:rFonts w:ascii="Arial" w:cs="Arial" w:eastAsia="Arial" w:hAnsi="Arial"/>
                <w:sz w:val="18"/>
                <w:szCs w:val="18"/>
                <w:color w:val="auto"/>
                <w:w w:val="99"/>
              </w:rPr>
              <w:t>$</w:t>
            </w:r>
          </w:p>
        </w:tc>
        <w:tc>
          <w:tcPr>
            <w:tcW w:w="700" w:type="dxa"/>
            <w:vAlign w:val="bottom"/>
          </w:tcPr>
          <w:p>
            <w:pPr>
              <w:jc w:val="right"/>
              <w:ind w:right="11"/>
              <w:spacing w:after="0"/>
              <w:rPr>
                <w:sz w:val="20"/>
                <w:szCs w:val="20"/>
                <w:color w:val="auto"/>
              </w:rPr>
            </w:pPr>
            <w:r>
              <w:rPr>
                <w:rFonts w:ascii="Arial" w:cs="Arial" w:eastAsia="Arial" w:hAnsi="Arial"/>
                <w:sz w:val="18"/>
                <w:szCs w:val="18"/>
                <w:color w:val="auto"/>
              </w:rPr>
              <w:t>2</w:t>
            </w:r>
          </w:p>
        </w:tc>
        <w:tc>
          <w:tcPr>
            <w:tcW w:w="100" w:type="dxa"/>
            <w:vAlign w:val="bottom"/>
          </w:tcPr>
          <w:p>
            <w:pPr>
              <w:spacing w:after="0"/>
              <w:rPr>
                <w:sz w:val="23"/>
                <w:szCs w:val="23"/>
                <w:color w:val="auto"/>
              </w:rPr>
            </w:pPr>
          </w:p>
        </w:tc>
        <w:tc>
          <w:tcPr>
            <w:tcW w:w="220" w:type="dxa"/>
            <w:vAlign w:val="bottom"/>
          </w:tcPr>
          <w:p>
            <w:pPr>
              <w:jc w:val="right"/>
              <w:spacing w:after="0"/>
              <w:rPr>
                <w:sz w:val="20"/>
                <w:szCs w:val="20"/>
                <w:color w:val="auto"/>
              </w:rPr>
            </w:pPr>
            <w:r>
              <w:rPr>
                <w:rFonts w:ascii="Arial" w:cs="Arial" w:eastAsia="Arial" w:hAnsi="Arial"/>
                <w:sz w:val="18"/>
                <w:szCs w:val="18"/>
                <w:color w:val="auto"/>
              </w:rPr>
              <w:t>$</w:t>
            </w:r>
          </w:p>
        </w:tc>
        <w:tc>
          <w:tcPr>
            <w:tcW w:w="700" w:type="dxa"/>
            <w:vAlign w:val="bottom"/>
          </w:tcPr>
          <w:p>
            <w:pPr>
              <w:jc w:val="right"/>
              <w:ind w:right="11"/>
              <w:spacing w:after="0"/>
              <w:rPr>
                <w:sz w:val="20"/>
                <w:szCs w:val="20"/>
                <w:color w:val="auto"/>
              </w:rPr>
            </w:pPr>
            <w:r>
              <w:rPr>
                <w:rFonts w:ascii="Arial" w:cs="Arial" w:eastAsia="Arial" w:hAnsi="Arial"/>
                <w:sz w:val="18"/>
                <w:szCs w:val="18"/>
                <w:color w:val="auto"/>
              </w:rPr>
              <w:t>2</w:t>
            </w:r>
          </w:p>
        </w:tc>
        <w:tc>
          <w:tcPr>
            <w:tcW w:w="120" w:type="dxa"/>
            <w:vAlign w:val="bottom"/>
          </w:tcPr>
          <w:p>
            <w:pPr>
              <w:spacing w:after="0"/>
              <w:rPr>
                <w:sz w:val="23"/>
                <w:szCs w:val="23"/>
                <w:color w:val="auto"/>
              </w:rPr>
            </w:pPr>
          </w:p>
        </w:tc>
        <w:tc>
          <w:tcPr>
            <w:tcW w:w="14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900" w:type="dxa"/>
            <w:vAlign w:val="bottom"/>
          </w:tcPr>
          <w:p>
            <w:pPr>
              <w:jc w:val="right"/>
              <w:ind w:right="32"/>
              <w:spacing w:after="0"/>
              <w:rPr>
                <w:sz w:val="20"/>
                <w:szCs w:val="20"/>
                <w:color w:val="auto"/>
              </w:rPr>
            </w:pPr>
            <w:r>
              <w:rPr>
                <w:rFonts w:ascii="Arial" w:cs="Arial" w:eastAsia="Arial" w:hAnsi="Arial"/>
                <w:sz w:val="18"/>
                <w:szCs w:val="18"/>
                <w:color w:val="auto"/>
              </w:rPr>
              <w:t>16</w:t>
            </w:r>
          </w:p>
        </w:tc>
        <w:tc>
          <w:tcPr>
            <w:tcW w:w="100" w:type="dxa"/>
            <w:vAlign w:val="bottom"/>
          </w:tcPr>
          <w:p>
            <w:pPr>
              <w:spacing w:after="0"/>
              <w:rPr>
                <w:sz w:val="23"/>
                <w:szCs w:val="23"/>
                <w:color w:val="auto"/>
              </w:rPr>
            </w:pPr>
          </w:p>
        </w:tc>
        <w:tc>
          <w:tcPr>
            <w:tcW w:w="20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720" w:type="dxa"/>
            <w:vAlign w:val="bottom"/>
          </w:tcPr>
          <w:p>
            <w:pPr>
              <w:jc w:val="right"/>
              <w:ind w:right="11"/>
              <w:spacing w:after="0"/>
              <w:rPr>
                <w:sz w:val="20"/>
                <w:szCs w:val="20"/>
                <w:color w:val="auto"/>
              </w:rPr>
            </w:pPr>
            <w:r>
              <w:rPr>
                <w:rFonts w:ascii="Arial" w:cs="Arial" w:eastAsia="Arial" w:hAnsi="Arial"/>
                <w:sz w:val="18"/>
                <w:szCs w:val="18"/>
                <w:color w:val="auto"/>
              </w:rPr>
              <w:t>1,279</w:t>
            </w:r>
          </w:p>
        </w:tc>
      </w:tr>
      <w:tr>
        <w:trPr>
          <w:trHeight w:val="270"/>
        </w:trPr>
        <w:tc>
          <w:tcPr>
            <w:tcW w:w="4220" w:type="dxa"/>
            <w:vAlign w:val="bottom"/>
            <w:shd w:val="clear" w:color="auto" w:fill="CCEEFF"/>
          </w:tcPr>
          <w:p>
            <w:pPr>
              <w:ind w:left="180"/>
              <w:spacing w:after="0"/>
              <w:rPr>
                <w:sz w:val="20"/>
                <w:szCs w:val="20"/>
                <w:color w:val="auto"/>
              </w:rPr>
            </w:pPr>
            <w:r>
              <w:rPr>
                <w:rFonts w:ascii="Arial" w:cs="Arial" w:eastAsia="Arial" w:hAnsi="Arial"/>
                <w:sz w:val="18"/>
                <w:szCs w:val="18"/>
                <w:color w:val="auto"/>
              </w:rPr>
              <w:t xml:space="preserve">Interest obligations </w:t>
            </w:r>
            <w:r>
              <w:rPr>
                <w:rFonts w:ascii="Arial" w:cs="Arial" w:eastAsia="Arial" w:hAnsi="Arial"/>
                <w:sz w:val="21"/>
                <w:szCs w:val="21"/>
                <w:color w:val="auto"/>
                <w:vertAlign w:val="superscript"/>
              </w:rPr>
              <w:t>(c)</w:t>
            </w:r>
          </w:p>
        </w:tc>
        <w:tc>
          <w:tcPr>
            <w:tcW w:w="200" w:type="dxa"/>
            <w:vAlign w:val="bottom"/>
            <w:shd w:val="clear" w:color="auto" w:fill="CCEEFF"/>
          </w:tcPr>
          <w:p>
            <w:pPr>
              <w:spacing w:after="0"/>
              <w:rPr>
                <w:sz w:val="23"/>
                <w:szCs w:val="23"/>
                <w:color w:val="auto"/>
              </w:rPr>
            </w:pPr>
          </w:p>
        </w:tc>
        <w:tc>
          <w:tcPr>
            <w:tcW w:w="72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51</w:t>
            </w:r>
          </w:p>
        </w:tc>
        <w:tc>
          <w:tcPr>
            <w:tcW w:w="100" w:type="dxa"/>
            <w:vAlign w:val="bottom"/>
            <w:shd w:val="clear" w:color="auto" w:fill="CCEEFF"/>
          </w:tcPr>
          <w:p>
            <w:pPr>
              <w:spacing w:after="0"/>
              <w:rPr>
                <w:sz w:val="23"/>
                <w:szCs w:val="23"/>
                <w:color w:val="auto"/>
              </w:rPr>
            </w:pPr>
          </w:p>
        </w:tc>
        <w:tc>
          <w:tcPr>
            <w:tcW w:w="200" w:type="dxa"/>
            <w:vAlign w:val="bottom"/>
            <w:shd w:val="clear" w:color="auto" w:fill="CCEEFF"/>
          </w:tcPr>
          <w:p>
            <w:pPr>
              <w:spacing w:after="0"/>
              <w:rPr>
                <w:sz w:val="23"/>
                <w:szCs w:val="23"/>
                <w:color w:val="auto"/>
              </w:rPr>
            </w:pPr>
          </w:p>
        </w:tc>
        <w:tc>
          <w:tcPr>
            <w:tcW w:w="72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39</w:t>
            </w:r>
          </w:p>
        </w:tc>
        <w:tc>
          <w:tcPr>
            <w:tcW w:w="120" w:type="dxa"/>
            <w:vAlign w:val="bottom"/>
            <w:shd w:val="clear" w:color="auto" w:fill="CCEEFF"/>
          </w:tcPr>
          <w:p>
            <w:pPr>
              <w:spacing w:after="0"/>
              <w:rPr>
                <w:sz w:val="23"/>
                <w:szCs w:val="23"/>
                <w:color w:val="auto"/>
              </w:rPr>
            </w:pPr>
          </w:p>
        </w:tc>
        <w:tc>
          <w:tcPr>
            <w:tcW w:w="200" w:type="dxa"/>
            <w:vAlign w:val="bottom"/>
            <w:shd w:val="clear" w:color="auto" w:fill="CCEEFF"/>
          </w:tcPr>
          <w:p>
            <w:pPr>
              <w:spacing w:after="0"/>
              <w:rPr>
                <w:sz w:val="23"/>
                <w:szCs w:val="23"/>
                <w:color w:val="auto"/>
              </w:rPr>
            </w:pPr>
          </w:p>
        </w:tc>
        <w:tc>
          <w:tcPr>
            <w:tcW w:w="720" w:type="dxa"/>
            <w:vAlign w:val="bottom"/>
            <w:shd w:val="clear" w:color="auto" w:fill="CCEEFF"/>
          </w:tcPr>
          <w:p>
            <w:pPr>
              <w:jc w:val="right"/>
              <w:ind w:right="32"/>
              <w:spacing w:after="0"/>
              <w:rPr>
                <w:sz w:val="20"/>
                <w:szCs w:val="20"/>
                <w:color w:val="auto"/>
              </w:rPr>
            </w:pPr>
            <w:r>
              <w:rPr>
                <w:rFonts w:ascii="Arial" w:cs="Arial" w:eastAsia="Arial" w:hAnsi="Arial"/>
                <w:sz w:val="18"/>
                <w:szCs w:val="18"/>
                <w:color w:val="auto"/>
              </w:rPr>
              <w:t>21</w:t>
            </w:r>
          </w:p>
        </w:tc>
        <w:tc>
          <w:tcPr>
            <w:tcW w:w="100" w:type="dxa"/>
            <w:vAlign w:val="bottom"/>
            <w:shd w:val="clear" w:color="auto" w:fill="CCEEFF"/>
          </w:tcPr>
          <w:p>
            <w:pPr>
              <w:spacing w:after="0"/>
              <w:rPr>
                <w:sz w:val="23"/>
                <w:szCs w:val="23"/>
                <w:color w:val="auto"/>
              </w:rPr>
            </w:pPr>
          </w:p>
        </w:tc>
        <w:tc>
          <w:tcPr>
            <w:tcW w:w="220" w:type="dxa"/>
            <w:vAlign w:val="bottom"/>
            <w:shd w:val="clear" w:color="auto" w:fill="CCEEFF"/>
          </w:tcPr>
          <w:p>
            <w:pPr>
              <w:spacing w:after="0"/>
              <w:rPr>
                <w:sz w:val="23"/>
                <w:szCs w:val="23"/>
                <w:color w:val="auto"/>
              </w:rPr>
            </w:pPr>
          </w:p>
        </w:tc>
        <w:tc>
          <w:tcPr>
            <w:tcW w:w="70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1</w:t>
            </w:r>
          </w:p>
        </w:tc>
        <w:tc>
          <w:tcPr>
            <w:tcW w:w="100" w:type="dxa"/>
            <w:vAlign w:val="bottom"/>
            <w:shd w:val="clear" w:color="auto" w:fill="CCEEFF"/>
          </w:tcPr>
          <w:p>
            <w:pPr>
              <w:spacing w:after="0"/>
              <w:rPr>
                <w:sz w:val="23"/>
                <w:szCs w:val="23"/>
                <w:color w:val="auto"/>
              </w:rPr>
            </w:pPr>
          </w:p>
        </w:tc>
        <w:tc>
          <w:tcPr>
            <w:tcW w:w="220" w:type="dxa"/>
            <w:vAlign w:val="bottom"/>
            <w:shd w:val="clear" w:color="auto" w:fill="CCEEFF"/>
          </w:tcPr>
          <w:p>
            <w:pPr>
              <w:spacing w:after="0"/>
              <w:rPr>
                <w:sz w:val="23"/>
                <w:szCs w:val="23"/>
                <w:color w:val="auto"/>
              </w:rPr>
            </w:pPr>
          </w:p>
        </w:tc>
        <w:tc>
          <w:tcPr>
            <w:tcW w:w="70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1</w:t>
            </w:r>
          </w:p>
        </w:tc>
        <w:tc>
          <w:tcPr>
            <w:tcW w:w="120" w:type="dxa"/>
            <w:vAlign w:val="bottom"/>
            <w:shd w:val="clear" w:color="auto" w:fill="CCEEFF"/>
          </w:tcPr>
          <w:p>
            <w:pPr>
              <w:spacing w:after="0"/>
              <w:rPr>
                <w:sz w:val="23"/>
                <w:szCs w:val="23"/>
                <w:color w:val="auto"/>
              </w:rPr>
            </w:pPr>
          </w:p>
        </w:tc>
        <w:tc>
          <w:tcPr>
            <w:tcW w:w="140" w:type="dxa"/>
            <w:vAlign w:val="bottom"/>
            <w:shd w:val="clear" w:color="auto" w:fill="CCEEFF"/>
          </w:tcPr>
          <w:p>
            <w:pPr>
              <w:spacing w:after="0"/>
              <w:rPr>
                <w:sz w:val="23"/>
                <w:szCs w:val="23"/>
                <w:color w:val="auto"/>
              </w:rPr>
            </w:pPr>
          </w:p>
        </w:tc>
        <w:tc>
          <w:tcPr>
            <w:tcW w:w="900" w:type="dxa"/>
            <w:vAlign w:val="bottom"/>
            <w:shd w:val="clear" w:color="auto" w:fill="CCEEFF"/>
          </w:tcPr>
          <w:p>
            <w:pPr>
              <w:jc w:val="right"/>
              <w:ind w:right="32"/>
              <w:spacing w:after="0"/>
              <w:rPr>
                <w:sz w:val="20"/>
                <w:szCs w:val="20"/>
                <w:color w:val="auto"/>
              </w:rPr>
            </w:pPr>
            <w:r>
              <w:rPr>
                <w:rFonts w:ascii="Arial" w:cs="Arial" w:eastAsia="Arial" w:hAnsi="Arial"/>
                <w:sz w:val="18"/>
                <w:szCs w:val="18"/>
                <w:color w:val="auto"/>
              </w:rPr>
              <w:t>3</w:t>
            </w:r>
          </w:p>
        </w:tc>
        <w:tc>
          <w:tcPr>
            <w:tcW w:w="100" w:type="dxa"/>
            <w:vAlign w:val="bottom"/>
            <w:shd w:val="clear" w:color="auto" w:fill="CCEEFF"/>
          </w:tcPr>
          <w:p>
            <w:pPr>
              <w:spacing w:after="0"/>
              <w:rPr>
                <w:sz w:val="23"/>
                <w:szCs w:val="23"/>
                <w:color w:val="auto"/>
              </w:rPr>
            </w:pPr>
          </w:p>
        </w:tc>
        <w:tc>
          <w:tcPr>
            <w:tcW w:w="200" w:type="dxa"/>
            <w:vAlign w:val="bottom"/>
            <w:shd w:val="clear" w:color="auto" w:fill="CCEEFF"/>
          </w:tcPr>
          <w:p>
            <w:pPr>
              <w:spacing w:after="0"/>
              <w:rPr>
                <w:sz w:val="23"/>
                <w:szCs w:val="23"/>
                <w:color w:val="auto"/>
              </w:rPr>
            </w:pPr>
          </w:p>
        </w:tc>
        <w:tc>
          <w:tcPr>
            <w:tcW w:w="72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116</w:t>
            </w:r>
          </w:p>
        </w:tc>
      </w:tr>
      <w:tr>
        <w:trPr>
          <w:trHeight w:val="263"/>
        </w:trPr>
        <w:tc>
          <w:tcPr>
            <w:tcW w:w="4220" w:type="dxa"/>
            <w:vAlign w:val="bottom"/>
          </w:tcPr>
          <w:p>
            <w:pPr>
              <w:ind w:left="40"/>
              <w:spacing w:after="0"/>
              <w:rPr>
                <w:sz w:val="20"/>
                <w:szCs w:val="20"/>
                <w:color w:val="auto"/>
              </w:rPr>
            </w:pPr>
            <w:r>
              <w:rPr>
                <w:rFonts w:ascii="Arial" w:cs="Arial" w:eastAsia="Arial" w:hAnsi="Arial"/>
                <w:sz w:val="18"/>
                <w:szCs w:val="18"/>
                <w:color w:val="auto"/>
              </w:rPr>
              <w:t>Operating lease commitments (See Note 6)</w:t>
            </w:r>
          </w:p>
        </w:tc>
        <w:tc>
          <w:tcPr>
            <w:tcW w:w="200" w:type="dxa"/>
            <w:vAlign w:val="bottom"/>
          </w:tcPr>
          <w:p>
            <w:pPr>
              <w:spacing w:after="0"/>
              <w:rPr>
                <w:sz w:val="22"/>
                <w:szCs w:val="22"/>
                <w:color w:val="auto"/>
              </w:rPr>
            </w:pPr>
          </w:p>
        </w:tc>
        <w:tc>
          <w:tcPr>
            <w:tcW w:w="720" w:type="dxa"/>
            <w:vAlign w:val="bottom"/>
          </w:tcPr>
          <w:p>
            <w:pPr>
              <w:jc w:val="right"/>
              <w:ind w:right="11"/>
              <w:spacing w:after="0"/>
              <w:rPr>
                <w:sz w:val="20"/>
                <w:szCs w:val="20"/>
                <w:color w:val="auto"/>
              </w:rPr>
            </w:pPr>
            <w:r>
              <w:rPr>
                <w:rFonts w:ascii="Arial" w:cs="Arial" w:eastAsia="Arial" w:hAnsi="Arial"/>
                <w:sz w:val="18"/>
                <w:szCs w:val="18"/>
                <w:color w:val="auto"/>
              </w:rPr>
              <w:t>16</w:t>
            </w:r>
          </w:p>
        </w:tc>
        <w:tc>
          <w:tcPr>
            <w:tcW w:w="10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720" w:type="dxa"/>
            <w:vAlign w:val="bottom"/>
          </w:tcPr>
          <w:p>
            <w:pPr>
              <w:jc w:val="right"/>
              <w:ind w:right="11"/>
              <w:spacing w:after="0"/>
              <w:rPr>
                <w:sz w:val="20"/>
                <w:szCs w:val="20"/>
                <w:color w:val="auto"/>
              </w:rPr>
            </w:pPr>
            <w:r>
              <w:rPr>
                <w:rFonts w:ascii="Arial" w:cs="Arial" w:eastAsia="Arial" w:hAnsi="Arial"/>
                <w:sz w:val="18"/>
                <w:szCs w:val="18"/>
                <w:color w:val="auto"/>
              </w:rPr>
              <w:t>13</w:t>
            </w:r>
          </w:p>
        </w:tc>
        <w:tc>
          <w:tcPr>
            <w:tcW w:w="12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720" w:type="dxa"/>
            <w:vAlign w:val="bottom"/>
          </w:tcPr>
          <w:p>
            <w:pPr>
              <w:jc w:val="right"/>
              <w:ind w:right="32"/>
              <w:spacing w:after="0"/>
              <w:rPr>
                <w:sz w:val="20"/>
                <w:szCs w:val="20"/>
                <w:color w:val="auto"/>
              </w:rPr>
            </w:pPr>
            <w:r>
              <w:rPr>
                <w:rFonts w:ascii="Arial" w:cs="Arial" w:eastAsia="Arial" w:hAnsi="Arial"/>
                <w:sz w:val="18"/>
                <w:szCs w:val="18"/>
                <w:color w:val="auto"/>
              </w:rPr>
              <w:t>12</w:t>
            </w:r>
          </w:p>
        </w:tc>
        <w:tc>
          <w:tcPr>
            <w:tcW w:w="10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700" w:type="dxa"/>
            <w:vAlign w:val="bottom"/>
          </w:tcPr>
          <w:p>
            <w:pPr>
              <w:jc w:val="right"/>
              <w:ind w:right="11"/>
              <w:spacing w:after="0"/>
              <w:rPr>
                <w:sz w:val="20"/>
                <w:szCs w:val="20"/>
                <w:color w:val="auto"/>
              </w:rPr>
            </w:pPr>
            <w:r>
              <w:rPr>
                <w:rFonts w:ascii="Arial" w:cs="Arial" w:eastAsia="Arial" w:hAnsi="Arial"/>
                <w:sz w:val="18"/>
                <w:szCs w:val="18"/>
                <w:color w:val="auto"/>
              </w:rPr>
              <w:t>5</w:t>
            </w:r>
          </w:p>
        </w:tc>
        <w:tc>
          <w:tcPr>
            <w:tcW w:w="10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700" w:type="dxa"/>
            <w:vAlign w:val="bottom"/>
          </w:tcPr>
          <w:p>
            <w:pPr>
              <w:jc w:val="right"/>
              <w:ind w:right="11"/>
              <w:spacing w:after="0"/>
              <w:rPr>
                <w:sz w:val="20"/>
                <w:szCs w:val="20"/>
                <w:color w:val="auto"/>
              </w:rPr>
            </w:pPr>
            <w:r>
              <w:rPr>
                <w:rFonts w:ascii="Arial" w:cs="Arial" w:eastAsia="Arial" w:hAnsi="Arial"/>
                <w:sz w:val="18"/>
                <w:szCs w:val="18"/>
                <w:color w:val="auto"/>
              </w:rPr>
              <w:t>2</w:t>
            </w:r>
          </w:p>
        </w:tc>
        <w:tc>
          <w:tcPr>
            <w:tcW w:w="12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900" w:type="dxa"/>
            <w:vAlign w:val="bottom"/>
          </w:tcPr>
          <w:p>
            <w:pPr>
              <w:jc w:val="right"/>
              <w:ind w:right="32"/>
              <w:spacing w:after="0"/>
              <w:rPr>
                <w:sz w:val="20"/>
                <w:szCs w:val="20"/>
                <w:color w:val="auto"/>
              </w:rPr>
            </w:pPr>
            <w:r>
              <w:rPr>
                <w:rFonts w:ascii="Arial" w:cs="Arial" w:eastAsia="Arial" w:hAnsi="Arial"/>
                <w:sz w:val="18"/>
                <w:szCs w:val="18"/>
                <w:color w:val="auto"/>
              </w:rPr>
              <w:t>8</w:t>
            </w:r>
          </w:p>
        </w:tc>
        <w:tc>
          <w:tcPr>
            <w:tcW w:w="10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720" w:type="dxa"/>
            <w:vAlign w:val="bottom"/>
          </w:tcPr>
          <w:p>
            <w:pPr>
              <w:jc w:val="right"/>
              <w:ind w:right="11"/>
              <w:spacing w:after="0"/>
              <w:rPr>
                <w:sz w:val="20"/>
                <w:szCs w:val="20"/>
                <w:color w:val="auto"/>
              </w:rPr>
            </w:pPr>
            <w:r>
              <w:rPr>
                <w:rFonts w:ascii="Arial" w:cs="Arial" w:eastAsia="Arial" w:hAnsi="Arial"/>
                <w:sz w:val="18"/>
                <w:szCs w:val="18"/>
                <w:color w:val="auto"/>
              </w:rPr>
              <w:t>56</w:t>
            </w:r>
          </w:p>
        </w:tc>
      </w:tr>
      <w:tr>
        <w:trPr>
          <w:trHeight w:val="277"/>
        </w:trPr>
        <w:tc>
          <w:tcPr>
            <w:tcW w:w="4220" w:type="dxa"/>
            <w:vAlign w:val="bottom"/>
            <w:shd w:val="clear" w:color="auto" w:fill="CCEEFF"/>
          </w:tcPr>
          <w:p>
            <w:pPr>
              <w:ind w:left="40"/>
              <w:spacing w:after="0"/>
              <w:rPr>
                <w:sz w:val="20"/>
                <w:szCs w:val="20"/>
                <w:color w:val="auto"/>
              </w:rPr>
            </w:pPr>
            <w:r>
              <w:rPr>
                <w:rFonts w:ascii="Arial" w:cs="Arial" w:eastAsia="Arial" w:hAnsi="Arial"/>
                <w:sz w:val="18"/>
                <w:szCs w:val="18"/>
                <w:color w:val="auto"/>
              </w:rPr>
              <w:t xml:space="preserve">Minimum pension obligations </w:t>
            </w:r>
            <w:r>
              <w:rPr>
                <w:rFonts w:ascii="Arial" w:cs="Arial" w:eastAsia="Arial" w:hAnsi="Arial"/>
                <w:sz w:val="21"/>
                <w:szCs w:val="21"/>
                <w:color w:val="auto"/>
                <w:vertAlign w:val="superscript"/>
              </w:rPr>
              <w:t>(g)</w:t>
            </w:r>
            <w:r>
              <w:rPr>
                <w:rFonts w:ascii="Arial" w:cs="Arial" w:eastAsia="Arial" w:hAnsi="Arial"/>
                <w:sz w:val="18"/>
                <w:szCs w:val="18"/>
                <w:color w:val="auto"/>
              </w:rPr>
              <w:t xml:space="preserve"> (See Note 10)</w:t>
            </w:r>
          </w:p>
        </w:tc>
        <w:tc>
          <w:tcPr>
            <w:tcW w:w="200" w:type="dxa"/>
            <w:vAlign w:val="bottom"/>
            <w:tcBorders>
              <w:bottom w:val="single" w:sz="8" w:color="auto"/>
            </w:tcBorders>
            <w:shd w:val="clear" w:color="auto" w:fill="CCEEFF"/>
          </w:tcPr>
          <w:p>
            <w:pPr>
              <w:spacing w:after="0"/>
              <w:rPr>
                <w:sz w:val="24"/>
                <w:szCs w:val="24"/>
                <w:color w:val="auto"/>
              </w:rPr>
            </w:pPr>
          </w:p>
        </w:tc>
        <w:tc>
          <w:tcPr>
            <w:tcW w:w="720" w:type="dxa"/>
            <w:vAlign w:val="bottom"/>
            <w:tcBorders>
              <w:bottom w:val="single" w:sz="8" w:color="auto"/>
            </w:tcBorders>
            <w:shd w:val="clear" w:color="auto" w:fill="CCEEFF"/>
          </w:tcPr>
          <w:p>
            <w:pPr>
              <w:jc w:val="right"/>
              <w:ind w:right="11"/>
              <w:spacing w:after="0"/>
              <w:rPr>
                <w:sz w:val="20"/>
                <w:szCs w:val="20"/>
                <w:color w:val="auto"/>
              </w:rPr>
            </w:pPr>
            <w:r>
              <w:rPr>
                <w:rFonts w:ascii="Arial" w:cs="Arial" w:eastAsia="Arial" w:hAnsi="Arial"/>
                <w:sz w:val="18"/>
                <w:szCs w:val="18"/>
                <w:color w:val="auto"/>
              </w:rPr>
              <w:t>3</w:t>
            </w:r>
          </w:p>
        </w:tc>
        <w:tc>
          <w:tcPr>
            <w:tcW w:w="100" w:type="dxa"/>
            <w:vAlign w:val="bottom"/>
            <w:shd w:val="clear" w:color="auto" w:fill="CCEEFF"/>
          </w:tcPr>
          <w:p>
            <w:pPr>
              <w:spacing w:after="0"/>
              <w:rPr>
                <w:sz w:val="24"/>
                <w:szCs w:val="24"/>
                <w:color w:val="auto"/>
              </w:rPr>
            </w:pPr>
          </w:p>
        </w:tc>
        <w:tc>
          <w:tcPr>
            <w:tcW w:w="200" w:type="dxa"/>
            <w:vAlign w:val="bottom"/>
            <w:tcBorders>
              <w:bottom w:val="single" w:sz="8" w:color="auto"/>
            </w:tcBorders>
            <w:shd w:val="clear" w:color="auto" w:fill="CCEEFF"/>
          </w:tcPr>
          <w:p>
            <w:pPr>
              <w:spacing w:after="0"/>
              <w:rPr>
                <w:sz w:val="24"/>
                <w:szCs w:val="24"/>
                <w:color w:val="auto"/>
              </w:rPr>
            </w:pPr>
          </w:p>
        </w:tc>
        <w:tc>
          <w:tcPr>
            <w:tcW w:w="720" w:type="dxa"/>
            <w:vAlign w:val="bottom"/>
            <w:tcBorders>
              <w:bottom w:val="single" w:sz="8" w:color="auto"/>
            </w:tcBorders>
            <w:shd w:val="clear" w:color="auto" w:fill="CCEEFF"/>
          </w:tcPr>
          <w:p>
            <w:pPr>
              <w:jc w:val="right"/>
              <w:ind w:right="11"/>
              <w:spacing w:after="0"/>
              <w:rPr>
                <w:sz w:val="20"/>
                <w:szCs w:val="20"/>
                <w:color w:val="auto"/>
              </w:rPr>
            </w:pPr>
            <w:r>
              <w:rPr>
                <w:rFonts w:ascii="Arial" w:cs="Arial" w:eastAsia="Arial" w:hAnsi="Arial"/>
                <w:sz w:val="18"/>
                <w:szCs w:val="18"/>
                <w:color w:val="auto"/>
              </w:rPr>
              <w:t>4</w:t>
            </w:r>
          </w:p>
        </w:tc>
        <w:tc>
          <w:tcPr>
            <w:tcW w:w="120" w:type="dxa"/>
            <w:vAlign w:val="bottom"/>
            <w:shd w:val="clear" w:color="auto" w:fill="CCEEFF"/>
          </w:tcPr>
          <w:p>
            <w:pPr>
              <w:spacing w:after="0"/>
              <w:rPr>
                <w:sz w:val="24"/>
                <w:szCs w:val="24"/>
                <w:color w:val="auto"/>
              </w:rPr>
            </w:pPr>
          </w:p>
        </w:tc>
        <w:tc>
          <w:tcPr>
            <w:tcW w:w="200" w:type="dxa"/>
            <w:vAlign w:val="bottom"/>
            <w:tcBorders>
              <w:bottom w:val="single" w:sz="8" w:color="auto"/>
            </w:tcBorders>
            <w:shd w:val="clear" w:color="auto" w:fill="CCEEFF"/>
          </w:tcPr>
          <w:p>
            <w:pPr>
              <w:spacing w:after="0"/>
              <w:rPr>
                <w:sz w:val="24"/>
                <w:szCs w:val="24"/>
                <w:color w:val="auto"/>
              </w:rPr>
            </w:pPr>
          </w:p>
        </w:tc>
        <w:tc>
          <w:tcPr>
            <w:tcW w:w="720" w:type="dxa"/>
            <w:vAlign w:val="bottom"/>
            <w:tcBorders>
              <w:bottom w:val="single" w:sz="8" w:color="auto"/>
            </w:tcBorders>
            <w:shd w:val="clear" w:color="auto" w:fill="CCEEFF"/>
          </w:tcPr>
          <w:p>
            <w:pPr>
              <w:jc w:val="right"/>
              <w:ind w:right="32"/>
              <w:spacing w:after="0"/>
              <w:rPr>
                <w:sz w:val="20"/>
                <w:szCs w:val="20"/>
                <w:color w:val="auto"/>
              </w:rPr>
            </w:pPr>
            <w:r>
              <w:rPr>
                <w:rFonts w:ascii="Arial" w:cs="Arial" w:eastAsia="Arial" w:hAnsi="Arial"/>
                <w:sz w:val="18"/>
                <w:szCs w:val="18"/>
                <w:color w:val="auto"/>
              </w:rPr>
              <w:t>4</w:t>
            </w:r>
          </w:p>
        </w:tc>
        <w:tc>
          <w:tcPr>
            <w:tcW w:w="100" w:type="dxa"/>
            <w:vAlign w:val="bottom"/>
            <w:shd w:val="clear" w:color="auto" w:fill="CCEEFF"/>
          </w:tcPr>
          <w:p>
            <w:pPr>
              <w:spacing w:after="0"/>
              <w:rPr>
                <w:sz w:val="24"/>
                <w:szCs w:val="24"/>
                <w:color w:val="auto"/>
              </w:rPr>
            </w:pPr>
          </w:p>
        </w:tc>
        <w:tc>
          <w:tcPr>
            <w:tcW w:w="220" w:type="dxa"/>
            <w:vAlign w:val="bottom"/>
            <w:tcBorders>
              <w:bottom w:val="single" w:sz="8" w:color="auto"/>
            </w:tcBorders>
            <w:shd w:val="clear" w:color="auto" w:fill="CCEEFF"/>
          </w:tcPr>
          <w:p>
            <w:pPr>
              <w:spacing w:after="0"/>
              <w:rPr>
                <w:sz w:val="24"/>
                <w:szCs w:val="24"/>
                <w:color w:val="auto"/>
              </w:rPr>
            </w:pPr>
          </w:p>
        </w:tc>
        <w:tc>
          <w:tcPr>
            <w:tcW w:w="700" w:type="dxa"/>
            <w:vAlign w:val="bottom"/>
            <w:tcBorders>
              <w:bottom w:val="single" w:sz="8" w:color="auto"/>
            </w:tcBorders>
            <w:shd w:val="clear" w:color="auto" w:fill="CCEEFF"/>
          </w:tcPr>
          <w:p>
            <w:pPr>
              <w:jc w:val="right"/>
              <w:ind w:right="11"/>
              <w:spacing w:after="0"/>
              <w:rPr>
                <w:sz w:val="20"/>
                <w:szCs w:val="20"/>
                <w:color w:val="auto"/>
              </w:rPr>
            </w:pPr>
            <w:r>
              <w:rPr>
                <w:rFonts w:ascii="Arial" w:cs="Arial" w:eastAsia="Arial" w:hAnsi="Arial"/>
                <w:sz w:val="18"/>
                <w:szCs w:val="18"/>
                <w:color w:val="auto"/>
              </w:rPr>
              <w:t>4</w:t>
            </w:r>
          </w:p>
        </w:tc>
        <w:tc>
          <w:tcPr>
            <w:tcW w:w="100" w:type="dxa"/>
            <w:vAlign w:val="bottom"/>
            <w:shd w:val="clear" w:color="auto" w:fill="CCEEFF"/>
          </w:tcPr>
          <w:p>
            <w:pPr>
              <w:spacing w:after="0"/>
              <w:rPr>
                <w:sz w:val="24"/>
                <w:szCs w:val="24"/>
                <w:color w:val="auto"/>
              </w:rPr>
            </w:pPr>
          </w:p>
        </w:tc>
        <w:tc>
          <w:tcPr>
            <w:tcW w:w="220" w:type="dxa"/>
            <w:vAlign w:val="bottom"/>
            <w:tcBorders>
              <w:bottom w:val="single" w:sz="8" w:color="auto"/>
            </w:tcBorders>
            <w:shd w:val="clear" w:color="auto" w:fill="CCEEFF"/>
          </w:tcPr>
          <w:p>
            <w:pPr>
              <w:spacing w:after="0"/>
              <w:rPr>
                <w:sz w:val="24"/>
                <w:szCs w:val="24"/>
                <w:color w:val="auto"/>
              </w:rPr>
            </w:pPr>
          </w:p>
        </w:tc>
        <w:tc>
          <w:tcPr>
            <w:tcW w:w="700" w:type="dxa"/>
            <w:vAlign w:val="bottom"/>
            <w:tcBorders>
              <w:bottom w:val="single" w:sz="8" w:color="auto"/>
            </w:tcBorders>
            <w:shd w:val="clear" w:color="auto" w:fill="CCEEFF"/>
          </w:tcPr>
          <w:p>
            <w:pPr>
              <w:jc w:val="right"/>
              <w:ind w:right="11"/>
              <w:spacing w:after="0"/>
              <w:rPr>
                <w:sz w:val="20"/>
                <w:szCs w:val="20"/>
                <w:color w:val="auto"/>
              </w:rPr>
            </w:pPr>
            <w:r>
              <w:rPr>
                <w:rFonts w:ascii="Arial" w:cs="Arial" w:eastAsia="Arial" w:hAnsi="Arial"/>
                <w:sz w:val="18"/>
                <w:szCs w:val="18"/>
                <w:color w:val="auto"/>
              </w:rPr>
              <w:t>5</w:t>
            </w:r>
          </w:p>
        </w:tc>
        <w:tc>
          <w:tcPr>
            <w:tcW w:w="120" w:type="dxa"/>
            <w:vAlign w:val="bottom"/>
            <w:shd w:val="clear" w:color="auto" w:fill="CCEEFF"/>
          </w:tcPr>
          <w:p>
            <w:pPr>
              <w:spacing w:after="0"/>
              <w:rPr>
                <w:sz w:val="24"/>
                <w:szCs w:val="24"/>
                <w:color w:val="auto"/>
              </w:rPr>
            </w:pPr>
          </w:p>
        </w:tc>
        <w:tc>
          <w:tcPr>
            <w:tcW w:w="140" w:type="dxa"/>
            <w:vAlign w:val="bottom"/>
            <w:tcBorders>
              <w:bottom w:val="single" w:sz="8" w:color="auto"/>
            </w:tcBorders>
            <w:shd w:val="clear" w:color="auto" w:fill="CCEEFF"/>
          </w:tcPr>
          <w:p>
            <w:pPr>
              <w:spacing w:after="0"/>
              <w:rPr>
                <w:sz w:val="24"/>
                <w:szCs w:val="24"/>
                <w:color w:val="auto"/>
              </w:rPr>
            </w:pPr>
          </w:p>
        </w:tc>
        <w:tc>
          <w:tcPr>
            <w:tcW w:w="900" w:type="dxa"/>
            <w:vAlign w:val="bottom"/>
            <w:tcBorders>
              <w:bottom w:val="single" w:sz="8" w:color="auto"/>
            </w:tcBorders>
            <w:shd w:val="clear" w:color="auto" w:fill="CCEEFF"/>
          </w:tcPr>
          <w:p>
            <w:pPr>
              <w:jc w:val="right"/>
              <w:ind w:right="32"/>
              <w:spacing w:after="0"/>
              <w:rPr>
                <w:sz w:val="20"/>
                <w:szCs w:val="20"/>
                <w:color w:val="auto"/>
              </w:rPr>
            </w:pPr>
            <w:r>
              <w:rPr>
                <w:rFonts w:ascii="Arial" w:cs="Arial" w:eastAsia="Arial" w:hAnsi="Arial"/>
                <w:sz w:val="18"/>
                <w:szCs w:val="18"/>
                <w:color w:val="auto"/>
              </w:rPr>
              <w:t>13</w:t>
            </w:r>
          </w:p>
        </w:tc>
        <w:tc>
          <w:tcPr>
            <w:tcW w:w="100" w:type="dxa"/>
            <w:vAlign w:val="bottom"/>
            <w:shd w:val="clear" w:color="auto" w:fill="CCEEFF"/>
          </w:tcPr>
          <w:p>
            <w:pPr>
              <w:spacing w:after="0"/>
              <w:rPr>
                <w:sz w:val="24"/>
                <w:szCs w:val="24"/>
                <w:color w:val="auto"/>
              </w:rPr>
            </w:pPr>
          </w:p>
        </w:tc>
        <w:tc>
          <w:tcPr>
            <w:tcW w:w="200" w:type="dxa"/>
            <w:vAlign w:val="bottom"/>
            <w:tcBorders>
              <w:bottom w:val="single" w:sz="8" w:color="auto"/>
            </w:tcBorders>
            <w:shd w:val="clear" w:color="auto" w:fill="CCEEFF"/>
          </w:tcPr>
          <w:p>
            <w:pPr>
              <w:spacing w:after="0"/>
              <w:rPr>
                <w:sz w:val="24"/>
                <w:szCs w:val="24"/>
                <w:color w:val="auto"/>
              </w:rPr>
            </w:pPr>
          </w:p>
        </w:tc>
        <w:tc>
          <w:tcPr>
            <w:tcW w:w="720" w:type="dxa"/>
            <w:vAlign w:val="bottom"/>
            <w:tcBorders>
              <w:bottom w:val="single" w:sz="8" w:color="auto"/>
            </w:tcBorders>
            <w:shd w:val="clear" w:color="auto" w:fill="CCEEFF"/>
          </w:tcPr>
          <w:p>
            <w:pPr>
              <w:jc w:val="right"/>
              <w:ind w:right="11"/>
              <w:spacing w:after="0"/>
              <w:rPr>
                <w:sz w:val="20"/>
                <w:szCs w:val="20"/>
                <w:color w:val="auto"/>
              </w:rPr>
            </w:pPr>
            <w:r>
              <w:rPr>
                <w:rFonts w:ascii="Arial" w:cs="Arial" w:eastAsia="Arial" w:hAnsi="Arial"/>
                <w:sz w:val="18"/>
                <w:szCs w:val="18"/>
                <w:color w:val="auto"/>
              </w:rPr>
              <w:t>33</w:t>
            </w:r>
          </w:p>
        </w:tc>
      </w:tr>
      <w:tr>
        <w:trPr>
          <w:trHeight w:val="250"/>
        </w:trPr>
        <w:tc>
          <w:tcPr>
            <w:tcW w:w="4220" w:type="dxa"/>
            <w:vAlign w:val="bottom"/>
          </w:tcPr>
          <w:p>
            <w:pPr>
              <w:ind w:left="380"/>
              <w:spacing w:after="0"/>
              <w:rPr>
                <w:sz w:val="20"/>
                <w:szCs w:val="20"/>
                <w:color w:val="auto"/>
              </w:rPr>
            </w:pPr>
            <w:r>
              <w:rPr>
                <w:rFonts w:ascii="Arial" w:cs="Arial" w:eastAsia="Arial" w:hAnsi="Arial"/>
                <w:sz w:val="18"/>
                <w:szCs w:val="18"/>
                <w:color w:val="auto"/>
              </w:rPr>
              <w:t>Total AAG Contractual Obligations</w:t>
            </w:r>
          </w:p>
        </w:tc>
        <w:tc>
          <w:tcPr>
            <w:tcW w:w="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720" w:type="dxa"/>
            <w:vAlign w:val="bottom"/>
            <w:tcBorders>
              <w:bottom w:val="single" w:sz="8" w:color="auto"/>
            </w:tcBorders>
          </w:tcPr>
          <w:p>
            <w:pPr>
              <w:jc w:val="right"/>
              <w:ind w:right="11"/>
              <w:spacing w:after="0"/>
              <w:rPr>
                <w:sz w:val="20"/>
                <w:szCs w:val="20"/>
                <w:color w:val="auto"/>
              </w:rPr>
            </w:pPr>
            <w:r>
              <w:rPr>
                <w:rFonts w:ascii="Arial" w:cs="Arial" w:eastAsia="Arial" w:hAnsi="Arial"/>
                <w:sz w:val="18"/>
                <w:szCs w:val="18"/>
                <w:color w:val="auto"/>
              </w:rPr>
              <w:t>12,371</w:t>
            </w:r>
          </w:p>
        </w:tc>
        <w:tc>
          <w:tcPr>
            <w:tcW w:w="100" w:type="dxa"/>
            <w:vAlign w:val="bottom"/>
          </w:tcPr>
          <w:p>
            <w:pPr>
              <w:spacing w:after="0"/>
              <w:rPr>
                <w:sz w:val="21"/>
                <w:szCs w:val="21"/>
                <w:color w:val="auto"/>
              </w:rPr>
            </w:pPr>
          </w:p>
        </w:tc>
        <w:tc>
          <w:tcPr>
            <w:tcW w:w="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720" w:type="dxa"/>
            <w:vAlign w:val="bottom"/>
            <w:tcBorders>
              <w:bottom w:val="single" w:sz="8" w:color="auto"/>
            </w:tcBorders>
          </w:tcPr>
          <w:p>
            <w:pPr>
              <w:jc w:val="right"/>
              <w:ind w:right="11"/>
              <w:spacing w:after="0"/>
              <w:rPr>
                <w:sz w:val="20"/>
                <w:szCs w:val="20"/>
                <w:color w:val="auto"/>
              </w:rPr>
            </w:pPr>
            <w:r>
              <w:rPr>
                <w:rFonts w:ascii="Arial" w:cs="Arial" w:eastAsia="Arial" w:hAnsi="Arial"/>
                <w:sz w:val="18"/>
                <w:szCs w:val="18"/>
                <w:color w:val="auto"/>
              </w:rPr>
              <w:t>12,348</w:t>
            </w:r>
          </w:p>
        </w:tc>
        <w:tc>
          <w:tcPr>
            <w:tcW w:w="120" w:type="dxa"/>
            <w:vAlign w:val="bottom"/>
          </w:tcPr>
          <w:p>
            <w:pPr>
              <w:spacing w:after="0"/>
              <w:rPr>
                <w:sz w:val="21"/>
                <w:szCs w:val="21"/>
                <w:color w:val="auto"/>
              </w:rPr>
            </w:pPr>
          </w:p>
        </w:tc>
        <w:tc>
          <w:tcPr>
            <w:tcW w:w="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720" w:type="dxa"/>
            <w:vAlign w:val="bottom"/>
            <w:tcBorders>
              <w:bottom w:val="single" w:sz="8" w:color="auto"/>
            </w:tcBorders>
          </w:tcPr>
          <w:p>
            <w:pPr>
              <w:jc w:val="right"/>
              <w:ind w:right="32"/>
              <w:spacing w:after="0"/>
              <w:rPr>
                <w:sz w:val="20"/>
                <w:szCs w:val="20"/>
                <w:color w:val="auto"/>
              </w:rPr>
            </w:pPr>
            <w:r>
              <w:rPr>
                <w:rFonts w:ascii="Arial" w:cs="Arial" w:eastAsia="Arial" w:hAnsi="Arial"/>
                <w:sz w:val="18"/>
                <w:szCs w:val="18"/>
                <w:color w:val="auto"/>
              </w:rPr>
              <w:t>9,553</w:t>
            </w:r>
          </w:p>
        </w:tc>
        <w:tc>
          <w:tcPr>
            <w:tcW w:w="100" w:type="dxa"/>
            <w:vAlign w:val="bottom"/>
          </w:tcPr>
          <w:p>
            <w:pPr>
              <w:spacing w:after="0"/>
              <w:rPr>
                <w:sz w:val="21"/>
                <w:szCs w:val="21"/>
                <w:color w:val="auto"/>
              </w:rPr>
            </w:pPr>
          </w:p>
        </w:tc>
        <w:tc>
          <w:tcPr>
            <w:tcW w:w="22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w w:val="99"/>
              </w:rPr>
              <w:t>$</w:t>
            </w:r>
          </w:p>
        </w:tc>
        <w:tc>
          <w:tcPr>
            <w:tcW w:w="700" w:type="dxa"/>
            <w:vAlign w:val="bottom"/>
            <w:tcBorders>
              <w:bottom w:val="single" w:sz="8" w:color="auto"/>
            </w:tcBorders>
          </w:tcPr>
          <w:p>
            <w:pPr>
              <w:jc w:val="right"/>
              <w:ind w:right="11"/>
              <w:spacing w:after="0"/>
              <w:rPr>
                <w:sz w:val="20"/>
                <w:szCs w:val="20"/>
                <w:color w:val="auto"/>
              </w:rPr>
            </w:pPr>
            <w:r>
              <w:rPr>
                <w:rFonts w:ascii="Arial" w:cs="Arial" w:eastAsia="Arial" w:hAnsi="Arial"/>
                <w:sz w:val="18"/>
                <w:szCs w:val="18"/>
                <w:color w:val="auto"/>
              </w:rPr>
              <w:t>9,712</w:t>
            </w:r>
          </w:p>
        </w:tc>
        <w:tc>
          <w:tcPr>
            <w:tcW w:w="100" w:type="dxa"/>
            <w:vAlign w:val="bottom"/>
          </w:tcPr>
          <w:p>
            <w:pPr>
              <w:spacing w:after="0"/>
              <w:rPr>
                <w:sz w:val="21"/>
                <w:szCs w:val="21"/>
                <w:color w:val="auto"/>
              </w:rPr>
            </w:pPr>
          </w:p>
        </w:tc>
        <w:tc>
          <w:tcPr>
            <w:tcW w:w="2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700" w:type="dxa"/>
            <w:vAlign w:val="bottom"/>
            <w:tcBorders>
              <w:bottom w:val="single" w:sz="8" w:color="auto"/>
            </w:tcBorders>
          </w:tcPr>
          <w:p>
            <w:pPr>
              <w:jc w:val="right"/>
              <w:ind w:right="11"/>
              <w:spacing w:after="0"/>
              <w:rPr>
                <w:sz w:val="20"/>
                <w:szCs w:val="20"/>
                <w:color w:val="auto"/>
              </w:rPr>
            </w:pPr>
            <w:r>
              <w:rPr>
                <w:rFonts w:ascii="Arial" w:cs="Arial" w:eastAsia="Arial" w:hAnsi="Arial"/>
                <w:sz w:val="18"/>
                <w:szCs w:val="18"/>
                <w:color w:val="auto"/>
              </w:rPr>
              <w:t>7,677</w:t>
            </w:r>
          </w:p>
        </w:tc>
        <w:tc>
          <w:tcPr>
            <w:tcW w:w="120" w:type="dxa"/>
            <w:vAlign w:val="bottom"/>
          </w:tcPr>
          <w:p>
            <w:pPr>
              <w:spacing w:after="0"/>
              <w:rPr>
                <w:sz w:val="21"/>
                <w:szCs w:val="21"/>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900" w:type="dxa"/>
            <w:vAlign w:val="bottom"/>
            <w:tcBorders>
              <w:bottom w:val="single" w:sz="8" w:color="auto"/>
            </w:tcBorders>
          </w:tcPr>
          <w:p>
            <w:pPr>
              <w:jc w:val="right"/>
              <w:ind w:right="32"/>
              <w:spacing w:after="0"/>
              <w:rPr>
                <w:sz w:val="20"/>
                <w:szCs w:val="20"/>
                <w:color w:val="auto"/>
              </w:rPr>
            </w:pPr>
            <w:r>
              <w:rPr>
                <w:rFonts w:ascii="Arial" w:cs="Arial" w:eastAsia="Arial" w:hAnsi="Arial"/>
                <w:sz w:val="18"/>
                <w:szCs w:val="18"/>
                <w:color w:val="auto"/>
              </w:rPr>
              <w:t>24,191</w:t>
            </w:r>
          </w:p>
        </w:tc>
        <w:tc>
          <w:tcPr>
            <w:tcW w:w="100" w:type="dxa"/>
            <w:vAlign w:val="bottom"/>
          </w:tcPr>
          <w:p>
            <w:pPr>
              <w:spacing w:after="0"/>
              <w:rPr>
                <w:sz w:val="21"/>
                <w:szCs w:val="21"/>
                <w:color w:val="auto"/>
              </w:rPr>
            </w:pPr>
          </w:p>
        </w:tc>
        <w:tc>
          <w:tcPr>
            <w:tcW w:w="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720" w:type="dxa"/>
            <w:vAlign w:val="bottom"/>
            <w:tcBorders>
              <w:bottom w:val="single" w:sz="8" w:color="auto"/>
            </w:tcBorders>
          </w:tcPr>
          <w:p>
            <w:pPr>
              <w:jc w:val="right"/>
              <w:ind w:right="11"/>
              <w:spacing w:after="0"/>
              <w:rPr>
                <w:sz w:val="20"/>
                <w:szCs w:val="20"/>
                <w:color w:val="auto"/>
              </w:rPr>
            </w:pPr>
            <w:r>
              <w:rPr>
                <w:rFonts w:ascii="Arial" w:cs="Arial" w:eastAsia="Arial" w:hAnsi="Arial"/>
                <w:sz w:val="18"/>
                <w:szCs w:val="18"/>
                <w:color w:val="auto"/>
              </w:rPr>
              <w:t>75,852</w:t>
            </w:r>
          </w:p>
        </w:tc>
      </w:tr>
      <w:tr>
        <w:trPr>
          <w:trHeight w:val="20"/>
        </w:trPr>
        <w:tc>
          <w:tcPr>
            <w:tcW w:w="42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210820</wp:posOffset>
            </wp:positionH>
            <wp:positionV relativeFrom="paragraph">
              <wp:posOffset>163195</wp:posOffset>
            </wp:positionV>
            <wp:extent cx="1303655" cy="8890"/>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1303655" cy="8890"/>
                    </a:xfrm>
                    <a:prstGeom prst="rect">
                      <a:avLst/>
                    </a:prstGeom>
                    <a:noFill/>
                  </pic:spPr>
                </pic:pic>
              </a:graphicData>
            </a:graphic>
          </wp:anchor>
        </w:drawing>
      </w:r>
    </w:p>
    <w:p>
      <w:pPr>
        <w:sectPr>
          <w:pgSz w:w="11900" w:h="16838" w:orient="portrait"/>
          <w:cols w:equalWidth="0" w:num="1">
            <w:col w:w="11420"/>
          </w:cols>
          <w:pgMar w:left="240" w:top="733" w:right="239" w:bottom="1440" w:gutter="0" w:footer="0" w:header="0"/>
        </w:sectPr>
      </w:pPr>
    </w:p>
    <w:p>
      <w:pPr>
        <w:spacing w:after="0" w:line="348" w:lineRule="exact"/>
        <w:rPr>
          <w:sz w:val="20"/>
          <w:szCs w:val="20"/>
          <w:color w:val="auto"/>
        </w:rPr>
      </w:pPr>
    </w:p>
    <w:p>
      <w:pPr>
        <w:spacing w:after="0"/>
        <w:rPr>
          <w:sz w:val="20"/>
          <w:szCs w:val="20"/>
          <w:color w:val="auto"/>
        </w:rPr>
      </w:pPr>
      <w:r>
        <w:rPr>
          <w:rFonts w:ascii="Arial" w:cs="Arial" w:eastAsia="Arial" w:hAnsi="Arial"/>
          <w:sz w:val="11"/>
          <w:szCs w:val="11"/>
          <w:color w:val="auto"/>
        </w:rPr>
        <w:t>(a)</w:t>
      </w:r>
    </w:p>
    <w:p>
      <w:pPr>
        <w:spacing w:after="0" w:line="200" w:lineRule="exact"/>
        <w:rPr>
          <w:sz w:val="20"/>
          <w:szCs w:val="20"/>
          <w:color w:val="auto"/>
        </w:rPr>
      </w:pPr>
    </w:p>
    <w:p>
      <w:pPr>
        <w:spacing w:after="0" w:line="268" w:lineRule="exact"/>
        <w:rPr>
          <w:sz w:val="20"/>
          <w:szCs w:val="20"/>
          <w:color w:val="auto"/>
        </w:rPr>
      </w:pPr>
    </w:p>
    <w:p>
      <w:pPr>
        <w:spacing w:after="0"/>
        <w:rPr>
          <w:sz w:val="20"/>
          <w:szCs w:val="20"/>
          <w:color w:val="auto"/>
        </w:rPr>
      </w:pPr>
      <w:r>
        <w:rPr>
          <w:rFonts w:ascii="Arial" w:cs="Arial" w:eastAsia="Arial" w:hAnsi="Arial"/>
          <w:sz w:val="11"/>
          <w:szCs w:val="11"/>
          <w:color w:val="auto"/>
        </w:rPr>
        <w:t>(b)</w:t>
      </w:r>
    </w:p>
    <w:p>
      <w:pPr>
        <w:spacing w:after="0" w:line="200" w:lineRule="exact"/>
        <w:rPr>
          <w:sz w:val="20"/>
          <w:szCs w:val="20"/>
          <w:color w:val="auto"/>
        </w:rPr>
      </w:pPr>
    </w:p>
    <w:p>
      <w:pPr>
        <w:spacing w:after="0" w:line="268" w:lineRule="exact"/>
        <w:rPr>
          <w:sz w:val="20"/>
          <w:szCs w:val="20"/>
          <w:color w:val="auto"/>
        </w:rPr>
      </w:pPr>
    </w:p>
    <w:p>
      <w:pPr>
        <w:spacing w:after="0"/>
        <w:rPr>
          <w:sz w:val="20"/>
          <w:szCs w:val="20"/>
          <w:color w:val="auto"/>
        </w:rPr>
      </w:pPr>
      <w:r>
        <w:rPr>
          <w:rFonts w:ascii="Arial" w:cs="Arial" w:eastAsia="Arial" w:hAnsi="Arial"/>
          <w:sz w:val="11"/>
          <w:szCs w:val="11"/>
          <w:color w:val="auto"/>
        </w:rPr>
        <w:t>(c)</w:t>
      </w:r>
    </w:p>
    <w:p>
      <w:pPr>
        <w:spacing w:after="0" w:line="20" w:lineRule="exact"/>
        <w:rPr>
          <w:sz w:val="20"/>
          <w:szCs w:val="20"/>
          <w:color w:val="auto"/>
        </w:rPr>
      </w:pPr>
      <w:r>
        <w:rPr>
          <w:sz w:val="20"/>
          <w:szCs w:val="20"/>
          <w:color w:val="auto"/>
        </w:rPr>
        <w:br w:type="column"/>
      </w:r>
    </w:p>
    <w:p>
      <w:pPr>
        <w:spacing w:after="0" w:line="330" w:lineRule="exact"/>
        <w:rPr>
          <w:sz w:val="20"/>
          <w:szCs w:val="20"/>
          <w:color w:val="auto"/>
        </w:rPr>
      </w:pPr>
    </w:p>
    <w:p>
      <w:pPr>
        <w:ind w:right="20"/>
        <w:spacing w:after="0" w:line="262" w:lineRule="auto"/>
        <w:rPr>
          <w:sz w:val="20"/>
          <w:szCs w:val="20"/>
          <w:color w:val="auto"/>
        </w:rPr>
      </w:pPr>
      <w:r>
        <w:rPr>
          <w:rFonts w:ascii="Arial" w:cs="Arial" w:eastAsia="Arial" w:hAnsi="Arial"/>
          <w:sz w:val="18"/>
          <w:szCs w:val="18"/>
          <w:color w:val="auto"/>
        </w:rPr>
        <w:t>For additional information, see the Notes to AAG’s and American’s Consolidated Financial Statements in Part II, Items 8A and 8B, respectively, referenced in the table above.</w:t>
      </w:r>
    </w:p>
    <w:p>
      <w:pPr>
        <w:spacing w:after="0" w:line="142" w:lineRule="exact"/>
        <w:rPr>
          <w:sz w:val="20"/>
          <w:szCs w:val="20"/>
          <w:color w:val="auto"/>
        </w:rPr>
      </w:pPr>
    </w:p>
    <w:p>
      <w:pPr>
        <w:spacing w:after="0" w:line="262" w:lineRule="auto"/>
        <w:rPr>
          <w:sz w:val="20"/>
          <w:szCs w:val="20"/>
          <w:color w:val="auto"/>
        </w:rPr>
      </w:pPr>
      <w:r>
        <w:rPr>
          <w:rFonts w:ascii="Arial" w:cs="Arial" w:eastAsia="Arial" w:hAnsi="Arial"/>
          <w:sz w:val="18"/>
          <w:szCs w:val="18"/>
          <w:color w:val="auto"/>
        </w:rPr>
        <w:t>Amounts represent contractual amounts due. Excludes $205 million and $6 million of unamortized debt discount, premium and issuance costs as of December 31, 2019 for American and AAG Parent, respectively.</w:t>
      </w:r>
    </w:p>
    <w:p>
      <w:pPr>
        <w:spacing w:after="0" w:line="142" w:lineRule="exact"/>
        <w:rPr>
          <w:sz w:val="20"/>
          <w:szCs w:val="20"/>
          <w:color w:val="auto"/>
        </w:rPr>
      </w:pPr>
    </w:p>
    <w:p>
      <w:pPr>
        <w:spacing w:after="0"/>
        <w:rPr>
          <w:sz w:val="20"/>
          <w:szCs w:val="20"/>
          <w:color w:val="auto"/>
        </w:rPr>
      </w:pPr>
      <w:r>
        <w:rPr>
          <w:rFonts w:ascii="Arial" w:cs="Arial" w:eastAsia="Arial" w:hAnsi="Arial"/>
          <w:sz w:val="18"/>
          <w:szCs w:val="18"/>
          <w:color w:val="auto"/>
        </w:rPr>
        <w:t>For variable-rate debt, future interest obligations are estimated using the current forward rates at December 31, 2019.</w:t>
      </w:r>
    </w:p>
    <w:p>
      <w:pPr>
        <w:spacing w:after="0" w:line="225" w:lineRule="exact"/>
        <w:rPr>
          <w:sz w:val="20"/>
          <w:szCs w:val="20"/>
          <w:color w:val="auto"/>
        </w:rPr>
      </w:pPr>
    </w:p>
    <w:p>
      <w:pPr>
        <w:jc w:val="center"/>
        <w:ind w:right="640"/>
        <w:spacing w:after="0"/>
        <w:rPr>
          <w:sz w:val="20"/>
          <w:szCs w:val="20"/>
          <w:color w:val="auto"/>
        </w:rPr>
      </w:pPr>
      <w:r>
        <w:rPr>
          <w:rFonts w:ascii="Arial" w:cs="Arial" w:eastAsia="Arial" w:hAnsi="Arial"/>
          <w:sz w:val="18"/>
          <w:szCs w:val="18"/>
          <w:color w:val="auto"/>
        </w:rPr>
        <w:t>63</w:t>
      </w:r>
    </w:p>
    <w:p>
      <w:pPr>
        <w:sectPr>
          <w:pgSz w:w="11900" w:h="16838" w:orient="portrait"/>
          <w:cols w:equalWidth="0" w:num="2">
            <w:col w:w="140" w:space="520"/>
            <w:col w:w="10760"/>
          </w:cols>
          <w:pgMar w:left="240" w:top="733" w:right="239" w:bottom="1440" w:gutter="0" w:footer="0" w:header="0"/>
          <w:type w:val="continuous"/>
        </w:sectPr>
      </w:pPr>
    </w:p>
    <w:bookmarkStart w:id="63" w:name="page64"/>
    <w:bookmarkEnd w:id="63"/>
    <w:p>
      <w:pPr>
        <w:spacing w:after="0"/>
        <w:rPr>
          <w:sz w:val="20"/>
          <w:szCs w:val="20"/>
          <w:color w:val="auto"/>
        </w:rPr>
      </w:pPr>
      <w:r>
        <w:rPr>
          <w:rFonts w:ascii="Arial" w:cs="Arial" w:eastAsia="Arial" w:hAnsi="Arial"/>
          <w:sz w:val="11"/>
          <w:szCs w:val="11"/>
          <w:color w:val="auto"/>
        </w:rPr>
        <w:t>(d)</w:t>
      </w:r>
    </w:p>
    <w:p>
      <w:pPr>
        <w:spacing w:after="0" w:line="200" w:lineRule="exact"/>
        <w:rPr>
          <w:sz w:val="20"/>
          <w:szCs w:val="20"/>
          <w:color w:val="auto"/>
        </w:rPr>
      </w:pPr>
    </w:p>
    <w:p>
      <w:pPr>
        <w:spacing w:after="0" w:line="268" w:lineRule="exact"/>
        <w:rPr>
          <w:sz w:val="20"/>
          <w:szCs w:val="20"/>
          <w:color w:val="auto"/>
        </w:rPr>
      </w:pPr>
    </w:p>
    <w:p>
      <w:pPr>
        <w:spacing w:after="0"/>
        <w:rPr>
          <w:sz w:val="20"/>
          <w:szCs w:val="20"/>
          <w:color w:val="auto"/>
        </w:rPr>
      </w:pPr>
      <w:r>
        <w:rPr>
          <w:rFonts w:ascii="Arial" w:cs="Arial" w:eastAsia="Arial" w:hAnsi="Arial"/>
          <w:sz w:val="11"/>
          <w:szCs w:val="11"/>
          <w:color w:val="auto"/>
        </w:rPr>
        <w:t>(e)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8" w:lineRule="exact"/>
        <w:rPr>
          <w:sz w:val="20"/>
          <w:szCs w:val="20"/>
          <w:color w:val="auto"/>
        </w:rPr>
      </w:pPr>
    </w:p>
    <w:p>
      <w:pPr>
        <w:spacing w:after="0"/>
        <w:rPr>
          <w:sz w:val="20"/>
          <w:szCs w:val="20"/>
          <w:color w:val="auto"/>
        </w:rPr>
      </w:pPr>
      <w:r>
        <w:rPr>
          <w:rFonts w:ascii="Arial" w:cs="Arial" w:eastAsia="Arial" w:hAnsi="Arial"/>
          <w:sz w:val="11"/>
          <w:szCs w:val="11"/>
          <w:color w:val="auto"/>
        </w:rPr>
        <w:t>(f)</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0" w:lineRule="exact"/>
        <w:rPr>
          <w:sz w:val="20"/>
          <w:szCs w:val="20"/>
          <w:color w:val="auto"/>
        </w:rPr>
      </w:pPr>
    </w:p>
    <w:p>
      <w:pPr>
        <w:spacing w:after="0"/>
        <w:rPr>
          <w:sz w:val="20"/>
          <w:szCs w:val="20"/>
          <w:color w:val="auto"/>
        </w:rPr>
      </w:pPr>
      <w:r>
        <w:rPr>
          <w:rFonts w:ascii="Arial" w:cs="Arial" w:eastAsia="Arial" w:hAnsi="Arial"/>
          <w:sz w:val="11"/>
          <w:szCs w:val="11"/>
          <w:color w:val="auto"/>
        </w:rPr>
        <w:t>(g)</w:t>
      </w:r>
    </w:p>
    <w:p>
      <w:pPr>
        <w:spacing w:after="0" w:line="200" w:lineRule="exact"/>
        <w:rPr>
          <w:sz w:val="20"/>
          <w:szCs w:val="20"/>
          <w:color w:val="auto"/>
        </w:rPr>
      </w:pPr>
    </w:p>
    <w:p>
      <w:pPr>
        <w:spacing w:after="0" w:line="268" w:lineRule="exact"/>
        <w:rPr>
          <w:sz w:val="20"/>
          <w:szCs w:val="20"/>
          <w:color w:val="auto"/>
        </w:rPr>
      </w:pPr>
    </w:p>
    <w:p>
      <w:pPr>
        <w:spacing w:after="0"/>
        <w:rPr>
          <w:sz w:val="20"/>
          <w:szCs w:val="20"/>
          <w:color w:val="auto"/>
        </w:rPr>
      </w:pPr>
      <w:r>
        <w:rPr>
          <w:rFonts w:ascii="Arial" w:cs="Arial" w:eastAsia="Arial" w:hAnsi="Arial"/>
          <w:sz w:val="11"/>
          <w:szCs w:val="11"/>
          <w:color w:val="auto"/>
        </w:rPr>
        <w:t>(h)</w:t>
      </w:r>
    </w:p>
    <w:p>
      <w:pPr>
        <w:spacing w:after="0" w:line="20" w:lineRule="exact"/>
        <w:rPr>
          <w:sz w:val="20"/>
          <w:szCs w:val="20"/>
          <w:color w:val="auto"/>
        </w:rPr>
      </w:pPr>
      <w:r>
        <w:rPr>
          <w:sz w:val="20"/>
          <w:szCs w:val="20"/>
          <w:color w:val="auto"/>
        </w:rPr>
        <w:br w:type="column"/>
      </w:r>
    </w:p>
    <w:p>
      <w:pPr>
        <w:jc w:val="both"/>
        <w:ind w:right="20"/>
        <w:spacing w:after="0" w:line="262" w:lineRule="auto"/>
        <w:rPr>
          <w:sz w:val="20"/>
          <w:szCs w:val="20"/>
          <w:color w:val="auto"/>
        </w:rPr>
      </w:pPr>
      <w:r>
        <w:rPr>
          <w:rFonts w:ascii="Arial" w:cs="Arial" w:eastAsia="Arial" w:hAnsi="Arial"/>
          <w:sz w:val="18"/>
          <w:szCs w:val="18"/>
          <w:color w:val="auto"/>
        </w:rPr>
        <w:t>Includes $11.9 billion of future principal payments and $2.3 billion of future interest payments as of December 31, 2019, related to EETCs associated with mortgage financings of certain aircraft and spare engines.</w:t>
      </w:r>
    </w:p>
    <w:p>
      <w:pPr>
        <w:spacing w:after="0" w:line="124"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 xml:space="preserve">See Part I, Item 2. Properties – </w:t>
      </w:r>
      <w:r>
        <w:rPr>
          <w:rFonts w:ascii="Arial" w:cs="Arial" w:eastAsia="Arial" w:hAnsi="Arial"/>
          <w:sz w:val="18"/>
          <w:szCs w:val="18"/>
          <w:i w:val="1"/>
          <w:iCs w:val="1"/>
          <w:color w:val="auto"/>
        </w:rPr>
        <w:t>“Aircraft and Engine Purchase Commitments”</w:t>
      </w:r>
      <w:r>
        <w:rPr>
          <w:rFonts w:ascii="Arial" w:cs="Arial" w:eastAsia="Arial" w:hAnsi="Arial"/>
          <w:sz w:val="18"/>
          <w:szCs w:val="18"/>
          <w:color w:val="auto"/>
        </w:rPr>
        <w:t xml:space="preserve"> for additional information about the firm commitment aircraft delivery schedule, in particular the footnotes to the table thereunder as to potential changes to such delivery schedule. Due to uncertainty surrounding the timing of delivery of certain aircraft, the amounts in the table represent our current best estimate, including with respect to the delivery of Boeing 737 MAX aircraft; however, the actual delivery schedule may differ from the table above, potentially materially. Additionally, the amounts in the table exclude 22 787-8 aircraft to be delivered in 2020 and 2021 for which Boeing has committed to provide sale-leaseback financing (in the form of operating leases). This financing is reflected in the operating lease commitments line above.</w:t>
      </w:r>
    </w:p>
    <w:p>
      <w:pPr>
        <w:spacing w:after="0" w:line="153"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Represents minimum payments under capacity purchase agreements with third-party regional carriers. These commitments are estimates of costs based on assumed minimum levels of flying under the capacity purchase agreements and our actual payments could differ materially. Rental payments under operating leases for certain aircraft flown under these capacity purchase agreements are reflected in the operating lease commitments line above.</w:t>
      </w:r>
    </w:p>
    <w:p>
      <w:pPr>
        <w:spacing w:after="0" w:line="150" w:lineRule="exact"/>
        <w:rPr>
          <w:sz w:val="20"/>
          <w:szCs w:val="20"/>
          <w:color w:val="auto"/>
        </w:rPr>
      </w:pPr>
    </w:p>
    <w:p>
      <w:pPr>
        <w:jc w:val="both"/>
        <w:ind w:right="20"/>
        <w:spacing w:after="0" w:line="262" w:lineRule="auto"/>
        <w:rPr>
          <w:sz w:val="20"/>
          <w:szCs w:val="20"/>
          <w:color w:val="auto"/>
        </w:rPr>
      </w:pPr>
      <w:r>
        <w:rPr>
          <w:rFonts w:ascii="Arial" w:cs="Arial" w:eastAsia="Arial" w:hAnsi="Arial"/>
          <w:sz w:val="18"/>
          <w:szCs w:val="18"/>
          <w:color w:val="auto"/>
        </w:rPr>
        <w:t>Includes minimum pension contributions based on actuarially determined estimates and is based on estimated payments through 2029.</w:t>
      </w:r>
    </w:p>
    <w:p>
      <w:pPr>
        <w:spacing w:after="0" w:line="142" w:lineRule="exact"/>
        <w:rPr>
          <w:sz w:val="20"/>
          <w:szCs w:val="20"/>
          <w:color w:val="auto"/>
        </w:rPr>
      </w:pPr>
    </w:p>
    <w:p>
      <w:pPr>
        <w:spacing w:after="0"/>
        <w:rPr>
          <w:sz w:val="20"/>
          <w:szCs w:val="20"/>
          <w:color w:val="auto"/>
        </w:rPr>
      </w:pPr>
      <w:r>
        <w:rPr>
          <w:rFonts w:ascii="Arial" w:cs="Arial" w:eastAsia="Arial" w:hAnsi="Arial"/>
          <w:sz w:val="18"/>
          <w:szCs w:val="18"/>
          <w:color w:val="auto"/>
        </w:rPr>
        <w:t>Includes purchase commitments for aircraft fuel, construction projects and information technology support.</w:t>
      </w:r>
    </w:p>
    <w:p>
      <w:pPr>
        <w:spacing w:after="0" w:line="200" w:lineRule="exact"/>
        <w:rPr>
          <w:sz w:val="20"/>
          <w:szCs w:val="20"/>
          <w:color w:val="auto"/>
        </w:rPr>
      </w:pPr>
    </w:p>
    <w:p>
      <w:pPr>
        <w:sectPr>
          <w:pgSz w:w="11900" w:h="16838" w:orient="portrait"/>
          <w:cols w:equalWidth="0" w:num="2">
            <w:col w:w="140" w:space="520"/>
            <w:col w:w="10760"/>
          </w:cols>
          <w:pgMar w:left="240" w:top="731" w:right="239" w:bottom="1440" w:gutter="0" w:footer="0" w:header="0"/>
        </w:sectPr>
      </w:pPr>
    </w:p>
    <w:p>
      <w:pPr>
        <w:spacing w:after="0" w:line="3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Capital Raising Activity and Other Possible Actions</w:t>
      </w:r>
    </w:p>
    <w:p>
      <w:pPr>
        <w:spacing w:after="0" w:line="112" w:lineRule="exact"/>
        <w:rPr>
          <w:sz w:val="20"/>
          <w:szCs w:val="20"/>
          <w:color w:val="auto"/>
        </w:rPr>
      </w:pPr>
    </w:p>
    <w:p>
      <w:pPr>
        <w:jc w:val="both"/>
        <w:ind w:firstLine="216"/>
        <w:spacing w:after="0" w:line="251" w:lineRule="auto"/>
        <w:rPr>
          <w:sz w:val="20"/>
          <w:szCs w:val="20"/>
          <w:color w:val="auto"/>
        </w:rPr>
      </w:pPr>
      <w:r>
        <w:rPr>
          <w:rFonts w:ascii="Arial" w:cs="Arial" w:eastAsia="Arial" w:hAnsi="Arial"/>
          <w:sz w:val="18"/>
          <w:szCs w:val="18"/>
          <w:color w:val="auto"/>
        </w:rPr>
        <w:t>In light of our significant financial commitments related to, among other things, new flight equipment, the servicing and amortization of existing debt and equipment leasing arrangements, and future pension funding obligations, we and our subsidiaries will regularly consider, and enter into negotiations related to, capital raising activity, which may include the entry into leasing transactions and future issuances of secured or unsecured debt obligations or additional equity securities in public or private offerings or otherwise. The cash available from operations and these sources, however, may not be sufficient to cover cash contractual obligations because economic factors may reduce the amount of cash generated by operations or increase costs. For instance, an economic downturn or general global instability caused by military actions, terrorism, disease outbreaks, natural disasters or other causes could reduce the demand for air travel, which would reduce the amount of cash generated by operations. An increase in costs, either due to an increase in borrowing costs caused by a reduction in credit ratings or a general increase in interest rates, or due to an increase in the cost of fuel, maintenance, aircraft, aircraft engines or parts, could decrease the amount of cash available to cover cash contractual obligations. Moreover, certain of our financing arrangements contain significant minimum cash balance requirements. As a result, we cannot use all of our available cash to fund operations, capital expenditures and cash obligations without violating these requirements. See Note 5 to AAG’s Consolidated Financial Statements in Part II, Item 8A and Note 3 to American’s Consolidated Financial Statements in Part II, Item 8B for information regarding our financing arrangements.</w:t>
      </w:r>
    </w:p>
    <w:p>
      <w:pPr>
        <w:spacing w:after="0" w:line="157" w:lineRule="exact"/>
        <w:rPr>
          <w:sz w:val="20"/>
          <w:szCs w:val="20"/>
          <w:color w:val="auto"/>
        </w:rPr>
      </w:pPr>
    </w:p>
    <w:p>
      <w:pPr>
        <w:jc w:val="both"/>
        <w:ind w:firstLine="216"/>
        <w:spacing w:after="0" w:line="256" w:lineRule="auto"/>
        <w:rPr>
          <w:sz w:val="20"/>
          <w:szCs w:val="20"/>
          <w:color w:val="auto"/>
        </w:rPr>
      </w:pPr>
      <w:r>
        <w:rPr>
          <w:rFonts w:ascii="Arial" w:cs="Arial" w:eastAsia="Arial" w:hAnsi="Arial"/>
          <w:sz w:val="18"/>
          <w:szCs w:val="18"/>
          <w:color w:val="auto"/>
        </w:rPr>
        <w:t>In the past, we have from time to time refinanced, redeemed or repurchased our debt and taken other steps to reduce or otherwise manage the aggregate amount and cost of our debt or lease obligations or otherwise improve our balance sheet. Going forward, depending on market conditions, our cash position and other considerations, we may continue to take such actions.</w:t>
      </w:r>
    </w:p>
    <w:p>
      <w:pPr>
        <w:spacing w:after="0" w:line="148" w:lineRule="exact"/>
        <w:rPr>
          <w:sz w:val="20"/>
          <w:szCs w:val="20"/>
          <w:color w:val="auto"/>
        </w:rPr>
      </w:pPr>
    </w:p>
    <w:p>
      <w:pPr>
        <w:jc w:val="both"/>
        <w:ind w:right="20" w:firstLine="216"/>
        <w:spacing w:after="0" w:line="262" w:lineRule="auto"/>
        <w:rPr>
          <w:sz w:val="20"/>
          <w:szCs w:val="20"/>
          <w:color w:val="auto"/>
        </w:rPr>
      </w:pPr>
      <w:r>
        <w:rPr>
          <w:rFonts w:ascii="Arial" w:cs="Arial" w:eastAsia="Arial" w:hAnsi="Arial"/>
          <w:sz w:val="18"/>
          <w:szCs w:val="18"/>
          <w:color w:val="auto"/>
        </w:rPr>
        <w:t>Our Board of Directors has from time to time authorized programs to repurchase shares of our common stock, one of which is currently in effect, and may authorize additional share repurchase programs in the future.</w:t>
      </w:r>
    </w:p>
    <w:p>
      <w:pPr>
        <w:spacing w:after="0" w:line="201"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OTHER INFORMATION</w:t>
      </w:r>
    </w:p>
    <w:p>
      <w:pPr>
        <w:spacing w:after="0" w:line="9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Basis of Presentation</w:t>
      </w:r>
    </w:p>
    <w:p>
      <w:pPr>
        <w:spacing w:after="0" w:line="112" w:lineRule="exact"/>
        <w:rPr>
          <w:sz w:val="20"/>
          <w:szCs w:val="20"/>
          <w:color w:val="auto"/>
        </w:rPr>
      </w:pPr>
    </w:p>
    <w:p>
      <w:pPr>
        <w:jc w:val="both"/>
        <w:ind w:firstLine="216"/>
        <w:spacing w:after="0" w:line="262" w:lineRule="auto"/>
        <w:rPr>
          <w:sz w:val="20"/>
          <w:szCs w:val="20"/>
          <w:color w:val="auto"/>
        </w:rPr>
      </w:pPr>
      <w:r>
        <w:rPr>
          <w:rFonts w:ascii="Arial" w:cs="Arial" w:eastAsia="Arial" w:hAnsi="Arial"/>
          <w:sz w:val="18"/>
          <w:szCs w:val="18"/>
          <w:color w:val="auto"/>
        </w:rPr>
        <w:t>See Note 1 to AAG’s Consolidated Financial Statements in Part II, Item 8A and Note 1 to American’s Consolidated Financial Statements in Part II, Item 8B for information regarding the basis of presentation.</w:t>
      </w:r>
    </w:p>
    <w:p>
      <w:pPr>
        <w:spacing w:after="0" w:line="19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64</w:t>
      </w:r>
    </w:p>
    <w:p>
      <w:pPr>
        <w:sectPr>
          <w:pgSz w:w="11900" w:h="16838" w:orient="portrait"/>
          <w:cols w:equalWidth="0" w:num="1">
            <w:col w:w="11420"/>
          </w:cols>
          <w:pgMar w:left="240" w:top="731" w:right="239" w:bottom="1440" w:gutter="0" w:footer="0" w:header="0"/>
          <w:type w:val="continuous"/>
        </w:sectPr>
      </w:pPr>
    </w:p>
    <w:bookmarkStart w:id="64" w:name="page65"/>
    <w:bookmarkEnd w:id="64"/>
    <w:p>
      <w:pPr>
        <w:spacing w:after="0"/>
        <w:rPr>
          <w:sz w:val="20"/>
          <w:szCs w:val="20"/>
          <w:color w:val="auto"/>
        </w:rPr>
      </w:pPr>
      <w:r>
        <w:rPr>
          <w:rFonts w:ascii="Arial" w:cs="Arial" w:eastAsia="Arial" w:hAnsi="Arial"/>
          <w:sz w:val="18"/>
          <w:szCs w:val="18"/>
          <w:b w:val="1"/>
          <w:bCs w:val="1"/>
          <w:color w:val="auto"/>
        </w:rPr>
        <w:t>Critical Accounting Policies and Estimates</w:t>
      </w:r>
    </w:p>
    <w:p>
      <w:pPr>
        <w:spacing w:after="0" w:line="112" w:lineRule="exact"/>
        <w:rPr>
          <w:sz w:val="20"/>
          <w:szCs w:val="20"/>
          <w:color w:val="auto"/>
        </w:rPr>
      </w:pPr>
    </w:p>
    <w:p>
      <w:pPr>
        <w:jc w:val="both"/>
        <w:ind w:firstLine="216"/>
        <w:spacing w:after="0" w:line="252" w:lineRule="auto"/>
        <w:rPr>
          <w:sz w:val="20"/>
          <w:szCs w:val="20"/>
          <w:color w:val="auto"/>
        </w:rPr>
      </w:pPr>
      <w:r>
        <w:rPr>
          <w:rFonts w:ascii="Arial" w:cs="Arial" w:eastAsia="Arial" w:hAnsi="Arial"/>
          <w:sz w:val="18"/>
          <w:szCs w:val="18"/>
          <w:color w:val="auto"/>
        </w:rPr>
        <w:t>The preparation of financial statements in accordance with GAAP requires management to make certain estimates and assumptions that affect the reported amounts of assets and liabilities, revenues and expenses, and the disclosure of contingent assets and liabilities at the date of the financial statements. We believe our estimates and assumptions are reasonable; however, actual results could differ from those estimates. Critical accounting policies are defined as those that are reflective of significant judgments and uncertainties and could potentially result in materially different results under different assumptions and conditions. We have identified the following critical accounting policies that impact the preparation of our consolidated financial statements. See the “</w:t>
      </w:r>
      <w:r>
        <w:rPr>
          <w:rFonts w:ascii="Arial" w:cs="Arial" w:eastAsia="Arial" w:hAnsi="Arial"/>
          <w:sz w:val="18"/>
          <w:szCs w:val="18"/>
          <w:i w:val="1"/>
          <w:iCs w:val="1"/>
          <w:color w:val="auto"/>
        </w:rPr>
        <w:t>Basis of Presentation and Summary of Significant Accounting</w:t>
      </w:r>
      <w:r>
        <w:rPr>
          <w:rFonts w:ascii="Arial" w:cs="Arial" w:eastAsia="Arial" w:hAnsi="Arial"/>
          <w:sz w:val="18"/>
          <w:szCs w:val="18"/>
          <w:color w:val="auto"/>
        </w:rPr>
        <w:t xml:space="preserve"> </w:t>
      </w:r>
      <w:r>
        <w:rPr>
          <w:rFonts w:ascii="Arial" w:cs="Arial" w:eastAsia="Arial" w:hAnsi="Arial"/>
          <w:sz w:val="18"/>
          <w:szCs w:val="18"/>
          <w:i w:val="1"/>
          <w:iCs w:val="1"/>
          <w:color w:val="auto"/>
        </w:rPr>
        <w:t>Policies</w:t>
      </w:r>
      <w:r>
        <w:rPr>
          <w:rFonts w:ascii="Arial" w:cs="Arial" w:eastAsia="Arial" w:hAnsi="Arial"/>
          <w:sz w:val="18"/>
          <w:szCs w:val="18"/>
          <w:color w:val="auto"/>
        </w:rPr>
        <w:t>” included in Note 1 to AAG’s Consolidated Financial Statements in Part II, Item 8A and Note 1 to American’s Consolidated Financial</w:t>
      </w:r>
      <w:r>
        <w:rPr>
          <w:rFonts w:ascii="Arial" w:cs="Arial" w:eastAsia="Arial" w:hAnsi="Arial"/>
          <w:sz w:val="18"/>
          <w:szCs w:val="18"/>
          <w:i w:val="1"/>
          <w:iCs w:val="1"/>
          <w:color w:val="auto"/>
        </w:rPr>
        <w:t xml:space="preserve"> </w:t>
      </w:r>
      <w:r>
        <w:rPr>
          <w:rFonts w:ascii="Arial" w:cs="Arial" w:eastAsia="Arial" w:hAnsi="Arial"/>
          <w:sz w:val="18"/>
          <w:szCs w:val="18"/>
          <w:color w:val="auto"/>
        </w:rPr>
        <w:t>Statements in Part II, Item 8B for additional discussion of the application of these estimates and other accounting policies.</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Passenger Revenue</w:t>
      </w:r>
    </w:p>
    <w:p>
      <w:pPr>
        <w:spacing w:after="0" w:line="112" w:lineRule="exact"/>
        <w:rPr>
          <w:sz w:val="20"/>
          <w:szCs w:val="20"/>
          <w:color w:val="auto"/>
        </w:rPr>
      </w:pPr>
    </w:p>
    <w:p>
      <w:pPr>
        <w:jc w:val="both"/>
        <w:ind w:firstLine="230"/>
        <w:spacing w:after="0" w:line="253" w:lineRule="auto"/>
        <w:rPr>
          <w:sz w:val="20"/>
          <w:szCs w:val="20"/>
          <w:color w:val="auto"/>
        </w:rPr>
      </w:pPr>
      <w:r>
        <w:rPr>
          <w:rFonts w:ascii="Arial" w:cs="Arial" w:eastAsia="Arial" w:hAnsi="Arial"/>
          <w:sz w:val="18"/>
          <w:szCs w:val="18"/>
          <w:color w:val="auto"/>
        </w:rPr>
        <w:t>We recognize all revenues generated from transportation on American and our regional flights operated under the brand name American Eagle, including associated baggage fees, ticketing change fees and other inflight services, as passenger revenue when transportation is provided. Ticket and other related sales for transportation that has not yet been provided are initially deferred and recorded as air traffic liability on our consolidated balance sheets. The air traffic liability principally represents tickets sold for future travel on American and partner airlines, as well as estimated future refunds and exchanges of tickets sold for past travel.</w:t>
      </w:r>
    </w:p>
    <w:p>
      <w:pPr>
        <w:spacing w:after="0" w:line="152" w:lineRule="exact"/>
        <w:rPr>
          <w:sz w:val="20"/>
          <w:szCs w:val="20"/>
          <w:color w:val="auto"/>
        </w:rPr>
      </w:pPr>
    </w:p>
    <w:p>
      <w:pPr>
        <w:jc w:val="both"/>
        <w:ind w:firstLine="216"/>
        <w:spacing w:after="0" w:line="252" w:lineRule="auto"/>
        <w:rPr>
          <w:sz w:val="20"/>
          <w:szCs w:val="20"/>
          <w:color w:val="auto"/>
        </w:rPr>
      </w:pPr>
      <w:r>
        <w:rPr>
          <w:rFonts w:ascii="Arial" w:cs="Arial" w:eastAsia="Arial" w:hAnsi="Arial"/>
          <w:sz w:val="18"/>
          <w:szCs w:val="18"/>
          <w:color w:val="auto"/>
        </w:rPr>
        <w:t>The majority of tickets sold are nonrefundable. A small percentage of tickets, some of which are partially used tickets, expire unused. Due to complex pricing structures, refund and exchange policies, and interline agreements with other airlines, certain amounts are recognized in passenger revenue using estimates regarding both the timing of the revenue recognition and the amount of revenue to be recognized. These estimates are generally based on the analysis of our historical data. We have consistently applied this accounting method to estimate revenue from unused tickets at the date of travel. Estimated future refunds and exchanges included in the air traffic liability are routinely evaluated based on subsequent activity to validate the accuracy of our estimates. Any adjustments resulting from periodic evaluations of the estimated air traffic liability are included in passenger revenue during the period in which the evaluations are completed.</w:t>
      </w:r>
    </w:p>
    <w:p>
      <w:pPr>
        <w:spacing w:after="0" w:line="153" w:lineRule="exact"/>
        <w:rPr>
          <w:sz w:val="20"/>
          <w:szCs w:val="20"/>
          <w:color w:val="auto"/>
        </w:rPr>
      </w:pPr>
    </w:p>
    <w:p>
      <w:pPr>
        <w:jc w:val="both"/>
        <w:ind w:firstLine="216"/>
        <w:spacing w:after="0" w:line="256" w:lineRule="auto"/>
        <w:rPr>
          <w:sz w:val="20"/>
          <w:szCs w:val="20"/>
          <w:color w:val="auto"/>
        </w:rPr>
      </w:pPr>
      <w:r>
        <w:rPr>
          <w:rFonts w:ascii="Arial" w:cs="Arial" w:eastAsia="Arial" w:hAnsi="Arial"/>
          <w:sz w:val="18"/>
          <w:szCs w:val="18"/>
          <w:color w:val="auto"/>
        </w:rPr>
        <w:t>Various taxes and fees assessed on the sale of tickets to end customers are collected by us as an agent and remitted to taxing authorities. These taxes and fees have been presented on a net basis in the accompanying consolidated statements of operations and recorded as a liability until remitted to the appropriate taxing authority.</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Loyalty Revenue</w:t>
      </w:r>
    </w:p>
    <w:p>
      <w:pPr>
        <w:spacing w:after="0" w:line="112" w:lineRule="exact"/>
        <w:rPr>
          <w:sz w:val="20"/>
          <w:szCs w:val="20"/>
          <w:color w:val="auto"/>
        </w:rPr>
      </w:pPr>
    </w:p>
    <w:p>
      <w:pPr>
        <w:jc w:val="both"/>
        <w:ind w:firstLine="216"/>
        <w:spacing w:after="0" w:line="253" w:lineRule="auto"/>
        <w:rPr>
          <w:sz w:val="20"/>
          <w:szCs w:val="20"/>
          <w:color w:val="auto"/>
        </w:rPr>
      </w:pPr>
      <w:r>
        <w:rPr>
          <w:rFonts w:ascii="Arial" w:cs="Arial" w:eastAsia="Arial" w:hAnsi="Arial"/>
          <w:sz w:val="18"/>
          <w:szCs w:val="18"/>
          <w:color w:val="auto"/>
        </w:rPr>
        <w:t xml:space="preserve">We currently operate the loyalty program, AAdvantage. This program awards mileage credits to passengers who fly on American, any </w:t>
      </w:r>
      <w:r>
        <w:rPr>
          <w:rFonts w:ascii="Arial" w:cs="Arial" w:eastAsia="Arial" w:hAnsi="Arial"/>
          <w:sz w:val="18"/>
          <w:szCs w:val="18"/>
          <w:b w:val="1"/>
          <w:bCs w:val="1"/>
          <w:color w:val="auto"/>
        </w:rPr>
        <w:t>one</w:t>
      </w:r>
      <w:r>
        <w:rPr>
          <w:rFonts w:ascii="Arial" w:cs="Arial" w:eastAsia="Arial" w:hAnsi="Arial"/>
          <w:sz w:val="18"/>
          <w:szCs w:val="18"/>
          <w:color w:val="auto"/>
        </w:rPr>
        <w:t>world airline or other partner airlines, or by using the services of other program participants, such as the Citi and Barclaycard US co-branded credit cards, and certain hotels and car rental companies. Mileage credits can be redeemed for travel on American and other participating partner airlines, as well as other non-air travel awards such as hotels and rental cars. For mileage credits earned by AAdvantage loyalty program members, we apply the deferred revenue method.</w:t>
      </w:r>
    </w:p>
    <w:p>
      <w:pPr>
        <w:spacing w:after="0" w:line="215" w:lineRule="exact"/>
        <w:rPr>
          <w:sz w:val="20"/>
          <w:szCs w:val="20"/>
          <w:color w:val="auto"/>
        </w:rPr>
      </w:pPr>
    </w:p>
    <w:p>
      <w:pPr>
        <w:ind w:left="220"/>
        <w:spacing w:after="0"/>
        <w:rPr>
          <w:sz w:val="20"/>
          <w:szCs w:val="20"/>
          <w:color w:val="auto"/>
        </w:rPr>
      </w:pPr>
      <w:r>
        <w:rPr>
          <w:rFonts w:ascii="Arial" w:cs="Arial" w:eastAsia="Arial" w:hAnsi="Arial"/>
          <w:sz w:val="18"/>
          <w:szCs w:val="18"/>
          <w:i w:val="1"/>
          <w:iCs w:val="1"/>
          <w:u w:val="single" w:color="auto"/>
          <w:color w:val="auto"/>
        </w:rPr>
        <w:t>Mileage credits earned through travel</w:t>
      </w:r>
    </w:p>
    <w:p>
      <w:pPr>
        <w:spacing w:after="0" w:line="189" w:lineRule="exact"/>
        <w:rPr>
          <w:sz w:val="20"/>
          <w:szCs w:val="20"/>
          <w:color w:val="auto"/>
        </w:rPr>
      </w:pPr>
    </w:p>
    <w:p>
      <w:pPr>
        <w:jc w:val="both"/>
        <w:ind w:firstLine="216"/>
        <w:spacing w:after="0" w:line="251" w:lineRule="auto"/>
        <w:rPr>
          <w:sz w:val="20"/>
          <w:szCs w:val="20"/>
          <w:color w:val="auto"/>
        </w:rPr>
      </w:pPr>
      <w:r>
        <w:rPr>
          <w:rFonts w:ascii="Arial" w:cs="Arial" w:eastAsia="Arial" w:hAnsi="Arial"/>
          <w:sz w:val="18"/>
          <w:szCs w:val="18"/>
          <w:color w:val="auto"/>
        </w:rPr>
        <w:t>For mileage credits earned through travel, we apply a relative selling price approach whereby the total amount collected from each passenger ticket sale is allocated between the air transportation and the mileage credits earned. The portion of each passenger ticket sale attributable to mileage credits earned is initially deferred and then recognized in passenger revenue when mileage credits are redeemed and transportation is provided. The estimated selling price of mileage credits is determined using an equivalent ticket value approach, which uses historical data, including award redemption patterns by geographic region and class of service, as well as similar fares as those used to settle award redemptions. The estimated selling price of miles is adjusted for an estimate of miles that will not be redeemed based on historical redemption patterns. For the year ended December 31, 2019, a hypothetical 10% increase in the estimated selling price of miles would have decreased revenues by approximately $135 million as a result of additional amounts deferred from passenger ticket sales to be recognized in future periods.</w:t>
      </w:r>
    </w:p>
    <w:p>
      <w:pPr>
        <w:spacing w:after="0" w:line="21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65</w:t>
      </w:r>
    </w:p>
    <w:p>
      <w:pPr>
        <w:sectPr>
          <w:pgSz w:w="11900" w:h="16838" w:orient="portrait"/>
          <w:cols w:equalWidth="0" w:num="1">
            <w:col w:w="11420"/>
          </w:cols>
          <w:pgMar w:left="240" w:top="792" w:right="239" w:bottom="1440" w:gutter="0" w:footer="0" w:header="0"/>
        </w:sectPr>
      </w:pPr>
    </w:p>
    <w:bookmarkStart w:id="65" w:name="page66"/>
    <w:bookmarkEnd w:id="65"/>
    <w:p>
      <w:pPr>
        <w:ind w:left="220"/>
        <w:spacing w:after="0"/>
        <w:rPr>
          <w:sz w:val="20"/>
          <w:szCs w:val="20"/>
          <w:color w:val="auto"/>
        </w:rPr>
      </w:pPr>
      <w:r>
        <w:rPr>
          <w:rFonts w:ascii="Arial" w:cs="Arial" w:eastAsia="Arial" w:hAnsi="Arial"/>
          <w:sz w:val="18"/>
          <w:szCs w:val="18"/>
          <w:i w:val="1"/>
          <w:iCs w:val="1"/>
          <w:u w:val="single" w:color="auto"/>
          <w:color w:val="auto"/>
        </w:rPr>
        <w:t>Mileage credits sold to co-branded credit cards and other partners</w:t>
      </w:r>
    </w:p>
    <w:p>
      <w:pPr>
        <w:spacing w:after="0" w:line="189" w:lineRule="exact"/>
        <w:rPr>
          <w:sz w:val="20"/>
          <w:szCs w:val="20"/>
          <w:color w:val="auto"/>
        </w:rPr>
      </w:pPr>
    </w:p>
    <w:p>
      <w:pPr>
        <w:ind w:right="160" w:firstLine="243"/>
        <w:spacing w:after="0" w:line="253" w:lineRule="auto"/>
        <w:rPr>
          <w:sz w:val="20"/>
          <w:szCs w:val="20"/>
          <w:color w:val="auto"/>
        </w:rPr>
      </w:pPr>
      <w:r>
        <w:rPr>
          <w:rFonts w:ascii="Arial" w:cs="Arial" w:eastAsia="Arial" w:hAnsi="Arial"/>
          <w:sz w:val="18"/>
          <w:szCs w:val="18"/>
          <w:color w:val="auto"/>
        </w:rPr>
        <w:t>We sell mileage credits to participating airline partners and non-airline business partners, including our co-branded credit card partners, under contracts with terms extending generally for one to seven years. Consideration received from the sale of mileage credits is variable and payment terms typically are within 30 days subsequent to the month of mileage sale. Sales of mileage credits to non-airline business partners are comprised of two components, transportation and marketing. We allocate the consideration received from these sales of mileage credits based on the relative selling price of each product or service delivered.</w:t>
      </w:r>
    </w:p>
    <w:p>
      <w:pPr>
        <w:spacing w:after="0" w:line="152" w:lineRule="exact"/>
        <w:rPr>
          <w:sz w:val="20"/>
          <w:szCs w:val="20"/>
          <w:color w:val="auto"/>
        </w:rPr>
      </w:pPr>
    </w:p>
    <w:p>
      <w:pPr>
        <w:ind w:right="120" w:firstLine="243"/>
        <w:spacing w:after="0" w:line="253" w:lineRule="auto"/>
        <w:rPr>
          <w:sz w:val="20"/>
          <w:szCs w:val="20"/>
          <w:color w:val="auto"/>
        </w:rPr>
      </w:pPr>
      <w:r>
        <w:rPr>
          <w:rFonts w:ascii="Arial" w:cs="Arial" w:eastAsia="Arial" w:hAnsi="Arial"/>
          <w:sz w:val="18"/>
          <w:szCs w:val="18"/>
          <w:color w:val="auto"/>
        </w:rPr>
        <w:t>Our most significant partner agreements are our co-branded credit card agreements with Citi and Barclaycard US that we entered into in 2016. We identified the following revenue elements in these co-branded credit card agreements: the transportation component; and the use of intellectual property, including the American brand and access to loyalty program member lists, which is the predominant element in the agreements, as well as advertising (collectively, the marketing component). Accordingly, we recognize the marketing component in other revenue in the period of the mileage sale following the sales-based royalty method.</w:t>
      </w:r>
    </w:p>
    <w:p>
      <w:pPr>
        <w:spacing w:after="0" w:line="152" w:lineRule="exact"/>
        <w:rPr>
          <w:sz w:val="20"/>
          <w:szCs w:val="20"/>
          <w:color w:val="auto"/>
        </w:rPr>
      </w:pPr>
    </w:p>
    <w:p>
      <w:pPr>
        <w:jc w:val="both"/>
        <w:ind w:right="20" w:firstLine="216"/>
        <w:spacing w:after="0" w:line="256" w:lineRule="auto"/>
        <w:rPr>
          <w:sz w:val="20"/>
          <w:szCs w:val="20"/>
          <w:color w:val="auto"/>
        </w:rPr>
      </w:pPr>
      <w:r>
        <w:rPr>
          <w:rFonts w:ascii="Arial" w:cs="Arial" w:eastAsia="Arial" w:hAnsi="Arial"/>
          <w:sz w:val="18"/>
          <w:szCs w:val="18"/>
          <w:color w:val="auto"/>
        </w:rPr>
        <w:t>The transportation component represents the estimated selling price of future travel awards and is determined using the same equivalent ticket value approach described above. The portion of each mileage credit sold attributable to transportation is initially deferred and then recognized in passenger revenue when mileage credits are redeemed and transportation is provided.</w:t>
      </w:r>
    </w:p>
    <w:p>
      <w:pPr>
        <w:spacing w:after="0" w:line="148" w:lineRule="exact"/>
        <w:rPr>
          <w:sz w:val="20"/>
          <w:szCs w:val="20"/>
          <w:color w:val="auto"/>
        </w:rPr>
      </w:pPr>
    </w:p>
    <w:p>
      <w:pPr>
        <w:jc w:val="both"/>
        <w:ind w:firstLine="216"/>
        <w:spacing w:after="0" w:line="254" w:lineRule="auto"/>
        <w:rPr>
          <w:sz w:val="20"/>
          <w:szCs w:val="20"/>
          <w:color w:val="auto"/>
        </w:rPr>
      </w:pPr>
      <w:r>
        <w:rPr>
          <w:rFonts w:ascii="Arial" w:cs="Arial" w:eastAsia="Arial" w:hAnsi="Arial"/>
          <w:sz w:val="18"/>
          <w:szCs w:val="18"/>
          <w:color w:val="auto"/>
        </w:rPr>
        <w:t>For the portion of our outstanding mileage credits that we estimate will not be redeemed, we recognize the associated value proportionally as the remaining mileage credits are redeemed. Our estimates are based on analysis of historical redemptions. For the year ended December 31, 2019, a hypothetical 10% increase in our estimate of miles not expected to be redeemed would have increased revenues by approximately $95 million.</w:t>
      </w:r>
    </w:p>
    <w:p>
      <w:pPr>
        <w:spacing w:after="0" w:line="20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Cargo Revenue</w:t>
      </w:r>
    </w:p>
    <w:p>
      <w:pPr>
        <w:spacing w:after="0" w:line="112" w:lineRule="exact"/>
        <w:rPr>
          <w:sz w:val="20"/>
          <w:szCs w:val="20"/>
          <w:color w:val="auto"/>
        </w:rPr>
      </w:pPr>
    </w:p>
    <w:p>
      <w:pPr>
        <w:ind w:left="220"/>
        <w:spacing w:after="0"/>
        <w:rPr>
          <w:sz w:val="20"/>
          <w:szCs w:val="20"/>
          <w:color w:val="auto"/>
        </w:rPr>
      </w:pPr>
      <w:r>
        <w:rPr>
          <w:rFonts w:ascii="Arial" w:cs="Arial" w:eastAsia="Arial" w:hAnsi="Arial"/>
          <w:sz w:val="18"/>
          <w:szCs w:val="18"/>
          <w:color w:val="auto"/>
        </w:rPr>
        <w:t>Cargo revenue is recognized when we provide the transportation.</w:t>
      </w:r>
    </w:p>
    <w:p>
      <w:pPr>
        <w:spacing w:after="0" w:line="23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Other Revenue</w:t>
      </w:r>
    </w:p>
    <w:p>
      <w:pPr>
        <w:spacing w:after="0" w:line="112" w:lineRule="exact"/>
        <w:rPr>
          <w:sz w:val="20"/>
          <w:szCs w:val="20"/>
          <w:color w:val="auto"/>
        </w:rPr>
      </w:pPr>
    </w:p>
    <w:p>
      <w:pPr>
        <w:jc w:val="both"/>
        <w:ind w:firstLine="216"/>
        <w:spacing w:after="0" w:line="254" w:lineRule="auto"/>
        <w:rPr>
          <w:sz w:val="20"/>
          <w:szCs w:val="20"/>
          <w:color w:val="auto"/>
        </w:rPr>
      </w:pPr>
      <w:r>
        <w:rPr>
          <w:rFonts w:ascii="Arial" w:cs="Arial" w:eastAsia="Arial" w:hAnsi="Arial"/>
          <w:sz w:val="18"/>
          <w:szCs w:val="18"/>
          <w:color w:val="auto"/>
        </w:rPr>
        <w:t>Other revenue includes revenue associated with our loyalty program, which is comprised principally of the marketing component of mileage sales to co-branded credit card and other partners and other marketing related payments. The accounting and recognition for the loyalty program marketing services are discussed above in “</w:t>
      </w:r>
      <w:r>
        <w:rPr>
          <w:rFonts w:ascii="Arial" w:cs="Arial" w:eastAsia="Arial" w:hAnsi="Arial"/>
          <w:sz w:val="18"/>
          <w:szCs w:val="18"/>
          <w:i w:val="1"/>
          <w:iCs w:val="1"/>
          <w:color w:val="auto"/>
        </w:rPr>
        <w:t>Loyalty Revenue</w:t>
      </w:r>
      <w:r>
        <w:rPr>
          <w:rFonts w:ascii="Arial" w:cs="Arial" w:eastAsia="Arial" w:hAnsi="Arial"/>
          <w:sz w:val="18"/>
          <w:szCs w:val="18"/>
          <w:color w:val="auto"/>
        </w:rPr>
        <w:t>.” The remaining amounts included within other revenue relate to airport clubs, advertising and vacation-related services.</w:t>
      </w:r>
    </w:p>
    <w:p>
      <w:pPr>
        <w:spacing w:after="0" w:line="20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Long-lived Assets</w:t>
      </w:r>
    </w:p>
    <w:p>
      <w:pPr>
        <w:spacing w:after="0" w:line="112" w:lineRule="exact"/>
        <w:rPr>
          <w:sz w:val="20"/>
          <w:szCs w:val="20"/>
          <w:color w:val="auto"/>
        </w:rPr>
      </w:pPr>
    </w:p>
    <w:p>
      <w:pPr>
        <w:jc w:val="both"/>
        <w:ind w:firstLine="216"/>
        <w:spacing w:after="0" w:line="252" w:lineRule="auto"/>
        <w:rPr>
          <w:sz w:val="20"/>
          <w:szCs w:val="20"/>
          <w:color w:val="auto"/>
        </w:rPr>
      </w:pPr>
      <w:r>
        <w:rPr>
          <w:rFonts w:ascii="Arial" w:cs="Arial" w:eastAsia="Arial" w:hAnsi="Arial"/>
          <w:sz w:val="18"/>
          <w:szCs w:val="18"/>
          <w:color w:val="auto"/>
        </w:rPr>
        <w:t>Long-lived assets consist of flight equipment, as well as other fixed assets and definite-lived intangible assets such as certain domestic airport slots, customer relationships, marketing agreements, tradenames and airport gate leasehold rights. In addition to the original cost, the recorded value of our fixed assets is impacted by a number of estimates made, including estimated useful lives, salvage values and our determination as to whether aircraft are temporarily or permanently grounded. Definite-lived intangible assets are originally recorded at their acquired fair values and are subsequently amortized over their estimated useful lives. See Note 1 to AAG’s Consolidated Financial Statements in Part II, Item 8A and Note 1 to American’s Consolidated Financial Statements in Part II, Item 8B for further information.</w:t>
      </w:r>
    </w:p>
    <w:p>
      <w:pPr>
        <w:spacing w:after="0" w:line="155" w:lineRule="exact"/>
        <w:rPr>
          <w:sz w:val="20"/>
          <w:szCs w:val="20"/>
          <w:color w:val="auto"/>
        </w:rPr>
      </w:pPr>
    </w:p>
    <w:p>
      <w:pPr>
        <w:jc w:val="both"/>
        <w:ind w:firstLine="216"/>
        <w:spacing w:after="0" w:line="252" w:lineRule="auto"/>
        <w:rPr>
          <w:sz w:val="20"/>
          <w:szCs w:val="20"/>
          <w:color w:val="auto"/>
        </w:rPr>
      </w:pPr>
      <w:r>
        <w:rPr>
          <w:rFonts w:ascii="Arial" w:cs="Arial" w:eastAsia="Arial" w:hAnsi="Arial"/>
          <w:sz w:val="18"/>
          <w:szCs w:val="18"/>
          <w:color w:val="auto"/>
        </w:rPr>
        <w:t>We assess impairment of long-lived assets used in operations when events and circumstances indicate that the assets may be impaired. An asset or group of assets is considered impaired when the undiscounted cash flows estimated to be generated by the assets are less than the carrying amount of the assets and the net book value of the assets exceeds their estimated fair value. If such assets are considered to be impaired, the impairment to be recognized is measured by the amount by which the carrying amount of the assets exceeds the fair value of the assets. Estimates of fair value represent management’s best estimate based on appraisals, industry trends and reference to market rates and transactions.</w:t>
      </w:r>
    </w:p>
    <w:p>
      <w:pPr>
        <w:spacing w:after="0" w:line="155" w:lineRule="exact"/>
        <w:rPr>
          <w:sz w:val="20"/>
          <w:szCs w:val="20"/>
          <w:color w:val="auto"/>
        </w:rPr>
      </w:pPr>
    </w:p>
    <w:p>
      <w:pPr>
        <w:jc w:val="both"/>
        <w:ind w:right="20" w:firstLine="216"/>
        <w:spacing w:after="0" w:line="262" w:lineRule="auto"/>
        <w:rPr>
          <w:sz w:val="20"/>
          <w:szCs w:val="20"/>
          <w:color w:val="auto"/>
        </w:rPr>
      </w:pPr>
      <w:r>
        <w:rPr>
          <w:rFonts w:ascii="Arial" w:cs="Arial" w:eastAsia="Arial" w:hAnsi="Arial"/>
          <w:sz w:val="18"/>
          <w:szCs w:val="18"/>
          <w:color w:val="auto"/>
        </w:rPr>
        <w:t>The majority of American’s aircraft fleet types are depreciated over 25-30 years. It is possible that the ultimate lives of our aircraft will be significantly different than the current estimate due to unforeseen events in the future that impact our fleet plan.</w:t>
      </w:r>
    </w:p>
    <w:p>
      <w:pPr>
        <w:spacing w:after="0" w:line="19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66</w:t>
      </w:r>
    </w:p>
    <w:p>
      <w:pPr>
        <w:sectPr>
          <w:pgSz w:w="11900" w:h="16838" w:orient="portrait"/>
          <w:cols w:equalWidth="0" w:num="1">
            <w:col w:w="11420"/>
          </w:cols>
          <w:pgMar w:left="240" w:top="796" w:right="239" w:bottom="1440" w:gutter="0" w:footer="0" w:header="0"/>
        </w:sectPr>
      </w:pPr>
    </w:p>
    <w:bookmarkStart w:id="66" w:name="page67"/>
    <w:bookmarkEnd w:id="66"/>
    <w:p>
      <w:pPr>
        <w:spacing w:after="0"/>
        <w:rPr>
          <w:sz w:val="20"/>
          <w:szCs w:val="20"/>
          <w:color w:val="auto"/>
        </w:rPr>
      </w:pPr>
      <w:r>
        <w:rPr>
          <w:rFonts w:ascii="Arial" w:cs="Arial" w:eastAsia="Arial" w:hAnsi="Arial"/>
          <w:sz w:val="18"/>
          <w:szCs w:val="18"/>
          <w:b w:val="1"/>
          <w:bCs w:val="1"/>
          <w:i w:val="1"/>
          <w:iCs w:val="1"/>
          <w:color w:val="auto"/>
        </w:rPr>
        <w:t>Goodwill and Indefinite-lived Assets</w:t>
      </w:r>
    </w:p>
    <w:p>
      <w:pPr>
        <w:spacing w:after="0" w:line="112" w:lineRule="exact"/>
        <w:rPr>
          <w:sz w:val="20"/>
          <w:szCs w:val="20"/>
          <w:color w:val="auto"/>
        </w:rPr>
      </w:pPr>
    </w:p>
    <w:p>
      <w:pPr>
        <w:jc w:val="both"/>
        <w:ind w:firstLine="216"/>
        <w:spacing w:after="0" w:line="256" w:lineRule="auto"/>
        <w:rPr>
          <w:sz w:val="20"/>
          <w:szCs w:val="20"/>
          <w:color w:val="auto"/>
        </w:rPr>
      </w:pPr>
      <w:r>
        <w:rPr>
          <w:rFonts w:ascii="Arial" w:cs="Arial" w:eastAsia="Arial" w:hAnsi="Arial"/>
          <w:sz w:val="18"/>
          <w:szCs w:val="18"/>
          <w:color w:val="auto"/>
        </w:rPr>
        <w:t>Goodwill represents the excess of the purchase price over the fair value of the net assets acquired and liabilities assumed. Goodwill is not amortized but is assessed for impairment annually on October 1 or more frequently if events or circumstances indicate that goodwill may be impaired. We have one consolidated reporting unit.</w:t>
      </w:r>
    </w:p>
    <w:p>
      <w:pPr>
        <w:spacing w:after="0" w:line="148" w:lineRule="exact"/>
        <w:rPr>
          <w:sz w:val="20"/>
          <w:szCs w:val="20"/>
          <w:color w:val="auto"/>
        </w:rPr>
      </w:pPr>
    </w:p>
    <w:p>
      <w:pPr>
        <w:jc w:val="both"/>
        <w:ind w:firstLine="216"/>
        <w:spacing w:after="0" w:line="256" w:lineRule="auto"/>
        <w:rPr>
          <w:sz w:val="20"/>
          <w:szCs w:val="20"/>
          <w:color w:val="auto"/>
        </w:rPr>
      </w:pPr>
      <w:r>
        <w:rPr>
          <w:rFonts w:ascii="Arial" w:cs="Arial" w:eastAsia="Arial" w:hAnsi="Arial"/>
          <w:sz w:val="18"/>
          <w:szCs w:val="18"/>
          <w:color w:val="auto"/>
        </w:rPr>
        <w:t>Indefinite-lived intangible assets other than goodwill include certain domestic airport slots and international slots and route authorities. Indefinite-lived intangible assets are not amortized but instead are assessed for impairment annually on October 1 or more frequently if events or circumstances indicate that the asset may be impaired.</w:t>
      </w:r>
    </w:p>
    <w:p>
      <w:pPr>
        <w:spacing w:after="0" w:line="148" w:lineRule="exact"/>
        <w:rPr>
          <w:sz w:val="20"/>
          <w:szCs w:val="20"/>
          <w:color w:val="auto"/>
        </w:rPr>
      </w:pPr>
    </w:p>
    <w:p>
      <w:pPr>
        <w:jc w:val="both"/>
        <w:ind w:firstLine="216"/>
        <w:spacing w:after="0" w:line="253" w:lineRule="auto"/>
        <w:rPr>
          <w:sz w:val="20"/>
          <w:szCs w:val="20"/>
          <w:color w:val="auto"/>
        </w:rPr>
      </w:pPr>
      <w:r>
        <w:rPr>
          <w:rFonts w:ascii="Arial" w:cs="Arial" w:eastAsia="Arial" w:hAnsi="Arial"/>
          <w:sz w:val="18"/>
          <w:szCs w:val="18"/>
          <w:color w:val="auto"/>
        </w:rPr>
        <w:t>Goodwill and indefinite-lived intangible assets are assessed for impairment by initially performing a qualitative assessment. Under the qualitative approach, we analyze the following factors, among others, to determine if events and circumstances have affected the fair value of goodwill and indefinite-lived intangible assets: (1) negative trends in our market capitalization, (2) an increase in fuel prices, (3) declining per mile passenger yields, (4) lower passenger demand as a result of a weakened U.S. and global economy and (5) changes to the regulatory environment.</w:t>
      </w:r>
    </w:p>
    <w:p>
      <w:pPr>
        <w:spacing w:after="0" w:line="152" w:lineRule="exact"/>
        <w:rPr>
          <w:sz w:val="20"/>
          <w:szCs w:val="20"/>
          <w:color w:val="auto"/>
        </w:rPr>
      </w:pPr>
    </w:p>
    <w:p>
      <w:pPr>
        <w:jc w:val="both"/>
        <w:ind w:firstLine="216"/>
        <w:spacing w:after="0" w:line="262" w:lineRule="auto"/>
        <w:rPr>
          <w:sz w:val="20"/>
          <w:szCs w:val="20"/>
          <w:color w:val="auto"/>
        </w:rPr>
      </w:pPr>
      <w:r>
        <w:rPr>
          <w:rFonts w:ascii="Arial" w:cs="Arial" w:eastAsia="Arial" w:hAnsi="Arial"/>
          <w:sz w:val="18"/>
          <w:szCs w:val="18"/>
          <w:color w:val="auto"/>
        </w:rPr>
        <w:t>Based upon our annual assessment, there were no impairments of our goodwill and no material impairments of our indefinite-lived assets in 2019.</w:t>
      </w:r>
    </w:p>
    <w:p>
      <w:pPr>
        <w:spacing w:after="0" w:line="20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Pensions and Retiree Medical and Other Postretirement Benefits</w:t>
      </w:r>
    </w:p>
    <w:p>
      <w:pPr>
        <w:spacing w:after="0" w:line="112" w:lineRule="exact"/>
        <w:rPr>
          <w:sz w:val="20"/>
          <w:szCs w:val="20"/>
          <w:color w:val="auto"/>
        </w:rPr>
      </w:pPr>
    </w:p>
    <w:p>
      <w:pPr>
        <w:jc w:val="both"/>
        <w:ind w:right="20" w:firstLine="216"/>
        <w:spacing w:after="0" w:line="256" w:lineRule="auto"/>
        <w:rPr>
          <w:sz w:val="20"/>
          <w:szCs w:val="20"/>
          <w:color w:val="auto"/>
        </w:rPr>
      </w:pPr>
      <w:r>
        <w:rPr>
          <w:rFonts w:ascii="Arial" w:cs="Arial" w:eastAsia="Arial" w:hAnsi="Arial"/>
          <w:sz w:val="18"/>
          <w:szCs w:val="18"/>
          <w:color w:val="auto"/>
        </w:rPr>
        <w:t>We recognize the funded status (i.e., the difference between the fair value of plan assets and the projected benefit obligations) of our pension and retiree medical and other postretirement benefits plans in the consolidated balance sheets with a corresponding adjustment to accumulated other comprehensive income (loss).</w:t>
      </w:r>
    </w:p>
    <w:p>
      <w:pPr>
        <w:spacing w:after="0" w:line="148" w:lineRule="exact"/>
        <w:rPr>
          <w:sz w:val="20"/>
          <w:szCs w:val="20"/>
          <w:color w:val="auto"/>
        </w:rPr>
      </w:pPr>
    </w:p>
    <w:p>
      <w:pPr>
        <w:jc w:val="both"/>
        <w:ind w:firstLine="216"/>
        <w:spacing w:after="0" w:line="256" w:lineRule="auto"/>
        <w:rPr>
          <w:sz w:val="20"/>
          <w:szCs w:val="20"/>
          <w:color w:val="auto"/>
        </w:rPr>
      </w:pPr>
      <w:r>
        <w:rPr>
          <w:rFonts w:ascii="Arial" w:cs="Arial" w:eastAsia="Arial" w:hAnsi="Arial"/>
          <w:sz w:val="18"/>
          <w:szCs w:val="18"/>
          <w:color w:val="auto"/>
        </w:rPr>
        <w:t>Our pension and retiree medical and other postretirement benefits costs and liabilities are calculated using various actuarial assumptions and methodologies. We use certain assumptions including, but not limited to, the selection of the: (1) discount rate, (2) expected return on plan assets and (3) expected health care cost trend rate (as discussed below). These assumptions as of December 31 were:</w:t>
      </w:r>
    </w:p>
    <w:p>
      <w:pPr>
        <w:spacing w:after="0" w:line="352" w:lineRule="exact"/>
        <w:rPr>
          <w:sz w:val="20"/>
          <w:szCs w:val="20"/>
          <w:color w:val="auto"/>
        </w:rPr>
      </w:pPr>
    </w:p>
    <w:tbl>
      <w:tblPr>
        <w:tblLayout w:type="fixed"/>
        <w:tblInd w:w="0" w:type="dxa"/>
        <w:tblCellMar>
          <w:top w:w="0" w:type="dxa"/>
          <w:left w:w="0" w:type="dxa"/>
          <w:bottom w:w="0" w:type="dxa"/>
          <w:right w:w="0" w:type="dxa"/>
        </w:tblCellMar>
      </w:tblPr>
      <w:tr>
        <w:trPr>
          <w:trHeight w:val="196"/>
        </w:trPr>
        <w:tc>
          <w:tcPr>
            <w:tcW w:w="7780" w:type="dxa"/>
            <w:vAlign w:val="bottom"/>
            <w:tcBorders>
              <w:bottom w:val="single" w:sz="8" w:color="CCEEFF"/>
            </w:tcBorders>
          </w:tcPr>
          <w:p>
            <w:pPr>
              <w:spacing w:after="0"/>
              <w:rPr>
                <w:sz w:val="17"/>
                <w:szCs w:val="17"/>
                <w:color w:val="auto"/>
              </w:rPr>
            </w:pPr>
          </w:p>
        </w:tc>
        <w:tc>
          <w:tcPr>
            <w:tcW w:w="1180" w:type="dxa"/>
            <w:vAlign w:val="bottom"/>
            <w:tcBorders>
              <w:bottom w:val="single" w:sz="8" w:color="auto"/>
            </w:tcBorders>
          </w:tcPr>
          <w:p>
            <w:pPr>
              <w:jc w:val="right"/>
              <w:ind w:right="68"/>
              <w:spacing w:after="0"/>
              <w:rPr>
                <w:sz w:val="20"/>
                <w:szCs w:val="20"/>
                <w:color w:val="auto"/>
              </w:rPr>
            </w:pPr>
            <w:r>
              <w:rPr>
                <w:rFonts w:ascii="Arial" w:cs="Arial" w:eastAsia="Arial" w:hAnsi="Arial"/>
                <w:sz w:val="14"/>
                <w:szCs w:val="14"/>
                <w:b w:val="1"/>
                <w:bCs w:val="1"/>
                <w:color w:val="auto"/>
              </w:rPr>
              <w:t>2019</w:t>
            </w:r>
          </w:p>
        </w:tc>
        <w:tc>
          <w:tcPr>
            <w:tcW w:w="580" w:type="dxa"/>
            <w:vAlign w:val="bottom"/>
            <w:tcBorders>
              <w:bottom w:val="single" w:sz="8" w:color="auto"/>
            </w:tcBorders>
          </w:tcPr>
          <w:p>
            <w:pPr>
              <w:spacing w:after="0"/>
              <w:rPr>
                <w:sz w:val="17"/>
                <w:szCs w:val="17"/>
                <w:color w:val="auto"/>
              </w:rPr>
            </w:pPr>
          </w:p>
        </w:tc>
        <w:tc>
          <w:tcPr>
            <w:tcW w:w="120" w:type="dxa"/>
            <w:vAlign w:val="bottom"/>
            <w:tcBorders>
              <w:bottom w:val="single" w:sz="8" w:color="CCEEFF"/>
            </w:tcBorders>
          </w:tcPr>
          <w:p>
            <w:pPr>
              <w:spacing w:after="0"/>
              <w:rPr>
                <w:sz w:val="17"/>
                <w:szCs w:val="17"/>
                <w:color w:val="auto"/>
              </w:rPr>
            </w:pPr>
          </w:p>
        </w:tc>
        <w:tc>
          <w:tcPr>
            <w:tcW w:w="1760" w:type="dxa"/>
            <w:vAlign w:val="bottom"/>
            <w:tcBorders>
              <w:bottom w:val="single" w:sz="8" w:color="auto"/>
            </w:tcBorders>
          </w:tcPr>
          <w:p>
            <w:pPr>
              <w:jc w:val="right"/>
              <w:ind w:right="633"/>
              <w:spacing w:after="0"/>
              <w:rPr>
                <w:sz w:val="20"/>
                <w:szCs w:val="20"/>
                <w:color w:val="auto"/>
              </w:rPr>
            </w:pPr>
            <w:r>
              <w:rPr>
                <w:rFonts w:ascii="Arial" w:cs="Arial" w:eastAsia="Arial" w:hAnsi="Arial"/>
                <w:sz w:val="14"/>
                <w:szCs w:val="14"/>
                <w:b w:val="1"/>
                <w:bCs w:val="1"/>
                <w:color w:val="auto"/>
              </w:rPr>
              <w:t>2018</w:t>
            </w:r>
          </w:p>
        </w:tc>
      </w:tr>
      <w:tr>
        <w:trPr>
          <w:trHeight w:val="256"/>
        </w:trPr>
        <w:tc>
          <w:tcPr>
            <w:tcW w:w="8960" w:type="dxa"/>
            <w:vAlign w:val="bottom"/>
            <w:gridSpan w:val="2"/>
            <w:shd w:val="clear" w:color="auto" w:fill="CCEEFF"/>
          </w:tcPr>
          <w:p>
            <w:pPr>
              <w:ind w:left="40"/>
              <w:spacing w:after="0"/>
              <w:rPr>
                <w:sz w:val="20"/>
                <w:szCs w:val="20"/>
                <w:color w:val="auto"/>
              </w:rPr>
            </w:pPr>
            <w:r>
              <w:rPr>
                <w:rFonts w:ascii="Arial" w:cs="Arial" w:eastAsia="Arial" w:hAnsi="Arial"/>
                <w:sz w:val="18"/>
                <w:szCs w:val="18"/>
                <w:color w:val="auto"/>
              </w:rPr>
              <w:t xml:space="preserve">Pension weighted average discount rate </w:t>
            </w:r>
            <w:r>
              <w:rPr>
                <w:rFonts w:ascii="Arial" w:cs="Arial" w:eastAsia="Arial" w:hAnsi="Arial"/>
                <w:sz w:val="21"/>
                <w:szCs w:val="21"/>
                <w:color w:val="auto"/>
                <w:vertAlign w:val="superscript"/>
              </w:rPr>
              <w:t>(1)</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3.4%</w:t>
            </w:r>
          </w:p>
        </w:tc>
        <w:tc>
          <w:tcPr>
            <w:tcW w:w="120" w:type="dxa"/>
            <w:vAlign w:val="bottom"/>
            <w:shd w:val="clear" w:color="auto" w:fill="CCEEFF"/>
          </w:tcPr>
          <w:p>
            <w:pPr>
              <w:spacing w:after="0"/>
              <w:rPr>
                <w:sz w:val="22"/>
                <w:szCs w:val="22"/>
                <w:color w:val="auto"/>
              </w:rPr>
            </w:pPr>
          </w:p>
        </w:tc>
        <w:tc>
          <w:tcPr>
            <w:tcW w:w="1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4.4%</w:t>
            </w:r>
          </w:p>
        </w:tc>
      </w:tr>
      <w:tr>
        <w:trPr>
          <w:trHeight w:val="270"/>
        </w:trPr>
        <w:tc>
          <w:tcPr>
            <w:tcW w:w="8960" w:type="dxa"/>
            <w:vAlign w:val="bottom"/>
            <w:gridSpan w:val="2"/>
          </w:tcPr>
          <w:p>
            <w:pPr>
              <w:ind w:left="40"/>
              <w:spacing w:after="0"/>
              <w:rPr>
                <w:sz w:val="20"/>
                <w:szCs w:val="20"/>
                <w:color w:val="auto"/>
              </w:rPr>
            </w:pPr>
            <w:r>
              <w:rPr>
                <w:rFonts w:ascii="Arial" w:cs="Arial" w:eastAsia="Arial" w:hAnsi="Arial"/>
                <w:sz w:val="18"/>
                <w:szCs w:val="18"/>
                <w:color w:val="auto"/>
              </w:rPr>
              <w:t xml:space="preserve">Retiree medical and other postretirement benefits weighted average discount rate </w:t>
            </w:r>
            <w:r>
              <w:rPr>
                <w:rFonts w:ascii="Arial" w:cs="Arial" w:eastAsia="Arial" w:hAnsi="Arial"/>
                <w:sz w:val="21"/>
                <w:szCs w:val="21"/>
                <w:color w:val="auto"/>
                <w:vertAlign w:val="superscript"/>
              </w:rPr>
              <w:t>(1)</w:t>
            </w:r>
          </w:p>
        </w:tc>
        <w:tc>
          <w:tcPr>
            <w:tcW w:w="580" w:type="dxa"/>
            <w:vAlign w:val="bottom"/>
          </w:tcPr>
          <w:p>
            <w:pPr>
              <w:jc w:val="right"/>
              <w:spacing w:after="0"/>
              <w:rPr>
                <w:sz w:val="20"/>
                <w:szCs w:val="20"/>
                <w:color w:val="auto"/>
              </w:rPr>
            </w:pPr>
            <w:r>
              <w:rPr>
                <w:rFonts w:ascii="Arial" w:cs="Arial" w:eastAsia="Arial" w:hAnsi="Arial"/>
                <w:sz w:val="18"/>
                <w:szCs w:val="18"/>
                <w:color w:val="auto"/>
              </w:rPr>
              <w:t>3.3%</w:t>
            </w:r>
          </w:p>
        </w:tc>
        <w:tc>
          <w:tcPr>
            <w:tcW w:w="120" w:type="dxa"/>
            <w:vAlign w:val="bottom"/>
          </w:tcPr>
          <w:p>
            <w:pPr>
              <w:spacing w:after="0"/>
              <w:rPr>
                <w:sz w:val="23"/>
                <w:szCs w:val="23"/>
                <w:color w:val="auto"/>
              </w:rPr>
            </w:pPr>
          </w:p>
        </w:tc>
        <w:tc>
          <w:tcPr>
            <w:tcW w:w="1760" w:type="dxa"/>
            <w:vAlign w:val="bottom"/>
          </w:tcPr>
          <w:p>
            <w:pPr>
              <w:jc w:val="right"/>
              <w:spacing w:after="0"/>
              <w:rPr>
                <w:sz w:val="20"/>
                <w:szCs w:val="20"/>
                <w:color w:val="auto"/>
              </w:rPr>
            </w:pPr>
            <w:r>
              <w:rPr>
                <w:rFonts w:ascii="Arial" w:cs="Arial" w:eastAsia="Arial" w:hAnsi="Arial"/>
                <w:sz w:val="18"/>
                <w:szCs w:val="18"/>
                <w:color w:val="auto"/>
              </w:rPr>
              <w:t>4.3%</w:t>
            </w:r>
          </w:p>
        </w:tc>
      </w:tr>
      <w:tr>
        <w:trPr>
          <w:trHeight w:val="270"/>
        </w:trPr>
        <w:tc>
          <w:tcPr>
            <w:tcW w:w="8960" w:type="dxa"/>
            <w:vAlign w:val="bottom"/>
            <w:gridSpan w:val="2"/>
            <w:shd w:val="clear" w:color="auto" w:fill="CCEEFF"/>
          </w:tcPr>
          <w:p>
            <w:pPr>
              <w:ind w:left="40"/>
              <w:spacing w:after="0"/>
              <w:rPr>
                <w:sz w:val="20"/>
                <w:szCs w:val="20"/>
                <w:color w:val="auto"/>
              </w:rPr>
            </w:pPr>
            <w:r>
              <w:rPr>
                <w:rFonts w:ascii="Arial" w:cs="Arial" w:eastAsia="Arial" w:hAnsi="Arial"/>
                <w:sz w:val="18"/>
                <w:szCs w:val="18"/>
                <w:color w:val="auto"/>
              </w:rPr>
              <w:t xml:space="preserve">Expected rate of return on plan assets </w:t>
            </w:r>
            <w:r>
              <w:rPr>
                <w:rFonts w:ascii="Arial" w:cs="Arial" w:eastAsia="Arial" w:hAnsi="Arial"/>
                <w:sz w:val="21"/>
                <w:szCs w:val="21"/>
                <w:color w:val="auto"/>
                <w:vertAlign w:val="superscript"/>
              </w:rPr>
              <w:t>(2)</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8.0%</w:t>
            </w:r>
          </w:p>
        </w:tc>
        <w:tc>
          <w:tcPr>
            <w:tcW w:w="120" w:type="dxa"/>
            <w:vAlign w:val="bottom"/>
            <w:shd w:val="clear" w:color="auto" w:fill="CCEEFF"/>
          </w:tcPr>
          <w:p>
            <w:pPr>
              <w:spacing w:after="0"/>
              <w:rPr>
                <w:sz w:val="23"/>
                <w:szCs w:val="23"/>
                <w:color w:val="auto"/>
              </w:rPr>
            </w:pPr>
          </w:p>
        </w:tc>
        <w:tc>
          <w:tcPr>
            <w:tcW w:w="1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8.0%</w:t>
            </w:r>
          </w:p>
        </w:tc>
      </w:tr>
      <w:tr>
        <w:trPr>
          <w:trHeight w:val="270"/>
        </w:trPr>
        <w:tc>
          <w:tcPr>
            <w:tcW w:w="8960" w:type="dxa"/>
            <w:vAlign w:val="bottom"/>
            <w:gridSpan w:val="2"/>
          </w:tcPr>
          <w:p>
            <w:pPr>
              <w:ind w:left="40"/>
              <w:spacing w:after="0"/>
              <w:rPr>
                <w:sz w:val="20"/>
                <w:szCs w:val="20"/>
                <w:color w:val="auto"/>
              </w:rPr>
            </w:pPr>
            <w:r>
              <w:rPr>
                <w:rFonts w:ascii="Arial" w:cs="Arial" w:eastAsia="Arial" w:hAnsi="Arial"/>
                <w:sz w:val="18"/>
                <w:szCs w:val="18"/>
                <w:color w:val="auto"/>
              </w:rPr>
              <w:t xml:space="preserve">Weighted average health care cost trend rate assumed for next year </w:t>
            </w:r>
            <w:r>
              <w:rPr>
                <w:rFonts w:ascii="Arial" w:cs="Arial" w:eastAsia="Arial" w:hAnsi="Arial"/>
                <w:sz w:val="21"/>
                <w:szCs w:val="21"/>
                <w:color w:val="auto"/>
                <w:vertAlign w:val="superscript"/>
              </w:rPr>
              <w:t>(3)</w:t>
            </w:r>
            <w:r>
              <w:rPr>
                <w:rFonts w:ascii="Arial" w:cs="Arial" w:eastAsia="Arial" w:hAnsi="Arial"/>
                <w:sz w:val="18"/>
                <w:szCs w:val="18"/>
                <w:color w:val="auto"/>
              </w:rPr>
              <w:t>:</w:t>
            </w:r>
          </w:p>
        </w:tc>
        <w:tc>
          <w:tcPr>
            <w:tcW w:w="58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760" w:type="dxa"/>
            <w:vAlign w:val="bottom"/>
          </w:tcPr>
          <w:p>
            <w:pPr>
              <w:spacing w:after="0"/>
              <w:rPr>
                <w:sz w:val="23"/>
                <w:szCs w:val="23"/>
                <w:color w:val="auto"/>
              </w:rPr>
            </w:pPr>
          </w:p>
        </w:tc>
      </w:tr>
      <w:tr>
        <w:trPr>
          <w:trHeight w:val="270"/>
        </w:trPr>
        <w:tc>
          <w:tcPr>
            <w:tcW w:w="8960" w:type="dxa"/>
            <w:vAlign w:val="bottom"/>
            <w:gridSpan w:val="2"/>
            <w:shd w:val="clear" w:color="auto" w:fill="CCEEFF"/>
          </w:tcPr>
          <w:p>
            <w:pPr>
              <w:ind w:left="280"/>
              <w:spacing w:after="0"/>
              <w:rPr>
                <w:sz w:val="20"/>
                <w:szCs w:val="20"/>
                <w:color w:val="auto"/>
              </w:rPr>
            </w:pPr>
            <w:r>
              <w:rPr>
                <w:rFonts w:ascii="Arial" w:cs="Arial" w:eastAsia="Arial" w:hAnsi="Arial"/>
                <w:sz w:val="18"/>
                <w:szCs w:val="18"/>
                <w:color w:val="auto"/>
              </w:rPr>
              <w:t>Initial</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3.7%</w:t>
            </w:r>
          </w:p>
        </w:tc>
        <w:tc>
          <w:tcPr>
            <w:tcW w:w="120" w:type="dxa"/>
            <w:vAlign w:val="bottom"/>
            <w:shd w:val="clear" w:color="auto" w:fill="CCEEFF"/>
          </w:tcPr>
          <w:p>
            <w:pPr>
              <w:spacing w:after="0"/>
              <w:rPr>
                <w:sz w:val="23"/>
                <w:szCs w:val="23"/>
                <w:color w:val="auto"/>
              </w:rPr>
            </w:pPr>
          </w:p>
        </w:tc>
        <w:tc>
          <w:tcPr>
            <w:tcW w:w="1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3.9%</w:t>
            </w:r>
          </w:p>
        </w:tc>
      </w:tr>
      <w:tr>
        <w:trPr>
          <w:trHeight w:val="257"/>
        </w:trPr>
        <w:tc>
          <w:tcPr>
            <w:tcW w:w="8960" w:type="dxa"/>
            <w:vAlign w:val="bottom"/>
            <w:gridSpan w:val="2"/>
          </w:tcPr>
          <w:p>
            <w:pPr>
              <w:ind w:left="280"/>
              <w:spacing w:after="0"/>
              <w:rPr>
                <w:sz w:val="20"/>
                <w:szCs w:val="20"/>
                <w:color w:val="auto"/>
              </w:rPr>
            </w:pPr>
            <w:r>
              <w:rPr>
                <w:rFonts w:ascii="Arial" w:cs="Arial" w:eastAsia="Arial" w:hAnsi="Arial"/>
                <w:sz w:val="18"/>
                <w:szCs w:val="18"/>
                <w:color w:val="auto"/>
              </w:rPr>
              <w:t>Ultimate (2027)</w:t>
            </w:r>
          </w:p>
        </w:tc>
        <w:tc>
          <w:tcPr>
            <w:tcW w:w="580" w:type="dxa"/>
            <w:vAlign w:val="bottom"/>
          </w:tcPr>
          <w:p>
            <w:pPr>
              <w:jc w:val="right"/>
              <w:spacing w:after="0"/>
              <w:rPr>
                <w:sz w:val="20"/>
                <w:szCs w:val="20"/>
                <w:color w:val="auto"/>
              </w:rPr>
            </w:pPr>
            <w:r>
              <w:rPr>
                <w:rFonts w:ascii="Arial" w:cs="Arial" w:eastAsia="Arial" w:hAnsi="Arial"/>
                <w:sz w:val="18"/>
                <w:szCs w:val="18"/>
                <w:color w:val="auto"/>
              </w:rPr>
              <w:t>3.3%</w:t>
            </w:r>
          </w:p>
        </w:tc>
        <w:tc>
          <w:tcPr>
            <w:tcW w:w="120" w:type="dxa"/>
            <w:vAlign w:val="bottom"/>
          </w:tcPr>
          <w:p>
            <w:pPr>
              <w:spacing w:after="0"/>
              <w:rPr>
                <w:sz w:val="22"/>
                <w:szCs w:val="22"/>
                <w:color w:val="auto"/>
              </w:rPr>
            </w:pPr>
          </w:p>
        </w:tc>
        <w:tc>
          <w:tcPr>
            <w:tcW w:w="1760" w:type="dxa"/>
            <w:vAlign w:val="bottom"/>
          </w:tcPr>
          <w:p>
            <w:pPr>
              <w:jc w:val="right"/>
              <w:spacing w:after="0"/>
              <w:rPr>
                <w:sz w:val="20"/>
                <w:szCs w:val="20"/>
                <w:color w:val="auto"/>
              </w:rPr>
            </w:pPr>
            <w:r>
              <w:rPr>
                <w:rFonts w:ascii="Arial" w:cs="Arial" w:eastAsia="Arial" w:hAnsi="Arial"/>
                <w:sz w:val="18"/>
                <w:szCs w:val="18"/>
                <w:color w:val="auto"/>
              </w:rPr>
              <w:t>3.5%</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171450</wp:posOffset>
            </wp:positionV>
            <wp:extent cx="1337945" cy="8890"/>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1337945" cy="8890"/>
                    </a:xfrm>
                    <a:prstGeom prst="rect">
                      <a:avLst/>
                    </a:prstGeom>
                    <a:noFill/>
                  </pic:spPr>
                </pic:pic>
              </a:graphicData>
            </a:graphic>
          </wp:anchor>
        </w:drawing>
      </w:r>
    </w:p>
    <w:p>
      <w:pPr>
        <w:sectPr>
          <w:pgSz w:w="11900" w:h="16838" w:orient="portrait"/>
          <w:cols w:equalWidth="0" w:num="1">
            <w:col w:w="11420"/>
          </w:cols>
          <w:pgMar w:left="240" w:top="792" w:right="239" w:bottom="1440" w:gutter="0" w:footer="0" w:header="0"/>
        </w:sectPr>
      </w:pPr>
    </w:p>
    <w:p>
      <w:pPr>
        <w:spacing w:after="0" w:line="200" w:lineRule="exact"/>
        <w:rPr>
          <w:sz w:val="20"/>
          <w:szCs w:val="20"/>
          <w:color w:val="auto"/>
        </w:rPr>
      </w:pPr>
    </w:p>
    <w:p>
      <w:pPr>
        <w:spacing w:after="0" w:line="378" w:lineRule="exact"/>
        <w:rPr>
          <w:sz w:val="20"/>
          <w:szCs w:val="20"/>
          <w:color w:val="auto"/>
        </w:rPr>
      </w:pPr>
    </w:p>
    <w:p>
      <w:pPr>
        <w:spacing w:after="0"/>
        <w:rPr>
          <w:sz w:val="20"/>
          <w:szCs w:val="20"/>
          <w:color w:val="auto"/>
        </w:rPr>
      </w:pPr>
      <w:r>
        <w:rPr>
          <w:rFonts w:ascii="Arial" w:cs="Arial" w:eastAsia="Arial" w:hAnsi="Arial"/>
          <w:sz w:val="11"/>
          <w:szCs w:val="11"/>
          <w:color w:val="auto"/>
        </w:rPr>
        <w:t>(1)</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6" w:lineRule="exact"/>
        <w:rPr>
          <w:sz w:val="20"/>
          <w:szCs w:val="20"/>
          <w:color w:val="auto"/>
        </w:rPr>
      </w:pPr>
    </w:p>
    <w:p>
      <w:pPr>
        <w:spacing w:after="0"/>
        <w:rPr>
          <w:sz w:val="20"/>
          <w:szCs w:val="20"/>
          <w:color w:val="auto"/>
        </w:rPr>
      </w:pPr>
      <w:r>
        <w:rPr>
          <w:rFonts w:ascii="Arial" w:cs="Arial" w:eastAsia="Arial" w:hAnsi="Arial"/>
          <w:sz w:val="11"/>
          <w:szCs w:val="11"/>
          <w:color w:val="auto"/>
        </w:rPr>
        <w:t>(2)</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8" w:lineRule="exact"/>
        <w:rPr>
          <w:sz w:val="20"/>
          <w:szCs w:val="20"/>
          <w:color w:val="auto"/>
        </w:rPr>
      </w:pPr>
    </w:p>
    <w:p>
      <w:pPr>
        <w:spacing w:after="0"/>
        <w:rPr>
          <w:sz w:val="20"/>
          <w:szCs w:val="20"/>
          <w:color w:val="auto"/>
        </w:rPr>
      </w:pPr>
      <w:r>
        <w:rPr>
          <w:rFonts w:ascii="Arial" w:cs="Arial" w:eastAsia="Arial" w:hAnsi="Arial"/>
          <w:sz w:val="11"/>
          <w:szCs w:val="11"/>
          <w:color w:val="auto"/>
        </w:rPr>
        <w:t>(3)</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360"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auto"/>
        </w:rPr>
        <w:t>When establishing our discount rate to measure our obligations, we match high quality corporate bonds available in the marketplace whose cash flows approximate our projected benefit disbursements. Lowering the discount rate by 50 basis points as of December 31, 2019 would increase our pension and retiree medical and other postretirement benefits obligations by approximately $1.3 billion and $40 million, respectively, decrease estimated 2020 pension expense by approximately $5 million and increase estimated 2020 retiree medical and other postretirement benefits expense by less than $1 million.</w:t>
      </w:r>
    </w:p>
    <w:p>
      <w:pPr>
        <w:spacing w:after="0" w:line="152" w:lineRule="exact"/>
        <w:rPr>
          <w:sz w:val="20"/>
          <w:szCs w:val="20"/>
          <w:color w:val="auto"/>
        </w:rPr>
      </w:pPr>
    </w:p>
    <w:p>
      <w:pPr>
        <w:jc w:val="both"/>
        <w:spacing w:after="0" w:line="252" w:lineRule="auto"/>
        <w:rPr>
          <w:sz w:val="20"/>
          <w:szCs w:val="20"/>
          <w:color w:val="auto"/>
        </w:rPr>
      </w:pPr>
      <w:r>
        <w:rPr>
          <w:rFonts w:ascii="Arial" w:cs="Arial" w:eastAsia="Arial" w:hAnsi="Arial"/>
          <w:sz w:val="18"/>
          <w:szCs w:val="18"/>
          <w:color w:val="auto"/>
        </w:rPr>
        <w:t>The expected rate of return on plan assets is based upon an evaluation of our historical trends and experience, taking into account current and expected market conditions and our target asset allocation of 26% U.S. stocks, 16% developed international stocks, 30% fixed income securities, 20% alternative (private) investments and 8% emerging market stocks. The expected rate of return on plan assets component of our net periodic benefit cost is calculated based on the fair value of plan assets and our target asset allocation. Lowering the expected long-term rate of return on plan assets by 50 basis points as of December 31, 2019 would increase estimated 2020 pension expense and retiree medical and other postretirement benefits expense by approximately $65 million and $1 million, respectively.</w:t>
      </w:r>
    </w:p>
    <w:p>
      <w:pPr>
        <w:spacing w:after="0" w:line="153" w:lineRule="exact"/>
        <w:rPr>
          <w:sz w:val="20"/>
          <w:szCs w:val="20"/>
          <w:color w:val="auto"/>
        </w:rPr>
      </w:pPr>
    </w:p>
    <w:p>
      <w:pPr>
        <w:jc w:val="both"/>
        <w:ind w:right="20"/>
        <w:spacing w:after="0" w:line="256" w:lineRule="auto"/>
        <w:rPr>
          <w:sz w:val="20"/>
          <w:szCs w:val="20"/>
          <w:color w:val="auto"/>
        </w:rPr>
      </w:pPr>
      <w:r>
        <w:rPr>
          <w:rFonts w:ascii="Arial" w:cs="Arial" w:eastAsia="Arial" w:hAnsi="Arial"/>
          <w:sz w:val="18"/>
          <w:szCs w:val="18"/>
          <w:color w:val="auto"/>
        </w:rPr>
        <w:t>The assumed health care cost trend rate is based upon an evaluation of our historical trends and experience, taking into account current and expected market conditions. Increasing the assumed health care cost trend rate by 100 basis points would increase estimated 2020 retiree medical and other postretirement benefits expense by approximately $5 million.</w:t>
      </w:r>
    </w:p>
    <w:p>
      <w:pPr>
        <w:spacing w:after="0" w:line="202" w:lineRule="exact"/>
        <w:rPr>
          <w:sz w:val="20"/>
          <w:szCs w:val="20"/>
          <w:color w:val="auto"/>
        </w:rPr>
      </w:pPr>
    </w:p>
    <w:p>
      <w:pPr>
        <w:jc w:val="center"/>
        <w:ind w:right="640"/>
        <w:spacing w:after="0"/>
        <w:rPr>
          <w:sz w:val="20"/>
          <w:szCs w:val="20"/>
          <w:color w:val="auto"/>
        </w:rPr>
      </w:pPr>
      <w:r>
        <w:rPr>
          <w:rFonts w:ascii="Arial" w:cs="Arial" w:eastAsia="Arial" w:hAnsi="Arial"/>
          <w:sz w:val="18"/>
          <w:szCs w:val="18"/>
          <w:color w:val="auto"/>
        </w:rPr>
        <w:t>67</w:t>
      </w:r>
    </w:p>
    <w:p>
      <w:pPr>
        <w:sectPr>
          <w:pgSz w:w="11900" w:h="16838" w:orient="portrait"/>
          <w:cols w:equalWidth="0" w:num="2">
            <w:col w:w="140" w:space="520"/>
            <w:col w:w="10760"/>
          </w:cols>
          <w:pgMar w:left="240" w:top="792" w:right="239" w:bottom="1440" w:gutter="0" w:footer="0" w:header="0"/>
          <w:type w:val="continuous"/>
        </w:sectPr>
      </w:pPr>
    </w:p>
    <w:bookmarkStart w:id="67" w:name="page68"/>
    <w:bookmarkEnd w:id="67"/>
    <w:p>
      <w:pPr>
        <w:jc w:val="both"/>
        <w:ind w:firstLine="243"/>
        <w:spacing w:after="0" w:line="252" w:lineRule="auto"/>
        <w:rPr>
          <w:sz w:val="20"/>
          <w:szCs w:val="20"/>
          <w:color w:val="auto"/>
        </w:rPr>
      </w:pPr>
      <w:r>
        <w:rPr>
          <w:rFonts w:ascii="Arial" w:cs="Arial" w:eastAsia="Arial" w:hAnsi="Arial"/>
          <w:sz w:val="18"/>
          <w:szCs w:val="18"/>
          <w:color w:val="auto"/>
        </w:rPr>
        <w:t>During 2019, we reviewed and revised certain economic and demographic assumptions including the pension and retiree medical and other postretirement benefits discount rates and health care cost trend rates. The net effect of changing these assumptions for the pension plans resulted in an increase of $2.1 billion in the projected benefit obligation at December 31, 2019. The net effect of changing these assumptions for retiree medical and other postretirement benefits plans resulted in an increase of $71 million in the projected benefit obligation at December 31, 2019. We also revised our mortality assumptions to incorporate the new Pri-2012 mortality tables and improvement scale issued by the Society of Actuaries. This resulted in a decrease in the projected benefit obligations of our pension and retiree medical and other postretirement benefits plans of $127 million and $11 million, respectively.</w:t>
      </w:r>
    </w:p>
    <w:p>
      <w:pPr>
        <w:spacing w:after="0" w:line="153" w:lineRule="exact"/>
        <w:rPr>
          <w:sz w:val="20"/>
          <w:szCs w:val="20"/>
          <w:color w:val="auto"/>
        </w:rPr>
      </w:pPr>
    </w:p>
    <w:p>
      <w:pPr>
        <w:jc w:val="both"/>
        <w:ind w:firstLine="216"/>
        <w:spacing w:after="0" w:line="262" w:lineRule="auto"/>
        <w:rPr>
          <w:sz w:val="20"/>
          <w:szCs w:val="20"/>
          <w:color w:val="auto"/>
        </w:rPr>
      </w:pPr>
      <w:r>
        <w:rPr>
          <w:rFonts w:ascii="Arial" w:cs="Arial" w:eastAsia="Arial" w:hAnsi="Arial"/>
          <w:sz w:val="18"/>
          <w:szCs w:val="18"/>
          <w:color w:val="auto"/>
        </w:rPr>
        <w:t>See Note 10 to AAG’s Consolidated Financial Statements in Part II, Item 8A and Note 8 to American’s Consolidated Financial Statements in Part II, Item 8B for additional information regarding our employee benefit plans.</w:t>
      </w:r>
    </w:p>
    <w:p>
      <w:pPr>
        <w:spacing w:after="0" w:line="20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Recent Accounting Pronouncement</w:t>
      </w:r>
    </w:p>
    <w:p>
      <w:pPr>
        <w:spacing w:after="0" w:line="90" w:lineRule="exact"/>
        <w:rPr>
          <w:sz w:val="20"/>
          <w:szCs w:val="20"/>
          <w:color w:val="auto"/>
        </w:rPr>
      </w:pPr>
    </w:p>
    <w:p>
      <w:pPr>
        <w:ind w:left="260"/>
        <w:spacing w:after="0"/>
        <w:rPr>
          <w:sz w:val="20"/>
          <w:szCs w:val="20"/>
          <w:color w:val="auto"/>
        </w:rPr>
      </w:pPr>
      <w:r>
        <w:rPr>
          <w:rFonts w:ascii="Arial" w:cs="Arial" w:eastAsia="Arial" w:hAnsi="Arial"/>
          <w:sz w:val="18"/>
          <w:szCs w:val="18"/>
          <w:b w:val="1"/>
          <w:bCs w:val="1"/>
          <w:i w:val="1"/>
          <w:iCs w:val="1"/>
          <w:color w:val="auto"/>
        </w:rPr>
        <w:t xml:space="preserve">ASU 2016-13: Financial Instruments </w:t>
      </w:r>
      <w:r>
        <w:rPr>
          <w:rFonts w:ascii="Arial" w:cs="Arial" w:eastAsia="Arial" w:hAnsi="Arial"/>
          <w:sz w:val="18"/>
          <w:szCs w:val="18"/>
          <w:b w:val="1"/>
          <w:bCs w:val="1"/>
          <w:color w:val="auto"/>
        </w:rPr>
        <w:t>–</w:t>
      </w:r>
      <w:r>
        <w:rPr>
          <w:rFonts w:ascii="Arial" w:cs="Arial" w:eastAsia="Arial" w:hAnsi="Arial"/>
          <w:sz w:val="18"/>
          <w:szCs w:val="18"/>
          <w:b w:val="1"/>
          <w:bCs w:val="1"/>
          <w:i w:val="1"/>
          <w:iCs w:val="1"/>
          <w:color w:val="auto"/>
        </w:rPr>
        <w:t xml:space="preserve"> Credit Losses (Topic 326)</w:t>
      </w:r>
    </w:p>
    <w:p>
      <w:pPr>
        <w:spacing w:after="0" w:line="112" w:lineRule="exact"/>
        <w:rPr>
          <w:sz w:val="20"/>
          <w:szCs w:val="20"/>
          <w:color w:val="auto"/>
        </w:rPr>
      </w:pPr>
    </w:p>
    <w:p>
      <w:pPr>
        <w:jc w:val="both"/>
        <w:ind w:firstLine="216"/>
        <w:spacing w:after="0" w:line="252" w:lineRule="auto"/>
        <w:rPr>
          <w:sz w:val="20"/>
          <w:szCs w:val="20"/>
          <w:color w:val="auto"/>
        </w:rPr>
      </w:pPr>
      <w:r>
        <w:rPr>
          <w:rFonts w:ascii="Arial" w:cs="Arial" w:eastAsia="Arial" w:hAnsi="Arial"/>
          <w:sz w:val="18"/>
          <w:szCs w:val="18"/>
          <w:color w:val="auto"/>
        </w:rPr>
        <w:t>This ASU requires the use of an expected loss model for certain types of financial instruments and requires consideration of a broader range of reasonable and supportable information to calculate credit loss estimates. For trade receivables, loans and held-to-maturity debt securities, an estimate of lifetime expected credit losses is required. For available-for-sale debt securities, an allowance for credit losses will be required rather than a reduction to the carrying value of the asset. This standard is effective for interim and annual reporting periods beginning after December 15, 2019. While we have not completed our evaluation of the impact of adoption of this standard, we do not expect it to have a material impact on our consolidated financial statements.</w:t>
      </w:r>
    </w:p>
    <w:p>
      <w:pPr>
        <w:spacing w:after="0" w:line="21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7A. QUANTITATIVE AND QUALITATIVE DISCLOSURES ABOUT MARKET RISK</w:t>
      </w:r>
    </w:p>
    <w:p>
      <w:pPr>
        <w:spacing w:after="0" w:line="112" w:lineRule="exact"/>
        <w:rPr>
          <w:sz w:val="20"/>
          <w:szCs w:val="20"/>
          <w:color w:val="auto"/>
        </w:rPr>
      </w:pPr>
    </w:p>
    <w:p>
      <w:pPr>
        <w:jc w:val="both"/>
        <w:ind w:firstLine="216"/>
        <w:spacing w:after="0" w:line="253" w:lineRule="auto"/>
        <w:rPr>
          <w:sz w:val="20"/>
          <w:szCs w:val="20"/>
          <w:color w:val="auto"/>
        </w:rPr>
      </w:pPr>
      <w:r>
        <w:rPr>
          <w:rFonts w:ascii="Arial" w:cs="Arial" w:eastAsia="Arial" w:hAnsi="Arial"/>
          <w:sz w:val="18"/>
          <w:szCs w:val="18"/>
          <w:color w:val="auto"/>
        </w:rPr>
        <w:t>The risk inherent in our market risk sensitive instruments and positions is the potential loss arising from adverse changes in the price of fuel, foreign currency exchange rates and interest rates as discussed below. The sensitivity analyses presented do not consider the effects that such adverse changes may have on overall economic activity, nor do they consider additional actions we may take to mitigate our exposure to such changes. Therefore, actual results may differ. See Note 8 to AAG’s Consolidated Financial Statements in Part II, Item 8A and Note 6 to American’s Consolidated Financial Statements in Part II, Item 8B for additional discussion regarding risk management matters.</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Aircraft Fuel</w:t>
      </w:r>
    </w:p>
    <w:p>
      <w:pPr>
        <w:spacing w:after="0" w:line="112" w:lineRule="exact"/>
        <w:rPr>
          <w:sz w:val="20"/>
          <w:szCs w:val="20"/>
          <w:color w:val="auto"/>
        </w:rPr>
      </w:pPr>
    </w:p>
    <w:p>
      <w:pPr>
        <w:jc w:val="both"/>
        <w:ind w:firstLine="216"/>
        <w:spacing w:after="0" w:line="253" w:lineRule="auto"/>
        <w:rPr>
          <w:sz w:val="20"/>
          <w:szCs w:val="20"/>
          <w:color w:val="auto"/>
        </w:rPr>
      </w:pPr>
      <w:r>
        <w:rPr>
          <w:rFonts w:ascii="Arial" w:cs="Arial" w:eastAsia="Arial" w:hAnsi="Arial"/>
          <w:sz w:val="18"/>
          <w:szCs w:val="18"/>
          <w:color w:val="auto"/>
        </w:rPr>
        <w:t>Our operating results are materially impacted by changes in the availability, price volatility and cost of aircraft fuel, which represents one of the largest single cost items in our business. Because of the amount of fuel needed to operate our business, even a relatively small increase or decrease in the price of fuel can have a material effect on our costs and liquidity. Market prices for aircraft fuel can be volatile, with market spot prices ranging from a low of approximately $1.24 per gallon to a high of approximately $2.35 per gallon during the period from January 1, 2017 to December 31, 2019.</w:t>
      </w:r>
    </w:p>
    <w:p>
      <w:pPr>
        <w:spacing w:after="0" w:line="152" w:lineRule="exact"/>
        <w:rPr>
          <w:sz w:val="20"/>
          <w:szCs w:val="20"/>
          <w:color w:val="auto"/>
        </w:rPr>
      </w:pPr>
    </w:p>
    <w:p>
      <w:pPr>
        <w:jc w:val="both"/>
        <w:ind w:firstLine="216"/>
        <w:spacing w:after="0" w:line="253" w:lineRule="auto"/>
        <w:rPr>
          <w:sz w:val="20"/>
          <w:szCs w:val="20"/>
          <w:color w:val="auto"/>
        </w:rPr>
      </w:pPr>
      <w:r>
        <w:rPr>
          <w:rFonts w:ascii="Arial" w:cs="Arial" w:eastAsia="Arial" w:hAnsi="Arial"/>
          <w:sz w:val="18"/>
          <w:szCs w:val="18"/>
          <w:color w:val="auto"/>
        </w:rPr>
        <w:t>As of December 31, 2019, we did not have any fuel hedging contracts outstanding to hedge our fuel consumption. Our current policy is not to enter into transactions to hedge our fuel consumption, although we review that policy from time to time based on market conditions and other factors. As such, and assuming we do not enter into any future transactions to hedge our fuel consumption, we will continue to be fully exposed to fluctuations in fuel prices. Based on our 2020 forecasted fuel consumption, we estimate that a one cent per gallon increase in the price of aircraft fuel would increase our 2020 annual fuel expense by $47 million.</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Foreign Currency</w:t>
      </w:r>
    </w:p>
    <w:p>
      <w:pPr>
        <w:spacing w:after="0" w:line="112" w:lineRule="exact"/>
        <w:rPr>
          <w:sz w:val="20"/>
          <w:szCs w:val="20"/>
          <w:color w:val="auto"/>
        </w:rPr>
      </w:pPr>
    </w:p>
    <w:p>
      <w:pPr>
        <w:jc w:val="both"/>
        <w:ind w:firstLine="216"/>
        <w:spacing w:after="0" w:line="253" w:lineRule="auto"/>
        <w:rPr>
          <w:sz w:val="20"/>
          <w:szCs w:val="20"/>
          <w:color w:val="auto"/>
        </w:rPr>
      </w:pPr>
      <w:r>
        <w:rPr>
          <w:rFonts w:ascii="Arial" w:cs="Arial" w:eastAsia="Arial" w:hAnsi="Arial"/>
          <w:sz w:val="18"/>
          <w:szCs w:val="18"/>
          <w:color w:val="auto"/>
        </w:rPr>
        <w:t>We are exposed to the effect of foreign exchange rate fluctuations on the U.S. dollar value of foreign currency-denominated transactions. Our largest exposure comes from the British pound, Euro, Canadian dollar and various Latin American currencies, primarily the Brazilian real. We do not currently have a foreign currency hedge program. We estimate a uniform 10% strengthening in the value of the U.S. dollar from 2019 levels relative to each of the currencies in which we have foreign currency exposure would have resulted in a decrease in pre-tax income of approximately $190 million for the year ended December 31, 2019.</w:t>
      </w:r>
    </w:p>
    <w:p>
      <w:pPr>
        <w:spacing w:after="0" w:line="20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68</w:t>
      </w:r>
    </w:p>
    <w:p>
      <w:pPr>
        <w:sectPr>
          <w:pgSz w:w="11900" w:h="16838" w:orient="portrait"/>
          <w:cols w:equalWidth="0" w:num="1">
            <w:col w:w="11420"/>
          </w:cols>
          <w:pgMar w:left="240" w:top="733" w:right="239" w:bottom="1440" w:gutter="0" w:footer="0" w:header="0"/>
        </w:sectPr>
      </w:pPr>
    </w:p>
    <w:bookmarkStart w:id="68" w:name="page69"/>
    <w:bookmarkEnd w:id="68"/>
    <w:p>
      <w:pPr>
        <w:jc w:val="both"/>
        <w:ind w:firstLine="216"/>
        <w:spacing w:after="0" w:line="252" w:lineRule="auto"/>
        <w:rPr>
          <w:sz w:val="20"/>
          <w:szCs w:val="20"/>
          <w:color w:val="auto"/>
        </w:rPr>
      </w:pPr>
      <w:r>
        <w:rPr>
          <w:rFonts w:ascii="Arial" w:cs="Arial" w:eastAsia="Arial" w:hAnsi="Arial"/>
          <w:sz w:val="18"/>
          <w:szCs w:val="18"/>
          <w:color w:val="auto"/>
        </w:rPr>
        <w:t xml:space="preserve">Generally, fluctuations in foreign currencies, including devaluations, cannot be predicted by us and can significantly affect the value of our assets located outside the United States. These conditions, as well as any further delays, devaluations or imposition of more stringent repatriation restrictions, may materially adversely affect our business, results of operations and financial condition. See Part I, Item 1A. Risk Factors – </w:t>
      </w:r>
      <w:r>
        <w:rPr>
          <w:rFonts w:ascii="Arial" w:cs="Arial" w:eastAsia="Arial" w:hAnsi="Arial"/>
          <w:sz w:val="18"/>
          <w:szCs w:val="18"/>
          <w:i w:val="1"/>
          <w:iCs w:val="1"/>
          <w:color w:val="auto"/>
        </w:rPr>
        <w:t>“We operate a global business with international operations that are subject to economic and political instability and have been, and</w:t>
      </w:r>
      <w:r>
        <w:rPr>
          <w:rFonts w:ascii="Arial" w:cs="Arial" w:eastAsia="Arial" w:hAnsi="Arial"/>
          <w:sz w:val="18"/>
          <w:szCs w:val="18"/>
          <w:color w:val="auto"/>
        </w:rPr>
        <w:t xml:space="preserve"> </w:t>
      </w:r>
      <w:r>
        <w:rPr>
          <w:rFonts w:ascii="Arial" w:cs="Arial" w:eastAsia="Arial" w:hAnsi="Arial"/>
          <w:sz w:val="18"/>
          <w:szCs w:val="18"/>
          <w:i w:val="1"/>
          <w:iCs w:val="1"/>
          <w:color w:val="auto"/>
        </w:rPr>
        <w:t xml:space="preserve">in the future may continue to be, adversely affected by numerous events, circumstances or government actions beyond our control” </w:t>
      </w:r>
      <w:r>
        <w:rPr>
          <w:rFonts w:ascii="Arial" w:cs="Arial" w:eastAsia="Arial" w:hAnsi="Arial"/>
          <w:sz w:val="18"/>
          <w:szCs w:val="18"/>
          <w:color w:val="auto"/>
        </w:rPr>
        <w:t>for</w:t>
      </w:r>
      <w:r>
        <w:rPr>
          <w:rFonts w:ascii="Arial" w:cs="Arial" w:eastAsia="Arial" w:hAnsi="Arial"/>
          <w:sz w:val="18"/>
          <w:szCs w:val="18"/>
          <w:i w:val="1"/>
          <w:iCs w:val="1"/>
          <w:color w:val="auto"/>
        </w:rPr>
        <w:t xml:space="preserve"> </w:t>
      </w:r>
      <w:r>
        <w:rPr>
          <w:rFonts w:ascii="Arial" w:cs="Arial" w:eastAsia="Arial" w:hAnsi="Arial"/>
          <w:sz w:val="18"/>
          <w:szCs w:val="18"/>
          <w:color w:val="auto"/>
        </w:rPr>
        <w:t>additional discussion of this and other currency risks.</w:t>
      </w:r>
    </w:p>
    <w:p>
      <w:pPr>
        <w:spacing w:after="0" w:line="21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Interest</w:t>
      </w:r>
    </w:p>
    <w:p>
      <w:pPr>
        <w:spacing w:after="0" w:line="112" w:lineRule="exact"/>
        <w:rPr>
          <w:sz w:val="20"/>
          <w:szCs w:val="20"/>
          <w:color w:val="auto"/>
        </w:rPr>
      </w:pPr>
    </w:p>
    <w:p>
      <w:pPr>
        <w:jc w:val="both"/>
        <w:ind w:right="20" w:firstLine="216"/>
        <w:spacing w:after="0" w:line="262" w:lineRule="auto"/>
        <w:rPr>
          <w:sz w:val="20"/>
          <w:szCs w:val="20"/>
          <w:color w:val="auto"/>
        </w:rPr>
      </w:pPr>
      <w:r>
        <w:rPr>
          <w:rFonts w:ascii="Arial" w:cs="Arial" w:eastAsia="Arial" w:hAnsi="Arial"/>
          <w:sz w:val="18"/>
          <w:szCs w:val="18"/>
          <w:color w:val="auto"/>
        </w:rPr>
        <w:t>Our earnings and cash flow are affected by changes in interest rates due to the impact those changes have on our interest expense from variable-rate debt instruments and our interest income from short-term, interest bearing investments.</w:t>
      </w:r>
    </w:p>
    <w:p>
      <w:pPr>
        <w:spacing w:after="0" w:line="142" w:lineRule="exact"/>
        <w:rPr>
          <w:sz w:val="20"/>
          <w:szCs w:val="20"/>
          <w:color w:val="auto"/>
        </w:rPr>
      </w:pPr>
    </w:p>
    <w:p>
      <w:pPr>
        <w:jc w:val="both"/>
        <w:ind w:firstLine="216"/>
        <w:spacing w:after="0" w:line="252" w:lineRule="auto"/>
        <w:rPr>
          <w:sz w:val="20"/>
          <w:szCs w:val="20"/>
          <w:color w:val="auto"/>
        </w:rPr>
      </w:pPr>
      <w:r>
        <w:rPr>
          <w:rFonts w:ascii="Arial" w:cs="Arial" w:eastAsia="Arial" w:hAnsi="Arial"/>
          <w:sz w:val="18"/>
          <w:szCs w:val="18"/>
          <w:color w:val="auto"/>
        </w:rPr>
        <w:t>Our largest exposure with respect to variable-rate debt comes from changes in LIBOR. We had variable-rate debt instruments representing approximately 40% of our total long-term debt at December 31, 2019. We currently do not have an interest rate hedge program to hedge our exposure to floating interest rates on our variable-rate debt obligations. If annual interest rates increase 100 basis points, based on our December 31, 2019 variable-rate debt and short-term investments balances, annual interest expense on variable-rate debt would increase by approximately $95 million and annual interest income on short-term investments would increase by approximately $40 million. Additionally, the fair value of fixed-rate debt would have decreased by approximately $600 million for AAG and $580 million for American.</w:t>
      </w:r>
    </w:p>
    <w:p>
      <w:pPr>
        <w:spacing w:after="0" w:line="155" w:lineRule="exact"/>
        <w:rPr>
          <w:sz w:val="20"/>
          <w:szCs w:val="20"/>
          <w:color w:val="auto"/>
        </w:rPr>
      </w:pPr>
    </w:p>
    <w:p>
      <w:pPr>
        <w:jc w:val="both"/>
        <w:ind w:firstLine="216"/>
        <w:spacing w:after="0" w:line="251" w:lineRule="auto"/>
        <w:rPr>
          <w:sz w:val="20"/>
          <w:szCs w:val="20"/>
          <w:color w:val="auto"/>
        </w:rPr>
      </w:pPr>
      <w:r>
        <w:rPr>
          <w:rFonts w:ascii="Arial" w:cs="Arial" w:eastAsia="Arial" w:hAnsi="Arial"/>
          <w:sz w:val="18"/>
          <w:szCs w:val="18"/>
          <w:color w:val="auto"/>
        </w:rPr>
        <w:t>On July 27, 2017, the U.K. Financial Conduct Authority (the authority that regulates LIBOR) announced that it intends to stop compelling banks to submit rates for the calculation of LIBOR after 2021. It is unclear whether new methods of calculating LIBOR will be established such that it continues to exist after 2021. Similarly, it is not possible to predict whether LIBOR will continue to be viewed as an acceptable market benchmark, what rate or rates may become acceptable alternatives to LIBOR, or what effect these changes in views or alternatives may have on financial markets for LIBOR-linked financial instruments. While the U.S. Federal Reserve, in conjunction with the Alternative Reference Rates Committee, is considering replacing U.S. dollar LIBOR with a newly created index, calculated based on repurchase agreements backed by treasury securities, we cannot currently predict whether this index will gain widespread acceptance as a replacement for LIBOR. It is not possible to predict the effect of these changes, other reforms or the establishment of alternative reference rates in the United Kingdom, the United States or elsewhere.</w:t>
      </w:r>
    </w:p>
    <w:p>
      <w:pPr>
        <w:spacing w:after="0" w:line="159" w:lineRule="exact"/>
        <w:rPr>
          <w:sz w:val="20"/>
          <w:szCs w:val="20"/>
          <w:color w:val="auto"/>
        </w:rPr>
      </w:pPr>
    </w:p>
    <w:p>
      <w:pPr>
        <w:jc w:val="both"/>
        <w:ind w:firstLine="216"/>
        <w:spacing w:after="0" w:line="254" w:lineRule="auto"/>
        <w:rPr>
          <w:sz w:val="20"/>
          <w:szCs w:val="20"/>
          <w:color w:val="auto"/>
        </w:rPr>
      </w:pPr>
      <w:r>
        <w:rPr>
          <w:rFonts w:ascii="Arial" w:cs="Arial" w:eastAsia="Arial" w:hAnsi="Arial"/>
          <w:sz w:val="18"/>
          <w:szCs w:val="18"/>
          <w:color w:val="auto"/>
        </w:rPr>
        <w:t>We may in the future pursue amendments to our LIBOR-based debt transactions to provide for a transaction mechanism or other reference rate in anticipation of LIBOR’s discontinuation, but we may not be able to reach agreement with our lenders on any such amendments. As of December 31, 2019, we had $9.6 billion of borrowings based on LIBOR. The replacement of LIBOR with a comparable or successor rate could cause the amount of interest payable on our long-term debt to be different or higher than expected.</w:t>
      </w:r>
    </w:p>
    <w:p>
      <w:pPr>
        <w:spacing w:after="0" w:line="20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69</w:t>
      </w:r>
    </w:p>
    <w:p>
      <w:pPr>
        <w:sectPr>
          <w:pgSz w:w="11900" w:h="16838" w:orient="portrait"/>
          <w:cols w:equalWidth="0" w:num="1">
            <w:col w:w="11420"/>
          </w:cols>
          <w:pgMar w:left="240" w:top="733" w:right="239" w:bottom="1440" w:gutter="0" w:footer="0" w:header="0"/>
        </w:sectPr>
      </w:pPr>
    </w:p>
    <w:bookmarkStart w:id="69" w:name="page70"/>
    <w:bookmarkEnd w:id="69"/>
    <w:p>
      <w:pPr>
        <w:spacing w:after="0"/>
        <w:rPr>
          <w:sz w:val="20"/>
          <w:szCs w:val="20"/>
          <w:color w:val="auto"/>
        </w:rPr>
      </w:pPr>
      <w:r>
        <w:rPr>
          <w:rFonts w:ascii="Arial" w:cs="Arial" w:eastAsia="Arial" w:hAnsi="Arial"/>
          <w:sz w:val="18"/>
          <w:szCs w:val="18"/>
          <w:b w:val="1"/>
          <w:bCs w:val="1"/>
          <w:color w:val="auto"/>
        </w:rPr>
        <w:t>ITEM 8A. CONSOLIDATED FINANCIAL STATEMENTS AND SUPPLEMENTARY DATA OF AMERICAN AIRLINES GROUP INC.</w:t>
      </w:r>
    </w:p>
    <w:p>
      <w:pPr>
        <w:spacing w:after="0" w:line="171" w:lineRule="exact"/>
        <w:rPr>
          <w:sz w:val="20"/>
          <w:szCs w:val="20"/>
          <w:color w:val="auto"/>
        </w:rPr>
      </w:pPr>
    </w:p>
    <w:p>
      <w:pPr>
        <w:ind w:left="3220"/>
        <w:spacing w:after="0"/>
        <w:rPr>
          <w:sz w:val="20"/>
          <w:szCs w:val="20"/>
          <w:color w:val="auto"/>
        </w:rPr>
      </w:pPr>
      <w:r>
        <w:rPr>
          <w:rFonts w:ascii="Arial" w:cs="Arial" w:eastAsia="Arial" w:hAnsi="Arial"/>
          <w:sz w:val="18"/>
          <w:szCs w:val="18"/>
          <w:b w:val="1"/>
          <w:bCs w:val="1"/>
          <w:color w:val="auto"/>
        </w:rPr>
        <w:t>Report of Independent Registered Public Accounting Firm</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color w:val="auto"/>
        </w:rPr>
        <w:t>To the Stockholders and Board of Directors</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American Airlines Group Inc.:</w:t>
      </w:r>
    </w:p>
    <w:p>
      <w:pPr>
        <w:spacing w:after="0" w:line="23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Opinion on the Consolidated Financial Statements</w:t>
      </w:r>
    </w:p>
    <w:p>
      <w:pPr>
        <w:spacing w:after="0" w:line="108" w:lineRule="exact"/>
        <w:rPr>
          <w:sz w:val="20"/>
          <w:szCs w:val="20"/>
          <w:color w:val="auto"/>
        </w:rPr>
      </w:pPr>
    </w:p>
    <w:p>
      <w:pPr>
        <w:jc w:val="both"/>
        <w:spacing w:after="0" w:line="252" w:lineRule="auto"/>
        <w:rPr>
          <w:sz w:val="20"/>
          <w:szCs w:val="20"/>
          <w:color w:val="auto"/>
        </w:rPr>
      </w:pPr>
      <w:r>
        <w:rPr>
          <w:rFonts w:ascii="Arial" w:cs="Arial" w:eastAsia="Arial" w:hAnsi="Arial"/>
          <w:sz w:val="18"/>
          <w:szCs w:val="18"/>
          <w:color w:val="auto"/>
        </w:rPr>
        <w:t>We have audited the accompanying consolidated balance sheets of American Airlines Group Inc. and subsidiaries (the Company) as of December 31, 2019 and 2018, the related consolidated statements of operations, comprehensive income, cash flows, and stockholders’ equity (deficit) for each of the years in the three-year period ended December 31, 2019, and the related notes (collectively, the consolidated financial statements). In our opinion, the consolidated financial statements present fairly, in all material respects, the financial position of the Company as of December 31, 2019 and 2018, and the results of its operations and its cash flows for each of the years in the three-year period ended December 31, 2019, in conformity with U.S. generally accepted accounting principles.</w:t>
      </w:r>
    </w:p>
    <w:p>
      <w:pPr>
        <w:spacing w:after="0" w:line="155"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 xml:space="preserve">We also have audited, in accordance with the standards of the Public Company Accounting Oversight Board (United States) (PCAOB), the Company’s internal control over financial reporting as of December 31, 2019, based on criteria established in </w:t>
      </w:r>
      <w:r>
        <w:rPr>
          <w:rFonts w:ascii="Arial" w:cs="Arial" w:eastAsia="Arial" w:hAnsi="Arial"/>
          <w:sz w:val="18"/>
          <w:szCs w:val="18"/>
          <w:i w:val="1"/>
          <w:iCs w:val="1"/>
          <w:color w:val="auto"/>
        </w:rPr>
        <w:t>Internal Control</w:t>
      </w:r>
      <w:r>
        <w:rPr>
          <w:rFonts w:ascii="Arial" w:cs="Arial" w:eastAsia="Arial" w:hAnsi="Arial"/>
          <w:sz w:val="18"/>
          <w:szCs w:val="18"/>
          <w:color w:val="auto"/>
        </w:rPr>
        <w:t xml:space="preserve"> – </w:t>
      </w:r>
      <w:r>
        <w:rPr>
          <w:rFonts w:ascii="Arial" w:cs="Arial" w:eastAsia="Arial" w:hAnsi="Arial"/>
          <w:sz w:val="18"/>
          <w:szCs w:val="18"/>
          <w:i w:val="1"/>
          <w:iCs w:val="1"/>
          <w:color w:val="auto"/>
        </w:rPr>
        <w:t>Integrated</w:t>
      </w:r>
      <w:r>
        <w:rPr>
          <w:rFonts w:ascii="Arial" w:cs="Arial" w:eastAsia="Arial" w:hAnsi="Arial"/>
          <w:sz w:val="18"/>
          <w:szCs w:val="18"/>
          <w:color w:val="auto"/>
        </w:rPr>
        <w:t xml:space="preserve"> </w:t>
      </w:r>
      <w:r>
        <w:rPr>
          <w:rFonts w:ascii="Arial" w:cs="Arial" w:eastAsia="Arial" w:hAnsi="Arial"/>
          <w:sz w:val="18"/>
          <w:szCs w:val="18"/>
          <w:i w:val="1"/>
          <w:iCs w:val="1"/>
          <w:color w:val="auto"/>
        </w:rPr>
        <w:t xml:space="preserve">Framework (2013) </w:t>
      </w:r>
      <w:r>
        <w:rPr>
          <w:rFonts w:ascii="Arial" w:cs="Arial" w:eastAsia="Arial" w:hAnsi="Arial"/>
          <w:sz w:val="18"/>
          <w:szCs w:val="18"/>
          <w:color w:val="auto"/>
        </w:rPr>
        <w:t>issued by the Committee of Sponsoring Organizations of the Treadway Commission, and our report dated February 19,</w:t>
      </w:r>
      <w:r>
        <w:rPr>
          <w:rFonts w:ascii="Arial" w:cs="Arial" w:eastAsia="Arial" w:hAnsi="Arial"/>
          <w:sz w:val="18"/>
          <w:szCs w:val="18"/>
          <w:i w:val="1"/>
          <w:iCs w:val="1"/>
          <w:color w:val="auto"/>
        </w:rPr>
        <w:t xml:space="preserve"> </w:t>
      </w:r>
      <w:r>
        <w:rPr>
          <w:rFonts w:ascii="Arial" w:cs="Arial" w:eastAsia="Arial" w:hAnsi="Arial"/>
          <w:sz w:val="18"/>
          <w:szCs w:val="18"/>
          <w:color w:val="auto"/>
        </w:rPr>
        <w:t>2020 expressed an unqualified opinion on the effectiveness of the Company’s internal control over financial reporting.</w:t>
      </w:r>
    </w:p>
    <w:p>
      <w:pPr>
        <w:spacing w:after="0" w:line="21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Change in Accounting Principle</w:t>
      </w:r>
    </w:p>
    <w:p>
      <w:pPr>
        <w:spacing w:after="0" w:line="108" w:lineRule="exact"/>
        <w:rPr>
          <w:sz w:val="20"/>
          <w:szCs w:val="20"/>
          <w:color w:val="auto"/>
        </w:rPr>
      </w:pPr>
    </w:p>
    <w:p>
      <w:pPr>
        <w:jc w:val="both"/>
        <w:spacing w:after="0" w:line="262" w:lineRule="auto"/>
        <w:rPr>
          <w:sz w:val="20"/>
          <w:szCs w:val="20"/>
          <w:color w:val="auto"/>
        </w:rPr>
      </w:pPr>
      <w:r>
        <w:rPr>
          <w:rFonts w:ascii="Arial" w:cs="Arial" w:eastAsia="Arial" w:hAnsi="Arial"/>
          <w:sz w:val="18"/>
          <w:szCs w:val="18"/>
          <w:color w:val="auto"/>
        </w:rPr>
        <w:t>As discussed in Note 1 to the consolidated financial statements, the Company has changed its method of accounting for leases as of January 1, 2018 due to the modified retrospective adoption of Accounting Standards Update 2016-02, Leases (Topic 842), as amended.</w:t>
      </w:r>
    </w:p>
    <w:p>
      <w:pPr>
        <w:spacing w:after="0" w:line="20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Basis for Opinion</w:t>
      </w:r>
    </w:p>
    <w:p>
      <w:pPr>
        <w:spacing w:after="0" w:line="108"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These consolidated financial statements are the responsibility of the Company’s management. Our responsibility is to express an opinion on these consolidated financial statements based on our audits. We are a public accounting firm registered with the PCAOB and are required to be independent with respect to the Company in accordance with the U.S. federal securities laws and the applicable rules and regulations of the Securities and Exchange Commission and the PCAOB.</w:t>
      </w:r>
    </w:p>
    <w:p>
      <w:pPr>
        <w:spacing w:after="0" w:line="150" w:lineRule="exact"/>
        <w:rPr>
          <w:sz w:val="20"/>
          <w:szCs w:val="20"/>
          <w:color w:val="auto"/>
        </w:rPr>
      </w:pPr>
    </w:p>
    <w:p>
      <w:pPr>
        <w:jc w:val="both"/>
        <w:spacing w:after="0" w:line="252" w:lineRule="auto"/>
        <w:rPr>
          <w:sz w:val="20"/>
          <w:szCs w:val="20"/>
          <w:color w:val="auto"/>
        </w:rPr>
      </w:pPr>
      <w:r>
        <w:rPr>
          <w:rFonts w:ascii="Arial" w:cs="Arial" w:eastAsia="Arial" w:hAnsi="Arial"/>
          <w:sz w:val="18"/>
          <w:szCs w:val="18"/>
          <w:color w:val="auto"/>
        </w:rPr>
        <w:t>We conducted our audits in accordance with the standards of the PCAOB. Those standards require that we plan and perform the audit to obtain reasonable assurance about whether the consolidated financial statements are free of material misstatement, whether due to error or fraud. Our audits included performing procedures to assess the risks of material misstatement of the consolidated financial statements, whether due to error or fraud, and performing procedures that respond to those risks. Such procedures included examining, on a test basis, evidence regarding the amounts and disclosures in the consolidated financial statements. Our audits also included evaluating the accounting principles used and significant estimates made by management, as well as evaluating the overall presentation of the consolidated financial statements. We believe that our audits provide a reasonable basis for our opinion.</w:t>
      </w:r>
    </w:p>
    <w:p>
      <w:pPr>
        <w:spacing w:after="0" w:line="20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70</w:t>
      </w:r>
    </w:p>
    <w:p>
      <w:pPr>
        <w:sectPr>
          <w:pgSz w:w="11900" w:h="16838" w:orient="portrait"/>
          <w:cols w:equalWidth="0" w:num="1">
            <w:col w:w="11420"/>
          </w:cols>
          <w:pgMar w:left="240" w:top="549" w:right="239" w:bottom="1440" w:gutter="0" w:footer="0" w:header="0"/>
        </w:sectPr>
      </w:pPr>
    </w:p>
    <w:bookmarkStart w:id="70" w:name="page71"/>
    <w:bookmarkEnd w:id="70"/>
    <w:p>
      <w:pPr>
        <w:spacing w:after="0"/>
        <w:rPr>
          <w:sz w:val="20"/>
          <w:szCs w:val="20"/>
          <w:color w:val="auto"/>
        </w:rPr>
      </w:pPr>
      <w:r>
        <w:rPr>
          <w:rFonts w:ascii="Arial" w:cs="Arial" w:eastAsia="Arial" w:hAnsi="Arial"/>
          <w:sz w:val="18"/>
          <w:szCs w:val="18"/>
          <w:i w:val="1"/>
          <w:iCs w:val="1"/>
          <w:color w:val="auto"/>
        </w:rPr>
        <w:t>Critical Audit Matters</w:t>
      </w:r>
    </w:p>
    <w:p>
      <w:pPr>
        <w:spacing w:after="0" w:line="108" w:lineRule="exact"/>
        <w:rPr>
          <w:sz w:val="20"/>
          <w:szCs w:val="20"/>
          <w:color w:val="auto"/>
        </w:rPr>
      </w:pPr>
    </w:p>
    <w:p>
      <w:pPr>
        <w:jc w:val="both"/>
        <w:spacing w:after="0" w:line="252" w:lineRule="auto"/>
        <w:rPr>
          <w:sz w:val="20"/>
          <w:szCs w:val="20"/>
          <w:color w:val="auto"/>
        </w:rPr>
      </w:pPr>
      <w:r>
        <w:rPr>
          <w:rFonts w:ascii="Arial" w:cs="Arial" w:eastAsia="Arial" w:hAnsi="Arial"/>
          <w:sz w:val="18"/>
          <w:szCs w:val="18"/>
          <w:color w:val="auto"/>
        </w:rPr>
        <w:t>The critical audit matters communicated below are matters arising from the current period audit of the consolidated financial statements that were communicated or required to be communicated to the audit committee and that: (1) relate to accounts or disclosures that are material to the consolidated financial statements and (2) involved our especially challenging, subjective, or complex judgments. The communication of critical audit matters does not alter in any way our opinion on the consolidated financial statements, taken as a whole, and we are not, by communicating the critical audit matters below, providing separate opinions on the critical audit matters or on the accounts or disclosures to which they relate.</w:t>
      </w:r>
    </w:p>
    <w:p>
      <w:pPr>
        <w:spacing w:after="0" w:line="218" w:lineRule="exact"/>
        <w:rPr>
          <w:sz w:val="20"/>
          <w:szCs w:val="20"/>
          <w:color w:val="auto"/>
        </w:rPr>
      </w:pPr>
    </w:p>
    <w:p>
      <w:pPr>
        <w:ind w:left="340"/>
        <w:spacing w:after="0"/>
        <w:rPr>
          <w:sz w:val="20"/>
          <w:szCs w:val="20"/>
          <w:color w:val="auto"/>
        </w:rPr>
      </w:pPr>
      <w:r>
        <w:rPr>
          <w:rFonts w:ascii="Arial" w:cs="Arial" w:eastAsia="Arial" w:hAnsi="Arial"/>
          <w:sz w:val="18"/>
          <w:szCs w:val="18"/>
          <w:i w:val="1"/>
          <w:iCs w:val="1"/>
          <w:color w:val="auto"/>
        </w:rPr>
        <w:t>Evaluation of estimated passenger travel revenue</w:t>
      </w:r>
    </w:p>
    <w:p>
      <w:pPr>
        <w:spacing w:after="0" w:line="108" w:lineRule="exact"/>
        <w:rPr>
          <w:sz w:val="20"/>
          <w:szCs w:val="20"/>
          <w:color w:val="auto"/>
        </w:rPr>
      </w:pPr>
    </w:p>
    <w:p>
      <w:pPr>
        <w:jc w:val="both"/>
        <w:ind w:left="340"/>
        <w:spacing w:after="0" w:line="254" w:lineRule="auto"/>
        <w:rPr>
          <w:sz w:val="20"/>
          <w:szCs w:val="20"/>
          <w:color w:val="auto"/>
        </w:rPr>
      </w:pPr>
      <w:r>
        <w:rPr>
          <w:rFonts w:ascii="Arial" w:cs="Arial" w:eastAsia="Arial" w:hAnsi="Arial"/>
          <w:sz w:val="18"/>
          <w:szCs w:val="18"/>
          <w:color w:val="auto"/>
        </w:rPr>
        <w:t>As discussed in Note 1(k) to the consolidated financial statements, the Company recorded passenger travel revenue of $38.8 billion for the year ended December 31, 2019. Passenger travel revenue includes an estimate for the amount of revenue recognized for tickets that will expire unused in whole or in part. The percentage of passenger tickets that are expected to expire unused is estimated based on an analysis of the Company’s historical data.</w:t>
      </w:r>
    </w:p>
    <w:p>
      <w:pPr>
        <w:spacing w:after="0" w:line="150" w:lineRule="exact"/>
        <w:rPr>
          <w:sz w:val="20"/>
          <w:szCs w:val="20"/>
          <w:color w:val="auto"/>
        </w:rPr>
      </w:pPr>
    </w:p>
    <w:p>
      <w:pPr>
        <w:jc w:val="both"/>
        <w:ind w:left="340" w:right="20"/>
        <w:spacing w:after="0" w:line="262" w:lineRule="auto"/>
        <w:rPr>
          <w:sz w:val="20"/>
          <w:szCs w:val="20"/>
          <w:color w:val="auto"/>
        </w:rPr>
      </w:pPr>
      <w:r>
        <w:rPr>
          <w:rFonts w:ascii="Arial" w:cs="Arial" w:eastAsia="Arial" w:hAnsi="Arial"/>
          <w:sz w:val="18"/>
          <w:szCs w:val="18"/>
          <w:color w:val="auto"/>
        </w:rPr>
        <w:t>We identified the evaluation of estimated passenger travel revenue as a critical audit matter. A high degree of auditor judgment was required to assess the underlying assumption made by the Company to develop this estimate.</w:t>
      </w:r>
    </w:p>
    <w:p>
      <w:pPr>
        <w:spacing w:after="0" w:line="142" w:lineRule="exact"/>
        <w:rPr>
          <w:sz w:val="20"/>
          <w:szCs w:val="20"/>
          <w:color w:val="auto"/>
        </w:rPr>
      </w:pPr>
    </w:p>
    <w:p>
      <w:pPr>
        <w:jc w:val="both"/>
        <w:ind w:left="340"/>
        <w:spacing w:after="0" w:line="252" w:lineRule="auto"/>
        <w:rPr>
          <w:sz w:val="20"/>
          <w:szCs w:val="20"/>
          <w:color w:val="auto"/>
        </w:rPr>
      </w:pPr>
      <w:r>
        <w:rPr>
          <w:rFonts w:ascii="Arial" w:cs="Arial" w:eastAsia="Arial" w:hAnsi="Arial"/>
          <w:sz w:val="18"/>
          <w:szCs w:val="18"/>
          <w:color w:val="auto"/>
        </w:rPr>
        <w:t>The primary procedures we performed to address this critical audit matter included the following. We tested certain internal controls over the Company’s passenger revenue recognition process, including controls related to the estimation of the percentage of passenger tickets that are expected to expire unused. We assessed the Company’s estimate of the percentage of passenger tickets expected to expire unused by comparing previous years’ estimates to the actual percentage of passenger tickets expired unused for the year. We evaluated the estimated amount of revenue recorded in the current year related to passenger tickets that are expected to expire unused by developing an independent expectation using actual historical ticket expirations. We compared our independent expectation to that of the Company.</w:t>
      </w:r>
    </w:p>
    <w:p>
      <w:pPr>
        <w:spacing w:after="0" w:line="216" w:lineRule="exact"/>
        <w:rPr>
          <w:sz w:val="20"/>
          <w:szCs w:val="20"/>
          <w:color w:val="auto"/>
        </w:rPr>
      </w:pPr>
    </w:p>
    <w:p>
      <w:pPr>
        <w:ind w:left="340"/>
        <w:spacing w:after="0"/>
        <w:rPr>
          <w:sz w:val="20"/>
          <w:szCs w:val="20"/>
          <w:color w:val="auto"/>
        </w:rPr>
      </w:pPr>
      <w:r>
        <w:rPr>
          <w:rFonts w:ascii="Arial" w:cs="Arial" w:eastAsia="Arial" w:hAnsi="Arial"/>
          <w:sz w:val="18"/>
          <w:szCs w:val="18"/>
          <w:i w:val="1"/>
          <w:iCs w:val="1"/>
          <w:color w:val="auto"/>
        </w:rPr>
        <w:t>Assessment of the estimated selling price for mileage credits earned through travel</w:t>
      </w:r>
    </w:p>
    <w:p>
      <w:pPr>
        <w:spacing w:after="0" w:line="108" w:lineRule="exact"/>
        <w:rPr>
          <w:sz w:val="20"/>
          <w:szCs w:val="20"/>
          <w:color w:val="auto"/>
        </w:rPr>
      </w:pPr>
    </w:p>
    <w:p>
      <w:pPr>
        <w:jc w:val="both"/>
        <w:ind w:left="340"/>
        <w:spacing w:after="0" w:line="252" w:lineRule="auto"/>
        <w:rPr>
          <w:sz w:val="20"/>
          <w:szCs w:val="20"/>
          <w:color w:val="auto"/>
        </w:rPr>
      </w:pPr>
      <w:r>
        <w:rPr>
          <w:rFonts w:ascii="Arial" w:cs="Arial" w:eastAsia="Arial" w:hAnsi="Arial"/>
          <w:sz w:val="18"/>
          <w:szCs w:val="18"/>
          <w:color w:val="auto"/>
        </w:rPr>
        <w:t>As discussed in Note 1(k) to the consolidated financial statements, the Company applies a relative selling price approach whereby the total amount collected from each applicable passenger ticket sale is allocated between the air transportation and the mileage credits earned. The mileage credits earned are deferred and recognized in passenger revenue at the time mileage credits are redeemed and transportation is provided. The Company estimates the selling price of mileage credits earned through travel using an approach based on inputs and assumptions derived from historical data. Additionally, an adjustment is made to the estimated selling price of mileage credits earned to account for the estimate of mileage credits not expected to be redeemed. The Company’s loyalty program liability was $8.6 billion as of December 31, 2019, and the associated passenger revenue for mileage credits redeemed for travel was $3.2 billion for the year ended December 31, 2019.</w:t>
      </w:r>
    </w:p>
    <w:p>
      <w:pPr>
        <w:spacing w:after="0" w:line="152" w:lineRule="exact"/>
        <w:rPr>
          <w:sz w:val="20"/>
          <w:szCs w:val="20"/>
          <w:color w:val="auto"/>
        </w:rPr>
      </w:pPr>
    </w:p>
    <w:p>
      <w:pPr>
        <w:jc w:val="both"/>
        <w:ind w:left="340"/>
        <w:spacing w:after="0" w:line="256" w:lineRule="auto"/>
        <w:rPr>
          <w:sz w:val="20"/>
          <w:szCs w:val="20"/>
          <w:color w:val="auto"/>
        </w:rPr>
      </w:pPr>
      <w:r>
        <w:rPr>
          <w:rFonts w:ascii="Arial" w:cs="Arial" w:eastAsia="Arial" w:hAnsi="Arial"/>
          <w:sz w:val="18"/>
          <w:szCs w:val="18"/>
          <w:color w:val="auto"/>
        </w:rPr>
        <w:t>We identified the assessment of the estimated selling price for mileage credits earned through travel, including the estimated number of mileage credits not expected to be redeemed, as a critical audit matter. A high degree of auditor judgment was required to evaluate the historical data used to develop the estimate.</w:t>
      </w:r>
    </w:p>
    <w:p>
      <w:pPr>
        <w:spacing w:after="0" w:line="148" w:lineRule="exact"/>
        <w:rPr>
          <w:sz w:val="20"/>
          <w:szCs w:val="20"/>
          <w:color w:val="auto"/>
        </w:rPr>
      </w:pPr>
    </w:p>
    <w:p>
      <w:pPr>
        <w:jc w:val="both"/>
        <w:ind w:left="340"/>
        <w:spacing w:after="0" w:line="252" w:lineRule="auto"/>
        <w:rPr>
          <w:sz w:val="20"/>
          <w:szCs w:val="20"/>
          <w:color w:val="auto"/>
        </w:rPr>
      </w:pPr>
      <w:r>
        <w:rPr>
          <w:rFonts w:ascii="Arial" w:cs="Arial" w:eastAsia="Arial" w:hAnsi="Arial"/>
          <w:sz w:val="18"/>
          <w:szCs w:val="18"/>
          <w:color w:val="auto"/>
        </w:rPr>
        <w:t>The primary procedures we performed to address this critical audit matter included the following. We tested certain internal controls over the Company’s loyalty program accounting process, including controls related to the estimation of the selling price for mileage credits earned through travel. We evaluated that the Company’s methodology used to develop the estimated selling price of mileage credits earned through travel, including estimated mileage credits not expected to be redeemed, was consistent with that of historical periods. We performed sensitivity analyses over the estimated selling price of mileage credits earned through travel, including estimated mileage credits not expected to be redeemed. We assessed the results of the sensitivity analyses to the Company’s recorded amount of loyalty program liability and the associated passenger revenue. We compared the Company’s estimate of mileage credits not expected to be redeemed to that of other airlines within the industry.</w:t>
      </w:r>
    </w:p>
    <w:p>
      <w:pPr>
        <w:spacing w:after="0" w:line="200" w:lineRule="exact"/>
        <w:rPr>
          <w:sz w:val="20"/>
          <w:szCs w:val="20"/>
          <w:color w:val="auto"/>
        </w:rPr>
      </w:pPr>
    </w:p>
    <w:p>
      <w:pPr>
        <w:spacing w:after="0" w:line="344" w:lineRule="exact"/>
        <w:rPr>
          <w:sz w:val="20"/>
          <w:szCs w:val="20"/>
          <w:color w:val="auto"/>
        </w:rPr>
      </w:pPr>
    </w:p>
    <w:p>
      <w:pPr>
        <w:ind w:left="5740"/>
        <w:spacing w:after="0"/>
        <w:tabs>
          <w:tab w:leader="none" w:pos="6100" w:val="left"/>
        </w:tabs>
        <w:rPr>
          <w:sz w:val="20"/>
          <w:szCs w:val="20"/>
          <w:color w:val="auto"/>
        </w:rPr>
      </w:pPr>
      <w:r>
        <w:rPr>
          <w:rFonts w:ascii="Arial" w:cs="Arial" w:eastAsia="Arial" w:hAnsi="Arial"/>
          <w:sz w:val="18"/>
          <w:szCs w:val="18"/>
          <w:color w:val="auto"/>
        </w:rPr>
        <w:t>/s/</w:t>
        <w:tab/>
        <w:t>KPMG LLP</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We have served as the Company’s auditor since 2014.</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color w:val="auto"/>
        </w:rPr>
        <w:t>Dallas, Texas</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February 19, 2020</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71</w:t>
      </w:r>
    </w:p>
    <w:p>
      <w:pPr>
        <w:sectPr>
          <w:pgSz w:w="11900" w:h="16838" w:orient="portrait"/>
          <w:cols w:equalWidth="0" w:num="1">
            <w:col w:w="11420"/>
          </w:cols>
          <w:pgMar w:left="240" w:top="796" w:right="239" w:bottom="1440" w:gutter="0" w:footer="0" w:header="0"/>
        </w:sectPr>
      </w:pPr>
    </w:p>
    <w:bookmarkStart w:id="71" w:name="page72"/>
    <w:bookmarkEnd w:id="71"/>
    <w:p>
      <w:pPr>
        <w:jc w:val="center"/>
        <w:spacing w:after="0"/>
        <w:rPr>
          <w:sz w:val="20"/>
          <w:szCs w:val="20"/>
          <w:color w:val="auto"/>
        </w:rPr>
      </w:pPr>
      <w:r>
        <w:rPr>
          <w:rFonts w:ascii="Arial" w:cs="Arial" w:eastAsia="Arial" w:hAnsi="Arial"/>
          <w:sz w:val="18"/>
          <w:szCs w:val="18"/>
          <w:b w:val="1"/>
          <w:bCs w:val="1"/>
          <w:color w:val="auto"/>
        </w:rPr>
        <w:t>AMERICAN AIRLINES GROUP INC.</w:t>
      </w:r>
    </w:p>
    <w:p>
      <w:pPr>
        <w:spacing w:after="0" w:line="31" w:lineRule="exact"/>
        <w:rPr>
          <w:sz w:val="20"/>
          <w:szCs w:val="20"/>
          <w:color w:val="auto"/>
        </w:rPr>
      </w:pPr>
    </w:p>
    <w:p>
      <w:pPr>
        <w:ind w:left="3620"/>
        <w:spacing w:after="0"/>
        <w:rPr>
          <w:sz w:val="20"/>
          <w:szCs w:val="20"/>
          <w:color w:val="auto"/>
        </w:rPr>
      </w:pPr>
      <w:r>
        <w:rPr>
          <w:rFonts w:ascii="Arial" w:cs="Arial" w:eastAsia="Arial" w:hAnsi="Arial"/>
          <w:sz w:val="18"/>
          <w:szCs w:val="18"/>
          <w:b w:val="1"/>
          <w:bCs w:val="1"/>
          <w:color w:val="auto"/>
        </w:rPr>
        <w:t>CONSOLIDATED STATEMENTS OF OPERATIONS</w:t>
      </w:r>
    </w:p>
    <w:p>
      <w:pPr>
        <w:spacing w:after="0" w:line="9" w:lineRule="exact"/>
        <w:rPr>
          <w:sz w:val="20"/>
          <w:szCs w:val="20"/>
          <w:color w:val="auto"/>
        </w:rPr>
      </w:pPr>
    </w:p>
    <w:p>
      <w:pPr>
        <w:ind w:left="3600"/>
        <w:spacing w:after="0"/>
        <w:rPr>
          <w:sz w:val="20"/>
          <w:szCs w:val="20"/>
          <w:color w:val="auto"/>
        </w:rPr>
      </w:pPr>
      <w:r>
        <w:rPr>
          <w:rFonts w:ascii="Arial" w:cs="Arial" w:eastAsia="Arial" w:hAnsi="Arial"/>
          <w:sz w:val="18"/>
          <w:szCs w:val="18"/>
          <w:b w:val="1"/>
          <w:bCs w:val="1"/>
          <w:color w:val="auto"/>
        </w:rPr>
        <w:t>(In millions, except share and per share amounts)</w:t>
      </w:r>
    </w:p>
    <w:p>
      <w:pPr>
        <w:spacing w:after="0" w:line="321" w:lineRule="exact"/>
        <w:rPr>
          <w:sz w:val="20"/>
          <w:szCs w:val="20"/>
          <w:color w:val="auto"/>
        </w:rPr>
      </w:pPr>
    </w:p>
    <w:tbl>
      <w:tblPr>
        <w:tblLayout w:type="fixed"/>
        <w:tblInd w:w="0" w:type="dxa"/>
        <w:tblCellMar>
          <w:top w:w="0" w:type="dxa"/>
          <w:left w:w="0" w:type="dxa"/>
          <w:bottom w:w="0" w:type="dxa"/>
          <w:right w:w="0" w:type="dxa"/>
        </w:tblCellMar>
      </w:tblPr>
      <w:tr>
        <w:trPr>
          <w:trHeight w:val="196"/>
        </w:trPr>
        <w:tc>
          <w:tcPr>
            <w:tcW w:w="6380" w:type="dxa"/>
            <w:vAlign w:val="bottom"/>
          </w:tcPr>
          <w:p>
            <w:pPr>
              <w:spacing w:after="0"/>
              <w:rPr>
                <w:sz w:val="17"/>
                <w:szCs w:val="17"/>
                <w:color w:val="auto"/>
              </w:rPr>
            </w:pPr>
          </w:p>
        </w:tc>
        <w:tc>
          <w:tcPr>
            <w:tcW w:w="380" w:type="dxa"/>
            <w:vAlign w:val="bottom"/>
            <w:tcBorders>
              <w:bottom w:val="single" w:sz="8" w:color="auto"/>
            </w:tcBorders>
          </w:tcPr>
          <w:p>
            <w:pPr>
              <w:spacing w:after="0"/>
              <w:rPr>
                <w:sz w:val="17"/>
                <w:szCs w:val="17"/>
                <w:color w:val="auto"/>
              </w:rPr>
            </w:pPr>
          </w:p>
        </w:tc>
        <w:tc>
          <w:tcPr>
            <w:tcW w:w="1220" w:type="dxa"/>
            <w:vAlign w:val="bottom"/>
            <w:tcBorders>
              <w:bottom w:val="single" w:sz="8" w:color="auto"/>
            </w:tcBorders>
          </w:tcPr>
          <w:p>
            <w:pPr>
              <w:spacing w:after="0"/>
              <w:rPr>
                <w:sz w:val="17"/>
                <w:szCs w:val="17"/>
                <w:color w:val="auto"/>
              </w:rPr>
            </w:pPr>
          </w:p>
        </w:tc>
        <w:tc>
          <w:tcPr>
            <w:tcW w:w="1840" w:type="dxa"/>
            <w:vAlign w:val="bottom"/>
            <w:tcBorders>
              <w:bottom w:val="single" w:sz="8" w:color="auto"/>
            </w:tcBorders>
            <w:gridSpan w:val="4"/>
          </w:tcPr>
          <w:p>
            <w:pPr>
              <w:ind w:left="60"/>
              <w:spacing w:after="0"/>
              <w:rPr>
                <w:sz w:val="20"/>
                <w:szCs w:val="20"/>
                <w:color w:val="auto"/>
              </w:rPr>
            </w:pPr>
            <w:r>
              <w:rPr>
                <w:rFonts w:ascii="Arial" w:cs="Arial" w:eastAsia="Arial" w:hAnsi="Arial"/>
                <w:sz w:val="14"/>
                <w:szCs w:val="14"/>
                <w:b w:val="1"/>
                <w:bCs w:val="1"/>
                <w:color w:val="auto"/>
              </w:rPr>
              <w:t>Year Ended December 31,</w:t>
            </w:r>
          </w:p>
        </w:tc>
        <w:tc>
          <w:tcPr>
            <w:tcW w:w="380" w:type="dxa"/>
            <w:vAlign w:val="bottom"/>
            <w:tcBorders>
              <w:bottom w:val="single" w:sz="8" w:color="auto"/>
            </w:tcBorders>
          </w:tcPr>
          <w:p>
            <w:pPr>
              <w:spacing w:after="0"/>
              <w:rPr>
                <w:sz w:val="17"/>
                <w:szCs w:val="17"/>
                <w:color w:val="auto"/>
              </w:rPr>
            </w:pPr>
          </w:p>
        </w:tc>
        <w:tc>
          <w:tcPr>
            <w:tcW w:w="1220" w:type="dxa"/>
            <w:vAlign w:val="bottom"/>
            <w:tcBorders>
              <w:bottom w:val="single" w:sz="8" w:color="auto"/>
            </w:tcBorders>
          </w:tcPr>
          <w:p>
            <w:pPr>
              <w:spacing w:after="0"/>
              <w:rPr>
                <w:sz w:val="17"/>
                <w:szCs w:val="17"/>
                <w:color w:val="auto"/>
              </w:rPr>
            </w:pPr>
          </w:p>
        </w:tc>
      </w:tr>
      <w:tr>
        <w:trPr>
          <w:trHeight w:val="264"/>
        </w:trPr>
        <w:tc>
          <w:tcPr>
            <w:tcW w:w="6380" w:type="dxa"/>
            <w:vAlign w:val="bottom"/>
            <w:tcBorders>
              <w:bottom w:val="single" w:sz="8" w:color="CCEEFF"/>
            </w:tcBorders>
          </w:tcPr>
          <w:p>
            <w:pPr>
              <w:spacing w:after="0"/>
              <w:rPr>
                <w:sz w:val="22"/>
                <w:szCs w:val="22"/>
                <w:color w:val="auto"/>
              </w:rPr>
            </w:pPr>
          </w:p>
        </w:tc>
        <w:tc>
          <w:tcPr>
            <w:tcW w:w="380" w:type="dxa"/>
            <w:vAlign w:val="bottom"/>
            <w:tcBorders>
              <w:bottom w:val="single" w:sz="8" w:color="auto"/>
            </w:tcBorders>
          </w:tcPr>
          <w:p>
            <w:pPr>
              <w:spacing w:after="0"/>
              <w:rPr>
                <w:sz w:val="22"/>
                <w:szCs w:val="22"/>
                <w:color w:val="auto"/>
              </w:rPr>
            </w:pPr>
          </w:p>
        </w:tc>
        <w:tc>
          <w:tcPr>
            <w:tcW w:w="1220" w:type="dxa"/>
            <w:vAlign w:val="bottom"/>
            <w:tcBorders>
              <w:bottom w:val="single" w:sz="8" w:color="auto"/>
            </w:tcBorders>
          </w:tcPr>
          <w:p>
            <w:pPr>
              <w:jc w:val="right"/>
              <w:ind w:right="551"/>
              <w:spacing w:after="0"/>
              <w:rPr>
                <w:sz w:val="20"/>
                <w:szCs w:val="20"/>
                <w:color w:val="auto"/>
              </w:rPr>
            </w:pPr>
            <w:r>
              <w:rPr>
                <w:rFonts w:ascii="Arial" w:cs="Arial" w:eastAsia="Arial" w:hAnsi="Arial"/>
                <w:sz w:val="14"/>
                <w:szCs w:val="14"/>
                <w:b w:val="1"/>
                <w:bCs w:val="1"/>
                <w:color w:val="auto"/>
              </w:rPr>
              <w:t>2019</w:t>
            </w:r>
          </w:p>
        </w:tc>
        <w:tc>
          <w:tcPr>
            <w:tcW w:w="120" w:type="dxa"/>
            <w:vAlign w:val="bottom"/>
            <w:tcBorders>
              <w:bottom w:val="single" w:sz="8" w:color="auto"/>
            </w:tcBorders>
          </w:tcPr>
          <w:p>
            <w:pPr>
              <w:spacing w:after="0"/>
              <w:rPr>
                <w:sz w:val="22"/>
                <w:szCs w:val="22"/>
                <w:color w:val="auto"/>
              </w:rPr>
            </w:pPr>
          </w:p>
        </w:tc>
        <w:tc>
          <w:tcPr>
            <w:tcW w:w="380" w:type="dxa"/>
            <w:vAlign w:val="bottom"/>
            <w:tcBorders>
              <w:bottom w:val="single" w:sz="8" w:color="auto"/>
            </w:tcBorders>
          </w:tcPr>
          <w:p>
            <w:pPr>
              <w:spacing w:after="0"/>
              <w:rPr>
                <w:sz w:val="22"/>
                <w:szCs w:val="22"/>
                <w:color w:val="auto"/>
              </w:rPr>
            </w:pPr>
          </w:p>
        </w:tc>
        <w:tc>
          <w:tcPr>
            <w:tcW w:w="1220" w:type="dxa"/>
            <w:vAlign w:val="bottom"/>
            <w:tcBorders>
              <w:bottom w:val="single" w:sz="8" w:color="auto"/>
            </w:tcBorders>
          </w:tcPr>
          <w:p>
            <w:pPr>
              <w:jc w:val="right"/>
              <w:ind w:right="551"/>
              <w:spacing w:after="0"/>
              <w:rPr>
                <w:sz w:val="20"/>
                <w:szCs w:val="20"/>
                <w:color w:val="auto"/>
              </w:rPr>
            </w:pPr>
            <w:r>
              <w:rPr>
                <w:rFonts w:ascii="Arial" w:cs="Arial" w:eastAsia="Arial" w:hAnsi="Arial"/>
                <w:sz w:val="14"/>
                <w:szCs w:val="14"/>
                <w:b w:val="1"/>
                <w:bCs w:val="1"/>
                <w:color w:val="auto"/>
              </w:rPr>
              <w:t>2018</w:t>
            </w:r>
          </w:p>
        </w:tc>
        <w:tc>
          <w:tcPr>
            <w:tcW w:w="120" w:type="dxa"/>
            <w:vAlign w:val="bottom"/>
            <w:tcBorders>
              <w:bottom w:val="single" w:sz="8" w:color="auto"/>
            </w:tcBorders>
          </w:tcPr>
          <w:p>
            <w:pPr>
              <w:spacing w:after="0"/>
              <w:rPr>
                <w:sz w:val="22"/>
                <w:szCs w:val="22"/>
                <w:color w:val="auto"/>
              </w:rPr>
            </w:pPr>
          </w:p>
        </w:tc>
        <w:tc>
          <w:tcPr>
            <w:tcW w:w="380" w:type="dxa"/>
            <w:vAlign w:val="bottom"/>
            <w:tcBorders>
              <w:bottom w:val="single" w:sz="8" w:color="auto"/>
            </w:tcBorders>
          </w:tcPr>
          <w:p>
            <w:pPr>
              <w:spacing w:after="0"/>
              <w:rPr>
                <w:sz w:val="22"/>
                <w:szCs w:val="22"/>
                <w:color w:val="auto"/>
              </w:rPr>
            </w:pPr>
          </w:p>
        </w:tc>
        <w:tc>
          <w:tcPr>
            <w:tcW w:w="1220" w:type="dxa"/>
            <w:vAlign w:val="bottom"/>
            <w:tcBorders>
              <w:bottom w:val="single" w:sz="8" w:color="auto"/>
            </w:tcBorders>
          </w:tcPr>
          <w:p>
            <w:pPr>
              <w:jc w:val="right"/>
              <w:ind w:right="551"/>
              <w:spacing w:after="0"/>
              <w:rPr>
                <w:sz w:val="20"/>
                <w:szCs w:val="20"/>
                <w:color w:val="auto"/>
              </w:rPr>
            </w:pPr>
            <w:r>
              <w:rPr>
                <w:rFonts w:ascii="Arial" w:cs="Arial" w:eastAsia="Arial" w:hAnsi="Arial"/>
                <w:sz w:val="14"/>
                <w:szCs w:val="14"/>
                <w:b w:val="1"/>
                <w:bCs w:val="1"/>
                <w:color w:val="auto"/>
              </w:rPr>
              <w:t>2017</w:t>
            </w:r>
          </w:p>
        </w:tc>
      </w:tr>
      <w:tr>
        <w:trPr>
          <w:trHeight w:val="250"/>
        </w:trPr>
        <w:tc>
          <w:tcPr>
            <w:tcW w:w="63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Operating revenues:</w:t>
            </w:r>
          </w:p>
        </w:tc>
        <w:tc>
          <w:tcPr>
            <w:tcW w:w="38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spacing w:after="0"/>
              <w:rPr>
                <w:sz w:val="21"/>
                <w:szCs w:val="21"/>
                <w:color w:val="auto"/>
              </w:rPr>
            </w:pPr>
          </w:p>
        </w:tc>
      </w:tr>
      <w:tr>
        <w:trPr>
          <w:trHeight w:val="263"/>
        </w:trPr>
        <w:tc>
          <w:tcPr>
            <w:tcW w:w="6380" w:type="dxa"/>
            <w:vAlign w:val="bottom"/>
          </w:tcPr>
          <w:p>
            <w:pPr>
              <w:ind w:left="380"/>
              <w:spacing w:after="0"/>
              <w:rPr>
                <w:sz w:val="20"/>
                <w:szCs w:val="20"/>
                <w:color w:val="auto"/>
              </w:rPr>
            </w:pPr>
            <w:r>
              <w:rPr>
                <w:rFonts w:ascii="Arial" w:cs="Arial" w:eastAsia="Arial" w:hAnsi="Arial"/>
                <w:sz w:val="18"/>
                <w:szCs w:val="18"/>
                <w:color w:val="auto"/>
              </w:rPr>
              <w:t>Passenger</w:t>
            </w:r>
          </w:p>
        </w:tc>
        <w:tc>
          <w:tcPr>
            <w:tcW w:w="380" w:type="dxa"/>
            <w:vAlign w:val="bottom"/>
          </w:tcPr>
          <w:p>
            <w:pPr>
              <w:jc w:val="right"/>
              <w:ind w:right="170"/>
              <w:spacing w:after="0"/>
              <w:rPr>
                <w:sz w:val="20"/>
                <w:szCs w:val="20"/>
                <w:color w:val="auto"/>
              </w:rPr>
            </w:pPr>
            <w:r>
              <w:rPr>
                <w:rFonts w:ascii="Arial" w:cs="Arial" w:eastAsia="Arial" w:hAnsi="Arial"/>
                <w:sz w:val="18"/>
                <w:szCs w:val="18"/>
                <w:color w:val="auto"/>
                <w:w w:val="99"/>
              </w:rPr>
              <w:t>$</w:t>
            </w:r>
          </w:p>
        </w:tc>
        <w:tc>
          <w:tcPr>
            <w:tcW w:w="1220" w:type="dxa"/>
            <w:vAlign w:val="bottom"/>
          </w:tcPr>
          <w:p>
            <w:pPr>
              <w:jc w:val="right"/>
              <w:ind w:right="11"/>
              <w:spacing w:after="0"/>
              <w:rPr>
                <w:sz w:val="20"/>
                <w:szCs w:val="20"/>
                <w:color w:val="auto"/>
              </w:rPr>
            </w:pPr>
            <w:r>
              <w:rPr>
                <w:rFonts w:ascii="Arial" w:cs="Arial" w:eastAsia="Arial" w:hAnsi="Arial"/>
                <w:sz w:val="18"/>
                <w:szCs w:val="18"/>
                <w:color w:val="auto"/>
              </w:rPr>
              <w:t>42,010</w:t>
            </w:r>
          </w:p>
        </w:tc>
        <w:tc>
          <w:tcPr>
            <w:tcW w:w="50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1220" w:type="dxa"/>
            <w:vAlign w:val="bottom"/>
          </w:tcPr>
          <w:p>
            <w:pPr>
              <w:jc w:val="right"/>
              <w:ind w:right="11"/>
              <w:spacing w:after="0"/>
              <w:rPr>
                <w:sz w:val="20"/>
                <w:szCs w:val="20"/>
                <w:color w:val="auto"/>
              </w:rPr>
            </w:pPr>
            <w:r>
              <w:rPr>
                <w:rFonts w:ascii="Arial" w:cs="Arial" w:eastAsia="Arial" w:hAnsi="Arial"/>
                <w:sz w:val="18"/>
                <w:szCs w:val="18"/>
                <w:color w:val="auto"/>
              </w:rPr>
              <w:t>40,676</w:t>
            </w:r>
          </w:p>
        </w:tc>
        <w:tc>
          <w:tcPr>
            <w:tcW w:w="120" w:type="dxa"/>
            <w:vAlign w:val="bottom"/>
          </w:tcPr>
          <w:p>
            <w:pPr>
              <w:spacing w:after="0"/>
              <w:rPr>
                <w:sz w:val="22"/>
                <w:szCs w:val="22"/>
                <w:color w:val="auto"/>
              </w:rPr>
            </w:pPr>
          </w:p>
        </w:tc>
        <w:tc>
          <w:tcPr>
            <w:tcW w:w="380" w:type="dxa"/>
            <w:vAlign w:val="bottom"/>
          </w:tcPr>
          <w:p>
            <w:pPr>
              <w:jc w:val="right"/>
              <w:ind w:right="170"/>
              <w:spacing w:after="0"/>
              <w:rPr>
                <w:sz w:val="20"/>
                <w:szCs w:val="20"/>
                <w:color w:val="auto"/>
              </w:rPr>
            </w:pPr>
            <w:r>
              <w:rPr>
                <w:rFonts w:ascii="Arial" w:cs="Arial" w:eastAsia="Arial" w:hAnsi="Arial"/>
                <w:sz w:val="18"/>
                <w:szCs w:val="18"/>
                <w:color w:val="auto"/>
                <w:w w:val="99"/>
              </w:rPr>
              <w:t>$</w:t>
            </w:r>
          </w:p>
        </w:tc>
        <w:tc>
          <w:tcPr>
            <w:tcW w:w="1220" w:type="dxa"/>
            <w:vAlign w:val="bottom"/>
          </w:tcPr>
          <w:p>
            <w:pPr>
              <w:jc w:val="right"/>
              <w:ind w:right="11"/>
              <w:spacing w:after="0"/>
              <w:rPr>
                <w:sz w:val="20"/>
                <w:szCs w:val="20"/>
                <w:color w:val="auto"/>
              </w:rPr>
            </w:pPr>
            <w:r>
              <w:rPr>
                <w:rFonts w:ascii="Arial" w:cs="Arial" w:eastAsia="Arial" w:hAnsi="Arial"/>
                <w:sz w:val="18"/>
                <w:szCs w:val="18"/>
                <w:color w:val="auto"/>
              </w:rPr>
              <w:t>39,131</w:t>
            </w:r>
          </w:p>
        </w:tc>
      </w:tr>
      <w:tr>
        <w:trPr>
          <w:trHeight w:val="277"/>
        </w:trPr>
        <w:tc>
          <w:tcPr>
            <w:tcW w:w="6380" w:type="dxa"/>
            <w:vAlign w:val="bottom"/>
            <w:shd w:val="clear" w:color="auto" w:fill="CCEEFF"/>
          </w:tcPr>
          <w:p>
            <w:pPr>
              <w:ind w:left="380"/>
              <w:spacing w:after="0"/>
              <w:rPr>
                <w:sz w:val="20"/>
                <w:szCs w:val="20"/>
                <w:color w:val="auto"/>
              </w:rPr>
            </w:pPr>
            <w:r>
              <w:rPr>
                <w:rFonts w:ascii="Arial" w:cs="Arial" w:eastAsia="Arial" w:hAnsi="Arial"/>
                <w:sz w:val="18"/>
                <w:szCs w:val="18"/>
                <w:color w:val="auto"/>
              </w:rPr>
              <w:t>Cargo</w:t>
            </w:r>
          </w:p>
        </w:tc>
        <w:tc>
          <w:tcPr>
            <w:tcW w:w="380" w:type="dxa"/>
            <w:vAlign w:val="bottom"/>
            <w:shd w:val="clear" w:color="auto" w:fill="CCEEFF"/>
          </w:tcPr>
          <w:p>
            <w:pPr>
              <w:spacing w:after="0"/>
              <w:rPr>
                <w:sz w:val="24"/>
                <w:szCs w:val="24"/>
                <w:color w:val="auto"/>
              </w:rPr>
            </w:pPr>
          </w:p>
        </w:tc>
        <w:tc>
          <w:tcPr>
            <w:tcW w:w="122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863</w:t>
            </w:r>
          </w:p>
        </w:tc>
        <w:tc>
          <w:tcPr>
            <w:tcW w:w="120" w:type="dxa"/>
            <w:vAlign w:val="bottom"/>
            <w:shd w:val="clear" w:color="auto" w:fill="CCEEFF"/>
          </w:tcPr>
          <w:p>
            <w:pPr>
              <w:spacing w:after="0"/>
              <w:rPr>
                <w:sz w:val="24"/>
                <w:szCs w:val="24"/>
                <w:color w:val="auto"/>
              </w:rPr>
            </w:pPr>
          </w:p>
        </w:tc>
        <w:tc>
          <w:tcPr>
            <w:tcW w:w="380" w:type="dxa"/>
            <w:vAlign w:val="bottom"/>
            <w:shd w:val="clear" w:color="auto" w:fill="CCEEFF"/>
          </w:tcPr>
          <w:p>
            <w:pPr>
              <w:spacing w:after="0"/>
              <w:rPr>
                <w:sz w:val="24"/>
                <w:szCs w:val="24"/>
                <w:color w:val="auto"/>
              </w:rPr>
            </w:pPr>
          </w:p>
        </w:tc>
        <w:tc>
          <w:tcPr>
            <w:tcW w:w="122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1,013</w:t>
            </w:r>
          </w:p>
        </w:tc>
        <w:tc>
          <w:tcPr>
            <w:tcW w:w="120" w:type="dxa"/>
            <w:vAlign w:val="bottom"/>
            <w:shd w:val="clear" w:color="auto" w:fill="CCEEFF"/>
          </w:tcPr>
          <w:p>
            <w:pPr>
              <w:spacing w:after="0"/>
              <w:rPr>
                <w:sz w:val="24"/>
                <w:szCs w:val="24"/>
                <w:color w:val="auto"/>
              </w:rPr>
            </w:pPr>
          </w:p>
        </w:tc>
        <w:tc>
          <w:tcPr>
            <w:tcW w:w="380" w:type="dxa"/>
            <w:vAlign w:val="bottom"/>
            <w:shd w:val="clear" w:color="auto" w:fill="CCEEFF"/>
          </w:tcPr>
          <w:p>
            <w:pPr>
              <w:spacing w:after="0"/>
              <w:rPr>
                <w:sz w:val="24"/>
                <w:szCs w:val="24"/>
                <w:color w:val="auto"/>
              </w:rPr>
            </w:pPr>
          </w:p>
        </w:tc>
        <w:tc>
          <w:tcPr>
            <w:tcW w:w="122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890</w:t>
            </w:r>
          </w:p>
        </w:tc>
      </w:tr>
      <w:tr>
        <w:trPr>
          <w:trHeight w:val="264"/>
        </w:trPr>
        <w:tc>
          <w:tcPr>
            <w:tcW w:w="6380" w:type="dxa"/>
            <w:vAlign w:val="bottom"/>
            <w:tcBorders>
              <w:bottom w:val="single" w:sz="8" w:color="CCEEFF"/>
            </w:tcBorders>
          </w:tcPr>
          <w:p>
            <w:pPr>
              <w:ind w:left="380"/>
              <w:spacing w:after="0"/>
              <w:rPr>
                <w:sz w:val="20"/>
                <w:szCs w:val="20"/>
                <w:color w:val="auto"/>
              </w:rPr>
            </w:pPr>
            <w:r>
              <w:rPr>
                <w:rFonts w:ascii="Arial" w:cs="Arial" w:eastAsia="Arial" w:hAnsi="Arial"/>
                <w:sz w:val="18"/>
                <w:szCs w:val="18"/>
                <w:color w:val="auto"/>
              </w:rPr>
              <w:t>Other</w:t>
            </w:r>
          </w:p>
        </w:tc>
        <w:tc>
          <w:tcPr>
            <w:tcW w:w="380" w:type="dxa"/>
            <w:vAlign w:val="bottom"/>
            <w:tcBorders>
              <w:bottom w:val="single" w:sz="8" w:color="auto"/>
            </w:tcBorders>
          </w:tcPr>
          <w:p>
            <w:pPr>
              <w:spacing w:after="0"/>
              <w:rPr>
                <w:sz w:val="22"/>
                <w:szCs w:val="22"/>
                <w:color w:val="auto"/>
              </w:rPr>
            </w:pPr>
          </w:p>
        </w:tc>
        <w:tc>
          <w:tcPr>
            <w:tcW w:w="1220" w:type="dxa"/>
            <w:vAlign w:val="bottom"/>
            <w:tcBorders>
              <w:bottom w:val="single" w:sz="8" w:color="auto"/>
            </w:tcBorders>
          </w:tcPr>
          <w:p>
            <w:pPr>
              <w:jc w:val="right"/>
              <w:ind w:right="11"/>
              <w:spacing w:after="0"/>
              <w:rPr>
                <w:sz w:val="20"/>
                <w:szCs w:val="20"/>
                <w:color w:val="auto"/>
              </w:rPr>
            </w:pPr>
            <w:r>
              <w:rPr>
                <w:rFonts w:ascii="Arial" w:cs="Arial" w:eastAsia="Arial" w:hAnsi="Arial"/>
                <w:sz w:val="18"/>
                <w:szCs w:val="18"/>
                <w:color w:val="auto"/>
              </w:rPr>
              <w:t>2,895</w:t>
            </w:r>
          </w:p>
        </w:tc>
        <w:tc>
          <w:tcPr>
            <w:tcW w:w="120" w:type="dxa"/>
            <w:vAlign w:val="bottom"/>
            <w:tcBorders>
              <w:bottom w:val="single" w:sz="8" w:color="CCEEFF"/>
            </w:tcBorders>
          </w:tcPr>
          <w:p>
            <w:pPr>
              <w:spacing w:after="0"/>
              <w:rPr>
                <w:sz w:val="22"/>
                <w:szCs w:val="22"/>
                <w:color w:val="auto"/>
              </w:rPr>
            </w:pPr>
          </w:p>
        </w:tc>
        <w:tc>
          <w:tcPr>
            <w:tcW w:w="380" w:type="dxa"/>
            <w:vAlign w:val="bottom"/>
            <w:tcBorders>
              <w:bottom w:val="single" w:sz="8" w:color="auto"/>
            </w:tcBorders>
          </w:tcPr>
          <w:p>
            <w:pPr>
              <w:spacing w:after="0"/>
              <w:rPr>
                <w:sz w:val="22"/>
                <w:szCs w:val="22"/>
                <w:color w:val="auto"/>
              </w:rPr>
            </w:pPr>
          </w:p>
        </w:tc>
        <w:tc>
          <w:tcPr>
            <w:tcW w:w="1220" w:type="dxa"/>
            <w:vAlign w:val="bottom"/>
            <w:tcBorders>
              <w:bottom w:val="single" w:sz="8" w:color="auto"/>
            </w:tcBorders>
          </w:tcPr>
          <w:p>
            <w:pPr>
              <w:jc w:val="right"/>
              <w:ind w:right="11"/>
              <w:spacing w:after="0"/>
              <w:rPr>
                <w:sz w:val="20"/>
                <w:szCs w:val="20"/>
                <w:color w:val="auto"/>
              </w:rPr>
            </w:pPr>
            <w:r>
              <w:rPr>
                <w:rFonts w:ascii="Arial" w:cs="Arial" w:eastAsia="Arial" w:hAnsi="Arial"/>
                <w:sz w:val="18"/>
                <w:szCs w:val="18"/>
                <w:color w:val="auto"/>
              </w:rPr>
              <w:t>2,852</w:t>
            </w:r>
          </w:p>
        </w:tc>
        <w:tc>
          <w:tcPr>
            <w:tcW w:w="120" w:type="dxa"/>
            <w:vAlign w:val="bottom"/>
            <w:tcBorders>
              <w:bottom w:val="single" w:sz="8" w:color="CCEEFF"/>
            </w:tcBorders>
          </w:tcPr>
          <w:p>
            <w:pPr>
              <w:spacing w:after="0"/>
              <w:rPr>
                <w:sz w:val="22"/>
                <w:szCs w:val="22"/>
                <w:color w:val="auto"/>
              </w:rPr>
            </w:pPr>
          </w:p>
        </w:tc>
        <w:tc>
          <w:tcPr>
            <w:tcW w:w="380" w:type="dxa"/>
            <w:vAlign w:val="bottom"/>
            <w:tcBorders>
              <w:bottom w:val="single" w:sz="8" w:color="auto"/>
            </w:tcBorders>
          </w:tcPr>
          <w:p>
            <w:pPr>
              <w:spacing w:after="0"/>
              <w:rPr>
                <w:sz w:val="22"/>
                <w:szCs w:val="22"/>
                <w:color w:val="auto"/>
              </w:rPr>
            </w:pPr>
          </w:p>
        </w:tc>
        <w:tc>
          <w:tcPr>
            <w:tcW w:w="1220" w:type="dxa"/>
            <w:vAlign w:val="bottom"/>
            <w:tcBorders>
              <w:bottom w:val="single" w:sz="8" w:color="auto"/>
            </w:tcBorders>
          </w:tcPr>
          <w:p>
            <w:pPr>
              <w:jc w:val="right"/>
              <w:ind w:right="11"/>
              <w:spacing w:after="0"/>
              <w:rPr>
                <w:sz w:val="20"/>
                <w:szCs w:val="20"/>
                <w:color w:val="auto"/>
              </w:rPr>
            </w:pPr>
            <w:r>
              <w:rPr>
                <w:rFonts w:ascii="Arial" w:cs="Arial" w:eastAsia="Arial" w:hAnsi="Arial"/>
                <w:sz w:val="18"/>
                <w:szCs w:val="18"/>
                <w:color w:val="auto"/>
              </w:rPr>
              <w:t>2,601</w:t>
            </w:r>
          </w:p>
        </w:tc>
      </w:tr>
      <w:tr>
        <w:trPr>
          <w:trHeight w:val="257"/>
        </w:trPr>
        <w:tc>
          <w:tcPr>
            <w:tcW w:w="6380" w:type="dxa"/>
            <w:vAlign w:val="bottom"/>
            <w:shd w:val="clear" w:color="auto" w:fill="CCEEFF"/>
          </w:tcPr>
          <w:p>
            <w:pPr>
              <w:ind w:left="600"/>
              <w:spacing w:after="0"/>
              <w:rPr>
                <w:sz w:val="20"/>
                <w:szCs w:val="20"/>
                <w:color w:val="auto"/>
              </w:rPr>
            </w:pPr>
            <w:r>
              <w:rPr>
                <w:rFonts w:ascii="Arial" w:cs="Arial" w:eastAsia="Arial" w:hAnsi="Arial"/>
                <w:sz w:val="18"/>
                <w:szCs w:val="18"/>
                <w:color w:val="auto"/>
              </w:rPr>
              <w:t>Total operating revenues</w:t>
            </w:r>
          </w:p>
        </w:tc>
        <w:tc>
          <w:tcPr>
            <w:tcW w:w="380" w:type="dxa"/>
            <w:vAlign w:val="bottom"/>
            <w:shd w:val="clear" w:color="auto" w:fill="CCEEFF"/>
          </w:tcPr>
          <w:p>
            <w:pPr>
              <w:spacing w:after="0"/>
              <w:rPr>
                <w:sz w:val="22"/>
                <w:szCs w:val="22"/>
                <w:color w:val="auto"/>
              </w:rPr>
            </w:pPr>
          </w:p>
        </w:tc>
        <w:tc>
          <w:tcPr>
            <w:tcW w:w="122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45,768</w:t>
            </w:r>
          </w:p>
        </w:tc>
        <w:tc>
          <w:tcPr>
            <w:tcW w:w="120" w:type="dxa"/>
            <w:vAlign w:val="bottom"/>
            <w:shd w:val="clear" w:color="auto" w:fill="CCEEFF"/>
          </w:tcPr>
          <w:p>
            <w:pPr>
              <w:spacing w:after="0"/>
              <w:rPr>
                <w:sz w:val="22"/>
                <w:szCs w:val="22"/>
                <w:color w:val="auto"/>
              </w:rPr>
            </w:pPr>
          </w:p>
        </w:tc>
        <w:tc>
          <w:tcPr>
            <w:tcW w:w="380" w:type="dxa"/>
            <w:vAlign w:val="bottom"/>
            <w:shd w:val="clear" w:color="auto" w:fill="CCEEFF"/>
          </w:tcPr>
          <w:p>
            <w:pPr>
              <w:spacing w:after="0"/>
              <w:rPr>
                <w:sz w:val="22"/>
                <w:szCs w:val="22"/>
                <w:color w:val="auto"/>
              </w:rPr>
            </w:pPr>
          </w:p>
        </w:tc>
        <w:tc>
          <w:tcPr>
            <w:tcW w:w="122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44,541</w:t>
            </w:r>
          </w:p>
        </w:tc>
        <w:tc>
          <w:tcPr>
            <w:tcW w:w="120" w:type="dxa"/>
            <w:vAlign w:val="bottom"/>
            <w:shd w:val="clear" w:color="auto" w:fill="CCEEFF"/>
          </w:tcPr>
          <w:p>
            <w:pPr>
              <w:spacing w:after="0"/>
              <w:rPr>
                <w:sz w:val="22"/>
                <w:szCs w:val="22"/>
                <w:color w:val="auto"/>
              </w:rPr>
            </w:pPr>
          </w:p>
        </w:tc>
        <w:tc>
          <w:tcPr>
            <w:tcW w:w="380" w:type="dxa"/>
            <w:vAlign w:val="bottom"/>
            <w:shd w:val="clear" w:color="auto" w:fill="CCEEFF"/>
          </w:tcPr>
          <w:p>
            <w:pPr>
              <w:spacing w:after="0"/>
              <w:rPr>
                <w:sz w:val="22"/>
                <w:szCs w:val="22"/>
                <w:color w:val="auto"/>
              </w:rPr>
            </w:pPr>
          </w:p>
        </w:tc>
        <w:tc>
          <w:tcPr>
            <w:tcW w:w="122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42,622</w:t>
            </w:r>
          </w:p>
        </w:tc>
      </w:tr>
      <w:tr>
        <w:trPr>
          <w:trHeight w:val="243"/>
        </w:trPr>
        <w:tc>
          <w:tcPr>
            <w:tcW w:w="6380" w:type="dxa"/>
            <w:vAlign w:val="bottom"/>
          </w:tcPr>
          <w:p>
            <w:pPr>
              <w:ind w:left="40"/>
              <w:spacing w:after="0"/>
              <w:rPr>
                <w:sz w:val="20"/>
                <w:szCs w:val="20"/>
                <w:color w:val="auto"/>
              </w:rPr>
            </w:pPr>
            <w:r>
              <w:rPr>
                <w:rFonts w:ascii="Arial" w:cs="Arial" w:eastAsia="Arial" w:hAnsi="Arial"/>
                <w:sz w:val="18"/>
                <w:szCs w:val="18"/>
                <w:b w:val="1"/>
                <w:bCs w:val="1"/>
                <w:color w:val="auto"/>
              </w:rPr>
              <w:t>Operating expenses:</w:t>
            </w:r>
          </w:p>
        </w:tc>
        <w:tc>
          <w:tcPr>
            <w:tcW w:w="380" w:type="dxa"/>
            <w:vAlign w:val="bottom"/>
          </w:tcPr>
          <w:p>
            <w:pPr>
              <w:spacing w:after="0"/>
              <w:rPr>
                <w:sz w:val="21"/>
                <w:szCs w:val="21"/>
                <w:color w:val="auto"/>
              </w:rPr>
            </w:pPr>
          </w:p>
        </w:tc>
        <w:tc>
          <w:tcPr>
            <w:tcW w:w="12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2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220" w:type="dxa"/>
            <w:vAlign w:val="bottom"/>
          </w:tcPr>
          <w:p>
            <w:pPr>
              <w:spacing w:after="0"/>
              <w:rPr>
                <w:sz w:val="21"/>
                <w:szCs w:val="21"/>
                <w:color w:val="auto"/>
              </w:rPr>
            </w:pPr>
          </w:p>
        </w:tc>
      </w:tr>
      <w:tr>
        <w:trPr>
          <w:trHeight w:val="27"/>
        </w:trPr>
        <w:tc>
          <w:tcPr>
            <w:tcW w:w="638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20" w:type="dxa"/>
            <w:vAlign w:val="bottom"/>
          </w:tcPr>
          <w:p>
            <w:pPr>
              <w:spacing w:after="0"/>
              <w:rPr>
                <w:sz w:val="2"/>
                <w:szCs w:val="2"/>
                <w:color w:val="auto"/>
              </w:rPr>
            </w:pPr>
          </w:p>
        </w:tc>
      </w:tr>
      <w:tr>
        <w:trPr>
          <w:trHeight w:val="270"/>
        </w:trPr>
        <w:tc>
          <w:tcPr>
            <w:tcW w:w="6380" w:type="dxa"/>
            <w:vAlign w:val="bottom"/>
            <w:shd w:val="clear" w:color="auto" w:fill="CCEEFF"/>
          </w:tcPr>
          <w:p>
            <w:pPr>
              <w:ind w:left="380"/>
              <w:spacing w:after="0"/>
              <w:rPr>
                <w:sz w:val="20"/>
                <w:szCs w:val="20"/>
                <w:color w:val="auto"/>
              </w:rPr>
            </w:pPr>
            <w:r>
              <w:rPr>
                <w:rFonts w:ascii="Arial" w:cs="Arial" w:eastAsia="Arial" w:hAnsi="Arial"/>
                <w:sz w:val="18"/>
                <w:szCs w:val="18"/>
                <w:color w:val="auto"/>
              </w:rPr>
              <w:t>Aircraft fuel and related taxes</w:t>
            </w:r>
          </w:p>
        </w:tc>
        <w:tc>
          <w:tcPr>
            <w:tcW w:w="380" w:type="dxa"/>
            <w:vAlign w:val="bottom"/>
            <w:shd w:val="clear" w:color="auto" w:fill="CCEEFF"/>
          </w:tcPr>
          <w:p>
            <w:pPr>
              <w:spacing w:after="0"/>
              <w:rPr>
                <w:sz w:val="23"/>
                <w:szCs w:val="23"/>
                <w:color w:val="auto"/>
              </w:rPr>
            </w:pPr>
          </w:p>
        </w:tc>
        <w:tc>
          <w:tcPr>
            <w:tcW w:w="122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7,526</w:t>
            </w:r>
          </w:p>
        </w:tc>
        <w:tc>
          <w:tcPr>
            <w:tcW w:w="120" w:type="dxa"/>
            <w:vAlign w:val="bottom"/>
            <w:shd w:val="clear" w:color="auto" w:fill="CCEEFF"/>
          </w:tcPr>
          <w:p>
            <w:pPr>
              <w:spacing w:after="0"/>
              <w:rPr>
                <w:sz w:val="23"/>
                <w:szCs w:val="23"/>
                <w:color w:val="auto"/>
              </w:rPr>
            </w:pPr>
          </w:p>
        </w:tc>
        <w:tc>
          <w:tcPr>
            <w:tcW w:w="380" w:type="dxa"/>
            <w:vAlign w:val="bottom"/>
            <w:shd w:val="clear" w:color="auto" w:fill="CCEEFF"/>
          </w:tcPr>
          <w:p>
            <w:pPr>
              <w:spacing w:after="0"/>
              <w:rPr>
                <w:sz w:val="23"/>
                <w:szCs w:val="23"/>
                <w:color w:val="auto"/>
              </w:rPr>
            </w:pPr>
          </w:p>
        </w:tc>
        <w:tc>
          <w:tcPr>
            <w:tcW w:w="122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8,053</w:t>
            </w:r>
          </w:p>
        </w:tc>
        <w:tc>
          <w:tcPr>
            <w:tcW w:w="120" w:type="dxa"/>
            <w:vAlign w:val="bottom"/>
            <w:shd w:val="clear" w:color="auto" w:fill="CCEEFF"/>
          </w:tcPr>
          <w:p>
            <w:pPr>
              <w:spacing w:after="0"/>
              <w:rPr>
                <w:sz w:val="23"/>
                <w:szCs w:val="23"/>
                <w:color w:val="auto"/>
              </w:rPr>
            </w:pPr>
          </w:p>
        </w:tc>
        <w:tc>
          <w:tcPr>
            <w:tcW w:w="380" w:type="dxa"/>
            <w:vAlign w:val="bottom"/>
            <w:shd w:val="clear" w:color="auto" w:fill="CCEEFF"/>
          </w:tcPr>
          <w:p>
            <w:pPr>
              <w:spacing w:after="0"/>
              <w:rPr>
                <w:sz w:val="23"/>
                <w:szCs w:val="23"/>
                <w:color w:val="auto"/>
              </w:rPr>
            </w:pPr>
          </w:p>
        </w:tc>
        <w:tc>
          <w:tcPr>
            <w:tcW w:w="122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6,128</w:t>
            </w:r>
          </w:p>
        </w:tc>
      </w:tr>
      <w:tr>
        <w:trPr>
          <w:trHeight w:val="263"/>
        </w:trPr>
        <w:tc>
          <w:tcPr>
            <w:tcW w:w="6380" w:type="dxa"/>
            <w:vAlign w:val="bottom"/>
          </w:tcPr>
          <w:p>
            <w:pPr>
              <w:ind w:left="380"/>
              <w:spacing w:after="0"/>
              <w:rPr>
                <w:sz w:val="20"/>
                <w:szCs w:val="20"/>
                <w:color w:val="auto"/>
              </w:rPr>
            </w:pPr>
            <w:r>
              <w:rPr>
                <w:rFonts w:ascii="Arial" w:cs="Arial" w:eastAsia="Arial" w:hAnsi="Arial"/>
                <w:sz w:val="18"/>
                <w:szCs w:val="18"/>
                <w:color w:val="auto"/>
              </w:rPr>
              <w:t>Salaries, wages and benefits</w:t>
            </w:r>
          </w:p>
        </w:tc>
        <w:tc>
          <w:tcPr>
            <w:tcW w:w="380" w:type="dxa"/>
            <w:vAlign w:val="bottom"/>
          </w:tcPr>
          <w:p>
            <w:pPr>
              <w:spacing w:after="0"/>
              <w:rPr>
                <w:sz w:val="22"/>
                <w:szCs w:val="22"/>
                <w:color w:val="auto"/>
              </w:rPr>
            </w:pPr>
          </w:p>
        </w:tc>
        <w:tc>
          <w:tcPr>
            <w:tcW w:w="1220" w:type="dxa"/>
            <w:vAlign w:val="bottom"/>
          </w:tcPr>
          <w:p>
            <w:pPr>
              <w:jc w:val="right"/>
              <w:ind w:right="11"/>
              <w:spacing w:after="0"/>
              <w:rPr>
                <w:sz w:val="20"/>
                <w:szCs w:val="20"/>
                <w:color w:val="auto"/>
              </w:rPr>
            </w:pPr>
            <w:r>
              <w:rPr>
                <w:rFonts w:ascii="Arial" w:cs="Arial" w:eastAsia="Arial" w:hAnsi="Arial"/>
                <w:sz w:val="18"/>
                <w:szCs w:val="18"/>
                <w:color w:val="auto"/>
              </w:rPr>
              <w:t>12,609</w:t>
            </w:r>
          </w:p>
        </w:tc>
        <w:tc>
          <w:tcPr>
            <w:tcW w:w="120" w:type="dxa"/>
            <w:vAlign w:val="bottom"/>
          </w:tcPr>
          <w:p>
            <w:pPr>
              <w:spacing w:after="0"/>
              <w:rPr>
                <w:sz w:val="22"/>
                <w:szCs w:val="22"/>
                <w:color w:val="auto"/>
              </w:rPr>
            </w:pPr>
          </w:p>
        </w:tc>
        <w:tc>
          <w:tcPr>
            <w:tcW w:w="380" w:type="dxa"/>
            <w:vAlign w:val="bottom"/>
          </w:tcPr>
          <w:p>
            <w:pPr>
              <w:spacing w:after="0"/>
              <w:rPr>
                <w:sz w:val="22"/>
                <w:szCs w:val="22"/>
                <w:color w:val="auto"/>
              </w:rPr>
            </w:pPr>
          </w:p>
        </w:tc>
        <w:tc>
          <w:tcPr>
            <w:tcW w:w="1220" w:type="dxa"/>
            <w:vAlign w:val="bottom"/>
          </w:tcPr>
          <w:p>
            <w:pPr>
              <w:jc w:val="right"/>
              <w:ind w:right="11"/>
              <w:spacing w:after="0"/>
              <w:rPr>
                <w:sz w:val="20"/>
                <w:szCs w:val="20"/>
                <w:color w:val="auto"/>
              </w:rPr>
            </w:pPr>
            <w:r>
              <w:rPr>
                <w:rFonts w:ascii="Arial" w:cs="Arial" w:eastAsia="Arial" w:hAnsi="Arial"/>
                <w:sz w:val="18"/>
                <w:szCs w:val="18"/>
                <w:color w:val="auto"/>
              </w:rPr>
              <w:t>12,251</w:t>
            </w:r>
          </w:p>
        </w:tc>
        <w:tc>
          <w:tcPr>
            <w:tcW w:w="120" w:type="dxa"/>
            <w:vAlign w:val="bottom"/>
          </w:tcPr>
          <w:p>
            <w:pPr>
              <w:spacing w:after="0"/>
              <w:rPr>
                <w:sz w:val="22"/>
                <w:szCs w:val="22"/>
                <w:color w:val="auto"/>
              </w:rPr>
            </w:pPr>
          </w:p>
        </w:tc>
        <w:tc>
          <w:tcPr>
            <w:tcW w:w="380" w:type="dxa"/>
            <w:vAlign w:val="bottom"/>
          </w:tcPr>
          <w:p>
            <w:pPr>
              <w:spacing w:after="0"/>
              <w:rPr>
                <w:sz w:val="22"/>
                <w:szCs w:val="22"/>
                <w:color w:val="auto"/>
              </w:rPr>
            </w:pPr>
          </w:p>
        </w:tc>
        <w:tc>
          <w:tcPr>
            <w:tcW w:w="1220" w:type="dxa"/>
            <w:vAlign w:val="bottom"/>
          </w:tcPr>
          <w:p>
            <w:pPr>
              <w:jc w:val="right"/>
              <w:ind w:right="11"/>
              <w:spacing w:after="0"/>
              <w:rPr>
                <w:sz w:val="20"/>
                <w:szCs w:val="20"/>
                <w:color w:val="auto"/>
              </w:rPr>
            </w:pPr>
            <w:r>
              <w:rPr>
                <w:rFonts w:ascii="Arial" w:cs="Arial" w:eastAsia="Arial" w:hAnsi="Arial"/>
                <w:sz w:val="18"/>
                <w:szCs w:val="18"/>
                <w:color w:val="auto"/>
              </w:rPr>
              <w:t>11,954</w:t>
            </w:r>
          </w:p>
        </w:tc>
      </w:tr>
      <w:tr>
        <w:trPr>
          <w:trHeight w:val="277"/>
        </w:trPr>
        <w:tc>
          <w:tcPr>
            <w:tcW w:w="6380" w:type="dxa"/>
            <w:vAlign w:val="bottom"/>
            <w:shd w:val="clear" w:color="auto" w:fill="CCEEFF"/>
          </w:tcPr>
          <w:p>
            <w:pPr>
              <w:ind w:left="380"/>
              <w:spacing w:after="0"/>
              <w:rPr>
                <w:sz w:val="20"/>
                <w:szCs w:val="20"/>
                <w:color w:val="auto"/>
              </w:rPr>
            </w:pPr>
            <w:r>
              <w:rPr>
                <w:rFonts w:ascii="Arial" w:cs="Arial" w:eastAsia="Arial" w:hAnsi="Arial"/>
                <w:sz w:val="18"/>
                <w:szCs w:val="18"/>
                <w:color w:val="auto"/>
              </w:rPr>
              <w:t>Regional expenses</w:t>
            </w:r>
          </w:p>
        </w:tc>
        <w:tc>
          <w:tcPr>
            <w:tcW w:w="380" w:type="dxa"/>
            <w:vAlign w:val="bottom"/>
            <w:shd w:val="clear" w:color="auto" w:fill="CCEEFF"/>
          </w:tcPr>
          <w:p>
            <w:pPr>
              <w:spacing w:after="0"/>
              <w:rPr>
                <w:sz w:val="24"/>
                <w:szCs w:val="24"/>
                <w:color w:val="auto"/>
              </w:rPr>
            </w:pPr>
          </w:p>
        </w:tc>
        <w:tc>
          <w:tcPr>
            <w:tcW w:w="122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7,501</w:t>
            </w:r>
          </w:p>
        </w:tc>
        <w:tc>
          <w:tcPr>
            <w:tcW w:w="120" w:type="dxa"/>
            <w:vAlign w:val="bottom"/>
            <w:shd w:val="clear" w:color="auto" w:fill="CCEEFF"/>
          </w:tcPr>
          <w:p>
            <w:pPr>
              <w:spacing w:after="0"/>
              <w:rPr>
                <w:sz w:val="24"/>
                <w:szCs w:val="24"/>
                <w:color w:val="auto"/>
              </w:rPr>
            </w:pPr>
          </w:p>
        </w:tc>
        <w:tc>
          <w:tcPr>
            <w:tcW w:w="380" w:type="dxa"/>
            <w:vAlign w:val="bottom"/>
            <w:shd w:val="clear" w:color="auto" w:fill="CCEEFF"/>
          </w:tcPr>
          <w:p>
            <w:pPr>
              <w:spacing w:after="0"/>
              <w:rPr>
                <w:sz w:val="24"/>
                <w:szCs w:val="24"/>
                <w:color w:val="auto"/>
              </w:rPr>
            </w:pPr>
          </w:p>
        </w:tc>
        <w:tc>
          <w:tcPr>
            <w:tcW w:w="122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7,133</w:t>
            </w:r>
          </w:p>
        </w:tc>
        <w:tc>
          <w:tcPr>
            <w:tcW w:w="120" w:type="dxa"/>
            <w:vAlign w:val="bottom"/>
            <w:shd w:val="clear" w:color="auto" w:fill="CCEEFF"/>
          </w:tcPr>
          <w:p>
            <w:pPr>
              <w:spacing w:after="0"/>
              <w:rPr>
                <w:sz w:val="24"/>
                <w:szCs w:val="24"/>
                <w:color w:val="auto"/>
              </w:rPr>
            </w:pPr>
          </w:p>
        </w:tc>
        <w:tc>
          <w:tcPr>
            <w:tcW w:w="380" w:type="dxa"/>
            <w:vAlign w:val="bottom"/>
            <w:shd w:val="clear" w:color="auto" w:fill="CCEEFF"/>
          </w:tcPr>
          <w:p>
            <w:pPr>
              <w:spacing w:after="0"/>
              <w:rPr>
                <w:sz w:val="24"/>
                <w:szCs w:val="24"/>
                <w:color w:val="auto"/>
              </w:rPr>
            </w:pPr>
          </w:p>
        </w:tc>
        <w:tc>
          <w:tcPr>
            <w:tcW w:w="122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6,546</w:t>
            </w:r>
          </w:p>
        </w:tc>
      </w:tr>
      <w:tr>
        <w:trPr>
          <w:trHeight w:val="263"/>
        </w:trPr>
        <w:tc>
          <w:tcPr>
            <w:tcW w:w="6380" w:type="dxa"/>
            <w:vAlign w:val="bottom"/>
          </w:tcPr>
          <w:p>
            <w:pPr>
              <w:ind w:left="380"/>
              <w:spacing w:after="0"/>
              <w:rPr>
                <w:sz w:val="20"/>
                <w:szCs w:val="20"/>
                <w:color w:val="auto"/>
              </w:rPr>
            </w:pPr>
            <w:r>
              <w:rPr>
                <w:rFonts w:ascii="Arial" w:cs="Arial" w:eastAsia="Arial" w:hAnsi="Arial"/>
                <w:sz w:val="18"/>
                <w:szCs w:val="18"/>
                <w:color w:val="auto"/>
              </w:rPr>
              <w:t>Maintenance, materials and repairs</w:t>
            </w:r>
          </w:p>
        </w:tc>
        <w:tc>
          <w:tcPr>
            <w:tcW w:w="380" w:type="dxa"/>
            <w:vAlign w:val="bottom"/>
          </w:tcPr>
          <w:p>
            <w:pPr>
              <w:spacing w:after="0"/>
              <w:rPr>
                <w:sz w:val="22"/>
                <w:szCs w:val="22"/>
                <w:color w:val="auto"/>
              </w:rPr>
            </w:pPr>
          </w:p>
        </w:tc>
        <w:tc>
          <w:tcPr>
            <w:tcW w:w="1220" w:type="dxa"/>
            <w:vAlign w:val="bottom"/>
          </w:tcPr>
          <w:p>
            <w:pPr>
              <w:jc w:val="right"/>
              <w:ind w:right="11"/>
              <w:spacing w:after="0"/>
              <w:rPr>
                <w:sz w:val="20"/>
                <w:szCs w:val="20"/>
                <w:color w:val="auto"/>
              </w:rPr>
            </w:pPr>
            <w:r>
              <w:rPr>
                <w:rFonts w:ascii="Arial" w:cs="Arial" w:eastAsia="Arial" w:hAnsi="Arial"/>
                <w:sz w:val="18"/>
                <w:szCs w:val="18"/>
                <w:color w:val="auto"/>
              </w:rPr>
              <w:t>2,380</w:t>
            </w:r>
          </w:p>
        </w:tc>
        <w:tc>
          <w:tcPr>
            <w:tcW w:w="120" w:type="dxa"/>
            <w:vAlign w:val="bottom"/>
          </w:tcPr>
          <w:p>
            <w:pPr>
              <w:spacing w:after="0"/>
              <w:rPr>
                <w:sz w:val="22"/>
                <w:szCs w:val="22"/>
                <w:color w:val="auto"/>
              </w:rPr>
            </w:pPr>
          </w:p>
        </w:tc>
        <w:tc>
          <w:tcPr>
            <w:tcW w:w="380" w:type="dxa"/>
            <w:vAlign w:val="bottom"/>
          </w:tcPr>
          <w:p>
            <w:pPr>
              <w:spacing w:after="0"/>
              <w:rPr>
                <w:sz w:val="22"/>
                <w:szCs w:val="22"/>
                <w:color w:val="auto"/>
              </w:rPr>
            </w:pPr>
          </w:p>
        </w:tc>
        <w:tc>
          <w:tcPr>
            <w:tcW w:w="1220" w:type="dxa"/>
            <w:vAlign w:val="bottom"/>
          </w:tcPr>
          <w:p>
            <w:pPr>
              <w:jc w:val="right"/>
              <w:ind w:right="11"/>
              <w:spacing w:after="0"/>
              <w:rPr>
                <w:sz w:val="20"/>
                <w:szCs w:val="20"/>
                <w:color w:val="auto"/>
              </w:rPr>
            </w:pPr>
            <w:r>
              <w:rPr>
                <w:rFonts w:ascii="Arial" w:cs="Arial" w:eastAsia="Arial" w:hAnsi="Arial"/>
                <w:sz w:val="18"/>
                <w:szCs w:val="18"/>
                <w:color w:val="auto"/>
              </w:rPr>
              <w:t>2,050</w:t>
            </w:r>
          </w:p>
        </w:tc>
        <w:tc>
          <w:tcPr>
            <w:tcW w:w="120" w:type="dxa"/>
            <w:vAlign w:val="bottom"/>
          </w:tcPr>
          <w:p>
            <w:pPr>
              <w:spacing w:after="0"/>
              <w:rPr>
                <w:sz w:val="22"/>
                <w:szCs w:val="22"/>
                <w:color w:val="auto"/>
              </w:rPr>
            </w:pPr>
          </w:p>
        </w:tc>
        <w:tc>
          <w:tcPr>
            <w:tcW w:w="380" w:type="dxa"/>
            <w:vAlign w:val="bottom"/>
          </w:tcPr>
          <w:p>
            <w:pPr>
              <w:spacing w:after="0"/>
              <w:rPr>
                <w:sz w:val="22"/>
                <w:szCs w:val="22"/>
                <w:color w:val="auto"/>
              </w:rPr>
            </w:pPr>
          </w:p>
        </w:tc>
        <w:tc>
          <w:tcPr>
            <w:tcW w:w="1220" w:type="dxa"/>
            <w:vAlign w:val="bottom"/>
          </w:tcPr>
          <w:p>
            <w:pPr>
              <w:jc w:val="right"/>
              <w:ind w:right="11"/>
              <w:spacing w:after="0"/>
              <w:rPr>
                <w:sz w:val="20"/>
                <w:szCs w:val="20"/>
                <w:color w:val="auto"/>
              </w:rPr>
            </w:pPr>
            <w:r>
              <w:rPr>
                <w:rFonts w:ascii="Arial" w:cs="Arial" w:eastAsia="Arial" w:hAnsi="Arial"/>
                <w:sz w:val="18"/>
                <w:szCs w:val="18"/>
                <w:color w:val="auto"/>
              </w:rPr>
              <w:t>1,959</w:t>
            </w:r>
          </w:p>
        </w:tc>
      </w:tr>
      <w:tr>
        <w:trPr>
          <w:trHeight w:val="277"/>
        </w:trPr>
        <w:tc>
          <w:tcPr>
            <w:tcW w:w="6380" w:type="dxa"/>
            <w:vAlign w:val="bottom"/>
            <w:shd w:val="clear" w:color="auto" w:fill="CCEEFF"/>
          </w:tcPr>
          <w:p>
            <w:pPr>
              <w:ind w:left="380"/>
              <w:spacing w:after="0"/>
              <w:rPr>
                <w:sz w:val="20"/>
                <w:szCs w:val="20"/>
                <w:color w:val="auto"/>
              </w:rPr>
            </w:pPr>
            <w:r>
              <w:rPr>
                <w:rFonts w:ascii="Arial" w:cs="Arial" w:eastAsia="Arial" w:hAnsi="Arial"/>
                <w:sz w:val="18"/>
                <w:szCs w:val="18"/>
                <w:color w:val="auto"/>
              </w:rPr>
              <w:t>Other rent and landing fees</w:t>
            </w:r>
          </w:p>
        </w:tc>
        <w:tc>
          <w:tcPr>
            <w:tcW w:w="380" w:type="dxa"/>
            <w:vAlign w:val="bottom"/>
            <w:shd w:val="clear" w:color="auto" w:fill="CCEEFF"/>
          </w:tcPr>
          <w:p>
            <w:pPr>
              <w:spacing w:after="0"/>
              <w:rPr>
                <w:sz w:val="24"/>
                <w:szCs w:val="24"/>
                <w:color w:val="auto"/>
              </w:rPr>
            </w:pPr>
          </w:p>
        </w:tc>
        <w:tc>
          <w:tcPr>
            <w:tcW w:w="122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2,055</w:t>
            </w:r>
          </w:p>
        </w:tc>
        <w:tc>
          <w:tcPr>
            <w:tcW w:w="120" w:type="dxa"/>
            <w:vAlign w:val="bottom"/>
            <w:shd w:val="clear" w:color="auto" w:fill="CCEEFF"/>
          </w:tcPr>
          <w:p>
            <w:pPr>
              <w:spacing w:after="0"/>
              <w:rPr>
                <w:sz w:val="24"/>
                <w:szCs w:val="24"/>
                <w:color w:val="auto"/>
              </w:rPr>
            </w:pPr>
          </w:p>
        </w:tc>
        <w:tc>
          <w:tcPr>
            <w:tcW w:w="380" w:type="dxa"/>
            <w:vAlign w:val="bottom"/>
            <w:shd w:val="clear" w:color="auto" w:fill="CCEEFF"/>
          </w:tcPr>
          <w:p>
            <w:pPr>
              <w:spacing w:after="0"/>
              <w:rPr>
                <w:sz w:val="24"/>
                <w:szCs w:val="24"/>
                <w:color w:val="auto"/>
              </w:rPr>
            </w:pPr>
          </w:p>
        </w:tc>
        <w:tc>
          <w:tcPr>
            <w:tcW w:w="122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1,900</w:t>
            </w:r>
          </w:p>
        </w:tc>
        <w:tc>
          <w:tcPr>
            <w:tcW w:w="120" w:type="dxa"/>
            <w:vAlign w:val="bottom"/>
            <w:shd w:val="clear" w:color="auto" w:fill="CCEEFF"/>
          </w:tcPr>
          <w:p>
            <w:pPr>
              <w:spacing w:after="0"/>
              <w:rPr>
                <w:sz w:val="24"/>
                <w:szCs w:val="24"/>
                <w:color w:val="auto"/>
              </w:rPr>
            </w:pPr>
          </w:p>
        </w:tc>
        <w:tc>
          <w:tcPr>
            <w:tcW w:w="380" w:type="dxa"/>
            <w:vAlign w:val="bottom"/>
            <w:shd w:val="clear" w:color="auto" w:fill="CCEEFF"/>
          </w:tcPr>
          <w:p>
            <w:pPr>
              <w:spacing w:after="0"/>
              <w:rPr>
                <w:sz w:val="24"/>
                <w:szCs w:val="24"/>
                <w:color w:val="auto"/>
              </w:rPr>
            </w:pPr>
          </w:p>
        </w:tc>
        <w:tc>
          <w:tcPr>
            <w:tcW w:w="122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1,806</w:t>
            </w:r>
          </w:p>
        </w:tc>
      </w:tr>
      <w:tr>
        <w:trPr>
          <w:trHeight w:val="263"/>
        </w:trPr>
        <w:tc>
          <w:tcPr>
            <w:tcW w:w="6380" w:type="dxa"/>
            <w:vAlign w:val="bottom"/>
          </w:tcPr>
          <w:p>
            <w:pPr>
              <w:ind w:left="380"/>
              <w:spacing w:after="0"/>
              <w:rPr>
                <w:sz w:val="20"/>
                <w:szCs w:val="20"/>
                <w:color w:val="auto"/>
              </w:rPr>
            </w:pPr>
            <w:r>
              <w:rPr>
                <w:rFonts w:ascii="Arial" w:cs="Arial" w:eastAsia="Arial" w:hAnsi="Arial"/>
                <w:sz w:val="18"/>
                <w:szCs w:val="18"/>
                <w:color w:val="auto"/>
              </w:rPr>
              <w:t>Aircraft rent</w:t>
            </w:r>
          </w:p>
        </w:tc>
        <w:tc>
          <w:tcPr>
            <w:tcW w:w="380" w:type="dxa"/>
            <w:vAlign w:val="bottom"/>
          </w:tcPr>
          <w:p>
            <w:pPr>
              <w:spacing w:after="0"/>
              <w:rPr>
                <w:sz w:val="22"/>
                <w:szCs w:val="22"/>
                <w:color w:val="auto"/>
              </w:rPr>
            </w:pPr>
          </w:p>
        </w:tc>
        <w:tc>
          <w:tcPr>
            <w:tcW w:w="1220" w:type="dxa"/>
            <w:vAlign w:val="bottom"/>
          </w:tcPr>
          <w:p>
            <w:pPr>
              <w:jc w:val="right"/>
              <w:ind w:right="11"/>
              <w:spacing w:after="0"/>
              <w:rPr>
                <w:sz w:val="20"/>
                <w:szCs w:val="20"/>
                <w:color w:val="auto"/>
              </w:rPr>
            </w:pPr>
            <w:r>
              <w:rPr>
                <w:rFonts w:ascii="Arial" w:cs="Arial" w:eastAsia="Arial" w:hAnsi="Arial"/>
                <w:sz w:val="18"/>
                <w:szCs w:val="18"/>
                <w:color w:val="auto"/>
              </w:rPr>
              <w:t>1,326</w:t>
            </w:r>
          </w:p>
        </w:tc>
        <w:tc>
          <w:tcPr>
            <w:tcW w:w="120" w:type="dxa"/>
            <w:vAlign w:val="bottom"/>
          </w:tcPr>
          <w:p>
            <w:pPr>
              <w:spacing w:after="0"/>
              <w:rPr>
                <w:sz w:val="22"/>
                <w:szCs w:val="22"/>
                <w:color w:val="auto"/>
              </w:rPr>
            </w:pPr>
          </w:p>
        </w:tc>
        <w:tc>
          <w:tcPr>
            <w:tcW w:w="380" w:type="dxa"/>
            <w:vAlign w:val="bottom"/>
          </w:tcPr>
          <w:p>
            <w:pPr>
              <w:spacing w:after="0"/>
              <w:rPr>
                <w:sz w:val="22"/>
                <w:szCs w:val="22"/>
                <w:color w:val="auto"/>
              </w:rPr>
            </w:pPr>
          </w:p>
        </w:tc>
        <w:tc>
          <w:tcPr>
            <w:tcW w:w="1220" w:type="dxa"/>
            <w:vAlign w:val="bottom"/>
          </w:tcPr>
          <w:p>
            <w:pPr>
              <w:jc w:val="right"/>
              <w:ind w:right="11"/>
              <w:spacing w:after="0"/>
              <w:rPr>
                <w:sz w:val="20"/>
                <w:szCs w:val="20"/>
                <w:color w:val="auto"/>
              </w:rPr>
            </w:pPr>
            <w:r>
              <w:rPr>
                <w:rFonts w:ascii="Arial" w:cs="Arial" w:eastAsia="Arial" w:hAnsi="Arial"/>
                <w:sz w:val="18"/>
                <w:szCs w:val="18"/>
                <w:color w:val="auto"/>
              </w:rPr>
              <w:t>1,264</w:t>
            </w:r>
          </w:p>
        </w:tc>
        <w:tc>
          <w:tcPr>
            <w:tcW w:w="120" w:type="dxa"/>
            <w:vAlign w:val="bottom"/>
          </w:tcPr>
          <w:p>
            <w:pPr>
              <w:spacing w:after="0"/>
              <w:rPr>
                <w:sz w:val="22"/>
                <w:szCs w:val="22"/>
                <w:color w:val="auto"/>
              </w:rPr>
            </w:pPr>
          </w:p>
        </w:tc>
        <w:tc>
          <w:tcPr>
            <w:tcW w:w="380" w:type="dxa"/>
            <w:vAlign w:val="bottom"/>
          </w:tcPr>
          <w:p>
            <w:pPr>
              <w:spacing w:after="0"/>
              <w:rPr>
                <w:sz w:val="22"/>
                <w:szCs w:val="22"/>
                <w:color w:val="auto"/>
              </w:rPr>
            </w:pPr>
          </w:p>
        </w:tc>
        <w:tc>
          <w:tcPr>
            <w:tcW w:w="1220" w:type="dxa"/>
            <w:vAlign w:val="bottom"/>
          </w:tcPr>
          <w:p>
            <w:pPr>
              <w:jc w:val="right"/>
              <w:ind w:right="11"/>
              <w:spacing w:after="0"/>
              <w:rPr>
                <w:sz w:val="20"/>
                <w:szCs w:val="20"/>
                <w:color w:val="auto"/>
              </w:rPr>
            </w:pPr>
            <w:r>
              <w:rPr>
                <w:rFonts w:ascii="Arial" w:cs="Arial" w:eastAsia="Arial" w:hAnsi="Arial"/>
                <w:sz w:val="18"/>
                <w:szCs w:val="18"/>
                <w:color w:val="auto"/>
              </w:rPr>
              <w:t>1,197</w:t>
            </w:r>
          </w:p>
        </w:tc>
      </w:tr>
      <w:tr>
        <w:trPr>
          <w:trHeight w:val="277"/>
        </w:trPr>
        <w:tc>
          <w:tcPr>
            <w:tcW w:w="6380" w:type="dxa"/>
            <w:vAlign w:val="bottom"/>
            <w:shd w:val="clear" w:color="auto" w:fill="CCEEFF"/>
          </w:tcPr>
          <w:p>
            <w:pPr>
              <w:ind w:left="380"/>
              <w:spacing w:after="0"/>
              <w:rPr>
                <w:sz w:val="20"/>
                <w:szCs w:val="20"/>
                <w:color w:val="auto"/>
              </w:rPr>
            </w:pPr>
            <w:r>
              <w:rPr>
                <w:rFonts w:ascii="Arial" w:cs="Arial" w:eastAsia="Arial" w:hAnsi="Arial"/>
                <w:sz w:val="18"/>
                <w:szCs w:val="18"/>
                <w:color w:val="auto"/>
              </w:rPr>
              <w:t>Selling expenses</w:t>
            </w:r>
          </w:p>
        </w:tc>
        <w:tc>
          <w:tcPr>
            <w:tcW w:w="380" w:type="dxa"/>
            <w:vAlign w:val="bottom"/>
            <w:shd w:val="clear" w:color="auto" w:fill="CCEEFF"/>
          </w:tcPr>
          <w:p>
            <w:pPr>
              <w:spacing w:after="0"/>
              <w:rPr>
                <w:sz w:val="24"/>
                <w:szCs w:val="24"/>
                <w:color w:val="auto"/>
              </w:rPr>
            </w:pPr>
          </w:p>
        </w:tc>
        <w:tc>
          <w:tcPr>
            <w:tcW w:w="122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1,602</w:t>
            </w:r>
          </w:p>
        </w:tc>
        <w:tc>
          <w:tcPr>
            <w:tcW w:w="120" w:type="dxa"/>
            <w:vAlign w:val="bottom"/>
            <w:shd w:val="clear" w:color="auto" w:fill="CCEEFF"/>
          </w:tcPr>
          <w:p>
            <w:pPr>
              <w:spacing w:after="0"/>
              <w:rPr>
                <w:sz w:val="24"/>
                <w:szCs w:val="24"/>
                <w:color w:val="auto"/>
              </w:rPr>
            </w:pPr>
          </w:p>
        </w:tc>
        <w:tc>
          <w:tcPr>
            <w:tcW w:w="380" w:type="dxa"/>
            <w:vAlign w:val="bottom"/>
            <w:shd w:val="clear" w:color="auto" w:fill="CCEEFF"/>
          </w:tcPr>
          <w:p>
            <w:pPr>
              <w:spacing w:after="0"/>
              <w:rPr>
                <w:sz w:val="24"/>
                <w:szCs w:val="24"/>
                <w:color w:val="auto"/>
              </w:rPr>
            </w:pPr>
          </w:p>
        </w:tc>
        <w:tc>
          <w:tcPr>
            <w:tcW w:w="122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1,520</w:t>
            </w:r>
          </w:p>
        </w:tc>
        <w:tc>
          <w:tcPr>
            <w:tcW w:w="120" w:type="dxa"/>
            <w:vAlign w:val="bottom"/>
            <w:shd w:val="clear" w:color="auto" w:fill="CCEEFF"/>
          </w:tcPr>
          <w:p>
            <w:pPr>
              <w:spacing w:after="0"/>
              <w:rPr>
                <w:sz w:val="24"/>
                <w:szCs w:val="24"/>
                <w:color w:val="auto"/>
              </w:rPr>
            </w:pPr>
          </w:p>
        </w:tc>
        <w:tc>
          <w:tcPr>
            <w:tcW w:w="380" w:type="dxa"/>
            <w:vAlign w:val="bottom"/>
            <w:shd w:val="clear" w:color="auto" w:fill="CCEEFF"/>
          </w:tcPr>
          <w:p>
            <w:pPr>
              <w:spacing w:after="0"/>
              <w:rPr>
                <w:sz w:val="24"/>
                <w:szCs w:val="24"/>
                <w:color w:val="auto"/>
              </w:rPr>
            </w:pPr>
          </w:p>
        </w:tc>
        <w:tc>
          <w:tcPr>
            <w:tcW w:w="122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1,477</w:t>
            </w:r>
          </w:p>
        </w:tc>
      </w:tr>
      <w:tr>
        <w:trPr>
          <w:trHeight w:val="263"/>
        </w:trPr>
        <w:tc>
          <w:tcPr>
            <w:tcW w:w="6380" w:type="dxa"/>
            <w:vAlign w:val="bottom"/>
          </w:tcPr>
          <w:p>
            <w:pPr>
              <w:ind w:left="380"/>
              <w:spacing w:after="0"/>
              <w:rPr>
                <w:sz w:val="20"/>
                <w:szCs w:val="20"/>
                <w:color w:val="auto"/>
              </w:rPr>
            </w:pPr>
            <w:r>
              <w:rPr>
                <w:rFonts w:ascii="Arial" w:cs="Arial" w:eastAsia="Arial" w:hAnsi="Arial"/>
                <w:sz w:val="18"/>
                <w:szCs w:val="18"/>
                <w:color w:val="auto"/>
              </w:rPr>
              <w:t>Depreciation and amortization</w:t>
            </w:r>
          </w:p>
        </w:tc>
        <w:tc>
          <w:tcPr>
            <w:tcW w:w="380" w:type="dxa"/>
            <w:vAlign w:val="bottom"/>
          </w:tcPr>
          <w:p>
            <w:pPr>
              <w:spacing w:after="0"/>
              <w:rPr>
                <w:sz w:val="22"/>
                <w:szCs w:val="22"/>
                <w:color w:val="auto"/>
              </w:rPr>
            </w:pPr>
          </w:p>
        </w:tc>
        <w:tc>
          <w:tcPr>
            <w:tcW w:w="1220" w:type="dxa"/>
            <w:vAlign w:val="bottom"/>
          </w:tcPr>
          <w:p>
            <w:pPr>
              <w:jc w:val="right"/>
              <w:ind w:right="11"/>
              <w:spacing w:after="0"/>
              <w:rPr>
                <w:sz w:val="20"/>
                <w:szCs w:val="20"/>
                <w:color w:val="auto"/>
              </w:rPr>
            </w:pPr>
            <w:r>
              <w:rPr>
                <w:rFonts w:ascii="Arial" w:cs="Arial" w:eastAsia="Arial" w:hAnsi="Arial"/>
                <w:sz w:val="18"/>
                <w:szCs w:val="18"/>
                <w:color w:val="auto"/>
              </w:rPr>
              <w:t>1,982</w:t>
            </w:r>
          </w:p>
        </w:tc>
        <w:tc>
          <w:tcPr>
            <w:tcW w:w="120" w:type="dxa"/>
            <w:vAlign w:val="bottom"/>
          </w:tcPr>
          <w:p>
            <w:pPr>
              <w:spacing w:after="0"/>
              <w:rPr>
                <w:sz w:val="22"/>
                <w:szCs w:val="22"/>
                <w:color w:val="auto"/>
              </w:rPr>
            </w:pPr>
          </w:p>
        </w:tc>
        <w:tc>
          <w:tcPr>
            <w:tcW w:w="380" w:type="dxa"/>
            <w:vAlign w:val="bottom"/>
          </w:tcPr>
          <w:p>
            <w:pPr>
              <w:spacing w:after="0"/>
              <w:rPr>
                <w:sz w:val="22"/>
                <w:szCs w:val="22"/>
                <w:color w:val="auto"/>
              </w:rPr>
            </w:pPr>
          </w:p>
        </w:tc>
        <w:tc>
          <w:tcPr>
            <w:tcW w:w="1220" w:type="dxa"/>
            <w:vAlign w:val="bottom"/>
          </w:tcPr>
          <w:p>
            <w:pPr>
              <w:jc w:val="right"/>
              <w:ind w:right="11"/>
              <w:spacing w:after="0"/>
              <w:rPr>
                <w:sz w:val="20"/>
                <w:szCs w:val="20"/>
                <w:color w:val="auto"/>
              </w:rPr>
            </w:pPr>
            <w:r>
              <w:rPr>
                <w:rFonts w:ascii="Arial" w:cs="Arial" w:eastAsia="Arial" w:hAnsi="Arial"/>
                <w:sz w:val="18"/>
                <w:szCs w:val="18"/>
                <w:color w:val="auto"/>
              </w:rPr>
              <w:t>1,839</w:t>
            </w:r>
          </w:p>
        </w:tc>
        <w:tc>
          <w:tcPr>
            <w:tcW w:w="120" w:type="dxa"/>
            <w:vAlign w:val="bottom"/>
          </w:tcPr>
          <w:p>
            <w:pPr>
              <w:spacing w:after="0"/>
              <w:rPr>
                <w:sz w:val="22"/>
                <w:szCs w:val="22"/>
                <w:color w:val="auto"/>
              </w:rPr>
            </w:pPr>
          </w:p>
        </w:tc>
        <w:tc>
          <w:tcPr>
            <w:tcW w:w="380" w:type="dxa"/>
            <w:vAlign w:val="bottom"/>
          </w:tcPr>
          <w:p>
            <w:pPr>
              <w:spacing w:after="0"/>
              <w:rPr>
                <w:sz w:val="22"/>
                <w:szCs w:val="22"/>
                <w:color w:val="auto"/>
              </w:rPr>
            </w:pPr>
          </w:p>
        </w:tc>
        <w:tc>
          <w:tcPr>
            <w:tcW w:w="1220" w:type="dxa"/>
            <w:vAlign w:val="bottom"/>
          </w:tcPr>
          <w:p>
            <w:pPr>
              <w:jc w:val="right"/>
              <w:ind w:right="11"/>
              <w:spacing w:after="0"/>
              <w:rPr>
                <w:sz w:val="20"/>
                <w:szCs w:val="20"/>
                <w:color w:val="auto"/>
              </w:rPr>
            </w:pPr>
            <w:r>
              <w:rPr>
                <w:rFonts w:ascii="Arial" w:cs="Arial" w:eastAsia="Arial" w:hAnsi="Arial"/>
                <w:sz w:val="18"/>
                <w:szCs w:val="18"/>
                <w:color w:val="auto"/>
              </w:rPr>
              <w:t>1,702</w:t>
            </w:r>
          </w:p>
        </w:tc>
      </w:tr>
      <w:tr>
        <w:trPr>
          <w:trHeight w:val="277"/>
        </w:trPr>
        <w:tc>
          <w:tcPr>
            <w:tcW w:w="6380" w:type="dxa"/>
            <w:vAlign w:val="bottom"/>
            <w:shd w:val="clear" w:color="auto" w:fill="CCEEFF"/>
          </w:tcPr>
          <w:p>
            <w:pPr>
              <w:ind w:left="380"/>
              <w:spacing w:after="0"/>
              <w:rPr>
                <w:sz w:val="20"/>
                <w:szCs w:val="20"/>
                <w:color w:val="auto"/>
              </w:rPr>
            </w:pPr>
            <w:r>
              <w:rPr>
                <w:rFonts w:ascii="Arial" w:cs="Arial" w:eastAsia="Arial" w:hAnsi="Arial"/>
                <w:sz w:val="18"/>
                <w:szCs w:val="18"/>
                <w:color w:val="auto"/>
              </w:rPr>
              <w:t>Special items, net</w:t>
            </w:r>
          </w:p>
        </w:tc>
        <w:tc>
          <w:tcPr>
            <w:tcW w:w="380" w:type="dxa"/>
            <w:vAlign w:val="bottom"/>
            <w:shd w:val="clear" w:color="auto" w:fill="CCEEFF"/>
          </w:tcPr>
          <w:p>
            <w:pPr>
              <w:spacing w:after="0"/>
              <w:rPr>
                <w:sz w:val="24"/>
                <w:szCs w:val="24"/>
                <w:color w:val="auto"/>
              </w:rPr>
            </w:pPr>
          </w:p>
        </w:tc>
        <w:tc>
          <w:tcPr>
            <w:tcW w:w="122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635</w:t>
            </w:r>
          </w:p>
        </w:tc>
        <w:tc>
          <w:tcPr>
            <w:tcW w:w="120" w:type="dxa"/>
            <w:vAlign w:val="bottom"/>
            <w:shd w:val="clear" w:color="auto" w:fill="CCEEFF"/>
          </w:tcPr>
          <w:p>
            <w:pPr>
              <w:spacing w:after="0"/>
              <w:rPr>
                <w:sz w:val="24"/>
                <w:szCs w:val="24"/>
                <w:color w:val="auto"/>
              </w:rPr>
            </w:pPr>
          </w:p>
        </w:tc>
        <w:tc>
          <w:tcPr>
            <w:tcW w:w="380" w:type="dxa"/>
            <w:vAlign w:val="bottom"/>
            <w:shd w:val="clear" w:color="auto" w:fill="CCEEFF"/>
          </w:tcPr>
          <w:p>
            <w:pPr>
              <w:spacing w:after="0"/>
              <w:rPr>
                <w:sz w:val="24"/>
                <w:szCs w:val="24"/>
                <w:color w:val="auto"/>
              </w:rPr>
            </w:pPr>
          </w:p>
        </w:tc>
        <w:tc>
          <w:tcPr>
            <w:tcW w:w="122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787</w:t>
            </w:r>
          </w:p>
        </w:tc>
        <w:tc>
          <w:tcPr>
            <w:tcW w:w="120" w:type="dxa"/>
            <w:vAlign w:val="bottom"/>
            <w:shd w:val="clear" w:color="auto" w:fill="CCEEFF"/>
          </w:tcPr>
          <w:p>
            <w:pPr>
              <w:spacing w:after="0"/>
              <w:rPr>
                <w:sz w:val="24"/>
                <w:szCs w:val="24"/>
                <w:color w:val="auto"/>
              </w:rPr>
            </w:pPr>
          </w:p>
        </w:tc>
        <w:tc>
          <w:tcPr>
            <w:tcW w:w="380" w:type="dxa"/>
            <w:vAlign w:val="bottom"/>
            <w:shd w:val="clear" w:color="auto" w:fill="CCEEFF"/>
          </w:tcPr>
          <w:p>
            <w:pPr>
              <w:spacing w:after="0"/>
              <w:rPr>
                <w:sz w:val="24"/>
                <w:szCs w:val="24"/>
                <w:color w:val="auto"/>
              </w:rPr>
            </w:pPr>
          </w:p>
        </w:tc>
        <w:tc>
          <w:tcPr>
            <w:tcW w:w="122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712</w:t>
            </w:r>
          </w:p>
        </w:tc>
      </w:tr>
      <w:tr>
        <w:trPr>
          <w:trHeight w:val="264"/>
        </w:trPr>
        <w:tc>
          <w:tcPr>
            <w:tcW w:w="6380" w:type="dxa"/>
            <w:vAlign w:val="bottom"/>
            <w:tcBorders>
              <w:bottom w:val="single" w:sz="8" w:color="CCEEFF"/>
            </w:tcBorders>
          </w:tcPr>
          <w:p>
            <w:pPr>
              <w:ind w:left="380"/>
              <w:spacing w:after="0"/>
              <w:rPr>
                <w:sz w:val="20"/>
                <w:szCs w:val="20"/>
                <w:color w:val="auto"/>
              </w:rPr>
            </w:pPr>
            <w:r>
              <w:rPr>
                <w:rFonts w:ascii="Arial" w:cs="Arial" w:eastAsia="Arial" w:hAnsi="Arial"/>
                <w:sz w:val="18"/>
                <w:szCs w:val="18"/>
                <w:color w:val="auto"/>
              </w:rPr>
              <w:t>Other</w:t>
            </w:r>
          </w:p>
        </w:tc>
        <w:tc>
          <w:tcPr>
            <w:tcW w:w="380" w:type="dxa"/>
            <w:vAlign w:val="bottom"/>
            <w:tcBorders>
              <w:bottom w:val="single" w:sz="8" w:color="auto"/>
            </w:tcBorders>
          </w:tcPr>
          <w:p>
            <w:pPr>
              <w:spacing w:after="0"/>
              <w:rPr>
                <w:sz w:val="22"/>
                <w:szCs w:val="22"/>
                <w:color w:val="auto"/>
              </w:rPr>
            </w:pPr>
          </w:p>
        </w:tc>
        <w:tc>
          <w:tcPr>
            <w:tcW w:w="1220" w:type="dxa"/>
            <w:vAlign w:val="bottom"/>
            <w:tcBorders>
              <w:bottom w:val="single" w:sz="8" w:color="auto"/>
            </w:tcBorders>
          </w:tcPr>
          <w:p>
            <w:pPr>
              <w:jc w:val="right"/>
              <w:ind w:right="11"/>
              <w:spacing w:after="0"/>
              <w:rPr>
                <w:sz w:val="20"/>
                <w:szCs w:val="20"/>
                <w:color w:val="auto"/>
              </w:rPr>
            </w:pPr>
            <w:r>
              <w:rPr>
                <w:rFonts w:ascii="Arial" w:cs="Arial" w:eastAsia="Arial" w:hAnsi="Arial"/>
                <w:sz w:val="18"/>
                <w:szCs w:val="18"/>
                <w:color w:val="auto"/>
              </w:rPr>
              <w:t>5,087</w:t>
            </w:r>
          </w:p>
        </w:tc>
        <w:tc>
          <w:tcPr>
            <w:tcW w:w="120" w:type="dxa"/>
            <w:vAlign w:val="bottom"/>
            <w:tcBorders>
              <w:bottom w:val="single" w:sz="8" w:color="CCEEFF"/>
            </w:tcBorders>
          </w:tcPr>
          <w:p>
            <w:pPr>
              <w:spacing w:after="0"/>
              <w:rPr>
                <w:sz w:val="22"/>
                <w:szCs w:val="22"/>
                <w:color w:val="auto"/>
              </w:rPr>
            </w:pPr>
          </w:p>
        </w:tc>
        <w:tc>
          <w:tcPr>
            <w:tcW w:w="380" w:type="dxa"/>
            <w:vAlign w:val="bottom"/>
            <w:tcBorders>
              <w:bottom w:val="single" w:sz="8" w:color="auto"/>
            </w:tcBorders>
          </w:tcPr>
          <w:p>
            <w:pPr>
              <w:spacing w:after="0"/>
              <w:rPr>
                <w:sz w:val="22"/>
                <w:szCs w:val="22"/>
                <w:color w:val="auto"/>
              </w:rPr>
            </w:pPr>
          </w:p>
        </w:tc>
        <w:tc>
          <w:tcPr>
            <w:tcW w:w="1220" w:type="dxa"/>
            <w:vAlign w:val="bottom"/>
            <w:tcBorders>
              <w:bottom w:val="single" w:sz="8" w:color="auto"/>
            </w:tcBorders>
          </w:tcPr>
          <w:p>
            <w:pPr>
              <w:jc w:val="right"/>
              <w:ind w:right="11"/>
              <w:spacing w:after="0"/>
              <w:rPr>
                <w:sz w:val="20"/>
                <w:szCs w:val="20"/>
                <w:color w:val="auto"/>
              </w:rPr>
            </w:pPr>
            <w:r>
              <w:rPr>
                <w:rFonts w:ascii="Arial" w:cs="Arial" w:eastAsia="Arial" w:hAnsi="Arial"/>
                <w:sz w:val="18"/>
                <w:szCs w:val="18"/>
                <w:color w:val="auto"/>
              </w:rPr>
              <w:t>5,088</w:t>
            </w:r>
          </w:p>
        </w:tc>
        <w:tc>
          <w:tcPr>
            <w:tcW w:w="120" w:type="dxa"/>
            <w:vAlign w:val="bottom"/>
            <w:tcBorders>
              <w:bottom w:val="single" w:sz="8" w:color="CCEEFF"/>
            </w:tcBorders>
          </w:tcPr>
          <w:p>
            <w:pPr>
              <w:spacing w:after="0"/>
              <w:rPr>
                <w:sz w:val="22"/>
                <w:szCs w:val="22"/>
                <w:color w:val="auto"/>
              </w:rPr>
            </w:pPr>
          </w:p>
        </w:tc>
        <w:tc>
          <w:tcPr>
            <w:tcW w:w="380" w:type="dxa"/>
            <w:vAlign w:val="bottom"/>
            <w:tcBorders>
              <w:bottom w:val="single" w:sz="8" w:color="auto"/>
            </w:tcBorders>
          </w:tcPr>
          <w:p>
            <w:pPr>
              <w:spacing w:after="0"/>
              <w:rPr>
                <w:sz w:val="22"/>
                <w:szCs w:val="22"/>
                <w:color w:val="auto"/>
              </w:rPr>
            </w:pPr>
          </w:p>
        </w:tc>
        <w:tc>
          <w:tcPr>
            <w:tcW w:w="1220" w:type="dxa"/>
            <w:vAlign w:val="bottom"/>
            <w:tcBorders>
              <w:bottom w:val="single" w:sz="8" w:color="auto"/>
            </w:tcBorders>
          </w:tcPr>
          <w:p>
            <w:pPr>
              <w:jc w:val="right"/>
              <w:ind w:right="11"/>
              <w:spacing w:after="0"/>
              <w:rPr>
                <w:sz w:val="20"/>
                <w:szCs w:val="20"/>
                <w:color w:val="auto"/>
              </w:rPr>
            </w:pPr>
            <w:r>
              <w:rPr>
                <w:rFonts w:ascii="Arial" w:cs="Arial" w:eastAsia="Arial" w:hAnsi="Arial"/>
                <w:sz w:val="18"/>
                <w:szCs w:val="18"/>
                <w:color w:val="auto"/>
              </w:rPr>
              <w:t>4,910</w:t>
            </w:r>
          </w:p>
        </w:tc>
      </w:tr>
      <w:tr>
        <w:trPr>
          <w:trHeight w:val="257"/>
        </w:trPr>
        <w:tc>
          <w:tcPr>
            <w:tcW w:w="6380" w:type="dxa"/>
            <w:vAlign w:val="bottom"/>
            <w:shd w:val="clear" w:color="auto" w:fill="CCEEFF"/>
          </w:tcPr>
          <w:p>
            <w:pPr>
              <w:ind w:left="720"/>
              <w:spacing w:after="0"/>
              <w:rPr>
                <w:sz w:val="20"/>
                <w:szCs w:val="20"/>
                <w:color w:val="auto"/>
              </w:rPr>
            </w:pPr>
            <w:r>
              <w:rPr>
                <w:rFonts w:ascii="Arial" w:cs="Arial" w:eastAsia="Arial" w:hAnsi="Arial"/>
                <w:sz w:val="18"/>
                <w:szCs w:val="18"/>
                <w:color w:val="auto"/>
              </w:rPr>
              <w:t>Total operating expenses</w:t>
            </w:r>
          </w:p>
        </w:tc>
        <w:tc>
          <w:tcPr>
            <w:tcW w:w="380" w:type="dxa"/>
            <w:vAlign w:val="bottom"/>
            <w:tcBorders>
              <w:bottom w:val="single" w:sz="8" w:color="auto"/>
            </w:tcBorders>
            <w:shd w:val="clear" w:color="auto" w:fill="CCEEFF"/>
          </w:tcPr>
          <w:p>
            <w:pPr>
              <w:spacing w:after="0"/>
              <w:rPr>
                <w:sz w:val="22"/>
                <w:szCs w:val="22"/>
                <w:color w:val="auto"/>
              </w:rPr>
            </w:pPr>
          </w:p>
        </w:tc>
        <w:tc>
          <w:tcPr>
            <w:tcW w:w="1220" w:type="dxa"/>
            <w:vAlign w:val="bottom"/>
            <w:tcBorders>
              <w:bottom w:val="single" w:sz="8" w:color="auto"/>
            </w:tcBorders>
            <w:shd w:val="clear" w:color="auto" w:fill="CCEEFF"/>
          </w:tcPr>
          <w:p>
            <w:pPr>
              <w:jc w:val="right"/>
              <w:ind w:right="11"/>
              <w:spacing w:after="0"/>
              <w:rPr>
                <w:sz w:val="20"/>
                <w:szCs w:val="20"/>
                <w:color w:val="auto"/>
              </w:rPr>
            </w:pPr>
            <w:r>
              <w:rPr>
                <w:rFonts w:ascii="Arial" w:cs="Arial" w:eastAsia="Arial" w:hAnsi="Arial"/>
                <w:sz w:val="18"/>
                <w:szCs w:val="18"/>
                <w:color w:val="auto"/>
              </w:rPr>
              <w:t>42,703</w:t>
            </w:r>
          </w:p>
        </w:tc>
        <w:tc>
          <w:tcPr>
            <w:tcW w:w="120" w:type="dxa"/>
            <w:vAlign w:val="bottom"/>
            <w:shd w:val="clear" w:color="auto" w:fill="CCEEFF"/>
          </w:tcPr>
          <w:p>
            <w:pPr>
              <w:spacing w:after="0"/>
              <w:rPr>
                <w:sz w:val="22"/>
                <w:szCs w:val="22"/>
                <w:color w:val="auto"/>
              </w:rPr>
            </w:pPr>
          </w:p>
        </w:tc>
        <w:tc>
          <w:tcPr>
            <w:tcW w:w="380" w:type="dxa"/>
            <w:vAlign w:val="bottom"/>
            <w:tcBorders>
              <w:bottom w:val="single" w:sz="8" w:color="auto"/>
            </w:tcBorders>
            <w:shd w:val="clear" w:color="auto" w:fill="CCEEFF"/>
          </w:tcPr>
          <w:p>
            <w:pPr>
              <w:spacing w:after="0"/>
              <w:rPr>
                <w:sz w:val="22"/>
                <w:szCs w:val="22"/>
                <w:color w:val="auto"/>
              </w:rPr>
            </w:pPr>
          </w:p>
        </w:tc>
        <w:tc>
          <w:tcPr>
            <w:tcW w:w="1220" w:type="dxa"/>
            <w:vAlign w:val="bottom"/>
            <w:tcBorders>
              <w:bottom w:val="single" w:sz="8" w:color="auto"/>
            </w:tcBorders>
            <w:shd w:val="clear" w:color="auto" w:fill="CCEEFF"/>
          </w:tcPr>
          <w:p>
            <w:pPr>
              <w:jc w:val="right"/>
              <w:ind w:right="11"/>
              <w:spacing w:after="0"/>
              <w:rPr>
                <w:sz w:val="20"/>
                <w:szCs w:val="20"/>
                <w:color w:val="auto"/>
              </w:rPr>
            </w:pPr>
            <w:r>
              <w:rPr>
                <w:rFonts w:ascii="Arial" w:cs="Arial" w:eastAsia="Arial" w:hAnsi="Arial"/>
                <w:sz w:val="18"/>
                <w:szCs w:val="18"/>
                <w:color w:val="auto"/>
              </w:rPr>
              <w:t>41,885</w:t>
            </w:r>
          </w:p>
        </w:tc>
        <w:tc>
          <w:tcPr>
            <w:tcW w:w="120" w:type="dxa"/>
            <w:vAlign w:val="bottom"/>
            <w:shd w:val="clear" w:color="auto" w:fill="CCEEFF"/>
          </w:tcPr>
          <w:p>
            <w:pPr>
              <w:spacing w:after="0"/>
              <w:rPr>
                <w:sz w:val="22"/>
                <w:szCs w:val="22"/>
                <w:color w:val="auto"/>
              </w:rPr>
            </w:pPr>
          </w:p>
        </w:tc>
        <w:tc>
          <w:tcPr>
            <w:tcW w:w="380" w:type="dxa"/>
            <w:vAlign w:val="bottom"/>
            <w:tcBorders>
              <w:bottom w:val="single" w:sz="8" w:color="auto"/>
            </w:tcBorders>
            <w:shd w:val="clear" w:color="auto" w:fill="CCEEFF"/>
          </w:tcPr>
          <w:p>
            <w:pPr>
              <w:spacing w:after="0"/>
              <w:rPr>
                <w:sz w:val="22"/>
                <w:szCs w:val="22"/>
                <w:color w:val="auto"/>
              </w:rPr>
            </w:pPr>
          </w:p>
        </w:tc>
        <w:tc>
          <w:tcPr>
            <w:tcW w:w="1220" w:type="dxa"/>
            <w:vAlign w:val="bottom"/>
            <w:tcBorders>
              <w:bottom w:val="single" w:sz="8" w:color="auto"/>
            </w:tcBorders>
            <w:shd w:val="clear" w:color="auto" w:fill="CCEEFF"/>
          </w:tcPr>
          <w:p>
            <w:pPr>
              <w:jc w:val="right"/>
              <w:ind w:right="11"/>
              <w:spacing w:after="0"/>
              <w:rPr>
                <w:sz w:val="20"/>
                <w:szCs w:val="20"/>
                <w:color w:val="auto"/>
              </w:rPr>
            </w:pPr>
            <w:r>
              <w:rPr>
                <w:rFonts w:ascii="Arial" w:cs="Arial" w:eastAsia="Arial" w:hAnsi="Arial"/>
                <w:sz w:val="18"/>
                <w:szCs w:val="18"/>
                <w:color w:val="auto"/>
              </w:rPr>
              <w:t>38,391</w:t>
            </w:r>
          </w:p>
        </w:tc>
      </w:tr>
      <w:tr>
        <w:trPr>
          <w:trHeight w:val="243"/>
        </w:trPr>
        <w:tc>
          <w:tcPr>
            <w:tcW w:w="6380" w:type="dxa"/>
            <w:vAlign w:val="bottom"/>
          </w:tcPr>
          <w:p>
            <w:pPr>
              <w:ind w:left="40"/>
              <w:spacing w:after="0"/>
              <w:rPr>
                <w:sz w:val="20"/>
                <w:szCs w:val="20"/>
                <w:color w:val="auto"/>
              </w:rPr>
            </w:pPr>
            <w:r>
              <w:rPr>
                <w:rFonts w:ascii="Arial" w:cs="Arial" w:eastAsia="Arial" w:hAnsi="Arial"/>
                <w:sz w:val="18"/>
                <w:szCs w:val="18"/>
                <w:b w:val="1"/>
                <w:bCs w:val="1"/>
                <w:color w:val="auto"/>
              </w:rPr>
              <w:t>Operating income</w:t>
            </w:r>
          </w:p>
        </w:tc>
        <w:tc>
          <w:tcPr>
            <w:tcW w:w="380" w:type="dxa"/>
            <w:vAlign w:val="bottom"/>
          </w:tcPr>
          <w:p>
            <w:pPr>
              <w:spacing w:after="0"/>
              <w:rPr>
                <w:sz w:val="21"/>
                <w:szCs w:val="21"/>
                <w:color w:val="auto"/>
              </w:rPr>
            </w:pPr>
          </w:p>
        </w:tc>
        <w:tc>
          <w:tcPr>
            <w:tcW w:w="1220" w:type="dxa"/>
            <w:vAlign w:val="bottom"/>
          </w:tcPr>
          <w:p>
            <w:pPr>
              <w:jc w:val="right"/>
              <w:ind w:right="11"/>
              <w:spacing w:after="0"/>
              <w:rPr>
                <w:sz w:val="20"/>
                <w:szCs w:val="20"/>
                <w:color w:val="auto"/>
              </w:rPr>
            </w:pPr>
            <w:r>
              <w:rPr>
                <w:rFonts w:ascii="Arial" w:cs="Arial" w:eastAsia="Arial" w:hAnsi="Arial"/>
                <w:sz w:val="18"/>
                <w:szCs w:val="18"/>
                <w:color w:val="auto"/>
              </w:rPr>
              <w:t>3,065</w:t>
            </w:r>
          </w:p>
        </w:tc>
        <w:tc>
          <w:tcPr>
            <w:tcW w:w="12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220" w:type="dxa"/>
            <w:vAlign w:val="bottom"/>
          </w:tcPr>
          <w:p>
            <w:pPr>
              <w:jc w:val="right"/>
              <w:ind w:right="11"/>
              <w:spacing w:after="0"/>
              <w:rPr>
                <w:sz w:val="20"/>
                <w:szCs w:val="20"/>
                <w:color w:val="auto"/>
              </w:rPr>
            </w:pPr>
            <w:r>
              <w:rPr>
                <w:rFonts w:ascii="Arial" w:cs="Arial" w:eastAsia="Arial" w:hAnsi="Arial"/>
                <w:sz w:val="18"/>
                <w:szCs w:val="18"/>
                <w:color w:val="auto"/>
              </w:rPr>
              <w:t>2,656</w:t>
            </w:r>
          </w:p>
        </w:tc>
        <w:tc>
          <w:tcPr>
            <w:tcW w:w="12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220" w:type="dxa"/>
            <w:vAlign w:val="bottom"/>
          </w:tcPr>
          <w:p>
            <w:pPr>
              <w:jc w:val="right"/>
              <w:ind w:right="11"/>
              <w:spacing w:after="0"/>
              <w:rPr>
                <w:sz w:val="20"/>
                <w:szCs w:val="20"/>
                <w:color w:val="auto"/>
              </w:rPr>
            </w:pPr>
            <w:r>
              <w:rPr>
                <w:rFonts w:ascii="Arial" w:cs="Arial" w:eastAsia="Arial" w:hAnsi="Arial"/>
                <w:sz w:val="18"/>
                <w:szCs w:val="18"/>
                <w:color w:val="auto"/>
              </w:rPr>
              <w:t>4,231</w:t>
            </w:r>
          </w:p>
        </w:tc>
      </w:tr>
      <w:tr>
        <w:trPr>
          <w:trHeight w:val="257"/>
        </w:trPr>
        <w:tc>
          <w:tcPr>
            <w:tcW w:w="63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Nonoperating income (expense):</w:t>
            </w:r>
          </w:p>
        </w:tc>
        <w:tc>
          <w:tcPr>
            <w:tcW w:w="380" w:type="dxa"/>
            <w:vAlign w:val="bottom"/>
            <w:tcBorders>
              <w:bottom w:val="single" w:sz="8" w:color="CCEEFF"/>
            </w:tcBorders>
            <w:shd w:val="clear" w:color="auto" w:fill="CCEEFF"/>
          </w:tcPr>
          <w:p>
            <w:pPr>
              <w:spacing w:after="0"/>
              <w:rPr>
                <w:sz w:val="22"/>
                <w:szCs w:val="22"/>
                <w:color w:val="auto"/>
              </w:rPr>
            </w:pPr>
          </w:p>
        </w:tc>
        <w:tc>
          <w:tcPr>
            <w:tcW w:w="122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380" w:type="dxa"/>
            <w:vAlign w:val="bottom"/>
            <w:tcBorders>
              <w:bottom w:val="single" w:sz="8" w:color="CCEEFF"/>
            </w:tcBorders>
            <w:shd w:val="clear" w:color="auto" w:fill="CCEEFF"/>
          </w:tcPr>
          <w:p>
            <w:pPr>
              <w:spacing w:after="0"/>
              <w:rPr>
                <w:sz w:val="22"/>
                <w:szCs w:val="22"/>
                <w:color w:val="auto"/>
              </w:rPr>
            </w:pPr>
          </w:p>
        </w:tc>
        <w:tc>
          <w:tcPr>
            <w:tcW w:w="122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380" w:type="dxa"/>
            <w:vAlign w:val="bottom"/>
            <w:tcBorders>
              <w:bottom w:val="single" w:sz="8" w:color="CCEEFF"/>
            </w:tcBorders>
            <w:shd w:val="clear" w:color="auto" w:fill="CCEEFF"/>
          </w:tcPr>
          <w:p>
            <w:pPr>
              <w:spacing w:after="0"/>
              <w:rPr>
                <w:sz w:val="22"/>
                <w:szCs w:val="22"/>
                <w:color w:val="auto"/>
              </w:rPr>
            </w:pPr>
          </w:p>
        </w:tc>
        <w:tc>
          <w:tcPr>
            <w:tcW w:w="1220" w:type="dxa"/>
            <w:vAlign w:val="bottom"/>
            <w:tcBorders>
              <w:bottom w:val="single" w:sz="8" w:color="CCEEFF"/>
            </w:tcBorders>
            <w:shd w:val="clear" w:color="auto" w:fill="CCEEFF"/>
          </w:tcPr>
          <w:p>
            <w:pPr>
              <w:spacing w:after="0"/>
              <w:rPr>
                <w:sz w:val="22"/>
                <w:szCs w:val="22"/>
                <w:color w:val="auto"/>
              </w:rPr>
            </w:pPr>
          </w:p>
        </w:tc>
      </w:tr>
      <w:tr>
        <w:trPr>
          <w:trHeight w:val="263"/>
        </w:trPr>
        <w:tc>
          <w:tcPr>
            <w:tcW w:w="6380" w:type="dxa"/>
            <w:vAlign w:val="bottom"/>
          </w:tcPr>
          <w:p>
            <w:pPr>
              <w:ind w:left="380"/>
              <w:spacing w:after="0"/>
              <w:rPr>
                <w:sz w:val="20"/>
                <w:szCs w:val="20"/>
                <w:color w:val="auto"/>
              </w:rPr>
            </w:pPr>
            <w:r>
              <w:rPr>
                <w:rFonts w:ascii="Arial" w:cs="Arial" w:eastAsia="Arial" w:hAnsi="Arial"/>
                <w:sz w:val="18"/>
                <w:szCs w:val="18"/>
                <w:color w:val="auto"/>
              </w:rPr>
              <w:t>Interest income</w:t>
            </w:r>
          </w:p>
        </w:tc>
        <w:tc>
          <w:tcPr>
            <w:tcW w:w="380" w:type="dxa"/>
            <w:vAlign w:val="bottom"/>
          </w:tcPr>
          <w:p>
            <w:pPr>
              <w:spacing w:after="0"/>
              <w:rPr>
                <w:sz w:val="22"/>
                <w:szCs w:val="22"/>
                <w:color w:val="auto"/>
              </w:rPr>
            </w:pPr>
          </w:p>
        </w:tc>
        <w:tc>
          <w:tcPr>
            <w:tcW w:w="1220" w:type="dxa"/>
            <w:vAlign w:val="bottom"/>
          </w:tcPr>
          <w:p>
            <w:pPr>
              <w:jc w:val="right"/>
              <w:ind w:right="11"/>
              <w:spacing w:after="0"/>
              <w:rPr>
                <w:sz w:val="20"/>
                <w:szCs w:val="20"/>
                <w:color w:val="auto"/>
              </w:rPr>
            </w:pPr>
            <w:r>
              <w:rPr>
                <w:rFonts w:ascii="Arial" w:cs="Arial" w:eastAsia="Arial" w:hAnsi="Arial"/>
                <w:sz w:val="18"/>
                <w:szCs w:val="18"/>
                <w:color w:val="auto"/>
              </w:rPr>
              <w:t>127</w:t>
            </w:r>
          </w:p>
        </w:tc>
        <w:tc>
          <w:tcPr>
            <w:tcW w:w="120" w:type="dxa"/>
            <w:vAlign w:val="bottom"/>
          </w:tcPr>
          <w:p>
            <w:pPr>
              <w:spacing w:after="0"/>
              <w:rPr>
                <w:sz w:val="22"/>
                <w:szCs w:val="22"/>
                <w:color w:val="auto"/>
              </w:rPr>
            </w:pPr>
          </w:p>
        </w:tc>
        <w:tc>
          <w:tcPr>
            <w:tcW w:w="380" w:type="dxa"/>
            <w:vAlign w:val="bottom"/>
          </w:tcPr>
          <w:p>
            <w:pPr>
              <w:spacing w:after="0"/>
              <w:rPr>
                <w:sz w:val="22"/>
                <w:szCs w:val="22"/>
                <w:color w:val="auto"/>
              </w:rPr>
            </w:pPr>
          </w:p>
        </w:tc>
        <w:tc>
          <w:tcPr>
            <w:tcW w:w="1220" w:type="dxa"/>
            <w:vAlign w:val="bottom"/>
          </w:tcPr>
          <w:p>
            <w:pPr>
              <w:jc w:val="right"/>
              <w:ind w:right="11"/>
              <w:spacing w:after="0"/>
              <w:rPr>
                <w:sz w:val="20"/>
                <w:szCs w:val="20"/>
                <w:color w:val="auto"/>
              </w:rPr>
            </w:pPr>
            <w:r>
              <w:rPr>
                <w:rFonts w:ascii="Arial" w:cs="Arial" w:eastAsia="Arial" w:hAnsi="Arial"/>
                <w:sz w:val="18"/>
                <w:szCs w:val="18"/>
                <w:color w:val="auto"/>
              </w:rPr>
              <w:t>118</w:t>
            </w:r>
          </w:p>
        </w:tc>
        <w:tc>
          <w:tcPr>
            <w:tcW w:w="120" w:type="dxa"/>
            <w:vAlign w:val="bottom"/>
          </w:tcPr>
          <w:p>
            <w:pPr>
              <w:spacing w:after="0"/>
              <w:rPr>
                <w:sz w:val="22"/>
                <w:szCs w:val="22"/>
                <w:color w:val="auto"/>
              </w:rPr>
            </w:pPr>
          </w:p>
        </w:tc>
        <w:tc>
          <w:tcPr>
            <w:tcW w:w="380" w:type="dxa"/>
            <w:vAlign w:val="bottom"/>
          </w:tcPr>
          <w:p>
            <w:pPr>
              <w:spacing w:after="0"/>
              <w:rPr>
                <w:sz w:val="22"/>
                <w:szCs w:val="22"/>
                <w:color w:val="auto"/>
              </w:rPr>
            </w:pPr>
          </w:p>
        </w:tc>
        <w:tc>
          <w:tcPr>
            <w:tcW w:w="1220" w:type="dxa"/>
            <w:vAlign w:val="bottom"/>
          </w:tcPr>
          <w:p>
            <w:pPr>
              <w:jc w:val="right"/>
              <w:ind w:right="11"/>
              <w:spacing w:after="0"/>
              <w:rPr>
                <w:sz w:val="20"/>
                <w:szCs w:val="20"/>
                <w:color w:val="auto"/>
              </w:rPr>
            </w:pPr>
            <w:r>
              <w:rPr>
                <w:rFonts w:ascii="Arial" w:cs="Arial" w:eastAsia="Arial" w:hAnsi="Arial"/>
                <w:sz w:val="18"/>
                <w:szCs w:val="18"/>
                <w:color w:val="auto"/>
              </w:rPr>
              <w:t>94</w:t>
            </w:r>
          </w:p>
        </w:tc>
      </w:tr>
      <w:tr>
        <w:trPr>
          <w:trHeight w:val="277"/>
        </w:trPr>
        <w:tc>
          <w:tcPr>
            <w:tcW w:w="6380" w:type="dxa"/>
            <w:vAlign w:val="bottom"/>
            <w:shd w:val="clear" w:color="auto" w:fill="CCEEFF"/>
          </w:tcPr>
          <w:p>
            <w:pPr>
              <w:ind w:left="380"/>
              <w:spacing w:after="0"/>
              <w:rPr>
                <w:sz w:val="20"/>
                <w:szCs w:val="20"/>
                <w:color w:val="auto"/>
              </w:rPr>
            </w:pPr>
            <w:r>
              <w:rPr>
                <w:rFonts w:ascii="Arial" w:cs="Arial" w:eastAsia="Arial" w:hAnsi="Arial"/>
                <w:sz w:val="18"/>
                <w:szCs w:val="18"/>
                <w:color w:val="auto"/>
              </w:rPr>
              <w:t>Interest expense, net</w:t>
            </w:r>
          </w:p>
        </w:tc>
        <w:tc>
          <w:tcPr>
            <w:tcW w:w="380" w:type="dxa"/>
            <w:vAlign w:val="bottom"/>
            <w:shd w:val="clear" w:color="auto" w:fill="CCEEFF"/>
          </w:tcPr>
          <w:p>
            <w:pPr>
              <w:spacing w:after="0"/>
              <w:rPr>
                <w:sz w:val="24"/>
                <w:szCs w:val="24"/>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(1,095)</w:t>
            </w:r>
          </w:p>
        </w:tc>
        <w:tc>
          <w:tcPr>
            <w:tcW w:w="120" w:type="dxa"/>
            <w:vAlign w:val="bottom"/>
            <w:shd w:val="clear" w:color="auto" w:fill="CCEEFF"/>
          </w:tcPr>
          <w:p>
            <w:pPr>
              <w:spacing w:after="0"/>
              <w:rPr>
                <w:sz w:val="24"/>
                <w:szCs w:val="24"/>
                <w:color w:val="auto"/>
              </w:rPr>
            </w:pPr>
          </w:p>
        </w:tc>
        <w:tc>
          <w:tcPr>
            <w:tcW w:w="380" w:type="dxa"/>
            <w:vAlign w:val="bottom"/>
            <w:shd w:val="clear" w:color="auto" w:fill="CCEEFF"/>
          </w:tcPr>
          <w:p>
            <w:pPr>
              <w:spacing w:after="0"/>
              <w:rPr>
                <w:sz w:val="24"/>
                <w:szCs w:val="24"/>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(1,056)</w:t>
            </w:r>
          </w:p>
        </w:tc>
        <w:tc>
          <w:tcPr>
            <w:tcW w:w="120" w:type="dxa"/>
            <w:vAlign w:val="bottom"/>
            <w:shd w:val="clear" w:color="auto" w:fill="CCEEFF"/>
          </w:tcPr>
          <w:p>
            <w:pPr>
              <w:spacing w:after="0"/>
              <w:rPr>
                <w:sz w:val="24"/>
                <w:szCs w:val="24"/>
                <w:color w:val="auto"/>
              </w:rPr>
            </w:pPr>
          </w:p>
        </w:tc>
        <w:tc>
          <w:tcPr>
            <w:tcW w:w="380" w:type="dxa"/>
            <w:vAlign w:val="bottom"/>
            <w:shd w:val="clear" w:color="auto" w:fill="CCEEFF"/>
          </w:tcPr>
          <w:p>
            <w:pPr>
              <w:spacing w:after="0"/>
              <w:rPr>
                <w:sz w:val="24"/>
                <w:szCs w:val="24"/>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(1,053)</w:t>
            </w:r>
          </w:p>
        </w:tc>
      </w:tr>
      <w:tr>
        <w:trPr>
          <w:trHeight w:val="264"/>
        </w:trPr>
        <w:tc>
          <w:tcPr>
            <w:tcW w:w="6380" w:type="dxa"/>
            <w:vAlign w:val="bottom"/>
            <w:tcBorders>
              <w:bottom w:val="single" w:sz="8" w:color="CCEEFF"/>
            </w:tcBorders>
          </w:tcPr>
          <w:p>
            <w:pPr>
              <w:ind w:left="380"/>
              <w:spacing w:after="0"/>
              <w:rPr>
                <w:sz w:val="20"/>
                <w:szCs w:val="20"/>
                <w:color w:val="auto"/>
              </w:rPr>
            </w:pPr>
            <w:r>
              <w:rPr>
                <w:rFonts w:ascii="Arial" w:cs="Arial" w:eastAsia="Arial" w:hAnsi="Arial"/>
                <w:sz w:val="18"/>
                <w:szCs w:val="18"/>
                <w:color w:val="auto"/>
              </w:rPr>
              <w:t>Other income, net</w:t>
            </w:r>
          </w:p>
        </w:tc>
        <w:tc>
          <w:tcPr>
            <w:tcW w:w="380" w:type="dxa"/>
            <w:vAlign w:val="bottom"/>
            <w:tcBorders>
              <w:bottom w:val="single" w:sz="8" w:color="auto"/>
            </w:tcBorders>
          </w:tcPr>
          <w:p>
            <w:pPr>
              <w:spacing w:after="0"/>
              <w:rPr>
                <w:sz w:val="22"/>
                <w:szCs w:val="22"/>
                <w:color w:val="auto"/>
              </w:rPr>
            </w:pPr>
          </w:p>
        </w:tc>
        <w:tc>
          <w:tcPr>
            <w:tcW w:w="1220" w:type="dxa"/>
            <w:vAlign w:val="bottom"/>
            <w:tcBorders>
              <w:bottom w:val="single" w:sz="8" w:color="auto"/>
            </w:tcBorders>
          </w:tcPr>
          <w:p>
            <w:pPr>
              <w:jc w:val="right"/>
              <w:ind w:right="11"/>
              <w:spacing w:after="0"/>
              <w:rPr>
                <w:sz w:val="20"/>
                <w:szCs w:val="20"/>
                <w:color w:val="auto"/>
              </w:rPr>
            </w:pPr>
            <w:r>
              <w:rPr>
                <w:rFonts w:ascii="Arial" w:cs="Arial" w:eastAsia="Arial" w:hAnsi="Arial"/>
                <w:sz w:val="18"/>
                <w:szCs w:val="18"/>
                <w:color w:val="auto"/>
              </w:rPr>
              <w:t>159</w:t>
            </w:r>
          </w:p>
        </w:tc>
        <w:tc>
          <w:tcPr>
            <w:tcW w:w="120" w:type="dxa"/>
            <w:vAlign w:val="bottom"/>
            <w:tcBorders>
              <w:bottom w:val="single" w:sz="8" w:color="CCEEFF"/>
            </w:tcBorders>
          </w:tcPr>
          <w:p>
            <w:pPr>
              <w:spacing w:after="0"/>
              <w:rPr>
                <w:sz w:val="22"/>
                <w:szCs w:val="22"/>
                <w:color w:val="auto"/>
              </w:rPr>
            </w:pPr>
          </w:p>
        </w:tc>
        <w:tc>
          <w:tcPr>
            <w:tcW w:w="380" w:type="dxa"/>
            <w:vAlign w:val="bottom"/>
            <w:tcBorders>
              <w:bottom w:val="single" w:sz="8" w:color="auto"/>
            </w:tcBorders>
          </w:tcPr>
          <w:p>
            <w:pPr>
              <w:spacing w:after="0"/>
              <w:rPr>
                <w:sz w:val="22"/>
                <w:szCs w:val="22"/>
                <w:color w:val="auto"/>
              </w:rPr>
            </w:pPr>
          </w:p>
        </w:tc>
        <w:tc>
          <w:tcPr>
            <w:tcW w:w="1220" w:type="dxa"/>
            <w:vAlign w:val="bottom"/>
            <w:tcBorders>
              <w:bottom w:val="single" w:sz="8" w:color="auto"/>
            </w:tcBorders>
          </w:tcPr>
          <w:p>
            <w:pPr>
              <w:jc w:val="right"/>
              <w:ind w:right="11"/>
              <w:spacing w:after="0"/>
              <w:rPr>
                <w:sz w:val="20"/>
                <w:szCs w:val="20"/>
                <w:color w:val="auto"/>
              </w:rPr>
            </w:pPr>
            <w:r>
              <w:rPr>
                <w:rFonts w:ascii="Arial" w:cs="Arial" w:eastAsia="Arial" w:hAnsi="Arial"/>
                <w:sz w:val="18"/>
                <w:szCs w:val="18"/>
                <w:color w:val="auto"/>
              </w:rPr>
              <w:t>166</w:t>
            </w:r>
          </w:p>
        </w:tc>
        <w:tc>
          <w:tcPr>
            <w:tcW w:w="120" w:type="dxa"/>
            <w:vAlign w:val="bottom"/>
            <w:tcBorders>
              <w:bottom w:val="single" w:sz="8" w:color="CCEEFF"/>
            </w:tcBorders>
          </w:tcPr>
          <w:p>
            <w:pPr>
              <w:spacing w:after="0"/>
              <w:rPr>
                <w:sz w:val="22"/>
                <w:szCs w:val="22"/>
                <w:color w:val="auto"/>
              </w:rPr>
            </w:pPr>
          </w:p>
        </w:tc>
        <w:tc>
          <w:tcPr>
            <w:tcW w:w="380" w:type="dxa"/>
            <w:vAlign w:val="bottom"/>
            <w:tcBorders>
              <w:bottom w:val="single" w:sz="8" w:color="auto"/>
            </w:tcBorders>
          </w:tcPr>
          <w:p>
            <w:pPr>
              <w:spacing w:after="0"/>
              <w:rPr>
                <w:sz w:val="22"/>
                <w:szCs w:val="22"/>
                <w:color w:val="auto"/>
              </w:rPr>
            </w:pPr>
          </w:p>
        </w:tc>
        <w:tc>
          <w:tcPr>
            <w:tcW w:w="1220" w:type="dxa"/>
            <w:vAlign w:val="bottom"/>
            <w:tcBorders>
              <w:bottom w:val="single" w:sz="8" w:color="auto"/>
            </w:tcBorders>
          </w:tcPr>
          <w:p>
            <w:pPr>
              <w:jc w:val="right"/>
              <w:ind w:right="11"/>
              <w:spacing w:after="0"/>
              <w:rPr>
                <w:sz w:val="20"/>
                <w:szCs w:val="20"/>
                <w:color w:val="auto"/>
              </w:rPr>
            </w:pPr>
            <w:r>
              <w:rPr>
                <w:rFonts w:ascii="Arial" w:cs="Arial" w:eastAsia="Arial" w:hAnsi="Arial"/>
                <w:sz w:val="18"/>
                <w:szCs w:val="18"/>
                <w:color w:val="auto"/>
              </w:rPr>
              <w:t>123</w:t>
            </w:r>
          </w:p>
        </w:tc>
      </w:tr>
      <w:tr>
        <w:trPr>
          <w:trHeight w:val="257"/>
        </w:trPr>
        <w:tc>
          <w:tcPr>
            <w:tcW w:w="6380" w:type="dxa"/>
            <w:vAlign w:val="bottom"/>
            <w:shd w:val="clear" w:color="auto" w:fill="CCEEFF"/>
          </w:tcPr>
          <w:p>
            <w:pPr>
              <w:ind w:left="600"/>
              <w:spacing w:after="0"/>
              <w:rPr>
                <w:sz w:val="20"/>
                <w:szCs w:val="20"/>
                <w:color w:val="auto"/>
              </w:rPr>
            </w:pPr>
            <w:r>
              <w:rPr>
                <w:rFonts w:ascii="Arial" w:cs="Arial" w:eastAsia="Arial" w:hAnsi="Arial"/>
                <w:sz w:val="18"/>
                <w:szCs w:val="18"/>
                <w:color w:val="auto"/>
              </w:rPr>
              <w:t>Total nonoperating expense, net</w:t>
            </w:r>
          </w:p>
        </w:tc>
        <w:tc>
          <w:tcPr>
            <w:tcW w:w="380" w:type="dxa"/>
            <w:vAlign w:val="bottom"/>
            <w:tcBorders>
              <w:bottom w:val="single" w:sz="8" w:color="auto"/>
            </w:tcBorders>
            <w:shd w:val="clear" w:color="auto" w:fill="CCEEFF"/>
          </w:tcPr>
          <w:p>
            <w:pPr>
              <w:spacing w:after="0"/>
              <w:rPr>
                <w:sz w:val="22"/>
                <w:szCs w:val="22"/>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(809)</w:t>
            </w:r>
          </w:p>
        </w:tc>
        <w:tc>
          <w:tcPr>
            <w:tcW w:w="120" w:type="dxa"/>
            <w:vAlign w:val="bottom"/>
            <w:shd w:val="clear" w:color="auto" w:fill="CCEEFF"/>
          </w:tcPr>
          <w:p>
            <w:pPr>
              <w:spacing w:after="0"/>
              <w:rPr>
                <w:sz w:val="22"/>
                <w:szCs w:val="22"/>
                <w:color w:val="auto"/>
              </w:rPr>
            </w:pPr>
          </w:p>
        </w:tc>
        <w:tc>
          <w:tcPr>
            <w:tcW w:w="380" w:type="dxa"/>
            <w:vAlign w:val="bottom"/>
            <w:tcBorders>
              <w:bottom w:val="single" w:sz="8" w:color="auto"/>
            </w:tcBorders>
            <w:shd w:val="clear" w:color="auto" w:fill="CCEEFF"/>
          </w:tcPr>
          <w:p>
            <w:pPr>
              <w:spacing w:after="0"/>
              <w:rPr>
                <w:sz w:val="22"/>
                <w:szCs w:val="22"/>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(772)</w:t>
            </w:r>
          </w:p>
        </w:tc>
        <w:tc>
          <w:tcPr>
            <w:tcW w:w="120" w:type="dxa"/>
            <w:vAlign w:val="bottom"/>
            <w:shd w:val="clear" w:color="auto" w:fill="CCEEFF"/>
          </w:tcPr>
          <w:p>
            <w:pPr>
              <w:spacing w:after="0"/>
              <w:rPr>
                <w:sz w:val="22"/>
                <w:szCs w:val="22"/>
                <w:color w:val="auto"/>
              </w:rPr>
            </w:pPr>
          </w:p>
        </w:tc>
        <w:tc>
          <w:tcPr>
            <w:tcW w:w="380" w:type="dxa"/>
            <w:vAlign w:val="bottom"/>
            <w:tcBorders>
              <w:bottom w:val="single" w:sz="8" w:color="auto"/>
            </w:tcBorders>
            <w:shd w:val="clear" w:color="auto" w:fill="CCEEFF"/>
          </w:tcPr>
          <w:p>
            <w:pPr>
              <w:spacing w:after="0"/>
              <w:rPr>
                <w:sz w:val="22"/>
                <w:szCs w:val="22"/>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(836)</w:t>
            </w:r>
          </w:p>
        </w:tc>
      </w:tr>
      <w:tr>
        <w:trPr>
          <w:trHeight w:val="243"/>
        </w:trPr>
        <w:tc>
          <w:tcPr>
            <w:tcW w:w="6380" w:type="dxa"/>
            <w:vAlign w:val="bottom"/>
          </w:tcPr>
          <w:p>
            <w:pPr>
              <w:ind w:left="40"/>
              <w:spacing w:after="0"/>
              <w:rPr>
                <w:sz w:val="20"/>
                <w:szCs w:val="20"/>
                <w:color w:val="auto"/>
              </w:rPr>
            </w:pPr>
            <w:r>
              <w:rPr>
                <w:rFonts w:ascii="Arial" w:cs="Arial" w:eastAsia="Arial" w:hAnsi="Arial"/>
                <w:sz w:val="18"/>
                <w:szCs w:val="18"/>
                <w:b w:val="1"/>
                <w:bCs w:val="1"/>
                <w:color w:val="auto"/>
              </w:rPr>
              <w:t>Income before income taxes</w:t>
            </w:r>
          </w:p>
        </w:tc>
        <w:tc>
          <w:tcPr>
            <w:tcW w:w="380" w:type="dxa"/>
            <w:vAlign w:val="bottom"/>
          </w:tcPr>
          <w:p>
            <w:pPr>
              <w:spacing w:after="0"/>
              <w:rPr>
                <w:sz w:val="21"/>
                <w:szCs w:val="21"/>
                <w:color w:val="auto"/>
              </w:rPr>
            </w:pPr>
          </w:p>
        </w:tc>
        <w:tc>
          <w:tcPr>
            <w:tcW w:w="1220" w:type="dxa"/>
            <w:vAlign w:val="bottom"/>
          </w:tcPr>
          <w:p>
            <w:pPr>
              <w:jc w:val="right"/>
              <w:ind w:right="11"/>
              <w:spacing w:after="0"/>
              <w:rPr>
                <w:sz w:val="20"/>
                <w:szCs w:val="20"/>
                <w:color w:val="auto"/>
              </w:rPr>
            </w:pPr>
            <w:r>
              <w:rPr>
                <w:rFonts w:ascii="Arial" w:cs="Arial" w:eastAsia="Arial" w:hAnsi="Arial"/>
                <w:sz w:val="18"/>
                <w:szCs w:val="18"/>
                <w:color w:val="auto"/>
              </w:rPr>
              <w:t>2,256</w:t>
            </w:r>
          </w:p>
        </w:tc>
        <w:tc>
          <w:tcPr>
            <w:tcW w:w="12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220" w:type="dxa"/>
            <w:vAlign w:val="bottom"/>
          </w:tcPr>
          <w:p>
            <w:pPr>
              <w:jc w:val="right"/>
              <w:ind w:right="11"/>
              <w:spacing w:after="0"/>
              <w:rPr>
                <w:sz w:val="20"/>
                <w:szCs w:val="20"/>
                <w:color w:val="auto"/>
              </w:rPr>
            </w:pPr>
            <w:r>
              <w:rPr>
                <w:rFonts w:ascii="Arial" w:cs="Arial" w:eastAsia="Arial" w:hAnsi="Arial"/>
                <w:sz w:val="18"/>
                <w:szCs w:val="18"/>
                <w:color w:val="auto"/>
              </w:rPr>
              <w:t>1,884</w:t>
            </w:r>
          </w:p>
        </w:tc>
        <w:tc>
          <w:tcPr>
            <w:tcW w:w="12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220" w:type="dxa"/>
            <w:vAlign w:val="bottom"/>
          </w:tcPr>
          <w:p>
            <w:pPr>
              <w:jc w:val="right"/>
              <w:ind w:right="11"/>
              <w:spacing w:after="0"/>
              <w:rPr>
                <w:sz w:val="20"/>
                <w:szCs w:val="20"/>
                <w:color w:val="auto"/>
              </w:rPr>
            </w:pPr>
            <w:r>
              <w:rPr>
                <w:rFonts w:ascii="Arial" w:cs="Arial" w:eastAsia="Arial" w:hAnsi="Arial"/>
                <w:sz w:val="18"/>
                <w:szCs w:val="18"/>
                <w:color w:val="auto"/>
              </w:rPr>
              <w:t>3,395</w:t>
            </w:r>
          </w:p>
        </w:tc>
      </w:tr>
      <w:tr>
        <w:trPr>
          <w:trHeight w:val="277"/>
        </w:trPr>
        <w:tc>
          <w:tcPr>
            <w:tcW w:w="6380" w:type="dxa"/>
            <w:vAlign w:val="bottom"/>
            <w:shd w:val="clear" w:color="auto" w:fill="CCEEFF"/>
          </w:tcPr>
          <w:p>
            <w:pPr>
              <w:ind w:left="380"/>
              <w:spacing w:after="0"/>
              <w:rPr>
                <w:sz w:val="20"/>
                <w:szCs w:val="20"/>
                <w:color w:val="auto"/>
              </w:rPr>
            </w:pPr>
            <w:r>
              <w:rPr>
                <w:rFonts w:ascii="Arial" w:cs="Arial" w:eastAsia="Arial" w:hAnsi="Arial"/>
                <w:sz w:val="18"/>
                <w:szCs w:val="18"/>
                <w:color w:val="auto"/>
              </w:rPr>
              <w:t>Income tax provision</w:t>
            </w:r>
          </w:p>
        </w:tc>
        <w:tc>
          <w:tcPr>
            <w:tcW w:w="380" w:type="dxa"/>
            <w:vAlign w:val="bottom"/>
            <w:tcBorders>
              <w:bottom w:val="single" w:sz="8" w:color="auto"/>
            </w:tcBorders>
            <w:shd w:val="clear" w:color="auto" w:fill="CCEEFF"/>
          </w:tcPr>
          <w:p>
            <w:pPr>
              <w:spacing w:after="0"/>
              <w:rPr>
                <w:sz w:val="24"/>
                <w:szCs w:val="24"/>
                <w:color w:val="auto"/>
              </w:rPr>
            </w:pPr>
          </w:p>
        </w:tc>
        <w:tc>
          <w:tcPr>
            <w:tcW w:w="1220" w:type="dxa"/>
            <w:vAlign w:val="bottom"/>
            <w:tcBorders>
              <w:bottom w:val="single" w:sz="8" w:color="auto"/>
            </w:tcBorders>
            <w:shd w:val="clear" w:color="auto" w:fill="CCEEFF"/>
          </w:tcPr>
          <w:p>
            <w:pPr>
              <w:jc w:val="right"/>
              <w:ind w:right="11"/>
              <w:spacing w:after="0"/>
              <w:rPr>
                <w:sz w:val="20"/>
                <w:szCs w:val="20"/>
                <w:color w:val="auto"/>
              </w:rPr>
            </w:pPr>
            <w:r>
              <w:rPr>
                <w:rFonts w:ascii="Arial" w:cs="Arial" w:eastAsia="Arial" w:hAnsi="Arial"/>
                <w:sz w:val="18"/>
                <w:szCs w:val="18"/>
                <w:color w:val="auto"/>
              </w:rPr>
              <w:t>570</w:t>
            </w:r>
          </w:p>
        </w:tc>
        <w:tc>
          <w:tcPr>
            <w:tcW w:w="120" w:type="dxa"/>
            <w:vAlign w:val="bottom"/>
            <w:shd w:val="clear" w:color="auto" w:fill="CCEEFF"/>
          </w:tcPr>
          <w:p>
            <w:pPr>
              <w:spacing w:after="0"/>
              <w:rPr>
                <w:sz w:val="24"/>
                <w:szCs w:val="24"/>
                <w:color w:val="auto"/>
              </w:rPr>
            </w:pPr>
          </w:p>
        </w:tc>
        <w:tc>
          <w:tcPr>
            <w:tcW w:w="380" w:type="dxa"/>
            <w:vAlign w:val="bottom"/>
            <w:tcBorders>
              <w:bottom w:val="single" w:sz="8" w:color="auto"/>
            </w:tcBorders>
            <w:shd w:val="clear" w:color="auto" w:fill="CCEEFF"/>
          </w:tcPr>
          <w:p>
            <w:pPr>
              <w:spacing w:after="0"/>
              <w:rPr>
                <w:sz w:val="24"/>
                <w:szCs w:val="24"/>
                <w:color w:val="auto"/>
              </w:rPr>
            </w:pPr>
          </w:p>
        </w:tc>
        <w:tc>
          <w:tcPr>
            <w:tcW w:w="1220" w:type="dxa"/>
            <w:vAlign w:val="bottom"/>
            <w:tcBorders>
              <w:bottom w:val="single" w:sz="8" w:color="auto"/>
            </w:tcBorders>
            <w:shd w:val="clear" w:color="auto" w:fill="CCEEFF"/>
          </w:tcPr>
          <w:p>
            <w:pPr>
              <w:jc w:val="right"/>
              <w:ind w:right="11"/>
              <w:spacing w:after="0"/>
              <w:rPr>
                <w:sz w:val="20"/>
                <w:szCs w:val="20"/>
                <w:color w:val="auto"/>
              </w:rPr>
            </w:pPr>
            <w:r>
              <w:rPr>
                <w:rFonts w:ascii="Arial" w:cs="Arial" w:eastAsia="Arial" w:hAnsi="Arial"/>
                <w:sz w:val="18"/>
                <w:szCs w:val="18"/>
                <w:color w:val="auto"/>
              </w:rPr>
              <w:t>472</w:t>
            </w:r>
          </w:p>
        </w:tc>
        <w:tc>
          <w:tcPr>
            <w:tcW w:w="120" w:type="dxa"/>
            <w:vAlign w:val="bottom"/>
            <w:shd w:val="clear" w:color="auto" w:fill="CCEEFF"/>
          </w:tcPr>
          <w:p>
            <w:pPr>
              <w:spacing w:after="0"/>
              <w:rPr>
                <w:sz w:val="24"/>
                <w:szCs w:val="24"/>
                <w:color w:val="auto"/>
              </w:rPr>
            </w:pPr>
          </w:p>
        </w:tc>
        <w:tc>
          <w:tcPr>
            <w:tcW w:w="380" w:type="dxa"/>
            <w:vAlign w:val="bottom"/>
            <w:tcBorders>
              <w:bottom w:val="single" w:sz="8" w:color="auto"/>
            </w:tcBorders>
            <w:shd w:val="clear" w:color="auto" w:fill="CCEEFF"/>
          </w:tcPr>
          <w:p>
            <w:pPr>
              <w:spacing w:after="0"/>
              <w:rPr>
                <w:sz w:val="24"/>
                <w:szCs w:val="24"/>
                <w:color w:val="auto"/>
              </w:rPr>
            </w:pPr>
          </w:p>
        </w:tc>
        <w:tc>
          <w:tcPr>
            <w:tcW w:w="1220" w:type="dxa"/>
            <w:vAlign w:val="bottom"/>
            <w:tcBorders>
              <w:bottom w:val="single" w:sz="8" w:color="auto"/>
            </w:tcBorders>
            <w:shd w:val="clear" w:color="auto" w:fill="CCEEFF"/>
          </w:tcPr>
          <w:p>
            <w:pPr>
              <w:jc w:val="right"/>
              <w:ind w:right="11"/>
              <w:spacing w:after="0"/>
              <w:rPr>
                <w:sz w:val="20"/>
                <w:szCs w:val="20"/>
                <w:color w:val="auto"/>
              </w:rPr>
            </w:pPr>
            <w:r>
              <w:rPr>
                <w:rFonts w:ascii="Arial" w:cs="Arial" w:eastAsia="Arial" w:hAnsi="Arial"/>
                <w:sz w:val="18"/>
                <w:szCs w:val="18"/>
                <w:color w:val="auto"/>
              </w:rPr>
              <w:t>2,113</w:t>
            </w:r>
          </w:p>
        </w:tc>
      </w:tr>
      <w:tr>
        <w:trPr>
          <w:trHeight w:val="284"/>
        </w:trPr>
        <w:tc>
          <w:tcPr>
            <w:tcW w:w="6380" w:type="dxa"/>
            <w:vAlign w:val="bottom"/>
          </w:tcPr>
          <w:p>
            <w:pPr>
              <w:ind w:left="40"/>
              <w:spacing w:after="0"/>
              <w:rPr>
                <w:sz w:val="20"/>
                <w:szCs w:val="20"/>
                <w:color w:val="auto"/>
              </w:rPr>
            </w:pPr>
            <w:r>
              <w:rPr>
                <w:rFonts w:ascii="Arial" w:cs="Arial" w:eastAsia="Arial" w:hAnsi="Arial"/>
                <w:sz w:val="18"/>
                <w:szCs w:val="18"/>
                <w:b w:val="1"/>
                <w:bCs w:val="1"/>
                <w:color w:val="auto"/>
              </w:rPr>
              <w:t>Net income</w:t>
            </w:r>
          </w:p>
        </w:tc>
        <w:tc>
          <w:tcPr>
            <w:tcW w:w="380" w:type="dxa"/>
            <w:vAlign w:val="bottom"/>
          </w:tcPr>
          <w:p>
            <w:pPr>
              <w:jc w:val="right"/>
              <w:ind w:right="170"/>
              <w:spacing w:after="0"/>
              <w:rPr>
                <w:sz w:val="20"/>
                <w:szCs w:val="20"/>
                <w:color w:val="auto"/>
              </w:rPr>
            </w:pPr>
            <w:r>
              <w:rPr>
                <w:rFonts w:ascii="Arial" w:cs="Arial" w:eastAsia="Arial" w:hAnsi="Arial"/>
                <w:sz w:val="18"/>
                <w:szCs w:val="18"/>
                <w:color w:val="auto"/>
                <w:w w:val="99"/>
              </w:rPr>
              <w:t>$</w:t>
            </w:r>
          </w:p>
        </w:tc>
        <w:tc>
          <w:tcPr>
            <w:tcW w:w="1220" w:type="dxa"/>
            <w:vAlign w:val="bottom"/>
          </w:tcPr>
          <w:p>
            <w:pPr>
              <w:jc w:val="right"/>
              <w:ind w:right="11"/>
              <w:spacing w:after="0"/>
              <w:rPr>
                <w:sz w:val="20"/>
                <w:szCs w:val="20"/>
                <w:color w:val="auto"/>
              </w:rPr>
            </w:pPr>
            <w:r>
              <w:rPr>
                <w:rFonts w:ascii="Arial" w:cs="Arial" w:eastAsia="Arial" w:hAnsi="Arial"/>
                <w:sz w:val="18"/>
                <w:szCs w:val="18"/>
                <w:color w:val="auto"/>
              </w:rPr>
              <w:t>1,686</w:t>
            </w:r>
          </w:p>
        </w:tc>
        <w:tc>
          <w:tcPr>
            <w:tcW w:w="50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1220" w:type="dxa"/>
            <w:vAlign w:val="bottom"/>
          </w:tcPr>
          <w:p>
            <w:pPr>
              <w:jc w:val="right"/>
              <w:ind w:right="11"/>
              <w:spacing w:after="0"/>
              <w:rPr>
                <w:sz w:val="20"/>
                <w:szCs w:val="20"/>
                <w:color w:val="auto"/>
              </w:rPr>
            </w:pPr>
            <w:r>
              <w:rPr>
                <w:rFonts w:ascii="Arial" w:cs="Arial" w:eastAsia="Arial" w:hAnsi="Arial"/>
                <w:sz w:val="18"/>
                <w:szCs w:val="18"/>
                <w:color w:val="auto"/>
              </w:rPr>
              <w:t>1,412</w:t>
            </w:r>
          </w:p>
        </w:tc>
        <w:tc>
          <w:tcPr>
            <w:tcW w:w="120" w:type="dxa"/>
            <w:vAlign w:val="bottom"/>
          </w:tcPr>
          <w:p>
            <w:pPr>
              <w:spacing w:after="0"/>
              <w:rPr>
                <w:sz w:val="24"/>
                <w:szCs w:val="24"/>
                <w:color w:val="auto"/>
              </w:rPr>
            </w:pPr>
          </w:p>
        </w:tc>
        <w:tc>
          <w:tcPr>
            <w:tcW w:w="380" w:type="dxa"/>
            <w:vAlign w:val="bottom"/>
          </w:tcPr>
          <w:p>
            <w:pPr>
              <w:jc w:val="right"/>
              <w:ind w:right="170"/>
              <w:spacing w:after="0"/>
              <w:rPr>
                <w:sz w:val="20"/>
                <w:szCs w:val="20"/>
                <w:color w:val="auto"/>
              </w:rPr>
            </w:pPr>
            <w:r>
              <w:rPr>
                <w:rFonts w:ascii="Arial" w:cs="Arial" w:eastAsia="Arial" w:hAnsi="Arial"/>
                <w:sz w:val="18"/>
                <w:szCs w:val="18"/>
                <w:color w:val="auto"/>
                <w:w w:val="99"/>
              </w:rPr>
              <w:t>$</w:t>
            </w:r>
          </w:p>
        </w:tc>
        <w:tc>
          <w:tcPr>
            <w:tcW w:w="1220" w:type="dxa"/>
            <w:vAlign w:val="bottom"/>
          </w:tcPr>
          <w:p>
            <w:pPr>
              <w:jc w:val="right"/>
              <w:ind w:right="11"/>
              <w:spacing w:after="0"/>
              <w:rPr>
                <w:sz w:val="20"/>
                <w:szCs w:val="20"/>
                <w:color w:val="auto"/>
              </w:rPr>
            </w:pPr>
            <w:r>
              <w:rPr>
                <w:rFonts w:ascii="Arial" w:cs="Arial" w:eastAsia="Arial" w:hAnsi="Arial"/>
                <w:sz w:val="18"/>
                <w:szCs w:val="18"/>
                <w:color w:val="auto"/>
              </w:rPr>
              <w:t>1,282</w:t>
            </w:r>
          </w:p>
        </w:tc>
      </w:tr>
      <w:tr>
        <w:trPr>
          <w:trHeight w:val="311"/>
        </w:trPr>
        <w:tc>
          <w:tcPr>
            <w:tcW w:w="6380" w:type="dxa"/>
            <w:vAlign w:val="bottom"/>
            <w:tcBorders>
              <w:top w:val="single" w:sz="8" w:color="CCEEFF"/>
            </w:tcBorders>
            <w:shd w:val="clear" w:color="auto" w:fill="CCEEFF"/>
          </w:tcPr>
          <w:p>
            <w:pPr>
              <w:spacing w:after="0"/>
              <w:rPr>
                <w:sz w:val="24"/>
                <w:szCs w:val="24"/>
                <w:color w:val="auto"/>
              </w:rPr>
            </w:pPr>
          </w:p>
        </w:tc>
        <w:tc>
          <w:tcPr>
            <w:tcW w:w="380" w:type="dxa"/>
            <w:vAlign w:val="bottom"/>
            <w:tcBorders>
              <w:top w:val="single" w:sz="8" w:color="auto"/>
            </w:tcBorders>
            <w:shd w:val="clear" w:color="auto" w:fill="CCEEFF"/>
          </w:tcPr>
          <w:p>
            <w:pPr>
              <w:spacing w:after="0"/>
              <w:rPr>
                <w:sz w:val="24"/>
                <w:szCs w:val="24"/>
                <w:color w:val="auto"/>
              </w:rPr>
            </w:pPr>
          </w:p>
        </w:tc>
        <w:tc>
          <w:tcPr>
            <w:tcW w:w="1220" w:type="dxa"/>
            <w:vAlign w:val="bottom"/>
            <w:tcBorders>
              <w:top w:val="single" w:sz="8" w:color="auto"/>
            </w:tcBorders>
            <w:shd w:val="clear" w:color="auto" w:fill="CCEEFF"/>
          </w:tcPr>
          <w:p>
            <w:pPr>
              <w:spacing w:after="0"/>
              <w:rPr>
                <w:sz w:val="24"/>
                <w:szCs w:val="24"/>
                <w:color w:val="auto"/>
              </w:rPr>
            </w:pPr>
          </w:p>
        </w:tc>
        <w:tc>
          <w:tcPr>
            <w:tcW w:w="120" w:type="dxa"/>
            <w:vAlign w:val="bottom"/>
            <w:tcBorders>
              <w:top w:val="single" w:sz="8" w:color="CCEEFF"/>
            </w:tcBorders>
            <w:shd w:val="clear" w:color="auto" w:fill="CCEEFF"/>
          </w:tcPr>
          <w:p>
            <w:pPr>
              <w:spacing w:after="0"/>
              <w:rPr>
                <w:sz w:val="24"/>
                <w:szCs w:val="24"/>
                <w:color w:val="auto"/>
              </w:rPr>
            </w:pPr>
          </w:p>
        </w:tc>
        <w:tc>
          <w:tcPr>
            <w:tcW w:w="380" w:type="dxa"/>
            <w:vAlign w:val="bottom"/>
            <w:tcBorders>
              <w:top w:val="single" w:sz="8" w:color="auto"/>
            </w:tcBorders>
            <w:shd w:val="clear" w:color="auto" w:fill="CCEEFF"/>
          </w:tcPr>
          <w:p>
            <w:pPr>
              <w:spacing w:after="0"/>
              <w:rPr>
                <w:sz w:val="24"/>
                <w:szCs w:val="24"/>
                <w:color w:val="auto"/>
              </w:rPr>
            </w:pPr>
          </w:p>
        </w:tc>
        <w:tc>
          <w:tcPr>
            <w:tcW w:w="1220" w:type="dxa"/>
            <w:vAlign w:val="bottom"/>
            <w:tcBorders>
              <w:top w:val="single" w:sz="8" w:color="auto"/>
            </w:tcBorders>
            <w:shd w:val="clear" w:color="auto" w:fill="CCEEFF"/>
          </w:tcPr>
          <w:p>
            <w:pPr>
              <w:spacing w:after="0"/>
              <w:rPr>
                <w:sz w:val="24"/>
                <w:szCs w:val="24"/>
                <w:color w:val="auto"/>
              </w:rPr>
            </w:pPr>
          </w:p>
        </w:tc>
        <w:tc>
          <w:tcPr>
            <w:tcW w:w="120" w:type="dxa"/>
            <w:vAlign w:val="bottom"/>
            <w:tcBorders>
              <w:top w:val="single" w:sz="8" w:color="CCEEFF"/>
            </w:tcBorders>
            <w:shd w:val="clear" w:color="auto" w:fill="CCEEFF"/>
          </w:tcPr>
          <w:p>
            <w:pPr>
              <w:spacing w:after="0"/>
              <w:rPr>
                <w:sz w:val="24"/>
                <w:szCs w:val="24"/>
                <w:color w:val="auto"/>
              </w:rPr>
            </w:pPr>
          </w:p>
        </w:tc>
        <w:tc>
          <w:tcPr>
            <w:tcW w:w="380" w:type="dxa"/>
            <w:vAlign w:val="bottom"/>
            <w:tcBorders>
              <w:top w:val="single" w:sz="8" w:color="auto"/>
            </w:tcBorders>
            <w:shd w:val="clear" w:color="auto" w:fill="CCEEFF"/>
          </w:tcPr>
          <w:p>
            <w:pPr>
              <w:spacing w:after="0"/>
              <w:rPr>
                <w:sz w:val="24"/>
                <w:szCs w:val="24"/>
                <w:color w:val="auto"/>
              </w:rPr>
            </w:pPr>
          </w:p>
        </w:tc>
        <w:tc>
          <w:tcPr>
            <w:tcW w:w="1220" w:type="dxa"/>
            <w:vAlign w:val="bottom"/>
            <w:tcBorders>
              <w:top w:val="single" w:sz="8" w:color="auto"/>
            </w:tcBorders>
            <w:shd w:val="clear" w:color="auto" w:fill="CCEEFF"/>
          </w:tcPr>
          <w:p>
            <w:pPr>
              <w:spacing w:after="0"/>
              <w:rPr>
                <w:sz w:val="24"/>
                <w:szCs w:val="24"/>
                <w:color w:val="auto"/>
              </w:rPr>
            </w:pPr>
          </w:p>
        </w:tc>
      </w:tr>
      <w:tr>
        <w:trPr>
          <w:trHeight w:val="243"/>
        </w:trPr>
        <w:tc>
          <w:tcPr>
            <w:tcW w:w="6380" w:type="dxa"/>
            <w:vAlign w:val="bottom"/>
          </w:tcPr>
          <w:p>
            <w:pPr>
              <w:ind w:left="40"/>
              <w:spacing w:after="0"/>
              <w:rPr>
                <w:sz w:val="20"/>
                <w:szCs w:val="20"/>
                <w:color w:val="auto"/>
              </w:rPr>
            </w:pPr>
            <w:r>
              <w:rPr>
                <w:rFonts w:ascii="Arial" w:cs="Arial" w:eastAsia="Arial" w:hAnsi="Arial"/>
                <w:sz w:val="18"/>
                <w:szCs w:val="18"/>
                <w:b w:val="1"/>
                <w:bCs w:val="1"/>
                <w:color w:val="auto"/>
              </w:rPr>
              <w:t>Earnings per common share:</w:t>
            </w:r>
          </w:p>
        </w:tc>
        <w:tc>
          <w:tcPr>
            <w:tcW w:w="380" w:type="dxa"/>
            <w:vAlign w:val="bottom"/>
          </w:tcPr>
          <w:p>
            <w:pPr>
              <w:spacing w:after="0"/>
              <w:rPr>
                <w:sz w:val="21"/>
                <w:szCs w:val="21"/>
                <w:color w:val="auto"/>
              </w:rPr>
            </w:pPr>
          </w:p>
        </w:tc>
        <w:tc>
          <w:tcPr>
            <w:tcW w:w="12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2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220" w:type="dxa"/>
            <w:vAlign w:val="bottom"/>
          </w:tcPr>
          <w:p>
            <w:pPr>
              <w:spacing w:after="0"/>
              <w:rPr>
                <w:sz w:val="21"/>
                <w:szCs w:val="21"/>
                <w:color w:val="auto"/>
              </w:rPr>
            </w:pPr>
          </w:p>
        </w:tc>
      </w:tr>
      <w:tr>
        <w:trPr>
          <w:trHeight w:val="27"/>
        </w:trPr>
        <w:tc>
          <w:tcPr>
            <w:tcW w:w="638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20" w:type="dxa"/>
            <w:vAlign w:val="bottom"/>
          </w:tcPr>
          <w:p>
            <w:pPr>
              <w:spacing w:after="0"/>
              <w:rPr>
                <w:sz w:val="2"/>
                <w:szCs w:val="2"/>
                <w:color w:val="auto"/>
              </w:rPr>
            </w:pPr>
          </w:p>
        </w:tc>
      </w:tr>
      <w:tr>
        <w:trPr>
          <w:trHeight w:val="270"/>
        </w:trPr>
        <w:tc>
          <w:tcPr>
            <w:tcW w:w="6380" w:type="dxa"/>
            <w:vAlign w:val="bottom"/>
            <w:shd w:val="clear" w:color="auto" w:fill="CCEEFF"/>
          </w:tcPr>
          <w:p>
            <w:pPr>
              <w:ind w:left="380"/>
              <w:spacing w:after="0"/>
              <w:rPr>
                <w:sz w:val="20"/>
                <w:szCs w:val="20"/>
                <w:color w:val="auto"/>
              </w:rPr>
            </w:pPr>
            <w:r>
              <w:rPr>
                <w:rFonts w:ascii="Arial" w:cs="Arial" w:eastAsia="Arial" w:hAnsi="Arial"/>
                <w:sz w:val="18"/>
                <w:szCs w:val="18"/>
                <w:color w:val="auto"/>
              </w:rPr>
              <w:t>Basic</w:t>
            </w:r>
          </w:p>
        </w:tc>
        <w:tc>
          <w:tcPr>
            <w:tcW w:w="380" w:type="dxa"/>
            <w:vAlign w:val="bottom"/>
            <w:shd w:val="clear" w:color="auto" w:fill="CCEEFF"/>
          </w:tcPr>
          <w:p>
            <w:pPr>
              <w:jc w:val="right"/>
              <w:ind w:right="170"/>
              <w:spacing w:after="0"/>
              <w:rPr>
                <w:sz w:val="20"/>
                <w:szCs w:val="20"/>
                <w:color w:val="auto"/>
              </w:rPr>
            </w:pPr>
            <w:r>
              <w:rPr>
                <w:rFonts w:ascii="Arial" w:cs="Arial" w:eastAsia="Arial" w:hAnsi="Arial"/>
                <w:sz w:val="18"/>
                <w:szCs w:val="18"/>
                <w:color w:val="auto"/>
                <w:w w:val="99"/>
              </w:rPr>
              <w:t>$</w:t>
            </w:r>
          </w:p>
        </w:tc>
        <w:tc>
          <w:tcPr>
            <w:tcW w:w="122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3.80</w:t>
            </w:r>
          </w:p>
        </w:tc>
        <w:tc>
          <w:tcPr>
            <w:tcW w:w="50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122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3.04</w:t>
            </w:r>
          </w:p>
        </w:tc>
        <w:tc>
          <w:tcPr>
            <w:tcW w:w="120" w:type="dxa"/>
            <w:vAlign w:val="bottom"/>
            <w:shd w:val="clear" w:color="auto" w:fill="CCEEFF"/>
          </w:tcPr>
          <w:p>
            <w:pPr>
              <w:spacing w:after="0"/>
              <w:rPr>
                <w:sz w:val="23"/>
                <w:szCs w:val="23"/>
                <w:color w:val="auto"/>
              </w:rPr>
            </w:pPr>
          </w:p>
        </w:tc>
        <w:tc>
          <w:tcPr>
            <w:tcW w:w="380" w:type="dxa"/>
            <w:vAlign w:val="bottom"/>
            <w:shd w:val="clear" w:color="auto" w:fill="CCEEFF"/>
          </w:tcPr>
          <w:p>
            <w:pPr>
              <w:jc w:val="right"/>
              <w:ind w:right="170"/>
              <w:spacing w:after="0"/>
              <w:rPr>
                <w:sz w:val="20"/>
                <w:szCs w:val="20"/>
                <w:color w:val="auto"/>
              </w:rPr>
            </w:pPr>
            <w:r>
              <w:rPr>
                <w:rFonts w:ascii="Arial" w:cs="Arial" w:eastAsia="Arial" w:hAnsi="Arial"/>
                <w:sz w:val="18"/>
                <w:szCs w:val="18"/>
                <w:color w:val="auto"/>
                <w:w w:val="99"/>
              </w:rPr>
              <w:t>$</w:t>
            </w:r>
          </w:p>
        </w:tc>
        <w:tc>
          <w:tcPr>
            <w:tcW w:w="122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2.62</w:t>
            </w:r>
          </w:p>
        </w:tc>
      </w:tr>
      <w:tr>
        <w:trPr>
          <w:trHeight w:val="263"/>
        </w:trPr>
        <w:tc>
          <w:tcPr>
            <w:tcW w:w="6380" w:type="dxa"/>
            <w:vAlign w:val="bottom"/>
          </w:tcPr>
          <w:p>
            <w:pPr>
              <w:ind w:left="380"/>
              <w:spacing w:after="0"/>
              <w:rPr>
                <w:sz w:val="20"/>
                <w:szCs w:val="20"/>
                <w:color w:val="auto"/>
              </w:rPr>
            </w:pPr>
            <w:r>
              <w:rPr>
                <w:rFonts w:ascii="Arial" w:cs="Arial" w:eastAsia="Arial" w:hAnsi="Arial"/>
                <w:sz w:val="18"/>
                <w:szCs w:val="18"/>
                <w:color w:val="auto"/>
              </w:rPr>
              <w:t>Diluted</w:t>
            </w:r>
          </w:p>
        </w:tc>
        <w:tc>
          <w:tcPr>
            <w:tcW w:w="380" w:type="dxa"/>
            <w:vAlign w:val="bottom"/>
          </w:tcPr>
          <w:p>
            <w:pPr>
              <w:jc w:val="right"/>
              <w:ind w:right="170"/>
              <w:spacing w:after="0"/>
              <w:rPr>
                <w:sz w:val="20"/>
                <w:szCs w:val="20"/>
                <w:color w:val="auto"/>
              </w:rPr>
            </w:pPr>
            <w:r>
              <w:rPr>
                <w:rFonts w:ascii="Arial" w:cs="Arial" w:eastAsia="Arial" w:hAnsi="Arial"/>
                <w:sz w:val="18"/>
                <w:szCs w:val="18"/>
                <w:color w:val="auto"/>
                <w:w w:val="99"/>
              </w:rPr>
              <w:t>$</w:t>
            </w:r>
          </w:p>
        </w:tc>
        <w:tc>
          <w:tcPr>
            <w:tcW w:w="1220" w:type="dxa"/>
            <w:vAlign w:val="bottom"/>
          </w:tcPr>
          <w:p>
            <w:pPr>
              <w:jc w:val="right"/>
              <w:ind w:right="11"/>
              <w:spacing w:after="0"/>
              <w:rPr>
                <w:sz w:val="20"/>
                <w:szCs w:val="20"/>
                <w:color w:val="auto"/>
              </w:rPr>
            </w:pPr>
            <w:r>
              <w:rPr>
                <w:rFonts w:ascii="Arial" w:cs="Arial" w:eastAsia="Arial" w:hAnsi="Arial"/>
                <w:sz w:val="18"/>
                <w:szCs w:val="18"/>
                <w:color w:val="auto"/>
              </w:rPr>
              <w:t>3.79</w:t>
            </w:r>
          </w:p>
        </w:tc>
        <w:tc>
          <w:tcPr>
            <w:tcW w:w="50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1220" w:type="dxa"/>
            <w:vAlign w:val="bottom"/>
          </w:tcPr>
          <w:p>
            <w:pPr>
              <w:jc w:val="right"/>
              <w:ind w:right="11"/>
              <w:spacing w:after="0"/>
              <w:rPr>
                <w:sz w:val="20"/>
                <w:szCs w:val="20"/>
                <w:color w:val="auto"/>
              </w:rPr>
            </w:pPr>
            <w:r>
              <w:rPr>
                <w:rFonts w:ascii="Arial" w:cs="Arial" w:eastAsia="Arial" w:hAnsi="Arial"/>
                <w:sz w:val="18"/>
                <w:szCs w:val="18"/>
                <w:color w:val="auto"/>
              </w:rPr>
              <w:t>3.03</w:t>
            </w:r>
          </w:p>
        </w:tc>
        <w:tc>
          <w:tcPr>
            <w:tcW w:w="120" w:type="dxa"/>
            <w:vAlign w:val="bottom"/>
          </w:tcPr>
          <w:p>
            <w:pPr>
              <w:spacing w:after="0"/>
              <w:rPr>
                <w:sz w:val="22"/>
                <w:szCs w:val="22"/>
                <w:color w:val="auto"/>
              </w:rPr>
            </w:pPr>
          </w:p>
        </w:tc>
        <w:tc>
          <w:tcPr>
            <w:tcW w:w="380" w:type="dxa"/>
            <w:vAlign w:val="bottom"/>
          </w:tcPr>
          <w:p>
            <w:pPr>
              <w:jc w:val="right"/>
              <w:ind w:right="170"/>
              <w:spacing w:after="0"/>
              <w:rPr>
                <w:sz w:val="20"/>
                <w:szCs w:val="20"/>
                <w:color w:val="auto"/>
              </w:rPr>
            </w:pPr>
            <w:r>
              <w:rPr>
                <w:rFonts w:ascii="Arial" w:cs="Arial" w:eastAsia="Arial" w:hAnsi="Arial"/>
                <w:sz w:val="18"/>
                <w:szCs w:val="18"/>
                <w:color w:val="auto"/>
                <w:w w:val="99"/>
              </w:rPr>
              <w:t>$</w:t>
            </w:r>
          </w:p>
        </w:tc>
        <w:tc>
          <w:tcPr>
            <w:tcW w:w="1220" w:type="dxa"/>
            <w:vAlign w:val="bottom"/>
          </w:tcPr>
          <w:p>
            <w:pPr>
              <w:jc w:val="right"/>
              <w:ind w:right="11"/>
              <w:spacing w:after="0"/>
              <w:rPr>
                <w:sz w:val="20"/>
                <w:szCs w:val="20"/>
                <w:color w:val="auto"/>
              </w:rPr>
            </w:pPr>
            <w:r>
              <w:rPr>
                <w:rFonts w:ascii="Arial" w:cs="Arial" w:eastAsia="Arial" w:hAnsi="Arial"/>
                <w:sz w:val="18"/>
                <w:szCs w:val="18"/>
                <w:color w:val="auto"/>
              </w:rPr>
              <w:t>2.61</w:t>
            </w:r>
          </w:p>
        </w:tc>
      </w:tr>
      <w:tr>
        <w:trPr>
          <w:trHeight w:val="257"/>
        </w:trPr>
        <w:tc>
          <w:tcPr>
            <w:tcW w:w="63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Weighted average shares outstanding (in thousands):</w:t>
            </w:r>
          </w:p>
        </w:tc>
        <w:tc>
          <w:tcPr>
            <w:tcW w:w="380" w:type="dxa"/>
            <w:vAlign w:val="bottom"/>
            <w:tcBorders>
              <w:bottom w:val="single" w:sz="8" w:color="CCEEFF"/>
            </w:tcBorders>
            <w:shd w:val="clear" w:color="auto" w:fill="CCEEFF"/>
          </w:tcPr>
          <w:p>
            <w:pPr>
              <w:spacing w:after="0"/>
              <w:rPr>
                <w:sz w:val="22"/>
                <w:szCs w:val="22"/>
                <w:color w:val="auto"/>
              </w:rPr>
            </w:pPr>
          </w:p>
        </w:tc>
        <w:tc>
          <w:tcPr>
            <w:tcW w:w="122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380" w:type="dxa"/>
            <w:vAlign w:val="bottom"/>
            <w:tcBorders>
              <w:bottom w:val="single" w:sz="8" w:color="CCEEFF"/>
            </w:tcBorders>
            <w:shd w:val="clear" w:color="auto" w:fill="CCEEFF"/>
          </w:tcPr>
          <w:p>
            <w:pPr>
              <w:spacing w:after="0"/>
              <w:rPr>
                <w:sz w:val="22"/>
                <w:szCs w:val="22"/>
                <w:color w:val="auto"/>
              </w:rPr>
            </w:pPr>
          </w:p>
        </w:tc>
        <w:tc>
          <w:tcPr>
            <w:tcW w:w="122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380" w:type="dxa"/>
            <w:vAlign w:val="bottom"/>
            <w:tcBorders>
              <w:bottom w:val="single" w:sz="8" w:color="CCEEFF"/>
            </w:tcBorders>
            <w:shd w:val="clear" w:color="auto" w:fill="CCEEFF"/>
          </w:tcPr>
          <w:p>
            <w:pPr>
              <w:spacing w:after="0"/>
              <w:rPr>
                <w:sz w:val="22"/>
                <w:szCs w:val="22"/>
                <w:color w:val="auto"/>
              </w:rPr>
            </w:pPr>
          </w:p>
        </w:tc>
        <w:tc>
          <w:tcPr>
            <w:tcW w:w="1220" w:type="dxa"/>
            <w:vAlign w:val="bottom"/>
            <w:tcBorders>
              <w:bottom w:val="single" w:sz="8" w:color="CCEEFF"/>
            </w:tcBorders>
            <w:shd w:val="clear" w:color="auto" w:fill="CCEEFF"/>
          </w:tcPr>
          <w:p>
            <w:pPr>
              <w:spacing w:after="0"/>
              <w:rPr>
                <w:sz w:val="22"/>
                <w:szCs w:val="22"/>
                <w:color w:val="auto"/>
              </w:rPr>
            </w:pPr>
          </w:p>
        </w:tc>
      </w:tr>
      <w:tr>
        <w:trPr>
          <w:trHeight w:val="263"/>
        </w:trPr>
        <w:tc>
          <w:tcPr>
            <w:tcW w:w="6380" w:type="dxa"/>
            <w:vAlign w:val="bottom"/>
          </w:tcPr>
          <w:p>
            <w:pPr>
              <w:ind w:left="380"/>
              <w:spacing w:after="0"/>
              <w:rPr>
                <w:sz w:val="20"/>
                <w:szCs w:val="20"/>
                <w:color w:val="auto"/>
              </w:rPr>
            </w:pPr>
            <w:r>
              <w:rPr>
                <w:rFonts w:ascii="Arial" w:cs="Arial" w:eastAsia="Arial" w:hAnsi="Arial"/>
                <w:sz w:val="18"/>
                <w:szCs w:val="18"/>
                <w:color w:val="auto"/>
              </w:rPr>
              <w:t>Basic</w:t>
            </w:r>
          </w:p>
        </w:tc>
        <w:tc>
          <w:tcPr>
            <w:tcW w:w="380" w:type="dxa"/>
            <w:vAlign w:val="bottom"/>
          </w:tcPr>
          <w:p>
            <w:pPr>
              <w:spacing w:after="0"/>
              <w:rPr>
                <w:sz w:val="22"/>
                <w:szCs w:val="22"/>
                <w:color w:val="auto"/>
              </w:rPr>
            </w:pPr>
          </w:p>
        </w:tc>
        <w:tc>
          <w:tcPr>
            <w:tcW w:w="1220" w:type="dxa"/>
            <w:vAlign w:val="bottom"/>
          </w:tcPr>
          <w:p>
            <w:pPr>
              <w:jc w:val="right"/>
              <w:ind w:right="11"/>
              <w:spacing w:after="0"/>
              <w:rPr>
                <w:sz w:val="20"/>
                <w:szCs w:val="20"/>
                <w:color w:val="auto"/>
              </w:rPr>
            </w:pPr>
            <w:r>
              <w:rPr>
                <w:rFonts w:ascii="Arial" w:cs="Arial" w:eastAsia="Arial" w:hAnsi="Arial"/>
                <w:sz w:val="18"/>
                <w:szCs w:val="18"/>
                <w:color w:val="auto"/>
              </w:rPr>
              <w:t>443,363</w:t>
            </w:r>
          </w:p>
        </w:tc>
        <w:tc>
          <w:tcPr>
            <w:tcW w:w="120" w:type="dxa"/>
            <w:vAlign w:val="bottom"/>
          </w:tcPr>
          <w:p>
            <w:pPr>
              <w:spacing w:after="0"/>
              <w:rPr>
                <w:sz w:val="22"/>
                <w:szCs w:val="22"/>
                <w:color w:val="auto"/>
              </w:rPr>
            </w:pPr>
          </w:p>
        </w:tc>
        <w:tc>
          <w:tcPr>
            <w:tcW w:w="380" w:type="dxa"/>
            <w:vAlign w:val="bottom"/>
          </w:tcPr>
          <w:p>
            <w:pPr>
              <w:spacing w:after="0"/>
              <w:rPr>
                <w:sz w:val="22"/>
                <w:szCs w:val="22"/>
                <w:color w:val="auto"/>
              </w:rPr>
            </w:pPr>
          </w:p>
        </w:tc>
        <w:tc>
          <w:tcPr>
            <w:tcW w:w="1220" w:type="dxa"/>
            <w:vAlign w:val="bottom"/>
          </w:tcPr>
          <w:p>
            <w:pPr>
              <w:jc w:val="right"/>
              <w:ind w:right="11"/>
              <w:spacing w:after="0"/>
              <w:rPr>
                <w:sz w:val="20"/>
                <w:szCs w:val="20"/>
                <w:color w:val="auto"/>
              </w:rPr>
            </w:pPr>
            <w:r>
              <w:rPr>
                <w:rFonts w:ascii="Arial" w:cs="Arial" w:eastAsia="Arial" w:hAnsi="Arial"/>
                <w:sz w:val="18"/>
                <w:szCs w:val="18"/>
                <w:color w:val="auto"/>
              </w:rPr>
              <w:t>464,236</w:t>
            </w:r>
          </w:p>
        </w:tc>
        <w:tc>
          <w:tcPr>
            <w:tcW w:w="120" w:type="dxa"/>
            <w:vAlign w:val="bottom"/>
          </w:tcPr>
          <w:p>
            <w:pPr>
              <w:spacing w:after="0"/>
              <w:rPr>
                <w:sz w:val="22"/>
                <w:szCs w:val="22"/>
                <w:color w:val="auto"/>
              </w:rPr>
            </w:pPr>
          </w:p>
        </w:tc>
        <w:tc>
          <w:tcPr>
            <w:tcW w:w="380" w:type="dxa"/>
            <w:vAlign w:val="bottom"/>
          </w:tcPr>
          <w:p>
            <w:pPr>
              <w:spacing w:after="0"/>
              <w:rPr>
                <w:sz w:val="22"/>
                <w:szCs w:val="22"/>
                <w:color w:val="auto"/>
              </w:rPr>
            </w:pPr>
          </w:p>
        </w:tc>
        <w:tc>
          <w:tcPr>
            <w:tcW w:w="1220" w:type="dxa"/>
            <w:vAlign w:val="bottom"/>
          </w:tcPr>
          <w:p>
            <w:pPr>
              <w:jc w:val="right"/>
              <w:ind w:right="11"/>
              <w:spacing w:after="0"/>
              <w:rPr>
                <w:sz w:val="20"/>
                <w:szCs w:val="20"/>
                <w:color w:val="auto"/>
              </w:rPr>
            </w:pPr>
            <w:r>
              <w:rPr>
                <w:rFonts w:ascii="Arial" w:cs="Arial" w:eastAsia="Arial" w:hAnsi="Arial"/>
                <w:sz w:val="18"/>
                <w:szCs w:val="18"/>
                <w:color w:val="auto"/>
              </w:rPr>
              <w:t>489,164</w:t>
            </w:r>
          </w:p>
        </w:tc>
      </w:tr>
      <w:tr>
        <w:trPr>
          <w:trHeight w:val="277"/>
        </w:trPr>
        <w:tc>
          <w:tcPr>
            <w:tcW w:w="6380" w:type="dxa"/>
            <w:vAlign w:val="bottom"/>
            <w:shd w:val="clear" w:color="auto" w:fill="CCEEFF"/>
          </w:tcPr>
          <w:p>
            <w:pPr>
              <w:ind w:left="380"/>
              <w:spacing w:after="0"/>
              <w:rPr>
                <w:sz w:val="20"/>
                <w:szCs w:val="20"/>
                <w:color w:val="auto"/>
              </w:rPr>
            </w:pPr>
            <w:r>
              <w:rPr>
                <w:rFonts w:ascii="Arial" w:cs="Arial" w:eastAsia="Arial" w:hAnsi="Arial"/>
                <w:sz w:val="18"/>
                <w:szCs w:val="18"/>
                <w:color w:val="auto"/>
              </w:rPr>
              <w:t>Diluted</w:t>
            </w:r>
          </w:p>
        </w:tc>
        <w:tc>
          <w:tcPr>
            <w:tcW w:w="380" w:type="dxa"/>
            <w:vAlign w:val="bottom"/>
            <w:shd w:val="clear" w:color="auto" w:fill="CCEEFF"/>
          </w:tcPr>
          <w:p>
            <w:pPr>
              <w:spacing w:after="0"/>
              <w:rPr>
                <w:sz w:val="24"/>
                <w:szCs w:val="24"/>
                <w:color w:val="auto"/>
              </w:rPr>
            </w:pPr>
          </w:p>
        </w:tc>
        <w:tc>
          <w:tcPr>
            <w:tcW w:w="122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444,269</w:t>
            </w:r>
          </w:p>
        </w:tc>
        <w:tc>
          <w:tcPr>
            <w:tcW w:w="120" w:type="dxa"/>
            <w:vAlign w:val="bottom"/>
            <w:shd w:val="clear" w:color="auto" w:fill="CCEEFF"/>
          </w:tcPr>
          <w:p>
            <w:pPr>
              <w:spacing w:after="0"/>
              <w:rPr>
                <w:sz w:val="24"/>
                <w:szCs w:val="24"/>
                <w:color w:val="auto"/>
              </w:rPr>
            </w:pPr>
          </w:p>
        </w:tc>
        <w:tc>
          <w:tcPr>
            <w:tcW w:w="380" w:type="dxa"/>
            <w:vAlign w:val="bottom"/>
            <w:shd w:val="clear" w:color="auto" w:fill="CCEEFF"/>
          </w:tcPr>
          <w:p>
            <w:pPr>
              <w:spacing w:after="0"/>
              <w:rPr>
                <w:sz w:val="24"/>
                <w:szCs w:val="24"/>
                <w:color w:val="auto"/>
              </w:rPr>
            </w:pPr>
          </w:p>
        </w:tc>
        <w:tc>
          <w:tcPr>
            <w:tcW w:w="122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465,660</w:t>
            </w:r>
          </w:p>
        </w:tc>
        <w:tc>
          <w:tcPr>
            <w:tcW w:w="120" w:type="dxa"/>
            <w:vAlign w:val="bottom"/>
            <w:shd w:val="clear" w:color="auto" w:fill="CCEEFF"/>
          </w:tcPr>
          <w:p>
            <w:pPr>
              <w:spacing w:after="0"/>
              <w:rPr>
                <w:sz w:val="24"/>
                <w:szCs w:val="24"/>
                <w:color w:val="auto"/>
              </w:rPr>
            </w:pPr>
          </w:p>
        </w:tc>
        <w:tc>
          <w:tcPr>
            <w:tcW w:w="380" w:type="dxa"/>
            <w:vAlign w:val="bottom"/>
            <w:shd w:val="clear" w:color="auto" w:fill="CCEEFF"/>
          </w:tcPr>
          <w:p>
            <w:pPr>
              <w:spacing w:after="0"/>
              <w:rPr>
                <w:sz w:val="24"/>
                <w:szCs w:val="24"/>
                <w:color w:val="auto"/>
              </w:rPr>
            </w:pPr>
          </w:p>
        </w:tc>
        <w:tc>
          <w:tcPr>
            <w:tcW w:w="122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491,692</w:t>
            </w:r>
          </w:p>
        </w:tc>
      </w:tr>
      <w:tr>
        <w:trPr>
          <w:trHeight w:val="257"/>
        </w:trPr>
        <w:tc>
          <w:tcPr>
            <w:tcW w:w="6380" w:type="dxa"/>
            <w:vAlign w:val="bottom"/>
          </w:tcPr>
          <w:p>
            <w:pPr>
              <w:ind w:left="40"/>
              <w:spacing w:after="0"/>
              <w:rPr>
                <w:sz w:val="20"/>
                <w:szCs w:val="20"/>
                <w:color w:val="auto"/>
              </w:rPr>
            </w:pPr>
            <w:r>
              <w:rPr>
                <w:rFonts w:ascii="Arial" w:cs="Arial" w:eastAsia="Arial" w:hAnsi="Arial"/>
                <w:sz w:val="18"/>
                <w:szCs w:val="18"/>
                <w:b w:val="1"/>
                <w:bCs w:val="1"/>
                <w:color w:val="auto"/>
              </w:rPr>
              <w:t>Cash dividends declared per common share</w:t>
            </w:r>
          </w:p>
        </w:tc>
        <w:tc>
          <w:tcPr>
            <w:tcW w:w="380" w:type="dxa"/>
            <w:vAlign w:val="bottom"/>
          </w:tcPr>
          <w:p>
            <w:pPr>
              <w:jc w:val="right"/>
              <w:ind w:right="170"/>
              <w:spacing w:after="0"/>
              <w:rPr>
                <w:sz w:val="20"/>
                <w:szCs w:val="20"/>
                <w:color w:val="auto"/>
              </w:rPr>
            </w:pPr>
            <w:r>
              <w:rPr>
                <w:rFonts w:ascii="Arial" w:cs="Arial" w:eastAsia="Arial" w:hAnsi="Arial"/>
                <w:sz w:val="18"/>
                <w:szCs w:val="18"/>
                <w:color w:val="auto"/>
                <w:w w:val="99"/>
              </w:rPr>
              <w:t>$</w:t>
            </w:r>
          </w:p>
        </w:tc>
        <w:tc>
          <w:tcPr>
            <w:tcW w:w="1220" w:type="dxa"/>
            <w:vAlign w:val="bottom"/>
          </w:tcPr>
          <w:p>
            <w:pPr>
              <w:jc w:val="right"/>
              <w:ind w:right="11"/>
              <w:spacing w:after="0"/>
              <w:rPr>
                <w:sz w:val="20"/>
                <w:szCs w:val="20"/>
                <w:color w:val="auto"/>
              </w:rPr>
            </w:pPr>
            <w:r>
              <w:rPr>
                <w:rFonts w:ascii="Arial" w:cs="Arial" w:eastAsia="Arial" w:hAnsi="Arial"/>
                <w:sz w:val="18"/>
                <w:szCs w:val="18"/>
                <w:color w:val="auto"/>
              </w:rPr>
              <w:t>0.40</w:t>
            </w:r>
          </w:p>
        </w:tc>
        <w:tc>
          <w:tcPr>
            <w:tcW w:w="50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1220" w:type="dxa"/>
            <w:vAlign w:val="bottom"/>
          </w:tcPr>
          <w:p>
            <w:pPr>
              <w:jc w:val="right"/>
              <w:ind w:right="11"/>
              <w:spacing w:after="0"/>
              <w:rPr>
                <w:sz w:val="20"/>
                <w:szCs w:val="20"/>
                <w:color w:val="auto"/>
              </w:rPr>
            </w:pPr>
            <w:r>
              <w:rPr>
                <w:rFonts w:ascii="Arial" w:cs="Arial" w:eastAsia="Arial" w:hAnsi="Arial"/>
                <w:sz w:val="18"/>
                <w:szCs w:val="18"/>
                <w:color w:val="auto"/>
              </w:rPr>
              <w:t>0.40</w:t>
            </w:r>
          </w:p>
        </w:tc>
        <w:tc>
          <w:tcPr>
            <w:tcW w:w="120" w:type="dxa"/>
            <w:vAlign w:val="bottom"/>
          </w:tcPr>
          <w:p>
            <w:pPr>
              <w:spacing w:after="0"/>
              <w:rPr>
                <w:sz w:val="22"/>
                <w:szCs w:val="22"/>
                <w:color w:val="auto"/>
              </w:rPr>
            </w:pPr>
          </w:p>
        </w:tc>
        <w:tc>
          <w:tcPr>
            <w:tcW w:w="380" w:type="dxa"/>
            <w:vAlign w:val="bottom"/>
          </w:tcPr>
          <w:p>
            <w:pPr>
              <w:jc w:val="right"/>
              <w:ind w:right="170"/>
              <w:spacing w:after="0"/>
              <w:rPr>
                <w:sz w:val="20"/>
                <w:szCs w:val="20"/>
                <w:color w:val="auto"/>
              </w:rPr>
            </w:pPr>
            <w:r>
              <w:rPr>
                <w:rFonts w:ascii="Arial" w:cs="Arial" w:eastAsia="Arial" w:hAnsi="Arial"/>
                <w:sz w:val="18"/>
                <w:szCs w:val="18"/>
                <w:color w:val="auto"/>
                <w:w w:val="99"/>
              </w:rPr>
              <w:t>$</w:t>
            </w:r>
          </w:p>
        </w:tc>
        <w:tc>
          <w:tcPr>
            <w:tcW w:w="1220" w:type="dxa"/>
            <w:vAlign w:val="bottom"/>
          </w:tcPr>
          <w:p>
            <w:pPr>
              <w:jc w:val="right"/>
              <w:ind w:right="11"/>
              <w:spacing w:after="0"/>
              <w:rPr>
                <w:sz w:val="20"/>
                <w:szCs w:val="20"/>
                <w:color w:val="auto"/>
              </w:rPr>
            </w:pPr>
            <w:r>
              <w:rPr>
                <w:rFonts w:ascii="Arial" w:cs="Arial" w:eastAsia="Arial" w:hAnsi="Arial"/>
                <w:sz w:val="18"/>
                <w:szCs w:val="18"/>
                <w:color w:val="auto"/>
              </w:rPr>
              <w:t>0.40</w:t>
            </w:r>
          </w:p>
        </w:tc>
      </w:tr>
    </w:tbl>
    <w:p>
      <w:pPr>
        <w:spacing w:after="0" w:line="200" w:lineRule="exact"/>
        <w:rPr>
          <w:sz w:val="20"/>
          <w:szCs w:val="20"/>
          <w:color w:val="auto"/>
        </w:rPr>
      </w:pPr>
    </w:p>
    <w:p>
      <w:pPr>
        <w:spacing w:after="0" w:line="24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accompanying notes to consolidated financial statements.</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72</w:t>
      </w:r>
    </w:p>
    <w:p>
      <w:pPr>
        <w:sectPr>
          <w:pgSz w:w="11900" w:h="16838" w:orient="portrait"/>
          <w:cols w:equalWidth="0" w:num="1">
            <w:col w:w="11420"/>
          </w:cols>
          <w:pgMar w:left="240" w:top="549" w:right="239" w:bottom="1440" w:gutter="0" w:footer="0" w:header="0"/>
        </w:sectPr>
      </w:pPr>
    </w:p>
    <w:bookmarkStart w:id="72" w:name="page73"/>
    <w:bookmarkEnd w:id="72"/>
    <w:p>
      <w:pPr>
        <w:jc w:val="center"/>
        <w:spacing w:after="0"/>
        <w:rPr>
          <w:sz w:val="20"/>
          <w:szCs w:val="20"/>
          <w:color w:val="auto"/>
        </w:rPr>
      </w:pPr>
      <w:r>
        <w:rPr>
          <w:rFonts w:ascii="Arial" w:cs="Arial" w:eastAsia="Arial" w:hAnsi="Arial"/>
          <w:sz w:val="18"/>
          <w:szCs w:val="18"/>
          <w:b w:val="1"/>
          <w:bCs w:val="1"/>
          <w:color w:val="auto"/>
        </w:rPr>
        <w:t>AMERICAN AIRLINES GROUP INC.</w:t>
      </w:r>
    </w:p>
    <w:p>
      <w:pPr>
        <w:spacing w:after="0" w:line="3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STATEMENTS OF COMPREHENSIVE INCOME</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millions)</w:t>
      </w:r>
    </w:p>
    <w:p>
      <w:pPr>
        <w:spacing w:after="0" w:line="321" w:lineRule="exact"/>
        <w:rPr>
          <w:sz w:val="20"/>
          <w:szCs w:val="20"/>
          <w:color w:val="auto"/>
        </w:rPr>
      </w:pPr>
    </w:p>
    <w:tbl>
      <w:tblPr>
        <w:tblLayout w:type="fixed"/>
        <w:tblInd w:w="0" w:type="dxa"/>
        <w:tblCellMar>
          <w:top w:w="0" w:type="dxa"/>
          <w:left w:w="0" w:type="dxa"/>
          <w:bottom w:w="0" w:type="dxa"/>
          <w:right w:w="0" w:type="dxa"/>
        </w:tblCellMar>
      </w:tblPr>
      <w:tr>
        <w:trPr>
          <w:trHeight w:val="196"/>
        </w:trPr>
        <w:tc>
          <w:tcPr>
            <w:tcW w:w="6620" w:type="dxa"/>
            <w:vAlign w:val="bottom"/>
          </w:tcPr>
          <w:p>
            <w:pPr>
              <w:spacing w:after="0"/>
              <w:rPr>
                <w:sz w:val="17"/>
                <w:szCs w:val="17"/>
                <w:color w:val="auto"/>
              </w:rPr>
            </w:pPr>
          </w:p>
        </w:tc>
        <w:tc>
          <w:tcPr>
            <w:tcW w:w="920" w:type="dxa"/>
            <w:vAlign w:val="bottom"/>
            <w:tcBorders>
              <w:bottom w:val="single" w:sz="8" w:color="auto"/>
            </w:tcBorders>
          </w:tcPr>
          <w:p>
            <w:pPr>
              <w:spacing w:after="0"/>
              <w:rPr>
                <w:sz w:val="17"/>
                <w:szCs w:val="17"/>
                <w:color w:val="auto"/>
              </w:rPr>
            </w:pPr>
          </w:p>
        </w:tc>
        <w:tc>
          <w:tcPr>
            <w:tcW w:w="580" w:type="dxa"/>
            <w:vAlign w:val="bottom"/>
            <w:tcBorders>
              <w:bottom w:val="single" w:sz="8" w:color="auto"/>
            </w:tcBorders>
          </w:tcPr>
          <w:p>
            <w:pPr>
              <w:spacing w:after="0"/>
              <w:rPr>
                <w:sz w:val="17"/>
                <w:szCs w:val="17"/>
                <w:color w:val="auto"/>
              </w:rPr>
            </w:pPr>
          </w:p>
        </w:tc>
        <w:tc>
          <w:tcPr>
            <w:tcW w:w="2080" w:type="dxa"/>
            <w:vAlign w:val="bottom"/>
            <w:tcBorders>
              <w:bottom w:val="single" w:sz="8" w:color="auto"/>
            </w:tcBorders>
            <w:gridSpan w:val="5"/>
          </w:tcPr>
          <w:p>
            <w:pPr>
              <w:jc w:val="right"/>
              <w:ind w:right="190"/>
              <w:spacing w:after="0"/>
              <w:rPr>
                <w:sz w:val="20"/>
                <w:szCs w:val="20"/>
                <w:color w:val="auto"/>
              </w:rPr>
            </w:pPr>
            <w:r>
              <w:rPr>
                <w:rFonts w:ascii="Arial" w:cs="Arial" w:eastAsia="Arial" w:hAnsi="Arial"/>
                <w:sz w:val="14"/>
                <w:szCs w:val="14"/>
                <w:b w:val="1"/>
                <w:bCs w:val="1"/>
                <w:color w:val="auto"/>
              </w:rPr>
              <w:t>Year Ended December 31,</w:t>
            </w:r>
          </w:p>
        </w:tc>
        <w:tc>
          <w:tcPr>
            <w:tcW w:w="1220" w:type="dxa"/>
            <w:vAlign w:val="bottom"/>
            <w:tcBorders>
              <w:bottom w:val="single" w:sz="8" w:color="auto"/>
            </w:tcBorders>
          </w:tcPr>
          <w:p>
            <w:pPr>
              <w:spacing w:after="0"/>
              <w:rPr>
                <w:sz w:val="17"/>
                <w:szCs w:val="17"/>
                <w:color w:val="auto"/>
              </w:rPr>
            </w:pPr>
          </w:p>
        </w:tc>
      </w:tr>
      <w:tr>
        <w:trPr>
          <w:trHeight w:val="264"/>
        </w:trPr>
        <w:tc>
          <w:tcPr>
            <w:tcW w:w="6620" w:type="dxa"/>
            <w:vAlign w:val="bottom"/>
            <w:tcBorders>
              <w:bottom w:val="single" w:sz="8" w:color="CCEEFF"/>
            </w:tcBorders>
          </w:tcPr>
          <w:p>
            <w:pPr>
              <w:spacing w:after="0"/>
              <w:rPr>
                <w:sz w:val="22"/>
                <w:szCs w:val="22"/>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2019</w:t>
            </w:r>
          </w:p>
        </w:tc>
        <w:tc>
          <w:tcPr>
            <w:tcW w:w="580" w:type="dxa"/>
            <w:vAlign w:val="bottom"/>
            <w:tcBorders>
              <w:bottom w:val="single" w:sz="8" w:color="auto"/>
            </w:tcBorders>
          </w:tcPr>
          <w:p>
            <w:pPr>
              <w:spacing w:after="0"/>
              <w:rPr>
                <w:sz w:val="22"/>
                <w:szCs w:val="22"/>
                <w:color w:val="auto"/>
              </w:rPr>
            </w:pPr>
          </w:p>
        </w:tc>
        <w:tc>
          <w:tcPr>
            <w:tcW w:w="100" w:type="dxa"/>
            <w:vAlign w:val="bottom"/>
            <w:tcBorders>
              <w:bottom w:val="single" w:sz="8" w:color="CCEEFF"/>
            </w:tcBorders>
          </w:tcPr>
          <w:p>
            <w:pPr>
              <w:spacing w:after="0"/>
              <w:rPr>
                <w:sz w:val="22"/>
                <w:szCs w:val="22"/>
                <w:color w:val="auto"/>
              </w:rPr>
            </w:pPr>
          </w:p>
        </w:tc>
        <w:tc>
          <w:tcPr>
            <w:tcW w:w="360" w:type="dxa"/>
            <w:vAlign w:val="bottom"/>
            <w:tcBorders>
              <w:bottom w:val="single" w:sz="8" w:color="auto"/>
            </w:tcBorders>
          </w:tcPr>
          <w:p>
            <w:pPr>
              <w:spacing w:after="0"/>
              <w:rPr>
                <w:sz w:val="22"/>
                <w:szCs w:val="22"/>
                <w:color w:val="auto"/>
              </w:rPr>
            </w:pPr>
          </w:p>
        </w:tc>
        <w:tc>
          <w:tcPr>
            <w:tcW w:w="1120" w:type="dxa"/>
            <w:vAlign w:val="bottom"/>
            <w:tcBorders>
              <w:bottom w:val="single" w:sz="8" w:color="auto"/>
            </w:tcBorders>
          </w:tcPr>
          <w:p>
            <w:pPr>
              <w:jc w:val="right"/>
              <w:ind w:right="493"/>
              <w:spacing w:after="0"/>
              <w:rPr>
                <w:sz w:val="20"/>
                <w:szCs w:val="20"/>
                <w:color w:val="auto"/>
              </w:rPr>
            </w:pPr>
            <w:r>
              <w:rPr>
                <w:rFonts w:ascii="Arial" w:cs="Arial" w:eastAsia="Arial" w:hAnsi="Arial"/>
                <w:sz w:val="14"/>
                <w:szCs w:val="14"/>
                <w:b w:val="1"/>
                <w:bCs w:val="1"/>
                <w:color w:val="auto"/>
              </w:rPr>
              <w:t>2018</w:t>
            </w:r>
          </w:p>
        </w:tc>
        <w:tc>
          <w:tcPr>
            <w:tcW w:w="120" w:type="dxa"/>
            <w:vAlign w:val="bottom"/>
            <w:tcBorders>
              <w:bottom w:val="single" w:sz="8" w:color="CCEEFF"/>
            </w:tcBorders>
          </w:tcPr>
          <w:p>
            <w:pPr>
              <w:spacing w:after="0"/>
              <w:rPr>
                <w:sz w:val="22"/>
                <w:szCs w:val="22"/>
                <w:color w:val="auto"/>
              </w:rPr>
            </w:pPr>
          </w:p>
        </w:tc>
        <w:tc>
          <w:tcPr>
            <w:tcW w:w="380" w:type="dxa"/>
            <w:vAlign w:val="bottom"/>
            <w:tcBorders>
              <w:bottom w:val="single" w:sz="8" w:color="auto"/>
            </w:tcBorders>
          </w:tcPr>
          <w:p>
            <w:pPr>
              <w:spacing w:after="0"/>
              <w:rPr>
                <w:sz w:val="22"/>
                <w:szCs w:val="22"/>
                <w:color w:val="auto"/>
              </w:rPr>
            </w:pPr>
          </w:p>
        </w:tc>
        <w:tc>
          <w:tcPr>
            <w:tcW w:w="1220" w:type="dxa"/>
            <w:vAlign w:val="bottom"/>
            <w:tcBorders>
              <w:bottom w:val="single" w:sz="8" w:color="auto"/>
            </w:tcBorders>
          </w:tcPr>
          <w:p>
            <w:pPr>
              <w:jc w:val="right"/>
              <w:ind w:right="553"/>
              <w:spacing w:after="0"/>
              <w:rPr>
                <w:sz w:val="20"/>
                <w:szCs w:val="20"/>
                <w:color w:val="auto"/>
              </w:rPr>
            </w:pPr>
            <w:r>
              <w:rPr>
                <w:rFonts w:ascii="Arial" w:cs="Arial" w:eastAsia="Arial" w:hAnsi="Arial"/>
                <w:sz w:val="14"/>
                <w:szCs w:val="14"/>
                <w:b w:val="1"/>
                <w:bCs w:val="1"/>
                <w:color w:val="auto"/>
              </w:rPr>
              <w:t>2017</w:t>
            </w:r>
          </w:p>
        </w:tc>
      </w:tr>
      <w:tr>
        <w:trPr>
          <w:trHeight w:val="256"/>
        </w:trPr>
        <w:tc>
          <w:tcPr>
            <w:tcW w:w="6620" w:type="dxa"/>
            <w:vAlign w:val="bottom"/>
            <w:shd w:val="clear" w:color="auto" w:fill="CCEEFF"/>
          </w:tcPr>
          <w:p>
            <w:pPr>
              <w:ind w:left="40"/>
              <w:spacing w:after="0"/>
              <w:rPr>
                <w:sz w:val="20"/>
                <w:szCs w:val="20"/>
                <w:color w:val="auto"/>
              </w:rPr>
            </w:pPr>
            <w:r>
              <w:rPr>
                <w:rFonts w:ascii="Arial" w:cs="Arial" w:eastAsia="Arial" w:hAnsi="Arial"/>
                <w:sz w:val="18"/>
                <w:szCs w:val="18"/>
                <w:b w:val="1"/>
                <w:bCs w:val="1"/>
                <w:color w:val="auto"/>
              </w:rPr>
              <w:t>Net income</w:t>
            </w:r>
          </w:p>
        </w:tc>
        <w:tc>
          <w:tcPr>
            <w:tcW w:w="920" w:type="dxa"/>
            <w:vAlign w:val="bottom"/>
            <w:shd w:val="clear" w:color="auto" w:fill="CCEEFF"/>
          </w:tcPr>
          <w:p>
            <w:pPr>
              <w:jc w:val="right"/>
              <w:ind w:right="696"/>
              <w:spacing w:after="0"/>
              <w:rPr>
                <w:sz w:val="20"/>
                <w:szCs w:val="20"/>
                <w:color w:val="auto"/>
              </w:rPr>
            </w:pPr>
            <w:r>
              <w:rPr>
                <w:rFonts w:ascii="Arial" w:cs="Arial" w:eastAsia="Arial" w:hAnsi="Arial"/>
                <w:sz w:val="18"/>
                <w:szCs w:val="18"/>
                <w:color w:val="auto"/>
              </w:rPr>
              <w:t>$</w:t>
            </w:r>
          </w:p>
        </w:tc>
        <w:tc>
          <w:tcPr>
            <w:tcW w:w="58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97"/>
              </w:rPr>
              <w:t>1,686</w:t>
            </w:r>
          </w:p>
        </w:tc>
        <w:tc>
          <w:tcPr>
            <w:tcW w:w="46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1120" w:type="dxa"/>
            <w:vAlign w:val="bottom"/>
            <w:shd w:val="clear" w:color="auto" w:fill="CCEEFF"/>
          </w:tcPr>
          <w:p>
            <w:pPr>
              <w:jc w:val="right"/>
              <w:ind w:right="13"/>
              <w:spacing w:after="0"/>
              <w:rPr>
                <w:sz w:val="20"/>
                <w:szCs w:val="20"/>
                <w:color w:val="auto"/>
              </w:rPr>
            </w:pPr>
            <w:r>
              <w:rPr>
                <w:rFonts w:ascii="Arial" w:cs="Arial" w:eastAsia="Arial" w:hAnsi="Arial"/>
                <w:sz w:val="18"/>
                <w:szCs w:val="18"/>
                <w:color w:val="auto"/>
              </w:rPr>
              <w:t>1,412</w:t>
            </w:r>
          </w:p>
        </w:tc>
        <w:tc>
          <w:tcPr>
            <w:tcW w:w="120" w:type="dxa"/>
            <w:vAlign w:val="bottom"/>
            <w:shd w:val="clear" w:color="auto" w:fill="CCEEFF"/>
          </w:tcPr>
          <w:p>
            <w:pPr>
              <w:spacing w:after="0"/>
              <w:rPr>
                <w:sz w:val="22"/>
                <w:szCs w:val="22"/>
                <w:color w:val="auto"/>
              </w:rPr>
            </w:pPr>
          </w:p>
        </w:tc>
        <w:tc>
          <w:tcPr>
            <w:tcW w:w="380" w:type="dxa"/>
            <w:vAlign w:val="bottom"/>
            <w:shd w:val="clear" w:color="auto" w:fill="CCEEFF"/>
          </w:tcPr>
          <w:p>
            <w:pPr>
              <w:jc w:val="right"/>
              <w:ind w:right="170"/>
              <w:spacing w:after="0"/>
              <w:rPr>
                <w:sz w:val="20"/>
                <w:szCs w:val="20"/>
                <w:color w:val="auto"/>
              </w:rPr>
            </w:pPr>
            <w:r>
              <w:rPr>
                <w:rFonts w:ascii="Arial" w:cs="Arial" w:eastAsia="Arial" w:hAnsi="Arial"/>
                <w:sz w:val="18"/>
                <w:szCs w:val="18"/>
                <w:color w:val="auto"/>
                <w:w w:val="99"/>
              </w:rPr>
              <w:t>$</w:t>
            </w:r>
          </w:p>
        </w:tc>
        <w:tc>
          <w:tcPr>
            <w:tcW w:w="1220" w:type="dxa"/>
            <w:vAlign w:val="bottom"/>
            <w:shd w:val="clear" w:color="auto" w:fill="CCEEFF"/>
          </w:tcPr>
          <w:p>
            <w:pPr>
              <w:jc w:val="right"/>
              <w:ind w:right="13"/>
              <w:spacing w:after="0"/>
              <w:rPr>
                <w:sz w:val="20"/>
                <w:szCs w:val="20"/>
                <w:color w:val="auto"/>
              </w:rPr>
            </w:pPr>
            <w:r>
              <w:rPr>
                <w:rFonts w:ascii="Arial" w:cs="Arial" w:eastAsia="Arial" w:hAnsi="Arial"/>
                <w:sz w:val="18"/>
                <w:szCs w:val="18"/>
                <w:color w:val="auto"/>
              </w:rPr>
              <w:t>1,282</w:t>
            </w:r>
          </w:p>
        </w:tc>
      </w:tr>
      <w:tr>
        <w:trPr>
          <w:trHeight w:val="243"/>
        </w:trPr>
        <w:tc>
          <w:tcPr>
            <w:tcW w:w="6620" w:type="dxa"/>
            <w:vAlign w:val="bottom"/>
          </w:tcPr>
          <w:p>
            <w:pPr>
              <w:ind w:left="40"/>
              <w:spacing w:after="0"/>
              <w:rPr>
                <w:sz w:val="20"/>
                <w:szCs w:val="20"/>
                <w:color w:val="auto"/>
              </w:rPr>
            </w:pPr>
            <w:r>
              <w:rPr>
                <w:rFonts w:ascii="Arial" w:cs="Arial" w:eastAsia="Arial" w:hAnsi="Arial"/>
                <w:sz w:val="18"/>
                <w:szCs w:val="18"/>
                <w:b w:val="1"/>
                <w:bCs w:val="1"/>
                <w:color w:val="auto"/>
              </w:rPr>
              <w:t>Other comprehensive income (loss), net of tax:</w:t>
            </w:r>
          </w:p>
        </w:tc>
        <w:tc>
          <w:tcPr>
            <w:tcW w:w="920" w:type="dxa"/>
            <w:vAlign w:val="bottom"/>
          </w:tcPr>
          <w:p>
            <w:pPr>
              <w:spacing w:after="0"/>
              <w:rPr>
                <w:sz w:val="21"/>
                <w:szCs w:val="21"/>
                <w:color w:val="auto"/>
              </w:rPr>
            </w:pPr>
          </w:p>
        </w:tc>
        <w:tc>
          <w:tcPr>
            <w:tcW w:w="5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220" w:type="dxa"/>
            <w:vAlign w:val="bottom"/>
          </w:tcPr>
          <w:p>
            <w:pPr>
              <w:spacing w:after="0"/>
              <w:rPr>
                <w:sz w:val="21"/>
                <w:szCs w:val="21"/>
                <w:color w:val="auto"/>
              </w:rPr>
            </w:pPr>
          </w:p>
        </w:tc>
      </w:tr>
      <w:tr>
        <w:trPr>
          <w:trHeight w:val="27"/>
        </w:trPr>
        <w:tc>
          <w:tcPr>
            <w:tcW w:w="6620" w:type="dxa"/>
            <w:vAlign w:val="bottom"/>
          </w:tcPr>
          <w:p>
            <w:pPr>
              <w:spacing w:after="0"/>
              <w:rPr>
                <w:sz w:val="2"/>
                <w:szCs w:val="2"/>
                <w:color w:val="auto"/>
              </w:rPr>
            </w:pPr>
          </w:p>
        </w:tc>
        <w:tc>
          <w:tcPr>
            <w:tcW w:w="920" w:type="dxa"/>
            <w:vAlign w:val="bottom"/>
          </w:tcPr>
          <w:p>
            <w:pPr>
              <w:spacing w:after="0"/>
              <w:rPr>
                <w:sz w:val="2"/>
                <w:szCs w:val="2"/>
                <w:color w:val="auto"/>
              </w:rPr>
            </w:pPr>
          </w:p>
        </w:tc>
        <w:tc>
          <w:tcPr>
            <w:tcW w:w="5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20" w:type="dxa"/>
            <w:vAlign w:val="bottom"/>
          </w:tcPr>
          <w:p>
            <w:pPr>
              <w:spacing w:after="0"/>
              <w:rPr>
                <w:sz w:val="2"/>
                <w:szCs w:val="2"/>
                <w:color w:val="auto"/>
              </w:rPr>
            </w:pPr>
          </w:p>
        </w:tc>
      </w:tr>
      <w:tr>
        <w:trPr>
          <w:trHeight w:val="270"/>
        </w:trPr>
        <w:tc>
          <w:tcPr>
            <w:tcW w:w="6620" w:type="dxa"/>
            <w:vAlign w:val="bottom"/>
            <w:shd w:val="clear" w:color="auto" w:fill="CCEEFF"/>
          </w:tcPr>
          <w:p>
            <w:pPr>
              <w:ind w:left="180"/>
              <w:spacing w:after="0"/>
              <w:rPr>
                <w:sz w:val="20"/>
                <w:szCs w:val="20"/>
                <w:color w:val="auto"/>
              </w:rPr>
            </w:pPr>
            <w:r>
              <w:rPr>
                <w:rFonts w:ascii="Arial" w:cs="Arial" w:eastAsia="Arial" w:hAnsi="Arial"/>
                <w:sz w:val="18"/>
                <w:szCs w:val="18"/>
                <w:color w:val="auto"/>
              </w:rPr>
              <w:t>Pension, retiree medical and other postretirement benefits</w:t>
            </w:r>
          </w:p>
        </w:tc>
        <w:tc>
          <w:tcPr>
            <w:tcW w:w="920" w:type="dxa"/>
            <w:vAlign w:val="bottom"/>
            <w:shd w:val="clear" w:color="auto" w:fill="CCEEFF"/>
          </w:tcPr>
          <w:p>
            <w:pPr>
              <w:spacing w:after="0"/>
              <w:rPr>
                <w:sz w:val="23"/>
                <w:szCs w:val="23"/>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(438)</w:t>
            </w:r>
          </w:p>
        </w:tc>
        <w:tc>
          <w:tcPr>
            <w:tcW w:w="100" w:type="dxa"/>
            <w:vAlign w:val="bottom"/>
            <w:shd w:val="clear" w:color="auto" w:fill="CCEEFF"/>
          </w:tcPr>
          <w:p>
            <w:pPr>
              <w:spacing w:after="0"/>
              <w:rPr>
                <w:sz w:val="23"/>
                <w:szCs w:val="23"/>
                <w:color w:val="auto"/>
              </w:rPr>
            </w:pPr>
          </w:p>
        </w:tc>
        <w:tc>
          <w:tcPr>
            <w:tcW w:w="360" w:type="dxa"/>
            <w:vAlign w:val="bottom"/>
            <w:shd w:val="clear" w:color="auto" w:fill="CCEEFF"/>
          </w:tcPr>
          <w:p>
            <w:pPr>
              <w:spacing w:after="0"/>
              <w:rPr>
                <w:sz w:val="23"/>
                <w:szCs w:val="23"/>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(117)</w:t>
            </w:r>
          </w:p>
        </w:tc>
        <w:tc>
          <w:tcPr>
            <w:tcW w:w="120" w:type="dxa"/>
            <w:vAlign w:val="bottom"/>
            <w:shd w:val="clear" w:color="auto" w:fill="CCEEFF"/>
          </w:tcPr>
          <w:p>
            <w:pPr>
              <w:spacing w:after="0"/>
              <w:rPr>
                <w:sz w:val="23"/>
                <w:szCs w:val="23"/>
                <w:color w:val="auto"/>
              </w:rPr>
            </w:pPr>
          </w:p>
        </w:tc>
        <w:tc>
          <w:tcPr>
            <w:tcW w:w="380" w:type="dxa"/>
            <w:vAlign w:val="bottom"/>
            <w:shd w:val="clear" w:color="auto" w:fill="CCEEFF"/>
          </w:tcPr>
          <w:p>
            <w:pPr>
              <w:spacing w:after="0"/>
              <w:rPr>
                <w:sz w:val="23"/>
                <w:szCs w:val="23"/>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(70)</w:t>
            </w:r>
          </w:p>
        </w:tc>
      </w:tr>
      <w:tr>
        <w:trPr>
          <w:trHeight w:val="264"/>
        </w:trPr>
        <w:tc>
          <w:tcPr>
            <w:tcW w:w="6620" w:type="dxa"/>
            <w:vAlign w:val="bottom"/>
            <w:tcBorders>
              <w:bottom w:val="single" w:sz="8" w:color="CCEEFF"/>
            </w:tcBorders>
          </w:tcPr>
          <w:p>
            <w:pPr>
              <w:ind w:left="180"/>
              <w:spacing w:after="0"/>
              <w:rPr>
                <w:sz w:val="20"/>
                <w:szCs w:val="20"/>
                <w:color w:val="auto"/>
              </w:rPr>
            </w:pPr>
            <w:r>
              <w:rPr>
                <w:rFonts w:ascii="Arial" w:cs="Arial" w:eastAsia="Arial" w:hAnsi="Arial"/>
                <w:sz w:val="18"/>
                <w:szCs w:val="18"/>
                <w:color w:val="auto"/>
              </w:rPr>
              <w:t>Investments</w:t>
            </w:r>
          </w:p>
        </w:tc>
        <w:tc>
          <w:tcPr>
            <w:tcW w:w="920" w:type="dxa"/>
            <w:vAlign w:val="bottom"/>
            <w:tcBorders>
              <w:bottom w:val="single" w:sz="8" w:color="auto"/>
            </w:tcBorders>
          </w:tcPr>
          <w:p>
            <w:pPr>
              <w:spacing w:after="0"/>
              <w:rPr>
                <w:sz w:val="22"/>
                <w:szCs w:val="22"/>
                <w:color w:val="auto"/>
              </w:rPr>
            </w:pPr>
          </w:p>
        </w:tc>
        <w:tc>
          <w:tcPr>
            <w:tcW w:w="58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3</w:t>
            </w:r>
          </w:p>
        </w:tc>
        <w:tc>
          <w:tcPr>
            <w:tcW w:w="100" w:type="dxa"/>
            <w:vAlign w:val="bottom"/>
            <w:tcBorders>
              <w:bottom w:val="single" w:sz="8" w:color="CCEEFF"/>
            </w:tcBorders>
          </w:tcPr>
          <w:p>
            <w:pPr>
              <w:spacing w:after="0"/>
              <w:rPr>
                <w:sz w:val="22"/>
                <w:szCs w:val="22"/>
                <w:color w:val="auto"/>
              </w:rPr>
            </w:pPr>
          </w:p>
        </w:tc>
        <w:tc>
          <w:tcPr>
            <w:tcW w:w="360" w:type="dxa"/>
            <w:vAlign w:val="bottom"/>
            <w:tcBorders>
              <w:bottom w:val="single" w:sz="8" w:color="auto"/>
            </w:tcBorders>
          </w:tcPr>
          <w:p>
            <w:pPr>
              <w:spacing w:after="0"/>
              <w:rPr>
                <w:sz w:val="22"/>
                <w:szCs w:val="22"/>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w:t>
            </w:r>
          </w:p>
        </w:tc>
        <w:tc>
          <w:tcPr>
            <w:tcW w:w="120" w:type="dxa"/>
            <w:vAlign w:val="bottom"/>
            <w:tcBorders>
              <w:bottom w:val="single" w:sz="8" w:color="CCEEFF"/>
            </w:tcBorders>
          </w:tcPr>
          <w:p>
            <w:pPr>
              <w:spacing w:after="0"/>
              <w:rPr>
                <w:sz w:val="22"/>
                <w:szCs w:val="22"/>
                <w:color w:val="auto"/>
              </w:rPr>
            </w:pPr>
          </w:p>
        </w:tc>
        <w:tc>
          <w:tcPr>
            <w:tcW w:w="380" w:type="dxa"/>
            <w:vAlign w:val="bottom"/>
            <w:tcBorders>
              <w:bottom w:val="single" w:sz="8" w:color="auto"/>
            </w:tcBorders>
          </w:tcPr>
          <w:p>
            <w:pPr>
              <w:spacing w:after="0"/>
              <w:rPr>
                <w:sz w:val="22"/>
                <w:szCs w:val="22"/>
                <w:color w:val="auto"/>
              </w:rPr>
            </w:pP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w:t>
            </w:r>
          </w:p>
        </w:tc>
      </w:tr>
      <w:tr>
        <w:trPr>
          <w:trHeight w:val="257"/>
        </w:trPr>
        <w:tc>
          <w:tcPr>
            <w:tcW w:w="6620" w:type="dxa"/>
            <w:vAlign w:val="bottom"/>
            <w:shd w:val="clear" w:color="auto" w:fill="CCEEFF"/>
          </w:tcPr>
          <w:p>
            <w:pPr>
              <w:ind w:left="380"/>
              <w:spacing w:after="0"/>
              <w:rPr>
                <w:sz w:val="20"/>
                <w:szCs w:val="20"/>
                <w:color w:val="auto"/>
              </w:rPr>
            </w:pPr>
            <w:r>
              <w:rPr>
                <w:rFonts w:ascii="Arial" w:cs="Arial" w:eastAsia="Arial" w:hAnsi="Arial"/>
                <w:sz w:val="18"/>
                <w:szCs w:val="18"/>
                <w:b w:val="1"/>
                <w:bCs w:val="1"/>
                <w:color w:val="auto"/>
              </w:rPr>
              <w:t>Total other comprehensive loss, net of tax</w:t>
            </w:r>
          </w:p>
        </w:tc>
        <w:tc>
          <w:tcPr>
            <w:tcW w:w="920" w:type="dxa"/>
            <w:vAlign w:val="bottom"/>
            <w:tcBorders>
              <w:bottom w:val="single" w:sz="8" w:color="auto"/>
            </w:tcBorders>
            <w:shd w:val="clear" w:color="auto" w:fill="CCEEFF"/>
          </w:tcPr>
          <w:p>
            <w:pPr>
              <w:spacing w:after="0"/>
              <w:rPr>
                <w:sz w:val="22"/>
                <w:szCs w:val="22"/>
                <w:color w:val="auto"/>
              </w:rPr>
            </w:pPr>
          </w:p>
        </w:tc>
        <w:tc>
          <w:tcPr>
            <w:tcW w:w="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(435)</w:t>
            </w:r>
          </w:p>
        </w:tc>
        <w:tc>
          <w:tcPr>
            <w:tcW w:w="100" w:type="dxa"/>
            <w:vAlign w:val="bottom"/>
            <w:shd w:val="clear" w:color="auto" w:fill="CCEEFF"/>
          </w:tcPr>
          <w:p>
            <w:pPr>
              <w:spacing w:after="0"/>
              <w:rPr>
                <w:sz w:val="22"/>
                <w:szCs w:val="22"/>
                <w:color w:val="auto"/>
              </w:rPr>
            </w:pPr>
          </w:p>
        </w:tc>
        <w:tc>
          <w:tcPr>
            <w:tcW w:w="360" w:type="dxa"/>
            <w:vAlign w:val="bottom"/>
            <w:tcBorders>
              <w:bottom w:val="single" w:sz="8" w:color="auto"/>
            </w:tcBorders>
            <w:shd w:val="clear" w:color="auto" w:fill="CCEEFF"/>
          </w:tcPr>
          <w:p>
            <w:pPr>
              <w:spacing w:after="0"/>
              <w:rPr>
                <w:sz w:val="22"/>
                <w:szCs w:val="22"/>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(120)</w:t>
            </w:r>
          </w:p>
        </w:tc>
        <w:tc>
          <w:tcPr>
            <w:tcW w:w="120" w:type="dxa"/>
            <w:vAlign w:val="bottom"/>
            <w:shd w:val="clear" w:color="auto" w:fill="CCEEFF"/>
          </w:tcPr>
          <w:p>
            <w:pPr>
              <w:spacing w:after="0"/>
              <w:rPr>
                <w:sz w:val="22"/>
                <w:szCs w:val="22"/>
                <w:color w:val="auto"/>
              </w:rPr>
            </w:pPr>
          </w:p>
        </w:tc>
        <w:tc>
          <w:tcPr>
            <w:tcW w:w="380" w:type="dxa"/>
            <w:vAlign w:val="bottom"/>
            <w:tcBorders>
              <w:bottom w:val="single" w:sz="8" w:color="auto"/>
            </w:tcBorders>
            <w:shd w:val="clear" w:color="auto" w:fill="CCEEFF"/>
          </w:tcPr>
          <w:p>
            <w:pPr>
              <w:spacing w:after="0"/>
              <w:rPr>
                <w:sz w:val="22"/>
                <w:szCs w:val="22"/>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(71)</w:t>
            </w:r>
          </w:p>
        </w:tc>
      </w:tr>
      <w:tr>
        <w:trPr>
          <w:trHeight w:val="244"/>
        </w:trPr>
        <w:tc>
          <w:tcPr>
            <w:tcW w:w="6620" w:type="dxa"/>
            <w:vAlign w:val="bottom"/>
          </w:tcPr>
          <w:p>
            <w:pPr>
              <w:ind w:left="40"/>
              <w:spacing w:after="0"/>
              <w:rPr>
                <w:sz w:val="20"/>
                <w:szCs w:val="20"/>
                <w:color w:val="auto"/>
              </w:rPr>
            </w:pPr>
            <w:r>
              <w:rPr>
                <w:rFonts w:ascii="Arial" w:cs="Arial" w:eastAsia="Arial" w:hAnsi="Arial"/>
                <w:sz w:val="18"/>
                <w:szCs w:val="18"/>
                <w:b w:val="1"/>
                <w:bCs w:val="1"/>
                <w:color w:val="auto"/>
              </w:rPr>
              <w:t>Total comprehensive income</w:t>
            </w:r>
          </w:p>
        </w:tc>
        <w:tc>
          <w:tcPr>
            <w:tcW w:w="920" w:type="dxa"/>
            <w:vAlign w:val="bottom"/>
          </w:tcPr>
          <w:p>
            <w:pPr>
              <w:jc w:val="right"/>
              <w:ind w:right="696"/>
              <w:spacing w:after="0"/>
              <w:rPr>
                <w:sz w:val="20"/>
                <w:szCs w:val="20"/>
                <w:color w:val="auto"/>
              </w:rPr>
            </w:pPr>
            <w:r>
              <w:rPr>
                <w:rFonts w:ascii="Arial" w:cs="Arial" w:eastAsia="Arial" w:hAnsi="Arial"/>
                <w:sz w:val="18"/>
                <w:szCs w:val="18"/>
                <w:color w:val="auto"/>
              </w:rPr>
              <w:t>$</w:t>
            </w:r>
          </w:p>
        </w:tc>
        <w:tc>
          <w:tcPr>
            <w:tcW w:w="580" w:type="dxa"/>
            <w:vAlign w:val="bottom"/>
          </w:tcPr>
          <w:p>
            <w:pPr>
              <w:jc w:val="right"/>
              <w:ind w:right="30"/>
              <w:spacing w:after="0"/>
              <w:rPr>
                <w:sz w:val="20"/>
                <w:szCs w:val="20"/>
                <w:color w:val="auto"/>
              </w:rPr>
            </w:pPr>
            <w:r>
              <w:rPr>
                <w:rFonts w:ascii="Arial" w:cs="Arial" w:eastAsia="Arial" w:hAnsi="Arial"/>
                <w:sz w:val="18"/>
                <w:szCs w:val="18"/>
                <w:color w:val="auto"/>
                <w:w w:val="97"/>
              </w:rPr>
              <w:t>1,251</w:t>
            </w:r>
          </w:p>
        </w:tc>
        <w:tc>
          <w:tcPr>
            <w:tcW w:w="46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1120" w:type="dxa"/>
            <w:vAlign w:val="bottom"/>
          </w:tcPr>
          <w:p>
            <w:pPr>
              <w:jc w:val="right"/>
              <w:ind w:right="13"/>
              <w:spacing w:after="0"/>
              <w:rPr>
                <w:sz w:val="20"/>
                <w:szCs w:val="20"/>
                <w:color w:val="auto"/>
              </w:rPr>
            </w:pPr>
            <w:r>
              <w:rPr>
                <w:rFonts w:ascii="Arial" w:cs="Arial" w:eastAsia="Arial" w:hAnsi="Arial"/>
                <w:sz w:val="18"/>
                <w:szCs w:val="18"/>
                <w:color w:val="auto"/>
              </w:rPr>
              <w:t>1,292</w:t>
            </w:r>
          </w:p>
        </w:tc>
        <w:tc>
          <w:tcPr>
            <w:tcW w:w="120" w:type="dxa"/>
            <w:vAlign w:val="bottom"/>
          </w:tcPr>
          <w:p>
            <w:pPr>
              <w:spacing w:after="0"/>
              <w:rPr>
                <w:sz w:val="21"/>
                <w:szCs w:val="21"/>
                <w:color w:val="auto"/>
              </w:rPr>
            </w:pPr>
          </w:p>
        </w:tc>
        <w:tc>
          <w:tcPr>
            <w:tcW w:w="380" w:type="dxa"/>
            <w:vAlign w:val="bottom"/>
          </w:tcPr>
          <w:p>
            <w:pPr>
              <w:jc w:val="right"/>
              <w:ind w:right="170"/>
              <w:spacing w:after="0"/>
              <w:rPr>
                <w:sz w:val="20"/>
                <w:szCs w:val="20"/>
                <w:color w:val="auto"/>
              </w:rPr>
            </w:pPr>
            <w:r>
              <w:rPr>
                <w:rFonts w:ascii="Arial" w:cs="Arial" w:eastAsia="Arial" w:hAnsi="Arial"/>
                <w:sz w:val="18"/>
                <w:szCs w:val="18"/>
                <w:color w:val="auto"/>
                <w:w w:val="99"/>
              </w:rPr>
              <w:t>$</w:t>
            </w:r>
          </w:p>
        </w:tc>
        <w:tc>
          <w:tcPr>
            <w:tcW w:w="1220" w:type="dxa"/>
            <w:vAlign w:val="bottom"/>
          </w:tcPr>
          <w:p>
            <w:pPr>
              <w:jc w:val="right"/>
              <w:ind w:right="13"/>
              <w:spacing w:after="0"/>
              <w:rPr>
                <w:sz w:val="20"/>
                <w:szCs w:val="20"/>
                <w:color w:val="auto"/>
              </w:rPr>
            </w:pPr>
            <w:r>
              <w:rPr>
                <w:rFonts w:ascii="Arial" w:cs="Arial" w:eastAsia="Arial" w:hAnsi="Arial"/>
                <w:sz w:val="18"/>
                <w:szCs w:val="18"/>
                <w:color w:val="auto"/>
              </w:rPr>
              <w:t>1,211</w:t>
            </w:r>
          </w:p>
        </w:tc>
      </w:tr>
      <w:tr>
        <w:trPr>
          <w:trHeight w:val="20"/>
        </w:trPr>
        <w:tc>
          <w:tcPr>
            <w:tcW w:w="6620" w:type="dxa"/>
            <w:vAlign w:val="bottom"/>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1220" w:type="dxa"/>
            <w:vAlign w:val="bottom"/>
            <w:tcBorders>
              <w:top w:val="single" w:sz="8" w:color="auto"/>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3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accompanying notes to consolidated financial statements.</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73</w:t>
      </w:r>
    </w:p>
    <w:p>
      <w:pPr>
        <w:sectPr>
          <w:pgSz w:w="11900" w:h="16838" w:orient="portrait"/>
          <w:cols w:equalWidth="0" w:num="1">
            <w:col w:w="11420"/>
          </w:cols>
          <w:pgMar w:left="240" w:top="549" w:right="239" w:bottom="1440" w:gutter="0" w:footer="0" w:header="0"/>
        </w:sectPr>
      </w:pPr>
    </w:p>
    <w:bookmarkStart w:id="73" w:name="page74"/>
    <w:bookmarkEnd w:id="73"/>
    <w:p>
      <w:pPr>
        <w:jc w:val="center"/>
        <w:spacing w:after="0"/>
        <w:rPr>
          <w:sz w:val="20"/>
          <w:szCs w:val="20"/>
          <w:color w:val="auto"/>
        </w:rPr>
      </w:pPr>
      <w:r>
        <w:rPr>
          <w:rFonts w:ascii="Arial" w:cs="Arial" w:eastAsia="Arial" w:hAnsi="Arial"/>
          <w:sz w:val="18"/>
          <w:szCs w:val="18"/>
          <w:b w:val="1"/>
          <w:bCs w:val="1"/>
          <w:color w:val="auto"/>
        </w:rPr>
        <w:t>AMERICAN AIRLINES GROUP INC.</w:t>
      </w:r>
    </w:p>
    <w:p>
      <w:pPr>
        <w:spacing w:after="0" w:line="3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BALANCE SHEETS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millions, except share and par value)</w:t>
      </w:r>
    </w:p>
    <w:p>
      <w:pPr>
        <w:spacing w:after="0" w:line="159" w:lineRule="exact"/>
        <w:rPr>
          <w:sz w:val="20"/>
          <w:szCs w:val="20"/>
          <w:color w:val="auto"/>
        </w:rPr>
      </w:pPr>
    </w:p>
    <w:tbl>
      <w:tblPr>
        <w:tblLayout w:type="fixed"/>
        <w:tblInd w:w="0" w:type="dxa"/>
        <w:tblCellMar>
          <w:top w:w="0" w:type="dxa"/>
          <w:left w:w="0" w:type="dxa"/>
          <w:bottom w:w="0" w:type="dxa"/>
          <w:right w:w="0" w:type="dxa"/>
        </w:tblCellMar>
      </w:tblPr>
      <w:tr>
        <w:trPr>
          <w:trHeight w:val="196"/>
        </w:trPr>
        <w:tc>
          <w:tcPr>
            <w:tcW w:w="8120" w:type="dxa"/>
            <w:vAlign w:val="bottom"/>
          </w:tcPr>
          <w:p>
            <w:pPr>
              <w:spacing w:after="0"/>
              <w:rPr>
                <w:sz w:val="17"/>
                <w:szCs w:val="17"/>
                <w:color w:val="auto"/>
              </w:rPr>
            </w:pPr>
          </w:p>
        </w:tc>
        <w:tc>
          <w:tcPr>
            <w:tcW w:w="360" w:type="dxa"/>
            <w:vAlign w:val="bottom"/>
            <w:tcBorders>
              <w:bottom w:val="single" w:sz="8" w:color="auto"/>
            </w:tcBorders>
          </w:tcPr>
          <w:p>
            <w:pPr>
              <w:spacing w:after="0"/>
              <w:rPr>
                <w:sz w:val="17"/>
                <w:szCs w:val="17"/>
                <w:color w:val="auto"/>
              </w:rPr>
            </w:pPr>
          </w:p>
        </w:tc>
        <w:tc>
          <w:tcPr>
            <w:tcW w:w="1880" w:type="dxa"/>
            <w:vAlign w:val="bottom"/>
            <w:tcBorders>
              <w:bottom w:val="single" w:sz="8" w:color="auto"/>
            </w:tcBorders>
            <w:gridSpan w:val="3"/>
          </w:tcPr>
          <w:p>
            <w:pPr>
              <w:jc w:val="right"/>
              <w:ind w:right="48"/>
              <w:spacing w:after="0"/>
              <w:rPr>
                <w:sz w:val="20"/>
                <w:szCs w:val="20"/>
                <w:color w:val="auto"/>
              </w:rPr>
            </w:pPr>
            <w:r>
              <w:rPr>
                <w:rFonts w:ascii="Arial" w:cs="Arial" w:eastAsia="Arial" w:hAnsi="Arial"/>
                <w:sz w:val="14"/>
                <w:szCs w:val="14"/>
                <w:b w:val="1"/>
                <w:bCs w:val="1"/>
                <w:color w:val="auto"/>
              </w:rPr>
              <w:t>December 31,</w:t>
            </w:r>
          </w:p>
        </w:tc>
        <w:tc>
          <w:tcPr>
            <w:tcW w:w="1060" w:type="dxa"/>
            <w:vAlign w:val="bottom"/>
            <w:tcBorders>
              <w:bottom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264"/>
        </w:trPr>
        <w:tc>
          <w:tcPr>
            <w:tcW w:w="8120" w:type="dxa"/>
            <w:vAlign w:val="bottom"/>
            <w:tcBorders>
              <w:bottom w:val="single" w:sz="8" w:color="CCEEFF"/>
            </w:tcBorders>
          </w:tcPr>
          <w:p>
            <w:pPr>
              <w:spacing w:after="0"/>
              <w:rPr>
                <w:sz w:val="22"/>
                <w:szCs w:val="22"/>
                <w:color w:val="auto"/>
              </w:rPr>
            </w:pPr>
          </w:p>
        </w:tc>
        <w:tc>
          <w:tcPr>
            <w:tcW w:w="360" w:type="dxa"/>
            <w:vAlign w:val="bottom"/>
            <w:tcBorders>
              <w:bottom w:val="single" w:sz="8" w:color="auto"/>
            </w:tcBorders>
          </w:tcPr>
          <w:p>
            <w:pPr>
              <w:spacing w:after="0"/>
              <w:rPr>
                <w:sz w:val="22"/>
                <w:szCs w:val="22"/>
                <w:color w:val="auto"/>
              </w:rPr>
            </w:pPr>
          </w:p>
        </w:tc>
        <w:tc>
          <w:tcPr>
            <w:tcW w:w="1260" w:type="dxa"/>
            <w:vAlign w:val="bottom"/>
            <w:tcBorders>
              <w:bottom w:val="single" w:sz="8" w:color="auto"/>
            </w:tcBorders>
          </w:tcPr>
          <w:p>
            <w:pPr>
              <w:jc w:val="right"/>
              <w:ind w:right="588"/>
              <w:spacing w:after="0"/>
              <w:rPr>
                <w:sz w:val="20"/>
                <w:szCs w:val="20"/>
                <w:color w:val="auto"/>
              </w:rPr>
            </w:pPr>
            <w:r>
              <w:rPr>
                <w:rFonts w:ascii="Arial" w:cs="Arial" w:eastAsia="Arial" w:hAnsi="Arial"/>
                <w:sz w:val="14"/>
                <w:szCs w:val="14"/>
                <w:b w:val="1"/>
                <w:bCs w:val="1"/>
                <w:color w:val="auto"/>
              </w:rPr>
              <w:t>2019</w:t>
            </w:r>
          </w:p>
        </w:tc>
        <w:tc>
          <w:tcPr>
            <w:tcW w:w="100" w:type="dxa"/>
            <w:vAlign w:val="bottom"/>
            <w:tcBorders>
              <w:bottom w:val="single" w:sz="8" w:color="auto"/>
            </w:tcBorders>
          </w:tcPr>
          <w:p>
            <w:pPr>
              <w:spacing w:after="0"/>
              <w:rPr>
                <w:sz w:val="22"/>
                <w:szCs w:val="22"/>
                <w:color w:val="auto"/>
              </w:rPr>
            </w:pPr>
          </w:p>
        </w:tc>
        <w:tc>
          <w:tcPr>
            <w:tcW w:w="520" w:type="dxa"/>
            <w:vAlign w:val="bottom"/>
            <w:tcBorders>
              <w:bottom w:val="single" w:sz="8" w:color="auto"/>
            </w:tcBorders>
          </w:tcPr>
          <w:p>
            <w:pPr>
              <w:spacing w:after="0"/>
              <w:rPr>
                <w:sz w:val="22"/>
                <w:szCs w:val="22"/>
                <w:color w:val="auto"/>
              </w:rPr>
            </w:pPr>
          </w:p>
        </w:tc>
        <w:tc>
          <w:tcPr>
            <w:tcW w:w="1060" w:type="dxa"/>
            <w:vAlign w:val="bottom"/>
            <w:tcBorders>
              <w:bottom w:val="single" w:sz="8" w:color="auto"/>
            </w:tcBorders>
          </w:tcPr>
          <w:p>
            <w:pPr>
              <w:jc w:val="right"/>
              <w:ind w:right="568"/>
              <w:spacing w:after="0"/>
              <w:rPr>
                <w:sz w:val="20"/>
                <w:szCs w:val="20"/>
                <w:color w:val="auto"/>
              </w:rPr>
            </w:pPr>
            <w:r>
              <w:rPr>
                <w:rFonts w:ascii="Arial" w:cs="Arial" w:eastAsia="Arial" w:hAnsi="Arial"/>
                <w:sz w:val="14"/>
                <w:szCs w:val="14"/>
                <w:b w:val="1"/>
                <w:bCs w:val="1"/>
                <w:color w:val="auto"/>
              </w:rPr>
              <w:t>2018</w:t>
            </w:r>
          </w:p>
        </w:tc>
        <w:tc>
          <w:tcPr>
            <w:tcW w:w="0" w:type="dxa"/>
            <w:vAlign w:val="bottom"/>
          </w:tcPr>
          <w:p>
            <w:pPr>
              <w:spacing w:after="0"/>
              <w:rPr>
                <w:sz w:val="1"/>
                <w:szCs w:val="1"/>
                <w:color w:val="auto"/>
              </w:rPr>
            </w:pPr>
          </w:p>
        </w:tc>
      </w:tr>
      <w:tr>
        <w:trPr>
          <w:trHeight w:val="190"/>
        </w:trPr>
        <w:tc>
          <w:tcPr>
            <w:tcW w:w="8120" w:type="dxa"/>
            <w:vAlign w:val="bottom"/>
            <w:shd w:val="clear" w:color="auto" w:fill="CCEEFF"/>
          </w:tcPr>
          <w:p>
            <w:pPr>
              <w:ind w:left="40"/>
              <w:spacing w:after="0"/>
              <w:rPr>
                <w:sz w:val="20"/>
                <w:szCs w:val="20"/>
                <w:color w:val="auto"/>
              </w:rPr>
            </w:pPr>
            <w:r>
              <w:rPr>
                <w:rFonts w:ascii="Arial" w:cs="Arial" w:eastAsia="Arial" w:hAnsi="Arial"/>
                <w:sz w:val="14"/>
                <w:szCs w:val="14"/>
                <w:b w:val="1"/>
                <w:bCs w:val="1"/>
                <w:color w:val="auto"/>
              </w:rPr>
              <w:t>ASSETS</w:t>
            </w:r>
          </w:p>
        </w:tc>
        <w:tc>
          <w:tcPr>
            <w:tcW w:w="360" w:type="dxa"/>
            <w:vAlign w:val="bottom"/>
            <w:shd w:val="clear" w:color="auto" w:fill="CCEEFF"/>
          </w:tcPr>
          <w:p>
            <w:pPr>
              <w:spacing w:after="0"/>
              <w:rPr>
                <w:sz w:val="16"/>
                <w:szCs w:val="16"/>
                <w:color w:val="auto"/>
              </w:rPr>
            </w:pPr>
          </w:p>
        </w:tc>
        <w:tc>
          <w:tcPr>
            <w:tcW w:w="126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520" w:type="dxa"/>
            <w:vAlign w:val="bottom"/>
            <w:shd w:val="clear" w:color="auto" w:fill="CCEEFF"/>
          </w:tcPr>
          <w:p>
            <w:pPr>
              <w:spacing w:after="0"/>
              <w:rPr>
                <w:sz w:val="16"/>
                <w:szCs w:val="16"/>
                <w:color w:val="auto"/>
              </w:rPr>
            </w:pPr>
          </w:p>
        </w:tc>
        <w:tc>
          <w:tcPr>
            <w:tcW w:w="106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80"/>
        </w:trPr>
        <w:tc>
          <w:tcPr>
            <w:tcW w:w="8120" w:type="dxa"/>
            <w:vAlign w:val="bottom"/>
            <w:shd w:val="clear" w:color="auto" w:fill="CCEEFF"/>
          </w:tcPr>
          <w:p>
            <w:pPr>
              <w:spacing w:after="0"/>
              <w:rPr>
                <w:sz w:val="6"/>
                <w:szCs w:val="6"/>
                <w:color w:val="auto"/>
              </w:rPr>
            </w:pPr>
          </w:p>
        </w:tc>
        <w:tc>
          <w:tcPr>
            <w:tcW w:w="360" w:type="dxa"/>
            <w:vAlign w:val="bottom"/>
            <w:shd w:val="clear" w:color="auto" w:fill="CCEEFF"/>
          </w:tcPr>
          <w:p>
            <w:pPr>
              <w:spacing w:after="0"/>
              <w:rPr>
                <w:sz w:val="6"/>
                <w:szCs w:val="6"/>
                <w:color w:val="auto"/>
              </w:rPr>
            </w:pPr>
          </w:p>
        </w:tc>
        <w:tc>
          <w:tcPr>
            <w:tcW w:w="1260" w:type="dxa"/>
            <w:vAlign w:val="bottom"/>
            <w:shd w:val="clear" w:color="auto" w:fill="CCEEFF"/>
          </w:tcPr>
          <w:p>
            <w:pPr>
              <w:spacing w:after="0"/>
              <w:rPr>
                <w:sz w:val="6"/>
                <w:szCs w:val="6"/>
                <w:color w:val="auto"/>
              </w:rPr>
            </w:pPr>
          </w:p>
        </w:tc>
        <w:tc>
          <w:tcPr>
            <w:tcW w:w="100" w:type="dxa"/>
            <w:vAlign w:val="bottom"/>
            <w:shd w:val="clear" w:color="auto" w:fill="CCEEFF"/>
          </w:tcPr>
          <w:p>
            <w:pPr>
              <w:spacing w:after="0"/>
              <w:rPr>
                <w:sz w:val="6"/>
                <w:szCs w:val="6"/>
                <w:color w:val="auto"/>
              </w:rPr>
            </w:pPr>
          </w:p>
        </w:tc>
        <w:tc>
          <w:tcPr>
            <w:tcW w:w="520" w:type="dxa"/>
            <w:vAlign w:val="bottom"/>
            <w:shd w:val="clear" w:color="auto" w:fill="CCEEFF"/>
          </w:tcPr>
          <w:p>
            <w:pPr>
              <w:spacing w:after="0"/>
              <w:rPr>
                <w:sz w:val="6"/>
                <w:szCs w:val="6"/>
                <w:color w:val="auto"/>
              </w:rPr>
            </w:pPr>
          </w:p>
        </w:tc>
        <w:tc>
          <w:tcPr>
            <w:tcW w:w="1060" w:type="dxa"/>
            <w:vAlign w:val="bottom"/>
            <w:shd w:val="clear" w:color="auto" w:fill="CCEEFF"/>
          </w:tcPr>
          <w:p>
            <w:pPr>
              <w:spacing w:after="0"/>
              <w:rPr>
                <w:sz w:val="6"/>
                <w:szCs w:val="6"/>
                <w:color w:val="auto"/>
              </w:rPr>
            </w:pPr>
          </w:p>
        </w:tc>
        <w:tc>
          <w:tcPr>
            <w:tcW w:w="0" w:type="dxa"/>
            <w:vAlign w:val="bottom"/>
          </w:tcPr>
          <w:p>
            <w:pPr>
              <w:spacing w:after="0"/>
              <w:rPr>
                <w:sz w:val="1"/>
                <w:szCs w:val="1"/>
                <w:color w:val="auto"/>
              </w:rPr>
            </w:pPr>
          </w:p>
        </w:tc>
      </w:tr>
      <w:tr>
        <w:trPr>
          <w:trHeight w:val="204"/>
        </w:trPr>
        <w:tc>
          <w:tcPr>
            <w:tcW w:w="8120" w:type="dxa"/>
            <w:vAlign w:val="bottom"/>
          </w:tcPr>
          <w:p>
            <w:pPr>
              <w:ind w:left="40"/>
              <w:spacing w:after="0"/>
              <w:rPr>
                <w:sz w:val="20"/>
                <w:szCs w:val="20"/>
                <w:color w:val="auto"/>
              </w:rPr>
            </w:pPr>
            <w:r>
              <w:rPr>
                <w:rFonts w:ascii="Arial" w:cs="Arial" w:eastAsia="Arial" w:hAnsi="Arial"/>
                <w:sz w:val="14"/>
                <w:szCs w:val="14"/>
                <w:b w:val="1"/>
                <w:bCs w:val="1"/>
                <w:color w:val="auto"/>
              </w:rPr>
              <w:t>Current assets</w:t>
            </w:r>
          </w:p>
        </w:tc>
        <w:tc>
          <w:tcPr>
            <w:tcW w:w="36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66"/>
        </w:trPr>
        <w:tc>
          <w:tcPr>
            <w:tcW w:w="8120" w:type="dxa"/>
            <w:vAlign w:val="bottom"/>
          </w:tcPr>
          <w:p>
            <w:pPr>
              <w:spacing w:after="0"/>
              <w:rPr>
                <w:sz w:val="5"/>
                <w:szCs w:val="5"/>
                <w:color w:val="auto"/>
              </w:rPr>
            </w:pPr>
          </w:p>
        </w:tc>
        <w:tc>
          <w:tcPr>
            <w:tcW w:w="360" w:type="dxa"/>
            <w:vAlign w:val="bottom"/>
          </w:tcPr>
          <w:p>
            <w:pPr>
              <w:spacing w:after="0"/>
              <w:rPr>
                <w:sz w:val="5"/>
                <w:szCs w:val="5"/>
                <w:color w:val="auto"/>
              </w:rPr>
            </w:pPr>
          </w:p>
        </w:tc>
        <w:tc>
          <w:tcPr>
            <w:tcW w:w="1260" w:type="dxa"/>
            <w:vAlign w:val="bottom"/>
          </w:tcPr>
          <w:p>
            <w:pPr>
              <w:spacing w:after="0"/>
              <w:rPr>
                <w:sz w:val="5"/>
                <w:szCs w:val="5"/>
                <w:color w:val="auto"/>
              </w:rPr>
            </w:pPr>
          </w:p>
        </w:tc>
        <w:tc>
          <w:tcPr>
            <w:tcW w:w="100" w:type="dxa"/>
            <w:vAlign w:val="bottom"/>
          </w:tcPr>
          <w:p>
            <w:pPr>
              <w:spacing w:after="0"/>
              <w:rPr>
                <w:sz w:val="5"/>
                <w:szCs w:val="5"/>
                <w:color w:val="auto"/>
              </w:rPr>
            </w:pPr>
          </w:p>
        </w:tc>
        <w:tc>
          <w:tcPr>
            <w:tcW w:w="520" w:type="dxa"/>
            <w:vAlign w:val="bottom"/>
          </w:tcPr>
          <w:p>
            <w:pPr>
              <w:spacing w:after="0"/>
              <w:rPr>
                <w:sz w:val="5"/>
                <w:szCs w:val="5"/>
                <w:color w:val="auto"/>
              </w:rPr>
            </w:pPr>
          </w:p>
        </w:tc>
        <w:tc>
          <w:tcPr>
            <w:tcW w:w="106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04"/>
        </w:trPr>
        <w:tc>
          <w:tcPr>
            <w:tcW w:w="8120" w:type="dxa"/>
            <w:vAlign w:val="bottom"/>
            <w:shd w:val="clear" w:color="auto" w:fill="CCEEFF"/>
          </w:tcPr>
          <w:p>
            <w:pPr>
              <w:ind w:left="280"/>
              <w:spacing w:after="0"/>
              <w:rPr>
                <w:sz w:val="20"/>
                <w:szCs w:val="20"/>
                <w:color w:val="auto"/>
              </w:rPr>
            </w:pPr>
            <w:r>
              <w:rPr>
                <w:rFonts w:ascii="Arial" w:cs="Arial" w:eastAsia="Arial" w:hAnsi="Arial"/>
                <w:sz w:val="14"/>
                <w:szCs w:val="14"/>
                <w:color w:val="auto"/>
              </w:rPr>
              <w:t>Cash</w:t>
            </w:r>
          </w:p>
        </w:tc>
        <w:tc>
          <w:tcPr>
            <w:tcW w:w="360" w:type="dxa"/>
            <w:vAlign w:val="bottom"/>
            <w:vMerge w:val="restart"/>
            <w:shd w:val="clear" w:color="auto" w:fill="CCEEFF"/>
          </w:tcPr>
          <w:p>
            <w:pPr>
              <w:jc w:val="right"/>
              <w:ind w:right="188"/>
              <w:spacing w:after="0"/>
              <w:rPr>
                <w:sz w:val="20"/>
                <w:szCs w:val="20"/>
                <w:color w:val="auto"/>
              </w:rPr>
            </w:pPr>
            <w:r>
              <w:rPr>
                <w:rFonts w:ascii="Arial" w:cs="Arial" w:eastAsia="Arial" w:hAnsi="Arial"/>
                <w:sz w:val="14"/>
                <w:szCs w:val="14"/>
                <w:color w:val="auto"/>
              </w:rPr>
              <w:t>$</w:t>
            </w:r>
          </w:p>
        </w:tc>
        <w:tc>
          <w:tcPr>
            <w:tcW w:w="1260" w:type="dxa"/>
            <w:vAlign w:val="bottom"/>
            <w:vMerge w:val="restart"/>
            <w:shd w:val="clear" w:color="auto" w:fill="CCEEFF"/>
          </w:tcPr>
          <w:p>
            <w:pPr>
              <w:jc w:val="right"/>
              <w:ind w:right="48"/>
              <w:spacing w:after="0"/>
              <w:rPr>
                <w:sz w:val="20"/>
                <w:szCs w:val="20"/>
                <w:color w:val="auto"/>
              </w:rPr>
            </w:pPr>
            <w:r>
              <w:rPr>
                <w:rFonts w:ascii="Arial" w:cs="Arial" w:eastAsia="Arial" w:hAnsi="Arial"/>
                <w:sz w:val="14"/>
                <w:szCs w:val="14"/>
                <w:color w:val="auto"/>
              </w:rPr>
              <w:t>280</w:t>
            </w:r>
          </w:p>
        </w:tc>
        <w:tc>
          <w:tcPr>
            <w:tcW w:w="100" w:type="dxa"/>
            <w:vAlign w:val="bottom"/>
            <w:shd w:val="clear" w:color="auto" w:fill="CCEEFF"/>
          </w:tcPr>
          <w:p>
            <w:pPr>
              <w:spacing w:after="0"/>
              <w:rPr>
                <w:sz w:val="17"/>
                <w:szCs w:val="17"/>
                <w:color w:val="auto"/>
              </w:rPr>
            </w:pPr>
          </w:p>
        </w:tc>
        <w:tc>
          <w:tcPr>
            <w:tcW w:w="520" w:type="dxa"/>
            <w:vAlign w:val="bottom"/>
            <w:vMerge w:val="restart"/>
            <w:shd w:val="clear" w:color="auto" w:fill="CCEEFF"/>
          </w:tcPr>
          <w:p>
            <w:pPr>
              <w:jc w:val="right"/>
              <w:ind w:right="348"/>
              <w:spacing w:after="0"/>
              <w:rPr>
                <w:sz w:val="20"/>
                <w:szCs w:val="20"/>
                <w:color w:val="auto"/>
              </w:rPr>
            </w:pPr>
            <w:r>
              <w:rPr>
                <w:rFonts w:ascii="Arial" w:cs="Arial" w:eastAsia="Arial" w:hAnsi="Arial"/>
                <w:sz w:val="14"/>
                <w:szCs w:val="14"/>
                <w:color w:val="auto"/>
              </w:rPr>
              <w:t>$</w:t>
            </w:r>
          </w:p>
        </w:tc>
        <w:tc>
          <w:tcPr>
            <w:tcW w:w="1060" w:type="dxa"/>
            <w:vAlign w:val="bottom"/>
            <w:vMerge w:val="restart"/>
            <w:shd w:val="clear" w:color="auto" w:fill="CCEEFF"/>
          </w:tcPr>
          <w:p>
            <w:pPr>
              <w:jc w:val="right"/>
              <w:ind w:right="28"/>
              <w:spacing w:after="0"/>
              <w:rPr>
                <w:sz w:val="20"/>
                <w:szCs w:val="20"/>
                <w:color w:val="auto"/>
              </w:rPr>
            </w:pPr>
            <w:r>
              <w:rPr>
                <w:rFonts w:ascii="Arial" w:cs="Arial" w:eastAsia="Arial" w:hAnsi="Arial"/>
                <w:sz w:val="14"/>
                <w:szCs w:val="14"/>
                <w:color w:val="auto"/>
              </w:rPr>
              <w:t>275</w:t>
            </w:r>
          </w:p>
        </w:tc>
        <w:tc>
          <w:tcPr>
            <w:tcW w:w="0" w:type="dxa"/>
            <w:vAlign w:val="bottom"/>
          </w:tcPr>
          <w:p>
            <w:pPr>
              <w:spacing w:after="0"/>
              <w:rPr>
                <w:sz w:val="1"/>
                <w:szCs w:val="1"/>
                <w:color w:val="auto"/>
              </w:rPr>
            </w:pPr>
          </w:p>
        </w:tc>
      </w:tr>
      <w:tr>
        <w:trPr>
          <w:trHeight w:val="66"/>
        </w:trPr>
        <w:tc>
          <w:tcPr>
            <w:tcW w:w="8120" w:type="dxa"/>
            <w:vAlign w:val="bottom"/>
            <w:shd w:val="clear" w:color="auto" w:fill="CCEEFF"/>
          </w:tcPr>
          <w:p>
            <w:pPr>
              <w:spacing w:after="0"/>
              <w:rPr>
                <w:sz w:val="5"/>
                <w:szCs w:val="5"/>
                <w:color w:val="auto"/>
              </w:rPr>
            </w:pPr>
          </w:p>
        </w:tc>
        <w:tc>
          <w:tcPr>
            <w:tcW w:w="360" w:type="dxa"/>
            <w:vAlign w:val="bottom"/>
            <w:vMerge w:val="continue"/>
            <w:shd w:val="clear" w:color="auto" w:fill="CCEEFF"/>
          </w:tcPr>
          <w:p>
            <w:pPr>
              <w:spacing w:after="0"/>
              <w:rPr>
                <w:sz w:val="5"/>
                <w:szCs w:val="5"/>
                <w:color w:val="auto"/>
              </w:rPr>
            </w:pPr>
          </w:p>
        </w:tc>
        <w:tc>
          <w:tcPr>
            <w:tcW w:w="1260" w:type="dxa"/>
            <w:vAlign w:val="bottom"/>
            <w:vMerge w:val="continue"/>
            <w:shd w:val="clear" w:color="auto" w:fill="CCEEFF"/>
          </w:tcPr>
          <w:p>
            <w:pPr>
              <w:spacing w:after="0"/>
              <w:rPr>
                <w:sz w:val="5"/>
                <w:szCs w:val="5"/>
                <w:color w:val="auto"/>
              </w:rPr>
            </w:pPr>
          </w:p>
        </w:tc>
        <w:tc>
          <w:tcPr>
            <w:tcW w:w="100" w:type="dxa"/>
            <w:vAlign w:val="bottom"/>
            <w:shd w:val="clear" w:color="auto" w:fill="CCEEFF"/>
          </w:tcPr>
          <w:p>
            <w:pPr>
              <w:spacing w:after="0"/>
              <w:rPr>
                <w:sz w:val="5"/>
                <w:szCs w:val="5"/>
                <w:color w:val="auto"/>
              </w:rPr>
            </w:pPr>
          </w:p>
        </w:tc>
        <w:tc>
          <w:tcPr>
            <w:tcW w:w="520" w:type="dxa"/>
            <w:vAlign w:val="bottom"/>
            <w:vMerge w:val="continue"/>
            <w:shd w:val="clear" w:color="auto" w:fill="CCEEFF"/>
          </w:tcPr>
          <w:p>
            <w:pPr>
              <w:spacing w:after="0"/>
              <w:rPr>
                <w:sz w:val="5"/>
                <w:szCs w:val="5"/>
                <w:color w:val="auto"/>
              </w:rPr>
            </w:pPr>
          </w:p>
        </w:tc>
        <w:tc>
          <w:tcPr>
            <w:tcW w:w="1060" w:type="dxa"/>
            <w:vAlign w:val="bottom"/>
            <w:vMerge w:val="continue"/>
            <w:shd w:val="clear" w:color="auto" w:fill="CCEEFF"/>
          </w:tcPr>
          <w:p>
            <w:pPr>
              <w:spacing w:after="0"/>
              <w:rPr>
                <w:sz w:val="5"/>
                <w:szCs w:val="5"/>
                <w:color w:val="auto"/>
              </w:rPr>
            </w:pPr>
          </w:p>
        </w:tc>
        <w:tc>
          <w:tcPr>
            <w:tcW w:w="0" w:type="dxa"/>
            <w:vAlign w:val="bottom"/>
          </w:tcPr>
          <w:p>
            <w:pPr>
              <w:spacing w:after="0"/>
              <w:rPr>
                <w:sz w:val="1"/>
                <w:szCs w:val="1"/>
                <w:color w:val="auto"/>
              </w:rPr>
            </w:pPr>
          </w:p>
        </w:tc>
      </w:tr>
      <w:tr>
        <w:trPr>
          <w:trHeight w:val="204"/>
        </w:trPr>
        <w:tc>
          <w:tcPr>
            <w:tcW w:w="8120" w:type="dxa"/>
            <w:vAlign w:val="bottom"/>
          </w:tcPr>
          <w:p>
            <w:pPr>
              <w:ind w:left="280"/>
              <w:spacing w:after="0"/>
              <w:rPr>
                <w:sz w:val="20"/>
                <w:szCs w:val="20"/>
                <w:color w:val="auto"/>
              </w:rPr>
            </w:pPr>
            <w:r>
              <w:rPr>
                <w:rFonts w:ascii="Arial" w:cs="Arial" w:eastAsia="Arial" w:hAnsi="Arial"/>
                <w:sz w:val="14"/>
                <w:szCs w:val="14"/>
                <w:color w:val="auto"/>
              </w:rPr>
              <w:t>Short-term investments</w:t>
            </w:r>
          </w:p>
        </w:tc>
        <w:tc>
          <w:tcPr>
            <w:tcW w:w="360" w:type="dxa"/>
            <w:vAlign w:val="bottom"/>
          </w:tcPr>
          <w:p>
            <w:pPr>
              <w:spacing w:after="0"/>
              <w:rPr>
                <w:sz w:val="17"/>
                <w:szCs w:val="17"/>
                <w:color w:val="auto"/>
              </w:rPr>
            </w:pPr>
          </w:p>
        </w:tc>
        <w:tc>
          <w:tcPr>
            <w:tcW w:w="1260" w:type="dxa"/>
            <w:vAlign w:val="bottom"/>
            <w:vMerge w:val="restart"/>
          </w:tcPr>
          <w:p>
            <w:pPr>
              <w:jc w:val="right"/>
              <w:ind w:right="48"/>
              <w:spacing w:after="0"/>
              <w:rPr>
                <w:sz w:val="20"/>
                <w:szCs w:val="20"/>
                <w:color w:val="auto"/>
              </w:rPr>
            </w:pPr>
            <w:r>
              <w:rPr>
                <w:rFonts w:ascii="Arial" w:cs="Arial" w:eastAsia="Arial" w:hAnsi="Arial"/>
                <w:sz w:val="14"/>
                <w:szCs w:val="14"/>
                <w:color w:val="auto"/>
              </w:rPr>
              <w:t>3,546</w:t>
            </w:r>
          </w:p>
        </w:tc>
        <w:tc>
          <w:tcPr>
            <w:tcW w:w="10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1060" w:type="dxa"/>
            <w:vAlign w:val="bottom"/>
            <w:vMerge w:val="restart"/>
          </w:tcPr>
          <w:p>
            <w:pPr>
              <w:jc w:val="right"/>
              <w:ind w:right="28"/>
              <w:spacing w:after="0"/>
              <w:rPr>
                <w:sz w:val="20"/>
                <w:szCs w:val="20"/>
                <w:color w:val="auto"/>
              </w:rPr>
            </w:pPr>
            <w:r>
              <w:rPr>
                <w:rFonts w:ascii="Arial" w:cs="Arial" w:eastAsia="Arial" w:hAnsi="Arial"/>
                <w:sz w:val="14"/>
                <w:szCs w:val="14"/>
                <w:color w:val="auto"/>
              </w:rPr>
              <w:t>4,485</w:t>
            </w:r>
          </w:p>
        </w:tc>
        <w:tc>
          <w:tcPr>
            <w:tcW w:w="0" w:type="dxa"/>
            <w:vAlign w:val="bottom"/>
          </w:tcPr>
          <w:p>
            <w:pPr>
              <w:spacing w:after="0"/>
              <w:rPr>
                <w:sz w:val="1"/>
                <w:szCs w:val="1"/>
                <w:color w:val="auto"/>
              </w:rPr>
            </w:pPr>
          </w:p>
        </w:tc>
      </w:tr>
      <w:tr>
        <w:trPr>
          <w:trHeight w:val="60"/>
        </w:trPr>
        <w:tc>
          <w:tcPr>
            <w:tcW w:w="8120" w:type="dxa"/>
            <w:vAlign w:val="bottom"/>
          </w:tcPr>
          <w:p>
            <w:pPr>
              <w:spacing w:after="0"/>
              <w:rPr>
                <w:sz w:val="5"/>
                <w:szCs w:val="5"/>
                <w:color w:val="auto"/>
              </w:rPr>
            </w:pPr>
          </w:p>
        </w:tc>
        <w:tc>
          <w:tcPr>
            <w:tcW w:w="360" w:type="dxa"/>
            <w:vAlign w:val="bottom"/>
          </w:tcPr>
          <w:p>
            <w:pPr>
              <w:spacing w:after="0"/>
              <w:rPr>
                <w:sz w:val="5"/>
                <w:szCs w:val="5"/>
                <w:color w:val="auto"/>
              </w:rPr>
            </w:pPr>
          </w:p>
        </w:tc>
        <w:tc>
          <w:tcPr>
            <w:tcW w:w="1260" w:type="dxa"/>
            <w:vAlign w:val="bottom"/>
            <w:vMerge w:val="continue"/>
          </w:tcPr>
          <w:p>
            <w:pPr>
              <w:spacing w:after="0"/>
              <w:rPr>
                <w:sz w:val="5"/>
                <w:szCs w:val="5"/>
                <w:color w:val="auto"/>
              </w:rPr>
            </w:pPr>
          </w:p>
        </w:tc>
        <w:tc>
          <w:tcPr>
            <w:tcW w:w="100" w:type="dxa"/>
            <w:vAlign w:val="bottom"/>
          </w:tcPr>
          <w:p>
            <w:pPr>
              <w:spacing w:after="0"/>
              <w:rPr>
                <w:sz w:val="5"/>
                <w:szCs w:val="5"/>
                <w:color w:val="auto"/>
              </w:rPr>
            </w:pPr>
          </w:p>
        </w:tc>
        <w:tc>
          <w:tcPr>
            <w:tcW w:w="520" w:type="dxa"/>
            <w:vAlign w:val="bottom"/>
          </w:tcPr>
          <w:p>
            <w:pPr>
              <w:spacing w:after="0"/>
              <w:rPr>
                <w:sz w:val="5"/>
                <w:szCs w:val="5"/>
                <w:color w:val="auto"/>
              </w:rPr>
            </w:pPr>
          </w:p>
        </w:tc>
        <w:tc>
          <w:tcPr>
            <w:tcW w:w="106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r>
        <w:trPr>
          <w:trHeight w:val="210"/>
        </w:trPr>
        <w:tc>
          <w:tcPr>
            <w:tcW w:w="8120" w:type="dxa"/>
            <w:vAlign w:val="bottom"/>
            <w:shd w:val="clear" w:color="auto" w:fill="CCEEFF"/>
          </w:tcPr>
          <w:p>
            <w:pPr>
              <w:ind w:left="280"/>
              <w:spacing w:after="0"/>
              <w:rPr>
                <w:sz w:val="20"/>
                <w:szCs w:val="20"/>
                <w:color w:val="auto"/>
              </w:rPr>
            </w:pPr>
            <w:r>
              <w:rPr>
                <w:rFonts w:ascii="Arial" w:cs="Arial" w:eastAsia="Arial" w:hAnsi="Arial"/>
                <w:sz w:val="14"/>
                <w:szCs w:val="14"/>
                <w:color w:val="auto"/>
              </w:rPr>
              <w:t>Restricted cash and short-term investments</w:t>
            </w:r>
          </w:p>
        </w:tc>
        <w:tc>
          <w:tcPr>
            <w:tcW w:w="360" w:type="dxa"/>
            <w:vAlign w:val="bottom"/>
            <w:shd w:val="clear" w:color="auto" w:fill="CCEEFF"/>
          </w:tcPr>
          <w:p>
            <w:pPr>
              <w:spacing w:after="0"/>
              <w:rPr>
                <w:sz w:val="18"/>
                <w:szCs w:val="18"/>
                <w:color w:val="auto"/>
              </w:rPr>
            </w:pPr>
          </w:p>
        </w:tc>
        <w:tc>
          <w:tcPr>
            <w:tcW w:w="1260" w:type="dxa"/>
            <w:vAlign w:val="bottom"/>
            <w:vMerge w:val="restart"/>
            <w:shd w:val="clear" w:color="auto" w:fill="CCEEFF"/>
          </w:tcPr>
          <w:p>
            <w:pPr>
              <w:jc w:val="right"/>
              <w:ind w:right="48"/>
              <w:spacing w:after="0"/>
              <w:rPr>
                <w:sz w:val="20"/>
                <w:szCs w:val="20"/>
                <w:color w:val="auto"/>
              </w:rPr>
            </w:pPr>
            <w:r>
              <w:rPr>
                <w:rFonts w:ascii="Arial" w:cs="Arial" w:eastAsia="Arial" w:hAnsi="Arial"/>
                <w:sz w:val="14"/>
                <w:szCs w:val="14"/>
                <w:color w:val="auto"/>
              </w:rPr>
              <w:t>158</w:t>
            </w:r>
          </w:p>
        </w:tc>
        <w:tc>
          <w:tcPr>
            <w:tcW w:w="10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1060" w:type="dxa"/>
            <w:vAlign w:val="bottom"/>
            <w:vMerge w:val="restart"/>
            <w:shd w:val="clear" w:color="auto" w:fill="CCEEFF"/>
          </w:tcPr>
          <w:p>
            <w:pPr>
              <w:jc w:val="right"/>
              <w:ind w:right="28"/>
              <w:spacing w:after="0"/>
              <w:rPr>
                <w:sz w:val="20"/>
                <w:szCs w:val="20"/>
                <w:color w:val="auto"/>
              </w:rPr>
            </w:pPr>
            <w:r>
              <w:rPr>
                <w:rFonts w:ascii="Arial" w:cs="Arial" w:eastAsia="Arial" w:hAnsi="Arial"/>
                <w:sz w:val="14"/>
                <w:szCs w:val="14"/>
                <w:color w:val="auto"/>
              </w:rPr>
              <w:t>154</w:t>
            </w:r>
          </w:p>
        </w:tc>
        <w:tc>
          <w:tcPr>
            <w:tcW w:w="0" w:type="dxa"/>
            <w:vAlign w:val="bottom"/>
          </w:tcPr>
          <w:p>
            <w:pPr>
              <w:spacing w:after="0"/>
              <w:rPr>
                <w:sz w:val="1"/>
                <w:szCs w:val="1"/>
                <w:color w:val="auto"/>
              </w:rPr>
            </w:pPr>
          </w:p>
        </w:tc>
      </w:tr>
      <w:tr>
        <w:trPr>
          <w:trHeight w:val="66"/>
        </w:trPr>
        <w:tc>
          <w:tcPr>
            <w:tcW w:w="8120" w:type="dxa"/>
            <w:vAlign w:val="bottom"/>
            <w:shd w:val="clear" w:color="auto" w:fill="CCEEFF"/>
          </w:tcPr>
          <w:p>
            <w:pPr>
              <w:spacing w:after="0"/>
              <w:rPr>
                <w:sz w:val="5"/>
                <w:szCs w:val="5"/>
                <w:color w:val="auto"/>
              </w:rPr>
            </w:pPr>
          </w:p>
        </w:tc>
        <w:tc>
          <w:tcPr>
            <w:tcW w:w="360" w:type="dxa"/>
            <w:vAlign w:val="bottom"/>
            <w:shd w:val="clear" w:color="auto" w:fill="CCEEFF"/>
          </w:tcPr>
          <w:p>
            <w:pPr>
              <w:spacing w:after="0"/>
              <w:rPr>
                <w:sz w:val="5"/>
                <w:szCs w:val="5"/>
                <w:color w:val="auto"/>
              </w:rPr>
            </w:pPr>
          </w:p>
        </w:tc>
        <w:tc>
          <w:tcPr>
            <w:tcW w:w="1260" w:type="dxa"/>
            <w:vAlign w:val="bottom"/>
            <w:vMerge w:val="continue"/>
            <w:shd w:val="clear" w:color="auto" w:fill="CCEEFF"/>
          </w:tcPr>
          <w:p>
            <w:pPr>
              <w:spacing w:after="0"/>
              <w:rPr>
                <w:sz w:val="5"/>
                <w:szCs w:val="5"/>
                <w:color w:val="auto"/>
              </w:rPr>
            </w:pPr>
          </w:p>
        </w:tc>
        <w:tc>
          <w:tcPr>
            <w:tcW w:w="100" w:type="dxa"/>
            <w:vAlign w:val="bottom"/>
            <w:shd w:val="clear" w:color="auto" w:fill="CCEEFF"/>
          </w:tcPr>
          <w:p>
            <w:pPr>
              <w:spacing w:after="0"/>
              <w:rPr>
                <w:sz w:val="5"/>
                <w:szCs w:val="5"/>
                <w:color w:val="auto"/>
              </w:rPr>
            </w:pPr>
          </w:p>
        </w:tc>
        <w:tc>
          <w:tcPr>
            <w:tcW w:w="520" w:type="dxa"/>
            <w:vAlign w:val="bottom"/>
            <w:shd w:val="clear" w:color="auto" w:fill="CCEEFF"/>
          </w:tcPr>
          <w:p>
            <w:pPr>
              <w:spacing w:after="0"/>
              <w:rPr>
                <w:sz w:val="5"/>
                <w:szCs w:val="5"/>
                <w:color w:val="auto"/>
              </w:rPr>
            </w:pPr>
          </w:p>
        </w:tc>
        <w:tc>
          <w:tcPr>
            <w:tcW w:w="1060" w:type="dxa"/>
            <w:vAlign w:val="bottom"/>
            <w:vMerge w:val="continue"/>
            <w:shd w:val="clear" w:color="auto" w:fill="CCEEFF"/>
          </w:tcPr>
          <w:p>
            <w:pPr>
              <w:spacing w:after="0"/>
              <w:rPr>
                <w:sz w:val="5"/>
                <w:szCs w:val="5"/>
                <w:color w:val="auto"/>
              </w:rPr>
            </w:pPr>
          </w:p>
        </w:tc>
        <w:tc>
          <w:tcPr>
            <w:tcW w:w="0" w:type="dxa"/>
            <w:vAlign w:val="bottom"/>
          </w:tcPr>
          <w:p>
            <w:pPr>
              <w:spacing w:after="0"/>
              <w:rPr>
                <w:sz w:val="1"/>
                <w:szCs w:val="1"/>
                <w:color w:val="auto"/>
              </w:rPr>
            </w:pPr>
          </w:p>
        </w:tc>
      </w:tr>
      <w:tr>
        <w:trPr>
          <w:trHeight w:val="204"/>
        </w:trPr>
        <w:tc>
          <w:tcPr>
            <w:tcW w:w="8120" w:type="dxa"/>
            <w:vAlign w:val="bottom"/>
          </w:tcPr>
          <w:p>
            <w:pPr>
              <w:ind w:left="280"/>
              <w:spacing w:after="0"/>
              <w:rPr>
                <w:sz w:val="20"/>
                <w:szCs w:val="20"/>
                <w:color w:val="auto"/>
              </w:rPr>
            </w:pPr>
            <w:r>
              <w:rPr>
                <w:rFonts w:ascii="Arial" w:cs="Arial" w:eastAsia="Arial" w:hAnsi="Arial"/>
                <w:sz w:val="14"/>
                <w:szCs w:val="14"/>
                <w:color w:val="auto"/>
              </w:rPr>
              <w:t>Accounts receivable, net</w:t>
            </w:r>
          </w:p>
        </w:tc>
        <w:tc>
          <w:tcPr>
            <w:tcW w:w="360" w:type="dxa"/>
            <w:vAlign w:val="bottom"/>
          </w:tcPr>
          <w:p>
            <w:pPr>
              <w:spacing w:after="0"/>
              <w:rPr>
                <w:sz w:val="17"/>
                <w:szCs w:val="17"/>
                <w:color w:val="auto"/>
              </w:rPr>
            </w:pPr>
          </w:p>
        </w:tc>
        <w:tc>
          <w:tcPr>
            <w:tcW w:w="1260" w:type="dxa"/>
            <w:vAlign w:val="bottom"/>
            <w:vMerge w:val="restart"/>
          </w:tcPr>
          <w:p>
            <w:pPr>
              <w:jc w:val="right"/>
              <w:ind w:right="48"/>
              <w:spacing w:after="0"/>
              <w:rPr>
                <w:sz w:val="20"/>
                <w:szCs w:val="20"/>
                <w:color w:val="auto"/>
              </w:rPr>
            </w:pPr>
            <w:r>
              <w:rPr>
                <w:rFonts w:ascii="Arial" w:cs="Arial" w:eastAsia="Arial" w:hAnsi="Arial"/>
                <w:sz w:val="14"/>
                <w:szCs w:val="14"/>
                <w:color w:val="auto"/>
              </w:rPr>
              <w:t>1,750</w:t>
            </w:r>
          </w:p>
        </w:tc>
        <w:tc>
          <w:tcPr>
            <w:tcW w:w="10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1060" w:type="dxa"/>
            <w:vAlign w:val="bottom"/>
            <w:vMerge w:val="restart"/>
          </w:tcPr>
          <w:p>
            <w:pPr>
              <w:jc w:val="right"/>
              <w:ind w:right="28"/>
              <w:spacing w:after="0"/>
              <w:rPr>
                <w:sz w:val="20"/>
                <w:szCs w:val="20"/>
                <w:color w:val="auto"/>
              </w:rPr>
            </w:pPr>
            <w:r>
              <w:rPr>
                <w:rFonts w:ascii="Arial" w:cs="Arial" w:eastAsia="Arial" w:hAnsi="Arial"/>
                <w:sz w:val="14"/>
                <w:szCs w:val="14"/>
                <w:color w:val="auto"/>
              </w:rPr>
              <w:t>1,706</w:t>
            </w:r>
          </w:p>
        </w:tc>
        <w:tc>
          <w:tcPr>
            <w:tcW w:w="0" w:type="dxa"/>
            <w:vAlign w:val="bottom"/>
          </w:tcPr>
          <w:p>
            <w:pPr>
              <w:spacing w:after="0"/>
              <w:rPr>
                <w:sz w:val="1"/>
                <w:szCs w:val="1"/>
                <w:color w:val="auto"/>
              </w:rPr>
            </w:pPr>
          </w:p>
        </w:tc>
      </w:tr>
      <w:tr>
        <w:trPr>
          <w:trHeight w:val="60"/>
        </w:trPr>
        <w:tc>
          <w:tcPr>
            <w:tcW w:w="8120" w:type="dxa"/>
            <w:vAlign w:val="bottom"/>
          </w:tcPr>
          <w:p>
            <w:pPr>
              <w:spacing w:after="0"/>
              <w:rPr>
                <w:sz w:val="5"/>
                <w:szCs w:val="5"/>
                <w:color w:val="auto"/>
              </w:rPr>
            </w:pPr>
          </w:p>
        </w:tc>
        <w:tc>
          <w:tcPr>
            <w:tcW w:w="360" w:type="dxa"/>
            <w:vAlign w:val="bottom"/>
          </w:tcPr>
          <w:p>
            <w:pPr>
              <w:spacing w:after="0"/>
              <w:rPr>
                <w:sz w:val="5"/>
                <w:szCs w:val="5"/>
                <w:color w:val="auto"/>
              </w:rPr>
            </w:pPr>
          </w:p>
        </w:tc>
        <w:tc>
          <w:tcPr>
            <w:tcW w:w="1260" w:type="dxa"/>
            <w:vAlign w:val="bottom"/>
            <w:vMerge w:val="continue"/>
          </w:tcPr>
          <w:p>
            <w:pPr>
              <w:spacing w:after="0"/>
              <w:rPr>
                <w:sz w:val="5"/>
                <w:szCs w:val="5"/>
                <w:color w:val="auto"/>
              </w:rPr>
            </w:pPr>
          </w:p>
        </w:tc>
        <w:tc>
          <w:tcPr>
            <w:tcW w:w="100" w:type="dxa"/>
            <w:vAlign w:val="bottom"/>
          </w:tcPr>
          <w:p>
            <w:pPr>
              <w:spacing w:after="0"/>
              <w:rPr>
                <w:sz w:val="5"/>
                <w:szCs w:val="5"/>
                <w:color w:val="auto"/>
              </w:rPr>
            </w:pPr>
          </w:p>
        </w:tc>
        <w:tc>
          <w:tcPr>
            <w:tcW w:w="520" w:type="dxa"/>
            <w:vAlign w:val="bottom"/>
          </w:tcPr>
          <w:p>
            <w:pPr>
              <w:spacing w:after="0"/>
              <w:rPr>
                <w:sz w:val="5"/>
                <w:szCs w:val="5"/>
                <w:color w:val="auto"/>
              </w:rPr>
            </w:pPr>
          </w:p>
        </w:tc>
        <w:tc>
          <w:tcPr>
            <w:tcW w:w="106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r>
        <w:trPr>
          <w:trHeight w:val="210"/>
        </w:trPr>
        <w:tc>
          <w:tcPr>
            <w:tcW w:w="8120" w:type="dxa"/>
            <w:vAlign w:val="bottom"/>
            <w:shd w:val="clear" w:color="auto" w:fill="CCEEFF"/>
          </w:tcPr>
          <w:p>
            <w:pPr>
              <w:ind w:left="280"/>
              <w:spacing w:after="0"/>
              <w:rPr>
                <w:sz w:val="20"/>
                <w:szCs w:val="20"/>
                <w:color w:val="auto"/>
              </w:rPr>
            </w:pPr>
            <w:r>
              <w:rPr>
                <w:rFonts w:ascii="Arial" w:cs="Arial" w:eastAsia="Arial" w:hAnsi="Arial"/>
                <w:sz w:val="14"/>
                <w:szCs w:val="14"/>
                <w:color w:val="auto"/>
              </w:rPr>
              <w:t>Aircraft fuel, spare parts and supplies, net</w:t>
            </w:r>
          </w:p>
        </w:tc>
        <w:tc>
          <w:tcPr>
            <w:tcW w:w="360" w:type="dxa"/>
            <w:vAlign w:val="bottom"/>
            <w:shd w:val="clear" w:color="auto" w:fill="CCEEFF"/>
          </w:tcPr>
          <w:p>
            <w:pPr>
              <w:spacing w:after="0"/>
              <w:rPr>
                <w:sz w:val="18"/>
                <w:szCs w:val="18"/>
                <w:color w:val="auto"/>
              </w:rPr>
            </w:pPr>
          </w:p>
        </w:tc>
        <w:tc>
          <w:tcPr>
            <w:tcW w:w="1260" w:type="dxa"/>
            <w:vAlign w:val="bottom"/>
            <w:vMerge w:val="restart"/>
            <w:shd w:val="clear" w:color="auto" w:fill="CCEEFF"/>
          </w:tcPr>
          <w:p>
            <w:pPr>
              <w:jc w:val="right"/>
              <w:ind w:right="48"/>
              <w:spacing w:after="0"/>
              <w:rPr>
                <w:sz w:val="20"/>
                <w:szCs w:val="20"/>
                <w:color w:val="auto"/>
              </w:rPr>
            </w:pPr>
            <w:r>
              <w:rPr>
                <w:rFonts w:ascii="Arial" w:cs="Arial" w:eastAsia="Arial" w:hAnsi="Arial"/>
                <w:sz w:val="14"/>
                <w:szCs w:val="14"/>
                <w:color w:val="auto"/>
              </w:rPr>
              <w:t>1,851</w:t>
            </w:r>
          </w:p>
        </w:tc>
        <w:tc>
          <w:tcPr>
            <w:tcW w:w="10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1060" w:type="dxa"/>
            <w:vAlign w:val="bottom"/>
            <w:vMerge w:val="restart"/>
            <w:shd w:val="clear" w:color="auto" w:fill="CCEEFF"/>
          </w:tcPr>
          <w:p>
            <w:pPr>
              <w:jc w:val="right"/>
              <w:ind w:right="28"/>
              <w:spacing w:after="0"/>
              <w:rPr>
                <w:sz w:val="20"/>
                <w:szCs w:val="20"/>
                <w:color w:val="auto"/>
              </w:rPr>
            </w:pPr>
            <w:r>
              <w:rPr>
                <w:rFonts w:ascii="Arial" w:cs="Arial" w:eastAsia="Arial" w:hAnsi="Arial"/>
                <w:sz w:val="14"/>
                <w:szCs w:val="14"/>
                <w:color w:val="auto"/>
              </w:rPr>
              <w:t>1,522</w:t>
            </w:r>
          </w:p>
        </w:tc>
        <w:tc>
          <w:tcPr>
            <w:tcW w:w="0" w:type="dxa"/>
            <w:vAlign w:val="bottom"/>
          </w:tcPr>
          <w:p>
            <w:pPr>
              <w:spacing w:after="0"/>
              <w:rPr>
                <w:sz w:val="1"/>
                <w:szCs w:val="1"/>
                <w:color w:val="auto"/>
              </w:rPr>
            </w:pPr>
          </w:p>
        </w:tc>
      </w:tr>
      <w:tr>
        <w:trPr>
          <w:trHeight w:val="66"/>
        </w:trPr>
        <w:tc>
          <w:tcPr>
            <w:tcW w:w="8120" w:type="dxa"/>
            <w:vAlign w:val="bottom"/>
            <w:shd w:val="clear" w:color="auto" w:fill="CCEEFF"/>
          </w:tcPr>
          <w:p>
            <w:pPr>
              <w:spacing w:after="0"/>
              <w:rPr>
                <w:sz w:val="5"/>
                <w:szCs w:val="5"/>
                <w:color w:val="auto"/>
              </w:rPr>
            </w:pPr>
          </w:p>
        </w:tc>
        <w:tc>
          <w:tcPr>
            <w:tcW w:w="360" w:type="dxa"/>
            <w:vAlign w:val="bottom"/>
            <w:shd w:val="clear" w:color="auto" w:fill="CCEEFF"/>
          </w:tcPr>
          <w:p>
            <w:pPr>
              <w:spacing w:after="0"/>
              <w:rPr>
                <w:sz w:val="5"/>
                <w:szCs w:val="5"/>
                <w:color w:val="auto"/>
              </w:rPr>
            </w:pPr>
          </w:p>
        </w:tc>
        <w:tc>
          <w:tcPr>
            <w:tcW w:w="1260" w:type="dxa"/>
            <w:vAlign w:val="bottom"/>
            <w:vMerge w:val="continue"/>
            <w:shd w:val="clear" w:color="auto" w:fill="CCEEFF"/>
          </w:tcPr>
          <w:p>
            <w:pPr>
              <w:spacing w:after="0"/>
              <w:rPr>
                <w:sz w:val="5"/>
                <w:szCs w:val="5"/>
                <w:color w:val="auto"/>
              </w:rPr>
            </w:pPr>
          </w:p>
        </w:tc>
        <w:tc>
          <w:tcPr>
            <w:tcW w:w="100" w:type="dxa"/>
            <w:vAlign w:val="bottom"/>
            <w:shd w:val="clear" w:color="auto" w:fill="CCEEFF"/>
          </w:tcPr>
          <w:p>
            <w:pPr>
              <w:spacing w:after="0"/>
              <w:rPr>
                <w:sz w:val="5"/>
                <w:szCs w:val="5"/>
                <w:color w:val="auto"/>
              </w:rPr>
            </w:pPr>
          </w:p>
        </w:tc>
        <w:tc>
          <w:tcPr>
            <w:tcW w:w="520" w:type="dxa"/>
            <w:vAlign w:val="bottom"/>
            <w:shd w:val="clear" w:color="auto" w:fill="CCEEFF"/>
          </w:tcPr>
          <w:p>
            <w:pPr>
              <w:spacing w:after="0"/>
              <w:rPr>
                <w:sz w:val="5"/>
                <w:szCs w:val="5"/>
                <w:color w:val="auto"/>
              </w:rPr>
            </w:pPr>
          </w:p>
        </w:tc>
        <w:tc>
          <w:tcPr>
            <w:tcW w:w="1060" w:type="dxa"/>
            <w:vAlign w:val="bottom"/>
            <w:vMerge w:val="continue"/>
            <w:shd w:val="clear" w:color="auto" w:fill="CCEEFF"/>
          </w:tcPr>
          <w:p>
            <w:pPr>
              <w:spacing w:after="0"/>
              <w:rPr>
                <w:sz w:val="5"/>
                <w:szCs w:val="5"/>
                <w:color w:val="auto"/>
              </w:rPr>
            </w:pPr>
          </w:p>
        </w:tc>
        <w:tc>
          <w:tcPr>
            <w:tcW w:w="0" w:type="dxa"/>
            <w:vAlign w:val="bottom"/>
          </w:tcPr>
          <w:p>
            <w:pPr>
              <w:spacing w:after="0"/>
              <w:rPr>
                <w:sz w:val="1"/>
                <w:szCs w:val="1"/>
                <w:color w:val="auto"/>
              </w:rPr>
            </w:pPr>
          </w:p>
        </w:tc>
      </w:tr>
      <w:tr>
        <w:trPr>
          <w:trHeight w:val="204"/>
        </w:trPr>
        <w:tc>
          <w:tcPr>
            <w:tcW w:w="8120" w:type="dxa"/>
            <w:vAlign w:val="bottom"/>
          </w:tcPr>
          <w:p>
            <w:pPr>
              <w:ind w:left="280"/>
              <w:spacing w:after="0"/>
              <w:rPr>
                <w:sz w:val="20"/>
                <w:szCs w:val="20"/>
                <w:color w:val="auto"/>
              </w:rPr>
            </w:pPr>
            <w:r>
              <w:rPr>
                <w:rFonts w:ascii="Arial" w:cs="Arial" w:eastAsia="Arial" w:hAnsi="Arial"/>
                <w:sz w:val="14"/>
                <w:szCs w:val="14"/>
                <w:color w:val="auto"/>
              </w:rPr>
              <w:t>Prepaid expenses and other</w:t>
            </w:r>
          </w:p>
        </w:tc>
        <w:tc>
          <w:tcPr>
            <w:tcW w:w="360" w:type="dxa"/>
            <w:vAlign w:val="bottom"/>
          </w:tcPr>
          <w:p>
            <w:pPr>
              <w:spacing w:after="0"/>
              <w:rPr>
                <w:sz w:val="17"/>
                <w:szCs w:val="17"/>
                <w:color w:val="auto"/>
              </w:rPr>
            </w:pPr>
          </w:p>
        </w:tc>
        <w:tc>
          <w:tcPr>
            <w:tcW w:w="1260" w:type="dxa"/>
            <w:vAlign w:val="bottom"/>
            <w:vMerge w:val="restart"/>
          </w:tcPr>
          <w:p>
            <w:pPr>
              <w:jc w:val="right"/>
              <w:ind w:right="48"/>
              <w:spacing w:after="0"/>
              <w:rPr>
                <w:sz w:val="20"/>
                <w:szCs w:val="20"/>
                <w:color w:val="auto"/>
              </w:rPr>
            </w:pPr>
            <w:r>
              <w:rPr>
                <w:rFonts w:ascii="Arial" w:cs="Arial" w:eastAsia="Arial" w:hAnsi="Arial"/>
                <w:sz w:val="14"/>
                <w:szCs w:val="14"/>
                <w:color w:val="auto"/>
              </w:rPr>
              <w:t>621</w:t>
            </w:r>
          </w:p>
        </w:tc>
        <w:tc>
          <w:tcPr>
            <w:tcW w:w="10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1060" w:type="dxa"/>
            <w:vAlign w:val="bottom"/>
            <w:vMerge w:val="restart"/>
          </w:tcPr>
          <w:p>
            <w:pPr>
              <w:jc w:val="right"/>
              <w:ind w:right="28"/>
              <w:spacing w:after="0"/>
              <w:rPr>
                <w:sz w:val="20"/>
                <w:szCs w:val="20"/>
                <w:color w:val="auto"/>
              </w:rPr>
            </w:pPr>
            <w:r>
              <w:rPr>
                <w:rFonts w:ascii="Arial" w:cs="Arial" w:eastAsia="Arial" w:hAnsi="Arial"/>
                <w:sz w:val="14"/>
                <w:szCs w:val="14"/>
                <w:color w:val="auto"/>
              </w:rPr>
              <w:t>495</w:t>
            </w:r>
          </w:p>
        </w:tc>
        <w:tc>
          <w:tcPr>
            <w:tcW w:w="0" w:type="dxa"/>
            <w:vAlign w:val="bottom"/>
          </w:tcPr>
          <w:p>
            <w:pPr>
              <w:spacing w:after="0"/>
              <w:rPr>
                <w:sz w:val="1"/>
                <w:szCs w:val="1"/>
                <w:color w:val="auto"/>
              </w:rPr>
            </w:pPr>
          </w:p>
        </w:tc>
      </w:tr>
      <w:tr>
        <w:trPr>
          <w:trHeight w:val="60"/>
        </w:trPr>
        <w:tc>
          <w:tcPr>
            <w:tcW w:w="8120" w:type="dxa"/>
            <w:vAlign w:val="bottom"/>
            <w:tcBorders>
              <w:bottom w:val="single" w:sz="8" w:color="CCEEFF"/>
            </w:tcBorders>
          </w:tcPr>
          <w:p>
            <w:pPr>
              <w:spacing w:after="0"/>
              <w:rPr>
                <w:sz w:val="5"/>
                <w:szCs w:val="5"/>
                <w:color w:val="auto"/>
              </w:rPr>
            </w:pPr>
          </w:p>
        </w:tc>
        <w:tc>
          <w:tcPr>
            <w:tcW w:w="360" w:type="dxa"/>
            <w:vAlign w:val="bottom"/>
            <w:tcBorders>
              <w:bottom w:val="single" w:sz="8" w:color="auto"/>
            </w:tcBorders>
          </w:tcPr>
          <w:p>
            <w:pPr>
              <w:spacing w:after="0"/>
              <w:rPr>
                <w:sz w:val="5"/>
                <w:szCs w:val="5"/>
                <w:color w:val="auto"/>
              </w:rPr>
            </w:pPr>
          </w:p>
        </w:tc>
        <w:tc>
          <w:tcPr>
            <w:tcW w:w="1260" w:type="dxa"/>
            <w:vAlign w:val="bottom"/>
            <w:tcBorders>
              <w:bottom w:val="single" w:sz="8" w:color="auto"/>
            </w:tcBorders>
            <w:vMerge w:val="continue"/>
          </w:tcPr>
          <w:p>
            <w:pPr>
              <w:spacing w:after="0"/>
              <w:rPr>
                <w:sz w:val="5"/>
                <w:szCs w:val="5"/>
                <w:color w:val="auto"/>
              </w:rPr>
            </w:pPr>
          </w:p>
        </w:tc>
        <w:tc>
          <w:tcPr>
            <w:tcW w:w="100" w:type="dxa"/>
            <w:vAlign w:val="bottom"/>
            <w:tcBorders>
              <w:bottom w:val="single" w:sz="8" w:color="CCEEFF"/>
            </w:tcBorders>
          </w:tcPr>
          <w:p>
            <w:pPr>
              <w:spacing w:after="0"/>
              <w:rPr>
                <w:sz w:val="5"/>
                <w:szCs w:val="5"/>
                <w:color w:val="auto"/>
              </w:rPr>
            </w:pPr>
          </w:p>
        </w:tc>
        <w:tc>
          <w:tcPr>
            <w:tcW w:w="520" w:type="dxa"/>
            <w:vAlign w:val="bottom"/>
            <w:tcBorders>
              <w:bottom w:val="single" w:sz="8" w:color="auto"/>
            </w:tcBorders>
          </w:tcPr>
          <w:p>
            <w:pPr>
              <w:spacing w:after="0"/>
              <w:rPr>
                <w:sz w:val="5"/>
                <w:szCs w:val="5"/>
                <w:color w:val="auto"/>
              </w:rPr>
            </w:pPr>
          </w:p>
        </w:tc>
        <w:tc>
          <w:tcPr>
            <w:tcW w:w="1060" w:type="dxa"/>
            <w:vAlign w:val="bottom"/>
            <w:tcBorders>
              <w:bottom w:val="single" w:sz="8" w:color="auto"/>
            </w:tcBorders>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90"/>
        </w:trPr>
        <w:tc>
          <w:tcPr>
            <w:tcW w:w="8120" w:type="dxa"/>
            <w:vAlign w:val="bottom"/>
            <w:shd w:val="clear" w:color="auto" w:fill="CCEEFF"/>
          </w:tcPr>
          <w:p>
            <w:pPr>
              <w:ind w:left="500"/>
              <w:spacing w:after="0"/>
              <w:rPr>
                <w:sz w:val="20"/>
                <w:szCs w:val="20"/>
                <w:color w:val="auto"/>
              </w:rPr>
            </w:pPr>
            <w:r>
              <w:rPr>
                <w:rFonts w:ascii="Arial" w:cs="Arial" w:eastAsia="Arial" w:hAnsi="Arial"/>
                <w:sz w:val="14"/>
                <w:szCs w:val="14"/>
                <w:color w:val="auto"/>
              </w:rPr>
              <w:t>Total current assets</w:t>
            </w:r>
          </w:p>
        </w:tc>
        <w:tc>
          <w:tcPr>
            <w:tcW w:w="360" w:type="dxa"/>
            <w:vAlign w:val="bottom"/>
            <w:shd w:val="clear" w:color="auto" w:fill="CCEEFF"/>
          </w:tcPr>
          <w:p>
            <w:pPr>
              <w:spacing w:after="0"/>
              <w:rPr>
                <w:sz w:val="16"/>
                <w:szCs w:val="16"/>
                <w:color w:val="auto"/>
              </w:rPr>
            </w:pPr>
          </w:p>
        </w:tc>
        <w:tc>
          <w:tcPr>
            <w:tcW w:w="1260" w:type="dxa"/>
            <w:vAlign w:val="bottom"/>
            <w:vMerge w:val="restart"/>
            <w:shd w:val="clear" w:color="auto" w:fill="CCEEFF"/>
          </w:tcPr>
          <w:p>
            <w:pPr>
              <w:jc w:val="right"/>
              <w:ind w:right="48"/>
              <w:spacing w:after="0"/>
              <w:rPr>
                <w:sz w:val="20"/>
                <w:szCs w:val="20"/>
                <w:color w:val="auto"/>
              </w:rPr>
            </w:pPr>
            <w:r>
              <w:rPr>
                <w:rFonts w:ascii="Arial" w:cs="Arial" w:eastAsia="Arial" w:hAnsi="Arial"/>
                <w:sz w:val="14"/>
                <w:szCs w:val="14"/>
                <w:color w:val="auto"/>
              </w:rPr>
              <w:t>8,206</w:t>
            </w:r>
          </w:p>
        </w:tc>
        <w:tc>
          <w:tcPr>
            <w:tcW w:w="100" w:type="dxa"/>
            <w:vAlign w:val="bottom"/>
            <w:shd w:val="clear" w:color="auto" w:fill="CCEEFF"/>
          </w:tcPr>
          <w:p>
            <w:pPr>
              <w:spacing w:after="0"/>
              <w:rPr>
                <w:sz w:val="16"/>
                <w:szCs w:val="16"/>
                <w:color w:val="auto"/>
              </w:rPr>
            </w:pPr>
          </w:p>
        </w:tc>
        <w:tc>
          <w:tcPr>
            <w:tcW w:w="520" w:type="dxa"/>
            <w:vAlign w:val="bottom"/>
            <w:shd w:val="clear" w:color="auto" w:fill="CCEEFF"/>
          </w:tcPr>
          <w:p>
            <w:pPr>
              <w:spacing w:after="0"/>
              <w:rPr>
                <w:sz w:val="16"/>
                <w:szCs w:val="16"/>
                <w:color w:val="auto"/>
              </w:rPr>
            </w:pPr>
          </w:p>
        </w:tc>
        <w:tc>
          <w:tcPr>
            <w:tcW w:w="1060" w:type="dxa"/>
            <w:vAlign w:val="bottom"/>
            <w:vMerge w:val="restart"/>
            <w:shd w:val="clear" w:color="auto" w:fill="CCEEFF"/>
          </w:tcPr>
          <w:p>
            <w:pPr>
              <w:jc w:val="right"/>
              <w:ind w:right="28"/>
              <w:spacing w:after="0"/>
              <w:rPr>
                <w:sz w:val="20"/>
                <w:szCs w:val="20"/>
                <w:color w:val="auto"/>
              </w:rPr>
            </w:pPr>
            <w:r>
              <w:rPr>
                <w:rFonts w:ascii="Arial" w:cs="Arial" w:eastAsia="Arial" w:hAnsi="Arial"/>
                <w:sz w:val="14"/>
                <w:szCs w:val="14"/>
                <w:color w:val="auto"/>
              </w:rPr>
              <w:t>8,637</w:t>
            </w:r>
          </w:p>
        </w:tc>
        <w:tc>
          <w:tcPr>
            <w:tcW w:w="0" w:type="dxa"/>
            <w:vAlign w:val="bottom"/>
          </w:tcPr>
          <w:p>
            <w:pPr>
              <w:spacing w:after="0"/>
              <w:rPr>
                <w:sz w:val="1"/>
                <w:szCs w:val="1"/>
                <w:color w:val="auto"/>
              </w:rPr>
            </w:pPr>
          </w:p>
        </w:tc>
      </w:tr>
      <w:tr>
        <w:trPr>
          <w:trHeight w:val="66"/>
        </w:trPr>
        <w:tc>
          <w:tcPr>
            <w:tcW w:w="8120" w:type="dxa"/>
            <w:vAlign w:val="bottom"/>
            <w:shd w:val="clear" w:color="auto" w:fill="CCEEFF"/>
          </w:tcPr>
          <w:p>
            <w:pPr>
              <w:spacing w:after="0"/>
              <w:rPr>
                <w:sz w:val="5"/>
                <w:szCs w:val="5"/>
                <w:color w:val="auto"/>
              </w:rPr>
            </w:pPr>
          </w:p>
        </w:tc>
        <w:tc>
          <w:tcPr>
            <w:tcW w:w="360" w:type="dxa"/>
            <w:vAlign w:val="bottom"/>
            <w:shd w:val="clear" w:color="auto" w:fill="CCEEFF"/>
          </w:tcPr>
          <w:p>
            <w:pPr>
              <w:spacing w:after="0"/>
              <w:rPr>
                <w:sz w:val="5"/>
                <w:szCs w:val="5"/>
                <w:color w:val="auto"/>
              </w:rPr>
            </w:pPr>
          </w:p>
        </w:tc>
        <w:tc>
          <w:tcPr>
            <w:tcW w:w="1260" w:type="dxa"/>
            <w:vAlign w:val="bottom"/>
            <w:vMerge w:val="continue"/>
            <w:shd w:val="clear" w:color="auto" w:fill="CCEEFF"/>
          </w:tcPr>
          <w:p>
            <w:pPr>
              <w:spacing w:after="0"/>
              <w:rPr>
                <w:sz w:val="5"/>
                <w:szCs w:val="5"/>
                <w:color w:val="auto"/>
              </w:rPr>
            </w:pPr>
          </w:p>
        </w:tc>
        <w:tc>
          <w:tcPr>
            <w:tcW w:w="100" w:type="dxa"/>
            <w:vAlign w:val="bottom"/>
            <w:shd w:val="clear" w:color="auto" w:fill="CCEEFF"/>
          </w:tcPr>
          <w:p>
            <w:pPr>
              <w:spacing w:after="0"/>
              <w:rPr>
                <w:sz w:val="5"/>
                <w:szCs w:val="5"/>
                <w:color w:val="auto"/>
              </w:rPr>
            </w:pPr>
          </w:p>
        </w:tc>
        <w:tc>
          <w:tcPr>
            <w:tcW w:w="520" w:type="dxa"/>
            <w:vAlign w:val="bottom"/>
            <w:shd w:val="clear" w:color="auto" w:fill="CCEEFF"/>
          </w:tcPr>
          <w:p>
            <w:pPr>
              <w:spacing w:after="0"/>
              <w:rPr>
                <w:sz w:val="5"/>
                <w:szCs w:val="5"/>
                <w:color w:val="auto"/>
              </w:rPr>
            </w:pPr>
          </w:p>
        </w:tc>
        <w:tc>
          <w:tcPr>
            <w:tcW w:w="1060" w:type="dxa"/>
            <w:vAlign w:val="bottom"/>
            <w:vMerge w:val="continue"/>
            <w:shd w:val="clear" w:color="auto" w:fill="CCEEFF"/>
          </w:tcPr>
          <w:p>
            <w:pPr>
              <w:spacing w:after="0"/>
              <w:rPr>
                <w:sz w:val="5"/>
                <w:szCs w:val="5"/>
                <w:color w:val="auto"/>
              </w:rPr>
            </w:pPr>
          </w:p>
        </w:tc>
        <w:tc>
          <w:tcPr>
            <w:tcW w:w="0" w:type="dxa"/>
            <w:vAlign w:val="bottom"/>
          </w:tcPr>
          <w:p>
            <w:pPr>
              <w:spacing w:after="0"/>
              <w:rPr>
                <w:sz w:val="1"/>
                <w:szCs w:val="1"/>
                <w:color w:val="auto"/>
              </w:rPr>
            </w:pPr>
          </w:p>
        </w:tc>
      </w:tr>
      <w:tr>
        <w:trPr>
          <w:trHeight w:val="204"/>
        </w:trPr>
        <w:tc>
          <w:tcPr>
            <w:tcW w:w="8120" w:type="dxa"/>
            <w:vAlign w:val="bottom"/>
          </w:tcPr>
          <w:p>
            <w:pPr>
              <w:ind w:left="40"/>
              <w:spacing w:after="0"/>
              <w:rPr>
                <w:sz w:val="20"/>
                <w:szCs w:val="20"/>
                <w:color w:val="auto"/>
              </w:rPr>
            </w:pPr>
            <w:r>
              <w:rPr>
                <w:rFonts w:ascii="Arial" w:cs="Arial" w:eastAsia="Arial" w:hAnsi="Arial"/>
                <w:sz w:val="14"/>
                <w:szCs w:val="14"/>
                <w:b w:val="1"/>
                <w:bCs w:val="1"/>
                <w:color w:val="auto"/>
              </w:rPr>
              <w:t>Operating property and equipment</w:t>
            </w:r>
          </w:p>
        </w:tc>
        <w:tc>
          <w:tcPr>
            <w:tcW w:w="36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66"/>
        </w:trPr>
        <w:tc>
          <w:tcPr>
            <w:tcW w:w="8120" w:type="dxa"/>
            <w:vAlign w:val="bottom"/>
          </w:tcPr>
          <w:p>
            <w:pPr>
              <w:spacing w:after="0"/>
              <w:rPr>
                <w:sz w:val="5"/>
                <w:szCs w:val="5"/>
                <w:color w:val="auto"/>
              </w:rPr>
            </w:pPr>
          </w:p>
        </w:tc>
        <w:tc>
          <w:tcPr>
            <w:tcW w:w="360" w:type="dxa"/>
            <w:vAlign w:val="bottom"/>
          </w:tcPr>
          <w:p>
            <w:pPr>
              <w:spacing w:after="0"/>
              <w:rPr>
                <w:sz w:val="5"/>
                <w:szCs w:val="5"/>
                <w:color w:val="auto"/>
              </w:rPr>
            </w:pPr>
          </w:p>
        </w:tc>
        <w:tc>
          <w:tcPr>
            <w:tcW w:w="1260" w:type="dxa"/>
            <w:vAlign w:val="bottom"/>
          </w:tcPr>
          <w:p>
            <w:pPr>
              <w:spacing w:after="0"/>
              <w:rPr>
                <w:sz w:val="5"/>
                <w:szCs w:val="5"/>
                <w:color w:val="auto"/>
              </w:rPr>
            </w:pPr>
          </w:p>
        </w:tc>
        <w:tc>
          <w:tcPr>
            <w:tcW w:w="100" w:type="dxa"/>
            <w:vAlign w:val="bottom"/>
          </w:tcPr>
          <w:p>
            <w:pPr>
              <w:spacing w:after="0"/>
              <w:rPr>
                <w:sz w:val="5"/>
                <w:szCs w:val="5"/>
                <w:color w:val="auto"/>
              </w:rPr>
            </w:pPr>
          </w:p>
        </w:tc>
        <w:tc>
          <w:tcPr>
            <w:tcW w:w="520" w:type="dxa"/>
            <w:vAlign w:val="bottom"/>
          </w:tcPr>
          <w:p>
            <w:pPr>
              <w:spacing w:after="0"/>
              <w:rPr>
                <w:sz w:val="5"/>
                <w:szCs w:val="5"/>
                <w:color w:val="auto"/>
              </w:rPr>
            </w:pPr>
          </w:p>
        </w:tc>
        <w:tc>
          <w:tcPr>
            <w:tcW w:w="106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04"/>
        </w:trPr>
        <w:tc>
          <w:tcPr>
            <w:tcW w:w="8120" w:type="dxa"/>
            <w:vAlign w:val="bottom"/>
            <w:shd w:val="clear" w:color="auto" w:fill="CCEEFF"/>
          </w:tcPr>
          <w:p>
            <w:pPr>
              <w:ind w:left="280"/>
              <w:spacing w:after="0"/>
              <w:rPr>
                <w:sz w:val="20"/>
                <w:szCs w:val="20"/>
                <w:color w:val="auto"/>
              </w:rPr>
            </w:pPr>
            <w:r>
              <w:rPr>
                <w:rFonts w:ascii="Arial" w:cs="Arial" w:eastAsia="Arial" w:hAnsi="Arial"/>
                <w:sz w:val="14"/>
                <w:szCs w:val="14"/>
                <w:color w:val="auto"/>
              </w:rPr>
              <w:t>Flight equipment</w:t>
            </w:r>
          </w:p>
        </w:tc>
        <w:tc>
          <w:tcPr>
            <w:tcW w:w="360" w:type="dxa"/>
            <w:vAlign w:val="bottom"/>
            <w:shd w:val="clear" w:color="auto" w:fill="CCEEFF"/>
          </w:tcPr>
          <w:p>
            <w:pPr>
              <w:spacing w:after="0"/>
              <w:rPr>
                <w:sz w:val="17"/>
                <w:szCs w:val="17"/>
                <w:color w:val="auto"/>
              </w:rPr>
            </w:pPr>
          </w:p>
        </w:tc>
        <w:tc>
          <w:tcPr>
            <w:tcW w:w="1260" w:type="dxa"/>
            <w:vAlign w:val="bottom"/>
            <w:vMerge w:val="restart"/>
            <w:shd w:val="clear" w:color="auto" w:fill="CCEEFF"/>
          </w:tcPr>
          <w:p>
            <w:pPr>
              <w:jc w:val="right"/>
              <w:ind w:right="48"/>
              <w:spacing w:after="0"/>
              <w:rPr>
                <w:sz w:val="20"/>
                <w:szCs w:val="20"/>
                <w:color w:val="auto"/>
              </w:rPr>
            </w:pPr>
            <w:r>
              <w:rPr>
                <w:rFonts w:ascii="Arial" w:cs="Arial" w:eastAsia="Arial" w:hAnsi="Arial"/>
                <w:sz w:val="14"/>
                <w:szCs w:val="14"/>
                <w:color w:val="auto"/>
              </w:rPr>
              <w:t>42,537</w:t>
            </w:r>
          </w:p>
        </w:tc>
        <w:tc>
          <w:tcPr>
            <w:tcW w:w="100" w:type="dxa"/>
            <w:vAlign w:val="bottom"/>
            <w:shd w:val="clear" w:color="auto" w:fill="CCEEFF"/>
          </w:tcPr>
          <w:p>
            <w:pPr>
              <w:spacing w:after="0"/>
              <w:rPr>
                <w:sz w:val="17"/>
                <w:szCs w:val="17"/>
                <w:color w:val="auto"/>
              </w:rPr>
            </w:pPr>
          </w:p>
        </w:tc>
        <w:tc>
          <w:tcPr>
            <w:tcW w:w="520" w:type="dxa"/>
            <w:vAlign w:val="bottom"/>
            <w:shd w:val="clear" w:color="auto" w:fill="CCEEFF"/>
          </w:tcPr>
          <w:p>
            <w:pPr>
              <w:spacing w:after="0"/>
              <w:rPr>
                <w:sz w:val="17"/>
                <w:szCs w:val="17"/>
                <w:color w:val="auto"/>
              </w:rPr>
            </w:pPr>
          </w:p>
        </w:tc>
        <w:tc>
          <w:tcPr>
            <w:tcW w:w="1060" w:type="dxa"/>
            <w:vAlign w:val="bottom"/>
            <w:vMerge w:val="restart"/>
            <w:shd w:val="clear" w:color="auto" w:fill="CCEEFF"/>
          </w:tcPr>
          <w:p>
            <w:pPr>
              <w:jc w:val="right"/>
              <w:ind w:right="28"/>
              <w:spacing w:after="0"/>
              <w:rPr>
                <w:sz w:val="20"/>
                <w:szCs w:val="20"/>
                <w:color w:val="auto"/>
              </w:rPr>
            </w:pPr>
            <w:r>
              <w:rPr>
                <w:rFonts w:ascii="Arial" w:cs="Arial" w:eastAsia="Arial" w:hAnsi="Arial"/>
                <w:sz w:val="14"/>
                <w:szCs w:val="14"/>
                <w:color w:val="auto"/>
              </w:rPr>
              <w:t>41,499</w:t>
            </w:r>
          </w:p>
        </w:tc>
        <w:tc>
          <w:tcPr>
            <w:tcW w:w="0" w:type="dxa"/>
            <w:vAlign w:val="bottom"/>
          </w:tcPr>
          <w:p>
            <w:pPr>
              <w:spacing w:after="0"/>
              <w:rPr>
                <w:sz w:val="1"/>
                <w:szCs w:val="1"/>
                <w:color w:val="auto"/>
              </w:rPr>
            </w:pPr>
          </w:p>
        </w:tc>
      </w:tr>
      <w:tr>
        <w:trPr>
          <w:trHeight w:val="66"/>
        </w:trPr>
        <w:tc>
          <w:tcPr>
            <w:tcW w:w="8120" w:type="dxa"/>
            <w:vAlign w:val="bottom"/>
            <w:shd w:val="clear" w:color="auto" w:fill="CCEEFF"/>
          </w:tcPr>
          <w:p>
            <w:pPr>
              <w:spacing w:after="0"/>
              <w:rPr>
                <w:sz w:val="5"/>
                <w:szCs w:val="5"/>
                <w:color w:val="auto"/>
              </w:rPr>
            </w:pPr>
          </w:p>
        </w:tc>
        <w:tc>
          <w:tcPr>
            <w:tcW w:w="360" w:type="dxa"/>
            <w:vAlign w:val="bottom"/>
            <w:shd w:val="clear" w:color="auto" w:fill="CCEEFF"/>
          </w:tcPr>
          <w:p>
            <w:pPr>
              <w:spacing w:after="0"/>
              <w:rPr>
                <w:sz w:val="5"/>
                <w:szCs w:val="5"/>
                <w:color w:val="auto"/>
              </w:rPr>
            </w:pPr>
          </w:p>
        </w:tc>
        <w:tc>
          <w:tcPr>
            <w:tcW w:w="1260" w:type="dxa"/>
            <w:vAlign w:val="bottom"/>
            <w:vMerge w:val="continue"/>
            <w:shd w:val="clear" w:color="auto" w:fill="CCEEFF"/>
          </w:tcPr>
          <w:p>
            <w:pPr>
              <w:spacing w:after="0"/>
              <w:rPr>
                <w:sz w:val="5"/>
                <w:szCs w:val="5"/>
                <w:color w:val="auto"/>
              </w:rPr>
            </w:pPr>
          </w:p>
        </w:tc>
        <w:tc>
          <w:tcPr>
            <w:tcW w:w="100" w:type="dxa"/>
            <w:vAlign w:val="bottom"/>
            <w:shd w:val="clear" w:color="auto" w:fill="CCEEFF"/>
          </w:tcPr>
          <w:p>
            <w:pPr>
              <w:spacing w:after="0"/>
              <w:rPr>
                <w:sz w:val="5"/>
                <w:szCs w:val="5"/>
                <w:color w:val="auto"/>
              </w:rPr>
            </w:pPr>
          </w:p>
        </w:tc>
        <w:tc>
          <w:tcPr>
            <w:tcW w:w="520" w:type="dxa"/>
            <w:vAlign w:val="bottom"/>
            <w:shd w:val="clear" w:color="auto" w:fill="CCEEFF"/>
          </w:tcPr>
          <w:p>
            <w:pPr>
              <w:spacing w:after="0"/>
              <w:rPr>
                <w:sz w:val="5"/>
                <w:szCs w:val="5"/>
                <w:color w:val="auto"/>
              </w:rPr>
            </w:pPr>
          </w:p>
        </w:tc>
        <w:tc>
          <w:tcPr>
            <w:tcW w:w="1060" w:type="dxa"/>
            <w:vAlign w:val="bottom"/>
            <w:vMerge w:val="continue"/>
            <w:shd w:val="clear" w:color="auto" w:fill="CCEEFF"/>
          </w:tcPr>
          <w:p>
            <w:pPr>
              <w:spacing w:after="0"/>
              <w:rPr>
                <w:sz w:val="5"/>
                <w:szCs w:val="5"/>
                <w:color w:val="auto"/>
              </w:rPr>
            </w:pPr>
          </w:p>
        </w:tc>
        <w:tc>
          <w:tcPr>
            <w:tcW w:w="0" w:type="dxa"/>
            <w:vAlign w:val="bottom"/>
          </w:tcPr>
          <w:p>
            <w:pPr>
              <w:spacing w:after="0"/>
              <w:rPr>
                <w:sz w:val="1"/>
                <w:szCs w:val="1"/>
                <w:color w:val="auto"/>
              </w:rPr>
            </w:pPr>
          </w:p>
        </w:tc>
      </w:tr>
      <w:tr>
        <w:trPr>
          <w:trHeight w:val="204"/>
        </w:trPr>
        <w:tc>
          <w:tcPr>
            <w:tcW w:w="8120" w:type="dxa"/>
            <w:vAlign w:val="bottom"/>
          </w:tcPr>
          <w:p>
            <w:pPr>
              <w:ind w:left="280"/>
              <w:spacing w:after="0"/>
              <w:rPr>
                <w:sz w:val="20"/>
                <w:szCs w:val="20"/>
                <w:color w:val="auto"/>
              </w:rPr>
            </w:pPr>
            <w:r>
              <w:rPr>
                <w:rFonts w:ascii="Arial" w:cs="Arial" w:eastAsia="Arial" w:hAnsi="Arial"/>
                <w:sz w:val="14"/>
                <w:szCs w:val="14"/>
                <w:color w:val="auto"/>
              </w:rPr>
              <w:t>Ground property and equipment</w:t>
            </w:r>
          </w:p>
        </w:tc>
        <w:tc>
          <w:tcPr>
            <w:tcW w:w="360" w:type="dxa"/>
            <w:vAlign w:val="bottom"/>
          </w:tcPr>
          <w:p>
            <w:pPr>
              <w:spacing w:after="0"/>
              <w:rPr>
                <w:sz w:val="17"/>
                <w:szCs w:val="17"/>
                <w:color w:val="auto"/>
              </w:rPr>
            </w:pPr>
          </w:p>
        </w:tc>
        <w:tc>
          <w:tcPr>
            <w:tcW w:w="1260" w:type="dxa"/>
            <w:vAlign w:val="bottom"/>
            <w:vMerge w:val="restart"/>
          </w:tcPr>
          <w:p>
            <w:pPr>
              <w:jc w:val="right"/>
              <w:ind w:right="48"/>
              <w:spacing w:after="0"/>
              <w:rPr>
                <w:sz w:val="20"/>
                <w:szCs w:val="20"/>
                <w:color w:val="auto"/>
              </w:rPr>
            </w:pPr>
            <w:r>
              <w:rPr>
                <w:rFonts w:ascii="Arial" w:cs="Arial" w:eastAsia="Arial" w:hAnsi="Arial"/>
                <w:sz w:val="14"/>
                <w:szCs w:val="14"/>
                <w:color w:val="auto"/>
              </w:rPr>
              <w:t>9,443</w:t>
            </w:r>
          </w:p>
        </w:tc>
        <w:tc>
          <w:tcPr>
            <w:tcW w:w="10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1060" w:type="dxa"/>
            <w:vAlign w:val="bottom"/>
            <w:vMerge w:val="restart"/>
          </w:tcPr>
          <w:p>
            <w:pPr>
              <w:jc w:val="right"/>
              <w:ind w:right="28"/>
              <w:spacing w:after="0"/>
              <w:rPr>
                <w:sz w:val="20"/>
                <w:szCs w:val="20"/>
                <w:color w:val="auto"/>
              </w:rPr>
            </w:pPr>
            <w:r>
              <w:rPr>
                <w:rFonts w:ascii="Arial" w:cs="Arial" w:eastAsia="Arial" w:hAnsi="Arial"/>
                <w:sz w:val="14"/>
                <w:szCs w:val="14"/>
                <w:color w:val="auto"/>
              </w:rPr>
              <w:t>8,764</w:t>
            </w:r>
          </w:p>
        </w:tc>
        <w:tc>
          <w:tcPr>
            <w:tcW w:w="0" w:type="dxa"/>
            <w:vAlign w:val="bottom"/>
          </w:tcPr>
          <w:p>
            <w:pPr>
              <w:spacing w:after="0"/>
              <w:rPr>
                <w:sz w:val="1"/>
                <w:szCs w:val="1"/>
                <w:color w:val="auto"/>
              </w:rPr>
            </w:pPr>
          </w:p>
        </w:tc>
      </w:tr>
      <w:tr>
        <w:trPr>
          <w:trHeight w:val="60"/>
        </w:trPr>
        <w:tc>
          <w:tcPr>
            <w:tcW w:w="8120" w:type="dxa"/>
            <w:vAlign w:val="bottom"/>
          </w:tcPr>
          <w:p>
            <w:pPr>
              <w:spacing w:after="0"/>
              <w:rPr>
                <w:sz w:val="5"/>
                <w:szCs w:val="5"/>
                <w:color w:val="auto"/>
              </w:rPr>
            </w:pPr>
          </w:p>
        </w:tc>
        <w:tc>
          <w:tcPr>
            <w:tcW w:w="360" w:type="dxa"/>
            <w:vAlign w:val="bottom"/>
          </w:tcPr>
          <w:p>
            <w:pPr>
              <w:spacing w:after="0"/>
              <w:rPr>
                <w:sz w:val="5"/>
                <w:szCs w:val="5"/>
                <w:color w:val="auto"/>
              </w:rPr>
            </w:pPr>
          </w:p>
        </w:tc>
        <w:tc>
          <w:tcPr>
            <w:tcW w:w="1260" w:type="dxa"/>
            <w:vAlign w:val="bottom"/>
            <w:vMerge w:val="continue"/>
          </w:tcPr>
          <w:p>
            <w:pPr>
              <w:spacing w:after="0"/>
              <w:rPr>
                <w:sz w:val="5"/>
                <w:szCs w:val="5"/>
                <w:color w:val="auto"/>
              </w:rPr>
            </w:pPr>
          </w:p>
        </w:tc>
        <w:tc>
          <w:tcPr>
            <w:tcW w:w="100" w:type="dxa"/>
            <w:vAlign w:val="bottom"/>
          </w:tcPr>
          <w:p>
            <w:pPr>
              <w:spacing w:after="0"/>
              <w:rPr>
                <w:sz w:val="5"/>
                <w:szCs w:val="5"/>
                <w:color w:val="auto"/>
              </w:rPr>
            </w:pPr>
          </w:p>
        </w:tc>
        <w:tc>
          <w:tcPr>
            <w:tcW w:w="520" w:type="dxa"/>
            <w:vAlign w:val="bottom"/>
          </w:tcPr>
          <w:p>
            <w:pPr>
              <w:spacing w:after="0"/>
              <w:rPr>
                <w:sz w:val="5"/>
                <w:szCs w:val="5"/>
                <w:color w:val="auto"/>
              </w:rPr>
            </w:pPr>
          </w:p>
        </w:tc>
        <w:tc>
          <w:tcPr>
            <w:tcW w:w="106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r>
        <w:trPr>
          <w:trHeight w:val="210"/>
        </w:trPr>
        <w:tc>
          <w:tcPr>
            <w:tcW w:w="8120" w:type="dxa"/>
            <w:vAlign w:val="bottom"/>
            <w:shd w:val="clear" w:color="auto" w:fill="CCEEFF"/>
          </w:tcPr>
          <w:p>
            <w:pPr>
              <w:ind w:left="280"/>
              <w:spacing w:after="0"/>
              <w:rPr>
                <w:sz w:val="20"/>
                <w:szCs w:val="20"/>
                <w:color w:val="auto"/>
              </w:rPr>
            </w:pPr>
            <w:r>
              <w:rPr>
                <w:rFonts w:ascii="Arial" w:cs="Arial" w:eastAsia="Arial" w:hAnsi="Arial"/>
                <w:sz w:val="14"/>
                <w:szCs w:val="14"/>
                <w:color w:val="auto"/>
              </w:rPr>
              <w:t>Equipment purchase deposits</w:t>
            </w:r>
          </w:p>
        </w:tc>
        <w:tc>
          <w:tcPr>
            <w:tcW w:w="360" w:type="dxa"/>
            <w:vAlign w:val="bottom"/>
            <w:shd w:val="clear" w:color="auto" w:fill="CCEEFF"/>
          </w:tcPr>
          <w:p>
            <w:pPr>
              <w:spacing w:after="0"/>
              <w:rPr>
                <w:sz w:val="18"/>
                <w:szCs w:val="18"/>
                <w:color w:val="auto"/>
              </w:rPr>
            </w:pPr>
          </w:p>
        </w:tc>
        <w:tc>
          <w:tcPr>
            <w:tcW w:w="1260" w:type="dxa"/>
            <w:vAlign w:val="bottom"/>
            <w:vMerge w:val="restart"/>
            <w:shd w:val="clear" w:color="auto" w:fill="CCEEFF"/>
          </w:tcPr>
          <w:p>
            <w:pPr>
              <w:jc w:val="right"/>
              <w:ind w:right="48"/>
              <w:spacing w:after="0"/>
              <w:rPr>
                <w:sz w:val="20"/>
                <w:szCs w:val="20"/>
                <w:color w:val="auto"/>
              </w:rPr>
            </w:pPr>
            <w:r>
              <w:rPr>
                <w:rFonts w:ascii="Arial" w:cs="Arial" w:eastAsia="Arial" w:hAnsi="Arial"/>
                <w:sz w:val="14"/>
                <w:szCs w:val="14"/>
                <w:color w:val="auto"/>
              </w:rPr>
              <w:t>1,674</w:t>
            </w:r>
          </w:p>
        </w:tc>
        <w:tc>
          <w:tcPr>
            <w:tcW w:w="10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1060" w:type="dxa"/>
            <w:vAlign w:val="bottom"/>
            <w:vMerge w:val="restart"/>
            <w:shd w:val="clear" w:color="auto" w:fill="CCEEFF"/>
          </w:tcPr>
          <w:p>
            <w:pPr>
              <w:jc w:val="right"/>
              <w:ind w:right="28"/>
              <w:spacing w:after="0"/>
              <w:rPr>
                <w:sz w:val="20"/>
                <w:szCs w:val="20"/>
                <w:color w:val="auto"/>
              </w:rPr>
            </w:pPr>
            <w:r>
              <w:rPr>
                <w:rFonts w:ascii="Arial" w:cs="Arial" w:eastAsia="Arial" w:hAnsi="Arial"/>
                <w:sz w:val="14"/>
                <w:szCs w:val="14"/>
                <w:color w:val="auto"/>
              </w:rPr>
              <w:t>1,278</w:t>
            </w:r>
          </w:p>
        </w:tc>
        <w:tc>
          <w:tcPr>
            <w:tcW w:w="0" w:type="dxa"/>
            <w:vAlign w:val="bottom"/>
          </w:tcPr>
          <w:p>
            <w:pPr>
              <w:spacing w:after="0"/>
              <w:rPr>
                <w:sz w:val="1"/>
                <w:szCs w:val="1"/>
                <w:color w:val="auto"/>
              </w:rPr>
            </w:pPr>
          </w:p>
        </w:tc>
      </w:tr>
      <w:tr>
        <w:trPr>
          <w:trHeight w:val="66"/>
        </w:trPr>
        <w:tc>
          <w:tcPr>
            <w:tcW w:w="8120" w:type="dxa"/>
            <w:vAlign w:val="bottom"/>
            <w:shd w:val="clear" w:color="auto" w:fill="CCEEFF"/>
          </w:tcPr>
          <w:p>
            <w:pPr>
              <w:spacing w:after="0"/>
              <w:rPr>
                <w:sz w:val="5"/>
                <w:szCs w:val="5"/>
                <w:color w:val="auto"/>
              </w:rPr>
            </w:pPr>
          </w:p>
        </w:tc>
        <w:tc>
          <w:tcPr>
            <w:tcW w:w="360" w:type="dxa"/>
            <w:vAlign w:val="bottom"/>
            <w:tcBorders>
              <w:bottom w:val="single" w:sz="8" w:color="auto"/>
            </w:tcBorders>
            <w:shd w:val="clear" w:color="auto" w:fill="CCEEFF"/>
          </w:tcPr>
          <w:p>
            <w:pPr>
              <w:spacing w:after="0"/>
              <w:rPr>
                <w:sz w:val="5"/>
                <w:szCs w:val="5"/>
                <w:color w:val="auto"/>
              </w:rPr>
            </w:pPr>
          </w:p>
        </w:tc>
        <w:tc>
          <w:tcPr>
            <w:tcW w:w="1260" w:type="dxa"/>
            <w:vAlign w:val="bottom"/>
            <w:tcBorders>
              <w:bottom w:val="single" w:sz="8" w:color="auto"/>
            </w:tcBorders>
            <w:vMerge w:val="continue"/>
            <w:shd w:val="clear" w:color="auto" w:fill="CCEEFF"/>
          </w:tcPr>
          <w:p>
            <w:pPr>
              <w:spacing w:after="0"/>
              <w:rPr>
                <w:sz w:val="5"/>
                <w:szCs w:val="5"/>
                <w:color w:val="auto"/>
              </w:rPr>
            </w:pPr>
          </w:p>
        </w:tc>
        <w:tc>
          <w:tcPr>
            <w:tcW w:w="100" w:type="dxa"/>
            <w:vAlign w:val="bottom"/>
            <w:shd w:val="clear" w:color="auto" w:fill="CCEEFF"/>
          </w:tcPr>
          <w:p>
            <w:pPr>
              <w:spacing w:after="0"/>
              <w:rPr>
                <w:sz w:val="5"/>
                <w:szCs w:val="5"/>
                <w:color w:val="auto"/>
              </w:rPr>
            </w:pPr>
          </w:p>
        </w:tc>
        <w:tc>
          <w:tcPr>
            <w:tcW w:w="520" w:type="dxa"/>
            <w:vAlign w:val="bottom"/>
            <w:tcBorders>
              <w:bottom w:val="single" w:sz="8" w:color="auto"/>
            </w:tcBorders>
            <w:shd w:val="clear" w:color="auto" w:fill="CCEEFF"/>
          </w:tcPr>
          <w:p>
            <w:pPr>
              <w:spacing w:after="0"/>
              <w:rPr>
                <w:sz w:val="5"/>
                <w:szCs w:val="5"/>
                <w:color w:val="auto"/>
              </w:rPr>
            </w:pPr>
          </w:p>
        </w:tc>
        <w:tc>
          <w:tcPr>
            <w:tcW w:w="1060" w:type="dxa"/>
            <w:vAlign w:val="bottom"/>
            <w:tcBorders>
              <w:bottom w:val="single" w:sz="8" w:color="auto"/>
            </w:tcBorders>
            <w:vMerge w:val="continue"/>
            <w:shd w:val="clear" w:color="auto" w:fill="CCEEFF"/>
          </w:tcPr>
          <w:p>
            <w:pPr>
              <w:spacing w:after="0"/>
              <w:rPr>
                <w:sz w:val="5"/>
                <w:szCs w:val="5"/>
                <w:color w:val="auto"/>
              </w:rPr>
            </w:pPr>
          </w:p>
        </w:tc>
        <w:tc>
          <w:tcPr>
            <w:tcW w:w="0" w:type="dxa"/>
            <w:vAlign w:val="bottom"/>
          </w:tcPr>
          <w:p>
            <w:pPr>
              <w:spacing w:after="0"/>
              <w:rPr>
                <w:sz w:val="1"/>
                <w:szCs w:val="1"/>
                <w:color w:val="auto"/>
              </w:rPr>
            </w:pPr>
          </w:p>
        </w:tc>
      </w:tr>
      <w:tr>
        <w:trPr>
          <w:trHeight w:val="184"/>
        </w:trPr>
        <w:tc>
          <w:tcPr>
            <w:tcW w:w="8120" w:type="dxa"/>
            <w:vAlign w:val="bottom"/>
          </w:tcPr>
          <w:p>
            <w:pPr>
              <w:ind w:left="500"/>
              <w:spacing w:after="0"/>
              <w:rPr>
                <w:sz w:val="20"/>
                <w:szCs w:val="20"/>
                <w:color w:val="auto"/>
              </w:rPr>
            </w:pPr>
            <w:r>
              <w:rPr>
                <w:rFonts w:ascii="Arial" w:cs="Arial" w:eastAsia="Arial" w:hAnsi="Arial"/>
                <w:sz w:val="14"/>
                <w:szCs w:val="14"/>
                <w:color w:val="auto"/>
              </w:rPr>
              <w:t>Total property and equipment, at cost</w:t>
            </w:r>
          </w:p>
        </w:tc>
        <w:tc>
          <w:tcPr>
            <w:tcW w:w="360" w:type="dxa"/>
            <w:vAlign w:val="bottom"/>
          </w:tcPr>
          <w:p>
            <w:pPr>
              <w:spacing w:after="0"/>
              <w:rPr>
                <w:sz w:val="16"/>
                <w:szCs w:val="16"/>
                <w:color w:val="auto"/>
              </w:rPr>
            </w:pPr>
          </w:p>
        </w:tc>
        <w:tc>
          <w:tcPr>
            <w:tcW w:w="1260" w:type="dxa"/>
            <w:vAlign w:val="bottom"/>
            <w:vMerge w:val="restart"/>
          </w:tcPr>
          <w:p>
            <w:pPr>
              <w:jc w:val="right"/>
              <w:ind w:right="48"/>
              <w:spacing w:after="0"/>
              <w:rPr>
                <w:sz w:val="20"/>
                <w:szCs w:val="20"/>
                <w:color w:val="auto"/>
              </w:rPr>
            </w:pPr>
            <w:r>
              <w:rPr>
                <w:rFonts w:ascii="Arial" w:cs="Arial" w:eastAsia="Arial" w:hAnsi="Arial"/>
                <w:sz w:val="14"/>
                <w:szCs w:val="14"/>
                <w:color w:val="auto"/>
              </w:rPr>
              <w:t>53,654</w:t>
            </w:r>
          </w:p>
        </w:tc>
        <w:tc>
          <w:tcPr>
            <w:tcW w:w="10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1060" w:type="dxa"/>
            <w:vAlign w:val="bottom"/>
            <w:vMerge w:val="restart"/>
          </w:tcPr>
          <w:p>
            <w:pPr>
              <w:jc w:val="right"/>
              <w:ind w:right="28"/>
              <w:spacing w:after="0"/>
              <w:rPr>
                <w:sz w:val="20"/>
                <w:szCs w:val="20"/>
                <w:color w:val="auto"/>
              </w:rPr>
            </w:pPr>
            <w:r>
              <w:rPr>
                <w:rFonts w:ascii="Arial" w:cs="Arial" w:eastAsia="Arial" w:hAnsi="Arial"/>
                <w:sz w:val="14"/>
                <w:szCs w:val="14"/>
                <w:color w:val="auto"/>
              </w:rPr>
              <w:t>51,541</w:t>
            </w:r>
          </w:p>
        </w:tc>
        <w:tc>
          <w:tcPr>
            <w:tcW w:w="0" w:type="dxa"/>
            <w:vAlign w:val="bottom"/>
          </w:tcPr>
          <w:p>
            <w:pPr>
              <w:spacing w:after="0"/>
              <w:rPr>
                <w:sz w:val="1"/>
                <w:szCs w:val="1"/>
                <w:color w:val="auto"/>
              </w:rPr>
            </w:pPr>
          </w:p>
        </w:tc>
      </w:tr>
      <w:tr>
        <w:trPr>
          <w:trHeight w:val="60"/>
        </w:trPr>
        <w:tc>
          <w:tcPr>
            <w:tcW w:w="8120" w:type="dxa"/>
            <w:vAlign w:val="bottom"/>
          </w:tcPr>
          <w:p>
            <w:pPr>
              <w:spacing w:after="0"/>
              <w:rPr>
                <w:sz w:val="5"/>
                <w:szCs w:val="5"/>
                <w:color w:val="auto"/>
              </w:rPr>
            </w:pPr>
          </w:p>
        </w:tc>
        <w:tc>
          <w:tcPr>
            <w:tcW w:w="360" w:type="dxa"/>
            <w:vAlign w:val="bottom"/>
          </w:tcPr>
          <w:p>
            <w:pPr>
              <w:spacing w:after="0"/>
              <w:rPr>
                <w:sz w:val="5"/>
                <w:szCs w:val="5"/>
                <w:color w:val="auto"/>
              </w:rPr>
            </w:pPr>
          </w:p>
        </w:tc>
        <w:tc>
          <w:tcPr>
            <w:tcW w:w="1260" w:type="dxa"/>
            <w:vAlign w:val="bottom"/>
            <w:vMerge w:val="continue"/>
          </w:tcPr>
          <w:p>
            <w:pPr>
              <w:spacing w:after="0"/>
              <w:rPr>
                <w:sz w:val="5"/>
                <w:szCs w:val="5"/>
                <w:color w:val="auto"/>
              </w:rPr>
            </w:pPr>
          </w:p>
        </w:tc>
        <w:tc>
          <w:tcPr>
            <w:tcW w:w="100" w:type="dxa"/>
            <w:vAlign w:val="bottom"/>
          </w:tcPr>
          <w:p>
            <w:pPr>
              <w:spacing w:after="0"/>
              <w:rPr>
                <w:sz w:val="5"/>
                <w:szCs w:val="5"/>
                <w:color w:val="auto"/>
              </w:rPr>
            </w:pPr>
          </w:p>
        </w:tc>
        <w:tc>
          <w:tcPr>
            <w:tcW w:w="520" w:type="dxa"/>
            <w:vAlign w:val="bottom"/>
          </w:tcPr>
          <w:p>
            <w:pPr>
              <w:spacing w:after="0"/>
              <w:rPr>
                <w:sz w:val="5"/>
                <w:szCs w:val="5"/>
                <w:color w:val="auto"/>
              </w:rPr>
            </w:pPr>
          </w:p>
        </w:tc>
        <w:tc>
          <w:tcPr>
            <w:tcW w:w="106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r>
        <w:trPr>
          <w:trHeight w:val="210"/>
        </w:trPr>
        <w:tc>
          <w:tcPr>
            <w:tcW w:w="8120" w:type="dxa"/>
            <w:vAlign w:val="bottom"/>
            <w:shd w:val="clear" w:color="auto" w:fill="CCEEFF"/>
          </w:tcPr>
          <w:p>
            <w:pPr>
              <w:ind w:left="280"/>
              <w:spacing w:after="0"/>
              <w:rPr>
                <w:sz w:val="20"/>
                <w:szCs w:val="20"/>
                <w:color w:val="auto"/>
              </w:rPr>
            </w:pPr>
            <w:r>
              <w:rPr>
                <w:rFonts w:ascii="Arial" w:cs="Arial" w:eastAsia="Arial" w:hAnsi="Arial"/>
                <w:sz w:val="14"/>
                <w:szCs w:val="14"/>
                <w:color w:val="auto"/>
              </w:rPr>
              <w:t>Less accumulated depreciation and amortization</w:t>
            </w:r>
          </w:p>
        </w:tc>
        <w:tc>
          <w:tcPr>
            <w:tcW w:w="360" w:type="dxa"/>
            <w:vAlign w:val="bottom"/>
            <w:shd w:val="clear" w:color="auto" w:fill="CCEEFF"/>
          </w:tcPr>
          <w:p>
            <w:pPr>
              <w:spacing w:after="0"/>
              <w:rPr>
                <w:sz w:val="18"/>
                <w:szCs w:val="18"/>
                <w:color w:val="auto"/>
              </w:rPr>
            </w:pPr>
          </w:p>
        </w:tc>
        <w:tc>
          <w:tcPr>
            <w:tcW w:w="1260" w:type="dxa"/>
            <w:vAlign w:val="bottom"/>
            <w:vMerge w:val="restart"/>
            <w:shd w:val="clear" w:color="auto" w:fill="CCEEFF"/>
          </w:tcPr>
          <w:p>
            <w:pPr>
              <w:jc w:val="right"/>
              <w:ind w:right="8"/>
              <w:spacing w:after="0"/>
              <w:rPr>
                <w:sz w:val="20"/>
                <w:szCs w:val="20"/>
                <w:color w:val="auto"/>
              </w:rPr>
            </w:pPr>
            <w:r>
              <w:rPr>
                <w:rFonts w:ascii="Arial" w:cs="Arial" w:eastAsia="Arial" w:hAnsi="Arial"/>
                <w:sz w:val="14"/>
                <w:szCs w:val="14"/>
                <w:color w:val="auto"/>
              </w:rPr>
              <w:t>(18,659)</w:t>
            </w:r>
          </w:p>
        </w:tc>
        <w:tc>
          <w:tcPr>
            <w:tcW w:w="10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106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(17,443)</w:t>
            </w:r>
          </w:p>
        </w:tc>
        <w:tc>
          <w:tcPr>
            <w:tcW w:w="0" w:type="dxa"/>
            <w:vAlign w:val="bottom"/>
          </w:tcPr>
          <w:p>
            <w:pPr>
              <w:spacing w:after="0"/>
              <w:rPr>
                <w:sz w:val="1"/>
                <w:szCs w:val="1"/>
                <w:color w:val="auto"/>
              </w:rPr>
            </w:pPr>
          </w:p>
        </w:tc>
      </w:tr>
      <w:tr>
        <w:trPr>
          <w:trHeight w:val="66"/>
        </w:trPr>
        <w:tc>
          <w:tcPr>
            <w:tcW w:w="8120" w:type="dxa"/>
            <w:vAlign w:val="bottom"/>
            <w:shd w:val="clear" w:color="auto" w:fill="CCEEFF"/>
          </w:tcPr>
          <w:p>
            <w:pPr>
              <w:spacing w:after="0"/>
              <w:rPr>
                <w:sz w:val="5"/>
                <w:szCs w:val="5"/>
                <w:color w:val="auto"/>
              </w:rPr>
            </w:pPr>
          </w:p>
        </w:tc>
        <w:tc>
          <w:tcPr>
            <w:tcW w:w="360" w:type="dxa"/>
            <w:vAlign w:val="bottom"/>
            <w:tcBorders>
              <w:bottom w:val="single" w:sz="8" w:color="auto"/>
            </w:tcBorders>
            <w:shd w:val="clear" w:color="auto" w:fill="CCEEFF"/>
          </w:tcPr>
          <w:p>
            <w:pPr>
              <w:spacing w:after="0"/>
              <w:rPr>
                <w:sz w:val="5"/>
                <w:szCs w:val="5"/>
                <w:color w:val="auto"/>
              </w:rPr>
            </w:pPr>
          </w:p>
        </w:tc>
        <w:tc>
          <w:tcPr>
            <w:tcW w:w="1260" w:type="dxa"/>
            <w:vAlign w:val="bottom"/>
            <w:tcBorders>
              <w:bottom w:val="single" w:sz="8" w:color="auto"/>
            </w:tcBorders>
            <w:vMerge w:val="continue"/>
            <w:shd w:val="clear" w:color="auto" w:fill="CCEEFF"/>
          </w:tcPr>
          <w:p>
            <w:pPr>
              <w:spacing w:after="0"/>
              <w:rPr>
                <w:sz w:val="5"/>
                <w:szCs w:val="5"/>
                <w:color w:val="auto"/>
              </w:rPr>
            </w:pPr>
          </w:p>
        </w:tc>
        <w:tc>
          <w:tcPr>
            <w:tcW w:w="100" w:type="dxa"/>
            <w:vAlign w:val="bottom"/>
            <w:shd w:val="clear" w:color="auto" w:fill="CCEEFF"/>
          </w:tcPr>
          <w:p>
            <w:pPr>
              <w:spacing w:after="0"/>
              <w:rPr>
                <w:sz w:val="5"/>
                <w:szCs w:val="5"/>
                <w:color w:val="auto"/>
              </w:rPr>
            </w:pPr>
          </w:p>
        </w:tc>
        <w:tc>
          <w:tcPr>
            <w:tcW w:w="520" w:type="dxa"/>
            <w:vAlign w:val="bottom"/>
            <w:tcBorders>
              <w:bottom w:val="single" w:sz="8" w:color="auto"/>
            </w:tcBorders>
            <w:shd w:val="clear" w:color="auto" w:fill="CCEEFF"/>
          </w:tcPr>
          <w:p>
            <w:pPr>
              <w:spacing w:after="0"/>
              <w:rPr>
                <w:sz w:val="5"/>
                <w:szCs w:val="5"/>
                <w:color w:val="auto"/>
              </w:rPr>
            </w:pPr>
          </w:p>
        </w:tc>
        <w:tc>
          <w:tcPr>
            <w:tcW w:w="1060" w:type="dxa"/>
            <w:vAlign w:val="bottom"/>
            <w:tcBorders>
              <w:bottom w:val="single" w:sz="8" w:color="auto"/>
            </w:tcBorders>
            <w:vMerge w:val="continue"/>
            <w:shd w:val="clear" w:color="auto" w:fill="CCEEFF"/>
          </w:tcPr>
          <w:p>
            <w:pPr>
              <w:spacing w:after="0"/>
              <w:rPr>
                <w:sz w:val="5"/>
                <w:szCs w:val="5"/>
                <w:color w:val="auto"/>
              </w:rPr>
            </w:pPr>
          </w:p>
        </w:tc>
        <w:tc>
          <w:tcPr>
            <w:tcW w:w="0" w:type="dxa"/>
            <w:vAlign w:val="bottom"/>
          </w:tcPr>
          <w:p>
            <w:pPr>
              <w:spacing w:after="0"/>
              <w:rPr>
                <w:sz w:val="1"/>
                <w:szCs w:val="1"/>
                <w:color w:val="auto"/>
              </w:rPr>
            </w:pPr>
          </w:p>
        </w:tc>
      </w:tr>
      <w:tr>
        <w:trPr>
          <w:trHeight w:val="184"/>
        </w:trPr>
        <w:tc>
          <w:tcPr>
            <w:tcW w:w="8120" w:type="dxa"/>
            <w:vAlign w:val="bottom"/>
          </w:tcPr>
          <w:p>
            <w:pPr>
              <w:ind w:left="500"/>
              <w:spacing w:after="0"/>
              <w:rPr>
                <w:sz w:val="20"/>
                <w:szCs w:val="20"/>
                <w:color w:val="auto"/>
              </w:rPr>
            </w:pPr>
            <w:r>
              <w:rPr>
                <w:rFonts w:ascii="Arial" w:cs="Arial" w:eastAsia="Arial" w:hAnsi="Arial"/>
                <w:sz w:val="14"/>
                <w:szCs w:val="14"/>
                <w:color w:val="auto"/>
              </w:rPr>
              <w:t>Total property and equipment, net</w:t>
            </w:r>
          </w:p>
        </w:tc>
        <w:tc>
          <w:tcPr>
            <w:tcW w:w="360" w:type="dxa"/>
            <w:vAlign w:val="bottom"/>
          </w:tcPr>
          <w:p>
            <w:pPr>
              <w:spacing w:after="0"/>
              <w:rPr>
                <w:sz w:val="16"/>
                <w:szCs w:val="16"/>
                <w:color w:val="auto"/>
              </w:rPr>
            </w:pPr>
          </w:p>
        </w:tc>
        <w:tc>
          <w:tcPr>
            <w:tcW w:w="1260" w:type="dxa"/>
            <w:vAlign w:val="bottom"/>
            <w:vMerge w:val="restart"/>
          </w:tcPr>
          <w:p>
            <w:pPr>
              <w:jc w:val="right"/>
              <w:ind w:right="48"/>
              <w:spacing w:after="0"/>
              <w:rPr>
                <w:sz w:val="20"/>
                <w:szCs w:val="20"/>
                <w:color w:val="auto"/>
              </w:rPr>
            </w:pPr>
            <w:r>
              <w:rPr>
                <w:rFonts w:ascii="Arial" w:cs="Arial" w:eastAsia="Arial" w:hAnsi="Arial"/>
                <w:sz w:val="14"/>
                <w:szCs w:val="14"/>
                <w:color w:val="auto"/>
              </w:rPr>
              <w:t>34,995</w:t>
            </w:r>
          </w:p>
        </w:tc>
        <w:tc>
          <w:tcPr>
            <w:tcW w:w="10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1060" w:type="dxa"/>
            <w:vAlign w:val="bottom"/>
            <w:vMerge w:val="restart"/>
          </w:tcPr>
          <w:p>
            <w:pPr>
              <w:jc w:val="right"/>
              <w:ind w:right="28"/>
              <w:spacing w:after="0"/>
              <w:rPr>
                <w:sz w:val="20"/>
                <w:szCs w:val="20"/>
                <w:color w:val="auto"/>
              </w:rPr>
            </w:pPr>
            <w:r>
              <w:rPr>
                <w:rFonts w:ascii="Arial" w:cs="Arial" w:eastAsia="Arial" w:hAnsi="Arial"/>
                <w:sz w:val="14"/>
                <w:szCs w:val="14"/>
                <w:color w:val="auto"/>
              </w:rPr>
              <w:t>34,098</w:t>
            </w:r>
          </w:p>
        </w:tc>
        <w:tc>
          <w:tcPr>
            <w:tcW w:w="0" w:type="dxa"/>
            <w:vAlign w:val="bottom"/>
          </w:tcPr>
          <w:p>
            <w:pPr>
              <w:spacing w:after="0"/>
              <w:rPr>
                <w:sz w:val="1"/>
                <w:szCs w:val="1"/>
                <w:color w:val="auto"/>
              </w:rPr>
            </w:pPr>
          </w:p>
        </w:tc>
      </w:tr>
      <w:tr>
        <w:trPr>
          <w:trHeight w:val="60"/>
        </w:trPr>
        <w:tc>
          <w:tcPr>
            <w:tcW w:w="8120" w:type="dxa"/>
            <w:vAlign w:val="bottom"/>
          </w:tcPr>
          <w:p>
            <w:pPr>
              <w:spacing w:after="0"/>
              <w:rPr>
                <w:sz w:val="5"/>
                <w:szCs w:val="5"/>
                <w:color w:val="auto"/>
              </w:rPr>
            </w:pPr>
          </w:p>
        </w:tc>
        <w:tc>
          <w:tcPr>
            <w:tcW w:w="360" w:type="dxa"/>
            <w:vAlign w:val="bottom"/>
          </w:tcPr>
          <w:p>
            <w:pPr>
              <w:spacing w:after="0"/>
              <w:rPr>
                <w:sz w:val="5"/>
                <w:szCs w:val="5"/>
                <w:color w:val="auto"/>
              </w:rPr>
            </w:pPr>
          </w:p>
        </w:tc>
        <w:tc>
          <w:tcPr>
            <w:tcW w:w="1260" w:type="dxa"/>
            <w:vAlign w:val="bottom"/>
            <w:vMerge w:val="continue"/>
          </w:tcPr>
          <w:p>
            <w:pPr>
              <w:spacing w:after="0"/>
              <w:rPr>
                <w:sz w:val="5"/>
                <w:szCs w:val="5"/>
                <w:color w:val="auto"/>
              </w:rPr>
            </w:pPr>
          </w:p>
        </w:tc>
        <w:tc>
          <w:tcPr>
            <w:tcW w:w="100" w:type="dxa"/>
            <w:vAlign w:val="bottom"/>
          </w:tcPr>
          <w:p>
            <w:pPr>
              <w:spacing w:after="0"/>
              <w:rPr>
                <w:sz w:val="5"/>
                <w:szCs w:val="5"/>
                <w:color w:val="auto"/>
              </w:rPr>
            </w:pPr>
          </w:p>
        </w:tc>
        <w:tc>
          <w:tcPr>
            <w:tcW w:w="520" w:type="dxa"/>
            <w:vAlign w:val="bottom"/>
          </w:tcPr>
          <w:p>
            <w:pPr>
              <w:spacing w:after="0"/>
              <w:rPr>
                <w:sz w:val="5"/>
                <w:szCs w:val="5"/>
                <w:color w:val="auto"/>
              </w:rPr>
            </w:pPr>
          </w:p>
        </w:tc>
        <w:tc>
          <w:tcPr>
            <w:tcW w:w="106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r>
        <w:trPr>
          <w:trHeight w:val="210"/>
        </w:trPr>
        <w:tc>
          <w:tcPr>
            <w:tcW w:w="8120" w:type="dxa"/>
            <w:vAlign w:val="bottom"/>
            <w:shd w:val="clear" w:color="auto" w:fill="CCEEFF"/>
          </w:tcPr>
          <w:p>
            <w:pPr>
              <w:ind w:left="40"/>
              <w:spacing w:after="0"/>
              <w:rPr>
                <w:sz w:val="20"/>
                <w:szCs w:val="20"/>
                <w:color w:val="auto"/>
              </w:rPr>
            </w:pPr>
            <w:r>
              <w:rPr>
                <w:rFonts w:ascii="Arial" w:cs="Arial" w:eastAsia="Arial" w:hAnsi="Arial"/>
                <w:sz w:val="14"/>
                <w:szCs w:val="14"/>
                <w:b w:val="1"/>
                <w:bCs w:val="1"/>
                <w:color w:val="auto"/>
              </w:rPr>
              <w:t>Operating lease right-of-use assets</w:t>
            </w:r>
          </w:p>
        </w:tc>
        <w:tc>
          <w:tcPr>
            <w:tcW w:w="360" w:type="dxa"/>
            <w:vAlign w:val="bottom"/>
            <w:shd w:val="clear" w:color="auto" w:fill="CCEEFF"/>
          </w:tcPr>
          <w:p>
            <w:pPr>
              <w:spacing w:after="0"/>
              <w:rPr>
                <w:sz w:val="18"/>
                <w:szCs w:val="18"/>
                <w:color w:val="auto"/>
              </w:rPr>
            </w:pPr>
          </w:p>
        </w:tc>
        <w:tc>
          <w:tcPr>
            <w:tcW w:w="1260" w:type="dxa"/>
            <w:vAlign w:val="bottom"/>
            <w:vMerge w:val="restart"/>
            <w:shd w:val="clear" w:color="auto" w:fill="CCEEFF"/>
          </w:tcPr>
          <w:p>
            <w:pPr>
              <w:jc w:val="right"/>
              <w:ind w:right="48"/>
              <w:spacing w:after="0"/>
              <w:rPr>
                <w:sz w:val="20"/>
                <w:szCs w:val="20"/>
                <w:color w:val="auto"/>
              </w:rPr>
            </w:pPr>
            <w:r>
              <w:rPr>
                <w:rFonts w:ascii="Arial" w:cs="Arial" w:eastAsia="Arial" w:hAnsi="Arial"/>
                <w:sz w:val="14"/>
                <w:szCs w:val="14"/>
                <w:color w:val="auto"/>
              </w:rPr>
              <w:t>8,737</w:t>
            </w:r>
          </w:p>
        </w:tc>
        <w:tc>
          <w:tcPr>
            <w:tcW w:w="10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1060" w:type="dxa"/>
            <w:vAlign w:val="bottom"/>
            <w:vMerge w:val="restart"/>
            <w:shd w:val="clear" w:color="auto" w:fill="CCEEFF"/>
          </w:tcPr>
          <w:p>
            <w:pPr>
              <w:jc w:val="right"/>
              <w:ind w:right="28"/>
              <w:spacing w:after="0"/>
              <w:rPr>
                <w:sz w:val="20"/>
                <w:szCs w:val="20"/>
                <w:color w:val="auto"/>
              </w:rPr>
            </w:pPr>
            <w:r>
              <w:rPr>
                <w:rFonts w:ascii="Arial" w:cs="Arial" w:eastAsia="Arial" w:hAnsi="Arial"/>
                <w:sz w:val="14"/>
                <w:szCs w:val="14"/>
                <w:color w:val="auto"/>
              </w:rPr>
              <w:t>9,151</w:t>
            </w:r>
          </w:p>
        </w:tc>
        <w:tc>
          <w:tcPr>
            <w:tcW w:w="0" w:type="dxa"/>
            <w:vAlign w:val="bottom"/>
          </w:tcPr>
          <w:p>
            <w:pPr>
              <w:spacing w:after="0"/>
              <w:rPr>
                <w:sz w:val="1"/>
                <w:szCs w:val="1"/>
                <w:color w:val="auto"/>
              </w:rPr>
            </w:pPr>
          </w:p>
        </w:tc>
      </w:tr>
      <w:tr>
        <w:trPr>
          <w:trHeight w:val="66"/>
        </w:trPr>
        <w:tc>
          <w:tcPr>
            <w:tcW w:w="8120" w:type="dxa"/>
            <w:vAlign w:val="bottom"/>
            <w:shd w:val="clear" w:color="auto" w:fill="CCEEFF"/>
          </w:tcPr>
          <w:p>
            <w:pPr>
              <w:spacing w:after="0"/>
              <w:rPr>
                <w:sz w:val="5"/>
                <w:szCs w:val="5"/>
                <w:color w:val="auto"/>
              </w:rPr>
            </w:pPr>
          </w:p>
        </w:tc>
        <w:tc>
          <w:tcPr>
            <w:tcW w:w="360" w:type="dxa"/>
            <w:vAlign w:val="bottom"/>
            <w:shd w:val="clear" w:color="auto" w:fill="CCEEFF"/>
          </w:tcPr>
          <w:p>
            <w:pPr>
              <w:spacing w:after="0"/>
              <w:rPr>
                <w:sz w:val="5"/>
                <w:szCs w:val="5"/>
                <w:color w:val="auto"/>
              </w:rPr>
            </w:pPr>
          </w:p>
        </w:tc>
        <w:tc>
          <w:tcPr>
            <w:tcW w:w="1260" w:type="dxa"/>
            <w:vAlign w:val="bottom"/>
            <w:vMerge w:val="continue"/>
            <w:shd w:val="clear" w:color="auto" w:fill="CCEEFF"/>
          </w:tcPr>
          <w:p>
            <w:pPr>
              <w:spacing w:after="0"/>
              <w:rPr>
                <w:sz w:val="5"/>
                <w:szCs w:val="5"/>
                <w:color w:val="auto"/>
              </w:rPr>
            </w:pPr>
          </w:p>
        </w:tc>
        <w:tc>
          <w:tcPr>
            <w:tcW w:w="100" w:type="dxa"/>
            <w:vAlign w:val="bottom"/>
            <w:shd w:val="clear" w:color="auto" w:fill="CCEEFF"/>
          </w:tcPr>
          <w:p>
            <w:pPr>
              <w:spacing w:after="0"/>
              <w:rPr>
                <w:sz w:val="5"/>
                <w:szCs w:val="5"/>
                <w:color w:val="auto"/>
              </w:rPr>
            </w:pPr>
          </w:p>
        </w:tc>
        <w:tc>
          <w:tcPr>
            <w:tcW w:w="520" w:type="dxa"/>
            <w:vAlign w:val="bottom"/>
            <w:shd w:val="clear" w:color="auto" w:fill="CCEEFF"/>
          </w:tcPr>
          <w:p>
            <w:pPr>
              <w:spacing w:after="0"/>
              <w:rPr>
                <w:sz w:val="5"/>
                <w:szCs w:val="5"/>
                <w:color w:val="auto"/>
              </w:rPr>
            </w:pPr>
          </w:p>
        </w:tc>
        <w:tc>
          <w:tcPr>
            <w:tcW w:w="1060" w:type="dxa"/>
            <w:vAlign w:val="bottom"/>
            <w:vMerge w:val="continue"/>
            <w:shd w:val="clear" w:color="auto" w:fill="CCEEFF"/>
          </w:tcPr>
          <w:p>
            <w:pPr>
              <w:spacing w:after="0"/>
              <w:rPr>
                <w:sz w:val="5"/>
                <w:szCs w:val="5"/>
                <w:color w:val="auto"/>
              </w:rPr>
            </w:pPr>
          </w:p>
        </w:tc>
        <w:tc>
          <w:tcPr>
            <w:tcW w:w="0" w:type="dxa"/>
            <w:vAlign w:val="bottom"/>
          </w:tcPr>
          <w:p>
            <w:pPr>
              <w:spacing w:after="0"/>
              <w:rPr>
                <w:sz w:val="1"/>
                <w:szCs w:val="1"/>
                <w:color w:val="auto"/>
              </w:rPr>
            </w:pPr>
          </w:p>
        </w:tc>
      </w:tr>
      <w:tr>
        <w:trPr>
          <w:trHeight w:val="204"/>
        </w:trPr>
        <w:tc>
          <w:tcPr>
            <w:tcW w:w="8120" w:type="dxa"/>
            <w:vAlign w:val="bottom"/>
          </w:tcPr>
          <w:p>
            <w:pPr>
              <w:ind w:left="40"/>
              <w:spacing w:after="0"/>
              <w:rPr>
                <w:sz w:val="20"/>
                <w:szCs w:val="20"/>
                <w:color w:val="auto"/>
              </w:rPr>
            </w:pPr>
            <w:r>
              <w:rPr>
                <w:rFonts w:ascii="Arial" w:cs="Arial" w:eastAsia="Arial" w:hAnsi="Arial"/>
                <w:sz w:val="14"/>
                <w:szCs w:val="14"/>
                <w:b w:val="1"/>
                <w:bCs w:val="1"/>
                <w:color w:val="auto"/>
              </w:rPr>
              <w:t>Other assets</w:t>
            </w:r>
          </w:p>
        </w:tc>
        <w:tc>
          <w:tcPr>
            <w:tcW w:w="36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66"/>
        </w:trPr>
        <w:tc>
          <w:tcPr>
            <w:tcW w:w="8120" w:type="dxa"/>
            <w:vAlign w:val="bottom"/>
          </w:tcPr>
          <w:p>
            <w:pPr>
              <w:spacing w:after="0"/>
              <w:rPr>
                <w:sz w:val="5"/>
                <w:szCs w:val="5"/>
                <w:color w:val="auto"/>
              </w:rPr>
            </w:pPr>
          </w:p>
        </w:tc>
        <w:tc>
          <w:tcPr>
            <w:tcW w:w="360" w:type="dxa"/>
            <w:vAlign w:val="bottom"/>
          </w:tcPr>
          <w:p>
            <w:pPr>
              <w:spacing w:after="0"/>
              <w:rPr>
                <w:sz w:val="5"/>
                <w:szCs w:val="5"/>
                <w:color w:val="auto"/>
              </w:rPr>
            </w:pPr>
          </w:p>
        </w:tc>
        <w:tc>
          <w:tcPr>
            <w:tcW w:w="1260" w:type="dxa"/>
            <w:vAlign w:val="bottom"/>
          </w:tcPr>
          <w:p>
            <w:pPr>
              <w:spacing w:after="0"/>
              <w:rPr>
                <w:sz w:val="5"/>
                <w:szCs w:val="5"/>
                <w:color w:val="auto"/>
              </w:rPr>
            </w:pPr>
          </w:p>
        </w:tc>
        <w:tc>
          <w:tcPr>
            <w:tcW w:w="100" w:type="dxa"/>
            <w:vAlign w:val="bottom"/>
          </w:tcPr>
          <w:p>
            <w:pPr>
              <w:spacing w:after="0"/>
              <w:rPr>
                <w:sz w:val="5"/>
                <w:szCs w:val="5"/>
                <w:color w:val="auto"/>
              </w:rPr>
            </w:pPr>
          </w:p>
        </w:tc>
        <w:tc>
          <w:tcPr>
            <w:tcW w:w="520" w:type="dxa"/>
            <w:vAlign w:val="bottom"/>
          </w:tcPr>
          <w:p>
            <w:pPr>
              <w:spacing w:after="0"/>
              <w:rPr>
                <w:sz w:val="5"/>
                <w:szCs w:val="5"/>
                <w:color w:val="auto"/>
              </w:rPr>
            </w:pPr>
          </w:p>
        </w:tc>
        <w:tc>
          <w:tcPr>
            <w:tcW w:w="106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04"/>
        </w:trPr>
        <w:tc>
          <w:tcPr>
            <w:tcW w:w="8120" w:type="dxa"/>
            <w:vAlign w:val="bottom"/>
            <w:shd w:val="clear" w:color="auto" w:fill="CCEEFF"/>
          </w:tcPr>
          <w:p>
            <w:pPr>
              <w:ind w:left="280"/>
              <w:spacing w:after="0"/>
              <w:rPr>
                <w:sz w:val="20"/>
                <w:szCs w:val="20"/>
                <w:color w:val="auto"/>
              </w:rPr>
            </w:pPr>
            <w:r>
              <w:rPr>
                <w:rFonts w:ascii="Arial" w:cs="Arial" w:eastAsia="Arial" w:hAnsi="Arial"/>
                <w:sz w:val="14"/>
                <w:szCs w:val="14"/>
                <w:color w:val="auto"/>
              </w:rPr>
              <w:t>Goodwill</w:t>
            </w:r>
          </w:p>
        </w:tc>
        <w:tc>
          <w:tcPr>
            <w:tcW w:w="360" w:type="dxa"/>
            <w:vAlign w:val="bottom"/>
            <w:shd w:val="clear" w:color="auto" w:fill="CCEEFF"/>
          </w:tcPr>
          <w:p>
            <w:pPr>
              <w:spacing w:after="0"/>
              <w:rPr>
                <w:sz w:val="17"/>
                <w:szCs w:val="17"/>
                <w:color w:val="auto"/>
              </w:rPr>
            </w:pPr>
          </w:p>
        </w:tc>
        <w:tc>
          <w:tcPr>
            <w:tcW w:w="1260" w:type="dxa"/>
            <w:vAlign w:val="bottom"/>
            <w:vMerge w:val="restart"/>
            <w:shd w:val="clear" w:color="auto" w:fill="CCEEFF"/>
          </w:tcPr>
          <w:p>
            <w:pPr>
              <w:jc w:val="right"/>
              <w:ind w:right="48"/>
              <w:spacing w:after="0"/>
              <w:rPr>
                <w:sz w:val="20"/>
                <w:szCs w:val="20"/>
                <w:color w:val="auto"/>
              </w:rPr>
            </w:pPr>
            <w:r>
              <w:rPr>
                <w:rFonts w:ascii="Arial" w:cs="Arial" w:eastAsia="Arial" w:hAnsi="Arial"/>
                <w:sz w:val="14"/>
                <w:szCs w:val="14"/>
                <w:color w:val="auto"/>
              </w:rPr>
              <w:t>4,091</w:t>
            </w:r>
          </w:p>
        </w:tc>
        <w:tc>
          <w:tcPr>
            <w:tcW w:w="100" w:type="dxa"/>
            <w:vAlign w:val="bottom"/>
            <w:shd w:val="clear" w:color="auto" w:fill="CCEEFF"/>
          </w:tcPr>
          <w:p>
            <w:pPr>
              <w:spacing w:after="0"/>
              <w:rPr>
                <w:sz w:val="17"/>
                <w:szCs w:val="17"/>
                <w:color w:val="auto"/>
              </w:rPr>
            </w:pPr>
          </w:p>
        </w:tc>
        <w:tc>
          <w:tcPr>
            <w:tcW w:w="520" w:type="dxa"/>
            <w:vAlign w:val="bottom"/>
            <w:shd w:val="clear" w:color="auto" w:fill="CCEEFF"/>
          </w:tcPr>
          <w:p>
            <w:pPr>
              <w:spacing w:after="0"/>
              <w:rPr>
                <w:sz w:val="17"/>
                <w:szCs w:val="17"/>
                <w:color w:val="auto"/>
              </w:rPr>
            </w:pPr>
          </w:p>
        </w:tc>
        <w:tc>
          <w:tcPr>
            <w:tcW w:w="1060" w:type="dxa"/>
            <w:vAlign w:val="bottom"/>
            <w:vMerge w:val="restart"/>
            <w:shd w:val="clear" w:color="auto" w:fill="CCEEFF"/>
          </w:tcPr>
          <w:p>
            <w:pPr>
              <w:jc w:val="right"/>
              <w:ind w:right="28"/>
              <w:spacing w:after="0"/>
              <w:rPr>
                <w:sz w:val="20"/>
                <w:szCs w:val="20"/>
                <w:color w:val="auto"/>
              </w:rPr>
            </w:pPr>
            <w:r>
              <w:rPr>
                <w:rFonts w:ascii="Arial" w:cs="Arial" w:eastAsia="Arial" w:hAnsi="Arial"/>
                <w:sz w:val="14"/>
                <w:szCs w:val="14"/>
                <w:color w:val="auto"/>
              </w:rPr>
              <w:t>4,091</w:t>
            </w:r>
          </w:p>
        </w:tc>
        <w:tc>
          <w:tcPr>
            <w:tcW w:w="0" w:type="dxa"/>
            <w:vAlign w:val="bottom"/>
          </w:tcPr>
          <w:p>
            <w:pPr>
              <w:spacing w:after="0"/>
              <w:rPr>
                <w:sz w:val="1"/>
                <w:szCs w:val="1"/>
                <w:color w:val="auto"/>
              </w:rPr>
            </w:pPr>
          </w:p>
        </w:tc>
      </w:tr>
      <w:tr>
        <w:trPr>
          <w:trHeight w:val="66"/>
        </w:trPr>
        <w:tc>
          <w:tcPr>
            <w:tcW w:w="8120" w:type="dxa"/>
            <w:vAlign w:val="bottom"/>
            <w:shd w:val="clear" w:color="auto" w:fill="CCEEFF"/>
          </w:tcPr>
          <w:p>
            <w:pPr>
              <w:spacing w:after="0"/>
              <w:rPr>
                <w:sz w:val="5"/>
                <w:szCs w:val="5"/>
                <w:color w:val="auto"/>
              </w:rPr>
            </w:pPr>
          </w:p>
        </w:tc>
        <w:tc>
          <w:tcPr>
            <w:tcW w:w="360" w:type="dxa"/>
            <w:vAlign w:val="bottom"/>
            <w:shd w:val="clear" w:color="auto" w:fill="CCEEFF"/>
          </w:tcPr>
          <w:p>
            <w:pPr>
              <w:spacing w:after="0"/>
              <w:rPr>
                <w:sz w:val="5"/>
                <w:szCs w:val="5"/>
                <w:color w:val="auto"/>
              </w:rPr>
            </w:pPr>
          </w:p>
        </w:tc>
        <w:tc>
          <w:tcPr>
            <w:tcW w:w="1260" w:type="dxa"/>
            <w:vAlign w:val="bottom"/>
            <w:vMerge w:val="continue"/>
            <w:shd w:val="clear" w:color="auto" w:fill="CCEEFF"/>
          </w:tcPr>
          <w:p>
            <w:pPr>
              <w:spacing w:after="0"/>
              <w:rPr>
                <w:sz w:val="5"/>
                <w:szCs w:val="5"/>
                <w:color w:val="auto"/>
              </w:rPr>
            </w:pPr>
          </w:p>
        </w:tc>
        <w:tc>
          <w:tcPr>
            <w:tcW w:w="100" w:type="dxa"/>
            <w:vAlign w:val="bottom"/>
            <w:shd w:val="clear" w:color="auto" w:fill="CCEEFF"/>
          </w:tcPr>
          <w:p>
            <w:pPr>
              <w:spacing w:after="0"/>
              <w:rPr>
                <w:sz w:val="5"/>
                <w:szCs w:val="5"/>
                <w:color w:val="auto"/>
              </w:rPr>
            </w:pPr>
          </w:p>
        </w:tc>
        <w:tc>
          <w:tcPr>
            <w:tcW w:w="520" w:type="dxa"/>
            <w:vAlign w:val="bottom"/>
            <w:shd w:val="clear" w:color="auto" w:fill="CCEEFF"/>
          </w:tcPr>
          <w:p>
            <w:pPr>
              <w:spacing w:after="0"/>
              <w:rPr>
                <w:sz w:val="5"/>
                <w:szCs w:val="5"/>
                <w:color w:val="auto"/>
              </w:rPr>
            </w:pPr>
          </w:p>
        </w:tc>
        <w:tc>
          <w:tcPr>
            <w:tcW w:w="1060" w:type="dxa"/>
            <w:vAlign w:val="bottom"/>
            <w:vMerge w:val="continue"/>
            <w:shd w:val="clear" w:color="auto" w:fill="CCEEFF"/>
          </w:tcPr>
          <w:p>
            <w:pPr>
              <w:spacing w:after="0"/>
              <w:rPr>
                <w:sz w:val="5"/>
                <w:szCs w:val="5"/>
                <w:color w:val="auto"/>
              </w:rPr>
            </w:pPr>
          </w:p>
        </w:tc>
        <w:tc>
          <w:tcPr>
            <w:tcW w:w="0" w:type="dxa"/>
            <w:vAlign w:val="bottom"/>
          </w:tcPr>
          <w:p>
            <w:pPr>
              <w:spacing w:after="0"/>
              <w:rPr>
                <w:sz w:val="1"/>
                <w:szCs w:val="1"/>
                <w:color w:val="auto"/>
              </w:rPr>
            </w:pPr>
          </w:p>
        </w:tc>
      </w:tr>
      <w:tr>
        <w:trPr>
          <w:trHeight w:val="204"/>
        </w:trPr>
        <w:tc>
          <w:tcPr>
            <w:tcW w:w="8120" w:type="dxa"/>
            <w:vAlign w:val="bottom"/>
          </w:tcPr>
          <w:p>
            <w:pPr>
              <w:ind w:left="280"/>
              <w:spacing w:after="0"/>
              <w:rPr>
                <w:sz w:val="20"/>
                <w:szCs w:val="20"/>
                <w:color w:val="auto"/>
              </w:rPr>
            </w:pPr>
            <w:r>
              <w:rPr>
                <w:rFonts w:ascii="Arial" w:cs="Arial" w:eastAsia="Arial" w:hAnsi="Arial"/>
                <w:sz w:val="14"/>
                <w:szCs w:val="14"/>
                <w:color w:val="auto"/>
              </w:rPr>
              <w:t>Intangibles, net of accumulated amortization of $704 and $663, respectively</w:t>
            </w:r>
          </w:p>
        </w:tc>
        <w:tc>
          <w:tcPr>
            <w:tcW w:w="360" w:type="dxa"/>
            <w:vAlign w:val="bottom"/>
          </w:tcPr>
          <w:p>
            <w:pPr>
              <w:spacing w:after="0"/>
              <w:rPr>
                <w:sz w:val="17"/>
                <w:szCs w:val="17"/>
                <w:color w:val="auto"/>
              </w:rPr>
            </w:pPr>
          </w:p>
        </w:tc>
        <w:tc>
          <w:tcPr>
            <w:tcW w:w="1260" w:type="dxa"/>
            <w:vAlign w:val="bottom"/>
            <w:vMerge w:val="restart"/>
          </w:tcPr>
          <w:p>
            <w:pPr>
              <w:jc w:val="right"/>
              <w:ind w:right="48"/>
              <w:spacing w:after="0"/>
              <w:rPr>
                <w:sz w:val="20"/>
                <w:szCs w:val="20"/>
                <w:color w:val="auto"/>
              </w:rPr>
            </w:pPr>
            <w:r>
              <w:rPr>
                <w:rFonts w:ascii="Arial" w:cs="Arial" w:eastAsia="Arial" w:hAnsi="Arial"/>
                <w:sz w:val="14"/>
                <w:szCs w:val="14"/>
                <w:color w:val="auto"/>
              </w:rPr>
              <w:t>2,084</w:t>
            </w:r>
          </w:p>
        </w:tc>
        <w:tc>
          <w:tcPr>
            <w:tcW w:w="10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1060" w:type="dxa"/>
            <w:vAlign w:val="bottom"/>
            <w:vMerge w:val="restart"/>
          </w:tcPr>
          <w:p>
            <w:pPr>
              <w:jc w:val="right"/>
              <w:ind w:right="28"/>
              <w:spacing w:after="0"/>
              <w:rPr>
                <w:sz w:val="20"/>
                <w:szCs w:val="20"/>
                <w:color w:val="auto"/>
              </w:rPr>
            </w:pPr>
            <w:r>
              <w:rPr>
                <w:rFonts w:ascii="Arial" w:cs="Arial" w:eastAsia="Arial" w:hAnsi="Arial"/>
                <w:sz w:val="14"/>
                <w:szCs w:val="14"/>
                <w:color w:val="auto"/>
              </w:rPr>
              <w:t>2,137</w:t>
            </w:r>
          </w:p>
        </w:tc>
        <w:tc>
          <w:tcPr>
            <w:tcW w:w="0" w:type="dxa"/>
            <w:vAlign w:val="bottom"/>
          </w:tcPr>
          <w:p>
            <w:pPr>
              <w:spacing w:after="0"/>
              <w:rPr>
                <w:sz w:val="1"/>
                <w:szCs w:val="1"/>
                <w:color w:val="auto"/>
              </w:rPr>
            </w:pPr>
          </w:p>
        </w:tc>
      </w:tr>
      <w:tr>
        <w:trPr>
          <w:trHeight w:val="60"/>
        </w:trPr>
        <w:tc>
          <w:tcPr>
            <w:tcW w:w="8120" w:type="dxa"/>
            <w:vAlign w:val="bottom"/>
          </w:tcPr>
          <w:p>
            <w:pPr>
              <w:spacing w:after="0"/>
              <w:rPr>
                <w:sz w:val="5"/>
                <w:szCs w:val="5"/>
                <w:color w:val="auto"/>
              </w:rPr>
            </w:pPr>
          </w:p>
        </w:tc>
        <w:tc>
          <w:tcPr>
            <w:tcW w:w="360" w:type="dxa"/>
            <w:vAlign w:val="bottom"/>
          </w:tcPr>
          <w:p>
            <w:pPr>
              <w:spacing w:after="0"/>
              <w:rPr>
                <w:sz w:val="5"/>
                <w:szCs w:val="5"/>
                <w:color w:val="auto"/>
              </w:rPr>
            </w:pPr>
          </w:p>
        </w:tc>
        <w:tc>
          <w:tcPr>
            <w:tcW w:w="1260" w:type="dxa"/>
            <w:vAlign w:val="bottom"/>
            <w:vMerge w:val="continue"/>
          </w:tcPr>
          <w:p>
            <w:pPr>
              <w:spacing w:after="0"/>
              <w:rPr>
                <w:sz w:val="5"/>
                <w:szCs w:val="5"/>
                <w:color w:val="auto"/>
              </w:rPr>
            </w:pPr>
          </w:p>
        </w:tc>
        <w:tc>
          <w:tcPr>
            <w:tcW w:w="100" w:type="dxa"/>
            <w:vAlign w:val="bottom"/>
          </w:tcPr>
          <w:p>
            <w:pPr>
              <w:spacing w:after="0"/>
              <w:rPr>
                <w:sz w:val="5"/>
                <w:szCs w:val="5"/>
                <w:color w:val="auto"/>
              </w:rPr>
            </w:pPr>
          </w:p>
        </w:tc>
        <w:tc>
          <w:tcPr>
            <w:tcW w:w="520" w:type="dxa"/>
            <w:vAlign w:val="bottom"/>
          </w:tcPr>
          <w:p>
            <w:pPr>
              <w:spacing w:after="0"/>
              <w:rPr>
                <w:sz w:val="5"/>
                <w:szCs w:val="5"/>
                <w:color w:val="auto"/>
              </w:rPr>
            </w:pPr>
          </w:p>
        </w:tc>
        <w:tc>
          <w:tcPr>
            <w:tcW w:w="106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r>
        <w:trPr>
          <w:trHeight w:val="210"/>
        </w:trPr>
        <w:tc>
          <w:tcPr>
            <w:tcW w:w="8120" w:type="dxa"/>
            <w:vAlign w:val="bottom"/>
            <w:shd w:val="clear" w:color="auto" w:fill="CCEEFF"/>
          </w:tcPr>
          <w:p>
            <w:pPr>
              <w:ind w:left="280"/>
              <w:spacing w:after="0"/>
              <w:rPr>
                <w:sz w:val="20"/>
                <w:szCs w:val="20"/>
                <w:color w:val="auto"/>
              </w:rPr>
            </w:pPr>
            <w:r>
              <w:rPr>
                <w:rFonts w:ascii="Arial" w:cs="Arial" w:eastAsia="Arial" w:hAnsi="Arial"/>
                <w:sz w:val="14"/>
                <w:szCs w:val="14"/>
                <w:color w:val="auto"/>
              </w:rPr>
              <w:t>Deferred tax asset</w:t>
            </w:r>
          </w:p>
        </w:tc>
        <w:tc>
          <w:tcPr>
            <w:tcW w:w="360" w:type="dxa"/>
            <w:vAlign w:val="bottom"/>
            <w:shd w:val="clear" w:color="auto" w:fill="CCEEFF"/>
          </w:tcPr>
          <w:p>
            <w:pPr>
              <w:spacing w:after="0"/>
              <w:rPr>
                <w:sz w:val="18"/>
                <w:szCs w:val="18"/>
                <w:color w:val="auto"/>
              </w:rPr>
            </w:pPr>
          </w:p>
        </w:tc>
        <w:tc>
          <w:tcPr>
            <w:tcW w:w="1260" w:type="dxa"/>
            <w:vAlign w:val="bottom"/>
            <w:vMerge w:val="restart"/>
            <w:shd w:val="clear" w:color="auto" w:fill="CCEEFF"/>
          </w:tcPr>
          <w:p>
            <w:pPr>
              <w:jc w:val="right"/>
              <w:ind w:right="48"/>
              <w:spacing w:after="0"/>
              <w:rPr>
                <w:sz w:val="20"/>
                <w:szCs w:val="20"/>
                <w:color w:val="auto"/>
              </w:rPr>
            </w:pPr>
            <w:r>
              <w:rPr>
                <w:rFonts w:ascii="Arial" w:cs="Arial" w:eastAsia="Arial" w:hAnsi="Arial"/>
                <w:sz w:val="14"/>
                <w:szCs w:val="14"/>
                <w:color w:val="auto"/>
              </w:rPr>
              <w:t>645</w:t>
            </w:r>
          </w:p>
        </w:tc>
        <w:tc>
          <w:tcPr>
            <w:tcW w:w="10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1060" w:type="dxa"/>
            <w:vAlign w:val="bottom"/>
            <w:vMerge w:val="restart"/>
            <w:shd w:val="clear" w:color="auto" w:fill="CCEEFF"/>
          </w:tcPr>
          <w:p>
            <w:pPr>
              <w:jc w:val="right"/>
              <w:ind w:right="28"/>
              <w:spacing w:after="0"/>
              <w:rPr>
                <w:sz w:val="20"/>
                <w:szCs w:val="20"/>
                <w:color w:val="auto"/>
              </w:rPr>
            </w:pPr>
            <w:r>
              <w:rPr>
                <w:rFonts w:ascii="Arial" w:cs="Arial" w:eastAsia="Arial" w:hAnsi="Arial"/>
                <w:sz w:val="14"/>
                <w:szCs w:val="14"/>
                <w:color w:val="auto"/>
              </w:rPr>
              <w:t>1,145</w:t>
            </w:r>
          </w:p>
        </w:tc>
        <w:tc>
          <w:tcPr>
            <w:tcW w:w="0" w:type="dxa"/>
            <w:vAlign w:val="bottom"/>
          </w:tcPr>
          <w:p>
            <w:pPr>
              <w:spacing w:after="0"/>
              <w:rPr>
                <w:sz w:val="1"/>
                <w:szCs w:val="1"/>
                <w:color w:val="auto"/>
              </w:rPr>
            </w:pPr>
          </w:p>
        </w:tc>
      </w:tr>
      <w:tr>
        <w:trPr>
          <w:trHeight w:val="66"/>
        </w:trPr>
        <w:tc>
          <w:tcPr>
            <w:tcW w:w="8120" w:type="dxa"/>
            <w:vAlign w:val="bottom"/>
            <w:shd w:val="clear" w:color="auto" w:fill="CCEEFF"/>
          </w:tcPr>
          <w:p>
            <w:pPr>
              <w:spacing w:after="0"/>
              <w:rPr>
                <w:sz w:val="5"/>
                <w:szCs w:val="5"/>
                <w:color w:val="auto"/>
              </w:rPr>
            </w:pPr>
          </w:p>
        </w:tc>
        <w:tc>
          <w:tcPr>
            <w:tcW w:w="360" w:type="dxa"/>
            <w:vAlign w:val="bottom"/>
            <w:shd w:val="clear" w:color="auto" w:fill="CCEEFF"/>
          </w:tcPr>
          <w:p>
            <w:pPr>
              <w:spacing w:after="0"/>
              <w:rPr>
                <w:sz w:val="5"/>
                <w:szCs w:val="5"/>
                <w:color w:val="auto"/>
              </w:rPr>
            </w:pPr>
          </w:p>
        </w:tc>
        <w:tc>
          <w:tcPr>
            <w:tcW w:w="1260" w:type="dxa"/>
            <w:vAlign w:val="bottom"/>
            <w:vMerge w:val="continue"/>
            <w:shd w:val="clear" w:color="auto" w:fill="CCEEFF"/>
          </w:tcPr>
          <w:p>
            <w:pPr>
              <w:spacing w:after="0"/>
              <w:rPr>
                <w:sz w:val="5"/>
                <w:szCs w:val="5"/>
                <w:color w:val="auto"/>
              </w:rPr>
            </w:pPr>
          </w:p>
        </w:tc>
        <w:tc>
          <w:tcPr>
            <w:tcW w:w="100" w:type="dxa"/>
            <w:vAlign w:val="bottom"/>
            <w:shd w:val="clear" w:color="auto" w:fill="CCEEFF"/>
          </w:tcPr>
          <w:p>
            <w:pPr>
              <w:spacing w:after="0"/>
              <w:rPr>
                <w:sz w:val="5"/>
                <w:szCs w:val="5"/>
                <w:color w:val="auto"/>
              </w:rPr>
            </w:pPr>
          </w:p>
        </w:tc>
        <w:tc>
          <w:tcPr>
            <w:tcW w:w="520" w:type="dxa"/>
            <w:vAlign w:val="bottom"/>
            <w:shd w:val="clear" w:color="auto" w:fill="CCEEFF"/>
          </w:tcPr>
          <w:p>
            <w:pPr>
              <w:spacing w:after="0"/>
              <w:rPr>
                <w:sz w:val="5"/>
                <w:szCs w:val="5"/>
                <w:color w:val="auto"/>
              </w:rPr>
            </w:pPr>
          </w:p>
        </w:tc>
        <w:tc>
          <w:tcPr>
            <w:tcW w:w="1060" w:type="dxa"/>
            <w:vAlign w:val="bottom"/>
            <w:vMerge w:val="continue"/>
            <w:shd w:val="clear" w:color="auto" w:fill="CCEEFF"/>
          </w:tcPr>
          <w:p>
            <w:pPr>
              <w:spacing w:after="0"/>
              <w:rPr>
                <w:sz w:val="5"/>
                <w:szCs w:val="5"/>
                <w:color w:val="auto"/>
              </w:rPr>
            </w:pPr>
          </w:p>
        </w:tc>
        <w:tc>
          <w:tcPr>
            <w:tcW w:w="0" w:type="dxa"/>
            <w:vAlign w:val="bottom"/>
          </w:tcPr>
          <w:p>
            <w:pPr>
              <w:spacing w:after="0"/>
              <w:rPr>
                <w:sz w:val="1"/>
                <w:szCs w:val="1"/>
                <w:color w:val="auto"/>
              </w:rPr>
            </w:pPr>
          </w:p>
        </w:tc>
      </w:tr>
      <w:tr>
        <w:trPr>
          <w:trHeight w:val="204"/>
        </w:trPr>
        <w:tc>
          <w:tcPr>
            <w:tcW w:w="8120" w:type="dxa"/>
            <w:vAlign w:val="bottom"/>
          </w:tcPr>
          <w:p>
            <w:pPr>
              <w:ind w:left="280"/>
              <w:spacing w:after="0"/>
              <w:rPr>
                <w:sz w:val="20"/>
                <w:szCs w:val="20"/>
                <w:color w:val="auto"/>
              </w:rPr>
            </w:pPr>
            <w:r>
              <w:rPr>
                <w:rFonts w:ascii="Arial" w:cs="Arial" w:eastAsia="Arial" w:hAnsi="Arial"/>
                <w:sz w:val="14"/>
                <w:szCs w:val="14"/>
                <w:color w:val="auto"/>
              </w:rPr>
              <w:t>Other assets</w:t>
            </w:r>
          </w:p>
        </w:tc>
        <w:tc>
          <w:tcPr>
            <w:tcW w:w="360" w:type="dxa"/>
            <w:vAlign w:val="bottom"/>
          </w:tcPr>
          <w:p>
            <w:pPr>
              <w:spacing w:after="0"/>
              <w:rPr>
                <w:sz w:val="17"/>
                <w:szCs w:val="17"/>
                <w:color w:val="auto"/>
              </w:rPr>
            </w:pPr>
          </w:p>
        </w:tc>
        <w:tc>
          <w:tcPr>
            <w:tcW w:w="1260" w:type="dxa"/>
            <w:vAlign w:val="bottom"/>
            <w:vMerge w:val="restart"/>
          </w:tcPr>
          <w:p>
            <w:pPr>
              <w:jc w:val="right"/>
              <w:ind w:right="48"/>
              <w:spacing w:after="0"/>
              <w:rPr>
                <w:sz w:val="20"/>
                <w:szCs w:val="20"/>
                <w:color w:val="auto"/>
              </w:rPr>
            </w:pPr>
            <w:r>
              <w:rPr>
                <w:rFonts w:ascii="Arial" w:cs="Arial" w:eastAsia="Arial" w:hAnsi="Arial"/>
                <w:sz w:val="14"/>
                <w:szCs w:val="14"/>
                <w:color w:val="auto"/>
              </w:rPr>
              <w:t>1,237</w:t>
            </w:r>
          </w:p>
        </w:tc>
        <w:tc>
          <w:tcPr>
            <w:tcW w:w="10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1060" w:type="dxa"/>
            <w:vAlign w:val="bottom"/>
            <w:vMerge w:val="restart"/>
          </w:tcPr>
          <w:p>
            <w:pPr>
              <w:jc w:val="right"/>
              <w:ind w:right="28"/>
              <w:spacing w:after="0"/>
              <w:rPr>
                <w:sz w:val="20"/>
                <w:szCs w:val="20"/>
                <w:color w:val="auto"/>
              </w:rPr>
            </w:pPr>
            <w:r>
              <w:rPr>
                <w:rFonts w:ascii="Arial" w:cs="Arial" w:eastAsia="Arial" w:hAnsi="Arial"/>
                <w:sz w:val="14"/>
                <w:szCs w:val="14"/>
                <w:color w:val="auto"/>
              </w:rPr>
              <w:t>1,321</w:t>
            </w:r>
          </w:p>
        </w:tc>
        <w:tc>
          <w:tcPr>
            <w:tcW w:w="0" w:type="dxa"/>
            <w:vAlign w:val="bottom"/>
          </w:tcPr>
          <w:p>
            <w:pPr>
              <w:spacing w:after="0"/>
              <w:rPr>
                <w:sz w:val="1"/>
                <w:szCs w:val="1"/>
                <w:color w:val="auto"/>
              </w:rPr>
            </w:pPr>
          </w:p>
        </w:tc>
      </w:tr>
      <w:tr>
        <w:trPr>
          <w:trHeight w:val="60"/>
        </w:trPr>
        <w:tc>
          <w:tcPr>
            <w:tcW w:w="8120" w:type="dxa"/>
            <w:vAlign w:val="bottom"/>
            <w:tcBorders>
              <w:bottom w:val="single" w:sz="8" w:color="CCEEFF"/>
            </w:tcBorders>
          </w:tcPr>
          <w:p>
            <w:pPr>
              <w:spacing w:after="0"/>
              <w:rPr>
                <w:sz w:val="5"/>
                <w:szCs w:val="5"/>
                <w:color w:val="auto"/>
              </w:rPr>
            </w:pPr>
          </w:p>
        </w:tc>
        <w:tc>
          <w:tcPr>
            <w:tcW w:w="360" w:type="dxa"/>
            <w:vAlign w:val="bottom"/>
            <w:tcBorders>
              <w:bottom w:val="single" w:sz="8" w:color="auto"/>
            </w:tcBorders>
          </w:tcPr>
          <w:p>
            <w:pPr>
              <w:spacing w:after="0"/>
              <w:rPr>
                <w:sz w:val="5"/>
                <w:szCs w:val="5"/>
                <w:color w:val="auto"/>
              </w:rPr>
            </w:pPr>
          </w:p>
        </w:tc>
        <w:tc>
          <w:tcPr>
            <w:tcW w:w="1260" w:type="dxa"/>
            <w:vAlign w:val="bottom"/>
            <w:tcBorders>
              <w:bottom w:val="single" w:sz="8" w:color="auto"/>
            </w:tcBorders>
            <w:vMerge w:val="continue"/>
          </w:tcPr>
          <w:p>
            <w:pPr>
              <w:spacing w:after="0"/>
              <w:rPr>
                <w:sz w:val="5"/>
                <w:szCs w:val="5"/>
                <w:color w:val="auto"/>
              </w:rPr>
            </w:pPr>
          </w:p>
        </w:tc>
        <w:tc>
          <w:tcPr>
            <w:tcW w:w="100" w:type="dxa"/>
            <w:vAlign w:val="bottom"/>
            <w:tcBorders>
              <w:bottom w:val="single" w:sz="8" w:color="CCEEFF"/>
            </w:tcBorders>
          </w:tcPr>
          <w:p>
            <w:pPr>
              <w:spacing w:after="0"/>
              <w:rPr>
                <w:sz w:val="5"/>
                <w:szCs w:val="5"/>
                <w:color w:val="auto"/>
              </w:rPr>
            </w:pPr>
          </w:p>
        </w:tc>
        <w:tc>
          <w:tcPr>
            <w:tcW w:w="520" w:type="dxa"/>
            <w:vAlign w:val="bottom"/>
            <w:tcBorders>
              <w:bottom w:val="single" w:sz="8" w:color="auto"/>
            </w:tcBorders>
          </w:tcPr>
          <w:p>
            <w:pPr>
              <w:spacing w:after="0"/>
              <w:rPr>
                <w:sz w:val="5"/>
                <w:szCs w:val="5"/>
                <w:color w:val="auto"/>
              </w:rPr>
            </w:pPr>
          </w:p>
        </w:tc>
        <w:tc>
          <w:tcPr>
            <w:tcW w:w="1060" w:type="dxa"/>
            <w:vAlign w:val="bottom"/>
            <w:tcBorders>
              <w:bottom w:val="single" w:sz="8" w:color="auto"/>
            </w:tcBorders>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90"/>
        </w:trPr>
        <w:tc>
          <w:tcPr>
            <w:tcW w:w="8120" w:type="dxa"/>
            <w:vAlign w:val="bottom"/>
            <w:shd w:val="clear" w:color="auto" w:fill="CCEEFF"/>
          </w:tcPr>
          <w:p>
            <w:pPr>
              <w:ind w:left="500"/>
              <w:spacing w:after="0"/>
              <w:rPr>
                <w:sz w:val="20"/>
                <w:szCs w:val="20"/>
                <w:color w:val="auto"/>
              </w:rPr>
            </w:pPr>
            <w:r>
              <w:rPr>
                <w:rFonts w:ascii="Arial" w:cs="Arial" w:eastAsia="Arial" w:hAnsi="Arial"/>
                <w:sz w:val="14"/>
                <w:szCs w:val="14"/>
                <w:color w:val="auto"/>
              </w:rPr>
              <w:t>Total other assets</w:t>
            </w:r>
          </w:p>
        </w:tc>
        <w:tc>
          <w:tcPr>
            <w:tcW w:w="360" w:type="dxa"/>
            <w:vAlign w:val="bottom"/>
            <w:shd w:val="clear" w:color="auto" w:fill="CCEEFF"/>
          </w:tcPr>
          <w:p>
            <w:pPr>
              <w:spacing w:after="0"/>
              <w:rPr>
                <w:sz w:val="16"/>
                <w:szCs w:val="16"/>
                <w:color w:val="auto"/>
              </w:rPr>
            </w:pPr>
          </w:p>
        </w:tc>
        <w:tc>
          <w:tcPr>
            <w:tcW w:w="1260" w:type="dxa"/>
            <w:vAlign w:val="bottom"/>
            <w:vMerge w:val="restart"/>
            <w:shd w:val="clear" w:color="auto" w:fill="CCEEFF"/>
          </w:tcPr>
          <w:p>
            <w:pPr>
              <w:jc w:val="right"/>
              <w:ind w:right="48"/>
              <w:spacing w:after="0"/>
              <w:rPr>
                <w:sz w:val="20"/>
                <w:szCs w:val="20"/>
                <w:color w:val="auto"/>
              </w:rPr>
            </w:pPr>
            <w:r>
              <w:rPr>
                <w:rFonts w:ascii="Arial" w:cs="Arial" w:eastAsia="Arial" w:hAnsi="Arial"/>
                <w:sz w:val="14"/>
                <w:szCs w:val="14"/>
                <w:color w:val="auto"/>
              </w:rPr>
              <w:t>8,057</w:t>
            </w:r>
          </w:p>
        </w:tc>
        <w:tc>
          <w:tcPr>
            <w:tcW w:w="100" w:type="dxa"/>
            <w:vAlign w:val="bottom"/>
            <w:shd w:val="clear" w:color="auto" w:fill="CCEEFF"/>
          </w:tcPr>
          <w:p>
            <w:pPr>
              <w:spacing w:after="0"/>
              <w:rPr>
                <w:sz w:val="16"/>
                <w:szCs w:val="16"/>
                <w:color w:val="auto"/>
              </w:rPr>
            </w:pPr>
          </w:p>
        </w:tc>
        <w:tc>
          <w:tcPr>
            <w:tcW w:w="520" w:type="dxa"/>
            <w:vAlign w:val="bottom"/>
            <w:shd w:val="clear" w:color="auto" w:fill="CCEEFF"/>
          </w:tcPr>
          <w:p>
            <w:pPr>
              <w:spacing w:after="0"/>
              <w:rPr>
                <w:sz w:val="16"/>
                <w:szCs w:val="16"/>
                <w:color w:val="auto"/>
              </w:rPr>
            </w:pPr>
          </w:p>
        </w:tc>
        <w:tc>
          <w:tcPr>
            <w:tcW w:w="1060" w:type="dxa"/>
            <w:vAlign w:val="bottom"/>
            <w:vMerge w:val="restart"/>
            <w:shd w:val="clear" w:color="auto" w:fill="CCEEFF"/>
          </w:tcPr>
          <w:p>
            <w:pPr>
              <w:jc w:val="right"/>
              <w:ind w:right="28"/>
              <w:spacing w:after="0"/>
              <w:rPr>
                <w:sz w:val="20"/>
                <w:szCs w:val="20"/>
                <w:color w:val="auto"/>
              </w:rPr>
            </w:pPr>
            <w:r>
              <w:rPr>
                <w:rFonts w:ascii="Arial" w:cs="Arial" w:eastAsia="Arial" w:hAnsi="Arial"/>
                <w:sz w:val="14"/>
                <w:szCs w:val="14"/>
                <w:color w:val="auto"/>
              </w:rPr>
              <w:t>8,694</w:t>
            </w:r>
          </w:p>
        </w:tc>
        <w:tc>
          <w:tcPr>
            <w:tcW w:w="0" w:type="dxa"/>
            <w:vAlign w:val="bottom"/>
          </w:tcPr>
          <w:p>
            <w:pPr>
              <w:spacing w:after="0"/>
              <w:rPr>
                <w:sz w:val="1"/>
                <w:szCs w:val="1"/>
                <w:color w:val="auto"/>
              </w:rPr>
            </w:pPr>
          </w:p>
        </w:tc>
      </w:tr>
      <w:tr>
        <w:trPr>
          <w:trHeight w:val="66"/>
        </w:trPr>
        <w:tc>
          <w:tcPr>
            <w:tcW w:w="8120" w:type="dxa"/>
            <w:vAlign w:val="bottom"/>
            <w:shd w:val="clear" w:color="auto" w:fill="CCEEFF"/>
          </w:tcPr>
          <w:p>
            <w:pPr>
              <w:spacing w:after="0"/>
              <w:rPr>
                <w:sz w:val="5"/>
                <w:szCs w:val="5"/>
                <w:color w:val="auto"/>
              </w:rPr>
            </w:pPr>
          </w:p>
        </w:tc>
        <w:tc>
          <w:tcPr>
            <w:tcW w:w="360" w:type="dxa"/>
            <w:vAlign w:val="bottom"/>
            <w:tcBorders>
              <w:bottom w:val="single" w:sz="8" w:color="auto"/>
            </w:tcBorders>
            <w:shd w:val="clear" w:color="auto" w:fill="CCEEFF"/>
          </w:tcPr>
          <w:p>
            <w:pPr>
              <w:spacing w:after="0"/>
              <w:rPr>
                <w:sz w:val="5"/>
                <w:szCs w:val="5"/>
                <w:color w:val="auto"/>
              </w:rPr>
            </w:pPr>
          </w:p>
        </w:tc>
        <w:tc>
          <w:tcPr>
            <w:tcW w:w="1260" w:type="dxa"/>
            <w:vAlign w:val="bottom"/>
            <w:tcBorders>
              <w:bottom w:val="single" w:sz="8" w:color="auto"/>
            </w:tcBorders>
            <w:vMerge w:val="continue"/>
            <w:shd w:val="clear" w:color="auto" w:fill="CCEEFF"/>
          </w:tcPr>
          <w:p>
            <w:pPr>
              <w:spacing w:after="0"/>
              <w:rPr>
                <w:sz w:val="5"/>
                <w:szCs w:val="5"/>
                <w:color w:val="auto"/>
              </w:rPr>
            </w:pPr>
          </w:p>
        </w:tc>
        <w:tc>
          <w:tcPr>
            <w:tcW w:w="100" w:type="dxa"/>
            <w:vAlign w:val="bottom"/>
            <w:shd w:val="clear" w:color="auto" w:fill="CCEEFF"/>
          </w:tcPr>
          <w:p>
            <w:pPr>
              <w:spacing w:after="0"/>
              <w:rPr>
                <w:sz w:val="5"/>
                <w:szCs w:val="5"/>
                <w:color w:val="auto"/>
              </w:rPr>
            </w:pPr>
          </w:p>
        </w:tc>
        <w:tc>
          <w:tcPr>
            <w:tcW w:w="520" w:type="dxa"/>
            <w:vAlign w:val="bottom"/>
            <w:tcBorders>
              <w:bottom w:val="single" w:sz="8" w:color="auto"/>
            </w:tcBorders>
            <w:shd w:val="clear" w:color="auto" w:fill="CCEEFF"/>
          </w:tcPr>
          <w:p>
            <w:pPr>
              <w:spacing w:after="0"/>
              <w:rPr>
                <w:sz w:val="5"/>
                <w:szCs w:val="5"/>
                <w:color w:val="auto"/>
              </w:rPr>
            </w:pPr>
          </w:p>
        </w:tc>
        <w:tc>
          <w:tcPr>
            <w:tcW w:w="1060" w:type="dxa"/>
            <w:vAlign w:val="bottom"/>
            <w:tcBorders>
              <w:bottom w:val="single" w:sz="8" w:color="auto"/>
            </w:tcBorders>
            <w:vMerge w:val="continue"/>
            <w:shd w:val="clear" w:color="auto" w:fill="CCEEFF"/>
          </w:tcPr>
          <w:p>
            <w:pPr>
              <w:spacing w:after="0"/>
              <w:rPr>
                <w:sz w:val="5"/>
                <w:szCs w:val="5"/>
                <w:color w:val="auto"/>
              </w:rPr>
            </w:pPr>
          </w:p>
        </w:tc>
        <w:tc>
          <w:tcPr>
            <w:tcW w:w="0" w:type="dxa"/>
            <w:vAlign w:val="bottom"/>
          </w:tcPr>
          <w:p>
            <w:pPr>
              <w:spacing w:after="0"/>
              <w:rPr>
                <w:sz w:val="1"/>
                <w:szCs w:val="1"/>
                <w:color w:val="auto"/>
              </w:rPr>
            </w:pPr>
          </w:p>
        </w:tc>
      </w:tr>
      <w:tr>
        <w:trPr>
          <w:trHeight w:val="231"/>
        </w:trPr>
        <w:tc>
          <w:tcPr>
            <w:tcW w:w="8120" w:type="dxa"/>
            <w:vAlign w:val="bottom"/>
          </w:tcPr>
          <w:p>
            <w:pPr>
              <w:ind w:left="720"/>
              <w:spacing w:after="0"/>
              <w:rPr>
                <w:sz w:val="20"/>
                <w:szCs w:val="20"/>
                <w:color w:val="auto"/>
              </w:rPr>
            </w:pPr>
            <w:r>
              <w:rPr>
                <w:rFonts w:ascii="Arial" w:cs="Arial" w:eastAsia="Arial" w:hAnsi="Arial"/>
                <w:sz w:val="14"/>
                <w:szCs w:val="14"/>
                <w:b w:val="1"/>
                <w:bCs w:val="1"/>
                <w:color w:val="auto"/>
              </w:rPr>
              <w:t>Total assets</w:t>
            </w:r>
          </w:p>
        </w:tc>
        <w:tc>
          <w:tcPr>
            <w:tcW w:w="360" w:type="dxa"/>
            <w:vAlign w:val="bottom"/>
            <w:tcBorders>
              <w:bottom w:val="single" w:sz="8" w:color="auto"/>
            </w:tcBorders>
          </w:tcPr>
          <w:p>
            <w:pPr>
              <w:jc w:val="right"/>
              <w:ind w:right="188"/>
              <w:spacing w:after="0"/>
              <w:rPr>
                <w:sz w:val="20"/>
                <w:szCs w:val="20"/>
                <w:color w:val="auto"/>
              </w:rPr>
            </w:pPr>
            <w:r>
              <w:rPr>
                <w:rFonts w:ascii="Arial" w:cs="Arial" w:eastAsia="Arial" w:hAnsi="Arial"/>
                <w:sz w:val="14"/>
                <w:szCs w:val="14"/>
                <w:color w:val="auto"/>
              </w:rPr>
              <w:t>$</w:t>
            </w:r>
          </w:p>
        </w:tc>
        <w:tc>
          <w:tcPr>
            <w:tcW w:w="126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59,995</w:t>
            </w:r>
          </w:p>
        </w:tc>
        <w:tc>
          <w:tcPr>
            <w:tcW w:w="100" w:type="dxa"/>
            <w:vAlign w:val="bottom"/>
          </w:tcPr>
          <w:p>
            <w:pPr>
              <w:spacing w:after="0"/>
              <w:rPr>
                <w:sz w:val="20"/>
                <w:szCs w:val="20"/>
                <w:color w:val="auto"/>
              </w:rPr>
            </w:pPr>
          </w:p>
        </w:tc>
        <w:tc>
          <w:tcPr>
            <w:tcW w:w="520" w:type="dxa"/>
            <w:vAlign w:val="bottom"/>
            <w:tcBorders>
              <w:bottom w:val="single" w:sz="8" w:color="auto"/>
            </w:tcBorders>
          </w:tcPr>
          <w:p>
            <w:pPr>
              <w:jc w:val="right"/>
              <w:ind w:right="348"/>
              <w:spacing w:after="0"/>
              <w:rPr>
                <w:sz w:val="20"/>
                <w:szCs w:val="20"/>
                <w:color w:val="auto"/>
              </w:rPr>
            </w:pPr>
            <w:r>
              <w:rPr>
                <w:rFonts w:ascii="Arial" w:cs="Arial" w:eastAsia="Arial" w:hAnsi="Arial"/>
                <w:sz w:val="14"/>
                <w:szCs w:val="14"/>
                <w:color w:val="auto"/>
              </w:rPr>
              <w:t>$</w:t>
            </w:r>
          </w:p>
        </w:tc>
        <w:tc>
          <w:tcPr>
            <w:tcW w:w="106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60,580</w:t>
            </w:r>
          </w:p>
        </w:tc>
        <w:tc>
          <w:tcPr>
            <w:tcW w:w="0" w:type="dxa"/>
            <w:vAlign w:val="bottom"/>
          </w:tcPr>
          <w:p>
            <w:pPr>
              <w:spacing w:after="0"/>
              <w:rPr>
                <w:sz w:val="1"/>
                <w:szCs w:val="1"/>
                <w:color w:val="auto"/>
              </w:rPr>
            </w:pPr>
          </w:p>
        </w:tc>
      </w:tr>
      <w:tr>
        <w:trPr>
          <w:trHeight w:val="20"/>
        </w:trPr>
        <w:tc>
          <w:tcPr>
            <w:tcW w:w="812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08"/>
        </w:trPr>
        <w:tc>
          <w:tcPr>
            <w:tcW w:w="8120" w:type="dxa"/>
            <w:vAlign w:val="bottom"/>
          </w:tcPr>
          <w:p>
            <w:pPr>
              <w:spacing w:after="0"/>
              <w:rPr>
                <w:sz w:val="9"/>
                <w:szCs w:val="9"/>
                <w:color w:val="auto"/>
              </w:rPr>
            </w:pPr>
          </w:p>
        </w:tc>
        <w:tc>
          <w:tcPr>
            <w:tcW w:w="360" w:type="dxa"/>
            <w:vAlign w:val="bottom"/>
          </w:tcPr>
          <w:p>
            <w:pPr>
              <w:spacing w:after="0"/>
              <w:rPr>
                <w:sz w:val="9"/>
                <w:szCs w:val="9"/>
                <w:color w:val="auto"/>
              </w:rPr>
            </w:pPr>
          </w:p>
        </w:tc>
        <w:tc>
          <w:tcPr>
            <w:tcW w:w="1260" w:type="dxa"/>
            <w:vAlign w:val="bottom"/>
          </w:tcPr>
          <w:p>
            <w:pPr>
              <w:spacing w:after="0"/>
              <w:rPr>
                <w:sz w:val="9"/>
                <w:szCs w:val="9"/>
                <w:color w:val="auto"/>
              </w:rPr>
            </w:pPr>
          </w:p>
        </w:tc>
        <w:tc>
          <w:tcPr>
            <w:tcW w:w="100" w:type="dxa"/>
            <w:vAlign w:val="bottom"/>
          </w:tcPr>
          <w:p>
            <w:pPr>
              <w:spacing w:after="0"/>
              <w:rPr>
                <w:sz w:val="9"/>
                <w:szCs w:val="9"/>
                <w:color w:val="auto"/>
              </w:rPr>
            </w:pPr>
          </w:p>
        </w:tc>
        <w:tc>
          <w:tcPr>
            <w:tcW w:w="520" w:type="dxa"/>
            <w:vAlign w:val="bottom"/>
          </w:tcPr>
          <w:p>
            <w:pPr>
              <w:spacing w:after="0"/>
              <w:rPr>
                <w:sz w:val="9"/>
                <w:szCs w:val="9"/>
                <w:color w:val="auto"/>
              </w:rPr>
            </w:pPr>
          </w:p>
        </w:tc>
        <w:tc>
          <w:tcPr>
            <w:tcW w:w="10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04"/>
        </w:trPr>
        <w:tc>
          <w:tcPr>
            <w:tcW w:w="8120" w:type="dxa"/>
            <w:vAlign w:val="bottom"/>
            <w:shd w:val="clear" w:color="auto" w:fill="CCEEFF"/>
          </w:tcPr>
          <w:p>
            <w:pPr>
              <w:ind w:left="40"/>
              <w:spacing w:after="0"/>
              <w:rPr>
                <w:sz w:val="20"/>
                <w:szCs w:val="20"/>
                <w:color w:val="auto"/>
              </w:rPr>
            </w:pPr>
            <w:r>
              <w:rPr>
                <w:rFonts w:ascii="Arial" w:cs="Arial" w:eastAsia="Arial" w:hAnsi="Arial"/>
                <w:sz w:val="14"/>
                <w:szCs w:val="14"/>
                <w:b w:val="1"/>
                <w:bCs w:val="1"/>
                <w:color w:val="auto"/>
              </w:rPr>
              <w:t>LIABILITIES AND STOCKHOLDERS’ EQUITY (DEFICIT)</w:t>
            </w:r>
          </w:p>
        </w:tc>
        <w:tc>
          <w:tcPr>
            <w:tcW w:w="360" w:type="dxa"/>
            <w:vAlign w:val="bottom"/>
            <w:shd w:val="clear" w:color="auto" w:fill="CCEEFF"/>
          </w:tcPr>
          <w:p>
            <w:pPr>
              <w:spacing w:after="0"/>
              <w:rPr>
                <w:sz w:val="17"/>
                <w:szCs w:val="17"/>
                <w:color w:val="auto"/>
              </w:rPr>
            </w:pPr>
          </w:p>
        </w:tc>
        <w:tc>
          <w:tcPr>
            <w:tcW w:w="12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520" w:type="dxa"/>
            <w:vAlign w:val="bottom"/>
            <w:shd w:val="clear" w:color="auto" w:fill="CCEEFF"/>
          </w:tcPr>
          <w:p>
            <w:pPr>
              <w:spacing w:after="0"/>
              <w:rPr>
                <w:sz w:val="17"/>
                <w:szCs w:val="17"/>
                <w:color w:val="auto"/>
              </w:rPr>
            </w:pPr>
          </w:p>
        </w:tc>
        <w:tc>
          <w:tcPr>
            <w:tcW w:w="10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66"/>
        </w:trPr>
        <w:tc>
          <w:tcPr>
            <w:tcW w:w="8120" w:type="dxa"/>
            <w:vAlign w:val="bottom"/>
            <w:shd w:val="clear" w:color="auto" w:fill="CCEEFF"/>
          </w:tcPr>
          <w:p>
            <w:pPr>
              <w:spacing w:after="0"/>
              <w:rPr>
                <w:sz w:val="5"/>
                <w:szCs w:val="5"/>
                <w:color w:val="auto"/>
              </w:rPr>
            </w:pPr>
          </w:p>
        </w:tc>
        <w:tc>
          <w:tcPr>
            <w:tcW w:w="360" w:type="dxa"/>
            <w:vAlign w:val="bottom"/>
            <w:shd w:val="clear" w:color="auto" w:fill="CCEEFF"/>
          </w:tcPr>
          <w:p>
            <w:pPr>
              <w:spacing w:after="0"/>
              <w:rPr>
                <w:sz w:val="5"/>
                <w:szCs w:val="5"/>
                <w:color w:val="auto"/>
              </w:rPr>
            </w:pPr>
          </w:p>
        </w:tc>
        <w:tc>
          <w:tcPr>
            <w:tcW w:w="1260" w:type="dxa"/>
            <w:vAlign w:val="bottom"/>
            <w:shd w:val="clear" w:color="auto" w:fill="CCEEFF"/>
          </w:tcPr>
          <w:p>
            <w:pPr>
              <w:spacing w:after="0"/>
              <w:rPr>
                <w:sz w:val="5"/>
                <w:szCs w:val="5"/>
                <w:color w:val="auto"/>
              </w:rPr>
            </w:pPr>
          </w:p>
        </w:tc>
        <w:tc>
          <w:tcPr>
            <w:tcW w:w="100" w:type="dxa"/>
            <w:vAlign w:val="bottom"/>
            <w:shd w:val="clear" w:color="auto" w:fill="CCEEFF"/>
          </w:tcPr>
          <w:p>
            <w:pPr>
              <w:spacing w:after="0"/>
              <w:rPr>
                <w:sz w:val="5"/>
                <w:szCs w:val="5"/>
                <w:color w:val="auto"/>
              </w:rPr>
            </w:pPr>
          </w:p>
        </w:tc>
        <w:tc>
          <w:tcPr>
            <w:tcW w:w="520" w:type="dxa"/>
            <w:vAlign w:val="bottom"/>
            <w:shd w:val="clear" w:color="auto" w:fill="CCEEFF"/>
          </w:tcPr>
          <w:p>
            <w:pPr>
              <w:spacing w:after="0"/>
              <w:rPr>
                <w:sz w:val="5"/>
                <w:szCs w:val="5"/>
                <w:color w:val="auto"/>
              </w:rPr>
            </w:pPr>
          </w:p>
        </w:tc>
        <w:tc>
          <w:tcPr>
            <w:tcW w:w="1060" w:type="dxa"/>
            <w:vAlign w:val="bottom"/>
            <w:shd w:val="clear" w:color="auto" w:fill="CCEEFF"/>
          </w:tcPr>
          <w:p>
            <w:pPr>
              <w:spacing w:after="0"/>
              <w:rPr>
                <w:sz w:val="5"/>
                <w:szCs w:val="5"/>
                <w:color w:val="auto"/>
              </w:rPr>
            </w:pPr>
          </w:p>
        </w:tc>
        <w:tc>
          <w:tcPr>
            <w:tcW w:w="0" w:type="dxa"/>
            <w:vAlign w:val="bottom"/>
          </w:tcPr>
          <w:p>
            <w:pPr>
              <w:spacing w:after="0"/>
              <w:rPr>
                <w:sz w:val="1"/>
                <w:szCs w:val="1"/>
                <w:color w:val="auto"/>
              </w:rPr>
            </w:pPr>
          </w:p>
        </w:tc>
      </w:tr>
      <w:tr>
        <w:trPr>
          <w:trHeight w:val="204"/>
        </w:trPr>
        <w:tc>
          <w:tcPr>
            <w:tcW w:w="8120" w:type="dxa"/>
            <w:vAlign w:val="bottom"/>
          </w:tcPr>
          <w:p>
            <w:pPr>
              <w:ind w:left="40"/>
              <w:spacing w:after="0"/>
              <w:rPr>
                <w:sz w:val="20"/>
                <w:szCs w:val="20"/>
                <w:color w:val="auto"/>
              </w:rPr>
            </w:pPr>
            <w:r>
              <w:rPr>
                <w:rFonts w:ascii="Arial" w:cs="Arial" w:eastAsia="Arial" w:hAnsi="Arial"/>
                <w:sz w:val="14"/>
                <w:szCs w:val="14"/>
                <w:b w:val="1"/>
                <w:bCs w:val="1"/>
                <w:color w:val="auto"/>
              </w:rPr>
              <w:t>Current liabilities</w:t>
            </w:r>
          </w:p>
        </w:tc>
        <w:tc>
          <w:tcPr>
            <w:tcW w:w="36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66"/>
        </w:trPr>
        <w:tc>
          <w:tcPr>
            <w:tcW w:w="8120" w:type="dxa"/>
            <w:vAlign w:val="bottom"/>
          </w:tcPr>
          <w:p>
            <w:pPr>
              <w:spacing w:after="0"/>
              <w:rPr>
                <w:sz w:val="5"/>
                <w:szCs w:val="5"/>
                <w:color w:val="auto"/>
              </w:rPr>
            </w:pPr>
          </w:p>
        </w:tc>
        <w:tc>
          <w:tcPr>
            <w:tcW w:w="360" w:type="dxa"/>
            <w:vAlign w:val="bottom"/>
          </w:tcPr>
          <w:p>
            <w:pPr>
              <w:spacing w:after="0"/>
              <w:rPr>
                <w:sz w:val="5"/>
                <w:szCs w:val="5"/>
                <w:color w:val="auto"/>
              </w:rPr>
            </w:pPr>
          </w:p>
        </w:tc>
        <w:tc>
          <w:tcPr>
            <w:tcW w:w="1260" w:type="dxa"/>
            <w:vAlign w:val="bottom"/>
          </w:tcPr>
          <w:p>
            <w:pPr>
              <w:spacing w:after="0"/>
              <w:rPr>
                <w:sz w:val="5"/>
                <w:szCs w:val="5"/>
                <w:color w:val="auto"/>
              </w:rPr>
            </w:pPr>
          </w:p>
        </w:tc>
        <w:tc>
          <w:tcPr>
            <w:tcW w:w="100" w:type="dxa"/>
            <w:vAlign w:val="bottom"/>
          </w:tcPr>
          <w:p>
            <w:pPr>
              <w:spacing w:after="0"/>
              <w:rPr>
                <w:sz w:val="5"/>
                <w:szCs w:val="5"/>
                <w:color w:val="auto"/>
              </w:rPr>
            </w:pPr>
          </w:p>
        </w:tc>
        <w:tc>
          <w:tcPr>
            <w:tcW w:w="520" w:type="dxa"/>
            <w:vAlign w:val="bottom"/>
          </w:tcPr>
          <w:p>
            <w:pPr>
              <w:spacing w:after="0"/>
              <w:rPr>
                <w:sz w:val="5"/>
                <w:szCs w:val="5"/>
                <w:color w:val="auto"/>
              </w:rPr>
            </w:pPr>
          </w:p>
        </w:tc>
        <w:tc>
          <w:tcPr>
            <w:tcW w:w="106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04"/>
        </w:trPr>
        <w:tc>
          <w:tcPr>
            <w:tcW w:w="8120" w:type="dxa"/>
            <w:vAlign w:val="bottom"/>
            <w:shd w:val="clear" w:color="auto" w:fill="CCEEFF"/>
          </w:tcPr>
          <w:p>
            <w:pPr>
              <w:ind w:left="280"/>
              <w:spacing w:after="0"/>
              <w:rPr>
                <w:sz w:val="20"/>
                <w:szCs w:val="20"/>
                <w:color w:val="auto"/>
              </w:rPr>
            </w:pPr>
            <w:r>
              <w:rPr>
                <w:rFonts w:ascii="Arial" w:cs="Arial" w:eastAsia="Arial" w:hAnsi="Arial"/>
                <w:sz w:val="14"/>
                <w:szCs w:val="14"/>
                <w:color w:val="auto"/>
              </w:rPr>
              <w:t>Current maturities of long-term debt and finance leases</w:t>
            </w:r>
          </w:p>
        </w:tc>
        <w:tc>
          <w:tcPr>
            <w:tcW w:w="360" w:type="dxa"/>
            <w:vAlign w:val="bottom"/>
            <w:vMerge w:val="restart"/>
            <w:shd w:val="clear" w:color="auto" w:fill="CCEEFF"/>
          </w:tcPr>
          <w:p>
            <w:pPr>
              <w:jc w:val="right"/>
              <w:ind w:right="188"/>
              <w:spacing w:after="0"/>
              <w:rPr>
                <w:sz w:val="20"/>
                <w:szCs w:val="20"/>
                <w:color w:val="auto"/>
              </w:rPr>
            </w:pPr>
            <w:r>
              <w:rPr>
                <w:rFonts w:ascii="Arial" w:cs="Arial" w:eastAsia="Arial" w:hAnsi="Arial"/>
                <w:sz w:val="14"/>
                <w:szCs w:val="14"/>
                <w:color w:val="auto"/>
              </w:rPr>
              <w:t>$</w:t>
            </w:r>
          </w:p>
        </w:tc>
        <w:tc>
          <w:tcPr>
            <w:tcW w:w="1260" w:type="dxa"/>
            <w:vAlign w:val="bottom"/>
            <w:vMerge w:val="restart"/>
            <w:shd w:val="clear" w:color="auto" w:fill="CCEEFF"/>
          </w:tcPr>
          <w:p>
            <w:pPr>
              <w:jc w:val="right"/>
              <w:ind w:right="48"/>
              <w:spacing w:after="0"/>
              <w:rPr>
                <w:sz w:val="20"/>
                <w:szCs w:val="20"/>
                <w:color w:val="auto"/>
              </w:rPr>
            </w:pPr>
            <w:r>
              <w:rPr>
                <w:rFonts w:ascii="Arial" w:cs="Arial" w:eastAsia="Arial" w:hAnsi="Arial"/>
                <w:sz w:val="14"/>
                <w:szCs w:val="14"/>
                <w:color w:val="auto"/>
              </w:rPr>
              <w:t>2,861</w:t>
            </w:r>
          </w:p>
        </w:tc>
        <w:tc>
          <w:tcPr>
            <w:tcW w:w="100" w:type="dxa"/>
            <w:vAlign w:val="bottom"/>
            <w:shd w:val="clear" w:color="auto" w:fill="CCEEFF"/>
          </w:tcPr>
          <w:p>
            <w:pPr>
              <w:spacing w:after="0"/>
              <w:rPr>
                <w:sz w:val="17"/>
                <w:szCs w:val="17"/>
                <w:color w:val="auto"/>
              </w:rPr>
            </w:pPr>
          </w:p>
        </w:tc>
        <w:tc>
          <w:tcPr>
            <w:tcW w:w="520" w:type="dxa"/>
            <w:vAlign w:val="bottom"/>
            <w:vMerge w:val="restart"/>
            <w:shd w:val="clear" w:color="auto" w:fill="CCEEFF"/>
          </w:tcPr>
          <w:p>
            <w:pPr>
              <w:jc w:val="right"/>
              <w:ind w:right="348"/>
              <w:spacing w:after="0"/>
              <w:rPr>
                <w:sz w:val="20"/>
                <w:szCs w:val="20"/>
                <w:color w:val="auto"/>
              </w:rPr>
            </w:pPr>
            <w:r>
              <w:rPr>
                <w:rFonts w:ascii="Arial" w:cs="Arial" w:eastAsia="Arial" w:hAnsi="Arial"/>
                <w:sz w:val="14"/>
                <w:szCs w:val="14"/>
                <w:color w:val="auto"/>
              </w:rPr>
              <w:t>$</w:t>
            </w:r>
          </w:p>
        </w:tc>
        <w:tc>
          <w:tcPr>
            <w:tcW w:w="1060" w:type="dxa"/>
            <w:vAlign w:val="bottom"/>
            <w:vMerge w:val="restart"/>
            <w:shd w:val="clear" w:color="auto" w:fill="CCEEFF"/>
          </w:tcPr>
          <w:p>
            <w:pPr>
              <w:jc w:val="right"/>
              <w:ind w:right="28"/>
              <w:spacing w:after="0"/>
              <w:rPr>
                <w:sz w:val="20"/>
                <w:szCs w:val="20"/>
                <w:color w:val="auto"/>
              </w:rPr>
            </w:pPr>
            <w:r>
              <w:rPr>
                <w:rFonts w:ascii="Arial" w:cs="Arial" w:eastAsia="Arial" w:hAnsi="Arial"/>
                <w:sz w:val="14"/>
                <w:szCs w:val="14"/>
                <w:color w:val="auto"/>
              </w:rPr>
              <w:t>3,294</w:t>
            </w:r>
          </w:p>
        </w:tc>
        <w:tc>
          <w:tcPr>
            <w:tcW w:w="0" w:type="dxa"/>
            <w:vAlign w:val="bottom"/>
          </w:tcPr>
          <w:p>
            <w:pPr>
              <w:spacing w:after="0"/>
              <w:rPr>
                <w:sz w:val="1"/>
                <w:szCs w:val="1"/>
                <w:color w:val="auto"/>
              </w:rPr>
            </w:pPr>
          </w:p>
        </w:tc>
      </w:tr>
      <w:tr>
        <w:trPr>
          <w:trHeight w:val="66"/>
        </w:trPr>
        <w:tc>
          <w:tcPr>
            <w:tcW w:w="8120" w:type="dxa"/>
            <w:vAlign w:val="bottom"/>
            <w:shd w:val="clear" w:color="auto" w:fill="CCEEFF"/>
          </w:tcPr>
          <w:p>
            <w:pPr>
              <w:spacing w:after="0"/>
              <w:rPr>
                <w:sz w:val="5"/>
                <w:szCs w:val="5"/>
                <w:color w:val="auto"/>
              </w:rPr>
            </w:pPr>
          </w:p>
        </w:tc>
        <w:tc>
          <w:tcPr>
            <w:tcW w:w="360" w:type="dxa"/>
            <w:vAlign w:val="bottom"/>
            <w:vMerge w:val="continue"/>
            <w:shd w:val="clear" w:color="auto" w:fill="CCEEFF"/>
          </w:tcPr>
          <w:p>
            <w:pPr>
              <w:spacing w:after="0"/>
              <w:rPr>
                <w:sz w:val="5"/>
                <w:szCs w:val="5"/>
                <w:color w:val="auto"/>
              </w:rPr>
            </w:pPr>
          </w:p>
        </w:tc>
        <w:tc>
          <w:tcPr>
            <w:tcW w:w="1260" w:type="dxa"/>
            <w:vAlign w:val="bottom"/>
            <w:vMerge w:val="continue"/>
            <w:shd w:val="clear" w:color="auto" w:fill="CCEEFF"/>
          </w:tcPr>
          <w:p>
            <w:pPr>
              <w:spacing w:after="0"/>
              <w:rPr>
                <w:sz w:val="5"/>
                <w:szCs w:val="5"/>
                <w:color w:val="auto"/>
              </w:rPr>
            </w:pPr>
          </w:p>
        </w:tc>
        <w:tc>
          <w:tcPr>
            <w:tcW w:w="100" w:type="dxa"/>
            <w:vAlign w:val="bottom"/>
            <w:shd w:val="clear" w:color="auto" w:fill="CCEEFF"/>
          </w:tcPr>
          <w:p>
            <w:pPr>
              <w:spacing w:after="0"/>
              <w:rPr>
                <w:sz w:val="5"/>
                <w:szCs w:val="5"/>
                <w:color w:val="auto"/>
              </w:rPr>
            </w:pPr>
          </w:p>
        </w:tc>
        <w:tc>
          <w:tcPr>
            <w:tcW w:w="520" w:type="dxa"/>
            <w:vAlign w:val="bottom"/>
            <w:vMerge w:val="continue"/>
            <w:shd w:val="clear" w:color="auto" w:fill="CCEEFF"/>
          </w:tcPr>
          <w:p>
            <w:pPr>
              <w:spacing w:after="0"/>
              <w:rPr>
                <w:sz w:val="5"/>
                <w:szCs w:val="5"/>
                <w:color w:val="auto"/>
              </w:rPr>
            </w:pPr>
          </w:p>
        </w:tc>
        <w:tc>
          <w:tcPr>
            <w:tcW w:w="1060" w:type="dxa"/>
            <w:vAlign w:val="bottom"/>
            <w:vMerge w:val="continue"/>
            <w:shd w:val="clear" w:color="auto" w:fill="CCEEFF"/>
          </w:tcPr>
          <w:p>
            <w:pPr>
              <w:spacing w:after="0"/>
              <w:rPr>
                <w:sz w:val="5"/>
                <w:szCs w:val="5"/>
                <w:color w:val="auto"/>
              </w:rPr>
            </w:pPr>
          </w:p>
        </w:tc>
        <w:tc>
          <w:tcPr>
            <w:tcW w:w="0" w:type="dxa"/>
            <w:vAlign w:val="bottom"/>
          </w:tcPr>
          <w:p>
            <w:pPr>
              <w:spacing w:after="0"/>
              <w:rPr>
                <w:sz w:val="1"/>
                <w:szCs w:val="1"/>
                <w:color w:val="auto"/>
              </w:rPr>
            </w:pPr>
          </w:p>
        </w:tc>
      </w:tr>
      <w:tr>
        <w:trPr>
          <w:trHeight w:val="204"/>
        </w:trPr>
        <w:tc>
          <w:tcPr>
            <w:tcW w:w="8120" w:type="dxa"/>
            <w:vAlign w:val="bottom"/>
          </w:tcPr>
          <w:p>
            <w:pPr>
              <w:ind w:left="280"/>
              <w:spacing w:after="0"/>
              <w:rPr>
                <w:sz w:val="20"/>
                <w:szCs w:val="20"/>
                <w:color w:val="auto"/>
              </w:rPr>
            </w:pPr>
            <w:r>
              <w:rPr>
                <w:rFonts w:ascii="Arial" w:cs="Arial" w:eastAsia="Arial" w:hAnsi="Arial"/>
                <w:sz w:val="14"/>
                <w:szCs w:val="14"/>
                <w:color w:val="auto"/>
              </w:rPr>
              <w:t>Accounts payable</w:t>
            </w:r>
          </w:p>
        </w:tc>
        <w:tc>
          <w:tcPr>
            <w:tcW w:w="360" w:type="dxa"/>
            <w:vAlign w:val="bottom"/>
          </w:tcPr>
          <w:p>
            <w:pPr>
              <w:spacing w:after="0"/>
              <w:rPr>
                <w:sz w:val="17"/>
                <w:szCs w:val="17"/>
                <w:color w:val="auto"/>
              </w:rPr>
            </w:pPr>
          </w:p>
        </w:tc>
        <w:tc>
          <w:tcPr>
            <w:tcW w:w="1260" w:type="dxa"/>
            <w:vAlign w:val="bottom"/>
            <w:vMerge w:val="restart"/>
          </w:tcPr>
          <w:p>
            <w:pPr>
              <w:jc w:val="right"/>
              <w:ind w:right="48"/>
              <w:spacing w:after="0"/>
              <w:rPr>
                <w:sz w:val="20"/>
                <w:szCs w:val="20"/>
                <w:color w:val="auto"/>
              </w:rPr>
            </w:pPr>
            <w:r>
              <w:rPr>
                <w:rFonts w:ascii="Arial" w:cs="Arial" w:eastAsia="Arial" w:hAnsi="Arial"/>
                <w:sz w:val="14"/>
                <w:szCs w:val="14"/>
                <w:color w:val="auto"/>
              </w:rPr>
              <w:t>2,062</w:t>
            </w:r>
          </w:p>
        </w:tc>
        <w:tc>
          <w:tcPr>
            <w:tcW w:w="10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1060" w:type="dxa"/>
            <w:vAlign w:val="bottom"/>
            <w:vMerge w:val="restart"/>
          </w:tcPr>
          <w:p>
            <w:pPr>
              <w:jc w:val="right"/>
              <w:ind w:right="28"/>
              <w:spacing w:after="0"/>
              <w:rPr>
                <w:sz w:val="20"/>
                <w:szCs w:val="20"/>
                <w:color w:val="auto"/>
              </w:rPr>
            </w:pPr>
            <w:r>
              <w:rPr>
                <w:rFonts w:ascii="Arial" w:cs="Arial" w:eastAsia="Arial" w:hAnsi="Arial"/>
                <w:sz w:val="14"/>
                <w:szCs w:val="14"/>
                <w:color w:val="auto"/>
              </w:rPr>
              <w:t>1,773</w:t>
            </w:r>
          </w:p>
        </w:tc>
        <w:tc>
          <w:tcPr>
            <w:tcW w:w="0" w:type="dxa"/>
            <w:vAlign w:val="bottom"/>
          </w:tcPr>
          <w:p>
            <w:pPr>
              <w:spacing w:after="0"/>
              <w:rPr>
                <w:sz w:val="1"/>
                <w:szCs w:val="1"/>
                <w:color w:val="auto"/>
              </w:rPr>
            </w:pPr>
          </w:p>
        </w:tc>
      </w:tr>
      <w:tr>
        <w:trPr>
          <w:trHeight w:val="60"/>
        </w:trPr>
        <w:tc>
          <w:tcPr>
            <w:tcW w:w="8120" w:type="dxa"/>
            <w:vAlign w:val="bottom"/>
          </w:tcPr>
          <w:p>
            <w:pPr>
              <w:spacing w:after="0"/>
              <w:rPr>
                <w:sz w:val="5"/>
                <w:szCs w:val="5"/>
                <w:color w:val="auto"/>
              </w:rPr>
            </w:pPr>
          </w:p>
        </w:tc>
        <w:tc>
          <w:tcPr>
            <w:tcW w:w="360" w:type="dxa"/>
            <w:vAlign w:val="bottom"/>
          </w:tcPr>
          <w:p>
            <w:pPr>
              <w:spacing w:after="0"/>
              <w:rPr>
                <w:sz w:val="5"/>
                <w:szCs w:val="5"/>
                <w:color w:val="auto"/>
              </w:rPr>
            </w:pPr>
          </w:p>
        </w:tc>
        <w:tc>
          <w:tcPr>
            <w:tcW w:w="1260" w:type="dxa"/>
            <w:vAlign w:val="bottom"/>
            <w:vMerge w:val="continue"/>
          </w:tcPr>
          <w:p>
            <w:pPr>
              <w:spacing w:after="0"/>
              <w:rPr>
                <w:sz w:val="5"/>
                <w:szCs w:val="5"/>
                <w:color w:val="auto"/>
              </w:rPr>
            </w:pPr>
          </w:p>
        </w:tc>
        <w:tc>
          <w:tcPr>
            <w:tcW w:w="100" w:type="dxa"/>
            <w:vAlign w:val="bottom"/>
          </w:tcPr>
          <w:p>
            <w:pPr>
              <w:spacing w:after="0"/>
              <w:rPr>
                <w:sz w:val="5"/>
                <w:szCs w:val="5"/>
                <w:color w:val="auto"/>
              </w:rPr>
            </w:pPr>
          </w:p>
        </w:tc>
        <w:tc>
          <w:tcPr>
            <w:tcW w:w="520" w:type="dxa"/>
            <w:vAlign w:val="bottom"/>
          </w:tcPr>
          <w:p>
            <w:pPr>
              <w:spacing w:after="0"/>
              <w:rPr>
                <w:sz w:val="5"/>
                <w:szCs w:val="5"/>
                <w:color w:val="auto"/>
              </w:rPr>
            </w:pPr>
          </w:p>
        </w:tc>
        <w:tc>
          <w:tcPr>
            <w:tcW w:w="106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r>
        <w:trPr>
          <w:trHeight w:val="210"/>
        </w:trPr>
        <w:tc>
          <w:tcPr>
            <w:tcW w:w="8120" w:type="dxa"/>
            <w:vAlign w:val="bottom"/>
            <w:shd w:val="clear" w:color="auto" w:fill="CCEEFF"/>
          </w:tcPr>
          <w:p>
            <w:pPr>
              <w:ind w:left="280"/>
              <w:spacing w:after="0"/>
              <w:rPr>
                <w:sz w:val="20"/>
                <w:szCs w:val="20"/>
                <w:color w:val="auto"/>
              </w:rPr>
            </w:pPr>
            <w:r>
              <w:rPr>
                <w:rFonts w:ascii="Arial" w:cs="Arial" w:eastAsia="Arial" w:hAnsi="Arial"/>
                <w:sz w:val="14"/>
                <w:szCs w:val="14"/>
                <w:color w:val="auto"/>
              </w:rPr>
              <w:t>Accrued salaries and wages</w:t>
            </w:r>
          </w:p>
        </w:tc>
        <w:tc>
          <w:tcPr>
            <w:tcW w:w="360" w:type="dxa"/>
            <w:vAlign w:val="bottom"/>
            <w:shd w:val="clear" w:color="auto" w:fill="CCEEFF"/>
          </w:tcPr>
          <w:p>
            <w:pPr>
              <w:spacing w:after="0"/>
              <w:rPr>
                <w:sz w:val="18"/>
                <w:szCs w:val="18"/>
                <w:color w:val="auto"/>
              </w:rPr>
            </w:pPr>
          </w:p>
        </w:tc>
        <w:tc>
          <w:tcPr>
            <w:tcW w:w="1260" w:type="dxa"/>
            <w:vAlign w:val="bottom"/>
            <w:vMerge w:val="restart"/>
            <w:shd w:val="clear" w:color="auto" w:fill="CCEEFF"/>
          </w:tcPr>
          <w:p>
            <w:pPr>
              <w:jc w:val="right"/>
              <w:ind w:right="48"/>
              <w:spacing w:after="0"/>
              <w:rPr>
                <w:sz w:val="20"/>
                <w:szCs w:val="20"/>
                <w:color w:val="auto"/>
              </w:rPr>
            </w:pPr>
            <w:r>
              <w:rPr>
                <w:rFonts w:ascii="Arial" w:cs="Arial" w:eastAsia="Arial" w:hAnsi="Arial"/>
                <w:sz w:val="14"/>
                <w:szCs w:val="14"/>
                <w:color w:val="auto"/>
              </w:rPr>
              <w:t>1,541</w:t>
            </w:r>
          </w:p>
        </w:tc>
        <w:tc>
          <w:tcPr>
            <w:tcW w:w="10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1060" w:type="dxa"/>
            <w:vAlign w:val="bottom"/>
            <w:vMerge w:val="restart"/>
            <w:shd w:val="clear" w:color="auto" w:fill="CCEEFF"/>
          </w:tcPr>
          <w:p>
            <w:pPr>
              <w:jc w:val="right"/>
              <w:ind w:right="28"/>
              <w:spacing w:after="0"/>
              <w:rPr>
                <w:sz w:val="20"/>
                <w:szCs w:val="20"/>
                <w:color w:val="auto"/>
              </w:rPr>
            </w:pPr>
            <w:r>
              <w:rPr>
                <w:rFonts w:ascii="Arial" w:cs="Arial" w:eastAsia="Arial" w:hAnsi="Arial"/>
                <w:sz w:val="14"/>
                <w:szCs w:val="14"/>
                <w:color w:val="auto"/>
              </w:rPr>
              <w:t>1,427</w:t>
            </w:r>
          </w:p>
        </w:tc>
        <w:tc>
          <w:tcPr>
            <w:tcW w:w="0" w:type="dxa"/>
            <w:vAlign w:val="bottom"/>
          </w:tcPr>
          <w:p>
            <w:pPr>
              <w:spacing w:after="0"/>
              <w:rPr>
                <w:sz w:val="1"/>
                <w:szCs w:val="1"/>
                <w:color w:val="auto"/>
              </w:rPr>
            </w:pPr>
          </w:p>
        </w:tc>
      </w:tr>
      <w:tr>
        <w:trPr>
          <w:trHeight w:val="66"/>
        </w:trPr>
        <w:tc>
          <w:tcPr>
            <w:tcW w:w="8120" w:type="dxa"/>
            <w:vAlign w:val="bottom"/>
            <w:shd w:val="clear" w:color="auto" w:fill="CCEEFF"/>
          </w:tcPr>
          <w:p>
            <w:pPr>
              <w:spacing w:after="0"/>
              <w:rPr>
                <w:sz w:val="5"/>
                <w:szCs w:val="5"/>
                <w:color w:val="auto"/>
              </w:rPr>
            </w:pPr>
          </w:p>
        </w:tc>
        <w:tc>
          <w:tcPr>
            <w:tcW w:w="360" w:type="dxa"/>
            <w:vAlign w:val="bottom"/>
            <w:shd w:val="clear" w:color="auto" w:fill="CCEEFF"/>
          </w:tcPr>
          <w:p>
            <w:pPr>
              <w:spacing w:after="0"/>
              <w:rPr>
                <w:sz w:val="5"/>
                <w:szCs w:val="5"/>
                <w:color w:val="auto"/>
              </w:rPr>
            </w:pPr>
          </w:p>
        </w:tc>
        <w:tc>
          <w:tcPr>
            <w:tcW w:w="1260" w:type="dxa"/>
            <w:vAlign w:val="bottom"/>
            <w:vMerge w:val="continue"/>
            <w:shd w:val="clear" w:color="auto" w:fill="CCEEFF"/>
          </w:tcPr>
          <w:p>
            <w:pPr>
              <w:spacing w:after="0"/>
              <w:rPr>
                <w:sz w:val="5"/>
                <w:szCs w:val="5"/>
                <w:color w:val="auto"/>
              </w:rPr>
            </w:pPr>
          </w:p>
        </w:tc>
        <w:tc>
          <w:tcPr>
            <w:tcW w:w="100" w:type="dxa"/>
            <w:vAlign w:val="bottom"/>
            <w:shd w:val="clear" w:color="auto" w:fill="CCEEFF"/>
          </w:tcPr>
          <w:p>
            <w:pPr>
              <w:spacing w:after="0"/>
              <w:rPr>
                <w:sz w:val="5"/>
                <w:szCs w:val="5"/>
                <w:color w:val="auto"/>
              </w:rPr>
            </w:pPr>
          </w:p>
        </w:tc>
        <w:tc>
          <w:tcPr>
            <w:tcW w:w="520" w:type="dxa"/>
            <w:vAlign w:val="bottom"/>
            <w:shd w:val="clear" w:color="auto" w:fill="CCEEFF"/>
          </w:tcPr>
          <w:p>
            <w:pPr>
              <w:spacing w:after="0"/>
              <w:rPr>
                <w:sz w:val="5"/>
                <w:szCs w:val="5"/>
                <w:color w:val="auto"/>
              </w:rPr>
            </w:pPr>
          </w:p>
        </w:tc>
        <w:tc>
          <w:tcPr>
            <w:tcW w:w="1060" w:type="dxa"/>
            <w:vAlign w:val="bottom"/>
            <w:vMerge w:val="continue"/>
            <w:shd w:val="clear" w:color="auto" w:fill="CCEEFF"/>
          </w:tcPr>
          <w:p>
            <w:pPr>
              <w:spacing w:after="0"/>
              <w:rPr>
                <w:sz w:val="5"/>
                <w:szCs w:val="5"/>
                <w:color w:val="auto"/>
              </w:rPr>
            </w:pPr>
          </w:p>
        </w:tc>
        <w:tc>
          <w:tcPr>
            <w:tcW w:w="0" w:type="dxa"/>
            <w:vAlign w:val="bottom"/>
          </w:tcPr>
          <w:p>
            <w:pPr>
              <w:spacing w:after="0"/>
              <w:rPr>
                <w:sz w:val="1"/>
                <w:szCs w:val="1"/>
                <w:color w:val="auto"/>
              </w:rPr>
            </w:pPr>
          </w:p>
        </w:tc>
      </w:tr>
      <w:tr>
        <w:trPr>
          <w:trHeight w:val="204"/>
        </w:trPr>
        <w:tc>
          <w:tcPr>
            <w:tcW w:w="8120" w:type="dxa"/>
            <w:vAlign w:val="bottom"/>
          </w:tcPr>
          <w:p>
            <w:pPr>
              <w:ind w:left="280"/>
              <w:spacing w:after="0"/>
              <w:rPr>
                <w:sz w:val="20"/>
                <w:szCs w:val="20"/>
                <w:color w:val="auto"/>
              </w:rPr>
            </w:pPr>
            <w:r>
              <w:rPr>
                <w:rFonts w:ascii="Arial" w:cs="Arial" w:eastAsia="Arial" w:hAnsi="Arial"/>
                <w:sz w:val="14"/>
                <w:szCs w:val="14"/>
                <w:color w:val="auto"/>
              </w:rPr>
              <w:t>Air traffic liability</w:t>
            </w:r>
          </w:p>
        </w:tc>
        <w:tc>
          <w:tcPr>
            <w:tcW w:w="360" w:type="dxa"/>
            <w:vAlign w:val="bottom"/>
          </w:tcPr>
          <w:p>
            <w:pPr>
              <w:spacing w:after="0"/>
              <w:rPr>
                <w:sz w:val="17"/>
                <w:szCs w:val="17"/>
                <w:color w:val="auto"/>
              </w:rPr>
            </w:pPr>
          </w:p>
        </w:tc>
        <w:tc>
          <w:tcPr>
            <w:tcW w:w="1260" w:type="dxa"/>
            <w:vAlign w:val="bottom"/>
            <w:vMerge w:val="restart"/>
          </w:tcPr>
          <w:p>
            <w:pPr>
              <w:jc w:val="right"/>
              <w:ind w:right="48"/>
              <w:spacing w:after="0"/>
              <w:rPr>
                <w:sz w:val="20"/>
                <w:szCs w:val="20"/>
                <w:color w:val="auto"/>
              </w:rPr>
            </w:pPr>
            <w:r>
              <w:rPr>
                <w:rFonts w:ascii="Arial" w:cs="Arial" w:eastAsia="Arial" w:hAnsi="Arial"/>
                <w:sz w:val="14"/>
                <w:szCs w:val="14"/>
                <w:color w:val="auto"/>
              </w:rPr>
              <w:t>4,808</w:t>
            </w:r>
          </w:p>
        </w:tc>
        <w:tc>
          <w:tcPr>
            <w:tcW w:w="10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1060" w:type="dxa"/>
            <w:vAlign w:val="bottom"/>
            <w:vMerge w:val="restart"/>
          </w:tcPr>
          <w:p>
            <w:pPr>
              <w:jc w:val="right"/>
              <w:ind w:right="28"/>
              <w:spacing w:after="0"/>
              <w:rPr>
                <w:sz w:val="20"/>
                <w:szCs w:val="20"/>
                <w:color w:val="auto"/>
              </w:rPr>
            </w:pPr>
            <w:r>
              <w:rPr>
                <w:rFonts w:ascii="Arial" w:cs="Arial" w:eastAsia="Arial" w:hAnsi="Arial"/>
                <w:sz w:val="14"/>
                <w:szCs w:val="14"/>
                <w:color w:val="auto"/>
              </w:rPr>
              <w:t>4,339</w:t>
            </w:r>
          </w:p>
        </w:tc>
        <w:tc>
          <w:tcPr>
            <w:tcW w:w="0" w:type="dxa"/>
            <w:vAlign w:val="bottom"/>
          </w:tcPr>
          <w:p>
            <w:pPr>
              <w:spacing w:after="0"/>
              <w:rPr>
                <w:sz w:val="1"/>
                <w:szCs w:val="1"/>
                <w:color w:val="auto"/>
              </w:rPr>
            </w:pPr>
          </w:p>
        </w:tc>
      </w:tr>
      <w:tr>
        <w:trPr>
          <w:trHeight w:val="60"/>
        </w:trPr>
        <w:tc>
          <w:tcPr>
            <w:tcW w:w="8120" w:type="dxa"/>
            <w:vAlign w:val="bottom"/>
          </w:tcPr>
          <w:p>
            <w:pPr>
              <w:spacing w:after="0"/>
              <w:rPr>
                <w:sz w:val="5"/>
                <w:szCs w:val="5"/>
                <w:color w:val="auto"/>
              </w:rPr>
            </w:pPr>
          </w:p>
        </w:tc>
        <w:tc>
          <w:tcPr>
            <w:tcW w:w="360" w:type="dxa"/>
            <w:vAlign w:val="bottom"/>
          </w:tcPr>
          <w:p>
            <w:pPr>
              <w:spacing w:after="0"/>
              <w:rPr>
                <w:sz w:val="5"/>
                <w:szCs w:val="5"/>
                <w:color w:val="auto"/>
              </w:rPr>
            </w:pPr>
          </w:p>
        </w:tc>
        <w:tc>
          <w:tcPr>
            <w:tcW w:w="1260" w:type="dxa"/>
            <w:vAlign w:val="bottom"/>
            <w:vMerge w:val="continue"/>
          </w:tcPr>
          <w:p>
            <w:pPr>
              <w:spacing w:after="0"/>
              <w:rPr>
                <w:sz w:val="5"/>
                <w:szCs w:val="5"/>
                <w:color w:val="auto"/>
              </w:rPr>
            </w:pPr>
          </w:p>
        </w:tc>
        <w:tc>
          <w:tcPr>
            <w:tcW w:w="100" w:type="dxa"/>
            <w:vAlign w:val="bottom"/>
          </w:tcPr>
          <w:p>
            <w:pPr>
              <w:spacing w:after="0"/>
              <w:rPr>
                <w:sz w:val="5"/>
                <w:szCs w:val="5"/>
                <w:color w:val="auto"/>
              </w:rPr>
            </w:pPr>
          </w:p>
        </w:tc>
        <w:tc>
          <w:tcPr>
            <w:tcW w:w="520" w:type="dxa"/>
            <w:vAlign w:val="bottom"/>
          </w:tcPr>
          <w:p>
            <w:pPr>
              <w:spacing w:after="0"/>
              <w:rPr>
                <w:sz w:val="5"/>
                <w:szCs w:val="5"/>
                <w:color w:val="auto"/>
              </w:rPr>
            </w:pPr>
          </w:p>
        </w:tc>
        <w:tc>
          <w:tcPr>
            <w:tcW w:w="106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r>
        <w:trPr>
          <w:trHeight w:val="210"/>
        </w:trPr>
        <w:tc>
          <w:tcPr>
            <w:tcW w:w="8120" w:type="dxa"/>
            <w:vAlign w:val="bottom"/>
            <w:shd w:val="clear" w:color="auto" w:fill="CCEEFF"/>
          </w:tcPr>
          <w:p>
            <w:pPr>
              <w:ind w:left="280"/>
              <w:spacing w:after="0"/>
              <w:rPr>
                <w:sz w:val="20"/>
                <w:szCs w:val="20"/>
                <w:color w:val="auto"/>
              </w:rPr>
            </w:pPr>
            <w:r>
              <w:rPr>
                <w:rFonts w:ascii="Arial" w:cs="Arial" w:eastAsia="Arial" w:hAnsi="Arial"/>
                <w:sz w:val="14"/>
                <w:szCs w:val="14"/>
                <w:color w:val="auto"/>
              </w:rPr>
              <w:t>Loyalty program liability</w:t>
            </w:r>
          </w:p>
        </w:tc>
        <w:tc>
          <w:tcPr>
            <w:tcW w:w="360" w:type="dxa"/>
            <w:vAlign w:val="bottom"/>
            <w:shd w:val="clear" w:color="auto" w:fill="CCEEFF"/>
          </w:tcPr>
          <w:p>
            <w:pPr>
              <w:spacing w:after="0"/>
              <w:rPr>
                <w:sz w:val="18"/>
                <w:szCs w:val="18"/>
                <w:color w:val="auto"/>
              </w:rPr>
            </w:pPr>
          </w:p>
        </w:tc>
        <w:tc>
          <w:tcPr>
            <w:tcW w:w="1260" w:type="dxa"/>
            <w:vAlign w:val="bottom"/>
            <w:vMerge w:val="restart"/>
            <w:shd w:val="clear" w:color="auto" w:fill="CCEEFF"/>
          </w:tcPr>
          <w:p>
            <w:pPr>
              <w:jc w:val="right"/>
              <w:ind w:right="48"/>
              <w:spacing w:after="0"/>
              <w:rPr>
                <w:sz w:val="20"/>
                <w:szCs w:val="20"/>
                <w:color w:val="auto"/>
              </w:rPr>
            </w:pPr>
            <w:r>
              <w:rPr>
                <w:rFonts w:ascii="Arial" w:cs="Arial" w:eastAsia="Arial" w:hAnsi="Arial"/>
                <w:sz w:val="14"/>
                <w:szCs w:val="14"/>
                <w:color w:val="auto"/>
              </w:rPr>
              <w:t>3,193</w:t>
            </w:r>
          </w:p>
        </w:tc>
        <w:tc>
          <w:tcPr>
            <w:tcW w:w="10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1060" w:type="dxa"/>
            <w:vAlign w:val="bottom"/>
            <w:vMerge w:val="restart"/>
            <w:shd w:val="clear" w:color="auto" w:fill="CCEEFF"/>
          </w:tcPr>
          <w:p>
            <w:pPr>
              <w:jc w:val="right"/>
              <w:ind w:right="28"/>
              <w:spacing w:after="0"/>
              <w:rPr>
                <w:sz w:val="20"/>
                <w:szCs w:val="20"/>
                <w:color w:val="auto"/>
              </w:rPr>
            </w:pPr>
            <w:r>
              <w:rPr>
                <w:rFonts w:ascii="Arial" w:cs="Arial" w:eastAsia="Arial" w:hAnsi="Arial"/>
                <w:sz w:val="14"/>
                <w:szCs w:val="14"/>
                <w:color w:val="auto"/>
              </w:rPr>
              <w:t>3,267</w:t>
            </w:r>
          </w:p>
        </w:tc>
        <w:tc>
          <w:tcPr>
            <w:tcW w:w="0" w:type="dxa"/>
            <w:vAlign w:val="bottom"/>
          </w:tcPr>
          <w:p>
            <w:pPr>
              <w:spacing w:after="0"/>
              <w:rPr>
                <w:sz w:val="1"/>
                <w:szCs w:val="1"/>
                <w:color w:val="auto"/>
              </w:rPr>
            </w:pPr>
          </w:p>
        </w:tc>
      </w:tr>
      <w:tr>
        <w:trPr>
          <w:trHeight w:val="66"/>
        </w:trPr>
        <w:tc>
          <w:tcPr>
            <w:tcW w:w="8120" w:type="dxa"/>
            <w:vAlign w:val="bottom"/>
            <w:shd w:val="clear" w:color="auto" w:fill="CCEEFF"/>
          </w:tcPr>
          <w:p>
            <w:pPr>
              <w:spacing w:after="0"/>
              <w:rPr>
                <w:sz w:val="5"/>
                <w:szCs w:val="5"/>
                <w:color w:val="auto"/>
              </w:rPr>
            </w:pPr>
          </w:p>
        </w:tc>
        <w:tc>
          <w:tcPr>
            <w:tcW w:w="360" w:type="dxa"/>
            <w:vAlign w:val="bottom"/>
            <w:shd w:val="clear" w:color="auto" w:fill="CCEEFF"/>
          </w:tcPr>
          <w:p>
            <w:pPr>
              <w:spacing w:after="0"/>
              <w:rPr>
                <w:sz w:val="5"/>
                <w:szCs w:val="5"/>
                <w:color w:val="auto"/>
              </w:rPr>
            </w:pPr>
          </w:p>
        </w:tc>
        <w:tc>
          <w:tcPr>
            <w:tcW w:w="1260" w:type="dxa"/>
            <w:vAlign w:val="bottom"/>
            <w:vMerge w:val="continue"/>
            <w:shd w:val="clear" w:color="auto" w:fill="CCEEFF"/>
          </w:tcPr>
          <w:p>
            <w:pPr>
              <w:spacing w:after="0"/>
              <w:rPr>
                <w:sz w:val="5"/>
                <w:szCs w:val="5"/>
                <w:color w:val="auto"/>
              </w:rPr>
            </w:pPr>
          </w:p>
        </w:tc>
        <w:tc>
          <w:tcPr>
            <w:tcW w:w="100" w:type="dxa"/>
            <w:vAlign w:val="bottom"/>
            <w:shd w:val="clear" w:color="auto" w:fill="CCEEFF"/>
          </w:tcPr>
          <w:p>
            <w:pPr>
              <w:spacing w:after="0"/>
              <w:rPr>
                <w:sz w:val="5"/>
                <w:szCs w:val="5"/>
                <w:color w:val="auto"/>
              </w:rPr>
            </w:pPr>
          </w:p>
        </w:tc>
        <w:tc>
          <w:tcPr>
            <w:tcW w:w="520" w:type="dxa"/>
            <w:vAlign w:val="bottom"/>
            <w:shd w:val="clear" w:color="auto" w:fill="CCEEFF"/>
          </w:tcPr>
          <w:p>
            <w:pPr>
              <w:spacing w:after="0"/>
              <w:rPr>
                <w:sz w:val="5"/>
                <w:szCs w:val="5"/>
                <w:color w:val="auto"/>
              </w:rPr>
            </w:pPr>
          </w:p>
        </w:tc>
        <w:tc>
          <w:tcPr>
            <w:tcW w:w="1060" w:type="dxa"/>
            <w:vAlign w:val="bottom"/>
            <w:vMerge w:val="continue"/>
            <w:shd w:val="clear" w:color="auto" w:fill="CCEEFF"/>
          </w:tcPr>
          <w:p>
            <w:pPr>
              <w:spacing w:after="0"/>
              <w:rPr>
                <w:sz w:val="5"/>
                <w:szCs w:val="5"/>
                <w:color w:val="auto"/>
              </w:rPr>
            </w:pPr>
          </w:p>
        </w:tc>
        <w:tc>
          <w:tcPr>
            <w:tcW w:w="0" w:type="dxa"/>
            <w:vAlign w:val="bottom"/>
          </w:tcPr>
          <w:p>
            <w:pPr>
              <w:spacing w:after="0"/>
              <w:rPr>
                <w:sz w:val="1"/>
                <w:szCs w:val="1"/>
                <w:color w:val="auto"/>
              </w:rPr>
            </w:pPr>
          </w:p>
        </w:tc>
      </w:tr>
      <w:tr>
        <w:trPr>
          <w:trHeight w:val="204"/>
        </w:trPr>
        <w:tc>
          <w:tcPr>
            <w:tcW w:w="8120" w:type="dxa"/>
            <w:vAlign w:val="bottom"/>
          </w:tcPr>
          <w:p>
            <w:pPr>
              <w:ind w:left="280"/>
              <w:spacing w:after="0"/>
              <w:rPr>
                <w:sz w:val="20"/>
                <w:szCs w:val="20"/>
                <w:color w:val="auto"/>
              </w:rPr>
            </w:pPr>
            <w:r>
              <w:rPr>
                <w:rFonts w:ascii="Arial" w:cs="Arial" w:eastAsia="Arial" w:hAnsi="Arial"/>
                <w:sz w:val="14"/>
                <w:szCs w:val="14"/>
                <w:color w:val="auto"/>
              </w:rPr>
              <w:t>Operating lease liabilities</w:t>
            </w:r>
          </w:p>
        </w:tc>
        <w:tc>
          <w:tcPr>
            <w:tcW w:w="360" w:type="dxa"/>
            <w:vAlign w:val="bottom"/>
          </w:tcPr>
          <w:p>
            <w:pPr>
              <w:spacing w:after="0"/>
              <w:rPr>
                <w:sz w:val="17"/>
                <w:szCs w:val="17"/>
                <w:color w:val="auto"/>
              </w:rPr>
            </w:pPr>
          </w:p>
        </w:tc>
        <w:tc>
          <w:tcPr>
            <w:tcW w:w="1260" w:type="dxa"/>
            <w:vAlign w:val="bottom"/>
            <w:vMerge w:val="restart"/>
          </w:tcPr>
          <w:p>
            <w:pPr>
              <w:jc w:val="right"/>
              <w:ind w:right="48"/>
              <w:spacing w:after="0"/>
              <w:rPr>
                <w:sz w:val="20"/>
                <w:szCs w:val="20"/>
                <w:color w:val="auto"/>
              </w:rPr>
            </w:pPr>
            <w:r>
              <w:rPr>
                <w:rFonts w:ascii="Arial" w:cs="Arial" w:eastAsia="Arial" w:hAnsi="Arial"/>
                <w:sz w:val="14"/>
                <w:szCs w:val="14"/>
                <w:color w:val="auto"/>
              </w:rPr>
              <w:t>1,708</w:t>
            </w:r>
          </w:p>
        </w:tc>
        <w:tc>
          <w:tcPr>
            <w:tcW w:w="10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1060" w:type="dxa"/>
            <w:vAlign w:val="bottom"/>
            <w:vMerge w:val="restart"/>
          </w:tcPr>
          <w:p>
            <w:pPr>
              <w:jc w:val="right"/>
              <w:ind w:right="28"/>
              <w:spacing w:after="0"/>
              <w:rPr>
                <w:sz w:val="20"/>
                <w:szCs w:val="20"/>
                <w:color w:val="auto"/>
              </w:rPr>
            </w:pPr>
            <w:r>
              <w:rPr>
                <w:rFonts w:ascii="Arial" w:cs="Arial" w:eastAsia="Arial" w:hAnsi="Arial"/>
                <w:sz w:val="14"/>
                <w:szCs w:val="14"/>
                <w:color w:val="auto"/>
              </w:rPr>
              <w:t>1,654</w:t>
            </w:r>
          </w:p>
        </w:tc>
        <w:tc>
          <w:tcPr>
            <w:tcW w:w="0" w:type="dxa"/>
            <w:vAlign w:val="bottom"/>
          </w:tcPr>
          <w:p>
            <w:pPr>
              <w:spacing w:after="0"/>
              <w:rPr>
                <w:sz w:val="1"/>
                <w:szCs w:val="1"/>
                <w:color w:val="auto"/>
              </w:rPr>
            </w:pPr>
          </w:p>
        </w:tc>
      </w:tr>
      <w:tr>
        <w:trPr>
          <w:trHeight w:val="60"/>
        </w:trPr>
        <w:tc>
          <w:tcPr>
            <w:tcW w:w="8120" w:type="dxa"/>
            <w:vAlign w:val="bottom"/>
          </w:tcPr>
          <w:p>
            <w:pPr>
              <w:spacing w:after="0"/>
              <w:rPr>
                <w:sz w:val="5"/>
                <w:szCs w:val="5"/>
                <w:color w:val="auto"/>
              </w:rPr>
            </w:pPr>
          </w:p>
        </w:tc>
        <w:tc>
          <w:tcPr>
            <w:tcW w:w="360" w:type="dxa"/>
            <w:vAlign w:val="bottom"/>
          </w:tcPr>
          <w:p>
            <w:pPr>
              <w:spacing w:after="0"/>
              <w:rPr>
                <w:sz w:val="5"/>
                <w:szCs w:val="5"/>
                <w:color w:val="auto"/>
              </w:rPr>
            </w:pPr>
          </w:p>
        </w:tc>
        <w:tc>
          <w:tcPr>
            <w:tcW w:w="1260" w:type="dxa"/>
            <w:vAlign w:val="bottom"/>
            <w:vMerge w:val="continue"/>
          </w:tcPr>
          <w:p>
            <w:pPr>
              <w:spacing w:after="0"/>
              <w:rPr>
                <w:sz w:val="5"/>
                <w:szCs w:val="5"/>
                <w:color w:val="auto"/>
              </w:rPr>
            </w:pPr>
          </w:p>
        </w:tc>
        <w:tc>
          <w:tcPr>
            <w:tcW w:w="100" w:type="dxa"/>
            <w:vAlign w:val="bottom"/>
          </w:tcPr>
          <w:p>
            <w:pPr>
              <w:spacing w:after="0"/>
              <w:rPr>
                <w:sz w:val="5"/>
                <w:szCs w:val="5"/>
                <w:color w:val="auto"/>
              </w:rPr>
            </w:pPr>
          </w:p>
        </w:tc>
        <w:tc>
          <w:tcPr>
            <w:tcW w:w="520" w:type="dxa"/>
            <w:vAlign w:val="bottom"/>
          </w:tcPr>
          <w:p>
            <w:pPr>
              <w:spacing w:after="0"/>
              <w:rPr>
                <w:sz w:val="5"/>
                <w:szCs w:val="5"/>
                <w:color w:val="auto"/>
              </w:rPr>
            </w:pPr>
          </w:p>
        </w:tc>
        <w:tc>
          <w:tcPr>
            <w:tcW w:w="106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r>
        <w:trPr>
          <w:trHeight w:val="210"/>
        </w:trPr>
        <w:tc>
          <w:tcPr>
            <w:tcW w:w="8120" w:type="dxa"/>
            <w:vAlign w:val="bottom"/>
            <w:shd w:val="clear" w:color="auto" w:fill="CCEEFF"/>
          </w:tcPr>
          <w:p>
            <w:pPr>
              <w:ind w:left="280"/>
              <w:spacing w:after="0"/>
              <w:rPr>
                <w:sz w:val="20"/>
                <w:szCs w:val="20"/>
                <w:color w:val="auto"/>
              </w:rPr>
            </w:pPr>
            <w:r>
              <w:rPr>
                <w:rFonts w:ascii="Arial" w:cs="Arial" w:eastAsia="Arial" w:hAnsi="Arial"/>
                <w:sz w:val="14"/>
                <w:szCs w:val="14"/>
                <w:color w:val="auto"/>
              </w:rPr>
              <w:t>Other accrued liabilities</w:t>
            </w:r>
          </w:p>
        </w:tc>
        <w:tc>
          <w:tcPr>
            <w:tcW w:w="360" w:type="dxa"/>
            <w:vAlign w:val="bottom"/>
            <w:shd w:val="clear" w:color="auto" w:fill="CCEEFF"/>
          </w:tcPr>
          <w:p>
            <w:pPr>
              <w:spacing w:after="0"/>
              <w:rPr>
                <w:sz w:val="18"/>
                <w:szCs w:val="18"/>
                <w:color w:val="auto"/>
              </w:rPr>
            </w:pPr>
          </w:p>
        </w:tc>
        <w:tc>
          <w:tcPr>
            <w:tcW w:w="1260" w:type="dxa"/>
            <w:vAlign w:val="bottom"/>
            <w:vMerge w:val="restart"/>
            <w:shd w:val="clear" w:color="auto" w:fill="CCEEFF"/>
          </w:tcPr>
          <w:p>
            <w:pPr>
              <w:jc w:val="right"/>
              <w:ind w:right="48"/>
              <w:spacing w:after="0"/>
              <w:rPr>
                <w:sz w:val="20"/>
                <w:szCs w:val="20"/>
                <w:color w:val="auto"/>
              </w:rPr>
            </w:pPr>
            <w:r>
              <w:rPr>
                <w:rFonts w:ascii="Arial" w:cs="Arial" w:eastAsia="Arial" w:hAnsi="Arial"/>
                <w:sz w:val="14"/>
                <w:szCs w:val="14"/>
                <w:color w:val="auto"/>
              </w:rPr>
              <w:t>2,138</w:t>
            </w:r>
          </w:p>
        </w:tc>
        <w:tc>
          <w:tcPr>
            <w:tcW w:w="10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1060" w:type="dxa"/>
            <w:vAlign w:val="bottom"/>
            <w:vMerge w:val="restart"/>
            <w:shd w:val="clear" w:color="auto" w:fill="CCEEFF"/>
          </w:tcPr>
          <w:p>
            <w:pPr>
              <w:jc w:val="right"/>
              <w:ind w:right="28"/>
              <w:spacing w:after="0"/>
              <w:rPr>
                <w:sz w:val="20"/>
                <w:szCs w:val="20"/>
                <w:color w:val="auto"/>
              </w:rPr>
            </w:pPr>
            <w:r>
              <w:rPr>
                <w:rFonts w:ascii="Arial" w:cs="Arial" w:eastAsia="Arial" w:hAnsi="Arial"/>
                <w:sz w:val="14"/>
                <w:szCs w:val="14"/>
                <w:color w:val="auto"/>
              </w:rPr>
              <w:t>2,342</w:t>
            </w:r>
          </w:p>
        </w:tc>
        <w:tc>
          <w:tcPr>
            <w:tcW w:w="0" w:type="dxa"/>
            <w:vAlign w:val="bottom"/>
          </w:tcPr>
          <w:p>
            <w:pPr>
              <w:spacing w:after="0"/>
              <w:rPr>
                <w:sz w:val="1"/>
                <w:szCs w:val="1"/>
                <w:color w:val="auto"/>
              </w:rPr>
            </w:pPr>
          </w:p>
        </w:tc>
      </w:tr>
      <w:tr>
        <w:trPr>
          <w:trHeight w:val="66"/>
        </w:trPr>
        <w:tc>
          <w:tcPr>
            <w:tcW w:w="8120" w:type="dxa"/>
            <w:vAlign w:val="bottom"/>
            <w:shd w:val="clear" w:color="auto" w:fill="CCEEFF"/>
          </w:tcPr>
          <w:p>
            <w:pPr>
              <w:spacing w:after="0"/>
              <w:rPr>
                <w:sz w:val="5"/>
                <w:szCs w:val="5"/>
                <w:color w:val="auto"/>
              </w:rPr>
            </w:pPr>
          </w:p>
        </w:tc>
        <w:tc>
          <w:tcPr>
            <w:tcW w:w="360" w:type="dxa"/>
            <w:vAlign w:val="bottom"/>
            <w:tcBorders>
              <w:bottom w:val="single" w:sz="8" w:color="auto"/>
            </w:tcBorders>
            <w:shd w:val="clear" w:color="auto" w:fill="CCEEFF"/>
          </w:tcPr>
          <w:p>
            <w:pPr>
              <w:spacing w:after="0"/>
              <w:rPr>
                <w:sz w:val="5"/>
                <w:szCs w:val="5"/>
                <w:color w:val="auto"/>
              </w:rPr>
            </w:pPr>
          </w:p>
        </w:tc>
        <w:tc>
          <w:tcPr>
            <w:tcW w:w="1260" w:type="dxa"/>
            <w:vAlign w:val="bottom"/>
            <w:tcBorders>
              <w:bottom w:val="single" w:sz="8" w:color="auto"/>
            </w:tcBorders>
            <w:vMerge w:val="continue"/>
            <w:shd w:val="clear" w:color="auto" w:fill="CCEEFF"/>
          </w:tcPr>
          <w:p>
            <w:pPr>
              <w:spacing w:after="0"/>
              <w:rPr>
                <w:sz w:val="5"/>
                <w:szCs w:val="5"/>
                <w:color w:val="auto"/>
              </w:rPr>
            </w:pPr>
          </w:p>
        </w:tc>
        <w:tc>
          <w:tcPr>
            <w:tcW w:w="100" w:type="dxa"/>
            <w:vAlign w:val="bottom"/>
            <w:shd w:val="clear" w:color="auto" w:fill="CCEEFF"/>
          </w:tcPr>
          <w:p>
            <w:pPr>
              <w:spacing w:after="0"/>
              <w:rPr>
                <w:sz w:val="5"/>
                <w:szCs w:val="5"/>
                <w:color w:val="auto"/>
              </w:rPr>
            </w:pPr>
          </w:p>
        </w:tc>
        <w:tc>
          <w:tcPr>
            <w:tcW w:w="520" w:type="dxa"/>
            <w:vAlign w:val="bottom"/>
            <w:tcBorders>
              <w:bottom w:val="single" w:sz="8" w:color="auto"/>
            </w:tcBorders>
            <w:shd w:val="clear" w:color="auto" w:fill="CCEEFF"/>
          </w:tcPr>
          <w:p>
            <w:pPr>
              <w:spacing w:after="0"/>
              <w:rPr>
                <w:sz w:val="5"/>
                <w:szCs w:val="5"/>
                <w:color w:val="auto"/>
              </w:rPr>
            </w:pPr>
          </w:p>
        </w:tc>
        <w:tc>
          <w:tcPr>
            <w:tcW w:w="1060" w:type="dxa"/>
            <w:vAlign w:val="bottom"/>
            <w:tcBorders>
              <w:bottom w:val="single" w:sz="8" w:color="auto"/>
            </w:tcBorders>
            <w:vMerge w:val="continue"/>
            <w:shd w:val="clear" w:color="auto" w:fill="CCEEFF"/>
          </w:tcPr>
          <w:p>
            <w:pPr>
              <w:spacing w:after="0"/>
              <w:rPr>
                <w:sz w:val="5"/>
                <w:szCs w:val="5"/>
                <w:color w:val="auto"/>
              </w:rPr>
            </w:pPr>
          </w:p>
        </w:tc>
        <w:tc>
          <w:tcPr>
            <w:tcW w:w="0" w:type="dxa"/>
            <w:vAlign w:val="bottom"/>
          </w:tcPr>
          <w:p>
            <w:pPr>
              <w:spacing w:after="0"/>
              <w:rPr>
                <w:sz w:val="1"/>
                <w:szCs w:val="1"/>
                <w:color w:val="auto"/>
              </w:rPr>
            </w:pPr>
          </w:p>
        </w:tc>
      </w:tr>
      <w:tr>
        <w:trPr>
          <w:trHeight w:val="184"/>
        </w:trPr>
        <w:tc>
          <w:tcPr>
            <w:tcW w:w="8120" w:type="dxa"/>
            <w:vAlign w:val="bottom"/>
          </w:tcPr>
          <w:p>
            <w:pPr>
              <w:ind w:left="500"/>
              <w:spacing w:after="0"/>
              <w:rPr>
                <w:sz w:val="20"/>
                <w:szCs w:val="20"/>
                <w:color w:val="auto"/>
              </w:rPr>
            </w:pPr>
            <w:r>
              <w:rPr>
                <w:rFonts w:ascii="Arial" w:cs="Arial" w:eastAsia="Arial" w:hAnsi="Arial"/>
                <w:sz w:val="14"/>
                <w:szCs w:val="14"/>
                <w:color w:val="auto"/>
              </w:rPr>
              <w:t>Total current liabilities</w:t>
            </w:r>
          </w:p>
        </w:tc>
        <w:tc>
          <w:tcPr>
            <w:tcW w:w="360" w:type="dxa"/>
            <w:vAlign w:val="bottom"/>
          </w:tcPr>
          <w:p>
            <w:pPr>
              <w:spacing w:after="0"/>
              <w:rPr>
                <w:sz w:val="16"/>
                <w:szCs w:val="16"/>
                <w:color w:val="auto"/>
              </w:rPr>
            </w:pPr>
          </w:p>
        </w:tc>
        <w:tc>
          <w:tcPr>
            <w:tcW w:w="1260" w:type="dxa"/>
            <w:vAlign w:val="bottom"/>
            <w:vMerge w:val="restart"/>
          </w:tcPr>
          <w:p>
            <w:pPr>
              <w:jc w:val="right"/>
              <w:ind w:right="48"/>
              <w:spacing w:after="0"/>
              <w:rPr>
                <w:sz w:val="20"/>
                <w:szCs w:val="20"/>
                <w:color w:val="auto"/>
              </w:rPr>
            </w:pPr>
            <w:r>
              <w:rPr>
                <w:rFonts w:ascii="Arial" w:cs="Arial" w:eastAsia="Arial" w:hAnsi="Arial"/>
                <w:sz w:val="14"/>
                <w:szCs w:val="14"/>
                <w:color w:val="auto"/>
              </w:rPr>
              <w:t>18,311</w:t>
            </w:r>
          </w:p>
        </w:tc>
        <w:tc>
          <w:tcPr>
            <w:tcW w:w="10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1060" w:type="dxa"/>
            <w:vAlign w:val="bottom"/>
            <w:vMerge w:val="restart"/>
          </w:tcPr>
          <w:p>
            <w:pPr>
              <w:jc w:val="right"/>
              <w:ind w:right="28"/>
              <w:spacing w:after="0"/>
              <w:rPr>
                <w:sz w:val="20"/>
                <w:szCs w:val="20"/>
                <w:color w:val="auto"/>
              </w:rPr>
            </w:pPr>
            <w:r>
              <w:rPr>
                <w:rFonts w:ascii="Arial" w:cs="Arial" w:eastAsia="Arial" w:hAnsi="Arial"/>
                <w:sz w:val="14"/>
                <w:szCs w:val="14"/>
                <w:color w:val="auto"/>
              </w:rPr>
              <w:t>18,096</w:t>
            </w:r>
          </w:p>
        </w:tc>
        <w:tc>
          <w:tcPr>
            <w:tcW w:w="0" w:type="dxa"/>
            <w:vAlign w:val="bottom"/>
          </w:tcPr>
          <w:p>
            <w:pPr>
              <w:spacing w:after="0"/>
              <w:rPr>
                <w:sz w:val="1"/>
                <w:szCs w:val="1"/>
                <w:color w:val="auto"/>
              </w:rPr>
            </w:pPr>
          </w:p>
        </w:tc>
      </w:tr>
      <w:tr>
        <w:trPr>
          <w:trHeight w:val="60"/>
        </w:trPr>
        <w:tc>
          <w:tcPr>
            <w:tcW w:w="8120" w:type="dxa"/>
            <w:vAlign w:val="bottom"/>
          </w:tcPr>
          <w:p>
            <w:pPr>
              <w:spacing w:after="0"/>
              <w:rPr>
                <w:sz w:val="5"/>
                <w:szCs w:val="5"/>
                <w:color w:val="auto"/>
              </w:rPr>
            </w:pPr>
          </w:p>
        </w:tc>
        <w:tc>
          <w:tcPr>
            <w:tcW w:w="360" w:type="dxa"/>
            <w:vAlign w:val="bottom"/>
          </w:tcPr>
          <w:p>
            <w:pPr>
              <w:spacing w:after="0"/>
              <w:rPr>
                <w:sz w:val="5"/>
                <w:szCs w:val="5"/>
                <w:color w:val="auto"/>
              </w:rPr>
            </w:pPr>
          </w:p>
        </w:tc>
        <w:tc>
          <w:tcPr>
            <w:tcW w:w="1260" w:type="dxa"/>
            <w:vAlign w:val="bottom"/>
            <w:vMerge w:val="continue"/>
          </w:tcPr>
          <w:p>
            <w:pPr>
              <w:spacing w:after="0"/>
              <w:rPr>
                <w:sz w:val="5"/>
                <w:szCs w:val="5"/>
                <w:color w:val="auto"/>
              </w:rPr>
            </w:pPr>
          </w:p>
        </w:tc>
        <w:tc>
          <w:tcPr>
            <w:tcW w:w="100" w:type="dxa"/>
            <w:vAlign w:val="bottom"/>
          </w:tcPr>
          <w:p>
            <w:pPr>
              <w:spacing w:after="0"/>
              <w:rPr>
                <w:sz w:val="5"/>
                <w:szCs w:val="5"/>
                <w:color w:val="auto"/>
              </w:rPr>
            </w:pPr>
          </w:p>
        </w:tc>
        <w:tc>
          <w:tcPr>
            <w:tcW w:w="520" w:type="dxa"/>
            <w:vAlign w:val="bottom"/>
          </w:tcPr>
          <w:p>
            <w:pPr>
              <w:spacing w:after="0"/>
              <w:rPr>
                <w:sz w:val="5"/>
                <w:szCs w:val="5"/>
                <w:color w:val="auto"/>
              </w:rPr>
            </w:pPr>
          </w:p>
        </w:tc>
        <w:tc>
          <w:tcPr>
            <w:tcW w:w="106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r>
        <w:trPr>
          <w:trHeight w:val="210"/>
        </w:trPr>
        <w:tc>
          <w:tcPr>
            <w:tcW w:w="8120" w:type="dxa"/>
            <w:vAlign w:val="bottom"/>
            <w:shd w:val="clear" w:color="auto" w:fill="CCEEFF"/>
          </w:tcPr>
          <w:p>
            <w:pPr>
              <w:ind w:left="40"/>
              <w:spacing w:after="0"/>
              <w:rPr>
                <w:sz w:val="20"/>
                <w:szCs w:val="20"/>
                <w:color w:val="auto"/>
              </w:rPr>
            </w:pPr>
            <w:r>
              <w:rPr>
                <w:rFonts w:ascii="Arial" w:cs="Arial" w:eastAsia="Arial" w:hAnsi="Arial"/>
                <w:sz w:val="14"/>
                <w:szCs w:val="14"/>
                <w:b w:val="1"/>
                <w:bCs w:val="1"/>
                <w:color w:val="auto"/>
              </w:rPr>
              <w:t>Noncurrent liabilities</w:t>
            </w:r>
          </w:p>
        </w:tc>
        <w:tc>
          <w:tcPr>
            <w:tcW w:w="360" w:type="dxa"/>
            <w:vAlign w:val="bottom"/>
            <w:shd w:val="clear" w:color="auto" w:fill="CCEEFF"/>
          </w:tcPr>
          <w:p>
            <w:pPr>
              <w:spacing w:after="0"/>
              <w:rPr>
                <w:sz w:val="18"/>
                <w:szCs w:val="18"/>
                <w:color w:val="auto"/>
              </w:rPr>
            </w:pPr>
          </w:p>
        </w:tc>
        <w:tc>
          <w:tcPr>
            <w:tcW w:w="1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66"/>
        </w:trPr>
        <w:tc>
          <w:tcPr>
            <w:tcW w:w="8120" w:type="dxa"/>
            <w:vAlign w:val="bottom"/>
            <w:shd w:val="clear" w:color="auto" w:fill="CCEEFF"/>
          </w:tcPr>
          <w:p>
            <w:pPr>
              <w:spacing w:after="0"/>
              <w:rPr>
                <w:sz w:val="5"/>
                <w:szCs w:val="5"/>
                <w:color w:val="auto"/>
              </w:rPr>
            </w:pPr>
          </w:p>
        </w:tc>
        <w:tc>
          <w:tcPr>
            <w:tcW w:w="360" w:type="dxa"/>
            <w:vAlign w:val="bottom"/>
            <w:shd w:val="clear" w:color="auto" w:fill="CCEEFF"/>
          </w:tcPr>
          <w:p>
            <w:pPr>
              <w:spacing w:after="0"/>
              <w:rPr>
                <w:sz w:val="5"/>
                <w:szCs w:val="5"/>
                <w:color w:val="auto"/>
              </w:rPr>
            </w:pPr>
          </w:p>
        </w:tc>
        <w:tc>
          <w:tcPr>
            <w:tcW w:w="1260" w:type="dxa"/>
            <w:vAlign w:val="bottom"/>
            <w:shd w:val="clear" w:color="auto" w:fill="CCEEFF"/>
          </w:tcPr>
          <w:p>
            <w:pPr>
              <w:spacing w:after="0"/>
              <w:rPr>
                <w:sz w:val="5"/>
                <w:szCs w:val="5"/>
                <w:color w:val="auto"/>
              </w:rPr>
            </w:pPr>
          </w:p>
        </w:tc>
        <w:tc>
          <w:tcPr>
            <w:tcW w:w="100" w:type="dxa"/>
            <w:vAlign w:val="bottom"/>
            <w:shd w:val="clear" w:color="auto" w:fill="CCEEFF"/>
          </w:tcPr>
          <w:p>
            <w:pPr>
              <w:spacing w:after="0"/>
              <w:rPr>
                <w:sz w:val="5"/>
                <w:szCs w:val="5"/>
                <w:color w:val="auto"/>
              </w:rPr>
            </w:pPr>
          </w:p>
        </w:tc>
        <w:tc>
          <w:tcPr>
            <w:tcW w:w="520" w:type="dxa"/>
            <w:vAlign w:val="bottom"/>
            <w:shd w:val="clear" w:color="auto" w:fill="CCEEFF"/>
          </w:tcPr>
          <w:p>
            <w:pPr>
              <w:spacing w:after="0"/>
              <w:rPr>
                <w:sz w:val="5"/>
                <w:szCs w:val="5"/>
                <w:color w:val="auto"/>
              </w:rPr>
            </w:pPr>
          </w:p>
        </w:tc>
        <w:tc>
          <w:tcPr>
            <w:tcW w:w="1060" w:type="dxa"/>
            <w:vAlign w:val="bottom"/>
            <w:shd w:val="clear" w:color="auto" w:fill="CCEEFF"/>
          </w:tcPr>
          <w:p>
            <w:pPr>
              <w:spacing w:after="0"/>
              <w:rPr>
                <w:sz w:val="5"/>
                <w:szCs w:val="5"/>
                <w:color w:val="auto"/>
              </w:rPr>
            </w:pPr>
          </w:p>
        </w:tc>
        <w:tc>
          <w:tcPr>
            <w:tcW w:w="0" w:type="dxa"/>
            <w:vAlign w:val="bottom"/>
          </w:tcPr>
          <w:p>
            <w:pPr>
              <w:spacing w:after="0"/>
              <w:rPr>
                <w:sz w:val="1"/>
                <w:szCs w:val="1"/>
                <w:color w:val="auto"/>
              </w:rPr>
            </w:pPr>
          </w:p>
        </w:tc>
      </w:tr>
      <w:tr>
        <w:trPr>
          <w:trHeight w:val="204"/>
        </w:trPr>
        <w:tc>
          <w:tcPr>
            <w:tcW w:w="8120" w:type="dxa"/>
            <w:vAlign w:val="bottom"/>
          </w:tcPr>
          <w:p>
            <w:pPr>
              <w:ind w:left="280"/>
              <w:spacing w:after="0"/>
              <w:rPr>
                <w:sz w:val="20"/>
                <w:szCs w:val="20"/>
                <w:color w:val="auto"/>
              </w:rPr>
            </w:pPr>
            <w:r>
              <w:rPr>
                <w:rFonts w:ascii="Arial" w:cs="Arial" w:eastAsia="Arial" w:hAnsi="Arial"/>
                <w:sz w:val="14"/>
                <w:szCs w:val="14"/>
                <w:color w:val="auto"/>
              </w:rPr>
              <w:t>Long-term debt and finance leases, net of current maturities</w:t>
            </w:r>
          </w:p>
        </w:tc>
        <w:tc>
          <w:tcPr>
            <w:tcW w:w="360" w:type="dxa"/>
            <w:vAlign w:val="bottom"/>
          </w:tcPr>
          <w:p>
            <w:pPr>
              <w:spacing w:after="0"/>
              <w:rPr>
                <w:sz w:val="17"/>
                <w:szCs w:val="17"/>
                <w:color w:val="auto"/>
              </w:rPr>
            </w:pPr>
          </w:p>
        </w:tc>
        <w:tc>
          <w:tcPr>
            <w:tcW w:w="1260" w:type="dxa"/>
            <w:vAlign w:val="bottom"/>
            <w:vMerge w:val="restart"/>
          </w:tcPr>
          <w:p>
            <w:pPr>
              <w:jc w:val="right"/>
              <w:ind w:right="48"/>
              <w:spacing w:after="0"/>
              <w:rPr>
                <w:sz w:val="20"/>
                <w:szCs w:val="20"/>
                <w:color w:val="auto"/>
              </w:rPr>
            </w:pPr>
            <w:r>
              <w:rPr>
                <w:rFonts w:ascii="Arial" w:cs="Arial" w:eastAsia="Arial" w:hAnsi="Arial"/>
                <w:sz w:val="14"/>
                <w:szCs w:val="14"/>
                <w:color w:val="auto"/>
              </w:rPr>
              <w:t>21,454</w:t>
            </w:r>
          </w:p>
        </w:tc>
        <w:tc>
          <w:tcPr>
            <w:tcW w:w="10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1060" w:type="dxa"/>
            <w:vAlign w:val="bottom"/>
            <w:vMerge w:val="restart"/>
          </w:tcPr>
          <w:p>
            <w:pPr>
              <w:jc w:val="right"/>
              <w:ind w:right="28"/>
              <w:spacing w:after="0"/>
              <w:rPr>
                <w:sz w:val="20"/>
                <w:szCs w:val="20"/>
                <w:color w:val="auto"/>
              </w:rPr>
            </w:pPr>
            <w:r>
              <w:rPr>
                <w:rFonts w:ascii="Arial" w:cs="Arial" w:eastAsia="Arial" w:hAnsi="Arial"/>
                <w:sz w:val="14"/>
                <w:szCs w:val="14"/>
                <w:color w:val="auto"/>
              </w:rPr>
              <w:t>21,179</w:t>
            </w:r>
          </w:p>
        </w:tc>
        <w:tc>
          <w:tcPr>
            <w:tcW w:w="0" w:type="dxa"/>
            <w:vAlign w:val="bottom"/>
          </w:tcPr>
          <w:p>
            <w:pPr>
              <w:spacing w:after="0"/>
              <w:rPr>
                <w:sz w:val="1"/>
                <w:szCs w:val="1"/>
                <w:color w:val="auto"/>
              </w:rPr>
            </w:pPr>
          </w:p>
        </w:tc>
      </w:tr>
      <w:tr>
        <w:trPr>
          <w:trHeight w:val="60"/>
        </w:trPr>
        <w:tc>
          <w:tcPr>
            <w:tcW w:w="8120" w:type="dxa"/>
            <w:vAlign w:val="bottom"/>
          </w:tcPr>
          <w:p>
            <w:pPr>
              <w:spacing w:after="0"/>
              <w:rPr>
                <w:sz w:val="5"/>
                <w:szCs w:val="5"/>
                <w:color w:val="auto"/>
              </w:rPr>
            </w:pPr>
          </w:p>
        </w:tc>
        <w:tc>
          <w:tcPr>
            <w:tcW w:w="360" w:type="dxa"/>
            <w:vAlign w:val="bottom"/>
          </w:tcPr>
          <w:p>
            <w:pPr>
              <w:spacing w:after="0"/>
              <w:rPr>
                <w:sz w:val="5"/>
                <w:szCs w:val="5"/>
                <w:color w:val="auto"/>
              </w:rPr>
            </w:pPr>
          </w:p>
        </w:tc>
        <w:tc>
          <w:tcPr>
            <w:tcW w:w="1260" w:type="dxa"/>
            <w:vAlign w:val="bottom"/>
            <w:vMerge w:val="continue"/>
          </w:tcPr>
          <w:p>
            <w:pPr>
              <w:spacing w:after="0"/>
              <w:rPr>
                <w:sz w:val="5"/>
                <w:szCs w:val="5"/>
                <w:color w:val="auto"/>
              </w:rPr>
            </w:pPr>
          </w:p>
        </w:tc>
        <w:tc>
          <w:tcPr>
            <w:tcW w:w="100" w:type="dxa"/>
            <w:vAlign w:val="bottom"/>
          </w:tcPr>
          <w:p>
            <w:pPr>
              <w:spacing w:after="0"/>
              <w:rPr>
                <w:sz w:val="5"/>
                <w:szCs w:val="5"/>
                <w:color w:val="auto"/>
              </w:rPr>
            </w:pPr>
          </w:p>
        </w:tc>
        <w:tc>
          <w:tcPr>
            <w:tcW w:w="520" w:type="dxa"/>
            <w:vAlign w:val="bottom"/>
          </w:tcPr>
          <w:p>
            <w:pPr>
              <w:spacing w:after="0"/>
              <w:rPr>
                <w:sz w:val="5"/>
                <w:szCs w:val="5"/>
                <w:color w:val="auto"/>
              </w:rPr>
            </w:pPr>
          </w:p>
        </w:tc>
        <w:tc>
          <w:tcPr>
            <w:tcW w:w="106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r>
        <w:trPr>
          <w:trHeight w:val="210"/>
        </w:trPr>
        <w:tc>
          <w:tcPr>
            <w:tcW w:w="8120" w:type="dxa"/>
            <w:vAlign w:val="bottom"/>
            <w:shd w:val="clear" w:color="auto" w:fill="CCEEFF"/>
          </w:tcPr>
          <w:p>
            <w:pPr>
              <w:ind w:left="280"/>
              <w:spacing w:after="0"/>
              <w:rPr>
                <w:sz w:val="20"/>
                <w:szCs w:val="20"/>
                <w:color w:val="auto"/>
              </w:rPr>
            </w:pPr>
            <w:r>
              <w:rPr>
                <w:rFonts w:ascii="Arial" w:cs="Arial" w:eastAsia="Arial" w:hAnsi="Arial"/>
                <w:sz w:val="14"/>
                <w:szCs w:val="14"/>
                <w:color w:val="auto"/>
              </w:rPr>
              <w:t>Pension and postretirement benefits</w:t>
            </w:r>
          </w:p>
        </w:tc>
        <w:tc>
          <w:tcPr>
            <w:tcW w:w="360" w:type="dxa"/>
            <w:vAlign w:val="bottom"/>
            <w:shd w:val="clear" w:color="auto" w:fill="CCEEFF"/>
          </w:tcPr>
          <w:p>
            <w:pPr>
              <w:spacing w:after="0"/>
              <w:rPr>
                <w:sz w:val="18"/>
                <w:szCs w:val="18"/>
                <w:color w:val="auto"/>
              </w:rPr>
            </w:pPr>
          </w:p>
        </w:tc>
        <w:tc>
          <w:tcPr>
            <w:tcW w:w="1260" w:type="dxa"/>
            <w:vAlign w:val="bottom"/>
            <w:vMerge w:val="restart"/>
            <w:shd w:val="clear" w:color="auto" w:fill="CCEEFF"/>
          </w:tcPr>
          <w:p>
            <w:pPr>
              <w:jc w:val="right"/>
              <w:ind w:right="48"/>
              <w:spacing w:after="0"/>
              <w:rPr>
                <w:sz w:val="20"/>
                <w:szCs w:val="20"/>
                <w:color w:val="auto"/>
              </w:rPr>
            </w:pPr>
            <w:r>
              <w:rPr>
                <w:rFonts w:ascii="Arial" w:cs="Arial" w:eastAsia="Arial" w:hAnsi="Arial"/>
                <w:sz w:val="14"/>
                <w:szCs w:val="14"/>
                <w:color w:val="auto"/>
              </w:rPr>
              <w:t>6,052</w:t>
            </w:r>
          </w:p>
        </w:tc>
        <w:tc>
          <w:tcPr>
            <w:tcW w:w="10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1060" w:type="dxa"/>
            <w:vAlign w:val="bottom"/>
            <w:vMerge w:val="restart"/>
            <w:shd w:val="clear" w:color="auto" w:fill="CCEEFF"/>
          </w:tcPr>
          <w:p>
            <w:pPr>
              <w:jc w:val="right"/>
              <w:ind w:right="28"/>
              <w:spacing w:after="0"/>
              <w:rPr>
                <w:sz w:val="20"/>
                <w:szCs w:val="20"/>
                <w:color w:val="auto"/>
              </w:rPr>
            </w:pPr>
            <w:r>
              <w:rPr>
                <w:rFonts w:ascii="Arial" w:cs="Arial" w:eastAsia="Arial" w:hAnsi="Arial"/>
                <w:sz w:val="14"/>
                <w:szCs w:val="14"/>
                <w:color w:val="auto"/>
              </w:rPr>
              <w:t>6,907</w:t>
            </w:r>
          </w:p>
        </w:tc>
        <w:tc>
          <w:tcPr>
            <w:tcW w:w="0" w:type="dxa"/>
            <w:vAlign w:val="bottom"/>
          </w:tcPr>
          <w:p>
            <w:pPr>
              <w:spacing w:after="0"/>
              <w:rPr>
                <w:sz w:val="1"/>
                <w:szCs w:val="1"/>
                <w:color w:val="auto"/>
              </w:rPr>
            </w:pPr>
          </w:p>
        </w:tc>
      </w:tr>
      <w:tr>
        <w:trPr>
          <w:trHeight w:val="66"/>
        </w:trPr>
        <w:tc>
          <w:tcPr>
            <w:tcW w:w="8120" w:type="dxa"/>
            <w:vAlign w:val="bottom"/>
            <w:shd w:val="clear" w:color="auto" w:fill="CCEEFF"/>
          </w:tcPr>
          <w:p>
            <w:pPr>
              <w:spacing w:after="0"/>
              <w:rPr>
                <w:sz w:val="5"/>
                <w:szCs w:val="5"/>
                <w:color w:val="auto"/>
              </w:rPr>
            </w:pPr>
          </w:p>
        </w:tc>
        <w:tc>
          <w:tcPr>
            <w:tcW w:w="360" w:type="dxa"/>
            <w:vAlign w:val="bottom"/>
            <w:shd w:val="clear" w:color="auto" w:fill="CCEEFF"/>
          </w:tcPr>
          <w:p>
            <w:pPr>
              <w:spacing w:after="0"/>
              <w:rPr>
                <w:sz w:val="5"/>
                <w:szCs w:val="5"/>
                <w:color w:val="auto"/>
              </w:rPr>
            </w:pPr>
          </w:p>
        </w:tc>
        <w:tc>
          <w:tcPr>
            <w:tcW w:w="1260" w:type="dxa"/>
            <w:vAlign w:val="bottom"/>
            <w:vMerge w:val="continue"/>
            <w:shd w:val="clear" w:color="auto" w:fill="CCEEFF"/>
          </w:tcPr>
          <w:p>
            <w:pPr>
              <w:spacing w:after="0"/>
              <w:rPr>
                <w:sz w:val="5"/>
                <w:szCs w:val="5"/>
                <w:color w:val="auto"/>
              </w:rPr>
            </w:pPr>
          </w:p>
        </w:tc>
        <w:tc>
          <w:tcPr>
            <w:tcW w:w="100" w:type="dxa"/>
            <w:vAlign w:val="bottom"/>
            <w:shd w:val="clear" w:color="auto" w:fill="CCEEFF"/>
          </w:tcPr>
          <w:p>
            <w:pPr>
              <w:spacing w:after="0"/>
              <w:rPr>
                <w:sz w:val="5"/>
                <w:szCs w:val="5"/>
                <w:color w:val="auto"/>
              </w:rPr>
            </w:pPr>
          </w:p>
        </w:tc>
        <w:tc>
          <w:tcPr>
            <w:tcW w:w="520" w:type="dxa"/>
            <w:vAlign w:val="bottom"/>
            <w:shd w:val="clear" w:color="auto" w:fill="CCEEFF"/>
          </w:tcPr>
          <w:p>
            <w:pPr>
              <w:spacing w:after="0"/>
              <w:rPr>
                <w:sz w:val="5"/>
                <w:szCs w:val="5"/>
                <w:color w:val="auto"/>
              </w:rPr>
            </w:pPr>
          </w:p>
        </w:tc>
        <w:tc>
          <w:tcPr>
            <w:tcW w:w="1060" w:type="dxa"/>
            <w:vAlign w:val="bottom"/>
            <w:vMerge w:val="continue"/>
            <w:shd w:val="clear" w:color="auto" w:fill="CCEEFF"/>
          </w:tcPr>
          <w:p>
            <w:pPr>
              <w:spacing w:after="0"/>
              <w:rPr>
                <w:sz w:val="5"/>
                <w:szCs w:val="5"/>
                <w:color w:val="auto"/>
              </w:rPr>
            </w:pPr>
          </w:p>
        </w:tc>
        <w:tc>
          <w:tcPr>
            <w:tcW w:w="0" w:type="dxa"/>
            <w:vAlign w:val="bottom"/>
          </w:tcPr>
          <w:p>
            <w:pPr>
              <w:spacing w:after="0"/>
              <w:rPr>
                <w:sz w:val="1"/>
                <w:szCs w:val="1"/>
                <w:color w:val="auto"/>
              </w:rPr>
            </w:pPr>
          </w:p>
        </w:tc>
      </w:tr>
      <w:tr>
        <w:trPr>
          <w:trHeight w:val="204"/>
        </w:trPr>
        <w:tc>
          <w:tcPr>
            <w:tcW w:w="8120" w:type="dxa"/>
            <w:vAlign w:val="bottom"/>
          </w:tcPr>
          <w:p>
            <w:pPr>
              <w:ind w:left="280"/>
              <w:spacing w:after="0"/>
              <w:rPr>
                <w:sz w:val="20"/>
                <w:szCs w:val="20"/>
                <w:color w:val="auto"/>
              </w:rPr>
            </w:pPr>
            <w:r>
              <w:rPr>
                <w:rFonts w:ascii="Arial" w:cs="Arial" w:eastAsia="Arial" w:hAnsi="Arial"/>
                <w:sz w:val="14"/>
                <w:szCs w:val="14"/>
                <w:color w:val="auto"/>
              </w:rPr>
              <w:t>Loyalty program liability</w:t>
            </w:r>
          </w:p>
        </w:tc>
        <w:tc>
          <w:tcPr>
            <w:tcW w:w="360" w:type="dxa"/>
            <w:vAlign w:val="bottom"/>
          </w:tcPr>
          <w:p>
            <w:pPr>
              <w:spacing w:after="0"/>
              <w:rPr>
                <w:sz w:val="17"/>
                <w:szCs w:val="17"/>
                <w:color w:val="auto"/>
              </w:rPr>
            </w:pPr>
          </w:p>
        </w:tc>
        <w:tc>
          <w:tcPr>
            <w:tcW w:w="1260" w:type="dxa"/>
            <w:vAlign w:val="bottom"/>
            <w:vMerge w:val="restart"/>
          </w:tcPr>
          <w:p>
            <w:pPr>
              <w:jc w:val="right"/>
              <w:ind w:right="48"/>
              <w:spacing w:after="0"/>
              <w:rPr>
                <w:sz w:val="20"/>
                <w:szCs w:val="20"/>
                <w:color w:val="auto"/>
              </w:rPr>
            </w:pPr>
            <w:r>
              <w:rPr>
                <w:rFonts w:ascii="Arial" w:cs="Arial" w:eastAsia="Arial" w:hAnsi="Arial"/>
                <w:sz w:val="14"/>
                <w:szCs w:val="14"/>
                <w:color w:val="auto"/>
              </w:rPr>
              <w:t>5,422</w:t>
            </w:r>
          </w:p>
        </w:tc>
        <w:tc>
          <w:tcPr>
            <w:tcW w:w="10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1060" w:type="dxa"/>
            <w:vAlign w:val="bottom"/>
            <w:vMerge w:val="restart"/>
          </w:tcPr>
          <w:p>
            <w:pPr>
              <w:jc w:val="right"/>
              <w:ind w:right="28"/>
              <w:spacing w:after="0"/>
              <w:rPr>
                <w:sz w:val="20"/>
                <w:szCs w:val="20"/>
                <w:color w:val="auto"/>
              </w:rPr>
            </w:pPr>
            <w:r>
              <w:rPr>
                <w:rFonts w:ascii="Arial" w:cs="Arial" w:eastAsia="Arial" w:hAnsi="Arial"/>
                <w:sz w:val="14"/>
                <w:szCs w:val="14"/>
                <w:color w:val="auto"/>
              </w:rPr>
              <w:t>5,272</w:t>
            </w:r>
          </w:p>
        </w:tc>
        <w:tc>
          <w:tcPr>
            <w:tcW w:w="0" w:type="dxa"/>
            <w:vAlign w:val="bottom"/>
          </w:tcPr>
          <w:p>
            <w:pPr>
              <w:spacing w:after="0"/>
              <w:rPr>
                <w:sz w:val="1"/>
                <w:szCs w:val="1"/>
                <w:color w:val="auto"/>
              </w:rPr>
            </w:pPr>
          </w:p>
        </w:tc>
      </w:tr>
      <w:tr>
        <w:trPr>
          <w:trHeight w:val="60"/>
        </w:trPr>
        <w:tc>
          <w:tcPr>
            <w:tcW w:w="8120" w:type="dxa"/>
            <w:vAlign w:val="bottom"/>
          </w:tcPr>
          <w:p>
            <w:pPr>
              <w:spacing w:after="0"/>
              <w:rPr>
                <w:sz w:val="5"/>
                <w:szCs w:val="5"/>
                <w:color w:val="auto"/>
              </w:rPr>
            </w:pPr>
          </w:p>
        </w:tc>
        <w:tc>
          <w:tcPr>
            <w:tcW w:w="360" w:type="dxa"/>
            <w:vAlign w:val="bottom"/>
          </w:tcPr>
          <w:p>
            <w:pPr>
              <w:spacing w:after="0"/>
              <w:rPr>
                <w:sz w:val="5"/>
                <w:szCs w:val="5"/>
                <w:color w:val="auto"/>
              </w:rPr>
            </w:pPr>
          </w:p>
        </w:tc>
        <w:tc>
          <w:tcPr>
            <w:tcW w:w="1260" w:type="dxa"/>
            <w:vAlign w:val="bottom"/>
            <w:vMerge w:val="continue"/>
          </w:tcPr>
          <w:p>
            <w:pPr>
              <w:spacing w:after="0"/>
              <w:rPr>
                <w:sz w:val="5"/>
                <w:szCs w:val="5"/>
                <w:color w:val="auto"/>
              </w:rPr>
            </w:pPr>
          </w:p>
        </w:tc>
        <w:tc>
          <w:tcPr>
            <w:tcW w:w="100" w:type="dxa"/>
            <w:vAlign w:val="bottom"/>
          </w:tcPr>
          <w:p>
            <w:pPr>
              <w:spacing w:after="0"/>
              <w:rPr>
                <w:sz w:val="5"/>
                <w:szCs w:val="5"/>
                <w:color w:val="auto"/>
              </w:rPr>
            </w:pPr>
          </w:p>
        </w:tc>
        <w:tc>
          <w:tcPr>
            <w:tcW w:w="520" w:type="dxa"/>
            <w:vAlign w:val="bottom"/>
          </w:tcPr>
          <w:p>
            <w:pPr>
              <w:spacing w:after="0"/>
              <w:rPr>
                <w:sz w:val="5"/>
                <w:szCs w:val="5"/>
                <w:color w:val="auto"/>
              </w:rPr>
            </w:pPr>
          </w:p>
        </w:tc>
        <w:tc>
          <w:tcPr>
            <w:tcW w:w="106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r>
        <w:trPr>
          <w:trHeight w:val="210"/>
        </w:trPr>
        <w:tc>
          <w:tcPr>
            <w:tcW w:w="8120" w:type="dxa"/>
            <w:vAlign w:val="bottom"/>
            <w:shd w:val="clear" w:color="auto" w:fill="CCEEFF"/>
          </w:tcPr>
          <w:p>
            <w:pPr>
              <w:ind w:left="280"/>
              <w:spacing w:after="0"/>
              <w:rPr>
                <w:sz w:val="20"/>
                <w:szCs w:val="20"/>
                <w:color w:val="auto"/>
              </w:rPr>
            </w:pPr>
            <w:r>
              <w:rPr>
                <w:rFonts w:ascii="Arial" w:cs="Arial" w:eastAsia="Arial" w:hAnsi="Arial"/>
                <w:sz w:val="14"/>
                <w:szCs w:val="14"/>
                <w:color w:val="auto"/>
              </w:rPr>
              <w:t>Operating lease liabilities</w:t>
            </w:r>
          </w:p>
        </w:tc>
        <w:tc>
          <w:tcPr>
            <w:tcW w:w="360" w:type="dxa"/>
            <w:vAlign w:val="bottom"/>
            <w:shd w:val="clear" w:color="auto" w:fill="CCEEFF"/>
          </w:tcPr>
          <w:p>
            <w:pPr>
              <w:spacing w:after="0"/>
              <w:rPr>
                <w:sz w:val="18"/>
                <w:szCs w:val="18"/>
                <w:color w:val="auto"/>
              </w:rPr>
            </w:pPr>
          </w:p>
        </w:tc>
        <w:tc>
          <w:tcPr>
            <w:tcW w:w="1260" w:type="dxa"/>
            <w:vAlign w:val="bottom"/>
            <w:vMerge w:val="restart"/>
            <w:shd w:val="clear" w:color="auto" w:fill="CCEEFF"/>
          </w:tcPr>
          <w:p>
            <w:pPr>
              <w:jc w:val="right"/>
              <w:ind w:right="48"/>
              <w:spacing w:after="0"/>
              <w:rPr>
                <w:sz w:val="20"/>
                <w:szCs w:val="20"/>
                <w:color w:val="auto"/>
              </w:rPr>
            </w:pPr>
            <w:r>
              <w:rPr>
                <w:rFonts w:ascii="Arial" w:cs="Arial" w:eastAsia="Arial" w:hAnsi="Arial"/>
                <w:sz w:val="14"/>
                <w:szCs w:val="14"/>
                <w:color w:val="auto"/>
              </w:rPr>
              <w:t>7,421</w:t>
            </w:r>
          </w:p>
        </w:tc>
        <w:tc>
          <w:tcPr>
            <w:tcW w:w="10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1060" w:type="dxa"/>
            <w:vAlign w:val="bottom"/>
            <w:vMerge w:val="restart"/>
            <w:shd w:val="clear" w:color="auto" w:fill="CCEEFF"/>
          </w:tcPr>
          <w:p>
            <w:pPr>
              <w:jc w:val="right"/>
              <w:ind w:right="28"/>
              <w:spacing w:after="0"/>
              <w:rPr>
                <w:sz w:val="20"/>
                <w:szCs w:val="20"/>
                <w:color w:val="auto"/>
              </w:rPr>
            </w:pPr>
            <w:r>
              <w:rPr>
                <w:rFonts w:ascii="Arial" w:cs="Arial" w:eastAsia="Arial" w:hAnsi="Arial"/>
                <w:sz w:val="14"/>
                <w:szCs w:val="14"/>
                <w:color w:val="auto"/>
              </w:rPr>
              <w:t>7,902</w:t>
            </w:r>
          </w:p>
        </w:tc>
        <w:tc>
          <w:tcPr>
            <w:tcW w:w="0" w:type="dxa"/>
            <w:vAlign w:val="bottom"/>
          </w:tcPr>
          <w:p>
            <w:pPr>
              <w:spacing w:after="0"/>
              <w:rPr>
                <w:sz w:val="1"/>
                <w:szCs w:val="1"/>
                <w:color w:val="auto"/>
              </w:rPr>
            </w:pPr>
          </w:p>
        </w:tc>
      </w:tr>
      <w:tr>
        <w:trPr>
          <w:trHeight w:val="66"/>
        </w:trPr>
        <w:tc>
          <w:tcPr>
            <w:tcW w:w="8120" w:type="dxa"/>
            <w:vAlign w:val="bottom"/>
            <w:shd w:val="clear" w:color="auto" w:fill="CCEEFF"/>
          </w:tcPr>
          <w:p>
            <w:pPr>
              <w:spacing w:after="0"/>
              <w:rPr>
                <w:sz w:val="5"/>
                <w:szCs w:val="5"/>
                <w:color w:val="auto"/>
              </w:rPr>
            </w:pPr>
          </w:p>
        </w:tc>
        <w:tc>
          <w:tcPr>
            <w:tcW w:w="360" w:type="dxa"/>
            <w:vAlign w:val="bottom"/>
            <w:shd w:val="clear" w:color="auto" w:fill="CCEEFF"/>
          </w:tcPr>
          <w:p>
            <w:pPr>
              <w:spacing w:after="0"/>
              <w:rPr>
                <w:sz w:val="5"/>
                <w:szCs w:val="5"/>
                <w:color w:val="auto"/>
              </w:rPr>
            </w:pPr>
          </w:p>
        </w:tc>
        <w:tc>
          <w:tcPr>
            <w:tcW w:w="1260" w:type="dxa"/>
            <w:vAlign w:val="bottom"/>
            <w:vMerge w:val="continue"/>
            <w:shd w:val="clear" w:color="auto" w:fill="CCEEFF"/>
          </w:tcPr>
          <w:p>
            <w:pPr>
              <w:spacing w:after="0"/>
              <w:rPr>
                <w:sz w:val="5"/>
                <w:szCs w:val="5"/>
                <w:color w:val="auto"/>
              </w:rPr>
            </w:pPr>
          </w:p>
        </w:tc>
        <w:tc>
          <w:tcPr>
            <w:tcW w:w="100" w:type="dxa"/>
            <w:vAlign w:val="bottom"/>
            <w:shd w:val="clear" w:color="auto" w:fill="CCEEFF"/>
          </w:tcPr>
          <w:p>
            <w:pPr>
              <w:spacing w:after="0"/>
              <w:rPr>
                <w:sz w:val="5"/>
                <w:szCs w:val="5"/>
                <w:color w:val="auto"/>
              </w:rPr>
            </w:pPr>
          </w:p>
        </w:tc>
        <w:tc>
          <w:tcPr>
            <w:tcW w:w="520" w:type="dxa"/>
            <w:vAlign w:val="bottom"/>
            <w:shd w:val="clear" w:color="auto" w:fill="CCEEFF"/>
          </w:tcPr>
          <w:p>
            <w:pPr>
              <w:spacing w:after="0"/>
              <w:rPr>
                <w:sz w:val="5"/>
                <w:szCs w:val="5"/>
                <w:color w:val="auto"/>
              </w:rPr>
            </w:pPr>
          </w:p>
        </w:tc>
        <w:tc>
          <w:tcPr>
            <w:tcW w:w="1060" w:type="dxa"/>
            <w:vAlign w:val="bottom"/>
            <w:vMerge w:val="continue"/>
            <w:shd w:val="clear" w:color="auto" w:fill="CCEEFF"/>
          </w:tcPr>
          <w:p>
            <w:pPr>
              <w:spacing w:after="0"/>
              <w:rPr>
                <w:sz w:val="5"/>
                <w:szCs w:val="5"/>
                <w:color w:val="auto"/>
              </w:rPr>
            </w:pPr>
          </w:p>
        </w:tc>
        <w:tc>
          <w:tcPr>
            <w:tcW w:w="0" w:type="dxa"/>
            <w:vAlign w:val="bottom"/>
          </w:tcPr>
          <w:p>
            <w:pPr>
              <w:spacing w:after="0"/>
              <w:rPr>
                <w:sz w:val="1"/>
                <w:szCs w:val="1"/>
                <w:color w:val="auto"/>
              </w:rPr>
            </w:pPr>
          </w:p>
        </w:tc>
      </w:tr>
      <w:tr>
        <w:trPr>
          <w:trHeight w:val="204"/>
        </w:trPr>
        <w:tc>
          <w:tcPr>
            <w:tcW w:w="8120" w:type="dxa"/>
            <w:vAlign w:val="bottom"/>
          </w:tcPr>
          <w:p>
            <w:pPr>
              <w:ind w:left="280"/>
              <w:spacing w:after="0"/>
              <w:rPr>
                <w:sz w:val="20"/>
                <w:szCs w:val="20"/>
                <w:color w:val="auto"/>
              </w:rPr>
            </w:pPr>
            <w:r>
              <w:rPr>
                <w:rFonts w:ascii="Arial" w:cs="Arial" w:eastAsia="Arial" w:hAnsi="Arial"/>
                <w:sz w:val="14"/>
                <w:szCs w:val="14"/>
                <w:color w:val="auto"/>
              </w:rPr>
              <w:t>Other liabilities</w:t>
            </w:r>
          </w:p>
        </w:tc>
        <w:tc>
          <w:tcPr>
            <w:tcW w:w="360" w:type="dxa"/>
            <w:vAlign w:val="bottom"/>
          </w:tcPr>
          <w:p>
            <w:pPr>
              <w:spacing w:after="0"/>
              <w:rPr>
                <w:sz w:val="17"/>
                <w:szCs w:val="17"/>
                <w:color w:val="auto"/>
              </w:rPr>
            </w:pPr>
          </w:p>
        </w:tc>
        <w:tc>
          <w:tcPr>
            <w:tcW w:w="1260" w:type="dxa"/>
            <w:vAlign w:val="bottom"/>
            <w:vMerge w:val="restart"/>
          </w:tcPr>
          <w:p>
            <w:pPr>
              <w:jc w:val="right"/>
              <w:ind w:right="48"/>
              <w:spacing w:after="0"/>
              <w:rPr>
                <w:sz w:val="20"/>
                <w:szCs w:val="20"/>
                <w:color w:val="auto"/>
              </w:rPr>
            </w:pPr>
            <w:r>
              <w:rPr>
                <w:rFonts w:ascii="Arial" w:cs="Arial" w:eastAsia="Arial" w:hAnsi="Arial"/>
                <w:sz w:val="14"/>
                <w:szCs w:val="14"/>
                <w:color w:val="auto"/>
              </w:rPr>
              <w:t>1,453</w:t>
            </w:r>
          </w:p>
        </w:tc>
        <w:tc>
          <w:tcPr>
            <w:tcW w:w="10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1060" w:type="dxa"/>
            <w:vAlign w:val="bottom"/>
            <w:vMerge w:val="restart"/>
          </w:tcPr>
          <w:p>
            <w:pPr>
              <w:jc w:val="right"/>
              <w:ind w:right="28"/>
              <w:spacing w:after="0"/>
              <w:rPr>
                <w:sz w:val="20"/>
                <w:szCs w:val="20"/>
                <w:color w:val="auto"/>
              </w:rPr>
            </w:pPr>
            <w:r>
              <w:rPr>
                <w:rFonts w:ascii="Arial" w:cs="Arial" w:eastAsia="Arial" w:hAnsi="Arial"/>
                <w:sz w:val="14"/>
                <w:szCs w:val="14"/>
                <w:color w:val="auto"/>
              </w:rPr>
              <w:t>1,393</w:t>
            </w:r>
          </w:p>
        </w:tc>
        <w:tc>
          <w:tcPr>
            <w:tcW w:w="0" w:type="dxa"/>
            <w:vAlign w:val="bottom"/>
          </w:tcPr>
          <w:p>
            <w:pPr>
              <w:spacing w:after="0"/>
              <w:rPr>
                <w:sz w:val="1"/>
                <w:szCs w:val="1"/>
                <w:color w:val="auto"/>
              </w:rPr>
            </w:pPr>
          </w:p>
        </w:tc>
      </w:tr>
      <w:tr>
        <w:trPr>
          <w:trHeight w:val="60"/>
        </w:trPr>
        <w:tc>
          <w:tcPr>
            <w:tcW w:w="8120" w:type="dxa"/>
            <w:vAlign w:val="bottom"/>
            <w:tcBorders>
              <w:bottom w:val="single" w:sz="8" w:color="CCEEFF"/>
            </w:tcBorders>
          </w:tcPr>
          <w:p>
            <w:pPr>
              <w:spacing w:after="0"/>
              <w:rPr>
                <w:sz w:val="5"/>
                <w:szCs w:val="5"/>
                <w:color w:val="auto"/>
              </w:rPr>
            </w:pPr>
          </w:p>
        </w:tc>
        <w:tc>
          <w:tcPr>
            <w:tcW w:w="360" w:type="dxa"/>
            <w:vAlign w:val="bottom"/>
            <w:tcBorders>
              <w:bottom w:val="single" w:sz="8" w:color="auto"/>
            </w:tcBorders>
          </w:tcPr>
          <w:p>
            <w:pPr>
              <w:spacing w:after="0"/>
              <w:rPr>
                <w:sz w:val="5"/>
                <w:szCs w:val="5"/>
                <w:color w:val="auto"/>
              </w:rPr>
            </w:pPr>
          </w:p>
        </w:tc>
        <w:tc>
          <w:tcPr>
            <w:tcW w:w="1260" w:type="dxa"/>
            <w:vAlign w:val="bottom"/>
            <w:tcBorders>
              <w:bottom w:val="single" w:sz="8" w:color="auto"/>
            </w:tcBorders>
            <w:vMerge w:val="continue"/>
          </w:tcPr>
          <w:p>
            <w:pPr>
              <w:spacing w:after="0"/>
              <w:rPr>
                <w:sz w:val="5"/>
                <w:szCs w:val="5"/>
                <w:color w:val="auto"/>
              </w:rPr>
            </w:pPr>
          </w:p>
        </w:tc>
        <w:tc>
          <w:tcPr>
            <w:tcW w:w="100" w:type="dxa"/>
            <w:vAlign w:val="bottom"/>
            <w:tcBorders>
              <w:bottom w:val="single" w:sz="8" w:color="CCEEFF"/>
            </w:tcBorders>
          </w:tcPr>
          <w:p>
            <w:pPr>
              <w:spacing w:after="0"/>
              <w:rPr>
                <w:sz w:val="5"/>
                <w:szCs w:val="5"/>
                <w:color w:val="auto"/>
              </w:rPr>
            </w:pPr>
          </w:p>
        </w:tc>
        <w:tc>
          <w:tcPr>
            <w:tcW w:w="520" w:type="dxa"/>
            <w:vAlign w:val="bottom"/>
            <w:tcBorders>
              <w:bottom w:val="single" w:sz="8" w:color="auto"/>
            </w:tcBorders>
          </w:tcPr>
          <w:p>
            <w:pPr>
              <w:spacing w:after="0"/>
              <w:rPr>
                <w:sz w:val="5"/>
                <w:szCs w:val="5"/>
                <w:color w:val="auto"/>
              </w:rPr>
            </w:pPr>
          </w:p>
        </w:tc>
        <w:tc>
          <w:tcPr>
            <w:tcW w:w="1060" w:type="dxa"/>
            <w:vAlign w:val="bottom"/>
            <w:tcBorders>
              <w:bottom w:val="single" w:sz="8" w:color="auto"/>
            </w:tcBorders>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90"/>
        </w:trPr>
        <w:tc>
          <w:tcPr>
            <w:tcW w:w="8120" w:type="dxa"/>
            <w:vAlign w:val="bottom"/>
            <w:shd w:val="clear" w:color="auto" w:fill="CCEEFF"/>
          </w:tcPr>
          <w:p>
            <w:pPr>
              <w:ind w:left="500"/>
              <w:spacing w:after="0"/>
              <w:rPr>
                <w:sz w:val="20"/>
                <w:szCs w:val="20"/>
                <w:color w:val="auto"/>
              </w:rPr>
            </w:pPr>
            <w:r>
              <w:rPr>
                <w:rFonts w:ascii="Arial" w:cs="Arial" w:eastAsia="Arial" w:hAnsi="Arial"/>
                <w:sz w:val="14"/>
                <w:szCs w:val="14"/>
                <w:color w:val="auto"/>
              </w:rPr>
              <w:t>Total noncurrent liabilities</w:t>
            </w:r>
          </w:p>
        </w:tc>
        <w:tc>
          <w:tcPr>
            <w:tcW w:w="360" w:type="dxa"/>
            <w:vAlign w:val="bottom"/>
            <w:shd w:val="clear" w:color="auto" w:fill="CCEEFF"/>
          </w:tcPr>
          <w:p>
            <w:pPr>
              <w:spacing w:after="0"/>
              <w:rPr>
                <w:sz w:val="16"/>
                <w:szCs w:val="16"/>
                <w:color w:val="auto"/>
              </w:rPr>
            </w:pPr>
          </w:p>
        </w:tc>
        <w:tc>
          <w:tcPr>
            <w:tcW w:w="1260" w:type="dxa"/>
            <w:vAlign w:val="bottom"/>
            <w:vMerge w:val="restart"/>
            <w:shd w:val="clear" w:color="auto" w:fill="CCEEFF"/>
          </w:tcPr>
          <w:p>
            <w:pPr>
              <w:jc w:val="right"/>
              <w:ind w:right="48"/>
              <w:spacing w:after="0"/>
              <w:rPr>
                <w:sz w:val="20"/>
                <w:szCs w:val="20"/>
                <w:color w:val="auto"/>
              </w:rPr>
            </w:pPr>
            <w:r>
              <w:rPr>
                <w:rFonts w:ascii="Arial" w:cs="Arial" w:eastAsia="Arial" w:hAnsi="Arial"/>
                <w:sz w:val="14"/>
                <w:szCs w:val="14"/>
                <w:color w:val="auto"/>
              </w:rPr>
              <w:t>41,802</w:t>
            </w:r>
          </w:p>
        </w:tc>
        <w:tc>
          <w:tcPr>
            <w:tcW w:w="100" w:type="dxa"/>
            <w:vAlign w:val="bottom"/>
            <w:shd w:val="clear" w:color="auto" w:fill="CCEEFF"/>
          </w:tcPr>
          <w:p>
            <w:pPr>
              <w:spacing w:after="0"/>
              <w:rPr>
                <w:sz w:val="16"/>
                <w:szCs w:val="16"/>
                <w:color w:val="auto"/>
              </w:rPr>
            </w:pPr>
          </w:p>
        </w:tc>
        <w:tc>
          <w:tcPr>
            <w:tcW w:w="520" w:type="dxa"/>
            <w:vAlign w:val="bottom"/>
            <w:shd w:val="clear" w:color="auto" w:fill="CCEEFF"/>
          </w:tcPr>
          <w:p>
            <w:pPr>
              <w:spacing w:after="0"/>
              <w:rPr>
                <w:sz w:val="16"/>
                <w:szCs w:val="16"/>
                <w:color w:val="auto"/>
              </w:rPr>
            </w:pPr>
          </w:p>
        </w:tc>
        <w:tc>
          <w:tcPr>
            <w:tcW w:w="1060" w:type="dxa"/>
            <w:vAlign w:val="bottom"/>
            <w:vMerge w:val="restart"/>
            <w:shd w:val="clear" w:color="auto" w:fill="CCEEFF"/>
          </w:tcPr>
          <w:p>
            <w:pPr>
              <w:jc w:val="right"/>
              <w:ind w:right="28"/>
              <w:spacing w:after="0"/>
              <w:rPr>
                <w:sz w:val="20"/>
                <w:szCs w:val="20"/>
                <w:color w:val="auto"/>
              </w:rPr>
            </w:pPr>
            <w:r>
              <w:rPr>
                <w:rFonts w:ascii="Arial" w:cs="Arial" w:eastAsia="Arial" w:hAnsi="Arial"/>
                <w:sz w:val="14"/>
                <w:szCs w:val="14"/>
                <w:color w:val="auto"/>
              </w:rPr>
              <w:t>42,653</w:t>
            </w:r>
          </w:p>
        </w:tc>
        <w:tc>
          <w:tcPr>
            <w:tcW w:w="0" w:type="dxa"/>
            <w:vAlign w:val="bottom"/>
          </w:tcPr>
          <w:p>
            <w:pPr>
              <w:spacing w:after="0"/>
              <w:rPr>
                <w:sz w:val="1"/>
                <w:szCs w:val="1"/>
                <w:color w:val="auto"/>
              </w:rPr>
            </w:pPr>
          </w:p>
        </w:tc>
      </w:tr>
      <w:tr>
        <w:trPr>
          <w:trHeight w:val="66"/>
        </w:trPr>
        <w:tc>
          <w:tcPr>
            <w:tcW w:w="8120" w:type="dxa"/>
            <w:vAlign w:val="bottom"/>
            <w:shd w:val="clear" w:color="auto" w:fill="CCEEFF"/>
          </w:tcPr>
          <w:p>
            <w:pPr>
              <w:spacing w:after="0"/>
              <w:rPr>
                <w:sz w:val="5"/>
                <w:szCs w:val="5"/>
                <w:color w:val="auto"/>
              </w:rPr>
            </w:pPr>
          </w:p>
        </w:tc>
        <w:tc>
          <w:tcPr>
            <w:tcW w:w="360" w:type="dxa"/>
            <w:vAlign w:val="bottom"/>
            <w:shd w:val="clear" w:color="auto" w:fill="CCEEFF"/>
          </w:tcPr>
          <w:p>
            <w:pPr>
              <w:spacing w:after="0"/>
              <w:rPr>
                <w:sz w:val="5"/>
                <w:szCs w:val="5"/>
                <w:color w:val="auto"/>
              </w:rPr>
            </w:pPr>
          </w:p>
        </w:tc>
        <w:tc>
          <w:tcPr>
            <w:tcW w:w="1260" w:type="dxa"/>
            <w:vAlign w:val="bottom"/>
            <w:vMerge w:val="continue"/>
            <w:shd w:val="clear" w:color="auto" w:fill="CCEEFF"/>
          </w:tcPr>
          <w:p>
            <w:pPr>
              <w:spacing w:after="0"/>
              <w:rPr>
                <w:sz w:val="5"/>
                <w:szCs w:val="5"/>
                <w:color w:val="auto"/>
              </w:rPr>
            </w:pPr>
          </w:p>
        </w:tc>
        <w:tc>
          <w:tcPr>
            <w:tcW w:w="100" w:type="dxa"/>
            <w:vAlign w:val="bottom"/>
            <w:shd w:val="clear" w:color="auto" w:fill="CCEEFF"/>
          </w:tcPr>
          <w:p>
            <w:pPr>
              <w:spacing w:after="0"/>
              <w:rPr>
                <w:sz w:val="5"/>
                <w:szCs w:val="5"/>
                <w:color w:val="auto"/>
              </w:rPr>
            </w:pPr>
          </w:p>
        </w:tc>
        <w:tc>
          <w:tcPr>
            <w:tcW w:w="520" w:type="dxa"/>
            <w:vAlign w:val="bottom"/>
            <w:shd w:val="clear" w:color="auto" w:fill="CCEEFF"/>
          </w:tcPr>
          <w:p>
            <w:pPr>
              <w:spacing w:after="0"/>
              <w:rPr>
                <w:sz w:val="5"/>
                <w:szCs w:val="5"/>
                <w:color w:val="auto"/>
              </w:rPr>
            </w:pPr>
          </w:p>
        </w:tc>
        <w:tc>
          <w:tcPr>
            <w:tcW w:w="1060" w:type="dxa"/>
            <w:vAlign w:val="bottom"/>
            <w:vMerge w:val="continue"/>
            <w:shd w:val="clear" w:color="auto" w:fill="CCEEFF"/>
          </w:tcPr>
          <w:p>
            <w:pPr>
              <w:spacing w:after="0"/>
              <w:rPr>
                <w:sz w:val="5"/>
                <w:szCs w:val="5"/>
                <w:color w:val="auto"/>
              </w:rPr>
            </w:pPr>
          </w:p>
        </w:tc>
        <w:tc>
          <w:tcPr>
            <w:tcW w:w="0" w:type="dxa"/>
            <w:vAlign w:val="bottom"/>
          </w:tcPr>
          <w:p>
            <w:pPr>
              <w:spacing w:after="0"/>
              <w:rPr>
                <w:sz w:val="1"/>
                <w:szCs w:val="1"/>
                <w:color w:val="auto"/>
              </w:rPr>
            </w:pPr>
          </w:p>
        </w:tc>
      </w:tr>
      <w:tr>
        <w:trPr>
          <w:trHeight w:val="204"/>
        </w:trPr>
        <w:tc>
          <w:tcPr>
            <w:tcW w:w="8120" w:type="dxa"/>
            <w:vAlign w:val="bottom"/>
          </w:tcPr>
          <w:p>
            <w:pPr>
              <w:ind w:left="40"/>
              <w:spacing w:after="0"/>
              <w:rPr>
                <w:sz w:val="20"/>
                <w:szCs w:val="20"/>
                <w:color w:val="auto"/>
              </w:rPr>
            </w:pPr>
            <w:r>
              <w:rPr>
                <w:rFonts w:ascii="Arial" w:cs="Arial" w:eastAsia="Arial" w:hAnsi="Arial"/>
                <w:sz w:val="14"/>
                <w:szCs w:val="14"/>
                <w:b w:val="1"/>
                <w:bCs w:val="1"/>
                <w:color w:val="auto"/>
              </w:rPr>
              <w:t>Commitments and contingencies (Note 12)</w:t>
            </w:r>
          </w:p>
        </w:tc>
        <w:tc>
          <w:tcPr>
            <w:tcW w:w="36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66"/>
        </w:trPr>
        <w:tc>
          <w:tcPr>
            <w:tcW w:w="8120" w:type="dxa"/>
            <w:vAlign w:val="bottom"/>
          </w:tcPr>
          <w:p>
            <w:pPr>
              <w:spacing w:after="0"/>
              <w:rPr>
                <w:sz w:val="5"/>
                <w:szCs w:val="5"/>
                <w:color w:val="auto"/>
              </w:rPr>
            </w:pPr>
          </w:p>
        </w:tc>
        <w:tc>
          <w:tcPr>
            <w:tcW w:w="360" w:type="dxa"/>
            <w:vAlign w:val="bottom"/>
          </w:tcPr>
          <w:p>
            <w:pPr>
              <w:spacing w:after="0"/>
              <w:rPr>
                <w:sz w:val="5"/>
                <w:szCs w:val="5"/>
                <w:color w:val="auto"/>
              </w:rPr>
            </w:pPr>
          </w:p>
        </w:tc>
        <w:tc>
          <w:tcPr>
            <w:tcW w:w="1260" w:type="dxa"/>
            <w:vAlign w:val="bottom"/>
          </w:tcPr>
          <w:p>
            <w:pPr>
              <w:spacing w:after="0"/>
              <w:rPr>
                <w:sz w:val="5"/>
                <w:szCs w:val="5"/>
                <w:color w:val="auto"/>
              </w:rPr>
            </w:pPr>
          </w:p>
        </w:tc>
        <w:tc>
          <w:tcPr>
            <w:tcW w:w="100" w:type="dxa"/>
            <w:vAlign w:val="bottom"/>
          </w:tcPr>
          <w:p>
            <w:pPr>
              <w:spacing w:after="0"/>
              <w:rPr>
                <w:sz w:val="5"/>
                <w:szCs w:val="5"/>
                <w:color w:val="auto"/>
              </w:rPr>
            </w:pPr>
          </w:p>
        </w:tc>
        <w:tc>
          <w:tcPr>
            <w:tcW w:w="520" w:type="dxa"/>
            <w:vAlign w:val="bottom"/>
          </w:tcPr>
          <w:p>
            <w:pPr>
              <w:spacing w:after="0"/>
              <w:rPr>
                <w:sz w:val="5"/>
                <w:szCs w:val="5"/>
                <w:color w:val="auto"/>
              </w:rPr>
            </w:pPr>
          </w:p>
        </w:tc>
        <w:tc>
          <w:tcPr>
            <w:tcW w:w="106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04"/>
        </w:trPr>
        <w:tc>
          <w:tcPr>
            <w:tcW w:w="8120" w:type="dxa"/>
            <w:vAlign w:val="bottom"/>
            <w:shd w:val="clear" w:color="auto" w:fill="CCEEFF"/>
          </w:tcPr>
          <w:p>
            <w:pPr>
              <w:ind w:left="40"/>
              <w:spacing w:after="0"/>
              <w:rPr>
                <w:sz w:val="20"/>
                <w:szCs w:val="20"/>
                <w:color w:val="auto"/>
              </w:rPr>
            </w:pPr>
            <w:r>
              <w:rPr>
                <w:rFonts w:ascii="Arial" w:cs="Arial" w:eastAsia="Arial" w:hAnsi="Arial"/>
                <w:sz w:val="14"/>
                <w:szCs w:val="14"/>
                <w:b w:val="1"/>
                <w:bCs w:val="1"/>
                <w:color w:val="auto"/>
              </w:rPr>
              <w:t>Stockholders' equity (deficit)</w:t>
            </w:r>
          </w:p>
        </w:tc>
        <w:tc>
          <w:tcPr>
            <w:tcW w:w="360" w:type="dxa"/>
            <w:vAlign w:val="bottom"/>
            <w:shd w:val="clear" w:color="auto" w:fill="CCEEFF"/>
          </w:tcPr>
          <w:p>
            <w:pPr>
              <w:spacing w:after="0"/>
              <w:rPr>
                <w:sz w:val="17"/>
                <w:szCs w:val="17"/>
                <w:color w:val="auto"/>
              </w:rPr>
            </w:pPr>
          </w:p>
        </w:tc>
        <w:tc>
          <w:tcPr>
            <w:tcW w:w="12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520" w:type="dxa"/>
            <w:vAlign w:val="bottom"/>
            <w:shd w:val="clear" w:color="auto" w:fill="CCEEFF"/>
          </w:tcPr>
          <w:p>
            <w:pPr>
              <w:spacing w:after="0"/>
              <w:rPr>
                <w:sz w:val="17"/>
                <w:szCs w:val="17"/>
                <w:color w:val="auto"/>
              </w:rPr>
            </w:pPr>
          </w:p>
        </w:tc>
        <w:tc>
          <w:tcPr>
            <w:tcW w:w="10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66"/>
        </w:trPr>
        <w:tc>
          <w:tcPr>
            <w:tcW w:w="8120" w:type="dxa"/>
            <w:vAlign w:val="bottom"/>
            <w:shd w:val="clear" w:color="auto" w:fill="CCEEFF"/>
          </w:tcPr>
          <w:p>
            <w:pPr>
              <w:spacing w:after="0"/>
              <w:rPr>
                <w:sz w:val="5"/>
                <w:szCs w:val="5"/>
                <w:color w:val="auto"/>
              </w:rPr>
            </w:pPr>
          </w:p>
        </w:tc>
        <w:tc>
          <w:tcPr>
            <w:tcW w:w="360" w:type="dxa"/>
            <w:vAlign w:val="bottom"/>
            <w:shd w:val="clear" w:color="auto" w:fill="CCEEFF"/>
          </w:tcPr>
          <w:p>
            <w:pPr>
              <w:spacing w:after="0"/>
              <w:rPr>
                <w:sz w:val="5"/>
                <w:szCs w:val="5"/>
                <w:color w:val="auto"/>
              </w:rPr>
            </w:pPr>
          </w:p>
        </w:tc>
        <w:tc>
          <w:tcPr>
            <w:tcW w:w="1260" w:type="dxa"/>
            <w:vAlign w:val="bottom"/>
            <w:shd w:val="clear" w:color="auto" w:fill="CCEEFF"/>
          </w:tcPr>
          <w:p>
            <w:pPr>
              <w:spacing w:after="0"/>
              <w:rPr>
                <w:sz w:val="5"/>
                <w:szCs w:val="5"/>
                <w:color w:val="auto"/>
              </w:rPr>
            </w:pPr>
          </w:p>
        </w:tc>
        <w:tc>
          <w:tcPr>
            <w:tcW w:w="100" w:type="dxa"/>
            <w:vAlign w:val="bottom"/>
            <w:shd w:val="clear" w:color="auto" w:fill="CCEEFF"/>
          </w:tcPr>
          <w:p>
            <w:pPr>
              <w:spacing w:after="0"/>
              <w:rPr>
                <w:sz w:val="5"/>
                <w:szCs w:val="5"/>
                <w:color w:val="auto"/>
              </w:rPr>
            </w:pPr>
          </w:p>
        </w:tc>
        <w:tc>
          <w:tcPr>
            <w:tcW w:w="520" w:type="dxa"/>
            <w:vAlign w:val="bottom"/>
            <w:shd w:val="clear" w:color="auto" w:fill="CCEEFF"/>
          </w:tcPr>
          <w:p>
            <w:pPr>
              <w:spacing w:after="0"/>
              <w:rPr>
                <w:sz w:val="5"/>
                <w:szCs w:val="5"/>
                <w:color w:val="auto"/>
              </w:rPr>
            </w:pPr>
          </w:p>
        </w:tc>
        <w:tc>
          <w:tcPr>
            <w:tcW w:w="1060" w:type="dxa"/>
            <w:vAlign w:val="bottom"/>
            <w:shd w:val="clear" w:color="auto" w:fill="CCEEFF"/>
          </w:tcPr>
          <w:p>
            <w:pPr>
              <w:spacing w:after="0"/>
              <w:rPr>
                <w:sz w:val="5"/>
                <w:szCs w:val="5"/>
                <w:color w:val="auto"/>
              </w:rPr>
            </w:pPr>
          </w:p>
        </w:tc>
        <w:tc>
          <w:tcPr>
            <w:tcW w:w="0" w:type="dxa"/>
            <w:vAlign w:val="bottom"/>
          </w:tcPr>
          <w:p>
            <w:pPr>
              <w:spacing w:after="0"/>
              <w:rPr>
                <w:sz w:val="1"/>
                <w:szCs w:val="1"/>
                <w:color w:val="auto"/>
              </w:rPr>
            </w:pPr>
          </w:p>
        </w:tc>
      </w:tr>
      <w:tr>
        <w:trPr>
          <w:trHeight w:val="194"/>
        </w:trPr>
        <w:tc>
          <w:tcPr>
            <w:tcW w:w="8120" w:type="dxa"/>
            <w:vAlign w:val="bottom"/>
          </w:tcPr>
          <w:p>
            <w:pPr>
              <w:ind w:left="280"/>
              <w:spacing w:after="0"/>
              <w:rPr>
                <w:sz w:val="20"/>
                <w:szCs w:val="20"/>
                <w:color w:val="auto"/>
              </w:rPr>
            </w:pPr>
            <w:r>
              <w:rPr>
                <w:rFonts w:ascii="Arial" w:cs="Arial" w:eastAsia="Arial" w:hAnsi="Arial"/>
                <w:sz w:val="14"/>
                <w:szCs w:val="14"/>
                <w:color w:val="auto"/>
              </w:rPr>
              <w:t>Common stock, $0.01 par value; 1,750,000,000 shares authorized, 428,202,506 shares issued and outstanding at</w:t>
            </w:r>
          </w:p>
        </w:tc>
        <w:tc>
          <w:tcPr>
            <w:tcW w:w="360" w:type="dxa"/>
            <w:vAlign w:val="bottom"/>
          </w:tcPr>
          <w:p>
            <w:pPr>
              <w:spacing w:after="0"/>
              <w:rPr>
                <w:sz w:val="16"/>
                <w:szCs w:val="16"/>
                <w:color w:val="auto"/>
              </w:rPr>
            </w:pPr>
          </w:p>
        </w:tc>
        <w:tc>
          <w:tcPr>
            <w:tcW w:w="12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78"/>
        </w:trPr>
        <w:tc>
          <w:tcPr>
            <w:tcW w:w="8120" w:type="dxa"/>
            <w:vAlign w:val="bottom"/>
          </w:tcPr>
          <w:p>
            <w:pPr>
              <w:ind w:left="280"/>
              <w:spacing w:after="0"/>
              <w:rPr>
                <w:sz w:val="20"/>
                <w:szCs w:val="20"/>
                <w:color w:val="auto"/>
              </w:rPr>
            </w:pPr>
            <w:r>
              <w:rPr>
                <w:rFonts w:ascii="Arial" w:cs="Arial" w:eastAsia="Arial" w:hAnsi="Arial"/>
                <w:sz w:val="14"/>
                <w:szCs w:val="14"/>
                <w:color w:val="auto"/>
              </w:rPr>
              <w:t>December 31, 2019; 460,610,870 shares issued and outstanding at December 31, 2018</w:t>
            </w:r>
          </w:p>
        </w:tc>
        <w:tc>
          <w:tcPr>
            <w:tcW w:w="360" w:type="dxa"/>
            <w:vAlign w:val="bottom"/>
          </w:tcPr>
          <w:p>
            <w:pPr>
              <w:spacing w:after="0"/>
              <w:rPr>
                <w:sz w:val="15"/>
                <w:szCs w:val="15"/>
                <w:color w:val="auto"/>
              </w:rPr>
            </w:pPr>
          </w:p>
        </w:tc>
        <w:tc>
          <w:tcPr>
            <w:tcW w:w="1260" w:type="dxa"/>
            <w:vAlign w:val="bottom"/>
          </w:tcPr>
          <w:p>
            <w:pPr>
              <w:jc w:val="right"/>
              <w:ind w:right="48"/>
              <w:spacing w:after="0"/>
              <w:rPr>
                <w:sz w:val="20"/>
                <w:szCs w:val="20"/>
                <w:color w:val="auto"/>
              </w:rPr>
            </w:pPr>
            <w:r>
              <w:rPr>
                <w:rFonts w:ascii="Arial" w:cs="Arial" w:eastAsia="Arial" w:hAnsi="Arial"/>
                <w:sz w:val="14"/>
                <w:szCs w:val="14"/>
                <w:color w:val="auto"/>
              </w:rPr>
              <w:t>4</w:t>
            </w:r>
          </w:p>
        </w:tc>
        <w:tc>
          <w:tcPr>
            <w:tcW w:w="10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1060" w:type="dxa"/>
            <w:vAlign w:val="bottom"/>
          </w:tcPr>
          <w:p>
            <w:pPr>
              <w:jc w:val="right"/>
              <w:ind w:right="28"/>
              <w:spacing w:after="0"/>
              <w:rPr>
                <w:sz w:val="20"/>
                <w:szCs w:val="20"/>
                <w:color w:val="auto"/>
              </w:rPr>
            </w:pPr>
            <w:r>
              <w:rPr>
                <w:rFonts w:ascii="Arial" w:cs="Arial" w:eastAsia="Arial" w:hAnsi="Arial"/>
                <w:sz w:val="14"/>
                <w:szCs w:val="14"/>
                <w:color w:val="auto"/>
              </w:rPr>
              <w:t>5</w:t>
            </w:r>
          </w:p>
        </w:tc>
        <w:tc>
          <w:tcPr>
            <w:tcW w:w="0" w:type="dxa"/>
            <w:vAlign w:val="bottom"/>
          </w:tcPr>
          <w:p>
            <w:pPr>
              <w:spacing w:after="0"/>
              <w:rPr>
                <w:sz w:val="1"/>
                <w:szCs w:val="1"/>
                <w:color w:val="auto"/>
              </w:rPr>
            </w:pPr>
          </w:p>
        </w:tc>
      </w:tr>
      <w:tr>
        <w:trPr>
          <w:trHeight w:val="210"/>
        </w:trPr>
        <w:tc>
          <w:tcPr>
            <w:tcW w:w="8120" w:type="dxa"/>
            <w:vAlign w:val="bottom"/>
            <w:shd w:val="clear" w:color="auto" w:fill="CCEEFF"/>
          </w:tcPr>
          <w:p>
            <w:pPr>
              <w:ind w:left="280"/>
              <w:spacing w:after="0"/>
              <w:rPr>
                <w:sz w:val="20"/>
                <w:szCs w:val="20"/>
                <w:color w:val="auto"/>
              </w:rPr>
            </w:pPr>
            <w:r>
              <w:rPr>
                <w:rFonts w:ascii="Arial" w:cs="Arial" w:eastAsia="Arial" w:hAnsi="Arial"/>
                <w:sz w:val="14"/>
                <w:szCs w:val="14"/>
                <w:color w:val="auto"/>
              </w:rPr>
              <w:t>Additional paid-in capital</w:t>
            </w:r>
          </w:p>
        </w:tc>
        <w:tc>
          <w:tcPr>
            <w:tcW w:w="360" w:type="dxa"/>
            <w:vAlign w:val="bottom"/>
            <w:shd w:val="clear" w:color="auto" w:fill="CCEEFF"/>
          </w:tcPr>
          <w:p>
            <w:pPr>
              <w:spacing w:after="0"/>
              <w:rPr>
                <w:sz w:val="18"/>
                <w:szCs w:val="18"/>
                <w:color w:val="auto"/>
              </w:rPr>
            </w:pPr>
          </w:p>
        </w:tc>
        <w:tc>
          <w:tcPr>
            <w:tcW w:w="1260" w:type="dxa"/>
            <w:vAlign w:val="bottom"/>
            <w:vMerge w:val="restart"/>
            <w:shd w:val="clear" w:color="auto" w:fill="CCEEFF"/>
          </w:tcPr>
          <w:p>
            <w:pPr>
              <w:jc w:val="right"/>
              <w:ind w:right="48"/>
              <w:spacing w:after="0"/>
              <w:rPr>
                <w:sz w:val="20"/>
                <w:szCs w:val="20"/>
                <w:color w:val="auto"/>
              </w:rPr>
            </w:pPr>
            <w:r>
              <w:rPr>
                <w:rFonts w:ascii="Arial" w:cs="Arial" w:eastAsia="Arial" w:hAnsi="Arial"/>
                <w:sz w:val="14"/>
                <w:szCs w:val="14"/>
                <w:color w:val="auto"/>
              </w:rPr>
              <w:t>3,945</w:t>
            </w:r>
          </w:p>
        </w:tc>
        <w:tc>
          <w:tcPr>
            <w:tcW w:w="10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1060" w:type="dxa"/>
            <w:vAlign w:val="bottom"/>
            <w:vMerge w:val="restart"/>
            <w:shd w:val="clear" w:color="auto" w:fill="CCEEFF"/>
          </w:tcPr>
          <w:p>
            <w:pPr>
              <w:jc w:val="right"/>
              <w:ind w:right="28"/>
              <w:spacing w:after="0"/>
              <w:rPr>
                <w:sz w:val="20"/>
                <w:szCs w:val="20"/>
                <w:color w:val="auto"/>
              </w:rPr>
            </w:pPr>
            <w:r>
              <w:rPr>
                <w:rFonts w:ascii="Arial" w:cs="Arial" w:eastAsia="Arial" w:hAnsi="Arial"/>
                <w:sz w:val="14"/>
                <w:szCs w:val="14"/>
                <w:color w:val="auto"/>
              </w:rPr>
              <w:t>4,964</w:t>
            </w:r>
          </w:p>
        </w:tc>
        <w:tc>
          <w:tcPr>
            <w:tcW w:w="0" w:type="dxa"/>
            <w:vAlign w:val="bottom"/>
          </w:tcPr>
          <w:p>
            <w:pPr>
              <w:spacing w:after="0"/>
              <w:rPr>
                <w:sz w:val="1"/>
                <w:szCs w:val="1"/>
                <w:color w:val="auto"/>
              </w:rPr>
            </w:pPr>
          </w:p>
        </w:tc>
      </w:tr>
      <w:tr>
        <w:trPr>
          <w:trHeight w:val="66"/>
        </w:trPr>
        <w:tc>
          <w:tcPr>
            <w:tcW w:w="8120" w:type="dxa"/>
            <w:vAlign w:val="bottom"/>
            <w:shd w:val="clear" w:color="auto" w:fill="CCEEFF"/>
          </w:tcPr>
          <w:p>
            <w:pPr>
              <w:spacing w:after="0"/>
              <w:rPr>
                <w:sz w:val="5"/>
                <w:szCs w:val="5"/>
                <w:color w:val="auto"/>
              </w:rPr>
            </w:pPr>
          </w:p>
        </w:tc>
        <w:tc>
          <w:tcPr>
            <w:tcW w:w="360" w:type="dxa"/>
            <w:vAlign w:val="bottom"/>
            <w:shd w:val="clear" w:color="auto" w:fill="CCEEFF"/>
          </w:tcPr>
          <w:p>
            <w:pPr>
              <w:spacing w:after="0"/>
              <w:rPr>
                <w:sz w:val="5"/>
                <w:szCs w:val="5"/>
                <w:color w:val="auto"/>
              </w:rPr>
            </w:pPr>
          </w:p>
        </w:tc>
        <w:tc>
          <w:tcPr>
            <w:tcW w:w="1260" w:type="dxa"/>
            <w:vAlign w:val="bottom"/>
            <w:vMerge w:val="continue"/>
            <w:shd w:val="clear" w:color="auto" w:fill="CCEEFF"/>
          </w:tcPr>
          <w:p>
            <w:pPr>
              <w:spacing w:after="0"/>
              <w:rPr>
                <w:sz w:val="5"/>
                <w:szCs w:val="5"/>
                <w:color w:val="auto"/>
              </w:rPr>
            </w:pPr>
          </w:p>
        </w:tc>
        <w:tc>
          <w:tcPr>
            <w:tcW w:w="100" w:type="dxa"/>
            <w:vAlign w:val="bottom"/>
            <w:shd w:val="clear" w:color="auto" w:fill="CCEEFF"/>
          </w:tcPr>
          <w:p>
            <w:pPr>
              <w:spacing w:after="0"/>
              <w:rPr>
                <w:sz w:val="5"/>
                <w:szCs w:val="5"/>
                <w:color w:val="auto"/>
              </w:rPr>
            </w:pPr>
          </w:p>
        </w:tc>
        <w:tc>
          <w:tcPr>
            <w:tcW w:w="520" w:type="dxa"/>
            <w:vAlign w:val="bottom"/>
            <w:shd w:val="clear" w:color="auto" w:fill="CCEEFF"/>
          </w:tcPr>
          <w:p>
            <w:pPr>
              <w:spacing w:after="0"/>
              <w:rPr>
                <w:sz w:val="5"/>
                <w:szCs w:val="5"/>
                <w:color w:val="auto"/>
              </w:rPr>
            </w:pPr>
          </w:p>
        </w:tc>
        <w:tc>
          <w:tcPr>
            <w:tcW w:w="1060" w:type="dxa"/>
            <w:vAlign w:val="bottom"/>
            <w:vMerge w:val="continue"/>
            <w:shd w:val="clear" w:color="auto" w:fill="CCEEFF"/>
          </w:tcPr>
          <w:p>
            <w:pPr>
              <w:spacing w:after="0"/>
              <w:rPr>
                <w:sz w:val="5"/>
                <w:szCs w:val="5"/>
                <w:color w:val="auto"/>
              </w:rPr>
            </w:pPr>
          </w:p>
        </w:tc>
        <w:tc>
          <w:tcPr>
            <w:tcW w:w="0" w:type="dxa"/>
            <w:vAlign w:val="bottom"/>
          </w:tcPr>
          <w:p>
            <w:pPr>
              <w:spacing w:after="0"/>
              <w:rPr>
                <w:sz w:val="1"/>
                <w:szCs w:val="1"/>
                <w:color w:val="auto"/>
              </w:rPr>
            </w:pPr>
          </w:p>
        </w:tc>
      </w:tr>
      <w:tr>
        <w:trPr>
          <w:trHeight w:val="204"/>
        </w:trPr>
        <w:tc>
          <w:tcPr>
            <w:tcW w:w="8120" w:type="dxa"/>
            <w:vAlign w:val="bottom"/>
          </w:tcPr>
          <w:p>
            <w:pPr>
              <w:ind w:left="280"/>
              <w:spacing w:after="0"/>
              <w:rPr>
                <w:sz w:val="20"/>
                <w:szCs w:val="20"/>
                <w:color w:val="auto"/>
              </w:rPr>
            </w:pPr>
            <w:r>
              <w:rPr>
                <w:rFonts w:ascii="Arial" w:cs="Arial" w:eastAsia="Arial" w:hAnsi="Arial"/>
                <w:sz w:val="14"/>
                <w:szCs w:val="14"/>
                <w:color w:val="auto"/>
              </w:rPr>
              <w:t>Accumulated other comprehensive loss</w:t>
            </w:r>
          </w:p>
        </w:tc>
        <w:tc>
          <w:tcPr>
            <w:tcW w:w="360" w:type="dxa"/>
            <w:vAlign w:val="bottom"/>
          </w:tcPr>
          <w:p>
            <w:pPr>
              <w:spacing w:after="0"/>
              <w:rPr>
                <w:sz w:val="17"/>
                <w:szCs w:val="17"/>
                <w:color w:val="auto"/>
              </w:rPr>
            </w:pPr>
          </w:p>
        </w:tc>
        <w:tc>
          <w:tcPr>
            <w:tcW w:w="1260" w:type="dxa"/>
            <w:vAlign w:val="bottom"/>
            <w:vMerge w:val="restart"/>
          </w:tcPr>
          <w:p>
            <w:pPr>
              <w:jc w:val="right"/>
              <w:ind w:right="8"/>
              <w:spacing w:after="0"/>
              <w:rPr>
                <w:sz w:val="20"/>
                <w:szCs w:val="20"/>
                <w:color w:val="auto"/>
              </w:rPr>
            </w:pPr>
            <w:r>
              <w:rPr>
                <w:rFonts w:ascii="Arial" w:cs="Arial" w:eastAsia="Arial" w:hAnsi="Arial"/>
                <w:sz w:val="14"/>
                <w:szCs w:val="14"/>
                <w:color w:val="auto"/>
              </w:rPr>
              <w:t>(6,331)</w:t>
            </w:r>
          </w:p>
        </w:tc>
        <w:tc>
          <w:tcPr>
            <w:tcW w:w="10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1060" w:type="dxa"/>
            <w:vAlign w:val="bottom"/>
            <w:vMerge w:val="restart"/>
          </w:tcPr>
          <w:p>
            <w:pPr>
              <w:jc w:val="right"/>
              <w:spacing w:after="0"/>
              <w:rPr>
                <w:sz w:val="20"/>
                <w:szCs w:val="20"/>
                <w:color w:val="auto"/>
              </w:rPr>
            </w:pPr>
            <w:r>
              <w:rPr>
                <w:rFonts w:ascii="Arial" w:cs="Arial" w:eastAsia="Arial" w:hAnsi="Arial"/>
                <w:sz w:val="14"/>
                <w:szCs w:val="14"/>
                <w:color w:val="auto"/>
              </w:rPr>
              <w:t>(5,896)</w:t>
            </w:r>
          </w:p>
        </w:tc>
        <w:tc>
          <w:tcPr>
            <w:tcW w:w="0" w:type="dxa"/>
            <w:vAlign w:val="bottom"/>
          </w:tcPr>
          <w:p>
            <w:pPr>
              <w:spacing w:after="0"/>
              <w:rPr>
                <w:sz w:val="1"/>
                <w:szCs w:val="1"/>
                <w:color w:val="auto"/>
              </w:rPr>
            </w:pPr>
          </w:p>
        </w:tc>
      </w:tr>
      <w:tr>
        <w:trPr>
          <w:trHeight w:val="60"/>
        </w:trPr>
        <w:tc>
          <w:tcPr>
            <w:tcW w:w="8120" w:type="dxa"/>
            <w:vAlign w:val="bottom"/>
          </w:tcPr>
          <w:p>
            <w:pPr>
              <w:spacing w:after="0"/>
              <w:rPr>
                <w:sz w:val="5"/>
                <w:szCs w:val="5"/>
                <w:color w:val="auto"/>
              </w:rPr>
            </w:pPr>
          </w:p>
        </w:tc>
        <w:tc>
          <w:tcPr>
            <w:tcW w:w="360" w:type="dxa"/>
            <w:vAlign w:val="bottom"/>
          </w:tcPr>
          <w:p>
            <w:pPr>
              <w:spacing w:after="0"/>
              <w:rPr>
                <w:sz w:val="5"/>
                <w:szCs w:val="5"/>
                <w:color w:val="auto"/>
              </w:rPr>
            </w:pPr>
          </w:p>
        </w:tc>
        <w:tc>
          <w:tcPr>
            <w:tcW w:w="1260" w:type="dxa"/>
            <w:vAlign w:val="bottom"/>
            <w:vMerge w:val="continue"/>
          </w:tcPr>
          <w:p>
            <w:pPr>
              <w:spacing w:after="0"/>
              <w:rPr>
                <w:sz w:val="5"/>
                <w:szCs w:val="5"/>
                <w:color w:val="auto"/>
              </w:rPr>
            </w:pPr>
          </w:p>
        </w:tc>
        <w:tc>
          <w:tcPr>
            <w:tcW w:w="100" w:type="dxa"/>
            <w:vAlign w:val="bottom"/>
          </w:tcPr>
          <w:p>
            <w:pPr>
              <w:spacing w:after="0"/>
              <w:rPr>
                <w:sz w:val="5"/>
                <w:szCs w:val="5"/>
                <w:color w:val="auto"/>
              </w:rPr>
            </w:pPr>
          </w:p>
        </w:tc>
        <w:tc>
          <w:tcPr>
            <w:tcW w:w="520" w:type="dxa"/>
            <w:vAlign w:val="bottom"/>
          </w:tcPr>
          <w:p>
            <w:pPr>
              <w:spacing w:after="0"/>
              <w:rPr>
                <w:sz w:val="5"/>
                <w:szCs w:val="5"/>
                <w:color w:val="auto"/>
              </w:rPr>
            </w:pPr>
          </w:p>
        </w:tc>
        <w:tc>
          <w:tcPr>
            <w:tcW w:w="106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r>
        <w:trPr>
          <w:trHeight w:val="210"/>
        </w:trPr>
        <w:tc>
          <w:tcPr>
            <w:tcW w:w="8120" w:type="dxa"/>
            <w:vAlign w:val="bottom"/>
            <w:shd w:val="clear" w:color="auto" w:fill="CCEEFF"/>
          </w:tcPr>
          <w:p>
            <w:pPr>
              <w:ind w:left="280"/>
              <w:spacing w:after="0"/>
              <w:rPr>
                <w:sz w:val="20"/>
                <w:szCs w:val="20"/>
                <w:color w:val="auto"/>
              </w:rPr>
            </w:pPr>
            <w:r>
              <w:rPr>
                <w:rFonts w:ascii="Arial" w:cs="Arial" w:eastAsia="Arial" w:hAnsi="Arial"/>
                <w:sz w:val="14"/>
                <w:szCs w:val="14"/>
                <w:color w:val="auto"/>
              </w:rPr>
              <w:t>Retained earnings</w:t>
            </w:r>
          </w:p>
        </w:tc>
        <w:tc>
          <w:tcPr>
            <w:tcW w:w="360" w:type="dxa"/>
            <w:vAlign w:val="bottom"/>
            <w:shd w:val="clear" w:color="auto" w:fill="CCEEFF"/>
          </w:tcPr>
          <w:p>
            <w:pPr>
              <w:spacing w:after="0"/>
              <w:rPr>
                <w:sz w:val="18"/>
                <w:szCs w:val="18"/>
                <w:color w:val="auto"/>
              </w:rPr>
            </w:pPr>
          </w:p>
        </w:tc>
        <w:tc>
          <w:tcPr>
            <w:tcW w:w="1260" w:type="dxa"/>
            <w:vAlign w:val="bottom"/>
            <w:vMerge w:val="restart"/>
            <w:shd w:val="clear" w:color="auto" w:fill="CCEEFF"/>
          </w:tcPr>
          <w:p>
            <w:pPr>
              <w:jc w:val="right"/>
              <w:ind w:right="48"/>
              <w:spacing w:after="0"/>
              <w:rPr>
                <w:sz w:val="20"/>
                <w:szCs w:val="20"/>
                <w:color w:val="auto"/>
              </w:rPr>
            </w:pPr>
            <w:r>
              <w:rPr>
                <w:rFonts w:ascii="Arial" w:cs="Arial" w:eastAsia="Arial" w:hAnsi="Arial"/>
                <w:sz w:val="14"/>
                <w:szCs w:val="14"/>
                <w:color w:val="auto"/>
              </w:rPr>
              <w:t>2,264</w:t>
            </w:r>
          </w:p>
        </w:tc>
        <w:tc>
          <w:tcPr>
            <w:tcW w:w="10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1060" w:type="dxa"/>
            <w:vAlign w:val="bottom"/>
            <w:vMerge w:val="restart"/>
            <w:shd w:val="clear" w:color="auto" w:fill="CCEEFF"/>
          </w:tcPr>
          <w:p>
            <w:pPr>
              <w:jc w:val="right"/>
              <w:ind w:right="28"/>
              <w:spacing w:after="0"/>
              <w:rPr>
                <w:sz w:val="20"/>
                <w:szCs w:val="20"/>
                <w:color w:val="auto"/>
              </w:rPr>
            </w:pPr>
            <w:r>
              <w:rPr>
                <w:rFonts w:ascii="Arial" w:cs="Arial" w:eastAsia="Arial" w:hAnsi="Arial"/>
                <w:sz w:val="14"/>
                <w:szCs w:val="14"/>
                <w:color w:val="auto"/>
              </w:rPr>
              <w:t>758</w:t>
            </w:r>
          </w:p>
        </w:tc>
        <w:tc>
          <w:tcPr>
            <w:tcW w:w="0" w:type="dxa"/>
            <w:vAlign w:val="bottom"/>
          </w:tcPr>
          <w:p>
            <w:pPr>
              <w:spacing w:after="0"/>
              <w:rPr>
                <w:sz w:val="1"/>
                <w:szCs w:val="1"/>
                <w:color w:val="auto"/>
              </w:rPr>
            </w:pPr>
          </w:p>
        </w:tc>
      </w:tr>
      <w:tr>
        <w:trPr>
          <w:trHeight w:val="66"/>
        </w:trPr>
        <w:tc>
          <w:tcPr>
            <w:tcW w:w="8120" w:type="dxa"/>
            <w:vAlign w:val="bottom"/>
            <w:shd w:val="clear" w:color="auto" w:fill="CCEEFF"/>
          </w:tcPr>
          <w:p>
            <w:pPr>
              <w:spacing w:after="0"/>
              <w:rPr>
                <w:sz w:val="5"/>
                <w:szCs w:val="5"/>
                <w:color w:val="auto"/>
              </w:rPr>
            </w:pPr>
          </w:p>
        </w:tc>
        <w:tc>
          <w:tcPr>
            <w:tcW w:w="360" w:type="dxa"/>
            <w:vAlign w:val="bottom"/>
            <w:tcBorders>
              <w:bottom w:val="single" w:sz="8" w:color="auto"/>
            </w:tcBorders>
            <w:shd w:val="clear" w:color="auto" w:fill="CCEEFF"/>
          </w:tcPr>
          <w:p>
            <w:pPr>
              <w:spacing w:after="0"/>
              <w:rPr>
                <w:sz w:val="5"/>
                <w:szCs w:val="5"/>
                <w:color w:val="auto"/>
              </w:rPr>
            </w:pPr>
          </w:p>
        </w:tc>
        <w:tc>
          <w:tcPr>
            <w:tcW w:w="1260" w:type="dxa"/>
            <w:vAlign w:val="bottom"/>
            <w:tcBorders>
              <w:bottom w:val="single" w:sz="8" w:color="auto"/>
            </w:tcBorders>
            <w:vMerge w:val="continue"/>
            <w:shd w:val="clear" w:color="auto" w:fill="CCEEFF"/>
          </w:tcPr>
          <w:p>
            <w:pPr>
              <w:spacing w:after="0"/>
              <w:rPr>
                <w:sz w:val="5"/>
                <w:szCs w:val="5"/>
                <w:color w:val="auto"/>
              </w:rPr>
            </w:pPr>
          </w:p>
        </w:tc>
        <w:tc>
          <w:tcPr>
            <w:tcW w:w="100" w:type="dxa"/>
            <w:vAlign w:val="bottom"/>
            <w:shd w:val="clear" w:color="auto" w:fill="CCEEFF"/>
          </w:tcPr>
          <w:p>
            <w:pPr>
              <w:spacing w:after="0"/>
              <w:rPr>
                <w:sz w:val="5"/>
                <w:szCs w:val="5"/>
                <w:color w:val="auto"/>
              </w:rPr>
            </w:pPr>
          </w:p>
        </w:tc>
        <w:tc>
          <w:tcPr>
            <w:tcW w:w="520" w:type="dxa"/>
            <w:vAlign w:val="bottom"/>
            <w:tcBorders>
              <w:bottom w:val="single" w:sz="8" w:color="auto"/>
            </w:tcBorders>
            <w:shd w:val="clear" w:color="auto" w:fill="CCEEFF"/>
          </w:tcPr>
          <w:p>
            <w:pPr>
              <w:spacing w:after="0"/>
              <w:rPr>
                <w:sz w:val="5"/>
                <w:szCs w:val="5"/>
                <w:color w:val="auto"/>
              </w:rPr>
            </w:pPr>
          </w:p>
        </w:tc>
        <w:tc>
          <w:tcPr>
            <w:tcW w:w="1060" w:type="dxa"/>
            <w:vAlign w:val="bottom"/>
            <w:tcBorders>
              <w:bottom w:val="single" w:sz="8" w:color="auto"/>
            </w:tcBorders>
            <w:vMerge w:val="continue"/>
            <w:shd w:val="clear" w:color="auto" w:fill="CCEEFF"/>
          </w:tcPr>
          <w:p>
            <w:pPr>
              <w:spacing w:after="0"/>
              <w:rPr>
                <w:sz w:val="5"/>
                <w:szCs w:val="5"/>
                <w:color w:val="auto"/>
              </w:rPr>
            </w:pPr>
          </w:p>
        </w:tc>
        <w:tc>
          <w:tcPr>
            <w:tcW w:w="0" w:type="dxa"/>
            <w:vAlign w:val="bottom"/>
          </w:tcPr>
          <w:p>
            <w:pPr>
              <w:spacing w:after="0"/>
              <w:rPr>
                <w:sz w:val="1"/>
                <w:szCs w:val="1"/>
                <w:color w:val="auto"/>
              </w:rPr>
            </w:pPr>
          </w:p>
        </w:tc>
      </w:tr>
      <w:tr>
        <w:trPr>
          <w:trHeight w:val="184"/>
        </w:trPr>
        <w:tc>
          <w:tcPr>
            <w:tcW w:w="8120" w:type="dxa"/>
            <w:vAlign w:val="bottom"/>
          </w:tcPr>
          <w:p>
            <w:pPr>
              <w:ind w:left="500"/>
              <w:spacing w:after="0"/>
              <w:rPr>
                <w:sz w:val="20"/>
                <w:szCs w:val="20"/>
                <w:color w:val="auto"/>
              </w:rPr>
            </w:pPr>
            <w:r>
              <w:rPr>
                <w:rFonts w:ascii="Arial" w:cs="Arial" w:eastAsia="Arial" w:hAnsi="Arial"/>
                <w:sz w:val="14"/>
                <w:szCs w:val="14"/>
                <w:color w:val="auto"/>
              </w:rPr>
              <w:t>Total stockholders' deficit</w:t>
            </w:r>
          </w:p>
        </w:tc>
        <w:tc>
          <w:tcPr>
            <w:tcW w:w="360" w:type="dxa"/>
            <w:vAlign w:val="bottom"/>
          </w:tcPr>
          <w:p>
            <w:pPr>
              <w:spacing w:after="0"/>
              <w:rPr>
                <w:sz w:val="16"/>
                <w:szCs w:val="16"/>
                <w:color w:val="auto"/>
              </w:rPr>
            </w:pPr>
          </w:p>
        </w:tc>
        <w:tc>
          <w:tcPr>
            <w:tcW w:w="1260" w:type="dxa"/>
            <w:vAlign w:val="bottom"/>
            <w:vMerge w:val="restart"/>
          </w:tcPr>
          <w:p>
            <w:pPr>
              <w:jc w:val="right"/>
              <w:ind w:right="8"/>
              <w:spacing w:after="0"/>
              <w:rPr>
                <w:sz w:val="20"/>
                <w:szCs w:val="20"/>
                <w:color w:val="auto"/>
              </w:rPr>
            </w:pPr>
            <w:r>
              <w:rPr>
                <w:rFonts w:ascii="Arial" w:cs="Arial" w:eastAsia="Arial" w:hAnsi="Arial"/>
                <w:sz w:val="14"/>
                <w:szCs w:val="14"/>
                <w:color w:val="auto"/>
              </w:rPr>
              <w:t>(118)</w:t>
            </w:r>
          </w:p>
        </w:tc>
        <w:tc>
          <w:tcPr>
            <w:tcW w:w="10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1060" w:type="dxa"/>
            <w:vAlign w:val="bottom"/>
            <w:vMerge w:val="restart"/>
          </w:tcPr>
          <w:p>
            <w:pPr>
              <w:jc w:val="right"/>
              <w:spacing w:after="0"/>
              <w:rPr>
                <w:sz w:val="20"/>
                <w:szCs w:val="20"/>
                <w:color w:val="auto"/>
              </w:rPr>
            </w:pPr>
            <w:r>
              <w:rPr>
                <w:rFonts w:ascii="Arial" w:cs="Arial" w:eastAsia="Arial" w:hAnsi="Arial"/>
                <w:sz w:val="14"/>
                <w:szCs w:val="14"/>
                <w:color w:val="auto"/>
              </w:rPr>
              <w:t>(169)</w:t>
            </w:r>
          </w:p>
        </w:tc>
        <w:tc>
          <w:tcPr>
            <w:tcW w:w="0" w:type="dxa"/>
            <w:vAlign w:val="bottom"/>
          </w:tcPr>
          <w:p>
            <w:pPr>
              <w:spacing w:after="0"/>
              <w:rPr>
                <w:sz w:val="1"/>
                <w:szCs w:val="1"/>
                <w:color w:val="auto"/>
              </w:rPr>
            </w:pPr>
          </w:p>
        </w:tc>
      </w:tr>
      <w:tr>
        <w:trPr>
          <w:trHeight w:val="60"/>
        </w:trPr>
        <w:tc>
          <w:tcPr>
            <w:tcW w:w="8120" w:type="dxa"/>
            <w:vAlign w:val="bottom"/>
            <w:tcBorders>
              <w:bottom w:val="single" w:sz="8" w:color="CCEEFF"/>
            </w:tcBorders>
          </w:tcPr>
          <w:p>
            <w:pPr>
              <w:spacing w:after="0"/>
              <w:rPr>
                <w:sz w:val="5"/>
                <w:szCs w:val="5"/>
                <w:color w:val="auto"/>
              </w:rPr>
            </w:pPr>
          </w:p>
        </w:tc>
        <w:tc>
          <w:tcPr>
            <w:tcW w:w="360" w:type="dxa"/>
            <w:vAlign w:val="bottom"/>
            <w:tcBorders>
              <w:bottom w:val="single" w:sz="8" w:color="auto"/>
            </w:tcBorders>
          </w:tcPr>
          <w:p>
            <w:pPr>
              <w:spacing w:after="0"/>
              <w:rPr>
                <w:sz w:val="5"/>
                <w:szCs w:val="5"/>
                <w:color w:val="auto"/>
              </w:rPr>
            </w:pPr>
          </w:p>
        </w:tc>
        <w:tc>
          <w:tcPr>
            <w:tcW w:w="1260" w:type="dxa"/>
            <w:vAlign w:val="bottom"/>
            <w:tcBorders>
              <w:bottom w:val="single" w:sz="8" w:color="auto"/>
            </w:tcBorders>
            <w:vMerge w:val="continue"/>
          </w:tcPr>
          <w:p>
            <w:pPr>
              <w:spacing w:after="0"/>
              <w:rPr>
                <w:sz w:val="5"/>
                <w:szCs w:val="5"/>
                <w:color w:val="auto"/>
              </w:rPr>
            </w:pPr>
          </w:p>
        </w:tc>
        <w:tc>
          <w:tcPr>
            <w:tcW w:w="100" w:type="dxa"/>
            <w:vAlign w:val="bottom"/>
            <w:tcBorders>
              <w:bottom w:val="single" w:sz="8" w:color="CCEEFF"/>
            </w:tcBorders>
          </w:tcPr>
          <w:p>
            <w:pPr>
              <w:spacing w:after="0"/>
              <w:rPr>
                <w:sz w:val="5"/>
                <w:szCs w:val="5"/>
                <w:color w:val="auto"/>
              </w:rPr>
            </w:pPr>
          </w:p>
        </w:tc>
        <w:tc>
          <w:tcPr>
            <w:tcW w:w="520" w:type="dxa"/>
            <w:vAlign w:val="bottom"/>
            <w:tcBorders>
              <w:bottom w:val="single" w:sz="8" w:color="auto"/>
            </w:tcBorders>
          </w:tcPr>
          <w:p>
            <w:pPr>
              <w:spacing w:after="0"/>
              <w:rPr>
                <w:sz w:val="5"/>
                <w:szCs w:val="5"/>
                <w:color w:val="auto"/>
              </w:rPr>
            </w:pPr>
          </w:p>
        </w:tc>
        <w:tc>
          <w:tcPr>
            <w:tcW w:w="1060" w:type="dxa"/>
            <w:vAlign w:val="bottom"/>
            <w:tcBorders>
              <w:bottom w:val="single" w:sz="8" w:color="auto"/>
            </w:tcBorders>
            <w:vMerge w:val="continue"/>
          </w:tcPr>
          <w:p>
            <w:pPr>
              <w:spacing w:after="0"/>
              <w:rPr>
                <w:sz w:val="5"/>
                <w:szCs w:val="5"/>
                <w:color w:val="auto"/>
              </w:rPr>
            </w:pPr>
          </w:p>
        </w:tc>
        <w:tc>
          <w:tcPr>
            <w:tcW w:w="0" w:type="dxa"/>
            <w:vAlign w:val="bottom"/>
          </w:tcPr>
          <w:p>
            <w:pPr>
              <w:spacing w:after="0"/>
              <w:rPr>
                <w:sz w:val="1"/>
                <w:szCs w:val="1"/>
                <w:color w:val="auto"/>
              </w:rPr>
            </w:pPr>
          </w:p>
        </w:tc>
      </w:tr>
      <w:tr>
        <w:trPr>
          <w:trHeight w:val="237"/>
        </w:trPr>
        <w:tc>
          <w:tcPr>
            <w:tcW w:w="8120" w:type="dxa"/>
            <w:vAlign w:val="bottom"/>
            <w:tcBorders>
              <w:bottom w:val="single" w:sz="8" w:color="CCEEFF"/>
            </w:tcBorders>
            <w:shd w:val="clear" w:color="auto" w:fill="CCEEFF"/>
          </w:tcPr>
          <w:p>
            <w:pPr>
              <w:ind w:left="720"/>
              <w:spacing w:after="0"/>
              <w:rPr>
                <w:sz w:val="20"/>
                <w:szCs w:val="20"/>
                <w:color w:val="auto"/>
              </w:rPr>
            </w:pPr>
            <w:r>
              <w:rPr>
                <w:rFonts w:ascii="Arial" w:cs="Arial" w:eastAsia="Arial" w:hAnsi="Arial"/>
                <w:sz w:val="14"/>
                <w:szCs w:val="14"/>
                <w:b w:val="1"/>
                <w:bCs w:val="1"/>
                <w:color w:val="auto"/>
              </w:rPr>
              <w:t>Total liabilities and stockholders’ equity (deficit)</w:t>
            </w:r>
          </w:p>
        </w:tc>
        <w:tc>
          <w:tcPr>
            <w:tcW w:w="360" w:type="dxa"/>
            <w:vAlign w:val="bottom"/>
            <w:tcBorders>
              <w:bottom w:val="single" w:sz="8" w:color="auto"/>
            </w:tcBorders>
            <w:shd w:val="clear" w:color="auto" w:fill="CCEEFF"/>
          </w:tcPr>
          <w:p>
            <w:pPr>
              <w:jc w:val="right"/>
              <w:ind w:right="188"/>
              <w:spacing w:after="0"/>
              <w:rPr>
                <w:sz w:val="20"/>
                <w:szCs w:val="20"/>
                <w:color w:val="auto"/>
              </w:rPr>
            </w:pPr>
            <w:r>
              <w:rPr>
                <w:rFonts w:ascii="Arial" w:cs="Arial" w:eastAsia="Arial" w:hAnsi="Arial"/>
                <w:sz w:val="14"/>
                <w:szCs w:val="14"/>
                <w:color w:val="auto"/>
              </w:rPr>
              <w:t>$</w:t>
            </w:r>
          </w:p>
        </w:tc>
        <w:tc>
          <w:tcPr>
            <w:tcW w:w="1260" w:type="dxa"/>
            <w:vAlign w:val="bottom"/>
            <w:tcBorders>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59,995</w:t>
            </w:r>
          </w:p>
        </w:tc>
        <w:tc>
          <w:tcPr>
            <w:tcW w:w="100" w:type="dxa"/>
            <w:vAlign w:val="bottom"/>
            <w:tcBorders>
              <w:bottom w:val="single" w:sz="8" w:color="CCEEFF"/>
            </w:tcBorders>
            <w:shd w:val="clear" w:color="auto" w:fill="CCEEFF"/>
          </w:tcPr>
          <w:p>
            <w:pPr>
              <w:spacing w:after="0"/>
              <w:rPr>
                <w:sz w:val="20"/>
                <w:szCs w:val="20"/>
                <w:color w:val="auto"/>
              </w:rPr>
            </w:pPr>
          </w:p>
        </w:tc>
        <w:tc>
          <w:tcPr>
            <w:tcW w:w="520" w:type="dxa"/>
            <w:vAlign w:val="bottom"/>
            <w:tcBorders>
              <w:bottom w:val="single" w:sz="8" w:color="auto"/>
            </w:tcBorders>
            <w:shd w:val="clear" w:color="auto" w:fill="CCEEFF"/>
          </w:tcPr>
          <w:p>
            <w:pPr>
              <w:jc w:val="right"/>
              <w:ind w:right="348"/>
              <w:spacing w:after="0"/>
              <w:rPr>
                <w:sz w:val="20"/>
                <w:szCs w:val="20"/>
                <w:color w:val="auto"/>
              </w:rPr>
            </w:pPr>
            <w:r>
              <w:rPr>
                <w:rFonts w:ascii="Arial" w:cs="Arial" w:eastAsia="Arial" w:hAnsi="Arial"/>
                <w:sz w:val="14"/>
                <w:szCs w:val="14"/>
                <w:color w:val="auto"/>
              </w:rPr>
              <w:t>$</w:t>
            </w:r>
          </w:p>
        </w:tc>
        <w:tc>
          <w:tcPr>
            <w:tcW w:w="106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60,580</w:t>
            </w:r>
          </w:p>
        </w:tc>
        <w:tc>
          <w:tcPr>
            <w:tcW w:w="0" w:type="dxa"/>
            <w:vAlign w:val="bottom"/>
          </w:tcPr>
          <w:p>
            <w:pPr>
              <w:spacing w:after="0"/>
              <w:rPr>
                <w:sz w:val="1"/>
                <w:szCs w:val="1"/>
                <w:color w:val="auto"/>
              </w:rPr>
            </w:pPr>
          </w:p>
        </w:tc>
      </w:tr>
      <w:tr>
        <w:trPr>
          <w:trHeight w:val="20"/>
        </w:trPr>
        <w:tc>
          <w:tcPr>
            <w:tcW w:w="812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See accompanying notes to consolidated financial statements.</w:t>
      </w:r>
    </w:p>
    <w:p>
      <w:pPr>
        <w:sectPr>
          <w:pgSz w:w="11900" w:h="16838" w:orient="portrait"/>
          <w:cols w:equalWidth="0" w:num="1">
            <w:col w:w="11420"/>
          </w:cols>
          <w:pgMar w:left="240" w:top="549" w:right="239" w:bottom="287" w:gutter="0" w:footer="0" w:header="0"/>
        </w:sectPr>
      </w:pPr>
    </w:p>
    <w:p>
      <w:pPr>
        <w:spacing w:after="0" w:line="218"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74</w:t>
      </w:r>
    </w:p>
    <w:p>
      <w:pPr>
        <w:sectPr>
          <w:pgSz w:w="11900" w:h="16838" w:orient="portrait"/>
          <w:cols w:equalWidth="0" w:num="1">
            <w:col w:w="11420"/>
          </w:cols>
          <w:pgMar w:left="240" w:top="549" w:right="239" w:bottom="287" w:gutter="0" w:footer="0" w:header="0"/>
          <w:type w:val="continuous"/>
        </w:sectPr>
      </w:pPr>
    </w:p>
    <w:bookmarkStart w:id="74" w:name="page75"/>
    <w:bookmarkEnd w:id="74"/>
    <w:p>
      <w:pPr>
        <w:jc w:val="center"/>
        <w:spacing w:after="0"/>
        <w:rPr>
          <w:sz w:val="20"/>
          <w:szCs w:val="20"/>
          <w:color w:val="auto"/>
        </w:rPr>
      </w:pPr>
      <w:r>
        <w:rPr>
          <w:rFonts w:ascii="Arial" w:cs="Arial" w:eastAsia="Arial" w:hAnsi="Arial"/>
          <w:sz w:val="18"/>
          <w:szCs w:val="18"/>
          <w:b w:val="1"/>
          <w:bCs w:val="1"/>
          <w:color w:val="auto"/>
        </w:rPr>
        <w:t>AMERICAN AIRLINES GROUP INC.</w:t>
      </w:r>
    </w:p>
    <w:p>
      <w:pPr>
        <w:spacing w:after="0" w:line="3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STATEMENTS OF CASH FLOWS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millions)</w:t>
      </w:r>
    </w:p>
    <w:p>
      <w:pPr>
        <w:spacing w:after="0" w:line="321" w:lineRule="exact"/>
        <w:rPr>
          <w:sz w:val="20"/>
          <w:szCs w:val="20"/>
          <w:color w:val="auto"/>
        </w:rPr>
      </w:pPr>
    </w:p>
    <w:tbl>
      <w:tblPr>
        <w:tblLayout w:type="fixed"/>
        <w:tblInd w:w="0" w:type="dxa"/>
        <w:tblCellMar>
          <w:top w:w="0" w:type="dxa"/>
          <w:left w:w="0" w:type="dxa"/>
          <w:bottom w:w="0" w:type="dxa"/>
          <w:right w:w="0" w:type="dxa"/>
        </w:tblCellMar>
      </w:tblPr>
      <w:tr>
        <w:trPr>
          <w:trHeight w:val="196"/>
        </w:trPr>
        <w:tc>
          <w:tcPr>
            <w:tcW w:w="2120" w:type="dxa"/>
            <w:vAlign w:val="bottom"/>
          </w:tcPr>
          <w:p>
            <w:pPr>
              <w:spacing w:after="0"/>
              <w:rPr>
                <w:sz w:val="17"/>
                <w:szCs w:val="17"/>
                <w:color w:val="auto"/>
              </w:rPr>
            </w:pPr>
          </w:p>
        </w:tc>
        <w:tc>
          <w:tcPr>
            <w:tcW w:w="4620" w:type="dxa"/>
            <w:vAlign w:val="bottom"/>
          </w:tcPr>
          <w:p>
            <w:pPr>
              <w:spacing w:after="0"/>
              <w:rPr>
                <w:sz w:val="17"/>
                <w:szCs w:val="17"/>
                <w:color w:val="auto"/>
              </w:rPr>
            </w:pPr>
          </w:p>
        </w:tc>
        <w:tc>
          <w:tcPr>
            <w:tcW w:w="360" w:type="dxa"/>
            <w:vAlign w:val="bottom"/>
            <w:tcBorders>
              <w:bottom w:val="single" w:sz="8" w:color="auto"/>
            </w:tcBorders>
          </w:tcPr>
          <w:p>
            <w:pPr>
              <w:spacing w:after="0"/>
              <w:rPr>
                <w:sz w:val="17"/>
                <w:szCs w:val="17"/>
                <w:color w:val="auto"/>
              </w:rPr>
            </w:pPr>
          </w:p>
        </w:tc>
        <w:tc>
          <w:tcPr>
            <w:tcW w:w="1100" w:type="dxa"/>
            <w:vAlign w:val="bottom"/>
            <w:tcBorders>
              <w:bottom w:val="single" w:sz="8" w:color="auto"/>
            </w:tcBorders>
          </w:tcPr>
          <w:p>
            <w:pPr>
              <w:spacing w:after="0"/>
              <w:rPr>
                <w:sz w:val="17"/>
                <w:szCs w:val="17"/>
                <w:color w:val="auto"/>
              </w:rPr>
            </w:pPr>
          </w:p>
        </w:tc>
        <w:tc>
          <w:tcPr>
            <w:tcW w:w="2100" w:type="dxa"/>
            <w:vAlign w:val="bottom"/>
            <w:tcBorders>
              <w:bottom w:val="single" w:sz="8" w:color="auto"/>
            </w:tcBorders>
            <w:gridSpan w:val="6"/>
          </w:tcPr>
          <w:p>
            <w:pPr>
              <w:jc w:val="right"/>
              <w:ind w:right="228"/>
              <w:spacing w:after="0"/>
              <w:rPr>
                <w:sz w:val="20"/>
                <w:szCs w:val="20"/>
                <w:color w:val="auto"/>
              </w:rPr>
            </w:pPr>
            <w:r>
              <w:rPr>
                <w:rFonts w:ascii="Arial" w:cs="Arial" w:eastAsia="Arial" w:hAnsi="Arial"/>
                <w:sz w:val="14"/>
                <w:szCs w:val="14"/>
                <w:b w:val="1"/>
                <w:bCs w:val="1"/>
                <w:color w:val="auto"/>
              </w:rPr>
              <w:t>Year Ended December 31,</w:t>
            </w:r>
          </w:p>
        </w:tc>
        <w:tc>
          <w:tcPr>
            <w:tcW w:w="1120" w:type="dxa"/>
            <w:vAlign w:val="bottom"/>
            <w:tcBorders>
              <w:bottom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264"/>
        </w:trPr>
        <w:tc>
          <w:tcPr>
            <w:tcW w:w="2120" w:type="dxa"/>
            <w:vAlign w:val="bottom"/>
            <w:tcBorders>
              <w:bottom w:val="single" w:sz="8" w:color="CCEEFF"/>
            </w:tcBorders>
          </w:tcPr>
          <w:p>
            <w:pPr>
              <w:spacing w:after="0"/>
              <w:rPr>
                <w:sz w:val="22"/>
                <w:szCs w:val="22"/>
                <w:color w:val="auto"/>
              </w:rPr>
            </w:pPr>
          </w:p>
        </w:tc>
        <w:tc>
          <w:tcPr>
            <w:tcW w:w="4620" w:type="dxa"/>
            <w:vAlign w:val="bottom"/>
            <w:tcBorders>
              <w:bottom w:val="single" w:sz="8" w:color="CCEEFF"/>
            </w:tcBorders>
          </w:tcPr>
          <w:p>
            <w:pPr>
              <w:spacing w:after="0"/>
              <w:rPr>
                <w:sz w:val="22"/>
                <w:szCs w:val="22"/>
                <w:color w:val="auto"/>
              </w:rPr>
            </w:pPr>
          </w:p>
        </w:tc>
        <w:tc>
          <w:tcPr>
            <w:tcW w:w="360" w:type="dxa"/>
            <w:vAlign w:val="bottom"/>
            <w:tcBorders>
              <w:bottom w:val="single" w:sz="8" w:color="auto"/>
            </w:tcBorders>
          </w:tcPr>
          <w:p>
            <w:pPr>
              <w:spacing w:after="0"/>
              <w:rPr>
                <w:sz w:val="22"/>
                <w:szCs w:val="22"/>
                <w:color w:val="auto"/>
              </w:rPr>
            </w:pPr>
          </w:p>
        </w:tc>
        <w:tc>
          <w:tcPr>
            <w:tcW w:w="1100" w:type="dxa"/>
            <w:vAlign w:val="bottom"/>
            <w:tcBorders>
              <w:bottom w:val="single" w:sz="8" w:color="auto"/>
            </w:tcBorders>
          </w:tcPr>
          <w:p>
            <w:pPr>
              <w:jc w:val="right"/>
              <w:ind w:right="468"/>
              <w:spacing w:after="0"/>
              <w:rPr>
                <w:sz w:val="20"/>
                <w:szCs w:val="20"/>
                <w:color w:val="auto"/>
              </w:rPr>
            </w:pPr>
            <w:r>
              <w:rPr>
                <w:rFonts w:ascii="Arial" w:cs="Arial" w:eastAsia="Arial" w:hAnsi="Arial"/>
                <w:sz w:val="14"/>
                <w:szCs w:val="14"/>
                <w:b w:val="1"/>
                <w:bCs w:val="1"/>
                <w:color w:val="auto"/>
              </w:rPr>
              <w:t>2019</w:t>
            </w:r>
          </w:p>
        </w:tc>
        <w:tc>
          <w:tcPr>
            <w:tcW w:w="40" w:type="dxa"/>
            <w:vAlign w:val="bottom"/>
            <w:tcBorders>
              <w:bottom w:val="single" w:sz="8" w:color="auto"/>
            </w:tcBorders>
          </w:tcPr>
          <w:p>
            <w:pPr>
              <w:spacing w:after="0"/>
              <w:rPr>
                <w:sz w:val="22"/>
                <w:szCs w:val="22"/>
                <w:color w:val="auto"/>
              </w:rPr>
            </w:pPr>
          </w:p>
        </w:tc>
        <w:tc>
          <w:tcPr>
            <w:tcW w:w="120" w:type="dxa"/>
            <w:vAlign w:val="bottom"/>
            <w:tcBorders>
              <w:bottom w:val="single" w:sz="8" w:color="CCEEFF"/>
            </w:tcBorders>
          </w:tcPr>
          <w:p>
            <w:pPr>
              <w:spacing w:after="0"/>
              <w:rPr>
                <w:sz w:val="22"/>
                <w:szCs w:val="22"/>
                <w:color w:val="auto"/>
              </w:rPr>
            </w:pPr>
          </w:p>
        </w:tc>
        <w:tc>
          <w:tcPr>
            <w:tcW w:w="360" w:type="dxa"/>
            <w:vAlign w:val="bottom"/>
            <w:tcBorders>
              <w:bottom w:val="single" w:sz="8" w:color="auto"/>
            </w:tcBorders>
          </w:tcPr>
          <w:p>
            <w:pPr>
              <w:spacing w:after="0"/>
              <w:rPr>
                <w:sz w:val="22"/>
                <w:szCs w:val="22"/>
                <w:color w:val="auto"/>
              </w:rPr>
            </w:pPr>
          </w:p>
        </w:tc>
        <w:tc>
          <w:tcPr>
            <w:tcW w:w="1140" w:type="dxa"/>
            <w:vAlign w:val="bottom"/>
            <w:tcBorders>
              <w:bottom w:val="single" w:sz="8" w:color="auto"/>
            </w:tcBorders>
          </w:tcPr>
          <w:p>
            <w:pPr>
              <w:jc w:val="right"/>
              <w:ind w:right="508"/>
              <w:spacing w:after="0"/>
              <w:rPr>
                <w:sz w:val="20"/>
                <w:szCs w:val="20"/>
                <w:color w:val="auto"/>
              </w:rPr>
            </w:pPr>
            <w:r>
              <w:rPr>
                <w:rFonts w:ascii="Arial" w:cs="Arial" w:eastAsia="Arial" w:hAnsi="Arial"/>
                <w:sz w:val="14"/>
                <w:szCs w:val="14"/>
                <w:b w:val="1"/>
                <w:bCs w:val="1"/>
                <w:color w:val="auto"/>
              </w:rPr>
              <w:t>2018</w:t>
            </w:r>
          </w:p>
        </w:tc>
        <w:tc>
          <w:tcPr>
            <w:tcW w:w="100" w:type="dxa"/>
            <w:vAlign w:val="bottom"/>
            <w:tcBorders>
              <w:bottom w:val="single" w:sz="8" w:color="CCEEFF"/>
            </w:tcBorders>
          </w:tcPr>
          <w:p>
            <w:pPr>
              <w:spacing w:after="0"/>
              <w:rPr>
                <w:sz w:val="22"/>
                <w:szCs w:val="22"/>
                <w:color w:val="auto"/>
              </w:rPr>
            </w:pPr>
          </w:p>
        </w:tc>
        <w:tc>
          <w:tcPr>
            <w:tcW w:w="340" w:type="dxa"/>
            <w:vAlign w:val="bottom"/>
            <w:tcBorders>
              <w:bottom w:val="single" w:sz="8" w:color="auto"/>
            </w:tcBorders>
          </w:tcPr>
          <w:p>
            <w:pPr>
              <w:spacing w:after="0"/>
              <w:rPr>
                <w:sz w:val="22"/>
                <w:szCs w:val="22"/>
                <w:color w:val="auto"/>
              </w:rPr>
            </w:pPr>
          </w:p>
        </w:tc>
        <w:tc>
          <w:tcPr>
            <w:tcW w:w="1120" w:type="dxa"/>
            <w:vAlign w:val="bottom"/>
            <w:tcBorders>
              <w:bottom w:val="single" w:sz="8" w:color="auto"/>
            </w:tcBorders>
          </w:tcPr>
          <w:p>
            <w:pPr>
              <w:jc w:val="right"/>
              <w:ind w:right="488"/>
              <w:spacing w:after="0"/>
              <w:rPr>
                <w:sz w:val="20"/>
                <w:szCs w:val="20"/>
                <w:color w:val="auto"/>
              </w:rPr>
            </w:pPr>
            <w:r>
              <w:rPr>
                <w:rFonts w:ascii="Arial" w:cs="Arial" w:eastAsia="Arial" w:hAnsi="Arial"/>
                <w:sz w:val="14"/>
                <w:szCs w:val="14"/>
                <w:b w:val="1"/>
                <w:bCs w:val="1"/>
                <w:color w:val="auto"/>
              </w:rPr>
              <w:t>2017</w:t>
            </w:r>
          </w:p>
        </w:tc>
        <w:tc>
          <w:tcPr>
            <w:tcW w:w="0" w:type="dxa"/>
            <w:vAlign w:val="bottom"/>
          </w:tcPr>
          <w:p>
            <w:pPr>
              <w:spacing w:after="0"/>
              <w:rPr>
                <w:sz w:val="1"/>
                <w:szCs w:val="1"/>
                <w:color w:val="auto"/>
              </w:rPr>
            </w:pPr>
          </w:p>
        </w:tc>
      </w:tr>
      <w:tr>
        <w:trPr>
          <w:trHeight w:val="190"/>
        </w:trPr>
        <w:tc>
          <w:tcPr>
            <w:tcW w:w="6740" w:type="dxa"/>
            <w:vAlign w:val="bottom"/>
            <w:gridSpan w:val="2"/>
            <w:shd w:val="clear" w:color="auto" w:fill="CCEEFF"/>
          </w:tcPr>
          <w:p>
            <w:pPr>
              <w:ind w:left="40"/>
              <w:spacing w:after="0"/>
              <w:rPr>
                <w:sz w:val="20"/>
                <w:szCs w:val="20"/>
                <w:color w:val="auto"/>
              </w:rPr>
            </w:pPr>
            <w:r>
              <w:rPr>
                <w:rFonts w:ascii="Arial" w:cs="Arial" w:eastAsia="Arial" w:hAnsi="Arial"/>
                <w:sz w:val="14"/>
                <w:szCs w:val="14"/>
                <w:b w:val="1"/>
                <w:bCs w:val="1"/>
                <w:color w:val="auto"/>
              </w:rPr>
              <w:t>Cash flows from operating activities:</w:t>
            </w:r>
          </w:p>
        </w:tc>
        <w:tc>
          <w:tcPr>
            <w:tcW w:w="360" w:type="dxa"/>
            <w:vAlign w:val="bottom"/>
            <w:shd w:val="clear" w:color="auto" w:fill="CCEEFF"/>
          </w:tcPr>
          <w:p>
            <w:pPr>
              <w:spacing w:after="0"/>
              <w:rPr>
                <w:sz w:val="16"/>
                <w:szCs w:val="16"/>
                <w:color w:val="auto"/>
              </w:rPr>
            </w:pPr>
          </w:p>
        </w:tc>
        <w:tc>
          <w:tcPr>
            <w:tcW w:w="110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360" w:type="dxa"/>
            <w:vAlign w:val="bottom"/>
            <w:shd w:val="clear" w:color="auto" w:fill="CCEEFF"/>
          </w:tcPr>
          <w:p>
            <w:pPr>
              <w:spacing w:after="0"/>
              <w:rPr>
                <w:sz w:val="16"/>
                <w:szCs w:val="16"/>
                <w:color w:val="auto"/>
              </w:rPr>
            </w:pPr>
          </w:p>
        </w:tc>
        <w:tc>
          <w:tcPr>
            <w:tcW w:w="11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340" w:type="dxa"/>
            <w:vAlign w:val="bottom"/>
            <w:shd w:val="clear" w:color="auto" w:fill="CCEEFF"/>
          </w:tcPr>
          <w:p>
            <w:pPr>
              <w:spacing w:after="0"/>
              <w:rPr>
                <w:sz w:val="16"/>
                <w:szCs w:val="16"/>
                <w:color w:val="auto"/>
              </w:rPr>
            </w:pPr>
          </w:p>
        </w:tc>
        <w:tc>
          <w:tcPr>
            <w:tcW w:w="112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80"/>
        </w:trPr>
        <w:tc>
          <w:tcPr>
            <w:tcW w:w="2120" w:type="dxa"/>
            <w:vAlign w:val="bottom"/>
            <w:shd w:val="clear" w:color="auto" w:fill="CCEEFF"/>
          </w:tcPr>
          <w:p>
            <w:pPr>
              <w:spacing w:after="0"/>
              <w:rPr>
                <w:sz w:val="6"/>
                <w:szCs w:val="6"/>
                <w:color w:val="auto"/>
              </w:rPr>
            </w:pPr>
          </w:p>
        </w:tc>
        <w:tc>
          <w:tcPr>
            <w:tcW w:w="4620" w:type="dxa"/>
            <w:vAlign w:val="bottom"/>
            <w:shd w:val="clear" w:color="auto" w:fill="CCEEFF"/>
          </w:tcPr>
          <w:p>
            <w:pPr>
              <w:spacing w:after="0"/>
              <w:rPr>
                <w:sz w:val="6"/>
                <w:szCs w:val="6"/>
                <w:color w:val="auto"/>
              </w:rPr>
            </w:pPr>
          </w:p>
        </w:tc>
        <w:tc>
          <w:tcPr>
            <w:tcW w:w="360" w:type="dxa"/>
            <w:vAlign w:val="bottom"/>
            <w:shd w:val="clear" w:color="auto" w:fill="CCEEFF"/>
          </w:tcPr>
          <w:p>
            <w:pPr>
              <w:spacing w:after="0"/>
              <w:rPr>
                <w:sz w:val="6"/>
                <w:szCs w:val="6"/>
                <w:color w:val="auto"/>
              </w:rPr>
            </w:pPr>
          </w:p>
        </w:tc>
        <w:tc>
          <w:tcPr>
            <w:tcW w:w="1100" w:type="dxa"/>
            <w:vAlign w:val="bottom"/>
            <w:shd w:val="clear" w:color="auto" w:fill="CCEEFF"/>
          </w:tcPr>
          <w:p>
            <w:pPr>
              <w:spacing w:after="0"/>
              <w:rPr>
                <w:sz w:val="6"/>
                <w:szCs w:val="6"/>
                <w:color w:val="auto"/>
              </w:rPr>
            </w:pPr>
          </w:p>
        </w:tc>
        <w:tc>
          <w:tcPr>
            <w:tcW w:w="40" w:type="dxa"/>
            <w:vAlign w:val="bottom"/>
            <w:shd w:val="clear" w:color="auto" w:fill="CCEEFF"/>
          </w:tcPr>
          <w:p>
            <w:pPr>
              <w:spacing w:after="0"/>
              <w:rPr>
                <w:sz w:val="6"/>
                <w:szCs w:val="6"/>
                <w:color w:val="auto"/>
              </w:rPr>
            </w:pPr>
          </w:p>
        </w:tc>
        <w:tc>
          <w:tcPr>
            <w:tcW w:w="120" w:type="dxa"/>
            <w:vAlign w:val="bottom"/>
            <w:shd w:val="clear" w:color="auto" w:fill="CCEEFF"/>
          </w:tcPr>
          <w:p>
            <w:pPr>
              <w:spacing w:after="0"/>
              <w:rPr>
                <w:sz w:val="6"/>
                <w:szCs w:val="6"/>
                <w:color w:val="auto"/>
              </w:rPr>
            </w:pPr>
          </w:p>
        </w:tc>
        <w:tc>
          <w:tcPr>
            <w:tcW w:w="360" w:type="dxa"/>
            <w:vAlign w:val="bottom"/>
            <w:shd w:val="clear" w:color="auto" w:fill="CCEEFF"/>
          </w:tcPr>
          <w:p>
            <w:pPr>
              <w:spacing w:after="0"/>
              <w:rPr>
                <w:sz w:val="6"/>
                <w:szCs w:val="6"/>
                <w:color w:val="auto"/>
              </w:rPr>
            </w:pPr>
          </w:p>
        </w:tc>
        <w:tc>
          <w:tcPr>
            <w:tcW w:w="1140" w:type="dxa"/>
            <w:vAlign w:val="bottom"/>
            <w:shd w:val="clear" w:color="auto" w:fill="CCEEFF"/>
          </w:tcPr>
          <w:p>
            <w:pPr>
              <w:spacing w:after="0"/>
              <w:rPr>
                <w:sz w:val="6"/>
                <w:szCs w:val="6"/>
                <w:color w:val="auto"/>
              </w:rPr>
            </w:pPr>
          </w:p>
        </w:tc>
        <w:tc>
          <w:tcPr>
            <w:tcW w:w="100" w:type="dxa"/>
            <w:vAlign w:val="bottom"/>
            <w:shd w:val="clear" w:color="auto" w:fill="CCEEFF"/>
          </w:tcPr>
          <w:p>
            <w:pPr>
              <w:spacing w:after="0"/>
              <w:rPr>
                <w:sz w:val="6"/>
                <w:szCs w:val="6"/>
                <w:color w:val="auto"/>
              </w:rPr>
            </w:pPr>
          </w:p>
        </w:tc>
        <w:tc>
          <w:tcPr>
            <w:tcW w:w="340" w:type="dxa"/>
            <w:vAlign w:val="bottom"/>
            <w:shd w:val="clear" w:color="auto" w:fill="CCEEFF"/>
          </w:tcPr>
          <w:p>
            <w:pPr>
              <w:spacing w:after="0"/>
              <w:rPr>
                <w:sz w:val="6"/>
                <w:szCs w:val="6"/>
                <w:color w:val="auto"/>
              </w:rPr>
            </w:pPr>
          </w:p>
        </w:tc>
        <w:tc>
          <w:tcPr>
            <w:tcW w:w="1120" w:type="dxa"/>
            <w:vAlign w:val="bottom"/>
            <w:shd w:val="clear" w:color="auto" w:fill="CCEEFF"/>
          </w:tcPr>
          <w:p>
            <w:pPr>
              <w:spacing w:after="0"/>
              <w:rPr>
                <w:sz w:val="6"/>
                <w:szCs w:val="6"/>
                <w:color w:val="auto"/>
              </w:rPr>
            </w:pPr>
          </w:p>
        </w:tc>
        <w:tc>
          <w:tcPr>
            <w:tcW w:w="0" w:type="dxa"/>
            <w:vAlign w:val="bottom"/>
          </w:tcPr>
          <w:p>
            <w:pPr>
              <w:spacing w:after="0"/>
              <w:rPr>
                <w:sz w:val="1"/>
                <w:szCs w:val="1"/>
                <w:color w:val="auto"/>
              </w:rPr>
            </w:pPr>
          </w:p>
        </w:tc>
      </w:tr>
      <w:tr>
        <w:trPr>
          <w:trHeight w:val="204"/>
        </w:trPr>
        <w:tc>
          <w:tcPr>
            <w:tcW w:w="6740" w:type="dxa"/>
            <w:vAlign w:val="bottom"/>
            <w:gridSpan w:val="2"/>
          </w:tcPr>
          <w:p>
            <w:pPr>
              <w:ind w:left="40"/>
              <w:spacing w:after="0"/>
              <w:rPr>
                <w:sz w:val="20"/>
                <w:szCs w:val="20"/>
                <w:color w:val="auto"/>
              </w:rPr>
            </w:pPr>
            <w:r>
              <w:rPr>
                <w:rFonts w:ascii="Arial" w:cs="Arial" w:eastAsia="Arial" w:hAnsi="Arial"/>
                <w:sz w:val="14"/>
                <w:szCs w:val="14"/>
                <w:color w:val="auto"/>
              </w:rPr>
              <w:t>Net income</w:t>
            </w:r>
          </w:p>
        </w:tc>
        <w:tc>
          <w:tcPr>
            <w:tcW w:w="360" w:type="dxa"/>
            <w:vAlign w:val="bottom"/>
            <w:vMerge w:val="restart"/>
          </w:tcPr>
          <w:p>
            <w:pPr>
              <w:jc w:val="right"/>
              <w:ind w:right="168"/>
              <w:spacing w:after="0"/>
              <w:rPr>
                <w:sz w:val="20"/>
                <w:szCs w:val="20"/>
                <w:color w:val="auto"/>
              </w:rPr>
            </w:pPr>
            <w:r>
              <w:rPr>
                <w:rFonts w:ascii="Arial" w:cs="Arial" w:eastAsia="Arial" w:hAnsi="Arial"/>
                <w:sz w:val="14"/>
                <w:szCs w:val="14"/>
                <w:color w:val="auto"/>
              </w:rPr>
              <w:t>$</w:t>
            </w:r>
          </w:p>
        </w:tc>
        <w:tc>
          <w:tcPr>
            <w:tcW w:w="1100" w:type="dxa"/>
            <w:vAlign w:val="bottom"/>
            <w:vMerge w:val="restart"/>
          </w:tcPr>
          <w:p>
            <w:pPr>
              <w:jc w:val="right"/>
              <w:ind w:right="8"/>
              <w:spacing w:after="0"/>
              <w:rPr>
                <w:sz w:val="20"/>
                <w:szCs w:val="20"/>
                <w:color w:val="auto"/>
              </w:rPr>
            </w:pPr>
            <w:r>
              <w:rPr>
                <w:rFonts w:ascii="Arial" w:cs="Arial" w:eastAsia="Arial" w:hAnsi="Arial"/>
                <w:sz w:val="14"/>
                <w:szCs w:val="14"/>
                <w:color w:val="auto"/>
              </w:rPr>
              <w:t>1,686</w:t>
            </w:r>
          </w:p>
        </w:tc>
        <w:tc>
          <w:tcPr>
            <w:tcW w:w="520" w:type="dxa"/>
            <w:vAlign w:val="bottom"/>
            <w:gridSpan w:val="3"/>
            <w:vMerge w:val="restart"/>
          </w:tcPr>
          <w:p>
            <w:pPr>
              <w:jc w:val="right"/>
              <w:ind w:right="240"/>
              <w:spacing w:after="0"/>
              <w:rPr>
                <w:sz w:val="20"/>
                <w:szCs w:val="20"/>
                <w:color w:val="auto"/>
              </w:rPr>
            </w:pPr>
            <w:r>
              <w:rPr>
                <w:rFonts w:ascii="Arial" w:cs="Arial" w:eastAsia="Arial" w:hAnsi="Arial"/>
                <w:sz w:val="14"/>
                <w:szCs w:val="14"/>
                <w:color w:val="auto"/>
              </w:rPr>
              <w:t>$</w:t>
            </w:r>
          </w:p>
        </w:tc>
        <w:tc>
          <w:tcPr>
            <w:tcW w:w="1140" w:type="dxa"/>
            <w:vAlign w:val="bottom"/>
            <w:vMerge w:val="restart"/>
          </w:tcPr>
          <w:p>
            <w:pPr>
              <w:jc w:val="right"/>
              <w:ind w:right="48"/>
              <w:spacing w:after="0"/>
              <w:rPr>
                <w:sz w:val="20"/>
                <w:szCs w:val="20"/>
                <w:color w:val="auto"/>
              </w:rPr>
            </w:pPr>
            <w:r>
              <w:rPr>
                <w:rFonts w:ascii="Arial" w:cs="Arial" w:eastAsia="Arial" w:hAnsi="Arial"/>
                <w:sz w:val="14"/>
                <w:szCs w:val="14"/>
                <w:color w:val="auto"/>
              </w:rPr>
              <w:t>1,412</w:t>
            </w:r>
          </w:p>
        </w:tc>
        <w:tc>
          <w:tcPr>
            <w:tcW w:w="100" w:type="dxa"/>
            <w:vAlign w:val="bottom"/>
          </w:tcPr>
          <w:p>
            <w:pPr>
              <w:spacing w:after="0"/>
              <w:rPr>
                <w:sz w:val="17"/>
                <w:szCs w:val="17"/>
                <w:color w:val="auto"/>
              </w:rPr>
            </w:pPr>
          </w:p>
        </w:tc>
        <w:tc>
          <w:tcPr>
            <w:tcW w:w="340" w:type="dxa"/>
            <w:vAlign w:val="bottom"/>
            <w:vMerge w:val="restart"/>
          </w:tcPr>
          <w:p>
            <w:pPr>
              <w:jc w:val="right"/>
              <w:ind w:right="168"/>
              <w:spacing w:after="0"/>
              <w:rPr>
                <w:sz w:val="20"/>
                <w:szCs w:val="20"/>
                <w:color w:val="auto"/>
              </w:rPr>
            </w:pPr>
            <w:r>
              <w:rPr>
                <w:rFonts w:ascii="Arial" w:cs="Arial" w:eastAsia="Arial" w:hAnsi="Arial"/>
                <w:sz w:val="14"/>
                <w:szCs w:val="14"/>
                <w:color w:val="auto"/>
              </w:rPr>
              <w:t>$</w:t>
            </w:r>
          </w:p>
        </w:tc>
        <w:tc>
          <w:tcPr>
            <w:tcW w:w="1120" w:type="dxa"/>
            <w:vAlign w:val="bottom"/>
            <w:vMerge w:val="restart"/>
          </w:tcPr>
          <w:p>
            <w:pPr>
              <w:jc w:val="right"/>
              <w:ind w:right="28"/>
              <w:spacing w:after="0"/>
              <w:rPr>
                <w:sz w:val="20"/>
                <w:szCs w:val="20"/>
                <w:color w:val="auto"/>
              </w:rPr>
            </w:pPr>
            <w:r>
              <w:rPr>
                <w:rFonts w:ascii="Arial" w:cs="Arial" w:eastAsia="Arial" w:hAnsi="Arial"/>
                <w:sz w:val="14"/>
                <w:szCs w:val="14"/>
                <w:color w:val="auto"/>
              </w:rPr>
              <w:t>1,282</w:t>
            </w:r>
          </w:p>
        </w:tc>
        <w:tc>
          <w:tcPr>
            <w:tcW w:w="0" w:type="dxa"/>
            <w:vAlign w:val="bottom"/>
          </w:tcPr>
          <w:p>
            <w:pPr>
              <w:spacing w:after="0"/>
              <w:rPr>
                <w:sz w:val="1"/>
                <w:szCs w:val="1"/>
                <w:color w:val="auto"/>
              </w:rPr>
            </w:pPr>
          </w:p>
        </w:tc>
      </w:tr>
      <w:tr>
        <w:trPr>
          <w:trHeight w:val="60"/>
        </w:trPr>
        <w:tc>
          <w:tcPr>
            <w:tcW w:w="2120" w:type="dxa"/>
            <w:vAlign w:val="bottom"/>
          </w:tcPr>
          <w:p>
            <w:pPr>
              <w:spacing w:after="0"/>
              <w:rPr>
                <w:sz w:val="5"/>
                <w:szCs w:val="5"/>
                <w:color w:val="auto"/>
              </w:rPr>
            </w:pPr>
          </w:p>
        </w:tc>
        <w:tc>
          <w:tcPr>
            <w:tcW w:w="4620" w:type="dxa"/>
            <w:vAlign w:val="bottom"/>
          </w:tcPr>
          <w:p>
            <w:pPr>
              <w:spacing w:after="0"/>
              <w:rPr>
                <w:sz w:val="5"/>
                <w:szCs w:val="5"/>
                <w:color w:val="auto"/>
              </w:rPr>
            </w:pPr>
          </w:p>
        </w:tc>
        <w:tc>
          <w:tcPr>
            <w:tcW w:w="360" w:type="dxa"/>
            <w:vAlign w:val="bottom"/>
            <w:vMerge w:val="continue"/>
          </w:tcPr>
          <w:p>
            <w:pPr>
              <w:spacing w:after="0"/>
              <w:rPr>
                <w:sz w:val="5"/>
                <w:szCs w:val="5"/>
                <w:color w:val="auto"/>
              </w:rPr>
            </w:pPr>
          </w:p>
        </w:tc>
        <w:tc>
          <w:tcPr>
            <w:tcW w:w="1100" w:type="dxa"/>
            <w:vAlign w:val="bottom"/>
            <w:vMerge w:val="continue"/>
          </w:tcPr>
          <w:p>
            <w:pPr>
              <w:spacing w:after="0"/>
              <w:rPr>
                <w:sz w:val="5"/>
                <w:szCs w:val="5"/>
                <w:color w:val="auto"/>
              </w:rPr>
            </w:pPr>
          </w:p>
        </w:tc>
        <w:tc>
          <w:tcPr>
            <w:tcW w:w="520" w:type="dxa"/>
            <w:vAlign w:val="bottom"/>
            <w:gridSpan w:val="3"/>
            <w:vMerge w:val="continue"/>
          </w:tcPr>
          <w:p>
            <w:pPr>
              <w:spacing w:after="0"/>
              <w:rPr>
                <w:sz w:val="5"/>
                <w:szCs w:val="5"/>
                <w:color w:val="auto"/>
              </w:rPr>
            </w:pPr>
          </w:p>
        </w:tc>
        <w:tc>
          <w:tcPr>
            <w:tcW w:w="1140" w:type="dxa"/>
            <w:vAlign w:val="bottom"/>
            <w:vMerge w:val="continue"/>
          </w:tcPr>
          <w:p>
            <w:pPr>
              <w:spacing w:after="0"/>
              <w:rPr>
                <w:sz w:val="5"/>
                <w:szCs w:val="5"/>
                <w:color w:val="auto"/>
              </w:rPr>
            </w:pPr>
          </w:p>
        </w:tc>
        <w:tc>
          <w:tcPr>
            <w:tcW w:w="100" w:type="dxa"/>
            <w:vAlign w:val="bottom"/>
          </w:tcPr>
          <w:p>
            <w:pPr>
              <w:spacing w:after="0"/>
              <w:rPr>
                <w:sz w:val="5"/>
                <w:szCs w:val="5"/>
                <w:color w:val="auto"/>
              </w:rPr>
            </w:pPr>
          </w:p>
        </w:tc>
        <w:tc>
          <w:tcPr>
            <w:tcW w:w="340" w:type="dxa"/>
            <w:vAlign w:val="bottom"/>
            <w:vMerge w:val="continue"/>
          </w:tcPr>
          <w:p>
            <w:pPr>
              <w:spacing w:after="0"/>
              <w:rPr>
                <w:sz w:val="5"/>
                <w:szCs w:val="5"/>
                <w:color w:val="auto"/>
              </w:rPr>
            </w:pPr>
          </w:p>
        </w:tc>
        <w:tc>
          <w:tcPr>
            <w:tcW w:w="112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r>
        <w:trPr>
          <w:trHeight w:val="210"/>
        </w:trPr>
        <w:tc>
          <w:tcPr>
            <w:tcW w:w="6740" w:type="dxa"/>
            <w:vAlign w:val="bottom"/>
            <w:gridSpan w:val="2"/>
            <w:shd w:val="clear" w:color="auto" w:fill="CCEEFF"/>
          </w:tcPr>
          <w:p>
            <w:pPr>
              <w:ind w:left="40"/>
              <w:spacing w:after="0"/>
              <w:rPr>
                <w:sz w:val="20"/>
                <w:szCs w:val="20"/>
                <w:color w:val="auto"/>
              </w:rPr>
            </w:pPr>
            <w:r>
              <w:rPr>
                <w:rFonts w:ascii="Arial" w:cs="Arial" w:eastAsia="Arial" w:hAnsi="Arial"/>
                <w:sz w:val="14"/>
                <w:szCs w:val="14"/>
                <w:color w:val="auto"/>
              </w:rPr>
              <w:t>Adjustments to reconcile net income to net cash provided by operating activities</w:t>
            </w:r>
          </w:p>
        </w:tc>
        <w:tc>
          <w:tcPr>
            <w:tcW w:w="36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66"/>
        </w:trPr>
        <w:tc>
          <w:tcPr>
            <w:tcW w:w="2120" w:type="dxa"/>
            <w:vAlign w:val="bottom"/>
            <w:shd w:val="clear" w:color="auto" w:fill="CCEEFF"/>
          </w:tcPr>
          <w:p>
            <w:pPr>
              <w:spacing w:after="0"/>
              <w:rPr>
                <w:sz w:val="5"/>
                <w:szCs w:val="5"/>
                <w:color w:val="auto"/>
              </w:rPr>
            </w:pPr>
          </w:p>
        </w:tc>
        <w:tc>
          <w:tcPr>
            <w:tcW w:w="4620" w:type="dxa"/>
            <w:vAlign w:val="bottom"/>
            <w:shd w:val="clear" w:color="auto" w:fill="CCEEFF"/>
          </w:tcPr>
          <w:p>
            <w:pPr>
              <w:spacing w:after="0"/>
              <w:rPr>
                <w:sz w:val="5"/>
                <w:szCs w:val="5"/>
                <w:color w:val="auto"/>
              </w:rPr>
            </w:pPr>
          </w:p>
        </w:tc>
        <w:tc>
          <w:tcPr>
            <w:tcW w:w="360" w:type="dxa"/>
            <w:vAlign w:val="bottom"/>
            <w:shd w:val="clear" w:color="auto" w:fill="CCEEFF"/>
          </w:tcPr>
          <w:p>
            <w:pPr>
              <w:spacing w:after="0"/>
              <w:rPr>
                <w:sz w:val="5"/>
                <w:szCs w:val="5"/>
                <w:color w:val="auto"/>
              </w:rPr>
            </w:pPr>
          </w:p>
        </w:tc>
        <w:tc>
          <w:tcPr>
            <w:tcW w:w="1100" w:type="dxa"/>
            <w:vAlign w:val="bottom"/>
            <w:shd w:val="clear" w:color="auto" w:fill="CCEEFF"/>
          </w:tcPr>
          <w:p>
            <w:pPr>
              <w:spacing w:after="0"/>
              <w:rPr>
                <w:sz w:val="5"/>
                <w:szCs w:val="5"/>
                <w:color w:val="auto"/>
              </w:rPr>
            </w:pPr>
          </w:p>
        </w:tc>
        <w:tc>
          <w:tcPr>
            <w:tcW w:w="40" w:type="dxa"/>
            <w:vAlign w:val="bottom"/>
            <w:shd w:val="clear" w:color="auto" w:fill="CCEEFF"/>
          </w:tcPr>
          <w:p>
            <w:pPr>
              <w:spacing w:after="0"/>
              <w:rPr>
                <w:sz w:val="5"/>
                <w:szCs w:val="5"/>
                <w:color w:val="auto"/>
              </w:rPr>
            </w:pPr>
          </w:p>
        </w:tc>
        <w:tc>
          <w:tcPr>
            <w:tcW w:w="120" w:type="dxa"/>
            <w:vAlign w:val="bottom"/>
            <w:shd w:val="clear" w:color="auto" w:fill="CCEEFF"/>
          </w:tcPr>
          <w:p>
            <w:pPr>
              <w:spacing w:after="0"/>
              <w:rPr>
                <w:sz w:val="5"/>
                <w:szCs w:val="5"/>
                <w:color w:val="auto"/>
              </w:rPr>
            </w:pPr>
          </w:p>
        </w:tc>
        <w:tc>
          <w:tcPr>
            <w:tcW w:w="360" w:type="dxa"/>
            <w:vAlign w:val="bottom"/>
            <w:shd w:val="clear" w:color="auto" w:fill="CCEEFF"/>
          </w:tcPr>
          <w:p>
            <w:pPr>
              <w:spacing w:after="0"/>
              <w:rPr>
                <w:sz w:val="5"/>
                <w:szCs w:val="5"/>
                <w:color w:val="auto"/>
              </w:rPr>
            </w:pPr>
          </w:p>
        </w:tc>
        <w:tc>
          <w:tcPr>
            <w:tcW w:w="1140" w:type="dxa"/>
            <w:vAlign w:val="bottom"/>
            <w:shd w:val="clear" w:color="auto" w:fill="CCEEFF"/>
          </w:tcPr>
          <w:p>
            <w:pPr>
              <w:spacing w:after="0"/>
              <w:rPr>
                <w:sz w:val="5"/>
                <w:szCs w:val="5"/>
                <w:color w:val="auto"/>
              </w:rPr>
            </w:pPr>
          </w:p>
        </w:tc>
        <w:tc>
          <w:tcPr>
            <w:tcW w:w="100" w:type="dxa"/>
            <w:vAlign w:val="bottom"/>
            <w:shd w:val="clear" w:color="auto" w:fill="CCEEFF"/>
          </w:tcPr>
          <w:p>
            <w:pPr>
              <w:spacing w:after="0"/>
              <w:rPr>
                <w:sz w:val="5"/>
                <w:szCs w:val="5"/>
                <w:color w:val="auto"/>
              </w:rPr>
            </w:pPr>
          </w:p>
        </w:tc>
        <w:tc>
          <w:tcPr>
            <w:tcW w:w="340" w:type="dxa"/>
            <w:vAlign w:val="bottom"/>
            <w:shd w:val="clear" w:color="auto" w:fill="CCEEFF"/>
          </w:tcPr>
          <w:p>
            <w:pPr>
              <w:spacing w:after="0"/>
              <w:rPr>
                <w:sz w:val="5"/>
                <w:szCs w:val="5"/>
                <w:color w:val="auto"/>
              </w:rPr>
            </w:pPr>
          </w:p>
        </w:tc>
        <w:tc>
          <w:tcPr>
            <w:tcW w:w="1120" w:type="dxa"/>
            <w:vAlign w:val="bottom"/>
            <w:shd w:val="clear" w:color="auto" w:fill="CCEEFF"/>
          </w:tcPr>
          <w:p>
            <w:pPr>
              <w:spacing w:after="0"/>
              <w:rPr>
                <w:sz w:val="5"/>
                <w:szCs w:val="5"/>
                <w:color w:val="auto"/>
              </w:rPr>
            </w:pPr>
          </w:p>
        </w:tc>
        <w:tc>
          <w:tcPr>
            <w:tcW w:w="0" w:type="dxa"/>
            <w:vAlign w:val="bottom"/>
          </w:tcPr>
          <w:p>
            <w:pPr>
              <w:spacing w:after="0"/>
              <w:rPr>
                <w:sz w:val="1"/>
                <w:szCs w:val="1"/>
                <w:color w:val="auto"/>
              </w:rPr>
            </w:pPr>
          </w:p>
        </w:tc>
      </w:tr>
      <w:tr>
        <w:trPr>
          <w:trHeight w:val="204"/>
        </w:trPr>
        <w:tc>
          <w:tcPr>
            <w:tcW w:w="6740" w:type="dxa"/>
            <w:vAlign w:val="bottom"/>
            <w:gridSpan w:val="2"/>
          </w:tcPr>
          <w:p>
            <w:pPr>
              <w:ind w:left="280"/>
              <w:spacing w:after="0"/>
              <w:rPr>
                <w:sz w:val="20"/>
                <w:szCs w:val="20"/>
                <w:color w:val="auto"/>
              </w:rPr>
            </w:pPr>
            <w:r>
              <w:rPr>
                <w:rFonts w:ascii="Arial" w:cs="Arial" w:eastAsia="Arial" w:hAnsi="Arial"/>
                <w:sz w:val="14"/>
                <w:szCs w:val="14"/>
                <w:color w:val="auto"/>
              </w:rPr>
              <w:t>Depreciation and amortization</w:t>
            </w:r>
          </w:p>
        </w:tc>
        <w:tc>
          <w:tcPr>
            <w:tcW w:w="360" w:type="dxa"/>
            <w:vAlign w:val="bottom"/>
          </w:tcPr>
          <w:p>
            <w:pPr>
              <w:spacing w:after="0"/>
              <w:rPr>
                <w:sz w:val="17"/>
                <w:szCs w:val="17"/>
                <w:color w:val="auto"/>
              </w:rPr>
            </w:pPr>
          </w:p>
        </w:tc>
        <w:tc>
          <w:tcPr>
            <w:tcW w:w="1100" w:type="dxa"/>
            <w:vAlign w:val="bottom"/>
            <w:vMerge w:val="restart"/>
          </w:tcPr>
          <w:p>
            <w:pPr>
              <w:jc w:val="right"/>
              <w:ind w:right="8"/>
              <w:spacing w:after="0"/>
              <w:rPr>
                <w:sz w:val="20"/>
                <w:szCs w:val="20"/>
                <w:color w:val="auto"/>
              </w:rPr>
            </w:pPr>
            <w:r>
              <w:rPr>
                <w:rFonts w:ascii="Arial" w:cs="Arial" w:eastAsia="Arial" w:hAnsi="Arial"/>
                <w:sz w:val="14"/>
                <w:szCs w:val="14"/>
                <w:color w:val="auto"/>
              </w:rPr>
              <w:t>2,318</w:t>
            </w:r>
          </w:p>
        </w:tc>
        <w:tc>
          <w:tcPr>
            <w:tcW w:w="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140" w:type="dxa"/>
            <w:vAlign w:val="bottom"/>
            <w:vMerge w:val="restart"/>
          </w:tcPr>
          <w:p>
            <w:pPr>
              <w:jc w:val="right"/>
              <w:ind w:right="48"/>
              <w:spacing w:after="0"/>
              <w:rPr>
                <w:sz w:val="20"/>
                <w:szCs w:val="20"/>
                <w:color w:val="auto"/>
              </w:rPr>
            </w:pPr>
            <w:r>
              <w:rPr>
                <w:rFonts w:ascii="Arial" w:cs="Arial" w:eastAsia="Arial" w:hAnsi="Arial"/>
                <w:sz w:val="14"/>
                <w:szCs w:val="14"/>
                <w:color w:val="auto"/>
              </w:rPr>
              <w:t>2,159</w:t>
            </w:r>
          </w:p>
        </w:tc>
        <w:tc>
          <w:tcPr>
            <w:tcW w:w="1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120" w:type="dxa"/>
            <w:vAlign w:val="bottom"/>
            <w:vMerge w:val="restart"/>
          </w:tcPr>
          <w:p>
            <w:pPr>
              <w:jc w:val="right"/>
              <w:ind w:right="28"/>
              <w:spacing w:after="0"/>
              <w:rPr>
                <w:sz w:val="20"/>
                <w:szCs w:val="20"/>
                <w:color w:val="auto"/>
              </w:rPr>
            </w:pPr>
            <w:r>
              <w:rPr>
                <w:rFonts w:ascii="Arial" w:cs="Arial" w:eastAsia="Arial" w:hAnsi="Arial"/>
                <w:sz w:val="14"/>
                <w:szCs w:val="14"/>
                <w:color w:val="auto"/>
              </w:rPr>
              <w:t>2,017</w:t>
            </w:r>
          </w:p>
        </w:tc>
        <w:tc>
          <w:tcPr>
            <w:tcW w:w="0" w:type="dxa"/>
            <w:vAlign w:val="bottom"/>
          </w:tcPr>
          <w:p>
            <w:pPr>
              <w:spacing w:after="0"/>
              <w:rPr>
                <w:sz w:val="1"/>
                <w:szCs w:val="1"/>
                <w:color w:val="auto"/>
              </w:rPr>
            </w:pPr>
          </w:p>
        </w:tc>
      </w:tr>
      <w:tr>
        <w:trPr>
          <w:trHeight w:val="60"/>
        </w:trPr>
        <w:tc>
          <w:tcPr>
            <w:tcW w:w="2120" w:type="dxa"/>
            <w:vAlign w:val="bottom"/>
          </w:tcPr>
          <w:p>
            <w:pPr>
              <w:spacing w:after="0"/>
              <w:rPr>
                <w:sz w:val="5"/>
                <w:szCs w:val="5"/>
                <w:color w:val="auto"/>
              </w:rPr>
            </w:pPr>
          </w:p>
        </w:tc>
        <w:tc>
          <w:tcPr>
            <w:tcW w:w="4620" w:type="dxa"/>
            <w:vAlign w:val="bottom"/>
          </w:tcPr>
          <w:p>
            <w:pPr>
              <w:spacing w:after="0"/>
              <w:rPr>
                <w:sz w:val="5"/>
                <w:szCs w:val="5"/>
                <w:color w:val="auto"/>
              </w:rPr>
            </w:pPr>
          </w:p>
        </w:tc>
        <w:tc>
          <w:tcPr>
            <w:tcW w:w="360" w:type="dxa"/>
            <w:vAlign w:val="bottom"/>
          </w:tcPr>
          <w:p>
            <w:pPr>
              <w:spacing w:after="0"/>
              <w:rPr>
                <w:sz w:val="5"/>
                <w:szCs w:val="5"/>
                <w:color w:val="auto"/>
              </w:rPr>
            </w:pPr>
          </w:p>
        </w:tc>
        <w:tc>
          <w:tcPr>
            <w:tcW w:w="1100" w:type="dxa"/>
            <w:vAlign w:val="bottom"/>
            <w:vMerge w:val="continue"/>
          </w:tcPr>
          <w:p>
            <w:pPr>
              <w:spacing w:after="0"/>
              <w:rPr>
                <w:sz w:val="5"/>
                <w:szCs w:val="5"/>
                <w:color w:val="auto"/>
              </w:rPr>
            </w:pPr>
          </w:p>
        </w:tc>
        <w:tc>
          <w:tcPr>
            <w:tcW w:w="40" w:type="dxa"/>
            <w:vAlign w:val="bottom"/>
          </w:tcPr>
          <w:p>
            <w:pPr>
              <w:spacing w:after="0"/>
              <w:rPr>
                <w:sz w:val="5"/>
                <w:szCs w:val="5"/>
                <w:color w:val="auto"/>
              </w:rPr>
            </w:pPr>
          </w:p>
        </w:tc>
        <w:tc>
          <w:tcPr>
            <w:tcW w:w="120" w:type="dxa"/>
            <w:vAlign w:val="bottom"/>
          </w:tcPr>
          <w:p>
            <w:pPr>
              <w:spacing w:after="0"/>
              <w:rPr>
                <w:sz w:val="5"/>
                <w:szCs w:val="5"/>
                <w:color w:val="auto"/>
              </w:rPr>
            </w:pPr>
          </w:p>
        </w:tc>
        <w:tc>
          <w:tcPr>
            <w:tcW w:w="360" w:type="dxa"/>
            <w:vAlign w:val="bottom"/>
          </w:tcPr>
          <w:p>
            <w:pPr>
              <w:spacing w:after="0"/>
              <w:rPr>
                <w:sz w:val="5"/>
                <w:szCs w:val="5"/>
                <w:color w:val="auto"/>
              </w:rPr>
            </w:pPr>
          </w:p>
        </w:tc>
        <w:tc>
          <w:tcPr>
            <w:tcW w:w="1140" w:type="dxa"/>
            <w:vAlign w:val="bottom"/>
            <w:vMerge w:val="continue"/>
          </w:tcPr>
          <w:p>
            <w:pPr>
              <w:spacing w:after="0"/>
              <w:rPr>
                <w:sz w:val="5"/>
                <w:szCs w:val="5"/>
                <w:color w:val="auto"/>
              </w:rPr>
            </w:pPr>
          </w:p>
        </w:tc>
        <w:tc>
          <w:tcPr>
            <w:tcW w:w="100" w:type="dxa"/>
            <w:vAlign w:val="bottom"/>
          </w:tcPr>
          <w:p>
            <w:pPr>
              <w:spacing w:after="0"/>
              <w:rPr>
                <w:sz w:val="5"/>
                <w:szCs w:val="5"/>
                <w:color w:val="auto"/>
              </w:rPr>
            </w:pPr>
          </w:p>
        </w:tc>
        <w:tc>
          <w:tcPr>
            <w:tcW w:w="340" w:type="dxa"/>
            <w:vAlign w:val="bottom"/>
          </w:tcPr>
          <w:p>
            <w:pPr>
              <w:spacing w:after="0"/>
              <w:rPr>
                <w:sz w:val="5"/>
                <w:szCs w:val="5"/>
                <w:color w:val="auto"/>
              </w:rPr>
            </w:pPr>
          </w:p>
        </w:tc>
        <w:tc>
          <w:tcPr>
            <w:tcW w:w="112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r>
        <w:trPr>
          <w:trHeight w:val="210"/>
        </w:trPr>
        <w:tc>
          <w:tcPr>
            <w:tcW w:w="6740" w:type="dxa"/>
            <w:vAlign w:val="bottom"/>
            <w:gridSpan w:val="2"/>
            <w:shd w:val="clear" w:color="auto" w:fill="CCEEFF"/>
          </w:tcPr>
          <w:p>
            <w:pPr>
              <w:ind w:left="280"/>
              <w:spacing w:after="0"/>
              <w:rPr>
                <w:sz w:val="20"/>
                <w:szCs w:val="20"/>
                <w:color w:val="auto"/>
              </w:rPr>
            </w:pPr>
            <w:r>
              <w:rPr>
                <w:rFonts w:ascii="Arial" w:cs="Arial" w:eastAsia="Arial" w:hAnsi="Arial"/>
                <w:sz w:val="14"/>
                <w:szCs w:val="14"/>
                <w:color w:val="auto"/>
              </w:rPr>
              <w:t>Net gains from sale of property and equipment and sale-leaseback transactions</w:t>
            </w:r>
          </w:p>
        </w:tc>
        <w:tc>
          <w:tcPr>
            <w:tcW w:w="360" w:type="dxa"/>
            <w:vAlign w:val="bottom"/>
            <w:shd w:val="clear" w:color="auto" w:fill="CCEEFF"/>
          </w:tcPr>
          <w:p>
            <w:pPr>
              <w:spacing w:after="0"/>
              <w:rPr>
                <w:sz w:val="18"/>
                <w:szCs w:val="18"/>
                <w:color w:val="auto"/>
              </w:rPr>
            </w:pPr>
          </w:p>
        </w:tc>
        <w:tc>
          <w:tcPr>
            <w:tcW w:w="110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(112)</w:t>
            </w:r>
          </w:p>
        </w:tc>
        <w:tc>
          <w:tcPr>
            <w:tcW w:w="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14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(59)</w:t>
            </w:r>
          </w:p>
        </w:tc>
        <w:tc>
          <w:tcPr>
            <w:tcW w:w="1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12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(11)</w:t>
            </w:r>
          </w:p>
        </w:tc>
        <w:tc>
          <w:tcPr>
            <w:tcW w:w="0" w:type="dxa"/>
            <w:vAlign w:val="bottom"/>
          </w:tcPr>
          <w:p>
            <w:pPr>
              <w:spacing w:after="0"/>
              <w:rPr>
                <w:sz w:val="1"/>
                <w:szCs w:val="1"/>
                <w:color w:val="auto"/>
              </w:rPr>
            </w:pPr>
          </w:p>
        </w:tc>
      </w:tr>
      <w:tr>
        <w:trPr>
          <w:trHeight w:val="66"/>
        </w:trPr>
        <w:tc>
          <w:tcPr>
            <w:tcW w:w="2120" w:type="dxa"/>
            <w:vAlign w:val="bottom"/>
            <w:shd w:val="clear" w:color="auto" w:fill="CCEEFF"/>
          </w:tcPr>
          <w:p>
            <w:pPr>
              <w:spacing w:after="0"/>
              <w:rPr>
                <w:sz w:val="5"/>
                <w:szCs w:val="5"/>
                <w:color w:val="auto"/>
              </w:rPr>
            </w:pPr>
          </w:p>
        </w:tc>
        <w:tc>
          <w:tcPr>
            <w:tcW w:w="4620" w:type="dxa"/>
            <w:vAlign w:val="bottom"/>
            <w:shd w:val="clear" w:color="auto" w:fill="CCEEFF"/>
          </w:tcPr>
          <w:p>
            <w:pPr>
              <w:spacing w:after="0"/>
              <w:rPr>
                <w:sz w:val="5"/>
                <w:szCs w:val="5"/>
                <w:color w:val="auto"/>
              </w:rPr>
            </w:pPr>
          </w:p>
        </w:tc>
        <w:tc>
          <w:tcPr>
            <w:tcW w:w="360" w:type="dxa"/>
            <w:vAlign w:val="bottom"/>
            <w:shd w:val="clear" w:color="auto" w:fill="CCEEFF"/>
          </w:tcPr>
          <w:p>
            <w:pPr>
              <w:spacing w:after="0"/>
              <w:rPr>
                <w:sz w:val="5"/>
                <w:szCs w:val="5"/>
                <w:color w:val="auto"/>
              </w:rPr>
            </w:pPr>
          </w:p>
        </w:tc>
        <w:tc>
          <w:tcPr>
            <w:tcW w:w="1100" w:type="dxa"/>
            <w:vAlign w:val="bottom"/>
            <w:vMerge w:val="continue"/>
            <w:shd w:val="clear" w:color="auto" w:fill="CCEEFF"/>
          </w:tcPr>
          <w:p>
            <w:pPr>
              <w:spacing w:after="0"/>
              <w:rPr>
                <w:sz w:val="5"/>
                <w:szCs w:val="5"/>
                <w:color w:val="auto"/>
              </w:rPr>
            </w:pPr>
          </w:p>
        </w:tc>
        <w:tc>
          <w:tcPr>
            <w:tcW w:w="40" w:type="dxa"/>
            <w:vAlign w:val="bottom"/>
            <w:shd w:val="clear" w:color="auto" w:fill="CCEEFF"/>
          </w:tcPr>
          <w:p>
            <w:pPr>
              <w:spacing w:after="0"/>
              <w:rPr>
                <w:sz w:val="5"/>
                <w:szCs w:val="5"/>
                <w:color w:val="auto"/>
              </w:rPr>
            </w:pPr>
          </w:p>
        </w:tc>
        <w:tc>
          <w:tcPr>
            <w:tcW w:w="120" w:type="dxa"/>
            <w:vAlign w:val="bottom"/>
            <w:shd w:val="clear" w:color="auto" w:fill="CCEEFF"/>
          </w:tcPr>
          <w:p>
            <w:pPr>
              <w:spacing w:after="0"/>
              <w:rPr>
                <w:sz w:val="5"/>
                <w:szCs w:val="5"/>
                <w:color w:val="auto"/>
              </w:rPr>
            </w:pPr>
          </w:p>
        </w:tc>
        <w:tc>
          <w:tcPr>
            <w:tcW w:w="360" w:type="dxa"/>
            <w:vAlign w:val="bottom"/>
            <w:shd w:val="clear" w:color="auto" w:fill="CCEEFF"/>
          </w:tcPr>
          <w:p>
            <w:pPr>
              <w:spacing w:after="0"/>
              <w:rPr>
                <w:sz w:val="5"/>
                <w:szCs w:val="5"/>
                <w:color w:val="auto"/>
              </w:rPr>
            </w:pPr>
          </w:p>
        </w:tc>
        <w:tc>
          <w:tcPr>
            <w:tcW w:w="1140" w:type="dxa"/>
            <w:vAlign w:val="bottom"/>
            <w:vMerge w:val="continue"/>
            <w:shd w:val="clear" w:color="auto" w:fill="CCEEFF"/>
          </w:tcPr>
          <w:p>
            <w:pPr>
              <w:spacing w:after="0"/>
              <w:rPr>
                <w:sz w:val="5"/>
                <w:szCs w:val="5"/>
                <w:color w:val="auto"/>
              </w:rPr>
            </w:pPr>
          </w:p>
        </w:tc>
        <w:tc>
          <w:tcPr>
            <w:tcW w:w="100" w:type="dxa"/>
            <w:vAlign w:val="bottom"/>
            <w:shd w:val="clear" w:color="auto" w:fill="CCEEFF"/>
          </w:tcPr>
          <w:p>
            <w:pPr>
              <w:spacing w:after="0"/>
              <w:rPr>
                <w:sz w:val="5"/>
                <w:szCs w:val="5"/>
                <w:color w:val="auto"/>
              </w:rPr>
            </w:pPr>
          </w:p>
        </w:tc>
        <w:tc>
          <w:tcPr>
            <w:tcW w:w="340" w:type="dxa"/>
            <w:vAlign w:val="bottom"/>
            <w:shd w:val="clear" w:color="auto" w:fill="CCEEFF"/>
          </w:tcPr>
          <w:p>
            <w:pPr>
              <w:spacing w:after="0"/>
              <w:rPr>
                <w:sz w:val="5"/>
                <w:szCs w:val="5"/>
                <w:color w:val="auto"/>
              </w:rPr>
            </w:pPr>
          </w:p>
        </w:tc>
        <w:tc>
          <w:tcPr>
            <w:tcW w:w="1120" w:type="dxa"/>
            <w:vAlign w:val="bottom"/>
            <w:vMerge w:val="continue"/>
            <w:shd w:val="clear" w:color="auto" w:fill="CCEEFF"/>
          </w:tcPr>
          <w:p>
            <w:pPr>
              <w:spacing w:after="0"/>
              <w:rPr>
                <w:sz w:val="5"/>
                <w:szCs w:val="5"/>
                <w:color w:val="auto"/>
              </w:rPr>
            </w:pPr>
          </w:p>
        </w:tc>
        <w:tc>
          <w:tcPr>
            <w:tcW w:w="0" w:type="dxa"/>
            <w:vAlign w:val="bottom"/>
          </w:tcPr>
          <w:p>
            <w:pPr>
              <w:spacing w:after="0"/>
              <w:rPr>
                <w:sz w:val="1"/>
                <w:szCs w:val="1"/>
                <w:color w:val="auto"/>
              </w:rPr>
            </w:pPr>
          </w:p>
        </w:tc>
      </w:tr>
      <w:tr>
        <w:trPr>
          <w:trHeight w:val="204"/>
        </w:trPr>
        <w:tc>
          <w:tcPr>
            <w:tcW w:w="6740" w:type="dxa"/>
            <w:vAlign w:val="bottom"/>
            <w:gridSpan w:val="2"/>
          </w:tcPr>
          <w:p>
            <w:pPr>
              <w:ind w:left="280"/>
              <w:spacing w:after="0"/>
              <w:rPr>
                <w:sz w:val="20"/>
                <w:szCs w:val="20"/>
                <w:color w:val="auto"/>
              </w:rPr>
            </w:pPr>
            <w:r>
              <w:rPr>
                <w:rFonts w:ascii="Arial" w:cs="Arial" w:eastAsia="Arial" w:hAnsi="Arial"/>
                <w:sz w:val="14"/>
                <w:szCs w:val="14"/>
                <w:color w:val="auto"/>
              </w:rPr>
              <w:t>Special items, net non-cash</w:t>
            </w:r>
          </w:p>
        </w:tc>
        <w:tc>
          <w:tcPr>
            <w:tcW w:w="360" w:type="dxa"/>
            <w:vAlign w:val="bottom"/>
          </w:tcPr>
          <w:p>
            <w:pPr>
              <w:spacing w:after="0"/>
              <w:rPr>
                <w:sz w:val="17"/>
                <w:szCs w:val="17"/>
                <w:color w:val="auto"/>
              </w:rPr>
            </w:pPr>
          </w:p>
        </w:tc>
        <w:tc>
          <w:tcPr>
            <w:tcW w:w="1100" w:type="dxa"/>
            <w:vAlign w:val="bottom"/>
            <w:vMerge w:val="restart"/>
          </w:tcPr>
          <w:p>
            <w:pPr>
              <w:jc w:val="right"/>
              <w:ind w:right="8"/>
              <w:spacing w:after="0"/>
              <w:rPr>
                <w:sz w:val="20"/>
                <w:szCs w:val="20"/>
                <w:color w:val="auto"/>
              </w:rPr>
            </w:pPr>
            <w:r>
              <w:rPr>
                <w:rFonts w:ascii="Arial" w:cs="Arial" w:eastAsia="Arial" w:hAnsi="Arial"/>
                <w:sz w:val="14"/>
                <w:szCs w:val="14"/>
                <w:color w:val="auto"/>
              </w:rPr>
              <w:t>376</w:t>
            </w:r>
          </w:p>
        </w:tc>
        <w:tc>
          <w:tcPr>
            <w:tcW w:w="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140" w:type="dxa"/>
            <w:vAlign w:val="bottom"/>
            <w:vMerge w:val="restart"/>
          </w:tcPr>
          <w:p>
            <w:pPr>
              <w:jc w:val="right"/>
              <w:ind w:right="48"/>
              <w:spacing w:after="0"/>
              <w:rPr>
                <w:sz w:val="20"/>
                <w:szCs w:val="20"/>
                <w:color w:val="auto"/>
              </w:rPr>
            </w:pPr>
            <w:r>
              <w:rPr>
                <w:rFonts w:ascii="Arial" w:cs="Arial" w:eastAsia="Arial" w:hAnsi="Arial"/>
                <w:sz w:val="14"/>
                <w:szCs w:val="14"/>
                <w:color w:val="auto"/>
              </w:rPr>
              <w:t>458</w:t>
            </w:r>
          </w:p>
        </w:tc>
        <w:tc>
          <w:tcPr>
            <w:tcW w:w="1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120" w:type="dxa"/>
            <w:vAlign w:val="bottom"/>
            <w:vMerge w:val="restart"/>
          </w:tcPr>
          <w:p>
            <w:pPr>
              <w:jc w:val="right"/>
              <w:ind w:right="28"/>
              <w:spacing w:after="0"/>
              <w:rPr>
                <w:sz w:val="20"/>
                <w:szCs w:val="20"/>
                <w:color w:val="auto"/>
              </w:rPr>
            </w:pPr>
            <w:r>
              <w:rPr>
                <w:rFonts w:ascii="Arial" w:cs="Arial" w:eastAsia="Arial" w:hAnsi="Arial"/>
                <w:sz w:val="14"/>
                <w:szCs w:val="14"/>
                <w:color w:val="auto"/>
              </w:rPr>
              <w:t>272</w:t>
            </w:r>
          </w:p>
        </w:tc>
        <w:tc>
          <w:tcPr>
            <w:tcW w:w="0" w:type="dxa"/>
            <w:vAlign w:val="bottom"/>
          </w:tcPr>
          <w:p>
            <w:pPr>
              <w:spacing w:after="0"/>
              <w:rPr>
                <w:sz w:val="1"/>
                <w:szCs w:val="1"/>
                <w:color w:val="auto"/>
              </w:rPr>
            </w:pPr>
          </w:p>
        </w:tc>
      </w:tr>
      <w:tr>
        <w:trPr>
          <w:trHeight w:val="60"/>
        </w:trPr>
        <w:tc>
          <w:tcPr>
            <w:tcW w:w="2120" w:type="dxa"/>
            <w:vAlign w:val="bottom"/>
          </w:tcPr>
          <w:p>
            <w:pPr>
              <w:spacing w:after="0"/>
              <w:rPr>
                <w:sz w:val="5"/>
                <w:szCs w:val="5"/>
                <w:color w:val="auto"/>
              </w:rPr>
            </w:pPr>
          </w:p>
        </w:tc>
        <w:tc>
          <w:tcPr>
            <w:tcW w:w="4620" w:type="dxa"/>
            <w:vAlign w:val="bottom"/>
          </w:tcPr>
          <w:p>
            <w:pPr>
              <w:spacing w:after="0"/>
              <w:rPr>
                <w:sz w:val="5"/>
                <w:szCs w:val="5"/>
                <w:color w:val="auto"/>
              </w:rPr>
            </w:pPr>
          </w:p>
        </w:tc>
        <w:tc>
          <w:tcPr>
            <w:tcW w:w="360" w:type="dxa"/>
            <w:vAlign w:val="bottom"/>
          </w:tcPr>
          <w:p>
            <w:pPr>
              <w:spacing w:after="0"/>
              <w:rPr>
                <w:sz w:val="5"/>
                <w:szCs w:val="5"/>
                <w:color w:val="auto"/>
              </w:rPr>
            </w:pPr>
          </w:p>
        </w:tc>
        <w:tc>
          <w:tcPr>
            <w:tcW w:w="1100" w:type="dxa"/>
            <w:vAlign w:val="bottom"/>
            <w:vMerge w:val="continue"/>
          </w:tcPr>
          <w:p>
            <w:pPr>
              <w:spacing w:after="0"/>
              <w:rPr>
                <w:sz w:val="5"/>
                <w:szCs w:val="5"/>
                <w:color w:val="auto"/>
              </w:rPr>
            </w:pPr>
          </w:p>
        </w:tc>
        <w:tc>
          <w:tcPr>
            <w:tcW w:w="40" w:type="dxa"/>
            <w:vAlign w:val="bottom"/>
          </w:tcPr>
          <w:p>
            <w:pPr>
              <w:spacing w:after="0"/>
              <w:rPr>
                <w:sz w:val="5"/>
                <w:szCs w:val="5"/>
                <w:color w:val="auto"/>
              </w:rPr>
            </w:pPr>
          </w:p>
        </w:tc>
        <w:tc>
          <w:tcPr>
            <w:tcW w:w="120" w:type="dxa"/>
            <w:vAlign w:val="bottom"/>
          </w:tcPr>
          <w:p>
            <w:pPr>
              <w:spacing w:after="0"/>
              <w:rPr>
                <w:sz w:val="5"/>
                <w:szCs w:val="5"/>
                <w:color w:val="auto"/>
              </w:rPr>
            </w:pPr>
          </w:p>
        </w:tc>
        <w:tc>
          <w:tcPr>
            <w:tcW w:w="360" w:type="dxa"/>
            <w:vAlign w:val="bottom"/>
          </w:tcPr>
          <w:p>
            <w:pPr>
              <w:spacing w:after="0"/>
              <w:rPr>
                <w:sz w:val="5"/>
                <w:szCs w:val="5"/>
                <w:color w:val="auto"/>
              </w:rPr>
            </w:pPr>
          </w:p>
        </w:tc>
        <w:tc>
          <w:tcPr>
            <w:tcW w:w="1140" w:type="dxa"/>
            <w:vAlign w:val="bottom"/>
            <w:vMerge w:val="continue"/>
          </w:tcPr>
          <w:p>
            <w:pPr>
              <w:spacing w:after="0"/>
              <w:rPr>
                <w:sz w:val="5"/>
                <w:szCs w:val="5"/>
                <w:color w:val="auto"/>
              </w:rPr>
            </w:pPr>
          </w:p>
        </w:tc>
        <w:tc>
          <w:tcPr>
            <w:tcW w:w="100" w:type="dxa"/>
            <w:vAlign w:val="bottom"/>
          </w:tcPr>
          <w:p>
            <w:pPr>
              <w:spacing w:after="0"/>
              <w:rPr>
                <w:sz w:val="5"/>
                <w:szCs w:val="5"/>
                <w:color w:val="auto"/>
              </w:rPr>
            </w:pPr>
          </w:p>
        </w:tc>
        <w:tc>
          <w:tcPr>
            <w:tcW w:w="340" w:type="dxa"/>
            <w:vAlign w:val="bottom"/>
          </w:tcPr>
          <w:p>
            <w:pPr>
              <w:spacing w:after="0"/>
              <w:rPr>
                <w:sz w:val="5"/>
                <w:szCs w:val="5"/>
                <w:color w:val="auto"/>
              </w:rPr>
            </w:pPr>
          </w:p>
        </w:tc>
        <w:tc>
          <w:tcPr>
            <w:tcW w:w="112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r>
        <w:trPr>
          <w:trHeight w:val="210"/>
        </w:trPr>
        <w:tc>
          <w:tcPr>
            <w:tcW w:w="6740" w:type="dxa"/>
            <w:vAlign w:val="bottom"/>
            <w:gridSpan w:val="2"/>
            <w:shd w:val="clear" w:color="auto" w:fill="CCEEFF"/>
          </w:tcPr>
          <w:p>
            <w:pPr>
              <w:ind w:left="280"/>
              <w:spacing w:after="0"/>
              <w:rPr>
                <w:sz w:val="20"/>
                <w:szCs w:val="20"/>
                <w:color w:val="auto"/>
              </w:rPr>
            </w:pPr>
            <w:r>
              <w:rPr>
                <w:rFonts w:ascii="Arial" w:cs="Arial" w:eastAsia="Arial" w:hAnsi="Arial"/>
                <w:sz w:val="14"/>
                <w:szCs w:val="14"/>
                <w:color w:val="auto"/>
              </w:rPr>
              <w:t>Pension and postretirement</w:t>
            </w:r>
          </w:p>
        </w:tc>
        <w:tc>
          <w:tcPr>
            <w:tcW w:w="360" w:type="dxa"/>
            <w:vAlign w:val="bottom"/>
            <w:shd w:val="clear" w:color="auto" w:fill="CCEEFF"/>
          </w:tcPr>
          <w:p>
            <w:pPr>
              <w:spacing w:after="0"/>
              <w:rPr>
                <w:sz w:val="18"/>
                <w:szCs w:val="18"/>
                <w:color w:val="auto"/>
              </w:rPr>
            </w:pPr>
          </w:p>
        </w:tc>
        <w:tc>
          <w:tcPr>
            <w:tcW w:w="110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(178)</w:t>
            </w:r>
          </w:p>
        </w:tc>
        <w:tc>
          <w:tcPr>
            <w:tcW w:w="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14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(300)</w:t>
            </w:r>
          </w:p>
        </w:tc>
        <w:tc>
          <w:tcPr>
            <w:tcW w:w="1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12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(132)</w:t>
            </w:r>
          </w:p>
        </w:tc>
        <w:tc>
          <w:tcPr>
            <w:tcW w:w="0" w:type="dxa"/>
            <w:vAlign w:val="bottom"/>
          </w:tcPr>
          <w:p>
            <w:pPr>
              <w:spacing w:after="0"/>
              <w:rPr>
                <w:sz w:val="1"/>
                <w:szCs w:val="1"/>
                <w:color w:val="auto"/>
              </w:rPr>
            </w:pPr>
          </w:p>
        </w:tc>
      </w:tr>
      <w:tr>
        <w:trPr>
          <w:trHeight w:val="66"/>
        </w:trPr>
        <w:tc>
          <w:tcPr>
            <w:tcW w:w="2120" w:type="dxa"/>
            <w:vAlign w:val="bottom"/>
            <w:shd w:val="clear" w:color="auto" w:fill="CCEEFF"/>
          </w:tcPr>
          <w:p>
            <w:pPr>
              <w:spacing w:after="0"/>
              <w:rPr>
                <w:sz w:val="5"/>
                <w:szCs w:val="5"/>
                <w:color w:val="auto"/>
              </w:rPr>
            </w:pPr>
          </w:p>
        </w:tc>
        <w:tc>
          <w:tcPr>
            <w:tcW w:w="4620" w:type="dxa"/>
            <w:vAlign w:val="bottom"/>
            <w:shd w:val="clear" w:color="auto" w:fill="CCEEFF"/>
          </w:tcPr>
          <w:p>
            <w:pPr>
              <w:spacing w:after="0"/>
              <w:rPr>
                <w:sz w:val="5"/>
                <w:szCs w:val="5"/>
                <w:color w:val="auto"/>
              </w:rPr>
            </w:pPr>
          </w:p>
        </w:tc>
        <w:tc>
          <w:tcPr>
            <w:tcW w:w="360" w:type="dxa"/>
            <w:vAlign w:val="bottom"/>
            <w:shd w:val="clear" w:color="auto" w:fill="CCEEFF"/>
          </w:tcPr>
          <w:p>
            <w:pPr>
              <w:spacing w:after="0"/>
              <w:rPr>
                <w:sz w:val="5"/>
                <w:szCs w:val="5"/>
                <w:color w:val="auto"/>
              </w:rPr>
            </w:pPr>
          </w:p>
        </w:tc>
        <w:tc>
          <w:tcPr>
            <w:tcW w:w="1100" w:type="dxa"/>
            <w:vAlign w:val="bottom"/>
            <w:vMerge w:val="continue"/>
            <w:shd w:val="clear" w:color="auto" w:fill="CCEEFF"/>
          </w:tcPr>
          <w:p>
            <w:pPr>
              <w:spacing w:after="0"/>
              <w:rPr>
                <w:sz w:val="5"/>
                <w:szCs w:val="5"/>
                <w:color w:val="auto"/>
              </w:rPr>
            </w:pPr>
          </w:p>
        </w:tc>
        <w:tc>
          <w:tcPr>
            <w:tcW w:w="40" w:type="dxa"/>
            <w:vAlign w:val="bottom"/>
            <w:shd w:val="clear" w:color="auto" w:fill="CCEEFF"/>
          </w:tcPr>
          <w:p>
            <w:pPr>
              <w:spacing w:after="0"/>
              <w:rPr>
                <w:sz w:val="5"/>
                <w:szCs w:val="5"/>
                <w:color w:val="auto"/>
              </w:rPr>
            </w:pPr>
          </w:p>
        </w:tc>
        <w:tc>
          <w:tcPr>
            <w:tcW w:w="120" w:type="dxa"/>
            <w:vAlign w:val="bottom"/>
            <w:shd w:val="clear" w:color="auto" w:fill="CCEEFF"/>
          </w:tcPr>
          <w:p>
            <w:pPr>
              <w:spacing w:after="0"/>
              <w:rPr>
                <w:sz w:val="5"/>
                <w:szCs w:val="5"/>
                <w:color w:val="auto"/>
              </w:rPr>
            </w:pPr>
          </w:p>
        </w:tc>
        <w:tc>
          <w:tcPr>
            <w:tcW w:w="360" w:type="dxa"/>
            <w:vAlign w:val="bottom"/>
            <w:shd w:val="clear" w:color="auto" w:fill="CCEEFF"/>
          </w:tcPr>
          <w:p>
            <w:pPr>
              <w:spacing w:after="0"/>
              <w:rPr>
                <w:sz w:val="5"/>
                <w:szCs w:val="5"/>
                <w:color w:val="auto"/>
              </w:rPr>
            </w:pPr>
          </w:p>
        </w:tc>
        <w:tc>
          <w:tcPr>
            <w:tcW w:w="1140" w:type="dxa"/>
            <w:vAlign w:val="bottom"/>
            <w:vMerge w:val="continue"/>
            <w:shd w:val="clear" w:color="auto" w:fill="CCEEFF"/>
          </w:tcPr>
          <w:p>
            <w:pPr>
              <w:spacing w:after="0"/>
              <w:rPr>
                <w:sz w:val="5"/>
                <w:szCs w:val="5"/>
                <w:color w:val="auto"/>
              </w:rPr>
            </w:pPr>
          </w:p>
        </w:tc>
        <w:tc>
          <w:tcPr>
            <w:tcW w:w="100" w:type="dxa"/>
            <w:vAlign w:val="bottom"/>
            <w:shd w:val="clear" w:color="auto" w:fill="CCEEFF"/>
          </w:tcPr>
          <w:p>
            <w:pPr>
              <w:spacing w:after="0"/>
              <w:rPr>
                <w:sz w:val="5"/>
                <w:szCs w:val="5"/>
                <w:color w:val="auto"/>
              </w:rPr>
            </w:pPr>
          </w:p>
        </w:tc>
        <w:tc>
          <w:tcPr>
            <w:tcW w:w="340" w:type="dxa"/>
            <w:vAlign w:val="bottom"/>
            <w:shd w:val="clear" w:color="auto" w:fill="CCEEFF"/>
          </w:tcPr>
          <w:p>
            <w:pPr>
              <w:spacing w:after="0"/>
              <w:rPr>
                <w:sz w:val="5"/>
                <w:szCs w:val="5"/>
                <w:color w:val="auto"/>
              </w:rPr>
            </w:pPr>
          </w:p>
        </w:tc>
        <w:tc>
          <w:tcPr>
            <w:tcW w:w="1120" w:type="dxa"/>
            <w:vAlign w:val="bottom"/>
            <w:vMerge w:val="continue"/>
            <w:shd w:val="clear" w:color="auto" w:fill="CCEEFF"/>
          </w:tcPr>
          <w:p>
            <w:pPr>
              <w:spacing w:after="0"/>
              <w:rPr>
                <w:sz w:val="5"/>
                <w:szCs w:val="5"/>
                <w:color w:val="auto"/>
              </w:rPr>
            </w:pPr>
          </w:p>
        </w:tc>
        <w:tc>
          <w:tcPr>
            <w:tcW w:w="0" w:type="dxa"/>
            <w:vAlign w:val="bottom"/>
          </w:tcPr>
          <w:p>
            <w:pPr>
              <w:spacing w:after="0"/>
              <w:rPr>
                <w:sz w:val="1"/>
                <w:szCs w:val="1"/>
                <w:color w:val="auto"/>
              </w:rPr>
            </w:pPr>
          </w:p>
        </w:tc>
      </w:tr>
      <w:tr>
        <w:trPr>
          <w:trHeight w:val="204"/>
        </w:trPr>
        <w:tc>
          <w:tcPr>
            <w:tcW w:w="6740" w:type="dxa"/>
            <w:vAlign w:val="bottom"/>
            <w:gridSpan w:val="2"/>
          </w:tcPr>
          <w:p>
            <w:pPr>
              <w:ind w:left="280"/>
              <w:spacing w:after="0"/>
              <w:rPr>
                <w:sz w:val="20"/>
                <w:szCs w:val="20"/>
                <w:color w:val="auto"/>
              </w:rPr>
            </w:pPr>
            <w:r>
              <w:rPr>
                <w:rFonts w:ascii="Arial" w:cs="Arial" w:eastAsia="Arial" w:hAnsi="Arial"/>
                <w:sz w:val="14"/>
                <w:szCs w:val="14"/>
                <w:color w:val="auto"/>
              </w:rPr>
              <w:t>Deferred income tax provision</w:t>
            </w:r>
          </w:p>
        </w:tc>
        <w:tc>
          <w:tcPr>
            <w:tcW w:w="360" w:type="dxa"/>
            <w:vAlign w:val="bottom"/>
          </w:tcPr>
          <w:p>
            <w:pPr>
              <w:spacing w:after="0"/>
              <w:rPr>
                <w:sz w:val="17"/>
                <w:szCs w:val="17"/>
                <w:color w:val="auto"/>
              </w:rPr>
            </w:pPr>
          </w:p>
        </w:tc>
        <w:tc>
          <w:tcPr>
            <w:tcW w:w="1100" w:type="dxa"/>
            <w:vAlign w:val="bottom"/>
            <w:vMerge w:val="restart"/>
          </w:tcPr>
          <w:p>
            <w:pPr>
              <w:jc w:val="right"/>
              <w:ind w:right="8"/>
              <w:spacing w:after="0"/>
              <w:rPr>
                <w:sz w:val="20"/>
                <w:szCs w:val="20"/>
                <w:color w:val="auto"/>
              </w:rPr>
            </w:pPr>
            <w:r>
              <w:rPr>
                <w:rFonts w:ascii="Arial" w:cs="Arial" w:eastAsia="Arial" w:hAnsi="Arial"/>
                <w:sz w:val="14"/>
                <w:szCs w:val="14"/>
                <w:color w:val="auto"/>
              </w:rPr>
              <w:t>560</w:t>
            </w:r>
          </w:p>
        </w:tc>
        <w:tc>
          <w:tcPr>
            <w:tcW w:w="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140" w:type="dxa"/>
            <w:vAlign w:val="bottom"/>
            <w:vMerge w:val="restart"/>
          </w:tcPr>
          <w:p>
            <w:pPr>
              <w:jc w:val="right"/>
              <w:ind w:right="48"/>
              <w:spacing w:after="0"/>
              <w:rPr>
                <w:sz w:val="20"/>
                <w:szCs w:val="20"/>
                <w:color w:val="auto"/>
              </w:rPr>
            </w:pPr>
            <w:r>
              <w:rPr>
                <w:rFonts w:ascii="Arial" w:cs="Arial" w:eastAsia="Arial" w:hAnsi="Arial"/>
                <w:sz w:val="14"/>
                <w:szCs w:val="14"/>
                <w:color w:val="auto"/>
              </w:rPr>
              <w:t>440</w:t>
            </w:r>
          </w:p>
        </w:tc>
        <w:tc>
          <w:tcPr>
            <w:tcW w:w="1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120" w:type="dxa"/>
            <w:vAlign w:val="bottom"/>
            <w:vMerge w:val="restart"/>
          </w:tcPr>
          <w:p>
            <w:pPr>
              <w:jc w:val="right"/>
              <w:ind w:right="28"/>
              <w:spacing w:after="0"/>
              <w:rPr>
                <w:sz w:val="20"/>
                <w:szCs w:val="20"/>
                <w:color w:val="auto"/>
              </w:rPr>
            </w:pPr>
            <w:r>
              <w:rPr>
                <w:rFonts w:ascii="Arial" w:cs="Arial" w:eastAsia="Arial" w:hAnsi="Arial"/>
                <w:sz w:val="14"/>
                <w:szCs w:val="14"/>
                <w:color w:val="auto"/>
              </w:rPr>
              <w:t>2,089</w:t>
            </w:r>
          </w:p>
        </w:tc>
        <w:tc>
          <w:tcPr>
            <w:tcW w:w="0" w:type="dxa"/>
            <w:vAlign w:val="bottom"/>
          </w:tcPr>
          <w:p>
            <w:pPr>
              <w:spacing w:after="0"/>
              <w:rPr>
                <w:sz w:val="1"/>
                <w:szCs w:val="1"/>
                <w:color w:val="auto"/>
              </w:rPr>
            </w:pPr>
          </w:p>
        </w:tc>
      </w:tr>
      <w:tr>
        <w:trPr>
          <w:trHeight w:val="60"/>
        </w:trPr>
        <w:tc>
          <w:tcPr>
            <w:tcW w:w="2120" w:type="dxa"/>
            <w:vAlign w:val="bottom"/>
          </w:tcPr>
          <w:p>
            <w:pPr>
              <w:spacing w:after="0"/>
              <w:rPr>
                <w:sz w:val="5"/>
                <w:szCs w:val="5"/>
                <w:color w:val="auto"/>
              </w:rPr>
            </w:pPr>
          </w:p>
        </w:tc>
        <w:tc>
          <w:tcPr>
            <w:tcW w:w="4620" w:type="dxa"/>
            <w:vAlign w:val="bottom"/>
          </w:tcPr>
          <w:p>
            <w:pPr>
              <w:spacing w:after="0"/>
              <w:rPr>
                <w:sz w:val="5"/>
                <w:szCs w:val="5"/>
                <w:color w:val="auto"/>
              </w:rPr>
            </w:pPr>
          </w:p>
        </w:tc>
        <w:tc>
          <w:tcPr>
            <w:tcW w:w="360" w:type="dxa"/>
            <w:vAlign w:val="bottom"/>
          </w:tcPr>
          <w:p>
            <w:pPr>
              <w:spacing w:after="0"/>
              <w:rPr>
                <w:sz w:val="5"/>
                <w:szCs w:val="5"/>
                <w:color w:val="auto"/>
              </w:rPr>
            </w:pPr>
          </w:p>
        </w:tc>
        <w:tc>
          <w:tcPr>
            <w:tcW w:w="1100" w:type="dxa"/>
            <w:vAlign w:val="bottom"/>
            <w:vMerge w:val="continue"/>
          </w:tcPr>
          <w:p>
            <w:pPr>
              <w:spacing w:after="0"/>
              <w:rPr>
                <w:sz w:val="5"/>
                <w:szCs w:val="5"/>
                <w:color w:val="auto"/>
              </w:rPr>
            </w:pPr>
          </w:p>
        </w:tc>
        <w:tc>
          <w:tcPr>
            <w:tcW w:w="40" w:type="dxa"/>
            <w:vAlign w:val="bottom"/>
          </w:tcPr>
          <w:p>
            <w:pPr>
              <w:spacing w:after="0"/>
              <w:rPr>
                <w:sz w:val="5"/>
                <w:szCs w:val="5"/>
                <w:color w:val="auto"/>
              </w:rPr>
            </w:pPr>
          </w:p>
        </w:tc>
        <w:tc>
          <w:tcPr>
            <w:tcW w:w="120" w:type="dxa"/>
            <w:vAlign w:val="bottom"/>
          </w:tcPr>
          <w:p>
            <w:pPr>
              <w:spacing w:after="0"/>
              <w:rPr>
                <w:sz w:val="5"/>
                <w:szCs w:val="5"/>
                <w:color w:val="auto"/>
              </w:rPr>
            </w:pPr>
          </w:p>
        </w:tc>
        <w:tc>
          <w:tcPr>
            <w:tcW w:w="360" w:type="dxa"/>
            <w:vAlign w:val="bottom"/>
          </w:tcPr>
          <w:p>
            <w:pPr>
              <w:spacing w:after="0"/>
              <w:rPr>
                <w:sz w:val="5"/>
                <w:szCs w:val="5"/>
                <w:color w:val="auto"/>
              </w:rPr>
            </w:pPr>
          </w:p>
        </w:tc>
        <w:tc>
          <w:tcPr>
            <w:tcW w:w="1140" w:type="dxa"/>
            <w:vAlign w:val="bottom"/>
            <w:vMerge w:val="continue"/>
          </w:tcPr>
          <w:p>
            <w:pPr>
              <w:spacing w:after="0"/>
              <w:rPr>
                <w:sz w:val="5"/>
                <w:szCs w:val="5"/>
                <w:color w:val="auto"/>
              </w:rPr>
            </w:pPr>
          </w:p>
        </w:tc>
        <w:tc>
          <w:tcPr>
            <w:tcW w:w="100" w:type="dxa"/>
            <w:vAlign w:val="bottom"/>
          </w:tcPr>
          <w:p>
            <w:pPr>
              <w:spacing w:after="0"/>
              <w:rPr>
                <w:sz w:val="5"/>
                <w:szCs w:val="5"/>
                <w:color w:val="auto"/>
              </w:rPr>
            </w:pPr>
          </w:p>
        </w:tc>
        <w:tc>
          <w:tcPr>
            <w:tcW w:w="340" w:type="dxa"/>
            <w:vAlign w:val="bottom"/>
          </w:tcPr>
          <w:p>
            <w:pPr>
              <w:spacing w:after="0"/>
              <w:rPr>
                <w:sz w:val="5"/>
                <w:szCs w:val="5"/>
                <w:color w:val="auto"/>
              </w:rPr>
            </w:pPr>
          </w:p>
        </w:tc>
        <w:tc>
          <w:tcPr>
            <w:tcW w:w="112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r>
        <w:trPr>
          <w:trHeight w:val="210"/>
        </w:trPr>
        <w:tc>
          <w:tcPr>
            <w:tcW w:w="6740" w:type="dxa"/>
            <w:vAlign w:val="bottom"/>
            <w:gridSpan w:val="2"/>
            <w:shd w:val="clear" w:color="auto" w:fill="CCEEFF"/>
          </w:tcPr>
          <w:p>
            <w:pPr>
              <w:ind w:left="280"/>
              <w:spacing w:after="0"/>
              <w:rPr>
                <w:sz w:val="20"/>
                <w:szCs w:val="20"/>
                <w:color w:val="auto"/>
              </w:rPr>
            </w:pPr>
            <w:r>
              <w:rPr>
                <w:rFonts w:ascii="Arial" w:cs="Arial" w:eastAsia="Arial" w:hAnsi="Arial"/>
                <w:sz w:val="14"/>
                <w:szCs w:val="14"/>
                <w:color w:val="auto"/>
              </w:rPr>
              <w:t>Share-based compensation</w:t>
            </w:r>
          </w:p>
        </w:tc>
        <w:tc>
          <w:tcPr>
            <w:tcW w:w="360" w:type="dxa"/>
            <w:vAlign w:val="bottom"/>
            <w:shd w:val="clear" w:color="auto" w:fill="CCEEFF"/>
          </w:tcPr>
          <w:p>
            <w:pPr>
              <w:spacing w:after="0"/>
              <w:rPr>
                <w:sz w:val="18"/>
                <w:szCs w:val="18"/>
                <w:color w:val="auto"/>
              </w:rPr>
            </w:pPr>
          </w:p>
        </w:tc>
        <w:tc>
          <w:tcPr>
            <w:tcW w:w="1100" w:type="dxa"/>
            <w:vAlign w:val="bottom"/>
            <w:vMerge w:val="restart"/>
            <w:shd w:val="clear" w:color="auto" w:fill="CCEEFF"/>
          </w:tcPr>
          <w:p>
            <w:pPr>
              <w:jc w:val="right"/>
              <w:ind w:right="8"/>
              <w:spacing w:after="0"/>
              <w:rPr>
                <w:sz w:val="20"/>
                <w:szCs w:val="20"/>
                <w:color w:val="auto"/>
              </w:rPr>
            </w:pPr>
            <w:r>
              <w:rPr>
                <w:rFonts w:ascii="Arial" w:cs="Arial" w:eastAsia="Arial" w:hAnsi="Arial"/>
                <w:sz w:val="14"/>
                <w:szCs w:val="14"/>
                <w:color w:val="auto"/>
              </w:rPr>
              <w:t>94</w:t>
            </w:r>
          </w:p>
        </w:tc>
        <w:tc>
          <w:tcPr>
            <w:tcW w:w="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140" w:type="dxa"/>
            <w:vAlign w:val="bottom"/>
            <w:vMerge w:val="restart"/>
            <w:shd w:val="clear" w:color="auto" w:fill="CCEEFF"/>
          </w:tcPr>
          <w:p>
            <w:pPr>
              <w:jc w:val="right"/>
              <w:ind w:right="48"/>
              <w:spacing w:after="0"/>
              <w:rPr>
                <w:sz w:val="20"/>
                <w:szCs w:val="20"/>
                <w:color w:val="auto"/>
              </w:rPr>
            </w:pPr>
            <w:r>
              <w:rPr>
                <w:rFonts w:ascii="Arial" w:cs="Arial" w:eastAsia="Arial" w:hAnsi="Arial"/>
                <w:sz w:val="14"/>
                <w:szCs w:val="14"/>
                <w:color w:val="auto"/>
              </w:rPr>
              <w:t>86</w:t>
            </w:r>
          </w:p>
        </w:tc>
        <w:tc>
          <w:tcPr>
            <w:tcW w:w="1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120" w:type="dxa"/>
            <w:vAlign w:val="bottom"/>
            <w:vMerge w:val="restart"/>
            <w:shd w:val="clear" w:color="auto" w:fill="CCEEFF"/>
          </w:tcPr>
          <w:p>
            <w:pPr>
              <w:jc w:val="right"/>
              <w:ind w:right="28"/>
              <w:spacing w:after="0"/>
              <w:rPr>
                <w:sz w:val="20"/>
                <w:szCs w:val="20"/>
                <w:color w:val="auto"/>
              </w:rPr>
            </w:pPr>
            <w:r>
              <w:rPr>
                <w:rFonts w:ascii="Arial" w:cs="Arial" w:eastAsia="Arial" w:hAnsi="Arial"/>
                <w:sz w:val="14"/>
                <w:szCs w:val="14"/>
                <w:color w:val="auto"/>
              </w:rPr>
              <w:t>90</w:t>
            </w:r>
          </w:p>
        </w:tc>
        <w:tc>
          <w:tcPr>
            <w:tcW w:w="0" w:type="dxa"/>
            <w:vAlign w:val="bottom"/>
          </w:tcPr>
          <w:p>
            <w:pPr>
              <w:spacing w:after="0"/>
              <w:rPr>
                <w:sz w:val="1"/>
                <w:szCs w:val="1"/>
                <w:color w:val="auto"/>
              </w:rPr>
            </w:pPr>
          </w:p>
        </w:tc>
      </w:tr>
      <w:tr>
        <w:trPr>
          <w:trHeight w:val="66"/>
        </w:trPr>
        <w:tc>
          <w:tcPr>
            <w:tcW w:w="2120" w:type="dxa"/>
            <w:vAlign w:val="bottom"/>
            <w:shd w:val="clear" w:color="auto" w:fill="CCEEFF"/>
          </w:tcPr>
          <w:p>
            <w:pPr>
              <w:spacing w:after="0"/>
              <w:rPr>
                <w:sz w:val="5"/>
                <w:szCs w:val="5"/>
                <w:color w:val="auto"/>
              </w:rPr>
            </w:pPr>
          </w:p>
        </w:tc>
        <w:tc>
          <w:tcPr>
            <w:tcW w:w="4620" w:type="dxa"/>
            <w:vAlign w:val="bottom"/>
            <w:shd w:val="clear" w:color="auto" w:fill="CCEEFF"/>
          </w:tcPr>
          <w:p>
            <w:pPr>
              <w:spacing w:after="0"/>
              <w:rPr>
                <w:sz w:val="5"/>
                <w:szCs w:val="5"/>
                <w:color w:val="auto"/>
              </w:rPr>
            </w:pPr>
          </w:p>
        </w:tc>
        <w:tc>
          <w:tcPr>
            <w:tcW w:w="360" w:type="dxa"/>
            <w:vAlign w:val="bottom"/>
            <w:shd w:val="clear" w:color="auto" w:fill="CCEEFF"/>
          </w:tcPr>
          <w:p>
            <w:pPr>
              <w:spacing w:after="0"/>
              <w:rPr>
                <w:sz w:val="5"/>
                <w:szCs w:val="5"/>
                <w:color w:val="auto"/>
              </w:rPr>
            </w:pPr>
          </w:p>
        </w:tc>
        <w:tc>
          <w:tcPr>
            <w:tcW w:w="1100" w:type="dxa"/>
            <w:vAlign w:val="bottom"/>
            <w:vMerge w:val="continue"/>
            <w:shd w:val="clear" w:color="auto" w:fill="CCEEFF"/>
          </w:tcPr>
          <w:p>
            <w:pPr>
              <w:spacing w:after="0"/>
              <w:rPr>
                <w:sz w:val="5"/>
                <w:szCs w:val="5"/>
                <w:color w:val="auto"/>
              </w:rPr>
            </w:pPr>
          </w:p>
        </w:tc>
        <w:tc>
          <w:tcPr>
            <w:tcW w:w="40" w:type="dxa"/>
            <w:vAlign w:val="bottom"/>
            <w:shd w:val="clear" w:color="auto" w:fill="CCEEFF"/>
          </w:tcPr>
          <w:p>
            <w:pPr>
              <w:spacing w:after="0"/>
              <w:rPr>
                <w:sz w:val="5"/>
                <w:szCs w:val="5"/>
                <w:color w:val="auto"/>
              </w:rPr>
            </w:pPr>
          </w:p>
        </w:tc>
        <w:tc>
          <w:tcPr>
            <w:tcW w:w="120" w:type="dxa"/>
            <w:vAlign w:val="bottom"/>
            <w:shd w:val="clear" w:color="auto" w:fill="CCEEFF"/>
          </w:tcPr>
          <w:p>
            <w:pPr>
              <w:spacing w:after="0"/>
              <w:rPr>
                <w:sz w:val="5"/>
                <w:szCs w:val="5"/>
                <w:color w:val="auto"/>
              </w:rPr>
            </w:pPr>
          </w:p>
        </w:tc>
        <w:tc>
          <w:tcPr>
            <w:tcW w:w="360" w:type="dxa"/>
            <w:vAlign w:val="bottom"/>
            <w:shd w:val="clear" w:color="auto" w:fill="CCEEFF"/>
          </w:tcPr>
          <w:p>
            <w:pPr>
              <w:spacing w:after="0"/>
              <w:rPr>
                <w:sz w:val="5"/>
                <w:szCs w:val="5"/>
                <w:color w:val="auto"/>
              </w:rPr>
            </w:pPr>
          </w:p>
        </w:tc>
        <w:tc>
          <w:tcPr>
            <w:tcW w:w="1140" w:type="dxa"/>
            <w:vAlign w:val="bottom"/>
            <w:vMerge w:val="continue"/>
            <w:shd w:val="clear" w:color="auto" w:fill="CCEEFF"/>
          </w:tcPr>
          <w:p>
            <w:pPr>
              <w:spacing w:after="0"/>
              <w:rPr>
                <w:sz w:val="5"/>
                <w:szCs w:val="5"/>
                <w:color w:val="auto"/>
              </w:rPr>
            </w:pPr>
          </w:p>
        </w:tc>
        <w:tc>
          <w:tcPr>
            <w:tcW w:w="100" w:type="dxa"/>
            <w:vAlign w:val="bottom"/>
            <w:shd w:val="clear" w:color="auto" w:fill="CCEEFF"/>
          </w:tcPr>
          <w:p>
            <w:pPr>
              <w:spacing w:after="0"/>
              <w:rPr>
                <w:sz w:val="5"/>
                <w:szCs w:val="5"/>
                <w:color w:val="auto"/>
              </w:rPr>
            </w:pPr>
          </w:p>
        </w:tc>
        <w:tc>
          <w:tcPr>
            <w:tcW w:w="340" w:type="dxa"/>
            <w:vAlign w:val="bottom"/>
            <w:shd w:val="clear" w:color="auto" w:fill="CCEEFF"/>
          </w:tcPr>
          <w:p>
            <w:pPr>
              <w:spacing w:after="0"/>
              <w:rPr>
                <w:sz w:val="5"/>
                <w:szCs w:val="5"/>
                <w:color w:val="auto"/>
              </w:rPr>
            </w:pPr>
          </w:p>
        </w:tc>
        <w:tc>
          <w:tcPr>
            <w:tcW w:w="1120" w:type="dxa"/>
            <w:vAlign w:val="bottom"/>
            <w:vMerge w:val="continue"/>
            <w:shd w:val="clear" w:color="auto" w:fill="CCEEFF"/>
          </w:tcPr>
          <w:p>
            <w:pPr>
              <w:spacing w:after="0"/>
              <w:rPr>
                <w:sz w:val="5"/>
                <w:szCs w:val="5"/>
                <w:color w:val="auto"/>
              </w:rPr>
            </w:pPr>
          </w:p>
        </w:tc>
        <w:tc>
          <w:tcPr>
            <w:tcW w:w="0" w:type="dxa"/>
            <w:vAlign w:val="bottom"/>
          </w:tcPr>
          <w:p>
            <w:pPr>
              <w:spacing w:after="0"/>
              <w:rPr>
                <w:sz w:val="1"/>
                <w:szCs w:val="1"/>
                <w:color w:val="auto"/>
              </w:rPr>
            </w:pPr>
          </w:p>
        </w:tc>
      </w:tr>
      <w:tr>
        <w:trPr>
          <w:trHeight w:val="204"/>
        </w:trPr>
        <w:tc>
          <w:tcPr>
            <w:tcW w:w="6740" w:type="dxa"/>
            <w:vAlign w:val="bottom"/>
            <w:gridSpan w:val="2"/>
          </w:tcPr>
          <w:p>
            <w:pPr>
              <w:ind w:left="280"/>
              <w:spacing w:after="0"/>
              <w:rPr>
                <w:sz w:val="20"/>
                <w:szCs w:val="20"/>
                <w:color w:val="auto"/>
              </w:rPr>
            </w:pPr>
            <w:r>
              <w:rPr>
                <w:rFonts w:ascii="Arial" w:cs="Arial" w:eastAsia="Arial" w:hAnsi="Arial"/>
                <w:sz w:val="14"/>
                <w:szCs w:val="14"/>
                <w:color w:val="auto"/>
              </w:rPr>
              <w:t>Other, net</w:t>
            </w:r>
          </w:p>
        </w:tc>
        <w:tc>
          <w:tcPr>
            <w:tcW w:w="360" w:type="dxa"/>
            <w:vAlign w:val="bottom"/>
          </w:tcPr>
          <w:p>
            <w:pPr>
              <w:spacing w:after="0"/>
              <w:rPr>
                <w:sz w:val="17"/>
                <w:szCs w:val="17"/>
                <w:color w:val="auto"/>
              </w:rPr>
            </w:pPr>
          </w:p>
        </w:tc>
        <w:tc>
          <w:tcPr>
            <w:tcW w:w="1100" w:type="dxa"/>
            <w:vAlign w:val="bottom"/>
            <w:vMerge w:val="restart"/>
          </w:tcPr>
          <w:p>
            <w:pPr>
              <w:jc w:val="right"/>
              <w:spacing w:after="0"/>
              <w:rPr>
                <w:sz w:val="20"/>
                <w:szCs w:val="20"/>
                <w:color w:val="auto"/>
              </w:rPr>
            </w:pPr>
            <w:r>
              <w:rPr>
                <w:rFonts w:ascii="Arial" w:cs="Arial" w:eastAsia="Arial" w:hAnsi="Arial"/>
                <w:sz w:val="14"/>
                <w:szCs w:val="14"/>
                <w:color w:val="auto"/>
              </w:rPr>
              <w:t>(62)</w:t>
            </w:r>
          </w:p>
        </w:tc>
        <w:tc>
          <w:tcPr>
            <w:tcW w:w="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140" w:type="dxa"/>
            <w:vAlign w:val="bottom"/>
            <w:vMerge w:val="restart"/>
          </w:tcPr>
          <w:p>
            <w:pPr>
              <w:jc w:val="right"/>
              <w:spacing w:after="0"/>
              <w:rPr>
                <w:sz w:val="20"/>
                <w:szCs w:val="20"/>
                <w:color w:val="auto"/>
              </w:rPr>
            </w:pPr>
            <w:r>
              <w:rPr>
                <w:rFonts w:ascii="Arial" w:cs="Arial" w:eastAsia="Arial" w:hAnsi="Arial"/>
                <w:sz w:val="14"/>
                <w:szCs w:val="14"/>
                <w:color w:val="auto"/>
              </w:rPr>
              <w:t>(97)</w:t>
            </w:r>
          </w:p>
        </w:tc>
        <w:tc>
          <w:tcPr>
            <w:tcW w:w="1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120" w:type="dxa"/>
            <w:vAlign w:val="bottom"/>
            <w:vMerge w:val="restart"/>
          </w:tcPr>
          <w:p>
            <w:pPr>
              <w:jc w:val="right"/>
              <w:spacing w:after="0"/>
              <w:rPr>
                <w:sz w:val="20"/>
                <w:szCs w:val="20"/>
                <w:color w:val="auto"/>
              </w:rPr>
            </w:pPr>
            <w:r>
              <w:rPr>
                <w:rFonts w:ascii="Arial" w:cs="Arial" w:eastAsia="Arial" w:hAnsi="Arial"/>
                <w:sz w:val="14"/>
                <w:szCs w:val="14"/>
                <w:color w:val="auto"/>
              </w:rPr>
              <w:t>(142)</w:t>
            </w:r>
          </w:p>
        </w:tc>
        <w:tc>
          <w:tcPr>
            <w:tcW w:w="0" w:type="dxa"/>
            <w:vAlign w:val="bottom"/>
          </w:tcPr>
          <w:p>
            <w:pPr>
              <w:spacing w:after="0"/>
              <w:rPr>
                <w:sz w:val="1"/>
                <w:szCs w:val="1"/>
                <w:color w:val="auto"/>
              </w:rPr>
            </w:pPr>
          </w:p>
        </w:tc>
      </w:tr>
      <w:tr>
        <w:trPr>
          <w:trHeight w:val="60"/>
        </w:trPr>
        <w:tc>
          <w:tcPr>
            <w:tcW w:w="2120" w:type="dxa"/>
            <w:vAlign w:val="bottom"/>
          </w:tcPr>
          <w:p>
            <w:pPr>
              <w:spacing w:after="0"/>
              <w:rPr>
                <w:sz w:val="5"/>
                <w:szCs w:val="5"/>
                <w:color w:val="auto"/>
              </w:rPr>
            </w:pPr>
          </w:p>
        </w:tc>
        <w:tc>
          <w:tcPr>
            <w:tcW w:w="4620" w:type="dxa"/>
            <w:vAlign w:val="bottom"/>
          </w:tcPr>
          <w:p>
            <w:pPr>
              <w:spacing w:after="0"/>
              <w:rPr>
                <w:sz w:val="5"/>
                <w:szCs w:val="5"/>
                <w:color w:val="auto"/>
              </w:rPr>
            </w:pPr>
          </w:p>
        </w:tc>
        <w:tc>
          <w:tcPr>
            <w:tcW w:w="360" w:type="dxa"/>
            <w:vAlign w:val="bottom"/>
          </w:tcPr>
          <w:p>
            <w:pPr>
              <w:spacing w:after="0"/>
              <w:rPr>
                <w:sz w:val="5"/>
                <w:szCs w:val="5"/>
                <w:color w:val="auto"/>
              </w:rPr>
            </w:pPr>
          </w:p>
        </w:tc>
        <w:tc>
          <w:tcPr>
            <w:tcW w:w="1100" w:type="dxa"/>
            <w:vAlign w:val="bottom"/>
            <w:vMerge w:val="continue"/>
          </w:tcPr>
          <w:p>
            <w:pPr>
              <w:spacing w:after="0"/>
              <w:rPr>
                <w:sz w:val="5"/>
                <w:szCs w:val="5"/>
                <w:color w:val="auto"/>
              </w:rPr>
            </w:pPr>
          </w:p>
        </w:tc>
        <w:tc>
          <w:tcPr>
            <w:tcW w:w="40" w:type="dxa"/>
            <w:vAlign w:val="bottom"/>
          </w:tcPr>
          <w:p>
            <w:pPr>
              <w:spacing w:after="0"/>
              <w:rPr>
                <w:sz w:val="5"/>
                <w:szCs w:val="5"/>
                <w:color w:val="auto"/>
              </w:rPr>
            </w:pPr>
          </w:p>
        </w:tc>
        <w:tc>
          <w:tcPr>
            <w:tcW w:w="120" w:type="dxa"/>
            <w:vAlign w:val="bottom"/>
          </w:tcPr>
          <w:p>
            <w:pPr>
              <w:spacing w:after="0"/>
              <w:rPr>
                <w:sz w:val="5"/>
                <w:szCs w:val="5"/>
                <w:color w:val="auto"/>
              </w:rPr>
            </w:pPr>
          </w:p>
        </w:tc>
        <w:tc>
          <w:tcPr>
            <w:tcW w:w="360" w:type="dxa"/>
            <w:vAlign w:val="bottom"/>
          </w:tcPr>
          <w:p>
            <w:pPr>
              <w:spacing w:after="0"/>
              <w:rPr>
                <w:sz w:val="5"/>
                <w:szCs w:val="5"/>
                <w:color w:val="auto"/>
              </w:rPr>
            </w:pPr>
          </w:p>
        </w:tc>
        <w:tc>
          <w:tcPr>
            <w:tcW w:w="1140" w:type="dxa"/>
            <w:vAlign w:val="bottom"/>
            <w:vMerge w:val="continue"/>
          </w:tcPr>
          <w:p>
            <w:pPr>
              <w:spacing w:after="0"/>
              <w:rPr>
                <w:sz w:val="5"/>
                <w:szCs w:val="5"/>
                <w:color w:val="auto"/>
              </w:rPr>
            </w:pPr>
          </w:p>
        </w:tc>
        <w:tc>
          <w:tcPr>
            <w:tcW w:w="100" w:type="dxa"/>
            <w:vAlign w:val="bottom"/>
          </w:tcPr>
          <w:p>
            <w:pPr>
              <w:spacing w:after="0"/>
              <w:rPr>
                <w:sz w:val="5"/>
                <w:szCs w:val="5"/>
                <w:color w:val="auto"/>
              </w:rPr>
            </w:pPr>
          </w:p>
        </w:tc>
        <w:tc>
          <w:tcPr>
            <w:tcW w:w="340" w:type="dxa"/>
            <w:vAlign w:val="bottom"/>
          </w:tcPr>
          <w:p>
            <w:pPr>
              <w:spacing w:after="0"/>
              <w:rPr>
                <w:sz w:val="5"/>
                <w:szCs w:val="5"/>
                <w:color w:val="auto"/>
              </w:rPr>
            </w:pPr>
          </w:p>
        </w:tc>
        <w:tc>
          <w:tcPr>
            <w:tcW w:w="112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r>
        <w:trPr>
          <w:trHeight w:val="210"/>
        </w:trPr>
        <w:tc>
          <w:tcPr>
            <w:tcW w:w="6740" w:type="dxa"/>
            <w:vAlign w:val="bottom"/>
            <w:gridSpan w:val="2"/>
            <w:shd w:val="clear" w:color="auto" w:fill="CCEEFF"/>
          </w:tcPr>
          <w:p>
            <w:pPr>
              <w:ind w:left="280"/>
              <w:spacing w:after="0"/>
              <w:rPr>
                <w:sz w:val="20"/>
                <w:szCs w:val="20"/>
                <w:color w:val="auto"/>
              </w:rPr>
            </w:pPr>
            <w:r>
              <w:rPr>
                <w:rFonts w:ascii="Arial" w:cs="Arial" w:eastAsia="Arial" w:hAnsi="Arial"/>
                <w:sz w:val="14"/>
                <w:szCs w:val="14"/>
                <w:b w:val="1"/>
                <w:bCs w:val="1"/>
                <w:color w:val="auto"/>
              </w:rPr>
              <w:t>Changes in operating assets and liabilities:</w:t>
            </w:r>
          </w:p>
        </w:tc>
        <w:tc>
          <w:tcPr>
            <w:tcW w:w="36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66"/>
        </w:trPr>
        <w:tc>
          <w:tcPr>
            <w:tcW w:w="2120" w:type="dxa"/>
            <w:vAlign w:val="bottom"/>
            <w:shd w:val="clear" w:color="auto" w:fill="CCEEFF"/>
          </w:tcPr>
          <w:p>
            <w:pPr>
              <w:spacing w:after="0"/>
              <w:rPr>
                <w:sz w:val="5"/>
                <w:szCs w:val="5"/>
                <w:color w:val="auto"/>
              </w:rPr>
            </w:pPr>
          </w:p>
        </w:tc>
        <w:tc>
          <w:tcPr>
            <w:tcW w:w="4620" w:type="dxa"/>
            <w:vAlign w:val="bottom"/>
            <w:shd w:val="clear" w:color="auto" w:fill="CCEEFF"/>
          </w:tcPr>
          <w:p>
            <w:pPr>
              <w:spacing w:after="0"/>
              <w:rPr>
                <w:sz w:val="5"/>
                <w:szCs w:val="5"/>
                <w:color w:val="auto"/>
              </w:rPr>
            </w:pPr>
          </w:p>
        </w:tc>
        <w:tc>
          <w:tcPr>
            <w:tcW w:w="360" w:type="dxa"/>
            <w:vAlign w:val="bottom"/>
            <w:shd w:val="clear" w:color="auto" w:fill="CCEEFF"/>
          </w:tcPr>
          <w:p>
            <w:pPr>
              <w:spacing w:after="0"/>
              <w:rPr>
                <w:sz w:val="5"/>
                <w:szCs w:val="5"/>
                <w:color w:val="auto"/>
              </w:rPr>
            </w:pPr>
          </w:p>
        </w:tc>
        <w:tc>
          <w:tcPr>
            <w:tcW w:w="1100" w:type="dxa"/>
            <w:vAlign w:val="bottom"/>
            <w:shd w:val="clear" w:color="auto" w:fill="CCEEFF"/>
          </w:tcPr>
          <w:p>
            <w:pPr>
              <w:spacing w:after="0"/>
              <w:rPr>
                <w:sz w:val="5"/>
                <w:szCs w:val="5"/>
                <w:color w:val="auto"/>
              </w:rPr>
            </w:pPr>
          </w:p>
        </w:tc>
        <w:tc>
          <w:tcPr>
            <w:tcW w:w="40" w:type="dxa"/>
            <w:vAlign w:val="bottom"/>
            <w:shd w:val="clear" w:color="auto" w:fill="CCEEFF"/>
          </w:tcPr>
          <w:p>
            <w:pPr>
              <w:spacing w:after="0"/>
              <w:rPr>
                <w:sz w:val="5"/>
                <w:szCs w:val="5"/>
                <w:color w:val="auto"/>
              </w:rPr>
            </w:pPr>
          </w:p>
        </w:tc>
        <w:tc>
          <w:tcPr>
            <w:tcW w:w="120" w:type="dxa"/>
            <w:vAlign w:val="bottom"/>
            <w:shd w:val="clear" w:color="auto" w:fill="CCEEFF"/>
          </w:tcPr>
          <w:p>
            <w:pPr>
              <w:spacing w:after="0"/>
              <w:rPr>
                <w:sz w:val="5"/>
                <w:szCs w:val="5"/>
                <w:color w:val="auto"/>
              </w:rPr>
            </w:pPr>
          </w:p>
        </w:tc>
        <w:tc>
          <w:tcPr>
            <w:tcW w:w="360" w:type="dxa"/>
            <w:vAlign w:val="bottom"/>
            <w:shd w:val="clear" w:color="auto" w:fill="CCEEFF"/>
          </w:tcPr>
          <w:p>
            <w:pPr>
              <w:spacing w:after="0"/>
              <w:rPr>
                <w:sz w:val="5"/>
                <w:szCs w:val="5"/>
                <w:color w:val="auto"/>
              </w:rPr>
            </w:pPr>
          </w:p>
        </w:tc>
        <w:tc>
          <w:tcPr>
            <w:tcW w:w="1140" w:type="dxa"/>
            <w:vAlign w:val="bottom"/>
            <w:shd w:val="clear" w:color="auto" w:fill="CCEEFF"/>
          </w:tcPr>
          <w:p>
            <w:pPr>
              <w:spacing w:after="0"/>
              <w:rPr>
                <w:sz w:val="5"/>
                <w:szCs w:val="5"/>
                <w:color w:val="auto"/>
              </w:rPr>
            </w:pPr>
          </w:p>
        </w:tc>
        <w:tc>
          <w:tcPr>
            <w:tcW w:w="100" w:type="dxa"/>
            <w:vAlign w:val="bottom"/>
            <w:shd w:val="clear" w:color="auto" w:fill="CCEEFF"/>
          </w:tcPr>
          <w:p>
            <w:pPr>
              <w:spacing w:after="0"/>
              <w:rPr>
                <w:sz w:val="5"/>
                <w:szCs w:val="5"/>
                <w:color w:val="auto"/>
              </w:rPr>
            </w:pPr>
          </w:p>
        </w:tc>
        <w:tc>
          <w:tcPr>
            <w:tcW w:w="340" w:type="dxa"/>
            <w:vAlign w:val="bottom"/>
            <w:shd w:val="clear" w:color="auto" w:fill="CCEEFF"/>
          </w:tcPr>
          <w:p>
            <w:pPr>
              <w:spacing w:after="0"/>
              <w:rPr>
                <w:sz w:val="5"/>
                <w:szCs w:val="5"/>
                <w:color w:val="auto"/>
              </w:rPr>
            </w:pPr>
          </w:p>
        </w:tc>
        <w:tc>
          <w:tcPr>
            <w:tcW w:w="1120" w:type="dxa"/>
            <w:vAlign w:val="bottom"/>
            <w:shd w:val="clear" w:color="auto" w:fill="CCEEFF"/>
          </w:tcPr>
          <w:p>
            <w:pPr>
              <w:spacing w:after="0"/>
              <w:rPr>
                <w:sz w:val="5"/>
                <w:szCs w:val="5"/>
                <w:color w:val="auto"/>
              </w:rPr>
            </w:pPr>
          </w:p>
        </w:tc>
        <w:tc>
          <w:tcPr>
            <w:tcW w:w="0" w:type="dxa"/>
            <w:vAlign w:val="bottom"/>
          </w:tcPr>
          <w:p>
            <w:pPr>
              <w:spacing w:after="0"/>
              <w:rPr>
                <w:sz w:val="1"/>
                <w:szCs w:val="1"/>
                <w:color w:val="auto"/>
              </w:rPr>
            </w:pPr>
          </w:p>
        </w:tc>
      </w:tr>
      <w:tr>
        <w:trPr>
          <w:trHeight w:val="204"/>
        </w:trPr>
        <w:tc>
          <w:tcPr>
            <w:tcW w:w="6740" w:type="dxa"/>
            <w:vAlign w:val="bottom"/>
            <w:gridSpan w:val="2"/>
          </w:tcPr>
          <w:p>
            <w:pPr>
              <w:ind w:left="380"/>
              <w:spacing w:after="0"/>
              <w:rPr>
                <w:sz w:val="20"/>
                <w:szCs w:val="20"/>
                <w:color w:val="auto"/>
              </w:rPr>
            </w:pPr>
            <w:r>
              <w:rPr>
                <w:rFonts w:ascii="Arial" w:cs="Arial" w:eastAsia="Arial" w:hAnsi="Arial"/>
                <w:sz w:val="14"/>
                <w:szCs w:val="14"/>
                <w:color w:val="auto"/>
              </w:rPr>
              <w:t>Decrease (increase) in accounts receivable</w:t>
            </w:r>
          </w:p>
        </w:tc>
        <w:tc>
          <w:tcPr>
            <w:tcW w:w="360" w:type="dxa"/>
            <w:vAlign w:val="bottom"/>
          </w:tcPr>
          <w:p>
            <w:pPr>
              <w:spacing w:after="0"/>
              <w:rPr>
                <w:sz w:val="17"/>
                <w:szCs w:val="17"/>
                <w:color w:val="auto"/>
              </w:rPr>
            </w:pPr>
          </w:p>
        </w:tc>
        <w:tc>
          <w:tcPr>
            <w:tcW w:w="1100" w:type="dxa"/>
            <w:vAlign w:val="bottom"/>
            <w:vMerge w:val="restart"/>
          </w:tcPr>
          <w:p>
            <w:pPr>
              <w:jc w:val="right"/>
              <w:ind w:right="8"/>
              <w:spacing w:after="0"/>
              <w:rPr>
                <w:sz w:val="20"/>
                <w:szCs w:val="20"/>
                <w:color w:val="auto"/>
              </w:rPr>
            </w:pPr>
            <w:r>
              <w:rPr>
                <w:rFonts w:ascii="Arial" w:cs="Arial" w:eastAsia="Arial" w:hAnsi="Arial"/>
                <w:sz w:val="14"/>
                <w:szCs w:val="14"/>
                <w:color w:val="auto"/>
              </w:rPr>
              <w:t>73</w:t>
            </w:r>
          </w:p>
        </w:tc>
        <w:tc>
          <w:tcPr>
            <w:tcW w:w="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140" w:type="dxa"/>
            <w:vAlign w:val="bottom"/>
            <w:vMerge w:val="restart"/>
          </w:tcPr>
          <w:p>
            <w:pPr>
              <w:jc w:val="right"/>
              <w:ind w:right="48"/>
              <w:spacing w:after="0"/>
              <w:rPr>
                <w:sz w:val="20"/>
                <w:szCs w:val="20"/>
                <w:color w:val="auto"/>
              </w:rPr>
            </w:pPr>
            <w:r>
              <w:rPr>
                <w:rFonts w:ascii="Arial" w:cs="Arial" w:eastAsia="Arial" w:hAnsi="Arial"/>
                <w:sz w:val="14"/>
                <w:szCs w:val="14"/>
                <w:color w:val="auto"/>
              </w:rPr>
              <w:t>222</w:t>
            </w:r>
          </w:p>
        </w:tc>
        <w:tc>
          <w:tcPr>
            <w:tcW w:w="1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120" w:type="dxa"/>
            <w:vAlign w:val="bottom"/>
            <w:vMerge w:val="restart"/>
          </w:tcPr>
          <w:p>
            <w:pPr>
              <w:jc w:val="right"/>
              <w:spacing w:after="0"/>
              <w:rPr>
                <w:sz w:val="20"/>
                <w:szCs w:val="20"/>
                <w:color w:val="auto"/>
              </w:rPr>
            </w:pPr>
            <w:r>
              <w:rPr>
                <w:rFonts w:ascii="Arial" w:cs="Arial" w:eastAsia="Arial" w:hAnsi="Arial"/>
                <w:sz w:val="14"/>
                <w:szCs w:val="14"/>
                <w:color w:val="auto"/>
              </w:rPr>
              <w:t>(190)</w:t>
            </w:r>
          </w:p>
        </w:tc>
        <w:tc>
          <w:tcPr>
            <w:tcW w:w="0" w:type="dxa"/>
            <w:vAlign w:val="bottom"/>
          </w:tcPr>
          <w:p>
            <w:pPr>
              <w:spacing w:after="0"/>
              <w:rPr>
                <w:sz w:val="1"/>
                <w:szCs w:val="1"/>
                <w:color w:val="auto"/>
              </w:rPr>
            </w:pPr>
          </w:p>
        </w:tc>
      </w:tr>
      <w:tr>
        <w:trPr>
          <w:trHeight w:val="60"/>
        </w:trPr>
        <w:tc>
          <w:tcPr>
            <w:tcW w:w="2120" w:type="dxa"/>
            <w:vAlign w:val="bottom"/>
          </w:tcPr>
          <w:p>
            <w:pPr>
              <w:spacing w:after="0"/>
              <w:rPr>
                <w:sz w:val="5"/>
                <w:szCs w:val="5"/>
                <w:color w:val="auto"/>
              </w:rPr>
            </w:pPr>
          </w:p>
        </w:tc>
        <w:tc>
          <w:tcPr>
            <w:tcW w:w="4620" w:type="dxa"/>
            <w:vAlign w:val="bottom"/>
          </w:tcPr>
          <w:p>
            <w:pPr>
              <w:spacing w:after="0"/>
              <w:rPr>
                <w:sz w:val="5"/>
                <w:szCs w:val="5"/>
                <w:color w:val="auto"/>
              </w:rPr>
            </w:pPr>
          </w:p>
        </w:tc>
        <w:tc>
          <w:tcPr>
            <w:tcW w:w="360" w:type="dxa"/>
            <w:vAlign w:val="bottom"/>
          </w:tcPr>
          <w:p>
            <w:pPr>
              <w:spacing w:after="0"/>
              <w:rPr>
                <w:sz w:val="5"/>
                <w:szCs w:val="5"/>
                <w:color w:val="auto"/>
              </w:rPr>
            </w:pPr>
          </w:p>
        </w:tc>
        <w:tc>
          <w:tcPr>
            <w:tcW w:w="1100" w:type="dxa"/>
            <w:vAlign w:val="bottom"/>
            <w:vMerge w:val="continue"/>
          </w:tcPr>
          <w:p>
            <w:pPr>
              <w:spacing w:after="0"/>
              <w:rPr>
                <w:sz w:val="5"/>
                <w:szCs w:val="5"/>
                <w:color w:val="auto"/>
              </w:rPr>
            </w:pPr>
          </w:p>
        </w:tc>
        <w:tc>
          <w:tcPr>
            <w:tcW w:w="40" w:type="dxa"/>
            <w:vAlign w:val="bottom"/>
          </w:tcPr>
          <w:p>
            <w:pPr>
              <w:spacing w:after="0"/>
              <w:rPr>
                <w:sz w:val="5"/>
                <w:szCs w:val="5"/>
                <w:color w:val="auto"/>
              </w:rPr>
            </w:pPr>
          </w:p>
        </w:tc>
        <w:tc>
          <w:tcPr>
            <w:tcW w:w="120" w:type="dxa"/>
            <w:vAlign w:val="bottom"/>
          </w:tcPr>
          <w:p>
            <w:pPr>
              <w:spacing w:after="0"/>
              <w:rPr>
                <w:sz w:val="5"/>
                <w:szCs w:val="5"/>
                <w:color w:val="auto"/>
              </w:rPr>
            </w:pPr>
          </w:p>
        </w:tc>
        <w:tc>
          <w:tcPr>
            <w:tcW w:w="360" w:type="dxa"/>
            <w:vAlign w:val="bottom"/>
          </w:tcPr>
          <w:p>
            <w:pPr>
              <w:spacing w:after="0"/>
              <w:rPr>
                <w:sz w:val="5"/>
                <w:szCs w:val="5"/>
                <w:color w:val="auto"/>
              </w:rPr>
            </w:pPr>
          </w:p>
        </w:tc>
        <w:tc>
          <w:tcPr>
            <w:tcW w:w="1140" w:type="dxa"/>
            <w:vAlign w:val="bottom"/>
            <w:vMerge w:val="continue"/>
          </w:tcPr>
          <w:p>
            <w:pPr>
              <w:spacing w:after="0"/>
              <w:rPr>
                <w:sz w:val="5"/>
                <w:szCs w:val="5"/>
                <w:color w:val="auto"/>
              </w:rPr>
            </w:pPr>
          </w:p>
        </w:tc>
        <w:tc>
          <w:tcPr>
            <w:tcW w:w="100" w:type="dxa"/>
            <w:vAlign w:val="bottom"/>
          </w:tcPr>
          <w:p>
            <w:pPr>
              <w:spacing w:after="0"/>
              <w:rPr>
                <w:sz w:val="5"/>
                <w:szCs w:val="5"/>
                <w:color w:val="auto"/>
              </w:rPr>
            </w:pPr>
          </w:p>
        </w:tc>
        <w:tc>
          <w:tcPr>
            <w:tcW w:w="340" w:type="dxa"/>
            <w:vAlign w:val="bottom"/>
          </w:tcPr>
          <w:p>
            <w:pPr>
              <w:spacing w:after="0"/>
              <w:rPr>
                <w:sz w:val="5"/>
                <w:szCs w:val="5"/>
                <w:color w:val="auto"/>
              </w:rPr>
            </w:pPr>
          </w:p>
        </w:tc>
        <w:tc>
          <w:tcPr>
            <w:tcW w:w="112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r>
        <w:trPr>
          <w:trHeight w:val="210"/>
        </w:trPr>
        <w:tc>
          <w:tcPr>
            <w:tcW w:w="6740" w:type="dxa"/>
            <w:vAlign w:val="bottom"/>
            <w:gridSpan w:val="2"/>
            <w:shd w:val="clear" w:color="auto" w:fill="CCEEFF"/>
          </w:tcPr>
          <w:p>
            <w:pPr>
              <w:ind w:left="380"/>
              <w:spacing w:after="0"/>
              <w:rPr>
                <w:sz w:val="20"/>
                <w:szCs w:val="20"/>
                <w:color w:val="auto"/>
              </w:rPr>
            </w:pPr>
            <w:r>
              <w:rPr>
                <w:rFonts w:ascii="Arial" w:cs="Arial" w:eastAsia="Arial" w:hAnsi="Arial"/>
                <w:sz w:val="14"/>
                <w:szCs w:val="14"/>
                <w:color w:val="auto"/>
              </w:rPr>
              <w:t>Increase in other assets</w:t>
            </w:r>
          </w:p>
        </w:tc>
        <w:tc>
          <w:tcPr>
            <w:tcW w:w="360" w:type="dxa"/>
            <w:vAlign w:val="bottom"/>
            <w:shd w:val="clear" w:color="auto" w:fill="CCEEFF"/>
          </w:tcPr>
          <w:p>
            <w:pPr>
              <w:spacing w:after="0"/>
              <w:rPr>
                <w:sz w:val="18"/>
                <w:szCs w:val="18"/>
                <w:color w:val="auto"/>
              </w:rPr>
            </w:pPr>
          </w:p>
        </w:tc>
        <w:tc>
          <w:tcPr>
            <w:tcW w:w="110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(373)</w:t>
            </w:r>
          </w:p>
        </w:tc>
        <w:tc>
          <w:tcPr>
            <w:tcW w:w="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14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(390)</w:t>
            </w:r>
          </w:p>
        </w:tc>
        <w:tc>
          <w:tcPr>
            <w:tcW w:w="1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12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(433)</w:t>
            </w:r>
          </w:p>
        </w:tc>
        <w:tc>
          <w:tcPr>
            <w:tcW w:w="0" w:type="dxa"/>
            <w:vAlign w:val="bottom"/>
          </w:tcPr>
          <w:p>
            <w:pPr>
              <w:spacing w:after="0"/>
              <w:rPr>
                <w:sz w:val="1"/>
                <w:szCs w:val="1"/>
                <w:color w:val="auto"/>
              </w:rPr>
            </w:pPr>
          </w:p>
        </w:tc>
      </w:tr>
      <w:tr>
        <w:trPr>
          <w:trHeight w:val="66"/>
        </w:trPr>
        <w:tc>
          <w:tcPr>
            <w:tcW w:w="2120" w:type="dxa"/>
            <w:vAlign w:val="bottom"/>
            <w:shd w:val="clear" w:color="auto" w:fill="CCEEFF"/>
          </w:tcPr>
          <w:p>
            <w:pPr>
              <w:spacing w:after="0"/>
              <w:rPr>
                <w:sz w:val="5"/>
                <w:szCs w:val="5"/>
                <w:color w:val="auto"/>
              </w:rPr>
            </w:pPr>
          </w:p>
        </w:tc>
        <w:tc>
          <w:tcPr>
            <w:tcW w:w="4620" w:type="dxa"/>
            <w:vAlign w:val="bottom"/>
            <w:shd w:val="clear" w:color="auto" w:fill="CCEEFF"/>
          </w:tcPr>
          <w:p>
            <w:pPr>
              <w:spacing w:after="0"/>
              <w:rPr>
                <w:sz w:val="5"/>
                <w:szCs w:val="5"/>
                <w:color w:val="auto"/>
              </w:rPr>
            </w:pPr>
          </w:p>
        </w:tc>
        <w:tc>
          <w:tcPr>
            <w:tcW w:w="360" w:type="dxa"/>
            <w:vAlign w:val="bottom"/>
            <w:shd w:val="clear" w:color="auto" w:fill="CCEEFF"/>
          </w:tcPr>
          <w:p>
            <w:pPr>
              <w:spacing w:after="0"/>
              <w:rPr>
                <w:sz w:val="5"/>
                <w:szCs w:val="5"/>
                <w:color w:val="auto"/>
              </w:rPr>
            </w:pPr>
          </w:p>
        </w:tc>
        <w:tc>
          <w:tcPr>
            <w:tcW w:w="1100" w:type="dxa"/>
            <w:vAlign w:val="bottom"/>
            <w:vMerge w:val="continue"/>
            <w:shd w:val="clear" w:color="auto" w:fill="CCEEFF"/>
          </w:tcPr>
          <w:p>
            <w:pPr>
              <w:spacing w:after="0"/>
              <w:rPr>
                <w:sz w:val="5"/>
                <w:szCs w:val="5"/>
                <w:color w:val="auto"/>
              </w:rPr>
            </w:pPr>
          </w:p>
        </w:tc>
        <w:tc>
          <w:tcPr>
            <w:tcW w:w="40" w:type="dxa"/>
            <w:vAlign w:val="bottom"/>
            <w:shd w:val="clear" w:color="auto" w:fill="CCEEFF"/>
          </w:tcPr>
          <w:p>
            <w:pPr>
              <w:spacing w:after="0"/>
              <w:rPr>
                <w:sz w:val="5"/>
                <w:szCs w:val="5"/>
                <w:color w:val="auto"/>
              </w:rPr>
            </w:pPr>
          </w:p>
        </w:tc>
        <w:tc>
          <w:tcPr>
            <w:tcW w:w="120" w:type="dxa"/>
            <w:vAlign w:val="bottom"/>
            <w:shd w:val="clear" w:color="auto" w:fill="CCEEFF"/>
          </w:tcPr>
          <w:p>
            <w:pPr>
              <w:spacing w:after="0"/>
              <w:rPr>
                <w:sz w:val="5"/>
                <w:szCs w:val="5"/>
                <w:color w:val="auto"/>
              </w:rPr>
            </w:pPr>
          </w:p>
        </w:tc>
        <w:tc>
          <w:tcPr>
            <w:tcW w:w="360" w:type="dxa"/>
            <w:vAlign w:val="bottom"/>
            <w:shd w:val="clear" w:color="auto" w:fill="CCEEFF"/>
          </w:tcPr>
          <w:p>
            <w:pPr>
              <w:spacing w:after="0"/>
              <w:rPr>
                <w:sz w:val="5"/>
                <w:szCs w:val="5"/>
                <w:color w:val="auto"/>
              </w:rPr>
            </w:pPr>
          </w:p>
        </w:tc>
        <w:tc>
          <w:tcPr>
            <w:tcW w:w="1140" w:type="dxa"/>
            <w:vAlign w:val="bottom"/>
            <w:vMerge w:val="continue"/>
            <w:shd w:val="clear" w:color="auto" w:fill="CCEEFF"/>
          </w:tcPr>
          <w:p>
            <w:pPr>
              <w:spacing w:after="0"/>
              <w:rPr>
                <w:sz w:val="5"/>
                <w:szCs w:val="5"/>
                <w:color w:val="auto"/>
              </w:rPr>
            </w:pPr>
          </w:p>
        </w:tc>
        <w:tc>
          <w:tcPr>
            <w:tcW w:w="100" w:type="dxa"/>
            <w:vAlign w:val="bottom"/>
            <w:shd w:val="clear" w:color="auto" w:fill="CCEEFF"/>
          </w:tcPr>
          <w:p>
            <w:pPr>
              <w:spacing w:after="0"/>
              <w:rPr>
                <w:sz w:val="5"/>
                <w:szCs w:val="5"/>
                <w:color w:val="auto"/>
              </w:rPr>
            </w:pPr>
          </w:p>
        </w:tc>
        <w:tc>
          <w:tcPr>
            <w:tcW w:w="340" w:type="dxa"/>
            <w:vAlign w:val="bottom"/>
            <w:shd w:val="clear" w:color="auto" w:fill="CCEEFF"/>
          </w:tcPr>
          <w:p>
            <w:pPr>
              <w:spacing w:after="0"/>
              <w:rPr>
                <w:sz w:val="5"/>
                <w:szCs w:val="5"/>
                <w:color w:val="auto"/>
              </w:rPr>
            </w:pPr>
          </w:p>
        </w:tc>
        <w:tc>
          <w:tcPr>
            <w:tcW w:w="1120" w:type="dxa"/>
            <w:vAlign w:val="bottom"/>
            <w:vMerge w:val="continue"/>
            <w:shd w:val="clear" w:color="auto" w:fill="CCEEFF"/>
          </w:tcPr>
          <w:p>
            <w:pPr>
              <w:spacing w:after="0"/>
              <w:rPr>
                <w:sz w:val="5"/>
                <w:szCs w:val="5"/>
                <w:color w:val="auto"/>
              </w:rPr>
            </w:pPr>
          </w:p>
        </w:tc>
        <w:tc>
          <w:tcPr>
            <w:tcW w:w="0" w:type="dxa"/>
            <w:vAlign w:val="bottom"/>
          </w:tcPr>
          <w:p>
            <w:pPr>
              <w:spacing w:after="0"/>
              <w:rPr>
                <w:sz w:val="1"/>
                <w:szCs w:val="1"/>
                <w:color w:val="auto"/>
              </w:rPr>
            </w:pPr>
          </w:p>
        </w:tc>
      </w:tr>
      <w:tr>
        <w:trPr>
          <w:trHeight w:val="204"/>
        </w:trPr>
        <w:tc>
          <w:tcPr>
            <w:tcW w:w="6740" w:type="dxa"/>
            <w:vAlign w:val="bottom"/>
            <w:gridSpan w:val="2"/>
          </w:tcPr>
          <w:p>
            <w:pPr>
              <w:ind w:left="380"/>
              <w:spacing w:after="0"/>
              <w:rPr>
                <w:sz w:val="20"/>
                <w:szCs w:val="20"/>
                <w:color w:val="auto"/>
              </w:rPr>
            </w:pPr>
            <w:r>
              <w:rPr>
                <w:rFonts w:ascii="Arial" w:cs="Arial" w:eastAsia="Arial" w:hAnsi="Arial"/>
                <w:sz w:val="14"/>
                <w:szCs w:val="14"/>
                <w:color w:val="auto"/>
              </w:rPr>
              <w:t>Increase (decrease) in accounts payable and accrued liabilities</w:t>
            </w:r>
          </w:p>
        </w:tc>
        <w:tc>
          <w:tcPr>
            <w:tcW w:w="360" w:type="dxa"/>
            <w:vAlign w:val="bottom"/>
          </w:tcPr>
          <w:p>
            <w:pPr>
              <w:spacing w:after="0"/>
              <w:rPr>
                <w:sz w:val="17"/>
                <w:szCs w:val="17"/>
                <w:color w:val="auto"/>
              </w:rPr>
            </w:pPr>
          </w:p>
        </w:tc>
        <w:tc>
          <w:tcPr>
            <w:tcW w:w="1100" w:type="dxa"/>
            <w:vAlign w:val="bottom"/>
            <w:vMerge w:val="restart"/>
          </w:tcPr>
          <w:p>
            <w:pPr>
              <w:jc w:val="right"/>
              <w:ind w:right="8"/>
              <w:spacing w:after="0"/>
              <w:rPr>
                <w:sz w:val="20"/>
                <w:szCs w:val="20"/>
                <w:color w:val="auto"/>
              </w:rPr>
            </w:pPr>
            <w:r>
              <w:rPr>
                <w:rFonts w:ascii="Arial" w:cs="Arial" w:eastAsia="Arial" w:hAnsi="Arial"/>
                <w:sz w:val="14"/>
                <w:szCs w:val="14"/>
                <w:color w:val="auto"/>
              </w:rPr>
              <w:t>327</w:t>
            </w:r>
          </w:p>
        </w:tc>
        <w:tc>
          <w:tcPr>
            <w:tcW w:w="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140" w:type="dxa"/>
            <w:vAlign w:val="bottom"/>
            <w:vMerge w:val="restart"/>
          </w:tcPr>
          <w:p>
            <w:pPr>
              <w:jc w:val="right"/>
              <w:spacing w:after="0"/>
              <w:rPr>
                <w:sz w:val="20"/>
                <w:szCs w:val="20"/>
                <w:color w:val="auto"/>
              </w:rPr>
            </w:pPr>
            <w:r>
              <w:rPr>
                <w:rFonts w:ascii="Arial" w:cs="Arial" w:eastAsia="Arial" w:hAnsi="Arial"/>
                <w:sz w:val="14"/>
                <w:szCs w:val="14"/>
                <w:color w:val="auto"/>
              </w:rPr>
              <w:t>(147)</w:t>
            </w:r>
          </w:p>
        </w:tc>
        <w:tc>
          <w:tcPr>
            <w:tcW w:w="1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120" w:type="dxa"/>
            <w:vAlign w:val="bottom"/>
            <w:vMerge w:val="restart"/>
          </w:tcPr>
          <w:p>
            <w:pPr>
              <w:jc w:val="right"/>
              <w:ind w:right="28"/>
              <w:spacing w:after="0"/>
              <w:rPr>
                <w:sz w:val="20"/>
                <w:szCs w:val="20"/>
                <w:color w:val="auto"/>
              </w:rPr>
            </w:pPr>
            <w:r>
              <w:rPr>
                <w:rFonts w:ascii="Arial" w:cs="Arial" w:eastAsia="Arial" w:hAnsi="Arial"/>
                <w:sz w:val="14"/>
                <w:szCs w:val="14"/>
                <w:color w:val="auto"/>
              </w:rPr>
              <w:t>299</w:t>
            </w:r>
          </w:p>
        </w:tc>
        <w:tc>
          <w:tcPr>
            <w:tcW w:w="0" w:type="dxa"/>
            <w:vAlign w:val="bottom"/>
          </w:tcPr>
          <w:p>
            <w:pPr>
              <w:spacing w:after="0"/>
              <w:rPr>
                <w:sz w:val="1"/>
                <w:szCs w:val="1"/>
                <w:color w:val="auto"/>
              </w:rPr>
            </w:pPr>
          </w:p>
        </w:tc>
      </w:tr>
      <w:tr>
        <w:trPr>
          <w:trHeight w:val="60"/>
        </w:trPr>
        <w:tc>
          <w:tcPr>
            <w:tcW w:w="2120" w:type="dxa"/>
            <w:vAlign w:val="bottom"/>
          </w:tcPr>
          <w:p>
            <w:pPr>
              <w:spacing w:after="0"/>
              <w:rPr>
                <w:sz w:val="5"/>
                <w:szCs w:val="5"/>
                <w:color w:val="auto"/>
              </w:rPr>
            </w:pPr>
          </w:p>
        </w:tc>
        <w:tc>
          <w:tcPr>
            <w:tcW w:w="4620" w:type="dxa"/>
            <w:vAlign w:val="bottom"/>
          </w:tcPr>
          <w:p>
            <w:pPr>
              <w:spacing w:after="0"/>
              <w:rPr>
                <w:sz w:val="5"/>
                <w:szCs w:val="5"/>
                <w:color w:val="auto"/>
              </w:rPr>
            </w:pPr>
          </w:p>
        </w:tc>
        <w:tc>
          <w:tcPr>
            <w:tcW w:w="360" w:type="dxa"/>
            <w:vAlign w:val="bottom"/>
          </w:tcPr>
          <w:p>
            <w:pPr>
              <w:spacing w:after="0"/>
              <w:rPr>
                <w:sz w:val="5"/>
                <w:szCs w:val="5"/>
                <w:color w:val="auto"/>
              </w:rPr>
            </w:pPr>
          </w:p>
        </w:tc>
        <w:tc>
          <w:tcPr>
            <w:tcW w:w="1100" w:type="dxa"/>
            <w:vAlign w:val="bottom"/>
            <w:vMerge w:val="continue"/>
          </w:tcPr>
          <w:p>
            <w:pPr>
              <w:spacing w:after="0"/>
              <w:rPr>
                <w:sz w:val="5"/>
                <w:szCs w:val="5"/>
                <w:color w:val="auto"/>
              </w:rPr>
            </w:pPr>
          </w:p>
        </w:tc>
        <w:tc>
          <w:tcPr>
            <w:tcW w:w="40" w:type="dxa"/>
            <w:vAlign w:val="bottom"/>
          </w:tcPr>
          <w:p>
            <w:pPr>
              <w:spacing w:after="0"/>
              <w:rPr>
                <w:sz w:val="5"/>
                <w:szCs w:val="5"/>
                <w:color w:val="auto"/>
              </w:rPr>
            </w:pPr>
          </w:p>
        </w:tc>
        <w:tc>
          <w:tcPr>
            <w:tcW w:w="120" w:type="dxa"/>
            <w:vAlign w:val="bottom"/>
          </w:tcPr>
          <w:p>
            <w:pPr>
              <w:spacing w:after="0"/>
              <w:rPr>
                <w:sz w:val="5"/>
                <w:szCs w:val="5"/>
                <w:color w:val="auto"/>
              </w:rPr>
            </w:pPr>
          </w:p>
        </w:tc>
        <w:tc>
          <w:tcPr>
            <w:tcW w:w="360" w:type="dxa"/>
            <w:vAlign w:val="bottom"/>
          </w:tcPr>
          <w:p>
            <w:pPr>
              <w:spacing w:after="0"/>
              <w:rPr>
                <w:sz w:val="5"/>
                <w:szCs w:val="5"/>
                <w:color w:val="auto"/>
              </w:rPr>
            </w:pPr>
          </w:p>
        </w:tc>
        <w:tc>
          <w:tcPr>
            <w:tcW w:w="1140" w:type="dxa"/>
            <w:vAlign w:val="bottom"/>
            <w:vMerge w:val="continue"/>
          </w:tcPr>
          <w:p>
            <w:pPr>
              <w:spacing w:after="0"/>
              <w:rPr>
                <w:sz w:val="5"/>
                <w:szCs w:val="5"/>
                <w:color w:val="auto"/>
              </w:rPr>
            </w:pPr>
          </w:p>
        </w:tc>
        <w:tc>
          <w:tcPr>
            <w:tcW w:w="100" w:type="dxa"/>
            <w:vAlign w:val="bottom"/>
          </w:tcPr>
          <w:p>
            <w:pPr>
              <w:spacing w:after="0"/>
              <w:rPr>
                <w:sz w:val="5"/>
                <w:szCs w:val="5"/>
                <w:color w:val="auto"/>
              </w:rPr>
            </w:pPr>
          </w:p>
        </w:tc>
        <w:tc>
          <w:tcPr>
            <w:tcW w:w="340" w:type="dxa"/>
            <w:vAlign w:val="bottom"/>
          </w:tcPr>
          <w:p>
            <w:pPr>
              <w:spacing w:after="0"/>
              <w:rPr>
                <w:sz w:val="5"/>
                <w:szCs w:val="5"/>
                <w:color w:val="auto"/>
              </w:rPr>
            </w:pPr>
          </w:p>
        </w:tc>
        <w:tc>
          <w:tcPr>
            <w:tcW w:w="112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r>
        <w:trPr>
          <w:trHeight w:val="210"/>
        </w:trPr>
        <w:tc>
          <w:tcPr>
            <w:tcW w:w="6740" w:type="dxa"/>
            <w:vAlign w:val="bottom"/>
            <w:gridSpan w:val="2"/>
            <w:shd w:val="clear" w:color="auto" w:fill="CCEEFF"/>
          </w:tcPr>
          <w:p>
            <w:pPr>
              <w:ind w:left="380"/>
              <w:spacing w:after="0"/>
              <w:rPr>
                <w:sz w:val="20"/>
                <w:szCs w:val="20"/>
                <w:color w:val="auto"/>
              </w:rPr>
            </w:pPr>
            <w:r>
              <w:rPr>
                <w:rFonts w:ascii="Arial" w:cs="Arial" w:eastAsia="Arial" w:hAnsi="Arial"/>
                <w:sz w:val="14"/>
                <w:szCs w:val="14"/>
                <w:color w:val="auto"/>
              </w:rPr>
              <w:t>Increase in air traffic liability</w:t>
            </w:r>
          </w:p>
        </w:tc>
        <w:tc>
          <w:tcPr>
            <w:tcW w:w="360" w:type="dxa"/>
            <w:vAlign w:val="bottom"/>
            <w:shd w:val="clear" w:color="auto" w:fill="CCEEFF"/>
          </w:tcPr>
          <w:p>
            <w:pPr>
              <w:spacing w:after="0"/>
              <w:rPr>
                <w:sz w:val="18"/>
                <w:szCs w:val="18"/>
                <w:color w:val="auto"/>
              </w:rPr>
            </w:pPr>
          </w:p>
        </w:tc>
        <w:tc>
          <w:tcPr>
            <w:tcW w:w="1100" w:type="dxa"/>
            <w:vAlign w:val="bottom"/>
            <w:vMerge w:val="restart"/>
            <w:shd w:val="clear" w:color="auto" w:fill="CCEEFF"/>
          </w:tcPr>
          <w:p>
            <w:pPr>
              <w:jc w:val="right"/>
              <w:ind w:right="8"/>
              <w:spacing w:after="0"/>
              <w:rPr>
                <w:sz w:val="20"/>
                <w:szCs w:val="20"/>
                <w:color w:val="auto"/>
              </w:rPr>
            </w:pPr>
            <w:r>
              <w:rPr>
                <w:rFonts w:ascii="Arial" w:cs="Arial" w:eastAsia="Arial" w:hAnsi="Arial"/>
                <w:sz w:val="14"/>
                <w:szCs w:val="14"/>
                <w:color w:val="auto"/>
              </w:rPr>
              <w:t>469</w:t>
            </w:r>
          </w:p>
        </w:tc>
        <w:tc>
          <w:tcPr>
            <w:tcW w:w="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140" w:type="dxa"/>
            <w:vAlign w:val="bottom"/>
            <w:vMerge w:val="restart"/>
            <w:shd w:val="clear" w:color="auto" w:fill="CCEEFF"/>
          </w:tcPr>
          <w:p>
            <w:pPr>
              <w:jc w:val="right"/>
              <w:ind w:right="48"/>
              <w:spacing w:after="0"/>
              <w:rPr>
                <w:sz w:val="20"/>
                <w:szCs w:val="20"/>
                <w:color w:val="auto"/>
              </w:rPr>
            </w:pPr>
            <w:r>
              <w:rPr>
                <w:rFonts w:ascii="Arial" w:cs="Arial" w:eastAsia="Arial" w:hAnsi="Arial"/>
                <w:sz w:val="14"/>
                <w:szCs w:val="14"/>
                <w:color w:val="auto"/>
              </w:rPr>
              <w:t>297</w:t>
            </w:r>
          </w:p>
        </w:tc>
        <w:tc>
          <w:tcPr>
            <w:tcW w:w="1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120" w:type="dxa"/>
            <w:vAlign w:val="bottom"/>
            <w:vMerge w:val="restart"/>
            <w:shd w:val="clear" w:color="auto" w:fill="CCEEFF"/>
          </w:tcPr>
          <w:p>
            <w:pPr>
              <w:jc w:val="right"/>
              <w:ind w:right="28"/>
              <w:spacing w:after="0"/>
              <w:rPr>
                <w:sz w:val="20"/>
                <w:szCs w:val="20"/>
                <w:color w:val="auto"/>
              </w:rPr>
            </w:pPr>
            <w:r>
              <w:rPr>
                <w:rFonts w:ascii="Arial" w:cs="Arial" w:eastAsia="Arial" w:hAnsi="Arial"/>
                <w:sz w:val="14"/>
                <w:szCs w:val="14"/>
                <w:color w:val="auto"/>
              </w:rPr>
              <w:t>65</w:t>
            </w:r>
          </w:p>
        </w:tc>
        <w:tc>
          <w:tcPr>
            <w:tcW w:w="0" w:type="dxa"/>
            <w:vAlign w:val="bottom"/>
          </w:tcPr>
          <w:p>
            <w:pPr>
              <w:spacing w:after="0"/>
              <w:rPr>
                <w:sz w:val="1"/>
                <w:szCs w:val="1"/>
                <w:color w:val="auto"/>
              </w:rPr>
            </w:pPr>
          </w:p>
        </w:tc>
      </w:tr>
      <w:tr>
        <w:trPr>
          <w:trHeight w:val="66"/>
        </w:trPr>
        <w:tc>
          <w:tcPr>
            <w:tcW w:w="2120" w:type="dxa"/>
            <w:vAlign w:val="bottom"/>
            <w:shd w:val="clear" w:color="auto" w:fill="CCEEFF"/>
          </w:tcPr>
          <w:p>
            <w:pPr>
              <w:spacing w:after="0"/>
              <w:rPr>
                <w:sz w:val="5"/>
                <w:szCs w:val="5"/>
                <w:color w:val="auto"/>
              </w:rPr>
            </w:pPr>
          </w:p>
        </w:tc>
        <w:tc>
          <w:tcPr>
            <w:tcW w:w="4620" w:type="dxa"/>
            <w:vAlign w:val="bottom"/>
            <w:shd w:val="clear" w:color="auto" w:fill="CCEEFF"/>
          </w:tcPr>
          <w:p>
            <w:pPr>
              <w:spacing w:after="0"/>
              <w:rPr>
                <w:sz w:val="5"/>
                <w:szCs w:val="5"/>
                <w:color w:val="auto"/>
              </w:rPr>
            </w:pPr>
          </w:p>
        </w:tc>
        <w:tc>
          <w:tcPr>
            <w:tcW w:w="360" w:type="dxa"/>
            <w:vAlign w:val="bottom"/>
            <w:shd w:val="clear" w:color="auto" w:fill="CCEEFF"/>
          </w:tcPr>
          <w:p>
            <w:pPr>
              <w:spacing w:after="0"/>
              <w:rPr>
                <w:sz w:val="5"/>
                <w:szCs w:val="5"/>
                <w:color w:val="auto"/>
              </w:rPr>
            </w:pPr>
          </w:p>
        </w:tc>
        <w:tc>
          <w:tcPr>
            <w:tcW w:w="1100" w:type="dxa"/>
            <w:vAlign w:val="bottom"/>
            <w:vMerge w:val="continue"/>
            <w:shd w:val="clear" w:color="auto" w:fill="CCEEFF"/>
          </w:tcPr>
          <w:p>
            <w:pPr>
              <w:spacing w:after="0"/>
              <w:rPr>
                <w:sz w:val="5"/>
                <w:szCs w:val="5"/>
                <w:color w:val="auto"/>
              </w:rPr>
            </w:pPr>
          </w:p>
        </w:tc>
        <w:tc>
          <w:tcPr>
            <w:tcW w:w="40" w:type="dxa"/>
            <w:vAlign w:val="bottom"/>
            <w:shd w:val="clear" w:color="auto" w:fill="CCEEFF"/>
          </w:tcPr>
          <w:p>
            <w:pPr>
              <w:spacing w:after="0"/>
              <w:rPr>
                <w:sz w:val="5"/>
                <w:szCs w:val="5"/>
                <w:color w:val="auto"/>
              </w:rPr>
            </w:pPr>
          </w:p>
        </w:tc>
        <w:tc>
          <w:tcPr>
            <w:tcW w:w="120" w:type="dxa"/>
            <w:vAlign w:val="bottom"/>
            <w:shd w:val="clear" w:color="auto" w:fill="CCEEFF"/>
          </w:tcPr>
          <w:p>
            <w:pPr>
              <w:spacing w:after="0"/>
              <w:rPr>
                <w:sz w:val="5"/>
                <w:szCs w:val="5"/>
                <w:color w:val="auto"/>
              </w:rPr>
            </w:pPr>
          </w:p>
        </w:tc>
        <w:tc>
          <w:tcPr>
            <w:tcW w:w="360" w:type="dxa"/>
            <w:vAlign w:val="bottom"/>
            <w:shd w:val="clear" w:color="auto" w:fill="CCEEFF"/>
          </w:tcPr>
          <w:p>
            <w:pPr>
              <w:spacing w:after="0"/>
              <w:rPr>
                <w:sz w:val="5"/>
                <w:szCs w:val="5"/>
                <w:color w:val="auto"/>
              </w:rPr>
            </w:pPr>
          </w:p>
        </w:tc>
        <w:tc>
          <w:tcPr>
            <w:tcW w:w="1140" w:type="dxa"/>
            <w:vAlign w:val="bottom"/>
            <w:vMerge w:val="continue"/>
            <w:shd w:val="clear" w:color="auto" w:fill="CCEEFF"/>
          </w:tcPr>
          <w:p>
            <w:pPr>
              <w:spacing w:after="0"/>
              <w:rPr>
                <w:sz w:val="5"/>
                <w:szCs w:val="5"/>
                <w:color w:val="auto"/>
              </w:rPr>
            </w:pPr>
          </w:p>
        </w:tc>
        <w:tc>
          <w:tcPr>
            <w:tcW w:w="100" w:type="dxa"/>
            <w:vAlign w:val="bottom"/>
            <w:shd w:val="clear" w:color="auto" w:fill="CCEEFF"/>
          </w:tcPr>
          <w:p>
            <w:pPr>
              <w:spacing w:after="0"/>
              <w:rPr>
                <w:sz w:val="5"/>
                <w:szCs w:val="5"/>
                <w:color w:val="auto"/>
              </w:rPr>
            </w:pPr>
          </w:p>
        </w:tc>
        <w:tc>
          <w:tcPr>
            <w:tcW w:w="340" w:type="dxa"/>
            <w:vAlign w:val="bottom"/>
            <w:shd w:val="clear" w:color="auto" w:fill="CCEEFF"/>
          </w:tcPr>
          <w:p>
            <w:pPr>
              <w:spacing w:after="0"/>
              <w:rPr>
                <w:sz w:val="5"/>
                <w:szCs w:val="5"/>
                <w:color w:val="auto"/>
              </w:rPr>
            </w:pPr>
          </w:p>
        </w:tc>
        <w:tc>
          <w:tcPr>
            <w:tcW w:w="1120" w:type="dxa"/>
            <w:vAlign w:val="bottom"/>
            <w:vMerge w:val="continue"/>
            <w:shd w:val="clear" w:color="auto" w:fill="CCEEFF"/>
          </w:tcPr>
          <w:p>
            <w:pPr>
              <w:spacing w:after="0"/>
              <w:rPr>
                <w:sz w:val="5"/>
                <w:szCs w:val="5"/>
                <w:color w:val="auto"/>
              </w:rPr>
            </w:pPr>
          </w:p>
        </w:tc>
        <w:tc>
          <w:tcPr>
            <w:tcW w:w="0" w:type="dxa"/>
            <w:vAlign w:val="bottom"/>
          </w:tcPr>
          <w:p>
            <w:pPr>
              <w:spacing w:after="0"/>
              <w:rPr>
                <w:sz w:val="1"/>
                <w:szCs w:val="1"/>
                <w:color w:val="auto"/>
              </w:rPr>
            </w:pPr>
          </w:p>
        </w:tc>
      </w:tr>
      <w:tr>
        <w:trPr>
          <w:trHeight w:val="204"/>
        </w:trPr>
        <w:tc>
          <w:tcPr>
            <w:tcW w:w="6740" w:type="dxa"/>
            <w:vAlign w:val="bottom"/>
            <w:gridSpan w:val="2"/>
          </w:tcPr>
          <w:p>
            <w:pPr>
              <w:ind w:left="380"/>
              <w:spacing w:after="0"/>
              <w:rPr>
                <w:sz w:val="20"/>
                <w:szCs w:val="20"/>
                <w:color w:val="auto"/>
              </w:rPr>
            </w:pPr>
            <w:r>
              <w:rPr>
                <w:rFonts w:ascii="Arial" w:cs="Arial" w:eastAsia="Arial" w:hAnsi="Arial"/>
                <w:sz w:val="14"/>
                <w:szCs w:val="14"/>
                <w:color w:val="auto"/>
              </w:rPr>
              <w:t>Increase (decrease) in loyalty program liability</w:t>
            </w:r>
          </w:p>
        </w:tc>
        <w:tc>
          <w:tcPr>
            <w:tcW w:w="360" w:type="dxa"/>
            <w:vAlign w:val="bottom"/>
          </w:tcPr>
          <w:p>
            <w:pPr>
              <w:spacing w:after="0"/>
              <w:rPr>
                <w:sz w:val="17"/>
                <w:szCs w:val="17"/>
                <w:color w:val="auto"/>
              </w:rPr>
            </w:pPr>
          </w:p>
        </w:tc>
        <w:tc>
          <w:tcPr>
            <w:tcW w:w="1100" w:type="dxa"/>
            <w:vAlign w:val="bottom"/>
            <w:vMerge w:val="restart"/>
          </w:tcPr>
          <w:p>
            <w:pPr>
              <w:jc w:val="right"/>
              <w:ind w:right="8"/>
              <w:spacing w:after="0"/>
              <w:rPr>
                <w:sz w:val="20"/>
                <w:szCs w:val="20"/>
                <w:color w:val="auto"/>
              </w:rPr>
            </w:pPr>
            <w:r>
              <w:rPr>
                <w:rFonts w:ascii="Arial" w:cs="Arial" w:eastAsia="Arial" w:hAnsi="Arial"/>
                <w:sz w:val="14"/>
                <w:szCs w:val="14"/>
                <w:color w:val="auto"/>
              </w:rPr>
              <w:t>76</w:t>
            </w:r>
          </w:p>
        </w:tc>
        <w:tc>
          <w:tcPr>
            <w:tcW w:w="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140" w:type="dxa"/>
            <w:vAlign w:val="bottom"/>
            <w:vMerge w:val="restart"/>
          </w:tcPr>
          <w:p>
            <w:pPr>
              <w:jc w:val="right"/>
              <w:spacing w:after="0"/>
              <w:rPr>
                <w:sz w:val="20"/>
                <w:szCs w:val="20"/>
                <w:color w:val="auto"/>
              </w:rPr>
            </w:pPr>
            <w:r>
              <w:rPr>
                <w:rFonts w:ascii="Arial" w:cs="Arial" w:eastAsia="Arial" w:hAnsi="Arial"/>
                <w:sz w:val="14"/>
                <w:szCs w:val="14"/>
                <w:color w:val="auto"/>
              </w:rPr>
              <w:t>(283)</w:t>
            </w:r>
          </w:p>
        </w:tc>
        <w:tc>
          <w:tcPr>
            <w:tcW w:w="1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120" w:type="dxa"/>
            <w:vAlign w:val="bottom"/>
            <w:vMerge w:val="restart"/>
          </w:tcPr>
          <w:p>
            <w:pPr>
              <w:jc w:val="right"/>
              <w:spacing w:after="0"/>
              <w:rPr>
                <w:sz w:val="20"/>
                <w:szCs w:val="20"/>
                <w:color w:val="auto"/>
              </w:rPr>
            </w:pPr>
            <w:r>
              <w:rPr>
                <w:rFonts w:ascii="Arial" w:cs="Arial" w:eastAsia="Arial" w:hAnsi="Arial"/>
                <w:sz w:val="14"/>
                <w:szCs w:val="14"/>
                <w:color w:val="auto"/>
              </w:rPr>
              <w:t>(308)</w:t>
            </w:r>
          </w:p>
        </w:tc>
        <w:tc>
          <w:tcPr>
            <w:tcW w:w="0" w:type="dxa"/>
            <w:vAlign w:val="bottom"/>
          </w:tcPr>
          <w:p>
            <w:pPr>
              <w:spacing w:after="0"/>
              <w:rPr>
                <w:sz w:val="1"/>
                <w:szCs w:val="1"/>
                <w:color w:val="auto"/>
              </w:rPr>
            </w:pPr>
          </w:p>
        </w:tc>
      </w:tr>
      <w:tr>
        <w:trPr>
          <w:trHeight w:val="60"/>
        </w:trPr>
        <w:tc>
          <w:tcPr>
            <w:tcW w:w="2120" w:type="dxa"/>
            <w:vAlign w:val="bottom"/>
          </w:tcPr>
          <w:p>
            <w:pPr>
              <w:spacing w:after="0"/>
              <w:rPr>
                <w:sz w:val="5"/>
                <w:szCs w:val="5"/>
                <w:color w:val="auto"/>
              </w:rPr>
            </w:pPr>
          </w:p>
        </w:tc>
        <w:tc>
          <w:tcPr>
            <w:tcW w:w="4620" w:type="dxa"/>
            <w:vAlign w:val="bottom"/>
          </w:tcPr>
          <w:p>
            <w:pPr>
              <w:spacing w:after="0"/>
              <w:rPr>
                <w:sz w:val="5"/>
                <w:szCs w:val="5"/>
                <w:color w:val="auto"/>
              </w:rPr>
            </w:pPr>
          </w:p>
        </w:tc>
        <w:tc>
          <w:tcPr>
            <w:tcW w:w="360" w:type="dxa"/>
            <w:vAlign w:val="bottom"/>
          </w:tcPr>
          <w:p>
            <w:pPr>
              <w:spacing w:after="0"/>
              <w:rPr>
                <w:sz w:val="5"/>
                <w:szCs w:val="5"/>
                <w:color w:val="auto"/>
              </w:rPr>
            </w:pPr>
          </w:p>
        </w:tc>
        <w:tc>
          <w:tcPr>
            <w:tcW w:w="1100" w:type="dxa"/>
            <w:vAlign w:val="bottom"/>
            <w:vMerge w:val="continue"/>
          </w:tcPr>
          <w:p>
            <w:pPr>
              <w:spacing w:after="0"/>
              <w:rPr>
                <w:sz w:val="5"/>
                <w:szCs w:val="5"/>
                <w:color w:val="auto"/>
              </w:rPr>
            </w:pPr>
          </w:p>
        </w:tc>
        <w:tc>
          <w:tcPr>
            <w:tcW w:w="40" w:type="dxa"/>
            <w:vAlign w:val="bottom"/>
          </w:tcPr>
          <w:p>
            <w:pPr>
              <w:spacing w:after="0"/>
              <w:rPr>
                <w:sz w:val="5"/>
                <w:szCs w:val="5"/>
                <w:color w:val="auto"/>
              </w:rPr>
            </w:pPr>
          </w:p>
        </w:tc>
        <w:tc>
          <w:tcPr>
            <w:tcW w:w="120" w:type="dxa"/>
            <w:vAlign w:val="bottom"/>
          </w:tcPr>
          <w:p>
            <w:pPr>
              <w:spacing w:after="0"/>
              <w:rPr>
                <w:sz w:val="5"/>
                <w:szCs w:val="5"/>
                <w:color w:val="auto"/>
              </w:rPr>
            </w:pPr>
          </w:p>
        </w:tc>
        <w:tc>
          <w:tcPr>
            <w:tcW w:w="360" w:type="dxa"/>
            <w:vAlign w:val="bottom"/>
          </w:tcPr>
          <w:p>
            <w:pPr>
              <w:spacing w:after="0"/>
              <w:rPr>
                <w:sz w:val="5"/>
                <w:szCs w:val="5"/>
                <w:color w:val="auto"/>
              </w:rPr>
            </w:pPr>
          </w:p>
        </w:tc>
        <w:tc>
          <w:tcPr>
            <w:tcW w:w="1140" w:type="dxa"/>
            <w:vAlign w:val="bottom"/>
            <w:vMerge w:val="continue"/>
          </w:tcPr>
          <w:p>
            <w:pPr>
              <w:spacing w:after="0"/>
              <w:rPr>
                <w:sz w:val="5"/>
                <w:szCs w:val="5"/>
                <w:color w:val="auto"/>
              </w:rPr>
            </w:pPr>
          </w:p>
        </w:tc>
        <w:tc>
          <w:tcPr>
            <w:tcW w:w="100" w:type="dxa"/>
            <w:vAlign w:val="bottom"/>
          </w:tcPr>
          <w:p>
            <w:pPr>
              <w:spacing w:after="0"/>
              <w:rPr>
                <w:sz w:val="5"/>
                <w:szCs w:val="5"/>
                <w:color w:val="auto"/>
              </w:rPr>
            </w:pPr>
          </w:p>
        </w:tc>
        <w:tc>
          <w:tcPr>
            <w:tcW w:w="340" w:type="dxa"/>
            <w:vAlign w:val="bottom"/>
          </w:tcPr>
          <w:p>
            <w:pPr>
              <w:spacing w:after="0"/>
              <w:rPr>
                <w:sz w:val="5"/>
                <w:szCs w:val="5"/>
                <w:color w:val="auto"/>
              </w:rPr>
            </w:pPr>
          </w:p>
        </w:tc>
        <w:tc>
          <w:tcPr>
            <w:tcW w:w="112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r>
        <w:trPr>
          <w:trHeight w:val="210"/>
        </w:trPr>
        <w:tc>
          <w:tcPr>
            <w:tcW w:w="6740" w:type="dxa"/>
            <w:vAlign w:val="bottom"/>
            <w:gridSpan w:val="2"/>
            <w:shd w:val="clear" w:color="auto" w:fill="CCEEFF"/>
          </w:tcPr>
          <w:p>
            <w:pPr>
              <w:ind w:left="380"/>
              <w:spacing w:after="0"/>
              <w:rPr>
                <w:sz w:val="20"/>
                <w:szCs w:val="20"/>
                <w:color w:val="auto"/>
              </w:rPr>
            </w:pPr>
            <w:r>
              <w:rPr>
                <w:rFonts w:ascii="Arial" w:cs="Arial" w:eastAsia="Arial" w:hAnsi="Arial"/>
                <w:sz w:val="14"/>
                <w:szCs w:val="14"/>
                <w:color w:val="auto"/>
              </w:rPr>
              <w:t>Contributions to pension plans</w:t>
            </w:r>
          </w:p>
        </w:tc>
        <w:tc>
          <w:tcPr>
            <w:tcW w:w="360" w:type="dxa"/>
            <w:vAlign w:val="bottom"/>
            <w:shd w:val="clear" w:color="auto" w:fill="CCEEFF"/>
          </w:tcPr>
          <w:p>
            <w:pPr>
              <w:spacing w:after="0"/>
              <w:rPr>
                <w:sz w:val="18"/>
                <w:szCs w:val="18"/>
                <w:color w:val="auto"/>
              </w:rPr>
            </w:pPr>
          </w:p>
        </w:tc>
        <w:tc>
          <w:tcPr>
            <w:tcW w:w="110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(1,230)</w:t>
            </w:r>
          </w:p>
        </w:tc>
        <w:tc>
          <w:tcPr>
            <w:tcW w:w="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14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(475)</w:t>
            </w:r>
          </w:p>
        </w:tc>
        <w:tc>
          <w:tcPr>
            <w:tcW w:w="1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12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(286)</w:t>
            </w:r>
          </w:p>
        </w:tc>
        <w:tc>
          <w:tcPr>
            <w:tcW w:w="0" w:type="dxa"/>
            <w:vAlign w:val="bottom"/>
          </w:tcPr>
          <w:p>
            <w:pPr>
              <w:spacing w:after="0"/>
              <w:rPr>
                <w:sz w:val="1"/>
                <w:szCs w:val="1"/>
                <w:color w:val="auto"/>
              </w:rPr>
            </w:pPr>
          </w:p>
        </w:tc>
      </w:tr>
      <w:tr>
        <w:trPr>
          <w:trHeight w:val="66"/>
        </w:trPr>
        <w:tc>
          <w:tcPr>
            <w:tcW w:w="2120" w:type="dxa"/>
            <w:vAlign w:val="bottom"/>
            <w:shd w:val="clear" w:color="auto" w:fill="CCEEFF"/>
          </w:tcPr>
          <w:p>
            <w:pPr>
              <w:spacing w:after="0"/>
              <w:rPr>
                <w:sz w:val="5"/>
                <w:szCs w:val="5"/>
                <w:color w:val="auto"/>
              </w:rPr>
            </w:pPr>
          </w:p>
        </w:tc>
        <w:tc>
          <w:tcPr>
            <w:tcW w:w="4620" w:type="dxa"/>
            <w:vAlign w:val="bottom"/>
            <w:shd w:val="clear" w:color="auto" w:fill="CCEEFF"/>
          </w:tcPr>
          <w:p>
            <w:pPr>
              <w:spacing w:after="0"/>
              <w:rPr>
                <w:sz w:val="5"/>
                <w:szCs w:val="5"/>
                <w:color w:val="auto"/>
              </w:rPr>
            </w:pPr>
          </w:p>
        </w:tc>
        <w:tc>
          <w:tcPr>
            <w:tcW w:w="360" w:type="dxa"/>
            <w:vAlign w:val="bottom"/>
            <w:shd w:val="clear" w:color="auto" w:fill="CCEEFF"/>
          </w:tcPr>
          <w:p>
            <w:pPr>
              <w:spacing w:after="0"/>
              <w:rPr>
                <w:sz w:val="5"/>
                <w:szCs w:val="5"/>
                <w:color w:val="auto"/>
              </w:rPr>
            </w:pPr>
          </w:p>
        </w:tc>
        <w:tc>
          <w:tcPr>
            <w:tcW w:w="1100" w:type="dxa"/>
            <w:vAlign w:val="bottom"/>
            <w:vMerge w:val="continue"/>
            <w:shd w:val="clear" w:color="auto" w:fill="CCEEFF"/>
          </w:tcPr>
          <w:p>
            <w:pPr>
              <w:spacing w:after="0"/>
              <w:rPr>
                <w:sz w:val="5"/>
                <w:szCs w:val="5"/>
                <w:color w:val="auto"/>
              </w:rPr>
            </w:pPr>
          </w:p>
        </w:tc>
        <w:tc>
          <w:tcPr>
            <w:tcW w:w="40" w:type="dxa"/>
            <w:vAlign w:val="bottom"/>
            <w:shd w:val="clear" w:color="auto" w:fill="CCEEFF"/>
          </w:tcPr>
          <w:p>
            <w:pPr>
              <w:spacing w:after="0"/>
              <w:rPr>
                <w:sz w:val="5"/>
                <w:szCs w:val="5"/>
                <w:color w:val="auto"/>
              </w:rPr>
            </w:pPr>
          </w:p>
        </w:tc>
        <w:tc>
          <w:tcPr>
            <w:tcW w:w="120" w:type="dxa"/>
            <w:vAlign w:val="bottom"/>
            <w:shd w:val="clear" w:color="auto" w:fill="CCEEFF"/>
          </w:tcPr>
          <w:p>
            <w:pPr>
              <w:spacing w:after="0"/>
              <w:rPr>
                <w:sz w:val="5"/>
                <w:szCs w:val="5"/>
                <w:color w:val="auto"/>
              </w:rPr>
            </w:pPr>
          </w:p>
        </w:tc>
        <w:tc>
          <w:tcPr>
            <w:tcW w:w="360" w:type="dxa"/>
            <w:vAlign w:val="bottom"/>
            <w:shd w:val="clear" w:color="auto" w:fill="CCEEFF"/>
          </w:tcPr>
          <w:p>
            <w:pPr>
              <w:spacing w:after="0"/>
              <w:rPr>
                <w:sz w:val="5"/>
                <w:szCs w:val="5"/>
                <w:color w:val="auto"/>
              </w:rPr>
            </w:pPr>
          </w:p>
        </w:tc>
        <w:tc>
          <w:tcPr>
            <w:tcW w:w="1140" w:type="dxa"/>
            <w:vAlign w:val="bottom"/>
            <w:vMerge w:val="continue"/>
            <w:shd w:val="clear" w:color="auto" w:fill="CCEEFF"/>
          </w:tcPr>
          <w:p>
            <w:pPr>
              <w:spacing w:after="0"/>
              <w:rPr>
                <w:sz w:val="5"/>
                <w:szCs w:val="5"/>
                <w:color w:val="auto"/>
              </w:rPr>
            </w:pPr>
          </w:p>
        </w:tc>
        <w:tc>
          <w:tcPr>
            <w:tcW w:w="100" w:type="dxa"/>
            <w:vAlign w:val="bottom"/>
            <w:shd w:val="clear" w:color="auto" w:fill="CCEEFF"/>
          </w:tcPr>
          <w:p>
            <w:pPr>
              <w:spacing w:after="0"/>
              <w:rPr>
                <w:sz w:val="5"/>
                <w:szCs w:val="5"/>
                <w:color w:val="auto"/>
              </w:rPr>
            </w:pPr>
          </w:p>
        </w:tc>
        <w:tc>
          <w:tcPr>
            <w:tcW w:w="340" w:type="dxa"/>
            <w:vAlign w:val="bottom"/>
            <w:shd w:val="clear" w:color="auto" w:fill="CCEEFF"/>
          </w:tcPr>
          <w:p>
            <w:pPr>
              <w:spacing w:after="0"/>
              <w:rPr>
                <w:sz w:val="5"/>
                <w:szCs w:val="5"/>
                <w:color w:val="auto"/>
              </w:rPr>
            </w:pPr>
          </w:p>
        </w:tc>
        <w:tc>
          <w:tcPr>
            <w:tcW w:w="1120" w:type="dxa"/>
            <w:vAlign w:val="bottom"/>
            <w:vMerge w:val="continue"/>
            <w:shd w:val="clear" w:color="auto" w:fill="CCEEFF"/>
          </w:tcPr>
          <w:p>
            <w:pPr>
              <w:spacing w:after="0"/>
              <w:rPr>
                <w:sz w:val="5"/>
                <w:szCs w:val="5"/>
                <w:color w:val="auto"/>
              </w:rPr>
            </w:pPr>
          </w:p>
        </w:tc>
        <w:tc>
          <w:tcPr>
            <w:tcW w:w="0" w:type="dxa"/>
            <w:vAlign w:val="bottom"/>
          </w:tcPr>
          <w:p>
            <w:pPr>
              <w:spacing w:after="0"/>
              <w:rPr>
                <w:sz w:val="1"/>
                <w:szCs w:val="1"/>
                <w:color w:val="auto"/>
              </w:rPr>
            </w:pPr>
          </w:p>
        </w:tc>
      </w:tr>
      <w:tr>
        <w:trPr>
          <w:trHeight w:val="204"/>
        </w:trPr>
        <w:tc>
          <w:tcPr>
            <w:tcW w:w="6740" w:type="dxa"/>
            <w:vAlign w:val="bottom"/>
            <w:gridSpan w:val="2"/>
          </w:tcPr>
          <w:p>
            <w:pPr>
              <w:ind w:left="380"/>
              <w:spacing w:after="0"/>
              <w:rPr>
                <w:sz w:val="20"/>
                <w:szCs w:val="20"/>
                <w:color w:val="auto"/>
              </w:rPr>
            </w:pPr>
            <w:r>
              <w:rPr>
                <w:rFonts w:ascii="Arial" w:cs="Arial" w:eastAsia="Arial" w:hAnsi="Arial"/>
                <w:sz w:val="14"/>
                <w:szCs w:val="14"/>
                <w:color w:val="auto"/>
              </w:rPr>
              <w:t>Increase (decrease) in other liabilities</w:t>
            </w:r>
          </w:p>
        </w:tc>
        <w:tc>
          <w:tcPr>
            <w:tcW w:w="360" w:type="dxa"/>
            <w:vAlign w:val="bottom"/>
          </w:tcPr>
          <w:p>
            <w:pPr>
              <w:spacing w:after="0"/>
              <w:rPr>
                <w:sz w:val="17"/>
                <w:szCs w:val="17"/>
                <w:color w:val="auto"/>
              </w:rPr>
            </w:pPr>
          </w:p>
        </w:tc>
        <w:tc>
          <w:tcPr>
            <w:tcW w:w="1100" w:type="dxa"/>
            <w:vAlign w:val="bottom"/>
            <w:vMerge w:val="restart"/>
          </w:tcPr>
          <w:p>
            <w:pPr>
              <w:jc w:val="right"/>
              <w:spacing w:after="0"/>
              <w:rPr>
                <w:sz w:val="20"/>
                <w:szCs w:val="20"/>
                <w:color w:val="auto"/>
              </w:rPr>
            </w:pPr>
            <w:r>
              <w:rPr>
                <w:rFonts w:ascii="Arial" w:cs="Arial" w:eastAsia="Arial" w:hAnsi="Arial"/>
                <w:sz w:val="14"/>
                <w:szCs w:val="14"/>
                <w:color w:val="auto"/>
              </w:rPr>
              <w:t>(209)</w:t>
            </w:r>
          </w:p>
        </w:tc>
        <w:tc>
          <w:tcPr>
            <w:tcW w:w="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140" w:type="dxa"/>
            <w:vAlign w:val="bottom"/>
            <w:vMerge w:val="restart"/>
          </w:tcPr>
          <w:p>
            <w:pPr>
              <w:jc w:val="right"/>
              <w:ind w:right="48"/>
              <w:spacing w:after="0"/>
              <w:rPr>
                <w:sz w:val="20"/>
                <w:szCs w:val="20"/>
                <w:color w:val="auto"/>
              </w:rPr>
            </w:pPr>
            <w:r>
              <w:rPr>
                <w:rFonts w:ascii="Arial" w:cs="Arial" w:eastAsia="Arial" w:hAnsi="Arial"/>
                <w:sz w:val="14"/>
                <w:szCs w:val="14"/>
                <w:color w:val="auto"/>
              </w:rPr>
              <w:t>210</w:t>
            </w:r>
          </w:p>
        </w:tc>
        <w:tc>
          <w:tcPr>
            <w:tcW w:w="1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120" w:type="dxa"/>
            <w:vAlign w:val="bottom"/>
            <w:vMerge w:val="restart"/>
          </w:tcPr>
          <w:p>
            <w:pPr>
              <w:jc w:val="right"/>
              <w:ind w:right="28"/>
              <w:spacing w:after="0"/>
              <w:rPr>
                <w:sz w:val="20"/>
                <w:szCs w:val="20"/>
                <w:color w:val="auto"/>
              </w:rPr>
            </w:pPr>
            <w:r>
              <w:rPr>
                <w:rFonts w:ascii="Arial" w:cs="Arial" w:eastAsia="Arial" w:hAnsi="Arial"/>
                <w:sz w:val="14"/>
                <w:szCs w:val="14"/>
                <w:color w:val="auto"/>
              </w:rPr>
              <w:t>132</w:t>
            </w:r>
          </w:p>
        </w:tc>
        <w:tc>
          <w:tcPr>
            <w:tcW w:w="0" w:type="dxa"/>
            <w:vAlign w:val="bottom"/>
          </w:tcPr>
          <w:p>
            <w:pPr>
              <w:spacing w:after="0"/>
              <w:rPr>
                <w:sz w:val="1"/>
                <w:szCs w:val="1"/>
                <w:color w:val="auto"/>
              </w:rPr>
            </w:pPr>
          </w:p>
        </w:tc>
      </w:tr>
      <w:tr>
        <w:trPr>
          <w:trHeight w:val="60"/>
        </w:trPr>
        <w:tc>
          <w:tcPr>
            <w:tcW w:w="2120" w:type="dxa"/>
            <w:vAlign w:val="bottom"/>
            <w:tcBorders>
              <w:bottom w:val="single" w:sz="8" w:color="CCEEFF"/>
            </w:tcBorders>
          </w:tcPr>
          <w:p>
            <w:pPr>
              <w:spacing w:after="0"/>
              <w:rPr>
                <w:sz w:val="5"/>
                <w:szCs w:val="5"/>
                <w:color w:val="auto"/>
              </w:rPr>
            </w:pPr>
          </w:p>
        </w:tc>
        <w:tc>
          <w:tcPr>
            <w:tcW w:w="4620" w:type="dxa"/>
            <w:vAlign w:val="bottom"/>
            <w:tcBorders>
              <w:bottom w:val="single" w:sz="8" w:color="CCEEFF"/>
            </w:tcBorders>
          </w:tcPr>
          <w:p>
            <w:pPr>
              <w:spacing w:after="0"/>
              <w:rPr>
                <w:sz w:val="5"/>
                <w:szCs w:val="5"/>
                <w:color w:val="auto"/>
              </w:rPr>
            </w:pPr>
          </w:p>
        </w:tc>
        <w:tc>
          <w:tcPr>
            <w:tcW w:w="360" w:type="dxa"/>
            <w:vAlign w:val="bottom"/>
            <w:tcBorders>
              <w:bottom w:val="single" w:sz="8" w:color="auto"/>
            </w:tcBorders>
          </w:tcPr>
          <w:p>
            <w:pPr>
              <w:spacing w:after="0"/>
              <w:rPr>
                <w:sz w:val="5"/>
                <w:szCs w:val="5"/>
                <w:color w:val="auto"/>
              </w:rPr>
            </w:pPr>
          </w:p>
        </w:tc>
        <w:tc>
          <w:tcPr>
            <w:tcW w:w="1100" w:type="dxa"/>
            <w:vAlign w:val="bottom"/>
            <w:tcBorders>
              <w:bottom w:val="single" w:sz="8" w:color="auto"/>
            </w:tcBorders>
            <w:vMerge w:val="continue"/>
          </w:tcPr>
          <w:p>
            <w:pPr>
              <w:spacing w:after="0"/>
              <w:rPr>
                <w:sz w:val="5"/>
                <w:szCs w:val="5"/>
                <w:color w:val="auto"/>
              </w:rPr>
            </w:pPr>
          </w:p>
        </w:tc>
        <w:tc>
          <w:tcPr>
            <w:tcW w:w="40" w:type="dxa"/>
            <w:vAlign w:val="bottom"/>
            <w:tcBorders>
              <w:bottom w:val="single" w:sz="8" w:color="auto"/>
            </w:tcBorders>
          </w:tcPr>
          <w:p>
            <w:pPr>
              <w:spacing w:after="0"/>
              <w:rPr>
                <w:sz w:val="5"/>
                <w:szCs w:val="5"/>
                <w:color w:val="auto"/>
              </w:rPr>
            </w:pPr>
          </w:p>
        </w:tc>
        <w:tc>
          <w:tcPr>
            <w:tcW w:w="120" w:type="dxa"/>
            <w:vAlign w:val="bottom"/>
            <w:tcBorders>
              <w:bottom w:val="single" w:sz="8" w:color="CCEEFF"/>
            </w:tcBorders>
          </w:tcPr>
          <w:p>
            <w:pPr>
              <w:spacing w:after="0"/>
              <w:rPr>
                <w:sz w:val="5"/>
                <w:szCs w:val="5"/>
                <w:color w:val="auto"/>
              </w:rPr>
            </w:pPr>
          </w:p>
        </w:tc>
        <w:tc>
          <w:tcPr>
            <w:tcW w:w="360" w:type="dxa"/>
            <w:vAlign w:val="bottom"/>
            <w:tcBorders>
              <w:bottom w:val="single" w:sz="8" w:color="auto"/>
            </w:tcBorders>
          </w:tcPr>
          <w:p>
            <w:pPr>
              <w:spacing w:after="0"/>
              <w:rPr>
                <w:sz w:val="5"/>
                <w:szCs w:val="5"/>
                <w:color w:val="auto"/>
              </w:rPr>
            </w:pPr>
          </w:p>
        </w:tc>
        <w:tc>
          <w:tcPr>
            <w:tcW w:w="1140" w:type="dxa"/>
            <w:vAlign w:val="bottom"/>
            <w:tcBorders>
              <w:bottom w:val="single" w:sz="8" w:color="auto"/>
            </w:tcBorders>
            <w:vMerge w:val="continue"/>
          </w:tcPr>
          <w:p>
            <w:pPr>
              <w:spacing w:after="0"/>
              <w:rPr>
                <w:sz w:val="5"/>
                <w:szCs w:val="5"/>
                <w:color w:val="auto"/>
              </w:rPr>
            </w:pPr>
          </w:p>
        </w:tc>
        <w:tc>
          <w:tcPr>
            <w:tcW w:w="100" w:type="dxa"/>
            <w:vAlign w:val="bottom"/>
            <w:tcBorders>
              <w:bottom w:val="single" w:sz="8" w:color="CCEEFF"/>
            </w:tcBorders>
          </w:tcPr>
          <w:p>
            <w:pPr>
              <w:spacing w:after="0"/>
              <w:rPr>
                <w:sz w:val="5"/>
                <w:szCs w:val="5"/>
                <w:color w:val="auto"/>
              </w:rPr>
            </w:pPr>
          </w:p>
        </w:tc>
        <w:tc>
          <w:tcPr>
            <w:tcW w:w="340" w:type="dxa"/>
            <w:vAlign w:val="bottom"/>
            <w:tcBorders>
              <w:bottom w:val="single" w:sz="8" w:color="auto"/>
            </w:tcBorders>
          </w:tcPr>
          <w:p>
            <w:pPr>
              <w:spacing w:after="0"/>
              <w:rPr>
                <w:sz w:val="5"/>
                <w:szCs w:val="5"/>
                <w:color w:val="auto"/>
              </w:rPr>
            </w:pPr>
          </w:p>
        </w:tc>
        <w:tc>
          <w:tcPr>
            <w:tcW w:w="1120" w:type="dxa"/>
            <w:vAlign w:val="bottom"/>
            <w:tcBorders>
              <w:bottom w:val="single" w:sz="8" w:color="auto"/>
            </w:tcBorders>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90"/>
        </w:trPr>
        <w:tc>
          <w:tcPr>
            <w:tcW w:w="6740" w:type="dxa"/>
            <w:vAlign w:val="bottom"/>
            <w:gridSpan w:val="2"/>
            <w:shd w:val="clear" w:color="auto" w:fill="CCEEFF"/>
          </w:tcPr>
          <w:p>
            <w:pPr>
              <w:ind w:left="500"/>
              <w:spacing w:after="0"/>
              <w:rPr>
                <w:sz w:val="20"/>
                <w:szCs w:val="20"/>
                <w:color w:val="auto"/>
              </w:rPr>
            </w:pPr>
            <w:r>
              <w:rPr>
                <w:rFonts w:ascii="Arial" w:cs="Arial" w:eastAsia="Arial" w:hAnsi="Arial"/>
                <w:sz w:val="14"/>
                <w:szCs w:val="14"/>
                <w:color w:val="auto"/>
              </w:rPr>
              <w:t>Net cash provided by operating activities</w:t>
            </w:r>
          </w:p>
        </w:tc>
        <w:tc>
          <w:tcPr>
            <w:tcW w:w="360" w:type="dxa"/>
            <w:vAlign w:val="bottom"/>
            <w:shd w:val="clear" w:color="auto" w:fill="CCEEFF"/>
          </w:tcPr>
          <w:p>
            <w:pPr>
              <w:spacing w:after="0"/>
              <w:rPr>
                <w:sz w:val="16"/>
                <w:szCs w:val="16"/>
                <w:color w:val="auto"/>
              </w:rPr>
            </w:pPr>
          </w:p>
        </w:tc>
        <w:tc>
          <w:tcPr>
            <w:tcW w:w="1100" w:type="dxa"/>
            <w:vAlign w:val="bottom"/>
            <w:vMerge w:val="restart"/>
            <w:shd w:val="clear" w:color="auto" w:fill="CCEEFF"/>
          </w:tcPr>
          <w:p>
            <w:pPr>
              <w:jc w:val="right"/>
              <w:ind w:right="8"/>
              <w:spacing w:after="0"/>
              <w:rPr>
                <w:sz w:val="20"/>
                <w:szCs w:val="20"/>
                <w:color w:val="auto"/>
              </w:rPr>
            </w:pPr>
            <w:r>
              <w:rPr>
                <w:rFonts w:ascii="Arial" w:cs="Arial" w:eastAsia="Arial" w:hAnsi="Arial"/>
                <w:sz w:val="14"/>
                <w:szCs w:val="14"/>
                <w:color w:val="auto"/>
              </w:rPr>
              <w:t>3,815</w:t>
            </w:r>
          </w:p>
        </w:tc>
        <w:tc>
          <w:tcPr>
            <w:tcW w:w="4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360" w:type="dxa"/>
            <w:vAlign w:val="bottom"/>
            <w:shd w:val="clear" w:color="auto" w:fill="CCEEFF"/>
          </w:tcPr>
          <w:p>
            <w:pPr>
              <w:spacing w:after="0"/>
              <w:rPr>
                <w:sz w:val="16"/>
                <w:szCs w:val="16"/>
                <w:color w:val="auto"/>
              </w:rPr>
            </w:pPr>
          </w:p>
        </w:tc>
        <w:tc>
          <w:tcPr>
            <w:tcW w:w="1140" w:type="dxa"/>
            <w:vAlign w:val="bottom"/>
            <w:vMerge w:val="restart"/>
            <w:shd w:val="clear" w:color="auto" w:fill="CCEEFF"/>
          </w:tcPr>
          <w:p>
            <w:pPr>
              <w:jc w:val="right"/>
              <w:ind w:right="48"/>
              <w:spacing w:after="0"/>
              <w:rPr>
                <w:sz w:val="20"/>
                <w:szCs w:val="20"/>
                <w:color w:val="auto"/>
              </w:rPr>
            </w:pPr>
            <w:r>
              <w:rPr>
                <w:rFonts w:ascii="Arial" w:cs="Arial" w:eastAsia="Arial" w:hAnsi="Arial"/>
                <w:sz w:val="14"/>
                <w:szCs w:val="14"/>
                <w:color w:val="auto"/>
              </w:rPr>
              <w:t>3,533</w:t>
            </w:r>
          </w:p>
        </w:tc>
        <w:tc>
          <w:tcPr>
            <w:tcW w:w="100" w:type="dxa"/>
            <w:vAlign w:val="bottom"/>
            <w:shd w:val="clear" w:color="auto" w:fill="CCEEFF"/>
          </w:tcPr>
          <w:p>
            <w:pPr>
              <w:spacing w:after="0"/>
              <w:rPr>
                <w:sz w:val="16"/>
                <w:szCs w:val="16"/>
                <w:color w:val="auto"/>
              </w:rPr>
            </w:pPr>
          </w:p>
        </w:tc>
        <w:tc>
          <w:tcPr>
            <w:tcW w:w="340" w:type="dxa"/>
            <w:vAlign w:val="bottom"/>
            <w:shd w:val="clear" w:color="auto" w:fill="CCEEFF"/>
          </w:tcPr>
          <w:p>
            <w:pPr>
              <w:spacing w:after="0"/>
              <w:rPr>
                <w:sz w:val="16"/>
                <w:szCs w:val="16"/>
                <w:color w:val="auto"/>
              </w:rPr>
            </w:pPr>
          </w:p>
        </w:tc>
        <w:tc>
          <w:tcPr>
            <w:tcW w:w="1120" w:type="dxa"/>
            <w:vAlign w:val="bottom"/>
            <w:vMerge w:val="restart"/>
            <w:shd w:val="clear" w:color="auto" w:fill="CCEEFF"/>
          </w:tcPr>
          <w:p>
            <w:pPr>
              <w:jc w:val="right"/>
              <w:ind w:right="28"/>
              <w:spacing w:after="0"/>
              <w:rPr>
                <w:sz w:val="20"/>
                <w:szCs w:val="20"/>
                <w:color w:val="auto"/>
              </w:rPr>
            </w:pPr>
            <w:r>
              <w:rPr>
                <w:rFonts w:ascii="Arial" w:cs="Arial" w:eastAsia="Arial" w:hAnsi="Arial"/>
                <w:sz w:val="14"/>
                <w:szCs w:val="14"/>
                <w:color w:val="auto"/>
              </w:rPr>
              <w:t>4,744</w:t>
            </w:r>
          </w:p>
        </w:tc>
        <w:tc>
          <w:tcPr>
            <w:tcW w:w="0" w:type="dxa"/>
            <w:vAlign w:val="bottom"/>
          </w:tcPr>
          <w:p>
            <w:pPr>
              <w:spacing w:after="0"/>
              <w:rPr>
                <w:sz w:val="1"/>
                <w:szCs w:val="1"/>
                <w:color w:val="auto"/>
              </w:rPr>
            </w:pPr>
          </w:p>
        </w:tc>
      </w:tr>
      <w:tr>
        <w:trPr>
          <w:trHeight w:val="66"/>
        </w:trPr>
        <w:tc>
          <w:tcPr>
            <w:tcW w:w="2120" w:type="dxa"/>
            <w:vAlign w:val="bottom"/>
            <w:shd w:val="clear" w:color="auto" w:fill="CCEEFF"/>
          </w:tcPr>
          <w:p>
            <w:pPr>
              <w:spacing w:after="0"/>
              <w:rPr>
                <w:sz w:val="5"/>
                <w:szCs w:val="5"/>
                <w:color w:val="auto"/>
              </w:rPr>
            </w:pPr>
          </w:p>
        </w:tc>
        <w:tc>
          <w:tcPr>
            <w:tcW w:w="4620" w:type="dxa"/>
            <w:vAlign w:val="bottom"/>
            <w:shd w:val="clear" w:color="auto" w:fill="CCEEFF"/>
          </w:tcPr>
          <w:p>
            <w:pPr>
              <w:spacing w:after="0"/>
              <w:rPr>
                <w:sz w:val="5"/>
                <w:szCs w:val="5"/>
                <w:color w:val="auto"/>
              </w:rPr>
            </w:pPr>
          </w:p>
        </w:tc>
        <w:tc>
          <w:tcPr>
            <w:tcW w:w="360" w:type="dxa"/>
            <w:vAlign w:val="bottom"/>
            <w:shd w:val="clear" w:color="auto" w:fill="CCEEFF"/>
          </w:tcPr>
          <w:p>
            <w:pPr>
              <w:spacing w:after="0"/>
              <w:rPr>
                <w:sz w:val="5"/>
                <w:szCs w:val="5"/>
                <w:color w:val="auto"/>
              </w:rPr>
            </w:pPr>
          </w:p>
        </w:tc>
        <w:tc>
          <w:tcPr>
            <w:tcW w:w="1100" w:type="dxa"/>
            <w:vAlign w:val="bottom"/>
            <w:vMerge w:val="continue"/>
            <w:shd w:val="clear" w:color="auto" w:fill="CCEEFF"/>
          </w:tcPr>
          <w:p>
            <w:pPr>
              <w:spacing w:after="0"/>
              <w:rPr>
                <w:sz w:val="5"/>
                <w:szCs w:val="5"/>
                <w:color w:val="auto"/>
              </w:rPr>
            </w:pPr>
          </w:p>
        </w:tc>
        <w:tc>
          <w:tcPr>
            <w:tcW w:w="40" w:type="dxa"/>
            <w:vAlign w:val="bottom"/>
            <w:shd w:val="clear" w:color="auto" w:fill="CCEEFF"/>
          </w:tcPr>
          <w:p>
            <w:pPr>
              <w:spacing w:after="0"/>
              <w:rPr>
                <w:sz w:val="5"/>
                <w:szCs w:val="5"/>
                <w:color w:val="auto"/>
              </w:rPr>
            </w:pPr>
          </w:p>
        </w:tc>
        <w:tc>
          <w:tcPr>
            <w:tcW w:w="120" w:type="dxa"/>
            <w:vAlign w:val="bottom"/>
            <w:shd w:val="clear" w:color="auto" w:fill="CCEEFF"/>
          </w:tcPr>
          <w:p>
            <w:pPr>
              <w:spacing w:after="0"/>
              <w:rPr>
                <w:sz w:val="5"/>
                <w:szCs w:val="5"/>
                <w:color w:val="auto"/>
              </w:rPr>
            </w:pPr>
          </w:p>
        </w:tc>
        <w:tc>
          <w:tcPr>
            <w:tcW w:w="360" w:type="dxa"/>
            <w:vAlign w:val="bottom"/>
            <w:shd w:val="clear" w:color="auto" w:fill="CCEEFF"/>
          </w:tcPr>
          <w:p>
            <w:pPr>
              <w:spacing w:after="0"/>
              <w:rPr>
                <w:sz w:val="5"/>
                <w:szCs w:val="5"/>
                <w:color w:val="auto"/>
              </w:rPr>
            </w:pPr>
          </w:p>
        </w:tc>
        <w:tc>
          <w:tcPr>
            <w:tcW w:w="1140" w:type="dxa"/>
            <w:vAlign w:val="bottom"/>
            <w:vMerge w:val="continue"/>
            <w:shd w:val="clear" w:color="auto" w:fill="CCEEFF"/>
          </w:tcPr>
          <w:p>
            <w:pPr>
              <w:spacing w:after="0"/>
              <w:rPr>
                <w:sz w:val="5"/>
                <w:szCs w:val="5"/>
                <w:color w:val="auto"/>
              </w:rPr>
            </w:pPr>
          </w:p>
        </w:tc>
        <w:tc>
          <w:tcPr>
            <w:tcW w:w="100" w:type="dxa"/>
            <w:vAlign w:val="bottom"/>
            <w:shd w:val="clear" w:color="auto" w:fill="CCEEFF"/>
          </w:tcPr>
          <w:p>
            <w:pPr>
              <w:spacing w:after="0"/>
              <w:rPr>
                <w:sz w:val="5"/>
                <w:szCs w:val="5"/>
                <w:color w:val="auto"/>
              </w:rPr>
            </w:pPr>
          </w:p>
        </w:tc>
        <w:tc>
          <w:tcPr>
            <w:tcW w:w="340" w:type="dxa"/>
            <w:vAlign w:val="bottom"/>
            <w:shd w:val="clear" w:color="auto" w:fill="CCEEFF"/>
          </w:tcPr>
          <w:p>
            <w:pPr>
              <w:spacing w:after="0"/>
              <w:rPr>
                <w:sz w:val="5"/>
                <w:szCs w:val="5"/>
                <w:color w:val="auto"/>
              </w:rPr>
            </w:pPr>
          </w:p>
        </w:tc>
        <w:tc>
          <w:tcPr>
            <w:tcW w:w="1120" w:type="dxa"/>
            <w:vAlign w:val="bottom"/>
            <w:vMerge w:val="continue"/>
            <w:shd w:val="clear" w:color="auto" w:fill="CCEEFF"/>
          </w:tcPr>
          <w:p>
            <w:pPr>
              <w:spacing w:after="0"/>
              <w:rPr>
                <w:sz w:val="5"/>
                <w:szCs w:val="5"/>
                <w:color w:val="auto"/>
              </w:rPr>
            </w:pPr>
          </w:p>
        </w:tc>
        <w:tc>
          <w:tcPr>
            <w:tcW w:w="0" w:type="dxa"/>
            <w:vAlign w:val="bottom"/>
          </w:tcPr>
          <w:p>
            <w:pPr>
              <w:spacing w:after="0"/>
              <w:rPr>
                <w:sz w:val="1"/>
                <w:szCs w:val="1"/>
                <w:color w:val="auto"/>
              </w:rPr>
            </w:pPr>
          </w:p>
        </w:tc>
      </w:tr>
      <w:tr>
        <w:trPr>
          <w:trHeight w:val="204"/>
        </w:trPr>
        <w:tc>
          <w:tcPr>
            <w:tcW w:w="6740" w:type="dxa"/>
            <w:vAlign w:val="bottom"/>
            <w:gridSpan w:val="2"/>
          </w:tcPr>
          <w:p>
            <w:pPr>
              <w:ind w:left="40"/>
              <w:spacing w:after="0"/>
              <w:rPr>
                <w:sz w:val="20"/>
                <w:szCs w:val="20"/>
                <w:color w:val="auto"/>
              </w:rPr>
            </w:pPr>
            <w:r>
              <w:rPr>
                <w:rFonts w:ascii="Arial" w:cs="Arial" w:eastAsia="Arial" w:hAnsi="Arial"/>
                <w:sz w:val="14"/>
                <w:szCs w:val="14"/>
                <w:b w:val="1"/>
                <w:bCs w:val="1"/>
                <w:color w:val="auto"/>
              </w:rPr>
              <w:t>Cash flows from investing activities:</w:t>
            </w:r>
          </w:p>
        </w:tc>
        <w:tc>
          <w:tcPr>
            <w:tcW w:w="36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66"/>
        </w:trPr>
        <w:tc>
          <w:tcPr>
            <w:tcW w:w="2120" w:type="dxa"/>
            <w:vAlign w:val="bottom"/>
          </w:tcPr>
          <w:p>
            <w:pPr>
              <w:spacing w:after="0"/>
              <w:rPr>
                <w:sz w:val="5"/>
                <w:szCs w:val="5"/>
                <w:color w:val="auto"/>
              </w:rPr>
            </w:pPr>
          </w:p>
        </w:tc>
        <w:tc>
          <w:tcPr>
            <w:tcW w:w="4620" w:type="dxa"/>
            <w:vAlign w:val="bottom"/>
          </w:tcPr>
          <w:p>
            <w:pPr>
              <w:spacing w:after="0"/>
              <w:rPr>
                <w:sz w:val="5"/>
                <w:szCs w:val="5"/>
                <w:color w:val="auto"/>
              </w:rPr>
            </w:pPr>
          </w:p>
        </w:tc>
        <w:tc>
          <w:tcPr>
            <w:tcW w:w="360" w:type="dxa"/>
            <w:vAlign w:val="bottom"/>
          </w:tcPr>
          <w:p>
            <w:pPr>
              <w:spacing w:after="0"/>
              <w:rPr>
                <w:sz w:val="5"/>
                <w:szCs w:val="5"/>
                <w:color w:val="auto"/>
              </w:rPr>
            </w:pPr>
          </w:p>
        </w:tc>
        <w:tc>
          <w:tcPr>
            <w:tcW w:w="1100" w:type="dxa"/>
            <w:vAlign w:val="bottom"/>
          </w:tcPr>
          <w:p>
            <w:pPr>
              <w:spacing w:after="0"/>
              <w:rPr>
                <w:sz w:val="5"/>
                <w:szCs w:val="5"/>
                <w:color w:val="auto"/>
              </w:rPr>
            </w:pPr>
          </w:p>
        </w:tc>
        <w:tc>
          <w:tcPr>
            <w:tcW w:w="40" w:type="dxa"/>
            <w:vAlign w:val="bottom"/>
          </w:tcPr>
          <w:p>
            <w:pPr>
              <w:spacing w:after="0"/>
              <w:rPr>
                <w:sz w:val="5"/>
                <w:szCs w:val="5"/>
                <w:color w:val="auto"/>
              </w:rPr>
            </w:pPr>
          </w:p>
        </w:tc>
        <w:tc>
          <w:tcPr>
            <w:tcW w:w="120" w:type="dxa"/>
            <w:vAlign w:val="bottom"/>
          </w:tcPr>
          <w:p>
            <w:pPr>
              <w:spacing w:after="0"/>
              <w:rPr>
                <w:sz w:val="5"/>
                <w:szCs w:val="5"/>
                <w:color w:val="auto"/>
              </w:rPr>
            </w:pPr>
          </w:p>
        </w:tc>
        <w:tc>
          <w:tcPr>
            <w:tcW w:w="360" w:type="dxa"/>
            <w:vAlign w:val="bottom"/>
          </w:tcPr>
          <w:p>
            <w:pPr>
              <w:spacing w:after="0"/>
              <w:rPr>
                <w:sz w:val="5"/>
                <w:szCs w:val="5"/>
                <w:color w:val="auto"/>
              </w:rPr>
            </w:pPr>
          </w:p>
        </w:tc>
        <w:tc>
          <w:tcPr>
            <w:tcW w:w="1140" w:type="dxa"/>
            <w:vAlign w:val="bottom"/>
          </w:tcPr>
          <w:p>
            <w:pPr>
              <w:spacing w:after="0"/>
              <w:rPr>
                <w:sz w:val="5"/>
                <w:szCs w:val="5"/>
                <w:color w:val="auto"/>
              </w:rPr>
            </w:pPr>
          </w:p>
        </w:tc>
        <w:tc>
          <w:tcPr>
            <w:tcW w:w="100" w:type="dxa"/>
            <w:vAlign w:val="bottom"/>
          </w:tcPr>
          <w:p>
            <w:pPr>
              <w:spacing w:after="0"/>
              <w:rPr>
                <w:sz w:val="5"/>
                <w:szCs w:val="5"/>
                <w:color w:val="auto"/>
              </w:rPr>
            </w:pPr>
          </w:p>
        </w:tc>
        <w:tc>
          <w:tcPr>
            <w:tcW w:w="340" w:type="dxa"/>
            <w:vAlign w:val="bottom"/>
          </w:tcPr>
          <w:p>
            <w:pPr>
              <w:spacing w:after="0"/>
              <w:rPr>
                <w:sz w:val="5"/>
                <w:szCs w:val="5"/>
                <w:color w:val="auto"/>
              </w:rPr>
            </w:pPr>
          </w:p>
        </w:tc>
        <w:tc>
          <w:tcPr>
            <w:tcW w:w="11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04"/>
        </w:trPr>
        <w:tc>
          <w:tcPr>
            <w:tcW w:w="6740" w:type="dxa"/>
            <w:vAlign w:val="bottom"/>
            <w:gridSpan w:val="2"/>
            <w:shd w:val="clear" w:color="auto" w:fill="CCEEFF"/>
          </w:tcPr>
          <w:p>
            <w:pPr>
              <w:ind w:left="280"/>
              <w:spacing w:after="0"/>
              <w:rPr>
                <w:sz w:val="20"/>
                <w:szCs w:val="20"/>
                <w:color w:val="auto"/>
              </w:rPr>
            </w:pPr>
            <w:r>
              <w:rPr>
                <w:rFonts w:ascii="Arial" w:cs="Arial" w:eastAsia="Arial" w:hAnsi="Arial"/>
                <w:sz w:val="14"/>
                <w:szCs w:val="14"/>
                <w:color w:val="auto"/>
              </w:rPr>
              <w:t>Capital expenditures and aircraft purchase deposits</w:t>
            </w:r>
          </w:p>
        </w:tc>
        <w:tc>
          <w:tcPr>
            <w:tcW w:w="360" w:type="dxa"/>
            <w:vAlign w:val="bottom"/>
            <w:shd w:val="clear" w:color="auto" w:fill="CCEEFF"/>
          </w:tcPr>
          <w:p>
            <w:pPr>
              <w:spacing w:after="0"/>
              <w:rPr>
                <w:sz w:val="17"/>
                <w:szCs w:val="17"/>
                <w:color w:val="auto"/>
              </w:rPr>
            </w:pPr>
          </w:p>
        </w:tc>
        <w:tc>
          <w:tcPr>
            <w:tcW w:w="110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(4,268)</w:t>
            </w:r>
          </w:p>
        </w:tc>
        <w:tc>
          <w:tcPr>
            <w:tcW w:w="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114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(3,745)</w:t>
            </w:r>
          </w:p>
        </w:tc>
        <w:tc>
          <w:tcPr>
            <w:tcW w:w="10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112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(5,971)</w:t>
            </w:r>
          </w:p>
        </w:tc>
        <w:tc>
          <w:tcPr>
            <w:tcW w:w="0" w:type="dxa"/>
            <w:vAlign w:val="bottom"/>
          </w:tcPr>
          <w:p>
            <w:pPr>
              <w:spacing w:after="0"/>
              <w:rPr>
                <w:sz w:val="1"/>
                <w:szCs w:val="1"/>
                <w:color w:val="auto"/>
              </w:rPr>
            </w:pPr>
          </w:p>
        </w:tc>
      </w:tr>
      <w:tr>
        <w:trPr>
          <w:trHeight w:val="66"/>
        </w:trPr>
        <w:tc>
          <w:tcPr>
            <w:tcW w:w="2120" w:type="dxa"/>
            <w:vAlign w:val="bottom"/>
            <w:shd w:val="clear" w:color="auto" w:fill="CCEEFF"/>
          </w:tcPr>
          <w:p>
            <w:pPr>
              <w:spacing w:after="0"/>
              <w:rPr>
                <w:sz w:val="5"/>
                <w:szCs w:val="5"/>
                <w:color w:val="auto"/>
              </w:rPr>
            </w:pPr>
          </w:p>
        </w:tc>
        <w:tc>
          <w:tcPr>
            <w:tcW w:w="4620" w:type="dxa"/>
            <w:vAlign w:val="bottom"/>
            <w:shd w:val="clear" w:color="auto" w:fill="CCEEFF"/>
          </w:tcPr>
          <w:p>
            <w:pPr>
              <w:spacing w:after="0"/>
              <w:rPr>
                <w:sz w:val="5"/>
                <w:szCs w:val="5"/>
                <w:color w:val="auto"/>
              </w:rPr>
            </w:pPr>
          </w:p>
        </w:tc>
        <w:tc>
          <w:tcPr>
            <w:tcW w:w="360" w:type="dxa"/>
            <w:vAlign w:val="bottom"/>
            <w:shd w:val="clear" w:color="auto" w:fill="CCEEFF"/>
          </w:tcPr>
          <w:p>
            <w:pPr>
              <w:spacing w:after="0"/>
              <w:rPr>
                <w:sz w:val="5"/>
                <w:szCs w:val="5"/>
                <w:color w:val="auto"/>
              </w:rPr>
            </w:pPr>
          </w:p>
        </w:tc>
        <w:tc>
          <w:tcPr>
            <w:tcW w:w="1100" w:type="dxa"/>
            <w:vAlign w:val="bottom"/>
            <w:vMerge w:val="continue"/>
            <w:shd w:val="clear" w:color="auto" w:fill="CCEEFF"/>
          </w:tcPr>
          <w:p>
            <w:pPr>
              <w:spacing w:after="0"/>
              <w:rPr>
                <w:sz w:val="5"/>
                <w:szCs w:val="5"/>
                <w:color w:val="auto"/>
              </w:rPr>
            </w:pPr>
          </w:p>
        </w:tc>
        <w:tc>
          <w:tcPr>
            <w:tcW w:w="40" w:type="dxa"/>
            <w:vAlign w:val="bottom"/>
            <w:shd w:val="clear" w:color="auto" w:fill="CCEEFF"/>
          </w:tcPr>
          <w:p>
            <w:pPr>
              <w:spacing w:after="0"/>
              <w:rPr>
                <w:sz w:val="5"/>
                <w:szCs w:val="5"/>
                <w:color w:val="auto"/>
              </w:rPr>
            </w:pPr>
          </w:p>
        </w:tc>
        <w:tc>
          <w:tcPr>
            <w:tcW w:w="120" w:type="dxa"/>
            <w:vAlign w:val="bottom"/>
            <w:shd w:val="clear" w:color="auto" w:fill="CCEEFF"/>
          </w:tcPr>
          <w:p>
            <w:pPr>
              <w:spacing w:after="0"/>
              <w:rPr>
                <w:sz w:val="5"/>
                <w:szCs w:val="5"/>
                <w:color w:val="auto"/>
              </w:rPr>
            </w:pPr>
          </w:p>
        </w:tc>
        <w:tc>
          <w:tcPr>
            <w:tcW w:w="360" w:type="dxa"/>
            <w:vAlign w:val="bottom"/>
            <w:shd w:val="clear" w:color="auto" w:fill="CCEEFF"/>
          </w:tcPr>
          <w:p>
            <w:pPr>
              <w:spacing w:after="0"/>
              <w:rPr>
                <w:sz w:val="5"/>
                <w:szCs w:val="5"/>
                <w:color w:val="auto"/>
              </w:rPr>
            </w:pPr>
          </w:p>
        </w:tc>
        <w:tc>
          <w:tcPr>
            <w:tcW w:w="1140" w:type="dxa"/>
            <w:vAlign w:val="bottom"/>
            <w:vMerge w:val="continue"/>
            <w:shd w:val="clear" w:color="auto" w:fill="CCEEFF"/>
          </w:tcPr>
          <w:p>
            <w:pPr>
              <w:spacing w:after="0"/>
              <w:rPr>
                <w:sz w:val="5"/>
                <w:szCs w:val="5"/>
                <w:color w:val="auto"/>
              </w:rPr>
            </w:pPr>
          </w:p>
        </w:tc>
        <w:tc>
          <w:tcPr>
            <w:tcW w:w="100" w:type="dxa"/>
            <w:vAlign w:val="bottom"/>
            <w:shd w:val="clear" w:color="auto" w:fill="CCEEFF"/>
          </w:tcPr>
          <w:p>
            <w:pPr>
              <w:spacing w:after="0"/>
              <w:rPr>
                <w:sz w:val="5"/>
                <w:szCs w:val="5"/>
                <w:color w:val="auto"/>
              </w:rPr>
            </w:pPr>
          </w:p>
        </w:tc>
        <w:tc>
          <w:tcPr>
            <w:tcW w:w="340" w:type="dxa"/>
            <w:vAlign w:val="bottom"/>
            <w:shd w:val="clear" w:color="auto" w:fill="CCEEFF"/>
          </w:tcPr>
          <w:p>
            <w:pPr>
              <w:spacing w:after="0"/>
              <w:rPr>
                <w:sz w:val="5"/>
                <w:szCs w:val="5"/>
                <w:color w:val="auto"/>
              </w:rPr>
            </w:pPr>
          </w:p>
        </w:tc>
        <w:tc>
          <w:tcPr>
            <w:tcW w:w="1120" w:type="dxa"/>
            <w:vAlign w:val="bottom"/>
            <w:vMerge w:val="continue"/>
            <w:shd w:val="clear" w:color="auto" w:fill="CCEEFF"/>
          </w:tcPr>
          <w:p>
            <w:pPr>
              <w:spacing w:after="0"/>
              <w:rPr>
                <w:sz w:val="5"/>
                <w:szCs w:val="5"/>
                <w:color w:val="auto"/>
              </w:rPr>
            </w:pPr>
          </w:p>
        </w:tc>
        <w:tc>
          <w:tcPr>
            <w:tcW w:w="0" w:type="dxa"/>
            <w:vAlign w:val="bottom"/>
          </w:tcPr>
          <w:p>
            <w:pPr>
              <w:spacing w:after="0"/>
              <w:rPr>
                <w:sz w:val="1"/>
                <w:szCs w:val="1"/>
                <w:color w:val="auto"/>
              </w:rPr>
            </w:pPr>
          </w:p>
        </w:tc>
      </w:tr>
      <w:tr>
        <w:trPr>
          <w:trHeight w:val="204"/>
        </w:trPr>
        <w:tc>
          <w:tcPr>
            <w:tcW w:w="6740" w:type="dxa"/>
            <w:vAlign w:val="bottom"/>
            <w:gridSpan w:val="2"/>
          </w:tcPr>
          <w:p>
            <w:pPr>
              <w:ind w:left="280"/>
              <w:spacing w:after="0"/>
              <w:rPr>
                <w:sz w:val="20"/>
                <w:szCs w:val="20"/>
                <w:color w:val="auto"/>
              </w:rPr>
            </w:pPr>
            <w:r>
              <w:rPr>
                <w:rFonts w:ascii="Arial" w:cs="Arial" w:eastAsia="Arial" w:hAnsi="Arial"/>
                <w:sz w:val="14"/>
                <w:szCs w:val="14"/>
                <w:color w:val="auto"/>
              </w:rPr>
              <w:t>Proceeds from sale-leaseback transactions</w:t>
            </w:r>
          </w:p>
        </w:tc>
        <w:tc>
          <w:tcPr>
            <w:tcW w:w="360" w:type="dxa"/>
            <w:vAlign w:val="bottom"/>
          </w:tcPr>
          <w:p>
            <w:pPr>
              <w:spacing w:after="0"/>
              <w:rPr>
                <w:sz w:val="17"/>
                <w:szCs w:val="17"/>
                <w:color w:val="auto"/>
              </w:rPr>
            </w:pPr>
          </w:p>
        </w:tc>
        <w:tc>
          <w:tcPr>
            <w:tcW w:w="1100" w:type="dxa"/>
            <w:vAlign w:val="bottom"/>
            <w:vMerge w:val="restart"/>
          </w:tcPr>
          <w:p>
            <w:pPr>
              <w:jc w:val="right"/>
              <w:ind w:right="8"/>
              <w:spacing w:after="0"/>
              <w:rPr>
                <w:sz w:val="20"/>
                <w:szCs w:val="20"/>
                <w:color w:val="auto"/>
              </w:rPr>
            </w:pPr>
            <w:r>
              <w:rPr>
                <w:rFonts w:ascii="Arial" w:cs="Arial" w:eastAsia="Arial" w:hAnsi="Arial"/>
                <w:sz w:val="14"/>
                <w:szCs w:val="14"/>
                <w:color w:val="auto"/>
              </w:rPr>
              <w:t>850</w:t>
            </w:r>
          </w:p>
        </w:tc>
        <w:tc>
          <w:tcPr>
            <w:tcW w:w="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140" w:type="dxa"/>
            <w:vAlign w:val="bottom"/>
            <w:vMerge w:val="restart"/>
          </w:tcPr>
          <w:p>
            <w:pPr>
              <w:jc w:val="right"/>
              <w:ind w:right="48"/>
              <w:spacing w:after="0"/>
              <w:rPr>
                <w:sz w:val="20"/>
                <w:szCs w:val="20"/>
                <w:color w:val="auto"/>
              </w:rPr>
            </w:pPr>
            <w:r>
              <w:rPr>
                <w:rFonts w:ascii="Arial" w:cs="Arial" w:eastAsia="Arial" w:hAnsi="Arial"/>
                <w:sz w:val="14"/>
                <w:szCs w:val="14"/>
                <w:color w:val="auto"/>
              </w:rPr>
              <w:t>1,096</w:t>
            </w:r>
          </w:p>
        </w:tc>
        <w:tc>
          <w:tcPr>
            <w:tcW w:w="1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120" w:type="dxa"/>
            <w:vAlign w:val="bottom"/>
            <w:vMerge w:val="restart"/>
          </w:tcPr>
          <w:p>
            <w:pPr>
              <w:jc w:val="right"/>
              <w:ind w:right="28"/>
              <w:spacing w:after="0"/>
              <w:rPr>
                <w:sz w:val="20"/>
                <w:szCs w:val="20"/>
                <w:color w:val="auto"/>
              </w:rPr>
            </w:pPr>
            <w:r>
              <w:rPr>
                <w:rFonts w:ascii="Arial" w:cs="Arial" w:eastAsia="Arial" w:hAnsi="Arial"/>
                <w:sz w:val="14"/>
                <w:szCs w:val="14"/>
                <w:color w:val="auto"/>
              </w:rPr>
              <w:t>853</w:t>
            </w:r>
          </w:p>
        </w:tc>
        <w:tc>
          <w:tcPr>
            <w:tcW w:w="0" w:type="dxa"/>
            <w:vAlign w:val="bottom"/>
          </w:tcPr>
          <w:p>
            <w:pPr>
              <w:spacing w:after="0"/>
              <w:rPr>
                <w:sz w:val="1"/>
                <w:szCs w:val="1"/>
                <w:color w:val="auto"/>
              </w:rPr>
            </w:pPr>
          </w:p>
        </w:tc>
      </w:tr>
      <w:tr>
        <w:trPr>
          <w:trHeight w:val="60"/>
        </w:trPr>
        <w:tc>
          <w:tcPr>
            <w:tcW w:w="2120" w:type="dxa"/>
            <w:vAlign w:val="bottom"/>
          </w:tcPr>
          <w:p>
            <w:pPr>
              <w:spacing w:after="0"/>
              <w:rPr>
                <w:sz w:val="5"/>
                <w:szCs w:val="5"/>
                <w:color w:val="auto"/>
              </w:rPr>
            </w:pPr>
          </w:p>
        </w:tc>
        <w:tc>
          <w:tcPr>
            <w:tcW w:w="4620" w:type="dxa"/>
            <w:vAlign w:val="bottom"/>
          </w:tcPr>
          <w:p>
            <w:pPr>
              <w:spacing w:after="0"/>
              <w:rPr>
                <w:sz w:val="5"/>
                <w:szCs w:val="5"/>
                <w:color w:val="auto"/>
              </w:rPr>
            </w:pPr>
          </w:p>
        </w:tc>
        <w:tc>
          <w:tcPr>
            <w:tcW w:w="360" w:type="dxa"/>
            <w:vAlign w:val="bottom"/>
          </w:tcPr>
          <w:p>
            <w:pPr>
              <w:spacing w:after="0"/>
              <w:rPr>
                <w:sz w:val="5"/>
                <w:szCs w:val="5"/>
                <w:color w:val="auto"/>
              </w:rPr>
            </w:pPr>
          </w:p>
        </w:tc>
        <w:tc>
          <w:tcPr>
            <w:tcW w:w="1100" w:type="dxa"/>
            <w:vAlign w:val="bottom"/>
            <w:vMerge w:val="continue"/>
          </w:tcPr>
          <w:p>
            <w:pPr>
              <w:spacing w:after="0"/>
              <w:rPr>
                <w:sz w:val="5"/>
                <w:szCs w:val="5"/>
                <w:color w:val="auto"/>
              </w:rPr>
            </w:pPr>
          </w:p>
        </w:tc>
        <w:tc>
          <w:tcPr>
            <w:tcW w:w="40" w:type="dxa"/>
            <w:vAlign w:val="bottom"/>
          </w:tcPr>
          <w:p>
            <w:pPr>
              <w:spacing w:after="0"/>
              <w:rPr>
                <w:sz w:val="5"/>
                <w:szCs w:val="5"/>
                <w:color w:val="auto"/>
              </w:rPr>
            </w:pPr>
          </w:p>
        </w:tc>
        <w:tc>
          <w:tcPr>
            <w:tcW w:w="120" w:type="dxa"/>
            <w:vAlign w:val="bottom"/>
          </w:tcPr>
          <w:p>
            <w:pPr>
              <w:spacing w:after="0"/>
              <w:rPr>
                <w:sz w:val="5"/>
                <w:szCs w:val="5"/>
                <w:color w:val="auto"/>
              </w:rPr>
            </w:pPr>
          </w:p>
        </w:tc>
        <w:tc>
          <w:tcPr>
            <w:tcW w:w="360" w:type="dxa"/>
            <w:vAlign w:val="bottom"/>
          </w:tcPr>
          <w:p>
            <w:pPr>
              <w:spacing w:after="0"/>
              <w:rPr>
                <w:sz w:val="5"/>
                <w:szCs w:val="5"/>
                <w:color w:val="auto"/>
              </w:rPr>
            </w:pPr>
          </w:p>
        </w:tc>
        <w:tc>
          <w:tcPr>
            <w:tcW w:w="1140" w:type="dxa"/>
            <w:vAlign w:val="bottom"/>
            <w:vMerge w:val="continue"/>
          </w:tcPr>
          <w:p>
            <w:pPr>
              <w:spacing w:after="0"/>
              <w:rPr>
                <w:sz w:val="5"/>
                <w:szCs w:val="5"/>
                <w:color w:val="auto"/>
              </w:rPr>
            </w:pPr>
          </w:p>
        </w:tc>
        <w:tc>
          <w:tcPr>
            <w:tcW w:w="100" w:type="dxa"/>
            <w:vAlign w:val="bottom"/>
          </w:tcPr>
          <w:p>
            <w:pPr>
              <w:spacing w:after="0"/>
              <w:rPr>
                <w:sz w:val="5"/>
                <w:szCs w:val="5"/>
                <w:color w:val="auto"/>
              </w:rPr>
            </w:pPr>
          </w:p>
        </w:tc>
        <w:tc>
          <w:tcPr>
            <w:tcW w:w="340" w:type="dxa"/>
            <w:vAlign w:val="bottom"/>
          </w:tcPr>
          <w:p>
            <w:pPr>
              <w:spacing w:after="0"/>
              <w:rPr>
                <w:sz w:val="5"/>
                <w:szCs w:val="5"/>
                <w:color w:val="auto"/>
              </w:rPr>
            </w:pPr>
          </w:p>
        </w:tc>
        <w:tc>
          <w:tcPr>
            <w:tcW w:w="112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r>
        <w:trPr>
          <w:trHeight w:val="210"/>
        </w:trPr>
        <w:tc>
          <w:tcPr>
            <w:tcW w:w="6740" w:type="dxa"/>
            <w:vAlign w:val="bottom"/>
            <w:gridSpan w:val="2"/>
            <w:shd w:val="clear" w:color="auto" w:fill="CCEEFF"/>
          </w:tcPr>
          <w:p>
            <w:pPr>
              <w:ind w:left="280"/>
              <w:spacing w:after="0"/>
              <w:rPr>
                <w:sz w:val="20"/>
                <w:szCs w:val="20"/>
                <w:color w:val="auto"/>
              </w:rPr>
            </w:pPr>
            <w:r>
              <w:rPr>
                <w:rFonts w:ascii="Arial" w:cs="Arial" w:eastAsia="Arial" w:hAnsi="Arial"/>
                <w:sz w:val="14"/>
                <w:szCs w:val="14"/>
                <w:color w:val="auto"/>
              </w:rPr>
              <w:t>Proceeds from sale of property and equipment</w:t>
            </w:r>
          </w:p>
        </w:tc>
        <w:tc>
          <w:tcPr>
            <w:tcW w:w="360" w:type="dxa"/>
            <w:vAlign w:val="bottom"/>
            <w:shd w:val="clear" w:color="auto" w:fill="CCEEFF"/>
          </w:tcPr>
          <w:p>
            <w:pPr>
              <w:spacing w:after="0"/>
              <w:rPr>
                <w:sz w:val="18"/>
                <w:szCs w:val="18"/>
                <w:color w:val="auto"/>
              </w:rPr>
            </w:pPr>
          </w:p>
        </w:tc>
        <w:tc>
          <w:tcPr>
            <w:tcW w:w="1100" w:type="dxa"/>
            <w:vAlign w:val="bottom"/>
            <w:vMerge w:val="restart"/>
            <w:shd w:val="clear" w:color="auto" w:fill="CCEEFF"/>
          </w:tcPr>
          <w:p>
            <w:pPr>
              <w:jc w:val="right"/>
              <w:ind w:right="8"/>
              <w:spacing w:after="0"/>
              <w:rPr>
                <w:sz w:val="20"/>
                <w:szCs w:val="20"/>
                <w:color w:val="auto"/>
              </w:rPr>
            </w:pPr>
            <w:r>
              <w:rPr>
                <w:rFonts w:ascii="Arial" w:cs="Arial" w:eastAsia="Arial" w:hAnsi="Arial"/>
                <w:sz w:val="14"/>
                <w:szCs w:val="14"/>
                <w:color w:val="auto"/>
              </w:rPr>
              <w:t>54</w:t>
            </w:r>
          </w:p>
        </w:tc>
        <w:tc>
          <w:tcPr>
            <w:tcW w:w="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140" w:type="dxa"/>
            <w:vAlign w:val="bottom"/>
            <w:vMerge w:val="restart"/>
            <w:shd w:val="clear" w:color="auto" w:fill="CCEEFF"/>
          </w:tcPr>
          <w:p>
            <w:pPr>
              <w:jc w:val="right"/>
              <w:ind w:right="48"/>
              <w:spacing w:after="0"/>
              <w:rPr>
                <w:sz w:val="20"/>
                <w:szCs w:val="20"/>
                <w:color w:val="auto"/>
              </w:rPr>
            </w:pPr>
            <w:r>
              <w:rPr>
                <w:rFonts w:ascii="Arial" w:cs="Arial" w:eastAsia="Arial" w:hAnsi="Arial"/>
                <w:sz w:val="14"/>
                <w:szCs w:val="14"/>
                <w:color w:val="auto"/>
              </w:rPr>
              <w:t>111</w:t>
            </w:r>
          </w:p>
        </w:tc>
        <w:tc>
          <w:tcPr>
            <w:tcW w:w="1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120" w:type="dxa"/>
            <w:vAlign w:val="bottom"/>
            <w:vMerge w:val="restart"/>
            <w:shd w:val="clear" w:color="auto" w:fill="CCEEFF"/>
          </w:tcPr>
          <w:p>
            <w:pPr>
              <w:jc w:val="right"/>
              <w:ind w:right="28"/>
              <w:spacing w:after="0"/>
              <w:rPr>
                <w:sz w:val="20"/>
                <w:szCs w:val="20"/>
                <w:color w:val="auto"/>
              </w:rPr>
            </w:pPr>
            <w:r>
              <w:rPr>
                <w:rFonts w:ascii="Arial" w:cs="Arial" w:eastAsia="Arial" w:hAnsi="Arial"/>
                <w:sz w:val="14"/>
                <w:szCs w:val="14"/>
                <w:color w:val="auto"/>
              </w:rPr>
              <w:t>94</w:t>
            </w:r>
          </w:p>
        </w:tc>
        <w:tc>
          <w:tcPr>
            <w:tcW w:w="0" w:type="dxa"/>
            <w:vAlign w:val="bottom"/>
          </w:tcPr>
          <w:p>
            <w:pPr>
              <w:spacing w:after="0"/>
              <w:rPr>
                <w:sz w:val="1"/>
                <w:szCs w:val="1"/>
                <w:color w:val="auto"/>
              </w:rPr>
            </w:pPr>
          </w:p>
        </w:tc>
      </w:tr>
      <w:tr>
        <w:trPr>
          <w:trHeight w:val="66"/>
        </w:trPr>
        <w:tc>
          <w:tcPr>
            <w:tcW w:w="2120" w:type="dxa"/>
            <w:vAlign w:val="bottom"/>
            <w:shd w:val="clear" w:color="auto" w:fill="CCEEFF"/>
          </w:tcPr>
          <w:p>
            <w:pPr>
              <w:spacing w:after="0"/>
              <w:rPr>
                <w:sz w:val="5"/>
                <w:szCs w:val="5"/>
                <w:color w:val="auto"/>
              </w:rPr>
            </w:pPr>
          </w:p>
        </w:tc>
        <w:tc>
          <w:tcPr>
            <w:tcW w:w="4620" w:type="dxa"/>
            <w:vAlign w:val="bottom"/>
            <w:shd w:val="clear" w:color="auto" w:fill="CCEEFF"/>
          </w:tcPr>
          <w:p>
            <w:pPr>
              <w:spacing w:after="0"/>
              <w:rPr>
                <w:sz w:val="5"/>
                <w:szCs w:val="5"/>
                <w:color w:val="auto"/>
              </w:rPr>
            </w:pPr>
          </w:p>
        </w:tc>
        <w:tc>
          <w:tcPr>
            <w:tcW w:w="360" w:type="dxa"/>
            <w:vAlign w:val="bottom"/>
            <w:shd w:val="clear" w:color="auto" w:fill="CCEEFF"/>
          </w:tcPr>
          <w:p>
            <w:pPr>
              <w:spacing w:after="0"/>
              <w:rPr>
                <w:sz w:val="5"/>
                <w:szCs w:val="5"/>
                <w:color w:val="auto"/>
              </w:rPr>
            </w:pPr>
          </w:p>
        </w:tc>
        <w:tc>
          <w:tcPr>
            <w:tcW w:w="1100" w:type="dxa"/>
            <w:vAlign w:val="bottom"/>
            <w:vMerge w:val="continue"/>
            <w:shd w:val="clear" w:color="auto" w:fill="CCEEFF"/>
          </w:tcPr>
          <w:p>
            <w:pPr>
              <w:spacing w:after="0"/>
              <w:rPr>
                <w:sz w:val="5"/>
                <w:szCs w:val="5"/>
                <w:color w:val="auto"/>
              </w:rPr>
            </w:pPr>
          </w:p>
        </w:tc>
        <w:tc>
          <w:tcPr>
            <w:tcW w:w="40" w:type="dxa"/>
            <w:vAlign w:val="bottom"/>
            <w:shd w:val="clear" w:color="auto" w:fill="CCEEFF"/>
          </w:tcPr>
          <w:p>
            <w:pPr>
              <w:spacing w:after="0"/>
              <w:rPr>
                <w:sz w:val="5"/>
                <w:szCs w:val="5"/>
                <w:color w:val="auto"/>
              </w:rPr>
            </w:pPr>
          </w:p>
        </w:tc>
        <w:tc>
          <w:tcPr>
            <w:tcW w:w="120" w:type="dxa"/>
            <w:vAlign w:val="bottom"/>
            <w:shd w:val="clear" w:color="auto" w:fill="CCEEFF"/>
          </w:tcPr>
          <w:p>
            <w:pPr>
              <w:spacing w:after="0"/>
              <w:rPr>
                <w:sz w:val="5"/>
                <w:szCs w:val="5"/>
                <w:color w:val="auto"/>
              </w:rPr>
            </w:pPr>
          </w:p>
        </w:tc>
        <w:tc>
          <w:tcPr>
            <w:tcW w:w="360" w:type="dxa"/>
            <w:vAlign w:val="bottom"/>
            <w:shd w:val="clear" w:color="auto" w:fill="CCEEFF"/>
          </w:tcPr>
          <w:p>
            <w:pPr>
              <w:spacing w:after="0"/>
              <w:rPr>
                <w:sz w:val="5"/>
                <w:szCs w:val="5"/>
                <w:color w:val="auto"/>
              </w:rPr>
            </w:pPr>
          </w:p>
        </w:tc>
        <w:tc>
          <w:tcPr>
            <w:tcW w:w="1140" w:type="dxa"/>
            <w:vAlign w:val="bottom"/>
            <w:vMerge w:val="continue"/>
            <w:shd w:val="clear" w:color="auto" w:fill="CCEEFF"/>
          </w:tcPr>
          <w:p>
            <w:pPr>
              <w:spacing w:after="0"/>
              <w:rPr>
                <w:sz w:val="5"/>
                <w:szCs w:val="5"/>
                <w:color w:val="auto"/>
              </w:rPr>
            </w:pPr>
          </w:p>
        </w:tc>
        <w:tc>
          <w:tcPr>
            <w:tcW w:w="100" w:type="dxa"/>
            <w:vAlign w:val="bottom"/>
            <w:shd w:val="clear" w:color="auto" w:fill="CCEEFF"/>
          </w:tcPr>
          <w:p>
            <w:pPr>
              <w:spacing w:after="0"/>
              <w:rPr>
                <w:sz w:val="5"/>
                <w:szCs w:val="5"/>
                <w:color w:val="auto"/>
              </w:rPr>
            </w:pPr>
          </w:p>
        </w:tc>
        <w:tc>
          <w:tcPr>
            <w:tcW w:w="340" w:type="dxa"/>
            <w:vAlign w:val="bottom"/>
            <w:shd w:val="clear" w:color="auto" w:fill="CCEEFF"/>
          </w:tcPr>
          <w:p>
            <w:pPr>
              <w:spacing w:after="0"/>
              <w:rPr>
                <w:sz w:val="5"/>
                <w:szCs w:val="5"/>
                <w:color w:val="auto"/>
              </w:rPr>
            </w:pPr>
          </w:p>
        </w:tc>
        <w:tc>
          <w:tcPr>
            <w:tcW w:w="1120" w:type="dxa"/>
            <w:vAlign w:val="bottom"/>
            <w:vMerge w:val="continue"/>
            <w:shd w:val="clear" w:color="auto" w:fill="CCEEFF"/>
          </w:tcPr>
          <w:p>
            <w:pPr>
              <w:spacing w:after="0"/>
              <w:rPr>
                <w:sz w:val="5"/>
                <w:szCs w:val="5"/>
                <w:color w:val="auto"/>
              </w:rPr>
            </w:pPr>
          </w:p>
        </w:tc>
        <w:tc>
          <w:tcPr>
            <w:tcW w:w="0" w:type="dxa"/>
            <w:vAlign w:val="bottom"/>
          </w:tcPr>
          <w:p>
            <w:pPr>
              <w:spacing w:after="0"/>
              <w:rPr>
                <w:sz w:val="1"/>
                <w:szCs w:val="1"/>
                <w:color w:val="auto"/>
              </w:rPr>
            </w:pPr>
          </w:p>
        </w:tc>
      </w:tr>
      <w:tr>
        <w:trPr>
          <w:trHeight w:val="204"/>
        </w:trPr>
        <w:tc>
          <w:tcPr>
            <w:tcW w:w="6740" w:type="dxa"/>
            <w:vAlign w:val="bottom"/>
            <w:gridSpan w:val="2"/>
          </w:tcPr>
          <w:p>
            <w:pPr>
              <w:ind w:left="280"/>
              <w:spacing w:after="0"/>
              <w:rPr>
                <w:sz w:val="20"/>
                <w:szCs w:val="20"/>
                <w:color w:val="auto"/>
              </w:rPr>
            </w:pPr>
            <w:r>
              <w:rPr>
                <w:rFonts w:ascii="Arial" w:cs="Arial" w:eastAsia="Arial" w:hAnsi="Arial"/>
                <w:sz w:val="14"/>
                <w:szCs w:val="14"/>
                <w:color w:val="auto"/>
              </w:rPr>
              <w:t>Purchases of short-term investments</w:t>
            </w:r>
          </w:p>
        </w:tc>
        <w:tc>
          <w:tcPr>
            <w:tcW w:w="360" w:type="dxa"/>
            <w:vAlign w:val="bottom"/>
          </w:tcPr>
          <w:p>
            <w:pPr>
              <w:spacing w:after="0"/>
              <w:rPr>
                <w:sz w:val="17"/>
                <w:szCs w:val="17"/>
                <w:color w:val="auto"/>
              </w:rPr>
            </w:pPr>
          </w:p>
        </w:tc>
        <w:tc>
          <w:tcPr>
            <w:tcW w:w="1100" w:type="dxa"/>
            <w:vAlign w:val="bottom"/>
            <w:vMerge w:val="restart"/>
          </w:tcPr>
          <w:p>
            <w:pPr>
              <w:jc w:val="right"/>
              <w:spacing w:after="0"/>
              <w:rPr>
                <w:sz w:val="20"/>
                <w:szCs w:val="20"/>
                <w:color w:val="auto"/>
              </w:rPr>
            </w:pPr>
            <w:r>
              <w:rPr>
                <w:rFonts w:ascii="Arial" w:cs="Arial" w:eastAsia="Arial" w:hAnsi="Arial"/>
                <w:sz w:val="14"/>
                <w:szCs w:val="14"/>
                <w:color w:val="auto"/>
              </w:rPr>
              <w:t>(3,184)</w:t>
            </w:r>
          </w:p>
        </w:tc>
        <w:tc>
          <w:tcPr>
            <w:tcW w:w="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140" w:type="dxa"/>
            <w:vAlign w:val="bottom"/>
            <w:vMerge w:val="restart"/>
          </w:tcPr>
          <w:p>
            <w:pPr>
              <w:jc w:val="right"/>
              <w:spacing w:after="0"/>
              <w:rPr>
                <w:sz w:val="20"/>
                <w:szCs w:val="20"/>
                <w:color w:val="auto"/>
              </w:rPr>
            </w:pPr>
            <w:r>
              <w:rPr>
                <w:rFonts w:ascii="Arial" w:cs="Arial" w:eastAsia="Arial" w:hAnsi="Arial"/>
                <w:sz w:val="14"/>
                <w:szCs w:val="14"/>
                <w:color w:val="auto"/>
              </w:rPr>
              <w:t>(3,412)</w:t>
            </w:r>
          </w:p>
        </w:tc>
        <w:tc>
          <w:tcPr>
            <w:tcW w:w="1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120" w:type="dxa"/>
            <w:vAlign w:val="bottom"/>
            <w:vMerge w:val="restart"/>
          </w:tcPr>
          <w:p>
            <w:pPr>
              <w:jc w:val="right"/>
              <w:spacing w:after="0"/>
              <w:rPr>
                <w:sz w:val="20"/>
                <w:szCs w:val="20"/>
                <w:color w:val="auto"/>
              </w:rPr>
            </w:pPr>
            <w:r>
              <w:rPr>
                <w:rFonts w:ascii="Arial" w:cs="Arial" w:eastAsia="Arial" w:hAnsi="Arial"/>
                <w:sz w:val="14"/>
                <w:szCs w:val="14"/>
                <w:color w:val="auto"/>
              </w:rPr>
              <w:t>(4,633)</w:t>
            </w:r>
          </w:p>
        </w:tc>
        <w:tc>
          <w:tcPr>
            <w:tcW w:w="0" w:type="dxa"/>
            <w:vAlign w:val="bottom"/>
          </w:tcPr>
          <w:p>
            <w:pPr>
              <w:spacing w:after="0"/>
              <w:rPr>
                <w:sz w:val="1"/>
                <w:szCs w:val="1"/>
                <w:color w:val="auto"/>
              </w:rPr>
            </w:pPr>
          </w:p>
        </w:tc>
      </w:tr>
      <w:tr>
        <w:trPr>
          <w:trHeight w:val="60"/>
        </w:trPr>
        <w:tc>
          <w:tcPr>
            <w:tcW w:w="2120" w:type="dxa"/>
            <w:vAlign w:val="bottom"/>
          </w:tcPr>
          <w:p>
            <w:pPr>
              <w:spacing w:after="0"/>
              <w:rPr>
                <w:sz w:val="5"/>
                <w:szCs w:val="5"/>
                <w:color w:val="auto"/>
              </w:rPr>
            </w:pPr>
          </w:p>
        </w:tc>
        <w:tc>
          <w:tcPr>
            <w:tcW w:w="4620" w:type="dxa"/>
            <w:vAlign w:val="bottom"/>
          </w:tcPr>
          <w:p>
            <w:pPr>
              <w:spacing w:after="0"/>
              <w:rPr>
                <w:sz w:val="5"/>
                <w:szCs w:val="5"/>
                <w:color w:val="auto"/>
              </w:rPr>
            </w:pPr>
          </w:p>
        </w:tc>
        <w:tc>
          <w:tcPr>
            <w:tcW w:w="360" w:type="dxa"/>
            <w:vAlign w:val="bottom"/>
          </w:tcPr>
          <w:p>
            <w:pPr>
              <w:spacing w:after="0"/>
              <w:rPr>
                <w:sz w:val="5"/>
                <w:szCs w:val="5"/>
                <w:color w:val="auto"/>
              </w:rPr>
            </w:pPr>
          </w:p>
        </w:tc>
        <w:tc>
          <w:tcPr>
            <w:tcW w:w="1100" w:type="dxa"/>
            <w:vAlign w:val="bottom"/>
            <w:vMerge w:val="continue"/>
          </w:tcPr>
          <w:p>
            <w:pPr>
              <w:spacing w:after="0"/>
              <w:rPr>
                <w:sz w:val="5"/>
                <w:szCs w:val="5"/>
                <w:color w:val="auto"/>
              </w:rPr>
            </w:pPr>
          </w:p>
        </w:tc>
        <w:tc>
          <w:tcPr>
            <w:tcW w:w="40" w:type="dxa"/>
            <w:vAlign w:val="bottom"/>
          </w:tcPr>
          <w:p>
            <w:pPr>
              <w:spacing w:after="0"/>
              <w:rPr>
                <w:sz w:val="5"/>
                <w:szCs w:val="5"/>
                <w:color w:val="auto"/>
              </w:rPr>
            </w:pPr>
          </w:p>
        </w:tc>
        <w:tc>
          <w:tcPr>
            <w:tcW w:w="120" w:type="dxa"/>
            <w:vAlign w:val="bottom"/>
          </w:tcPr>
          <w:p>
            <w:pPr>
              <w:spacing w:after="0"/>
              <w:rPr>
                <w:sz w:val="5"/>
                <w:szCs w:val="5"/>
                <w:color w:val="auto"/>
              </w:rPr>
            </w:pPr>
          </w:p>
        </w:tc>
        <w:tc>
          <w:tcPr>
            <w:tcW w:w="360" w:type="dxa"/>
            <w:vAlign w:val="bottom"/>
          </w:tcPr>
          <w:p>
            <w:pPr>
              <w:spacing w:after="0"/>
              <w:rPr>
                <w:sz w:val="5"/>
                <w:szCs w:val="5"/>
                <w:color w:val="auto"/>
              </w:rPr>
            </w:pPr>
          </w:p>
        </w:tc>
        <w:tc>
          <w:tcPr>
            <w:tcW w:w="1140" w:type="dxa"/>
            <w:vAlign w:val="bottom"/>
            <w:vMerge w:val="continue"/>
          </w:tcPr>
          <w:p>
            <w:pPr>
              <w:spacing w:after="0"/>
              <w:rPr>
                <w:sz w:val="5"/>
                <w:szCs w:val="5"/>
                <w:color w:val="auto"/>
              </w:rPr>
            </w:pPr>
          </w:p>
        </w:tc>
        <w:tc>
          <w:tcPr>
            <w:tcW w:w="100" w:type="dxa"/>
            <w:vAlign w:val="bottom"/>
          </w:tcPr>
          <w:p>
            <w:pPr>
              <w:spacing w:after="0"/>
              <w:rPr>
                <w:sz w:val="5"/>
                <w:szCs w:val="5"/>
                <w:color w:val="auto"/>
              </w:rPr>
            </w:pPr>
          </w:p>
        </w:tc>
        <w:tc>
          <w:tcPr>
            <w:tcW w:w="340" w:type="dxa"/>
            <w:vAlign w:val="bottom"/>
          </w:tcPr>
          <w:p>
            <w:pPr>
              <w:spacing w:after="0"/>
              <w:rPr>
                <w:sz w:val="5"/>
                <w:szCs w:val="5"/>
                <w:color w:val="auto"/>
              </w:rPr>
            </w:pPr>
          </w:p>
        </w:tc>
        <w:tc>
          <w:tcPr>
            <w:tcW w:w="112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r>
        <w:trPr>
          <w:trHeight w:val="210"/>
        </w:trPr>
        <w:tc>
          <w:tcPr>
            <w:tcW w:w="6740" w:type="dxa"/>
            <w:vAlign w:val="bottom"/>
            <w:gridSpan w:val="2"/>
            <w:shd w:val="clear" w:color="auto" w:fill="CCEEFF"/>
          </w:tcPr>
          <w:p>
            <w:pPr>
              <w:ind w:left="280"/>
              <w:spacing w:after="0"/>
              <w:rPr>
                <w:sz w:val="20"/>
                <w:szCs w:val="20"/>
                <w:color w:val="auto"/>
              </w:rPr>
            </w:pPr>
            <w:r>
              <w:rPr>
                <w:rFonts w:ascii="Arial" w:cs="Arial" w:eastAsia="Arial" w:hAnsi="Arial"/>
                <w:sz w:val="14"/>
                <w:szCs w:val="14"/>
                <w:color w:val="auto"/>
              </w:rPr>
              <w:t>Sales of short-term investments</w:t>
            </w:r>
          </w:p>
        </w:tc>
        <w:tc>
          <w:tcPr>
            <w:tcW w:w="360" w:type="dxa"/>
            <w:vAlign w:val="bottom"/>
            <w:shd w:val="clear" w:color="auto" w:fill="CCEEFF"/>
          </w:tcPr>
          <w:p>
            <w:pPr>
              <w:spacing w:after="0"/>
              <w:rPr>
                <w:sz w:val="18"/>
                <w:szCs w:val="18"/>
                <w:color w:val="auto"/>
              </w:rPr>
            </w:pPr>
          </w:p>
        </w:tc>
        <w:tc>
          <w:tcPr>
            <w:tcW w:w="1100" w:type="dxa"/>
            <w:vAlign w:val="bottom"/>
            <w:vMerge w:val="restart"/>
            <w:shd w:val="clear" w:color="auto" w:fill="CCEEFF"/>
          </w:tcPr>
          <w:p>
            <w:pPr>
              <w:jc w:val="right"/>
              <w:ind w:right="8"/>
              <w:spacing w:after="0"/>
              <w:rPr>
                <w:sz w:val="20"/>
                <w:szCs w:val="20"/>
                <w:color w:val="auto"/>
              </w:rPr>
            </w:pPr>
            <w:r>
              <w:rPr>
                <w:rFonts w:ascii="Arial" w:cs="Arial" w:eastAsia="Arial" w:hAnsi="Arial"/>
                <w:sz w:val="14"/>
                <w:szCs w:val="14"/>
                <w:color w:val="auto"/>
              </w:rPr>
              <w:t>4,144</w:t>
            </w:r>
          </w:p>
        </w:tc>
        <w:tc>
          <w:tcPr>
            <w:tcW w:w="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140" w:type="dxa"/>
            <w:vAlign w:val="bottom"/>
            <w:vMerge w:val="restart"/>
            <w:shd w:val="clear" w:color="auto" w:fill="CCEEFF"/>
          </w:tcPr>
          <w:p>
            <w:pPr>
              <w:jc w:val="right"/>
              <w:ind w:right="48"/>
              <w:spacing w:after="0"/>
              <w:rPr>
                <w:sz w:val="20"/>
                <w:szCs w:val="20"/>
                <w:color w:val="auto"/>
              </w:rPr>
            </w:pPr>
            <w:r>
              <w:rPr>
                <w:rFonts w:ascii="Arial" w:cs="Arial" w:eastAsia="Arial" w:hAnsi="Arial"/>
                <w:sz w:val="14"/>
                <w:szCs w:val="14"/>
                <w:color w:val="auto"/>
              </w:rPr>
              <w:t>3,705</w:t>
            </w:r>
          </w:p>
        </w:tc>
        <w:tc>
          <w:tcPr>
            <w:tcW w:w="1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120" w:type="dxa"/>
            <w:vAlign w:val="bottom"/>
            <w:vMerge w:val="restart"/>
            <w:shd w:val="clear" w:color="auto" w:fill="CCEEFF"/>
          </w:tcPr>
          <w:p>
            <w:pPr>
              <w:jc w:val="right"/>
              <w:ind w:right="28"/>
              <w:spacing w:after="0"/>
              <w:rPr>
                <w:sz w:val="20"/>
                <w:szCs w:val="20"/>
                <w:color w:val="auto"/>
              </w:rPr>
            </w:pPr>
            <w:r>
              <w:rPr>
                <w:rFonts w:ascii="Arial" w:cs="Arial" w:eastAsia="Arial" w:hAnsi="Arial"/>
                <w:sz w:val="14"/>
                <w:szCs w:val="14"/>
                <w:color w:val="auto"/>
              </w:rPr>
              <w:t>5,915</w:t>
            </w:r>
          </w:p>
        </w:tc>
        <w:tc>
          <w:tcPr>
            <w:tcW w:w="0" w:type="dxa"/>
            <w:vAlign w:val="bottom"/>
          </w:tcPr>
          <w:p>
            <w:pPr>
              <w:spacing w:after="0"/>
              <w:rPr>
                <w:sz w:val="1"/>
                <w:szCs w:val="1"/>
                <w:color w:val="auto"/>
              </w:rPr>
            </w:pPr>
          </w:p>
        </w:tc>
      </w:tr>
      <w:tr>
        <w:trPr>
          <w:trHeight w:val="66"/>
        </w:trPr>
        <w:tc>
          <w:tcPr>
            <w:tcW w:w="2120" w:type="dxa"/>
            <w:vAlign w:val="bottom"/>
            <w:shd w:val="clear" w:color="auto" w:fill="CCEEFF"/>
          </w:tcPr>
          <w:p>
            <w:pPr>
              <w:spacing w:after="0"/>
              <w:rPr>
                <w:sz w:val="5"/>
                <w:szCs w:val="5"/>
                <w:color w:val="auto"/>
              </w:rPr>
            </w:pPr>
          </w:p>
        </w:tc>
        <w:tc>
          <w:tcPr>
            <w:tcW w:w="4620" w:type="dxa"/>
            <w:vAlign w:val="bottom"/>
            <w:shd w:val="clear" w:color="auto" w:fill="CCEEFF"/>
          </w:tcPr>
          <w:p>
            <w:pPr>
              <w:spacing w:after="0"/>
              <w:rPr>
                <w:sz w:val="5"/>
                <w:szCs w:val="5"/>
                <w:color w:val="auto"/>
              </w:rPr>
            </w:pPr>
          </w:p>
        </w:tc>
        <w:tc>
          <w:tcPr>
            <w:tcW w:w="360" w:type="dxa"/>
            <w:vAlign w:val="bottom"/>
            <w:shd w:val="clear" w:color="auto" w:fill="CCEEFF"/>
          </w:tcPr>
          <w:p>
            <w:pPr>
              <w:spacing w:after="0"/>
              <w:rPr>
                <w:sz w:val="5"/>
                <w:szCs w:val="5"/>
                <w:color w:val="auto"/>
              </w:rPr>
            </w:pPr>
          </w:p>
        </w:tc>
        <w:tc>
          <w:tcPr>
            <w:tcW w:w="1100" w:type="dxa"/>
            <w:vAlign w:val="bottom"/>
            <w:vMerge w:val="continue"/>
            <w:shd w:val="clear" w:color="auto" w:fill="CCEEFF"/>
          </w:tcPr>
          <w:p>
            <w:pPr>
              <w:spacing w:after="0"/>
              <w:rPr>
                <w:sz w:val="5"/>
                <w:szCs w:val="5"/>
                <w:color w:val="auto"/>
              </w:rPr>
            </w:pPr>
          </w:p>
        </w:tc>
        <w:tc>
          <w:tcPr>
            <w:tcW w:w="40" w:type="dxa"/>
            <w:vAlign w:val="bottom"/>
            <w:shd w:val="clear" w:color="auto" w:fill="CCEEFF"/>
          </w:tcPr>
          <w:p>
            <w:pPr>
              <w:spacing w:after="0"/>
              <w:rPr>
                <w:sz w:val="5"/>
                <w:szCs w:val="5"/>
                <w:color w:val="auto"/>
              </w:rPr>
            </w:pPr>
          </w:p>
        </w:tc>
        <w:tc>
          <w:tcPr>
            <w:tcW w:w="120" w:type="dxa"/>
            <w:vAlign w:val="bottom"/>
            <w:shd w:val="clear" w:color="auto" w:fill="CCEEFF"/>
          </w:tcPr>
          <w:p>
            <w:pPr>
              <w:spacing w:after="0"/>
              <w:rPr>
                <w:sz w:val="5"/>
                <w:szCs w:val="5"/>
                <w:color w:val="auto"/>
              </w:rPr>
            </w:pPr>
          </w:p>
        </w:tc>
        <w:tc>
          <w:tcPr>
            <w:tcW w:w="360" w:type="dxa"/>
            <w:vAlign w:val="bottom"/>
            <w:shd w:val="clear" w:color="auto" w:fill="CCEEFF"/>
          </w:tcPr>
          <w:p>
            <w:pPr>
              <w:spacing w:after="0"/>
              <w:rPr>
                <w:sz w:val="5"/>
                <w:szCs w:val="5"/>
                <w:color w:val="auto"/>
              </w:rPr>
            </w:pPr>
          </w:p>
        </w:tc>
        <w:tc>
          <w:tcPr>
            <w:tcW w:w="1140" w:type="dxa"/>
            <w:vAlign w:val="bottom"/>
            <w:vMerge w:val="continue"/>
            <w:shd w:val="clear" w:color="auto" w:fill="CCEEFF"/>
          </w:tcPr>
          <w:p>
            <w:pPr>
              <w:spacing w:after="0"/>
              <w:rPr>
                <w:sz w:val="5"/>
                <w:szCs w:val="5"/>
                <w:color w:val="auto"/>
              </w:rPr>
            </w:pPr>
          </w:p>
        </w:tc>
        <w:tc>
          <w:tcPr>
            <w:tcW w:w="100" w:type="dxa"/>
            <w:vAlign w:val="bottom"/>
            <w:shd w:val="clear" w:color="auto" w:fill="CCEEFF"/>
          </w:tcPr>
          <w:p>
            <w:pPr>
              <w:spacing w:after="0"/>
              <w:rPr>
                <w:sz w:val="5"/>
                <w:szCs w:val="5"/>
                <w:color w:val="auto"/>
              </w:rPr>
            </w:pPr>
          </w:p>
        </w:tc>
        <w:tc>
          <w:tcPr>
            <w:tcW w:w="340" w:type="dxa"/>
            <w:vAlign w:val="bottom"/>
            <w:shd w:val="clear" w:color="auto" w:fill="CCEEFF"/>
          </w:tcPr>
          <w:p>
            <w:pPr>
              <w:spacing w:after="0"/>
              <w:rPr>
                <w:sz w:val="5"/>
                <w:szCs w:val="5"/>
                <w:color w:val="auto"/>
              </w:rPr>
            </w:pPr>
          </w:p>
        </w:tc>
        <w:tc>
          <w:tcPr>
            <w:tcW w:w="1120" w:type="dxa"/>
            <w:vAlign w:val="bottom"/>
            <w:vMerge w:val="continue"/>
            <w:shd w:val="clear" w:color="auto" w:fill="CCEEFF"/>
          </w:tcPr>
          <w:p>
            <w:pPr>
              <w:spacing w:after="0"/>
              <w:rPr>
                <w:sz w:val="5"/>
                <w:szCs w:val="5"/>
                <w:color w:val="auto"/>
              </w:rPr>
            </w:pPr>
          </w:p>
        </w:tc>
        <w:tc>
          <w:tcPr>
            <w:tcW w:w="0" w:type="dxa"/>
            <w:vAlign w:val="bottom"/>
          </w:tcPr>
          <w:p>
            <w:pPr>
              <w:spacing w:after="0"/>
              <w:rPr>
                <w:sz w:val="1"/>
                <w:szCs w:val="1"/>
                <w:color w:val="auto"/>
              </w:rPr>
            </w:pPr>
          </w:p>
        </w:tc>
      </w:tr>
      <w:tr>
        <w:trPr>
          <w:trHeight w:val="204"/>
        </w:trPr>
        <w:tc>
          <w:tcPr>
            <w:tcW w:w="6740" w:type="dxa"/>
            <w:vAlign w:val="bottom"/>
            <w:gridSpan w:val="2"/>
          </w:tcPr>
          <w:p>
            <w:pPr>
              <w:ind w:left="280"/>
              <w:spacing w:after="0"/>
              <w:rPr>
                <w:sz w:val="20"/>
                <w:szCs w:val="20"/>
                <w:color w:val="auto"/>
              </w:rPr>
            </w:pPr>
            <w:r>
              <w:rPr>
                <w:rFonts w:ascii="Arial" w:cs="Arial" w:eastAsia="Arial" w:hAnsi="Arial"/>
                <w:sz w:val="14"/>
                <w:szCs w:val="14"/>
                <w:color w:val="auto"/>
              </w:rPr>
              <w:t>Proceeds from vendor</w:t>
            </w:r>
          </w:p>
        </w:tc>
        <w:tc>
          <w:tcPr>
            <w:tcW w:w="360" w:type="dxa"/>
            <w:vAlign w:val="bottom"/>
          </w:tcPr>
          <w:p>
            <w:pPr>
              <w:spacing w:after="0"/>
              <w:rPr>
                <w:sz w:val="17"/>
                <w:szCs w:val="17"/>
                <w:color w:val="auto"/>
              </w:rPr>
            </w:pPr>
          </w:p>
        </w:tc>
        <w:tc>
          <w:tcPr>
            <w:tcW w:w="1100" w:type="dxa"/>
            <w:vAlign w:val="bottom"/>
            <w:vMerge w:val="restart"/>
          </w:tcPr>
          <w:p>
            <w:pPr>
              <w:jc w:val="right"/>
              <w:ind w:right="8"/>
              <w:spacing w:after="0"/>
              <w:rPr>
                <w:sz w:val="20"/>
                <w:szCs w:val="20"/>
                <w:color w:val="auto"/>
              </w:rPr>
            </w:pPr>
            <w:r>
              <w:rPr>
                <w:rFonts w:ascii="Arial" w:cs="Arial" w:eastAsia="Arial" w:hAnsi="Arial"/>
                <w:sz w:val="14"/>
                <w:szCs w:val="14"/>
                <w:color w:val="auto"/>
              </w:rPr>
              <w:t>250</w:t>
            </w:r>
          </w:p>
        </w:tc>
        <w:tc>
          <w:tcPr>
            <w:tcW w:w="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240" w:type="dxa"/>
            <w:vAlign w:val="bottom"/>
            <w:gridSpan w:val="2"/>
            <w:vMerge w:val="restart"/>
          </w:tcPr>
          <w:p>
            <w:pPr>
              <w:jc w:val="right"/>
              <w:ind w:right="220"/>
              <w:spacing w:after="0"/>
              <w:rPr>
                <w:sz w:val="20"/>
                <w:szCs w:val="20"/>
                <w:color w:val="auto"/>
              </w:rPr>
            </w:pPr>
            <w:r>
              <w:rPr>
                <w:rFonts w:ascii="Arial" w:cs="Arial" w:eastAsia="Arial" w:hAnsi="Arial"/>
                <w:sz w:val="14"/>
                <w:szCs w:val="14"/>
                <w:color w:val="auto"/>
              </w:rPr>
              <w:t>—</w:t>
            </w:r>
          </w:p>
        </w:tc>
        <w:tc>
          <w:tcPr>
            <w:tcW w:w="340" w:type="dxa"/>
            <w:vAlign w:val="bottom"/>
          </w:tcPr>
          <w:p>
            <w:pPr>
              <w:spacing w:after="0"/>
              <w:rPr>
                <w:sz w:val="17"/>
                <w:szCs w:val="17"/>
                <w:color w:val="auto"/>
              </w:rPr>
            </w:pPr>
          </w:p>
        </w:tc>
        <w:tc>
          <w:tcPr>
            <w:tcW w:w="1120" w:type="dxa"/>
            <w:vAlign w:val="bottom"/>
            <w:vMerge w:val="restart"/>
          </w:tcPr>
          <w:p>
            <w:pPr>
              <w:jc w:val="right"/>
              <w:ind w:right="28"/>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60"/>
        </w:trPr>
        <w:tc>
          <w:tcPr>
            <w:tcW w:w="2120" w:type="dxa"/>
            <w:vAlign w:val="bottom"/>
          </w:tcPr>
          <w:p>
            <w:pPr>
              <w:spacing w:after="0"/>
              <w:rPr>
                <w:sz w:val="5"/>
                <w:szCs w:val="5"/>
                <w:color w:val="auto"/>
              </w:rPr>
            </w:pPr>
          </w:p>
        </w:tc>
        <w:tc>
          <w:tcPr>
            <w:tcW w:w="4620" w:type="dxa"/>
            <w:vAlign w:val="bottom"/>
          </w:tcPr>
          <w:p>
            <w:pPr>
              <w:spacing w:after="0"/>
              <w:rPr>
                <w:sz w:val="5"/>
                <w:szCs w:val="5"/>
                <w:color w:val="auto"/>
              </w:rPr>
            </w:pPr>
          </w:p>
        </w:tc>
        <w:tc>
          <w:tcPr>
            <w:tcW w:w="360" w:type="dxa"/>
            <w:vAlign w:val="bottom"/>
          </w:tcPr>
          <w:p>
            <w:pPr>
              <w:spacing w:after="0"/>
              <w:rPr>
                <w:sz w:val="5"/>
                <w:szCs w:val="5"/>
                <w:color w:val="auto"/>
              </w:rPr>
            </w:pPr>
          </w:p>
        </w:tc>
        <w:tc>
          <w:tcPr>
            <w:tcW w:w="1100" w:type="dxa"/>
            <w:vAlign w:val="bottom"/>
            <w:vMerge w:val="continue"/>
          </w:tcPr>
          <w:p>
            <w:pPr>
              <w:spacing w:after="0"/>
              <w:rPr>
                <w:sz w:val="5"/>
                <w:szCs w:val="5"/>
                <w:color w:val="auto"/>
              </w:rPr>
            </w:pPr>
          </w:p>
        </w:tc>
        <w:tc>
          <w:tcPr>
            <w:tcW w:w="40" w:type="dxa"/>
            <w:vAlign w:val="bottom"/>
          </w:tcPr>
          <w:p>
            <w:pPr>
              <w:spacing w:after="0"/>
              <w:rPr>
                <w:sz w:val="5"/>
                <w:szCs w:val="5"/>
                <w:color w:val="auto"/>
              </w:rPr>
            </w:pPr>
          </w:p>
        </w:tc>
        <w:tc>
          <w:tcPr>
            <w:tcW w:w="120" w:type="dxa"/>
            <w:vAlign w:val="bottom"/>
          </w:tcPr>
          <w:p>
            <w:pPr>
              <w:spacing w:after="0"/>
              <w:rPr>
                <w:sz w:val="5"/>
                <w:szCs w:val="5"/>
                <w:color w:val="auto"/>
              </w:rPr>
            </w:pPr>
          </w:p>
        </w:tc>
        <w:tc>
          <w:tcPr>
            <w:tcW w:w="360" w:type="dxa"/>
            <w:vAlign w:val="bottom"/>
          </w:tcPr>
          <w:p>
            <w:pPr>
              <w:spacing w:after="0"/>
              <w:rPr>
                <w:sz w:val="5"/>
                <w:szCs w:val="5"/>
                <w:color w:val="auto"/>
              </w:rPr>
            </w:pPr>
          </w:p>
        </w:tc>
        <w:tc>
          <w:tcPr>
            <w:tcW w:w="1240" w:type="dxa"/>
            <w:vAlign w:val="bottom"/>
            <w:gridSpan w:val="2"/>
            <w:vMerge w:val="continue"/>
          </w:tcPr>
          <w:p>
            <w:pPr>
              <w:spacing w:after="0"/>
              <w:rPr>
                <w:sz w:val="5"/>
                <w:szCs w:val="5"/>
                <w:color w:val="auto"/>
              </w:rPr>
            </w:pPr>
          </w:p>
        </w:tc>
        <w:tc>
          <w:tcPr>
            <w:tcW w:w="340" w:type="dxa"/>
            <w:vAlign w:val="bottom"/>
          </w:tcPr>
          <w:p>
            <w:pPr>
              <w:spacing w:after="0"/>
              <w:rPr>
                <w:sz w:val="5"/>
                <w:szCs w:val="5"/>
                <w:color w:val="auto"/>
              </w:rPr>
            </w:pPr>
          </w:p>
        </w:tc>
        <w:tc>
          <w:tcPr>
            <w:tcW w:w="112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r>
        <w:trPr>
          <w:trHeight w:val="210"/>
        </w:trPr>
        <w:tc>
          <w:tcPr>
            <w:tcW w:w="6740" w:type="dxa"/>
            <w:vAlign w:val="bottom"/>
            <w:gridSpan w:val="2"/>
            <w:shd w:val="clear" w:color="auto" w:fill="CCEEFF"/>
          </w:tcPr>
          <w:p>
            <w:pPr>
              <w:ind w:left="280"/>
              <w:spacing w:after="0"/>
              <w:rPr>
                <w:sz w:val="20"/>
                <w:szCs w:val="20"/>
                <w:color w:val="auto"/>
              </w:rPr>
            </w:pPr>
            <w:r>
              <w:rPr>
                <w:rFonts w:ascii="Arial" w:cs="Arial" w:eastAsia="Arial" w:hAnsi="Arial"/>
                <w:sz w:val="14"/>
                <w:szCs w:val="14"/>
                <w:color w:val="auto"/>
              </w:rPr>
              <w:t>Decrease (increase) in restricted short-term investments</w:t>
            </w:r>
          </w:p>
        </w:tc>
        <w:tc>
          <w:tcPr>
            <w:tcW w:w="360" w:type="dxa"/>
            <w:vAlign w:val="bottom"/>
            <w:shd w:val="clear" w:color="auto" w:fill="CCEEFF"/>
          </w:tcPr>
          <w:p>
            <w:pPr>
              <w:spacing w:after="0"/>
              <w:rPr>
                <w:sz w:val="18"/>
                <w:szCs w:val="18"/>
                <w:color w:val="auto"/>
              </w:rPr>
            </w:pPr>
          </w:p>
        </w:tc>
        <w:tc>
          <w:tcPr>
            <w:tcW w:w="110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(3)</w:t>
            </w:r>
          </w:p>
        </w:tc>
        <w:tc>
          <w:tcPr>
            <w:tcW w:w="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140" w:type="dxa"/>
            <w:vAlign w:val="bottom"/>
            <w:vMerge w:val="restart"/>
            <w:shd w:val="clear" w:color="auto" w:fill="CCEEFF"/>
          </w:tcPr>
          <w:p>
            <w:pPr>
              <w:jc w:val="right"/>
              <w:ind w:right="48"/>
              <w:spacing w:after="0"/>
              <w:rPr>
                <w:sz w:val="20"/>
                <w:szCs w:val="20"/>
                <w:color w:val="auto"/>
              </w:rPr>
            </w:pPr>
            <w:r>
              <w:rPr>
                <w:rFonts w:ascii="Arial" w:cs="Arial" w:eastAsia="Arial" w:hAnsi="Arial"/>
                <w:sz w:val="14"/>
                <w:szCs w:val="14"/>
                <w:color w:val="auto"/>
              </w:rPr>
              <w:t>72</w:t>
            </w:r>
          </w:p>
        </w:tc>
        <w:tc>
          <w:tcPr>
            <w:tcW w:w="1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120" w:type="dxa"/>
            <w:vAlign w:val="bottom"/>
            <w:vMerge w:val="restart"/>
            <w:shd w:val="clear" w:color="auto" w:fill="CCEEFF"/>
          </w:tcPr>
          <w:p>
            <w:pPr>
              <w:jc w:val="right"/>
              <w:ind w:right="28"/>
              <w:spacing w:after="0"/>
              <w:rPr>
                <w:sz w:val="20"/>
                <w:szCs w:val="20"/>
                <w:color w:val="auto"/>
              </w:rPr>
            </w:pPr>
            <w:r>
              <w:rPr>
                <w:rFonts w:ascii="Arial" w:cs="Arial" w:eastAsia="Arial" w:hAnsi="Arial"/>
                <w:sz w:val="14"/>
                <w:szCs w:val="14"/>
                <w:color w:val="auto"/>
              </w:rPr>
              <w:t>309</w:t>
            </w:r>
          </w:p>
        </w:tc>
        <w:tc>
          <w:tcPr>
            <w:tcW w:w="0" w:type="dxa"/>
            <w:vAlign w:val="bottom"/>
          </w:tcPr>
          <w:p>
            <w:pPr>
              <w:spacing w:after="0"/>
              <w:rPr>
                <w:sz w:val="1"/>
                <w:szCs w:val="1"/>
                <w:color w:val="auto"/>
              </w:rPr>
            </w:pPr>
          </w:p>
        </w:tc>
      </w:tr>
      <w:tr>
        <w:trPr>
          <w:trHeight w:val="66"/>
        </w:trPr>
        <w:tc>
          <w:tcPr>
            <w:tcW w:w="2120" w:type="dxa"/>
            <w:vAlign w:val="bottom"/>
            <w:shd w:val="clear" w:color="auto" w:fill="CCEEFF"/>
          </w:tcPr>
          <w:p>
            <w:pPr>
              <w:spacing w:after="0"/>
              <w:rPr>
                <w:sz w:val="5"/>
                <w:szCs w:val="5"/>
                <w:color w:val="auto"/>
              </w:rPr>
            </w:pPr>
          </w:p>
        </w:tc>
        <w:tc>
          <w:tcPr>
            <w:tcW w:w="4620" w:type="dxa"/>
            <w:vAlign w:val="bottom"/>
            <w:shd w:val="clear" w:color="auto" w:fill="CCEEFF"/>
          </w:tcPr>
          <w:p>
            <w:pPr>
              <w:spacing w:after="0"/>
              <w:rPr>
                <w:sz w:val="5"/>
                <w:szCs w:val="5"/>
                <w:color w:val="auto"/>
              </w:rPr>
            </w:pPr>
          </w:p>
        </w:tc>
        <w:tc>
          <w:tcPr>
            <w:tcW w:w="360" w:type="dxa"/>
            <w:vAlign w:val="bottom"/>
            <w:shd w:val="clear" w:color="auto" w:fill="CCEEFF"/>
          </w:tcPr>
          <w:p>
            <w:pPr>
              <w:spacing w:after="0"/>
              <w:rPr>
                <w:sz w:val="5"/>
                <w:szCs w:val="5"/>
                <w:color w:val="auto"/>
              </w:rPr>
            </w:pPr>
          </w:p>
        </w:tc>
        <w:tc>
          <w:tcPr>
            <w:tcW w:w="1100" w:type="dxa"/>
            <w:vAlign w:val="bottom"/>
            <w:vMerge w:val="continue"/>
            <w:shd w:val="clear" w:color="auto" w:fill="CCEEFF"/>
          </w:tcPr>
          <w:p>
            <w:pPr>
              <w:spacing w:after="0"/>
              <w:rPr>
                <w:sz w:val="5"/>
                <w:szCs w:val="5"/>
                <w:color w:val="auto"/>
              </w:rPr>
            </w:pPr>
          </w:p>
        </w:tc>
        <w:tc>
          <w:tcPr>
            <w:tcW w:w="40" w:type="dxa"/>
            <w:vAlign w:val="bottom"/>
            <w:shd w:val="clear" w:color="auto" w:fill="CCEEFF"/>
          </w:tcPr>
          <w:p>
            <w:pPr>
              <w:spacing w:after="0"/>
              <w:rPr>
                <w:sz w:val="5"/>
                <w:szCs w:val="5"/>
                <w:color w:val="auto"/>
              </w:rPr>
            </w:pPr>
          </w:p>
        </w:tc>
        <w:tc>
          <w:tcPr>
            <w:tcW w:w="120" w:type="dxa"/>
            <w:vAlign w:val="bottom"/>
            <w:shd w:val="clear" w:color="auto" w:fill="CCEEFF"/>
          </w:tcPr>
          <w:p>
            <w:pPr>
              <w:spacing w:after="0"/>
              <w:rPr>
                <w:sz w:val="5"/>
                <w:szCs w:val="5"/>
                <w:color w:val="auto"/>
              </w:rPr>
            </w:pPr>
          </w:p>
        </w:tc>
        <w:tc>
          <w:tcPr>
            <w:tcW w:w="360" w:type="dxa"/>
            <w:vAlign w:val="bottom"/>
            <w:shd w:val="clear" w:color="auto" w:fill="CCEEFF"/>
          </w:tcPr>
          <w:p>
            <w:pPr>
              <w:spacing w:after="0"/>
              <w:rPr>
                <w:sz w:val="5"/>
                <w:szCs w:val="5"/>
                <w:color w:val="auto"/>
              </w:rPr>
            </w:pPr>
          </w:p>
        </w:tc>
        <w:tc>
          <w:tcPr>
            <w:tcW w:w="1140" w:type="dxa"/>
            <w:vAlign w:val="bottom"/>
            <w:vMerge w:val="continue"/>
            <w:shd w:val="clear" w:color="auto" w:fill="CCEEFF"/>
          </w:tcPr>
          <w:p>
            <w:pPr>
              <w:spacing w:after="0"/>
              <w:rPr>
                <w:sz w:val="5"/>
                <w:szCs w:val="5"/>
                <w:color w:val="auto"/>
              </w:rPr>
            </w:pPr>
          </w:p>
        </w:tc>
        <w:tc>
          <w:tcPr>
            <w:tcW w:w="100" w:type="dxa"/>
            <w:vAlign w:val="bottom"/>
            <w:shd w:val="clear" w:color="auto" w:fill="CCEEFF"/>
          </w:tcPr>
          <w:p>
            <w:pPr>
              <w:spacing w:after="0"/>
              <w:rPr>
                <w:sz w:val="5"/>
                <w:szCs w:val="5"/>
                <w:color w:val="auto"/>
              </w:rPr>
            </w:pPr>
          </w:p>
        </w:tc>
        <w:tc>
          <w:tcPr>
            <w:tcW w:w="340" w:type="dxa"/>
            <w:vAlign w:val="bottom"/>
            <w:shd w:val="clear" w:color="auto" w:fill="CCEEFF"/>
          </w:tcPr>
          <w:p>
            <w:pPr>
              <w:spacing w:after="0"/>
              <w:rPr>
                <w:sz w:val="5"/>
                <w:szCs w:val="5"/>
                <w:color w:val="auto"/>
              </w:rPr>
            </w:pPr>
          </w:p>
        </w:tc>
        <w:tc>
          <w:tcPr>
            <w:tcW w:w="1120" w:type="dxa"/>
            <w:vAlign w:val="bottom"/>
            <w:vMerge w:val="continue"/>
            <w:shd w:val="clear" w:color="auto" w:fill="CCEEFF"/>
          </w:tcPr>
          <w:p>
            <w:pPr>
              <w:spacing w:after="0"/>
              <w:rPr>
                <w:sz w:val="5"/>
                <w:szCs w:val="5"/>
                <w:color w:val="auto"/>
              </w:rPr>
            </w:pPr>
          </w:p>
        </w:tc>
        <w:tc>
          <w:tcPr>
            <w:tcW w:w="0" w:type="dxa"/>
            <w:vAlign w:val="bottom"/>
          </w:tcPr>
          <w:p>
            <w:pPr>
              <w:spacing w:after="0"/>
              <w:rPr>
                <w:sz w:val="1"/>
                <w:szCs w:val="1"/>
                <w:color w:val="auto"/>
              </w:rPr>
            </w:pPr>
          </w:p>
        </w:tc>
      </w:tr>
      <w:tr>
        <w:trPr>
          <w:trHeight w:val="204"/>
        </w:trPr>
        <w:tc>
          <w:tcPr>
            <w:tcW w:w="6740" w:type="dxa"/>
            <w:vAlign w:val="bottom"/>
            <w:gridSpan w:val="2"/>
          </w:tcPr>
          <w:p>
            <w:pPr>
              <w:ind w:left="280"/>
              <w:spacing w:after="0"/>
              <w:rPr>
                <w:sz w:val="20"/>
                <w:szCs w:val="20"/>
                <w:color w:val="auto"/>
              </w:rPr>
            </w:pPr>
            <w:r>
              <w:rPr>
                <w:rFonts w:ascii="Arial" w:cs="Arial" w:eastAsia="Arial" w:hAnsi="Arial"/>
                <w:sz w:val="14"/>
                <w:szCs w:val="14"/>
                <w:color w:val="auto"/>
              </w:rPr>
              <w:t>Proceeds from sale of investments</w:t>
            </w:r>
          </w:p>
        </w:tc>
        <w:tc>
          <w:tcPr>
            <w:tcW w:w="360" w:type="dxa"/>
            <w:vAlign w:val="bottom"/>
          </w:tcPr>
          <w:p>
            <w:pPr>
              <w:spacing w:after="0"/>
              <w:rPr>
                <w:sz w:val="17"/>
                <w:szCs w:val="17"/>
                <w:color w:val="auto"/>
              </w:rPr>
            </w:pPr>
          </w:p>
        </w:tc>
        <w:tc>
          <w:tcPr>
            <w:tcW w:w="1100" w:type="dxa"/>
            <w:vAlign w:val="bottom"/>
            <w:vMerge w:val="restart"/>
          </w:tcPr>
          <w:p>
            <w:pPr>
              <w:jc w:val="right"/>
              <w:ind w:right="8"/>
              <w:spacing w:after="0"/>
              <w:rPr>
                <w:sz w:val="20"/>
                <w:szCs w:val="20"/>
                <w:color w:val="auto"/>
              </w:rPr>
            </w:pPr>
            <w:r>
              <w:rPr>
                <w:rFonts w:ascii="Arial" w:cs="Arial" w:eastAsia="Arial" w:hAnsi="Arial"/>
                <w:sz w:val="14"/>
                <w:szCs w:val="14"/>
                <w:color w:val="auto"/>
              </w:rPr>
              <w:t>—</w:t>
            </w:r>
          </w:p>
        </w:tc>
        <w:tc>
          <w:tcPr>
            <w:tcW w:w="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140" w:type="dxa"/>
            <w:vAlign w:val="bottom"/>
            <w:vMerge w:val="restart"/>
          </w:tcPr>
          <w:p>
            <w:pPr>
              <w:jc w:val="right"/>
              <w:ind w:right="48"/>
              <w:spacing w:after="0"/>
              <w:rPr>
                <w:sz w:val="20"/>
                <w:szCs w:val="20"/>
                <w:color w:val="auto"/>
              </w:rPr>
            </w:pPr>
            <w:r>
              <w:rPr>
                <w:rFonts w:ascii="Arial" w:cs="Arial" w:eastAsia="Arial" w:hAnsi="Arial"/>
                <w:sz w:val="14"/>
                <w:szCs w:val="14"/>
                <w:color w:val="auto"/>
              </w:rPr>
              <w:t>207</w:t>
            </w:r>
          </w:p>
        </w:tc>
        <w:tc>
          <w:tcPr>
            <w:tcW w:w="1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120" w:type="dxa"/>
            <w:vAlign w:val="bottom"/>
            <w:vMerge w:val="restart"/>
          </w:tcPr>
          <w:p>
            <w:pPr>
              <w:jc w:val="right"/>
              <w:ind w:right="28"/>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60"/>
        </w:trPr>
        <w:tc>
          <w:tcPr>
            <w:tcW w:w="2120" w:type="dxa"/>
            <w:vAlign w:val="bottom"/>
          </w:tcPr>
          <w:p>
            <w:pPr>
              <w:spacing w:after="0"/>
              <w:rPr>
                <w:sz w:val="5"/>
                <w:szCs w:val="5"/>
                <w:color w:val="auto"/>
              </w:rPr>
            </w:pPr>
          </w:p>
        </w:tc>
        <w:tc>
          <w:tcPr>
            <w:tcW w:w="4620" w:type="dxa"/>
            <w:vAlign w:val="bottom"/>
          </w:tcPr>
          <w:p>
            <w:pPr>
              <w:spacing w:after="0"/>
              <w:rPr>
                <w:sz w:val="5"/>
                <w:szCs w:val="5"/>
                <w:color w:val="auto"/>
              </w:rPr>
            </w:pPr>
          </w:p>
        </w:tc>
        <w:tc>
          <w:tcPr>
            <w:tcW w:w="360" w:type="dxa"/>
            <w:vAlign w:val="bottom"/>
          </w:tcPr>
          <w:p>
            <w:pPr>
              <w:spacing w:after="0"/>
              <w:rPr>
                <w:sz w:val="5"/>
                <w:szCs w:val="5"/>
                <w:color w:val="auto"/>
              </w:rPr>
            </w:pPr>
          </w:p>
        </w:tc>
        <w:tc>
          <w:tcPr>
            <w:tcW w:w="1100" w:type="dxa"/>
            <w:vAlign w:val="bottom"/>
            <w:vMerge w:val="continue"/>
          </w:tcPr>
          <w:p>
            <w:pPr>
              <w:spacing w:after="0"/>
              <w:rPr>
                <w:sz w:val="5"/>
                <w:szCs w:val="5"/>
                <w:color w:val="auto"/>
              </w:rPr>
            </w:pPr>
          </w:p>
        </w:tc>
        <w:tc>
          <w:tcPr>
            <w:tcW w:w="40" w:type="dxa"/>
            <w:vAlign w:val="bottom"/>
          </w:tcPr>
          <w:p>
            <w:pPr>
              <w:spacing w:after="0"/>
              <w:rPr>
                <w:sz w:val="5"/>
                <w:szCs w:val="5"/>
                <w:color w:val="auto"/>
              </w:rPr>
            </w:pPr>
          </w:p>
        </w:tc>
        <w:tc>
          <w:tcPr>
            <w:tcW w:w="120" w:type="dxa"/>
            <w:vAlign w:val="bottom"/>
          </w:tcPr>
          <w:p>
            <w:pPr>
              <w:spacing w:after="0"/>
              <w:rPr>
                <w:sz w:val="5"/>
                <w:szCs w:val="5"/>
                <w:color w:val="auto"/>
              </w:rPr>
            </w:pPr>
          </w:p>
        </w:tc>
        <w:tc>
          <w:tcPr>
            <w:tcW w:w="360" w:type="dxa"/>
            <w:vAlign w:val="bottom"/>
          </w:tcPr>
          <w:p>
            <w:pPr>
              <w:spacing w:after="0"/>
              <w:rPr>
                <w:sz w:val="5"/>
                <w:szCs w:val="5"/>
                <w:color w:val="auto"/>
              </w:rPr>
            </w:pPr>
          </w:p>
        </w:tc>
        <w:tc>
          <w:tcPr>
            <w:tcW w:w="1140" w:type="dxa"/>
            <w:vAlign w:val="bottom"/>
            <w:vMerge w:val="continue"/>
          </w:tcPr>
          <w:p>
            <w:pPr>
              <w:spacing w:after="0"/>
              <w:rPr>
                <w:sz w:val="5"/>
                <w:szCs w:val="5"/>
                <w:color w:val="auto"/>
              </w:rPr>
            </w:pPr>
          </w:p>
        </w:tc>
        <w:tc>
          <w:tcPr>
            <w:tcW w:w="100" w:type="dxa"/>
            <w:vAlign w:val="bottom"/>
          </w:tcPr>
          <w:p>
            <w:pPr>
              <w:spacing w:after="0"/>
              <w:rPr>
                <w:sz w:val="5"/>
                <w:szCs w:val="5"/>
                <w:color w:val="auto"/>
              </w:rPr>
            </w:pPr>
          </w:p>
        </w:tc>
        <w:tc>
          <w:tcPr>
            <w:tcW w:w="340" w:type="dxa"/>
            <w:vAlign w:val="bottom"/>
          </w:tcPr>
          <w:p>
            <w:pPr>
              <w:spacing w:after="0"/>
              <w:rPr>
                <w:sz w:val="5"/>
                <w:szCs w:val="5"/>
                <w:color w:val="auto"/>
              </w:rPr>
            </w:pPr>
          </w:p>
        </w:tc>
        <w:tc>
          <w:tcPr>
            <w:tcW w:w="112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r>
        <w:trPr>
          <w:trHeight w:val="210"/>
        </w:trPr>
        <w:tc>
          <w:tcPr>
            <w:tcW w:w="6740" w:type="dxa"/>
            <w:vAlign w:val="bottom"/>
            <w:gridSpan w:val="2"/>
            <w:shd w:val="clear" w:color="auto" w:fill="CCEEFF"/>
          </w:tcPr>
          <w:p>
            <w:pPr>
              <w:ind w:left="280"/>
              <w:spacing w:after="0"/>
              <w:rPr>
                <w:sz w:val="20"/>
                <w:szCs w:val="20"/>
                <w:color w:val="auto"/>
              </w:rPr>
            </w:pPr>
            <w:r>
              <w:rPr>
                <w:rFonts w:ascii="Arial" w:cs="Arial" w:eastAsia="Arial" w:hAnsi="Arial"/>
                <w:sz w:val="14"/>
                <w:szCs w:val="14"/>
                <w:color w:val="auto"/>
              </w:rPr>
              <w:t>Purchase of equity investment</w:t>
            </w:r>
          </w:p>
        </w:tc>
        <w:tc>
          <w:tcPr>
            <w:tcW w:w="360" w:type="dxa"/>
            <w:vAlign w:val="bottom"/>
            <w:shd w:val="clear" w:color="auto" w:fill="CCEEFF"/>
          </w:tcPr>
          <w:p>
            <w:pPr>
              <w:spacing w:after="0"/>
              <w:rPr>
                <w:sz w:val="18"/>
                <w:szCs w:val="18"/>
                <w:color w:val="auto"/>
              </w:rPr>
            </w:pPr>
          </w:p>
        </w:tc>
        <w:tc>
          <w:tcPr>
            <w:tcW w:w="1100" w:type="dxa"/>
            <w:vAlign w:val="bottom"/>
            <w:vMerge w:val="restart"/>
            <w:shd w:val="clear" w:color="auto" w:fill="CCEEFF"/>
          </w:tcPr>
          <w:p>
            <w:pPr>
              <w:jc w:val="right"/>
              <w:ind w:right="8"/>
              <w:spacing w:after="0"/>
              <w:rPr>
                <w:sz w:val="20"/>
                <w:szCs w:val="20"/>
                <w:color w:val="auto"/>
              </w:rPr>
            </w:pPr>
            <w:r>
              <w:rPr>
                <w:rFonts w:ascii="Arial" w:cs="Arial" w:eastAsia="Arial" w:hAnsi="Arial"/>
                <w:sz w:val="14"/>
                <w:szCs w:val="14"/>
                <w:color w:val="auto"/>
              </w:rPr>
              <w:t>—</w:t>
            </w:r>
          </w:p>
        </w:tc>
        <w:tc>
          <w:tcPr>
            <w:tcW w:w="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240" w:type="dxa"/>
            <w:vAlign w:val="bottom"/>
            <w:gridSpan w:val="2"/>
            <w:vMerge w:val="restart"/>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340" w:type="dxa"/>
            <w:vAlign w:val="bottom"/>
            <w:shd w:val="clear" w:color="auto" w:fill="CCEEFF"/>
          </w:tcPr>
          <w:p>
            <w:pPr>
              <w:spacing w:after="0"/>
              <w:rPr>
                <w:sz w:val="18"/>
                <w:szCs w:val="18"/>
                <w:color w:val="auto"/>
              </w:rPr>
            </w:pPr>
          </w:p>
        </w:tc>
        <w:tc>
          <w:tcPr>
            <w:tcW w:w="112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(203)</w:t>
            </w:r>
          </w:p>
        </w:tc>
        <w:tc>
          <w:tcPr>
            <w:tcW w:w="0" w:type="dxa"/>
            <w:vAlign w:val="bottom"/>
          </w:tcPr>
          <w:p>
            <w:pPr>
              <w:spacing w:after="0"/>
              <w:rPr>
                <w:sz w:val="1"/>
                <w:szCs w:val="1"/>
                <w:color w:val="auto"/>
              </w:rPr>
            </w:pPr>
          </w:p>
        </w:tc>
      </w:tr>
      <w:tr>
        <w:trPr>
          <w:trHeight w:val="66"/>
        </w:trPr>
        <w:tc>
          <w:tcPr>
            <w:tcW w:w="2120" w:type="dxa"/>
            <w:vAlign w:val="bottom"/>
            <w:shd w:val="clear" w:color="auto" w:fill="CCEEFF"/>
          </w:tcPr>
          <w:p>
            <w:pPr>
              <w:spacing w:after="0"/>
              <w:rPr>
                <w:sz w:val="5"/>
                <w:szCs w:val="5"/>
                <w:color w:val="auto"/>
              </w:rPr>
            </w:pPr>
          </w:p>
        </w:tc>
        <w:tc>
          <w:tcPr>
            <w:tcW w:w="4620" w:type="dxa"/>
            <w:vAlign w:val="bottom"/>
            <w:shd w:val="clear" w:color="auto" w:fill="CCEEFF"/>
          </w:tcPr>
          <w:p>
            <w:pPr>
              <w:spacing w:after="0"/>
              <w:rPr>
                <w:sz w:val="5"/>
                <w:szCs w:val="5"/>
                <w:color w:val="auto"/>
              </w:rPr>
            </w:pPr>
          </w:p>
        </w:tc>
        <w:tc>
          <w:tcPr>
            <w:tcW w:w="360" w:type="dxa"/>
            <w:vAlign w:val="bottom"/>
            <w:shd w:val="clear" w:color="auto" w:fill="CCEEFF"/>
          </w:tcPr>
          <w:p>
            <w:pPr>
              <w:spacing w:after="0"/>
              <w:rPr>
                <w:sz w:val="5"/>
                <w:szCs w:val="5"/>
                <w:color w:val="auto"/>
              </w:rPr>
            </w:pPr>
          </w:p>
        </w:tc>
        <w:tc>
          <w:tcPr>
            <w:tcW w:w="1100" w:type="dxa"/>
            <w:vAlign w:val="bottom"/>
            <w:vMerge w:val="continue"/>
            <w:shd w:val="clear" w:color="auto" w:fill="CCEEFF"/>
          </w:tcPr>
          <w:p>
            <w:pPr>
              <w:spacing w:after="0"/>
              <w:rPr>
                <w:sz w:val="5"/>
                <w:szCs w:val="5"/>
                <w:color w:val="auto"/>
              </w:rPr>
            </w:pPr>
          </w:p>
        </w:tc>
        <w:tc>
          <w:tcPr>
            <w:tcW w:w="40" w:type="dxa"/>
            <w:vAlign w:val="bottom"/>
            <w:shd w:val="clear" w:color="auto" w:fill="CCEEFF"/>
          </w:tcPr>
          <w:p>
            <w:pPr>
              <w:spacing w:after="0"/>
              <w:rPr>
                <w:sz w:val="5"/>
                <w:szCs w:val="5"/>
                <w:color w:val="auto"/>
              </w:rPr>
            </w:pPr>
          </w:p>
        </w:tc>
        <w:tc>
          <w:tcPr>
            <w:tcW w:w="120" w:type="dxa"/>
            <w:vAlign w:val="bottom"/>
            <w:shd w:val="clear" w:color="auto" w:fill="CCEEFF"/>
          </w:tcPr>
          <w:p>
            <w:pPr>
              <w:spacing w:after="0"/>
              <w:rPr>
                <w:sz w:val="5"/>
                <w:szCs w:val="5"/>
                <w:color w:val="auto"/>
              </w:rPr>
            </w:pPr>
          </w:p>
        </w:tc>
        <w:tc>
          <w:tcPr>
            <w:tcW w:w="360" w:type="dxa"/>
            <w:vAlign w:val="bottom"/>
            <w:shd w:val="clear" w:color="auto" w:fill="CCEEFF"/>
          </w:tcPr>
          <w:p>
            <w:pPr>
              <w:spacing w:after="0"/>
              <w:rPr>
                <w:sz w:val="5"/>
                <w:szCs w:val="5"/>
                <w:color w:val="auto"/>
              </w:rPr>
            </w:pPr>
          </w:p>
        </w:tc>
        <w:tc>
          <w:tcPr>
            <w:tcW w:w="1240" w:type="dxa"/>
            <w:vAlign w:val="bottom"/>
            <w:gridSpan w:val="2"/>
            <w:vMerge w:val="continue"/>
            <w:shd w:val="clear" w:color="auto" w:fill="CCEEFF"/>
          </w:tcPr>
          <w:p>
            <w:pPr>
              <w:spacing w:after="0"/>
              <w:rPr>
                <w:sz w:val="5"/>
                <w:szCs w:val="5"/>
                <w:color w:val="auto"/>
              </w:rPr>
            </w:pPr>
          </w:p>
        </w:tc>
        <w:tc>
          <w:tcPr>
            <w:tcW w:w="340" w:type="dxa"/>
            <w:vAlign w:val="bottom"/>
            <w:shd w:val="clear" w:color="auto" w:fill="CCEEFF"/>
          </w:tcPr>
          <w:p>
            <w:pPr>
              <w:spacing w:after="0"/>
              <w:rPr>
                <w:sz w:val="5"/>
                <w:szCs w:val="5"/>
                <w:color w:val="auto"/>
              </w:rPr>
            </w:pPr>
          </w:p>
        </w:tc>
        <w:tc>
          <w:tcPr>
            <w:tcW w:w="1120" w:type="dxa"/>
            <w:vAlign w:val="bottom"/>
            <w:vMerge w:val="continue"/>
            <w:shd w:val="clear" w:color="auto" w:fill="CCEEFF"/>
          </w:tcPr>
          <w:p>
            <w:pPr>
              <w:spacing w:after="0"/>
              <w:rPr>
                <w:sz w:val="5"/>
                <w:szCs w:val="5"/>
                <w:color w:val="auto"/>
              </w:rPr>
            </w:pPr>
          </w:p>
        </w:tc>
        <w:tc>
          <w:tcPr>
            <w:tcW w:w="0" w:type="dxa"/>
            <w:vAlign w:val="bottom"/>
          </w:tcPr>
          <w:p>
            <w:pPr>
              <w:spacing w:after="0"/>
              <w:rPr>
                <w:sz w:val="1"/>
                <w:szCs w:val="1"/>
                <w:color w:val="auto"/>
              </w:rPr>
            </w:pPr>
          </w:p>
        </w:tc>
      </w:tr>
      <w:tr>
        <w:trPr>
          <w:trHeight w:val="204"/>
        </w:trPr>
        <w:tc>
          <w:tcPr>
            <w:tcW w:w="6740" w:type="dxa"/>
            <w:vAlign w:val="bottom"/>
            <w:gridSpan w:val="2"/>
          </w:tcPr>
          <w:p>
            <w:pPr>
              <w:ind w:left="280"/>
              <w:spacing w:after="0"/>
              <w:rPr>
                <w:sz w:val="20"/>
                <w:szCs w:val="20"/>
                <w:color w:val="auto"/>
              </w:rPr>
            </w:pPr>
            <w:r>
              <w:rPr>
                <w:rFonts w:ascii="Arial" w:cs="Arial" w:eastAsia="Arial" w:hAnsi="Arial"/>
                <w:sz w:val="14"/>
                <w:szCs w:val="14"/>
                <w:color w:val="auto"/>
              </w:rPr>
              <w:t>Other investing activities</w:t>
            </w:r>
          </w:p>
        </w:tc>
        <w:tc>
          <w:tcPr>
            <w:tcW w:w="360" w:type="dxa"/>
            <w:vAlign w:val="bottom"/>
          </w:tcPr>
          <w:p>
            <w:pPr>
              <w:spacing w:after="0"/>
              <w:rPr>
                <w:sz w:val="17"/>
                <w:szCs w:val="17"/>
                <w:color w:val="auto"/>
              </w:rPr>
            </w:pPr>
          </w:p>
        </w:tc>
        <w:tc>
          <w:tcPr>
            <w:tcW w:w="1100" w:type="dxa"/>
            <w:vAlign w:val="bottom"/>
            <w:vMerge w:val="restart"/>
          </w:tcPr>
          <w:p>
            <w:pPr>
              <w:jc w:val="right"/>
              <w:spacing w:after="0"/>
              <w:rPr>
                <w:sz w:val="20"/>
                <w:szCs w:val="20"/>
                <w:color w:val="auto"/>
              </w:rPr>
            </w:pPr>
            <w:r>
              <w:rPr>
                <w:rFonts w:ascii="Arial" w:cs="Arial" w:eastAsia="Arial" w:hAnsi="Arial"/>
                <w:sz w:val="14"/>
                <w:szCs w:val="14"/>
                <w:color w:val="auto"/>
              </w:rPr>
              <w:t>(86)</w:t>
            </w:r>
          </w:p>
        </w:tc>
        <w:tc>
          <w:tcPr>
            <w:tcW w:w="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140" w:type="dxa"/>
            <w:vAlign w:val="bottom"/>
            <w:vMerge w:val="restart"/>
          </w:tcPr>
          <w:p>
            <w:pPr>
              <w:jc w:val="right"/>
              <w:spacing w:after="0"/>
              <w:rPr>
                <w:sz w:val="20"/>
                <w:szCs w:val="20"/>
                <w:color w:val="auto"/>
              </w:rPr>
            </w:pPr>
            <w:r>
              <w:rPr>
                <w:rFonts w:ascii="Arial" w:cs="Arial" w:eastAsia="Arial" w:hAnsi="Arial"/>
                <w:sz w:val="14"/>
                <w:szCs w:val="14"/>
                <w:color w:val="auto"/>
              </w:rPr>
              <w:t>(7)</w:t>
            </w:r>
          </w:p>
        </w:tc>
        <w:tc>
          <w:tcPr>
            <w:tcW w:w="1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120" w:type="dxa"/>
            <w:vAlign w:val="bottom"/>
            <w:vMerge w:val="restart"/>
          </w:tcPr>
          <w:p>
            <w:pPr>
              <w:jc w:val="right"/>
              <w:ind w:right="28"/>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60"/>
        </w:trPr>
        <w:tc>
          <w:tcPr>
            <w:tcW w:w="2120" w:type="dxa"/>
            <w:vAlign w:val="bottom"/>
            <w:tcBorders>
              <w:bottom w:val="single" w:sz="8" w:color="CCEEFF"/>
            </w:tcBorders>
          </w:tcPr>
          <w:p>
            <w:pPr>
              <w:spacing w:after="0"/>
              <w:rPr>
                <w:sz w:val="5"/>
                <w:szCs w:val="5"/>
                <w:color w:val="auto"/>
              </w:rPr>
            </w:pPr>
          </w:p>
        </w:tc>
        <w:tc>
          <w:tcPr>
            <w:tcW w:w="4620" w:type="dxa"/>
            <w:vAlign w:val="bottom"/>
            <w:tcBorders>
              <w:bottom w:val="single" w:sz="8" w:color="CCEEFF"/>
            </w:tcBorders>
          </w:tcPr>
          <w:p>
            <w:pPr>
              <w:spacing w:after="0"/>
              <w:rPr>
                <w:sz w:val="5"/>
                <w:szCs w:val="5"/>
                <w:color w:val="auto"/>
              </w:rPr>
            </w:pPr>
          </w:p>
        </w:tc>
        <w:tc>
          <w:tcPr>
            <w:tcW w:w="360" w:type="dxa"/>
            <w:vAlign w:val="bottom"/>
            <w:tcBorders>
              <w:bottom w:val="single" w:sz="8" w:color="auto"/>
            </w:tcBorders>
          </w:tcPr>
          <w:p>
            <w:pPr>
              <w:spacing w:after="0"/>
              <w:rPr>
                <w:sz w:val="5"/>
                <w:szCs w:val="5"/>
                <w:color w:val="auto"/>
              </w:rPr>
            </w:pPr>
          </w:p>
        </w:tc>
        <w:tc>
          <w:tcPr>
            <w:tcW w:w="1100" w:type="dxa"/>
            <w:vAlign w:val="bottom"/>
            <w:tcBorders>
              <w:bottom w:val="single" w:sz="8" w:color="auto"/>
            </w:tcBorders>
            <w:vMerge w:val="continue"/>
          </w:tcPr>
          <w:p>
            <w:pPr>
              <w:spacing w:after="0"/>
              <w:rPr>
                <w:sz w:val="5"/>
                <w:szCs w:val="5"/>
                <w:color w:val="auto"/>
              </w:rPr>
            </w:pPr>
          </w:p>
        </w:tc>
        <w:tc>
          <w:tcPr>
            <w:tcW w:w="40" w:type="dxa"/>
            <w:vAlign w:val="bottom"/>
            <w:tcBorders>
              <w:bottom w:val="single" w:sz="8" w:color="auto"/>
            </w:tcBorders>
          </w:tcPr>
          <w:p>
            <w:pPr>
              <w:spacing w:after="0"/>
              <w:rPr>
                <w:sz w:val="5"/>
                <w:szCs w:val="5"/>
                <w:color w:val="auto"/>
              </w:rPr>
            </w:pPr>
          </w:p>
        </w:tc>
        <w:tc>
          <w:tcPr>
            <w:tcW w:w="120" w:type="dxa"/>
            <w:vAlign w:val="bottom"/>
            <w:tcBorders>
              <w:bottom w:val="single" w:sz="8" w:color="CCEEFF"/>
            </w:tcBorders>
          </w:tcPr>
          <w:p>
            <w:pPr>
              <w:spacing w:after="0"/>
              <w:rPr>
                <w:sz w:val="5"/>
                <w:szCs w:val="5"/>
                <w:color w:val="auto"/>
              </w:rPr>
            </w:pPr>
          </w:p>
        </w:tc>
        <w:tc>
          <w:tcPr>
            <w:tcW w:w="360" w:type="dxa"/>
            <w:vAlign w:val="bottom"/>
            <w:tcBorders>
              <w:bottom w:val="single" w:sz="8" w:color="auto"/>
            </w:tcBorders>
          </w:tcPr>
          <w:p>
            <w:pPr>
              <w:spacing w:after="0"/>
              <w:rPr>
                <w:sz w:val="5"/>
                <w:szCs w:val="5"/>
                <w:color w:val="auto"/>
              </w:rPr>
            </w:pPr>
          </w:p>
        </w:tc>
        <w:tc>
          <w:tcPr>
            <w:tcW w:w="1140" w:type="dxa"/>
            <w:vAlign w:val="bottom"/>
            <w:tcBorders>
              <w:bottom w:val="single" w:sz="8" w:color="auto"/>
            </w:tcBorders>
            <w:vMerge w:val="continue"/>
          </w:tcPr>
          <w:p>
            <w:pPr>
              <w:spacing w:after="0"/>
              <w:rPr>
                <w:sz w:val="5"/>
                <w:szCs w:val="5"/>
                <w:color w:val="auto"/>
              </w:rPr>
            </w:pPr>
          </w:p>
        </w:tc>
        <w:tc>
          <w:tcPr>
            <w:tcW w:w="100" w:type="dxa"/>
            <w:vAlign w:val="bottom"/>
            <w:tcBorders>
              <w:bottom w:val="single" w:sz="8" w:color="CCEEFF"/>
            </w:tcBorders>
          </w:tcPr>
          <w:p>
            <w:pPr>
              <w:spacing w:after="0"/>
              <w:rPr>
                <w:sz w:val="5"/>
                <w:szCs w:val="5"/>
                <w:color w:val="auto"/>
              </w:rPr>
            </w:pPr>
          </w:p>
        </w:tc>
        <w:tc>
          <w:tcPr>
            <w:tcW w:w="340" w:type="dxa"/>
            <w:vAlign w:val="bottom"/>
            <w:tcBorders>
              <w:bottom w:val="single" w:sz="8" w:color="auto"/>
            </w:tcBorders>
          </w:tcPr>
          <w:p>
            <w:pPr>
              <w:spacing w:after="0"/>
              <w:rPr>
                <w:sz w:val="5"/>
                <w:szCs w:val="5"/>
                <w:color w:val="auto"/>
              </w:rPr>
            </w:pPr>
          </w:p>
        </w:tc>
        <w:tc>
          <w:tcPr>
            <w:tcW w:w="1120" w:type="dxa"/>
            <w:vAlign w:val="bottom"/>
            <w:tcBorders>
              <w:bottom w:val="single" w:sz="8" w:color="auto"/>
            </w:tcBorders>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90"/>
        </w:trPr>
        <w:tc>
          <w:tcPr>
            <w:tcW w:w="6740" w:type="dxa"/>
            <w:vAlign w:val="bottom"/>
            <w:gridSpan w:val="2"/>
            <w:shd w:val="clear" w:color="auto" w:fill="CCEEFF"/>
          </w:tcPr>
          <w:p>
            <w:pPr>
              <w:ind w:left="500"/>
              <w:spacing w:after="0"/>
              <w:rPr>
                <w:sz w:val="20"/>
                <w:szCs w:val="20"/>
                <w:color w:val="auto"/>
              </w:rPr>
            </w:pPr>
            <w:r>
              <w:rPr>
                <w:rFonts w:ascii="Arial" w:cs="Arial" w:eastAsia="Arial" w:hAnsi="Arial"/>
                <w:sz w:val="14"/>
                <w:szCs w:val="14"/>
                <w:color w:val="auto"/>
              </w:rPr>
              <w:t>Net cash used in investing activities</w:t>
            </w:r>
          </w:p>
        </w:tc>
        <w:tc>
          <w:tcPr>
            <w:tcW w:w="360" w:type="dxa"/>
            <w:vAlign w:val="bottom"/>
            <w:shd w:val="clear" w:color="auto" w:fill="CCEEFF"/>
          </w:tcPr>
          <w:p>
            <w:pPr>
              <w:spacing w:after="0"/>
              <w:rPr>
                <w:sz w:val="16"/>
                <w:szCs w:val="16"/>
                <w:color w:val="auto"/>
              </w:rPr>
            </w:pPr>
          </w:p>
        </w:tc>
        <w:tc>
          <w:tcPr>
            <w:tcW w:w="110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(2,243)</w:t>
            </w:r>
          </w:p>
        </w:tc>
        <w:tc>
          <w:tcPr>
            <w:tcW w:w="4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360" w:type="dxa"/>
            <w:vAlign w:val="bottom"/>
            <w:shd w:val="clear" w:color="auto" w:fill="CCEEFF"/>
          </w:tcPr>
          <w:p>
            <w:pPr>
              <w:spacing w:after="0"/>
              <w:rPr>
                <w:sz w:val="16"/>
                <w:szCs w:val="16"/>
                <w:color w:val="auto"/>
              </w:rPr>
            </w:pPr>
          </w:p>
        </w:tc>
        <w:tc>
          <w:tcPr>
            <w:tcW w:w="114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(1,973)</w:t>
            </w:r>
          </w:p>
        </w:tc>
        <w:tc>
          <w:tcPr>
            <w:tcW w:w="100" w:type="dxa"/>
            <w:vAlign w:val="bottom"/>
            <w:shd w:val="clear" w:color="auto" w:fill="CCEEFF"/>
          </w:tcPr>
          <w:p>
            <w:pPr>
              <w:spacing w:after="0"/>
              <w:rPr>
                <w:sz w:val="16"/>
                <w:szCs w:val="16"/>
                <w:color w:val="auto"/>
              </w:rPr>
            </w:pPr>
          </w:p>
        </w:tc>
        <w:tc>
          <w:tcPr>
            <w:tcW w:w="340" w:type="dxa"/>
            <w:vAlign w:val="bottom"/>
            <w:shd w:val="clear" w:color="auto" w:fill="CCEEFF"/>
          </w:tcPr>
          <w:p>
            <w:pPr>
              <w:spacing w:after="0"/>
              <w:rPr>
                <w:sz w:val="16"/>
                <w:szCs w:val="16"/>
                <w:color w:val="auto"/>
              </w:rPr>
            </w:pPr>
          </w:p>
        </w:tc>
        <w:tc>
          <w:tcPr>
            <w:tcW w:w="112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(3,636)</w:t>
            </w:r>
          </w:p>
        </w:tc>
        <w:tc>
          <w:tcPr>
            <w:tcW w:w="0" w:type="dxa"/>
            <w:vAlign w:val="bottom"/>
          </w:tcPr>
          <w:p>
            <w:pPr>
              <w:spacing w:after="0"/>
              <w:rPr>
                <w:sz w:val="1"/>
                <w:szCs w:val="1"/>
                <w:color w:val="auto"/>
              </w:rPr>
            </w:pPr>
          </w:p>
        </w:tc>
      </w:tr>
      <w:tr>
        <w:trPr>
          <w:trHeight w:val="66"/>
        </w:trPr>
        <w:tc>
          <w:tcPr>
            <w:tcW w:w="2120" w:type="dxa"/>
            <w:vAlign w:val="bottom"/>
            <w:shd w:val="clear" w:color="auto" w:fill="CCEEFF"/>
          </w:tcPr>
          <w:p>
            <w:pPr>
              <w:spacing w:after="0"/>
              <w:rPr>
                <w:sz w:val="5"/>
                <w:szCs w:val="5"/>
                <w:color w:val="auto"/>
              </w:rPr>
            </w:pPr>
          </w:p>
        </w:tc>
        <w:tc>
          <w:tcPr>
            <w:tcW w:w="4620" w:type="dxa"/>
            <w:vAlign w:val="bottom"/>
            <w:shd w:val="clear" w:color="auto" w:fill="CCEEFF"/>
          </w:tcPr>
          <w:p>
            <w:pPr>
              <w:spacing w:after="0"/>
              <w:rPr>
                <w:sz w:val="5"/>
                <w:szCs w:val="5"/>
                <w:color w:val="auto"/>
              </w:rPr>
            </w:pPr>
          </w:p>
        </w:tc>
        <w:tc>
          <w:tcPr>
            <w:tcW w:w="360" w:type="dxa"/>
            <w:vAlign w:val="bottom"/>
            <w:shd w:val="clear" w:color="auto" w:fill="CCEEFF"/>
          </w:tcPr>
          <w:p>
            <w:pPr>
              <w:spacing w:after="0"/>
              <w:rPr>
                <w:sz w:val="5"/>
                <w:szCs w:val="5"/>
                <w:color w:val="auto"/>
              </w:rPr>
            </w:pPr>
          </w:p>
        </w:tc>
        <w:tc>
          <w:tcPr>
            <w:tcW w:w="1100" w:type="dxa"/>
            <w:vAlign w:val="bottom"/>
            <w:vMerge w:val="continue"/>
            <w:shd w:val="clear" w:color="auto" w:fill="CCEEFF"/>
          </w:tcPr>
          <w:p>
            <w:pPr>
              <w:spacing w:after="0"/>
              <w:rPr>
                <w:sz w:val="5"/>
                <w:szCs w:val="5"/>
                <w:color w:val="auto"/>
              </w:rPr>
            </w:pPr>
          </w:p>
        </w:tc>
        <w:tc>
          <w:tcPr>
            <w:tcW w:w="40" w:type="dxa"/>
            <w:vAlign w:val="bottom"/>
            <w:shd w:val="clear" w:color="auto" w:fill="CCEEFF"/>
          </w:tcPr>
          <w:p>
            <w:pPr>
              <w:spacing w:after="0"/>
              <w:rPr>
                <w:sz w:val="5"/>
                <w:szCs w:val="5"/>
                <w:color w:val="auto"/>
              </w:rPr>
            </w:pPr>
          </w:p>
        </w:tc>
        <w:tc>
          <w:tcPr>
            <w:tcW w:w="120" w:type="dxa"/>
            <w:vAlign w:val="bottom"/>
            <w:shd w:val="clear" w:color="auto" w:fill="CCEEFF"/>
          </w:tcPr>
          <w:p>
            <w:pPr>
              <w:spacing w:after="0"/>
              <w:rPr>
                <w:sz w:val="5"/>
                <w:szCs w:val="5"/>
                <w:color w:val="auto"/>
              </w:rPr>
            </w:pPr>
          </w:p>
        </w:tc>
        <w:tc>
          <w:tcPr>
            <w:tcW w:w="360" w:type="dxa"/>
            <w:vAlign w:val="bottom"/>
            <w:shd w:val="clear" w:color="auto" w:fill="CCEEFF"/>
          </w:tcPr>
          <w:p>
            <w:pPr>
              <w:spacing w:after="0"/>
              <w:rPr>
                <w:sz w:val="5"/>
                <w:szCs w:val="5"/>
                <w:color w:val="auto"/>
              </w:rPr>
            </w:pPr>
          </w:p>
        </w:tc>
        <w:tc>
          <w:tcPr>
            <w:tcW w:w="1140" w:type="dxa"/>
            <w:vAlign w:val="bottom"/>
            <w:vMerge w:val="continue"/>
            <w:shd w:val="clear" w:color="auto" w:fill="CCEEFF"/>
          </w:tcPr>
          <w:p>
            <w:pPr>
              <w:spacing w:after="0"/>
              <w:rPr>
                <w:sz w:val="5"/>
                <w:szCs w:val="5"/>
                <w:color w:val="auto"/>
              </w:rPr>
            </w:pPr>
          </w:p>
        </w:tc>
        <w:tc>
          <w:tcPr>
            <w:tcW w:w="100" w:type="dxa"/>
            <w:vAlign w:val="bottom"/>
            <w:shd w:val="clear" w:color="auto" w:fill="CCEEFF"/>
          </w:tcPr>
          <w:p>
            <w:pPr>
              <w:spacing w:after="0"/>
              <w:rPr>
                <w:sz w:val="5"/>
                <w:szCs w:val="5"/>
                <w:color w:val="auto"/>
              </w:rPr>
            </w:pPr>
          </w:p>
        </w:tc>
        <w:tc>
          <w:tcPr>
            <w:tcW w:w="340" w:type="dxa"/>
            <w:vAlign w:val="bottom"/>
            <w:shd w:val="clear" w:color="auto" w:fill="CCEEFF"/>
          </w:tcPr>
          <w:p>
            <w:pPr>
              <w:spacing w:after="0"/>
              <w:rPr>
                <w:sz w:val="5"/>
                <w:szCs w:val="5"/>
                <w:color w:val="auto"/>
              </w:rPr>
            </w:pPr>
          </w:p>
        </w:tc>
        <w:tc>
          <w:tcPr>
            <w:tcW w:w="1120" w:type="dxa"/>
            <w:vAlign w:val="bottom"/>
            <w:vMerge w:val="continue"/>
            <w:shd w:val="clear" w:color="auto" w:fill="CCEEFF"/>
          </w:tcPr>
          <w:p>
            <w:pPr>
              <w:spacing w:after="0"/>
              <w:rPr>
                <w:sz w:val="5"/>
                <w:szCs w:val="5"/>
                <w:color w:val="auto"/>
              </w:rPr>
            </w:pPr>
          </w:p>
        </w:tc>
        <w:tc>
          <w:tcPr>
            <w:tcW w:w="0" w:type="dxa"/>
            <w:vAlign w:val="bottom"/>
          </w:tcPr>
          <w:p>
            <w:pPr>
              <w:spacing w:after="0"/>
              <w:rPr>
                <w:sz w:val="1"/>
                <w:szCs w:val="1"/>
                <w:color w:val="auto"/>
              </w:rPr>
            </w:pPr>
          </w:p>
        </w:tc>
      </w:tr>
      <w:tr>
        <w:trPr>
          <w:trHeight w:val="204"/>
        </w:trPr>
        <w:tc>
          <w:tcPr>
            <w:tcW w:w="6740" w:type="dxa"/>
            <w:vAlign w:val="bottom"/>
            <w:gridSpan w:val="2"/>
          </w:tcPr>
          <w:p>
            <w:pPr>
              <w:ind w:left="40"/>
              <w:spacing w:after="0"/>
              <w:rPr>
                <w:sz w:val="20"/>
                <w:szCs w:val="20"/>
                <w:color w:val="auto"/>
              </w:rPr>
            </w:pPr>
            <w:r>
              <w:rPr>
                <w:rFonts w:ascii="Arial" w:cs="Arial" w:eastAsia="Arial" w:hAnsi="Arial"/>
                <w:sz w:val="14"/>
                <w:szCs w:val="14"/>
                <w:b w:val="1"/>
                <w:bCs w:val="1"/>
                <w:color w:val="auto"/>
              </w:rPr>
              <w:t>Cash flows from financing activities:</w:t>
            </w:r>
          </w:p>
        </w:tc>
        <w:tc>
          <w:tcPr>
            <w:tcW w:w="36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66"/>
        </w:trPr>
        <w:tc>
          <w:tcPr>
            <w:tcW w:w="2120" w:type="dxa"/>
            <w:vAlign w:val="bottom"/>
          </w:tcPr>
          <w:p>
            <w:pPr>
              <w:spacing w:after="0"/>
              <w:rPr>
                <w:sz w:val="5"/>
                <w:szCs w:val="5"/>
                <w:color w:val="auto"/>
              </w:rPr>
            </w:pPr>
          </w:p>
        </w:tc>
        <w:tc>
          <w:tcPr>
            <w:tcW w:w="4620" w:type="dxa"/>
            <w:vAlign w:val="bottom"/>
          </w:tcPr>
          <w:p>
            <w:pPr>
              <w:spacing w:after="0"/>
              <w:rPr>
                <w:sz w:val="5"/>
                <w:szCs w:val="5"/>
                <w:color w:val="auto"/>
              </w:rPr>
            </w:pPr>
          </w:p>
        </w:tc>
        <w:tc>
          <w:tcPr>
            <w:tcW w:w="360" w:type="dxa"/>
            <w:vAlign w:val="bottom"/>
          </w:tcPr>
          <w:p>
            <w:pPr>
              <w:spacing w:after="0"/>
              <w:rPr>
                <w:sz w:val="5"/>
                <w:szCs w:val="5"/>
                <w:color w:val="auto"/>
              </w:rPr>
            </w:pPr>
          </w:p>
        </w:tc>
        <w:tc>
          <w:tcPr>
            <w:tcW w:w="1100" w:type="dxa"/>
            <w:vAlign w:val="bottom"/>
          </w:tcPr>
          <w:p>
            <w:pPr>
              <w:spacing w:after="0"/>
              <w:rPr>
                <w:sz w:val="5"/>
                <w:szCs w:val="5"/>
                <w:color w:val="auto"/>
              </w:rPr>
            </w:pPr>
          </w:p>
        </w:tc>
        <w:tc>
          <w:tcPr>
            <w:tcW w:w="40" w:type="dxa"/>
            <w:vAlign w:val="bottom"/>
          </w:tcPr>
          <w:p>
            <w:pPr>
              <w:spacing w:after="0"/>
              <w:rPr>
                <w:sz w:val="5"/>
                <w:szCs w:val="5"/>
                <w:color w:val="auto"/>
              </w:rPr>
            </w:pPr>
          </w:p>
        </w:tc>
        <w:tc>
          <w:tcPr>
            <w:tcW w:w="120" w:type="dxa"/>
            <w:vAlign w:val="bottom"/>
          </w:tcPr>
          <w:p>
            <w:pPr>
              <w:spacing w:after="0"/>
              <w:rPr>
                <w:sz w:val="5"/>
                <w:szCs w:val="5"/>
                <w:color w:val="auto"/>
              </w:rPr>
            </w:pPr>
          </w:p>
        </w:tc>
        <w:tc>
          <w:tcPr>
            <w:tcW w:w="360" w:type="dxa"/>
            <w:vAlign w:val="bottom"/>
          </w:tcPr>
          <w:p>
            <w:pPr>
              <w:spacing w:after="0"/>
              <w:rPr>
                <w:sz w:val="5"/>
                <w:szCs w:val="5"/>
                <w:color w:val="auto"/>
              </w:rPr>
            </w:pPr>
          </w:p>
        </w:tc>
        <w:tc>
          <w:tcPr>
            <w:tcW w:w="1140" w:type="dxa"/>
            <w:vAlign w:val="bottom"/>
          </w:tcPr>
          <w:p>
            <w:pPr>
              <w:spacing w:after="0"/>
              <w:rPr>
                <w:sz w:val="5"/>
                <w:szCs w:val="5"/>
                <w:color w:val="auto"/>
              </w:rPr>
            </w:pPr>
          </w:p>
        </w:tc>
        <w:tc>
          <w:tcPr>
            <w:tcW w:w="100" w:type="dxa"/>
            <w:vAlign w:val="bottom"/>
          </w:tcPr>
          <w:p>
            <w:pPr>
              <w:spacing w:after="0"/>
              <w:rPr>
                <w:sz w:val="5"/>
                <w:szCs w:val="5"/>
                <w:color w:val="auto"/>
              </w:rPr>
            </w:pPr>
          </w:p>
        </w:tc>
        <w:tc>
          <w:tcPr>
            <w:tcW w:w="340" w:type="dxa"/>
            <w:vAlign w:val="bottom"/>
          </w:tcPr>
          <w:p>
            <w:pPr>
              <w:spacing w:after="0"/>
              <w:rPr>
                <w:sz w:val="5"/>
                <w:szCs w:val="5"/>
                <w:color w:val="auto"/>
              </w:rPr>
            </w:pPr>
          </w:p>
        </w:tc>
        <w:tc>
          <w:tcPr>
            <w:tcW w:w="11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04"/>
        </w:trPr>
        <w:tc>
          <w:tcPr>
            <w:tcW w:w="6740" w:type="dxa"/>
            <w:vAlign w:val="bottom"/>
            <w:gridSpan w:val="2"/>
            <w:shd w:val="clear" w:color="auto" w:fill="CCEEFF"/>
          </w:tcPr>
          <w:p>
            <w:pPr>
              <w:ind w:left="280"/>
              <w:spacing w:after="0"/>
              <w:rPr>
                <w:sz w:val="20"/>
                <w:szCs w:val="20"/>
                <w:color w:val="auto"/>
              </w:rPr>
            </w:pPr>
            <w:r>
              <w:rPr>
                <w:rFonts w:ascii="Arial" w:cs="Arial" w:eastAsia="Arial" w:hAnsi="Arial"/>
                <w:sz w:val="14"/>
                <w:szCs w:val="14"/>
                <w:color w:val="auto"/>
              </w:rPr>
              <w:t>Proceeds from issuance of long-term debt</w:t>
            </w:r>
          </w:p>
        </w:tc>
        <w:tc>
          <w:tcPr>
            <w:tcW w:w="360" w:type="dxa"/>
            <w:vAlign w:val="bottom"/>
            <w:shd w:val="clear" w:color="auto" w:fill="CCEEFF"/>
          </w:tcPr>
          <w:p>
            <w:pPr>
              <w:spacing w:after="0"/>
              <w:rPr>
                <w:sz w:val="17"/>
                <w:szCs w:val="17"/>
                <w:color w:val="auto"/>
              </w:rPr>
            </w:pPr>
          </w:p>
        </w:tc>
        <w:tc>
          <w:tcPr>
            <w:tcW w:w="1100" w:type="dxa"/>
            <w:vAlign w:val="bottom"/>
            <w:vMerge w:val="restart"/>
            <w:shd w:val="clear" w:color="auto" w:fill="CCEEFF"/>
          </w:tcPr>
          <w:p>
            <w:pPr>
              <w:jc w:val="right"/>
              <w:ind w:right="8"/>
              <w:spacing w:after="0"/>
              <w:rPr>
                <w:sz w:val="20"/>
                <w:szCs w:val="20"/>
                <w:color w:val="auto"/>
              </w:rPr>
            </w:pPr>
            <w:r>
              <w:rPr>
                <w:rFonts w:ascii="Arial" w:cs="Arial" w:eastAsia="Arial" w:hAnsi="Arial"/>
                <w:sz w:val="14"/>
                <w:szCs w:val="14"/>
                <w:color w:val="auto"/>
              </w:rPr>
              <w:t>3,960</w:t>
            </w:r>
          </w:p>
        </w:tc>
        <w:tc>
          <w:tcPr>
            <w:tcW w:w="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1140" w:type="dxa"/>
            <w:vAlign w:val="bottom"/>
            <w:vMerge w:val="restart"/>
            <w:shd w:val="clear" w:color="auto" w:fill="CCEEFF"/>
          </w:tcPr>
          <w:p>
            <w:pPr>
              <w:jc w:val="right"/>
              <w:ind w:right="48"/>
              <w:spacing w:after="0"/>
              <w:rPr>
                <w:sz w:val="20"/>
                <w:szCs w:val="20"/>
                <w:color w:val="auto"/>
              </w:rPr>
            </w:pPr>
            <w:r>
              <w:rPr>
                <w:rFonts w:ascii="Arial" w:cs="Arial" w:eastAsia="Arial" w:hAnsi="Arial"/>
                <w:sz w:val="14"/>
                <w:szCs w:val="14"/>
                <w:color w:val="auto"/>
              </w:rPr>
              <w:t>2,354</w:t>
            </w:r>
          </w:p>
        </w:tc>
        <w:tc>
          <w:tcPr>
            <w:tcW w:w="10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1120" w:type="dxa"/>
            <w:vAlign w:val="bottom"/>
            <w:vMerge w:val="restart"/>
            <w:shd w:val="clear" w:color="auto" w:fill="CCEEFF"/>
          </w:tcPr>
          <w:p>
            <w:pPr>
              <w:jc w:val="right"/>
              <w:ind w:right="28"/>
              <w:spacing w:after="0"/>
              <w:rPr>
                <w:sz w:val="20"/>
                <w:szCs w:val="20"/>
                <w:color w:val="auto"/>
              </w:rPr>
            </w:pPr>
            <w:r>
              <w:rPr>
                <w:rFonts w:ascii="Arial" w:cs="Arial" w:eastAsia="Arial" w:hAnsi="Arial"/>
                <w:sz w:val="14"/>
                <w:szCs w:val="14"/>
                <w:color w:val="auto"/>
              </w:rPr>
              <w:t>3,058</w:t>
            </w:r>
          </w:p>
        </w:tc>
        <w:tc>
          <w:tcPr>
            <w:tcW w:w="0" w:type="dxa"/>
            <w:vAlign w:val="bottom"/>
          </w:tcPr>
          <w:p>
            <w:pPr>
              <w:spacing w:after="0"/>
              <w:rPr>
                <w:sz w:val="1"/>
                <w:szCs w:val="1"/>
                <w:color w:val="auto"/>
              </w:rPr>
            </w:pPr>
          </w:p>
        </w:tc>
      </w:tr>
      <w:tr>
        <w:trPr>
          <w:trHeight w:val="66"/>
        </w:trPr>
        <w:tc>
          <w:tcPr>
            <w:tcW w:w="2120" w:type="dxa"/>
            <w:vAlign w:val="bottom"/>
            <w:shd w:val="clear" w:color="auto" w:fill="CCEEFF"/>
          </w:tcPr>
          <w:p>
            <w:pPr>
              <w:spacing w:after="0"/>
              <w:rPr>
                <w:sz w:val="5"/>
                <w:szCs w:val="5"/>
                <w:color w:val="auto"/>
              </w:rPr>
            </w:pPr>
          </w:p>
        </w:tc>
        <w:tc>
          <w:tcPr>
            <w:tcW w:w="4620" w:type="dxa"/>
            <w:vAlign w:val="bottom"/>
            <w:shd w:val="clear" w:color="auto" w:fill="CCEEFF"/>
          </w:tcPr>
          <w:p>
            <w:pPr>
              <w:spacing w:after="0"/>
              <w:rPr>
                <w:sz w:val="5"/>
                <w:szCs w:val="5"/>
                <w:color w:val="auto"/>
              </w:rPr>
            </w:pPr>
          </w:p>
        </w:tc>
        <w:tc>
          <w:tcPr>
            <w:tcW w:w="360" w:type="dxa"/>
            <w:vAlign w:val="bottom"/>
            <w:shd w:val="clear" w:color="auto" w:fill="CCEEFF"/>
          </w:tcPr>
          <w:p>
            <w:pPr>
              <w:spacing w:after="0"/>
              <w:rPr>
                <w:sz w:val="5"/>
                <w:szCs w:val="5"/>
                <w:color w:val="auto"/>
              </w:rPr>
            </w:pPr>
          </w:p>
        </w:tc>
        <w:tc>
          <w:tcPr>
            <w:tcW w:w="1100" w:type="dxa"/>
            <w:vAlign w:val="bottom"/>
            <w:vMerge w:val="continue"/>
            <w:shd w:val="clear" w:color="auto" w:fill="CCEEFF"/>
          </w:tcPr>
          <w:p>
            <w:pPr>
              <w:spacing w:after="0"/>
              <w:rPr>
                <w:sz w:val="5"/>
                <w:szCs w:val="5"/>
                <w:color w:val="auto"/>
              </w:rPr>
            </w:pPr>
          </w:p>
        </w:tc>
        <w:tc>
          <w:tcPr>
            <w:tcW w:w="40" w:type="dxa"/>
            <w:vAlign w:val="bottom"/>
            <w:shd w:val="clear" w:color="auto" w:fill="CCEEFF"/>
          </w:tcPr>
          <w:p>
            <w:pPr>
              <w:spacing w:after="0"/>
              <w:rPr>
                <w:sz w:val="5"/>
                <w:szCs w:val="5"/>
                <w:color w:val="auto"/>
              </w:rPr>
            </w:pPr>
          </w:p>
        </w:tc>
        <w:tc>
          <w:tcPr>
            <w:tcW w:w="120" w:type="dxa"/>
            <w:vAlign w:val="bottom"/>
            <w:shd w:val="clear" w:color="auto" w:fill="CCEEFF"/>
          </w:tcPr>
          <w:p>
            <w:pPr>
              <w:spacing w:after="0"/>
              <w:rPr>
                <w:sz w:val="5"/>
                <w:szCs w:val="5"/>
                <w:color w:val="auto"/>
              </w:rPr>
            </w:pPr>
          </w:p>
        </w:tc>
        <w:tc>
          <w:tcPr>
            <w:tcW w:w="360" w:type="dxa"/>
            <w:vAlign w:val="bottom"/>
            <w:shd w:val="clear" w:color="auto" w:fill="CCEEFF"/>
          </w:tcPr>
          <w:p>
            <w:pPr>
              <w:spacing w:after="0"/>
              <w:rPr>
                <w:sz w:val="5"/>
                <w:szCs w:val="5"/>
                <w:color w:val="auto"/>
              </w:rPr>
            </w:pPr>
          </w:p>
        </w:tc>
        <w:tc>
          <w:tcPr>
            <w:tcW w:w="1140" w:type="dxa"/>
            <w:vAlign w:val="bottom"/>
            <w:vMerge w:val="continue"/>
            <w:shd w:val="clear" w:color="auto" w:fill="CCEEFF"/>
          </w:tcPr>
          <w:p>
            <w:pPr>
              <w:spacing w:after="0"/>
              <w:rPr>
                <w:sz w:val="5"/>
                <w:szCs w:val="5"/>
                <w:color w:val="auto"/>
              </w:rPr>
            </w:pPr>
          </w:p>
        </w:tc>
        <w:tc>
          <w:tcPr>
            <w:tcW w:w="100" w:type="dxa"/>
            <w:vAlign w:val="bottom"/>
            <w:shd w:val="clear" w:color="auto" w:fill="CCEEFF"/>
          </w:tcPr>
          <w:p>
            <w:pPr>
              <w:spacing w:after="0"/>
              <w:rPr>
                <w:sz w:val="5"/>
                <w:szCs w:val="5"/>
                <w:color w:val="auto"/>
              </w:rPr>
            </w:pPr>
          </w:p>
        </w:tc>
        <w:tc>
          <w:tcPr>
            <w:tcW w:w="340" w:type="dxa"/>
            <w:vAlign w:val="bottom"/>
            <w:shd w:val="clear" w:color="auto" w:fill="CCEEFF"/>
          </w:tcPr>
          <w:p>
            <w:pPr>
              <w:spacing w:after="0"/>
              <w:rPr>
                <w:sz w:val="5"/>
                <w:szCs w:val="5"/>
                <w:color w:val="auto"/>
              </w:rPr>
            </w:pPr>
          </w:p>
        </w:tc>
        <w:tc>
          <w:tcPr>
            <w:tcW w:w="1120" w:type="dxa"/>
            <w:vAlign w:val="bottom"/>
            <w:vMerge w:val="continue"/>
            <w:shd w:val="clear" w:color="auto" w:fill="CCEEFF"/>
          </w:tcPr>
          <w:p>
            <w:pPr>
              <w:spacing w:after="0"/>
              <w:rPr>
                <w:sz w:val="5"/>
                <w:szCs w:val="5"/>
                <w:color w:val="auto"/>
              </w:rPr>
            </w:pPr>
          </w:p>
        </w:tc>
        <w:tc>
          <w:tcPr>
            <w:tcW w:w="0" w:type="dxa"/>
            <w:vAlign w:val="bottom"/>
          </w:tcPr>
          <w:p>
            <w:pPr>
              <w:spacing w:after="0"/>
              <w:rPr>
                <w:sz w:val="1"/>
                <w:szCs w:val="1"/>
                <w:color w:val="auto"/>
              </w:rPr>
            </w:pPr>
          </w:p>
        </w:tc>
      </w:tr>
      <w:tr>
        <w:trPr>
          <w:trHeight w:val="204"/>
        </w:trPr>
        <w:tc>
          <w:tcPr>
            <w:tcW w:w="6740" w:type="dxa"/>
            <w:vAlign w:val="bottom"/>
            <w:gridSpan w:val="2"/>
          </w:tcPr>
          <w:p>
            <w:pPr>
              <w:ind w:left="280"/>
              <w:spacing w:after="0"/>
              <w:rPr>
                <w:sz w:val="20"/>
                <w:szCs w:val="20"/>
                <w:color w:val="auto"/>
              </w:rPr>
            </w:pPr>
            <w:r>
              <w:rPr>
                <w:rFonts w:ascii="Arial" w:cs="Arial" w:eastAsia="Arial" w:hAnsi="Arial"/>
                <w:sz w:val="14"/>
                <w:szCs w:val="14"/>
                <w:color w:val="auto"/>
              </w:rPr>
              <w:t>Payments on long-term debt and finance leases</w:t>
            </w:r>
          </w:p>
        </w:tc>
        <w:tc>
          <w:tcPr>
            <w:tcW w:w="360" w:type="dxa"/>
            <w:vAlign w:val="bottom"/>
          </w:tcPr>
          <w:p>
            <w:pPr>
              <w:spacing w:after="0"/>
              <w:rPr>
                <w:sz w:val="17"/>
                <w:szCs w:val="17"/>
                <w:color w:val="auto"/>
              </w:rPr>
            </w:pPr>
          </w:p>
        </w:tc>
        <w:tc>
          <w:tcPr>
            <w:tcW w:w="1100" w:type="dxa"/>
            <w:vAlign w:val="bottom"/>
            <w:vMerge w:val="restart"/>
          </w:tcPr>
          <w:p>
            <w:pPr>
              <w:jc w:val="right"/>
              <w:spacing w:after="0"/>
              <w:rPr>
                <w:sz w:val="20"/>
                <w:szCs w:val="20"/>
                <w:color w:val="auto"/>
              </w:rPr>
            </w:pPr>
            <w:r>
              <w:rPr>
                <w:rFonts w:ascii="Arial" w:cs="Arial" w:eastAsia="Arial" w:hAnsi="Arial"/>
                <w:sz w:val="14"/>
                <w:szCs w:val="14"/>
                <w:color w:val="auto"/>
              </w:rPr>
              <w:t>(4,190)</w:t>
            </w:r>
          </w:p>
        </w:tc>
        <w:tc>
          <w:tcPr>
            <w:tcW w:w="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140" w:type="dxa"/>
            <w:vAlign w:val="bottom"/>
            <w:vMerge w:val="restart"/>
          </w:tcPr>
          <w:p>
            <w:pPr>
              <w:jc w:val="right"/>
              <w:spacing w:after="0"/>
              <w:rPr>
                <w:sz w:val="20"/>
                <w:szCs w:val="20"/>
                <w:color w:val="auto"/>
              </w:rPr>
            </w:pPr>
            <w:r>
              <w:rPr>
                <w:rFonts w:ascii="Arial" w:cs="Arial" w:eastAsia="Arial" w:hAnsi="Arial"/>
                <w:sz w:val="14"/>
                <w:szCs w:val="14"/>
                <w:color w:val="auto"/>
              </w:rPr>
              <w:t>(2,941)</w:t>
            </w:r>
          </w:p>
        </w:tc>
        <w:tc>
          <w:tcPr>
            <w:tcW w:w="1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120" w:type="dxa"/>
            <w:vAlign w:val="bottom"/>
            <w:vMerge w:val="restart"/>
          </w:tcPr>
          <w:p>
            <w:pPr>
              <w:jc w:val="right"/>
              <w:spacing w:after="0"/>
              <w:rPr>
                <w:sz w:val="20"/>
                <w:szCs w:val="20"/>
                <w:color w:val="auto"/>
              </w:rPr>
            </w:pPr>
            <w:r>
              <w:rPr>
                <w:rFonts w:ascii="Arial" w:cs="Arial" w:eastAsia="Arial" w:hAnsi="Arial"/>
                <w:sz w:val="14"/>
                <w:szCs w:val="14"/>
                <w:color w:val="auto"/>
              </w:rPr>
              <w:t>(2,332)</w:t>
            </w:r>
          </w:p>
        </w:tc>
        <w:tc>
          <w:tcPr>
            <w:tcW w:w="0" w:type="dxa"/>
            <w:vAlign w:val="bottom"/>
          </w:tcPr>
          <w:p>
            <w:pPr>
              <w:spacing w:after="0"/>
              <w:rPr>
                <w:sz w:val="1"/>
                <w:szCs w:val="1"/>
                <w:color w:val="auto"/>
              </w:rPr>
            </w:pPr>
          </w:p>
        </w:tc>
      </w:tr>
      <w:tr>
        <w:trPr>
          <w:trHeight w:val="60"/>
        </w:trPr>
        <w:tc>
          <w:tcPr>
            <w:tcW w:w="2120" w:type="dxa"/>
            <w:vAlign w:val="bottom"/>
          </w:tcPr>
          <w:p>
            <w:pPr>
              <w:spacing w:after="0"/>
              <w:rPr>
                <w:sz w:val="5"/>
                <w:szCs w:val="5"/>
                <w:color w:val="auto"/>
              </w:rPr>
            </w:pPr>
          </w:p>
        </w:tc>
        <w:tc>
          <w:tcPr>
            <w:tcW w:w="4620" w:type="dxa"/>
            <w:vAlign w:val="bottom"/>
          </w:tcPr>
          <w:p>
            <w:pPr>
              <w:spacing w:after="0"/>
              <w:rPr>
                <w:sz w:val="5"/>
                <w:szCs w:val="5"/>
                <w:color w:val="auto"/>
              </w:rPr>
            </w:pPr>
          </w:p>
        </w:tc>
        <w:tc>
          <w:tcPr>
            <w:tcW w:w="360" w:type="dxa"/>
            <w:vAlign w:val="bottom"/>
          </w:tcPr>
          <w:p>
            <w:pPr>
              <w:spacing w:after="0"/>
              <w:rPr>
                <w:sz w:val="5"/>
                <w:szCs w:val="5"/>
                <w:color w:val="auto"/>
              </w:rPr>
            </w:pPr>
          </w:p>
        </w:tc>
        <w:tc>
          <w:tcPr>
            <w:tcW w:w="1100" w:type="dxa"/>
            <w:vAlign w:val="bottom"/>
            <w:vMerge w:val="continue"/>
          </w:tcPr>
          <w:p>
            <w:pPr>
              <w:spacing w:after="0"/>
              <w:rPr>
                <w:sz w:val="5"/>
                <w:szCs w:val="5"/>
                <w:color w:val="auto"/>
              </w:rPr>
            </w:pPr>
          </w:p>
        </w:tc>
        <w:tc>
          <w:tcPr>
            <w:tcW w:w="40" w:type="dxa"/>
            <w:vAlign w:val="bottom"/>
          </w:tcPr>
          <w:p>
            <w:pPr>
              <w:spacing w:after="0"/>
              <w:rPr>
                <w:sz w:val="5"/>
                <w:szCs w:val="5"/>
                <w:color w:val="auto"/>
              </w:rPr>
            </w:pPr>
          </w:p>
        </w:tc>
        <w:tc>
          <w:tcPr>
            <w:tcW w:w="120" w:type="dxa"/>
            <w:vAlign w:val="bottom"/>
          </w:tcPr>
          <w:p>
            <w:pPr>
              <w:spacing w:after="0"/>
              <w:rPr>
                <w:sz w:val="5"/>
                <w:szCs w:val="5"/>
                <w:color w:val="auto"/>
              </w:rPr>
            </w:pPr>
          </w:p>
        </w:tc>
        <w:tc>
          <w:tcPr>
            <w:tcW w:w="360" w:type="dxa"/>
            <w:vAlign w:val="bottom"/>
          </w:tcPr>
          <w:p>
            <w:pPr>
              <w:spacing w:after="0"/>
              <w:rPr>
                <w:sz w:val="5"/>
                <w:szCs w:val="5"/>
                <w:color w:val="auto"/>
              </w:rPr>
            </w:pPr>
          </w:p>
        </w:tc>
        <w:tc>
          <w:tcPr>
            <w:tcW w:w="1140" w:type="dxa"/>
            <w:vAlign w:val="bottom"/>
            <w:vMerge w:val="continue"/>
          </w:tcPr>
          <w:p>
            <w:pPr>
              <w:spacing w:after="0"/>
              <w:rPr>
                <w:sz w:val="5"/>
                <w:szCs w:val="5"/>
                <w:color w:val="auto"/>
              </w:rPr>
            </w:pPr>
          </w:p>
        </w:tc>
        <w:tc>
          <w:tcPr>
            <w:tcW w:w="100" w:type="dxa"/>
            <w:vAlign w:val="bottom"/>
          </w:tcPr>
          <w:p>
            <w:pPr>
              <w:spacing w:after="0"/>
              <w:rPr>
                <w:sz w:val="5"/>
                <w:szCs w:val="5"/>
                <w:color w:val="auto"/>
              </w:rPr>
            </w:pPr>
          </w:p>
        </w:tc>
        <w:tc>
          <w:tcPr>
            <w:tcW w:w="340" w:type="dxa"/>
            <w:vAlign w:val="bottom"/>
          </w:tcPr>
          <w:p>
            <w:pPr>
              <w:spacing w:after="0"/>
              <w:rPr>
                <w:sz w:val="5"/>
                <w:szCs w:val="5"/>
                <w:color w:val="auto"/>
              </w:rPr>
            </w:pPr>
          </w:p>
        </w:tc>
        <w:tc>
          <w:tcPr>
            <w:tcW w:w="112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r>
        <w:trPr>
          <w:trHeight w:val="210"/>
        </w:trPr>
        <w:tc>
          <w:tcPr>
            <w:tcW w:w="6740" w:type="dxa"/>
            <w:vAlign w:val="bottom"/>
            <w:gridSpan w:val="2"/>
            <w:shd w:val="clear" w:color="auto" w:fill="CCEEFF"/>
          </w:tcPr>
          <w:p>
            <w:pPr>
              <w:ind w:left="280"/>
              <w:spacing w:after="0"/>
              <w:rPr>
                <w:sz w:val="20"/>
                <w:szCs w:val="20"/>
                <w:color w:val="auto"/>
              </w:rPr>
            </w:pPr>
            <w:r>
              <w:rPr>
                <w:rFonts w:ascii="Arial" w:cs="Arial" w:eastAsia="Arial" w:hAnsi="Arial"/>
                <w:sz w:val="14"/>
                <w:szCs w:val="14"/>
                <w:color w:val="auto"/>
              </w:rPr>
              <w:t>Deferred financing costs</w:t>
            </w:r>
          </w:p>
        </w:tc>
        <w:tc>
          <w:tcPr>
            <w:tcW w:w="360" w:type="dxa"/>
            <w:vAlign w:val="bottom"/>
            <w:shd w:val="clear" w:color="auto" w:fill="CCEEFF"/>
          </w:tcPr>
          <w:p>
            <w:pPr>
              <w:spacing w:after="0"/>
              <w:rPr>
                <w:sz w:val="18"/>
                <w:szCs w:val="18"/>
                <w:color w:val="auto"/>
              </w:rPr>
            </w:pPr>
          </w:p>
        </w:tc>
        <w:tc>
          <w:tcPr>
            <w:tcW w:w="110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(61)</w:t>
            </w:r>
          </w:p>
        </w:tc>
        <w:tc>
          <w:tcPr>
            <w:tcW w:w="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14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(59)</w:t>
            </w:r>
          </w:p>
        </w:tc>
        <w:tc>
          <w:tcPr>
            <w:tcW w:w="1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12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(85)</w:t>
            </w:r>
          </w:p>
        </w:tc>
        <w:tc>
          <w:tcPr>
            <w:tcW w:w="0" w:type="dxa"/>
            <w:vAlign w:val="bottom"/>
          </w:tcPr>
          <w:p>
            <w:pPr>
              <w:spacing w:after="0"/>
              <w:rPr>
                <w:sz w:val="1"/>
                <w:szCs w:val="1"/>
                <w:color w:val="auto"/>
              </w:rPr>
            </w:pPr>
          </w:p>
        </w:tc>
      </w:tr>
      <w:tr>
        <w:trPr>
          <w:trHeight w:val="66"/>
        </w:trPr>
        <w:tc>
          <w:tcPr>
            <w:tcW w:w="2120" w:type="dxa"/>
            <w:vAlign w:val="bottom"/>
            <w:shd w:val="clear" w:color="auto" w:fill="CCEEFF"/>
          </w:tcPr>
          <w:p>
            <w:pPr>
              <w:spacing w:after="0"/>
              <w:rPr>
                <w:sz w:val="5"/>
                <w:szCs w:val="5"/>
                <w:color w:val="auto"/>
              </w:rPr>
            </w:pPr>
          </w:p>
        </w:tc>
        <w:tc>
          <w:tcPr>
            <w:tcW w:w="4620" w:type="dxa"/>
            <w:vAlign w:val="bottom"/>
            <w:shd w:val="clear" w:color="auto" w:fill="CCEEFF"/>
          </w:tcPr>
          <w:p>
            <w:pPr>
              <w:spacing w:after="0"/>
              <w:rPr>
                <w:sz w:val="5"/>
                <w:szCs w:val="5"/>
                <w:color w:val="auto"/>
              </w:rPr>
            </w:pPr>
          </w:p>
        </w:tc>
        <w:tc>
          <w:tcPr>
            <w:tcW w:w="360" w:type="dxa"/>
            <w:vAlign w:val="bottom"/>
            <w:shd w:val="clear" w:color="auto" w:fill="CCEEFF"/>
          </w:tcPr>
          <w:p>
            <w:pPr>
              <w:spacing w:after="0"/>
              <w:rPr>
                <w:sz w:val="5"/>
                <w:szCs w:val="5"/>
                <w:color w:val="auto"/>
              </w:rPr>
            </w:pPr>
          </w:p>
        </w:tc>
        <w:tc>
          <w:tcPr>
            <w:tcW w:w="1100" w:type="dxa"/>
            <w:vAlign w:val="bottom"/>
            <w:vMerge w:val="continue"/>
            <w:shd w:val="clear" w:color="auto" w:fill="CCEEFF"/>
          </w:tcPr>
          <w:p>
            <w:pPr>
              <w:spacing w:after="0"/>
              <w:rPr>
                <w:sz w:val="5"/>
                <w:szCs w:val="5"/>
                <w:color w:val="auto"/>
              </w:rPr>
            </w:pPr>
          </w:p>
        </w:tc>
        <w:tc>
          <w:tcPr>
            <w:tcW w:w="40" w:type="dxa"/>
            <w:vAlign w:val="bottom"/>
            <w:shd w:val="clear" w:color="auto" w:fill="CCEEFF"/>
          </w:tcPr>
          <w:p>
            <w:pPr>
              <w:spacing w:after="0"/>
              <w:rPr>
                <w:sz w:val="5"/>
                <w:szCs w:val="5"/>
                <w:color w:val="auto"/>
              </w:rPr>
            </w:pPr>
          </w:p>
        </w:tc>
        <w:tc>
          <w:tcPr>
            <w:tcW w:w="120" w:type="dxa"/>
            <w:vAlign w:val="bottom"/>
            <w:shd w:val="clear" w:color="auto" w:fill="CCEEFF"/>
          </w:tcPr>
          <w:p>
            <w:pPr>
              <w:spacing w:after="0"/>
              <w:rPr>
                <w:sz w:val="5"/>
                <w:szCs w:val="5"/>
                <w:color w:val="auto"/>
              </w:rPr>
            </w:pPr>
          </w:p>
        </w:tc>
        <w:tc>
          <w:tcPr>
            <w:tcW w:w="360" w:type="dxa"/>
            <w:vAlign w:val="bottom"/>
            <w:shd w:val="clear" w:color="auto" w:fill="CCEEFF"/>
          </w:tcPr>
          <w:p>
            <w:pPr>
              <w:spacing w:after="0"/>
              <w:rPr>
                <w:sz w:val="5"/>
                <w:szCs w:val="5"/>
                <w:color w:val="auto"/>
              </w:rPr>
            </w:pPr>
          </w:p>
        </w:tc>
        <w:tc>
          <w:tcPr>
            <w:tcW w:w="1140" w:type="dxa"/>
            <w:vAlign w:val="bottom"/>
            <w:vMerge w:val="continue"/>
            <w:shd w:val="clear" w:color="auto" w:fill="CCEEFF"/>
          </w:tcPr>
          <w:p>
            <w:pPr>
              <w:spacing w:after="0"/>
              <w:rPr>
                <w:sz w:val="5"/>
                <w:szCs w:val="5"/>
                <w:color w:val="auto"/>
              </w:rPr>
            </w:pPr>
          </w:p>
        </w:tc>
        <w:tc>
          <w:tcPr>
            <w:tcW w:w="100" w:type="dxa"/>
            <w:vAlign w:val="bottom"/>
            <w:shd w:val="clear" w:color="auto" w:fill="CCEEFF"/>
          </w:tcPr>
          <w:p>
            <w:pPr>
              <w:spacing w:after="0"/>
              <w:rPr>
                <w:sz w:val="5"/>
                <w:szCs w:val="5"/>
                <w:color w:val="auto"/>
              </w:rPr>
            </w:pPr>
          </w:p>
        </w:tc>
        <w:tc>
          <w:tcPr>
            <w:tcW w:w="340" w:type="dxa"/>
            <w:vAlign w:val="bottom"/>
            <w:shd w:val="clear" w:color="auto" w:fill="CCEEFF"/>
          </w:tcPr>
          <w:p>
            <w:pPr>
              <w:spacing w:after="0"/>
              <w:rPr>
                <w:sz w:val="5"/>
                <w:szCs w:val="5"/>
                <w:color w:val="auto"/>
              </w:rPr>
            </w:pPr>
          </w:p>
        </w:tc>
        <w:tc>
          <w:tcPr>
            <w:tcW w:w="1120" w:type="dxa"/>
            <w:vAlign w:val="bottom"/>
            <w:vMerge w:val="continue"/>
            <w:shd w:val="clear" w:color="auto" w:fill="CCEEFF"/>
          </w:tcPr>
          <w:p>
            <w:pPr>
              <w:spacing w:after="0"/>
              <w:rPr>
                <w:sz w:val="5"/>
                <w:szCs w:val="5"/>
                <w:color w:val="auto"/>
              </w:rPr>
            </w:pPr>
          </w:p>
        </w:tc>
        <w:tc>
          <w:tcPr>
            <w:tcW w:w="0" w:type="dxa"/>
            <w:vAlign w:val="bottom"/>
          </w:tcPr>
          <w:p>
            <w:pPr>
              <w:spacing w:after="0"/>
              <w:rPr>
                <w:sz w:val="1"/>
                <w:szCs w:val="1"/>
                <w:color w:val="auto"/>
              </w:rPr>
            </w:pPr>
          </w:p>
        </w:tc>
      </w:tr>
      <w:tr>
        <w:trPr>
          <w:trHeight w:val="204"/>
        </w:trPr>
        <w:tc>
          <w:tcPr>
            <w:tcW w:w="6740" w:type="dxa"/>
            <w:vAlign w:val="bottom"/>
            <w:gridSpan w:val="2"/>
          </w:tcPr>
          <w:p>
            <w:pPr>
              <w:ind w:left="280"/>
              <w:spacing w:after="0"/>
              <w:rPr>
                <w:sz w:val="20"/>
                <w:szCs w:val="20"/>
                <w:color w:val="auto"/>
              </w:rPr>
            </w:pPr>
            <w:r>
              <w:rPr>
                <w:rFonts w:ascii="Arial" w:cs="Arial" w:eastAsia="Arial" w:hAnsi="Arial"/>
                <w:sz w:val="14"/>
                <w:szCs w:val="14"/>
                <w:color w:val="auto"/>
              </w:rPr>
              <w:t>Treasury stock repurchases</w:t>
            </w:r>
          </w:p>
        </w:tc>
        <w:tc>
          <w:tcPr>
            <w:tcW w:w="360" w:type="dxa"/>
            <w:vAlign w:val="bottom"/>
          </w:tcPr>
          <w:p>
            <w:pPr>
              <w:spacing w:after="0"/>
              <w:rPr>
                <w:sz w:val="17"/>
                <w:szCs w:val="17"/>
                <w:color w:val="auto"/>
              </w:rPr>
            </w:pPr>
          </w:p>
        </w:tc>
        <w:tc>
          <w:tcPr>
            <w:tcW w:w="1100" w:type="dxa"/>
            <w:vAlign w:val="bottom"/>
            <w:vMerge w:val="restart"/>
          </w:tcPr>
          <w:p>
            <w:pPr>
              <w:jc w:val="right"/>
              <w:spacing w:after="0"/>
              <w:rPr>
                <w:sz w:val="20"/>
                <w:szCs w:val="20"/>
                <w:color w:val="auto"/>
              </w:rPr>
            </w:pPr>
            <w:r>
              <w:rPr>
                <w:rFonts w:ascii="Arial" w:cs="Arial" w:eastAsia="Arial" w:hAnsi="Arial"/>
                <w:sz w:val="14"/>
                <w:szCs w:val="14"/>
                <w:color w:val="auto"/>
              </w:rPr>
              <w:t>(1,097)</w:t>
            </w:r>
          </w:p>
        </w:tc>
        <w:tc>
          <w:tcPr>
            <w:tcW w:w="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140" w:type="dxa"/>
            <w:vAlign w:val="bottom"/>
            <w:vMerge w:val="restart"/>
          </w:tcPr>
          <w:p>
            <w:pPr>
              <w:jc w:val="right"/>
              <w:spacing w:after="0"/>
              <w:rPr>
                <w:sz w:val="20"/>
                <w:szCs w:val="20"/>
                <w:color w:val="auto"/>
              </w:rPr>
            </w:pPr>
            <w:r>
              <w:rPr>
                <w:rFonts w:ascii="Arial" w:cs="Arial" w:eastAsia="Arial" w:hAnsi="Arial"/>
                <w:sz w:val="14"/>
                <w:szCs w:val="14"/>
                <w:color w:val="auto"/>
              </w:rPr>
              <w:t>(837)</w:t>
            </w:r>
          </w:p>
        </w:tc>
        <w:tc>
          <w:tcPr>
            <w:tcW w:w="1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120" w:type="dxa"/>
            <w:vAlign w:val="bottom"/>
            <w:vMerge w:val="restart"/>
          </w:tcPr>
          <w:p>
            <w:pPr>
              <w:jc w:val="right"/>
              <w:spacing w:after="0"/>
              <w:rPr>
                <w:sz w:val="20"/>
                <w:szCs w:val="20"/>
                <w:color w:val="auto"/>
              </w:rPr>
            </w:pPr>
            <w:r>
              <w:rPr>
                <w:rFonts w:ascii="Arial" w:cs="Arial" w:eastAsia="Arial" w:hAnsi="Arial"/>
                <w:sz w:val="14"/>
                <w:szCs w:val="14"/>
                <w:color w:val="auto"/>
              </w:rPr>
              <w:t>(1,615)</w:t>
            </w:r>
          </w:p>
        </w:tc>
        <w:tc>
          <w:tcPr>
            <w:tcW w:w="0" w:type="dxa"/>
            <w:vAlign w:val="bottom"/>
          </w:tcPr>
          <w:p>
            <w:pPr>
              <w:spacing w:after="0"/>
              <w:rPr>
                <w:sz w:val="1"/>
                <w:szCs w:val="1"/>
                <w:color w:val="auto"/>
              </w:rPr>
            </w:pPr>
          </w:p>
        </w:tc>
      </w:tr>
      <w:tr>
        <w:trPr>
          <w:trHeight w:val="60"/>
        </w:trPr>
        <w:tc>
          <w:tcPr>
            <w:tcW w:w="2120" w:type="dxa"/>
            <w:vAlign w:val="bottom"/>
          </w:tcPr>
          <w:p>
            <w:pPr>
              <w:spacing w:after="0"/>
              <w:rPr>
                <w:sz w:val="5"/>
                <w:szCs w:val="5"/>
                <w:color w:val="auto"/>
              </w:rPr>
            </w:pPr>
          </w:p>
        </w:tc>
        <w:tc>
          <w:tcPr>
            <w:tcW w:w="4620" w:type="dxa"/>
            <w:vAlign w:val="bottom"/>
          </w:tcPr>
          <w:p>
            <w:pPr>
              <w:spacing w:after="0"/>
              <w:rPr>
                <w:sz w:val="5"/>
                <w:szCs w:val="5"/>
                <w:color w:val="auto"/>
              </w:rPr>
            </w:pPr>
          </w:p>
        </w:tc>
        <w:tc>
          <w:tcPr>
            <w:tcW w:w="360" w:type="dxa"/>
            <w:vAlign w:val="bottom"/>
          </w:tcPr>
          <w:p>
            <w:pPr>
              <w:spacing w:after="0"/>
              <w:rPr>
                <w:sz w:val="5"/>
                <w:szCs w:val="5"/>
                <w:color w:val="auto"/>
              </w:rPr>
            </w:pPr>
          </w:p>
        </w:tc>
        <w:tc>
          <w:tcPr>
            <w:tcW w:w="1100" w:type="dxa"/>
            <w:vAlign w:val="bottom"/>
            <w:vMerge w:val="continue"/>
          </w:tcPr>
          <w:p>
            <w:pPr>
              <w:spacing w:after="0"/>
              <w:rPr>
                <w:sz w:val="5"/>
                <w:szCs w:val="5"/>
                <w:color w:val="auto"/>
              </w:rPr>
            </w:pPr>
          </w:p>
        </w:tc>
        <w:tc>
          <w:tcPr>
            <w:tcW w:w="40" w:type="dxa"/>
            <w:vAlign w:val="bottom"/>
          </w:tcPr>
          <w:p>
            <w:pPr>
              <w:spacing w:after="0"/>
              <w:rPr>
                <w:sz w:val="5"/>
                <w:szCs w:val="5"/>
                <w:color w:val="auto"/>
              </w:rPr>
            </w:pPr>
          </w:p>
        </w:tc>
        <w:tc>
          <w:tcPr>
            <w:tcW w:w="120" w:type="dxa"/>
            <w:vAlign w:val="bottom"/>
          </w:tcPr>
          <w:p>
            <w:pPr>
              <w:spacing w:after="0"/>
              <w:rPr>
                <w:sz w:val="5"/>
                <w:szCs w:val="5"/>
                <w:color w:val="auto"/>
              </w:rPr>
            </w:pPr>
          </w:p>
        </w:tc>
        <w:tc>
          <w:tcPr>
            <w:tcW w:w="360" w:type="dxa"/>
            <w:vAlign w:val="bottom"/>
          </w:tcPr>
          <w:p>
            <w:pPr>
              <w:spacing w:after="0"/>
              <w:rPr>
                <w:sz w:val="5"/>
                <w:szCs w:val="5"/>
                <w:color w:val="auto"/>
              </w:rPr>
            </w:pPr>
          </w:p>
        </w:tc>
        <w:tc>
          <w:tcPr>
            <w:tcW w:w="1140" w:type="dxa"/>
            <w:vAlign w:val="bottom"/>
            <w:vMerge w:val="continue"/>
          </w:tcPr>
          <w:p>
            <w:pPr>
              <w:spacing w:after="0"/>
              <w:rPr>
                <w:sz w:val="5"/>
                <w:szCs w:val="5"/>
                <w:color w:val="auto"/>
              </w:rPr>
            </w:pPr>
          </w:p>
        </w:tc>
        <w:tc>
          <w:tcPr>
            <w:tcW w:w="100" w:type="dxa"/>
            <w:vAlign w:val="bottom"/>
          </w:tcPr>
          <w:p>
            <w:pPr>
              <w:spacing w:after="0"/>
              <w:rPr>
                <w:sz w:val="5"/>
                <w:szCs w:val="5"/>
                <w:color w:val="auto"/>
              </w:rPr>
            </w:pPr>
          </w:p>
        </w:tc>
        <w:tc>
          <w:tcPr>
            <w:tcW w:w="340" w:type="dxa"/>
            <w:vAlign w:val="bottom"/>
          </w:tcPr>
          <w:p>
            <w:pPr>
              <w:spacing w:after="0"/>
              <w:rPr>
                <w:sz w:val="5"/>
                <w:szCs w:val="5"/>
                <w:color w:val="auto"/>
              </w:rPr>
            </w:pPr>
          </w:p>
        </w:tc>
        <w:tc>
          <w:tcPr>
            <w:tcW w:w="112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r>
        <w:trPr>
          <w:trHeight w:val="210"/>
        </w:trPr>
        <w:tc>
          <w:tcPr>
            <w:tcW w:w="6740" w:type="dxa"/>
            <w:vAlign w:val="bottom"/>
            <w:gridSpan w:val="2"/>
            <w:shd w:val="clear" w:color="auto" w:fill="CCEEFF"/>
          </w:tcPr>
          <w:p>
            <w:pPr>
              <w:ind w:left="280"/>
              <w:spacing w:after="0"/>
              <w:rPr>
                <w:sz w:val="20"/>
                <w:szCs w:val="20"/>
                <w:color w:val="auto"/>
              </w:rPr>
            </w:pPr>
            <w:r>
              <w:rPr>
                <w:rFonts w:ascii="Arial" w:cs="Arial" w:eastAsia="Arial" w:hAnsi="Arial"/>
                <w:sz w:val="14"/>
                <w:szCs w:val="14"/>
                <w:color w:val="auto"/>
              </w:rPr>
              <w:t>Dividend payments</w:t>
            </w:r>
          </w:p>
        </w:tc>
        <w:tc>
          <w:tcPr>
            <w:tcW w:w="360" w:type="dxa"/>
            <w:vAlign w:val="bottom"/>
            <w:shd w:val="clear" w:color="auto" w:fill="CCEEFF"/>
          </w:tcPr>
          <w:p>
            <w:pPr>
              <w:spacing w:after="0"/>
              <w:rPr>
                <w:sz w:val="18"/>
                <w:szCs w:val="18"/>
                <w:color w:val="auto"/>
              </w:rPr>
            </w:pPr>
          </w:p>
        </w:tc>
        <w:tc>
          <w:tcPr>
            <w:tcW w:w="110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(178)</w:t>
            </w:r>
          </w:p>
        </w:tc>
        <w:tc>
          <w:tcPr>
            <w:tcW w:w="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14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(186)</w:t>
            </w:r>
          </w:p>
        </w:tc>
        <w:tc>
          <w:tcPr>
            <w:tcW w:w="1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12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(198)</w:t>
            </w:r>
          </w:p>
        </w:tc>
        <w:tc>
          <w:tcPr>
            <w:tcW w:w="0" w:type="dxa"/>
            <w:vAlign w:val="bottom"/>
          </w:tcPr>
          <w:p>
            <w:pPr>
              <w:spacing w:after="0"/>
              <w:rPr>
                <w:sz w:val="1"/>
                <w:szCs w:val="1"/>
                <w:color w:val="auto"/>
              </w:rPr>
            </w:pPr>
          </w:p>
        </w:tc>
      </w:tr>
      <w:tr>
        <w:trPr>
          <w:trHeight w:val="66"/>
        </w:trPr>
        <w:tc>
          <w:tcPr>
            <w:tcW w:w="2120" w:type="dxa"/>
            <w:vAlign w:val="bottom"/>
            <w:shd w:val="clear" w:color="auto" w:fill="CCEEFF"/>
          </w:tcPr>
          <w:p>
            <w:pPr>
              <w:spacing w:after="0"/>
              <w:rPr>
                <w:sz w:val="5"/>
                <w:szCs w:val="5"/>
                <w:color w:val="auto"/>
              </w:rPr>
            </w:pPr>
          </w:p>
        </w:tc>
        <w:tc>
          <w:tcPr>
            <w:tcW w:w="4620" w:type="dxa"/>
            <w:vAlign w:val="bottom"/>
            <w:shd w:val="clear" w:color="auto" w:fill="CCEEFF"/>
          </w:tcPr>
          <w:p>
            <w:pPr>
              <w:spacing w:after="0"/>
              <w:rPr>
                <w:sz w:val="5"/>
                <w:szCs w:val="5"/>
                <w:color w:val="auto"/>
              </w:rPr>
            </w:pPr>
          </w:p>
        </w:tc>
        <w:tc>
          <w:tcPr>
            <w:tcW w:w="360" w:type="dxa"/>
            <w:vAlign w:val="bottom"/>
            <w:shd w:val="clear" w:color="auto" w:fill="CCEEFF"/>
          </w:tcPr>
          <w:p>
            <w:pPr>
              <w:spacing w:after="0"/>
              <w:rPr>
                <w:sz w:val="5"/>
                <w:szCs w:val="5"/>
                <w:color w:val="auto"/>
              </w:rPr>
            </w:pPr>
          </w:p>
        </w:tc>
        <w:tc>
          <w:tcPr>
            <w:tcW w:w="1100" w:type="dxa"/>
            <w:vAlign w:val="bottom"/>
            <w:vMerge w:val="continue"/>
            <w:shd w:val="clear" w:color="auto" w:fill="CCEEFF"/>
          </w:tcPr>
          <w:p>
            <w:pPr>
              <w:spacing w:after="0"/>
              <w:rPr>
                <w:sz w:val="5"/>
                <w:szCs w:val="5"/>
                <w:color w:val="auto"/>
              </w:rPr>
            </w:pPr>
          </w:p>
        </w:tc>
        <w:tc>
          <w:tcPr>
            <w:tcW w:w="40" w:type="dxa"/>
            <w:vAlign w:val="bottom"/>
            <w:shd w:val="clear" w:color="auto" w:fill="CCEEFF"/>
          </w:tcPr>
          <w:p>
            <w:pPr>
              <w:spacing w:after="0"/>
              <w:rPr>
                <w:sz w:val="5"/>
                <w:szCs w:val="5"/>
                <w:color w:val="auto"/>
              </w:rPr>
            </w:pPr>
          </w:p>
        </w:tc>
        <w:tc>
          <w:tcPr>
            <w:tcW w:w="120" w:type="dxa"/>
            <w:vAlign w:val="bottom"/>
            <w:shd w:val="clear" w:color="auto" w:fill="CCEEFF"/>
          </w:tcPr>
          <w:p>
            <w:pPr>
              <w:spacing w:after="0"/>
              <w:rPr>
                <w:sz w:val="5"/>
                <w:szCs w:val="5"/>
                <w:color w:val="auto"/>
              </w:rPr>
            </w:pPr>
          </w:p>
        </w:tc>
        <w:tc>
          <w:tcPr>
            <w:tcW w:w="360" w:type="dxa"/>
            <w:vAlign w:val="bottom"/>
            <w:shd w:val="clear" w:color="auto" w:fill="CCEEFF"/>
          </w:tcPr>
          <w:p>
            <w:pPr>
              <w:spacing w:after="0"/>
              <w:rPr>
                <w:sz w:val="5"/>
                <w:szCs w:val="5"/>
                <w:color w:val="auto"/>
              </w:rPr>
            </w:pPr>
          </w:p>
        </w:tc>
        <w:tc>
          <w:tcPr>
            <w:tcW w:w="1140" w:type="dxa"/>
            <w:vAlign w:val="bottom"/>
            <w:vMerge w:val="continue"/>
            <w:shd w:val="clear" w:color="auto" w:fill="CCEEFF"/>
          </w:tcPr>
          <w:p>
            <w:pPr>
              <w:spacing w:after="0"/>
              <w:rPr>
                <w:sz w:val="5"/>
                <w:szCs w:val="5"/>
                <w:color w:val="auto"/>
              </w:rPr>
            </w:pPr>
          </w:p>
        </w:tc>
        <w:tc>
          <w:tcPr>
            <w:tcW w:w="100" w:type="dxa"/>
            <w:vAlign w:val="bottom"/>
            <w:shd w:val="clear" w:color="auto" w:fill="CCEEFF"/>
          </w:tcPr>
          <w:p>
            <w:pPr>
              <w:spacing w:after="0"/>
              <w:rPr>
                <w:sz w:val="5"/>
                <w:szCs w:val="5"/>
                <w:color w:val="auto"/>
              </w:rPr>
            </w:pPr>
          </w:p>
        </w:tc>
        <w:tc>
          <w:tcPr>
            <w:tcW w:w="340" w:type="dxa"/>
            <w:vAlign w:val="bottom"/>
            <w:shd w:val="clear" w:color="auto" w:fill="CCEEFF"/>
          </w:tcPr>
          <w:p>
            <w:pPr>
              <w:spacing w:after="0"/>
              <w:rPr>
                <w:sz w:val="5"/>
                <w:szCs w:val="5"/>
                <w:color w:val="auto"/>
              </w:rPr>
            </w:pPr>
          </w:p>
        </w:tc>
        <w:tc>
          <w:tcPr>
            <w:tcW w:w="1120" w:type="dxa"/>
            <w:vAlign w:val="bottom"/>
            <w:vMerge w:val="continue"/>
            <w:shd w:val="clear" w:color="auto" w:fill="CCEEFF"/>
          </w:tcPr>
          <w:p>
            <w:pPr>
              <w:spacing w:after="0"/>
              <w:rPr>
                <w:sz w:val="5"/>
                <w:szCs w:val="5"/>
                <w:color w:val="auto"/>
              </w:rPr>
            </w:pPr>
          </w:p>
        </w:tc>
        <w:tc>
          <w:tcPr>
            <w:tcW w:w="0" w:type="dxa"/>
            <w:vAlign w:val="bottom"/>
          </w:tcPr>
          <w:p>
            <w:pPr>
              <w:spacing w:after="0"/>
              <w:rPr>
                <w:sz w:val="1"/>
                <w:szCs w:val="1"/>
                <w:color w:val="auto"/>
              </w:rPr>
            </w:pPr>
          </w:p>
        </w:tc>
      </w:tr>
      <w:tr>
        <w:trPr>
          <w:trHeight w:val="204"/>
        </w:trPr>
        <w:tc>
          <w:tcPr>
            <w:tcW w:w="6740" w:type="dxa"/>
            <w:vAlign w:val="bottom"/>
            <w:gridSpan w:val="2"/>
          </w:tcPr>
          <w:p>
            <w:pPr>
              <w:ind w:left="280"/>
              <w:spacing w:after="0"/>
              <w:rPr>
                <w:sz w:val="20"/>
                <w:szCs w:val="20"/>
                <w:color w:val="auto"/>
              </w:rPr>
            </w:pPr>
            <w:r>
              <w:rPr>
                <w:rFonts w:ascii="Arial" w:cs="Arial" w:eastAsia="Arial" w:hAnsi="Arial"/>
                <w:sz w:val="14"/>
                <w:szCs w:val="14"/>
                <w:color w:val="auto"/>
              </w:rPr>
              <w:t>Other financing activities</w:t>
            </w:r>
          </w:p>
        </w:tc>
        <w:tc>
          <w:tcPr>
            <w:tcW w:w="360" w:type="dxa"/>
            <w:vAlign w:val="bottom"/>
          </w:tcPr>
          <w:p>
            <w:pPr>
              <w:spacing w:after="0"/>
              <w:rPr>
                <w:sz w:val="17"/>
                <w:szCs w:val="17"/>
                <w:color w:val="auto"/>
              </w:rPr>
            </w:pPr>
          </w:p>
        </w:tc>
        <w:tc>
          <w:tcPr>
            <w:tcW w:w="1100" w:type="dxa"/>
            <w:vAlign w:val="bottom"/>
            <w:vMerge w:val="restart"/>
          </w:tcPr>
          <w:p>
            <w:pPr>
              <w:jc w:val="right"/>
              <w:spacing w:after="0"/>
              <w:rPr>
                <w:sz w:val="20"/>
                <w:szCs w:val="20"/>
                <w:color w:val="auto"/>
              </w:rPr>
            </w:pPr>
            <w:r>
              <w:rPr>
                <w:rFonts w:ascii="Arial" w:cs="Arial" w:eastAsia="Arial" w:hAnsi="Arial"/>
                <w:sz w:val="14"/>
                <w:szCs w:val="14"/>
                <w:color w:val="auto"/>
              </w:rPr>
              <w:t>(2)</w:t>
            </w:r>
          </w:p>
        </w:tc>
        <w:tc>
          <w:tcPr>
            <w:tcW w:w="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140" w:type="dxa"/>
            <w:vAlign w:val="bottom"/>
            <w:vMerge w:val="restart"/>
          </w:tcPr>
          <w:p>
            <w:pPr>
              <w:jc w:val="right"/>
              <w:spacing w:after="0"/>
              <w:rPr>
                <w:sz w:val="20"/>
                <w:szCs w:val="20"/>
                <w:color w:val="auto"/>
              </w:rPr>
            </w:pPr>
            <w:r>
              <w:rPr>
                <w:rFonts w:ascii="Arial" w:cs="Arial" w:eastAsia="Arial" w:hAnsi="Arial"/>
                <w:sz w:val="14"/>
                <w:szCs w:val="14"/>
                <w:color w:val="auto"/>
              </w:rPr>
              <w:t>(3)</w:t>
            </w:r>
          </w:p>
        </w:tc>
        <w:tc>
          <w:tcPr>
            <w:tcW w:w="1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120" w:type="dxa"/>
            <w:vAlign w:val="bottom"/>
            <w:vMerge w:val="restart"/>
          </w:tcPr>
          <w:p>
            <w:pPr>
              <w:jc w:val="right"/>
              <w:ind w:right="28"/>
              <w:spacing w:after="0"/>
              <w:rPr>
                <w:sz w:val="20"/>
                <w:szCs w:val="20"/>
                <w:color w:val="auto"/>
              </w:rPr>
            </w:pPr>
            <w:r>
              <w:rPr>
                <w:rFonts w:ascii="Arial" w:cs="Arial" w:eastAsia="Arial" w:hAnsi="Arial"/>
                <w:sz w:val="14"/>
                <w:szCs w:val="14"/>
                <w:color w:val="auto"/>
              </w:rPr>
              <w:t>27</w:t>
            </w:r>
          </w:p>
        </w:tc>
        <w:tc>
          <w:tcPr>
            <w:tcW w:w="0" w:type="dxa"/>
            <w:vAlign w:val="bottom"/>
          </w:tcPr>
          <w:p>
            <w:pPr>
              <w:spacing w:after="0"/>
              <w:rPr>
                <w:sz w:val="1"/>
                <w:szCs w:val="1"/>
                <w:color w:val="auto"/>
              </w:rPr>
            </w:pPr>
          </w:p>
        </w:tc>
      </w:tr>
      <w:tr>
        <w:trPr>
          <w:trHeight w:val="60"/>
        </w:trPr>
        <w:tc>
          <w:tcPr>
            <w:tcW w:w="2120" w:type="dxa"/>
            <w:vAlign w:val="bottom"/>
            <w:tcBorders>
              <w:bottom w:val="single" w:sz="8" w:color="CCEEFF"/>
            </w:tcBorders>
          </w:tcPr>
          <w:p>
            <w:pPr>
              <w:spacing w:after="0"/>
              <w:rPr>
                <w:sz w:val="5"/>
                <w:szCs w:val="5"/>
                <w:color w:val="auto"/>
              </w:rPr>
            </w:pPr>
          </w:p>
        </w:tc>
        <w:tc>
          <w:tcPr>
            <w:tcW w:w="4620" w:type="dxa"/>
            <w:vAlign w:val="bottom"/>
            <w:tcBorders>
              <w:bottom w:val="single" w:sz="8" w:color="CCEEFF"/>
            </w:tcBorders>
          </w:tcPr>
          <w:p>
            <w:pPr>
              <w:spacing w:after="0"/>
              <w:rPr>
                <w:sz w:val="5"/>
                <w:szCs w:val="5"/>
                <w:color w:val="auto"/>
              </w:rPr>
            </w:pPr>
          </w:p>
        </w:tc>
        <w:tc>
          <w:tcPr>
            <w:tcW w:w="360" w:type="dxa"/>
            <w:vAlign w:val="bottom"/>
            <w:tcBorders>
              <w:bottom w:val="single" w:sz="8" w:color="auto"/>
            </w:tcBorders>
          </w:tcPr>
          <w:p>
            <w:pPr>
              <w:spacing w:after="0"/>
              <w:rPr>
                <w:sz w:val="5"/>
                <w:szCs w:val="5"/>
                <w:color w:val="auto"/>
              </w:rPr>
            </w:pPr>
          </w:p>
        </w:tc>
        <w:tc>
          <w:tcPr>
            <w:tcW w:w="1100" w:type="dxa"/>
            <w:vAlign w:val="bottom"/>
            <w:tcBorders>
              <w:bottom w:val="single" w:sz="8" w:color="auto"/>
            </w:tcBorders>
            <w:vMerge w:val="continue"/>
          </w:tcPr>
          <w:p>
            <w:pPr>
              <w:spacing w:after="0"/>
              <w:rPr>
                <w:sz w:val="5"/>
                <w:szCs w:val="5"/>
                <w:color w:val="auto"/>
              </w:rPr>
            </w:pPr>
          </w:p>
        </w:tc>
        <w:tc>
          <w:tcPr>
            <w:tcW w:w="40" w:type="dxa"/>
            <w:vAlign w:val="bottom"/>
            <w:tcBorders>
              <w:bottom w:val="single" w:sz="8" w:color="auto"/>
            </w:tcBorders>
          </w:tcPr>
          <w:p>
            <w:pPr>
              <w:spacing w:after="0"/>
              <w:rPr>
                <w:sz w:val="5"/>
                <w:szCs w:val="5"/>
                <w:color w:val="auto"/>
              </w:rPr>
            </w:pPr>
          </w:p>
        </w:tc>
        <w:tc>
          <w:tcPr>
            <w:tcW w:w="120" w:type="dxa"/>
            <w:vAlign w:val="bottom"/>
            <w:tcBorders>
              <w:bottom w:val="single" w:sz="8" w:color="CCEEFF"/>
            </w:tcBorders>
          </w:tcPr>
          <w:p>
            <w:pPr>
              <w:spacing w:after="0"/>
              <w:rPr>
                <w:sz w:val="5"/>
                <w:szCs w:val="5"/>
                <w:color w:val="auto"/>
              </w:rPr>
            </w:pPr>
          </w:p>
        </w:tc>
        <w:tc>
          <w:tcPr>
            <w:tcW w:w="360" w:type="dxa"/>
            <w:vAlign w:val="bottom"/>
            <w:tcBorders>
              <w:bottom w:val="single" w:sz="8" w:color="auto"/>
            </w:tcBorders>
          </w:tcPr>
          <w:p>
            <w:pPr>
              <w:spacing w:after="0"/>
              <w:rPr>
                <w:sz w:val="5"/>
                <w:szCs w:val="5"/>
                <w:color w:val="auto"/>
              </w:rPr>
            </w:pPr>
          </w:p>
        </w:tc>
        <w:tc>
          <w:tcPr>
            <w:tcW w:w="1140" w:type="dxa"/>
            <w:vAlign w:val="bottom"/>
            <w:tcBorders>
              <w:bottom w:val="single" w:sz="8" w:color="auto"/>
            </w:tcBorders>
            <w:vMerge w:val="continue"/>
          </w:tcPr>
          <w:p>
            <w:pPr>
              <w:spacing w:after="0"/>
              <w:rPr>
                <w:sz w:val="5"/>
                <w:szCs w:val="5"/>
                <w:color w:val="auto"/>
              </w:rPr>
            </w:pPr>
          </w:p>
        </w:tc>
        <w:tc>
          <w:tcPr>
            <w:tcW w:w="100" w:type="dxa"/>
            <w:vAlign w:val="bottom"/>
            <w:tcBorders>
              <w:bottom w:val="single" w:sz="8" w:color="CCEEFF"/>
            </w:tcBorders>
          </w:tcPr>
          <w:p>
            <w:pPr>
              <w:spacing w:after="0"/>
              <w:rPr>
                <w:sz w:val="5"/>
                <w:szCs w:val="5"/>
                <w:color w:val="auto"/>
              </w:rPr>
            </w:pPr>
          </w:p>
        </w:tc>
        <w:tc>
          <w:tcPr>
            <w:tcW w:w="340" w:type="dxa"/>
            <w:vAlign w:val="bottom"/>
            <w:tcBorders>
              <w:bottom w:val="single" w:sz="8" w:color="auto"/>
            </w:tcBorders>
          </w:tcPr>
          <w:p>
            <w:pPr>
              <w:spacing w:after="0"/>
              <w:rPr>
                <w:sz w:val="5"/>
                <w:szCs w:val="5"/>
                <w:color w:val="auto"/>
              </w:rPr>
            </w:pPr>
          </w:p>
        </w:tc>
        <w:tc>
          <w:tcPr>
            <w:tcW w:w="1120" w:type="dxa"/>
            <w:vAlign w:val="bottom"/>
            <w:tcBorders>
              <w:bottom w:val="single" w:sz="8" w:color="auto"/>
            </w:tcBorders>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90"/>
        </w:trPr>
        <w:tc>
          <w:tcPr>
            <w:tcW w:w="6740" w:type="dxa"/>
            <w:vAlign w:val="bottom"/>
            <w:gridSpan w:val="2"/>
            <w:shd w:val="clear" w:color="auto" w:fill="CCEEFF"/>
          </w:tcPr>
          <w:p>
            <w:pPr>
              <w:ind w:left="500"/>
              <w:spacing w:after="0"/>
              <w:rPr>
                <w:sz w:val="20"/>
                <w:szCs w:val="20"/>
                <w:color w:val="auto"/>
              </w:rPr>
            </w:pPr>
            <w:r>
              <w:rPr>
                <w:rFonts w:ascii="Arial" w:cs="Arial" w:eastAsia="Arial" w:hAnsi="Arial"/>
                <w:sz w:val="14"/>
                <w:szCs w:val="14"/>
                <w:color w:val="auto"/>
              </w:rPr>
              <w:t>Net cash used in financing activities</w:t>
            </w:r>
          </w:p>
        </w:tc>
        <w:tc>
          <w:tcPr>
            <w:tcW w:w="360" w:type="dxa"/>
            <w:vAlign w:val="bottom"/>
            <w:shd w:val="clear" w:color="auto" w:fill="CCEEFF"/>
          </w:tcPr>
          <w:p>
            <w:pPr>
              <w:spacing w:after="0"/>
              <w:rPr>
                <w:sz w:val="16"/>
                <w:szCs w:val="16"/>
                <w:color w:val="auto"/>
              </w:rPr>
            </w:pPr>
          </w:p>
        </w:tc>
        <w:tc>
          <w:tcPr>
            <w:tcW w:w="110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(1,568)</w:t>
            </w:r>
          </w:p>
        </w:tc>
        <w:tc>
          <w:tcPr>
            <w:tcW w:w="4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360" w:type="dxa"/>
            <w:vAlign w:val="bottom"/>
            <w:shd w:val="clear" w:color="auto" w:fill="CCEEFF"/>
          </w:tcPr>
          <w:p>
            <w:pPr>
              <w:spacing w:after="0"/>
              <w:rPr>
                <w:sz w:val="16"/>
                <w:szCs w:val="16"/>
                <w:color w:val="auto"/>
              </w:rPr>
            </w:pPr>
          </w:p>
        </w:tc>
        <w:tc>
          <w:tcPr>
            <w:tcW w:w="114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(1,672)</w:t>
            </w:r>
          </w:p>
        </w:tc>
        <w:tc>
          <w:tcPr>
            <w:tcW w:w="100" w:type="dxa"/>
            <w:vAlign w:val="bottom"/>
            <w:shd w:val="clear" w:color="auto" w:fill="CCEEFF"/>
          </w:tcPr>
          <w:p>
            <w:pPr>
              <w:spacing w:after="0"/>
              <w:rPr>
                <w:sz w:val="16"/>
                <w:szCs w:val="16"/>
                <w:color w:val="auto"/>
              </w:rPr>
            </w:pPr>
          </w:p>
        </w:tc>
        <w:tc>
          <w:tcPr>
            <w:tcW w:w="340" w:type="dxa"/>
            <w:vAlign w:val="bottom"/>
            <w:shd w:val="clear" w:color="auto" w:fill="CCEEFF"/>
          </w:tcPr>
          <w:p>
            <w:pPr>
              <w:spacing w:after="0"/>
              <w:rPr>
                <w:sz w:val="16"/>
                <w:szCs w:val="16"/>
                <w:color w:val="auto"/>
              </w:rPr>
            </w:pPr>
          </w:p>
        </w:tc>
        <w:tc>
          <w:tcPr>
            <w:tcW w:w="112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(1,145)</w:t>
            </w:r>
          </w:p>
        </w:tc>
        <w:tc>
          <w:tcPr>
            <w:tcW w:w="0" w:type="dxa"/>
            <w:vAlign w:val="bottom"/>
          </w:tcPr>
          <w:p>
            <w:pPr>
              <w:spacing w:after="0"/>
              <w:rPr>
                <w:sz w:val="1"/>
                <w:szCs w:val="1"/>
                <w:color w:val="auto"/>
              </w:rPr>
            </w:pPr>
          </w:p>
        </w:tc>
      </w:tr>
      <w:tr>
        <w:trPr>
          <w:trHeight w:val="66"/>
        </w:trPr>
        <w:tc>
          <w:tcPr>
            <w:tcW w:w="2120" w:type="dxa"/>
            <w:vAlign w:val="bottom"/>
            <w:shd w:val="clear" w:color="auto" w:fill="CCEEFF"/>
          </w:tcPr>
          <w:p>
            <w:pPr>
              <w:spacing w:after="0"/>
              <w:rPr>
                <w:sz w:val="5"/>
                <w:szCs w:val="5"/>
                <w:color w:val="auto"/>
              </w:rPr>
            </w:pPr>
          </w:p>
        </w:tc>
        <w:tc>
          <w:tcPr>
            <w:tcW w:w="4620" w:type="dxa"/>
            <w:vAlign w:val="bottom"/>
            <w:shd w:val="clear" w:color="auto" w:fill="CCEEFF"/>
          </w:tcPr>
          <w:p>
            <w:pPr>
              <w:spacing w:after="0"/>
              <w:rPr>
                <w:sz w:val="5"/>
                <w:szCs w:val="5"/>
                <w:color w:val="auto"/>
              </w:rPr>
            </w:pPr>
          </w:p>
        </w:tc>
        <w:tc>
          <w:tcPr>
            <w:tcW w:w="360" w:type="dxa"/>
            <w:vAlign w:val="bottom"/>
            <w:tcBorders>
              <w:bottom w:val="single" w:sz="8" w:color="auto"/>
            </w:tcBorders>
            <w:shd w:val="clear" w:color="auto" w:fill="CCEEFF"/>
          </w:tcPr>
          <w:p>
            <w:pPr>
              <w:spacing w:after="0"/>
              <w:rPr>
                <w:sz w:val="5"/>
                <w:szCs w:val="5"/>
                <w:color w:val="auto"/>
              </w:rPr>
            </w:pPr>
          </w:p>
        </w:tc>
        <w:tc>
          <w:tcPr>
            <w:tcW w:w="1100" w:type="dxa"/>
            <w:vAlign w:val="bottom"/>
            <w:tcBorders>
              <w:bottom w:val="single" w:sz="8" w:color="auto"/>
            </w:tcBorders>
            <w:vMerge w:val="continue"/>
            <w:shd w:val="clear" w:color="auto" w:fill="CCEEFF"/>
          </w:tcPr>
          <w:p>
            <w:pPr>
              <w:spacing w:after="0"/>
              <w:rPr>
                <w:sz w:val="5"/>
                <w:szCs w:val="5"/>
                <w:color w:val="auto"/>
              </w:rPr>
            </w:pPr>
          </w:p>
        </w:tc>
        <w:tc>
          <w:tcPr>
            <w:tcW w:w="40" w:type="dxa"/>
            <w:vAlign w:val="bottom"/>
            <w:tcBorders>
              <w:bottom w:val="single" w:sz="8" w:color="auto"/>
            </w:tcBorders>
            <w:shd w:val="clear" w:color="auto" w:fill="CCEEFF"/>
          </w:tcPr>
          <w:p>
            <w:pPr>
              <w:spacing w:after="0"/>
              <w:rPr>
                <w:sz w:val="5"/>
                <w:szCs w:val="5"/>
                <w:color w:val="auto"/>
              </w:rPr>
            </w:pPr>
          </w:p>
        </w:tc>
        <w:tc>
          <w:tcPr>
            <w:tcW w:w="120" w:type="dxa"/>
            <w:vAlign w:val="bottom"/>
            <w:shd w:val="clear" w:color="auto" w:fill="CCEEFF"/>
          </w:tcPr>
          <w:p>
            <w:pPr>
              <w:spacing w:after="0"/>
              <w:rPr>
                <w:sz w:val="5"/>
                <w:szCs w:val="5"/>
                <w:color w:val="auto"/>
              </w:rPr>
            </w:pPr>
          </w:p>
        </w:tc>
        <w:tc>
          <w:tcPr>
            <w:tcW w:w="360" w:type="dxa"/>
            <w:vAlign w:val="bottom"/>
            <w:tcBorders>
              <w:bottom w:val="single" w:sz="8" w:color="auto"/>
            </w:tcBorders>
            <w:shd w:val="clear" w:color="auto" w:fill="CCEEFF"/>
          </w:tcPr>
          <w:p>
            <w:pPr>
              <w:spacing w:after="0"/>
              <w:rPr>
                <w:sz w:val="5"/>
                <w:szCs w:val="5"/>
                <w:color w:val="auto"/>
              </w:rPr>
            </w:pPr>
          </w:p>
        </w:tc>
        <w:tc>
          <w:tcPr>
            <w:tcW w:w="1140" w:type="dxa"/>
            <w:vAlign w:val="bottom"/>
            <w:tcBorders>
              <w:bottom w:val="single" w:sz="8" w:color="auto"/>
            </w:tcBorders>
            <w:vMerge w:val="continue"/>
            <w:shd w:val="clear" w:color="auto" w:fill="CCEEFF"/>
          </w:tcPr>
          <w:p>
            <w:pPr>
              <w:spacing w:after="0"/>
              <w:rPr>
                <w:sz w:val="5"/>
                <w:szCs w:val="5"/>
                <w:color w:val="auto"/>
              </w:rPr>
            </w:pPr>
          </w:p>
        </w:tc>
        <w:tc>
          <w:tcPr>
            <w:tcW w:w="100" w:type="dxa"/>
            <w:vAlign w:val="bottom"/>
            <w:shd w:val="clear" w:color="auto" w:fill="CCEEFF"/>
          </w:tcPr>
          <w:p>
            <w:pPr>
              <w:spacing w:after="0"/>
              <w:rPr>
                <w:sz w:val="5"/>
                <w:szCs w:val="5"/>
                <w:color w:val="auto"/>
              </w:rPr>
            </w:pPr>
          </w:p>
        </w:tc>
        <w:tc>
          <w:tcPr>
            <w:tcW w:w="340" w:type="dxa"/>
            <w:vAlign w:val="bottom"/>
            <w:tcBorders>
              <w:bottom w:val="single" w:sz="8" w:color="auto"/>
            </w:tcBorders>
            <w:shd w:val="clear" w:color="auto" w:fill="CCEEFF"/>
          </w:tcPr>
          <w:p>
            <w:pPr>
              <w:spacing w:after="0"/>
              <w:rPr>
                <w:sz w:val="5"/>
                <w:szCs w:val="5"/>
                <w:color w:val="auto"/>
              </w:rPr>
            </w:pPr>
          </w:p>
        </w:tc>
        <w:tc>
          <w:tcPr>
            <w:tcW w:w="1120" w:type="dxa"/>
            <w:vAlign w:val="bottom"/>
            <w:tcBorders>
              <w:bottom w:val="single" w:sz="8" w:color="auto"/>
            </w:tcBorders>
            <w:vMerge w:val="continue"/>
            <w:shd w:val="clear" w:color="auto" w:fill="CCEEFF"/>
          </w:tcPr>
          <w:p>
            <w:pPr>
              <w:spacing w:after="0"/>
              <w:rPr>
                <w:sz w:val="5"/>
                <w:szCs w:val="5"/>
                <w:color w:val="auto"/>
              </w:rPr>
            </w:pPr>
          </w:p>
        </w:tc>
        <w:tc>
          <w:tcPr>
            <w:tcW w:w="0" w:type="dxa"/>
            <w:vAlign w:val="bottom"/>
          </w:tcPr>
          <w:p>
            <w:pPr>
              <w:spacing w:after="0"/>
              <w:rPr>
                <w:sz w:val="1"/>
                <w:szCs w:val="1"/>
                <w:color w:val="auto"/>
              </w:rPr>
            </w:pPr>
          </w:p>
        </w:tc>
      </w:tr>
      <w:tr>
        <w:trPr>
          <w:trHeight w:val="184"/>
        </w:trPr>
        <w:tc>
          <w:tcPr>
            <w:tcW w:w="6740" w:type="dxa"/>
            <w:vAlign w:val="bottom"/>
            <w:gridSpan w:val="2"/>
          </w:tcPr>
          <w:p>
            <w:pPr>
              <w:ind w:left="40"/>
              <w:spacing w:after="0"/>
              <w:rPr>
                <w:sz w:val="20"/>
                <w:szCs w:val="20"/>
                <w:color w:val="auto"/>
              </w:rPr>
            </w:pPr>
            <w:r>
              <w:rPr>
                <w:rFonts w:ascii="Arial" w:cs="Arial" w:eastAsia="Arial" w:hAnsi="Arial"/>
                <w:sz w:val="14"/>
                <w:szCs w:val="14"/>
                <w:color w:val="auto"/>
              </w:rPr>
              <w:t>Net increase (decrease) in cash and restricted cash</w:t>
            </w:r>
          </w:p>
        </w:tc>
        <w:tc>
          <w:tcPr>
            <w:tcW w:w="360" w:type="dxa"/>
            <w:vAlign w:val="bottom"/>
          </w:tcPr>
          <w:p>
            <w:pPr>
              <w:spacing w:after="0"/>
              <w:rPr>
                <w:sz w:val="16"/>
                <w:szCs w:val="16"/>
                <w:color w:val="auto"/>
              </w:rPr>
            </w:pPr>
          </w:p>
        </w:tc>
        <w:tc>
          <w:tcPr>
            <w:tcW w:w="1100" w:type="dxa"/>
            <w:vAlign w:val="bottom"/>
            <w:vMerge w:val="restart"/>
          </w:tcPr>
          <w:p>
            <w:pPr>
              <w:jc w:val="right"/>
              <w:ind w:right="8"/>
              <w:spacing w:after="0"/>
              <w:rPr>
                <w:sz w:val="20"/>
                <w:szCs w:val="20"/>
                <w:color w:val="auto"/>
              </w:rPr>
            </w:pPr>
            <w:r>
              <w:rPr>
                <w:rFonts w:ascii="Arial" w:cs="Arial" w:eastAsia="Arial" w:hAnsi="Arial"/>
                <w:sz w:val="14"/>
                <w:szCs w:val="14"/>
                <w:color w:val="auto"/>
              </w:rPr>
              <w:t>4</w:t>
            </w:r>
          </w:p>
        </w:tc>
        <w:tc>
          <w:tcPr>
            <w:tcW w:w="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140" w:type="dxa"/>
            <w:vAlign w:val="bottom"/>
            <w:vMerge w:val="restart"/>
          </w:tcPr>
          <w:p>
            <w:pPr>
              <w:jc w:val="right"/>
              <w:spacing w:after="0"/>
              <w:rPr>
                <w:sz w:val="20"/>
                <w:szCs w:val="20"/>
                <w:color w:val="auto"/>
              </w:rPr>
            </w:pPr>
            <w:r>
              <w:rPr>
                <w:rFonts w:ascii="Arial" w:cs="Arial" w:eastAsia="Arial" w:hAnsi="Arial"/>
                <w:sz w:val="14"/>
                <w:szCs w:val="14"/>
                <w:color w:val="auto"/>
              </w:rPr>
              <w:t>(112)</w:t>
            </w:r>
          </w:p>
        </w:tc>
        <w:tc>
          <w:tcPr>
            <w:tcW w:w="1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120" w:type="dxa"/>
            <w:vAlign w:val="bottom"/>
            <w:vMerge w:val="restart"/>
          </w:tcPr>
          <w:p>
            <w:pPr>
              <w:jc w:val="right"/>
              <w:spacing w:after="0"/>
              <w:rPr>
                <w:sz w:val="20"/>
                <w:szCs w:val="20"/>
                <w:color w:val="auto"/>
              </w:rPr>
            </w:pPr>
            <w:r>
              <w:rPr>
                <w:rFonts w:ascii="Arial" w:cs="Arial" w:eastAsia="Arial" w:hAnsi="Arial"/>
                <w:sz w:val="14"/>
                <w:szCs w:val="14"/>
                <w:color w:val="auto"/>
              </w:rPr>
              <w:t>(37)</w:t>
            </w:r>
          </w:p>
        </w:tc>
        <w:tc>
          <w:tcPr>
            <w:tcW w:w="0" w:type="dxa"/>
            <w:vAlign w:val="bottom"/>
          </w:tcPr>
          <w:p>
            <w:pPr>
              <w:spacing w:after="0"/>
              <w:rPr>
                <w:sz w:val="1"/>
                <w:szCs w:val="1"/>
                <w:color w:val="auto"/>
              </w:rPr>
            </w:pPr>
          </w:p>
        </w:tc>
      </w:tr>
      <w:tr>
        <w:trPr>
          <w:trHeight w:val="60"/>
        </w:trPr>
        <w:tc>
          <w:tcPr>
            <w:tcW w:w="2120" w:type="dxa"/>
            <w:vAlign w:val="bottom"/>
          </w:tcPr>
          <w:p>
            <w:pPr>
              <w:spacing w:after="0"/>
              <w:rPr>
                <w:sz w:val="5"/>
                <w:szCs w:val="5"/>
                <w:color w:val="auto"/>
              </w:rPr>
            </w:pPr>
          </w:p>
        </w:tc>
        <w:tc>
          <w:tcPr>
            <w:tcW w:w="4620" w:type="dxa"/>
            <w:vAlign w:val="bottom"/>
          </w:tcPr>
          <w:p>
            <w:pPr>
              <w:spacing w:after="0"/>
              <w:rPr>
                <w:sz w:val="5"/>
                <w:szCs w:val="5"/>
                <w:color w:val="auto"/>
              </w:rPr>
            </w:pPr>
          </w:p>
        </w:tc>
        <w:tc>
          <w:tcPr>
            <w:tcW w:w="360" w:type="dxa"/>
            <w:vAlign w:val="bottom"/>
          </w:tcPr>
          <w:p>
            <w:pPr>
              <w:spacing w:after="0"/>
              <w:rPr>
                <w:sz w:val="5"/>
                <w:szCs w:val="5"/>
                <w:color w:val="auto"/>
              </w:rPr>
            </w:pPr>
          </w:p>
        </w:tc>
        <w:tc>
          <w:tcPr>
            <w:tcW w:w="1100" w:type="dxa"/>
            <w:vAlign w:val="bottom"/>
            <w:vMerge w:val="continue"/>
          </w:tcPr>
          <w:p>
            <w:pPr>
              <w:spacing w:after="0"/>
              <w:rPr>
                <w:sz w:val="5"/>
                <w:szCs w:val="5"/>
                <w:color w:val="auto"/>
              </w:rPr>
            </w:pPr>
          </w:p>
        </w:tc>
        <w:tc>
          <w:tcPr>
            <w:tcW w:w="40" w:type="dxa"/>
            <w:vAlign w:val="bottom"/>
          </w:tcPr>
          <w:p>
            <w:pPr>
              <w:spacing w:after="0"/>
              <w:rPr>
                <w:sz w:val="5"/>
                <w:szCs w:val="5"/>
                <w:color w:val="auto"/>
              </w:rPr>
            </w:pPr>
          </w:p>
        </w:tc>
        <w:tc>
          <w:tcPr>
            <w:tcW w:w="120" w:type="dxa"/>
            <w:vAlign w:val="bottom"/>
          </w:tcPr>
          <w:p>
            <w:pPr>
              <w:spacing w:after="0"/>
              <w:rPr>
                <w:sz w:val="5"/>
                <w:szCs w:val="5"/>
                <w:color w:val="auto"/>
              </w:rPr>
            </w:pPr>
          </w:p>
        </w:tc>
        <w:tc>
          <w:tcPr>
            <w:tcW w:w="360" w:type="dxa"/>
            <w:vAlign w:val="bottom"/>
          </w:tcPr>
          <w:p>
            <w:pPr>
              <w:spacing w:after="0"/>
              <w:rPr>
                <w:sz w:val="5"/>
                <w:szCs w:val="5"/>
                <w:color w:val="auto"/>
              </w:rPr>
            </w:pPr>
          </w:p>
        </w:tc>
        <w:tc>
          <w:tcPr>
            <w:tcW w:w="1140" w:type="dxa"/>
            <w:vAlign w:val="bottom"/>
            <w:vMerge w:val="continue"/>
          </w:tcPr>
          <w:p>
            <w:pPr>
              <w:spacing w:after="0"/>
              <w:rPr>
                <w:sz w:val="5"/>
                <w:szCs w:val="5"/>
                <w:color w:val="auto"/>
              </w:rPr>
            </w:pPr>
          </w:p>
        </w:tc>
        <w:tc>
          <w:tcPr>
            <w:tcW w:w="100" w:type="dxa"/>
            <w:vAlign w:val="bottom"/>
          </w:tcPr>
          <w:p>
            <w:pPr>
              <w:spacing w:after="0"/>
              <w:rPr>
                <w:sz w:val="5"/>
                <w:szCs w:val="5"/>
                <w:color w:val="auto"/>
              </w:rPr>
            </w:pPr>
          </w:p>
        </w:tc>
        <w:tc>
          <w:tcPr>
            <w:tcW w:w="340" w:type="dxa"/>
            <w:vAlign w:val="bottom"/>
          </w:tcPr>
          <w:p>
            <w:pPr>
              <w:spacing w:after="0"/>
              <w:rPr>
                <w:sz w:val="5"/>
                <w:szCs w:val="5"/>
                <w:color w:val="auto"/>
              </w:rPr>
            </w:pPr>
          </w:p>
        </w:tc>
        <w:tc>
          <w:tcPr>
            <w:tcW w:w="112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r>
        <w:trPr>
          <w:trHeight w:val="210"/>
        </w:trPr>
        <w:tc>
          <w:tcPr>
            <w:tcW w:w="6740" w:type="dxa"/>
            <w:vAlign w:val="bottom"/>
            <w:gridSpan w:val="2"/>
            <w:shd w:val="clear" w:color="auto" w:fill="CCEEFF"/>
          </w:tcPr>
          <w:p>
            <w:pPr>
              <w:ind w:left="40"/>
              <w:spacing w:after="0"/>
              <w:rPr>
                <w:sz w:val="20"/>
                <w:szCs w:val="20"/>
                <w:color w:val="auto"/>
              </w:rPr>
            </w:pPr>
            <w:r>
              <w:rPr>
                <w:rFonts w:ascii="Arial" w:cs="Arial" w:eastAsia="Arial" w:hAnsi="Arial"/>
                <w:sz w:val="14"/>
                <w:szCs w:val="14"/>
                <w:color w:val="auto"/>
              </w:rPr>
              <w:t>Cash and restricted cash at beginning of year</w:t>
            </w:r>
          </w:p>
        </w:tc>
        <w:tc>
          <w:tcPr>
            <w:tcW w:w="360" w:type="dxa"/>
            <w:vAlign w:val="bottom"/>
            <w:shd w:val="clear" w:color="auto" w:fill="CCEEFF"/>
          </w:tcPr>
          <w:p>
            <w:pPr>
              <w:spacing w:after="0"/>
              <w:rPr>
                <w:sz w:val="18"/>
                <w:szCs w:val="18"/>
                <w:color w:val="auto"/>
              </w:rPr>
            </w:pPr>
          </w:p>
        </w:tc>
        <w:tc>
          <w:tcPr>
            <w:tcW w:w="1100" w:type="dxa"/>
            <w:vAlign w:val="bottom"/>
            <w:vMerge w:val="restart"/>
            <w:shd w:val="clear" w:color="auto" w:fill="CCEEFF"/>
          </w:tcPr>
          <w:p>
            <w:pPr>
              <w:jc w:val="right"/>
              <w:ind w:right="8"/>
              <w:spacing w:after="0"/>
              <w:rPr>
                <w:sz w:val="20"/>
                <w:szCs w:val="20"/>
                <w:color w:val="auto"/>
              </w:rPr>
            </w:pPr>
            <w:r>
              <w:rPr>
                <w:rFonts w:ascii="Arial" w:cs="Arial" w:eastAsia="Arial" w:hAnsi="Arial"/>
                <w:sz w:val="14"/>
                <w:szCs w:val="14"/>
                <w:color w:val="auto"/>
              </w:rPr>
              <w:t>286</w:t>
            </w:r>
          </w:p>
        </w:tc>
        <w:tc>
          <w:tcPr>
            <w:tcW w:w="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140" w:type="dxa"/>
            <w:vAlign w:val="bottom"/>
            <w:vMerge w:val="restart"/>
            <w:shd w:val="clear" w:color="auto" w:fill="CCEEFF"/>
          </w:tcPr>
          <w:p>
            <w:pPr>
              <w:jc w:val="right"/>
              <w:ind w:right="48"/>
              <w:spacing w:after="0"/>
              <w:rPr>
                <w:sz w:val="20"/>
                <w:szCs w:val="20"/>
                <w:color w:val="auto"/>
              </w:rPr>
            </w:pPr>
            <w:r>
              <w:rPr>
                <w:rFonts w:ascii="Arial" w:cs="Arial" w:eastAsia="Arial" w:hAnsi="Arial"/>
                <w:sz w:val="14"/>
                <w:szCs w:val="14"/>
                <w:color w:val="auto"/>
              </w:rPr>
              <w:t>398</w:t>
            </w:r>
          </w:p>
        </w:tc>
        <w:tc>
          <w:tcPr>
            <w:tcW w:w="1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120" w:type="dxa"/>
            <w:vAlign w:val="bottom"/>
            <w:vMerge w:val="restart"/>
            <w:shd w:val="clear" w:color="auto" w:fill="CCEEFF"/>
          </w:tcPr>
          <w:p>
            <w:pPr>
              <w:jc w:val="right"/>
              <w:ind w:right="28"/>
              <w:spacing w:after="0"/>
              <w:rPr>
                <w:sz w:val="20"/>
                <w:szCs w:val="20"/>
                <w:color w:val="auto"/>
              </w:rPr>
            </w:pPr>
            <w:r>
              <w:rPr>
                <w:rFonts w:ascii="Arial" w:cs="Arial" w:eastAsia="Arial" w:hAnsi="Arial"/>
                <w:sz w:val="14"/>
                <w:szCs w:val="14"/>
                <w:color w:val="auto"/>
              </w:rPr>
              <w:t>435</w:t>
            </w:r>
          </w:p>
        </w:tc>
        <w:tc>
          <w:tcPr>
            <w:tcW w:w="0" w:type="dxa"/>
            <w:vAlign w:val="bottom"/>
          </w:tcPr>
          <w:p>
            <w:pPr>
              <w:spacing w:after="0"/>
              <w:rPr>
                <w:sz w:val="1"/>
                <w:szCs w:val="1"/>
                <w:color w:val="auto"/>
              </w:rPr>
            </w:pPr>
          </w:p>
        </w:tc>
      </w:tr>
      <w:tr>
        <w:trPr>
          <w:trHeight w:val="66"/>
        </w:trPr>
        <w:tc>
          <w:tcPr>
            <w:tcW w:w="2120" w:type="dxa"/>
            <w:vAlign w:val="bottom"/>
            <w:shd w:val="clear" w:color="auto" w:fill="CCEEFF"/>
          </w:tcPr>
          <w:p>
            <w:pPr>
              <w:spacing w:after="0"/>
              <w:rPr>
                <w:sz w:val="5"/>
                <w:szCs w:val="5"/>
                <w:color w:val="auto"/>
              </w:rPr>
            </w:pPr>
          </w:p>
        </w:tc>
        <w:tc>
          <w:tcPr>
            <w:tcW w:w="4620" w:type="dxa"/>
            <w:vAlign w:val="bottom"/>
            <w:shd w:val="clear" w:color="auto" w:fill="CCEEFF"/>
          </w:tcPr>
          <w:p>
            <w:pPr>
              <w:spacing w:after="0"/>
              <w:rPr>
                <w:sz w:val="5"/>
                <w:szCs w:val="5"/>
                <w:color w:val="auto"/>
              </w:rPr>
            </w:pPr>
          </w:p>
        </w:tc>
        <w:tc>
          <w:tcPr>
            <w:tcW w:w="360" w:type="dxa"/>
            <w:vAlign w:val="bottom"/>
            <w:tcBorders>
              <w:bottom w:val="single" w:sz="8" w:color="auto"/>
            </w:tcBorders>
            <w:shd w:val="clear" w:color="auto" w:fill="CCEEFF"/>
          </w:tcPr>
          <w:p>
            <w:pPr>
              <w:spacing w:after="0"/>
              <w:rPr>
                <w:sz w:val="5"/>
                <w:szCs w:val="5"/>
                <w:color w:val="auto"/>
              </w:rPr>
            </w:pPr>
          </w:p>
        </w:tc>
        <w:tc>
          <w:tcPr>
            <w:tcW w:w="1100" w:type="dxa"/>
            <w:vAlign w:val="bottom"/>
            <w:tcBorders>
              <w:bottom w:val="single" w:sz="8" w:color="auto"/>
            </w:tcBorders>
            <w:vMerge w:val="continue"/>
            <w:shd w:val="clear" w:color="auto" w:fill="CCEEFF"/>
          </w:tcPr>
          <w:p>
            <w:pPr>
              <w:spacing w:after="0"/>
              <w:rPr>
                <w:sz w:val="5"/>
                <w:szCs w:val="5"/>
                <w:color w:val="auto"/>
              </w:rPr>
            </w:pPr>
          </w:p>
        </w:tc>
        <w:tc>
          <w:tcPr>
            <w:tcW w:w="40" w:type="dxa"/>
            <w:vAlign w:val="bottom"/>
            <w:tcBorders>
              <w:bottom w:val="single" w:sz="8" w:color="auto"/>
            </w:tcBorders>
            <w:shd w:val="clear" w:color="auto" w:fill="CCEEFF"/>
          </w:tcPr>
          <w:p>
            <w:pPr>
              <w:spacing w:after="0"/>
              <w:rPr>
                <w:sz w:val="5"/>
                <w:szCs w:val="5"/>
                <w:color w:val="auto"/>
              </w:rPr>
            </w:pPr>
          </w:p>
        </w:tc>
        <w:tc>
          <w:tcPr>
            <w:tcW w:w="120" w:type="dxa"/>
            <w:vAlign w:val="bottom"/>
            <w:shd w:val="clear" w:color="auto" w:fill="CCEEFF"/>
          </w:tcPr>
          <w:p>
            <w:pPr>
              <w:spacing w:after="0"/>
              <w:rPr>
                <w:sz w:val="5"/>
                <w:szCs w:val="5"/>
                <w:color w:val="auto"/>
              </w:rPr>
            </w:pPr>
          </w:p>
        </w:tc>
        <w:tc>
          <w:tcPr>
            <w:tcW w:w="360" w:type="dxa"/>
            <w:vAlign w:val="bottom"/>
            <w:tcBorders>
              <w:bottom w:val="single" w:sz="8" w:color="auto"/>
            </w:tcBorders>
            <w:shd w:val="clear" w:color="auto" w:fill="CCEEFF"/>
          </w:tcPr>
          <w:p>
            <w:pPr>
              <w:spacing w:after="0"/>
              <w:rPr>
                <w:sz w:val="5"/>
                <w:szCs w:val="5"/>
                <w:color w:val="auto"/>
              </w:rPr>
            </w:pPr>
          </w:p>
        </w:tc>
        <w:tc>
          <w:tcPr>
            <w:tcW w:w="1140" w:type="dxa"/>
            <w:vAlign w:val="bottom"/>
            <w:tcBorders>
              <w:bottom w:val="single" w:sz="8" w:color="auto"/>
            </w:tcBorders>
            <w:vMerge w:val="continue"/>
            <w:shd w:val="clear" w:color="auto" w:fill="CCEEFF"/>
          </w:tcPr>
          <w:p>
            <w:pPr>
              <w:spacing w:after="0"/>
              <w:rPr>
                <w:sz w:val="5"/>
                <w:szCs w:val="5"/>
                <w:color w:val="auto"/>
              </w:rPr>
            </w:pPr>
          </w:p>
        </w:tc>
        <w:tc>
          <w:tcPr>
            <w:tcW w:w="100" w:type="dxa"/>
            <w:vAlign w:val="bottom"/>
            <w:shd w:val="clear" w:color="auto" w:fill="CCEEFF"/>
          </w:tcPr>
          <w:p>
            <w:pPr>
              <w:spacing w:after="0"/>
              <w:rPr>
                <w:sz w:val="5"/>
                <w:szCs w:val="5"/>
                <w:color w:val="auto"/>
              </w:rPr>
            </w:pPr>
          </w:p>
        </w:tc>
        <w:tc>
          <w:tcPr>
            <w:tcW w:w="340" w:type="dxa"/>
            <w:vAlign w:val="bottom"/>
            <w:tcBorders>
              <w:bottom w:val="single" w:sz="8" w:color="auto"/>
            </w:tcBorders>
            <w:shd w:val="clear" w:color="auto" w:fill="CCEEFF"/>
          </w:tcPr>
          <w:p>
            <w:pPr>
              <w:spacing w:after="0"/>
              <w:rPr>
                <w:sz w:val="5"/>
                <w:szCs w:val="5"/>
                <w:color w:val="auto"/>
              </w:rPr>
            </w:pPr>
          </w:p>
        </w:tc>
        <w:tc>
          <w:tcPr>
            <w:tcW w:w="1120" w:type="dxa"/>
            <w:vAlign w:val="bottom"/>
            <w:tcBorders>
              <w:bottom w:val="single" w:sz="8" w:color="auto"/>
            </w:tcBorders>
            <w:vMerge w:val="continue"/>
            <w:shd w:val="clear" w:color="auto" w:fill="CCEEFF"/>
          </w:tcPr>
          <w:p>
            <w:pPr>
              <w:spacing w:after="0"/>
              <w:rPr>
                <w:sz w:val="5"/>
                <w:szCs w:val="5"/>
                <w:color w:val="auto"/>
              </w:rPr>
            </w:pPr>
          </w:p>
        </w:tc>
        <w:tc>
          <w:tcPr>
            <w:tcW w:w="0" w:type="dxa"/>
            <w:vAlign w:val="bottom"/>
          </w:tcPr>
          <w:p>
            <w:pPr>
              <w:spacing w:after="0"/>
              <w:rPr>
                <w:sz w:val="1"/>
                <w:szCs w:val="1"/>
                <w:color w:val="auto"/>
              </w:rPr>
            </w:pPr>
          </w:p>
        </w:tc>
      </w:tr>
      <w:tr>
        <w:trPr>
          <w:trHeight w:val="236"/>
        </w:trPr>
        <w:tc>
          <w:tcPr>
            <w:tcW w:w="6740" w:type="dxa"/>
            <w:vAlign w:val="bottom"/>
            <w:gridSpan w:val="2"/>
          </w:tcPr>
          <w:p>
            <w:pPr>
              <w:ind w:left="40"/>
              <w:spacing w:after="0"/>
              <w:rPr>
                <w:sz w:val="20"/>
                <w:szCs w:val="20"/>
                <w:color w:val="auto"/>
              </w:rPr>
            </w:pPr>
            <w:r>
              <w:rPr>
                <w:rFonts w:ascii="Arial" w:cs="Arial" w:eastAsia="Arial" w:hAnsi="Arial"/>
                <w:sz w:val="14"/>
                <w:szCs w:val="14"/>
                <w:color w:val="auto"/>
              </w:rPr>
              <w:t xml:space="preserve">Cash and restricted cash at end of year </w:t>
            </w:r>
            <w:r>
              <w:rPr>
                <w:rFonts w:ascii="Arial" w:cs="Arial" w:eastAsia="Arial" w:hAnsi="Arial"/>
                <w:sz w:val="17"/>
                <w:szCs w:val="17"/>
                <w:color w:val="auto"/>
                <w:vertAlign w:val="superscript"/>
              </w:rPr>
              <w:t>(a)</w:t>
            </w:r>
          </w:p>
        </w:tc>
        <w:tc>
          <w:tcPr>
            <w:tcW w:w="360" w:type="dxa"/>
            <w:vAlign w:val="bottom"/>
          </w:tcPr>
          <w:p>
            <w:pPr>
              <w:jc w:val="right"/>
              <w:ind w:right="168"/>
              <w:spacing w:after="0"/>
              <w:rPr>
                <w:sz w:val="20"/>
                <w:szCs w:val="20"/>
                <w:color w:val="auto"/>
              </w:rPr>
            </w:pPr>
            <w:r>
              <w:rPr>
                <w:rFonts w:ascii="Arial" w:cs="Arial" w:eastAsia="Arial" w:hAnsi="Arial"/>
                <w:sz w:val="14"/>
                <w:szCs w:val="14"/>
                <w:color w:val="auto"/>
              </w:rPr>
              <w:t>$</w:t>
            </w:r>
          </w:p>
        </w:tc>
        <w:tc>
          <w:tcPr>
            <w:tcW w:w="1100" w:type="dxa"/>
            <w:vAlign w:val="bottom"/>
          </w:tcPr>
          <w:p>
            <w:pPr>
              <w:jc w:val="right"/>
              <w:ind w:right="8"/>
              <w:spacing w:after="0"/>
              <w:rPr>
                <w:sz w:val="20"/>
                <w:szCs w:val="20"/>
                <w:color w:val="auto"/>
              </w:rPr>
            </w:pPr>
            <w:r>
              <w:rPr>
                <w:rFonts w:ascii="Arial" w:cs="Arial" w:eastAsia="Arial" w:hAnsi="Arial"/>
                <w:sz w:val="14"/>
                <w:szCs w:val="14"/>
                <w:color w:val="auto"/>
              </w:rPr>
              <w:t>290</w:t>
            </w:r>
          </w:p>
        </w:tc>
        <w:tc>
          <w:tcPr>
            <w:tcW w:w="520" w:type="dxa"/>
            <w:vAlign w:val="bottom"/>
            <w:gridSpan w:val="3"/>
          </w:tcPr>
          <w:p>
            <w:pPr>
              <w:jc w:val="right"/>
              <w:ind w:right="240"/>
              <w:spacing w:after="0"/>
              <w:rPr>
                <w:sz w:val="20"/>
                <w:szCs w:val="20"/>
                <w:color w:val="auto"/>
              </w:rPr>
            </w:pPr>
            <w:r>
              <w:rPr>
                <w:rFonts w:ascii="Arial" w:cs="Arial" w:eastAsia="Arial" w:hAnsi="Arial"/>
                <w:sz w:val="14"/>
                <w:szCs w:val="14"/>
                <w:color w:val="auto"/>
              </w:rPr>
              <w:t>$</w:t>
            </w:r>
          </w:p>
        </w:tc>
        <w:tc>
          <w:tcPr>
            <w:tcW w:w="1140" w:type="dxa"/>
            <w:vAlign w:val="bottom"/>
          </w:tcPr>
          <w:p>
            <w:pPr>
              <w:jc w:val="right"/>
              <w:ind w:right="48"/>
              <w:spacing w:after="0"/>
              <w:rPr>
                <w:sz w:val="20"/>
                <w:szCs w:val="20"/>
                <w:color w:val="auto"/>
              </w:rPr>
            </w:pPr>
            <w:r>
              <w:rPr>
                <w:rFonts w:ascii="Arial" w:cs="Arial" w:eastAsia="Arial" w:hAnsi="Arial"/>
                <w:sz w:val="14"/>
                <w:szCs w:val="14"/>
                <w:color w:val="auto"/>
              </w:rPr>
              <w:t>286</w:t>
            </w:r>
          </w:p>
        </w:tc>
        <w:tc>
          <w:tcPr>
            <w:tcW w:w="100" w:type="dxa"/>
            <w:vAlign w:val="bottom"/>
          </w:tcPr>
          <w:p>
            <w:pPr>
              <w:spacing w:after="0"/>
              <w:rPr>
                <w:sz w:val="20"/>
                <w:szCs w:val="20"/>
                <w:color w:val="auto"/>
              </w:rPr>
            </w:pPr>
          </w:p>
        </w:tc>
        <w:tc>
          <w:tcPr>
            <w:tcW w:w="340" w:type="dxa"/>
            <w:vAlign w:val="bottom"/>
          </w:tcPr>
          <w:p>
            <w:pPr>
              <w:jc w:val="right"/>
              <w:ind w:right="168"/>
              <w:spacing w:after="0"/>
              <w:rPr>
                <w:sz w:val="20"/>
                <w:szCs w:val="20"/>
                <w:color w:val="auto"/>
              </w:rPr>
            </w:pPr>
            <w:r>
              <w:rPr>
                <w:rFonts w:ascii="Arial" w:cs="Arial" w:eastAsia="Arial" w:hAnsi="Arial"/>
                <w:sz w:val="14"/>
                <w:szCs w:val="14"/>
                <w:color w:val="auto"/>
              </w:rPr>
              <w:t>$</w:t>
            </w:r>
          </w:p>
        </w:tc>
        <w:tc>
          <w:tcPr>
            <w:tcW w:w="1120" w:type="dxa"/>
            <w:vAlign w:val="bottom"/>
          </w:tcPr>
          <w:p>
            <w:pPr>
              <w:jc w:val="right"/>
              <w:ind w:right="28"/>
              <w:spacing w:after="0"/>
              <w:rPr>
                <w:sz w:val="20"/>
                <w:szCs w:val="20"/>
                <w:color w:val="auto"/>
              </w:rPr>
            </w:pPr>
            <w:r>
              <w:rPr>
                <w:rFonts w:ascii="Arial" w:cs="Arial" w:eastAsia="Arial" w:hAnsi="Arial"/>
                <w:sz w:val="14"/>
                <w:szCs w:val="14"/>
                <w:color w:val="auto"/>
              </w:rPr>
              <w:t>398</w:t>
            </w:r>
          </w:p>
        </w:tc>
        <w:tc>
          <w:tcPr>
            <w:tcW w:w="0" w:type="dxa"/>
            <w:vAlign w:val="bottom"/>
          </w:tcPr>
          <w:p>
            <w:pPr>
              <w:spacing w:after="0"/>
              <w:rPr>
                <w:sz w:val="1"/>
                <w:szCs w:val="1"/>
                <w:color w:val="auto"/>
              </w:rPr>
            </w:pPr>
          </w:p>
        </w:tc>
      </w:tr>
      <w:tr>
        <w:trPr>
          <w:trHeight w:val="20"/>
        </w:trPr>
        <w:tc>
          <w:tcPr>
            <w:tcW w:w="2120" w:type="dxa"/>
            <w:vAlign w:val="bottom"/>
          </w:tcPr>
          <w:p>
            <w:pPr>
              <w:spacing w:after="0" w:line="20" w:lineRule="exact"/>
              <w:rPr>
                <w:sz w:val="1"/>
                <w:szCs w:val="1"/>
                <w:color w:val="auto"/>
              </w:rPr>
            </w:pPr>
          </w:p>
        </w:tc>
        <w:tc>
          <w:tcPr>
            <w:tcW w:w="4620" w:type="dxa"/>
            <w:vAlign w:val="bottom"/>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7"/>
        </w:trPr>
        <w:tc>
          <w:tcPr>
            <w:tcW w:w="2120" w:type="dxa"/>
            <w:vAlign w:val="bottom"/>
            <w:tcBorders>
              <w:bottom w:val="single" w:sz="8" w:color="auto"/>
            </w:tcBorders>
          </w:tcPr>
          <w:p>
            <w:pPr>
              <w:spacing w:after="0"/>
              <w:rPr>
                <w:sz w:val="20"/>
                <w:szCs w:val="20"/>
                <w:color w:val="auto"/>
              </w:rPr>
            </w:pPr>
          </w:p>
        </w:tc>
        <w:tc>
          <w:tcPr>
            <w:tcW w:w="462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pacing w:after="0" w:line="252" w:lineRule="exact"/>
        <w:rPr>
          <w:sz w:val="20"/>
          <w:szCs w:val="20"/>
          <w:color w:val="auto"/>
        </w:rPr>
      </w:pPr>
    </w:p>
    <w:p>
      <w:pPr>
        <w:ind w:left="180" w:hanging="172"/>
        <w:spacing w:after="0"/>
        <w:tabs>
          <w:tab w:leader="none" w:pos="180" w:val="left"/>
        </w:tabs>
        <w:numPr>
          <w:ilvl w:val="0"/>
          <w:numId w:val="29"/>
        </w:numPr>
        <w:rPr>
          <w:rFonts w:ascii="Arial" w:cs="Arial" w:eastAsia="Arial" w:hAnsi="Arial"/>
          <w:sz w:val="21"/>
          <w:szCs w:val="21"/>
          <w:color w:val="auto"/>
          <w:vertAlign w:val="superscript"/>
        </w:rPr>
      </w:pPr>
      <w:r>
        <w:rPr>
          <w:rFonts w:ascii="Arial" w:cs="Arial" w:eastAsia="Arial" w:hAnsi="Arial"/>
          <w:sz w:val="15"/>
          <w:szCs w:val="15"/>
          <w:color w:val="auto"/>
        </w:rPr>
        <w:t>The following table provides a reconciliation of cash and restricted cash to amounts reported within the consolidated balance sheets:</w:t>
      </w:r>
    </w:p>
    <w:p>
      <w:pPr>
        <w:spacing w:after="0" w:line="128" w:lineRule="exact"/>
        <w:rPr>
          <w:sz w:val="20"/>
          <w:szCs w:val="20"/>
          <w:color w:val="auto"/>
        </w:rPr>
      </w:pPr>
    </w:p>
    <w:tbl>
      <w:tblPr>
        <w:tblLayout w:type="fixed"/>
        <w:tblInd w:w="0" w:type="dxa"/>
        <w:tblCellMar>
          <w:top w:w="0" w:type="dxa"/>
          <w:left w:w="0" w:type="dxa"/>
          <w:bottom w:w="0" w:type="dxa"/>
          <w:right w:w="0" w:type="dxa"/>
        </w:tblCellMar>
      </w:tblPr>
      <w:tr>
        <w:trPr>
          <w:trHeight w:val="270"/>
        </w:trPr>
        <w:tc>
          <w:tcPr>
            <w:tcW w:w="6740" w:type="dxa"/>
            <w:vAlign w:val="bottom"/>
            <w:shd w:val="clear" w:color="auto" w:fill="CCEEFF"/>
          </w:tcPr>
          <w:p>
            <w:pPr>
              <w:ind w:left="40"/>
              <w:spacing w:after="0"/>
              <w:rPr>
                <w:sz w:val="20"/>
                <w:szCs w:val="20"/>
                <w:color w:val="auto"/>
              </w:rPr>
            </w:pPr>
            <w:r>
              <w:rPr>
                <w:rFonts w:ascii="Arial" w:cs="Arial" w:eastAsia="Arial" w:hAnsi="Arial"/>
                <w:sz w:val="14"/>
                <w:szCs w:val="14"/>
                <w:color w:val="auto"/>
              </w:rPr>
              <w:t>Cash</w:t>
            </w:r>
          </w:p>
        </w:tc>
        <w:tc>
          <w:tcPr>
            <w:tcW w:w="620" w:type="dxa"/>
            <w:vAlign w:val="bottom"/>
            <w:shd w:val="clear" w:color="auto" w:fill="CCEEFF"/>
          </w:tcPr>
          <w:p>
            <w:pPr>
              <w:jc w:val="right"/>
              <w:ind w:right="428"/>
              <w:spacing w:after="0"/>
              <w:rPr>
                <w:sz w:val="20"/>
                <w:szCs w:val="20"/>
                <w:color w:val="auto"/>
              </w:rPr>
            </w:pPr>
            <w:r>
              <w:rPr>
                <w:rFonts w:ascii="Arial" w:cs="Arial" w:eastAsia="Arial" w:hAnsi="Arial"/>
                <w:sz w:val="14"/>
                <w:szCs w:val="14"/>
                <w:color w:val="auto"/>
              </w:rPr>
              <w:t>$</w:t>
            </w:r>
          </w:p>
        </w:tc>
        <w:tc>
          <w:tcPr>
            <w:tcW w:w="88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280</w:t>
            </w:r>
          </w:p>
        </w:tc>
        <w:tc>
          <w:tcPr>
            <w:tcW w:w="120" w:type="dxa"/>
            <w:vAlign w:val="bottom"/>
            <w:shd w:val="clear" w:color="auto" w:fill="CCEEFF"/>
          </w:tcPr>
          <w:p>
            <w:pPr>
              <w:spacing w:after="0"/>
              <w:rPr>
                <w:sz w:val="23"/>
                <w:szCs w:val="23"/>
                <w:color w:val="auto"/>
              </w:rPr>
            </w:pPr>
          </w:p>
        </w:tc>
        <w:tc>
          <w:tcPr>
            <w:tcW w:w="640" w:type="dxa"/>
            <w:vAlign w:val="bottom"/>
            <w:shd w:val="clear" w:color="auto" w:fill="CCEEFF"/>
          </w:tcPr>
          <w:p>
            <w:pPr>
              <w:jc w:val="right"/>
              <w:ind w:right="448"/>
              <w:spacing w:after="0"/>
              <w:rPr>
                <w:sz w:val="20"/>
                <w:szCs w:val="20"/>
                <w:color w:val="auto"/>
              </w:rPr>
            </w:pPr>
            <w:r>
              <w:rPr>
                <w:rFonts w:ascii="Arial" w:cs="Arial" w:eastAsia="Arial" w:hAnsi="Arial"/>
                <w:sz w:val="14"/>
                <w:szCs w:val="14"/>
                <w:color w:val="auto"/>
              </w:rPr>
              <w:t>$</w:t>
            </w:r>
          </w:p>
        </w:tc>
        <w:tc>
          <w:tcPr>
            <w:tcW w:w="86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275</w:t>
            </w:r>
          </w:p>
        </w:tc>
        <w:tc>
          <w:tcPr>
            <w:tcW w:w="100" w:type="dxa"/>
            <w:vAlign w:val="bottom"/>
            <w:shd w:val="clear" w:color="auto" w:fill="CCEEFF"/>
          </w:tcPr>
          <w:p>
            <w:pPr>
              <w:spacing w:after="0"/>
              <w:rPr>
                <w:sz w:val="23"/>
                <w:szCs w:val="23"/>
                <w:color w:val="auto"/>
              </w:rPr>
            </w:pPr>
          </w:p>
        </w:tc>
        <w:tc>
          <w:tcPr>
            <w:tcW w:w="620" w:type="dxa"/>
            <w:vAlign w:val="bottom"/>
            <w:shd w:val="clear" w:color="auto" w:fill="CCEEFF"/>
          </w:tcPr>
          <w:p>
            <w:pPr>
              <w:jc w:val="right"/>
              <w:ind w:right="448"/>
              <w:spacing w:after="0"/>
              <w:rPr>
                <w:sz w:val="20"/>
                <w:szCs w:val="20"/>
                <w:color w:val="auto"/>
              </w:rPr>
            </w:pPr>
            <w:r>
              <w:rPr>
                <w:rFonts w:ascii="Arial" w:cs="Arial" w:eastAsia="Arial" w:hAnsi="Arial"/>
                <w:sz w:val="14"/>
                <w:szCs w:val="14"/>
                <w:color w:val="auto"/>
              </w:rPr>
              <w:t>$</w:t>
            </w:r>
          </w:p>
        </w:tc>
        <w:tc>
          <w:tcPr>
            <w:tcW w:w="84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295</w:t>
            </w:r>
          </w:p>
        </w:tc>
      </w:tr>
      <w:tr>
        <w:trPr>
          <w:trHeight w:val="264"/>
        </w:trPr>
        <w:tc>
          <w:tcPr>
            <w:tcW w:w="6740" w:type="dxa"/>
            <w:vAlign w:val="bottom"/>
            <w:tcBorders>
              <w:bottom w:val="single" w:sz="8" w:color="CCEEFF"/>
            </w:tcBorders>
          </w:tcPr>
          <w:p>
            <w:pPr>
              <w:ind w:left="40"/>
              <w:spacing w:after="0"/>
              <w:rPr>
                <w:sz w:val="20"/>
                <w:szCs w:val="20"/>
                <w:color w:val="auto"/>
              </w:rPr>
            </w:pPr>
            <w:r>
              <w:rPr>
                <w:rFonts w:ascii="Arial" w:cs="Arial" w:eastAsia="Arial" w:hAnsi="Arial"/>
                <w:sz w:val="14"/>
                <w:szCs w:val="14"/>
                <w:color w:val="auto"/>
              </w:rPr>
              <w:t>Restricted cash included in restricted cash and short-term investments</w:t>
            </w:r>
          </w:p>
        </w:tc>
        <w:tc>
          <w:tcPr>
            <w:tcW w:w="620" w:type="dxa"/>
            <w:vAlign w:val="bottom"/>
            <w:tcBorders>
              <w:bottom w:val="single" w:sz="8" w:color="auto"/>
            </w:tcBorders>
          </w:tcPr>
          <w:p>
            <w:pPr>
              <w:spacing w:after="0"/>
              <w:rPr>
                <w:sz w:val="22"/>
                <w:szCs w:val="22"/>
                <w:color w:val="auto"/>
              </w:rPr>
            </w:pPr>
          </w:p>
        </w:tc>
        <w:tc>
          <w:tcPr>
            <w:tcW w:w="88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10</w:t>
            </w:r>
          </w:p>
        </w:tc>
        <w:tc>
          <w:tcPr>
            <w:tcW w:w="120" w:type="dxa"/>
            <w:vAlign w:val="bottom"/>
            <w:tcBorders>
              <w:bottom w:val="single" w:sz="8" w:color="CCEEFF"/>
            </w:tcBorders>
          </w:tcPr>
          <w:p>
            <w:pPr>
              <w:spacing w:after="0"/>
              <w:rPr>
                <w:sz w:val="22"/>
                <w:szCs w:val="22"/>
                <w:color w:val="auto"/>
              </w:rPr>
            </w:pPr>
          </w:p>
        </w:tc>
        <w:tc>
          <w:tcPr>
            <w:tcW w:w="640" w:type="dxa"/>
            <w:vAlign w:val="bottom"/>
            <w:tcBorders>
              <w:bottom w:val="single" w:sz="8" w:color="auto"/>
            </w:tcBorders>
          </w:tcPr>
          <w:p>
            <w:pPr>
              <w:spacing w:after="0"/>
              <w:rPr>
                <w:sz w:val="22"/>
                <w:szCs w:val="22"/>
                <w:color w:val="auto"/>
              </w:rPr>
            </w:pPr>
          </w:p>
        </w:tc>
        <w:tc>
          <w:tcPr>
            <w:tcW w:w="86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11</w:t>
            </w:r>
          </w:p>
        </w:tc>
        <w:tc>
          <w:tcPr>
            <w:tcW w:w="100" w:type="dxa"/>
            <w:vAlign w:val="bottom"/>
            <w:tcBorders>
              <w:bottom w:val="single" w:sz="8" w:color="CCEEFF"/>
            </w:tcBorders>
          </w:tcPr>
          <w:p>
            <w:pPr>
              <w:spacing w:after="0"/>
              <w:rPr>
                <w:sz w:val="22"/>
                <w:szCs w:val="22"/>
                <w:color w:val="auto"/>
              </w:rPr>
            </w:pPr>
          </w:p>
        </w:tc>
        <w:tc>
          <w:tcPr>
            <w:tcW w:w="620" w:type="dxa"/>
            <w:vAlign w:val="bottom"/>
            <w:tcBorders>
              <w:bottom w:val="single" w:sz="8" w:color="auto"/>
            </w:tcBorders>
          </w:tcPr>
          <w:p>
            <w:pPr>
              <w:spacing w:after="0"/>
              <w:rPr>
                <w:sz w:val="22"/>
                <w:szCs w:val="22"/>
                <w:color w:val="auto"/>
              </w:rPr>
            </w:pPr>
          </w:p>
        </w:tc>
        <w:tc>
          <w:tcPr>
            <w:tcW w:w="84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103</w:t>
            </w:r>
          </w:p>
        </w:tc>
      </w:tr>
      <w:tr>
        <w:trPr>
          <w:trHeight w:val="243"/>
        </w:trPr>
        <w:tc>
          <w:tcPr>
            <w:tcW w:w="674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4"/>
                <w:szCs w:val="14"/>
                <w:color w:val="auto"/>
              </w:rPr>
              <w:t>Total cash and restricted cash</w:t>
            </w:r>
          </w:p>
        </w:tc>
        <w:tc>
          <w:tcPr>
            <w:tcW w:w="620" w:type="dxa"/>
            <w:vAlign w:val="bottom"/>
            <w:tcBorders>
              <w:bottom w:val="single" w:sz="8" w:color="auto"/>
            </w:tcBorders>
            <w:shd w:val="clear" w:color="auto" w:fill="CCEEFF"/>
          </w:tcPr>
          <w:p>
            <w:pPr>
              <w:jc w:val="right"/>
              <w:ind w:right="428"/>
              <w:spacing w:after="0"/>
              <w:rPr>
                <w:sz w:val="20"/>
                <w:szCs w:val="20"/>
                <w:color w:val="auto"/>
              </w:rPr>
            </w:pPr>
            <w:r>
              <w:rPr>
                <w:rFonts w:ascii="Arial" w:cs="Arial" w:eastAsia="Arial" w:hAnsi="Arial"/>
                <w:sz w:val="14"/>
                <w:szCs w:val="14"/>
                <w:color w:val="auto"/>
              </w:rPr>
              <w:t>$</w:t>
            </w:r>
          </w:p>
        </w:tc>
        <w:tc>
          <w:tcPr>
            <w:tcW w:w="880" w:type="dxa"/>
            <w:vAlign w:val="bottom"/>
            <w:tcBorders>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290</w:t>
            </w:r>
          </w:p>
        </w:tc>
        <w:tc>
          <w:tcPr>
            <w:tcW w:w="120" w:type="dxa"/>
            <w:vAlign w:val="bottom"/>
            <w:tcBorders>
              <w:bottom w:val="single" w:sz="8" w:color="CCEEFF"/>
            </w:tcBorders>
            <w:shd w:val="clear" w:color="auto" w:fill="CCEEFF"/>
          </w:tcPr>
          <w:p>
            <w:pPr>
              <w:spacing w:after="0"/>
              <w:rPr>
                <w:sz w:val="21"/>
                <w:szCs w:val="21"/>
                <w:color w:val="auto"/>
              </w:rPr>
            </w:pPr>
          </w:p>
        </w:tc>
        <w:tc>
          <w:tcPr>
            <w:tcW w:w="640" w:type="dxa"/>
            <w:vAlign w:val="bottom"/>
            <w:tcBorders>
              <w:bottom w:val="single" w:sz="8" w:color="auto"/>
            </w:tcBorders>
            <w:shd w:val="clear" w:color="auto" w:fill="CCEEFF"/>
          </w:tcPr>
          <w:p>
            <w:pPr>
              <w:jc w:val="right"/>
              <w:ind w:right="448"/>
              <w:spacing w:after="0"/>
              <w:rPr>
                <w:sz w:val="20"/>
                <w:szCs w:val="20"/>
                <w:color w:val="auto"/>
              </w:rPr>
            </w:pPr>
            <w:r>
              <w:rPr>
                <w:rFonts w:ascii="Arial" w:cs="Arial" w:eastAsia="Arial" w:hAnsi="Arial"/>
                <w:sz w:val="14"/>
                <w:szCs w:val="14"/>
                <w:color w:val="auto"/>
              </w:rPr>
              <w:t>$</w:t>
            </w:r>
          </w:p>
        </w:tc>
        <w:tc>
          <w:tcPr>
            <w:tcW w:w="860" w:type="dxa"/>
            <w:vAlign w:val="bottom"/>
            <w:tcBorders>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286</w:t>
            </w:r>
          </w:p>
        </w:tc>
        <w:tc>
          <w:tcPr>
            <w:tcW w:w="100" w:type="dxa"/>
            <w:vAlign w:val="bottom"/>
            <w:tcBorders>
              <w:bottom w:val="single" w:sz="8" w:color="CCEEFF"/>
            </w:tcBorders>
            <w:shd w:val="clear" w:color="auto" w:fill="CCEEFF"/>
          </w:tcPr>
          <w:p>
            <w:pPr>
              <w:spacing w:after="0"/>
              <w:rPr>
                <w:sz w:val="21"/>
                <w:szCs w:val="21"/>
                <w:color w:val="auto"/>
              </w:rPr>
            </w:pPr>
          </w:p>
        </w:tc>
        <w:tc>
          <w:tcPr>
            <w:tcW w:w="620" w:type="dxa"/>
            <w:vAlign w:val="bottom"/>
            <w:tcBorders>
              <w:bottom w:val="single" w:sz="8" w:color="auto"/>
            </w:tcBorders>
            <w:shd w:val="clear" w:color="auto" w:fill="CCEEFF"/>
          </w:tcPr>
          <w:p>
            <w:pPr>
              <w:jc w:val="right"/>
              <w:ind w:right="448"/>
              <w:spacing w:after="0"/>
              <w:rPr>
                <w:sz w:val="20"/>
                <w:szCs w:val="20"/>
                <w:color w:val="auto"/>
              </w:rPr>
            </w:pPr>
            <w:r>
              <w:rPr>
                <w:rFonts w:ascii="Arial" w:cs="Arial" w:eastAsia="Arial" w:hAnsi="Arial"/>
                <w:sz w:val="14"/>
                <w:szCs w:val="14"/>
                <w:color w:val="auto"/>
              </w:rPr>
              <w:t>$</w:t>
            </w:r>
          </w:p>
        </w:tc>
        <w:tc>
          <w:tcPr>
            <w:tcW w:w="84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398</w:t>
            </w:r>
          </w:p>
        </w:tc>
      </w:tr>
      <w:tr>
        <w:trPr>
          <w:trHeight w:val="20"/>
        </w:trPr>
        <w:tc>
          <w:tcPr>
            <w:tcW w:w="6740" w:type="dxa"/>
            <w:vAlign w:val="bottom"/>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r>
    </w:tbl>
    <w:p>
      <w:pPr>
        <w:spacing w:after="0" w:line="380"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See accompanying notes to consolidated financial statements.</w:t>
      </w:r>
    </w:p>
    <w:p>
      <w:pPr>
        <w:sectPr>
          <w:pgSz w:w="11900" w:h="16838" w:orient="portrait"/>
          <w:cols w:equalWidth="0" w:num="1">
            <w:col w:w="11420"/>
          </w:cols>
          <w:pgMar w:left="240" w:top="549" w:right="239" w:bottom="165" w:gutter="0" w:footer="0" w:header="0"/>
        </w:sectPr>
      </w:pPr>
    </w:p>
    <w:p>
      <w:pPr>
        <w:spacing w:after="0" w:line="218"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75</w:t>
      </w:r>
    </w:p>
    <w:p>
      <w:pPr>
        <w:sectPr>
          <w:pgSz w:w="11900" w:h="16838" w:orient="portrait"/>
          <w:cols w:equalWidth="0" w:num="1">
            <w:col w:w="11420"/>
          </w:cols>
          <w:pgMar w:left="240" w:top="549" w:right="239" w:bottom="165" w:gutter="0" w:footer="0" w:header="0"/>
          <w:type w:val="continuous"/>
        </w:sectPr>
      </w:pPr>
    </w:p>
    <w:bookmarkStart w:id="75" w:name="page76"/>
    <w:bookmarkEnd w:id="75"/>
    <w:p>
      <w:pPr>
        <w:jc w:val="center"/>
        <w:spacing w:after="0"/>
        <w:rPr>
          <w:sz w:val="20"/>
          <w:szCs w:val="20"/>
          <w:color w:val="auto"/>
        </w:rPr>
      </w:pPr>
      <w:r>
        <w:rPr>
          <w:rFonts w:ascii="Arial" w:cs="Arial" w:eastAsia="Arial" w:hAnsi="Arial"/>
          <w:sz w:val="16"/>
          <w:szCs w:val="16"/>
          <w:b w:val="1"/>
          <w:bCs w:val="1"/>
          <w:color w:val="auto"/>
        </w:rPr>
        <w:t>AMERICAN AIRLINES GROUP INC.</w:t>
      </w:r>
    </w:p>
    <w:p>
      <w:pPr>
        <w:spacing w:after="0" w:line="25"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CONSOLIDATED STATEMENTS OF STOCKHOLDERS’ EQUITY (DEFICIT)</w:t>
      </w:r>
    </w:p>
    <w:p>
      <w:pPr>
        <w:spacing w:after="0" w:line="11"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(In millions, except share amounts)</w:t>
      </w:r>
    </w:p>
    <w:p>
      <w:pPr>
        <w:spacing w:after="0" w:line="173"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58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34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rPr>
              <w:t>Accumulated</w:t>
            </w:r>
          </w:p>
        </w:tc>
        <w:tc>
          <w:tcPr>
            <w:tcW w:w="16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620" w:type="dxa"/>
            <w:vAlign w:val="bottom"/>
          </w:tcPr>
          <w:p>
            <w:pPr>
              <w:spacing w:after="0"/>
              <w:rPr>
                <w:sz w:val="14"/>
                <w:szCs w:val="14"/>
                <w:color w:val="auto"/>
              </w:rPr>
            </w:pPr>
          </w:p>
        </w:tc>
      </w:tr>
      <w:tr>
        <w:trPr>
          <w:trHeight w:val="162"/>
        </w:trPr>
        <w:tc>
          <w:tcPr>
            <w:tcW w:w="58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0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rPr>
              <w:t>Additional</w:t>
            </w:r>
          </w:p>
        </w:tc>
        <w:tc>
          <w:tcPr>
            <w:tcW w:w="120" w:type="dxa"/>
            <w:vAlign w:val="bottom"/>
          </w:tcPr>
          <w:p>
            <w:pPr>
              <w:spacing w:after="0"/>
              <w:rPr>
                <w:sz w:val="14"/>
                <w:szCs w:val="14"/>
                <w:color w:val="auto"/>
              </w:rPr>
            </w:pPr>
          </w:p>
        </w:tc>
        <w:tc>
          <w:tcPr>
            <w:tcW w:w="134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rPr>
              <w:t>Other</w:t>
            </w:r>
          </w:p>
        </w:tc>
        <w:tc>
          <w:tcPr>
            <w:tcW w:w="160" w:type="dxa"/>
            <w:vAlign w:val="bottom"/>
          </w:tcPr>
          <w:p>
            <w:pPr>
              <w:spacing w:after="0"/>
              <w:rPr>
                <w:sz w:val="14"/>
                <w:szCs w:val="14"/>
                <w:color w:val="auto"/>
              </w:rPr>
            </w:pPr>
          </w:p>
        </w:tc>
        <w:tc>
          <w:tcPr>
            <w:tcW w:w="98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rPr>
              <w:t>Retained</w:t>
            </w:r>
          </w:p>
        </w:tc>
        <w:tc>
          <w:tcPr>
            <w:tcW w:w="180" w:type="dxa"/>
            <w:vAlign w:val="bottom"/>
          </w:tcPr>
          <w:p>
            <w:pPr>
              <w:spacing w:after="0"/>
              <w:rPr>
                <w:sz w:val="14"/>
                <w:szCs w:val="14"/>
                <w:color w:val="auto"/>
              </w:rPr>
            </w:pPr>
          </w:p>
        </w:tc>
        <w:tc>
          <w:tcPr>
            <w:tcW w:w="620" w:type="dxa"/>
            <w:vAlign w:val="bottom"/>
          </w:tcPr>
          <w:p>
            <w:pPr>
              <w:spacing w:after="0"/>
              <w:rPr>
                <w:sz w:val="14"/>
                <w:szCs w:val="14"/>
                <w:color w:val="auto"/>
              </w:rPr>
            </w:pPr>
          </w:p>
        </w:tc>
      </w:tr>
      <w:tr>
        <w:trPr>
          <w:trHeight w:val="162"/>
        </w:trPr>
        <w:tc>
          <w:tcPr>
            <w:tcW w:w="58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92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rPr>
              <w:t>Common</w:t>
            </w:r>
          </w:p>
        </w:tc>
        <w:tc>
          <w:tcPr>
            <w:tcW w:w="140" w:type="dxa"/>
            <w:vAlign w:val="bottom"/>
          </w:tcPr>
          <w:p>
            <w:pPr>
              <w:spacing w:after="0"/>
              <w:rPr>
                <w:sz w:val="14"/>
                <w:szCs w:val="14"/>
                <w:color w:val="auto"/>
              </w:rPr>
            </w:pPr>
          </w:p>
        </w:tc>
        <w:tc>
          <w:tcPr>
            <w:tcW w:w="100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rPr>
              <w:t>Paid-in</w:t>
            </w:r>
          </w:p>
        </w:tc>
        <w:tc>
          <w:tcPr>
            <w:tcW w:w="120" w:type="dxa"/>
            <w:vAlign w:val="bottom"/>
          </w:tcPr>
          <w:p>
            <w:pPr>
              <w:spacing w:after="0"/>
              <w:rPr>
                <w:sz w:val="14"/>
                <w:szCs w:val="14"/>
                <w:color w:val="auto"/>
              </w:rPr>
            </w:pPr>
          </w:p>
        </w:tc>
        <w:tc>
          <w:tcPr>
            <w:tcW w:w="134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rPr>
              <w:t>Comprehensive</w:t>
            </w:r>
          </w:p>
        </w:tc>
        <w:tc>
          <w:tcPr>
            <w:tcW w:w="160" w:type="dxa"/>
            <w:vAlign w:val="bottom"/>
          </w:tcPr>
          <w:p>
            <w:pPr>
              <w:spacing w:after="0"/>
              <w:rPr>
                <w:sz w:val="14"/>
                <w:szCs w:val="14"/>
                <w:color w:val="auto"/>
              </w:rPr>
            </w:pPr>
          </w:p>
        </w:tc>
        <w:tc>
          <w:tcPr>
            <w:tcW w:w="98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rPr>
              <w:t>Earnings</w:t>
            </w:r>
          </w:p>
        </w:tc>
        <w:tc>
          <w:tcPr>
            <w:tcW w:w="180" w:type="dxa"/>
            <w:vAlign w:val="bottom"/>
          </w:tcPr>
          <w:p>
            <w:pPr>
              <w:spacing w:after="0"/>
              <w:rPr>
                <w:sz w:val="14"/>
                <w:szCs w:val="14"/>
                <w:color w:val="auto"/>
              </w:rPr>
            </w:pPr>
          </w:p>
        </w:tc>
        <w:tc>
          <w:tcPr>
            <w:tcW w:w="620" w:type="dxa"/>
            <w:vAlign w:val="bottom"/>
          </w:tcPr>
          <w:p>
            <w:pPr>
              <w:spacing w:after="0"/>
              <w:rPr>
                <w:sz w:val="14"/>
                <w:szCs w:val="14"/>
                <w:color w:val="auto"/>
              </w:rPr>
            </w:pPr>
          </w:p>
        </w:tc>
      </w:tr>
      <w:tr>
        <w:trPr>
          <w:trHeight w:val="196"/>
        </w:trPr>
        <w:tc>
          <w:tcPr>
            <w:tcW w:w="58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2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rPr>
              <w:t>Stock</w:t>
            </w:r>
          </w:p>
        </w:tc>
        <w:tc>
          <w:tcPr>
            <w:tcW w:w="140" w:type="dxa"/>
            <w:vAlign w:val="bottom"/>
          </w:tcPr>
          <w:p>
            <w:pPr>
              <w:spacing w:after="0"/>
              <w:rPr>
                <w:sz w:val="17"/>
                <w:szCs w:val="17"/>
                <w:color w:val="auto"/>
              </w:rPr>
            </w:pPr>
          </w:p>
        </w:tc>
        <w:tc>
          <w:tcPr>
            <w:tcW w:w="100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rPr>
              <w:t>Capital</w:t>
            </w:r>
          </w:p>
        </w:tc>
        <w:tc>
          <w:tcPr>
            <w:tcW w:w="120" w:type="dxa"/>
            <w:vAlign w:val="bottom"/>
          </w:tcPr>
          <w:p>
            <w:pPr>
              <w:spacing w:after="0"/>
              <w:rPr>
                <w:sz w:val="17"/>
                <w:szCs w:val="17"/>
                <w:color w:val="auto"/>
              </w:rPr>
            </w:pPr>
          </w:p>
        </w:tc>
        <w:tc>
          <w:tcPr>
            <w:tcW w:w="134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w w:val="97"/>
              </w:rPr>
              <w:t>Loss</w:t>
            </w:r>
          </w:p>
        </w:tc>
        <w:tc>
          <w:tcPr>
            <w:tcW w:w="160" w:type="dxa"/>
            <w:vAlign w:val="bottom"/>
          </w:tcPr>
          <w:p>
            <w:pPr>
              <w:spacing w:after="0"/>
              <w:rPr>
                <w:sz w:val="17"/>
                <w:szCs w:val="17"/>
                <w:color w:val="auto"/>
              </w:rPr>
            </w:pPr>
          </w:p>
        </w:tc>
        <w:tc>
          <w:tcPr>
            <w:tcW w:w="98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99"/>
              </w:rPr>
              <w:t>(Deficit)</w:t>
            </w:r>
          </w:p>
        </w:tc>
        <w:tc>
          <w:tcPr>
            <w:tcW w:w="180" w:type="dxa"/>
            <w:vAlign w:val="bottom"/>
          </w:tcPr>
          <w:p>
            <w:pPr>
              <w:spacing w:after="0"/>
              <w:rPr>
                <w:sz w:val="17"/>
                <w:szCs w:val="17"/>
                <w:color w:val="auto"/>
              </w:rPr>
            </w:pPr>
          </w:p>
        </w:tc>
        <w:tc>
          <w:tcPr>
            <w:tcW w:w="620" w:type="dxa"/>
            <w:vAlign w:val="bottom"/>
          </w:tcPr>
          <w:p>
            <w:pPr>
              <w:jc w:val="right"/>
              <w:ind w:right="159"/>
              <w:spacing w:after="0"/>
              <w:rPr>
                <w:sz w:val="20"/>
                <w:szCs w:val="20"/>
                <w:color w:val="auto"/>
              </w:rPr>
            </w:pPr>
            <w:r>
              <w:rPr>
                <w:rFonts w:ascii="Arial" w:cs="Arial" w:eastAsia="Arial" w:hAnsi="Arial"/>
                <w:sz w:val="14"/>
                <w:szCs w:val="14"/>
                <w:b w:val="1"/>
                <w:bCs w:val="1"/>
                <w:color w:val="auto"/>
              </w:rPr>
              <w:t>Total</w:t>
            </w:r>
          </w:p>
        </w:tc>
      </w:tr>
      <w:tr>
        <w:trPr>
          <w:trHeight w:val="256"/>
        </w:trPr>
        <w:tc>
          <w:tcPr>
            <w:tcW w:w="5820" w:type="dxa"/>
            <w:vAlign w:val="bottom"/>
            <w:tcBorders>
              <w:top w:val="single" w:sz="8" w:color="CCEEFF"/>
            </w:tcBorders>
            <w:shd w:val="clear" w:color="auto" w:fill="CCEEFF"/>
          </w:tcPr>
          <w:p>
            <w:pPr>
              <w:ind w:left="40"/>
              <w:spacing w:after="0"/>
              <w:rPr>
                <w:sz w:val="20"/>
                <w:szCs w:val="20"/>
                <w:color w:val="auto"/>
              </w:rPr>
            </w:pPr>
            <w:r>
              <w:rPr>
                <w:rFonts w:ascii="Arial" w:cs="Arial" w:eastAsia="Arial" w:hAnsi="Arial"/>
                <w:sz w:val="16"/>
                <w:szCs w:val="16"/>
                <w:b w:val="1"/>
                <w:bCs w:val="1"/>
                <w:color w:val="auto"/>
              </w:rPr>
              <w:t>Balance at December 31, 2016</w:t>
            </w: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820" w:type="dxa"/>
            <w:vAlign w:val="bottom"/>
            <w:tcBorders>
              <w:top w:val="single" w:sz="8" w:color="auto"/>
            </w:tcBorders>
            <w:shd w:val="clear" w:color="auto" w:fill="CCEEFF"/>
          </w:tcPr>
          <w:p>
            <w:pPr>
              <w:jc w:val="right"/>
              <w:ind w:right="40"/>
              <w:spacing w:after="0"/>
              <w:rPr>
                <w:sz w:val="20"/>
                <w:szCs w:val="20"/>
                <w:color w:val="auto"/>
              </w:rPr>
            </w:pPr>
            <w:r>
              <w:rPr>
                <w:rFonts w:ascii="Arial" w:cs="Arial" w:eastAsia="Arial" w:hAnsi="Arial"/>
                <w:sz w:val="16"/>
                <w:szCs w:val="16"/>
                <w:color w:val="auto"/>
              </w:rPr>
              <w:t>5</w:t>
            </w:r>
          </w:p>
        </w:tc>
        <w:tc>
          <w:tcPr>
            <w:tcW w:w="100" w:type="dxa"/>
            <w:vAlign w:val="bottom"/>
            <w:tcBorders>
              <w:top w:val="single" w:sz="8" w:color="CCEEFF"/>
            </w:tcBorders>
            <w:shd w:val="clear" w:color="auto" w:fill="CCEEFF"/>
          </w:tcPr>
          <w:p>
            <w:pPr>
              <w:spacing w:after="0"/>
              <w:rPr>
                <w:sz w:val="22"/>
                <w:szCs w:val="22"/>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880" w:type="dxa"/>
            <w:vAlign w:val="bottom"/>
            <w:tcBorders>
              <w:top w:val="single" w:sz="8" w:color="auto"/>
            </w:tcBorders>
            <w:shd w:val="clear" w:color="auto" w:fill="CCEEFF"/>
          </w:tcPr>
          <w:p>
            <w:pPr>
              <w:jc w:val="right"/>
              <w:ind w:right="20"/>
              <w:spacing w:after="0"/>
              <w:rPr>
                <w:sz w:val="20"/>
                <w:szCs w:val="20"/>
                <w:color w:val="auto"/>
              </w:rPr>
            </w:pPr>
            <w:r>
              <w:rPr>
                <w:rFonts w:ascii="Arial" w:cs="Arial" w:eastAsia="Arial" w:hAnsi="Arial"/>
                <w:sz w:val="16"/>
                <w:szCs w:val="16"/>
                <w:color w:val="auto"/>
              </w:rPr>
              <w:t>7,223</w:t>
            </w:r>
          </w:p>
        </w:tc>
        <w:tc>
          <w:tcPr>
            <w:tcW w:w="120" w:type="dxa"/>
            <w:vAlign w:val="bottom"/>
            <w:tcBorders>
              <w:top w:val="single" w:sz="8" w:color="CCEEFF"/>
            </w:tcBorders>
            <w:shd w:val="clear" w:color="auto" w:fill="CCEEFF"/>
          </w:tcPr>
          <w:p>
            <w:pPr>
              <w:spacing w:after="0"/>
              <w:rPr>
                <w:sz w:val="22"/>
                <w:szCs w:val="22"/>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2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(5,083)</w:t>
            </w:r>
          </w:p>
        </w:tc>
        <w:tc>
          <w:tcPr>
            <w:tcW w:w="100" w:type="dxa"/>
            <w:vAlign w:val="bottom"/>
            <w:tcBorders>
              <w:top w:val="single" w:sz="8" w:color="CCEEFF"/>
            </w:tcBorders>
            <w:shd w:val="clear" w:color="auto" w:fill="CCEEFF"/>
          </w:tcPr>
          <w:p>
            <w:pPr>
              <w:spacing w:after="0"/>
              <w:rPr>
                <w:sz w:val="22"/>
                <w:szCs w:val="22"/>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8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(2,429)</w:t>
            </w:r>
          </w:p>
        </w:tc>
        <w:tc>
          <w:tcPr>
            <w:tcW w:w="100" w:type="dxa"/>
            <w:vAlign w:val="bottom"/>
            <w:tcBorders>
              <w:top w:val="single" w:sz="8" w:color="CCEEFF"/>
            </w:tcBorders>
            <w:shd w:val="clear" w:color="auto" w:fill="CCEEFF"/>
          </w:tcPr>
          <w:p>
            <w:pPr>
              <w:spacing w:after="0"/>
              <w:rPr>
                <w:sz w:val="22"/>
                <w:szCs w:val="22"/>
                <w:color w:val="auto"/>
              </w:rPr>
            </w:pPr>
          </w:p>
        </w:tc>
        <w:tc>
          <w:tcPr>
            <w:tcW w:w="1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6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(284)</w:t>
            </w:r>
          </w:p>
        </w:tc>
      </w:tr>
      <w:tr>
        <w:trPr>
          <w:trHeight w:val="260"/>
        </w:trPr>
        <w:tc>
          <w:tcPr>
            <w:tcW w:w="5820" w:type="dxa"/>
            <w:vAlign w:val="bottom"/>
          </w:tcPr>
          <w:p>
            <w:pPr>
              <w:ind w:left="40"/>
              <w:spacing w:after="0"/>
              <w:rPr>
                <w:sz w:val="20"/>
                <w:szCs w:val="20"/>
                <w:color w:val="auto"/>
              </w:rPr>
            </w:pPr>
            <w:r>
              <w:rPr>
                <w:rFonts w:ascii="Arial" w:cs="Arial" w:eastAsia="Arial" w:hAnsi="Arial"/>
                <w:sz w:val="16"/>
                <w:szCs w:val="16"/>
                <w:color w:val="auto"/>
              </w:rPr>
              <w:t>Net income</w:t>
            </w:r>
          </w:p>
        </w:tc>
        <w:tc>
          <w:tcPr>
            <w:tcW w:w="140" w:type="dxa"/>
            <w:vAlign w:val="bottom"/>
          </w:tcPr>
          <w:p>
            <w:pPr>
              <w:spacing w:after="0"/>
              <w:rPr>
                <w:sz w:val="22"/>
                <w:szCs w:val="22"/>
                <w:color w:val="auto"/>
              </w:rPr>
            </w:pPr>
          </w:p>
        </w:tc>
        <w:tc>
          <w:tcPr>
            <w:tcW w:w="92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22"/>
                <w:szCs w:val="22"/>
                <w:color w:val="auto"/>
              </w:rPr>
            </w:pPr>
          </w:p>
        </w:tc>
        <w:tc>
          <w:tcPr>
            <w:tcW w:w="100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22"/>
                <w:szCs w:val="22"/>
                <w:color w:val="auto"/>
              </w:rPr>
            </w:pPr>
          </w:p>
        </w:tc>
        <w:tc>
          <w:tcPr>
            <w:tcW w:w="1340" w:type="dxa"/>
            <w:vAlign w:val="bottom"/>
            <w:gridSpan w:val="2"/>
          </w:tcPr>
          <w:p>
            <w:pPr>
              <w:jc w:val="right"/>
              <w:ind w:right="200"/>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22"/>
                <w:szCs w:val="22"/>
                <w:color w:val="auto"/>
              </w:rPr>
            </w:pPr>
          </w:p>
        </w:tc>
        <w:tc>
          <w:tcPr>
            <w:tcW w:w="880" w:type="dxa"/>
            <w:vAlign w:val="bottom"/>
          </w:tcPr>
          <w:p>
            <w:pPr>
              <w:jc w:val="right"/>
              <w:ind w:right="40"/>
              <w:spacing w:after="0"/>
              <w:rPr>
                <w:sz w:val="20"/>
                <w:szCs w:val="20"/>
                <w:color w:val="auto"/>
              </w:rPr>
            </w:pPr>
            <w:r>
              <w:rPr>
                <w:rFonts w:ascii="Arial" w:cs="Arial" w:eastAsia="Arial" w:hAnsi="Arial"/>
                <w:sz w:val="16"/>
                <w:szCs w:val="16"/>
                <w:color w:val="auto"/>
              </w:rPr>
              <w:t>1,282</w:t>
            </w:r>
          </w:p>
        </w:tc>
        <w:tc>
          <w:tcPr>
            <w:tcW w:w="10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620" w:type="dxa"/>
            <w:vAlign w:val="bottom"/>
          </w:tcPr>
          <w:p>
            <w:pPr>
              <w:jc w:val="right"/>
              <w:ind w:right="19"/>
              <w:spacing w:after="0"/>
              <w:rPr>
                <w:sz w:val="20"/>
                <w:szCs w:val="20"/>
                <w:color w:val="auto"/>
              </w:rPr>
            </w:pPr>
            <w:r>
              <w:rPr>
                <w:rFonts w:ascii="Arial" w:cs="Arial" w:eastAsia="Arial" w:hAnsi="Arial"/>
                <w:sz w:val="16"/>
                <w:szCs w:val="16"/>
                <w:color w:val="auto"/>
              </w:rPr>
              <w:t>1,282</w:t>
            </w:r>
          </w:p>
        </w:tc>
      </w:tr>
      <w:tr>
        <w:trPr>
          <w:trHeight w:val="280"/>
        </w:trPr>
        <w:tc>
          <w:tcPr>
            <w:tcW w:w="5820" w:type="dxa"/>
            <w:vAlign w:val="bottom"/>
            <w:shd w:val="clear" w:color="auto" w:fill="CCEEFF"/>
          </w:tcPr>
          <w:p>
            <w:pPr>
              <w:ind w:left="40"/>
              <w:spacing w:after="0"/>
              <w:rPr>
                <w:sz w:val="20"/>
                <w:szCs w:val="20"/>
                <w:color w:val="auto"/>
              </w:rPr>
            </w:pPr>
            <w:r>
              <w:rPr>
                <w:rFonts w:ascii="Arial" w:cs="Arial" w:eastAsia="Arial" w:hAnsi="Arial"/>
                <w:sz w:val="16"/>
                <w:szCs w:val="16"/>
                <w:color w:val="auto"/>
              </w:rPr>
              <w:t>Other comprehensive loss, net</w:t>
            </w:r>
          </w:p>
        </w:tc>
        <w:tc>
          <w:tcPr>
            <w:tcW w:w="140" w:type="dxa"/>
            <w:vAlign w:val="bottom"/>
            <w:shd w:val="clear" w:color="auto" w:fill="CCEEFF"/>
          </w:tcPr>
          <w:p>
            <w:pPr>
              <w:spacing w:after="0"/>
              <w:rPr>
                <w:sz w:val="24"/>
                <w:szCs w:val="24"/>
                <w:color w:val="auto"/>
              </w:rPr>
            </w:pPr>
          </w:p>
        </w:tc>
        <w:tc>
          <w:tcPr>
            <w:tcW w:w="920" w:type="dxa"/>
            <w:vAlign w:val="bottom"/>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140" w:type="dxa"/>
            <w:vAlign w:val="bottom"/>
            <w:shd w:val="clear" w:color="auto" w:fill="CCEEFF"/>
          </w:tcPr>
          <w:p>
            <w:pPr>
              <w:spacing w:after="0"/>
              <w:rPr>
                <w:sz w:val="24"/>
                <w:szCs w:val="24"/>
                <w:color w:val="auto"/>
              </w:rPr>
            </w:pPr>
          </w:p>
        </w:tc>
        <w:tc>
          <w:tcPr>
            <w:tcW w:w="1000" w:type="dxa"/>
            <w:vAlign w:val="bottom"/>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120" w:type="dxa"/>
            <w:vAlign w:val="bottom"/>
            <w:shd w:val="clear" w:color="auto" w:fill="CCEEFF"/>
          </w:tcPr>
          <w:p>
            <w:pPr>
              <w:spacing w:after="0"/>
              <w:rPr>
                <w:sz w:val="24"/>
                <w:szCs w:val="24"/>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(71)</w:t>
            </w:r>
          </w:p>
        </w:tc>
        <w:tc>
          <w:tcPr>
            <w:tcW w:w="10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980" w:type="dxa"/>
            <w:vAlign w:val="bottom"/>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180" w:type="dxa"/>
            <w:vAlign w:val="bottom"/>
            <w:shd w:val="clear" w:color="auto" w:fill="CCEEFF"/>
          </w:tcPr>
          <w:p>
            <w:pPr>
              <w:spacing w:after="0"/>
              <w:rPr>
                <w:sz w:val="24"/>
                <w:szCs w:val="24"/>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(71)</w:t>
            </w:r>
          </w:p>
        </w:tc>
      </w:tr>
      <w:tr>
        <w:trPr>
          <w:trHeight w:val="218"/>
        </w:trPr>
        <w:tc>
          <w:tcPr>
            <w:tcW w:w="5820" w:type="dxa"/>
            <w:vAlign w:val="bottom"/>
          </w:tcPr>
          <w:p>
            <w:pPr>
              <w:ind w:left="40"/>
              <w:spacing w:after="0"/>
              <w:rPr>
                <w:sz w:val="20"/>
                <w:szCs w:val="20"/>
                <w:color w:val="auto"/>
              </w:rPr>
            </w:pPr>
            <w:r>
              <w:rPr>
                <w:rFonts w:ascii="Arial" w:cs="Arial" w:eastAsia="Arial" w:hAnsi="Arial"/>
                <w:sz w:val="16"/>
                <w:szCs w:val="16"/>
                <w:color w:val="auto"/>
              </w:rPr>
              <w:t>Issuance of 2,166,861 shares of AAG common stock pursuant to</w:t>
            </w:r>
          </w:p>
        </w:tc>
        <w:tc>
          <w:tcPr>
            <w:tcW w:w="14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20" w:type="dxa"/>
            <w:vAlign w:val="bottom"/>
          </w:tcPr>
          <w:p>
            <w:pPr>
              <w:spacing w:after="0"/>
              <w:rPr>
                <w:sz w:val="18"/>
                <w:szCs w:val="18"/>
                <w:color w:val="auto"/>
              </w:rPr>
            </w:pPr>
          </w:p>
        </w:tc>
      </w:tr>
      <w:tr>
        <w:trPr>
          <w:trHeight w:val="204"/>
        </w:trPr>
        <w:tc>
          <w:tcPr>
            <w:tcW w:w="5820" w:type="dxa"/>
            <w:vAlign w:val="bottom"/>
          </w:tcPr>
          <w:p>
            <w:pPr>
              <w:ind w:left="200"/>
              <w:spacing w:after="0"/>
              <w:rPr>
                <w:sz w:val="20"/>
                <w:szCs w:val="20"/>
                <w:color w:val="auto"/>
              </w:rPr>
            </w:pPr>
            <w:r>
              <w:rPr>
                <w:rFonts w:ascii="Arial" w:cs="Arial" w:eastAsia="Arial" w:hAnsi="Arial"/>
                <w:sz w:val="16"/>
                <w:szCs w:val="16"/>
                <w:color w:val="auto"/>
              </w:rPr>
              <w:t>employee stock plans net of shares withheld for cash taxes</w:t>
            </w:r>
          </w:p>
        </w:tc>
        <w:tc>
          <w:tcPr>
            <w:tcW w:w="140" w:type="dxa"/>
            <w:vAlign w:val="bottom"/>
          </w:tcPr>
          <w:p>
            <w:pPr>
              <w:spacing w:after="0"/>
              <w:rPr>
                <w:sz w:val="17"/>
                <w:szCs w:val="17"/>
                <w:color w:val="auto"/>
              </w:rPr>
            </w:pPr>
          </w:p>
        </w:tc>
        <w:tc>
          <w:tcPr>
            <w:tcW w:w="92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17"/>
                <w:szCs w:val="17"/>
                <w:color w:val="auto"/>
              </w:rPr>
            </w:pPr>
          </w:p>
        </w:tc>
        <w:tc>
          <w:tcPr>
            <w:tcW w:w="880" w:type="dxa"/>
            <w:vAlign w:val="bottom"/>
          </w:tcPr>
          <w:p>
            <w:pPr>
              <w:jc w:val="right"/>
              <w:spacing w:after="0"/>
              <w:rPr>
                <w:sz w:val="20"/>
                <w:szCs w:val="20"/>
                <w:color w:val="auto"/>
              </w:rPr>
            </w:pPr>
            <w:r>
              <w:rPr>
                <w:rFonts w:ascii="Arial" w:cs="Arial" w:eastAsia="Arial" w:hAnsi="Arial"/>
                <w:sz w:val="16"/>
                <w:szCs w:val="16"/>
                <w:color w:val="auto"/>
              </w:rPr>
              <w:t>(51)</w:t>
            </w: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340" w:type="dxa"/>
            <w:vAlign w:val="bottom"/>
            <w:gridSpan w:val="2"/>
          </w:tcPr>
          <w:p>
            <w:pPr>
              <w:jc w:val="right"/>
              <w:ind w:right="200"/>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17"/>
                <w:szCs w:val="17"/>
                <w:color w:val="auto"/>
              </w:rPr>
            </w:pPr>
          </w:p>
        </w:tc>
        <w:tc>
          <w:tcPr>
            <w:tcW w:w="98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80" w:type="dxa"/>
            <w:vAlign w:val="bottom"/>
          </w:tcPr>
          <w:p>
            <w:pPr>
              <w:spacing w:after="0"/>
              <w:rPr>
                <w:sz w:val="17"/>
                <w:szCs w:val="17"/>
                <w:color w:val="auto"/>
              </w:rPr>
            </w:pPr>
          </w:p>
        </w:tc>
        <w:tc>
          <w:tcPr>
            <w:tcW w:w="620" w:type="dxa"/>
            <w:vAlign w:val="bottom"/>
          </w:tcPr>
          <w:p>
            <w:pPr>
              <w:jc w:val="right"/>
              <w:spacing w:after="0"/>
              <w:rPr>
                <w:sz w:val="20"/>
                <w:szCs w:val="20"/>
                <w:color w:val="auto"/>
              </w:rPr>
            </w:pPr>
            <w:r>
              <w:rPr>
                <w:rFonts w:ascii="Arial" w:cs="Arial" w:eastAsia="Arial" w:hAnsi="Arial"/>
                <w:sz w:val="16"/>
                <w:szCs w:val="16"/>
                <w:color w:val="auto"/>
              </w:rPr>
              <w:t>(51)</w:t>
            </w:r>
          </w:p>
        </w:tc>
      </w:tr>
      <w:tr>
        <w:trPr>
          <w:trHeight w:val="280"/>
        </w:trPr>
        <w:tc>
          <w:tcPr>
            <w:tcW w:w="5820" w:type="dxa"/>
            <w:vAlign w:val="bottom"/>
            <w:shd w:val="clear" w:color="auto" w:fill="CCEEFF"/>
          </w:tcPr>
          <w:p>
            <w:pPr>
              <w:ind w:left="40"/>
              <w:spacing w:after="0"/>
              <w:rPr>
                <w:sz w:val="20"/>
                <w:szCs w:val="20"/>
                <w:color w:val="auto"/>
              </w:rPr>
            </w:pPr>
            <w:r>
              <w:rPr>
                <w:rFonts w:ascii="Arial" w:cs="Arial" w:eastAsia="Arial" w:hAnsi="Arial"/>
                <w:sz w:val="16"/>
                <w:szCs w:val="16"/>
                <w:color w:val="auto"/>
              </w:rPr>
              <w:t>Purchase and retirement of 33,953,127 shares of AAG common stock</w:t>
            </w:r>
          </w:p>
        </w:tc>
        <w:tc>
          <w:tcPr>
            <w:tcW w:w="140" w:type="dxa"/>
            <w:vAlign w:val="bottom"/>
            <w:shd w:val="clear" w:color="auto" w:fill="CCEEFF"/>
          </w:tcPr>
          <w:p>
            <w:pPr>
              <w:spacing w:after="0"/>
              <w:rPr>
                <w:sz w:val="24"/>
                <w:szCs w:val="24"/>
                <w:color w:val="auto"/>
              </w:rPr>
            </w:pPr>
          </w:p>
        </w:tc>
        <w:tc>
          <w:tcPr>
            <w:tcW w:w="920" w:type="dxa"/>
            <w:vAlign w:val="bottom"/>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140" w:type="dxa"/>
            <w:vAlign w:val="bottom"/>
            <w:shd w:val="clear" w:color="auto" w:fill="CCEEFF"/>
          </w:tcPr>
          <w:p>
            <w:pPr>
              <w:spacing w:after="0"/>
              <w:rPr>
                <w:sz w:val="24"/>
                <w:szCs w:val="24"/>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(1,563)</w:t>
            </w:r>
          </w:p>
        </w:tc>
        <w:tc>
          <w:tcPr>
            <w:tcW w:w="12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340" w:type="dxa"/>
            <w:vAlign w:val="bottom"/>
            <w:gridSpan w:val="2"/>
            <w:shd w:val="clear" w:color="auto" w:fill="CCEEFF"/>
          </w:tcPr>
          <w:p>
            <w:pPr>
              <w:jc w:val="right"/>
              <w:ind w:right="200"/>
              <w:spacing w:after="0"/>
              <w:rPr>
                <w:sz w:val="20"/>
                <w:szCs w:val="20"/>
                <w:color w:val="auto"/>
              </w:rPr>
            </w:pPr>
            <w:r>
              <w:rPr>
                <w:rFonts w:ascii="Arial" w:cs="Arial" w:eastAsia="Arial" w:hAnsi="Arial"/>
                <w:sz w:val="16"/>
                <w:szCs w:val="16"/>
                <w:color w:val="auto"/>
              </w:rPr>
              <w:t>—</w:t>
            </w:r>
          </w:p>
        </w:tc>
        <w:tc>
          <w:tcPr>
            <w:tcW w:w="160" w:type="dxa"/>
            <w:vAlign w:val="bottom"/>
            <w:shd w:val="clear" w:color="auto" w:fill="CCEEFF"/>
          </w:tcPr>
          <w:p>
            <w:pPr>
              <w:spacing w:after="0"/>
              <w:rPr>
                <w:sz w:val="24"/>
                <w:szCs w:val="24"/>
                <w:color w:val="auto"/>
              </w:rPr>
            </w:pPr>
          </w:p>
        </w:tc>
        <w:tc>
          <w:tcPr>
            <w:tcW w:w="980" w:type="dxa"/>
            <w:vAlign w:val="bottom"/>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180" w:type="dxa"/>
            <w:vAlign w:val="bottom"/>
            <w:shd w:val="clear" w:color="auto" w:fill="CCEEFF"/>
          </w:tcPr>
          <w:p>
            <w:pPr>
              <w:spacing w:after="0"/>
              <w:rPr>
                <w:sz w:val="24"/>
                <w:szCs w:val="24"/>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(1,563)</w:t>
            </w:r>
          </w:p>
        </w:tc>
      </w:tr>
      <w:tr>
        <w:trPr>
          <w:trHeight w:val="260"/>
        </w:trPr>
        <w:tc>
          <w:tcPr>
            <w:tcW w:w="5820" w:type="dxa"/>
            <w:vAlign w:val="bottom"/>
          </w:tcPr>
          <w:p>
            <w:pPr>
              <w:ind w:left="40"/>
              <w:spacing w:after="0"/>
              <w:rPr>
                <w:sz w:val="20"/>
                <w:szCs w:val="20"/>
                <w:color w:val="auto"/>
              </w:rPr>
            </w:pPr>
            <w:r>
              <w:rPr>
                <w:rFonts w:ascii="Arial" w:cs="Arial" w:eastAsia="Arial" w:hAnsi="Arial"/>
                <w:sz w:val="16"/>
                <w:szCs w:val="16"/>
                <w:color w:val="auto"/>
              </w:rPr>
              <w:t>Dividends declared on AAG common stock ($0.40 per share)</w:t>
            </w:r>
          </w:p>
        </w:tc>
        <w:tc>
          <w:tcPr>
            <w:tcW w:w="140" w:type="dxa"/>
            <w:vAlign w:val="bottom"/>
          </w:tcPr>
          <w:p>
            <w:pPr>
              <w:spacing w:after="0"/>
              <w:rPr>
                <w:sz w:val="22"/>
                <w:szCs w:val="22"/>
                <w:color w:val="auto"/>
              </w:rPr>
            </w:pPr>
          </w:p>
        </w:tc>
        <w:tc>
          <w:tcPr>
            <w:tcW w:w="92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22"/>
                <w:szCs w:val="22"/>
                <w:color w:val="auto"/>
              </w:rPr>
            </w:pPr>
          </w:p>
        </w:tc>
        <w:tc>
          <w:tcPr>
            <w:tcW w:w="100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22"/>
                <w:szCs w:val="22"/>
                <w:color w:val="auto"/>
              </w:rPr>
            </w:pPr>
          </w:p>
        </w:tc>
        <w:tc>
          <w:tcPr>
            <w:tcW w:w="1340" w:type="dxa"/>
            <w:vAlign w:val="bottom"/>
            <w:gridSpan w:val="2"/>
          </w:tcPr>
          <w:p>
            <w:pPr>
              <w:jc w:val="right"/>
              <w:ind w:right="200"/>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22"/>
                <w:szCs w:val="22"/>
                <w:color w:val="auto"/>
              </w:rPr>
            </w:pPr>
          </w:p>
        </w:tc>
        <w:tc>
          <w:tcPr>
            <w:tcW w:w="880" w:type="dxa"/>
            <w:vAlign w:val="bottom"/>
          </w:tcPr>
          <w:p>
            <w:pPr>
              <w:jc w:val="right"/>
              <w:spacing w:after="0"/>
              <w:rPr>
                <w:sz w:val="20"/>
                <w:szCs w:val="20"/>
                <w:color w:val="auto"/>
              </w:rPr>
            </w:pPr>
            <w:r>
              <w:rPr>
                <w:rFonts w:ascii="Arial" w:cs="Arial" w:eastAsia="Arial" w:hAnsi="Arial"/>
                <w:sz w:val="16"/>
                <w:szCs w:val="16"/>
                <w:color w:val="auto"/>
              </w:rPr>
              <w:t>(198)</w:t>
            </w:r>
          </w:p>
        </w:tc>
        <w:tc>
          <w:tcPr>
            <w:tcW w:w="10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620" w:type="dxa"/>
            <w:vAlign w:val="bottom"/>
          </w:tcPr>
          <w:p>
            <w:pPr>
              <w:jc w:val="right"/>
              <w:spacing w:after="0"/>
              <w:rPr>
                <w:sz w:val="20"/>
                <w:szCs w:val="20"/>
                <w:color w:val="auto"/>
              </w:rPr>
            </w:pPr>
            <w:r>
              <w:rPr>
                <w:rFonts w:ascii="Arial" w:cs="Arial" w:eastAsia="Arial" w:hAnsi="Arial"/>
                <w:sz w:val="16"/>
                <w:szCs w:val="16"/>
                <w:color w:val="auto"/>
              </w:rPr>
              <w:t>(198)</w:t>
            </w:r>
          </w:p>
        </w:tc>
      </w:tr>
      <w:tr>
        <w:trPr>
          <w:trHeight w:val="228"/>
        </w:trPr>
        <w:tc>
          <w:tcPr>
            <w:tcW w:w="5820" w:type="dxa"/>
            <w:vAlign w:val="bottom"/>
            <w:shd w:val="clear" w:color="auto" w:fill="CCEEFF"/>
          </w:tcPr>
          <w:p>
            <w:pPr>
              <w:ind w:left="40"/>
              <w:spacing w:after="0"/>
              <w:rPr>
                <w:sz w:val="20"/>
                <w:szCs w:val="20"/>
                <w:color w:val="auto"/>
              </w:rPr>
            </w:pPr>
            <w:r>
              <w:rPr>
                <w:rFonts w:ascii="Arial" w:cs="Arial" w:eastAsia="Arial" w:hAnsi="Arial"/>
                <w:sz w:val="16"/>
                <w:szCs w:val="16"/>
                <w:color w:val="auto"/>
              </w:rPr>
              <w:t>Settlement of single-dip unsecured claims held in Disputed Claims</w:t>
            </w:r>
          </w:p>
        </w:tc>
        <w:tc>
          <w:tcPr>
            <w:tcW w:w="140" w:type="dxa"/>
            <w:vAlign w:val="bottom"/>
            <w:shd w:val="clear" w:color="auto" w:fill="CCEEFF"/>
          </w:tcPr>
          <w:p>
            <w:pPr>
              <w:spacing w:after="0"/>
              <w:rPr>
                <w:sz w:val="19"/>
                <w:szCs w:val="19"/>
                <w:color w:val="auto"/>
              </w:rPr>
            </w:pPr>
          </w:p>
        </w:tc>
        <w:tc>
          <w:tcPr>
            <w:tcW w:w="8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8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2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8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620" w:type="dxa"/>
            <w:vAlign w:val="bottom"/>
            <w:shd w:val="clear" w:color="auto" w:fill="CCEEFF"/>
          </w:tcPr>
          <w:p>
            <w:pPr>
              <w:spacing w:after="0"/>
              <w:rPr>
                <w:sz w:val="19"/>
                <w:szCs w:val="19"/>
                <w:color w:val="auto"/>
              </w:rPr>
            </w:pPr>
          </w:p>
        </w:tc>
      </w:tr>
      <w:tr>
        <w:trPr>
          <w:trHeight w:val="214"/>
        </w:trPr>
        <w:tc>
          <w:tcPr>
            <w:tcW w:w="5820" w:type="dxa"/>
            <w:vAlign w:val="bottom"/>
            <w:shd w:val="clear" w:color="auto" w:fill="CCEEFF"/>
          </w:tcPr>
          <w:p>
            <w:pPr>
              <w:ind w:left="200"/>
              <w:spacing w:after="0"/>
              <w:rPr>
                <w:sz w:val="20"/>
                <w:szCs w:val="20"/>
                <w:color w:val="auto"/>
              </w:rPr>
            </w:pPr>
            <w:r>
              <w:rPr>
                <w:rFonts w:ascii="Arial" w:cs="Arial" w:eastAsia="Arial" w:hAnsi="Arial"/>
                <w:sz w:val="16"/>
                <w:szCs w:val="16"/>
                <w:color w:val="auto"/>
              </w:rPr>
              <w:t>Reserve</w:t>
            </w:r>
          </w:p>
        </w:tc>
        <w:tc>
          <w:tcPr>
            <w:tcW w:w="14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140" w:type="dxa"/>
            <w:vAlign w:val="bottom"/>
            <w:shd w:val="clear" w:color="auto" w:fill="CCEEFF"/>
          </w:tcPr>
          <w:p>
            <w:pPr>
              <w:spacing w:after="0"/>
              <w:rPr>
                <w:sz w:val="18"/>
                <w:szCs w:val="18"/>
                <w:color w:val="auto"/>
              </w:rPr>
            </w:pPr>
          </w:p>
        </w:tc>
        <w:tc>
          <w:tcPr>
            <w:tcW w:w="880" w:type="dxa"/>
            <w:vAlign w:val="bottom"/>
            <w:shd w:val="clear" w:color="auto" w:fill="CCEEFF"/>
          </w:tcPr>
          <w:p>
            <w:pPr>
              <w:jc w:val="right"/>
              <w:ind w:right="20"/>
              <w:spacing w:after="0"/>
              <w:rPr>
                <w:sz w:val="20"/>
                <w:szCs w:val="20"/>
                <w:color w:val="auto"/>
              </w:rPr>
            </w:pPr>
            <w:r>
              <w:rPr>
                <w:rFonts w:ascii="Arial" w:cs="Arial" w:eastAsia="Arial" w:hAnsi="Arial"/>
                <w:sz w:val="16"/>
                <w:szCs w:val="16"/>
                <w:color w:val="auto"/>
              </w:rPr>
              <w:t>15</w:t>
            </w: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ind w:right="200"/>
              <w:spacing w:after="0"/>
              <w:rPr>
                <w:sz w:val="20"/>
                <w:szCs w:val="20"/>
                <w:color w:val="auto"/>
              </w:rPr>
            </w:pPr>
            <w:r>
              <w:rPr>
                <w:rFonts w:ascii="Arial" w:cs="Arial" w:eastAsia="Arial" w:hAnsi="Arial"/>
                <w:sz w:val="16"/>
                <w:szCs w:val="16"/>
                <w:color w:val="auto"/>
              </w:rPr>
              <w:t>—</w:t>
            </w:r>
          </w:p>
        </w:tc>
        <w:tc>
          <w:tcPr>
            <w:tcW w:w="16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180" w:type="dxa"/>
            <w:vAlign w:val="bottom"/>
            <w:shd w:val="clear" w:color="auto" w:fill="CCEEFF"/>
          </w:tcPr>
          <w:p>
            <w:pPr>
              <w:spacing w:after="0"/>
              <w:rPr>
                <w:sz w:val="18"/>
                <w:szCs w:val="18"/>
                <w:color w:val="auto"/>
              </w:rPr>
            </w:pPr>
          </w:p>
        </w:tc>
        <w:tc>
          <w:tcPr>
            <w:tcW w:w="62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15</w:t>
            </w:r>
          </w:p>
        </w:tc>
      </w:tr>
      <w:tr>
        <w:trPr>
          <w:trHeight w:val="260"/>
        </w:trPr>
        <w:tc>
          <w:tcPr>
            <w:tcW w:w="5820" w:type="dxa"/>
            <w:vAlign w:val="bottom"/>
          </w:tcPr>
          <w:p>
            <w:pPr>
              <w:ind w:left="40"/>
              <w:spacing w:after="0"/>
              <w:rPr>
                <w:sz w:val="20"/>
                <w:szCs w:val="20"/>
                <w:color w:val="auto"/>
              </w:rPr>
            </w:pPr>
            <w:r>
              <w:rPr>
                <w:rFonts w:ascii="Arial" w:cs="Arial" w:eastAsia="Arial" w:hAnsi="Arial"/>
                <w:sz w:val="16"/>
                <w:szCs w:val="16"/>
                <w:color w:val="auto"/>
              </w:rPr>
              <w:t>Share-based compensation expense</w:t>
            </w:r>
          </w:p>
        </w:tc>
        <w:tc>
          <w:tcPr>
            <w:tcW w:w="140" w:type="dxa"/>
            <w:vAlign w:val="bottom"/>
          </w:tcPr>
          <w:p>
            <w:pPr>
              <w:spacing w:after="0"/>
              <w:rPr>
                <w:sz w:val="22"/>
                <w:szCs w:val="22"/>
                <w:color w:val="auto"/>
              </w:rPr>
            </w:pPr>
          </w:p>
        </w:tc>
        <w:tc>
          <w:tcPr>
            <w:tcW w:w="92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22"/>
                <w:szCs w:val="22"/>
                <w:color w:val="auto"/>
              </w:rPr>
            </w:pPr>
          </w:p>
        </w:tc>
        <w:tc>
          <w:tcPr>
            <w:tcW w:w="880" w:type="dxa"/>
            <w:vAlign w:val="bottom"/>
          </w:tcPr>
          <w:p>
            <w:pPr>
              <w:jc w:val="right"/>
              <w:ind w:right="20"/>
              <w:spacing w:after="0"/>
              <w:rPr>
                <w:sz w:val="20"/>
                <w:szCs w:val="20"/>
                <w:color w:val="auto"/>
              </w:rPr>
            </w:pPr>
            <w:r>
              <w:rPr>
                <w:rFonts w:ascii="Arial" w:cs="Arial" w:eastAsia="Arial" w:hAnsi="Arial"/>
                <w:sz w:val="16"/>
                <w:szCs w:val="16"/>
                <w:color w:val="auto"/>
              </w:rPr>
              <w:t>90</w:t>
            </w:r>
          </w:p>
        </w:tc>
        <w:tc>
          <w:tcPr>
            <w:tcW w:w="1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340" w:type="dxa"/>
            <w:vAlign w:val="bottom"/>
            <w:gridSpan w:val="2"/>
          </w:tcPr>
          <w:p>
            <w:pPr>
              <w:jc w:val="right"/>
              <w:ind w:right="200"/>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22"/>
                <w:szCs w:val="22"/>
                <w:color w:val="auto"/>
              </w:rPr>
            </w:pPr>
          </w:p>
        </w:tc>
        <w:tc>
          <w:tcPr>
            <w:tcW w:w="98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80" w:type="dxa"/>
            <w:vAlign w:val="bottom"/>
          </w:tcPr>
          <w:p>
            <w:pPr>
              <w:spacing w:after="0"/>
              <w:rPr>
                <w:sz w:val="22"/>
                <w:szCs w:val="22"/>
                <w:color w:val="auto"/>
              </w:rPr>
            </w:pPr>
          </w:p>
        </w:tc>
        <w:tc>
          <w:tcPr>
            <w:tcW w:w="620" w:type="dxa"/>
            <w:vAlign w:val="bottom"/>
          </w:tcPr>
          <w:p>
            <w:pPr>
              <w:jc w:val="right"/>
              <w:ind w:right="19"/>
              <w:spacing w:after="0"/>
              <w:rPr>
                <w:sz w:val="20"/>
                <w:szCs w:val="20"/>
                <w:color w:val="auto"/>
              </w:rPr>
            </w:pPr>
            <w:r>
              <w:rPr>
                <w:rFonts w:ascii="Arial" w:cs="Arial" w:eastAsia="Arial" w:hAnsi="Arial"/>
                <w:sz w:val="16"/>
                <w:szCs w:val="16"/>
                <w:color w:val="auto"/>
              </w:rPr>
              <w:t>90</w:t>
            </w:r>
          </w:p>
        </w:tc>
      </w:tr>
      <w:tr>
        <w:trPr>
          <w:trHeight w:val="228"/>
        </w:trPr>
        <w:tc>
          <w:tcPr>
            <w:tcW w:w="5820" w:type="dxa"/>
            <w:vAlign w:val="bottom"/>
            <w:shd w:val="clear" w:color="auto" w:fill="CCEEFF"/>
          </w:tcPr>
          <w:p>
            <w:pPr>
              <w:ind w:left="40"/>
              <w:spacing w:after="0"/>
              <w:rPr>
                <w:sz w:val="20"/>
                <w:szCs w:val="20"/>
                <w:color w:val="auto"/>
              </w:rPr>
            </w:pPr>
            <w:r>
              <w:rPr>
                <w:rFonts w:ascii="Arial" w:cs="Arial" w:eastAsia="Arial" w:hAnsi="Arial"/>
                <w:sz w:val="16"/>
                <w:szCs w:val="16"/>
                <w:color w:val="auto"/>
              </w:rPr>
              <w:t>Impact of adoption of Accounting Standards Update (ASU) 2018-02</w:t>
            </w:r>
          </w:p>
        </w:tc>
        <w:tc>
          <w:tcPr>
            <w:tcW w:w="140" w:type="dxa"/>
            <w:vAlign w:val="bottom"/>
            <w:shd w:val="clear" w:color="auto" w:fill="CCEEFF"/>
          </w:tcPr>
          <w:p>
            <w:pPr>
              <w:spacing w:after="0"/>
              <w:rPr>
                <w:sz w:val="19"/>
                <w:szCs w:val="19"/>
                <w:color w:val="auto"/>
              </w:rPr>
            </w:pPr>
          </w:p>
        </w:tc>
        <w:tc>
          <w:tcPr>
            <w:tcW w:w="8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8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2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8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620" w:type="dxa"/>
            <w:vAlign w:val="bottom"/>
            <w:shd w:val="clear" w:color="auto" w:fill="CCEEFF"/>
          </w:tcPr>
          <w:p>
            <w:pPr>
              <w:spacing w:after="0"/>
              <w:rPr>
                <w:sz w:val="19"/>
                <w:szCs w:val="19"/>
                <w:color w:val="auto"/>
              </w:rPr>
            </w:pPr>
          </w:p>
        </w:tc>
      </w:tr>
      <w:tr>
        <w:trPr>
          <w:trHeight w:val="214"/>
        </w:trPr>
        <w:tc>
          <w:tcPr>
            <w:tcW w:w="5820" w:type="dxa"/>
            <w:vAlign w:val="bottom"/>
            <w:shd w:val="clear" w:color="auto" w:fill="CCEEFF"/>
          </w:tcPr>
          <w:p>
            <w:pPr>
              <w:ind w:left="200"/>
              <w:spacing w:after="0"/>
              <w:rPr>
                <w:sz w:val="20"/>
                <w:szCs w:val="20"/>
                <w:color w:val="auto"/>
              </w:rPr>
            </w:pPr>
            <w:r>
              <w:rPr>
                <w:rFonts w:ascii="Arial" w:cs="Arial" w:eastAsia="Arial" w:hAnsi="Arial"/>
                <w:sz w:val="16"/>
                <w:szCs w:val="16"/>
                <w:color w:val="auto"/>
              </w:rPr>
              <w:t>related to comprehensive income (See Note 1(b))</w:t>
            </w:r>
          </w:p>
        </w:tc>
        <w:tc>
          <w:tcPr>
            <w:tcW w:w="14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14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120" w:type="dxa"/>
            <w:vAlign w:val="bottom"/>
            <w:shd w:val="clear" w:color="auto" w:fill="CCEEFF"/>
          </w:tcPr>
          <w:p>
            <w:pPr>
              <w:spacing w:after="0"/>
              <w:rPr>
                <w:sz w:val="18"/>
                <w:szCs w:val="18"/>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(622)</w:t>
            </w: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80" w:type="dxa"/>
            <w:vAlign w:val="bottom"/>
            <w:shd w:val="clear" w:color="auto" w:fill="CCEEFF"/>
          </w:tcPr>
          <w:p>
            <w:pPr>
              <w:jc w:val="right"/>
              <w:ind w:right="40"/>
              <w:spacing w:after="0"/>
              <w:rPr>
                <w:sz w:val="20"/>
                <w:szCs w:val="20"/>
                <w:color w:val="auto"/>
              </w:rPr>
            </w:pPr>
            <w:r>
              <w:rPr>
                <w:rFonts w:ascii="Arial" w:cs="Arial" w:eastAsia="Arial" w:hAnsi="Arial"/>
                <w:sz w:val="16"/>
                <w:szCs w:val="16"/>
                <w:color w:val="auto"/>
              </w:rPr>
              <w:t>622</w:t>
            </w: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2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w:t>
            </w:r>
          </w:p>
        </w:tc>
      </w:tr>
      <w:tr>
        <w:trPr>
          <w:trHeight w:val="240"/>
        </w:trPr>
        <w:tc>
          <w:tcPr>
            <w:tcW w:w="5820" w:type="dxa"/>
            <w:vAlign w:val="bottom"/>
          </w:tcPr>
          <w:p>
            <w:pPr>
              <w:ind w:left="40"/>
              <w:spacing w:after="0"/>
              <w:rPr>
                <w:sz w:val="20"/>
                <w:szCs w:val="20"/>
                <w:color w:val="auto"/>
              </w:rPr>
            </w:pPr>
            <w:r>
              <w:rPr>
                <w:rFonts w:ascii="Arial" w:cs="Arial" w:eastAsia="Arial" w:hAnsi="Arial"/>
                <w:sz w:val="16"/>
                <w:szCs w:val="16"/>
                <w:b w:val="1"/>
                <w:bCs w:val="1"/>
                <w:color w:val="auto"/>
              </w:rPr>
              <w:t>Balance at December 31, 2017</w:t>
            </w:r>
          </w:p>
        </w:tc>
        <w:tc>
          <w:tcPr>
            <w:tcW w:w="140" w:type="dxa"/>
            <w:vAlign w:val="bottom"/>
            <w:tcBorders>
              <w:top w:val="single" w:sz="8" w:color="auto"/>
            </w:tcBorders>
          </w:tcPr>
          <w:p>
            <w:pPr>
              <w:spacing w:after="0"/>
              <w:rPr>
                <w:sz w:val="20"/>
                <w:szCs w:val="20"/>
                <w:color w:val="auto"/>
              </w:rPr>
            </w:pPr>
          </w:p>
        </w:tc>
        <w:tc>
          <w:tcPr>
            <w:tcW w:w="820" w:type="dxa"/>
            <w:vAlign w:val="bottom"/>
            <w:tcBorders>
              <w:top w:val="single" w:sz="8" w:color="auto"/>
            </w:tcBorders>
          </w:tcPr>
          <w:p>
            <w:pPr>
              <w:jc w:val="right"/>
              <w:ind w:right="40"/>
              <w:spacing w:after="0"/>
              <w:rPr>
                <w:sz w:val="20"/>
                <w:szCs w:val="20"/>
                <w:color w:val="auto"/>
              </w:rPr>
            </w:pPr>
            <w:r>
              <w:rPr>
                <w:rFonts w:ascii="Arial" w:cs="Arial" w:eastAsia="Arial" w:hAnsi="Arial"/>
                <w:sz w:val="16"/>
                <w:szCs w:val="16"/>
                <w:color w:val="auto"/>
              </w:rPr>
              <w:t>5</w:t>
            </w:r>
          </w:p>
        </w:tc>
        <w:tc>
          <w:tcPr>
            <w:tcW w:w="100" w:type="dxa"/>
            <w:vAlign w:val="bottom"/>
          </w:tcPr>
          <w:p>
            <w:pPr>
              <w:spacing w:after="0"/>
              <w:rPr>
                <w:sz w:val="20"/>
                <w:szCs w:val="20"/>
                <w:color w:val="auto"/>
              </w:rPr>
            </w:pPr>
          </w:p>
        </w:tc>
        <w:tc>
          <w:tcPr>
            <w:tcW w:w="140" w:type="dxa"/>
            <w:vAlign w:val="bottom"/>
            <w:tcBorders>
              <w:top w:val="single" w:sz="8" w:color="auto"/>
            </w:tcBorders>
          </w:tcPr>
          <w:p>
            <w:pPr>
              <w:spacing w:after="0"/>
              <w:rPr>
                <w:sz w:val="20"/>
                <w:szCs w:val="20"/>
                <w:color w:val="auto"/>
              </w:rPr>
            </w:pPr>
          </w:p>
        </w:tc>
        <w:tc>
          <w:tcPr>
            <w:tcW w:w="880" w:type="dxa"/>
            <w:vAlign w:val="bottom"/>
            <w:tcBorders>
              <w:top w:val="single" w:sz="8" w:color="auto"/>
            </w:tcBorders>
          </w:tcPr>
          <w:p>
            <w:pPr>
              <w:jc w:val="right"/>
              <w:ind w:right="20"/>
              <w:spacing w:after="0"/>
              <w:rPr>
                <w:sz w:val="20"/>
                <w:szCs w:val="20"/>
                <w:color w:val="auto"/>
              </w:rPr>
            </w:pPr>
            <w:r>
              <w:rPr>
                <w:rFonts w:ascii="Arial" w:cs="Arial" w:eastAsia="Arial" w:hAnsi="Arial"/>
                <w:sz w:val="16"/>
                <w:szCs w:val="16"/>
                <w:color w:val="auto"/>
              </w:rPr>
              <w:t>5,714</w:t>
            </w:r>
          </w:p>
        </w:tc>
        <w:tc>
          <w:tcPr>
            <w:tcW w:w="120" w:type="dxa"/>
            <w:vAlign w:val="bottom"/>
          </w:tcPr>
          <w:p>
            <w:pPr>
              <w:spacing w:after="0"/>
              <w:rPr>
                <w:sz w:val="20"/>
                <w:szCs w:val="20"/>
                <w:color w:val="auto"/>
              </w:rPr>
            </w:pPr>
          </w:p>
        </w:tc>
        <w:tc>
          <w:tcPr>
            <w:tcW w:w="120" w:type="dxa"/>
            <w:vAlign w:val="bottom"/>
            <w:tcBorders>
              <w:top w:val="single" w:sz="8" w:color="auto"/>
            </w:tcBorders>
          </w:tcPr>
          <w:p>
            <w:pPr>
              <w:spacing w:after="0"/>
              <w:rPr>
                <w:sz w:val="20"/>
                <w:szCs w:val="20"/>
                <w:color w:val="auto"/>
              </w:rPr>
            </w:pPr>
          </w:p>
        </w:tc>
        <w:tc>
          <w:tcPr>
            <w:tcW w:w="124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(5,776)</w:t>
            </w:r>
          </w:p>
        </w:tc>
        <w:tc>
          <w:tcPr>
            <w:tcW w:w="100" w:type="dxa"/>
            <w:vAlign w:val="bottom"/>
          </w:tcPr>
          <w:p>
            <w:pPr>
              <w:spacing w:after="0"/>
              <w:rPr>
                <w:sz w:val="20"/>
                <w:szCs w:val="20"/>
                <w:color w:val="auto"/>
              </w:rPr>
            </w:pPr>
          </w:p>
        </w:tc>
        <w:tc>
          <w:tcPr>
            <w:tcW w:w="160" w:type="dxa"/>
            <w:vAlign w:val="bottom"/>
            <w:tcBorders>
              <w:top w:val="single" w:sz="8" w:color="auto"/>
            </w:tcBorders>
          </w:tcPr>
          <w:p>
            <w:pPr>
              <w:spacing w:after="0"/>
              <w:rPr>
                <w:sz w:val="20"/>
                <w:szCs w:val="20"/>
                <w:color w:val="auto"/>
              </w:rPr>
            </w:pPr>
          </w:p>
        </w:tc>
        <w:tc>
          <w:tcPr>
            <w:tcW w:w="88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(723)</w:t>
            </w:r>
          </w:p>
        </w:tc>
        <w:tc>
          <w:tcPr>
            <w:tcW w:w="100" w:type="dxa"/>
            <w:vAlign w:val="bottom"/>
          </w:tcPr>
          <w:p>
            <w:pPr>
              <w:spacing w:after="0"/>
              <w:rPr>
                <w:sz w:val="20"/>
                <w:szCs w:val="20"/>
                <w:color w:val="auto"/>
              </w:rPr>
            </w:pPr>
          </w:p>
        </w:tc>
        <w:tc>
          <w:tcPr>
            <w:tcW w:w="180" w:type="dxa"/>
            <w:vAlign w:val="bottom"/>
            <w:tcBorders>
              <w:top w:val="single" w:sz="8" w:color="auto"/>
            </w:tcBorders>
          </w:tcPr>
          <w:p>
            <w:pPr>
              <w:spacing w:after="0"/>
              <w:rPr>
                <w:sz w:val="20"/>
                <w:szCs w:val="20"/>
                <w:color w:val="auto"/>
              </w:rPr>
            </w:pPr>
          </w:p>
        </w:tc>
        <w:tc>
          <w:tcPr>
            <w:tcW w:w="62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(780)</w:t>
            </w:r>
          </w:p>
        </w:tc>
      </w:tr>
      <w:tr>
        <w:trPr>
          <w:trHeight w:val="280"/>
        </w:trPr>
        <w:tc>
          <w:tcPr>
            <w:tcW w:w="5820" w:type="dxa"/>
            <w:vAlign w:val="bottom"/>
            <w:shd w:val="clear" w:color="auto" w:fill="CCEEFF"/>
          </w:tcPr>
          <w:p>
            <w:pPr>
              <w:ind w:left="40"/>
              <w:spacing w:after="0"/>
              <w:rPr>
                <w:sz w:val="20"/>
                <w:szCs w:val="20"/>
                <w:color w:val="auto"/>
              </w:rPr>
            </w:pPr>
            <w:r>
              <w:rPr>
                <w:rFonts w:ascii="Arial" w:cs="Arial" w:eastAsia="Arial" w:hAnsi="Arial"/>
                <w:sz w:val="16"/>
                <w:szCs w:val="16"/>
                <w:color w:val="auto"/>
              </w:rPr>
              <w:t>Net income</w:t>
            </w:r>
          </w:p>
        </w:tc>
        <w:tc>
          <w:tcPr>
            <w:tcW w:w="140" w:type="dxa"/>
            <w:vAlign w:val="bottom"/>
            <w:shd w:val="clear" w:color="auto" w:fill="CCEEFF"/>
          </w:tcPr>
          <w:p>
            <w:pPr>
              <w:spacing w:after="0"/>
              <w:rPr>
                <w:sz w:val="24"/>
                <w:szCs w:val="24"/>
                <w:color w:val="auto"/>
              </w:rPr>
            </w:pPr>
          </w:p>
        </w:tc>
        <w:tc>
          <w:tcPr>
            <w:tcW w:w="920" w:type="dxa"/>
            <w:vAlign w:val="bottom"/>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140" w:type="dxa"/>
            <w:vAlign w:val="bottom"/>
            <w:shd w:val="clear" w:color="auto" w:fill="CCEEFF"/>
          </w:tcPr>
          <w:p>
            <w:pPr>
              <w:spacing w:after="0"/>
              <w:rPr>
                <w:sz w:val="24"/>
                <w:szCs w:val="24"/>
                <w:color w:val="auto"/>
              </w:rPr>
            </w:pPr>
          </w:p>
        </w:tc>
        <w:tc>
          <w:tcPr>
            <w:tcW w:w="1000" w:type="dxa"/>
            <w:vAlign w:val="bottom"/>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120" w:type="dxa"/>
            <w:vAlign w:val="bottom"/>
            <w:shd w:val="clear" w:color="auto" w:fill="CCEEFF"/>
          </w:tcPr>
          <w:p>
            <w:pPr>
              <w:spacing w:after="0"/>
              <w:rPr>
                <w:sz w:val="24"/>
                <w:szCs w:val="24"/>
                <w:color w:val="auto"/>
              </w:rPr>
            </w:pPr>
          </w:p>
        </w:tc>
        <w:tc>
          <w:tcPr>
            <w:tcW w:w="1340" w:type="dxa"/>
            <w:vAlign w:val="bottom"/>
            <w:gridSpan w:val="2"/>
            <w:shd w:val="clear" w:color="auto" w:fill="CCEEFF"/>
          </w:tcPr>
          <w:p>
            <w:pPr>
              <w:jc w:val="right"/>
              <w:ind w:right="200"/>
              <w:spacing w:after="0"/>
              <w:rPr>
                <w:sz w:val="20"/>
                <w:szCs w:val="20"/>
                <w:color w:val="auto"/>
              </w:rPr>
            </w:pPr>
            <w:r>
              <w:rPr>
                <w:rFonts w:ascii="Arial" w:cs="Arial" w:eastAsia="Arial" w:hAnsi="Arial"/>
                <w:sz w:val="16"/>
                <w:szCs w:val="16"/>
                <w:color w:val="auto"/>
              </w:rPr>
              <w:t>—</w:t>
            </w:r>
          </w:p>
        </w:tc>
        <w:tc>
          <w:tcPr>
            <w:tcW w:w="160" w:type="dxa"/>
            <w:vAlign w:val="bottom"/>
            <w:shd w:val="clear" w:color="auto" w:fill="CCEEFF"/>
          </w:tcPr>
          <w:p>
            <w:pPr>
              <w:spacing w:after="0"/>
              <w:rPr>
                <w:sz w:val="24"/>
                <w:szCs w:val="24"/>
                <w:color w:val="auto"/>
              </w:rPr>
            </w:pPr>
          </w:p>
        </w:tc>
        <w:tc>
          <w:tcPr>
            <w:tcW w:w="880" w:type="dxa"/>
            <w:vAlign w:val="bottom"/>
            <w:shd w:val="clear" w:color="auto" w:fill="CCEEFF"/>
          </w:tcPr>
          <w:p>
            <w:pPr>
              <w:jc w:val="right"/>
              <w:ind w:right="40"/>
              <w:spacing w:after="0"/>
              <w:rPr>
                <w:sz w:val="20"/>
                <w:szCs w:val="20"/>
                <w:color w:val="auto"/>
              </w:rPr>
            </w:pPr>
            <w:r>
              <w:rPr>
                <w:rFonts w:ascii="Arial" w:cs="Arial" w:eastAsia="Arial" w:hAnsi="Arial"/>
                <w:sz w:val="16"/>
                <w:szCs w:val="16"/>
                <w:color w:val="auto"/>
              </w:rPr>
              <w:t>1,412</w:t>
            </w:r>
          </w:p>
        </w:tc>
        <w:tc>
          <w:tcPr>
            <w:tcW w:w="10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62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1,412</w:t>
            </w:r>
          </w:p>
        </w:tc>
      </w:tr>
      <w:tr>
        <w:trPr>
          <w:trHeight w:val="260"/>
        </w:trPr>
        <w:tc>
          <w:tcPr>
            <w:tcW w:w="5820" w:type="dxa"/>
            <w:vAlign w:val="bottom"/>
          </w:tcPr>
          <w:p>
            <w:pPr>
              <w:ind w:left="40"/>
              <w:spacing w:after="0"/>
              <w:rPr>
                <w:sz w:val="20"/>
                <w:szCs w:val="20"/>
                <w:color w:val="auto"/>
              </w:rPr>
            </w:pPr>
            <w:r>
              <w:rPr>
                <w:rFonts w:ascii="Arial" w:cs="Arial" w:eastAsia="Arial" w:hAnsi="Arial"/>
                <w:sz w:val="16"/>
                <w:szCs w:val="16"/>
                <w:color w:val="auto"/>
              </w:rPr>
              <w:t>Other comprehensive loss, net</w:t>
            </w:r>
          </w:p>
        </w:tc>
        <w:tc>
          <w:tcPr>
            <w:tcW w:w="140" w:type="dxa"/>
            <w:vAlign w:val="bottom"/>
          </w:tcPr>
          <w:p>
            <w:pPr>
              <w:spacing w:after="0"/>
              <w:rPr>
                <w:sz w:val="22"/>
                <w:szCs w:val="22"/>
                <w:color w:val="auto"/>
              </w:rPr>
            </w:pPr>
          </w:p>
        </w:tc>
        <w:tc>
          <w:tcPr>
            <w:tcW w:w="92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22"/>
                <w:szCs w:val="22"/>
                <w:color w:val="auto"/>
              </w:rPr>
            </w:pPr>
          </w:p>
        </w:tc>
        <w:tc>
          <w:tcPr>
            <w:tcW w:w="100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22"/>
                <w:szCs w:val="22"/>
                <w:color w:val="auto"/>
              </w:rPr>
            </w:pPr>
          </w:p>
        </w:tc>
        <w:tc>
          <w:tcPr>
            <w:tcW w:w="1240" w:type="dxa"/>
            <w:vAlign w:val="bottom"/>
          </w:tcPr>
          <w:p>
            <w:pPr>
              <w:jc w:val="right"/>
              <w:spacing w:after="0"/>
              <w:rPr>
                <w:sz w:val="20"/>
                <w:szCs w:val="20"/>
                <w:color w:val="auto"/>
              </w:rPr>
            </w:pPr>
            <w:r>
              <w:rPr>
                <w:rFonts w:ascii="Arial" w:cs="Arial" w:eastAsia="Arial" w:hAnsi="Arial"/>
                <w:sz w:val="16"/>
                <w:szCs w:val="16"/>
                <w:color w:val="auto"/>
              </w:rPr>
              <w:t>(120)</w:t>
            </w:r>
          </w:p>
        </w:tc>
        <w:tc>
          <w:tcPr>
            <w:tcW w:w="10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98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80" w:type="dxa"/>
            <w:vAlign w:val="bottom"/>
          </w:tcPr>
          <w:p>
            <w:pPr>
              <w:spacing w:after="0"/>
              <w:rPr>
                <w:sz w:val="22"/>
                <w:szCs w:val="22"/>
                <w:color w:val="auto"/>
              </w:rPr>
            </w:pPr>
          </w:p>
        </w:tc>
        <w:tc>
          <w:tcPr>
            <w:tcW w:w="620" w:type="dxa"/>
            <w:vAlign w:val="bottom"/>
          </w:tcPr>
          <w:p>
            <w:pPr>
              <w:jc w:val="right"/>
              <w:spacing w:after="0"/>
              <w:rPr>
                <w:sz w:val="20"/>
                <w:szCs w:val="20"/>
                <w:color w:val="auto"/>
              </w:rPr>
            </w:pPr>
            <w:r>
              <w:rPr>
                <w:rFonts w:ascii="Arial" w:cs="Arial" w:eastAsia="Arial" w:hAnsi="Arial"/>
                <w:sz w:val="16"/>
                <w:szCs w:val="16"/>
                <w:color w:val="auto"/>
              </w:rPr>
              <w:t>(120)</w:t>
            </w:r>
          </w:p>
        </w:tc>
      </w:tr>
      <w:tr>
        <w:trPr>
          <w:trHeight w:val="228"/>
        </w:trPr>
        <w:tc>
          <w:tcPr>
            <w:tcW w:w="5820" w:type="dxa"/>
            <w:vAlign w:val="bottom"/>
            <w:shd w:val="clear" w:color="auto" w:fill="CCEEFF"/>
          </w:tcPr>
          <w:p>
            <w:pPr>
              <w:ind w:left="40"/>
              <w:spacing w:after="0"/>
              <w:rPr>
                <w:sz w:val="20"/>
                <w:szCs w:val="20"/>
                <w:color w:val="auto"/>
              </w:rPr>
            </w:pPr>
            <w:r>
              <w:rPr>
                <w:rFonts w:ascii="Arial" w:cs="Arial" w:eastAsia="Arial" w:hAnsi="Arial"/>
                <w:sz w:val="16"/>
                <w:szCs w:val="16"/>
                <w:color w:val="auto"/>
              </w:rPr>
              <w:t>Issuance of 1,709,140 shares of AAG common stock pursuant to</w:t>
            </w:r>
          </w:p>
        </w:tc>
        <w:tc>
          <w:tcPr>
            <w:tcW w:w="140" w:type="dxa"/>
            <w:vAlign w:val="bottom"/>
            <w:shd w:val="clear" w:color="auto" w:fill="CCEEFF"/>
          </w:tcPr>
          <w:p>
            <w:pPr>
              <w:spacing w:after="0"/>
              <w:rPr>
                <w:sz w:val="19"/>
                <w:szCs w:val="19"/>
                <w:color w:val="auto"/>
              </w:rPr>
            </w:pPr>
          </w:p>
        </w:tc>
        <w:tc>
          <w:tcPr>
            <w:tcW w:w="8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8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2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8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620" w:type="dxa"/>
            <w:vAlign w:val="bottom"/>
            <w:shd w:val="clear" w:color="auto" w:fill="CCEEFF"/>
          </w:tcPr>
          <w:p>
            <w:pPr>
              <w:spacing w:after="0"/>
              <w:rPr>
                <w:sz w:val="19"/>
                <w:szCs w:val="19"/>
                <w:color w:val="auto"/>
              </w:rPr>
            </w:pPr>
          </w:p>
        </w:tc>
      </w:tr>
      <w:tr>
        <w:trPr>
          <w:trHeight w:val="214"/>
        </w:trPr>
        <w:tc>
          <w:tcPr>
            <w:tcW w:w="5820" w:type="dxa"/>
            <w:vAlign w:val="bottom"/>
            <w:shd w:val="clear" w:color="auto" w:fill="CCEEFF"/>
          </w:tcPr>
          <w:p>
            <w:pPr>
              <w:ind w:left="200"/>
              <w:spacing w:after="0"/>
              <w:rPr>
                <w:sz w:val="20"/>
                <w:szCs w:val="20"/>
                <w:color w:val="auto"/>
              </w:rPr>
            </w:pPr>
            <w:r>
              <w:rPr>
                <w:rFonts w:ascii="Arial" w:cs="Arial" w:eastAsia="Arial" w:hAnsi="Arial"/>
                <w:sz w:val="16"/>
                <w:szCs w:val="16"/>
                <w:color w:val="auto"/>
              </w:rPr>
              <w:t>employee stock plans net of shares withheld for cash taxes</w:t>
            </w:r>
          </w:p>
        </w:tc>
        <w:tc>
          <w:tcPr>
            <w:tcW w:w="14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14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(37)</w:t>
            </w: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ind w:right="200"/>
              <w:spacing w:after="0"/>
              <w:rPr>
                <w:sz w:val="20"/>
                <w:szCs w:val="20"/>
                <w:color w:val="auto"/>
              </w:rPr>
            </w:pPr>
            <w:r>
              <w:rPr>
                <w:rFonts w:ascii="Arial" w:cs="Arial" w:eastAsia="Arial" w:hAnsi="Arial"/>
                <w:sz w:val="16"/>
                <w:szCs w:val="16"/>
                <w:color w:val="auto"/>
              </w:rPr>
              <w:t>—</w:t>
            </w:r>
          </w:p>
        </w:tc>
        <w:tc>
          <w:tcPr>
            <w:tcW w:w="16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18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(37)</w:t>
            </w:r>
          </w:p>
        </w:tc>
      </w:tr>
      <w:tr>
        <w:trPr>
          <w:trHeight w:val="260"/>
        </w:trPr>
        <w:tc>
          <w:tcPr>
            <w:tcW w:w="5820" w:type="dxa"/>
            <w:vAlign w:val="bottom"/>
          </w:tcPr>
          <w:p>
            <w:pPr>
              <w:ind w:left="40"/>
              <w:spacing w:after="0"/>
              <w:rPr>
                <w:sz w:val="20"/>
                <w:szCs w:val="20"/>
                <w:color w:val="auto"/>
              </w:rPr>
            </w:pPr>
            <w:r>
              <w:rPr>
                <w:rFonts w:ascii="Arial" w:cs="Arial" w:eastAsia="Arial" w:hAnsi="Arial"/>
                <w:sz w:val="16"/>
                <w:szCs w:val="16"/>
                <w:color w:val="auto"/>
              </w:rPr>
              <w:t>Purchase and retirement of 16,606,157 shares of AAG common stock</w:t>
            </w:r>
          </w:p>
        </w:tc>
        <w:tc>
          <w:tcPr>
            <w:tcW w:w="140" w:type="dxa"/>
            <w:vAlign w:val="bottom"/>
          </w:tcPr>
          <w:p>
            <w:pPr>
              <w:spacing w:after="0"/>
              <w:rPr>
                <w:sz w:val="22"/>
                <w:szCs w:val="22"/>
                <w:color w:val="auto"/>
              </w:rPr>
            </w:pPr>
          </w:p>
        </w:tc>
        <w:tc>
          <w:tcPr>
            <w:tcW w:w="92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22"/>
                <w:szCs w:val="22"/>
                <w:color w:val="auto"/>
              </w:rPr>
            </w:pPr>
          </w:p>
        </w:tc>
        <w:tc>
          <w:tcPr>
            <w:tcW w:w="880" w:type="dxa"/>
            <w:vAlign w:val="bottom"/>
          </w:tcPr>
          <w:p>
            <w:pPr>
              <w:jc w:val="right"/>
              <w:spacing w:after="0"/>
              <w:rPr>
                <w:sz w:val="20"/>
                <w:szCs w:val="20"/>
                <w:color w:val="auto"/>
              </w:rPr>
            </w:pPr>
            <w:r>
              <w:rPr>
                <w:rFonts w:ascii="Arial" w:cs="Arial" w:eastAsia="Arial" w:hAnsi="Arial"/>
                <w:sz w:val="16"/>
                <w:szCs w:val="16"/>
                <w:color w:val="auto"/>
              </w:rPr>
              <w:t>(799)</w:t>
            </w:r>
          </w:p>
        </w:tc>
        <w:tc>
          <w:tcPr>
            <w:tcW w:w="1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340" w:type="dxa"/>
            <w:vAlign w:val="bottom"/>
            <w:gridSpan w:val="2"/>
          </w:tcPr>
          <w:p>
            <w:pPr>
              <w:jc w:val="right"/>
              <w:ind w:right="200"/>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22"/>
                <w:szCs w:val="22"/>
                <w:color w:val="auto"/>
              </w:rPr>
            </w:pPr>
          </w:p>
        </w:tc>
        <w:tc>
          <w:tcPr>
            <w:tcW w:w="98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80" w:type="dxa"/>
            <w:vAlign w:val="bottom"/>
          </w:tcPr>
          <w:p>
            <w:pPr>
              <w:spacing w:after="0"/>
              <w:rPr>
                <w:sz w:val="22"/>
                <w:szCs w:val="22"/>
                <w:color w:val="auto"/>
              </w:rPr>
            </w:pPr>
          </w:p>
        </w:tc>
        <w:tc>
          <w:tcPr>
            <w:tcW w:w="620" w:type="dxa"/>
            <w:vAlign w:val="bottom"/>
          </w:tcPr>
          <w:p>
            <w:pPr>
              <w:jc w:val="right"/>
              <w:spacing w:after="0"/>
              <w:rPr>
                <w:sz w:val="20"/>
                <w:szCs w:val="20"/>
                <w:color w:val="auto"/>
              </w:rPr>
            </w:pPr>
            <w:r>
              <w:rPr>
                <w:rFonts w:ascii="Arial" w:cs="Arial" w:eastAsia="Arial" w:hAnsi="Arial"/>
                <w:sz w:val="16"/>
                <w:szCs w:val="16"/>
                <w:color w:val="auto"/>
              </w:rPr>
              <w:t>(799)</w:t>
            </w:r>
          </w:p>
        </w:tc>
      </w:tr>
      <w:tr>
        <w:trPr>
          <w:trHeight w:val="280"/>
        </w:trPr>
        <w:tc>
          <w:tcPr>
            <w:tcW w:w="5820" w:type="dxa"/>
            <w:vAlign w:val="bottom"/>
            <w:shd w:val="clear" w:color="auto" w:fill="CCEEFF"/>
          </w:tcPr>
          <w:p>
            <w:pPr>
              <w:ind w:left="40"/>
              <w:spacing w:after="0"/>
              <w:rPr>
                <w:sz w:val="20"/>
                <w:szCs w:val="20"/>
                <w:color w:val="auto"/>
              </w:rPr>
            </w:pPr>
            <w:r>
              <w:rPr>
                <w:rFonts w:ascii="Arial" w:cs="Arial" w:eastAsia="Arial" w:hAnsi="Arial"/>
                <w:sz w:val="16"/>
                <w:szCs w:val="16"/>
                <w:color w:val="auto"/>
              </w:rPr>
              <w:t>Dividends declared on AAG common stock ($0.40 per share)</w:t>
            </w:r>
          </w:p>
        </w:tc>
        <w:tc>
          <w:tcPr>
            <w:tcW w:w="140" w:type="dxa"/>
            <w:vAlign w:val="bottom"/>
            <w:shd w:val="clear" w:color="auto" w:fill="CCEEFF"/>
          </w:tcPr>
          <w:p>
            <w:pPr>
              <w:spacing w:after="0"/>
              <w:rPr>
                <w:sz w:val="24"/>
                <w:szCs w:val="24"/>
                <w:color w:val="auto"/>
              </w:rPr>
            </w:pPr>
          </w:p>
        </w:tc>
        <w:tc>
          <w:tcPr>
            <w:tcW w:w="920" w:type="dxa"/>
            <w:vAlign w:val="bottom"/>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140" w:type="dxa"/>
            <w:vAlign w:val="bottom"/>
            <w:shd w:val="clear" w:color="auto" w:fill="CCEEFF"/>
          </w:tcPr>
          <w:p>
            <w:pPr>
              <w:spacing w:after="0"/>
              <w:rPr>
                <w:sz w:val="24"/>
                <w:szCs w:val="24"/>
                <w:color w:val="auto"/>
              </w:rPr>
            </w:pPr>
          </w:p>
        </w:tc>
        <w:tc>
          <w:tcPr>
            <w:tcW w:w="1000" w:type="dxa"/>
            <w:vAlign w:val="bottom"/>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120" w:type="dxa"/>
            <w:vAlign w:val="bottom"/>
            <w:shd w:val="clear" w:color="auto" w:fill="CCEEFF"/>
          </w:tcPr>
          <w:p>
            <w:pPr>
              <w:spacing w:after="0"/>
              <w:rPr>
                <w:sz w:val="24"/>
                <w:szCs w:val="24"/>
                <w:color w:val="auto"/>
              </w:rPr>
            </w:pPr>
          </w:p>
        </w:tc>
        <w:tc>
          <w:tcPr>
            <w:tcW w:w="1340" w:type="dxa"/>
            <w:vAlign w:val="bottom"/>
            <w:gridSpan w:val="2"/>
            <w:shd w:val="clear" w:color="auto" w:fill="CCEEFF"/>
          </w:tcPr>
          <w:p>
            <w:pPr>
              <w:jc w:val="right"/>
              <w:ind w:right="200"/>
              <w:spacing w:after="0"/>
              <w:rPr>
                <w:sz w:val="20"/>
                <w:szCs w:val="20"/>
                <w:color w:val="auto"/>
              </w:rPr>
            </w:pPr>
            <w:r>
              <w:rPr>
                <w:rFonts w:ascii="Arial" w:cs="Arial" w:eastAsia="Arial" w:hAnsi="Arial"/>
                <w:sz w:val="16"/>
                <w:szCs w:val="16"/>
                <w:color w:val="auto"/>
              </w:rPr>
              <w:t>—</w:t>
            </w:r>
          </w:p>
        </w:tc>
        <w:tc>
          <w:tcPr>
            <w:tcW w:w="160" w:type="dxa"/>
            <w:vAlign w:val="bottom"/>
            <w:shd w:val="clear" w:color="auto" w:fill="CCEEFF"/>
          </w:tcPr>
          <w:p>
            <w:pPr>
              <w:spacing w:after="0"/>
              <w:rPr>
                <w:sz w:val="24"/>
                <w:szCs w:val="24"/>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(188)</w:t>
            </w:r>
          </w:p>
        </w:tc>
        <w:tc>
          <w:tcPr>
            <w:tcW w:w="10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(188)</w:t>
            </w:r>
          </w:p>
        </w:tc>
      </w:tr>
      <w:tr>
        <w:trPr>
          <w:trHeight w:val="260"/>
        </w:trPr>
        <w:tc>
          <w:tcPr>
            <w:tcW w:w="5820" w:type="dxa"/>
            <w:vAlign w:val="bottom"/>
          </w:tcPr>
          <w:p>
            <w:pPr>
              <w:ind w:left="40"/>
              <w:spacing w:after="0"/>
              <w:rPr>
                <w:sz w:val="20"/>
                <w:szCs w:val="20"/>
                <w:color w:val="auto"/>
              </w:rPr>
            </w:pPr>
            <w:r>
              <w:rPr>
                <w:rFonts w:ascii="Arial" w:cs="Arial" w:eastAsia="Arial" w:hAnsi="Arial"/>
                <w:sz w:val="16"/>
                <w:szCs w:val="16"/>
                <w:color w:val="auto"/>
              </w:rPr>
              <w:t>Share-based compensation expense</w:t>
            </w:r>
          </w:p>
        </w:tc>
        <w:tc>
          <w:tcPr>
            <w:tcW w:w="140" w:type="dxa"/>
            <w:vAlign w:val="bottom"/>
          </w:tcPr>
          <w:p>
            <w:pPr>
              <w:spacing w:after="0"/>
              <w:rPr>
                <w:sz w:val="22"/>
                <w:szCs w:val="22"/>
                <w:color w:val="auto"/>
              </w:rPr>
            </w:pPr>
          </w:p>
        </w:tc>
        <w:tc>
          <w:tcPr>
            <w:tcW w:w="92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22"/>
                <w:szCs w:val="22"/>
                <w:color w:val="auto"/>
              </w:rPr>
            </w:pPr>
          </w:p>
        </w:tc>
        <w:tc>
          <w:tcPr>
            <w:tcW w:w="880" w:type="dxa"/>
            <w:vAlign w:val="bottom"/>
          </w:tcPr>
          <w:p>
            <w:pPr>
              <w:jc w:val="right"/>
              <w:ind w:right="20"/>
              <w:spacing w:after="0"/>
              <w:rPr>
                <w:sz w:val="20"/>
                <w:szCs w:val="20"/>
                <w:color w:val="auto"/>
              </w:rPr>
            </w:pPr>
            <w:r>
              <w:rPr>
                <w:rFonts w:ascii="Arial" w:cs="Arial" w:eastAsia="Arial" w:hAnsi="Arial"/>
                <w:sz w:val="16"/>
                <w:szCs w:val="16"/>
                <w:color w:val="auto"/>
              </w:rPr>
              <w:t>86</w:t>
            </w:r>
          </w:p>
        </w:tc>
        <w:tc>
          <w:tcPr>
            <w:tcW w:w="1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340" w:type="dxa"/>
            <w:vAlign w:val="bottom"/>
            <w:gridSpan w:val="2"/>
          </w:tcPr>
          <w:p>
            <w:pPr>
              <w:jc w:val="right"/>
              <w:ind w:right="200"/>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22"/>
                <w:szCs w:val="22"/>
                <w:color w:val="auto"/>
              </w:rPr>
            </w:pPr>
          </w:p>
        </w:tc>
        <w:tc>
          <w:tcPr>
            <w:tcW w:w="98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80" w:type="dxa"/>
            <w:vAlign w:val="bottom"/>
          </w:tcPr>
          <w:p>
            <w:pPr>
              <w:spacing w:after="0"/>
              <w:rPr>
                <w:sz w:val="22"/>
                <w:szCs w:val="22"/>
                <w:color w:val="auto"/>
              </w:rPr>
            </w:pPr>
          </w:p>
        </w:tc>
        <w:tc>
          <w:tcPr>
            <w:tcW w:w="620" w:type="dxa"/>
            <w:vAlign w:val="bottom"/>
          </w:tcPr>
          <w:p>
            <w:pPr>
              <w:jc w:val="right"/>
              <w:ind w:right="19"/>
              <w:spacing w:after="0"/>
              <w:rPr>
                <w:sz w:val="20"/>
                <w:szCs w:val="20"/>
                <w:color w:val="auto"/>
              </w:rPr>
            </w:pPr>
            <w:r>
              <w:rPr>
                <w:rFonts w:ascii="Arial" w:cs="Arial" w:eastAsia="Arial" w:hAnsi="Arial"/>
                <w:sz w:val="16"/>
                <w:szCs w:val="16"/>
                <w:color w:val="auto"/>
              </w:rPr>
              <w:t>86</w:t>
            </w:r>
          </w:p>
        </w:tc>
      </w:tr>
      <w:tr>
        <w:trPr>
          <w:trHeight w:val="280"/>
        </w:trPr>
        <w:tc>
          <w:tcPr>
            <w:tcW w:w="5820" w:type="dxa"/>
            <w:vAlign w:val="bottom"/>
            <w:shd w:val="clear" w:color="auto" w:fill="CCEEFF"/>
          </w:tcPr>
          <w:p>
            <w:pPr>
              <w:ind w:left="40"/>
              <w:spacing w:after="0"/>
              <w:rPr>
                <w:sz w:val="20"/>
                <w:szCs w:val="20"/>
                <w:color w:val="auto"/>
              </w:rPr>
            </w:pPr>
            <w:r>
              <w:rPr>
                <w:rFonts w:ascii="Arial" w:cs="Arial" w:eastAsia="Arial" w:hAnsi="Arial"/>
                <w:sz w:val="16"/>
                <w:szCs w:val="16"/>
                <w:color w:val="auto"/>
              </w:rPr>
              <w:t>Impact of adoption of ASU 2016-01 related to financial instruments</w:t>
            </w:r>
          </w:p>
        </w:tc>
        <w:tc>
          <w:tcPr>
            <w:tcW w:w="140" w:type="dxa"/>
            <w:vAlign w:val="bottom"/>
            <w:shd w:val="clear" w:color="auto" w:fill="CCEEFF"/>
          </w:tcPr>
          <w:p>
            <w:pPr>
              <w:spacing w:after="0"/>
              <w:rPr>
                <w:sz w:val="24"/>
                <w:szCs w:val="24"/>
                <w:color w:val="auto"/>
              </w:rPr>
            </w:pPr>
          </w:p>
        </w:tc>
        <w:tc>
          <w:tcPr>
            <w:tcW w:w="920" w:type="dxa"/>
            <w:vAlign w:val="bottom"/>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140" w:type="dxa"/>
            <w:vAlign w:val="bottom"/>
            <w:shd w:val="clear" w:color="auto" w:fill="CCEEFF"/>
          </w:tcPr>
          <w:p>
            <w:pPr>
              <w:spacing w:after="0"/>
              <w:rPr>
                <w:sz w:val="24"/>
                <w:szCs w:val="24"/>
                <w:color w:val="auto"/>
              </w:rPr>
            </w:pPr>
          </w:p>
        </w:tc>
        <w:tc>
          <w:tcPr>
            <w:tcW w:w="1000" w:type="dxa"/>
            <w:vAlign w:val="bottom"/>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120" w:type="dxa"/>
            <w:vAlign w:val="bottom"/>
            <w:shd w:val="clear" w:color="auto" w:fill="CCEEFF"/>
          </w:tcPr>
          <w:p>
            <w:pPr>
              <w:spacing w:after="0"/>
              <w:rPr>
                <w:sz w:val="24"/>
                <w:szCs w:val="24"/>
                <w:color w:val="auto"/>
              </w:rPr>
            </w:pPr>
          </w:p>
        </w:tc>
        <w:tc>
          <w:tcPr>
            <w:tcW w:w="1340" w:type="dxa"/>
            <w:vAlign w:val="bottom"/>
            <w:gridSpan w:val="2"/>
            <w:shd w:val="clear" w:color="auto" w:fill="CCEEFF"/>
          </w:tcPr>
          <w:p>
            <w:pPr>
              <w:jc w:val="right"/>
              <w:ind w:right="200"/>
              <w:spacing w:after="0"/>
              <w:rPr>
                <w:sz w:val="20"/>
                <w:szCs w:val="20"/>
                <w:color w:val="auto"/>
              </w:rPr>
            </w:pPr>
            <w:r>
              <w:rPr>
                <w:rFonts w:ascii="Arial" w:cs="Arial" w:eastAsia="Arial" w:hAnsi="Arial"/>
                <w:sz w:val="16"/>
                <w:szCs w:val="16"/>
                <w:color w:val="auto"/>
              </w:rPr>
              <w:t>—</w:t>
            </w:r>
          </w:p>
        </w:tc>
        <w:tc>
          <w:tcPr>
            <w:tcW w:w="160" w:type="dxa"/>
            <w:vAlign w:val="bottom"/>
            <w:shd w:val="clear" w:color="auto" w:fill="CCEEFF"/>
          </w:tcPr>
          <w:p>
            <w:pPr>
              <w:spacing w:after="0"/>
              <w:rPr>
                <w:sz w:val="24"/>
                <w:szCs w:val="24"/>
                <w:color w:val="auto"/>
              </w:rPr>
            </w:pPr>
          </w:p>
        </w:tc>
        <w:tc>
          <w:tcPr>
            <w:tcW w:w="880" w:type="dxa"/>
            <w:vAlign w:val="bottom"/>
            <w:shd w:val="clear" w:color="auto" w:fill="CCEEFF"/>
          </w:tcPr>
          <w:p>
            <w:pPr>
              <w:jc w:val="right"/>
              <w:ind w:right="40"/>
              <w:spacing w:after="0"/>
              <w:rPr>
                <w:sz w:val="20"/>
                <w:szCs w:val="20"/>
                <w:color w:val="auto"/>
              </w:rPr>
            </w:pPr>
            <w:r>
              <w:rPr>
                <w:rFonts w:ascii="Arial" w:cs="Arial" w:eastAsia="Arial" w:hAnsi="Arial"/>
                <w:sz w:val="16"/>
                <w:szCs w:val="16"/>
                <w:color w:val="auto"/>
              </w:rPr>
              <w:t>60</w:t>
            </w:r>
          </w:p>
        </w:tc>
        <w:tc>
          <w:tcPr>
            <w:tcW w:w="10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62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60</w:t>
            </w:r>
          </w:p>
        </w:tc>
      </w:tr>
      <w:tr>
        <w:trPr>
          <w:trHeight w:val="264"/>
        </w:trPr>
        <w:tc>
          <w:tcPr>
            <w:tcW w:w="5820" w:type="dxa"/>
            <w:vAlign w:val="bottom"/>
          </w:tcPr>
          <w:p>
            <w:pPr>
              <w:ind w:left="40"/>
              <w:spacing w:after="0"/>
              <w:rPr>
                <w:sz w:val="20"/>
                <w:szCs w:val="20"/>
                <w:color w:val="auto"/>
              </w:rPr>
            </w:pPr>
            <w:r>
              <w:rPr>
                <w:rFonts w:ascii="Arial" w:cs="Arial" w:eastAsia="Arial" w:hAnsi="Arial"/>
                <w:sz w:val="16"/>
                <w:szCs w:val="16"/>
                <w:color w:val="auto"/>
              </w:rPr>
              <w:t>Impact of adoption of ASU 2016-02 related to leases</w:t>
            </w:r>
          </w:p>
        </w:tc>
        <w:tc>
          <w:tcPr>
            <w:tcW w:w="140" w:type="dxa"/>
            <w:vAlign w:val="bottom"/>
          </w:tcPr>
          <w:p>
            <w:pPr>
              <w:spacing w:after="0"/>
              <w:rPr>
                <w:sz w:val="22"/>
                <w:szCs w:val="22"/>
                <w:color w:val="auto"/>
              </w:rPr>
            </w:pPr>
          </w:p>
        </w:tc>
        <w:tc>
          <w:tcPr>
            <w:tcW w:w="92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22"/>
                <w:szCs w:val="22"/>
                <w:color w:val="auto"/>
              </w:rPr>
            </w:pPr>
          </w:p>
        </w:tc>
        <w:tc>
          <w:tcPr>
            <w:tcW w:w="100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22"/>
                <w:szCs w:val="22"/>
                <w:color w:val="auto"/>
              </w:rPr>
            </w:pPr>
          </w:p>
        </w:tc>
        <w:tc>
          <w:tcPr>
            <w:tcW w:w="1340" w:type="dxa"/>
            <w:vAlign w:val="bottom"/>
            <w:gridSpan w:val="2"/>
          </w:tcPr>
          <w:p>
            <w:pPr>
              <w:jc w:val="right"/>
              <w:ind w:right="200"/>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22"/>
                <w:szCs w:val="22"/>
                <w:color w:val="auto"/>
              </w:rPr>
            </w:pPr>
          </w:p>
        </w:tc>
        <w:tc>
          <w:tcPr>
            <w:tcW w:w="880" w:type="dxa"/>
            <w:vAlign w:val="bottom"/>
          </w:tcPr>
          <w:p>
            <w:pPr>
              <w:jc w:val="right"/>
              <w:ind w:right="40"/>
              <w:spacing w:after="0"/>
              <w:rPr>
                <w:sz w:val="20"/>
                <w:szCs w:val="20"/>
                <w:color w:val="auto"/>
              </w:rPr>
            </w:pPr>
            <w:r>
              <w:rPr>
                <w:rFonts w:ascii="Arial" w:cs="Arial" w:eastAsia="Arial" w:hAnsi="Arial"/>
                <w:sz w:val="16"/>
                <w:szCs w:val="16"/>
                <w:color w:val="auto"/>
              </w:rPr>
              <w:t>197</w:t>
            </w:r>
          </w:p>
        </w:tc>
        <w:tc>
          <w:tcPr>
            <w:tcW w:w="10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620" w:type="dxa"/>
            <w:vAlign w:val="bottom"/>
          </w:tcPr>
          <w:p>
            <w:pPr>
              <w:jc w:val="right"/>
              <w:ind w:right="19"/>
              <w:spacing w:after="0"/>
              <w:rPr>
                <w:sz w:val="20"/>
                <w:szCs w:val="20"/>
                <w:color w:val="auto"/>
              </w:rPr>
            </w:pPr>
            <w:r>
              <w:rPr>
                <w:rFonts w:ascii="Arial" w:cs="Arial" w:eastAsia="Arial" w:hAnsi="Arial"/>
                <w:sz w:val="16"/>
                <w:szCs w:val="16"/>
                <w:color w:val="auto"/>
              </w:rPr>
              <w:t>197</w:t>
            </w:r>
          </w:p>
        </w:tc>
      </w:tr>
      <w:tr>
        <w:trPr>
          <w:trHeight w:val="257"/>
        </w:trPr>
        <w:tc>
          <w:tcPr>
            <w:tcW w:w="5820" w:type="dxa"/>
            <w:vAlign w:val="bottom"/>
            <w:tcBorders>
              <w:top w:val="single" w:sz="8" w:color="CCEEFF"/>
            </w:tcBorders>
            <w:shd w:val="clear" w:color="auto" w:fill="CCEEFF"/>
          </w:tcPr>
          <w:p>
            <w:pPr>
              <w:ind w:left="40"/>
              <w:spacing w:after="0"/>
              <w:rPr>
                <w:sz w:val="20"/>
                <w:szCs w:val="20"/>
                <w:color w:val="auto"/>
              </w:rPr>
            </w:pPr>
            <w:r>
              <w:rPr>
                <w:rFonts w:ascii="Arial" w:cs="Arial" w:eastAsia="Arial" w:hAnsi="Arial"/>
                <w:sz w:val="16"/>
                <w:szCs w:val="16"/>
                <w:b w:val="1"/>
                <w:bCs w:val="1"/>
                <w:color w:val="auto"/>
              </w:rPr>
              <w:t>Balance at December 31, 2018</w:t>
            </w:r>
          </w:p>
        </w:tc>
        <w:tc>
          <w:tcPr>
            <w:tcW w:w="140" w:type="dxa"/>
            <w:vAlign w:val="bottom"/>
            <w:tcBorders>
              <w:top w:val="single" w:sz="8" w:color="auto"/>
            </w:tcBorders>
            <w:shd w:val="clear" w:color="auto" w:fill="CCEEFF"/>
          </w:tcPr>
          <w:p>
            <w:pPr>
              <w:spacing w:after="0"/>
              <w:rPr>
                <w:sz w:val="22"/>
                <w:szCs w:val="22"/>
                <w:color w:val="auto"/>
              </w:rPr>
            </w:pPr>
          </w:p>
        </w:tc>
        <w:tc>
          <w:tcPr>
            <w:tcW w:w="820" w:type="dxa"/>
            <w:vAlign w:val="bottom"/>
            <w:tcBorders>
              <w:top w:val="single" w:sz="8" w:color="auto"/>
            </w:tcBorders>
            <w:shd w:val="clear" w:color="auto" w:fill="CCEEFF"/>
          </w:tcPr>
          <w:p>
            <w:pPr>
              <w:jc w:val="right"/>
              <w:ind w:right="40"/>
              <w:spacing w:after="0"/>
              <w:rPr>
                <w:sz w:val="20"/>
                <w:szCs w:val="20"/>
                <w:color w:val="auto"/>
              </w:rPr>
            </w:pPr>
            <w:r>
              <w:rPr>
                <w:rFonts w:ascii="Arial" w:cs="Arial" w:eastAsia="Arial" w:hAnsi="Arial"/>
                <w:sz w:val="16"/>
                <w:szCs w:val="16"/>
                <w:color w:val="auto"/>
              </w:rPr>
              <w:t>5</w:t>
            </w:r>
          </w:p>
        </w:tc>
        <w:tc>
          <w:tcPr>
            <w:tcW w:w="100" w:type="dxa"/>
            <w:vAlign w:val="bottom"/>
            <w:tcBorders>
              <w:top w:val="single" w:sz="8" w:color="CCEEFF"/>
            </w:tcBorders>
            <w:shd w:val="clear" w:color="auto" w:fill="CCEEFF"/>
          </w:tcPr>
          <w:p>
            <w:pPr>
              <w:spacing w:after="0"/>
              <w:rPr>
                <w:sz w:val="22"/>
                <w:szCs w:val="22"/>
                <w:color w:val="auto"/>
              </w:rPr>
            </w:pPr>
          </w:p>
        </w:tc>
        <w:tc>
          <w:tcPr>
            <w:tcW w:w="140" w:type="dxa"/>
            <w:vAlign w:val="bottom"/>
            <w:tcBorders>
              <w:top w:val="single" w:sz="8" w:color="auto"/>
            </w:tcBorders>
            <w:shd w:val="clear" w:color="auto" w:fill="CCEEFF"/>
          </w:tcPr>
          <w:p>
            <w:pPr>
              <w:spacing w:after="0"/>
              <w:rPr>
                <w:sz w:val="22"/>
                <w:szCs w:val="22"/>
                <w:color w:val="auto"/>
              </w:rPr>
            </w:pPr>
          </w:p>
        </w:tc>
        <w:tc>
          <w:tcPr>
            <w:tcW w:w="880" w:type="dxa"/>
            <w:vAlign w:val="bottom"/>
            <w:tcBorders>
              <w:top w:val="single" w:sz="8" w:color="auto"/>
            </w:tcBorders>
            <w:shd w:val="clear" w:color="auto" w:fill="CCEEFF"/>
          </w:tcPr>
          <w:p>
            <w:pPr>
              <w:jc w:val="right"/>
              <w:ind w:right="20"/>
              <w:spacing w:after="0"/>
              <w:rPr>
                <w:sz w:val="20"/>
                <w:szCs w:val="20"/>
                <w:color w:val="auto"/>
              </w:rPr>
            </w:pPr>
            <w:r>
              <w:rPr>
                <w:rFonts w:ascii="Arial" w:cs="Arial" w:eastAsia="Arial" w:hAnsi="Arial"/>
                <w:sz w:val="16"/>
                <w:szCs w:val="16"/>
                <w:color w:val="auto"/>
              </w:rPr>
              <w:t>4,964</w:t>
            </w:r>
          </w:p>
        </w:tc>
        <w:tc>
          <w:tcPr>
            <w:tcW w:w="120" w:type="dxa"/>
            <w:vAlign w:val="bottom"/>
            <w:tcBorders>
              <w:top w:val="single" w:sz="8" w:color="CCEEFF"/>
            </w:tcBorders>
            <w:shd w:val="clear" w:color="auto" w:fill="CCEEFF"/>
          </w:tcPr>
          <w:p>
            <w:pPr>
              <w:spacing w:after="0"/>
              <w:rPr>
                <w:sz w:val="22"/>
                <w:szCs w:val="22"/>
                <w:color w:val="auto"/>
              </w:rPr>
            </w:pPr>
          </w:p>
        </w:tc>
        <w:tc>
          <w:tcPr>
            <w:tcW w:w="120" w:type="dxa"/>
            <w:vAlign w:val="bottom"/>
            <w:tcBorders>
              <w:top w:val="single" w:sz="8" w:color="auto"/>
            </w:tcBorders>
            <w:shd w:val="clear" w:color="auto" w:fill="CCEEFF"/>
          </w:tcPr>
          <w:p>
            <w:pPr>
              <w:spacing w:after="0"/>
              <w:rPr>
                <w:sz w:val="22"/>
                <w:szCs w:val="22"/>
                <w:color w:val="auto"/>
              </w:rPr>
            </w:pPr>
          </w:p>
        </w:tc>
        <w:tc>
          <w:tcPr>
            <w:tcW w:w="12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(5,896)</w:t>
            </w:r>
          </w:p>
        </w:tc>
        <w:tc>
          <w:tcPr>
            <w:tcW w:w="100" w:type="dxa"/>
            <w:vAlign w:val="bottom"/>
            <w:tcBorders>
              <w:top w:val="single" w:sz="8" w:color="CCEEFF"/>
            </w:tcBorders>
            <w:shd w:val="clear" w:color="auto" w:fill="CCEEFF"/>
          </w:tcPr>
          <w:p>
            <w:pPr>
              <w:spacing w:after="0"/>
              <w:rPr>
                <w:sz w:val="22"/>
                <w:szCs w:val="22"/>
                <w:color w:val="auto"/>
              </w:rPr>
            </w:pPr>
          </w:p>
        </w:tc>
        <w:tc>
          <w:tcPr>
            <w:tcW w:w="160" w:type="dxa"/>
            <w:vAlign w:val="bottom"/>
            <w:tcBorders>
              <w:top w:val="single" w:sz="8" w:color="auto"/>
            </w:tcBorders>
            <w:shd w:val="clear" w:color="auto" w:fill="CCEEFF"/>
          </w:tcPr>
          <w:p>
            <w:pPr>
              <w:spacing w:after="0"/>
              <w:rPr>
                <w:sz w:val="22"/>
                <w:szCs w:val="22"/>
                <w:color w:val="auto"/>
              </w:rPr>
            </w:pPr>
          </w:p>
        </w:tc>
        <w:tc>
          <w:tcPr>
            <w:tcW w:w="880" w:type="dxa"/>
            <w:vAlign w:val="bottom"/>
            <w:tcBorders>
              <w:top w:val="single" w:sz="8" w:color="auto"/>
            </w:tcBorders>
            <w:shd w:val="clear" w:color="auto" w:fill="CCEEFF"/>
          </w:tcPr>
          <w:p>
            <w:pPr>
              <w:jc w:val="right"/>
              <w:ind w:right="40"/>
              <w:spacing w:after="0"/>
              <w:rPr>
                <w:sz w:val="20"/>
                <w:szCs w:val="20"/>
                <w:color w:val="auto"/>
              </w:rPr>
            </w:pPr>
            <w:r>
              <w:rPr>
                <w:rFonts w:ascii="Arial" w:cs="Arial" w:eastAsia="Arial" w:hAnsi="Arial"/>
                <w:sz w:val="16"/>
                <w:szCs w:val="16"/>
                <w:color w:val="auto"/>
              </w:rPr>
              <w:t>758</w:t>
            </w:r>
          </w:p>
        </w:tc>
        <w:tc>
          <w:tcPr>
            <w:tcW w:w="100" w:type="dxa"/>
            <w:vAlign w:val="bottom"/>
            <w:tcBorders>
              <w:top w:val="single" w:sz="8" w:color="CCEEFF"/>
            </w:tcBorders>
            <w:shd w:val="clear" w:color="auto" w:fill="CCEEFF"/>
          </w:tcPr>
          <w:p>
            <w:pPr>
              <w:spacing w:after="0"/>
              <w:rPr>
                <w:sz w:val="22"/>
                <w:szCs w:val="22"/>
                <w:color w:val="auto"/>
              </w:rPr>
            </w:pPr>
          </w:p>
        </w:tc>
        <w:tc>
          <w:tcPr>
            <w:tcW w:w="180" w:type="dxa"/>
            <w:vAlign w:val="bottom"/>
            <w:tcBorders>
              <w:top w:val="single" w:sz="8" w:color="auto"/>
            </w:tcBorders>
            <w:shd w:val="clear" w:color="auto" w:fill="CCEEFF"/>
          </w:tcPr>
          <w:p>
            <w:pPr>
              <w:spacing w:after="0"/>
              <w:rPr>
                <w:sz w:val="22"/>
                <w:szCs w:val="22"/>
                <w:color w:val="auto"/>
              </w:rPr>
            </w:pPr>
          </w:p>
        </w:tc>
        <w:tc>
          <w:tcPr>
            <w:tcW w:w="6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(169)</w:t>
            </w:r>
          </w:p>
        </w:tc>
      </w:tr>
      <w:tr>
        <w:trPr>
          <w:trHeight w:val="260"/>
        </w:trPr>
        <w:tc>
          <w:tcPr>
            <w:tcW w:w="5820" w:type="dxa"/>
            <w:vAlign w:val="bottom"/>
          </w:tcPr>
          <w:p>
            <w:pPr>
              <w:ind w:left="40"/>
              <w:spacing w:after="0"/>
              <w:rPr>
                <w:sz w:val="20"/>
                <w:szCs w:val="20"/>
                <w:color w:val="auto"/>
              </w:rPr>
            </w:pPr>
            <w:r>
              <w:rPr>
                <w:rFonts w:ascii="Arial" w:cs="Arial" w:eastAsia="Arial" w:hAnsi="Arial"/>
                <w:sz w:val="16"/>
                <w:szCs w:val="16"/>
                <w:color w:val="auto"/>
              </w:rPr>
              <w:t>Net income</w:t>
            </w:r>
          </w:p>
        </w:tc>
        <w:tc>
          <w:tcPr>
            <w:tcW w:w="140" w:type="dxa"/>
            <w:vAlign w:val="bottom"/>
          </w:tcPr>
          <w:p>
            <w:pPr>
              <w:spacing w:after="0"/>
              <w:rPr>
                <w:sz w:val="22"/>
                <w:szCs w:val="22"/>
                <w:color w:val="auto"/>
              </w:rPr>
            </w:pPr>
          </w:p>
        </w:tc>
        <w:tc>
          <w:tcPr>
            <w:tcW w:w="92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22"/>
                <w:szCs w:val="22"/>
                <w:color w:val="auto"/>
              </w:rPr>
            </w:pPr>
          </w:p>
        </w:tc>
        <w:tc>
          <w:tcPr>
            <w:tcW w:w="100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22"/>
                <w:szCs w:val="22"/>
                <w:color w:val="auto"/>
              </w:rPr>
            </w:pPr>
          </w:p>
        </w:tc>
        <w:tc>
          <w:tcPr>
            <w:tcW w:w="1340" w:type="dxa"/>
            <w:vAlign w:val="bottom"/>
            <w:gridSpan w:val="2"/>
          </w:tcPr>
          <w:p>
            <w:pPr>
              <w:jc w:val="right"/>
              <w:ind w:right="200"/>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22"/>
                <w:szCs w:val="22"/>
                <w:color w:val="auto"/>
              </w:rPr>
            </w:pPr>
          </w:p>
        </w:tc>
        <w:tc>
          <w:tcPr>
            <w:tcW w:w="880" w:type="dxa"/>
            <w:vAlign w:val="bottom"/>
          </w:tcPr>
          <w:p>
            <w:pPr>
              <w:jc w:val="right"/>
              <w:ind w:right="40"/>
              <w:spacing w:after="0"/>
              <w:rPr>
                <w:sz w:val="20"/>
                <w:szCs w:val="20"/>
                <w:color w:val="auto"/>
              </w:rPr>
            </w:pPr>
            <w:r>
              <w:rPr>
                <w:rFonts w:ascii="Arial" w:cs="Arial" w:eastAsia="Arial" w:hAnsi="Arial"/>
                <w:sz w:val="16"/>
                <w:szCs w:val="16"/>
                <w:color w:val="auto"/>
              </w:rPr>
              <w:t>1,686</w:t>
            </w:r>
          </w:p>
        </w:tc>
        <w:tc>
          <w:tcPr>
            <w:tcW w:w="10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620" w:type="dxa"/>
            <w:vAlign w:val="bottom"/>
          </w:tcPr>
          <w:p>
            <w:pPr>
              <w:jc w:val="right"/>
              <w:ind w:right="19"/>
              <w:spacing w:after="0"/>
              <w:rPr>
                <w:sz w:val="20"/>
                <w:szCs w:val="20"/>
                <w:color w:val="auto"/>
              </w:rPr>
            </w:pPr>
            <w:r>
              <w:rPr>
                <w:rFonts w:ascii="Arial" w:cs="Arial" w:eastAsia="Arial" w:hAnsi="Arial"/>
                <w:sz w:val="16"/>
                <w:szCs w:val="16"/>
                <w:color w:val="auto"/>
              </w:rPr>
              <w:t>1,686</w:t>
            </w:r>
          </w:p>
        </w:tc>
      </w:tr>
      <w:tr>
        <w:trPr>
          <w:trHeight w:val="280"/>
        </w:trPr>
        <w:tc>
          <w:tcPr>
            <w:tcW w:w="5820" w:type="dxa"/>
            <w:vAlign w:val="bottom"/>
            <w:shd w:val="clear" w:color="auto" w:fill="CCEEFF"/>
          </w:tcPr>
          <w:p>
            <w:pPr>
              <w:ind w:left="40"/>
              <w:spacing w:after="0"/>
              <w:rPr>
                <w:sz w:val="20"/>
                <w:szCs w:val="20"/>
                <w:color w:val="auto"/>
              </w:rPr>
            </w:pPr>
            <w:r>
              <w:rPr>
                <w:rFonts w:ascii="Arial" w:cs="Arial" w:eastAsia="Arial" w:hAnsi="Arial"/>
                <w:sz w:val="16"/>
                <w:szCs w:val="16"/>
                <w:color w:val="auto"/>
              </w:rPr>
              <w:t>Other comprehensive loss, net</w:t>
            </w:r>
          </w:p>
        </w:tc>
        <w:tc>
          <w:tcPr>
            <w:tcW w:w="140" w:type="dxa"/>
            <w:vAlign w:val="bottom"/>
            <w:shd w:val="clear" w:color="auto" w:fill="CCEEFF"/>
          </w:tcPr>
          <w:p>
            <w:pPr>
              <w:spacing w:after="0"/>
              <w:rPr>
                <w:sz w:val="24"/>
                <w:szCs w:val="24"/>
                <w:color w:val="auto"/>
              </w:rPr>
            </w:pPr>
          </w:p>
        </w:tc>
        <w:tc>
          <w:tcPr>
            <w:tcW w:w="920" w:type="dxa"/>
            <w:vAlign w:val="bottom"/>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140" w:type="dxa"/>
            <w:vAlign w:val="bottom"/>
            <w:shd w:val="clear" w:color="auto" w:fill="CCEEFF"/>
          </w:tcPr>
          <w:p>
            <w:pPr>
              <w:spacing w:after="0"/>
              <w:rPr>
                <w:sz w:val="24"/>
                <w:szCs w:val="24"/>
                <w:color w:val="auto"/>
              </w:rPr>
            </w:pPr>
          </w:p>
        </w:tc>
        <w:tc>
          <w:tcPr>
            <w:tcW w:w="1000" w:type="dxa"/>
            <w:vAlign w:val="bottom"/>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120" w:type="dxa"/>
            <w:vAlign w:val="bottom"/>
            <w:shd w:val="clear" w:color="auto" w:fill="CCEEFF"/>
          </w:tcPr>
          <w:p>
            <w:pPr>
              <w:spacing w:after="0"/>
              <w:rPr>
                <w:sz w:val="24"/>
                <w:szCs w:val="24"/>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(435)</w:t>
            </w:r>
          </w:p>
        </w:tc>
        <w:tc>
          <w:tcPr>
            <w:tcW w:w="10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980" w:type="dxa"/>
            <w:vAlign w:val="bottom"/>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180" w:type="dxa"/>
            <w:vAlign w:val="bottom"/>
            <w:shd w:val="clear" w:color="auto" w:fill="CCEEFF"/>
          </w:tcPr>
          <w:p>
            <w:pPr>
              <w:spacing w:after="0"/>
              <w:rPr>
                <w:sz w:val="24"/>
                <w:szCs w:val="24"/>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(435)</w:t>
            </w:r>
          </w:p>
        </w:tc>
      </w:tr>
      <w:tr>
        <w:trPr>
          <w:trHeight w:val="218"/>
        </w:trPr>
        <w:tc>
          <w:tcPr>
            <w:tcW w:w="5820" w:type="dxa"/>
            <w:vAlign w:val="bottom"/>
          </w:tcPr>
          <w:p>
            <w:pPr>
              <w:ind w:left="40"/>
              <w:spacing w:after="0"/>
              <w:rPr>
                <w:sz w:val="20"/>
                <w:szCs w:val="20"/>
                <w:color w:val="auto"/>
              </w:rPr>
            </w:pPr>
            <w:r>
              <w:rPr>
                <w:rFonts w:ascii="Arial" w:cs="Arial" w:eastAsia="Arial" w:hAnsi="Arial"/>
                <w:sz w:val="16"/>
                <w:szCs w:val="16"/>
                <w:color w:val="auto"/>
              </w:rPr>
              <w:t>Issuance of 1,682,202 shares of AAG common stock pursuant to</w:t>
            </w:r>
          </w:p>
        </w:tc>
        <w:tc>
          <w:tcPr>
            <w:tcW w:w="14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20" w:type="dxa"/>
            <w:vAlign w:val="bottom"/>
          </w:tcPr>
          <w:p>
            <w:pPr>
              <w:spacing w:after="0"/>
              <w:rPr>
                <w:sz w:val="18"/>
                <w:szCs w:val="18"/>
                <w:color w:val="auto"/>
              </w:rPr>
            </w:pPr>
          </w:p>
        </w:tc>
      </w:tr>
      <w:tr>
        <w:trPr>
          <w:trHeight w:val="204"/>
        </w:trPr>
        <w:tc>
          <w:tcPr>
            <w:tcW w:w="5820" w:type="dxa"/>
            <w:vAlign w:val="bottom"/>
          </w:tcPr>
          <w:p>
            <w:pPr>
              <w:ind w:left="200"/>
              <w:spacing w:after="0"/>
              <w:rPr>
                <w:sz w:val="20"/>
                <w:szCs w:val="20"/>
                <w:color w:val="auto"/>
              </w:rPr>
            </w:pPr>
            <w:r>
              <w:rPr>
                <w:rFonts w:ascii="Arial" w:cs="Arial" w:eastAsia="Arial" w:hAnsi="Arial"/>
                <w:sz w:val="16"/>
                <w:szCs w:val="16"/>
                <w:color w:val="auto"/>
              </w:rPr>
              <w:t>employee stock plans net of shares withheld for cash taxes</w:t>
            </w:r>
          </w:p>
        </w:tc>
        <w:tc>
          <w:tcPr>
            <w:tcW w:w="140" w:type="dxa"/>
            <w:vAlign w:val="bottom"/>
          </w:tcPr>
          <w:p>
            <w:pPr>
              <w:spacing w:after="0"/>
              <w:rPr>
                <w:sz w:val="17"/>
                <w:szCs w:val="17"/>
                <w:color w:val="auto"/>
              </w:rPr>
            </w:pPr>
          </w:p>
        </w:tc>
        <w:tc>
          <w:tcPr>
            <w:tcW w:w="92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17"/>
                <w:szCs w:val="17"/>
                <w:color w:val="auto"/>
              </w:rPr>
            </w:pPr>
          </w:p>
        </w:tc>
        <w:tc>
          <w:tcPr>
            <w:tcW w:w="880" w:type="dxa"/>
            <w:vAlign w:val="bottom"/>
          </w:tcPr>
          <w:p>
            <w:pPr>
              <w:jc w:val="right"/>
              <w:spacing w:after="0"/>
              <w:rPr>
                <w:sz w:val="20"/>
                <w:szCs w:val="20"/>
                <w:color w:val="auto"/>
              </w:rPr>
            </w:pPr>
            <w:r>
              <w:rPr>
                <w:rFonts w:ascii="Arial" w:cs="Arial" w:eastAsia="Arial" w:hAnsi="Arial"/>
                <w:sz w:val="16"/>
                <w:szCs w:val="16"/>
                <w:color w:val="auto"/>
              </w:rPr>
              <w:t>(25)</w:t>
            </w: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340" w:type="dxa"/>
            <w:vAlign w:val="bottom"/>
            <w:gridSpan w:val="2"/>
          </w:tcPr>
          <w:p>
            <w:pPr>
              <w:jc w:val="right"/>
              <w:ind w:right="200"/>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17"/>
                <w:szCs w:val="17"/>
                <w:color w:val="auto"/>
              </w:rPr>
            </w:pPr>
          </w:p>
        </w:tc>
        <w:tc>
          <w:tcPr>
            <w:tcW w:w="98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80" w:type="dxa"/>
            <w:vAlign w:val="bottom"/>
          </w:tcPr>
          <w:p>
            <w:pPr>
              <w:spacing w:after="0"/>
              <w:rPr>
                <w:sz w:val="17"/>
                <w:szCs w:val="17"/>
                <w:color w:val="auto"/>
              </w:rPr>
            </w:pPr>
          </w:p>
        </w:tc>
        <w:tc>
          <w:tcPr>
            <w:tcW w:w="620" w:type="dxa"/>
            <w:vAlign w:val="bottom"/>
          </w:tcPr>
          <w:p>
            <w:pPr>
              <w:jc w:val="right"/>
              <w:spacing w:after="0"/>
              <w:rPr>
                <w:sz w:val="20"/>
                <w:szCs w:val="20"/>
                <w:color w:val="auto"/>
              </w:rPr>
            </w:pPr>
            <w:r>
              <w:rPr>
                <w:rFonts w:ascii="Arial" w:cs="Arial" w:eastAsia="Arial" w:hAnsi="Arial"/>
                <w:sz w:val="16"/>
                <w:szCs w:val="16"/>
                <w:color w:val="auto"/>
              </w:rPr>
              <w:t>(25)</w:t>
            </w:r>
          </w:p>
        </w:tc>
      </w:tr>
      <w:tr>
        <w:trPr>
          <w:trHeight w:val="280"/>
        </w:trPr>
        <w:tc>
          <w:tcPr>
            <w:tcW w:w="5820" w:type="dxa"/>
            <w:vAlign w:val="bottom"/>
            <w:shd w:val="clear" w:color="auto" w:fill="CCEEFF"/>
          </w:tcPr>
          <w:p>
            <w:pPr>
              <w:ind w:left="40"/>
              <w:spacing w:after="0"/>
              <w:rPr>
                <w:sz w:val="20"/>
                <w:szCs w:val="20"/>
                <w:color w:val="auto"/>
              </w:rPr>
            </w:pPr>
            <w:r>
              <w:rPr>
                <w:rFonts w:ascii="Arial" w:cs="Arial" w:eastAsia="Arial" w:hAnsi="Arial"/>
                <w:sz w:val="16"/>
                <w:szCs w:val="16"/>
                <w:color w:val="auto"/>
              </w:rPr>
              <w:t>Purchase and retirement of 34,090,566 shares of AAG common stock</w:t>
            </w:r>
          </w:p>
        </w:tc>
        <w:tc>
          <w:tcPr>
            <w:tcW w:w="140" w:type="dxa"/>
            <w:vAlign w:val="bottom"/>
            <w:shd w:val="clear" w:color="auto" w:fill="CCEEFF"/>
          </w:tcPr>
          <w:p>
            <w:pPr>
              <w:spacing w:after="0"/>
              <w:rPr>
                <w:sz w:val="24"/>
                <w:szCs w:val="24"/>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w:t>
            </w:r>
          </w:p>
        </w:tc>
        <w:tc>
          <w:tcPr>
            <w:tcW w:w="10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(1,095)</w:t>
            </w:r>
          </w:p>
        </w:tc>
        <w:tc>
          <w:tcPr>
            <w:tcW w:w="12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340" w:type="dxa"/>
            <w:vAlign w:val="bottom"/>
            <w:gridSpan w:val="2"/>
            <w:shd w:val="clear" w:color="auto" w:fill="CCEEFF"/>
          </w:tcPr>
          <w:p>
            <w:pPr>
              <w:jc w:val="right"/>
              <w:ind w:right="200"/>
              <w:spacing w:after="0"/>
              <w:rPr>
                <w:sz w:val="20"/>
                <w:szCs w:val="20"/>
                <w:color w:val="auto"/>
              </w:rPr>
            </w:pPr>
            <w:r>
              <w:rPr>
                <w:rFonts w:ascii="Arial" w:cs="Arial" w:eastAsia="Arial" w:hAnsi="Arial"/>
                <w:sz w:val="16"/>
                <w:szCs w:val="16"/>
                <w:color w:val="auto"/>
              </w:rPr>
              <w:t>—</w:t>
            </w:r>
          </w:p>
        </w:tc>
        <w:tc>
          <w:tcPr>
            <w:tcW w:w="160" w:type="dxa"/>
            <w:vAlign w:val="bottom"/>
            <w:shd w:val="clear" w:color="auto" w:fill="CCEEFF"/>
          </w:tcPr>
          <w:p>
            <w:pPr>
              <w:spacing w:after="0"/>
              <w:rPr>
                <w:sz w:val="24"/>
                <w:szCs w:val="24"/>
                <w:color w:val="auto"/>
              </w:rPr>
            </w:pPr>
          </w:p>
        </w:tc>
        <w:tc>
          <w:tcPr>
            <w:tcW w:w="980" w:type="dxa"/>
            <w:vAlign w:val="bottom"/>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180" w:type="dxa"/>
            <w:vAlign w:val="bottom"/>
            <w:shd w:val="clear" w:color="auto" w:fill="CCEEFF"/>
          </w:tcPr>
          <w:p>
            <w:pPr>
              <w:spacing w:after="0"/>
              <w:rPr>
                <w:sz w:val="24"/>
                <w:szCs w:val="24"/>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(1,096)</w:t>
            </w:r>
          </w:p>
        </w:tc>
      </w:tr>
      <w:tr>
        <w:trPr>
          <w:trHeight w:val="260"/>
        </w:trPr>
        <w:tc>
          <w:tcPr>
            <w:tcW w:w="5820" w:type="dxa"/>
            <w:vAlign w:val="bottom"/>
          </w:tcPr>
          <w:p>
            <w:pPr>
              <w:ind w:left="40"/>
              <w:spacing w:after="0"/>
              <w:rPr>
                <w:sz w:val="20"/>
                <w:szCs w:val="20"/>
                <w:color w:val="auto"/>
              </w:rPr>
            </w:pPr>
            <w:r>
              <w:rPr>
                <w:rFonts w:ascii="Arial" w:cs="Arial" w:eastAsia="Arial" w:hAnsi="Arial"/>
                <w:sz w:val="16"/>
                <w:szCs w:val="16"/>
                <w:color w:val="auto"/>
              </w:rPr>
              <w:t>Dividends declared on AAG common stock ($0.40 per share)</w:t>
            </w:r>
          </w:p>
        </w:tc>
        <w:tc>
          <w:tcPr>
            <w:tcW w:w="140" w:type="dxa"/>
            <w:vAlign w:val="bottom"/>
          </w:tcPr>
          <w:p>
            <w:pPr>
              <w:spacing w:after="0"/>
              <w:rPr>
                <w:sz w:val="22"/>
                <w:szCs w:val="22"/>
                <w:color w:val="auto"/>
              </w:rPr>
            </w:pPr>
          </w:p>
        </w:tc>
        <w:tc>
          <w:tcPr>
            <w:tcW w:w="92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22"/>
                <w:szCs w:val="22"/>
                <w:color w:val="auto"/>
              </w:rPr>
            </w:pPr>
          </w:p>
        </w:tc>
        <w:tc>
          <w:tcPr>
            <w:tcW w:w="100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22"/>
                <w:szCs w:val="22"/>
                <w:color w:val="auto"/>
              </w:rPr>
            </w:pPr>
          </w:p>
        </w:tc>
        <w:tc>
          <w:tcPr>
            <w:tcW w:w="1340" w:type="dxa"/>
            <w:vAlign w:val="bottom"/>
            <w:gridSpan w:val="2"/>
          </w:tcPr>
          <w:p>
            <w:pPr>
              <w:jc w:val="right"/>
              <w:ind w:right="200"/>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22"/>
                <w:szCs w:val="22"/>
                <w:color w:val="auto"/>
              </w:rPr>
            </w:pPr>
          </w:p>
        </w:tc>
        <w:tc>
          <w:tcPr>
            <w:tcW w:w="880" w:type="dxa"/>
            <w:vAlign w:val="bottom"/>
          </w:tcPr>
          <w:p>
            <w:pPr>
              <w:jc w:val="right"/>
              <w:spacing w:after="0"/>
              <w:rPr>
                <w:sz w:val="20"/>
                <w:szCs w:val="20"/>
                <w:color w:val="auto"/>
              </w:rPr>
            </w:pPr>
            <w:r>
              <w:rPr>
                <w:rFonts w:ascii="Arial" w:cs="Arial" w:eastAsia="Arial" w:hAnsi="Arial"/>
                <w:sz w:val="16"/>
                <w:szCs w:val="16"/>
                <w:color w:val="auto"/>
              </w:rPr>
              <w:t>(180)</w:t>
            </w:r>
          </w:p>
        </w:tc>
        <w:tc>
          <w:tcPr>
            <w:tcW w:w="10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620" w:type="dxa"/>
            <w:vAlign w:val="bottom"/>
          </w:tcPr>
          <w:p>
            <w:pPr>
              <w:jc w:val="right"/>
              <w:spacing w:after="0"/>
              <w:rPr>
                <w:sz w:val="20"/>
                <w:szCs w:val="20"/>
                <w:color w:val="auto"/>
              </w:rPr>
            </w:pPr>
            <w:r>
              <w:rPr>
                <w:rFonts w:ascii="Arial" w:cs="Arial" w:eastAsia="Arial" w:hAnsi="Arial"/>
                <w:sz w:val="16"/>
                <w:szCs w:val="16"/>
                <w:color w:val="auto"/>
              </w:rPr>
              <w:t>(180)</w:t>
            </w:r>
          </w:p>
        </w:tc>
      </w:tr>
      <w:tr>
        <w:trPr>
          <w:trHeight w:val="280"/>
        </w:trPr>
        <w:tc>
          <w:tcPr>
            <w:tcW w:w="5820" w:type="dxa"/>
            <w:vAlign w:val="bottom"/>
            <w:shd w:val="clear" w:color="auto" w:fill="CCEEFF"/>
          </w:tcPr>
          <w:p>
            <w:pPr>
              <w:ind w:left="40"/>
              <w:spacing w:after="0"/>
              <w:rPr>
                <w:sz w:val="20"/>
                <w:szCs w:val="20"/>
                <w:color w:val="auto"/>
              </w:rPr>
            </w:pPr>
            <w:r>
              <w:rPr>
                <w:rFonts w:ascii="Arial" w:cs="Arial" w:eastAsia="Arial" w:hAnsi="Arial"/>
                <w:sz w:val="16"/>
                <w:szCs w:val="16"/>
                <w:color w:val="auto"/>
              </w:rPr>
              <w:t>Settlement of single-dip unsecured claims held in Disputed Claims Reserve</w:t>
            </w:r>
          </w:p>
        </w:tc>
        <w:tc>
          <w:tcPr>
            <w:tcW w:w="140" w:type="dxa"/>
            <w:vAlign w:val="bottom"/>
            <w:shd w:val="clear" w:color="auto" w:fill="CCEEFF"/>
          </w:tcPr>
          <w:p>
            <w:pPr>
              <w:spacing w:after="0"/>
              <w:rPr>
                <w:sz w:val="24"/>
                <w:szCs w:val="24"/>
                <w:color w:val="auto"/>
              </w:rPr>
            </w:pPr>
          </w:p>
        </w:tc>
        <w:tc>
          <w:tcPr>
            <w:tcW w:w="920" w:type="dxa"/>
            <w:vAlign w:val="bottom"/>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140" w:type="dxa"/>
            <w:vAlign w:val="bottom"/>
            <w:shd w:val="clear" w:color="auto" w:fill="CCEEFF"/>
          </w:tcPr>
          <w:p>
            <w:pPr>
              <w:spacing w:after="0"/>
              <w:rPr>
                <w:sz w:val="24"/>
                <w:szCs w:val="24"/>
                <w:color w:val="auto"/>
              </w:rPr>
            </w:pPr>
          </w:p>
        </w:tc>
        <w:tc>
          <w:tcPr>
            <w:tcW w:w="880" w:type="dxa"/>
            <w:vAlign w:val="bottom"/>
            <w:shd w:val="clear" w:color="auto" w:fill="CCEEFF"/>
          </w:tcPr>
          <w:p>
            <w:pPr>
              <w:jc w:val="right"/>
              <w:ind w:right="20"/>
              <w:spacing w:after="0"/>
              <w:rPr>
                <w:sz w:val="20"/>
                <w:szCs w:val="20"/>
                <w:color w:val="auto"/>
              </w:rPr>
            </w:pPr>
            <w:r>
              <w:rPr>
                <w:rFonts w:ascii="Arial" w:cs="Arial" w:eastAsia="Arial" w:hAnsi="Arial"/>
                <w:sz w:val="16"/>
                <w:szCs w:val="16"/>
                <w:color w:val="auto"/>
              </w:rPr>
              <w:t>7</w:t>
            </w:r>
          </w:p>
        </w:tc>
        <w:tc>
          <w:tcPr>
            <w:tcW w:w="12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340" w:type="dxa"/>
            <w:vAlign w:val="bottom"/>
            <w:gridSpan w:val="2"/>
            <w:shd w:val="clear" w:color="auto" w:fill="CCEEFF"/>
          </w:tcPr>
          <w:p>
            <w:pPr>
              <w:jc w:val="right"/>
              <w:ind w:right="200"/>
              <w:spacing w:after="0"/>
              <w:rPr>
                <w:sz w:val="20"/>
                <w:szCs w:val="20"/>
                <w:color w:val="auto"/>
              </w:rPr>
            </w:pPr>
            <w:r>
              <w:rPr>
                <w:rFonts w:ascii="Arial" w:cs="Arial" w:eastAsia="Arial" w:hAnsi="Arial"/>
                <w:sz w:val="16"/>
                <w:szCs w:val="16"/>
                <w:color w:val="auto"/>
              </w:rPr>
              <w:t>—</w:t>
            </w:r>
          </w:p>
        </w:tc>
        <w:tc>
          <w:tcPr>
            <w:tcW w:w="160" w:type="dxa"/>
            <w:vAlign w:val="bottom"/>
            <w:shd w:val="clear" w:color="auto" w:fill="CCEEFF"/>
          </w:tcPr>
          <w:p>
            <w:pPr>
              <w:spacing w:after="0"/>
              <w:rPr>
                <w:sz w:val="24"/>
                <w:szCs w:val="24"/>
                <w:color w:val="auto"/>
              </w:rPr>
            </w:pPr>
          </w:p>
        </w:tc>
        <w:tc>
          <w:tcPr>
            <w:tcW w:w="980" w:type="dxa"/>
            <w:vAlign w:val="bottom"/>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180" w:type="dxa"/>
            <w:vAlign w:val="bottom"/>
            <w:shd w:val="clear" w:color="auto" w:fill="CCEEFF"/>
          </w:tcPr>
          <w:p>
            <w:pPr>
              <w:spacing w:after="0"/>
              <w:rPr>
                <w:sz w:val="24"/>
                <w:szCs w:val="24"/>
                <w:color w:val="auto"/>
              </w:rPr>
            </w:pPr>
          </w:p>
        </w:tc>
        <w:tc>
          <w:tcPr>
            <w:tcW w:w="62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7</w:t>
            </w:r>
          </w:p>
        </w:tc>
      </w:tr>
      <w:tr>
        <w:trPr>
          <w:trHeight w:val="264"/>
        </w:trPr>
        <w:tc>
          <w:tcPr>
            <w:tcW w:w="5820" w:type="dxa"/>
            <w:vAlign w:val="bottom"/>
          </w:tcPr>
          <w:p>
            <w:pPr>
              <w:ind w:left="40"/>
              <w:spacing w:after="0"/>
              <w:rPr>
                <w:sz w:val="20"/>
                <w:szCs w:val="20"/>
                <w:color w:val="auto"/>
              </w:rPr>
            </w:pPr>
            <w:r>
              <w:rPr>
                <w:rFonts w:ascii="Arial" w:cs="Arial" w:eastAsia="Arial" w:hAnsi="Arial"/>
                <w:sz w:val="16"/>
                <w:szCs w:val="16"/>
                <w:color w:val="auto"/>
              </w:rPr>
              <w:t>Share-based compensation expense</w:t>
            </w:r>
          </w:p>
        </w:tc>
        <w:tc>
          <w:tcPr>
            <w:tcW w:w="140" w:type="dxa"/>
            <w:vAlign w:val="bottom"/>
          </w:tcPr>
          <w:p>
            <w:pPr>
              <w:spacing w:after="0"/>
              <w:rPr>
                <w:sz w:val="22"/>
                <w:szCs w:val="22"/>
                <w:color w:val="auto"/>
              </w:rPr>
            </w:pPr>
          </w:p>
        </w:tc>
        <w:tc>
          <w:tcPr>
            <w:tcW w:w="92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22"/>
                <w:szCs w:val="22"/>
                <w:color w:val="auto"/>
              </w:rPr>
            </w:pPr>
          </w:p>
        </w:tc>
        <w:tc>
          <w:tcPr>
            <w:tcW w:w="880" w:type="dxa"/>
            <w:vAlign w:val="bottom"/>
          </w:tcPr>
          <w:p>
            <w:pPr>
              <w:jc w:val="right"/>
              <w:ind w:right="20"/>
              <w:spacing w:after="0"/>
              <w:rPr>
                <w:sz w:val="20"/>
                <w:szCs w:val="20"/>
                <w:color w:val="auto"/>
              </w:rPr>
            </w:pPr>
            <w:r>
              <w:rPr>
                <w:rFonts w:ascii="Arial" w:cs="Arial" w:eastAsia="Arial" w:hAnsi="Arial"/>
                <w:sz w:val="16"/>
                <w:szCs w:val="16"/>
                <w:color w:val="auto"/>
              </w:rPr>
              <w:t>94</w:t>
            </w:r>
          </w:p>
        </w:tc>
        <w:tc>
          <w:tcPr>
            <w:tcW w:w="1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340" w:type="dxa"/>
            <w:vAlign w:val="bottom"/>
            <w:gridSpan w:val="2"/>
          </w:tcPr>
          <w:p>
            <w:pPr>
              <w:jc w:val="right"/>
              <w:ind w:right="200"/>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22"/>
                <w:szCs w:val="22"/>
                <w:color w:val="auto"/>
              </w:rPr>
            </w:pPr>
          </w:p>
        </w:tc>
        <w:tc>
          <w:tcPr>
            <w:tcW w:w="98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80" w:type="dxa"/>
            <w:vAlign w:val="bottom"/>
          </w:tcPr>
          <w:p>
            <w:pPr>
              <w:spacing w:after="0"/>
              <w:rPr>
                <w:sz w:val="22"/>
                <w:szCs w:val="22"/>
                <w:color w:val="auto"/>
              </w:rPr>
            </w:pPr>
          </w:p>
        </w:tc>
        <w:tc>
          <w:tcPr>
            <w:tcW w:w="620" w:type="dxa"/>
            <w:vAlign w:val="bottom"/>
          </w:tcPr>
          <w:p>
            <w:pPr>
              <w:jc w:val="right"/>
              <w:ind w:right="19"/>
              <w:spacing w:after="0"/>
              <w:rPr>
                <w:sz w:val="20"/>
                <w:szCs w:val="20"/>
                <w:color w:val="auto"/>
              </w:rPr>
            </w:pPr>
            <w:r>
              <w:rPr>
                <w:rFonts w:ascii="Arial" w:cs="Arial" w:eastAsia="Arial" w:hAnsi="Arial"/>
                <w:sz w:val="16"/>
                <w:szCs w:val="16"/>
                <w:color w:val="auto"/>
              </w:rPr>
              <w:t>94</w:t>
            </w:r>
          </w:p>
        </w:tc>
      </w:tr>
      <w:tr>
        <w:trPr>
          <w:trHeight w:val="237"/>
        </w:trPr>
        <w:tc>
          <w:tcPr>
            <w:tcW w:w="5820" w:type="dxa"/>
            <w:vAlign w:val="bottom"/>
            <w:tcBorders>
              <w:top w:val="single" w:sz="8" w:color="CCEEFF"/>
              <w:bottom w:val="single" w:sz="8" w:color="CCEEFF"/>
            </w:tcBorders>
            <w:shd w:val="clear" w:color="auto" w:fill="CCEEFF"/>
          </w:tcPr>
          <w:p>
            <w:pPr>
              <w:ind w:left="40"/>
              <w:spacing w:after="0"/>
              <w:rPr>
                <w:sz w:val="20"/>
                <w:szCs w:val="20"/>
                <w:color w:val="auto"/>
              </w:rPr>
            </w:pPr>
            <w:r>
              <w:rPr>
                <w:rFonts w:ascii="Arial" w:cs="Arial" w:eastAsia="Arial" w:hAnsi="Arial"/>
                <w:sz w:val="16"/>
                <w:szCs w:val="16"/>
                <w:b w:val="1"/>
                <w:bCs w:val="1"/>
                <w:color w:val="auto"/>
              </w:rPr>
              <w:t>Balance at December 31, 2019</w:t>
            </w: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820" w:type="dxa"/>
            <w:vAlign w:val="bottom"/>
            <w:tcBorders>
              <w:top w:val="single" w:sz="8" w:color="auto"/>
              <w:bottom w:val="single" w:sz="8" w:color="auto"/>
            </w:tcBorders>
            <w:shd w:val="clear" w:color="auto" w:fill="CCEEFF"/>
          </w:tcPr>
          <w:p>
            <w:pPr>
              <w:jc w:val="right"/>
              <w:ind w:right="40"/>
              <w:spacing w:after="0"/>
              <w:rPr>
                <w:sz w:val="20"/>
                <w:szCs w:val="20"/>
                <w:color w:val="auto"/>
              </w:rPr>
            </w:pPr>
            <w:r>
              <w:rPr>
                <w:rFonts w:ascii="Arial" w:cs="Arial" w:eastAsia="Arial" w:hAnsi="Arial"/>
                <w:sz w:val="16"/>
                <w:szCs w:val="16"/>
                <w:color w:val="auto"/>
              </w:rPr>
              <w:t>4</w:t>
            </w: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880" w:type="dxa"/>
            <w:vAlign w:val="bottom"/>
            <w:tcBorders>
              <w:top w:val="single" w:sz="8" w:color="auto"/>
              <w:bottom w:val="single" w:sz="8" w:color="auto"/>
            </w:tcBorders>
            <w:shd w:val="clear" w:color="auto" w:fill="CCEEFF"/>
          </w:tcPr>
          <w:p>
            <w:pPr>
              <w:jc w:val="right"/>
              <w:ind w:right="20"/>
              <w:spacing w:after="0"/>
              <w:rPr>
                <w:sz w:val="20"/>
                <w:szCs w:val="20"/>
                <w:color w:val="auto"/>
              </w:rPr>
            </w:pPr>
            <w:r>
              <w:rPr>
                <w:rFonts w:ascii="Arial" w:cs="Arial" w:eastAsia="Arial" w:hAnsi="Arial"/>
                <w:sz w:val="16"/>
                <w:szCs w:val="16"/>
                <w:color w:val="auto"/>
              </w:rPr>
              <w:t>3,945</w:t>
            </w:r>
          </w:p>
        </w:tc>
        <w:tc>
          <w:tcPr>
            <w:tcW w:w="120" w:type="dxa"/>
            <w:vAlign w:val="bottom"/>
            <w:tcBorders>
              <w:top w:val="single" w:sz="8" w:color="CCEEFF"/>
              <w:bottom w:val="single" w:sz="8" w:color="CCEEFF"/>
            </w:tcBorders>
            <w:shd w:val="clear" w:color="auto" w:fill="CCEEFF"/>
          </w:tcPr>
          <w:p>
            <w:pPr>
              <w:spacing w:after="0"/>
              <w:rPr>
                <w:sz w:val="20"/>
                <w:szCs w:val="20"/>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2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(6,331)</w:t>
            </w: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880" w:type="dxa"/>
            <w:vAlign w:val="bottom"/>
            <w:tcBorders>
              <w:top w:val="single" w:sz="8" w:color="auto"/>
              <w:bottom w:val="single" w:sz="8" w:color="auto"/>
            </w:tcBorders>
            <w:shd w:val="clear" w:color="auto" w:fill="CCEEFF"/>
          </w:tcPr>
          <w:p>
            <w:pPr>
              <w:jc w:val="right"/>
              <w:ind w:right="40"/>
              <w:spacing w:after="0"/>
              <w:rPr>
                <w:sz w:val="20"/>
                <w:szCs w:val="20"/>
                <w:color w:val="auto"/>
              </w:rPr>
            </w:pPr>
            <w:r>
              <w:rPr>
                <w:rFonts w:ascii="Arial" w:cs="Arial" w:eastAsia="Arial" w:hAnsi="Arial"/>
                <w:sz w:val="16"/>
                <w:szCs w:val="16"/>
                <w:color w:val="auto"/>
              </w:rPr>
              <w:t>2,264</w:t>
            </w: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6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(118)</w:t>
            </w:r>
          </w:p>
        </w:tc>
      </w:tr>
      <w:tr>
        <w:trPr>
          <w:trHeight w:val="20"/>
        </w:trPr>
        <w:tc>
          <w:tcPr>
            <w:tcW w:w="58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r>
    </w:tbl>
    <w:p>
      <w:pPr>
        <w:spacing w:after="0" w:line="56"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See accompanying notes to consolidated financial statements.</w:t>
      </w:r>
    </w:p>
    <w:p>
      <w:pPr>
        <w:spacing w:after="0" w:line="21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76</w:t>
      </w:r>
    </w:p>
    <w:p>
      <w:pPr>
        <w:sectPr>
          <w:pgSz w:w="11900" w:h="16838" w:orient="portrait"/>
          <w:cols w:equalWidth="0" w:num="1">
            <w:col w:w="11420"/>
          </w:cols>
          <w:pgMar w:left="240" w:top="554" w:right="239" w:bottom="1440" w:gutter="0" w:footer="0" w:header="0"/>
        </w:sectPr>
      </w:pPr>
    </w:p>
    <w:bookmarkStart w:id="76" w:name="page77"/>
    <w:bookmarkEnd w:id="76"/>
    <w:p>
      <w:pPr>
        <w:jc w:val="center"/>
        <w:spacing w:after="0"/>
        <w:rPr>
          <w:sz w:val="20"/>
          <w:szCs w:val="20"/>
          <w:color w:val="auto"/>
        </w:rPr>
      </w:pPr>
      <w:r>
        <w:rPr>
          <w:rFonts w:ascii="Arial" w:cs="Arial" w:eastAsia="Arial" w:hAnsi="Arial"/>
          <w:sz w:val="18"/>
          <w:szCs w:val="18"/>
          <w:b w:val="1"/>
          <w:bCs w:val="1"/>
          <w:color w:val="auto"/>
        </w:rPr>
        <w:t>NOTES TO CONSOLIDATED FINANCIAL STATEMENTS OF AMERICAN AIRLINES GROUP INC.</w:t>
      </w:r>
    </w:p>
    <w:p>
      <w:pPr>
        <w:spacing w:after="0" w:line="252" w:lineRule="exact"/>
        <w:rPr>
          <w:sz w:val="20"/>
          <w:szCs w:val="20"/>
          <w:color w:val="auto"/>
        </w:rPr>
      </w:pPr>
    </w:p>
    <w:p>
      <w:pPr>
        <w:ind w:left="260" w:hanging="252"/>
        <w:spacing w:after="0"/>
        <w:tabs>
          <w:tab w:leader="none" w:pos="260" w:val="left"/>
        </w:tabs>
        <w:numPr>
          <w:ilvl w:val="0"/>
          <w:numId w:val="30"/>
        </w:numPr>
        <w:rPr>
          <w:rFonts w:ascii="Arial" w:cs="Arial" w:eastAsia="Arial" w:hAnsi="Arial"/>
          <w:sz w:val="18"/>
          <w:szCs w:val="18"/>
          <w:b w:val="1"/>
          <w:bCs w:val="1"/>
          <w:color w:val="auto"/>
        </w:rPr>
      </w:pPr>
      <w:r>
        <w:rPr>
          <w:rFonts w:ascii="Arial" w:cs="Arial" w:eastAsia="Arial" w:hAnsi="Arial"/>
          <w:sz w:val="18"/>
          <w:szCs w:val="18"/>
          <w:b w:val="1"/>
          <w:bCs w:val="1"/>
          <w:color w:val="auto"/>
        </w:rPr>
        <w:t>Basis of Presentation and Summary of Significant Accounting Policies</w:t>
      </w:r>
    </w:p>
    <w:p>
      <w:pPr>
        <w:spacing w:after="0" w:line="90" w:lineRule="exact"/>
        <w:rPr>
          <w:rFonts w:ascii="Arial" w:cs="Arial" w:eastAsia="Arial" w:hAnsi="Arial"/>
          <w:sz w:val="18"/>
          <w:szCs w:val="18"/>
          <w:b w:val="1"/>
          <w:bCs w:val="1"/>
          <w:color w:val="auto"/>
        </w:rPr>
      </w:pPr>
    </w:p>
    <w:p>
      <w:pPr>
        <w:ind w:left="500" w:hanging="276"/>
        <w:spacing w:after="0"/>
        <w:tabs>
          <w:tab w:leader="none" w:pos="500" w:val="left"/>
        </w:tabs>
        <w:numPr>
          <w:ilvl w:val="1"/>
          <w:numId w:val="30"/>
        </w:numPr>
        <w:rPr>
          <w:rFonts w:ascii="Arial" w:cs="Arial" w:eastAsia="Arial" w:hAnsi="Arial"/>
          <w:sz w:val="18"/>
          <w:szCs w:val="18"/>
          <w:b w:val="1"/>
          <w:bCs w:val="1"/>
          <w:i w:val="1"/>
          <w:iCs w:val="1"/>
          <w:color w:val="auto"/>
        </w:rPr>
      </w:pPr>
      <w:r>
        <w:rPr>
          <w:rFonts w:ascii="Arial" w:cs="Arial" w:eastAsia="Arial" w:hAnsi="Arial"/>
          <w:sz w:val="18"/>
          <w:szCs w:val="18"/>
          <w:b w:val="1"/>
          <w:bCs w:val="1"/>
          <w:i w:val="1"/>
          <w:iCs w:val="1"/>
          <w:color w:val="auto"/>
        </w:rPr>
        <w:t>Basis of Presentation</w:t>
      </w:r>
    </w:p>
    <w:p>
      <w:pPr>
        <w:spacing w:after="0" w:line="112" w:lineRule="exact"/>
        <w:rPr>
          <w:sz w:val="20"/>
          <w:szCs w:val="20"/>
          <w:color w:val="auto"/>
        </w:rPr>
      </w:pPr>
    </w:p>
    <w:p>
      <w:pPr>
        <w:jc w:val="both"/>
        <w:ind w:firstLine="216"/>
        <w:spacing w:after="0" w:line="252" w:lineRule="auto"/>
        <w:rPr>
          <w:sz w:val="20"/>
          <w:szCs w:val="20"/>
          <w:color w:val="auto"/>
        </w:rPr>
      </w:pPr>
      <w:r>
        <w:rPr>
          <w:rFonts w:ascii="Arial" w:cs="Arial" w:eastAsia="Arial" w:hAnsi="Arial"/>
          <w:sz w:val="18"/>
          <w:szCs w:val="18"/>
          <w:color w:val="auto"/>
        </w:rPr>
        <w:t>American Airlines Group Inc. (we, us, our and similar terms, or AAG), a Delaware corporation, is a holding company whose primary business activity is the operation of a major network air carrier, providing scheduled air transportation for passengers and cargo through its mainline operating subsidiary, American Airlines, Inc. (American) and its wholly-owned regional airline subsidiaries, Envoy Aviation Group Inc., PSA Airlines, Inc. and Piedmont Airlines, Inc. that operate under the brand American Eagle. On December 9, 2013, a subsidiary of AMR Corporation (AMR) merged with and into US Airways Group, Inc. (US Airways Group), a Delaware corporation, which survived as a wholly-owned subsidiary of AAG, and AAG emerged from Chapter 11 (the Merger). Upon closing of the Merger and emergence from Chapter 11, AMR changed its name to American Airlines Group Inc. All significant intercompany transactions have been eliminated.</w:t>
      </w:r>
    </w:p>
    <w:p>
      <w:pPr>
        <w:spacing w:after="0" w:line="153" w:lineRule="exact"/>
        <w:rPr>
          <w:sz w:val="20"/>
          <w:szCs w:val="20"/>
          <w:color w:val="auto"/>
        </w:rPr>
      </w:pPr>
    </w:p>
    <w:p>
      <w:pPr>
        <w:jc w:val="both"/>
        <w:ind w:firstLine="216"/>
        <w:spacing w:after="0" w:line="253" w:lineRule="auto"/>
        <w:rPr>
          <w:sz w:val="20"/>
          <w:szCs w:val="20"/>
          <w:color w:val="auto"/>
        </w:rPr>
      </w:pPr>
      <w:r>
        <w:rPr>
          <w:rFonts w:ascii="Arial" w:cs="Arial" w:eastAsia="Arial" w:hAnsi="Arial"/>
          <w:sz w:val="18"/>
          <w:szCs w:val="18"/>
          <w:color w:val="auto"/>
        </w:rPr>
        <w:t>The preparation of financial statements in accordance with accounting principles generally accepted in the United States (GAAP) requires management to make certain estimates and assumptions that affect the reported amounts of assets and liabilities, revenues and expenses, and the disclosure of contingent assets and liabilities at the date of the financial statements. Actual results could differ from those estimates. The most significant areas of judgment relate to passenger revenue recognition, impairment of goodwill, impairment of long-lived and intangible assets, the loyalty program, as well as pension and retiree medical and other postretirement benefits.</w:t>
      </w:r>
    </w:p>
    <w:p>
      <w:pPr>
        <w:spacing w:after="0" w:line="211" w:lineRule="exact"/>
        <w:rPr>
          <w:sz w:val="20"/>
          <w:szCs w:val="20"/>
          <w:color w:val="auto"/>
        </w:rPr>
      </w:pPr>
    </w:p>
    <w:p>
      <w:pPr>
        <w:ind w:left="220"/>
        <w:spacing w:after="0"/>
        <w:rPr>
          <w:sz w:val="20"/>
          <w:szCs w:val="20"/>
          <w:color w:val="auto"/>
        </w:rPr>
      </w:pPr>
      <w:r>
        <w:rPr>
          <w:rFonts w:ascii="Arial" w:cs="Arial" w:eastAsia="Arial" w:hAnsi="Arial"/>
          <w:sz w:val="18"/>
          <w:szCs w:val="18"/>
          <w:b w:val="1"/>
          <w:bCs w:val="1"/>
          <w:i w:val="1"/>
          <w:iCs w:val="1"/>
          <w:color w:val="auto"/>
        </w:rPr>
        <w:t>(b) Recent Accounting Pronouncements</w:t>
      </w:r>
    </w:p>
    <w:p>
      <w:pPr>
        <w:spacing w:after="0" w:line="90" w:lineRule="exact"/>
        <w:rPr>
          <w:sz w:val="20"/>
          <w:szCs w:val="20"/>
          <w:color w:val="auto"/>
        </w:rPr>
      </w:pPr>
    </w:p>
    <w:p>
      <w:pPr>
        <w:ind w:left="220"/>
        <w:spacing w:after="0"/>
        <w:rPr>
          <w:sz w:val="20"/>
          <w:szCs w:val="20"/>
          <w:color w:val="auto"/>
        </w:rPr>
      </w:pPr>
      <w:r>
        <w:rPr>
          <w:rFonts w:ascii="Arial" w:cs="Arial" w:eastAsia="Arial" w:hAnsi="Arial"/>
          <w:sz w:val="18"/>
          <w:szCs w:val="18"/>
          <w:b w:val="1"/>
          <w:bCs w:val="1"/>
          <w:i w:val="1"/>
          <w:iCs w:val="1"/>
          <w:color w:val="auto"/>
        </w:rPr>
        <w:t>ASU 2016-02: Leases (Topic 842) (the New Lease Standard)</w:t>
      </w:r>
    </w:p>
    <w:p>
      <w:pPr>
        <w:spacing w:after="0" w:line="112" w:lineRule="exact"/>
        <w:rPr>
          <w:sz w:val="20"/>
          <w:szCs w:val="20"/>
          <w:color w:val="auto"/>
        </w:rPr>
      </w:pPr>
    </w:p>
    <w:p>
      <w:pPr>
        <w:jc w:val="both"/>
        <w:ind w:firstLine="216"/>
        <w:spacing w:after="0" w:line="256" w:lineRule="auto"/>
        <w:rPr>
          <w:sz w:val="20"/>
          <w:szCs w:val="20"/>
          <w:color w:val="auto"/>
        </w:rPr>
      </w:pPr>
      <w:r>
        <w:rPr>
          <w:rFonts w:ascii="Arial" w:cs="Arial" w:eastAsia="Arial" w:hAnsi="Arial"/>
          <w:sz w:val="18"/>
          <w:szCs w:val="18"/>
          <w:color w:val="auto"/>
        </w:rPr>
        <w:t>The New Lease Standard requires lessees to recognize a lease liability and a right-of-use (ROU) asset on the balance sheet for operating leases. Accounting for finance leases is substantially unchanged. The New Lease Standard is effective for fiscal years beginning after December 15, 2018, including interim periods within those fiscal years. Early adoption is permitted.</w:t>
      </w:r>
    </w:p>
    <w:p>
      <w:pPr>
        <w:spacing w:after="0" w:line="148" w:lineRule="exact"/>
        <w:rPr>
          <w:sz w:val="20"/>
          <w:szCs w:val="20"/>
          <w:color w:val="auto"/>
        </w:rPr>
      </w:pPr>
    </w:p>
    <w:p>
      <w:pPr>
        <w:jc w:val="both"/>
        <w:ind w:firstLine="216"/>
        <w:spacing w:after="0" w:line="254" w:lineRule="auto"/>
        <w:rPr>
          <w:sz w:val="20"/>
          <w:szCs w:val="20"/>
          <w:color w:val="auto"/>
        </w:rPr>
      </w:pPr>
      <w:r>
        <w:rPr>
          <w:rFonts w:ascii="Arial" w:cs="Arial" w:eastAsia="Arial" w:hAnsi="Arial"/>
          <w:sz w:val="18"/>
          <w:szCs w:val="18"/>
          <w:color w:val="auto"/>
        </w:rPr>
        <w:t>In the fourth quarter of 2018, we elected to early adopt the New Lease Standard as of January 1, 2018 using a modified retrospective transition, with the cumulative-effect adjustment to the opening balance of retained earnings as of the effective date (the effective date method). Under the effective date method, financial results reported in periods prior to 2018 are unchanged. We also elected the package of practical expedients, which among other things, does not require reassessment of lease classification.</w:t>
      </w:r>
    </w:p>
    <w:p>
      <w:pPr>
        <w:spacing w:after="0" w:line="150" w:lineRule="exact"/>
        <w:rPr>
          <w:sz w:val="20"/>
          <w:szCs w:val="20"/>
          <w:color w:val="auto"/>
        </w:rPr>
      </w:pPr>
    </w:p>
    <w:p>
      <w:pPr>
        <w:jc w:val="both"/>
        <w:ind w:right="20" w:firstLine="216"/>
        <w:spacing w:after="0" w:line="262" w:lineRule="auto"/>
        <w:rPr>
          <w:sz w:val="20"/>
          <w:szCs w:val="20"/>
          <w:color w:val="auto"/>
        </w:rPr>
      </w:pPr>
      <w:r>
        <w:rPr>
          <w:rFonts w:ascii="Arial" w:cs="Arial" w:eastAsia="Arial" w:hAnsi="Arial"/>
          <w:sz w:val="18"/>
          <w:szCs w:val="18"/>
          <w:color w:val="auto"/>
        </w:rPr>
        <w:t>The adoption of the New Lease Standard had a significant impact on our consolidated balance sheet due to the recognition of approximately $10 billion of lease liabilities with corresponding right-of-use assets for operating leases.</w:t>
      </w:r>
    </w:p>
    <w:p>
      <w:pPr>
        <w:spacing w:after="0" w:line="142" w:lineRule="exact"/>
        <w:rPr>
          <w:sz w:val="20"/>
          <w:szCs w:val="20"/>
          <w:color w:val="auto"/>
        </w:rPr>
      </w:pPr>
    </w:p>
    <w:p>
      <w:pPr>
        <w:jc w:val="both"/>
        <w:ind w:firstLine="216"/>
        <w:spacing w:after="0" w:line="253" w:lineRule="auto"/>
        <w:rPr>
          <w:sz w:val="20"/>
          <w:szCs w:val="20"/>
          <w:color w:val="auto"/>
        </w:rPr>
      </w:pPr>
      <w:r>
        <w:rPr>
          <w:rFonts w:ascii="Arial" w:cs="Arial" w:eastAsia="Arial" w:hAnsi="Arial"/>
          <w:sz w:val="18"/>
          <w:szCs w:val="18"/>
          <w:color w:val="auto"/>
        </w:rPr>
        <w:t>Additionally, we recognized a $ 197 million cumulative effect adjustment credit, net of tax, to retained earnings. The adjustment to retained earnings was driven principally by sale-leaseback transactions including the recognition of unamortized deferred aircraft sale-leaseback gains. Prior to the adoption of the New Lease Standard, gains on sale-leaseback transactions were generally deferred and recognized in the income statement over the lease term. Under the New Lease Standard, gains on sale-leaseback transactions (subject to adjustment for off-market terms) are recognized immediately.</w:t>
      </w:r>
    </w:p>
    <w:p>
      <w:pPr>
        <w:spacing w:after="0" w:line="211" w:lineRule="exact"/>
        <w:rPr>
          <w:sz w:val="20"/>
          <w:szCs w:val="20"/>
          <w:color w:val="auto"/>
        </w:rPr>
      </w:pPr>
    </w:p>
    <w:p>
      <w:pPr>
        <w:jc w:val="both"/>
        <w:ind w:firstLine="216"/>
        <w:spacing w:after="0" w:line="287" w:lineRule="auto"/>
        <w:rPr>
          <w:sz w:val="20"/>
          <w:szCs w:val="20"/>
          <w:color w:val="auto"/>
        </w:rPr>
      </w:pPr>
      <w:r>
        <w:rPr>
          <w:rFonts w:ascii="Arial" w:cs="Arial" w:eastAsia="Arial" w:hAnsi="Arial"/>
          <w:sz w:val="18"/>
          <w:szCs w:val="18"/>
          <w:b w:val="1"/>
          <w:bCs w:val="1"/>
          <w:i w:val="1"/>
          <w:iCs w:val="1"/>
          <w:color w:val="auto"/>
        </w:rPr>
        <w:t xml:space="preserve">ASU 2018-02: Income Statement </w:t>
      </w:r>
      <w:r>
        <w:rPr>
          <w:rFonts w:ascii="Arial" w:cs="Arial" w:eastAsia="Arial" w:hAnsi="Arial"/>
          <w:sz w:val="18"/>
          <w:szCs w:val="18"/>
          <w:b w:val="1"/>
          <w:bCs w:val="1"/>
          <w:color w:val="auto"/>
        </w:rPr>
        <w:t>–</w:t>
      </w:r>
      <w:r>
        <w:rPr>
          <w:rFonts w:ascii="Arial" w:cs="Arial" w:eastAsia="Arial" w:hAnsi="Arial"/>
          <w:sz w:val="18"/>
          <w:szCs w:val="18"/>
          <w:b w:val="1"/>
          <w:bCs w:val="1"/>
          <w:i w:val="1"/>
          <w:iCs w:val="1"/>
          <w:color w:val="auto"/>
        </w:rPr>
        <w:t xml:space="preserve"> Reporting Comprehensive Income (Topic 220): Reclassification of Certain Tax Effects from Accumulated Other Comprehensive Income</w:t>
      </w:r>
    </w:p>
    <w:p>
      <w:pPr>
        <w:spacing w:after="0" w:line="40" w:lineRule="exact"/>
        <w:rPr>
          <w:sz w:val="20"/>
          <w:szCs w:val="20"/>
          <w:color w:val="auto"/>
        </w:rPr>
      </w:pPr>
    </w:p>
    <w:p>
      <w:pPr>
        <w:jc w:val="both"/>
        <w:ind w:firstLine="243"/>
        <w:spacing w:after="0" w:line="251" w:lineRule="auto"/>
        <w:rPr>
          <w:sz w:val="20"/>
          <w:szCs w:val="20"/>
          <w:color w:val="auto"/>
        </w:rPr>
      </w:pPr>
      <w:r>
        <w:rPr>
          <w:rFonts w:ascii="Arial" w:cs="Arial" w:eastAsia="Arial" w:hAnsi="Arial"/>
          <w:sz w:val="18"/>
          <w:szCs w:val="18"/>
          <w:color w:val="auto"/>
        </w:rPr>
        <w:t>This ASU provides the option to reclassify stranded tax effects within accumulated other comprehensive income to retained earnings due to the U.S. federal corporate income tax rate change as a result of H.R. 1, the 2017 Tax Cuts and Jobs Act (the 2017 Tax Act). The amount of the reclassification is the difference between the amount initially charged or credited directly to other comprehensive income at the previous U.S. federal corporate income tax rate that remains in accumulated other comprehensive income and the amount that would have been charged or credited directly to other comprehensive income using the newly enacted U.S. federal corporate income tax rate, excluding the effect of any valuation allowance previously charged to income from continuing operations. This standard is effective for interim and annual reporting periods beginning after December 15, 2018. In the first quarter of 2019, we adopted this standard retrospectively as of December 22, 2017, the date the 2017 Tax Act was enacted, which resulted in the recast of prior reporting periods. As a result of the adoption, we reclassified $622 million of stranded tax effects principally related to our pension plans from accumulated other comprehensive loss to retained earnings.</w:t>
      </w:r>
    </w:p>
    <w:p>
      <w:pPr>
        <w:spacing w:after="0" w:line="21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77</w:t>
      </w:r>
    </w:p>
    <w:p>
      <w:pPr>
        <w:sectPr>
          <w:pgSz w:w="11900" w:h="16838" w:orient="portrait"/>
          <w:cols w:equalWidth="0" w:num="1">
            <w:col w:w="11420"/>
          </w:cols>
          <w:pgMar w:left="240" w:top="549" w:right="239" w:bottom="1440" w:gutter="0" w:footer="0" w:header="0"/>
        </w:sectPr>
      </w:pPr>
    </w:p>
    <w:bookmarkStart w:id="77" w:name="page78"/>
    <w:bookmarkEnd w:id="77"/>
    <w:p>
      <w:pPr>
        <w:jc w:val="center"/>
        <w:spacing w:after="0"/>
        <w:rPr>
          <w:sz w:val="20"/>
          <w:szCs w:val="20"/>
          <w:color w:val="auto"/>
        </w:rPr>
      </w:pPr>
      <w:r>
        <w:rPr>
          <w:rFonts w:ascii="Arial" w:cs="Arial" w:eastAsia="Arial" w:hAnsi="Arial"/>
          <w:sz w:val="18"/>
          <w:szCs w:val="18"/>
          <w:b w:val="1"/>
          <w:bCs w:val="1"/>
          <w:color w:val="auto"/>
        </w:rPr>
        <w:t>NOTES TO CONSOLIDATED FINANCIAL STATEMENTS OF AMERICAN AIRLINES GROUP INC.</w:t>
      </w:r>
    </w:p>
    <w:p>
      <w:pPr>
        <w:spacing w:after="0" w:line="200" w:lineRule="exact"/>
        <w:rPr>
          <w:sz w:val="20"/>
          <w:szCs w:val="20"/>
          <w:color w:val="auto"/>
        </w:rPr>
      </w:pPr>
    </w:p>
    <w:p>
      <w:pPr>
        <w:spacing w:after="0" w:line="268" w:lineRule="exact"/>
        <w:rPr>
          <w:sz w:val="20"/>
          <w:szCs w:val="20"/>
          <w:color w:val="auto"/>
        </w:rPr>
      </w:pPr>
    </w:p>
    <w:p>
      <w:pPr>
        <w:ind w:left="260"/>
        <w:spacing w:after="0"/>
        <w:rPr>
          <w:sz w:val="20"/>
          <w:szCs w:val="20"/>
          <w:color w:val="auto"/>
        </w:rPr>
      </w:pPr>
      <w:r>
        <w:rPr>
          <w:rFonts w:ascii="Arial" w:cs="Arial" w:eastAsia="Arial" w:hAnsi="Arial"/>
          <w:sz w:val="18"/>
          <w:szCs w:val="18"/>
          <w:b w:val="1"/>
          <w:bCs w:val="1"/>
          <w:i w:val="1"/>
          <w:iCs w:val="1"/>
          <w:color w:val="auto"/>
        </w:rPr>
        <w:t xml:space="preserve">ASU 2016-13: Financial Instruments </w:t>
      </w:r>
      <w:r>
        <w:rPr>
          <w:rFonts w:ascii="Arial" w:cs="Arial" w:eastAsia="Arial" w:hAnsi="Arial"/>
          <w:sz w:val="18"/>
          <w:szCs w:val="18"/>
          <w:b w:val="1"/>
          <w:bCs w:val="1"/>
          <w:color w:val="auto"/>
        </w:rPr>
        <w:t>–</w:t>
      </w:r>
      <w:r>
        <w:rPr>
          <w:rFonts w:ascii="Arial" w:cs="Arial" w:eastAsia="Arial" w:hAnsi="Arial"/>
          <w:sz w:val="18"/>
          <w:szCs w:val="18"/>
          <w:b w:val="1"/>
          <w:bCs w:val="1"/>
          <w:i w:val="1"/>
          <w:iCs w:val="1"/>
          <w:color w:val="auto"/>
        </w:rPr>
        <w:t xml:space="preserve"> Credit Losses (Topic 326)</w:t>
      </w:r>
    </w:p>
    <w:p>
      <w:pPr>
        <w:spacing w:after="0" w:line="112" w:lineRule="exact"/>
        <w:rPr>
          <w:sz w:val="20"/>
          <w:szCs w:val="20"/>
          <w:color w:val="auto"/>
        </w:rPr>
      </w:pPr>
    </w:p>
    <w:p>
      <w:pPr>
        <w:jc w:val="both"/>
        <w:ind w:firstLine="216"/>
        <w:spacing w:after="0" w:line="252" w:lineRule="auto"/>
        <w:rPr>
          <w:sz w:val="20"/>
          <w:szCs w:val="20"/>
          <w:color w:val="auto"/>
        </w:rPr>
      </w:pPr>
      <w:r>
        <w:rPr>
          <w:rFonts w:ascii="Arial" w:cs="Arial" w:eastAsia="Arial" w:hAnsi="Arial"/>
          <w:sz w:val="18"/>
          <w:szCs w:val="18"/>
          <w:color w:val="auto"/>
        </w:rPr>
        <w:t>This ASU requires the use of an expected loss model for certain types of financial instruments and requires consideration of a broader range of reasonable and supportable information to calculate credit loss estimates. For trade receivables, loans and held-to-maturity debt securities, an estimate of lifetime expected credit losses is required. For available-for-sale debt securities, an allowance for credit losses will be required rather than a reduction to the carrying value of the asset. This standard is effective for interim and annual reporting periods beginning after December 15, 2019. While we have not completed our evaluation of the impact of adoption of this standard, we do not expect it to have a material impact on our consolidated financial statements.</w:t>
      </w:r>
    </w:p>
    <w:p>
      <w:pPr>
        <w:spacing w:after="0" w:line="214" w:lineRule="exact"/>
        <w:rPr>
          <w:sz w:val="20"/>
          <w:szCs w:val="20"/>
          <w:color w:val="auto"/>
        </w:rPr>
      </w:pPr>
    </w:p>
    <w:p>
      <w:pPr>
        <w:ind w:left="220"/>
        <w:spacing w:after="0"/>
        <w:rPr>
          <w:sz w:val="20"/>
          <w:szCs w:val="20"/>
          <w:color w:val="auto"/>
        </w:rPr>
      </w:pPr>
      <w:r>
        <w:rPr>
          <w:rFonts w:ascii="Arial" w:cs="Arial" w:eastAsia="Arial" w:hAnsi="Arial"/>
          <w:sz w:val="18"/>
          <w:szCs w:val="18"/>
          <w:b w:val="1"/>
          <w:bCs w:val="1"/>
          <w:i w:val="1"/>
          <w:iCs w:val="1"/>
          <w:color w:val="auto"/>
        </w:rPr>
        <w:t>(c) Short-term Investments</w:t>
      </w:r>
    </w:p>
    <w:p>
      <w:pPr>
        <w:spacing w:after="0" w:line="112" w:lineRule="exact"/>
        <w:rPr>
          <w:sz w:val="20"/>
          <w:szCs w:val="20"/>
          <w:color w:val="auto"/>
        </w:rPr>
      </w:pPr>
    </w:p>
    <w:p>
      <w:pPr>
        <w:jc w:val="both"/>
        <w:ind w:firstLine="216"/>
        <w:spacing w:after="0" w:line="256" w:lineRule="auto"/>
        <w:rPr>
          <w:sz w:val="20"/>
          <w:szCs w:val="20"/>
          <w:color w:val="auto"/>
        </w:rPr>
      </w:pPr>
      <w:r>
        <w:rPr>
          <w:rFonts w:ascii="Arial" w:cs="Arial" w:eastAsia="Arial" w:hAnsi="Arial"/>
          <w:sz w:val="18"/>
          <w:szCs w:val="18"/>
          <w:color w:val="auto"/>
        </w:rPr>
        <w:t>Short-term investments are classified as available-for-sale and stated at fair value. Realized gains and losses are recorded in nonoperating expense on our consolidated statements of operations. Unrealized gains and losses are recorded in accumulated other comprehensive loss on our consolidated balance sheets.</w:t>
      </w:r>
    </w:p>
    <w:p>
      <w:pPr>
        <w:spacing w:after="0" w:line="207" w:lineRule="exact"/>
        <w:rPr>
          <w:sz w:val="20"/>
          <w:szCs w:val="20"/>
          <w:color w:val="auto"/>
        </w:rPr>
      </w:pPr>
    </w:p>
    <w:p>
      <w:pPr>
        <w:ind w:left="220"/>
        <w:spacing w:after="0"/>
        <w:rPr>
          <w:sz w:val="20"/>
          <w:szCs w:val="20"/>
          <w:color w:val="auto"/>
        </w:rPr>
      </w:pPr>
      <w:r>
        <w:rPr>
          <w:rFonts w:ascii="Arial" w:cs="Arial" w:eastAsia="Arial" w:hAnsi="Arial"/>
          <w:sz w:val="18"/>
          <w:szCs w:val="18"/>
          <w:b w:val="1"/>
          <w:bCs w:val="1"/>
          <w:i w:val="1"/>
          <w:iCs w:val="1"/>
          <w:color w:val="auto"/>
        </w:rPr>
        <w:t>(d) Restricted Cash and Short-term Investments</w:t>
      </w:r>
    </w:p>
    <w:p>
      <w:pPr>
        <w:spacing w:after="0" w:line="112" w:lineRule="exact"/>
        <w:rPr>
          <w:sz w:val="20"/>
          <w:szCs w:val="20"/>
          <w:color w:val="auto"/>
        </w:rPr>
      </w:pPr>
    </w:p>
    <w:p>
      <w:pPr>
        <w:ind w:left="220"/>
        <w:spacing w:after="0"/>
        <w:rPr>
          <w:sz w:val="20"/>
          <w:szCs w:val="20"/>
          <w:color w:val="auto"/>
        </w:rPr>
      </w:pPr>
      <w:r>
        <w:rPr>
          <w:rFonts w:ascii="Arial" w:cs="Arial" w:eastAsia="Arial" w:hAnsi="Arial"/>
          <w:sz w:val="18"/>
          <w:szCs w:val="18"/>
          <w:color w:val="auto"/>
        </w:rPr>
        <w:t>We have restricted cash and short-term investments related primarily to collateral held to support workers’ compensation obligations.</w:t>
      </w:r>
    </w:p>
    <w:p>
      <w:pPr>
        <w:spacing w:after="0" w:line="230" w:lineRule="exact"/>
        <w:rPr>
          <w:sz w:val="20"/>
          <w:szCs w:val="20"/>
          <w:color w:val="auto"/>
        </w:rPr>
      </w:pPr>
    </w:p>
    <w:p>
      <w:pPr>
        <w:ind w:left="220"/>
        <w:spacing w:after="0"/>
        <w:rPr>
          <w:sz w:val="20"/>
          <w:szCs w:val="20"/>
          <w:color w:val="auto"/>
        </w:rPr>
      </w:pPr>
      <w:r>
        <w:rPr>
          <w:rFonts w:ascii="Arial" w:cs="Arial" w:eastAsia="Arial" w:hAnsi="Arial"/>
          <w:sz w:val="18"/>
          <w:szCs w:val="18"/>
          <w:b w:val="1"/>
          <w:bCs w:val="1"/>
          <w:i w:val="1"/>
          <w:iCs w:val="1"/>
          <w:color w:val="auto"/>
        </w:rPr>
        <w:t>(e) Aircraft Fuel, Spare Parts and Supplies, Net</w:t>
      </w:r>
    </w:p>
    <w:p>
      <w:pPr>
        <w:spacing w:after="0" w:line="112" w:lineRule="exact"/>
        <w:rPr>
          <w:sz w:val="20"/>
          <w:szCs w:val="20"/>
          <w:color w:val="auto"/>
        </w:rPr>
      </w:pPr>
    </w:p>
    <w:p>
      <w:pPr>
        <w:jc w:val="both"/>
        <w:ind w:right="20" w:firstLine="216"/>
        <w:spacing w:after="0" w:line="262" w:lineRule="auto"/>
        <w:rPr>
          <w:sz w:val="20"/>
          <w:szCs w:val="20"/>
          <w:color w:val="auto"/>
        </w:rPr>
      </w:pPr>
      <w:r>
        <w:rPr>
          <w:rFonts w:ascii="Arial" w:cs="Arial" w:eastAsia="Arial" w:hAnsi="Arial"/>
          <w:sz w:val="18"/>
          <w:szCs w:val="18"/>
          <w:color w:val="auto"/>
        </w:rPr>
        <w:t>Aircraft fuel is recorded on a first-in, first-out basis. Spare parts and supplies are recorded at average costs less an allowance for obsolescence. These items are expensed when used.</w:t>
      </w:r>
    </w:p>
    <w:p>
      <w:pPr>
        <w:spacing w:after="0" w:line="201" w:lineRule="exact"/>
        <w:rPr>
          <w:sz w:val="20"/>
          <w:szCs w:val="20"/>
          <w:color w:val="auto"/>
        </w:rPr>
      </w:pPr>
    </w:p>
    <w:p>
      <w:pPr>
        <w:ind w:left="220"/>
        <w:spacing w:after="0"/>
        <w:rPr>
          <w:sz w:val="20"/>
          <w:szCs w:val="20"/>
          <w:color w:val="auto"/>
        </w:rPr>
      </w:pPr>
      <w:r>
        <w:rPr>
          <w:rFonts w:ascii="Arial" w:cs="Arial" w:eastAsia="Arial" w:hAnsi="Arial"/>
          <w:sz w:val="18"/>
          <w:szCs w:val="18"/>
          <w:b w:val="1"/>
          <w:bCs w:val="1"/>
          <w:i w:val="1"/>
          <w:iCs w:val="1"/>
          <w:color w:val="auto"/>
        </w:rPr>
        <w:t>(f) Operating Property and Equipment</w:t>
      </w:r>
    </w:p>
    <w:p>
      <w:pPr>
        <w:spacing w:after="0" w:line="112" w:lineRule="exact"/>
        <w:rPr>
          <w:sz w:val="20"/>
          <w:szCs w:val="20"/>
          <w:color w:val="auto"/>
        </w:rPr>
      </w:pPr>
    </w:p>
    <w:p>
      <w:pPr>
        <w:jc w:val="both"/>
        <w:ind w:firstLine="216"/>
        <w:spacing w:after="0" w:line="253" w:lineRule="auto"/>
        <w:rPr>
          <w:sz w:val="20"/>
          <w:szCs w:val="20"/>
          <w:color w:val="auto"/>
        </w:rPr>
      </w:pPr>
      <w:r>
        <w:rPr>
          <w:rFonts w:ascii="Arial" w:cs="Arial" w:eastAsia="Arial" w:hAnsi="Arial"/>
          <w:sz w:val="18"/>
          <w:szCs w:val="18"/>
          <w:color w:val="auto"/>
        </w:rPr>
        <w:t>Operating property and equipment is recorded at cost and depreciated or amortized to residual values over the asset’s estimated useful life or the lease term, whichever is less, using the straight-line method. Residual values for aircraft, engines and related rotable parts are generally 5% to 10% of original cost. Costs of major improvements that enhance the usefulness of the asset are capitalized and depreciated or amortized over the estimated useful life of the asset or the lease term, whichever is less. The estimated useful lives for the principal property and equipment classifications are as follows:</w:t>
      </w:r>
    </w:p>
    <w:p>
      <w:pPr>
        <w:spacing w:after="0" w:line="301"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9920" w:type="dxa"/>
            <w:vAlign w:val="bottom"/>
            <w:gridSpan w:val="3"/>
          </w:tcPr>
          <w:p>
            <w:pPr>
              <w:ind w:left="40"/>
              <w:spacing w:after="0"/>
              <w:rPr>
                <w:sz w:val="20"/>
                <w:szCs w:val="20"/>
                <w:color w:val="auto"/>
              </w:rPr>
            </w:pPr>
            <w:r>
              <w:rPr>
                <w:rFonts w:ascii="Arial" w:cs="Arial" w:eastAsia="Arial" w:hAnsi="Arial"/>
                <w:sz w:val="14"/>
                <w:szCs w:val="14"/>
                <w:b w:val="1"/>
                <w:bCs w:val="1"/>
                <w:color w:val="auto"/>
              </w:rPr>
              <w:t>Principal Property and Equipment Classification</w:t>
            </w:r>
          </w:p>
        </w:tc>
        <w:tc>
          <w:tcPr>
            <w:tcW w:w="1500" w:type="dxa"/>
            <w:vAlign w:val="bottom"/>
            <w:gridSpan w:val="3"/>
          </w:tcPr>
          <w:p>
            <w:pPr>
              <w:jc w:val="right"/>
              <w:ind w:right="20"/>
              <w:spacing w:after="0"/>
              <w:rPr>
                <w:sz w:val="20"/>
                <w:szCs w:val="20"/>
                <w:color w:val="auto"/>
              </w:rPr>
            </w:pPr>
            <w:r>
              <w:rPr>
                <w:rFonts w:ascii="Arial" w:cs="Arial" w:eastAsia="Arial" w:hAnsi="Arial"/>
                <w:sz w:val="14"/>
                <w:szCs w:val="14"/>
                <w:b w:val="1"/>
                <w:bCs w:val="1"/>
                <w:color w:val="auto"/>
              </w:rPr>
              <w:t>Estimated Useful Life</w:t>
            </w:r>
          </w:p>
        </w:tc>
      </w:tr>
      <w:tr>
        <w:trPr>
          <w:trHeight w:val="21"/>
        </w:trPr>
        <w:tc>
          <w:tcPr>
            <w:tcW w:w="40" w:type="dxa"/>
            <w:vAlign w:val="bottom"/>
          </w:tcPr>
          <w:p>
            <w:pPr>
              <w:spacing w:after="0" w:line="20" w:lineRule="exact"/>
              <w:rPr>
                <w:sz w:val="1"/>
                <w:szCs w:val="1"/>
                <w:color w:val="auto"/>
              </w:rPr>
            </w:pPr>
          </w:p>
        </w:tc>
        <w:tc>
          <w:tcPr>
            <w:tcW w:w="3280" w:type="dxa"/>
            <w:vAlign w:val="bottom"/>
            <w:tcBorders>
              <w:top w:val="single" w:sz="8" w:color="auto"/>
            </w:tcBorders>
          </w:tcPr>
          <w:p>
            <w:pPr>
              <w:spacing w:after="0" w:line="20" w:lineRule="exact"/>
              <w:rPr>
                <w:sz w:val="1"/>
                <w:szCs w:val="1"/>
                <w:color w:val="auto"/>
              </w:rPr>
            </w:pPr>
          </w:p>
        </w:tc>
        <w:tc>
          <w:tcPr>
            <w:tcW w:w="6600" w:type="dxa"/>
            <w:vAlign w:val="bottom"/>
          </w:tcPr>
          <w:p>
            <w:pPr>
              <w:spacing w:after="0" w:line="20" w:lineRule="exact"/>
              <w:rPr>
                <w:sz w:val="1"/>
                <w:szCs w:val="1"/>
                <w:color w:val="auto"/>
              </w:rPr>
            </w:pPr>
          </w:p>
        </w:tc>
        <w:tc>
          <w:tcPr>
            <w:tcW w:w="600" w:type="dxa"/>
            <w:vAlign w:val="bottom"/>
            <w:tcBorders>
              <w:top w:val="single" w:sz="8" w:color="auto"/>
            </w:tcBorders>
          </w:tcPr>
          <w:p>
            <w:pPr>
              <w:spacing w:after="0" w:line="20" w:lineRule="exact"/>
              <w:rPr>
                <w:sz w:val="1"/>
                <w:szCs w:val="1"/>
                <w:color w:val="auto"/>
              </w:rPr>
            </w:pPr>
          </w:p>
        </w:tc>
        <w:tc>
          <w:tcPr>
            <w:tcW w:w="880" w:type="dxa"/>
            <w:vAlign w:val="bottom"/>
            <w:tcBorders>
              <w:top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57"/>
        </w:trPr>
        <w:tc>
          <w:tcPr>
            <w:tcW w:w="9920" w:type="dxa"/>
            <w:vAlign w:val="bottom"/>
            <w:gridSpan w:val="3"/>
            <w:shd w:val="clear" w:color="auto" w:fill="CCEEFF"/>
          </w:tcPr>
          <w:p>
            <w:pPr>
              <w:ind w:left="40"/>
              <w:spacing w:after="0"/>
              <w:rPr>
                <w:sz w:val="20"/>
                <w:szCs w:val="20"/>
                <w:color w:val="auto"/>
              </w:rPr>
            </w:pPr>
            <w:r>
              <w:rPr>
                <w:rFonts w:ascii="Arial" w:cs="Arial" w:eastAsia="Arial" w:hAnsi="Arial"/>
                <w:sz w:val="18"/>
                <w:szCs w:val="18"/>
                <w:color w:val="auto"/>
              </w:rPr>
              <w:t>Aircraft, engines and related rotable parts</w:t>
            </w: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w:t>
            </w:r>
          </w:p>
        </w:tc>
        <w:tc>
          <w:tcPr>
            <w:tcW w:w="9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 30 years</w:t>
            </w:r>
          </w:p>
        </w:tc>
      </w:tr>
      <w:tr>
        <w:trPr>
          <w:trHeight w:val="250"/>
        </w:trPr>
        <w:tc>
          <w:tcPr>
            <w:tcW w:w="9920" w:type="dxa"/>
            <w:vAlign w:val="bottom"/>
            <w:gridSpan w:val="3"/>
          </w:tcPr>
          <w:p>
            <w:pPr>
              <w:ind w:left="40"/>
              <w:spacing w:after="0"/>
              <w:rPr>
                <w:sz w:val="20"/>
                <w:szCs w:val="20"/>
                <w:color w:val="auto"/>
              </w:rPr>
            </w:pPr>
            <w:r>
              <w:rPr>
                <w:rFonts w:ascii="Arial" w:cs="Arial" w:eastAsia="Arial" w:hAnsi="Arial"/>
                <w:sz w:val="18"/>
                <w:szCs w:val="18"/>
                <w:color w:val="auto"/>
              </w:rPr>
              <w:t>Buildings and improvements</w:t>
            </w:r>
          </w:p>
        </w:tc>
        <w:tc>
          <w:tcPr>
            <w:tcW w:w="600" w:type="dxa"/>
            <w:vAlign w:val="bottom"/>
          </w:tcPr>
          <w:p>
            <w:pPr>
              <w:jc w:val="right"/>
              <w:spacing w:after="0"/>
              <w:rPr>
                <w:sz w:val="20"/>
                <w:szCs w:val="20"/>
                <w:color w:val="auto"/>
              </w:rPr>
            </w:pPr>
            <w:r>
              <w:rPr>
                <w:rFonts w:ascii="Arial" w:cs="Arial" w:eastAsia="Arial" w:hAnsi="Arial"/>
                <w:sz w:val="18"/>
                <w:szCs w:val="18"/>
                <w:color w:val="auto"/>
              </w:rPr>
              <w:t>5</w:t>
            </w:r>
          </w:p>
        </w:tc>
        <w:tc>
          <w:tcPr>
            <w:tcW w:w="900" w:type="dxa"/>
            <w:vAlign w:val="bottom"/>
            <w:gridSpan w:val="2"/>
          </w:tcPr>
          <w:p>
            <w:pPr>
              <w:jc w:val="right"/>
              <w:ind w:right="20"/>
              <w:spacing w:after="0"/>
              <w:rPr>
                <w:sz w:val="20"/>
                <w:szCs w:val="20"/>
                <w:color w:val="auto"/>
              </w:rPr>
            </w:pPr>
            <w:r>
              <w:rPr>
                <w:rFonts w:ascii="Arial" w:cs="Arial" w:eastAsia="Arial" w:hAnsi="Arial"/>
                <w:sz w:val="18"/>
                <w:szCs w:val="18"/>
                <w:color w:val="auto"/>
              </w:rPr>
              <w:t>– 30 years</w:t>
            </w:r>
          </w:p>
        </w:tc>
      </w:tr>
      <w:tr>
        <w:trPr>
          <w:trHeight w:val="263"/>
        </w:trPr>
        <w:tc>
          <w:tcPr>
            <w:tcW w:w="9920" w:type="dxa"/>
            <w:vAlign w:val="bottom"/>
            <w:gridSpan w:val="3"/>
            <w:shd w:val="clear" w:color="auto" w:fill="CCEEFF"/>
          </w:tcPr>
          <w:p>
            <w:pPr>
              <w:ind w:left="40"/>
              <w:spacing w:after="0"/>
              <w:rPr>
                <w:sz w:val="20"/>
                <w:szCs w:val="20"/>
                <w:color w:val="auto"/>
              </w:rPr>
            </w:pPr>
            <w:r>
              <w:rPr>
                <w:rFonts w:ascii="Arial" w:cs="Arial" w:eastAsia="Arial" w:hAnsi="Arial"/>
                <w:sz w:val="18"/>
                <w:szCs w:val="18"/>
                <w:color w:val="auto"/>
              </w:rPr>
              <w:t>Furniture, fixtures and other equipment</w:t>
            </w: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w:t>
            </w:r>
          </w:p>
        </w:tc>
        <w:tc>
          <w:tcPr>
            <w:tcW w:w="9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 10 years</w:t>
            </w:r>
          </w:p>
        </w:tc>
      </w:tr>
      <w:tr>
        <w:trPr>
          <w:trHeight w:val="243"/>
        </w:trPr>
        <w:tc>
          <w:tcPr>
            <w:tcW w:w="9920" w:type="dxa"/>
            <w:vAlign w:val="bottom"/>
            <w:gridSpan w:val="3"/>
          </w:tcPr>
          <w:p>
            <w:pPr>
              <w:ind w:left="40"/>
              <w:spacing w:after="0"/>
              <w:rPr>
                <w:sz w:val="20"/>
                <w:szCs w:val="20"/>
                <w:color w:val="auto"/>
              </w:rPr>
            </w:pPr>
            <w:r>
              <w:rPr>
                <w:rFonts w:ascii="Arial" w:cs="Arial" w:eastAsia="Arial" w:hAnsi="Arial"/>
                <w:sz w:val="18"/>
                <w:szCs w:val="18"/>
                <w:color w:val="auto"/>
              </w:rPr>
              <w:t>Capitalized software</w:t>
            </w:r>
          </w:p>
        </w:tc>
        <w:tc>
          <w:tcPr>
            <w:tcW w:w="600" w:type="dxa"/>
            <w:vAlign w:val="bottom"/>
          </w:tcPr>
          <w:p>
            <w:pPr>
              <w:jc w:val="right"/>
              <w:spacing w:after="0"/>
              <w:rPr>
                <w:sz w:val="20"/>
                <w:szCs w:val="20"/>
                <w:color w:val="auto"/>
              </w:rPr>
            </w:pPr>
            <w:r>
              <w:rPr>
                <w:rFonts w:ascii="Arial" w:cs="Arial" w:eastAsia="Arial" w:hAnsi="Arial"/>
                <w:sz w:val="18"/>
                <w:szCs w:val="18"/>
                <w:color w:val="auto"/>
              </w:rPr>
              <w:t>5</w:t>
            </w:r>
          </w:p>
        </w:tc>
        <w:tc>
          <w:tcPr>
            <w:tcW w:w="900" w:type="dxa"/>
            <w:vAlign w:val="bottom"/>
            <w:gridSpan w:val="2"/>
          </w:tcPr>
          <w:p>
            <w:pPr>
              <w:jc w:val="right"/>
              <w:ind w:right="20"/>
              <w:spacing w:after="0"/>
              <w:rPr>
                <w:sz w:val="20"/>
                <w:szCs w:val="20"/>
                <w:color w:val="auto"/>
              </w:rPr>
            </w:pPr>
            <w:r>
              <w:rPr>
                <w:rFonts w:ascii="Arial" w:cs="Arial" w:eastAsia="Arial" w:hAnsi="Arial"/>
                <w:sz w:val="18"/>
                <w:szCs w:val="18"/>
                <w:color w:val="auto"/>
              </w:rPr>
              <w:t>– 10 years</w:t>
            </w:r>
          </w:p>
        </w:tc>
      </w:tr>
    </w:tbl>
    <w:p>
      <w:pPr>
        <w:spacing w:after="0" w:line="391" w:lineRule="exact"/>
        <w:rPr>
          <w:sz w:val="20"/>
          <w:szCs w:val="20"/>
          <w:color w:val="auto"/>
        </w:rPr>
      </w:pPr>
    </w:p>
    <w:p>
      <w:pPr>
        <w:jc w:val="both"/>
        <w:ind w:firstLine="216"/>
        <w:spacing w:after="0" w:line="253" w:lineRule="auto"/>
        <w:rPr>
          <w:sz w:val="20"/>
          <w:szCs w:val="20"/>
          <w:color w:val="auto"/>
        </w:rPr>
      </w:pPr>
      <w:r>
        <w:rPr>
          <w:rFonts w:ascii="Arial" w:cs="Arial" w:eastAsia="Arial" w:hAnsi="Arial"/>
          <w:sz w:val="18"/>
          <w:szCs w:val="18"/>
          <w:color w:val="auto"/>
        </w:rPr>
        <w:t>We assess impairment of operating property and equipment when events and circumstances indicate that the assets may be impaired. An asset or group of assets is considered impaired when the undiscounted cash flows estimated to be generated by the assets are less than the carrying amount of the assets and the net book value of the assets exceeds their estimated fair value. If such assets are considered to be impaired, the impairment to be recognized is measured by the amount by which the carrying amount of the assets exceeds the fair value of the assets. Assets to be disposed of are reported at the lower of the carrying amount or fair value less the cost to sell.</w:t>
      </w:r>
    </w:p>
    <w:p>
      <w:pPr>
        <w:spacing w:after="0" w:line="152" w:lineRule="exact"/>
        <w:rPr>
          <w:sz w:val="20"/>
          <w:szCs w:val="20"/>
          <w:color w:val="auto"/>
        </w:rPr>
      </w:pPr>
    </w:p>
    <w:p>
      <w:pPr>
        <w:jc w:val="both"/>
        <w:ind w:firstLine="216"/>
        <w:spacing w:after="0" w:line="262" w:lineRule="auto"/>
        <w:rPr>
          <w:sz w:val="20"/>
          <w:szCs w:val="20"/>
          <w:color w:val="auto"/>
        </w:rPr>
      </w:pPr>
      <w:r>
        <w:rPr>
          <w:rFonts w:ascii="Arial" w:cs="Arial" w:eastAsia="Arial" w:hAnsi="Arial"/>
          <w:sz w:val="18"/>
          <w:szCs w:val="18"/>
          <w:color w:val="auto"/>
        </w:rPr>
        <w:t>Total depreciation and amortization expense was $2.6 billion, $2.4 billion and $2.2 billion for the years ended December 31, 2019, 2018 and 2017, respectively.</w:t>
      </w:r>
    </w:p>
    <w:p>
      <w:pPr>
        <w:spacing w:after="0" w:line="201" w:lineRule="exact"/>
        <w:rPr>
          <w:sz w:val="20"/>
          <w:szCs w:val="20"/>
          <w:color w:val="auto"/>
        </w:rPr>
      </w:pPr>
    </w:p>
    <w:p>
      <w:pPr>
        <w:ind w:left="220"/>
        <w:spacing w:after="0"/>
        <w:rPr>
          <w:sz w:val="20"/>
          <w:szCs w:val="20"/>
          <w:color w:val="auto"/>
        </w:rPr>
      </w:pPr>
      <w:r>
        <w:rPr>
          <w:rFonts w:ascii="Arial" w:cs="Arial" w:eastAsia="Arial" w:hAnsi="Arial"/>
          <w:sz w:val="18"/>
          <w:szCs w:val="18"/>
          <w:b w:val="1"/>
          <w:bCs w:val="1"/>
          <w:i w:val="1"/>
          <w:iCs w:val="1"/>
          <w:color w:val="auto"/>
        </w:rPr>
        <w:t>(g) Leases</w:t>
      </w:r>
    </w:p>
    <w:p>
      <w:pPr>
        <w:spacing w:after="0" w:line="112" w:lineRule="exact"/>
        <w:rPr>
          <w:sz w:val="20"/>
          <w:szCs w:val="20"/>
          <w:color w:val="auto"/>
        </w:rPr>
      </w:pPr>
    </w:p>
    <w:p>
      <w:pPr>
        <w:jc w:val="both"/>
        <w:ind w:firstLine="216"/>
        <w:spacing w:after="0" w:line="254" w:lineRule="auto"/>
        <w:rPr>
          <w:sz w:val="20"/>
          <w:szCs w:val="20"/>
          <w:color w:val="auto"/>
        </w:rPr>
      </w:pPr>
      <w:r>
        <w:rPr>
          <w:rFonts w:ascii="Arial" w:cs="Arial" w:eastAsia="Arial" w:hAnsi="Arial"/>
          <w:sz w:val="18"/>
          <w:szCs w:val="18"/>
          <w:color w:val="auto"/>
        </w:rPr>
        <w:t>We determine if an arrangement is a lease at inception. Operating leases are included in operating lease right-of-use (ROU) assets, current operating lease liabilities and noncurrent operating lease liabilities in our consolidated balance sheet. Finance leases are included in property and equipment, current maturities of long-term debt and finance leases and long-term debt and finance leases, net of current maturities, in our consolidated balance sheets.</w:t>
      </w:r>
    </w:p>
    <w:p>
      <w:pPr>
        <w:spacing w:after="0" w:line="150" w:lineRule="exact"/>
        <w:rPr>
          <w:sz w:val="20"/>
          <w:szCs w:val="20"/>
          <w:color w:val="auto"/>
        </w:rPr>
      </w:pPr>
    </w:p>
    <w:p>
      <w:pPr>
        <w:jc w:val="both"/>
        <w:ind w:right="20" w:firstLine="216"/>
        <w:spacing w:after="0" w:line="256" w:lineRule="auto"/>
        <w:rPr>
          <w:sz w:val="20"/>
          <w:szCs w:val="20"/>
          <w:color w:val="auto"/>
        </w:rPr>
      </w:pPr>
      <w:r>
        <w:rPr>
          <w:rFonts w:ascii="Arial" w:cs="Arial" w:eastAsia="Arial" w:hAnsi="Arial"/>
          <w:sz w:val="18"/>
          <w:szCs w:val="18"/>
          <w:color w:val="auto"/>
        </w:rPr>
        <w:t>ROU assets represent our right to use an underlying asset for the lease term and lease liabilities represent our obligation to make lease payments arising from the lease. ROU assets and liabilities are recognized at the lease commencement date based on the estimated present value of lease payments over the lease term.</w:t>
      </w:r>
    </w:p>
    <w:p>
      <w:pPr>
        <w:sectPr>
          <w:pgSz w:w="11900" w:h="16838" w:orient="portrait"/>
          <w:cols w:equalWidth="0" w:num="1">
            <w:col w:w="11420"/>
          </w:cols>
          <w:pgMar w:left="240" w:top="549" w:right="239" w:bottom="1440" w:gutter="0" w:footer="0" w:header="0"/>
        </w:sectPr>
      </w:pPr>
    </w:p>
    <w:p>
      <w:pPr>
        <w:spacing w:after="0" w:line="202"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78</w:t>
      </w:r>
    </w:p>
    <w:p>
      <w:pPr>
        <w:sectPr>
          <w:pgSz w:w="11900" w:h="16838" w:orient="portrait"/>
          <w:cols w:equalWidth="0" w:num="1">
            <w:col w:w="11420"/>
          </w:cols>
          <w:pgMar w:left="240" w:top="549" w:right="239" w:bottom="1440" w:gutter="0" w:footer="0" w:header="0"/>
          <w:type w:val="continuous"/>
        </w:sectPr>
      </w:pPr>
    </w:p>
    <w:bookmarkStart w:id="78" w:name="page79"/>
    <w:bookmarkEnd w:id="78"/>
    <w:p>
      <w:pPr>
        <w:jc w:val="center"/>
        <w:spacing w:after="0"/>
        <w:rPr>
          <w:sz w:val="20"/>
          <w:szCs w:val="20"/>
          <w:color w:val="auto"/>
        </w:rPr>
      </w:pPr>
      <w:r>
        <w:rPr>
          <w:rFonts w:ascii="Arial" w:cs="Arial" w:eastAsia="Arial" w:hAnsi="Arial"/>
          <w:sz w:val="18"/>
          <w:szCs w:val="18"/>
          <w:b w:val="1"/>
          <w:bCs w:val="1"/>
          <w:color w:val="auto"/>
        </w:rPr>
        <w:t>NOTES TO CONSOLIDATED FINANCIAL STATEMENTS OF AMERICAN AIRLINES GROUP INC.</w:t>
      </w:r>
    </w:p>
    <w:p>
      <w:pPr>
        <w:spacing w:after="0" w:line="396" w:lineRule="exact"/>
        <w:rPr>
          <w:sz w:val="20"/>
          <w:szCs w:val="20"/>
          <w:color w:val="auto"/>
        </w:rPr>
      </w:pPr>
    </w:p>
    <w:p>
      <w:pPr>
        <w:jc w:val="both"/>
        <w:ind w:firstLine="216"/>
        <w:spacing w:after="0" w:line="264" w:lineRule="auto"/>
        <w:rPr>
          <w:sz w:val="20"/>
          <w:szCs w:val="20"/>
          <w:color w:val="auto"/>
        </w:rPr>
      </w:pPr>
      <w:r>
        <w:rPr>
          <w:rFonts w:ascii="Arial" w:cs="Arial" w:eastAsia="Arial" w:hAnsi="Arial"/>
          <w:sz w:val="18"/>
          <w:szCs w:val="18"/>
          <w:color w:val="auto"/>
        </w:rPr>
        <w:t>We use our estimated incremental borrowing rate, which is derived from information available at the lease commencement date, in determining the present value of lease payments. We give consideration to our recent debt issuances as well as publicly available data for instruments with similar characteristics when calculating our incremental borrowing rates.</w:t>
      </w:r>
    </w:p>
    <w:p>
      <w:pPr>
        <w:spacing w:after="0" w:line="141" w:lineRule="exact"/>
        <w:rPr>
          <w:sz w:val="20"/>
          <w:szCs w:val="20"/>
          <w:color w:val="auto"/>
        </w:rPr>
      </w:pPr>
    </w:p>
    <w:p>
      <w:pPr>
        <w:jc w:val="both"/>
        <w:ind w:firstLine="216"/>
        <w:spacing w:after="0" w:line="262" w:lineRule="auto"/>
        <w:rPr>
          <w:sz w:val="20"/>
          <w:szCs w:val="20"/>
          <w:color w:val="auto"/>
        </w:rPr>
      </w:pPr>
      <w:r>
        <w:rPr>
          <w:rFonts w:ascii="Arial" w:cs="Arial" w:eastAsia="Arial" w:hAnsi="Arial"/>
          <w:sz w:val="18"/>
          <w:szCs w:val="18"/>
          <w:color w:val="auto"/>
        </w:rPr>
        <w:t>Our lease term includes options to extend the lease when it is reasonably certain that we will exercise that option. Leases with a term of 12 months or less are not recorded on the balance sheet. Our lease agreements do not contain any residual value guarantees.</w:t>
      </w:r>
    </w:p>
    <w:p>
      <w:pPr>
        <w:spacing w:after="0" w:line="142" w:lineRule="exact"/>
        <w:rPr>
          <w:sz w:val="20"/>
          <w:szCs w:val="20"/>
          <w:color w:val="auto"/>
        </w:rPr>
      </w:pPr>
    </w:p>
    <w:p>
      <w:pPr>
        <w:jc w:val="both"/>
        <w:ind w:firstLine="216"/>
        <w:spacing w:after="0" w:line="252" w:lineRule="auto"/>
        <w:rPr>
          <w:sz w:val="20"/>
          <w:szCs w:val="20"/>
          <w:color w:val="auto"/>
        </w:rPr>
      </w:pPr>
      <w:r>
        <w:rPr>
          <w:rFonts w:ascii="Arial" w:cs="Arial" w:eastAsia="Arial" w:hAnsi="Arial"/>
          <w:sz w:val="18"/>
          <w:szCs w:val="18"/>
          <w:color w:val="auto"/>
        </w:rPr>
        <w:t>Under certain of our capacity purchase agreements with third-party regional carriers, we do not own the underlying aircraft. However, since we control the marketing, scheduling, ticketing, pricing and seat inventories of these aircraft and therefore control the asset, the aircraft is deemed to be leased for accounting purposes. For these capacity purchase agreements, we account for the lease and non-lease components separately. The lease component consists of the aircraft and the non-lease components consist of services, such as the crew and maintenance. We allocate the consideration in the capacity purchase agreements to the lease and non-lease components using their estimated relative standalone prices. See Note 12(b) for additional information on our capacity purchase agreements.</w:t>
      </w:r>
    </w:p>
    <w:p>
      <w:pPr>
        <w:spacing w:after="0" w:line="155" w:lineRule="exact"/>
        <w:rPr>
          <w:sz w:val="20"/>
          <w:szCs w:val="20"/>
          <w:color w:val="auto"/>
        </w:rPr>
      </w:pPr>
    </w:p>
    <w:p>
      <w:pPr>
        <w:ind w:left="220"/>
        <w:spacing w:after="0"/>
        <w:rPr>
          <w:sz w:val="20"/>
          <w:szCs w:val="20"/>
          <w:color w:val="auto"/>
        </w:rPr>
      </w:pPr>
      <w:r>
        <w:rPr>
          <w:rFonts w:ascii="Arial" w:cs="Arial" w:eastAsia="Arial" w:hAnsi="Arial"/>
          <w:sz w:val="18"/>
          <w:szCs w:val="18"/>
          <w:color w:val="auto"/>
        </w:rPr>
        <w:t>For real estate, we account for the lease and non-lease components as a single lease component.</w:t>
      </w:r>
    </w:p>
    <w:p>
      <w:pPr>
        <w:spacing w:after="0" w:line="230" w:lineRule="exact"/>
        <w:rPr>
          <w:sz w:val="20"/>
          <w:szCs w:val="20"/>
          <w:color w:val="auto"/>
        </w:rPr>
      </w:pPr>
    </w:p>
    <w:p>
      <w:pPr>
        <w:ind w:left="220"/>
        <w:spacing w:after="0"/>
        <w:rPr>
          <w:sz w:val="20"/>
          <w:szCs w:val="20"/>
          <w:color w:val="auto"/>
        </w:rPr>
      </w:pPr>
      <w:r>
        <w:rPr>
          <w:rFonts w:ascii="Arial" w:cs="Arial" w:eastAsia="Arial" w:hAnsi="Arial"/>
          <w:sz w:val="18"/>
          <w:szCs w:val="18"/>
          <w:b w:val="1"/>
          <w:bCs w:val="1"/>
          <w:i w:val="1"/>
          <w:iCs w:val="1"/>
          <w:color w:val="auto"/>
        </w:rPr>
        <w:t>(h) Income Taxes</w:t>
      </w:r>
    </w:p>
    <w:p>
      <w:pPr>
        <w:spacing w:after="0" w:line="112" w:lineRule="exact"/>
        <w:rPr>
          <w:sz w:val="20"/>
          <w:szCs w:val="20"/>
          <w:color w:val="auto"/>
        </w:rPr>
      </w:pPr>
    </w:p>
    <w:p>
      <w:pPr>
        <w:jc w:val="both"/>
        <w:ind w:firstLine="216"/>
        <w:spacing w:after="0" w:line="254" w:lineRule="auto"/>
        <w:rPr>
          <w:sz w:val="20"/>
          <w:szCs w:val="20"/>
          <w:color w:val="auto"/>
        </w:rPr>
      </w:pPr>
      <w:r>
        <w:rPr>
          <w:rFonts w:ascii="Arial" w:cs="Arial" w:eastAsia="Arial" w:hAnsi="Arial"/>
          <w:sz w:val="18"/>
          <w:szCs w:val="18"/>
          <w:color w:val="auto"/>
        </w:rPr>
        <w:t>Income taxes are accounted for under the asset and liability method. Deferred tax assets and liabilities are recognized for the future tax consequences attributable to differences between the financial statement carrying amounts of existing assets and liabilities and their respective tax bases and operating loss and tax credit carryforwards. Deferred tax assets and liabilities are recorded net as noncurrent deferred income taxes.</w:t>
      </w:r>
    </w:p>
    <w:p>
      <w:pPr>
        <w:spacing w:after="0" w:line="150" w:lineRule="exact"/>
        <w:rPr>
          <w:sz w:val="20"/>
          <w:szCs w:val="20"/>
          <w:color w:val="auto"/>
        </w:rPr>
      </w:pPr>
    </w:p>
    <w:p>
      <w:pPr>
        <w:jc w:val="both"/>
        <w:ind w:firstLine="216"/>
        <w:spacing w:after="0" w:line="253" w:lineRule="auto"/>
        <w:rPr>
          <w:sz w:val="20"/>
          <w:szCs w:val="20"/>
          <w:color w:val="auto"/>
        </w:rPr>
      </w:pPr>
      <w:r>
        <w:rPr>
          <w:rFonts w:ascii="Arial" w:cs="Arial" w:eastAsia="Arial" w:hAnsi="Arial"/>
          <w:sz w:val="18"/>
          <w:szCs w:val="18"/>
          <w:color w:val="auto"/>
        </w:rPr>
        <w:t>We provide a valuation allowance for our deferred tax assets when it is more likely than not that some portion, or all of our deferred tax assets, will not be realized. The ultimate realization of deferred tax assets is dependent upon the generation of future taxable income. We consider all available positive and negative evidence and make certain assumptions in evaluating the realizability of our deferred tax assets. Many factors are considered that impact our assessment of future profitability, including conditions which are beyond our control, such as the health of the economy, the availability and price volatility of aircraft fuel and travel demand.</w:t>
      </w:r>
    </w:p>
    <w:p>
      <w:pPr>
        <w:spacing w:after="0" w:line="211" w:lineRule="exact"/>
        <w:rPr>
          <w:sz w:val="20"/>
          <w:szCs w:val="20"/>
          <w:color w:val="auto"/>
        </w:rPr>
      </w:pPr>
    </w:p>
    <w:p>
      <w:pPr>
        <w:ind w:left="220"/>
        <w:spacing w:after="0"/>
        <w:rPr>
          <w:sz w:val="20"/>
          <w:szCs w:val="20"/>
          <w:color w:val="auto"/>
        </w:rPr>
      </w:pPr>
      <w:r>
        <w:rPr>
          <w:rFonts w:ascii="Arial" w:cs="Arial" w:eastAsia="Arial" w:hAnsi="Arial"/>
          <w:sz w:val="18"/>
          <w:szCs w:val="18"/>
          <w:b w:val="1"/>
          <w:bCs w:val="1"/>
          <w:i w:val="1"/>
          <w:iCs w:val="1"/>
          <w:color w:val="auto"/>
        </w:rPr>
        <w:t>(i) Goodwill</w:t>
      </w:r>
    </w:p>
    <w:p>
      <w:pPr>
        <w:spacing w:after="0" w:line="112" w:lineRule="exact"/>
        <w:rPr>
          <w:sz w:val="20"/>
          <w:szCs w:val="20"/>
          <w:color w:val="auto"/>
        </w:rPr>
      </w:pPr>
    </w:p>
    <w:p>
      <w:pPr>
        <w:jc w:val="both"/>
        <w:ind w:right="20" w:firstLine="216"/>
        <w:spacing w:after="0" w:line="256" w:lineRule="auto"/>
        <w:rPr>
          <w:sz w:val="20"/>
          <w:szCs w:val="20"/>
          <w:color w:val="auto"/>
        </w:rPr>
      </w:pPr>
      <w:r>
        <w:rPr>
          <w:rFonts w:ascii="Arial" w:cs="Arial" w:eastAsia="Arial" w:hAnsi="Arial"/>
          <w:sz w:val="18"/>
          <w:szCs w:val="18"/>
          <w:color w:val="auto"/>
        </w:rPr>
        <w:t>Goodwill represents the excess of the purchase price over the fair value of the net assets acquired and liabilities assumed. Goodwill is not amortized but assessed for impairment annually on October 1 or more frequently if events or circumstances indicate that goodwill may be impaired. We have one consolidated reporting unit.</w:t>
      </w:r>
    </w:p>
    <w:p>
      <w:pPr>
        <w:spacing w:after="0" w:line="148" w:lineRule="exact"/>
        <w:rPr>
          <w:sz w:val="20"/>
          <w:szCs w:val="20"/>
          <w:color w:val="auto"/>
        </w:rPr>
      </w:pPr>
    </w:p>
    <w:p>
      <w:pPr>
        <w:jc w:val="both"/>
        <w:ind w:firstLine="216"/>
        <w:spacing w:after="0" w:line="253" w:lineRule="auto"/>
        <w:rPr>
          <w:sz w:val="20"/>
          <w:szCs w:val="20"/>
          <w:color w:val="auto"/>
        </w:rPr>
      </w:pPr>
      <w:r>
        <w:rPr>
          <w:rFonts w:ascii="Arial" w:cs="Arial" w:eastAsia="Arial" w:hAnsi="Arial"/>
          <w:sz w:val="18"/>
          <w:szCs w:val="18"/>
          <w:color w:val="auto"/>
        </w:rPr>
        <w:t>Goodwill is assessed for impairment by initially performing a qualitative assessment and, if necessary, then comparing the fair value of the reporting unit to its carrying value, including goodwill. If the fair value of the reporting unit is less than the carrying value, a second step is performed to determine the implied fair value of goodwill. If the implied fair value of goodwill is lower than its carrying value, an impairment charge equal to the difference is recorded. Based upon our annual assessment, there was no goodwill impairment in 2019. The carrying value of the goodwill on our consolidated balance sheets was $4.1 billion as of December 31, 2019 and 2018.</w:t>
      </w:r>
    </w:p>
    <w:p>
      <w:pPr>
        <w:spacing w:after="0" w:line="211" w:lineRule="exact"/>
        <w:rPr>
          <w:sz w:val="20"/>
          <w:szCs w:val="20"/>
          <w:color w:val="auto"/>
        </w:rPr>
      </w:pPr>
    </w:p>
    <w:p>
      <w:pPr>
        <w:ind w:left="220"/>
        <w:spacing w:after="0"/>
        <w:rPr>
          <w:sz w:val="20"/>
          <w:szCs w:val="20"/>
          <w:color w:val="auto"/>
        </w:rPr>
      </w:pPr>
      <w:r>
        <w:rPr>
          <w:rFonts w:ascii="Arial" w:cs="Arial" w:eastAsia="Arial" w:hAnsi="Arial"/>
          <w:sz w:val="18"/>
          <w:szCs w:val="18"/>
          <w:b w:val="1"/>
          <w:bCs w:val="1"/>
          <w:i w:val="1"/>
          <w:iCs w:val="1"/>
          <w:color w:val="auto"/>
        </w:rPr>
        <w:t>(j) Other Intangibles, Net</w:t>
      </w:r>
    </w:p>
    <w:p>
      <w:pPr>
        <w:spacing w:after="0" w:line="112" w:lineRule="exact"/>
        <w:rPr>
          <w:sz w:val="20"/>
          <w:szCs w:val="20"/>
          <w:color w:val="auto"/>
        </w:rPr>
      </w:pPr>
    </w:p>
    <w:p>
      <w:pPr>
        <w:jc w:val="both"/>
        <w:ind w:firstLine="216"/>
        <w:spacing w:after="0" w:line="262" w:lineRule="auto"/>
        <w:rPr>
          <w:sz w:val="20"/>
          <w:szCs w:val="20"/>
          <w:color w:val="auto"/>
        </w:rPr>
      </w:pPr>
      <w:r>
        <w:rPr>
          <w:rFonts w:ascii="Arial" w:cs="Arial" w:eastAsia="Arial" w:hAnsi="Arial"/>
          <w:sz w:val="18"/>
          <w:szCs w:val="18"/>
          <w:color w:val="auto"/>
        </w:rPr>
        <w:t>Intangible assets consist primarily of domestic airport slots, customer relationships, marketing agreements, international slots and route authorities, airport gate leasehold rights and tradenames.</w:t>
      </w:r>
    </w:p>
    <w:p>
      <w:pPr>
        <w:spacing w:after="0" w:line="205" w:lineRule="exact"/>
        <w:rPr>
          <w:sz w:val="20"/>
          <w:szCs w:val="20"/>
          <w:color w:val="auto"/>
        </w:rPr>
      </w:pPr>
    </w:p>
    <w:p>
      <w:pPr>
        <w:ind w:left="220"/>
        <w:spacing w:after="0"/>
        <w:rPr>
          <w:sz w:val="20"/>
          <w:szCs w:val="20"/>
          <w:color w:val="auto"/>
        </w:rPr>
      </w:pPr>
      <w:r>
        <w:rPr>
          <w:rFonts w:ascii="Arial" w:cs="Arial" w:eastAsia="Arial" w:hAnsi="Arial"/>
          <w:sz w:val="18"/>
          <w:szCs w:val="18"/>
          <w:i w:val="1"/>
          <w:iCs w:val="1"/>
          <w:u w:val="single" w:color="auto"/>
          <w:color w:val="auto"/>
        </w:rPr>
        <w:t>Definite-Lived Intangible Assets</w:t>
      </w:r>
    </w:p>
    <w:p>
      <w:pPr>
        <w:spacing w:after="0" w:line="108" w:lineRule="exact"/>
        <w:rPr>
          <w:sz w:val="20"/>
          <w:szCs w:val="20"/>
          <w:color w:val="auto"/>
        </w:rPr>
      </w:pPr>
    </w:p>
    <w:p>
      <w:pPr>
        <w:jc w:val="both"/>
        <w:ind w:firstLine="216"/>
        <w:spacing w:after="0" w:line="262" w:lineRule="auto"/>
        <w:rPr>
          <w:sz w:val="20"/>
          <w:szCs w:val="20"/>
          <w:color w:val="auto"/>
        </w:rPr>
      </w:pPr>
      <w:r>
        <w:rPr>
          <w:rFonts w:ascii="Arial" w:cs="Arial" w:eastAsia="Arial" w:hAnsi="Arial"/>
          <w:sz w:val="18"/>
          <w:szCs w:val="18"/>
          <w:color w:val="auto"/>
        </w:rPr>
        <w:t>Definite-lived intangible assets are amortized over their respective estimated useful lives and reviewed for impairment whenever events or changes in circumstances indicate that the carrying value may not be recoverable.</w:t>
      </w:r>
    </w:p>
    <w:p>
      <w:pPr>
        <w:spacing w:after="0" w:line="19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79</w:t>
      </w:r>
    </w:p>
    <w:p>
      <w:pPr>
        <w:sectPr>
          <w:pgSz w:w="11900" w:h="16838" w:orient="portrait"/>
          <w:cols w:equalWidth="0" w:num="1">
            <w:col w:w="11420"/>
          </w:cols>
          <w:pgMar w:left="240" w:top="549" w:right="239" w:bottom="1440" w:gutter="0" w:footer="0" w:header="0"/>
        </w:sectPr>
      </w:pPr>
    </w:p>
    <w:bookmarkStart w:id="79" w:name="page80"/>
    <w:bookmarkEnd w:id="79"/>
    <w:p>
      <w:pPr>
        <w:jc w:val="center"/>
        <w:spacing w:after="0"/>
        <w:rPr>
          <w:sz w:val="20"/>
          <w:szCs w:val="20"/>
          <w:color w:val="auto"/>
        </w:rPr>
      </w:pPr>
      <w:r>
        <w:rPr>
          <w:rFonts w:ascii="Arial" w:cs="Arial" w:eastAsia="Arial" w:hAnsi="Arial"/>
          <w:sz w:val="18"/>
          <w:szCs w:val="18"/>
          <w:b w:val="1"/>
          <w:bCs w:val="1"/>
          <w:color w:val="auto"/>
        </w:rPr>
        <w:t>NOTES TO CONSOLIDATED FINANCIAL STATEMENTS OF AMERICAN AIRLINES GROUP INC.</w:t>
      </w:r>
    </w:p>
    <w:p>
      <w:pPr>
        <w:spacing w:after="0" w:line="200" w:lineRule="exact"/>
        <w:rPr>
          <w:sz w:val="20"/>
          <w:szCs w:val="20"/>
          <w:color w:val="auto"/>
        </w:rPr>
      </w:pPr>
    </w:p>
    <w:p>
      <w:pPr>
        <w:spacing w:after="0" w:line="209" w:lineRule="exact"/>
        <w:rPr>
          <w:sz w:val="20"/>
          <w:szCs w:val="20"/>
          <w:color w:val="auto"/>
        </w:rPr>
      </w:pPr>
    </w:p>
    <w:p>
      <w:pPr>
        <w:ind w:left="220"/>
        <w:spacing w:after="0"/>
        <w:rPr>
          <w:sz w:val="20"/>
          <w:szCs w:val="20"/>
          <w:color w:val="auto"/>
        </w:rPr>
      </w:pPr>
      <w:r>
        <w:rPr>
          <w:rFonts w:ascii="Arial" w:cs="Arial" w:eastAsia="Arial" w:hAnsi="Arial"/>
          <w:sz w:val="18"/>
          <w:szCs w:val="18"/>
          <w:color w:val="auto"/>
        </w:rPr>
        <w:t>The following table provides information relating to our amortizable intangible assets as of December 31, 2019 and 2018 (in millions):</w:t>
      </w:r>
    </w:p>
    <w:p>
      <w:pPr>
        <w:spacing w:after="0" w:line="321" w:lineRule="exact"/>
        <w:rPr>
          <w:sz w:val="20"/>
          <w:szCs w:val="20"/>
          <w:color w:val="auto"/>
        </w:rPr>
      </w:pPr>
    </w:p>
    <w:tbl>
      <w:tblPr>
        <w:tblLayout w:type="fixed"/>
        <w:tblInd w:w="0" w:type="dxa"/>
        <w:tblCellMar>
          <w:top w:w="0" w:type="dxa"/>
          <w:left w:w="0" w:type="dxa"/>
          <w:bottom w:w="0" w:type="dxa"/>
          <w:right w:w="0" w:type="dxa"/>
        </w:tblCellMar>
      </w:tblPr>
      <w:tr>
        <w:trPr>
          <w:trHeight w:val="196"/>
        </w:trPr>
        <w:tc>
          <w:tcPr>
            <w:tcW w:w="7980" w:type="dxa"/>
            <w:vAlign w:val="bottom"/>
          </w:tcPr>
          <w:p>
            <w:pPr>
              <w:spacing w:after="0"/>
              <w:rPr>
                <w:sz w:val="17"/>
                <w:szCs w:val="17"/>
                <w:color w:val="auto"/>
              </w:rPr>
            </w:pPr>
          </w:p>
        </w:tc>
        <w:tc>
          <w:tcPr>
            <w:tcW w:w="1060" w:type="dxa"/>
            <w:vAlign w:val="bottom"/>
            <w:tcBorders>
              <w:bottom w:val="single" w:sz="8" w:color="auto"/>
            </w:tcBorders>
          </w:tcPr>
          <w:p>
            <w:pPr>
              <w:spacing w:after="0"/>
              <w:rPr>
                <w:sz w:val="17"/>
                <w:szCs w:val="17"/>
                <w:color w:val="auto"/>
              </w:rPr>
            </w:pPr>
          </w:p>
        </w:tc>
        <w:tc>
          <w:tcPr>
            <w:tcW w:w="1260" w:type="dxa"/>
            <w:vAlign w:val="bottom"/>
            <w:tcBorders>
              <w:bottom w:val="single" w:sz="8" w:color="auto"/>
            </w:tcBorders>
            <w:gridSpan w:val="3"/>
          </w:tcPr>
          <w:p>
            <w:pPr>
              <w:jc w:val="right"/>
              <w:ind w:right="30"/>
              <w:spacing w:after="0"/>
              <w:rPr>
                <w:sz w:val="20"/>
                <w:szCs w:val="20"/>
                <w:color w:val="auto"/>
              </w:rPr>
            </w:pPr>
            <w:r>
              <w:rPr>
                <w:rFonts w:ascii="Arial" w:cs="Arial" w:eastAsia="Arial" w:hAnsi="Arial"/>
                <w:sz w:val="14"/>
                <w:szCs w:val="14"/>
                <w:b w:val="1"/>
                <w:bCs w:val="1"/>
                <w:color w:val="auto"/>
              </w:rPr>
              <w:t>December 31,</w:t>
            </w:r>
          </w:p>
        </w:tc>
        <w:tc>
          <w:tcPr>
            <w:tcW w:w="1120" w:type="dxa"/>
            <w:vAlign w:val="bottom"/>
            <w:tcBorders>
              <w:bottom w:val="single" w:sz="8" w:color="auto"/>
            </w:tcBorders>
          </w:tcPr>
          <w:p>
            <w:pPr>
              <w:spacing w:after="0"/>
              <w:rPr>
                <w:sz w:val="17"/>
                <w:szCs w:val="17"/>
                <w:color w:val="auto"/>
              </w:rPr>
            </w:pPr>
          </w:p>
        </w:tc>
      </w:tr>
      <w:tr>
        <w:trPr>
          <w:trHeight w:val="264"/>
        </w:trPr>
        <w:tc>
          <w:tcPr>
            <w:tcW w:w="7980" w:type="dxa"/>
            <w:vAlign w:val="bottom"/>
            <w:tcBorders>
              <w:bottom w:val="single" w:sz="8" w:color="CCEEFF"/>
            </w:tcBorders>
          </w:tcPr>
          <w:p>
            <w:pPr>
              <w:spacing w:after="0"/>
              <w:rPr>
                <w:sz w:val="22"/>
                <w:szCs w:val="22"/>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2019</w:t>
            </w:r>
          </w:p>
        </w:tc>
        <w:tc>
          <w:tcPr>
            <w:tcW w:w="560" w:type="dxa"/>
            <w:vAlign w:val="bottom"/>
            <w:tcBorders>
              <w:bottom w:val="single" w:sz="8" w:color="auto"/>
            </w:tcBorders>
          </w:tcPr>
          <w:p>
            <w:pPr>
              <w:spacing w:after="0"/>
              <w:rPr>
                <w:sz w:val="22"/>
                <w:szCs w:val="22"/>
                <w:color w:val="auto"/>
              </w:rPr>
            </w:pPr>
          </w:p>
        </w:tc>
        <w:tc>
          <w:tcPr>
            <w:tcW w:w="100" w:type="dxa"/>
            <w:vAlign w:val="bottom"/>
            <w:tcBorders>
              <w:bottom w:val="single" w:sz="8" w:color="CCEEFF"/>
            </w:tcBorders>
          </w:tcPr>
          <w:p>
            <w:pPr>
              <w:spacing w:after="0"/>
              <w:rPr>
                <w:sz w:val="22"/>
                <w:szCs w:val="22"/>
                <w:color w:val="auto"/>
              </w:rPr>
            </w:pPr>
          </w:p>
        </w:tc>
        <w:tc>
          <w:tcPr>
            <w:tcW w:w="600" w:type="dxa"/>
            <w:vAlign w:val="bottom"/>
            <w:tcBorders>
              <w:bottom w:val="single" w:sz="8" w:color="auto"/>
            </w:tcBorders>
          </w:tcPr>
          <w:p>
            <w:pPr>
              <w:spacing w:after="0"/>
              <w:rPr>
                <w:sz w:val="22"/>
                <w:szCs w:val="22"/>
                <w:color w:val="auto"/>
              </w:rPr>
            </w:pPr>
          </w:p>
        </w:tc>
        <w:tc>
          <w:tcPr>
            <w:tcW w:w="1120" w:type="dxa"/>
            <w:vAlign w:val="bottom"/>
            <w:tcBorders>
              <w:bottom w:val="single" w:sz="8" w:color="auto"/>
            </w:tcBorders>
          </w:tcPr>
          <w:p>
            <w:pPr>
              <w:jc w:val="right"/>
              <w:ind w:right="612"/>
              <w:spacing w:after="0"/>
              <w:rPr>
                <w:sz w:val="20"/>
                <w:szCs w:val="20"/>
                <w:color w:val="auto"/>
              </w:rPr>
            </w:pPr>
            <w:r>
              <w:rPr>
                <w:rFonts w:ascii="Arial" w:cs="Arial" w:eastAsia="Arial" w:hAnsi="Arial"/>
                <w:sz w:val="14"/>
                <w:szCs w:val="14"/>
                <w:b w:val="1"/>
                <w:bCs w:val="1"/>
                <w:color w:val="auto"/>
              </w:rPr>
              <w:t>2018</w:t>
            </w:r>
          </w:p>
        </w:tc>
      </w:tr>
      <w:tr>
        <w:trPr>
          <w:trHeight w:val="256"/>
        </w:trPr>
        <w:tc>
          <w:tcPr>
            <w:tcW w:w="7980" w:type="dxa"/>
            <w:vAlign w:val="bottom"/>
            <w:shd w:val="clear" w:color="auto" w:fill="CCEEFF"/>
          </w:tcPr>
          <w:p>
            <w:pPr>
              <w:ind w:left="40"/>
              <w:spacing w:after="0"/>
              <w:rPr>
                <w:sz w:val="20"/>
                <w:szCs w:val="20"/>
                <w:color w:val="auto"/>
              </w:rPr>
            </w:pPr>
            <w:r>
              <w:rPr>
                <w:rFonts w:ascii="Arial" w:cs="Arial" w:eastAsia="Arial" w:hAnsi="Arial"/>
                <w:sz w:val="18"/>
                <w:szCs w:val="18"/>
                <w:color w:val="auto"/>
              </w:rPr>
              <w:t>Domestic airport slots</w:t>
            </w:r>
          </w:p>
        </w:tc>
        <w:tc>
          <w:tcPr>
            <w:tcW w:w="1060" w:type="dxa"/>
            <w:vAlign w:val="bottom"/>
            <w:shd w:val="clear" w:color="auto" w:fill="CCEEFF"/>
          </w:tcPr>
          <w:p>
            <w:pPr>
              <w:jc w:val="right"/>
              <w:ind w:right="836"/>
              <w:spacing w:after="0"/>
              <w:rPr>
                <w:sz w:val="20"/>
                <w:szCs w:val="20"/>
                <w:color w:val="auto"/>
              </w:rPr>
            </w:pPr>
            <w:r>
              <w:rPr>
                <w:rFonts w:ascii="Arial" w:cs="Arial" w:eastAsia="Arial" w:hAnsi="Arial"/>
                <w:sz w:val="18"/>
                <w:szCs w:val="18"/>
                <w:color w:val="auto"/>
              </w:rPr>
              <w:t>$</w:t>
            </w:r>
          </w:p>
        </w:tc>
        <w:tc>
          <w:tcPr>
            <w:tcW w:w="560" w:type="dxa"/>
            <w:vAlign w:val="bottom"/>
            <w:shd w:val="clear" w:color="auto" w:fill="CCEEFF"/>
          </w:tcPr>
          <w:p>
            <w:pPr>
              <w:jc w:val="right"/>
              <w:ind w:right="32"/>
              <w:spacing w:after="0"/>
              <w:rPr>
                <w:sz w:val="20"/>
                <w:szCs w:val="20"/>
                <w:color w:val="auto"/>
              </w:rPr>
            </w:pPr>
            <w:r>
              <w:rPr>
                <w:rFonts w:ascii="Arial" w:cs="Arial" w:eastAsia="Arial" w:hAnsi="Arial"/>
                <w:sz w:val="18"/>
                <w:szCs w:val="18"/>
                <w:color w:val="auto"/>
              </w:rPr>
              <w:t>365</w:t>
            </w:r>
          </w:p>
        </w:tc>
        <w:tc>
          <w:tcPr>
            <w:tcW w:w="100" w:type="dxa"/>
            <w:vAlign w:val="bottom"/>
            <w:shd w:val="clear" w:color="auto" w:fill="CCEEFF"/>
          </w:tcPr>
          <w:p>
            <w:pPr>
              <w:spacing w:after="0"/>
              <w:rPr>
                <w:sz w:val="22"/>
                <w:szCs w:val="22"/>
                <w:color w:val="auto"/>
              </w:rPr>
            </w:pPr>
          </w:p>
        </w:tc>
        <w:tc>
          <w:tcPr>
            <w:tcW w:w="600" w:type="dxa"/>
            <w:vAlign w:val="bottom"/>
            <w:shd w:val="clear" w:color="auto" w:fill="CCEEFF"/>
          </w:tcPr>
          <w:p>
            <w:pPr>
              <w:jc w:val="right"/>
              <w:ind w:right="370"/>
              <w:spacing w:after="0"/>
              <w:rPr>
                <w:sz w:val="20"/>
                <w:szCs w:val="20"/>
                <w:color w:val="auto"/>
              </w:rPr>
            </w:pPr>
            <w:r>
              <w:rPr>
                <w:rFonts w:ascii="Arial" w:cs="Arial" w:eastAsia="Arial" w:hAnsi="Arial"/>
                <w:sz w:val="18"/>
                <w:szCs w:val="18"/>
                <w:color w:val="auto"/>
              </w:rPr>
              <w:t>$</w:t>
            </w:r>
          </w:p>
        </w:tc>
        <w:tc>
          <w:tcPr>
            <w:tcW w:w="112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365</w:t>
            </w:r>
          </w:p>
        </w:tc>
      </w:tr>
      <w:tr>
        <w:trPr>
          <w:trHeight w:val="263"/>
        </w:trPr>
        <w:tc>
          <w:tcPr>
            <w:tcW w:w="7980" w:type="dxa"/>
            <w:vAlign w:val="bottom"/>
          </w:tcPr>
          <w:p>
            <w:pPr>
              <w:ind w:left="40"/>
              <w:spacing w:after="0"/>
              <w:rPr>
                <w:sz w:val="20"/>
                <w:szCs w:val="20"/>
                <w:color w:val="auto"/>
              </w:rPr>
            </w:pPr>
            <w:r>
              <w:rPr>
                <w:rFonts w:ascii="Arial" w:cs="Arial" w:eastAsia="Arial" w:hAnsi="Arial"/>
                <w:sz w:val="18"/>
                <w:szCs w:val="18"/>
                <w:color w:val="auto"/>
              </w:rPr>
              <w:t>Customer relationships</w:t>
            </w:r>
          </w:p>
        </w:tc>
        <w:tc>
          <w:tcPr>
            <w:tcW w:w="1060" w:type="dxa"/>
            <w:vAlign w:val="bottom"/>
          </w:tcPr>
          <w:p>
            <w:pPr>
              <w:spacing w:after="0"/>
              <w:rPr>
                <w:sz w:val="22"/>
                <w:szCs w:val="22"/>
                <w:color w:val="auto"/>
              </w:rPr>
            </w:pPr>
          </w:p>
        </w:tc>
        <w:tc>
          <w:tcPr>
            <w:tcW w:w="560" w:type="dxa"/>
            <w:vAlign w:val="bottom"/>
          </w:tcPr>
          <w:p>
            <w:pPr>
              <w:jc w:val="right"/>
              <w:ind w:right="32"/>
              <w:spacing w:after="0"/>
              <w:rPr>
                <w:sz w:val="20"/>
                <w:szCs w:val="20"/>
                <w:color w:val="auto"/>
              </w:rPr>
            </w:pPr>
            <w:r>
              <w:rPr>
                <w:rFonts w:ascii="Arial" w:cs="Arial" w:eastAsia="Arial" w:hAnsi="Arial"/>
                <w:sz w:val="18"/>
                <w:szCs w:val="18"/>
                <w:color w:val="auto"/>
              </w:rPr>
              <w:t>300</w:t>
            </w:r>
          </w:p>
        </w:tc>
        <w:tc>
          <w:tcPr>
            <w:tcW w:w="100" w:type="dxa"/>
            <w:vAlign w:val="bottom"/>
          </w:tcPr>
          <w:p>
            <w:pPr>
              <w:spacing w:after="0"/>
              <w:rPr>
                <w:sz w:val="22"/>
                <w:szCs w:val="22"/>
                <w:color w:val="auto"/>
              </w:rPr>
            </w:pPr>
          </w:p>
        </w:tc>
        <w:tc>
          <w:tcPr>
            <w:tcW w:w="600" w:type="dxa"/>
            <w:vAlign w:val="bottom"/>
          </w:tcPr>
          <w:p>
            <w:pPr>
              <w:spacing w:after="0"/>
              <w:rPr>
                <w:sz w:val="22"/>
                <w:szCs w:val="22"/>
                <w:color w:val="auto"/>
              </w:rPr>
            </w:pPr>
          </w:p>
        </w:tc>
        <w:tc>
          <w:tcPr>
            <w:tcW w:w="1120" w:type="dxa"/>
            <w:vAlign w:val="bottom"/>
          </w:tcPr>
          <w:p>
            <w:pPr>
              <w:jc w:val="right"/>
              <w:ind w:right="12"/>
              <w:spacing w:after="0"/>
              <w:rPr>
                <w:sz w:val="20"/>
                <w:szCs w:val="20"/>
                <w:color w:val="auto"/>
              </w:rPr>
            </w:pPr>
            <w:r>
              <w:rPr>
                <w:rFonts w:ascii="Arial" w:cs="Arial" w:eastAsia="Arial" w:hAnsi="Arial"/>
                <w:sz w:val="18"/>
                <w:szCs w:val="18"/>
                <w:color w:val="auto"/>
              </w:rPr>
              <w:t>300</w:t>
            </w:r>
          </w:p>
        </w:tc>
      </w:tr>
      <w:tr>
        <w:trPr>
          <w:trHeight w:val="277"/>
        </w:trPr>
        <w:tc>
          <w:tcPr>
            <w:tcW w:w="7980" w:type="dxa"/>
            <w:vAlign w:val="bottom"/>
            <w:shd w:val="clear" w:color="auto" w:fill="CCEEFF"/>
          </w:tcPr>
          <w:p>
            <w:pPr>
              <w:ind w:left="40"/>
              <w:spacing w:after="0"/>
              <w:rPr>
                <w:sz w:val="20"/>
                <w:szCs w:val="20"/>
                <w:color w:val="auto"/>
              </w:rPr>
            </w:pPr>
            <w:r>
              <w:rPr>
                <w:rFonts w:ascii="Arial" w:cs="Arial" w:eastAsia="Arial" w:hAnsi="Arial"/>
                <w:sz w:val="18"/>
                <w:szCs w:val="18"/>
                <w:color w:val="auto"/>
              </w:rPr>
              <w:t>Marketing agreements</w:t>
            </w:r>
          </w:p>
        </w:tc>
        <w:tc>
          <w:tcPr>
            <w:tcW w:w="1060" w:type="dxa"/>
            <w:vAlign w:val="bottom"/>
            <w:shd w:val="clear" w:color="auto" w:fill="CCEEFF"/>
          </w:tcPr>
          <w:p>
            <w:pPr>
              <w:spacing w:after="0"/>
              <w:rPr>
                <w:sz w:val="24"/>
                <w:szCs w:val="24"/>
                <w:color w:val="auto"/>
              </w:rPr>
            </w:pPr>
          </w:p>
        </w:tc>
        <w:tc>
          <w:tcPr>
            <w:tcW w:w="560" w:type="dxa"/>
            <w:vAlign w:val="bottom"/>
            <w:shd w:val="clear" w:color="auto" w:fill="CCEEFF"/>
          </w:tcPr>
          <w:p>
            <w:pPr>
              <w:jc w:val="right"/>
              <w:ind w:right="32"/>
              <w:spacing w:after="0"/>
              <w:rPr>
                <w:sz w:val="20"/>
                <w:szCs w:val="20"/>
                <w:color w:val="auto"/>
              </w:rPr>
            </w:pPr>
            <w:r>
              <w:rPr>
                <w:rFonts w:ascii="Arial" w:cs="Arial" w:eastAsia="Arial" w:hAnsi="Arial"/>
                <w:sz w:val="18"/>
                <w:szCs w:val="18"/>
                <w:color w:val="auto"/>
              </w:rPr>
              <w:t>105</w:t>
            </w:r>
          </w:p>
        </w:tc>
        <w:tc>
          <w:tcPr>
            <w:tcW w:w="100" w:type="dxa"/>
            <w:vAlign w:val="bottom"/>
            <w:shd w:val="clear" w:color="auto" w:fill="CCEEFF"/>
          </w:tcPr>
          <w:p>
            <w:pPr>
              <w:spacing w:after="0"/>
              <w:rPr>
                <w:sz w:val="24"/>
                <w:szCs w:val="24"/>
                <w:color w:val="auto"/>
              </w:rPr>
            </w:pPr>
          </w:p>
        </w:tc>
        <w:tc>
          <w:tcPr>
            <w:tcW w:w="600" w:type="dxa"/>
            <w:vAlign w:val="bottom"/>
            <w:shd w:val="clear" w:color="auto" w:fill="CCEEFF"/>
          </w:tcPr>
          <w:p>
            <w:pPr>
              <w:spacing w:after="0"/>
              <w:rPr>
                <w:sz w:val="24"/>
                <w:szCs w:val="24"/>
                <w:color w:val="auto"/>
              </w:rPr>
            </w:pPr>
          </w:p>
        </w:tc>
        <w:tc>
          <w:tcPr>
            <w:tcW w:w="112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105</w:t>
            </w:r>
          </w:p>
        </w:tc>
      </w:tr>
      <w:tr>
        <w:trPr>
          <w:trHeight w:val="263"/>
        </w:trPr>
        <w:tc>
          <w:tcPr>
            <w:tcW w:w="7980" w:type="dxa"/>
            <w:vAlign w:val="bottom"/>
          </w:tcPr>
          <w:p>
            <w:pPr>
              <w:ind w:left="40"/>
              <w:spacing w:after="0"/>
              <w:rPr>
                <w:sz w:val="20"/>
                <w:szCs w:val="20"/>
                <w:color w:val="auto"/>
              </w:rPr>
            </w:pPr>
            <w:r>
              <w:rPr>
                <w:rFonts w:ascii="Arial" w:cs="Arial" w:eastAsia="Arial" w:hAnsi="Arial"/>
                <w:sz w:val="18"/>
                <w:szCs w:val="18"/>
                <w:color w:val="auto"/>
              </w:rPr>
              <w:t>Tradenames</w:t>
            </w:r>
          </w:p>
        </w:tc>
        <w:tc>
          <w:tcPr>
            <w:tcW w:w="1060" w:type="dxa"/>
            <w:vAlign w:val="bottom"/>
          </w:tcPr>
          <w:p>
            <w:pPr>
              <w:spacing w:after="0"/>
              <w:rPr>
                <w:sz w:val="22"/>
                <w:szCs w:val="22"/>
                <w:color w:val="auto"/>
              </w:rPr>
            </w:pPr>
          </w:p>
        </w:tc>
        <w:tc>
          <w:tcPr>
            <w:tcW w:w="560" w:type="dxa"/>
            <w:vAlign w:val="bottom"/>
          </w:tcPr>
          <w:p>
            <w:pPr>
              <w:jc w:val="right"/>
              <w:ind w:right="32"/>
              <w:spacing w:after="0"/>
              <w:rPr>
                <w:sz w:val="20"/>
                <w:szCs w:val="20"/>
                <w:color w:val="auto"/>
              </w:rPr>
            </w:pPr>
            <w:r>
              <w:rPr>
                <w:rFonts w:ascii="Arial" w:cs="Arial" w:eastAsia="Arial" w:hAnsi="Arial"/>
                <w:sz w:val="18"/>
                <w:szCs w:val="18"/>
                <w:color w:val="auto"/>
              </w:rPr>
              <w:t>35</w:t>
            </w:r>
          </w:p>
        </w:tc>
        <w:tc>
          <w:tcPr>
            <w:tcW w:w="100" w:type="dxa"/>
            <w:vAlign w:val="bottom"/>
          </w:tcPr>
          <w:p>
            <w:pPr>
              <w:spacing w:after="0"/>
              <w:rPr>
                <w:sz w:val="22"/>
                <w:szCs w:val="22"/>
                <w:color w:val="auto"/>
              </w:rPr>
            </w:pPr>
          </w:p>
        </w:tc>
        <w:tc>
          <w:tcPr>
            <w:tcW w:w="600" w:type="dxa"/>
            <w:vAlign w:val="bottom"/>
          </w:tcPr>
          <w:p>
            <w:pPr>
              <w:spacing w:after="0"/>
              <w:rPr>
                <w:sz w:val="22"/>
                <w:szCs w:val="22"/>
                <w:color w:val="auto"/>
              </w:rPr>
            </w:pPr>
          </w:p>
        </w:tc>
        <w:tc>
          <w:tcPr>
            <w:tcW w:w="1120" w:type="dxa"/>
            <w:vAlign w:val="bottom"/>
          </w:tcPr>
          <w:p>
            <w:pPr>
              <w:jc w:val="right"/>
              <w:ind w:right="12"/>
              <w:spacing w:after="0"/>
              <w:rPr>
                <w:sz w:val="20"/>
                <w:szCs w:val="20"/>
                <w:color w:val="auto"/>
              </w:rPr>
            </w:pPr>
            <w:r>
              <w:rPr>
                <w:rFonts w:ascii="Arial" w:cs="Arial" w:eastAsia="Arial" w:hAnsi="Arial"/>
                <w:sz w:val="18"/>
                <w:szCs w:val="18"/>
                <w:color w:val="auto"/>
              </w:rPr>
              <w:t>35</w:t>
            </w:r>
          </w:p>
        </w:tc>
      </w:tr>
      <w:tr>
        <w:trPr>
          <w:trHeight w:val="277"/>
        </w:trPr>
        <w:tc>
          <w:tcPr>
            <w:tcW w:w="7980" w:type="dxa"/>
            <w:vAlign w:val="bottom"/>
            <w:shd w:val="clear" w:color="auto" w:fill="CCEEFF"/>
          </w:tcPr>
          <w:p>
            <w:pPr>
              <w:ind w:left="40"/>
              <w:spacing w:after="0"/>
              <w:rPr>
                <w:sz w:val="20"/>
                <w:szCs w:val="20"/>
                <w:color w:val="auto"/>
              </w:rPr>
            </w:pPr>
            <w:r>
              <w:rPr>
                <w:rFonts w:ascii="Arial" w:cs="Arial" w:eastAsia="Arial" w:hAnsi="Arial"/>
                <w:sz w:val="18"/>
                <w:szCs w:val="18"/>
                <w:color w:val="auto"/>
              </w:rPr>
              <w:t>Airport gate leasehold rights</w:t>
            </w:r>
          </w:p>
        </w:tc>
        <w:tc>
          <w:tcPr>
            <w:tcW w:w="1060" w:type="dxa"/>
            <w:vAlign w:val="bottom"/>
            <w:shd w:val="clear" w:color="auto" w:fill="CCEEFF"/>
          </w:tcPr>
          <w:p>
            <w:pPr>
              <w:spacing w:after="0"/>
              <w:rPr>
                <w:sz w:val="24"/>
                <w:szCs w:val="24"/>
                <w:color w:val="auto"/>
              </w:rPr>
            </w:pPr>
          </w:p>
        </w:tc>
        <w:tc>
          <w:tcPr>
            <w:tcW w:w="560" w:type="dxa"/>
            <w:vAlign w:val="bottom"/>
            <w:shd w:val="clear" w:color="auto" w:fill="CCEEFF"/>
          </w:tcPr>
          <w:p>
            <w:pPr>
              <w:jc w:val="right"/>
              <w:ind w:right="32"/>
              <w:spacing w:after="0"/>
              <w:rPr>
                <w:sz w:val="20"/>
                <w:szCs w:val="20"/>
                <w:color w:val="auto"/>
              </w:rPr>
            </w:pPr>
            <w:r>
              <w:rPr>
                <w:rFonts w:ascii="Arial" w:cs="Arial" w:eastAsia="Arial" w:hAnsi="Arial"/>
                <w:sz w:val="18"/>
                <w:szCs w:val="18"/>
                <w:color w:val="auto"/>
              </w:rPr>
              <w:t>137</w:t>
            </w:r>
          </w:p>
        </w:tc>
        <w:tc>
          <w:tcPr>
            <w:tcW w:w="100" w:type="dxa"/>
            <w:vAlign w:val="bottom"/>
            <w:shd w:val="clear" w:color="auto" w:fill="CCEEFF"/>
          </w:tcPr>
          <w:p>
            <w:pPr>
              <w:spacing w:after="0"/>
              <w:rPr>
                <w:sz w:val="24"/>
                <w:szCs w:val="24"/>
                <w:color w:val="auto"/>
              </w:rPr>
            </w:pPr>
          </w:p>
        </w:tc>
        <w:tc>
          <w:tcPr>
            <w:tcW w:w="600" w:type="dxa"/>
            <w:vAlign w:val="bottom"/>
            <w:shd w:val="clear" w:color="auto" w:fill="CCEEFF"/>
          </w:tcPr>
          <w:p>
            <w:pPr>
              <w:spacing w:after="0"/>
              <w:rPr>
                <w:sz w:val="24"/>
                <w:szCs w:val="24"/>
                <w:color w:val="auto"/>
              </w:rPr>
            </w:pPr>
          </w:p>
        </w:tc>
        <w:tc>
          <w:tcPr>
            <w:tcW w:w="112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137</w:t>
            </w:r>
          </w:p>
        </w:tc>
      </w:tr>
      <w:tr>
        <w:trPr>
          <w:trHeight w:val="264"/>
        </w:trPr>
        <w:tc>
          <w:tcPr>
            <w:tcW w:w="7980" w:type="dxa"/>
            <w:vAlign w:val="bottom"/>
            <w:tcBorders>
              <w:bottom w:val="single" w:sz="8" w:color="CCEEFF"/>
            </w:tcBorders>
          </w:tcPr>
          <w:p>
            <w:pPr>
              <w:ind w:left="40"/>
              <w:spacing w:after="0"/>
              <w:rPr>
                <w:sz w:val="20"/>
                <w:szCs w:val="20"/>
                <w:color w:val="auto"/>
              </w:rPr>
            </w:pPr>
            <w:r>
              <w:rPr>
                <w:rFonts w:ascii="Arial" w:cs="Arial" w:eastAsia="Arial" w:hAnsi="Arial"/>
                <w:sz w:val="18"/>
                <w:szCs w:val="18"/>
                <w:color w:val="auto"/>
              </w:rPr>
              <w:t>Accumulated amortization</w:t>
            </w:r>
          </w:p>
        </w:tc>
        <w:tc>
          <w:tcPr>
            <w:tcW w:w="1060" w:type="dxa"/>
            <w:vAlign w:val="bottom"/>
            <w:tcBorders>
              <w:bottom w:val="single" w:sz="8" w:color="auto"/>
            </w:tcBorders>
          </w:tcPr>
          <w:p>
            <w:pPr>
              <w:spacing w:after="0"/>
              <w:rPr>
                <w:sz w:val="22"/>
                <w:szCs w:val="22"/>
                <w:color w:val="auto"/>
              </w:rPr>
            </w:pPr>
          </w:p>
        </w:tc>
        <w:tc>
          <w:tcPr>
            <w:tcW w:w="5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(704)</w:t>
            </w:r>
          </w:p>
        </w:tc>
        <w:tc>
          <w:tcPr>
            <w:tcW w:w="100" w:type="dxa"/>
            <w:vAlign w:val="bottom"/>
            <w:tcBorders>
              <w:bottom w:val="single" w:sz="8" w:color="CCEEFF"/>
            </w:tcBorders>
          </w:tcPr>
          <w:p>
            <w:pPr>
              <w:spacing w:after="0"/>
              <w:rPr>
                <w:sz w:val="22"/>
                <w:szCs w:val="22"/>
                <w:color w:val="auto"/>
              </w:rPr>
            </w:pPr>
          </w:p>
        </w:tc>
        <w:tc>
          <w:tcPr>
            <w:tcW w:w="600" w:type="dxa"/>
            <w:vAlign w:val="bottom"/>
            <w:tcBorders>
              <w:bottom w:val="single" w:sz="8" w:color="auto"/>
            </w:tcBorders>
          </w:tcPr>
          <w:p>
            <w:pPr>
              <w:spacing w:after="0"/>
              <w:rPr>
                <w:sz w:val="22"/>
                <w:szCs w:val="22"/>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(663)</w:t>
            </w:r>
          </w:p>
        </w:tc>
      </w:tr>
      <w:tr>
        <w:trPr>
          <w:trHeight w:val="250"/>
        </w:trPr>
        <w:tc>
          <w:tcPr>
            <w:tcW w:w="798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Total</w:t>
            </w:r>
          </w:p>
        </w:tc>
        <w:tc>
          <w:tcPr>
            <w:tcW w:w="1060" w:type="dxa"/>
            <w:vAlign w:val="bottom"/>
            <w:tcBorders>
              <w:bottom w:val="single" w:sz="8" w:color="auto"/>
            </w:tcBorders>
            <w:shd w:val="clear" w:color="auto" w:fill="CCEEFF"/>
          </w:tcPr>
          <w:p>
            <w:pPr>
              <w:jc w:val="right"/>
              <w:ind w:right="836"/>
              <w:spacing w:after="0"/>
              <w:rPr>
                <w:sz w:val="20"/>
                <w:szCs w:val="20"/>
                <w:color w:val="auto"/>
              </w:rPr>
            </w:pPr>
            <w:r>
              <w:rPr>
                <w:rFonts w:ascii="Arial" w:cs="Arial" w:eastAsia="Arial" w:hAnsi="Arial"/>
                <w:sz w:val="18"/>
                <w:szCs w:val="18"/>
                <w:color w:val="auto"/>
              </w:rPr>
              <w:t>$</w:t>
            </w:r>
          </w:p>
        </w:tc>
        <w:tc>
          <w:tcPr>
            <w:tcW w:w="560" w:type="dxa"/>
            <w:vAlign w:val="bottom"/>
            <w:tcBorders>
              <w:bottom w:val="single" w:sz="8" w:color="auto"/>
            </w:tcBorders>
            <w:shd w:val="clear" w:color="auto" w:fill="CCEEFF"/>
          </w:tcPr>
          <w:p>
            <w:pPr>
              <w:jc w:val="right"/>
              <w:ind w:right="32"/>
              <w:spacing w:after="0"/>
              <w:rPr>
                <w:sz w:val="20"/>
                <w:szCs w:val="20"/>
                <w:color w:val="auto"/>
              </w:rPr>
            </w:pPr>
            <w:r>
              <w:rPr>
                <w:rFonts w:ascii="Arial" w:cs="Arial" w:eastAsia="Arial" w:hAnsi="Arial"/>
                <w:sz w:val="18"/>
                <w:szCs w:val="18"/>
                <w:color w:val="auto"/>
              </w:rPr>
              <w:t>238</w:t>
            </w:r>
          </w:p>
        </w:tc>
        <w:tc>
          <w:tcPr>
            <w:tcW w:w="100" w:type="dxa"/>
            <w:vAlign w:val="bottom"/>
            <w:tcBorders>
              <w:bottom w:val="single" w:sz="8" w:color="CCEEFF"/>
            </w:tcBorders>
            <w:shd w:val="clear" w:color="auto" w:fill="CCEEFF"/>
          </w:tcPr>
          <w:p>
            <w:pPr>
              <w:spacing w:after="0"/>
              <w:rPr>
                <w:sz w:val="21"/>
                <w:szCs w:val="21"/>
                <w:color w:val="auto"/>
              </w:rPr>
            </w:pPr>
          </w:p>
        </w:tc>
        <w:tc>
          <w:tcPr>
            <w:tcW w:w="600" w:type="dxa"/>
            <w:vAlign w:val="bottom"/>
            <w:tcBorders>
              <w:bottom w:val="single" w:sz="8" w:color="auto"/>
            </w:tcBorders>
            <w:shd w:val="clear" w:color="auto" w:fill="CCEEFF"/>
          </w:tcPr>
          <w:p>
            <w:pPr>
              <w:jc w:val="right"/>
              <w:ind w:right="370"/>
              <w:spacing w:after="0"/>
              <w:rPr>
                <w:sz w:val="20"/>
                <w:szCs w:val="20"/>
                <w:color w:val="auto"/>
              </w:rPr>
            </w:pPr>
            <w:r>
              <w:rPr>
                <w:rFonts w:ascii="Arial" w:cs="Arial" w:eastAsia="Arial" w:hAnsi="Arial"/>
                <w:sz w:val="18"/>
                <w:szCs w:val="18"/>
                <w:color w:val="auto"/>
              </w:rPr>
              <w:t>$</w:t>
            </w:r>
          </w:p>
        </w:tc>
        <w:tc>
          <w:tcPr>
            <w:tcW w:w="1120" w:type="dxa"/>
            <w:vAlign w:val="bottom"/>
            <w:tcBorders>
              <w:bottom w:val="single" w:sz="8" w:color="auto"/>
            </w:tcBorders>
            <w:shd w:val="clear" w:color="auto" w:fill="CCEEFF"/>
          </w:tcPr>
          <w:p>
            <w:pPr>
              <w:jc w:val="right"/>
              <w:ind w:right="12"/>
              <w:spacing w:after="0"/>
              <w:rPr>
                <w:sz w:val="20"/>
                <w:szCs w:val="20"/>
                <w:color w:val="auto"/>
              </w:rPr>
            </w:pPr>
            <w:r>
              <w:rPr>
                <w:rFonts w:ascii="Arial" w:cs="Arial" w:eastAsia="Arial" w:hAnsi="Arial"/>
                <w:sz w:val="18"/>
                <w:szCs w:val="18"/>
                <w:color w:val="auto"/>
              </w:rPr>
              <w:t>279</w:t>
            </w:r>
          </w:p>
        </w:tc>
      </w:tr>
      <w:tr>
        <w:trPr>
          <w:trHeight w:val="20"/>
        </w:trPr>
        <w:tc>
          <w:tcPr>
            <w:tcW w:w="7980" w:type="dxa"/>
            <w:vAlign w:val="bottom"/>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r>
    </w:tbl>
    <w:p>
      <w:pPr>
        <w:spacing w:after="0" w:line="377" w:lineRule="exact"/>
        <w:rPr>
          <w:sz w:val="20"/>
          <w:szCs w:val="20"/>
          <w:color w:val="auto"/>
        </w:rPr>
      </w:pPr>
    </w:p>
    <w:p>
      <w:pPr>
        <w:jc w:val="both"/>
        <w:ind w:firstLine="216"/>
        <w:spacing w:after="0" w:line="256" w:lineRule="auto"/>
        <w:rPr>
          <w:sz w:val="20"/>
          <w:szCs w:val="20"/>
          <w:color w:val="auto"/>
        </w:rPr>
      </w:pPr>
      <w:r>
        <w:rPr>
          <w:rFonts w:ascii="Arial" w:cs="Arial" w:eastAsia="Arial" w:hAnsi="Arial"/>
          <w:sz w:val="18"/>
          <w:szCs w:val="18"/>
          <w:color w:val="auto"/>
        </w:rPr>
        <w:t>Certain domestic airport slots and airport gate leasehold rights are amortized on a straight-line basis over 25 years. The customer relationships and marketing agreements were identified as intangible assets subject to amortization and are amortized on a straight-line basis over approximately nine years and 30 years, respectively. Tradenames are fully amortized.</w:t>
      </w:r>
    </w:p>
    <w:p>
      <w:pPr>
        <w:spacing w:after="0" w:line="148" w:lineRule="exact"/>
        <w:rPr>
          <w:sz w:val="20"/>
          <w:szCs w:val="20"/>
          <w:color w:val="auto"/>
        </w:rPr>
      </w:pPr>
    </w:p>
    <w:p>
      <w:pPr>
        <w:jc w:val="both"/>
        <w:ind w:right="20" w:firstLine="216"/>
        <w:spacing w:after="0" w:line="262" w:lineRule="auto"/>
        <w:rPr>
          <w:sz w:val="20"/>
          <w:szCs w:val="20"/>
          <w:color w:val="auto"/>
        </w:rPr>
      </w:pPr>
      <w:r>
        <w:rPr>
          <w:rFonts w:ascii="Arial" w:cs="Arial" w:eastAsia="Arial" w:hAnsi="Arial"/>
          <w:sz w:val="18"/>
          <w:szCs w:val="18"/>
          <w:color w:val="auto"/>
        </w:rPr>
        <w:t>We recorded amortization expense related to these intangible assets of $41 million for both years ended December 31, 2019 and 2018 and $44 million for 2017. We expect to record annual amortization expense for these intangible assets as follows (in millions):</w:t>
      </w:r>
    </w:p>
    <w:p>
      <w:pPr>
        <w:spacing w:after="0" w:line="278" w:lineRule="exact"/>
        <w:rPr>
          <w:sz w:val="20"/>
          <w:szCs w:val="20"/>
          <w:color w:val="auto"/>
        </w:rPr>
      </w:pPr>
    </w:p>
    <w:tbl>
      <w:tblPr>
        <w:tblLayout w:type="fixed"/>
        <w:tblInd w:w="0" w:type="dxa"/>
        <w:tblCellMar>
          <w:top w:w="0" w:type="dxa"/>
          <w:left w:w="0" w:type="dxa"/>
          <w:bottom w:w="0" w:type="dxa"/>
          <w:right w:w="0" w:type="dxa"/>
        </w:tblCellMar>
      </w:tblPr>
      <w:tr>
        <w:trPr>
          <w:trHeight w:val="257"/>
        </w:trPr>
        <w:tc>
          <w:tcPr>
            <w:tcW w:w="9580" w:type="dxa"/>
            <w:vAlign w:val="bottom"/>
            <w:shd w:val="clear" w:color="auto" w:fill="CCEEFF"/>
          </w:tcPr>
          <w:p>
            <w:pPr>
              <w:ind w:left="40"/>
              <w:spacing w:after="0"/>
              <w:rPr>
                <w:sz w:val="20"/>
                <w:szCs w:val="20"/>
                <w:color w:val="auto"/>
              </w:rPr>
            </w:pPr>
            <w:r>
              <w:rPr>
                <w:rFonts w:ascii="Arial" w:cs="Arial" w:eastAsia="Arial" w:hAnsi="Arial"/>
                <w:sz w:val="18"/>
                <w:szCs w:val="18"/>
                <w:color w:val="auto"/>
              </w:rPr>
              <w:t>2020</w:t>
            </w:r>
          </w:p>
        </w:tc>
        <w:tc>
          <w:tcPr>
            <w:tcW w:w="780" w:type="dxa"/>
            <w:vAlign w:val="bottom"/>
            <w:shd w:val="clear" w:color="auto" w:fill="CCEEFF"/>
          </w:tcPr>
          <w:p>
            <w:pPr>
              <w:jc w:val="right"/>
              <w:ind w:right="550"/>
              <w:spacing w:after="0"/>
              <w:rPr>
                <w:sz w:val="20"/>
                <w:szCs w:val="20"/>
                <w:color w:val="auto"/>
              </w:rPr>
            </w:pPr>
            <w:r>
              <w:rPr>
                <w:rFonts w:ascii="Arial" w:cs="Arial" w:eastAsia="Arial" w:hAnsi="Arial"/>
                <w:sz w:val="18"/>
                <w:szCs w:val="18"/>
                <w:color w:val="auto"/>
              </w:rPr>
              <w:t>$</w:t>
            </w:r>
          </w:p>
        </w:tc>
        <w:tc>
          <w:tcPr>
            <w:tcW w:w="106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41</w:t>
            </w:r>
          </w:p>
        </w:tc>
      </w:tr>
      <w:tr>
        <w:trPr>
          <w:trHeight w:val="250"/>
        </w:trPr>
        <w:tc>
          <w:tcPr>
            <w:tcW w:w="9580" w:type="dxa"/>
            <w:vAlign w:val="bottom"/>
          </w:tcPr>
          <w:p>
            <w:pPr>
              <w:ind w:left="40"/>
              <w:spacing w:after="0"/>
              <w:rPr>
                <w:sz w:val="20"/>
                <w:szCs w:val="20"/>
                <w:color w:val="auto"/>
              </w:rPr>
            </w:pPr>
            <w:r>
              <w:rPr>
                <w:rFonts w:ascii="Arial" w:cs="Arial" w:eastAsia="Arial" w:hAnsi="Arial"/>
                <w:sz w:val="18"/>
                <w:szCs w:val="18"/>
                <w:color w:val="auto"/>
              </w:rPr>
              <w:t>2021</w:t>
            </w:r>
          </w:p>
        </w:tc>
        <w:tc>
          <w:tcPr>
            <w:tcW w:w="780" w:type="dxa"/>
            <w:vAlign w:val="bottom"/>
          </w:tcPr>
          <w:p>
            <w:pPr>
              <w:spacing w:after="0"/>
              <w:rPr>
                <w:sz w:val="21"/>
                <w:szCs w:val="21"/>
                <w:color w:val="auto"/>
              </w:rPr>
            </w:pPr>
          </w:p>
        </w:tc>
        <w:tc>
          <w:tcPr>
            <w:tcW w:w="1060" w:type="dxa"/>
            <w:vAlign w:val="bottom"/>
          </w:tcPr>
          <w:p>
            <w:pPr>
              <w:jc w:val="right"/>
              <w:ind w:right="10"/>
              <w:spacing w:after="0"/>
              <w:rPr>
                <w:sz w:val="20"/>
                <w:szCs w:val="20"/>
                <w:color w:val="auto"/>
              </w:rPr>
            </w:pPr>
            <w:r>
              <w:rPr>
                <w:rFonts w:ascii="Arial" w:cs="Arial" w:eastAsia="Arial" w:hAnsi="Arial"/>
                <w:sz w:val="18"/>
                <w:szCs w:val="18"/>
                <w:color w:val="auto"/>
              </w:rPr>
              <w:t>41</w:t>
            </w:r>
          </w:p>
        </w:tc>
      </w:tr>
      <w:tr>
        <w:trPr>
          <w:trHeight w:val="263"/>
        </w:trPr>
        <w:tc>
          <w:tcPr>
            <w:tcW w:w="9580" w:type="dxa"/>
            <w:vAlign w:val="bottom"/>
            <w:shd w:val="clear" w:color="auto" w:fill="CCEEFF"/>
          </w:tcPr>
          <w:p>
            <w:pPr>
              <w:ind w:left="40"/>
              <w:spacing w:after="0"/>
              <w:rPr>
                <w:sz w:val="20"/>
                <w:szCs w:val="20"/>
                <w:color w:val="auto"/>
              </w:rPr>
            </w:pPr>
            <w:r>
              <w:rPr>
                <w:rFonts w:ascii="Arial" w:cs="Arial" w:eastAsia="Arial" w:hAnsi="Arial"/>
                <w:sz w:val="18"/>
                <w:szCs w:val="18"/>
                <w:color w:val="auto"/>
              </w:rPr>
              <w:t>2022</w:t>
            </w:r>
          </w:p>
        </w:tc>
        <w:tc>
          <w:tcPr>
            <w:tcW w:w="780" w:type="dxa"/>
            <w:vAlign w:val="bottom"/>
            <w:shd w:val="clear" w:color="auto" w:fill="CCEEFF"/>
          </w:tcPr>
          <w:p>
            <w:pPr>
              <w:spacing w:after="0"/>
              <w:rPr>
                <w:sz w:val="22"/>
                <w:szCs w:val="22"/>
                <w:color w:val="auto"/>
              </w:rPr>
            </w:pPr>
          </w:p>
        </w:tc>
        <w:tc>
          <w:tcPr>
            <w:tcW w:w="106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41</w:t>
            </w:r>
          </w:p>
        </w:tc>
      </w:tr>
      <w:tr>
        <w:trPr>
          <w:trHeight w:val="250"/>
        </w:trPr>
        <w:tc>
          <w:tcPr>
            <w:tcW w:w="9580" w:type="dxa"/>
            <w:vAlign w:val="bottom"/>
          </w:tcPr>
          <w:p>
            <w:pPr>
              <w:ind w:left="40"/>
              <w:spacing w:after="0"/>
              <w:rPr>
                <w:sz w:val="20"/>
                <w:szCs w:val="20"/>
                <w:color w:val="auto"/>
              </w:rPr>
            </w:pPr>
            <w:r>
              <w:rPr>
                <w:rFonts w:ascii="Arial" w:cs="Arial" w:eastAsia="Arial" w:hAnsi="Arial"/>
                <w:sz w:val="18"/>
                <w:szCs w:val="18"/>
                <w:color w:val="auto"/>
              </w:rPr>
              <w:t>2023</w:t>
            </w:r>
          </w:p>
        </w:tc>
        <w:tc>
          <w:tcPr>
            <w:tcW w:w="780" w:type="dxa"/>
            <w:vAlign w:val="bottom"/>
          </w:tcPr>
          <w:p>
            <w:pPr>
              <w:spacing w:after="0"/>
              <w:rPr>
                <w:sz w:val="21"/>
                <w:szCs w:val="21"/>
                <w:color w:val="auto"/>
              </w:rPr>
            </w:pPr>
          </w:p>
        </w:tc>
        <w:tc>
          <w:tcPr>
            <w:tcW w:w="1060" w:type="dxa"/>
            <w:vAlign w:val="bottom"/>
          </w:tcPr>
          <w:p>
            <w:pPr>
              <w:jc w:val="right"/>
              <w:ind w:right="10"/>
              <w:spacing w:after="0"/>
              <w:rPr>
                <w:sz w:val="20"/>
                <w:szCs w:val="20"/>
                <w:color w:val="auto"/>
              </w:rPr>
            </w:pPr>
            <w:r>
              <w:rPr>
                <w:rFonts w:ascii="Arial" w:cs="Arial" w:eastAsia="Arial" w:hAnsi="Arial"/>
                <w:sz w:val="18"/>
                <w:szCs w:val="18"/>
                <w:color w:val="auto"/>
              </w:rPr>
              <w:t>7</w:t>
            </w:r>
          </w:p>
        </w:tc>
      </w:tr>
      <w:tr>
        <w:trPr>
          <w:trHeight w:val="263"/>
        </w:trPr>
        <w:tc>
          <w:tcPr>
            <w:tcW w:w="9580" w:type="dxa"/>
            <w:vAlign w:val="bottom"/>
            <w:shd w:val="clear" w:color="auto" w:fill="CCEEFF"/>
          </w:tcPr>
          <w:p>
            <w:pPr>
              <w:ind w:left="40"/>
              <w:spacing w:after="0"/>
              <w:rPr>
                <w:sz w:val="20"/>
                <w:szCs w:val="20"/>
                <w:color w:val="auto"/>
              </w:rPr>
            </w:pPr>
            <w:r>
              <w:rPr>
                <w:rFonts w:ascii="Arial" w:cs="Arial" w:eastAsia="Arial" w:hAnsi="Arial"/>
                <w:sz w:val="18"/>
                <w:szCs w:val="18"/>
                <w:color w:val="auto"/>
              </w:rPr>
              <w:t>2024</w:t>
            </w:r>
          </w:p>
        </w:tc>
        <w:tc>
          <w:tcPr>
            <w:tcW w:w="780" w:type="dxa"/>
            <w:vAlign w:val="bottom"/>
            <w:shd w:val="clear" w:color="auto" w:fill="CCEEFF"/>
          </w:tcPr>
          <w:p>
            <w:pPr>
              <w:spacing w:after="0"/>
              <w:rPr>
                <w:sz w:val="22"/>
                <w:szCs w:val="22"/>
                <w:color w:val="auto"/>
              </w:rPr>
            </w:pPr>
          </w:p>
        </w:tc>
        <w:tc>
          <w:tcPr>
            <w:tcW w:w="106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7</w:t>
            </w:r>
          </w:p>
        </w:tc>
      </w:tr>
      <w:tr>
        <w:trPr>
          <w:trHeight w:val="250"/>
        </w:trPr>
        <w:tc>
          <w:tcPr>
            <w:tcW w:w="9580" w:type="dxa"/>
            <w:vAlign w:val="bottom"/>
            <w:tcBorders>
              <w:bottom w:val="single" w:sz="8" w:color="CCEEFF"/>
            </w:tcBorders>
          </w:tcPr>
          <w:p>
            <w:pPr>
              <w:ind w:left="40"/>
              <w:spacing w:after="0"/>
              <w:rPr>
                <w:sz w:val="20"/>
                <w:szCs w:val="20"/>
                <w:color w:val="auto"/>
              </w:rPr>
            </w:pPr>
            <w:r>
              <w:rPr>
                <w:rFonts w:ascii="Arial" w:cs="Arial" w:eastAsia="Arial" w:hAnsi="Arial"/>
                <w:sz w:val="18"/>
                <w:szCs w:val="18"/>
                <w:color w:val="auto"/>
              </w:rPr>
              <w:t>2025 and thereafter</w:t>
            </w:r>
          </w:p>
        </w:tc>
        <w:tc>
          <w:tcPr>
            <w:tcW w:w="780" w:type="dxa"/>
            <w:vAlign w:val="bottom"/>
            <w:tcBorders>
              <w:bottom w:val="single" w:sz="8" w:color="auto"/>
            </w:tcBorders>
          </w:tcPr>
          <w:p>
            <w:pPr>
              <w:spacing w:after="0"/>
              <w:rPr>
                <w:sz w:val="21"/>
                <w:szCs w:val="21"/>
                <w:color w:val="auto"/>
              </w:rPr>
            </w:pPr>
          </w:p>
        </w:tc>
        <w:tc>
          <w:tcPr>
            <w:tcW w:w="106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101</w:t>
            </w:r>
          </w:p>
        </w:tc>
      </w:tr>
      <w:tr>
        <w:trPr>
          <w:trHeight w:val="250"/>
        </w:trPr>
        <w:tc>
          <w:tcPr>
            <w:tcW w:w="958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Total</w:t>
            </w:r>
          </w:p>
        </w:tc>
        <w:tc>
          <w:tcPr>
            <w:tcW w:w="780" w:type="dxa"/>
            <w:vAlign w:val="bottom"/>
            <w:tcBorders>
              <w:bottom w:val="single" w:sz="8" w:color="auto"/>
            </w:tcBorders>
            <w:shd w:val="clear" w:color="auto" w:fill="CCEEFF"/>
          </w:tcPr>
          <w:p>
            <w:pPr>
              <w:jc w:val="right"/>
              <w:ind w:right="550"/>
              <w:spacing w:after="0"/>
              <w:rPr>
                <w:sz w:val="20"/>
                <w:szCs w:val="20"/>
                <w:color w:val="auto"/>
              </w:rPr>
            </w:pPr>
            <w:r>
              <w:rPr>
                <w:rFonts w:ascii="Arial" w:cs="Arial" w:eastAsia="Arial" w:hAnsi="Arial"/>
                <w:sz w:val="18"/>
                <w:szCs w:val="18"/>
                <w:color w:val="auto"/>
              </w:rPr>
              <w:t>$</w:t>
            </w:r>
          </w:p>
        </w:tc>
        <w:tc>
          <w:tcPr>
            <w:tcW w:w="106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238</w:t>
            </w:r>
          </w:p>
        </w:tc>
      </w:tr>
      <w:tr>
        <w:trPr>
          <w:trHeight w:val="20"/>
        </w:trPr>
        <w:tc>
          <w:tcPr>
            <w:tcW w:w="9580" w:type="dxa"/>
            <w:vAlign w:val="bottom"/>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40" w:lineRule="exact"/>
        <w:rPr>
          <w:sz w:val="20"/>
          <w:szCs w:val="20"/>
          <w:color w:val="auto"/>
        </w:rPr>
      </w:pPr>
    </w:p>
    <w:p>
      <w:pPr>
        <w:ind w:left="220"/>
        <w:spacing w:after="0"/>
        <w:rPr>
          <w:sz w:val="20"/>
          <w:szCs w:val="20"/>
          <w:color w:val="auto"/>
        </w:rPr>
      </w:pPr>
      <w:r>
        <w:rPr>
          <w:rFonts w:ascii="Arial" w:cs="Arial" w:eastAsia="Arial" w:hAnsi="Arial"/>
          <w:sz w:val="18"/>
          <w:szCs w:val="18"/>
          <w:i w:val="1"/>
          <w:iCs w:val="1"/>
          <w:u w:val="single" w:color="auto"/>
          <w:color w:val="auto"/>
        </w:rPr>
        <w:t>Indefinite-Lived Intangible Assets</w:t>
      </w:r>
    </w:p>
    <w:p>
      <w:pPr>
        <w:spacing w:after="0" w:line="108" w:lineRule="exact"/>
        <w:rPr>
          <w:sz w:val="20"/>
          <w:szCs w:val="20"/>
          <w:color w:val="auto"/>
        </w:rPr>
      </w:pPr>
    </w:p>
    <w:p>
      <w:pPr>
        <w:jc w:val="both"/>
        <w:ind w:firstLine="216"/>
        <w:spacing w:after="0" w:line="254" w:lineRule="auto"/>
        <w:rPr>
          <w:sz w:val="20"/>
          <w:szCs w:val="20"/>
          <w:color w:val="auto"/>
        </w:rPr>
      </w:pPr>
      <w:r>
        <w:rPr>
          <w:rFonts w:ascii="Arial" w:cs="Arial" w:eastAsia="Arial" w:hAnsi="Arial"/>
          <w:sz w:val="18"/>
          <w:szCs w:val="18"/>
          <w:color w:val="auto"/>
        </w:rPr>
        <w:t>Indefinite-lived intangible assets include certain domestic airport slots and international slots and route authorities. Indefinite-lived intangible assets are not amortized but instead are assessed for impairment annually on October 1 or more frequently if events or circumstances indicate that the asset may be impaired. As of December 31, 2019 and 2018, we had $1.8 billion and $1.9 billion, respectively, of indefinite-lived intangible assets on our consolidated balance sheets.</w:t>
      </w:r>
    </w:p>
    <w:p>
      <w:pPr>
        <w:spacing w:after="0" w:line="150" w:lineRule="exact"/>
        <w:rPr>
          <w:sz w:val="20"/>
          <w:szCs w:val="20"/>
          <w:color w:val="auto"/>
        </w:rPr>
      </w:pPr>
    </w:p>
    <w:p>
      <w:pPr>
        <w:jc w:val="both"/>
        <w:ind w:firstLine="216"/>
        <w:spacing w:after="0" w:line="254" w:lineRule="auto"/>
        <w:rPr>
          <w:sz w:val="20"/>
          <w:szCs w:val="20"/>
          <w:color w:val="auto"/>
        </w:rPr>
      </w:pPr>
      <w:r>
        <w:rPr>
          <w:rFonts w:ascii="Arial" w:cs="Arial" w:eastAsia="Arial" w:hAnsi="Arial"/>
          <w:sz w:val="18"/>
          <w:szCs w:val="18"/>
          <w:color w:val="auto"/>
        </w:rPr>
        <w:t>Indefinite-lived intangible assets are assessed for impairment by initially performing a qualitative assessment to determine whether we believe it is more likely than not that an asset has been impaired. If we believe impairment has occurred, we then evaluate for impairment by comparing the estimated fair value of assets to the carrying value. An impairment charge is recognized if the asset’s estimated fair value is less than its carrying value. Based upon our annual assessment, there were no material indefinite-lived intangible asset impairments in 2019.</w:t>
      </w:r>
    </w:p>
    <w:p>
      <w:pPr>
        <w:spacing w:after="0" w:line="20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80</w:t>
      </w:r>
    </w:p>
    <w:p>
      <w:pPr>
        <w:sectPr>
          <w:pgSz w:w="11900" w:h="16838" w:orient="portrait"/>
          <w:cols w:equalWidth="0" w:num="1">
            <w:col w:w="11420"/>
          </w:cols>
          <w:pgMar w:left="240" w:top="549" w:right="239" w:bottom="1440" w:gutter="0" w:footer="0" w:header="0"/>
        </w:sectPr>
      </w:pPr>
    </w:p>
    <w:bookmarkStart w:id="80" w:name="page81"/>
    <w:bookmarkEnd w:id="80"/>
    <w:p>
      <w:pPr>
        <w:jc w:val="center"/>
        <w:spacing w:after="0"/>
        <w:rPr>
          <w:sz w:val="20"/>
          <w:szCs w:val="20"/>
          <w:color w:val="auto"/>
        </w:rPr>
      </w:pPr>
      <w:r>
        <w:rPr>
          <w:rFonts w:ascii="Arial" w:cs="Arial" w:eastAsia="Arial" w:hAnsi="Arial"/>
          <w:sz w:val="18"/>
          <w:szCs w:val="18"/>
          <w:b w:val="1"/>
          <w:bCs w:val="1"/>
          <w:color w:val="auto"/>
        </w:rPr>
        <w:t>NOTES TO CONSOLIDATED FINANCIAL STATEMENTS OF AMERICAN AIRLINES GROUP INC.</w:t>
      </w:r>
    </w:p>
    <w:p>
      <w:pPr>
        <w:spacing w:after="0" w:line="200" w:lineRule="exact"/>
        <w:rPr>
          <w:sz w:val="20"/>
          <w:szCs w:val="20"/>
          <w:color w:val="auto"/>
        </w:rPr>
      </w:pPr>
    </w:p>
    <w:p>
      <w:pPr>
        <w:spacing w:after="0" w:line="268" w:lineRule="exact"/>
        <w:rPr>
          <w:sz w:val="20"/>
          <w:szCs w:val="20"/>
          <w:color w:val="auto"/>
        </w:rPr>
      </w:pPr>
    </w:p>
    <w:p>
      <w:pPr>
        <w:ind w:left="240" w:right="9060" w:firstLine="11"/>
        <w:spacing w:after="0" w:line="357" w:lineRule="auto"/>
        <w:tabs>
          <w:tab w:leader="none" w:pos="524" w:val="left"/>
        </w:tabs>
        <w:numPr>
          <w:ilvl w:val="0"/>
          <w:numId w:val="31"/>
        </w:numPr>
        <w:rPr>
          <w:rFonts w:ascii="Arial" w:cs="Arial" w:eastAsia="Arial" w:hAnsi="Arial"/>
          <w:sz w:val="18"/>
          <w:szCs w:val="18"/>
          <w:b w:val="1"/>
          <w:bCs w:val="1"/>
          <w:i w:val="1"/>
          <w:iCs w:val="1"/>
          <w:color w:val="auto"/>
        </w:rPr>
      </w:pPr>
      <w:r>
        <w:rPr>
          <w:rFonts w:ascii="Arial" w:cs="Arial" w:eastAsia="Arial" w:hAnsi="Arial"/>
          <w:sz w:val="18"/>
          <w:szCs w:val="18"/>
          <w:b w:val="1"/>
          <w:bCs w:val="1"/>
          <w:i w:val="1"/>
          <w:iCs w:val="1"/>
          <w:color w:val="auto"/>
        </w:rPr>
        <w:t xml:space="preserve">Revenue Recognition </w:t>
      </w:r>
      <w:r>
        <w:rPr>
          <w:rFonts w:ascii="Arial" w:cs="Arial" w:eastAsia="Arial" w:hAnsi="Arial"/>
          <w:sz w:val="18"/>
          <w:szCs w:val="18"/>
          <w:i w:val="1"/>
          <w:iCs w:val="1"/>
          <w:u w:val="single" w:color="auto"/>
          <w:color w:val="auto"/>
        </w:rPr>
        <w:t>Revenue</w:t>
      </w:r>
    </w:p>
    <w:p>
      <w:pPr>
        <w:ind w:left="260"/>
        <w:spacing w:after="0"/>
        <w:rPr>
          <w:rFonts w:ascii="Arial" w:cs="Arial" w:eastAsia="Arial" w:hAnsi="Arial"/>
          <w:sz w:val="18"/>
          <w:szCs w:val="18"/>
          <w:b w:val="1"/>
          <w:bCs w:val="1"/>
          <w:i w:val="1"/>
          <w:iCs w:val="1"/>
          <w:color w:val="auto"/>
        </w:rPr>
      </w:pPr>
      <w:r>
        <w:rPr>
          <w:rFonts w:ascii="Arial" w:cs="Arial" w:eastAsia="Arial" w:hAnsi="Arial"/>
          <w:sz w:val="18"/>
          <w:szCs w:val="18"/>
          <w:color w:val="auto"/>
        </w:rPr>
        <w:t>The following are the significant categories comprising our reported operating revenues (in millions):</w:t>
      </w:r>
    </w:p>
    <w:p>
      <w:pPr>
        <w:spacing w:after="0" w:line="375" w:lineRule="exact"/>
        <w:rPr>
          <w:sz w:val="20"/>
          <w:szCs w:val="20"/>
          <w:color w:val="auto"/>
        </w:rPr>
      </w:pPr>
    </w:p>
    <w:tbl>
      <w:tblPr>
        <w:tblLayout w:type="fixed"/>
        <w:tblInd w:w="0" w:type="dxa"/>
        <w:tblCellMar>
          <w:top w:w="0" w:type="dxa"/>
          <w:left w:w="0" w:type="dxa"/>
          <w:bottom w:w="0" w:type="dxa"/>
          <w:right w:w="0" w:type="dxa"/>
        </w:tblCellMar>
      </w:tblPr>
      <w:tr>
        <w:trPr>
          <w:trHeight w:val="196"/>
        </w:trPr>
        <w:tc>
          <w:tcPr>
            <w:tcW w:w="2120" w:type="dxa"/>
            <w:vAlign w:val="bottom"/>
          </w:tcPr>
          <w:p>
            <w:pPr>
              <w:spacing w:after="0"/>
              <w:rPr>
                <w:sz w:val="17"/>
                <w:szCs w:val="17"/>
                <w:color w:val="auto"/>
              </w:rPr>
            </w:pPr>
          </w:p>
        </w:tc>
        <w:tc>
          <w:tcPr>
            <w:tcW w:w="4620" w:type="dxa"/>
            <w:vAlign w:val="bottom"/>
          </w:tcPr>
          <w:p>
            <w:pPr>
              <w:spacing w:after="0"/>
              <w:rPr>
                <w:sz w:val="17"/>
                <w:szCs w:val="17"/>
                <w:color w:val="auto"/>
              </w:rPr>
            </w:pPr>
          </w:p>
        </w:tc>
        <w:tc>
          <w:tcPr>
            <w:tcW w:w="360" w:type="dxa"/>
            <w:vAlign w:val="bottom"/>
            <w:tcBorders>
              <w:bottom w:val="single" w:sz="8" w:color="auto"/>
            </w:tcBorders>
          </w:tcPr>
          <w:p>
            <w:pPr>
              <w:spacing w:after="0"/>
              <w:rPr>
                <w:sz w:val="17"/>
                <w:szCs w:val="17"/>
                <w:color w:val="auto"/>
              </w:rPr>
            </w:pPr>
          </w:p>
        </w:tc>
        <w:tc>
          <w:tcPr>
            <w:tcW w:w="1080" w:type="dxa"/>
            <w:vAlign w:val="bottom"/>
            <w:tcBorders>
              <w:bottom w:val="single" w:sz="8" w:color="auto"/>
            </w:tcBorders>
          </w:tcPr>
          <w:p>
            <w:pPr>
              <w:spacing w:after="0"/>
              <w:rPr>
                <w:sz w:val="17"/>
                <w:szCs w:val="17"/>
                <w:color w:val="auto"/>
              </w:rPr>
            </w:pPr>
          </w:p>
        </w:tc>
        <w:tc>
          <w:tcPr>
            <w:tcW w:w="2100" w:type="dxa"/>
            <w:vAlign w:val="bottom"/>
            <w:tcBorders>
              <w:bottom w:val="single" w:sz="8" w:color="auto"/>
            </w:tcBorders>
            <w:gridSpan w:val="6"/>
          </w:tcPr>
          <w:p>
            <w:pPr>
              <w:jc w:val="right"/>
              <w:ind w:right="210"/>
              <w:spacing w:after="0"/>
              <w:rPr>
                <w:sz w:val="20"/>
                <w:szCs w:val="20"/>
                <w:color w:val="auto"/>
              </w:rPr>
            </w:pPr>
            <w:r>
              <w:rPr>
                <w:rFonts w:ascii="Arial" w:cs="Arial" w:eastAsia="Arial" w:hAnsi="Arial"/>
                <w:sz w:val="14"/>
                <w:szCs w:val="14"/>
                <w:b w:val="1"/>
                <w:bCs w:val="1"/>
                <w:color w:val="auto"/>
              </w:rPr>
              <w:t>Year Ended December 31,</w:t>
            </w:r>
          </w:p>
        </w:tc>
        <w:tc>
          <w:tcPr>
            <w:tcW w:w="1140" w:type="dxa"/>
            <w:vAlign w:val="bottom"/>
            <w:tcBorders>
              <w:bottom w:val="single" w:sz="8" w:color="auto"/>
            </w:tcBorders>
          </w:tcPr>
          <w:p>
            <w:pPr>
              <w:spacing w:after="0"/>
              <w:rPr>
                <w:sz w:val="17"/>
                <w:szCs w:val="17"/>
                <w:color w:val="auto"/>
              </w:rPr>
            </w:pPr>
          </w:p>
        </w:tc>
      </w:tr>
      <w:tr>
        <w:trPr>
          <w:trHeight w:val="263"/>
        </w:trPr>
        <w:tc>
          <w:tcPr>
            <w:tcW w:w="2120" w:type="dxa"/>
            <w:vAlign w:val="bottom"/>
          </w:tcPr>
          <w:p>
            <w:pPr>
              <w:spacing w:after="0"/>
              <w:rPr>
                <w:sz w:val="22"/>
                <w:szCs w:val="22"/>
                <w:color w:val="auto"/>
              </w:rPr>
            </w:pPr>
          </w:p>
        </w:tc>
        <w:tc>
          <w:tcPr>
            <w:tcW w:w="4620" w:type="dxa"/>
            <w:vAlign w:val="bottom"/>
          </w:tcPr>
          <w:p>
            <w:pPr>
              <w:spacing w:after="0"/>
              <w:rPr>
                <w:sz w:val="22"/>
                <w:szCs w:val="22"/>
                <w:color w:val="auto"/>
              </w:rPr>
            </w:pPr>
          </w:p>
        </w:tc>
        <w:tc>
          <w:tcPr>
            <w:tcW w:w="360" w:type="dxa"/>
            <w:vAlign w:val="bottom"/>
            <w:tcBorders>
              <w:bottom w:val="single" w:sz="8" w:color="auto"/>
            </w:tcBorders>
          </w:tcPr>
          <w:p>
            <w:pPr>
              <w:spacing w:after="0"/>
              <w:rPr>
                <w:sz w:val="22"/>
                <w:szCs w:val="22"/>
                <w:color w:val="auto"/>
              </w:rPr>
            </w:pPr>
          </w:p>
        </w:tc>
        <w:tc>
          <w:tcPr>
            <w:tcW w:w="1080" w:type="dxa"/>
            <w:vAlign w:val="bottom"/>
            <w:tcBorders>
              <w:bottom w:val="single" w:sz="8" w:color="auto"/>
            </w:tcBorders>
          </w:tcPr>
          <w:p>
            <w:pPr>
              <w:jc w:val="right"/>
              <w:ind w:right="432"/>
              <w:spacing w:after="0"/>
              <w:rPr>
                <w:sz w:val="20"/>
                <w:szCs w:val="20"/>
                <w:color w:val="auto"/>
              </w:rPr>
            </w:pPr>
            <w:r>
              <w:rPr>
                <w:rFonts w:ascii="Arial" w:cs="Arial" w:eastAsia="Arial" w:hAnsi="Arial"/>
                <w:sz w:val="14"/>
                <w:szCs w:val="14"/>
                <w:b w:val="1"/>
                <w:bCs w:val="1"/>
                <w:color w:val="auto"/>
              </w:rPr>
              <w:t>2019</w:t>
            </w:r>
          </w:p>
        </w:tc>
        <w:tc>
          <w:tcPr>
            <w:tcW w:w="60" w:type="dxa"/>
            <w:vAlign w:val="bottom"/>
            <w:tcBorders>
              <w:bottom w:val="single" w:sz="8" w:color="auto"/>
            </w:tcBorders>
          </w:tcPr>
          <w:p>
            <w:pPr>
              <w:spacing w:after="0"/>
              <w:rPr>
                <w:sz w:val="22"/>
                <w:szCs w:val="22"/>
                <w:color w:val="auto"/>
              </w:rPr>
            </w:pPr>
          </w:p>
        </w:tc>
        <w:tc>
          <w:tcPr>
            <w:tcW w:w="100" w:type="dxa"/>
            <w:vAlign w:val="bottom"/>
          </w:tcPr>
          <w:p>
            <w:pPr>
              <w:spacing w:after="0"/>
              <w:rPr>
                <w:sz w:val="22"/>
                <w:szCs w:val="22"/>
                <w:color w:val="auto"/>
              </w:rPr>
            </w:pPr>
          </w:p>
        </w:tc>
        <w:tc>
          <w:tcPr>
            <w:tcW w:w="360" w:type="dxa"/>
            <w:vAlign w:val="bottom"/>
            <w:tcBorders>
              <w:bottom w:val="single" w:sz="8" w:color="auto"/>
            </w:tcBorders>
          </w:tcPr>
          <w:p>
            <w:pPr>
              <w:spacing w:after="0"/>
              <w:rPr>
                <w:sz w:val="22"/>
                <w:szCs w:val="22"/>
                <w:color w:val="auto"/>
              </w:rPr>
            </w:pPr>
          </w:p>
        </w:tc>
        <w:tc>
          <w:tcPr>
            <w:tcW w:w="1120" w:type="dxa"/>
            <w:vAlign w:val="bottom"/>
            <w:tcBorders>
              <w:bottom w:val="single" w:sz="8" w:color="auto"/>
            </w:tcBorders>
          </w:tcPr>
          <w:p>
            <w:pPr>
              <w:jc w:val="right"/>
              <w:ind w:right="492"/>
              <w:spacing w:after="0"/>
              <w:rPr>
                <w:sz w:val="20"/>
                <w:szCs w:val="20"/>
                <w:color w:val="auto"/>
              </w:rPr>
            </w:pPr>
            <w:r>
              <w:rPr>
                <w:rFonts w:ascii="Arial" w:cs="Arial" w:eastAsia="Arial" w:hAnsi="Arial"/>
                <w:sz w:val="14"/>
                <w:szCs w:val="14"/>
                <w:b w:val="1"/>
                <w:bCs w:val="1"/>
                <w:color w:val="auto"/>
              </w:rPr>
              <w:t>2018</w:t>
            </w:r>
          </w:p>
        </w:tc>
        <w:tc>
          <w:tcPr>
            <w:tcW w:w="120" w:type="dxa"/>
            <w:vAlign w:val="bottom"/>
          </w:tcPr>
          <w:p>
            <w:pPr>
              <w:spacing w:after="0"/>
              <w:rPr>
                <w:sz w:val="22"/>
                <w:szCs w:val="22"/>
                <w:color w:val="auto"/>
              </w:rPr>
            </w:pPr>
          </w:p>
        </w:tc>
        <w:tc>
          <w:tcPr>
            <w:tcW w:w="340" w:type="dxa"/>
            <w:vAlign w:val="bottom"/>
            <w:tcBorders>
              <w:bottom w:val="single" w:sz="8" w:color="auto"/>
            </w:tcBorders>
          </w:tcPr>
          <w:p>
            <w:pPr>
              <w:spacing w:after="0"/>
              <w:rPr>
                <w:sz w:val="22"/>
                <w:szCs w:val="22"/>
                <w:color w:val="auto"/>
              </w:rPr>
            </w:pPr>
          </w:p>
        </w:tc>
        <w:tc>
          <w:tcPr>
            <w:tcW w:w="1140" w:type="dxa"/>
            <w:vAlign w:val="bottom"/>
            <w:tcBorders>
              <w:bottom w:val="single" w:sz="8" w:color="auto"/>
            </w:tcBorders>
          </w:tcPr>
          <w:p>
            <w:pPr>
              <w:jc w:val="right"/>
              <w:ind w:right="492"/>
              <w:spacing w:after="0"/>
              <w:rPr>
                <w:sz w:val="20"/>
                <w:szCs w:val="20"/>
                <w:color w:val="auto"/>
              </w:rPr>
            </w:pPr>
            <w:r>
              <w:rPr>
                <w:rFonts w:ascii="Arial" w:cs="Arial" w:eastAsia="Arial" w:hAnsi="Arial"/>
                <w:sz w:val="14"/>
                <w:szCs w:val="14"/>
                <w:b w:val="1"/>
                <w:bCs w:val="1"/>
                <w:color w:val="auto"/>
              </w:rPr>
              <w:t>2017</w:t>
            </w:r>
          </w:p>
        </w:tc>
      </w:tr>
      <w:tr>
        <w:trPr>
          <w:trHeight w:val="263"/>
        </w:trPr>
        <w:tc>
          <w:tcPr>
            <w:tcW w:w="6740" w:type="dxa"/>
            <w:vAlign w:val="bottom"/>
            <w:gridSpan w:val="2"/>
          </w:tcPr>
          <w:p>
            <w:pPr>
              <w:ind w:left="40"/>
              <w:spacing w:after="0"/>
              <w:rPr>
                <w:sz w:val="20"/>
                <w:szCs w:val="20"/>
                <w:color w:val="auto"/>
              </w:rPr>
            </w:pPr>
            <w:r>
              <w:rPr>
                <w:rFonts w:ascii="Arial" w:cs="Arial" w:eastAsia="Arial" w:hAnsi="Arial"/>
                <w:sz w:val="18"/>
                <w:szCs w:val="18"/>
                <w:color w:val="auto"/>
              </w:rPr>
              <w:t>Passenger revenue:</w:t>
            </w:r>
          </w:p>
        </w:tc>
        <w:tc>
          <w:tcPr>
            <w:tcW w:w="360" w:type="dxa"/>
            <w:vAlign w:val="bottom"/>
          </w:tcPr>
          <w:p>
            <w:pPr>
              <w:spacing w:after="0"/>
              <w:rPr>
                <w:sz w:val="22"/>
                <w:szCs w:val="22"/>
                <w:color w:val="auto"/>
              </w:rPr>
            </w:pPr>
          </w:p>
        </w:tc>
        <w:tc>
          <w:tcPr>
            <w:tcW w:w="108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11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1140" w:type="dxa"/>
            <w:vAlign w:val="bottom"/>
          </w:tcPr>
          <w:p>
            <w:pPr>
              <w:spacing w:after="0"/>
              <w:rPr>
                <w:sz w:val="22"/>
                <w:szCs w:val="22"/>
                <w:color w:val="auto"/>
              </w:rPr>
            </w:pPr>
          </w:p>
        </w:tc>
      </w:tr>
      <w:tr>
        <w:trPr>
          <w:trHeight w:val="277"/>
        </w:trPr>
        <w:tc>
          <w:tcPr>
            <w:tcW w:w="6740" w:type="dxa"/>
            <w:vAlign w:val="bottom"/>
            <w:gridSpan w:val="2"/>
            <w:shd w:val="clear" w:color="auto" w:fill="CCEEFF"/>
          </w:tcPr>
          <w:p>
            <w:pPr>
              <w:ind w:left="280"/>
              <w:spacing w:after="0"/>
              <w:rPr>
                <w:sz w:val="20"/>
                <w:szCs w:val="20"/>
                <w:color w:val="auto"/>
              </w:rPr>
            </w:pPr>
            <w:r>
              <w:rPr>
                <w:rFonts w:ascii="Arial" w:cs="Arial" w:eastAsia="Arial" w:hAnsi="Arial"/>
                <w:sz w:val="18"/>
                <w:szCs w:val="18"/>
                <w:color w:val="auto"/>
              </w:rPr>
              <w:t>Passenger travel</w:t>
            </w:r>
          </w:p>
        </w:tc>
        <w:tc>
          <w:tcPr>
            <w:tcW w:w="36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rPr>
              <w:t>$</w:t>
            </w: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38,831</w:t>
            </w:r>
          </w:p>
        </w:tc>
        <w:tc>
          <w:tcPr>
            <w:tcW w:w="520" w:type="dxa"/>
            <w:vAlign w:val="bottom"/>
            <w:gridSpan w:val="3"/>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112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37,457</w:t>
            </w:r>
          </w:p>
        </w:tc>
        <w:tc>
          <w:tcPr>
            <w:tcW w:w="120" w:type="dxa"/>
            <w:vAlign w:val="bottom"/>
            <w:shd w:val="clear" w:color="auto" w:fill="CCEEFF"/>
          </w:tcPr>
          <w:p>
            <w:pPr>
              <w:spacing w:after="0"/>
              <w:rPr>
                <w:sz w:val="24"/>
                <w:szCs w:val="24"/>
                <w:color w:val="auto"/>
              </w:rPr>
            </w:pPr>
          </w:p>
        </w:tc>
        <w:tc>
          <w:tcPr>
            <w:tcW w:w="34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14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36,152</w:t>
            </w:r>
          </w:p>
        </w:tc>
      </w:tr>
      <w:tr>
        <w:trPr>
          <w:trHeight w:val="270"/>
        </w:trPr>
        <w:tc>
          <w:tcPr>
            <w:tcW w:w="6740" w:type="dxa"/>
            <w:vAlign w:val="bottom"/>
            <w:tcBorders>
              <w:bottom w:val="single" w:sz="8" w:color="CCEEFF"/>
            </w:tcBorders>
            <w:gridSpan w:val="2"/>
          </w:tcPr>
          <w:p>
            <w:pPr>
              <w:ind w:left="280"/>
              <w:spacing w:after="0"/>
              <w:rPr>
                <w:sz w:val="20"/>
                <w:szCs w:val="20"/>
                <w:color w:val="auto"/>
              </w:rPr>
            </w:pPr>
            <w:r>
              <w:rPr>
                <w:rFonts w:ascii="Arial" w:cs="Arial" w:eastAsia="Arial" w:hAnsi="Arial"/>
                <w:sz w:val="18"/>
                <w:szCs w:val="18"/>
                <w:color w:val="auto"/>
              </w:rPr>
              <w:t xml:space="preserve">Loyalty revenue - travel </w:t>
            </w:r>
            <w:r>
              <w:rPr>
                <w:rFonts w:ascii="Arial" w:cs="Arial" w:eastAsia="Arial" w:hAnsi="Arial"/>
                <w:sz w:val="21"/>
                <w:szCs w:val="21"/>
                <w:color w:val="auto"/>
                <w:vertAlign w:val="superscript"/>
              </w:rPr>
              <w:t>(1)</w:t>
            </w:r>
          </w:p>
        </w:tc>
        <w:tc>
          <w:tcPr>
            <w:tcW w:w="360" w:type="dxa"/>
            <w:vAlign w:val="bottom"/>
            <w:tcBorders>
              <w:bottom w:val="single" w:sz="8" w:color="auto"/>
            </w:tcBorders>
          </w:tcPr>
          <w:p>
            <w:pPr>
              <w:spacing w:after="0"/>
              <w:rPr>
                <w:sz w:val="23"/>
                <w:szCs w:val="23"/>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3,179</w:t>
            </w:r>
          </w:p>
        </w:tc>
        <w:tc>
          <w:tcPr>
            <w:tcW w:w="60" w:type="dxa"/>
            <w:vAlign w:val="bottom"/>
            <w:tcBorders>
              <w:bottom w:val="single" w:sz="8" w:color="auto"/>
            </w:tcBorders>
          </w:tcPr>
          <w:p>
            <w:pPr>
              <w:spacing w:after="0"/>
              <w:rPr>
                <w:sz w:val="23"/>
                <w:szCs w:val="23"/>
                <w:color w:val="auto"/>
              </w:rPr>
            </w:pPr>
          </w:p>
        </w:tc>
        <w:tc>
          <w:tcPr>
            <w:tcW w:w="100" w:type="dxa"/>
            <w:vAlign w:val="bottom"/>
            <w:tcBorders>
              <w:bottom w:val="single" w:sz="8" w:color="CCEEFF"/>
            </w:tcBorders>
          </w:tcPr>
          <w:p>
            <w:pPr>
              <w:spacing w:after="0"/>
              <w:rPr>
                <w:sz w:val="23"/>
                <w:szCs w:val="23"/>
                <w:color w:val="auto"/>
              </w:rPr>
            </w:pPr>
          </w:p>
        </w:tc>
        <w:tc>
          <w:tcPr>
            <w:tcW w:w="360" w:type="dxa"/>
            <w:vAlign w:val="bottom"/>
            <w:tcBorders>
              <w:bottom w:val="single" w:sz="8" w:color="auto"/>
            </w:tcBorders>
          </w:tcPr>
          <w:p>
            <w:pPr>
              <w:spacing w:after="0"/>
              <w:rPr>
                <w:sz w:val="23"/>
                <w:szCs w:val="23"/>
                <w:color w:val="auto"/>
              </w:rPr>
            </w:pPr>
          </w:p>
        </w:tc>
        <w:tc>
          <w:tcPr>
            <w:tcW w:w="1120" w:type="dxa"/>
            <w:vAlign w:val="bottom"/>
            <w:tcBorders>
              <w:bottom w:val="single" w:sz="8" w:color="auto"/>
            </w:tcBorders>
          </w:tcPr>
          <w:p>
            <w:pPr>
              <w:jc w:val="right"/>
              <w:ind w:right="12"/>
              <w:spacing w:after="0"/>
              <w:rPr>
                <w:sz w:val="20"/>
                <w:szCs w:val="20"/>
                <w:color w:val="auto"/>
              </w:rPr>
            </w:pPr>
            <w:r>
              <w:rPr>
                <w:rFonts w:ascii="Arial" w:cs="Arial" w:eastAsia="Arial" w:hAnsi="Arial"/>
                <w:sz w:val="18"/>
                <w:szCs w:val="18"/>
                <w:color w:val="auto"/>
              </w:rPr>
              <w:t>3,219</w:t>
            </w:r>
          </w:p>
        </w:tc>
        <w:tc>
          <w:tcPr>
            <w:tcW w:w="120" w:type="dxa"/>
            <w:vAlign w:val="bottom"/>
            <w:tcBorders>
              <w:bottom w:val="single" w:sz="8" w:color="CCEEFF"/>
            </w:tcBorders>
          </w:tcPr>
          <w:p>
            <w:pPr>
              <w:spacing w:after="0"/>
              <w:rPr>
                <w:sz w:val="23"/>
                <w:szCs w:val="23"/>
                <w:color w:val="auto"/>
              </w:rPr>
            </w:pPr>
          </w:p>
        </w:tc>
        <w:tc>
          <w:tcPr>
            <w:tcW w:w="340" w:type="dxa"/>
            <w:vAlign w:val="bottom"/>
            <w:tcBorders>
              <w:bottom w:val="single" w:sz="8" w:color="auto"/>
            </w:tcBorders>
          </w:tcPr>
          <w:p>
            <w:pPr>
              <w:spacing w:after="0"/>
              <w:rPr>
                <w:sz w:val="23"/>
                <w:szCs w:val="23"/>
                <w:color w:val="auto"/>
              </w:rPr>
            </w:pPr>
          </w:p>
        </w:tc>
        <w:tc>
          <w:tcPr>
            <w:tcW w:w="1140" w:type="dxa"/>
            <w:vAlign w:val="bottom"/>
            <w:tcBorders>
              <w:bottom w:val="single" w:sz="8" w:color="auto"/>
            </w:tcBorders>
          </w:tcPr>
          <w:p>
            <w:pPr>
              <w:jc w:val="right"/>
              <w:ind w:right="12"/>
              <w:spacing w:after="0"/>
              <w:rPr>
                <w:sz w:val="20"/>
                <w:szCs w:val="20"/>
                <w:color w:val="auto"/>
              </w:rPr>
            </w:pPr>
            <w:r>
              <w:rPr>
                <w:rFonts w:ascii="Arial" w:cs="Arial" w:eastAsia="Arial" w:hAnsi="Arial"/>
                <w:sz w:val="18"/>
                <w:szCs w:val="18"/>
                <w:color w:val="auto"/>
              </w:rPr>
              <w:t>2,979</w:t>
            </w:r>
          </w:p>
        </w:tc>
      </w:tr>
      <w:tr>
        <w:trPr>
          <w:trHeight w:val="250"/>
        </w:trPr>
        <w:tc>
          <w:tcPr>
            <w:tcW w:w="6740" w:type="dxa"/>
            <w:vAlign w:val="bottom"/>
            <w:gridSpan w:val="2"/>
            <w:shd w:val="clear" w:color="auto" w:fill="CCEEFF"/>
          </w:tcPr>
          <w:p>
            <w:pPr>
              <w:ind w:left="500"/>
              <w:spacing w:after="0"/>
              <w:rPr>
                <w:sz w:val="20"/>
                <w:szCs w:val="20"/>
                <w:color w:val="auto"/>
              </w:rPr>
            </w:pPr>
            <w:r>
              <w:rPr>
                <w:rFonts w:ascii="Arial" w:cs="Arial" w:eastAsia="Arial" w:hAnsi="Arial"/>
                <w:sz w:val="18"/>
                <w:szCs w:val="18"/>
                <w:color w:val="auto"/>
              </w:rPr>
              <w:t>Total passenger revenue</w:t>
            </w:r>
          </w:p>
        </w:tc>
        <w:tc>
          <w:tcPr>
            <w:tcW w:w="360" w:type="dxa"/>
            <w:vAlign w:val="bottom"/>
            <w:shd w:val="clear" w:color="auto" w:fill="CCEEFF"/>
          </w:tcPr>
          <w:p>
            <w:pPr>
              <w:spacing w:after="0"/>
              <w:rPr>
                <w:sz w:val="21"/>
                <w:szCs w:val="21"/>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42,010</w:t>
            </w:r>
          </w:p>
        </w:tc>
        <w:tc>
          <w:tcPr>
            <w:tcW w:w="6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360" w:type="dxa"/>
            <w:vAlign w:val="bottom"/>
            <w:shd w:val="clear" w:color="auto" w:fill="CCEEFF"/>
          </w:tcPr>
          <w:p>
            <w:pPr>
              <w:spacing w:after="0"/>
              <w:rPr>
                <w:sz w:val="21"/>
                <w:szCs w:val="21"/>
                <w:color w:val="auto"/>
              </w:rPr>
            </w:pPr>
          </w:p>
        </w:tc>
        <w:tc>
          <w:tcPr>
            <w:tcW w:w="112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40,676</w:t>
            </w:r>
          </w:p>
        </w:tc>
        <w:tc>
          <w:tcPr>
            <w:tcW w:w="120" w:type="dxa"/>
            <w:vAlign w:val="bottom"/>
            <w:shd w:val="clear" w:color="auto" w:fill="CCEEFF"/>
          </w:tcPr>
          <w:p>
            <w:pPr>
              <w:spacing w:after="0"/>
              <w:rPr>
                <w:sz w:val="21"/>
                <w:szCs w:val="21"/>
                <w:color w:val="auto"/>
              </w:rPr>
            </w:pPr>
          </w:p>
        </w:tc>
        <w:tc>
          <w:tcPr>
            <w:tcW w:w="340" w:type="dxa"/>
            <w:vAlign w:val="bottom"/>
            <w:shd w:val="clear" w:color="auto" w:fill="CCEEFF"/>
          </w:tcPr>
          <w:p>
            <w:pPr>
              <w:spacing w:after="0"/>
              <w:rPr>
                <w:sz w:val="21"/>
                <w:szCs w:val="21"/>
                <w:color w:val="auto"/>
              </w:rPr>
            </w:pPr>
          </w:p>
        </w:tc>
        <w:tc>
          <w:tcPr>
            <w:tcW w:w="114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39,131</w:t>
            </w:r>
          </w:p>
        </w:tc>
      </w:tr>
      <w:tr>
        <w:trPr>
          <w:trHeight w:val="263"/>
        </w:trPr>
        <w:tc>
          <w:tcPr>
            <w:tcW w:w="6740" w:type="dxa"/>
            <w:vAlign w:val="bottom"/>
            <w:gridSpan w:val="2"/>
          </w:tcPr>
          <w:p>
            <w:pPr>
              <w:ind w:left="40"/>
              <w:spacing w:after="0"/>
              <w:rPr>
                <w:sz w:val="20"/>
                <w:szCs w:val="20"/>
                <w:color w:val="auto"/>
              </w:rPr>
            </w:pPr>
            <w:r>
              <w:rPr>
                <w:rFonts w:ascii="Arial" w:cs="Arial" w:eastAsia="Arial" w:hAnsi="Arial"/>
                <w:sz w:val="18"/>
                <w:szCs w:val="18"/>
                <w:color w:val="auto"/>
              </w:rPr>
              <w:t>Cargo</w:t>
            </w:r>
          </w:p>
        </w:tc>
        <w:tc>
          <w:tcPr>
            <w:tcW w:w="360" w:type="dxa"/>
            <w:vAlign w:val="bottom"/>
          </w:tcPr>
          <w:p>
            <w:pPr>
              <w:spacing w:after="0"/>
              <w:rPr>
                <w:sz w:val="22"/>
                <w:szCs w:val="22"/>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863</w:t>
            </w:r>
          </w:p>
        </w:tc>
        <w:tc>
          <w:tcPr>
            <w:tcW w:w="6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1120" w:type="dxa"/>
            <w:vAlign w:val="bottom"/>
          </w:tcPr>
          <w:p>
            <w:pPr>
              <w:jc w:val="right"/>
              <w:ind w:right="12"/>
              <w:spacing w:after="0"/>
              <w:rPr>
                <w:sz w:val="20"/>
                <w:szCs w:val="20"/>
                <w:color w:val="auto"/>
              </w:rPr>
            </w:pPr>
            <w:r>
              <w:rPr>
                <w:rFonts w:ascii="Arial" w:cs="Arial" w:eastAsia="Arial" w:hAnsi="Arial"/>
                <w:sz w:val="18"/>
                <w:szCs w:val="18"/>
                <w:color w:val="auto"/>
              </w:rPr>
              <w:t>1,013</w:t>
            </w:r>
          </w:p>
        </w:tc>
        <w:tc>
          <w:tcPr>
            <w:tcW w:w="12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1140" w:type="dxa"/>
            <w:vAlign w:val="bottom"/>
          </w:tcPr>
          <w:p>
            <w:pPr>
              <w:jc w:val="right"/>
              <w:ind w:right="12"/>
              <w:spacing w:after="0"/>
              <w:rPr>
                <w:sz w:val="20"/>
                <w:szCs w:val="20"/>
                <w:color w:val="auto"/>
              </w:rPr>
            </w:pPr>
            <w:r>
              <w:rPr>
                <w:rFonts w:ascii="Arial" w:cs="Arial" w:eastAsia="Arial" w:hAnsi="Arial"/>
                <w:sz w:val="18"/>
                <w:szCs w:val="18"/>
                <w:color w:val="auto"/>
              </w:rPr>
              <w:t>890</w:t>
            </w:r>
          </w:p>
        </w:tc>
      </w:tr>
      <w:tr>
        <w:trPr>
          <w:trHeight w:val="277"/>
        </w:trPr>
        <w:tc>
          <w:tcPr>
            <w:tcW w:w="6740" w:type="dxa"/>
            <w:vAlign w:val="bottom"/>
            <w:gridSpan w:val="2"/>
            <w:shd w:val="clear" w:color="auto" w:fill="CCEEFF"/>
          </w:tcPr>
          <w:p>
            <w:pPr>
              <w:ind w:left="40"/>
              <w:spacing w:after="0"/>
              <w:rPr>
                <w:sz w:val="20"/>
                <w:szCs w:val="20"/>
                <w:color w:val="auto"/>
              </w:rPr>
            </w:pPr>
            <w:r>
              <w:rPr>
                <w:rFonts w:ascii="Arial" w:cs="Arial" w:eastAsia="Arial" w:hAnsi="Arial"/>
                <w:sz w:val="18"/>
                <w:szCs w:val="18"/>
                <w:color w:val="auto"/>
              </w:rPr>
              <w:t>Other:</w:t>
            </w:r>
          </w:p>
        </w:tc>
        <w:tc>
          <w:tcPr>
            <w:tcW w:w="360" w:type="dxa"/>
            <w:vAlign w:val="bottom"/>
            <w:shd w:val="clear" w:color="auto" w:fill="CCEEFF"/>
          </w:tcPr>
          <w:p>
            <w:pPr>
              <w:spacing w:after="0"/>
              <w:rPr>
                <w:sz w:val="24"/>
                <w:szCs w:val="24"/>
                <w:color w:val="auto"/>
              </w:rPr>
            </w:pPr>
          </w:p>
        </w:tc>
        <w:tc>
          <w:tcPr>
            <w:tcW w:w="1080" w:type="dxa"/>
            <w:vAlign w:val="bottom"/>
            <w:shd w:val="clear" w:color="auto" w:fill="CCEEFF"/>
          </w:tcPr>
          <w:p>
            <w:pPr>
              <w:spacing w:after="0"/>
              <w:rPr>
                <w:sz w:val="24"/>
                <w:szCs w:val="24"/>
                <w:color w:val="auto"/>
              </w:rPr>
            </w:pPr>
          </w:p>
        </w:tc>
        <w:tc>
          <w:tcPr>
            <w:tcW w:w="6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360" w:type="dxa"/>
            <w:vAlign w:val="bottom"/>
            <w:shd w:val="clear" w:color="auto" w:fill="CCEEFF"/>
          </w:tcPr>
          <w:p>
            <w:pPr>
              <w:spacing w:after="0"/>
              <w:rPr>
                <w:sz w:val="24"/>
                <w:szCs w:val="24"/>
                <w:color w:val="auto"/>
              </w:rPr>
            </w:pPr>
          </w:p>
        </w:tc>
        <w:tc>
          <w:tcPr>
            <w:tcW w:w="112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340" w:type="dxa"/>
            <w:vAlign w:val="bottom"/>
            <w:shd w:val="clear" w:color="auto" w:fill="CCEEFF"/>
          </w:tcPr>
          <w:p>
            <w:pPr>
              <w:spacing w:after="0"/>
              <w:rPr>
                <w:sz w:val="24"/>
                <w:szCs w:val="24"/>
                <w:color w:val="auto"/>
              </w:rPr>
            </w:pPr>
          </w:p>
        </w:tc>
        <w:tc>
          <w:tcPr>
            <w:tcW w:w="1140" w:type="dxa"/>
            <w:vAlign w:val="bottom"/>
            <w:shd w:val="clear" w:color="auto" w:fill="CCEEFF"/>
          </w:tcPr>
          <w:p>
            <w:pPr>
              <w:spacing w:after="0"/>
              <w:rPr>
                <w:sz w:val="24"/>
                <w:szCs w:val="24"/>
                <w:color w:val="auto"/>
              </w:rPr>
            </w:pPr>
          </w:p>
        </w:tc>
      </w:tr>
      <w:tr>
        <w:trPr>
          <w:trHeight w:val="263"/>
        </w:trPr>
        <w:tc>
          <w:tcPr>
            <w:tcW w:w="6740" w:type="dxa"/>
            <w:vAlign w:val="bottom"/>
            <w:gridSpan w:val="2"/>
          </w:tcPr>
          <w:p>
            <w:pPr>
              <w:ind w:left="280"/>
              <w:spacing w:after="0"/>
              <w:rPr>
                <w:sz w:val="20"/>
                <w:szCs w:val="20"/>
                <w:color w:val="auto"/>
              </w:rPr>
            </w:pPr>
            <w:r>
              <w:rPr>
                <w:rFonts w:ascii="Arial" w:cs="Arial" w:eastAsia="Arial" w:hAnsi="Arial"/>
                <w:sz w:val="18"/>
                <w:szCs w:val="18"/>
                <w:color w:val="auto"/>
              </w:rPr>
              <w:t>Loyalty revenue - marketing services</w:t>
            </w:r>
          </w:p>
        </w:tc>
        <w:tc>
          <w:tcPr>
            <w:tcW w:w="360" w:type="dxa"/>
            <w:vAlign w:val="bottom"/>
          </w:tcPr>
          <w:p>
            <w:pPr>
              <w:spacing w:after="0"/>
              <w:rPr>
                <w:sz w:val="22"/>
                <w:szCs w:val="22"/>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2,361</w:t>
            </w:r>
          </w:p>
        </w:tc>
        <w:tc>
          <w:tcPr>
            <w:tcW w:w="6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1120" w:type="dxa"/>
            <w:vAlign w:val="bottom"/>
          </w:tcPr>
          <w:p>
            <w:pPr>
              <w:jc w:val="right"/>
              <w:ind w:right="12"/>
              <w:spacing w:after="0"/>
              <w:rPr>
                <w:sz w:val="20"/>
                <w:szCs w:val="20"/>
                <w:color w:val="auto"/>
              </w:rPr>
            </w:pPr>
            <w:r>
              <w:rPr>
                <w:rFonts w:ascii="Arial" w:cs="Arial" w:eastAsia="Arial" w:hAnsi="Arial"/>
                <w:sz w:val="18"/>
                <w:szCs w:val="18"/>
                <w:color w:val="auto"/>
              </w:rPr>
              <w:t>2,352</w:t>
            </w:r>
          </w:p>
        </w:tc>
        <w:tc>
          <w:tcPr>
            <w:tcW w:w="12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1140" w:type="dxa"/>
            <w:vAlign w:val="bottom"/>
          </w:tcPr>
          <w:p>
            <w:pPr>
              <w:jc w:val="right"/>
              <w:ind w:right="12"/>
              <w:spacing w:after="0"/>
              <w:rPr>
                <w:sz w:val="20"/>
                <w:szCs w:val="20"/>
                <w:color w:val="auto"/>
              </w:rPr>
            </w:pPr>
            <w:r>
              <w:rPr>
                <w:rFonts w:ascii="Arial" w:cs="Arial" w:eastAsia="Arial" w:hAnsi="Arial"/>
                <w:sz w:val="18"/>
                <w:szCs w:val="18"/>
                <w:color w:val="auto"/>
              </w:rPr>
              <w:t>2,124</w:t>
            </w:r>
          </w:p>
        </w:tc>
      </w:tr>
      <w:tr>
        <w:trPr>
          <w:trHeight w:val="270"/>
        </w:trPr>
        <w:tc>
          <w:tcPr>
            <w:tcW w:w="6740" w:type="dxa"/>
            <w:vAlign w:val="bottom"/>
            <w:gridSpan w:val="2"/>
            <w:shd w:val="clear" w:color="auto" w:fill="CCEEFF"/>
          </w:tcPr>
          <w:p>
            <w:pPr>
              <w:ind w:left="280"/>
              <w:spacing w:after="0"/>
              <w:rPr>
                <w:sz w:val="20"/>
                <w:szCs w:val="20"/>
                <w:color w:val="auto"/>
              </w:rPr>
            </w:pPr>
            <w:r>
              <w:rPr>
                <w:rFonts w:ascii="Arial" w:cs="Arial" w:eastAsia="Arial" w:hAnsi="Arial"/>
                <w:sz w:val="18"/>
                <w:szCs w:val="18"/>
                <w:color w:val="auto"/>
              </w:rPr>
              <w:t>Other revenue</w:t>
            </w:r>
          </w:p>
        </w:tc>
        <w:tc>
          <w:tcPr>
            <w:tcW w:w="360" w:type="dxa"/>
            <w:vAlign w:val="bottom"/>
            <w:tcBorders>
              <w:bottom w:val="single" w:sz="8" w:color="auto"/>
            </w:tcBorders>
            <w:shd w:val="clear" w:color="auto" w:fill="CCEEFF"/>
          </w:tcPr>
          <w:p>
            <w:pPr>
              <w:spacing w:after="0"/>
              <w:rPr>
                <w:sz w:val="23"/>
                <w:szCs w:val="23"/>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534</w:t>
            </w:r>
          </w:p>
        </w:tc>
        <w:tc>
          <w:tcPr>
            <w:tcW w:w="60" w:type="dxa"/>
            <w:vAlign w:val="bottom"/>
            <w:tcBorders>
              <w:bottom w:val="single" w:sz="8" w:color="auto"/>
            </w:tcBorders>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360" w:type="dxa"/>
            <w:vAlign w:val="bottom"/>
            <w:tcBorders>
              <w:bottom w:val="single" w:sz="8" w:color="auto"/>
            </w:tcBorders>
            <w:shd w:val="clear" w:color="auto" w:fill="CCEEFF"/>
          </w:tcPr>
          <w:p>
            <w:pPr>
              <w:spacing w:after="0"/>
              <w:rPr>
                <w:sz w:val="23"/>
                <w:szCs w:val="23"/>
                <w:color w:val="auto"/>
              </w:rPr>
            </w:pPr>
          </w:p>
        </w:tc>
        <w:tc>
          <w:tcPr>
            <w:tcW w:w="1120" w:type="dxa"/>
            <w:vAlign w:val="bottom"/>
            <w:tcBorders>
              <w:bottom w:val="single" w:sz="8" w:color="auto"/>
            </w:tcBorders>
            <w:shd w:val="clear" w:color="auto" w:fill="CCEEFF"/>
          </w:tcPr>
          <w:p>
            <w:pPr>
              <w:jc w:val="right"/>
              <w:ind w:right="12"/>
              <w:spacing w:after="0"/>
              <w:rPr>
                <w:sz w:val="20"/>
                <w:szCs w:val="20"/>
                <w:color w:val="auto"/>
              </w:rPr>
            </w:pPr>
            <w:r>
              <w:rPr>
                <w:rFonts w:ascii="Arial" w:cs="Arial" w:eastAsia="Arial" w:hAnsi="Arial"/>
                <w:sz w:val="18"/>
                <w:szCs w:val="18"/>
                <w:color w:val="auto"/>
              </w:rPr>
              <w:t>500</w:t>
            </w:r>
          </w:p>
        </w:tc>
        <w:tc>
          <w:tcPr>
            <w:tcW w:w="120" w:type="dxa"/>
            <w:vAlign w:val="bottom"/>
            <w:shd w:val="clear" w:color="auto" w:fill="CCEEFF"/>
          </w:tcPr>
          <w:p>
            <w:pPr>
              <w:spacing w:after="0"/>
              <w:rPr>
                <w:sz w:val="23"/>
                <w:szCs w:val="23"/>
                <w:color w:val="auto"/>
              </w:rPr>
            </w:pPr>
          </w:p>
        </w:tc>
        <w:tc>
          <w:tcPr>
            <w:tcW w:w="340" w:type="dxa"/>
            <w:vAlign w:val="bottom"/>
            <w:tcBorders>
              <w:bottom w:val="single" w:sz="8" w:color="auto"/>
            </w:tcBorders>
            <w:shd w:val="clear" w:color="auto" w:fill="CCEEFF"/>
          </w:tcPr>
          <w:p>
            <w:pPr>
              <w:spacing w:after="0"/>
              <w:rPr>
                <w:sz w:val="23"/>
                <w:szCs w:val="23"/>
                <w:color w:val="auto"/>
              </w:rPr>
            </w:pPr>
          </w:p>
        </w:tc>
        <w:tc>
          <w:tcPr>
            <w:tcW w:w="1140" w:type="dxa"/>
            <w:vAlign w:val="bottom"/>
            <w:tcBorders>
              <w:bottom w:val="single" w:sz="8" w:color="auto"/>
            </w:tcBorders>
            <w:shd w:val="clear" w:color="auto" w:fill="CCEEFF"/>
          </w:tcPr>
          <w:p>
            <w:pPr>
              <w:jc w:val="right"/>
              <w:ind w:right="12"/>
              <w:spacing w:after="0"/>
              <w:rPr>
                <w:sz w:val="20"/>
                <w:szCs w:val="20"/>
                <w:color w:val="auto"/>
              </w:rPr>
            </w:pPr>
            <w:r>
              <w:rPr>
                <w:rFonts w:ascii="Arial" w:cs="Arial" w:eastAsia="Arial" w:hAnsi="Arial"/>
                <w:sz w:val="18"/>
                <w:szCs w:val="18"/>
                <w:color w:val="auto"/>
              </w:rPr>
              <w:t>477</w:t>
            </w:r>
          </w:p>
        </w:tc>
      </w:tr>
      <w:tr>
        <w:trPr>
          <w:trHeight w:val="250"/>
        </w:trPr>
        <w:tc>
          <w:tcPr>
            <w:tcW w:w="6740" w:type="dxa"/>
            <w:vAlign w:val="bottom"/>
            <w:tcBorders>
              <w:bottom w:val="single" w:sz="8" w:color="CCEEFF"/>
            </w:tcBorders>
            <w:gridSpan w:val="2"/>
          </w:tcPr>
          <w:p>
            <w:pPr>
              <w:ind w:left="500"/>
              <w:spacing w:after="0"/>
              <w:rPr>
                <w:sz w:val="20"/>
                <w:szCs w:val="20"/>
                <w:color w:val="auto"/>
              </w:rPr>
            </w:pPr>
            <w:r>
              <w:rPr>
                <w:rFonts w:ascii="Arial" w:cs="Arial" w:eastAsia="Arial" w:hAnsi="Arial"/>
                <w:sz w:val="18"/>
                <w:szCs w:val="18"/>
                <w:color w:val="auto"/>
              </w:rPr>
              <w:t>Total other revenue</w:t>
            </w:r>
          </w:p>
        </w:tc>
        <w:tc>
          <w:tcPr>
            <w:tcW w:w="360" w:type="dxa"/>
            <w:vAlign w:val="bottom"/>
            <w:tcBorders>
              <w:bottom w:val="single" w:sz="8" w:color="auto"/>
            </w:tcBorders>
          </w:tcPr>
          <w:p>
            <w:pPr>
              <w:spacing w:after="0"/>
              <w:rPr>
                <w:sz w:val="21"/>
                <w:szCs w:val="21"/>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2,895</w:t>
            </w:r>
          </w:p>
        </w:tc>
        <w:tc>
          <w:tcPr>
            <w:tcW w:w="60" w:type="dxa"/>
            <w:vAlign w:val="bottom"/>
            <w:tcBorders>
              <w:bottom w:val="single" w:sz="8" w:color="auto"/>
            </w:tcBorders>
          </w:tcPr>
          <w:p>
            <w:pPr>
              <w:spacing w:after="0"/>
              <w:rPr>
                <w:sz w:val="21"/>
                <w:szCs w:val="21"/>
                <w:color w:val="auto"/>
              </w:rPr>
            </w:pPr>
          </w:p>
        </w:tc>
        <w:tc>
          <w:tcPr>
            <w:tcW w:w="100" w:type="dxa"/>
            <w:vAlign w:val="bottom"/>
            <w:tcBorders>
              <w:bottom w:val="single" w:sz="8" w:color="CCEEFF"/>
            </w:tcBorders>
          </w:tcPr>
          <w:p>
            <w:pPr>
              <w:spacing w:after="0"/>
              <w:rPr>
                <w:sz w:val="21"/>
                <w:szCs w:val="21"/>
                <w:color w:val="auto"/>
              </w:rPr>
            </w:pPr>
          </w:p>
        </w:tc>
        <w:tc>
          <w:tcPr>
            <w:tcW w:w="360" w:type="dxa"/>
            <w:vAlign w:val="bottom"/>
            <w:tcBorders>
              <w:bottom w:val="single" w:sz="8" w:color="auto"/>
            </w:tcBorders>
          </w:tcPr>
          <w:p>
            <w:pPr>
              <w:spacing w:after="0"/>
              <w:rPr>
                <w:sz w:val="21"/>
                <w:szCs w:val="21"/>
                <w:color w:val="auto"/>
              </w:rPr>
            </w:pPr>
          </w:p>
        </w:tc>
        <w:tc>
          <w:tcPr>
            <w:tcW w:w="1120" w:type="dxa"/>
            <w:vAlign w:val="bottom"/>
            <w:tcBorders>
              <w:bottom w:val="single" w:sz="8" w:color="auto"/>
            </w:tcBorders>
          </w:tcPr>
          <w:p>
            <w:pPr>
              <w:jc w:val="right"/>
              <w:ind w:right="12"/>
              <w:spacing w:after="0"/>
              <w:rPr>
                <w:sz w:val="20"/>
                <w:szCs w:val="20"/>
                <w:color w:val="auto"/>
              </w:rPr>
            </w:pPr>
            <w:r>
              <w:rPr>
                <w:rFonts w:ascii="Arial" w:cs="Arial" w:eastAsia="Arial" w:hAnsi="Arial"/>
                <w:sz w:val="18"/>
                <w:szCs w:val="18"/>
                <w:color w:val="auto"/>
              </w:rPr>
              <w:t>2,852</w:t>
            </w:r>
          </w:p>
        </w:tc>
        <w:tc>
          <w:tcPr>
            <w:tcW w:w="120" w:type="dxa"/>
            <w:vAlign w:val="bottom"/>
            <w:tcBorders>
              <w:bottom w:val="single" w:sz="8" w:color="CCEEFF"/>
            </w:tcBorders>
          </w:tcPr>
          <w:p>
            <w:pPr>
              <w:spacing w:after="0"/>
              <w:rPr>
                <w:sz w:val="21"/>
                <w:szCs w:val="21"/>
                <w:color w:val="auto"/>
              </w:rPr>
            </w:pPr>
          </w:p>
        </w:tc>
        <w:tc>
          <w:tcPr>
            <w:tcW w:w="340" w:type="dxa"/>
            <w:vAlign w:val="bottom"/>
            <w:tcBorders>
              <w:bottom w:val="single" w:sz="8" w:color="auto"/>
            </w:tcBorders>
          </w:tcPr>
          <w:p>
            <w:pPr>
              <w:spacing w:after="0"/>
              <w:rPr>
                <w:sz w:val="21"/>
                <w:szCs w:val="21"/>
                <w:color w:val="auto"/>
              </w:rPr>
            </w:pPr>
          </w:p>
        </w:tc>
        <w:tc>
          <w:tcPr>
            <w:tcW w:w="1140" w:type="dxa"/>
            <w:vAlign w:val="bottom"/>
            <w:tcBorders>
              <w:bottom w:val="single" w:sz="8" w:color="auto"/>
            </w:tcBorders>
          </w:tcPr>
          <w:p>
            <w:pPr>
              <w:jc w:val="right"/>
              <w:ind w:right="12"/>
              <w:spacing w:after="0"/>
              <w:rPr>
                <w:sz w:val="20"/>
                <w:szCs w:val="20"/>
                <w:color w:val="auto"/>
              </w:rPr>
            </w:pPr>
            <w:r>
              <w:rPr>
                <w:rFonts w:ascii="Arial" w:cs="Arial" w:eastAsia="Arial" w:hAnsi="Arial"/>
                <w:sz w:val="18"/>
                <w:szCs w:val="18"/>
                <w:color w:val="auto"/>
              </w:rPr>
              <w:t>2,601</w:t>
            </w:r>
          </w:p>
        </w:tc>
      </w:tr>
      <w:tr>
        <w:trPr>
          <w:trHeight w:val="257"/>
        </w:trPr>
        <w:tc>
          <w:tcPr>
            <w:tcW w:w="6740" w:type="dxa"/>
            <w:vAlign w:val="bottom"/>
            <w:gridSpan w:val="2"/>
            <w:shd w:val="clear" w:color="auto" w:fill="CCEEFF"/>
          </w:tcPr>
          <w:p>
            <w:pPr>
              <w:ind w:left="720"/>
              <w:spacing w:after="0"/>
              <w:rPr>
                <w:sz w:val="20"/>
                <w:szCs w:val="20"/>
                <w:color w:val="auto"/>
              </w:rPr>
            </w:pPr>
            <w:r>
              <w:rPr>
                <w:rFonts w:ascii="Arial" w:cs="Arial" w:eastAsia="Arial" w:hAnsi="Arial"/>
                <w:sz w:val="18"/>
                <w:szCs w:val="18"/>
                <w:color w:val="auto"/>
              </w:rPr>
              <w:t>Total operating revenues</w:t>
            </w:r>
          </w:p>
        </w:tc>
        <w:tc>
          <w:tcPr>
            <w:tcW w:w="36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rPr>
              <w:t>$</w:t>
            </w: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45,768</w:t>
            </w:r>
          </w:p>
        </w:tc>
        <w:tc>
          <w:tcPr>
            <w:tcW w:w="520" w:type="dxa"/>
            <w:vAlign w:val="bottom"/>
            <w:gridSpan w:val="3"/>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112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44,541</w:t>
            </w:r>
          </w:p>
        </w:tc>
        <w:tc>
          <w:tcPr>
            <w:tcW w:w="120" w:type="dxa"/>
            <w:vAlign w:val="bottom"/>
            <w:shd w:val="clear" w:color="auto" w:fill="CCEEFF"/>
          </w:tcPr>
          <w:p>
            <w:pPr>
              <w:spacing w:after="0"/>
              <w:rPr>
                <w:sz w:val="22"/>
                <w:szCs w:val="22"/>
                <w:color w:val="auto"/>
              </w:rPr>
            </w:pPr>
          </w:p>
        </w:tc>
        <w:tc>
          <w:tcPr>
            <w:tcW w:w="34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14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42,622</w:t>
            </w:r>
          </w:p>
        </w:tc>
      </w:tr>
      <w:tr>
        <w:trPr>
          <w:trHeight w:val="20"/>
        </w:trPr>
        <w:tc>
          <w:tcPr>
            <w:tcW w:w="2120" w:type="dxa"/>
            <w:vAlign w:val="bottom"/>
            <w:tcBorders>
              <w:top w:val="single" w:sz="8" w:color="CCEEFF"/>
            </w:tcBorders>
          </w:tcPr>
          <w:p>
            <w:pPr>
              <w:spacing w:after="0" w:line="20" w:lineRule="exact"/>
              <w:rPr>
                <w:sz w:val="1"/>
                <w:szCs w:val="1"/>
                <w:color w:val="auto"/>
              </w:rPr>
            </w:pPr>
          </w:p>
        </w:tc>
        <w:tc>
          <w:tcPr>
            <w:tcW w:w="462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r>
      <w:tr>
        <w:trPr>
          <w:trHeight w:val="237"/>
        </w:trPr>
        <w:tc>
          <w:tcPr>
            <w:tcW w:w="2120" w:type="dxa"/>
            <w:vAlign w:val="bottom"/>
            <w:tcBorders>
              <w:bottom w:val="single" w:sz="8" w:color="auto"/>
            </w:tcBorders>
          </w:tcPr>
          <w:p>
            <w:pPr>
              <w:spacing w:after="0"/>
              <w:rPr>
                <w:sz w:val="20"/>
                <w:szCs w:val="20"/>
                <w:color w:val="auto"/>
              </w:rPr>
            </w:pPr>
          </w:p>
        </w:tc>
        <w:tc>
          <w:tcPr>
            <w:tcW w:w="462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140" w:type="dxa"/>
            <w:vAlign w:val="bottom"/>
          </w:tcPr>
          <w:p>
            <w:pPr>
              <w:spacing w:after="0"/>
              <w:rPr>
                <w:sz w:val="20"/>
                <w:szCs w:val="20"/>
                <w:color w:val="auto"/>
              </w:rPr>
            </w:pPr>
          </w:p>
        </w:tc>
      </w:tr>
    </w:tbl>
    <w:p>
      <w:pPr>
        <w:spacing w:after="0" w:line="296" w:lineRule="exact"/>
        <w:rPr>
          <w:sz w:val="20"/>
          <w:szCs w:val="20"/>
          <w:color w:val="auto"/>
        </w:rPr>
      </w:pPr>
    </w:p>
    <w:p>
      <w:pPr>
        <w:ind w:left="500" w:hanging="330"/>
        <w:spacing w:after="0" w:line="225" w:lineRule="auto"/>
        <w:tabs>
          <w:tab w:leader="none" w:pos="500" w:val="left"/>
        </w:tabs>
        <w:numPr>
          <w:ilvl w:val="0"/>
          <w:numId w:val="32"/>
        </w:numPr>
        <w:rPr>
          <w:rFonts w:ascii="Arial" w:cs="Arial" w:eastAsia="Arial" w:hAnsi="Arial"/>
          <w:sz w:val="22"/>
          <w:szCs w:val="22"/>
          <w:color w:val="auto"/>
          <w:vertAlign w:val="superscript"/>
        </w:rPr>
      </w:pPr>
      <w:r>
        <w:rPr>
          <w:rFonts w:ascii="Arial" w:cs="Arial" w:eastAsia="Arial" w:hAnsi="Arial"/>
          <w:sz w:val="18"/>
          <w:szCs w:val="18"/>
          <w:color w:val="auto"/>
        </w:rPr>
        <w:t>Loyalty revenue included in passenger revenue is principally comprised of mileage credit redemptions earned through travel or from co-branded credit card and other partners. See “</w:t>
      </w:r>
      <w:r>
        <w:rPr>
          <w:rFonts w:ascii="Arial" w:cs="Arial" w:eastAsia="Arial" w:hAnsi="Arial"/>
          <w:sz w:val="18"/>
          <w:szCs w:val="18"/>
          <w:i w:val="1"/>
          <w:iCs w:val="1"/>
          <w:color w:val="auto"/>
        </w:rPr>
        <w:t>Loyalty Revenue</w:t>
      </w:r>
      <w:r>
        <w:rPr>
          <w:rFonts w:ascii="Arial" w:cs="Arial" w:eastAsia="Arial" w:hAnsi="Arial"/>
          <w:sz w:val="18"/>
          <w:szCs w:val="18"/>
          <w:color w:val="auto"/>
        </w:rPr>
        <w:t>” below for further discussion on these mileage credits.</w:t>
      </w:r>
    </w:p>
    <w:p>
      <w:pPr>
        <w:spacing w:after="0" w:line="163" w:lineRule="exact"/>
        <w:rPr>
          <w:sz w:val="20"/>
          <w:szCs w:val="20"/>
          <w:color w:val="auto"/>
        </w:rPr>
      </w:pPr>
    </w:p>
    <w:p>
      <w:pPr>
        <w:ind w:left="260"/>
        <w:spacing w:after="0"/>
        <w:rPr>
          <w:sz w:val="20"/>
          <w:szCs w:val="20"/>
          <w:color w:val="auto"/>
        </w:rPr>
      </w:pPr>
      <w:r>
        <w:rPr>
          <w:rFonts w:ascii="Arial" w:cs="Arial" w:eastAsia="Arial" w:hAnsi="Arial"/>
          <w:sz w:val="18"/>
          <w:szCs w:val="18"/>
          <w:color w:val="auto"/>
        </w:rPr>
        <w:t>The following is our total passenger revenue by geographic region (in millions):</w:t>
      </w:r>
    </w:p>
    <w:p>
      <w:pPr>
        <w:spacing w:after="0" w:line="375" w:lineRule="exact"/>
        <w:rPr>
          <w:sz w:val="20"/>
          <w:szCs w:val="20"/>
          <w:color w:val="auto"/>
        </w:rPr>
      </w:pPr>
    </w:p>
    <w:tbl>
      <w:tblPr>
        <w:tblLayout w:type="fixed"/>
        <w:tblInd w:w="0" w:type="dxa"/>
        <w:tblCellMar>
          <w:top w:w="0" w:type="dxa"/>
          <w:left w:w="0" w:type="dxa"/>
          <w:bottom w:w="0" w:type="dxa"/>
          <w:right w:w="0" w:type="dxa"/>
        </w:tblCellMar>
      </w:tblPr>
      <w:tr>
        <w:trPr>
          <w:trHeight w:val="196"/>
        </w:trPr>
        <w:tc>
          <w:tcPr>
            <w:tcW w:w="6740" w:type="dxa"/>
            <w:vAlign w:val="bottom"/>
          </w:tcPr>
          <w:p>
            <w:pPr>
              <w:spacing w:after="0"/>
              <w:rPr>
                <w:sz w:val="17"/>
                <w:szCs w:val="17"/>
                <w:color w:val="auto"/>
              </w:rPr>
            </w:pPr>
          </w:p>
        </w:tc>
        <w:tc>
          <w:tcPr>
            <w:tcW w:w="360" w:type="dxa"/>
            <w:vAlign w:val="bottom"/>
            <w:tcBorders>
              <w:bottom w:val="single" w:sz="8" w:color="auto"/>
            </w:tcBorders>
          </w:tcPr>
          <w:p>
            <w:pPr>
              <w:spacing w:after="0"/>
              <w:rPr>
                <w:sz w:val="17"/>
                <w:szCs w:val="17"/>
                <w:color w:val="auto"/>
              </w:rPr>
            </w:pPr>
          </w:p>
        </w:tc>
        <w:tc>
          <w:tcPr>
            <w:tcW w:w="1080" w:type="dxa"/>
            <w:vAlign w:val="bottom"/>
            <w:tcBorders>
              <w:bottom w:val="single" w:sz="8" w:color="auto"/>
            </w:tcBorders>
          </w:tcPr>
          <w:p>
            <w:pPr>
              <w:spacing w:after="0"/>
              <w:rPr>
                <w:sz w:val="17"/>
                <w:szCs w:val="17"/>
                <w:color w:val="auto"/>
              </w:rPr>
            </w:pPr>
          </w:p>
        </w:tc>
        <w:tc>
          <w:tcPr>
            <w:tcW w:w="2100" w:type="dxa"/>
            <w:vAlign w:val="bottom"/>
            <w:tcBorders>
              <w:bottom w:val="single" w:sz="8" w:color="auto"/>
            </w:tcBorders>
            <w:gridSpan w:val="6"/>
          </w:tcPr>
          <w:p>
            <w:pPr>
              <w:jc w:val="right"/>
              <w:ind w:right="210"/>
              <w:spacing w:after="0"/>
              <w:rPr>
                <w:sz w:val="20"/>
                <w:szCs w:val="20"/>
                <w:color w:val="auto"/>
              </w:rPr>
            </w:pPr>
            <w:r>
              <w:rPr>
                <w:rFonts w:ascii="Arial" w:cs="Arial" w:eastAsia="Arial" w:hAnsi="Arial"/>
                <w:sz w:val="14"/>
                <w:szCs w:val="14"/>
                <w:b w:val="1"/>
                <w:bCs w:val="1"/>
                <w:color w:val="auto"/>
              </w:rPr>
              <w:t>Year Ended December 31,</w:t>
            </w:r>
          </w:p>
        </w:tc>
        <w:tc>
          <w:tcPr>
            <w:tcW w:w="1140" w:type="dxa"/>
            <w:vAlign w:val="bottom"/>
            <w:tcBorders>
              <w:bottom w:val="single" w:sz="8" w:color="auto"/>
            </w:tcBorders>
          </w:tcPr>
          <w:p>
            <w:pPr>
              <w:spacing w:after="0"/>
              <w:rPr>
                <w:sz w:val="17"/>
                <w:szCs w:val="17"/>
                <w:color w:val="auto"/>
              </w:rPr>
            </w:pPr>
          </w:p>
        </w:tc>
      </w:tr>
      <w:tr>
        <w:trPr>
          <w:trHeight w:val="264"/>
        </w:trPr>
        <w:tc>
          <w:tcPr>
            <w:tcW w:w="6740" w:type="dxa"/>
            <w:vAlign w:val="bottom"/>
          </w:tcPr>
          <w:p>
            <w:pPr>
              <w:spacing w:after="0"/>
              <w:rPr>
                <w:sz w:val="22"/>
                <w:szCs w:val="22"/>
                <w:color w:val="auto"/>
              </w:rPr>
            </w:pPr>
          </w:p>
        </w:tc>
        <w:tc>
          <w:tcPr>
            <w:tcW w:w="360" w:type="dxa"/>
            <w:vAlign w:val="bottom"/>
            <w:tcBorders>
              <w:bottom w:val="single" w:sz="8" w:color="auto"/>
            </w:tcBorders>
          </w:tcPr>
          <w:p>
            <w:pPr>
              <w:spacing w:after="0"/>
              <w:rPr>
                <w:sz w:val="22"/>
                <w:szCs w:val="22"/>
                <w:color w:val="auto"/>
              </w:rPr>
            </w:pPr>
          </w:p>
        </w:tc>
        <w:tc>
          <w:tcPr>
            <w:tcW w:w="1080" w:type="dxa"/>
            <w:vAlign w:val="bottom"/>
            <w:tcBorders>
              <w:bottom w:val="single" w:sz="8" w:color="auto"/>
            </w:tcBorders>
          </w:tcPr>
          <w:p>
            <w:pPr>
              <w:jc w:val="right"/>
              <w:ind w:right="433"/>
              <w:spacing w:after="0"/>
              <w:rPr>
                <w:sz w:val="20"/>
                <w:szCs w:val="20"/>
                <w:color w:val="auto"/>
              </w:rPr>
            </w:pPr>
            <w:r>
              <w:rPr>
                <w:rFonts w:ascii="Arial" w:cs="Arial" w:eastAsia="Arial" w:hAnsi="Arial"/>
                <w:sz w:val="14"/>
                <w:szCs w:val="14"/>
                <w:b w:val="1"/>
                <w:bCs w:val="1"/>
                <w:color w:val="auto"/>
              </w:rPr>
              <w:t>2019</w:t>
            </w:r>
          </w:p>
        </w:tc>
        <w:tc>
          <w:tcPr>
            <w:tcW w:w="60" w:type="dxa"/>
            <w:vAlign w:val="bottom"/>
            <w:tcBorders>
              <w:bottom w:val="single" w:sz="8" w:color="auto"/>
            </w:tcBorders>
          </w:tcPr>
          <w:p>
            <w:pPr>
              <w:spacing w:after="0"/>
              <w:rPr>
                <w:sz w:val="22"/>
                <w:szCs w:val="22"/>
                <w:color w:val="auto"/>
              </w:rPr>
            </w:pPr>
          </w:p>
        </w:tc>
        <w:tc>
          <w:tcPr>
            <w:tcW w:w="100" w:type="dxa"/>
            <w:vAlign w:val="bottom"/>
          </w:tcPr>
          <w:p>
            <w:pPr>
              <w:spacing w:after="0"/>
              <w:rPr>
                <w:sz w:val="22"/>
                <w:szCs w:val="22"/>
                <w:color w:val="auto"/>
              </w:rPr>
            </w:pPr>
          </w:p>
        </w:tc>
        <w:tc>
          <w:tcPr>
            <w:tcW w:w="360" w:type="dxa"/>
            <w:vAlign w:val="bottom"/>
            <w:tcBorders>
              <w:bottom w:val="single" w:sz="8" w:color="auto"/>
            </w:tcBorders>
          </w:tcPr>
          <w:p>
            <w:pPr>
              <w:spacing w:after="0"/>
              <w:rPr>
                <w:sz w:val="22"/>
                <w:szCs w:val="22"/>
                <w:color w:val="auto"/>
              </w:rPr>
            </w:pPr>
          </w:p>
        </w:tc>
        <w:tc>
          <w:tcPr>
            <w:tcW w:w="1120" w:type="dxa"/>
            <w:vAlign w:val="bottom"/>
            <w:tcBorders>
              <w:bottom w:val="single" w:sz="8" w:color="auto"/>
            </w:tcBorders>
          </w:tcPr>
          <w:p>
            <w:pPr>
              <w:jc w:val="right"/>
              <w:ind w:right="493"/>
              <w:spacing w:after="0"/>
              <w:rPr>
                <w:sz w:val="20"/>
                <w:szCs w:val="20"/>
                <w:color w:val="auto"/>
              </w:rPr>
            </w:pPr>
            <w:r>
              <w:rPr>
                <w:rFonts w:ascii="Arial" w:cs="Arial" w:eastAsia="Arial" w:hAnsi="Arial"/>
                <w:sz w:val="14"/>
                <w:szCs w:val="14"/>
                <w:b w:val="1"/>
                <w:bCs w:val="1"/>
                <w:color w:val="auto"/>
              </w:rPr>
              <w:t>2018</w:t>
            </w:r>
          </w:p>
        </w:tc>
        <w:tc>
          <w:tcPr>
            <w:tcW w:w="120" w:type="dxa"/>
            <w:vAlign w:val="bottom"/>
          </w:tcPr>
          <w:p>
            <w:pPr>
              <w:spacing w:after="0"/>
              <w:rPr>
                <w:sz w:val="22"/>
                <w:szCs w:val="22"/>
                <w:color w:val="auto"/>
              </w:rPr>
            </w:pPr>
          </w:p>
        </w:tc>
        <w:tc>
          <w:tcPr>
            <w:tcW w:w="340" w:type="dxa"/>
            <w:vAlign w:val="bottom"/>
            <w:tcBorders>
              <w:bottom w:val="single" w:sz="8" w:color="auto"/>
            </w:tcBorders>
          </w:tcPr>
          <w:p>
            <w:pPr>
              <w:spacing w:after="0"/>
              <w:rPr>
                <w:sz w:val="22"/>
                <w:szCs w:val="22"/>
                <w:color w:val="auto"/>
              </w:rPr>
            </w:pPr>
          </w:p>
        </w:tc>
        <w:tc>
          <w:tcPr>
            <w:tcW w:w="1140" w:type="dxa"/>
            <w:vAlign w:val="bottom"/>
            <w:tcBorders>
              <w:bottom w:val="single" w:sz="8" w:color="auto"/>
            </w:tcBorders>
          </w:tcPr>
          <w:p>
            <w:pPr>
              <w:jc w:val="right"/>
              <w:ind w:right="493"/>
              <w:spacing w:after="0"/>
              <w:rPr>
                <w:sz w:val="20"/>
                <w:szCs w:val="20"/>
                <w:color w:val="auto"/>
              </w:rPr>
            </w:pPr>
            <w:r>
              <w:rPr>
                <w:rFonts w:ascii="Arial" w:cs="Arial" w:eastAsia="Arial" w:hAnsi="Arial"/>
                <w:sz w:val="14"/>
                <w:szCs w:val="14"/>
                <w:b w:val="1"/>
                <w:bCs w:val="1"/>
                <w:color w:val="auto"/>
              </w:rPr>
              <w:t>2017</w:t>
            </w:r>
          </w:p>
        </w:tc>
      </w:tr>
      <w:tr>
        <w:trPr>
          <w:trHeight w:val="249"/>
        </w:trPr>
        <w:tc>
          <w:tcPr>
            <w:tcW w:w="6740" w:type="dxa"/>
            <w:vAlign w:val="bottom"/>
          </w:tcPr>
          <w:p>
            <w:pPr>
              <w:ind w:left="40"/>
              <w:spacing w:after="0"/>
              <w:rPr>
                <w:sz w:val="20"/>
                <w:szCs w:val="20"/>
                <w:color w:val="auto"/>
              </w:rPr>
            </w:pPr>
            <w:r>
              <w:rPr>
                <w:rFonts w:ascii="Arial" w:cs="Arial" w:eastAsia="Arial" w:hAnsi="Arial"/>
                <w:sz w:val="18"/>
                <w:szCs w:val="18"/>
                <w:color w:val="auto"/>
              </w:rPr>
              <w:t>Domestic</w:t>
            </w:r>
          </w:p>
        </w:tc>
        <w:tc>
          <w:tcPr>
            <w:tcW w:w="360" w:type="dxa"/>
            <w:vAlign w:val="bottom"/>
          </w:tcPr>
          <w:p>
            <w:pPr>
              <w:jc w:val="right"/>
              <w:ind w:right="130"/>
              <w:spacing w:after="0"/>
              <w:rPr>
                <w:sz w:val="20"/>
                <w:szCs w:val="20"/>
                <w:color w:val="auto"/>
              </w:rPr>
            </w:pPr>
            <w:r>
              <w:rPr>
                <w:rFonts w:ascii="Arial" w:cs="Arial" w:eastAsia="Arial" w:hAnsi="Arial"/>
                <w:sz w:val="18"/>
                <w:szCs w:val="18"/>
                <w:color w:val="auto"/>
              </w:rPr>
              <w:t>$</w:t>
            </w:r>
          </w:p>
        </w:tc>
        <w:tc>
          <w:tcPr>
            <w:tcW w:w="1080" w:type="dxa"/>
            <w:vAlign w:val="bottom"/>
          </w:tcPr>
          <w:p>
            <w:pPr>
              <w:jc w:val="right"/>
              <w:spacing w:after="0"/>
              <w:rPr>
                <w:sz w:val="20"/>
                <w:szCs w:val="20"/>
                <w:color w:val="auto"/>
              </w:rPr>
            </w:pPr>
            <w:r>
              <w:rPr>
                <w:rFonts w:ascii="Arial" w:cs="Arial" w:eastAsia="Arial" w:hAnsi="Arial"/>
                <w:sz w:val="18"/>
                <w:szCs w:val="18"/>
                <w:color w:val="auto"/>
              </w:rPr>
              <w:t>30,881</w:t>
            </w:r>
          </w:p>
        </w:tc>
        <w:tc>
          <w:tcPr>
            <w:tcW w:w="520" w:type="dxa"/>
            <w:vAlign w:val="bottom"/>
            <w:gridSpan w:val="3"/>
          </w:tcPr>
          <w:p>
            <w:pPr>
              <w:jc w:val="right"/>
              <w:ind w:right="240"/>
              <w:spacing w:after="0"/>
              <w:rPr>
                <w:sz w:val="20"/>
                <w:szCs w:val="20"/>
                <w:color w:val="auto"/>
              </w:rPr>
            </w:pPr>
            <w:r>
              <w:rPr>
                <w:rFonts w:ascii="Arial" w:cs="Arial" w:eastAsia="Arial" w:hAnsi="Arial"/>
                <w:sz w:val="18"/>
                <w:szCs w:val="18"/>
                <w:color w:val="auto"/>
              </w:rPr>
              <w:t>$</w:t>
            </w:r>
          </w:p>
        </w:tc>
        <w:tc>
          <w:tcPr>
            <w:tcW w:w="1120" w:type="dxa"/>
            <w:vAlign w:val="bottom"/>
          </w:tcPr>
          <w:p>
            <w:pPr>
              <w:jc w:val="right"/>
              <w:ind w:right="13"/>
              <w:spacing w:after="0"/>
              <w:rPr>
                <w:sz w:val="20"/>
                <w:szCs w:val="20"/>
                <w:color w:val="auto"/>
              </w:rPr>
            </w:pPr>
            <w:r>
              <w:rPr>
                <w:rFonts w:ascii="Arial" w:cs="Arial" w:eastAsia="Arial" w:hAnsi="Arial"/>
                <w:sz w:val="18"/>
                <w:szCs w:val="18"/>
                <w:color w:val="auto"/>
              </w:rPr>
              <w:t>29,573</w:t>
            </w:r>
          </w:p>
        </w:tc>
        <w:tc>
          <w:tcPr>
            <w:tcW w:w="120" w:type="dxa"/>
            <w:vAlign w:val="bottom"/>
          </w:tcPr>
          <w:p>
            <w:pPr>
              <w:spacing w:after="0"/>
              <w:rPr>
                <w:sz w:val="21"/>
                <w:szCs w:val="21"/>
                <w:color w:val="auto"/>
              </w:rPr>
            </w:pPr>
          </w:p>
        </w:tc>
        <w:tc>
          <w:tcPr>
            <w:tcW w:w="340" w:type="dxa"/>
            <w:vAlign w:val="bottom"/>
          </w:tcPr>
          <w:p>
            <w:pPr>
              <w:jc w:val="right"/>
              <w:ind w:right="130"/>
              <w:spacing w:after="0"/>
              <w:rPr>
                <w:sz w:val="20"/>
                <w:szCs w:val="20"/>
                <w:color w:val="auto"/>
              </w:rPr>
            </w:pPr>
            <w:r>
              <w:rPr>
                <w:rFonts w:ascii="Arial" w:cs="Arial" w:eastAsia="Arial" w:hAnsi="Arial"/>
                <w:sz w:val="18"/>
                <w:szCs w:val="18"/>
                <w:color w:val="auto"/>
                <w:w w:val="99"/>
              </w:rPr>
              <w:t>$</w:t>
            </w:r>
          </w:p>
        </w:tc>
        <w:tc>
          <w:tcPr>
            <w:tcW w:w="1140" w:type="dxa"/>
            <w:vAlign w:val="bottom"/>
          </w:tcPr>
          <w:p>
            <w:pPr>
              <w:jc w:val="right"/>
              <w:ind w:right="13"/>
              <w:spacing w:after="0"/>
              <w:rPr>
                <w:sz w:val="20"/>
                <w:szCs w:val="20"/>
                <w:color w:val="auto"/>
              </w:rPr>
            </w:pPr>
            <w:r>
              <w:rPr>
                <w:rFonts w:ascii="Arial" w:cs="Arial" w:eastAsia="Arial" w:hAnsi="Arial"/>
                <w:sz w:val="18"/>
                <w:szCs w:val="18"/>
                <w:color w:val="auto"/>
              </w:rPr>
              <w:t>28,749</w:t>
            </w:r>
          </w:p>
        </w:tc>
      </w:tr>
      <w:tr>
        <w:trPr>
          <w:trHeight w:val="277"/>
        </w:trPr>
        <w:tc>
          <w:tcPr>
            <w:tcW w:w="6740" w:type="dxa"/>
            <w:vAlign w:val="bottom"/>
            <w:shd w:val="clear" w:color="auto" w:fill="CCEEFF"/>
          </w:tcPr>
          <w:p>
            <w:pPr>
              <w:ind w:left="40"/>
              <w:spacing w:after="0"/>
              <w:rPr>
                <w:sz w:val="20"/>
                <w:szCs w:val="20"/>
                <w:color w:val="auto"/>
              </w:rPr>
            </w:pPr>
            <w:r>
              <w:rPr>
                <w:rFonts w:ascii="Arial" w:cs="Arial" w:eastAsia="Arial" w:hAnsi="Arial"/>
                <w:sz w:val="18"/>
                <w:szCs w:val="18"/>
                <w:color w:val="auto"/>
              </w:rPr>
              <w:t>Latin America</w:t>
            </w:r>
          </w:p>
        </w:tc>
        <w:tc>
          <w:tcPr>
            <w:tcW w:w="360" w:type="dxa"/>
            <w:vAlign w:val="bottom"/>
            <w:shd w:val="clear" w:color="auto" w:fill="CCEEFF"/>
          </w:tcPr>
          <w:p>
            <w:pPr>
              <w:spacing w:after="0"/>
              <w:rPr>
                <w:sz w:val="24"/>
                <w:szCs w:val="24"/>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5,047</w:t>
            </w:r>
          </w:p>
        </w:tc>
        <w:tc>
          <w:tcPr>
            <w:tcW w:w="6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360" w:type="dxa"/>
            <w:vAlign w:val="bottom"/>
            <w:shd w:val="clear" w:color="auto" w:fill="CCEEFF"/>
          </w:tcPr>
          <w:p>
            <w:pPr>
              <w:spacing w:after="0"/>
              <w:rPr>
                <w:sz w:val="24"/>
                <w:szCs w:val="24"/>
                <w:color w:val="auto"/>
              </w:rPr>
            </w:pPr>
          </w:p>
        </w:tc>
        <w:tc>
          <w:tcPr>
            <w:tcW w:w="1120" w:type="dxa"/>
            <w:vAlign w:val="bottom"/>
            <w:shd w:val="clear" w:color="auto" w:fill="CCEEFF"/>
          </w:tcPr>
          <w:p>
            <w:pPr>
              <w:jc w:val="right"/>
              <w:ind w:right="13"/>
              <w:spacing w:after="0"/>
              <w:rPr>
                <w:sz w:val="20"/>
                <w:szCs w:val="20"/>
                <w:color w:val="auto"/>
              </w:rPr>
            </w:pPr>
            <w:r>
              <w:rPr>
                <w:rFonts w:ascii="Arial" w:cs="Arial" w:eastAsia="Arial" w:hAnsi="Arial"/>
                <w:sz w:val="18"/>
                <w:szCs w:val="18"/>
                <w:color w:val="auto"/>
              </w:rPr>
              <w:t>5,125</w:t>
            </w:r>
          </w:p>
        </w:tc>
        <w:tc>
          <w:tcPr>
            <w:tcW w:w="120" w:type="dxa"/>
            <w:vAlign w:val="bottom"/>
            <w:shd w:val="clear" w:color="auto" w:fill="CCEEFF"/>
          </w:tcPr>
          <w:p>
            <w:pPr>
              <w:spacing w:after="0"/>
              <w:rPr>
                <w:sz w:val="24"/>
                <w:szCs w:val="24"/>
                <w:color w:val="auto"/>
              </w:rPr>
            </w:pPr>
          </w:p>
        </w:tc>
        <w:tc>
          <w:tcPr>
            <w:tcW w:w="340" w:type="dxa"/>
            <w:vAlign w:val="bottom"/>
            <w:shd w:val="clear" w:color="auto" w:fill="CCEEFF"/>
          </w:tcPr>
          <w:p>
            <w:pPr>
              <w:spacing w:after="0"/>
              <w:rPr>
                <w:sz w:val="24"/>
                <w:szCs w:val="24"/>
                <w:color w:val="auto"/>
              </w:rPr>
            </w:pPr>
          </w:p>
        </w:tc>
        <w:tc>
          <w:tcPr>
            <w:tcW w:w="1140" w:type="dxa"/>
            <w:vAlign w:val="bottom"/>
            <w:shd w:val="clear" w:color="auto" w:fill="CCEEFF"/>
          </w:tcPr>
          <w:p>
            <w:pPr>
              <w:jc w:val="right"/>
              <w:ind w:right="13"/>
              <w:spacing w:after="0"/>
              <w:rPr>
                <w:sz w:val="20"/>
                <w:szCs w:val="20"/>
                <w:color w:val="auto"/>
              </w:rPr>
            </w:pPr>
            <w:r>
              <w:rPr>
                <w:rFonts w:ascii="Arial" w:cs="Arial" w:eastAsia="Arial" w:hAnsi="Arial"/>
                <w:sz w:val="18"/>
                <w:szCs w:val="18"/>
                <w:color w:val="auto"/>
              </w:rPr>
              <w:t>4,840</w:t>
            </w:r>
          </w:p>
        </w:tc>
      </w:tr>
      <w:tr>
        <w:trPr>
          <w:trHeight w:val="263"/>
        </w:trPr>
        <w:tc>
          <w:tcPr>
            <w:tcW w:w="6740" w:type="dxa"/>
            <w:vAlign w:val="bottom"/>
          </w:tcPr>
          <w:p>
            <w:pPr>
              <w:ind w:left="40"/>
              <w:spacing w:after="0"/>
              <w:rPr>
                <w:sz w:val="20"/>
                <w:szCs w:val="20"/>
                <w:color w:val="auto"/>
              </w:rPr>
            </w:pPr>
            <w:r>
              <w:rPr>
                <w:rFonts w:ascii="Arial" w:cs="Arial" w:eastAsia="Arial" w:hAnsi="Arial"/>
                <w:sz w:val="18"/>
                <w:szCs w:val="18"/>
                <w:color w:val="auto"/>
              </w:rPr>
              <w:t>Atlantic</w:t>
            </w:r>
          </w:p>
        </w:tc>
        <w:tc>
          <w:tcPr>
            <w:tcW w:w="360" w:type="dxa"/>
            <w:vAlign w:val="bottom"/>
          </w:tcPr>
          <w:p>
            <w:pPr>
              <w:spacing w:after="0"/>
              <w:rPr>
                <w:sz w:val="22"/>
                <w:szCs w:val="22"/>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4,624</w:t>
            </w:r>
          </w:p>
        </w:tc>
        <w:tc>
          <w:tcPr>
            <w:tcW w:w="6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1120" w:type="dxa"/>
            <w:vAlign w:val="bottom"/>
          </w:tcPr>
          <w:p>
            <w:pPr>
              <w:jc w:val="right"/>
              <w:ind w:right="13"/>
              <w:spacing w:after="0"/>
              <w:rPr>
                <w:sz w:val="20"/>
                <w:szCs w:val="20"/>
                <w:color w:val="auto"/>
              </w:rPr>
            </w:pPr>
            <w:r>
              <w:rPr>
                <w:rFonts w:ascii="Arial" w:cs="Arial" w:eastAsia="Arial" w:hAnsi="Arial"/>
                <w:sz w:val="18"/>
                <w:szCs w:val="18"/>
                <w:color w:val="auto"/>
              </w:rPr>
              <w:t>4,376</w:t>
            </w:r>
          </w:p>
        </w:tc>
        <w:tc>
          <w:tcPr>
            <w:tcW w:w="12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1140" w:type="dxa"/>
            <w:vAlign w:val="bottom"/>
          </w:tcPr>
          <w:p>
            <w:pPr>
              <w:jc w:val="right"/>
              <w:ind w:right="13"/>
              <w:spacing w:after="0"/>
              <w:rPr>
                <w:sz w:val="20"/>
                <w:szCs w:val="20"/>
                <w:color w:val="auto"/>
              </w:rPr>
            </w:pPr>
            <w:r>
              <w:rPr>
                <w:rFonts w:ascii="Arial" w:cs="Arial" w:eastAsia="Arial" w:hAnsi="Arial"/>
                <w:sz w:val="18"/>
                <w:szCs w:val="18"/>
                <w:color w:val="auto"/>
              </w:rPr>
              <w:t>4,028</w:t>
            </w:r>
          </w:p>
        </w:tc>
      </w:tr>
      <w:tr>
        <w:trPr>
          <w:trHeight w:val="277"/>
        </w:trPr>
        <w:tc>
          <w:tcPr>
            <w:tcW w:w="6740" w:type="dxa"/>
            <w:vAlign w:val="bottom"/>
            <w:shd w:val="clear" w:color="auto" w:fill="CCEEFF"/>
          </w:tcPr>
          <w:p>
            <w:pPr>
              <w:ind w:left="40"/>
              <w:spacing w:after="0"/>
              <w:rPr>
                <w:sz w:val="20"/>
                <w:szCs w:val="20"/>
                <w:color w:val="auto"/>
              </w:rPr>
            </w:pPr>
            <w:r>
              <w:rPr>
                <w:rFonts w:ascii="Arial" w:cs="Arial" w:eastAsia="Arial" w:hAnsi="Arial"/>
                <w:sz w:val="18"/>
                <w:szCs w:val="18"/>
                <w:color w:val="auto"/>
              </w:rPr>
              <w:t>Pacific</w:t>
            </w:r>
          </w:p>
        </w:tc>
        <w:tc>
          <w:tcPr>
            <w:tcW w:w="360" w:type="dxa"/>
            <w:vAlign w:val="bottom"/>
            <w:tcBorders>
              <w:bottom w:val="single" w:sz="8" w:color="auto"/>
            </w:tcBorders>
            <w:shd w:val="clear" w:color="auto" w:fill="CCEEFF"/>
          </w:tcPr>
          <w:p>
            <w:pPr>
              <w:spacing w:after="0"/>
              <w:rPr>
                <w:sz w:val="24"/>
                <w:szCs w:val="24"/>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1,458</w:t>
            </w:r>
          </w:p>
        </w:tc>
        <w:tc>
          <w:tcPr>
            <w:tcW w:w="60" w:type="dxa"/>
            <w:vAlign w:val="bottom"/>
            <w:tcBorders>
              <w:bottom w:val="single" w:sz="8" w:color="auto"/>
            </w:tcBorders>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360" w:type="dxa"/>
            <w:vAlign w:val="bottom"/>
            <w:tcBorders>
              <w:bottom w:val="single" w:sz="8" w:color="auto"/>
            </w:tcBorders>
            <w:shd w:val="clear" w:color="auto" w:fill="CCEEFF"/>
          </w:tcPr>
          <w:p>
            <w:pPr>
              <w:spacing w:after="0"/>
              <w:rPr>
                <w:sz w:val="24"/>
                <w:szCs w:val="24"/>
                <w:color w:val="auto"/>
              </w:rPr>
            </w:pPr>
          </w:p>
        </w:tc>
        <w:tc>
          <w:tcPr>
            <w:tcW w:w="1120" w:type="dxa"/>
            <w:vAlign w:val="bottom"/>
            <w:tcBorders>
              <w:bottom w:val="single" w:sz="8" w:color="auto"/>
            </w:tcBorders>
            <w:shd w:val="clear" w:color="auto" w:fill="CCEEFF"/>
          </w:tcPr>
          <w:p>
            <w:pPr>
              <w:jc w:val="right"/>
              <w:ind w:right="13"/>
              <w:spacing w:after="0"/>
              <w:rPr>
                <w:sz w:val="20"/>
                <w:szCs w:val="20"/>
                <w:color w:val="auto"/>
              </w:rPr>
            </w:pPr>
            <w:r>
              <w:rPr>
                <w:rFonts w:ascii="Arial" w:cs="Arial" w:eastAsia="Arial" w:hAnsi="Arial"/>
                <w:sz w:val="18"/>
                <w:szCs w:val="18"/>
                <w:color w:val="auto"/>
              </w:rPr>
              <w:t>1,602</w:t>
            </w:r>
          </w:p>
        </w:tc>
        <w:tc>
          <w:tcPr>
            <w:tcW w:w="120" w:type="dxa"/>
            <w:vAlign w:val="bottom"/>
            <w:shd w:val="clear" w:color="auto" w:fill="CCEEFF"/>
          </w:tcPr>
          <w:p>
            <w:pPr>
              <w:spacing w:after="0"/>
              <w:rPr>
                <w:sz w:val="24"/>
                <w:szCs w:val="24"/>
                <w:color w:val="auto"/>
              </w:rPr>
            </w:pPr>
          </w:p>
        </w:tc>
        <w:tc>
          <w:tcPr>
            <w:tcW w:w="340" w:type="dxa"/>
            <w:vAlign w:val="bottom"/>
            <w:tcBorders>
              <w:bottom w:val="single" w:sz="8" w:color="auto"/>
            </w:tcBorders>
            <w:shd w:val="clear" w:color="auto" w:fill="CCEEFF"/>
          </w:tcPr>
          <w:p>
            <w:pPr>
              <w:spacing w:after="0"/>
              <w:rPr>
                <w:sz w:val="24"/>
                <w:szCs w:val="24"/>
                <w:color w:val="auto"/>
              </w:rPr>
            </w:pPr>
          </w:p>
        </w:tc>
        <w:tc>
          <w:tcPr>
            <w:tcW w:w="1140" w:type="dxa"/>
            <w:vAlign w:val="bottom"/>
            <w:tcBorders>
              <w:bottom w:val="single" w:sz="8" w:color="auto"/>
            </w:tcBorders>
            <w:shd w:val="clear" w:color="auto" w:fill="CCEEFF"/>
          </w:tcPr>
          <w:p>
            <w:pPr>
              <w:jc w:val="right"/>
              <w:ind w:right="13"/>
              <w:spacing w:after="0"/>
              <w:rPr>
                <w:sz w:val="20"/>
                <w:szCs w:val="20"/>
                <w:color w:val="auto"/>
              </w:rPr>
            </w:pPr>
            <w:r>
              <w:rPr>
                <w:rFonts w:ascii="Arial" w:cs="Arial" w:eastAsia="Arial" w:hAnsi="Arial"/>
                <w:sz w:val="18"/>
                <w:szCs w:val="18"/>
                <w:color w:val="auto"/>
              </w:rPr>
              <w:t>1,514</w:t>
            </w:r>
          </w:p>
        </w:tc>
      </w:tr>
      <w:tr>
        <w:trPr>
          <w:trHeight w:val="244"/>
        </w:trPr>
        <w:tc>
          <w:tcPr>
            <w:tcW w:w="6740" w:type="dxa"/>
            <w:vAlign w:val="bottom"/>
          </w:tcPr>
          <w:p>
            <w:pPr>
              <w:ind w:left="280"/>
              <w:spacing w:after="0"/>
              <w:rPr>
                <w:sz w:val="20"/>
                <w:szCs w:val="20"/>
                <w:color w:val="auto"/>
              </w:rPr>
            </w:pPr>
            <w:r>
              <w:rPr>
                <w:rFonts w:ascii="Arial" w:cs="Arial" w:eastAsia="Arial" w:hAnsi="Arial"/>
                <w:sz w:val="18"/>
                <w:szCs w:val="18"/>
                <w:color w:val="auto"/>
              </w:rPr>
              <w:t>Total passenger revenue</w:t>
            </w:r>
          </w:p>
        </w:tc>
        <w:tc>
          <w:tcPr>
            <w:tcW w:w="360" w:type="dxa"/>
            <w:vAlign w:val="bottom"/>
          </w:tcPr>
          <w:p>
            <w:pPr>
              <w:jc w:val="right"/>
              <w:ind w:right="130"/>
              <w:spacing w:after="0"/>
              <w:rPr>
                <w:sz w:val="20"/>
                <w:szCs w:val="20"/>
                <w:color w:val="auto"/>
              </w:rPr>
            </w:pPr>
            <w:r>
              <w:rPr>
                <w:rFonts w:ascii="Arial" w:cs="Arial" w:eastAsia="Arial" w:hAnsi="Arial"/>
                <w:sz w:val="18"/>
                <w:szCs w:val="18"/>
                <w:color w:val="auto"/>
              </w:rPr>
              <w:t>$</w:t>
            </w:r>
          </w:p>
        </w:tc>
        <w:tc>
          <w:tcPr>
            <w:tcW w:w="1080" w:type="dxa"/>
            <w:vAlign w:val="bottom"/>
          </w:tcPr>
          <w:p>
            <w:pPr>
              <w:jc w:val="right"/>
              <w:spacing w:after="0"/>
              <w:rPr>
                <w:sz w:val="20"/>
                <w:szCs w:val="20"/>
                <w:color w:val="auto"/>
              </w:rPr>
            </w:pPr>
            <w:r>
              <w:rPr>
                <w:rFonts w:ascii="Arial" w:cs="Arial" w:eastAsia="Arial" w:hAnsi="Arial"/>
                <w:sz w:val="18"/>
                <w:szCs w:val="18"/>
                <w:color w:val="auto"/>
              </w:rPr>
              <w:t>42,010</w:t>
            </w:r>
          </w:p>
        </w:tc>
        <w:tc>
          <w:tcPr>
            <w:tcW w:w="520" w:type="dxa"/>
            <w:vAlign w:val="bottom"/>
            <w:gridSpan w:val="3"/>
          </w:tcPr>
          <w:p>
            <w:pPr>
              <w:jc w:val="right"/>
              <w:ind w:right="240"/>
              <w:spacing w:after="0"/>
              <w:rPr>
                <w:sz w:val="20"/>
                <w:szCs w:val="20"/>
                <w:color w:val="auto"/>
              </w:rPr>
            </w:pPr>
            <w:r>
              <w:rPr>
                <w:rFonts w:ascii="Arial" w:cs="Arial" w:eastAsia="Arial" w:hAnsi="Arial"/>
                <w:sz w:val="18"/>
                <w:szCs w:val="18"/>
                <w:color w:val="auto"/>
              </w:rPr>
              <w:t>$</w:t>
            </w:r>
          </w:p>
        </w:tc>
        <w:tc>
          <w:tcPr>
            <w:tcW w:w="1120" w:type="dxa"/>
            <w:vAlign w:val="bottom"/>
          </w:tcPr>
          <w:p>
            <w:pPr>
              <w:jc w:val="right"/>
              <w:ind w:right="13"/>
              <w:spacing w:after="0"/>
              <w:rPr>
                <w:sz w:val="20"/>
                <w:szCs w:val="20"/>
                <w:color w:val="auto"/>
              </w:rPr>
            </w:pPr>
            <w:r>
              <w:rPr>
                <w:rFonts w:ascii="Arial" w:cs="Arial" w:eastAsia="Arial" w:hAnsi="Arial"/>
                <w:sz w:val="18"/>
                <w:szCs w:val="18"/>
                <w:color w:val="auto"/>
              </w:rPr>
              <w:t>40,676</w:t>
            </w:r>
          </w:p>
        </w:tc>
        <w:tc>
          <w:tcPr>
            <w:tcW w:w="120" w:type="dxa"/>
            <w:vAlign w:val="bottom"/>
          </w:tcPr>
          <w:p>
            <w:pPr>
              <w:spacing w:after="0"/>
              <w:rPr>
                <w:sz w:val="21"/>
                <w:szCs w:val="21"/>
                <w:color w:val="auto"/>
              </w:rPr>
            </w:pPr>
          </w:p>
        </w:tc>
        <w:tc>
          <w:tcPr>
            <w:tcW w:w="340" w:type="dxa"/>
            <w:vAlign w:val="bottom"/>
          </w:tcPr>
          <w:p>
            <w:pPr>
              <w:jc w:val="right"/>
              <w:ind w:right="130"/>
              <w:spacing w:after="0"/>
              <w:rPr>
                <w:sz w:val="20"/>
                <w:szCs w:val="20"/>
                <w:color w:val="auto"/>
              </w:rPr>
            </w:pPr>
            <w:r>
              <w:rPr>
                <w:rFonts w:ascii="Arial" w:cs="Arial" w:eastAsia="Arial" w:hAnsi="Arial"/>
                <w:sz w:val="18"/>
                <w:szCs w:val="18"/>
                <w:color w:val="auto"/>
                <w:w w:val="99"/>
              </w:rPr>
              <w:t>$</w:t>
            </w:r>
          </w:p>
        </w:tc>
        <w:tc>
          <w:tcPr>
            <w:tcW w:w="1140" w:type="dxa"/>
            <w:vAlign w:val="bottom"/>
          </w:tcPr>
          <w:p>
            <w:pPr>
              <w:jc w:val="right"/>
              <w:ind w:right="13"/>
              <w:spacing w:after="0"/>
              <w:rPr>
                <w:sz w:val="20"/>
                <w:szCs w:val="20"/>
                <w:color w:val="auto"/>
              </w:rPr>
            </w:pPr>
            <w:r>
              <w:rPr>
                <w:rFonts w:ascii="Arial" w:cs="Arial" w:eastAsia="Arial" w:hAnsi="Arial"/>
                <w:sz w:val="18"/>
                <w:szCs w:val="18"/>
                <w:color w:val="auto"/>
              </w:rPr>
              <w:t>39,131</w:t>
            </w:r>
          </w:p>
        </w:tc>
      </w:tr>
      <w:tr>
        <w:trPr>
          <w:trHeight w:val="20"/>
        </w:trPr>
        <w:tc>
          <w:tcPr>
            <w:tcW w:w="6740" w:type="dxa"/>
            <w:vAlign w:val="bottom"/>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r>
    </w:tbl>
    <w:p>
      <w:pPr>
        <w:spacing w:after="0" w:line="377" w:lineRule="exact"/>
        <w:rPr>
          <w:sz w:val="20"/>
          <w:szCs w:val="20"/>
          <w:color w:val="auto"/>
        </w:rPr>
      </w:pPr>
    </w:p>
    <w:p>
      <w:pPr>
        <w:ind w:left="220"/>
        <w:spacing w:after="0"/>
        <w:rPr>
          <w:sz w:val="20"/>
          <w:szCs w:val="20"/>
          <w:color w:val="auto"/>
        </w:rPr>
      </w:pPr>
      <w:r>
        <w:rPr>
          <w:rFonts w:ascii="Arial" w:cs="Arial" w:eastAsia="Arial" w:hAnsi="Arial"/>
          <w:sz w:val="18"/>
          <w:szCs w:val="18"/>
          <w:color w:val="auto"/>
        </w:rPr>
        <w:t>We attribute passenger revenue by geographic region based upon the origin and destination of each flight segment.</w:t>
      </w:r>
    </w:p>
    <w:p>
      <w:pPr>
        <w:spacing w:after="0" w:line="230" w:lineRule="exact"/>
        <w:rPr>
          <w:sz w:val="20"/>
          <w:szCs w:val="20"/>
          <w:color w:val="auto"/>
        </w:rPr>
      </w:pPr>
    </w:p>
    <w:p>
      <w:pPr>
        <w:ind w:left="220"/>
        <w:spacing w:after="0"/>
        <w:rPr>
          <w:sz w:val="20"/>
          <w:szCs w:val="20"/>
          <w:color w:val="auto"/>
        </w:rPr>
      </w:pPr>
      <w:r>
        <w:rPr>
          <w:rFonts w:ascii="Arial" w:cs="Arial" w:eastAsia="Arial" w:hAnsi="Arial"/>
          <w:sz w:val="18"/>
          <w:szCs w:val="18"/>
          <w:b w:val="1"/>
          <w:bCs w:val="1"/>
          <w:color w:val="auto"/>
        </w:rPr>
        <w:t>Passenger Revenue</w:t>
      </w:r>
    </w:p>
    <w:p>
      <w:pPr>
        <w:spacing w:after="0" w:line="112" w:lineRule="exact"/>
        <w:rPr>
          <w:sz w:val="20"/>
          <w:szCs w:val="20"/>
          <w:color w:val="auto"/>
        </w:rPr>
      </w:pPr>
    </w:p>
    <w:p>
      <w:pPr>
        <w:jc w:val="both"/>
        <w:ind w:firstLine="230"/>
        <w:spacing w:after="0" w:line="253" w:lineRule="auto"/>
        <w:rPr>
          <w:sz w:val="20"/>
          <w:szCs w:val="20"/>
          <w:color w:val="auto"/>
        </w:rPr>
      </w:pPr>
      <w:r>
        <w:rPr>
          <w:rFonts w:ascii="Arial" w:cs="Arial" w:eastAsia="Arial" w:hAnsi="Arial"/>
          <w:sz w:val="18"/>
          <w:szCs w:val="18"/>
          <w:color w:val="auto"/>
        </w:rPr>
        <w:t>We recognize all revenues generated from transportation on American and our regional flights operated under the brand name American Eagle, including associated baggage fees, ticketing change fees and other inflight services, as passenger revenue when transportation is provided. Ticket and other related sales for transportation that has not yet been provided are initially deferred and recorded as air traffic liability on our consolidated balance sheets. The air traffic liability principally represents tickets sold for future travel on American and partner airlines, as well as estimated future refunds and exchanges of tickets sold for past travel.</w:t>
      </w:r>
    </w:p>
    <w:p>
      <w:pPr>
        <w:spacing w:after="0" w:line="152" w:lineRule="exact"/>
        <w:rPr>
          <w:sz w:val="20"/>
          <w:szCs w:val="20"/>
          <w:color w:val="auto"/>
        </w:rPr>
      </w:pPr>
    </w:p>
    <w:p>
      <w:pPr>
        <w:jc w:val="both"/>
        <w:ind w:firstLine="216"/>
        <w:spacing w:after="0" w:line="252" w:lineRule="auto"/>
        <w:rPr>
          <w:sz w:val="20"/>
          <w:szCs w:val="20"/>
          <w:color w:val="auto"/>
        </w:rPr>
      </w:pPr>
      <w:r>
        <w:rPr>
          <w:rFonts w:ascii="Arial" w:cs="Arial" w:eastAsia="Arial" w:hAnsi="Arial"/>
          <w:sz w:val="18"/>
          <w:szCs w:val="18"/>
          <w:color w:val="auto"/>
        </w:rPr>
        <w:t>The majority of tickets sold are nonrefundable. A small percentage of tickets, some of which are partially used tickets, expire unused. Due to complex pricing structures, refund and exchange policies, and interline agreements with other airlines, certain amounts are recognized in passenger revenue using estimates regarding both the timing of the revenue recognition and the amount of revenue to be recognized. These estimates are generally based on the analysis of our historical data. We have consistently applied this accounting method to estimate revenue from unused tickets at the date of travel. Estimated future refunds and exchanges included in the air traffic liability are routinely evaluated based on subsequent activity to validate the accuracy of our estimates. Any adjustments resulting from periodic evaluations of the estimated air traffic liability are included in passenger revenue during the period in which the evaluations are completed.</w:t>
      </w:r>
    </w:p>
    <w:p>
      <w:pPr>
        <w:sectPr>
          <w:pgSz w:w="11900" w:h="16838" w:orient="portrait"/>
          <w:cols w:equalWidth="0" w:num="1">
            <w:col w:w="11420"/>
          </w:cols>
          <w:pgMar w:left="240" w:top="549" w:right="239" w:bottom="1440" w:gutter="0" w:footer="0" w:header="0"/>
        </w:sectPr>
      </w:pPr>
    </w:p>
    <w:p>
      <w:pPr>
        <w:spacing w:after="0" w:line="207"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81</w:t>
      </w:r>
    </w:p>
    <w:p>
      <w:pPr>
        <w:sectPr>
          <w:pgSz w:w="11900" w:h="16838" w:orient="portrait"/>
          <w:cols w:equalWidth="0" w:num="1">
            <w:col w:w="11420"/>
          </w:cols>
          <w:pgMar w:left="240" w:top="549" w:right="239" w:bottom="1440" w:gutter="0" w:footer="0" w:header="0"/>
          <w:type w:val="continuous"/>
        </w:sectPr>
      </w:pPr>
    </w:p>
    <w:bookmarkStart w:id="81" w:name="page82"/>
    <w:bookmarkEnd w:id="81"/>
    <w:p>
      <w:pPr>
        <w:jc w:val="center"/>
        <w:spacing w:after="0"/>
        <w:rPr>
          <w:sz w:val="20"/>
          <w:szCs w:val="20"/>
          <w:color w:val="auto"/>
        </w:rPr>
      </w:pPr>
      <w:r>
        <w:rPr>
          <w:rFonts w:ascii="Arial" w:cs="Arial" w:eastAsia="Arial" w:hAnsi="Arial"/>
          <w:sz w:val="18"/>
          <w:szCs w:val="18"/>
          <w:b w:val="1"/>
          <w:bCs w:val="1"/>
          <w:color w:val="auto"/>
        </w:rPr>
        <w:t>NOTES TO CONSOLIDATED FINANCIAL STATEMENTS OF AMERICAN AIRLINES GROUP INC.</w:t>
      </w:r>
    </w:p>
    <w:p>
      <w:pPr>
        <w:spacing w:after="0" w:line="200" w:lineRule="exact"/>
        <w:rPr>
          <w:sz w:val="20"/>
          <w:szCs w:val="20"/>
          <w:color w:val="auto"/>
        </w:rPr>
      </w:pPr>
    </w:p>
    <w:p>
      <w:pPr>
        <w:spacing w:after="0" w:line="209" w:lineRule="exact"/>
        <w:rPr>
          <w:sz w:val="20"/>
          <w:szCs w:val="20"/>
          <w:color w:val="auto"/>
        </w:rPr>
      </w:pPr>
    </w:p>
    <w:p>
      <w:pPr>
        <w:jc w:val="both"/>
        <w:ind w:firstLine="216"/>
        <w:spacing w:after="0" w:line="256" w:lineRule="auto"/>
        <w:rPr>
          <w:sz w:val="20"/>
          <w:szCs w:val="20"/>
          <w:color w:val="auto"/>
        </w:rPr>
      </w:pPr>
      <w:r>
        <w:rPr>
          <w:rFonts w:ascii="Arial" w:cs="Arial" w:eastAsia="Arial" w:hAnsi="Arial"/>
          <w:sz w:val="18"/>
          <w:szCs w:val="18"/>
          <w:color w:val="auto"/>
        </w:rPr>
        <w:t>Various taxes and fees assessed on the sale of tickets to end customers are collected by us as an agent and remitted to taxing authorities. These taxes and fees have been presented on a net basis in the accompanying consolidated statements of operations and recorded as a liability until remitted to the appropriate taxing authority.</w:t>
      </w:r>
    </w:p>
    <w:p>
      <w:pPr>
        <w:spacing w:after="0" w:line="207" w:lineRule="exact"/>
        <w:rPr>
          <w:sz w:val="20"/>
          <w:szCs w:val="20"/>
          <w:color w:val="auto"/>
        </w:rPr>
      </w:pPr>
    </w:p>
    <w:p>
      <w:pPr>
        <w:ind w:left="220"/>
        <w:spacing w:after="0"/>
        <w:rPr>
          <w:sz w:val="20"/>
          <w:szCs w:val="20"/>
          <w:color w:val="auto"/>
        </w:rPr>
      </w:pPr>
      <w:r>
        <w:rPr>
          <w:rFonts w:ascii="Arial" w:cs="Arial" w:eastAsia="Arial" w:hAnsi="Arial"/>
          <w:sz w:val="18"/>
          <w:szCs w:val="18"/>
          <w:b w:val="1"/>
          <w:bCs w:val="1"/>
          <w:color w:val="auto"/>
        </w:rPr>
        <w:t>Loyalty Revenue</w:t>
      </w:r>
    </w:p>
    <w:p>
      <w:pPr>
        <w:spacing w:after="0" w:line="112" w:lineRule="exact"/>
        <w:rPr>
          <w:sz w:val="20"/>
          <w:szCs w:val="20"/>
          <w:color w:val="auto"/>
        </w:rPr>
      </w:pPr>
    </w:p>
    <w:p>
      <w:pPr>
        <w:jc w:val="both"/>
        <w:ind w:firstLine="216"/>
        <w:spacing w:after="0" w:line="253" w:lineRule="auto"/>
        <w:rPr>
          <w:sz w:val="20"/>
          <w:szCs w:val="20"/>
          <w:color w:val="auto"/>
        </w:rPr>
      </w:pPr>
      <w:r>
        <w:rPr>
          <w:rFonts w:ascii="Arial" w:cs="Arial" w:eastAsia="Arial" w:hAnsi="Arial"/>
          <w:sz w:val="18"/>
          <w:szCs w:val="18"/>
          <w:color w:val="auto"/>
        </w:rPr>
        <w:t xml:space="preserve">We currently operate the loyalty program, AAdvantage. This program awards mileage credits to passengers who fly on American, any </w:t>
      </w:r>
      <w:r>
        <w:rPr>
          <w:rFonts w:ascii="Arial" w:cs="Arial" w:eastAsia="Arial" w:hAnsi="Arial"/>
          <w:sz w:val="18"/>
          <w:szCs w:val="18"/>
          <w:b w:val="1"/>
          <w:bCs w:val="1"/>
          <w:color w:val="auto"/>
        </w:rPr>
        <w:t>one</w:t>
      </w:r>
      <w:r>
        <w:rPr>
          <w:rFonts w:ascii="Arial" w:cs="Arial" w:eastAsia="Arial" w:hAnsi="Arial"/>
          <w:sz w:val="18"/>
          <w:szCs w:val="18"/>
          <w:color w:val="auto"/>
        </w:rPr>
        <w:t>world airline or other partner airlines, or by using the services of other program participants, such as the Citi and Barclaycard US co-branded credit cards, and certain hotels and car rental companies. Mileage credits can be redeemed for travel on American and other participating partner airlines, as well as other non-air travel awards such as hotels and rental cars. For mileage credits earned by AAdvantage loyalty program members, we apply the deferred revenue method.</w:t>
      </w:r>
    </w:p>
    <w:p>
      <w:pPr>
        <w:spacing w:after="0" w:line="215" w:lineRule="exact"/>
        <w:rPr>
          <w:sz w:val="20"/>
          <w:szCs w:val="20"/>
          <w:color w:val="auto"/>
        </w:rPr>
      </w:pPr>
    </w:p>
    <w:p>
      <w:pPr>
        <w:ind w:left="220"/>
        <w:spacing w:after="0"/>
        <w:rPr>
          <w:sz w:val="20"/>
          <w:szCs w:val="20"/>
          <w:color w:val="auto"/>
        </w:rPr>
      </w:pPr>
      <w:r>
        <w:rPr>
          <w:rFonts w:ascii="Arial" w:cs="Arial" w:eastAsia="Arial" w:hAnsi="Arial"/>
          <w:sz w:val="18"/>
          <w:szCs w:val="18"/>
          <w:i w:val="1"/>
          <w:iCs w:val="1"/>
          <w:color w:val="auto"/>
        </w:rPr>
        <w:t>Mileage credits earned through travel</w:t>
      </w:r>
    </w:p>
    <w:p>
      <w:pPr>
        <w:spacing w:after="0" w:line="108" w:lineRule="exact"/>
        <w:rPr>
          <w:sz w:val="20"/>
          <w:szCs w:val="20"/>
          <w:color w:val="auto"/>
        </w:rPr>
      </w:pPr>
    </w:p>
    <w:p>
      <w:pPr>
        <w:jc w:val="both"/>
        <w:ind w:firstLine="216"/>
        <w:spacing w:after="0" w:line="252" w:lineRule="auto"/>
        <w:rPr>
          <w:sz w:val="20"/>
          <w:szCs w:val="20"/>
          <w:color w:val="auto"/>
        </w:rPr>
      </w:pPr>
      <w:r>
        <w:rPr>
          <w:rFonts w:ascii="Arial" w:cs="Arial" w:eastAsia="Arial" w:hAnsi="Arial"/>
          <w:sz w:val="18"/>
          <w:szCs w:val="18"/>
          <w:color w:val="auto"/>
        </w:rPr>
        <w:t>For mileage credits earned through travel, we apply a relative selling price approach whereby the total amount collected from each passenger ticket sale is allocated between the air transportation and the mileage credits earned. The portion of each passenger ticket sale attributable to mileage credits earned is initially deferred and then recognized in passenger revenue when mileage credits are redeemed and transportation is provided. The estimated selling price of mileage credits is determined using an equivalent ticket value approach, which uses historical data, including award redemption patterns by geographic region and class of service, as well as similar fares as those used to settle award redemptions. The estimated selling price of miles is adjusted for an estimate of miles that will not be redeemed based on historical redemption patterns.</w:t>
      </w:r>
    </w:p>
    <w:p>
      <w:pPr>
        <w:spacing w:after="0" w:line="216" w:lineRule="exact"/>
        <w:rPr>
          <w:sz w:val="20"/>
          <w:szCs w:val="20"/>
          <w:color w:val="auto"/>
        </w:rPr>
      </w:pPr>
    </w:p>
    <w:p>
      <w:pPr>
        <w:ind w:left="220"/>
        <w:spacing w:after="0"/>
        <w:rPr>
          <w:sz w:val="20"/>
          <w:szCs w:val="20"/>
          <w:color w:val="auto"/>
        </w:rPr>
      </w:pPr>
      <w:r>
        <w:rPr>
          <w:rFonts w:ascii="Arial" w:cs="Arial" w:eastAsia="Arial" w:hAnsi="Arial"/>
          <w:sz w:val="18"/>
          <w:szCs w:val="18"/>
          <w:i w:val="1"/>
          <w:iCs w:val="1"/>
          <w:color w:val="auto"/>
        </w:rPr>
        <w:t>Mileage credits sold to co-branded credit cards and other partners</w:t>
      </w:r>
    </w:p>
    <w:p>
      <w:pPr>
        <w:spacing w:after="0" w:line="108" w:lineRule="exact"/>
        <w:rPr>
          <w:sz w:val="20"/>
          <w:szCs w:val="20"/>
          <w:color w:val="auto"/>
        </w:rPr>
      </w:pPr>
    </w:p>
    <w:p>
      <w:pPr>
        <w:jc w:val="both"/>
        <w:ind w:firstLine="216"/>
        <w:spacing w:after="0" w:line="253" w:lineRule="auto"/>
        <w:rPr>
          <w:sz w:val="20"/>
          <w:szCs w:val="20"/>
          <w:color w:val="auto"/>
        </w:rPr>
      </w:pPr>
      <w:r>
        <w:rPr>
          <w:rFonts w:ascii="Arial" w:cs="Arial" w:eastAsia="Arial" w:hAnsi="Arial"/>
          <w:sz w:val="18"/>
          <w:szCs w:val="18"/>
          <w:color w:val="auto"/>
        </w:rPr>
        <w:t>We sell mileage credits to participating airline partners and non-airline business partners, including our co-branded credit card partners, under contracts with terms extending generally for one to seven years. Consideration received from the sale of mileage credits is variable and payment terms typically are within 30 days subsequent to the month of mileage sale. Sales of mileage credits to non-airline business partners are comprised of two components, transportation and marketing. We allocate the consideration received from these sales of mileage credits based on the relative selling price of each product or service delivered.</w:t>
      </w:r>
    </w:p>
    <w:p>
      <w:pPr>
        <w:spacing w:after="0" w:line="152" w:lineRule="exact"/>
        <w:rPr>
          <w:sz w:val="20"/>
          <w:szCs w:val="20"/>
          <w:color w:val="auto"/>
        </w:rPr>
      </w:pPr>
    </w:p>
    <w:p>
      <w:pPr>
        <w:jc w:val="both"/>
        <w:ind w:firstLine="216"/>
        <w:spacing w:after="0" w:line="253" w:lineRule="auto"/>
        <w:rPr>
          <w:sz w:val="20"/>
          <w:szCs w:val="20"/>
          <w:color w:val="auto"/>
        </w:rPr>
      </w:pPr>
      <w:r>
        <w:rPr>
          <w:rFonts w:ascii="Arial" w:cs="Arial" w:eastAsia="Arial" w:hAnsi="Arial"/>
          <w:sz w:val="18"/>
          <w:szCs w:val="18"/>
          <w:color w:val="auto"/>
        </w:rPr>
        <w:t>Our most significant partner agreements are our co-branded credit card agreements with Citi and Barclaycard US that we entered into in 2016. We identified the following revenue elements in these co-branded credit card agreements: the transportation component; and the use of intellectual property, including the American brand and access to loyalty program member lists, which is the predominant element in the agreements, as well as advertising (collectively, the marketing component). Accordingly, we recognize the marketing component in other revenue in the period of the mileage sale following the sales-based royalty method.</w:t>
      </w:r>
    </w:p>
    <w:p>
      <w:pPr>
        <w:spacing w:after="0" w:line="152" w:lineRule="exact"/>
        <w:rPr>
          <w:sz w:val="20"/>
          <w:szCs w:val="20"/>
          <w:color w:val="auto"/>
        </w:rPr>
      </w:pPr>
    </w:p>
    <w:p>
      <w:pPr>
        <w:jc w:val="both"/>
        <w:ind w:right="20" w:firstLine="216"/>
        <w:spacing w:after="0" w:line="256" w:lineRule="auto"/>
        <w:rPr>
          <w:sz w:val="20"/>
          <w:szCs w:val="20"/>
          <w:color w:val="auto"/>
        </w:rPr>
      </w:pPr>
      <w:r>
        <w:rPr>
          <w:rFonts w:ascii="Arial" w:cs="Arial" w:eastAsia="Arial" w:hAnsi="Arial"/>
          <w:sz w:val="18"/>
          <w:szCs w:val="18"/>
          <w:color w:val="auto"/>
        </w:rPr>
        <w:t>The transportation component represents the estimated selling price of future travel awards and is determined using the same equivalent ticket value approach described above. The portion of each mileage credit sold attributable to transportation is initially deferred and then recognized in passenger revenue when mileage credits are redeemed and transportation is provided.</w:t>
      </w:r>
    </w:p>
    <w:p>
      <w:pPr>
        <w:spacing w:after="0" w:line="148" w:lineRule="exact"/>
        <w:rPr>
          <w:sz w:val="20"/>
          <w:szCs w:val="20"/>
          <w:color w:val="auto"/>
        </w:rPr>
      </w:pPr>
    </w:p>
    <w:p>
      <w:pPr>
        <w:jc w:val="both"/>
        <w:ind w:firstLine="216"/>
        <w:spacing w:after="0" w:line="262" w:lineRule="auto"/>
        <w:rPr>
          <w:sz w:val="20"/>
          <w:szCs w:val="20"/>
          <w:color w:val="auto"/>
        </w:rPr>
      </w:pPr>
      <w:r>
        <w:rPr>
          <w:rFonts w:ascii="Arial" w:cs="Arial" w:eastAsia="Arial" w:hAnsi="Arial"/>
          <w:sz w:val="18"/>
          <w:szCs w:val="18"/>
          <w:color w:val="auto"/>
        </w:rPr>
        <w:t>For the portion of our outstanding mileage credits that we estimate will not be redeemed, we recognize the associated value proportionally as the remaining mileage credits are redeemed. Our estimates are based on analysis of historical redemptions.</w:t>
      </w:r>
    </w:p>
    <w:p>
      <w:pPr>
        <w:spacing w:after="0" w:line="201" w:lineRule="exact"/>
        <w:rPr>
          <w:sz w:val="20"/>
          <w:szCs w:val="20"/>
          <w:color w:val="auto"/>
        </w:rPr>
      </w:pPr>
    </w:p>
    <w:p>
      <w:pPr>
        <w:ind w:left="220"/>
        <w:spacing w:after="0"/>
        <w:rPr>
          <w:sz w:val="20"/>
          <w:szCs w:val="20"/>
          <w:color w:val="auto"/>
        </w:rPr>
      </w:pPr>
      <w:r>
        <w:rPr>
          <w:rFonts w:ascii="Arial" w:cs="Arial" w:eastAsia="Arial" w:hAnsi="Arial"/>
          <w:sz w:val="18"/>
          <w:szCs w:val="18"/>
          <w:b w:val="1"/>
          <w:bCs w:val="1"/>
          <w:color w:val="auto"/>
        </w:rPr>
        <w:t>Cargo Revenue</w:t>
      </w:r>
    </w:p>
    <w:p>
      <w:pPr>
        <w:spacing w:after="0" w:line="112" w:lineRule="exact"/>
        <w:rPr>
          <w:sz w:val="20"/>
          <w:szCs w:val="20"/>
          <w:color w:val="auto"/>
        </w:rPr>
      </w:pPr>
    </w:p>
    <w:p>
      <w:pPr>
        <w:ind w:left="220"/>
        <w:spacing w:after="0"/>
        <w:rPr>
          <w:sz w:val="20"/>
          <w:szCs w:val="20"/>
          <w:color w:val="auto"/>
        </w:rPr>
      </w:pPr>
      <w:r>
        <w:rPr>
          <w:rFonts w:ascii="Arial" w:cs="Arial" w:eastAsia="Arial" w:hAnsi="Arial"/>
          <w:sz w:val="18"/>
          <w:szCs w:val="18"/>
          <w:color w:val="auto"/>
        </w:rPr>
        <w:t>Cargo revenue is recognized when we provide the transportation.</w:t>
      </w:r>
    </w:p>
    <w:p>
      <w:pPr>
        <w:spacing w:after="0" w:line="230" w:lineRule="exact"/>
        <w:rPr>
          <w:sz w:val="20"/>
          <w:szCs w:val="20"/>
          <w:color w:val="auto"/>
        </w:rPr>
      </w:pPr>
    </w:p>
    <w:p>
      <w:pPr>
        <w:ind w:left="220"/>
        <w:spacing w:after="0"/>
        <w:rPr>
          <w:sz w:val="20"/>
          <w:szCs w:val="20"/>
          <w:color w:val="auto"/>
        </w:rPr>
      </w:pPr>
      <w:r>
        <w:rPr>
          <w:rFonts w:ascii="Arial" w:cs="Arial" w:eastAsia="Arial" w:hAnsi="Arial"/>
          <w:sz w:val="18"/>
          <w:szCs w:val="18"/>
          <w:b w:val="1"/>
          <w:bCs w:val="1"/>
          <w:color w:val="auto"/>
        </w:rPr>
        <w:t>Other Revenue</w:t>
      </w:r>
    </w:p>
    <w:p>
      <w:pPr>
        <w:spacing w:after="0" w:line="112" w:lineRule="exact"/>
        <w:rPr>
          <w:sz w:val="20"/>
          <w:szCs w:val="20"/>
          <w:color w:val="auto"/>
        </w:rPr>
      </w:pPr>
    </w:p>
    <w:p>
      <w:pPr>
        <w:jc w:val="both"/>
        <w:ind w:firstLine="216"/>
        <w:spacing w:after="0" w:line="253" w:lineRule="auto"/>
        <w:rPr>
          <w:sz w:val="20"/>
          <w:szCs w:val="20"/>
          <w:color w:val="auto"/>
        </w:rPr>
      </w:pPr>
      <w:r>
        <w:rPr>
          <w:rFonts w:ascii="Arial" w:cs="Arial" w:eastAsia="Arial" w:hAnsi="Arial"/>
          <w:sz w:val="18"/>
          <w:szCs w:val="18"/>
          <w:color w:val="auto"/>
        </w:rPr>
        <w:t>Other revenue includes revenue associated with our loyalty program, which is comprised principally of the marketing component of mileage sales to co-branded credit card and other partners and other marketing related payments. Loyalty revenue included in other revenue was $2.4 billion for both years ended December 31, 2019 and 2018 and $2.1 billion for 2017. The accounting and recognition for the loyalty program marketing services are discussed above in “</w:t>
      </w:r>
      <w:r>
        <w:rPr>
          <w:rFonts w:ascii="Arial" w:cs="Arial" w:eastAsia="Arial" w:hAnsi="Arial"/>
          <w:sz w:val="18"/>
          <w:szCs w:val="18"/>
          <w:i w:val="1"/>
          <w:iCs w:val="1"/>
          <w:color w:val="auto"/>
        </w:rPr>
        <w:t>Loyalty Revenue</w:t>
      </w:r>
      <w:r>
        <w:rPr>
          <w:rFonts w:ascii="Arial" w:cs="Arial" w:eastAsia="Arial" w:hAnsi="Arial"/>
          <w:sz w:val="18"/>
          <w:szCs w:val="18"/>
          <w:color w:val="auto"/>
        </w:rPr>
        <w:t>.” The remaining amounts included within other revenue relate to airport clubs, advertising and vacation-related services.</w:t>
      </w:r>
    </w:p>
    <w:p>
      <w:pPr>
        <w:spacing w:after="0" w:line="20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82</w:t>
      </w:r>
    </w:p>
    <w:p>
      <w:pPr>
        <w:sectPr>
          <w:pgSz w:w="11900" w:h="16838" w:orient="portrait"/>
          <w:cols w:equalWidth="0" w:num="1">
            <w:col w:w="11420"/>
          </w:cols>
          <w:pgMar w:left="240" w:top="549" w:right="239" w:bottom="1440" w:gutter="0" w:footer="0" w:header="0"/>
        </w:sectPr>
      </w:pPr>
    </w:p>
    <w:bookmarkStart w:id="82" w:name="page83"/>
    <w:bookmarkEnd w:id="82"/>
    <w:p>
      <w:pPr>
        <w:jc w:val="center"/>
        <w:spacing w:after="0"/>
        <w:rPr>
          <w:sz w:val="20"/>
          <w:szCs w:val="20"/>
          <w:color w:val="auto"/>
        </w:rPr>
      </w:pPr>
      <w:r>
        <w:rPr>
          <w:rFonts w:ascii="Arial" w:cs="Arial" w:eastAsia="Arial" w:hAnsi="Arial"/>
          <w:sz w:val="18"/>
          <w:szCs w:val="18"/>
          <w:b w:val="1"/>
          <w:bCs w:val="1"/>
          <w:color w:val="auto"/>
        </w:rPr>
        <w:t>NOTES TO CONSOLIDATED FINANCIAL STATEMENTS OF AMERICAN AIRLINES GROUP INC.</w:t>
      </w:r>
    </w:p>
    <w:p>
      <w:pPr>
        <w:spacing w:after="0" w:line="200" w:lineRule="exact"/>
        <w:rPr>
          <w:sz w:val="20"/>
          <w:szCs w:val="20"/>
          <w:color w:val="auto"/>
        </w:rPr>
      </w:pPr>
    </w:p>
    <w:p>
      <w:pPr>
        <w:spacing w:after="0" w:line="272" w:lineRule="exact"/>
        <w:rPr>
          <w:sz w:val="20"/>
          <w:szCs w:val="20"/>
          <w:color w:val="auto"/>
        </w:rPr>
      </w:pPr>
    </w:p>
    <w:p>
      <w:pPr>
        <w:ind w:left="240"/>
        <w:spacing w:after="0"/>
        <w:rPr>
          <w:sz w:val="20"/>
          <w:szCs w:val="20"/>
          <w:color w:val="auto"/>
        </w:rPr>
      </w:pPr>
      <w:r>
        <w:rPr>
          <w:rFonts w:ascii="Arial" w:cs="Arial" w:eastAsia="Arial" w:hAnsi="Arial"/>
          <w:sz w:val="18"/>
          <w:szCs w:val="18"/>
          <w:i w:val="1"/>
          <w:iCs w:val="1"/>
          <w:u w:val="single" w:color="auto"/>
          <w:color w:val="auto"/>
        </w:rPr>
        <w:t>Contract Balances</w:t>
      </w:r>
    </w:p>
    <w:p>
      <w:pPr>
        <w:spacing w:after="0" w:line="108" w:lineRule="exact"/>
        <w:rPr>
          <w:sz w:val="20"/>
          <w:szCs w:val="20"/>
          <w:color w:val="auto"/>
        </w:rPr>
      </w:pPr>
    </w:p>
    <w:p>
      <w:pPr>
        <w:jc w:val="both"/>
        <w:ind w:firstLine="243"/>
        <w:spacing w:after="0" w:line="256" w:lineRule="auto"/>
        <w:rPr>
          <w:sz w:val="20"/>
          <w:szCs w:val="20"/>
          <w:color w:val="auto"/>
        </w:rPr>
      </w:pPr>
      <w:r>
        <w:rPr>
          <w:rFonts w:ascii="Arial" w:cs="Arial" w:eastAsia="Arial" w:hAnsi="Arial"/>
          <w:sz w:val="18"/>
          <w:szCs w:val="18"/>
          <w:color w:val="auto"/>
        </w:rPr>
        <w:t>Our significant contract liabilities are comprised of (1) outstanding loyalty program mileage credits that may be redeemed for future travel and other non-air travel awards, reported as loyalty program liability on our consolidated balance sheets and (2) ticket sales for transportation that has not yet been provided, reported as air traffic liability on our consolidated balance sheets.</w:t>
      </w:r>
    </w:p>
    <w:p>
      <w:pPr>
        <w:spacing w:after="0" w:line="352" w:lineRule="exact"/>
        <w:rPr>
          <w:sz w:val="20"/>
          <w:szCs w:val="20"/>
          <w:color w:val="auto"/>
        </w:rPr>
      </w:pPr>
    </w:p>
    <w:tbl>
      <w:tblPr>
        <w:tblLayout w:type="fixed"/>
        <w:tblInd w:w="0" w:type="dxa"/>
        <w:tblCellMar>
          <w:top w:w="0" w:type="dxa"/>
          <w:left w:w="0" w:type="dxa"/>
          <w:bottom w:w="0" w:type="dxa"/>
          <w:right w:w="0" w:type="dxa"/>
        </w:tblCellMar>
      </w:tblPr>
      <w:tr>
        <w:trPr>
          <w:trHeight w:val="196"/>
        </w:trPr>
        <w:tc>
          <w:tcPr>
            <w:tcW w:w="7760" w:type="dxa"/>
            <w:vAlign w:val="bottom"/>
          </w:tcPr>
          <w:p>
            <w:pPr>
              <w:spacing w:after="0"/>
              <w:rPr>
                <w:sz w:val="17"/>
                <w:szCs w:val="17"/>
                <w:color w:val="auto"/>
              </w:rPr>
            </w:pPr>
          </w:p>
        </w:tc>
        <w:tc>
          <w:tcPr>
            <w:tcW w:w="1040" w:type="dxa"/>
            <w:vAlign w:val="bottom"/>
            <w:tcBorders>
              <w:bottom w:val="single" w:sz="8" w:color="auto"/>
            </w:tcBorders>
          </w:tcPr>
          <w:p>
            <w:pPr>
              <w:spacing w:after="0"/>
              <w:rPr>
                <w:sz w:val="17"/>
                <w:szCs w:val="17"/>
                <w:color w:val="auto"/>
              </w:rPr>
            </w:pPr>
          </w:p>
        </w:tc>
        <w:tc>
          <w:tcPr>
            <w:tcW w:w="1400" w:type="dxa"/>
            <w:vAlign w:val="bottom"/>
            <w:tcBorders>
              <w:bottom w:val="single" w:sz="8" w:color="auto"/>
            </w:tcBorders>
            <w:gridSpan w:val="3"/>
          </w:tcPr>
          <w:p>
            <w:pPr>
              <w:jc w:val="right"/>
              <w:ind w:right="30"/>
              <w:spacing w:after="0"/>
              <w:rPr>
                <w:sz w:val="20"/>
                <w:szCs w:val="20"/>
                <w:color w:val="auto"/>
              </w:rPr>
            </w:pPr>
            <w:r>
              <w:rPr>
                <w:rFonts w:ascii="Arial" w:cs="Arial" w:eastAsia="Arial" w:hAnsi="Arial"/>
                <w:sz w:val="14"/>
                <w:szCs w:val="14"/>
                <w:b w:val="1"/>
                <w:bCs w:val="1"/>
                <w:color w:val="auto"/>
              </w:rPr>
              <w:t>December 31,</w:t>
            </w:r>
          </w:p>
        </w:tc>
        <w:tc>
          <w:tcPr>
            <w:tcW w:w="1220" w:type="dxa"/>
            <w:vAlign w:val="bottom"/>
            <w:tcBorders>
              <w:bottom w:val="single" w:sz="8" w:color="auto"/>
            </w:tcBorders>
          </w:tcPr>
          <w:p>
            <w:pPr>
              <w:spacing w:after="0"/>
              <w:rPr>
                <w:sz w:val="17"/>
                <w:szCs w:val="17"/>
                <w:color w:val="auto"/>
              </w:rPr>
            </w:pPr>
          </w:p>
        </w:tc>
      </w:tr>
      <w:tr>
        <w:trPr>
          <w:trHeight w:val="250"/>
        </w:trPr>
        <w:tc>
          <w:tcPr>
            <w:tcW w:w="7760" w:type="dxa"/>
            <w:vAlign w:val="bottom"/>
          </w:tcPr>
          <w:p>
            <w:pPr>
              <w:spacing w:after="0"/>
              <w:rPr>
                <w:sz w:val="21"/>
                <w:szCs w:val="21"/>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2019</w:t>
            </w:r>
          </w:p>
        </w:tc>
        <w:tc>
          <w:tcPr>
            <w:tcW w:w="680" w:type="dxa"/>
            <w:vAlign w:val="bottom"/>
            <w:tcBorders>
              <w:bottom w:val="single" w:sz="8" w:color="auto"/>
            </w:tcBorders>
          </w:tcPr>
          <w:p>
            <w:pPr>
              <w:spacing w:after="0"/>
              <w:rPr>
                <w:sz w:val="21"/>
                <w:szCs w:val="21"/>
                <w:color w:val="auto"/>
              </w:rPr>
            </w:pPr>
          </w:p>
        </w:tc>
        <w:tc>
          <w:tcPr>
            <w:tcW w:w="100" w:type="dxa"/>
            <w:vAlign w:val="bottom"/>
            <w:tcBorders>
              <w:bottom w:val="single" w:sz="8" w:color="auto"/>
            </w:tcBorders>
          </w:tcPr>
          <w:p>
            <w:pPr>
              <w:spacing w:after="0"/>
              <w:rPr>
                <w:sz w:val="21"/>
                <w:szCs w:val="21"/>
                <w:color w:val="auto"/>
              </w:rPr>
            </w:pPr>
          </w:p>
        </w:tc>
        <w:tc>
          <w:tcPr>
            <w:tcW w:w="620" w:type="dxa"/>
            <w:vAlign w:val="bottom"/>
            <w:tcBorders>
              <w:bottom w:val="single" w:sz="8" w:color="auto"/>
            </w:tcBorders>
          </w:tcPr>
          <w:p>
            <w:pPr>
              <w:spacing w:after="0"/>
              <w:rPr>
                <w:sz w:val="21"/>
                <w:szCs w:val="21"/>
                <w:color w:val="auto"/>
              </w:rPr>
            </w:pPr>
          </w:p>
        </w:tc>
        <w:tc>
          <w:tcPr>
            <w:tcW w:w="1220" w:type="dxa"/>
            <w:vAlign w:val="bottom"/>
            <w:tcBorders>
              <w:bottom w:val="single" w:sz="8" w:color="auto"/>
            </w:tcBorders>
          </w:tcPr>
          <w:p>
            <w:pPr>
              <w:jc w:val="right"/>
              <w:ind w:right="674"/>
              <w:spacing w:after="0"/>
              <w:rPr>
                <w:sz w:val="20"/>
                <w:szCs w:val="20"/>
                <w:color w:val="auto"/>
              </w:rPr>
            </w:pPr>
            <w:r>
              <w:rPr>
                <w:rFonts w:ascii="Arial" w:cs="Arial" w:eastAsia="Arial" w:hAnsi="Arial"/>
                <w:sz w:val="14"/>
                <w:szCs w:val="14"/>
                <w:b w:val="1"/>
                <w:bCs w:val="1"/>
                <w:color w:val="auto"/>
              </w:rPr>
              <w:t>2018</w:t>
            </w:r>
          </w:p>
        </w:tc>
      </w:tr>
      <w:tr>
        <w:trPr>
          <w:trHeight w:val="244"/>
        </w:trPr>
        <w:tc>
          <w:tcPr>
            <w:tcW w:w="7760" w:type="dxa"/>
            <w:vAlign w:val="bottom"/>
          </w:tcPr>
          <w:p>
            <w:pPr>
              <w:spacing w:after="0"/>
              <w:rPr>
                <w:sz w:val="21"/>
                <w:szCs w:val="21"/>
                <w:color w:val="auto"/>
              </w:rPr>
            </w:pPr>
          </w:p>
        </w:tc>
        <w:tc>
          <w:tcPr>
            <w:tcW w:w="1040" w:type="dxa"/>
            <w:vAlign w:val="bottom"/>
          </w:tcPr>
          <w:p>
            <w:pPr>
              <w:spacing w:after="0"/>
              <w:rPr>
                <w:sz w:val="21"/>
                <w:szCs w:val="21"/>
                <w:color w:val="auto"/>
              </w:rPr>
            </w:pPr>
          </w:p>
        </w:tc>
        <w:tc>
          <w:tcPr>
            <w:tcW w:w="1400" w:type="dxa"/>
            <w:vAlign w:val="bottom"/>
            <w:gridSpan w:val="3"/>
          </w:tcPr>
          <w:p>
            <w:pPr>
              <w:jc w:val="right"/>
              <w:ind w:right="110"/>
              <w:spacing w:after="0"/>
              <w:rPr>
                <w:sz w:val="20"/>
                <w:szCs w:val="20"/>
                <w:color w:val="auto"/>
              </w:rPr>
            </w:pPr>
            <w:r>
              <w:rPr>
                <w:rFonts w:ascii="Arial" w:cs="Arial" w:eastAsia="Arial" w:hAnsi="Arial"/>
                <w:sz w:val="14"/>
                <w:szCs w:val="14"/>
                <w:b w:val="1"/>
                <w:bCs w:val="1"/>
                <w:color w:val="auto"/>
              </w:rPr>
              <w:t>(in millions)</w:t>
            </w:r>
          </w:p>
        </w:tc>
        <w:tc>
          <w:tcPr>
            <w:tcW w:w="1220" w:type="dxa"/>
            <w:vAlign w:val="bottom"/>
          </w:tcPr>
          <w:p>
            <w:pPr>
              <w:spacing w:after="0"/>
              <w:rPr>
                <w:sz w:val="21"/>
                <w:szCs w:val="21"/>
                <w:color w:val="auto"/>
              </w:rPr>
            </w:pPr>
          </w:p>
        </w:tc>
      </w:tr>
      <w:tr>
        <w:trPr>
          <w:trHeight w:val="275"/>
        </w:trPr>
        <w:tc>
          <w:tcPr>
            <w:tcW w:w="7760" w:type="dxa"/>
            <w:vAlign w:val="bottom"/>
          </w:tcPr>
          <w:p>
            <w:pPr>
              <w:ind w:left="40"/>
              <w:spacing w:after="0"/>
              <w:rPr>
                <w:sz w:val="20"/>
                <w:szCs w:val="20"/>
                <w:color w:val="auto"/>
              </w:rPr>
            </w:pPr>
            <w:r>
              <w:rPr>
                <w:rFonts w:ascii="Arial" w:cs="Arial" w:eastAsia="Arial" w:hAnsi="Arial"/>
                <w:sz w:val="18"/>
                <w:szCs w:val="18"/>
                <w:color w:val="auto"/>
              </w:rPr>
              <w:t>Loyalty program liability</w:t>
            </w:r>
          </w:p>
        </w:tc>
        <w:tc>
          <w:tcPr>
            <w:tcW w:w="1040" w:type="dxa"/>
            <w:vAlign w:val="bottom"/>
          </w:tcPr>
          <w:p>
            <w:pPr>
              <w:jc w:val="right"/>
              <w:ind w:right="836"/>
              <w:spacing w:after="0"/>
              <w:rPr>
                <w:sz w:val="20"/>
                <w:szCs w:val="20"/>
                <w:color w:val="auto"/>
              </w:rPr>
            </w:pPr>
            <w:r>
              <w:rPr>
                <w:rFonts w:ascii="Arial" w:cs="Arial" w:eastAsia="Arial" w:hAnsi="Arial"/>
                <w:sz w:val="18"/>
                <w:szCs w:val="18"/>
                <w:color w:val="auto"/>
                <w:w w:val="99"/>
              </w:rPr>
              <w:t>$</w:t>
            </w:r>
          </w:p>
        </w:tc>
        <w:tc>
          <w:tcPr>
            <w:tcW w:w="680" w:type="dxa"/>
            <w:vAlign w:val="bottom"/>
          </w:tcPr>
          <w:p>
            <w:pPr>
              <w:jc w:val="right"/>
              <w:ind w:right="37"/>
              <w:spacing w:after="0"/>
              <w:rPr>
                <w:sz w:val="20"/>
                <w:szCs w:val="20"/>
                <w:color w:val="auto"/>
              </w:rPr>
            </w:pPr>
            <w:r>
              <w:rPr>
                <w:rFonts w:ascii="Arial" w:cs="Arial" w:eastAsia="Arial" w:hAnsi="Arial"/>
                <w:sz w:val="18"/>
                <w:szCs w:val="18"/>
                <w:color w:val="auto"/>
              </w:rPr>
              <w:t>8,615</w:t>
            </w:r>
          </w:p>
        </w:tc>
        <w:tc>
          <w:tcPr>
            <w:tcW w:w="100" w:type="dxa"/>
            <w:vAlign w:val="bottom"/>
          </w:tcPr>
          <w:p>
            <w:pPr>
              <w:spacing w:after="0"/>
              <w:rPr>
                <w:sz w:val="23"/>
                <w:szCs w:val="23"/>
                <w:color w:val="auto"/>
              </w:rPr>
            </w:pPr>
          </w:p>
        </w:tc>
        <w:tc>
          <w:tcPr>
            <w:tcW w:w="620" w:type="dxa"/>
            <w:vAlign w:val="bottom"/>
          </w:tcPr>
          <w:p>
            <w:pPr>
              <w:jc w:val="right"/>
              <w:ind w:right="390"/>
              <w:spacing w:after="0"/>
              <w:rPr>
                <w:sz w:val="20"/>
                <w:szCs w:val="20"/>
                <w:color w:val="auto"/>
              </w:rPr>
            </w:pPr>
            <w:r>
              <w:rPr>
                <w:rFonts w:ascii="Arial" w:cs="Arial" w:eastAsia="Arial" w:hAnsi="Arial"/>
                <w:sz w:val="18"/>
                <w:szCs w:val="18"/>
                <w:color w:val="auto"/>
              </w:rPr>
              <w:t>$</w:t>
            </w:r>
          </w:p>
        </w:tc>
        <w:tc>
          <w:tcPr>
            <w:tcW w:w="1220" w:type="dxa"/>
            <w:vAlign w:val="bottom"/>
          </w:tcPr>
          <w:p>
            <w:pPr>
              <w:jc w:val="right"/>
              <w:ind w:right="14"/>
              <w:spacing w:after="0"/>
              <w:rPr>
                <w:sz w:val="20"/>
                <w:szCs w:val="20"/>
                <w:color w:val="auto"/>
              </w:rPr>
            </w:pPr>
            <w:r>
              <w:rPr>
                <w:rFonts w:ascii="Arial" w:cs="Arial" w:eastAsia="Arial" w:hAnsi="Arial"/>
                <w:sz w:val="18"/>
                <w:szCs w:val="18"/>
                <w:color w:val="auto"/>
              </w:rPr>
              <w:t>8,539</w:t>
            </w:r>
          </w:p>
        </w:tc>
      </w:tr>
      <w:tr>
        <w:trPr>
          <w:trHeight w:val="270"/>
        </w:trPr>
        <w:tc>
          <w:tcPr>
            <w:tcW w:w="7760" w:type="dxa"/>
            <w:vAlign w:val="bottom"/>
            <w:shd w:val="clear" w:color="auto" w:fill="CCEEFF"/>
          </w:tcPr>
          <w:p>
            <w:pPr>
              <w:ind w:left="40"/>
              <w:spacing w:after="0"/>
              <w:rPr>
                <w:sz w:val="20"/>
                <w:szCs w:val="20"/>
                <w:color w:val="auto"/>
              </w:rPr>
            </w:pPr>
            <w:r>
              <w:rPr>
                <w:rFonts w:ascii="Arial" w:cs="Arial" w:eastAsia="Arial" w:hAnsi="Arial"/>
                <w:sz w:val="18"/>
                <w:szCs w:val="18"/>
                <w:color w:val="auto"/>
              </w:rPr>
              <w:t>Air traffic liability</w:t>
            </w:r>
          </w:p>
        </w:tc>
        <w:tc>
          <w:tcPr>
            <w:tcW w:w="1040" w:type="dxa"/>
            <w:vAlign w:val="bottom"/>
            <w:tcBorders>
              <w:bottom w:val="single" w:sz="8" w:color="auto"/>
            </w:tcBorders>
            <w:shd w:val="clear" w:color="auto" w:fill="CCEEFF"/>
          </w:tcPr>
          <w:p>
            <w:pPr>
              <w:spacing w:after="0"/>
              <w:rPr>
                <w:sz w:val="23"/>
                <w:szCs w:val="23"/>
                <w:color w:val="auto"/>
              </w:rPr>
            </w:pPr>
          </w:p>
        </w:tc>
        <w:tc>
          <w:tcPr>
            <w:tcW w:w="680" w:type="dxa"/>
            <w:vAlign w:val="bottom"/>
            <w:tcBorders>
              <w:bottom w:val="single" w:sz="8" w:color="auto"/>
            </w:tcBorders>
            <w:shd w:val="clear" w:color="auto" w:fill="CCEEFF"/>
          </w:tcPr>
          <w:p>
            <w:pPr>
              <w:jc w:val="right"/>
              <w:ind w:right="37"/>
              <w:spacing w:after="0"/>
              <w:rPr>
                <w:sz w:val="20"/>
                <w:szCs w:val="20"/>
                <w:color w:val="auto"/>
              </w:rPr>
            </w:pPr>
            <w:r>
              <w:rPr>
                <w:rFonts w:ascii="Arial" w:cs="Arial" w:eastAsia="Arial" w:hAnsi="Arial"/>
                <w:sz w:val="18"/>
                <w:szCs w:val="18"/>
                <w:color w:val="auto"/>
              </w:rPr>
              <w:t>4,808</w:t>
            </w:r>
          </w:p>
        </w:tc>
        <w:tc>
          <w:tcPr>
            <w:tcW w:w="100" w:type="dxa"/>
            <w:vAlign w:val="bottom"/>
            <w:shd w:val="clear" w:color="auto" w:fill="CCEEFF"/>
          </w:tcPr>
          <w:p>
            <w:pPr>
              <w:spacing w:after="0"/>
              <w:rPr>
                <w:sz w:val="23"/>
                <w:szCs w:val="23"/>
                <w:color w:val="auto"/>
              </w:rPr>
            </w:pPr>
          </w:p>
        </w:tc>
        <w:tc>
          <w:tcPr>
            <w:tcW w:w="620" w:type="dxa"/>
            <w:vAlign w:val="bottom"/>
            <w:tcBorders>
              <w:bottom w:val="single" w:sz="8" w:color="auto"/>
            </w:tcBorders>
            <w:shd w:val="clear" w:color="auto" w:fill="CCEEFF"/>
          </w:tcPr>
          <w:p>
            <w:pPr>
              <w:spacing w:after="0"/>
              <w:rPr>
                <w:sz w:val="23"/>
                <w:szCs w:val="23"/>
                <w:color w:val="auto"/>
              </w:rPr>
            </w:pPr>
          </w:p>
        </w:tc>
        <w:tc>
          <w:tcPr>
            <w:tcW w:w="1220" w:type="dxa"/>
            <w:vAlign w:val="bottom"/>
            <w:tcBorders>
              <w:bottom w:val="single" w:sz="8" w:color="auto"/>
            </w:tcBorders>
            <w:shd w:val="clear" w:color="auto" w:fill="CCEEFF"/>
          </w:tcPr>
          <w:p>
            <w:pPr>
              <w:jc w:val="right"/>
              <w:ind w:right="14"/>
              <w:spacing w:after="0"/>
              <w:rPr>
                <w:sz w:val="20"/>
                <w:szCs w:val="20"/>
                <w:color w:val="auto"/>
              </w:rPr>
            </w:pPr>
            <w:r>
              <w:rPr>
                <w:rFonts w:ascii="Arial" w:cs="Arial" w:eastAsia="Arial" w:hAnsi="Arial"/>
                <w:sz w:val="18"/>
                <w:szCs w:val="18"/>
                <w:color w:val="auto"/>
              </w:rPr>
              <w:t>4,339</w:t>
            </w:r>
          </w:p>
        </w:tc>
      </w:tr>
      <w:tr>
        <w:trPr>
          <w:trHeight w:val="257"/>
        </w:trPr>
        <w:tc>
          <w:tcPr>
            <w:tcW w:w="7760" w:type="dxa"/>
            <w:vAlign w:val="bottom"/>
          </w:tcPr>
          <w:p>
            <w:pPr>
              <w:ind w:left="280"/>
              <w:spacing w:after="0"/>
              <w:rPr>
                <w:sz w:val="20"/>
                <w:szCs w:val="20"/>
                <w:color w:val="auto"/>
              </w:rPr>
            </w:pPr>
            <w:r>
              <w:rPr>
                <w:rFonts w:ascii="Arial" w:cs="Arial" w:eastAsia="Arial" w:hAnsi="Arial"/>
                <w:sz w:val="18"/>
                <w:szCs w:val="18"/>
                <w:color w:val="auto"/>
              </w:rPr>
              <w:t>Total</w:t>
            </w:r>
          </w:p>
        </w:tc>
        <w:tc>
          <w:tcPr>
            <w:tcW w:w="1040" w:type="dxa"/>
            <w:vAlign w:val="bottom"/>
            <w:tcBorders>
              <w:bottom w:val="single" w:sz="8" w:color="auto"/>
            </w:tcBorders>
          </w:tcPr>
          <w:p>
            <w:pPr>
              <w:jc w:val="right"/>
              <w:ind w:right="836"/>
              <w:spacing w:after="0"/>
              <w:rPr>
                <w:sz w:val="20"/>
                <w:szCs w:val="20"/>
                <w:color w:val="auto"/>
              </w:rPr>
            </w:pPr>
            <w:r>
              <w:rPr>
                <w:rFonts w:ascii="Arial" w:cs="Arial" w:eastAsia="Arial" w:hAnsi="Arial"/>
                <w:sz w:val="18"/>
                <w:szCs w:val="18"/>
                <w:color w:val="auto"/>
                <w:w w:val="99"/>
              </w:rPr>
              <w:t>$</w:t>
            </w:r>
          </w:p>
        </w:tc>
        <w:tc>
          <w:tcPr>
            <w:tcW w:w="680" w:type="dxa"/>
            <w:vAlign w:val="bottom"/>
            <w:tcBorders>
              <w:bottom w:val="single" w:sz="8" w:color="auto"/>
            </w:tcBorders>
          </w:tcPr>
          <w:p>
            <w:pPr>
              <w:jc w:val="right"/>
              <w:ind w:right="37"/>
              <w:spacing w:after="0"/>
              <w:rPr>
                <w:sz w:val="20"/>
                <w:szCs w:val="20"/>
                <w:color w:val="auto"/>
              </w:rPr>
            </w:pPr>
            <w:r>
              <w:rPr>
                <w:rFonts w:ascii="Arial" w:cs="Arial" w:eastAsia="Arial" w:hAnsi="Arial"/>
                <w:sz w:val="18"/>
                <w:szCs w:val="18"/>
                <w:color w:val="auto"/>
                <w:w w:val="98"/>
              </w:rPr>
              <w:t>13,423</w:t>
            </w:r>
          </w:p>
        </w:tc>
        <w:tc>
          <w:tcPr>
            <w:tcW w:w="100" w:type="dxa"/>
            <w:vAlign w:val="bottom"/>
          </w:tcPr>
          <w:p>
            <w:pPr>
              <w:spacing w:after="0"/>
              <w:rPr>
                <w:sz w:val="22"/>
                <w:szCs w:val="22"/>
                <w:color w:val="auto"/>
              </w:rPr>
            </w:pPr>
          </w:p>
        </w:tc>
        <w:tc>
          <w:tcPr>
            <w:tcW w:w="620" w:type="dxa"/>
            <w:vAlign w:val="bottom"/>
            <w:tcBorders>
              <w:bottom w:val="single" w:sz="8" w:color="auto"/>
            </w:tcBorders>
          </w:tcPr>
          <w:p>
            <w:pPr>
              <w:jc w:val="right"/>
              <w:ind w:right="390"/>
              <w:spacing w:after="0"/>
              <w:rPr>
                <w:sz w:val="20"/>
                <w:szCs w:val="20"/>
                <w:color w:val="auto"/>
              </w:rPr>
            </w:pPr>
            <w:r>
              <w:rPr>
                <w:rFonts w:ascii="Arial" w:cs="Arial" w:eastAsia="Arial" w:hAnsi="Arial"/>
                <w:sz w:val="18"/>
                <w:szCs w:val="18"/>
                <w:color w:val="auto"/>
              </w:rPr>
              <w:t>$</w:t>
            </w:r>
          </w:p>
        </w:tc>
        <w:tc>
          <w:tcPr>
            <w:tcW w:w="1220" w:type="dxa"/>
            <w:vAlign w:val="bottom"/>
            <w:tcBorders>
              <w:bottom w:val="single" w:sz="8" w:color="auto"/>
            </w:tcBorders>
          </w:tcPr>
          <w:p>
            <w:pPr>
              <w:jc w:val="right"/>
              <w:ind w:right="14"/>
              <w:spacing w:after="0"/>
              <w:rPr>
                <w:sz w:val="20"/>
                <w:szCs w:val="20"/>
                <w:color w:val="auto"/>
              </w:rPr>
            </w:pPr>
            <w:r>
              <w:rPr>
                <w:rFonts w:ascii="Arial" w:cs="Arial" w:eastAsia="Arial" w:hAnsi="Arial"/>
                <w:sz w:val="18"/>
                <w:szCs w:val="18"/>
                <w:color w:val="auto"/>
              </w:rPr>
              <w:t>12,878</w:t>
            </w:r>
          </w:p>
        </w:tc>
      </w:tr>
      <w:tr>
        <w:trPr>
          <w:trHeight w:val="20"/>
        </w:trPr>
        <w:tc>
          <w:tcPr>
            <w:tcW w:w="7760" w:type="dxa"/>
            <w:vAlign w:val="bottom"/>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6016625</wp:posOffset>
            </wp:positionH>
            <wp:positionV relativeFrom="paragraph">
              <wp:posOffset>-711200</wp:posOffset>
            </wp:positionV>
            <wp:extent cx="68580" cy="8890"/>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68580" cy="8890"/>
                    </a:xfrm>
                    <a:prstGeom prst="rect">
                      <a:avLst/>
                    </a:prstGeom>
                    <a:noFill/>
                  </pic:spPr>
                </pic:pic>
              </a:graphicData>
            </a:graphic>
          </wp:anchor>
        </w:drawing>
      </w:r>
    </w:p>
    <w:p>
      <w:pPr>
        <w:spacing w:after="0" w:line="357" w:lineRule="exact"/>
        <w:rPr>
          <w:sz w:val="20"/>
          <w:szCs w:val="20"/>
          <w:color w:val="auto"/>
        </w:rPr>
      </w:pPr>
    </w:p>
    <w:p>
      <w:pPr>
        <w:jc w:val="both"/>
        <w:ind w:firstLine="243"/>
        <w:spacing w:after="0" w:line="256" w:lineRule="auto"/>
        <w:rPr>
          <w:sz w:val="20"/>
          <w:szCs w:val="20"/>
          <w:color w:val="auto"/>
        </w:rPr>
      </w:pPr>
      <w:r>
        <w:rPr>
          <w:rFonts w:ascii="Arial" w:cs="Arial" w:eastAsia="Arial" w:hAnsi="Arial"/>
          <w:sz w:val="18"/>
          <w:szCs w:val="18"/>
          <w:color w:val="auto"/>
        </w:rPr>
        <w:t>The balance of the loyalty program liability fluctuates based on seasonal patterns, which impact the volume of mileage credits issued through travel or sold to co-branded credit card and other partners (deferral of revenue) and mileage credits redeemed (recognition of revenue). Changes in loyalty program liability are as follows (in millions):</w:t>
      </w:r>
    </w:p>
    <w:p>
      <w:pPr>
        <w:spacing w:after="0" w:line="284" w:lineRule="exact"/>
        <w:rPr>
          <w:sz w:val="20"/>
          <w:szCs w:val="20"/>
          <w:color w:val="auto"/>
        </w:rPr>
      </w:pPr>
    </w:p>
    <w:tbl>
      <w:tblPr>
        <w:tblLayout w:type="fixed"/>
        <w:tblInd w:w="0" w:type="dxa"/>
        <w:tblCellMar>
          <w:top w:w="0" w:type="dxa"/>
          <w:left w:w="0" w:type="dxa"/>
          <w:bottom w:w="0" w:type="dxa"/>
          <w:right w:w="0" w:type="dxa"/>
        </w:tblCellMar>
      </w:tblPr>
      <w:tr>
        <w:trPr>
          <w:trHeight w:val="257"/>
        </w:trPr>
        <w:tc>
          <w:tcPr>
            <w:tcW w:w="9700" w:type="dxa"/>
            <w:vAlign w:val="bottom"/>
            <w:shd w:val="clear" w:color="auto" w:fill="CCEEFF"/>
          </w:tcPr>
          <w:p>
            <w:pPr>
              <w:ind w:left="40"/>
              <w:spacing w:after="0"/>
              <w:rPr>
                <w:sz w:val="20"/>
                <w:szCs w:val="20"/>
                <w:color w:val="auto"/>
              </w:rPr>
            </w:pPr>
            <w:r>
              <w:rPr>
                <w:rFonts w:ascii="Arial" w:cs="Arial" w:eastAsia="Arial" w:hAnsi="Arial"/>
                <w:sz w:val="18"/>
                <w:szCs w:val="18"/>
                <w:color w:val="auto"/>
              </w:rPr>
              <w:t>Balance at December 31, 2018</w:t>
            </w:r>
          </w:p>
        </w:tc>
        <w:tc>
          <w:tcPr>
            <w:tcW w:w="620" w:type="dxa"/>
            <w:vAlign w:val="bottom"/>
            <w:shd w:val="clear" w:color="auto" w:fill="CCEEFF"/>
          </w:tcPr>
          <w:p>
            <w:pPr>
              <w:jc w:val="right"/>
              <w:ind w:right="390"/>
              <w:spacing w:after="0"/>
              <w:rPr>
                <w:sz w:val="20"/>
                <w:szCs w:val="20"/>
                <w:color w:val="auto"/>
              </w:rPr>
            </w:pPr>
            <w:r>
              <w:rPr>
                <w:rFonts w:ascii="Arial" w:cs="Arial" w:eastAsia="Arial" w:hAnsi="Arial"/>
                <w:sz w:val="18"/>
                <w:szCs w:val="18"/>
                <w:color w:val="auto"/>
              </w:rPr>
              <w:t>$</w:t>
            </w:r>
          </w:p>
        </w:tc>
        <w:tc>
          <w:tcPr>
            <w:tcW w:w="11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8,539</w:t>
            </w:r>
          </w:p>
        </w:tc>
      </w:tr>
      <w:tr>
        <w:trPr>
          <w:trHeight w:val="250"/>
        </w:trPr>
        <w:tc>
          <w:tcPr>
            <w:tcW w:w="9700" w:type="dxa"/>
            <w:vAlign w:val="bottom"/>
          </w:tcPr>
          <w:p>
            <w:pPr>
              <w:ind w:left="280"/>
              <w:spacing w:after="0"/>
              <w:rPr>
                <w:sz w:val="20"/>
                <w:szCs w:val="20"/>
                <w:color w:val="auto"/>
              </w:rPr>
            </w:pPr>
            <w:r>
              <w:rPr>
                <w:rFonts w:ascii="Arial" w:cs="Arial" w:eastAsia="Arial" w:hAnsi="Arial"/>
                <w:sz w:val="18"/>
                <w:szCs w:val="18"/>
                <w:color w:val="auto"/>
              </w:rPr>
              <w:t>Deferral of revenue</w:t>
            </w:r>
          </w:p>
        </w:tc>
        <w:tc>
          <w:tcPr>
            <w:tcW w:w="620" w:type="dxa"/>
            <w:vAlign w:val="bottom"/>
          </w:tcPr>
          <w:p>
            <w:pPr>
              <w:spacing w:after="0"/>
              <w:rPr>
                <w:sz w:val="21"/>
                <w:szCs w:val="21"/>
                <w:color w:val="auto"/>
              </w:rPr>
            </w:pPr>
          </w:p>
        </w:tc>
        <w:tc>
          <w:tcPr>
            <w:tcW w:w="1100" w:type="dxa"/>
            <w:vAlign w:val="bottom"/>
          </w:tcPr>
          <w:p>
            <w:pPr>
              <w:jc w:val="right"/>
              <w:ind w:right="10"/>
              <w:spacing w:after="0"/>
              <w:rPr>
                <w:sz w:val="20"/>
                <w:szCs w:val="20"/>
                <w:color w:val="auto"/>
              </w:rPr>
            </w:pPr>
            <w:r>
              <w:rPr>
                <w:rFonts w:ascii="Arial" w:cs="Arial" w:eastAsia="Arial" w:hAnsi="Arial"/>
                <w:sz w:val="18"/>
                <w:szCs w:val="18"/>
                <w:color w:val="auto"/>
              </w:rPr>
              <w:t>3,438</w:t>
            </w:r>
          </w:p>
        </w:tc>
      </w:tr>
      <w:tr>
        <w:trPr>
          <w:trHeight w:val="263"/>
        </w:trPr>
        <w:tc>
          <w:tcPr>
            <w:tcW w:w="9700" w:type="dxa"/>
            <w:vAlign w:val="bottom"/>
            <w:shd w:val="clear" w:color="auto" w:fill="CCEEFF"/>
          </w:tcPr>
          <w:p>
            <w:pPr>
              <w:ind w:left="280"/>
              <w:spacing w:after="0"/>
              <w:rPr>
                <w:sz w:val="20"/>
                <w:szCs w:val="20"/>
                <w:color w:val="auto"/>
              </w:rPr>
            </w:pPr>
            <w:r>
              <w:rPr>
                <w:rFonts w:ascii="Arial" w:cs="Arial" w:eastAsia="Arial" w:hAnsi="Arial"/>
                <w:sz w:val="18"/>
                <w:szCs w:val="18"/>
                <w:color w:val="auto"/>
              </w:rPr>
              <w:t xml:space="preserve">Recognition of revenue </w:t>
            </w:r>
            <w:r>
              <w:rPr>
                <w:rFonts w:ascii="Arial" w:cs="Arial" w:eastAsia="Arial" w:hAnsi="Arial"/>
                <w:sz w:val="21"/>
                <w:szCs w:val="21"/>
                <w:color w:val="auto"/>
                <w:vertAlign w:val="superscript"/>
              </w:rPr>
              <w:t>(1)</w:t>
            </w:r>
          </w:p>
        </w:tc>
        <w:tc>
          <w:tcPr>
            <w:tcW w:w="620" w:type="dxa"/>
            <w:vAlign w:val="bottom"/>
            <w:tcBorders>
              <w:bottom w:val="single" w:sz="8" w:color="auto"/>
            </w:tcBorders>
            <w:shd w:val="clear" w:color="auto" w:fill="CCEEFF"/>
          </w:tcPr>
          <w:p>
            <w:pPr>
              <w:spacing w:after="0"/>
              <w:rPr>
                <w:sz w:val="22"/>
                <w:szCs w:val="22"/>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(3,362)</w:t>
            </w:r>
          </w:p>
        </w:tc>
      </w:tr>
      <w:tr>
        <w:trPr>
          <w:trHeight w:val="250"/>
        </w:trPr>
        <w:tc>
          <w:tcPr>
            <w:tcW w:w="9700" w:type="dxa"/>
            <w:vAlign w:val="bottom"/>
          </w:tcPr>
          <w:p>
            <w:pPr>
              <w:ind w:left="40"/>
              <w:spacing w:after="0"/>
              <w:rPr>
                <w:sz w:val="20"/>
                <w:szCs w:val="20"/>
                <w:color w:val="auto"/>
              </w:rPr>
            </w:pPr>
            <w:r>
              <w:rPr>
                <w:rFonts w:ascii="Arial" w:cs="Arial" w:eastAsia="Arial" w:hAnsi="Arial"/>
                <w:sz w:val="18"/>
                <w:szCs w:val="18"/>
                <w:color w:val="auto"/>
              </w:rPr>
              <w:t xml:space="preserve">Balance at December 31, 2019 </w:t>
            </w:r>
            <w:r>
              <w:rPr>
                <w:rFonts w:ascii="Arial" w:cs="Arial" w:eastAsia="Arial" w:hAnsi="Arial"/>
                <w:sz w:val="21"/>
                <w:szCs w:val="21"/>
                <w:color w:val="auto"/>
                <w:vertAlign w:val="superscript"/>
              </w:rPr>
              <w:t>(2)</w:t>
            </w:r>
          </w:p>
        </w:tc>
        <w:tc>
          <w:tcPr>
            <w:tcW w:w="620" w:type="dxa"/>
            <w:vAlign w:val="bottom"/>
            <w:tcBorders>
              <w:bottom w:val="single" w:sz="8" w:color="auto"/>
            </w:tcBorders>
          </w:tcPr>
          <w:p>
            <w:pPr>
              <w:jc w:val="right"/>
              <w:ind w:right="390"/>
              <w:spacing w:after="0"/>
              <w:rPr>
                <w:sz w:val="20"/>
                <w:szCs w:val="20"/>
                <w:color w:val="auto"/>
              </w:rPr>
            </w:pPr>
            <w:r>
              <w:rPr>
                <w:rFonts w:ascii="Arial" w:cs="Arial" w:eastAsia="Arial" w:hAnsi="Arial"/>
                <w:sz w:val="18"/>
                <w:szCs w:val="18"/>
                <w:color w:val="auto"/>
              </w:rPr>
              <w:t>$</w:t>
            </w:r>
          </w:p>
        </w:tc>
        <w:tc>
          <w:tcPr>
            <w:tcW w:w="110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8,615</w:t>
            </w:r>
          </w:p>
        </w:tc>
      </w:tr>
      <w:tr>
        <w:trPr>
          <w:trHeight w:val="20"/>
        </w:trPr>
        <w:tc>
          <w:tcPr>
            <w:tcW w:w="9700" w:type="dxa"/>
            <w:vAlign w:val="bottom"/>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163195</wp:posOffset>
            </wp:positionV>
            <wp:extent cx="1337945" cy="8890"/>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1337945" cy="8890"/>
                    </a:xfrm>
                    <a:prstGeom prst="rect">
                      <a:avLst/>
                    </a:prstGeom>
                    <a:noFill/>
                  </pic:spPr>
                </pic:pic>
              </a:graphicData>
            </a:graphic>
          </wp:anchor>
        </w:drawing>
      </w:r>
    </w:p>
    <w:p>
      <w:pPr>
        <w:spacing w:after="0" w:line="330" w:lineRule="exact"/>
        <w:rPr>
          <w:sz w:val="20"/>
          <w:szCs w:val="20"/>
          <w:color w:val="auto"/>
        </w:rPr>
      </w:pPr>
    </w:p>
    <w:p>
      <w:pPr>
        <w:jc w:val="both"/>
        <w:ind w:left="500" w:hanging="330"/>
        <w:spacing w:after="0" w:line="233" w:lineRule="auto"/>
        <w:tabs>
          <w:tab w:leader="none" w:pos="500" w:val="left"/>
        </w:tabs>
        <w:numPr>
          <w:ilvl w:val="0"/>
          <w:numId w:val="33"/>
        </w:numPr>
        <w:rPr>
          <w:rFonts w:ascii="Arial" w:cs="Arial" w:eastAsia="Arial" w:hAnsi="Arial"/>
          <w:sz w:val="22"/>
          <w:szCs w:val="22"/>
          <w:color w:val="auto"/>
          <w:vertAlign w:val="superscript"/>
        </w:rPr>
      </w:pPr>
      <w:r>
        <w:rPr>
          <w:rFonts w:ascii="Arial" w:cs="Arial" w:eastAsia="Arial" w:hAnsi="Arial"/>
          <w:sz w:val="18"/>
          <w:szCs w:val="18"/>
          <w:color w:val="auto"/>
        </w:rPr>
        <w:t>Principally relates to revenue recognized from the redemption of mileage credits for both air and non-air travel awards. Mileage credits are combined in one homogenous pool and are not separately identifiable. As such, the revenue is comprised of miles that were part of the loyalty program deferred revenue balance at the beginning of the period, as well as miles that were issued during the period.</w:t>
      </w:r>
    </w:p>
    <w:p>
      <w:pPr>
        <w:spacing w:after="0" w:line="162" w:lineRule="exact"/>
        <w:rPr>
          <w:rFonts w:ascii="Arial" w:cs="Arial" w:eastAsia="Arial" w:hAnsi="Arial"/>
          <w:sz w:val="22"/>
          <w:szCs w:val="22"/>
          <w:color w:val="auto"/>
          <w:vertAlign w:val="superscript"/>
        </w:rPr>
      </w:pPr>
    </w:p>
    <w:p>
      <w:pPr>
        <w:jc w:val="both"/>
        <w:ind w:left="500" w:hanging="330"/>
        <w:spacing w:after="0" w:line="237" w:lineRule="auto"/>
        <w:tabs>
          <w:tab w:leader="none" w:pos="500" w:val="left"/>
        </w:tabs>
        <w:numPr>
          <w:ilvl w:val="0"/>
          <w:numId w:val="33"/>
        </w:numPr>
        <w:rPr>
          <w:rFonts w:ascii="Arial" w:cs="Arial" w:eastAsia="Arial" w:hAnsi="Arial"/>
          <w:sz w:val="22"/>
          <w:szCs w:val="22"/>
          <w:color w:val="auto"/>
          <w:vertAlign w:val="superscript"/>
        </w:rPr>
      </w:pPr>
      <w:r>
        <w:rPr>
          <w:rFonts w:ascii="Arial" w:cs="Arial" w:eastAsia="Arial" w:hAnsi="Arial"/>
          <w:sz w:val="18"/>
          <w:szCs w:val="18"/>
          <w:color w:val="auto"/>
        </w:rPr>
        <w:t>Mileage credits can be redeemed at any time and do not expire as long as that AAdvantage member has any type of qualifying activity at least every 18 months. As of December 31, 2019, our current loyalty program liability was $3.2 billion and represents our current estimate of revenue expected to be recognized in the next 12 months based on historical trends, with the balance reflected in long-term loyalty program liability expected to be recognized as revenue in periods thereafter.</w:t>
      </w:r>
    </w:p>
    <w:p>
      <w:pPr>
        <w:spacing w:after="0" w:line="163" w:lineRule="exact"/>
        <w:rPr>
          <w:sz w:val="20"/>
          <w:szCs w:val="20"/>
          <w:color w:val="auto"/>
        </w:rPr>
      </w:pPr>
    </w:p>
    <w:p>
      <w:pPr>
        <w:jc w:val="both"/>
        <w:ind w:firstLine="243"/>
        <w:spacing w:after="0" w:line="253" w:lineRule="auto"/>
        <w:rPr>
          <w:sz w:val="20"/>
          <w:szCs w:val="20"/>
          <w:color w:val="auto"/>
        </w:rPr>
      </w:pPr>
      <w:r>
        <w:rPr>
          <w:rFonts w:ascii="Arial" w:cs="Arial" w:eastAsia="Arial" w:hAnsi="Arial"/>
          <w:sz w:val="18"/>
          <w:szCs w:val="18"/>
          <w:color w:val="auto"/>
        </w:rPr>
        <w:t>The air traffic liability principally represents tickets sold for future travel on American and partner airlines, as well as estimated future refunds and exchanges of tickets sold for past travel. The balance in our air traffic liability also fluctuates with seasonal travel patterns. The contract duration of passenger tickets is one year. Accordingly, any revenue associated with tickets sold for future travel will be recognized within 12 months. For 2019, $3.3 billion of revenue was recognized in passenger revenue that was included in our air traffic liability at December 31, 2018.</w:t>
      </w:r>
    </w:p>
    <w:p>
      <w:pPr>
        <w:spacing w:after="0" w:line="152" w:lineRule="exact"/>
        <w:rPr>
          <w:sz w:val="20"/>
          <w:szCs w:val="20"/>
          <w:color w:val="auto"/>
        </w:rPr>
      </w:pPr>
    </w:p>
    <w:p>
      <w:pPr>
        <w:jc w:val="both"/>
        <w:ind w:firstLine="243"/>
        <w:spacing w:after="0" w:line="254" w:lineRule="auto"/>
        <w:rPr>
          <w:sz w:val="20"/>
          <w:szCs w:val="20"/>
          <w:color w:val="auto"/>
        </w:rPr>
      </w:pPr>
      <w:r>
        <w:rPr>
          <w:rFonts w:ascii="Arial" w:cs="Arial" w:eastAsia="Arial" w:hAnsi="Arial"/>
          <w:sz w:val="18"/>
          <w:szCs w:val="18"/>
          <w:color w:val="auto"/>
        </w:rPr>
        <w:t>With respect to contract receivables, reflected as accounts receivable, net on the accompanying consolidated balance sheets, these primarily include receivables for tickets sold to individual passengers through the use of major credit cards. These receivables are short-term, mostly settled within seven days after sale. Bad debt losses, which have been minimal in the past, have been considered in establishing allowances for doubtful accounts.</w:t>
      </w:r>
    </w:p>
    <w:p>
      <w:pPr>
        <w:spacing w:after="0" w:line="209" w:lineRule="exact"/>
        <w:rPr>
          <w:sz w:val="20"/>
          <w:szCs w:val="20"/>
          <w:color w:val="auto"/>
        </w:rPr>
      </w:pPr>
    </w:p>
    <w:p>
      <w:pPr>
        <w:ind w:left="220"/>
        <w:spacing w:after="0"/>
        <w:rPr>
          <w:sz w:val="20"/>
          <w:szCs w:val="20"/>
          <w:color w:val="auto"/>
        </w:rPr>
      </w:pPr>
      <w:r>
        <w:rPr>
          <w:rFonts w:ascii="Arial" w:cs="Arial" w:eastAsia="Arial" w:hAnsi="Arial"/>
          <w:sz w:val="18"/>
          <w:szCs w:val="18"/>
          <w:b w:val="1"/>
          <w:bCs w:val="1"/>
          <w:i w:val="1"/>
          <w:iCs w:val="1"/>
          <w:color w:val="auto"/>
        </w:rPr>
        <w:t>(l) Maintenance, Materials and Repairs</w:t>
      </w:r>
    </w:p>
    <w:p>
      <w:pPr>
        <w:spacing w:after="0" w:line="112" w:lineRule="exact"/>
        <w:rPr>
          <w:sz w:val="20"/>
          <w:szCs w:val="20"/>
          <w:color w:val="auto"/>
        </w:rPr>
      </w:pPr>
    </w:p>
    <w:p>
      <w:pPr>
        <w:jc w:val="both"/>
        <w:ind w:firstLine="216"/>
        <w:spacing w:after="0" w:line="256" w:lineRule="auto"/>
        <w:rPr>
          <w:sz w:val="20"/>
          <w:szCs w:val="20"/>
          <w:color w:val="auto"/>
        </w:rPr>
      </w:pPr>
      <w:r>
        <w:rPr>
          <w:rFonts w:ascii="Arial" w:cs="Arial" w:eastAsia="Arial" w:hAnsi="Arial"/>
          <w:sz w:val="18"/>
          <w:szCs w:val="18"/>
          <w:color w:val="auto"/>
        </w:rPr>
        <w:t>Maintenance and repair costs for owned and leased flight equipment are charged to operating expense as incurred, except costs incurred for maintenance and repair under flight hour maintenance contract agreements, which are accrued based on contractual terms when an obligation exists.</w:t>
      </w:r>
    </w:p>
    <w:p>
      <w:pPr>
        <w:spacing w:after="0" w:line="207" w:lineRule="exact"/>
        <w:rPr>
          <w:sz w:val="20"/>
          <w:szCs w:val="20"/>
          <w:color w:val="auto"/>
        </w:rPr>
      </w:pPr>
    </w:p>
    <w:p>
      <w:pPr>
        <w:ind w:left="220"/>
        <w:spacing w:after="0"/>
        <w:rPr>
          <w:sz w:val="20"/>
          <w:szCs w:val="20"/>
          <w:color w:val="auto"/>
        </w:rPr>
      </w:pPr>
      <w:r>
        <w:rPr>
          <w:rFonts w:ascii="Arial" w:cs="Arial" w:eastAsia="Arial" w:hAnsi="Arial"/>
          <w:sz w:val="18"/>
          <w:szCs w:val="18"/>
          <w:b w:val="1"/>
          <w:bCs w:val="1"/>
          <w:i w:val="1"/>
          <w:iCs w:val="1"/>
          <w:color w:val="auto"/>
        </w:rPr>
        <w:t>(m) Selling Expenses</w:t>
      </w:r>
    </w:p>
    <w:p>
      <w:pPr>
        <w:spacing w:after="0" w:line="112" w:lineRule="exact"/>
        <w:rPr>
          <w:sz w:val="20"/>
          <w:szCs w:val="20"/>
          <w:color w:val="auto"/>
        </w:rPr>
      </w:pPr>
    </w:p>
    <w:p>
      <w:pPr>
        <w:jc w:val="both"/>
        <w:ind w:firstLine="216"/>
        <w:spacing w:after="0" w:line="256" w:lineRule="auto"/>
        <w:rPr>
          <w:sz w:val="20"/>
          <w:szCs w:val="20"/>
          <w:color w:val="auto"/>
        </w:rPr>
      </w:pPr>
      <w:r>
        <w:rPr>
          <w:rFonts w:ascii="Arial" w:cs="Arial" w:eastAsia="Arial" w:hAnsi="Arial"/>
          <w:sz w:val="18"/>
          <w:szCs w:val="18"/>
          <w:color w:val="auto"/>
        </w:rPr>
        <w:t>Selling expenses include credit card fees, commissions, computerized reservations systems fees and advertising. Selling expenses associated with passenger revenue are expensed when the transportation or service is provided. Advertising costs are expensed as incurred. Advertising expense was $129 million, $128 million and $135 million for the years ended December 31, 2019, 2018 and 2017, respectively.</w:t>
      </w:r>
    </w:p>
    <w:p>
      <w:pPr>
        <w:sectPr>
          <w:pgSz w:w="11900" w:h="16838" w:orient="portrait"/>
          <w:cols w:equalWidth="0" w:num="1">
            <w:col w:w="11420"/>
          </w:cols>
          <w:pgMar w:left="240" w:top="549" w:right="239" w:bottom="1440" w:gutter="0" w:footer="0" w:header="0"/>
        </w:sectPr>
      </w:pPr>
    </w:p>
    <w:p>
      <w:pPr>
        <w:spacing w:after="0" w:line="202"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83</w:t>
      </w:r>
    </w:p>
    <w:p>
      <w:pPr>
        <w:sectPr>
          <w:pgSz w:w="11900" w:h="16838" w:orient="portrait"/>
          <w:cols w:equalWidth="0" w:num="1">
            <w:col w:w="11420"/>
          </w:cols>
          <w:pgMar w:left="240" w:top="549" w:right="239" w:bottom="1440" w:gutter="0" w:footer="0" w:header="0"/>
          <w:type w:val="continuous"/>
        </w:sectPr>
      </w:pPr>
    </w:p>
    <w:bookmarkStart w:id="83" w:name="page84"/>
    <w:bookmarkEnd w:id="83"/>
    <w:p>
      <w:pPr>
        <w:jc w:val="center"/>
        <w:spacing w:after="0"/>
        <w:rPr>
          <w:sz w:val="20"/>
          <w:szCs w:val="20"/>
          <w:color w:val="auto"/>
        </w:rPr>
      </w:pPr>
      <w:r>
        <w:rPr>
          <w:rFonts w:ascii="Arial" w:cs="Arial" w:eastAsia="Arial" w:hAnsi="Arial"/>
          <w:sz w:val="18"/>
          <w:szCs w:val="18"/>
          <w:b w:val="1"/>
          <w:bCs w:val="1"/>
          <w:color w:val="auto"/>
        </w:rPr>
        <w:t>NOTES TO CONSOLIDATED FINANCIAL STATEMENTS OF AMERICAN AIRLINES GROUP INC.</w:t>
      </w:r>
    </w:p>
    <w:p>
      <w:pPr>
        <w:spacing w:after="0" w:line="200" w:lineRule="exact"/>
        <w:rPr>
          <w:sz w:val="20"/>
          <w:szCs w:val="20"/>
          <w:color w:val="auto"/>
        </w:rPr>
      </w:pPr>
    </w:p>
    <w:p>
      <w:pPr>
        <w:spacing w:after="0" w:line="268" w:lineRule="exact"/>
        <w:rPr>
          <w:sz w:val="20"/>
          <w:szCs w:val="20"/>
          <w:color w:val="auto"/>
        </w:rPr>
      </w:pPr>
    </w:p>
    <w:p>
      <w:pPr>
        <w:ind w:left="220"/>
        <w:spacing w:after="0"/>
        <w:rPr>
          <w:sz w:val="20"/>
          <w:szCs w:val="20"/>
          <w:color w:val="auto"/>
        </w:rPr>
      </w:pPr>
      <w:r>
        <w:rPr>
          <w:rFonts w:ascii="Arial" w:cs="Arial" w:eastAsia="Arial" w:hAnsi="Arial"/>
          <w:sz w:val="18"/>
          <w:szCs w:val="18"/>
          <w:b w:val="1"/>
          <w:bCs w:val="1"/>
          <w:i w:val="1"/>
          <w:iCs w:val="1"/>
          <w:color w:val="auto"/>
        </w:rPr>
        <w:t>(n) Share-based Compensation</w:t>
      </w:r>
    </w:p>
    <w:p>
      <w:pPr>
        <w:spacing w:after="0" w:line="112" w:lineRule="exact"/>
        <w:rPr>
          <w:sz w:val="20"/>
          <w:szCs w:val="20"/>
          <w:color w:val="auto"/>
        </w:rPr>
      </w:pPr>
    </w:p>
    <w:p>
      <w:pPr>
        <w:jc w:val="both"/>
        <w:ind w:firstLine="216"/>
        <w:spacing w:after="0" w:line="254" w:lineRule="auto"/>
        <w:rPr>
          <w:sz w:val="20"/>
          <w:szCs w:val="20"/>
          <w:color w:val="auto"/>
        </w:rPr>
      </w:pPr>
      <w:r>
        <w:rPr>
          <w:rFonts w:ascii="Arial" w:cs="Arial" w:eastAsia="Arial" w:hAnsi="Arial"/>
          <w:sz w:val="18"/>
          <w:szCs w:val="18"/>
          <w:color w:val="auto"/>
        </w:rPr>
        <w:t>We account for our share-based compensation expense based on the fair value of the stock award at the time of grant, which is recognized ratably over the vesting period of the stock award. The majority of our stock awards are time vested restricted stock units, and the fair value of such awards is based on the market price of the underlying shares of AAG common stock on the date of grant. See Note 15 for further discussion of share-based compensation.</w:t>
      </w:r>
    </w:p>
    <w:p>
      <w:pPr>
        <w:spacing w:after="0" w:line="209" w:lineRule="exact"/>
        <w:rPr>
          <w:sz w:val="20"/>
          <w:szCs w:val="20"/>
          <w:color w:val="auto"/>
        </w:rPr>
      </w:pPr>
    </w:p>
    <w:p>
      <w:pPr>
        <w:ind w:left="220"/>
        <w:spacing w:after="0"/>
        <w:rPr>
          <w:sz w:val="20"/>
          <w:szCs w:val="20"/>
          <w:color w:val="auto"/>
        </w:rPr>
      </w:pPr>
      <w:r>
        <w:rPr>
          <w:rFonts w:ascii="Arial" w:cs="Arial" w:eastAsia="Arial" w:hAnsi="Arial"/>
          <w:sz w:val="18"/>
          <w:szCs w:val="18"/>
          <w:b w:val="1"/>
          <w:bCs w:val="1"/>
          <w:i w:val="1"/>
          <w:iCs w:val="1"/>
          <w:color w:val="auto"/>
        </w:rPr>
        <w:t>(o) Foreign Currency Gains and Losses</w:t>
      </w:r>
    </w:p>
    <w:p>
      <w:pPr>
        <w:spacing w:after="0" w:line="112" w:lineRule="exact"/>
        <w:rPr>
          <w:sz w:val="20"/>
          <w:szCs w:val="20"/>
          <w:color w:val="auto"/>
        </w:rPr>
      </w:pPr>
    </w:p>
    <w:p>
      <w:pPr>
        <w:jc w:val="both"/>
        <w:ind w:firstLine="216"/>
        <w:spacing w:after="0" w:line="256" w:lineRule="auto"/>
        <w:rPr>
          <w:sz w:val="20"/>
          <w:szCs w:val="20"/>
          <w:color w:val="auto"/>
        </w:rPr>
      </w:pPr>
      <w:r>
        <w:rPr>
          <w:rFonts w:ascii="Arial" w:cs="Arial" w:eastAsia="Arial" w:hAnsi="Arial"/>
          <w:sz w:val="18"/>
          <w:szCs w:val="18"/>
          <w:color w:val="auto"/>
        </w:rPr>
        <w:t>Foreign currency gains and losses are recorded as part of other income, net within total nonoperating expense, net in our consolidated statements of operations. For the years ended December 31, 2019, 2018 and 2017, respectively, foreign currency losses were $32 million, $55 million and $4 million.</w:t>
      </w:r>
    </w:p>
    <w:p>
      <w:pPr>
        <w:spacing w:after="0" w:line="207" w:lineRule="exact"/>
        <w:rPr>
          <w:sz w:val="20"/>
          <w:szCs w:val="20"/>
          <w:color w:val="auto"/>
        </w:rPr>
      </w:pPr>
    </w:p>
    <w:p>
      <w:pPr>
        <w:ind w:left="220"/>
        <w:spacing w:after="0"/>
        <w:rPr>
          <w:sz w:val="20"/>
          <w:szCs w:val="20"/>
          <w:color w:val="auto"/>
        </w:rPr>
      </w:pPr>
      <w:r>
        <w:rPr>
          <w:rFonts w:ascii="Arial" w:cs="Arial" w:eastAsia="Arial" w:hAnsi="Arial"/>
          <w:sz w:val="18"/>
          <w:szCs w:val="18"/>
          <w:b w:val="1"/>
          <w:bCs w:val="1"/>
          <w:i w:val="1"/>
          <w:iCs w:val="1"/>
          <w:color w:val="auto"/>
        </w:rPr>
        <w:t>(p) Other Operating Expenses</w:t>
      </w:r>
    </w:p>
    <w:p>
      <w:pPr>
        <w:spacing w:after="0" w:line="112" w:lineRule="exact"/>
        <w:rPr>
          <w:sz w:val="20"/>
          <w:szCs w:val="20"/>
          <w:color w:val="auto"/>
        </w:rPr>
      </w:pPr>
    </w:p>
    <w:p>
      <w:pPr>
        <w:jc w:val="both"/>
        <w:ind w:right="20" w:firstLine="216"/>
        <w:spacing w:after="0" w:line="262" w:lineRule="auto"/>
        <w:rPr>
          <w:sz w:val="20"/>
          <w:szCs w:val="20"/>
          <w:color w:val="auto"/>
        </w:rPr>
      </w:pPr>
      <w:r>
        <w:rPr>
          <w:rFonts w:ascii="Arial" w:cs="Arial" w:eastAsia="Arial" w:hAnsi="Arial"/>
          <w:sz w:val="18"/>
          <w:szCs w:val="18"/>
          <w:color w:val="auto"/>
        </w:rPr>
        <w:t>Other operating expenses includes costs associated with ground and cargo handling, crew travel, aircraft food and catering, passenger accommodation, airport security, international navigation fees and certain general and administrative expenses.</w:t>
      </w:r>
    </w:p>
    <w:p>
      <w:pPr>
        <w:spacing w:after="0" w:line="201" w:lineRule="exact"/>
        <w:rPr>
          <w:sz w:val="20"/>
          <w:szCs w:val="20"/>
          <w:color w:val="auto"/>
        </w:rPr>
      </w:pPr>
    </w:p>
    <w:p>
      <w:pPr>
        <w:ind w:left="220"/>
        <w:spacing w:after="0"/>
        <w:rPr>
          <w:sz w:val="20"/>
          <w:szCs w:val="20"/>
          <w:color w:val="auto"/>
        </w:rPr>
      </w:pPr>
      <w:r>
        <w:rPr>
          <w:rFonts w:ascii="Arial" w:cs="Arial" w:eastAsia="Arial" w:hAnsi="Arial"/>
          <w:sz w:val="18"/>
          <w:szCs w:val="18"/>
          <w:b w:val="1"/>
          <w:bCs w:val="1"/>
          <w:i w:val="1"/>
          <w:iCs w:val="1"/>
          <w:color w:val="auto"/>
        </w:rPr>
        <w:t>(q) Regional Expenses</w:t>
      </w:r>
    </w:p>
    <w:p>
      <w:pPr>
        <w:spacing w:after="0" w:line="112" w:lineRule="exact"/>
        <w:rPr>
          <w:sz w:val="20"/>
          <w:szCs w:val="20"/>
          <w:color w:val="auto"/>
        </w:rPr>
      </w:pPr>
    </w:p>
    <w:p>
      <w:pPr>
        <w:ind w:left="220"/>
        <w:spacing w:after="0"/>
        <w:rPr>
          <w:sz w:val="20"/>
          <w:szCs w:val="20"/>
          <w:color w:val="auto"/>
        </w:rPr>
      </w:pPr>
      <w:r>
        <w:rPr>
          <w:rFonts w:ascii="Arial" w:cs="Arial" w:eastAsia="Arial" w:hAnsi="Arial"/>
          <w:sz w:val="18"/>
          <w:szCs w:val="18"/>
          <w:color w:val="auto"/>
        </w:rPr>
        <w:t>Expenses associated with American Eagle operations are classified as regional expenses on our consolidated statements of operations.</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Regional expenses consist of the following (in millions):</w:t>
      </w:r>
    </w:p>
    <w:p>
      <w:pPr>
        <w:spacing w:after="0" w:line="321" w:lineRule="exact"/>
        <w:rPr>
          <w:sz w:val="20"/>
          <w:szCs w:val="20"/>
          <w:color w:val="auto"/>
        </w:rPr>
      </w:pPr>
    </w:p>
    <w:tbl>
      <w:tblPr>
        <w:tblLayout w:type="fixed"/>
        <w:tblInd w:w="0" w:type="dxa"/>
        <w:tblCellMar>
          <w:top w:w="0" w:type="dxa"/>
          <w:left w:w="0" w:type="dxa"/>
          <w:bottom w:w="0" w:type="dxa"/>
          <w:right w:w="0" w:type="dxa"/>
        </w:tblCellMar>
      </w:tblPr>
      <w:tr>
        <w:trPr>
          <w:trHeight w:val="196"/>
        </w:trPr>
        <w:tc>
          <w:tcPr>
            <w:tcW w:w="6620" w:type="dxa"/>
            <w:vAlign w:val="bottom"/>
          </w:tcPr>
          <w:p>
            <w:pPr>
              <w:spacing w:after="0"/>
              <w:rPr>
                <w:sz w:val="17"/>
                <w:szCs w:val="17"/>
                <w:color w:val="auto"/>
              </w:rPr>
            </w:pPr>
          </w:p>
        </w:tc>
        <w:tc>
          <w:tcPr>
            <w:tcW w:w="920" w:type="dxa"/>
            <w:vAlign w:val="bottom"/>
            <w:tcBorders>
              <w:bottom w:val="single" w:sz="8" w:color="auto"/>
            </w:tcBorders>
          </w:tcPr>
          <w:p>
            <w:pPr>
              <w:spacing w:after="0"/>
              <w:rPr>
                <w:sz w:val="17"/>
                <w:szCs w:val="17"/>
                <w:color w:val="auto"/>
              </w:rPr>
            </w:pPr>
          </w:p>
        </w:tc>
        <w:tc>
          <w:tcPr>
            <w:tcW w:w="580" w:type="dxa"/>
            <w:vAlign w:val="bottom"/>
            <w:tcBorders>
              <w:bottom w:val="single" w:sz="8" w:color="auto"/>
            </w:tcBorders>
          </w:tcPr>
          <w:p>
            <w:pPr>
              <w:spacing w:after="0"/>
              <w:rPr>
                <w:sz w:val="17"/>
                <w:szCs w:val="17"/>
                <w:color w:val="auto"/>
              </w:rPr>
            </w:pPr>
          </w:p>
        </w:tc>
        <w:tc>
          <w:tcPr>
            <w:tcW w:w="2080" w:type="dxa"/>
            <w:vAlign w:val="bottom"/>
            <w:tcBorders>
              <w:bottom w:val="single" w:sz="8" w:color="auto"/>
            </w:tcBorders>
            <w:gridSpan w:val="5"/>
          </w:tcPr>
          <w:p>
            <w:pPr>
              <w:jc w:val="right"/>
              <w:ind w:right="190"/>
              <w:spacing w:after="0"/>
              <w:rPr>
                <w:sz w:val="20"/>
                <w:szCs w:val="20"/>
                <w:color w:val="auto"/>
              </w:rPr>
            </w:pPr>
            <w:r>
              <w:rPr>
                <w:rFonts w:ascii="Arial" w:cs="Arial" w:eastAsia="Arial" w:hAnsi="Arial"/>
                <w:sz w:val="14"/>
                <w:szCs w:val="14"/>
                <w:b w:val="1"/>
                <w:bCs w:val="1"/>
                <w:color w:val="auto"/>
              </w:rPr>
              <w:t>Year Ended December 31,</w:t>
            </w:r>
          </w:p>
        </w:tc>
        <w:tc>
          <w:tcPr>
            <w:tcW w:w="1220" w:type="dxa"/>
            <w:vAlign w:val="bottom"/>
            <w:tcBorders>
              <w:bottom w:val="single" w:sz="8" w:color="auto"/>
            </w:tcBorders>
          </w:tcPr>
          <w:p>
            <w:pPr>
              <w:spacing w:after="0"/>
              <w:rPr>
                <w:sz w:val="17"/>
                <w:szCs w:val="17"/>
                <w:color w:val="auto"/>
              </w:rPr>
            </w:pPr>
          </w:p>
        </w:tc>
      </w:tr>
      <w:tr>
        <w:trPr>
          <w:trHeight w:val="264"/>
        </w:trPr>
        <w:tc>
          <w:tcPr>
            <w:tcW w:w="6620" w:type="dxa"/>
            <w:vAlign w:val="bottom"/>
            <w:tcBorders>
              <w:bottom w:val="single" w:sz="8" w:color="CCEEFF"/>
            </w:tcBorders>
          </w:tcPr>
          <w:p>
            <w:pPr>
              <w:spacing w:after="0"/>
              <w:rPr>
                <w:sz w:val="22"/>
                <w:szCs w:val="22"/>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2019</w:t>
            </w:r>
          </w:p>
        </w:tc>
        <w:tc>
          <w:tcPr>
            <w:tcW w:w="580" w:type="dxa"/>
            <w:vAlign w:val="bottom"/>
            <w:tcBorders>
              <w:bottom w:val="single" w:sz="8" w:color="auto"/>
            </w:tcBorders>
          </w:tcPr>
          <w:p>
            <w:pPr>
              <w:spacing w:after="0"/>
              <w:rPr>
                <w:sz w:val="22"/>
                <w:szCs w:val="22"/>
                <w:color w:val="auto"/>
              </w:rPr>
            </w:pPr>
          </w:p>
        </w:tc>
        <w:tc>
          <w:tcPr>
            <w:tcW w:w="100" w:type="dxa"/>
            <w:vAlign w:val="bottom"/>
            <w:tcBorders>
              <w:bottom w:val="single" w:sz="8" w:color="CCEEFF"/>
            </w:tcBorders>
          </w:tcPr>
          <w:p>
            <w:pPr>
              <w:spacing w:after="0"/>
              <w:rPr>
                <w:sz w:val="22"/>
                <w:szCs w:val="22"/>
                <w:color w:val="auto"/>
              </w:rPr>
            </w:pPr>
          </w:p>
        </w:tc>
        <w:tc>
          <w:tcPr>
            <w:tcW w:w="360" w:type="dxa"/>
            <w:vAlign w:val="bottom"/>
            <w:tcBorders>
              <w:bottom w:val="single" w:sz="8" w:color="auto"/>
            </w:tcBorders>
          </w:tcPr>
          <w:p>
            <w:pPr>
              <w:spacing w:after="0"/>
              <w:rPr>
                <w:sz w:val="22"/>
                <w:szCs w:val="22"/>
                <w:color w:val="auto"/>
              </w:rPr>
            </w:pPr>
          </w:p>
        </w:tc>
        <w:tc>
          <w:tcPr>
            <w:tcW w:w="1120" w:type="dxa"/>
            <w:vAlign w:val="bottom"/>
            <w:tcBorders>
              <w:bottom w:val="single" w:sz="8" w:color="auto"/>
            </w:tcBorders>
          </w:tcPr>
          <w:p>
            <w:pPr>
              <w:jc w:val="right"/>
              <w:ind w:right="491"/>
              <w:spacing w:after="0"/>
              <w:rPr>
                <w:sz w:val="20"/>
                <w:szCs w:val="20"/>
                <w:color w:val="auto"/>
              </w:rPr>
            </w:pPr>
            <w:r>
              <w:rPr>
                <w:rFonts w:ascii="Arial" w:cs="Arial" w:eastAsia="Arial" w:hAnsi="Arial"/>
                <w:sz w:val="14"/>
                <w:szCs w:val="14"/>
                <w:b w:val="1"/>
                <w:bCs w:val="1"/>
                <w:color w:val="auto"/>
              </w:rPr>
              <w:t>2018</w:t>
            </w:r>
          </w:p>
        </w:tc>
        <w:tc>
          <w:tcPr>
            <w:tcW w:w="120" w:type="dxa"/>
            <w:vAlign w:val="bottom"/>
            <w:tcBorders>
              <w:bottom w:val="single" w:sz="8" w:color="CCEEFF"/>
            </w:tcBorders>
          </w:tcPr>
          <w:p>
            <w:pPr>
              <w:spacing w:after="0"/>
              <w:rPr>
                <w:sz w:val="22"/>
                <w:szCs w:val="22"/>
                <w:color w:val="auto"/>
              </w:rPr>
            </w:pPr>
          </w:p>
        </w:tc>
        <w:tc>
          <w:tcPr>
            <w:tcW w:w="380" w:type="dxa"/>
            <w:vAlign w:val="bottom"/>
            <w:tcBorders>
              <w:bottom w:val="single" w:sz="8" w:color="auto"/>
            </w:tcBorders>
          </w:tcPr>
          <w:p>
            <w:pPr>
              <w:spacing w:after="0"/>
              <w:rPr>
                <w:sz w:val="22"/>
                <w:szCs w:val="22"/>
                <w:color w:val="auto"/>
              </w:rPr>
            </w:pPr>
          </w:p>
        </w:tc>
        <w:tc>
          <w:tcPr>
            <w:tcW w:w="1220" w:type="dxa"/>
            <w:vAlign w:val="bottom"/>
            <w:tcBorders>
              <w:bottom w:val="single" w:sz="8" w:color="auto"/>
            </w:tcBorders>
          </w:tcPr>
          <w:p>
            <w:pPr>
              <w:jc w:val="right"/>
              <w:ind w:right="551"/>
              <w:spacing w:after="0"/>
              <w:rPr>
                <w:sz w:val="20"/>
                <w:szCs w:val="20"/>
                <w:color w:val="auto"/>
              </w:rPr>
            </w:pPr>
            <w:r>
              <w:rPr>
                <w:rFonts w:ascii="Arial" w:cs="Arial" w:eastAsia="Arial" w:hAnsi="Arial"/>
                <w:sz w:val="14"/>
                <w:szCs w:val="14"/>
                <w:b w:val="1"/>
                <w:bCs w:val="1"/>
                <w:color w:val="auto"/>
              </w:rPr>
              <w:t>2017</w:t>
            </w:r>
          </w:p>
        </w:tc>
      </w:tr>
      <w:tr>
        <w:trPr>
          <w:trHeight w:val="256"/>
        </w:trPr>
        <w:tc>
          <w:tcPr>
            <w:tcW w:w="6620" w:type="dxa"/>
            <w:vAlign w:val="bottom"/>
            <w:shd w:val="clear" w:color="auto" w:fill="CCEEFF"/>
          </w:tcPr>
          <w:p>
            <w:pPr>
              <w:ind w:left="40"/>
              <w:spacing w:after="0"/>
              <w:rPr>
                <w:sz w:val="20"/>
                <w:szCs w:val="20"/>
                <w:color w:val="auto"/>
              </w:rPr>
            </w:pPr>
            <w:r>
              <w:rPr>
                <w:rFonts w:ascii="Arial" w:cs="Arial" w:eastAsia="Arial" w:hAnsi="Arial"/>
                <w:sz w:val="18"/>
                <w:szCs w:val="18"/>
                <w:color w:val="auto"/>
              </w:rPr>
              <w:t>Aircraft fuel and related taxes</w:t>
            </w:r>
          </w:p>
        </w:tc>
        <w:tc>
          <w:tcPr>
            <w:tcW w:w="920" w:type="dxa"/>
            <w:vAlign w:val="bottom"/>
            <w:shd w:val="clear" w:color="auto" w:fill="CCEEFF"/>
          </w:tcPr>
          <w:p>
            <w:pPr>
              <w:jc w:val="right"/>
              <w:ind w:right="696"/>
              <w:spacing w:after="0"/>
              <w:rPr>
                <w:sz w:val="20"/>
                <w:szCs w:val="20"/>
                <w:color w:val="auto"/>
              </w:rPr>
            </w:pPr>
            <w:r>
              <w:rPr>
                <w:rFonts w:ascii="Arial" w:cs="Arial" w:eastAsia="Arial" w:hAnsi="Arial"/>
                <w:sz w:val="18"/>
                <w:szCs w:val="18"/>
                <w:color w:val="auto"/>
              </w:rPr>
              <w:t>$</w:t>
            </w:r>
          </w:p>
        </w:tc>
        <w:tc>
          <w:tcPr>
            <w:tcW w:w="58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97"/>
              </w:rPr>
              <w:t>1,869</w:t>
            </w:r>
          </w:p>
        </w:tc>
        <w:tc>
          <w:tcPr>
            <w:tcW w:w="46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112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1,843</w:t>
            </w:r>
          </w:p>
        </w:tc>
        <w:tc>
          <w:tcPr>
            <w:tcW w:w="120" w:type="dxa"/>
            <w:vAlign w:val="bottom"/>
            <w:shd w:val="clear" w:color="auto" w:fill="CCEEFF"/>
          </w:tcPr>
          <w:p>
            <w:pPr>
              <w:spacing w:after="0"/>
              <w:rPr>
                <w:sz w:val="22"/>
                <w:szCs w:val="22"/>
                <w:color w:val="auto"/>
              </w:rPr>
            </w:pPr>
          </w:p>
        </w:tc>
        <w:tc>
          <w:tcPr>
            <w:tcW w:w="380" w:type="dxa"/>
            <w:vAlign w:val="bottom"/>
            <w:shd w:val="clear" w:color="auto" w:fill="CCEEFF"/>
          </w:tcPr>
          <w:p>
            <w:pPr>
              <w:jc w:val="right"/>
              <w:ind w:right="170"/>
              <w:spacing w:after="0"/>
              <w:rPr>
                <w:sz w:val="20"/>
                <w:szCs w:val="20"/>
                <w:color w:val="auto"/>
              </w:rPr>
            </w:pPr>
            <w:r>
              <w:rPr>
                <w:rFonts w:ascii="Arial" w:cs="Arial" w:eastAsia="Arial" w:hAnsi="Arial"/>
                <w:sz w:val="18"/>
                <w:szCs w:val="18"/>
                <w:color w:val="auto"/>
                <w:w w:val="99"/>
              </w:rPr>
              <w:t>$</w:t>
            </w:r>
          </w:p>
        </w:tc>
        <w:tc>
          <w:tcPr>
            <w:tcW w:w="122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1,382</w:t>
            </w:r>
          </w:p>
        </w:tc>
      </w:tr>
      <w:tr>
        <w:trPr>
          <w:trHeight w:val="263"/>
        </w:trPr>
        <w:tc>
          <w:tcPr>
            <w:tcW w:w="6620" w:type="dxa"/>
            <w:vAlign w:val="bottom"/>
          </w:tcPr>
          <w:p>
            <w:pPr>
              <w:ind w:left="40"/>
              <w:spacing w:after="0"/>
              <w:rPr>
                <w:sz w:val="20"/>
                <w:szCs w:val="20"/>
                <w:color w:val="auto"/>
              </w:rPr>
            </w:pPr>
            <w:r>
              <w:rPr>
                <w:rFonts w:ascii="Arial" w:cs="Arial" w:eastAsia="Arial" w:hAnsi="Arial"/>
                <w:sz w:val="18"/>
                <w:szCs w:val="18"/>
                <w:color w:val="auto"/>
              </w:rPr>
              <w:t>Salaries, wages and benefits</w:t>
            </w:r>
          </w:p>
        </w:tc>
        <w:tc>
          <w:tcPr>
            <w:tcW w:w="920" w:type="dxa"/>
            <w:vAlign w:val="bottom"/>
          </w:tcPr>
          <w:p>
            <w:pPr>
              <w:spacing w:after="0"/>
              <w:rPr>
                <w:sz w:val="22"/>
                <w:szCs w:val="22"/>
                <w:color w:val="auto"/>
              </w:rPr>
            </w:pPr>
          </w:p>
        </w:tc>
        <w:tc>
          <w:tcPr>
            <w:tcW w:w="580" w:type="dxa"/>
            <w:vAlign w:val="bottom"/>
          </w:tcPr>
          <w:p>
            <w:pPr>
              <w:jc w:val="right"/>
              <w:ind w:right="30"/>
              <w:spacing w:after="0"/>
              <w:rPr>
                <w:sz w:val="20"/>
                <w:szCs w:val="20"/>
                <w:color w:val="auto"/>
              </w:rPr>
            </w:pPr>
            <w:r>
              <w:rPr>
                <w:rFonts w:ascii="Arial" w:cs="Arial" w:eastAsia="Arial" w:hAnsi="Arial"/>
                <w:sz w:val="18"/>
                <w:szCs w:val="18"/>
                <w:color w:val="auto"/>
                <w:w w:val="97"/>
              </w:rPr>
              <w:t>1,781</w:t>
            </w:r>
          </w:p>
        </w:tc>
        <w:tc>
          <w:tcPr>
            <w:tcW w:w="10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1120" w:type="dxa"/>
            <w:vAlign w:val="bottom"/>
          </w:tcPr>
          <w:p>
            <w:pPr>
              <w:jc w:val="right"/>
              <w:ind w:right="11"/>
              <w:spacing w:after="0"/>
              <w:rPr>
                <w:sz w:val="20"/>
                <w:szCs w:val="20"/>
                <w:color w:val="auto"/>
              </w:rPr>
            </w:pPr>
            <w:r>
              <w:rPr>
                <w:rFonts w:ascii="Arial" w:cs="Arial" w:eastAsia="Arial" w:hAnsi="Arial"/>
                <w:sz w:val="18"/>
                <w:szCs w:val="18"/>
                <w:color w:val="auto"/>
              </w:rPr>
              <w:t>1,591</w:t>
            </w:r>
          </w:p>
        </w:tc>
        <w:tc>
          <w:tcPr>
            <w:tcW w:w="120" w:type="dxa"/>
            <w:vAlign w:val="bottom"/>
          </w:tcPr>
          <w:p>
            <w:pPr>
              <w:spacing w:after="0"/>
              <w:rPr>
                <w:sz w:val="22"/>
                <w:szCs w:val="22"/>
                <w:color w:val="auto"/>
              </w:rPr>
            </w:pPr>
          </w:p>
        </w:tc>
        <w:tc>
          <w:tcPr>
            <w:tcW w:w="380" w:type="dxa"/>
            <w:vAlign w:val="bottom"/>
          </w:tcPr>
          <w:p>
            <w:pPr>
              <w:spacing w:after="0"/>
              <w:rPr>
                <w:sz w:val="22"/>
                <w:szCs w:val="22"/>
                <w:color w:val="auto"/>
              </w:rPr>
            </w:pPr>
          </w:p>
        </w:tc>
        <w:tc>
          <w:tcPr>
            <w:tcW w:w="1220" w:type="dxa"/>
            <w:vAlign w:val="bottom"/>
          </w:tcPr>
          <w:p>
            <w:pPr>
              <w:jc w:val="right"/>
              <w:ind w:right="11"/>
              <w:spacing w:after="0"/>
              <w:rPr>
                <w:sz w:val="20"/>
                <w:szCs w:val="20"/>
                <w:color w:val="auto"/>
              </w:rPr>
            </w:pPr>
            <w:r>
              <w:rPr>
                <w:rFonts w:ascii="Arial" w:cs="Arial" w:eastAsia="Arial" w:hAnsi="Arial"/>
                <w:sz w:val="18"/>
                <w:szCs w:val="18"/>
                <w:color w:val="auto"/>
              </w:rPr>
              <w:t>1,452</w:t>
            </w:r>
          </w:p>
        </w:tc>
      </w:tr>
      <w:tr>
        <w:trPr>
          <w:trHeight w:val="277"/>
        </w:trPr>
        <w:tc>
          <w:tcPr>
            <w:tcW w:w="6620" w:type="dxa"/>
            <w:vAlign w:val="bottom"/>
            <w:shd w:val="clear" w:color="auto" w:fill="CCEEFF"/>
          </w:tcPr>
          <w:p>
            <w:pPr>
              <w:ind w:left="40"/>
              <w:spacing w:after="0"/>
              <w:rPr>
                <w:sz w:val="20"/>
                <w:szCs w:val="20"/>
                <w:color w:val="auto"/>
              </w:rPr>
            </w:pPr>
            <w:r>
              <w:rPr>
                <w:rFonts w:ascii="Arial" w:cs="Arial" w:eastAsia="Arial" w:hAnsi="Arial"/>
                <w:sz w:val="18"/>
                <w:szCs w:val="18"/>
                <w:color w:val="auto"/>
              </w:rPr>
              <w:t xml:space="preserve">Capacity purchases from third-party regional carriers </w:t>
            </w:r>
            <w:r>
              <w:rPr>
                <w:rFonts w:ascii="Arial" w:cs="Arial" w:eastAsia="Arial" w:hAnsi="Arial"/>
                <w:sz w:val="21"/>
                <w:szCs w:val="21"/>
                <w:color w:val="auto"/>
                <w:vertAlign w:val="superscript"/>
              </w:rPr>
              <w:t>(1)</w:t>
            </w:r>
          </w:p>
        </w:tc>
        <w:tc>
          <w:tcPr>
            <w:tcW w:w="920" w:type="dxa"/>
            <w:vAlign w:val="bottom"/>
            <w:shd w:val="clear" w:color="auto" w:fill="CCEEFF"/>
          </w:tcPr>
          <w:p>
            <w:pPr>
              <w:spacing w:after="0"/>
              <w:rPr>
                <w:sz w:val="24"/>
                <w:szCs w:val="24"/>
                <w:color w:val="auto"/>
              </w:rPr>
            </w:pPr>
          </w:p>
        </w:tc>
        <w:tc>
          <w:tcPr>
            <w:tcW w:w="58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97"/>
              </w:rPr>
              <w:t>1,398</w:t>
            </w:r>
          </w:p>
        </w:tc>
        <w:tc>
          <w:tcPr>
            <w:tcW w:w="100" w:type="dxa"/>
            <w:vAlign w:val="bottom"/>
            <w:shd w:val="clear" w:color="auto" w:fill="CCEEFF"/>
          </w:tcPr>
          <w:p>
            <w:pPr>
              <w:spacing w:after="0"/>
              <w:rPr>
                <w:sz w:val="24"/>
                <w:szCs w:val="24"/>
                <w:color w:val="auto"/>
              </w:rPr>
            </w:pPr>
          </w:p>
        </w:tc>
        <w:tc>
          <w:tcPr>
            <w:tcW w:w="360" w:type="dxa"/>
            <w:vAlign w:val="bottom"/>
            <w:shd w:val="clear" w:color="auto" w:fill="CCEEFF"/>
          </w:tcPr>
          <w:p>
            <w:pPr>
              <w:spacing w:after="0"/>
              <w:rPr>
                <w:sz w:val="24"/>
                <w:szCs w:val="24"/>
                <w:color w:val="auto"/>
              </w:rPr>
            </w:pPr>
          </w:p>
        </w:tc>
        <w:tc>
          <w:tcPr>
            <w:tcW w:w="112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1,431</w:t>
            </w:r>
          </w:p>
        </w:tc>
        <w:tc>
          <w:tcPr>
            <w:tcW w:w="120" w:type="dxa"/>
            <w:vAlign w:val="bottom"/>
            <w:shd w:val="clear" w:color="auto" w:fill="CCEEFF"/>
          </w:tcPr>
          <w:p>
            <w:pPr>
              <w:spacing w:after="0"/>
              <w:rPr>
                <w:sz w:val="24"/>
                <w:szCs w:val="24"/>
                <w:color w:val="auto"/>
              </w:rPr>
            </w:pPr>
          </w:p>
        </w:tc>
        <w:tc>
          <w:tcPr>
            <w:tcW w:w="380" w:type="dxa"/>
            <w:vAlign w:val="bottom"/>
            <w:shd w:val="clear" w:color="auto" w:fill="CCEEFF"/>
          </w:tcPr>
          <w:p>
            <w:pPr>
              <w:spacing w:after="0"/>
              <w:rPr>
                <w:sz w:val="24"/>
                <w:szCs w:val="24"/>
                <w:color w:val="auto"/>
              </w:rPr>
            </w:pPr>
          </w:p>
        </w:tc>
        <w:tc>
          <w:tcPr>
            <w:tcW w:w="122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1,581</w:t>
            </w:r>
          </w:p>
        </w:tc>
      </w:tr>
      <w:tr>
        <w:trPr>
          <w:trHeight w:val="263"/>
        </w:trPr>
        <w:tc>
          <w:tcPr>
            <w:tcW w:w="6620" w:type="dxa"/>
            <w:vAlign w:val="bottom"/>
          </w:tcPr>
          <w:p>
            <w:pPr>
              <w:ind w:left="40"/>
              <w:spacing w:after="0"/>
              <w:rPr>
                <w:sz w:val="20"/>
                <w:szCs w:val="20"/>
                <w:color w:val="auto"/>
              </w:rPr>
            </w:pPr>
            <w:r>
              <w:rPr>
                <w:rFonts w:ascii="Arial" w:cs="Arial" w:eastAsia="Arial" w:hAnsi="Arial"/>
                <w:sz w:val="18"/>
                <w:szCs w:val="18"/>
                <w:color w:val="auto"/>
              </w:rPr>
              <w:t>Maintenance, materials and repairs</w:t>
            </w:r>
          </w:p>
        </w:tc>
        <w:tc>
          <w:tcPr>
            <w:tcW w:w="920" w:type="dxa"/>
            <w:vAlign w:val="bottom"/>
          </w:tcPr>
          <w:p>
            <w:pPr>
              <w:spacing w:after="0"/>
              <w:rPr>
                <w:sz w:val="22"/>
                <w:szCs w:val="22"/>
                <w:color w:val="auto"/>
              </w:rPr>
            </w:pPr>
          </w:p>
        </w:tc>
        <w:tc>
          <w:tcPr>
            <w:tcW w:w="580" w:type="dxa"/>
            <w:vAlign w:val="bottom"/>
          </w:tcPr>
          <w:p>
            <w:pPr>
              <w:jc w:val="right"/>
              <w:ind w:right="30"/>
              <w:spacing w:after="0"/>
              <w:rPr>
                <w:sz w:val="20"/>
                <w:szCs w:val="20"/>
                <w:color w:val="auto"/>
              </w:rPr>
            </w:pPr>
            <w:r>
              <w:rPr>
                <w:rFonts w:ascii="Arial" w:cs="Arial" w:eastAsia="Arial" w:hAnsi="Arial"/>
                <w:sz w:val="18"/>
                <w:szCs w:val="18"/>
                <w:color w:val="auto"/>
              </w:rPr>
              <w:t>403</w:t>
            </w:r>
          </w:p>
        </w:tc>
        <w:tc>
          <w:tcPr>
            <w:tcW w:w="10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1120" w:type="dxa"/>
            <w:vAlign w:val="bottom"/>
          </w:tcPr>
          <w:p>
            <w:pPr>
              <w:jc w:val="right"/>
              <w:ind w:right="11"/>
              <w:spacing w:after="0"/>
              <w:rPr>
                <w:sz w:val="20"/>
                <w:szCs w:val="20"/>
                <w:color w:val="auto"/>
              </w:rPr>
            </w:pPr>
            <w:r>
              <w:rPr>
                <w:rFonts w:ascii="Arial" w:cs="Arial" w:eastAsia="Arial" w:hAnsi="Arial"/>
                <w:sz w:val="18"/>
                <w:szCs w:val="18"/>
                <w:color w:val="auto"/>
              </w:rPr>
              <w:t>340</w:t>
            </w:r>
          </w:p>
        </w:tc>
        <w:tc>
          <w:tcPr>
            <w:tcW w:w="120" w:type="dxa"/>
            <w:vAlign w:val="bottom"/>
          </w:tcPr>
          <w:p>
            <w:pPr>
              <w:spacing w:after="0"/>
              <w:rPr>
                <w:sz w:val="22"/>
                <w:szCs w:val="22"/>
                <w:color w:val="auto"/>
              </w:rPr>
            </w:pPr>
          </w:p>
        </w:tc>
        <w:tc>
          <w:tcPr>
            <w:tcW w:w="380" w:type="dxa"/>
            <w:vAlign w:val="bottom"/>
          </w:tcPr>
          <w:p>
            <w:pPr>
              <w:spacing w:after="0"/>
              <w:rPr>
                <w:sz w:val="22"/>
                <w:szCs w:val="22"/>
                <w:color w:val="auto"/>
              </w:rPr>
            </w:pPr>
          </w:p>
        </w:tc>
        <w:tc>
          <w:tcPr>
            <w:tcW w:w="1220" w:type="dxa"/>
            <w:vAlign w:val="bottom"/>
          </w:tcPr>
          <w:p>
            <w:pPr>
              <w:jc w:val="right"/>
              <w:ind w:right="11"/>
              <w:spacing w:after="0"/>
              <w:rPr>
                <w:sz w:val="20"/>
                <w:szCs w:val="20"/>
                <w:color w:val="auto"/>
              </w:rPr>
            </w:pPr>
            <w:r>
              <w:rPr>
                <w:rFonts w:ascii="Arial" w:cs="Arial" w:eastAsia="Arial" w:hAnsi="Arial"/>
                <w:sz w:val="18"/>
                <w:szCs w:val="18"/>
                <w:color w:val="auto"/>
              </w:rPr>
              <w:t>281</w:t>
            </w:r>
          </w:p>
        </w:tc>
      </w:tr>
      <w:tr>
        <w:trPr>
          <w:trHeight w:val="277"/>
        </w:trPr>
        <w:tc>
          <w:tcPr>
            <w:tcW w:w="6620" w:type="dxa"/>
            <w:vAlign w:val="bottom"/>
            <w:shd w:val="clear" w:color="auto" w:fill="CCEEFF"/>
          </w:tcPr>
          <w:p>
            <w:pPr>
              <w:ind w:left="40"/>
              <w:spacing w:after="0"/>
              <w:rPr>
                <w:sz w:val="20"/>
                <w:szCs w:val="20"/>
                <w:color w:val="auto"/>
              </w:rPr>
            </w:pPr>
            <w:r>
              <w:rPr>
                <w:rFonts w:ascii="Arial" w:cs="Arial" w:eastAsia="Arial" w:hAnsi="Arial"/>
                <w:sz w:val="18"/>
                <w:szCs w:val="18"/>
                <w:color w:val="auto"/>
              </w:rPr>
              <w:t>Other rent and landing fees</w:t>
            </w:r>
          </w:p>
        </w:tc>
        <w:tc>
          <w:tcPr>
            <w:tcW w:w="920" w:type="dxa"/>
            <w:vAlign w:val="bottom"/>
            <w:shd w:val="clear" w:color="auto" w:fill="CCEEFF"/>
          </w:tcPr>
          <w:p>
            <w:pPr>
              <w:spacing w:after="0"/>
              <w:rPr>
                <w:sz w:val="24"/>
                <w:szCs w:val="24"/>
                <w:color w:val="auto"/>
              </w:rPr>
            </w:pPr>
          </w:p>
        </w:tc>
        <w:tc>
          <w:tcPr>
            <w:tcW w:w="58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651</w:t>
            </w:r>
          </w:p>
        </w:tc>
        <w:tc>
          <w:tcPr>
            <w:tcW w:w="100" w:type="dxa"/>
            <w:vAlign w:val="bottom"/>
            <w:shd w:val="clear" w:color="auto" w:fill="CCEEFF"/>
          </w:tcPr>
          <w:p>
            <w:pPr>
              <w:spacing w:after="0"/>
              <w:rPr>
                <w:sz w:val="24"/>
                <w:szCs w:val="24"/>
                <w:color w:val="auto"/>
              </w:rPr>
            </w:pPr>
          </w:p>
        </w:tc>
        <w:tc>
          <w:tcPr>
            <w:tcW w:w="360" w:type="dxa"/>
            <w:vAlign w:val="bottom"/>
            <w:shd w:val="clear" w:color="auto" w:fill="CCEEFF"/>
          </w:tcPr>
          <w:p>
            <w:pPr>
              <w:spacing w:after="0"/>
              <w:rPr>
                <w:sz w:val="24"/>
                <w:szCs w:val="24"/>
                <w:color w:val="auto"/>
              </w:rPr>
            </w:pPr>
          </w:p>
        </w:tc>
        <w:tc>
          <w:tcPr>
            <w:tcW w:w="112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610</w:t>
            </w:r>
          </w:p>
        </w:tc>
        <w:tc>
          <w:tcPr>
            <w:tcW w:w="120" w:type="dxa"/>
            <w:vAlign w:val="bottom"/>
            <w:shd w:val="clear" w:color="auto" w:fill="CCEEFF"/>
          </w:tcPr>
          <w:p>
            <w:pPr>
              <w:spacing w:after="0"/>
              <w:rPr>
                <w:sz w:val="24"/>
                <w:szCs w:val="24"/>
                <w:color w:val="auto"/>
              </w:rPr>
            </w:pPr>
          </w:p>
        </w:tc>
        <w:tc>
          <w:tcPr>
            <w:tcW w:w="380" w:type="dxa"/>
            <w:vAlign w:val="bottom"/>
            <w:shd w:val="clear" w:color="auto" w:fill="CCEEFF"/>
          </w:tcPr>
          <w:p>
            <w:pPr>
              <w:spacing w:after="0"/>
              <w:rPr>
                <w:sz w:val="24"/>
                <w:szCs w:val="24"/>
                <w:color w:val="auto"/>
              </w:rPr>
            </w:pPr>
          </w:p>
        </w:tc>
        <w:tc>
          <w:tcPr>
            <w:tcW w:w="122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625</w:t>
            </w:r>
          </w:p>
        </w:tc>
      </w:tr>
      <w:tr>
        <w:trPr>
          <w:trHeight w:val="263"/>
        </w:trPr>
        <w:tc>
          <w:tcPr>
            <w:tcW w:w="6620" w:type="dxa"/>
            <w:vAlign w:val="bottom"/>
          </w:tcPr>
          <w:p>
            <w:pPr>
              <w:ind w:left="40"/>
              <w:spacing w:after="0"/>
              <w:rPr>
                <w:sz w:val="20"/>
                <w:szCs w:val="20"/>
                <w:color w:val="auto"/>
              </w:rPr>
            </w:pPr>
            <w:r>
              <w:rPr>
                <w:rFonts w:ascii="Arial" w:cs="Arial" w:eastAsia="Arial" w:hAnsi="Arial"/>
                <w:sz w:val="18"/>
                <w:szCs w:val="18"/>
                <w:color w:val="auto"/>
              </w:rPr>
              <w:t>Aircraft rent</w:t>
            </w:r>
          </w:p>
        </w:tc>
        <w:tc>
          <w:tcPr>
            <w:tcW w:w="920" w:type="dxa"/>
            <w:vAlign w:val="bottom"/>
          </w:tcPr>
          <w:p>
            <w:pPr>
              <w:spacing w:after="0"/>
              <w:rPr>
                <w:sz w:val="22"/>
                <w:szCs w:val="22"/>
                <w:color w:val="auto"/>
              </w:rPr>
            </w:pPr>
          </w:p>
        </w:tc>
        <w:tc>
          <w:tcPr>
            <w:tcW w:w="580" w:type="dxa"/>
            <w:vAlign w:val="bottom"/>
          </w:tcPr>
          <w:p>
            <w:pPr>
              <w:jc w:val="right"/>
              <w:ind w:right="30"/>
              <w:spacing w:after="0"/>
              <w:rPr>
                <w:sz w:val="20"/>
                <w:szCs w:val="20"/>
                <w:color w:val="auto"/>
              </w:rPr>
            </w:pPr>
            <w:r>
              <w:rPr>
                <w:rFonts w:ascii="Arial" w:cs="Arial" w:eastAsia="Arial" w:hAnsi="Arial"/>
                <w:sz w:val="18"/>
                <w:szCs w:val="18"/>
                <w:color w:val="auto"/>
              </w:rPr>
              <w:t>29</w:t>
            </w:r>
          </w:p>
        </w:tc>
        <w:tc>
          <w:tcPr>
            <w:tcW w:w="10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1120" w:type="dxa"/>
            <w:vAlign w:val="bottom"/>
          </w:tcPr>
          <w:p>
            <w:pPr>
              <w:jc w:val="right"/>
              <w:ind w:right="11"/>
              <w:spacing w:after="0"/>
              <w:rPr>
                <w:sz w:val="20"/>
                <w:szCs w:val="20"/>
                <w:color w:val="auto"/>
              </w:rPr>
            </w:pPr>
            <w:r>
              <w:rPr>
                <w:rFonts w:ascii="Arial" w:cs="Arial" w:eastAsia="Arial" w:hAnsi="Arial"/>
                <w:sz w:val="18"/>
                <w:szCs w:val="18"/>
                <w:color w:val="auto"/>
              </w:rPr>
              <w:t>32</w:t>
            </w:r>
          </w:p>
        </w:tc>
        <w:tc>
          <w:tcPr>
            <w:tcW w:w="120" w:type="dxa"/>
            <w:vAlign w:val="bottom"/>
          </w:tcPr>
          <w:p>
            <w:pPr>
              <w:spacing w:after="0"/>
              <w:rPr>
                <w:sz w:val="22"/>
                <w:szCs w:val="22"/>
                <w:color w:val="auto"/>
              </w:rPr>
            </w:pPr>
          </w:p>
        </w:tc>
        <w:tc>
          <w:tcPr>
            <w:tcW w:w="380" w:type="dxa"/>
            <w:vAlign w:val="bottom"/>
          </w:tcPr>
          <w:p>
            <w:pPr>
              <w:spacing w:after="0"/>
              <w:rPr>
                <w:sz w:val="22"/>
                <w:szCs w:val="22"/>
                <w:color w:val="auto"/>
              </w:rPr>
            </w:pPr>
          </w:p>
        </w:tc>
        <w:tc>
          <w:tcPr>
            <w:tcW w:w="1220" w:type="dxa"/>
            <w:vAlign w:val="bottom"/>
          </w:tcPr>
          <w:p>
            <w:pPr>
              <w:jc w:val="right"/>
              <w:ind w:right="11"/>
              <w:spacing w:after="0"/>
              <w:rPr>
                <w:sz w:val="20"/>
                <w:szCs w:val="20"/>
                <w:color w:val="auto"/>
              </w:rPr>
            </w:pPr>
            <w:r>
              <w:rPr>
                <w:rFonts w:ascii="Arial" w:cs="Arial" w:eastAsia="Arial" w:hAnsi="Arial"/>
                <w:sz w:val="18"/>
                <w:szCs w:val="18"/>
                <w:color w:val="auto"/>
              </w:rPr>
              <w:t>35</w:t>
            </w:r>
          </w:p>
        </w:tc>
      </w:tr>
      <w:tr>
        <w:trPr>
          <w:trHeight w:val="277"/>
        </w:trPr>
        <w:tc>
          <w:tcPr>
            <w:tcW w:w="6620" w:type="dxa"/>
            <w:vAlign w:val="bottom"/>
            <w:shd w:val="clear" w:color="auto" w:fill="CCEEFF"/>
          </w:tcPr>
          <w:p>
            <w:pPr>
              <w:ind w:left="40"/>
              <w:spacing w:after="0"/>
              <w:rPr>
                <w:sz w:val="20"/>
                <w:szCs w:val="20"/>
                <w:color w:val="auto"/>
              </w:rPr>
            </w:pPr>
            <w:r>
              <w:rPr>
                <w:rFonts w:ascii="Arial" w:cs="Arial" w:eastAsia="Arial" w:hAnsi="Arial"/>
                <w:sz w:val="18"/>
                <w:szCs w:val="18"/>
                <w:color w:val="auto"/>
              </w:rPr>
              <w:t>Selling expenses</w:t>
            </w:r>
          </w:p>
        </w:tc>
        <w:tc>
          <w:tcPr>
            <w:tcW w:w="920" w:type="dxa"/>
            <w:vAlign w:val="bottom"/>
            <w:shd w:val="clear" w:color="auto" w:fill="CCEEFF"/>
          </w:tcPr>
          <w:p>
            <w:pPr>
              <w:spacing w:after="0"/>
              <w:rPr>
                <w:sz w:val="24"/>
                <w:szCs w:val="24"/>
                <w:color w:val="auto"/>
              </w:rPr>
            </w:pPr>
          </w:p>
        </w:tc>
        <w:tc>
          <w:tcPr>
            <w:tcW w:w="58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402</w:t>
            </w:r>
          </w:p>
        </w:tc>
        <w:tc>
          <w:tcPr>
            <w:tcW w:w="100" w:type="dxa"/>
            <w:vAlign w:val="bottom"/>
            <w:shd w:val="clear" w:color="auto" w:fill="CCEEFF"/>
          </w:tcPr>
          <w:p>
            <w:pPr>
              <w:spacing w:after="0"/>
              <w:rPr>
                <w:sz w:val="24"/>
                <w:szCs w:val="24"/>
                <w:color w:val="auto"/>
              </w:rPr>
            </w:pPr>
          </w:p>
        </w:tc>
        <w:tc>
          <w:tcPr>
            <w:tcW w:w="360" w:type="dxa"/>
            <w:vAlign w:val="bottom"/>
            <w:shd w:val="clear" w:color="auto" w:fill="CCEEFF"/>
          </w:tcPr>
          <w:p>
            <w:pPr>
              <w:spacing w:after="0"/>
              <w:rPr>
                <w:sz w:val="24"/>
                <w:szCs w:val="24"/>
                <w:color w:val="auto"/>
              </w:rPr>
            </w:pPr>
          </w:p>
        </w:tc>
        <w:tc>
          <w:tcPr>
            <w:tcW w:w="112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369</w:t>
            </w:r>
          </w:p>
        </w:tc>
        <w:tc>
          <w:tcPr>
            <w:tcW w:w="120" w:type="dxa"/>
            <w:vAlign w:val="bottom"/>
            <w:shd w:val="clear" w:color="auto" w:fill="CCEEFF"/>
          </w:tcPr>
          <w:p>
            <w:pPr>
              <w:spacing w:after="0"/>
              <w:rPr>
                <w:sz w:val="24"/>
                <w:szCs w:val="24"/>
                <w:color w:val="auto"/>
              </w:rPr>
            </w:pPr>
          </w:p>
        </w:tc>
        <w:tc>
          <w:tcPr>
            <w:tcW w:w="380" w:type="dxa"/>
            <w:vAlign w:val="bottom"/>
            <w:shd w:val="clear" w:color="auto" w:fill="CCEEFF"/>
          </w:tcPr>
          <w:p>
            <w:pPr>
              <w:spacing w:after="0"/>
              <w:rPr>
                <w:sz w:val="24"/>
                <w:szCs w:val="24"/>
                <w:color w:val="auto"/>
              </w:rPr>
            </w:pPr>
          </w:p>
        </w:tc>
        <w:tc>
          <w:tcPr>
            <w:tcW w:w="122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361</w:t>
            </w:r>
          </w:p>
        </w:tc>
      </w:tr>
      <w:tr>
        <w:trPr>
          <w:trHeight w:val="263"/>
        </w:trPr>
        <w:tc>
          <w:tcPr>
            <w:tcW w:w="6620" w:type="dxa"/>
            <w:vAlign w:val="bottom"/>
          </w:tcPr>
          <w:p>
            <w:pPr>
              <w:ind w:left="40"/>
              <w:spacing w:after="0"/>
              <w:rPr>
                <w:sz w:val="20"/>
                <w:szCs w:val="20"/>
                <w:color w:val="auto"/>
              </w:rPr>
            </w:pPr>
            <w:r>
              <w:rPr>
                <w:rFonts w:ascii="Arial" w:cs="Arial" w:eastAsia="Arial" w:hAnsi="Arial"/>
                <w:sz w:val="18"/>
                <w:szCs w:val="18"/>
                <w:color w:val="auto"/>
              </w:rPr>
              <w:t>Depreciation and amortization</w:t>
            </w:r>
          </w:p>
        </w:tc>
        <w:tc>
          <w:tcPr>
            <w:tcW w:w="920" w:type="dxa"/>
            <w:vAlign w:val="bottom"/>
          </w:tcPr>
          <w:p>
            <w:pPr>
              <w:spacing w:after="0"/>
              <w:rPr>
                <w:sz w:val="22"/>
                <w:szCs w:val="22"/>
                <w:color w:val="auto"/>
              </w:rPr>
            </w:pPr>
          </w:p>
        </w:tc>
        <w:tc>
          <w:tcPr>
            <w:tcW w:w="580" w:type="dxa"/>
            <w:vAlign w:val="bottom"/>
          </w:tcPr>
          <w:p>
            <w:pPr>
              <w:jc w:val="right"/>
              <w:ind w:right="30"/>
              <w:spacing w:after="0"/>
              <w:rPr>
                <w:sz w:val="20"/>
                <w:szCs w:val="20"/>
                <w:color w:val="auto"/>
              </w:rPr>
            </w:pPr>
            <w:r>
              <w:rPr>
                <w:rFonts w:ascii="Arial" w:cs="Arial" w:eastAsia="Arial" w:hAnsi="Arial"/>
                <w:sz w:val="18"/>
                <w:szCs w:val="18"/>
                <w:color w:val="auto"/>
              </w:rPr>
              <w:t>336</w:t>
            </w:r>
          </w:p>
        </w:tc>
        <w:tc>
          <w:tcPr>
            <w:tcW w:w="10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1120" w:type="dxa"/>
            <w:vAlign w:val="bottom"/>
          </w:tcPr>
          <w:p>
            <w:pPr>
              <w:jc w:val="right"/>
              <w:ind w:right="11"/>
              <w:spacing w:after="0"/>
              <w:rPr>
                <w:sz w:val="20"/>
                <w:szCs w:val="20"/>
                <w:color w:val="auto"/>
              </w:rPr>
            </w:pPr>
            <w:r>
              <w:rPr>
                <w:rFonts w:ascii="Arial" w:cs="Arial" w:eastAsia="Arial" w:hAnsi="Arial"/>
                <w:sz w:val="18"/>
                <w:szCs w:val="18"/>
                <w:color w:val="auto"/>
              </w:rPr>
              <w:t>318</w:t>
            </w:r>
          </w:p>
        </w:tc>
        <w:tc>
          <w:tcPr>
            <w:tcW w:w="120" w:type="dxa"/>
            <w:vAlign w:val="bottom"/>
          </w:tcPr>
          <w:p>
            <w:pPr>
              <w:spacing w:after="0"/>
              <w:rPr>
                <w:sz w:val="22"/>
                <w:szCs w:val="22"/>
                <w:color w:val="auto"/>
              </w:rPr>
            </w:pPr>
          </w:p>
        </w:tc>
        <w:tc>
          <w:tcPr>
            <w:tcW w:w="380" w:type="dxa"/>
            <w:vAlign w:val="bottom"/>
          </w:tcPr>
          <w:p>
            <w:pPr>
              <w:spacing w:after="0"/>
              <w:rPr>
                <w:sz w:val="22"/>
                <w:szCs w:val="22"/>
                <w:color w:val="auto"/>
              </w:rPr>
            </w:pPr>
          </w:p>
        </w:tc>
        <w:tc>
          <w:tcPr>
            <w:tcW w:w="1220" w:type="dxa"/>
            <w:vAlign w:val="bottom"/>
          </w:tcPr>
          <w:p>
            <w:pPr>
              <w:jc w:val="right"/>
              <w:ind w:right="11"/>
              <w:spacing w:after="0"/>
              <w:rPr>
                <w:sz w:val="20"/>
                <w:szCs w:val="20"/>
                <w:color w:val="auto"/>
              </w:rPr>
            </w:pPr>
            <w:r>
              <w:rPr>
                <w:rFonts w:ascii="Arial" w:cs="Arial" w:eastAsia="Arial" w:hAnsi="Arial"/>
                <w:sz w:val="18"/>
                <w:szCs w:val="18"/>
                <w:color w:val="auto"/>
              </w:rPr>
              <w:t>315</w:t>
            </w:r>
          </w:p>
        </w:tc>
      </w:tr>
      <w:tr>
        <w:trPr>
          <w:trHeight w:val="277"/>
        </w:trPr>
        <w:tc>
          <w:tcPr>
            <w:tcW w:w="6620" w:type="dxa"/>
            <w:vAlign w:val="bottom"/>
            <w:shd w:val="clear" w:color="auto" w:fill="CCEEFF"/>
          </w:tcPr>
          <w:p>
            <w:pPr>
              <w:ind w:left="40"/>
              <w:spacing w:after="0"/>
              <w:rPr>
                <w:sz w:val="20"/>
                <w:szCs w:val="20"/>
                <w:color w:val="auto"/>
              </w:rPr>
            </w:pPr>
            <w:r>
              <w:rPr>
                <w:rFonts w:ascii="Arial" w:cs="Arial" w:eastAsia="Arial" w:hAnsi="Arial"/>
                <w:sz w:val="18"/>
                <w:szCs w:val="18"/>
                <w:color w:val="auto"/>
              </w:rPr>
              <w:t>Special items, net</w:t>
            </w:r>
          </w:p>
        </w:tc>
        <w:tc>
          <w:tcPr>
            <w:tcW w:w="920" w:type="dxa"/>
            <w:vAlign w:val="bottom"/>
            <w:shd w:val="clear" w:color="auto" w:fill="CCEEFF"/>
          </w:tcPr>
          <w:p>
            <w:pPr>
              <w:spacing w:after="0"/>
              <w:rPr>
                <w:sz w:val="24"/>
                <w:szCs w:val="24"/>
                <w:color w:val="auto"/>
              </w:rPr>
            </w:pPr>
          </w:p>
        </w:tc>
        <w:tc>
          <w:tcPr>
            <w:tcW w:w="58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6</w:t>
            </w:r>
          </w:p>
        </w:tc>
        <w:tc>
          <w:tcPr>
            <w:tcW w:w="100" w:type="dxa"/>
            <w:vAlign w:val="bottom"/>
            <w:shd w:val="clear" w:color="auto" w:fill="CCEEFF"/>
          </w:tcPr>
          <w:p>
            <w:pPr>
              <w:spacing w:after="0"/>
              <w:rPr>
                <w:sz w:val="24"/>
                <w:szCs w:val="24"/>
                <w:color w:val="auto"/>
              </w:rPr>
            </w:pPr>
          </w:p>
        </w:tc>
        <w:tc>
          <w:tcPr>
            <w:tcW w:w="360" w:type="dxa"/>
            <w:vAlign w:val="bottom"/>
            <w:shd w:val="clear" w:color="auto" w:fill="CCEEFF"/>
          </w:tcPr>
          <w:p>
            <w:pPr>
              <w:spacing w:after="0"/>
              <w:rPr>
                <w:sz w:val="24"/>
                <w:szCs w:val="24"/>
                <w:color w:val="auto"/>
              </w:rPr>
            </w:pPr>
          </w:p>
        </w:tc>
        <w:tc>
          <w:tcPr>
            <w:tcW w:w="112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6</w:t>
            </w:r>
          </w:p>
        </w:tc>
        <w:tc>
          <w:tcPr>
            <w:tcW w:w="120" w:type="dxa"/>
            <w:vAlign w:val="bottom"/>
            <w:shd w:val="clear" w:color="auto" w:fill="CCEEFF"/>
          </w:tcPr>
          <w:p>
            <w:pPr>
              <w:spacing w:after="0"/>
              <w:rPr>
                <w:sz w:val="24"/>
                <w:szCs w:val="24"/>
                <w:color w:val="auto"/>
              </w:rPr>
            </w:pPr>
          </w:p>
        </w:tc>
        <w:tc>
          <w:tcPr>
            <w:tcW w:w="380" w:type="dxa"/>
            <w:vAlign w:val="bottom"/>
            <w:shd w:val="clear" w:color="auto" w:fill="CCEEFF"/>
          </w:tcPr>
          <w:p>
            <w:pPr>
              <w:spacing w:after="0"/>
              <w:rPr>
                <w:sz w:val="24"/>
                <w:szCs w:val="24"/>
                <w:color w:val="auto"/>
              </w:rPr>
            </w:pPr>
          </w:p>
        </w:tc>
        <w:tc>
          <w:tcPr>
            <w:tcW w:w="122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22</w:t>
            </w:r>
          </w:p>
        </w:tc>
      </w:tr>
      <w:tr>
        <w:trPr>
          <w:trHeight w:val="264"/>
        </w:trPr>
        <w:tc>
          <w:tcPr>
            <w:tcW w:w="6620" w:type="dxa"/>
            <w:vAlign w:val="bottom"/>
            <w:tcBorders>
              <w:bottom w:val="single" w:sz="8" w:color="CCEEFF"/>
            </w:tcBorders>
          </w:tcPr>
          <w:p>
            <w:pPr>
              <w:ind w:left="40"/>
              <w:spacing w:after="0"/>
              <w:rPr>
                <w:sz w:val="20"/>
                <w:szCs w:val="20"/>
                <w:color w:val="auto"/>
              </w:rPr>
            </w:pPr>
            <w:r>
              <w:rPr>
                <w:rFonts w:ascii="Arial" w:cs="Arial" w:eastAsia="Arial" w:hAnsi="Arial"/>
                <w:sz w:val="18"/>
                <w:szCs w:val="18"/>
                <w:color w:val="auto"/>
              </w:rPr>
              <w:t>Other</w:t>
            </w:r>
          </w:p>
        </w:tc>
        <w:tc>
          <w:tcPr>
            <w:tcW w:w="920" w:type="dxa"/>
            <w:vAlign w:val="bottom"/>
            <w:tcBorders>
              <w:bottom w:val="single" w:sz="8" w:color="auto"/>
            </w:tcBorders>
          </w:tcPr>
          <w:p>
            <w:pPr>
              <w:spacing w:after="0"/>
              <w:rPr>
                <w:sz w:val="22"/>
                <w:szCs w:val="22"/>
                <w:color w:val="auto"/>
              </w:rPr>
            </w:pPr>
          </w:p>
        </w:tc>
        <w:tc>
          <w:tcPr>
            <w:tcW w:w="58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626</w:t>
            </w:r>
          </w:p>
        </w:tc>
        <w:tc>
          <w:tcPr>
            <w:tcW w:w="100" w:type="dxa"/>
            <w:vAlign w:val="bottom"/>
            <w:tcBorders>
              <w:bottom w:val="single" w:sz="8" w:color="CCEEFF"/>
            </w:tcBorders>
          </w:tcPr>
          <w:p>
            <w:pPr>
              <w:spacing w:after="0"/>
              <w:rPr>
                <w:sz w:val="22"/>
                <w:szCs w:val="22"/>
                <w:color w:val="auto"/>
              </w:rPr>
            </w:pPr>
          </w:p>
        </w:tc>
        <w:tc>
          <w:tcPr>
            <w:tcW w:w="360" w:type="dxa"/>
            <w:vAlign w:val="bottom"/>
            <w:tcBorders>
              <w:bottom w:val="single" w:sz="8" w:color="auto"/>
            </w:tcBorders>
          </w:tcPr>
          <w:p>
            <w:pPr>
              <w:spacing w:after="0"/>
              <w:rPr>
                <w:sz w:val="22"/>
                <w:szCs w:val="22"/>
                <w:color w:val="auto"/>
              </w:rPr>
            </w:pPr>
          </w:p>
        </w:tc>
        <w:tc>
          <w:tcPr>
            <w:tcW w:w="1120" w:type="dxa"/>
            <w:vAlign w:val="bottom"/>
            <w:tcBorders>
              <w:bottom w:val="single" w:sz="8" w:color="auto"/>
            </w:tcBorders>
          </w:tcPr>
          <w:p>
            <w:pPr>
              <w:jc w:val="right"/>
              <w:ind w:right="11"/>
              <w:spacing w:after="0"/>
              <w:rPr>
                <w:sz w:val="20"/>
                <w:szCs w:val="20"/>
                <w:color w:val="auto"/>
              </w:rPr>
            </w:pPr>
            <w:r>
              <w:rPr>
                <w:rFonts w:ascii="Arial" w:cs="Arial" w:eastAsia="Arial" w:hAnsi="Arial"/>
                <w:sz w:val="18"/>
                <w:szCs w:val="18"/>
                <w:color w:val="auto"/>
              </w:rPr>
              <w:t>593</w:t>
            </w:r>
          </w:p>
        </w:tc>
        <w:tc>
          <w:tcPr>
            <w:tcW w:w="120" w:type="dxa"/>
            <w:vAlign w:val="bottom"/>
            <w:tcBorders>
              <w:bottom w:val="single" w:sz="8" w:color="CCEEFF"/>
            </w:tcBorders>
          </w:tcPr>
          <w:p>
            <w:pPr>
              <w:spacing w:after="0"/>
              <w:rPr>
                <w:sz w:val="22"/>
                <w:szCs w:val="22"/>
                <w:color w:val="auto"/>
              </w:rPr>
            </w:pPr>
          </w:p>
        </w:tc>
        <w:tc>
          <w:tcPr>
            <w:tcW w:w="380" w:type="dxa"/>
            <w:vAlign w:val="bottom"/>
            <w:tcBorders>
              <w:bottom w:val="single" w:sz="8" w:color="auto"/>
            </w:tcBorders>
          </w:tcPr>
          <w:p>
            <w:pPr>
              <w:spacing w:after="0"/>
              <w:rPr>
                <w:sz w:val="22"/>
                <w:szCs w:val="22"/>
                <w:color w:val="auto"/>
              </w:rPr>
            </w:pPr>
          </w:p>
        </w:tc>
        <w:tc>
          <w:tcPr>
            <w:tcW w:w="1220" w:type="dxa"/>
            <w:vAlign w:val="bottom"/>
            <w:tcBorders>
              <w:bottom w:val="single" w:sz="8" w:color="auto"/>
            </w:tcBorders>
          </w:tcPr>
          <w:p>
            <w:pPr>
              <w:jc w:val="right"/>
              <w:ind w:right="11"/>
              <w:spacing w:after="0"/>
              <w:rPr>
                <w:sz w:val="20"/>
                <w:szCs w:val="20"/>
                <w:color w:val="auto"/>
              </w:rPr>
            </w:pPr>
            <w:r>
              <w:rPr>
                <w:rFonts w:ascii="Arial" w:cs="Arial" w:eastAsia="Arial" w:hAnsi="Arial"/>
                <w:sz w:val="18"/>
                <w:szCs w:val="18"/>
                <w:color w:val="auto"/>
              </w:rPr>
              <w:t>492</w:t>
            </w:r>
          </w:p>
        </w:tc>
      </w:tr>
      <w:tr>
        <w:trPr>
          <w:trHeight w:val="250"/>
        </w:trPr>
        <w:tc>
          <w:tcPr>
            <w:tcW w:w="6620" w:type="dxa"/>
            <w:vAlign w:val="bottom"/>
            <w:shd w:val="clear" w:color="auto" w:fill="CCEEFF"/>
          </w:tcPr>
          <w:p>
            <w:pPr>
              <w:ind w:left="280"/>
              <w:spacing w:after="0"/>
              <w:rPr>
                <w:sz w:val="20"/>
                <w:szCs w:val="20"/>
                <w:color w:val="auto"/>
              </w:rPr>
            </w:pPr>
            <w:r>
              <w:rPr>
                <w:rFonts w:ascii="Arial" w:cs="Arial" w:eastAsia="Arial" w:hAnsi="Arial"/>
                <w:sz w:val="18"/>
                <w:szCs w:val="18"/>
                <w:color w:val="auto"/>
              </w:rPr>
              <w:t>Total regional expenses</w:t>
            </w:r>
          </w:p>
        </w:tc>
        <w:tc>
          <w:tcPr>
            <w:tcW w:w="920" w:type="dxa"/>
            <w:vAlign w:val="bottom"/>
            <w:shd w:val="clear" w:color="auto" w:fill="CCEEFF"/>
          </w:tcPr>
          <w:p>
            <w:pPr>
              <w:jc w:val="right"/>
              <w:ind w:right="696"/>
              <w:spacing w:after="0"/>
              <w:rPr>
                <w:sz w:val="20"/>
                <w:szCs w:val="20"/>
                <w:color w:val="auto"/>
              </w:rPr>
            </w:pPr>
            <w:r>
              <w:rPr>
                <w:rFonts w:ascii="Arial" w:cs="Arial" w:eastAsia="Arial" w:hAnsi="Arial"/>
                <w:sz w:val="18"/>
                <w:szCs w:val="18"/>
                <w:color w:val="auto"/>
              </w:rPr>
              <w:t>$</w:t>
            </w:r>
          </w:p>
        </w:tc>
        <w:tc>
          <w:tcPr>
            <w:tcW w:w="58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97"/>
              </w:rPr>
              <w:t>7,501</w:t>
            </w:r>
          </w:p>
        </w:tc>
        <w:tc>
          <w:tcPr>
            <w:tcW w:w="46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112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7,133</w:t>
            </w:r>
          </w:p>
        </w:tc>
        <w:tc>
          <w:tcPr>
            <w:tcW w:w="120" w:type="dxa"/>
            <w:vAlign w:val="bottom"/>
            <w:shd w:val="clear" w:color="auto" w:fill="CCEEFF"/>
          </w:tcPr>
          <w:p>
            <w:pPr>
              <w:spacing w:after="0"/>
              <w:rPr>
                <w:sz w:val="21"/>
                <w:szCs w:val="21"/>
                <w:color w:val="auto"/>
              </w:rPr>
            </w:pPr>
          </w:p>
        </w:tc>
        <w:tc>
          <w:tcPr>
            <w:tcW w:w="380" w:type="dxa"/>
            <w:vAlign w:val="bottom"/>
            <w:shd w:val="clear" w:color="auto" w:fill="CCEEFF"/>
          </w:tcPr>
          <w:p>
            <w:pPr>
              <w:jc w:val="right"/>
              <w:ind w:right="170"/>
              <w:spacing w:after="0"/>
              <w:rPr>
                <w:sz w:val="20"/>
                <w:szCs w:val="20"/>
                <w:color w:val="auto"/>
              </w:rPr>
            </w:pPr>
            <w:r>
              <w:rPr>
                <w:rFonts w:ascii="Arial" w:cs="Arial" w:eastAsia="Arial" w:hAnsi="Arial"/>
                <w:sz w:val="18"/>
                <w:szCs w:val="18"/>
                <w:color w:val="auto"/>
                <w:w w:val="99"/>
              </w:rPr>
              <w:t>$</w:t>
            </w:r>
          </w:p>
        </w:tc>
        <w:tc>
          <w:tcPr>
            <w:tcW w:w="122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6,546</w:t>
            </w:r>
          </w:p>
        </w:tc>
      </w:tr>
      <w:tr>
        <w:trPr>
          <w:trHeight w:val="20"/>
        </w:trPr>
        <w:tc>
          <w:tcPr>
            <w:tcW w:w="6620" w:type="dxa"/>
            <w:vAlign w:val="bottom"/>
            <w:tcBorders>
              <w:top w:val="single" w:sz="8" w:color="CCEEFF"/>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1220" w:type="dxa"/>
            <w:vAlign w:val="bottom"/>
            <w:tcBorders>
              <w:top w:val="single" w:sz="8" w:color="auto"/>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300355</wp:posOffset>
            </wp:positionV>
            <wp:extent cx="1337945" cy="8890"/>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1337945" cy="8890"/>
                    </a:xfrm>
                    <a:prstGeom prst="rect">
                      <a:avLst/>
                    </a:prstGeom>
                    <a:noFill/>
                  </pic:spPr>
                </pic:pic>
              </a:graphicData>
            </a:graphic>
          </wp:anchor>
        </w:drawing>
      </w:r>
    </w:p>
    <w:p>
      <w:pPr>
        <w:spacing w:after="0" w:line="200" w:lineRule="exact"/>
        <w:rPr>
          <w:sz w:val="20"/>
          <w:szCs w:val="20"/>
          <w:color w:val="auto"/>
        </w:rPr>
      </w:pPr>
    </w:p>
    <w:p>
      <w:pPr>
        <w:spacing w:after="0" w:line="333" w:lineRule="exact"/>
        <w:rPr>
          <w:sz w:val="20"/>
          <w:szCs w:val="20"/>
          <w:color w:val="auto"/>
        </w:rPr>
      </w:pPr>
    </w:p>
    <w:p>
      <w:pPr>
        <w:jc w:val="both"/>
        <w:ind w:left="540" w:hanging="532"/>
        <w:spacing w:after="0" w:line="238" w:lineRule="auto"/>
        <w:tabs>
          <w:tab w:leader="none" w:pos="540" w:val="left"/>
        </w:tabs>
        <w:numPr>
          <w:ilvl w:val="0"/>
          <w:numId w:val="34"/>
        </w:numPr>
        <w:rPr>
          <w:rFonts w:ascii="Arial" w:cs="Arial" w:eastAsia="Arial" w:hAnsi="Arial"/>
          <w:sz w:val="22"/>
          <w:szCs w:val="22"/>
          <w:color w:val="auto"/>
          <w:vertAlign w:val="superscript"/>
        </w:rPr>
      </w:pPr>
      <w:r>
        <w:rPr>
          <w:rFonts w:ascii="Arial" w:cs="Arial" w:eastAsia="Arial" w:hAnsi="Arial"/>
          <w:sz w:val="18"/>
          <w:szCs w:val="18"/>
          <w:color w:val="auto"/>
        </w:rPr>
        <w:t>In 2019, 2018, and 2017, we recognized $590 million, $565 million and $544 million, respectively, of expense under our capacity purchase agreement with Republic Airline Inc. (Republic). We hold a 25% equity interest in Republic Airways Holdings Inc. (Republic Holdings), the parent company of Republic.</w:t>
      </w:r>
    </w:p>
    <w:p>
      <w:pPr>
        <w:spacing w:after="0" w:line="21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84</w:t>
      </w:r>
    </w:p>
    <w:p>
      <w:pPr>
        <w:sectPr>
          <w:pgSz w:w="11900" w:h="16838" w:orient="portrait"/>
          <w:cols w:equalWidth="0" w:num="1">
            <w:col w:w="11420"/>
          </w:cols>
          <w:pgMar w:left="240" w:top="549" w:right="239" w:bottom="1440" w:gutter="0" w:footer="0" w:header="0"/>
        </w:sectPr>
      </w:pPr>
    </w:p>
    <w:bookmarkStart w:id="84" w:name="page85"/>
    <w:bookmarkEnd w:id="84"/>
    <w:p>
      <w:pPr>
        <w:jc w:val="center"/>
        <w:spacing w:after="0"/>
        <w:rPr>
          <w:sz w:val="20"/>
          <w:szCs w:val="20"/>
          <w:color w:val="auto"/>
        </w:rPr>
      </w:pPr>
      <w:r>
        <w:rPr>
          <w:rFonts w:ascii="Arial" w:cs="Arial" w:eastAsia="Arial" w:hAnsi="Arial"/>
          <w:sz w:val="18"/>
          <w:szCs w:val="18"/>
          <w:b w:val="1"/>
          <w:bCs w:val="1"/>
          <w:color w:val="auto"/>
        </w:rPr>
        <w:t>NOTES TO CONSOLIDATED FINANCIAL STATEMENTS OF AMERICAN AIRLINES GROUP INC.</w:t>
      </w:r>
    </w:p>
    <w:p>
      <w:pPr>
        <w:spacing w:after="0" w:line="200" w:lineRule="exact"/>
        <w:rPr>
          <w:sz w:val="20"/>
          <w:szCs w:val="20"/>
          <w:color w:val="auto"/>
        </w:rPr>
      </w:pPr>
    </w:p>
    <w:p>
      <w:pPr>
        <w:spacing w:after="0" w:line="26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2. Special Items, Net</w:t>
      </w:r>
    </w:p>
    <w:p>
      <w:pPr>
        <w:spacing w:after="0" w:line="112" w:lineRule="exact"/>
        <w:rPr>
          <w:sz w:val="20"/>
          <w:szCs w:val="20"/>
          <w:color w:val="auto"/>
        </w:rPr>
      </w:pPr>
    </w:p>
    <w:p>
      <w:pPr>
        <w:ind w:left="220"/>
        <w:spacing w:after="0"/>
        <w:rPr>
          <w:sz w:val="20"/>
          <w:szCs w:val="20"/>
          <w:color w:val="auto"/>
        </w:rPr>
      </w:pPr>
      <w:r>
        <w:rPr>
          <w:rFonts w:ascii="Arial" w:cs="Arial" w:eastAsia="Arial" w:hAnsi="Arial"/>
          <w:sz w:val="18"/>
          <w:szCs w:val="18"/>
          <w:color w:val="auto"/>
        </w:rPr>
        <w:t>Special items, net on our consolidated statements of operations consisted of the following (in millions):</w:t>
      </w:r>
    </w:p>
    <w:p>
      <w:pPr>
        <w:spacing w:after="0" w:line="321" w:lineRule="exact"/>
        <w:rPr>
          <w:sz w:val="20"/>
          <w:szCs w:val="20"/>
          <w:color w:val="auto"/>
        </w:rPr>
      </w:pPr>
    </w:p>
    <w:tbl>
      <w:tblPr>
        <w:tblLayout w:type="fixed"/>
        <w:tblInd w:w="0" w:type="dxa"/>
        <w:tblCellMar>
          <w:top w:w="0" w:type="dxa"/>
          <w:left w:w="0" w:type="dxa"/>
          <w:bottom w:w="0" w:type="dxa"/>
          <w:right w:w="0" w:type="dxa"/>
        </w:tblCellMar>
      </w:tblPr>
      <w:tr>
        <w:trPr>
          <w:trHeight w:val="196"/>
        </w:trPr>
        <w:tc>
          <w:tcPr>
            <w:tcW w:w="6740" w:type="dxa"/>
            <w:vAlign w:val="bottom"/>
          </w:tcPr>
          <w:p>
            <w:pPr>
              <w:spacing w:after="0"/>
              <w:rPr>
                <w:sz w:val="17"/>
                <w:szCs w:val="17"/>
                <w:color w:val="auto"/>
              </w:rPr>
            </w:pPr>
          </w:p>
        </w:tc>
        <w:tc>
          <w:tcPr>
            <w:tcW w:w="1000" w:type="dxa"/>
            <w:vAlign w:val="bottom"/>
            <w:tcBorders>
              <w:bottom w:val="single" w:sz="8" w:color="auto"/>
            </w:tcBorders>
          </w:tcPr>
          <w:p>
            <w:pPr>
              <w:spacing w:after="0"/>
              <w:rPr>
                <w:sz w:val="17"/>
                <w:szCs w:val="17"/>
                <w:color w:val="auto"/>
              </w:rPr>
            </w:pPr>
          </w:p>
        </w:tc>
        <w:tc>
          <w:tcPr>
            <w:tcW w:w="460" w:type="dxa"/>
            <w:vAlign w:val="bottom"/>
            <w:tcBorders>
              <w:bottom w:val="single" w:sz="8" w:color="auto"/>
            </w:tcBorders>
          </w:tcPr>
          <w:p>
            <w:pPr>
              <w:spacing w:after="0"/>
              <w:rPr>
                <w:sz w:val="17"/>
                <w:szCs w:val="17"/>
                <w:color w:val="auto"/>
              </w:rPr>
            </w:pPr>
          </w:p>
        </w:tc>
        <w:tc>
          <w:tcPr>
            <w:tcW w:w="2080" w:type="dxa"/>
            <w:vAlign w:val="bottom"/>
            <w:tcBorders>
              <w:bottom w:val="single" w:sz="8" w:color="auto"/>
            </w:tcBorders>
            <w:gridSpan w:val="6"/>
          </w:tcPr>
          <w:p>
            <w:pPr>
              <w:jc w:val="right"/>
              <w:ind w:right="210"/>
              <w:spacing w:after="0"/>
              <w:rPr>
                <w:sz w:val="20"/>
                <w:szCs w:val="20"/>
                <w:color w:val="auto"/>
              </w:rPr>
            </w:pPr>
            <w:r>
              <w:rPr>
                <w:rFonts w:ascii="Arial" w:cs="Arial" w:eastAsia="Arial" w:hAnsi="Arial"/>
                <w:sz w:val="14"/>
                <w:szCs w:val="14"/>
                <w:b w:val="1"/>
                <w:bCs w:val="1"/>
                <w:color w:val="auto"/>
              </w:rPr>
              <w:t>Year Ended December 31,</w:t>
            </w:r>
          </w:p>
        </w:tc>
        <w:tc>
          <w:tcPr>
            <w:tcW w:w="1140" w:type="dxa"/>
            <w:vAlign w:val="bottom"/>
            <w:tcBorders>
              <w:bottom w:val="single" w:sz="8" w:color="auto"/>
            </w:tcBorders>
          </w:tcPr>
          <w:p>
            <w:pPr>
              <w:spacing w:after="0"/>
              <w:rPr>
                <w:sz w:val="17"/>
                <w:szCs w:val="17"/>
                <w:color w:val="auto"/>
              </w:rPr>
            </w:pPr>
          </w:p>
        </w:tc>
      </w:tr>
      <w:tr>
        <w:trPr>
          <w:trHeight w:val="264"/>
        </w:trPr>
        <w:tc>
          <w:tcPr>
            <w:tcW w:w="6740" w:type="dxa"/>
            <w:vAlign w:val="bottom"/>
            <w:tcBorders>
              <w:bottom w:val="single" w:sz="8" w:color="CCEEFF"/>
            </w:tcBorders>
          </w:tcPr>
          <w:p>
            <w:pPr>
              <w:spacing w:after="0"/>
              <w:rPr>
                <w:sz w:val="22"/>
                <w:szCs w:val="22"/>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2019</w:t>
            </w:r>
          </w:p>
        </w:tc>
        <w:tc>
          <w:tcPr>
            <w:tcW w:w="460" w:type="dxa"/>
            <w:vAlign w:val="bottom"/>
            <w:tcBorders>
              <w:bottom w:val="single" w:sz="8" w:color="auto"/>
            </w:tcBorders>
          </w:tcPr>
          <w:p>
            <w:pPr>
              <w:spacing w:after="0"/>
              <w:rPr>
                <w:sz w:val="22"/>
                <w:szCs w:val="22"/>
                <w:color w:val="auto"/>
              </w:rPr>
            </w:pPr>
          </w:p>
        </w:tc>
        <w:tc>
          <w:tcPr>
            <w:tcW w:w="40" w:type="dxa"/>
            <w:vAlign w:val="bottom"/>
            <w:tcBorders>
              <w:bottom w:val="single" w:sz="8" w:color="auto"/>
            </w:tcBorders>
          </w:tcPr>
          <w:p>
            <w:pPr>
              <w:spacing w:after="0"/>
              <w:rPr>
                <w:sz w:val="22"/>
                <w:szCs w:val="22"/>
                <w:color w:val="auto"/>
              </w:rPr>
            </w:pPr>
          </w:p>
        </w:tc>
        <w:tc>
          <w:tcPr>
            <w:tcW w:w="100" w:type="dxa"/>
            <w:vAlign w:val="bottom"/>
            <w:tcBorders>
              <w:bottom w:val="single" w:sz="8" w:color="CCEEFF"/>
            </w:tcBorders>
          </w:tcPr>
          <w:p>
            <w:pPr>
              <w:spacing w:after="0"/>
              <w:rPr>
                <w:sz w:val="22"/>
                <w:szCs w:val="22"/>
                <w:color w:val="auto"/>
              </w:rPr>
            </w:pPr>
          </w:p>
        </w:tc>
        <w:tc>
          <w:tcPr>
            <w:tcW w:w="360" w:type="dxa"/>
            <w:vAlign w:val="bottom"/>
            <w:tcBorders>
              <w:bottom w:val="single" w:sz="8" w:color="auto"/>
            </w:tcBorders>
          </w:tcPr>
          <w:p>
            <w:pPr>
              <w:spacing w:after="0"/>
              <w:rPr>
                <w:sz w:val="22"/>
                <w:szCs w:val="22"/>
                <w:color w:val="auto"/>
              </w:rPr>
            </w:pPr>
          </w:p>
        </w:tc>
        <w:tc>
          <w:tcPr>
            <w:tcW w:w="1120" w:type="dxa"/>
            <w:vAlign w:val="bottom"/>
            <w:tcBorders>
              <w:bottom w:val="single" w:sz="8" w:color="auto"/>
            </w:tcBorders>
          </w:tcPr>
          <w:p>
            <w:pPr>
              <w:jc w:val="right"/>
              <w:ind w:right="491"/>
              <w:spacing w:after="0"/>
              <w:rPr>
                <w:sz w:val="20"/>
                <w:szCs w:val="20"/>
                <w:color w:val="auto"/>
              </w:rPr>
            </w:pPr>
            <w:r>
              <w:rPr>
                <w:rFonts w:ascii="Arial" w:cs="Arial" w:eastAsia="Arial" w:hAnsi="Arial"/>
                <w:sz w:val="14"/>
                <w:szCs w:val="14"/>
                <w:b w:val="1"/>
                <w:bCs w:val="1"/>
                <w:color w:val="auto"/>
              </w:rPr>
              <w:t>2018</w:t>
            </w:r>
          </w:p>
        </w:tc>
        <w:tc>
          <w:tcPr>
            <w:tcW w:w="120" w:type="dxa"/>
            <w:vAlign w:val="bottom"/>
            <w:tcBorders>
              <w:bottom w:val="single" w:sz="8" w:color="CCEEFF"/>
            </w:tcBorders>
          </w:tcPr>
          <w:p>
            <w:pPr>
              <w:spacing w:after="0"/>
              <w:rPr>
                <w:sz w:val="22"/>
                <w:szCs w:val="22"/>
                <w:color w:val="auto"/>
              </w:rPr>
            </w:pPr>
          </w:p>
        </w:tc>
        <w:tc>
          <w:tcPr>
            <w:tcW w:w="340" w:type="dxa"/>
            <w:vAlign w:val="bottom"/>
            <w:tcBorders>
              <w:bottom w:val="single" w:sz="8" w:color="auto"/>
            </w:tcBorders>
          </w:tcPr>
          <w:p>
            <w:pPr>
              <w:spacing w:after="0"/>
              <w:rPr>
                <w:sz w:val="22"/>
                <w:szCs w:val="22"/>
                <w:color w:val="auto"/>
              </w:rPr>
            </w:pPr>
          </w:p>
        </w:tc>
        <w:tc>
          <w:tcPr>
            <w:tcW w:w="1140" w:type="dxa"/>
            <w:vAlign w:val="bottom"/>
            <w:tcBorders>
              <w:bottom w:val="single" w:sz="8" w:color="auto"/>
            </w:tcBorders>
          </w:tcPr>
          <w:p>
            <w:pPr>
              <w:jc w:val="right"/>
              <w:ind w:right="491"/>
              <w:spacing w:after="0"/>
              <w:rPr>
                <w:sz w:val="20"/>
                <w:szCs w:val="20"/>
                <w:color w:val="auto"/>
              </w:rPr>
            </w:pPr>
            <w:r>
              <w:rPr>
                <w:rFonts w:ascii="Arial" w:cs="Arial" w:eastAsia="Arial" w:hAnsi="Arial"/>
                <w:sz w:val="14"/>
                <w:szCs w:val="14"/>
                <w:b w:val="1"/>
                <w:bCs w:val="1"/>
                <w:color w:val="auto"/>
              </w:rPr>
              <w:t>2017</w:t>
            </w:r>
          </w:p>
        </w:tc>
      </w:tr>
      <w:tr>
        <w:trPr>
          <w:trHeight w:val="256"/>
        </w:trPr>
        <w:tc>
          <w:tcPr>
            <w:tcW w:w="6740" w:type="dxa"/>
            <w:vAlign w:val="bottom"/>
            <w:shd w:val="clear" w:color="auto" w:fill="CCEEFF"/>
          </w:tcPr>
          <w:p>
            <w:pPr>
              <w:ind w:left="40"/>
              <w:spacing w:after="0"/>
              <w:rPr>
                <w:sz w:val="20"/>
                <w:szCs w:val="20"/>
                <w:color w:val="auto"/>
              </w:rPr>
            </w:pPr>
            <w:r>
              <w:rPr>
                <w:rFonts w:ascii="Arial" w:cs="Arial" w:eastAsia="Arial" w:hAnsi="Arial"/>
                <w:sz w:val="18"/>
                <w:szCs w:val="18"/>
                <w:color w:val="auto"/>
              </w:rPr>
              <w:t xml:space="preserve">Fleet restructuring expenses </w:t>
            </w:r>
            <w:r>
              <w:rPr>
                <w:rFonts w:ascii="Arial" w:cs="Arial" w:eastAsia="Arial" w:hAnsi="Arial"/>
                <w:sz w:val="21"/>
                <w:szCs w:val="21"/>
                <w:color w:val="auto"/>
                <w:vertAlign w:val="superscript"/>
              </w:rPr>
              <w:t>(1)</w:t>
            </w:r>
          </w:p>
        </w:tc>
        <w:tc>
          <w:tcPr>
            <w:tcW w:w="1000" w:type="dxa"/>
            <w:vAlign w:val="bottom"/>
            <w:shd w:val="clear" w:color="auto" w:fill="CCEEFF"/>
          </w:tcPr>
          <w:p>
            <w:pPr>
              <w:jc w:val="right"/>
              <w:ind w:right="779"/>
              <w:spacing w:after="0"/>
              <w:rPr>
                <w:sz w:val="20"/>
                <w:szCs w:val="20"/>
                <w:color w:val="auto"/>
              </w:rPr>
            </w:pPr>
            <w:r>
              <w:rPr>
                <w:rFonts w:ascii="Arial" w:cs="Arial" w:eastAsia="Arial" w:hAnsi="Arial"/>
                <w:sz w:val="18"/>
                <w:szCs w:val="18"/>
                <w:color w:val="auto"/>
              </w:rPr>
              <w:t>$</w:t>
            </w: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271</w:t>
            </w:r>
          </w:p>
        </w:tc>
        <w:tc>
          <w:tcPr>
            <w:tcW w:w="500" w:type="dxa"/>
            <w:vAlign w:val="bottom"/>
            <w:gridSpan w:val="3"/>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112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422</w:t>
            </w:r>
          </w:p>
        </w:tc>
        <w:tc>
          <w:tcPr>
            <w:tcW w:w="120" w:type="dxa"/>
            <w:vAlign w:val="bottom"/>
            <w:shd w:val="clear" w:color="auto" w:fill="CCEEFF"/>
          </w:tcPr>
          <w:p>
            <w:pPr>
              <w:spacing w:after="0"/>
              <w:rPr>
                <w:sz w:val="22"/>
                <w:szCs w:val="22"/>
                <w:color w:val="auto"/>
              </w:rPr>
            </w:pPr>
          </w:p>
        </w:tc>
        <w:tc>
          <w:tcPr>
            <w:tcW w:w="34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14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232</w:t>
            </w:r>
          </w:p>
        </w:tc>
      </w:tr>
      <w:tr>
        <w:trPr>
          <w:trHeight w:val="270"/>
        </w:trPr>
        <w:tc>
          <w:tcPr>
            <w:tcW w:w="6740" w:type="dxa"/>
            <w:vAlign w:val="bottom"/>
          </w:tcPr>
          <w:p>
            <w:pPr>
              <w:ind w:left="40"/>
              <w:spacing w:after="0"/>
              <w:rPr>
                <w:sz w:val="20"/>
                <w:szCs w:val="20"/>
                <w:color w:val="auto"/>
              </w:rPr>
            </w:pPr>
            <w:r>
              <w:rPr>
                <w:rFonts w:ascii="Arial" w:cs="Arial" w:eastAsia="Arial" w:hAnsi="Arial"/>
                <w:sz w:val="18"/>
                <w:szCs w:val="18"/>
                <w:color w:val="auto"/>
              </w:rPr>
              <w:t xml:space="preserve">Fleet impairment </w:t>
            </w:r>
            <w:r>
              <w:rPr>
                <w:rFonts w:ascii="Arial" w:cs="Arial" w:eastAsia="Arial" w:hAnsi="Arial"/>
                <w:sz w:val="21"/>
                <w:szCs w:val="21"/>
                <w:color w:val="auto"/>
                <w:vertAlign w:val="superscript"/>
              </w:rPr>
              <w:t>(2)</w:t>
            </w:r>
          </w:p>
        </w:tc>
        <w:tc>
          <w:tcPr>
            <w:tcW w:w="1000" w:type="dxa"/>
            <w:vAlign w:val="bottom"/>
          </w:tcPr>
          <w:p>
            <w:pPr>
              <w:spacing w:after="0"/>
              <w:rPr>
                <w:sz w:val="23"/>
                <w:szCs w:val="23"/>
                <w:color w:val="auto"/>
              </w:rPr>
            </w:pPr>
          </w:p>
        </w:tc>
        <w:tc>
          <w:tcPr>
            <w:tcW w:w="460" w:type="dxa"/>
            <w:vAlign w:val="bottom"/>
          </w:tcPr>
          <w:p>
            <w:pPr>
              <w:jc w:val="right"/>
              <w:spacing w:after="0"/>
              <w:rPr>
                <w:sz w:val="20"/>
                <w:szCs w:val="20"/>
                <w:color w:val="auto"/>
              </w:rPr>
            </w:pPr>
            <w:r>
              <w:rPr>
                <w:rFonts w:ascii="Arial" w:cs="Arial" w:eastAsia="Arial" w:hAnsi="Arial"/>
                <w:sz w:val="18"/>
                <w:szCs w:val="18"/>
                <w:color w:val="auto"/>
              </w:rPr>
              <w:t>213</w:t>
            </w:r>
          </w:p>
        </w:tc>
        <w:tc>
          <w:tcPr>
            <w:tcW w:w="4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360" w:type="dxa"/>
            <w:vAlign w:val="bottom"/>
          </w:tcPr>
          <w:p>
            <w:pPr>
              <w:spacing w:after="0"/>
              <w:rPr>
                <w:sz w:val="23"/>
                <w:szCs w:val="23"/>
                <w:color w:val="auto"/>
              </w:rPr>
            </w:pPr>
          </w:p>
        </w:tc>
        <w:tc>
          <w:tcPr>
            <w:tcW w:w="12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340" w:type="dxa"/>
            <w:vAlign w:val="bottom"/>
          </w:tcPr>
          <w:p>
            <w:pPr>
              <w:spacing w:after="0"/>
              <w:rPr>
                <w:sz w:val="23"/>
                <w:szCs w:val="23"/>
                <w:color w:val="auto"/>
              </w:rPr>
            </w:pPr>
          </w:p>
        </w:tc>
        <w:tc>
          <w:tcPr>
            <w:tcW w:w="1140" w:type="dxa"/>
            <w:vAlign w:val="bottom"/>
          </w:tcPr>
          <w:p>
            <w:pPr>
              <w:jc w:val="right"/>
              <w:ind w:right="11"/>
              <w:spacing w:after="0"/>
              <w:rPr>
                <w:sz w:val="20"/>
                <w:szCs w:val="20"/>
                <w:color w:val="auto"/>
              </w:rPr>
            </w:pPr>
            <w:r>
              <w:rPr>
                <w:rFonts w:ascii="Arial" w:cs="Arial" w:eastAsia="Arial" w:hAnsi="Arial"/>
                <w:sz w:val="18"/>
                <w:szCs w:val="18"/>
                <w:color w:val="auto"/>
              </w:rPr>
              <w:t>—</w:t>
            </w:r>
          </w:p>
        </w:tc>
      </w:tr>
      <w:tr>
        <w:trPr>
          <w:trHeight w:val="270"/>
        </w:trPr>
        <w:tc>
          <w:tcPr>
            <w:tcW w:w="6740" w:type="dxa"/>
            <w:vAlign w:val="bottom"/>
            <w:shd w:val="clear" w:color="auto" w:fill="CCEEFF"/>
          </w:tcPr>
          <w:p>
            <w:pPr>
              <w:ind w:left="40"/>
              <w:spacing w:after="0"/>
              <w:rPr>
                <w:sz w:val="20"/>
                <w:szCs w:val="20"/>
                <w:color w:val="auto"/>
              </w:rPr>
            </w:pPr>
            <w:r>
              <w:rPr>
                <w:rFonts w:ascii="Arial" w:cs="Arial" w:eastAsia="Arial" w:hAnsi="Arial"/>
                <w:sz w:val="18"/>
                <w:szCs w:val="18"/>
                <w:color w:val="auto"/>
              </w:rPr>
              <w:t xml:space="preserve">Merger integration expenses </w:t>
            </w:r>
            <w:r>
              <w:rPr>
                <w:rFonts w:ascii="Arial" w:cs="Arial" w:eastAsia="Arial" w:hAnsi="Arial"/>
                <w:sz w:val="21"/>
                <w:szCs w:val="21"/>
                <w:color w:val="auto"/>
                <w:vertAlign w:val="superscript"/>
              </w:rPr>
              <w:t>(3)</w:t>
            </w:r>
          </w:p>
        </w:tc>
        <w:tc>
          <w:tcPr>
            <w:tcW w:w="1000" w:type="dxa"/>
            <w:vAlign w:val="bottom"/>
            <w:shd w:val="clear" w:color="auto" w:fill="CCEEFF"/>
          </w:tcPr>
          <w:p>
            <w:pPr>
              <w:spacing w:after="0"/>
              <w:rPr>
                <w:sz w:val="23"/>
                <w:szCs w:val="23"/>
                <w:color w:val="auto"/>
              </w:rPr>
            </w:pP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191</w:t>
            </w:r>
          </w:p>
        </w:tc>
        <w:tc>
          <w:tcPr>
            <w:tcW w:w="4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360" w:type="dxa"/>
            <w:vAlign w:val="bottom"/>
            <w:shd w:val="clear" w:color="auto" w:fill="CCEEFF"/>
          </w:tcPr>
          <w:p>
            <w:pPr>
              <w:spacing w:after="0"/>
              <w:rPr>
                <w:sz w:val="23"/>
                <w:szCs w:val="23"/>
                <w:color w:val="auto"/>
              </w:rPr>
            </w:pPr>
          </w:p>
        </w:tc>
        <w:tc>
          <w:tcPr>
            <w:tcW w:w="112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268</w:t>
            </w:r>
          </w:p>
        </w:tc>
        <w:tc>
          <w:tcPr>
            <w:tcW w:w="120" w:type="dxa"/>
            <w:vAlign w:val="bottom"/>
            <w:shd w:val="clear" w:color="auto" w:fill="CCEEFF"/>
          </w:tcPr>
          <w:p>
            <w:pPr>
              <w:spacing w:after="0"/>
              <w:rPr>
                <w:sz w:val="23"/>
                <w:szCs w:val="23"/>
                <w:color w:val="auto"/>
              </w:rPr>
            </w:pPr>
          </w:p>
        </w:tc>
        <w:tc>
          <w:tcPr>
            <w:tcW w:w="340" w:type="dxa"/>
            <w:vAlign w:val="bottom"/>
            <w:shd w:val="clear" w:color="auto" w:fill="CCEEFF"/>
          </w:tcPr>
          <w:p>
            <w:pPr>
              <w:spacing w:after="0"/>
              <w:rPr>
                <w:sz w:val="23"/>
                <w:szCs w:val="23"/>
                <w:color w:val="auto"/>
              </w:rPr>
            </w:pPr>
          </w:p>
        </w:tc>
        <w:tc>
          <w:tcPr>
            <w:tcW w:w="114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273</w:t>
            </w:r>
          </w:p>
        </w:tc>
      </w:tr>
      <w:tr>
        <w:trPr>
          <w:trHeight w:val="263"/>
        </w:trPr>
        <w:tc>
          <w:tcPr>
            <w:tcW w:w="6740" w:type="dxa"/>
            <w:vAlign w:val="bottom"/>
          </w:tcPr>
          <w:p>
            <w:pPr>
              <w:ind w:left="40"/>
              <w:spacing w:after="0"/>
              <w:rPr>
                <w:sz w:val="20"/>
                <w:szCs w:val="20"/>
                <w:color w:val="auto"/>
              </w:rPr>
            </w:pPr>
            <w:r>
              <w:rPr>
                <w:rFonts w:ascii="Arial" w:cs="Arial" w:eastAsia="Arial" w:hAnsi="Arial"/>
                <w:sz w:val="18"/>
                <w:szCs w:val="18"/>
                <w:color w:val="auto"/>
              </w:rPr>
              <w:t>Litigation reserve adjustments</w:t>
            </w:r>
          </w:p>
        </w:tc>
        <w:tc>
          <w:tcPr>
            <w:tcW w:w="1000" w:type="dxa"/>
            <w:vAlign w:val="bottom"/>
          </w:tcPr>
          <w:p>
            <w:pPr>
              <w:spacing w:after="0"/>
              <w:rPr>
                <w:sz w:val="22"/>
                <w:szCs w:val="22"/>
                <w:color w:val="auto"/>
              </w:rPr>
            </w:pPr>
          </w:p>
        </w:tc>
        <w:tc>
          <w:tcPr>
            <w:tcW w:w="460" w:type="dxa"/>
            <w:vAlign w:val="bottom"/>
          </w:tcPr>
          <w:p>
            <w:pPr>
              <w:jc w:val="right"/>
              <w:spacing w:after="0"/>
              <w:rPr>
                <w:sz w:val="20"/>
                <w:szCs w:val="20"/>
                <w:color w:val="auto"/>
              </w:rPr>
            </w:pPr>
            <w:r>
              <w:rPr>
                <w:rFonts w:ascii="Arial" w:cs="Arial" w:eastAsia="Arial" w:hAnsi="Arial"/>
                <w:sz w:val="18"/>
                <w:szCs w:val="18"/>
                <w:color w:val="auto"/>
              </w:rPr>
              <w:t>(53)</w:t>
            </w:r>
          </w:p>
        </w:tc>
        <w:tc>
          <w:tcPr>
            <w:tcW w:w="4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1120" w:type="dxa"/>
            <w:vAlign w:val="bottom"/>
          </w:tcPr>
          <w:p>
            <w:pPr>
              <w:jc w:val="right"/>
              <w:ind w:right="11"/>
              <w:spacing w:after="0"/>
              <w:rPr>
                <w:sz w:val="20"/>
                <w:szCs w:val="20"/>
                <w:color w:val="auto"/>
              </w:rPr>
            </w:pPr>
            <w:r>
              <w:rPr>
                <w:rFonts w:ascii="Arial" w:cs="Arial" w:eastAsia="Arial" w:hAnsi="Arial"/>
                <w:sz w:val="18"/>
                <w:szCs w:val="18"/>
                <w:color w:val="auto"/>
              </w:rPr>
              <w:t>45</w:t>
            </w:r>
          </w:p>
        </w:tc>
        <w:tc>
          <w:tcPr>
            <w:tcW w:w="12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1140" w:type="dxa"/>
            <w:vAlign w:val="bottom"/>
          </w:tcPr>
          <w:p>
            <w:pPr>
              <w:jc w:val="right"/>
              <w:ind w:right="11"/>
              <w:spacing w:after="0"/>
              <w:rPr>
                <w:sz w:val="20"/>
                <w:szCs w:val="20"/>
                <w:color w:val="auto"/>
              </w:rPr>
            </w:pPr>
            <w:r>
              <w:rPr>
                <w:rFonts w:ascii="Arial" w:cs="Arial" w:eastAsia="Arial" w:hAnsi="Arial"/>
                <w:sz w:val="18"/>
                <w:szCs w:val="18"/>
                <w:color w:val="auto"/>
              </w:rPr>
              <w:t>—</w:t>
            </w:r>
          </w:p>
        </w:tc>
      </w:tr>
      <w:tr>
        <w:trPr>
          <w:trHeight w:val="277"/>
        </w:trPr>
        <w:tc>
          <w:tcPr>
            <w:tcW w:w="6740" w:type="dxa"/>
            <w:vAlign w:val="bottom"/>
            <w:shd w:val="clear" w:color="auto" w:fill="CCEEFF"/>
          </w:tcPr>
          <w:p>
            <w:pPr>
              <w:ind w:left="40"/>
              <w:spacing w:after="0"/>
              <w:rPr>
                <w:sz w:val="20"/>
                <w:szCs w:val="20"/>
                <w:color w:val="auto"/>
              </w:rPr>
            </w:pPr>
            <w:r>
              <w:rPr>
                <w:rFonts w:ascii="Arial" w:cs="Arial" w:eastAsia="Arial" w:hAnsi="Arial"/>
                <w:sz w:val="18"/>
                <w:szCs w:val="18"/>
                <w:color w:val="auto"/>
              </w:rPr>
              <w:t xml:space="preserve">Mark-to-market adjustments on bankruptcy obligations, net </w:t>
            </w:r>
            <w:r>
              <w:rPr>
                <w:rFonts w:ascii="Arial" w:cs="Arial" w:eastAsia="Arial" w:hAnsi="Arial"/>
                <w:sz w:val="21"/>
                <w:szCs w:val="21"/>
                <w:color w:val="auto"/>
                <w:vertAlign w:val="superscript"/>
              </w:rPr>
              <w:t>(4)</w:t>
            </w:r>
          </w:p>
        </w:tc>
        <w:tc>
          <w:tcPr>
            <w:tcW w:w="1000" w:type="dxa"/>
            <w:vAlign w:val="bottom"/>
            <w:shd w:val="clear" w:color="auto" w:fill="CCEEFF"/>
          </w:tcPr>
          <w:p>
            <w:pPr>
              <w:spacing w:after="0"/>
              <w:rPr>
                <w:sz w:val="24"/>
                <w:szCs w:val="24"/>
                <w:color w:val="auto"/>
              </w:rPr>
            </w:pP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w:t>
            </w:r>
          </w:p>
        </w:tc>
        <w:tc>
          <w:tcPr>
            <w:tcW w:w="4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360" w:type="dxa"/>
            <w:vAlign w:val="bottom"/>
            <w:shd w:val="clear" w:color="auto" w:fill="CCEEFF"/>
          </w:tcPr>
          <w:p>
            <w:pPr>
              <w:spacing w:after="0"/>
              <w:rPr>
                <w:sz w:val="24"/>
                <w:szCs w:val="24"/>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(76)</w:t>
            </w:r>
          </w:p>
        </w:tc>
        <w:tc>
          <w:tcPr>
            <w:tcW w:w="120" w:type="dxa"/>
            <w:vAlign w:val="bottom"/>
            <w:shd w:val="clear" w:color="auto" w:fill="CCEEFF"/>
          </w:tcPr>
          <w:p>
            <w:pPr>
              <w:spacing w:after="0"/>
              <w:rPr>
                <w:sz w:val="24"/>
                <w:szCs w:val="24"/>
                <w:color w:val="auto"/>
              </w:rPr>
            </w:pPr>
          </w:p>
        </w:tc>
        <w:tc>
          <w:tcPr>
            <w:tcW w:w="340" w:type="dxa"/>
            <w:vAlign w:val="bottom"/>
            <w:shd w:val="clear" w:color="auto" w:fill="CCEEFF"/>
          </w:tcPr>
          <w:p>
            <w:pPr>
              <w:spacing w:after="0"/>
              <w:rPr>
                <w:sz w:val="24"/>
                <w:szCs w:val="24"/>
                <w:color w:val="auto"/>
              </w:rPr>
            </w:pPr>
          </w:p>
        </w:tc>
        <w:tc>
          <w:tcPr>
            <w:tcW w:w="114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27</w:t>
            </w:r>
          </w:p>
        </w:tc>
      </w:tr>
      <w:tr>
        <w:trPr>
          <w:trHeight w:val="270"/>
        </w:trPr>
        <w:tc>
          <w:tcPr>
            <w:tcW w:w="6740" w:type="dxa"/>
            <w:vAlign w:val="bottom"/>
          </w:tcPr>
          <w:p>
            <w:pPr>
              <w:ind w:left="40"/>
              <w:spacing w:after="0"/>
              <w:rPr>
                <w:sz w:val="20"/>
                <w:szCs w:val="20"/>
                <w:color w:val="auto"/>
              </w:rPr>
            </w:pPr>
            <w:r>
              <w:rPr>
                <w:rFonts w:ascii="Arial" w:cs="Arial" w:eastAsia="Arial" w:hAnsi="Arial"/>
                <w:sz w:val="18"/>
                <w:szCs w:val="18"/>
                <w:color w:val="auto"/>
              </w:rPr>
              <w:t xml:space="preserve">Severance expenses </w:t>
            </w:r>
            <w:r>
              <w:rPr>
                <w:rFonts w:ascii="Arial" w:cs="Arial" w:eastAsia="Arial" w:hAnsi="Arial"/>
                <w:sz w:val="21"/>
                <w:szCs w:val="21"/>
                <w:color w:val="auto"/>
                <w:vertAlign w:val="superscript"/>
              </w:rPr>
              <w:t>(5)</w:t>
            </w:r>
          </w:p>
        </w:tc>
        <w:tc>
          <w:tcPr>
            <w:tcW w:w="1000" w:type="dxa"/>
            <w:vAlign w:val="bottom"/>
          </w:tcPr>
          <w:p>
            <w:pPr>
              <w:spacing w:after="0"/>
              <w:rPr>
                <w:sz w:val="23"/>
                <w:szCs w:val="23"/>
                <w:color w:val="auto"/>
              </w:rPr>
            </w:pPr>
          </w:p>
        </w:tc>
        <w:tc>
          <w:tcPr>
            <w:tcW w:w="460" w:type="dxa"/>
            <w:vAlign w:val="bottom"/>
          </w:tcPr>
          <w:p>
            <w:pPr>
              <w:jc w:val="right"/>
              <w:spacing w:after="0"/>
              <w:rPr>
                <w:sz w:val="20"/>
                <w:szCs w:val="20"/>
                <w:color w:val="auto"/>
              </w:rPr>
            </w:pPr>
            <w:r>
              <w:rPr>
                <w:rFonts w:ascii="Arial" w:cs="Arial" w:eastAsia="Arial" w:hAnsi="Arial"/>
                <w:sz w:val="18"/>
                <w:szCs w:val="18"/>
                <w:color w:val="auto"/>
              </w:rPr>
              <w:t>11</w:t>
            </w:r>
          </w:p>
        </w:tc>
        <w:tc>
          <w:tcPr>
            <w:tcW w:w="4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360" w:type="dxa"/>
            <w:vAlign w:val="bottom"/>
          </w:tcPr>
          <w:p>
            <w:pPr>
              <w:spacing w:after="0"/>
              <w:rPr>
                <w:sz w:val="23"/>
                <w:szCs w:val="23"/>
                <w:color w:val="auto"/>
              </w:rPr>
            </w:pPr>
          </w:p>
        </w:tc>
        <w:tc>
          <w:tcPr>
            <w:tcW w:w="1120" w:type="dxa"/>
            <w:vAlign w:val="bottom"/>
          </w:tcPr>
          <w:p>
            <w:pPr>
              <w:jc w:val="right"/>
              <w:ind w:right="11"/>
              <w:spacing w:after="0"/>
              <w:rPr>
                <w:sz w:val="20"/>
                <w:szCs w:val="20"/>
                <w:color w:val="auto"/>
              </w:rPr>
            </w:pPr>
            <w:r>
              <w:rPr>
                <w:rFonts w:ascii="Arial" w:cs="Arial" w:eastAsia="Arial" w:hAnsi="Arial"/>
                <w:sz w:val="18"/>
                <w:szCs w:val="18"/>
                <w:color w:val="auto"/>
              </w:rPr>
              <w:t>58</w:t>
            </w:r>
          </w:p>
        </w:tc>
        <w:tc>
          <w:tcPr>
            <w:tcW w:w="12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1140" w:type="dxa"/>
            <w:vAlign w:val="bottom"/>
          </w:tcPr>
          <w:p>
            <w:pPr>
              <w:jc w:val="right"/>
              <w:ind w:right="11"/>
              <w:spacing w:after="0"/>
              <w:rPr>
                <w:sz w:val="20"/>
                <w:szCs w:val="20"/>
                <w:color w:val="auto"/>
              </w:rPr>
            </w:pPr>
            <w:r>
              <w:rPr>
                <w:rFonts w:ascii="Arial" w:cs="Arial" w:eastAsia="Arial" w:hAnsi="Arial"/>
                <w:sz w:val="18"/>
                <w:szCs w:val="18"/>
                <w:color w:val="auto"/>
              </w:rPr>
              <w:t>—</w:t>
            </w:r>
          </w:p>
        </w:tc>
      </w:tr>
      <w:tr>
        <w:trPr>
          <w:trHeight w:val="270"/>
        </w:trPr>
        <w:tc>
          <w:tcPr>
            <w:tcW w:w="6740" w:type="dxa"/>
            <w:vAlign w:val="bottom"/>
            <w:shd w:val="clear" w:color="auto" w:fill="CCEEFF"/>
          </w:tcPr>
          <w:p>
            <w:pPr>
              <w:ind w:left="40"/>
              <w:spacing w:after="0"/>
              <w:rPr>
                <w:sz w:val="20"/>
                <w:szCs w:val="20"/>
                <w:color w:val="auto"/>
              </w:rPr>
            </w:pPr>
            <w:r>
              <w:rPr>
                <w:rFonts w:ascii="Arial" w:cs="Arial" w:eastAsia="Arial" w:hAnsi="Arial"/>
                <w:sz w:val="18"/>
                <w:szCs w:val="18"/>
                <w:color w:val="auto"/>
              </w:rPr>
              <w:t xml:space="preserve">Intangible asset impairment </w:t>
            </w:r>
            <w:r>
              <w:rPr>
                <w:rFonts w:ascii="Arial" w:cs="Arial" w:eastAsia="Arial" w:hAnsi="Arial"/>
                <w:sz w:val="21"/>
                <w:szCs w:val="21"/>
                <w:color w:val="auto"/>
                <w:vertAlign w:val="superscript"/>
              </w:rPr>
              <w:t>(6)</w:t>
            </w:r>
          </w:p>
        </w:tc>
        <w:tc>
          <w:tcPr>
            <w:tcW w:w="1000" w:type="dxa"/>
            <w:vAlign w:val="bottom"/>
            <w:shd w:val="clear" w:color="auto" w:fill="CCEEFF"/>
          </w:tcPr>
          <w:p>
            <w:pPr>
              <w:spacing w:after="0"/>
              <w:rPr>
                <w:sz w:val="23"/>
                <w:szCs w:val="23"/>
                <w:color w:val="auto"/>
              </w:rPr>
            </w:pP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4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360" w:type="dxa"/>
            <w:vAlign w:val="bottom"/>
            <w:shd w:val="clear" w:color="auto" w:fill="CCEEFF"/>
          </w:tcPr>
          <w:p>
            <w:pPr>
              <w:spacing w:after="0"/>
              <w:rPr>
                <w:sz w:val="23"/>
                <w:szCs w:val="23"/>
                <w:color w:val="auto"/>
              </w:rPr>
            </w:pPr>
          </w:p>
        </w:tc>
        <w:tc>
          <w:tcPr>
            <w:tcW w:w="112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26</w:t>
            </w:r>
          </w:p>
        </w:tc>
        <w:tc>
          <w:tcPr>
            <w:tcW w:w="120" w:type="dxa"/>
            <w:vAlign w:val="bottom"/>
            <w:shd w:val="clear" w:color="auto" w:fill="CCEEFF"/>
          </w:tcPr>
          <w:p>
            <w:pPr>
              <w:spacing w:after="0"/>
              <w:rPr>
                <w:sz w:val="23"/>
                <w:szCs w:val="23"/>
                <w:color w:val="auto"/>
              </w:rPr>
            </w:pPr>
          </w:p>
        </w:tc>
        <w:tc>
          <w:tcPr>
            <w:tcW w:w="340" w:type="dxa"/>
            <w:vAlign w:val="bottom"/>
            <w:shd w:val="clear" w:color="auto" w:fill="CCEEFF"/>
          </w:tcPr>
          <w:p>
            <w:pPr>
              <w:spacing w:after="0"/>
              <w:rPr>
                <w:sz w:val="23"/>
                <w:szCs w:val="23"/>
                <w:color w:val="auto"/>
              </w:rPr>
            </w:pPr>
          </w:p>
        </w:tc>
        <w:tc>
          <w:tcPr>
            <w:tcW w:w="114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w:t>
            </w:r>
          </w:p>
        </w:tc>
      </w:tr>
      <w:tr>
        <w:trPr>
          <w:trHeight w:val="263"/>
        </w:trPr>
        <w:tc>
          <w:tcPr>
            <w:tcW w:w="6740" w:type="dxa"/>
            <w:vAlign w:val="bottom"/>
          </w:tcPr>
          <w:p>
            <w:pPr>
              <w:ind w:left="40"/>
              <w:spacing w:after="0"/>
              <w:rPr>
                <w:sz w:val="20"/>
                <w:szCs w:val="20"/>
                <w:color w:val="auto"/>
              </w:rPr>
            </w:pPr>
            <w:r>
              <w:rPr>
                <w:rFonts w:ascii="Arial" w:cs="Arial" w:eastAsia="Arial" w:hAnsi="Arial"/>
                <w:sz w:val="18"/>
                <w:szCs w:val="18"/>
                <w:color w:val="auto"/>
              </w:rPr>
              <w:t>Labor contract expenses</w:t>
            </w:r>
          </w:p>
        </w:tc>
        <w:tc>
          <w:tcPr>
            <w:tcW w:w="1000" w:type="dxa"/>
            <w:vAlign w:val="bottom"/>
          </w:tcPr>
          <w:p>
            <w:pPr>
              <w:spacing w:after="0"/>
              <w:rPr>
                <w:sz w:val="22"/>
                <w:szCs w:val="22"/>
                <w:color w:val="auto"/>
              </w:rPr>
            </w:pPr>
          </w:p>
        </w:tc>
        <w:tc>
          <w:tcPr>
            <w:tcW w:w="460" w:type="dxa"/>
            <w:vAlign w:val="bottom"/>
          </w:tcPr>
          <w:p>
            <w:pPr>
              <w:jc w:val="right"/>
              <w:spacing w:after="0"/>
              <w:rPr>
                <w:sz w:val="20"/>
                <w:szCs w:val="20"/>
                <w:color w:val="auto"/>
              </w:rPr>
            </w:pPr>
            <w:r>
              <w:rPr>
                <w:rFonts w:ascii="Arial" w:cs="Arial" w:eastAsia="Arial" w:hAnsi="Arial"/>
                <w:sz w:val="18"/>
                <w:szCs w:val="18"/>
                <w:color w:val="auto"/>
              </w:rPr>
              <w:t>—</w:t>
            </w:r>
          </w:p>
        </w:tc>
        <w:tc>
          <w:tcPr>
            <w:tcW w:w="4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1120" w:type="dxa"/>
            <w:vAlign w:val="bottom"/>
          </w:tcPr>
          <w:p>
            <w:pPr>
              <w:jc w:val="right"/>
              <w:ind w:right="11"/>
              <w:spacing w:after="0"/>
              <w:rPr>
                <w:sz w:val="20"/>
                <w:szCs w:val="20"/>
                <w:color w:val="auto"/>
              </w:rPr>
            </w:pPr>
            <w:r>
              <w:rPr>
                <w:rFonts w:ascii="Arial" w:cs="Arial" w:eastAsia="Arial" w:hAnsi="Arial"/>
                <w:sz w:val="18"/>
                <w:szCs w:val="18"/>
                <w:color w:val="auto"/>
              </w:rPr>
              <w:t>13</w:t>
            </w:r>
          </w:p>
        </w:tc>
        <w:tc>
          <w:tcPr>
            <w:tcW w:w="12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1140" w:type="dxa"/>
            <w:vAlign w:val="bottom"/>
          </w:tcPr>
          <w:p>
            <w:pPr>
              <w:jc w:val="right"/>
              <w:ind w:right="11"/>
              <w:spacing w:after="0"/>
              <w:rPr>
                <w:sz w:val="20"/>
                <w:szCs w:val="20"/>
                <w:color w:val="auto"/>
              </w:rPr>
            </w:pPr>
            <w:r>
              <w:rPr>
                <w:rFonts w:ascii="Arial" w:cs="Arial" w:eastAsia="Arial" w:hAnsi="Arial"/>
                <w:sz w:val="18"/>
                <w:szCs w:val="18"/>
                <w:color w:val="auto"/>
              </w:rPr>
              <w:t>46</w:t>
            </w:r>
          </w:p>
        </w:tc>
      </w:tr>
      <w:tr>
        <w:trPr>
          <w:trHeight w:val="277"/>
        </w:trPr>
        <w:tc>
          <w:tcPr>
            <w:tcW w:w="6740" w:type="dxa"/>
            <w:vAlign w:val="bottom"/>
            <w:shd w:val="clear" w:color="auto" w:fill="CCEEFF"/>
          </w:tcPr>
          <w:p>
            <w:pPr>
              <w:ind w:left="40"/>
              <w:spacing w:after="0"/>
              <w:rPr>
                <w:sz w:val="20"/>
                <w:szCs w:val="20"/>
                <w:color w:val="auto"/>
              </w:rPr>
            </w:pPr>
            <w:r>
              <w:rPr>
                <w:rFonts w:ascii="Arial" w:cs="Arial" w:eastAsia="Arial" w:hAnsi="Arial"/>
                <w:sz w:val="18"/>
                <w:szCs w:val="18"/>
                <w:color w:val="auto"/>
              </w:rPr>
              <w:t xml:space="preserve">Employee 2017 Tax Act bonus expense </w:t>
            </w:r>
            <w:r>
              <w:rPr>
                <w:rFonts w:ascii="Arial" w:cs="Arial" w:eastAsia="Arial" w:hAnsi="Arial"/>
                <w:sz w:val="21"/>
                <w:szCs w:val="21"/>
                <w:color w:val="auto"/>
                <w:vertAlign w:val="superscript"/>
              </w:rPr>
              <w:t>(7)</w:t>
            </w:r>
          </w:p>
        </w:tc>
        <w:tc>
          <w:tcPr>
            <w:tcW w:w="1000" w:type="dxa"/>
            <w:vAlign w:val="bottom"/>
            <w:shd w:val="clear" w:color="auto" w:fill="CCEEFF"/>
          </w:tcPr>
          <w:p>
            <w:pPr>
              <w:spacing w:after="0"/>
              <w:rPr>
                <w:sz w:val="24"/>
                <w:szCs w:val="24"/>
                <w:color w:val="auto"/>
              </w:rPr>
            </w:pP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4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360" w:type="dxa"/>
            <w:vAlign w:val="bottom"/>
            <w:shd w:val="clear" w:color="auto" w:fill="CCEEFF"/>
          </w:tcPr>
          <w:p>
            <w:pPr>
              <w:spacing w:after="0"/>
              <w:rPr>
                <w:sz w:val="24"/>
                <w:szCs w:val="24"/>
                <w:color w:val="auto"/>
              </w:rPr>
            </w:pPr>
          </w:p>
        </w:tc>
        <w:tc>
          <w:tcPr>
            <w:tcW w:w="12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340" w:type="dxa"/>
            <w:vAlign w:val="bottom"/>
            <w:shd w:val="clear" w:color="auto" w:fill="CCEEFF"/>
          </w:tcPr>
          <w:p>
            <w:pPr>
              <w:spacing w:after="0"/>
              <w:rPr>
                <w:sz w:val="24"/>
                <w:szCs w:val="24"/>
                <w:color w:val="auto"/>
              </w:rPr>
            </w:pPr>
          </w:p>
        </w:tc>
        <w:tc>
          <w:tcPr>
            <w:tcW w:w="114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123</w:t>
            </w:r>
          </w:p>
        </w:tc>
      </w:tr>
      <w:tr>
        <w:trPr>
          <w:trHeight w:val="264"/>
        </w:trPr>
        <w:tc>
          <w:tcPr>
            <w:tcW w:w="6740" w:type="dxa"/>
            <w:vAlign w:val="bottom"/>
            <w:tcBorders>
              <w:bottom w:val="single" w:sz="8" w:color="CCEEFF"/>
            </w:tcBorders>
          </w:tcPr>
          <w:p>
            <w:pPr>
              <w:ind w:left="40"/>
              <w:spacing w:after="0"/>
              <w:rPr>
                <w:sz w:val="20"/>
                <w:szCs w:val="20"/>
                <w:color w:val="auto"/>
              </w:rPr>
            </w:pPr>
            <w:r>
              <w:rPr>
                <w:rFonts w:ascii="Arial" w:cs="Arial" w:eastAsia="Arial" w:hAnsi="Arial"/>
                <w:sz w:val="18"/>
                <w:szCs w:val="18"/>
                <w:color w:val="auto"/>
              </w:rPr>
              <w:t>Other operating charges, net</w:t>
            </w:r>
          </w:p>
        </w:tc>
        <w:tc>
          <w:tcPr>
            <w:tcW w:w="1000" w:type="dxa"/>
            <w:vAlign w:val="bottom"/>
            <w:tcBorders>
              <w:bottom w:val="single" w:sz="8" w:color="auto"/>
            </w:tcBorders>
          </w:tcPr>
          <w:p>
            <w:pPr>
              <w:spacing w:after="0"/>
              <w:rPr>
                <w:sz w:val="22"/>
                <w:szCs w:val="22"/>
                <w:color w:val="auto"/>
              </w:rPr>
            </w:pPr>
          </w:p>
        </w:tc>
        <w:tc>
          <w:tcPr>
            <w:tcW w:w="4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w:t>
            </w:r>
          </w:p>
        </w:tc>
        <w:tc>
          <w:tcPr>
            <w:tcW w:w="40" w:type="dxa"/>
            <w:vAlign w:val="bottom"/>
            <w:tcBorders>
              <w:bottom w:val="single" w:sz="8" w:color="auto"/>
            </w:tcBorders>
          </w:tcPr>
          <w:p>
            <w:pPr>
              <w:spacing w:after="0"/>
              <w:rPr>
                <w:sz w:val="22"/>
                <w:szCs w:val="22"/>
                <w:color w:val="auto"/>
              </w:rPr>
            </w:pPr>
          </w:p>
        </w:tc>
        <w:tc>
          <w:tcPr>
            <w:tcW w:w="100" w:type="dxa"/>
            <w:vAlign w:val="bottom"/>
            <w:tcBorders>
              <w:bottom w:val="single" w:sz="8" w:color="CCEEFF"/>
            </w:tcBorders>
          </w:tcPr>
          <w:p>
            <w:pPr>
              <w:spacing w:after="0"/>
              <w:rPr>
                <w:sz w:val="22"/>
                <w:szCs w:val="22"/>
                <w:color w:val="auto"/>
              </w:rPr>
            </w:pPr>
          </w:p>
        </w:tc>
        <w:tc>
          <w:tcPr>
            <w:tcW w:w="360" w:type="dxa"/>
            <w:vAlign w:val="bottom"/>
            <w:tcBorders>
              <w:bottom w:val="single" w:sz="8" w:color="auto"/>
            </w:tcBorders>
          </w:tcPr>
          <w:p>
            <w:pPr>
              <w:spacing w:after="0"/>
              <w:rPr>
                <w:sz w:val="22"/>
                <w:szCs w:val="22"/>
                <w:color w:val="auto"/>
              </w:rPr>
            </w:pPr>
          </w:p>
        </w:tc>
        <w:tc>
          <w:tcPr>
            <w:tcW w:w="1120" w:type="dxa"/>
            <w:vAlign w:val="bottom"/>
            <w:tcBorders>
              <w:bottom w:val="single" w:sz="8" w:color="auto"/>
            </w:tcBorders>
          </w:tcPr>
          <w:p>
            <w:pPr>
              <w:jc w:val="right"/>
              <w:ind w:right="11"/>
              <w:spacing w:after="0"/>
              <w:rPr>
                <w:sz w:val="20"/>
                <w:szCs w:val="20"/>
                <w:color w:val="auto"/>
              </w:rPr>
            </w:pPr>
            <w:r>
              <w:rPr>
                <w:rFonts w:ascii="Arial" w:cs="Arial" w:eastAsia="Arial" w:hAnsi="Arial"/>
                <w:sz w:val="18"/>
                <w:szCs w:val="18"/>
                <w:color w:val="auto"/>
              </w:rPr>
              <w:t>31</w:t>
            </w:r>
          </w:p>
        </w:tc>
        <w:tc>
          <w:tcPr>
            <w:tcW w:w="120" w:type="dxa"/>
            <w:vAlign w:val="bottom"/>
            <w:tcBorders>
              <w:bottom w:val="single" w:sz="8" w:color="CCEEFF"/>
            </w:tcBorders>
          </w:tcPr>
          <w:p>
            <w:pPr>
              <w:spacing w:after="0"/>
              <w:rPr>
                <w:sz w:val="22"/>
                <w:szCs w:val="22"/>
                <w:color w:val="auto"/>
              </w:rPr>
            </w:pPr>
          </w:p>
        </w:tc>
        <w:tc>
          <w:tcPr>
            <w:tcW w:w="340" w:type="dxa"/>
            <w:vAlign w:val="bottom"/>
            <w:tcBorders>
              <w:bottom w:val="single" w:sz="8" w:color="auto"/>
            </w:tcBorders>
          </w:tcPr>
          <w:p>
            <w:pPr>
              <w:spacing w:after="0"/>
              <w:rPr>
                <w:sz w:val="22"/>
                <w:szCs w:val="22"/>
                <w:color w:val="auto"/>
              </w:rPr>
            </w:pPr>
          </w:p>
        </w:tc>
        <w:tc>
          <w:tcPr>
            <w:tcW w:w="1140" w:type="dxa"/>
            <w:vAlign w:val="bottom"/>
            <w:tcBorders>
              <w:bottom w:val="single" w:sz="8" w:color="auto"/>
            </w:tcBorders>
          </w:tcPr>
          <w:p>
            <w:pPr>
              <w:jc w:val="right"/>
              <w:ind w:right="11"/>
              <w:spacing w:after="0"/>
              <w:rPr>
                <w:sz w:val="20"/>
                <w:szCs w:val="20"/>
                <w:color w:val="auto"/>
              </w:rPr>
            </w:pPr>
            <w:r>
              <w:rPr>
                <w:rFonts w:ascii="Arial" w:cs="Arial" w:eastAsia="Arial" w:hAnsi="Arial"/>
                <w:sz w:val="18"/>
                <w:szCs w:val="18"/>
                <w:color w:val="auto"/>
              </w:rPr>
              <w:t>11</w:t>
            </w:r>
          </w:p>
        </w:tc>
      </w:tr>
      <w:tr>
        <w:trPr>
          <w:trHeight w:val="257"/>
        </w:trPr>
        <w:tc>
          <w:tcPr>
            <w:tcW w:w="6740" w:type="dxa"/>
            <w:vAlign w:val="bottom"/>
            <w:shd w:val="clear" w:color="auto" w:fill="CCEEFF"/>
          </w:tcPr>
          <w:p>
            <w:pPr>
              <w:ind w:left="280"/>
              <w:spacing w:after="0"/>
              <w:rPr>
                <w:sz w:val="20"/>
                <w:szCs w:val="20"/>
                <w:color w:val="auto"/>
              </w:rPr>
            </w:pPr>
            <w:r>
              <w:rPr>
                <w:rFonts w:ascii="Arial" w:cs="Arial" w:eastAsia="Arial" w:hAnsi="Arial"/>
                <w:sz w:val="18"/>
                <w:szCs w:val="18"/>
                <w:color w:val="auto"/>
              </w:rPr>
              <w:t>Mainline operating special items, net</w:t>
            </w:r>
          </w:p>
        </w:tc>
        <w:tc>
          <w:tcPr>
            <w:tcW w:w="1000" w:type="dxa"/>
            <w:vAlign w:val="bottom"/>
            <w:shd w:val="clear" w:color="auto" w:fill="CCEEFF"/>
          </w:tcPr>
          <w:p>
            <w:pPr>
              <w:spacing w:after="0"/>
              <w:rPr>
                <w:sz w:val="22"/>
                <w:szCs w:val="22"/>
                <w:color w:val="auto"/>
              </w:rPr>
            </w:pP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635</w:t>
            </w:r>
          </w:p>
        </w:tc>
        <w:tc>
          <w:tcPr>
            <w:tcW w:w="4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360" w:type="dxa"/>
            <w:vAlign w:val="bottom"/>
            <w:shd w:val="clear" w:color="auto" w:fill="CCEEFF"/>
          </w:tcPr>
          <w:p>
            <w:pPr>
              <w:spacing w:after="0"/>
              <w:rPr>
                <w:sz w:val="22"/>
                <w:szCs w:val="22"/>
                <w:color w:val="auto"/>
              </w:rPr>
            </w:pPr>
          </w:p>
        </w:tc>
        <w:tc>
          <w:tcPr>
            <w:tcW w:w="112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787</w:t>
            </w:r>
          </w:p>
        </w:tc>
        <w:tc>
          <w:tcPr>
            <w:tcW w:w="120" w:type="dxa"/>
            <w:vAlign w:val="bottom"/>
            <w:shd w:val="clear" w:color="auto" w:fill="CCEEFF"/>
          </w:tcPr>
          <w:p>
            <w:pPr>
              <w:spacing w:after="0"/>
              <w:rPr>
                <w:sz w:val="22"/>
                <w:szCs w:val="22"/>
                <w:color w:val="auto"/>
              </w:rPr>
            </w:pPr>
          </w:p>
        </w:tc>
        <w:tc>
          <w:tcPr>
            <w:tcW w:w="340" w:type="dxa"/>
            <w:vAlign w:val="bottom"/>
            <w:shd w:val="clear" w:color="auto" w:fill="CCEEFF"/>
          </w:tcPr>
          <w:p>
            <w:pPr>
              <w:spacing w:after="0"/>
              <w:rPr>
                <w:sz w:val="22"/>
                <w:szCs w:val="22"/>
                <w:color w:val="auto"/>
              </w:rPr>
            </w:pPr>
          </w:p>
        </w:tc>
        <w:tc>
          <w:tcPr>
            <w:tcW w:w="114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712</w:t>
            </w:r>
          </w:p>
        </w:tc>
      </w:tr>
      <w:tr>
        <w:trPr>
          <w:trHeight w:val="264"/>
        </w:trPr>
        <w:tc>
          <w:tcPr>
            <w:tcW w:w="6740" w:type="dxa"/>
            <w:vAlign w:val="bottom"/>
            <w:tcBorders>
              <w:bottom w:val="single" w:sz="8" w:color="CCEEFF"/>
            </w:tcBorders>
          </w:tcPr>
          <w:p>
            <w:pPr>
              <w:ind w:left="280"/>
              <w:spacing w:after="0"/>
              <w:rPr>
                <w:sz w:val="20"/>
                <w:szCs w:val="20"/>
                <w:color w:val="auto"/>
              </w:rPr>
            </w:pPr>
            <w:r>
              <w:rPr>
                <w:rFonts w:ascii="Arial" w:cs="Arial" w:eastAsia="Arial" w:hAnsi="Arial"/>
                <w:sz w:val="18"/>
                <w:szCs w:val="18"/>
                <w:color w:val="auto"/>
              </w:rPr>
              <w:t>Regional operating special items, net</w:t>
            </w:r>
          </w:p>
        </w:tc>
        <w:tc>
          <w:tcPr>
            <w:tcW w:w="1000" w:type="dxa"/>
            <w:vAlign w:val="bottom"/>
            <w:tcBorders>
              <w:bottom w:val="single" w:sz="8" w:color="auto"/>
            </w:tcBorders>
          </w:tcPr>
          <w:p>
            <w:pPr>
              <w:spacing w:after="0"/>
              <w:rPr>
                <w:sz w:val="22"/>
                <w:szCs w:val="22"/>
                <w:color w:val="auto"/>
              </w:rPr>
            </w:pPr>
          </w:p>
        </w:tc>
        <w:tc>
          <w:tcPr>
            <w:tcW w:w="4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w:t>
            </w:r>
          </w:p>
        </w:tc>
        <w:tc>
          <w:tcPr>
            <w:tcW w:w="40" w:type="dxa"/>
            <w:vAlign w:val="bottom"/>
            <w:tcBorders>
              <w:bottom w:val="single" w:sz="8" w:color="auto"/>
            </w:tcBorders>
          </w:tcPr>
          <w:p>
            <w:pPr>
              <w:spacing w:after="0"/>
              <w:rPr>
                <w:sz w:val="22"/>
                <w:szCs w:val="22"/>
                <w:color w:val="auto"/>
              </w:rPr>
            </w:pPr>
          </w:p>
        </w:tc>
        <w:tc>
          <w:tcPr>
            <w:tcW w:w="100" w:type="dxa"/>
            <w:vAlign w:val="bottom"/>
            <w:tcBorders>
              <w:bottom w:val="single" w:sz="8" w:color="CCEEFF"/>
            </w:tcBorders>
          </w:tcPr>
          <w:p>
            <w:pPr>
              <w:spacing w:after="0"/>
              <w:rPr>
                <w:sz w:val="22"/>
                <w:szCs w:val="22"/>
                <w:color w:val="auto"/>
              </w:rPr>
            </w:pPr>
          </w:p>
        </w:tc>
        <w:tc>
          <w:tcPr>
            <w:tcW w:w="360" w:type="dxa"/>
            <w:vAlign w:val="bottom"/>
            <w:tcBorders>
              <w:bottom w:val="single" w:sz="8" w:color="auto"/>
            </w:tcBorders>
          </w:tcPr>
          <w:p>
            <w:pPr>
              <w:spacing w:after="0"/>
              <w:rPr>
                <w:sz w:val="22"/>
                <w:szCs w:val="22"/>
                <w:color w:val="auto"/>
              </w:rPr>
            </w:pPr>
          </w:p>
        </w:tc>
        <w:tc>
          <w:tcPr>
            <w:tcW w:w="1120" w:type="dxa"/>
            <w:vAlign w:val="bottom"/>
            <w:tcBorders>
              <w:bottom w:val="single" w:sz="8" w:color="auto"/>
            </w:tcBorders>
          </w:tcPr>
          <w:p>
            <w:pPr>
              <w:jc w:val="right"/>
              <w:ind w:right="11"/>
              <w:spacing w:after="0"/>
              <w:rPr>
                <w:sz w:val="20"/>
                <w:szCs w:val="20"/>
                <w:color w:val="auto"/>
              </w:rPr>
            </w:pPr>
            <w:r>
              <w:rPr>
                <w:rFonts w:ascii="Arial" w:cs="Arial" w:eastAsia="Arial" w:hAnsi="Arial"/>
                <w:sz w:val="18"/>
                <w:szCs w:val="18"/>
                <w:color w:val="auto"/>
              </w:rPr>
              <w:t>6</w:t>
            </w:r>
          </w:p>
        </w:tc>
        <w:tc>
          <w:tcPr>
            <w:tcW w:w="120" w:type="dxa"/>
            <w:vAlign w:val="bottom"/>
            <w:tcBorders>
              <w:bottom w:val="single" w:sz="8" w:color="CCEEFF"/>
            </w:tcBorders>
          </w:tcPr>
          <w:p>
            <w:pPr>
              <w:spacing w:after="0"/>
              <w:rPr>
                <w:sz w:val="22"/>
                <w:szCs w:val="22"/>
                <w:color w:val="auto"/>
              </w:rPr>
            </w:pPr>
          </w:p>
        </w:tc>
        <w:tc>
          <w:tcPr>
            <w:tcW w:w="340" w:type="dxa"/>
            <w:vAlign w:val="bottom"/>
            <w:tcBorders>
              <w:bottom w:val="single" w:sz="8" w:color="auto"/>
            </w:tcBorders>
          </w:tcPr>
          <w:p>
            <w:pPr>
              <w:spacing w:after="0"/>
              <w:rPr>
                <w:sz w:val="22"/>
                <w:szCs w:val="22"/>
                <w:color w:val="auto"/>
              </w:rPr>
            </w:pPr>
          </w:p>
        </w:tc>
        <w:tc>
          <w:tcPr>
            <w:tcW w:w="1140" w:type="dxa"/>
            <w:vAlign w:val="bottom"/>
            <w:tcBorders>
              <w:bottom w:val="single" w:sz="8" w:color="auto"/>
            </w:tcBorders>
          </w:tcPr>
          <w:p>
            <w:pPr>
              <w:jc w:val="right"/>
              <w:ind w:right="11"/>
              <w:spacing w:after="0"/>
              <w:rPr>
                <w:sz w:val="20"/>
                <w:szCs w:val="20"/>
                <w:color w:val="auto"/>
              </w:rPr>
            </w:pPr>
            <w:r>
              <w:rPr>
                <w:rFonts w:ascii="Arial" w:cs="Arial" w:eastAsia="Arial" w:hAnsi="Arial"/>
                <w:sz w:val="18"/>
                <w:szCs w:val="18"/>
                <w:color w:val="auto"/>
              </w:rPr>
              <w:t>22</w:t>
            </w:r>
          </w:p>
        </w:tc>
      </w:tr>
      <w:tr>
        <w:trPr>
          <w:trHeight w:val="257"/>
        </w:trPr>
        <w:tc>
          <w:tcPr>
            <w:tcW w:w="6740" w:type="dxa"/>
            <w:vAlign w:val="bottom"/>
            <w:shd w:val="clear" w:color="auto" w:fill="CCEEFF"/>
          </w:tcPr>
          <w:p>
            <w:pPr>
              <w:ind w:left="500"/>
              <w:spacing w:after="0"/>
              <w:rPr>
                <w:sz w:val="20"/>
                <w:szCs w:val="20"/>
                <w:color w:val="auto"/>
              </w:rPr>
            </w:pPr>
            <w:r>
              <w:rPr>
                <w:rFonts w:ascii="Arial" w:cs="Arial" w:eastAsia="Arial" w:hAnsi="Arial"/>
                <w:sz w:val="18"/>
                <w:szCs w:val="18"/>
                <w:color w:val="auto"/>
              </w:rPr>
              <w:t>Operating special items, net</w:t>
            </w:r>
          </w:p>
        </w:tc>
        <w:tc>
          <w:tcPr>
            <w:tcW w:w="1000" w:type="dxa"/>
            <w:vAlign w:val="bottom"/>
            <w:shd w:val="clear" w:color="auto" w:fill="CCEEFF"/>
          </w:tcPr>
          <w:p>
            <w:pPr>
              <w:spacing w:after="0"/>
              <w:rPr>
                <w:sz w:val="22"/>
                <w:szCs w:val="22"/>
                <w:color w:val="auto"/>
              </w:rPr>
            </w:pP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641</w:t>
            </w:r>
          </w:p>
        </w:tc>
        <w:tc>
          <w:tcPr>
            <w:tcW w:w="4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360" w:type="dxa"/>
            <w:vAlign w:val="bottom"/>
            <w:shd w:val="clear" w:color="auto" w:fill="CCEEFF"/>
          </w:tcPr>
          <w:p>
            <w:pPr>
              <w:spacing w:after="0"/>
              <w:rPr>
                <w:sz w:val="22"/>
                <w:szCs w:val="22"/>
                <w:color w:val="auto"/>
              </w:rPr>
            </w:pPr>
          </w:p>
        </w:tc>
        <w:tc>
          <w:tcPr>
            <w:tcW w:w="112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793</w:t>
            </w:r>
          </w:p>
        </w:tc>
        <w:tc>
          <w:tcPr>
            <w:tcW w:w="120" w:type="dxa"/>
            <w:vAlign w:val="bottom"/>
            <w:shd w:val="clear" w:color="auto" w:fill="CCEEFF"/>
          </w:tcPr>
          <w:p>
            <w:pPr>
              <w:spacing w:after="0"/>
              <w:rPr>
                <w:sz w:val="22"/>
                <w:szCs w:val="22"/>
                <w:color w:val="auto"/>
              </w:rPr>
            </w:pPr>
          </w:p>
        </w:tc>
        <w:tc>
          <w:tcPr>
            <w:tcW w:w="340" w:type="dxa"/>
            <w:vAlign w:val="bottom"/>
            <w:shd w:val="clear" w:color="auto" w:fill="CCEEFF"/>
          </w:tcPr>
          <w:p>
            <w:pPr>
              <w:spacing w:after="0"/>
              <w:rPr>
                <w:sz w:val="22"/>
                <w:szCs w:val="22"/>
                <w:color w:val="auto"/>
              </w:rPr>
            </w:pPr>
          </w:p>
        </w:tc>
        <w:tc>
          <w:tcPr>
            <w:tcW w:w="114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734</w:t>
            </w:r>
          </w:p>
        </w:tc>
      </w:tr>
      <w:tr>
        <w:trPr>
          <w:trHeight w:val="324"/>
        </w:trPr>
        <w:tc>
          <w:tcPr>
            <w:tcW w:w="674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140" w:type="dxa"/>
            <w:vAlign w:val="bottom"/>
          </w:tcPr>
          <w:p>
            <w:pPr>
              <w:spacing w:after="0"/>
              <w:rPr>
                <w:sz w:val="24"/>
                <w:szCs w:val="24"/>
                <w:color w:val="auto"/>
              </w:rPr>
            </w:pPr>
          </w:p>
        </w:tc>
      </w:tr>
      <w:tr>
        <w:trPr>
          <w:trHeight w:val="270"/>
        </w:trPr>
        <w:tc>
          <w:tcPr>
            <w:tcW w:w="6740" w:type="dxa"/>
            <w:vAlign w:val="bottom"/>
            <w:shd w:val="clear" w:color="auto" w:fill="CCEEFF"/>
          </w:tcPr>
          <w:p>
            <w:pPr>
              <w:ind w:left="40"/>
              <w:spacing w:after="0"/>
              <w:rPr>
                <w:sz w:val="20"/>
                <w:szCs w:val="20"/>
                <w:color w:val="auto"/>
              </w:rPr>
            </w:pPr>
            <w:r>
              <w:rPr>
                <w:rFonts w:ascii="Arial" w:cs="Arial" w:eastAsia="Arial" w:hAnsi="Arial"/>
                <w:sz w:val="18"/>
                <w:szCs w:val="18"/>
                <w:color w:val="auto"/>
              </w:rPr>
              <w:t>Debt refinancing and extinguishment charges</w:t>
            </w:r>
          </w:p>
        </w:tc>
        <w:tc>
          <w:tcPr>
            <w:tcW w:w="1000" w:type="dxa"/>
            <w:vAlign w:val="bottom"/>
            <w:shd w:val="clear" w:color="auto" w:fill="CCEEFF"/>
          </w:tcPr>
          <w:p>
            <w:pPr>
              <w:spacing w:after="0"/>
              <w:rPr>
                <w:sz w:val="23"/>
                <w:szCs w:val="23"/>
                <w:color w:val="auto"/>
              </w:rPr>
            </w:pP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w:t>
            </w:r>
          </w:p>
        </w:tc>
        <w:tc>
          <w:tcPr>
            <w:tcW w:w="4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360" w:type="dxa"/>
            <w:vAlign w:val="bottom"/>
            <w:shd w:val="clear" w:color="auto" w:fill="CCEEFF"/>
          </w:tcPr>
          <w:p>
            <w:pPr>
              <w:spacing w:after="0"/>
              <w:rPr>
                <w:sz w:val="23"/>
                <w:szCs w:val="23"/>
                <w:color w:val="auto"/>
              </w:rPr>
            </w:pPr>
          </w:p>
        </w:tc>
        <w:tc>
          <w:tcPr>
            <w:tcW w:w="112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13</w:t>
            </w:r>
          </w:p>
        </w:tc>
        <w:tc>
          <w:tcPr>
            <w:tcW w:w="120" w:type="dxa"/>
            <w:vAlign w:val="bottom"/>
            <w:shd w:val="clear" w:color="auto" w:fill="CCEEFF"/>
          </w:tcPr>
          <w:p>
            <w:pPr>
              <w:spacing w:after="0"/>
              <w:rPr>
                <w:sz w:val="23"/>
                <w:szCs w:val="23"/>
                <w:color w:val="auto"/>
              </w:rPr>
            </w:pPr>
          </w:p>
        </w:tc>
        <w:tc>
          <w:tcPr>
            <w:tcW w:w="340" w:type="dxa"/>
            <w:vAlign w:val="bottom"/>
            <w:shd w:val="clear" w:color="auto" w:fill="CCEEFF"/>
          </w:tcPr>
          <w:p>
            <w:pPr>
              <w:spacing w:after="0"/>
              <w:rPr>
                <w:sz w:val="23"/>
                <w:szCs w:val="23"/>
                <w:color w:val="auto"/>
              </w:rPr>
            </w:pPr>
          </w:p>
        </w:tc>
        <w:tc>
          <w:tcPr>
            <w:tcW w:w="114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22</w:t>
            </w:r>
          </w:p>
        </w:tc>
      </w:tr>
      <w:tr>
        <w:trPr>
          <w:trHeight w:val="270"/>
        </w:trPr>
        <w:tc>
          <w:tcPr>
            <w:tcW w:w="6740" w:type="dxa"/>
            <w:vAlign w:val="bottom"/>
          </w:tcPr>
          <w:p>
            <w:pPr>
              <w:ind w:left="40"/>
              <w:spacing w:after="0"/>
              <w:rPr>
                <w:sz w:val="20"/>
                <w:szCs w:val="20"/>
                <w:color w:val="auto"/>
              </w:rPr>
            </w:pPr>
            <w:r>
              <w:rPr>
                <w:rFonts w:ascii="Arial" w:cs="Arial" w:eastAsia="Arial" w:hAnsi="Arial"/>
                <w:sz w:val="18"/>
                <w:szCs w:val="18"/>
                <w:color w:val="auto"/>
              </w:rPr>
              <w:t xml:space="preserve">Mark-to-market adjustments on equity and other investments, net </w:t>
            </w:r>
            <w:r>
              <w:rPr>
                <w:rFonts w:ascii="Arial" w:cs="Arial" w:eastAsia="Arial" w:hAnsi="Arial"/>
                <w:sz w:val="21"/>
                <w:szCs w:val="21"/>
                <w:color w:val="auto"/>
                <w:vertAlign w:val="superscript"/>
              </w:rPr>
              <w:t>(8)</w:t>
            </w:r>
          </w:p>
        </w:tc>
        <w:tc>
          <w:tcPr>
            <w:tcW w:w="1000" w:type="dxa"/>
            <w:vAlign w:val="bottom"/>
          </w:tcPr>
          <w:p>
            <w:pPr>
              <w:spacing w:after="0"/>
              <w:rPr>
                <w:sz w:val="23"/>
                <w:szCs w:val="23"/>
                <w:color w:val="auto"/>
              </w:rPr>
            </w:pPr>
          </w:p>
        </w:tc>
        <w:tc>
          <w:tcPr>
            <w:tcW w:w="460" w:type="dxa"/>
            <w:vAlign w:val="bottom"/>
          </w:tcPr>
          <w:p>
            <w:pPr>
              <w:jc w:val="right"/>
              <w:spacing w:after="0"/>
              <w:rPr>
                <w:sz w:val="20"/>
                <w:szCs w:val="20"/>
                <w:color w:val="auto"/>
              </w:rPr>
            </w:pPr>
            <w:r>
              <w:rPr>
                <w:rFonts w:ascii="Arial" w:cs="Arial" w:eastAsia="Arial" w:hAnsi="Arial"/>
                <w:sz w:val="18"/>
                <w:szCs w:val="18"/>
                <w:color w:val="auto"/>
              </w:rPr>
              <w:t>(5)</w:t>
            </w:r>
          </w:p>
        </w:tc>
        <w:tc>
          <w:tcPr>
            <w:tcW w:w="4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360" w:type="dxa"/>
            <w:vAlign w:val="bottom"/>
          </w:tcPr>
          <w:p>
            <w:pPr>
              <w:spacing w:after="0"/>
              <w:rPr>
                <w:sz w:val="23"/>
                <w:szCs w:val="23"/>
                <w:color w:val="auto"/>
              </w:rPr>
            </w:pPr>
          </w:p>
        </w:tc>
        <w:tc>
          <w:tcPr>
            <w:tcW w:w="1120" w:type="dxa"/>
            <w:vAlign w:val="bottom"/>
          </w:tcPr>
          <w:p>
            <w:pPr>
              <w:jc w:val="right"/>
              <w:ind w:right="11"/>
              <w:spacing w:after="0"/>
              <w:rPr>
                <w:sz w:val="20"/>
                <w:szCs w:val="20"/>
                <w:color w:val="auto"/>
              </w:rPr>
            </w:pPr>
            <w:r>
              <w:rPr>
                <w:rFonts w:ascii="Arial" w:cs="Arial" w:eastAsia="Arial" w:hAnsi="Arial"/>
                <w:sz w:val="18"/>
                <w:szCs w:val="18"/>
                <w:color w:val="auto"/>
              </w:rPr>
              <w:t>104</w:t>
            </w:r>
          </w:p>
        </w:tc>
        <w:tc>
          <w:tcPr>
            <w:tcW w:w="12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1140" w:type="dxa"/>
            <w:vAlign w:val="bottom"/>
          </w:tcPr>
          <w:p>
            <w:pPr>
              <w:jc w:val="right"/>
              <w:ind w:right="11"/>
              <w:spacing w:after="0"/>
              <w:rPr>
                <w:sz w:val="20"/>
                <w:szCs w:val="20"/>
                <w:color w:val="auto"/>
              </w:rPr>
            </w:pPr>
            <w:r>
              <w:rPr>
                <w:rFonts w:ascii="Arial" w:cs="Arial" w:eastAsia="Arial" w:hAnsi="Arial"/>
                <w:sz w:val="18"/>
                <w:szCs w:val="18"/>
                <w:color w:val="auto"/>
              </w:rPr>
              <w:t>—</w:t>
            </w:r>
          </w:p>
        </w:tc>
      </w:tr>
      <w:tr>
        <w:trPr>
          <w:trHeight w:val="264"/>
        </w:trPr>
        <w:tc>
          <w:tcPr>
            <w:tcW w:w="6740" w:type="dxa"/>
            <w:vAlign w:val="bottom"/>
            <w:shd w:val="clear" w:color="auto" w:fill="CCEEFF"/>
          </w:tcPr>
          <w:p>
            <w:pPr>
              <w:ind w:left="40"/>
              <w:spacing w:after="0"/>
              <w:rPr>
                <w:sz w:val="20"/>
                <w:szCs w:val="20"/>
                <w:color w:val="auto"/>
              </w:rPr>
            </w:pPr>
            <w:r>
              <w:rPr>
                <w:rFonts w:ascii="Arial" w:cs="Arial" w:eastAsia="Arial" w:hAnsi="Arial"/>
                <w:sz w:val="18"/>
                <w:szCs w:val="18"/>
                <w:color w:val="auto"/>
              </w:rPr>
              <w:t>Other nonoperating income, net</w:t>
            </w:r>
          </w:p>
        </w:tc>
        <w:tc>
          <w:tcPr>
            <w:tcW w:w="1000" w:type="dxa"/>
            <w:vAlign w:val="bottom"/>
            <w:tcBorders>
              <w:bottom w:val="single" w:sz="8" w:color="auto"/>
            </w:tcBorders>
            <w:shd w:val="clear" w:color="auto" w:fill="CCEEFF"/>
          </w:tcPr>
          <w:p>
            <w:pPr>
              <w:spacing w:after="0"/>
              <w:rPr>
                <w:sz w:val="22"/>
                <w:szCs w:val="22"/>
                <w:color w:val="auto"/>
              </w:rPr>
            </w:pPr>
          </w:p>
        </w:tc>
        <w:tc>
          <w:tcPr>
            <w:tcW w:w="4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w:t>
            </w:r>
          </w:p>
        </w:tc>
        <w:tc>
          <w:tcPr>
            <w:tcW w:w="40" w:type="dxa"/>
            <w:vAlign w:val="bottom"/>
            <w:tcBorders>
              <w:bottom w:val="single" w:sz="8" w:color="auto"/>
            </w:tcBorders>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360" w:type="dxa"/>
            <w:vAlign w:val="bottom"/>
            <w:tcBorders>
              <w:bottom w:val="single" w:sz="8" w:color="auto"/>
            </w:tcBorders>
            <w:shd w:val="clear" w:color="auto" w:fill="CCEEFF"/>
          </w:tcPr>
          <w:p>
            <w:pPr>
              <w:spacing w:after="0"/>
              <w:rPr>
                <w:sz w:val="22"/>
                <w:szCs w:val="22"/>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w:t>
            </w:r>
          </w:p>
        </w:tc>
        <w:tc>
          <w:tcPr>
            <w:tcW w:w="120" w:type="dxa"/>
            <w:vAlign w:val="bottom"/>
            <w:shd w:val="clear" w:color="auto" w:fill="CCEEFF"/>
          </w:tcPr>
          <w:p>
            <w:pPr>
              <w:spacing w:after="0"/>
              <w:rPr>
                <w:sz w:val="22"/>
                <w:szCs w:val="22"/>
                <w:color w:val="auto"/>
              </w:rPr>
            </w:pPr>
          </w:p>
        </w:tc>
        <w:tc>
          <w:tcPr>
            <w:tcW w:w="340" w:type="dxa"/>
            <w:vAlign w:val="bottom"/>
            <w:tcBorders>
              <w:bottom w:val="single" w:sz="8" w:color="auto"/>
            </w:tcBorders>
            <w:shd w:val="clear" w:color="auto" w:fill="CCEEFF"/>
          </w:tcPr>
          <w:p>
            <w:pPr>
              <w:spacing w:after="0"/>
              <w:rPr>
                <w:sz w:val="22"/>
                <w:szCs w:val="22"/>
                <w:color w:val="auto"/>
              </w:rPr>
            </w:pPr>
          </w:p>
        </w:tc>
        <w:tc>
          <w:tcPr>
            <w:tcW w:w="1140" w:type="dxa"/>
            <w:vAlign w:val="bottom"/>
            <w:tcBorders>
              <w:bottom w:val="single" w:sz="8" w:color="auto"/>
            </w:tcBorders>
            <w:shd w:val="clear" w:color="auto" w:fill="CCEEFF"/>
          </w:tcPr>
          <w:p>
            <w:pPr>
              <w:jc w:val="right"/>
              <w:ind w:right="11"/>
              <w:spacing w:after="0"/>
              <w:rPr>
                <w:sz w:val="20"/>
                <w:szCs w:val="20"/>
                <w:color w:val="auto"/>
              </w:rPr>
            </w:pPr>
            <w:r>
              <w:rPr>
                <w:rFonts w:ascii="Arial" w:cs="Arial" w:eastAsia="Arial" w:hAnsi="Arial"/>
                <w:sz w:val="18"/>
                <w:szCs w:val="18"/>
                <w:color w:val="auto"/>
              </w:rPr>
              <w:t>—</w:t>
            </w:r>
          </w:p>
        </w:tc>
      </w:tr>
      <w:tr>
        <w:trPr>
          <w:trHeight w:val="250"/>
        </w:trPr>
        <w:tc>
          <w:tcPr>
            <w:tcW w:w="6740" w:type="dxa"/>
            <w:vAlign w:val="bottom"/>
          </w:tcPr>
          <w:p>
            <w:pPr>
              <w:ind w:left="500"/>
              <w:spacing w:after="0"/>
              <w:rPr>
                <w:sz w:val="20"/>
                <w:szCs w:val="20"/>
                <w:color w:val="auto"/>
              </w:rPr>
            </w:pPr>
            <w:r>
              <w:rPr>
                <w:rFonts w:ascii="Arial" w:cs="Arial" w:eastAsia="Arial" w:hAnsi="Arial"/>
                <w:sz w:val="18"/>
                <w:szCs w:val="18"/>
                <w:color w:val="auto"/>
              </w:rPr>
              <w:t>Nonoperating special items, net</w:t>
            </w:r>
          </w:p>
        </w:tc>
        <w:tc>
          <w:tcPr>
            <w:tcW w:w="1000" w:type="dxa"/>
            <w:vAlign w:val="bottom"/>
          </w:tcPr>
          <w:p>
            <w:pPr>
              <w:spacing w:after="0"/>
              <w:rPr>
                <w:sz w:val="21"/>
                <w:szCs w:val="21"/>
                <w:color w:val="auto"/>
              </w:rPr>
            </w:pPr>
          </w:p>
        </w:tc>
        <w:tc>
          <w:tcPr>
            <w:tcW w:w="460" w:type="dxa"/>
            <w:vAlign w:val="bottom"/>
          </w:tcPr>
          <w:p>
            <w:pPr>
              <w:jc w:val="right"/>
              <w:spacing w:after="0"/>
              <w:rPr>
                <w:sz w:val="20"/>
                <w:szCs w:val="20"/>
                <w:color w:val="auto"/>
              </w:rPr>
            </w:pPr>
            <w:r>
              <w:rPr>
                <w:rFonts w:ascii="Arial" w:cs="Arial" w:eastAsia="Arial" w:hAnsi="Arial"/>
                <w:sz w:val="18"/>
                <w:szCs w:val="18"/>
                <w:color w:val="auto"/>
              </w:rPr>
              <w:t>3</w:t>
            </w:r>
          </w:p>
        </w:tc>
        <w:tc>
          <w:tcPr>
            <w:tcW w:w="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jc w:val="right"/>
              <w:ind w:right="11"/>
              <w:spacing w:after="0"/>
              <w:rPr>
                <w:sz w:val="20"/>
                <w:szCs w:val="20"/>
                <w:color w:val="auto"/>
              </w:rPr>
            </w:pPr>
            <w:r>
              <w:rPr>
                <w:rFonts w:ascii="Arial" w:cs="Arial" w:eastAsia="Arial" w:hAnsi="Arial"/>
                <w:sz w:val="18"/>
                <w:szCs w:val="18"/>
                <w:color w:val="auto"/>
              </w:rPr>
              <w:t>113</w:t>
            </w:r>
          </w:p>
        </w:tc>
        <w:tc>
          <w:tcPr>
            <w:tcW w:w="12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40" w:type="dxa"/>
            <w:vAlign w:val="bottom"/>
          </w:tcPr>
          <w:p>
            <w:pPr>
              <w:jc w:val="right"/>
              <w:ind w:right="11"/>
              <w:spacing w:after="0"/>
              <w:rPr>
                <w:sz w:val="20"/>
                <w:szCs w:val="20"/>
                <w:color w:val="auto"/>
              </w:rPr>
            </w:pPr>
            <w:r>
              <w:rPr>
                <w:rFonts w:ascii="Arial" w:cs="Arial" w:eastAsia="Arial" w:hAnsi="Arial"/>
                <w:sz w:val="18"/>
                <w:szCs w:val="18"/>
                <w:color w:val="auto"/>
              </w:rPr>
              <w:t>22</w:t>
            </w:r>
          </w:p>
        </w:tc>
      </w:tr>
      <w:tr>
        <w:trPr>
          <w:trHeight w:val="331"/>
        </w:trPr>
        <w:tc>
          <w:tcPr>
            <w:tcW w:w="6740" w:type="dxa"/>
            <w:vAlign w:val="bottom"/>
            <w:shd w:val="clear" w:color="auto" w:fill="CCEEFF"/>
          </w:tcPr>
          <w:p>
            <w:pPr>
              <w:spacing w:after="0"/>
              <w:rPr>
                <w:sz w:val="24"/>
                <w:szCs w:val="24"/>
                <w:color w:val="auto"/>
              </w:rPr>
            </w:pPr>
          </w:p>
        </w:tc>
        <w:tc>
          <w:tcPr>
            <w:tcW w:w="1000" w:type="dxa"/>
            <w:vAlign w:val="bottom"/>
            <w:shd w:val="clear" w:color="auto" w:fill="CCEEFF"/>
          </w:tcPr>
          <w:p>
            <w:pPr>
              <w:spacing w:after="0"/>
              <w:rPr>
                <w:sz w:val="24"/>
                <w:szCs w:val="24"/>
                <w:color w:val="auto"/>
              </w:rPr>
            </w:pPr>
          </w:p>
        </w:tc>
        <w:tc>
          <w:tcPr>
            <w:tcW w:w="460" w:type="dxa"/>
            <w:vAlign w:val="bottom"/>
            <w:shd w:val="clear" w:color="auto" w:fill="CCEEFF"/>
          </w:tcPr>
          <w:p>
            <w:pPr>
              <w:spacing w:after="0"/>
              <w:rPr>
                <w:sz w:val="24"/>
                <w:szCs w:val="24"/>
                <w:color w:val="auto"/>
              </w:rPr>
            </w:pPr>
          </w:p>
        </w:tc>
        <w:tc>
          <w:tcPr>
            <w:tcW w:w="4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360" w:type="dxa"/>
            <w:vAlign w:val="bottom"/>
            <w:shd w:val="clear" w:color="auto" w:fill="CCEEFF"/>
          </w:tcPr>
          <w:p>
            <w:pPr>
              <w:spacing w:after="0"/>
              <w:rPr>
                <w:sz w:val="24"/>
                <w:szCs w:val="24"/>
                <w:color w:val="auto"/>
              </w:rPr>
            </w:pPr>
          </w:p>
        </w:tc>
        <w:tc>
          <w:tcPr>
            <w:tcW w:w="112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340" w:type="dxa"/>
            <w:vAlign w:val="bottom"/>
            <w:shd w:val="clear" w:color="auto" w:fill="CCEEFF"/>
          </w:tcPr>
          <w:p>
            <w:pPr>
              <w:spacing w:after="0"/>
              <w:rPr>
                <w:sz w:val="24"/>
                <w:szCs w:val="24"/>
                <w:color w:val="auto"/>
              </w:rPr>
            </w:pPr>
          </w:p>
        </w:tc>
        <w:tc>
          <w:tcPr>
            <w:tcW w:w="1140" w:type="dxa"/>
            <w:vAlign w:val="bottom"/>
            <w:shd w:val="clear" w:color="auto" w:fill="CCEEFF"/>
          </w:tcPr>
          <w:p>
            <w:pPr>
              <w:spacing w:after="0"/>
              <w:rPr>
                <w:sz w:val="24"/>
                <w:szCs w:val="24"/>
                <w:color w:val="auto"/>
              </w:rPr>
            </w:pPr>
          </w:p>
        </w:tc>
      </w:tr>
      <w:tr>
        <w:trPr>
          <w:trHeight w:val="270"/>
        </w:trPr>
        <w:tc>
          <w:tcPr>
            <w:tcW w:w="6740" w:type="dxa"/>
            <w:vAlign w:val="bottom"/>
          </w:tcPr>
          <w:p>
            <w:pPr>
              <w:ind w:left="40"/>
              <w:spacing w:after="0"/>
              <w:rPr>
                <w:sz w:val="20"/>
                <w:szCs w:val="20"/>
                <w:color w:val="auto"/>
              </w:rPr>
            </w:pPr>
            <w:r>
              <w:rPr>
                <w:rFonts w:ascii="Arial" w:cs="Arial" w:eastAsia="Arial" w:hAnsi="Arial"/>
                <w:sz w:val="18"/>
                <w:szCs w:val="18"/>
                <w:color w:val="auto"/>
              </w:rPr>
              <w:t xml:space="preserve">Income tax special items </w:t>
            </w:r>
            <w:r>
              <w:rPr>
                <w:rFonts w:ascii="Arial" w:cs="Arial" w:eastAsia="Arial" w:hAnsi="Arial"/>
                <w:sz w:val="21"/>
                <w:szCs w:val="21"/>
                <w:color w:val="auto"/>
                <w:vertAlign w:val="superscript"/>
              </w:rPr>
              <w:t>(9)</w:t>
            </w:r>
          </w:p>
        </w:tc>
        <w:tc>
          <w:tcPr>
            <w:tcW w:w="1000" w:type="dxa"/>
            <w:vAlign w:val="bottom"/>
          </w:tcPr>
          <w:p>
            <w:pPr>
              <w:spacing w:after="0"/>
              <w:rPr>
                <w:sz w:val="23"/>
                <w:szCs w:val="23"/>
                <w:color w:val="auto"/>
              </w:rPr>
            </w:pPr>
          </w:p>
        </w:tc>
        <w:tc>
          <w:tcPr>
            <w:tcW w:w="460" w:type="dxa"/>
            <w:vAlign w:val="bottom"/>
          </w:tcPr>
          <w:p>
            <w:pPr>
              <w:jc w:val="right"/>
              <w:spacing w:after="0"/>
              <w:rPr>
                <w:sz w:val="20"/>
                <w:szCs w:val="20"/>
                <w:color w:val="auto"/>
              </w:rPr>
            </w:pPr>
            <w:r>
              <w:rPr>
                <w:rFonts w:ascii="Arial" w:cs="Arial" w:eastAsia="Arial" w:hAnsi="Arial"/>
                <w:sz w:val="18"/>
                <w:szCs w:val="18"/>
                <w:color w:val="auto"/>
              </w:rPr>
              <w:t>—</w:t>
            </w:r>
          </w:p>
        </w:tc>
        <w:tc>
          <w:tcPr>
            <w:tcW w:w="4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360" w:type="dxa"/>
            <w:vAlign w:val="bottom"/>
          </w:tcPr>
          <w:p>
            <w:pPr>
              <w:spacing w:after="0"/>
              <w:rPr>
                <w:sz w:val="23"/>
                <w:szCs w:val="23"/>
                <w:color w:val="auto"/>
              </w:rPr>
            </w:pPr>
          </w:p>
        </w:tc>
        <w:tc>
          <w:tcPr>
            <w:tcW w:w="1120" w:type="dxa"/>
            <w:vAlign w:val="bottom"/>
          </w:tcPr>
          <w:p>
            <w:pPr>
              <w:jc w:val="right"/>
              <w:ind w:right="11"/>
              <w:spacing w:after="0"/>
              <w:rPr>
                <w:sz w:val="20"/>
                <w:szCs w:val="20"/>
                <w:color w:val="auto"/>
              </w:rPr>
            </w:pPr>
            <w:r>
              <w:rPr>
                <w:rFonts w:ascii="Arial" w:cs="Arial" w:eastAsia="Arial" w:hAnsi="Arial"/>
                <w:sz w:val="18"/>
                <w:szCs w:val="18"/>
                <w:color w:val="auto"/>
              </w:rPr>
              <w:t>18</w:t>
            </w:r>
          </w:p>
        </w:tc>
        <w:tc>
          <w:tcPr>
            <w:tcW w:w="12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1140" w:type="dxa"/>
            <w:vAlign w:val="bottom"/>
          </w:tcPr>
          <w:p>
            <w:pPr>
              <w:jc w:val="right"/>
              <w:ind w:right="11"/>
              <w:spacing w:after="0"/>
              <w:rPr>
                <w:sz w:val="20"/>
                <w:szCs w:val="20"/>
                <w:color w:val="auto"/>
              </w:rPr>
            </w:pPr>
            <w:r>
              <w:rPr>
                <w:rFonts w:ascii="Arial" w:cs="Arial" w:eastAsia="Arial" w:hAnsi="Arial"/>
                <w:sz w:val="18"/>
                <w:szCs w:val="18"/>
                <w:color w:val="auto"/>
              </w:rPr>
              <w:t>—</w:t>
            </w:r>
          </w:p>
        </w:tc>
      </w:tr>
      <w:tr>
        <w:trPr>
          <w:trHeight w:val="270"/>
        </w:trPr>
        <w:tc>
          <w:tcPr>
            <w:tcW w:w="6740" w:type="dxa"/>
            <w:vAlign w:val="bottom"/>
            <w:shd w:val="clear" w:color="auto" w:fill="CCEEFF"/>
          </w:tcPr>
          <w:p>
            <w:pPr>
              <w:ind w:left="40"/>
              <w:spacing w:after="0"/>
              <w:rPr>
                <w:sz w:val="20"/>
                <w:szCs w:val="20"/>
                <w:color w:val="auto"/>
              </w:rPr>
            </w:pPr>
            <w:r>
              <w:rPr>
                <w:rFonts w:ascii="Arial" w:cs="Arial" w:eastAsia="Arial" w:hAnsi="Arial"/>
                <w:sz w:val="18"/>
                <w:szCs w:val="18"/>
                <w:color w:val="auto"/>
              </w:rPr>
              <w:t xml:space="preserve">Impact of the 2017 Tax Act </w:t>
            </w:r>
            <w:r>
              <w:rPr>
                <w:rFonts w:ascii="Arial" w:cs="Arial" w:eastAsia="Arial" w:hAnsi="Arial"/>
                <w:sz w:val="21"/>
                <w:szCs w:val="21"/>
                <w:color w:val="auto"/>
                <w:vertAlign w:val="superscript"/>
              </w:rPr>
              <w:t>(10)</w:t>
            </w:r>
          </w:p>
        </w:tc>
        <w:tc>
          <w:tcPr>
            <w:tcW w:w="1000" w:type="dxa"/>
            <w:vAlign w:val="bottom"/>
            <w:shd w:val="clear" w:color="auto" w:fill="CCEEFF"/>
          </w:tcPr>
          <w:p>
            <w:pPr>
              <w:spacing w:after="0"/>
              <w:rPr>
                <w:sz w:val="23"/>
                <w:szCs w:val="23"/>
                <w:color w:val="auto"/>
              </w:rPr>
            </w:pP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4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360" w:type="dxa"/>
            <w:vAlign w:val="bottom"/>
            <w:shd w:val="clear" w:color="auto" w:fill="CCEEFF"/>
          </w:tcPr>
          <w:p>
            <w:pPr>
              <w:spacing w:after="0"/>
              <w:rPr>
                <w:sz w:val="23"/>
                <w:szCs w:val="23"/>
                <w:color w:val="auto"/>
              </w:rPr>
            </w:pPr>
          </w:p>
        </w:tc>
        <w:tc>
          <w:tcPr>
            <w:tcW w:w="12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340" w:type="dxa"/>
            <w:vAlign w:val="bottom"/>
            <w:shd w:val="clear" w:color="auto" w:fill="CCEEFF"/>
          </w:tcPr>
          <w:p>
            <w:pPr>
              <w:spacing w:after="0"/>
              <w:rPr>
                <w:sz w:val="23"/>
                <w:szCs w:val="23"/>
                <w:color w:val="auto"/>
              </w:rPr>
            </w:pPr>
          </w:p>
        </w:tc>
        <w:tc>
          <w:tcPr>
            <w:tcW w:w="114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823</w:t>
            </w:r>
          </w:p>
        </w:tc>
      </w:tr>
      <w:tr>
        <w:trPr>
          <w:trHeight w:val="237"/>
        </w:trPr>
        <w:tc>
          <w:tcPr>
            <w:tcW w:w="6740" w:type="dxa"/>
            <w:vAlign w:val="bottom"/>
          </w:tcPr>
          <w:p>
            <w:pPr>
              <w:ind w:left="500"/>
              <w:spacing w:after="0"/>
              <w:rPr>
                <w:sz w:val="20"/>
                <w:szCs w:val="20"/>
                <w:color w:val="auto"/>
              </w:rPr>
            </w:pPr>
            <w:r>
              <w:rPr>
                <w:rFonts w:ascii="Arial" w:cs="Arial" w:eastAsia="Arial" w:hAnsi="Arial"/>
                <w:sz w:val="18"/>
                <w:szCs w:val="18"/>
                <w:color w:val="auto"/>
              </w:rPr>
              <w:t>Income tax special items, net</w:t>
            </w:r>
          </w:p>
        </w:tc>
        <w:tc>
          <w:tcPr>
            <w:tcW w:w="1000" w:type="dxa"/>
            <w:vAlign w:val="bottom"/>
            <w:tcBorders>
              <w:top w:val="single" w:sz="8" w:color="auto"/>
            </w:tcBorders>
          </w:tcPr>
          <w:p>
            <w:pPr>
              <w:spacing w:after="0"/>
              <w:rPr>
                <w:sz w:val="20"/>
                <w:szCs w:val="20"/>
                <w:color w:val="auto"/>
              </w:rPr>
            </w:pPr>
          </w:p>
        </w:tc>
        <w:tc>
          <w:tcPr>
            <w:tcW w:w="4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40" w:type="dxa"/>
            <w:vAlign w:val="bottom"/>
            <w:tcBorders>
              <w:top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360" w:type="dxa"/>
            <w:vAlign w:val="bottom"/>
            <w:tcBorders>
              <w:top w:val="single" w:sz="8" w:color="auto"/>
            </w:tcBorders>
          </w:tcPr>
          <w:p>
            <w:pPr>
              <w:spacing w:after="0"/>
              <w:rPr>
                <w:sz w:val="20"/>
                <w:szCs w:val="20"/>
                <w:color w:val="auto"/>
              </w:rPr>
            </w:pPr>
          </w:p>
        </w:tc>
        <w:tc>
          <w:tcPr>
            <w:tcW w:w="112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18</w:t>
            </w:r>
          </w:p>
        </w:tc>
        <w:tc>
          <w:tcPr>
            <w:tcW w:w="120" w:type="dxa"/>
            <w:vAlign w:val="bottom"/>
          </w:tcPr>
          <w:p>
            <w:pPr>
              <w:spacing w:after="0"/>
              <w:rPr>
                <w:sz w:val="20"/>
                <w:szCs w:val="20"/>
                <w:color w:val="auto"/>
              </w:rPr>
            </w:pPr>
          </w:p>
        </w:tc>
        <w:tc>
          <w:tcPr>
            <w:tcW w:w="340" w:type="dxa"/>
            <w:vAlign w:val="bottom"/>
            <w:tcBorders>
              <w:top w:val="single" w:sz="8" w:color="auto"/>
            </w:tcBorders>
          </w:tcPr>
          <w:p>
            <w:pPr>
              <w:spacing w:after="0"/>
              <w:rPr>
                <w:sz w:val="20"/>
                <w:szCs w:val="20"/>
                <w:color w:val="auto"/>
              </w:rPr>
            </w:pPr>
          </w:p>
        </w:tc>
        <w:tc>
          <w:tcPr>
            <w:tcW w:w="114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823</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171450</wp:posOffset>
            </wp:positionV>
            <wp:extent cx="1337945" cy="8890"/>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1337945" cy="8890"/>
                    </a:xfrm>
                    <a:prstGeom prst="rect">
                      <a:avLst/>
                    </a:prstGeom>
                    <a:noFill/>
                  </pic:spPr>
                </pic:pic>
              </a:graphicData>
            </a:graphic>
          </wp:anchor>
        </w:drawing>
      </w:r>
    </w:p>
    <w:p>
      <w:pPr>
        <w:spacing w:after="0" w:line="344" w:lineRule="exact"/>
        <w:rPr>
          <w:sz w:val="20"/>
          <w:szCs w:val="20"/>
          <w:color w:val="auto"/>
        </w:rPr>
      </w:pPr>
    </w:p>
    <w:p>
      <w:pPr>
        <w:ind w:left="980" w:right="20" w:hanging="972"/>
        <w:spacing w:after="0" w:line="225" w:lineRule="auto"/>
        <w:tabs>
          <w:tab w:leader="none" w:pos="494" w:val="left"/>
        </w:tabs>
        <w:numPr>
          <w:ilvl w:val="0"/>
          <w:numId w:val="35"/>
        </w:numPr>
        <w:rPr>
          <w:rFonts w:ascii="Arial" w:cs="Arial" w:eastAsia="Arial" w:hAnsi="Arial"/>
          <w:sz w:val="22"/>
          <w:szCs w:val="22"/>
          <w:color w:val="auto"/>
          <w:vertAlign w:val="superscript"/>
        </w:rPr>
      </w:pPr>
      <w:r>
        <w:rPr>
          <w:rFonts w:ascii="Arial" w:cs="Arial" w:eastAsia="Arial" w:hAnsi="Arial"/>
          <w:sz w:val="18"/>
          <w:szCs w:val="18"/>
          <w:color w:val="auto"/>
        </w:rPr>
        <w:t>Fleet restructuring expenses principally included accelerated depreciation and rent expense for aircraft and related equipment grounded or expected to be grounded earlier than planned.</w:t>
      </w:r>
    </w:p>
    <w:p>
      <w:pPr>
        <w:spacing w:after="0" w:line="126" w:lineRule="exact"/>
        <w:rPr>
          <w:rFonts w:ascii="Arial" w:cs="Arial" w:eastAsia="Arial" w:hAnsi="Arial"/>
          <w:sz w:val="22"/>
          <w:szCs w:val="22"/>
          <w:color w:val="auto"/>
          <w:vertAlign w:val="superscript"/>
        </w:rPr>
      </w:pPr>
    </w:p>
    <w:p>
      <w:pPr>
        <w:ind w:left="500" w:hanging="492"/>
        <w:spacing w:after="0"/>
        <w:tabs>
          <w:tab w:leader="none" w:pos="500" w:val="left"/>
        </w:tabs>
        <w:numPr>
          <w:ilvl w:val="0"/>
          <w:numId w:val="35"/>
        </w:numPr>
        <w:rPr>
          <w:rFonts w:ascii="Arial" w:cs="Arial" w:eastAsia="Arial" w:hAnsi="Arial"/>
          <w:sz w:val="22"/>
          <w:szCs w:val="22"/>
          <w:color w:val="auto"/>
          <w:vertAlign w:val="superscript"/>
        </w:rPr>
      </w:pPr>
      <w:r>
        <w:rPr>
          <w:rFonts w:ascii="Arial" w:cs="Arial" w:eastAsia="Arial" w:hAnsi="Arial"/>
          <w:sz w:val="18"/>
          <w:szCs w:val="18"/>
          <w:color w:val="auto"/>
        </w:rPr>
        <w:t>Fleet impairment principally includes a non-cash write-down of aircraft related to the planned retirement of our Embraer E190 fleet.</w:t>
      </w:r>
    </w:p>
    <w:p>
      <w:pPr>
        <w:spacing w:after="0" w:line="161" w:lineRule="exact"/>
        <w:rPr>
          <w:rFonts w:ascii="Arial" w:cs="Arial" w:eastAsia="Arial" w:hAnsi="Arial"/>
          <w:sz w:val="22"/>
          <w:szCs w:val="22"/>
          <w:color w:val="auto"/>
          <w:vertAlign w:val="superscript"/>
        </w:rPr>
      </w:pPr>
    </w:p>
    <w:p>
      <w:pPr>
        <w:ind w:left="980" w:hanging="972"/>
        <w:spacing w:after="0" w:line="225" w:lineRule="auto"/>
        <w:tabs>
          <w:tab w:leader="none" w:pos="494" w:val="left"/>
        </w:tabs>
        <w:numPr>
          <w:ilvl w:val="0"/>
          <w:numId w:val="35"/>
        </w:numPr>
        <w:rPr>
          <w:rFonts w:ascii="Arial" w:cs="Arial" w:eastAsia="Arial" w:hAnsi="Arial"/>
          <w:sz w:val="22"/>
          <w:szCs w:val="22"/>
          <w:color w:val="auto"/>
          <w:vertAlign w:val="superscript"/>
        </w:rPr>
      </w:pPr>
      <w:r>
        <w:rPr>
          <w:rFonts w:ascii="Arial" w:cs="Arial" w:eastAsia="Arial" w:hAnsi="Arial"/>
          <w:sz w:val="18"/>
          <w:szCs w:val="18"/>
          <w:color w:val="auto"/>
        </w:rPr>
        <w:t>Merger integration expenses included costs associated with integration projects, principally our technical operations, flight attendant, human resources and payroll systems.</w:t>
      </w:r>
    </w:p>
    <w:p>
      <w:pPr>
        <w:sectPr>
          <w:pgSz w:w="11900" w:h="16838" w:orient="portrait"/>
          <w:cols w:equalWidth="0" w:num="1">
            <w:col w:w="11420"/>
          </w:cols>
          <w:pgMar w:left="240" w:top="549" w:right="239" w:bottom="1440" w:gutter="0" w:footer="0" w:header="0"/>
        </w:sectPr>
      </w:pPr>
    </w:p>
    <w:p>
      <w:pPr>
        <w:spacing w:after="0" w:line="161" w:lineRule="exact"/>
        <w:rPr>
          <w:sz w:val="20"/>
          <w:szCs w:val="20"/>
          <w:color w:val="auto"/>
        </w:rPr>
      </w:pPr>
    </w:p>
    <w:p>
      <w:pPr>
        <w:spacing w:after="0"/>
        <w:rPr>
          <w:sz w:val="20"/>
          <w:szCs w:val="20"/>
          <w:color w:val="auto"/>
        </w:rPr>
      </w:pPr>
      <w:r>
        <w:rPr>
          <w:rFonts w:ascii="Arial" w:cs="Arial" w:eastAsia="Arial" w:hAnsi="Arial"/>
          <w:sz w:val="11"/>
          <w:szCs w:val="11"/>
          <w:color w:val="auto"/>
        </w:rPr>
        <w:t>(4)</w:t>
      </w:r>
    </w:p>
    <w:p>
      <w:pPr>
        <w:spacing w:after="0" w:line="252" w:lineRule="exact"/>
        <w:rPr>
          <w:sz w:val="20"/>
          <w:szCs w:val="20"/>
          <w:color w:val="auto"/>
        </w:rPr>
      </w:pPr>
    </w:p>
    <w:p>
      <w:pPr>
        <w:spacing w:after="0"/>
        <w:rPr>
          <w:sz w:val="20"/>
          <w:szCs w:val="20"/>
          <w:color w:val="auto"/>
        </w:rPr>
      </w:pPr>
      <w:r>
        <w:rPr>
          <w:rFonts w:ascii="Arial" w:cs="Arial" w:eastAsia="Arial" w:hAnsi="Arial"/>
          <w:sz w:val="11"/>
          <w:szCs w:val="11"/>
          <w:color w:val="auto"/>
        </w:rPr>
        <w:t>(5)</w:t>
      </w:r>
    </w:p>
    <w:p>
      <w:pPr>
        <w:spacing w:after="0" w:line="20" w:lineRule="exact"/>
        <w:rPr>
          <w:sz w:val="20"/>
          <w:szCs w:val="20"/>
          <w:color w:val="auto"/>
        </w:rPr>
      </w:pPr>
      <w:r>
        <w:rPr>
          <w:sz w:val="20"/>
          <w:szCs w:val="20"/>
          <w:color w:val="auto"/>
        </w:rPr>
        <w:br w:type="column"/>
      </w:r>
    </w:p>
    <w:p>
      <w:pPr>
        <w:spacing w:after="0" w:line="143" w:lineRule="exact"/>
        <w:rPr>
          <w:sz w:val="20"/>
          <w:szCs w:val="20"/>
          <w:color w:val="auto"/>
        </w:rPr>
      </w:pPr>
    </w:p>
    <w:p>
      <w:pPr>
        <w:spacing w:after="0"/>
        <w:rPr>
          <w:sz w:val="20"/>
          <w:szCs w:val="20"/>
          <w:color w:val="auto"/>
        </w:rPr>
      </w:pPr>
      <w:r>
        <w:rPr>
          <w:rFonts w:ascii="Arial" w:cs="Arial" w:eastAsia="Arial" w:hAnsi="Arial"/>
          <w:sz w:val="18"/>
          <w:szCs w:val="18"/>
          <w:color w:val="auto"/>
        </w:rPr>
        <w:t>Bankruptcy obligations that will be settled in shares of our common stock are marked-to-market based on our stock price.</w:t>
      </w:r>
    </w:p>
    <w:p>
      <w:pPr>
        <w:spacing w:after="0" w:line="171" w:lineRule="exact"/>
        <w:rPr>
          <w:sz w:val="20"/>
          <w:szCs w:val="20"/>
          <w:color w:val="auto"/>
        </w:rPr>
      </w:pPr>
    </w:p>
    <w:p>
      <w:pPr>
        <w:spacing w:after="0"/>
        <w:rPr>
          <w:sz w:val="20"/>
          <w:szCs w:val="20"/>
          <w:color w:val="auto"/>
        </w:rPr>
      </w:pPr>
      <w:r>
        <w:rPr>
          <w:rFonts w:ascii="Arial" w:cs="Arial" w:eastAsia="Arial" w:hAnsi="Arial"/>
          <w:sz w:val="17"/>
          <w:szCs w:val="17"/>
          <w:color w:val="auto"/>
        </w:rPr>
        <w:t>Severance expenses primarily included costs associated with reductions of management and support staff team members.</w:t>
      </w:r>
    </w:p>
    <w:p>
      <w:pPr>
        <w:spacing w:after="0" w:line="183" w:lineRule="exact"/>
        <w:rPr>
          <w:sz w:val="20"/>
          <w:szCs w:val="20"/>
          <w:color w:val="auto"/>
        </w:rPr>
      </w:pPr>
    </w:p>
    <w:p>
      <w:pPr>
        <w:sectPr>
          <w:pgSz w:w="11900" w:h="16838" w:orient="portrait"/>
          <w:cols w:equalWidth="0" w:num="2">
            <w:col w:w="140" w:space="360"/>
            <w:col w:w="10920"/>
          </w:cols>
          <w:pgMar w:left="240" w:top="549" w:right="239" w:bottom="1440" w:gutter="0" w:footer="0" w:header="0"/>
          <w:type w:val="continuous"/>
        </w:sectPr>
      </w:pPr>
    </w:p>
    <w:p>
      <w:pPr>
        <w:ind w:left="980" w:hanging="972"/>
        <w:spacing w:after="0" w:line="225" w:lineRule="auto"/>
        <w:tabs>
          <w:tab w:leader="none" w:pos="494" w:val="left"/>
        </w:tabs>
        <w:numPr>
          <w:ilvl w:val="0"/>
          <w:numId w:val="36"/>
        </w:numPr>
        <w:rPr>
          <w:rFonts w:ascii="Arial" w:cs="Arial" w:eastAsia="Arial" w:hAnsi="Arial"/>
          <w:sz w:val="22"/>
          <w:szCs w:val="22"/>
          <w:color w:val="auto"/>
          <w:vertAlign w:val="superscript"/>
        </w:rPr>
      </w:pPr>
      <w:r>
        <w:rPr>
          <w:rFonts w:ascii="Arial" w:cs="Arial" w:eastAsia="Arial" w:hAnsi="Arial"/>
          <w:sz w:val="18"/>
          <w:szCs w:val="18"/>
          <w:color w:val="auto"/>
        </w:rPr>
        <w:t>Intangible asset impairment includes a non-cash charge to write-off our Brazil route authority as a result of the U.S.-Brazil open skies agreement.</w:t>
      </w:r>
    </w:p>
    <w:p>
      <w:pPr>
        <w:spacing w:after="0" w:line="163" w:lineRule="exact"/>
        <w:rPr>
          <w:rFonts w:ascii="Arial" w:cs="Arial" w:eastAsia="Arial" w:hAnsi="Arial"/>
          <w:sz w:val="22"/>
          <w:szCs w:val="22"/>
          <w:color w:val="auto"/>
          <w:vertAlign w:val="superscript"/>
        </w:rPr>
      </w:pPr>
    </w:p>
    <w:p>
      <w:pPr>
        <w:ind w:left="980" w:hanging="972"/>
        <w:spacing w:after="0" w:line="225" w:lineRule="auto"/>
        <w:tabs>
          <w:tab w:leader="none" w:pos="494" w:val="left"/>
        </w:tabs>
        <w:numPr>
          <w:ilvl w:val="0"/>
          <w:numId w:val="36"/>
        </w:numPr>
        <w:rPr>
          <w:rFonts w:ascii="Arial" w:cs="Arial" w:eastAsia="Arial" w:hAnsi="Arial"/>
          <w:sz w:val="22"/>
          <w:szCs w:val="22"/>
          <w:color w:val="auto"/>
          <w:vertAlign w:val="superscript"/>
        </w:rPr>
      </w:pPr>
      <w:r>
        <w:rPr>
          <w:rFonts w:ascii="Arial" w:cs="Arial" w:eastAsia="Arial" w:hAnsi="Arial"/>
          <w:sz w:val="18"/>
          <w:szCs w:val="18"/>
          <w:color w:val="auto"/>
        </w:rPr>
        <w:t>Employee bonus expense included costs related to the $1,000 cash bonus and associated payroll taxes granted to mainline employees in recognition of the 2017 Tax Act.</w:t>
      </w:r>
    </w:p>
    <w:p>
      <w:pPr>
        <w:spacing w:after="0" w:line="163" w:lineRule="exact"/>
        <w:rPr>
          <w:rFonts w:ascii="Arial" w:cs="Arial" w:eastAsia="Arial" w:hAnsi="Arial"/>
          <w:sz w:val="22"/>
          <w:szCs w:val="22"/>
          <w:color w:val="auto"/>
          <w:vertAlign w:val="superscript"/>
        </w:rPr>
      </w:pPr>
    </w:p>
    <w:p>
      <w:pPr>
        <w:ind w:left="980" w:hanging="972"/>
        <w:spacing w:after="0" w:line="225" w:lineRule="auto"/>
        <w:tabs>
          <w:tab w:leader="none" w:pos="494" w:val="left"/>
        </w:tabs>
        <w:numPr>
          <w:ilvl w:val="0"/>
          <w:numId w:val="36"/>
        </w:numPr>
        <w:rPr>
          <w:rFonts w:ascii="Arial" w:cs="Arial" w:eastAsia="Arial" w:hAnsi="Arial"/>
          <w:sz w:val="22"/>
          <w:szCs w:val="22"/>
          <w:color w:val="auto"/>
          <w:vertAlign w:val="superscript"/>
        </w:rPr>
      </w:pPr>
      <w:r>
        <w:rPr>
          <w:rFonts w:ascii="Arial" w:cs="Arial" w:eastAsia="Arial" w:hAnsi="Arial"/>
          <w:sz w:val="18"/>
          <w:szCs w:val="18"/>
          <w:color w:val="auto"/>
        </w:rPr>
        <w:t>Mark-to-market adjustments on equity and other investments, net primarily relates to net unrealized gains and losses associated with our equity investment in China Southern Airlines Company Limited (China Southern Airlines).</w:t>
      </w:r>
    </w:p>
    <w:p>
      <w:pPr>
        <w:spacing w:after="0" w:line="126" w:lineRule="exact"/>
        <w:rPr>
          <w:rFonts w:ascii="Arial" w:cs="Arial" w:eastAsia="Arial" w:hAnsi="Arial"/>
          <w:sz w:val="22"/>
          <w:szCs w:val="22"/>
          <w:color w:val="auto"/>
          <w:vertAlign w:val="superscript"/>
        </w:rPr>
      </w:pPr>
    </w:p>
    <w:p>
      <w:pPr>
        <w:ind w:left="500" w:hanging="492"/>
        <w:spacing w:after="0"/>
        <w:tabs>
          <w:tab w:leader="none" w:pos="500" w:val="left"/>
        </w:tabs>
        <w:numPr>
          <w:ilvl w:val="0"/>
          <w:numId w:val="36"/>
        </w:numPr>
        <w:rPr>
          <w:rFonts w:ascii="Arial" w:cs="Arial" w:eastAsia="Arial" w:hAnsi="Arial"/>
          <w:sz w:val="22"/>
          <w:szCs w:val="22"/>
          <w:color w:val="auto"/>
          <w:vertAlign w:val="superscript"/>
        </w:rPr>
      </w:pPr>
      <w:r>
        <w:rPr>
          <w:rFonts w:ascii="Arial" w:cs="Arial" w:eastAsia="Arial" w:hAnsi="Arial"/>
          <w:sz w:val="18"/>
          <w:szCs w:val="18"/>
          <w:color w:val="auto"/>
        </w:rPr>
        <w:t>Income tax special items for 2018 included an $18 million charge related to an international income tax matter.</w:t>
      </w:r>
    </w:p>
    <w:p>
      <w:pPr>
        <w:sectPr>
          <w:pgSz w:w="11900" w:h="16838" w:orient="portrait"/>
          <w:cols w:equalWidth="0" w:num="1">
            <w:col w:w="11420"/>
          </w:cols>
          <w:pgMar w:left="240" w:top="549" w:right="239" w:bottom="1440" w:gutter="0" w:footer="0" w:header="0"/>
          <w:type w:val="continuous"/>
        </w:sectPr>
      </w:pPr>
    </w:p>
    <w:p>
      <w:pPr>
        <w:spacing w:after="0" w:line="215"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85</w:t>
      </w:r>
    </w:p>
    <w:p>
      <w:pPr>
        <w:sectPr>
          <w:pgSz w:w="11900" w:h="16838" w:orient="portrait"/>
          <w:cols w:equalWidth="0" w:num="1">
            <w:col w:w="11420"/>
          </w:cols>
          <w:pgMar w:left="240" w:top="549" w:right="239" w:bottom="1440" w:gutter="0" w:footer="0" w:header="0"/>
          <w:type w:val="continuous"/>
        </w:sectPr>
      </w:pPr>
    </w:p>
    <w:bookmarkStart w:id="85" w:name="page86"/>
    <w:bookmarkEnd w:id="85"/>
    <w:p>
      <w:pPr>
        <w:jc w:val="center"/>
        <w:spacing w:after="0"/>
        <w:rPr>
          <w:sz w:val="20"/>
          <w:szCs w:val="20"/>
          <w:color w:val="auto"/>
        </w:rPr>
      </w:pPr>
      <w:r>
        <w:rPr>
          <w:rFonts w:ascii="Arial" w:cs="Arial" w:eastAsia="Arial" w:hAnsi="Arial"/>
          <w:sz w:val="18"/>
          <w:szCs w:val="18"/>
          <w:b w:val="1"/>
          <w:bCs w:val="1"/>
          <w:color w:val="auto"/>
        </w:rPr>
        <w:t>NOTES TO CONSOLIDATED FINANCIAL STATEMENTS OF AMERICAN AIRLINES GROUP INC.</w:t>
      </w:r>
    </w:p>
    <w:p>
      <w:pPr>
        <w:spacing w:after="0" w:line="200" w:lineRule="exact"/>
        <w:rPr>
          <w:sz w:val="20"/>
          <w:szCs w:val="20"/>
          <w:color w:val="auto"/>
        </w:rPr>
      </w:pPr>
    </w:p>
    <w:p>
      <w:pPr>
        <w:spacing w:after="0" w:line="209" w:lineRule="exact"/>
        <w:rPr>
          <w:sz w:val="20"/>
          <w:szCs w:val="20"/>
          <w:color w:val="auto"/>
        </w:rPr>
      </w:pPr>
    </w:p>
    <w:p>
      <w:pPr>
        <w:jc w:val="both"/>
        <w:ind w:left="500" w:hanging="492"/>
        <w:spacing w:after="0" w:line="233" w:lineRule="auto"/>
        <w:tabs>
          <w:tab w:leader="none" w:pos="500" w:val="left"/>
        </w:tabs>
        <w:numPr>
          <w:ilvl w:val="0"/>
          <w:numId w:val="37"/>
        </w:numPr>
        <w:rPr>
          <w:rFonts w:ascii="Arial" w:cs="Arial" w:eastAsia="Arial" w:hAnsi="Arial"/>
          <w:sz w:val="22"/>
          <w:szCs w:val="22"/>
          <w:color w:val="auto"/>
          <w:vertAlign w:val="superscript"/>
        </w:rPr>
      </w:pPr>
      <w:r>
        <w:rPr>
          <w:rFonts w:ascii="Arial" w:cs="Arial" w:eastAsia="Arial" w:hAnsi="Arial"/>
          <w:sz w:val="18"/>
          <w:szCs w:val="18"/>
          <w:color w:val="auto"/>
        </w:rPr>
        <w:t>Impact of the 2017 Tax Act includes an $823 million non-cash charge to income tax expense to reflect the impact of lower corporate income tax rates on our deferred tax asset and liabilities resulting from the 2017 Tax Act, which reduced the federal corporate income tax rate from 35% to 21%.</w:t>
      </w:r>
    </w:p>
    <w:p>
      <w:pPr>
        <w:spacing w:after="0" w:line="22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3. Earnings Per Common Share</w:t>
      </w:r>
    </w:p>
    <w:p>
      <w:pPr>
        <w:spacing w:after="0" w:line="112" w:lineRule="exact"/>
        <w:rPr>
          <w:sz w:val="20"/>
          <w:szCs w:val="20"/>
          <w:color w:val="auto"/>
        </w:rPr>
      </w:pPr>
    </w:p>
    <w:p>
      <w:pPr>
        <w:jc w:val="both"/>
        <w:ind w:firstLine="216"/>
        <w:spacing w:after="0" w:line="262" w:lineRule="auto"/>
        <w:rPr>
          <w:sz w:val="20"/>
          <w:szCs w:val="20"/>
          <w:color w:val="auto"/>
        </w:rPr>
      </w:pPr>
      <w:r>
        <w:rPr>
          <w:rFonts w:ascii="Arial" w:cs="Arial" w:eastAsia="Arial" w:hAnsi="Arial"/>
          <w:sz w:val="18"/>
          <w:szCs w:val="18"/>
          <w:color w:val="auto"/>
        </w:rPr>
        <w:t>The following table sets forth the computation of basic and diluted earnings per common share (EPS) (in millions, except share and per share amounts):</w:t>
      </w:r>
    </w:p>
    <w:p>
      <w:pPr>
        <w:spacing w:after="0" w:line="292" w:lineRule="exact"/>
        <w:rPr>
          <w:sz w:val="20"/>
          <w:szCs w:val="20"/>
          <w:color w:val="auto"/>
        </w:rPr>
      </w:pPr>
    </w:p>
    <w:tbl>
      <w:tblPr>
        <w:tblLayout w:type="fixed"/>
        <w:tblInd w:w="0" w:type="dxa"/>
        <w:tblCellMar>
          <w:top w:w="0" w:type="dxa"/>
          <w:left w:w="0" w:type="dxa"/>
          <w:bottom w:w="0" w:type="dxa"/>
          <w:right w:w="0" w:type="dxa"/>
        </w:tblCellMar>
      </w:tblPr>
      <w:tr>
        <w:trPr>
          <w:trHeight w:val="196"/>
        </w:trPr>
        <w:tc>
          <w:tcPr>
            <w:tcW w:w="7080" w:type="dxa"/>
            <w:vAlign w:val="bottom"/>
          </w:tcPr>
          <w:p>
            <w:pPr>
              <w:spacing w:after="0"/>
              <w:rPr>
                <w:sz w:val="17"/>
                <w:szCs w:val="17"/>
                <w:color w:val="auto"/>
              </w:rPr>
            </w:pPr>
          </w:p>
        </w:tc>
        <w:tc>
          <w:tcPr>
            <w:tcW w:w="320" w:type="dxa"/>
            <w:vAlign w:val="bottom"/>
            <w:tcBorders>
              <w:bottom w:val="single" w:sz="8" w:color="auto"/>
            </w:tcBorders>
          </w:tcPr>
          <w:p>
            <w:pPr>
              <w:spacing w:after="0"/>
              <w:rPr>
                <w:sz w:val="17"/>
                <w:szCs w:val="17"/>
                <w:color w:val="auto"/>
              </w:rPr>
            </w:pPr>
          </w:p>
        </w:tc>
        <w:tc>
          <w:tcPr>
            <w:tcW w:w="960" w:type="dxa"/>
            <w:vAlign w:val="bottom"/>
            <w:tcBorders>
              <w:bottom w:val="single" w:sz="8" w:color="auto"/>
            </w:tcBorders>
          </w:tcPr>
          <w:p>
            <w:pPr>
              <w:spacing w:after="0"/>
              <w:rPr>
                <w:sz w:val="17"/>
                <w:szCs w:val="17"/>
                <w:color w:val="auto"/>
              </w:rPr>
            </w:pPr>
          </w:p>
        </w:tc>
        <w:tc>
          <w:tcPr>
            <w:tcW w:w="2020" w:type="dxa"/>
            <w:vAlign w:val="bottom"/>
            <w:tcBorders>
              <w:bottom w:val="single" w:sz="8" w:color="auto"/>
            </w:tcBorders>
            <w:gridSpan w:val="6"/>
          </w:tcPr>
          <w:p>
            <w:pPr>
              <w:jc w:val="right"/>
              <w:ind w:right="150"/>
              <w:spacing w:after="0"/>
              <w:rPr>
                <w:sz w:val="20"/>
                <w:szCs w:val="20"/>
                <w:color w:val="auto"/>
              </w:rPr>
            </w:pPr>
            <w:r>
              <w:rPr>
                <w:rFonts w:ascii="Arial" w:cs="Arial" w:eastAsia="Arial" w:hAnsi="Arial"/>
                <w:sz w:val="14"/>
                <w:szCs w:val="14"/>
                <w:b w:val="1"/>
                <w:bCs w:val="1"/>
                <w:color w:val="auto"/>
              </w:rPr>
              <w:t>Year Ended December 31,</w:t>
            </w:r>
          </w:p>
        </w:tc>
        <w:tc>
          <w:tcPr>
            <w:tcW w:w="1040" w:type="dxa"/>
            <w:vAlign w:val="bottom"/>
            <w:tcBorders>
              <w:bottom w:val="single" w:sz="8" w:color="auto"/>
            </w:tcBorders>
          </w:tcPr>
          <w:p>
            <w:pPr>
              <w:spacing w:after="0"/>
              <w:rPr>
                <w:sz w:val="17"/>
                <w:szCs w:val="17"/>
                <w:color w:val="auto"/>
              </w:rPr>
            </w:pPr>
          </w:p>
        </w:tc>
      </w:tr>
      <w:tr>
        <w:trPr>
          <w:trHeight w:val="264"/>
        </w:trPr>
        <w:tc>
          <w:tcPr>
            <w:tcW w:w="7080" w:type="dxa"/>
            <w:vAlign w:val="bottom"/>
            <w:tcBorders>
              <w:bottom w:val="single" w:sz="8" w:color="CCEEFF"/>
            </w:tcBorders>
          </w:tcPr>
          <w:p>
            <w:pPr>
              <w:spacing w:after="0"/>
              <w:rPr>
                <w:sz w:val="22"/>
                <w:szCs w:val="22"/>
                <w:color w:val="auto"/>
              </w:rPr>
            </w:pPr>
          </w:p>
        </w:tc>
        <w:tc>
          <w:tcPr>
            <w:tcW w:w="320" w:type="dxa"/>
            <w:vAlign w:val="bottom"/>
            <w:tcBorders>
              <w:bottom w:val="single" w:sz="8" w:color="auto"/>
            </w:tcBorders>
          </w:tcPr>
          <w:p>
            <w:pPr>
              <w:spacing w:after="0"/>
              <w:rPr>
                <w:sz w:val="22"/>
                <w:szCs w:val="22"/>
                <w:color w:val="auto"/>
              </w:rPr>
            </w:pPr>
          </w:p>
        </w:tc>
        <w:tc>
          <w:tcPr>
            <w:tcW w:w="960" w:type="dxa"/>
            <w:vAlign w:val="bottom"/>
            <w:tcBorders>
              <w:bottom w:val="single" w:sz="8" w:color="auto"/>
            </w:tcBorders>
          </w:tcPr>
          <w:p>
            <w:pPr>
              <w:jc w:val="right"/>
              <w:ind w:right="352"/>
              <w:spacing w:after="0"/>
              <w:rPr>
                <w:sz w:val="20"/>
                <w:szCs w:val="20"/>
                <w:color w:val="auto"/>
              </w:rPr>
            </w:pPr>
            <w:r>
              <w:rPr>
                <w:rFonts w:ascii="Arial" w:cs="Arial" w:eastAsia="Arial" w:hAnsi="Arial"/>
                <w:sz w:val="14"/>
                <w:szCs w:val="14"/>
                <w:b w:val="1"/>
                <w:bCs w:val="1"/>
                <w:color w:val="auto"/>
              </w:rPr>
              <w:t>2019</w:t>
            </w:r>
          </w:p>
        </w:tc>
        <w:tc>
          <w:tcPr>
            <w:tcW w:w="80" w:type="dxa"/>
            <w:vAlign w:val="bottom"/>
            <w:tcBorders>
              <w:bottom w:val="single" w:sz="8" w:color="auto"/>
            </w:tcBorders>
          </w:tcPr>
          <w:p>
            <w:pPr>
              <w:spacing w:after="0"/>
              <w:rPr>
                <w:sz w:val="22"/>
                <w:szCs w:val="22"/>
                <w:color w:val="auto"/>
              </w:rPr>
            </w:pPr>
          </w:p>
        </w:tc>
        <w:tc>
          <w:tcPr>
            <w:tcW w:w="120" w:type="dxa"/>
            <w:vAlign w:val="bottom"/>
            <w:tcBorders>
              <w:bottom w:val="single" w:sz="8" w:color="CCEEFF"/>
            </w:tcBorders>
          </w:tcPr>
          <w:p>
            <w:pPr>
              <w:spacing w:after="0"/>
              <w:rPr>
                <w:sz w:val="22"/>
                <w:szCs w:val="22"/>
                <w:color w:val="auto"/>
              </w:rPr>
            </w:pPr>
          </w:p>
        </w:tc>
        <w:tc>
          <w:tcPr>
            <w:tcW w:w="320" w:type="dxa"/>
            <w:vAlign w:val="bottom"/>
            <w:tcBorders>
              <w:bottom w:val="single" w:sz="8" w:color="auto"/>
            </w:tcBorders>
          </w:tcPr>
          <w:p>
            <w:pPr>
              <w:spacing w:after="0"/>
              <w:rPr>
                <w:sz w:val="22"/>
                <w:szCs w:val="22"/>
                <w:color w:val="auto"/>
              </w:rPr>
            </w:pPr>
          </w:p>
        </w:tc>
        <w:tc>
          <w:tcPr>
            <w:tcW w:w="1060" w:type="dxa"/>
            <w:vAlign w:val="bottom"/>
            <w:tcBorders>
              <w:bottom w:val="single" w:sz="8" w:color="auto"/>
            </w:tcBorders>
          </w:tcPr>
          <w:p>
            <w:pPr>
              <w:jc w:val="right"/>
              <w:ind w:right="452"/>
              <w:spacing w:after="0"/>
              <w:rPr>
                <w:sz w:val="20"/>
                <w:szCs w:val="20"/>
                <w:color w:val="auto"/>
              </w:rPr>
            </w:pPr>
            <w:r>
              <w:rPr>
                <w:rFonts w:ascii="Arial" w:cs="Arial" w:eastAsia="Arial" w:hAnsi="Arial"/>
                <w:sz w:val="14"/>
                <w:szCs w:val="14"/>
                <w:b w:val="1"/>
                <w:bCs w:val="1"/>
                <w:color w:val="auto"/>
              </w:rPr>
              <w:t>2018</w:t>
            </w:r>
          </w:p>
        </w:tc>
        <w:tc>
          <w:tcPr>
            <w:tcW w:w="100" w:type="dxa"/>
            <w:vAlign w:val="bottom"/>
            <w:tcBorders>
              <w:bottom w:val="single" w:sz="8" w:color="CCEEFF"/>
            </w:tcBorders>
          </w:tcPr>
          <w:p>
            <w:pPr>
              <w:spacing w:after="0"/>
              <w:rPr>
                <w:sz w:val="22"/>
                <w:szCs w:val="22"/>
                <w:color w:val="auto"/>
              </w:rPr>
            </w:pPr>
          </w:p>
        </w:tc>
        <w:tc>
          <w:tcPr>
            <w:tcW w:w="340" w:type="dxa"/>
            <w:vAlign w:val="bottom"/>
            <w:tcBorders>
              <w:bottom w:val="single" w:sz="8" w:color="auto"/>
            </w:tcBorders>
          </w:tcPr>
          <w:p>
            <w:pPr>
              <w:spacing w:after="0"/>
              <w:rPr>
                <w:sz w:val="22"/>
                <w:szCs w:val="22"/>
                <w:color w:val="auto"/>
              </w:rPr>
            </w:pPr>
          </w:p>
        </w:tc>
        <w:tc>
          <w:tcPr>
            <w:tcW w:w="1040" w:type="dxa"/>
            <w:vAlign w:val="bottom"/>
            <w:tcBorders>
              <w:bottom w:val="single" w:sz="8" w:color="auto"/>
            </w:tcBorders>
          </w:tcPr>
          <w:p>
            <w:pPr>
              <w:jc w:val="right"/>
              <w:ind w:right="432"/>
              <w:spacing w:after="0"/>
              <w:rPr>
                <w:sz w:val="20"/>
                <w:szCs w:val="20"/>
                <w:color w:val="auto"/>
              </w:rPr>
            </w:pPr>
            <w:r>
              <w:rPr>
                <w:rFonts w:ascii="Arial" w:cs="Arial" w:eastAsia="Arial" w:hAnsi="Arial"/>
                <w:sz w:val="14"/>
                <w:szCs w:val="14"/>
                <w:b w:val="1"/>
                <w:bCs w:val="1"/>
                <w:color w:val="auto"/>
              </w:rPr>
              <w:t>2017</w:t>
            </w:r>
          </w:p>
        </w:tc>
      </w:tr>
      <w:tr>
        <w:trPr>
          <w:trHeight w:val="250"/>
        </w:trPr>
        <w:tc>
          <w:tcPr>
            <w:tcW w:w="70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Basic EPS:</w:t>
            </w:r>
          </w:p>
        </w:tc>
        <w:tc>
          <w:tcPr>
            <w:tcW w:w="32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spacing w:after="0"/>
              <w:rPr>
                <w:sz w:val="21"/>
                <w:szCs w:val="21"/>
                <w:color w:val="auto"/>
              </w:rPr>
            </w:pPr>
          </w:p>
        </w:tc>
      </w:tr>
      <w:tr>
        <w:trPr>
          <w:trHeight w:val="263"/>
        </w:trPr>
        <w:tc>
          <w:tcPr>
            <w:tcW w:w="7080" w:type="dxa"/>
            <w:vAlign w:val="bottom"/>
          </w:tcPr>
          <w:p>
            <w:pPr>
              <w:ind w:left="40"/>
              <w:spacing w:after="0"/>
              <w:rPr>
                <w:sz w:val="20"/>
                <w:szCs w:val="20"/>
                <w:color w:val="auto"/>
              </w:rPr>
            </w:pPr>
            <w:r>
              <w:rPr>
                <w:rFonts w:ascii="Arial" w:cs="Arial" w:eastAsia="Arial" w:hAnsi="Arial"/>
                <w:sz w:val="18"/>
                <w:szCs w:val="18"/>
                <w:color w:val="auto"/>
              </w:rPr>
              <w:t>Net income</w:t>
            </w:r>
          </w:p>
        </w:tc>
        <w:tc>
          <w:tcPr>
            <w:tcW w:w="320" w:type="dxa"/>
            <w:vAlign w:val="bottom"/>
          </w:tcPr>
          <w:p>
            <w:pPr>
              <w:jc w:val="right"/>
              <w:ind w:right="110"/>
              <w:spacing w:after="0"/>
              <w:rPr>
                <w:sz w:val="20"/>
                <w:szCs w:val="20"/>
                <w:color w:val="auto"/>
              </w:rPr>
            </w:pPr>
            <w:r>
              <w:rPr>
                <w:rFonts w:ascii="Arial" w:cs="Arial" w:eastAsia="Arial" w:hAnsi="Arial"/>
                <w:sz w:val="18"/>
                <w:szCs w:val="18"/>
                <w:color w:val="auto"/>
                <w:w w:val="99"/>
              </w:rPr>
              <w:t>$</w:t>
            </w:r>
          </w:p>
        </w:tc>
        <w:tc>
          <w:tcPr>
            <w:tcW w:w="960" w:type="dxa"/>
            <w:vAlign w:val="bottom"/>
          </w:tcPr>
          <w:p>
            <w:pPr>
              <w:jc w:val="right"/>
              <w:spacing w:after="0"/>
              <w:rPr>
                <w:sz w:val="20"/>
                <w:szCs w:val="20"/>
                <w:color w:val="auto"/>
              </w:rPr>
            </w:pPr>
            <w:r>
              <w:rPr>
                <w:rFonts w:ascii="Arial" w:cs="Arial" w:eastAsia="Arial" w:hAnsi="Arial"/>
                <w:sz w:val="18"/>
                <w:szCs w:val="18"/>
                <w:color w:val="auto"/>
              </w:rPr>
              <w:t>1,686</w:t>
            </w:r>
          </w:p>
        </w:tc>
        <w:tc>
          <w:tcPr>
            <w:tcW w:w="520" w:type="dxa"/>
            <w:vAlign w:val="bottom"/>
            <w:gridSpan w:val="3"/>
          </w:tcPr>
          <w:p>
            <w:pPr>
              <w:jc w:val="right"/>
              <w:ind w:right="200"/>
              <w:spacing w:after="0"/>
              <w:rPr>
                <w:sz w:val="20"/>
                <w:szCs w:val="20"/>
                <w:color w:val="auto"/>
              </w:rPr>
            </w:pPr>
            <w:r>
              <w:rPr>
                <w:rFonts w:ascii="Arial" w:cs="Arial" w:eastAsia="Arial" w:hAnsi="Arial"/>
                <w:sz w:val="18"/>
                <w:szCs w:val="18"/>
                <w:color w:val="auto"/>
              </w:rPr>
              <w:t>$</w:t>
            </w:r>
          </w:p>
        </w:tc>
        <w:tc>
          <w:tcPr>
            <w:tcW w:w="1060" w:type="dxa"/>
            <w:vAlign w:val="bottom"/>
          </w:tcPr>
          <w:p>
            <w:pPr>
              <w:jc w:val="right"/>
              <w:ind w:right="32"/>
              <w:spacing w:after="0"/>
              <w:rPr>
                <w:sz w:val="20"/>
                <w:szCs w:val="20"/>
                <w:color w:val="auto"/>
              </w:rPr>
            </w:pPr>
            <w:r>
              <w:rPr>
                <w:rFonts w:ascii="Arial" w:cs="Arial" w:eastAsia="Arial" w:hAnsi="Arial"/>
                <w:sz w:val="18"/>
                <w:szCs w:val="18"/>
                <w:color w:val="auto"/>
              </w:rPr>
              <w:t>1,412</w:t>
            </w:r>
          </w:p>
        </w:tc>
        <w:tc>
          <w:tcPr>
            <w:tcW w:w="100" w:type="dxa"/>
            <w:vAlign w:val="bottom"/>
          </w:tcPr>
          <w:p>
            <w:pPr>
              <w:spacing w:after="0"/>
              <w:rPr>
                <w:sz w:val="22"/>
                <w:szCs w:val="22"/>
                <w:color w:val="auto"/>
              </w:rPr>
            </w:pPr>
          </w:p>
        </w:tc>
        <w:tc>
          <w:tcPr>
            <w:tcW w:w="340" w:type="dxa"/>
            <w:vAlign w:val="bottom"/>
          </w:tcPr>
          <w:p>
            <w:pPr>
              <w:jc w:val="right"/>
              <w:ind w:right="130"/>
              <w:spacing w:after="0"/>
              <w:rPr>
                <w:sz w:val="20"/>
                <w:szCs w:val="20"/>
                <w:color w:val="auto"/>
              </w:rPr>
            </w:pPr>
            <w:r>
              <w:rPr>
                <w:rFonts w:ascii="Arial" w:cs="Arial" w:eastAsia="Arial" w:hAnsi="Arial"/>
                <w:sz w:val="18"/>
                <w:szCs w:val="18"/>
                <w:color w:val="auto"/>
                <w:w w:val="99"/>
              </w:rPr>
              <w:t>$</w:t>
            </w:r>
          </w:p>
        </w:tc>
        <w:tc>
          <w:tcPr>
            <w:tcW w:w="1040" w:type="dxa"/>
            <w:vAlign w:val="bottom"/>
          </w:tcPr>
          <w:p>
            <w:pPr>
              <w:jc w:val="right"/>
              <w:ind w:right="12"/>
              <w:spacing w:after="0"/>
              <w:rPr>
                <w:sz w:val="20"/>
                <w:szCs w:val="20"/>
                <w:color w:val="auto"/>
              </w:rPr>
            </w:pPr>
            <w:r>
              <w:rPr>
                <w:rFonts w:ascii="Arial" w:cs="Arial" w:eastAsia="Arial" w:hAnsi="Arial"/>
                <w:sz w:val="18"/>
                <w:szCs w:val="18"/>
                <w:color w:val="auto"/>
              </w:rPr>
              <w:t>1,282</w:t>
            </w:r>
          </w:p>
        </w:tc>
      </w:tr>
      <w:tr>
        <w:trPr>
          <w:trHeight w:val="277"/>
        </w:trPr>
        <w:tc>
          <w:tcPr>
            <w:tcW w:w="7080" w:type="dxa"/>
            <w:vAlign w:val="bottom"/>
            <w:shd w:val="clear" w:color="auto" w:fill="CCEEFF"/>
          </w:tcPr>
          <w:p>
            <w:pPr>
              <w:ind w:left="40"/>
              <w:spacing w:after="0"/>
              <w:rPr>
                <w:sz w:val="20"/>
                <w:szCs w:val="20"/>
                <w:color w:val="auto"/>
              </w:rPr>
            </w:pPr>
            <w:r>
              <w:rPr>
                <w:rFonts w:ascii="Arial" w:cs="Arial" w:eastAsia="Arial" w:hAnsi="Arial"/>
                <w:sz w:val="18"/>
                <w:szCs w:val="18"/>
                <w:color w:val="auto"/>
              </w:rPr>
              <w:t>Weighted average common shares outstanding (in thousands)</w:t>
            </w:r>
          </w:p>
        </w:tc>
        <w:tc>
          <w:tcPr>
            <w:tcW w:w="320" w:type="dxa"/>
            <w:vAlign w:val="bottom"/>
            <w:tcBorders>
              <w:bottom w:val="single" w:sz="8" w:color="auto"/>
            </w:tcBorders>
            <w:shd w:val="clear" w:color="auto" w:fill="CCEEFF"/>
          </w:tcPr>
          <w:p>
            <w:pPr>
              <w:spacing w:after="0"/>
              <w:rPr>
                <w:sz w:val="24"/>
                <w:szCs w:val="24"/>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443,363</w:t>
            </w:r>
          </w:p>
        </w:tc>
        <w:tc>
          <w:tcPr>
            <w:tcW w:w="80" w:type="dxa"/>
            <w:vAlign w:val="bottom"/>
            <w:tcBorders>
              <w:bottom w:val="single" w:sz="8" w:color="auto"/>
            </w:tcBorders>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320" w:type="dxa"/>
            <w:vAlign w:val="bottom"/>
            <w:tcBorders>
              <w:bottom w:val="single" w:sz="8" w:color="auto"/>
            </w:tcBorders>
            <w:shd w:val="clear" w:color="auto" w:fill="CCEEFF"/>
          </w:tcPr>
          <w:p>
            <w:pPr>
              <w:spacing w:after="0"/>
              <w:rPr>
                <w:sz w:val="24"/>
                <w:szCs w:val="24"/>
                <w:color w:val="auto"/>
              </w:rPr>
            </w:pPr>
          </w:p>
        </w:tc>
        <w:tc>
          <w:tcPr>
            <w:tcW w:w="1060" w:type="dxa"/>
            <w:vAlign w:val="bottom"/>
            <w:tcBorders>
              <w:bottom w:val="single" w:sz="8" w:color="auto"/>
            </w:tcBorders>
            <w:shd w:val="clear" w:color="auto" w:fill="CCEEFF"/>
          </w:tcPr>
          <w:p>
            <w:pPr>
              <w:jc w:val="right"/>
              <w:ind w:right="32"/>
              <w:spacing w:after="0"/>
              <w:rPr>
                <w:sz w:val="20"/>
                <w:szCs w:val="20"/>
                <w:color w:val="auto"/>
              </w:rPr>
            </w:pPr>
            <w:r>
              <w:rPr>
                <w:rFonts w:ascii="Arial" w:cs="Arial" w:eastAsia="Arial" w:hAnsi="Arial"/>
                <w:sz w:val="18"/>
                <w:szCs w:val="18"/>
                <w:color w:val="auto"/>
              </w:rPr>
              <w:t>464,236</w:t>
            </w:r>
          </w:p>
        </w:tc>
        <w:tc>
          <w:tcPr>
            <w:tcW w:w="100" w:type="dxa"/>
            <w:vAlign w:val="bottom"/>
            <w:shd w:val="clear" w:color="auto" w:fill="CCEEFF"/>
          </w:tcPr>
          <w:p>
            <w:pPr>
              <w:spacing w:after="0"/>
              <w:rPr>
                <w:sz w:val="24"/>
                <w:szCs w:val="24"/>
                <w:color w:val="auto"/>
              </w:rPr>
            </w:pPr>
          </w:p>
        </w:tc>
        <w:tc>
          <w:tcPr>
            <w:tcW w:w="340" w:type="dxa"/>
            <w:vAlign w:val="bottom"/>
            <w:tcBorders>
              <w:bottom w:val="single" w:sz="8" w:color="auto"/>
            </w:tcBorders>
            <w:shd w:val="clear" w:color="auto" w:fill="CCEEFF"/>
          </w:tcPr>
          <w:p>
            <w:pPr>
              <w:spacing w:after="0"/>
              <w:rPr>
                <w:sz w:val="24"/>
                <w:szCs w:val="24"/>
                <w:color w:val="auto"/>
              </w:rPr>
            </w:pPr>
          </w:p>
        </w:tc>
        <w:tc>
          <w:tcPr>
            <w:tcW w:w="1040" w:type="dxa"/>
            <w:vAlign w:val="bottom"/>
            <w:tcBorders>
              <w:bottom w:val="single" w:sz="8" w:color="auto"/>
            </w:tcBorders>
            <w:shd w:val="clear" w:color="auto" w:fill="CCEEFF"/>
          </w:tcPr>
          <w:p>
            <w:pPr>
              <w:jc w:val="right"/>
              <w:ind w:right="12"/>
              <w:spacing w:after="0"/>
              <w:rPr>
                <w:sz w:val="20"/>
                <w:szCs w:val="20"/>
                <w:color w:val="auto"/>
              </w:rPr>
            </w:pPr>
            <w:r>
              <w:rPr>
                <w:rFonts w:ascii="Arial" w:cs="Arial" w:eastAsia="Arial" w:hAnsi="Arial"/>
                <w:sz w:val="18"/>
                <w:szCs w:val="18"/>
                <w:color w:val="auto"/>
              </w:rPr>
              <w:t>489,164</w:t>
            </w:r>
          </w:p>
        </w:tc>
      </w:tr>
      <w:tr>
        <w:trPr>
          <w:trHeight w:val="284"/>
        </w:trPr>
        <w:tc>
          <w:tcPr>
            <w:tcW w:w="7080" w:type="dxa"/>
            <w:vAlign w:val="bottom"/>
          </w:tcPr>
          <w:p>
            <w:pPr>
              <w:ind w:left="280"/>
              <w:spacing w:after="0"/>
              <w:rPr>
                <w:sz w:val="20"/>
                <w:szCs w:val="20"/>
                <w:color w:val="auto"/>
              </w:rPr>
            </w:pPr>
            <w:r>
              <w:rPr>
                <w:rFonts w:ascii="Arial" w:cs="Arial" w:eastAsia="Arial" w:hAnsi="Arial"/>
                <w:sz w:val="18"/>
                <w:szCs w:val="18"/>
                <w:color w:val="auto"/>
              </w:rPr>
              <w:t>Basic EPS</w:t>
            </w:r>
          </w:p>
        </w:tc>
        <w:tc>
          <w:tcPr>
            <w:tcW w:w="320" w:type="dxa"/>
            <w:vAlign w:val="bottom"/>
          </w:tcPr>
          <w:p>
            <w:pPr>
              <w:jc w:val="right"/>
              <w:ind w:right="110"/>
              <w:spacing w:after="0"/>
              <w:rPr>
                <w:sz w:val="20"/>
                <w:szCs w:val="20"/>
                <w:color w:val="auto"/>
              </w:rPr>
            </w:pPr>
            <w:r>
              <w:rPr>
                <w:rFonts w:ascii="Arial" w:cs="Arial" w:eastAsia="Arial" w:hAnsi="Arial"/>
                <w:sz w:val="18"/>
                <w:szCs w:val="18"/>
                <w:color w:val="auto"/>
                <w:w w:val="99"/>
              </w:rPr>
              <w:t>$</w:t>
            </w:r>
          </w:p>
        </w:tc>
        <w:tc>
          <w:tcPr>
            <w:tcW w:w="960" w:type="dxa"/>
            <w:vAlign w:val="bottom"/>
          </w:tcPr>
          <w:p>
            <w:pPr>
              <w:jc w:val="right"/>
              <w:spacing w:after="0"/>
              <w:rPr>
                <w:sz w:val="20"/>
                <w:szCs w:val="20"/>
                <w:color w:val="auto"/>
              </w:rPr>
            </w:pPr>
            <w:r>
              <w:rPr>
                <w:rFonts w:ascii="Arial" w:cs="Arial" w:eastAsia="Arial" w:hAnsi="Arial"/>
                <w:sz w:val="18"/>
                <w:szCs w:val="18"/>
                <w:color w:val="auto"/>
              </w:rPr>
              <w:t>3.80</w:t>
            </w:r>
          </w:p>
        </w:tc>
        <w:tc>
          <w:tcPr>
            <w:tcW w:w="520" w:type="dxa"/>
            <w:vAlign w:val="bottom"/>
            <w:gridSpan w:val="3"/>
          </w:tcPr>
          <w:p>
            <w:pPr>
              <w:jc w:val="right"/>
              <w:ind w:right="200"/>
              <w:spacing w:after="0"/>
              <w:rPr>
                <w:sz w:val="20"/>
                <w:szCs w:val="20"/>
                <w:color w:val="auto"/>
              </w:rPr>
            </w:pPr>
            <w:r>
              <w:rPr>
                <w:rFonts w:ascii="Arial" w:cs="Arial" w:eastAsia="Arial" w:hAnsi="Arial"/>
                <w:sz w:val="18"/>
                <w:szCs w:val="18"/>
                <w:color w:val="auto"/>
              </w:rPr>
              <w:t>$</w:t>
            </w:r>
          </w:p>
        </w:tc>
        <w:tc>
          <w:tcPr>
            <w:tcW w:w="1060" w:type="dxa"/>
            <w:vAlign w:val="bottom"/>
          </w:tcPr>
          <w:p>
            <w:pPr>
              <w:jc w:val="right"/>
              <w:ind w:right="32"/>
              <w:spacing w:after="0"/>
              <w:rPr>
                <w:sz w:val="20"/>
                <w:szCs w:val="20"/>
                <w:color w:val="auto"/>
              </w:rPr>
            </w:pPr>
            <w:r>
              <w:rPr>
                <w:rFonts w:ascii="Arial" w:cs="Arial" w:eastAsia="Arial" w:hAnsi="Arial"/>
                <w:sz w:val="18"/>
                <w:szCs w:val="18"/>
                <w:color w:val="auto"/>
              </w:rPr>
              <w:t>3.04</w:t>
            </w:r>
          </w:p>
        </w:tc>
        <w:tc>
          <w:tcPr>
            <w:tcW w:w="100" w:type="dxa"/>
            <w:vAlign w:val="bottom"/>
          </w:tcPr>
          <w:p>
            <w:pPr>
              <w:spacing w:after="0"/>
              <w:rPr>
                <w:sz w:val="24"/>
                <w:szCs w:val="24"/>
                <w:color w:val="auto"/>
              </w:rPr>
            </w:pPr>
          </w:p>
        </w:tc>
        <w:tc>
          <w:tcPr>
            <w:tcW w:w="340" w:type="dxa"/>
            <w:vAlign w:val="bottom"/>
          </w:tcPr>
          <w:p>
            <w:pPr>
              <w:jc w:val="right"/>
              <w:ind w:right="130"/>
              <w:spacing w:after="0"/>
              <w:rPr>
                <w:sz w:val="20"/>
                <w:szCs w:val="20"/>
                <w:color w:val="auto"/>
              </w:rPr>
            </w:pPr>
            <w:r>
              <w:rPr>
                <w:rFonts w:ascii="Arial" w:cs="Arial" w:eastAsia="Arial" w:hAnsi="Arial"/>
                <w:sz w:val="18"/>
                <w:szCs w:val="18"/>
                <w:color w:val="auto"/>
                <w:w w:val="99"/>
              </w:rPr>
              <w:t>$</w:t>
            </w:r>
          </w:p>
        </w:tc>
        <w:tc>
          <w:tcPr>
            <w:tcW w:w="1040" w:type="dxa"/>
            <w:vAlign w:val="bottom"/>
          </w:tcPr>
          <w:p>
            <w:pPr>
              <w:jc w:val="right"/>
              <w:ind w:right="12"/>
              <w:spacing w:after="0"/>
              <w:rPr>
                <w:sz w:val="20"/>
                <w:szCs w:val="20"/>
                <w:color w:val="auto"/>
              </w:rPr>
            </w:pPr>
            <w:r>
              <w:rPr>
                <w:rFonts w:ascii="Arial" w:cs="Arial" w:eastAsia="Arial" w:hAnsi="Arial"/>
                <w:sz w:val="18"/>
                <w:szCs w:val="18"/>
                <w:color w:val="auto"/>
              </w:rPr>
              <w:t>2.62</w:t>
            </w:r>
          </w:p>
        </w:tc>
      </w:tr>
      <w:tr>
        <w:trPr>
          <w:trHeight w:val="311"/>
        </w:trPr>
        <w:tc>
          <w:tcPr>
            <w:tcW w:w="7080" w:type="dxa"/>
            <w:vAlign w:val="bottom"/>
            <w:tcBorders>
              <w:top w:val="single" w:sz="8" w:color="CCEEFF"/>
            </w:tcBorders>
            <w:shd w:val="clear" w:color="auto" w:fill="CCEEFF"/>
          </w:tcPr>
          <w:p>
            <w:pPr>
              <w:spacing w:after="0"/>
              <w:rPr>
                <w:sz w:val="24"/>
                <w:szCs w:val="24"/>
                <w:color w:val="auto"/>
              </w:rPr>
            </w:pPr>
          </w:p>
        </w:tc>
        <w:tc>
          <w:tcPr>
            <w:tcW w:w="320" w:type="dxa"/>
            <w:vAlign w:val="bottom"/>
            <w:tcBorders>
              <w:top w:val="single" w:sz="8" w:color="auto"/>
            </w:tcBorders>
            <w:shd w:val="clear" w:color="auto" w:fill="CCEEFF"/>
          </w:tcPr>
          <w:p>
            <w:pPr>
              <w:spacing w:after="0"/>
              <w:rPr>
                <w:sz w:val="24"/>
                <w:szCs w:val="24"/>
                <w:color w:val="auto"/>
              </w:rPr>
            </w:pPr>
          </w:p>
        </w:tc>
        <w:tc>
          <w:tcPr>
            <w:tcW w:w="960" w:type="dxa"/>
            <w:vAlign w:val="bottom"/>
            <w:tcBorders>
              <w:top w:val="single" w:sz="8" w:color="auto"/>
            </w:tcBorders>
            <w:shd w:val="clear" w:color="auto" w:fill="CCEEFF"/>
          </w:tcPr>
          <w:p>
            <w:pPr>
              <w:spacing w:after="0"/>
              <w:rPr>
                <w:sz w:val="24"/>
                <w:szCs w:val="24"/>
                <w:color w:val="auto"/>
              </w:rPr>
            </w:pPr>
          </w:p>
        </w:tc>
        <w:tc>
          <w:tcPr>
            <w:tcW w:w="80" w:type="dxa"/>
            <w:vAlign w:val="bottom"/>
            <w:tcBorders>
              <w:top w:val="single" w:sz="8" w:color="auto"/>
            </w:tcBorders>
            <w:shd w:val="clear" w:color="auto" w:fill="CCEEFF"/>
          </w:tcPr>
          <w:p>
            <w:pPr>
              <w:spacing w:after="0"/>
              <w:rPr>
                <w:sz w:val="24"/>
                <w:szCs w:val="24"/>
                <w:color w:val="auto"/>
              </w:rPr>
            </w:pPr>
          </w:p>
        </w:tc>
        <w:tc>
          <w:tcPr>
            <w:tcW w:w="120" w:type="dxa"/>
            <w:vAlign w:val="bottom"/>
            <w:tcBorders>
              <w:top w:val="single" w:sz="8" w:color="CCEEFF"/>
            </w:tcBorders>
            <w:shd w:val="clear" w:color="auto" w:fill="CCEEFF"/>
          </w:tcPr>
          <w:p>
            <w:pPr>
              <w:spacing w:after="0"/>
              <w:rPr>
                <w:sz w:val="24"/>
                <w:szCs w:val="24"/>
                <w:color w:val="auto"/>
              </w:rPr>
            </w:pPr>
          </w:p>
        </w:tc>
        <w:tc>
          <w:tcPr>
            <w:tcW w:w="320" w:type="dxa"/>
            <w:vAlign w:val="bottom"/>
            <w:tcBorders>
              <w:top w:val="single" w:sz="8" w:color="auto"/>
            </w:tcBorders>
            <w:shd w:val="clear" w:color="auto" w:fill="CCEEFF"/>
          </w:tcPr>
          <w:p>
            <w:pPr>
              <w:spacing w:after="0"/>
              <w:rPr>
                <w:sz w:val="24"/>
                <w:szCs w:val="24"/>
                <w:color w:val="auto"/>
              </w:rPr>
            </w:pPr>
          </w:p>
        </w:tc>
        <w:tc>
          <w:tcPr>
            <w:tcW w:w="1060" w:type="dxa"/>
            <w:vAlign w:val="bottom"/>
            <w:tcBorders>
              <w:top w:val="single" w:sz="8" w:color="auto"/>
            </w:tcBorders>
            <w:shd w:val="clear" w:color="auto" w:fill="CCEEFF"/>
          </w:tcPr>
          <w:p>
            <w:pPr>
              <w:spacing w:after="0"/>
              <w:rPr>
                <w:sz w:val="24"/>
                <w:szCs w:val="24"/>
                <w:color w:val="auto"/>
              </w:rPr>
            </w:pPr>
          </w:p>
        </w:tc>
        <w:tc>
          <w:tcPr>
            <w:tcW w:w="100" w:type="dxa"/>
            <w:vAlign w:val="bottom"/>
            <w:tcBorders>
              <w:top w:val="single" w:sz="8" w:color="CCEEFF"/>
            </w:tcBorders>
            <w:shd w:val="clear" w:color="auto" w:fill="CCEEFF"/>
          </w:tcPr>
          <w:p>
            <w:pPr>
              <w:spacing w:after="0"/>
              <w:rPr>
                <w:sz w:val="24"/>
                <w:szCs w:val="24"/>
                <w:color w:val="auto"/>
              </w:rPr>
            </w:pPr>
          </w:p>
        </w:tc>
        <w:tc>
          <w:tcPr>
            <w:tcW w:w="340" w:type="dxa"/>
            <w:vAlign w:val="bottom"/>
            <w:tcBorders>
              <w:top w:val="single" w:sz="8" w:color="auto"/>
            </w:tcBorders>
            <w:shd w:val="clear" w:color="auto" w:fill="CCEEFF"/>
          </w:tcPr>
          <w:p>
            <w:pPr>
              <w:spacing w:after="0"/>
              <w:rPr>
                <w:sz w:val="24"/>
                <w:szCs w:val="24"/>
                <w:color w:val="auto"/>
              </w:rPr>
            </w:pPr>
          </w:p>
        </w:tc>
        <w:tc>
          <w:tcPr>
            <w:tcW w:w="1040" w:type="dxa"/>
            <w:vAlign w:val="bottom"/>
            <w:tcBorders>
              <w:top w:val="single" w:sz="8" w:color="auto"/>
            </w:tcBorders>
            <w:shd w:val="clear" w:color="auto" w:fill="CCEEFF"/>
          </w:tcPr>
          <w:p>
            <w:pPr>
              <w:spacing w:after="0"/>
              <w:rPr>
                <w:sz w:val="24"/>
                <w:szCs w:val="24"/>
                <w:color w:val="auto"/>
              </w:rPr>
            </w:pPr>
          </w:p>
        </w:tc>
      </w:tr>
      <w:tr>
        <w:trPr>
          <w:trHeight w:val="243"/>
        </w:trPr>
        <w:tc>
          <w:tcPr>
            <w:tcW w:w="7080" w:type="dxa"/>
            <w:vAlign w:val="bottom"/>
          </w:tcPr>
          <w:p>
            <w:pPr>
              <w:ind w:left="40"/>
              <w:spacing w:after="0"/>
              <w:rPr>
                <w:sz w:val="20"/>
                <w:szCs w:val="20"/>
                <w:color w:val="auto"/>
              </w:rPr>
            </w:pPr>
            <w:r>
              <w:rPr>
                <w:rFonts w:ascii="Arial" w:cs="Arial" w:eastAsia="Arial" w:hAnsi="Arial"/>
                <w:sz w:val="18"/>
                <w:szCs w:val="18"/>
                <w:b w:val="1"/>
                <w:bCs w:val="1"/>
                <w:color w:val="auto"/>
              </w:rPr>
              <w:t>Diluted EPS:</w:t>
            </w:r>
          </w:p>
        </w:tc>
        <w:tc>
          <w:tcPr>
            <w:tcW w:w="320" w:type="dxa"/>
            <w:vAlign w:val="bottom"/>
          </w:tcPr>
          <w:p>
            <w:pPr>
              <w:spacing w:after="0"/>
              <w:rPr>
                <w:sz w:val="21"/>
                <w:szCs w:val="21"/>
                <w:color w:val="auto"/>
              </w:rPr>
            </w:pPr>
          </w:p>
        </w:tc>
        <w:tc>
          <w:tcPr>
            <w:tcW w:w="96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040" w:type="dxa"/>
            <w:vAlign w:val="bottom"/>
          </w:tcPr>
          <w:p>
            <w:pPr>
              <w:spacing w:after="0"/>
              <w:rPr>
                <w:sz w:val="21"/>
                <w:szCs w:val="21"/>
                <w:color w:val="auto"/>
              </w:rPr>
            </w:pPr>
          </w:p>
        </w:tc>
      </w:tr>
      <w:tr>
        <w:trPr>
          <w:trHeight w:val="27"/>
        </w:trPr>
        <w:tc>
          <w:tcPr>
            <w:tcW w:w="7080" w:type="dxa"/>
            <w:vAlign w:val="bottom"/>
          </w:tcPr>
          <w:p>
            <w:pPr>
              <w:spacing w:after="0"/>
              <w:rPr>
                <w:sz w:val="2"/>
                <w:szCs w:val="2"/>
                <w:color w:val="auto"/>
              </w:rPr>
            </w:pPr>
          </w:p>
        </w:tc>
        <w:tc>
          <w:tcPr>
            <w:tcW w:w="320" w:type="dxa"/>
            <w:vAlign w:val="bottom"/>
          </w:tcPr>
          <w:p>
            <w:pPr>
              <w:spacing w:after="0"/>
              <w:rPr>
                <w:sz w:val="2"/>
                <w:szCs w:val="2"/>
                <w:color w:val="auto"/>
              </w:rPr>
            </w:pPr>
          </w:p>
        </w:tc>
        <w:tc>
          <w:tcPr>
            <w:tcW w:w="960" w:type="dxa"/>
            <w:vAlign w:val="bottom"/>
          </w:tcPr>
          <w:p>
            <w:pPr>
              <w:spacing w:after="0"/>
              <w:rPr>
                <w:sz w:val="2"/>
                <w:szCs w:val="2"/>
                <w:color w:val="auto"/>
              </w:rPr>
            </w:pPr>
          </w:p>
        </w:tc>
        <w:tc>
          <w:tcPr>
            <w:tcW w:w="8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40" w:type="dxa"/>
            <w:vAlign w:val="bottom"/>
          </w:tcPr>
          <w:p>
            <w:pPr>
              <w:spacing w:after="0"/>
              <w:rPr>
                <w:sz w:val="2"/>
                <w:szCs w:val="2"/>
                <w:color w:val="auto"/>
              </w:rPr>
            </w:pPr>
          </w:p>
        </w:tc>
      </w:tr>
      <w:tr>
        <w:trPr>
          <w:trHeight w:val="270"/>
        </w:trPr>
        <w:tc>
          <w:tcPr>
            <w:tcW w:w="7080" w:type="dxa"/>
            <w:vAlign w:val="bottom"/>
            <w:shd w:val="clear" w:color="auto" w:fill="CCEEFF"/>
          </w:tcPr>
          <w:p>
            <w:pPr>
              <w:ind w:left="40"/>
              <w:spacing w:after="0"/>
              <w:rPr>
                <w:sz w:val="20"/>
                <w:szCs w:val="20"/>
                <w:color w:val="auto"/>
              </w:rPr>
            </w:pPr>
            <w:r>
              <w:rPr>
                <w:rFonts w:ascii="Arial" w:cs="Arial" w:eastAsia="Arial" w:hAnsi="Arial"/>
                <w:sz w:val="18"/>
                <w:szCs w:val="18"/>
                <w:color w:val="auto"/>
              </w:rPr>
              <w:t>Net income for purposes of computing diluted EPS</w:t>
            </w:r>
          </w:p>
        </w:tc>
        <w:tc>
          <w:tcPr>
            <w:tcW w:w="32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1,686</w:t>
            </w:r>
          </w:p>
        </w:tc>
        <w:tc>
          <w:tcPr>
            <w:tcW w:w="520" w:type="dxa"/>
            <w:vAlign w:val="bottom"/>
            <w:gridSpan w:val="3"/>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060" w:type="dxa"/>
            <w:vAlign w:val="bottom"/>
            <w:shd w:val="clear" w:color="auto" w:fill="CCEEFF"/>
          </w:tcPr>
          <w:p>
            <w:pPr>
              <w:jc w:val="right"/>
              <w:ind w:right="32"/>
              <w:spacing w:after="0"/>
              <w:rPr>
                <w:sz w:val="20"/>
                <w:szCs w:val="20"/>
                <w:color w:val="auto"/>
              </w:rPr>
            </w:pPr>
            <w:r>
              <w:rPr>
                <w:rFonts w:ascii="Arial" w:cs="Arial" w:eastAsia="Arial" w:hAnsi="Arial"/>
                <w:sz w:val="18"/>
                <w:szCs w:val="18"/>
                <w:color w:val="auto"/>
              </w:rPr>
              <w:t>1,412</w:t>
            </w:r>
          </w:p>
        </w:tc>
        <w:tc>
          <w:tcPr>
            <w:tcW w:w="100" w:type="dxa"/>
            <w:vAlign w:val="bottom"/>
            <w:shd w:val="clear" w:color="auto" w:fill="CCEEFF"/>
          </w:tcPr>
          <w:p>
            <w:pPr>
              <w:spacing w:after="0"/>
              <w:rPr>
                <w:sz w:val="23"/>
                <w:szCs w:val="23"/>
                <w:color w:val="auto"/>
              </w:rPr>
            </w:pPr>
          </w:p>
        </w:tc>
        <w:tc>
          <w:tcPr>
            <w:tcW w:w="34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04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1,282</w:t>
            </w:r>
          </w:p>
        </w:tc>
      </w:tr>
      <w:tr>
        <w:trPr>
          <w:trHeight w:val="243"/>
        </w:trPr>
        <w:tc>
          <w:tcPr>
            <w:tcW w:w="7080" w:type="dxa"/>
            <w:vAlign w:val="bottom"/>
          </w:tcPr>
          <w:p>
            <w:pPr>
              <w:ind w:left="40"/>
              <w:spacing w:after="0"/>
              <w:rPr>
                <w:sz w:val="20"/>
                <w:szCs w:val="20"/>
                <w:color w:val="auto"/>
              </w:rPr>
            </w:pPr>
            <w:r>
              <w:rPr>
                <w:rFonts w:ascii="Arial" w:cs="Arial" w:eastAsia="Arial" w:hAnsi="Arial"/>
                <w:sz w:val="18"/>
                <w:szCs w:val="18"/>
                <w:color w:val="auto"/>
              </w:rPr>
              <w:t>Share computation for diluted EPS (in thousands):</w:t>
            </w:r>
          </w:p>
        </w:tc>
        <w:tc>
          <w:tcPr>
            <w:tcW w:w="320" w:type="dxa"/>
            <w:vAlign w:val="bottom"/>
          </w:tcPr>
          <w:p>
            <w:pPr>
              <w:spacing w:after="0"/>
              <w:rPr>
                <w:sz w:val="21"/>
                <w:szCs w:val="21"/>
                <w:color w:val="auto"/>
              </w:rPr>
            </w:pPr>
          </w:p>
        </w:tc>
        <w:tc>
          <w:tcPr>
            <w:tcW w:w="96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040" w:type="dxa"/>
            <w:vAlign w:val="bottom"/>
          </w:tcPr>
          <w:p>
            <w:pPr>
              <w:spacing w:after="0"/>
              <w:rPr>
                <w:sz w:val="21"/>
                <w:szCs w:val="21"/>
                <w:color w:val="auto"/>
              </w:rPr>
            </w:pPr>
          </w:p>
        </w:tc>
      </w:tr>
      <w:tr>
        <w:trPr>
          <w:trHeight w:val="27"/>
        </w:trPr>
        <w:tc>
          <w:tcPr>
            <w:tcW w:w="7080" w:type="dxa"/>
            <w:vAlign w:val="bottom"/>
          </w:tcPr>
          <w:p>
            <w:pPr>
              <w:spacing w:after="0"/>
              <w:rPr>
                <w:sz w:val="2"/>
                <w:szCs w:val="2"/>
                <w:color w:val="auto"/>
              </w:rPr>
            </w:pPr>
          </w:p>
        </w:tc>
        <w:tc>
          <w:tcPr>
            <w:tcW w:w="320" w:type="dxa"/>
            <w:vAlign w:val="bottom"/>
          </w:tcPr>
          <w:p>
            <w:pPr>
              <w:spacing w:after="0"/>
              <w:rPr>
                <w:sz w:val="2"/>
                <w:szCs w:val="2"/>
                <w:color w:val="auto"/>
              </w:rPr>
            </w:pPr>
          </w:p>
        </w:tc>
        <w:tc>
          <w:tcPr>
            <w:tcW w:w="960" w:type="dxa"/>
            <w:vAlign w:val="bottom"/>
          </w:tcPr>
          <w:p>
            <w:pPr>
              <w:spacing w:after="0"/>
              <w:rPr>
                <w:sz w:val="2"/>
                <w:szCs w:val="2"/>
                <w:color w:val="auto"/>
              </w:rPr>
            </w:pPr>
          </w:p>
        </w:tc>
        <w:tc>
          <w:tcPr>
            <w:tcW w:w="8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40" w:type="dxa"/>
            <w:vAlign w:val="bottom"/>
          </w:tcPr>
          <w:p>
            <w:pPr>
              <w:spacing w:after="0"/>
              <w:rPr>
                <w:sz w:val="2"/>
                <w:szCs w:val="2"/>
                <w:color w:val="auto"/>
              </w:rPr>
            </w:pPr>
          </w:p>
        </w:tc>
      </w:tr>
      <w:tr>
        <w:trPr>
          <w:trHeight w:val="270"/>
        </w:trPr>
        <w:tc>
          <w:tcPr>
            <w:tcW w:w="7080" w:type="dxa"/>
            <w:vAlign w:val="bottom"/>
            <w:shd w:val="clear" w:color="auto" w:fill="CCEEFF"/>
          </w:tcPr>
          <w:p>
            <w:pPr>
              <w:ind w:left="280"/>
              <w:spacing w:after="0"/>
              <w:rPr>
                <w:sz w:val="20"/>
                <w:szCs w:val="20"/>
                <w:color w:val="auto"/>
              </w:rPr>
            </w:pPr>
            <w:r>
              <w:rPr>
                <w:rFonts w:ascii="Arial" w:cs="Arial" w:eastAsia="Arial" w:hAnsi="Arial"/>
                <w:sz w:val="18"/>
                <w:szCs w:val="18"/>
                <w:color w:val="auto"/>
              </w:rPr>
              <w:t>Basic weighted average common shares outstanding</w:t>
            </w:r>
          </w:p>
        </w:tc>
        <w:tc>
          <w:tcPr>
            <w:tcW w:w="320" w:type="dxa"/>
            <w:vAlign w:val="bottom"/>
            <w:shd w:val="clear" w:color="auto" w:fill="CCEEFF"/>
          </w:tcPr>
          <w:p>
            <w:pPr>
              <w:spacing w:after="0"/>
              <w:rPr>
                <w:sz w:val="23"/>
                <w:szCs w:val="23"/>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443,363</w:t>
            </w:r>
          </w:p>
        </w:tc>
        <w:tc>
          <w:tcPr>
            <w:tcW w:w="8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320" w:type="dxa"/>
            <w:vAlign w:val="bottom"/>
            <w:shd w:val="clear" w:color="auto" w:fill="CCEEFF"/>
          </w:tcPr>
          <w:p>
            <w:pPr>
              <w:spacing w:after="0"/>
              <w:rPr>
                <w:sz w:val="23"/>
                <w:szCs w:val="23"/>
                <w:color w:val="auto"/>
              </w:rPr>
            </w:pPr>
          </w:p>
        </w:tc>
        <w:tc>
          <w:tcPr>
            <w:tcW w:w="1060" w:type="dxa"/>
            <w:vAlign w:val="bottom"/>
            <w:shd w:val="clear" w:color="auto" w:fill="CCEEFF"/>
          </w:tcPr>
          <w:p>
            <w:pPr>
              <w:jc w:val="right"/>
              <w:ind w:right="32"/>
              <w:spacing w:after="0"/>
              <w:rPr>
                <w:sz w:val="20"/>
                <w:szCs w:val="20"/>
                <w:color w:val="auto"/>
              </w:rPr>
            </w:pPr>
            <w:r>
              <w:rPr>
                <w:rFonts w:ascii="Arial" w:cs="Arial" w:eastAsia="Arial" w:hAnsi="Arial"/>
                <w:sz w:val="18"/>
                <w:szCs w:val="18"/>
                <w:color w:val="auto"/>
              </w:rPr>
              <w:t>464,236</w:t>
            </w:r>
          </w:p>
        </w:tc>
        <w:tc>
          <w:tcPr>
            <w:tcW w:w="100" w:type="dxa"/>
            <w:vAlign w:val="bottom"/>
            <w:shd w:val="clear" w:color="auto" w:fill="CCEEFF"/>
          </w:tcPr>
          <w:p>
            <w:pPr>
              <w:spacing w:after="0"/>
              <w:rPr>
                <w:sz w:val="23"/>
                <w:szCs w:val="23"/>
                <w:color w:val="auto"/>
              </w:rPr>
            </w:pPr>
          </w:p>
        </w:tc>
        <w:tc>
          <w:tcPr>
            <w:tcW w:w="340" w:type="dxa"/>
            <w:vAlign w:val="bottom"/>
            <w:shd w:val="clear" w:color="auto" w:fill="CCEEFF"/>
          </w:tcPr>
          <w:p>
            <w:pPr>
              <w:spacing w:after="0"/>
              <w:rPr>
                <w:sz w:val="23"/>
                <w:szCs w:val="23"/>
                <w:color w:val="auto"/>
              </w:rPr>
            </w:pPr>
          </w:p>
        </w:tc>
        <w:tc>
          <w:tcPr>
            <w:tcW w:w="104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489,164</w:t>
            </w:r>
          </w:p>
        </w:tc>
      </w:tr>
      <w:tr>
        <w:trPr>
          <w:trHeight w:val="264"/>
        </w:trPr>
        <w:tc>
          <w:tcPr>
            <w:tcW w:w="7080" w:type="dxa"/>
            <w:vAlign w:val="bottom"/>
            <w:tcBorders>
              <w:bottom w:val="single" w:sz="8" w:color="CCEEFF"/>
            </w:tcBorders>
          </w:tcPr>
          <w:p>
            <w:pPr>
              <w:ind w:left="280"/>
              <w:spacing w:after="0"/>
              <w:rPr>
                <w:sz w:val="20"/>
                <w:szCs w:val="20"/>
                <w:color w:val="auto"/>
              </w:rPr>
            </w:pPr>
            <w:r>
              <w:rPr>
                <w:rFonts w:ascii="Arial" w:cs="Arial" w:eastAsia="Arial" w:hAnsi="Arial"/>
                <w:sz w:val="18"/>
                <w:szCs w:val="18"/>
                <w:color w:val="auto"/>
              </w:rPr>
              <w:t>Dilutive effect of stock awards</w:t>
            </w:r>
          </w:p>
        </w:tc>
        <w:tc>
          <w:tcPr>
            <w:tcW w:w="320" w:type="dxa"/>
            <w:vAlign w:val="bottom"/>
            <w:tcBorders>
              <w:bottom w:val="single" w:sz="8" w:color="auto"/>
            </w:tcBorders>
          </w:tcPr>
          <w:p>
            <w:pPr>
              <w:spacing w:after="0"/>
              <w:rPr>
                <w:sz w:val="22"/>
                <w:szCs w:val="22"/>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906</w:t>
            </w:r>
          </w:p>
        </w:tc>
        <w:tc>
          <w:tcPr>
            <w:tcW w:w="80" w:type="dxa"/>
            <w:vAlign w:val="bottom"/>
            <w:tcBorders>
              <w:bottom w:val="single" w:sz="8" w:color="auto"/>
            </w:tcBorders>
          </w:tcPr>
          <w:p>
            <w:pPr>
              <w:spacing w:after="0"/>
              <w:rPr>
                <w:sz w:val="22"/>
                <w:szCs w:val="22"/>
                <w:color w:val="auto"/>
              </w:rPr>
            </w:pPr>
          </w:p>
        </w:tc>
        <w:tc>
          <w:tcPr>
            <w:tcW w:w="120" w:type="dxa"/>
            <w:vAlign w:val="bottom"/>
            <w:tcBorders>
              <w:bottom w:val="single" w:sz="8" w:color="CCEEFF"/>
            </w:tcBorders>
          </w:tcPr>
          <w:p>
            <w:pPr>
              <w:spacing w:after="0"/>
              <w:rPr>
                <w:sz w:val="22"/>
                <w:szCs w:val="22"/>
                <w:color w:val="auto"/>
              </w:rPr>
            </w:pPr>
          </w:p>
        </w:tc>
        <w:tc>
          <w:tcPr>
            <w:tcW w:w="320" w:type="dxa"/>
            <w:vAlign w:val="bottom"/>
            <w:tcBorders>
              <w:bottom w:val="single" w:sz="8" w:color="auto"/>
            </w:tcBorders>
          </w:tcPr>
          <w:p>
            <w:pPr>
              <w:spacing w:after="0"/>
              <w:rPr>
                <w:sz w:val="22"/>
                <w:szCs w:val="22"/>
                <w:color w:val="auto"/>
              </w:rPr>
            </w:pPr>
          </w:p>
        </w:tc>
        <w:tc>
          <w:tcPr>
            <w:tcW w:w="1060" w:type="dxa"/>
            <w:vAlign w:val="bottom"/>
            <w:tcBorders>
              <w:bottom w:val="single" w:sz="8" w:color="auto"/>
            </w:tcBorders>
          </w:tcPr>
          <w:p>
            <w:pPr>
              <w:jc w:val="right"/>
              <w:ind w:right="32"/>
              <w:spacing w:after="0"/>
              <w:rPr>
                <w:sz w:val="20"/>
                <w:szCs w:val="20"/>
                <w:color w:val="auto"/>
              </w:rPr>
            </w:pPr>
            <w:r>
              <w:rPr>
                <w:rFonts w:ascii="Arial" w:cs="Arial" w:eastAsia="Arial" w:hAnsi="Arial"/>
                <w:sz w:val="18"/>
                <w:szCs w:val="18"/>
                <w:color w:val="auto"/>
              </w:rPr>
              <w:t>1,424</w:t>
            </w:r>
          </w:p>
        </w:tc>
        <w:tc>
          <w:tcPr>
            <w:tcW w:w="100" w:type="dxa"/>
            <w:vAlign w:val="bottom"/>
            <w:tcBorders>
              <w:bottom w:val="single" w:sz="8" w:color="CCEEFF"/>
            </w:tcBorders>
          </w:tcPr>
          <w:p>
            <w:pPr>
              <w:spacing w:after="0"/>
              <w:rPr>
                <w:sz w:val="22"/>
                <w:szCs w:val="22"/>
                <w:color w:val="auto"/>
              </w:rPr>
            </w:pPr>
          </w:p>
        </w:tc>
        <w:tc>
          <w:tcPr>
            <w:tcW w:w="340" w:type="dxa"/>
            <w:vAlign w:val="bottom"/>
            <w:tcBorders>
              <w:bottom w:val="single" w:sz="8" w:color="auto"/>
            </w:tcBorders>
          </w:tcPr>
          <w:p>
            <w:pPr>
              <w:spacing w:after="0"/>
              <w:rPr>
                <w:sz w:val="22"/>
                <w:szCs w:val="22"/>
                <w:color w:val="auto"/>
              </w:rPr>
            </w:pPr>
          </w:p>
        </w:tc>
        <w:tc>
          <w:tcPr>
            <w:tcW w:w="1040" w:type="dxa"/>
            <w:vAlign w:val="bottom"/>
            <w:tcBorders>
              <w:bottom w:val="single" w:sz="8" w:color="auto"/>
            </w:tcBorders>
          </w:tcPr>
          <w:p>
            <w:pPr>
              <w:jc w:val="right"/>
              <w:ind w:right="12"/>
              <w:spacing w:after="0"/>
              <w:rPr>
                <w:sz w:val="20"/>
                <w:szCs w:val="20"/>
                <w:color w:val="auto"/>
              </w:rPr>
            </w:pPr>
            <w:r>
              <w:rPr>
                <w:rFonts w:ascii="Arial" w:cs="Arial" w:eastAsia="Arial" w:hAnsi="Arial"/>
                <w:sz w:val="18"/>
                <w:szCs w:val="18"/>
                <w:color w:val="auto"/>
              </w:rPr>
              <w:t>2,528</w:t>
            </w:r>
          </w:p>
        </w:tc>
      </w:tr>
      <w:tr>
        <w:trPr>
          <w:trHeight w:val="257"/>
        </w:trPr>
        <w:tc>
          <w:tcPr>
            <w:tcW w:w="7080" w:type="dxa"/>
            <w:vAlign w:val="bottom"/>
            <w:shd w:val="clear" w:color="auto" w:fill="CCEEFF"/>
          </w:tcPr>
          <w:p>
            <w:pPr>
              <w:ind w:left="500"/>
              <w:spacing w:after="0"/>
              <w:rPr>
                <w:sz w:val="20"/>
                <w:szCs w:val="20"/>
                <w:color w:val="auto"/>
              </w:rPr>
            </w:pPr>
            <w:r>
              <w:rPr>
                <w:rFonts w:ascii="Arial" w:cs="Arial" w:eastAsia="Arial" w:hAnsi="Arial"/>
                <w:sz w:val="18"/>
                <w:szCs w:val="18"/>
                <w:color w:val="auto"/>
              </w:rPr>
              <w:t>Diluted weighted average common shares outstanding</w:t>
            </w:r>
          </w:p>
        </w:tc>
        <w:tc>
          <w:tcPr>
            <w:tcW w:w="320" w:type="dxa"/>
            <w:vAlign w:val="bottom"/>
            <w:tcBorders>
              <w:bottom w:val="single" w:sz="8" w:color="auto"/>
            </w:tcBorders>
            <w:shd w:val="clear" w:color="auto" w:fill="CCEEFF"/>
          </w:tcPr>
          <w:p>
            <w:pPr>
              <w:spacing w:after="0"/>
              <w:rPr>
                <w:sz w:val="22"/>
                <w:szCs w:val="22"/>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444,269</w:t>
            </w:r>
          </w:p>
        </w:tc>
        <w:tc>
          <w:tcPr>
            <w:tcW w:w="80" w:type="dxa"/>
            <w:vAlign w:val="bottom"/>
            <w:tcBorders>
              <w:bottom w:val="single" w:sz="8" w:color="auto"/>
            </w:tcBorders>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320" w:type="dxa"/>
            <w:vAlign w:val="bottom"/>
            <w:tcBorders>
              <w:bottom w:val="single" w:sz="8" w:color="auto"/>
            </w:tcBorders>
            <w:shd w:val="clear" w:color="auto" w:fill="CCEEFF"/>
          </w:tcPr>
          <w:p>
            <w:pPr>
              <w:spacing w:after="0"/>
              <w:rPr>
                <w:sz w:val="22"/>
                <w:szCs w:val="22"/>
                <w:color w:val="auto"/>
              </w:rPr>
            </w:pPr>
          </w:p>
        </w:tc>
        <w:tc>
          <w:tcPr>
            <w:tcW w:w="1060" w:type="dxa"/>
            <w:vAlign w:val="bottom"/>
            <w:tcBorders>
              <w:bottom w:val="single" w:sz="8" w:color="auto"/>
            </w:tcBorders>
            <w:shd w:val="clear" w:color="auto" w:fill="CCEEFF"/>
          </w:tcPr>
          <w:p>
            <w:pPr>
              <w:jc w:val="right"/>
              <w:ind w:right="32"/>
              <w:spacing w:after="0"/>
              <w:rPr>
                <w:sz w:val="20"/>
                <w:szCs w:val="20"/>
                <w:color w:val="auto"/>
              </w:rPr>
            </w:pPr>
            <w:r>
              <w:rPr>
                <w:rFonts w:ascii="Arial" w:cs="Arial" w:eastAsia="Arial" w:hAnsi="Arial"/>
                <w:sz w:val="18"/>
                <w:szCs w:val="18"/>
                <w:color w:val="auto"/>
              </w:rPr>
              <w:t>465,660</w:t>
            </w:r>
          </w:p>
        </w:tc>
        <w:tc>
          <w:tcPr>
            <w:tcW w:w="100" w:type="dxa"/>
            <w:vAlign w:val="bottom"/>
            <w:shd w:val="clear" w:color="auto" w:fill="CCEEFF"/>
          </w:tcPr>
          <w:p>
            <w:pPr>
              <w:spacing w:after="0"/>
              <w:rPr>
                <w:sz w:val="22"/>
                <w:szCs w:val="22"/>
                <w:color w:val="auto"/>
              </w:rPr>
            </w:pPr>
          </w:p>
        </w:tc>
        <w:tc>
          <w:tcPr>
            <w:tcW w:w="340" w:type="dxa"/>
            <w:vAlign w:val="bottom"/>
            <w:tcBorders>
              <w:bottom w:val="single" w:sz="8" w:color="auto"/>
            </w:tcBorders>
            <w:shd w:val="clear" w:color="auto" w:fill="CCEEFF"/>
          </w:tcPr>
          <w:p>
            <w:pPr>
              <w:spacing w:after="0"/>
              <w:rPr>
                <w:sz w:val="22"/>
                <w:szCs w:val="22"/>
                <w:color w:val="auto"/>
              </w:rPr>
            </w:pPr>
          </w:p>
        </w:tc>
        <w:tc>
          <w:tcPr>
            <w:tcW w:w="1040" w:type="dxa"/>
            <w:vAlign w:val="bottom"/>
            <w:tcBorders>
              <w:bottom w:val="single" w:sz="8" w:color="auto"/>
            </w:tcBorders>
            <w:shd w:val="clear" w:color="auto" w:fill="CCEEFF"/>
          </w:tcPr>
          <w:p>
            <w:pPr>
              <w:jc w:val="right"/>
              <w:ind w:right="12"/>
              <w:spacing w:after="0"/>
              <w:rPr>
                <w:sz w:val="20"/>
                <w:szCs w:val="20"/>
                <w:color w:val="auto"/>
              </w:rPr>
            </w:pPr>
            <w:r>
              <w:rPr>
                <w:rFonts w:ascii="Arial" w:cs="Arial" w:eastAsia="Arial" w:hAnsi="Arial"/>
                <w:sz w:val="18"/>
                <w:szCs w:val="18"/>
                <w:color w:val="auto"/>
              </w:rPr>
              <w:t>491,692</w:t>
            </w:r>
          </w:p>
        </w:tc>
      </w:tr>
      <w:tr>
        <w:trPr>
          <w:trHeight w:val="284"/>
        </w:trPr>
        <w:tc>
          <w:tcPr>
            <w:tcW w:w="7080" w:type="dxa"/>
            <w:vAlign w:val="bottom"/>
          </w:tcPr>
          <w:p>
            <w:pPr>
              <w:ind w:left="720"/>
              <w:spacing w:after="0"/>
              <w:rPr>
                <w:sz w:val="20"/>
                <w:szCs w:val="20"/>
                <w:color w:val="auto"/>
              </w:rPr>
            </w:pPr>
            <w:r>
              <w:rPr>
                <w:rFonts w:ascii="Arial" w:cs="Arial" w:eastAsia="Arial" w:hAnsi="Arial"/>
                <w:sz w:val="18"/>
                <w:szCs w:val="18"/>
                <w:color w:val="auto"/>
              </w:rPr>
              <w:t>Diluted EPS</w:t>
            </w:r>
          </w:p>
        </w:tc>
        <w:tc>
          <w:tcPr>
            <w:tcW w:w="320" w:type="dxa"/>
            <w:vAlign w:val="bottom"/>
          </w:tcPr>
          <w:p>
            <w:pPr>
              <w:jc w:val="right"/>
              <w:ind w:right="110"/>
              <w:spacing w:after="0"/>
              <w:rPr>
                <w:sz w:val="20"/>
                <w:szCs w:val="20"/>
                <w:color w:val="auto"/>
              </w:rPr>
            </w:pPr>
            <w:r>
              <w:rPr>
                <w:rFonts w:ascii="Arial" w:cs="Arial" w:eastAsia="Arial" w:hAnsi="Arial"/>
                <w:sz w:val="18"/>
                <w:szCs w:val="18"/>
                <w:color w:val="auto"/>
                <w:w w:val="99"/>
              </w:rPr>
              <w:t>$</w:t>
            </w:r>
          </w:p>
        </w:tc>
        <w:tc>
          <w:tcPr>
            <w:tcW w:w="960" w:type="dxa"/>
            <w:vAlign w:val="bottom"/>
          </w:tcPr>
          <w:p>
            <w:pPr>
              <w:jc w:val="right"/>
              <w:spacing w:after="0"/>
              <w:rPr>
                <w:sz w:val="20"/>
                <w:szCs w:val="20"/>
                <w:color w:val="auto"/>
              </w:rPr>
            </w:pPr>
            <w:r>
              <w:rPr>
                <w:rFonts w:ascii="Arial" w:cs="Arial" w:eastAsia="Arial" w:hAnsi="Arial"/>
                <w:sz w:val="18"/>
                <w:szCs w:val="18"/>
                <w:color w:val="auto"/>
              </w:rPr>
              <w:t>3.79</w:t>
            </w:r>
          </w:p>
        </w:tc>
        <w:tc>
          <w:tcPr>
            <w:tcW w:w="520" w:type="dxa"/>
            <w:vAlign w:val="bottom"/>
            <w:gridSpan w:val="3"/>
          </w:tcPr>
          <w:p>
            <w:pPr>
              <w:jc w:val="right"/>
              <w:ind w:right="200"/>
              <w:spacing w:after="0"/>
              <w:rPr>
                <w:sz w:val="20"/>
                <w:szCs w:val="20"/>
                <w:color w:val="auto"/>
              </w:rPr>
            </w:pPr>
            <w:r>
              <w:rPr>
                <w:rFonts w:ascii="Arial" w:cs="Arial" w:eastAsia="Arial" w:hAnsi="Arial"/>
                <w:sz w:val="18"/>
                <w:szCs w:val="18"/>
                <w:color w:val="auto"/>
              </w:rPr>
              <w:t>$</w:t>
            </w:r>
          </w:p>
        </w:tc>
        <w:tc>
          <w:tcPr>
            <w:tcW w:w="1060" w:type="dxa"/>
            <w:vAlign w:val="bottom"/>
          </w:tcPr>
          <w:p>
            <w:pPr>
              <w:jc w:val="right"/>
              <w:ind w:right="32"/>
              <w:spacing w:after="0"/>
              <w:rPr>
                <w:sz w:val="20"/>
                <w:szCs w:val="20"/>
                <w:color w:val="auto"/>
              </w:rPr>
            </w:pPr>
            <w:r>
              <w:rPr>
                <w:rFonts w:ascii="Arial" w:cs="Arial" w:eastAsia="Arial" w:hAnsi="Arial"/>
                <w:sz w:val="18"/>
                <w:szCs w:val="18"/>
                <w:color w:val="auto"/>
              </w:rPr>
              <w:t>3.03</w:t>
            </w:r>
          </w:p>
        </w:tc>
        <w:tc>
          <w:tcPr>
            <w:tcW w:w="100" w:type="dxa"/>
            <w:vAlign w:val="bottom"/>
          </w:tcPr>
          <w:p>
            <w:pPr>
              <w:spacing w:after="0"/>
              <w:rPr>
                <w:sz w:val="24"/>
                <w:szCs w:val="24"/>
                <w:color w:val="auto"/>
              </w:rPr>
            </w:pPr>
          </w:p>
        </w:tc>
        <w:tc>
          <w:tcPr>
            <w:tcW w:w="340" w:type="dxa"/>
            <w:vAlign w:val="bottom"/>
          </w:tcPr>
          <w:p>
            <w:pPr>
              <w:jc w:val="right"/>
              <w:ind w:right="130"/>
              <w:spacing w:after="0"/>
              <w:rPr>
                <w:sz w:val="20"/>
                <w:szCs w:val="20"/>
                <w:color w:val="auto"/>
              </w:rPr>
            </w:pPr>
            <w:r>
              <w:rPr>
                <w:rFonts w:ascii="Arial" w:cs="Arial" w:eastAsia="Arial" w:hAnsi="Arial"/>
                <w:sz w:val="18"/>
                <w:szCs w:val="18"/>
                <w:color w:val="auto"/>
                <w:w w:val="99"/>
              </w:rPr>
              <w:t>$</w:t>
            </w:r>
          </w:p>
        </w:tc>
        <w:tc>
          <w:tcPr>
            <w:tcW w:w="1040" w:type="dxa"/>
            <w:vAlign w:val="bottom"/>
          </w:tcPr>
          <w:p>
            <w:pPr>
              <w:jc w:val="right"/>
              <w:ind w:right="12"/>
              <w:spacing w:after="0"/>
              <w:rPr>
                <w:sz w:val="20"/>
                <w:szCs w:val="20"/>
                <w:color w:val="auto"/>
              </w:rPr>
            </w:pPr>
            <w:r>
              <w:rPr>
                <w:rFonts w:ascii="Arial" w:cs="Arial" w:eastAsia="Arial" w:hAnsi="Arial"/>
                <w:sz w:val="18"/>
                <w:szCs w:val="18"/>
                <w:color w:val="auto"/>
              </w:rPr>
              <w:t>2.61</w:t>
            </w:r>
          </w:p>
        </w:tc>
      </w:tr>
      <w:tr>
        <w:trPr>
          <w:trHeight w:val="311"/>
        </w:trPr>
        <w:tc>
          <w:tcPr>
            <w:tcW w:w="7080" w:type="dxa"/>
            <w:vAlign w:val="bottom"/>
            <w:tcBorders>
              <w:top w:val="single" w:sz="8" w:color="CCEEFF"/>
            </w:tcBorders>
            <w:shd w:val="clear" w:color="auto" w:fill="CCEEFF"/>
          </w:tcPr>
          <w:p>
            <w:pPr>
              <w:spacing w:after="0"/>
              <w:rPr>
                <w:sz w:val="24"/>
                <w:szCs w:val="24"/>
                <w:color w:val="auto"/>
              </w:rPr>
            </w:pPr>
          </w:p>
        </w:tc>
        <w:tc>
          <w:tcPr>
            <w:tcW w:w="320" w:type="dxa"/>
            <w:vAlign w:val="bottom"/>
            <w:tcBorders>
              <w:top w:val="single" w:sz="8" w:color="auto"/>
            </w:tcBorders>
            <w:shd w:val="clear" w:color="auto" w:fill="CCEEFF"/>
          </w:tcPr>
          <w:p>
            <w:pPr>
              <w:spacing w:after="0"/>
              <w:rPr>
                <w:sz w:val="24"/>
                <w:szCs w:val="24"/>
                <w:color w:val="auto"/>
              </w:rPr>
            </w:pPr>
          </w:p>
        </w:tc>
        <w:tc>
          <w:tcPr>
            <w:tcW w:w="960" w:type="dxa"/>
            <w:vAlign w:val="bottom"/>
            <w:tcBorders>
              <w:top w:val="single" w:sz="8" w:color="auto"/>
            </w:tcBorders>
            <w:shd w:val="clear" w:color="auto" w:fill="CCEEFF"/>
          </w:tcPr>
          <w:p>
            <w:pPr>
              <w:spacing w:after="0"/>
              <w:rPr>
                <w:sz w:val="24"/>
                <w:szCs w:val="24"/>
                <w:color w:val="auto"/>
              </w:rPr>
            </w:pPr>
          </w:p>
        </w:tc>
        <w:tc>
          <w:tcPr>
            <w:tcW w:w="80" w:type="dxa"/>
            <w:vAlign w:val="bottom"/>
            <w:tcBorders>
              <w:top w:val="single" w:sz="8" w:color="auto"/>
            </w:tcBorders>
            <w:shd w:val="clear" w:color="auto" w:fill="CCEEFF"/>
          </w:tcPr>
          <w:p>
            <w:pPr>
              <w:spacing w:after="0"/>
              <w:rPr>
                <w:sz w:val="24"/>
                <w:szCs w:val="24"/>
                <w:color w:val="auto"/>
              </w:rPr>
            </w:pPr>
          </w:p>
        </w:tc>
        <w:tc>
          <w:tcPr>
            <w:tcW w:w="120" w:type="dxa"/>
            <w:vAlign w:val="bottom"/>
            <w:tcBorders>
              <w:top w:val="single" w:sz="8" w:color="CCEEFF"/>
            </w:tcBorders>
            <w:shd w:val="clear" w:color="auto" w:fill="CCEEFF"/>
          </w:tcPr>
          <w:p>
            <w:pPr>
              <w:spacing w:after="0"/>
              <w:rPr>
                <w:sz w:val="24"/>
                <w:szCs w:val="24"/>
                <w:color w:val="auto"/>
              </w:rPr>
            </w:pPr>
          </w:p>
        </w:tc>
        <w:tc>
          <w:tcPr>
            <w:tcW w:w="320" w:type="dxa"/>
            <w:vAlign w:val="bottom"/>
            <w:tcBorders>
              <w:top w:val="single" w:sz="8" w:color="auto"/>
            </w:tcBorders>
            <w:shd w:val="clear" w:color="auto" w:fill="CCEEFF"/>
          </w:tcPr>
          <w:p>
            <w:pPr>
              <w:spacing w:after="0"/>
              <w:rPr>
                <w:sz w:val="24"/>
                <w:szCs w:val="24"/>
                <w:color w:val="auto"/>
              </w:rPr>
            </w:pPr>
          </w:p>
        </w:tc>
        <w:tc>
          <w:tcPr>
            <w:tcW w:w="1060" w:type="dxa"/>
            <w:vAlign w:val="bottom"/>
            <w:tcBorders>
              <w:top w:val="single" w:sz="8" w:color="auto"/>
            </w:tcBorders>
            <w:shd w:val="clear" w:color="auto" w:fill="CCEEFF"/>
          </w:tcPr>
          <w:p>
            <w:pPr>
              <w:spacing w:after="0"/>
              <w:rPr>
                <w:sz w:val="24"/>
                <w:szCs w:val="24"/>
                <w:color w:val="auto"/>
              </w:rPr>
            </w:pPr>
          </w:p>
        </w:tc>
        <w:tc>
          <w:tcPr>
            <w:tcW w:w="100" w:type="dxa"/>
            <w:vAlign w:val="bottom"/>
            <w:tcBorders>
              <w:top w:val="single" w:sz="8" w:color="CCEEFF"/>
            </w:tcBorders>
            <w:shd w:val="clear" w:color="auto" w:fill="CCEEFF"/>
          </w:tcPr>
          <w:p>
            <w:pPr>
              <w:spacing w:after="0"/>
              <w:rPr>
                <w:sz w:val="24"/>
                <w:szCs w:val="24"/>
                <w:color w:val="auto"/>
              </w:rPr>
            </w:pPr>
          </w:p>
        </w:tc>
        <w:tc>
          <w:tcPr>
            <w:tcW w:w="340" w:type="dxa"/>
            <w:vAlign w:val="bottom"/>
            <w:tcBorders>
              <w:top w:val="single" w:sz="8" w:color="auto"/>
            </w:tcBorders>
            <w:shd w:val="clear" w:color="auto" w:fill="CCEEFF"/>
          </w:tcPr>
          <w:p>
            <w:pPr>
              <w:spacing w:after="0"/>
              <w:rPr>
                <w:sz w:val="24"/>
                <w:szCs w:val="24"/>
                <w:color w:val="auto"/>
              </w:rPr>
            </w:pPr>
          </w:p>
        </w:tc>
        <w:tc>
          <w:tcPr>
            <w:tcW w:w="1040" w:type="dxa"/>
            <w:vAlign w:val="bottom"/>
            <w:tcBorders>
              <w:top w:val="single" w:sz="8" w:color="auto"/>
            </w:tcBorders>
            <w:shd w:val="clear" w:color="auto" w:fill="CCEEFF"/>
          </w:tcPr>
          <w:p>
            <w:pPr>
              <w:spacing w:after="0"/>
              <w:rPr>
                <w:sz w:val="24"/>
                <w:szCs w:val="24"/>
                <w:color w:val="auto"/>
              </w:rPr>
            </w:pPr>
          </w:p>
        </w:tc>
      </w:tr>
      <w:tr>
        <w:trPr>
          <w:trHeight w:val="229"/>
        </w:trPr>
        <w:tc>
          <w:tcPr>
            <w:tcW w:w="7080" w:type="dxa"/>
            <w:vAlign w:val="bottom"/>
          </w:tcPr>
          <w:p>
            <w:pPr>
              <w:ind w:left="40"/>
              <w:spacing w:after="0"/>
              <w:rPr>
                <w:sz w:val="20"/>
                <w:szCs w:val="20"/>
                <w:color w:val="auto"/>
              </w:rPr>
            </w:pPr>
            <w:r>
              <w:rPr>
                <w:rFonts w:ascii="Arial" w:cs="Arial" w:eastAsia="Arial" w:hAnsi="Arial"/>
                <w:sz w:val="18"/>
                <w:szCs w:val="18"/>
                <w:color w:val="auto"/>
              </w:rPr>
              <w:t>Restricted stock unit awards excluded from the calculation of diluted EPS because</w:t>
            </w:r>
          </w:p>
        </w:tc>
        <w:tc>
          <w:tcPr>
            <w:tcW w:w="32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040" w:type="dxa"/>
            <w:vAlign w:val="bottom"/>
          </w:tcPr>
          <w:p>
            <w:pPr>
              <w:spacing w:after="0"/>
              <w:rPr>
                <w:sz w:val="19"/>
                <w:szCs w:val="19"/>
                <w:color w:val="auto"/>
              </w:rPr>
            </w:pPr>
          </w:p>
        </w:tc>
      </w:tr>
      <w:tr>
        <w:trPr>
          <w:trHeight w:val="217"/>
        </w:trPr>
        <w:tc>
          <w:tcPr>
            <w:tcW w:w="7080" w:type="dxa"/>
            <w:vAlign w:val="bottom"/>
          </w:tcPr>
          <w:p>
            <w:pPr>
              <w:ind w:left="200"/>
              <w:spacing w:after="0"/>
              <w:rPr>
                <w:sz w:val="20"/>
                <w:szCs w:val="20"/>
                <w:color w:val="auto"/>
              </w:rPr>
            </w:pPr>
            <w:r>
              <w:rPr>
                <w:rFonts w:ascii="Arial" w:cs="Arial" w:eastAsia="Arial" w:hAnsi="Arial"/>
                <w:sz w:val="18"/>
                <w:szCs w:val="18"/>
                <w:color w:val="auto"/>
              </w:rPr>
              <w:t>inclusion would be antidilutive (in thousands)</w:t>
            </w:r>
          </w:p>
        </w:tc>
        <w:tc>
          <w:tcPr>
            <w:tcW w:w="32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2,520</w:t>
            </w: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60" w:type="dxa"/>
            <w:vAlign w:val="bottom"/>
          </w:tcPr>
          <w:p>
            <w:pPr>
              <w:jc w:val="right"/>
              <w:ind w:right="32"/>
              <w:spacing w:after="0"/>
              <w:rPr>
                <w:sz w:val="20"/>
                <w:szCs w:val="20"/>
                <w:color w:val="auto"/>
              </w:rPr>
            </w:pPr>
            <w:r>
              <w:rPr>
                <w:rFonts w:ascii="Arial" w:cs="Arial" w:eastAsia="Arial" w:hAnsi="Arial"/>
                <w:sz w:val="18"/>
                <w:szCs w:val="18"/>
                <w:color w:val="auto"/>
              </w:rPr>
              <w:t>1,266</w:t>
            </w: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040" w:type="dxa"/>
            <w:vAlign w:val="bottom"/>
          </w:tcPr>
          <w:p>
            <w:pPr>
              <w:jc w:val="right"/>
              <w:ind w:right="12"/>
              <w:spacing w:after="0"/>
              <w:rPr>
                <w:sz w:val="20"/>
                <w:szCs w:val="20"/>
                <w:color w:val="auto"/>
              </w:rPr>
            </w:pPr>
            <w:r>
              <w:rPr>
                <w:rFonts w:ascii="Arial" w:cs="Arial" w:eastAsia="Arial" w:hAnsi="Arial"/>
                <w:sz w:val="18"/>
                <w:szCs w:val="18"/>
                <w:color w:val="auto"/>
              </w:rPr>
              <w:t>328</w:t>
            </w:r>
          </w:p>
        </w:tc>
      </w:tr>
    </w:tbl>
    <w:p>
      <w:pPr>
        <w:spacing w:after="0" w:line="200" w:lineRule="exact"/>
        <w:rPr>
          <w:sz w:val="20"/>
          <w:szCs w:val="20"/>
          <w:color w:val="auto"/>
        </w:rPr>
      </w:pPr>
    </w:p>
    <w:p>
      <w:pPr>
        <w:spacing w:after="0" w:line="25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4. Share Repurchase Programs and Dividends</w:t>
      </w:r>
    </w:p>
    <w:p>
      <w:pPr>
        <w:spacing w:after="0" w:line="112" w:lineRule="exact"/>
        <w:rPr>
          <w:sz w:val="20"/>
          <w:szCs w:val="20"/>
          <w:color w:val="auto"/>
        </w:rPr>
      </w:pPr>
    </w:p>
    <w:p>
      <w:pPr>
        <w:jc w:val="both"/>
        <w:ind w:firstLine="216"/>
        <w:spacing w:after="0" w:line="252" w:lineRule="auto"/>
        <w:rPr>
          <w:sz w:val="20"/>
          <w:szCs w:val="20"/>
          <w:color w:val="auto"/>
        </w:rPr>
      </w:pPr>
      <w:r>
        <w:rPr>
          <w:rFonts w:ascii="Arial" w:cs="Arial" w:eastAsia="Arial" w:hAnsi="Arial"/>
          <w:sz w:val="18"/>
          <w:szCs w:val="18"/>
          <w:color w:val="auto"/>
        </w:rPr>
        <w:t>In April 2018, we announced that our Board of Directors authorized a $2.0 billion share repurchase program that will expire on December 31, 2020. Since July 2014, our Board of Directors has approved seven share repurchase programs aggregating $13.0 billion of authority. As of December 31, 2019, there was $565 million of remaining authority to repurchase shares under our current $2.0 billion share repurchase program. Share repurchases under our repurchase programs may be made through a variety of methods, which may include open market purchases, privately negotiated transactions, block trades or accelerated share repurchase transactions. Any such repurchases that may be made from time to time will be subject to market and economic conditions, applicable legal requirements and other relevant factors. We are not obligated to repurchase any specific number of shares and our repurchase of AAG common stock may be limited, suspended or discontinued at any time at our discretion and without prior notice.</w:t>
      </w:r>
    </w:p>
    <w:p>
      <w:pPr>
        <w:spacing w:after="0" w:line="152" w:lineRule="exact"/>
        <w:rPr>
          <w:sz w:val="20"/>
          <w:szCs w:val="20"/>
          <w:color w:val="auto"/>
        </w:rPr>
      </w:pPr>
    </w:p>
    <w:p>
      <w:pPr>
        <w:jc w:val="both"/>
        <w:ind w:firstLine="216"/>
        <w:spacing w:after="0" w:line="253" w:lineRule="auto"/>
        <w:rPr>
          <w:sz w:val="20"/>
          <w:szCs w:val="20"/>
          <w:color w:val="auto"/>
        </w:rPr>
      </w:pPr>
      <w:r>
        <w:rPr>
          <w:rFonts w:ascii="Arial" w:cs="Arial" w:eastAsia="Arial" w:hAnsi="Arial"/>
          <w:sz w:val="18"/>
          <w:szCs w:val="18"/>
          <w:color w:val="auto"/>
        </w:rPr>
        <w:t>In 2019, we repurchased 33.8 million shares of AAG common stock for $1.1 billion at a weighted average cost per share of $32.09. In 2018, we repurchased 16.6 million shares of AAG common stock for $800 million at a weighted average cost per share of $48.15. In 2017, we repurchased 33.9 million shares of AAG common stock for $1.6 billion at a weighted average cost per share of $45.68. Since the inception of our share repurchase programs in July 2014 through December 31, 2019, we have repurchased 312.7 million shares of AAG common stock for $12.4 billion at a weighted average cost per share of $39.76.</w:t>
      </w:r>
    </w:p>
    <w:p>
      <w:pPr>
        <w:spacing w:after="0" w:line="152" w:lineRule="exact"/>
        <w:rPr>
          <w:sz w:val="20"/>
          <w:szCs w:val="20"/>
          <w:color w:val="auto"/>
        </w:rPr>
      </w:pPr>
    </w:p>
    <w:p>
      <w:pPr>
        <w:jc w:val="both"/>
        <w:ind w:firstLine="216"/>
        <w:spacing w:after="0" w:line="262" w:lineRule="auto"/>
        <w:rPr>
          <w:sz w:val="20"/>
          <w:szCs w:val="20"/>
          <w:color w:val="auto"/>
        </w:rPr>
      </w:pPr>
      <w:r>
        <w:rPr>
          <w:rFonts w:ascii="Arial" w:cs="Arial" w:eastAsia="Arial" w:hAnsi="Arial"/>
          <w:sz w:val="18"/>
          <w:szCs w:val="18"/>
          <w:color w:val="auto"/>
        </w:rPr>
        <w:t>Our Board of Directors declared quarterly cash dividends of $0.10 per share totaling $178 million, $186 million and $198 million for 2019, 2018 and 2017, respectively.</w:t>
      </w:r>
    </w:p>
    <w:p>
      <w:pPr>
        <w:spacing w:after="0" w:line="19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86</w:t>
      </w:r>
    </w:p>
    <w:p>
      <w:pPr>
        <w:sectPr>
          <w:pgSz w:w="11900" w:h="16838" w:orient="portrait"/>
          <w:cols w:equalWidth="0" w:num="1">
            <w:col w:w="11420"/>
          </w:cols>
          <w:pgMar w:left="240" w:top="549" w:right="239" w:bottom="1440" w:gutter="0" w:footer="0" w:header="0"/>
        </w:sectPr>
      </w:pPr>
    </w:p>
    <w:bookmarkStart w:id="86" w:name="page87"/>
    <w:bookmarkEnd w:id="86"/>
    <w:p>
      <w:pPr>
        <w:jc w:val="center"/>
        <w:spacing w:after="0"/>
        <w:rPr>
          <w:sz w:val="20"/>
          <w:szCs w:val="20"/>
          <w:color w:val="auto"/>
        </w:rPr>
      </w:pPr>
      <w:r>
        <w:rPr>
          <w:rFonts w:ascii="Arial" w:cs="Arial" w:eastAsia="Arial" w:hAnsi="Arial"/>
          <w:sz w:val="18"/>
          <w:szCs w:val="18"/>
          <w:b w:val="1"/>
          <w:bCs w:val="1"/>
          <w:color w:val="auto"/>
        </w:rPr>
        <w:t>NOTES TO CONSOLIDATED FINANCIAL STATEMENTS OF AMERICAN AIRLINES GROUP INC.</w:t>
      </w:r>
    </w:p>
    <w:p>
      <w:pPr>
        <w:spacing w:after="0" w:line="200" w:lineRule="exact"/>
        <w:rPr>
          <w:sz w:val="20"/>
          <w:szCs w:val="20"/>
          <w:color w:val="auto"/>
        </w:rPr>
      </w:pPr>
    </w:p>
    <w:p>
      <w:pPr>
        <w:spacing w:after="0" w:line="26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5. Debt</w:t>
      </w:r>
    </w:p>
    <w:p>
      <w:pPr>
        <w:spacing w:after="0" w:line="112" w:lineRule="exact"/>
        <w:rPr>
          <w:sz w:val="20"/>
          <w:szCs w:val="20"/>
          <w:color w:val="auto"/>
        </w:rPr>
      </w:pPr>
    </w:p>
    <w:p>
      <w:pPr>
        <w:ind w:left="220"/>
        <w:spacing w:after="0"/>
        <w:rPr>
          <w:sz w:val="20"/>
          <w:szCs w:val="20"/>
          <w:color w:val="auto"/>
        </w:rPr>
      </w:pPr>
      <w:r>
        <w:rPr>
          <w:rFonts w:ascii="Arial" w:cs="Arial" w:eastAsia="Arial" w:hAnsi="Arial"/>
          <w:sz w:val="18"/>
          <w:szCs w:val="18"/>
          <w:color w:val="auto"/>
        </w:rPr>
        <w:t>Long-term debt included on our consolidated balance sheets consisted of (in millions):</w:t>
      </w:r>
    </w:p>
    <w:p>
      <w:pPr>
        <w:spacing w:after="0" w:line="361" w:lineRule="exact"/>
        <w:rPr>
          <w:sz w:val="20"/>
          <w:szCs w:val="20"/>
          <w:color w:val="auto"/>
        </w:rPr>
      </w:pPr>
    </w:p>
    <w:tbl>
      <w:tblPr>
        <w:tblLayout w:type="fixed"/>
        <w:tblInd w:w="0" w:type="dxa"/>
        <w:tblCellMar>
          <w:top w:w="0" w:type="dxa"/>
          <w:left w:w="0" w:type="dxa"/>
          <w:bottom w:w="0" w:type="dxa"/>
          <w:right w:w="0" w:type="dxa"/>
        </w:tblCellMar>
      </w:tblPr>
      <w:tr>
        <w:trPr>
          <w:trHeight w:val="196"/>
        </w:trPr>
        <w:tc>
          <w:tcPr>
            <w:tcW w:w="8560" w:type="dxa"/>
            <w:vAlign w:val="bottom"/>
          </w:tcPr>
          <w:p>
            <w:pPr>
              <w:spacing w:after="0"/>
              <w:rPr>
                <w:sz w:val="17"/>
                <w:szCs w:val="17"/>
                <w:color w:val="auto"/>
              </w:rPr>
            </w:pPr>
          </w:p>
        </w:tc>
        <w:tc>
          <w:tcPr>
            <w:tcW w:w="320" w:type="dxa"/>
            <w:vAlign w:val="bottom"/>
            <w:tcBorders>
              <w:bottom w:val="single" w:sz="8" w:color="auto"/>
            </w:tcBorders>
          </w:tcPr>
          <w:p>
            <w:pPr>
              <w:spacing w:after="0"/>
              <w:rPr>
                <w:sz w:val="17"/>
                <w:szCs w:val="17"/>
                <w:color w:val="auto"/>
              </w:rPr>
            </w:pPr>
          </w:p>
        </w:tc>
        <w:tc>
          <w:tcPr>
            <w:tcW w:w="1640" w:type="dxa"/>
            <w:vAlign w:val="bottom"/>
            <w:tcBorders>
              <w:bottom w:val="single" w:sz="8" w:color="auto"/>
            </w:tcBorders>
            <w:gridSpan w:val="3"/>
          </w:tcPr>
          <w:p>
            <w:pPr>
              <w:jc w:val="right"/>
              <w:spacing w:after="0"/>
              <w:rPr>
                <w:sz w:val="20"/>
                <w:szCs w:val="20"/>
                <w:color w:val="auto"/>
              </w:rPr>
            </w:pPr>
            <w:r>
              <w:rPr>
                <w:rFonts w:ascii="Arial" w:cs="Arial" w:eastAsia="Arial" w:hAnsi="Arial"/>
                <w:sz w:val="14"/>
                <w:szCs w:val="14"/>
                <w:b w:val="1"/>
                <w:bCs w:val="1"/>
                <w:color w:val="auto"/>
              </w:rPr>
              <w:t>December 31,</w:t>
            </w:r>
          </w:p>
        </w:tc>
        <w:tc>
          <w:tcPr>
            <w:tcW w:w="900" w:type="dxa"/>
            <w:vAlign w:val="bottom"/>
            <w:tcBorders>
              <w:bottom w:val="single" w:sz="8" w:color="auto"/>
            </w:tcBorders>
          </w:tcPr>
          <w:p>
            <w:pPr>
              <w:spacing w:after="0"/>
              <w:rPr>
                <w:sz w:val="17"/>
                <w:szCs w:val="17"/>
                <w:color w:val="auto"/>
              </w:rPr>
            </w:pPr>
          </w:p>
        </w:tc>
      </w:tr>
      <w:tr>
        <w:trPr>
          <w:trHeight w:val="264"/>
        </w:trPr>
        <w:tc>
          <w:tcPr>
            <w:tcW w:w="8560" w:type="dxa"/>
            <w:vAlign w:val="bottom"/>
            <w:tcBorders>
              <w:bottom w:val="single" w:sz="8" w:color="CCEEFF"/>
            </w:tcBorders>
          </w:tcPr>
          <w:p>
            <w:pPr>
              <w:spacing w:after="0"/>
              <w:rPr>
                <w:sz w:val="22"/>
                <w:szCs w:val="22"/>
                <w:color w:val="auto"/>
              </w:rPr>
            </w:pPr>
          </w:p>
        </w:tc>
        <w:tc>
          <w:tcPr>
            <w:tcW w:w="320" w:type="dxa"/>
            <w:vAlign w:val="bottom"/>
            <w:tcBorders>
              <w:bottom w:val="single" w:sz="8" w:color="auto"/>
            </w:tcBorders>
          </w:tcPr>
          <w:p>
            <w:pPr>
              <w:spacing w:after="0"/>
              <w:rPr>
                <w:sz w:val="22"/>
                <w:szCs w:val="22"/>
                <w:color w:val="auto"/>
              </w:rPr>
            </w:pPr>
          </w:p>
        </w:tc>
        <w:tc>
          <w:tcPr>
            <w:tcW w:w="1060" w:type="dxa"/>
            <w:vAlign w:val="bottom"/>
            <w:tcBorders>
              <w:bottom w:val="single" w:sz="8" w:color="auto"/>
            </w:tcBorders>
          </w:tcPr>
          <w:p>
            <w:pPr>
              <w:jc w:val="right"/>
              <w:ind w:right="452"/>
              <w:spacing w:after="0"/>
              <w:rPr>
                <w:sz w:val="20"/>
                <w:szCs w:val="20"/>
                <w:color w:val="auto"/>
              </w:rPr>
            </w:pPr>
            <w:r>
              <w:rPr>
                <w:rFonts w:ascii="Arial" w:cs="Arial" w:eastAsia="Arial" w:hAnsi="Arial"/>
                <w:sz w:val="14"/>
                <w:szCs w:val="14"/>
                <w:b w:val="1"/>
                <w:bCs w:val="1"/>
                <w:color w:val="auto"/>
              </w:rPr>
              <w:t>2019</w:t>
            </w:r>
          </w:p>
        </w:tc>
        <w:tc>
          <w:tcPr>
            <w:tcW w:w="100" w:type="dxa"/>
            <w:vAlign w:val="bottom"/>
            <w:tcBorders>
              <w:bottom w:val="single" w:sz="8" w:color="CCEEFF"/>
            </w:tcBorders>
          </w:tcPr>
          <w:p>
            <w:pPr>
              <w:spacing w:after="0"/>
              <w:rPr>
                <w:sz w:val="22"/>
                <w:szCs w:val="22"/>
                <w:color w:val="auto"/>
              </w:rPr>
            </w:pPr>
          </w:p>
        </w:tc>
        <w:tc>
          <w:tcPr>
            <w:tcW w:w="480" w:type="dxa"/>
            <w:vAlign w:val="bottom"/>
            <w:tcBorders>
              <w:bottom w:val="single" w:sz="8" w:color="auto"/>
            </w:tcBorders>
          </w:tcPr>
          <w:p>
            <w:pPr>
              <w:spacing w:after="0"/>
              <w:rPr>
                <w:sz w:val="22"/>
                <w:szCs w:val="22"/>
                <w:color w:val="auto"/>
              </w:rPr>
            </w:pPr>
          </w:p>
        </w:tc>
        <w:tc>
          <w:tcPr>
            <w:tcW w:w="900" w:type="dxa"/>
            <w:vAlign w:val="bottom"/>
            <w:tcBorders>
              <w:bottom w:val="single" w:sz="8" w:color="auto"/>
            </w:tcBorders>
          </w:tcPr>
          <w:p>
            <w:pPr>
              <w:jc w:val="right"/>
              <w:ind w:right="431"/>
              <w:spacing w:after="0"/>
              <w:rPr>
                <w:sz w:val="20"/>
                <w:szCs w:val="20"/>
                <w:color w:val="auto"/>
              </w:rPr>
            </w:pPr>
            <w:r>
              <w:rPr>
                <w:rFonts w:ascii="Arial" w:cs="Arial" w:eastAsia="Arial" w:hAnsi="Arial"/>
                <w:sz w:val="14"/>
                <w:szCs w:val="14"/>
                <w:b w:val="1"/>
                <w:bCs w:val="1"/>
                <w:color w:val="auto"/>
              </w:rPr>
              <w:t>2018</w:t>
            </w:r>
          </w:p>
        </w:tc>
      </w:tr>
      <w:tr>
        <w:trPr>
          <w:trHeight w:val="250"/>
        </w:trPr>
        <w:tc>
          <w:tcPr>
            <w:tcW w:w="85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i w:val="1"/>
                <w:iCs w:val="1"/>
                <w:color w:val="auto"/>
              </w:rPr>
              <w:t>Secured</w:t>
            </w:r>
          </w:p>
        </w:tc>
        <w:tc>
          <w:tcPr>
            <w:tcW w:w="32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48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spacing w:after="0"/>
              <w:rPr>
                <w:sz w:val="21"/>
                <w:szCs w:val="21"/>
                <w:color w:val="auto"/>
              </w:rPr>
            </w:pPr>
          </w:p>
        </w:tc>
      </w:tr>
      <w:tr>
        <w:trPr>
          <w:trHeight w:val="270"/>
        </w:trPr>
        <w:tc>
          <w:tcPr>
            <w:tcW w:w="8560" w:type="dxa"/>
            <w:vAlign w:val="bottom"/>
          </w:tcPr>
          <w:p>
            <w:pPr>
              <w:ind w:left="280"/>
              <w:spacing w:after="0"/>
              <w:rPr>
                <w:sz w:val="20"/>
                <w:szCs w:val="20"/>
                <w:color w:val="auto"/>
              </w:rPr>
            </w:pPr>
            <w:r>
              <w:rPr>
                <w:rFonts w:ascii="Arial" w:cs="Arial" w:eastAsia="Arial" w:hAnsi="Arial"/>
                <w:sz w:val="18"/>
                <w:szCs w:val="18"/>
                <w:color w:val="auto"/>
              </w:rPr>
              <w:t xml:space="preserve">2013 Credit Facilities, variable interest rate of 3.54%, installments through 2025 </w:t>
            </w:r>
            <w:r>
              <w:rPr>
                <w:rFonts w:ascii="Arial" w:cs="Arial" w:eastAsia="Arial" w:hAnsi="Arial"/>
                <w:sz w:val="21"/>
                <w:szCs w:val="21"/>
                <w:color w:val="auto"/>
                <w:vertAlign w:val="superscript"/>
              </w:rPr>
              <w:t>(a)</w:t>
            </w:r>
          </w:p>
        </w:tc>
        <w:tc>
          <w:tcPr>
            <w:tcW w:w="320" w:type="dxa"/>
            <w:vAlign w:val="bottom"/>
          </w:tcPr>
          <w:p>
            <w:pPr>
              <w:jc w:val="right"/>
              <w:ind w:right="110"/>
              <w:spacing w:after="0"/>
              <w:rPr>
                <w:sz w:val="20"/>
                <w:szCs w:val="20"/>
                <w:color w:val="auto"/>
              </w:rPr>
            </w:pPr>
            <w:r>
              <w:rPr>
                <w:rFonts w:ascii="Arial" w:cs="Arial" w:eastAsia="Arial" w:hAnsi="Arial"/>
                <w:sz w:val="18"/>
                <w:szCs w:val="18"/>
                <w:color w:val="auto"/>
                <w:w w:val="99"/>
              </w:rPr>
              <w:t>$</w:t>
            </w:r>
          </w:p>
        </w:tc>
        <w:tc>
          <w:tcPr>
            <w:tcW w:w="1060" w:type="dxa"/>
            <w:vAlign w:val="bottom"/>
          </w:tcPr>
          <w:p>
            <w:pPr>
              <w:jc w:val="right"/>
              <w:ind w:right="32"/>
              <w:spacing w:after="0"/>
              <w:rPr>
                <w:sz w:val="20"/>
                <w:szCs w:val="20"/>
                <w:color w:val="auto"/>
              </w:rPr>
            </w:pPr>
            <w:r>
              <w:rPr>
                <w:rFonts w:ascii="Arial" w:cs="Arial" w:eastAsia="Arial" w:hAnsi="Arial"/>
                <w:sz w:val="18"/>
                <w:szCs w:val="18"/>
                <w:color w:val="auto"/>
              </w:rPr>
              <w:t>1,807</w:t>
            </w:r>
          </w:p>
        </w:tc>
        <w:tc>
          <w:tcPr>
            <w:tcW w:w="100" w:type="dxa"/>
            <w:vAlign w:val="bottom"/>
          </w:tcPr>
          <w:p>
            <w:pPr>
              <w:spacing w:after="0"/>
              <w:rPr>
                <w:sz w:val="23"/>
                <w:szCs w:val="23"/>
                <w:color w:val="auto"/>
              </w:rPr>
            </w:pPr>
          </w:p>
        </w:tc>
        <w:tc>
          <w:tcPr>
            <w:tcW w:w="480" w:type="dxa"/>
            <w:vAlign w:val="bottom"/>
          </w:tcPr>
          <w:p>
            <w:pPr>
              <w:jc w:val="right"/>
              <w:ind w:right="270"/>
              <w:spacing w:after="0"/>
              <w:rPr>
                <w:sz w:val="20"/>
                <w:szCs w:val="20"/>
                <w:color w:val="auto"/>
              </w:rPr>
            </w:pPr>
            <w:r>
              <w:rPr>
                <w:rFonts w:ascii="Arial" w:cs="Arial" w:eastAsia="Arial" w:hAnsi="Arial"/>
                <w:sz w:val="18"/>
                <w:szCs w:val="18"/>
                <w:color w:val="auto"/>
                <w:w w:val="99"/>
              </w:rPr>
              <w:t>$</w:t>
            </w:r>
          </w:p>
        </w:tc>
        <w:tc>
          <w:tcPr>
            <w:tcW w:w="900" w:type="dxa"/>
            <w:vAlign w:val="bottom"/>
          </w:tcPr>
          <w:p>
            <w:pPr>
              <w:jc w:val="right"/>
              <w:ind w:right="11"/>
              <w:spacing w:after="0"/>
              <w:rPr>
                <w:sz w:val="20"/>
                <w:szCs w:val="20"/>
                <w:color w:val="auto"/>
              </w:rPr>
            </w:pPr>
            <w:r>
              <w:rPr>
                <w:rFonts w:ascii="Arial" w:cs="Arial" w:eastAsia="Arial" w:hAnsi="Arial"/>
                <w:sz w:val="18"/>
                <w:szCs w:val="18"/>
                <w:color w:val="auto"/>
              </w:rPr>
              <w:t>1,825</w:t>
            </w:r>
          </w:p>
        </w:tc>
      </w:tr>
      <w:tr>
        <w:trPr>
          <w:trHeight w:val="270"/>
        </w:trPr>
        <w:tc>
          <w:tcPr>
            <w:tcW w:w="8560" w:type="dxa"/>
            <w:vAlign w:val="bottom"/>
            <w:shd w:val="clear" w:color="auto" w:fill="CCEEFF"/>
          </w:tcPr>
          <w:p>
            <w:pPr>
              <w:ind w:left="280"/>
              <w:spacing w:after="0"/>
              <w:rPr>
                <w:sz w:val="20"/>
                <w:szCs w:val="20"/>
                <w:color w:val="auto"/>
              </w:rPr>
            </w:pPr>
            <w:r>
              <w:rPr>
                <w:rFonts w:ascii="Arial" w:cs="Arial" w:eastAsia="Arial" w:hAnsi="Arial"/>
                <w:sz w:val="18"/>
                <w:szCs w:val="18"/>
                <w:color w:val="auto"/>
              </w:rPr>
              <w:t xml:space="preserve">2014 Credit Facilities, variable interest rate of 3.72%, installments through 2021 </w:t>
            </w:r>
            <w:r>
              <w:rPr>
                <w:rFonts w:ascii="Arial" w:cs="Arial" w:eastAsia="Arial" w:hAnsi="Arial"/>
                <w:sz w:val="21"/>
                <w:szCs w:val="21"/>
                <w:color w:val="auto"/>
                <w:vertAlign w:val="superscript"/>
              </w:rPr>
              <w:t>(a)</w:t>
            </w:r>
          </w:p>
        </w:tc>
        <w:tc>
          <w:tcPr>
            <w:tcW w:w="320" w:type="dxa"/>
            <w:vAlign w:val="bottom"/>
            <w:shd w:val="clear" w:color="auto" w:fill="CCEEFF"/>
          </w:tcPr>
          <w:p>
            <w:pPr>
              <w:spacing w:after="0"/>
              <w:rPr>
                <w:sz w:val="23"/>
                <w:szCs w:val="23"/>
                <w:color w:val="auto"/>
              </w:rPr>
            </w:pPr>
          </w:p>
        </w:tc>
        <w:tc>
          <w:tcPr>
            <w:tcW w:w="1060" w:type="dxa"/>
            <w:vAlign w:val="bottom"/>
            <w:shd w:val="clear" w:color="auto" w:fill="CCEEFF"/>
          </w:tcPr>
          <w:p>
            <w:pPr>
              <w:jc w:val="right"/>
              <w:ind w:right="32"/>
              <w:spacing w:after="0"/>
              <w:rPr>
                <w:sz w:val="20"/>
                <w:szCs w:val="20"/>
                <w:color w:val="auto"/>
              </w:rPr>
            </w:pPr>
            <w:r>
              <w:rPr>
                <w:rFonts w:ascii="Arial" w:cs="Arial" w:eastAsia="Arial" w:hAnsi="Arial"/>
                <w:sz w:val="18"/>
                <w:szCs w:val="18"/>
                <w:color w:val="auto"/>
              </w:rPr>
              <w:t>1,202</w:t>
            </w:r>
          </w:p>
        </w:tc>
        <w:tc>
          <w:tcPr>
            <w:tcW w:w="100" w:type="dxa"/>
            <w:vAlign w:val="bottom"/>
            <w:shd w:val="clear" w:color="auto" w:fill="CCEEFF"/>
          </w:tcPr>
          <w:p>
            <w:pPr>
              <w:spacing w:after="0"/>
              <w:rPr>
                <w:sz w:val="23"/>
                <w:szCs w:val="23"/>
                <w:color w:val="auto"/>
              </w:rPr>
            </w:pPr>
          </w:p>
        </w:tc>
        <w:tc>
          <w:tcPr>
            <w:tcW w:w="480" w:type="dxa"/>
            <w:vAlign w:val="bottom"/>
            <w:shd w:val="clear" w:color="auto" w:fill="CCEEFF"/>
          </w:tcPr>
          <w:p>
            <w:pPr>
              <w:spacing w:after="0"/>
              <w:rPr>
                <w:sz w:val="23"/>
                <w:szCs w:val="23"/>
                <w:color w:val="auto"/>
              </w:rPr>
            </w:pPr>
          </w:p>
        </w:tc>
        <w:tc>
          <w:tcPr>
            <w:tcW w:w="90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1,215</w:t>
            </w:r>
          </w:p>
        </w:tc>
      </w:tr>
      <w:tr>
        <w:trPr>
          <w:trHeight w:val="270"/>
        </w:trPr>
        <w:tc>
          <w:tcPr>
            <w:tcW w:w="8560" w:type="dxa"/>
            <w:vAlign w:val="bottom"/>
          </w:tcPr>
          <w:p>
            <w:pPr>
              <w:ind w:left="280"/>
              <w:spacing w:after="0"/>
              <w:rPr>
                <w:sz w:val="20"/>
                <w:szCs w:val="20"/>
                <w:color w:val="auto"/>
              </w:rPr>
            </w:pPr>
            <w:r>
              <w:rPr>
                <w:rFonts w:ascii="Arial" w:cs="Arial" w:eastAsia="Arial" w:hAnsi="Arial"/>
                <w:sz w:val="18"/>
                <w:szCs w:val="18"/>
                <w:color w:val="auto"/>
              </w:rPr>
              <w:t xml:space="preserve">April 2016 Credit Facilities, variable interest rate of 3.80%, installments through 2023 </w:t>
            </w:r>
            <w:r>
              <w:rPr>
                <w:rFonts w:ascii="Arial" w:cs="Arial" w:eastAsia="Arial" w:hAnsi="Arial"/>
                <w:sz w:val="21"/>
                <w:szCs w:val="21"/>
                <w:color w:val="auto"/>
                <w:vertAlign w:val="superscript"/>
              </w:rPr>
              <w:t>(a)</w:t>
            </w:r>
          </w:p>
        </w:tc>
        <w:tc>
          <w:tcPr>
            <w:tcW w:w="320" w:type="dxa"/>
            <w:vAlign w:val="bottom"/>
          </w:tcPr>
          <w:p>
            <w:pPr>
              <w:spacing w:after="0"/>
              <w:rPr>
                <w:sz w:val="23"/>
                <w:szCs w:val="23"/>
                <w:color w:val="auto"/>
              </w:rPr>
            </w:pPr>
          </w:p>
        </w:tc>
        <w:tc>
          <w:tcPr>
            <w:tcW w:w="1060" w:type="dxa"/>
            <w:vAlign w:val="bottom"/>
          </w:tcPr>
          <w:p>
            <w:pPr>
              <w:jc w:val="right"/>
              <w:ind w:right="32"/>
              <w:spacing w:after="0"/>
              <w:rPr>
                <w:sz w:val="20"/>
                <w:szCs w:val="20"/>
                <w:color w:val="auto"/>
              </w:rPr>
            </w:pPr>
            <w:r>
              <w:rPr>
                <w:rFonts w:ascii="Arial" w:cs="Arial" w:eastAsia="Arial" w:hAnsi="Arial"/>
                <w:sz w:val="18"/>
                <w:szCs w:val="18"/>
                <w:color w:val="auto"/>
              </w:rPr>
              <w:t>970</w:t>
            </w:r>
          </w:p>
        </w:tc>
        <w:tc>
          <w:tcPr>
            <w:tcW w:w="100" w:type="dxa"/>
            <w:vAlign w:val="bottom"/>
          </w:tcPr>
          <w:p>
            <w:pPr>
              <w:spacing w:after="0"/>
              <w:rPr>
                <w:sz w:val="23"/>
                <w:szCs w:val="23"/>
                <w:color w:val="auto"/>
              </w:rPr>
            </w:pPr>
          </w:p>
        </w:tc>
        <w:tc>
          <w:tcPr>
            <w:tcW w:w="480" w:type="dxa"/>
            <w:vAlign w:val="bottom"/>
          </w:tcPr>
          <w:p>
            <w:pPr>
              <w:spacing w:after="0"/>
              <w:rPr>
                <w:sz w:val="23"/>
                <w:szCs w:val="23"/>
                <w:color w:val="auto"/>
              </w:rPr>
            </w:pPr>
          </w:p>
        </w:tc>
        <w:tc>
          <w:tcPr>
            <w:tcW w:w="900" w:type="dxa"/>
            <w:vAlign w:val="bottom"/>
          </w:tcPr>
          <w:p>
            <w:pPr>
              <w:jc w:val="right"/>
              <w:ind w:right="11"/>
              <w:spacing w:after="0"/>
              <w:rPr>
                <w:sz w:val="20"/>
                <w:szCs w:val="20"/>
                <w:color w:val="auto"/>
              </w:rPr>
            </w:pPr>
            <w:r>
              <w:rPr>
                <w:rFonts w:ascii="Arial" w:cs="Arial" w:eastAsia="Arial" w:hAnsi="Arial"/>
                <w:sz w:val="18"/>
                <w:szCs w:val="18"/>
                <w:color w:val="auto"/>
              </w:rPr>
              <w:t>980</w:t>
            </w:r>
          </w:p>
        </w:tc>
      </w:tr>
      <w:tr>
        <w:trPr>
          <w:trHeight w:val="270"/>
        </w:trPr>
        <w:tc>
          <w:tcPr>
            <w:tcW w:w="8560" w:type="dxa"/>
            <w:vAlign w:val="bottom"/>
            <w:shd w:val="clear" w:color="auto" w:fill="CCEEFF"/>
          </w:tcPr>
          <w:p>
            <w:pPr>
              <w:ind w:left="280"/>
              <w:spacing w:after="0"/>
              <w:rPr>
                <w:sz w:val="20"/>
                <w:szCs w:val="20"/>
                <w:color w:val="auto"/>
              </w:rPr>
            </w:pPr>
            <w:r>
              <w:rPr>
                <w:rFonts w:ascii="Arial" w:cs="Arial" w:eastAsia="Arial" w:hAnsi="Arial"/>
                <w:sz w:val="18"/>
                <w:szCs w:val="18"/>
                <w:color w:val="auto"/>
              </w:rPr>
              <w:t xml:space="preserve">December 2016 Credit Facilities, variable interest rate of 3.74%, installments through 2023 </w:t>
            </w:r>
            <w:r>
              <w:rPr>
                <w:rFonts w:ascii="Arial" w:cs="Arial" w:eastAsia="Arial" w:hAnsi="Arial"/>
                <w:sz w:val="21"/>
                <w:szCs w:val="21"/>
                <w:color w:val="auto"/>
                <w:vertAlign w:val="superscript"/>
              </w:rPr>
              <w:t>(a)</w:t>
            </w:r>
          </w:p>
        </w:tc>
        <w:tc>
          <w:tcPr>
            <w:tcW w:w="320" w:type="dxa"/>
            <w:vAlign w:val="bottom"/>
            <w:shd w:val="clear" w:color="auto" w:fill="CCEEFF"/>
          </w:tcPr>
          <w:p>
            <w:pPr>
              <w:spacing w:after="0"/>
              <w:rPr>
                <w:sz w:val="23"/>
                <w:szCs w:val="23"/>
                <w:color w:val="auto"/>
              </w:rPr>
            </w:pPr>
          </w:p>
        </w:tc>
        <w:tc>
          <w:tcPr>
            <w:tcW w:w="1060" w:type="dxa"/>
            <w:vAlign w:val="bottom"/>
            <w:shd w:val="clear" w:color="auto" w:fill="CCEEFF"/>
          </w:tcPr>
          <w:p>
            <w:pPr>
              <w:jc w:val="right"/>
              <w:ind w:right="32"/>
              <w:spacing w:after="0"/>
              <w:rPr>
                <w:sz w:val="20"/>
                <w:szCs w:val="20"/>
                <w:color w:val="auto"/>
              </w:rPr>
            </w:pPr>
            <w:r>
              <w:rPr>
                <w:rFonts w:ascii="Arial" w:cs="Arial" w:eastAsia="Arial" w:hAnsi="Arial"/>
                <w:sz w:val="18"/>
                <w:szCs w:val="18"/>
                <w:color w:val="auto"/>
              </w:rPr>
              <w:t>1,213</w:t>
            </w:r>
          </w:p>
        </w:tc>
        <w:tc>
          <w:tcPr>
            <w:tcW w:w="100" w:type="dxa"/>
            <w:vAlign w:val="bottom"/>
            <w:shd w:val="clear" w:color="auto" w:fill="CCEEFF"/>
          </w:tcPr>
          <w:p>
            <w:pPr>
              <w:spacing w:after="0"/>
              <w:rPr>
                <w:sz w:val="23"/>
                <w:szCs w:val="23"/>
                <w:color w:val="auto"/>
              </w:rPr>
            </w:pPr>
          </w:p>
        </w:tc>
        <w:tc>
          <w:tcPr>
            <w:tcW w:w="480" w:type="dxa"/>
            <w:vAlign w:val="bottom"/>
            <w:shd w:val="clear" w:color="auto" w:fill="CCEEFF"/>
          </w:tcPr>
          <w:p>
            <w:pPr>
              <w:spacing w:after="0"/>
              <w:rPr>
                <w:sz w:val="23"/>
                <w:szCs w:val="23"/>
                <w:color w:val="auto"/>
              </w:rPr>
            </w:pPr>
          </w:p>
        </w:tc>
        <w:tc>
          <w:tcPr>
            <w:tcW w:w="90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1,225</w:t>
            </w:r>
          </w:p>
        </w:tc>
      </w:tr>
      <w:tr>
        <w:trPr>
          <w:trHeight w:val="226"/>
        </w:trPr>
        <w:tc>
          <w:tcPr>
            <w:tcW w:w="8560" w:type="dxa"/>
            <w:vAlign w:val="bottom"/>
          </w:tcPr>
          <w:p>
            <w:pPr>
              <w:ind w:left="280"/>
              <w:spacing w:after="0"/>
              <w:rPr>
                <w:sz w:val="20"/>
                <w:szCs w:val="20"/>
                <w:color w:val="auto"/>
              </w:rPr>
            </w:pPr>
            <w:r>
              <w:rPr>
                <w:rFonts w:ascii="Arial" w:cs="Arial" w:eastAsia="Arial" w:hAnsi="Arial"/>
                <w:sz w:val="18"/>
                <w:szCs w:val="18"/>
                <w:color w:val="auto"/>
              </w:rPr>
              <w:t>Enhanced equipment trust certificates (EETCs), fixed interest rates ranging from 3.00% to 8.39%,</w:t>
            </w:r>
          </w:p>
        </w:tc>
        <w:tc>
          <w:tcPr>
            <w:tcW w:w="32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900" w:type="dxa"/>
            <w:vAlign w:val="bottom"/>
          </w:tcPr>
          <w:p>
            <w:pPr>
              <w:spacing w:after="0"/>
              <w:rPr>
                <w:sz w:val="19"/>
                <w:szCs w:val="19"/>
                <w:color w:val="auto"/>
              </w:rPr>
            </w:pPr>
          </w:p>
        </w:tc>
      </w:tr>
      <w:tr>
        <w:trPr>
          <w:trHeight w:val="233"/>
        </w:trPr>
        <w:tc>
          <w:tcPr>
            <w:tcW w:w="8560" w:type="dxa"/>
            <w:vAlign w:val="bottom"/>
          </w:tcPr>
          <w:p>
            <w:pPr>
              <w:ind w:left="440"/>
              <w:spacing w:after="0" w:line="233" w:lineRule="exact"/>
              <w:rPr>
                <w:sz w:val="20"/>
                <w:szCs w:val="20"/>
                <w:color w:val="auto"/>
              </w:rPr>
            </w:pPr>
            <w:r>
              <w:rPr>
                <w:rFonts w:ascii="Arial" w:cs="Arial" w:eastAsia="Arial" w:hAnsi="Arial"/>
                <w:sz w:val="18"/>
                <w:szCs w:val="18"/>
                <w:color w:val="auto"/>
              </w:rPr>
              <w:t xml:space="preserve">averaging 4.05%, maturing from 2020 to 2032 </w:t>
            </w:r>
            <w:r>
              <w:rPr>
                <w:rFonts w:ascii="Arial" w:cs="Arial" w:eastAsia="Arial" w:hAnsi="Arial"/>
                <w:sz w:val="21"/>
                <w:szCs w:val="21"/>
                <w:color w:val="auto"/>
                <w:vertAlign w:val="superscript"/>
              </w:rPr>
              <w:t>(b)</w:t>
            </w:r>
          </w:p>
        </w:tc>
        <w:tc>
          <w:tcPr>
            <w:tcW w:w="320" w:type="dxa"/>
            <w:vAlign w:val="bottom"/>
          </w:tcPr>
          <w:p>
            <w:pPr>
              <w:spacing w:after="0"/>
              <w:rPr>
                <w:sz w:val="20"/>
                <w:szCs w:val="20"/>
                <w:color w:val="auto"/>
              </w:rPr>
            </w:pPr>
          </w:p>
        </w:tc>
        <w:tc>
          <w:tcPr>
            <w:tcW w:w="1060" w:type="dxa"/>
            <w:vAlign w:val="bottom"/>
          </w:tcPr>
          <w:p>
            <w:pPr>
              <w:jc w:val="right"/>
              <w:ind w:right="32"/>
              <w:spacing w:after="0"/>
              <w:rPr>
                <w:sz w:val="20"/>
                <w:szCs w:val="20"/>
                <w:color w:val="auto"/>
              </w:rPr>
            </w:pPr>
            <w:r>
              <w:rPr>
                <w:rFonts w:ascii="Arial" w:cs="Arial" w:eastAsia="Arial" w:hAnsi="Arial"/>
                <w:sz w:val="18"/>
                <w:szCs w:val="18"/>
                <w:color w:val="auto"/>
              </w:rPr>
              <w:t>11,933</w:t>
            </w:r>
          </w:p>
        </w:tc>
        <w:tc>
          <w:tcPr>
            <w:tcW w:w="10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900" w:type="dxa"/>
            <w:vAlign w:val="bottom"/>
          </w:tcPr>
          <w:p>
            <w:pPr>
              <w:jc w:val="right"/>
              <w:ind w:right="11"/>
              <w:spacing w:after="0"/>
              <w:rPr>
                <w:sz w:val="20"/>
                <w:szCs w:val="20"/>
                <w:color w:val="auto"/>
              </w:rPr>
            </w:pPr>
            <w:r>
              <w:rPr>
                <w:rFonts w:ascii="Arial" w:cs="Arial" w:eastAsia="Arial" w:hAnsi="Arial"/>
                <w:sz w:val="18"/>
                <w:szCs w:val="18"/>
                <w:color w:val="auto"/>
              </w:rPr>
              <w:t>11,648</w:t>
            </w:r>
          </w:p>
        </w:tc>
      </w:tr>
      <w:tr>
        <w:trPr>
          <w:trHeight w:val="226"/>
        </w:trPr>
        <w:tc>
          <w:tcPr>
            <w:tcW w:w="8560" w:type="dxa"/>
            <w:vAlign w:val="bottom"/>
            <w:shd w:val="clear" w:color="auto" w:fill="CCEEFF"/>
          </w:tcPr>
          <w:p>
            <w:pPr>
              <w:ind w:left="280"/>
              <w:spacing w:after="0"/>
              <w:rPr>
                <w:sz w:val="20"/>
                <w:szCs w:val="20"/>
                <w:color w:val="auto"/>
              </w:rPr>
            </w:pPr>
            <w:r>
              <w:rPr>
                <w:rFonts w:ascii="Arial" w:cs="Arial" w:eastAsia="Arial" w:hAnsi="Arial"/>
                <w:sz w:val="18"/>
                <w:szCs w:val="18"/>
                <w:color w:val="auto"/>
              </w:rPr>
              <w:t>Equipment loans and other notes payable, fixed and variable interest rates ranging from 2.99% to</w:t>
            </w:r>
          </w:p>
        </w:tc>
        <w:tc>
          <w:tcPr>
            <w:tcW w:w="320" w:type="dxa"/>
            <w:vAlign w:val="bottom"/>
            <w:shd w:val="clear" w:color="auto" w:fill="CCEEFF"/>
          </w:tcPr>
          <w:p>
            <w:pPr>
              <w:spacing w:after="0"/>
              <w:rPr>
                <w:sz w:val="19"/>
                <w:szCs w:val="19"/>
                <w:color w:val="auto"/>
              </w:rPr>
            </w:pPr>
          </w:p>
        </w:tc>
        <w:tc>
          <w:tcPr>
            <w:tcW w:w="10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480" w:type="dxa"/>
            <w:vAlign w:val="bottom"/>
            <w:shd w:val="clear" w:color="auto" w:fill="CCEEFF"/>
          </w:tcPr>
          <w:p>
            <w:pPr>
              <w:spacing w:after="0"/>
              <w:rPr>
                <w:sz w:val="19"/>
                <w:szCs w:val="19"/>
                <w:color w:val="auto"/>
              </w:rPr>
            </w:pPr>
          </w:p>
        </w:tc>
        <w:tc>
          <w:tcPr>
            <w:tcW w:w="900" w:type="dxa"/>
            <w:vAlign w:val="bottom"/>
            <w:shd w:val="clear" w:color="auto" w:fill="CCEEFF"/>
          </w:tcPr>
          <w:p>
            <w:pPr>
              <w:spacing w:after="0"/>
              <w:rPr>
                <w:sz w:val="19"/>
                <w:szCs w:val="19"/>
                <w:color w:val="auto"/>
              </w:rPr>
            </w:pPr>
          </w:p>
        </w:tc>
      </w:tr>
      <w:tr>
        <w:trPr>
          <w:trHeight w:val="233"/>
        </w:trPr>
        <w:tc>
          <w:tcPr>
            <w:tcW w:w="8560" w:type="dxa"/>
            <w:vAlign w:val="bottom"/>
            <w:shd w:val="clear" w:color="auto" w:fill="CCEEFF"/>
          </w:tcPr>
          <w:p>
            <w:pPr>
              <w:ind w:left="440"/>
              <w:spacing w:after="0" w:line="233" w:lineRule="exact"/>
              <w:rPr>
                <w:sz w:val="20"/>
                <w:szCs w:val="20"/>
                <w:color w:val="auto"/>
              </w:rPr>
            </w:pPr>
            <w:r>
              <w:rPr>
                <w:rFonts w:ascii="Arial" w:cs="Arial" w:eastAsia="Arial" w:hAnsi="Arial"/>
                <w:sz w:val="18"/>
                <w:szCs w:val="18"/>
                <w:color w:val="auto"/>
              </w:rPr>
              <w:t xml:space="preserve">7.31%, averaging 3.45%, maturing from 2020 to 2031 </w:t>
            </w:r>
            <w:r>
              <w:rPr>
                <w:rFonts w:ascii="Arial" w:cs="Arial" w:eastAsia="Arial" w:hAnsi="Arial"/>
                <w:sz w:val="21"/>
                <w:szCs w:val="21"/>
                <w:color w:val="auto"/>
                <w:vertAlign w:val="superscript"/>
              </w:rPr>
              <w:t>(c)</w:t>
            </w:r>
          </w:p>
        </w:tc>
        <w:tc>
          <w:tcPr>
            <w:tcW w:w="320" w:type="dxa"/>
            <w:vAlign w:val="bottom"/>
            <w:shd w:val="clear" w:color="auto" w:fill="CCEEFF"/>
          </w:tcPr>
          <w:p>
            <w:pPr>
              <w:spacing w:after="0"/>
              <w:rPr>
                <w:sz w:val="20"/>
                <w:szCs w:val="20"/>
                <w:color w:val="auto"/>
              </w:rPr>
            </w:pPr>
          </w:p>
        </w:tc>
        <w:tc>
          <w:tcPr>
            <w:tcW w:w="1060" w:type="dxa"/>
            <w:vAlign w:val="bottom"/>
            <w:shd w:val="clear" w:color="auto" w:fill="CCEEFF"/>
          </w:tcPr>
          <w:p>
            <w:pPr>
              <w:jc w:val="right"/>
              <w:ind w:right="32"/>
              <w:spacing w:after="0"/>
              <w:rPr>
                <w:sz w:val="20"/>
                <w:szCs w:val="20"/>
                <w:color w:val="auto"/>
              </w:rPr>
            </w:pPr>
            <w:r>
              <w:rPr>
                <w:rFonts w:ascii="Arial" w:cs="Arial" w:eastAsia="Arial" w:hAnsi="Arial"/>
                <w:sz w:val="18"/>
                <w:szCs w:val="18"/>
                <w:color w:val="auto"/>
              </w:rPr>
              <w:t>4,727</w:t>
            </w:r>
          </w:p>
        </w:tc>
        <w:tc>
          <w:tcPr>
            <w:tcW w:w="100" w:type="dxa"/>
            <w:vAlign w:val="bottom"/>
            <w:shd w:val="clear" w:color="auto" w:fill="CCEEFF"/>
          </w:tcPr>
          <w:p>
            <w:pPr>
              <w:spacing w:after="0"/>
              <w:rPr>
                <w:sz w:val="20"/>
                <w:szCs w:val="20"/>
                <w:color w:val="auto"/>
              </w:rPr>
            </w:pPr>
          </w:p>
        </w:tc>
        <w:tc>
          <w:tcPr>
            <w:tcW w:w="480" w:type="dxa"/>
            <w:vAlign w:val="bottom"/>
            <w:shd w:val="clear" w:color="auto" w:fill="CCEEFF"/>
          </w:tcPr>
          <w:p>
            <w:pPr>
              <w:spacing w:after="0"/>
              <w:rPr>
                <w:sz w:val="20"/>
                <w:szCs w:val="20"/>
                <w:color w:val="auto"/>
              </w:rPr>
            </w:pPr>
          </w:p>
        </w:tc>
        <w:tc>
          <w:tcPr>
            <w:tcW w:w="90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5,060</w:t>
            </w:r>
          </w:p>
        </w:tc>
      </w:tr>
      <w:tr>
        <w:trPr>
          <w:trHeight w:val="229"/>
        </w:trPr>
        <w:tc>
          <w:tcPr>
            <w:tcW w:w="8560" w:type="dxa"/>
            <w:vAlign w:val="bottom"/>
          </w:tcPr>
          <w:p>
            <w:pPr>
              <w:ind w:left="280"/>
              <w:spacing w:after="0"/>
              <w:rPr>
                <w:sz w:val="20"/>
                <w:szCs w:val="20"/>
                <w:color w:val="auto"/>
              </w:rPr>
            </w:pPr>
            <w:r>
              <w:rPr>
                <w:rFonts w:ascii="Arial" w:cs="Arial" w:eastAsia="Arial" w:hAnsi="Arial"/>
                <w:sz w:val="18"/>
                <w:szCs w:val="18"/>
                <w:color w:val="auto"/>
              </w:rPr>
              <w:t>Special facility revenue bonds, fixed interest rates ranging from 5.00% to 8.00%, maturing from 2020 to</w:t>
            </w:r>
          </w:p>
        </w:tc>
        <w:tc>
          <w:tcPr>
            <w:tcW w:w="32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900" w:type="dxa"/>
            <w:vAlign w:val="bottom"/>
          </w:tcPr>
          <w:p>
            <w:pPr>
              <w:spacing w:after="0"/>
              <w:rPr>
                <w:sz w:val="19"/>
                <w:szCs w:val="19"/>
                <w:color w:val="auto"/>
              </w:rPr>
            </w:pPr>
          </w:p>
        </w:tc>
      </w:tr>
      <w:tr>
        <w:trPr>
          <w:trHeight w:val="224"/>
        </w:trPr>
        <w:tc>
          <w:tcPr>
            <w:tcW w:w="8560" w:type="dxa"/>
            <w:vAlign w:val="bottom"/>
            <w:tcBorders>
              <w:bottom w:val="single" w:sz="8" w:color="CCEEFF"/>
            </w:tcBorders>
          </w:tcPr>
          <w:p>
            <w:pPr>
              <w:ind w:left="440"/>
              <w:spacing w:after="0"/>
              <w:rPr>
                <w:sz w:val="20"/>
                <w:szCs w:val="20"/>
                <w:color w:val="auto"/>
              </w:rPr>
            </w:pPr>
            <w:r>
              <w:rPr>
                <w:rFonts w:ascii="Arial" w:cs="Arial" w:eastAsia="Arial" w:hAnsi="Arial"/>
                <w:sz w:val="18"/>
                <w:szCs w:val="18"/>
                <w:color w:val="auto"/>
              </w:rPr>
              <w:t>2031</w:t>
            </w:r>
          </w:p>
        </w:tc>
        <w:tc>
          <w:tcPr>
            <w:tcW w:w="32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ind w:right="32"/>
              <w:spacing w:after="0"/>
              <w:rPr>
                <w:sz w:val="20"/>
                <w:szCs w:val="20"/>
                <w:color w:val="auto"/>
              </w:rPr>
            </w:pPr>
            <w:r>
              <w:rPr>
                <w:rFonts w:ascii="Arial" w:cs="Arial" w:eastAsia="Arial" w:hAnsi="Arial"/>
                <w:sz w:val="18"/>
                <w:szCs w:val="18"/>
                <w:color w:val="auto"/>
              </w:rPr>
              <w:t>754</w:t>
            </w:r>
          </w:p>
        </w:tc>
        <w:tc>
          <w:tcPr>
            <w:tcW w:w="100" w:type="dxa"/>
            <w:vAlign w:val="bottom"/>
            <w:tcBorders>
              <w:bottom w:val="single" w:sz="8" w:color="CCEEFF"/>
            </w:tcBorders>
          </w:tcPr>
          <w:p>
            <w:pPr>
              <w:spacing w:after="0"/>
              <w:rPr>
                <w:sz w:val="19"/>
                <w:szCs w:val="19"/>
                <w:color w:val="auto"/>
              </w:rPr>
            </w:pPr>
          </w:p>
        </w:tc>
        <w:tc>
          <w:tcPr>
            <w:tcW w:w="48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ind w:right="11"/>
              <w:spacing w:after="0"/>
              <w:rPr>
                <w:sz w:val="20"/>
                <w:szCs w:val="20"/>
                <w:color w:val="auto"/>
              </w:rPr>
            </w:pPr>
            <w:r>
              <w:rPr>
                <w:rFonts w:ascii="Arial" w:cs="Arial" w:eastAsia="Arial" w:hAnsi="Arial"/>
                <w:sz w:val="18"/>
                <w:szCs w:val="18"/>
                <w:color w:val="auto"/>
              </w:rPr>
              <w:t>798</w:t>
            </w:r>
          </w:p>
        </w:tc>
      </w:tr>
      <w:tr>
        <w:trPr>
          <w:trHeight w:val="257"/>
        </w:trPr>
        <w:tc>
          <w:tcPr>
            <w:tcW w:w="8560" w:type="dxa"/>
            <w:vAlign w:val="bottom"/>
            <w:shd w:val="clear" w:color="auto" w:fill="CCEEFF"/>
          </w:tcPr>
          <w:p>
            <w:pPr>
              <w:spacing w:after="0"/>
              <w:rPr>
                <w:sz w:val="22"/>
                <w:szCs w:val="22"/>
                <w:color w:val="auto"/>
              </w:rPr>
            </w:pPr>
          </w:p>
        </w:tc>
        <w:tc>
          <w:tcPr>
            <w:tcW w:w="320" w:type="dxa"/>
            <w:vAlign w:val="bottom"/>
            <w:tcBorders>
              <w:bottom w:val="single" w:sz="8" w:color="auto"/>
            </w:tcBorders>
            <w:shd w:val="clear" w:color="auto" w:fill="CCEEFF"/>
          </w:tcPr>
          <w:p>
            <w:pPr>
              <w:spacing w:after="0"/>
              <w:rPr>
                <w:sz w:val="22"/>
                <w:szCs w:val="22"/>
                <w:color w:val="auto"/>
              </w:rPr>
            </w:pPr>
          </w:p>
        </w:tc>
        <w:tc>
          <w:tcPr>
            <w:tcW w:w="1060" w:type="dxa"/>
            <w:vAlign w:val="bottom"/>
            <w:tcBorders>
              <w:bottom w:val="single" w:sz="8" w:color="auto"/>
            </w:tcBorders>
            <w:shd w:val="clear" w:color="auto" w:fill="CCEEFF"/>
          </w:tcPr>
          <w:p>
            <w:pPr>
              <w:jc w:val="right"/>
              <w:ind w:right="32"/>
              <w:spacing w:after="0"/>
              <w:rPr>
                <w:sz w:val="20"/>
                <w:szCs w:val="20"/>
                <w:color w:val="auto"/>
              </w:rPr>
            </w:pPr>
            <w:r>
              <w:rPr>
                <w:rFonts w:ascii="Arial" w:cs="Arial" w:eastAsia="Arial" w:hAnsi="Arial"/>
                <w:sz w:val="18"/>
                <w:szCs w:val="18"/>
                <w:color w:val="auto"/>
              </w:rPr>
              <w:t>22,606</w:t>
            </w:r>
          </w:p>
        </w:tc>
        <w:tc>
          <w:tcPr>
            <w:tcW w:w="100" w:type="dxa"/>
            <w:vAlign w:val="bottom"/>
            <w:shd w:val="clear" w:color="auto" w:fill="CCEEFF"/>
          </w:tcPr>
          <w:p>
            <w:pPr>
              <w:spacing w:after="0"/>
              <w:rPr>
                <w:sz w:val="22"/>
                <w:szCs w:val="22"/>
                <w:color w:val="auto"/>
              </w:rPr>
            </w:pPr>
          </w:p>
        </w:tc>
        <w:tc>
          <w:tcPr>
            <w:tcW w:w="480" w:type="dxa"/>
            <w:vAlign w:val="bottom"/>
            <w:tcBorders>
              <w:bottom w:val="single" w:sz="8" w:color="auto"/>
            </w:tcBorders>
            <w:shd w:val="clear" w:color="auto" w:fill="CCEEFF"/>
          </w:tcPr>
          <w:p>
            <w:pPr>
              <w:spacing w:after="0"/>
              <w:rPr>
                <w:sz w:val="22"/>
                <w:szCs w:val="22"/>
                <w:color w:val="auto"/>
              </w:rPr>
            </w:pPr>
          </w:p>
        </w:tc>
        <w:tc>
          <w:tcPr>
            <w:tcW w:w="900" w:type="dxa"/>
            <w:vAlign w:val="bottom"/>
            <w:tcBorders>
              <w:bottom w:val="single" w:sz="8" w:color="auto"/>
            </w:tcBorders>
            <w:shd w:val="clear" w:color="auto" w:fill="CCEEFF"/>
          </w:tcPr>
          <w:p>
            <w:pPr>
              <w:jc w:val="right"/>
              <w:ind w:right="11"/>
              <w:spacing w:after="0"/>
              <w:rPr>
                <w:sz w:val="20"/>
                <w:szCs w:val="20"/>
                <w:color w:val="auto"/>
              </w:rPr>
            </w:pPr>
            <w:r>
              <w:rPr>
                <w:rFonts w:ascii="Arial" w:cs="Arial" w:eastAsia="Arial" w:hAnsi="Arial"/>
                <w:sz w:val="18"/>
                <w:szCs w:val="18"/>
                <w:color w:val="auto"/>
              </w:rPr>
              <w:t>22,751</w:t>
            </w:r>
          </w:p>
        </w:tc>
      </w:tr>
      <w:tr>
        <w:trPr>
          <w:trHeight w:val="223"/>
        </w:trPr>
        <w:tc>
          <w:tcPr>
            <w:tcW w:w="8560" w:type="dxa"/>
            <w:vAlign w:val="bottom"/>
          </w:tcPr>
          <w:p>
            <w:pPr>
              <w:ind w:left="40"/>
              <w:spacing w:after="0"/>
              <w:rPr>
                <w:sz w:val="20"/>
                <w:szCs w:val="20"/>
                <w:color w:val="auto"/>
              </w:rPr>
            </w:pPr>
            <w:r>
              <w:rPr>
                <w:rFonts w:ascii="Arial" w:cs="Arial" w:eastAsia="Arial" w:hAnsi="Arial"/>
                <w:sz w:val="18"/>
                <w:szCs w:val="18"/>
                <w:i w:val="1"/>
                <w:iCs w:val="1"/>
                <w:color w:val="auto"/>
              </w:rPr>
              <w:t>Unsecured</w:t>
            </w:r>
          </w:p>
        </w:tc>
        <w:tc>
          <w:tcPr>
            <w:tcW w:w="32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900" w:type="dxa"/>
            <w:vAlign w:val="bottom"/>
          </w:tcPr>
          <w:p>
            <w:pPr>
              <w:spacing w:after="0"/>
              <w:rPr>
                <w:sz w:val="19"/>
                <w:szCs w:val="19"/>
                <w:color w:val="auto"/>
              </w:rPr>
            </w:pPr>
          </w:p>
        </w:tc>
      </w:tr>
      <w:tr>
        <w:trPr>
          <w:trHeight w:val="41"/>
        </w:trPr>
        <w:tc>
          <w:tcPr>
            <w:tcW w:w="8560" w:type="dxa"/>
            <w:vAlign w:val="bottom"/>
          </w:tcPr>
          <w:p>
            <w:pPr>
              <w:spacing w:after="0"/>
              <w:rPr>
                <w:sz w:val="3"/>
                <w:szCs w:val="3"/>
                <w:color w:val="auto"/>
              </w:rPr>
            </w:pPr>
          </w:p>
        </w:tc>
        <w:tc>
          <w:tcPr>
            <w:tcW w:w="320" w:type="dxa"/>
            <w:vAlign w:val="bottom"/>
          </w:tcPr>
          <w:p>
            <w:pPr>
              <w:spacing w:after="0"/>
              <w:rPr>
                <w:sz w:val="3"/>
                <w:szCs w:val="3"/>
                <w:color w:val="auto"/>
              </w:rPr>
            </w:pPr>
          </w:p>
        </w:tc>
        <w:tc>
          <w:tcPr>
            <w:tcW w:w="1060" w:type="dxa"/>
            <w:vAlign w:val="bottom"/>
          </w:tcPr>
          <w:p>
            <w:pPr>
              <w:spacing w:after="0"/>
              <w:rPr>
                <w:sz w:val="3"/>
                <w:szCs w:val="3"/>
                <w:color w:val="auto"/>
              </w:rPr>
            </w:pPr>
          </w:p>
        </w:tc>
        <w:tc>
          <w:tcPr>
            <w:tcW w:w="100" w:type="dxa"/>
            <w:vAlign w:val="bottom"/>
          </w:tcPr>
          <w:p>
            <w:pPr>
              <w:spacing w:after="0"/>
              <w:rPr>
                <w:sz w:val="3"/>
                <w:szCs w:val="3"/>
                <w:color w:val="auto"/>
              </w:rPr>
            </w:pPr>
          </w:p>
        </w:tc>
        <w:tc>
          <w:tcPr>
            <w:tcW w:w="480" w:type="dxa"/>
            <w:vAlign w:val="bottom"/>
          </w:tcPr>
          <w:p>
            <w:pPr>
              <w:spacing w:after="0"/>
              <w:rPr>
                <w:sz w:val="3"/>
                <w:szCs w:val="3"/>
                <w:color w:val="auto"/>
              </w:rPr>
            </w:pPr>
          </w:p>
        </w:tc>
        <w:tc>
          <w:tcPr>
            <w:tcW w:w="900" w:type="dxa"/>
            <w:vAlign w:val="bottom"/>
          </w:tcPr>
          <w:p>
            <w:pPr>
              <w:spacing w:after="0"/>
              <w:rPr>
                <w:sz w:val="3"/>
                <w:szCs w:val="3"/>
                <w:color w:val="auto"/>
              </w:rPr>
            </w:pPr>
          </w:p>
        </w:tc>
      </w:tr>
      <w:tr>
        <w:trPr>
          <w:trHeight w:val="270"/>
        </w:trPr>
        <w:tc>
          <w:tcPr>
            <w:tcW w:w="8560" w:type="dxa"/>
            <w:vAlign w:val="bottom"/>
            <w:shd w:val="clear" w:color="auto" w:fill="CCEEFF"/>
          </w:tcPr>
          <w:p>
            <w:pPr>
              <w:ind w:left="280"/>
              <w:spacing w:after="0"/>
              <w:rPr>
                <w:sz w:val="20"/>
                <w:szCs w:val="20"/>
                <w:color w:val="auto"/>
              </w:rPr>
            </w:pPr>
            <w:r>
              <w:rPr>
                <w:rFonts w:ascii="Arial" w:cs="Arial" w:eastAsia="Arial" w:hAnsi="Arial"/>
                <w:sz w:val="18"/>
                <w:szCs w:val="18"/>
                <w:color w:val="auto"/>
              </w:rPr>
              <w:t xml:space="preserve">4.625% senior notes, interest only payments until due in March 2020 </w:t>
            </w:r>
            <w:r>
              <w:rPr>
                <w:rFonts w:ascii="Arial" w:cs="Arial" w:eastAsia="Arial" w:hAnsi="Arial"/>
                <w:sz w:val="21"/>
                <w:szCs w:val="21"/>
                <w:color w:val="auto"/>
                <w:vertAlign w:val="superscript"/>
              </w:rPr>
              <w:t>(d)</w:t>
            </w:r>
          </w:p>
        </w:tc>
        <w:tc>
          <w:tcPr>
            <w:tcW w:w="320" w:type="dxa"/>
            <w:vAlign w:val="bottom"/>
            <w:shd w:val="clear" w:color="auto" w:fill="CCEEFF"/>
          </w:tcPr>
          <w:p>
            <w:pPr>
              <w:spacing w:after="0"/>
              <w:rPr>
                <w:sz w:val="23"/>
                <w:szCs w:val="23"/>
                <w:color w:val="auto"/>
              </w:rPr>
            </w:pPr>
          </w:p>
        </w:tc>
        <w:tc>
          <w:tcPr>
            <w:tcW w:w="1060" w:type="dxa"/>
            <w:vAlign w:val="bottom"/>
            <w:shd w:val="clear" w:color="auto" w:fill="CCEEFF"/>
          </w:tcPr>
          <w:p>
            <w:pPr>
              <w:jc w:val="right"/>
              <w:ind w:right="32"/>
              <w:spacing w:after="0"/>
              <w:rPr>
                <w:sz w:val="20"/>
                <w:szCs w:val="20"/>
                <w:color w:val="auto"/>
              </w:rPr>
            </w:pPr>
            <w:r>
              <w:rPr>
                <w:rFonts w:ascii="Arial" w:cs="Arial" w:eastAsia="Arial" w:hAnsi="Arial"/>
                <w:sz w:val="18"/>
                <w:szCs w:val="18"/>
                <w:color w:val="auto"/>
              </w:rPr>
              <w:t>500</w:t>
            </w:r>
          </w:p>
        </w:tc>
        <w:tc>
          <w:tcPr>
            <w:tcW w:w="100" w:type="dxa"/>
            <w:vAlign w:val="bottom"/>
            <w:shd w:val="clear" w:color="auto" w:fill="CCEEFF"/>
          </w:tcPr>
          <w:p>
            <w:pPr>
              <w:spacing w:after="0"/>
              <w:rPr>
                <w:sz w:val="23"/>
                <w:szCs w:val="23"/>
                <w:color w:val="auto"/>
              </w:rPr>
            </w:pPr>
          </w:p>
        </w:tc>
        <w:tc>
          <w:tcPr>
            <w:tcW w:w="480" w:type="dxa"/>
            <w:vAlign w:val="bottom"/>
            <w:shd w:val="clear" w:color="auto" w:fill="CCEEFF"/>
          </w:tcPr>
          <w:p>
            <w:pPr>
              <w:spacing w:after="0"/>
              <w:rPr>
                <w:sz w:val="23"/>
                <w:szCs w:val="23"/>
                <w:color w:val="auto"/>
              </w:rPr>
            </w:pPr>
          </w:p>
        </w:tc>
        <w:tc>
          <w:tcPr>
            <w:tcW w:w="90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500</w:t>
            </w:r>
          </w:p>
        </w:tc>
      </w:tr>
      <w:tr>
        <w:trPr>
          <w:trHeight w:val="270"/>
        </w:trPr>
        <w:tc>
          <w:tcPr>
            <w:tcW w:w="8560" w:type="dxa"/>
            <w:vAlign w:val="bottom"/>
          </w:tcPr>
          <w:p>
            <w:pPr>
              <w:ind w:left="280"/>
              <w:spacing w:after="0"/>
              <w:rPr>
                <w:sz w:val="20"/>
                <w:szCs w:val="20"/>
                <w:color w:val="auto"/>
              </w:rPr>
            </w:pPr>
            <w:r>
              <w:rPr>
                <w:rFonts w:ascii="Arial" w:cs="Arial" w:eastAsia="Arial" w:hAnsi="Arial"/>
                <w:sz w:val="18"/>
                <w:szCs w:val="18"/>
                <w:color w:val="auto"/>
              </w:rPr>
              <w:t xml:space="preserve">5.000% senior notes, interest only payments until due in June 2022 </w:t>
            </w:r>
            <w:r>
              <w:rPr>
                <w:rFonts w:ascii="Arial" w:cs="Arial" w:eastAsia="Arial" w:hAnsi="Arial"/>
                <w:sz w:val="21"/>
                <w:szCs w:val="21"/>
                <w:color w:val="auto"/>
                <w:vertAlign w:val="superscript"/>
              </w:rPr>
              <w:t>(d)</w:t>
            </w:r>
          </w:p>
        </w:tc>
        <w:tc>
          <w:tcPr>
            <w:tcW w:w="320" w:type="dxa"/>
            <w:vAlign w:val="bottom"/>
          </w:tcPr>
          <w:p>
            <w:pPr>
              <w:spacing w:after="0"/>
              <w:rPr>
                <w:sz w:val="23"/>
                <w:szCs w:val="23"/>
                <w:color w:val="auto"/>
              </w:rPr>
            </w:pPr>
          </w:p>
        </w:tc>
        <w:tc>
          <w:tcPr>
            <w:tcW w:w="1060" w:type="dxa"/>
            <w:vAlign w:val="bottom"/>
          </w:tcPr>
          <w:p>
            <w:pPr>
              <w:jc w:val="right"/>
              <w:ind w:right="32"/>
              <w:spacing w:after="0"/>
              <w:rPr>
                <w:sz w:val="20"/>
                <w:szCs w:val="20"/>
                <w:color w:val="auto"/>
              </w:rPr>
            </w:pPr>
            <w:r>
              <w:rPr>
                <w:rFonts w:ascii="Arial" w:cs="Arial" w:eastAsia="Arial" w:hAnsi="Arial"/>
                <w:sz w:val="18"/>
                <w:szCs w:val="18"/>
                <w:color w:val="auto"/>
              </w:rPr>
              <w:t>750</w:t>
            </w:r>
          </w:p>
        </w:tc>
        <w:tc>
          <w:tcPr>
            <w:tcW w:w="100" w:type="dxa"/>
            <w:vAlign w:val="bottom"/>
          </w:tcPr>
          <w:p>
            <w:pPr>
              <w:spacing w:after="0"/>
              <w:rPr>
                <w:sz w:val="23"/>
                <w:szCs w:val="23"/>
                <w:color w:val="auto"/>
              </w:rPr>
            </w:pPr>
          </w:p>
        </w:tc>
        <w:tc>
          <w:tcPr>
            <w:tcW w:w="480" w:type="dxa"/>
            <w:vAlign w:val="bottom"/>
          </w:tcPr>
          <w:p>
            <w:pPr>
              <w:spacing w:after="0"/>
              <w:rPr>
                <w:sz w:val="23"/>
                <w:szCs w:val="23"/>
                <w:color w:val="auto"/>
              </w:rPr>
            </w:pPr>
          </w:p>
        </w:tc>
        <w:tc>
          <w:tcPr>
            <w:tcW w:w="900" w:type="dxa"/>
            <w:vAlign w:val="bottom"/>
          </w:tcPr>
          <w:p>
            <w:pPr>
              <w:jc w:val="right"/>
              <w:ind w:right="11"/>
              <w:spacing w:after="0"/>
              <w:rPr>
                <w:sz w:val="20"/>
                <w:szCs w:val="20"/>
                <w:color w:val="auto"/>
              </w:rPr>
            </w:pPr>
            <w:r>
              <w:rPr>
                <w:rFonts w:ascii="Arial" w:cs="Arial" w:eastAsia="Arial" w:hAnsi="Arial"/>
                <w:sz w:val="18"/>
                <w:szCs w:val="18"/>
                <w:color w:val="auto"/>
              </w:rPr>
              <w:t>—</w:t>
            </w:r>
          </w:p>
        </w:tc>
      </w:tr>
      <w:tr>
        <w:trPr>
          <w:trHeight w:val="264"/>
        </w:trPr>
        <w:tc>
          <w:tcPr>
            <w:tcW w:w="8560" w:type="dxa"/>
            <w:vAlign w:val="bottom"/>
            <w:shd w:val="clear" w:color="auto" w:fill="CCEEFF"/>
          </w:tcPr>
          <w:p>
            <w:pPr>
              <w:ind w:left="280"/>
              <w:spacing w:after="0"/>
              <w:rPr>
                <w:sz w:val="20"/>
                <w:szCs w:val="20"/>
                <w:color w:val="auto"/>
              </w:rPr>
            </w:pPr>
            <w:r>
              <w:rPr>
                <w:rFonts w:ascii="Arial" w:cs="Arial" w:eastAsia="Arial" w:hAnsi="Arial"/>
                <w:sz w:val="18"/>
                <w:szCs w:val="18"/>
                <w:color w:val="auto"/>
              </w:rPr>
              <w:t>5.50% senior notes</w:t>
            </w:r>
          </w:p>
        </w:tc>
        <w:tc>
          <w:tcPr>
            <w:tcW w:w="320" w:type="dxa"/>
            <w:vAlign w:val="bottom"/>
            <w:shd w:val="clear" w:color="auto" w:fill="CCEEFF"/>
          </w:tcPr>
          <w:p>
            <w:pPr>
              <w:spacing w:after="0"/>
              <w:rPr>
                <w:sz w:val="22"/>
                <w:szCs w:val="22"/>
                <w:color w:val="auto"/>
              </w:rPr>
            </w:pPr>
          </w:p>
        </w:tc>
        <w:tc>
          <w:tcPr>
            <w:tcW w:w="11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480" w:type="dxa"/>
            <w:vAlign w:val="bottom"/>
            <w:shd w:val="clear" w:color="auto" w:fill="CCEEFF"/>
          </w:tcPr>
          <w:p>
            <w:pPr>
              <w:spacing w:after="0"/>
              <w:rPr>
                <w:sz w:val="22"/>
                <w:szCs w:val="22"/>
                <w:color w:val="auto"/>
              </w:rPr>
            </w:pPr>
          </w:p>
        </w:tc>
        <w:tc>
          <w:tcPr>
            <w:tcW w:w="90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750</w:t>
            </w:r>
          </w:p>
        </w:tc>
      </w:tr>
      <w:tr>
        <w:trPr>
          <w:trHeight w:val="250"/>
        </w:trPr>
        <w:tc>
          <w:tcPr>
            <w:tcW w:w="8560" w:type="dxa"/>
            <w:vAlign w:val="bottom"/>
            <w:tcBorders>
              <w:bottom w:val="single" w:sz="8" w:color="CCEEFF"/>
            </w:tcBorders>
          </w:tcPr>
          <w:p>
            <w:pPr>
              <w:spacing w:after="0"/>
              <w:rPr>
                <w:sz w:val="21"/>
                <w:szCs w:val="21"/>
                <w:color w:val="auto"/>
              </w:rPr>
            </w:pPr>
          </w:p>
        </w:tc>
        <w:tc>
          <w:tcPr>
            <w:tcW w:w="320" w:type="dxa"/>
            <w:vAlign w:val="bottom"/>
            <w:tcBorders>
              <w:top w:val="single" w:sz="8" w:color="auto"/>
              <w:bottom w:val="single" w:sz="8" w:color="auto"/>
            </w:tcBorders>
          </w:tcPr>
          <w:p>
            <w:pPr>
              <w:spacing w:after="0"/>
              <w:rPr>
                <w:sz w:val="21"/>
                <w:szCs w:val="21"/>
                <w:color w:val="auto"/>
              </w:rPr>
            </w:pPr>
          </w:p>
        </w:tc>
        <w:tc>
          <w:tcPr>
            <w:tcW w:w="1060" w:type="dxa"/>
            <w:vAlign w:val="bottom"/>
            <w:tcBorders>
              <w:top w:val="single" w:sz="8" w:color="auto"/>
              <w:bottom w:val="single" w:sz="8" w:color="auto"/>
            </w:tcBorders>
          </w:tcPr>
          <w:p>
            <w:pPr>
              <w:jc w:val="right"/>
              <w:ind w:right="32"/>
              <w:spacing w:after="0"/>
              <w:rPr>
                <w:sz w:val="20"/>
                <w:szCs w:val="20"/>
                <w:color w:val="auto"/>
              </w:rPr>
            </w:pPr>
            <w:r>
              <w:rPr>
                <w:rFonts w:ascii="Arial" w:cs="Arial" w:eastAsia="Arial" w:hAnsi="Arial"/>
                <w:sz w:val="18"/>
                <w:szCs w:val="18"/>
                <w:color w:val="auto"/>
              </w:rPr>
              <w:t>1,250</w:t>
            </w:r>
          </w:p>
        </w:tc>
        <w:tc>
          <w:tcPr>
            <w:tcW w:w="100" w:type="dxa"/>
            <w:vAlign w:val="bottom"/>
            <w:tcBorders>
              <w:bottom w:val="single" w:sz="8" w:color="CCEEFF"/>
            </w:tcBorders>
          </w:tcPr>
          <w:p>
            <w:pPr>
              <w:spacing w:after="0"/>
              <w:rPr>
                <w:sz w:val="21"/>
                <w:szCs w:val="21"/>
                <w:color w:val="auto"/>
              </w:rPr>
            </w:pPr>
          </w:p>
        </w:tc>
        <w:tc>
          <w:tcPr>
            <w:tcW w:w="480" w:type="dxa"/>
            <w:vAlign w:val="bottom"/>
            <w:tcBorders>
              <w:top w:val="single" w:sz="8" w:color="auto"/>
              <w:bottom w:val="single" w:sz="8" w:color="auto"/>
            </w:tcBorders>
          </w:tcPr>
          <w:p>
            <w:pPr>
              <w:spacing w:after="0"/>
              <w:rPr>
                <w:sz w:val="21"/>
                <w:szCs w:val="21"/>
                <w:color w:val="auto"/>
              </w:rPr>
            </w:pPr>
          </w:p>
        </w:tc>
        <w:tc>
          <w:tcPr>
            <w:tcW w:w="900" w:type="dxa"/>
            <w:vAlign w:val="bottom"/>
            <w:tcBorders>
              <w:top w:val="single" w:sz="8" w:color="auto"/>
              <w:bottom w:val="single" w:sz="8" w:color="auto"/>
            </w:tcBorders>
          </w:tcPr>
          <w:p>
            <w:pPr>
              <w:jc w:val="right"/>
              <w:ind w:right="11"/>
              <w:spacing w:after="0"/>
              <w:rPr>
                <w:sz w:val="20"/>
                <w:szCs w:val="20"/>
                <w:color w:val="auto"/>
              </w:rPr>
            </w:pPr>
            <w:r>
              <w:rPr>
                <w:rFonts w:ascii="Arial" w:cs="Arial" w:eastAsia="Arial" w:hAnsi="Arial"/>
                <w:sz w:val="18"/>
                <w:szCs w:val="18"/>
                <w:color w:val="auto"/>
              </w:rPr>
              <w:t>1,250</w:t>
            </w:r>
          </w:p>
        </w:tc>
      </w:tr>
      <w:tr>
        <w:trPr>
          <w:trHeight w:val="257"/>
        </w:trPr>
        <w:tc>
          <w:tcPr>
            <w:tcW w:w="8560" w:type="dxa"/>
            <w:vAlign w:val="bottom"/>
            <w:shd w:val="clear" w:color="auto" w:fill="CCEEFF"/>
          </w:tcPr>
          <w:p>
            <w:pPr>
              <w:ind w:left="40"/>
              <w:spacing w:after="0"/>
              <w:rPr>
                <w:sz w:val="20"/>
                <w:szCs w:val="20"/>
                <w:color w:val="auto"/>
              </w:rPr>
            </w:pPr>
            <w:r>
              <w:rPr>
                <w:rFonts w:ascii="Arial" w:cs="Arial" w:eastAsia="Arial" w:hAnsi="Arial"/>
                <w:sz w:val="18"/>
                <w:szCs w:val="18"/>
                <w:color w:val="auto"/>
              </w:rPr>
              <w:t>Total long-term debt</w:t>
            </w:r>
          </w:p>
        </w:tc>
        <w:tc>
          <w:tcPr>
            <w:tcW w:w="320" w:type="dxa"/>
            <w:vAlign w:val="bottom"/>
            <w:shd w:val="clear" w:color="auto" w:fill="CCEEFF"/>
          </w:tcPr>
          <w:p>
            <w:pPr>
              <w:spacing w:after="0"/>
              <w:rPr>
                <w:sz w:val="22"/>
                <w:szCs w:val="22"/>
                <w:color w:val="auto"/>
              </w:rPr>
            </w:pPr>
          </w:p>
        </w:tc>
        <w:tc>
          <w:tcPr>
            <w:tcW w:w="1060" w:type="dxa"/>
            <w:vAlign w:val="bottom"/>
            <w:shd w:val="clear" w:color="auto" w:fill="CCEEFF"/>
          </w:tcPr>
          <w:p>
            <w:pPr>
              <w:jc w:val="right"/>
              <w:ind w:right="32"/>
              <w:spacing w:after="0"/>
              <w:rPr>
                <w:sz w:val="20"/>
                <w:szCs w:val="20"/>
                <w:color w:val="auto"/>
              </w:rPr>
            </w:pPr>
            <w:r>
              <w:rPr>
                <w:rFonts w:ascii="Arial" w:cs="Arial" w:eastAsia="Arial" w:hAnsi="Arial"/>
                <w:sz w:val="18"/>
                <w:szCs w:val="18"/>
                <w:color w:val="auto"/>
              </w:rPr>
              <w:t>23,856</w:t>
            </w:r>
          </w:p>
        </w:tc>
        <w:tc>
          <w:tcPr>
            <w:tcW w:w="100" w:type="dxa"/>
            <w:vAlign w:val="bottom"/>
            <w:shd w:val="clear" w:color="auto" w:fill="CCEEFF"/>
          </w:tcPr>
          <w:p>
            <w:pPr>
              <w:spacing w:after="0"/>
              <w:rPr>
                <w:sz w:val="22"/>
                <w:szCs w:val="22"/>
                <w:color w:val="auto"/>
              </w:rPr>
            </w:pPr>
          </w:p>
        </w:tc>
        <w:tc>
          <w:tcPr>
            <w:tcW w:w="480" w:type="dxa"/>
            <w:vAlign w:val="bottom"/>
            <w:shd w:val="clear" w:color="auto" w:fill="CCEEFF"/>
          </w:tcPr>
          <w:p>
            <w:pPr>
              <w:spacing w:after="0"/>
              <w:rPr>
                <w:sz w:val="22"/>
                <w:szCs w:val="22"/>
                <w:color w:val="auto"/>
              </w:rPr>
            </w:pPr>
          </w:p>
        </w:tc>
        <w:tc>
          <w:tcPr>
            <w:tcW w:w="90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24,001</w:t>
            </w:r>
          </w:p>
        </w:tc>
      </w:tr>
      <w:tr>
        <w:trPr>
          <w:trHeight w:val="263"/>
        </w:trPr>
        <w:tc>
          <w:tcPr>
            <w:tcW w:w="8560" w:type="dxa"/>
            <w:vAlign w:val="bottom"/>
          </w:tcPr>
          <w:p>
            <w:pPr>
              <w:ind w:left="280"/>
              <w:spacing w:after="0"/>
              <w:rPr>
                <w:sz w:val="20"/>
                <w:szCs w:val="20"/>
                <w:color w:val="auto"/>
              </w:rPr>
            </w:pPr>
            <w:r>
              <w:rPr>
                <w:rFonts w:ascii="Arial" w:cs="Arial" w:eastAsia="Arial" w:hAnsi="Arial"/>
                <w:sz w:val="18"/>
                <w:szCs w:val="18"/>
                <w:color w:val="auto"/>
              </w:rPr>
              <w:t>Less: Total unamortized debt discount, premium and issuance costs</w:t>
            </w:r>
          </w:p>
        </w:tc>
        <w:tc>
          <w:tcPr>
            <w:tcW w:w="320" w:type="dxa"/>
            <w:vAlign w:val="bottom"/>
          </w:tcPr>
          <w:p>
            <w:pPr>
              <w:spacing w:after="0"/>
              <w:rPr>
                <w:sz w:val="22"/>
                <w:szCs w:val="22"/>
                <w:color w:val="auto"/>
              </w:rPr>
            </w:pPr>
          </w:p>
        </w:tc>
        <w:tc>
          <w:tcPr>
            <w:tcW w:w="1060" w:type="dxa"/>
            <w:vAlign w:val="bottom"/>
          </w:tcPr>
          <w:p>
            <w:pPr>
              <w:jc w:val="right"/>
              <w:ind w:right="32"/>
              <w:spacing w:after="0"/>
              <w:rPr>
                <w:sz w:val="20"/>
                <w:szCs w:val="20"/>
                <w:color w:val="auto"/>
              </w:rPr>
            </w:pPr>
            <w:r>
              <w:rPr>
                <w:rFonts w:ascii="Arial" w:cs="Arial" w:eastAsia="Arial" w:hAnsi="Arial"/>
                <w:sz w:val="18"/>
                <w:szCs w:val="18"/>
                <w:color w:val="auto"/>
              </w:rPr>
              <w:t>211</w:t>
            </w:r>
          </w:p>
        </w:tc>
        <w:tc>
          <w:tcPr>
            <w:tcW w:w="100" w:type="dxa"/>
            <w:vAlign w:val="bottom"/>
          </w:tcPr>
          <w:p>
            <w:pPr>
              <w:spacing w:after="0"/>
              <w:rPr>
                <w:sz w:val="22"/>
                <w:szCs w:val="22"/>
                <w:color w:val="auto"/>
              </w:rPr>
            </w:pPr>
          </w:p>
        </w:tc>
        <w:tc>
          <w:tcPr>
            <w:tcW w:w="480" w:type="dxa"/>
            <w:vAlign w:val="bottom"/>
          </w:tcPr>
          <w:p>
            <w:pPr>
              <w:spacing w:after="0"/>
              <w:rPr>
                <w:sz w:val="22"/>
                <w:szCs w:val="22"/>
                <w:color w:val="auto"/>
              </w:rPr>
            </w:pPr>
          </w:p>
        </w:tc>
        <w:tc>
          <w:tcPr>
            <w:tcW w:w="900" w:type="dxa"/>
            <w:vAlign w:val="bottom"/>
          </w:tcPr>
          <w:p>
            <w:pPr>
              <w:jc w:val="right"/>
              <w:ind w:right="11"/>
              <w:spacing w:after="0"/>
              <w:rPr>
                <w:sz w:val="20"/>
                <w:szCs w:val="20"/>
                <w:color w:val="auto"/>
              </w:rPr>
            </w:pPr>
            <w:r>
              <w:rPr>
                <w:rFonts w:ascii="Arial" w:cs="Arial" w:eastAsia="Arial" w:hAnsi="Arial"/>
                <w:sz w:val="18"/>
                <w:szCs w:val="18"/>
                <w:color w:val="auto"/>
              </w:rPr>
              <w:t>222</w:t>
            </w:r>
          </w:p>
        </w:tc>
      </w:tr>
      <w:tr>
        <w:trPr>
          <w:trHeight w:val="277"/>
        </w:trPr>
        <w:tc>
          <w:tcPr>
            <w:tcW w:w="8560" w:type="dxa"/>
            <w:vAlign w:val="bottom"/>
            <w:shd w:val="clear" w:color="auto" w:fill="CCEEFF"/>
          </w:tcPr>
          <w:p>
            <w:pPr>
              <w:ind w:left="280"/>
              <w:spacing w:after="0"/>
              <w:rPr>
                <w:sz w:val="20"/>
                <w:szCs w:val="20"/>
                <w:color w:val="auto"/>
              </w:rPr>
            </w:pPr>
            <w:r>
              <w:rPr>
                <w:rFonts w:ascii="Arial" w:cs="Arial" w:eastAsia="Arial" w:hAnsi="Arial"/>
                <w:sz w:val="18"/>
                <w:szCs w:val="18"/>
                <w:color w:val="auto"/>
              </w:rPr>
              <w:t>Less: Current maturities</w:t>
            </w:r>
          </w:p>
        </w:tc>
        <w:tc>
          <w:tcPr>
            <w:tcW w:w="320" w:type="dxa"/>
            <w:vAlign w:val="bottom"/>
            <w:tcBorders>
              <w:bottom w:val="single" w:sz="8" w:color="auto"/>
            </w:tcBorders>
            <w:shd w:val="clear" w:color="auto" w:fill="CCEEFF"/>
          </w:tcPr>
          <w:p>
            <w:pPr>
              <w:spacing w:after="0"/>
              <w:rPr>
                <w:sz w:val="24"/>
                <w:szCs w:val="24"/>
                <w:color w:val="auto"/>
              </w:rPr>
            </w:pPr>
          </w:p>
        </w:tc>
        <w:tc>
          <w:tcPr>
            <w:tcW w:w="1060" w:type="dxa"/>
            <w:vAlign w:val="bottom"/>
            <w:tcBorders>
              <w:bottom w:val="single" w:sz="8" w:color="auto"/>
            </w:tcBorders>
            <w:shd w:val="clear" w:color="auto" w:fill="CCEEFF"/>
          </w:tcPr>
          <w:p>
            <w:pPr>
              <w:jc w:val="right"/>
              <w:ind w:right="32"/>
              <w:spacing w:after="0"/>
              <w:rPr>
                <w:sz w:val="20"/>
                <w:szCs w:val="20"/>
                <w:color w:val="auto"/>
              </w:rPr>
            </w:pPr>
            <w:r>
              <w:rPr>
                <w:rFonts w:ascii="Arial" w:cs="Arial" w:eastAsia="Arial" w:hAnsi="Arial"/>
                <w:sz w:val="18"/>
                <w:szCs w:val="18"/>
                <w:color w:val="auto"/>
              </w:rPr>
              <w:t>2,749</w:t>
            </w:r>
          </w:p>
        </w:tc>
        <w:tc>
          <w:tcPr>
            <w:tcW w:w="100" w:type="dxa"/>
            <w:vAlign w:val="bottom"/>
            <w:shd w:val="clear" w:color="auto" w:fill="CCEEFF"/>
          </w:tcPr>
          <w:p>
            <w:pPr>
              <w:spacing w:after="0"/>
              <w:rPr>
                <w:sz w:val="24"/>
                <w:szCs w:val="24"/>
                <w:color w:val="auto"/>
              </w:rPr>
            </w:pPr>
          </w:p>
        </w:tc>
        <w:tc>
          <w:tcPr>
            <w:tcW w:w="480" w:type="dxa"/>
            <w:vAlign w:val="bottom"/>
            <w:tcBorders>
              <w:bottom w:val="single" w:sz="8" w:color="auto"/>
            </w:tcBorders>
            <w:shd w:val="clear" w:color="auto" w:fill="CCEEFF"/>
          </w:tcPr>
          <w:p>
            <w:pPr>
              <w:spacing w:after="0"/>
              <w:rPr>
                <w:sz w:val="24"/>
                <w:szCs w:val="24"/>
                <w:color w:val="auto"/>
              </w:rPr>
            </w:pPr>
          </w:p>
        </w:tc>
        <w:tc>
          <w:tcPr>
            <w:tcW w:w="900" w:type="dxa"/>
            <w:vAlign w:val="bottom"/>
            <w:tcBorders>
              <w:bottom w:val="single" w:sz="8" w:color="auto"/>
            </w:tcBorders>
            <w:shd w:val="clear" w:color="auto" w:fill="CCEEFF"/>
          </w:tcPr>
          <w:p>
            <w:pPr>
              <w:jc w:val="right"/>
              <w:ind w:right="11"/>
              <w:spacing w:after="0"/>
              <w:rPr>
                <w:sz w:val="20"/>
                <w:szCs w:val="20"/>
                <w:color w:val="auto"/>
              </w:rPr>
            </w:pPr>
            <w:r>
              <w:rPr>
                <w:rFonts w:ascii="Arial" w:cs="Arial" w:eastAsia="Arial" w:hAnsi="Arial"/>
                <w:sz w:val="18"/>
                <w:szCs w:val="18"/>
                <w:color w:val="auto"/>
              </w:rPr>
              <w:t>3,213</w:t>
            </w:r>
          </w:p>
        </w:tc>
      </w:tr>
      <w:tr>
        <w:trPr>
          <w:trHeight w:val="244"/>
        </w:trPr>
        <w:tc>
          <w:tcPr>
            <w:tcW w:w="8560" w:type="dxa"/>
            <w:vAlign w:val="bottom"/>
          </w:tcPr>
          <w:p>
            <w:pPr>
              <w:ind w:left="500"/>
              <w:spacing w:after="0"/>
              <w:rPr>
                <w:sz w:val="20"/>
                <w:szCs w:val="20"/>
                <w:color w:val="auto"/>
              </w:rPr>
            </w:pPr>
            <w:r>
              <w:rPr>
                <w:rFonts w:ascii="Arial" w:cs="Arial" w:eastAsia="Arial" w:hAnsi="Arial"/>
                <w:sz w:val="18"/>
                <w:szCs w:val="18"/>
                <w:color w:val="auto"/>
              </w:rPr>
              <w:t>Long-term debt, net of current maturities</w:t>
            </w:r>
          </w:p>
        </w:tc>
        <w:tc>
          <w:tcPr>
            <w:tcW w:w="320" w:type="dxa"/>
            <w:vAlign w:val="bottom"/>
            <w:tcBorders>
              <w:bottom w:val="single" w:sz="8" w:color="auto"/>
            </w:tcBorders>
          </w:tcPr>
          <w:p>
            <w:pPr>
              <w:jc w:val="right"/>
              <w:ind w:right="110"/>
              <w:spacing w:after="0"/>
              <w:rPr>
                <w:sz w:val="20"/>
                <w:szCs w:val="20"/>
                <w:color w:val="auto"/>
              </w:rPr>
            </w:pPr>
            <w:r>
              <w:rPr>
                <w:rFonts w:ascii="Arial" w:cs="Arial" w:eastAsia="Arial" w:hAnsi="Arial"/>
                <w:sz w:val="18"/>
                <w:szCs w:val="18"/>
                <w:color w:val="auto"/>
                <w:w w:val="99"/>
              </w:rPr>
              <w:t>$</w:t>
            </w:r>
          </w:p>
        </w:tc>
        <w:tc>
          <w:tcPr>
            <w:tcW w:w="1060" w:type="dxa"/>
            <w:vAlign w:val="bottom"/>
            <w:tcBorders>
              <w:bottom w:val="single" w:sz="8" w:color="auto"/>
            </w:tcBorders>
          </w:tcPr>
          <w:p>
            <w:pPr>
              <w:jc w:val="right"/>
              <w:ind w:right="32"/>
              <w:spacing w:after="0"/>
              <w:rPr>
                <w:sz w:val="20"/>
                <w:szCs w:val="20"/>
                <w:color w:val="auto"/>
              </w:rPr>
            </w:pPr>
            <w:r>
              <w:rPr>
                <w:rFonts w:ascii="Arial" w:cs="Arial" w:eastAsia="Arial" w:hAnsi="Arial"/>
                <w:sz w:val="18"/>
                <w:szCs w:val="18"/>
                <w:color w:val="auto"/>
              </w:rPr>
              <w:t>20,896</w:t>
            </w:r>
          </w:p>
        </w:tc>
        <w:tc>
          <w:tcPr>
            <w:tcW w:w="100" w:type="dxa"/>
            <w:vAlign w:val="bottom"/>
          </w:tcPr>
          <w:p>
            <w:pPr>
              <w:spacing w:after="0"/>
              <w:rPr>
                <w:sz w:val="21"/>
                <w:szCs w:val="21"/>
                <w:color w:val="auto"/>
              </w:rPr>
            </w:pPr>
          </w:p>
        </w:tc>
        <w:tc>
          <w:tcPr>
            <w:tcW w:w="480" w:type="dxa"/>
            <w:vAlign w:val="bottom"/>
            <w:tcBorders>
              <w:bottom w:val="single" w:sz="8" w:color="auto"/>
            </w:tcBorders>
          </w:tcPr>
          <w:p>
            <w:pPr>
              <w:jc w:val="right"/>
              <w:ind w:right="270"/>
              <w:spacing w:after="0"/>
              <w:rPr>
                <w:sz w:val="20"/>
                <w:szCs w:val="20"/>
                <w:color w:val="auto"/>
              </w:rPr>
            </w:pPr>
            <w:r>
              <w:rPr>
                <w:rFonts w:ascii="Arial" w:cs="Arial" w:eastAsia="Arial" w:hAnsi="Arial"/>
                <w:sz w:val="18"/>
                <w:szCs w:val="18"/>
                <w:color w:val="auto"/>
                <w:w w:val="99"/>
              </w:rPr>
              <w:t>$</w:t>
            </w:r>
          </w:p>
        </w:tc>
        <w:tc>
          <w:tcPr>
            <w:tcW w:w="900" w:type="dxa"/>
            <w:vAlign w:val="bottom"/>
            <w:tcBorders>
              <w:bottom w:val="single" w:sz="8" w:color="auto"/>
            </w:tcBorders>
          </w:tcPr>
          <w:p>
            <w:pPr>
              <w:jc w:val="right"/>
              <w:ind w:right="11"/>
              <w:spacing w:after="0"/>
              <w:rPr>
                <w:sz w:val="20"/>
                <w:szCs w:val="20"/>
                <w:color w:val="auto"/>
              </w:rPr>
            </w:pPr>
            <w:r>
              <w:rPr>
                <w:rFonts w:ascii="Arial" w:cs="Arial" w:eastAsia="Arial" w:hAnsi="Arial"/>
                <w:sz w:val="18"/>
                <w:szCs w:val="18"/>
                <w:color w:val="auto"/>
              </w:rPr>
              <w:t>20,566</w:t>
            </w:r>
          </w:p>
        </w:tc>
      </w:tr>
      <w:tr>
        <w:trPr>
          <w:trHeight w:val="20"/>
        </w:trPr>
        <w:tc>
          <w:tcPr>
            <w:tcW w:w="856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r>
    </w:tbl>
    <w:p>
      <w:pPr>
        <w:spacing w:after="0" w:line="377" w:lineRule="exact"/>
        <w:rPr>
          <w:sz w:val="20"/>
          <w:szCs w:val="20"/>
          <w:color w:val="auto"/>
        </w:rPr>
      </w:pPr>
    </w:p>
    <w:p>
      <w:pPr>
        <w:jc w:val="both"/>
        <w:ind w:right="20" w:firstLine="216"/>
        <w:spacing w:after="0" w:line="262" w:lineRule="auto"/>
        <w:rPr>
          <w:sz w:val="20"/>
          <w:szCs w:val="20"/>
          <w:color w:val="auto"/>
        </w:rPr>
      </w:pPr>
      <w:r>
        <w:rPr>
          <w:rFonts w:ascii="Arial" w:cs="Arial" w:eastAsia="Arial" w:hAnsi="Arial"/>
          <w:sz w:val="18"/>
          <w:szCs w:val="18"/>
          <w:color w:val="auto"/>
        </w:rPr>
        <w:t>The table below shows the maximum availability under revolving credit facilities, all of which were undrawn, as of December 31, 2019 (in millions):</w:t>
      </w:r>
    </w:p>
    <w:p>
      <w:pPr>
        <w:spacing w:after="0" w:line="278" w:lineRule="exact"/>
        <w:rPr>
          <w:sz w:val="20"/>
          <w:szCs w:val="20"/>
          <w:color w:val="auto"/>
        </w:rPr>
      </w:pPr>
    </w:p>
    <w:tbl>
      <w:tblPr>
        <w:tblLayout w:type="fixed"/>
        <w:tblInd w:w="0" w:type="dxa"/>
        <w:tblCellMar>
          <w:top w:w="0" w:type="dxa"/>
          <w:left w:w="0" w:type="dxa"/>
          <w:bottom w:w="0" w:type="dxa"/>
          <w:right w:w="0" w:type="dxa"/>
        </w:tblCellMar>
      </w:tblPr>
      <w:tr>
        <w:trPr>
          <w:trHeight w:val="257"/>
        </w:trPr>
        <w:tc>
          <w:tcPr>
            <w:tcW w:w="9480" w:type="dxa"/>
            <w:vAlign w:val="bottom"/>
            <w:shd w:val="clear" w:color="auto" w:fill="CCEEFF"/>
          </w:tcPr>
          <w:p>
            <w:pPr>
              <w:ind w:left="40"/>
              <w:spacing w:after="0"/>
              <w:rPr>
                <w:sz w:val="20"/>
                <w:szCs w:val="20"/>
                <w:color w:val="auto"/>
              </w:rPr>
            </w:pPr>
            <w:r>
              <w:rPr>
                <w:rFonts w:ascii="Arial" w:cs="Arial" w:eastAsia="Arial" w:hAnsi="Arial"/>
                <w:sz w:val="18"/>
                <w:szCs w:val="18"/>
                <w:color w:val="auto"/>
              </w:rPr>
              <w:t>2013 Revolving Facility</w:t>
            </w:r>
          </w:p>
        </w:tc>
        <w:tc>
          <w:tcPr>
            <w:tcW w:w="760" w:type="dxa"/>
            <w:vAlign w:val="bottom"/>
            <w:shd w:val="clear" w:color="auto" w:fill="CCEEFF"/>
          </w:tcPr>
          <w:p>
            <w:pPr>
              <w:jc w:val="right"/>
              <w:ind w:right="550"/>
              <w:spacing w:after="0"/>
              <w:rPr>
                <w:sz w:val="20"/>
                <w:szCs w:val="20"/>
                <w:color w:val="auto"/>
              </w:rPr>
            </w:pPr>
            <w:r>
              <w:rPr>
                <w:rFonts w:ascii="Arial" w:cs="Arial" w:eastAsia="Arial" w:hAnsi="Arial"/>
                <w:sz w:val="18"/>
                <w:szCs w:val="18"/>
                <w:color w:val="auto"/>
                <w:w w:val="99"/>
              </w:rPr>
              <w:t>$</w:t>
            </w:r>
          </w:p>
        </w:tc>
        <w:tc>
          <w:tcPr>
            <w:tcW w:w="118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750</w:t>
            </w:r>
          </w:p>
        </w:tc>
      </w:tr>
      <w:tr>
        <w:trPr>
          <w:trHeight w:val="250"/>
        </w:trPr>
        <w:tc>
          <w:tcPr>
            <w:tcW w:w="9480" w:type="dxa"/>
            <w:vAlign w:val="bottom"/>
          </w:tcPr>
          <w:p>
            <w:pPr>
              <w:ind w:left="40"/>
              <w:spacing w:after="0"/>
              <w:rPr>
                <w:sz w:val="20"/>
                <w:szCs w:val="20"/>
                <w:color w:val="auto"/>
              </w:rPr>
            </w:pPr>
            <w:r>
              <w:rPr>
                <w:rFonts w:ascii="Arial" w:cs="Arial" w:eastAsia="Arial" w:hAnsi="Arial"/>
                <w:sz w:val="18"/>
                <w:szCs w:val="18"/>
                <w:color w:val="auto"/>
              </w:rPr>
              <w:t>2014 Revolving Facility</w:t>
            </w:r>
          </w:p>
        </w:tc>
        <w:tc>
          <w:tcPr>
            <w:tcW w:w="760" w:type="dxa"/>
            <w:vAlign w:val="bottom"/>
          </w:tcPr>
          <w:p>
            <w:pPr>
              <w:spacing w:after="0"/>
              <w:rPr>
                <w:sz w:val="21"/>
                <w:szCs w:val="21"/>
                <w:color w:val="auto"/>
              </w:rPr>
            </w:pPr>
          </w:p>
        </w:tc>
        <w:tc>
          <w:tcPr>
            <w:tcW w:w="1180" w:type="dxa"/>
            <w:vAlign w:val="bottom"/>
          </w:tcPr>
          <w:p>
            <w:pPr>
              <w:jc w:val="right"/>
              <w:ind w:right="10"/>
              <w:spacing w:after="0"/>
              <w:rPr>
                <w:sz w:val="20"/>
                <w:szCs w:val="20"/>
                <w:color w:val="auto"/>
              </w:rPr>
            </w:pPr>
            <w:r>
              <w:rPr>
                <w:rFonts w:ascii="Arial" w:cs="Arial" w:eastAsia="Arial" w:hAnsi="Arial"/>
                <w:sz w:val="18"/>
                <w:szCs w:val="18"/>
                <w:color w:val="auto"/>
              </w:rPr>
              <w:t>1,643</w:t>
            </w:r>
          </w:p>
        </w:tc>
      </w:tr>
      <w:tr>
        <w:trPr>
          <w:trHeight w:val="263"/>
        </w:trPr>
        <w:tc>
          <w:tcPr>
            <w:tcW w:w="9480" w:type="dxa"/>
            <w:vAlign w:val="bottom"/>
            <w:shd w:val="clear" w:color="auto" w:fill="CCEEFF"/>
          </w:tcPr>
          <w:p>
            <w:pPr>
              <w:ind w:left="40"/>
              <w:spacing w:after="0"/>
              <w:rPr>
                <w:sz w:val="20"/>
                <w:szCs w:val="20"/>
                <w:color w:val="auto"/>
              </w:rPr>
            </w:pPr>
            <w:r>
              <w:rPr>
                <w:rFonts w:ascii="Arial" w:cs="Arial" w:eastAsia="Arial" w:hAnsi="Arial"/>
                <w:sz w:val="18"/>
                <w:szCs w:val="18"/>
                <w:color w:val="auto"/>
              </w:rPr>
              <w:t>April 2016 Revolving Facility</w:t>
            </w:r>
          </w:p>
        </w:tc>
        <w:tc>
          <w:tcPr>
            <w:tcW w:w="760" w:type="dxa"/>
            <w:vAlign w:val="bottom"/>
            <w:shd w:val="clear" w:color="auto" w:fill="CCEEFF"/>
          </w:tcPr>
          <w:p>
            <w:pPr>
              <w:spacing w:after="0"/>
              <w:rPr>
                <w:sz w:val="22"/>
                <w:szCs w:val="22"/>
                <w:color w:val="auto"/>
              </w:rPr>
            </w:pPr>
          </w:p>
        </w:tc>
        <w:tc>
          <w:tcPr>
            <w:tcW w:w="118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450</w:t>
            </w:r>
          </w:p>
        </w:tc>
      </w:tr>
      <w:tr>
        <w:trPr>
          <w:trHeight w:val="250"/>
        </w:trPr>
        <w:tc>
          <w:tcPr>
            <w:tcW w:w="9480" w:type="dxa"/>
            <w:vAlign w:val="bottom"/>
            <w:tcBorders>
              <w:bottom w:val="single" w:sz="8" w:color="CCEEFF"/>
            </w:tcBorders>
          </w:tcPr>
          <w:p>
            <w:pPr>
              <w:ind w:left="40"/>
              <w:spacing w:after="0"/>
              <w:rPr>
                <w:sz w:val="20"/>
                <w:szCs w:val="20"/>
                <w:color w:val="auto"/>
              </w:rPr>
            </w:pPr>
            <w:r>
              <w:rPr>
                <w:rFonts w:ascii="Arial" w:cs="Arial" w:eastAsia="Arial" w:hAnsi="Arial"/>
                <w:sz w:val="18"/>
                <w:szCs w:val="18"/>
                <w:color w:val="auto"/>
              </w:rPr>
              <w:t>Other Short-term Revolving Facility</w:t>
            </w:r>
          </w:p>
        </w:tc>
        <w:tc>
          <w:tcPr>
            <w:tcW w:w="760" w:type="dxa"/>
            <w:vAlign w:val="bottom"/>
            <w:tcBorders>
              <w:bottom w:val="single" w:sz="8" w:color="auto"/>
            </w:tcBorders>
          </w:tcPr>
          <w:p>
            <w:pPr>
              <w:spacing w:after="0"/>
              <w:rPr>
                <w:sz w:val="21"/>
                <w:szCs w:val="21"/>
                <w:color w:val="auto"/>
              </w:rPr>
            </w:pPr>
          </w:p>
        </w:tc>
        <w:tc>
          <w:tcPr>
            <w:tcW w:w="118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400</w:t>
            </w:r>
          </w:p>
        </w:tc>
      </w:tr>
      <w:tr>
        <w:trPr>
          <w:trHeight w:val="250"/>
        </w:trPr>
        <w:tc>
          <w:tcPr>
            <w:tcW w:w="948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Total</w:t>
            </w:r>
          </w:p>
        </w:tc>
        <w:tc>
          <w:tcPr>
            <w:tcW w:w="760" w:type="dxa"/>
            <w:vAlign w:val="bottom"/>
            <w:tcBorders>
              <w:bottom w:val="single" w:sz="8" w:color="auto"/>
            </w:tcBorders>
            <w:shd w:val="clear" w:color="auto" w:fill="CCEEFF"/>
          </w:tcPr>
          <w:p>
            <w:pPr>
              <w:jc w:val="right"/>
              <w:ind w:right="550"/>
              <w:spacing w:after="0"/>
              <w:rPr>
                <w:sz w:val="20"/>
                <w:szCs w:val="20"/>
                <w:color w:val="auto"/>
              </w:rPr>
            </w:pPr>
            <w:r>
              <w:rPr>
                <w:rFonts w:ascii="Arial" w:cs="Arial" w:eastAsia="Arial" w:hAnsi="Arial"/>
                <w:sz w:val="18"/>
                <w:szCs w:val="18"/>
                <w:color w:val="auto"/>
                <w:w w:val="99"/>
              </w:rPr>
              <w:t>$</w:t>
            </w:r>
          </w:p>
        </w:tc>
        <w:tc>
          <w:tcPr>
            <w:tcW w:w="118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3,243</w:t>
            </w:r>
          </w:p>
        </w:tc>
      </w:tr>
      <w:tr>
        <w:trPr>
          <w:trHeight w:val="20"/>
        </w:trPr>
        <w:tc>
          <w:tcPr>
            <w:tcW w:w="9480" w:type="dxa"/>
            <w:vAlign w:val="bottom"/>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r>
    </w:tbl>
    <w:p>
      <w:pPr>
        <w:spacing w:after="0" w:line="377" w:lineRule="exact"/>
        <w:rPr>
          <w:sz w:val="20"/>
          <w:szCs w:val="20"/>
          <w:color w:val="auto"/>
        </w:rPr>
      </w:pPr>
    </w:p>
    <w:p>
      <w:pPr>
        <w:jc w:val="both"/>
        <w:ind w:firstLine="216"/>
        <w:spacing w:after="0" w:line="262" w:lineRule="auto"/>
        <w:rPr>
          <w:sz w:val="20"/>
          <w:szCs w:val="20"/>
          <w:color w:val="auto"/>
        </w:rPr>
      </w:pPr>
      <w:r>
        <w:rPr>
          <w:rFonts w:ascii="Arial" w:cs="Arial" w:eastAsia="Arial" w:hAnsi="Arial"/>
          <w:sz w:val="18"/>
          <w:szCs w:val="18"/>
          <w:color w:val="auto"/>
        </w:rPr>
        <w:t>Secured financings are collateralized by assets, primarily aircraft, engines, simulators, aircraft spare parts, airport gate leasehold rights, route authorities, airport slots and certain pre-delivery payments.</w:t>
      </w:r>
    </w:p>
    <w:p>
      <w:pPr>
        <w:spacing w:after="0" w:line="142" w:lineRule="exact"/>
        <w:rPr>
          <w:sz w:val="20"/>
          <w:szCs w:val="20"/>
          <w:color w:val="auto"/>
        </w:rPr>
      </w:pPr>
    </w:p>
    <w:p>
      <w:pPr>
        <w:ind w:left="220"/>
        <w:spacing w:after="0"/>
        <w:rPr>
          <w:sz w:val="20"/>
          <w:szCs w:val="20"/>
          <w:color w:val="auto"/>
        </w:rPr>
      </w:pPr>
      <w:r>
        <w:rPr>
          <w:rFonts w:ascii="Arial" w:cs="Arial" w:eastAsia="Arial" w:hAnsi="Arial"/>
          <w:sz w:val="18"/>
          <w:szCs w:val="18"/>
          <w:color w:val="auto"/>
        </w:rPr>
        <w:t>At December 31, 2019, the maturities of long-term debt are as follows (in millions):</w:t>
      </w:r>
    </w:p>
    <w:p>
      <w:pPr>
        <w:spacing w:after="0" w:line="307" w:lineRule="exact"/>
        <w:rPr>
          <w:sz w:val="20"/>
          <w:szCs w:val="20"/>
          <w:color w:val="auto"/>
        </w:rPr>
      </w:pPr>
    </w:p>
    <w:tbl>
      <w:tblPr>
        <w:tblLayout w:type="fixed"/>
        <w:tblInd w:w="0" w:type="dxa"/>
        <w:tblCellMar>
          <w:top w:w="0" w:type="dxa"/>
          <w:left w:w="0" w:type="dxa"/>
          <w:bottom w:w="0" w:type="dxa"/>
          <w:right w:w="0" w:type="dxa"/>
        </w:tblCellMar>
      </w:tblPr>
      <w:tr>
        <w:trPr>
          <w:trHeight w:val="257"/>
        </w:trPr>
        <w:tc>
          <w:tcPr>
            <w:tcW w:w="9480" w:type="dxa"/>
            <w:vAlign w:val="bottom"/>
            <w:shd w:val="clear" w:color="auto" w:fill="CCEEFF"/>
          </w:tcPr>
          <w:p>
            <w:pPr>
              <w:ind w:left="40"/>
              <w:spacing w:after="0"/>
              <w:rPr>
                <w:sz w:val="20"/>
                <w:szCs w:val="20"/>
                <w:color w:val="auto"/>
              </w:rPr>
            </w:pPr>
            <w:r>
              <w:rPr>
                <w:rFonts w:ascii="Arial" w:cs="Arial" w:eastAsia="Arial" w:hAnsi="Arial"/>
                <w:sz w:val="18"/>
                <w:szCs w:val="18"/>
                <w:color w:val="auto"/>
              </w:rPr>
              <w:t>2020</w:t>
            </w:r>
          </w:p>
        </w:tc>
        <w:tc>
          <w:tcPr>
            <w:tcW w:w="700" w:type="dxa"/>
            <w:vAlign w:val="bottom"/>
            <w:shd w:val="clear" w:color="auto" w:fill="CCEEFF"/>
          </w:tcPr>
          <w:p>
            <w:pPr>
              <w:jc w:val="right"/>
              <w:ind w:right="490"/>
              <w:spacing w:after="0"/>
              <w:rPr>
                <w:sz w:val="20"/>
                <w:szCs w:val="20"/>
                <w:color w:val="auto"/>
              </w:rPr>
            </w:pPr>
            <w:r>
              <w:rPr>
                <w:rFonts w:ascii="Arial" w:cs="Arial" w:eastAsia="Arial" w:hAnsi="Arial"/>
                <w:sz w:val="18"/>
                <w:szCs w:val="18"/>
                <w:color w:val="auto"/>
                <w:w w:val="99"/>
              </w:rPr>
              <w:t>$</w:t>
            </w:r>
          </w:p>
        </w:tc>
        <w:tc>
          <w:tcPr>
            <w:tcW w:w="124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2,798</w:t>
            </w:r>
          </w:p>
        </w:tc>
      </w:tr>
      <w:tr>
        <w:trPr>
          <w:trHeight w:val="250"/>
        </w:trPr>
        <w:tc>
          <w:tcPr>
            <w:tcW w:w="9480" w:type="dxa"/>
            <w:vAlign w:val="bottom"/>
          </w:tcPr>
          <w:p>
            <w:pPr>
              <w:ind w:left="40"/>
              <w:spacing w:after="0"/>
              <w:rPr>
                <w:sz w:val="20"/>
                <w:szCs w:val="20"/>
                <w:color w:val="auto"/>
              </w:rPr>
            </w:pPr>
            <w:r>
              <w:rPr>
                <w:rFonts w:ascii="Arial" w:cs="Arial" w:eastAsia="Arial" w:hAnsi="Arial"/>
                <w:sz w:val="18"/>
                <w:szCs w:val="18"/>
                <w:color w:val="auto"/>
              </w:rPr>
              <w:t>2021</w:t>
            </w:r>
          </w:p>
        </w:tc>
        <w:tc>
          <w:tcPr>
            <w:tcW w:w="700" w:type="dxa"/>
            <w:vAlign w:val="bottom"/>
          </w:tcPr>
          <w:p>
            <w:pPr>
              <w:spacing w:after="0"/>
              <w:rPr>
                <w:sz w:val="21"/>
                <w:szCs w:val="21"/>
                <w:color w:val="auto"/>
              </w:rPr>
            </w:pPr>
          </w:p>
        </w:tc>
        <w:tc>
          <w:tcPr>
            <w:tcW w:w="1240" w:type="dxa"/>
            <w:vAlign w:val="bottom"/>
          </w:tcPr>
          <w:p>
            <w:pPr>
              <w:jc w:val="right"/>
              <w:ind w:right="10"/>
              <w:spacing w:after="0"/>
              <w:rPr>
                <w:sz w:val="20"/>
                <w:szCs w:val="20"/>
                <w:color w:val="auto"/>
              </w:rPr>
            </w:pPr>
            <w:r>
              <w:rPr>
                <w:rFonts w:ascii="Arial" w:cs="Arial" w:eastAsia="Arial" w:hAnsi="Arial"/>
                <w:sz w:val="18"/>
                <w:szCs w:val="18"/>
                <w:color w:val="auto"/>
              </w:rPr>
              <w:t>3,510</w:t>
            </w:r>
          </w:p>
        </w:tc>
      </w:tr>
      <w:tr>
        <w:trPr>
          <w:trHeight w:val="263"/>
        </w:trPr>
        <w:tc>
          <w:tcPr>
            <w:tcW w:w="9480" w:type="dxa"/>
            <w:vAlign w:val="bottom"/>
            <w:shd w:val="clear" w:color="auto" w:fill="CCEEFF"/>
          </w:tcPr>
          <w:p>
            <w:pPr>
              <w:ind w:left="40"/>
              <w:spacing w:after="0"/>
              <w:rPr>
                <w:sz w:val="20"/>
                <w:szCs w:val="20"/>
                <w:color w:val="auto"/>
              </w:rPr>
            </w:pPr>
            <w:r>
              <w:rPr>
                <w:rFonts w:ascii="Arial" w:cs="Arial" w:eastAsia="Arial" w:hAnsi="Arial"/>
                <w:sz w:val="18"/>
                <w:szCs w:val="18"/>
                <w:color w:val="auto"/>
              </w:rPr>
              <w:t>2022</w:t>
            </w:r>
          </w:p>
        </w:tc>
        <w:tc>
          <w:tcPr>
            <w:tcW w:w="700" w:type="dxa"/>
            <w:vAlign w:val="bottom"/>
            <w:shd w:val="clear" w:color="auto" w:fill="CCEEFF"/>
          </w:tcPr>
          <w:p>
            <w:pPr>
              <w:spacing w:after="0"/>
              <w:rPr>
                <w:sz w:val="22"/>
                <w:szCs w:val="22"/>
                <w:color w:val="auto"/>
              </w:rPr>
            </w:pPr>
          </w:p>
        </w:tc>
        <w:tc>
          <w:tcPr>
            <w:tcW w:w="124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2,303</w:t>
            </w:r>
          </w:p>
        </w:tc>
      </w:tr>
      <w:tr>
        <w:trPr>
          <w:trHeight w:val="250"/>
        </w:trPr>
        <w:tc>
          <w:tcPr>
            <w:tcW w:w="9480" w:type="dxa"/>
            <w:vAlign w:val="bottom"/>
          </w:tcPr>
          <w:p>
            <w:pPr>
              <w:ind w:left="40"/>
              <w:spacing w:after="0"/>
              <w:rPr>
                <w:sz w:val="20"/>
                <w:szCs w:val="20"/>
                <w:color w:val="auto"/>
              </w:rPr>
            </w:pPr>
            <w:r>
              <w:rPr>
                <w:rFonts w:ascii="Arial" w:cs="Arial" w:eastAsia="Arial" w:hAnsi="Arial"/>
                <w:sz w:val="18"/>
                <w:szCs w:val="18"/>
                <w:color w:val="auto"/>
              </w:rPr>
              <w:t>2023</w:t>
            </w:r>
          </w:p>
        </w:tc>
        <w:tc>
          <w:tcPr>
            <w:tcW w:w="700" w:type="dxa"/>
            <w:vAlign w:val="bottom"/>
          </w:tcPr>
          <w:p>
            <w:pPr>
              <w:spacing w:after="0"/>
              <w:rPr>
                <w:sz w:val="21"/>
                <w:szCs w:val="21"/>
                <w:color w:val="auto"/>
              </w:rPr>
            </w:pPr>
          </w:p>
        </w:tc>
        <w:tc>
          <w:tcPr>
            <w:tcW w:w="1240" w:type="dxa"/>
            <w:vAlign w:val="bottom"/>
          </w:tcPr>
          <w:p>
            <w:pPr>
              <w:jc w:val="right"/>
              <w:ind w:right="10"/>
              <w:spacing w:after="0"/>
              <w:rPr>
                <w:sz w:val="20"/>
                <w:szCs w:val="20"/>
                <w:color w:val="auto"/>
              </w:rPr>
            </w:pPr>
            <w:r>
              <w:rPr>
                <w:rFonts w:ascii="Arial" w:cs="Arial" w:eastAsia="Arial" w:hAnsi="Arial"/>
                <w:sz w:val="18"/>
                <w:szCs w:val="18"/>
                <w:color w:val="auto"/>
              </w:rPr>
              <w:t>4,074</w:t>
            </w:r>
          </w:p>
        </w:tc>
      </w:tr>
      <w:tr>
        <w:trPr>
          <w:trHeight w:val="263"/>
        </w:trPr>
        <w:tc>
          <w:tcPr>
            <w:tcW w:w="9480" w:type="dxa"/>
            <w:vAlign w:val="bottom"/>
            <w:shd w:val="clear" w:color="auto" w:fill="CCEEFF"/>
          </w:tcPr>
          <w:p>
            <w:pPr>
              <w:ind w:left="40"/>
              <w:spacing w:after="0"/>
              <w:rPr>
                <w:sz w:val="20"/>
                <w:szCs w:val="20"/>
                <w:color w:val="auto"/>
              </w:rPr>
            </w:pPr>
            <w:r>
              <w:rPr>
                <w:rFonts w:ascii="Arial" w:cs="Arial" w:eastAsia="Arial" w:hAnsi="Arial"/>
                <w:sz w:val="18"/>
                <w:szCs w:val="18"/>
                <w:color w:val="auto"/>
              </w:rPr>
              <w:t>2024</w:t>
            </w:r>
          </w:p>
        </w:tc>
        <w:tc>
          <w:tcPr>
            <w:tcW w:w="700" w:type="dxa"/>
            <w:vAlign w:val="bottom"/>
            <w:shd w:val="clear" w:color="auto" w:fill="CCEEFF"/>
          </w:tcPr>
          <w:p>
            <w:pPr>
              <w:spacing w:after="0"/>
              <w:rPr>
                <w:sz w:val="22"/>
                <w:szCs w:val="22"/>
                <w:color w:val="auto"/>
              </w:rPr>
            </w:pPr>
          </w:p>
        </w:tc>
        <w:tc>
          <w:tcPr>
            <w:tcW w:w="124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1,523</w:t>
            </w:r>
          </w:p>
        </w:tc>
      </w:tr>
      <w:tr>
        <w:trPr>
          <w:trHeight w:val="250"/>
        </w:trPr>
        <w:tc>
          <w:tcPr>
            <w:tcW w:w="9480" w:type="dxa"/>
            <w:vAlign w:val="bottom"/>
            <w:tcBorders>
              <w:bottom w:val="single" w:sz="8" w:color="CCEEFF"/>
            </w:tcBorders>
          </w:tcPr>
          <w:p>
            <w:pPr>
              <w:ind w:left="40"/>
              <w:spacing w:after="0"/>
              <w:rPr>
                <w:sz w:val="20"/>
                <w:szCs w:val="20"/>
                <w:color w:val="auto"/>
              </w:rPr>
            </w:pPr>
            <w:r>
              <w:rPr>
                <w:rFonts w:ascii="Arial" w:cs="Arial" w:eastAsia="Arial" w:hAnsi="Arial"/>
                <w:sz w:val="18"/>
                <w:szCs w:val="18"/>
                <w:color w:val="auto"/>
              </w:rPr>
              <w:t>2025 and thereafter</w:t>
            </w:r>
          </w:p>
        </w:tc>
        <w:tc>
          <w:tcPr>
            <w:tcW w:w="700" w:type="dxa"/>
            <w:vAlign w:val="bottom"/>
            <w:tcBorders>
              <w:bottom w:val="single" w:sz="8" w:color="auto"/>
            </w:tcBorders>
          </w:tcPr>
          <w:p>
            <w:pPr>
              <w:spacing w:after="0"/>
              <w:rPr>
                <w:sz w:val="21"/>
                <w:szCs w:val="21"/>
                <w:color w:val="auto"/>
              </w:rPr>
            </w:pPr>
          </w:p>
        </w:tc>
        <w:tc>
          <w:tcPr>
            <w:tcW w:w="124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9,648</w:t>
            </w:r>
          </w:p>
        </w:tc>
      </w:tr>
      <w:tr>
        <w:trPr>
          <w:trHeight w:val="250"/>
        </w:trPr>
        <w:tc>
          <w:tcPr>
            <w:tcW w:w="948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Total</w:t>
            </w:r>
          </w:p>
        </w:tc>
        <w:tc>
          <w:tcPr>
            <w:tcW w:w="700" w:type="dxa"/>
            <w:vAlign w:val="bottom"/>
            <w:tcBorders>
              <w:bottom w:val="single" w:sz="8" w:color="auto"/>
            </w:tcBorders>
            <w:shd w:val="clear" w:color="auto" w:fill="CCEEFF"/>
          </w:tcPr>
          <w:p>
            <w:pPr>
              <w:jc w:val="right"/>
              <w:ind w:right="490"/>
              <w:spacing w:after="0"/>
              <w:rPr>
                <w:sz w:val="20"/>
                <w:szCs w:val="20"/>
                <w:color w:val="auto"/>
              </w:rPr>
            </w:pPr>
            <w:r>
              <w:rPr>
                <w:rFonts w:ascii="Arial" w:cs="Arial" w:eastAsia="Arial" w:hAnsi="Arial"/>
                <w:sz w:val="18"/>
                <w:szCs w:val="18"/>
                <w:color w:val="auto"/>
                <w:w w:val="99"/>
              </w:rPr>
              <w:t>$</w:t>
            </w:r>
          </w:p>
        </w:tc>
        <w:tc>
          <w:tcPr>
            <w:tcW w:w="124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23,856</w:t>
            </w:r>
          </w:p>
        </w:tc>
      </w:tr>
      <w:tr>
        <w:trPr>
          <w:trHeight w:val="20"/>
        </w:trPr>
        <w:tc>
          <w:tcPr>
            <w:tcW w:w="9480" w:type="dxa"/>
            <w:vAlign w:val="bottom"/>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ectPr>
          <w:pgSz w:w="11900" w:h="16838" w:orient="portrait"/>
          <w:cols w:equalWidth="0" w:num="1">
            <w:col w:w="11420"/>
          </w:cols>
          <w:pgMar w:left="240" w:top="549" w:right="239" w:bottom="1440" w:gutter="0" w:footer="0" w:header="0"/>
        </w:sectPr>
      </w:pPr>
    </w:p>
    <w:p>
      <w:pPr>
        <w:spacing w:after="0" w:line="231"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87</w:t>
      </w:r>
    </w:p>
    <w:p>
      <w:pPr>
        <w:sectPr>
          <w:pgSz w:w="11900" w:h="16838" w:orient="portrait"/>
          <w:cols w:equalWidth="0" w:num="1">
            <w:col w:w="11420"/>
          </w:cols>
          <w:pgMar w:left="240" w:top="549" w:right="239" w:bottom="1440" w:gutter="0" w:footer="0" w:header="0"/>
          <w:type w:val="continuous"/>
        </w:sectPr>
      </w:pPr>
    </w:p>
    <w:bookmarkStart w:id="87" w:name="page88"/>
    <w:bookmarkEnd w:id="87"/>
    <w:p>
      <w:pPr>
        <w:jc w:val="center"/>
        <w:spacing w:after="0"/>
        <w:rPr>
          <w:sz w:val="20"/>
          <w:szCs w:val="20"/>
          <w:color w:val="auto"/>
        </w:rPr>
      </w:pPr>
      <w:r>
        <w:rPr>
          <w:rFonts w:ascii="Arial" w:cs="Arial" w:eastAsia="Arial" w:hAnsi="Arial"/>
          <w:sz w:val="18"/>
          <w:szCs w:val="18"/>
          <w:b w:val="1"/>
          <w:bCs w:val="1"/>
          <w:color w:val="auto"/>
        </w:rPr>
        <w:t>NOTES TO CONSOLIDATED FINANCIAL STATEMENTS OF AMERICAN AIRLINES GROUP INC.</w:t>
      </w:r>
    </w:p>
    <w:p>
      <w:pPr>
        <w:spacing w:after="0" w:line="200" w:lineRule="exact"/>
        <w:rPr>
          <w:sz w:val="20"/>
          <w:szCs w:val="20"/>
          <w:color w:val="auto"/>
        </w:rPr>
      </w:pPr>
    </w:p>
    <w:p>
      <w:pPr>
        <w:spacing w:after="0" w:line="268" w:lineRule="exact"/>
        <w:rPr>
          <w:sz w:val="20"/>
          <w:szCs w:val="20"/>
          <w:color w:val="auto"/>
        </w:rPr>
      </w:pPr>
    </w:p>
    <w:p>
      <w:pPr>
        <w:ind w:left="240" w:right="5940" w:hanging="16"/>
        <w:spacing w:after="0" w:line="357" w:lineRule="auto"/>
        <w:tabs>
          <w:tab w:leader="none" w:pos="497" w:val="left"/>
        </w:tabs>
        <w:numPr>
          <w:ilvl w:val="0"/>
          <w:numId w:val="38"/>
        </w:numPr>
        <w:rPr>
          <w:rFonts w:ascii="Arial" w:cs="Arial" w:eastAsia="Arial" w:hAnsi="Arial"/>
          <w:sz w:val="18"/>
          <w:szCs w:val="18"/>
          <w:b w:val="1"/>
          <w:bCs w:val="1"/>
          <w:i w:val="1"/>
          <w:iCs w:val="1"/>
          <w:color w:val="auto"/>
        </w:rPr>
      </w:pPr>
      <w:r>
        <w:rPr>
          <w:rFonts w:ascii="Arial" w:cs="Arial" w:eastAsia="Arial" w:hAnsi="Arial"/>
          <w:sz w:val="18"/>
          <w:szCs w:val="18"/>
          <w:b w:val="1"/>
          <w:bCs w:val="1"/>
          <w:i w:val="1"/>
          <w:iCs w:val="1"/>
          <w:color w:val="auto"/>
        </w:rPr>
        <w:t xml:space="preserve">2013, 2014, April 2016 and December 2016 Credit Facilities </w:t>
      </w:r>
      <w:r>
        <w:rPr>
          <w:rFonts w:ascii="Arial" w:cs="Arial" w:eastAsia="Arial" w:hAnsi="Arial"/>
          <w:sz w:val="18"/>
          <w:szCs w:val="18"/>
          <w:i w:val="1"/>
          <w:iCs w:val="1"/>
          <w:u w:val="single" w:color="auto"/>
          <w:color w:val="auto"/>
        </w:rPr>
        <w:t>2013 Credit Facilities</w:t>
      </w:r>
    </w:p>
    <w:p>
      <w:pPr>
        <w:jc w:val="both"/>
        <w:ind w:firstLine="230"/>
        <w:spacing w:after="0" w:line="252" w:lineRule="auto"/>
        <w:rPr>
          <w:sz w:val="20"/>
          <w:szCs w:val="20"/>
          <w:color w:val="auto"/>
        </w:rPr>
      </w:pPr>
      <w:r>
        <w:rPr>
          <w:rFonts w:ascii="Arial" w:cs="Arial" w:eastAsia="Arial" w:hAnsi="Arial"/>
          <w:sz w:val="18"/>
          <w:szCs w:val="18"/>
          <w:color w:val="auto"/>
        </w:rPr>
        <w:t>In November 2019, American and AAG entered into the Sixth Amendment to Amended and Restated Credit and Guaranty Agreement, amending the Amended and Restated Credit and Guaranty Agreement dated as of May 21, 2015 (as previously amended, the 2013 Credit Agreement; the revolving credit facility established thereunder, the 2013 Revolving Facility; the term loan facility established thereunder, the 2013 Term Loan Facility; and the 2013 Revolving Facility together with the 2013 Term Loan Facility, the 2013 Credit Facilities), which reduced the total aggregate commitments under the 2013 Revolving Facility to $750 million from $1.0 billion. In addition, certain lenders party to the 2013 Credit Agreement extended the maturity date of their commitments under the 2013 Revolving Facility to October 2024 from October 2023.</w:t>
      </w:r>
    </w:p>
    <w:p>
      <w:pPr>
        <w:spacing w:after="0" w:line="200" w:lineRule="exact"/>
        <w:rPr>
          <w:sz w:val="20"/>
          <w:szCs w:val="20"/>
          <w:color w:val="auto"/>
        </w:rPr>
      </w:pPr>
    </w:p>
    <w:p>
      <w:pPr>
        <w:spacing w:after="0" w:line="234" w:lineRule="exact"/>
        <w:rPr>
          <w:sz w:val="20"/>
          <w:szCs w:val="20"/>
          <w:color w:val="auto"/>
        </w:rPr>
      </w:pPr>
    </w:p>
    <w:p>
      <w:pPr>
        <w:ind w:left="240"/>
        <w:spacing w:after="0"/>
        <w:rPr>
          <w:sz w:val="20"/>
          <w:szCs w:val="20"/>
          <w:color w:val="auto"/>
        </w:rPr>
      </w:pPr>
      <w:r>
        <w:rPr>
          <w:rFonts w:ascii="Arial" w:cs="Arial" w:eastAsia="Arial" w:hAnsi="Arial"/>
          <w:sz w:val="18"/>
          <w:szCs w:val="18"/>
          <w:i w:val="1"/>
          <w:iCs w:val="1"/>
          <w:u w:val="single" w:color="auto"/>
          <w:color w:val="auto"/>
        </w:rPr>
        <w:t>2014 Credit Facilities</w:t>
      </w:r>
    </w:p>
    <w:p>
      <w:pPr>
        <w:spacing w:after="0" w:line="108" w:lineRule="exact"/>
        <w:rPr>
          <w:sz w:val="20"/>
          <w:szCs w:val="20"/>
          <w:color w:val="auto"/>
        </w:rPr>
      </w:pPr>
    </w:p>
    <w:p>
      <w:pPr>
        <w:jc w:val="both"/>
        <w:ind w:firstLine="230"/>
        <w:spacing w:after="0" w:line="270" w:lineRule="auto"/>
        <w:rPr>
          <w:sz w:val="20"/>
          <w:szCs w:val="20"/>
          <w:color w:val="auto"/>
        </w:rPr>
      </w:pPr>
      <w:r>
        <w:rPr>
          <w:rFonts w:ascii="Arial" w:cs="Arial" w:eastAsia="Arial" w:hAnsi="Arial"/>
          <w:sz w:val="17"/>
          <w:szCs w:val="17"/>
          <w:color w:val="auto"/>
        </w:rPr>
        <w:t>In November 2019, American and AAG entered into the Seventh Amendment to Amended and Restated Credit and Guaranty Agreement, amending the Amended and Restated Credit and Guaranty Agreement dated as of April 20, 2015 (as previously amended, the 2014 Credit Agreement; the revolving credit facility established thereunder, the 2014 Revolving Facility; the term loan facility established thereunder, the 2014 Term Loan Facility; and the 2014 Revolving Facility together with the 2014 Term Loan Facility, the 2014 Credit Facilities), which increased the total aggregate commitments under the 2014 Revolving Facility to $1.6 billion from $1.5 billion. In addition, certain lenders party to the 2014 Credit Agreement extended the maturity date of their commitments under the 2014 Revolving Facility to October 2024 from October 2023.</w:t>
      </w:r>
    </w:p>
    <w:p>
      <w:pPr>
        <w:spacing w:after="0" w:line="202" w:lineRule="exact"/>
        <w:rPr>
          <w:sz w:val="20"/>
          <w:szCs w:val="20"/>
          <w:color w:val="auto"/>
        </w:rPr>
      </w:pPr>
    </w:p>
    <w:p>
      <w:pPr>
        <w:ind w:left="240"/>
        <w:spacing w:after="0"/>
        <w:rPr>
          <w:sz w:val="20"/>
          <w:szCs w:val="20"/>
          <w:color w:val="auto"/>
        </w:rPr>
      </w:pPr>
      <w:r>
        <w:rPr>
          <w:rFonts w:ascii="Arial" w:cs="Arial" w:eastAsia="Arial" w:hAnsi="Arial"/>
          <w:sz w:val="18"/>
          <w:szCs w:val="18"/>
          <w:i w:val="1"/>
          <w:iCs w:val="1"/>
          <w:u w:val="single" w:color="auto"/>
          <w:color w:val="auto"/>
        </w:rPr>
        <w:t>April 2016 Credit Facilities</w:t>
      </w:r>
    </w:p>
    <w:p>
      <w:pPr>
        <w:spacing w:after="0" w:line="108" w:lineRule="exact"/>
        <w:rPr>
          <w:sz w:val="20"/>
          <w:szCs w:val="20"/>
          <w:color w:val="auto"/>
        </w:rPr>
      </w:pPr>
    </w:p>
    <w:p>
      <w:pPr>
        <w:jc w:val="both"/>
        <w:ind w:firstLine="216"/>
        <w:spacing w:after="0" w:line="252" w:lineRule="auto"/>
        <w:rPr>
          <w:sz w:val="20"/>
          <w:szCs w:val="20"/>
          <w:color w:val="auto"/>
        </w:rPr>
      </w:pPr>
      <w:r>
        <w:rPr>
          <w:rFonts w:ascii="Arial" w:cs="Arial" w:eastAsia="Arial" w:hAnsi="Arial"/>
          <w:sz w:val="18"/>
          <w:szCs w:val="18"/>
          <w:color w:val="auto"/>
        </w:rPr>
        <w:t>In November 2019, American and AAG entered into the Fifth Amendment to Credit and Guaranty Agreement, amending the Credit and Guaranty Agreement dated as of April 29, 2016 (as previously amended, April 2016 Credit Agreement; the revolving credit facility established thereunder, the April 2016 Revolving Facility; the term loan facility established thereunder, the 2016 Term Loan Facility; and the April 2016 Revolving Facility together with the 2016 Term Loan Facility, the April 2016 Credit Facilities), which increased the total aggregate commitments under the April 2016 Revolving Facility to $450 million from $300 million. In addition, certain lenders party to the April 2016 Credit Agreement extended the maturity date of their commitments under the April 2016 Revolving Facility to October 2024 from October 2023.</w:t>
      </w:r>
    </w:p>
    <w:p>
      <w:pPr>
        <w:spacing w:after="0" w:line="218" w:lineRule="exact"/>
        <w:rPr>
          <w:sz w:val="20"/>
          <w:szCs w:val="20"/>
          <w:color w:val="auto"/>
        </w:rPr>
      </w:pPr>
    </w:p>
    <w:p>
      <w:pPr>
        <w:ind w:left="240"/>
        <w:spacing w:after="0"/>
        <w:rPr>
          <w:sz w:val="20"/>
          <w:szCs w:val="20"/>
          <w:color w:val="auto"/>
        </w:rPr>
      </w:pPr>
      <w:r>
        <w:rPr>
          <w:rFonts w:ascii="Arial" w:cs="Arial" w:eastAsia="Arial" w:hAnsi="Arial"/>
          <w:sz w:val="18"/>
          <w:szCs w:val="18"/>
          <w:i w:val="1"/>
          <w:iCs w:val="1"/>
          <w:u w:val="single" w:color="auto"/>
          <w:color w:val="auto"/>
        </w:rPr>
        <w:t>December 2016 Credit Facilities</w:t>
      </w:r>
    </w:p>
    <w:p>
      <w:pPr>
        <w:spacing w:after="0" w:line="108" w:lineRule="exact"/>
        <w:rPr>
          <w:sz w:val="20"/>
          <w:szCs w:val="20"/>
          <w:color w:val="auto"/>
        </w:rPr>
      </w:pPr>
    </w:p>
    <w:p>
      <w:pPr>
        <w:jc w:val="both"/>
        <w:ind w:firstLine="216"/>
        <w:spacing w:after="0" w:line="256" w:lineRule="auto"/>
        <w:rPr>
          <w:sz w:val="20"/>
          <w:szCs w:val="20"/>
          <w:color w:val="auto"/>
        </w:rPr>
      </w:pPr>
      <w:r>
        <w:rPr>
          <w:rFonts w:ascii="Arial" w:cs="Arial" w:eastAsia="Arial" w:hAnsi="Arial"/>
          <w:sz w:val="18"/>
          <w:szCs w:val="18"/>
          <w:color w:val="auto"/>
        </w:rPr>
        <w:t>In December 2016, American and AAG entered into the Amended and Restated Credit and Guaranty Agreement, dated as of December 15, 2016 (as amended, the December 2016 Credit Agreement; the term loan facility established thereunder, the December 2016 Term Loan Facility; and together with the revolving credit facility that may be established thereunder in the future, the December 2016 Credit Facilities).</w:t>
      </w:r>
    </w:p>
    <w:p>
      <w:pPr>
        <w:spacing w:after="0" w:line="148" w:lineRule="exact"/>
        <w:rPr>
          <w:sz w:val="20"/>
          <w:szCs w:val="20"/>
          <w:color w:val="auto"/>
        </w:rPr>
      </w:pPr>
    </w:p>
    <w:p>
      <w:pPr>
        <w:jc w:val="both"/>
        <w:ind w:firstLine="216"/>
        <w:spacing w:after="0" w:line="262" w:lineRule="auto"/>
        <w:rPr>
          <w:sz w:val="20"/>
          <w:szCs w:val="20"/>
          <w:color w:val="auto"/>
        </w:rPr>
      </w:pPr>
      <w:r>
        <w:rPr>
          <w:rFonts w:ascii="Arial" w:cs="Arial" w:eastAsia="Arial" w:hAnsi="Arial"/>
          <w:sz w:val="18"/>
          <w:szCs w:val="18"/>
          <w:color w:val="auto"/>
        </w:rPr>
        <w:t>Certain details of our 2013 Credit Facilities, 2014 Credit Facilities, April 2016 Credit Facilities and December 2016 Credit Facilities (collectively referred to as the Credit Facilities) are shown in the table below as of December 31, 2019:</w:t>
      </w:r>
    </w:p>
    <w:p>
      <w:pPr>
        <w:sectPr>
          <w:pgSz w:w="11900" w:h="16838" w:orient="portrait"/>
          <w:cols w:equalWidth="0" w:num="1">
            <w:col w:w="11420"/>
          </w:cols>
          <w:pgMar w:left="240" w:top="549" w:right="2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6" w:lineRule="exact"/>
        <w:rPr>
          <w:sz w:val="20"/>
          <w:szCs w:val="20"/>
          <w:color w:val="auto"/>
        </w:rPr>
      </w:pPr>
    </w:p>
    <w:p>
      <w:pPr>
        <w:ind w:left="180" w:hanging="149"/>
        <w:spacing w:after="0"/>
        <w:rPr>
          <w:sz w:val="20"/>
          <w:szCs w:val="20"/>
          <w:color w:val="auto"/>
        </w:rPr>
      </w:pPr>
      <w:r>
        <w:rPr>
          <w:rFonts w:ascii="Arial" w:cs="Arial" w:eastAsia="Arial" w:hAnsi="Arial"/>
          <w:sz w:val="18"/>
          <w:szCs w:val="18"/>
          <w:color w:val="auto"/>
        </w:rPr>
        <w:t>Aggregate principal issued or credit facility availability (in millions)</w:t>
      </w:r>
    </w:p>
    <w:p>
      <w:pPr>
        <w:spacing w:after="0" w:line="41" w:lineRule="exact"/>
        <w:rPr>
          <w:sz w:val="20"/>
          <w:szCs w:val="20"/>
          <w:color w:val="auto"/>
        </w:rPr>
      </w:pPr>
    </w:p>
    <w:p>
      <w:pPr>
        <w:ind w:left="180" w:right="340" w:hanging="149"/>
        <w:spacing w:after="0" w:line="246" w:lineRule="auto"/>
        <w:rPr>
          <w:sz w:val="20"/>
          <w:szCs w:val="20"/>
          <w:color w:val="auto"/>
        </w:rPr>
      </w:pPr>
      <w:r>
        <w:rPr>
          <w:rFonts w:ascii="Arial" w:cs="Arial" w:eastAsia="Arial" w:hAnsi="Arial"/>
          <w:sz w:val="18"/>
          <w:szCs w:val="18"/>
          <w:color w:val="auto"/>
        </w:rPr>
        <w:t>Principal outstanding or drawn (in millions)</w:t>
      </w:r>
    </w:p>
    <w:p>
      <w:pPr>
        <w:spacing w:after="0" w:line="129" w:lineRule="exact"/>
        <w:rPr>
          <w:sz w:val="20"/>
          <w:szCs w:val="20"/>
          <w:color w:val="auto"/>
        </w:rPr>
      </w:pPr>
    </w:p>
    <w:p>
      <w:pPr>
        <w:ind w:left="40"/>
        <w:spacing w:after="0"/>
        <w:rPr>
          <w:sz w:val="20"/>
          <w:szCs w:val="20"/>
          <w:color w:val="auto"/>
        </w:rPr>
      </w:pPr>
      <w:r>
        <w:rPr>
          <w:rFonts w:ascii="Arial" w:cs="Arial" w:eastAsia="Arial" w:hAnsi="Arial"/>
          <w:sz w:val="18"/>
          <w:szCs w:val="18"/>
          <w:color w:val="auto"/>
        </w:rPr>
        <w:t>Maturity date</w:t>
      </w:r>
    </w:p>
    <w:p>
      <w:pPr>
        <w:spacing w:after="0" w:line="158" w:lineRule="exact"/>
        <w:rPr>
          <w:sz w:val="20"/>
          <w:szCs w:val="20"/>
          <w:color w:val="auto"/>
        </w:rPr>
      </w:pPr>
    </w:p>
    <w:p>
      <w:pPr>
        <w:ind w:left="40"/>
        <w:spacing w:after="0"/>
        <w:rPr>
          <w:sz w:val="20"/>
          <w:szCs w:val="20"/>
          <w:color w:val="auto"/>
        </w:rPr>
      </w:pPr>
      <w:r>
        <w:rPr>
          <w:rFonts w:ascii="Arial" w:cs="Arial" w:eastAsia="Arial" w:hAnsi="Arial"/>
          <w:sz w:val="18"/>
          <w:szCs w:val="18"/>
          <w:color w:val="auto"/>
        </w:rPr>
        <w:t>LIBOR margin</w:t>
      </w:r>
    </w:p>
    <w:p>
      <w:pPr>
        <w:spacing w:after="0" w:line="20" w:lineRule="exact"/>
        <w:rPr>
          <w:sz w:val="20"/>
          <w:szCs w:val="20"/>
          <w:color w:val="auto"/>
        </w:rPr>
      </w:pPr>
      <w:r>
        <w:rPr>
          <w:sz w:val="20"/>
          <w:szCs w:val="20"/>
          <w:color w:val="auto"/>
        </w:rPr>
        <w:br w:type="column"/>
      </w:r>
    </w:p>
    <w:p>
      <w:pPr>
        <w:spacing w:after="0" w:line="272"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62"/>
        </w:trPr>
        <w:tc>
          <w:tcPr>
            <w:tcW w:w="12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140" w:type="dxa"/>
            <w:vAlign w:val="bottom"/>
          </w:tcPr>
          <w:p>
            <w:pPr>
              <w:jc w:val="center"/>
              <w:spacing w:after="0"/>
              <w:rPr>
                <w:sz w:val="20"/>
                <w:szCs w:val="20"/>
                <w:color w:val="auto"/>
              </w:rPr>
            </w:pPr>
            <w:r>
              <w:rPr>
                <w:rFonts w:ascii="Arial" w:cs="Arial" w:eastAsia="Arial" w:hAnsi="Arial"/>
                <w:sz w:val="14"/>
                <w:szCs w:val="14"/>
                <w:b w:val="1"/>
                <w:bCs w:val="1"/>
                <w:color w:val="auto"/>
              </w:rPr>
              <w:t>December 2016</w:t>
            </w:r>
          </w:p>
        </w:tc>
        <w:tc>
          <w:tcPr>
            <w:tcW w:w="0" w:type="dxa"/>
            <w:vAlign w:val="bottom"/>
          </w:tcPr>
          <w:p>
            <w:pPr>
              <w:spacing w:after="0"/>
              <w:rPr>
                <w:sz w:val="1"/>
                <w:szCs w:val="1"/>
                <w:color w:val="auto"/>
              </w:rPr>
            </w:pPr>
          </w:p>
        </w:tc>
      </w:tr>
      <w:tr>
        <w:trPr>
          <w:trHeight w:val="196"/>
        </w:trPr>
        <w:tc>
          <w:tcPr>
            <w:tcW w:w="2520" w:type="dxa"/>
            <w:vAlign w:val="bottom"/>
            <w:tcBorders>
              <w:bottom w:val="single" w:sz="8" w:color="auto"/>
            </w:tcBorders>
            <w:gridSpan w:val="3"/>
          </w:tcPr>
          <w:p>
            <w:pPr>
              <w:ind w:left="540"/>
              <w:spacing w:after="0"/>
              <w:rPr>
                <w:sz w:val="20"/>
                <w:szCs w:val="20"/>
                <w:color w:val="auto"/>
              </w:rPr>
            </w:pPr>
            <w:r>
              <w:rPr>
                <w:rFonts w:ascii="Arial" w:cs="Arial" w:eastAsia="Arial" w:hAnsi="Arial"/>
                <w:sz w:val="14"/>
                <w:szCs w:val="14"/>
                <w:b w:val="1"/>
                <w:bCs w:val="1"/>
                <w:color w:val="auto"/>
              </w:rPr>
              <w:t>2013 Credit Facilities</w:t>
            </w:r>
          </w:p>
        </w:tc>
        <w:tc>
          <w:tcPr>
            <w:tcW w:w="120" w:type="dxa"/>
            <w:vAlign w:val="bottom"/>
          </w:tcPr>
          <w:p>
            <w:pPr>
              <w:spacing w:after="0"/>
              <w:rPr>
                <w:sz w:val="17"/>
                <w:szCs w:val="17"/>
                <w:color w:val="auto"/>
              </w:rPr>
            </w:pPr>
          </w:p>
        </w:tc>
        <w:tc>
          <w:tcPr>
            <w:tcW w:w="2420" w:type="dxa"/>
            <w:vAlign w:val="bottom"/>
            <w:tcBorders>
              <w:bottom w:val="single" w:sz="8" w:color="auto"/>
            </w:tcBorders>
            <w:gridSpan w:val="3"/>
          </w:tcPr>
          <w:p>
            <w:pPr>
              <w:ind w:left="500"/>
              <w:spacing w:after="0"/>
              <w:rPr>
                <w:sz w:val="20"/>
                <w:szCs w:val="20"/>
                <w:color w:val="auto"/>
              </w:rPr>
            </w:pPr>
            <w:r>
              <w:rPr>
                <w:rFonts w:ascii="Arial" w:cs="Arial" w:eastAsia="Arial" w:hAnsi="Arial"/>
                <w:sz w:val="14"/>
                <w:szCs w:val="14"/>
                <w:b w:val="1"/>
                <w:bCs w:val="1"/>
                <w:color w:val="auto"/>
              </w:rPr>
              <w:t>2014 Credit Facilities</w:t>
            </w:r>
          </w:p>
        </w:tc>
        <w:tc>
          <w:tcPr>
            <w:tcW w:w="100" w:type="dxa"/>
            <w:vAlign w:val="bottom"/>
          </w:tcPr>
          <w:p>
            <w:pPr>
              <w:spacing w:after="0"/>
              <w:rPr>
                <w:sz w:val="17"/>
                <w:szCs w:val="17"/>
                <w:color w:val="auto"/>
              </w:rPr>
            </w:pPr>
          </w:p>
        </w:tc>
        <w:tc>
          <w:tcPr>
            <w:tcW w:w="2380" w:type="dxa"/>
            <w:vAlign w:val="bottom"/>
            <w:tcBorders>
              <w:bottom w:val="single" w:sz="8" w:color="auto"/>
            </w:tcBorders>
            <w:gridSpan w:val="3"/>
          </w:tcPr>
          <w:p>
            <w:pPr>
              <w:ind w:left="280"/>
              <w:spacing w:after="0"/>
              <w:rPr>
                <w:sz w:val="20"/>
                <w:szCs w:val="20"/>
                <w:color w:val="auto"/>
              </w:rPr>
            </w:pPr>
            <w:r>
              <w:rPr>
                <w:rFonts w:ascii="Arial" w:cs="Arial" w:eastAsia="Arial" w:hAnsi="Arial"/>
                <w:sz w:val="14"/>
                <w:szCs w:val="14"/>
                <w:b w:val="1"/>
                <w:bCs w:val="1"/>
                <w:color w:val="auto"/>
              </w:rPr>
              <w:t>April 2016 Credit Facilities</w:t>
            </w:r>
          </w:p>
        </w:tc>
        <w:tc>
          <w:tcPr>
            <w:tcW w:w="100" w:type="dxa"/>
            <w:vAlign w:val="bottom"/>
          </w:tcPr>
          <w:p>
            <w:pPr>
              <w:spacing w:after="0"/>
              <w:rPr>
                <w:sz w:val="17"/>
                <w:szCs w:val="17"/>
                <w:color w:val="auto"/>
              </w:rPr>
            </w:pPr>
          </w:p>
        </w:tc>
        <w:tc>
          <w:tcPr>
            <w:tcW w:w="114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rPr>
              <w:t>Credit Facilities</w:t>
            </w:r>
          </w:p>
        </w:tc>
        <w:tc>
          <w:tcPr>
            <w:tcW w:w="0" w:type="dxa"/>
            <w:vAlign w:val="bottom"/>
          </w:tcPr>
          <w:p>
            <w:pPr>
              <w:spacing w:after="0"/>
              <w:rPr>
                <w:sz w:val="1"/>
                <w:szCs w:val="1"/>
                <w:color w:val="auto"/>
              </w:rPr>
            </w:pPr>
          </w:p>
        </w:tc>
      </w:tr>
      <w:tr>
        <w:trPr>
          <w:trHeight w:val="175"/>
        </w:trPr>
        <w:tc>
          <w:tcPr>
            <w:tcW w:w="1260" w:type="dxa"/>
            <w:vAlign w:val="bottom"/>
          </w:tcPr>
          <w:p>
            <w:pPr>
              <w:jc w:val="center"/>
              <w:spacing w:after="0"/>
              <w:rPr>
                <w:sz w:val="20"/>
                <w:szCs w:val="20"/>
                <w:color w:val="auto"/>
              </w:rPr>
            </w:pPr>
            <w:r>
              <w:rPr>
                <w:rFonts w:ascii="Arial" w:cs="Arial" w:eastAsia="Arial" w:hAnsi="Arial"/>
                <w:sz w:val="14"/>
                <w:szCs w:val="14"/>
                <w:b w:val="1"/>
                <w:bCs w:val="1"/>
                <w:color w:val="auto"/>
              </w:rPr>
              <w:t>2013</w:t>
            </w:r>
          </w:p>
        </w:tc>
        <w:tc>
          <w:tcPr>
            <w:tcW w:w="120" w:type="dxa"/>
            <w:vAlign w:val="bottom"/>
          </w:tcPr>
          <w:p>
            <w:pPr>
              <w:spacing w:after="0"/>
              <w:rPr>
                <w:sz w:val="15"/>
                <w:szCs w:val="15"/>
                <w:color w:val="auto"/>
              </w:rPr>
            </w:pPr>
          </w:p>
        </w:tc>
        <w:tc>
          <w:tcPr>
            <w:tcW w:w="1140" w:type="dxa"/>
            <w:vAlign w:val="bottom"/>
          </w:tcPr>
          <w:p>
            <w:pPr>
              <w:jc w:val="center"/>
              <w:spacing w:after="0"/>
              <w:rPr>
                <w:sz w:val="20"/>
                <w:szCs w:val="20"/>
                <w:color w:val="auto"/>
              </w:rPr>
            </w:pPr>
            <w:r>
              <w:rPr>
                <w:rFonts w:ascii="Arial" w:cs="Arial" w:eastAsia="Arial" w:hAnsi="Arial"/>
                <w:sz w:val="14"/>
                <w:szCs w:val="14"/>
                <w:b w:val="1"/>
                <w:bCs w:val="1"/>
                <w:color w:val="auto"/>
              </w:rPr>
              <w:t>2013</w:t>
            </w:r>
          </w:p>
        </w:tc>
        <w:tc>
          <w:tcPr>
            <w:tcW w:w="120" w:type="dxa"/>
            <w:vAlign w:val="bottom"/>
          </w:tcPr>
          <w:p>
            <w:pPr>
              <w:spacing w:after="0"/>
              <w:rPr>
                <w:sz w:val="15"/>
                <w:szCs w:val="15"/>
                <w:color w:val="auto"/>
              </w:rPr>
            </w:pPr>
          </w:p>
        </w:tc>
        <w:tc>
          <w:tcPr>
            <w:tcW w:w="11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140" w:type="dxa"/>
            <w:vAlign w:val="bottom"/>
          </w:tcPr>
          <w:p>
            <w:pPr>
              <w:jc w:val="center"/>
              <w:spacing w:after="0"/>
              <w:rPr>
                <w:sz w:val="20"/>
                <w:szCs w:val="20"/>
                <w:color w:val="auto"/>
              </w:rPr>
            </w:pPr>
            <w:r>
              <w:rPr>
                <w:rFonts w:ascii="Arial" w:cs="Arial" w:eastAsia="Arial" w:hAnsi="Arial"/>
                <w:sz w:val="14"/>
                <w:szCs w:val="14"/>
                <w:b w:val="1"/>
                <w:bCs w:val="1"/>
                <w:color w:val="auto"/>
              </w:rPr>
              <w:t>2014</w:t>
            </w:r>
          </w:p>
        </w:tc>
        <w:tc>
          <w:tcPr>
            <w:tcW w:w="10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40" w:type="dxa"/>
            <w:vAlign w:val="bottom"/>
            <w:gridSpan w:val="2"/>
          </w:tcPr>
          <w:p>
            <w:pPr>
              <w:jc w:val="center"/>
              <w:ind w:right="140"/>
              <w:spacing w:after="0"/>
              <w:rPr>
                <w:sz w:val="20"/>
                <w:szCs w:val="20"/>
                <w:color w:val="auto"/>
              </w:rPr>
            </w:pPr>
            <w:r>
              <w:rPr>
                <w:rFonts w:ascii="Arial" w:cs="Arial" w:eastAsia="Arial" w:hAnsi="Arial"/>
                <w:sz w:val="14"/>
                <w:szCs w:val="14"/>
                <w:b w:val="1"/>
                <w:bCs w:val="1"/>
                <w:color w:val="auto"/>
              </w:rPr>
              <w:t>April 2016</w:t>
            </w:r>
          </w:p>
        </w:tc>
        <w:tc>
          <w:tcPr>
            <w:tcW w:w="11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62"/>
        </w:trPr>
        <w:tc>
          <w:tcPr>
            <w:tcW w:w="1380" w:type="dxa"/>
            <w:vAlign w:val="bottom"/>
            <w:gridSpan w:val="2"/>
          </w:tcPr>
          <w:p>
            <w:pPr>
              <w:jc w:val="center"/>
              <w:ind w:right="120"/>
              <w:spacing w:after="0"/>
              <w:rPr>
                <w:sz w:val="20"/>
                <w:szCs w:val="20"/>
                <w:color w:val="auto"/>
              </w:rPr>
            </w:pPr>
            <w:r>
              <w:rPr>
                <w:rFonts w:ascii="Arial" w:cs="Arial" w:eastAsia="Arial" w:hAnsi="Arial"/>
                <w:sz w:val="14"/>
                <w:szCs w:val="14"/>
                <w:b w:val="1"/>
                <w:bCs w:val="1"/>
                <w:color w:val="auto"/>
              </w:rPr>
              <w:t>Replacement</w:t>
            </w:r>
          </w:p>
        </w:tc>
        <w:tc>
          <w:tcPr>
            <w:tcW w:w="1260" w:type="dxa"/>
            <w:vAlign w:val="bottom"/>
            <w:gridSpan w:val="2"/>
          </w:tcPr>
          <w:p>
            <w:pPr>
              <w:jc w:val="center"/>
              <w:ind w:right="120"/>
              <w:spacing w:after="0"/>
              <w:rPr>
                <w:sz w:val="20"/>
                <w:szCs w:val="20"/>
                <w:color w:val="auto"/>
              </w:rPr>
            </w:pPr>
            <w:r>
              <w:rPr>
                <w:rFonts w:ascii="Arial" w:cs="Arial" w:eastAsia="Arial" w:hAnsi="Arial"/>
                <w:sz w:val="14"/>
                <w:szCs w:val="14"/>
                <w:b w:val="1"/>
                <w:bCs w:val="1"/>
                <w:color w:val="auto"/>
              </w:rPr>
              <w:t>Revolving</w:t>
            </w:r>
          </w:p>
        </w:tc>
        <w:tc>
          <w:tcPr>
            <w:tcW w:w="11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40" w:type="dxa"/>
            <w:vAlign w:val="bottom"/>
            <w:gridSpan w:val="2"/>
          </w:tcPr>
          <w:p>
            <w:pPr>
              <w:jc w:val="center"/>
              <w:ind w:right="120"/>
              <w:spacing w:after="0"/>
              <w:rPr>
                <w:sz w:val="20"/>
                <w:szCs w:val="20"/>
                <w:color w:val="auto"/>
              </w:rPr>
            </w:pPr>
            <w:r>
              <w:rPr>
                <w:rFonts w:ascii="Arial" w:cs="Arial" w:eastAsia="Arial" w:hAnsi="Arial"/>
                <w:sz w:val="14"/>
                <w:szCs w:val="14"/>
                <w:b w:val="1"/>
                <w:bCs w:val="1"/>
                <w:color w:val="auto"/>
              </w:rPr>
              <w:t>Revolving</w:t>
            </w:r>
          </w:p>
        </w:tc>
        <w:tc>
          <w:tcPr>
            <w:tcW w:w="124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rPr>
              <w:t>April 2016 Term</w:t>
            </w:r>
          </w:p>
        </w:tc>
        <w:tc>
          <w:tcPr>
            <w:tcW w:w="124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rPr>
              <w:t>Revolving</w:t>
            </w:r>
          </w:p>
        </w:tc>
        <w:tc>
          <w:tcPr>
            <w:tcW w:w="1140" w:type="dxa"/>
            <w:vAlign w:val="bottom"/>
          </w:tcPr>
          <w:p>
            <w:pPr>
              <w:jc w:val="center"/>
              <w:spacing w:after="0"/>
              <w:rPr>
                <w:sz w:val="20"/>
                <w:szCs w:val="20"/>
                <w:color w:val="auto"/>
              </w:rPr>
            </w:pPr>
            <w:r>
              <w:rPr>
                <w:rFonts w:ascii="Arial" w:cs="Arial" w:eastAsia="Arial" w:hAnsi="Arial"/>
                <w:sz w:val="14"/>
                <w:szCs w:val="14"/>
                <w:b w:val="1"/>
                <w:bCs w:val="1"/>
                <w:color w:val="auto"/>
              </w:rPr>
              <w:t>December 2016</w:t>
            </w:r>
          </w:p>
        </w:tc>
        <w:tc>
          <w:tcPr>
            <w:tcW w:w="0" w:type="dxa"/>
            <w:vAlign w:val="bottom"/>
          </w:tcPr>
          <w:p>
            <w:pPr>
              <w:spacing w:after="0"/>
              <w:rPr>
                <w:sz w:val="1"/>
                <w:szCs w:val="1"/>
                <w:color w:val="auto"/>
              </w:rPr>
            </w:pPr>
          </w:p>
        </w:tc>
      </w:tr>
      <w:tr>
        <w:trPr>
          <w:trHeight w:val="196"/>
        </w:trPr>
        <w:tc>
          <w:tcPr>
            <w:tcW w:w="1380" w:type="dxa"/>
            <w:vAlign w:val="bottom"/>
            <w:gridSpan w:val="2"/>
          </w:tcPr>
          <w:p>
            <w:pPr>
              <w:jc w:val="center"/>
              <w:ind w:right="120"/>
              <w:spacing w:after="0"/>
              <w:rPr>
                <w:sz w:val="20"/>
                <w:szCs w:val="20"/>
                <w:color w:val="auto"/>
              </w:rPr>
            </w:pPr>
            <w:r>
              <w:rPr>
                <w:rFonts w:ascii="Arial" w:cs="Arial" w:eastAsia="Arial" w:hAnsi="Arial"/>
                <w:sz w:val="14"/>
                <w:szCs w:val="14"/>
                <w:b w:val="1"/>
                <w:bCs w:val="1"/>
                <w:color w:val="auto"/>
              </w:rPr>
              <w:t>Term Loan</w:t>
            </w:r>
          </w:p>
        </w:tc>
        <w:tc>
          <w:tcPr>
            <w:tcW w:w="1260" w:type="dxa"/>
            <w:vAlign w:val="bottom"/>
            <w:gridSpan w:val="2"/>
          </w:tcPr>
          <w:p>
            <w:pPr>
              <w:jc w:val="center"/>
              <w:ind w:right="120"/>
              <w:spacing w:after="0"/>
              <w:rPr>
                <w:sz w:val="20"/>
                <w:szCs w:val="20"/>
                <w:color w:val="auto"/>
              </w:rPr>
            </w:pPr>
            <w:r>
              <w:rPr>
                <w:rFonts w:ascii="Arial" w:cs="Arial" w:eastAsia="Arial" w:hAnsi="Arial"/>
                <w:sz w:val="14"/>
                <w:szCs w:val="14"/>
                <w:b w:val="1"/>
                <w:bCs w:val="1"/>
                <w:color w:val="auto"/>
              </w:rPr>
              <w:t>Facility</w:t>
            </w:r>
          </w:p>
        </w:tc>
        <w:tc>
          <w:tcPr>
            <w:tcW w:w="1280" w:type="dxa"/>
            <w:vAlign w:val="bottom"/>
            <w:gridSpan w:val="2"/>
          </w:tcPr>
          <w:p>
            <w:pPr>
              <w:ind w:left="40"/>
              <w:spacing w:after="0"/>
              <w:rPr>
                <w:sz w:val="20"/>
                <w:szCs w:val="20"/>
                <w:color w:val="auto"/>
              </w:rPr>
            </w:pPr>
            <w:r>
              <w:rPr>
                <w:rFonts w:ascii="Arial" w:cs="Arial" w:eastAsia="Arial" w:hAnsi="Arial"/>
                <w:sz w:val="14"/>
                <w:szCs w:val="14"/>
                <w:b w:val="1"/>
                <w:bCs w:val="1"/>
                <w:color w:val="auto"/>
              </w:rPr>
              <w:t>2014 Term Loan</w:t>
            </w:r>
          </w:p>
        </w:tc>
        <w:tc>
          <w:tcPr>
            <w:tcW w:w="124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rPr>
              <w:t>Facility</w:t>
            </w:r>
          </w:p>
        </w:tc>
        <w:tc>
          <w:tcPr>
            <w:tcW w:w="124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rPr>
              <w:t>Loan</w:t>
            </w:r>
          </w:p>
        </w:tc>
        <w:tc>
          <w:tcPr>
            <w:tcW w:w="124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rPr>
              <w:t>Facility</w:t>
            </w:r>
          </w:p>
        </w:tc>
        <w:tc>
          <w:tcPr>
            <w:tcW w:w="1140" w:type="dxa"/>
            <w:vAlign w:val="bottom"/>
          </w:tcPr>
          <w:p>
            <w:pPr>
              <w:jc w:val="center"/>
              <w:spacing w:after="0"/>
              <w:rPr>
                <w:sz w:val="20"/>
                <w:szCs w:val="20"/>
                <w:color w:val="auto"/>
              </w:rPr>
            </w:pPr>
            <w:r>
              <w:rPr>
                <w:rFonts w:ascii="Arial" w:cs="Arial" w:eastAsia="Arial" w:hAnsi="Arial"/>
                <w:sz w:val="14"/>
                <w:szCs w:val="14"/>
                <w:b w:val="1"/>
                <w:bCs w:val="1"/>
                <w:color w:val="auto"/>
              </w:rPr>
              <w:t>Term Loan</w:t>
            </w:r>
          </w:p>
        </w:tc>
        <w:tc>
          <w:tcPr>
            <w:tcW w:w="0" w:type="dxa"/>
            <w:vAlign w:val="bottom"/>
          </w:tcPr>
          <w:p>
            <w:pPr>
              <w:spacing w:after="0"/>
              <w:rPr>
                <w:sz w:val="1"/>
                <w:szCs w:val="1"/>
                <w:color w:val="auto"/>
              </w:rPr>
            </w:pPr>
          </w:p>
        </w:tc>
      </w:tr>
      <w:tr>
        <w:trPr>
          <w:trHeight w:val="432"/>
        </w:trPr>
        <w:tc>
          <w:tcPr>
            <w:tcW w:w="1260" w:type="dxa"/>
            <w:vAlign w:val="bottom"/>
            <w:tcBorders>
              <w:top w:val="single" w:sz="8" w:color="auto"/>
            </w:tcBorders>
          </w:tcPr>
          <w:p>
            <w:pPr>
              <w:jc w:val="center"/>
              <w:spacing w:after="0"/>
              <w:rPr>
                <w:sz w:val="20"/>
                <w:szCs w:val="20"/>
                <w:color w:val="auto"/>
              </w:rPr>
            </w:pPr>
            <w:r>
              <w:rPr>
                <w:rFonts w:ascii="Arial" w:cs="Arial" w:eastAsia="Arial" w:hAnsi="Arial"/>
                <w:sz w:val="18"/>
                <w:szCs w:val="18"/>
                <w:color w:val="auto"/>
                <w:w w:val="98"/>
              </w:rPr>
              <w:t>$1,919</w:t>
            </w:r>
          </w:p>
        </w:tc>
        <w:tc>
          <w:tcPr>
            <w:tcW w:w="120" w:type="dxa"/>
            <w:vAlign w:val="bottom"/>
          </w:tcPr>
          <w:p>
            <w:pPr>
              <w:spacing w:after="0"/>
              <w:rPr>
                <w:sz w:val="24"/>
                <w:szCs w:val="24"/>
                <w:color w:val="auto"/>
              </w:rPr>
            </w:pPr>
          </w:p>
        </w:tc>
        <w:tc>
          <w:tcPr>
            <w:tcW w:w="1140" w:type="dxa"/>
            <w:vAlign w:val="bottom"/>
            <w:tcBorders>
              <w:top w:val="single" w:sz="8" w:color="auto"/>
            </w:tcBorders>
          </w:tcPr>
          <w:p>
            <w:pPr>
              <w:jc w:val="center"/>
              <w:spacing w:after="0"/>
              <w:rPr>
                <w:sz w:val="20"/>
                <w:szCs w:val="20"/>
                <w:color w:val="auto"/>
              </w:rPr>
            </w:pPr>
            <w:r>
              <w:rPr>
                <w:rFonts w:ascii="Arial" w:cs="Arial" w:eastAsia="Arial" w:hAnsi="Arial"/>
                <w:sz w:val="18"/>
                <w:szCs w:val="18"/>
                <w:color w:val="auto"/>
                <w:w w:val="99"/>
              </w:rPr>
              <w:t>$750</w:t>
            </w:r>
          </w:p>
        </w:tc>
        <w:tc>
          <w:tcPr>
            <w:tcW w:w="120" w:type="dxa"/>
            <w:vAlign w:val="bottom"/>
          </w:tcPr>
          <w:p>
            <w:pPr>
              <w:spacing w:after="0"/>
              <w:rPr>
                <w:sz w:val="24"/>
                <w:szCs w:val="24"/>
                <w:color w:val="auto"/>
              </w:rPr>
            </w:pPr>
          </w:p>
        </w:tc>
        <w:tc>
          <w:tcPr>
            <w:tcW w:w="1160" w:type="dxa"/>
            <w:vAlign w:val="bottom"/>
            <w:tcBorders>
              <w:top w:val="single" w:sz="8" w:color="auto"/>
            </w:tcBorders>
          </w:tcPr>
          <w:p>
            <w:pPr>
              <w:jc w:val="center"/>
              <w:spacing w:after="0"/>
              <w:rPr>
                <w:sz w:val="20"/>
                <w:szCs w:val="20"/>
                <w:color w:val="auto"/>
              </w:rPr>
            </w:pPr>
            <w:r>
              <w:rPr>
                <w:rFonts w:ascii="Arial" w:cs="Arial" w:eastAsia="Arial" w:hAnsi="Arial"/>
                <w:sz w:val="18"/>
                <w:szCs w:val="18"/>
                <w:color w:val="auto"/>
              </w:rPr>
              <w:t>$1,250</w:t>
            </w:r>
          </w:p>
        </w:tc>
        <w:tc>
          <w:tcPr>
            <w:tcW w:w="120" w:type="dxa"/>
            <w:vAlign w:val="bottom"/>
          </w:tcPr>
          <w:p>
            <w:pPr>
              <w:spacing w:after="0"/>
              <w:rPr>
                <w:sz w:val="24"/>
                <w:szCs w:val="24"/>
                <w:color w:val="auto"/>
              </w:rPr>
            </w:pPr>
          </w:p>
        </w:tc>
        <w:tc>
          <w:tcPr>
            <w:tcW w:w="1140" w:type="dxa"/>
            <w:vAlign w:val="bottom"/>
            <w:tcBorders>
              <w:top w:val="single" w:sz="8" w:color="auto"/>
            </w:tcBorders>
          </w:tcPr>
          <w:p>
            <w:pPr>
              <w:jc w:val="center"/>
              <w:spacing w:after="0"/>
              <w:rPr>
                <w:sz w:val="20"/>
                <w:szCs w:val="20"/>
                <w:color w:val="auto"/>
              </w:rPr>
            </w:pPr>
            <w:r>
              <w:rPr>
                <w:rFonts w:ascii="Arial" w:cs="Arial" w:eastAsia="Arial" w:hAnsi="Arial"/>
                <w:sz w:val="18"/>
                <w:szCs w:val="18"/>
                <w:color w:val="auto"/>
                <w:w w:val="98"/>
              </w:rPr>
              <w:t>$1,643</w:t>
            </w:r>
          </w:p>
        </w:tc>
        <w:tc>
          <w:tcPr>
            <w:tcW w:w="100" w:type="dxa"/>
            <w:vAlign w:val="bottom"/>
          </w:tcPr>
          <w:p>
            <w:pPr>
              <w:spacing w:after="0"/>
              <w:rPr>
                <w:sz w:val="24"/>
                <w:szCs w:val="24"/>
                <w:color w:val="auto"/>
              </w:rPr>
            </w:pPr>
          </w:p>
        </w:tc>
        <w:tc>
          <w:tcPr>
            <w:tcW w:w="1140" w:type="dxa"/>
            <w:vAlign w:val="bottom"/>
            <w:tcBorders>
              <w:top w:val="single" w:sz="8" w:color="auto"/>
            </w:tcBorders>
          </w:tcPr>
          <w:p>
            <w:pPr>
              <w:jc w:val="center"/>
              <w:spacing w:after="0"/>
              <w:rPr>
                <w:sz w:val="20"/>
                <w:szCs w:val="20"/>
                <w:color w:val="auto"/>
              </w:rPr>
            </w:pPr>
            <w:r>
              <w:rPr>
                <w:rFonts w:ascii="Arial" w:cs="Arial" w:eastAsia="Arial" w:hAnsi="Arial"/>
                <w:sz w:val="18"/>
                <w:szCs w:val="18"/>
                <w:color w:val="auto"/>
                <w:w w:val="98"/>
              </w:rPr>
              <w:t>$1,000</w:t>
            </w:r>
          </w:p>
        </w:tc>
        <w:tc>
          <w:tcPr>
            <w:tcW w:w="100" w:type="dxa"/>
            <w:vAlign w:val="bottom"/>
          </w:tcPr>
          <w:p>
            <w:pPr>
              <w:spacing w:after="0"/>
              <w:rPr>
                <w:sz w:val="24"/>
                <w:szCs w:val="24"/>
                <w:color w:val="auto"/>
              </w:rPr>
            </w:pPr>
          </w:p>
        </w:tc>
        <w:tc>
          <w:tcPr>
            <w:tcW w:w="1140" w:type="dxa"/>
            <w:vAlign w:val="bottom"/>
            <w:tcBorders>
              <w:top w:val="single" w:sz="8" w:color="auto"/>
            </w:tcBorders>
          </w:tcPr>
          <w:p>
            <w:pPr>
              <w:jc w:val="center"/>
              <w:spacing w:after="0"/>
              <w:rPr>
                <w:sz w:val="20"/>
                <w:szCs w:val="20"/>
                <w:color w:val="auto"/>
              </w:rPr>
            </w:pPr>
            <w:r>
              <w:rPr>
                <w:rFonts w:ascii="Arial" w:cs="Arial" w:eastAsia="Arial" w:hAnsi="Arial"/>
                <w:sz w:val="18"/>
                <w:szCs w:val="18"/>
                <w:color w:val="auto"/>
                <w:w w:val="99"/>
              </w:rPr>
              <w:t>$450</w:t>
            </w:r>
          </w:p>
        </w:tc>
        <w:tc>
          <w:tcPr>
            <w:tcW w:w="100" w:type="dxa"/>
            <w:vAlign w:val="bottom"/>
          </w:tcPr>
          <w:p>
            <w:pPr>
              <w:spacing w:after="0"/>
              <w:rPr>
                <w:sz w:val="24"/>
                <w:szCs w:val="24"/>
                <w:color w:val="auto"/>
              </w:rPr>
            </w:pPr>
          </w:p>
        </w:tc>
        <w:tc>
          <w:tcPr>
            <w:tcW w:w="1140" w:type="dxa"/>
            <w:vAlign w:val="bottom"/>
            <w:tcBorders>
              <w:top w:val="single" w:sz="8" w:color="auto"/>
            </w:tcBorders>
          </w:tcPr>
          <w:p>
            <w:pPr>
              <w:jc w:val="center"/>
              <w:spacing w:after="0"/>
              <w:rPr>
                <w:sz w:val="20"/>
                <w:szCs w:val="20"/>
                <w:color w:val="auto"/>
              </w:rPr>
            </w:pPr>
            <w:r>
              <w:rPr>
                <w:rFonts w:ascii="Arial" w:cs="Arial" w:eastAsia="Arial" w:hAnsi="Arial"/>
                <w:sz w:val="18"/>
                <w:szCs w:val="18"/>
                <w:color w:val="auto"/>
                <w:w w:val="98"/>
              </w:rPr>
              <w:t>$1,250</w:t>
            </w:r>
          </w:p>
        </w:tc>
        <w:tc>
          <w:tcPr>
            <w:tcW w:w="0" w:type="dxa"/>
            <w:vAlign w:val="bottom"/>
          </w:tcPr>
          <w:p>
            <w:pPr>
              <w:spacing w:after="0"/>
              <w:rPr>
                <w:sz w:val="1"/>
                <w:szCs w:val="1"/>
                <w:color w:val="auto"/>
              </w:rPr>
            </w:pPr>
          </w:p>
        </w:tc>
      </w:tr>
      <w:tr>
        <w:trPr>
          <w:trHeight w:val="554"/>
        </w:trPr>
        <w:tc>
          <w:tcPr>
            <w:tcW w:w="1260" w:type="dxa"/>
            <w:vAlign w:val="bottom"/>
          </w:tcPr>
          <w:p>
            <w:pPr>
              <w:jc w:val="center"/>
              <w:spacing w:after="0"/>
              <w:rPr>
                <w:sz w:val="20"/>
                <w:szCs w:val="20"/>
                <w:color w:val="auto"/>
              </w:rPr>
            </w:pPr>
            <w:r>
              <w:rPr>
                <w:rFonts w:ascii="Arial" w:cs="Arial" w:eastAsia="Arial" w:hAnsi="Arial"/>
                <w:sz w:val="18"/>
                <w:szCs w:val="18"/>
                <w:color w:val="auto"/>
                <w:w w:val="98"/>
              </w:rPr>
              <w:t>$1,807</w:t>
            </w:r>
          </w:p>
        </w:tc>
        <w:tc>
          <w:tcPr>
            <w:tcW w:w="120" w:type="dxa"/>
            <w:vAlign w:val="bottom"/>
          </w:tcPr>
          <w:p>
            <w:pPr>
              <w:spacing w:after="0"/>
              <w:rPr>
                <w:sz w:val="24"/>
                <w:szCs w:val="24"/>
                <w:color w:val="auto"/>
              </w:rPr>
            </w:pPr>
          </w:p>
        </w:tc>
        <w:tc>
          <w:tcPr>
            <w:tcW w:w="1260" w:type="dxa"/>
            <w:vAlign w:val="bottom"/>
            <w:gridSpan w:val="2"/>
          </w:tcPr>
          <w:p>
            <w:pPr>
              <w:jc w:val="center"/>
              <w:ind w:right="100"/>
              <w:spacing w:after="0"/>
              <w:rPr>
                <w:sz w:val="20"/>
                <w:szCs w:val="20"/>
                <w:color w:val="auto"/>
              </w:rPr>
            </w:pPr>
            <w:r>
              <w:rPr>
                <w:rFonts w:ascii="Arial" w:cs="Arial" w:eastAsia="Arial" w:hAnsi="Arial"/>
                <w:sz w:val="18"/>
                <w:szCs w:val="18"/>
                <w:color w:val="auto"/>
                <w:w w:val="99"/>
              </w:rPr>
              <w:t>$—</w:t>
            </w:r>
          </w:p>
        </w:tc>
        <w:tc>
          <w:tcPr>
            <w:tcW w:w="1160" w:type="dxa"/>
            <w:vAlign w:val="bottom"/>
          </w:tcPr>
          <w:p>
            <w:pPr>
              <w:jc w:val="center"/>
              <w:spacing w:after="0"/>
              <w:rPr>
                <w:sz w:val="20"/>
                <w:szCs w:val="20"/>
                <w:color w:val="auto"/>
              </w:rPr>
            </w:pPr>
            <w:r>
              <w:rPr>
                <w:rFonts w:ascii="Arial" w:cs="Arial" w:eastAsia="Arial" w:hAnsi="Arial"/>
                <w:sz w:val="18"/>
                <w:szCs w:val="18"/>
                <w:color w:val="auto"/>
              </w:rPr>
              <w:t>$1,202</w:t>
            </w:r>
          </w:p>
        </w:tc>
        <w:tc>
          <w:tcPr>
            <w:tcW w:w="120" w:type="dxa"/>
            <w:vAlign w:val="bottom"/>
          </w:tcPr>
          <w:p>
            <w:pPr>
              <w:spacing w:after="0"/>
              <w:rPr>
                <w:sz w:val="24"/>
                <w:szCs w:val="24"/>
                <w:color w:val="auto"/>
              </w:rPr>
            </w:pPr>
          </w:p>
        </w:tc>
        <w:tc>
          <w:tcPr>
            <w:tcW w:w="1240" w:type="dxa"/>
            <w:vAlign w:val="bottom"/>
            <w:gridSpan w:val="2"/>
          </w:tcPr>
          <w:p>
            <w:pPr>
              <w:jc w:val="center"/>
              <w:ind w:right="120"/>
              <w:spacing w:after="0"/>
              <w:rPr>
                <w:sz w:val="20"/>
                <w:szCs w:val="20"/>
                <w:color w:val="auto"/>
              </w:rPr>
            </w:pPr>
            <w:r>
              <w:rPr>
                <w:rFonts w:ascii="Arial" w:cs="Arial" w:eastAsia="Arial" w:hAnsi="Arial"/>
                <w:sz w:val="18"/>
                <w:szCs w:val="18"/>
                <w:color w:val="auto"/>
                <w:w w:val="99"/>
              </w:rPr>
              <w:t>$—</w:t>
            </w:r>
          </w:p>
        </w:tc>
        <w:tc>
          <w:tcPr>
            <w:tcW w:w="1140" w:type="dxa"/>
            <w:vAlign w:val="bottom"/>
          </w:tcPr>
          <w:p>
            <w:pPr>
              <w:jc w:val="center"/>
              <w:spacing w:after="0"/>
              <w:rPr>
                <w:sz w:val="20"/>
                <w:szCs w:val="20"/>
                <w:color w:val="auto"/>
              </w:rPr>
            </w:pPr>
            <w:r>
              <w:rPr>
                <w:rFonts w:ascii="Arial" w:cs="Arial" w:eastAsia="Arial" w:hAnsi="Arial"/>
                <w:sz w:val="18"/>
                <w:szCs w:val="18"/>
                <w:color w:val="auto"/>
                <w:w w:val="99"/>
              </w:rPr>
              <w:t>$970</w:t>
            </w:r>
          </w:p>
        </w:tc>
        <w:tc>
          <w:tcPr>
            <w:tcW w:w="100" w:type="dxa"/>
            <w:vAlign w:val="bottom"/>
          </w:tcPr>
          <w:p>
            <w:pPr>
              <w:spacing w:after="0"/>
              <w:rPr>
                <w:sz w:val="24"/>
                <w:szCs w:val="24"/>
                <w:color w:val="auto"/>
              </w:rPr>
            </w:pPr>
          </w:p>
        </w:tc>
        <w:tc>
          <w:tcPr>
            <w:tcW w:w="1240" w:type="dxa"/>
            <w:vAlign w:val="bottom"/>
            <w:gridSpan w:val="2"/>
          </w:tcPr>
          <w:p>
            <w:pPr>
              <w:jc w:val="center"/>
              <w:ind w:right="80"/>
              <w:spacing w:after="0"/>
              <w:rPr>
                <w:sz w:val="20"/>
                <w:szCs w:val="20"/>
                <w:color w:val="auto"/>
              </w:rPr>
            </w:pPr>
            <w:r>
              <w:rPr>
                <w:rFonts w:ascii="Arial" w:cs="Arial" w:eastAsia="Arial" w:hAnsi="Arial"/>
                <w:sz w:val="18"/>
                <w:szCs w:val="18"/>
                <w:color w:val="auto"/>
                <w:w w:val="99"/>
              </w:rPr>
              <w:t>$—</w:t>
            </w:r>
          </w:p>
        </w:tc>
        <w:tc>
          <w:tcPr>
            <w:tcW w:w="1140" w:type="dxa"/>
            <w:vAlign w:val="bottom"/>
          </w:tcPr>
          <w:p>
            <w:pPr>
              <w:jc w:val="center"/>
              <w:spacing w:after="0"/>
              <w:rPr>
                <w:sz w:val="20"/>
                <w:szCs w:val="20"/>
                <w:color w:val="auto"/>
              </w:rPr>
            </w:pPr>
            <w:r>
              <w:rPr>
                <w:rFonts w:ascii="Arial" w:cs="Arial" w:eastAsia="Arial" w:hAnsi="Arial"/>
                <w:sz w:val="18"/>
                <w:szCs w:val="18"/>
                <w:color w:val="auto"/>
                <w:w w:val="98"/>
              </w:rPr>
              <w:t>$1,213</w:t>
            </w:r>
          </w:p>
        </w:tc>
        <w:tc>
          <w:tcPr>
            <w:tcW w:w="0" w:type="dxa"/>
            <w:vAlign w:val="bottom"/>
          </w:tcPr>
          <w:p>
            <w:pPr>
              <w:spacing w:after="0"/>
              <w:rPr>
                <w:sz w:val="1"/>
                <w:szCs w:val="1"/>
                <w:color w:val="auto"/>
              </w:rPr>
            </w:pPr>
          </w:p>
        </w:tc>
      </w:tr>
      <w:tr>
        <w:trPr>
          <w:trHeight w:val="350"/>
        </w:trPr>
        <w:tc>
          <w:tcPr>
            <w:tcW w:w="1380" w:type="dxa"/>
            <w:vAlign w:val="bottom"/>
            <w:gridSpan w:val="2"/>
            <w:vMerge w:val="restart"/>
          </w:tcPr>
          <w:p>
            <w:pPr>
              <w:jc w:val="center"/>
              <w:ind w:right="120"/>
              <w:spacing w:after="0"/>
              <w:rPr>
                <w:sz w:val="20"/>
                <w:szCs w:val="20"/>
                <w:color w:val="auto"/>
              </w:rPr>
            </w:pPr>
            <w:r>
              <w:rPr>
                <w:rFonts w:ascii="Arial" w:cs="Arial" w:eastAsia="Arial" w:hAnsi="Arial"/>
                <w:sz w:val="18"/>
                <w:szCs w:val="18"/>
                <w:color w:val="auto"/>
              </w:rPr>
              <w:t>June 2025</w:t>
            </w:r>
          </w:p>
        </w:tc>
        <w:tc>
          <w:tcPr>
            <w:tcW w:w="1260" w:type="dxa"/>
            <w:vAlign w:val="bottom"/>
            <w:gridSpan w:val="2"/>
            <w:vMerge w:val="restart"/>
          </w:tcPr>
          <w:p>
            <w:pPr>
              <w:jc w:val="center"/>
              <w:ind w:right="120"/>
              <w:spacing w:after="0"/>
              <w:rPr>
                <w:sz w:val="20"/>
                <w:szCs w:val="20"/>
                <w:color w:val="auto"/>
              </w:rPr>
            </w:pPr>
            <w:r>
              <w:rPr>
                <w:rFonts w:ascii="Arial" w:cs="Arial" w:eastAsia="Arial" w:hAnsi="Arial"/>
                <w:sz w:val="18"/>
                <w:szCs w:val="18"/>
                <w:color w:val="auto"/>
              </w:rPr>
              <w:t>October 2024</w:t>
            </w:r>
          </w:p>
        </w:tc>
        <w:tc>
          <w:tcPr>
            <w:tcW w:w="1280" w:type="dxa"/>
            <w:vAlign w:val="bottom"/>
            <w:gridSpan w:val="2"/>
            <w:vMerge w:val="restart"/>
          </w:tcPr>
          <w:p>
            <w:pPr>
              <w:ind w:left="40"/>
              <w:spacing w:after="0"/>
              <w:rPr>
                <w:sz w:val="20"/>
                <w:szCs w:val="20"/>
                <w:color w:val="auto"/>
              </w:rPr>
            </w:pPr>
            <w:r>
              <w:rPr>
                <w:rFonts w:ascii="Arial" w:cs="Arial" w:eastAsia="Arial" w:hAnsi="Arial"/>
                <w:sz w:val="18"/>
                <w:szCs w:val="18"/>
                <w:color w:val="auto"/>
              </w:rPr>
              <w:t>October 2021</w:t>
            </w:r>
          </w:p>
        </w:tc>
        <w:tc>
          <w:tcPr>
            <w:tcW w:w="1240" w:type="dxa"/>
            <w:vAlign w:val="bottom"/>
            <w:gridSpan w:val="2"/>
          </w:tcPr>
          <w:p>
            <w:pPr>
              <w:jc w:val="center"/>
              <w:ind w:right="120"/>
              <w:spacing w:after="0"/>
              <w:rPr>
                <w:sz w:val="20"/>
                <w:szCs w:val="20"/>
                <w:color w:val="auto"/>
              </w:rPr>
            </w:pPr>
            <w:r>
              <w:rPr>
                <w:rFonts w:ascii="Arial" w:cs="Arial" w:eastAsia="Arial" w:hAnsi="Arial"/>
                <w:sz w:val="18"/>
                <w:szCs w:val="18"/>
                <w:color w:val="auto"/>
                <w:w w:val="99"/>
              </w:rPr>
              <w:t>October</w:t>
            </w:r>
          </w:p>
        </w:tc>
        <w:tc>
          <w:tcPr>
            <w:tcW w:w="1240" w:type="dxa"/>
            <w:vAlign w:val="bottom"/>
            <w:gridSpan w:val="2"/>
            <w:vMerge w:val="restart"/>
          </w:tcPr>
          <w:p>
            <w:pPr>
              <w:jc w:val="center"/>
              <w:ind w:right="100"/>
              <w:spacing w:after="0"/>
              <w:rPr>
                <w:sz w:val="20"/>
                <w:szCs w:val="20"/>
                <w:color w:val="auto"/>
              </w:rPr>
            </w:pPr>
            <w:r>
              <w:rPr>
                <w:rFonts w:ascii="Arial" w:cs="Arial" w:eastAsia="Arial" w:hAnsi="Arial"/>
                <w:sz w:val="18"/>
                <w:szCs w:val="18"/>
                <w:color w:val="auto"/>
              </w:rPr>
              <w:t>April 2023</w:t>
            </w:r>
          </w:p>
        </w:tc>
        <w:tc>
          <w:tcPr>
            <w:tcW w:w="1240" w:type="dxa"/>
            <w:vAlign w:val="bottom"/>
            <w:gridSpan w:val="2"/>
          </w:tcPr>
          <w:p>
            <w:pPr>
              <w:jc w:val="center"/>
              <w:ind w:right="80"/>
              <w:spacing w:after="0"/>
              <w:rPr>
                <w:sz w:val="20"/>
                <w:szCs w:val="20"/>
                <w:color w:val="auto"/>
              </w:rPr>
            </w:pPr>
            <w:r>
              <w:rPr>
                <w:rFonts w:ascii="Arial" w:cs="Arial" w:eastAsia="Arial" w:hAnsi="Arial"/>
                <w:sz w:val="18"/>
                <w:szCs w:val="18"/>
                <w:color w:val="auto"/>
                <w:w w:val="99"/>
              </w:rPr>
              <w:t>October</w:t>
            </w:r>
          </w:p>
        </w:tc>
        <w:tc>
          <w:tcPr>
            <w:tcW w:w="1140" w:type="dxa"/>
            <w:vAlign w:val="bottom"/>
          </w:tcPr>
          <w:p>
            <w:pPr>
              <w:jc w:val="center"/>
              <w:spacing w:after="0"/>
              <w:rPr>
                <w:sz w:val="20"/>
                <w:szCs w:val="20"/>
                <w:color w:val="auto"/>
              </w:rPr>
            </w:pPr>
            <w:r>
              <w:rPr>
                <w:rFonts w:ascii="Arial" w:cs="Arial" w:eastAsia="Arial" w:hAnsi="Arial"/>
                <w:sz w:val="18"/>
                <w:szCs w:val="18"/>
                <w:color w:val="auto"/>
                <w:w w:val="98"/>
              </w:rPr>
              <w:t>December</w:t>
            </w:r>
          </w:p>
        </w:tc>
        <w:tc>
          <w:tcPr>
            <w:tcW w:w="0" w:type="dxa"/>
            <w:vAlign w:val="bottom"/>
          </w:tcPr>
          <w:p>
            <w:pPr>
              <w:spacing w:after="0"/>
              <w:rPr>
                <w:sz w:val="1"/>
                <w:szCs w:val="1"/>
                <w:color w:val="auto"/>
              </w:rPr>
            </w:pPr>
          </w:p>
        </w:tc>
      </w:tr>
      <w:tr>
        <w:trPr>
          <w:trHeight w:val="109"/>
        </w:trPr>
        <w:tc>
          <w:tcPr>
            <w:tcW w:w="1380" w:type="dxa"/>
            <w:vAlign w:val="bottom"/>
            <w:gridSpan w:val="2"/>
            <w:vMerge w:val="continue"/>
          </w:tcPr>
          <w:p>
            <w:pPr>
              <w:spacing w:after="0"/>
              <w:rPr>
                <w:sz w:val="9"/>
                <w:szCs w:val="9"/>
                <w:color w:val="auto"/>
              </w:rPr>
            </w:pPr>
          </w:p>
        </w:tc>
        <w:tc>
          <w:tcPr>
            <w:tcW w:w="1260" w:type="dxa"/>
            <w:vAlign w:val="bottom"/>
            <w:gridSpan w:val="2"/>
            <w:vMerge w:val="continue"/>
          </w:tcPr>
          <w:p>
            <w:pPr>
              <w:spacing w:after="0"/>
              <w:rPr>
                <w:sz w:val="9"/>
                <w:szCs w:val="9"/>
                <w:color w:val="auto"/>
              </w:rPr>
            </w:pPr>
          </w:p>
        </w:tc>
        <w:tc>
          <w:tcPr>
            <w:tcW w:w="1280" w:type="dxa"/>
            <w:vAlign w:val="bottom"/>
            <w:gridSpan w:val="2"/>
            <w:vMerge w:val="continue"/>
          </w:tcPr>
          <w:p>
            <w:pPr>
              <w:spacing w:after="0"/>
              <w:rPr>
                <w:sz w:val="9"/>
                <w:szCs w:val="9"/>
                <w:color w:val="auto"/>
              </w:rPr>
            </w:pPr>
          </w:p>
        </w:tc>
        <w:tc>
          <w:tcPr>
            <w:tcW w:w="1140" w:type="dxa"/>
            <w:vAlign w:val="bottom"/>
            <w:vMerge w:val="restart"/>
          </w:tcPr>
          <w:p>
            <w:pPr>
              <w:jc w:val="center"/>
              <w:spacing w:after="0"/>
              <w:rPr>
                <w:sz w:val="20"/>
                <w:szCs w:val="20"/>
                <w:color w:val="auto"/>
              </w:rPr>
            </w:pPr>
            <w:r>
              <w:rPr>
                <w:rFonts w:ascii="Arial" w:cs="Arial" w:eastAsia="Arial" w:hAnsi="Arial"/>
                <w:sz w:val="18"/>
                <w:szCs w:val="18"/>
                <w:color w:val="auto"/>
                <w:w w:val="99"/>
              </w:rPr>
              <w:t>2024</w:t>
            </w:r>
          </w:p>
        </w:tc>
        <w:tc>
          <w:tcPr>
            <w:tcW w:w="100" w:type="dxa"/>
            <w:vAlign w:val="bottom"/>
          </w:tcPr>
          <w:p>
            <w:pPr>
              <w:spacing w:after="0"/>
              <w:rPr>
                <w:sz w:val="9"/>
                <w:szCs w:val="9"/>
                <w:color w:val="auto"/>
              </w:rPr>
            </w:pPr>
          </w:p>
        </w:tc>
        <w:tc>
          <w:tcPr>
            <w:tcW w:w="1240" w:type="dxa"/>
            <w:vAlign w:val="bottom"/>
            <w:gridSpan w:val="2"/>
            <w:vMerge w:val="continue"/>
          </w:tcPr>
          <w:p>
            <w:pPr>
              <w:spacing w:after="0"/>
              <w:rPr>
                <w:sz w:val="9"/>
                <w:szCs w:val="9"/>
                <w:color w:val="auto"/>
              </w:rPr>
            </w:pPr>
          </w:p>
        </w:tc>
        <w:tc>
          <w:tcPr>
            <w:tcW w:w="1140" w:type="dxa"/>
            <w:vAlign w:val="bottom"/>
            <w:vMerge w:val="restart"/>
          </w:tcPr>
          <w:p>
            <w:pPr>
              <w:jc w:val="center"/>
              <w:spacing w:after="0"/>
              <w:rPr>
                <w:sz w:val="20"/>
                <w:szCs w:val="20"/>
                <w:color w:val="auto"/>
              </w:rPr>
            </w:pPr>
            <w:r>
              <w:rPr>
                <w:rFonts w:ascii="Arial" w:cs="Arial" w:eastAsia="Arial" w:hAnsi="Arial"/>
                <w:sz w:val="18"/>
                <w:szCs w:val="18"/>
                <w:color w:val="auto"/>
                <w:w w:val="99"/>
              </w:rPr>
              <w:t>2024</w:t>
            </w:r>
          </w:p>
        </w:tc>
        <w:tc>
          <w:tcPr>
            <w:tcW w:w="100" w:type="dxa"/>
            <w:vAlign w:val="bottom"/>
          </w:tcPr>
          <w:p>
            <w:pPr>
              <w:spacing w:after="0"/>
              <w:rPr>
                <w:sz w:val="9"/>
                <w:szCs w:val="9"/>
                <w:color w:val="auto"/>
              </w:rPr>
            </w:pPr>
          </w:p>
        </w:tc>
        <w:tc>
          <w:tcPr>
            <w:tcW w:w="1140" w:type="dxa"/>
            <w:vAlign w:val="bottom"/>
            <w:vMerge w:val="restart"/>
          </w:tcPr>
          <w:p>
            <w:pPr>
              <w:jc w:val="center"/>
              <w:spacing w:after="0"/>
              <w:rPr>
                <w:sz w:val="20"/>
                <w:szCs w:val="20"/>
                <w:color w:val="auto"/>
              </w:rPr>
            </w:pPr>
            <w:r>
              <w:rPr>
                <w:rFonts w:ascii="Arial" w:cs="Arial" w:eastAsia="Arial" w:hAnsi="Arial"/>
                <w:sz w:val="18"/>
                <w:szCs w:val="18"/>
                <w:color w:val="auto"/>
                <w:w w:val="99"/>
              </w:rPr>
              <w:t>2023</w:t>
            </w:r>
          </w:p>
        </w:tc>
        <w:tc>
          <w:tcPr>
            <w:tcW w:w="0" w:type="dxa"/>
            <w:vAlign w:val="bottom"/>
          </w:tcPr>
          <w:p>
            <w:pPr>
              <w:spacing w:after="0"/>
              <w:rPr>
                <w:sz w:val="1"/>
                <w:szCs w:val="1"/>
                <w:color w:val="auto"/>
              </w:rPr>
            </w:pPr>
          </w:p>
        </w:tc>
      </w:tr>
      <w:tr>
        <w:trPr>
          <w:trHeight w:val="108"/>
        </w:trPr>
        <w:tc>
          <w:tcPr>
            <w:tcW w:w="1260" w:type="dxa"/>
            <w:vAlign w:val="bottom"/>
          </w:tcPr>
          <w:p>
            <w:pPr>
              <w:spacing w:after="0"/>
              <w:rPr>
                <w:sz w:val="9"/>
                <w:szCs w:val="9"/>
                <w:color w:val="auto"/>
              </w:rPr>
            </w:pPr>
          </w:p>
        </w:tc>
        <w:tc>
          <w:tcPr>
            <w:tcW w:w="120" w:type="dxa"/>
            <w:vAlign w:val="bottom"/>
          </w:tcPr>
          <w:p>
            <w:pPr>
              <w:spacing w:after="0"/>
              <w:rPr>
                <w:sz w:val="9"/>
                <w:szCs w:val="9"/>
                <w:color w:val="auto"/>
              </w:rPr>
            </w:pPr>
          </w:p>
        </w:tc>
        <w:tc>
          <w:tcPr>
            <w:tcW w:w="1140" w:type="dxa"/>
            <w:vAlign w:val="bottom"/>
          </w:tcPr>
          <w:p>
            <w:pPr>
              <w:spacing w:after="0"/>
              <w:rPr>
                <w:sz w:val="9"/>
                <w:szCs w:val="9"/>
                <w:color w:val="auto"/>
              </w:rPr>
            </w:pPr>
          </w:p>
        </w:tc>
        <w:tc>
          <w:tcPr>
            <w:tcW w:w="120" w:type="dxa"/>
            <w:vAlign w:val="bottom"/>
          </w:tcPr>
          <w:p>
            <w:pPr>
              <w:spacing w:after="0"/>
              <w:rPr>
                <w:sz w:val="9"/>
                <w:szCs w:val="9"/>
                <w:color w:val="auto"/>
              </w:rPr>
            </w:pPr>
          </w:p>
        </w:tc>
        <w:tc>
          <w:tcPr>
            <w:tcW w:w="1160" w:type="dxa"/>
            <w:vAlign w:val="bottom"/>
          </w:tcPr>
          <w:p>
            <w:pPr>
              <w:spacing w:after="0"/>
              <w:rPr>
                <w:sz w:val="9"/>
                <w:szCs w:val="9"/>
                <w:color w:val="auto"/>
              </w:rPr>
            </w:pPr>
          </w:p>
        </w:tc>
        <w:tc>
          <w:tcPr>
            <w:tcW w:w="120" w:type="dxa"/>
            <w:vAlign w:val="bottom"/>
          </w:tcPr>
          <w:p>
            <w:pPr>
              <w:spacing w:after="0"/>
              <w:rPr>
                <w:sz w:val="9"/>
                <w:szCs w:val="9"/>
                <w:color w:val="auto"/>
              </w:rPr>
            </w:pPr>
          </w:p>
        </w:tc>
        <w:tc>
          <w:tcPr>
            <w:tcW w:w="1140" w:type="dxa"/>
            <w:vAlign w:val="bottom"/>
            <w:vMerge w:val="continue"/>
          </w:tcPr>
          <w:p>
            <w:pPr>
              <w:spacing w:after="0"/>
              <w:rPr>
                <w:sz w:val="9"/>
                <w:szCs w:val="9"/>
                <w:color w:val="auto"/>
              </w:rPr>
            </w:pPr>
          </w:p>
        </w:tc>
        <w:tc>
          <w:tcPr>
            <w:tcW w:w="100" w:type="dxa"/>
            <w:vAlign w:val="bottom"/>
          </w:tcPr>
          <w:p>
            <w:pPr>
              <w:spacing w:after="0"/>
              <w:rPr>
                <w:sz w:val="9"/>
                <w:szCs w:val="9"/>
                <w:color w:val="auto"/>
              </w:rPr>
            </w:pPr>
          </w:p>
        </w:tc>
        <w:tc>
          <w:tcPr>
            <w:tcW w:w="1140" w:type="dxa"/>
            <w:vAlign w:val="bottom"/>
          </w:tcPr>
          <w:p>
            <w:pPr>
              <w:spacing w:after="0"/>
              <w:rPr>
                <w:sz w:val="9"/>
                <w:szCs w:val="9"/>
                <w:color w:val="auto"/>
              </w:rPr>
            </w:pPr>
          </w:p>
        </w:tc>
        <w:tc>
          <w:tcPr>
            <w:tcW w:w="100" w:type="dxa"/>
            <w:vAlign w:val="bottom"/>
          </w:tcPr>
          <w:p>
            <w:pPr>
              <w:spacing w:after="0"/>
              <w:rPr>
                <w:sz w:val="9"/>
                <w:szCs w:val="9"/>
                <w:color w:val="auto"/>
              </w:rPr>
            </w:pPr>
          </w:p>
        </w:tc>
        <w:tc>
          <w:tcPr>
            <w:tcW w:w="1140" w:type="dxa"/>
            <w:vAlign w:val="bottom"/>
            <w:vMerge w:val="continue"/>
          </w:tcPr>
          <w:p>
            <w:pPr>
              <w:spacing w:after="0"/>
              <w:rPr>
                <w:sz w:val="9"/>
                <w:szCs w:val="9"/>
                <w:color w:val="auto"/>
              </w:rPr>
            </w:pPr>
          </w:p>
        </w:tc>
        <w:tc>
          <w:tcPr>
            <w:tcW w:w="100" w:type="dxa"/>
            <w:vAlign w:val="bottom"/>
          </w:tcPr>
          <w:p>
            <w:pPr>
              <w:spacing w:after="0"/>
              <w:rPr>
                <w:sz w:val="9"/>
                <w:szCs w:val="9"/>
                <w:color w:val="auto"/>
              </w:rPr>
            </w:pPr>
          </w:p>
        </w:tc>
        <w:tc>
          <w:tcPr>
            <w:tcW w:w="114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257"/>
        </w:trPr>
        <w:tc>
          <w:tcPr>
            <w:tcW w:w="1260" w:type="dxa"/>
            <w:vAlign w:val="bottom"/>
          </w:tcPr>
          <w:p>
            <w:pPr>
              <w:jc w:val="center"/>
              <w:spacing w:after="0"/>
              <w:rPr>
                <w:sz w:val="20"/>
                <w:szCs w:val="20"/>
                <w:color w:val="auto"/>
              </w:rPr>
            </w:pPr>
            <w:r>
              <w:rPr>
                <w:rFonts w:ascii="Arial" w:cs="Arial" w:eastAsia="Arial" w:hAnsi="Arial"/>
                <w:sz w:val="18"/>
                <w:szCs w:val="18"/>
                <w:color w:val="auto"/>
                <w:w w:val="97"/>
              </w:rPr>
              <w:t>1.75%</w:t>
            </w:r>
          </w:p>
        </w:tc>
        <w:tc>
          <w:tcPr>
            <w:tcW w:w="120" w:type="dxa"/>
            <w:vAlign w:val="bottom"/>
          </w:tcPr>
          <w:p>
            <w:pPr>
              <w:spacing w:after="0"/>
              <w:rPr>
                <w:sz w:val="22"/>
                <w:szCs w:val="22"/>
                <w:color w:val="auto"/>
              </w:rPr>
            </w:pPr>
          </w:p>
        </w:tc>
        <w:tc>
          <w:tcPr>
            <w:tcW w:w="1140" w:type="dxa"/>
            <w:vAlign w:val="bottom"/>
          </w:tcPr>
          <w:p>
            <w:pPr>
              <w:jc w:val="center"/>
              <w:spacing w:after="0"/>
              <w:rPr>
                <w:sz w:val="20"/>
                <w:szCs w:val="20"/>
                <w:color w:val="auto"/>
              </w:rPr>
            </w:pPr>
            <w:r>
              <w:rPr>
                <w:rFonts w:ascii="Arial" w:cs="Arial" w:eastAsia="Arial" w:hAnsi="Arial"/>
                <w:sz w:val="18"/>
                <w:szCs w:val="18"/>
                <w:color w:val="auto"/>
                <w:w w:val="97"/>
              </w:rPr>
              <w:t>2.00%</w:t>
            </w:r>
          </w:p>
        </w:tc>
        <w:tc>
          <w:tcPr>
            <w:tcW w:w="120" w:type="dxa"/>
            <w:vAlign w:val="bottom"/>
          </w:tcPr>
          <w:p>
            <w:pPr>
              <w:spacing w:after="0"/>
              <w:rPr>
                <w:sz w:val="22"/>
                <w:szCs w:val="22"/>
                <w:color w:val="auto"/>
              </w:rPr>
            </w:pPr>
          </w:p>
        </w:tc>
        <w:tc>
          <w:tcPr>
            <w:tcW w:w="1160" w:type="dxa"/>
            <w:vAlign w:val="bottom"/>
          </w:tcPr>
          <w:p>
            <w:pPr>
              <w:jc w:val="center"/>
              <w:spacing w:after="0"/>
              <w:rPr>
                <w:sz w:val="20"/>
                <w:szCs w:val="20"/>
                <w:color w:val="auto"/>
              </w:rPr>
            </w:pPr>
            <w:r>
              <w:rPr>
                <w:rFonts w:ascii="Arial" w:cs="Arial" w:eastAsia="Arial" w:hAnsi="Arial"/>
                <w:sz w:val="18"/>
                <w:szCs w:val="18"/>
                <w:color w:val="auto"/>
              </w:rPr>
              <w:t>2.00%</w:t>
            </w:r>
          </w:p>
        </w:tc>
        <w:tc>
          <w:tcPr>
            <w:tcW w:w="120" w:type="dxa"/>
            <w:vAlign w:val="bottom"/>
          </w:tcPr>
          <w:p>
            <w:pPr>
              <w:spacing w:after="0"/>
              <w:rPr>
                <w:sz w:val="22"/>
                <w:szCs w:val="22"/>
                <w:color w:val="auto"/>
              </w:rPr>
            </w:pPr>
          </w:p>
        </w:tc>
        <w:tc>
          <w:tcPr>
            <w:tcW w:w="1140" w:type="dxa"/>
            <w:vAlign w:val="bottom"/>
          </w:tcPr>
          <w:p>
            <w:pPr>
              <w:jc w:val="center"/>
              <w:spacing w:after="0"/>
              <w:rPr>
                <w:sz w:val="20"/>
                <w:szCs w:val="20"/>
                <w:color w:val="auto"/>
              </w:rPr>
            </w:pPr>
            <w:r>
              <w:rPr>
                <w:rFonts w:ascii="Arial" w:cs="Arial" w:eastAsia="Arial" w:hAnsi="Arial"/>
                <w:sz w:val="18"/>
                <w:szCs w:val="18"/>
                <w:color w:val="auto"/>
                <w:w w:val="97"/>
              </w:rPr>
              <w:t>2.00%</w:t>
            </w:r>
          </w:p>
        </w:tc>
        <w:tc>
          <w:tcPr>
            <w:tcW w:w="100" w:type="dxa"/>
            <w:vAlign w:val="bottom"/>
          </w:tcPr>
          <w:p>
            <w:pPr>
              <w:spacing w:after="0"/>
              <w:rPr>
                <w:sz w:val="22"/>
                <w:szCs w:val="22"/>
                <w:color w:val="auto"/>
              </w:rPr>
            </w:pPr>
          </w:p>
        </w:tc>
        <w:tc>
          <w:tcPr>
            <w:tcW w:w="1140" w:type="dxa"/>
            <w:vAlign w:val="bottom"/>
          </w:tcPr>
          <w:p>
            <w:pPr>
              <w:jc w:val="center"/>
              <w:spacing w:after="0"/>
              <w:rPr>
                <w:sz w:val="20"/>
                <w:szCs w:val="20"/>
                <w:color w:val="auto"/>
              </w:rPr>
            </w:pPr>
            <w:r>
              <w:rPr>
                <w:rFonts w:ascii="Arial" w:cs="Arial" w:eastAsia="Arial" w:hAnsi="Arial"/>
                <w:sz w:val="18"/>
                <w:szCs w:val="18"/>
                <w:color w:val="auto"/>
                <w:w w:val="97"/>
              </w:rPr>
              <w:t>2.00%</w:t>
            </w:r>
          </w:p>
        </w:tc>
        <w:tc>
          <w:tcPr>
            <w:tcW w:w="100" w:type="dxa"/>
            <w:vAlign w:val="bottom"/>
          </w:tcPr>
          <w:p>
            <w:pPr>
              <w:spacing w:after="0"/>
              <w:rPr>
                <w:sz w:val="22"/>
                <w:szCs w:val="22"/>
                <w:color w:val="auto"/>
              </w:rPr>
            </w:pPr>
          </w:p>
        </w:tc>
        <w:tc>
          <w:tcPr>
            <w:tcW w:w="1140" w:type="dxa"/>
            <w:vAlign w:val="bottom"/>
          </w:tcPr>
          <w:p>
            <w:pPr>
              <w:jc w:val="center"/>
              <w:spacing w:after="0"/>
              <w:rPr>
                <w:sz w:val="20"/>
                <w:szCs w:val="20"/>
                <w:color w:val="auto"/>
              </w:rPr>
            </w:pPr>
            <w:r>
              <w:rPr>
                <w:rFonts w:ascii="Arial" w:cs="Arial" w:eastAsia="Arial" w:hAnsi="Arial"/>
                <w:sz w:val="18"/>
                <w:szCs w:val="18"/>
                <w:color w:val="auto"/>
                <w:w w:val="97"/>
              </w:rPr>
              <w:t>2.00%</w:t>
            </w:r>
          </w:p>
        </w:tc>
        <w:tc>
          <w:tcPr>
            <w:tcW w:w="100" w:type="dxa"/>
            <w:vAlign w:val="bottom"/>
          </w:tcPr>
          <w:p>
            <w:pPr>
              <w:spacing w:after="0"/>
              <w:rPr>
                <w:sz w:val="22"/>
                <w:szCs w:val="22"/>
                <w:color w:val="auto"/>
              </w:rPr>
            </w:pPr>
          </w:p>
        </w:tc>
        <w:tc>
          <w:tcPr>
            <w:tcW w:w="1140" w:type="dxa"/>
            <w:vAlign w:val="bottom"/>
          </w:tcPr>
          <w:p>
            <w:pPr>
              <w:jc w:val="center"/>
              <w:spacing w:after="0"/>
              <w:rPr>
                <w:sz w:val="20"/>
                <w:szCs w:val="20"/>
                <w:color w:val="auto"/>
              </w:rPr>
            </w:pPr>
            <w:r>
              <w:rPr>
                <w:rFonts w:ascii="Arial" w:cs="Arial" w:eastAsia="Arial" w:hAnsi="Arial"/>
                <w:sz w:val="18"/>
                <w:szCs w:val="18"/>
                <w:color w:val="auto"/>
                <w:w w:val="97"/>
              </w:rPr>
              <w:t>2.00%</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-1670685</wp:posOffset>
            </wp:positionH>
            <wp:positionV relativeFrom="paragraph">
              <wp:posOffset>-1156970</wp:posOffset>
            </wp:positionV>
            <wp:extent cx="7246620" cy="420370"/>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246620" cy="420370"/>
                    </a:xfrm>
                    <a:prstGeom prst="rect">
                      <a:avLst/>
                    </a:prstGeom>
                    <a:noFill/>
                  </pic:spPr>
                </pic:pic>
              </a:graphicData>
            </a:graphic>
          </wp:anchor>
        </w:drawing>
        <w:drawing>
          <wp:anchor simplePos="0" relativeHeight="251657728" behindDoc="1" locked="0" layoutInCell="0" allowOverlap="1">
            <wp:simplePos x="0" y="0"/>
            <wp:positionH relativeFrom="column">
              <wp:posOffset>-1670685</wp:posOffset>
            </wp:positionH>
            <wp:positionV relativeFrom="paragraph">
              <wp:posOffset>-445135</wp:posOffset>
            </wp:positionV>
            <wp:extent cx="7246620" cy="29146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246620" cy="291465"/>
                    </a:xfrm>
                    <a:prstGeom prst="rect">
                      <a:avLst/>
                    </a:prstGeom>
                    <a:noFill/>
                  </pic:spPr>
                </pic:pic>
              </a:graphicData>
            </a:graphic>
          </wp:anchor>
        </w:drawing>
      </w:r>
    </w:p>
    <w:p>
      <w:pPr>
        <w:spacing w:after="0" w:line="200" w:lineRule="exact"/>
        <w:rPr>
          <w:sz w:val="20"/>
          <w:szCs w:val="20"/>
          <w:color w:val="auto"/>
        </w:rPr>
      </w:pPr>
    </w:p>
    <w:p>
      <w:pPr>
        <w:sectPr>
          <w:pgSz w:w="11900" w:h="16838" w:orient="portrait"/>
          <w:cols w:equalWidth="0" w:num="2">
            <w:col w:w="2260" w:space="380"/>
            <w:col w:w="8780"/>
          </w:cols>
          <w:pgMar w:left="240" w:top="549" w:right="239" w:bottom="1440" w:gutter="0" w:footer="0" w:header="0"/>
          <w:type w:val="continuous"/>
        </w:sectPr>
      </w:pPr>
    </w:p>
    <w:p>
      <w:pPr>
        <w:spacing w:after="0" w:line="204" w:lineRule="exact"/>
        <w:rPr>
          <w:sz w:val="20"/>
          <w:szCs w:val="20"/>
          <w:color w:val="auto"/>
        </w:rPr>
      </w:pPr>
    </w:p>
    <w:p>
      <w:pPr>
        <w:jc w:val="both"/>
        <w:ind w:firstLine="216"/>
        <w:spacing w:after="0" w:line="256" w:lineRule="auto"/>
        <w:rPr>
          <w:sz w:val="20"/>
          <w:szCs w:val="20"/>
          <w:color w:val="auto"/>
        </w:rPr>
      </w:pPr>
      <w:r>
        <w:rPr>
          <w:rFonts w:ascii="Arial" w:cs="Arial" w:eastAsia="Arial" w:hAnsi="Arial"/>
          <w:sz w:val="18"/>
          <w:szCs w:val="18"/>
          <w:color w:val="auto"/>
        </w:rPr>
        <w:t>The term loans under each of the Credit Facilities are repayable in annual installments in an amount equal to 1.00% of the aggregate principal amount issued, with any unpaid balance due on the respective maturity dates. Voluntary prepayments may be made by American at any time.</w:t>
      </w:r>
    </w:p>
    <w:p>
      <w:pPr>
        <w:spacing w:after="0" w:line="20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88</w:t>
      </w:r>
    </w:p>
    <w:p>
      <w:pPr>
        <w:sectPr>
          <w:pgSz w:w="11900" w:h="16838" w:orient="portrait"/>
          <w:cols w:equalWidth="0" w:num="1">
            <w:col w:w="11420"/>
          </w:cols>
          <w:pgMar w:left="240" w:top="549" w:right="239" w:bottom="1440" w:gutter="0" w:footer="0" w:header="0"/>
          <w:type w:val="continuous"/>
        </w:sectPr>
      </w:pPr>
    </w:p>
    <w:bookmarkStart w:id="88" w:name="page89"/>
    <w:bookmarkEnd w:id="88"/>
    <w:p>
      <w:pPr>
        <w:jc w:val="center"/>
        <w:spacing w:after="0"/>
        <w:rPr>
          <w:sz w:val="20"/>
          <w:szCs w:val="20"/>
          <w:color w:val="auto"/>
        </w:rPr>
      </w:pPr>
      <w:r>
        <w:rPr>
          <w:rFonts w:ascii="Arial" w:cs="Arial" w:eastAsia="Arial" w:hAnsi="Arial"/>
          <w:sz w:val="18"/>
          <w:szCs w:val="18"/>
          <w:b w:val="1"/>
          <w:bCs w:val="1"/>
          <w:color w:val="auto"/>
        </w:rPr>
        <w:t>NOTES TO CONSOLIDATED FINANCIAL STATEMENTS OF AMERICAN AIRLINES GROUP INC.</w:t>
      </w:r>
    </w:p>
    <w:p>
      <w:pPr>
        <w:spacing w:after="0" w:line="200" w:lineRule="exact"/>
        <w:rPr>
          <w:sz w:val="20"/>
          <w:szCs w:val="20"/>
          <w:color w:val="auto"/>
        </w:rPr>
      </w:pPr>
    </w:p>
    <w:p>
      <w:pPr>
        <w:spacing w:after="0" w:line="209" w:lineRule="exact"/>
        <w:rPr>
          <w:sz w:val="20"/>
          <w:szCs w:val="20"/>
          <w:color w:val="auto"/>
        </w:rPr>
      </w:pPr>
    </w:p>
    <w:p>
      <w:pPr>
        <w:jc w:val="both"/>
        <w:ind w:firstLine="216"/>
        <w:spacing w:after="0" w:line="252" w:lineRule="auto"/>
        <w:rPr>
          <w:sz w:val="20"/>
          <w:szCs w:val="20"/>
          <w:color w:val="auto"/>
        </w:rPr>
      </w:pPr>
      <w:r>
        <w:rPr>
          <w:rFonts w:ascii="Arial" w:cs="Arial" w:eastAsia="Arial" w:hAnsi="Arial"/>
          <w:sz w:val="18"/>
          <w:szCs w:val="18"/>
          <w:color w:val="auto"/>
        </w:rPr>
        <w:t>The 2013 Revolving Facility, 2014 Revolving Facility and April 2016 Revolving Facility provide that American may from time to time borrow, repay and reborrow loans thereunder. The 2013 Revolving Facility and 2014 Revolving Facility have the ability to issue letters of credit thereunder in an aggregate amount outstanding at any time up to $100 million and $200 million, respectively. The 2013 Revolving Facility, 2014 Revolving Facility and April 2016 Revolving Facility are each subject to an undrawn annual fee of 0.63%. As of December 31, 2019, there were no borrowings or letters of credit outstanding under the 2013 Revolving Facility, 2014 Revolving Facility or April 2016 Revolving Facility. The December 2016 Credit Facilities provide for a revolving credit facility that may be established thereunder in the future.</w:t>
      </w:r>
    </w:p>
    <w:p>
      <w:pPr>
        <w:spacing w:after="0" w:line="155" w:lineRule="exact"/>
        <w:rPr>
          <w:sz w:val="20"/>
          <w:szCs w:val="20"/>
          <w:color w:val="auto"/>
        </w:rPr>
      </w:pPr>
    </w:p>
    <w:p>
      <w:pPr>
        <w:jc w:val="both"/>
        <w:ind w:firstLine="216"/>
        <w:spacing w:after="0" w:line="254" w:lineRule="auto"/>
        <w:rPr>
          <w:sz w:val="20"/>
          <w:szCs w:val="20"/>
          <w:color w:val="auto"/>
        </w:rPr>
      </w:pPr>
      <w:r>
        <w:rPr>
          <w:rFonts w:ascii="Arial" w:cs="Arial" w:eastAsia="Arial" w:hAnsi="Arial"/>
          <w:sz w:val="18"/>
          <w:szCs w:val="18"/>
          <w:color w:val="auto"/>
        </w:rPr>
        <w:t xml:space="preserve">Subject to certain limitations and exceptions, the Credit Facilities are secured by collateral, including certain spare parts, slots, route authorities, simulators and leasehold rights. American has the ability to make future modifications to the collateral pledged, subject to certain restrictions. American’s obligations under the Credit Facilities are guaranteed by AAG. American is required to maintain a certain minimum ratio of appraised value of the collateral to the outstanding loans as further described below in </w:t>
      </w:r>
      <w:r>
        <w:rPr>
          <w:rFonts w:ascii="Arial" w:cs="Arial" w:eastAsia="Arial" w:hAnsi="Arial"/>
          <w:sz w:val="18"/>
          <w:szCs w:val="18"/>
          <w:i w:val="1"/>
          <w:iCs w:val="1"/>
          <w:color w:val="auto"/>
        </w:rPr>
        <w:t>“Collateral-Related Covenants.”</w:t>
      </w:r>
    </w:p>
    <w:p>
      <w:pPr>
        <w:spacing w:after="0" w:line="150" w:lineRule="exact"/>
        <w:rPr>
          <w:sz w:val="20"/>
          <w:szCs w:val="20"/>
          <w:color w:val="auto"/>
        </w:rPr>
      </w:pPr>
    </w:p>
    <w:p>
      <w:pPr>
        <w:jc w:val="both"/>
        <w:ind w:firstLine="216"/>
        <w:spacing w:after="0" w:line="251" w:lineRule="auto"/>
        <w:rPr>
          <w:sz w:val="20"/>
          <w:szCs w:val="20"/>
          <w:color w:val="auto"/>
        </w:rPr>
      </w:pPr>
      <w:r>
        <w:rPr>
          <w:rFonts w:ascii="Arial" w:cs="Arial" w:eastAsia="Arial" w:hAnsi="Arial"/>
          <w:sz w:val="18"/>
          <w:szCs w:val="18"/>
          <w:color w:val="auto"/>
        </w:rPr>
        <w:t>The Credit Facilities contain events of default customary for similar financings, including cross default to other material indebtedness. Upon the occurrence of an event of default, the outstanding obligations may be accelerated and become due and payable immediately. In addition, if a “change of control” occurs, American will (absent an amendment or waiver) be required to repay at par the loans outstanding under the Credit Facilities and terminate the 2013 Revolving Facility, 2014 Revolving Facility and April 2016 Revolving Facility and any revolving credit facility established under the December 2016 Credit Facilities. The Credit Facilities also include covenants that, among other things, require AAG to maintain a minimum aggregate liquidity (as defined in the Credit Facilities) of not less than $2.0 billion and limit the ability of AAG and its restricted subsidiaries to pay dividends and make certain other payments, make certain investments, incur additional indebtedness, incur liens on the collateral, dispose of the collateral, enter into certain affiliate transactions and engage in certain business activities, in each case subject to certain exceptions.</w:t>
      </w:r>
    </w:p>
    <w:p>
      <w:pPr>
        <w:spacing w:after="0" w:line="159" w:lineRule="exact"/>
        <w:rPr>
          <w:sz w:val="20"/>
          <w:szCs w:val="20"/>
          <w:color w:val="auto"/>
        </w:rPr>
      </w:pPr>
    </w:p>
    <w:p>
      <w:pPr>
        <w:jc w:val="both"/>
        <w:ind w:firstLine="216"/>
        <w:spacing w:after="0" w:line="256" w:lineRule="auto"/>
        <w:rPr>
          <w:sz w:val="20"/>
          <w:szCs w:val="20"/>
          <w:color w:val="auto"/>
        </w:rPr>
      </w:pPr>
      <w:r>
        <w:rPr>
          <w:rFonts w:ascii="Arial" w:cs="Arial" w:eastAsia="Arial" w:hAnsi="Arial"/>
          <w:sz w:val="18"/>
          <w:szCs w:val="18"/>
          <w:color w:val="auto"/>
        </w:rPr>
        <w:t>In December 2019, due to uncertainty surrounding the timing of the Boeing 737 MAX aircraft return to service, American entered into an additional short-term revolving line of credit to provide us with incremental borrowing capacity of up to $400 million. We have no present intention to borrow any amounts under this facility, which matures in September 2020 with an optional extension to December 2020.</w:t>
      </w:r>
    </w:p>
    <w:p>
      <w:pPr>
        <w:spacing w:after="0" w:line="207" w:lineRule="exact"/>
        <w:rPr>
          <w:sz w:val="20"/>
          <w:szCs w:val="20"/>
          <w:color w:val="auto"/>
        </w:rPr>
      </w:pPr>
    </w:p>
    <w:p>
      <w:pPr>
        <w:ind w:left="220"/>
        <w:spacing w:after="0"/>
        <w:rPr>
          <w:sz w:val="20"/>
          <w:szCs w:val="20"/>
          <w:color w:val="auto"/>
        </w:rPr>
      </w:pPr>
      <w:r>
        <w:rPr>
          <w:rFonts w:ascii="Arial" w:cs="Arial" w:eastAsia="Arial" w:hAnsi="Arial"/>
          <w:sz w:val="18"/>
          <w:szCs w:val="18"/>
          <w:b w:val="1"/>
          <w:bCs w:val="1"/>
          <w:i w:val="1"/>
          <w:iCs w:val="1"/>
          <w:color w:val="auto"/>
        </w:rPr>
        <w:t>(b) EETCs</w:t>
      </w:r>
    </w:p>
    <w:p>
      <w:pPr>
        <w:spacing w:after="0" w:line="94" w:lineRule="exact"/>
        <w:rPr>
          <w:sz w:val="20"/>
          <w:szCs w:val="20"/>
          <w:color w:val="auto"/>
        </w:rPr>
      </w:pPr>
    </w:p>
    <w:p>
      <w:pPr>
        <w:ind w:left="220"/>
        <w:spacing w:after="0"/>
        <w:rPr>
          <w:sz w:val="20"/>
          <w:szCs w:val="20"/>
          <w:color w:val="auto"/>
        </w:rPr>
      </w:pPr>
      <w:r>
        <w:rPr>
          <w:rFonts w:ascii="Arial" w:cs="Arial" w:eastAsia="Arial" w:hAnsi="Arial"/>
          <w:sz w:val="18"/>
          <w:szCs w:val="18"/>
          <w:i w:val="1"/>
          <w:iCs w:val="1"/>
          <w:u w:val="single" w:color="auto"/>
          <w:color w:val="auto"/>
        </w:rPr>
        <w:t>2019-1 Aircraft EETCs</w:t>
      </w:r>
    </w:p>
    <w:p>
      <w:pPr>
        <w:spacing w:after="0" w:line="108" w:lineRule="exact"/>
        <w:rPr>
          <w:sz w:val="20"/>
          <w:szCs w:val="20"/>
          <w:color w:val="auto"/>
        </w:rPr>
      </w:pPr>
    </w:p>
    <w:p>
      <w:pPr>
        <w:jc w:val="both"/>
        <w:ind w:firstLine="243"/>
        <w:spacing w:after="0" w:line="251" w:lineRule="auto"/>
        <w:rPr>
          <w:sz w:val="20"/>
          <w:szCs w:val="20"/>
          <w:color w:val="auto"/>
        </w:rPr>
      </w:pPr>
      <w:r>
        <w:rPr>
          <w:rFonts w:ascii="Arial" w:cs="Arial" w:eastAsia="Arial" w:hAnsi="Arial"/>
          <w:sz w:val="18"/>
          <w:szCs w:val="18"/>
          <w:color w:val="auto"/>
        </w:rPr>
        <w:t>In August 2019, American created three pass-through trusts which issued approximately $1.1 billion aggregate face amount of Series 2019-1 Class AA, Class A and Class B EETCs (the 2019-1 Aircraft EETCs) in connection with the financing of 35 aircraft previously delivered or to be delivered to American through September 2020 (the 2019-1 Aircraft). As of December 31, 2019, approximately $804 million of the proceeds had been used to purchase equipment notes issued by American in connection with financing 28 aircraft under the 2019-1 Aircraft EETCs, of which $ 608 million was used to repay existing indebtedness. Interest and principal payments on equipment notes issued in connection with the 2019-1 Aircraft EETCs are payable semi-annually in February and August of each year, with interest payments scheduled to begin in February 2020 and with principal payments scheduled to begin (i) in the case of equipment notes with respect to any 2019-1 Aircraft owned by American at the time of issuance of the 2019-1 Aircraft EETCs, in February 2020 and (ii) in the case of equipment notes with respect to the Embraer E175 aircraft and the Airbus A321neo aircraft scheduled to be delivered after the issuance of the 2019-1 Aircraft EETCs, in August 2020 and August 2021, respectively. The remaining proceeds of approximately $293 million as of December 31, 2019 were being held in escrow with a depositary for the benefit of the holders of the 2019-1 Aircraft EETCs until such time as American issues additional equipment notes with respect to the remaining 2019-1 Aircraft to the pass-through trusts, which will purchase such additional equipment notes with the escrowed funds. These escrowed funds are not guaranteed by American and are not reported as debt on its condensed consolidated balance sheet because the proceeds held by the depositary for the benefit of the holders of the 2019-1 Aircraft EETCs are not American’s assets.</w:t>
      </w:r>
    </w:p>
    <w:p>
      <w:pPr>
        <w:spacing w:after="0" w:line="21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89</w:t>
      </w:r>
    </w:p>
    <w:p>
      <w:pPr>
        <w:sectPr>
          <w:pgSz w:w="11900" w:h="16838" w:orient="portrait"/>
          <w:cols w:equalWidth="0" w:num="1">
            <w:col w:w="11420"/>
          </w:cols>
          <w:pgMar w:left="240" w:top="549" w:right="239" w:bottom="1440" w:gutter="0" w:footer="0" w:header="0"/>
        </w:sectPr>
      </w:pPr>
    </w:p>
    <w:bookmarkStart w:id="89" w:name="page90"/>
    <w:bookmarkEnd w:id="89"/>
    <w:p>
      <w:pPr>
        <w:jc w:val="center"/>
        <w:spacing w:after="0"/>
        <w:rPr>
          <w:sz w:val="20"/>
          <w:szCs w:val="20"/>
          <w:color w:val="auto"/>
        </w:rPr>
      </w:pPr>
      <w:r>
        <w:rPr>
          <w:rFonts w:ascii="Arial" w:cs="Arial" w:eastAsia="Arial" w:hAnsi="Arial"/>
          <w:sz w:val="18"/>
          <w:szCs w:val="18"/>
          <w:b w:val="1"/>
          <w:bCs w:val="1"/>
          <w:color w:val="auto"/>
        </w:rPr>
        <w:t>NOTES TO CONSOLIDATED FINANCIAL STATEMENTS OF AMERICAN AIRLINES GROUP INC.</w:t>
      </w:r>
    </w:p>
    <w:p>
      <w:pPr>
        <w:spacing w:after="0" w:line="200" w:lineRule="exact"/>
        <w:rPr>
          <w:sz w:val="20"/>
          <w:szCs w:val="20"/>
          <w:color w:val="auto"/>
        </w:rPr>
      </w:pPr>
    </w:p>
    <w:p>
      <w:pPr>
        <w:spacing w:after="0" w:line="209" w:lineRule="exact"/>
        <w:rPr>
          <w:sz w:val="20"/>
          <w:szCs w:val="20"/>
          <w:color w:val="auto"/>
        </w:rPr>
      </w:pPr>
    </w:p>
    <w:p>
      <w:pPr>
        <w:jc w:val="both"/>
        <w:ind w:firstLine="216"/>
        <w:spacing w:after="0" w:line="262" w:lineRule="auto"/>
        <w:rPr>
          <w:sz w:val="20"/>
          <w:szCs w:val="20"/>
          <w:color w:val="auto"/>
        </w:rPr>
      </w:pPr>
      <w:r>
        <w:rPr>
          <w:rFonts w:ascii="Arial" w:cs="Arial" w:eastAsia="Arial" w:hAnsi="Arial"/>
          <w:sz w:val="18"/>
          <w:szCs w:val="18"/>
          <w:color w:val="auto"/>
        </w:rPr>
        <w:t>Certain information regarding the 2019-1 Aircraft EETC equipment notes and remaining escrowed proceeds, as of December 31, 2019, is set forth in the table below.</w:t>
      </w:r>
    </w:p>
    <w:p>
      <w:pPr>
        <w:spacing w:after="0" w:line="292" w:lineRule="exact"/>
        <w:rPr>
          <w:sz w:val="20"/>
          <w:szCs w:val="20"/>
          <w:color w:val="auto"/>
        </w:rPr>
      </w:pPr>
    </w:p>
    <w:tbl>
      <w:tblPr>
        <w:tblLayout w:type="fixed"/>
        <w:tblInd w:w="0" w:type="dxa"/>
        <w:tblCellMar>
          <w:top w:w="0" w:type="dxa"/>
          <w:left w:w="0" w:type="dxa"/>
          <w:bottom w:w="0" w:type="dxa"/>
          <w:right w:w="0" w:type="dxa"/>
        </w:tblCellMar>
      </w:tblPr>
      <w:tr>
        <w:trPr>
          <w:trHeight w:val="196"/>
        </w:trPr>
        <w:tc>
          <w:tcPr>
            <w:tcW w:w="6400" w:type="dxa"/>
            <w:vAlign w:val="bottom"/>
          </w:tcPr>
          <w:p>
            <w:pPr>
              <w:spacing w:after="0"/>
              <w:rPr>
                <w:sz w:val="17"/>
                <w:szCs w:val="17"/>
                <w:color w:val="auto"/>
              </w:rPr>
            </w:pPr>
          </w:p>
        </w:tc>
        <w:tc>
          <w:tcPr>
            <w:tcW w:w="1620" w:type="dxa"/>
            <w:vAlign w:val="bottom"/>
            <w:tcBorders>
              <w:bottom w:val="single" w:sz="8" w:color="auto"/>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1700" w:type="dxa"/>
            <w:vAlign w:val="bottom"/>
            <w:tcBorders>
              <w:bottom w:val="single" w:sz="8" w:color="auto"/>
            </w:tcBorders>
            <w:gridSpan w:val="2"/>
          </w:tcPr>
          <w:p>
            <w:pPr>
              <w:jc w:val="center"/>
              <w:ind w:right="120"/>
              <w:spacing w:after="0"/>
              <w:rPr>
                <w:sz w:val="20"/>
                <w:szCs w:val="20"/>
                <w:color w:val="auto"/>
              </w:rPr>
            </w:pPr>
            <w:r>
              <w:rPr>
                <w:rFonts w:ascii="Arial" w:cs="Arial" w:eastAsia="Arial" w:hAnsi="Arial"/>
                <w:sz w:val="14"/>
                <w:szCs w:val="14"/>
                <w:b w:val="1"/>
                <w:bCs w:val="1"/>
                <w:color w:val="auto"/>
              </w:rPr>
              <w:t>2019-1 Aircraft EETCs</w:t>
            </w:r>
          </w:p>
        </w:tc>
        <w:tc>
          <w:tcPr>
            <w:tcW w:w="1600" w:type="dxa"/>
            <w:vAlign w:val="bottom"/>
            <w:tcBorders>
              <w:bottom w:val="single" w:sz="8" w:color="auto"/>
            </w:tcBorders>
          </w:tcPr>
          <w:p>
            <w:pPr>
              <w:spacing w:after="0"/>
              <w:rPr>
                <w:sz w:val="17"/>
                <w:szCs w:val="17"/>
                <w:color w:val="auto"/>
              </w:rPr>
            </w:pPr>
          </w:p>
        </w:tc>
      </w:tr>
      <w:tr>
        <w:trPr>
          <w:trHeight w:val="264"/>
        </w:trPr>
        <w:tc>
          <w:tcPr>
            <w:tcW w:w="6400" w:type="dxa"/>
            <w:vAlign w:val="bottom"/>
            <w:tcBorders>
              <w:bottom w:val="single" w:sz="8" w:color="CCEEFF"/>
            </w:tcBorders>
          </w:tcPr>
          <w:p>
            <w:pPr>
              <w:spacing w:after="0"/>
              <w:rPr>
                <w:sz w:val="22"/>
                <w:szCs w:val="22"/>
                <w:color w:val="auto"/>
              </w:rPr>
            </w:pPr>
          </w:p>
        </w:tc>
        <w:tc>
          <w:tcPr>
            <w:tcW w:w="162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rPr>
              <w:t>Series AA</w:t>
            </w:r>
          </w:p>
        </w:tc>
        <w:tc>
          <w:tcPr>
            <w:tcW w:w="100" w:type="dxa"/>
            <w:vAlign w:val="bottom"/>
            <w:tcBorders>
              <w:bottom w:val="single" w:sz="8" w:color="CCEEFF"/>
            </w:tcBorders>
          </w:tcPr>
          <w:p>
            <w:pPr>
              <w:spacing w:after="0"/>
              <w:rPr>
                <w:sz w:val="22"/>
                <w:szCs w:val="22"/>
                <w:color w:val="auto"/>
              </w:rPr>
            </w:pPr>
          </w:p>
        </w:tc>
        <w:tc>
          <w:tcPr>
            <w:tcW w:w="160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9"/>
              </w:rPr>
              <w:t>Series A</w:t>
            </w:r>
          </w:p>
        </w:tc>
        <w:tc>
          <w:tcPr>
            <w:tcW w:w="100" w:type="dxa"/>
            <w:vAlign w:val="bottom"/>
            <w:tcBorders>
              <w:bottom w:val="single" w:sz="8" w:color="CCEEFF"/>
            </w:tcBorders>
          </w:tcPr>
          <w:p>
            <w:pPr>
              <w:spacing w:after="0"/>
              <w:rPr>
                <w:sz w:val="22"/>
                <w:szCs w:val="22"/>
                <w:color w:val="auto"/>
              </w:rPr>
            </w:pPr>
          </w:p>
        </w:tc>
        <w:tc>
          <w:tcPr>
            <w:tcW w:w="160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rPr>
              <w:t>Series B</w:t>
            </w:r>
          </w:p>
        </w:tc>
      </w:tr>
      <w:tr>
        <w:trPr>
          <w:trHeight w:val="256"/>
        </w:trPr>
        <w:tc>
          <w:tcPr>
            <w:tcW w:w="6400" w:type="dxa"/>
            <w:vAlign w:val="bottom"/>
            <w:shd w:val="clear" w:color="auto" w:fill="CCEEFF"/>
          </w:tcPr>
          <w:p>
            <w:pPr>
              <w:ind w:left="40"/>
              <w:spacing w:after="0"/>
              <w:rPr>
                <w:sz w:val="20"/>
                <w:szCs w:val="20"/>
                <w:color w:val="auto"/>
              </w:rPr>
            </w:pPr>
            <w:r>
              <w:rPr>
                <w:rFonts w:ascii="Arial" w:cs="Arial" w:eastAsia="Arial" w:hAnsi="Arial"/>
                <w:sz w:val="18"/>
                <w:szCs w:val="18"/>
                <w:color w:val="auto"/>
              </w:rPr>
              <w:t>Aggregate principal issued</w:t>
            </w:r>
          </w:p>
        </w:tc>
        <w:tc>
          <w:tcPr>
            <w:tcW w:w="1720" w:type="dxa"/>
            <w:vAlign w:val="bottom"/>
            <w:gridSpan w:val="2"/>
            <w:shd w:val="clear" w:color="auto" w:fill="CCEEFF"/>
          </w:tcPr>
          <w:p>
            <w:pPr>
              <w:jc w:val="center"/>
              <w:ind w:right="80"/>
              <w:spacing w:after="0"/>
              <w:rPr>
                <w:sz w:val="20"/>
                <w:szCs w:val="20"/>
                <w:color w:val="auto"/>
              </w:rPr>
            </w:pPr>
            <w:r>
              <w:rPr>
                <w:rFonts w:ascii="Arial" w:cs="Arial" w:eastAsia="Arial" w:hAnsi="Arial"/>
                <w:sz w:val="18"/>
                <w:szCs w:val="18"/>
                <w:color w:val="auto"/>
                <w:w w:val="99"/>
              </w:rPr>
              <w:t>$579 million</w:t>
            </w:r>
          </w:p>
        </w:tc>
        <w:tc>
          <w:tcPr>
            <w:tcW w:w="1700" w:type="dxa"/>
            <w:vAlign w:val="bottom"/>
            <w:gridSpan w:val="2"/>
            <w:shd w:val="clear" w:color="auto" w:fill="CCEEFF"/>
          </w:tcPr>
          <w:p>
            <w:pPr>
              <w:jc w:val="center"/>
              <w:ind w:right="100"/>
              <w:spacing w:after="0"/>
              <w:rPr>
                <w:sz w:val="20"/>
                <w:szCs w:val="20"/>
                <w:color w:val="auto"/>
              </w:rPr>
            </w:pPr>
            <w:r>
              <w:rPr>
                <w:rFonts w:ascii="Arial" w:cs="Arial" w:eastAsia="Arial" w:hAnsi="Arial"/>
                <w:sz w:val="18"/>
                <w:szCs w:val="18"/>
                <w:color w:val="auto"/>
                <w:w w:val="99"/>
              </w:rPr>
              <w:t>$289 million</w:t>
            </w:r>
          </w:p>
        </w:tc>
        <w:tc>
          <w:tcPr>
            <w:tcW w:w="160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9"/>
              </w:rPr>
              <w:t>$229 million</w:t>
            </w:r>
          </w:p>
        </w:tc>
      </w:tr>
      <w:tr>
        <w:trPr>
          <w:trHeight w:val="243"/>
        </w:trPr>
        <w:tc>
          <w:tcPr>
            <w:tcW w:w="6400" w:type="dxa"/>
            <w:vAlign w:val="bottom"/>
          </w:tcPr>
          <w:p>
            <w:pPr>
              <w:ind w:left="40"/>
              <w:spacing w:after="0"/>
              <w:rPr>
                <w:sz w:val="20"/>
                <w:szCs w:val="20"/>
                <w:color w:val="auto"/>
              </w:rPr>
            </w:pPr>
            <w:r>
              <w:rPr>
                <w:rFonts w:ascii="Arial" w:cs="Arial" w:eastAsia="Arial" w:hAnsi="Arial"/>
                <w:sz w:val="18"/>
                <w:szCs w:val="18"/>
                <w:color w:val="auto"/>
              </w:rPr>
              <w:t>Remaining escrowed proceeds</w:t>
            </w:r>
          </w:p>
        </w:tc>
        <w:tc>
          <w:tcPr>
            <w:tcW w:w="1720" w:type="dxa"/>
            <w:vAlign w:val="bottom"/>
            <w:gridSpan w:val="2"/>
          </w:tcPr>
          <w:p>
            <w:pPr>
              <w:jc w:val="center"/>
              <w:ind w:right="80"/>
              <w:spacing w:after="0"/>
              <w:rPr>
                <w:sz w:val="20"/>
                <w:szCs w:val="20"/>
                <w:color w:val="auto"/>
              </w:rPr>
            </w:pPr>
            <w:r>
              <w:rPr>
                <w:rFonts w:ascii="Arial" w:cs="Arial" w:eastAsia="Arial" w:hAnsi="Arial"/>
                <w:sz w:val="18"/>
                <w:szCs w:val="18"/>
                <w:color w:val="auto"/>
                <w:w w:val="99"/>
              </w:rPr>
              <w:t>$155 million</w:t>
            </w:r>
          </w:p>
        </w:tc>
        <w:tc>
          <w:tcPr>
            <w:tcW w:w="1700" w:type="dxa"/>
            <w:vAlign w:val="bottom"/>
            <w:gridSpan w:val="2"/>
          </w:tcPr>
          <w:p>
            <w:pPr>
              <w:jc w:val="center"/>
              <w:ind w:right="80"/>
              <w:spacing w:after="0"/>
              <w:rPr>
                <w:sz w:val="20"/>
                <w:szCs w:val="20"/>
                <w:color w:val="auto"/>
              </w:rPr>
            </w:pPr>
            <w:r>
              <w:rPr>
                <w:rFonts w:ascii="Arial" w:cs="Arial" w:eastAsia="Arial" w:hAnsi="Arial"/>
                <w:sz w:val="18"/>
                <w:szCs w:val="18"/>
                <w:color w:val="auto"/>
                <w:w w:val="99"/>
              </w:rPr>
              <w:t>$77 million</w:t>
            </w:r>
          </w:p>
        </w:tc>
        <w:tc>
          <w:tcPr>
            <w:tcW w:w="1600" w:type="dxa"/>
            <w:vAlign w:val="bottom"/>
          </w:tcPr>
          <w:p>
            <w:pPr>
              <w:jc w:val="center"/>
              <w:spacing w:after="0"/>
              <w:rPr>
                <w:sz w:val="20"/>
                <w:szCs w:val="20"/>
                <w:color w:val="auto"/>
              </w:rPr>
            </w:pPr>
            <w:r>
              <w:rPr>
                <w:rFonts w:ascii="Arial" w:cs="Arial" w:eastAsia="Arial" w:hAnsi="Arial"/>
                <w:sz w:val="18"/>
                <w:szCs w:val="18"/>
                <w:color w:val="auto"/>
                <w:w w:val="99"/>
              </w:rPr>
              <w:t>$61 million</w:t>
            </w:r>
          </w:p>
        </w:tc>
      </w:tr>
      <w:tr>
        <w:trPr>
          <w:trHeight w:val="27"/>
        </w:trPr>
        <w:tc>
          <w:tcPr>
            <w:tcW w:w="6400" w:type="dxa"/>
            <w:vAlign w:val="bottom"/>
          </w:tcPr>
          <w:p>
            <w:pPr>
              <w:spacing w:after="0"/>
              <w:rPr>
                <w:sz w:val="2"/>
                <w:szCs w:val="2"/>
                <w:color w:val="auto"/>
              </w:rPr>
            </w:pPr>
          </w:p>
        </w:tc>
        <w:tc>
          <w:tcPr>
            <w:tcW w:w="16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0" w:type="dxa"/>
            <w:vAlign w:val="bottom"/>
          </w:tcPr>
          <w:p>
            <w:pPr>
              <w:spacing w:after="0"/>
              <w:rPr>
                <w:sz w:val="2"/>
                <w:szCs w:val="2"/>
                <w:color w:val="auto"/>
              </w:rPr>
            </w:pPr>
          </w:p>
        </w:tc>
      </w:tr>
      <w:tr>
        <w:trPr>
          <w:trHeight w:val="250"/>
        </w:trPr>
        <w:tc>
          <w:tcPr>
            <w:tcW w:w="64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Fixed interest rate per annum</w:t>
            </w:r>
          </w:p>
        </w:tc>
        <w:tc>
          <w:tcPr>
            <w:tcW w:w="162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97"/>
              </w:rPr>
              <w:t>3.15%</w:t>
            </w:r>
          </w:p>
        </w:tc>
        <w:tc>
          <w:tcPr>
            <w:tcW w:w="100" w:type="dxa"/>
            <w:vAlign w:val="bottom"/>
            <w:tcBorders>
              <w:bottom w:val="single" w:sz="8" w:color="CCEEFF"/>
            </w:tcBorders>
            <w:shd w:val="clear" w:color="auto" w:fill="CCEEFF"/>
          </w:tcPr>
          <w:p>
            <w:pPr>
              <w:spacing w:after="0"/>
              <w:rPr>
                <w:sz w:val="21"/>
                <w:szCs w:val="21"/>
                <w:color w:val="auto"/>
              </w:rPr>
            </w:pPr>
          </w:p>
        </w:tc>
        <w:tc>
          <w:tcPr>
            <w:tcW w:w="160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rPr>
              <w:t>3.50%</w:t>
            </w:r>
          </w:p>
        </w:tc>
        <w:tc>
          <w:tcPr>
            <w:tcW w:w="100" w:type="dxa"/>
            <w:vAlign w:val="bottom"/>
            <w:tcBorders>
              <w:bottom w:val="single" w:sz="8" w:color="CCEEFF"/>
            </w:tcBorders>
            <w:shd w:val="clear" w:color="auto" w:fill="CCEEFF"/>
          </w:tcPr>
          <w:p>
            <w:pPr>
              <w:spacing w:after="0"/>
              <w:rPr>
                <w:sz w:val="21"/>
                <w:szCs w:val="21"/>
                <w:color w:val="auto"/>
              </w:rPr>
            </w:pPr>
          </w:p>
        </w:tc>
        <w:tc>
          <w:tcPr>
            <w:tcW w:w="160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rPr>
              <w:t>3.85%</w:t>
            </w:r>
          </w:p>
        </w:tc>
      </w:tr>
      <w:tr>
        <w:trPr>
          <w:trHeight w:val="243"/>
        </w:trPr>
        <w:tc>
          <w:tcPr>
            <w:tcW w:w="6400" w:type="dxa"/>
            <w:vAlign w:val="bottom"/>
          </w:tcPr>
          <w:p>
            <w:pPr>
              <w:ind w:left="40"/>
              <w:spacing w:after="0"/>
              <w:rPr>
                <w:sz w:val="20"/>
                <w:szCs w:val="20"/>
                <w:color w:val="auto"/>
              </w:rPr>
            </w:pPr>
            <w:r>
              <w:rPr>
                <w:rFonts w:ascii="Arial" w:cs="Arial" w:eastAsia="Arial" w:hAnsi="Arial"/>
                <w:sz w:val="18"/>
                <w:szCs w:val="18"/>
                <w:color w:val="auto"/>
              </w:rPr>
              <w:t>Maturity date</w:t>
            </w:r>
          </w:p>
        </w:tc>
        <w:tc>
          <w:tcPr>
            <w:tcW w:w="1720" w:type="dxa"/>
            <w:vAlign w:val="bottom"/>
            <w:gridSpan w:val="2"/>
          </w:tcPr>
          <w:p>
            <w:pPr>
              <w:jc w:val="center"/>
              <w:ind w:right="100"/>
              <w:spacing w:after="0"/>
              <w:rPr>
                <w:sz w:val="20"/>
                <w:szCs w:val="20"/>
                <w:color w:val="auto"/>
              </w:rPr>
            </w:pPr>
            <w:r>
              <w:rPr>
                <w:rFonts w:ascii="Arial" w:cs="Arial" w:eastAsia="Arial" w:hAnsi="Arial"/>
                <w:sz w:val="18"/>
                <w:szCs w:val="18"/>
                <w:color w:val="auto"/>
              </w:rPr>
              <w:t>February 2032</w:t>
            </w:r>
          </w:p>
        </w:tc>
        <w:tc>
          <w:tcPr>
            <w:tcW w:w="1700" w:type="dxa"/>
            <w:vAlign w:val="bottom"/>
            <w:gridSpan w:val="2"/>
          </w:tcPr>
          <w:p>
            <w:pPr>
              <w:jc w:val="center"/>
              <w:ind w:right="100"/>
              <w:spacing w:after="0"/>
              <w:rPr>
                <w:sz w:val="20"/>
                <w:szCs w:val="20"/>
                <w:color w:val="auto"/>
              </w:rPr>
            </w:pPr>
            <w:r>
              <w:rPr>
                <w:rFonts w:ascii="Arial" w:cs="Arial" w:eastAsia="Arial" w:hAnsi="Arial"/>
                <w:sz w:val="18"/>
                <w:szCs w:val="18"/>
                <w:color w:val="auto"/>
                <w:w w:val="99"/>
              </w:rPr>
              <w:t>February 2032</w:t>
            </w:r>
          </w:p>
        </w:tc>
        <w:tc>
          <w:tcPr>
            <w:tcW w:w="1600" w:type="dxa"/>
            <w:vAlign w:val="bottom"/>
          </w:tcPr>
          <w:p>
            <w:pPr>
              <w:jc w:val="center"/>
              <w:spacing w:after="0"/>
              <w:rPr>
                <w:sz w:val="20"/>
                <w:szCs w:val="20"/>
                <w:color w:val="auto"/>
              </w:rPr>
            </w:pPr>
            <w:r>
              <w:rPr>
                <w:rFonts w:ascii="Arial" w:cs="Arial" w:eastAsia="Arial" w:hAnsi="Arial"/>
                <w:sz w:val="18"/>
                <w:szCs w:val="18"/>
                <w:color w:val="auto"/>
                <w:w w:val="99"/>
              </w:rPr>
              <w:t>February 2028</w:t>
            </w:r>
          </w:p>
        </w:tc>
      </w:tr>
    </w:tbl>
    <w:p>
      <w:pPr>
        <w:spacing w:after="0" w:line="200" w:lineRule="exact"/>
        <w:rPr>
          <w:sz w:val="20"/>
          <w:szCs w:val="20"/>
          <w:color w:val="auto"/>
        </w:rPr>
      </w:pPr>
    </w:p>
    <w:p>
      <w:pPr>
        <w:spacing w:after="0" w:line="267" w:lineRule="exact"/>
        <w:rPr>
          <w:sz w:val="20"/>
          <w:szCs w:val="20"/>
          <w:color w:val="auto"/>
        </w:rPr>
      </w:pPr>
    </w:p>
    <w:p>
      <w:pPr>
        <w:ind w:left="220"/>
        <w:spacing w:after="0"/>
        <w:rPr>
          <w:sz w:val="20"/>
          <w:szCs w:val="20"/>
          <w:color w:val="auto"/>
        </w:rPr>
      </w:pPr>
      <w:r>
        <w:rPr>
          <w:rFonts w:ascii="Arial" w:cs="Arial" w:eastAsia="Arial" w:hAnsi="Arial"/>
          <w:sz w:val="18"/>
          <w:szCs w:val="18"/>
          <w:i w:val="1"/>
          <w:iCs w:val="1"/>
          <w:u w:val="single" w:color="auto"/>
          <w:color w:val="auto"/>
        </w:rPr>
        <w:t>2019-1 Engine EETCs</w:t>
      </w:r>
    </w:p>
    <w:p>
      <w:pPr>
        <w:spacing w:after="0" w:line="108" w:lineRule="exact"/>
        <w:rPr>
          <w:sz w:val="20"/>
          <w:szCs w:val="20"/>
          <w:color w:val="auto"/>
        </w:rPr>
      </w:pPr>
    </w:p>
    <w:p>
      <w:pPr>
        <w:jc w:val="both"/>
        <w:ind w:firstLine="216"/>
        <w:spacing w:after="0" w:line="253" w:lineRule="auto"/>
        <w:rPr>
          <w:sz w:val="20"/>
          <w:szCs w:val="20"/>
          <w:color w:val="auto"/>
        </w:rPr>
      </w:pPr>
      <w:r>
        <w:rPr>
          <w:rFonts w:ascii="Arial" w:cs="Arial" w:eastAsia="Arial" w:hAnsi="Arial"/>
          <w:sz w:val="18"/>
          <w:szCs w:val="18"/>
          <w:color w:val="auto"/>
        </w:rPr>
        <w:t>In June 2019, American created pass-through trusts which issued $650 million in aggregate face amount of 2019-1 Engine EETCs (the 2019-1 Engine EETCs), with maturities from June 2022 to June 2026. All of the proceeds received by such pass-through trusts from the sale of the 2019-1 Engine EETCs have been used to acquire equipment notes issued by American to the pass-through trusts. The pass-through trust certificates represent the right to payment under the equipment notes that are full-recourse obligations of American and such equipment notes are secured by spare aircraft engines currently owned and operated by American.</w:t>
      </w:r>
    </w:p>
    <w:p>
      <w:pPr>
        <w:spacing w:after="0" w:line="211" w:lineRule="exact"/>
        <w:rPr>
          <w:sz w:val="20"/>
          <w:szCs w:val="20"/>
          <w:color w:val="auto"/>
        </w:rPr>
      </w:pPr>
    </w:p>
    <w:p>
      <w:pPr>
        <w:ind w:left="220"/>
        <w:spacing w:after="0"/>
        <w:rPr>
          <w:sz w:val="20"/>
          <w:szCs w:val="20"/>
          <w:color w:val="auto"/>
        </w:rPr>
      </w:pPr>
      <w:r>
        <w:rPr>
          <w:rFonts w:ascii="Arial" w:cs="Arial" w:eastAsia="Arial" w:hAnsi="Arial"/>
          <w:sz w:val="18"/>
          <w:szCs w:val="18"/>
          <w:b w:val="1"/>
          <w:bCs w:val="1"/>
          <w:i w:val="1"/>
          <w:iCs w:val="1"/>
          <w:color w:val="auto"/>
        </w:rPr>
        <w:t>(c) Equipment Loans and Other Notes Payable Issued in 2019</w:t>
      </w:r>
    </w:p>
    <w:p>
      <w:pPr>
        <w:spacing w:after="0" w:line="112" w:lineRule="exact"/>
        <w:rPr>
          <w:sz w:val="20"/>
          <w:szCs w:val="20"/>
          <w:color w:val="auto"/>
        </w:rPr>
      </w:pPr>
    </w:p>
    <w:p>
      <w:pPr>
        <w:jc w:val="both"/>
        <w:ind w:firstLine="216"/>
        <w:spacing w:after="0" w:line="254" w:lineRule="auto"/>
        <w:rPr>
          <w:sz w:val="20"/>
          <w:szCs w:val="20"/>
          <w:color w:val="auto"/>
        </w:rPr>
      </w:pPr>
      <w:r>
        <w:rPr>
          <w:rFonts w:ascii="Arial" w:cs="Arial" w:eastAsia="Arial" w:hAnsi="Arial"/>
          <w:sz w:val="18"/>
          <w:szCs w:val="18"/>
          <w:color w:val="auto"/>
        </w:rPr>
        <w:t>In 2019, American entered into agreements under which it borrowed $1.7 billion in connection with the financing or refinancing, as the case may be, of certain aircraft and other flight equipment, of which $643 million was used to repay existing indebtedness. Debt incurred under these agreements matures in 2023 through 2031 and bears interest at variable rates (comprised of LIBOR plus an applicable margin) averaging 3.37% at December 31, 2019.</w:t>
      </w:r>
    </w:p>
    <w:p>
      <w:pPr>
        <w:spacing w:after="0" w:line="209" w:lineRule="exact"/>
        <w:rPr>
          <w:sz w:val="20"/>
          <w:szCs w:val="20"/>
          <w:color w:val="auto"/>
        </w:rPr>
      </w:pPr>
    </w:p>
    <w:p>
      <w:pPr>
        <w:ind w:left="220"/>
        <w:spacing w:after="0"/>
        <w:rPr>
          <w:sz w:val="20"/>
          <w:szCs w:val="20"/>
          <w:color w:val="auto"/>
        </w:rPr>
      </w:pPr>
      <w:r>
        <w:rPr>
          <w:rFonts w:ascii="Arial" w:cs="Arial" w:eastAsia="Arial" w:hAnsi="Arial"/>
          <w:sz w:val="18"/>
          <w:szCs w:val="18"/>
          <w:b w:val="1"/>
          <w:bCs w:val="1"/>
          <w:i w:val="1"/>
          <w:iCs w:val="1"/>
          <w:color w:val="auto"/>
        </w:rPr>
        <w:t>(d) Senior Notes</w:t>
      </w:r>
    </w:p>
    <w:p>
      <w:pPr>
        <w:spacing w:after="0" w:line="112" w:lineRule="exact"/>
        <w:rPr>
          <w:sz w:val="20"/>
          <w:szCs w:val="20"/>
          <w:color w:val="auto"/>
        </w:rPr>
      </w:pPr>
    </w:p>
    <w:p>
      <w:pPr>
        <w:jc w:val="both"/>
        <w:ind w:firstLine="243"/>
        <w:spacing w:after="0" w:line="256" w:lineRule="auto"/>
        <w:rPr>
          <w:sz w:val="20"/>
          <w:szCs w:val="20"/>
          <w:color w:val="auto"/>
        </w:rPr>
      </w:pPr>
      <w:r>
        <w:rPr>
          <w:rFonts w:ascii="Arial" w:cs="Arial" w:eastAsia="Arial" w:hAnsi="Arial"/>
          <w:sz w:val="18"/>
          <w:szCs w:val="18"/>
          <w:color w:val="auto"/>
        </w:rPr>
        <w:t>In May 2019, AAG issued $750 million aggregate principal amount of 5.000% senior notes due 2022 (the 5.000% senior notes). These notes bear interest at a rate of 5.000% per annum, payable semi-annually in arrears on June 1 and December 1 of each year, beginning on December 1, 2019. The 5.000% senior notes mature on June 1, 2022.</w:t>
      </w:r>
    </w:p>
    <w:p>
      <w:pPr>
        <w:spacing w:after="0" w:line="148" w:lineRule="exact"/>
        <w:rPr>
          <w:sz w:val="20"/>
          <w:szCs w:val="20"/>
          <w:color w:val="auto"/>
        </w:rPr>
      </w:pPr>
    </w:p>
    <w:p>
      <w:pPr>
        <w:ind w:left="220"/>
        <w:spacing w:after="0"/>
        <w:rPr>
          <w:sz w:val="20"/>
          <w:szCs w:val="20"/>
          <w:color w:val="auto"/>
        </w:rPr>
      </w:pPr>
      <w:r>
        <w:rPr>
          <w:rFonts w:ascii="Arial" w:cs="Arial" w:eastAsia="Arial" w:hAnsi="Arial"/>
          <w:sz w:val="18"/>
          <w:szCs w:val="18"/>
          <w:color w:val="auto"/>
        </w:rPr>
        <w:t>The details of our 4.625% and 5.000% senior notes are shown in the table below as of December 31, 2019:</w:t>
      </w:r>
    </w:p>
    <w:p>
      <w:pPr>
        <w:spacing w:after="0" w:line="375" w:lineRule="exact"/>
        <w:rPr>
          <w:sz w:val="20"/>
          <w:szCs w:val="20"/>
          <w:color w:val="auto"/>
        </w:rPr>
      </w:pPr>
    </w:p>
    <w:tbl>
      <w:tblPr>
        <w:tblLayout w:type="fixed"/>
        <w:tblInd w:w="0" w:type="dxa"/>
        <w:tblCellMar>
          <w:top w:w="0" w:type="dxa"/>
          <w:left w:w="0" w:type="dxa"/>
          <w:bottom w:w="0" w:type="dxa"/>
          <w:right w:w="0" w:type="dxa"/>
        </w:tblCellMar>
      </w:tblPr>
      <w:tr>
        <w:trPr>
          <w:trHeight w:val="196"/>
        </w:trPr>
        <w:tc>
          <w:tcPr>
            <w:tcW w:w="5820" w:type="dxa"/>
            <w:vAlign w:val="bottom"/>
            <w:tcBorders>
              <w:bottom w:val="single" w:sz="8" w:color="CCEEFF"/>
            </w:tcBorders>
          </w:tcPr>
          <w:p>
            <w:pPr>
              <w:spacing w:after="0"/>
              <w:rPr>
                <w:sz w:val="17"/>
                <w:szCs w:val="17"/>
                <w:color w:val="auto"/>
              </w:rPr>
            </w:pPr>
          </w:p>
        </w:tc>
        <w:tc>
          <w:tcPr>
            <w:tcW w:w="276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rPr>
              <w:t>4.625% Senior Notes</w:t>
            </w:r>
          </w:p>
        </w:tc>
        <w:tc>
          <w:tcPr>
            <w:tcW w:w="120" w:type="dxa"/>
            <w:vAlign w:val="bottom"/>
            <w:tcBorders>
              <w:bottom w:val="single" w:sz="8" w:color="CCEEFF"/>
            </w:tcBorders>
          </w:tcPr>
          <w:p>
            <w:pPr>
              <w:spacing w:after="0"/>
              <w:rPr>
                <w:sz w:val="17"/>
                <w:szCs w:val="17"/>
                <w:color w:val="auto"/>
              </w:rPr>
            </w:pPr>
          </w:p>
        </w:tc>
        <w:tc>
          <w:tcPr>
            <w:tcW w:w="272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rPr>
              <w:t>5.000% Senior Notes</w:t>
            </w:r>
          </w:p>
        </w:tc>
        <w:tc>
          <w:tcPr>
            <w:tcW w:w="0" w:type="dxa"/>
            <w:vAlign w:val="bottom"/>
          </w:tcPr>
          <w:p>
            <w:pPr>
              <w:spacing w:after="0"/>
              <w:rPr>
                <w:sz w:val="1"/>
                <w:szCs w:val="1"/>
                <w:color w:val="auto"/>
              </w:rPr>
            </w:pPr>
          </w:p>
        </w:tc>
      </w:tr>
      <w:tr>
        <w:trPr>
          <w:trHeight w:val="256"/>
        </w:trPr>
        <w:tc>
          <w:tcPr>
            <w:tcW w:w="5820" w:type="dxa"/>
            <w:vAlign w:val="bottom"/>
            <w:shd w:val="clear" w:color="auto" w:fill="CCEEFF"/>
          </w:tcPr>
          <w:p>
            <w:pPr>
              <w:ind w:left="40"/>
              <w:spacing w:after="0"/>
              <w:rPr>
                <w:sz w:val="20"/>
                <w:szCs w:val="20"/>
                <w:color w:val="auto"/>
              </w:rPr>
            </w:pPr>
            <w:r>
              <w:rPr>
                <w:rFonts w:ascii="Arial" w:cs="Arial" w:eastAsia="Arial" w:hAnsi="Arial"/>
                <w:sz w:val="18"/>
                <w:szCs w:val="18"/>
                <w:color w:val="auto"/>
              </w:rPr>
              <w:t>Aggregate principal issued and outstanding</w:t>
            </w:r>
          </w:p>
        </w:tc>
        <w:tc>
          <w:tcPr>
            <w:tcW w:w="2880" w:type="dxa"/>
            <w:vAlign w:val="bottom"/>
            <w:gridSpan w:val="2"/>
            <w:shd w:val="clear" w:color="auto" w:fill="CCEEFF"/>
          </w:tcPr>
          <w:p>
            <w:pPr>
              <w:jc w:val="center"/>
              <w:ind w:right="120"/>
              <w:spacing w:after="0"/>
              <w:rPr>
                <w:sz w:val="20"/>
                <w:szCs w:val="20"/>
                <w:color w:val="auto"/>
              </w:rPr>
            </w:pPr>
            <w:r>
              <w:rPr>
                <w:rFonts w:ascii="Arial" w:cs="Arial" w:eastAsia="Arial" w:hAnsi="Arial"/>
                <w:sz w:val="18"/>
                <w:szCs w:val="18"/>
                <w:color w:val="auto"/>
                <w:w w:val="99"/>
              </w:rPr>
              <w:t>$500 million</w:t>
            </w:r>
          </w:p>
        </w:tc>
        <w:tc>
          <w:tcPr>
            <w:tcW w:w="272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9"/>
              </w:rPr>
              <w:t>$750 million</w:t>
            </w:r>
          </w:p>
        </w:tc>
        <w:tc>
          <w:tcPr>
            <w:tcW w:w="0" w:type="dxa"/>
            <w:vAlign w:val="bottom"/>
          </w:tcPr>
          <w:p>
            <w:pPr>
              <w:spacing w:after="0"/>
              <w:rPr>
                <w:sz w:val="1"/>
                <w:szCs w:val="1"/>
                <w:color w:val="auto"/>
              </w:rPr>
            </w:pPr>
          </w:p>
        </w:tc>
      </w:tr>
      <w:tr>
        <w:trPr>
          <w:trHeight w:val="243"/>
        </w:trPr>
        <w:tc>
          <w:tcPr>
            <w:tcW w:w="5820" w:type="dxa"/>
            <w:vAlign w:val="bottom"/>
          </w:tcPr>
          <w:p>
            <w:pPr>
              <w:ind w:left="40"/>
              <w:spacing w:after="0"/>
              <w:rPr>
                <w:sz w:val="20"/>
                <w:szCs w:val="20"/>
                <w:color w:val="auto"/>
              </w:rPr>
            </w:pPr>
            <w:r>
              <w:rPr>
                <w:rFonts w:ascii="Arial" w:cs="Arial" w:eastAsia="Arial" w:hAnsi="Arial"/>
                <w:sz w:val="18"/>
                <w:szCs w:val="18"/>
                <w:color w:val="auto"/>
              </w:rPr>
              <w:t>Maturity date</w:t>
            </w:r>
          </w:p>
        </w:tc>
        <w:tc>
          <w:tcPr>
            <w:tcW w:w="2880" w:type="dxa"/>
            <w:vAlign w:val="bottom"/>
            <w:gridSpan w:val="2"/>
          </w:tcPr>
          <w:p>
            <w:pPr>
              <w:jc w:val="center"/>
              <w:ind w:right="120"/>
              <w:spacing w:after="0"/>
              <w:rPr>
                <w:sz w:val="20"/>
                <w:szCs w:val="20"/>
                <w:color w:val="auto"/>
              </w:rPr>
            </w:pPr>
            <w:r>
              <w:rPr>
                <w:rFonts w:ascii="Arial" w:cs="Arial" w:eastAsia="Arial" w:hAnsi="Arial"/>
                <w:sz w:val="18"/>
                <w:szCs w:val="18"/>
                <w:color w:val="auto"/>
              </w:rPr>
              <w:t>March 2020</w:t>
            </w:r>
          </w:p>
        </w:tc>
        <w:tc>
          <w:tcPr>
            <w:tcW w:w="2720" w:type="dxa"/>
            <w:vAlign w:val="bottom"/>
          </w:tcPr>
          <w:p>
            <w:pPr>
              <w:jc w:val="center"/>
              <w:spacing w:after="0"/>
              <w:rPr>
                <w:sz w:val="20"/>
                <w:szCs w:val="20"/>
                <w:color w:val="auto"/>
              </w:rPr>
            </w:pPr>
            <w:r>
              <w:rPr>
                <w:rFonts w:ascii="Arial" w:cs="Arial" w:eastAsia="Arial" w:hAnsi="Arial"/>
                <w:sz w:val="18"/>
                <w:szCs w:val="18"/>
                <w:color w:val="auto"/>
                <w:w w:val="99"/>
              </w:rPr>
              <w:t>June 2022</w:t>
            </w:r>
          </w:p>
        </w:tc>
        <w:tc>
          <w:tcPr>
            <w:tcW w:w="0" w:type="dxa"/>
            <w:vAlign w:val="bottom"/>
          </w:tcPr>
          <w:p>
            <w:pPr>
              <w:spacing w:after="0"/>
              <w:rPr>
                <w:sz w:val="1"/>
                <w:szCs w:val="1"/>
                <w:color w:val="auto"/>
              </w:rPr>
            </w:pPr>
          </w:p>
        </w:tc>
      </w:tr>
      <w:tr>
        <w:trPr>
          <w:trHeight w:val="27"/>
        </w:trPr>
        <w:tc>
          <w:tcPr>
            <w:tcW w:w="5820" w:type="dxa"/>
            <w:vAlign w:val="bottom"/>
          </w:tcPr>
          <w:p>
            <w:pPr>
              <w:spacing w:after="0"/>
              <w:rPr>
                <w:sz w:val="2"/>
                <w:szCs w:val="2"/>
                <w:color w:val="auto"/>
              </w:rPr>
            </w:pPr>
          </w:p>
        </w:tc>
        <w:tc>
          <w:tcPr>
            <w:tcW w:w="27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7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8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Fixed interest rate per annum</w:t>
            </w:r>
          </w:p>
        </w:tc>
        <w:tc>
          <w:tcPr>
            <w:tcW w:w="276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98"/>
              </w:rPr>
              <w:t>4.625%</w:t>
            </w:r>
          </w:p>
        </w:tc>
        <w:tc>
          <w:tcPr>
            <w:tcW w:w="120" w:type="dxa"/>
            <w:vAlign w:val="bottom"/>
            <w:tcBorders>
              <w:bottom w:val="single" w:sz="8" w:color="CCEEFF"/>
            </w:tcBorders>
            <w:shd w:val="clear" w:color="auto" w:fill="CCEEFF"/>
          </w:tcPr>
          <w:p>
            <w:pPr>
              <w:spacing w:after="0"/>
              <w:rPr>
                <w:sz w:val="21"/>
                <w:szCs w:val="21"/>
                <w:color w:val="auto"/>
              </w:rPr>
            </w:pPr>
          </w:p>
        </w:tc>
        <w:tc>
          <w:tcPr>
            <w:tcW w:w="272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98"/>
              </w:rPr>
              <w:t>5.000%</w:t>
            </w:r>
          </w:p>
        </w:tc>
        <w:tc>
          <w:tcPr>
            <w:tcW w:w="0" w:type="dxa"/>
            <w:vAlign w:val="bottom"/>
          </w:tcPr>
          <w:p>
            <w:pPr>
              <w:spacing w:after="0"/>
              <w:rPr>
                <w:sz w:val="1"/>
                <w:szCs w:val="1"/>
                <w:color w:val="auto"/>
              </w:rPr>
            </w:pPr>
          </w:p>
        </w:tc>
      </w:tr>
      <w:tr>
        <w:trPr>
          <w:trHeight w:val="229"/>
        </w:trPr>
        <w:tc>
          <w:tcPr>
            <w:tcW w:w="5820" w:type="dxa"/>
            <w:vAlign w:val="bottom"/>
            <w:vMerge w:val="restart"/>
          </w:tcPr>
          <w:p>
            <w:pPr>
              <w:ind w:left="40"/>
              <w:spacing w:after="0"/>
              <w:rPr>
                <w:sz w:val="20"/>
                <w:szCs w:val="20"/>
                <w:color w:val="auto"/>
              </w:rPr>
            </w:pPr>
            <w:r>
              <w:rPr>
                <w:rFonts w:ascii="Arial" w:cs="Arial" w:eastAsia="Arial" w:hAnsi="Arial"/>
                <w:sz w:val="18"/>
                <w:szCs w:val="18"/>
                <w:color w:val="auto"/>
              </w:rPr>
              <w:t>Interest payments</w:t>
            </w:r>
          </w:p>
        </w:tc>
        <w:tc>
          <w:tcPr>
            <w:tcW w:w="2880" w:type="dxa"/>
            <w:vAlign w:val="bottom"/>
            <w:gridSpan w:val="2"/>
          </w:tcPr>
          <w:p>
            <w:pPr>
              <w:jc w:val="center"/>
              <w:ind w:right="120"/>
              <w:spacing w:after="0"/>
              <w:rPr>
                <w:sz w:val="20"/>
                <w:szCs w:val="20"/>
                <w:color w:val="auto"/>
              </w:rPr>
            </w:pPr>
            <w:r>
              <w:rPr>
                <w:rFonts w:ascii="Arial" w:cs="Arial" w:eastAsia="Arial" w:hAnsi="Arial"/>
                <w:sz w:val="18"/>
                <w:szCs w:val="18"/>
                <w:color w:val="auto"/>
              </w:rPr>
              <w:t>Semi-annually in arrears in</w:t>
            </w:r>
          </w:p>
        </w:tc>
        <w:tc>
          <w:tcPr>
            <w:tcW w:w="2720" w:type="dxa"/>
            <w:vAlign w:val="bottom"/>
          </w:tcPr>
          <w:p>
            <w:pPr>
              <w:jc w:val="center"/>
              <w:spacing w:after="0"/>
              <w:rPr>
                <w:sz w:val="20"/>
                <w:szCs w:val="20"/>
                <w:color w:val="auto"/>
              </w:rPr>
            </w:pPr>
            <w:r>
              <w:rPr>
                <w:rFonts w:ascii="Arial" w:cs="Arial" w:eastAsia="Arial" w:hAnsi="Arial"/>
                <w:sz w:val="18"/>
                <w:szCs w:val="18"/>
                <w:color w:val="auto"/>
                <w:w w:val="99"/>
              </w:rPr>
              <w:t>Semi-annually in arrears in June</w:t>
            </w:r>
          </w:p>
        </w:tc>
        <w:tc>
          <w:tcPr>
            <w:tcW w:w="0" w:type="dxa"/>
            <w:vAlign w:val="bottom"/>
          </w:tcPr>
          <w:p>
            <w:pPr>
              <w:spacing w:after="0"/>
              <w:rPr>
                <w:sz w:val="1"/>
                <w:szCs w:val="1"/>
                <w:color w:val="auto"/>
              </w:rPr>
            </w:pPr>
          </w:p>
        </w:tc>
      </w:tr>
      <w:tr>
        <w:trPr>
          <w:trHeight w:val="109"/>
        </w:trPr>
        <w:tc>
          <w:tcPr>
            <w:tcW w:w="5820" w:type="dxa"/>
            <w:vAlign w:val="bottom"/>
            <w:vMerge w:val="continue"/>
          </w:tcPr>
          <w:p>
            <w:pPr>
              <w:spacing w:after="0"/>
              <w:rPr>
                <w:sz w:val="9"/>
                <w:szCs w:val="9"/>
                <w:color w:val="auto"/>
              </w:rPr>
            </w:pPr>
          </w:p>
        </w:tc>
        <w:tc>
          <w:tcPr>
            <w:tcW w:w="2880" w:type="dxa"/>
            <w:vAlign w:val="bottom"/>
            <w:gridSpan w:val="2"/>
            <w:vMerge w:val="restart"/>
          </w:tcPr>
          <w:p>
            <w:pPr>
              <w:jc w:val="center"/>
              <w:ind w:right="120"/>
              <w:spacing w:after="0"/>
              <w:rPr>
                <w:sz w:val="20"/>
                <w:szCs w:val="20"/>
                <w:color w:val="auto"/>
              </w:rPr>
            </w:pPr>
            <w:r>
              <w:rPr>
                <w:rFonts w:ascii="Arial" w:cs="Arial" w:eastAsia="Arial" w:hAnsi="Arial"/>
                <w:sz w:val="18"/>
                <w:szCs w:val="18"/>
                <w:color w:val="auto"/>
              </w:rPr>
              <w:t>March and September</w:t>
            </w:r>
          </w:p>
        </w:tc>
        <w:tc>
          <w:tcPr>
            <w:tcW w:w="2720" w:type="dxa"/>
            <w:vAlign w:val="bottom"/>
            <w:vMerge w:val="restart"/>
          </w:tcPr>
          <w:p>
            <w:pPr>
              <w:jc w:val="center"/>
              <w:spacing w:after="0"/>
              <w:rPr>
                <w:sz w:val="20"/>
                <w:szCs w:val="20"/>
                <w:color w:val="auto"/>
              </w:rPr>
            </w:pPr>
            <w:r>
              <w:rPr>
                <w:rFonts w:ascii="Arial" w:cs="Arial" w:eastAsia="Arial" w:hAnsi="Arial"/>
                <w:sz w:val="18"/>
                <w:szCs w:val="18"/>
                <w:color w:val="auto"/>
                <w:w w:val="99"/>
              </w:rPr>
              <w:t>and December</w:t>
            </w:r>
          </w:p>
        </w:tc>
        <w:tc>
          <w:tcPr>
            <w:tcW w:w="0" w:type="dxa"/>
            <w:vAlign w:val="bottom"/>
          </w:tcPr>
          <w:p>
            <w:pPr>
              <w:spacing w:after="0"/>
              <w:rPr>
                <w:sz w:val="1"/>
                <w:szCs w:val="1"/>
                <w:color w:val="auto"/>
              </w:rPr>
            </w:pPr>
          </w:p>
        </w:tc>
      </w:tr>
      <w:tr>
        <w:trPr>
          <w:trHeight w:val="108"/>
        </w:trPr>
        <w:tc>
          <w:tcPr>
            <w:tcW w:w="5820" w:type="dxa"/>
            <w:vAlign w:val="bottom"/>
          </w:tcPr>
          <w:p>
            <w:pPr>
              <w:spacing w:after="0"/>
              <w:rPr>
                <w:sz w:val="9"/>
                <w:szCs w:val="9"/>
                <w:color w:val="auto"/>
              </w:rPr>
            </w:pPr>
          </w:p>
        </w:tc>
        <w:tc>
          <w:tcPr>
            <w:tcW w:w="2880" w:type="dxa"/>
            <w:vAlign w:val="bottom"/>
            <w:gridSpan w:val="2"/>
            <w:vMerge w:val="continue"/>
          </w:tcPr>
          <w:p>
            <w:pPr>
              <w:spacing w:after="0"/>
              <w:rPr>
                <w:sz w:val="9"/>
                <w:szCs w:val="9"/>
                <w:color w:val="auto"/>
              </w:rPr>
            </w:pPr>
          </w:p>
        </w:tc>
        <w:tc>
          <w:tcPr>
            <w:tcW w:w="272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bl>
    <w:p>
      <w:pPr>
        <w:spacing w:after="0" w:line="391" w:lineRule="exact"/>
        <w:rPr>
          <w:sz w:val="20"/>
          <w:szCs w:val="20"/>
          <w:color w:val="auto"/>
        </w:rPr>
      </w:pPr>
    </w:p>
    <w:p>
      <w:pPr>
        <w:jc w:val="both"/>
        <w:ind w:firstLine="216"/>
        <w:spacing w:after="0" w:line="253" w:lineRule="auto"/>
        <w:rPr>
          <w:sz w:val="20"/>
          <w:szCs w:val="20"/>
          <w:color w:val="auto"/>
        </w:rPr>
      </w:pPr>
      <w:r>
        <w:rPr>
          <w:rFonts w:ascii="Arial" w:cs="Arial" w:eastAsia="Arial" w:hAnsi="Arial"/>
          <w:sz w:val="18"/>
          <w:szCs w:val="18"/>
          <w:color w:val="auto"/>
        </w:rPr>
        <w:t>The 4.625% and 5.000% senior notes are senior unsecured obligations of AAG. These senior notes are fully and unconditionally guaranteed by American. The indentures for these senior notes contain covenants and events of default generally customary for similar financings. In addition, if we experience specific kinds of changes of control, we must offer to repurchase these senior notes in whole or in part at a price of 101% of the principal amount plus accrued and unpaid interest, if any, to (but not including) the repurchase date. Upon the occurrence of certain events of default, these senior notes may be accelerated and become due and payable.</w:t>
      </w:r>
    </w:p>
    <w:p>
      <w:pPr>
        <w:spacing w:after="0" w:line="211" w:lineRule="exact"/>
        <w:rPr>
          <w:sz w:val="20"/>
          <w:szCs w:val="20"/>
          <w:color w:val="auto"/>
        </w:rPr>
      </w:pPr>
    </w:p>
    <w:p>
      <w:pPr>
        <w:ind w:left="220"/>
        <w:spacing w:after="0"/>
        <w:rPr>
          <w:sz w:val="20"/>
          <w:szCs w:val="20"/>
          <w:color w:val="auto"/>
        </w:rPr>
      </w:pPr>
      <w:r>
        <w:rPr>
          <w:rFonts w:ascii="Arial" w:cs="Arial" w:eastAsia="Arial" w:hAnsi="Arial"/>
          <w:sz w:val="18"/>
          <w:szCs w:val="18"/>
          <w:b w:val="1"/>
          <w:bCs w:val="1"/>
          <w:i w:val="1"/>
          <w:iCs w:val="1"/>
          <w:color w:val="auto"/>
        </w:rPr>
        <w:t>Guarantees</w:t>
      </w:r>
    </w:p>
    <w:p>
      <w:pPr>
        <w:spacing w:after="0" w:line="112" w:lineRule="exact"/>
        <w:rPr>
          <w:sz w:val="20"/>
          <w:szCs w:val="20"/>
          <w:color w:val="auto"/>
        </w:rPr>
      </w:pPr>
    </w:p>
    <w:p>
      <w:pPr>
        <w:jc w:val="both"/>
        <w:ind w:firstLine="243"/>
        <w:spacing w:after="0" w:line="256" w:lineRule="auto"/>
        <w:rPr>
          <w:sz w:val="20"/>
          <w:szCs w:val="20"/>
          <w:color w:val="auto"/>
        </w:rPr>
      </w:pPr>
      <w:r>
        <w:rPr>
          <w:rFonts w:ascii="Arial" w:cs="Arial" w:eastAsia="Arial" w:hAnsi="Arial"/>
          <w:sz w:val="18"/>
          <w:szCs w:val="18"/>
          <w:color w:val="auto"/>
        </w:rPr>
        <w:t>As of December 31, 2019, AAG had issued guarantees covering approximately $725 million of American’s special facility revenue bonds (and interest thereon) and $8.1 billion of American’s secured debt (and interest thereon), including the Credit Facilities and certain EETC financings.</w:t>
      </w:r>
    </w:p>
    <w:p>
      <w:pPr>
        <w:spacing w:after="0" w:line="20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90</w:t>
      </w:r>
    </w:p>
    <w:p>
      <w:pPr>
        <w:sectPr>
          <w:pgSz w:w="11900" w:h="16838" w:orient="portrait"/>
          <w:cols w:equalWidth="0" w:num="1">
            <w:col w:w="11420"/>
          </w:cols>
          <w:pgMar w:left="240" w:top="549" w:right="239" w:bottom="1440" w:gutter="0" w:footer="0" w:header="0"/>
        </w:sectPr>
      </w:pPr>
    </w:p>
    <w:bookmarkStart w:id="90" w:name="page91"/>
    <w:bookmarkEnd w:id="90"/>
    <w:p>
      <w:pPr>
        <w:jc w:val="center"/>
        <w:spacing w:after="0"/>
        <w:rPr>
          <w:sz w:val="20"/>
          <w:szCs w:val="20"/>
          <w:color w:val="auto"/>
        </w:rPr>
      </w:pPr>
      <w:r>
        <w:rPr>
          <w:rFonts w:ascii="Arial" w:cs="Arial" w:eastAsia="Arial" w:hAnsi="Arial"/>
          <w:sz w:val="18"/>
          <w:szCs w:val="18"/>
          <w:b w:val="1"/>
          <w:bCs w:val="1"/>
          <w:color w:val="auto"/>
        </w:rPr>
        <w:t>NOTES TO CONSOLIDATED FINANCIAL STATEMENTS OF AMERICAN AIRLINES GROUP INC.</w:t>
      </w:r>
    </w:p>
    <w:p>
      <w:pPr>
        <w:spacing w:after="0" w:line="200" w:lineRule="exact"/>
        <w:rPr>
          <w:sz w:val="20"/>
          <w:szCs w:val="20"/>
          <w:color w:val="auto"/>
        </w:rPr>
      </w:pPr>
    </w:p>
    <w:p>
      <w:pPr>
        <w:spacing w:after="0" w:line="268" w:lineRule="exact"/>
        <w:rPr>
          <w:sz w:val="20"/>
          <w:szCs w:val="20"/>
          <w:color w:val="auto"/>
        </w:rPr>
      </w:pPr>
    </w:p>
    <w:p>
      <w:pPr>
        <w:ind w:left="220"/>
        <w:spacing w:after="0"/>
        <w:rPr>
          <w:sz w:val="20"/>
          <w:szCs w:val="20"/>
          <w:color w:val="auto"/>
        </w:rPr>
      </w:pPr>
      <w:r>
        <w:rPr>
          <w:rFonts w:ascii="Arial" w:cs="Arial" w:eastAsia="Arial" w:hAnsi="Arial"/>
          <w:sz w:val="18"/>
          <w:szCs w:val="18"/>
          <w:b w:val="1"/>
          <w:bCs w:val="1"/>
          <w:i w:val="1"/>
          <w:iCs w:val="1"/>
          <w:color w:val="auto"/>
        </w:rPr>
        <w:t>Collateral-Related Covenants</w:t>
      </w:r>
    </w:p>
    <w:p>
      <w:pPr>
        <w:spacing w:after="0" w:line="112" w:lineRule="exact"/>
        <w:rPr>
          <w:sz w:val="20"/>
          <w:szCs w:val="20"/>
          <w:color w:val="auto"/>
        </w:rPr>
      </w:pPr>
    </w:p>
    <w:p>
      <w:pPr>
        <w:jc w:val="both"/>
        <w:ind w:firstLine="216"/>
        <w:spacing w:after="0" w:line="253" w:lineRule="auto"/>
        <w:rPr>
          <w:sz w:val="20"/>
          <w:szCs w:val="20"/>
          <w:color w:val="auto"/>
        </w:rPr>
      </w:pPr>
      <w:r>
        <w:rPr>
          <w:rFonts w:ascii="Arial" w:cs="Arial" w:eastAsia="Arial" w:hAnsi="Arial"/>
          <w:sz w:val="18"/>
          <w:szCs w:val="18"/>
          <w:color w:val="auto"/>
        </w:rPr>
        <w:t>Certain of our debt financing agreements (including our term loans, revolving credit facilities and spare engine EETCs) contain loan to value (LTV) ratio covenants and require us to appraise the related collateral annually. Pursuant to such agreements, if the LTV ratio exceeds a specified threshold or if the value of the appraised collateral fails to meet a specified threshold, as the case may be, we are required, as applicable, to pledge additional qualifying collateral (which in some cases may include cash or investment securities), or pay down such financing, in whole or in part.</w:t>
      </w:r>
    </w:p>
    <w:p>
      <w:pPr>
        <w:spacing w:after="0" w:line="152" w:lineRule="exact"/>
        <w:rPr>
          <w:sz w:val="20"/>
          <w:szCs w:val="20"/>
          <w:color w:val="auto"/>
        </w:rPr>
      </w:pPr>
    </w:p>
    <w:p>
      <w:pPr>
        <w:ind w:left="220"/>
        <w:spacing w:after="0"/>
        <w:rPr>
          <w:sz w:val="20"/>
          <w:szCs w:val="20"/>
          <w:color w:val="auto"/>
        </w:rPr>
      </w:pPr>
      <w:r>
        <w:rPr>
          <w:rFonts w:ascii="Arial" w:cs="Arial" w:eastAsia="Arial" w:hAnsi="Arial"/>
          <w:sz w:val="18"/>
          <w:szCs w:val="18"/>
          <w:color w:val="auto"/>
        </w:rPr>
        <w:t>Specifically, we are required to meet certain collateral coverage tests on an annual basis for our Credit Facilities, as described below:</w:t>
      </w:r>
    </w:p>
    <w:p>
      <w:pPr>
        <w:spacing w:after="0" w:line="321"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2880" w:type="dxa"/>
            <w:vAlign w:val="bottom"/>
          </w:tcPr>
          <w:p>
            <w:pPr>
              <w:spacing w:after="0"/>
              <w:rPr>
                <w:sz w:val="14"/>
                <w:szCs w:val="14"/>
                <w:color w:val="auto"/>
              </w:rPr>
            </w:pPr>
          </w:p>
        </w:tc>
        <w:tc>
          <w:tcPr>
            <w:tcW w:w="20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16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rPr>
              <w:t>April 2016</w:t>
            </w:r>
          </w:p>
        </w:tc>
        <w:tc>
          <w:tcPr>
            <w:tcW w:w="2060" w:type="dxa"/>
            <w:vAlign w:val="bottom"/>
          </w:tcPr>
          <w:p>
            <w:pPr>
              <w:jc w:val="center"/>
              <w:spacing w:after="0"/>
              <w:rPr>
                <w:sz w:val="20"/>
                <w:szCs w:val="20"/>
                <w:color w:val="auto"/>
              </w:rPr>
            </w:pPr>
            <w:r>
              <w:rPr>
                <w:rFonts w:ascii="Arial" w:cs="Arial" w:eastAsia="Arial" w:hAnsi="Arial"/>
                <w:sz w:val="14"/>
                <w:szCs w:val="14"/>
                <w:b w:val="1"/>
                <w:bCs w:val="1"/>
                <w:color w:val="auto"/>
              </w:rPr>
              <w:t>December 2016</w:t>
            </w:r>
          </w:p>
        </w:tc>
        <w:tc>
          <w:tcPr>
            <w:tcW w:w="0" w:type="dxa"/>
            <w:vAlign w:val="bottom"/>
          </w:tcPr>
          <w:p>
            <w:pPr>
              <w:spacing w:after="0"/>
              <w:rPr>
                <w:sz w:val="1"/>
                <w:szCs w:val="1"/>
                <w:color w:val="auto"/>
              </w:rPr>
            </w:pPr>
          </w:p>
        </w:tc>
      </w:tr>
      <w:tr>
        <w:trPr>
          <w:trHeight w:val="196"/>
        </w:trPr>
        <w:tc>
          <w:tcPr>
            <w:tcW w:w="2880" w:type="dxa"/>
            <w:vAlign w:val="bottom"/>
            <w:tcBorders>
              <w:bottom w:val="single" w:sz="8" w:color="CCEEFF"/>
            </w:tcBorders>
          </w:tcPr>
          <w:p>
            <w:pPr>
              <w:spacing w:after="0"/>
              <w:rPr>
                <w:sz w:val="17"/>
                <w:szCs w:val="17"/>
                <w:color w:val="auto"/>
              </w:rPr>
            </w:pPr>
          </w:p>
        </w:tc>
        <w:tc>
          <w:tcPr>
            <w:tcW w:w="206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rPr>
              <w:t>2013 Credit Facilities</w:t>
            </w:r>
          </w:p>
        </w:tc>
        <w:tc>
          <w:tcPr>
            <w:tcW w:w="100" w:type="dxa"/>
            <w:vAlign w:val="bottom"/>
            <w:tcBorders>
              <w:bottom w:val="single" w:sz="8" w:color="CCEEFF"/>
            </w:tcBorders>
          </w:tcPr>
          <w:p>
            <w:pPr>
              <w:spacing w:after="0"/>
              <w:rPr>
                <w:sz w:val="17"/>
                <w:szCs w:val="17"/>
                <w:color w:val="auto"/>
              </w:rPr>
            </w:pPr>
          </w:p>
        </w:tc>
        <w:tc>
          <w:tcPr>
            <w:tcW w:w="206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rPr>
              <w:t>2014 Credit Facilities</w:t>
            </w:r>
          </w:p>
        </w:tc>
        <w:tc>
          <w:tcPr>
            <w:tcW w:w="100" w:type="dxa"/>
            <w:vAlign w:val="bottom"/>
            <w:tcBorders>
              <w:bottom w:val="single" w:sz="8" w:color="CCEEFF"/>
            </w:tcBorders>
          </w:tcPr>
          <w:p>
            <w:pPr>
              <w:spacing w:after="0"/>
              <w:rPr>
                <w:sz w:val="17"/>
                <w:szCs w:val="17"/>
                <w:color w:val="auto"/>
              </w:rPr>
            </w:pPr>
          </w:p>
        </w:tc>
        <w:tc>
          <w:tcPr>
            <w:tcW w:w="206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rPr>
              <w:t>Credit Facilities</w:t>
            </w:r>
          </w:p>
        </w:tc>
        <w:tc>
          <w:tcPr>
            <w:tcW w:w="100" w:type="dxa"/>
            <w:vAlign w:val="bottom"/>
            <w:tcBorders>
              <w:bottom w:val="single" w:sz="8" w:color="CCEEFF"/>
            </w:tcBorders>
          </w:tcPr>
          <w:p>
            <w:pPr>
              <w:spacing w:after="0"/>
              <w:rPr>
                <w:sz w:val="17"/>
                <w:szCs w:val="17"/>
                <w:color w:val="auto"/>
              </w:rPr>
            </w:pPr>
          </w:p>
        </w:tc>
        <w:tc>
          <w:tcPr>
            <w:tcW w:w="206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rPr>
              <w:t>Credit Facilities</w:t>
            </w:r>
          </w:p>
        </w:tc>
        <w:tc>
          <w:tcPr>
            <w:tcW w:w="0" w:type="dxa"/>
            <w:vAlign w:val="bottom"/>
          </w:tcPr>
          <w:p>
            <w:pPr>
              <w:spacing w:after="0"/>
              <w:rPr>
                <w:sz w:val="1"/>
                <w:szCs w:val="1"/>
                <w:color w:val="auto"/>
              </w:rPr>
            </w:pPr>
          </w:p>
        </w:tc>
      </w:tr>
      <w:tr>
        <w:trPr>
          <w:trHeight w:val="215"/>
        </w:trPr>
        <w:tc>
          <w:tcPr>
            <w:tcW w:w="2880" w:type="dxa"/>
            <w:vAlign w:val="bottom"/>
            <w:shd w:val="clear" w:color="auto" w:fill="CCEEFF"/>
          </w:tcPr>
          <w:p>
            <w:pPr>
              <w:ind w:left="40"/>
              <w:spacing w:after="0"/>
              <w:rPr>
                <w:sz w:val="20"/>
                <w:szCs w:val="20"/>
                <w:color w:val="auto"/>
              </w:rPr>
            </w:pPr>
            <w:r>
              <w:rPr>
                <w:rFonts w:ascii="Arial" w:cs="Arial" w:eastAsia="Arial" w:hAnsi="Arial"/>
                <w:sz w:val="18"/>
                <w:szCs w:val="18"/>
                <w:color w:val="auto"/>
              </w:rPr>
              <w:t>Frequency of Appraisals of</w:t>
            </w:r>
          </w:p>
        </w:tc>
        <w:tc>
          <w:tcPr>
            <w:tcW w:w="2160" w:type="dxa"/>
            <w:vAlign w:val="bottom"/>
            <w:gridSpan w:val="2"/>
            <w:vMerge w:val="restart"/>
            <w:shd w:val="clear" w:color="auto" w:fill="CCEEFF"/>
          </w:tcPr>
          <w:p>
            <w:pPr>
              <w:jc w:val="center"/>
              <w:ind w:right="120"/>
              <w:spacing w:after="0"/>
              <w:rPr>
                <w:sz w:val="20"/>
                <w:szCs w:val="20"/>
                <w:color w:val="auto"/>
              </w:rPr>
            </w:pPr>
            <w:r>
              <w:rPr>
                <w:rFonts w:ascii="Arial" w:cs="Arial" w:eastAsia="Arial" w:hAnsi="Arial"/>
                <w:sz w:val="18"/>
                <w:szCs w:val="18"/>
                <w:color w:val="auto"/>
                <w:w w:val="99"/>
              </w:rPr>
              <w:t>Annual</w:t>
            </w:r>
          </w:p>
        </w:tc>
        <w:tc>
          <w:tcPr>
            <w:tcW w:w="2160" w:type="dxa"/>
            <w:vAlign w:val="bottom"/>
            <w:gridSpan w:val="2"/>
            <w:vMerge w:val="restart"/>
            <w:shd w:val="clear" w:color="auto" w:fill="CCEEFF"/>
          </w:tcPr>
          <w:p>
            <w:pPr>
              <w:jc w:val="center"/>
              <w:ind w:right="80"/>
              <w:spacing w:after="0"/>
              <w:rPr>
                <w:sz w:val="20"/>
                <w:szCs w:val="20"/>
                <w:color w:val="auto"/>
              </w:rPr>
            </w:pPr>
            <w:r>
              <w:rPr>
                <w:rFonts w:ascii="Arial" w:cs="Arial" w:eastAsia="Arial" w:hAnsi="Arial"/>
                <w:sz w:val="18"/>
                <w:szCs w:val="18"/>
                <w:color w:val="auto"/>
                <w:w w:val="99"/>
              </w:rPr>
              <w:t>Annual</w:t>
            </w:r>
          </w:p>
        </w:tc>
        <w:tc>
          <w:tcPr>
            <w:tcW w:w="2160" w:type="dxa"/>
            <w:vAlign w:val="bottom"/>
            <w:gridSpan w:val="2"/>
            <w:vMerge w:val="restart"/>
            <w:shd w:val="clear" w:color="auto" w:fill="CCEEFF"/>
          </w:tcPr>
          <w:p>
            <w:pPr>
              <w:jc w:val="center"/>
              <w:ind w:right="80"/>
              <w:spacing w:after="0"/>
              <w:rPr>
                <w:sz w:val="20"/>
                <w:szCs w:val="20"/>
                <w:color w:val="auto"/>
              </w:rPr>
            </w:pPr>
            <w:r>
              <w:rPr>
                <w:rFonts w:ascii="Arial" w:cs="Arial" w:eastAsia="Arial" w:hAnsi="Arial"/>
                <w:sz w:val="18"/>
                <w:szCs w:val="18"/>
                <w:color w:val="auto"/>
                <w:w w:val="99"/>
              </w:rPr>
              <w:t>Annual</w:t>
            </w:r>
          </w:p>
        </w:tc>
        <w:tc>
          <w:tcPr>
            <w:tcW w:w="2060" w:type="dxa"/>
            <w:vAlign w:val="bottom"/>
            <w:vMerge w:val="restart"/>
            <w:shd w:val="clear" w:color="auto" w:fill="CCEEFF"/>
          </w:tcPr>
          <w:p>
            <w:pPr>
              <w:jc w:val="center"/>
              <w:spacing w:after="0"/>
              <w:rPr>
                <w:sz w:val="20"/>
                <w:szCs w:val="20"/>
                <w:color w:val="auto"/>
              </w:rPr>
            </w:pPr>
            <w:r>
              <w:rPr>
                <w:rFonts w:ascii="Arial" w:cs="Arial" w:eastAsia="Arial" w:hAnsi="Arial"/>
                <w:sz w:val="18"/>
                <w:szCs w:val="18"/>
                <w:color w:val="auto"/>
                <w:w w:val="99"/>
              </w:rPr>
              <w:t>Annual</w:t>
            </w:r>
          </w:p>
        </w:tc>
        <w:tc>
          <w:tcPr>
            <w:tcW w:w="0" w:type="dxa"/>
            <w:vAlign w:val="bottom"/>
          </w:tcPr>
          <w:p>
            <w:pPr>
              <w:spacing w:after="0"/>
              <w:rPr>
                <w:sz w:val="1"/>
                <w:szCs w:val="1"/>
                <w:color w:val="auto"/>
              </w:rPr>
            </w:pPr>
          </w:p>
        </w:tc>
      </w:tr>
      <w:tr>
        <w:trPr>
          <w:trHeight w:val="122"/>
        </w:trPr>
        <w:tc>
          <w:tcPr>
            <w:tcW w:w="2880" w:type="dxa"/>
            <w:vAlign w:val="bottom"/>
            <w:vMerge w:val="restart"/>
            <w:shd w:val="clear" w:color="auto" w:fill="CCEEFF"/>
          </w:tcPr>
          <w:p>
            <w:pPr>
              <w:ind w:left="180"/>
              <w:spacing w:after="0"/>
              <w:rPr>
                <w:sz w:val="20"/>
                <w:szCs w:val="20"/>
                <w:color w:val="auto"/>
              </w:rPr>
            </w:pPr>
            <w:r>
              <w:rPr>
                <w:rFonts w:ascii="Arial" w:cs="Arial" w:eastAsia="Arial" w:hAnsi="Arial"/>
                <w:sz w:val="18"/>
                <w:szCs w:val="18"/>
                <w:color w:val="auto"/>
              </w:rPr>
              <w:t>Appraised Collateral</w:t>
            </w:r>
          </w:p>
        </w:tc>
        <w:tc>
          <w:tcPr>
            <w:tcW w:w="2160" w:type="dxa"/>
            <w:vAlign w:val="bottom"/>
            <w:gridSpan w:val="2"/>
            <w:vMerge w:val="continue"/>
            <w:shd w:val="clear" w:color="auto" w:fill="CCEEFF"/>
          </w:tcPr>
          <w:p>
            <w:pPr>
              <w:spacing w:after="0"/>
              <w:rPr>
                <w:sz w:val="10"/>
                <w:szCs w:val="10"/>
                <w:color w:val="auto"/>
              </w:rPr>
            </w:pPr>
          </w:p>
        </w:tc>
        <w:tc>
          <w:tcPr>
            <w:tcW w:w="2160" w:type="dxa"/>
            <w:vAlign w:val="bottom"/>
            <w:gridSpan w:val="2"/>
            <w:vMerge w:val="continue"/>
            <w:shd w:val="clear" w:color="auto" w:fill="CCEEFF"/>
          </w:tcPr>
          <w:p>
            <w:pPr>
              <w:spacing w:after="0"/>
              <w:rPr>
                <w:sz w:val="10"/>
                <w:szCs w:val="10"/>
                <w:color w:val="auto"/>
              </w:rPr>
            </w:pPr>
          </w:p>
        </w:tc>
        <w:tc>
          <w:tcPr>
            <w:tcW w:w="2160" w:type="dxa"/>
            <w:vAlign w:val="bottom"/>
            <w:gridSpan w:val="2"/>
            <w:vMerge w:val="continue"/>
            <w:shd w:val="clear" w:color="auto" w:fill="CCEEFF"/>
          </w:tcPr>
          <w:p>
            <w:pPr>
              <w:spacing w:after="0"/>
              <w:rPr>
                <w:sz w:val="10"/>
                <w:szCs w:val="10"/>
                <w:color w:val="auto"/>
              </w:rPr>
            </w:pPr>
          </w:p>
        </w:tc>
        <w:tc>
          <w:tcPr>
            <w:tcW w:w="2060" w:type="dxa"/>
            <w:vAlign w:val="bottom"/>
            <w:vMerge w:val="continue"/>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08"/>
        </w:trPr>
        <w:tc>
          <w:tcPr>
            <w:tcW w:w="2880" w:type="dxa"/>
            <w:vAlign w:val="bottom"/>
            <w:vMerge w:val="continue"/>
            <w:shd w:val="clear" w:color="auto" w:fill="CCEEFF"/>
          </w:tcPr>
          <w:p>
            <w:pPr>
              <w:spacing w:after="0"/>
              <w:rPr>
                <w:sz w:val="9"/>
                <w:szCs w:val="9"/>
                <w:color w:val="auto"/>
              </w:rPr>
            </w:pPr>
          </w:p>
        </w:tc>
        <w:tc>
          <w:tcPr>
            <w:tcW w:w="206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206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206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2060" w:type="dxa"/>
            <w:vAlign w:val="bottom"/>
            <w:shd w:val="clear" w:color="auto" w:fill="CCEEFF"/>
          </w:tcPr>
          <w:p>
            <w:pPr>
              <w:spacing w:after="0"/>
              <w:rPr>
                <w:sz w:val="9"/>
                <w:szCs w:val="9"/>
                <w:color w:val="auto"/>
              </w:rPr>
            </w:pPr>
          </w:p>
        </w:tc>
        <w:tc>
          <w:tcPr>
            <w:tcW w:w="0" w:type="dxa"/>
            <w:vAlign w:val="bottom"/>
          </w:tcPr>
          <w:p>
            <w:pPr>
              <w:spacing w:after="0"/>
              <w:rPr>
                <w:sz w:val="1"/>
                <w:szCs w:val="1"/>
                <w:color w:val="auto"/>
              </w:rPr>
            </w:pPr>
          </w:p>
        </w:tc>
      </w:tr>
      <w:tr>
        <w:trPr>
          <w:trHeight w:val="229"/>
        </w:trPr>
        <w:tc>
          <w:tcPr>
            <w:tcW w:w="2880" w:type="dxa"/>
            <w:vAlign w:val="bottom"/>
          </w:tcPr>
          <w:p>
            <w:pPr>
              <w:spacing w:after="0"/>
              <w:rPr>
                <w:sz w:val="19"/>
                <w:szCs w:val="19"/>
                <w:color w:val="auto"/>
              </w:rPr>
            </w:pPr>
          </w:p>
        </w:tc>
        <w:tc>
          <w:tcPr>
            <w:tcW w:w="2160" w:type="dxa"/>
            <w:vAlign w:val="bottom"/>
            <w:gridSpan w:val="2"/>
          </w:tcPr>
          <w:p>
            <w:pPr>
              <w:jc w:val="center"/>
              <w:ind w:right="120"/>
              <w:spacing w:after="0"/>
              <w:rPr>
                <w:sz w:val="20"/>
                <w:szCs w:val="20"/>
                <w:color w:val="auto"/>
              </w:rPr>
            </w:pPr>
            <w:r>
              <w:rPr>
                <w:rFonts w:ascii="Arial" w:cs="Arial" w:eastAsia="Arial" w:hAnsi="Arial"/>
                <w:sz w:val="18"/>
                <w:szCs w:val="18"/>
                <w:color w:val="auto"/>
              </w:rPr>
              <w:t>1.6x Collateral</w:t>
            </w:r>
          </w:p>
        </w:tc>
        <w:tc>
          <w:tcPr>
            <w:tcW w:w="2160" w:type="dxa"/>
            <w:vAlign w:val="bottom"/>
            <w:gridSpan w:val="2"/>
            <w:vMerge w:val="restart"/>
          </w:tcPr>
          <w:p>
            <w:pPr>
              <w:jc w:val="center"/>
              <w:ind w:right="80"/>
              <w:spacing w:after="0"/>
              <w:rPr>
                <w:sz w:val="20"/>
                <w:szCs w:val="20"/>
                <w:color w:val="auto"/>
              </w:rPr>
            </w:pPr>
            <w:r>
              <w:rPr>
                <w:rFonts w:ascii="Arial" w:cs="Arial" w:eastAsia="Arial" w:hAnsi="Arial"/>
                <w:sz w:val="18"/>
                <w:szCs w:val="18"/>
                <w:color w:val="auto"/>
                <w:w w:val="99"/>
              </w:rPr>
              <w:t>1.6x Collateral valuation</w:t>
            </w:r>
          </w:p>
        </w:tc>
        <w:tc>
          <w:tcPr>
            <w:tcW w:w="2160" w:type="dxa"/>
            <w:vAlign w:val="bottom"/>
            <w:gridSpan w:val="2"/>
            <w:vMerge w:val="restart"/>
          </w:tcPr>
          <w:p>
            <w:pPr>
              <w:jc w:val="center"/>
              <w:ind w:right="80"/>
              <w:spacing w:after="0"/>
              <w:rPr>
                <w:sz w:val="20"/>
                <w:szCs w:val="20"/>
                <w:color w:val="auto"/>
              </w:rPr>
            </w:pPr>
            <w:r>
              <w:rPr>
                <w:rFonts w:ascii="Arial" w:cs="Arial" w:eastAsia="Arial" w:hAnsi="Arial"/>
                <w:sz w:val="18"/>
                <w:szCs w:val="18"/>
                <w:color w:val="auto"/>
                <w:w w:val="99"/>
              </w:rPr>
              <w:t>1.6x Collateral valuation</w:t>
            </w:r>
          </w:p>
        </w:tc>
        <w:tc>
          <w:tcPr>
            <w:tcW w:w="2060" w:type="dxa"/>
            <w:vAlign w:val="bottom"/>
            <w:vMerge w:val="restart"/>
          </w:tcPr>
          <w:p>
            <w:pPr>
              <w:jc w:val="center"/>
              <w:spacing w:after="0"/>
              <w:rPr>
                <w:sz w:val="20"/>
                <w:szCs w:val="20"/>
                <w:color w:val="auto"/>
              </w:rPr>
            </w:pPr>
            <w:r>
              <w:rPr>
                <w:rFonts w:ascii="Arial" w:cs="Arial" w:eastAsia="Arial" w:hAnsi="Arial"/>
                <w:sz w:val="18"/>
                <w:szCs w:val="18"/>
                <w:color w:val="auto"/>
                <w:w w:val="99"/>
              </w:rPr>
              <w:t>1.6x Collateral valuation</w:t>
            </w:r>
          </w:p>
        </w:tc>
        <w:tc>
          <w:tcPr>
            <w:tcW w:w="0" w:type="dxa"/>
            <w:vAlign w:val="bottom"/>
          </w:tcPr>
          <w:p>
            <w:pPr>
              <w:spacing w:after="0"/>
              <w:rPr>
                <w:sz w:val="1"/>
                <w:szCs w:val="1"/>
                <w:color w:val="auto"/>
              </w:rPr>
            </w:pPr>
          </w:p>
        </w:tc>
      </w:tr>
      <w:tr>
        <w:trPr>
          <w:trHeight w:val="95"/>
        </w:trPr>
        <w:tc>
          <w:tcPr>
            <w:tcW w:w="2880" w:type="dxa"/>
            <w:vAlign w:val="bottom"/>
          </w:tcPr>
          <w:p>
            <w:pPr>
              <w:spacing w:after="0"/>
              <w:rPr>
                <w:sz w:val="8"/>
                <w:szCs w:val="8"/>
                <w:color w:val="auto"/>
              </w:rPr>
            </w:pPr>
          </w:p>
        </w:tc>
        <w:tc>
          <w:tcPr>
            <w:tcW w:w="2160" w:type="dxa"/>
            <w:vAlign w:val="bottom"/>
            <w:gridSpan w:val="2"/>
            <w:vMerge w:val="restart"/>
          </w:tcPr>
          <w:p>
            <w:pPr>
              <w:jc w:val="center"/>
              <w:ind w:right="120"/>
              <w:spacing w:after="0" w:line="202" w:lineRule="exact"/>
              <w:rPr>
                <w:sz w:val="20"/>
                <w:szCs w:val="20"/>
                <w:color w:val="auto"/>
              </w:rPr>
            </w:pPr>
            <w:r>
              <w:rPr>
                <w:rFonts w:ascii="Arial" w:cs="Arial" w:eastAsia="Arial" w:hAnsi="Arial"/>
                <w:sz w:val="18"/>
                <w:szCs w:val="18"/>
                <w:color w:val="auto"/>
                <w:w w:val="99"/>
              </w:rPr>
              <w:t>valuation to amount of</w:t>
            </w:r>
          </w:p>
        </w:tc>
        <w:tc>
          <w:tcPr>
            <w:tcW w:w="2160" w:type="dxa"/>
            <w:vAlign w:val="bottom"/>
            <w:gridSpan w:val="2"/>
            <w:vMerge w:val="continue"/>
          </w:tcPr>
          <w:p>
            <w:pPr>
              <w:spacing w:after="0"/>
              <w:rPr>
                <w:sz w:val="8"/>
                <w:szCs w:val="8"/>
                <w:color w:val="auto"/>
              </w:rPr>
            </w:pPr>
          </w:p>
        </w:tc>
        <w:tc>
          <w:tcPr>
            <w:tcW w:w="2160" w:type="dxa"/>
            <w:vAlign w:val="bottom"/>
            <w:gridSpan w:val="2"/>
            <w:vMerge w:val="continue"/>
          </w:tcPr>
          <w:p>
            <w:pPr>
              <w:spacing w:after="0"/>
              <w:rPr>
                <w:sz w:val="8"/>
                <w:szCs w:val="8"/>
                <w:color w:val="auto"/>
              </w:rPr>
            </w:pPr>
          </w:p>
        </w:tc>
        <w:tc>
          <w:tcPr>
            <w:tcW w:w="2060" w:type="dxa"/>
            <w:vAlign w:val="bottom"/>
            <w:vMerge w:val="continue"/>
          </w:tcPr>
          <w:p>
            <w:pPr>
              <w:spacing w:after="0"/>
              <w:rPr>
                <w:sz w:val="8"/>
                <w:szCs w:val="8"/>
                <w:color w:val="auto"/>
              </w:rPr>
            </w:pPr>
          </w:p>
        </w:tc>
        <w:tc>
          <w:tcPr>
            <w:tcW w:w="0" w:type="dxa"/>
            <w:vAlign w:val="bottom"/>
          </w:tcPr>
          <w:p>
            <w:pPr>
              <w:spacing w:after="0"/>
              <w:rPr>
                <w:sz w:val="1"/>
                <w:szCs w:val="1"/>
                <w:color w:val="auto"/>
              </w:rPr>
            </w:pPr>
          </w:p>
        </w:tc>
      </w:tr>
      <w:tr>
        <w:trPr>
          <w:trHeight w:val="108"/>
        </w:trPr>
        <w:tc>
          <w:tcPr>
            <w:tcW w:w="2880" w:type="dxa"/>
            <w:vAlign w:val="bottom"/>
            <w:vMerge w:val="restart"/>
          </w:tcPr>
          <w:p>
            <w:pPr>
              <w:ind w:left="40"/>
              <w:spacing w:after="0" w:line="202" w:lineRule="exact"/>
              <w:rPr>
                <w:sz w:val="20"/>
                <w:szCs w:val="20"/>
                <w:color w:val="auto"/>
              </w:rPr>
            </w:pPr>
            <w:r>
              <w:rPr>
                <w:rFonts w:ascii="Arial" w:cs="Arial" w:eastAsia="Arial" w:hAnsi="Arial"/>
                <w:sz w:val="18"/>
                <w:szCs w:val="18"/>
                <w:color w:val="auto"/>
              </w:rPr>
              <w:t>LTV Requirement</w:t>
            </w:r>
          </w:p>
        </w:tc>
        <w:tc>
          <w:tcPr>
            <w:tcW w:w="2160" w:type="dxa"/>
            <w:vAlign w:val="bottom"/>
            <w:gridSpan w:val="2"/>
            <w:vMerge w:val="continue"/>
          </w:tcPr>
          <w:p>
            <w:pPr>
              <w:spacing w:after="0"/>
              <w:rPr>
                <w:sz w:val="9"/>
                <w:szCs w:val="9"/>
                <w:color w:val="auto"/>
              </w:rPr>
            </w:pPr>
          </w:p>
        </w:tc>
        <w:tc>
          <w:tcPr>
            <w:tcW w:w="2160" w:type="dxa"/>
            <w:vAlign w:val="bottom"/>
            <w:gridSpan w:val="2"/>
            <w:vMerge w:val="restart"/>
          </w:tcPr>
          <w:p>
            <w:pPr>
              <w:jc w:val="center"/>
              <w:ind w:right="80"/>
              <w:spacing w:after="0" w:line="202" w:lineRule="exact"/>
              <w:rPr>
                <w:sz w:val="20"/>
                <w:szCs w:val="20"/>
                <w:color w:val="auto"/>
              </w:rPr>
            </w:pPr>
            <w:r>
              <w:rPr>
                <w:rFonts w:ascii="Arial" w:cs="Arial" w:eastAsia="Arial" w:hAnsi="Arial"/>
                <w:sz w:val="18"/>
                <w:szCs w:val="18"/>
                <w:color w:val="auto"/>
                <w:w w:val="99"/>
              </w:rPr>
              <w:t>to amount of debt</w:t>
            </w:r>
          </w:p>
        </w:tc>
        <w:tc>
          <w:tcPr>
            <w:tcW w:w="2160" w:type="dxa"/>
            <w:vAlign w:val="bottom"/>
            <w:gridSpan w:val="2"/>
            <w:vMerge w:val="restart"/>
          </w:tcPr>
          <w:p>
            <w:pPr>
              <w:jc w:val="center"/>
              <w:ind w:right="80"/>
              <w:spacing w:after="0" w:line="202" w:lineRule="exact"/>
              <w:rPr>
                <w:sz w:val="20"/>
                <w:szCs w:val="20"/>
                <w:color w:val="auto"/>
              </w:rPr>
            </w:pPr>
            <w:r>
              <w:rPr>
                <w:rFonts w:ascii="Arial" w:cs="Arial" w:eastAsia="Arial" w:hAnsi="Arial"/>
                <w:sz w:val="18"/>
                <w:szCs w:val="18"/>
                <w:color w:val="auto"/>
                <w:w w:val="99"/>
              </w:rPr>
              <w:t>to amount of debt</w:t>
            </w:r>
          </w:p>
        </w:tc>
        <w:tc>
          <w:tcPr>
            <w:tcW w:w="2060" w:type="dxa"/>
            <w:vAlign w:val="bottom"/>
            <w:vMerge w:val="restart"/>
          </w:tcPr>
          <w:p>
            <w:pPr>
              <w:jc w:val="center"/>
              <w:spacing w:after="0" w:line="202" w:lineRule="exact"/>
              <w:rPr>
                <w:sz w:val="20"/>
                <w:szCs w:val="20"/>
                <w:color w:val="auto"/>
              </w:rPr>
            </w:pPr>
            <w:r>
              <w:rPr>
                <w:rFonts w:ascii="Arial" w:cs="Arial" w:eastAsia="Arial" w:hAnsi="Arial"/>
                <w:sz w:val="18"/>
                <w:szCs w:val="18"/>
                <w:color w:val="auto"/>
                <w:w w:val="99"/>
              </w:rPr>
              <w:t>to amount of debt</w:t>
            </w:r>
          </w:p>
        </w:tc>
        <w:tc>
          <w:tcPr>
            <w:tcW w:w="0" w:type="dxa"/>
            <w:vAlign w:val="bottom"/>
          </w:tcPr>
          <w:p>
            <w:pPr>
              <w:spacing w:after="0"/>
              <w:rPr>
                <w:sz w:val="1"/>
                <w:szCs w:val="1"/>
                <w:color w:val="auto"/>
              </w:rPr>
            </w:pPr>
          </w:p>
        </w:tc>
      </w:tr>
      <w:tr>
        <w:trPr>
          <w:trHeight w:val="95"/>
        </w:trPr>
        <w:tc>
          <w:tcPr>
            <w:tcW w:w="2880" w:type="dxa"/>
            <w:vAlign w:val="bottom"/>
            <w:vMerge w:val="continue"/>
          </w:tcPr>
          <w:p>
            <w:pPr>
              <w:spacing w:after="0"/>
              <w:rPr>
                <w:sz w:val="8"/>
                <w:szCs w:val="8"/>
                <w:color w:val="auto"/>
              </w:rPr>
            </w:pPr>
          </w:p>
        </w:tc>
        <w:tc>
          <w:tcPr>
            <w:tcW w:w="2160" w:type="dxa"/>
            <w:vAlign w:val="bottom"/>
            <w:gridSpan w:val="2"/>
            <w:vMerge w:val="restart"/>
          </w:tcPr>
          <w:p>
            <w:pPr>
              <w:jc w:val="center"/>
              <w:ind w:right="120"/>
              <w:spacing w:after="0" w:line="202" w:lineRule="exact"/>
              <w:rPr>
                <w:sz w:val="20"/>
                <w:szCs w:val="20"/>
                <w:color w:val="auto"/>
              </w:rPr>
            </w:pPr>
            <w:r>
              <w:rPr>
                <w:rFonts w:ascii="Arial" w:cs="Arial" w:eastAsia="Arial" w:hAnsi="Arial"/>
                <w:sz w:val="18"/>
                <w:szCs w:val="18"/>
                <w:color w:val="auto"/>
              </w:rPr>
              <w:t>debt outstanding (62.5%</w:t>
            </w:r>
          </w:p>
        </w:tc>
        <w:tc>
          <w:tcPr>
            <w:tcW w:w="2160" w:type="dxa"/>
            <w:vAlign w:val="bottom"/>
            <w:gridSpan w:val="2"/>
            <w:vMerge w:val="continue"/>
          </w:tcPr>
          <w:p>
            <w:pPr>
              <w:spacing w:after="0"/>
              <w:rPr>
                <w:sz w:val="8"/>
                <w:szCs w:val="8"/>
                <w:color w:val="auto"/>
              </w:rPr>
            </w:pPr>
          </w:p>
        </w:tc>
        <w:tc>
          <w:tcPr>
            <w:tcW w:w="2160" w:type="dxa"/>
            <w:vAlign w:val="bottom"/>
            <w:gridSpan w:val="2"/>
            <w:vMerge w:val="continue"/>
          </w:tcPr>
          <w:p>
            <w:pPr>
              <w:spacing w:after="0"/>
              <w:rPr>
                <w:sz w:val="8"/>
                <w:szCs w:val="8"/>
                <w:color w:val="auto"/>
              </w:rPr>
            </w:pPr>
          </w:p>
        </w:tc>
        <w:tc>
          <w:tcPr>
            <w:tcW w:w="2060" w:type="dxa"/>
            <w:vAlign w:val="bottom"/>
            <w:vMerge w:val="continue"/>
          </w:tcPr>
          <w:p>
            <w:pPr>
              <w:spacing w:after="0"/>
              <w:rPr>
                <w:sz w:val="8"/>
                <w:szCs w:val="8"/>
                <w:color w:val="auto"/>
              </w:rPr>
            </w:pPr>
          </w:p>
        </w:tc>
        <w:tc>
          <w:tcPr>
            <w:tcW w:w="0" w:type="dxa"/>
            <w:vAlign w:val="bottom"/>
          </w:tcPr>
          <w:p>
            <w:pPr>
              <w:spacing w:after="0"/>
              <w:rPr>
                <w:sz w:val="1"/>
                <w:szCs w:val="1"/>
                <w:color w:val="auto"/>
              </w:rPr>
            </w:pPr>
          </w:p>
        </w:tc>
      </w:tr>
      <w:tr>
        <w:trPr>
          <w:trHeight w:val="108"/>
        </w:trPr>
        <w:tc>
          <w:tcPr>
            <w:tcW w:w="2880" w:type="dxa"/>
            <w:vAlign w:val="bottom"/>
          </w:tcPr>
          <w:p>
            <w:pPr>
              <w:spacing w:after="0"/>
              <w:rPr>
                <w:sz w:val="9"/>
                <w:szCs w:val="9"/>
                <w:color w:val="auto"/>
              </w:rPr>
            </w:pPr>
          </w:p>
        </w:tc>
        <w:tc>
          <w:tcPr>
            <w:tcW w:w="2160" w:type="dxa"/>
            <w:vAlign w:val="bottom"/>
            <w:gridSpan w:val="2"/>
            <w:vMerge w:val="continue"/>
          </w:tcPr>
          <w:p>
            <w:pPr>
              <w:spacing w:after="0"/>
              <w:rPr>
                <w:sz w:val="9"/>
                <w:szCs w:val="9"/>
                <w:color w:val="auto"/>
              </w:rPr>
            </w:pPr>
          </w:p>
        </w:tc>
        <w:tc>
          <w:tcPr>
            <w:tcW w:w="2160" w:type="dxa"/>
            <w:vAlign w:val="bottom"/>
            <w:gridSpan w:val="2"/>
            <w:vMerge w:val="restart"/>
          </w:tcPr>
          <w:p>
            <w:pPr>
              <w:jc w:val="center"/>
              <w:ind w:right="100"/>
              <w:spacing w:after="0"/>
              <w:rPr>
                <w:sz w:val="20"/>
                <w:szCs w:val="20"/>
                <w:color w:val="auto"/>
              </w:rPr>
            </w:pPr>
            <w:r>
              <w:rPr>
                <w:rFonts w:ascii="Arial" w:cs="Arial" w:eastAsia="Arial" w:hAnsi="Arial"/>
                <w:sz w:val="18"/>
                <w:szCs w:val="18"/>
                <w:color w:val="auto"/>
                <w:w w:val="99"/>
              </w:rPr>
              <w:t>outstanding (62.5% LTV)</w:t>
            </w:r>
          </w:p>
        </w:tc>
        <w:tc>
          <w:tcPr>
            <w:tcW w:w="2160" w:type="dxa"/>
            <w:vAlign w:val="bottom"/>
            <w:gridSpan w:val="2"/>
            <w:vMerge w:val="restart"/>
          </w:tcPr>
          <w:p>
            <w:pPr>
              <w:jc w:val="center"/>
              <w:ind w:right="100"/>
              <w:spacing w:after="0"/>
              <w:rPr>
                <w:sz w:val="20"/>
                <w:szCs w:val="20"/>
                <w:color w:val="auto"/>
              </w:rPr>
            </w:pPr>
            <w:r>
              <w:rPr>
                <w:rFonts w:ascii="Arial" w:cs="Arial" w:eastAsia="Arial" w:hAnsi="Arial"/>
                <w:sz w:val="18"/>
                <w:szCs w:val="18"/>
                <w:color w:val="auto"/>
                <w:w w:val="99"/>
              </w:rPr>
              <w:t>outstanding (62.5% LTV)</w:t>
            </w:r>
          </w:p>
        </w:tc>
        <w:tc>
          <w:tcPr>
            <w:tcW w:w="2060" w:type="dxa"/>
            <w:vAlign w:val="bottom"/>
            <w:vMerge w:val="restart"/>
          </w:tcPr>
          <w:p>
            <w:pPr>
              <w:jc w:val="center"/>
              <w:spacing w:after="0"/>
              <w:rPr>
                <w:sz w:val="20"/>
                <w:szCs w:val="20"/>
                <w:color w:val="auto"/>
              </w:rPr>
            </w:pPr>
            <w:r>
              <w:rPr>
                <w:rFonts w:ascii="Arial" w:cs="Arial" w:eastAsia="Arial" w:hAnsi="Arial"/>
                <w:sz w:val="18"/>
                <w:szCs w:val="18"/>
                <w:color w:val="auto"/>
                <w:w w:val="99"/>
              </w:rPr>
              <w:t>outstanding (62.5% LTV)</w:t>
            </w:r>
          </w:p>
        </w:tc>
        <w:tc>
          <w:tcPr>
            <w:tcW w:w="0" w:type="dxa"/>
            <w:vAlign w:val="bottom"/>
          </w:tcPr>
          <w:p>
            <w:pPr>
              <w:spacing w:after="0"/>
              <w:rPr>
                <w:sz w:val="1"/>
                <w:szCs w:val="1"/>
                <w:color w:val="auto"/>
              </w:rPr>
            </w:pPr>
          </w:p>
        </w:tc>
      </w:tr>
      <w:tr>
        <w:trPr>
          <w:trHeight w:val="109"/>
        </w:trPr>
        <w:tc>
          <w:tcPr>
            <w:tcW w:w="2880" w:type="dxa"/>
            <w:vAlign w:val="bottom"/>
          </w:tcPr>
          <w:p>
            <w:pPr>
              <w:spacing w:after="0"/>
              <w:rPr>
                <w:sz w:val="9"/>
                <w:szCs w:val="9"/>
                <w:color w:val="auto"/>
              </w:rPr>
            </w:pPr>
          </w:p>
        </w:tc>
        <w:tc>
          <w:tcPr>
            <w:tcW w:w="2160" w:type="dxa"/>
            <w:vAlign w:val="bottom"/>
            <w:gridSpan w:val="2"/>
            <w:vMerge w:val="restart"/>
          </w:tcPr>
          <w:p>
            <w:pPr>
              <w:jc w:val="center"/>
              <w:ind w:right="100"/>
              <w:spacing w:after="0"/>
              <w:rPr>
                <w:sz w:val="20"/>
                <w:szCs w:val="20"/>
                <w:color w:val="auto"/>
              </w:rPr>
            </w:pPr>
            <w:r>
              <w:rPr>
                <w:rFonts w:ascii="Arial" w:cs="Arial" w:eastAsia="Arial" w:hAnsi="Arial"/>
                <w:sz w:val="18"/>
                <w:szCs w:val="18"/>
                <w:color w:val="auto"/>
                <w:w w:val="97"/>
              </w:rPr>
              <w:t>LTV)</w:t>
            </w:r>
          </w:p>
        </w:tc>
        <w:tc>
          <w:tcPr>
            <w:tcW w:w="2160" w:type="dxa"/>
            <w:vAlign w:val="bottom"/>
            <w:gridSpan w:val="2"/>
            <w:vMerge w:val="continue"/>
          </w:tcPr>
          <w:p>
            <w:pPr>
              <w:spacing w:after="0"/>
              <w:rPr>
                <w:sz w:val="9"/>
                <w:szCs w:val="9"/>
                <w:color w:val="auto"/>
              </w:rPr>
            </w:pPr>
          </w:p>
        </w:tc>
        <w:tc>
          <w:tcPr>
            <w:tcW w:w="2160" w:type="dxa"/>
            <w:vAlign w:val="bottom"/>
            <w:gridSpan w:val="2"/>
            <w:vMerge w:val="continue"/>
          </w:tcPr>
          <w:p>
            <w:pPr>
              <w:spacing w:after="0"/>
              <w:rPr>
                <w:sz w:val="9"/>
                <w:szCs w:val="9"/>
                <w:color w:val="auto"/>
              </w:rPr>
            </w:pPr>
          </w:p>
        </w:tc>
        <w:tc>
          <w:tcPr>
            <w:tcW w:w="206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15"/>
        </w:trPr>
        <w:tc>
          <w:tcPr>
            <w:tcW w:w="2880" w:type="dxa"/>
            <w:vAlign w:val="bottom"/>
          </w:tcPr>
          <w:p>
            <w:pPr>
              <w:spacing w:after="0"/>
              <w:rPr>
                <w:sz w:val="9"/>
                <w:szCs w:val="9"/>
                <w:color w:val="auto"/>
              </w:rPr>
            </w:pPr>
          </w:p>
        </w:tc>
        <w:tc>
          <w:tcPr>
            <w:tcW w:w="2160" w:type="dxa"/>
            <w:vAlign w:val="bottom"/>
            <w:gridSpan w:val="2"/>
            <w:vMerge w:val="continue"/>
          </w:tcPr>
          <w:p>
            <w:pPr>
              <w:spacing w:after="0"/>
              <w:rPr>
                <w:sz w:val="9"/>
                <w:szCs w:val="9"/>
                <w:color w:val="auto"/>
              </w:rPr>
            </w:pPr>
          </w:p>
        </w:tc>
        <w:tc>
          <w:tcPr>
            <w:tcW w:w="2060" w:type="dxa"/>
            <w:vAlign w:val="bottom"/>
          </w:tcPr>
          <w:p>
            <w:pPr>
              <w:spacing w:after="0"/>
              <w:rPr>
                <w:sz w:val="9"/>
                <w:szCs w:val="9"/>
                <w:color w:val="auto"/>
              </w:rPr>
            </w:pPr>
          </w:p>
        </w:tc>
        <w:tc>
          <w:tcPr>
            <w:tcW w:w="100" w:type="dxa"/>
            <w:vAlign w:val="bottom"/>
          </w:tcPr>
          <w:p>
            <w:pPr>
              <w:spacing w:after="0"/>
              <w:rPr>
                <w:sz w:val="9"/>
                <w:szCs w:val="9"/>
                <w:color w:val="auto"/>
              </w:rPr>
            </w:pPr>
          </w:p>
        </w:tc>
        <w:tc>
          <w:tcPr>
            <w:tcW w:w="2060" w:type="dxa"/>
            <w:vAlign w:val="bottom"/>
          </w:tcPr>
          <w:p>
            <w:pPr>
              <w:spacing w:after="0"/>
              <w:rPr>
                <w:sz w:val="9"/>
                <w:szCs w:val="9"/>
                <w:color w:val="auto"/>
              </w:rPr>
            </w:pPr>
          </w:p>
        </w:tc>
        <w:tc>
          <w:tcPr>
            <w:tcW w:w="100" w:type="dxa"/>
            <w:vAlign w:val="bottom"/>
          </w:tcPr>
          <w:p>
            <w:pPr>
              <w:spacing w:after="0"/>
              <w:rPr>
                <w:sz w:val="9"/>
                <w:szCs w:val="9"/>
                <w:color w:val="auto"/>
              </w:rPr>
            </w:pPr>
          </w:p>
        </w:tc>
        <w:tc>
          <w:tcPr>
            <w:tcW w:w="20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35"/>
        </w:trPr>
        <w:tc>
          <w:tcPr>
            <w:tcW w:w="2880" w:type="dxa"/>
            <w:vAlign w:val="bottom"/>
            <w:shd w:val="clear" w:color="auto" w:fill="CCEEFF"/>
          </w:tcPr>
          <w:p>
            <w:pPr>
              <w:ind w:left="40"/>
              <w:spacing w:after="0"/>
              <w:rPr>
                <w:sz w:val="20"/>
                <w:szCs w:val="20"/>
                <w:color w:val="auto"/>
              </w:rPr>
            </w:pPr>
            <w:r>
              <w:rPr>
                <w:rFonts w:ascii="Arial" w:cs="Arial" w:eastAsia="Arial" w:hAnsi="Arial"/>
                <w:sz w:val="18"/>
                <w:szCs w:val="18"/>
                <w:color w:val="auto"/>
              </w:rPr>
              <w:t>LTV as of Last Measurement</w:t>
            </w:r>
          </w:p>
        </w:tc>
        <w:tc>
          <w:tcPr>
            <w:tcW w:w="2060" w:type="dxa"/>
            <w:vAlign w:val="bottom"/>
            <w:vMerge w:val="restart"/>
            <w:shd w:val="clear" w:color="auto" w:fill="CCEEFF"/>
          </w:tcPr>
          <w:p>
            <w:pPr>
              <w:jc w:val="center"/>
              <w:spacing w:after="0"/>
              <w:rPr>
                <w:sz w:val="20"/>
                <w:szCs w:val="20"/>
                <w:color w:val="auto"/>
              </w:rPr>
            </w:pPr>
            <w:r>
              <w:rPr>
                <w:rFonts w:ascii="Arial" w:cs="Arial" w:eastAsia="Arial" w:hAnsi="Arial"/>
                <w:sz w:val="18"/>
                <w:szCs w:val="18"/>
                <w:color w:val="auto"/>
              </w:rPr>
              <w:t>36.2%</w:t>
            </w:r>
          </w:p>
        </w:tc>
        <w:tc>
          <w:tcPr>
            <w:tcW w:w="100" w:type="dxa"/>
            <w:vAlign w:val="bottom"/>
            <w:shd w:val="clear" w:color="auto" w:fill="CCEEFF"/>
          </w:tcPr>
          <w:p>
            <w:pPr>
              <w:spacing w:after="0"/>
              <w:rPr>
                <w:sz w:val="20"/>
                <w:szCs w:val="20"/>
                <w:color w:val="auto"/>
              </w:rPr>
            </w:pPr>
          </w:p>
        </w:tc>
        <w:tc>
          <w:tcPr>
            <w:tcW w:w="2060" w:type="dxa"/>
            <w:vAlign w:val="bottom"/>
            <w:vMerge w:val="restart"/>
            <w:shd w:val="clear" w:color="auto" w:fill="CCEEFF"/>
          </w:tcPr>
          <w:p>
            <w:pPr>
              <w:jc w:val="center"/>
              <w:spacing w:after="0"/>
              <w:rPr>
                <w:sz w:val="20"/>
                <w:szCs w:val="20"/>
                <w:color w:val="auto"/>
              </w:rPr>
            </w:pPr>
            <w:r>
              <w:rPr>
                <w:rFonts w:ascii="Arial" w:cs="Arial" w:eastAsia="Arial" w:hAnsi="Arial"/>
                <w:sz w:val="18"/>
                <w:szCs w:val="18"/>
                <w:color w:val="auto"/>
                <w:w w:val="97"/>
              </w:rPr>
              <w:t>17.7%</w:t>
            </w:r>
          </w:p>
        </w:tc>
        <w:tc>
          <w:tcPr>
            <w:tcW w:w="100" w:type="dxa"/>
            <w:vAlign w:val="bottom"/>
            <w:shd w:val="clear" w:color="auto" w:fill="CCEEFF"/>
          </w:tcPr>
          <w:p>
            <w:pPr>
              <w:spacing w:after="0"/>
              <w:rPr>
                <w:sz w:val="20"/>
                <w:szCs w:val="20"/>
                <w:color w:val="auto"/>
              </w:rPr>
            </w:pPr>
          </w:p>
        </w:tc>
        <w:tc>
          <w:tcPr>
            <w:tcW w:w="2060" w:type="dxa"/>
            <w:vAlign w:val="bottom"/>
            <w:vMerge w:val="restart"/>
            <w:shd w:val="clear" w:color="auto" w:fill="CCEEFF"/>
          </w:tcPr>
          <w:p>
            <w:pPr>
              <w:jc w:val="center"/>
              <w:spacing w:after="0"/>
              <w:rPr>
                <w:sz w:val="20"/>
                <w:szCs w:val="20"/>
                <w:color w:val="auto"/>
              </w:rPr>
            </w:pPr>
            <w:r>
              <w:rPr>
                <w:rFonts w:ascii="Arial" w:cs="Arial" w:eastAsia="Arial" w:hAnsi="Arial"/>
                <w:sz w:val="18"/>
                <w:szCs w:val="18"/>
                <w:color w:val="auto"/>
                <w:w w:val="97"/>
              </w:rPr>
              <w:t>36.2%</w:t>
            </w:r>
          </w:p>
        </w:tc>
        <w:tc>
          <w:tcPr>
            <w:tcW w:w="100" w:type="dxa"/>
            <w:vAlign w:val="bottom"/>
            <w:shd w:val="clear" w:color="auto" w:fill="CCEEFF"/>
          </w:tcPr>
          <w:p>
            <w:pPr>
              <w:spacing w:after="0"/>
              <w:rPr>
                <w:sz w:val="20"/>
                <w:szCs w:val="20"/>
                <w:color w:val="auto"/>
              </w:rPr>
            </w:pPr>
          </w:p>
        </w:tc>
        <w:tc>
          <w:tcPr>
            <w:tcW w:w="2060" w:type="dxa"/>
            <w:vAlign w:val="bottom"/>
            <w:vMerge w:val="restart"/>
            <w:shd w:val="clear" w:color="auto" w:fill="CCEEFF"/>
          </w:tcPr>
          <w:p>
            <w:pPr>
              <w:jc w:val="center"/>
              <w:spacing w:after="0"/>
              <w:rPr>
                <w:sz w:val="20"/>
                <w:szCs w:val="20"/>
                <w:color w:val="auto"/>
              </w:rPr>
            </w:pPr>
            <w:r>
              <w:rPr>
                <w:rFonts w:ascii="Arial" w:cs="Arial" w:eastAsia="Arial" w:hAnsi="Arial"/>
                <w:sz w:val="18"/>
                <w:szCs w:val="18"/>
                <w:color w:val="auto"/>
                <w:w w:val="97"/>
              </w:rPr>
              <w:t>53.6%</w:t>
            </w:r>
          </w:p>
        </w:tc>
        <w:tc>
          <w:tcPr>
            <w:tcW w:w="0" w:type="dxa"/>
            <w:vAlign w:val="bottom"/>
          </w:tcPr>
          <w:p>
            <w:pPr>
              <w:spacing w:after="0"/>
              <w:rPr>
                <w:sz w:val="1"/>
                <w:szCs w:val="1"/>
                <w:color w:val="auto"/>
              </w:rPr>
            </w:pPr>
          </w:p>
        </w:tc>
      </w:tr>
      <w:tr>
        <w:trPr>
          <w:trHeight w:val="109"/>
        </w:trPr>
        <w:tc>
          <w:tcPr>
            <w:tcW w:w="2880" w:type="dxa"/>
            <w:vAlign w:val="bottom"/>
            <w:vMerge w:val="restart"/>
            <w:shd w:val="clear" w:color="auto" w:fill="CCEEFF"/>
          </w:tcPr>
          <w:p>
            <w:pPr>
              <w:ind w:left="180"/>
              <w:spacing w:after="0"/>
              <w:rPr>
                <w:sz w:val="20"/>
                <w:szCs w:val="20"/>
                <w:color w:val="auto"/>
              </w:rPr>
            </w:pPr>
            <w:r>
              <w:rPr>
                <w:rFonts w:ascii="Arial" w:cs="Arial" w:eastAsia="Arial" w:hAnsi="Arial"/>
                <w:sz w:val="18"/>
                <w:szCs w:val="18"/>
                <w:color w:val="auto"/>
              </w:rPr>
              <w:t>Date</w:t>
            </w:r>
          </w:p>
        </w:tc>
        <w:tc>
          <w:tcPr>
            <w:tcW w:w="2060" w:type="dxa"/>
            <w:vAlign w:val="bottom"/>
            <w:vMerge w:val="continue"/>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2060" w:type="dxa"/>
            <w:vAlign w:val="bottom"/>
            <w:vMerge w:val="continue"/>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2060" w:type="dxa"/>
            <w:vAlign w:val="bottom"/>
            <w:vMerge w:val="continue"/>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2060" w:type="dxa"/>
            <w:vAlign w:val="bottom"/>
            <w:vMerge w:val="continue"/>
            <w:shd w:val="clear" w:color="auto" w:fill="CCEEFF"/>
          </w:tcPr>
          <w:p>
            <w:pPr>
              <w:spacing w:after="0"/>
              <w:rPr>
                <w:sz w:val="9"/>
                <w:szCs w:val="9"/>
                <w:color w:val="auto"/>
              </w:rPr>
            </w:pPr>
          </w:p>
        </w:tc>
        <w:tc>
          <w:tcPr>
            <w:tcW w:w="0" w:type="dxa"/>
            <w:vAlign w:val="bottom"/>
          </w:tcPr>
          <w:p>
            <w:pPr>
              <w:spacing w:after="0"/>
              <w:rPr>
                <w:sz w:val="1"/>
                <w:szCs w:val="1"/>
                <w:color w:val="auto"/>
              </w:rPr>
            </w:pPr>
          </w:p>
        </w:tc>
      </w:tr>
      <w:tr>
        <w:trPr>
          <w:trHeight w:val="122"/>
        </w:trPr>
        <w:tc>
          <w:tcPr>
            <w:tcW w:w="2880" w:type="dxa"/>
            <w:vAlign w:val="bottom"/>
            <w:vMerge w:val="continue"/>
            <w:shd w:val="clear" w:color="auto" w:fill="CCEEFF"/>
          </w:tcPr>
          <w:p>
            <w:pPr>
              <w:spacing w:after="0"/>
              <w:rPr>
                <w:sz w:val="10"/>
                <w:szCs w:val="10"/>
                <w:color w:val="auto"/>
              </w:rPr>
            </w:pPr>
          </w:p>
        </w:tc>
        <w:tc>
          <w:tcPr>
            <w:tcW w:w="206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206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206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2060" w:type="dxa"/>
            <w:vAlign w:val="bottom"/>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229"/>
        </w:trPr>
        <w:tc>
          <w:tcPr>
            <w:tcW w:w="2880" w:type="dxa"/>
            <w:vAlign w:val="bottom"/>
          </w:tcPr>
          <w:p>
            <w:pPr>
              <w:spacing w:after="0"/>
              <w:rPr>
                <w:sz w:val="19"/>
                <w:szCs w:val="19"/>
                <w:color w:val="auto"/>
              </w:rPr>
            </w:pPr>
          </w:p>
        </w:tc>
        <w:tc>
          <w:tcPr>
            <w:tcW w:w="20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160" w:type="dxa"/>
            <w:vAlign w:val="bottom"/>
            <w:gridSpan w:val="2"/>
          </w:tcPr>
          <w:p>
            <w:pPr>
              <w:jc w:val="center"/>
              <w:ind w:right="100"/>
              <w:spacing w:after="0"/>
              <w:rPr>
                <w:sz w:val="20"/>
                <w:szCs w:val="20"/>
                <w:color w:val="auto"/>
              </w:rPr>
            </w:pPr>
            <w:r>
              <w:rPr>
                <w:rFonts w:ascii="Arial" w:cs="Arial" w:eastAsia="Arial" w:hAnsi="Arial"/>
                <w:sz w:val="18"/>
                <w:szCs w:val="18"/>
                <w:color w:val="auto"/>
                <w:w w:val="98"/>
              </w:rPr>
              <w:t>Generally, certain slots,</w:t>
            </w:r>
          </w:p>
        </w:tc>
        <w:tc>
          <w:tcPr>
            <w:tcW w:w="20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60" w:type="dxa"/>
            <w:vAlign w:val="bottom"/>
            <w:vMerge w:val="restart"/>
          </w:tcPr>
          <w:p>
            <w:pPr>
              <w:jc w:val="center"/>
              <w:spacing w:after="0"/>
              <w:rPr>
                <w:sz w:val="20"/>
                <w:szCs w:val="20"/>
                <w:color w:val="auto"/>
              </w:rPr>
            </w:pPr>
            <w:r>
              <w:rPr>
                <w:rFonts w:ascii="Arial" w:cs="Arial" w:eastAsia="Arial" w:hAnsi="Arial"/>
                <w:sz w:val="18"/>
                <w:szCs w:val="18"/>
                <w:color w:val="auto"/>
                <w:w w:val="99"/>
              </w:rPr>
              <w:t>Generally, certain</w:t>
            </w:r>
          </w:p>
        </w:tc>
        <w:tc>
          <w:tcPr>
            <w:tcW w:w="0" w:type="dxa"/>
            <w:vAlign w:val="bottom"/>
          </w:tcPr>
          <w:p>
            <w:pPr>
              <w:spacing w:after="0"/>
              <w:rPr>
                <w:sz w:val="1"/>
                <w:szCs w:val="1"/>
                <w:color w:val="auto"/>
              </w:rPr>
            </w:pPr>
          </w:p>
        </w:tc>
      </w:tr>
      <w:tr>
        <w:trPr>
          <w:trHeight w:val="95"/>
        </w:trPr>
        <w:tc>
          <w:tcPr>
            <w:tcW w:w="2880" w:type="dxa"/>
            <w:vAlign w:val="bottom"/>
          </w:tcPr>
          <w:p>
            <w:pPr>
              <w:spacing w:after="0"/>
              <w:rPr>
                <w:sz w:val="8"/>
                <w:szCs w:val="8"/>
                <w:color w:val="auto"/>
              </w:rPr>
            </w:pPr>
          </w:p>
        </w:tc>
        <w:tc>
          <w:tcPr>
            <w:tcW w:w="2160" w:type="dxa"/>
            <w:vAlign w:val="bottom"/>
            <w:gridSpan w:val="2"/>
            <w:vMerge w:val="restart"/>
          </w:tcPr>
          <w:p>
            <w:pPr>
              <w:jc w:val="center"/>
              <w:ind w:right="100"/>
              <w:spacing w:after="0" w:line="202" w:lineRule="exact"/>
              <w:rPr>
                <w:sz w:val="20"/>
                <w:szCs w:val="20"/>
                <w:color w:val="auto"/>
              </w:rPr>
            </w:pPr>
            <w:r>
              <w:rPr>
                <w:rFonts w:ascii="Arial" w:cs="Arial" w:eastAsia="Arial" w:hAnsi="Arial"/>
                <w:sz w:val="18"/>
                <w:szCs w:val="18"/>
                <w:color w:val="auto"/>
                <w:w w:val="98"/>
              </w:rPr>
              <w:t>Generally, certain slots,</w:t>
            </w:r>
          </w:p>
        </w:tc>
        <w:tc>
          <w:tcPr>
            <w:tcW w:w="2160" w:type="dxa"/>
            <w:vAlign w:val="bottom"/>
            <w:gridSpan w:val="2"/>
            <w:vMerge w:val="restart"/>
          </w:tcPr>
          <w:p>
            <w:pPr>
              <w:jc w:val="center"/>
              <w:ind w:right="80"/>
              <w:spacing w:after="0" w:line="202" w:lineRule="exact"/>
              <w:rPr>
                <w:sz w:val="20"/>
                <w:szCs w:val="20"/>
                <w:color w:val="auto"/>
              </w:rPr>
            </w:pPr>
            <w:r>
              <w:rPr>
                <w:rFonts w:ascii="Arial" w:cs="Arial" w:eastAsia="Arial" w:hAnsi="Arial"/>
                <w:sz w:val="18"/>
                <w:szCs w:val="18"/>
                <w:color w:val="auto"/>
                <w:w w:val="99"/>
              </w:rPr>
              <w:t>route authorities and</w:t>
            </w:r>
          </w:p>
        </w:tc>
        <w:tc>
          <w:tcPr>
            <w:tcW w:w="2060" w:type="dxa"/>
            <w:vAlign w:val="bottom"/>
          </w:tcPr>
          <w:p>
            <w:pPr>
              <w:spacing w:after="0"/>
              <w:rPr>
                <w:sz w:val="8"/>
                <w:szCs w:val="8"/>
                <w:color w:val="auto"/>
              </w:rPr>
            </w:pPr>
          </w:p>
        </w:tc>
        <w:tc>
          <w:tcPr>
            <w:tcW w:w="100" w:type="dxa"/>
            <w:vAlign w:val="bottom"/>
          </w:tcPr>
          <w:p>
            <w:pPr>
              <w:spacing w:after="0"/>
              <w:rPr>
                <w:sz w:val="8"/>
                <w:szCs w:val="8"/>
                <w:color w:val="auto"/>
              </w:rPr>
            </w:pPr>
          </w:p>
        </w:tc>
        <w:tc>
          <w:tcPr>
            <w:tcW w:w="2060" w:type="dxa"/>
            <w:vAlign w:val="bottom"/>
            <w:vMerge w:val="continue"/>
          </w:tcPr>
          <w:p>
            <w:pPr>
              <w:spacing w:after="0"/>
              <w:rPr>
                <w:sz w:val="8"/>
                <w:szCs w:val="8"/>
                <w:color w:val="auto"/>
              </w:rPr>
            </w:pPr>
          </w:p>
        </w:tc>
        <w:tc>
          <w:tcPr>
            <w:tcW w:w="0" w:type="dxa"/>
            <w:vAlign w:val="bottom"/>
          </w:tcPr>
          <w:p>
            <w:pPr>
              <w:spacing w:after="0"/>
              <w:rPr>
                <w:sz w:val="1"/>
                <w:szCs w:val="1"/>
                <w:color w:val="auto"/>
              </w:rPr>
            </w:pPr>
          </w:p>
        </w:tc>
      </w:tr>
      <w:tr>
        <w:trPr>
          <w:trHeight w:val="108"/>
        </w:trPr>
        <w:tc>
          <w:tcPr>
            <w:tcW w:w="2880" w:type="dxa"/>
            <w:vAlign w:val="bottom"/>
          </w:tcPr>
          <w:p>
            <w:pPr>
              <w:spacing w:after="0"/>
              <w:rPr>
                <w:sz w:val="9"/>
                <w:szCs w:val="9"/>
                <w:color w:val="auto"/>
              </w:rPr>
            </w:pPr>
          </w:p>
        </w:tc>
        <w:tc>
          <w:tcPr>
            <w:tcW w:w="2160" w:type="dxa"/>
            <w:vAlign w:val="bottom"/>
            <w:gridSpan w:val="2"/>
            <w:vMerge w:val="continue"/>
          </w:tcPr>
          <w:p>
            <w:pPr>
              <w:spacing w:after="0"/>
              <w:rPr>
                <w:sz w:val="9"/>
                <w:szCs w:val="9"/>
                <w:color w:val="auto"/>
              </w:rPr>
            </w:pPr>
          </w:p>
        </w:tc>
        <w:tc>
          <w:tcPr>
            <w:tcW w:w="2160" w:type="dxa"/>
            <w:vAlign w:val="bottom"/>
            <w:gridSpan w:val="2"/>
            <w:vMerge w:val="continue"/>
          </w:tcPr>
          <w:p>
            <w:pPr>
              <w:spacing w:after="0"/>
              <w:rPr>
                <w:sz w:val="9"/>
                <w:szCs w:val="9"/>
                <w:color w:val="auto"/>
              </w:rPr>
            </w:pPr>
          </w:p>
        </w:tc>
        <w:tc>
          <w:tcPr>
            <w:tcW w:w="2060" w:type="dxa"/>
            <w:vAlign w:val="bottom"/>
          </w:tcPr>
          <w:p>
            <w:pPr>
              <w:spacing w:after="0"/>
              <w:rPr>
                <w:sz w:val="9"/>
                <w:szCs w:val="9"/>
                <w:color w:val="auto"/>
              </w:rPr>
            </w:pPr>
          </w:p>
        </w:tc>
        <w:tc>
          <w:tcPr>
            <w:tcW w:w="100" w:type="dxa"/>
            <w:vAlign w:val="bottom"/>
          </w:tcPr>
          <w:p>
            <w:pPr>
              <w:spacing w:after="0"/>
              <w:rPr>
                <w:sz w:val="9"/>
                <w:szCs w:val="9"/>
                <w:color w:val="auto"/>
              </w:rPr>
            </w:pPr>
          </w:p>
        </w:tc>
        <w:tc>
          <w:tcPr>
            <w:tcW w:w="2060" w:type="dxa"/>
            <w:vAlign w:val="bottom"/>
            <w:vMerge w:val="restart"/>
          </w:tcPr>
          <w:p>
            <w:pPr>
              <w:jc w:val="center"/>
              <w:spacing w:after="0" w:line="202" w:lineRule="exact"/>
              <w:rPr>
                <w:sz w:val="20"/>
                <w:szCs w:val="20"/>
                <w:color w:val="auto"/>
              </w:rPr>
            </w:pPr>
            <w:r>
              <w:rPr>
                <w:rFonts w:ascii="Arial" w:cs="Arial" w:eastAsia="Arial" w:hAnsi="Arial"/>
                <w:sz w:val="18"/>
                <w:szCs w:val="18"/>
                <w:color w:val="auto"/>
              </w:rPr>
              <w:t>Ronald Reagan</w:t>
            </w:r>
          </w:p>
        </w:tc>
        <w:tc>
          <w:tcPr>
            <w:tcW w:w="0" w:type="dxa"/>
            <w:vAlign w:val="bottom"/>
          </w:tcPr>
          <w:p>
            <w:pPr>
              <w:spacing w:after="0"/>
              <w:rPr>
                <w:sz w:val="1"/>
                <w:szCs w:val="1"/>
                <w:color w:val="auto"/>
              </w:rPr>
            </w:pPr>
          </w:p>
        </w:tc>
      </w:tr>
      <w:tr>
        <w:trPr>
          <w:trHeight w:val="95"/>
        </w:trPr>
        <w:tc>
          <w:tcPr>
            <w:tcW w:w="2880" w:type="dxa"/>
            <w:vAlign w:val="bottom"/>
          </w:tcPr>
          <w:p>
            <w:pPr>
              <w:spacing w:after="0"/>
              <w:rPr>
                <w:sz w:val="8"/>
                <w:szCs w:val="8"/>
                <w:color w:val="auto"/>
              </w:rPr>
            </w:pPr>
          </w:p>
        </w:tc>
        <w:tc>
          <w:tcPr>
            <w:tcW w:w="2160" w:type="dxa"/>
            <w:vAlign w:val="bottom"/>
            <w:gridSpan w:val="2"/>
            <w:vMerge w:val="restart"/>
          </w:tcPr>
          <w:p>
            <w:pPr>
              <w:jc w:val="center"/>
              <w:ind w:right="120"/>
              <w:spacing w:after="0" w:line="202" w:lineRule="exact"/>
              <w:rPr>
                <w:sz w:val="20"/>
                <w:szCs w:val="20"/>
                <w:color w:val="auto"/>
              </w:rPr>
            </w:pPr>
            <w:r>
              <w:rPr>
                <w:rFonts w:ascii="Arial" w:cs="Arial" w:eastAsia="Arial" w:hAnsi="Arial"/>
                <w:sz w:val="18"/>
                <w:szCs w:val="18"/>
                <w:color w:val="auto"/>
                <w:w w:val="99"/>
              </w:rPr>
              <w:t>route authorities and</w:t>
            </w:r>
          </w:p>
        </w:tc>
        <w:tc>
          <w:tcPr>
            <w:tcW w:w="2160" w:type="dxa"/>
            <w:vAlign w:val="bottom"/>
            <w:gridSpan w:val="2"/>
            <w:vMerge w:val="restart"/>
          </w:tcPr>
          <w:p>
            <w:pPr>
              <w:jc w:val="center"/>
              <w:ind w:right="100"/>
              <w:spacing w:after="0" w:line="202" w:lineRule="exact"/>
              <w:rPr>
                <w:sz w:val="20"/>
                <w:szCs w:val="20"/>
                <w:color w:val="auto"/>
              </w:rPr>
            </w:pPr>
            <w:r>
              <w:rPr>
                <w:rFonts w:ascii="Arial" w:cs="Arial" w:eastAsia="Arial" w:hAnsi="Arial"/>
                <w:sz w:val="18"/>
                <w:szCs w:val="18"/>
                <w:color w:val="auto"/>
              </w:rPr>
              <w:t>airport gate leasehold</w:t>
            </w:r>
          </w:p>
        </w:tc>
        <w:tc>
          <w:tcPr>
            <w:tcW w:w="2060" w:type="dxa"/>
            <w:vAlign w:val="bottom"/>
          </w:tcPr>
          <w:p>
            <w:pPr>
              <w:spacing w:after="0"/>
              <w:rPr>
                <w:sz w:val="8"/>
                <w:szCs w:val="8"/>
                <w:color w:val="auto"/>
              </w:rPr>
            </w:pPr>
          </w:p>
        </w:tc>
        <w:tc>
          <w:tcPr>
            <w:tcW w:w="100" w:type="dxa"/>
            <w:vAlign w:val="bottom"/>
          </w:tcPr>
          <w:p>
            <w:pPr>
              <w:spacing w:after="0"/>
              <w:rPr>
                <w:sz w:val="8"/>
                <w:szCs w:val="8"/>
                <w:color w:val="auto"/>
              </w:rPr>
            </w:pPr>
          </w:p>
        </w:tc>
        <w:tc>
          <w:tcPr>
            <w:tcW w:w="2060" w:type="dxa"/>
            <w:vAlign w:val="bottom"/>
            <w:vMerge w:val="continue"/>
          </w:tcPr>
          <w:p>
            <w:pPr>
              <w:spacing w:after="0"/>
              <w:rPr>
                <w:sz w:val="8"/>
                <w:szCs w:val="8"/>
                <w:color w:val="auto"/>
              </w:rPr>
            </w:pPr>
          </w:p>
        </w:tc>
        <w:tc>
          <w:tcPr>
            <w:tcW w:w="0" w:type="dxa"/>
            <w:vAlign w:val="bottom"/>
          </w:tcPr>
          <w:p>
            <w:pPr>
              <w:spacing w:after="0"/>
              <w:rPr>
                <w:sz w:val="1"/>
                <w:szCs w:val="1"/>
                <w:color w:val="auto"/>
              </w:rPr>
            </w:pPr>
          </w:p>
        </w:tc>
      </w:tr>
      <w:tr>
        <w:trPr>
          <w:trHeight w:val="108"/>
        </w:trPr>
        <w:tc>
          <w:tcPr>
            <w:tcW w:w="2880" w:type="dxa"/>
            <w:vAlign w:val="bottom"/>
          </w:tcPr>
          <w:p>
            <w:pPr>
              <w:spacing w:after="0"/>
              <w:rPr>
                <w:sz w:val="9"/>
                <w:szCs w:val="9"/>
                <w:color w:val="auto"/>
              </w:rPr>
            </w:pPr>
          </w:p>
        </w:tc>
        <w:tc>
          <w:tcPr>
            <w:tcW w:w="2160" w:type="dxa"/>
            <w:vAlign w:val="bottom"/>
            <w:gridSpan w:val="2"/>
            <w:vMerge w:val="continue"/>
          </w:tcPr>
          <w:p>
            <w:pPr>
              <w:spacing w:after="0"/>
              <w:rPr>
                <w:sz w:val="9"/>
                <w:szCs w:val="9"/>
                <w:color w:val="auto"/>
              </w:rPr>
            </w:pPr>
          </w:p>
        </w:tc>
        <w:tc>
          <w:tcPr>
            <w:tcW w:w="2160" w:type="dxa"/>
            <w:vAlign w:val="bottom"/>
            <w:gridSpan w:val="2"/>
            <w:vMerge w:val="continue"/>
          </w:tcPr>
          <w:p>
            <w:pPr>
              <w:spacing w:after="0"/>
              <w:rPr>
                <w:sz w:val="9"/>
                <w:szCs w:val="9"/>
                <w:color w:val="auto"/>
              </w:rPr>
            </w:pPr>
          </w:p>
        </w:tc>
        <w:tc>
          <w:tcPr>
            <w:tcW w:w="2060" w:type="dxa"/>
            <w:vAlign w:val="bottom"/>
          </w:tcPr>
          <w:p>
            <w:pPr>
              <w:spacing w:after="0"/>
              <w:rPr>
                <w:sz w:val="9"/>
                <w:szCs w:val="9"/>
                <w:color w:val="auto"/>
              </w:rPr>
            </w:pPr>
          </w:p>
        </w:tc>
        <w:tc>
          <w:tcPr>
            <w:tcW w:w="100" w:type="dxa"/>
            <w:vAlign w:val="bottom"/>
          </w:tcPr>
          <w:p>
            <w:pPr>
              <w:spacing w:after="0"/>
              <w:rPr>
                <w:sz w:val="9"/>
                <w:szCs w:val="9"/>
                <w:color w:val="auto"/>
              </w:rPr>
            </w:pPr>
          </w:p>
        </w:tc>
        <w:tc>
          <w:tcPr>
            <w:tcW w:w="2060" w:type="dxa"/>
            <w:vAlign w:val="bottom"/>
            <w:vMerge w:val="restart"/>
          </w:tcPr>
          <w:p>
            <w:pPr>
              <w:jc w:val="center"/>
              <w:spacing w:after="0" w:line="202" w:lineRule="exact"/>
              <w:rPr>
                <w:sz w:val="20"/>
                <w:szCs w:val="20"/>
                <w:color w:val="auto"/>
              </w:rPr>
            </w:pPr>
            <w:r>
              <w:rPr>
                <w:rFonts w:ascii="Arial" w:cs="Arial" w:eastAsia="Arial" w:hAnsi="Arial"/>
                <w:sz w:val="18"/>
                <w:szCs w:val="18"/>
                <w:color w:val="auto"/>
                <w:w w:val="99"/>
              </w:rPr>
              <w:t>Washington National</w:t>
            </w:r>
          </w:p>
        </w:tc>
        <w:tc>
          <w:tcPr>
            <w:tcW w:w="0" w:type="dxa"/>
            <w:vAlign w:val="bottom"/>
          </w:tcPr>
          <w:p>
            <w:pPr>
              <w:spacing w:after="0"/>
              <w:rPr>
                <w:sz w:val="1"/>
                <w:szCs w:val="1"/>
                <w:color w:val="auto"/>
              </w:rPr>
            </w:pPr>
          </w:p>
        </w:tc>
      </w:tr>
      <w:tr>
        <w:trPr>
          <w:trHeight w:val="95"/>
        </w:trPr>
        <w:tc>
          <w:tcPr>
            <w:tcW w:w="2880" w:type="dxa"/>
            <w:vAlign w:val="bottom"/>
          </w:tcPr>
          <w:p>
            <w:pPr>
              <w:spacing w:after="0"/>
              <w:rPr>
                <w:sz w:val="8"/>
                <w:szCs w:val="8"/>
                <w:color w:val="auto"/>
              </w:rPr>
            </w:pPr>
          </w:p>
        </w:tc>
        <w:tc>
          <w:tcPr>
            <w:tcW w:w="2160" w:type="dxa"/>
            <w:vAlign w:val="bottom"/>
            <w:gridSpan w:val="2"/>
            <w:vMerge w:val="restart"/>
          </w:tcPr>
          <w:p>
            <w:pPr>
              <w:jc w:val="center"/>
              <w:ind w:right="120"/>
              <w:spacing w:after="0" w:line="202" w:lineRule="exact"/>
              <w:rPr>
                <w:sz w:val="20"/>
                <w:szCs w:val="20"/>
                <w:color w:val="auto"/>
              </w:rPr>
            </w:pPr>
            <w:r>
              <w:rPr>
                <w:rFonts w:ascii="Arial" w:cs="Arial" w:eastAsia="Arial" w:hAnsi="Arial"/>
                <w:sz w:val="18"/>
                <w:szCs w:val="18"/>
                <w:color w:val="auto"/>
                <w:w w:val="99"/>
              </w:rPr>
              <w:t>airport gate leasehold</w:t>
            </w:r>
          </w:p>
        </w:tc>
        <w:tc>
          <w:tcPr>
            <w:tcW w:w="2160" w:type="dxa"/>
            <w:vAlign w:val="bottom"/>
            <w:gridSpan w:val="2"/>
            <w:vMerge w:val="restart"/>
          </w:tcPr>
          <w:p>
            <w:pPr>
              <w:jc w:val="center"/>
              <w:ind w:right="100"/>
              <w:spacing w:after="0" w:line="202" w:lineRule="exact"/>
              <w:rPr>
                <w:sz w:val="20"/>
                <w:szCs w:val="20"/>
                <w:color w:val="auto"/>
              </w:rPr>
            </w:pPr>
            <w:r>
              <w:rPr>
                <w:rFonts w:ascii="Arial" w:cs="Arial" w:eastAsia="Arial" w:hAnsi="Arial"/>
                <w:sz w:val="18"/>
                <w:szCs w:val="18"/>
                <w:color w:val="auto"/>
              </w:rPr>
              <w:t>rights used by American</w:t>
            </w:r>
          </w:p>
        </w:tc>
        <w:tc>
          <w:tcPr>
            <w:tcW w:w="2060" w:type="dxa"/>
            <w:vAlign w:val="bottom"/>
          </w:tcPr>
          <w:p>
            <w:pPr>
              <w:spacing w:after="0"/>
              <w:rPr>
                <w:sz w:val="8"/>
                <w:szCs w:val="8"/>
                <w:color w:val="auto"/>
              </w:rPr>
            </w:pPr>
          </w:p>
        </w:tc>
        <w:tc>
          <w:tcPr>
            <w:tcW w:w="100" w:type="dxa"/>
            <w:vAlign w:val="bottom"/>
          </w:tcPr>
          <w:p>
            <w:pPr>
              <w:spacing w:after="0"/>
              <w:rPr>
                <w:sz w:val="8"/>
                <w:szCs w:val="8"/>
                <w:color w:val="auto"/>
              </w:rPr>
            </w:pPr>
          </w:p>
        </w:tc>
        <w:tc>
          <w:tcPr>
            <w:tcW w:w="2060" w:type="dxa"/>
            <w:vAlign w:val="bottom"/>
            <w:vMerge w:val="continue"/>
          </w:tcPr>
          <w:p>
            <w:pPr>
              <w:spacing w:after="0"/>
              <w:rPr>
                <w:sz w:val="8"/>
                <w:szCs w:val="8"/>
                <w:color w:val="auto"/>
              </w:rPr>
            </w:pPr>
          </w:p>
        </w:tc>
        <w:tc>
          <w:tcPr>
            <w:tcW w:w="0" w:type="dxa"/>
            <w:vAlign w:val="bottom"/>
          </w:tcPr>
          <w:p>
            <w:pPr>
              <w:spacing w:after="0"/>
              <w:rPr>
                <w:sz w:val="1"/>
                <w:szCs w:val="1"/>
                <w:color w:val="auto"/>
              </w:rPr>
            </w:pPr>
          </w:p>
        </w:tc>
      </w:tr>
      <w:tr>
        <w:trPr>
          <w:trHeight w:val="108"/>
        </w:trPr>
        <w:tc>
          <w:tcPr>
            <w:tcW w:w="2880" w:type="dxa"/>
            <w:vAlign w:val="bottom"/>
          </w:tcPr>
          <w:p>
            <w:pPr>
              <w:spacing w:after="0"/>
              <w:rPr>
                <w:sz w:val="9"/>
                <w:szCs w:val="9"/>
                <w:color w:val="auto"/>
              </w:rPr>
            </w:pPr>
          </w:p>
        </w:tc>
        <w:tc>
          <w:tcPr>
            <w:tcW w:w="2160" w:type="dxa"/>
            <w:vAlign w:val="bottom"/>
            <w:gridSpan w:val="2"/>
            <w:vMerge w:val="continue"/>
          </w:tcPr>
          <w:p>
            <w:pPr>
              <w:spacing w:after="0"/>
              <w:rPr>
                <w:sz w:val="9"/>
                <w:szCs w:val="9"/>
                <w:color w:val="auto"/>
              </w:rPr>
            </w:pPr>
          </w:p>
        </w:tc>
        <w:tc>
          <w:tcPr>
            <w:tcW w:w="2160" w:type="dxa"/>
            <w:vAlign w:val="bottom"/>
            <w:gridSpan w:val="2"/>
            <w:vMerge w:val="continue"/>
          </w:tcPr>
          <w:p>
            <w:pPr>
              <w:spacing w:after="0"/>
              <w:rPr>
                <w:sz w:val="9"/>
                <w:szCs w:val="9"/>
                <w:color w:val="auto"/>
              </w:rPr>
            </w:pPr>
          </w:p>
        </w:tc>
        <w:tc>
          <w:tcPr>
            <w:tcW w:w="2160" w:type="dxa"/>
            <w:vAlign w:val="bottom"/>
            <w:gridSpan w:val="2"/>
            <w:vMerge w:val="restart"/>
          </w:tcPr>
          <w:p>
            <w:pPr>
              <w:jc w:val="center"/>
              <w:ind w:right="100"/>
              <w:spacing w:after="0" w:line="202" w:lineRule="exact"/>
              <w:rPr>
                <w:sz w:val="20"/>
                <w:szCs w:val="20"/>
                <w:color w:val="auto"/>
              </w:rPr>
            </w:pPr>
            <w:r>
              <w:rPr>
                <w:rFonts w:ascii="Arial" w:cs="Arial" w:eastAsia="Arial" w:hAnsi="Arial"/>
                <w:sz w:val="18"/>
                <w:szCs w:val="18"/>
                <w:color w:val="auto"/>
                <w:w w:val="99"/>
              </w:rPr>
              <w:t>Generally, certain spare</w:t>
            </w:r>
          </w:p>
        </w:tc>
        <w:tc>
          <w:tcPr>
            <w:tcW w:w="2060" w:type="dxa"/>
            <w:vAlign w:val="bottom"/>
            <w:vMerge w:val="restart"/>
          </w:tcPr>
          <w:p>
            <w:pPr>
              <w:jc w:val="center"/>
              <w:spacing w:after="0" w:line="202" w:lineRule="exact"/>
              <w:rPr>
                <w:sz w:val="20"/>
                <w:szCs w:val="20"/>
                <w:color w:val="auto"/>
              </w:rPr>
            </w:pPr>
            <w:r>
              <w:rPr>
                <w:rFonts w:ascii="Arial" w:cs="Arial" w:eastAsia="Arial" w:hAnsi="Arial"/>
                <w:sz w:val="18"/>
                <w:szCs w:val="18"/>
                <w:color w:val="auto"/>
                <w:w w:val="99"/>
              </w:rPr>
              <w:t>Airport (DCA) slots,</w:t>
            </w:r>
          </w:p>
        </w:tc>
        <w:tc>
          <w:tcPr>
            <w:tcW w:w="0" w:type="dxa"/>
            <w:vAlign w:val="bottom"/>
          </w:tcPr>
          <w:p>
            <w:pPr>
              <w:spacing w:after="0"/>
              <w:rPr>
                <w:sz w:val="1"/>
                <w:szCs w:val="1"/>
                <w:color w:val="auto"/>
              </w:rPr>
            </w:pPr>
          </w:p>
        </w:tc>
      </w:tr>
      <w:tr>
        <w:trPr>
          <w:trHeight w:val="95"/>
        </w:trPr>
        <w:tc>
          <w:tcPr>
            <w:tcW w:w="2880" w:type="dxa"/>
            <w:vAlign w:val="bottom"/>
            <w:vMerge w:val="restart"/>
          </w:tcPr>
          <w:p>
            <w:pPr>
              <w:ind w:left="40"/>
              <w:spacing w:after="0" w:line="202" w:lineRule="exact"/>
              <w:rPr>
                <w:sz w:val="20"/>
                <w:szCs w:val="20"/>
                <w:color w:val="auto"/>
              </w:rPr>
            </w:pPr>
            <w:r>
              <w:rPr>
                <w:rFonts w:ascii="Arial" w:cs="Arial" w:eastAsia="Arial" w:hAnsi="Arial"/>
                <w:sz w:val="18"/>
                <w:szCs w:val="18"/>
                <w:color w:val="auto"/>
              </w:rPr>
              <w:t>Collateral Description</w:t>
            </w:r>
          </w:p>
        </w:tc>
        <w:tc>
          <w:tcPr>
            <w:tcW w:w="2160" w:type="dxa"/>
            <w:vAlign w:val="bottom"/>
            <w:gridSpan w:val="2"/>
            <w:vMerge w:val="restart"/>
          </w:tcPr>
          <w:p>
            <w:pPr>
              <w:jc w:val="center"/>
              <w:ind w:right="120"/>
              <w:spacing w:after="0" w:line="202" w:lineRule="exact"/>
              <w:rPr>
                <w:sz w:val="20"/>
                <w:szCs w:val="20"/>
                <w:color w:val="auto"/>
              </w:rPr>
            </w:pPr>
            <w:r>
              <w:rPr>
                <w:rFonts w:ascii="Arial" w:cs="Arial" w:eastAsia="Arial" w:hAnsi="Arial"/>
                <w:sz w:val="18"/>
                <w:szCs w:val="18"/>
                <w:color w:val="auto"/>
                <w:w w:val="99"/>
              </w:rPr>
              <w:t>rights used by American</w:t>
            </w:r>
          </w:p>
        </w:tc>
        <w:tc>
          <w:tcPr>
            <w:tcW w:w="2160" w:type="dxa"/>
            <w:vAlign w:val="bottom"/>
            <w:gridSpan w:val="2"/>
            <w:vMerge w:val="restart"/>
          </w:tcPr>
          <w:p>
            <w:pPr>
              <w:jc w:val="center"/>
              <w:ind w:right="80"/>
              <w:spacing w:after="0" w:line="202" w:lineRule="exact"/>
              <w:rPr>
                <w:sz w:val="20"/>
                <w:szCs w:val="20"/>
                <w:color w:val="auto"/>
              </w:rPr>
            </w:pPr>
            <w:r>
              <w:rPr>
                <w:rFonts w:ascii="Arial" w:cs="Arial" w:eastAsia="Arial" w:hAnsi="Arial"/>
                <w:sz w:val="18"/>
                <w:szCs w:val="18"/>
                <w:color w:val="auto"/>
                <w:w w:val="99"/>
              </w:rPr>
              <w:t>to operate certain</w:t>
            </w:r>
          </w:p>
        </w:tc>
        <w:tc>
          <w:tcPr>
            <w:tcW w:w="2160" w:type="dxa"/>
            <w:vAlign w:val="bottom"/>
            <w:gridSpan w:val="2"/>
            <w:vMerge w:val="continue"/>
          </w:tcPr>
          <w:p>
            <w:pPr>
              <w:spacing w:after="0"/>
              <w:rPr>
                <w:sz w:val="8"/>
                <w:szCs w:val="8"/>
                <w:color w:val="auto"/>
              </w:rPr>
            </w:pPr>
          </w:p>
        </w:tc>
        <w:tc>
          <w:tcPr>
            <w:tcW w:w="2060" w:type="dxa"/>
            <w:vAlign w:val="bottom"/>
            <w:vMerge w:val="continue"/>
          </w:tcPr>
          <w:p>
            <w:pPr>
              <w:spacing w:after="0"/>
              <w:rPr>
                <w:sz w:val="8"/>
                <w:szCs w:val="8"/>
                <w:color w:val="auto"/>
              </w:rPr>
            </w:pPr>
          </w:p>
        </w:tc>
        <w:tc>
          <w:tcPr>
            <w:tcW w:w="0" w:type="dxa"/>
            <w:vAlign w:val="bottom"/>
          </w:tcPr>
          <w:p>
            <w:pPr>
              <w:spacing w:after="0"/>
              <w:rPr>
                <w:sz w:val="1"/>
                <w:szCs w:val="1"/>
                <w:color w:val="auto"/>
              </w:rPr>
            </w:pPr>
          </w:p>
        </w:tc>
      </w:tr>
      <w:tr>
        <w:trPr>
          <w:trHeight w:val="108"/>
        </w:trPr>
        <w:tc>
          <w:tcPr>
            <w:tcW w:w="2880" w:type="dxa"/>
            <w:vAlign w:val="bottom"/>
            <w:vMerge w:val="continue"/>
          </w:tcPr>
          <w:p>
            <w:pPr>
              <w:spacing w:after="0"/>
              <w:rPr>
                <w:sz w:val="9"/>
                <w:szCs w:val="9"/>
                <w:color w:val="auto"/>
              </w:rPr>
            </w:pPr>
          </w:p>
        </w:tc>
        <w:tc>
          <w:tcPr>
            <w:tcW w:w="2160" w:type="dxa"/>
            <w:vAlign w:val="bottom"/>
            <w:gridSpan w:val="2"/>
            <w:vMerge w:val="continue"/>
          </w:tcPr>
          <w:p>
            <w:pPr>
              <w:spacing w:after="0"/>
              <w:rPr>
                <w:sz w:val="9"/>
                <w:szCs w:val="9"/>
                <w:color w:val="auto"/>
              </w:rPr>
            </w:pPr>
          </w:p>
        </w:tc>
        <w:tc>
          <w:tcPr>
            <w:tcW w:w="2160" w:type="dxa"/>
            <w:vAlign w:val="bottom"/>
            <w:gridSpan w:val="2"/>
            <w:vMerge w:val="continue"/>
          </w:tcPr>
          <w:p>
            <w:pPr>
              <w:spacing w:after="0"/>
              <w:rPr>
                <w:sz w:val="9"/>
                <w:szCs w:val="9"/>
                <w:color w:val="auto"/>
              </w:rPr>
            </w:pPr>
          </w:p>
        </w:tc>
        <w:tc>
          <w:tcPr>
            <w:tcW w:w="2160" w:type="dxa"/>
            <w:vAlign w:val="bottom"/>
            <w:gridSpan w:val="2"/>
            <w:vMerge w:val="restart"/>
          </w:tcPr>
          <w:p>
            <w:pPr>
              <w:jc w:val="center"/>
              <w:ind w:right="80"/>
              <w:spacing w:after="0" w:line="202" w:lineRule="exact"/>
              <w:rPr>
                <w:sz w:val="20"/>
                <w:szCs w:val="20"/>
                <w:color w:val="auto"/>
              </w:rPr>
            </w:pPr>
            <w:r>
              <w:rPr>
                <w:rFonts w:ascii="Arial" w:cs="Arial" w:eastAsia="Arial" w:hAnsi="Arial"/>
                <w:sz w:val="18"/>
                <w:szCs w:val="18"/>
                <w:color w:val="auto"/>
                <w:w w:val="99"/>
              </w:rPr>
              <w:t>parts</w:t>
            </w:r>
          </w:p>
        </w:tc>
        <w:tc>
          <w:tcPr>
            <w:tcW w:w="2060" w:type="dxa"/>
            <w:vAlign w:val="bottom"/>
            <w:vMerge w:val="restart"/>
          </w:tcPr>
          <w:p>
            <w:pPr>
              <w:jc w:val="center"/>
              <w:spacing w:after="0" w:line="202" w:lineRule="exact"/>
              <w:rPr>
                <w:sz w:val="20"/>
                <w:szCs w:val="20"/>
                <w:color w:val="auto"/>
              </w:rPr>
            </w:pPr>
            <w:r>
              <w:rPr>
                <w:rFonts w:ascii="Arial" w:cs="Arial" w:eastAsia="Arial" w:hAnsi="Arial"/>
                <w:sz w:val="18"/>
                <w:szCs w:val="18"/>
                <w:color w:val="auto"/>
                <w:w w:val="99"/>
              </w:rPr>
              <w:t>certain La Guardia</w:t>
            </w:r>
          </w:p>
        </w:tc>
        <w:tc>
          <w:tcPr>
            <w:tcW w:w="0" w:type="dxa"/>
            <w:vAlign w:val="bottom"/>
          </w:tcPr>
          <w:p>
            <w:pPr>
              <w:spacing w:after="0"/>
              <w:rPr>
                <w:sz w:val="1"/>
                <w:szCs w:val="1"/>
                <w:color w:val="auto"/>
              </w:rPr>
            </w:pPr>
          </w:p>
        </w:tc>
      </w:tr>
      <w:tr>
        <w:trPr>
          <w:trHeight w:val="95"/>
        </w:trPr>
        <w:tc>
          <w:tcPr>
            <w:tcW w:w="2880" w:type="dxa"/>
            <w:vAlign w:val="bottom"/>
          </w:tcPr>
          <w:p>
            <w:pPr>
              <w:spacing w:after="0"/>
              <w:rPr>
                <w:sz w:val="8"/>
                <w:szCs w:val="8"/>
                <w:color w:val="auto"/>
              </w:rPr>
            </w:pPr>
          </w:p>
        </w:tc>
        <w:tc>
          <w:tcPr>
            <w:tcW w:w="2160" w:type="dxa"/>
            <w:vAlign w:val="bottom"/>
            <w:gridSpan w:val="2"/>
            <w:vMerge w:val="restart"/>
          </w:tcPr>
          <w:p>
            <w:pPr>
              <w:jc w:val="center"/>
              <w:ind w:right="120"/>
              <w:spacing w:after="0" w:line="202" w:lineRule="exact"/>
              <w:rPr>
                <w:sz w:val="20"/>
                <w:szCs w:val="20"/>
                <w:color w:val="auto"/>
              </w:rPr>
            </w:pPr>
            <w:r>
              <w:rPr>
                <w:rFonts w:ascii="Arial" w:cs="Arial" w:eastAsia="Arial" w:hAnsi="Arial"/>
                <w:sz w:val="18"/>
                <w:szCs w:val="18"/>
                <w:color w:val="auto"/>
              </w:rPr>
              <w:t>to operate all services</w:t>
            </w:r>
          </w:p>
        </w:tc>
        <w:tc>
          <w:tcPr>
            <w:tcW w:w="2160" w:type="dxa"/>
            <w:vAlign w:val="bottom"/>
            <w:gridSpan w:val="2"/>
            <w:vMerge w:val="restart"/>
          </w:tcPr>
          <w:p>
            <w:pPr>
              <w:jc w:val="center"/>
              <w:ind w:right="100"/>
              <w:spacing w:after="0" w:line="202" w:lineRule="exact"/>
              <w:rPr>
                <w:sz w:val="20"/>
                <w:szCs w:val="20"/>
                <w:color w:val="auto"/>
              </w:rPr>
            </w:pPr>
            <w:r>
              <w:rPr>
                <w:rFonts w:ascii="Arial" w:cs="Arial" w:eastAsia="Arial" w:hAnsi="Arial"/>
                <w:sz w:val="18"/>
                <w:szCs w:val="18"/>
                <w:color w:val="auto"/>
              </w:rPr>
              <w:t>services between the</w:t>
            </w:r>
          </w:p>
        </w:tc>
        <w:tc>
          <w:tcPr>
            <w:tcW w:w="2160" w:type="dxa"/>
            <w:vAlign w:val="bottom"/>
            <w:gridSpan w:val="2"/>
            <w:vMerge w:val="continue"/>
          </w:tcPr>
          <w:p>
            <w:pPr>
              <w:spacing w:after="0"/>
              <w:rPr>
                <w:sz w:val="8"/>
                <w:szCs w:val="8"/>
                <w:color w:val="auto"/>
              </w:rPr>
            </w:pPr>
          </w:p>
        </w:tc>
        <w:tc>
          <w:tcPr>
            <w:tcW w:w="2060" w:type="dxa"/>
            <w:vAlign w:val="bottom"/>
            <w:vMerge w:val="continue"/>
          </w:tcPr>
          <w:p>
            <w:pPr>
              <w:spacing w:after="0"/>
              <w:rPr>
                <w:sz w:val="8"/>
                <w:szCs w:val="8"/>
                <w:color w:val="auto"/>
              </w:rPr>
            </w:pPr>
          </w:p>
        </w:tc>
        <w:tc>
          <w:tcPr>
            <w:tcW w:w="0" w:type="dxa"/>
            <w:vAlign w:val="bottom"/>
          </w:tcPr>
          <w:p>
            <w:pPr>
              <w:spacing w:after="0"/>
              <w:rPr>
                <w:sz w:val="1"/>
                <w:szCs w:val="1"/>
                <w:color w:val="auto"/>
              </w:rPr>
            </w:pPr>
          </w:p>
        </w:tc>
      </w:tr>
      <w:tr>
        <w:trPr>
          <w:trHeight w:val="108"/>
        </w:trPr>
        <w:tc>
          <w:tcPr>
            <w:tcW w:w="2880" w:type="dxa"/>
            <w:vAlign w:val="bottom"/>
          </w:tcPr>
          <w:p>
            <w:pPr>
              <w:spacing w:after="0"/>
              <w:rPr>
                <w:sz w:val="9"/>
                <w:szCs w:val="9"/>
                <w:color w:val="auto"/>
              </w:rPr>
            </w:pPr>
          </w:p>
        </w:tc>
        <w:tc>
          <w:tcPr>
            <w:tcW w:w="2160" w:type="dxa"/>
            <w:vAlign w:val="bottom"/>
            <w:gridSpan w:val="2"/>
            <w:vMerge w:val="continue"/>
          </w:tcPr>
          <w:p>
            <w:pPr>
              <w:spacing w:after="0"/>
              <w:rPr>
                <w:sz w:val="9"/>
                <w:szCs w:val="9"/>
                <w:color w:val="auto"/>
              </w:rPr>
            </w:pPr>
          </w:p>
        </w:tc>
        <w:tc>
          <w:tcPr>
            <w:tcW w:w="2160" w:type="dxa"/>
            <w:vAlign w:val="bottom"/>
            <w:gridSpan w:val="2"/>
            <w:vMerge w:val="continue"/>
          </w:tcPr>
          <w:p>
            <w:pPr>
              <w:spacing w:after="0"/>
              <w:rPr>
                <w:sz w:val="9"/>
                <w:szCs w:val="9"/>
                <w:color w:val="auto"/>
              </w:rPr>
            </w:pPr>
          </w:p>
        </w:tc>
        <w:tc>
          <w:tcPr>
            <w:tcW w:w="2060" w:type="dxa"/>
            <w:vAlign w:val="bottom"/>
          </w:tcPr>
          <w:p>
            <w:pPr>
              <w:spacing w:after="0"/>
              <w:rPr>
                <w:sz w:val="9"/>
                <w:szCs w:val="9"/>
                <w:color w:val="auto"/>
              </w:rPr>
            </w:pPr>
          </w:p>
        </w:tc>
        <w:tc>
          <w:tcPr>
            <w:tcW w:w="100" w:type="dxa"/>
            <w:vAlign w:val="bottom"/>
          </w:tcPr>
          <w:p>
            <w:pPr>
              <w:spacing w:after="0"/>
              <w:rPr>
                <w:sz w:val="9"/>
                <w:szCs w:val="9"/>
                <w:color w:val="auto"/>
              </w:rPr>
            </w:pPr>
          </w:p>
        </w:tc>
        <w:tc>
          <w:tcPr>
            <w:tcW w:w="2060" w:type="dxa"/>
            <w:vAlign w:val="bottom"/>
            <w:vMerge w:val="restart"/>
          </w:tcPr>
          <w:p>
            <w:pPr>
              <w:jc w:val="center"/>
              <w:spacing w:after="0" w:line="202" w:lineRule="exact"/>
              <w:rPr>
                <w:sz w:val="20"/>
                <w:szCs w:val="20"/>
                <w:color w:val="auto"/>
              </w:rPr>
            </w:pPr>
            <w:r>
              <w:rPr>
                <w:rFonts w:ascii="Arial" w:cs="Arial" w:eastAsia="Arial" w:hAnsi="Arial"/>
                <w:sz w:val="18"/>
                <w:szCs w:val="18"/>
                <w:color w:val="auto"/>
              </w:rPr>
              <w:t>Airport (LGA) slots,</w:t>
            </w:r>
          </w:p>
        </w:tc>
        <w:tc>
          <w:tcPr>
            <w:tcW w:w="0" w:type="dxa"/>
            <w:vAlign w:val="bottom"/>
          </w:tcPr>
          <w:p>
            <w:pPr>
              <w:spacing w:after="0"/>
              <w:rPr>
                <w:sz w:val="1"/>
                <w:szCs w:val="1"/>
                <w:color w:val="auto"/>
              </w:rPr>
            </w:pPr>
          </w:p>
        </w:tc>
      </w:tr>
      <w:tr>
        <w:trPr>
          <w:trHeight w:val="95"/>
        </w:trPr>
        <w:tc>
          <w:tcPr>
            <w:tcW w:w="2880" w:type="dxa"/>
            <w:vAlign w:val="bottom"/>
          </w:tcPr>
          <w:p>
            <w:pPr>
              <w:spacing w:after="0"/>
              <w:rPr>
                <w:sz w:val="8"/>
                <w:szCs w:val="8"/>
                <w:color w:val="auto"/>
              </w:rPr>
            </w:pPr>
          </w:p>
        </w:tc>
        <w:tc>
          <w:tcPr>
            <w:tcW w:w="2160" w:type="dxa"/>
            <w:vAlign w:val="bottom"/>
            <w:gridSpan w:val="2"/>
            <w:vMerge w:val="restart"/>
          </w:tcPr>
          <w:p>
            <w:pPr>
              <w:jc w:val="center"/>
              <w:ind w:right="120"/>
              <w:spacing w:after="0" w:line="202" w:lineRule="exact"/>
              <w:rPr>
                <w:sz w:val="20"/>
                <w:szCs w:val="20"/>
                <w:color w:val="auto"/>
              </w:rPr>
            </w:pPr>
            <w:r>
              <w:rPr>
                <w:rFonts w:ascii="Arial" w:cs="Arial" w:eastAsia="Arial" w:hAnsi="Arial"/>
                <w:sz w:val="18"/>
                <w:szCs w:val="18"/>
                <w:color w:val="auto"/>
                <w:w w:val="99"/>
              </w:rPr>
              <w:t>between the U.S. and</w:t>
            </w:r>
          </w:p>
        </w:tc>
        <w:tc>
          <w:tcPr>
            <w:tcW w:w="2160" w:type="dxa"/>
            <w:vAlign w:val="bottom"/>
            <w:gridSpan w:val="2"/>
            <w:vMerge w:val="restart"/>
          </w:tcPr>
          <w:p>
            <w:pPr>
              <w:jc w:val="center"/>
              <w:ind w:right="100"/>
              <w:spacing w:after="0" w:line="202" w:lineRule="exact"/>
              <w:rPr>
                <w:sz w:val="20"/>
                <w:szCs w:val="20"/>
                <w:color w:val="auto"/>
              </w:rPr>
            </w:pPr>
            <w:r>
              <w:rPr>
                <w:rFonts w:ascii="Arial" w:cs="Arial" w:eastAsia="Arial" w:hAnsi="Arial"/>
                <w:sz w:val="18"/>
                <w:szCs w:val="18"/>
                <w:color w:val="auto"/>
              </w:rPr>
              <w:t>U.S. and European</w:t>
            </w:r>
          </w:p>
        </w:tc>
        <w:tc>
          <w:tcPr>
            <w:tcW w:w="2060" w:type="dxa"/>
            <w:vAlign w:val="bottom"/>
          </w:tcPr>
          <w:p>
            <w:pPr>
              <w:spacing w:after="0"/>
              <w:rPr>
                <w:sz w:val="8"/>
                <w:szCs w:val="8"/>
                <w:color w:val="auto"/>
              </w:rPr>
            </w:pPr>
          </w:p>
        </w:tc>
        <w:tc>
          <w:tcPr>
            <w:tcW w:w="100" w:type="dxa"/>
            <w:vAlign w:val="bottom"/>
          </w:tcPr>
          <w:p>
            <w:pPr>
              <w:spacing w:after="0"/>
              <w:rPr>
                <w:sz w:val="8"/>
                <w:szCs w:val="8"/>
                <w:color w:val="auto"/>
              </w:rPr>
            </w:pPr>
          </w:p>
        </w:tc>
        <w:tc>
          <w:tcPr>
            <w:tcW w:w="2060" w:type="dxa"/>
            <w:vAlign w:val="bottom"/>
            <w:vMerge w:val="continue"/>
          </w:tcPr>
          <w:p>
            <w:pPr>
              <w:spacing w:after="0"/>
              <w:rPr>
                <w:sz w:val="8"/>
                <w:szCs w:val="8"/>
                <w:color w:val="auto"/>
              </w:rPr>
            </w:pPr>
          </w:p>
        </w:tc>
        <w:tc>
          <w:tcPr>
            <w:tcW w:w="0" w:type="dxa"/>
            <w:vAlign w:val="bottom"/>
          </w:tcPr>
          <w:p>
            <w:pPr>
              <w:spacing w:after="0"/>
              <w:rPr>
                <w:sz w:val="1"/>
                <w:szCs w:val="1"/>
                <w:color w:val="auto"/>
              </w:rPr>
            </w:pPr>
          </w:p>
        </w:tc>
      </w:tr>
      <w:tr>
        <w:trPr>
          <w:trHeight w:val="108"/>
        </w:trPr>
        <w:tc>
          <w:tcPr>
            <w:tcW w:w="2880" w:type="dxa"/>
            <w:vAlign w:val="bottom"/>
          </w:tcPr>
          <w:p>
            <w:pPr>
              <w:spacing w:after="0"/>
              <w:rPr>
                <w:sz w:val="9"/>
                <w:szCs w:val="9"/>
                <w:color w:val="auto"/>
              </w:rPr>
            </w:pPr>
          </w:p>
        </w:tc>
        <w:tc>
          <w:tcPr>
            <w:tcW w:w="2160" w:type="dxa"/>
            <w:vAlign w:val="bottom"/>
            <w:gridSpan w:val="2"/>
            <w:vMerge w:val="continue"/>
          </w:tcPr>
          <w:p>
            <w:pPr>
              <w:spacing w:after="0"/>
              <w:rPr>
                <w:sz w:val="9"/>
                <w:szCs w:val="9"/>
                <w:color w:val="auto"/>
              </w:rPr>
            </w:pPr>
          </w:p>
        </w:tc>
        <w:tc>
          <w:tcPr>
            <w:tcW w:w="2160" w:type="dxa"/>
            <w:vAlign w:val="bottom"/>
            <w:gridSpan w:val="2"/>
            <w:vMerge w:val="continue"/>
          </w:tcPr>
          <w:p>
            <w:pPr>
              <w:spacing w:after="0"/>
              <w:rPr>
                <w:sz w:val="9"/>
                <w:szCs w:val="9"/>
                <w:color w:val="auto"/>
              </w:rPr>
            </w:pPr>
          </w:p>
        </w:tc>
        <w:tc>
          <w:tcPr>
            <w:tcW w:w="2060" w:type="dxa"/>
            <w:vAlign w:val="bottom"/>
          </w:tcPr>
          <w:p>
            <w:pPr>
              <w:spacing w:after="0"/>
              <w:rPr>
                <w:sz w:val="9"/>
                <w:szCs w:val="9"/>
                <w:color w:val="auto"/>
              </w:rPr>
            </w:pPr>
          </w:p>
        </w:tc>
        <w:tc>
          <w:tcPr>
            <w:tcW w:w="100" w:type="dxa"/>
            <w:vAlign w:val="bottom"/>
          </w:tcPr>
          <w:p>
            <w:pPr>
              <w:spacing w:after="0"/>
              <w:rPr>
                <w:sz w:val="9"/>
                <w:szCs w:val="9"/>
                <w:color w:val="auto"/>
              </w:rPr>
            </w:pPr>
          </w:p>
        </w:tc>
        <w:tc>
          <w:tcPr>
            <w:tcW w:w="2060" w:type="dxa"/>
            <w:vAlign w:val="bottom"/>
            <w:vMerge w:val="restart"/>
          </w:tcPr>
          <w:p>
            <w:pPr>
              <w:jc w:val="center"/>
              <w:spacing w:after="0" w:line="202" w:lineRule="exact"/>
              <w:rPr>
                <w:sz w:val="20"/>
                <w:szCs w:val="20"/>
                <w:color w:val="auto"/>
              </w:rPr>
            </w:pPr>
            <w:r>
              <w:rPr>
                <w:rFonts w:ascii="Arial" w:cs="Arial" w:eastAsia="Arial" w:hAnsi="Arial"/>
                <w:sz w:val="18"/>
                <w:szCs w:val="18"/>
                <w:color w:val="auto"/>
                <w:w w:val="99"/>
              </w:rPr>
              <w:t>certain simulators and</w:t>
            </w:r>
          </w:p>
        </w:tc>
        <w:tc>
          <w:tcPr>
            <w:tcW w:w="0" w:type="dxa"/>
            <w:vAlign w:val="bottom"/>
          </w:tcPr>
          <w:p>
            <w:pPr>
              <w:spacing w:after="0"/>
              <w:rPr>
                <w:sz w:val="1"/>
                <w:szCs w:val="1"/>
                <w:color w:val="auto"/>
              </w:rPr>
            </w:pPr>
          </w:p>
        </w:tc>
      </w:tr>
      <w:tr>
        <w:trPr>
          <w:trHeight w:val="95"/>
        </w:trPr>
        <w:tc>
          <w:tcPr>
            <w:tcW w:w="2880" w:type="dxa"/>
            <w:vAlign w:val="bottom"/>
          </w:tcPr>
          <w:p>
            <w:pPr>
              <w:spacing w:after="0"/>
              <w:rPr>
                <w:sz w:val="8"/>
                <w:szCs w:val="8"/>
                <w:color w:val="auto"/>
              </w:rPr>
            </w:pPr>
          </w:p>
        </w:tc>
        <w:tc>
          <w:tcPr>
            <w:tcW w:w="2160" w:type="dxa"/>
            <w:vAlign w:val="bottom"/>
            <w:gridSpan w:val="2"/>
            <w:vMerge w:val="restart"/>
          </w:tcPr>
          <w:p>
            <w:pPr>
              <w:jc w:val="center"/>
              <w:ind w:right="100"/>
              <w:spacing w:after="0" w:line="202" w:lineRule="exact"/>
              <w:rPr>
                <w:sz w:val="20"/>
                <w:szCs w:val="20"/>
                <w:color w:val="auto"/>
              </w:rPr>
            </w:pPr>
            <w:r>
              <w:rPr>
                <w:rFonts w:ascii="Arial" w:cs="Arial" w:eastAsia="Arial" w:hAnsi="Arial"/>
                <w:sz w:val="18"/>
                <w:szCs w:val="18"/>
                <w:color w:val="auto"/>
                <w:w w:val="99"/>
              </w:rPr>
              <w:t>South America</w:t>
            </w:r>
          </w:p>
        </w:tc>
        <w:tc>
          <w:tcPr>
            <w:tcW w:w="2160" w:type="dxa"/>
            <w:vAlign w:val="bottom"/>
            <w:gridSpan w:val="2"/>
            <w:vMerge w:val="restart"/>
          </w:tcPr>
          <w:p>
            <w:pPr>
              <w:jc w:val="center"/>
              <w:ind w:right="100"/>
              <w:spacing w:after="0" w:line="202" w:lineRule="exact"/>
              <w:rPr>
                <w:sz w:val="20"/>
                <w:szCs w:val="20"/>
                <w:color w:val="auto"/>
              </w:rPr>
            </w:pPr>
            <w:r>
              <w:rPr>
                <w:rFonts w:ascii="Arial" w:cs="Arial" w:eastAsia="Arial" w:hAnsi="Arial"/>
                <w:sz w:val="18"/>
                <w:szCs w:val="18"/>
                <w:color w:val="auto"/>
                <w:w w:val="99"/>
              </w:rPr>
              <w:t>Union (including London</w:t>
            </w:r>
          </w:p>
        </w:tc>
        <w:tc>
          <w:tcPr>
            <w:tcW w:w="2060" w:type="dxa"/>
            <w:vAlign w:val="bottom"/>
          </w:tcPr>
          <w:p>
            <w:pPr>
              <w:spacing w:after="0"/>
              <w:rPr>
                <w:sz w:val="8"/>
                <w:szCs w:val="8"/>
                <w:color w:val="auto"/>
              </w:rPr>
            </w:pPr>
          </w:p>
        </w:tc>
        <w:tc>
          <w:tcPr>
            <w:tcW w:w="100" w:type="dxa"/>
            <w:vAlign w:val="bottom"/>
          </w:tcPr>
          <w:p>
            <w:pPr>
              <w:spacing w:after="0"/>
              <w:rPr>
                <w:sz w:val="8"/>
                <w:szCs w:val="8"/>
                <w:color w:val="auto"/>
              </w:rPr>
            </w:pPr>
          </w:p>
        </w:tc>
        <w:tc>
          <w:tcPr>
            <w:tcW w:w="2060" w:type="dxa"/>
            <w:vAlign w:val="bottom"/>
            <w:vMerge w:val="continue"/>
          </w:tcPr>
          <w:p>
            <w:pPr>
              <w:spacing w:after="0"/>
              <w:rPr>
                <w:sz w:val="8"/>
                <w:szCs w:val="8"/>
                <w:color w:val="auto"/>
              </w:rPr>
            </w:pPr>
          </w:p>
        </w:tc>
        <w:tc>
          <w:tcPr>
            <w:tcW w:w="0" w:type="dxa"/>
            <w:vAlign w:val="bottom"/>
          </w:tcPr>
          <w:p>
            <w:pPr>
              <w:spacing w:after="0"/>
              <w:rPr>
                <w:sz w:val="1"/>
                <w:szCs w:val="1"/>
                <w:color w:val="auto"/>
              </w:rPr>
            </w:pPr>
          </w:p>
        </w:tc>
      </w:tr>
      <w:tr>
        <w:trPr>
          <w:trHeight w:val="108"/>
        </w:trPr>
        <w:tc>
          <w:tcPr>
            <w:tcW w:w="2880" w:type="dxa"/>
            <w:vAlign w:val="bottom"/>
          </w:tcPr>
          <w:p>
            <w:pPr>
              <w:spacing w:after="0"/>
              <w:rPr>
                <w:sz w:val="9"/>
                <w:szCs w:val="9"/>
                <w:color w:val="auto"/>
              </w:rPr>
            </w:pPr>
          </w:p>
        </w:tc>
        <w:tc>
          <w:tcPr>
            <w:tcW w:w="2160" w:type="dxa"/>
            <w:vAlign w:val="bottom"/>
            <w:gridSpan w:val="2"/>
            <w:vMerge w:val="continue"/>
          </w:tcPr>
          <w:p>
            <w:pPr>
              <w:spacing w:after="0"/>
              <w:rPr>
                <w:sz w:val="9"/>
                <w:szCs w:val="9"/>
                <w:color w:val="auto"/>
              </w:rPr>
            </w:pPr>
          </w:p>
        </w:tc>
        <w:tc>
          <w:tcPr>
            <w:tcW w:w="2160" w:type="dxa"/>
            <w:vAlign w:val="bottom"/>
            <w:gridSpan w:val="2"/>
            <w:vMerge w:val="continue"/>
          </w:tcPr>
          <w:p>
            <w:pPr>
              <w:spacing w:after="0"/>
              <w:rPr>
                <w:sz w:val="9"/>
                <w:szCs w:val="9"/>
                <w:color w:val="auto"/>
              </w:rPr>
            </w:pPr>
          </w:p>
        </w:tc>
        <w:tc>
          <w:tcPr>
            <w:tcW w:w="2060" w:type="dxa"/>
            <w:vAlign w:val="bottom"/>
          </w:tcPr>
          <w:p>
            <w:pPr>
              <w:spacing w:after="0"/>
              <w:rPr>
                <w:sz w:val="9"/>
                <w:szCs w:val="9"/>
                <w:color w:val="auto"/>
              </w:rPr>
            </w:pPr>
          </w:p>
        </w:tc>
        <w:tc>
          <w:tcPr>
            <w:tcW w:w="100" w:type="dxa"/>
            <w:vAlign w:val="bottom"/>
          </w:tcPr>
          <w:p>
            <w:pPr>
              <w:spacing w:after="0"/>
              <w:rPr>
                <w:sz w:val="9"/>
                <w:szCs w:val="9"/>
                <w:color w:val="auto"/>
              </w:rPr>
            </w:pPr>
          </w:p>
        </w:tc>
        <w:tc>
          <w:tcPr>
            <w:tcW w:w="2060" w:type="dxa"/>
            <w:vAlign w:val="bottom"/>
            <w:vMerge w:val="restart"/>
          </w:tcPr>
          <w:p>
            <w:pPr>
              <w:jc w:val="center"/>
              <w:spacing w:after="0"/>
              <w:rPr>
                <w:sz w:val="20"/>
                <w:szCs w:val="20"/>
                <w:color w:val="auto"/>
              </w:rPr>
            </w:pPr>
            <w:r>
              <w:rPr>
                <w:rFonts w:ascii="Arial" w:cs="Arial" w:eastAsia="Arial" w:hAnsi="Arial"/>
                <w:sz w:val="18"/>
                <w:szCs w:val="18"/>
                <w:color w:val="auto"/>
              </w:rPr>
              <w:t>certain leasehold rights</w:t>
            </w:r>
          </w:p>
        </w:tc>
        <w:tc>
          <w:tcPr>
            <w:tcW w:w="0" w:type="dxa"/>
            <w:vAlign w:val="bottom"/>
          </w:tcPr>
          <w:p>
            <w:pPr>
              <w:spacing w:after="0"/>
              <w:rPr>
                <w:sz w:val="1"/>
                <w:szCs w:val="1"/>
                <w:color w:val="auto"/>
              </w:rPr>
            </w:pPr>
          </w:p>
        </w:tc>
      </w:tr>
      <w:tr>
        <w:trPr>
          <w:trHeight w:val="109"/>
        </w:trPr>
        <w:tc>
          <w:tcPr>
            <w:tcW w:w="2880" w:type="dxa"/>
            <w:vAlign w:val="bottom"/>
          </w:tcPr>
          <w:p>
            <w:pPr>
              <w:spacing w:after="0"/>
              <w:rPr>
                <w:sz w:val="9"/>
                <w:szCs w:val="9"/>
                <w:color w:val="auto"/>
              </w:rPr>
            </w:pPr>
          </w:p>
        </w:tc>
        <w:tc>
          <w:tcPr>
            <w:tcW w:w="2060" w:type="dxa"/>
            <w:vAlign w:val="bottom"/>
          </w:tcPr>
          <w:p>
            <w:pPr>
              <w:spacing w:after="0"/>
              <w:rPr>
                <w:sz w:val="9"/>
                <w:szCs w:val="9"/>
                <w:color w:val="auto"/>
              </w:rPr>
            </w:pPr>
          </w:p>
        </w:tc>
        <w:tc>
          <w:tcPr>
            <w:tcW w:w="100" w:type="dxa"/>
            <w:vAlign w:val="bottom"/>
          </w:tcPr>
          <w:p>
            <w:pPr>
              <w:spacing w:after="0"/>
              <w:rPr>
                <w:sz w:val="9"/>
                <w:szCs w:val="9"/>
                <w:color w:val="auto"/>
              </w:rPr>
            </w:pPr>
          </w:p>
        </w:tc>
        <w:tc>
          <w:tcPr>
            <w:tcW w:w="2160" w:type="dxa"/>
            <w:vAlign w:val="bottom"/>
            <w:gridSpan w:val="2"/>
            <w:vMerge w:val="restart"/>
          </w:tcPr>
          <w:p>
            <w:pPr>
              <w:jc w:val="center"/>
              <w:ind w:right="100"/>
              <w:spacing w:after="0"/>
              <w:rPr>
                <w:sz w:val="20"/>
                <w:szCs w:val="20"/>
                <w:color w:val="auto"/>
              </w:rPr>
            </w:pPr>
            <w:r>
              <w:rPr>
                <w:rFonts w:ascii="Arial" w:cs="Arial" w:eastAsia="Arial" w:hAnsi="Arial"/>
                <w:sz w:val="18"/>
                <w:szCs w:val="18"/>
                <w:color w:val="auto"/>
                <w:w w:val="98"/>
              </w:rPr>
              <w:t>Heathrow)</w:t>
            </w:r>
          </w:p>
        </w:tc>
        <w:tc>
          <w:tcPr>
            <w:tcW w:w="2060" w:type="dxa"/>
            <w:vAlign w:val="bottom"/>
          </w:tcPr>
          <w:p>
            <w:pPr>
              <w:spacing w:after="0"/>
              <w:rPr>
                <w:sz w:val="9"/>
                <w:szCs w:val="9"/>
                <w:color w:val="auto"/>
              </w:rPr>
            </w:pPr>
          </w:p>
        </w:tc>
        <w:tc>
          <w:tcPr>
            <w:tcW w:w="100" w:type="dxa"/>
            <w:vAlign w:val="bottom"/>
          </w:tcPr>
          <w:p>
            <w:pPr>
              <w:spacing w:after="0"/>
              <w:rPr>
                <w:sz w:val="9"/>
                <w:szCs w:val="9"/>
                <w:color w:val="auto"/>
              </w:rPr>
            </w:pPr>
          </w:p>
        </w:tc>
        <w:tc>
          <w:tcPr>
            <w:tcW w:w="206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08"/>
        </w:trPr>
        <w:tc>
          <w:tcPr>
            <w:tcW w:w="2880" w:type="dxa"/>
            <w:vAlign w:val="bottom"/>
          </w:tcPr>
          <w:p>
            <w:pPr>
              <w:spacing w:after="0"/>
              <w:rPr>
                <w:sz w:val="9"/>
                <w:szCs w:val="9"/>
                <w:color w:val="auto"/>
              </w:rPr>
            </w:pPr>
          </w:p>
        </w:tc>
        <w:tc>
          <w:tcPr>
            <w:tcW w:w="2060" w:type="dxa"/>
            <w:vAlign w:val="bottom"/>
          </w:tcPr>
          <w:p>
            <w:pPr>
              <w:spacing w:after="0"/>
              <w:rPr>
                <w:sz w:val="9"/>
                <w:szCs w:val="9"/>
                <w:color w:val="auto"/>
              </w:rPr>
            </w:pPr>
          </w:p>
        </w:tc>
        <w:tc>
          <w:tcPr>
            <w:tcW w:w="100" w:type="dxa"/>
            <w:vAlign w:val="bottom"/>
          </w:tcPr>
          <w:p>
            <w:pPr>
              <w:spacing w:after="0"/>
              <w:rPr>
                <w:sz w:val="9"/>
                <w:szCs w:val="9"/>
                <w:color w:val="auto"/>
              </w:rPr>
            </w:pPr>
          </w:p>
        </w:tc>
        <w:tc>
          <w:tcPr>
            <w:tcW w:w="2160" w:type="dxa"/>
            <w:vAlign w:val="bottom"/>
            <w:gridSpan w:val="2"/>
            <w:vMerge w:val="continue"/>
          </w:tcPr>
          <w:p>
            <w:pPr>
              <w:spacing w:after="0"/>
              <w:rPr>
                <w:sz w:val="9"/>
                <w:szCs w:val="9"/>
                <w:color w:val="auto"/>
              </w:rPr>
            </w:pPr>
          </w:p>
        </w:tc>
        <w:tc>
          <w:tcPr>
            <w:tcW w:w="2060" w:type="dxa"/>
            <w:vAlign w:val="bottom"/>
          </w:tcPr>
          <w:p>
            <w:pPr>
              <w:spacing w:after="0"/>
              <w:rPr>
                <w:sz w:val="9"/>
                <w:szCs w:val="9"/>
                <w:color w:val="auto"/>
              </w:rPr>
            </w:pPr>
          </w:p>
        </w:tc>
        <w:tc>
          <w:tcPr>
            <w:tcW w:w="100" w:type="dxa"/>
            <w:vAlign w:val="bottom"/>
          </w:tcPr>
          <w:p>
            <w:pPr>
              <w:spacing w:after="0"/>
              <w:rPr>
                <w:sz w:val="9"/>
                <w:szCs w:val="9"/>
                <w:color w:val="auto"/>
              </w:rPr>
            </w:pPr>
          </w:p>
        </w:tc>
        <w:tc>
          <w:tcPr>
            <w:tcW w:w="2060" w:type="dxa"/>
            <w:vAlign w:val="bottom"/>
          </w:tcPr>
          <w:p>
            <w:pPr>
              <w:spacing w:after="0"/>
              <w:rPr>
                <w:sz w:val="9"/>
                <w:szCs w:val="9"/>
                <w:color w:val="auto"/>
              </w:rPr>
            </w:pPr>
          </w:p>
        </w:tc>
        <w:tc>
          <w:tcPr>
            <w:tcW w:w="0" w:type="dxa"/>
            <w:vAlign w:val="bottom"/>
          </w:tcPr>
          <w:p>
            <w:pPr>
              <w:spacing w:after="0"/>
              <w:rPr>
                <w:sz w:val="1"/>
                <w:szCs w:val="1"/>
                <w:color w:val="auto"/>
              </w:rPr>
            </w:pPr>
          </w:p>
        </w:tc>
      </w:tr>
    </w:tbl>
    <w:p>
      <w:pPr>
        <w:spacing w:after="0" w:line="391" w:lineRule="exact"/>
        <w:rPr>
          <w:sz w:val="20"/>
          <w:szCs w:val="20"/>
          <w:color w:val="auto"/>
        </w:rPr>
      </w:pPr>
    </w:p>
    <w:p>
      <w:pPr>
        <w:ind w:left="220"/>
        <w:spacing w:after="0"/>
        <w:rPr>
          <w:sz w:val="20"/>
          <w:szCs w:val="20"/>
          <w:color w:val="auto"/>
        </w:rPr>
      </w:pPr>
      <w:r>
        <w:rPr>
          <w:rFonts w:ascii="Arial" w:cs="Arial" w:eastAsia="Arial" w:hAnsi="Arial"/>
          <w:sz w:val="18"/>
          <w:szCs w:val="18"/>
          <w:color w:val="auto"/>
        </w:rPr>
        <w:t>At December 31, 2019, we were in compliance with the applicable collateral coverage tests as of the most recent measurement dates.</w:t>
      </w:r>
    </w:p>
    <w:p>
      <w:pPr>
        <w:spacing w:after="0" w:line="23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6. Leases</w:t>
      </w:r>
    </w:p>
    <w:p>
      <w:pPr>
        <w:spacing w:after="0" w:line="112" w:lineRule="exact"/>
        <w:rPr>
          <w:sz w:val="20"/>
          <w:szCs w:val="20"/>
          <w:color w:val="auto"/>
        </w:rPr>
      </w:pPr>
    </w:p>
    <w:p>
      <w:pPr>
        <w:jc w:val="both"/>
        <w:ind w:right="20" w:firstLine="243"/>
        <w:spacing w:after="0" w:line="262" w:lineRule="auto"/>
        <w:rPr>
          <w:sz w:val="20"/>
          <w:szCs w:val="20"/>
          <w:color w:val="auto"/>
        </w:rPr>
      </w:pPr>
      <w:r>
        <w:rPr>
          <w:rFonts w:ascii="Arial" w:cs="Arial" w:eastAsia="Arial" w:hAnsi="Arial"/>
          <w:sz w:val="18"/>
          <w:szCs w:val="18"/>
          <w:color w:val="auto"/>
        </w:rPr>
        <w:t>We lease certain aircraft and engines, including aircraft under capacity purchase agreements. As of December 31, 2019, we had 636 leased aircraft, with remaining terms ranging from less than one year to 12 years.</w:t>
      </w:r>
    </w:p>
    <w:p>
      <w:pPr>
        <w:spacing w:after="0" w:line="142" w:lineRule="exact"/>
        <w:rPr>
          <w:sz w:val="20"/>
          <w:szCs w:val="20"/>
          <w:color w:val="auto"/>
        </w:rPr>
      </w:pPr>
    </w:p>
    <w:p>
      <w:pPr>
        <w:jc w:val="both"/>
        <w:ind w:firstLine="243"/>
        <w:spacing w:after="0" w:line="252" w:lineRule="auto"/>
        <w:rPr>
          <w:sz w:val="20"/>
          <w:szCs w:val="20"/>
          <w:color w:val="auto"/>
        </w:rPr>
      </w:pPr>
      <w:r>
        <w:rPr>
          <w:rFonts w:ascii="Arial" w:cs="Arial" w:eastAsia="Arial" w:hAnsi="Arial"/>
          <w:sz w:val="18"/>
          <w:szCs w:val="18"/>
          <w:color w:val="auto"/>
        </w:rPr>
        <w:t>At each airport where we conduct flight operations, we have agreements, generally with a governmental unit or authority, for the use of passenger, operations and baggage handling space as well as runways and taxiways. These agreements, particularly in the U.S., often contain provisions for periodic adjustments to rates and charges applicable under such agreements. These rates and charges also vary with our level of operations and the operations of the airport. Because of the variable nature of these rates, these leases are not recorded on our balance sheet as a ROU asset or a lease liability. Additionally, at our hub locations and in certain other cities we serve, we lease administrative offices, catering, cargo, training, maintenance and other facilities.</w:t>
      </w:r>
    </w:p>
    <w:p>
      <w:pPr>
        <w:spacing w:after="0" w:line="20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91</w:t>
      </w:r>
    </w:p>
    <w:p>
      <w:pPr>
        <w:sectPr>
          <w:pgSz w:w="11900" w:h="16838" w:orient="portrait"/>
          <w:cols w:equalWidth="0" w:num="1">
            <w:col w:w="11420"/>
          </w:cols>
          <w:pgMar w:left="240" w:top="549" w:right="239" w:bottom="1440" w:gutter="0" w:footer="0" w:header="0"/>
        </w:sectPr>
      </w:pPr>
    </w:p>
    <w:bookmarkStart w:id="91" w:name="page92"/>
    <w:bookmarkEnd w:id="91"/>
    <w:p>
      <w:pPr>
        <w:jc w:val="center"/>
        <w:spacing w:after="0"/>
        <w:rPr>
          <w:sz w:val="20"/>
          <w:szCs w:val="20"/>
          <w:color w:val="auto"/>
        </w:rPr>
      </w:pPr>
      <w:r>
        <w:rPr>
          <w:rFonts w:ascii="Arial" w:cs="Arial" w:eastAsia="Arial" w:hAnsi="Arial"/>
          <w:sz w:val="18"/>
          <w:szCs w:val="18"/>
          <w:b w:val="1"/>
          <w:bCs w:val="1"/>
          <w:color w:val="auto"/>
        </w:rPr>
        <w:t>NOTES TO CONSOLIDATED FINANCIAL STATEMENTS OF AMERICAN AIRLINES GROUP INC.</w:t>
      </w:r>
    </w:p>
    <w:p>
      <w:pPr>
        <w:spacing w:after="0" w:line="200" w:lineRule="exact"/>
        <w:rPr>
          <w:sz w:val="20"/>
          <w:szCs w:val="20"/>
          <w:color w:val="auto"/>
        </w:rPr>
      </w:pPr>
    </w:p>
    <w:p>
      <w:pPr>
        <w:spacing w:after="0" w:line="209" w:lineRule="exact"/>
        <w:rPr>
          <w:sz w:val="20"/>
          <w:szCs w:val="20"/>
          <w:color w:val="auto"/>
        </w:rPr>
      </w:pPr>
    </w:p>
    <w:p>
      <w:pPr>
        <w:ind w:left="260"/>
        <w:spacing w:after="0"/>
        <w:rPr>
          <w:sz w:val="20"/>
          <w:szCs w:val="20"/>
          <w:color w:val="auto"/>
        </w:rPr>
      </w:pPr>
      <w:r>
        <w:rPr>
          <w:rFonts w:ascii="Arial" w:cs="Arial" w:eastAsia="Arial" w:hAnsi="Arial"/>
          <w:sz w:val="18"/>
          <w:szCs w:val="18"/>
          <w:color w:val="auto"/>
        </w:rPr>
        <w:t>The components of lease expense were as follows (in millions):</w:t>
      </w:r>
    </w:p>
    <w:p>
      <w:pPr>
        <w:spacing w:after="0" w:line="375" w:lineRule="exact"/>
        <w:rPr>
          <w:sz w:val="20"/>
          <w:szCs w:val="20"/>
          <w:color w:val="auto"/>
        </w:rPr>
      </w:pPr>
    </w:p>
    <w:tbl>
      <w:tblPr>
        <w:tblLayout w:type="fixed"/>
        <w:tblInd w:w="0" w:type="dxa"/>
        <w:tblCellMar>
          <w:top w:w="0" w:type="dxa"/>
          <w:left w:w="0" w:type="dxa"/>
          <w:bottom w:w="0" w:type="dxa"/>
          <w:right w:w="0" w:type="dxa"/>
        </w:tblCellMar>
      </w:tblPr>
      <w:tr>
        <w:trPr>
          <w:trHeight w:val="196"/>
        </w:trPr>
        <w:tc>
          <w:tcPr>
            <w:tcW w:w="7640" w:type="dxa"/>
            <w:vAlign w:val="bottom"/>
          </w:tcPr>
          <w:p>
            <w:pPr>
              <w:spacing w:after="0"/>
              <w:rPr>
                <w:sz w:val="17"/>
                <w:szCs w:val="17"/>
                <w:color w:val="auto"/>
              </w:rPr>
            </w:pPr>
          </w:p>
        </w:tc>
        <w:tc>
          <w:tcPr>
            <w:tcW w:w="3120" w:type="dxa"/>
            <w:vAlign w:val="bottom"/>
            <w:tcBorders>
              <w:bottom w:val="single" w:sz="8" w:color="auto"/>
            </w:tcBorders>
            <w:gridSpan w:val="4"/>
          </w:tcPr>
          <w:p>
            <w:pPr>
              <w:jc w:val="right"/>
              <w:ind w:right="256"/>
              <w:spacing w:after="0"/>
              <w:rPr>
                <w:sz w:val="20"/>
                <w:szCs w:val="20"/>
                <w:color w:val="auto"/>
              </w:rPr>
            </w:pPr>
            <w:r>
              <w:rPr>
                <w:rFonts w:ascii="Arial" w:cs="Arial" w:eastAsia="Arial" w:hAnsi="Arial"/>
                <w:sz w:val="14"/>
                <w:szCs w:val="14"/>
                <w:b w:val="1"/>
                <w:bCs w:val="1"/>
                <w:color w:val="auto"/>
              </w:rPr>
              <w:t>Year Ended December 31,</w:t>
            </w:r>
          </w:p>
        </w:tc>
        <w:tc>
          <w:tcPr>
            <w:tcW w:w="660" w:type="dxa"/>
            <w:vAlign w:val="bottom"/>
            <w:tcBorders>
              <w:bottom w:val="single" w:sz="8" w:color="auto"/>
            </w:tcBorders>
          </w:tcPr>
          <w:p>
            <w:pPr>
              <w:spacing w:after="0"/>
              <w:rPr>
                <w:sz w:val="17"/>
                <w:szCs w:val="17"/>
                <w:color w:val="auto"/>
              </w:rPr>
            </w:pPr>
          </w:p>
        </w:tc>
      </w:tr>
      <w:tr>
        <w:trPr>
          <w:trHeight w:val="250"/>
        </w:trPr>
        <w:tc>
          <w:tcPr>
            <w:tcW w:w="7640" w:type="dxa"/>
            <w:vAlign w:val="bottom"/>
          </w:tcPr>
          <w:p>
            <w:pPr>
              <w:spacing w:after="0"/>
              <w:rPr>
                <w:sz w:val="21"/>
                <w:szCs w:val="21"/>
                <w:color w:val="auto"/>
              </w:rPr>
            </w:pPr>
          </w:p>
        </w:tc>
        <w:tc>
          <w:tcPr>
            <w:tcW w:w="1180" w:type="dxa"/>
            <w:vAlign w:val="bottom"/>
            <w:tcBorders>
              <w:bottom w:val="single" w:sz="8" w:color="auto"/>
            </w:tcBorders>
          </w:tcPr>
          <w:p>
            <w:pPr>
              <w:jc w:val="right"/>
              <w:ind w:right="19"/>
              <w:spacing w:after="0"/>
              <w:rPr>
                <w:sz w:val="20"/>
                <w:szCs w:val="20"/>
                <w:color w:val="auto"/>
              </w:rPr>
            </w:pPr>
            <w:r>
              <w:rPr>
                <w:rFonts w:ascii="Arial" w:cs="Arial" w:eastAsia="Arial" w:hAnsi="Arial"/>
                <w:sz w:val="14"/>
                <w:szCs w:val="14"/>
                <w:b w:val="1"/>
                <w:bCs w:val="1"/>
                <w:color w:val="auto"/>
              </w:rPr>
              <w:t>2019</w:t>
            </w:r>
          </w:p>
        </w:tc>
        <w:tc>
          <w:tcPr>
            <w:tcW w:w="660" w:type="dxa"/>
            <w:vAlign w:val="bottom"/>
            <w:tcBorders>
              <w:bottom w:val="single" w:sz="8" w:color="auto"/>
            </w:tcBorders>
          </w:tcPr>
          <w:p>
            <w:pPr>
              <w:spacing w:after="0"/>
              <w:rPr>
                <w:sz w:val="21"/>
                <w:szCs w:val="21"/>
                <w:color w:val="auto"/>
              </w:rPr>
            </w:pPr>
          </w:p>
        </w:tc>
        <w:tc>
          <w:tcPr>
            <w:tcW w:w="100" w:type="dxa"/>
            <w:vAlign w:val="bottom"/>
          </w:tcPr>
          <w:p>
            <w:pPr>
              <w:spacing w:after="0"/>
              <w:rPr>
                <w:sz w:val="21"/>
                <w:szCs w:val="21"/>
                <w:color w:val="auto"/>
              </w:rPr>
            </w:pPr>
          </w:p>
        </w:tc>
        <w:tc>
          <w:tcPr>
            <w:tcW w:w="1180" w:type="dxa"/>
            <w:vAlign w:val="bottom"/>
            <w:tcBorders>
              <w:bottom w:val="single" w:sz="8" w:color="auto"/>
            </w:tcBorders>
          </w:tcPr>
          <w:p>
            <w:pPr>
              <w:jc w:val="right"/>
              <w:ind w:right="16"/>
              <w:spacing w:after="0"/>
              <w:rPr>
                <w:sz w:val="20"/>
                <w:szCs w:val="20"/>
                <w:color w:val="auto"/>
              </w:rPr>
            </w:pPr>
            <w:r>
              <w:rPr>
                <w:rFonts w:ascii="Arial" w:cs="Arial" w:eastAsia="Arial" w:hAnsi="Arial"/>
                <w:sz w:val="14"/>
                <w:szCs w:val="14"/>
                <w:b w:val="1"/>
                <w:bCs w:val="1"/>
                <w:color w:val="auto"/>
              </w:rPr>
              <w:t>2018</w:t>
            </w:r>
          </w:p>
        </w:tc>
        <w:tc>
          <w:tcPr>
            <w:tcW w:w="660" w:type="dxa"/>
            <w:vAlign w:val="bottom"/>
            <w:tcBorders>
              <w:bottom w:val="single" w:sz="8" w:color="auto"/>
            </w:tcBorders>
          </w:tcPr>
          <w:p>
            <w:pPr>
              <w:spacing w:after="0"/>
              <w:rPr>
                <w:sz w:val="21"/>
                <w:szCs w:val="21"/>
                <w:color w:val="auto"/>
              </w:rPr>
            </w:pPr>
          </w:p>
        </w:tc>
      </w:tr>
      <w:tr>
        <w:trPr>
          <w:trHeight w:val="249"/>
        </w:trPr>
        <w:tc>
          <w:tcPr>
            <w:tcW w:w="7640" w:type="dxa"/>
            <w:vAlign w:val="bottom"/>
          </w:tcPr>
          <w:p>
            <w:pPr>
              <w:ind w:left="40"/>
              <w:spacing w:after="0"/>
              <w:rPr>
                <w:sz w:val="20"/>
                <w:szCs w:val="20"/>
                <w:color w:val="auto"/>
              </w:rPr>
            </w:pPr>
            <w:r>
              <w:rPr>
                <w:rFonts w:ascii="Arial" w:cs="Arial" w:eastAsia="Arial" w:hAnsi="Arial"/>
                <w:sz w:val="18"/>
                <w:szCs w:val="18"/>
                <w:color w:val="auto"/>
              </w:rPr>
              <w:t>Operating lease cost</w:t>
            </w:r>
          </w:p>
        </w:tc>
        <w:tc>
          <w:tcPr>
            <w:tcW w:w="1180" w:type="dxa"/>
            <w:vAlign w:val="bottom"/>
          </w:tcPr>
          <w:p>
            <w:pPr>
              <w:jc w:val="right"/>
              <w:ind w:right="979"/>
              <w:spacing w:after="0"/>
              <w:rPr>
                <w:sz w:val="20"/>
                <w:szCs w:val="20"/>
                <w:color w:val="auto"/>
              </w:rPr>
            </w:pPr>
            <w:r>
              <w:rPr>
                <w:rFonts w:ascii="Arial" w:cs="Arial" w:eastAsia="Arial" w:hAnsi="Arial"/>
                <w:sz w:val="18"/>
                <w:szCs w:val="18"/>
                <w:color w:val="auto"/>
                <w:w w:val="99"/>
              </w:rPr>
              <w:t>$</w:t>
            </w:r>
          </w:p>
        </w:tc>
        <w:tc>
          <w:tcPr>
            <w:tcW w:w="660" w:type="dxa"/>
            <w:vAlign w:val="bottom"/>
          </w:tcPr>
          <w:p>
            <w:pPr>
              <w:jc w:val="right"/>
              <w:ind w:right="30"/>
              <w:spacing w:after="0"/>
              <w:rPr>
                <w:sz w:val="20"/>
                <w:szCs w:val="20"/>
                <w:color w:val="auto"/>
              </w:rPr>
            </w:pPr>
            <w:r>
              <w:rPr>
                <w:rFonts w:ascii="Arial" w:cs="Arial" w:eastAsia="Arial" w:hAnsi="Arial"/>
                <w:sz w:val="18"/>
                <w:szCs w:val="18"/>
                <w:color w:val="auto"/>
              </w:rPr>
              <w:t>2,027</w:t>
            </w:r>
          </w:p>
        </w:tc>
        <w:tc>
          <w:tcPr>
            <w:tcW w:w="100" w:type="dxa"/>
            <w:vAlign w:val="bottom"/>
          </w:tcPr>
          <w:p>
            <w:pPr>
              <w:spacing w:after="0"/>
              <w:rPr>
                <w:sz w:val="21"/>
                <w:szCs w:val="21"/>
                <w:color w:val="auto"/>
              </w:rPr>
            </w:pPr>
          </w:p>
        </w:tc>
        <w:tc>
          <w:tcPr>
            <w:tcW w:w="1180" w:type="dxa"/>
            <w:vAlign w:val="bottom"/>
          </w:tcPr>
          <w:p>
            <w:pPr>
              <w:jc w:val="right"/>
              <w:ind w:right="956"/>
              <w:spacing w:after="0"/>
              <w:rPr>
                <w:sz w:val="20"/>
                <w:szCs w:val="20"/>
                <w:color w:val="auto"/>
              </w:rPr>
            </w:pPr>
            <w:r>
              <w:rPr>
                <w:rFonts w:ascii="Arial" w:cs="Arial" w:eastAsia="Arial" w:hAnsi="Arial"/>
                <w:sz w:val="18"/>
                <w:szCs w:val="18"/>
                <w:color w:val="auto"/>
              </w:rPr>
              <w:t>$</w:t>
            </w:r>
          </w:p>
        </w:tc>
        <w:tc>
          <w:tcPr>
            <w:tcW w:w="660" w:type="dxa"/>
            <w:vAlign w:val="bottom"/>
          </w:tcPr>
          <w:p>
            <w:pPr>
              <w:jc w:val="right"/>
              <w:ind w:right="10"/>
              <w:spacing w:after="0"/>
              <w:rPr>
                <w:sz w:val="20"/>
                <w:szCs w:val="20"/>
                <w:color w:val="auto"/>
              </w:rPr>
            </w:pPr>
            <w:r>
              <w:rPr>
                <w:rFonts w:ascii="Arial" w:cs="Arial" w:eastAsia="Arial" w:hAnsi="Arial"/>
                <w:sz w:val="18"/>
                <w:szCs w:val="18"/>
                <w:color w:val="auto"/>
              </w:rPr>
              <w:t>1,907</w:t>
            </w:r>
          </w:p>
        </w:tc>
      </w:tr>
      <w:tr>
        <w:trPr>
          <w:trHeight w:val="277"/>
        </w:trPr>
        <w:tc>
          <w:tcPr>
            <w:tcW w:w="7640" w:type="dxa"/>
            <w:vAlign w:val="bottom"/>
            <w:shd w:val="clear" w:color="auto" w:fill="CCEEFF"/>
          </w:tcPr>
          <w:p>
            <w:pPr>
              <w:ind w:left="40"/>
              <w:spacing w:after="0"/>
              <w:rPr>
                <w:sz w:val="20"/>
                <w:szCs w:val="20"/>
                <w:color w:val="auto"/>
              </w:rPr>
            </w:pPr>
            <w:r>
              <w:rPr>
                <w:rFonts w:ascii="Arial" w:cs="Arial" w:eastAsia="Arial" w:hAnsi="Arial"/>
                <w:sz w:val="18"/>
                <w:szCs w:val="18"/>
                <w:color w:val="auto"/>
              </w:rPr>
              <w:t>Finance lease cost:</w:t>
            </w:r>
          </w:p>
        </w:tc>
        <w:tc>
          <w:tcPr>
            <w:tcW w:w="1180" w:type="dxa"/>
            <w:vAlign w:val="bottom"/>
            <w:shd w:val="clear" w:color="auto" w:fill="CCEEFF"/>
          </w:tcPr>
          <w:p>
            <w:pPr>
              <w:spacing w:after="0"/>
              <w:rPr>
                <w:sz w:val="24"/>
                <w:szCs w:val="24"/>
                <w:color w:val="auto"/>
              </w:rPr>
            </w:pPr>
          </w:p>
        </w:tc>
        <w:tc>
          <w:tcPr>
            <w:tcW w:w="66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180" w:type="dxa"/>
            <w:vAlign w:val="bottom"/>
            <w:shd w:val="clear" w:color="auto" w:fill="CCEEFF"/>
          </w:tcPr>
          <w:p>
            <w:pPr>
              <w:spacing w:after="0"/>
              <w:rPr>
                <w:sz w:val="24"/>
                <w:szCs w:val="24"/>
                <w:color w:val="auto"/>
              </w:rPr>
            </w:pPr>
          </w:p>
        </w:tc>
        <w:tc>
          <w:tcPr>
            <w:tcW w:w="660" w:type="dxa"/>
            <w:vAlign w:val="bottom"/>
            <w:shd w:val="clear" w:color="auto" w:fill="CCEEFF"/>
          </w:tcPr>
          <w:p>
            <w:pPr>
              <w:spacing w:after="0"/>
              <w:rPr>
                <w:sz w:val="24"/>
                <w:szCs w:val="24"/>
                <w:color w:val="auto"/>
              </w:rPr>
            </w:pPr>
          </w:p>
        </w:tc>
      </w:tr>
      <w:tr>
        <w:trPr>
          <w:trHeight w:val="263"/>
        </w:trPr>
        <w:tc>
          <w:tcPr>
            <w:tcW w:w="7640" w:type="dxa"/>
            <w:vAlign w:val="bottom"/>
          </w:tcPr>
          <w:p>
            <w:pPr>
              <w:ind w:left="180"/>
              <w:spacing w:after="0"/>
              <w:rPr>
                <w:sz w:val="20"/>
                <w:szCs w:val="20"/>
                <w:color w:val="auto"/>
              </w:rPr>
            </w:pPr>
            <w:r>
              <w:rPr>
                <w:rFonts w:ascii="Arial" w:cs="Arial" w:eastAsia="Arial" w:hAnsi="Arial"/>
                <w:sz w:val="18"/>
                <w:szCs w:val="18"/>
                <w:color w:val="auto"/>
              </w:rPr>
              <w:t>Amortization of assets</w:t>
            </w:r>
          </w:p>
        </w:tc>
        <w:tc>
          <w:tcPr>
            <w:tcW w:w="1180" w:type="dxa"/>
            <w:vAlign w:val="bottom"/>
          </w:tcPr>
          <w:p>
            <w:pPr>
              <w:spacing w:after="0"/>
              <w:rPr>
                <w:sz w:val="22"/>
                <w:szCs w:val="22"/>
                <w:color w:val="auto"/>
              </w:rPr>
            </w:pPr>
          </w:p>
        </w:tc>
        <w:tc>
          <w:tcPr>
            <w:tcW w:w="660" w:type="dxa"/>
            <w:vAlign w:val="bottom"/>
          </w:tcPr>
          <w:p>
            <w:pPr>
              <w:jc w:val="right"/>
              <w:ind w:right="30"/>
              <w:spacing w:after="0"/>
              <w:rPr>
                <w:sz w:val="20"/>
                <w:szCs w:val="20"/>
                <w:color w:val="auto"/>
              </w:rPr>
            </w:pPr>
            <w:r>
              <w:rPr>
                <w:rFonts w:ascii="Arial" w:cs="Arial" w:eastAsia="Arial" w:hAnsi="Arial"/>
                <w:sz w:val="18"/>
                <w:szCs w:val="18"/>
                <w:color w:val="auto"/>
              </w:rPr>
              <w:t>79</w:t>
            </w:r>
          </w:p>
        </w:tc>
        <w:tc>
          <w:tcPr>
            <w:tcW w:w="100" w:type="dxa"/>
            <w:vAlign w:val="bottom"/>
          </w:tcPr>
          <w:p>
            <w:pPr>
              <w:spacing w:after="0"/>
              <w:rPr>
                <w:sz w:val="22"/>
                <w:szCs w:val="22"/>
                <w:color w:val="auto"/>
              </w:rPr>
            </w:pPr>
          </w:p>
        </w:tc>
        <w:tc>
          <w:tcPr>
            <w:tcW w:w="1180" w:type="dxa"/>
            <w:vAlign w:val="bottom"/>
          </w:tcPr>
          <w:p>
            <w:pPr>
              <w:spacing w:after="0"/>
              <w:rPr>
                <w:sz w:val="22"/>
                <w:szCs w:val="22"/>
                <w:color w:val="auto"/>
              </w:rPr>
            </w:pPr>
          </w:p>
        </w:tc>
        <w:tc>
          <w:tcPr>
            <w:tcW w:w="660" w:type="dxa"/>
            <w:vAlign w:val="bottom"/>
          </w:tcPr>
          <w:p>
            <w:pPr>
              <w:jc w:val="right"/>
              <w:ind w:right="10"/>
              <w:spacing w:after="0"/>
              <w:rPr>
                <w:sz w:val="20"/>
                <w:szCs w:val="20"/>
                <w:color w:val="auto"/>
              </w:rPr>
            </w:pPr>
            <w:r>
              <w:rPr>
                <w:rFonts w:ascii="Arial" w:cs="Arial" w:eastAsia="Arial" w:hAnsi="Arial"/>
                <w:sz w:val="18"/>
                <w:szCs w:val="18"/>
                <w:color w:val="auto"/>
              </w:rPr>
              <w:t>78</w:t>
            </w:r>
          </w:p>
        </w:tc>
      </w:tr>
      <w:tr>
        <w:trPr>
          <w:trHeight w:val="277"/>
        </w:trPr>
        <w:tc>
          <w:tcPr>
            <w:tcW w:w="7640" w:type="dxa"/>
            <w:vAlign w:val="bottom"/>
            <w:shd w:val="clear" w:color="auto" w:fill="CCEEFF"/>
          </w:tcPr>
          <w:p>
            <w:pPr>
              <w:ind w:left="180"/>
              <w:spacing w:after="0"/>
              <w:rPr>
                <w:sz w:val="20"/>
                <w:szCs w:val="20"/>
                <w:color w:val="auto"/>
              </w:rPr>
            </w:pPr>
            <w:r>
              <w:rPr>
                <w:rFonts w:ascii="Arial" w:cs="Arial" w:eastAsia="Arial" w:hAnsi="Arial"/>
                <w:sz w:val="18"/>
                <w:szCs w:val="18"/>
                <w:color w:val="auto"/>
              </w:rPr>
              <w:t>Interest on lease liabilities</w:t>
            </w:r>
          </w:p>
        </w:tc>
        <w:tc>
          <w:tcPr>
            <w:tcW w:w="1180" w:type="dxa"/>
            <w:vAlign w:val="bottom"/>
            <w:shd w:val="clear" w:color="auto" w:fill="CCEEFF"/>
          </w:tcPr>
          <w:p>
            <w:pPr>
              <w:spacing w:after="0"/>
              <w:rPr>
                <w:sz w:val="24"/>
                <w:szCs w:val="24"/>
                <w:color w:val="auto"/>
              </w:rPr>
            </w:pPr>
          </w:p>
        </w:tc>
        <w:tc>
          <w:tcPr>
            <w:tcW w:w="66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43</w:t>
            </w:r>
          </w:p>
        </w:tc>
        <w:tc>
          <w:tcPr>
            <w:tcW w:w="100" w:type="dxa"/>
            <w:vAlign w:val="bottom"/>
            <w:shd w:val="clear" w:color="auto" w:fill="CCEEFF"/>
          </w:tcPr>
          <w:p>
            <w:pPr>
              <w:spacing w:after="0"/>
              <w:rPr>
                <w:sz w:val="24"/>
                <w:szCs w:val="24"/>
                <w:color w:val="auto"/>
              </w:rPr>
            </w:pPr>
          </w:p>
        </w:tc>
        <w:tc>
          <w:tcPr>
            <w:tcW w:w="1180" w:type="dxa"/>
            <w:vAlign w:val="bottom"/>
            <w:shd w:val="clear" w:color="auto" w:fill="CCEEFF"/>
          </w:tcPr>
          <w:p>
            <w:pPr>
              <w:spacing w:after="0"/>
              <w:rPr>
                <w:sz w:val="24"/>
                <w:szCs w:val="24"/>
                <w:color w:val="auto"/>
              </w:rPr>
            </w:pPr>
          </w:p>
        </w:tc>
        <w:tc>
          <w:tcPr>
            <w:tcW w:w="66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48</w:t>
            </w:r>
          </w:p>
        </w:tc>
      </w:tr>
      <w:tr>
        <w:trPr>
          <w:trHeight w:val="264"/>
        </w:trPr>
        <w:tc>
          <w:tcPr>
            <w:tcW w:w="7640" w:type="dxa"/>
            <w:vAlign w:val="bottom"/>
            <w:tcBorders>
              <w:bottom w:val="single" w:sz="8" w:color="CCEEFF"/>
            </w:tcBorders>
          </w:tcPr>
          <w:p>
            <w:pPr>
              <w:ind w:left="40"/>
              <w:spacing w:after="0"/>
              <w:rPr>
                <w:sz w:val="20"/>
                <w:szCs w:val="20"/>
                <w:color w:val="auto"/>
              </w:rPr>
            </w:pPr>
            <w:r>
              <w:rPr>
                <w:rFonts w:ascii="Arial" w:cs="Arial" w:eastAsia="Arial" w:hAnsi="Arial"/>
                <w:sz w:val="18"/>
                <w:szCs w:val="18"/>
                <w:color w:val="auto"/>
              </w:rPr>
              <w:t>Variable lease cost</w:t>
            </w:r>
          </w:p>
        </w:tc>
        <w:tc>
          <w:tcPr>
            <w:tcW w:w="1180" w:type="dxa"/>
            <w:vAlign w:val="bottom"/>
            <w:tcBorders>
              <w:bottom w:val="single" w:sz="8" w:color="auto"/>
            </w:tcBorders>
          </w:tcPr>
          <w:p>
            <w:pPr>
              <w:spacing w:after="0"/>
              <w:rPr>
                <w:sz w:val="22"/>
                <w:szCs w:val="22"/>
                <w:color w:val="auto"/>
              </w:rPr>
            </w:pPr>
          </w:p>
        </w:tc>
        <w:tc>
          <w:tcPr>
            <w:tcW w:w="66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2,558</w:t>
            </w:r>
          </w:p>
        </w:tc>
        <w:tc>
          <w:tcPr>
            <w:tcW w:w="100" w:type="dxa"/>
            <w:vAlign w:val="bottom"/>
            <w:tcBorders>
              <w:bottom w:val="single" w:sz="8" w:color="CCEEFF"/>
            </w:tcBorders>
          </w:tcPr>
          <w:p>
            <w:pPr>
              <w:spacing w:after="0"/>
              <w:rPr>
                <w:sz w:val="22"/>
                <w:szCs w:val="22"/>
                <w:color w:val="auto"/>
              </w:rPr>
            </w:pPr>
          </w:p>
        </w:tc>
        <w:tc>
          <w:tcPr>
            <w:tcW w:w="1180" w:type="dxa"/>
            <w:vAlign w:val="bottom"/>
            <w:tcBorders>
              <w:bottom w:val="single" w:sz="8" w:color="auto"/>
            </w:tcBorders>
          </w:tcPr>
          <w:p>
            <w:pPr>
              <w:spacing w:after="0"/>
              <w:rPr>
                <w:sz w:val="22"/>
                <w:szCs w:val="22"/>
                <w:color w:val="auto"/>
              </w:rPr>
            </w:pPr>
          </w:p>
        </w:tc>
        <w:tc>
          <w:tcPr>
            <w:tcW w:w="66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2,353</w:t>
            </w:r>
          </w:p>
        </w:tc>
      </w:tr>
      <w:tr>
        <w:trPr>
          <w:trHeight w:val="257"/>
        </w:trPr>
        <w:tc>
          <w:tcPr>
            <w:tcW w:w="76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Total net lease cost</w:t>
            </w:r>
          </w:p>
        </w:tc>
        <w:tc>
          <w:tcPr>
            <w:tcW w:w="1180" w:type="dxa"/>
            <w:vAlign w:val="bottom"/>
            <w:tcBorders>
              <w:bottom w:val="single" w:sz="8" w:color="auto"/>
            </w:tcBorders>
            <w:shd w:val="clear" w:color="auto" w:fill="CCEEFF"/>
          </w:tcPr>
          <w:p>
            <w:pPr>
              <w:jc w:val="right"/>
              <w:ind w:right="979"/>
              <w:spacing w:after="0"/>
              <w:rPr>
                <w:sz w:val="20"/>
                <w:szCs w:val="20"/>
                <w:color w:val="auto"/>
              </w:rPr>
            </w:pPr>
            <w:r>
              <w:rPr>
                <w:rFonts w:ascii="Arial" w:cs="Arial" w:eastAsia="Arial" w:hAnsi="Arial"/>
                <w:sz w:val="18"/>
                <w:szCs w:val="18"/>
                <w:color w:val="auto"/>
                <w:w w:val="99"/>
              </w:rPr>
              <w:t>$</w:t>
            </w:r>
          </w:p>
        </w:tc>
        <w:tc>
          <w:tcPr>
            <w:tcW w:w="66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4,707</w:t>
            </w:r>
          </w:p>
        </w:tc>
        <w:tc>
          <w:tcPr>
            <w:tcW w:w="100" w:type="dxa"/>
            <w:vAlign w:val="bottom"/>
            <w:tcBorders>
              <w:bottom w:val="single" w:sz="8" w:color="CCEEFF"/>
            </w:tcBorders>
            <w:shd w:val="clear" w:color="auto" w:fill="CCEEFF"/>
          </w:tcPr>
          <w:p>
            <w:pPr>
              <w:spacing w:after="0"/>
              <w:rPr>
                <w:sz w:val="22"/>
                <w:szCs w:val="22"/>
                <w:color w:val="auto"/>
              </w:rPr>
            </w:pPr>
          </w:p>
        </w:tc>
        <w:tc>
          <w:tcPr>
            <w:tcW w:w="1180" w:type="dxa"/>
            <w:vAlign w:val="bottom"/>
            <w:tcBorders>
              <w:bottom w:val="single" w:sz="8" w:color="auto"/>
            </w:tcBorders>
            <w:shd w:val="clear" w:color="auto" w:fill="CCEEFF"/>
          </w:tcPr>
          <w:p>
            <w:pPr>
              <w:jc w:val="right"/>
              <w:ind w:right="956"/>
              <w:spacing w:after="0"/>
              <w:rPr>
                <w:sz w:val="20"/>
                <w:szCs w:val="20"/>
                <w:color w:val="auto"/>
              </w:rPr>
            </w:pPr>
            <w:r>
              <w:rPr>
                <w:rFonts w:ascii="Arial" w:cs="Arial" w:eastAsia="Arial" w:hAnsi="Arial"/>
                <w:sz w:val="18"/>
                <w:szCs w:val="18"/>
                <w:color w:val="auto"/>
              </w:rPr>
              <w:t>$</w:t>
            </w:r>
          </w:p>
        </w:tc>
        <w:tc>
          <w:tcPr>
            <w:tcW w:w="66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4,386</w:t>
            </w:r>
          </w:p>
        </w:tc>
      </w:tr>
      <w:tr>
        <w:trPr>
          <w:trHeight w:val="20"/>
        </w:trPr>
        <w:tc>
          <w:tcPr>
            <w:tcW w:w="7640" w:type="dxa"/>
            <w:vAlign w:val="bottom"/>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r>
    </w:tbl>
    <w:p>
      <w:pPr>
        <w:spacing w:after="0" w:line="377" w:lineRule="exact"/>
        <w:rPr>
          <w:sz w:val="20"/>
          <w:szCs w:val="20"/>
          <w:color w:val="auto"/>
        </w:rPr>
      </w:pPr>
    </w:p>
    <w:p>
      <w:pPr>
        <w:jc w:val="both"/>
        <w:ind w:firstLine="243"/>
        <w:spacing w:after="0" w:line="256" w:lineRule="auto"/>
        <w:rPr>
          <w:sz w:val="20"/>
          <w:szCs w:val="20"/>
          <w:color w:val="auto"/>
        </w:rPr>
      </w:pPr>
      <w:r>
        <w:rPr>
          <w:rFonts w:ascii="Arial" w:cs="Arial" w:eastAsia="Arial" w:hAnsi="Arial"/>
          <w:sz w:val="18"/>
          <w:szCs w:val="18"/>
          <w:color w:val="auto"/>
        </w:rPr>
        <w:t>Included in the table above is $236 million and $ 226 million of operating lease cost under our capacity purchase agreement with Republic for the years ended December 31, 2019 and 2018, respectively. We hold a 25% equity interest in Republic Holdings, the parent company of Republic.</w:t>
      </w:r>
    </w:p>
    <w:p>
      <w:pPr>
        <w:spacing w:after="0" w:line="310" w:lineRule="exact"/>
        <w:rPr>
          <w:sz w:val="20"/>
          <w:szCs w:val="20"/>
          <w:color w:val="auto"/>
        </w:rPr>
      </w:pPr>
    </w:p>
    <w:p>
      <w:pPr>
        <w:ind w:left="260"/>
        <w:spacing w:after="0"/>
        <w:rPr>
          <w:sz w:val="20"/>
          <w:szCs w:val="20"/>
          <w:color w:val="auto"/>
        </w:rPr>
      </w:pPr>
      <w:r>
        <w:rPr>
          <w:rFonts w:ascii="Arial" w:cs="Arial" w:eastAsia="Arial" w:hAnsi="Arial"/>
          <w:sz w:val="18"/>
          <w:szCs w:val="18"/>
          <w:color w:val="auto"/>
        </w:rPr>
        <w:t>Supplemental balance sheet information related to leases was as follows (in millions, except lease term and discount rate):</w:t>
      </w:r>
    </w:p>
    <w:p>
      <w:pPr>
        <w:spacing w:after="0" w:line="375" w:lineRule="exact"/>
        <w:rPr>
          <w:sz w:val="20"/>
          <w:szCs w:val="20"/>
          <w:color w:val="auto"/>
        </w:rPr>
      </w:pPr>
    </w:p>
    <w:tbl>
      <w:tblPr>
        <w:tblLayout w:type="fixed"/>
        <w:tblInd w:w="0" w:type="dxa"/>
        <w:tblCellMar>
          <w:top w:w="0" w:type="dxa"/>
          <w:left w:w="0" w:type="dxa"/>
          <w:bottom w:w="0" w:type="dxa"/>
          <w:right w:w="0" w:type="dxa"/>
        </w:tblCellMar>
      </w:tblPr>
      <w:tr>
        <w:trPr>
          <w:trHeight w:val="196"/>
        </w:trPr>
        <w:tc>
          <w:tcPr>
            <w:tcW w:w="7500" w:type="dxa"/>
            <w:vAlign w:val="bottom"/>
          </w:tcPr>
          <w:p>
            <w:pPr>
              <w:spacing w:after="0"/>
              <w:rPr>
                <w:sz w:val="17"/>
                <w:szCs w:val="17"/>
                <w:color w:val="auto"/>
              </w:rPr>
            </w:pPr>
          </w:p>
        </w:tc>
        <w:tc>
          <w:tcPr>
            <w:tcW w:w="1200" w:type="dxa"/>
            <w:vAlign w:val="bottom"/>
            <w:tcBorders>
              <w:bottom w:val="single" w:sz="8" w:color="auto"/>
            </w:tcBorders>
          </w:tcPr>
          <w:p>
            <w:pPr>
              <w:spacing w:after="0"/>
              <w:rPr>
                <w:sz w:val="17"/>
                <w:szCs w:val="17"/>
                <w:color w:val="auto"/>
              </w:rPr>
            </w:pPr>
          </w:p>
        </w:tc>
        <w:tc>
          <w:tcPr>
            <w:tcW w:w="1420" w:type="dxa"/>
            <w:vAlign w:val="bottom"/>
            <w:tcBorders>
              <w:bottom w:val="single" w:sz="8" w:color="auto"/>
            </w:tcBorders>
            <w:gridSpan w:val="3"/>
          </w:tcPr>
          <w:p>
            <w:pPr>
              <w:jc w:val="right"/>
              <w:ind w:right="90"/>
              <w:spacing w:after="0"/>
              <w:rPr>
                <w:sz w:val="20"/>
                <w:szCs w:val="20"/>
                <w:color w:val="auto"/>
              </w:rPr>
            </w:pPr>
            <w:r>
              <w:rPr>
                <w:rFonts w:ascii="Arial" w:cs="Arial" w:eastAsia="Arial" w:hAnsi="Arial"/>
                <w:sz w:val="14"/>
                <w:szCs w:val="14"/>
                <w:b w:val="1"/>
                <w:bCs w:val="1"/>
                <w:color w:val="auto"/>
              </w:rPr>
              <w:t>December 31,</w:t>
            </w:r>
          </w:p>
        </w:tc>
        <w:tc>
          <w:tcPr>
            <w:tcW w:w="1300" w:type="dxa"/>
            <w:vAlign w:val="bottom"/>
            <w:tcBorders>
              <w:bottom w:val="single" w:sz="8" w:color="auto"/>
            </w:tcBorders>
          </w:tcPr>
          <w:p>
            <w:pPr>
              <w:spacing w:after="0"/>
              <w:rPr>
                <w:sz w:val="17"/>
                <w:szCs w:val="17"/>
                <w:color w:val="auto"/>
              </w:rPr>
            </w:pPr>
          </w:p>
        </w:tc>
      </w:tr>
      <w:tr>
        <w:trPr>
          <w:trHeight w:val="250"/>
        </w:trPr>
        <w:tc>
          <w:tcPr>
            <w:tcW w:w="7500" w:type="dxa"/>
            <w:vAlign w:val="bottom"/>
          </w:tcPr>
          <w:p>
            <w:pPr>
              <w:spacing w:after="0"/>
              <w:rPr>
                <w:sz w:val="21"/>
                <w:szCs w:val="21"/>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2019</w:t>
            </w:r>
          </w:p>
        </w:tc>
        <w:tc>
          <w:tcPr>
            <w:tcW w:w="700" w:type="dxa"/>
            <w:vAlign w:val="bottom"/>
            <w:tcBorders>
              <w:bottom w:val="single" w:sz="8" w:color="auto"/>
            </w:tcBorders>
          </w:tcPr>
          <w:p>
            <w:pPr>
              <w:spacing w:after="0"/>
              <w:rPr>
                <w:sz w:val="21"/>
                <w:szCs w:val="21"/>
                <w:color w:val="auto"/>
              </w:rPr>
            </w:pPr>
          </w:p>
        </w:tc>
        <w:tc>
          <w:tcPr>
            <w:tcW w:w="120" w:type="dxa"/>
            <w:vAlign w:val="bottom"/>
          </w:tcPr>
          <w:p>
            <w:pPr>
              <w:spacing w:after="0"/>
              <w:rPr>
                <w:sz w:val="21"/>
                <w:szCs w:val="21"/>
                <w:color w:val="auto"/>
              </w:rPr>
            </w:pPr>
          </w:p>
        </w:tc>
        <w:tc>
          <w:tcPr>
            <w:tcW w:w="600" w:type="dxa"/>
            <w:vAlign w:val="bottom"/>
            <w:tcBorders>
              <w:bottom w:val="single" w:sz="8" w:color="auto"/>
            </w:tcBorders>
          </w:tcPr>
          <w:p>
            <w:pPr>
              <w:spacing w:after="0"/>
              <w:rPr>
                <w:sz w:val="21"/>
                <w:szCs w:val="21"/>
                <w:color w:val="auto"/>
              </w:rPr>
            </w:pPr>
          </w:p>
        </w:tc>
        <w:tc>
          <w:tcPr>
            <w:tcW w:w="1300" w:type="dxa"/>
            <w:vAlign w:val="bottom"/>
            <w:tcBorders>
              <w:bottom w:val="single" w:sz="8" w:color="auto"/>
            </w:tcBorders>
          </w:tcPr>
          <w:p>
            <w:pPr>
              <w:jc w:val="right"/>
              <w:ind w:right="711"/>
              <w:spacing w:after="0"/>
              <w:rPr>
                <w:sz w:val="20"/>
                <w:szCs w:val="20"/>
                <w:color w:val="auto"/>
              </w:rPr>
            </w:pPr>
            <w:r>
              <w:rPr>
                <w:rFonts w:ascii="Arial" w:cs="Arial" w:eastAsia="Arial" w:hAnsi="Arial"/>
                <w:sz w:val="14"/>
                <w:szCs w:val="14"/>
                <w:b w:val="1"/>
                <w:bCs w:val="1"/>
                <w:color w:val="auto"/>
              </w:rPr>
              <w:t>2018</w:t>
            </w:r>
          </w:p>
        </w:tc>
      </w:tr>
      <w:tr>
        <w:trPr>
          <w:trHeight w:val="263"/>
        </w:trPr>
        <w:tc>
          <w:tcPr>
            <w:tcW w:w="7500" w:type="dxa"/>
            <w:vAlign w:val="bottom"/>
          </w:tcPr>
          <w:p>
            <w:pPr>
              <w:ind w:left="40"/>
              <w:spacing w:after="0"/>
              <w:rPr>
                <w:sz w:val="20"/>
                <w:szCs w:val="20"/>
                <w:color w:val="auto"/>
              </w:rPr>
            </w:pPr>
            <w:r>
              <w:rPr>
                <w:rFonts w:ascii="Arial" w:cs="Arial" w:eastAsia="Arial" w:hAnsi="Arial"/>
                <w:sz w:val="18"/>
                <w:szCs w:val="18"/>
                <w:color w:val="auto"/>
              </w:rPr>
              <w:t>Operating leases:</w:t>
            </w:r>
          </w:p>
        </w:tc>
        <w:tc>
          <w:tcPr>
            <w:tcW w:w="1200" w:type="dxa"/>
            <w:vAlign w:val="bottom"/>
          </w:tcPr>
          <w:p>
            <w:pPr>
              <w:spacing w:after="0"/>
              <w:rPr>
                <w:sz w:val="22"/>
                <w:szCs w:val="22"/>
                <w:color w:val="auto"/>
              </w:rPr>
            </w:pPr>
          </w:p>
        </w:tc>
        <w:tc>
          <w:tcPr>
            <w:tcW w:w="7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600" w:type="dxa"/>
            <w:vAlign w:val="bottom"/>
          </w:tcPr>
          <w:p>
            <w:pPr>
              <w:spacing w:after="0"/>
              <w:rPr>
                <w:sz w:val="22"/>
                <w:szCs w:val="22"/>
                <w:color w:val="auto"/>
              </w:rPr>
            </w:pPr>
          </w:p>
        </w:tc>
        <w:tc>
          <w:tcPr>
            <w:tcW w:w="1300" w:type="dxa"/>
            <w:vAlign w:val="bottom"/>
          </w:tcPr>
          <w:p>
            <w:pPr>
              <w:spacing w:after="0"/>
              <w:rPr>
                <w:sz w:val="22"/>
                <w:szCs w:val="22"/>
                <w:color w:val="auto"/>
              </w:rPr>
            </w:pPr>
          </w:p>
        </w:tc>
      </w:tr>
      <w:tr>
        <w:trPr>
          <w:trHeight w:val="277"/>
        </w:trPr>
        <w:tc>
          <w:tcPr>
            <w:tcW w:w="7500" w:type="dxa"/>
            <w:vAlign w:val="bottom"/>
            <w:shd w:val="clear" w:color="auto" w:fill="CCEEFF"/>
          </w:tcPr>
          <w:p>
            <w:pPr>
              <w:ind w:left="180"/>
              <w:spacing w:after="0"/>
              <w:rPr>
                <w:sz w:val="20"/>
                <w:szCs w:val="20"/>
                <w:color w:val="auto"/>
              </w:rPr>
            </w:pPr>
            <w:r>
              <w:rPr>
                <w:rFonts w:ascii="Arial" w:cs="Arial" w:eastAsia="Arial" w:hAnsi="Arial"/>
                <w:sz w:val="18"/>
                <w:szCs w:val="18"/>
                <w:color w:val="auto"/>
              </w:rPr>
              <w:t>Operating lease ROU assets</w:t>
            </w:r>
          </w:p>
        </w:tc>
        <w:tc>
          <w:tcPr>
            <w:tcW w:w="1200" w:type="dxa"/>
            <w:vAlign w:val="bottom"/>
            <w:shd w:val="clear" w:color="auto" w:fill="CCEEFF"/>
          </w:tcPr>
          <w:p>
            <w:pPr>
              <w:jc w:val="right"/>
              <w:ind w:right="972"/>
              <w:spacing w:after="0"/>
              <w:rPr>
                <w:sz w:val="20"/>
                <w:szCs w:val="20"/>
                <w:color w:val="auto"/>
              </w:rPr>
            </w:pPr>
            <w:r>
              <w:rPr>
                <w:rFonts w:ascii="Arial" w:cs="Arial" w:eastAsia="Arial" w:hAnsi="Arial"/>
                <w:sz w:val="18"/>
                <w:szCs w:val="18"/>
                <w:color w:val="auto"/>
              </w:rPr>
              <w:t>$</w:t>
            </w:r>
          </w:p>
        </w:tc>
        <w:tc>
          <w:tcPr>
            <w:tcW w:w="700" w:type="dxa"/>
            <w:vAlign w:val="bottom"/>
            <w:shd w:val="clear" w:color="auto" w:fill="CCEEFF"/>
          </w:tcPr>
          <w:p>
            <w:pPr>
              <w:jc w:val="right"/>
              <w:ind w:right="91"/>
              <w:spacing w:after="0"/>
              <w:rPr>
                <w:sz w:val="20"/>
                <w:szCs w:val="20"/>
                <w:color w:val="auto"/>
              </w:rPr>
            </w:pPr>
            <w:r>
              <w:rPr>
                <w:rFonts w:ascii="Arial" w:cs="Arial" w:eastAsia="Arial" w:hAnsi="Arial"/>
                <w:sz w:val="18"/>
                <w:szCs w:val="18"/>
                <w:color w:val="auto"/>
              </w:rPr>
              <w:t>8,737</w:t>
            </w:r>
          </w:p>
        </w:tc>
        <w:tc>
          <w:tcPr>
            <w:tcW w:w="120" w:type="dxa"/>
            <w:vAlign w:val="bottom"/>
            <w:shd w:val="clear" w:color="auto" w:fill="CCEEFF"/>
          </w:tcPr>
          <w:p>
            <w:pPr>
              <w:spacing w:after="0"/>
              <w:rPr>
                <w:sz w:val="24"/>
                <w:szCs w:val="24"/>
                <w:color w:val="auto"/>
              </w:rPr>
            </w:pPr>
          </w:p>
        </w:tc>
        <w:tc>
          <w:tcPr>
            <w:tcW w:w="600" w:type="dxa"/>
            <w:vAlign w:val="bottom"/>
            <w:shd w:val="clear" w:color="auto" w:fill="CCEEFF"/>
          </w:tcPr>
          <w:p>
            <w:pPr>
              <w:jc w:val="right"/>
              <w:ind w:right="390"/>
              <w:spacing w:after="0"/>
              <w:rPr>
                <w:sz w:val="20"/>
                <w:szCs w:val="20"/>
                <w:color w:val="auto"/>
              </w:rPr>
            </w:pPr>
            <w:r>
              <w:rPr>
                <w:rFonts w:ascii="Arial" w:cs="Arial" w:eastAsia="Arial" w:hAnsi="Arial"/>
                <w:sz w:val="18"/>
                <w:szCs w:val="18"/>
                <w:color w:val="auto"/>
                <w:w w:val="99"/>
              </w:rPr>
              <w:t>$</w:t>
            </w:r>
          </w:p>
        </w:tc>
        <w:tc>
          <w:tcPr>
            <w:tcW w:w="1300" w:type="dxa"/>
            <w:vAlign w:val="bottom"/>
            <w:shd w:val="clear" w:color="auto" w:fill="CCEEFF"/>
          </w:tcPr>
          <w:p>
            <w:pPr>
              <w:jc w:val="right"/>
              <w:ind w:right="91"/>
              <w:spacing w:after="0"/>
              <w:rPr>
                <w:sz w:val="20"/>
                <w:szCs w:val="20"/>
                <w:color w:val="auto"/>
              </w:rPr>
            </w:pPr>
            <w:r>
              <w:rPr>
                <w:rFonts w:ascii="Arial" w:cs="Arial" w:eastAsia="Arial" w:hAnsi="Arial"/>
                <w:sz w:val="18"/>
                <w:szCs w:val="18"/>
                <w:color w:val="auto"/>
              </w:rPr>
              <w:t>9,151</w:t>
            </w:r>
          </w:p>
        </w:tc>
      </w:tr>
      <w:tr>
        <w:trPr>
          <w:trHeight w:val="324"/>
        </w:trPr>
        <w:tc>
          <w:tcPr>
            <w:tcW w:w="750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1300" w:type="dxa"/>
            <w:vAlign w:val="bottom"/>
          </w:tcPr>
          <w:p>
            <w:pPr>
              <w:spacing w:after="0"/>
              <w:rPr>
                <w:sz w:val="24"/>
                <w:szCs w:val="24"/>
                <w:color w:val="auto"/>
              </w:rPr>
            </w:pPr>
          </w:p>
        </w:tc>
      </w:tr>
      <w:tr>
        <w:trPr>
          <w:trHeight w:val="270"/>
        </w:trPr>
        <w:tc>
          <w:tcPr>
            <w:tcW w:w="7500" w:type="dxa"/>
            <w:vAlign w:val="bottom"/>
            <w:shd w:val="clear" w:color="auto" w:fill="CCEEFF"/>
          </w:tcPr>
          <w:p>
            <w:pPr>
              <w:ind w:left="180"/>
              <w:spacing w:after="0"/>
              <w:rPr>
                <w:sz w:val="20"/>
                <w:szCs w:val="20"/>
                <w:color w:val="auto"/>
              </w:rPr>
            </w:pPr>
            <w:r>
              <w:rPr>
                <w:rFonts w:ascii="Arial" w:cs="Arial" w:eastAsia="Arial" w:hAnsi="Arial"/>
                <w:sz w:val="18"/>
                <w:szCs w:val="18"/>
                <w:color w:val="auto"/>
              </w:rPr>
              <w:t>Current operating lease liabilities</w:t>
            </w:r>
          </w:p>
        </w:tc>
        <w:tc>
          <w:tcPr>
            <w:tcW w:w="1200" w:type="dxa"/>
            <w:vAlign w:val="bottom"/>
            <w:shd w:val="clear" w:color="auto" w:fill="CCEEFF"/>
          </w:tcPr>
          <w:p>
            <w:pPr>
              <w:jc w:val="right"/>
              <w:ind w:right="972"/>
              <w:spacing w:after="0"/>
              <w:rPr>
                <w:sz w:val="20"/>
                <w:szCs w:val="20"/>
                <w:color w:val="auto"/>
              </w:rPr>
            </w:pPr>
            <w:r>
              <w:rPr>
                <w:rFonts w:ascii="Arial" w:cs="Arial" w:eastAsia="Arial" w:hAnsi="Arial"/>
                <w:sz w:val="18"/>
                <w:szCs w:val="18"/>
                <w:color w:val="auto"/>
              </w:rPr>
              <w:t>$</w:t>
            </w:r>
          </w:p>
        </w:tc>
        <w:tc>
          <w:tcPr>
            <w:tcW w:w="700" w:type="dxa"/>
            <w:vAlign w:val="bottom"/>
            <w:shd w:val="clear" w:color="auto" w:fill="CCEEFF"/>
          </w:tcPr>
          <w:p>
            <w:pPr>
              <w:jc w:val="right"/>
              <w:ind w:right="91"/>
              <w:spacing w:after="0"/>
              <w:rPr>
                <w:sz w:val="20"/>
                <w:szCs w:val="20"/>
                <w:color w:val="auto"/>
              </w:rPr>
            </w:pPr>
            <w:r>
              <w:rPr>
                <w:rFonts w:ascii="Arial" w:cs="Arial" w:eastAsia="Arial" w:hAnsi="Arial"/>
                <w:sz w:val="18"/>
                <w:szCs w:val="18"/>
                <w:color w:val="auto"/>
              </w:rPr>
              <w:t>1,708</w:t>
            </w:r>
          </w:p>
        </w:tc>
        <w:tc>
          <w:tcPr>
            <w:tcW w:w="120" w:type="dxa"/>
            <w:vAlign w:val="bottom"/>
            <w:shd w:val="clear" w:color="auto" w:fill="CCEEFF"/>
          </w:tcPr>
          <w:p>
            <w:pPr>
              <w:spacing w:after="0"/>
              <w:rPr>
                <w:sz w:val="23"/>
                <w:szCs w:val="23"/>
                <w:color w:val="auto"/>
              </w:rPr>
            </w:pPr>
          </w:p>
        </w:tc>
        <w:tc>
          <w:tcPr>
            <w:tcW w:w="600" w:type="dxa"/>
            <w:vAlign w:val="bottom"/>
            <w:shd w:val="clear" w:color="auto" w:fill="CCEEFF"/>
          </w:tcPr>
          <w:p>
            <w:pPr>
              <w:jc w:val="right"/>
              <w:ind w:right="390"/>
              <w:spacing w:after="0"/>
              <w:rPr>
                <w:sz w:val="20"/>
                <w:szCs w:val="20"/>
                <w:color w:val="auto"/>
              </w:rPr>
            </w:pPr>
            <w:r>
              <w:rPr>
                <w:rFonts w:ascii="Arial" w:cs="Arial" w:eastAsia="Arial" w:hAnsi="Arial"/>
                <w:sz w:val="18"/>
                <w:szCs w:val="18"/>
                <w:color w:val="auto"/>
                <w:w w:val="99"/>
              </w:rPr>
              <w:t>$</w:t>
            </w:r>
          </w:p>
        </w:tc>
        <w:tc>
          <w:tcPr>
            <w:tcW w:w="1300" w:type="dxa"/>
            <w:vAlign w:val="bottom"/>
            <w:shd w:val="clear" w:color="auto" w:fill="CCEEFF"/>
          </w:tcPr>
          <w:p>
            <w:pPr>
              <w:jc w:val="right"/>
              <w:ind w:right="91"/>
              <w:spacing w:after="0"/>
              <w:rPr>
                <w:sz w:val="20"/>
                <w:szCs w:val="20"/>
                <w:color w:val="auto"/>
              </w:rPr>
            </w:pPr>
            <w:r>
              <w:rPr>
                <w:rFonts w:ascii="Arial" w:cs="Arial" w:eastAsia="Arial" w:hAnsi="Arial"/>
                <w:sz w:val="18"/>
                <w:szCs w:val="18"/>
                <w:color w:val="auto"/>
              </w:rPr>
              <w:t>1,654</w:t>
            </w:r>
          </w:p>
        </w:tc>
      </w:tr>
      <w:tr>
        <w:trPr>
          <w:trHeight w:val="264"/>
        </w:trPr>
        <w:tc>
          <w:tcPr>
            <w:tcW w:w="7500" w:type="dxa"/>
            <w:vAlign w:val="bottom"/>
            <w:tcBorders>
              <w:bottom w:val="single" w:sz="8" w:color="CCEEFF"/>
            </w:tcBorders>
          </w:tcPr>
          <w:p>
            <w:pPr>
              <w:ind w:left="180"/>
              <w:spacing w:after="0"/>
              <w:rPr>
                <w:sz w:val="20"/>
                <w:szCs w:val="20"/>
                <w:color w:val="auto"/>
              </w:rPr>
            </w:pPr>
            <w:r>
              <w:rPr>
                <w:rFonts w:ascii="Arial" w:cs="Arial" w:eastAsia="Arial" w:hAnsi="Arial"/>
                <w:sz w:val="18"/>
                <w:szCs w:val="18"/>
                <w:color w:val="auto"/>
              </w:rPr>
              <w:t>Noncurrent operating lease liabilities</w:t>
            </w:r>
          </w:p>
        </w:tc>
        <w:tc>
          <w:tcPr>
            <w:tcW w:w="1200" w:type="dxa"/>
            <w:vAlign w:val="bottom"/>
            <w:tcBorders>
              <w:bottom w:val="single" w:sz="8" w:color="auto"/>
            </w:tcBorders>
          </w:tcPr>
          <w:p>
            <w:pPr>
              <w:spacing w:after="0"/>
              <w:rPr>
                <w:sz w:val="22"/>
                <w:szCs w:val="22"/>
                <w:color w:val="auto"/>
              </w:rPr>
            </w:pPr>
          </w:p>
        </w:tc>
        <w:tc>
          <w:tcPr>
            <w:tcW w:w="700" w:type="dxa"/>
            <w:vAlign w:val="bottom"/>
            <w:tcBorders>
              <w:bottom w:val="single" w:sz="8" w:color="auto"/>
            </w:tcBorders>
          </w:tcPr>
          <w:p>
            <w:pPr>
              <w:jc w:val="right"/>
              <w:ind w:right="91"/>
              <w:spacing w:after="0"/>
              <w:rPr>
                <w:sz w:val="20"/>
                <w:szCs w:val="20"/>
                <w:color w:val="auto"/>
              </w:rPr>
            </w:pPr>
            <w:r>
              <w:rPr>
                <w:rFonts w:ascii="Arial" w:cs="Arial" w:eastAsia="Arial" w:hAnsi="Arial"/>
                <w:sz w:val="18"/>
                <w:szCs w:val="18"/>
                <w:color w:val="auto"/>
              </w:rPr>
              <w:t>7,421</w:t>
            </w:r>
          </w:p>
        </w:tc>
        <w:tc>
          <w:tcPr>
            <w:tcW w:w="120" w:type="dxa"/>
            <w:vAlign w:val="bottom"/>
            <w:tcBorders>
              <w:bottom w:val="single" w:sz="8" w:color="CCEEFF"/>
            </w:tcBorders>
          </w:tcPr>
          <w:p>
            <w:pPr>
              <w:spacing w:after="0"/>
              <w:rPr>
                <w:sz w:val="22"/>
                <w:szCs w:val="22"/>
                <w:color w:val="auto"/>
              </w:rPr>
            </w:pPr>
          </w:p>
        </w:tc>
        <w:tc>
          <w:tcPr>
            <w:tcW w:w="600" w:type="dxa"/>
            <w:vAlign w:val="bottom"/>
            <w:tcBorders>
              <w:bottom w:val="single" w:sz="8" w:color="auto"/>
            </w:tcBorders>
          </w:tcPr>
          <w:p>
            <w:pPr>
              <w:spacing w:after="0"/>
              <w:rPr>
                <w:sz w:val="22"/>
                <w:szCs w:val="22"/>
                <w:color w:val="auto"/>
              </w:rPr>
            </w:pPr>
          </w:p>
        </w:tc>
        <w:tc>
          <w:tcPr>
            <w:tcW w:w="1300" w:type="dxa"/>
            <w:vAlign w:val="bottom"/>
            <w:tcBorders>
              <w:bottom w:val="single" w:sz="8" w:color="auto"/>
            </w:tcBorders>
          </w:tcPr>
          <w:p>
            <w:pPr>
              <w:jc w:val="right"/>
              <w:ind w:right="91"/>
              <w:spacing w:after="0"/>
              <w:rPr>
                <w:sz w:val="20"/>
                <w:szCs w:val="20"/>
                <w:color w:val="auto"/>
              </w:rPr>
            </w:pPr>
            <w:r>
              <w:rPr>
                <w:rFonts w:ascii="Arial" w:cs="Arial" w:eastAsia="Arial" w:hAnsi="Arial"/>
                <w:sz w:val="18"/>
                <w:szCs w:val="18"/>
                <w:color w:val="auto"/>
              </w:rPr>
              <w:t>7,902</w:t>
            </w:r>
          </w:p>
        </w:tc>
      </w:tr>
      <w:tr>
        <w:trPr>
          <w:trHeight w:val="257"/>
        </w:trPr>
        <w:tc>
          <w:tcPr>
            <w:tcW w:w="750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Total operating lease liabilities</w:t>
            </w:r>
          </w:p>
        </w:tc>
        <w:tc>
          <w:tcPr>
            <w:tcW w:w="1200" w:type="dxa"/>
            <w:vAlign w:val="bottom"/>
            <w:tcBorders>
              <w:bottom w:val="single" w:sz="8" w:color="auto"/>
            </w:tcBorders>
            <w:shd w:val="clear" w:color="auto" w:fill="CCEEFF"/>
          </w:tcPr>
          <w:p>
            <w:pPr>
              <w:jc w:val="right"/>
              <w:ind w:right="972"/>
              <w:spacing w:after="0"/>
              <w:rPr>
                <w:sz w:val="20"/>
                <w:szCs w:val="20"/>
                <w:color w:val="auto"/>
              </w:rPr>
            </w:pPr>
            <w:r>
              <w:rPr>
                <w:rFonts w:ascii="Arial" w:cs="Arial" w:eastAsia="Arial" w:hAnsi="Arial"/>
                <w:sz w:val="18"/>
                <w:szCs w:val="18"/>
                <w:color w:val="auto"/>
              </w:rPr>
              <w:t>$</w:t>
            </w:r>
          </w:p>
        </w:tc>
        <w:tc>
          <w:tcPr>
            <w:tcW w:w="700" w:type="dxa"/>
            <w:vAlign w:val="bottom"/>
            <w:tcBorders>
              <w:bottom w:val="single" w:sz="8" w:color="auto"/>
            </w:tcBorders>
            <w:shd w:val="clear" w:color="auto" w:fill="CCEEFF"/>
          </w:tcPr>
          <w:p>
            <w:pPr>
              <w:jc w:val="right"/>
              <w:ind w:right="91"/>
              <w:spacing w:after="0"/>
              <w:rPr>
                <w:sz w:val="20"/>
                <w:szCs w:val="20"/>
                <w:color w:val="auto"/>
              </w:rPr>
            </w:pPr>
            <w:r>
              <w:rPr>
                <w:rFonts w:ascii="Arial" w:cs="Arial" w:eastAsia="Arial" w:hAnsi="Arial"/>
                <w:sz w:val="18"/>
                <w:szCs w:val="18"/>
                <w:color w:val="auto"/>
              </w:rPr>
              <w:t>9,129</w:t>
            </w:r>
          </w:p>
        </w:tc>
        <w:tc>
          <w:tcPr>
            <w:tcW w:w="120" w:type="dxa"/>
            <w:vAlign w:val="bottom"/>
            <w:tcBorders>
              <w:bottom w:val="single" w:sz="8" w:color="CCEEFF"/>
            </w:tcBorders>
            <w:shd w:val="clear" w:color="auto" w:fill="CCEEFF"/>
          </w:tcPr>
          <w:p>
            <w:pPr>
              <w:spacing w:after="0"/>
              <w:rPr>
                <w:sz w:val="22"/>
                <w:szCs w:val="22"/>
                <w:color w:val="auto"/>
              </w:rPr>
            </w:pPr>
          </w:p>
        </w:tc>
        <w:tc>
          <w:tcPr>
            <w:tcW w:w="600" w:type="dxa"/>
            <w:vAlign w:val="bottom"/>
            <w:tcBorders>
              <w:bottom w:val="single" w:sz="8" w:color="auto"/>
            </w:tcBorders>
            <w:shd w:val="clear" w:color="auto" w:fill="CCEEFF"/>
          </w:tcPr>
          <w:p>
            <w:pPr>
              <w:jc w:val="right"/>
              <w:ind w:right="390"/>
              <w:spacing w:after="0"/>
              <w:rPr>
                <w:sz w:val="20"/>
                <w:szCs w:val="20"/>
                <w:color w:val="auto"/>
              </w:rPr>
            </w:pPr>
            <w:r>
              <w:rPr>
                <w:rFonts w:ascii="Arial" w:cs="Arial" w:eastAsia="Arial" w:hAnsi="Arial"/>
                <w:sz w:val="18"/>
                <w:szCs w:val="18"/>
                <w:color w:val="auto"/>
                <w:w w:val="99"/>
              </w:rPr>
              <w:t>$</w:t>
            </w:r>
          </w:p>
        </w:tc>
        <w:tc>
          <w:tcPr>
            <w:tcW w:w="1300" w:type="dxa"/>
            <w:vAlign w:val="bottom"/>
            <w:tcBorders>
              <w:bottom w:val="single" w:sz="8" w:color="auto"/>
            </w:tcBorders>
            <w:shd w:val="clear" w:color="auto" w:fill="CCEEFF"/>
          </w:tcPr>
          <w:p>
            <w:pPr>
              <w:jc w:val="right"/>
              <w:ind w:right="91"/>
              <w:spacing w:after="0"/>
              <w:rPr>
                <w:sz w:val="20"/>
                <w:szCs w:val="20"/>
                <w:color w:val="auto"/>
              </w:rPr>
            </w:pPr>
            <w:r>
              <w:rPr>
                <w:rFonts w:ascii="Arial" w:cs="Arial" w:eastAsia="Arial" w:hAnsi="Arial"/>
                <w:sz w:val="18"/>
                <w:szCs w:val="18"/>
                <w:color w:val="auto"/>
              </w:rPr>
              <w:t>9,556</w:t>
            </w:r>
          </w:p>
        </w:tc>
      </w:tr>
      <w:tr>
        <w:trPr>
          <w:trHeight w:val="20"/>
        </w:trPr>
        <w:tc>
          <w:tcPr>
            <w:tcW w:w="7500" w:type="dxa"/>
            <w:vAlign w:val="bottom"/>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r>
      <w:tr>
        <w:trPr>
          <w:trHeight w:val="305"/>
        </w:trPr>
        <w:tc>
          <w:tcPr>
            <w:tcW w:w="750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1300" w:type="dxa"/>
            <w:vAlign w:val="bottom"/>
          </w:tcPr>
          <w:p>
            <w:pPr>
              <w:spacing w:after="0"/>
              <w:rPr>
                <w:sz w:val="24"/>
                <w:szCs w:val="24"/>
                <w:color w:val="auto"/>
              </w:rPr>
            </w:pPr>
          </w:p>
        </w:tc>
      </w:tr>
      <w:tr>
        <w:trPr>
          <w:trHeight w:val="270"/>
        </w:trPr>
        <w:tc>
          <w:tcPr>
            <w:tcW w:w="7500" w:type="dxa"/>
            <w:vAlign w:val="bottom"/>
            <w:shd w:val="clear" w:color="auto" w:fill="CCEEFF"/>
          </w:tcPr>
          <w:p>
            <w:pPr>
              <w:ind w:left="40"/>
              <w:spacing w:after="0"/>
              <w:rPr>
                <w:sz w:val="20"/>
                <w:szCs w:val="20"/>
                <w:color w:val="auto"/>
              </w:rPr>
            </w:pPr>
            <w:r>
              <w:rPr>
                <w:rFonts w:ascii="Arial" w:cs="Arial" w:eastAsia="Arial" w:hAnsi="Arial"/>
                <w:sz w:val="18"/>
                <w:szCs w:val="18"/>
                <w:color w:val="auto"/>
              </w:rPr>
              <w:t>Finance leases:</w:t>
            </w:r>
          </w:p>
        </w:tc>
        <w:tc>
          <w:tcPr>
            <w:tcW w:w="1200" w:type="dxa"/>
            <w:vAlign w:val="bottom"/>
            <w:shd w:val="clear" w:color="auto" w:fill="CCEEFF"/>
          </w:tcPr>
          <w:p>
            <w:pPr>
              <w:spacing w:after="0"/>
              <w:rPr>
                <w:sz w:val="23"/>
                <w:szCs w:val="23"/>
                <w:color w:val="auto"/>
              </w:rPr>
            </w:pPr>
          </w:p>
        </w:tc>
        <w:tc>
          <w:tcPr>
            <w:tcW w:w="70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600" w:type="dxa"/>
            <w:vAlign w:val="bottom"/>
            <w:shd w:val="clear" w:color="auto" w:fill="CCEEFF"/>
          </w:tcPr>
          <w:p>
            <w:pPr>
              <w:spacing w:after="0"/>
              <w:rPr>
                <w:sz w:val="23"/>
                <w:szCs w:val="23"/>
                <w:color w:val="auto"/>
              </w:rPr>
            </w:pPr>
          </w:p>
        </w:tc>
        <w:tc>
          <w:tcPr>
            <w:tcW w:w="1300" w:type="dxa"/>
            <w:vAlign w:val="bottom"/>
            <w:shd w:val="clear" w:color="auto" w:fill="CCEEFF"/>
          </w:tcPr>
          <w:p>
            <w:pPr>
              <w:spacing w:after="0"/>
              <w:rPr>
                <w:sz w:val="23"/>
                <w:szCs w:val="23"/>
                <w:color w:val="auto"/>
              </w:rPr>
            </w:pPr>
          </w:p>
        </w:tc>
      </w:tr>
      <w:tr>
        <w:trPr>
          <w:trHeight w:val="263"/>
        </w:trPr>
        <w:tc>
          <w:tcPr>
            <w:tcW w:w="7500" w:type="dxa"/>
            <w:vAlign w:val="bottom"/>
          </w:tcPr>
          <w:p>
            <w:pPr>
              <w:ind w:left="180"/>
              <w:spacing w:after="0"/>
              <w:rPr>
                <w:sz w:val="20"/>
                <w:szCs w:val="20"/>
                <w:color w:val="auto"/>
              </w:rPr>
            </w:pPr>
            <w:r>
              <w:rPr>
                <w:rFonts w:ascii="Arial" w:cs="Arial" w:eastAsia="Arial" w:hAnsi="Arial"/>
                <w:sz w:val="18"/>
                <w:szCs w:val="18"/>
                <w:color w:val="auto"/>
              </w:rPr>
              <w:t>Property and equipment, at cost</w:t>
            </w:r>
          </w:p>
        </w:tc>
        <w:tc>
          <w:tcPr>
            <w:tcW w:w="1200" w:type="dxa"/>
            <w:vAlign w:val="bottom"/>
          </w:tcPr>
          <w:p>
            <w:pPr>
              <w:jc w:val="right"/>
              <w:ind w:right="972"/>
              <w:spacing w:after="0"/>
              <w:rPr>
                <w:sz w:val="20"/>
                <w:szCs w:val="20"/>
                <w:color w:val="auto"/>
              </w:rPr>
            </w:pPr>
            <w:r>
              <w:rPr>
                <w:rFonts w:ascii="Arial" w:cs="Arial" w:eastAsia="Arial" w:hAnsi="Arial"/>
                <w:sz w:val="18"/>
                <w:szCs w:val="18"/>
                <w:color w:val="auto"/>
              </w:rPr>
              <w:t>$</w:t>
            </w:r>
          </w:p>
        </w:tc>
        <w:tc>
          <w:tcPr>
            <w:tcW w:w="700" w:type="dxa"/>
            <w:vAlign w:val="bottom"/>
          </w:tcPr>
          <w:p>
            <w:pPr>
              <w:jc w:val="right"/>
              <w:ind w:right="91"/>
              <w:spacing w:after="0"/>
              <w:rPr>
                <w:sz w:val="20"/>
                <w:szCs w:val="20"/>
                <w:color w:val="auto"/>
              </w:rPr>
            </w:pPr>
            <w:r>
              <w:rPr>
                <w:rFonts w:ascii="Arial" w:cs="Arial" w:eastAsia="Arial" w:hAnsi="Arial"/>
                <w:sz w:val="18"/>
                <w:szCs w:val="18"/>
                <w:color w:val="auto"/>
              </w:rPr>
              <w:t>954</w:t>
            </w:r>
          </w:p>
        </w:tc>
        <w:tc>
          <w:tcPr>
            <w:tcW w:w="120" w:type="dxa"/>
            <w:vAlign w:val="bottom"/>
          </w:tcPr>
          <w:p>
            <w:pPr>
              <w:spacing w:after="0"/>
              <w:rPr>
                <w:sz w:val="22"/>
                <w:szCs w:val="22"/>
                <w:color w:val="auto"/>
              </w:rPr>
            </w:pPr>
          </w:p>
        </w:tc>
        <w:tc>
          <w:tcPr>
            <w:tcW w:w="600" w:type="dxa"/>
            <w:vAlign w:val="bottom"/>
          </w:tcPr>
          <w:p>
            <w:pPr>
              <w:jc w:val="right"/>
              <w:ind w:right="390"/>
              <w:spacing w:after="0"/>
              <w:rPr>
                <w:sz w:val="20"/>
                <w:szCs w:val="20"/>
                <w:color w:val="auto"/>
              </w:rPr>
            </w:pPr>
            <w:r>
              <w:rPr>
                <w:rFonts w:ascii="Arial" w:cs="Arial" w:eastAsia="Arial" w:hAnsi="Arial"/>
                <w:sz w:val="18"/>
                <w:szCs w:val="18"/>
                <w:color w:val="auto"/>
                <w:w w:val="99"/>
              </w:rPr>
              <w:t>$</w:t>
            </w:r>
          </w:p>
        </w:tc>
        <w:tc>
          <w:tcPr>
            <w:tcW w:w="1300" w:type="dxa"/>
            <w:vAlign w:val="bottom"/>
          </w:tcPr>
          <w:p>
            <w:pPr>
              <w:jc w:val="right"/>
              <w:ind w:right="91"/>
              <w:spacing w:after="0"/>
              <w:rPr>
                <w:sz w:val="20"/>
                <w:szCs w:val="20"/>
                <w:color w:val="auto"/>
              </w:rPr>
            </w:pPr>
            <w:r>
              <w:rPr>
                <w:rFonts w:ascii="Arial" w:cs="Arial" w:eastAsia="Arial" w:hAnsi="Arial"/>
                <w:sz w:val="18"/>
                <w:szCs w:val="18"/>
                <w:color w:val="auto"/>
              </w:rPr>
              <w:t>936</w:t>
            </w:r>
          </w:p>
        </w:tc>
      </w:tr>
      <w:tr>
        <w:trPr>
          <w:trHeight w:val="270"/>
        </w:trPr>
        <w:tc>
          <w:tcPr>
            <w:tcW w:w="7500" w:type="dxa"/>
            <w:vAlign w:val="bottom"/>
            <w:shd w:val="clear" w:color="auto" w:fill="CCEEFF"/>
          </w:tcPr>
          <w:p>
            <w:pPr>
              <w:ind w:left="180"/>
              <w:spacing w:after="0"/>
              <w:rPr>
                <w:sz w:val="20"/>
                <w:szCs w:val="20"/>
                <w:color w:val="auto"/>
              </w:rPr>
            </w:pPr>
            <w:r>
              <w:rPr>
                <w:rFonts w:ascii="Arial" w:cs="Arial" w:eastAsia="Arial" w:hAnsi="Arial"/>
                <w:sz w:val="18"/>
                <w:szCs w:val="18"/>
                <w:color w:val="auto"/>
              </w:rPr>
              <w:t>Accumulated amortization</w:t>
            </w:r>
          </w:p>
        </w:tc>
        <w:tc>
          <w:tcPr>
            <w:tcW w:w="1200" w:type="dxa"/>
            <w:vAlign w:val="bottom"/>
            <w:tcBorders>
              <w:bottom w:val="single" w:sz="8" w:color="auto"/>
            </w:tcBorders>
            <w:shd w:val="clear" w:color="auto" w:fill="CCEEFF"/>
          </w:tcPr>
          <w:p>
            <w:pPr>
              <w:spacing w:after="0"/>
              <w:rPr>
                <w:sz w:val="23"/>
                <w:szCs w:val="23"/>
                <w:color w:val="auto"/>
              </w:rPr>
            </w:pPr>
          </w:p>
        </w:tc>
        <w:tc>
          <w:tcPr>
            <w:tcW w:w="700" w:type="dxa"/>
            <w:vAlign w:val="bottom"/>
            <w:tcBorders>
              <w:bottom w:val="single" w:sz="8" w:color="auto"/>
            </w:tcBorders>
            <w:shd w:val="clear" w:color="auto" w:fill="CCEEFF"/>
          </w:tcPr>
          <w:p>
            <w:pPr>
              <w:jc w:val="right"/>
              <w:ind w:right="31"/>
              <w:spacing w:after="0"/>
              <w:rPr>
                <w:sz w:val="20"/>
                <w:szCs w:val="20"/>
                <w:color w:val="auto"/>
              </w:rPr>
            </w:pPr>
            <w:r>
              <w:rPr>
                <w:rFonts w:ascii="Arial" w:cs="Arial" w:eastAsia="Arial" w:hAnsi="Arial"/>
                <w:sz w:val="18"/>
                <w:szCs w:val="18"/>
                <w:color w:val="auto"/>
              </w:rPr>
              <w:t>(447)</w:t>
            </w:r>
          </w:p>
        </w:tc>
        <w:tc>
          <w:tcPr>
            <w:tcW w:w="120" w:type="dxa"/>
            <w:vAlign w:val="bottom"/>
            <w:shd w:val="clear" w:color="auto" w:fill="CCEEFF"/>
          </w:tcPr>
          <w:p>
            <w:pPr>
              <w:spacing w:after="0"/>
              <w:rPr>
                <w:sz w:val="23"/>
                <w:szCs w:val="23"/>
                <w:color w:val="auto"/>
              </w:rPr>
            </w:pPr>
          </w:p>
        </w:tc>
        <w:tc>
          <w:tcPr>
            <w:tcW w:w="600" w:type="dxa"/>
            <w:vAlign w:val="bottom"/>
            <w:tcBorders>
              <w:bottom w:val="single" w:sz="8" w:color="auto"/>
            </w:tcBorders>
            <w:shd w:val="clear" w:color="auto" w:fill="CCEEFF"/>
          </w:tcPr>
          <w:p>
            <w:pPr>
              <w:spacing w:after="0"/>
              <w:rPr>
                <w:sz w:val="23"/>
                <w:szCs w:val="23"/>
                <w:color w:val="auto"/>
              </w:rPr>
            </w:pPr>
          </w:p>
        </w:tc>
        <w:tc>
          <w:tcPr>
            <w:tcW w:w="1300" w:type="dxa"/>
            <w:vAlign w:val="bottom"/>
            <w:tcBorders>
              <w:bottom w:val="single" w:sz="8" w:color="auto"/>
            </w:tcBorders>
            <w:shd w:val="clear" w:color="auto" w:fill="CCEEFF"/>
          </w:tcPr>
          <w:p>
            <w:pPr>
              <w:jc w:val="right"/>
              <w:ind w:right="31"/>
              <w:spacing w:after="0"/>
              <w:rPr>
                <w:sz w:val="20"/>
                <w:szCs w:val="20"/>
                <w:color w:val="auto"/>
              </w:rPr>
            </w:pPr>
            <w:r>
              <w:rPr>
                <w:rFonts w:ascii="Arial" w:cs="Arial" w:eastAsia="Arial" w:hAnsi="Arial"/>
                <w:sz w:val="18"/>
                <w:szCs w:val="18"/>
                <w:color w:val="auto"/>
              </w:rPr>
              <w:t>(391)</w:t>
            </w:r>
          </w:p>
        </w:tc>
      </w:tr>
      <w:tr>
        <w:trPr>
          <w:trHeight w:val="297"/>
        </w:trPr>
        <w:tc>
          <w:tcPr>
            <w:tcW w:w="7500" w:type="dxa"/>
            <w:vAlign w:val="bottom"/>
            <w:tcBorders>
              <w:bottom w:val="single" w:sz="8" w:color="CCEEFF"/>
            </w:tcBorders>
          </w:tcPr>
          <w:p>
            <w:pPr>
              <w:ind w:left="280"/>
              <w:spacing w:after="0"/>
              <w:rPr>
                <w:sz w:val="20"/>
                <w:szCs w:val="20"/>
                <w:color w:val="auto"/>
              </w:rPr>
            </w:pPr>
            <w:r>
              <w:rPr>
                <w:rFonts w:ascii="Arial" w:cs="Arial" w:eastAsia="Arial" w:hAnsi="Arial"/>
                <w:sz w:val="18"/>
                <w:szCs w:val="18"/>
                <w:color w:val="auto"/>
              </w:rPr>
              <w:t>Property and equipment, net</w:t>
            </w:r>
          </w:p>
        </w:tc>
        <w:tc>
          <w:tcPr>
            <w:tcW w:w="1200" w:type="dxa"/>
            <w:vAlign w:val="bottom"/>
            <w:tcBorders>
              <w:bottom w:val="single" w:sz="8" w:color="auto"/>
            </w:tcBorders>
          </w:tcPr>
          <w:p>
            <w:pPr>
              <w:jc w:val="right"/>
              <w:ind w:right="972"/>
              <w:spacing w:after="0"/>
              <w:rPr>
                <w:sz w:val="20"/>
                <w:szCs w:val="20"/>
                <w:color w:val="auto"/>
              </w:rPr>
            </w:pPr>
            <w:r>
              <w:rPr>
                <w:rFonts w:ascii="Arial" w:cs="Arial" w:eastAsia="Arial" w:hAnsi="Arial"/>
                <w:sz w:val="18"/>
                <w:szCs w:val="18"/>
                <w:color w:val="auto"/>
              </w:rPr>
              <w:t>$</w:t>
            </w:r>
          </w:p>
        </w:tc>
        <w:tc>
          <w:tcPr>
            <w:tcW w:w="700" w:type="dxa"/>
            <w:vAlign w:val="bottom"/>
            <w:tcBorders>
              <w:bottom w:val="single" w:sz="8" w:color="auto"/>
            </w:tcBorders>
          </w:tcPr>
          <w:p>
            <w:pPr>
              <w:jc w:val="right"/>
              <w:ind w:right="91"/>
              <w:spacing w:after="0"/>
              <w:rPr>
                <w:sz w:val="20"/>
                <w:szCs w:val="20"/>
                <w:color w:val="auto"/>
              </w:rPr>
            </w:pPr>
            <w:r>
              <w:rPr>
                <w:rFonts w:ascii="Arial" w:cs="Arial" w:eastAsia="Arial" w:hAnsi="Arial"/>
                <w:sz w:val="18"/>
                <w:szCs w:val="18"/>
                <w:color w:val="auto"/>
              </w:rPr>
              <w:t>507</w:t>
            </w:r>
          </w:p>
        </w:tc>
        <w:tc>
          <w:tcPr>
            <w:tcW w:w="120" w:type="dxa"/>
            <w:vAlign w:val="bottom"/>
            <w:tcBorders>
              <w:bottom w:val="single" w:sz="8" w:color="CCEEFF"/>
            </w:tcBorders>
          </w:tcPr>
          <w:p>
            <w:pPr>
              <w:spacing w:after="0"/>
              <w:rPr>
                <w:sz w:val="24"/>
                <w:szCs w:val="24"/>
                <w:color w:val="auto"/>
              </w:rPr>
            </w:pPr>
          </w:p>
        </w:tc>
        <w:tc>
          <w:tcPr>
            <w:tcW w:w="600" w:type="dxa"/>
            <w:vAlign w:val="bottom"/>
            <w:tcBorders>
              <w:bottom w:val="single" w:sz="8" w:color="auto"/>
            </w:tcBorders>
          </w:tcPr>
          <w:p>
            <w:pPr>
              <w:jc w:val="right"/>
              <w:ind w:right="390"/>
              <w:spacing w:after="0"/>
              <w:rPr>
                <w:sz w:val="20"/>
                <w:szCs w:val="20"/>
                <w:color w:val="auto"/>
              </w:rPr>
            </w:pPr>
            <w:r>
              <w:rPr>
                <w:rFonts w:ascii="Arial" w:cs="Arial" w:eastAsia="Arial" w:hAnsi="Arial"/>
                <w:sz w:val="18"/>
                <w:szCs w:val="18"/>
                <w:color w:val="auto"/>
                <w:w w:val="99"/>
              </w:rPr>
              <w:t>$</w:t>
            </w:r>
          </w:p>
        </w:tc>
        <w:tc>
          <w:tcPr>
            <w:tcW w:w="1300" w:type="dxa"/>
            <w:vAlign w:val="bottom"/>
            <w:tcBorders>
              <w:bottom w:val="single" w:sz="8" w:color="auto"/>
            </w:tcBorders>
          </w:tcPr>
          <w:p>
            <w:pPr>
              <w:jc w:val="right"/>
              <w:ind w:right="91"/>
              <w:spacing w:after="0"/>
              <w:rPr>
                <w:sz w:val="20"/>
                <w:szCs w:val="20"/>
                <w:color w:val="auto"/>
              </w:rPr>
            </w:pPr>
            <w:r>
              <w:rPr>
                <w:rFonts w:ascii="Arial" w:cs="Arial" w:eastAsia="Arial" w:hAnsi="Arial"/>
                <w:sz w:val="18"/>
                <w:szCs w:val="18"/>
                <w:color w:val="auto"/>
              </w:rPr>
              <w:t>545</w:t>
            </w:r>
          </w:p>
        </w:tc>
      </w:tr>
      <w:tr>
        <w:trPr>
          <w:trHeight w:val="305"/>
        </w:trPr>
        <w:tc>
          <w:tcPr>
            <w:tcW w:w="7500" w:type="dxa"/>
            <w:vAlign w:val="bottom"/>
            <w:shd w:val="clear" w:color="auto" w:fill="CCEEFF"/>
          </w:tcPr>
          <w:p>
            <w:pPr>
              <w:spacing w:after="0"/>
              <w:rPr>
                <w:sz w:val="24"/>
                <w:szCs w:val="24"/>
                <w:color w:val="auto"/>
              </w:rPr>
            </w:pPr>
          </w:p>
        </w:tc>
        <w:tc>
          <w:tcPr>
            <w:tcW w:w="1200" w:type="dxa"/>
            <w:vAlign w:val="bottom"/>
            <w:shd w:val="clear" w:color="auto" w:fill="CCEEFF"/>
          </w:tcPr>
          <w:p>
            <w:pPr>
              <w:spacing w:after="0"/>
              <w:rPr>
                <w:sz w:val="24"/>
                <w:szCs w:val="24"/>
                <w:color w:val="auto"/>
              </w:rPr>
            </w:pPr>
          </w:p>
        </w:tc>
        <w:tc>
          <w:tcPr>
            <w:tcW w:w="70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600" w:type="dxa"/>
            <w:vAlign w:val="bottom"/>
            <w:shd w:val="clear" w:color="auto" w:fill="CCEEFF"/>
          </w:tcPr>
          <w:p>
            <w:pPr>
              <w:spacing w:after="0"/>
              <w:rPr>
                <w:sz w:val="24"/>
                <w:szCs w:val="24"/>
                <w:color w:val="auto"/>
              </w:rPr>
            </w:pPr>
          </w:p>
        </w:tc>
        <w:tc>
          <w:tcPr>
            <w:tcW w:w="1300" w:type="dxa"/>
            <w:vAlign w:val="bottom"/>
            <w:shd w:val="clear" w:color="auto" w:fill="CCEEFF"/>
          </w:tcPr>
          <w:p>
            <w:pPr>
              <w:spacing w:after="0"/>
              <w:rPr>
                <w:sz w:val="24"/>
                <w:szCs w:val="24"/>
                <w:color w:val="auto"/>
              </w:rPr>
            </w:pPr>
          </w:p>
        </w:tc>
      </w:tr>
      <w:tr>
        <w:trPr>
          <w:trHeight w:val="263"/>
        </w:trPr>
        <w:tc>
          <w:tcPr>
            <w:tcW w:w="7500" w:type="dxa"/>
            <w:vAlign w:val="bottom"/>
          </w:tcPr>
          <w:p>
            <w:pPr>
              <w:ind w:left="180"/>
              <w:spacing w:after="0"/>
              <w:rPr>
                <w:sz w:val="20"/>
                <w:szCs w:val="20"/>
                <w:color w:val="auto"/>
              </w:rPr>
            </w:pPr>
            <w:r>
              <w:rPr>
                <w:rFonts w:ascii="Arial" w:cs="Arial" w:eastAsia="Arial" w:hAnsi="Arial"/>
                <w:sz w:val="18"/>
                <w:szCs w:val="18"/>
                <w:color w:val="auto"/>
              </w:rPr>
              <w:t>Current finance lease liabilities</w:t>
            </w:r>
          </w:p>
        </w:tc>
        <w:tc>
          <w:tcPr>
            <w:tcW w:w="1200" w:type="dxa"/>
            <w:vAlign w:val="bottom"/>
          </w:tcPr>
          <w:p>
            <w:pPr>
              <w:jc w:val="right"/>
              <w:ind w:right="972"/>
              <w:spacing w:after="0"/>
              <w:rPr>
                <w:sz w:val="20"/>
                <w:szCs w:val="20"/>
                <w:color w:val="auto"/>
              </w:rPr>
            </w:pPr>
            <w:r>
              <w:rPr>
                <w:rFonts w:ascii="Arial" w:cs="Arial" w:eastAsia="Arial" w:hAnsi="Arial"/>
                <w:sz w:val="18"/>
                <w:szCs w:val="18"/>
                <w:color w:val="auto"/>
              </w:rPr>
              <w:t>$</w:t>
            </w:r>
          </w:p>
        </w:tc>
        <w:tc>
          <w:tcPr>
            <w:tcW w:w="700" w:type="dxa"/>
            <w:vAlign w:val="bottom"/>
          </w:tcPr>
          <w:p>
            <w:pPr>
              <w:jc w:val="right"/>
              <w:ind w:right="91"/>
              <w:spacing w:after="0"/>
              <w:rPr>
                <w:sz w:val="20"/>
                <w:szCs w:val="20"/>
                <w:color w:val="auto"/>
              </w:rPr>
            </w:pPr>
            <w:r>
              <w:rPr>
                <w:rFonts w:ascii="Arial" w:cs="Arial" w:eastAsia="Arial" w:hAnsi="Arial"/>
                <w:sz w:val="18"/>
                <w:szCs w:val="18"/>
                <w:color w:val="auto"/>
              </w:rPr>
              <w:t>112</w:t>
            </w:r>
          </w:p>
        </w:tc>
        <w:tc>
          <w:tcPr>
            <w:tcW w:w="120" w:type="dxa"/>
            <w:vAlign w:val="bottom"/>
          </w:tcPr>
          <w:p>
            <w:pPr>
              <w:spacing w:after="0"/>
              <w:rPr>
                <w:sz w:val="22"/>
                <w:szCs w:val="22"/>
                <w:color w:val="auto"/>
              </w:rPr>
            </w:pPr>
          </w:p>
        </w:tc>
        <w:tc>
          <w:tcPr>
            <w:tcW w:w="600" w:type="dxa"/>
            <w:vAlign w:val="bottom"/>
          </w:tcPr>
          <w:p>
            <w:pPr>
              <w:jc w:val="right"/>
              <w:ind w:right="390"/>
              <w:spacing w:after="0"/>
              <w:rPr>
                <w:sz w:val="20"/>
                <w:szCs w:val="20"/>
                <w:color w:val="auto"/>
              </w:rPr>
            </w:pPr>
            <w:r>
              <w:rPr>
                <w:rFonts w:ascii="Arial" w:cs="Arial" w:eastAsia="Arial" w:hAnsi="Arial"/>
                <w:sz w:val="18"/>
                <w:szCs w:val="18"/>
                <w:color w:val="auto"/>
                <w:w w:val="99"/>
              </w:rPr>
              <w:t>$</w:t>
            </w:r>
          </w:p>
        </w:tc>
        <w:tc>
          <w:tcPr>
            <w:tcW w:w="1300" w:type="dxa"/>
            <w:vAlign w:val="bottom"/>
          </w:tcPr>
          <w:p>
            <w:pPr>
              <w:jc w:val="right"/>
              <w:ind w:right="91"/>
              <w:spacing w:after="0"/>
              <w:rPr>
                <w:sz w:val="20"/>
                <w:szCs w:val="20"/>
                <w:color w:val="auto"/>
              </w:rPr>
            </w:pPr>
            <w:r>
              <w:rPr>
                <w:rFonts w:ascii="Arial" w:cs="Arial" w:eastAsia="Arial" w:hAnsi="Arial"/>
                <w:sz w:val="18"/>
                <w:szCs w:val="18"/>
                <w:color w:val="auto"/>
              </w:rPr>
              <w:t>81</w:t>
            </w:r>
          </w:p>
        </w:tc>
      </w:tr>
      <w:tr>
        <w:trPr>
          <w:trHeight w:val="270"/>
        </w:trPr>
        <w:tc>
          <w:tcPr>
            <w:tcW w:w="7500" w:type="dxa"/>
            <w:vAlign w:val="bottom"/>
            <w:shd w:val="clear" w:color="auto" w:fill="CCEEFF"/>
          </w:tcPr>
          <w:p>
            <w:pPr>
              <w:ind w:left="180"/>
              <w:spacing w:after="0"/>
              <w:rPr>
                <w:sz w:val="20"/>
                <w:szCs w:val="20"/>
                <w:color w:val="auto"/>
              </w:rPr>
            </w:pPr>
            <w:r>
              <w:rPr>
                <w:rFonts w:ascii="Arial" w:cs="Arial" w:eastAsia="Arial" w:hAnsi="Arial"/>
                <w:sz w:val="18"/>
                <w:szCs w:val="18"/>
                <w:color w:val="auto"/>
              </w:rPr>
              <w:t>Noncurrent finance lease liabilities</w:t>
            </w:r>
          </w:p>
        </w:tc>
        <w:tc>
          <w:tcPr>
            <w:tcW w:w="1200" w:type="dxa"/>
            <w:vAlign w:val="bottom"/>
            <w:tcBorders>
              <w:bottom w:val="single" w:sz="8" w:color="auto"/>
            </w:tcBorders>
            <w:shd w:val="clear" w:color="auto" w:fill="CCEEFF"/>
          </w:tcPr>
          <w:p>
            <w:pPr>
              <w:spacing w:after="0"/>
              <w:rPr>
                <w:sz w:val="23"/>
                <w:szCs w:val="23"/>
                <w:color w:val="auto"/>
              </w:rPr>
            </w:pPr>
          </w:p>
        </w:tc>
        <w:tc>
          <w:tcPr>
            <w:tcW w:w="700" w:type="dxa"/>
            <w:vAlign w:val="bottom"/>
            <w:tcBorders>
              <w:bottom w:val="single" w:sz="8" w:color="auto"/>
            </w:tcBorders>
            <w:shd w:val="clear" w:color="auto" w:fill="CCEEFF"/>
          </w:tcPr>
          <w:p>
            <w:pPr>
              <w:jc w:val="right"/>
              <w:ind w:right="91"/>
              <w:spacing w:after="0"/>
              <w:rPr>
                <w:sz w:val="20"/>
                <w:szCs w:val="20"/>
                <w:color w:val="auto"/>
              </w:rPr>
            </w:pPr>
            <w:r>
              <w:rPr>
                <w:rFonts w:ascii="Arial" w:cs="Arial" w:eastAsia="Arial" w:hAnsi="Arial"/>
                <w:sz w:val="18"/>
                <w:szCs w:val="18"/>
                <w:color w:val="auto"/>
              </w:rPr>
              <w:t>558</w:t>
            </w:r>
          </w:p>
        </w:tc>
        <w:tc>
          <w:tcPr>
            <w:tcW w:w="120" w:type="dxa"/>
            <w:vAlign w:val="bottom"/>
            <w:shd w:val="clear" w:color="auto" w:fill="CCEEFF"/>
          </w:tcPr>
          <w:p>
            <w:pPr>
              <w:spacing w:after="0"/>
              <w:rPr>
                <w:sz w:val="23"/>
                <w:szCs w:val="23"/>
                <w:color w:val="auto"/>
              </w:rPr>
            </w:pPr>
          </w:p>
        </w:tc>
        <w:tc>
          <w:tcPr>
            <w:tcW w:w="600" w:type="dxa"/>
            <w:vAlign w:val="bottom"/>
            <w:tcBorders>
              <w:bottom w:val="single" w:sz="8" w:color="auto"/>
            </w:tcBorders>
            <w:shd w:val="clear" w:color="auto" w:fill="CCEEFF"/>
          </w:tcPr>
          <w:p>
            <w:pPr>
              <w:spacing w:after="0"/>
              <w:rPr>
                <w:sz w:val="23"/>
                <w:szCs w:val="23"/>
                <w:color w:val="auto"/>
              </w:rPr>
            </w:pPr>
          </w:p>
        </w:tc>
        <w:tc>
          <w:tcPr>
            <w:tcW w:w="1300" w:type="dxa"/>
            <w:vAlign w:val="bottom"/>
            <w:tcBorders>
              <w:bottom w:val="single" w:sz="8" w:color="auto"/>
            </w:tcBorders>
            <w:shd w:val="clear" w:color="auto" w:fill="CCEEFF"/>
          </w:tcPr>
          <w:p>
            <w:pPr>
              <w:jc w:val="right"/>
              <w:ind w:right="91"/>
              <w:spacing w:after="0"/>
              <w:rPr>
                <w:sz w:val="20"/>
                <w:szCs w:val="20"/>
                <w:color w:val="auto"/>
              </w:rPr>
            </w:pPr>
            <w:r>
              <w:rPr>
                <w:rFonts w:ascii="Arial" w:cs="Arial" w:eastAsia="Arial" w:hAnsi="Arial"/>
                <w:sz w:val="18"/>
                <w:szCs w:val="18"/>
                <w:color w:val="auto"/>
              </w:rPr>
              <w:t>613</w:t>
            </w:r>
          </w:p>
        </w:tc>
      </w:tr>
      <w:tr>
        <w:trPr>
          <w:trHeight w:val="297"/>
        </w:trPr>
        <w:tc>
          <w:tcPr>
            <w:tcW w:w="7500" w:type="dxa"/>
            <w:vAlign w:val="bottom"/>
            <w:tcBorders>
              <w:bottom w:val="single" w:sz="8" w:color="CCEEFF"/>
            </w:tcBorders>
          </w:tcPr>
          <w:p>
            <w:pPr>
              <w:ind w:left="280"/>
              <w:spacing w:after="0"/>
              <w:rPr>
                <w:sz w:val="20"/>
                <w:szCs w:val="20"/>
                <w:color w:val="auto"/>
              </w:rPr>
            </w:pPr>
            <w:r>
              <w:rPr>
                <w:rFonts w:ascii="Arial" w:cs="Arial" w:eastAsia="Arial" w:hAnsi="Arial"/>
                <w:sz w:val="18"/>
                <w:szCs w:val="18"/>
                <w:color w:val="auto"/>
              </w:rPr>
              <w:t>Total finance lease liabilities</w:t>
            </w:r>
          </w:p>
        </w:tc>
        <w:tc>
          <w:tcPr>
            <w:tcW w:w="1200" w:type="dxa"/>
            <w:vAlign w:val="bottom"/>
            <w:tcBorders>
              <w:bottom w:val="single" w:sz="8" w:color="auto"/>
            </w:tcBorders>
          </w:tcPr>
          <w:p>
            <w:pPr>
              <w:jc w:val="right"/>
              <w:ind w:right="972"/>
              <w:spacing w:after="0"/>
              <w:rPr>
                <w:sz w:val="20"/>
                <w:szCs w:val="20"/>
                <w:color w:val="auto"/>
              </w:rPr>
            </w:pPr>
            <w:r>
              <w:rPr>
                <w:rFonts w:ascii="Arial" w:cs="Arial" w:eastAsia="Arial" w:hAnsi="Arial"/>
                <w:sz w:val="18"/>
                <w:szCs w:val="18"/>
                <w:color w:val="auto"/>
              </w:rPr>
              <w:t>$</w:t>
            </w:r>
          </w:p>
        </w:tc>
        <w:tc>
          <w:tcPr>
            <w:tcW w:w="700" w:type="dxa"/>
            <w:vAlign w:val="bottom"/>
            <w:tcBorders>
              <w:bottom w:val="single" w:sz="8" w:color="auto"/>
            </w:tcBorders>
          </w:tcPr>
          <w:p>
            <w:pPr>
              <w:jc w:val="right"/>
              <w:ind w:right="91"/>
              <w:spacing w:after="0"/>
              <w:rPr>
                <w:sz w:val="20"/>
                <w:szCs w:val="20"/>
                <w:color w:val="auto"/>
              </w:rPr>
            </w:pPr>
            <w:r>
              <w:rPr>
                <w:rFonts w:ascii="Arial" w:cs="Arial" w:eastAsia="Arial" w:hAnsi="Arial"/>
                <w:sz w:val="18"/>
                <w:szCs w:val="18"/>
                <w:color w:val="auto"/>
              </w:rPr>
              <w:t>670</w:t>
            </w:r>
          </w:p>
        </w:tc>
        <w:tc>
          <w:tcPr>
            <w:tcW w:w="120" w:type="dxa"/>
            <w:vAlign w:val="bottom"/>
            <w:tcBorders>
              <w:bottom w:val="single" w:sz="8" w:color="CCEEFF"/>
            </w:tcBorders>
          </w:tcPr>
          <w:p>
            <w:pPr>
              <w:spacing w:after="0"/>
              <w:rPr>
                <w:sz w:val="24"/>
                <w:szCs w:val="24"/>
                <w:color w:val="auto"/>
              </w:rPr>
            </w:pPr>
          </w:p>
        </w:tc>
        <w:tc>
          <w:tcPr>
            <w:tcW w:w="600" w:type="dxa"/>
            <w:vAlign w:val="bottom"/>
            <w:tcBorders>
              <w:bottom w:val="single" w:sz="8" w:color="auto"/>
            </w:tcBorders>
          </w:tcPr>
          <w:p>
            <w:pPr>
              <w:jc w:val="right"/>
              <w:ind w:right="390"/>
              <w:spacing w:after="0"/>
              <w:rPr>
                <w:sz w:val="20"/>
                <w:szCs w:val="20"/>
                <w:color w:val="auto"/>
              </w:rPr>
            </w:pPr>
            <w:r>
              <w:rPr>
                <w:rFonts w:ascii="Arial" w:cs="Arial" w:eastAsia="Arial" w:hAnsi="Arial"/>
                <w:sz w:val="18"/>
                <w:szCs w:val="18"/>
                <w:color w:val="auto"/>
                <w:w w:val="99"/>
              </w:rPr>
              <w:t>$</w:t>
            </w:r>
          </w:p>
        </w:tc>
        <w:tc>
          <w:tcPr>
            <w:tcW w:w="1300" w:type="dxa"/>
            <w:vAlign w:val="bottom"/>
            <w:tcBorders>
              <w:bottom w:val="single" w:sz="8" w:color="auto"/>
            </w:tcBorders>
          </w:tcPr>
          <w:p>
            <w:pPr>
              <w:jc w:val="right"/>
              <w:ind w:right="91"/>
              <w:spacing w:after="0"/>
              <w:rPr>
                <w:sz w:val="20"/>
                <w:szCs w:val="20"/>
                <w:color w:val="auto"/>
              </w:rPr>
            </w:pPr>
            <w:r>
              <w:rPr>
                <w:rFonts w:ascii="Arial" w:cs="Arial" w:eastAsia="Arial" w:hAnsi="Arial"/>
                <w:sz w:val="18"/>
                <w:szCs w:val="18"/>
                <w:color w:val="auto"/>
              </w:rPr>
              <w:t>694</w:t>
            </w:r>
          </w:p>
        </w:tc>
      </w:tr>
      <w:tr>
        <w:trPr>
          <w:trHeight w:val="305"/>
        </w:trPr>
        <w:tc>
          <w:tcPr>
            <w:tcW w:w="7500" w:type="dxa"/>
            <w:vAlign w:val="bottom"/>
            <w:shd w:val="clear" w:color="auto" w:fill="CCEEFF"/>
          </w:tcPr>
          <w:p>
            <w:pPr>
              <w:spacing w:after="0"/>
              <w:rPr>
                <w:sz w:val="24"/>
                <w:szCs w:val="24"/>
                <w:color w:val="auto"/>
              </w:rPr>
            </w:pPr>
          </w:p>
        </w:tc>
        <w:tc>
          <w:tcPr>
            <w:tcW w:w="1200" w:type="dxa"/>
            <w:vAlign w:val="bottom"/>
            <w:shd w:val="clear" w:color="auto" w:fill="CCEEFF"/>
          </w:tcPr>
          <w:p>
            <w:pPr>
              <w:spacing w:after="0"/>
              <w:rPr>
                <w:sz w:val="24"/>
                <w:szCs w:val="24"/>
                <w:color w:val="auto"/>
              </w:rPr>
            </w:pPr>
          </w:p>
        </w:tc>
        <w:tc>
          <w:tcPr>
            <w:tcW w:w="70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600" w:type="dxa"/>
            <w:vAlign w:val="bottom"/>
            <w:shd w:val="clear" w:color="auto" w:fill="CCEEFF"/>
          </w:tcPr>
          <w:p>
            <w:pPr>
              <w:spacing w:after="0"/>
              <w:rPr>
                <w:sz w:val="24"/>
                <w:szCs w:val="24"/>
                <w:color w:val="auto"/>
              </w:rPr>
            </w:pPr>
          </w:p>
        </w:tc>
        <w:tc>
          <w:tcPr>
            <w:tcW w:w="1300" w:type="dxa"/>
            <w:vAlign w:val="bottom"/>
            <w:shd w:val="clear" w:color="auto" w:fill="CCEEFF"/>
          </w:tcPr>
          <w:p>
            <w:pPr>
              <w:spacing w:after="0"/>
              <w:rPr>
                <w:sz w:val="24"/>
                <w:szCs w:val="24"/>
                <w:color w:val="auto"/>
              </w:rPr>
            </w:pPr>
          </w:p>
        </w:tc>
      </w:tr>
      <w:tr>
        <w:trPr>
          <w:trHeight w:val="263"/>
        </w:trPr>
        <w:tc>
          <w:tcPr>
            <w:tcW w:w="7500" w:type="dxa"/>
            <w:vAlign w:val="bottom"/>
          </w:tcPr>
          <w:p>
            <w:pPr>
              <w:ind w:left="40"/>
              <w:spacing w:after="0"/>
              <w:rPr>
                <w:sz w:val="20"/>
                <w:szCs w:val="20"/>
                <w:color w:val="auto"/>
              </w:rPr>
            </w:pPr>
            <w:r>
              <w:rPr>
                <w:rFonts w:ascii="Arial" w:cs="Arial" w:eastAsia="Arial" w:hAnsi="Arial"/>
                <w:sz w:val="18"/>
                <w:szCs w:val="18"/>
                <w:color w:val="auto"/>
              </w:rPr>
              <w:t>Weighted average remaining lease term (in years):</w:t>
            </w:r>
          </w:p>
        </w:tc>
        <w:tc>
          <w:tcPr>
            <w:tcW w:w="1200" w:type="dxa"/>
            <w:vAlign w:val="bottom"/>
          </w:tcPr>
          <w:p>
            <w:pPr>
              <w:spacing w:after="0"/>
              <w:rPr>
                <w:sz w:val="22"/>
                <w:szCs w:val="22"/>
                <w:color w:val="auto"/>
              </w:rPr>
            </w:pPr>
          </w:p>
        </w:tc>
        <w:tc>
          <w:tcPr>
            <w:tcW w:w="7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600" w:type="dxa"/>
            <w:vAlign w:val="bottom"/>
          </w:tcPr>
          <w:p>
            <w:pPr>
              <w:spacing w:after="0"/>
              <w:rPr>
                <w:sz w:val="22"/>
                <w:szCs w:val="22"/>
                <w:color w:val="auto"/>
              </w:rPr>
            </w:pPr>
          </w:p>
        </w:tc>
        <w:tc>
          <w:tcPr>
            <w:tcW w:w="1300" w:type="dxa"/>
            <w:vAlign w:val="bottom"/>
          </w:tcPr>
          <w:p>
            <w:pPr>
              <w:spacing w:after="0"/>
              <w:rPr>
                <w:sz w:val="22"/>
                <w:szCs w:val="22"/>
                <w:color w:val="auto"/>
              </w:rPr>
            </w:pPr>
          </w:p>
        </w:tc>
      </w:tr>
      <w:tr>
        <w:trPr>
          <w:trHeight w:val="277"/>
        </w:trPr>
        <w:tc>
          <w:tcPr>
            <w:tcW w:w="7500" w:type="dxa"/>
            <w:vAlign w:val="bottom"/>
            <w:shd w:val="clear" w:color="auto" w:fill="CCEEFF"/>
          </w:tcPr>
          <w:p>
            <w:pPr>
              <w:ind w:left="180"/>
              <w:spacing w:after="0"/>
              <w:rPr>
                <w:sz w:val="20"/>
                <w:szCs w:val="20"/>
                <w:color w:val="auto"/>
              </w:rPr>
            </w:pPr>
            <w:r>
              <w:rPr>
                <w:rFonts w:ascii="Arial" w:cs="Arial" w:eastAsia="Arial" w:hAnsi="Arial"/>
                <w:sz w:val="18"/>
                <w:szCs w:val="18"/>
                <w:color w:val="auto"/>
              </w:rPr>
              <w:t>Operating leases</w:t>
            </w:r>
          </w:p>
        </w:tc>
        <w:tc>
          <w:tcPr>
            <w:tcW w:w="1200" w:type="dxa"/>
            <w:vAlign w:val="bottom"/>
            <w:shd w:val="clear" w:color="auto" w:fill="CCEEFF"/>
          </w:tcPr>
          <w:p>
            <w:pPr>
              <w:spacing w:after="0"/>
              <w:rPr>
                <w:sz w:val="24"/>
                <w:szCs w:val="24"/>
                <w:color w:val="auto"/>
              </w:rPr>
            </w:pPr>
          </w:p>
        </w:tc>
        <w:tc>
          <w:tcPr>
            <w:tcW w:w="700" w:type="dxa"/>
            <w:vAlign w:val="bottom"/>
            <w:shd w:val="clear" w:color="auto" w:fill="CCEEFF"/>
          </w:tcPr>
          <w:p>
            <w:pPr>
              <w:jc w:val="right"/>
              <w:ind w:right="91"/>
              <w:spacing w:after="0"/>
              <w:rPr>
                <w:sz w:val="20"/>
                <w:szCs w:val="20"/>
                <w:color w:val="auto"/>
              </w:rPr>
            </w:pPr>
            <w:r>
              <w:rPr>
                <w:rFonts w:ascii="Arial" w:cs="Arial" w:eastAsia="Arial" w:hAnsi="Arial"/>
                <w:sz w:val="18"/>
                <w:szCs w:val="18"/>
                <w:color w:val="auto"/>
              </w:rPr>
              <w:t>7.4</w:t>
            </w:r>
          </w:p>
        </w:tc>
        <w:tc>
          <w:tcPr>
            <w:tcW w:w="120" w:type="dxa"/>
            <w:vAlign w:val="bottom"/>
            <w:shd w:val="clear" w:color="auto" w:fill="CCEEFF"/>
          </w:tcPr>
          <w:p>
            <w:pPr>
              <w:spacing w:after="0"/>
              <w:rPr>
                <w:sz w:val="24"/>
                <w:szCs w:val="24"/>
                <w:color w:val="auto"/>
              </w:rPr>
            </w:pPr>
          </w:p>
        </w:tc>
        <w:tc>
          <w:tcPr>
            <w:tcW w:w="600" w:type="dxa"/>
            <w:vAlign w:val="bottom"/>
            <w:shd w:val="clear" w:color="auto" w:fill="CCEEFF"/>
          </w:tcPr>
          <w:p>
            <w:pPr>
              <w:spacing w:after="0"/>
              <w:rPr>
                <w:sz w:val="24"/>
                <w:szCs w:val="24"/>
                <w:color w:val="auto"/>
              </w:rPr>
            </w:pPr>
          </w:p>
        </w:tc>
        <w:tc>
          <w:tcPr>
            <w:tcW w:w="1300" w:type="dxa"/>
            <w:vAlign w:val="bottom"/>
            <w:shd w:val="clear" w:color="auto" w:fill="CCEEFF"/>
          </w:tcPr>
          <w:p>
            <w:pPr>
              <w:jc w:val="right"/>
              <w:ind w:right="91"/>
              <w:spacing w:after="0"/>
              <w:rPr>
                <w:sz w:val="20"/>
                <w:szCs w:val="20"/>
                <w:color w:val="auto"/>
              </w:rPr>
            </w:pPr>
            <w:r>
              <w:rPr>
                <w:rFonts w:ascii="Arial" w:cs="Arial" w:eastAsia="Arial" w:hAnsi="Arial"/>
                <w:sz w:val="18"/>
                <w:szCs w:val="18"/>
                <w:color w:val="auto"/>
              </w:rPr>
              <w:t>7.6</w:t>
            </w:r>
          </w:p>
        </w:tc>
      </w:tr>
      <w:tr>
        <w:trPr>
          <w:trHeight w:val="263"/>
        </w:trPr>
        <w:tc>
          <w:tcPr>
            <w:tcW w:w="7500" w:type="dxa"/>
            <w:vAlign w:val="bottom"/>
          </w:tcPr>
          <w:p>
            <w:pPr>
              <w:ind w:left="180"/>
              <w:spacing w:after="0"/>
              <w:rPr>
                <w:sz w:val="20"/>
                <w:szCs w:val="20"/>
                <w:color w:val="auto"/>
              </w:rPr>
            </w:pPr>
            <w:r>
              <w:rPr>
                <w:rFonts w:ascii="Arial" w:cs="Arial" w:eastAsia="Arial" w:hAnsi="Arial"/>
                <w:sz w:val="18"/>
                <w:szCs w:val="18"/>
                <w:color w:val="auto"/>
              </w:rPr>
              <w:t>Finance leases</w:t>
            </w:r>
          </w:p>
        </w:tc>
        <w:tc>
          <w:tcPr>
            <w:tcW w:w="1200" w:type="dxa"/>
            <w:vAlign w:val="bottom"/>
          </w:tcPr>
          <w:p>
            <w:pPr>
              <w:spacing w:after="0"/>
              <w:rPr>
                <w:sz w:val="22"/>
                <w:szCs w:val="22"/>
                <w:color w:val="auto"/>
              </w:rPr>
            </w:pPr>
          </w:p>
        </w:tc>
        <w:tc>
          <w:tcPr>
            <w:tcW w:w="700" w:type="dxa"/>
            <w:vAlign w:val="bottom"/>
          </w:tcPr>
          <w:p>
            <w:pPr>
              <w:jc w:val="right"/>
              <w:ind w:right="91"/>
              <w:spacing w:after="0"/>
              <w:rPr>
                <w:sz w:val="20"/>
                <w:szCs w:val="20"/>
                <w:color w:val="auto"/>
              </w:rPr>
            </w:pPr>
            <w:r>
              <w:rPr>
                <w:rFonts w:ascii="Arial" w:cs="Arial" w:eastAsia="Arial" w:hAnsi="Arial"/>
                <w:sz w:val="18"/>
                <w:szCs w:val="18"/>
                <w:color w:val="auto"/>
              </w:rPr>
              <w:t>6.2</w:t>
            </w:r>
          </w:p>
        </w:tc>
        <w:tc>
          <w:tcPr>
            <w:tcW w:w="120" w:type="dxa"/>
            <w:vAlign w:val="bottom"/>
          </w:tcPr>
          <w:p>
            <w:pPr>
              <w:spacing w:after="0"/>
              <w:rPr>
                <w:sz w:val="22"/>
                <w:szCs w:val="22"/>
                <w:color w:val="auto"/>
              </w:rPr>
            </w:pPr>
          </w:p>
        </w:tc>
        <w:tc>
          <w:tcPr>
            <w:tcW w:w="600" w:type="dxa"/>
            <w:vAlign w:val="bottom"/>
          </w:tcPr>
          <w:p>
            <w:pPr>
              <w:spacing w:after="0"/>
              <w:rPr>
                <w:sz w:val="22"/>
                <w:szCs w:val="22"/>
                <w:color w:val="auto"/>
              </w:rPr>
            </w:pPr>
          </w:p>
        </w:tc>
        <w:tc>
          <w:tcPr>
            <w:tcW w:w="1300" w:type="dxa"/>
            <w:vAlign w:val="bottom"/>
          </w:tcPr>
          <w:p>
            <w:pPr>
              <w:jc w:val="right"/>
              <w:ind w:right="91"/>
              <w:spacing w:after="0"/>
              <w:rPr>
                <w:sz w:val="20"/>
                <w:szCs w:val="20"/>
                <w:color w:val="auto"/>
              </w:rPr>
            </w:pPr>
            <w:r>
              <w:rPr>
                <w:rFonts w:ascii="Arial" w:cs="Arial" w:eastAsia="Arial" w:hAnsi="Arial"/>
                <w:sz w:val="18"/>
                <w:szCs w:val="18"/>
                <w:color w:val="auto"/>
              </w:rPr>
              <w:t>7.4</w:t>
            </w:r>
          </w:p>
        </w:tc>
      </w:tr>
      <w:tr>
        <w:trPr>
          <w:trHeight w:val="331"/>
        </w:trPr>
        <w:tc>
          <w:tcPr>
            <w:tcW w:w="7500" w:type="dxa"/>
            <w:vAlign w:val="bottom"/>
            <w:shd w:val="clear" w:color="auto" w:fill="CCEEFF"/>
          </w:tcPr>
          <w:p>
            <w:pPr>
              <w:spacing w:after="0"/>
              <w:rPr>
                <w:sz w:val="24"/>
                <w:szCs w:val="24"/>
                <w:color w:val="auto"/>
              </w:rPr>
            </w:pPr>
          </w:p>
        </w:tc>
        <w:tc>
          <w:tcPr>
            <w:tcW w:w="1200" w:type="dxa"/>
            <w:vAlign w:val="bottom"/>
            <w:shd w:val="clear" w:color="auto" w:fill="CCEEFF"/>
          </w:tcPr>
          <w:p>
            <w:pPr>
              <w:spacing w:after="0"/>
              <w:rPr>
                <w:sz w:val="24"/>
                <w:szCs w:val="24"/>
                <w:color w:val="auto"/>
              </w:rPr>
            </w:pPr>
          </w:p>
        </w:tc>
        <w:tc>
          <w:tcPr>
            <w:tcW w:w="70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600" w:type="dxa"/>
            <w:vAlign w:val="bottom"/>
            <w:shd w:val="clear" w:color="auto" w:fill="CCEEFF"/>
          </w:tcPr>
          <w:p>
            <w:pPr>
              <w:spacing w:after="0"/>
              <w:rPr>
                <w:sz w:val="24"/>
                <w:szCs w:val="24"/>
                <w:color w:val="auto"/>
              </w:rPr>
            </w:pPr>
          </w:p>
        </w:tc>
        <w:tc>
          <w:tcPr>
            <w:tcW w:w="1300" w:type="dxa"/>
            <w:vAlign w:val="bottom"/>
            <w:shd w:val="clear" w:color="auto" w:fill="CCEEFF"/>
          </w:tcPr>
          <w:p>
            <w:pPr>
              <w:spacing w:after="0"/>
              <w:rPr>
                <w:sz w:val="24"/>
                <w:szCs w:val="24"/>
                <w:color w:val="auto"/>
              </w:rPr>
            </w:pPr>
          </w:p>
        </w:tc>
      </w:tr>
      <w:tr>
        <w:trPr>
          <w:trHeight w:val="263"/>
        </w:trPr>
        <w:tc>
          <w:tcPr>
            <w:tcW w:w="7500" w:type="dxa"/>
            <w:vAlign w:val="bottom"/>
          </w:tcPr>
          <w:p>
            <w:pPr>
              <w:ind w:left="40"/>
              <w:spacing w:after="0"/>
              <w:rPr>
                <w:sz w:val="20"/>
                <w:szCs w:val="20"/>
                <w:color w:val="auto"/>
              </w:rPr>
            </w:pPr>
            <w:r>
              <w:rPr>
                <w:rFonts w:ascii="Arial" w:cs="Arial" w:eastAsia="Arial" w:hAnsi="Arial"/>
                <w:sz w:val="18"/>
                <w:szCs w:val="18"/>
                <w:color w:val="auto"/>
              </w:rPr>
              <w:t>Weighted average discount rate:</w:t>
            </w:r>
          </w:p>
        </w:tc>
        <w:tc>
          <w:tcPr>
            <w:tcW w:w="1200" w:type="dxa"/>
            <w:vAlign w:val="bottom"/>
          </w:tcPr>
          <w:p>
            <w:pPr>
              <w:spacing w:after="0"/>
              <w:rPr>
                <w:sz w:val="22"/>
                <w:szCs w:val="22"/>
                <w:color w:val="auto"/>
              </w:rPr>
            </w:pPr>
          </w:p>
        </w:tc>
        <w:tc>
          <w:tcPr>
            <w:tcW w:w="7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600" w:type="dxa"/>
            <w:vAlign w:val="bottom"/>
          </w:tcPr>
          <w:p>
            <w:pPr>
              <w:spacing w:after="0"/>
              <w:rPr>
                <w:sz w:val="22"/>
                <w:szCs w:val="22"/>
                <w:color w:val="auto"/>
              </w:rPr>
            </w:pPr>
          </w:p>
        </w:tc>
        <w:tc>
          <w:tcPr>
            <w:tcW w:w="1300" w:type="dxa"/>
            <w:vAlign w:val="bottom"/>
          </w:tcPr>
          <w:p>
            <w:pPr>
              <w:spacing w:after="0"/>
              <w:rPr>
                <w:sz w:val="22"/>
                <w:szCs w:val="22"/>
                <w:color w:val="auto"/>
              </w:rPr>
            </w:pPr>
          </w:p>
        </w:tc>
      </w:tr>
      <w:tr>
        <w:trPr>
          <w:trHeight w:val="277"/>
        </w:trPr>
        <w:tc>
          <w:tcPr>
            <w:tcW w:w="7500" w:type="dxa"/>
            <w:vAlign w:val="bottom"/>
            <w:shd w:val="clear" w:color="auto" w:fill="CCEEFF"/>
          </w:tcPr>
          <w:p>
            <w:pPr>
              <w:ind w:left="180"/>
              <w:spacing w:after="0"/>
              <w:rPr>
                <w:sz w:val="20"/>
                <w:szCs w:val="20"/>
                <w:color w:val="auto"/>
              </w:rPr>
            </w:pPr>
            <w:r>
              <w:rPr>
                <w:rFonts w:ascii="Arial" w:cs="Arial" w:eastAsia="Arial" w:hAnsi="Arial"/>
                <w:sz w:val="18"/>
                <w:szCs w:val="18"/>
                <w:color w:val="auto"/>
              </w:rPr>
              <w:t>Operating leases</w:t>
            </w:r>
          </w:p>
        </w:tc>
        <w:tc>
          <w:tcPr>
            <w:tcW w:w="1200" w:type="dxa"/>
            <w:vAlign w:val="bottom"/>
            <w:shd w:val="clear" w:color="auto" w:fill="CCEEFF"/>
          </w:tcPr>
          <w:p>
            <w:pPr>
              <w:spacing w:after="0"/>
              <w:rPr>
                <w:sz w:val="24"/>
                <w:szCs w:val="24"/>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4.7%</w:t>
            </w:r>
          </w:p>
        </w:tc>
        <w:tc>
          <w:tcPr>
            <w:tcW w:w="120" w:type="dxa"/>
            <w:vAlign w:val="bottom"/>
            <w:shd w:val="clear" w:color="auto" w:fill="CCEEFF"/>
          </w:tcPr>
          <w:p>
            <w:pPr>
              <w:spacing w:after="0"/>
              <w:rPr>
                <w:sz w:val="24"/>
                <w:szCs w:val="24"/>
                <w:color w:val="auto"/>
              </w:rPr>
            </w:pPr>
          </w:p>
        </w:tc>
        <w:tc>
          <w:tcPr>
            <w:tcW w:w="600" w:type="dxa"/>
            <w:vAlign w:val="bottom"/>
            <w:shd w:val="clear" w:color="auto" w:fill="CCEEFF"/>
          </w:tcPr>
          <w:p>
            <w:pPr>
              <w:spacing w:after="0"/>
              <w:rPr>
                <w:sz w:val="24"/>
                <w:szCs w:val="24"/>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4.6%</w:t>
            </w:r>
          </w:p>
        </w:tc>
      </w:tr>
      <w:tr>
        <w:trPr>
          <w:trHeight w:val="257"/>
        </w:trPr>
        <w:tc>
          <w:tcPr>
            <w:tcW w:w="7500" w:type="dxa"/>
            <w:vAlign w:val="bottom"/>
          </w:tcPr>
          <w:p>
            <w:pPr>
              <w:ind w:left="180"/>
              <w:spacing w:after="0"/>
              <w:rPr>
                <w:sz w:val="20"/>
                <w:szCs w:val="20"/>
                <w:color w:val="auto"/>
              </w:rPr>
            </w:pPr>
            <w:r>
              <w:rPr>
                <w:rFonts w:ascii="Arial" w:cs="Arial" w:eastAsia="Arial" w:hAnsi="Arial"/>
                <w:sz w:val="18"/>
                <w:szCs w:val="18"/>
                <w:color w:val="auto"/>
              </w:rPr>
              <w:t>Finance leases</w:t>
            </w:r>
          </w:p>
        </w:tc>
        <w:tc>
          <w:tcPr>
            <w:tcW w:w="1200" w:type="dxa"/>
            <w:vAlign w:val="bottom"/>
          </w:tcPr>
          <w:p>
            <w:pPr>
              <w:spacing w:after="0"/>
              <w:rPr>
                <w:sz w:val="22"/>
                <w:szCs w:val="22"/>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6.2%</w:t>
            </w:r>
          </w:p>
        </w:tc>
        <w:tc>
          <w:tcPr>
            <w:tcW w:w="120" w:type="dxa"/>
            <w:vAlign w:val="bottom"/>
          </w:tcPr>
          <w:p>
            <w:pPr>
              <w:spacing w:after="0"/>
              <w:rPr>
                <w:sz w:val="22"/>
                <w:szCs w:val="22"/>
                <w:color w:val="auto"/>
              </w:rPr>
            </w:pPr>
          </w:p>
        </w:tc>
        <w:tc>
          <w:tcPr>
            <w:tcW w:w="600" w:type="dxa"/>
            <w:vAlign w:val="bottom"/>
          </w:tcPr>
          <w:p>
            <w:pPr>
              <w:spacing w:after="0"/>
              <w:rPr>
                <w:sz w:val="22"/>
                <w:szCs w:val="22"/>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6.5%</w:t>
            </w:r>
          </w:p>
        </w:tc>
      </w:tr>
    </w:tbl>
    <w:p>
      <w:pPr>
        <w:spacing w:after="0" w:line="200" w:lineRule="exact"/>
        <w:rPr>
          <w:sz w:val="20"/>
          <w:szCs w:val="20"/>
          <w:color w:val="auto"/>
        </w:rPr>
      </w:pPr>
    </w:p>
    <w:p>
      <w:pPr>
        <w:sectPr>
          <w:pgSz w:w="11900" w:h="16838" w:orient="portrait"/>
          <w:cols w:equalWidth="0" w:num="1">
            <w:col w:w="11420"/>
          </w:cols>
          <w:pgMar w:left="240" w:top="549" w:right="239" w:bottom="1440" w:gutter="0" w:footer="0" w:header="0"/>
        </w:sectPr>
      </w:pPr>
    </w:p>
    <w:p>
      <w:pPr>
        <w:spacing w:after="0" w:line="245"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92</w:t>
      </w:r>
    </w:p>
    <w:p>
      <w:pPr>
        <w:sectPr>
          <w:pgSz w:w="11900" w:h="16838" w:orient="portrait"/>
          <w:cols w:equalWidth="0" w:num="1">
            <w:col w:w="11420"/>
          </w:cols>
          <w:pgMar w:left="240" w:top="549" w:right="239" w:bottom="1440" w:gutter="0" w:footer="0" w:header="0"/>
          <w:type w:val="continuous"/>
        </w:sectPr>
      </w:pPr>
    </w:p>
    <w:bookmarkStart w:id="92" w:name="page93"/>
    <w:bookmarkEnd w:id="92"/>
    <w:p>
      <w:pPr>
        <w:jc w:val="center"/>
        <w:spacing w:after="0"/>
        <w:rPr>
          <w:sz w:val="20"/>
          <w:szCs w:val="20"/>
          <w:color w:val="auto"/>
        </w:rPr>
      </w:pPr>
      <w:r>
        <w:rPr>
          <w:rFonts w:ascii="Arial" w:cs="Arial" w:eastAsia="Arial" w:hAnsi="Arial"/>
          <w:sz w:val="18"/>
          <w:szCs w:val="18"/>
          <w:b w:val="1"/>
          <w:bCs w:val="1"/>
          <w:color w:val="auto"/>
        </w:rPr>
        <w:t>NOTES TO CONSOLIDATED FINANCIAL STATEMENTS OF AMERICAN AIRLINES GROUP INC.</w:t>
      </w:r>
    </w:p>
    <w:p>
      <w:pPr>
        <w:spacing w:after="0" w:line="200" w:lineRule="exact"/>
        <w:rPr>
          <w:sz w:val="20"/>
          <w:szCs w:val="20"/>
          <w:color w:val="auto"/>
        </w:rPr>
      </w:pPr>
    </w:p>
    <w:p>
      <w:pPr>
        <w:spacing w:after="0" w:line="209" w:lineRule="exact"/>
        <w:rPr>
          <w:sz w:val="20"/>
          <w:szCs w:val="20"/>
          <w:color w:val="auto"/>
        </w:rPr>
      </w:pPr>
    </w:p>
    <w:p>
      <w:pPr>
        <w:ind w:left="260"/>
        <w:spacing w:after="0"/>
        <w:rPr>
          <w:sz w:val="20"/>
          <w:szCs w:val="20"/>
          <w:color w:val="auto"/>
        </w:rPr>
      </w:pPr>
      <w:r>
        <w:rPr>
          <w:rFonts w:ascii="Arial" w:cs="Arial" w:eastAsia="Arial" w:hAnsi="Arial"/>
          <w:sz w:val="18"/>
          <w:szCs w:val="18"/>
          <w:color w:val="auto"/>
        </w:rPr>
        <w:t>Supplemental cash flow and other information related to leases was as follows (in millions):</w:t>
      </w:r>
    </w:p>
    <w:p>
      <w:pPr>
        <w:spacing w:after="0" w:line="375" w:lineRule="exact"/>
        <w:rPr>
          <w:sz w:val="20"/>
          <w:szCs w:val="20"/>
          <w:color w:val="auto"/>
        </w:rPr>
      </w:pPr>
    </w:p>
    <w:tbl>
      <w:tblPr>
        <w:tblLayout w:type="fixed"/>
        <w:tblInd w:w="0" w:type="dxa"/>
        <w:tblCellMar>
          <w:top w:w="0" w:type="dxa"/>
          <w:left w:w="0" w:type="dxa"/>
          <w:bottom w:w="0" w:type="dxa"/>
          <w:right w:w="0" w:type="dxa"/>
        </w:tblCellMar>
      </w:tblPr>
      <w:tr>
        <w:trPr>
          <w:trHeight w:val="196"/>
        </w:trPr>
        <w:tc>
          <w:tcPr>
            <w:tcW w:w="7640" w:type="dxa"/>
            <w:vAlign w:val="bottom"/>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3560" w:type="dxa"/>
            <w:vAlign w:val="bottom"/>
            <w:tcBorders>
              <w:bottom w:val="single" w:sz="8" w:color="auto"/>
            </w:tcBorders>
            <w:gridSpan w:val="4"/>
          </w:tcPr>
          <w:p>
            <w:pPr>
              <w:jc w:val="right"/>
              <w:ind w:right="912"/>
              <w:spacing w:after="0"/>
              <w:rPr>
                <w:sz w:val="20"/>
                <w:szCs w:val="20"/>
                <w:color w:val="auto"/>
              </w:rPr>
            </w:pPr>
            <w:r>
              <w:rPr>
                <w:rFonts w:ascii="Arial" w:cs="Arial" w:eastAsia="Arial" w:hAnsi="Arial"/>
                <w:sz w:val="14"/>
                <w:szCs w:val="14"/>
                <w:b w:val="1"/>
                <w:bCs w:val="1"/>
                <w:color w:val="auto"/>
              </w:rPr>
              <w:t>Year Ended December 31,</w:t>
            </w:r>
          </w:p>
        </w:tc>
      </w:tr>
      <w:tr>
        <w:trPr>
          <w:trHeight w:val="263"/>
        </w:trPr>
        <w:tc>
          <w:tcPr>
            <w:tcW w:w="7640" w:type="dxa"/>
            <w:vAlign w:val="bottom"/>
          </w:tcPr>
          <w:p>
            <w:pPr>
              <w:spacing w:after="0"/>
              <w:rPr>
                <w:sz w:val="22"/>
                <w:szCs w:val="22"/>
                <w:color w:val="auto"/>
              </w:rPr>
            </w:pPr>
          </w:p>
        </w:tc>
        <w:tc>
          <w:tcPr>
            <w:tcW w:w="220" w:type="dxa"/>
            <w:vAlign w:val="bottom"/>
            <w:tcBorders>
              <w:bottom w:val="single" w:sz="8" w:color="auto"/>
            </w:tcBorders>
          </w:tcPr>
          <w:p>
            <w:pPr>
              <w:spacing w:after="0"/>
              <w:rPr>
                <w:sz w:val="22"/>
                <w:szCs w:val="22"/>
                <w:color w:val="auto"/>
              </w:rPr>
            </w:pPr>
          </w:p>
        </w:tc>
        <w:tc>
          <w:tcPr>
            <w:tcW w:w="1620" w:type="dxa"/>
            <w:vAlign w:val="bottom"/>
            <w:tcBorders>
              <w:bottom w:val="single" w:sz="8" w:color="auto"/>
            </w:tcBorders>
          </w:tcPr>
          <w:p>
            <w:pPr>
              <w:jc w:val="right"/>
              <w:ind w:right="673"/>
              <w:spacing w:after="0"/>
              <w:rPr>
                <w:sz w:val="20"/>
                <w:szCs w:val="20"/>
                <w:color w:val="auto"/>
              </w:rPr>
            </w:pPr>
            <w:r>
              <w:rPr>
                <w:rFonts w:ascii="Arial" w:cs="Arial" w:eastAsia="Arial" w:hAnsi="Arial"/>
                <w:sz w:val="14"/>
                <w:szCs w:val="14"/>
                <w:b w:val="1"/>
                <w:bCs w:val="1"/>
                <w:color w:val="auto"/>
              </w:rPr>
              <w:t>2019</w:t>
            </w:r>
          </w:p>
        </w:tc>
        <w:tc>
          <w:tcPr>
            <w:tcW w:w="100" w:type="dxa"/>
            <w:vAlign w:val="bottom"/>
          </w:tcPr>
          <w:p>
            <w:pPr>
              <w:spacing w:after="0"/>
              <w:rPr>
                <w:sz w:val="22"/>
                <w:szCs w:val="22"/>
                <w:color w:val="auto"/>
              </w:rPr>
            </w:pPr>
          </w:p>
        </w:tc>
        <w:tc>
          <w:tcPr>
            <w:tcW w:w="260" w:type="dxa"/>
            <w:vAlign w:val="bottom"/>
            <w:tcBorders>
              <w:bottom w:val="single" w:sz="8" w:color="auto"/>
            </w:tcBorders>
          </w:tcPr>
          <w:p>
            <w:pPr>
              <w:spacing w:after="0"/>
              <w:rPr>
                <w:sz w:val="22"/>
                <w:szCs w:val="22"/>
                <w:color w:val="auto"/>
              </w:rPr>
            </w:pPr>
          </w:p>
        </w:tc>
        <w:tc>
          <w:tcPr>
            <w:tcW w:w="1580" w:type="dxa"/>
            <w:vAlign w:val="bottom"/>
            <w:tcBorders>
              <w:bottom w:val="single" w:sz="8" w:color="auto"/>
            </w:tcBorders>
          </w:tcPr>
          <w:p>
            <w:pPr>
              <w:jc w:val="right"/>
              <w:ind w:right="672"/>
              <w:spacing w:after="0"/>
              <w:rPr>
                <w:sz w:val="20"/>
                <w:szCs w:val="20"/>
                <w:color w:val="auto"/>
              </w:rPr>
            </w:pPr>
            <w:r>
              <w:rPr>
                <w:rFonts w:ascii="Arial" w:cs="Arial" w:eastAsia="Arial" w:hAnsi="Arial"/>
                <w:sz w:val="14"/>
                <w:szCs w:val="14"/>
                <w:b w:val="1"/>
                <w:bCs w:val="1"/>
                <w:color w:val="auto"/>
              </w:rPr>
              <w:t>2018</w:t>
            </w:r>
          </w:p>
        </w:tc>
      </w:tr>
      <w:tr>
        <w:trPr>
          <w:trHeight w:val="263"/>
        </w:trPr>
        <w:tc>
          <w:tcPr>
            <w:tcW w:w="7640" w:type="dxa"/>
            <w:vAlign w:val="bottom"/>
          </w:tcPr>
          <w:p>
            <w:pPr>
              <w:ind w:left="40"/>
              <w:spacing w:after="0"/>
              <w:rPr>
                <w:sz w:val="20"/>
                <w:szCs w:val="20"/>
                <w:color w:val="auto"/>
              </w:rPr>
            </w:pPr>
            <w:r>
              <w:rPr>
                <w:rFonts w:ascii="Arial" w:cs="Arial" w:eastAsia="Arial" w:hAnsi="Arial"/>
                <w:sz w:val="18"/>
                <w:szCs w:val="18"/>
                <w:color w:val="auto"/>
              </w:rPr>
              <w:t>Cash paid for amounts included in the measurement of lease liabilities:</w:t>
            </w:r>
          </w:p>
        </w:tc>
        <w:tc>
          <w:tcPr>
            <w:tcW w:w="220" w:type="dxa"/>
            <w:vAlign w:val="bottom"/>
          </w:tcPr>
          <w:p>
            <w:pPr>
              <w:spacing w:after="0"/>
              <w:rPr>
                <w:sz w:val="22"/>
                <w:szCs w:val="22"/>
                <w:color w:val="auto"/>
              </w:rPr>
            </w:pPr>
          </w:p>
        </w:tc>
        <w:tc>
          <w:tcPr>
            <w:tcW w:w="16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1580" w:type="dxa"/>
            <w:vAlign w:val="bottom"/>
          </w:tcPr>
          <w:p>
            <w:pPr>
              <w:spacing w:after="0"/>
              <w:rPr>
                <w:sz w:val="22"/>
                <w:szCs w:val="22"/>
                <w:color w:val="auto"/>
              </w:rPr>
            </w:pPr>
          </w:p>
        </w:tc>
      </w:tr>
      <w:tr>
        <w:trPr>
          <w:trHeight w:val="277"/>
        </w:trPr>
        <w:tc>
          <w:tcPr>
            <w:tcW w:w="7640" w:type="dxa"/>
            <w:vAlign w:val="bottom"/>
            <w:shd w:val="clear" w:color="auto" w:fill="CCEEFF"/>
          </w:tcPr>
          <w:p>
            <w:pPr>
              <w:ind w:left="180"/>
              <w:spacing w:after="0"/>
              <w:rPr>
                <w:sz w:val="20"/>
                <w:szCs w:val="20"/>
                <w:color w:val="auto"/>
              </w:rPr>
            </w:pPr>
            <w:r>
              <w:rPr>
                <w:rFonts w:ascii="Arial" w:cs="Arial" w:eastAsia="Arial" w:hAnsi="Arial"/>
                <w:sz w:val="18"/>
                <w:szCs w:val="18"/>
                <w:color w:val="auto"/>
              </w:rPr>
              <w:t>Operating cash flows from operating leases</w:t>
            </w:r>
          </w:p>
        </w:tc>
        <w:tc>
          <w:tcPr>
            <w:tcW w:w="2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620" w:type="dxa"/>
            <w:vAlign w:val="bottom"/>
            <w:shd w:val="clear" w:color="auto" w:fill="CCEEFF"/>
          </w:tcPr>
          <w:p>
            <w:pPr>
              <w:jc w:val="right"/>
              <w:ind w:right="33"/>
              <w:spacing w:after="0"/>
              <w:rPr>
                <w:sz w:val="20"/>
                <w:szCs w:val="20"/>
                <w:color w:val="auto"/>
              </w:rPr>
            </w:pPr>
            <w:r>
              <w:rPr>
                <w:rFonts w:ascii="Arial" w:cs="Arial" w:eastAsia="Arial" w:hAnsi="Arial"/>
                <w:sz w:val="18"/>
                <w:szCs w:val="18"/>
                <w:color w:val="auto"/>
              </w:rPr>
              <w:t>2,013</w:t>
            </w:r>
          </w:p>
        </w:tc>
        <w:tc>
          <w:tcPr>
            <w:tcW w:w="100" w:type="dxa"/>
            <w:vAlign w:val="bottom"/>
            <w:shd w:val="clear" w:color="auto" w:fill="CCEEFF"/>
          </w:tcPr>
          <w:p>
            <w:pPr>
              <w:spacing w:after="0"/>
              <w:rPr>
                <w:sz w:val="24"/>
                <w:szCs w:val="24"/>
                <w:color w:val="auto"/>
              </w:rPr>
            </w:pPr>
          </w:p>
        </w:tc>
        <w:tc>
          <w:tcPr>
            <w:tcW w:w="26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158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1,931</w:t>
            </w:r>
          </w:p>
        </w:tc>
      </w:tr>
      <w:tr>
        <w:trPr>
          <w:trHeight w:val="263"/>
        </w:trPr>
        <w:tc>
          <w:tcPr>
            <w:tcW w:w="7640" w:type="dxa"/>
            <w:vAlign w:val="bottom"/>
          </w:tcPr>
          <w:p>
            <w:pPr>
              <w:ind w:left="180"/>
              <w:spacing w:after="0"/>
              <w:rPr>
                <w:sz w:val="20"/>
                <w:szCs w:val="20"/>
                <w:color w:val="auto"/>
              </w:rPr>
            </w:pPr>
            <w:r>
              <w:rPr>
                <w:rFonts w:ascii="Arial" w:cs="Arial" w:eastAsia="Arial" w:hAnsi="Arial"/>
                <w:sz w:val="18"/>
                <w:szCs w:val="18"/>
                <w:color w:val="auto"/>
              </w:rPr>
              <w:t>Operating cash flows from finance leases</w:t>
            </w:r>
          </w:p>
        </w:tc>
        <w:tc>
          <w:tcPr>
            <w:tcW w:w="220" w:type="dxa"/>
            <w:vAlign w:val="bottom"/>
          </w:tcPr>
          <w:p>
            <w:pPr>
              <w:spacing w:after="0"/>
              <w:rPr>
                <w:sz w:val="22"/>
                <w:szCs w:val="22"/>
                <w:color w:val="auto"/>
              </w:rPr>
            </w:pPr>
          </w:p>
        </w:tc>
        <w:tc>
          <w:tcPr>
            <w:tcW w:w="1620" w:type="dxa"/>
            <w:vAlign w:val="bottom"/>
          </w:tcPr>
          <w:p>
            <w:pPr>
              <w:jc w:val="right"/>
              <w:ind w:right="33"/>
              <w:spacing w:after="0"/>
              <w:rPr>
                <w:sz w:val="20"/>
                <w:szCs w:val="20"/>
                <w:color w:val="auto"/>
              </w:rPr>
            </w:pPr>
            <w:r>
              <w:rPr>
                <w:rFonts w:ascii="Arial" w:cs="Arial" w:eastAsia="Arial" w:hAnsi="Arial"/>
                <w:sz w:val="18"/>
                <w:szCs w:val="18"/>
                <w:color w:val="auto"/>
              </w:rPr>
              <w:t>43</w:t>
            </w:r>
          </w:p>
        </w:tc>
        <w:tc>
          <w:tcPr>
            <w:tcW w:w="10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1580" w:type="dxa"/>
            <w:vAlign w:val="bottom"/>
          </w:tcPr>
          <w:p>
            <w:pPr>
              <w:jc w:val="right"/>
              <w:ind w:right="12"/>
              <w:spacing w:after="0"/>
              <w:rPr>
                <w:sz w:val="20"/>
                <w:szCs w:val="20"/>
                <w:color w:val="auto"/>
              </w:rPr>
            </w:pPr>
            <w:r>
              <w:rPr>
                <w:rFonts w:ascii="Arial" w:cs="Arial" w:eastAsia="Arial" w:hAnsi="Arial"/>
                <w:sz w:val="18"/>
                <w:szCs w:val="18"/>
                <w:color w:val="auto"/>
              </w:rPr>
              <w:t>48</w:t>
            </w:r>
          </w:p>
        </w:tc>
      </w:tr>
      <w:tr>
        <w:trPr>
          <w:trHeight w:val="277"/>
        </w:trPr>
        <w:tc>
          <w:tcPr>
            <w:tcW w:w="7640" w:type="dxa"/>
            <w:vAlign w:val="bottom"/>
            <w:shd w:val="clear" w:color="auto" w:fill="CCEEFF"/>
          </w:tcPr>
          <w:p>
            <w:pPr>
              <w:ind w:left="180"/>
              <w:spacing w:after="0"/>
              <w:rPr>
                <w:sz w:val="20"/>
                <w:szCs w:val="20"/>
                <w:color w:val="auto"/>
              </w:rPr>
            </w:pPr>
            <w:r>
              <w:rPr>
                <w:rFonts w:ascii="Arial" w:cs="Arial" w:eastAsia="Arial" w:hAnsi="Arial"/>
                <w:sz w:val="18"/>
                <w:szCs w:val="18"/>
                <w:color w:val="auto"/>
              </w:rPr>
              <w:t>Financing cash flows from finance leases</w:t>
            </w:r>
          </w:p>
        </w:tc>
        <w:tc>
          <w:tcPr>
            <w:tcW w:w="220" w:type="dxa"/>
            <w:vAlign w:val="bottom"/>
            <w:shd w:val="clear" w:color="auto" w:fill="CCEEFF"/>
          </w:tcPr>
          <w:p>
            <w:pPr>
              <w:spacing w:after="0"/>
              <w:rPr>
                <w:sz w:val="24"/>
                <w:szCs w:val="24"/>
                <w:color w:val="auto"/>
              </w:rPr>
            </w:pPr>
          </w:p>
        </w:tc>
        <w:tc>
          <w:tcPr>
            <w:tcW w:w="1620" w:type="dxa"/>
            <w:vAlign w:val="bottom"/>
            <w:shd w:val="clear" w:color="auto" w:fill="CCEEFF"/>
          </w:tcPr>
          <w:p>
            <w:pPr>
              <w:jc w:val="right"/>
              <w:ind w:right="33"/>
              <w:spacing w:after="0"/>
              <w:rPr>
                <w:sz w:val="20"/>
                <w:szCs w:val="20"/>
                <w:color w:val="auto"/>
              </w:rPr>
            </w:pPr>
            <w:r>
              <w:rPr>
                <w:rFonts w:ascii="Arial" w:cs="Arial" w:eastAsia="Arial" w:hAnsi="Arial"/>
                <w:sz w:val="18"/>
                <w:szCs w:val="18"/>
                <w:color w:val="auto"/>
              </w:rPr>
              <w:t>83</w:t>
            </w:r>
          </w:p>
        </w:tc>
        <w:tc>
          <w:tcPr>
            <w:tcW w:w="100" w:type="dxa"/>
            <w:vAlign w:val="bottom"/>
            <w:shd w:val="clear" w:color="auto" w:fill="CCEEFF"/>
          </w:tcPr>
          <w:p>
            <w:pPr>
              <w:spacing w:after="0"/>
              <w:rPr>
                <w:sz w:val="24"/>
                <w:szCs w:val="24"/>
                <w:color w:val="auto"/>
              </w:rPr>
            </w:pPr>
          </w:p>
        </w:tc>
        <w:tc>
          <w:tcPr>
            <w:tcW w:w="260" w:type="dxa"/>
            <w:vAlign w:val="bottom"/>
            <w:shd w:val="clear" w:color="auto" w:fill="CCEEFF"/>
          </w:tcPr>
          <w:p>
            <w:pPr>
              <w:spacing w:after="0"/>
              <w:rPr>
                <w:sz w:val="24"/>
                <w:szCs w:val="24"/>
                <w:color w:val="auto"/>
              </w:rPr>
            </w:pPr>
          </w:p>
        </w:tc>
        <w:tc>
          <w:tcPr>
            <w:tcW w:w="158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78</w:t>
            </w:r>
          </w:p>
        </w:tc>
      </w:tr>
      <w:tr>
        <w:trPr>
          <w:trHeight w:val="324"/>
        </w:trPr>
        <w:tc>
          <w:tcPr>
            <w:tcW w:w="76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6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580" w:type="dxa"/>
            <w:vAlign w:val="bottom"/>
          </w:tcPr>
          <w:p>
            <w:pPr>
              <w:spacing w:after="0"/>
              <w:rPr>
                <w:sz w:val="24"/>
                <w:szCs w:val="24"/>
                <w:color w:val="auto"/>
              </w:rPr>
            </w:pPr>
          </w:p>
        </w:tc>
      </w:tr>
      <w:tr>
        <w:trPr>
          <w:trHeight w:val="270"/>
        </w:trPr>
        <w:tc>
          <w:tcPr>
            <w:tcW w:w="7640" w:type="dxa"/>
            <w:vAlign w:val="bottom"/>
            <w:shd w:val="clear" w:color="auto" w:fill="CCEEFF"/>
          </w:tcPr>
          <w:p>
            <w:pPr>
              <w:ind w:left="40"/>
              <w:spacing w:after="0"/>
              <w:rPr>
                <w:sz w:val="20"/>
                <w:szCs w:val="20"/>
                <w:color w:val="auto"/>
              </w:rPr>
            </w:pPr>
            <w:r>
              <w:rPr>
                <w:rFonts w:ascii="Arial" w:cs="Arial" w:eastAsia="Arial" w:hAnsi="Arial"/>
                <w:sz w:val="18"/>
                <w:szCs w:val="18"/>
                <w:color w:val="auto"/>
              </w:rPr>
              <w:t>Non-cash transactions:</w:t>
            </w:r>
          </w:p>
        </w:tc>
        <w:tc>
          <w:tcPr>
            <w:tcW w:w="220" w:type="dxa"/>
            <w:vAlign w:val="bottom"/>
            <w:shd w:val="clear" w:color="auto" w:fill="CCEEFF"/>
          </w:tcPr>
          <w:p>
            <w:pPr>
              <w:spacing w:after="0"/>
              <w:rPr>
                <w:sz w:val="23"/>
                <w:szCs w:val="23"/>
                <w:color w:val="auto"/>
              </w:rPr>
            </w:pPr>
          </w:p>
        </w:tc>
        <w:tc>
          <w:tcPr>
            <w:tcW w:w="162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260" w:type="dxa"/>
            <w:vAlign w:val="bottom"/>
            <w:shd w:val="clear" w:color="auto" w:fill="CCEEFF"/>
          </w:tcPr>
          <w:p>
            <w:pPr>
              <w:spacing w:after="0"/>
              <w:rPr>
                <w:sz w:val="23"/>
                <w:szCs w:val="23"/>
                <w:color w:val="auto"/>
              </w:rPr>
            </w:pPr>
          </w:p>
        </w:tc>
        <w:tc>
          <w:tcPr>
            <w:tcW w:w="1580" w:type="dxa"/>
            <w:vAlign w:val="bottom"/>
            <w:shd w:val="clear" w:color="auto" w:fill="CCEEFF"/>
          </w:tcPr>
          <w:p>
            <w:pPr>
              <w:spacing w:after="0"/>
              <w:rPr>
                <w:sz w:val="23"/>
                <w:szCs w:val="23"/>
                <w:color w:val="auto"/>
              </w:rPr>
            </w:pPr>
          </w:p>
        </w:tc>
      </w:tr>
      <w:tr>
        <w:trPr>
          <w:trHeight w:val="263"/>
        </w:trPr>
        <w:tc>
          <w:tcPr>
            <w:tcW w:w="7640" w:type="dxa"/>
            <w:vAlign w:val="bottom"/>
          </w:tcPr>
          <w:p>
            <w:pPr>
              <w:ind w:left="180"/>
              <w:spacing w:after="0"/>
              <w:rPr>
                <w:sz w:val="20"/>
                <w:szCs w:val="20"/>
                <w:color w:val="auto"/>
              </w:rPr>
            </w:pPr>
            <w:r>
              <w:rPr>
                <w:rFonts w:ascii="Arial" w:cs="Arial" w:eastAsia="Arial" w:hAnsi="Arial"/>
                <w:sz w:val="18"/>
                <w:szCs w:val="18"/>
                <w:color w:val="auto"/>
              </w:rPr>
              <w:t>ROU assets acquired through operating leases</w:t>
            </w:r>
          </w:p>
        </w:tc>
        <w:tc>
          <w:tcPr>
            <w:tcW w:w="220" w:type="dxa"/>
            <w:vAlign w:val="bottom"/>
          </w:tcPr>
          <w:p>
            <w:pPr>
              <w:spacing w:after="0"/>
              <w:rPr>
                <w:sz w:val="22"/>
                <w:szCs w:val="22"/>
                <w:color w:val="auto"/>
              </w:rPr>
            </w:pPr>
          </w:p>
        </w:tc>
        <w:tc>
          <w:tcPr>
            <w:tcW w:w="1620" w:type="dxa"/>
            <w:vAlign w:val="bottom"/>
          </w:tcPr>
          <w:p>
            <w:pPr>
              <w:jc w:val="right"/>
              <w:ind w:right="33"/>
              <w:spacing w:after="0"/>
              <w:rPr>
                <w:sz w:val="20"/>
                <w:szCs w:val="20"/>
                <w:color w:val="auto"/>
              </w:rPr>
            </w:pPr>
            <w:r>
              <w:rPr>
                <w:rFonts w:ascii="Arial" w:cs="Arial" w:eastAsia="Arial" w:hAnsi="Arial"/>
                <w:sz w:val="18"/>
                <w:szCs w:val="18"/>
                <w:color w:val="auto"/>
              </w:rPr>
              <w:t>1,145</w:t>
            </w:r>
          </w:p>
        </w:tc>
        <w:tc>
          <w:tcPr>
            <w:tcW w:w="10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1580" w:type="dxa"/>
            <w:vAlign w:val="bottom"/>
          </w:tcPr>
          <w:p>
            <w:pPr>
              <w:jc w:val="right"/>
              <w:ind w:right="12"/>
              <w:spacing w:after="0"/>
              <w:rPr>
                <w:sz w:val="20"/>
                <w:szCs w:val="20"/>
                <w:color w:val="auto"/>
              </w:rPr>
            </w:pPr>
            <w:r>
              <w:rPr>
                <w:rFonts w:ascii="Arial" w:cs="Arial" w:eastAsia="Arial" w:hAnsi="Arial"/>
                <w:sz w:val="18"/>
                <w:szCs w:val="18"/>
                <w:color w:val="auto"/>
              </w:rPr>
              <w:t>1,292</w:t>
            </w:r>
          </w:p>
        </w:tc>
      </w:tr>
      <w:tr>
        <w:trPr>
          <w:trHeight w:val="277"/>
        </w:trPr>
        <w:tc>
          <w:tcPr>
            <w:tcW w:w="7640" w:type="dxa"/>
            <w:vAlign w:val="bottom"/>
            <w:shd w:val="clear" w:color="auto" w:fill="CCEEFF"/>
          </w:tcPr>
          <w:p>
            <w:pPr>
              <w:ind w:left="180"/>
              <w:spacing w:after="0"/>
              <w:rPr>
                <w:sz w:val="20"/>
                <w:szCs w:val="20"/>
                <w:color w:val="auto"/>
              </w:rPr>
            </w:pPr>
            <w:r>
              <w:rPr>
                <w:rFonts w:ascii="Arial" w:cs="Arial" w:eastAsia="Arial" w:hAnsi="Arial"/>
                <w:sz w:val="18"/>
                <w:szCs w:val="18"/>
                <w:color w:val="auto"/>
              </w:rPr>
              <w:t>Operating lease conversion to finance lease</w:t>
            </w:r>
          </w:p>
        </w:tc>
        <w:tc>
          <w:tcPr>
            <w:tcW w:w="220" w:type="dxa"/>
            <w:vAlign w:val="bottom"/>
            <w:shd w:val="clear" w:color="auto" w:fill="CCEEFF"/>
          </w:tcPr>
          <w:p>
            <w:pPr>
              <w:spacing w:after="0"/>
              <w:rPr>
                <w:sz w:val="24"/>
                <w:szCs w:val="24"/>
                <w:color w:val="auto"/>
              </w:rPr>
            </w:pPr>
          </w:p>
        </w:tc>
        <w:tc>
          <w:tcPr>
            <w:tcW w:w="1620" w:type="dxa"/>
            <w:vAlign w:val="bottom"/>
            <w:shd w:val="clear" w:color="auto" w:fill="CCEEFF"/>
          </w:tcPr>
          <w:p>
            <w:pPr>
              <w:jc w:val="right"/>
              <w:ind w:right="33"/>
              <w:spacing w:after="0"/>
              <w:rPr>
                <w:sz w:val="20"/>
                <w:szCs w:val="20"/>
                <w:color w:val="auto"/>
              </w:rPr>
            </w:pPr>
            <w:r>
              <w:rPr>
                <w:rFonts w:ascii="Arial" w:cs="Arial" w:eastAsia="Arial" w:hAnsi="Arial"/>
                <w:sz w:val="18"/>
                <w:szCs w:val="18"/>
                <w:color w:val="auto"/>
              </w:rPr>
              <w:t>41</w:t>
            </w:r>
          </w:p>
        </w:tc>
        <w:tc>
          <w:tcPr>
            <w:tcW w:w="100" w:type="dxa"/>
            <w:vAlign w:val="bottom"/>
            <w:shd w:val="clear" w:color="auto" w:fill="CCEEFF"/>
          </w:tcPr>
          <w:p>
            <w:pPr>
              <w:spacing w:after="0"/>
              <w:rPr>
                <w:sz w:val="24"/>
                <w:szCs w:val="24"/>
                <w:color w:val="auto"/>
              </w:rPr>
            </w:pPr>
          </w:p>
        </w:tc>
        <w:tc>
          <w:tcPr>
            <w:tcW w:w="260" w:type="dxa"/>
            <w:vAlign w:val="bottom"/>
            <w:shd w:val="clear" w:color="auto" w:fill="CCEEFF"/>
          </w:tcPr>
          <w:p>
            <w:pPr>
              <w:spacing w:after="0"/>
              <w:rPr>
                <w:sz w:val="24"/>
                <w:szCs w:val="24"/>
                <w:color w:val="auto"/>
              </w:rPr>
            </w:pPr>
          </w:p>
        </w:tc>
        <w:tc>
          <w:tcPr>
            <w:tcW w:w="158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w:t>
            </w:r>
          </w:p>
        </w:tc>
      </w:tr>
      <w:tr>
        <w:trPr>
          <w:trHeight w:val="263"/>
        </w:trPr>
        <w:tc>
          <w:tcPr>
            <w:tcW w:w="7640" w:type="dxa"/>
            <w:vAlign w:val="bottom"/>
          </w:tcPr>
          <w:p>
            <w:pPr>
              <w:ind w:left="180"/>
              <w:spacing w:after="0"/>
              <w:rPr>
                <w:sz w:val="20"/>
                <w:szCs w:val="20"/>
                <w:color w:val="auto"/>
              </w:rPr>
            </w:pPr>
            <w:r>
              <w:rPr>
                <w:rFonts w:ascii="Arial" w:cs="Arial" w:eastAsia="Arial" w:hAnsi="Arial"/>
                <w:sz w:val="18"/>
                <w:szCs w:val="18"/>
                <w:color w:val="auto"/>
              </w:rPr>
              <w:t>Property and equipment acquired through finance leases</w:t>
            </w:r>
          </w:p>
        </w:tc>
        <w:tc>
          <w:tcPr>
            <w:tcW w:w="220" w:type="dxa"/>
            <w:vAlign w:val="bottom"/>
          </w:tcPr>
          <w:p>
            <w:pPr>
              <w:spacing w:after="0"/>
              <w:rPr>
                <w:sz w:val="22"/>
                <w:szCs w:val="22"/>
                <w:color w:val="auto"/>
              </w:rPr>
            </w:pPr>
          </w:p>
        </w:tc>
        <w:tc>
          <w:tcPr>
            <w:tcW w:w="1620" w:type="dxa"/>
            <w:vAlign w:val="bottom"/>
          </w:tcPr>
          <w:p>
            <w:pPr>
              <w:jc w:val="right"/>
              <w:ind w:right="33"/>
              <w:spacing w:after="0"/>
              <w:rPr>
                <w:sz w:val="20"/>
                <w:szCs w:val="20"/>
                <w:color w:val="auto"/>
              </w:rPr>
            </w:pPr>
            <w:r>
              <w:rPr>
                <w:rFonts w:ascii="Arial" w:cs="Arial" w:eastAsia="Arial" w:hAnsi="Arial"/>
                <w:sz w:val="18"/>
                <w:szCs w:val="18"/>
                <w:color w:val="auto"/>
              </w:rPr>
              <w:t>20</w:t>
            </w:r>
          </w:p>
        </w:tc>
        <w:tc>
          <w:tcPr>
            <w:tcW w:w="10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1580" w:type="dxa"/>
            <w:vAlign w:val="bottom"/>
          </w:tcPr>
          <w:p>
            <w:pPr>
              <w:jc w:val="right"/>
              <w:ind w:right="12"/>
              <w:spacing w:after="0"/>
              <w:rPr>
                <w:sz w:val="20"/>
                <w:szCs w:val="20"/>
                <w:color w:val="auto"/>
              </w:rPr>
            </w:pPr>
            <w:r>
              <w:rPr>
                <w:rFonts w:ascii="Arial" w:cs="Arial" w:eastAsia="Arial" w:hAnsi="Arial"/>
                <w:sz w:val="18"/>
                <w:szCs w:val="18"/>
                <w:color w:val="auto"/>
              </w:rPr>
              <w:t>—</w:t>
            </w:r>
          </w:p>
        </w:tc>
      </w:tr>
      <w:tr>
        <w:trPr>
          <w:trHeight w:val="331"/>
        </w:trPr>
        <w:tc>
          <w:tcPr>
            <w:tcW w:w="7640" w:type="dxa"/>
            <w:vAlign w:val="bottom"/>
            <w:shd w:val="clear" w:color="auto" w:fill="CCEEFF"/>
          </w:tcPr>
          <w:p>
            <w:pPr>
              <w:spacing w:after="0"/>
              <w:rPr>
                <w:sz w:val="24"/>
                <w:szCs w:val="24"/>
                <w:color w:val="auto"/>
              </w:rPr>
            </w:pPr>
          </w:p>
        </w:tc>
        <w:tc>
          <w:tcPr>
            <w:tcW w:w="220" w:type="dxa"/>
            <w:vAlign w:val="bottom"/>
            <w:shd w:val="clear" w:color="auto" w:fill="CCEEFF"/>
          </w:tcPr>
          <w:p>
            <w:pPr>
              <w:spacing w:after="0"/>
              <w:rPr>
                <w:sz w:val="24"/>
                <w:szCs w:val="24"/>
                <w:color w:val="auto"/>
              </w:rPr>
            </w:pPr>
          </w:p>
        </w:tc>
        <w:tc>
          <w:tcPr>
            <w:tcW w:w="162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260" w:type="dxa"/>
            <w:vAlign w:val="bottom"/>
            <w:shd w:val="clear" w:color="auto" w:fill="CCEEFF"/>
          </w:tcPr>
          <w:p>
            <w:pPr>
              <w:spacing w:after="0"/>
              <w:rPr>
                <w:sz w:val="24"/>
                <w:szCs w:val="24"/>
                <w:color w:val="auto"/>
              </w:rPr>
            </w:pPr>
          </w:p>
        </w:tc>
        <w:tc>
          <w:tcPr>
            <w:tcW w:w="1580" w:type="dxa"/>
            <w:vAlign w:val="bottom"/>
            <w:shd w:val="clear" w:color="auto" w:fill="CCEEFF"/>
          </w:tcPr>
          <w:p>
            <w:pPr>
              <w:spacing w:after="0"/>
              <w:rPr>
                <w:sz w:val="24"/>
                <w:szCs w:val="24"/>
                <w:color w:val="auto"/>
              </w:rPr>
            </w:pPr>
          </w:p>
        </w:tc>
      </w:tr>
      <w:tr>
        <w:trPr>
          <w:trHeight w:val="257"/>
        </w:trPr>
        <w:tc>
          <w:tcPr>
            <w:tcW w:w="7640" w:type="dxa"/>
            <w:vAlign w:val="bottom"/>
          </w:tcPr>
          <w:p>
            <w:pPr>
              <w:ind w:left="40"/>
              <w:spacing w:after="0"/>
              <w:rPr>
                <w:sz w:val="20"/>
                <w:szCs w:val="20"/>
                <w:color w:val="auto"/>
              </w:rPr>
            </w:pPr>
            <w:r>
              <w:rPr>
                <w:rFonts w:ascii="Arial" w:cs="Arial" w:eastAsia="Arial" w:hAnsi="Arial"/>
                <w:sz w:val="18"/>
                <w:szCs w:val="18"/>
                <w:color w:val="auto"/>
              </w:rPr>
              <w:t>Gain on sale leaseback transactions, net</w:t>
            </w:r>
          </w:p>
        </w:tc>
        <w:tc>
          <w:tcPr>
            <w:tcW w:w="220" w:type="dxa"/>
            <w:vAlign w:val="bottom"/>
          </w:tcPr>
          <w:p>
            <w:pPr>
              <w:spacing w:after="0"/>
              <w:rPr>
                <w:sz w:val="22"/>
                <w:szCs w:val="22"/>
                <w:color w:val="auto"/>
              </w:rPr>
            </w:pPr>
          </w:p>
        </w:tc>
        <w:tc>
          <w:tcPr>
            <w:tcW w:w="1620" w:type="dxa"/>
            <w:vAlign w:val="bottom"/>
          </w:tcPr>
          <w:p>
            <w:pPr>
              <w:jc w:val="right"/>
              <w:ind w:right="33"/>
              <w:spacing w:after="0"/>
              <w:rPr>
                <w:sz w:val="20"/>
                <w:szCs w:val="20"/>
                <w:color w:val="auto"/>
              </w:rPr>
            </w:pPr>
            <w:r>
              <w:rPr>
                <w:rFonts w:ascii="Arial" w:cs="Arial" w:eastAsia="Arial" w:hAnsi="Arial"/>
                <w:sz w:val="18"/>
                <w:szCs w:val="18"/>
                <w:color w:val="auto"/>
              </w:rPr>
              <w:t>107</w:t>
            </w:r>
          </w:p>
        </w:tc>
        <w:tc>
          <w:tcPr>
            <w:tcW w:w="10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1580" w:type="dxa"/>
            <w:vAlign w:val="bottom"/>
          </w:tcPr>
          <w:p>
            <w:pPr>
              <w:jc w:val="right"/>
              <w:ind w:right="12"/>
              <w:spacing w:after="0"/>
              <w:rPr>
                <w:sz w:val="20"/>
                <w:szCs w:val="20"/>
                <w:color w:val="auto"/>
              </w:rPr>
            </w:pPr>
            <w:r>
              <w:rPr>
                <w:rFonts w:ascii="Arial" w:cs="Arial" w:eastAsia="Arial" w:hAnsi="Arial"/>
                <w:sz w:val="18"/>
                <w:szCs w:val="18"/>
                <w:color w:val="auto"/>
              </w:rPr>
              <w:t>59</w:t>
            </w:r>
          </w:p>
        </w:tc>
      </w:tr>
      <w:tr>
        <w:trPr>
          <w:trHeight w:val="608"/>
        </w:trPr>
        <w:tc>
          <w:tcPr>
            <w:tcW w:w="7640" w:type="dxa"/>
            <w:vAlign w:val="bottom"/>
          </w:tcPr>
          <w:p>
            <w:pPr>
              <w:ind w:left="260"/>
              <w:spacing w:after="0"/>
              <w:rPr>
                <w:sz w:val="20"/>
                <w:szCs w:val="20"/>
                <w:color w:val="auto"/>
              </w:rPr>
            </w:pPr>
            <w:r>
              <w:rPr>
                <w:rFonts w:ascii="Arial" w:cs="Arial" w:eastAsia="Arial" w:hAnsi="Arial"/>
                <w:sz w:val="18"/>
                <w:szCs w:val="18"/>
                <w:color w:val="auto"/>
              </w:rPr>
              <w:t>Maturities of lease liabilities were as follows (in millions):</w:t>
            </w:r>
          </w:p>
        </w:tc>
        <w:tc>
          <w:tcPr>
            <w:tcW w:w="220" w:type="dxa"/>
            <w:vAlign w:val="bottom"/>
          </w:tcPr>
          <w:p>
            <w:pPr>
              <w:spacing w:after="0"/>
              <w:rPr>
                <w:sz w:val="24"/>
                <w:szCs w:val="24"/>
                <w:color w:val="auto"/>
              </w:rPr>
            </w:pPr>
          </w:p>
        </w:tc>
        <w:tc>
          <w:tcPr>
            <w:tcW w:w="16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580" w:type="dxa"/>
            <w:vAlign w:val="bottom"/>
          </w:tcPr>
          <w:p>
            <w:pPr>
              <w:spacing w:after="0"/>
              <w:rPr>
                <w:sz w:val="24"/>
                <w:szCs w:val="24"/>
                <w:color w:val="auto"/>
              </w:rPr>
            </w:pPr>
          </w:p>
        </w:tc>
      </w:tr>
      <w:tr>
        <w:trPr>
          <w:trHeight w:val="561"/>
        </w:trPr>
        <w:tc>
          <w:tcPr>
            <w:tcW w:w="7640" w:type="dxa"/>
            <w:vAlign w:val="bottom"/>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3560" w:type="dxa"/>
            <w:vAlign w:val="bottom"/>
            <w:tcBorders>
              <w:bottom w:val="single" w:sz="8" w:color="auto"/>
            </w:tcBorders>
            <w:gridSpan w:val="4"/>
          </w:tcPr>
          <w:p>
            <w:pPr>
              <w:jc w:val="right"/>
              <w:ind w:right="1132"/>
              <w:spacing w:after="0"/>
              <w:rPr>
                <w:sz w:val="20"/>
                <w:szCs w:val="20"/>
                <w:color w:val="auto"/>
              </w:rPr>
            </w:pPr>
            <w:r>
              <w:rPr>
                <w:rFonts w:ascii="Arial" w:cs="Arial" w:eastAsia="Arial" w:hAnsi="Arial"/>
                <w:sz w:val="14"/>
                <w:szCs w:val="14"/>
                <w:b w:val="1"/>
                <w:bCs w:val="1"/>
                <w:color w:val="auto"/>
              </w:rPr>
              <w:t>December 31, 2019</w:t>
            </w:r>
          </w:p>
        </w:tc>
      </w:tr>
      <w:tr>
        <w:trPr>
          <w:trHeight w:val="264"/>
        </w:trPr>
        <w:tc>
          <w:tcPr>
            <w:tcW w:w="764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1720" w:type="dxa"/>
            <w:vAlign w:val="bottom"/>
            <w:gridSpan w:val="2"/>
          </w:tcPr>
          <w:p>
            <w:pPr>
              <w:ind w:left="100"/>
              <w:spacing w:after="0"/>
              <w:rPr>
                <w:sz w:val="20"/>
                <w:szCs w:val="20"/>
                <w:color w:val="auto"/>
              </w:rPr>
            </w:pPr>
            <w:r>
              <w:rPr>
                <w:rFonts w:ascii="Arial" w:cs="Arial" w:eastAsia="Arial" w:hAnsi="Arial"/>
                <w:sz w:val="14"/>
                <w:szCs w:val="14"/>
                <w:b w:val="1"/>
                <w:bCs w:val="1"/>
                <w:color w:val="auto"/>
              </w:rPr>
              <w:t>Operating Leases</w:t>
            </w:r>
          </w:p>
        </w:tc>
        <w:tc>
          <w:tcPr>
            <w:tcW w:w="260" w:type="dxa"/>
            <w:vAlign w:val="bottom"/>
          </w:tcPr>
          <w:p>
            <w:pPr>
              <w:spacing w:after="0"/>
              <w:rPr>
                <w:sz w:val="22"/>
                <w:szCs w:val="22"/>
                <w:color w:val="auto"/>
              </w:rPr>
            </w:pPr>
          </w:p>
        </w:tc>
        <w:tc>
          <w:tcPr>
            <w:tcW w:w="1580" w:type="dxa"/>
            <w:vAlign w:val="bottom"/>
          </w:tcPr>
          <w:p>
            <w:pPr>
              <w:jc w:val="right"/>
              <w:ind w:right="292"/>
              <w:spacing w:after="0"/>
              <w:rPr>
                <w:sz w:val="20"/>
                <w:szCs w:val="20"/>
                <w:color w:val="auto"/>
              </w:rPr>
            </w:pPr>
            <w:r>
              <w:rPr>
                <w:rFonts w:ascii="Arial" w:cs="Arial" w:eastAsia="Arial" w:hAnsi="Arial"/>
                <w:sz w:val="14"/>
                <w:szCs w:val="14"/>
                <w:b w:val="1"/>
                <w:bCs w:val="1"/>
                <w:color w:val="auto"/>
              </w:rPr>
              <w:t>Finance Leases</w:t>
            </w:r>
          </w:p>
        </w:tc>
      </w:tr>
      <w:tr>
        <w:trPr>
          <w:trHeight w:val="256"/>
        </w:trPr>
        <w:tc>
          <w:tcPr>
            <w:tcW w:w="7640" w:type="dxa"/>
            <w:vAlign w:val="bottom"/>
            <w:tcBorders>
              <w:top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2020</w:t>
            </w:r>
          </w:p>
        </w:tc>
        <w:tc>
          <w:tcPr>
            <w:tcW w:w="220" w:type="dxa"/>
            <w:vAlign w:val="bottom"/>
            <w:tcBorders>
              <w:top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620" w:type="dxa"/>
            <w:vAlign w:val="bottom"/>
            <w:tcBorders>
              <w:top w:val="single" w:sz="8" w:color="auto"/>
            </w:tcBorders>
            <w:shd w:val="clear" w:color="auto" w:fill="CCEEFF"/>
          </w:tcPr>
          <w:p>
            <w:pPr>
              <w:jc w:val="right"/>
              <w:ind w:right="33"/>
              <w:spacing w:after="0"/>
              <w:rPr>
                <w:sz w:val="20"/>
                <w:szCs w:val="20"/>
                <w:color w:val="auto"/>
              </w:rPr>
            </w:pPr>
            <w:r>
              <w:rPr>
                <w:rFonts w:ascii="Arial" w:cs="Arial" w:eastAsia="Arial" w:hAnsi="Arial"/>
                <w:sz w:val="18"/>
                <w:szCs w:val="18"/>
                <w:color w:val="auto"/>
              </w:rPr>
              <w:t>1,990</w:t>
            </w:r>
          </w:p>
        </w:tc>
        <w:tc>
          <w:tcPr>
            <w:tcW w:w="100" w:type="dxa"/>
            <w:vAlign w:val="bottom"/>
            <w:tcBorders>
              <w:top w:val="single" w:sz="8" w:color="CCEEFF"/>
            </w:tcBorders>
            <w:shd w:val="clear" w:color="auto" w:fill="CCEEFF"/>
          </w:tcPr>
          <w:p>
            <w:pPr>
              <w:spacing w:after="0"/>
              <w:rPr>
                <w:sz w:val="22"/>
                <w:szCs w:val="22"/>
                <w:color w:val="auto"/>
              </w:rPr>
            </w:pPr>
          </w:p>
        </w:tc>
        <w:tc>
          <w:tcPr>
            <w:tcW w:w="260" w:type="dxa"/>
            <w:vAlign w:val="bottom"/>
            <w:tcBorders>
              <w:top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1580" w:type="dxa"/>
            <w:vAlign w:val="bottom"/>
            <w:tcBorders>
              <w:top w:val="single" w:sz="8" w:color="auto"/>
            </w:tcBorders>
            <w:shd w:val="clear" w:color="auto" w:fill="CCEEFF"/>
          </w:tcPr>
          <w:p>
            <w:pPr>
              <w:jc w:val="right"/>
              <w:ind w:right="12"/>
              <w:spacing w:after="0"/>
              <w:rPr>
                <w:sz w:val="20"/>
                <w:szCs w:val="20"/>
                <w:color w:val="auto"/>
              </w:rPr>
            </w:pPr>
            <w:r>
              <w:rPr>
                <w:rFonts w:ascii="Arial" w:cs="Arial" w:eastAsia="Arial" w:hAnsi="Arial"/>
                <w:sz w:val="18"/>
                <w:szCs w:val="18"/>
                <w:color w:val="auto"/>
              </w:rPr>
              <w:t>153</w:t>
            </w:r>
          </w:p>
        </w:tc>
      </w:tr>
      <w:tr>
        <w:trPr>
          <w:trHeight w:val="263"/>
        </w:trPr>
        <w:tc>
          <w:tcPr>
            <w:tcW w:w="7640" w:type="dxa"/>
            <w:vAlign w:val="bottom"/>
          </w:tcPr>
          <w:p>
            <w:pPr>
              <w:ind w:left="40"/>
              <w:spacing w:after="0"/>
              <w:rPr>
                <w:sz w:val="20"/>
                <w:szCs w:val="20"/>
                <w:color w:val="auto"/>
              </w:rPr>
            </w:pPr>
            <w:r>
              <w:rPr>
                <w:rFonts w:ascii="Arial" w:cs="Arial" w:eastAsia="Arial" w:hAnsi="Arial"/>
                <w:sz w:val="18"/>
                <w:szCs w:val="18"/>
                <w:color w:val="auto"/>
              </w:rPr>
              <w:t>2021</w:t>
            </w:r>
          </w:p>
        </w:tc>
        <w:tc>
          <w:tcPr>
            <w:tcW w:w="220" w:type="dxa"/>
            <w:vAlign w:val="bottom"/>
          </w:tcPr>
          <w:p>
            <w:pPr>
              <w:spacing w:after="0"/>
              <w:rPr>
                <w:sz w:val="22"/>
                <w:szCs w:val="22"/>
                <w:color w:val="auto"/>
              </w:rPr>
            </w:pPr>
          </w:p>
        </w:tc>
        <w:tc>
          <w:tcPr>
            <w:tcW w:w="1620" w:type="dxa"/>
            <w:vAlign w:val="bottom"/>
          </w:tcPr>
          <w:p>
            <w:pPr>
              <w:jc w:val="right"/>
              <w:ind w:right="33"/>
              <w:spacing w:after="0"/>
              <w:rPr>
                <w:sz w:val="20"/>
                <w:szCs w:val="20"/>
                <w:color w:val="auto"/>
              </w:rPr>
            </w:pPr>
            <w:r>
              <w:rPr>
                <w:rFonts w:ascii="Arial" w:cs="Arial" w:eastAsia="Arial" w:hAnsi="Arial"/>
                <w:sz w:val="18"/>
                <w:szCs w:val="18"/>
                <w:color w:val="auto"/>
              </w:rPr>
              <w:t>1,817</w:t>
            </w:r>
          </w:p>
        </w:tc>
        <w:tc>
          <w:tcPr>
            <w:tcW w:w="10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1580" w:type="dxa"/>
            <w:vAlign w:val="bottom"/>
          </w:tcPr>
          <w:p>
            <w:pPr>
              <w:jc w:val="right"/>
              <w:ind w:right="12"/>
              <w:spacing w:after="0"/>
              <w:rPr>
                <w:sz w:val="20"/>
                <w:szCs w:val="20"/>
                <w:color w:val="auto"/>
              </w:rPr>
            </w:pPr>
            <w:r>
              <w:rPr>
                <w:rFonts w:ascii="Arial" w:cs="Arial" w:eastAsia="Arial" w:hAnsi="Arial"/>
                <w:sz w:val="18"/>
                <w:szCs w:val="18"/>
                <w:color w:val="auto"/>
              </w:rPr>
              <w:t>128</w:t>
            </w:r>
          </w:p>
        </w:tc>
      </w:tr>
      <w:tr>
        <w:trPr>
          <w:trHeight w:val="277"/>
        </w:trPr>
        <w:tc>
          <w:tcPr>
            <w:tcW w:w="7640" w:type="dxa"/>
            <w:vAlign w:val="bottom"/>
            <w:shd w:val="clear" w:color="auto" w:fill="CCEEFF"/>
          </w:tcPr>
          <w:p>
            <w:pPr>
              <w:ind w:left="40"/>
              <w:spacing w:after="0"/>
              <w:rPr>
                <w:sz w:val="20"/>
                <w:szCs w:val="20"/>
                <w:color w:val="auto"/>
              </w:rPr>
            </w:pPr>
            <w:r>
              <w:rPr>
                <w:rFonts w:ascii="Arial" w:cs="Arial" w:eastAsia="Arial" w:hAnsi="Arial"/>
                <w:sz w:val="18"/>
                <w:szCs w:val="18"/>
                <w:color w:val="auto"/>
              </w:rPr>
              <w:t>2022</w:t>
            </w:r>
          </w:p>
        </w:tc>
        <w:tc>
          <w:tcPr>
            <w:tcW w:w="220" w:type="dxa"/>
            <w:vAlign w:val="bottom"/>
            <w:shd w:val="clear" w:color="auto" w:fill="CCEEFF"/>
          </w:tcPr>
          <w:p>
            <w:pPr>
              <w:spacing w:after="0"/>
              <w:rPr>
                <w:sz w:val="24"/>
                <w:szCs w:val="24"/>
                <w:color w:val="auto"/>
              </w:rPr>
            </w:pPr>
          </w:p>
        </w:tc>
        <w:tc>
          <w:tcPr>
            <w:tcW w:w="1620" w:type="dxa"/>
            <w:vAlign w:val="bottom"/>
            <w:shd w:val="clear" w:color="auto" w:fill="CCEEFF"/>
          </w:tcPr>
          <w:p>
            <w:pPr>
              <w:jc w:val="right"/>
              <w:ind w:right="33"/>
              <w:spacing w:after="0"/>
              <w:rPr>
                <w:sz w:val="20"/>
                <w:szCs w:val="20"/>
                <w:color w:val="auto"/>
              </w:rPr>
            </w:pPr>
            <w:r>
              <w:rPr>
                <w:rFonts w:ascii="Arial" w:cs="Arial" w:eastAsia="Arial" w:hAnsi="Arial"/>
                <w:sz w:val="18"/>
                <w:szCs w:val="18"/>
                <w:color w:val="auto"/>
              </w:rPr>
              <w:t>1,620</w:t>
            </w:r>
          </w:p>
        </w:tc>
        <w:tc>
          <w:tcPr>
            <w:tcW w:w="100" w:type="dxa"/>
            <w:vAlign w:val="bottom"/>
            <w:shd w:val="clear" w:color="auto" w:fill="CCEEFF"/>
          </w:tcPr>
          <w:p>
            <w:pPr>
              <w:spacing w:after="0"/>
              <w:rPr>
                <w:sz w:val="24"/>
                <w:szCs w:val="24"/>
                <w:color w:val="auto"/>
              </w:rPr>
            </w:pPr>
          </w:p>
        </w:tc>
        <w:tc>
          <w:tcPr>
            <w:tcW w:w="260" w:type="dxa"/>
            <w:vAlign w:val="bottom"/>
            <w:shd w:val="clear" w:color="auto" w:fill="CCEEFF"/>
          </w:tcPr>
          <w:p>
            <w:pPr>
              <w:spacing w:after="0"/>
              <w:rPr>
                <w:sz w:val="24"/>
                <w:szCs w:val="24"/>
                <w:color w:val="auto"/>
              </w:rPr>
            </w:pPr>
          </w:p>
        </w:tc>
        <w:tc>
          <w:tcPr>
            <w:tcW w:w="158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132</w:t>
            </w:r>
          </w:p>
        </w:tc>
      </w:tr>
      <w:tr>
        <w:trPr>
          <w:trHeight w:val="263"/>
        </w:trPr>
        <w:tc>
          <w:tcPr>
            <w:tcW w:w="7640" w:type="dxa"/>
            <w:vAlign w:val="bottom"/>
          </w:tcPr>
          <w:p>
            <w:pPr>
              <w:ind w:left="40"/>
              <w:spacing w:after="0"/>
              <w:rPr>
                <w:sz w:val="20"/>
                <w:szCs w:val="20"/>
                <w:color w:val="auto"/>
              </w:rPr>
            </w:pPr>
            <w:r>
              <w:rPr>
                <w:rFonts w:ascii="Arial" w:cs="Arial" w:eastAsia="Arial" w:hAnsi="Arial"/>
                <w:sz w:val="18"/>
                <w:szCs w:val="18"/>
                <w:color w:val="auto"/>
              </w:rPr>
              <w:t>2023</w:t>
            </w:r>
          </w:p>
        </w:tc>
        <w:tc>
          <w:tcPr>
            <w:tcW w:w="220" w:type="dxa"/>
            <w:vAlign w:val="bottom"/>
          </w:tcPr>
          <w:p>
            <w:pPr>
              <w:spacing w:after="0"/>
              <w:rPr>
                <w:sz w:val="22"/>
                <w:szCs w:val="22"/>
                <w:color w:val="auto"/>
              </w:rPr>
            </w:pPr>
          </w:p>
        </w:tc>
        <w:tc>
          <w:tcPr>
            <w:tcW w:w="1620" w:type="dxa"/>
            <w:vAlign w:val="bottom"/>
          </w:tcPr>
          <w:p>
            <w:pPr>
              <w:jc w:val="right"/>
              <w:ind w:right="33"/>
              <w:spacing w:after="0"/>
              <w:rPr>
                <w:sz w:val="20"/>
                <w:szCs w:val="20"/>
                <w:color w:val="auto"/>
              </w:rPr>
            </w:pPr>
            <w:r>
              <w:rPr>
                <w:rFonts w:ascii="Arial" w:cs="Arial" w:eastAsia="Arial" w:hAnsi="Arial"/>
                <w:sz w:val="18"/>
                <w:szCs w:val="18"/>
                <w:color w:val="auto"/>
              </w:rPr>
              <w:t>1,429</w:t>
            </w:r>
          </w:p>
        </w:tc>
        <w:tc>
          <w:tcPr>
            <w:tcW w:w="10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1580" w:type="dxa"/>
            <w:vAlign w:val="bottom"/>
          </w:tcPr>
          <w:p>
            <w:pPr>
              <w:jc w:val="right"/>
              <w:ind w:right="12"/>
              <w:spacing w:after="0"/>
              <w:rPr>
                <w:sz w:val="20"/>
                <w:szCs w:val="20"/>
                <w:color w:val="auto"/>
              </w:rPr>
            </w:pPr>
            <w:r>
              <w:rPr>
                <w:rFonts w:ascii="Arial" w:cs="Arial" w:eastAsia="Arial" w:hAnsi="Arial"/>
                <w:sz w:val="18"/>
                <w:szCs w:val="18"/>
                <w:color w:val="auto"/>
              </w:rPr>
              <w:t>110</w:t>
            </w:r>
          </w:p>
        </w:tc>
      </w:tr>
      <w:tr>
        <w:trPr>
          <w:trHeight w:val="277"/>
        </w:trPr>
        <w:tc>
          <w:tcPr>
            <w:tcW w:w="7640" w:type="dxa"/>
            <w:vAlign w:val="bottom"/>
            <w:shd w:val="clear" w:color="auto" w:fill="CCEEFF"/>
          </w:tcPr>
          <w:p>
            <w:pPr>
              <w:ind w:left="40"/>
              <w:spacing w:after="0"/>
              <w:rPr>
                <w:sz w:val="20"/>
                <w:szCs w:val="20"/>
                <w:color w:val="auto"/>
              </w:rPr>
            </w:pPr>
            <w:r>
              <w:rPr>
                <w:rFonts w:ascii="Arial" w:cs="Arial" w:eastAsia="Arial" w:hAnsi="Arial"/>
                <w:sz w:val="18"/>
                <w:szCs w:val="18"/>
                <w:color w:val="auto"/>
              </w:rPr>
              <w:t>2024</w:t>
            </w:r>
          </w:p>
        </w:tc>
        <w:tc>
          <w:tcPr>
            <w:tcW w:w="220" w:type="dxa"/>
            <w:vAlign w:val="bottom"/>
            <w:shd w:val="clear" w:color="auto" w:fill="CCEEFF"/>
          </w:tcPr>
          <w:p>
            <w:pPr>
              <w:spacing w:after="0"/>
              <w:rPr>
                <w:sz w:val="24"/>
                <w:szCs w:val="24"/>
                <w:color w:val="auto"/>
              </w:rPr>
            </w:pPr>
          </w:p>
        </w:tc>
        <w:tc>
          <w:tcPr>
            <w:tcW w:w="1620" w:type="dxa"/>
            <w:vAlign w:val="bottom"/>
            <w:shd w:val="clear" w:color="auto" w:fill="CCEEFF"/>
          </w:tcPr>
          <w:p>
            <w:pPr>
              <w:jc w:val="right"/>
              <w:ind w:right="33"/>
              <w:spacing w:after="0"/>
              <w:rPr>
                <w:sz w:val="20"/>
                <w:szCs w:val="20"/>
                <w:color w:val="auto"/>
              </w:rPr>
            </w:pPr>
            <w:r>
              <w:rPr>
                <w:rFonts w:ascii="Arial" w:cs="Arial" w:eastAsia="Arial" w:hAnsi="Arial"/>
                <w:sz w:val="18"/>
                <w:szCs w:val="18"/>
                <w:color w:val="auto"/>
              </w:rPr>
              <w:t>1,030</w:t>
            </w:r>
          </w:p>
        </w:tc>
        <w:tc>
          <w:tcPr>
            <w:tcW w:w="100" w:type="dxa"/>
            <w:vAlign w:val="bottom"/>
            <w:shd w:val="clear" w:color="auto" w:fill="CCEEFF"/>
          </w:tcPr>
          <w:p>
            <w:pPr>
              <w:spacing w:after="0"/>
              <w:rPr>
                <w:sz w:val="24"/>
                <w:szCs w:val="24"/>
                <w:color w:val="auto"/>
              </w:rPr>
            </w:pPr>
          </w:p>
        </w:tc>
        <w:tc>
          <w:tcPr>
            <w:tcW w:w="260" w:type="dxa"/>
            <w:vAlign w:val="bottom"/>
            <w:shd w:val="clear" w:color="auto" w:fill="CCEEFF"/>
          </w:tcPr>
          <w:p>
            <w:pPr>
              <w:spacing w:after="0"/>
              <w:rPr>
                <w:sz w:val="24"/>
                <w:szCs w:val="24"/>
                <w:color w:val="auto"/>
              </w:rPr>
            </w:pPr>
          </w:p>
        </w:tc>
        <w:tc>
          <w:tcPr>
            <w:tcW w:w="158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116</w:t>
            </w:r>
          </w:p>
        </w:tc>
      </w:tr>
      <w:tr>
        <w:trPr>
          <w:trHeight w:val="264"/>
        </w:trPr>
        <w:tc>
          <w:tcPr>
            <w:tcW w:w="7640" w:type="dxa"/>
            <w:vAlign w:val="bottom"/>
            <w:tcBorders>
              <w:bottom w:val="single" w:sz="8" w:color="CCEEFF"/>
            </w:tcBorders>
          </w:tcPr>
          <w:p>
            <w:pPr>
              <w:ind w:left="40"/>
              <w:spacing w:after="0"/>
              <w:rPr>
                <w:sz w:val="20"/>
                <w:szCs w:val="20"/>
                <w:color w:val="auto"/>
              </w:rPr>
            </w:pPr>
            <w:r>
              <w:rPr>
                <w:rFonts w:ascii="Arial" w:cs="Arial" w:eastAsia="Arial" w:hAnsi="Arial"/>
                <w:sz w:val="18"/>
                <w:szCs w:val="18"/>
                <w:color w:val="auto"/>
              </w:rPr>
              <w:t>2025 and thereafter</w:t>
            </w:r>
          </w:p>
        </w:tc>
        <w:tc>
          <w:tcPr>
            <w:tcW w:w="220" w:type="dxa"/>
            <w:vAlign w:val="bottom"/>
            <w:tcBorders>
              <w:bottom w:val="single" w:sz="8" w:color="auto"/>
            </w:tcBorders>
          </w:tcPr>
          <w:p>
            <w:pPr>
              <w:spacing w:after="0"/>
              <w:rPr>
                <w:sz w:val="22"/>
                <w:szCs w:val="22"/>
                <w:color w:val="auto"/>
              </w:rPr>
            </w:pPr>
          </w:p>
        </w:tc>
        <w:tc>
          <w:tcPr>
            <w:tcW w:w="1620" w:type="dxa"/>
            <w:vAlign w:val="bottom"/>
            <w:tcBorders>
              <w:bottom w:val="single" w:sz="8" w:color="auto"/>
            </w:tcBorders>
          </w:tcPr>
          <w:p>
            <w:pPr>
              <w:jc w:val="right"/>
              <w:ind w:right="33"/>
              <w:spacing w:after="0"/>
              <w:rPr>
                <w:sz w:val="20"/>
                <w:szCs w:val="20"/>
                <w:color w:val="auto"/>
              </w:rPr>
            </w:pPr>
            <w:r>
              <w:rPr>
                <w:rFonts w:ascii="Arial" w:cs="Arial" w:eastAsia="Arial" w:hAnsi="Arial"/>
                <w:sz w:val="18"/>
                <w:szCs w:val="18"/>
                <w:color w:val="auto"/>
              </w:rPr>
              <w:t>3,276</w:t>
            </w:r>
          </w:p>
        </w:tc>
        <w:tc>
          <w:tcPr>
            <w:tcW w:w="100" w:type="dxa"/>
            <w:vAlign w:val="bottom"/>
            <w:tcBorders>
              <w:bottom w:val="single" w:sz="8" w:color="CCEEFF"/>
            </w:tcBorders>
          </w:tcPr>
          <w:p>
            <w:pPr>
              <w:spacing w:after="0"/>
              <w:rPr>
                <w:sz w:val="22"/>
                <w:szCs w:val="22"/>
                <w:color w:val="auto"/>
              </w:rPr>
            </w:pPr>
          </w:p>
        </w:tc>
        <w:tc>
          <w:tcPr>
            <w:tcW w:w="260" w:type="dxa"/>
            <w:vAlign w:val="bottom"/>
            <w:tcBorders>
              <w:bottom w:val="single" w:sz="8" w:color="auto"/>
            </w:tcBorders>
          </w:tcPr>
          <w:p>
            <w:pPr>
              <w:spacing w:after="0"/>
              <w:rPr>
                <w:sz w:val="22"/>
                <w:szCs w:val="22"/>
                <w:color w:val="auto"/>
              </w:rPr>
            </w:pPr>
          </w:p>
        </w:tc>
        <w:tc>
          <w:tcPr>
            <w:tcW w:w="1580" w:type="dxa"/>
            <w:vAlign w:val="bottom"/>
            <w:tcBorders>
              <w:bottom w:val="single" w:sz="8" w:color="auto"/>
            </w:tcBorders>
          </w:tcPr>
          <w:p>
            <w:pPr>
              <w:jc w:val="right"/>
              <w:ind w:right="12"/>
              <w:spacing w:after="0"/>
              <w:rPr>
                <w:sz w:val="20"/>
                <w:szCs w:val="20"/>
                <w:color w:val="auto"/>
              </w:rPr>
            </w:pPr>
            <w:r>
              <w:rPr>
                <w:rFonts w:ascii="Arial" w:cs="Arial" w:eastAsia="Arial" w:hAnsi="Arial"/>
                <w:sz w:val="18"/>
                <w:szCs w:val="18"/>
                <w:color w:val="auto"/>
              </w:rPr>
              <w:t>171</w:t>
            </w:r>
          </w:p>
        </w:tc>
      </w:tr>
      <w:tr>
        <w:trPr>
          <w:trHeight w:val="257"/>
        </w:trPr>
        <w:tc>
          <w:tcPr>
            <w:tcW w:w="7640" w:type="dxa"/>
            <w:vAlign w:val="bottom"/>
            <w:shd w:val="clear" w:color="auto" w:fill="CCEEFF"/>
          </w:tcPr>
          <w:p>
            <w:pPr>
              <w:ind w:left="180"/>
              <w:spacing w:after="0"/>
              <w:rPr>
                <w:sz w:val="20"/>
                <w:szCs w:val="20"/>
                <w:color w:val="auto"/>
              </w:rPr>
            </w:pPr>
            <w:r>
              <w:rPr>
                <w:rFonts w:ascii="Arial" w:cs="Arial" w:eastAsia="Arial" w:hAnsi="Arial"/>
                <w:sz w:val="18"/>
                <w:szCs w:val="18"/>
                <w:color w:val="auto"/>
              </w:rPr>
              <w:t>Total lease payments</w:t>
            </w:r>
          </w:p>
        </w:tc>
        <w:tc>
          <w:tcPr>
            <w:tcW w:w="220" w:type="dxa"/>
            <w:vAlign w:val="bottom"/>
            <w:shd w:val="clear" w:color="auto" w:fill="CCEEFF"/>
          </w:tcPr>
          <w:p>
            <w:pPr>
              <w:spacing w:after="0"/>
              <w:rPr>
                <w:sz w:val="22"/>
                <w:szCs w:val="22"/>
                <w:color w:val="auto"/>
              </w:rPr>
            </w:pPr>
          </w:p>
        </w:tc>
        <w:tc>
          <w:tcPr>
            <w:tcW w:w="1620" w:type="dxa"/>
            <w:vAlign w:val="bottom"/>
            <w:shd w:val="clear" w:color="auto" w:fill="CCEEFF"/>
          </w:tcPr>
          <w:p>
            <w:pPr>
              <w:jc w:val="right"/>
              <w:ind w:right="33"/>
              <w:spacing w:after="0"/>
              <w:rPr>
                <w:sz w:val="20"/>
                <w:szCs w:val="20"/>
                <w:color w:val="auto"/>
              </w:rPr>
            </w:pPr>
            <w:r>
              <w:rPr>
                <w:rFonts w:ascii="Arial" w:cs="Arial" w:eastAsia="Arial" w:hAnsi="Arial"/>
                <w:sz w:val="18"/>
                <w:szCs w:val="18"/>
                <w:color w:val="auto"/>
              </w:rPr>
              <w:t>11,162</w:t>
            </w:r>
          </w:p>
        </w:tc>
        <w:tc>
          <w:tcPr>
            <w:tcW w:w="100" w:type="dxa"/>
            <w:vAlign w:val="bottom"/>
            <w:shd w:val="clear" w:color="auto" w:fill="CCEEFF"/>
          </w:tcPr>
          <w:p>
            <w:pPr>
              <w:spacing w:after="0"/>
              <w:rPr>
                <w:sz w:val="22"/>
                <w:szCs w:val="22"/>
                <w:color w:val="auto"/>
              </w:rPr>
            </w:pPr>
          </w:p>
        </w:tc>
        <w:tc>
          <w:tcPr>
            <w:tcW w:w="260" w:type="dxa"/>
            <w:vAlign w:val="bottom"/>
            <w:shd w:val="clear" w:color="auto" w:fill="CCEEFF"/>
          </w:tcPr>
          <w:p>
            <w:pPr>
              <w:spacing w:after="0"/>
              <w:rPr>
                <w:sz w:val="22"/>
                <w:szCs w:val="22"/>
                <w:color w:val="auto"/>
              </w:rPr>
            </w:pPr>
          </w:p>
        </w:tc>
        <w:tc>
          <w:tcPr>
            <w:tcW w:w="158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810</w:t>
            </w:r>
          </w:p>
        </w:tc>
      </w:tr>
      <w:tr>
        <w:trPr>
          <w:trHeight w:val="264"/>
        </w:trPr>
        <w:tc>
          <w:tcPr>
            <w:tcW w:w="7640" w:type="dxa"/>
            <w:vAlign w:val="bottom"/>
            <w:tcBorders>
              <w:bottom w:val="single" w:sz="8" w:color="CCEEFF"/>
            </w:tcBorders>
          </w:tcPr>
          <w:p>
            <w:pPr>
              <w:ind w:left="40"/>
              <w:spacing w:after="0"/>
              <w:rPr>
                <w:sz w:val="20"/>
                <w:szCs w:val="20"/>
                <w:color w:val="auto"/>
              </w:rPr>
            </w:pPr>
            <w:r>
              <w:rPr>
                <w:rFonts w:ascii="Arial" w:cs="Arial" w:eastAsia="Arial" w:hAnsi="Arial"/>
                <w:sz w:val="18"/>
                <w:szCs w:val="18"/>
                <w:color w:val="auto"/>
              </w:rPr>
              <w:t>Less: Imputed interest</w:t>
            </w:r>
          </w:p>
        </w:tc>
        <w:tc>
          <w:tcPr>
            <w:tcW w:w="220" w:type="dxa"/>
            <w:vAlign w:val="bottom"/>
            <w:tcBorders>
              <w:bottom w:val="single" w:sz="8" w:color="auto"/>
            </w:tcBorders>
          </w:tcPr>
          <w:p>
            <w:pPr>
              <w:spacing w:after="0"/>
              <w:rPr>
                <w:sz w:val="22"/>
                <w:szCs w:val="22"/>
                <w:color w:val="auto"/>
              </w:rPr>
            </w:pPr>
          </w:p>
        </w:tc>
        <w:tc>
          <w:tcPr>
            <w:tcW w:w="16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(2,033)</w:t>
            </w:r>
          </w:p>
        </w:tc>
        <w:tc>
          <w:tcPr>
            <w:tcW w:w="100" w:type="dxa"/>
            <w:vAlign w:val="bottom"/>
            <w:tcBorders>
              <w:bottom w:val="single" w:sz="8" w:color="CCEEFF"/>
            </w:tcBorders>
          </w:tcPr>
          <w:p>
            <w:pPr>
              <w:spacing w:after="0"/>
              <w:rPr>
                <w:sz w:val="22"/>
                <w:szCs w:val="22"/>
                <w:color w:val="auto"/>
              </w:rPr>
            </w:pPr>
          </w:p>
        </w:tc>
        <w:tc>
          <w:tcPr>
            <w:tcW w:w="260" w:type="dxa"/>
            <w:vAlign w:val="bottom"/>
            <w:tcBorders>
              <w:bottom w:val="single" w:sz="8" w:color="auto"/>
            </w:tcBorders>
          </w:tcPr>
          <w:p>
            <w:pPr>
              <w:spacing w:after="0"/>
              <w:rPr>
                <w:sz w:val="22"/>
                <w:szCs w:val="22"/>
                <w:color w:val="auto"/>
              </w:rPr>
            </w:pPr>
          </w:p>
        </w:tc>
        <w:tc>
          <w:tcPr>
            <w:tcW w:w="15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(140)</w:t>
            </w:r>
          </w:p>
        </w:tc>
      </w:tr>
      <w:tr>
        <w:trPr>
          <w:trHeight w:val="257"/>
        </w:trPr>
        <w:tc>
          <w:tcPr>
            <w:tcW w:w="7640" w:type="dxa"/>
            <w:vAlign w:val="bottom"/>
            <w:shd w:val="clear" w:color="auto" w:fill="CCEEFF"/>
          </w:tcPr>
          <w:p>
            <w:pPr>
              <w:ind w:left="180"/>
              <w:spacing w:after="0"/>
              <w:rPr>
                <w:sz w:val="20"/>
                <w:szCs w:val="20"/>
                <w:color w:val="auto"/>
              </w:rPr>
            </w:pPr>
            <w:r>
              <w:rPr>
                <w:rFonts w:ascii="Arial" w:cs="Arial" w:eastAsia="Arial" w:hAnsi="Arial"/>
                <w:sz w:val="18"/>
                <w:szCs w:val="18"/>
                <w:color w:val="auto"/>
              </w:rPr>
              <w:t>Total lease obligations</w:t>
            </w:r>
          </w:p>
        </w:tc>
        <w:tc>
          <w:tcPr>
            <w:tcW w:w="220" w:type="dxa"/>
            <w:vAlign w:val="bottom"/>
            <w:shd w:val="clear" w:color="auto" w:fill="CCEEFF"/>
          </w:tcPr>
          <w:p>
            <w:pPr>
              <w:spacing w:after="0"/>
              <w:rPr>
                <w:sz w:val="22"/>
                <w:szCs w:val="22"/>
                <w:color w:val="auto"/>
              </w:rPr>
            </w:pPr>
          </w:p>
        </w:tc>
        <w:tc>
          <w:tcPr>
            <w:tcW w:w="1620" w:type="dxa"/>
            <w:vAlign w:val="bottom"/>
            <w:shd w:val="clear" w:color="auto" w:fill="CCEEFF"/>
          </w:tcPr>
          <w:p>
            <w:pPr>
              <w:jc w:val="right"/>
              <w:ind w:right="33"/>
              <w:spacing w:after="0"/>
              <w:rPr>
                <w:sz w:val="20"/>
                <w:szCs w:val="20"/>
                <w:color w:val="auto"/>
              </w:rPr>
            </w:pPr>
            <w:r>
              <w:rPr>
                <w:rFonts w:ascii="Arial" w:cs="Arial" w:eastAsia="Arial" w:hAnsi="Arial"/>
                <w:sz w:val="18"/>
                <w:szCs w:val="18"/>
                <w:color w:val="auto"/>
              </w:rPr>
              <w:t>9,129</w:t>
            </w:r>
          </w:p>
        </w:tc>
        <w:tc>
          <w:tcPr>
            <w:tcW w:w="100" w:type="dxa"/>
            <w:vAlign w:val="bottom"/>
            <w:shd w:val="clear" w:color="auto" w:fill="CCEEFF"/>
          </w:tcPr>
          <w:p>
            <w:pPr>
              <w:spacing w:after="0"/>
              <w:rPr>
                <w:sz w:val="22"/>
                <w:szCs w:val="22"/>
                <w:color w:val="auto"/>
              </w:rPr>
            </w:pPr>
          </w:p>
        </w:tc>
        <w:tc>
          <w:tcPr>
            <w:tcW w:w="260" w:type="dxa"/>
            <w:vAlign w:val="bottom"/>
            <w:shd w:val="clear" w:color="auto" w:fill="CCEEFF"/>
          </w:tcPr>
          <w:p>
            <w:pPr>
              <w:spacing w:after="0"/>
              <w:rPr>
                <w:sz w:val="22"/>
                <w:szCs w:val="22"/>
                <w:color w:val="auto"/>
              </w:rPr>
            </w:pPr>
          </w:p>
        </w:tc>
        <w:tc>
          <w:tcPr>
            <w:tcW w:w="158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670</w:t>
            </w:r>
          </w:p>
        </w:tc>
      </w:tr>
      <w:tr>
        <w:trPr>
          <w:trHeight w:val="264"/>
        </w:trPr>
        <w:tc>
          <w:tcPr>
            <w:tcW w:w="7640" w:type="dxa"/>
            <w:vAlign w:val="bottom"/>
            <w:tcBorders>
              <w:bottom w:val="single" w:sz="8" w:color="CCEEFF"/>
            </w:tcBorders>
          </w:tcPr>
          <w:p>
            <w:pPr>
              <w:ind w:left="40"/>
              <w:spacing w:after="0"/>
              <w:rPr>
                <w:sz w:val="20"/>
                <w:szCs w:val="20"/>
                <w:color w:val="auto"/>
              </w:rPr>
            </w:pPr>
            <w:r>
              <w:rPr>
                <w:rFonts w:ascii="Arial" w:cs="Arial" w:eastAsia="Arial" w:hAnsi="Arial"/>
                <w:sz w:val="18"/>
                <w:szCs w:val="18"/>
                <w:color w:val="auto"/>
              </w:rPr>
              <w:t>Less: Current obligations</w:t>
            </w:r>
          </w:p>
        </w:tc>
        <w:tc>
          <w:tcPr>
            <w:tcW w:w="220" w:type="dxa"/>
            <w:vAlign w:val="bottom"/>
            <w:tcBorders>
              <w:bottom w:val="single" w:sz="8" w:color="auto"/>
            </w:tcBorders>
          </w:tcPr>
          <w:p>
            <w:pPr>
              <w:spacing w:after="0"/>
              <w:rPr>
                <w:sz w:val="22"/>
                <w:szCs w:val="22"/>
                <w:color w:val="auto"/>
              </w:rPr>
            </w:pPr>
          </w:p>
        </w:tc>
        <w:tc>
          <w:tcPr>
            <w:tcW w:w="16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(1,708)</w:t>
            </w:r>
          </w:p>
        </w:tc>
        <w:tc>
          <w:tcPr>
            <w:tcW w:w="100" w:type="dxa"/>
            <w:vAlign w:val="bottom"/>
            <w:tcBorders>
              <w:bottom w:val="single" w:sz="8" w:color="CCEEFF"/>
            </w:tcBorders>
          </w:tcPr>
          <w:p>
            <w:pPr>
              <w:spacing w:after="0"/>
              <w:rPr>
                <w:sz w:val="22"/>
                <w:szCs w:val="22"/>
                <w:color w:val="auto"/>
              </w:rPr>
            </w:pPr>
          </w:p>
        </w:tc>
        <w:tc>
          <w:tcPr>
            <w:tcW w:w="260" w:type="dxa"/>
            <w:vAlign w:val="bottom"/>
            <w:tcBorders>
              <w:bottom w:val="single" w:sz="8" w:color="auto"/>
            </w:tcBorders>
          </w:tcPr>
          <w:p>
            <w:pPr>
              <w:spacing w:after="0"/>
              <w:rPr>
                <w:sz w:val="22"/>
                <w:szCs w:val="22"/>
                <w:color w:val="auto"/>
              </w:rPr>
            </w:pPr>
          </w:p>
        </w:tc>
        <w:tc>
          <w:tcPr>
            <w:tcW w:w="15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(112)</w:t>
            </w:r>
          </w:p>
        </w:tc>
      </w:tr>
      <w:tr>
        <w:trPr>
          <w:trHeight w:val="257"/>
        </w:trPr>
        <w:tc>
          <w:tcPr>
            <w:tcW w:w="764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Long-term lease obligations</w:t>
            </w:r>
          </w:p>
        </w:tc>
        <w:tc>
          <w:tcPr>
            <w:tcW w:w="22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620" w:type="dxa"/>
            <w:vAlign w:val="bottom"/>
            <w:tcBorders>
              <w:bottom w:val="single" w:sz="8" w:color="auto"/>
            </w:tcBorders>
            <w:shd w:val="clear" w:color="auto" w:fill="CCEEFF"/>
          </w:tcPr>
          <w:p>
            <w:pPr>
              <w:jc w:val="right"/>
              <w:ind w:right="33"/>
              <w:spacing w:after="0"/>
              <w:rPr>
                <w:sz w:val="20"/>
                <w:szCs w:val="20"/>
                <w:color w:val="auto"/>
              </w:rPr>
            </w:pPr>
            <w:r>
              <w:rPr>
                <w:rFonts w:ascii="Arial" w:cs="Arial" w:eastAsia="Arial" w:hAnsi="Arial"/>
                <w:sz w:val="18"/>
                <w:szCs w:val="18"/>
                <w:color w:val="auto"/>
              </w:rPr>
              <w:t>7,421</w:t>
            </w:r>
          </w:p>
        </w:tc>
        <w:tc>
          <w:tcPr>
            <w:tcW w:w="100" w:type="dxa"/>
            <w:vAlign w:val="bottom"/>
            <w:tcBorders>
              <w:bottom w:val="single" w:sz="8" w:color="CCEEFF"/>
            </w:tcBorders>
            <w:shd w:val="clear" w:color="auto" w:fill="CCEEFF"/>
          </w:tcPr>
          <w:p>
            <w:pPr>
              <w:spacing w:after="0"/>
              <w:rPr>
                <w:sz w:val="22"/>
                <w:szCs w:val="22"/>
                <w:color w:val="auto"/>
              </w:rPr>
            </w:pPr>
          </w:p>
        </w:tc>
        <w:tc>
          <w:tcPr>
            <w:tcW w:w="26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1580" w:type="dxa"/>
            <w:vAlign w:val="bottom"/>
            <w:tcBorders>
              <w:bottom w:val="single" w:sz="8" w:color="auto"/>
            </w:tcBorders>
            <w:shd w:val="clear" w:color="auto" w:fill="CCEEFF"/>
          </w:tcPr>
          <w:p>
            <w:pPr>
              <w:jc w:val="right"/>
              <w:ind w:right="12"/>
              <w:spacing w:after="0"/>
              <w:rPr>
                <w:sz w:val="20"/>
                <w:szCs w:val="20"/>
                <w:color w:val="auto"/>
              </w:rPr>
            </w:pPr>
            <w:r>
              <w:rPr>
                <w:rFonts w:ascii="Arial" w:cs="Arial" w:eastAsia="Arial" w:hAnsi="Arial"/>
                <w:sz w:val="18"/>
                <w:szCs w:val="18"/>
                <w:color w:val="auto"/>
              </w:rPr>
              <w:t>558</w:t>
            </w:r>
          </w:p>
        </w:tc>
      </w:tr>
      <w:tr>
        <w:trPr>
          <w:trHeight w:val="20"/>
        </w:trPr>
        <w:tc>
          <w:tcPr>
            <w:tcW w:w="764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6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580" w:type="dxa"/>
            <w:vAlign w:val="bottom"/>
            <w:tcBorders>
              <w:bottom w:val="single" w:sz="8" w:color="auto"/>
            </w:tcBorders>
          </w:tcPr>
          <w:p>
            <w:pPr>
              <w:spacing w:after="0" w:line="20" w:lineRule="exact"/>
              <w:rPr>
                <w:sz w:val="1"/>
                <w:szCs w:val="1"/>
                <w:color w:val="auto"/>
              </w:rPr>
            </w:pPr>
          </w:p>
        </w:tc>
      </w:tr>
    </w:tbl>
    <w:p>
      <w:pPr>
        <w:spacing w:after="0" w:line="377" w:lineRule="exact"/>
        <w:rPr>
          <w:sz w:val="20"/>
          <w:szCs w:val="20"/>
          <w:color w:val="auto"/>
        </w:rPr>
      </w:pPr>
    </w:p>
    <w:p>
      <w:pPr>
        <w:ind w:firstLine="243"/>
        <w:spacing w:after="0" w:line="262" w:lineRule="auto"/>
        <w:rPr>
          <w:sz w:val="20"/>
          <w:szCs w:val="20"/>
          <w:color w:val="auto"/>
        </w:rPr>
      </w:pPr>
      <w:r>
        <w:rPr>
          <w:rFonts w:ascii="Arial" w:cs="Arial" w:eastAsia="Arial" w:hAnsi="Arial"/>
          <w:sz w:val="18"/>
          <w:szCs w:val="18"/>
          <w:color w:val="auto"/>
        </w:rPr>
        <w:t>As of December 31, 2019, we have additional operating lease commitments that have not yet commenced of approximately $2.0 billion for 22 787-8 aircraft to be delivered in 2020 and 2021 with lease terms of 10 years.</w:t>
      </w:r>
    </w:p>
    <w:p>
      <w:pPr>
        <w:spacing w:after="0" w:line="3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93</w:t>
      </w:r>
    </w:p>
    <w:p>
      <w:pPr>
        <w:sectPr>
          <w:pgSz w:w="11900" w:h="16838" w:orient="portrait"/>
          <w:cols w:equalWidth="0" w:num="1">
            <w:col w:w="11420"/>
          </w:cols>
          <w:pgMar w:left="240" w:top="549" w:right="239" w:bottom="1440" w:gutter="0" w:footer="0" w:header="0"/>
        </w:sectPr>
      </w:pPr>
    </w:p>
    <w:bookmarkStart w:id="93" w:name="page94"/>
    <w:bookmarkEnd w:id="93"/>
    <w:p>
      <w:pPr>
        <w:jc w:val="center"/>
        <w:spacing w:after="0"/>
        <w:rPr>
          <w:sz w:val="20"/>
          <w:szCs w:val="20"/>
          <w:color w:val="auto"/>
        </w:rPr>
      </w:pPr>
      <w:r>
        <w:rPr>
          <w:rFonts w:ascii="Arial" w:cs="Arial" w:eastAsia="Arial" w:hAnsi="Arial"/>
          <w:sz w:val="18"/>
          <w:szCs w:val="18"/>
          <w:b w:val="1"/>
          <w:bCs w:val="1"/>
          <w:color w:val="auto"/>
        </w:rPr>
        <w:t>NOTES TO CONSOLIDATED FINANCIAL STATEMENTS OF AMERICAN AIRLINES GROUP INC.</w:t>
      </w:r>
    </w:p>
    <w:p>
      <w:pPr>
        <w:spacing w:after="0" w:line="200" w:lineRule="exact"/>
        <w:rPr>
          <w:sz w:val="20"/>
          <w:szCs w:val="20"/>
          <w:color w:val="auto"/>
        </w:rPr>
      </w:pPr>
    </w:p>
    <w:p>
      <w:pPr>
        <w:spacing w:after="0" w:line="26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7. Income Taxes</w:t>
      </w:r>
    </w:p>
    <w:p>
      <w:pPr>
        <w:spacing w:after="0" w:line="112" w:lineRule="exact"/>
        <w:rPr>
          <w:sz w:val="20"/>
          <w:szCs w:val="20"/>
          <w:color w:val="auto"/>
        </w:rPr>
      </w:pPr>
    </w:p>
    <w:p>
      <w:pPr>
        <w:ind w:left="220"/>
        <w:spacing w:after="0"/>
        <w:rPr>
          <w:sz w:val="20"/>
          <w:szCs w:val="20"/>
          <w:color w:val="auto"/>
        </w:rPr>
      </w:pPr>
      <w:r>
        <w:rPr>
          <w:rFonts w:ascii="Arial" w:cs="Arial" w:eastAsia="Arial" w:hAnsi="Arial"/>
          <w:sz w:val="18"/>
          <w:szCs w:val="18"/>
          <w:color w:val="auto"/>
        </w:rPr>
        <w:t>The significant components of the income tax provision were (in millions):</w:t>
      </w:r>
    </w:p>
    <w:p>
      <w:pPr>
        <w:spacing w:after="0" w:line="321" w:lineRule="exact"/>
        <w:rPr>
          <w:sz w:val="20"/>
          <w:szCs w:val="20"/>
          <w:color w:val="auto"/>
        </w:rPr>
      </w:pPr>
    </w:p>
    <w:tbl>
      <w:tblPr>
        <w:tblLayout w:type="fixed"/>
        <w:tblInd w:w="0" w:type="dxa"/>
        <w:tblCellMar>
          <w:top w:w="0" w:type="dxa"/>
          <w:left w:w="0" w:type="dxa"/>
          <w:bottom w:w="0" w:type="dxa"/>
          <w:right w:w="0" w:type="dxa"/>
        </w:tblCellMar>
      </w:tblPr>
      <w:tr>
        <w:trPr>
          <w:trHeight w:val="196"/>
        </w:trPr>
        <w:tc>
          <w:tcPr>
            <w:tcW w:w="6380" w:type="dxa"/>
            <w:vAlign w:val="bottom"/>
          </w:tcPr>
          <w:p>
            <w:pPr>
              <w:spacing w:after="0"/>
              <w:rPr>
                <w:sz w:val="17"/>
                <w:szCs w:val="17"/>
                <w:color w:val="auto"/>
              </w:rPr>
            </w:pPr>
          </w:p>
        </w:tc>
        <w:tc>
          <w:tcPr>
            <w:tcW w:w="1080" w:type="dxa"/>
            <w:vAlign w:val="bottom"/>
            <w:tcBorders>
              <w:bottom w:val="single" w:sz="8" w:color="auto"/>
            </w:tcBorders>
          </w:tcPr>
          <w:p>
            <w:pPr>
              <w:spacing w:after="0"/>
              <w:rPr>
                <w:sz w:val="17"/>
                <w:szCs w:val="17"/>
                <w:color w:val="auto"/>
              </w:rPr>
            </w:pPr>
          </w:p>
        </w:tc>
        <w:tc>
          <w:tcPr>
            <w:tcW w:w="520" w:type="dxa"/>
            <w:vAlign w:val="bottom"/>
            <w:tcBorders>
              <w:bottom w:val="single" w:sz="8" w:color="auto"/>
            </w:tcBorders>
          </w:tcPr>
          <w:p>
            <w:pPr>
              <w:spacing w:after="0"/>
              <w:rPr>
                <w:sz w:val="17"/>
                <w:szCs w:val="17"/>
                <w:color w:val="auto"/>
              </w:rPr>
            </w:pPr>
          </w:p>
        </w:tc>
        <w:tc>
          <w:tcPr>
            <w:tcW w:w="1840" w:type="dxa"/>
            <w:vAlign w:val="bottom"/>
            <w:tcBorders>
              <w:bottom w:val="single" w:sz="8" w:color="auto"/>
            </w:tcBorders>
            <w:gridSpan w:val="4"/>
          </w:tcPr>
          <w:p>
            <w:pPr>
              <w:ind w:left="60"/>
              <w:spacing w:after="0"/>
              <w:rPr>
                <w:sz w:val="20"/>
                <w:szCs w:val="20"/>
                <w:color w:val="auto"/>
              </w:rPr>
            </w:pPr>
            <w:r>
              <w:rPr>
                <w:rFonts w:ascii="Arial" w:cs="Arial" w:eastAsia="Arial" w:hAnsi="Arial"/>
                <w:sz w:val="14"/>
                <w:szCs w:val="14"/>
                <w:b w:val="1"/>
                <w:bCs w:val="1"/>
                <w:color w:val="auto"/>
              </w:rPr>
              <w:t>Year Ended December 31,</w:t>
            </w:r>
          </w:p>
        </w:tc>
        <w:tc>
          <w:tcPr>
            <w:tcW w:w="380" w:type="dxa"/>
            <w:vAlign w:val="bottom"/>
            <w:tcBorders>
              <w:bottom w:val="single" w:sz="8" w:color="auto"/>
            </w:tcBorders>
          </w:tcPr>
          <w:p>
            <w:pPr>
              <w:spacing w:after="0"/>
              <w:rPr>
                <w:sz w:val="17"/>
                <w:szCs w:val="17"/>
                <w:color w:val="auto"/>
              </w:rPr>
            </w:pPr>
          </w:p>
        </w:tc>
        <w:tc>
          <w:tcPr>
            <w:tcW w:w="1220" w:type="dxa"/>
            <w:vAlign w:val="bottom"/>
            <w:tcBorders>
              <w:bottom w:val="single" w:sz="8" w:color="auto"/>
            </w:tcBorders>
          </w:tcPr>
          <w:p>
            <w:pPr>
              <w:spacing w:after="0"/>
              <w:rPr>
                <w:sz w:val="17"/>
                <w:szCs w:val="17"/>
                <w:color w:val="auto"/>
              </w:rPr>
            </w:pPr>
          </w:p>
        </w:tc>
      </w:tr>
      <w:tr>
        <w:trPr>
          <w:trHeight w:val="264"/>
        </w:trPr>
        <w:tc>
          <w:tcPr>
            <w:tcW w:w="6380" w:type="dxa"/>
            <w:vAlign w:val="bottom"/>
            <w:tcBorders>
              <w:bottom w:val="single" w:sz="8" w:color="CCEEFF"/>
            </w:tcBorders>
          </w:tcPr>
          <w:p>
            <w:pPr>
              <w:spacing w:after="0"/>
              <w:rPr>
                <w:sz w:val="22"/>
                <w:szCs w:val="22"/>
                <w:color w:val="auto"/>
              </w:rPr>
            </w:pPr>
          </w:p>
        </w:tc>
        <w:tc>
          <w:tcPr>
            <w:tcW w:w="1080" w:type="dxa"/>
            <w:vAlign w:val="bottom"/>
            <w:tcBorders>
              <w:bottom w:val="single" w:sz="8" w:color="auto"/>
            </w:tcBorders>
          </w:tcPr>
          <w:p>
            <w:pPr>
              <w:jc w:val="right"/>
              <w:ind w:right="36"/>
              <w:spacing w:after="0"/>
              <w:rPr>
                <w:sz w:val="20"/>
                <w:szCs w:val="20"/>
                <w:color w:val="auto"/>
              </w:rPr>
            </w:pPr>
            <w:r>
              <w:rPr>
                <w:rFonts w:ascii="Arial" w:cs="Arial" w:eastAsia="Arial" w:hAnsi="Arial"/>
                <w:sz w:val="14"/>
                <w:szCs w:val="14"/>
                <w:b w:val="1"/>
                <w:bCs w:val="1"/>
                <w:color w:val="auto"/>
              </w:rPr>
              <w:t>2019</w:t>
            </w:r>
          </w:p>
        </w:tc>
        <w:tc>
          <w:tcPr>
            <w:tcW w:w="520" w:type="dxa"/>
            <w:vAlign w:val="bottom"/>
            <w:tcBorders>
              <w:bottom w:val="single" w:sz="8" w:color="auto"/>
            </w:tcBorders>
          </w:tcPr>
          <w:p>
            <w:pPr>
              <w:spacing w:after="0"/>
              <w:rPr>
                <w:sz w:val="22"/>
                <w:szCs w:val="22"/>
                <w:color w:val="auto"/>
              </w:rPr>
            </w:pPr>
          </w:p>
        </w:tc>
        <w:tc>
          <w:tcPr>
            <w:tcW w:w="120" w:type="dxa"/>
            <w:vAlign w:val="bottom"/>
            <w:tcBorders>
              <w:bottom w:val="single" w:sz="8" w:color="CCEEFF"/>
            </w:tcBorders>
          </w:tcPr>
          <w:p>
            <w:pPr>
              <w:spacing w:after="0"/>
              <w:rPr>
                <w:sz w:val="22"/>
                <w:szCs w:val="22"/>
                <w:color w:val="auto"/>
              </w:rPr>
            </w:pPr>
          </w:p>
        </w:tc>
        <w:tc>
          <w:tcPr>
            <w:tcW w:w="380" w:type="dxa"/>
            <w:vAlign w:val="bottom"/>
            <w:tcBorders>
              <w:bottom w:val="single" w:sz="8" w:color="auto"/>
            </w:tcBorders>
          </w:tcPr>
          <w:p>
            <w:pPr>
              <w:spacing w:after="0"/>
              <w:rPr>
                <w:sz w:val="22"/>
                <w:szCs w:val="22"/>
                <w:color w:val="auto"/>
              </w:rPr>
            </w:pPr>
          </w:p>
        </w:tc>
        <w:tc>
          <w:tcPr>
            <w:tcW w:w="1220" w:type="dxa"/>
            <w:vAlign w:val="bottom"/>
            <w:tcBorders>
              <w:bottom w:val="single" w:sz="8" w:color="auto"/>
            </w:tcBorders>
          </w:tcPr>
          <w:p>
            <w:pPr>
              <w:jc w:val="right"/>
              <w:ind w:right="552"/>
              <w:spacing w:after="0"/>
              <w:rPr>
                <w:sz w:val="20"/>
                <w:szCs w:val="20"/>
                <w:color w:val="auto"/>
              </w:rPr>
            </w:pPr>
            <w:r>
              <w:rPr>
                <w:rFonts w:ascii="Arial" w:cs="Arial" w:eastAsia="Arial" w:hAnsi="Arial"/>
                <w:sz w:val="14"/>
                <w:szCs w:val="14"/>
                <w:b w:val="1"/>
                <w:bCs w:val="1"/>
                <w:color w:val="auto"/>
              </w:rPr>
              <w:t>2018</w:t>
            </w:r>
          </w:p>
        </w:tc>
        <w:tc>
          <w:tcPr>
            <w:tcW w:w="120" w:type="dxa"/>
            <w:vAlign w:val="bottom"/>
            <w:tcBorders>
              <w:bottom w:val="single" w:sz="8" w:color="CCEEFF"/>
            </w:tcBorders>
          </w:tcPr>
          <w:p>
            <w:pPr>
              <w:spacing w:after="0"/>
              <w:rPr>
                <w:sz w:val="22"/>
                <w:szCs w:val="22"/>
                <w:color w:val="auto"/>
              </w:rPr>
            </w:pPr>
          </w:p>
        </w:tc>
        <w:tc>
          <w:tcPr>
            <w:tcW w:w="380" w:type="dxa"/>
            <w:vAlign w:val="bottom"/>
            <w:tcBorders>
              <w:bottom w:val="single" w:sz="8" w:color="auto"/>
            </w:tcBorders>
          </w:tcPr>
          <w:p>
            <w:pPr>
              <w:spacing w:after="0"/>
              <w:rPr>
                <w:sz w:val="22"/>
                <w:szCs w:val="22"/>
                <w:color w:val="auto"/>
              </w:rPr>
            </w:pPr>
          </w:p>
        </w:tc>
        <w:tc>
          <w:tcPr>
            <w:tcW w:w="1220" w:type="dxa"/>
            <w:vAlign w:val="bottom"/>
            <w:tcBorders>
              <w:bottom w:val="single" w:sz="8" w:color="auto"/>
            </w:tcBorders>
          </w:tcPr>
          <w:p>
            <w:pPr>
              <w:jc w:val="right"/>
              <w:ind w:right="552"/>
              <w:spacing w:after="0"/>
              <w:rPr>
                <w:sz w:val="20"/>
                <w:szCs w:val="20"/>
                <w:color w:val="auto"/>
              </w:rPr>
            </w:pPr>
            <w:r>
              <w:rPr>
                <w:rFonts w:ascii="Arial" w:cs="Arial" w:eastAsia="Arial" w:hAnsi="Arial"/>
                <w:sz w:val="14"/>
                <w:szCs w:val="14"/>
                <w:b w:val="1"/>
                <w:bCs w:val="1"/>
                <w:color w:val="auto"/>
              </w:rPr>
              <w:t>2017</w:t>
            </w:r>
          </w:p>
        </w:tc>
      </w:tr>
      <w:tr>
        <w:trPr>
          <w:trHeight w:val="250"/>
        </w:trPr>
        <w:tc>
          <w:tcPr>
            <w:tcW w:w="63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Current income tax provision:</w:t>
            </w:r>
          </w:p>
        </w:tc>
        <w:tc>
          <w:tcPr>
            <w:tcW w:w="1080" w:type="dxa"/>
            <w:vAlign w:val="bottom"/>
            <w:tcBorders>
              <w:bottom w:val="single" w:sz="8" w:color="CCEEFF"/>
            </w:tcBorders>
            <w:shd w:val="clear" w:color="auto" w:fill="CCEEFF"/>
          </w:tcPr>
          <w:p>
            <w:pPr>
              <w:spacing w:after="0"/>
              <w:rPr>
                <w:sz w:val="21"/>
                <w:szCs w:val="21"/>
                <w:color w:val="auto"/>
              </w:rPr>
            </w:pPr>
          </w:p>
        </w:tc>
        <w:tc>
          <w:tcPr>
            <w:tcW w:w="5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spacing w:after="0"/>
              <w:rPr>
                <w:sz w:val="21"/>
                <w:szCs w:val="21"/>
                <w:color w:val="auto"/>
              </w:rPr>
            </w:pPr>
          </w:p>
        </w:tc>
      </w:tr>
      <w:tr>
        <w:trPr>
          <w:trHeight w:val="263"/>
        </w:trPr>
        <w:tc>
          <w:tcPr>
            <w:tcW w:w="6380" w:type="dxa"/>
            <w:vAlign w:val="bottom"/>
          </w:tcPr>
          <w:p>
            <w:pPr>
              <w:ind w:left="180"/>
              <w:spacing w:after="0"/>
              <w:rPr>
                <w:sz w:val="20"/>
                <w:szCs w:val="20"/>
                <w:color w:val="auto"/>
              </w:rPr>
            </w:pPr>
            <w:r>
              <w:rPr>
                <w:rFonts w:ascii="Arial" w:cs="Arial" w:eastAsia="Arial" w:hAnsi="Arial"/>
                <w:sz w:val="18"/>
                <w:szCs w:val="18"/>
                <w:color w:val="auto"/>
              </w:rPr>
              <w:t>State and Local</w:t>
            </w:r>
          </w:p>
        </w:tc>
        <w:tc>
          <w:tcPr>
            <w:tcW w:w="1080" w:type="dxa"/>
            <w:vAlign w:val="bottom"/>
          </w:tcPr>
          <w:p>
            <w:pPr>
              <w:jc w:val="right"/>
              <w:ind w:right="876"/>
              <w:spacing w:after="0"/>
              <w:rPr>
                <w:sz w:val="20"/>
                <w:szCs w:val="20"/>
                <w:color w:val="auto"/>
              </w:rPr>
            </w:pPr>
            <w:r>
              <w:rPr>
                <w:rFonts w:ascii="Arial" w:cs="Arial" w:eastAsia="Arial" w:hAnsi="Arial"/>
                <w:sz w:val="18"/>
                <w:szCs w:val="18"/>
                <w:color w:val="auto"/>
                <w:w w:val="99"/>
              </w:rPr>
              <w:t>$</w:t>
            </w:r>
          </w:p>
        </w:tc>
        <w:tc>
          <w:tcPr>
            <w:tcW w:w="520" w:type="dxa"/>
            <w:vAlign w:val="bottom"/>
          </w:tcPr>
          <w:p>
            <w:pPr>
              <w:jc w:val="right"/>
              <w:ind w:right="10"/>
              <w:spacing w:after="0"/>
              <w:rPr>
                <w:sz w:val="20"/>
                <w:szCs w:val="20"/>
                <w:color w:val="auto"/>
              </w:rPr>
            </w:pPr>
            <w:r>
              <w:rPr>
                <w:rFonts w:ascii="Arial" w:cs="Arial" w:eastAsia="Arial" w:hAnsi="Arial"/>
                <w:sz w:val="18"/>
                <w:szCs w:val="18"/>
                <w:color w:val="auto"/>
              </w:rPr>
              <w:t>2</w:t>
            </w:r>
          </w:p>
        </w:tc>
        <w:tc>
          <w:tcPr>
            <w:tcW w:w="50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1220" w:type="dxa"/>
            <w:vAlign w:val="bottom"/>
          </w:tcPr>
          <w:p>
            <w:pPr>
              <w:jc w:val="right"/>
              <w:ind w:right="12"/>
              <w:spacing w:after="0"/>
              <w:rPr>
                <w:sz w:val="20"/>
                <w:szCs w:val="20"/>
                <w:color w:val="auto"/>
              </w:rPr>
            </w:pPr>
            <w:r>
              <w:rPr>
                <w:rFonts w:ascii="Arial" w:cs="Arial" w:eastAsia="Arial" w:hAnsi="Arial"/>
                <w:sz w:val="18"/>
                <w:szCs w:val="18"/>
                <w:color w:val="auto"/>
              </w:rPr>
              <w:t>3</w:t>
            </w:r>
          </w:p>
        </w:tc>
        <w:tc>
          <w:tcPr>
            <w:tcW w:w="120" w:type="dxa"/>
            <w:vAlign w:val="bottom"/>
          </w:tcPr>
          <w:p>
            <w:pPr>
              <w:spacing w:after="0"/>
              <w:rPr>
                <w:sz w:val="22"/>
                <w:szCs w:val="22"/>
                <w:color w:val="auto"/>
              </w:rPr>
            </w:pPr>
          </w:p>
        </w:tc>
        <w:tc>
          <w:tcPr>
            <w:tcW w:w="380" w:type="dxa"/>
            <w:vAlign w:val="bottom"/>
          </w:tcPr>
          <w:p>
            <w:pPr>
              <w:jc w:val="right"/>
              <w:ind w:right="170"/>
              <w:spacing w:after="0"/>
              <w:rPr>
                <w:sz w:val="20"/>
                <w:szCs w:val="20"/>
                <w:color w:val="auto"/>
              </w:rPr>
            </w:pPr>
            <w:r>
              <w:rPr>
                <w:rFonts w:ascii="Arial" w:cs="Arial" w:eastAsia="Arial" w:hAnsi="Arial"/>
                <w:sz w:val="18"/>
                <w:szCs w:val="18"/>
                <w:color w:val="auto"/>
                <w:w w:val="99"/>
              </w:rPr>
              <w:t>$</w:t>
            </w:r>
          </w:p>
        </w:tc>
        <w:tc>
          <w:tcPr>
            <w:tcW w:w="1220" w:type="dxa"/>
            <w:vAlign w:val="bottom"/>
          </w:tcPr>
          <w:p>
            <w:pPr>
              <w:jc w:val="right"/>
              <w:ind w:right="12"/>
              <w:spacing w:after="0"/>
              <w:rPr>
                <w:sz w:val="20"/>
                <w:szCs w:val="20"/>
                <w:color w:val="auto"/>
              </w:rPr>
            </w:pPr>
            <w:r>
              <w:rPr>
                <w:rFonts w:ascii="Arial" w:cs="Arial" w:eastAsia="Arial" w:hAnsi="Arial"/>
                <w:sz w:val="18"/>
                <w:szCs w:val="18"/>
                <w:color w:val="auto"/>
              </w:rPr>
              <w:t>10</w:t>
            </w:r>
          </w:p>
        </w:tc>
      </w:tr>
      <w:tr>
        <w:trPr>
          <w:trHeight w:val="277"/>
        </w:trPr>
        <w:tc>
          <w:tcPr>
            <w:tcW w:w="6380" w:type="dxa"/>
            <w:vAlign w:val="bottom"/>
            <w:shd w:val="clear" w:color="auto" w:fill="CCEEFF"/>
          </w:tcPr>
          <w:p>
            <w:pPr>
              <w:ind w:left="180"/>
              <w:spacing w:after="0"/>
              <w:rPr>
                <w:sz w:val="20"/>
                <w:szCs w:val="20"/>
                <w:color w:val="auto"/>
              </w:rPr>
            </w:pPr>
            <w:r>
              <w:rPr>
                <w:rFonts w:ascii="Arial" w:cs="Arial" w:eastAsia="Arial" w:hAnsi="Arial"/>
                <w:sz w:val="18"/>
                <w:szCs w:val="18"/>
                <w:color w:val="auto"/>
              </w:rPr>
              <w:t>Foreign</w:t>
            </w:r>
          </w:p>
        </w:tc>
        <w:tc>
          <w:tcPr>
            <w:tcW w:w="1080" w:type="dxa"/>
            <w:vAlign w:val="bottom"/>
            <w:tcBorders>
              <w:bottom w:val="single" w:sz="8" w:color="auto"/>
            </w:tcBorders>
            <w:shd w:val="clear" w:color="auto" w:fill="CCEEFF"/>
          </w:tcPr>
          <w:p>
            <w:pPr>
              <w:spacing w:after="0"/>
              <w:rPr>
                <w:sz w:val="24"/>
                <w:szCs w:val="24"/>
                <w:color w:val="auto"/>
              </w:rPr>
            </w:pPr>
          </w:p>
        </w:tc>
        <w:tc>
          <w:tcPr>
            <w:tcW w:w="52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8</w:t>
            </w:r>
          </w:p>
        </w:tc>
        <w:tc>
          <w:tcPr>
            <w:tcW w:w="120" w:type="dxa"/>
            <w:vAlign w:val="bottom"/>
            <w:shd w:val="clear" w:color="auto" w:fill="CCEEFF"/>
          </w:tcPr>
          <w:p>
            <w:pPr>
              <w:spacing w:after="0"/>
              <w:rPr>
                <w:sz w:val="24"/>
                <w:szCs w:val="24"/>
                <w:color w:val="auto"/>
              </w:rPr>
            </w:pPr>
          </w:p>
        </w:tc>
        <w:tc>
          <w:tcPr>
            <w:tcW w:w="380" w:type="dxa"/>
            <w:vAlign w:val="bottom"/>
            <w:tcBorders>
              <w:bottom w:val="single" w:sz="8" w:color="auto"/>
            </w:tcBorders>
            <w:shd w:val="clear" w:color="auto" w:fill="CCEEFF"/>
          </w:tcPr>
          <w:p>
            <w:pPr>
              <w:spacing w:after="0"/>
              <w:rPr>
                <w:sz w:val="24"/>
                <w:szCs w:val="24"/>
                <w:color w:val="auto"/>
              </w:rPr>
            </w:pPr>
          </w:p>
        </w:tc>
        <w:tc>
          <w:tcPr>
            <w:tcW w:w="1220" w:type="dxa"/>
            <w:vAlign w:val="bottom"/>
            <w:tcBorders>
              <w:bottom w:val="single" w:sz="8" w:color="auto"/>
            </w:tcBorders>
            <w:shd w:val="clear" w:color="auto" w:fill="CCEEFF"/>
          </w:tcPr>
          <w:p>
            <w:pPr>
              <w:jc w:val="right"/>
              <w:ind w:right="12"/>
              <w:spacing w:after="0"/>
              <w:rPr>
                <w:sz w:val="20"/>
                <w:szCs w:val="20"/>
                <w:color w:val="auto"/>
              </w:rPr>
            </w:pPr>
            <w:r>
              <w:rPr>
                <w:rFonts w:ascii="Arial" w:cs="Arial" w:eastAsia="Arial" w:hAnsi="Arial"/>
                <w:sz w:val="18"/>
                <w:szCs w:val="18"/>
                <w:color w:val="auto"/>
              </w:rPr>
              <w:t>29</w:t>
            </w:r>
          </w:p>
        </w:tc>
        <w:tc>
          <w:tcPr>
            <w:tcW w:w="120" w:type="dxa"/>
            <w:vAlign w:val="bottom"/>
            <w:shd w:val="clear" w:color="auto" w:fill="CCEEFF"/>
          </w:tcPr>
          <w:p>
            <w:pPr>
              <w:spacing w:after="0"/>
              <w:rPr>
                <w:sz w:val="24"/>
                <w:szCs w:val="24"/>
                <w:color w:val="auto"/>
              </w:rPr>
            </w:pPr>
          </w:p>
        </w:tc>
        <w:tc>
          <w:tcPr>
            <w:tcW w:w="380" w:type="dxa"/>
            <w:vAlign w:val="bottom"/>
            <w:tcBorders>
              <w:bottom w:val="single" w:sz="8" w:color="auto"/>
            </w:tcBorders>
            <w:shd w:val="clear" w:color="auto" w:fill="CCEEFF"/>
          </w:tcPr>
          <w:p>
            <w:pPr>
              <w:spacing w:after="0"/>
              <w:rPr>
                <w:sz w:val="24"/>
                <w:szCs w:val="24"/>
                <w:color w:val="auto"/>
              </w:rPr>
            </w:pPr>
          </w:p>
        </w:tc>
        <w:tc>
          <w:tcPr>
            <w:tcW w:w="1220" w:type="dxa"/>
            <w:vAlign w:val="bottom"/>
            <w:tcBorders>
              <w:bottom w:val="single" w:sz="8" w:color="auto"/>
            </w:tcBorders>
            <w:shd w:val="clear" w:color="auto" w:fill="CCEEFF"/>
          </w:tcPr>
          <w:p>
            <w:pPr>
              <w:jc w:val="right"/>
              <w:ind w:right="12"/>
              <w:spacing w:after="0"/>
              <w:rPr>
                <w:sz w:val="20"/>
                <w:szCs w:val="20"/>
                <w:color w:val="auto"/>
              </w:rPr>
            </w:pPr>
            <w:r>
              <w:rPr>
                <w:rFonts w:ascii="Arial" w:cs="Arial" w:eastAsia="Arial" w:hAnsi="Arial"/>
                <w:sz w:val="18"/>
                <w:szCs w:val="18"/>
                <w:color w:val="auto"/>
              </w:rPr>
              <w:t>14</w:t>
            </w:r>
          </w:p>
        </w:tc>
      </w:tr>
      <w:tr>
        <w:trPr>
          <w:trHeight w:val="244"/>
        </w:trPr>
        <w:tc>
          <w:tcPr>
            <w:tcW w:w="6380" w:type="dxa"/>
            <w:vAlign w:val="bottom"/>
            <w:tcBorders>
              <w:bottom w:val="single" w:sz="8" w:color="CCEEFF"/>
            </w:tcBorders>
          </w:tcPr>
          <w:p>
            <w:pPr>
              <w:ind w:left="380"/>
              <w:spacing w:after="0"/>
              <w:rPr>
                <w:sz w:val="20"/>
                <w:szCs w:val="20"/>
                <w:color w:val="auto"/>
              </w:rPr>
            </w:pPr>
            <w:r>
              <w:rPr>
                <w:rFonts w:ascii="Arial" w:cs="Arial" w:eastAsia="Arial" w:hAnsi="Arial"/>
                <w:sz w:val="18"/>
                <w:szCs w:val="18"/>
                <w:color w:val="auto"/>
              </w:rPr>
              <w:t>Current income tax provision</w:t>
            </w:r>
          </w:p>
        </w:tc>
        <w:tc>
          <w:tcPr>
            <w:tcW w:w="1080" w:type="dxa"/>
            <w:vAlign w:val="bottom"/>
            <w:tcBorders>
              <w:bottom w:val="single" w:sz="8" w:color="auto"/>
            </w:tcBorders>
          </w:tcPr>
          <w:p>
            <w:pPr>
              <w:spacing w:after="0"/>
              <w:rPr>
                <w:sz w:val="21"/>
                <w:szCs w:val="21"/>
                <w:color w:val="auto"/>
              </w:rPr>
            </w:pPr>
          </w:p>
        </w:tc>
        <w:tc>
          <w:tcPr>
            <w:tcW w:w="52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10</w:t>
            </w:r>
          </w:p>
        </w:tc>
        <w:tc>
          <w:tcPr>
            <w:tcW w:w="120" w:type="dxa"/>
            <w:vAlign w:val="bottom"/>
            <w:tcBorders>
              <w:bottom w:val="single" w:sz="8" w:color="CCEEFF"/>
            </w:tcBorders>
          </w:tcPr>
          <w:p>
            <w:pPr>
              <w:spacing w:after="0"/>
              <w:rPr>
                <w:sz w:val="21"/>
                <w:szCs w:val="21"/>
                <w:color w:val="auto"/>
              </w:rPr>
            </w:pPr>
          </w:p>
        </w:tc>
        <w:tc>
          <w:tcPr>
            <w:tcW w:w="380" w:type="dxa"/>
            <w:vAlign w:val="bottom"/>
            <w:tcBorders>
              <w:bottom w:val="single" w:sz="8" w:color="auto"/>
            </w:tcBorders>
          </w:tcPr>
          <w:p>
            <w:pPr>
              <w:spacing w:after="0"/>
              <w:rPr>
                <w:sz w:val="21"/>
                <w:szCs w:val="21"/>
                <w:color w:val="auto"/>
              </w:rPr>
            </w:pPr>
          </w:p>
        </w:tc>
        <w:tc>
          <w:tcPr>
            <w:tcW w:w="1220" w:type="dxa"/>
            <w:vAlign w:val="bottom"/>
            <w:tcBorders>
              <w:bottom w:val="single" w:sz="8" w:color="auto"/>
            </w:tcBorders>
          </w:tcPr>
          <w:p>
            <w:pPr>
              <w:jc w:val="right"/>
              <w:ind w:right="12"/>
              <w:spacing w:after="0"/>
              <w:rPr>
                <w:sz w:val="20"/>
                <w:szCs w:val="20"/>
                <w:color w:val="auto"/>
              </w:rPr>
            </w:pPr>
            <w:r>
              <w:rPr>
                <w:rFonts w:ascii="Arial" w:cs="Arial" w:eastAsia="Arial" w:hAnsi="Arial"/>
                <w:sz w:val="18"/>
                <w:szCs w:val="18"/>
                <w:color w:val="auto"/>
              </w:rPr>
              <w:t>32</w:t>
            </w:r>
          </w:p>
        </w:tc>
        <w:tc>
          <w:tcPr>
            <w:tcW w:w="120" w:type="dxa"/>
            <w:vAlign w:val="bottom"/>
            <w:tcBorders>
              <w:bottom w:val="single" w:sz="8" w:color="CCEEFF"/>
            </w:tcBorders>
          </w:tcPr>
          <w:p>
            <w:pPr>
              <w:spacing w:after="0"/>
              <w:rPr>
                <w:sz w:val="21"/>
                <w:szCs w:val="21"/>
                <w:color w:val="auto"/>
              </w:rPr>
            </w:pPr>
          </w:p>
        </w:tc>
        <w:tc>
          <w:tcPr>
            <w:tcW w:w="380" w:type="dxa"/>
            <w:vAlign w:val="bottom"/>
            <w:tcBorders>
              <w:bottom w:val="single" w:sz="8" w:color="auto"/>
            </w:tcBorders>
          </w:tcPr>
          <w:p>
            <w:pPr>
              <w:spacing w:after="0"/>
              <w:rPr>
                <w:sz w:val="21"/>
                <w:szCs w:val="21"/>
                <w:color w:val="auto"/>
              </w:rPr>
            </w:pPr>
          </w:p>
        </w:tc>
        <w:tc>
          <w:tcPr>
            <w:tcW w:w="1220" w:type="dxa"/>
            <w:vAlign w:val="bottom"/>
            <w:tcBorders>
              <w:bottom w:val="single" w:sz="8" w:color="auto"/>
            </w:tcBorders>
          </w:tcPr>
          <w:p>
            <w:pPr>
              <w:jc w:val="right"/>
              <w:ind w:right="12"/>
              <w:spacing w:after="0"/>
              <w:rPr>
                <w:sz w:val="20"/>
                <w:szCs w:val="20"/>
                <w:color w:val="auto"/>
              </w:rPr>
            </w:pPr>
            <w:r>
              <w:rPr>
                <w:rFonts w:ascii="Arial" w:cs="Arial" w:eastAsia="Arial" w:hAnsi="Arial"/>
                <w:sz w:val="18"/>
                <w:szCs w:val="18"/>
                <w:color w:val="auto"/>
              </w:rPr>
              <w:t>24</w:t>
            </w:r>
          </w:p>
        </w:tc>
      </w:tr>
      <w:tr>
        <w:trPr>
          <w:trHeight w:val="250"/>
        </w:trPr>
        <w:tc>
          <w:tcPr>
            <w:tcW w:w="63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Deferred income tax provision:</w:t>
            </w:r>
          </w:p>
        </w:tc>
        <w:tc>
          <w:tcPr>
            <w:tcW w:w="1080" w:type="dxa"/>
            <w:vAlign w:val="bottom"/>
            <w:tcBorders>
              <w:bottom w:val="single" w:sz="8" w:color="CCEEFF"/>
            </w:tcBorders>
            <w:shd w:val="clear" w:color="auto" w:fill="CCEEFF"/>
          </w:tcPr>
          <w:p>
            <w:pPr>
              <w:spacing w:after="0"/>
              <w:rPr>
                <w:sz w:val="21"/>
                <w:szCs w:val="21"/>
                <w:color w:val="auto"/>
              </w:rPr>
            </w:pPr>
          </w:p>
        </w:tc>
        <w:tc>
          <w:tcPr>
            <w:tcW w:w="5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spacing w:after="0"/>
              <w:rPr>
                <w:sz w:val="21"/>
                <w:szCs w:val="21"/>
                <w:color w:val="auto"/>
              </w:rPr>
            </w:pPr>
          </w:p>
        </w:tc>
      </w:tr>
      <w:tr>
        <w:trPr>
          <w:trHeight w:val="263"/>
        </w:trPr>
        <w:tc>
          <w:tcPr>
            <w:tcW w:w="6380" w:type="dxa"/>
            <w:vAlign w:val="bottom"/>
          </w:tcPr>
          <w:p>
            <w:pPr>
              <w:ind w:left="180"/>
              <w:spacing w:after="0"/>
              <w:rPr>
                <w:sz w:val="20"/>
                <w:szCs w:val="20"/>
                <w:color w:val="auto"/>
              </w:rPr>
            </w:pPr>
            <w:r>
              <w:rPr>
                <w:rFonts w:ascii="Arial" w:cs="Arial" w:eastAsia="Arial" w:hAnsi="Arial"/>
                <w:sz w:val="18"/>
                <w:szCs w:val="18"/>
                <w:color w:val="auto"/>
              </w:rPr>
              <w:t>Federal</w:t>
            </w:r>
          </w:p>
        </w:tc>
        <w:tc>
          <w:tcPr>
            <w:tcW w:w="1080" w:type="dxa"/>
            <w:vAlign w:val="bottom"/>
          </w:tcPr>
          <w:p>
            <w:pPr>
              <w:spacing w:after="0"/>
              <w:rPr>
                <w:sz w:val="22"/>
                <w:szCs w:val="22"/>
                <w:color w:val="auto"/>
              </w:rPr>
            </w:pPr>
          </w:p>
        </w:tc>
        <w:tc>
          <w:tcPr>
            <w:tcW w:w="520" w:type="dxa"/>
            <w:vAlign w:val="bottom"/>
          </w:tcPr>
          <w:p>
            <w:pPr>
              <w:jc w:val="right"/>
              <w:ind w:right="10"/>
              <w:spacing w:after="0"/>
              <w:rPr>
                <w:sz w:val="20"/>
                <w:szCs w:val="20"/>
                <w:color w:val="auto"/>
              </w:rPr>
            </w:pPr>
            <w:r>
              <w:rPr>
                <w:rFonts w:ascii="Arial" w:cs="Arial" w:eastAsia="Arial" w:hAnsi="Arial"/>
                <w:sz w:val="18"/>
                <w:szCs w:val="18"/>
                <w:color w:val="auto"/>
              </w:rPr>
              <w:t>498</w:t>
            </w:r>
          </w:p>
        </w:tc>
        <w:tc>
          <w:tcPr>
            <w:tcW w:w="120" w:type="dxa"/>
            <w:vAlign w:val="bottom"/>
          </w:tcPr>
          <w:p>
            <w:pPr>
              <w:spacing w:after="0"/>
              <w:rPr>
                <w:sz w:val="22"/>
                <w:szCs w:val="22"/>
                <w:color w:val="auto"/>
              </w:rPr>
            </w:pPr>
          </w:p>
        </w:tc>
        <w:tc>
          <w:tcPr>
            <w:tcW w:w="380" w:type="dxa"/>
            <w:vAlign w:val="bottom"/>
          </w:tcPr>
          <w:p>
            <w:pPr>
              <w:spacing w:after="0"/>
              <w:rPr>
                <w:sz w:val="22"/>
                <w:szCs w:val="22"/>
                <w:color w:val="auto"/>
              </w:rPr>
            </w:pPr>
          </w:p>
        </w:tc>
        <w:tc>
          <w:tcPr>
            <w:tcW w:w="1220" w:type="dxa"/>
            <w:vAlign w:val="bottom"/>
          </w:tcPr>
          <w:p>
            <w:pPr>
              <w:jc w:val="right"/>
              <w:ind w:right="12"/>
              <w:spacing w:after="0"/>
              <w:rPr>
                <w:sz w:val="20"/>
                <w:szCs w:val="20"/>
                <w:color w:val="auto"/>
              </w:rPr>
            </w:pPr>
            <w:r>
              <w:rPr>
                <w:rFonts w:ascii="Arial" w:cs="Arial" w:eastAsia="Arial" w:hAnsi="Arial"/>
                <w:sz w:val="18"/>
                <w:szCs w:val="18"/>
                <w:color w:val="auto"/>
              </w:rPr>
              <w:t>390</w:t>
            </w:r>
          </w:p>
        </w:tc>
        <w:tc>
          <w:tcPr>
            <w:tcW w:w="120" w:type="dxa"/>
            <w:vAlign w:val="bottom"/>
          </w:tcPr>
          <w:p>
            <w:pPr>
              <w:spacing w:after="0"/>
              <w:rPr>
                <w:sz w:val="22"/>
                <w:szCs w:val="22"/>
                <w:color w:val="auto"/>
              </w:rPr>
            </w:pPr>
          </w:p>
        </w:tc>
        <w:tc>
          <w:tcPr>
            <w:tcW w:w="380" w:type="dxa"/>
            <w:vAlign w:val="bottom"/>
          </w:tcPr>
          <w:p>
            <w:pPr>
              <w:spacing w:after="0"/>
              <w:rPr>
                <w:sz w:val="22"/>
                <w:szCs w:val="22"/>
                <w:color w:val="auto"/>
              </w:rPr>
            </w:pPr>
          </w:p>
        </w:tc>
        <w:tc>
          <w:tcPr>
            <w:tcW w:w="1220" w:type="dxa"/>
            <w:vAlign w:val="bottom"/>
          </w:tcPr>
          <w:p>
            <w:pPr>
              <w:jc w:val="right"/>
              <w:ind w:right="12"/>
              <w:spacing w:after="0"/>
              <w:rPr>
                <w:sz w:val="20"/>
                <w:szCs w:val="20"/>
                <w:color w:val="auto"/>
              </w:rPr>
            </w:pPr>
            <w:r>
              <w:rPr>
                <w:rFonts w:ascii="Arial" w:cs="Arial" w:eastAsia="Arial" w:hAnsi="Arial"/>
                <w:sz w:val="18"/>
                <w:szCs w:val="18"/>
                <w:color w:val="auto"/>
              </w:rPr>
              <w:t>2,026</w:t>
            </w:r>
          </w:p>
        </w:tc>
      </w:tr>
      <w:tr>
        <w:trPr>
          <w:trHeight w:val="277"/>
        </w:trPr>
        <w:tc>
          <w:tcPr>
            <w:tcW w:w="6380" w:type="dxa"/>
            <w:vAlign w:val="bottom"/>
            <w:shd w:val="clear" w:color="auto" w:fill="CCEEFF"/>
          </w:tcPr>
          <w:p>
            <w:pPr>
              <w:ind w:left="180"/>
              <w:spacing w:after="0"/>
              <w:rPr>
                <w:sz w:val="20"/>
                <w:szCs w:val="20"/>
                <w:color w:val="auto"/>
              </w:rPr>
            </w:pPr>
            <w:r>
              <w:rPr>
                <w:rFonts w:ascii="Arial" w:cs="Arial" w:eastAsia="Arial" w:hAnsi="Arial"/>
                <w:sz w:val="18"/>
                <w:szCs w:val="18"/>
                <w:color w:val="auto"/>
              </w:rPr>
              <w:t>State and Local</w:t>
            </w:r>
          </w:p>
        </w:tc>
        <w:tc>
          <w:tcPr>
            <w:tcW w:w="1080" w:type="dxa"/>
            <w:vAlign w:val="bottom"/>
            <w:tcBorders>
              <w:bottom w:val="single" w:sz="8" w:color="auto"/>
            </w:tcBorders>
            <w:shd w:val="clear" w:color="auto" w:fill="CCEEFF"/>
          </w:tcPr>
          <w:p>
            <w:pPr>
              <w:spacing w:after="0"/>
              <w:rPr>
                <w:sz w:val="24"/>
                <w:szCs w:val="24"/>
                <w:color w:val="auto"/>
              </w:rPr>
            </w:pPr>
          </w:p>
        </w:tc>
        <w:tc>
          <w:tcPr>
            <w:tcW w:w="52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62</w:t>
            </w:r>
          </w:p>
        </w:tc>
        <w:tc>
          <w:tcPr>
            <w:tcW w:w="120" w:type="dxa"/>
            <w:vAlign w:val="bottom"/>
            <w:shd w:val="clear" w:color="auto" w:fill="CCEEFF"/>
          </w:tcPr>
          <w:p>
            <w:pPr>
              <w:spacing w:after="0"/>
              <w:rPr>
                <w:sz w:val="24"/>
                <w:szCs w:val="24"/>
                <w:color w:val="auto"/>
              </w:rPr>
            </w:pPr>
          </w:p>
        </w:tc>
        <w:tc>
          <w:tcPr>
            <w:tcW w:w="380" w:type="dxa"/>
            <w:vAlign w:val="bottom"/>
            <w:tcBorders>
              <w:bottom w:val="single" w:sz="8" w:color="auto"/>
            </w:tcBorders>
            <w:shd w:val="clear" w:color="auto" w:fill="CCEEFF"/>
          </w:tcPr>
          <w:p>
            <w:pPr>
              <w:spacing w:after="0"/>
              <w:rPr>
                <w:sz w:val="24"/>
                <w:szCs w:val="24"/>
                <w:color w:val="auto"/>
              </w:rPr>
            </w:pPr>
          </w:p>
        </w:tc>
        <w:tc>
          <w:tcPr>
            <w:tcW w:w="1220" w:type="dxa"/>
            <w:vAlign w:val="bottom"/>
            <w:tcBorders>
              <w:bottom w:val="single" w:sz="8" w:color="auto"/>
            </w:tcBorders>
            <w:shd w:val="clear" w:color="auto" w:fill="CCEEFF"/>
          </w:tcPr>
          <w:p>
            <w:pPr>
              <w:jc w:val="right"/>
              <w:ind w:right="12"/>
              <w:spacing w:after="0"/>
              <w:rPr>
                <w:sz w:val="20"/>
                <w:szCs w:val="20"/>
                <w:color w:val="auto"/>
              </w:rPr>
            </w:pPr>
            <w:r>
              <w:rPr>
                <w:rFonts w:ascii="Arial" w:cs="Arial" w:eastAsia="Arial" w:hAnsi="Arial"/>
                <w:sz w:val="18"/>
                <w:szCs w:val="18"/>
                <w:color w:val="auto"/>
              </w:rPr>
              <w:t>50</w:t>
            </w:r>
          </w:p>
        </w:tc>
        <w:tc>
          <w:tcPr>
            <w:tcW w:w="120" w:type="dxa"/>
            <w:vAlign w:val="bottom"/>
            <w:shd w:val="clear" w:color="auto" w:fill="CCEEFF"/>
          </w:tcPr>
          <w:p>
            <w:pPr>
              <w:spacing w:after="0"/>
              <w:rPr>
                <w:sz w:val="24"/>
                <w:szCs w:val="24"/>
                <w:color w:val="auto"/>
              </w:rPr>
            </w:pPr>
          </w:p>
        </w:tc>
        <w:tc>
          <w:tcPr>
            <w:tcW w:w="380" w:type="dxa"/>
            <w:vAlign w:val="bottom"/>
            <w:tcBorders>
              <w:bottom w:val="single" w:sz="8" w:color="auto"/>
            </w:tcBorders>
            <w:shd w:val="clear" w:color="auto" w:fill="CCEEFF"/>
          </w:tcPr>
          <w:p>
            <w:pPr>
              <w:spacing w:after="0"/>
              <w:rPr>
                <w:sz w:val="24"/>
                <w:szCs w:val="24"/>
                <w:color w:val="auto"/>
              </w:rPr>
            </w:pPr>
          </w:p>
        </w:tc>
        <w:tc>
          <w:tcPr>
            <w:tcW w:w="1220" w:type="dxa"/>
            <w:vAlign w:val="bottom"/>
            <w:tcBorders>
              <w:bottom w:val="single" w:sz="8" w:color="auto"/>
            </w:tcBorders>
            <w:shd w:val="clear" w:color="auto" w:fill="CCEEFF"/>
          </w:tcPr>
          <w:p>
            <w:pPr>
              <w:jc w:val="right"/>
              <w:ind w:right="12"/>
              <w:spacing w:after="0"/>
              <w:rPr>
                <w:sz w:val="20"/>
                <w:szCs w:val="20"/>
                <w:color w:val="auto"/>
              </w:rPr>
            </w:pPr>
            <w:r>
              <w:rPr>
                <w:rFonts w:ascii="Arial" w:cs="Arial" w:eastAsia="Arial" w:hAnsi="Arial"/>
                <w:sz w:val="18"/>
                <w:szCs w:val="18"/>
                <w:color w:val="auto"/>
              </w:rPr>
              <w:t>63</w:t>
            </w:r>
          </w:p>
        </w:tc>
      </w:tr>
      <w:tr>
        <w:trPr>
          <w:trHeight w:val="244"/>
        </w:trPr>
        <w:tc>
          <w:tcPr>
            <w:tcW w:w="6380" w:type="dxa"/>
            <w:vAlign w:val="bottom"/>
            <w:tcBorders>
              <w:bottom w:val="single" w:sz="8" w:color="CCEEFF"/>
            </w:tcBorders>
          </w:tcPr>
          <w:p>
            <w:pPr>
              <w:ind w:left="380"/>
              <w:spacing w:after="0"/>
              <w:rPr>
                <w:sz w:val="20"/>
                <w:szCs w:val="20"/>
                <w:color w:val="auto"/>
              </w:rPr>
            </w:pPr>
            <w:r>
              <w:rPr>
                <w:rFonts w:ascii="Arial" w:cs="Arial" w:eastAsia="Arial" w:hAnsi="Arial"/>
                <w:sz w:val="18"/>
                <w:szCs w:val="18"/>
                <w:color w:val="auto"/>
              </w:rPr>
              <w:t>Deferred income tax provision</w:t>
            </w:r>
          </w:p>
        </w:tc>
        <w:tc>
          <w:tcPr>
            <w:tcW w:w="1080" w:type="dxa"/>
            <w:vAlign w:val="bottom"/>
            <w:tcBorders>
              <w:bottom w:val="single" w:sz="8" w:color="auto"/>
            </w:tcBorders>
          </w:tcPr>
          <w:p>
            <w:pPr>
              <w:spacing w:after="0"/>
              <w:rPr>
                <w:sz w:val="21"/>
                <w:szCs w:val="21"/>
                <w:color w:val="auto"/>
              </w:rPr>
            </w:pPr>
          </w:p>
        </w:tc>
        <w:tc>
          <w:tcPr>
            <w:tcW w:w="52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560</w:t>
            </w:r>
          </w:p>
        </w:tc>
        <w:tc>
          <w:tcPr>
            <w:tcW w:w="120" w:type="dxa"/>
            <w:vAlign w:val="bottom"/>
            <w:tcBorders>
              <w:bottom w:val="single" w:sz="8" w:color="CCEEFF"/>
            </w:tcBorders>
          </w:tcPr>
          <w:p>
            <w:pPr>
              <w:spacing w:after="0"/>
              <w:rPr>
                <w:sz w:val="21"/>
                <w:szCs w:val="21"/>
                <w:color w:val="auto"/>
              </w:rPr>
            </w:pPr>
          </w:p>
        </w:tc>
        <w:tc>
          <w:tcPr>
            <w:tcW w:w="380" w:type="dxa"/>
            <w:vAlign w:val="bottom"/>
            <w:tcBorders>
              <w:bottom w:val="single" w:sz="8" w:color="auto"/>
            </w:tcBorders>
          </w:tcPr>
          <w:p>
            <w:pPr>
              <w:spacing w:after="0"/>
              <w:rPr>
                <w:sz w:val="21"/>
                <w:szCs w:val="21"/>
                <w:color w:val="auto"/>
              </w:rPr>
            </w:pPr>
          </w:p>
        </w:tc>
        <w:tc>
          <w:tcPr>
            <w:tcW w:w="1220" w:type="dxa"/>
            <w:vAlign w:val="bottom"/>
            <w:tcBorders>
              <w:bottom w:val="single" w:sz="8" w:color="auto"/>
            </w:tcBorders>
          </w:tcPr>
          <w:p>
            <w:pPr>
              <w:jc w:val="right"/>
              <w:ind w:right="12"/>
              <w:spacing w:after="0"/>
              <w:rPr>
                <w:sz w:val="20"/>
                <w:szCs w:val="20"/>
                <w:color w:val="auto"/>
              </w:rPr>
            </w:pPr>
            <w:r>
              <w:rPr>
                <w:rFonts w:ascii="Arial" w:cs="Arial" w:eastAsia="Arial" w:hAnsi="Arial"/>
                <w:sz w:val="18"/>
                <w:szCs w:val="18"/>
                <w:color w:val="auto"/>
              </w:rPr>
              <w:t>440</w:t>
            </w:r>
          </w:p>
        </w:tc>
        <w:tc>
          <w:tcPr>
            <w:tcW w:w="120" w:type="dxa"/>
            <w:vAlign w:val="bottom"/>
            <w:tcBorders>
              <w:bottom w:val="single" w:sz="8" w:color="CCEEFF"/>
            </w:tcBorders>
          </w:tcPr>
          <w:p>
            <w:pPr>
              <w:spacing w:after="0"/>
              <w:rPr>
                <w:sz w:val="21"/>
                <w:szCs w:val="21"/>
                <w:color w:val="auto"/>
              </w:rPr>
            </w:pPr>
          </w:p>
        </w:tc>
        <w:tc>
          <w:tcPr>
            <w:tcW w:w="380" w:type="dxa"/>
            <w:vAlign w:val="bottom"/>
            <w:tcBorders>
              <w:bottom w:val="single" w:sz="8" w:color="auto"/>
            </w:tcBorders>
          </w:tcPr>
          <w:p>
            <w:pPr>
              <w:spacing w:after="0"/>
              <w:rPr>
                <w:sz w:val="21"/>
                <w:szCs w:val="21"/>
                <w:color w:val="auto"/>
              </w:rPr>
            </w:pPr>
          </w:p>
        </w:tc>
        <w:tc>
          <w:tcPr>
            <w:tcW w:w="1220" w:type="dxa"/>
            <w:vAlign w:val="bottom"/>
            <w:tcBorders>
              <w:bottom w:val="single" w:sz="8" w:color="auto"/>
            </w:tcBorders>
          </w:tcPr>
          <w:p>
            <w:pPr>
              <w:jc w:val="right"/>
              <w:ind w:right="12"/>
              <w:spacing w:after="0"/>
              <w:rPr>
                <w:sz w:val="20"/>
                <w:szCs w:val="20"/>
                <w:color w:val="auto"/>
              </w:rPr>
            </w:pPr>
            <w:r>
              <w:rPr>
                <w:rFonts w:ascii="Arial" w:cs="Arial" w:eastAsia="Arial" w:hAnsi="Arial"/>
                <w:sz w:val="18"/>
                <w:szCs w:val="18"/>
                <w:color w:val="auto"/>
              </w:rPr>
              <w:t>2,089</w:t>
            </w:r>
          </w:p>
        </w:tc>
      </w:tr>
      <w:tr>
        <w:trPr>
          <w:trHeight w:val="250"/>
        </w:trPr>
        <w:tc>
          <w:tcPr>
            <w:tcW w:w="6380" w:type="dxa"/>
            <w:vAlign w:val="bottom"/>
            <w:shd w:val="clear" w:color="auto" w:fill="CCEEFF"/>
          </w:tcPr>
          <w:p>
            <w:pPr>
              <w:ind w:left="40"/>
              <w:spacing w:after="0"/>
              <w:rPr>
                <w:sz w:val="20"/>
                <w:szCs w:val="20"/>
                <w:color w:val="auto"/>
              </w:rPr>
            </w:pPr>
            <w:r>
              <w:rPr>
                <w:rFonts w:ascii="Arial" w:cs="Arial" w:eastAsia="Arial" w:hAnsi="Arial"/>
                <w:sz w:val="18"/>
                <w:szCs w:val="18"/>
                <w:color w:val="auto"/>
              </w:rPr>
              <w:t>Total income tax provision</w:t>
            </w:r>
          </w:p>
        </w:tc>
        <w:tc>
          <w:tcPr>
            <w:tcW w:w="1080" w:type="dxa"/>
            <w:vAlign w:val="bottom"/>
            <w:shd w:val="clear" w:color="auto" w:fill="CCEEFF"/>
          </w:tcPr>
          <w:p>
            <w:pPr>
              <w:jc w:val="right"/>
              <w:ind w:right="876"/>
              <w:spacing w:after="0"/>
              <w:rPr>
                <w:sz w:val="20"/>
                <w:szCs w:val="20"/>
                <w:color w:val="auto"/>
              </w:rPr>
            </w:pPr>
            <w:r>
              <w:rPr>
                <w:rFonts w:ascii="Arial" w:cs="Arial" w:eastAsia="Arial" w:hAnsi="Arial"/>
                <w:sz w:val="18"/>
                <w:szCs w:val="18"/>
                <w:color w:val="auto"/>
                <w:w w:val="99"/>
              </w:rPr>
              <w:t>$</w:t>
            </w:r>
          </w:p>
        </w:tc>
        <w:tc>
          <w:tcPr>
            <w:tcW w:w="5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570</w:t>
            </w:r>
          </w:p>
        </w:tc>
        <w:tc>
          <w:tcPr>
            <w:tcW w:w="50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122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472</w:t>
            </w:r>
          </w:p>
        </w:tc>
        <w:tc>
          <w:tcPr>
            <w:tcW w:w="120" w:type="dxa"/>
            <w:vAlign w:val="bottom"/>
            <w:shd w:val="clear" w:color="auto" w:fill="CCEEFF"/>
          </w:tcPr>
          <w:p>
            <w:pPr>
              <w:spacing w:after="0"/>
              <w:rPr>
                <w:sz w:val="21"/>
                <w:szCs w:val="21"/>
                <w:color w:val="auto"/>
              </w:rPr>
            </w:pPr>
          </w:p>
        </w:tc>
        <w:tc>
          <w:tcPr>
            <w:tcW w:w="380" w:type="dxa"/>
            <w:vAlign w:val="bottom"/>
            <w:shd w:val="clear" w:color="auto" w:fill="CCEEFF"/>
          </w:tcPr>
          <w:p>
            <w:pPr>
              <w:jc w:val="right"/>
              <w:ind w:right="170"/>
              <w:spacing w:after="0"/>
              <w:rPr>
                <w:sz w:val="20"/>
                <w:szCs w:val="20"/>
                <w:color w:val="auto"/>
              </w:rPr>
            </w:pPr>
            <w:r>
              <w:rPr>
                <w:rFonts w:ascii="Arial" w:cs="Arial" w:eastAsia="Arial" w:hAnsi="Arial"/>
                <w:sz w:val="18"/>
                <w:szCs w:val="18"/>
                <w:color w:val="auto"/>
                <w:w w:val="99"/>
              </w:rPr>
              <w:t>$</w:t>
            </w:r>
          </w:p>
        </w:tc>
        <w:tc>
          <w:tcPr>
            <w:tcW w:w="122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2,113</w:t>
            </w:r>
          </w:p>
        </w:tc>
      </w:tr>
      <w:tr>
        <w:trPr>
          <w:trHeight w:val="20"/>
        </w:trPr>
        <w:tc>
          <w:tcPr>
            <w:tcW w:w="6380" w:type="dxa"/>
            <w:vAlign w:val="bottom"/>
            <w:tcBorders>
              <w:top w:val="single" w:sz="8" w:color="CCEEFF"/>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12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1220" w:type="dxa"/>
            <w:vAlign w:val="bottom"/>
            <w:tcBorders>
              <w:top w:val="single" w:sz="8" w:color="auto"/>
              <w:bottom w:val="single" w:sz="8" w:color="auto"/>
            </w:tcBorders>
          </w:tcPr>
          <w:p>
            <w:pPr>
              <w:spacing w:after="0" w:line="20" w:lineRule="exact"/>
              <w:rPr>
                <w:sz w:val="1"/>
                <w:szCs w:val="1"/>
                <w:color w:val="auto"/>
              </w:rPr>
            </w:pPr>
          </w:p>
        </w:tc>
      </w:tr>
    </w:tbl>
    <w:p>
      <w:pPr>
        <w:spacing w:after="0" w:line="377" w:lineRule="exact"/>
        <w:rPr>
          <w:sz w:val="20"/>
          <w:szCs w:val="20"/>
          <w:color w:val="auto"/>
        </w:rPr>
      </w:pPr>
    </w:p>
    <w:p>
      <w:pPr>
        <w:ind w:left="260"/>
        <w:spacing w:after="0"/>
        <w:rPr>
          <w:sz w:val="20"/>
          <w:szCs w:val="20"/>
          <w:color w:val="auto"/>
        </w:rPr>
      </w:pPr>
      <w:r>
        <w:rPr>
          <w:rFonts w:ascii="Arial" w:cs="Arial" w:eastAsia="Arial" w:hAnsi="Arial"/>
          <w:sz w:val="18"/>
          <w:szCs w:val="18"/>
          <w:color w:val="auto"/>
        </w:rPr>
        <w:t>The income tax provision differed from amounts computed at the statutory federal income tax rate as follows (in millions):</w:t>
      </w:r>
    </w:p>
    <w:p>
      <w:pPr>
        <w:spacing w:after="0" w:line="321" w:lineRule="exact"/>
        <w:rPr>
          <w:sz w:val="20"/>
          <w:szCs w:val="20"/>
          <w:color w:val="auto"/>
        </w:rPr>
      </w:pPr>
    </w:p>
    <w:tbl>
      <w:tblPr>
        <w:tblLayout w:type="fixed"/>
        <w:tblInd w:w="0" w:type="dxa"/>
        <w:tblCellMar>
          <w:top w:w="0" w:type="dxa"/>
          <w:left w:w="0" w:type="dxa"/>
          <w:bottom w:w="0" w:type="dxa"/>
          <w:right w:w="0" w:type="dxa"/>
        </w:tblCellMar>
      </w:tblPr>
      <w:tr>
        <w:trPr>
          <w:trHeight w:val="196"/>
        </w:trPr>
        <w:tc>
          <w:tcPr>
            <w:tcW w:w="6380" w:type="dxa"/>
            <w:vAlign w:val="bottom"/>
          </w:tcPr>
          <w:p>
            <w:pPr>
              <w:spacing w:after="0"/>
              <w:rPr>
                <w:sz w:val="17"/>
                <w:szCs w:val="17"/>
                <w:color w:val="auto"/>
              </w:rPr>
            </w:pPr>
          </w:p>
        </w:tc>
        <w:tc>
          <w:tcPr>
            <w:tcW w:w="1080" w:type="dxa"/>
            <w:vAlign w:val="bottom"/>
            <w:tcBorders>
              <w:bottom w:val="single" w:sz="8" w:color="auto"/>
            </w:tcBorders>
          </w:tcPr>
          <w:p>
            <w:pPr>
              <w:spacing w:after="0"/>
              <w:rPr>
                <w:sz w:val="17"/>
                <w:szCs w:val="17"/>
                <w:color w:val="auto"/>
              </w:rPr>
            </w:pPr>
          </w:p>
        </w:tc>
        <w:tc>
          <w:tcPr>
            <w:tcW w:w="520" w:type="dxa"/>
            <w:vAlign w:val="bottom"/>
            <w:tcBorders>
              <w:bottom w:val="single" w:sz="8" w:color="auto"/>
            </w:tcBorders>
          </w:tcPr>
          <w:p>
            <w:pPr>
              <w:spacing w:after="0"/>
              <w:rPr>
                <w:sz w:val="17"/>
                <w:szCs w:val="17"/>
                <w:color w:val="auto"/>
              </w:rPr>
            </w:pPr>
          </w:p>
        </w:tc>
        <w:tc>
          <w:tcPr>
            <w:tcW w:w="1840" w:type="dxa"/>
            <w:vAlign w:val="bottom"/>
            <w:tcBorders>
              <w:bottom w:val="single" w:sz="8" w:color="auto"/>
            </w:tcBorders>
            <w:gridSpan w:val="4"/>
          </w:tcPr>
          <w:p>
            <w:pPr>
              <w:ind w:left="60"/>
              <w:spacing w:after="0"/>
              <w:rPr>
                <w:sz w:val="20"/>
                <w:szCs w:val="20"/>
                <w:color w:val="auto"/>
              </w:rPr>
            </w:pPr>
            <w:r>
              <w:rPr>
                <w:rFonts w:ascii="Arial" w:cs="Arial" w:eastAsia="Arial" w:hAnsi="Arial"/>
                <w:sz w:val="14"/>
                <w:szCs w:val="14"/>
                <w:b w:val="1"/>
                <w:bCs w:val="1"/>
                <w:color w:val="auto"/>
              </w:rPr>
              <w:t>Year Ended December 31,</w:t>
            </w:r>
          </w:p>
        </w:tc>
        <w:tc>
          <w:tcPr>
            <w:tcW w:w="380" w:type="dxa"/>
            <w:vAlign w:val="bottom"/>
            <w:tcBorders>
              <w:bottom w:val="single" w:sz="8" w:color="auto"/>
            </w:tcBorders>
          </w:tcPr>
          <w:p>
            <w:pPr>
              <w:spacing w:after="0"/>
              <w:rPr>
                <w:sz w:val="17"/>
                <w:szCs w:val="17"/>
                <w:color w:val="auto"/>
              </w:rPr>
            </w:pPr>
          </w:p>
        </w:tc>
        <w:tc>
          <w:tcPr>
            <w:tcW w:w="1220" w:type="dxa"/>
            <w:vAlign w:val="bottom"/>
            <w:tcBorders>
              <w:bottom w:val="single" w:sz="8" w:color="auto"/>
            </w:tcBorders>
          </w:tcPr>
          <w:p>
            <w:pPr>
              <w:spacing w:after="0"/>
              <w:rPr>
                <w:sz w:val="17"/>
                <w:szCs w:val="17"/>
                <w:color w:val="auto"/>
              </w:rPr>
            </w:pPr>
          </w:p>
        </w:tc>
      </w:tr>
      <w:tr>
        <w:trPr>
          <w:trHeight w:val="264"/>
        </w:trPr>
        <w:tc>
          <w:tcPr>
            <w:tcW w:w="6380" w:type="dxa"/>
            <w:vAlign w:val="bottom"/>
            <w:tcBorders>
              <w:bottom w:val="single" w:sz="8" w:color="CCEEFF"/>
            </w:tcBorders>
          </w:tcPr>
          <w:p>
            <w:pPr>
              <w:spacing w:after="0"/>
              <w:rPr>
                <w:sz w:val="22"/>
                <w:szCs w:val="22"/>
                <w:color w:val="auto"/>
              </w:rPr>
            </w:pPr>
          </w:p>
        </w:tc>
        <w:tc>
          <w:tcPr>
            <w:tcW w:w="1080" w:type="dxa"/>
            <w:vAlign w:val="bottom"/>
            <w:tcBorders>
              <w:bottom w:val="single" w:sz="8" w:color="auto"/>
            </w:tcBorders>
          </w:tcPr>
          <w:p>
            <w:pPr>
              <w:jc w:val="right"/>
              <w:ind w:right="36"/>
              <w:spacing w:after="0"/>
              <w:rPr>
                <w:sz w:val="20"/>
                <w:szCs w:val="20"/>
                <w:color w:val="auto"/>
              </w:rPr>
            </w:pPr>
            <w:r>
              <w:rPr>
                <w:rFonts w:ascii="Arial" w:cs="Arial" w:eastAsia="Arial" w:hAnsi="Arial"/>
                <w:sz w:val="14"/>
                <w:szCs w:val="14"/>
                <w:b w:val="1"/>
                <w:bCs w:val="1"/>
                <w:color w:val="auto"/>
              </w:rPr>
              <w:t>2019</w:t>
            </w:r>
          </w:p>
        </w:tc>
        <w:tc>
          <w:tcPr>
            <w:tcW w:w="520" w:type="dxa"/>
            <w:vAlign w:val="bottom"/>
            <w:tcBorders>
              <w:bottom w:val="single" w:sz="8" w:color="auto"/>
            </w:tcBorders>
          </w:tcPr>
          <w:p>
            <w:pPr>
              <w:spacing w:after="0"/>
              <w:rPr>
                <w:sz w:val="22"/>
                <w:szCs w:val="22"/>
                <w:color w:val="auto"/>
              </w:rPr>
            </w:pPr>
          </w:p>
        </w:tc>
        <w:tc>
          <w:tcPr>
            <w:tcW w:w="120" w:type="dxa"/>
            <w:vAlign w:val="bottom"/>
            <w:tcBorders>
              <w:bottom w:val="single" w:sz="8" w:color="CCEEFF"/>
            </w:tcBorders>
          </w:tcPr>
          <w:p>
            <w:pPr>
              <w:spacing w:after="0"/>
              <w:rPr>
                <w:sz w:val="22"/>
                <w:szCs w:val="22"/>
                <w:color w:val="auto"/>
              </w:rPr>
            </w:pPr>
          </w:p>
        </w:tc>
        <w:tc>
          <w:tcPr>
            <w:tcW w:w="380" w:type="dxa"/>
            <w:vAlign w:val="bottom"/>
            <w:tcBorders>
              <w:bottom w:val="single" w:sz="8" w:color="auto"/>
            </w:tcBorders>
          </w:tcPr>
          <w:p>
            <w:pPr>
              <w:spacing w:after="0"/>
              <w:rPr>
                <w:sz w:val="22"/>
                <w:szCs w:val="22"/>
                <w:color w:val="auto"/>
              </w:rPr>
            </w:pPr>
          </w:p>
        </w:tc>
        <w:tc>
          <w:tcPr>
            <w:tcW w:w="1220" w:type="dxa"/>
            <w:vAlign w:val="bottom"/>
            <w:tcBorders>
              <w:bottom w:val="single" w:sz="8" w:color="auto"/>
            </w:tcBorders>
          </w:tcPr>
          <w:p>
            <w:pPr>
              <w:jc w:val="right"/>
              <w:ind w:right="552"/>
              <w:spacing w:after="0"/>
              <w:rPr>
                <w:sz w:val="20"/>
                <w:szCs w:val="20"/>
                <w:color w:val="auto"/>
              </w:rPr>
            </w:pPr>
            <w:r>
              <w:rPr>
                <w:rFonts w:ascii="Arial" w:cs="Arial" w:eastAsia="Arial" w:hAnsi="Arial"/>
                <w:sz w:val="14"/>
                <w:szCs w:val="14"/>
                <w:b w:val="1"/>
                <w:bCs w:val="1"/>
                <w:color w:val="auto"/>
              </w:rPr>
              <w:t>2018</w:t>
            </w:r>
          </w:p>
        </w:tc>
        <w:tc>
          <w:tcPr>
            <w:tcW w:w="120" w:type="dxa"/>
            <w:vAlign w:val="bottom"/>
            <w:tcBorders>
              <w:bottom w:val="single" w:sz="8" w:color="CCEEFF"/>
            </w:tcBorders>
          </w:tcPr>
          <w:p>
            <w:pPr>
              <w:spacing w:after="0"/>
              <w:rPr>
                <w:sz w:val="22"/>
                <w:szCs w:val="22"/>
                <w:color w:val="auto"/>
              </w:rPr>
            </w:pPr>
          </w:p>
        </w:tc>
        <w:tc>
          <w:tcPr>
            <w:tcW w:w="380" w:type="dxa"/>
            <w:vAlign w:val="bottom"/>
            <w:tcBorders>
              <w:bottom w:val="single" w:sz="8" w:color="auto"/>
            </w:tcBorders>
          </w:tcPr>
          <w:p>
            <w:pPr>
              <w:spacing w:after="0"/>
              <w:rPr>
                <w:sz w:val="22"/>
                <w:szCs w:val="22"/>
                <w:color w:val="auto"/>
              </w:rPr>
            </w:pPr>
          </w:p>
        </w:tc>
        <w:tc>
          <w:tcPr>
            <w:tcW w:w="1220" w:type="dxa"/>
            <w:vAlign w:val="bottom"/>
            <w:tcBorders>
              <w:bottom w:val="single" w:sz="8" w:color="auto"/>
            </w:tcBorders>
          </w:tcPr>
          <w:p>
            <w:pPr>
              <w:jc w:val="right"/>
              <w:ind w:right="552"/>
              <w:spacing w:after="0"/>
              <w:rPr>
                <w:sz w:val="20"/>
                <w:szCs w:val="20"/>
                <w:color w:val="auto"/>
              </w:rPr>
            </w:pPr>
            <w:r>
              <w:rPr>
                <w:rFonts w:ascii="Arial" w:cs="Arial" w:eastAsia="Arial" w:hAnsi="Arial"/>
                <w:sz w:val="14"/>
                <w:szCs w:val="14"/>
                <w:b w:val="1"/>
                <w:bCs w:val="1"/>
                <w:color w:val="auto"/>
              </w:rPr>
              <w:t>2017</w:t>
            </w:r>
          </w:p>
        </w:tc>
      </w:tr>
      <w:tr>
        <w:trPr>
          <w:trHeight w:val="256"/>
        </w:trPr>
        <w:tc>
          <w:tcPr>
            <w:tcW w:w="6380" w:type="dxa"/>
            <w:vAlign w:val="bottom"/>
            <w:shd w:val="clear" w:color="auto" w:fill="CCEEFF"/>
          </w:tcPr>
          <w:p>
            <w:pPr>
              <w:ind w:left="40"/>
              <w:spacing w:after="0"/>
              <w:rPr>
                <w:sz w:val="20"/>
                <w:szCs w:val="20"/>
                <w:color w:val="auto"/>
              </w:rPr>
            </w:pPr>
            <w:r>
              <w:rPr>
                <w:rFonts w:ascii="Arial" w:cs="Arial" w:eastAsia="Arial" w:hAnsi="Arial"/>
                <w:sz w:val="18"/>
                <w:szCs w:val="18"/>
                <w:color w:val="auto"/>
              </w:rPr>
              <w:t>Statutory income tax provision</w:t>
            </w:r>
          </w:p>
        </w:tc>
        <w:tc>
          <w:tcPr>
            <w:tcW w:w="1080" w:type="dxa"/>
            <w:vAlign w:val="bottom"/>
            <w:shd w:val="clear" w:color="auto" w:fill="CCEEFF"/>
          </w:tcPr>
          <w:p>
            <w:pPr>
              <w:jc w:val="right"/>
              <w:ind w:right="876"/>
              <w:spacing w:after="0"/>
              <w:rPr>
                <w:sz w:val="20"/>
                <w:szCs w:val="20"/>
                <w:color w:val="auto"/>
              </w:rPr>
            </w:pPr>
            <w:r>
              <w:rPr>
                <w:rFonts w:ascii="Arial" w:cs="Arial" w:eastAsia="Arial" w:hAnsi="Arial"/>
                <w:sz w:val="18"/>
                <w:szCs w:val="18"/>
                <w:color w:val="auto"/>
                <w:w w:val="99"/>
              </w:rPr>
              <w:t>$</w:t>
            </w:r>
          </w:p>
        </w:tc>
        <w:tc>
          <w:tcPr>
            <w:tcW w:w="5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474</w:t>
            </w:r>
          </w:p>
        </w:tc>
        <w:tc>
          <w:tcPr>
            <w:tcW w:w="50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122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396</w:t>
            </w:r>
          </w:p>
        </w:tc>
        <w:tc>
          <w:tcPr>
            <w:tcW w:w="120" w:type="dxa"/>
            <w:vAlign w:val="bottom"/>
            <w:shd w:val="clear" w:color="auto" w:fill="CCEEFF"/>
          </w:tcPr>
          <w:p>
            <w:pPr>
              <w:spacing w:after="0"/>
              <w:rPr>
                <w:sz w:val="22"/>
                <w:szCs w:val="22"/>
                <w:color w:val="auto"/>
              </w:rPr>
            </w:pPr>
          </w:p>
        </w:tc>
        <w:tc>
          <w:tcPr>
            <w:tcW w:w="380" w:type="dxa"/>
            <w:vAlign w:val="bottom"/>
            <w:shd w:val="clear" w:color="auto" w:fill="CCEEFF"/>
          </w:tcPr>
          <w:p>
            <w:pPr>
              <w:jc w:val="right"/>
              <w:ind w:right="170"/>
              <w:spacing w:after="0"/>
              <w:rPr>
                <w:sz w:val="20"/>
                <w:szCs w:val="20"/>
                <w:color w:val="auto"/>
              </w:rPr>
            </w:pPr>
            <w:r>
              <w:rPr>
                <w:rFonts w:ascii="Arial" w:cs="Arial" w:eastAsia="Arial" w:hAnsi="Arial"/>
                <w:sz w:val="18"/>
                <w:szCs w:val="18"/>
                <w:color w:val="auto"/>
                <w:w w:val="99"/>
              </w:rPr>
              <w:t>$</w:t>
            </w:r>
          </w:p>
        </w:tc>
        <w:tc>
          <w:tcPr>
            <w:tcW w:w="122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1,188</w:t>
            </w:r>
          </w:p>
        </w:tc>
      </w:tr>
      <w:tr>
        <w:trPr>
          <w:trHeight w:val="263"/>
        </w:trPr>
        <w:tc>
          <w:tcPr>
            <w:tcW w:w="6380" w:type="dxa"/>
            <w:vAlign w:val="bottom"/>
          </w:tcPr>
          <w:p>
            <w:pPr>
              <w:ind w:left="40"/>
              <w:spacing w:after="0"/>
              <w:rPr>
                <w:sz w:val="20"/>
                <w:szCs w:val="20"/>
                <w:color w:val="auto"/>
              </w:rPr>
            </w:pPr>
            <w:r>
              <w:rPr>
                <w:rFonts w:ascii="Arial" w:cs="Arial" w:eastAsia="Arial" w:hAnsi="Arial"/>
                <w:sz w:val="18"/>
                <w:szCs w:val="18"/>
                <w:color w:val="auto"/>
              </w:rPr>
              <w:t>State income tax provision, net of federal tax effect</w:t>
            </w:r>
          </w:p>
        </w:tc>
        <w:tc>
          <w:tcPr>
            <w:tcW w:w="1080" w:type="dxa"/>
            <w:vAlign w:val="bottom"/>
          </w:tcPr>
          <w:p>
            <w:pPr>
              <w:spacing w:after="0"/>
              <w:rPr>
                <w:sz w:val="22"/>
                <w:szCs w:val="22"/>
                <w:color w:val="auto"/>
              </w:rPr>
            </w:pPr>
          </w:p>
        </w:tc>
        <w:tc>
          <w:tcPr>
            <w:tcW w:w="520" w:type="dxa"/>
            <w:vAlign w:val="bottom"/>
          </w:tcPr>
          <w:p>
            <w:pPr>
              <w:jc w:val="right"/>
              <w:ind w:right="10"/>
              <w:spacing w:after="0"/>
              <w:rPr>
                <w:sz w:val="20"/>
                <w:szCs w:val="20"/>
                <w:color w:val="auto"/>
              </w:rPr>
            </w:pPr>
            <w:r>
              <w:rPr>
                <w:rFonts w:ascii="Arial" w:cs="Arial" w:eastAsia="Arial" w:hAnsi="Arial"/>
                <w:sz w:val="18"/>
                <w:szCs w:val="18"/>
                <w:color w:val="auto"/>
              </w:rPr>
              <w:t>47</w:t>
            </w:r>
          </w:p>
        </w:tc>
        <w:tc>
          <w:tcPr>
            <w:tcW w:w="120" w:type="dxa"/>
            <w:vAlign w:val="bottom"/>
          </w:tcPr>
          <w:p>
            <w:pPr>
              <w:spacing w:after="0"/>
              <w:rPr>
                <w:sz w:val="22"/>
                <w:szCs w:val="22"/>
                <w:color w:val="auto"/>
              </w:rPr>
            </w:pPr>
          </w:p>
        </w:tc>
        <w:tc>
          <w:tcPr>
            <w:tcW w:w="380" w:type="dxa"/>
            <w:vAlign w:val="bottom"/>
          </w:tcPr>
          <w:p>
            <w:pPr>
              <w:spacing w:after="0"/>
              <w:rPr>
                <w:sz w:val="22"/>
                <w:szCs w:val="22"/>
                <w:color w:val="auto"/>
              </w:rPr>
            </w:pPr>
          </w:p>
        </w:tc>
        <w:tc>
          <w:tcPr>
            <w:tcW w:w="1220" w:type="dxa"/>
            <w:vAlign w:val="bottom"/>
          </w:tcPr>
          <w:p>
            <w:pPr>
              <w:jc w:val="right"/>
              <w:ind w:right="12"/>
              <w:spacing w:after="0"/>
              <w:rPr>
                <w:sz w:val="20"/>
                <w:szCs w:val="20"/>
                <w:color w:val="auto"/>
              </w:rPr>
            </w:pPr>
            <w:r>
              <w:rPr>
                <w:rFonts w:ascii="Arial" w:cs="Arial" w:eastAsia="Arial" w:hAnsi="Arial"/>
                <w:sz w:val="18"/>
                <w:szCs w:val="18"/>
                <w:color w:val="auto"/>
              </w:rPr>
              <w:t>44</w:t>
            </w:r>
          </w:p>
        </w:tc>
        <w:tc>
          <w:tcPr>
            <w:tcW w:w="120" w:type="dxa"/>
            <w:vAlign w:val="bottom"/>
          </w:tcPr>
          <w:p>
            <w:pPr>
              <w:spacing w:after="0"/>
              <w:rPr>
                <w:sz w:val="22"/>
                <w:szCs w:val="22"/>
                <w:color w:val="auto"/>
              </w:rPr>
            </w:pPr>
          </w:p>
        </w:tc>
        <w:tc>
          <w:tcPr>
            <w:tcW w:w="380" w:type="dxa"/>
            <w:vAlign w:val="bottom"/>
          </w:tcPr>
          <w:p>
            <w:pPr>
              <w:spacing w:after="0"/>
              <w:rPr>
                <w:sz w:val="22"/>
                <w:szCs w:val="22"/>
                <w:color w:val="auto"/>
              </w:rPr>
            </w:pPr>
          </w:p>
        </w:tc>
        <w:tc>
          <w:tcPr>
            <w:tcW w:w="1220" w:type="dxa"/>
            <w:vAlign w:val="bottom"/>
          </w:tcPr>
          <w:p>
            <w:pPr>
              <w:jc w:val="right"/>
              <w:ind w:right="12"/>
              <w:spacing w:after="0"/>
              <w:rPr>
                <w:sz w:val="20"/>
                <w:szCs w:val="20"/>
                <w:color w:val="auto"/>
              </w:rPr>
            </w:pPr>
            <w:r>
              <w:rPr>
                <w:rFonts w:ascii="Arial" w:cs="Arial" w:eastAsia="Arial" w:hAnsi="Arial"/>
                <w:sz w:val="18"/>
                <w:szCs w:val="18"/>
                <w:color w:val="auto"/>
              </w:rPr>
              <w:t>59</w:t>
            </w:r>
          </w:p>
        </w:tc>
      </w:tr>
      <w:tr>
        <w:trPr>
          <w:trHeight w:val="277"/>
        </w:trPr>
        <w:tc>
          <w:tcPr>
            <w:tcW w:w="6380" w:type="dxa"/>
            <w:vAlign w:val="bottom"/>
            <w:shd w:val="clear" w:color="auto" w:fill="CCEEFF"/>
          </w:tcPr>
          <w:p>
            <w:pPr>
              <w:ind w:left="40"/>
              <w:spacing w:after="0"/>
              <w:rPr>
                <w:sz w:val="20"/>
                <w:szCs w:val="20"/>
                <w:color w:val="auto"/>
              </w:rPr>
            </w:pPr>
            <w:r>
              <w:rPr>
                <w:rFonts w:ascii="Arial" w:cs="Arial" w:eastAsia="Arial" w:hAnsi="Arial"/>
                <w:sz w:val="18"/>
                <w:szCs w:val="18"/>
                <w:color w:val="auto"/>
              </w:rPr>
              <w:t>Book expenses not deductible for tax purposes</w:t>
            </w:r>
          </w:p>
        </w:tc>
        <w:tc>
          <w:tcPr>
            <w:tcW w:w="1080" w:type="dxa"/>
            <w:vAlign w:val="bottom"/>
            <w:shd w:val="clear" w:color="auto" w:fill="CCEEFF"/>
          </w:tcPr>
          <w:p>
            <w:pPr>
              <w:spacing w:after="0"/>
              <w:rPr>
                <w:sz w:val="24"/>
                <w:szCs w:val="24"/>
                <w:color w:val="auto"/>
              </w:rPr>
            </w:pPr>
          </w:p>
        </w:tc>
        <w:tc>
          <w:tcPr>
            <w:tcW w:w="5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31</w:t>
            </w:r>
          </w:p>
        </w:tc>
        <w:tc>
          <w:tcPr>
            <w:tcW w:w="120" w:type="dxa"/>
            <w:vAlign w:val="bottom"/>
            <w:shd w:val="clear" w:color="auto" w:fill="CCEEFF"/>
          </w:tcPr>
          <w:p>
            <w:pPr>
              <w:spacing w:after="0"/>
              <w:rPr>
                <w:sz w:val="24"/>
                <w:szCs w:val="24"/>
                <w:color w:val="auto"/>
              </w:rPr>
            </w:pPr>
          </w:p>
        </w:tc>
        <w:tc>
          <w:tcPr>
            <w:tcW w:w="380" w:type="dxa"/>
            <w:vAlign w:val="bottom"/>
            <w:shd w:val="clear" w:color="auto" w:fill="CCEEFF"/>
          </w:tcPr>
          <w:p>
            <w:pPr>
              <w:spacing w:after="0"/>
              <w:rPr>
                <w:sz w:val="24"/>
                <w:szCs w:val="24"/>
                <w:color w:val="auto"/>
              </w:rPr>
            </w:pPr>
          </w:p>
        </w:tc>
        <w:tc>
          <w:tcPr>
            <w:tcW w:w="122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12</w:t>
            </w:r>
          </w:p>
        </w:tc>
        <w:tc>
          <w:tcPr>
            <w:tcW w:w="120" w:type="dxa"/>
            <w:vAlign w:val="bottom"/>
            <w:shd w:val="clear" w:color="auto" w:fill="CCEEFF"/>
          </w:tcPr>
          <w:p>
            <w:pPr>
              <w:spacing w:after="0"/>
              <w:rPr>
                <w:sz w:val="24"/>
                <w:szCs w:val="24"/>
                <w:color w:val="auto"/>
              </w:rPr>
            </w:pPr>
          </w:p>
        </w:tc>
        <w:tc>
          <w:tcPr>
            <w:tcW w:w="380" w:type="dxa"/>
            <w:vAlign w:val="bottom"/>
            <w:shd w:val="clear" w:color="auto" w:fill="CCEEFF"/>
          </w:tcPr>
          <w:p>
            <w:pPr>
              <w:spacing w:after="0"/>
              <w:rPr>
                <w:sz w:val="24"/>
                <w:szCs w:val="24"/>
                <w:color w:val="auto"/>
              </w:rPr>
            </w:pPr>
          </w:p>
        </w:tc>
        <w:tc>
          <w:tcPr>
            <w:tcW w:w="122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33</w:t>
            </w:r>
          </w:p>
        </w:tc>
      </w:tr>
      <w:tr>
        <w:trPr>
          <w:trHeight w:val="263"/>
        </w:trPr>
        <w:tc>
          <w:tcPr>
            <w:tcW w:w="6380" w:type="dxa"/>
            <w:vAlign w:val="bottom"/>
          </w:tcPr>
          <w:p>
            <w:pPr>
              <w:ind w:left="40"/>
              <w:spacing w:after="0"/>
              <w:rPr>
                <w:sz w:val="20"/>
                <w:szCs w:val="20"/>
                <w:color w:val="auto"/>
              </w:rPr>
            </w:pPr>
            <w:r>
              <w:rPr>
                <w:rFonts w:ascii="Arial" w:cs="Arial" w:eastAsia="Arial" w:hAnsi="Arial"/>
                <w:sz w:val="18"/>
                <w:szCs w:val="18"/>
                <w:color w:val="auto"/>
              </w:rPr>
              <w:t>Foreign income taxes, net of federal tax effect</w:t>
            </w:r>
          </w:p>
        </w:tc>
        <w:tc>
          <w:tcPr>
            <w:tcW w:w="1080" w:type="dxa"/>
            <w:vAlign w:val="bottom"/>
          </w:tcPr>
          <w:p>
            <w:pPr>
              <w:spacing w:after="0"/>
              <w:rPr>
                <w:sz w:val="22"/>
                <w:szCs w:val="22"/>
                <w:color w:val="auto"/>
              </w:rPr>
            </w:pPr>
          </w:p>
        </w:tc>
        <w:tc>
          <w:tcPr>
            <w:tcW w:w="520" w:type="dxa"/>
            <w:vAlign w:val="bottom"/>
          </w:tcPr>
          <w:p>
            <w:pPr>
              <w:jc w:val="right"/>
              <w:ind w:right="10"/>
              <w:spacing w:after="0"/>
              <w:rPr>
                <w:sz w:val="20"/>
                <w:szCs w:val="20"/>
                <w:color w:val="auto"/>
              </w:rPr>
            </w:pPr>
            <w:r>
              <w:rPr>
                <w:rFonts w:ascii="Arial" w:cs="Arial" w:eastAsia="Arial" w:hAnsi="Arial"/>
                <w:sz w:val="18"/>
                <w:szCs w:val="18"/>
                <w:color w:val="auto"/>
              </w:rPr>
              <w:t>8</w:t>
            </w:r>
          </w:p>
        </w:tc>
        <w:tc>
          <w:tcPr>
            <w:tcW w:w="120" w:type="dxa"/>
            <w:vAlign w:val="bottom"/>
          </w:tcPr>
          <w:p>
            <w:pPr>
              <w:spacing w:after="0"/>
              <w:rPr>
                <w:sz w:val="22"/>
                <w:szCs w:val="22"/>
                <w:color w:val="auto"/>
              </w:rPr>
            </w:pPr>
          </w:p>
        </w:tc>
        <w:tc>
          <w:tcPr>
            <w:tcW w:w="380" w:type="dxa"/>
            <w:vAlign w:val="bottom"/>
          </w:tcPr>
          <w:p>
            <w:pPr>
              <w:spacing w:after="0"/>
              <w:rPr>
                <w:sz w:val="22"/>
                <w:szCs w:val="22"/>
                <w:color w:val="auto"/>
              </w:rPr>
            </w:pPr>
          </w:p>
        </w:tc>
        <w:tc>
          <w:tcPr>
            <w:tcW w:w="1220" w:type="dxa"/>
            <w:vAlign w:val="bottom"/>
          </w:tcPr>
          <w:p>
            <w:pPr>
              <w:jc w:val="right"/>
              <w:ind w:right="12"/>
              <w:spacing w:after="0"/>
              <w:rPr>
                <w:sz w:val="20"/>
                <w:szCs w:val="20"/>
                <w:color w:val="auto"/>
              </w:rPr>
            </w:pPr>
            <w:r>
              <w:rPr>
                <w:rFonts w:ascii="Arial" w:cs="Arial" w:eastAsia="Arial" w:hAnsi="Arial"/>
                <w:sz w:val="18"/>
                <w:szCs w:val="18"/>
                <w:color w:val="auto"/>
              </w:rPr>
              <w:t>23</w:t>
            </w:r>
          </w:p>
        </w:tc>
        <w:tc>
          <w:tcPr>
            <w:tcW w:w="120" w:type="dxa"/>
            <w:vAlign w:val="bottom"/>
          </w:tcPr>
          <w:p>
            <w:pPr>
              <w:spacing w:after="0"/>
              <w:rPr>
                <w:sz w:val="22"/>
                <w:szCs w:val="22"/>
                <w:color w:val="auto"/>
              </w:rPr>
            </w:pPr>
          </w:p>
        </w:tc>
        <w:tc>
          <w:tcPr>
            <w:tcW w:w="380" w:type="dxa"/>
            <w:vAlign w:val="bottom"/>
          </w:tcPr>
          <w:p>
            <w:pPr>
              <w:spacing w:after="0"/>
              <w:rPr>
                <w:sz w:val="22"/>
                <w:szCs w:val="22"/>
                <w:color w:val="auto"/>
              </w:rPr>
            </w:pPr>
          </w:p>
        </w:tc>
        <w:tc>
          <w:tcPr>
            <w:tcW w:w="1220" w:type="dxa"/>
            <w:vAlign w:val="bottom"/>
          </w:tcPr>
          <w:p>
            <w:pPr>
              <w:jc w:val="right"/>
              <w:ind w:right="12"/>
              <w:spacing w:after="0"/>
              <w:rPr>
                <w:sz w:val="20"/>
                <w:szCs w:val="20"/>
                <w:color w:val="auto"/>
              </w:rPr>
            </w:pPr>
            <w:r>
              <w:rPr>
                <w:rFonts w:ascii="Arial" w:cs="Arial" w:eastAsia="Arial" w:hAnsi="Arial"/>
                <w:sz w:val="18"/>
                <w:szCs w:val="18"/>
                <w:color w:val="auto"/>
              </w:rPr>
              <w:t>7</w:t>
            </w:r>
          </w:p>
        </w:tc>
      </w:tr>
      <w:tr>
        <w:trPr>
          <w:trHeight w:val="277"/>
        </w:trPr>
        <w:tc>
          <w:tcPr>
            <w:tcW w:w="6380" w:type="dxa"/>
            <w:vAlign w:val="bottom"/>
            <w:shd w:val="clear" w:color="auto" w:fill="CCEEFF"/>
          </w:tcPr>
          <w:p>
            <w:pPr>
              <w:ind w:left="40"/>
              <w:spacing w:after="0"/>
              <w:rPr>
                <w:sz w:val="20"/>
                <w:szCs w:val="20"/>
                <w:color w:val="auto"/>
              </w:rPr>
            </w:pPr>
            <w:r>
              <w:rPr>
                <w:rFonts w:ascii="Arial" w:cs="Arial" w:eastAsia="Arial" w:hAnsi="Arial"/>
                <w:sz w:val="18"/>
                <w:szCs w:val="18"/>
                <w:color w:val="auto"/>
              </w:rPr>
              <w:t>Change in valuation allowance</w:t>
            </w:r>
          </w:p>
        </w:tc>
        <w:tc>
          <w:tcPr>
            <w:tcW w:w="1080" w:type="dxa"/>
            <w:vAlign w:val="bottom"/>
            <w:shd w:val="clear" w:color="auto" w:fill="CCEEFF"/>
          </w:tcPr>
          <w:p>
            <w:pPr>
              <w:spacing w:after="0"/>
              <w:rPr>
                <w:sz w:val="24"/>
                <w:szCs w:val="24"/>
                <w:color w:val="auto"/>
              </w:rPr>
            </w:pPr>
          </w:p>
        </w:tc>
        <w:tc>
          <w:tcPr>
            <w:tcW w:w="5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4</w:t>
            </w:r>
          </w:p>
        </w:tc>
        <w:tc>
          <w:tcPr>
            <w:tcW w:w="120" w:type="dxa"/>
            <w:vAlign w:val="bottom"/>
            <w:shd w:val="clear" w:color="auto" w:fill="CCEEFF"/>
          </w:tcPr>
          <w:p>
            <w:pPr>
              <w:spacing w:after="0"/>
              <w:rPr>
                <w:sz w:val="24"/>
                <w:szCs w:val="24"/>
                <w:color w:val="auto"/>
              </w:rPr>
            </w:pPr>
          </w:p>
        </w:tc>
        <w:tc>
          <w:tcPr>
            <w:tcW w:w="380" w:type="dxa"/>
            <w:vAlign w:val="bottom"/>
            <w:shd w:val="clear" w:color="auto" w:fill="CCEEFF"/>
          </w:tcPr>
          <w:p>
            <w:pPr>
              <w:spacing w:after="0"/>
              <w:rPr>
                <w:sz w:val="24"/>
                <w:szCs w:val="24"/>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w:t>
            </w:r>
          </w:p>
        </w:tc>
        <w:tc>
          <w:tcPr>
            <w:tcW w:w="120" w:type="dxa"/>
            <w:vAlign w:val="bottom"/>
            <w:shd w:val="clear" w:color="auto" w:fill="CCEEFF"/>
          </w:tcPr>
          <w:p>
            <w:pPr>
              <w:spacing w:after="0"/>
              <w:rPr>
                <w:sz w:val="24"/>
                <w:szCs w:val="24"/>
                <w:color w:val="auto"/>
              </w:rPr>
            </w:pPr>
          </w:p>
        </w:tc>
        <w:tc>
          <w:tcPr>
            <w:tcW w:w="380" w:type="dxa"/>
            <w:vAlign w:val="bottom"/>
            <w:shd w:val="clear" w:color="auto" w:fill="CCEEFF"/>
          </w:tcPr>
          <w:p>
            <w:pPr>
              <w:spacing w:after="0"/>
              <w:rPr>
                <w:sz w:val="24"/>
                <w:szCs w:val="24"/>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w:t>
            </w:r>
          </w:p>
        </w:tc>
      </w:tr>
      <w:tr>
        <w:trPr>
          <w:trHeight w:val="263"/>
        </w:trPr>
        <w:tc>
          <w:tcPr>
            <w:tcW w:w="6380" w:type="dxa"/>
            <w:vAlign w:val="bottom"/>
          </w:tcPr>
          <w:p>
            <w:pPr>
              <w:ind w:left="40"/>
              <w:spacing w:after="0"/>
              <w:rPr>
                <w:sz w:val="20"/>
                <w:szCs w:val="20"/>
                <w:color w:val="auto"/>
              </w:rPr>
            </w:pPr>
            <w:r>
              <w:rPr>
                <w:rFonts w:ascii="Arial" w:cs="Arial" w:eastAsia="Arial" w:hAnsi="Arial"/>
                <w:sz w:val="18"/>
                <w:szCs w:val="18"/>
                <w:color w:val="auto"/>
              </w:rPr>
              <w:t>2017 Tax Act</w:t>
            </w:r>
          </w:p>
        </w:tc>
        <w:tc>
          <w:tcPr>
            <w:tcW w:w="1080" w:type="dxa"/>
            <w:vAlign w:val="bottom"/>
          </w:tcPr>
          <w:p>
            <w:pPr>
              <w:spacing w:after="0"/>
              <w:rPr>
                <w:sz w:val="22"/>
                <w:szCs w:val="22"/>
                <w:color w:val="auto"/>
              </w:rPr>
            </w:pPr>
          </w:p>
        </w:tc>
        <w:tc>
          <w:tcPr>
            <w:tcW w:w="52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2"/>
                <w:szCs w:val="22"/>
                <w:color w:val="auto"/>
              </w:rPr>
            </w:pPr>
          </w:p>
        </w:tc>
        <w:tc>
          <w:tcPr>
            <w:tcW w:w="380" w:type="dxa"/>
            <w:vAlign w:val="bottom"/>
          </w:tcPr>
          <w:p>
            <w:pPr>
              <w:spacing w:after="0"/>
              <w:rPr>
                <w:sz w:val="22"/>
                <w:szCs w:val="22"/>
                <w:color w:val="auto"/>
              </w:rPr>
            </w:pPr>
          </w:p>
        </w:tc>
        <w:tc>
          <w:tcPr>
            <w:tcW w:w="13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380" w:type="dxa"/>
            <w:vAlign w:val="bottom"/>
          </w:tcPr>
          <w:p>
            <w:pPr>
              <w:spacing w:after="0"/>
              <w:rPr>
                <w:sz w:val="22"/>
                <w:szCs w:val="22"/>
                <w:color w:val="auto"/>
              </w:rPr>
            </w:pPr>
          </w:p>
        </w:tc>
        <w:tc>
          <w:tcPr>
            <w:tcW w:w="1220" w:type="dxa"/>
            <w:vAlign w:val="bottom"/>
          </w:tcPr>
          <w:p>
            <w:pPr>
              <w:jc w:val="right"/>
              <w:ind w:right="12"/>
              <w:spacing w:after="0"/>
              <w:rPr>
                <w:sz w:val="20"/>
                <w:szCs w:val="20"/>
                <w:color w:val="auto"/>
              </w:rPr>
            </w:pPr>
            <w:r>
              <w:rPr>
                <w:rFonts w:ascii="Arial" w:cs="Arial" w:eastAsia="Arial" w:hAnsi="Arial"/>
                <w:sz w:val="18"/>
                <w:szCs w:val="18"/>
                <w:color w:val="auto"/>
              </w:rPr>
              <w:t>823</w:t>
            </w:r>
          </w:p>
        </w:tc>
      </w:tr>
      <w:tr>
        <w:trPr>
          <w:trHeight w:val="277"/>
        </w:trPr>
        <w:tc>
          <w:tcPr>
            <w:tcW w:w="6380" w:type="dxa"/>
            <w:vAlign w:val="bottom"/>
            <w:shd w:val="clear" w:color="auto" w:fill="CCEEFF"/>
          </w:tcPr>
          <w:p>
            <w:pPr>
              <w:ind w:left="40"/>
              <w:spacing w:after="0"/>
              <w:rPr>
                <w:sz w:val="20"/>
                <w:szCs w:val="20"/>
                <w:color w:val="auto"/>
              </w:rPr>
            </w:pPr>
            <w:r>
              <w:rPr>
                <w:rFonts w:ascii="Arial" w:cs="Arial" w:eastAsia="Arial" w:hAnsi="Arial"/>
                <w:sz w:val="18"/>
                <w:szCs w:val="18"/>
                <w:color w:val="auto"/>
              </w:rPr>
              <w:t>Other, net</w:t>
            </w:r>
          </w:p>
        </w:tc>
        <w:tc>
          <w:tcPr>
            <w:tcW w:w="1080" w:type="dxa"/>
            <w:vAlign w:val="bottom"/>
            <w:tcBorders>
              <w:bottom w:val="single" w:sz="8" w:color="auto"/>
            </w:tcBorders>
            <w:shd w:val="clear" w:color="auto" w:fill="CCEEFF"/>
          </w:tcPr>
          <w:p>
            <w:pPr>
              <w:spacing w:after="0"/>
              <w:rPr>
                <w:sz w:val="24"/>
                <w:szCs w:val="24"/>
                <w:color w:val="auto"/>
              </w:rPr>
            </w:pPr>
          </w:p>
        </w:tc>
        <w:tc>
          <w:tcPr>
            <w:tcW w:w="52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6</w:t>
            </w:r>
          </w:p>
        </w:tc>
        <w:tc>
          <w:tcPr>
            <w:tcW w:w="120" w:type="dxa"/>
            <w:vAlign w:val="bottom"/>
            <w:shd w:val="clear" w:color="auto" w:fill="CCEEFF"/>
          </w:tcPr>
          <w:p>
            <w:pPr>
              <w:spacing w:after="0"/>
              <w:rPr>
                <w:sz w:val="24"/>
                <w:szCs w:val="24"/>
                <w:color w:val="auto"/>
              </w:rPr>
            </w:pPr>
          </w:p>
        </w:tc>
        <w:tc>
          <w:tcPr>
            <w:tcW w:w="380" w:type="dxa"/>
            <w:vAlign w:val="bottom"/>
            <w:tcBorders>
              <w:bottom w:val="single" w:sz="8" w:color="auto"/>
            </w:tcBorders>
            <w:shd w:val="clear" w:color="auto" w:fill="CCEEFF"/>
          </w:tcPr>
          <w:p>
            <w:pPr>
              <w:spacing w:after="0"/>
              <w:rPr>
                <w:sz w:val="24"/>
                <w:szCs w:val="24"/>
                <w:color w:val="auto"/>
              </w:rPr>
            </w:pPr>
          </w:p>
        </w:tc>
        <w:tc>
          <w:tcPr>
            <w:tcW w:w="1220" w:type="dxa"/>
            <w:vAlign w:val="bottom"/>
            <w:tcBorders>
              <w:bottom w:val="single" w:sz="8" w:color="auto"/>
            </w:tcBorders>
            <w:shd w:val="clear" w:color="auto" w:fill="CCEEFF"/>
          </w:tcPr>
          <w:p>
            <w:pPr>
              <w:jc w:val="right"/>
              <w:ind w:right="12"/>
              <w:spacing w:after="0"/>
              <w:rPr>
                <w:sz w:val="20"/>
                <w:szCs w:val="20"/>
                <w:color w:val="auto"/>
              </w:rPr>
            </w:pPr>
            <w:r>
              <w:rPr>
                <w:rFonts w:ascii="Arial" w:cs="Arial" w:eastAsia="Arial" w:hAnsi="Arial"/>
                <w:sz w:val="18"/>
                <w:szCs w:val="18"/>
                <w:color w:val="auto"/>
              </w:rPr>
              <w:t>3</w:t>
            </w:r>
          </w:p>
        </w:tc>
        <w:tc>
          <w:tcPr>
            <w:tcW w:w="120" w:type="dxa"/>
            <w:vAlign w:val="bottom"/>
            <w:shd w:val="clear" w:color="auto" w:fill="CCEEFF"/>
          </w:tcPr>
          <w:p>
            <w:pPr>
              <w:spacing w:after="0"/>
              <w:rPr>
                <w:sz w:val="24"/>
                <w:szCs w:val="24"/>
                <w:color w:val="auto"/>
              </w:rPr>
            </w:pPr>
          </w:p>
        </w:tc>
        <w:tc>
          <w:tcPr>
            <w:tcW w:w="380" w:type="dxa"/>
            <w:vAlign w:val="bottom"/>
            <w:tcBorders>
              <w:bottom w:val="single" w:sz="8" w:color="auto"/>
            </w:tcBorders>
            <w:shd w:val="clear" w:color="auto" w:fill="CCEEFF"/>
          </w:tcPr>
          <w:p>
            <w:pPr>
              <w:spacing w:after="0"/>
              <w:rPr>
                <w:sz w:val="24"/>
                <w:szCs w:val="24"/>
                <w:color w:val="auto"/>
              </w:rPr>
            </w:pPr>
          </w:p>
        </w:tc>
        <w:tc>
          <w:tcPr>
            <w:tcW w:w="1220" w:type="dxa"/>
            <w:vAlign w:val="bottom"/>
            <w:tcBorders>
              <w:bottom w:val="single" w:sz="8" w:color="auto"/>
            </w:tcBorders>
            <w:shd w:val="clear" w:color="auto" w:fill="CCEEFF"/>
          </w:tcPr>
          <w:p>
            <w:pPr>
              <w:jc w:val="right"/>
              <w:ind w:right="12"/>
              <w:spacing w:after="0"/>
              <w:rPr>
                <w:sz w:val="20"/>
                <w:szCs w:val="20"/>
                <w:color w:val="auto"/>
              </w:rPr>
            </w:pPr>
            <w:r>
              <w:rPr>
                <w:rFonts w:ascii="Arial" w:cs="Arial" w:eastAsia="Arial" w:hAnsi="Arial"/>
                <w:sz w:val="18"/>
                <w:szCs w:val="18"/>
                <w:color w:val="auto"/>
              </w:rPr>
              <w:t>6</w:t>
            </w:r>
          </w:p>
        </w:tc>
      </w:tr>
      <w:tr>
        <w:trPr>
          <w:trHeight w:val="244"/>
        </w:trPr>
        <w:tc>
          <w:tcPr>
            <w:tcW w:w="6380" w:type="dxa"/>
            <w:vAlign w:val="bottom"/>
          </w:tcPr>
          <w:p>
            <w:pPr>
              <w:ind w:left="380"/>
              <w:spacing w:after="0"/>
              <w:rPr>
                <w:sz w:val="20"/>
                <w:szCs w:val="20"/>
                <w:color w:val="auto"/>
              </w:rPr>
            </w:pPr>
            <w:r>
              <w:rPr>
                <w:rFonts w:ascii="Arial" w:cs="Arial" w:eastAsia="Arial" w:hAnsi="Arial"/>
                <w:sz w:val="18"/>
                <w:szCs w:val="18"/>
                <w:color w:val="auto"/>
              </w:rPr>
              <w:t>Income tax provision</w:t>
            </w:r>
          </w:p>
        </w:tc>
        <w:tc>
          <w:tcPr>
            <w:tcW w:w="1080" w:type="dxa"/>
            <w:vAlign w:val="bottom"/>
          </w:tcPr>
          <w:p>
            <w:pPr>
              <w:jc w:val="right"/>
              <w:ind w:right="876"/>
              <w:spacing w:after="0"/>
              <w:rPr>
                <w:sz w:val="20"/>
                <w:szCs w:val="20"/>
                <w:color w:val="auto"/>
              </w:rPr>
            </w:pPr>
            <w:r>
              <w:rPr>
                <w:rFonts w:ascii="Arial" w:cs="Arial" w:eastAsia="Arial" w:hAnsi="Arial"/>
                <w:sz w:val="18"/>
                <w:szCs w:val="18"/>
                <w:color w:val="auto"/>
                <w:w w:val="99"/>
              </w:rPr>
              <w:t>$</w:t>
            </w:r>
          </w:p>
        </w:tc>
        <w:tc>
          <w:tcPr>
            <w:tcW w:w="520" w:type="dxa"/>
            <w:vAlign w:val="bottom"/>
          </w:tcPr>
          <w:p>
            <w:pPr>
              <w:jc w:val="right"/>
              <w:ind w:right="10"/>
              <w:spacing w:after="0"/>
              <w:rPr>
                <w:sz w:val="20"/>
                <w:szCs w:val="20"/>
                <w:color w:val="auto"/>
              </w:rPr>
            </w:pPr>
            <w:r>
              <w:rPr>
                <w:rFonts w:ascii="Arial" w:cs="Arial" w:eastAsia="Arial" w:hAnsi="Arial"/>
                <w:sz w:val="18"/>
                <w:szCs w:val="18"/>
                <w:color w:val="auto"/>
              </w:rPr>
              <w:t>570</w:t>
            </w:r>
          </w:p>
        </w:tc>
        <w:tc>
          <w:tcPr>
            <w:tcW w:w="50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1220" w:type="dxa"/>
            <w:vAlign w:val="bottom"/>
          </w:tcPr>
          <w:p>
            <w:pPr>
              <w:jc w:val="right"/>
              <w:ind w:right="12"/>
              <w:spacing w:after="0"/>
              <w:rPr>
                <w:sz w:val="20"/>
                <w:szCs w:val="20"/>
                <w:color w:val="auto"/>
              </w:rPr>
            </w:pPr>
            <w:r>
              <w:rPr>
                <w:rFonts w:ascii="Arial" w:cs="Arial" w:eastAsia="Arial" w:hAnsi="Arial"/>
                <w:sz w:val="18"/>
                <w:szCs w:val="18"/>
                <w:color w:val="auto"/>
              </w:rPr>
              <w:t>472</w:t>
            </w:r>
          </w:p>
        </w:tc>
        <w:tc>
          <w:tcPr>
            <w:tcW w:w="120" w:type="dxa"/>
            <w:vAlign w:val="bottom"/>
          </w:tcPr>
          <w:p>
            <w:pPr>
              <w:spacing w:after="0"/>
              <w:rPr>
                <w:sz w:val="21"/>
                <w:szCs w:val="21"/>
                <w:color w:val="auto"/>
              </w:rPr>
            </w:pPr>
          </w:p>
        </w:tc>
        <w:tc>
          <w:tcPr>
            <w:tcW w:w="380" w:type="dxa"/>
            <w:vAlign w:val="bottom"/>
          </w:tcPr>
          <w:p>
            <w:pPr>
              <w:jc w:val="right"/>
              <w:ind w:right="170"/>
              <w:spacing w:after="0"/>
              <w:rPr>
                <w:sz w:val="20"/>
                <w:szCs w:val="20"/>
                <w:color w:val="auto"/>
              </w:rPr>
            </w:pPr>
            <w:r>
              <w:rPr>
                <w:rFonts w:ascii="Arial" w:cs="Arial" w:eastAsia="Arial" w:hAnsi="Arial"/>
                <w:sz w:val="18"/>
                <w:szCs w:val="18"/>
                <w:color w:val="auto"/>
                <w:w w:val="99"/>
              </w:rPr>
              <w:t>$</w:t>
            </w:r>
          </w:p>
        </w:tc>
        <w:tc>
          <w:tcPr>
            <w:tcW w:w="1220" w:type="dxa"/>
            <w:vAlign w:val="bottom"/>
          </w:tcPr>
          <w:p>
            <w:pPr>
              <w:jc w:val="right"/>
              <w:ind w:right="12"/>
              <w:spacing w:after="0"/>
              <w:rPr>
                <w:sz w:val="20"/>
                <w:szCs w:val="20"/>
                <w:color w:val="auto"/>
              </w:rPr>
            </w:pPr>
            <w:r>
              <w:rPr>
                <w:rFonts w:ascii="Arial" w:cs="Arial" w:eastAsia="Arial" w:hAnsi="Arial"/>
                <w:sz w:val="18"/>
                <w:szCs w:val="18"/>
                <w:color w:val="auto"/>
              </w:rPr>
              <w:t>2,113</w:t>
            </w:r>
          </w:p>
        </w:tc>
      </w:tr>
      <w:tr>
        <w:trPr>
          <w:trHeight w:val="20"/>
        </w:trPr>
        <w:tc>
          <w:tcPr>
            <w:tcW w:w="6380" w:type="dxa"/>
            <w:vAlign w:val="bottom"/>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12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1220" w:type="dxa"/>
            <w:vAlign w:val="bottom"/>
            <w:tcBorders>
              <w:top w:val="single" w:sz="8" w:color="auto"/>
              <w:bottom w:val="single" w:sz="8" w:color="auto"/>
            </w:tcBorders>
          </w:tcPr>
          <w:p>
            <w:pPr>
              <w:spacing w:after="0" w:line="20" w:lineRule="exact"/>
              <w:rPr>
                <w:sz w:val="1"/>
                <w:szCs w:val="1"/>
                <w:color w:val="auto"/>
              </w:rPr>
            </w:pPr>
          </w:p>
        </w:tc>
      </w:tr>
    </w:tbl>
    <w:p>
      <w:pPr>
        <w:spacing w:after="0" w:line="377" w:lineRule="exact"/>
        <w:rPr>
          <w:sz w:val="20"/>
          <w:szCs w:val="20"/>
          <w:color w:val="auto"/>
        </w:rPr>
      </w:pPr>
    </w:p>
    <w:p>
      <w:pPr>
        <w:jc w:val="both"/>
        <w:ind w:firstLine="216"/>
        <w:spacing w:after="0" w:line="253" w:lineRule="auto"/>
        <w:rPr>
          <w:sz w:val="20"/>
          <w:szCs w:val="20"/>
          <w:color w:val="auto"/>
        </w:rPr>
      </w:pPr>
      <w:r>
        <w:rPr>
          <w:rFonts w:ascii="Arial" w:cs="Arial" w:eastAsia="Arial" w:hAnsi="Arial"/>
          <w:sz w:val="18"/>
          <w:szCs w:val="18"/>
          <w:color w:val="auto"/>
        </w:rPr>
        <w:t>We provide a valuation allowance for our deferred tax assets, which include our net operating losses (NOLs), when it is more likely than not that some portion, or all of our deferred tax assets, will not be realized. The ultimate realization of deferred tax assets is dependent upon the generation of future taxable income. We consider all available positive and negative evidence and make certain assumptions in evaluating the realizability of our deferred tax assets. Many factors are considered that impact our assessment of future profitability, including conditions which are beyond our control, such as the health of the economy, the availability and price volatility of aircraft fuel and travel demand.</w:t>
      </w:r>
    </w:p>
    <w:p>
      <w:pPr>
        <w:spacing w:after="0" w:line="20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94</w:t>
      </w:r>
    </w:p>
    <w:p>
      <w:pPr>
        <w:sectPr>
          <w:pgSz w:w="11900" w:h="16838" w:orient="portrait"/>
          <w:cols w:equalWidth="0" w:num="1">
            <w:col w:w="11420"/>
          </w:cols>
          <w:pgMar w:left="240" w:top="549" w:right="239" w:bottom="1440" w:gutter="0" w:footer="0" w:header="0"/>
        </w:sectPr>
      </w:pPr>
    </w:p>
    <w:bookmarkStart w:id="94" w:name="page95"/>
    <w:bookmarkEnd w:id="94"/>
    <w:p>
      <w:pPr>
        <w:jc w:val="center"/>
        <w:spacing w:after="0"/>
        <w:rPr>
          <w:sz w:val="20"/>
          <w:szCs w:val="20"/>
          <w:color w:val="auto"/>
        </w:rPr>
      </w:pPr>
      <w:r>
        <w:rPr>
          <w:rFonts w:ascii="Arial" w:cs="Arial" w:eastAsia="Arial" w:hAnsi="Arial"/>
          <w:sz w:val="18"/>
          <w:szCs w:val="18"/>
          <w:b w:val="1"/>
          <w:bCs w:val="1"/>
          <w:color w:val="auto"/>
        </w:rPr>
        <w:t>NOTES TO CONSOLIDATED FINANCIAL STATEMENTS OF AMERICAN AIRLINES GROUP INC.</w:t>
      </w:r>
    </w:p>
    <w:p>
      <w:pPr>
        <w:spacing w:after="0" w:line="200" w:lineRule="exact"/>
        <w:rPr>
          <w:sz w:val="20"/>
          <w:szCs w:val="20"/>
          <w:color w:val="auto"/>
        </w:rPr>
      </w:pPr>
    </w:p>
    <w:p>
      <w:pPr>
        <w:spacing w:after="0" w:line="209" w:lineRule="exact"/>
        <w:rPr>
          <w:sz w:val="20"/>
          <w:szCs w:val="20"/>
          <w:color w:val="auto"/>
        </w:rPr>
      </w:pPr>
    </w:p>
    <w:p>
      <w:pPr>
        <w:ind w:left="220"/>
        <w:spacing w:after="0"/>
        <w:rPr>
          <w:sz w:val="20"/>
          <w:szCs w:val="20"/>
          <w:color w:val="auto"/>
        </w:rPr>
      </w:pPr>
      <w:r>
        <w:rPr>
          <w:rFonts w:ascii="Arial" w:cs="Arial" w:eastAsia="Arial" w:hAnsi="Arial"/>
          <w:sz w:val="18"/>
          <w:szCs w:val="18"/>
          <w:color w:val="auto"/>
        </w:rPr>
        <w:t>The components of our deferred tax assets and liabilities were (in millions):</w:t>
      </w:r>
    </w:p>
    <w:p>
      <w:pPr>
        <w:spacing w:after="0" w:line="321" w:lineRule="exact"/>
        <w:rPr>
          <w:sz w:val="20"/>
          <w:szCs w:val="20"/>
          <w:color w:val="auto"/>
        </w:rPr>
      </w:pPr>
    </w:p>
    <w:tbl>
      <w:tblPr>
        <w:tblLayout w:type="fixed"/>
        <w:tblInd w:w="0" w:type="dxa"/>
        <w:tblCellMar>
          <w:top w:w="0" w:type="dxa"/>
          <w:left w:w="0" w:type="dxa"/>
          <w:bottom w:w="0" w:type="dxa"/>
          <w:right w:w="0" w:type="dxa"/>
        </w:tblCellMar>
      </w:tblPr>
      <w:tr>
        <w:trPr>
          <w:trHeight w:val="196"/>
        </w:trPr>
        <w:tc>
          <w:tcPr>
            <w:tcW w:w="7880" w:type="dxa"/>
            <w:vAlign w:val="bottom"/>
          </w:tcPr>
          <w:p>
            <w:pPr>
              <w:spacing w:after="0"/>
              <w:rPr>
                <w:sz w:val="17"/>
                <w:szCs w:val="17"/>
                <w:color w:val="auto"/>
              </w:rPr>
            </w:pPr>
          </w:p>
        </w:tc>
        <w:tc>
          <w:tcPr>
            <w:tcW w:w="1060" w:type="dxa"/>
            <w:vAlign w:val="bottom"/>
            <w:tcBorders>
              <w:bottom w:val="single" w:sz="8" w:color="auto"/>
            </w:tcBorders>
          </w:tcPr>
          <w:p>
            <w:pPr>
              <w:spacing w:after="0"/>
              <w:rPr>
                <w:sz w:val="17"/>
                <w:szCs w:val="17"/>
                <w:color w:val="auto"/>
              </w:rPr>
            </w:pPr>
          </w:p>
        </w:tc>
        <w:tc>
          <w:tcPr>
            <w:tcW w:w="1320" w:type="dxa"/>
            <w:vAlign w:val="bottom"/>
            <w:tcBorders>
              <w:bottom w:val="single" w:sz="8" w:color="auto"/>
            </w:tcBorders>
            <w:gridSpan w:val="3"/>
          </w:tcPr>
          <w:p>
            <w:pPr>
              <w:jc w:val="right"/>
              <w:ind w:right="30"/>
              <w:spacing w:after="0"/>
              <w:rPr>
                <w:sz w:val="20"/>
                <w:szCs w:val="20"/>
                <w:color w:val="auto"/>
              </w:rPr>
            </w:pPr>
            <w:r>
              <w:rPr>
                <w:rFonts w:ascii="Arial" w:cs="Arial" w:eastAsia="Arial" w:hAnsi="Arial"/>
                <w:sz w:val="14"/>
                <w:szCs w:val="14"/>
                <w:b w:val="1"/>
                <w:bCs w:val="1"/>
                <w:color w:val="auto"/>
              </w:rPr>
              <w:t>December 31,</w:t>
            </w:r>
          </w:p>
        </w:tc>
        <w:tc>
          <w:tcPr>
            <w:tcW w:w="1160" w:type="dxa"/>
            <w:vAlign w:val="bottom"/>
            <w:tcBorders>
              <w:bottom w:val="single" w:sz="8" w:color="auto"/>
            </w:tcBorders>
          </w:tcPr>
          <w:p>
            <w:pPr>
              <w:spacing w:after="0"/>
              <w:rPr>
                <w:sz w:val="17"/>
                <w:szCs w:val="17"/>
                <w:color w:val="auto"/>
              </w:rPr>
            </w:pPr>
          </w:p>
        </w:tc>
      </w:tr>
      <w:tr>
        <w:trPr>
          <w:trHeight w:val="264"/>
        </w:trPr>
        <w:tc>
          <w:tcPr>
            <w:tcW w:w="7880" w:type="dxa"/>
            <w:vAlign w:val="bottom"/>
            <w:tcBorders>
              <w:bottom w:val="single" w:sz="8" w:color="CCEEFF"/>
            </w:tcBorders>
          </w:tcPr>
          <w:p>
            <w:pPr>
              <w:spacing w:after="0"/>
              <w:rPr>
                <w:sz w:val="22"/>
                <w:szCs w:val="22"/>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2019</w:t>
            </w:r>
          </w:p>
        </w:tc>
        <w:tc>
          <w:tcPr>
            <w:tcW w:w="660" w:type="dxa"/>
            <w:vAlign w:val="bottom"/>
            <w:tcBorders>
              <w:bottom w:val="single" w:sz="8" w:color="auto"/>
            </w:tcBorders>
          </w:tcPr>
          <w:p>
            <w:pPr>
              <w:spacing w:after="0"/>
              <w:rPr>
                <w:sz w:val="22"/>
                <w:szCs w:val="22"/>
                <w:color w:val="auto"/>
              </w:rPr>
            </w:pPr>
          </w:p>
        </w:tc>
        <w:tc>
          <w:tcPr>
            <w:tcW w:w="100" w:type="dxa"/>
            <w:vAlign w:val="bottom"/>
            <w:tcBorders>
              <w:bottom w:val="single" w:sz="8" w:color="CCEEFF"/>
            </w:tcBorders>
          </w:tcPr>
          <w:p>
            <w:pPr>
              <w:spacing w:after="0"/>
              <w:rPr>
                <w:sz w:val="22"/>
                <w:szCs w:val="22"/>
                <w:color w:val="auto"/>
              </w:rPr>
            </w:pPr>
          </w:p>
        </w:tc>
        <w:tc>
          <w:tcPr>
            <w:tcW w:w="560" w:type="dxa"/>
            <w:vAlign w:val="bottom"/>
            <w:tcBorders>
              <w:bottom w:val="single" w:sz="8" w:color="auto"/>
            </w:tcBorders>
          </w:tcPr>
          <w:p>
            <w:pPr>
              <w:spacing w:after="0"/>
              <w:rPr>
                <w:sz w:val="22"/>
                <w:szCs w:val="22"/>
                <w:color w:val="auto"/>
              </w:rPr>
            </w:pPr>
          </w:p>
        </w:tc>
        <w:tc>
          <w:tcPr>
            <w:tcW w:w="1160" w:type="dxa"/>
            <w:vAlign w:val="bottom"/>
            <w:tcBorders>
              <w:bottom w:val="single" w:sz="8" w:color="auto"/>
            </w:tcBorders>
          </w:tcPr>
          <w:p>
            <w:pPr>
              <w:jc w:val="right"/>
              <w:ind w:right="611"/>
              <w:spacing w:after="0"/>
              <w:rPr>
                <w:sz w:val="20"/>
                <w:szCs w:val="20"/>
                <w:color w:val="auto"/>
              </w:rPr>
            </w:pPr>
            <w:r>
              <w:rPr>
                <w:rFonts w:ascii="Arial" w:cs="Arial" w:eastAsia="Arial" w:hAnsi="Arial"/>
                <w:sz w:val="14"/>
                <w:szCs w:val="14"/>
                <w:b w:val="1"/>
                <w:bCs w:val="1"/>
                <w:color w:val="auto"/>
              </w:rPr>
              <w:t>2018</w:t>
            </w:r>
          </w:p>
        </w:tc>
      </w:tr>
      <w:tr>
        <w:trPr>
          <w:trHeight w:val="250"/>
        </w:trPr>
        <w:tc>
          <w:tcPr>
            <w:tcW w:w="78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Deferred tax assets:</w:t>
            </w:r>
          </w:p>
        </w:tc>
        <w:tc>
          <w:tcPr>
            <w:tcW w:w="1060" w:type="dxa"/>
            <w:vAlign w:val="bottom"/>
            <w:tcBorders>
              <w:bottom w:val="single" w:sz="8" w:color="CCEEFF"/>
            </w:tcBorders>
            <w:shd w:val="clear" w:color="auto" w:fill="CCEEFF"/>
          </w:tcPr>
          <w:p>
            <w:pPr>
              <w:spacing w:after="0"/>
              <w:rPr>
                <w:sz w:val="21"/>
                <w:szCs w:val="21"/>
                <w:color w:val="auto"/>
              </w:rPr>
            </w:pPr>
          </w:p>
        </w:tc>
        <w:tc>
          <w:tcPr>
            <w:tcW w:w="6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56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spacing w:after="0"/>
              <w:rPr>
                <w:sz w:val="21"/>
                <w:szCs w:val="21"/>
                <w:color w:val="auto"/>
              </w:rPr>
            </w:pPr>
          </w:p>
        </w:tc>
      </w:tr>
      <w:tr>
        <w:trPr>
          <w:trHeight w:val="263"/>
        </w:trPr>
        <w:tc>
          <w:tcPr>
            <w:tcW w:w="7880" w:type="dxa"/>
            <w:vAlign w:val="bottom"/>
          </w:tcPr>
          <w:p>
            <w:pPr>
              <w:ind w:left="180"/>
              <w:spacing w:after="0"/>
              <w:rPr>
                <w:sz w:val="20"/>
                <w:szCs w:val="20"/>
                <w:color w:val="auto"/>
              </w:rPr>
            </w:pPr>
            <w:r>
              <w:rPr>
                <w:rFonts w:ascii="Arial" w:cs="Arial" w:eastAsia="Arial" w:hAnsi="Arial"/>
                <w:sz w:val="18"/>
                <w:szCs w:val="18"/>
                <w:color w:val="auto"/>
              </w:rPr>
              <w:t>Operating loss carryforwards</w:t>
            </w:r>
          </w:p>
        </w:tc>
        <w:tc>
          <w:tcPr>
            <w:tcW w:w="1060" w:type="dxa"/>
            <w:vAlign w:val="bottom"/>
          </w:tcPr>
          <w:p>
            <w:pPr>
              <w:jc w:val="right"/>
              <w:ind w:right="856"/>
              <w:spacing w:after="0"/>
              <w:rPr>
                <w:sz w:val="20"/>
                <w:szCs w:val="20"/>
                <w:color w:val="auto"/>
              </w:rPr>
            </w:pPr>
            <w:r>
              <w:rPr>
                <w:rFonts w:ascii="Arial" w:cs="Arial" w:eastAsia="Arial" w:hAnsi="Arial"/>
                <w:sz w:val="18"/>
                <w:szCs w:val="18"/>
                <w:color w:val="auto"/>
                <w:w w:val="99"/>
              </w:rPr>
              <w:t>$</w:t>
            </w:r>
          </w:p>
        </w:tc>
        <w:tc>
          <w:tcPr>
            <w:tcW w:w="660" w:type="dxa"/>
            <w:vAlign w:val="bottom"/>
          </w:tcPr>
          <w:p>
            <w:pPr>
              <w:jc w:val="right"/>
              <w:ind w:right="31"/>
              <w:spacing w:after="0"/>
              <w:rPr>
                <w:sz w:val="20"/>
                <w:szCs w:val="20"/>
                <w:color w:val="auto"/>
              </w:rPr>
            </w:pPr>
            <w:r>
              <w:rPr>
                <w:rFonts w:ascii="Arial" w:cs="Arial" w:eastAsia="Arial" w:hAnsi="Arial"/>
                <w:sz w:val="18"/>
                <w:szCs w:val="18"/>
                <w:color w:val="auto"/>
              </w:rPr>
              <w:t>2,103</w:t>
            </w:r>
          </w:p>
        </w:tc>
        <w:tc>
          <w:tcPr>
            <w:tcW w:w="100" w:type="dxa"/>
            <w:vAlign w:val="bottom"/>
          </w:tcPr>
          <w:p>
            <w:pPr>
              <w:spacing w:after="0"/>
              <w:rPr>
                <w:sz w:val="22"/>
                <w:szCs w:val="22"/>
                <w:color w:val="auto"/>
              </w:rPr>
            </w:pPr>
          </w:p>
        </w:tc>
        <w:tc>
          <w:tcPr>
            <w:tcW w:w="560" w:type="dxa"/>
            <w:vAlign w:val="bottom"/>
          </w:tcPr>
          <w:p>
            <w:pPr>
              <w:jc w:val="right"/>
              <w:ind w:right="330"/>
              <w:spacing w:after="0"/>
              <w:rPr>
                <w:sz w:val="20"/>
                <w:szCs w:val="20"/>
                <w:color w:val="auto"/>
              </w:rPr>
            </w:pPr>
            <w:r>
              <w:rPr>
                <w:rFonts w:ascii="Arial" w:cs="Arial" w:eastAsia="Arial" w:hAnsi="Arial"/>
                <w:sz w:val="18"/>
                <w:szCs w:val="18"/>
                <w:color w:val="auto"/>
              </w:rPr>
              <w:t>$</w:t>
            </w:r>
          </w:p>
        </w:tc>
        <w:tc>
          <w:tcPr>
            <w:tcW w:w="1160" w:type="dxa"/>
            <w:vAlign w:val="bottom"/>
          </w:tcPr>
          <w:p>
            <w:pPr>
              <w:jc w:val="right"/>
              <w:ind w:right="11"/>
              <w:spacing w:after="0"/>
              <w:rPr>
                <w:sz w:val="20"/>
                <w:szCs w:val="20"/>
                <w:color w:val="auto"/>
              </w:rPr>
            </w:pPr>
            <w:r>
              <w:rPr>
                <w:rFonts w:ascii="Arial" w:cs="Arial" w:eastAsia="Arial" w:hAnsi="Arial"/>
                <w:sz w:val="18"/>
                <w:szCs w:val="18"/>
                <w:color w:val="auto"/>
              </w:rPr>
              <w:t>2,343</w:t>
            </w:r>
          </w:p>
        </w:tc>
      </w:tr>
      <w:tr>
        <w:trPr>
          <w:trHeight w:val="277"/>
        </w:trPr>
        <w:tc>
          <w:tcPr>
            <w:tcW w:w="7880" w:type="dxa"/>
            <w:vAlign w:val="bottom"/>
            <w:shd w:val="clear" w:color="auto" w:fill="CCEEFF"/>
          </w:tcPr>
          <w:p>
            <w:pPr>
              <w:ind w:left="180"/>
              <w:spacing w:after="0"/>
              <w:rPr>
                <w:sz w:val="20"/>
                <w:szCs w:val="20"/>
                <w:color w:val="auto"/>
              </w:rPr>
            </w:pPr>
            <w:r>
              <w:rPr>
                <w:rFonts w:ascii="Arial" w:cs="Arial" w:eastAsia="Arial" w:hAnsi="Arial"/>
                <w:sz w:val="18"/>
                <w:szCs w:val="18"/>
                <w:color w:val="auto"/>
              </w:rPr>
              <w:t>Leases</w:t>
            </w:r>
          </w:p>
        </w:tc>
        <w:tc>
          <w:tcPr>
            <w:tcW w:w="1060" w:type="dxa"/>
            <w:vAlign w:val="bottom"/>
            <w:shd w:val="clear" w:color="auto" w:fill="CCEEFF"/>
          </w:tcPr>
          <w:p>
            <w:pPr>
              <w:spacing w:after="0"/>
              <w:rPr>
                <w:sz w:val="24"/>
                <w:szCs w:val="24"/>
                <w:color w:val="auto"/>
              </w:rPr>
            </w:pPr>
          </w:p>
        </w:tc>
        <w:tc>
          <w:tcPr>
            <w:tcW w:w="660" w:type="dxa"/>
            <w:vAlign w:val="bottom"/>
            <w:shd w:val="clear" w:color="auto" w:fill="CCEEFF"/>
          </w:tcPr>
          <w:p>
            <w:pPr>
              <w:jc w:val="right"/>
              <w:ind w:right="31"/>
              <w:spacing w:after="0"/>
              <w:rPr>
                <w:sz w:val="20"/>
                <w:szCs w:val="20"/>
                <w:color w:val="auto"/>
              </w:rPr>
            </w:pPr>
            <w:r>
              <w:rPr>
                <w:rFonts w:ascii="Arial" w:cs="Arial" w:eastAsia="Arial" w:hAnsi="Arial"/>
                <w:sz w:val="18"/>
                <w:szCs w:val="18"/>
                <w:color w:val="auto"/>
              </w:rPr>
              <w:t>2,077</w:t>
            </w:r>
          </w:p>
        </w:tc>
        <w:tc>
          <w:tcPr>
            <w:tcW w:w="100" w:type="dxa"/>
            <w:vAlign w:val="bottom"/>
            <w:shd w:val="clear" w:color="auto" w:fill="CCEEFF"/>
          </w:tcPr>
          <w:p>
            <w:pPr>
              <w:spacing w:after="0"/>
              <w:rPr>
                <w:sz w:val="24"/>
                <w:szCs w:val="24"/>
                <w:color w:val="auto"/>
              </w:rPr>
            </w:pPr>
          </w:p>
        </w:tc>
        <w:tc>
          <w:tcPr>
            <w:tcW w:w="560" w:type="dxa"/>
            <w:vAlign w:val="bottom"/>
            <w:shd w:val="clear" w:color="auto" w:fill="CCEEFF"/>
          </w:tcPr>
          <w:p>
            <w:pPr>
              <w:spacing w:after="0"/>
              <w:rPr>
                <w:sz w:val="24"/>
                <w:szCs w:val="24"/>
                <w:color w:val="auto"/>
              </w:rPr>
            </w:pPr>
          </w:p>
        </w:tc>
        <w:tc>
          <w:tcPr>
            <w:tcW w:w="116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2,189</w:t>
            </w:r>
          </w:p>
        </w:tc>
      </w:tr>
      <w:tr>
        <w:trPr>
          <w:trHeight w:val="263"/>
        </w:trPr>
        <w:tc>
          <w:tcPr>
            <w:tcW w:w="7880" w:type="dxa"/>
            <w:vAlign w:val="bottom"/>
          </w:tcPr>
          <w:p>
            <w:pPr>
              <w:ind w:left="180"/>
              <w:spacing w:after="0"/>
              <w:rPr>
                <w:sz w:val="20"/>
                <w:szCs w:val="20"/>
                <w:color w:val="auto"/>
              </w:rPr>
            </w:pPr>
            <w:r>
              <w:rPr>
                <w:rFonts w:ascii="Arial" w:cs="Arial" w:eastAsia="Arial" w:hAnsi="Arial"/>
                <w:sz w:val="18"/>
                <w:szCs w:val="18"/>
                <w:color w:val="auto"/>
              </w:rPr>
              <w:t>Loyalty program liability</w:t>
            </w:r>
          </w:p>
        </w:tc>
        <w:tc>
          <w:tcPr>
            <w:tcW w:w="1060" w:type="dxa"/>
            <w:vAlign w:val="bottom"/>
          </w:tcPr>
          <w:p>
            <w:pPr>
              <w:spacing w:after="0"/>
              <w:rPr>
                <w:sz w:val="22"/>
                <w:szCs w:val="22"/>
                <w:color w:val="auto"/>
              </w:rPr>
            </w:pPr>
          </w:p>
        </w:tc>
        <w:tc>
          <w:tcPr>
            <w:tcW w:w="660" w:type="dxa"/>
            <w:vAlign w:val="bottom"/>
          </w:tcPr>
          <w:p>
            <w:pPr>
              <w:jc w:val="right"/>
              <w:ind w:right="31"/>
              <w:spacing w:after="0"/>
              <w:rPr>
                <w:sz w:val="20"/>
                <w:szCs w:val="20"/>
                <w:color w:val="auto"/>
              </w:rPr>
            </w:pPr>
            <w:r>
              <w:rPr>
                <w:rFonts w:ascii="Arial" w:cs="Arial" w:eastAsia="Arial" w:hAnsi="Arial"/>
                <w:sz w:val="18"/>
                <w:szCs w:val="18"/>
                <w:color w:val="auto"/>
              </w:rPr>
              <w:t>1,755</w:t>
            </w:r>
          </w:p>
        </w:tc>
        <w:tc>
          <w:tcPr>
            <w:tcW w:w="100" w:type="dxa"/>
            <w:vAlign w:val="bottom"/>
          </w:tcPr>
          <w:p>
            <w:pPr>
              <w:spacing w:after="0"/>
              <w:rPr>
                <w:sz w:val="22"/>
                <w:szCs w:val="22"/>
                <w:color w:val="auto"/>
              </w:rPr>
            </w:pPr>
          </w:p>
        </w:tc>
        <w:tc>
          <w:tcPr>
            <w:tcW w:w="560" w:type="dxa"/>
            <w:vAlign w:val="bottom"/>
          </w:tcPr>
          <w:p>
            <w:pPr>
              <w:spacing w:after="0"/>
              <w:rPr>
                <w:sz w:val="22"/>
                <w:szCs w:val="22"/>
                <w:color w:val="auto"/>
              </w:rPr>
            </w:pPr>
          </w:p>
        </w:tc>
        <w:tc>
          <w:tcPr>
            <w:tcW w:w="1160" w:type="dxa"/>
            <w:vAlign w:val="bottom"/>
          </w:tcPr>
          <w:p>
            <w:pPr>
              <w:jc w:val="right"/>
              <w:ind w:right="11"/>
              <w:spacing w:after="0"/>
              <w:rPr>
                <w:sz w:val="20"/>
                <w:szCs w:val="20"/>
                <w:color w:val="auto"/>
              </w:rPr>
            </w:pPr>
            <w:r>
              <w:rPr>
                <w:rFonts w:ascii="Arial" w:cs="Arial" w:eastAsia="Arial" w:hAnsi="Arial"/>
                <w:sz w:val="18"/>
                <w:szCs w:val="18"/>
                <w:color w:val="auto"/>
              </w:rPr>
              <w:t>1,770</w:t>
            </w:r>
          </w:p>
        </w:tc>
      </w:tr>
      <w:tr>
        <w:trPr>
          <w:trHeight w:val="277"/>
        </w:trPr>
        <w:tc>
          <w:tcPr>
            <w:tcW w:w="7880" w:type="dxa"/>
            <w:vAlign w:val="bottom"/>
            <w:shd w:val="clear" w:color="auto" w:fill="CCEEFF"/>
          </w:tcPr>
          <w:p>
            <w:pPr>
              <w:ind w:left="180"/>
              <w:spacing w:after="0"/>
              <w:rPr>
                <w:sz w:val="20"/>
                <w:szCs w:val="20"/>
                <w:color w:val="auto"/>
              </w:rPr>
            </w:pPr>
            <w:r>
              <w:rPr>
                <w:rFonts w:ascii="Arial" w:cs="Arial" w:eastAsia="Arial" w:hAnsi="Arial"/>
                <w:sz w:val="18"/>
                <w:szCs w:val="18"/>
                <w:color w:val="auto"/>
              </w:rPr>
              <w:t>Pensions</w:t>
            </w:r>
          </w:p>
        </w:tc>
        <w:tc>
          <w:tcPr>
            <w:tcW w:w="1060" w:type="dxa"/>
            <w:vAlign w:val="bottom"/>
            <w:shd w:val="clear" w:color="auto" w:fill="CCEEFF"/>
          </w:tcPr>
          <w:p>
            <w:pPr>
              <w:spacing w:after="0"/>
              <w:rPr>
                <w:sz w:val="24"/>
                <w:szCs w:val="24"/>
                <w:color w:val="auto"/>
              </w:rPr>
            </w:pPr>
          </w:p>
        </w:tc>
        <w:tc>
          <w:tcPr>
            <w:tcW w:w="660" w:type="dxa"/>
            <w:vAlign w:val="bottom"/>
            <w:shd w:val="clear" w:color="auto" w:fill="CCEEFF"/>
          </w:tcPr>
          <w:p>
            <w:pPr>
              <w:jc w:val="right"/>
              <w:ind w:right="31"/>
              <w:spacing w:after="0"/>
              <w:rPr>
                <w:sz w:val="20"/>
                <w:szCs w:val="20"/>
                <w:color w:val="auto"/>
              </w:rPr>
            </w:pPr>
            <w:r>
              <w:rPr>
                <w:rFonts w:ascii="Arial" w:cs="Arial" w:eastAsia="Arial" w:hAnsi="Arial"/>
                <w:sz w:val="18"/>
                <w:szCs w:val="18"/>
                <w:color w:val="auto"/>
              </w:rPr>
              <w:t>1,229</w:t>
            </w:r>
          </w:p>
        </w:tc>
        <w:tc>
          <w:tcPr>
            <w:tcW w:w="100" w:type="dxa"/>
            <w:vAlign w:val="bottom"/>
            <w:shd w:val="clear" w:color="auto" w:fill="CCEEFF"/>
          </w:tcPr>
          <w:p>
            <w:pPr>
              <w:spacing w:after="0"/>
              <w:rPr>
                <w:sz w:val="24"/>
                <w:szCs w:val="24"/>
                <w:color w:val="auto"/>
              </w:rPr>
            </w:pPr>
          </w:p>
        </w:tc>
        <w:tc>
          <w:tcPr>
            <w:tcW w:w="560" w:type="dxa"/>
            <w:vAlign w:val="bottom"/>
            <w:shd w:val="clear" w:color="auto" w:fill="CCEEFF"/>
          </w:tcPr>
          <w:p>
            <w:pPr>
              <w:spacing w:after="0"/>
              <w:rPr>
                <w:sz w:val="24"/>
                <w:szCs w:val="24"/>
                <w:color w:val="auto"/>
              </w:rPr>
            </w:pPr>
          </w:p>
        </w:tc>
        <w:tc>
          <w:tcPr>
            <w:tcW w:w="116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1,430</w:t>
            </w:r>
          </w:p>
        </w:tc>
      </w:tr>
      <w:tr>
        <w:trPr>
          <w:trHeight w:val="263"/>
        </w:trPr>
        <w:tc>
          <w:tcPr>
            <w:tcW w:w="7880" w:type="dxa"/>
            <w:vAlign w:val="bottom"/>
          </w:tcPr>
          <w:p>
            <w:pPr>
              <w:ind w:left="180"/>
              <w:spacing w:after="0"/>
              <w:rPr>
                <w:sz w:val="20"/>
                <w:szCs w:val="20"/>
                <w:color w:val="auto"/>
              </w:rPr>
            </w:pPr>
            <w:r>
              <w:rPr>
                <w:rFonts w:ascii="Arial" w:cs="Arial" w:eastAsia="Arial" w:hAnsi="Arial"/>
                <w:sz w:val="18"/>
                <w:szCs w:val="18"/>
                <w:color w:val="auto"/>
              </w:rPr>
              <w:t>Postretirement benefits other than pensions</w:t>
            </w:r>
          </w:p>
        </w:tc>
        <w:tc>
          <w:tcPr>
            <w:tcW w:w="1060" w:type="dxa"/>
            <w:vAlign w:val="bottom"/>
          </w:tcPr>
          <w:p>
            <w:pPr>
              <w:spacing w:after="0"/>
              <w:rPr>
                <w:sz w:val="22"/>
                <w:szCs w:val="22"/>
                <w:color w:val="auto"/>
              </w:rPr>
            </w:pPr>
          </w:p>
        </w:tc>
        <w:tc>
          <w:tcPr>
            <w:tcW w:w="660" w:type="dxa"/>
            <w:vAlign w:val="bottom"/>
          </w:tcPr>
          <w:p>
            <w:pPr>
              <w:jc w:val="right"/>
              <w:ind w:right="31"/>
              <w:spacing w:after="0"/>
              <w:rPr>
                <w:sz w:val="20"/>
                <w:szCs w:val="20"/>
                <w:color w:val="auto"/>
              </w:rPr>
            </w:pPr>
            <w:r>
              <w:rPr>
                <w:rFonts w:ascii="Arial" w:cs="Arial" w:eastAsia="Arial" w:hAnsi="Arial"/>
                <w:sz w:val="18"/>
                <w:szCs w:val="18"/>
                <w:color w:val="auto"/>
              </w:rPr>
              <w:t>145</w:t>
            </w:r>
          </w:p>
        </w:tc>
        <w:tc>
          <w:tcPr>
            <w:tcW w:w="100" w:type="dxa"/>
            <w:vAlign w:val="bottom"/>
          </w:tcPr>
          <w:p>
            <w:pPr>
              <w:spacing w:after="0"/>
              <w:rPr>
                <w:sz w:val="22"/>
                <w:szCs w:val="22"/>
                <w:color w:val="auto"/>
              </w:rPr>
            </w:pPr>
          </w:p>
        </w:tc>
        <w:tc>
          <w:tcPr>
            <w:tcW w:w="560" w:type="dxa"/>
            <w:vAlign w:val="bottom"/>
          </w:tcPr>
          <w:p>
            <w:pPr>
              <w:spacing w:after="0"/>
              <w:rPr>
                <w:sz w:val="22"/>
                <w:szCs w:val="22"/>
                <w:color w:val="auto"/>
              </w:rPr>
            </w:pPr>
          </w:p>
        </w:tc>
        <w:tc>
          <w:tcPr>
            <w:tcW w:w="1160" w:type="dxa"/>
            <w:vAlign w:val="bottom"/>
          </w:tcPr>
          <w:p>
            <w:pPr>
              <w:jc w:val="right"/>
              <w:ind w:right="11"/>
              <w:spacing w:after="0"/>
              <w:rPr>
                <w:sz w:val="20"/>
                <w:szCs w:val="20"/>
                <w:color w:val="auto"/>
              </w:rPr>
            </w:pPr>
            <w:r>
              <w:rPr>
                <w:rFonts w:ascii="Arial" w:cs="Arial" w:eastAsia="Arial" w:hAnsi="Arial"/>
                <w:sz w:val="18"/>
                <w:szCs w:val="18"/>
                <w:color w:val="auto"/>
              </w:rPr>
              <w:t>145</w:t>
            </w:r>
          </w:p>
        </w:tc>
      </w:tr>
      <w:tr>
        <w:trPr>
          <w:trHeight w:val="277"/>
        </w:trPr>
        <w:tc>
          <w:tcPr>
            <w:tcW w:w="7880" w:type="dxa"/>
            <w:vAlign w:val="bottom"/>
            <w:shd w:val="clear" w:color="auto" w:fill="CCEEFF"/>
          </w:tcPr>
          <w:p>
            <w:pPr>
              <w:ind w:left="180"/>
              <w:spacing w:after="0"/>
              <w:rPr>
                <w:sz w:val="20"/>
                <w:szCs w:val="20"/>
                <w:color w:val="auto"/>
              </w:rPr>
            </w:pPr>
            <w:r>
              <w:rPr>
                <w:rFonts w:ascii="Arial" w:cs="Arial" w:eastAsia="Arial" w:hAnsi="Arial"/>
                <w:sz w:val="18"/>
                <w:szCs w:val="18"/>
                <w:color w:val="auto"/>
              </w:rPr>
              <w:t>Rent expense</w:t>
            </w:r>
          </w:p>
        </w:tc>
        <w:tc>
          <w:tcPr>
            <w:tcW w:w="1060" w:type="dxa"/>
            <w:vAlign w:val="bottom"/>
            <w:shd w:val="clear" w:color="auto" w:fill="CCEEFF"/>
          </w:tcPr>
          <w:p>
            <w:pPr>
              <w:spacing w:after="0"/>
              <w:rPr>
                <w:sz w:val="24"/>
                <w:szCs w:val="24"/>
                <w:color w:val="auto"/>
              </w:rPr>
            </w:pPr>
          </w:p>
        </w:tc>
        <w:tc>
          <w:tcPr>
            <w:tcW w:w="660" w:type="dxa"/>
            <w:vAlign w:val="bottom"/>
            <w:shd w:val="clear" w:color="auto" w:fill="CCEEFF"/>
          </w:tcPr>
          <w:p>
            <w:pPr>
              <w:jc w:val="right"/>
              <w:ind w:right="31"/>
              <w:spacing w:after="0"/>
              <w:rPr>
                <w:sz w:val="20"/>
                <w:szCs w:val="20"/>
                <w:color w:val="auto"/>
              </w:rPr>
            </w:pPr>
            <w:r>
              <w:rPr>
                <w:rFonts w:ascii="Arial" w:cs="Arial" w:eastAsia="Arial" w:hAnsi="Arial"/>
                <w:sz w:val="18"/>
                <w:szCs w:val="18"/>
                <w:color w:val="auto"/>
              </w:rPr>
              <w:t>126</w:t>
            </w:r>
          </w:p>
        </w:tc>
        <w:tc>
          <w:tcPr>
            <w:tcW w:w="100" w:type="dxa"/>
            <w:vAlign w:val="bottom"/>
            <w:shd w:val="clear" w:color="auto" w:fill="CCEEFF"/>
          </w:tcPr>
          <w:p>
            <w:pPr>
              <w:spacing w:after="0"/>
              <w:rPr>
                <w:sz w:val="24"/>
                <w:szCs w:val="24"/>
                <w:color w:val="auto"/>
              </w:rPr>
            </w:pPr>
          </w:p>
        </w:tc>
        <w:tc>
          <w:tcPr>
            <w:tcW w:w="560" w:type="dxa"/>
            <w:vAlign w:val="bottom"/>
            <w:shd w:val="clear" w:color="auto" w:fill="CCEEFF"/>
          </w:tcPr>
          <w:p>
            <w:pPr>
              <w:spacing w:after="0"/>
              <w:rPr>
                <w:sz w:val="24"/>
                <w:szCs w:val="24"/>
                <w:color w:val="auto"/>
              </w:rPr>
            </w:pPr>
          </w:p>
        </w:tc>
        <w:tc>
          <w:tcPr>
            <w:tcW w:w="116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136</w:t>
            </w:r>
          </w:p>
        </w:tc>
      </w:tr>
      <w:tr>
        <w:trPr>
          <w:trHeight w:val="263"/>
        </w:trPr>
        <w:tc>
          <w:tcPr>
            <w:tcW w:w="7880" w:type="dxa"/>
            <w:vAlign w:val="bottom"/>
          </w:tcPr>
          <w:p>
            <w:pPr>
              <w:ind w:left="180"/>
              <w:spacing w:after="0"/>
              <w:rPr>
                <w:sz w:val="20"/>
                <w:szCs w:val="20"/>
                <w:color w:val="auto"/>
              </w:rPr>
            </w:pPr>
            <w:r>
              <w:rPr>
                <w:rFonts w:ascii="Arial" w:cs="Arial" w:eastAsia="Arial" w:hAnsi="Arial"/>
                <w:sz w:val="18"/>
                <w:szCs w:val="18"/>
                <w:color w:val="auto"/>
              </w:rPr>
              <w:t>Alternative minimum tax (AMT) credit carryforwards</w:t>
            </w:r>
          </w:p>
        </w:tc>
        <w:tc>
          <w:tcPr>
            <w:tcW w:w="1060" w:type="dxa"/>
            <w:vAlign w:val="bottom"/>
          </w:tcPr>
          <w:p>
            <w:pPr>
              <w:spacing w:after="0"/>
              <w:rPr>
                <w:sz w:val="22"/>
                <w:szCs w:val="22"/>
                <w:color w:val="auto"/>
              </w:rPr>
            </w:pPr>
          </w:p>
        </w:tc>
        <w:tc>
          <w:tcPr>
            <w:tcW w:w="660" w:type="dxa"/>
            <w:vAlign w:val="bottom"/>
          </w:tcPr>
          <w:p>
            <w:pPr>
              <w:jc w:val="right"/>
              <w:ind w:right="31"/>
              <w:spacing w:after="0"/>
              <w:rPr>
                <w:sz w:val="20"/>
                <w:szCs w:val="20"/>
                <w:color w:val="auto"/>
              </w:rPr>
            </w:pPr>
            <w:r>
              <w:rPr>
                <w:rFonts w:ascii="Arial" w:cs="Arial" w:eastAsia="Arial" w:hAnsi="Arial"/>
                <w:sz w:val="18"/>
                <w:szCs w:val="18"/>
                <w:color w:val="auto"/>
              </w:rPr>
              <w:t>90</w:t>
            </w:r>
          </w:p>
        </w:tc>
        <w:tc>
          <w:tcPr>
            <w:tcW w:w="100" w:type="dxa"/>
            <w:vAlign w:val="bottom"/>
          </w:tcPr>
          <w:p>
            <w:pPr>
              <w:spacing w:after="0"/>
              <w:rPr>
                <w:sz w:val="22"/>
                <w:szCs w:val="22"/>
                <w:color w:val="auto"/>
              </w:rPr>
            </w:pPr>
          </w:p>
        </w:tc>
        <w:tc>
          <w:tcPr>
            <w:tcW w:w="560" w:type="dxa"/>
            <w:vAlign w:val="bottom"/>
          </w:tcPr>
          <w:p>
            <w:pPr>
              <w:spacing w:after="0"/>
              <w:rPr>
                <w:sz w:val="22"/>
                <w:szCs w:val="22"/>
                <w:color w:val="auto"/>
              </w:rPr>
            </w:pPr>
          </w:p>
        </w:tc>
        <w:tc>
          <w:tcPr>
            <w:tcW w:w="1160" w:type="dxa"/>
            <w:vAlign w:val="bottom"/>
          </w:tcPr>
          <w:p>
            <w:pPr>
              <w:jc w:val="right"/>
              <w:ind w:right="11"/>
              <w:spacing w:after="0"/>
              <w:rPr>
                <w:sz w:val="20"/>
                <w:szCs w:val="20"/>
                <w:color w:val="auto"/>
              </w:rPr>
            </w:pPr>
            <w:r>
              <w:rPr>
                <w:rFonts w:ascii="Arial" w:cs="Arial" w:eastAsia="Arial" w:hAnsi="Arial"/>
                <w:sz w:val="18"/>
                <w:szCs w:val="18"/>
                <w:color w:val="auto"/>
              </w:rPr>
              <w:t>175</w:t>
            </w:r>
          </w:p>
        </w:tc>
      </w:tr>
      <w:tr>
        <w:trPr>
          <w:trHeight w:val="277"/>
        </w:trPr>
        <w:tc>
          <w:tcPr>
            <w:tcW w:w="7880" w:type="dxa"/>
            <w:vAlign w:val="bottom"/>
            <w:shd w:val="clear" w:color="auto" w:fill="CCEEFF"/>
          </w:tcPr>
          <w:p>
            <w:pPr>
              <w:ind w:left="180"/>
              <w:spacing w:after="0"/>
              <w:rPr>
                <w:sz w:val="20"/>
                <w:szCs w:val="20"/>
                <w:color w:val="auto"/>
              </w:rPr>
            </w:pPr>
            <w:r>
              <w:rPr>
                <w:rFonts w:ascii="Arial" w:cs="Arial" w:eastAsia="Arial" w:hAnsi="Arial"/>
                <w:sz w:val="18"/>
                <w:szCs w:val="18"/>
                <w:color w:val="auto"/>
              </w:rPr>
              <w:t>Reorganization items</w:t>
            </w:r>
          </w:p>
        </w:tc>
        <w:tc>
          <w:tcPr>
            <w:tcW w:w="1060" w:type="dxa"/>
            <w:vAlign w:val="bottom"/>
            <w:shd w:val="clear" w:color="auto" w:fill="CCEEFF"/>
          </w:tcPr>
          <w:p>
            <w:pPr>
              <w:spacing w:after="0"/>
              <w:rPr>
                <w:sz w:val="24"/>
                <w:szCs w:val="24"/>
                <w:color w:val="auto"/>
              </w:rPr>
            </w:pPr>
          </w:p>
        </w:tc>
        <w:tc>
          <w:tcPr>
            <w:tcW w:w="660" w:type="dxa"/>
            <w:vAlign w:val="bottom"/>
            <w:shd w:val="clear" w:color="auto" w:fill="CCEEFF"/>
          </w:tcPr>
          <w:p>
            <w:pPr>
              <w:jc w:val="right"/>
              <w:ind w:right="31"/>
              <w:spacing w:after="0"/>
              <w:rPr>
                <w:sz w:val="20"/>
                <w:szCs w:val="20"/>
                <w:color w:val="auto"/>
              </w:rPr>
            </w:pPr>
            <w:r>
              <w:rPr>
                <w:rFonts w:ascii="Arial" w:cs="Arial" w:eastAsia="Arial" w:hAnsi="Arial"/>
                <w:sz w:val="18"/>
                <w:szCs w:val="18"/>
                <w:color w:val="auto"/>
              </w:rPr>
              <w:t>30</w:t>
            </w:r>
          </w:p>
        </w:tc>
        <w:tc>
          <w:tcPr>
            <w:tcW w:w="100" w:type="dxa"/>
            <w:vAlign w:val="bottom"/>
            <w:shd w:val="clear" w:color="auto" w:fill="CCEEFF"/>
          </w:tcPr>
          <w:p>
            <w:pPr>
              <w:spacing w:after="0"/>
              <w:rPr>
                <w:sz w:val="24"/>
                <w:szCs w:val="24"/>
                <w:color w:val="auto"/>
              </w:rPr>
            </w:pPr>
          </w:p>
        </w:tc>
        <w:tc>
          <w:tcPr>
            <w:tcW w:w="560" w:type="dxa"/>
            <w:vAlign w:val="bottom"/>
            <w:shd w:val="clear" w:color="auto" w:fill="CCEEFF"/>
          </w:tcPr>
          <w:p>
            <w:pPr>
              <w:spacing w:after="0"/>
              <w:rPr>
                <w:sz w:val="24"/>
                <w:szCs w:val="24"/>
                <w:color w:val="auto"/>
              </w:rPr>
            </w:pPr>
          </w:p>
        </w:tc>
        <w:tc>
          <w:tcPr>
            <w:tcW w:w="116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33</w:t>
            </w:r>
          </w:p>
        </w:tc>
      </w:tr>
      <w:tr>
        <w:trPr>
          <w:trHeight w:val="264"/>
        </w:trPr>
        <w:tc>
          <w:tcPr>
            <w:tcW w:w="7880" w:type="dxa"/>
            <w:vAlign w:val="bottom"/>
            <w:tcBorders>
              <w:bottom w:val="single" w:sz="8" w:color="CCEEFF"/>
            </w:tcBorders>
          </w:tcPr>
          <w:p>
            <w:pPr>
              <w:ind w:left="180"/>
              <w:spacing w:after="0"/>
              <w:rPr>
                <w:sz w:val="20"/>
                <w:szCs w:val="20"/>
                <w:color w:val="auto"/>
              </w:rPr>
            </w:pPr>
            <w:r>
              <w:rPr>
                <w:rFonts w:ascii="Arial" w:cs="Arial" w:eastAsia="Arial" w:hAnsi="Arial"/>
                <w:sz w:val="18"/>
                <w:szCs w:val="18"/>
                <w:color w:val="auto"/>
              </w:rPr>
              <w:t>Other</w:t>
            </w:r>
          </w:p>
        </w:tc>
        <w:tc>
          <w:tcPr>
            <w:tcW w:w="1060" w:type="dxa"/>
            <w:vAlign w:val="bottom"/>
            <w:tcBorders>
              <w:bottom w:val="single" w:sz="8" w:color="auto"/>
            </w:tcBorders>
          </w:tcPr>
          <w:p>
            <w:pPr>
              <w:spacing w:after="0"/>
              <w:rPr>
                <w:sz w:val="22"/>
                <w:szCs w:val="22"/>
                <w:color w:val="auto"/>
              </w:rPr>
            </w:pPr>
          </w:p>
        </w:tc>
        <w:tc>
          <w:tcPr>
            <w:tcW w:w="660" w:type="dxa"/>
            <w:vAlign w:val="bottom"/>
            <w:tcBorders>
              <w:bottom w:val="single" w:sz="8" w:color="auto"/>
            </w:tcBorders>
          </w:tcPr>
          <w:p>
            <w:pPr>
              <w:jc w:val="right"/>
              <w:ind w:right="31"/>
              <w:spacing w:after="0"/>
              <w:rPr>
                <w:sz w:val="20"/>
                <w:szCs w:val="20"/>
                <w:color w:val="auto"/>
              </w:rPr>
            </w:pPr>
            <w:r>
              <w:rPr>
                <w:rFonts w:ascii="Arial" w:cs="Arial" w:eastAsia="Arial" w:hAnsi="Arial"/>
                <w:sz w:val="18"/>
                <w:szCs w:val="18"/>
                <w:color w:val="auto"/>
              </w:rPr>
              <w:t>613</w:t>
            </w:r>
          </w:p>
        </w:tc>
        <w:tc>
          <w:tcPr>
            <w:tcW w:w="100" w:type="dxa"/>
            <w:vAlign w:val="bottom"/>
            <w:tcBorders>
              <w:bottom w:val="single" w:sz="8" w:color="CCEEFF"/>
            </w:tcBorders>
          </w:tcPr>
          <w:p>
            <w:pPr>
              <w:spacing w:after="0"/>
              <w:rPr>
                <w:sz w:val="22"/>
                <w:szCs w:val="22"/>
                <w:color w:val="auto"/>
              </w:rPr>
            </w:pPr>
          </w:p>
        </w:tc>
        <w:tc>
          <w:tcPr>
            <w:tcW w:w="560" w:type="dxa"/>
            <w:vAlign w:val="bottom"/>
            <w:tcBorders>
              <w:bottom w:val="single" w:sz="8" w:color="auto"/>
            </w:tcBorders>
          </w:tcPr>
          <w:p>
            <w:pPr>
              <w:spacing w:after="0"/>
              <w:rPr>
                <w:sz w:val="22"/>
                <w:szCs w:val="22"/>
                <w:color w:val="auto"/>
              </w:rPr>
            </w:pPr>
          </w:p>
        </w:tc>
        <w:tc>
          <w:tcPr>
            <w:tcW w:w="1160" w:type="dxa"/>
            <w:vAlign w:val="bottom"/>
            <w:tcBorders>
              <w:bottom w:val="single" w:sz="8" w:color="auto"/>
            </w:tcBorders>
          </w:tcPr>
          <w:p>
            <w:pPr>
              <w:jc w:val="right"/>
              <w:ind w:right="11"/>
              <w:spacing w:after="0"/>
              <w:rPr>
                <w:sz w:val="20"/>
                <w:szCs w:val="20"/>
                <w:color w:val="auto"/>
              </w:rPr>
            </w:pPr>
            <w:r>
              <w:rPr>
                <w:rFonts w:ascii="Arial" w:cs="Arial" w:eastAsia="Arial" w:hAnsi="Arial"/>
                <w:sz w:val="18"/>
                <w:szCs w:val="18"/>
                <w:color w:val="auto"/>
              </w:rPr>
              <w:t>631</w:t>
            </w:r>
          </w:p>
        </w:tc>
      </w:tr>
      <w:tr>
        <w:trPr>
          <w:trHeight w:val="257"/>
        </w:trPr>
        <w:tc>
          <w:tcPr>
            <w:tcW w:w="7880" w:type="dxa"/>
            <w:vAlign w:val="bottom"/>
            <w:shd w:val="clear" w:color="auto" w:fill="CCEEFF"/>
          </w:tcPr>
          <w:p>
            <w:pPr>
              <w:ind w:left="380"/>
              <w:spacing w:after="0"/>
              <w:rPr>
                <w:sz w:val="20"/>
                <w:szCs w:val="20"/>
                <w:color w:val="auto"/>
              </w:rPr>
            </w:pPr>
            <w:r>
              <w:rPr>
                <w:rFonts w:ascii="Arial" w:cs="Arial" w:eastAsia="Arial" w:hAnsi="Arial"/>
                <w:sz w:val="18"/>
                <w:szCs w:val="18"/>
                <w:color w:val="auto"/>
              </w:rPr>
              <w:t>Total deferred tax assets</w:t>
            </w:r>
          </w:p>
        </w:tc>
        <w:tc>
          <w:tcPr>
            <w:tcW w:w="1060" w:type="dxa"/>
            <w:vAlign w:val="bottom"/>
            <w:shd w:val="clear" w:color="auto" w:fill="CCEEFF"/>
          </w:tcPr>
          <w:p>
            <w:pPr>
              <w:spacing w:after="0"/>
              <w:rPr>
                <w:sz w:val="22"/>
                <w:szCs w:val="22"/>
                <w:color w:val="auto"/>
              </w:rPr>
            </w:pPr>
          </w:p>
        </w:tc>
        <w:tc>
          <w:tcPr>
            <w:tcW w:w="660" w:type="dxa"/>
            <w:vAlign w:val="bottom"/>
            <w:shd w:val="clear" w:color="auto" w:fill="CCEEFF"/>
          </w:tcPr>
          <w:p>
            <w:pPr>
              <w:jc w:val="right"/>
              <w:ind w:right="31"/>
              <w:spacing w:after="0"/>
              <w:rPr>
                <w:sz w:val="20"/>
                <w:szCs w:val="20"/>
                <w:color w:val="auto"/>
              </w:rPr>
            </w:pPr>
            <w:r>
              <w:rPr>
                <w:rFonts w:ascii="Arial" w:cs="Arial" w:eastAsia="Arial" w:hAnsi="Arial"/>
                <w:sz w:val="18"/>
                <w:szCs w:val="18"/>
                <w:color w:val="auto"/>
              </w:rPr>
              <w:t>8,168</w:t>
            </w:r>
          </w:p>
        </w:tc>
        <w:tc>
          <w:tcPr>
            <w:tcW w:w="100" w:type="dxa"/>
            <w:vAlign w:val="bottom"/>
            <w:shd w:val="clear" w:color="auto" w:fill="CCEEFF"/>
          </w:tcPr>
          <w:p>
            <w:pPr>
              <w:spacing w:after="0"/>
              <w:rPr>
                <w:sz w:val="22"/>
                <w:szCs w:val="22"/>
                <w:color w:val="auto"/>
              </w:rPr>
            </w:pPr>
          </w:p>
        </w:tc>
        <w:tc>
          <w:tcPr>
            <w:tcW w:w="560" w:type="dxa"/>
            <w:vAlign w:val="bottom"/>
            <w:shd w:val="clear" w:color="auto" w:fill="CCEEFF"/>
          </w:tcPr>
          <w:p>
            <w:pPr>
              <w:spacing w:after="0"/>
              <w:rPr>
                <w:sz w:val="22"/>
                <w:szCs w:val="22"/>
                <w:color w:val="auto"/>
              </w:rPr>
            </w:pPr>
          </w:p>
        </w:tc>
        <w:tc>
          <w:tcPr>
            <w:tcW w:w="116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8,852</w:t>
            </w:r>
          </w:p>
        </w:tc>
      </w:tr>
      <w:tr>
        <w:trPr>
          <w:trHeight w:val="264"/>
        </w:trPr>
        <w:tc>
          <w:tcPr>
            <w:tcW w:w="7880" w:type="dxa"/>
            <w:vAlign w:val="bottom"/>
            <w:tcBorders>
              <w:bottom w:val="single" w:sz="8" w:color="CCEEFF"/>
            </w:tcBorders>
          </w:tcPr>
          <w:p>
            <w:pPr>
              <w:ind w:left="380"/>
              <w:spacing w:after="0"/>
              <w:rPr>
                <w:sz w:val="20"/>
                <w:szCs w:val="20"/>
                <w:color w:val="auto"/>
              </w:rPr>
            </w:pPr>
            <w:r>
              <w:rPr>
                <w:rFonts w:ascii="Arial" w:cs="Arial" w:eastAsia="Arial" w:hAnsi="Arial"/>
                <w:sz w:val="18"/>
                <w:szCs w:val="18"/>
                <w:color w:val="auto"/>
              </w:rPr>
              <w:t>Valuation allowance</w:t>
            </w:r>
          </w:p>
        </w:tc>
        <w:tc>
          <w:tcPr>
            <w:tcW w:w="1060" w:type="dxa"/>
            <w:vAlign w:val="bottom"/>
            <w:tcBorders>
              <w:bottom w:val="single" w:sz="8" w:color="auto"/>
            </w:tcBorders>
          </w:tcPr>
          <w:p>
            <w:pPr>
              <w:spacing w:after="0"/>
              <w:rPr>
                <w:sz w:val="22"/>
                <w:szCs w:val="22"/>
                <w:color w:val="auto"/>
              </w:rPr>
            </w:pP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(34)</w:t>
            </w:r>
          </w:p>
        </w:tc>
        <w:tc>
          <w:tcPr>
            <w:tcW w:w="100" w:type="dxa"/>
            <w:vAlign w:val="bottom"/>
            <w:tcBorders>
              <w:bottom w:val="single" w:sz="8" w:color="CCEEFF"/>
            </w:tcBorders>
          </w:tcPr>
          <w:p>
            <w:pPr>
              <w:spacing w:after="0"/>
              <w:rPr>
                <w:sz w:val="22"/>
                <w:szCs w:val="22"/>
                <w:color w:val="auto"/>
              </w:rPr>
            </w:pPr>
          </w:p>
        </w:tc>
        <w:tc>
          <w:tcPr>
            <w:tcW w:w="560" w:type="dxa"/>
            <w:vAlign w:val="bottom"/>
            <w:tcBorders>
              <w:bottom w:val="single" w:sz="8" w:color="auto"/>
            </w:tcBorders>
          </w:tcPr>
          <w:p>
            <w:pPr>
              <w:spacing w:after="0"/>
              <w:rPr>
                <w:sz w:val="22"/>
                <w:szCs w:val="22"/>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(30)</w:t>
            </w:r>
          </w:p>
        </w:tc>
      </w:tr>
      <w:tr>
        <w:trPr>
          <w:trHeight w:val="257"/>
        </w:trPr>
        <w:tc>
          <w:tcPr>
            <w:tcW w:w="7880" w:type="dxa"/>
            <w:vAlign w:val="bottom"/>
            <w:shd w:val="clear" w:color="auto" w:fill="CCEEFF"/>
          </w:tcPr>
          <w:p>
            <w:pPr>
              <w:ind w:left="600"/>
              <w:spacing w:after="0"/>
              <w:rPr>
                <w:sz w:val="20"/>
                <w:szCs w:val="20"/>
                <w:color w:val="auto"/>
              </w:rPr>
            </w:pPr>
            <w:r>
              <w:rPr>
                <w:rFonts w:ascii="Arial" w:cs="Arial" w:eastAsia="Arial" w:hAnsi="Arial"/>
                <w:sz w:val="18"/>
                <w:szCs w:val="18"/>
                <w:color w:val="auto"/>
              </w:rPr>
              <w:t>Net deferred tax assets</w:t>
            </w:r>
          </w:p>
        </w:tc>
        <w:tc>
          <w:tcPr>
            <w:tcW w:w="1060" w:type="dxa"/>
            <w:vAlign w:val="bottom"/>
            <w:tcBorders>
              <w:bottom w:val="single" w:sz="8" w:color="auto"/>
            </w:tcBorders>
            <w:shd w:val="clear" w:color="auto" w:fill="CCEEFF"/>
          </w:tcPr>
          <w:p>
            <w:pPr>
              <w:spacing w:after="0"/>
              <w:rPr>
                <w:sz w:val="22"/>
                <w:szCs w:val="22"/>
                <w:color w:val="auto"/>
              </w:rPr>
            </w:pPr>
          </w:p>
        </w:tc>
        <w:tc>
          <w:tcPr>
            <w:tcW w:w="660" w:type="dxa"/>
            <w:vAlign w:val="bottom"/>
            <w:tcBorders>
              <w:bottom w:val="single" w:sz="8" w:color="auto"/>
            </w:tcBorders>
            <w:shd w:val="clear" w:color="auto" w:fill="CCEEFF"/>
          </w:tcPr>
          <w:p>
            <w:pPr>
              <w:jc w:val="right"/>
              <w:ind w:right="31"/>
              <w:spacing w:after="0"/>
              <w:rPr>
                <w:sz w:val="20"/>
                <w:szCs w:val="20"/>
                <w:color w:val="auto"/>
              </w:rPr>
            </w:pPr>
            <w:r>
              <w:rPr>
                <w:rFonts w:ascii="Arial" w:cs="Arial" w:eastAsia="Arial" w:hAnsi="Arial"/>
                <w:sz w:val="18"/>
                <w:szCs w:val="18"/>
                <w:color w:val="auto"/>
              </w:rPr>
              <w:t>8,134</w:t>
            </w:r>
          </w:p>
        </w:tc>
        <w:tc>
          <w:tcPr>
            <w:tcW w:w="100" w:type="dxa"/>
            <w:vAlign w:val="bottom"/>
            <w:shd w:val="clear" w:color="auto" w:fill="CCEEFF"/>
          </w:tcPr>
          <w:p>
            <w:pPr>
              <w:spacing w:after="0"/>
              <w:rPr>
                <w:sz w:val="22"/>
                <w:szCs w:val="22"/>
                <w:color w:val="auto"/>
              </w:rPr>
            </w:pPr>
          </w:p>
        </w:tc>
        <w:tc>
          <w:tcPr>
            <w:tcW w:w="560" w:type="dxa"/>
            <w:vAlign w:val="bottom"/>
            <w:tcBorders>
              <w:bottom w:val="single" w:sz="8" w:color="auto"/>
            </w:tcBorders>
            <w:shd w:val="clear" w:color="auto" w:fill="CCEEFF"/>
          </w:tcPr>
          <w:p>
            <w:pPr>
              <w:spacing w:after="0"/>
              <w:rPr>
                <w:sz w:val="22"/>
                <w:szCs w:val="22"/>
                <w:color w:val="auto"/>
              </w:rPr>
            </w:pPr>
          </w:p>
        </w:tc>
        <w:tc>
          <w:tcPr>
            <w:tcW w:w="1160" w:type="dxa"/>
            <w:vAlign w:val="bottom"/>
            <w:tcBorders>
              <w:bottom w:val="single" w:sz="8" w:color="auto"/>
            </w:tcBorders>
            <w:shd w:val="clear" w:color="auto" w:fill="CCEEFF"/>
          </w:tcPr>
          <w:p>
            <w:pPr>
              <w:jc w:val="right"/>
              <w:ind w:right="11"/>
              <w:spacing w:after="0"/>
              <w:rPr>
                <w:sz w:val="20"/>
                <w:szCs w:val="20"/>
                <w:color w:val="auto"/>
              </w:rPr>
            </w:pPr>
            <w:r>
              <w:rPr>
                <w:rFonts w:ascii="Arial" w:cs="Arial" w:eastAsia="Arial" w:hAnsi="Arial"/>
                <w:sz w:val="18"/>
                <w:szCs w:val="18"/>
                <w:color w:val="auto"/>
              </w:rPr>
              <w:t>8,822</w:t>
            </w:r>
          </w:p>
        </w:tc>
      </w:tr>
      <w:tr>
        <w:trPr>
          <w:trHeight w:val="257"/>
        </w:trPr>
        <w:tc>
          <w:tcPr>
            <w:tcW w:w="7880" w:type="dxa"/>
            <w:vAlign w:val="bottom"/>
          </w:tcPr>
          <w:p>
            <w:pPr>
              <w:ind w:left="40"/>
              <w:spacing w:after="0"/>
              <w:rPr>
                <w:sz w:val="20"/>
                <w:szCs w:val="20"/>
                <w:color w:val="auto"/>
              </w:rPr>
            </w:pPr>
            <w:r>
              <w:rPr>
                <w:rFonts w:ascii="Arial" w:cs="Arial" w:eastAsia="Arial" w:hAnsi="Arial"/>
                <w:sz w:val="18"/>
                <w:szCs w:val="18"/>
                <w:color w:val="auto"/>
              </w:rPr>
              <w:t>Deferred tax liabilities:</w:t>
            </w:r>
          </w:p>
        </w:tc>
        <w:tc>
          <w:tcPr>
            <w:tcW w:w="1060" w:type="dxa"/>
            <w:vAlign w:val="bottom"/>
          </w:tcPr>
          <w:p>
            <w:pPr>
              <w:spacing w:after="0"/>
              <w:rPr>
                <w:sz w:val="22"/>
                <w:szCs w:val="22"/>
                <w:color w:val="auto"/>
              </w:rPr>
            </w:pPr>
          </w:p>
        </w:tc>
        <w:tc>
          <w:tcPr>
            <w:tcW w:w="66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560" w:type="dxa"/>
            <w:vAlign w:val="bottom"/>
          </w:tcPr>
          <w:p>
            <w:pPr>
              <w:spacing w:after="0"/>
              <w:rPr>
                <w:sz w:val="22"/>
                <w:szCs w:val="22"/>
                <w:color w:val="auto"/>
              </w:rPr>
            </w:pPr>
          </w:p>
        </w:tc>
        <w:tc>
          <w:tcPr>
            <w:tcW w:w="1160" w:type="dxa"/>
            <w:vAlign w:val="bottom"/>
          </w:tcPr>
          <w:p>
            <w:pPr>
              <w:spacing w:after="0"/>
              <w:rPr>
                <w:sz w:val="22"/>
                <w:szCs w:val="22"/>
                <w:color w:val="auto"/>
              </w:rPr>
            </w:pPr>
          </w:p>
        </w:tc>
      </w:tr>
      <w:tr>
        <w:trPr>
          <w:trHeight w:val="277"/>
        </w:trPr>
        <w:tc>
          <w:tcPr>
            <w:tcW w:w="7880" w:type="dxa"/>
            <w:vAlign w:val="bottom"/>
            <w:shd w:val="clear" w:color="auto" w:fill="CCEEFF"/>
          </w:tcPr>
          <w:p>
            <w:pPr>
              <w:ind w:left="180"/>
              <w:spacing w:after="0"/>
              <w:rPr>
                <w:sz w:val="20"/>
                <w:szCs w:val="20"/>
                <w:color w:val="auto"/>
              </w:rPr>
            </w:pPr>
            <w:r>
              <w:rPr>
                <w:rFonts w:ascii="Arial" w:cs="Arial" w:eastAsia="Arial" w:hAnsi="Arial"/>
                <w:sz w:val="18"/>
                <w:szCs w:val="18"/>
                <w:color w:val="auto"/>
              </w:rPr>
              <w:t>Accelerated depreciation and amortization</w:t>
            </w:r>
          </w:p>
        </w:tc>
        <w:tc>
          <w:tcPr>
            <w:tcW w:w="1060" w:type="dxa"/>
            <w:vAlign w:val="bottom"/>
            <w:shd w:val="clear" w:color="auto" w:fill="CCEEFF"/>
          </w:tcPr>
          <w:p>
            <w:pPr>
              <w:spacing w:after="0"/>
              <w:rPr>
                <w:sz w:val="24"/>
                <w:szCs w:val="24"/>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(5,196)</w:t>
            </w:r>
          </w:p>
        </w:tc>
        <w:tc>
          <w:tcPr>
            <w:tcW w:w="100" w:type="dxa"/>
            <w:vAlign w:val="bottom"/>
            <w:shd w:val="clear" w:color="auto" w:fill="CCEEFF"/>
          </w:tcPr>
          <w:p>
            <w:pPr>
              <w:spacing w:after="0"/>
              <w:rPr>
                <w:sz w:val="24"/>
                <w:szCs w:val="24"/>
                <w:color w:val="auto"/>
              </w:rPr>
            </w:pPr>
          </w:p>
        </w:tc>
        <w:tc>
          <w:tcPr>
            <w:tcW w:w="560" w:type="dxa"/>
            <w:vAlign w:val="bottom"/>
            <w:shd w:val="clear" w:color="auto" w:fill="CCEEFF"/>
          </w:tcPr>
          <w:p>
            <w:pPr>
              <w:spacing w:after="0"/>
              <w:rPr>
                <w:sz w:val="24"/>
                <w:szCs w:val="24"/>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(5,280)</w:t>
            </w:r>
          </w:p>
        </w:tc>
      </w:tr>
      <w:tr>
        <w:trPr>
          <w:trHeight w:val="263"/>
        </w:trPr>
        <w:tc>
          <w:tcPr>
            <w:tcW w:w="7880" w:type="dxa"/>
            <w:vAlign w:val="bottom"/>
          </w:tcPr>
          <w:p>
            <w:pPr>
              <w:ind w:left="180"/>
              <w:spacing w:after="0"/>
              <w:rPr>
                <w:sz w:val="20"/>
                <w:szCs w:val="20"/>
                <w:color w:val="auto"/>
              </w:rPr>
            </w:pPr>
            <w:r>
              <w:rPr>
                <w:rFonts w:ascii="Arial" w:cs="Arial" w:eastAsia="Arial" w:hAnsi="Arial"/>
                <w:sz w:val="18"/>
                <w:szCs w:val="18"/>
                <w:color w:val="auto"/>
              </w:rPr>
              <w:t>Leases</w:t>
            </w:r>
          </w:p>
        </w:tc>
        <w:tc>
          <w:tcPr>
            <w:tcW w:w="1060" w:type="dxa"/>
            <w:vAlign w:val="bottom"/>
          </w:tcPr>
          <w:p>
            <w:pPr>
              <w:spacing w:after="0"/>
              <w:rPr>
                <w:sz w:val="22"/>
                <w:szCs w:val="22"/>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(1,979)</w:t>
            </w:r>
          </w:p>
        </w:tc>
        <w:tc>
          <w:tcPr>
            <w:tcW w:w="100" w:type="dxa"/>
            <w:vAlign w:val="bottom"/>
          </w:tcPr>
          <w:p>
            <w:pPr>
              <w:spacing w:after="0"/>
              <w:rPr>
                <w:sz w:val="22"/>
                <w:szCs w:val="22"/>
                <w:color w:val="auto"/>
              </w:rPr>
            </w:pPr>
          </w:p>
        </w:tc>
        <w:tc>
          <w:tcPr>
            <w:tcW w:w="560" w:type="dxa"/>
            <w:vAlign w:val="bottom"/>
          </w:tcPr>
          <w:p>
            <w:pPr>
              <w:spacing w:after="0"/>
              <w:rPr>
                <w:sz w:val="22"/>
                <w:szCs w:val="22"/>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(2,081)</w:t>
            </w:r>
          </w:p>
        </w:tc>
      </w:tr>
      <w:tr>
        <w:trPr>
          <w:trHeight w:val="277"/>
        </w:trPr>
        <w:tc>
          <w:tcPr>
            <w:tcW w:w="7880" w:type="dxa"/>
            <w:vAlign w:val="bottom"/>
            <w:shd w:val="clear" w:color="auto" w:fill="CCEEFF"/>
          </w:tcPr>
          <w:p>
            <w:pPr>
              <w:ind w:left="180"/>
              <w:spacing w:after="0"/>
              <w:rPr>
                <w:sz w:val="20"/>
                <w:szCs w:val="20"/>
                <w:color w:val="auto"/>
              </w:rPr>
            </w:pPr>
            <w:r>
              <w:rPr>
                <w:rFonts w:ascii="Arial" w:cs="Arial" w:eastAsia="Arial" w:hAnsi="Arial"/>
                <w:sz w:val="18"/>
                <w:szCs w:val="18"/>
                <w:color w:val="auto"/>
              </w:rPr>
              <w:t>Other</w:t>
            </w:r>
          </w:p>
        </w:tc>
        <w:tc>
          <w:tcPr>
            <w:tcW w:w="1060" w:type="dxa"/>
            <w:vAlign w:val="bottom"/>
            <w:tcBorders>
              <w:bottom w:val="single" w:sz="8" w:color="auto"/>
            </w:tcBorders>
            <w:shd w:val="clear" w:color="auto" w:fill="CCEEFF"/>
          </w:tcPr>
          <w:p>
            <w:pPr>
              <w:spacing w:after="0"/>
              <w:rPr>
                <w:sz w:val="24"/>
                <w:szCs w:val="24"/>
                <w:color w:val="auto"/>
              </w:rPr>
            </w:pPr>
          </w:p>
        </w:tc>
        <w:tc>
          <w:tcPr>
            <w:tcW w:w="6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(343)</w:t>
            </w:r>
          </w:p>
        </w:tc>
        <w:tc>
          <w:tcPr>
            <w:tcW w:w="100" w:type="dxa"/>
            <w:vAlign w:val="bottom"/>
            <w:shd w:val="clear" w:color="auto" w:fill="CCEEFF"/>
          </w:tcPr>
          <w:p>
            <w:pPr>
              <w:spacing w:after="0"/>
              <w:rPr>
                <w:sz w:val="24"/>
                <w:szCs w:val="24"/>
                <w:color w:val="auto"/>
              </w:rPr>
            </w:pPr>
          </w:p>
        </w:tc>
        <w:tc>
          <w:tcPr>
            <w:tcW w:w="560" w:type="dxa"/>
            <w:vAlign w:val="bottom"/>
            <w:tcBorders>
              <w:bottom w:val="single" w:sz="8" w:color="auto"/>
            </w:tcBorders>
            <w:shd w:val="clear" w:color="auto" w:fill="CCEEFF"/>
          </w:tcPr>
          <w:p>
            <w:pPr>
              <w:spacing w:after="0"/>
              <w:rPr>
                <w:sz w:val="24"/>
                <w:szCs w:val="24"/>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(326)</w:t>
            </w:r>
          </w:p>
        </w:tc>
      </w:tr>
      <w:tr>
        <w:trPr>
          <w:trHeight w:val="244"/>
        </w:trPr>
        <w:tc>
          <w:tcPr>
            <w:tcW w:w="7880" w:type="dxa"/>
            <w:vAlign w:val="bottom"/>
            <w:tcBorders>
              <w:bottom w:val="single" w:sz="8" w:color="CCEEFF"/>
            </w:tcBorders>
          </w:tcPr>
          <w:p>
            <w:pPr>
              <w:ind w:left="380"/>
              <w:spacing w:after="0"/>
              <w:rPr>
                <w:sz w:val="20"/>
                <w:szCs w:val="20"/>
                <w:color w:val="auto"/>
              </w:rPr>
            </w:pPr>
            <w:r>
              <w:rPr>
                <w:rFonts w:ascii="Arial" w:cs="Arial" w:eastAsia="Arial" w:hAnsi="Arial"/>
                <w:sz w:val="18"/>
                <w:szCs w:val="18"/>
                <w:color w:val="auto"/>
              </w:rPr>
              <w:t>Total deferred tax liabilities</w:t>
            </w:r>
          </w:p>
        </w:tc>
        <w:tc>
          <w:tcPr>
            <w:tcW w:w="1060" w:type="dxa"/>
            <w:vAlign w:val="bottom"/>
            <w:tcBorders>
              <w:bottom w:val="single" w:sz="8" w:color="auto"/>
            </w:tcBorders>
          </w:tcPr>
          <w:p>
            <w:pPr>
              <w:spacing w:after="0"/>
              <w:rPr>
                <w:sz w:val="21"/>
                <w:szCs w:val="21"/>
                <w:color w:val="auto"/>
              </w:rPr>
            </w:pP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(7,518)</w:t>
            </w:r>
          </w:p>
        </w:tc>
        <w:tc>
          <w:tcPr>
            <w:tcW w:w="100" w:type="dxa"/>
            <w:vAlign w:val="bottom"/>
            <w:tcBorders>
              <w:bottom w:val="single" w:sz="8" w:color="CCEEFF"/>
            </w:tcBorders>
          </w:tcPr>
          <w:p>
            <w:pPr>
              <w:spacing w:after="0"/>
              <w:rPr>
                <w:sz w:val="21"/>
                <w:szCs w:val="21"/>
                <w:color w:val="auto"/>
              </w:rPr>
            </w:pPr>
          </w:p>
        </w:tc>
        <w:tc>
          <w:tcPr>
            <w:tcW w:w="560" w:type="dxa"/>
            <w:vAlign w:val="bottom"/>
            <w:tcBorders>
              <w:bottom w:val="single" w:sz="8" w:color="auto"/>
            </w:tcBorders>
          </w:tcPr>
          <w:p>
            <w:pPr>
              <w:spacing w:after="0"/>
              <w:rPr>
                <w:sz w:val="21"/>
                <w:szCs w:val="21"/>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(7,687)</w:t>
            </w:r>
          </w:p>
        </w:tc>
      </w:tr>
      <w:tr>
        <w:trPr>
          <w:trHeight w:val="250"/>
        </w:trPr>
        <w:tc>
          <w:tcPr>
            <w:tcW w:w="78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Net deferred tax asset</w:t>
            </w:r>
          </w:p>
        </w:tc>
        <w:tc>
          <w:tcPr>
            <w:tcW w:w="1060" w:type="dxa"/>
            <w:vAlign w:val="bottom"/>
            <w:tcBorders>
              <w:bottom w:val="single" w:sz="8" w:color="auto"/>
            </w:tcBorders>
            <w:shd w:val="clear" w:color="auto" w:fill="CCEEFF"/>
          </w:tcPr>
          <w:p>
            <w:pPr>
              <w:jc w:val="right"/>
              <w:ind w:right="856"/>
              <w:spacing w:after="0"/>
              <w:rPr>
                <w:sz w:val="20"/>
                <w:szCs w:val="20"/>
                <w:color w:val="auto"/>
              </w:rPr>
            </w:pPr>
            <w:r>
              <w:rPr>
                <w:rFonts w:ascii="Arial" w:cs="Arial" w:eastAsia="Arial" w:hAnsi="Arial"/>
                <w:sz w:val="18"/>
                <w:szCs w:val="18"/>
                <w:color w:val="auto"/>
                <w:w w:val="99"/>
              </w:rPr>
              <w:t>$</w:t>
            </w:r>
          </w:p>
        </w:tc>
        <w:tc>
          <w:tcPr>
            <w:tcW w:w="660" w:type="dxa"/>
            <w:vAlign w:val="bottom"/>
            <w:tcBorders>
              <w:bottom w:val="single" w:sz="8" w:color="auto"/>
            </w:tcBorders>
            <w:shd w:val="clear" w:color="auto" w:fill="CCEEFF"/>
          </w:tcPr>
          <w:p>
            <w:pPr>
              <w:jc w:val="right"/>
              <w:ind w:right="31"/>
              <w:spacing w:after="0"/>
              <w:rPr>
                <w:sz w:val="20"/>
                <w:szCs w:val="20"/>
                <w:color w:val="auto"/>
              </w:rPr>
            </w:pPr>
            <w:r>
              <w:rPr>
                <w:rFonts w:ascii="Arial" w:cs="Arial" w:eastAsia="Arial" w:hAnsi="Arial"/>
                <w:sz w:val="18"/>
                <w:szCs w:val="18"/>
                <w:color w:val="auto"/>
              </w:rPr>
              <w:t>616</w:t>
            </w:r>
          </w:p>
        </w:tc>
        <w:tc>
          <w:tcPr>
            <w:tcW w:w="100" w:type="dxa"/>
            <w:vAlign w:val="bottom"/>
            <w:tcBorders>
              <w:bottom w:val="single" w:sz="8" w:color="CCEEFF"/>
            </w:tcBorders>
            <w:shd w:val="clear" w:color="auto" w:fill="CCEEFF"/>
          </w:tcPr>
          <w:p>
            <w:pPr>
              <w:spacing w:after="0"/>
              <w:rPr>
                <w:sz w:val="21"/>
                <w:szCs w:val="21"/>
                <w:color w:val="auto"/>
              </w:rPr>
            </w:pPr>
          </w:p>
        </w:tc>
        <w:tc>
          <w:tcPr>
            <w:tcW w:w="560" w:type="dxa"/>
            <w:vAlign w:val="bottom"/>
            <w:tcBorders>
              <w:bottom w:val="single" w:sz="8" w:color="auto"/>
            </w:tcBorders>
            <w:shd w:val="clear" w:color="auto" w:fill="CCEEFF"/>
          </w:tcPr>
          <w:p>
            <w:pPr>
              <w:jc w:val="right"/>
              <w:ind w:right="330"/>
              <w:spacing w:after="0"/>
              <w:rPr>
                <w:sz w:val="20"/>
                <w:szCs w:val="20"/>
                <w:color w:val="auto"/>
              </w:rPr>
            </w:pPr>
            <w:r>
              <w:rPr>
                <w:rFonts w:ascii="Arial" w:cs="Arial" w:eastAsia="Arial" w:hAnsi="Arial"/>
                <w:sz w:val="18"/>
                <w:szCs w:val="18"/>
                <w:color w:val="auto"/>
              </w:rPr>
              <w:t>$</w:t>
            </w:r>
          </w:p>
        </w:tc>
        <w:tc>
          <w:tcPr>
            <w:tcW w:w="1160" w:type="dxa"/>
            <w:vAlign w:val="bottom"/>
            <w:tcBorders>
              <w:bottom w:val="single" w:sz="8" w:color="auto"/>
            </w:tcBorders>
            <w:shd w:val="clear" w:color="auto" w:fill="CCEEFF"/>
          </w:tcPr>
          <w:p>
            <w:pPr>
              <w:jc w:val="right"/>
              <w:ind w:right="11"/>
              <w:spacing w:after="0"/>
              <w:rPr>
                <w:sz w:val="20"/>
                <w:szCs w:val="20"/>
                <w:color w:val="auto"/>
              </w:rPr>
            </w:pPr>
            <w:r>
              <w:rPr>
                <w:rFonts w:ascii="Arial" w:cs="Arial" w:eastAsia="Arial" w:hAnsi="Arial"/>
                <w:sz w:val="18"/>
                <w:szCs w:val="18"/>
                <w:color w:val="auto"/>
              </w:rPr>
              <w:t>1,135</w:t>
            </w:r>
          </w:p>
        </w:tc>
      </w:tr>
      <w:tr>
        <w:trPr>
          <w:trHeight w:val="20"/>
        </w:trPr>
        <w:tc>
          <w:tcPr>
            <w:tcW w:w="7880" w:type="dxa"/>
            <w:vAlign w:val="bottom"/>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r>
    </w:tbl>
    <w:p>
      <w:pPr>
        <w:spacing w:after="0" w:line="377" w:lineRule="exact"/>
        <w:rPr>
          <w:sz w:val="20"/>
          <w:szCs w:val="20"/>
          <w:color w:val="auto"/>
        </w:rPr>
      </w:pPr>
    </w:p>
    <w:p>
      <w:pPr>
        <w:jc w:val="both"/>
        <w:ind w:firstLine="216"/>
        <w:spacing w:after="0" w:line="251" w:lineRule="auto"/>
        <w:rPr>
          <w:sz w:val="20"/>
          <w:szCs w:val="20"/>
          <w:color w:val="auto"/>
        </w:rPr>
      </w:pPr>
      <w:r>
        <w:rPr>
          <w:rFonts w:ascii="Arial" w:cs="Arial" w:eastAsia="Arial" w:hAnsi="Arial"/>
          <w:sz w:val="18"/>
          <w:szCs w:val="18"/>
          <w:color w:val="auto"/>
        </w:rPr>
        <w:t>At December 31, 2019, we had approximately $9.1 billion of federal NOLs carried over from prior taxable years (NOL Carryforwards) to reduce future federal taxable income, substantially all of which we expect to be available for use in 2020. The federal NOL Carryforwards will expire beginning in 2023 if unused. We also had approximately $3.0 billion of NOL Carryforwards to reduce future state taxable income at December 31, 2019, which will expire in years 2020 through 2039 if unused. Our ability to deduct our NOL Carryforwards and to utilize certain other available tax attributes can be substantially constrained under the general annual limitation rules of Section 382 where an “ownership change” has occurred. Substantially all of our remaining federal NOL Carryforwards attributable to US Airways Group are subject to limitation under Section 382; however, our ability to utilize such NOL Carryforwards is not anticipated to be effectively constrained as a result of such limitation. We elected to be covered by certain special rules for federal income tax purposes that permitted approximately $9.0 billion (with $7.3 billion of unlimited NOL still remaining at December 31, 2019) of our federal NOL Carryforwards to be utilized without regard to the annual limitation generally imposed by Section 382. Similar limitations may apply for state income tax purposes. Our ability to utilize any new NOL Carryforwards arising after the ownership changes is not affected by the annual limitation rules imposed by Section 382 unless another future ownership change occurs. Under the Section 382 limitation, cumulative stock ownership changes among material stockholders exceeding 50% during a rolling three-year period can potentially limit a company’s future use of NOLs and tax credits.</w:t>
      </w:r>
    </w:p>
    <w:p>
      <w:pPr>
        <w:spacing w:after="0" w:line="157" w:lineRule="exact"/>
        <w:rPr>
          <w:sz w:val="20"/>
          <w:szCs w:val="20"/>
          <w:color w:val="auto"/>
        </w:rPr>
      </w:pPr>
    </w:p>
    <w:p>
      <w:pPr>
        <w:jc w:val="both"/>
        <w:ind w:firstLine="216"/>
        <w:spacing w:after="0" w:line="262" w:lineRule="auto"/>
        <w:rPr>
          <w:sz w:val="20"/>
          <w:szCs w:val="20"/>
          <w:color w:val="auto"/>
        </w:rPr>
      </w:pPr>
      <w:r>
        <w:rPr>
          <w:rFonts w:ascii="Arial" w:cs="Arial" w:eastAsia="Arial" w:hAnsi="Arial"/>
          <w:sz w:val="18"/>
          <w:szCs w:val="18"/>
          <w:color w:val="auto"/>
        </w:rPr>
        <w:t>At December 31, 2019, we had an AMT credit carryforward of approximately $170 million available for federal income tax purposes, which is presently expected to be fully refundable over the next several years as a result of the repeal of corporate AMT as part of the 2017 Tax Act.</w:t>
      </w:r>
    </w:p>
    <w:p>
      <w:pPr>
        <w:spacing w:after="0" w:line="142" w:lineRule="exact"/>
        <w:rPr>
          <w:sz w:val="20"/>
          <w:szCs w:val="20"/>
          <w:color w:val="auto"/>
        </w:rPr>
      </w:pPr>
    </w:p>
    <w:p>
      <w:pPr>
        <w:jc w:val="both"/>
        <w:ind w:firstLine="216"/>
        <w:spacing w:after="0" w:line="262" w:lineRule="auto"/>
        <w:rPr>
          <w:sz w:val="20"/>
          <w:szCs w:val="20"/>
          <w:color w:val="auto"/>
        </w:rPr>
      </w:pPr>
      <w:r>
        <w:rPr>
          <w:rFonts w:ascii="Arial" w:cs="Arial" w:eastAsia="Arial" w:hAnsi="Arial"/>
          <w:sz w:val="18"/>
          <w:szCs w:val="18"/>
          <w:color w:val="auto"/>
        </w:rPr>
        <w:t>In 2019, we recorded an income tax provision of $570 million, with an effective rate of approximately 25%, which was substantially non-cash due to utilization of our NOLs as described above. Substantially all of our income before income taxes is attributable to the United States.</w:t>
      </w:r>
    </w:p>
    <w:p>
      <w:pPr>
        <w:spacing w:after="0" w:line="142" w:lineRule="exact"/>
        <w:rPr>
          <w:sz w:val="20"/>
          <w:szCs w:val="20"/>
          <w:color w:val="auto"/>
        </w:rPr>
      </w:pPr>
    </w:p>
    <w:p>
      <w:pPr>
        <w:jc w:val="both"/>
        <w:ind w:firstLine="216"/>
        <w:spacing w:after="0" w:line="254" w:lineRule="auto"/>
        <w:rPr>
          <w:sz w:val="20"/>
          <w:szCs w:val="20"/>
          <w:color w:val="auto"/>
        </w:rPr>
      </w:pPr>
      <w:r>
        <w:rPr>
          <w:rFonts w:ascii="Arial" w:cs="Arial" w:eastAsia="Arial" w:hAnsi="Arial"/>
          <w:sz w:val="18"/>
          <w:szCs w:val="18"/>
          <w:color w:val="auto"/>
        </w:rPr>
        <w:t>We file our tax returns as prescribed by the tax laws of the jurisdictions in which we operate. Our 2016 through 2018 tax years are still subject to examination by the Internal Revenue Service. Various state and foreign jurisdiction tax years remain open to examination and we are under examination, in administrative appeals, or engaged in tax litigation in certain jurisdictions. We believe that the effect of any assessments will not be material to our consolidated financial statements.</w:t>
      </w:r>
    </w:p>
    <w:p>
      <w:pPr>
        <w:spacing w:after="0" w:line="20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95</w:t>
      </w:r>
    </w:p>
    <w:p>
      <w:pPr>
        <w:sectPr>
          <w:pgSz w:w="11900" w:h="16838" w:orient="portrait"/>
          <w:cols w:equalWidth="0" w:num="1">
            <w:col w:w="11420"/>
          </w:cols>
          <w:pgMar w:left="240" w:top="549" w:right="239" w:bottom="1440" w:gutter="0" w:footer="0" w:header="0"/>
        </w:sectPr>
      </w:pPr>
    </w:p>
    <w:bookmarkStart w:id="95" w:name="page96"/>
    <w:bookmarkEnd w:id="95"/>
    <w:p>
      <w:pPr>
        <w:jc w:val="center"/>
        <w:spacing w:after="0"/>
        <w:rPr>
          <w:sz w:val="20"/>
          <w:szCs w:val="20"/>
          <w:color w:val="auto"/>
        </w:rPr>
      </w:pPr>
      <w:r>
        <w:rPr>
          <w:rFonts w:ascii="Arial" w:cs="Arial" w:eastAsia="Arial" w:hAnsi="Arial"/>
          <w:sz w:val="18"/>
          <w:szCs w:val="18"/>
          <w:b w:val="1"/>
          <w:bCs w:val="1"/>
          <w:color w:val="auto"/>
        </w:rPr>
        <w:t>NOTES TO CONSOLIDATED FINANCIAL STATEMENTS OF AMERICAN AIRLINES GROUP INC.</w:t>
      </w:r>
    </w:p>
    <w:p>
      <w:pPr>
        <w:spacing w:after="0" w:line="200" w:lineRule="exact"/>
        <w:rPr>
          <w:sz w:val="20"/>
          <w:szCs w:val="20"/>
          <w:color w:val="auto"/>
        </w:rPr>
      </w:pPr>
    </w:p>
    <w:p>
      <w:pPr>
        <w:spacing w:after="0" w:line="209" w:lineRule="exact"/>
        <w:rPr>
          <w:sz w:val="20"/>
          <w:szCs w:val="20"/>
          <w:color w:val="auto"/>
        </w:rPr>
      </w:pPr>
    </w:p>
    <w:p>
      <w:pPr>
        <w:jc w:val="both"/>
        <w:ind w:right="20" w:firstLine="216"/>
        <w:spacing w:after="0" w:line="262" w:lineRule="auto"/>
        <w:rPr>
          <w:sz w:val="20"/>
          <w:szCs w:val="20"/>
          <w:color w:val="auto"/>
        </w:rPr>
      </w:pPr>
      <w:r>
        <w:rPr>
          <w:rFonts w:ascii="Arial" w:cs="Arial" w:eastAsia="Arial" w:hAnsi="Arial"/>
          <w:sz w:val="18"/>
          <w:szCs w:val="18"/>
          <w:color w:val="auto"/>
        </w:rPr>
        <w:t>The amount of, and changes to, our uncertain tax positions were not material in any of the years presented. We accrue interest and penalties related to unrecognized tax benefits in interest expense and operating expense, respectively.</w:t>
      </w:r>
    </w:p>
    <w:p>
      <w:pPr>
        <w:spacing w:after="0" w:line="142" w:lineRule="exact"/>
        <w:rPr>
          <w:sz w:val="20"/>
          <w:szCs w:val="20"/>
          <w:color w:val="auto"/>
        </w:rPr>
      </w:pPr>
    </w:p>
    <w:p>
      <w:pPr>
        <w:jc w:val="both"/>
        <w:ind w:firstLine="216"/>
        <w:spacing w:after="0" w:line="253" w:lineRule="auto"/>
        <w:rPr>
          <w:sz w:val="20"/>
          <w:szCs w:val="20"/>
          <w:color w:val="auto"/>
        </w:rPr>
      </w:pPr>
      <w:r>
        <w:rPr>
          <w:rFonts w:ascii="Arial" w:cs="Arial" w:eastAsia="Arial" w:hAnsi="Arial"/>
          <w:sz w:val="18"/>
          <w:szCs w:val="18"/>
          <w:color w:val="auto"/>
        </w:rPr>
        <w:t>The 2017 Tax Act was enacted on December 22, 2017 and is the most comprehensive tax change in more than 30 years. We completed our evaluation of the 2017 Tax Act and we reflected the impact of its effects, including the impact of a lower corporate income tax rate (21% vs. 35%) on our deferred tax assets and liabilities and the one-time transition tax on earnings of certain foreign subsidiaries that were previously tax deferred. For the year ended December 31 2017, we recognized a special income tax provision of $823 million to reflect these impacts of the 2017 Tax Act.</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8. Risk Management</w:t>
      </w:r>
    </w:p>
    <w:p>
      <w:pPr>
        <w:spacing w:after="0" w:line="112" w:lineRule="exact"/>
        <w:rPr>
          <w:sz w:val="20"/>
          <w:szCs w:val="20"/>
          <w:color w:val="auto"/>
        </w:rPr>
      </w:pPr>
    </w:p>
    <w:p>
      <w:pPr>
        <w:ind w:left="220"/>
        <w:spacing w:after="0"/>
        <w:rPr>
          <w:sz w:val="20"/>
          <w:szCs w:val="20"/>
          <w:color w:val="auto"/>
        </w:rPr>
      </w:pPr>
      <w:r>
        <w:rPr>
          <w:rFonts w:ascii="Arial" w:cs="Arial" w:eastAsia="Arial" w:hAnsi="Arial"/>
          <w:sz w:val="18"/>
          <w:szCs w:val="18"/>
          <w:color w:val="auto"/>
        </w:rPr>
        <w:t>Our economic prospects are heavily dependent upon two variables we cannot control: the health of the economy and the price of fuel.</w:t>
      </w:r>
    </w:p>
    <w:p>
      <w:pPr>
        <w:spacing w:after="0" w:line="171" w:lineRule="exact"/>
        <w:rPr>
          <w:sz w:val="20"/>
          <w:szCs w:val="20"/>
          <w:color w:val="auto"/>
        </w:rPr>
      </w:pPr>
    </w:p>
    <w:p>
      <w:pPr>
        <w:jc w:val="both"/>
        <w:ind w:firstLine="216"/>
        <w:spacing w:after="0" w:line="252" w:lineRule="auto"/>
        <w:rPr>
          <w:sz w:val="20"/>
          <w:szCs w:val="20"/>
          <w:color w:val="auto"/>
        </w:rPr>
      </w:pPr>
      <w:r>
        <w:rPr>
          <w:rFonts w:ascii="Arial" w:cs="Arial" w:eastAsia="Arial" w:hAnsi="Arial"/>
          <w:sz w:val="18"/>
          <w:szCs w:val="18"/>
          <w:color w:val="auto"/>
        </w:rPr>
        <w:t>Due to the discretionary nature of business and leisure travel spending and the highly competitive nature of the airline industry, our revenues are heavily influenced by the condition of the U.S. economy and economies in other regions of the world. Unfavorable conditions in these broader economies have resulted, and may result in the future, in decreased passenger demand for air travel, changes in booking practices and related reactions by our competitors, all of which in turn have had, and may have in the future, a negative effect on our business. In addition, during challenging economic times, actions by our competitors to increase their revenues can have an adverse impact on our revenues.</w:t>
      </w:r>
    </w:p>
    <w:p>
      <w:pPr>
        <w:spacing w:after="0" w:line="155" w:lineRule="exact"/>
        <w:rPr>
          <w:sz w:val="20"/>
          <w:szCs w:val="20"/>
          <w:color w:val="auto"/>
        </w:rPr>
      </w:pPr>
    </w:p>
    <w:p>
      <w:pPr>
        <w:jc w:val="both"/>
        <w:ind w:firstLine="216"/>
        <w:spacing w:after="0" w:line="254" w:lineRule="auto"/>
        <w:rPr>
          <w:sz w:val="20"/>
          <w:szCs w:val="20"/>
          <w:color w:val="auto"/>
        </w:rPr>
      </w:pPr>
      <w:r>
        <w:rPr>
          <w:rFonts w:ascii="Arial" w:cs="Arial" w:eastAsia="Arial" w:hAnsi="Arial"/>
          <w:sz w:val="18"/>
          <w:szCs w:val="18"/>
          <w:color w:val="auto"/>
        </w:rPr>
        <w:t>Our operating results are materially impacted by changes in the availability, price volatility and cost of aircraft fuel, which represents one of the largest single cost items in our business. Aircraft fuel prices have in the past, and may in the future, experience substantial volatility. Because of the amount of fuel needed to operate our business, even a relatively small increase or decrease in the price of aircraft fuel can have a material effect on our operating results and liquidity.</w:t>
      </w:r>
    </w:p>
    <w:p>
      <w:pPr>
        <w:spacing w:after="0" w:line="150" w:lineRule="exact"/>
        <w:rPr>
          <w:sz w:val="20"/>
          <w:szCs w:val="20"/>
          <w:color w:val="auto"/>
        </w:rPr>
      </w:pPr>
    </w:p>
    <w:p>
      <w:pPr>
        <w:ind w:left="220"/>
        <w:spacing w:after="0"/>
        <w:rPr>
          <w:sz w:val="20"/>
          <w:szCs w:val="20"/>
          <w:color w:val="auto"/>
        </w:rPr>
      </w:pPr>
      <w:r>
        <w:rPr>
          <w:rFonts w:ascii="Arial" w:cs="Arial" w:eastAsia="Arial" w:hAnsi="Arial"/>
          <w:sz w:val="18"/>
          <w:szCs w:val="18"/>
          <w:color w:val="auto"/>
        </w:rPr>
        <w:t>These additional factors could impact our results of operations, financial performance and liquidity:</w:t>
      </w:r>
    </w:p>
    <w:p>
      <w:pPr>
        <w:spacing w:after="0" w:line="230" w:lineRule="exact"/>
        <w:rPr>
          <w:sz w:val="20"/>
          <w:szCs w:val="20"/>
          <w:color w:val="auto"/>
        </w:rPr>
      </w:pPr>
    </w:p>
    <w:p>
      <w:pPr>
        <w:ind w:left="220"/>
        <w:spacing w:after="0"/>
        <w:rPr>
          <w:sz w:val="20"/>
          <w:szCs w:val="20"/>
          <w:color w:val="auto"/>
        </w:rPr>
      </w:pPr>
      <w:r>
        <w:rPr>
          <w:rFonts w:ascii="Arial" w:cs="Arial" w:eastAsia="Arial" w:hAnsi="Arial"/>
          <w:sz w:val="18"/>
          <w:szCs w:val="18"/>
          <w:b w:val="1"/>
          <w:bCs w:val="1"/>
          <w:i w:val="1"/>
          <w:iCs w:val="1"/>
          <w:color w:val="auto"/>
        </w:rPr>
        <w:t>(a) Credit Risk</w:t>
      </w:r>
    </w:p>
    <w:p>
      <w:pPr>
        <w:spacing w:after="0" w:line="112" w:lineRule="exact"/>
        <w:rPr>
          <w:sz w:val="20"/>
          <w:szCs w:val="20"/>
          <w:color w:val="auto"/>
        </w:rPr>
      </w:pPr>
    </w:p>
    <w:p>
      <w:pPr>
        <w:jc w:val="both"/>
        <w:ind w:firstLine="216"/>
        <w:spacing w:after="0" w:line="254" w:lineRule="auto"/>
        <w:rPr>
          <w:sz w:val="20"/>
          <w:szCs w:val="20"/>
          <w:color w:val="auto"/>
        </w:rPr>
      </w:pPr>
      <w:r>
        <w:rPr>
          <w:rFonts w:ascii="Arial" w:cs="Arial" w:eastAsia="Arial" w:hAnsi="Arial"/>
          <w:sz w:val="18"/>
          <w:szCs w:val="18"/>
          <w:color w:val="auto"/>
        </w:rPr>
        <w:t>Most of our receivables relate to tickets sold to individual passengers through the use of major credit cards or to tickets sold by other airlines and used by passengers on American. These receivables are short-term, mostly settled within seven days after sale. Bad debt losses, which have been minimal in the past, have been considered in establishing allowances for doubtful accounts. We do not believe we are subject to any significant concentration of credit risk.</w:t>
      </w:r>
    </w:p>
    <w:p>
      <w:pPr>
        <w:spacing w:after="0" w:line="209" w:lineRule="exact"/>
        <w:rPr>
          <w:sz w:val="20"/>
          <w:szCs w:val="20"/>
          <w:color w:val="auto"/>
        </w:rPr>
      </w:pPr>
    </w:p>
    <w:p>
      <w:pPr>
        <w:ind w:left="220"/>
        <w:spacing w:after="0"/>
        <w:rPr>
          <w:sz w:val="20"/>
          <w:szCs w:val="20"/>
          <w:color w:val="auto"/>
        </w:rPr>
      </w:pPr>
      <w:r>
        <w:rPr>
          <w:rFonts w:ascii="Arial" w:cs="Arial" w:eastAsia="Arial" w:hAnsi="Arial"/>
          <w:sz w:val="18"/>
          <w:szCs w:val="18"/>
          <w:b w:val="1"/>
          <w:bCs w:val="1"/>
          <w:i w:val="1"/>
          <w:iCs w:val="1"/>
          <w:color w:val="auto"/>
        </w:rPr>
        <w:t>(b) Interest Rate Risk</w:t>
      </w:r>
    </w:p>
    <w:p>
      <w:pPr>
        <w:spacing w:after="0" w:line="112" w:lineRule="exact"/>
        <w:rPr>
          <w:sz w:val="20"/>
          <w:szCs w:val="20"/>
          <w:color w:val="auto"/>
        </w:rPr>
      </w:pPr>
    </w:p>
    <w:p>
      <w:pPr>
        <w:jc w:val="both"/>
        <w:ind w:firstLine="216"/>
        <w:spacing w:after="0" w:line="254" w:lineRule="auto"/>
        <w:rPr>
          <w:sz w:val="20"/>
          <w:szCs w:val="20"/>
          <w:color w:val="auto"/>
        </w:rPr>
      </w:pPr>
      <w:r>
        <w:rPr>
          <w:rFonts w:ascii="Arial" w:cs="Arial" w:eastAsia="Arial" w:hAnsi="Arial"/>
          <w:sz w:val="18"/>
          <w:szCs w:val="18"/>
          <w:color w:val="auto"/>
        </w:rPr>
        <w:t>We have exposure to market risk associated with changes in interest rates related primarily to our variable-rate debt obligations. Interest rates on $9.6 billion principal amount of long-term debt as of December 31, 2019 are subject to adjustment to reflect changes in floating interest rates. The weighted average effective interest rate on our variable-rate debt was 3.6% at December 31, 2019. We currently do not have an interest rate hedge program to hedge our exposure to floating interest rates on our variable-rate debt obligations.</w:t>
      </w:r>
    </w:p>
    <w:p>
      <w:pPr>
        <w:spacing w:after="0" w:line="209" w:lineRule="exact"/>
        <w:rPr>
          <w:sz w:val="20"/>
          <w:szCs w:val="20"/>
          <w:color w:val="auto"/>
        </w:rPr>
      </w:pPr>
    </w:p>
    <w:p>
      <w:pPr>
        <w:ind w:left="220"/>
        <w:spacing w:after="0"/>
        <w:rPr>
          <w:sz w:val="20"/>
          <w:szCs w:val="20"/>
          <w:color w:val="auto"/>
        </w:rPr>
      </w:pPr>
      <w:r>
        <w:rPr>
          <w:rFonts w:ascii="Arial" w:cs="Arial" w:eastAsia="Arial" w:hAnsi="Arial"/>
          <w:sz w:val="18"/>
          <w:szCs w:val="18"/>
          <w:b w:val="1"/>
          <w:bCs w:val="1"/>
          <w:i w:val="1"/>
          <w:iCs w:val="1"/>
          <w:color w:val="auto"/>
        </w:rPr>
        <w:t>(c) Foreign Currency Risk</w:t>
      </w:r>
    </w:p>
    <w:p>
      <w:pPr>
        <w:spacing w:after="0" w:line="112" w:lineRule="exact"/>
        <w:rPr>
          <w:sz w:val="20"/>
          <w:szCs w:val="20"/>
          <w:color w:val="auto"/>
        </w:rPr>
      </w:pPr>
    </w:p>
    <w:p>
      <w:pPr>
        <w:ind w:left="220"/>
        <w:spacing w:after="0"/>
        <w:rPr>
          <w:sz w:val="20"/>
          <w:szCs w:val="20"/>
          <w:color w:val="auto"/>
        </w:rPr>
      </w:pPr>
      <w:r>
        <w:rPr>
          <w:rFonts w:ascii="Arial" w:cs="Arial" w:eastAsia="Arial" w:hAnsi="Arial"/>
          <w:sz w:val="18"/>
          <w:szCs w:val="18"/>
          <w:color w:val="auto"/>
        </w:rPr>
        <w:t>We are exposed to the effect of foreign exchange rate fluctuations on the U.S. dollar value of foreign currency-denominated transactions.</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Our largest exposure comes from the British pound, Euro, Canadian dollar and various Latin American currencies, primarily the Brazilian real.</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We do not currently have a foreign currency hedge program.</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96</w:t>
      </w:r>
    </w:p>
    <w:p>
      <w:pPr>
        <w:sectPr>
          <w:pgSz w:w="11900" w:h="16838" w:orient="portrait"/>
          <w:cols w:equalWidth="0" w:num="1">
            <w:col w:w="11420"/>
          </w:cols>
          <w:pgMar w:left="240" w:top="549" w:right="239" w:bottom="1440" w:gutter="0" w:footer="0" w:header="0"/>
        </w:sectPr>
      </w:pPr>
    </w:p>
    <w:bookmarkStart w:id="96" w:name="page97"/>
    <w:bookmarkEnd w:id="96"/>
    <w:p>
      <w:pPr>
        <w:jc w:val="center"/>
        <w:spacing w:after="0"/>
        <w:rPr>
          <w:sz w:val="20"/>
          <w:szCs w:val="20"/>
          <w:color w:val="auto"/>
        </w:rPr>
      </w:pPr>
      <w:r>
        <w:rPr>
          <w:rFonts w:ascii="Arial" w:cs="Arial" w:eastAsia="Arial" w:hAnsi="Arial"/>
          <w:sz w:val="18"/>
          <w:szCs w:val="18"/>
          <w:b w:val="1"/>
          <w:bCs w:val="1"/>
          <w:color w:val="auto"/>
        </w:rPr>
        <w:t>NOTES TO CONSOLIDATED FINANCIAL STATEMENTS OF AMERICAN AIRLINES GROUP INC.</w:t>
      </w:r>
    </w:p>
    <w:p>
      <w:pPr>
        <w:spacing w:after="0" w:line="200" w:lineRule="exact"/>
        <w:rPr>
          <w:sz w:val="20"/>
          <w:szCs w:val="20"/>
          <w:color w:val="auto"/>
        </w:rPr>
      </w:pPr>
    </w:p>
    <w:p>
      <w:pPr>
        <w:spacing w:after="0" w:line="268" w:lineRule="exact"/>
        <w:rPr>
          <w:sz w:val="20"/>
          <w:szCs w:val="20"/>
          <w:color w:val="auto"/>
        </w:rPr>
      </w:pPr>
    </w:p>
    <w:p>
      <w:pPr>
        <w:ind w:left="220" w:right="6760" w:hanging="212"/>
        <w:spacing w:after="0" w:line="378" w:lineRule="auto"/>
        <w:tabs>
          <w:tab w:leader="none" w:pos="254" w:val="left"/>
        </w:tabs>
        <w:numPr>
          <w:ilvl w:val="0"/>
          <w:numId w:val="39"/>
        </w:numPr>
        <w:rPr>
          <w:rFonts w:ascii="Arial" w:cs="Arial" w:eastAsia="Arial" w:hAnsi="Arial"/>
          <w:sz w:val="17"/>
          <w:szCs w:val="17"/>
          <w:b w:val="1"/>
          <w:bCs w:val="1"/>
          <w:color w:val="auto"/>
        </w:rPr>
      </w:pPr>
      <w:r>
        <w:rPr>
          <w:rFonts w:ascii="Arial" w:cs="Arial" w:eastAsia="Arial" w:hAnsi="Arial"/>
          <w:sz w:val="17"/>
          <w:szCs w:val="17"/>
          <w:b w:val="1"/>
          <w:bCs w:val="1"/>
          <w:color w:val="auto"/>
        </w:rPr>
        <w:t xml:space="preserve">Fair Value Measurements and Other Investments </w:t>
      </w:r>
      <w:r>
        <w:rPr>
          <w:rFonts w:ascii="Arial" w:cs="Arial" w:eastAsia="Arial" w:hAnsi="Arial"/>
          <w:sz w:val="17"/>
          <w:szCs w:val="17"/>
          <w:b w:val="1"/>
          <w:bCs w:val="1"/>
          <w:i w:val="1"/>
          <w:iCs w:val="1"/>
          <w:u w:val="single" w:color="auto"/>
          <w:color w:val="auto"/>
        </w:rPr>
        <w:t>Assets Measured at Fair Value on a Recurring Basis</w:t>
      </w:r>
    </w:p>
    <w:p>
      <w:pPr>
        <w:jc w:val="both"/>
        <w:ind w:firstLine="216"/>
        <w:spacing w:after="0" w:line="253" w:lineRule="auto"/>
        <w:rPr>
          <w:sz w:val="20"/>
          <w:szCs w:val="20"/>
          <w:color w:val="auto"/>
        </w:rPr>
      </w:pPr>
      <w:r>
        <w:rPr>
          <w:rFonts w:ascii="Arial" w:cs="Arial" w:eastAsia="Arial" w:hAnsi="Arial"/>
          <w:sz w:val="18"/>
          <w:szCs w:val="18"/>
          <w:color w:val="auto"/>
        </w:rPr>
        <w:t>Fair value is defined as the price that would be received from the sale of an asset or paid to transfer a liability (i.e. an exit price) on the measurement date in an orderly transaction between market participants in the principal or most advantageous market for the asset or liability. Accounting standards include disclosure requirements around fair values used for certain financial instruments and establish a fair value hierarchy. The hierarchy prioritizes valuation inputs into three levels based on the extent to which inputs used in measuring fair value are observable in the market. Each fair value measurement is reported in one of three levels:</w:t>
      </w:r>
    </w:p>
    <w:p>
      <w:pPr>
        <w:spacing w:after="0" w:line="97" w:lineRule="exact"/>
        <w:rPr>
          <w:sz w:val="20"/>
          <w:szCs w:val="20"/>
          <w:color w:val="auto"/>
        </w:rPr>
      </w:pPr>
    </w:p>
    <w:p>
      <w:pPr>
        <w:ind w:left="1300" w:hanging="644"/>
        <w:spacing w:after="0"/>
        <w:tabs>
          <w:tab w:leader="none" w:pos="1300" w:val="left"/>
        </w:tabs>
        <w:numPr>
          <w:ilvl w:val="0"/>
          <w:numId w:val="40"/>
        </w:numPr>
        <w:rPr>
          <w:rFonts w:ascii="Arial" w:cs="Arial" w:eastAsia="Arial" w:hAnsi="Arial"/>
          <w:sz w:val="18"/>
          <w:szCs w:val="18"/>
          <w:color w:val="auto"/>
        </w:rPr>
      </w:pPr>
      <w:r>
        <w:rPr>
          <w:rFonts w:ascii="Arial" w:cs="Arial" w:eastAsia="Arial" w:hAnsi="Arial"/>
          <w:sz w:val="18"/>
          <w:szCs w:val="18"/>
          <w:color w:val="auto"/>
        </w:rPr>
        <w:t>Level 1 – Observable inputs such as quoted prices in active markets;</w:t>
      </w:r>
    </w:p>
    <w:p>
      <w:pPr>
        <w:spacing w:after="0" w:line="117" w:lineRule="exact"/>
        <w:rPr>
          <w:rFonts w:ascii="Arial" w:cs="Arial" w:eastAsia="Arial" w:hAnsi="Arial"/>
          <w:sz w:val="18"/>
          <w:szCs w:val="18"/>
          <w:color w:val="auto"/>
        </w:rPr>
      </w:pPr>
    </w:p>
    <w:p>
      <w:pPr>
        <w:ind w:left="1300" w:hanging="644"/>
        <w:spacing w:after="0"/>
        <w:tabs>
          <w:tab w:leader="none" w:pos="1300" w:val="left"/>
        </w:tabs>
        <w:numPr>
          <w:ilvl w:val="0"/>
          <w:numId w:val="40"/>
        </w:numPr>
        <w:rPr>
          <w:rFonts w:ascii="Arial" w:cs="Arial" w:eastAsia="Arial" w:hAnsi="Arial"/>
          <w:sz w:val="18"/>
          <w:szCs w:val="18"/>
          <w:color w:val="auto"/>
        </w:rPr>
      </w:pPr>
      <w:r>
        <w:rPr>
          <w:rFonts w:ascii="Arial" w:cs="Arial" w:eastAsia="Arial" w:hAnsi="Arial"/>
          <w:sz w:val="18"/>
          <w:szCs w:val="18"/>
          <w:color w:val="auto"/>
        </w:rPr>
        <w:t>Level 2 – Inputs, other than quoted prices in active markets, that are observable either directly or indirectly; and</w:t>
      </w:r>
    </w:p>
    <w:p>
      <w:pPr>
        <w:spacing w:after="0" w:line="117" w:lineRule="exact"/>
        <w:rPr>
          <w:rFonts w:ascii="Arial" w:cs="Arial" w:eastAsia="Arial" w:hAnsi="Arial"/>
          <w:sz w:val="18"/>
          <w:szCs w:val="18"/>
          <w:color w:val="auto"/>
        </w:rPr>
      </w:pPr>
    </w:p>
    <w:p>
      <w:pPr>
        <w:ind w:left="1300" w:hanging="644"/>
        <w:spacing w:after="0" w:line="262" w:lineRule="auto"/>
        <w:tabs>
          <w:tab w:leader="none" w:pos="1300" w:val="left"/>
        </w:tabs>
        <w:numPr>
          <w:ilvl w:val="0"/>
          <w:numId w:val="40"/>
        </w:numPr>
        <w:rPr>
          <w:rFonts w:ascii="Arial" w:cs="Arial" w:eastAsia="Arial" w:hAnsi="Arial"/>
          <w:sz w:val="18"/>
          <w:szCs w:val="18"/>
          <w:color w:val="auto"/>
        </w:rPr>
      </w:pPr>
      <w:r>
        <w:rPr>
          <w:rFonts w:ascii="Arial" w:cs="Arial" w:eastAsia="Arial" w:hAnsi="Arial"/>
          <w:sz w:val="18"/>
          <w:szCs w:val="18"/>
          <w:color w:val="auto"/>
        </w:rPr>
        <w:t>Level 3 – Unobservable inputs in which there is little or no market data, which require the reporting entity to develop its own assumptions.</w:t>
      </w:r>
    </w:p>
    <w:p>
      <w:pPr>
        <w:spacing w:after="0" w:line="142" w:lineRule="exact"/>
        <w:rPr>
          <w:sz w:val="20"/>
          <w:szCs w:val="20"/>
          <w:color w:val="auto"/>
        </w:rPr>
      </w:pPr>
    </w:p>
    <w:p>
      <w:pPr>
        <w:jc w:val="both"/>
        <w:ind w:firstLine="216"/>
        <w:spacing w:after="0" w:line="256" w:lineRule="auto"/>
        <w:rPr>
          <w:sz w:val="20"/>
          <w:szCs w:val="20"/>
          <w:color w:val="auto"/>
        </w:rPr>
      </w:pPr>
      <w:r>
        <w:rPr>
          <w:rFonts w:ascii="Arial" w:cs="Arial" w:eastAsia="Arial" w:hAnsi="Arial"/>
          <w:sz w:val="18"/>
          <w:szCs w:val="18"/>
          <w:color w:val="auto"/>
        </w:rPr>
        <w:t>When available, we use quoted market prices to determine the fair value of our financial assets. If quoted market prices are not available, we measure fair value using valuation techniques that use, when possible, current market-based or independently-sourced market parameters, such as interest rates and currency rates.</w:t>
      </w:r>
    </w:p>
    <w:p>
      <w:pPr>
        <w:spacing w:after="0" w:line="148" w:lineRule="exact"/>
        <w:rPr>
          <w:sz w:val="20"/>
          <w:szCs w:val="20"/>
          <w:color w:val="auto"/>
        </w:rPr>
      </w:pPr>
    </w:p>
    <w:p>
      <w:pPr>
        <w:jc w:val="both"/>
        <w:ind w:firstLine="216"/>
        <w:spacing w:after="0" w:line="254" w:lineRule="auto"/>
        <w:rPr>
          <w:sz w:val="20"/>
          <w:szCs w:val="20"/>
          <w:color w:val="auto"/>
        </w:rPr>
      </w:pPr>
      <w:r>
        <w:rPr>
          <w:rFonts w:ascii="Arial" w:cs="Arial" w:eastAsia="Arial" w:hAnsi="Arial"/>
          <w:sz w:val="18"/>
          <w:szCs w:val="18"/>
          <w:color w:val="auto"/>
        </w:rPr>
        <w:t>We utilize the market approach to measure the fair value of our financial assets. The market approach uses prices and other relevant information generated by market transactions involving identical or comparable assets. Our short-term investments classified as Level 2 primarily utilize broker quotes in a non-active market for valuation of these securities. No changes in valuation techniques or inputs occurred during the year ended December 31, 2019.</w:t>
      </w:r>
    </w:p>
    <w:p>
      <w:pPr>
        <w:spacing w:after="0" w:line="150" w:lineRule="exact"/>
        <w:rPr>
          <w:sz w:val="20"/>
          <w:szCs w:val="20"/>
          <w:color w:val="auto"/>
        </w:rPr>
      </w:pPr>
    </w:p>
    <w:p>
      <w:pPr>
        <w:ind w:left="220"/>
        <w:spacing w:after="0"/>
        <w:rPr>
          <w:sz w:val="20"/>
          <w:szCs w:val="20"/>
          <w:color w:val="auto"/>
        </w:rPr>
      </w:pPr>
      <w:r>
        <w:rPr>
          <w:rFonts w:ascii="Arial" w:cs="Arial" w:eastAsia="Arial" w:hAnsi="Arial"/>
          <w:sz w:val="18"/>
          <w:szCs w:val="18"/>
          <w:color w:val="auto"/>
        </w:rPr>
        <w:t>Assets measured at fair value on a recurring basis are summarized below (in millions):</w:t>
      </w:r>
    </w:p>
    <w:p>
      <w:pPr>
        <w:spacing w:after="0" w:line="321" w:lineRule="exact"/>
        <w:rPr>
          <w:sz w:val="20"/>
          <w:szCs w:val="20"/>
          <w:color w:val="auto"/>
        </w:rPr>
      </w:pPr>
    </w:p>
    <w:p>
      <w:pPr>
        <w:ind w:left="6580"/>
        <w:spacing w:after="0"/>
        <w:rPr>
          <w:sz w:val="20"/>
          <w:szCs w:val="20"/>
          <w:color w:val="auto"/>
        </w:rPr>
      </w:pPr>
      <w:r>
        <w:rPr>
          <w:rFonts w:ascii="Arial" w:cs="Arial" w:eastAsia="Arial" w:hAnsi="Arial"/>
          <w:sz w:val="14"/>
          <w:szCs w:val="14"/>
          <w:b w:val="1"/>
          <w:bCs w:val="1"/>
          <w:color w:val="auto"/>
        </w:rPr>
        <w:t>Fair Value Measurements as of December 31, 2019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3272790</wp:posOffset>
            </wp:positionH>
            <wp:positionV relativeFrom="paragraph">
              <wp:posOffset>26035</wp:posOffset>
            </wp:positionV>
            <wp:extent cx="3978910" cy="8890"/>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3978910" cy="8890"/>
                    </a:xfrm>
                    <a:prstGeom prst="rect">
                      <a:avLst/>
                    </a:prstGeom>
                    <a:noFill/>
                  </pic:spPr>
                </pic:pic>
              </a:graphicData>
            </a:graphic>
          </wp:anchor>
        </w:drawing>
      </w:r>
    </w:p>
    <w:p>
      <w:pPr>
        <w:spacing w:after="0" w:line="103" w:lineRule="exact"/>
        <w:rPr>
          <w:sz w:val="20"/>
          <w:szCs w:val="20"/>
          <w:color w:val="auto"/>
        </w:rPr>
      </w:pPr>
    </w:p>
    <w:tbl>
      <w:tblPr>
        <w:tblLayout w:type="fixed"/>
        <w:tblInd w:w="0" w:type="dxa"/>
        <w:tblCellMar>
          <w:top w:w="0" w:type="dxa"/>
          <w:left w:w="0" w:type="dxa"/>
          <w:bottom w:w="0" w:type="dxa"/>
          <w:right w:w="0" w:type="dxa"/>
        </w:tblCellMar>
      </w:tblPr>
      <w:tr>
        <w:trPr>
          <w:trHeight w:val="196"/>
        </w:trPr>
        <w:tc>
          <w:tcPr>
            <w:tcW w:w="2120" w:type="dxa"/>
            <w:vAlign w:val="bottom"/>
          </w:tcPr>
          <w:p>
            <w:pPr>
              <w:spacing w:after="0"/>
              <w:rPr>
                <w:sz w:val="17"/>
                <w:szCs w:val="17"/>
                <w:color w:val="auto"/>
              </w:rPr>
            </w:pPr>
          </w:p>
        </w:tc>
        <w:tc>
          <w:tcPr>
            <w:tcW w:w="304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100" w:type="dxa"/>
            <w:vAlign w:val="bottom"/>
          </w:tcPr>
          <w:p>
            <w:pPr>
              <w:jc w:val="right"/>
              <w:ind w:right="492"/>
              <w:spacing w:after="0"/>
              <w:rPr>
                <w:sz w:val="20"/>
                <w:szCs w:val="20"/>
                <w:color w:val="auto"/>
              </w:rPr>
            </w:pPr>
            <w:r>
              <w:rPr>
                <w:rFonts w:ascii="Arial" w:cs="Arial" w:eastAsia="Arial" w:hAnsi="Arial"/>
                <w:sz w:val="14"/>
                <w:szCs w:val="14"/>
                <w:b w:val="1"/>
                <w:bCs w:val="1"/>
                <w:color w:val="auto"/>
              </w:rPr>
              <w:t>Total</w:t>
            </w: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320" w:type="dxa"/>
            <w:vAlign w:val="bottom"/>
            <w:gridSpan w:val="2"/>
          </w:tcPr>
          <w:p>
            <w:pPr>
              <w:ind w:left="140"/>
              <w:spacing w:after="0"/>
              <w:rPr>
                <w:sz w:val="20"/>
                <w:szCs w:val="20"/>
                <w:color w:val="auto"/>
              </w:rPr>
            </w:pPr>
            <w:r>
              <w:rPr>
                <w:rFonts w:ascii="Arial" w:cs="Arial" w:eastAsia="Arial" w:hAnsi="Arial"/>
                <w:sz w:val="14"/>
                <w:szCs w:val="14"/>
                <w:b w:val="1"/>
                <w:bCs w:val="1"/>
                <w:color w:val="auto"/>
              </w:rPr>
              <w:t>Level 1</w:t>
            </w:r>
          </w:p>
        </w:tc>
        <w:tc>
          <w:tcPr>
            <w:tcW w:w="280" w:type="dxa"/>
            <w:vAlign w:val="bottom"/>
          </w:tcPr>
          <w:p>
            <w:pPr>
              <w:spacing w:after="0"/>
              <w:rPr>
                <w:sz w:val="17"/>
                <w:szCs w:val="17"/>
                <w:color w:val="auto"/>
              </w:rPr>
            </w:pPr>
          </w:p>
        </w:tc>
        <w:tc>
          <w:tcPr>
            <w:tcW w:w="1320" w:type="dxa"/>
            <w:vAlign w:val="bottom"/>
            <w:gridSpan w:val="2"/>
          </w:tcPr>
          <w:p>
            <w:pPr>
              <w:ind w:left="140"/>
              <w:spacing w:after="0"/>
              <w:rPr>
                <w:sz w:val="20"/>
                <w:szCs w:val="20"/>
                <w:color w:val="auto"/>
              </w:rPr>
            </w:pPr>
            <w:r>
              <w:rPr>
                <w:rFonts w:ascii="Arial" w:cs="Arial" w:eastAsia="Arial" w:hAnsi="Arial"/>
                <w:sz w:val="14"/>
                <w:szCs w:val="14"/>
                <w:b w:val="1"/>
                <w:bCs w:val="1"/>
                <w:color w:val="auto"/>
              </w:rPr>
              <w:t>Level 2</w:t>
            </w:r>
          </w:p>
        </w:tc>
        <w:tc>
          <w:tcPr>
            <w:tcW w:w="260" w:type="dxa"/>
            <w:vAlign w:val="bottom"/>
          </w:tcPr>
          <w:p>
            <w:pPr>
              <w:spacing w:after="0"/>
              <w:rPr>
                <w:sz w:val="17"/>
                <w:szCs w:val="17"/>
                <w:color w:val="auto"/>
              </w:rPr>
            </w:pPr>
          </w:p>
        </w:tc>
        <w:tc>
          <w:tcPr>
            <w:tcW w:w="1220" w:type="dxa"/>
            <w:vAlign w:val="bottom"/>
          </w:tcPr>
          <w:p>
            <w:pPr>
              <w:ind w:left="160"/>
              <w:spacing w:after="0"/>
              <w:rPr>
                <w:sz w:val="20"/>
                <w:szCs w:val="20"/>
                <w:color w:val="auto"/>
              </w:rPr>
            </w:pPr>
            <w:r>
              <w:rPr>
                <w:rFonts w:ascii="Arial" w:cs="Arial" w:eastAsia="Arial" w:hAnsi="Arial"/>
                <w:sz w:val="14"/>
                <w:szCs w:val="14"/>
                <w:b w:val="1"/>
                <w:bCs w:val="1"/>
                <w:color w:val="auto"/>
              </w:rPr>
              <w:t>Level 3</w:t>
            </w:r>
          </w:p>
        </w:tc>
      </w:tr>
      <w:tr>
        <w:trPr>
          <w:trHeight w:val="270"/>
        </w:trPr>
        <w:tc>
          <w:tcPr>
            <w:tcW w:w="5160" w:type="dxa"/>
            <w:vAlign w:val="bottom"/>
            <w:tcBorders>
              <w:top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 xml:space="preserve">Short-term investments </w:t>
            </w:r>
            <w:r>
              <w:rPr>
                <w:rFonts w:ascii="Arial" w:cs="Arial" w:eastAsia="Arial" w:hAnsi="Arial"/>
                <w:sz w:val="21"/>
                <w:szCs w:val="21"/>
                <w:color w:val="auto"/>
                <w:vertAlign w:val="superscript"/>
              </w:rPr>
              <w:t>(1), (2)</w:t>
            </w:r>
            <w:r>
              <w:rPr>
                <w:rFonts w:ascii="Arial" w:cs="Arial" w:eastAsia="Arial" w:hAnsi="Arial"/>
                <w:sz w:val="18"/>
                <w:szCs w:val="18"/>
                <w:color w:val="auto"/>
              </w:rPr>
              <w:t>:</w:t>
            </w:r>
          </w:p>
        </w:tc>
        <w:tc>
          <w:tcPr>
            <w:tcW w:w="300" w:type="dxa"/>
            <w:vAlign w:val="bottom"/>
            <w:tcBorders>
              <w:top w:val="single" w:sz="8" w:color="auto"/>
            </w:tcBorders>
            <w:shd w:val="clear" w:color="auto" w:fill="CCEEFF"/>
          </w:tcPr>
          <w:p>
            <w:pPr>
              <w:spacing w:after="0"/>
              <w:rPr>
                <w:sz w:val="23"/>
                <w:szCs w:val="23"/>
                <w:color w:val="auto"/>
              </w:rPr>
            </w:pPr>
          </w:p>
        </w:tc>
        <w:tc>
          <w:tcPr>
            <w:tcW w:w="1100" w:type="dxa"/>
            <w:vAlign w:val="bottom"/>
            <w:tcBorders>
              <w:top w:val="single" w:sz="8" w:color="auto"/>
            </w:tcBorders>
            <w:shd w:val="clear" w:color="auto" w:fill="CCEEFF"/>
          </w:tcPr>
          <w:p>
            <w:pPr>
              <w:spacing w:after="0"/>
              <w:rPr>
                <w:sz w:val="23"/>
                <w:szCs w:val="23"/>
                <w:color w:val="auto"/>
              </w:rPr>
            </w:pPr>
          </w:p>
        </w:tc>
        <w:tc>
          <w:tcPr>
            <w:tcW w:w="80" w:type="dxa"/>
            <w:vAlign w:val="bottom"/>
            <w:tcBorders>
              <w:top w:val="single" w:sz="8" w:color="auto"/>
            </w:tcBorders>
            <w:shd w:val="clear" w:color="auto" w:fill="CCEEFF"/>
          </w:tcPr>
          <w:p>
            <w:pPr>
              <w:spacing w:after="0"/>
              <w:rPr>
                <w:sz w:val="23"/>
                <w:szCs w:val="23"/>
                <w:color w:val="auto"/>
              </w:rPr>
            </w:pPr>
          </w:p>
        </w:tc>
        <w:tc>
          <w:tcPr>
            <w:tcW w:w="100" w:type="dxa"/>
            <w:vAlign w:val="bottom"/>
            <w:tcBorders>
              <w:top w:val="single" w:sz="8" w:color="CCEEFF"/>
            </w:tcBorders>
            <w:shd w:val="clear" w:color="auto" w:fill="CCEEFF"/>
          </w:tcPr>
          <w:p>
            <w:pPr>
              <w:spacing w:after="0"/>
              <w:rPr>
                <w:sz w:val="23"/>
                <w:szCs w:val="23"/>
                <w:color w:val="auto"/>
              </w:rPr>
            </w:pPr>
          </w:p>
        </w:tc>
        <w:tc>
          <w:tcPr>
            <w:tcW w:w="280" w:type="dxa"/>
            <w:vAlign w:val="bottom"/>
            <w:tcBorders>
              <w:top w:val="single" w:sz="8" w:color="auto"/>
            </w:tcBorders>
            <w:shd w:val="clear" w:color="auto" w:fill="CCEEFF"/>
          </w:tcPr>
          <w:p>
            <w:pPr>
              <w:spacing w:after="0"/>
              <w:rPr>
                <w:sz w:val="23"/>
                <w:szCs w:val="23"/>
                <w:color w:val="auto"/>
              </w:rPr>
            </w:pPr>
          </w:p>
        </w:tc>
        <w:tc>
          <w:tcPr>
            <w:tcW w:w="1220" w:type="dxa"/>
            <w:vAlign w:val="bottom"/>
            <w:tcBorders>
              <w:top w:val="single" w:sz="8" w:color="auto"/>
            </w:tcBorders>
            <w:shd w:val="clear" w:color="auto" w:fill="CCEEFF"/>
          </w:tcPr>
          <w:p>
            <w:pPr>
              <w:spacing w:after="0"/>
              <w:rPr>
                <w:sz w:val="23"/>
                <w:szCs w:val="23"/>
                <w:color w:val="auto"/>
              </w:rPr>
            </w:pPr>
          </w:p>
        </w:tc>
        <w:tc>
          <w:tcPr>
            <w:tcW w:w="100" w:type="dxa"/>
            <w:vAlign w:val="bottom"/>
            <w:tcBorders>
              <w:top w:val="single" w:sz="8" w:color="CCEEFF"/>
            </w:tcBorders>
            <w:shd w:val="clear" w:color="auto" w:fill="CCEEFF"/>
          </w:tcPr>
          <w:p>
            <w:pPr>
              <w:spacing w:after="0"/>
              <w:rPr>
                <w:sz w:val="23"/>
                <w:szCs w:val="23"/>
                <w:color w:val="auto"/>
              </w:rPr>
            </w:pPr>
          </w:p>
        </w:tc>
        <w:tc>
          <w:tcPr>
            <w:tcW w:w="280" w:type="dxa"/>
            <w:vAlign w:val="bottom"/>
            <w:tcBorders>
              <w:top w:val="single" w:sz="8" w:color="auto"/>
            </w:tcBorders>
            <w:shd w:val="clear" w:color="auto" w:fill="CCEEFF"/>
          </w:tcPr>
          <w:p>
            <w:pPr>
              <w:spacing w:after="0"/>
              <w:rPr>
                <w:sz w:val="23"/>
                <w:szCs w:val="23"/>
                <w:color w:val="auto"/>
              </w:rPr>
            </w:pPr>
          </w:p>
        </w:tc>
        <w:tc>
          <w:tcPr>
            <w:tcW w:w="1200" w:type="dxa"/>
            <w:vAlign w:val="bottom"/>
            <w:tcBorders>
              <w:top w:val="single" w:sz="8" w:color="auto"/>
            </w:tcBorders>
            <w:shd w:val="clear" w:color="auto" w:fill="CCEEFF"/>
          </w:tcPr>
          <w:p>
            <w:pPr>
              <w:spacing w:after="0"/>
              <w:rPr>
                <w:sz w:val="23"/>
                <w:szCs w:val="23"/>
                <w:color w:val="auto"/>
              </w:rPr>
            </w:pPr>
          </w:p>
        </w:tc>
        <w:tc>
          <w:tcPr>
            <w:tcW w:w="120" w:type="dxa"/>
            <w:vAlign w:val="bottom"/>
            <w:tcBorders>
              <w:top w:val="single" w:sz="8" w:color="CCEEFF"/>
            </w:tcBorders>
            <w:shd w:val="clear" w:color="auto" w:fill="CCEEFF"/>
          </w:tcPr>
          <w:p>
            <w:pPr>
              <w:spacing w:after="0"/>
              <w:rPr>
                <w:sz w:val="23"/>
                <w:szCs w:val="23"/>
                <w:color w:val="auto"/>
              </w:rPr>
            </w:pPr>
          </w:p>
        </w:tc>
        <w:tc>
          <w:tcPr>
            <w:tcW w:w="260" w:type="dxa"/>
            <w:vAlign w:val="bottom"/>
            <w:tcBorders>
              <w:top w:val="single" w:sz="8" w:color="auto"/>
            </w:tcBorders>
            <w:shd w:val="clear" w:color="auto" w:fill="CCEEFF"/>
          </w:tcPr>
          <w:p>
            <w:pPr>
              <w:spacing w:after="0"/>
              <w:rPr>
                <w:sz w:val="23"/>
                <w:szCs w:val="23"/>
                <w:color w:val="auto"/>
              </w:rPr>
            </w:pPr>
          </w:p>
        </w:tc>
        <w:tc>
          <w:tcPr>
            <w:tcW w:w="1220" w:type="dxa"/>
            <w:vAlign w:val="bottom"/>
            <w:tcBorders>
              <w:top w:val="single" w:sz="8" w:color="auto"/>
            </w:tcBorders>
            <w:shd w:val="clear" w:color="auto" w:fill="CCEEFF"/>
          </w:tcPr>
          <w:p>
            <w:pPr>
              <w:spacing w:after="0"/>
              <w:rPr>
                <w:sz w:val="23"/>
                <w:szCs w:val="23"/>
                <w:color w:val="auto"/>
              </w:rPr>
            </w:pPr>
          </w:p>
        </w:tc>
      </w:tr>
      <w:tr>
        <w:trPr>
          <w:trHeight w:val="263"/>
        </w:trPr>
        <w:tc>
          <w:tcPr>
            <w:tcW w:w="5160" w:type="dxa"/>
            <w:vAlign w:val="bottom"/>
            <w:gridSpan w:val="2"/>
          </w:tcPr>
          <w:p>
            <w:pPr>
              <w:ind w:left="180"/>
              <w:spacing w:after="0"/>
              <w:rPr>
                <w:sz w:val="20"/>
                <w:szCs w:val="20"/>
                <w:color w:val="auto"/>
              </w:rPr>
            </w:pPr>
            <w:r>
              <w:rPr>
                <w:rFonts w:ascii="Arial" w:cs="Arial" w:eastAsia="Arial" w:hAnsi="Arial"/>
                <w:sz w:val="18"/>
                <w:szCs w:val="18"/>
                <w:color w:val="auto"/>
              </w:rPr>
              <w:t>Money market funds</w:t>
            </w:r>
          </w:p>
        </w:tc>
        <w:tc>
          <w:tcPr>
            <w:tcW w:w="300" w:type="dxa"/>
            <w:vAlign w:val="bottom"/>
          </w:tcPr>
          <w:p>
            <w:pPr>
              <w:jc w:val="right"/>
              <w:ind w:right="90"/>
              <w:spacing w:after="0"/>
              <w:rPr>
                <w:sz w:val="20"/>
                <w:szCs w:val="20"/>
                <w:color w:val="auto"/>
              </w:rPr>
            </w:pPr>
            <w:r>
              <w:rPr>
                <w:rFonts w:ascii="Arial" w:cs="Arial" w:eastAsia="Arial" w:hAnsi="Arial"/>
                <w:sz w:val="18"/>
                <w:szCs w:val="18"/>
                <w:color w:val="auto"/>
                <w:w w:val="99"/>
              </w:rPr>
              <w:t>$</w:t>
            </w:r>
          </w:p>
        </w:tc>
        <w:tc>
          <w:tcPr>
            <w:tcW w:w="1100" w:type="dxa"/>
            <w:vAlign w:val="bottom"/>
          </w:tcPr>
          <w:p>
            <w:pPr>
              <w:jc w:val="right"/>
              <w:spacing w:after="0"/>
              <w:rPr>
                <w:sz w:val="20"/>
                <w:szCs w:val="20"/>
                <w:color w:val="auto"/>
              </w:rPr>
            </w:pPr>
            <w:r>
              <w:rPr>
                <w:rFonts w:ascii="Arial" w:cs="Arial" w:eastAsia="Arial" w:hAnsi="Arial"/>
                <w:sz w:val="18"/>
                <w:szCs w:val="18"/>
                <w:color w:val="auto"/>
              </w:rPr>
              <w:t>333</w:t>
            </w:r>
          </w:p>
        </w:tc>
        <w:tc>
          <w:tcPr>
            <w:tcW w:w="460" w:type="dxa"/>
            <w:vAlign w:val="bottom"/>
            <w:gridSpan w:val="3"/>
          </w:tcPr>
          <w:p>
            <w:pPr>
              <w:jc w:val="right"/>
              <w:ind w:right="50"/>
              <w:spacing w:after="0"/>
              <w:rPr>
                <w:sz w:val="20"/>
                <w:szCs w:val="20"/>
                <w:color w:val="auto"/>
              </w:rPr>
            </w:pPr>
            <w:r>
              <w:rPr>
                <w:rFonts w:ascii="Arial" w:cs="Arial" w:eastAsia="Arial" w:hAnsi="Arial"/>
                <w:sz w:val="18"/>
                <w:szCs w:val="18"/>
                <w:color w:val="auto"/>
              </w:rPr>
              <w:t>$</w:t>
            </w:r>
          </w:p>
        </w:tc>
        <w:tc>
          <w:tcPr>
            <w:tcW w:w="1220" w:type="dxa"/>
            <w:vAlign w:val="bottom"/>
          </w:tcPr>
          <w:p>
            <w:pPr>
              <w:jc w:val="right"/>
              <w:ind w:right="32"/>
              <w:spacing w:after="0"/>
              <w:rPr>
                <w:sz w:val="20"/>
                <w:szCs w:val="20"/>
                <w:color w:val="auto"/>
              </w:rPr>
            </w:pPr>
            <w:r>
              <w:rPr>
                <w:rFonts w:ascii="Arial" w:cs="Arial" w:eastAsia="Arial" w:hAnsi="Arial"/>
                <w:sz w:val="18"/>
                <w:szCs w:val="18"/>
                <w:color w:val="auto"/>
              </w:rPr>
              <w:t>333</w:t>
            </w:r>
          </w:p>
        </w:tc>
        <w:tc>
          <w:tcPr>
            <w:tcW w:w="100" w:type="dxa"/>
            <w:vAlign w:val="bottom"/>
          </w:tcPr>
          <w:p>
            <w:pPr>
              <w:spacing w:after="0"/>
              <w:rPr>
                <w:sz w:val="22"/>
                <w:szCs w:val="22"/>
                <w:color w:val="auto"/>
              </w:rPr>
            </w:pPr>
          </w:p>
        </w:tc>
        <w:tc>
          <w:tcPr>
            <w:tcW w:w="280" w:type="dxa"/>
            <w:vAlign w:val="bottom"/>
          </w:tcPr>
          <w:p>
            <w:pPr>
              <w:jc w:val="right"/>
              <w:ind w:right="70"/>
              <w:spacing w:after="0"/>
              <w:rPr>
                <w:sz w:val="20"/>
                <w:szCs w:val="20"/>
                <w:color w:val="auto"/>
              </w:rPr>
            </w:pPr>
            <w:r>
              <w:rPr>
                <w:rFonts w:ascii="Arial" w:cs="Arial" w:eastAsia="Arial" w:hAnsi="Arial"/>
                <w:sz w:val="18"/>
                <w:szCs w:val="18"/>
                <w:color w:val="auto"/>
                <w:w w:val="99"/>
              </w:rPr>
              <w:t>$</w:t>
            </w:r>
          </w:p>
        </w:tc>
        <w:tc>
          <w:tcPr>
            <w:tcW w:w="13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60" w:type="dxa"/>
            <w:vAlign w:val="bottom"/>
          </w:tcPr>
          <w:p>
            <w:pPr>
              <w:jc w:val="right"/>
              <w:ind w:right="50"/>
              <w:spacing w:after="0"/>
              <w:rPr>
                <w:sz w:val="20"/>
                <w:szCs w:val="20"/>
                <w:color w:val="auto"/>
              </w:rPr>
            </w:pPr>
            <w:r>
              <w:rPr>
                <w:rFonts w:ascii="Arial" w:cs="Arial" w:eastAsia="Arial" w:hAnsi="Arial"/>
                <w:sz w:val="18"/>
                <w:szCs w:val="18"/>
                <w:color w:val="auto"/>
                <w:w w:val="99"/>
              </w:rPr>
              <w:t>$</w:t>
            </w:r>
          </w:p>
        </w:tc>
        <w:tc>
          <w:tcPr>
            <w:tcW w:w="1220" w:type="dxa"/>
            <w:vAlign w:val="bottom"/>
          </w:tcPr>
          <w:p>
            <w:pPr>
              <w:ind w:left="940"/>
              <w:spacing w:after="0"/>
              <w:rPr>
                <w:sz w:val="20"/>
                <w:szCs w:val="20"/>
                <w:color w:val="auto"/>
              </w:rPr>
            </w:pPr>
            <w:r>
              <w:rPr>
                <w:rFonts w:ascii="Arial" w:cs="Arial" w:eastAsia="Arial" w:hAnsi="Arial"/>
                <w:sz w:val="18"/>
                <w:szCs w:val="18"/>
                <w:color w:val="auto"/>
              </w:rPr>
              <w:t>—</w:t>
            </w:r>
          </w:p>
        </w:tc>
      </w:tr>
      <w:tr>
        <w:trPr>
          <w:trHeight w:val="277"/>
        </w:trPr>
        <w:tc>
          <w:tcPr>
            <w:tcW w:w="516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Bank notes/certificates of deposit/time deposits</w:t>
            </w:r>
          </w:p>
        </w:tc>
        <w:tc>
          <w:tcPr>
            <w:tcW w:w="300" w:type="dxa"/>
            <w:vAlign w:val="bottom"/>
            <w:shd w:val="clear" w:color="auto" w:fill="CCEEFF"/>
          </w:tcPr>
          <w:p>
            <w:pPr>
              <w:spacing w:after="0"/>
              <w:rPr>
                <w:sz w:val="24"/>
                <w:szCs w:val="24"/>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2,107</w:t>
            </w:r>
          </w:p>
        </w:tc>
        <w:tc>
          <w:tcPr>
            <w:tcW w:w="8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280" w:type="dxa"/>
            <w:vAlign w:val="bottom"/>
            <w:shd w:val="clear" w:color="auto" w:fill="CCEEFF"/>
          </w:tcPr>
          <w:p>
            <w:pPr>
              <w:spacing w:after="0"/>
              <w:rPr>
                <w:sz w:val="24"/>
                <w:szCs w:val="24"/>
                <w:color w:val="auto"/>
              </w:rPr>
            </w:pPr>
          </w:p>
        </w:tc>
        <w:tc>
          <w:tcPr>
            <w:tcW w:w="13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80" w:type="dxa"/>
            <w:vAlign w:val="bottom"/>
            <w:shd w:val="clear" w:color="auto" w:fill="CCEEFF"/>
          </w:tcPr>
          <w:p>
            <w:pPr>
              <w:spacing w:after="0"/>
              <w:rPr>
                <w:sz w:val="24"/>
                <w:szCs w:val="24"/>
                <w:color w:val="auto"/>
              </w:rPr>
            </w:pPr>
          </w:p>
        </w:tc>
        <w:tc>
          <w:tcPr>
            <w:tcW w:w="120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2,107</w:t>
            </w:r>
          </w:p>
        </w:tc>
        <w:tc>
          <w:tcPr>
            <w:tcW w:w="120" w:type="dxa"/>
            <w:vAlign w:val="bottom"/>
            <w:shd w:val="clear" w:color="auto" w:fill="CCEEFF"/>
          </w:tcPr>
          <w:p>
            <w:pPr>
              <w:spacing w:after="0"/>
              <w:rPr>
                <w:sz w:val="24"/>
                <w:szCs w:val="24"/>
                <w:color w:val="auto"/>
              </w:rPr>
            </w:pPr>
          </w:p>
        </w:tc>
        <w:tc>
          <w:tcPr>
            <w:tcW w:w="260" w:type="dxa"/>
            <w:vAlign w:val="bottom"/>
            <w:shd w:val="clear" w:color="auto" w:fill="CCEEFF"/>
          </w:tcPr>
          <w:p>
            <w:pPr>
              <w:spacing w:after="0"/>
              <w:rPr>
                <w:sz w:val="24"/>
                <w:szCs w:val="24"/>
                <w:color w:val="auto"/>
              </w:rPr>
            </w:pPr>
          </w:p>
        </w:tc>
        <w:tc>
          <w:tcPr>
            <w:tcW w:w="1220" w:type="dxa"/>
            <w:vAlign w:val="bottom"/>
            <w:shd w:val="clear" w:color="auto" w:fill="CCEEFF"/>
          </w:tcPr>
          <w:p>
            <w:pPr>
              <w:ind w:left="940"/>
              <w:spacing w:after="0"/>
              <w:rPr>
                <w:sz w:val="20"/>
                <w:szCs w:val="20"/>
                <w:color w:val="auto"/>
              </w:rPr>
            </w:pPr>
            <w:r>
              <w:rPr>
                <w:rFonts w:ascii="Arial" w:cs="Arial" w:eastAsia="Arial" w:hAnsi="Arial"/>
                <w:sz w:val="18"/>
                <w:szCs w:val="18"/>
                <w:color w:val="auto"/>
              </w:rPr>
              <w:t>—</w:t>
            </w:r>
          </w:p>
        </w:tc>
      </w:tr>
      <w:tr>
        <w:trPr>
          <w:trHeight w:val="263"/>
        </w:trPr>
        <w:tc>
          <w:tcPr>
            <w:tcW w:w="5160" w:type="dxa"/>
            <w:vAlign w:val="bottom"/>
            <w:gridSpan w:val="2"/>
          </w:tcPr>
          <w:p>
            <w:pPr>
              <w:ind w:left="180"/>
              <w:spacing w:after="0"/>
              <w:rPr>
                <w:sz w:val="20"/>
                <w:szCs w:val="20"/>
                <w:color w:val="auto"/>
              </w:rPr>
            </w:pPr>
            <w:r>
              <w:rPr>
                <w:rFonts w:ascii="Arial" w:cs="Arial" w:eastAsia="Arial" w:hAnsi="Arial"/>
                <w:sz w:val="18"/>
                <w:szCs w:val="18"/>
                <w:color w:val="auto"/>
              </w:rPr>
              <w:t>Corporate obligations</w:t>
            </w:r>
          </w:p>
        </w:tc>
        <w:tc>
          <w:tcPr>
            <w:tcW w:w="300" w:type="dxa"/>
            <w:vAlign w:val="bottom"/>
          </w:tcPr>
          <w:p>
            <w:pPr>
              <w:spacing w:after="0"/>
              <w:rPr>
                <w:sz w:val="22"/>
                <w:szCs w:val="22"/>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1,021</w:t>
            </w:r>
          </w:p>
        </w:tc>
        <w:tc>
          <w:tcPr>
            <w:tcW w:w="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13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22"/>
                <w:szCs w:val="22"/>
                <w:color w:val="auto"/>
              </w:rPr>
            </w:pPr>
          </w:p>
        </w:tc>
        <w:tc>
          <w:tcPr>
            <w:tcW w:w="1200" w:type="dxa"/>
            <w:vAlign w:val="bottom"/>
          </w:tcPr>
          <w:p>
            <w:pPr>
              <w:jc w:val="right"/>
              <w:ind w:right="12"/>
              <w:spacing w:after="0"/>
              <w:rPr>
                <w:sz w:val="20"/>
                <w:szCs w:val="20"/>
                <w:color w:val="auto"/>
              </w:rPr>
            </w:pPr>
            <w:r>
              <w:rPr>
                <w:rFonts w:ascii="Arial" w:cs="Arial" w:eastAsia="Arial" w:hAnsi="Arial"/>
                <w:sz w:val="18"/>
                <w:szCs w:val="18"/>
                <w:color w:val="auto"/>
              </w:rPr>
              <w:t>1,021</w:t>
            </w:r>
          </w:p>
        </w:tc>
        <w:tc>
          <w:tcPr>
            <w:tcW w:w="12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1220" w:type="dxa"/>
            <w:vAlign w:val="bottom"/>
          </w:tcPr>
          <w:p>
            <w:pPr>
              <w:ind w:left="940"/>
              <w:spacing w:after="0"/>
              <w:rPr>
                <w:sz w:val="20"/>
                <w:szCs w:val="20"/>
                <w:color w:val="auto"/>
              </w:rPr>
            </w:pPr>
            <w:r>
              <w:rPr>
                <w:rFonts w:ascii="Arial" w:cs="Arial" w:eastAsia="Arial" w:hAnsi="Arial"/>
                <w:sz w:val="18"/>
                <w:szCs w:val="18"/>
                <w:color w:val="auto"/>
              </w:rPr>
              <w:t>—</w:t>
            </w:r>
          </w:p>
        </w:tc>
      </w:tr>
      <w:tr>
        <w:trPr>
          <w:trHeight w:val="270"/>
        </w:trPr>
        <w:tc>
          <w:tcPr>
            <w:tcW w:w="516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Repurchase agreements</w:t>
            </w:r>
          </w:p>
        </w:tc>
        <w:tc>
          <w:tcPr>
            <w:tcW w:w="300" w:type="dxa"/>
            <w:vAlign w:val="bottom"/>
            <w:shd w:val="clear" w:color="auto" w:fill="CCEEFF"/>
          </w:tcPr>
          <w:p>
            <w:pPr>
              <w:spacing w:after="0"/>
              <w:rPr>
                <w:sz w:val="23"/>
                <w:szCs w:val="23"/>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85</w:t>
            </w:r>
          </w:p>
        </w:tc>
        <w:tc>
          <w:tcPr>
            <w:tcW w:w="8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280" w:type="dxa"/>
            <w:vAlign w:val="bottom"/>
            <w:shd w:val="clear" w:color="auto" w:fill="CCEEFF"/>
          </w:tcPr>
          <w:p>
            <w:pPr>
              <w:spacing w:after="0"/>
              <w:rPr>
                <w:sz w:val="23"/>
                <w:szCs w:val="23"/>
                <w:color w:val="auto"/>
              </w:rPr>
            </w:pPr>
          </w:p>
        </w:tc>
        <w:tc>
          <w:tcPr>
            <w:tcW w:w="13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80" w:type="dxa"/>
            <w:vAlign w:val="bottom"/>
            <w:shd w:val="clear" w:color="auto" w:fill="CCEEFF"/>
          </w:tcPr>
          <w:p>
            <w:pPr>
              <w:spacing w:after="0"/>
              <w:rPr>
                <w:sz w:val="23"/>
                <w:szCs w:val="23"/>
                <w:color w:val="auto"/>
              </w:rPr>
            </w:pPr>
          </w:p>
        </w:tc>
        <w:tc>
          <w:tcPr>
            <w:tcW w:w="120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85</w:t>
            </w:r>
          </w:p>
        </w:tc>
        <w:tc>
          <w:tcPr>
            <w:tcW w:w="120" w:type="dxa"/>
            <w:vAlign w:val="bottom"/>
            <w:shd w:val="clear" w:color="auto" w:fill="CCEEFF"/>
          </w:tcPr>
          <w:p>
            <w:pPr>
              <w:spacing w:after="0"/>
              <w:rPr>
                <w:sz w:val="23"/>
                <w:szCs w:val="23"/>
                <w:color w:val="auto"/>
              </w:rPr>
            </w:pPr>
          </w:p>
        </w:tc>
        <w:tc>
          <w:tcPr>
            <w:tcW w:w="260" w:type="dxa"/>
            <w:vAlign w:val="bottom"/>
            <w:shd w:val="clear" w:color="auto" w:fill="CCEEFF"/>
          </w:tcPr>
          <w:p>
            <w:pPr>
              <w:spacing w:after="0"/>
              <w:rPr>
                <w:sz w:val="23"/>
                <w:szCs w:val="23"/>
                <w:color w:val="auto"/>
              </w:rPr>
            </w:pPr>
          </w:p>
        </w:tc>
        <w:tc>
          <w:tcPr>
            <w:tcW w:w="1220" w:type="dxa"/>
            <w:vAlign w:val="bottom"/>
            <w:shd w:val="clear" w:color="auto" w:fill="CCEEFF"/>
          </w:tcPr>
          <w:p>
            <w:pPr>
              <w:ind w:left="940"/>
              <w:spacing w:after="0"/>
              <w:rPr>
                <w:sz w:val="20"/>
                <w:szCs w:val="20"/>
                <w:color w:val="auto"/>
              </w:rPr>
            </w:pPr>
            <w:r>
              <w:rPr>
                <w:rFonts w:ascii="Arial" w:cs="Arial" w:eastAsia="Arial" w:hAnsi="Arial"/>
                <w:sz w:val="18"/>
                <w:szCs w:val="18"/>
                <w:color w:val="auto"/>
              </w:rPr>
              <w:t>—</w:t>
            </w:r>
          </w:p>
        </w:tc>
      </w:tr>
      <w:tr>
        <w:trPr>
          <w:trHeight w:val="250"/>
        </w:trPr>
        <w:tc>
          <w:tcPr>
            <w:tcW w:w="2120" w:type="dxa"/>
            <w:vAlign w:val="bottom"/>
          </w:tcPr>
          <w:p>
            <w:pPr>
              <w:spacing w:after="0"/>
              <w:rPr>
                <w:sz w:val="21"/>
                <w:szCs w:val="21"/>
                <w:color w:val="auto"/>
              </w:rPr>
            </w:pPr>
          </w:p>
        </w:tc>
        <w:tc>
          <w:tcPr>
            <w:tcW w:w="3040" w:type="dxa"/>
            <w:vAlign w:val="bottom"/>
          </w:tcPr>
          <w:p>
            <w:pPr>
              <w:spacing w:after="0"/>
              <w:rPr>
                <w:sz w:val="21"/>
                <w:szCs w:val="21"/>
                <w:color w:val="auto"/>
              </w:rPr>
            </w:pPr>
          </w:p>
        </w:tc>
        <w:tc>
          <w:tcPr>
            <w:tcW w:w="300" w:type="dxa"/>
            <w:vAlign w:val="bottom"/>
            <w:tcBorders>
              <w:top w:val="single" w:sz="8" w:color="auto"/>
            </w:tcBorders>
          </w:tcPr>
          <w:p>
            <w:pPr>
              <w:spacing w:after="0"/>
              <w:rPr>
                <w:sz w:val="21"/>
                <w:szCs w:val="21"/>
                <w:color w:val="auto"/>
              </w:rPr>
            </w:pPr>
          </w:p>
        </w:tc>
        <w:tc>
          <w:tcPr>
            <w:tcW w:w="11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3,546</w:t>
            </w:r>
          </w:p>
        </w:tc>
        <w:tc>
          <w:tcPr>
            <w:tcW w:w="80" w:type="dxa"/>
            <w:vAlign w:val="bottom"/>
            <w:tcBorders>
              <w:top w:val="single" w:sz="8" w:color="auto"/>
            </w:tcBorders>
          </w:tcPr>
          <w:p>
            <w:pPr>
              <w:spacing w:after="0"/>
              <w:rPr>
                <w:sz w:val="21"/>
                <w:szCs w:val="21"/>
                <w:color w:val="auto"/>
              </w:rPr>
            </w:pPr>
          </w:p>
        </w:tc>
        <w:tc>
          <w:tcPr>
            <w:tcW w:w="100" w:type="dxa"/>
            <w:vAlign w:val="bottom"/>
          </w:tcPr>
          <w:p>
            <w:pPr>
              <w:spacing w:after="0"/>
              <w:rPr>
                <w:sz w:val="21"/>
                <w:szCs w:val="21"/>
                <w:color w:val="auto"/>
              </w:rPr>
            </w:pPr>
          </w:p>
        </w:tc>
        <w:tc>
          <w:tcPr>
            <w:tcW w:w="280" w:type="dxa"/>
            <w:vAlign w:val="bottom"/>
            <w:tcBorders>
              <w:top w:val="single" w:sz="8" w:color="auto"/>
            </w:tcBorders>
          </w:tcPr>
          <w:p>
            <w:pPr>
              <w:spacing w:after="0"/>
              <w:rPr>
                <w:sz w:val="21"/>
                <w:szCs w:val="21"/>
                <w:color w:val="auto"/>
              </w:rPr>
            </w:pPr>
          </w:p>
        </w:tc>
        <w:tc>
          <w:tcPr>
            <w:tcW w:w="1220" w:type="dxa"/>
            <w:vAlign w:val="bottom"/>
            <w:tcBorders>
              <w:top w:val="single" w:sz="8" w:color="auto"/>
            </w:tcBorders>
          </w:tcPr>
          <w:p>
            <w:pPr>
              <w:jc w:val="right"/>
              <w:ind w:right="32"/>
              <w:spacing w:after="0"/>
              <w:rPr>
                <w:sz w:val="20"/>
                <w:szCs w:val="20"/>
                <w:color w:val="auto"/>
              </w:rPr>
            </w:pPr>
            <w:r>
              <w:rPr>
                <w:rFonts w:ascii="Arial" w:cs="Arial" w:eastAsia="Arial" w:hAnsi="Arial"/>
                <w:sz w:val="18"/>
                <w:szCs w:val="18"/>
                <w:color w:val="auto"/>
              </w:rPr>
              <w:t>333</w:t>
            </w:r>
          </w:p>
        </w:tc>
        <w:tc>
          <w:tcPr>
            <w:tcW w:w="100" w:type="dxa"/>
            <w:vAlign w:val="bottom"/>
          </w:tcPr>
          <w:p>
            <w:pPr>
              <w:spacing w:after="0"/>
              <w:rPr>
                <w:sz w:val="21"/>
                <w:szCs w:val="21"/>
                <w:color w:val="auto"/>
              </w:rPr>
            </w:pPr>
          </w:p>
        </w:tc>
        <w:tc>
          <w:tcPr>
            <w:tcW w:w="280" w:type="dxa"/>
            <w:vAlign w:val="bottom"/>
            <w:tcBorders>
              <w:top w:val="single" w:sz="8" w:color="auto"/>
            </w:tcBorders>
          </w:tcPr>
          <w:p>
            <w:pPr>
              <w:spacing w:after="0"/>
              <w:rPr>
                <w:sz w:val="21"/>
                <w:szCs w:val="21"/>
                <w:color w:val="auto"/>
              </w:rPr>
            </w:pPr>
          </w:p>
        </w:tc>
        <w:tc>
          <w:tcPr>
            <w:tcW w:w="1200" w:type="dxa"/>
            <w:vAlign w:val="bottom"/>
            <w:tcBorders>
              <w:top w:val="single" w:sz="8" w:color="auto"/>
            </w:tcBorders>
          </w:tcPr>
          <w:p>
            <w:pPr>
              <w:jc w:val="right"/>
              <w:ind w:right="12"/>
              <w:spacing w:after="0"/>
              <w:rPr>
                <w:sz w:val="20"/>
                <w:szCs w:val="20"/>
                <w:color w:val="auto"/>
              </w:rPr>
            </w:pPr>
            <w:r>
              <w:rPr>
                <w:rFonts w:ascii="Arial" w:cs="Arial" w:eastAsia="Arial" w:hAnsi="Arial"/>
                <w:sz w:val="18"/>
                <w:szCs w:val="18"/>
                <w:color w:val="auto"/>
              </w:rPr>
              <w:t>3,213</w:t>
            </w:r>
          </w:p>
        </w:tc>
        <w:tc>
          <w:tcPr>
            <w:tcW w:w="120" w:type="dxa"/>
            <w:vAlign w:val="bottom"/>
          </w:tcPr>
          <w:p>
            <w:pPr>
              <w:spacing w:after="0"/>
              <w:rPr>
                <w:sz w:val="21"/>
                <w:szCs w:val="21"/>
                <w:color w:val="auto"/>
              </w:rPr>
            </w:pPr>
          </w:p>
        </w:tc>
        <w:tc>
          <w:tcPr>
            <w:tcW w:w="260" w:type="dxa"/>
            <w:vAlign w:val="bottom"/>
            <w:tcBorders>
              <w:top w:val="single" w:sz="8" w:color="auto"/>
            </w:tcBorders>
          </w:tcPr>
          <w:p>
            <w:pPr>
              <w:spacing w:after="0"/>
              <w:rPr>
                <w:sz w:val="21"/>
                <w:szCs w:val="21"/>
                <w:color w:val="auto"/>
              </w:rPr>
            </w:pPr>
          </w:p>
        </w:tc>
        <w:tc>
          <w:tcPr>
            <w:tcW w:w="1220" w:type="dxa"/>
            <w:vAlign w:val="bottom"/>
            <w:tcBorders>
              <w:top w:val="single" w:sz="8" w:color="auto"/>
            </w:tcBorders>
          </w:tcPr>
          <w:p>
            <w:pPr>
              <w:ind w:left="940"/>
              <w:spacing w:after="0"/>
              <w:rPr>
                <w:sz w:val="20"/>
                <w:szCs w:val="20"/>
                <w:color w:val="auto"/>
              </w:rPr>
            </w:pPr>
            <w:r>
              <w:rPr>
                <w:rFonts w:ascii="Arial" w:cs="Arial" w:eastAsia="Arial" w:hAnsi="Arial"/>
                <w:sz w:val="18"/>
                <w:szCs w:val="18"/>
                <w:color w:val="auto"/>
              </w:rPr>
              <w:t>—</w:t>
            </w:r>
          </w:p>
        </w:tc>
      </w:tr>
      <w:tr>
        <w:trPr>
          <w:trHeight w:val="277"/>
        </w:trPr>
        <w:tc>
          <w:tcPr>
            <w:tcW w:w="5160" w:type="dxa"/>
            <w:vAlign w:val="bottom"/>
            <w:gridSpan w:val="2"/>
            <w:shd w:val="clear" w:color="auto" w:fill="CCEEFF"/>
          </w:tcPr>
          <w:p>
            <w:pPr>
              <w:ind w:left="40"/>
              <w:spacing w:after="0"/>
              <w:rPr>
                <w:sz w:val="20"/>
                <w:szCs w:val="20"/>
                <w:color w:val="auto"/>
              </w:rPr>
            </w:pPr>
            <w:r>
              <w:rPr>
                <w:rFonts w:ascii="Arial" w:cs="Arial" w:eastAsia="Arial" w:hAnsi="Arial"/>
                <w:sz w:val="18"/>
                <w:szCs w:val="18"/>
                <w:color w:val="auto"/>
              </w:rPr>
              <w:t xml:space="preserve">Restricted cash and short-term investments </w:t>
            </w:r>
            <w:r>
              <w:rPr>
                <w:rFonts w:ascii="Arial" w:cs="Arial" w:eastAsia="Arial" w:hAnsi="Arial"/>
                <w:sz w:val="21"/>
                <w:szCs w:val="21"/>
                <w:color w:val="auto"/>
                <w:vertAlign w:val="superscript"/>
              </w:rPr>
              <w:t>(1)</w:t>
            </w:r>
          </w:p>
        </w:tc>
        <w:tc>
          <w:tcPr>
            <w:tcW w:w="300" w:type="dxa"/>
            <w:vAlign w:val="bottom"/>
            <w:shd w:val="clear" w:color="auto" w:fill="CCEEFF"/>
          </w:tcPr>
          <w:p>
            <w:pPr>
              <w:spacing w:after="0"/>
              <w:rPr>
                <w:sz w:val="24"/>
                <w:szCs w:val="24"/>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158</w:t>
            </w:r>
          </w:p>
        </w:tc>
        <w:tc>
          <w:tcPr>
            <w:tcW w:w="8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280" w:type="dxa"/>
            <w:vAlign w:val="bottom"/>
            <w:shd w:val="clear" w:color="auto" w:fill="CCEEFF"/>
          </w:tcPr>
          <w:p>
            <w:pPr>
              <w:spacing w:after="0"/>
              <w:rPr>
                <w:sz w:val="24"/>
                <w:szCs w:val="24"/>
                <w:color w:val="auto"/>
              </w:rPr>
            </w:pPr>
          </w:p>
        </w:tc>
        <w:tc>
          <w:tcPr>
            <w:tcW w:w="1220" w:type="dxa"/>
            <w:vAlign w:val="bottom"/>
            <w:shd w:val="clear" w:color="auto" w:fill="CCEEFF"/>
          </w:tcPr>
          <w:p>
            <w:pPr>
              <w:jc w:val="right"/>
              <w:ind w:right="32"/>
              <w:spacing w:after="0"/>
              <w:rPr>
                <w:sz w:val="20"/>
                <w:szCs w:val="20"/>
                <w:color w:val="auto"/>
              </w:rPr>
            </w:pPr>
            <w:r>
              <w:rPr>
                <w:rFonts w:ascii="Arial" w:cs="Arial" w:eastAsia="Arial" w:hAnsi="Arial"/>
                <w:sz w:val="18"/>
                <w:szCs w:val="18"/>
                <w:color w:val="auto"/>
              </w:rPr>
              <w:t>10</w:t>
            </w:r>
          </w:p>
        </w:tc>
        <w:tc>
          <w:tcPr>
            <w:tcW w:w="100" w:type="dxa"/>
            <w:vAlign w:val="bottom"/>
            <w:shd w:val="clear" w:color="auto" w:fill="CCEEFF"/>
          </w:tcPr>
          <w:p>
            <w:pPr>
              <w:spacing w:after="0"/>
              <w:rPr>
                <w:sz w:val="24"/>
                <w:szCs w:val="24"/>
                <w:color w:val="auto"/>
              </w:rPr>
            </w:pPr>
          </w:p>
        </w:tc>
        <w:tc>
          <w:tcPr>
            <w:tcW w:w="280" w:type="dxa"/>
            <w:vAlign w:val="bottom"/>
            <w:shd w:val="clear" w:color="auto" w:fill="CCEEFF"/>
          </w:tcPr>
          <w:p>
            <w:pPr>
              <w:spacing w:after="0"/>
              <w:rPr>
                <w:sz w:val="24"/>
                <w:szCs w:val="24"/>
                <w:color w:val="auto"/>
              </w:rPr>
            </w:pPr>
          </w:p>
        </w:tc>
        <w:tc>
          <w:tcPr>
            <w:tcW w:w="120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148</w:t>
            </w:r>
          </w:p>
        </w:tc>
        <w:tc>
          <w:tcPr>
            <w:tcW w:w="120" w:type="dxa"/>
            <w:vAlign w:val="bottom"/>
            <w:shd w:val="clear" w:color="auto" w:fill="CCEEFF"/>
          </w:tcPr>
          <w:p>
            <w:pPr>
              <w:spacing w:after="0"/>
              <w:rPr>
                <w:sz w:val="24"/>
                <w:szCs w:val="24"/>
                <w:color w:val="auto"/>
              </w:rPr>
            </w:pPr>
          </w:p>
        </w:tc>
        <w:tc>
          <w:tcPr>
            <w:tcW w:w="260" w:type="dxa"/>
            <w:vAlign w:val="bottom"/>
            <w:shd w:val="clear" w:color="auto" w:fill="CCEEFF"/>
          </w:tcPr>
          <w:p>
            <w:pPr>
              <w:spacing w:after="0"/>
              <w:rPr>
                <w:sz w:val="24"/>
                <w:szCs w:val="24"/>
                <w:color w:val="auto"/>
              </w:rPr>
            </w:pPr>
          </w:p>
        </w:tc>
        <w:tc>
          <w:tcPr>
            <w:tcW w:w="1220" w:type="dxa"/>
            <w:vAlign w:val="bottom"/>
            <w:shd w:val="clear" w:color="auto" w:fill="CCEEFF"/>
          </w:tcPr>
          <w:p>
            <w:pPr>
              <w:ind w:left="940"/>
              <w:spacing w:after="0"/>
              <w:rPr>
                <w:sz w:val="20"/>
                <w:szCs w:val="20"/>
                <w:color w:val="auto"/>
              </w:rPr>
            </w:pPr>
            <w:r>
              <w:rPr>
                <w:rFonts w:ascii="Arial" w:cs="Arial" w:eastAsia="Arial" w:hAnsi="Arial"/>
                <w:sz w:val="18"/>
                <w:szCs w:val="18"/>
                <w:color w:val="auto"/>
              </w:rPr>
              <w:t>—</w:t>
            </w:r>
          </w:p>
        </w:tc>
      </w:tr>
      <w:tr>
        <w:trPr>
          <w:trHeight w:val="270"/>
        </w:trPr>
        <w:tc>
          <w:tcPr>
            <w:tcW w:w="5160" w:type="dxa"/>
            <w:vAlign w:val="bottom"/>
            <w:tcBorders>
              <w:bottom w:val="single" w:sz="8" w:color="CCEEFF"/>
            </w:tcBorders>
            <w:gridSpan w:val="2"/>
          </w:tcPr>
          <w:p>
            <w:pPr>
              <w:ind w:left="40"/>
              <w:spacing w:after="0"/>
              <w:rPr>
                <w:sz w:val="20"/>
                <w:szCs w:val="20"/>
                <w:color w:val="auto"/>
              </w:rPr>
            </w:pPr>
            <w:r>
              <w:rPr>
                <w:rFonts w:ascii="Arial" w:cs="Arial" w:eastAsia="Arial" w:hAnsi="Arial"/>
                <w:sz w:val="18"/>
                <w:szCs w:val="18"/>
                <w:color w:val="auto"/>
              </w:rPr>
              <w:t xml:space="preserve">Long-term investments </w:t>
            </w:r>
            <w:r>
              <w:rPr>
                <w:rFonts w:ascii="Arial" w:cs="Arial" w:eastAsia="Arial" w:hAnsi="Arial"/>
                <w:sz w:val="21"/>
                <w:szCs w:val="21"/>
                <w:color w:val="auto"/>
                <w:vertAlign w:val="superscript"/>
              </w:rPr>
              <w:t>(3)</w:t>
            </w:r>
          </w:p>
        </w:tc>
        <w:tc>
          <w:tcPr>
            <w:tcW w:w="300" w:type="dxa"/>
            <w:vAlign w:val="bottom"/>
            <w:tcBorders>
              <w:bottom w:val="single" w:sz="8" w:color="auto"/>
            </w:tcBorders>
          </w:tcPr>
          <w:p>
            <w:pPr>
              <w:spacing w:after="0"/>
              <w:rPr>
                <w:sz w:val="23"/>
                <w:szCs w:val="23"/>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204</w:t>
            </w:r>
          </w:p>
        </w:tc>
        <w:tc>
          <w:tcPr>
            <w:tcW w:w="80" w:type="dxa"/>
            <w:vAlign w:val="bottom"/>
            <w:tcBorders>
              <w:bottom w:val="single" w:sz="8" w:color="auto"/>
            </w:tcBorders>
          </w:tcPr>
          <w:p>
            <w:pPr>
              <w:spacing w:after="0"/>
              <w:rPr>
                <w:sz w:val="23"/>
                <w:szCs w:val="23"/>
                <w:color w:val="auto"/>
              </w:rPr>
            </w:pPr>
          </w:p>
        </w:tc>
        <w:tc>
          <w:tcPr>
            <w:tcW w:w="100" w:type="dxa"/>
            <w:vAlign w:val="bottom"/>
            <w:tcBorders>
              <w:bottom w:val="single" w:sz="8" w:color="CCEEFF"/>
            </w:tcBorders>
          </w:tcPr>
          <w:p>
            <w:pPr>
              <w:spacing w:after="0"/>
              <w:rPr>
                <w:sz w:val="23"/>
                <w:szCs w:val="23"/>
                <w:color w:val="auto"/>
              </w:rPr>
            </w:pPr>
          </w:p>
        </w:tc>
        <w:tc>
          <w:tcPr>
            <w:tcW w:w="280" w:type="dxa"/>
            <w:vAlign w:val="bottom"/>
            <w:tcBorders>
              <w:bottom w:val="single" w:sz="8" w:color="auto"/>
            </w:tcBorders>
          </w:tcPr>
          <w:p>
            <w:pPr>
              <w:spacing w:after="0"/>
              <w:rPr>
                <w:sz w:val="23"/>
                <w:szCs w:val="23"/>
                <w:color w:val="auto"/>
              </w:rPr>
            </w:pPr>
          </w:p>
        </w:tc>
        <w:tc>
          <w:tcPr>
            <w:tcW w:w="1220" w:type="dxa"/>
            <w:vAlign w:val="bottom"/>
            <w:tcBorders>
              <w:bottom w:val="single" w:sz="8" w:color="auto"/>
            </w:tcBorders>
          </w:tcPr>
          <w:p>
            <w:pPr>
              <w:jc w:val="right"/>
              <w:ind w:right="32"/>
              <w:spacing w:after="0"/>
              <w:rPr>
                <w:sz w:val="20"/>
                <w:szCs w:val="20"/>
                <w:color w:val="auto"/>
              </w:rPr>
            </w:pPr>
            <w:r>
              <w:rPr>
                <w:rFonts w:ascii="Arial" w:cs="Arial" w:eastAsia="Arial" w:hAnsi="Arial"/>
                <w:sz w:val="18"/>
                <w:szCs w:val="18"/>
                <w:color w:val="auto"/>
              </w:rPr>
              <w:t>204</w:t>
            </w:r>
          </w:p>
        </w:tc>
        <w:tc>
          <w:tcPr>
            <w:tcW w:w="100" w:type="dxa"/>
            <w:vAlign w:val="bottom"/>
            <w:tcBorders>
              <w:bottom w:val="single" w:sz="8" w:color="CCEEFF"/>
            </w:tcBorders>
          </w:tcPr>
          <w:p>
            <w:pPr>
              <w:spacing w:after="0"/>
              <w:rPr>
                <w:sz w:val="23"/>
                <w:szCs w:val="23"/>
                <w:color w:val="auto"/>
              </w:rPr>
            </w:pPr>
          </w:p>
        </w:tc>
        <w:tc>
          <w:tcPr>
            <w:tcW w:w="280" w:type="dxa"/>
            <w:vAlign w:val="bottom"/>
            <w:tcBorders>
              <w:bottom w:val="single" w:sz="8" w:color="auto"/>
            </w:tcBorders>
          </w:tcPr>
          <w:p>
            <w:pPr>
              <w:spacing w:after="0"/>
              <w:rPr>
                <w:sz w:val="23"/>
                <w:szCs w:val="23"/>
                <w:color w:val="auto"/>
              </w:rPr>
            </w:pPr>
          </w:p>
        </w:tc>
        <w:tc>
          <w:tcPr>
            <w:tcW w:w="1200" w:type="dxa"/>
            <w:vAlign w:val="bottom"/>
            <w:tcBorders>
              <w:bottom w:val="single" w:sz="8" w:color="auto"/>
            </w:tcBorders>
          </w:tcPr>
          <w:p>
            <w:pPr>
              <w:jc w:val="right"/>
              <w:ind w:right="12"/>
              <w:spacing w:after="0"/>
              <w:rPr>
                <w:sz w:val="20"/>
                <w:szCs w:val="20"/>
                <w:color w:val="auto"/>
              </w:rPr>
            </w:pPr>
            <w:r>
              <w:rPr>
                <w:rFonts w:ascii="Arial" w:cs="Arial" w:eastAsia="Arial" w:hAnsi="Arial"/>
                <w:sz w:val="18"/>
                <w:szCs w:val="18"/>
                <w:color w:val="auto"/>
              </w:rPr>
              <w:t>—</w:t>
            </w:r>
          </w:p>
        </w:tc>
        <w:tc>
          <w:tcPr>
            <w:tcW w:w="120" w:type="dxa"/>
            <w:vAlign w:val="bottom"/>
            <w:tcBorders>
              <w:bottom w:val="single" w:sz="8" w:color="CCEEFF"/>
            </w:tcBorders>
          </w:tcPr>
          <w:p>
            <w:pPr>
              <w:spacing w:after="0"/>
              <w:rPr>
                <w:sz w:val="23"/>
                <w:szCs w:val="23"/>
                <w:color w:val="auto"/>
              </w:rPr>
            </w:pPr>
          </w:p>
        </w:tc>
        <w:tc>
          <w:tcPr>
            <w:tcW w:w="260" w:type="dxa"/>
            <w:vAlign w:val="bottom"/>
            <w:tcBorders>
              <w:bottom w:val="single" w:sz="8" w:color="auto"/>
            </w:tcBorders>
          </w:tcPr>
          <w:p>
            <w:pPr>
              <w:spacing w:after="0"/>
              <w:rPr>
                <w:sz w:val="23"/>
                <w:szCs w:val="23"/>
                <w:color w:val="auto"/>
              </w:rPr>
            </w:pPr>
          </w:p>
        </w:tc>
        <w:tc>
          <w:tcPr>
            <w:tcW w:w="1220" w:type="dxa"/>
            <w:vAlign w:val="bottom"/>
            <w:tcBorders>
              <w:bottom w:val="single" w:sz="8" w:color="auto"/>
            </w:tcBorders>
          </w:tcPr>
          <w:p>
            <w:pPr>
              <w:ind w:left="940"/>
              <w:spacing w:after="0"/>
              <w:rPr>
                <w:sz w:val="20"/>
                <w:szCs w:val="20"/>
                <w:color w:val="auto"/>
              </w:rPr>
            </w:pPr>
            <w:r>
              <w:rPr>
                <w:rFonts w:ascii="Arial" w:cs="Arial" w:eastAsia="Arial" w:hAnsi="Arial"/>
                <w:sz w:val="18"/>
                <w:szCs w:val="18"/>
                <w:color w:val="auto"/>
              </w:rPr>
              <w:t>—</w:t>
            </w:r>
          </w:p>
        </w:tc>
      </w:tr>
      <w:tr>
        <w:trPr>
          <w:trHeight w:val="244"/>
        </w:trPr>
        <w:tc>
          <w:tcPr>
            <w:tcW w:w="516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Total</w:t>
            </w:r>
          </w:p>
        </w:tc>
        <w:tc>
          <w:tcPr>
            <w:tcW w:w="300" w:type="dxa"/>
            <w:vAlign w:val="bottom"/>
            <w:tcBorders>
              <w:bottom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3,908</w:t>
            </w:r>
          </w:p>
        </w:tc>
        <w:tc>
          <w:tcPr>
            <w:tcW w:w="80" w:type="dxa"/>
            <w:vAlign w:val="bottom"/>
            <w:tcBorders>
              <w:bottom w:val="single" w:sz="8" w:color="auto"/>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rPr>
              <w:t>$</w:t>
            </w:r>
          </w:p>
        </w:tc>
        <w:tc>
          <w:tcPr>
            <w:tcW w:w="1220" w:type="dxa"/>
            <w:vAlign w:val="bottom"/>
            <w:tcBorders>
              <w:bottom w:val="single" w:sz="8" w:color="auto"/>
            </w:tcBorders>
            <w:shd w:val="clear" w:color="auto" w:fill="CCEEFF"/>
          </w:tcPr>
          <w:p>
            <w:pPr>
              <w:jc w:val="right"/>
              <w:ind w:right="32"/>
              <w:spacing w:after="0"/>
              <w:rPr>
                <w:sz w:val="20"/>
                <w:szCs w:val="20"/>
                <w:color w:val="auto"/>
              </w:rPr>
            </w:pPr>
            <w:r>
              <w:rPr>
                <w:rFonts w:ascii="Arial" w:cs="Arial" w:eastAsia="Arial" w:hAnsi="Arial"/>
                <w:sz w:val="18"/>
                <w:szCs w:val="18"/>
                <w:color w:val="auto"/>
              </w:rPr>
              <w:t>547</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200" w:type="dxa"/>
            <w:vAlign w:val="bottom"/>
            <w:tcBorders>
              <w:bottom w:val="single" w:sz="8" w:color="auto"/>
            </w:tcBorders>
            <w:shd w:val="clear" w:color="auto" w:fill="CCEEFF"/>
          </w:tcPr>
          <w:p>
            <w:pPr>
              <w:jc w:val="right"/>
              <w:ind w:right="12"/>
              <w:spacing w:after="0"/>
              <w:rPr>
                <w:sz w:val="20"/>
                <w:szCs w:val="20"/>
                <w:color w:val="auto"/>
              </w:rPr>
            </w:pPr>
            <w:r>
              <w:rPr>
                <w:rFonts w:ascii="Arial" w:cs="Arial" w:eastAsia="Arial" w:hAnsi="Arial"/>
                <w:sz w:val="18"/>
                <w:szCs w:val="18"/>
                <w:color w:val="auto"/>
              </w:rPr>
              <w:t>3,361</w:t>
            </w: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220" w:type="dxa"/>
            <w:vAlign w:val="bottom"/>
            <w:tcBorders>
              <w:bottom w:val="single" w:sz="8" w:color="auto"/>
            </w:tcBorders>
            <w:shd w:val="clear" w:color="auto" w:fill="CCEEFF"/>
          </w:tcPr>
          <w:p>
            <w:pPr>
              <w:ind w:left="940"/>
              <w:spacing w:after="0"/>
              <w:rPr>
                <w:sz w:val="20"/>
                <w:szCs w:val="20"/>
                <w:color w:val="auto"/>
              </w:rPr>
            </w:pPr>
            <w:r>
              <w:rPr>
                <w:rFonts w:ascii="Arial" w:cs="Arial" w:eastAsia="Arial" w:hAnsi="Arial"/>
                <w:sz w:val="18"/>
                <w:szCs w:val="18"/>
                <w:color w:val="auto"/>
              </w:rPr>
              <w:t>—</w:t>
            </w:r>
          </w:p>
        </w:tc>
      </w:tr>
      <w:tr>
        <w:trPr>
          <w:trHeight w:val="20"/>
        </w:trPr>
        <w:tc>
          <w:tcPr>
            <w:tcW w:w="2120" w:type="dxa"/>
            <w:vAlign w:val="bottom"/>
          </w:tcPr>
          <w:p>
            <w:pPr>
              <w:spacing w:after="0" w:line="20" w:lineRule="exact"/>
              <w:rPr>
                <w:sz w:val="1"/>
                <w:szCs w:val="1"/>
                <w:color w:val="auto"/>
              </w:rPr>
            </w:pPr>
          </w:p>
        </w:tc>
        <w:tc>
          <w:tcPr>
            <w:tcW w:w="304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500" w:type="dxa"/>
            <w:vAlign w:val="bottom"/>
            <w:tcBorders>
              <w:bottom w:val="single" w:sz="8" w:color="auto"/>
            </w:tcBorders>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80" w:type="dxa"/>
            <w:vAlign w:val="bottom"/>
            <w:tcBorders>
              <w:bottom w:val="single" w:sz="8" w:color="auto"/>
            </w:tcBorders>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r>
      <w:tr>
        <w:trPr>
          <w:trHeight w:val="548"/>
        </w:trPr>
        <w:tc>
          <w:tcPr>
            <w:tcW w:w="2120" w:type="dxa"/>
            <w:vAlign w:val="bottom"/>
          </w:tcPr>
          <w:p>
            <w:pPr>
              <w:spacing w:after="0"/>
              <w:rPr>
                <w:sz w:val="24"/>
                <w:szCs w:val="24"/>
                <w:color w:val="auto"/>
              </w:rPr>
            </w:pPr>
          </w:p>
        </w:tc>
        <w:tc>
          <w:tcPr>
            <w:tcW w:w="3040" w:type="dxa"/>
            <w:vAlign w:val="bottom"/>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1100" w:type="dxa"/>
            <w:vAlign w:val="bottom"/>
            <w:tcBorders>
              <w:bottom w:val="single" w:sz="8" w:color="auto"/>
            </w:tcBorders>
          </w:tcPr>
          <w:p>
            <w:pPr>
              <w:spacing w:after="0"/>
              <w:rPr>
                <w:sz w:val="24"/>
                <w:szCs w:val="24"/>
                <w:color w:val="auto"/>
              </w:rPr>
            </w:pPr>
          </w:p>
        </w:tc>
        <w:tc>
          <w:tcPr>
            <w:tcW w:w="3640" w:type="dxa"/>
            <w:vAlign w:val="bottom"/>
            <w:tcBorders>
              <w:bottom w:val="single" w:sz="8" w:color="auto"/>
            </w:tcBorders>
            <w:gridSpan w:val="9"/>
          </w:tcPr>
          <w:p>
            <w:pPr>
              <w:jc w:val="right"/>
              <w:ind w:right="90"/>
              <w:spacing w:after="0"/>
              <w:rPr>
                <w:sz w:val="20"/>
                <w:szCs w:val="20"/>
                <w:color w:val="auto"/>
              </w:rPr>
            </w:pPr>
            <w:r>
              <w:rPr>
                <w:rFonts w:ascii="Arial" w:cs="Arial" w:eastAsia="Arial" w:hAnsi="Arial"/>
                <w:sz w:val="14"/>
                <w:szCs w:val="14"/>
                <w:b w:val="1"/>
                <w:bCs w:val="1"/>
                <w:color w:val="auto"/>
              </w:rPr>
              <w:t>Fair Value Measurements as of December 31, 2018</w:t>
            </w:r>
          </w:p>
        </w:tc>
        <w:tc>
          <w:tcPr>
            <w:tcW w:w="1220" w:type="dxa"/>
            <w:vAlign w:val="bottom"/>
            <w:tcBorders>
              <w:bottom w:val="single" w:sz="8" w:color="auto"/>
            </w:tcBorders>
          </w:tcPr>
          <w:p>
            <w:pPr>
              <w:spacing w:after="0"/>
              <w:rPr>
                <w:sz w:val="24"/>
                <w:szCs w:val="24"/>
                <w:color w:val="auto"/>
              </w:rPr>
            </w:pPr>
          </w:p>
        </w:tc>
      </w:tr>
      <w:tr>
        <w:trPr>
          <w:trHeight w:val="264"/>
        </w:trPr>
        <w:tc>
          <w:tcPr>
            <w:tcW w:w="2120" w:type="dxa"/>
            <w:vAlign w:val="bottom"/>
          </w:tcPr>
          <w:p>
            <w:pPr>
              <w:spacing w:after="0"/>
              <w:rPr>
                <w:sz w:val="22"/>
                <w:szCs w:val="22"/>
                <w:color w:val="auto"/>
              </w:rPr>
            </w:pPr>
          </w:p>
        </w:tc>
        <w:tc>
          <w:tcPr>
            <w:tcW w:w="304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1100" w:type="dxa"/>
            <w:vAlign w:val="bottom"/>
          </w:tcPr>
          <w:p>
            <w:pPr>
              <w:jc w:val="right"/>
              <w:ind w:right="492"/>
              <w:spacing w:after="0"/>
              <w:rPr>
                <w:sz w:val="20"/>
                <w:szCs w:val="20"/>
                <w:color w:val="auto"/>
              </w:rPr>
            </w:pPr>
            <w:r>
              <w:rPr>
                <w:rFonts w:ascii="Arial" w:cs="Arial" w:eastAsia="Arial" w:hAnsi="Arial"/>
                <w:sz w:val="14"/>
                <w:szCs w:val="14"/>
                <w:b w:val="1"/>
                <w:bCs w:val="1"/>
                <w:color w:val="auto"/>
              </w:rPr>
              <w:t>Total</w:t>
            </w:r>
          </w:p>
        </w:tc>
        <w:tc>
          <w:tcPr>
            <w:tcW w:w="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1320" w:type="dxa"/>
            <w:vAlign w:val="bottom"/>
            <w:gridSpan w:val="2"/>
          </w:tcPr>
          <w:p>
            <w:pPr>
              <w:ind w:left="140"/>
              <w:spacing w:after="0"/>
              <w:rPr>
                <w:sz w:val="20"/>
                <w:szCs w:val="20"/>
                <w:color w:val="auto"/>
              </w:rPr>
            </w:pPr>
            <w:r>
              <w:rPr>
                <w:rFonts w:ascii="Arial" w:cs="Arial" w:eastAsia="Arial" w:hAnsi="Arial"/>
                <w:sz w:val="14"/>
                <w:szCs w:val="14"/>
                <w:b w:val="1"/>
                <w:bCs w:val="1"/>
                <w:color w:val="auto"/>
              </w:rPr>
              <w:t>Level 1</w:t>
            </w:r>
          </w:p>
        </w:tc>
        <w:tc>
          <w:tcPr>
            <w:tcW w:w="280" w:type="dxa"/>
            <w:vAlign w:val="bottom"/>
          </w:tcPr>
          <w:p>
            <w:pPr>
              <w:spacing w:after="0"/>
              <w:rPr>
                <w:sz w:val="22"/>
                <w:szCs w:val="22"/>
                <w:color w:val="auto"/>
              </w:rPr>
            </w:pPr>
          </w:p>
        </w:tc>
        <w:tc>
          <w:tcPr>
            <w:tcW w:w="1320" w:type="dxa"/>
            <w:vAlign w:val="bottom"/>
            <w:gridSpan w:val="2"/>
          </w:tcPr>
          <w:p>
            <w:pPr>
              <w:ind w:left="140"/>
              <w:spacing w:after="0"/>
              <w:rPr>
                <w:sz w:val="20"/>
                <w:szCs w:val="20"/>
                <w:color w:val="auto"/>
              </w:rPr>
            </w:pPr>
            <w:r>
              <w:rPr>
                <w:rFonts w:ascii="Arial" w:cs="Arial" w:eastAsia="Arial" w:hAnsi="Arial"/>
                <w:sz w:val="14"/>
                <w:szCs w:val="14"/>
                <w:b w:val="1"/>
                <w:bCs w:val="1"/>
                <w:color w:val="auto"/>
              </w:rPr>
              <w:t>Level 2</w:t>
            </w:r>
          </w:p>
        </w:tc>
        <w:tc>
          <w:tcPr>
            <w:tcW w:w="260" w:type="dxa"/>
            <w:vAlign w:val="bottom"/>
          </w:tcPr>
          <w:p>
            <w:pPr>
              <w:spacing w:after="0"/>
              <w:rPr>
                <w:sz w:val="22"/>
                <w:szCs w:val="22"/>
                <w:color w:val="auto"/>
              </w:rPr>
            </w:pPr>
          </w:p>
        </w:tc>
        <w:tc>
          <w:tcPr>
            <w:tcW w:w="1220" w:type="dxa"/>
            <w:vAlign w:val="bottom"/>
          </w:tcPr>
          <w:p>
            <w:pPr>
              <w:ind w:left="160"/>
              <w:spacing w:after="0"/>
              <w:rPr>
                <w:sz w:val="20"/>
                <w:szCs w:val="20"/>
                <w:color w:val="auto"/>
              </w:rPr>
            </w:pPr>
            <w:r>
              <w:rPr>
                <w:rFonts w:ascii="Arial" w:cs="Arial" w:eastAsia="Arial" w:hAnsi="Arial"/>
                <w:sz w:val="14"/>
                <w:szCs w:val="14"/>
                <w:b w:val="1"/>
                <w:bCs w:val="1"/>
                <w:color w:val="auto"/>
              </w:rPr>
              <w:t>Level 3</w:t>
            </w:r>
          </w:p>
        </w:tc>
      </w:tr>
      <w:tr>
        <w:trPr>
          <w:trHeight w:val="270"/>
        </w:trPr>
        <w:tc>
          <w:tcPr>
            <w:tcW w:w="5160" w:type="dxa"/>
            <w:vAlign w:val="bottom"/>
            <w:tcBorders>
              <w:top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 xml:space="preserve">Short-term investments </w:t>
            </w:r>
            <w:r>
              <w:rPr>
                <w:rFonts w:ascii="Arial" w:cs="Arial" w:eastAsia="Arial" w:hAnsi="Arial"/>
                <w:sz w:val="21"/>
                <w:szCs w:val="21"/>
                <w:color w:val="auto"/>
                <w:vertAlign w:val="superscript"/>
              </w:rPr>
              <w:t>(1)</w:t>
            </w:r>
            <w:r>
              <w:rPr>
                <w:rFonts w:ascii="Arial" w:cs="Arial" w:eastAsia="Arial" w:hAnsi="Arial"/>
                <w:sz w:val="18"/>
                <w:szCs w:val="18"/>
                <w:color w:val="auto"/>
              </w:rPr>
              <w:t>:</w:t>
            </w:r>
          </w:p>
        </w:tc>
        <w:tc>
          <w:tcPr>
            <w:tcW w:w="300" w:type="dxa"/>
            <w:vAlign w:val="bottom"/>
            <w:tcBorders>
              <w:top w:val="single" w:sz="8" w:color="auto"/>
            </w:tcBorders>
            <w:shd w:val="clear" w:color="auto" w:fill="CCEEFF"/>
          </w:tcPr>
          <w:p>
            <w:pPr>
              <w:spacing w:after="0"/>
              <w:rPr>
                <w:sz w:val="23"/>
                <w:szCs w:val="23"/>
                <w:color w:val="auto"/>
              </w:rPr>
            </w:pPr>
          </w:p>
        </w:tc>
        <w:tc>
          <w:tcPr>
            <w:tcW w:w="1100" w:type="dxa"/>
            <w:vAlign w:val="bottom"/>
            <w:tcBorders>
              <w:top w:val="single" w:sz="8" w:color="auto"/>
            </w:tcBorders>
            <w:shd w:val="clear" w:color="auto" w:fill="CCEEFF"/>
          </w:tcPr>
          <w:p>
            <w:pPr>
              <w:spacing w:after="0"/>
              <w:rPr>
                <w:sz w:val="23"/>
                <w:szCs w:val="23"/>
                <w:color w:val="auto"/>
              </w:rPr>
            </w:pPr>
          </w:p>
        </w:tc>
        <w:tc>
          <w:tcPr>
            <w:tcW w:w="80" w:type="dxa"/>
            <w:vAlign w:val="bottom"/>
            <w:tcBorders>
              <w:top w:val="single" w:sz="8" w:color="auto"/>
            </w:tcBorders>
            <w:shd w:val="clear" w:color="auto" w:fill="CCEEFF"/>
          </w:tcPr>
          <w:p>
            <w:pPr>
              <w:spacing w:after="0"/>
              <w:rPr>
                <w:sz w:val="23"/>
                <w:szCs w:val="23"/>
                <w:color w:val="auto"/>
              </w:rPr>
            </w:pPr>
          </w:p>
        </w:tc>
        <w:tc>
          <w:tcPr>
            <w:tcW w:w="100" w:type="dxa"/>
            <w:vAlign w:val="bottom"/>
            <w:tcBorders>
              <w:top w:val="single" w:sz="8" w:color="CCEEFF"/>
            </w:tcBorders>
            <w:shd w:val="clear" w:color="auto" w:fill="CCEEFF"/>
          </w:tcPr>
          <w:p>
            <w:pPr>
              <w:spacing w:after="0"/>
              <w:rPr>
                <w:sz w:val="23"/>
                <w:szCs w:val="23"/>
                <w:color w:val="auto"/>
              </w:rPr>
            </w:pPr>
          </w:p>
        </w:tc>
        <w:tc>
          <w:tcPr>
            <w:tcW w:w="280" w:type="dxa"/>
            <w:vAlign w:val="bottom"/>
            <w:tcBorders>
              <w:top w:val="single" w:sz="8" w:color="auto"/>
            </w:tcBorders>
            <w:shd w:val="clear" w:color="auto" w:fill="CCEEFF"/>
          </w:tcPr>
          <w:p>
            <w:pPr>
              <w:spacing w:after="0"/>
              <w:rPr>
                <w:sz w:val="23"/>
                <w:szCs w:val="23"/>
                <w:color w:val="auto"/>
              </w:rPr>
            </w:pPr>
          </w:p>
        </w:tc>
        <w:tc>
          <w:tcPr>
            <w:tcW w:w="1220" w:type="dxa"/>
            <w:vAlign w:val="bottom"/>
            <w:tcBorders>
              <w:top w:val="single" w:sz="8" w:color="auto"/>
            </w:tcBorders>
            <w:shd w:val="clear" w:color="auto" w:fill="CCEEFF"/>
          </w:tcPr>
          <w:p>
            <w:pPr>
              <w:spacing w:after="0"/>
              <w:rPr>
                <w:sz w:val="23"/>
                <w:szCs w:val="23"/>
                <w:color w:val="auto"/>
              </w:rPr>
            </w:pPr>
          </w:p>
        </w:tc>
        <w:tc>
          <w:tcPr>
            <w:tcW w:w="100" w:type="dxa"/>
            <w:vAlign w:val="bottom"/>
            <w:tcBorders>
              <w:top w:val="single" w:sz="8" w:color="CCEEFF"/>
            </w:tcBorders>
            <w:shd w:val="clear" w:color="auto" w:fill="CCEEFF"/>
          </w:tcPr>
          <w:p>
            <w:pPr>
              <w:spacing w:after="0"/>
              <w:rPr>
                <w:sz w:val="23"/>
                <w:szCs w:val="23"/>
                <w:color w:val="auto"/>
              </w:rPr>
            </w:pPr>
          </w:p>
        </w:tc>
        <w:tc>
          <w:tcPr>
            <w:tcW w:w="280" w:type="dxa"/>
            <w:vAlign w:val="bottom"/>
            <w:tcBorders>
              <w:top w:val="single" w:sz="8" w:color="auto"/>
            </w:tcBorders>
            <w:shd w:val="clear" w:color="auto" w:fill="CCEEFF"/>
          </w:tcPr>
          <w:p>
            <w:pPr>
              <w:spacing w:after="0"/>
              <w:rPr>
                <w:sz w:val="23"/>
                <w:szCs w:val="23"/>
                <w:color w:val="auto"/>
              </w:rPr>
            </w:pPr>
          </w:p>
        </w:tc>
        <w:tc>
          <w:tcPr>
            <w:tcW w:w="1200" w:type="dxa"/>
            <w:vAlign w:val="bottom"/>
            <w:tcBorders>
              <w:top w:val="single" w:sz="8" w:color="auto"/>
            </w:tcBorders>
            <w:shd w:val="clear" w:color="auto" w:fill="CCEEFF"/>
          </w:tcPr>
          <w:p>
            <w:pPr>
              <w:spacing w:after="0"/>
              <w:rPr>
                <w:sz w:val="23"/>
                <w:szCs w:val="23"/>
                <w:color w:val="auto"/>
              </w:rPr>
            </w:pPr>
          </w:p>
        </w:tc>
        <w:tc>
          <w:tcPr>
            <w:tcW w:w="120" w:type="dxa"/>
            <w:vAlign w:val="bottom"/>
            <w:tcBorders>
              <w:top w:val="single" w:sz="8" w:color="CCEEFF"/>
            </w:tcBorders>
            <w:shd w:val="clear" w:color="auto" w:fill="CCEEFF"/>
          </w:tcPr>
          <w:p>
            <w:pPr>
              <w:spacing w:after="0"/>
              <w:rPr>
                <w:sz w:val="23"/>
                <w:szCs w:val="23"/>
                <w:color w:val="auto"/>
              </w:rPr>
            </w:pPr>
          </w:p>
        </w:tc>
        <w:tc>
          <w:tcPr>
            <w:tcW w:w="260" w:type="dxa"/>
            <w:vAlign w:val="bottom"/>
            <w:tcBorders>
              <w:top w:val="single" w:sz="8" w:color="auto"/>
            </w:tcBorders>
            <w:shd w:val="clear" w:color="auto" w:fill="CCEEFF"/>
          </w:tcPr>
          <w:p>
            <w:pPr>
              <w:spacing w:after="0"/>
              <w:rPr>
                <w:sz w:val="23"/>
                <w:szCs w:val="23"/>
                <w:color w:val="auto"/>
              </w:rPr>
            </w:pPr>
          </w:p>
        </w:tc>
        <w:tc>
          <w:tcPr>
            <w:tcW w:w="1220" w:type="dxa"/>
            <w:vAlign w:val="bottom"/>
            <w:tcBorders>
              <w:top w:val="single" w:sz="8" w:color="auto"/>
            </w:tcBorders>
            <w:shd w:val="clear" w:color="auto" w:fill="CCEEFF"/>
          </w:tcPr>
          <w:p>
            <w:pPr>
              <w:spacing w:after="0"/>
              <w:rPr>
                <w:sz w:val="23"/>
                <w:szCs w:val="23"/>
                <w:color w:val="auto"/>
              </w:rPr>
            </w:pPr>
          </w:p>
        </w:tc>
      </w:tr>
      <w:tr>
        <w:trPr>
          <w:trHeight w:val="263"/>
        </w:trPr>
        <w:tc>
          <w:tcPr>
            <w:tcW w:w="5160" w:type="dxa"/>
            <w:vAlign w:val="bottom"/>
            <w:gridSpan w:val="2"/>
          </w:tcPr>
          <w:p>
            <w:pPr>
              <w:ind w:left="180"/>
              <w:spacing w:after="0"/>
              <w:rPr>
                <w:sz w:val="20"/>
                <w:szCs w:val="20"/>
                <w:color w:val="auto"/>
              </w:rPr>
            </w:pPr>
            <w:r>
              <w:rPr>
                <w:rFonts w:ascii="Arial" w:cs="Arial" w:eastAsia="Arial" w:hAnsi="Arial"/>
                <w:sz w:val="18"/>
                <w:szCs w:val="18"/>
                <w:color w:val="auto"/>
              </w:rPr>
              <w:t>Money market funds</w:t>
            </w:r>
          </w:p>
        </w:tc>
        <w:tc>
          <w:tcPr>
            <w:tcW w:w="300" w:type="dxa"/>
            <w:vAlign w:val="bottom"/>
          </w:tcPr>
          <w:p>
            <w:pPr>
              <w:jc w:val="right"/>
              <w:ind w:right="90"/>
              <w:spacing w:after="0"/>
              <w:rPr>
                <w:sz w:val="20"/>
                <w:szCs w:val="20"/>
                <w:color w:val="auto"/>
              </w:rPr>
            </w:pPr>
            <w:r>
              <w:rPr>
                <w:rFonts w:ascii="Arial" w:cs="Arial" w:eastAsia="Arial" w:hAnsi="Arial"/>
                <w:sz w:val="18"/>
                <w:szCs w:val="18"/>
                <w:color w:val="auto"/>
                <w:w w:val="99"/>
              </w:rPr>
              <w:t>$</w:t>
            </w:r>
          </w:p>
        </w:tc>
        <w:tc>
          <w:tcPr>
            <w:tcW w:w="1100" w:type="dxa"/>
            <w:vAlign w:val="bottom"/>
          </w:tcPr>
          <w:p>
            <w:pPr>
              <w:jc w:val="right"/>
              <w:spacing w:after="0"/>
              <w:rPr>
                <w:sz w:val="20"/>
                <w:szCs w:val="20"/>
                <w:color w:val="auto"/>
              </w:rPr>
            </w:pPr>
            <w:r>
              <w:rPr>
                <w:rFonts w:ascii="Arial" w:cs="Arial" w:eastAsia="Arial" w:hAnsi="Arial"/>
                <w:sz w:val="18"/>
                <w:szCs w:val="18"/>
                <w:color w:val="auto"/>
              </w:rPr>
              <w:t>16</w:t>
            </w:r>
          </w:p>
        </w:tc>
        <w:tc>
          <w:tcPr>
            <w:tcW w:w="460" w:type="dxa"/>
            <w:vAlign w:val="bottom"/>
            <w:gridSpan w:val="3"/>
          </w:tcPr>
          <w:p>
            <w:pPr>
              <w:jc w:val="right"/>
              <w:ind w:right="50"/>
              <w:spacing w:after="0"/>
              <w:rPr>
                <w:sz w:val="20"/>
                <w:szCs w:val="20"/>
                <w:color w:val="auto"/>
              </w:rPr>
            </w:pPr>
            <w:r>
              <w:rPr>
                <w:rFonts w:ascii="Arial" w:cs="Arial" w:eastAsia="Arial" w:hAnsi="Arial"/>
                <w:sz w:val="18"/>
                <w:szCs w:val="18"/>
                <w:color w:val="auto"/>
              </w:rPr>
              <w:t>$</w:t>
            </w:r>
          </w:p>
        </w:tc>
        <w:tc>
          <w:tcPr>
            <w:tcW w:w="1220" w:type="dxa"/>
            <w:vAlign w:val="bottom"/>
          </w:tcPr>
          <w:p>
            <w:pPr>
              <w:jc w:val="right"/>
              <w:ind w:right="32"/>
              <w:spacing w:after="0"/>
              <w:rPr>
                <w:sz w:val="20"/>
                <w:szCs w:val="20"/>
                <w:color w:val="auto"/>
              </w:rPr>
            </w:pPr>
            <w:r>
              <w:rPr>
                <w:rFonts w:ascii="Arial" w:cs="Arial" w:eastAsia="Arial" w:hAnsi="Arial"/>
                <w:sz w:val="18"/>
                <w:szCs w:val="18"/>
                <w:color w:val="auto"/>
              </w:rPr>
              <w:t>16</w:t>
            </w:r>
          </w:p>
        </w:tc>
        <w:tc>
          <w:tcPr>
            <w:tcW w:w="100" w:type="dxa"/>
            <w:vAlign w:val="bottom"/>
          </w:tcPr>
          <w:p>
            <w:pPr>
              <w:spacing w:after="0"/>
              <w:rPr>
                <w:sz w:val="22"/>
                <w:szCs w:val="22"/>
                <w:color w:val="auto"/>
              </w:rPr>
            </w:pPr>
          </w:p>
        </w:tc>
        <w:tc>
          <w:tcPr>
            <w:tcW w:w="280" w:type="dxa"/>
            <w:vAlign w:val="bottom"/>
          </w:tcPr>
          <w:p>
            <w:pPr>
              <w:jc w:val="right"/>
              <w:ind w:right="70"/>
              <w:spacing w:after="0"/>
              <w:rPr>
                <w:sz w:val="20"/>
                <w:szCs w:val="20"/>
                <w:color w:val="auto"/>
              </w:rPr>
            </w:pPr>
            <w:r>
              <w:rPr>
                <w:rFonts w:ascii="Arial" w:cs="Arial" w:eastAsia="Arial" w:hAnsi="Arial"/>
                <w:sz w:val="18"/>
                <w:szCs w:val="18"/>
                <w:color w:val="auto"/>
                <w:w w:val="99"/>
              </w:rPr>
              <w:t>$</w:t>
            </w:r>
          </w:p>
        </w:tc>
        <w:tc>
          <w:tcPr>
            <w:tcW w:w="13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60" w:type="dxa"/>
            <w:vAlign w:val="bottom"/>
          </w:tcPr>
          <w:p>
            <w:pPr>
              <w:jc w:val="right"/>
              <w:ind w:right="50"/>
              <w:spacing w:after="0"/>
              <w:rPr>
                <w:sz w:val="20"/>
                <w:szCs w:val="20"/>
                <w:color w:val="auto"/>
              </w:rPr>
            </w:pPr>
            <w:r>
              <w:rPr>
                <w:rFonts w:ascii="Arial" w:cs="Arial" w:eastAsia="Arial" w:hAnsi="Arial"/>
                <w:sz w:val="18"/>
                <w:szCs w:val="18"/>
                <w:color w:val="auto"/>
                <w:w w:val="99"/>
              </w:rPr>
              <w:t>$</w:t>
            </w:r>
          </w:p>
        </w:tc>
        <w:tc>
          <w:tcPr>
            <w:tcW w:w="1220" w:type="dxa"/>
            <w:vAlign w:val="bottom"/>
          </w:tcPr>
          <w:p>
            <w:pPr>
              <w:ind w:left="940"/>
              <w:spacing w:after="0"/>
              <w:rPr>
                <w:sz w:val="20"/>
                <w:szCs w:val="20"/>
                <w:color w:val="auto"/>
              </w:rPr>
            </w:pPr>
            <w:r>
              <w:rPr>
                <w:rFonts w:ascii="Arial" w:cs="Arial" w:eastAsia="Arial" w:hAnsi="Arial"/>
                <w:sz w:val="18"/>
                <w:szCs w:val="18"/>
                <w:color w:val="auto"/>
              </w:rPr>
              <w:t>—</w:t>
            </w:r>
          </w:p>
        </w:tc>
      </w:tr>
      <w:tr>
        <w:trPr>
          <w:trHeight w:val="277"/>
        </w:trPr>
        <w:tc>
          <w:tcPr>
            <w:tcW w:w="516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Bank notes/certificates of deposit/time deposits</w:t>
            </w:r>
          </w:p>
        </w:tc>
        <w:tc>
          <w:tcPr>
            <w:tcW w:w="300" w:type="dxa"/>
            <w:vAlign w:val="bottom"/>
            <w:shd w:val="clear" w:color="auto" w:fill="CCEEFF"/>
          </w:tcPr>
          <w:p>
            <w:pPr>
              <w:spacing w:after="0"/>
              <w:rPr>
                <w:sz w:val="24"/>
                <w:szCs w:val="24"/>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2,436</w:t>
            </w:r>
          </w:p>
        </w:tc>
        <w:tc>
          <w:tcPr>
            <w:tcW w:w="8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280" w:type="dxa"/>
            <w:vAlign w:val="bottom"/>
            <w:shd w:val="clear" w:color="auto" w:fill="CCEEFF"/>
          </w:tcPr>
          <w:p>
            <w:pPr>
              <w:spacing w:after="0"/>
              <w:rPr>
                <w:sz w:val="24"/>
                <w:szCs w:val="24"/>
                <w:color w:val="auto"/>
              </w:rPr>
            </w:pPr>
          </w:p>
        </w:tc>
        <w:tc>
          <w:tcPr>
            <w:tcW w:w="13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80" w:type="dxa"/>
            <w:vAlign w:val="bottom"/>
            <w:shd w:val="clear" w:color="auto" w:fill="CCEEFF"/>
          </w:tcPr>
          <w:p>
            <w:pPr>
              <w:spacing w:after="0"/>
              <w:rPr>
                <w:sz w:val="24"/>
                <w:szCs w:val="24"/>
                <w:color w:val="auto"/>
              </w:rPr>
            </w:pPr>
          </w:p>
        </w:tc>
        <w:tc>
          <w:tcPr>
            <w:tcW w:w="120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2,436</w:t>
            </w:r>
          </w:p>
        </w:tc>
        <w:tc>
          <w:tcPr>
            <w:tcW w:w="120" w:type="dxa"/>
            <w:vAlign w:val="bottom"/>
            <w:shd w:val="clear" w:color="auto" w:fill="CCEEFF"/>
          </w:tcPr>
          <w:p>
            <w:pPr>
              <w:spacing w:after="0"/>
              <w:rPr>
                <w:sz w:val="24"/>
                <w:szCs w:val="24"/>
                <w:color w:val="auto"/>
              </w:rPr>
            </w:pPr>
          </w:p>
        </w:tc>
        <w:tc>
          <w:tcPr>
            <w:tcW w:w="260" w:type="dxa"/>
            <w:vAlign w:val="bottom"/>
            <w:shd w:val="clear" w:color="auto" w:fill="CCEEFF"/>
          </w:tcPr>
          <w:p>
            <w:pPr>
              <w:spacing w:after="0"/>
              <w:rPr>
                <w:sz w:val="24"/>
                <w:szCs w:val="24"/>
                <w:color w:val="auto"/>
              </w:rPr>
            </w:pPr>
          </w:p>
        </w:tc>
        <w:tc>
          <w:tcPr>
            <w:tcW w:w="1220" w:type="dxa"/>
            <w:vAlign w:val="bottom"/>
            <w:shd w:val="clear" w:color="auto" w:fill="CCEEFF"/>
          </w:tcPr>
          <w:p>
            <w:pPr>
              <w:ind w:left="940"/>
              <w:spacing w:after="0"/>
              <w:rPr>
                <w:sz w:val="20"/>
                <w:szCs w:val="20"/>
                <w:color w:val="auto"/>
              </w:rPr>
            </w:pPr>
            <w:r>
              <w:rPr>
                <w:rFonts w:ascii="Arial" w:cs="Arial" w:eastAsia="Arial" w:hAnsi="Arial"/>
                <w:sz w:val="18"/>
                <w:szCs w:val="18"/>
                <w:color w:val="auto"/>
              </w:rPr>
              <w:t>—</w:t>
            </w:r>
          </w:p>
        </w:tc>
      </w:tr>
      <w:tr>
        <w:trPr>
          <w:trHeight w:val="263"/>
        </w:trPr>
        <w:tc>
          <w:tcPr>
            <w:tcW w:w="5160" w:type="dxa"/>
            <w:vAlign w:val="bottom"/>
            <w:gridSpan w:val="2"/>
          </w:tcPr>
          <w:p>
            <w:pPr>
              <w:ind w:left="180"/>
              <w:spacing w:after="0"/>
              <w:rPr>
                <w:sz w:val="20"/>
                <w:szCs w:val="20"/>
                <w:color w:val="auto"/>
              </w:rPr>
            </w:pPr>
            <w:r>
              <w:rPr>
                <w:rFonts w:ascii="Arial" w:cs="Arial" w:eastAsia="Arial" w:hAnsi="Arial"/>
                <w:sz w:val="18"/>
                <w:szCs w:val="18"/>
                <w:color w:val="auto"/>
              </w:rPr>
              <w:t>Corporate obligations</w:t>
            </w:r>
          </w:p>
        </w:tc>
        <w:tc>
          <w:tcPr>
            <w:tcW w:w="300" w:type="dxa"/>
            <w:vAlign w:val="bottom"/>
          </w:tcPr>
          <w:p>
            <w:pPr>
              <w:spacing w:after="0"/>
              <w:rPr>
                <w:sz w:val="22"/>
                <w:szCs w:val="22"/>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1,658</w:t>
            </w:r>
          </w:p>
        </w:tc>
        <w:tc>
          <w:tcPr>
            <w:tcW w:w="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13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22"/>
                <w:szCs w:val="22"/>
                <w:color w:val="auto"/>
              </w:rPr>
            </w:pPr>
          </w:p>
        </w:tc>
        <w:tc>
          <w:tcPr>
            <w:tcW w:w="1200" w:type="dxa"/>
            <w:vAlign w:val="bottom"/>
          </w:tcPr>
          <w:p>
            <w:pPr>
              <w:jc w:val="right"/>
              <w:ind w:right="12"/>
              <w:spacing w:after="0"/>
              <w:rPr>
                <w:sz w:val="20"/>
                <w:szCs w:val="20"/>
                <w:color w:val="auto"/>
              </w:rPr>
            </w:pPr>
            <w:r>
              <w:rPr>
                <w:rFonts w:ascii="Arial" w:cs="Arial" w:eastAsia="Arial" w:hAnsi="Arial"/>
                <w:sz w:val="18"/>
                <w:szCs w:val="18"/>
                <w:color w:val="auto"/>
              </w:rPr>
              <w:t>1,658</w:t>
            </w:r>
          </w:p>
        </w:tc>
        <w:tc>
          <w:tcPr>
            <w:tcW w:w="12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1220" w:type="dxa"/>
            <w:vAlign w:val="bottom"/>
          </w:tcPr>
          <w:p>
            <w:pPr>
              <w:ind w:left="940"/>
              <w:spacing w:after="0"/>
              <w:rPr>
                <w:sz w:val="20"/>
                <w:szCs w:val="20"/>
                <w:color w:val="auto"/>
              </w:rPr>
            </w:pPr>
            <w:r>
              <w:rPr>
                <w:rFonts w:ascii="Arial" w:cs="Arial" w:eastAsia="Arial" w:hAnsi="Arial"/>
                <w:sz w:val="18"/>
                <w:szCs w:val="18"/>
                <w:color w:val="auto"/>
              </w:rPr>
              <w:t>—</w:t>
            </w:r>
          </w:p>
        </w:tc>
      </w:tr>
      <w:tr>
        <w:trPr>
          <w:trHeight w:val="270"/>
        </w:trPr>
        <w:tc>
          <w:tcPr>
            <w:tcW w:w="516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Repurchase agreements</w:t>
            </w:r>
          </w:p>
        </w:tc>
        <w:tc>
          <w:tcPr>
            <w:tcW w:w="300" w:type="dxa"/>
            <w:vAlign w:val="bottom"/>
            <w:shd w:val="clear" w:color="auto" w:fill="CCEEFF"/>
          </w:tcPr>
          <w:p>
            <w:pPr>
              <w:spacing w:after="0"/>
              <w:rPr>
                <w:sz w:val="23"/>
                <w:szCs w:val="23"/>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375</w:t>
            </w:r>
          </w:p>
        </w:tc>
        <w:tc>
          <w:tcPr>
            <w:tcW w:w="8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280" w:type="dxa"/>
            <w:vAlign w:val="bottom"/>
            <w:shd w:val="clear" w:color="auto" w:fill="CCEEFF"/>
          </w:tcPr>
          <w:p>
            <w:pPr>
              <w:spacing w:after="0"/>
              <w:rPr>
                <w:sz w:val="23"/>
                <w:szCs w:val="23"/>
                <w:color w:val="auto"/>
              </w:rPr>
            </w:pPr>
          </w:p>
        </w:tc>
        <w:tc>
          <w:tcPr>
            <w:tcW w:w="13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80" w:type="dxa"/>
            <w:vAlign w:val="bottom"/>
            <w:shd w:val="clear" w:color="auto" w:fill="CCEEFF"/>
          </w:tcPr>
          <w:p>
            <w:pPr>
              <w:spacing w:after="0"/>
              <w:rPr>
                <w:sz w:val="23"/>
                <w:szCs w:val="23"/>
                <w:color w:val="auto"/>
              </w:rPr>
            </w:pPr>
          </w:p>
        </w:tc>
        <w:tc>
          <w:tcPr>
            <w:tcW w:w="120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375</w:t>
            </w:r>
          </w:p>
        </w:tc>
        <w:tc>
          <w:tcPr>
            <w:tcW w:w="120" w:type="dxa"/>
            <w:vAlign w:val="bottom"/>
            <w:shd w:val="clear" w:color="auto" w:fill="CCEEFF"/>
          </w:tcPr>
          <w:p>
            <w:pPr>
              <w:spacing w:after="0"/>
              <w:rPr>
                <w:sz w:val="23"/>
                <w:szCs w:val="23"/>
                <w:color w:val="auto"/>
              </w:rPr>
            </w:pPr>
          </w:p>
        </w:tc>
        <w:tc>
          <w:tcPr>
            <w:tcW w:w="260" w:type="dxa"/>
            <w:vAlign w:val="bottom"/>
            <w:shd w:val="clear" w:color="auto" w:fill="CCEEFF"/>
          </w:tcPr>
          <w:p>
            <w:pPr>
              <w:spacing w:after="0"/>
              <w:rPr>
                <w:sz w:val="23"/>
                <w:szCs w:val="23"/>
                <w:color w:val="auto"/>
              </w:rPr>
            </w:pPr>
          </w:p>
        </w:tc>
        <w:tc>
          <w:tcPr>
            <w:tcW w:w="1220" w:type="dxa"/>
            <w:vAlign w:val="bottom"/>
            <w:shd w:val="clear" w:color="auto" w:fill="CCEEFF"/>
          </w:tcPr>
          <w:p>
            <w:pPr>
              <w:ind w:left="940"/>
              <w:spacing w:after="0"/>
              <w:rPr>
                <w:sz w:val="20"/>
                <w:szCs w:val="20"/>
                <w:color w:val="auto"/>
              </w:rPr>
            </w:pPr>
            <w:r>
              <w:rPr>
                <w:rFonts w:ascii="Arial" w:cs="Arial" w:eastAsia="Arial" w:hAnsi="Arial"/>
                <w:sz w:val="18"/>
                <w:szCs w:val="18"/>
                <w:color w:val="auto"/>
              </w:rPr>
              <w:t>—</w:t>
            </w:r>
          </w:p>
        </w:tc>
      </w:tr>
      <w:tr>
        <w:trPr>
          <w:trHeight w:val="250"/>
        </w:trPr>
        <w:tc>
          <w:tcPr>
            <w:tcW w:w="2120" w:type="dxa"/>
            <w:vAlign w:val="bottom"/>
          </w:tcPr>
          <w:p>
            <w:pPr>
              <w:spacing w:after="0"/>
              <w:rPr>
                <w:sz w:val="21"/>
                <w:szCs w:val="21"/>
                <w:color w:val="auto"/>
              </w:rPr>
            </w:pPr>
          </w:p>
        </w:tc>
        <w:tc>
          <w:tcPr>
            <w:tcW w:w="3040" w:type="dxa"/>
            <w:vAlign w:val="bottom"/>
          </w:tcPr>
          <w:p>
            <w:pPr>
              <w:spacing w:after="0"/>
              <w:rPr>
                <w:sz w:val="21"/>
                <w:szCs w:val="21"/>
                <w:color w:val="auto"/>
              </w:rPr>
            </w:pPr>
          </w:p>
        </w:tc>
        <w:tc>
          <w:tcPr>
            <w:tcW w:w="300" w:type="dxa"/>
            <w:vAlign w:val="bottom"/>
            <w:tcBorders>
              <w:top w:val="single" w:sz="8" w:color="auto"/>
            </w:tcBorders>
          </w:tcPr>
          <w:p>
            <w:pPr>
              <w:spacing w:after="0"/>
              <w:rPr>
                <w:sz w:val="21"/>
                <w:szCs w:val="21"/>
                <w:color w:val="auto"/>
              </w:rPr>
            </w:pPr>
          </w:p>
        </w:tc>
        <w:tc>
          <w:tcPr>
            <w:tcW w:w="11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4,485</w:t>
            </w:r>
          </w:p>
        </w:tc>
        <w:tc>
          <w:tcPr>
            <w:tcW w:w="80" w:type="dxa"/>
            <w:vAlign w:val="bottom"/>
            <w:tcBorders>
              <w:top w:val="single" w:sz="8" w:color="auto"/>
            </w:tcBorders>
          </w:tcPr>
          <w:p>
            <w:pPr>
              <w:spacing w:after="0"/>
              <w:rPr>
                <w:sz w:val="21"/>
                <w:szCs w:val="21"/>
                <w:color w:val="auto"/>
              </w:rPr>
            </w:pPr>
          </w:p>
        </w:tc>
        <w:tc>
          <w:tcPr>
            <w:tcW w:w="100" w:type="dxa"/>
            <w:vAlign w:val="bottom"/>
          </w:tcPr>
          <w:p>
            <w:pPr>
              <w:spacing w:after="0"/>
              <w:rPr>
                <w:sz w:val="21"/>
                <w:szCs w:val="21"/>
                <w:color w:val="auto"/>
              </w:rPr>
            </w:pPr>
          </w:p>
        </w:tc>
        <w:tc>
          <w:tcPr>
            <w:tcW w:w="280" w:type="dxa"/>
            <w:vAlign w:val="bottom"/>
            <w:tcBorders>
              <w:top w:val="single" w:sz="8" w:color="auto"/>
            </w:tcBorders>
          </w:tcPr>
          <w:p>
            <w:pPr>
              <w:spacing w:after="0"/>
              <w:rPr>
                <w:sz w:val="21"/>
                <w:szCs w:val="21"/>
                <w:color w:val="auto"/>
              </w:rPr>
            </w:pPr>
          </w:p>
        </w:tc>
        <w:tc>
          <w:tcPr>
            <w:tcW w:w="1220" w:type="dxa"/>
            <w:vAlign w:val="bottom"/>
            <w:tcBorders>
              <w:top w:val="single" w:sz="8" w:color="auto"/>
            </w:tcBorders>
          </w:tcPr>
          <w:p>
            <w:pPr>
              <w:jc w:val="right"/>
              <w:ind w:right="32"/>
              <w:spacing w:after="0"/>
              <w:rPr>
                <w:sz w:val="20"/>
                <w:szCs w:val="20"/>
                <w:color w:val="auto"/>
              </w:rPr>
            </w:pPr>
            <w:r>
              <w:rPr>
                <w:rFonts w:ascii="Arial" w:cs="Arial" w:eastAsia="Arial" w:hAnsi="Arial"/>
                <w:sz w:val="18"/>
                <w:szCs w:val="18"/>
                <w:color w:val="auto"/>
              </w:rPr>
              <w:t>16</w:t>
            </w:r>
          </w:p>
        </w:tc>
        <w:tc>
          <w:tcPr>
            <w:tcW w:w="100" w:type="dxa"/>
            <w:vAlign w:val="bottom"/>
          </w:tcPr>
          <w:p>
            <w:pPr>
              <w:spacing w:after="0"/>
              <w:rPr>
                <w:sz w:val="21"/>
                <w:szCs w:val="21"/>
                <w:color w:val="auto"/>
              </w:rPr>
            </w:pPr>
          </w:p>
        </w:tc>
        <w:tc>
          <w:tcPr>
            <w:tcW w:w="280" w:type="dxa"/>
            <w:vAlign w:val="bottom"/>
            <w:tcBorders>
              <w:top w:val="single" w:sz="8" w:color="auto"/>
            </w:tcBorders>
          </w:tcPr>
          <w:p>
            <w:pPr>
              <w:spacing w:after="0"/>
              <w:rPr>
                <w:sz w:val="21"/>
                <w:szCs w:val="21"/>
                <w:color w:val="auto"/>
              </w:rPr>
            </w:pPr>
          </w:p>
        </w:tc>
        <w:tc>
          <w:tcPr>
            <w:tcW w:w="1200" w:type="dxa"/>
            <w:vAlign w:val="bottom"/>
            <w:tcBorders>
              <w:top w:val="single" w:sz="8" w:color="auto"/>
            </w:tcBorders>
          </w:tcPr>
          <w:p>
            <w:pPr>
              <w:jc w:val="right"/>
              <w:ind w:right="12"/>
              <w:spacing w:after="0"/>
              <w:rPr>
                <w:sz w:val="20"/>
                <w:szCs w:val="20"/>
                <w:color w:val="auto"/>
              </w:rPr>
            </w:pPr>
            <w:r>
              <w:rPr>
                <w:rFonts w:ascii="Arial" w:cs="Arial" w:eastAsia="Arial" w:hAnsi="Arial"/>
                <w:sz w:val="18"/>
                <w:szCs w:val="18"/>
                <w:color w:val="auto"/>
              </w:rPr>
              <w:t>4,469</w:t>
            </w:r>
          </w:p>
        </w:tc>
        <w:tc>
          <w:tcPr>
            <w:tcW w:w="120" w:type="dxa"/>
            <w:vAlign w:val="bottom"/>
          </w:tcPr>
          <w:p>
            <w:pPr>
              <w:spacing w:after="0"/>
              <w:rPr>
                <w:sz w:val="21"/>
                <w:szCs w:val="21"/>
                <w:color w:val="auto"/>
              </w:rPr>
            </w:pPr>
          </w:p>
        </w:tc>
        <w:tc>
          <w:tcPr>
            <w:tcW w:w="260" w:type="dxa"/>
            <w:vAlign w:val="bottom"/>
            <w:tcBorders>
              <w:top w:val="single" w:sz="8" w:color="auto"/>
            </w:tcBorders>
          </w:tcPr>
          <w:p>
            <w:pPr>
              <w:spacing w:after="0"/>
              <w:rPr>
                <w:sz w:val="21"/>
                <w:szCs w:val="21"/>
                <w:color w:val="auto"/>
              </w:rPr>
            </w:pPr>
          </w:p>
        </w:tc>
        <w:tc>
          <w:tcPr>
            <w:tcW w:w="1220" w:type="dxa"/>
            <w:vAlign w:val="bottom"/>
            <w:tcBorders>
              <w:top w:val="single" w:sz="8" w:color="auto"/>
            </w:tcBorders>
          </w:tcPr>
          <w:p>
            <w:pPr>
              <w:ind w:left="940"/>
              <w:spacing w:after="0"/>
              <w:rPr>
                <w:sz w:val="20"/>
                <w:szCs w:val="20"/>
                <w:color w:val="auto"/>
              </w:rPr>
            </w:pPr>
            <w:r>
              <w:rPr>
                <w:rFonts w:ascii="Arial" w:cs="Arial" w:eastAsia="Arial" w:hAnsi="Arial"/>
                <w:sz w:val="18"/>
                <w:szCs w:val="18"/>
                <w:color w:val="auto"/>
              </w:rPr>
              <w:t>—</w:t>
            </w:r>
          </w:p>
        </w:tc>
      </w:tr>
      <w:tr>
        <w:trPr>
          <w:trHeight w:val="277"/>
        </w:trPr>
        <w:tc>
          <w:tcPr>
            <w:tcW w:w="5160" w:type="dxa"/>
            <w:vAlign w:val="bottom"/>
            <w:gridSpan w:val="2"/>
            <w:shd w:val="clear" w:color="auto" w:fill="CCEEFF"/>
          </w:tcPr>
          <w:p>
            <w:pPr>
              <w:ind w:left="40"/>
              <w:spacing w:after="0"/>
              <w:rPr>
                <w:sz w:val="20"/>
                <w:szCs w:val="20"/>
                <w:color w:val="auto"/>
              </w:rPr>
            </w:pPr>
            <w:r>
              <w:rPr>
                <w:rFonts w:ascii="Arial" w:cs="Arial" w:eastAsia="Arial" w:hAnsi="Arial"/>
                <w:sz w:val="18"/>
                <w:szCs w:val="18"/>
                <w:color w:val="auto"/>
              </w:rPr>
              <w:t xml:space="preserve">Restricted cash and short-term investments </w:t>
            </w:r>
            <w:r>
              <w:rPr>
                <w:rFonts w:ascii="Arial" w:cs="Arial" w:eastAsia="Arial" w:hAnsi="Arial"/>
                <w:sz w:val="21"/>
                <w:szCs w:val="21"/>
                <w:color w:val="auto"/>
                <w:vertAlign w:val="superscript"/>
              </w:rPr>
              <w:t>(1)</w:t>
            </w:r>
          </w:p>
        </w:tc>
        <w:tc>
          <w:tcPr>
            <w:tcW w:w="300" w:type="dxa"/>
            <w:vAlign w:val="bottom"/>
            <w:shd w:val="clear" w:color="auto" w:fill="CCEEFF"/>
          </w:tcPr>
          <w:p>
            <w:pPr>
              <w:spacing w:after="0"/>
              <w:rPr>
                <w:sz w:val="24"/>
                <w:szCs w:val="24"/>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154</w:t>
            </w:r>
          </w:p>
        </w:tc>
        <w:tc>
          <w:tcPr>
            <w:tcW w:w="8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280" w:type="dxa"/>
            <w:vAlign w:val="bottom"/>
            <w:shd w:val="clear" w:color="auto" w:fill="CCEEFF"/>
          </w:tcPr>
          <w:p>
            <w:pPr>
              <w:spacing w:after="0"/>
              <w:rPr>
                <w:sz w:val="24"/>
                <w:szCs w:val="24"/>
                <w:color w:val="auto"/>
              </w:rPr>
            </w:pPr>
          </w:p>
        </w:tc>
        <w:tc>
          <w:tcPr>
            <w:tcW w:w="1220" w:type="dxa"/>
            <w:vAlign w:val="bottom"/>
            <w:shd w:val="clear" w:color="auto" w:fill="CCEEFF"/>
          </w:tcPr>
          <w:p>
            <w:pPr>
              <w:jc w:val="right"/>
              <w:ind w:right="32"/>
              <w:spacing w:after="0"/>
              <w:rPr>
                <w:sz w:val="20"/>
                <w:szCs w:val="20"/>
                <w:color w:val="auto"/>
              </w:rPr>
            </w:pPr>
            <w:r>
              <w:rPr>
                <w:rFonts w:ascii="Arial" w:cs="Arial" w:eastAsia="Arial" w:hAnsi="Arial"/>
                <w:sz w:val="18"/>
                <w:szCs w:val="18"/>
                <w:color w:val="auto"/>
              </w:rPr>
              <w:t>12</w:t>
            </w:r>
          </w:p>
        </w:tc>
        <w:tc>
          <w:tcPr>
            <w:tcW w:w="100" w:type="dxa"/>
            <w:vAlign w:val="bottom"/>
            <w:shd w:val="clear" w:color="auto" w:fill="CCEEFF"/>
          </w:tcPr>
          <w:p>
            <w:pPr>
              <w:spacing w:after="0"/>
              <w:rPr>
                <w:sz w:val="24"/>
                <w:szCs w:val="24"/>
                <w:color w:val="auto"/>
              </w:rPr>
            </w:pPr>
          </w:p>
        </w:tc>
        <w:tc>
          <w:tcPr>
            <w:tcW w:w="280" w:type="dxa"/>
            <w:vAlign w:val="bottom"/>
            <w:shd w:val="clear" w:color="auto" w:fill="CCEEFF"/>
          </w:tcPr>
          <w:p>
            <w:pPr>
              <w:spacing w:after="0"/>
              <w:rPr>
                <w:sz w:val="24"/>
                <w:szCs w:val="24"/>
                <w:color w:val="auto"/>
              </w:rPr>
            </w:pPr>
          </w:p>
        </w:tc>
        <w:tc>
          <w:tcPr>
            <w:tcW w:w="120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142</w:t>
            </w:r>
          </w:p>
        </w:tc>
        <w:tc>
          <w:tcPr>
            <w:tcW w:w="120" w:type="dxa"/>
            <w:vAlign w:val="bottom"/>
            <w:shd w:val="clear" w:color="auto" w:fill="CCEEFF"/>
          </w:tcPr>
          <w:p>
            <w:pPr>
              <w:spacing w:after="0"/>
              <w:rPr>
                <w:sz w:val="24"/>
                <w:szCs w:val="24"/>
                <w:color w:val="auto"/>
              </w:rPr>
            </w:pPr>
          </w:p>
        </w:tc>
        <w:tc>
          <w:tcPr>
            <w:tcW w:w="260" w:type="dxa"/>
            <w:vAlign w:val="bottom"/>
            <w:shd w:val="clear" w:color="auto" w:fill="CCEEFF"/>
          </w:tcPr>
          <w:p>
            <w:pPr>
              <w:spacing w:after="0"/>
              <w:rPr>
                <w:sz w:val="24"/>
                <w:szCs w:val="24"/>
                <w:color w:val="auto"/>
              </w:rPr>
            </w:pPr>
          </w:p>
        </w:tc>
        <w:tc>
          <w:tcPr>
            <w:tcW w:w="1220" w:type="dxa"/>
            <w:vAlign w:val="bottom"/>
            <w:shd w:val="clear" w:color="auto" w:fill="CCEEFF"/>
          </w:tcPr>
          <w:p>
            <w:pPr>
              <w:ind w:left="940"/>
              <w:spacing w:after="0"/>
              <w:rPr>
                <w:sz w:val="20"/>
                <w:szCs w:val="20"/>
                <w:color w:val="auto"/>
              </w:rPr>
            </w:pPr>
            <w:r>
              <w:rPr>
                <w:rFonts w:ascii="Arial" w:cs="Arial" w:eastAsia="Arial" w:hAnsi="Arial"/>
                <w:sz w:val="18"/>
                <w:szCs w:val="18"/>
                <w:color w:val="auto"/>
              </w:rPr>
              <w:t>—</w:t>
            </w:r>
          </w:p>
        </w:tc>
      </w:tr>
      <w:tr>
        <w:trPr>
          <w:trHeight w:val="270"/>
        </w:trPr>
        <w:tc>
          <w:tcPr>
            <w:tcW w:w="5160" w:type="dxa"/>
            <w:vAlign w:val="bottom"/>
            <w:tcBorders>
              <w:bottom w:val="single" w:sz="8" w:color="CCEEFF"/>
            </w:tcBorders>
            <w:gridSpan w:val="2"/>
          </w:tcPr>
          <w:p>
            <w:pPr>
              <w:ind w:left="40"/>
              <w:spacing w:after="0"/>
              <w:rPr>
                <w:sz w:val="20"/>
                <w:szCs w:val="20"/>
                <w:color w:val="auto"/>
              </w:rPr>
            </w:pPr>
            <w:r>
              <w:rPr>
                <w:rFonts w:ascii="Arial" w:cs="Arial" w:eastAsia="Arial" w:hAnsi="Arial"/>
                <w:sz w:val="18"/>
                <w:szCs w:val="18"/>
                <w:color w:val="auto"/>
              </w:rPr>
              <w:t xml:space="preserve">Long-term investments </w:t>
            </w:r>
            <w:r>
              <w:rPr>
                <w:rFonts w:ascii="Arial" w:cs="Arial" w:eastAsia="Arial" w:hAnsi="Arial"/>
                <w:sz w:val="21"/>
                <w:szCs w:val="21"/>
                <w:color w:val="auto"/>
                <w:vertAlign w:val="superscript"/>
              </w:rPr>
              <w:t>(3)</w:t>
            </w:r>
          </w:p>
        </w:tc>
        <w:tc>
          <w:tcPr>
            <w:tcW w:w="300" w:type="dxa"/>
            <w:vAlign w:val="bottom"/>
            <w:tcBorders>
              <w:bottom w:val="single" w:sz="8" w:color="auto"/>
            </w:tcBorders>
          </w:tcPr>
          <w:p>
            <w:pPr>
              <w:spacing w:after="0"/>
              <w:rPr>
                <w:sz w:val="23"/>
                <w:szCs w:val="23"/>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189</w:t>
            </w:r>
          </w:p>
        </w:tc>
        <w:tc>
          <w:tcPr>
            <w:tcW w:w="80" w:type="dxa"/>
            <w:vAlign w:val="bottom"/>
            <w:tcBorders>
              <w:bottom w:val="single" w:sz="8" w:color="auto"/>
            </w:tcBorders>
          </w:tcPr>
          <w:p>
            <w:pPr>
              <w:spacing w:after="0"/>
              <w:rPr>
                <w:sz w:val="23"/>
                <w:szCs w:val="23"/>
                <w:color w:val="auto"/>
              </w:rPr>
            </w:pPr>
          </w:p>
        </w:tc>
        <w:tc>
          <w:tcPr>
            <w:tcW w:w="100" w:type="dxa"/>
            <w:vAlign w:val="bottom"/>
            <w:tcBorders>
              <w:bottom w:val="single" w:sz="8" w:color="CCEEFF"/>
            </w:tcBorders>
          </w:tcPr>
          <w:p>
            <w:pPr>
              <w:spacing w:after="0"/>
              <w:rPr>
                <w:sz w:val="23"/>
                <w:szCs w:val="23"/>
                <w:color w:val="auto"/>
              </w:rPr>
            </w:pPr>
          </w:p>
        </w:tc>
        <w:tc>
          <w:tcPr>
            <w:tcW w:w="280" w:type="dxa"/>
            <w:vAlign w:val="bottom"/>
            <w:tcBorders>
              <w:bottom w:val="single" w:sz="8" w:color="auto"/>
            </w:tcBorders>
          </w:tcPr>
          <w:p>
            <w:pPr>
              <w:spacing w:after="0"/>
              <w:rPr>
                <w:sz w:val="23"/>
                <w:szCs w:val="23"/>
                <w:color w:val="auto"/>
              </w:rPr>
            </w:pPr>
          </w:p>
        </w:tc>
        <w:tc>
          <w:tcPr>
            <w:tcW w:w="1220" w:type="dxa"/>
            <w:vAlign w:val="bottom"/>
            <w:tcBorders>
              <w:bottom w:val="single" w:sz="8" w:color="auto"/>
            </w:tcBorders>
          </w:tcPr>
          <w:p>
            <w:pPr>
              <w:jc w:val="right"/>
              <w:ind w:right="32"/>
              <w:spacing w:after="0"/>
              <w:rPr>
                <w:sz w:val="20"/>
                <w:szCs w:val="20"/>
                <w:color w:val="auto"/>
              </w:rPr>
            </w:pPr>
            <w:r>
              <w:rPr>
                <w:rFonts w:ascii="Arial" w:cs="Arial" w:eastAsia="Arial" w:hAnsi="Arial"/>
                <w:sz w:val="18"/>
                <w:szCs w:val="18"/>
                <w:color w:val="auto"/>
              </w:rPr>
              <w:t>189</w:t>
            </w:r>
          </w:p>
        </w:tc>
        <w:tc>
          <w:tcPr>
            <w:tcW w:w="100" w:type="dxa"/>
            <w:vAlign w:val="bottom"/>
            <w:tcBorders>
              <w:bottom w:val="single" w:sz="8" w:color="CCEEFF"/>
            </w:tcBorders>
          </w:tcPr>
          <w:p>
            <w:pPr>
              <w:spacing w:after="0"/>
              <w:rPr>
                <w:sz w:val="23"/>
                <w:szCs w:val="23"/>
                <w:color w:val="auto"/>
              </w:rPr>
            </w:pPr>
          </w:p>
        </w:tc>
        <w:tc>
          <w:tcPr>
            <w:tcW w:w="280" w:type="dxa"/>
            <w:vAlign w:val="bottom"/>
            <w:tcBorders>
              <w:bottom w:val="single" w:sz="8" w:color="auto"/>
            </w:tcBorders>
          </w:tcPr>
          <w:p>
            <w:pPr>
              <w:spacing w:after="0"/>
              <w:rPr>
                <w:sz w:val="23"/>
                <w:szCs w:val="23"/>
                <w:color w:val="auto"/>
              </w:rPr>
            </w:pPr>
          </w:p>
        </w:tc>
        <w:tc>
          <w:tcPr>
            <w:tcW w:w="1200" w:type="dxa"/>
            <w:vAlign w:val="bottom"/>
            <w:tcBorders>
              <w:bottom w:val="single" w:sz="8" w:color="auto"/>
            </w:tcBorders>
          </w:tcPr>
          <w:p>
            <w:pPr>
              <w:jc w:val="right"/>
              <w:ind w:right="12"/>
              <w:spacing w:after="0"/>
              <w:rPr>
                <w:sz w:val="20"/>
                <w:szCs w:val="20"/>
                <w:color w:val="auto"/>
              </w:rPr>
            </w:pPr>
            <w:r>
              <w:rPr>
                <w:rFonts w:ascii="Arial" w:cs="Arial" w:eastAsia="Arial" w:hAnsi="Arial"/>
                <w:sz w:val="18"/>
                <w:szCs w:val="18"/>
                <w:color w:val="auto"/>
              </w:rPr>
              <w:t>—</w:t>
            </w:r>
          </w:p>
        </w:tc>
        <w:tc>
          <w:tcPr>
            <w:tcW w:w="120" w:type="dxa"/>
            <w:vAlign w:val="bottom"/>
            <w:tcBorders>
              <w:bottom w:val="single" w:sz="8" w:color="CCEEFF"/>
            </w:tcBorders>
          </w:tcPr>
          <w:p>
            <w:pPr>
              <w:spacing w:after="0"/>
              <w:rPr>
                <w:sz w:val="23"/>
                <w:szCs w:val="23"/>
                <w:color w:val="auto"/>
              </w:rPr>
            </w:pPr>
          </w:p>
        </w:tc>
        <w:tc>
          <w:tcPr>
            <w:tcW w:w="260" w:type="dxa"/>
            <w:vAlign w:val="bottom"/>
            <w:tcBorders>
              <w:bottom w:val="single" w:sz="8" w:color="auto"/>
            </w:tcBorders>
          </w:tcPr>
          <w:p>
            <w:pPr>
              <w:spacing w:after="0"/>
              <w:rPr>
                <w:sz w:val="23"/>
                <w:szCs w:val="23"/>
                <w:color w:val="auto"/>
              </w:rPr>
            </w:pPr>
          </w:p>
        </w:tc>
        <w:tc>
          <w:tcPr>
            <w:tcW w:w="1220" w:type="dxa"/>
            <w:vAlign w:val="bottom"/>
            <w:tcBorders>
              <w:bottom w:val="single" w:sz="8" w:color="auto"/>
            </w:tcBorders>
          </w:tcPr>
          <w:p>
            <w:pPr>
              <w:ind w:left="940"/>
              <w:spacing w:after="0"/>
              <w:rPr>
                <w:sz w:val="20"/>
                <w:szCs w:val="20"/>
                <w:color w:val="auto"/>
              </w:rPr>
            </w:pPr>
            <w:r>
              <w:rPr>
                <w:rFonts w:ascii="Arial" w:cs="Arial" w:eastAsia="Arial" w:hAnsi="Arial"/>
                <w:sz w:val="18"/>
                <w:szCs w:val="18"/>
                <w:color w:val="auto"/>
              </w:rPr>
              <w:t>—</w:t>
            </w:r>
          </w:p>
        </w:tc>
      </w:tr>
      <w:tr>
        <w:trPr>
          <w:trHeight w:val="244"/>
        </w:trPr>
        <w:tc>
          <w:tcPr>
            <w:tcW w:w="5160" w:type="dxa"/>
            <w:vAlign w:val="bottom"/>
            <w:gridSpan w:val="2"/>
            <w:shd w:val="clear" w:color="auto" w:fill="CCEEFF"/>
          </w:tcPr>
          <w:p>
            <w:pPr>
              <w:ind w:left="40"/>
              <w:spacing w:after="0"/>
              <w:rPr>
                <w:sz w:val="20"/>
                <w:szCs w:val="20"/>
                <w:color w:val="auto"/>
              </w:rPr>
            </w:pPr>
            <w:r>
              <w:rPr>
                <w:rFonts w:ascii="Arial" w:cs="Arial" w:eastAsia="Arial" w:hAnsi="Arial"/>
                <w:sz w:val="18"/>
                <w:szCs w:val="18"/>
                <w:color w:val="auto"/>
              </w:rPr>
              <w:t>Total</w:t>
            </w:r>
          </w:p>
        </w:tc>
        <w:tc>
          <w:tcPr>
            <w:tcW w:w="30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4,828</w:t>
            </w:r>
          </w:p>
        </w:tc>
        <w:tc>
          <w:tcPr>
            <w:tcW w:w="460" w:type="dxa"/>
            <w:vAlign w:val="bottom"/>
            <w:gridSpan w:val="3"/>
            <w:shd w:val="clear" w:color="auto" w:fill="CCEEFF"/>
          </w:tcPr>
          <w:p>
            <w:pPr>
              <w:jc w:val="right"/>
              <w:ind w:right="50"/>
              <w:spacing w:after="0"/>
              <w:rPr>
                <w:sz w:val="20"/>
                <w:szCs w:val="20"/>
                <w:color w:val="auto"/>
              </w:rPr>
            </w:pPr>
            <w:r>
              <w:rPr>
                <w:rFonts w:ascii="Arial" w:cs="Arial" w:eastAsia="Arial" w:hAnsi="Arial"/>
                <w:sz w:val="18"/>
                <w:szCs w:val="18"/>
                <w:color w:val="auto"/>
              </w:rPr>
              <w:t>$</w:t>
            </w:r>
          </w:p>
        </w:tc>
        <w:tc>
          <w:tcPr>
            <w:tcW w:w="1220" w:type="dxa"/>
            <w:vAlign w:val="bottom"/>
            <w:shd w:val="clear" w:color="auto" w:fill="CCEEFF"/>
          </w:tcPr>
          <w:p>
            <w:pPr>
              <w:jc w:val="right"/>
              <w:ind w:right="32"/>
              <w:spacing w:after="0"/>
              <w:rPr>
                <w:sz w:val="20"/>
                <w:szCs w:val="20"/>
                <w:color w:val="auto"/>
              </w:rPr>
            </w:pPr>
            <w:r>
              <w:rPr>
                <w:rFonts w:ascii="Arial" w:cs="Arial" w:eastAsia="Arial" w:hAnsi="Arial"/>
                <w:sz w:val="18"/>
                <w:szCs w:val="18"/>
                <w:color w:val="auto"/>
              </w:rPr>
              <w:t>217</w:t>
            </w:r>
          </w:p>
        </w:tc>
        <w:tc>
          <w:tcPr>
            <w:tcW w:w="100" w:type="dxa"/>
            <w:vAlign w:val="bottom"/>
            <w:shd w:val="clear" w:color="auto" w:fill="CCEEFF"/>
          </w:tcPr>
          <w:p>
            <w:pPr>
              <w:spacing w:after="0"/>
              <w:rPr>
                <w:sz w:val="21"/>
                <w:szCs w:val="21"/>
                <w:color w:val="auto"/>
              </w:rPr>
            </w:pPr>
          </w:p>
        </w:tc>
        <w:tc>
          <w:tcPr>
            <w:tcW w:w="28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20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4,611</w:t>
            </w:r>
          </w:p>
        </w:tc>
        <w:tc>
          <w:tcPr>
            <w:tcW w:w="120" w:type="dxa"/>
            <w:vAlign w:val="bottom"/>
            <w:shd w:val="clear" w:color="auto" w:fill="CCEEFF"/>
          </w:tcPr>
          <w:p>
            <w:pPr>
              <w:spacing w:after="0"/>
              <w:rPr>
                <w:sz w:val="21"/>
                <w:szCs w:val="21"/>
                <w:color w:val="auto"/>
              </w:rPr>
            </w:pPr>
          </w:p>
        </w:tc>
        <w:tc>
          <w:tcPr>
            <w:tcW w:w="26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220" w:type="dxa"/>
            <w:vAlign w:val="bottom"/>
            <w:shd w:val="clear" w:color="auto" w:fill="CCEEFF"/>
          </w:tcPr>
          <w:p>
            <w:pPr>
              <w:ind w:left="940"/>
              <w:spacing w:after="0"/>
              <w:rPr>
                <w:sz w:val="20"/>
                <w:szCs w:val="20"/>
                <w:color w:val="auto"/>
              </w:rPr>
            </w:pPr>
            <w:r>
              <w:rPr>
                <w:rFonts w:ascii="Arial" w:cs="Arial" w:eastAsia="Arial" w:hAnsi="Arial"/>
                <w:sz w:val="18"/>
                <w:szCs w:val="18"/>
                <w:color w:val="auto"/>
              </w:rPr>
              <w:t>—</w:t>
            </w:r>
          </w:p>
        </w:tc>
      </w:tr>
      <w:tr>
        <w:trPr>
          <w:trHeight w:val="20"/>
        </w:trPr>
        <w:tc>
          <w:tcPr>
            <w:tcW w:w="2120" w:type="dxa"/>
            <w:vAlign w:val="bottom"/>
            <w:tcBorders>
              <w:top w:val="single" w:sz="8" w:color="CCEEFF"/>
            </w:tcBorders>
          </w:tcPr>
          <w:p>
            <w:pPr>
              <w:spacing w:after="0" w:line="20" w:lineRule="exact"/>
              <w:rPr>
                <w:sz w:val="1"/>
                <w:szCs w:val="1"/>
                <w:color w:val="auto"/>
              </w:rPr>
            </w:pPr>
          </w:p>
        </w:tc>
        <w:tc>
          <w:tcPr>
            <w:tcW w:w="304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12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1220" w:type="dxa"/>
            <w:vAlign w:val="bottom"/>
            <w:tcBorders>
              <w:top w:val="single" w:sz="8" w:color="auto"/>
              <w:bottom w:val="single" w:sz="8" w:color="auto"/>
            </w:tcBorders>
          </w:tcPr>
          <w:p>
            <w:pPr>
              <w:spacing w:after="0" w:line="20" w:lineRule="exact"/>
              <w:rPr>
                <w:sz w:val="1"/>
                <w:szCs w:val="1"/>
                <w:color w:val="auto"/>
              </w:rPr>
            </w:pPr>
          </w:p>
        </w:tc>
      </w:tr>
      <w:tr>
        <w:trPr>
          <w:trHeight w:val="244"/>
        </w:trPr>
        <w:tc>
          <w:tcPr>
            <w:tcW w:w="2120" w:type="dxa"/>
            <w:vAlign w:val="bottom"/>
            <w:tcBorders>
              <w:bottom w:val="single" w:sz="8" w:color="auto"/>
            </w:tcBorders>
          </w:tcPr>
          <w:p>
            <w:pPr>
              <w:spacing w:after="0"/>
              <w:rPr>
                <w:sz w:val="21"/>
                <w:szCs w:val="21"/>
                <w:color w:val="auto"/>
              </w:rPr>
            </w:pPr>
          </w:p>
        </w:tc>
        <w:tc>
          <w:tcPr>
            <w:tcW w:w="304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10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2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2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220" w:type="dxa"/>
            <w:vAlign w:val="bottom"/>
          </w:tcPr>
          <w:p>
            <w:pPr>
              <w:spacing w:after="0"/>
              <w:rPr>
                <w:sz w:val="21"/>
                <w:szCs w:val="21"/>
                <w:color w:val="auto"/>
              </w:rPr>
            </w:pPr>
          </w:p>
        </w:tc>
      </w:tr>
    </w:tbl>
    <w:p>
      <w:pPr>
        <w:spacing w:after="0" w:line="200" w:lineRule="exact"/>
        <w:rPr>
          <w:sz w:val="20"/>
          <w:szCs w:val="20"/>
          <w:color w:val="auto"/>
        </w:rPr>
      </w:pPr>
    </w:p>
    <w:p>
      <w:pPr>
        <w:sectPr>
          <w:pgSz w:w="11900" w:h="16838" w:orient="portrait"/>
          <w:cols w:equalWidth="0" w:num="1">
            <w:col w:w="11420"/>
          </w:cols>
          <w:pgMar w:left="240" w:top="549" w:right="239" w:bottom="1440" w:gutter="0" w:footer="0" w:header="0"/>
        </w:sectPr>
      </w:pPr>
    </w:p>
    <w:p>
      <w:pPr>
        <w:spacing w:after="0" w:line="200" w:lineRule="exact"/>
        <w:rPr>
          <w:sz w:val="20"/>
          <w:szCs w:val="20"/>
          <w:color w:val="auto"/>
        </w:rPr>
      </w:pPr>
    </w:p>
    <w:p>
      <w:pPr>
        <w:spacing w:after="0" w:line="247"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97</w:t>
      </w:r>
    </w:p>
    <w:p>
      <w:pPr>
        <w:sectPr>
          <w:pgSz w:w="11900" w:h="16838" w:orient="portrait"/>
          <w:cols w:equalWidth="0" w:num="1">
            <w:col w:w="11420"/>
          </w:cols>
          <w:pgMar w:left="240" w:top="549" w:right="239" w:bottom="1440" w:gutter="0" w:footer="0" w:header="0"/>
          <w:type w:val="continuous"/>
        </w:sectPr>
      </w:pPr>
    </w:p>
    <w:bookmarkStart w:id="97" w:name="page98"/>
    <w:bookmarkEnd w:id="97"/>
    <w:p>
      <w:pPr>
        <w:jc w:val="center"/>
        <w:spacing w:after="0"/>
        <w:rPr>
          <w:sz w:val="20"/>
          <w:szCs w:val="20"/>
          <w:color w:val="auto"/>
        </w:rPr>
      </w:pPr>
      <w:r>
        <w:rPr>
          <w:rFonts w:ascii="Arial" w:cs="Arial" w:eastAsia="Arial" w:hAnsi="Arial"/>
          <w:sz w:val="18"/>
          <w:szCs w:val="18"/>
          <w:b w:val="1"/>
          <w:bCs w:val="1"/>
          <w:color w:val="auto"/>
        </w:rPr>
        <w:t>NOTES TO CONSOLIDATED FINANCIAL STATEMENTS OF AMERICAN AIRLINES GROUP INC.</w:t>
      </w:r>
    </w:p>
    <w:p>
      <w:pPr>
        <w:spacing w:after="0" w:line="200" w:lineRule="exact"/>
        <w:rPr>
          <w:sz w:val="20"/>
          <w:szCs w:val="20"/>
          <w:color w:val="auto"/>
        </w:rPr>
      </w:pPr>
    </w:p>
    <w:p>
      <w:pPr>
        <w:spacing w:after="0" w:line="209" w:lineRule="exact"/>
        <w:rPr>
          <w:sz w:val="20"/>
          <w:szCs w:val="20"/>
          <w:color w:val="auto"/>
        </w:rPr>
      </w:pPr>
    </w:p>
    <w:p>
      <w:pPr>
        <w:ind w:left="660" w:hanging="652"/>
        <w:spacing w:after="0" w:line="225" w:lineRule="auto"/>
        <w:tabs>
          <w:tab w:leader="none" w:pos="660" w:val="left"/>
        </w:tabs>
        <w:numPr>
          <w:ilvl w:val="0"/>
          <w:numId w:val="41"/>
        </w:numPr>
        <w:rPr>
          <w:rFonts w:ascii="Arial" w:cs="Arial" w:eastAsia="Arial" w:hAnsi="Arial"/>
          <w:sz w:val="22"/>
          <w:szCs w:val="22"/>
          <w:color w:val="auto"/>
          <w:vertAlign w:val="superscript"/>
        </w:rPr>
      </w:pPr>
      <w:r>
        <w:rPr>
          <w:rFonts w:ascii="Arial" w:cs="Arial" w:eastAsia="Arial" w:hAnsi="Arial"/>
          <w:sz w:val="18"/>
          <w:szCs w:val="18"/>
          <w:color w:val="auto"/>
        </w:rPr>
        <w:t>Unrealized gains and losses on short-term investments are recorded in accumulated other comprehensive loss at each measurement date.</w:t>
      </w:r>
    </w:p>
    <w:p>
      <w:pPr>
        <w:spacing w:after="0" w:line="163" w:lineRule="exact"/>
        <w:rPr>
          <w:rFonts w:ascii="Arial" w:cs="Arial" w:eastAsia="Arial" w:hAnsi="Arial"/>
          <w:sz w:val="22"/>
          <w:szCs w:val="22"/>
          <w:color w:val="auto"/>
          <w:vertAlign w:val="superscript"/>
        </w:rPr>
      </w:pPr>
    </w:p>
    <w:p>
      <w:pPr>
        <w:jc w:val="both"/>
        <w:ind w:left="660" w:hanging="652"/>
        <w:spacing w:after="0" w:line="233" w:lineRule="auto"/>
        <w:tabs>
          <w:tab w:leader="none" w:pos="660" w:val="left"/>
        </w:tabs>
        <w:numPr>
          <w:ilvl w:val="0"/>
          <w:numId w:val="41"/>
        </w:numPr>
        <w:rPr>
          <w:rFonts w:ascii="Arial" w:cs="Arial" w:eastAsia="Arial" w:hAnsi="Arial"/>
          <w:sz w:val="22"/>
          <w:szCs w:val="22"/>
          <w:color w:val="auto"/>
          <w:vertAlign w:val="superscript"/>
        </w:rPr>
      </w:pPr>
      <w:r>
        <w:rPr>
          <w:rFonts w:ascii="Arial" w:cs="Arial" w:eastAsia="Arial" w:hAnsi="Arial"/>
          <w:sz w:val="18"/>
          <w:szCs w:val="18"/>
          <w:color w:val="auto"/>
        </w:rPr>
        <w:t>All short-term investments are classified as available-for-sale and stated at fair value. Our short-term investments as of December 31, 2019 mature in one year or less except for $1.1 billion of bank notes/certificates of deposit/time deposits and $95 million of corporate obligations.</w:t>
      </w:r>
    </w:p>
    <w:p>
      <w:pPr>
        <w:spacing w:after="0" w:line="162" w:lineRule="exact"/>
        <w:rPr>
          <w:rFonts w:ascii="Arial" w:cs="Arial" w:eastAsia="Arial" w:hAnsi="Arial"/>
          <w:sz w:val="22"/>
          <w:szCs w:val="22"/>
          <w:color w:val="auto"/>
          <w:vertAlign w:val="superscript"/>
        </w:rPr>
      </w:pPr>
    </w:p>
    <w:p>
      <w:pPr>
        <w:ind w:left="660" w:hanging="652"/>
        <w:spacing w:after="0" w:line="225" w:lineRule="auto"/>
        <w:tabs>
          <w:tab w:leader="none" w:pos="660" w:val="left"/>
        </w:tabs>
        <w:numPr>
          <w:ilvl w:val="0"/>
          <w:numId w:val="41"/>
        </w:numPr>
        <w:rPr>
          <w:rFonts w:ascii="Arial" w:cs="Arial" w:eastAsia="Arial" w:hAnsi="Arial"/>
          <w:sz w:val="22"/>
          <w:szCs w:val="22"/>
          <w:color w:val="auto"/>
          <w:vertAlign w:val="superscript"/>
        </w:rPr>
      </w:pPr>
      <w:r>
        <w:rPr>
          <w:rFonts w:ascii="Arial" w:cs="Arial" w:eastAsia="Arial" w:hAnsi="Arial"/>
          <w:sz w:val="18"/>
          <w:szCs w:val="18"/>
          <w:color w:val="auto"/>
        </w:rPr>
        <w:t>Long-term investments primarily include our equity investment in China Southern Airlines, in which we presently own a 2.2% equity interest, and are classified in other assets on the consolidated balance sheets.</w:t>
      </w:r>
    </w:p>
    <w:p>
      <w:pPr>
        <w:spacing w:after="0" w:line="222" w:lineRule="exact"/>
        <w:rPr>
          <w:sz w:val="20"/>
          <w:szCs w:val="20"/>
          <w:color w:val="auto"/>
        </w:rPr>
      </w:pPr>
    </w:p>
    <w:p>
      <w:pPr>
        <w:ind w:left="220"/>
        <w:spacing w:after="0"/>
        <w:rPr>
          <w:sz w:val="20"/>
          <w:szCs w:val="20"/>
          <w:color w:val="auto"/>
        </w:rPr>
      </w:pPr>
      <w:r>
        <w:rPr>
          <w:rFonts w:ascii="Arial" w:cs="Arial" w:eastAsia="Arial" w:hAnsi="Arial"/>
          <w:sz w:val="18"/>
          <w:szCs w:val="18"/>
          <w:b w:val="1"/>
          <w:bCs w:val="1"/>
          <w:i w:val="1"/>
          <w:iCs w:val="1"/>
          <w:u w:val="single" w:color="auto"/>
          <w:color w:val="auto"/>
        </w:rPr>
        <w:t>Fair Value of Debt</w:t>
      </w:r>
    </w:p>
    <w:p>
      <w:pPr>
        <w:spacing w:after="0" w:line="112" w:lineRule="exact"/>
        <w:rPr>
          <w:sz w:val="20"/>
          <w:szCs w:val="20"/>
          <w:color w:val="auto"/>
        </w:rPr>
      </w:pPr>
    </w:p>
    <w:p>
      <w:pPr>
        <w:jc w:val="both"/>
        <w:ind w:firstLine="216"/>
        <w:spacing w:after="0" w:line="256" w:lineRule="auto"/>
        <w:rPr>
          <w:sz w:val="20"/>
          <w:szCs w:val="20"/>
          <w:color w:val="auto"/>
        </w:rPr>
      </w:pPr>
      <w:r>
        <w:rPr>
          <w:rFonts w:ascii="Arial" w:cs="Arial" w:eastAsia="Arial" w:hAnsi="Arial"/>
          <w:sz w:val="18"/>
          <w:szCs w:val="18"/>
          <w:color w:val="auto"/>
        </w:rPr>
        <w:t>The fair value of our long-term debt was estimated using quoted market prices or discounted cash flow analyses, based on our current estimated incremental borrowing rates for similar types of borrowing arrangements. If our long-term debt was measured at fair value, it would have been classified as Level 2 in the fair value hierarchy.</w:t>
      </w:r>
    </w:p>
    <w:p>
      <w:pPr>
        <w:spacing w:after="0" w:line="148" w:lineRule="exact"/>
        <w:rPr>
          <w:sz w:val="20"/>
          <w:szCs w:val="20"/>
          <w:color w:val="auto"/>
        </w:rPr>
      </w:pPr>
    </w:p>
    <w:p>
      <w:pPr>
        <w:ind w:left="220"/>
        <w:spacing w:after="0"/>
        <w:rPr>
          <w:sz w:val="20"/>
          <w:szCs w:val="20"/>
          <w:color w:val="auto"/>
        </w:rPr>
      </w:pPr>
      <w:r>
        <w:rPr>
          <w:rFonts w:ascii="Arial" w:cs="Arial" w:eastAsia="Arial" w:hAnsi="Arial"/>
          <w:sz w:val="18"/>
          <w:szCs w:val="18"/>
          <w:color w:val="auto"/>
        </w:rPr>
        <w:t>The carrying value and estimated fair value of our long-term debt, including current maturities, were as follows (in millions):</w:t>
      </w:r>
    </w:p>
    <w:p>
      <w:pPr>
        <w:spacing w:after="0" w:line="375" w:lineRule="exact"/>
        <w:rPr>
          <w:sz w:val="20"/>
          <w:szCs w:val="20"/>
          <w:color w:val="auto"/>
        </w:rPr>
      </w:pPr>
    </w:p>
    <w:tbl>
      <w:tblPr>
        <w:tblLayout w:type="fixed"/>
        <w:tblInd w:w="0" w:type="dxa"/>
        <w:tblCellMar>
          <w:top w:w="0" w:type="dxa"/>
          <w:left w:w="0" w:type="dxa"/>
          <w:bottom w:w="0" w:type="dxa"/>
          <w:right w:w="0" w:type="dxa"/>
        </w:tblCellMar>
      </w:tblPr>
      <w:tr>
        <w:trPr>
          <w:trHeight w:val="196"/>
        </w:trPr>
        <w:tc>
          <w:tcPr>
            <w:tcW w:w="5260" w:type="dxa"/>
            <w:vAlign w:val="bottom"/>
          </w:tcPr>
          <w:p>
            <w:pPr>
              <w:spacing w:after="0"/>
              <w:rPr>
                <w:sz w:val="17"/>
                <w:szCs w:val="17"/>
                <w:color w:val="auto"/>
              </w:rPr>
            </w:pPr>
          </w:p>
        </w:tc>
        <w:tc>
          <w:tcPr>
            <w:tcW w:w="260" w:type="dxa"/>
            <w:vAlign w:val="bottom"/>
            <w:tcBorders>
              <w:bottom w:val="single" w:sz="8" w:color="auto"/>
            </w:tcBorders>
          </w:tcPr>
          <w:p>
            <w:pPr>
              <w:spacing w:after="0"/>
              <w:rPr>
                <w:sz w:val="17"/>
                <w:szCs w:val="17"/>
                <w:color w:val="auto"/>
              </w:rPr>
            </w:pPr>
          </w:p>
        </w:tc>
        <w:tc>
          <w:tcPr>
            <w:tcW w:w="2720" w:type="dxa"/>
            <w:vAlign w:val="bottom"/>
            <w:tcBorders>
              <w:bottom w:val="single" w:sz="8" w:color="auto"/>
            </w:tcBorders>
            <w:gridSpan w:val="4"/>
          </w:tcPr>
          <w:p>
            <w:pPr>
              <w:jc w:val="right"/>
              <w:ind w:right="762"/>
              <w:spacing w:after="0"/>
              <w:rPr>
                <w:sz w:val="20"/>
                <w:szCs w:val="20"/>
                <w:color w:val="auto"/>
              </w:rPr>
            </w:pPr>
            <w:r>
              <w:rPr>
                <w:rFonts w:ascii="Arial" w:cs="Arial" w:eastAsia="Arial" w:hAnsi="Arial"/>
                <w:sz w:val="14"/>
                <w:szCs w:val="14"/>
                <w:b w:val="1"/>
                <w:bCs w:val="1"/>
                <w:color w:val="auto"/>
              </w:rPr>
              <w:t>December 31, 2019</w:t>
            </w:r>
          </w:p>
        </w:tc>
        <w:tc>
          <w:tcPr>
            <w:tcW w:w="100" w:type="dxa"/>
            <w:vAlign w:val="bottom"/>
          </w:tcPr>
          <w:p>
            <w:pPr>
              <w:spacing w:after="0"/>
              <w:rPr>
                <w:sz w:val="17"/>
                <w:szCs w:val="17"/>
                <w:color w:val="auto"/>
              </w:rPr>
            </w:pPr>
          </w:p>
        </w:tc>
        <w:tc>
          <w:tcPr>
            <w:tcW w:w="280" w:type="dxa"/>
            <w:vAlign w:val="bottom"/>
            <w:tcBorders>
              <w:bottom w:val="single" w:sz="8" w:color="auto"/>
            </w:tcBorders>
          </w:tcPr>
          <w:p>
            <w:pPr>
              <w:spacing w:after="0"/>
              <w:rPr>
                <w:sz w:val="17"/>
                <w:szCs w:val="17"/>
                <w:color w:val="auto"/>
              </w:rPr>
            </w:pPr>
          </w:p>
        </w:tc>
        <w:tc>
          <w:tcPr>
            <w:tcW w:w="2800" w:type="dxa"/>
            <w:vAlign w:val="bottom"/>
            <w:tcBorders>
              <w:bottom w:val="single" w:sz="8" w:color="auto"/>
            </w:tcBorders>
            <w:gridSpan w:val="4"/>
          </w:tcPr>
          <w:p>
            <w:pPr>
              <w:jc w:val="right"/>
              <w:ind w:right="802"/>
              <w:spacing w:after="0"/>
              <w:rPr>
                <w:sz w:val="20"/>
                <w:szCs w:val="20"/>
                <w:color w:val="auto"/>
              </w:rPr>
            </w:pPr>
            <w:r>
              <w:rPr>
                <w:rFonts w:ascii="Arial" w:cs="Arial" w:eastAsia="Arial" w:hAnsi="Arial"/>
                <w:sz w:val="14"/>
                <w:szCs w:val="14"/>
                <w:b w:val="1"/>
                <w:bCs w:val="1"/>
                <w:color w:val="auto"/>
              </w:rPr>
              <w:t>December 31, 2018</w:t>
            </w:r>
          </w:p>
        </w:tc>
      </w:tr>
      <w:tr>
        <w:trPr>
          <w:trHeight w:val="175"/>
        </w:trPr>
        <w:tc>
          <w:tcPr>
            <w:tcW w:w="526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220" w:type="dxa"/>
            <w:vAlign w:val="bottom"/>
            <w:gridSpan w:val="2"/>
          </w:tcPr>
          <w:p>
            <w:pPr>
              <w:jc w:val="center"/>
              <w:ind w:right="360"/>
              <w:spacing w:after="0"/>
              <w:rPr>
                <w:sz w:val="20"/>
                <w:szCs w:val="20"/>
                <w:color w:val="auto"/>
              </w:rPr>
            </w:pPr>
            <w:r>
              <w:rPr>
                <w:rFonts w:ascii="Arial" w:cs="Arial" w:eastAsia="Arial" w:hAnsi="Arial"/>
                <w:sz w:val="14"/>
                <w:szCs w:val="14"/>
                <w:b w:val="1"/>
                <w:bCs w:val="1"/>
                <w:color w:val="auto"/>
              </w:rPr>
              <w:t>Carrying</w:t>
            </w:r>
          </w:p>
        </w:tc>
        <w:tc>
          <w:tcPr>
            <w:tcW w:w="340" w:type="dxa"/>
            <w:vAlign w:val="bottom"/>
          </w:tcPr>
          <w:p>
            <w:pPr>
              <w:spacing w:after="0"/>
              <w:rPr>
                <w:sz w:val="15"/>
                <w:szCs w:val="15"/>
                <w:color w:val="auto"/>
              </w:rPr>
            </w:pPr>
          </w:p>
        </w:tc>
        <w:tc>
          <w:tcPr>
            <w:tcW w:w="1260" w:type="dxa"/>
            <w:vAlign w:val="bottom"/>
            <w:gridSpan w:val="2"/>
          </w:tcPr>
          <w:p>
            <w:pPr>
              <w:jc w:val="center"/>
              <w:ind w:right="440"/>
              <w:spacing w:after="0"/>
              <w:rPr>
                <w:sz w:val="20"/>
                <w:szCs w:val="20"/>
                <w:color w:val="auto"/>
              </w:rPr>
            </w:pPr>
            <w:r>
              <w:rPr>
                <w:rFonts w:ascii="Arial" w:cs="Arial" w:eastAsia="Arial" w:hAnsi="Arial"/>
                <w:sz w:val="14"/>
                <w:szCs w:val="14"/>
                <w:b w:val="1"/>
                <w:bCs w:val="1"/>
                <w:color w:val="auto"/>
              </w:rPr>
              <w:t>Fair</w:t>
            </w:r>
          </w:p>
        </w:tc>
        <w:tc>
          <w:tcPr>
            <w:tcW w:w="280" w:type="dxa"/>
            <w:vAlign w:val="bottom"/>
          </w:tcPr>
          <w:p>
            <w:pPr>
              <w:spacing w:after="0"/>
              <w:rPr>
                <w:sz w:val="15"/>
                <w:szCs w:val="15"/>
                <w:color w:val="auto"/>
              </w:rPr>
            </w:pPr>
          </w:p>
        </w:tc>
        <w:tc>
          <w:tcPr>
            <w:tcW w:w="1320" w:type="dxa"/>
            <w:vAlign w:val="bottom"/>
            <w:gridSpan w:val="2"/>
          </w:tcPr>
          <w:p>
            <w:pPr>
              <w:jc w:val="center"/>
              <w:ind w:right="400"/>
              <w:spacing w:after="0"/>
              <w:rPr>
                <w:sz w:val="20"/>
                <w:szCs w:val="20"/>
                <w:color w:val="auto"/>
              </w:rPr>
            </w:pPr>
            <w:r>
              <w:rPr>
                <w:rFonts w:ascii="Arial" w:cs="Arial" w:eastAsia="Arial" w:hAnsi="Arial"/>
                <w:sz w:val="14"/>
                <w:szCs w:val="14"/>
                <w:b w:val="1"/>
                <w:bCs w:val="1"/>
                <w:color w:val="auto"/>
              </w:rPr>
              <w:t>Carrying</w:t>
            </w:r>
          </w:p>
        </w:tc>
        <w:tc>
          <w:tcPr>
            <w:tcW w:w="340" w:type="dxa"/>
            <w:vAlign w:val="bottom"/>
          </w:tcPr>
          <w:p>
            <w:pPr>
              <w:spacing w:after="0"/>
              <w:rPr>
                <w:sz w:val="15"/>
                <w:szCs w:val="15"/>
                <w:color w:val="auto"/>
              </w:rPr>
            </w:pPr>
          </w:p>
        </w:tc>
        <w:tc>
          <w:tcPr>
            <w:tcW w:w="1140" w:type="dxa"/>
            <w:vAlign w:val="bottom"/>
          </w:tcPr>
          <w:p>
            <w:pPr>
              <w:jc w:val="center"/>
              <w:ind w:right="282"/>
              <w:spacing w:after="0"/>
              <w:rPr>
                <w:sz w:val="20"/>
                <w:szCs w:val="20"/>
                <w:color w:val="auto"/>
              </w:rPr>
            </w:pPr>
            <w:r>
              <w:rPr>
                <w:rFonts w:ascii="Arial" w:cs="Arial" w:eastAsia="Arial" w:hAnsi="Arial"/>
                <w:sz w:val="14"/>
                <w:szCs w:val="14"/>
                <w:b w:val="1"/>
                <w:bCs w:val="1"/>
                <w:color w:val="auto"/>
              </w:rPr>
              <w:t>Fair</w:t>
            </w:r>
          </w:p>
        </w:tc>
      </w:tr>
      <w:tr>
        <w:trPr>
          <w:trHeight w:val="196"/>
        </w:trPr>
        <w:tc>
          <w:tcPr>
            <w:tcW w:w="526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220" w:type="dxa"/>
            <w:vAlign w:val="bottom"/>
            <w:gridSpan w:val="2"/>
          </w:tcPr>
          <w:p>
            <w:pPr>
              <w:jc w:val="center"/>
              <w:ind w:right="360"/>
              <w:spacing w:after="0"/>
              <w:rPr>
                <w:sz w:val="20"/>
                <w:szCs w:val="20"/>
                <w:color w:val="auto"/>
              </w:rPr>
            </w:pPr>
            <w:r>
              <w:rPr>
                <w:rFonts w:ascii="Arial" w:cs="Arial" w:eastAsia="Arial" w:hAnsi="Arial"/>
                <w:sz w:val="14"/>
                <w:szCs w:val="14"/>
                <w:b w:val="1"/>
                <w:bCs w:val="1"/>
                <w:color w:val="auto"/>
              </w:rPr>
              <w:t>Value</w:t>
            </w:r>
          </w:p>
        </w:tc>
        <w:tc>
          <w:tcPr>
            <w:tcW w:w="340" w:type="dxa"/>
            <w:vAlign w:val="bottom"/>
          </w:tcPr>
          <w:p>
            <w:pPr>
              <w:spacing w:after="0"/>
              <w:rPr>
                <w:sz w:val="17"/>
                <w:szCs w:val="17"/>
                <w:color w:val="auto"/>
              </w:rPr>
            </w:pPr>
          </w:p>
        </w:tc>
        <w:tc>
          <w:tcPr>
            <w:tcW w:w="1260" w:type="dxa"/>
            <w:vAlign w:val="bottom"/>
            <w:gridSpan w:val="2"/>
          </w:tcPr>
          <w:p>
            <w:pPr>
              <w:jc w:val="center"/>
              <w:ind w:right="440"/>
              <w:spacing w:after="0"/>
              <w:rPr>
                <w:sz w:val="20"/>
                <w:szCs w:val="20"/>
                <w:color w:val="auto"/>
              </w:rPr>
            </w:pPr>
            <w:r>
              <w:rPr>
                <w:rFonts w:ascii="Arial" w:cs="Arial" w:eastAsia="Arial" w:hAnsi="Arial"/>
                <w:sz w:val="14"/>
                <w:szCs w:val="14"/>
                <w:b w:val="1"/>
                <w:bCs w:val="1"/>
                <w:color w:val="auto"/>
              </w:rPr>
              <w:t>Value</w:t>
            </w:r>
          </w:p>
        </w:tc>
        <w:tc>
          <w:tcPr>
            <w:tcW w:w="280" w:type="dxa"/>
            <w:vAlign w:val="bottom"/>
          </w:tcPr>
          <w:p>
            <w:pPr>
              <w:spacing w:after="0"/>
              <w:rPr>
                <w:sz w:val="17"/>
                <w:szCs w:val="17"/>
                <w:color w:val="auto"/>
              </w:rPr>
            </w:pPr>
          </w:p>
        </w:tc>
        <w:tc>
          <w:tcPr>
            <w:tcW w:w="1320" w:type="dxa"/>
            <w:vAlign w:val="bottom"/>
            <w:gridSpan w:val="2"/>
          </w:tcPr>
          <w:p>
            <w:pPr>
              <w:jc w:val="center"/>
              <w:ind w:right="380"/>
              <w:spacing w:after="0"/>
              <w:rPr>
                <w:sz w:val="20"/>
                <w:szCs w:val="20"/>
                <w:color w:val="auto"/>
              </w:rPr>
            </w:pPr>
            <w:r>
              <w:rPr>
                <w:rFonts w:ascii="Arial" w:cs="Arial" w:eastAsia="Arial" w:hAnsi="Arial"/>
                <w:sz w:val="14"/>
                <w:szCs w:val="14"/>
                <w:b w:val="1"/>
                <w:bCs w:val="1"/>
                <w:color w:val="auto"/>
              </w:rPr>
              <w:t>Value</w:t>
            </w:r>
          </w:p>
        </w:tc>
        <w:tc>
          <w:tcPr>
            <w:tcW w:w="340" w:type="dxa"/>
            <w:vAlign w:val="bottom"/>
          </w:tcPr>
          <w:p>
            <w:pPr>
              <w:spacing w:after="0"/>
              <w:rPr>
                <w:sz w:val="17"/>
                <w:szCs w:val="17"/>
                <w:color w:val="auto"/>
              </w:rPr>
            </w:pPr>
          </w:p>
        </w:tc>
        <w:tc>
          <w:tcPr>
            <w:tcW w:w="1140" w:type="dxa"/>
            <w:vAlign w:val="bottom"/>
          </w:tcPr>
          <w:p>
            <w:pPr>
              <w:jc w:val="center"/>
              <w:ind w:right="282"/>
              <w:spacing w:after="0"/>
              <w:rPr>
                <w:sz w:val="20"/>
                <w:szCs w:val="20"/>
                <w:color w:val="auto"/>
              </w:rPr>
            </w:pPr>
            <w:r>
              <w:rPr>
                <w:rFonts w:ascii="Arial" w:cs="Arial" w:eastAsia="Arial" w:hAnsi="Arial"/>
                <w:sz w:val="14"/>
                <w:szCs w:val="14"/>
                <w:b w:val="1"/>
                <w:bCs w:val="1"/>
                <w:color w:val="auto"/>
              </w:rPr>
              <w:t>Value</w:t>
            </w:r>
          </w:p>
        </w:tc>
      </w:tr>
      <w:tr>
        <w:trPr>
          <w:trHeight w:val="250"/>
        </w:trPr>
        <w:tc>
          <w:tcPr>
            <w:tcW w:w="5260" w:type="dxa"/>
            <w:vAlign w:val="bottom"/>
            <w:tcBorders>
              <w:top w:val="single" w:sz="8" w:color="CCEEFF"/>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Long-term debt, including current maturities</w:t>
            </w:r>
          </w:p>
        </w:tc>
        <w:tc>
          <w:tcPr>
            <w:tcW w:w="260" w:type="dxa"/>
            <w:vAlign w:val="bottom"/>
            <w:tcBorders>
              <w:top w:val="single" w:sz="8" w:color="auto"/>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120" w:type="dxa"/>
            <w:vAlign w:val="bottom"/>
            <w:tcBorders>
              <w:top w:val="single" w:sz="8" w:color="auto"/>
              <w:bottom w:val="single" w:sz="8" w:color="auto"/>
            </w:tcBorders>
            <w:shd w:val="clear" w:color="auto" w:fill="CCEEFF"/>
          </w:tcPr>
          <w:p>
            <w:pPr>
              <w:jc w:val="right"/>
              <w:ind w:right="24"/>
              <w:spacing w:after="0"/>
              <w:rPr>
                <w:sz w:val="20"/>
                <w:szCs w:val="20"/>
                <w:color w:val="auto"/>
              </w:rPr>
            </w:pPr>
            <w:r>
              <w:rPr>
                <w:rFonts w:ascii="Arial" w:cs="Arial" w:eastAsia="Arial" w:hAnsi="Arial"/>
                <w:sz w:val="18"/>
                <w:szCs w:val="18"/>
                <w:color w:val="auto"/>
              </w:rPr>
              <w:t>23,645</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340" w:type="dxa"/>
            <w:vAlign w:val="bottom"/>
            <w:tcBorders>
              <w:top w:val="single" w:sz="8" w:color="auto"/>
              <w:bottom w:val="single" w:sz="8" w:color="auto"/>
            </w:tcBorders>
            <w:shd w:val="clear" w:color="auto" w:fill="CCEEFF"/>
          </w:tcPr>
          <w:p>
            <w:pPr>
              <w:jc w:val="right"/>
              <w:ind w:right="110"/>
              <w:spacing w:after="0"/>
              <w:rPr>
                <w:sz w:val="20"/>
                <w:szCs w:val="20"/>
                <w:color w:val="auto"/>
              </w:rPr>
            </w:pPr>
            <w:r>
              <w:rPr>
                <w:rFonts w:ascii="Arial" w:cs="Arial" w:eastAsia="Arial" w:hAnsi="Arial"/>
                <w:sz w:val="18"/>
                <w:szCs w:val="18"/>
                <w:color w:val="auto"/>
              </w:rPr>
              <w:t>$</w:t>
            </w:r>
          </w:p>
        </w:tc>
        <w:tc>
          <w:tcPr>
            <w:tcW w:w="1160" w:type="dxa"/>
            <w:vAlign w:val="bottom"/>
            <w:tcBorders>
              <w:top w:val="single" w:sz="8" w:color="auto"/>
              <w:bottom w:val="single" w:sz="8" w:color="auto"/>
            </w:tcBorders>
            <w:shd w:val="clear" w:color="auto" w:fill="CCEEFF"/>
          </w:tcPr>
          <w:p>
            <w:pPr>
              <w:jc w:val="right"/>
              <w:ind w:right="42"/>
              <w:spacing w:after="0"/>
              <w:rPr>
                <w:sz w:val="20"/>
                <w:szCs w:val="20"/>
                <w:color w:val="auto"/>
              </w:rPr>
            </w:pPr>
            <w:r>
              <w:rPr>
                <w:rFonts w:ascii="Arial" w:cs="Arial" w:eastAsia="Arial" w:hAnsi="Arial"/>
                <w:sz w:val="18"/>
                <w:szCs w:val="18"/>
                <w:color w:val="auto"/>
              </w:rPr>
              <w:t>24,508</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280" w:type="dxa"/>
            <w:vAlign w:val="bottom"/>
            <w:tcBorders>
              <w:top w:val="single" w:sz="8" w:color="auto"/>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200" w:type="dxa"/>
            <w:vAlign w:val="bottom"/>
            <w:tcBorders>
              <w:top w:val="single" w:sz="8" w:color="auto"/>
              <w:bottom w:val="single" w:sz="8" w:color="auto"/>
            </w:tcBorders>
            <w:shd w:val="clear" w:color="auto" w:fill="CCEEFF"/>
          </w:tcPr>
          <w:p>
            <w:pPr>
              <w:jc w:val="right"/>
              <w:ind w:right="24"/>
              <w:spacing w:after="0"/>
              <w:rPr>
                <w:sz w:val="20"/>
                <w:szCs w:val="20"/>
                <w:color w:val="auto"/>
              </w:rPr>
            </w:pPr>
            <w:r>
              <w:rPr>
                <w:rFonts w:ascii="Arial" w:cs="Arial" w:eastAsia="Arial" w:hAnsi="Arial"/>
                <w:sz w:val="18"/>
                <w:szCs w:val="18"/>
                <w:color w:val="auto"/>
              </w:rPr>
              <w:t>23,779</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340" w:type="dxa"/>
            <w:vAlign w:val="bottom"/>
            <w:tcBorders>
              <w:top w:val="single" w:sz="8" w:color="auto"/>
              <w:bottom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140" w:type="dxa"/>
            <w:vAlign w:val="bottom"/>
            <w:tcBorders>
              <w:top w:val="single" w:sz="8" w:color="auto"/>
              <w:bottom w:val="single" w:sz="8" w:color="auto"/>
            </w:tcBorders>
            <w:shd w:val="clear" w:color="auto" w:fill="CCEEFF"/>
          </w:tcPr>
          <w:p>
            <w:pPr>
              <w:jc w:val="right"/>
              <w:ind w:right="22"/>
              <w:spacing w:after="0"/>
              <w:rPr>
                <w:sz w:val="20"/>
                <w:szCs w:val="20"/>
                <w:color w:val="auto"/>
              </w:rPr>
            </w:pPr>
            <w:r>
              <w:rPr>
                <w:rFonts w:ascii="Arial" w:cs="Arial" w:eastAsia="Arial" w:hAnsi="Arial"/>
                <w:sz w:val="18"/>
                <w:szCs w:val="18"/>
                <w:color w:val="auto"/>
              </w:rPr>
              <w:t>23,775</w:t>
            </w:r>
          </w:p>
        </w:tc>
      </w:tr>
      <w:tr>
        <w:trPr>
          <w:trHeight w:val="20"/>
        </w:trPr>
        <w:tc>
          <w:tcPr>
            <w:tcW w:w="526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3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10. Employee Benefit Plans</w:t>
      </w:r>
    </w:p>
    <w:p>
      <w:pPr>
        <w:spacing w:after="0" w:line="112" w:lineRule="exact"/>
        <w:rPr>
          <w:sz w:val="20"/>
          <w:szCs w:val="20"/>
          <w:color w:val="auto"/>
        </w:rPr>
      </w:pPr>
    </w:p>
    <w:p>
      <w:pPr>
        <w:jc w:val="both"/>
        <w:ind w:firstLine="216"/>
        <w:spacing w:after="0" w:line="251" w:lineRule="auto"/>
        <w:rPr>
          <w:sz w:val="20"/>
          <w:szCs w:val="20"/>
          <w:color w:val="auto"/>
        </w:rPr>
      </w:pPr>
      <w:r>
        <w:rPr>
          <w:rFonts w:ascii="Arial" w:cs="Arial" w:eastAsia="Arial" w:hAnsi="Arial"/>
          <w:sz w:val="18"/>
          <w:szCs w:val="18"/>
          <w:color w:val="auto"/>
        </w:rPr>
        <w:t>We sponsor defined benefit and defined contribution pension plans for eligible employees. The defined benefit pension plans provide benefits for participating employees based on years of service and average compensation for a specified period of time before retirement. Effective November 1, 2012, substantially all of our defined benefit pension plans were frozen and we began providing enhanced benefits under our defined contribution pension plans for certain employee groups. We use a December 31 measurement date for all of our defined benefit pension plans. We also provide certain retiree medical and other postretirement benefits, including health care and life insurance benefits, to retired employees. Effective November 1, 2012, we modified our retiree medical and other postretirement benefits plans to eliminate the company subsidy for employees who retire on or after November 1, 2012. As a result of modifications to our retiree medical and other postretirement benefits plans in 2012, we recognized a negative plan amendment of $1.9 billion, which is included as a component of prior service benefit in accumulated other comprehensive income (loss) (AOCI) and will be amortized over the future service life of the active plan participants for whom the benefit was eliminated, or approximately eight years. As of December 31, 2019, $150 million of prior service benefit remains, which will be fully amortized in 2020.</w:t>
      </w:r>
    </w:p>
    <w:p>
      <w:pPr>
        <w:spacing w:after="0" w:line="217" w:lineRule="exact"/>
        <w:rPr>
          <w:sz w:val="20"/>
          <w:szCs w:val="20"/>
          <w:color w:val="auto"/>
        </w:rPr>
      </w:pPr>
    </w:p>
    <w:p>
      <w:pPr>
        <w:ind w:left="220"/>
        <w:spacing w:after="0"/>
        <w:rPr>
          <w:sz w:val="20"/>
          <w:szCs w:val="20"/>
          <w:color w:val="auto"/>
        </w:rPr>
      </w:pPr>
      <w:r>
        <w:rPr>
          <w:rFonts w:ascii="Arial" w:cs="Arial" w:eastAsia="Arial" w:hAnsi="Arial"/>
          <w:sz w:val="18"/>
          <w:szCs w:val="18"/>
          <w:b w:val="1"/>
          <w:bCs w:val="1"/>
          <w:i w:val="1"/>
          <w:iCs w:val="1"/>
          <w:color w:val="auto"/>
        </w:rPr>
        <w:t>Benefit Obligations, Fair Value of Plan Assets and Funded Status</w:t>
      </w:r>
    </w:p>
    <w:p>
      <w:pPr>
        <w:spacing w:after="0" w:line="112" w:lineRule="exact"/>
        <w:rPr>
          <w:sz w:val="20"/>
          <w:szCs w:val="20"/>
          <w:color w:val="auto"/>
        </w:rPr>
      </w:pPr>
    </w:p>
    <w:p>
      <w:pPr>
        <w:jc w:val="both"/>
        <w:ind w:right="20" w:firstLine="216"/>
        <w:spacing w:after="0" w:line="262" w:lineRule="auto"/>
        <w:rPr>
          <w:sz w:val="20"/>
          <w:szCs w:val="20"/>
          <w:color w:val="auto"/>
        </w:rPr>
      </w:pPr>
      <w:r>
        <w:rPr>
          <w:rFonts w:ascii="Arial" w:cs="Arial" w:eastAsia="Arial" w:hAnsi="Arial"/>
          <w:sz w:val="18"/>
          <w:szCs w:val="18"/>
          <w:color w:val="auto"/>
        </w:rPr>
        <w:t>The following tables provide a reconciliation of the changes in the pension and retiree medical and other postretirement benefits obligations, fair value of plan assets and a statement of funded status as of December 31, 2019 and 2018:</w:t>
      </w:r>
    </w:p>
    <w:p>
      <w:pPr>
        <w:spacing w:after="0" w:line="292"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516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2640" w:type="dxa"/>
            <w:vAlign w:val="bottom"/>
            <w:gridSpan w:val="4"/>
          </w:tcPr>
          <w:p>
            <w:pPr>
              <w:jc w:val="right"/>
              <w:ind w:right="792"/>
              <w:spacing w:after="0"/>
              <w:rPr>
                <w:sz w:val="20"/>
                <w:szCs w:val="20"/>
                <w:color w:val="auto"/>
              </w:rPr>
            </w:pPr>
            <w:r>
              <w:rPr>
                <w:rFonts w:ascii="Arial" w:cs="Arial" w:eastAsia="Arial" w:hAnsi="Arial"/>
                <w:sz w:val="14"/>
                <w:szCs w:val="14"/>
                <w:b w:val="1"/>
                <w:bCs w:val="1"/>
                <w:color w:val="auto"/>
              </w:rPr>
              <w:t>Retiree Medical and</w:t>
            </w:r>
          </w:p>
        </w:tc>
      </w:tr>
      <w:tr>
        <w:trPr>
          <w:trHeight w:val="196"/>
        </w:trPr>
        <w:tc>
          <w:tcPr>
            <w:tcW w:w="5160" w:type="dxa"/>
            <w:vAlign w:val="bottom"/>
          </w:tcPr>
          <w:p>
            <w:pPr>
              <w:spacing w:after="0"/>
              <w:rPr>
                <w:sz w:val="17"/>
                <w:szCs w:val="17"/>
                <w:color w:val="auto"/>
              </w:rPr>
            </w:pPr>
          </w:p>
        </w:tc>
        <w:tc>
          <w:tcPr>
            <w:tcW w:w="340" w:type="dxa"/>
            <w:vAlign w:val="bottom"/>
            <w:tcBorders>
              <w:bottom w:val="single" w:sz="8" w:color="auto"/>
            </w:tcBorders>
          </w:tcPr>
          <w:p>
            <w:pPr>
              <w:spacing w:after="0"/>
              <w:rPr>
                <w:sz w:val="17"/>
                <w:szCs w:val="17"/>
                <w:color w:val="auto"/>
              </w:rPr>
            </w:pPr>
          </w:p>
        </w:tc>
        <w:tc>
          <w:tcPr>
            <w:tcW w:w="1820" w:type="dxa"/>
            <w:vAlign w:val="bottom"/>
            <w:tcBorders>
              <w:bottom w:val="single" w:sz="8" w:color="auto"/>
            </w:tcBorders>
            <w:gridSpan w:val="3"/>
          </w:tcPr>
          <w:p>
            <w:pPr>
              <w:jc w:val="right"/>
              <w:spacing w:after="0"/>
              <w:rPr>
                <w:sz w:val="20"/>
                <w:szCs w:val="20"/>
                <w:color w:val="auto"/>
              </w:rPr>
            </w:pPr>
            <w:r>
              <w:rPr>
                <w:rFonts w:ascii="Arial" w:cs="Arial" w:eastAsia="Arial" w:hAnsi="Arial"/>
                <w:sz w:val="14"/>
                <w:szCs w:val="14"/>
                <w:b w:val="1"/>
                <w:bCs w:val="1"/>
                <w:color w:val="auto"/>
              </w:rPr>
              <w:t>Pension Benefits</w:t>
            </w:r>
          </w:p>
        </w:tc>
        <w:tc>
          <w:tcPr>
            <w:tcW w:w="920" w:type="dxa"/>
            <w:vAlign w:val="bottom"/>
            <w:tcBorders>
              <w:bottom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440" w:type="dxa"/>
            <w:vAlign w:val="bottom"/>
            <w:tcBorders>
              <w:bottom w:val="single" w:sz="8" w:color="auto"/>
            </w:tcBorders>
          </w:tcPr>
          <w:p>
            <w:pPr>
              <w:spacing w:after="0"/>
              <w:rPr>
                <w:sz w:val="17"/>
                <w:szCs w:val="17"/>
                <w:color w:val="auto"/>
              </w:rPr>
            </w:pPr>
          </w:p>
        </w:tc>
        <w:tc>
          <w:tcPr>
            <w:tcW w:w="2640" w:type="dxa"/>
            <w:vAlign w:val="bottom"/>
            <w:tcBorders>
              <w:bottom w:val="single" w:sz="8" w:color="auto"/>
            </w:tcBorders>
            <w:gridSpan w:val="4"/>
          </w:tcPr>
          <w:p>
            <w:pPr>
              <w:jc w:val="right"/>
              <w:ind w:right="412"/>
              <w:spacing w:after="0"/>
              <w:rPr>
                <w:sz w:val="20"/>
                <w:szCs w:val="20"/>
                <w:color w:val="auto"/>
              </w:rPr>
            </w:pPr>
            <w:r>
              <w:rPr>
                <w:rFonts w:ascii="Arial" w:cs="Arial" w:eastAsia="Arial" w:hAnsi="Arial"/>
                <w:sz w:val="14"/>
                <w:szCs w:val="14"/>
                <w:b w:val="1"/>
                <w:bCs w:val="1"/>
                <w:color w:val="auto"/>
              </w:rPr>
              <w:t>Other Postretirement Benefits</w:t>
            </w:r>
          </w:p>
        </w:tc>
      </w:tr>
      <w:tr>
        <w:trPr>
          <w:trHeight w:val="264"/>
        </w:trPr>
        <w:tc>
          <w:tcPr>
            <w:tcW w:w="5160" w:type="dxa"/>
            <w:vAlign w:val="bottom"/>
          </w:tcPr>
          <w:p>
            <w:pPr>
              <w:spacing w:after="0"/>
              <w:rPr>
                <w:sz w:val="22"/>
                <w:szCs w:val="22"/>
                <w:color w:val="auto"/>
              </w:rPr>
            </w:pPr>
          </w:p>
        </w:tc>
        <w:tc>
          <w:tcPr>
            <w:tcW w:w="340" w:type="dxa"/>
            <w:vAlign w:val="bottom"/>
            <w:tcBorders>
              <w:bottom w:val="single" w:sz="8" w:color="auto"/>
            </w:tcBorders>
          </w:tcPr>
          <w:p>
            <w:pPr>
              <w:spacing w:after="0"/>
              <w:rPr>
                <w:sz w:val="22"/>
                <w:szCs w:val="22"/>
                <w:color w:val="auto"/>
              </w:rPr>
            </w:pPr>
          </w:p>
        </w:tc>
        <w:tc>
          <w:tcPr>
            <w:tcW w:w="1140" w:type="dxa"/>
            <w:vAlign w:val="bottom"/>
            <w:tcBorders>
              <w:bottom w:val="single" w:sz="8" w:color="auto"/>
            </w:tcBorders>
          </w:tcPr>
          <w:p>
            <w:pPr>
              <w:jc w:val="right"/>
              <w:ind w:right="494"/>
              <w:spacing w:after="0"/>
              <w:rPr>
                <w:sz w:val="20"/>
                <w:szCs w:val="20"/>
                <w:color w:val="auto"/>
              </w:rPr>
            </w:pPr>
            <w:r>
              <w:rPr>
                <w:rFonts w:ascii="Arial" w:cs="Arial" w:eastAsia="Arial" w:hAnsi="Arial"/>
                <w:sz w:val="14"/>
                <w:szCs w:val="14"/>
                <w:b w:val="1"/>
                <w:bCs w:val="1"/>
                <w:color w:val="auto"/>
              </w:rPr>
              <w:t>2019</w:t>
            </w:r>
          </w:p>
        </w:tc>
        <w:tc>
          <w:tcPr>
            <w:tcW w:w="100" w:type="dxa"/>
            <w:vAlign w:val="bottom"/>
          </w:tcPr>
          <w:p>
            <w:pPr>
              <w:spacing w:after="0"/>
              <w:rPr>
                <w:sz w:val="22"/>
                <w:szCs w:val="22"/>
                <w:color w:val="auto"/>
              </w:rPr>
            </w:pPr>
          </w:p>
        </w:tc>
        <w:tc>
          <w:tcPr>
            <w:tcW w:w="580" w:type="dxa"/>
            <w:vAlign w:val="bottom"/>
            <w:tcBorders>
              <w:bottom w:val="single" w:sz="8" w:color="auto"/>
            </w:tcBorders>
          </w:tcPr>
          <w:p>
            <w:pPr>
              <w:spacing w:after="0"/>
              <w:rPr>
                <w:sz w:val="22"/>
                <w:szCs w:val="22"/>
                <w:color w:val="auto"/>
              </w:rPr>
            </w:pPr>
          </w:p>
        </w:tc>
        <w:tc>
          <w:tcPr>
            <w:tcW w:w="920" w:type="dxa"/>
            <w:vAlign w:val="bottom"/>
            <w:tcBorders>
              <w:bottom w:val="single" w:sz="8" w:color="auto"/>
            </w:tcBorders>
          </w:tcPr>
          <w:p>
            <w:pPr>
              <w:jc w:val="right"/>
              <w:ind w:right="494"/>
              <w:spacing w:after="0"/>
              <w:rPr>
                <w:sz w:val="20"/>
                <w:szCs w:val="20"/>
                <w:color w:val="auto"/>
              </w:rPr>
            </w:pPr>
            <w:r>
              <w:rPr>
                <w:rFonts w:ascii="Arial" w:cs="Arial" w:eastAsia="Arial" w:hAnsi="Arial"/>
                <w:sz w:val="14"/>
                <w:szCs w:val="14"/>
                <w:b w:val="1"/>
                <w:bCs w:val="1"/>
                <w:color w:val="auto"/>
              </w:rPr>
              <w:t>2018</w:t>
            </w:r>
          </w:p>
        </w:tc>
        <w:tc>
          <w:tcPr>
            <w:tcW w:w="100" w:type="dxa"/>
            <w:vAlign w:val="bottom"/>
          </w:tcPr>
          <w:p>
            <w:pPr>
              <w:spacing w:after="0"/>
              <w:rPr>
                <w:sz w:val="22"/>
                <w:szCs w:val="22"/>
                <w:color w:val="auto"/>
              </w:rPr>
            </w:pPr>
          </w:p>
        </w:tc>
        <w:tc>
          <w:tcPr>
            <w:tcW w:w="440" w:type="dxa"/>
            <w:vAlign w:val="bottom"/>
            <w:tcBorders>
              <w:bottom w:val="single" w:sz="8" w:color="auto"/>
            </w:tcBorders>
          </w:tcPr>
          <w:p>
            <w:pPr>
              <w:spacing w:after="0"/>
              <w:rPr>
                <w:sz w:val="22"/>
                <w:szCs w:val="22"/>
                <w:color w:val="auto"/>
              </w:rPr>
            </w:pPr>
          </w:p>
        </w:tc>
        <w:tc>
          <w:tcPr>
            <w:tcW w:w="1040" w:type="dxa"/>
            <w:vAlign w:val="bottom"/>
            <w:tcBorders>
              <w:bottom w:val="single" w:sz="8" w:color="auto"/>
            </w:tcBorders>
          </w:tcPr>
          <w:p>
            <w:pPr>
              <w:jc w:val="right"/>
              <w:ind w:right="495"/>
              <w:spacing w:after="0"/>
              <w:rPr>
                <w:sz w:val="20"/>
                <w:szCs w:val="20"/>
                <w:color w:val="auto"/>
              </w:rPr>
            </w:pPr>
            <w:r>
              <w:rPr>
                <w:rFonts w:ascii="Arial" w:cs="Arial" w:eastAsia="Arial" w:hAnsi="Arial"/>
                <w:sz w:val="14"/>
                <w:szCs w:val="14"/>
                <w:b w:val="1"/>
                <w:bCs w:val="1"/>
                <w:color w:val="auto"/>
              </w:rPr>
              <w:t>2019</w:t>
            </w:r>
          </w:p>
        </w:tc>
        <w:tc>
          <w:tcPr>
            <w:tcW w:w="120" w:type="dxa"/>
            <w:vAlign w:val="bottom"/>
          </w:tcPr>
          <w:p>
            <w:pPr>
              <w:spacing w:after="0"/>
              <w:rPr>
                <w:sz w:val="22"/>
                <w:szCs w:val="22"/>
                <w:color w:val="auto"/>
              </w:rPr>
            </w:pPr>
          </w:p>
        </w:tc>
        <w:tc>
          <w:tcPr>
            <w:tcW w:w="340" w:type="dxa"/>
            <w:vAlign w:val="bottom"/>
            <w:tcBorders>
              <w:bottom w:val="single" w:sz="8" w:color="auto"/>
            </w:tcBorders>
          </w:tcPr>
          <w:p>
            <w:pPr>
              <w:spacing w:after="0"/>
              <w:rPr>
                <w:sz w:val="22"/>
                <w:szCs w:val="22"/>
                <w:color w:val="auto"/>
              </w:rPr>
            </w:pPr>
          </w:p>
        </w:tc>
        <w:tc>
          <w:tcPr>
            <w:tcW w:w="1140" w:type="dxa"/>
            <w:vAlign w:val="bottom"/>
            <w:tcBorders>
              <w:bottom w:val="single" w:sz="8" w:color="auto"/>
            </w:tcBorders>
          </w:tcPr>
          <w:p>
            <w:pPr>
              <w:jc w:val="right"/>
              <w:ind w:right="492"/>
              <w:spacing w:after="0"/>
              <w:rPr>
                <w:sz w:val="20"/>
                <w:szCs w:val="20"/>
                <w:color w:val="auto"/>
              </w:rPr>
            </w:pPr>
            <w:r>
              <w:rPr>
                <w:rFonts w:ascii="Arial" w:cs="Arial" w:eastAsia="Arial" w:hAnsi="Arial"/>
                <w:sz w:val="14"/>
                <w:szCs w:val="14"/>
                <w:b w:val="1"/>
                <w:bCs w:val="1"/>
                <w:color w:val="auto"/>
              </w:rPr>
              <w:t>2018</w:t>
            </w:r>
          </w:p>
        </w:tc>
      </w:tr>
      <w:tr>
        <w:trPr>
          <w:trHeight w:val="331"/>
        </w:trPr>
        <w:tc>
          <w:tcPr>
            <w:tcW w:w="51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460" w:type="dxa"/>
            <w:vAlign w:val="bottom"/>
            <w:gridSpan w:val="3"/>
          </w:tcPr>
          <w:p>
            <w:pPr>
              <w:jc w:val="right"/>
              <w:spacing w:after="0"/>
              <w:rPr>
                <w:sz w:val="20"/>
                <w:szCs w:val="20"/>
                <w:color w:val="auto"/>
              </w:rPr>
            </w:pPr>
            <w:r>
              <w:rPr>
                <w:rFonts w:ascii="Arial" w:cs="Arial" w:eastAsia="Arial" w:hAnsi="Arial"/>
                <w:sz w:val="14"/>
                <w:szCs w:val="14"/>
                <w:b w:val="1"/>
                <w:bCs w:val="1"/>
                <w:color w:val="auto"/>
              </w:rPr>
              <w:t>(In millions)</w:t>
            </w:r>
          </w:p>
        </w:tc>
        <w:tc>
          <w:tcPr>
            <w:tcW w:w="10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140" w:type="dxa"/>
            <w:vAlign w:val="bottom"/>
          </w:tcPr>
          <w:p>
            <w:pPr>
              <w:spacing w:after="0"/>
              <w:rPr>
                <w:sz w:val="24"/>
                <w:szCs w:val="24"/>
                <w:color w:val="auto"/>
              </w:rPr>
            </w:pPr>
          </w:p>
        </w:tc>
      </w:tr>
      <w:tr>
        <w:trPr>
          <w:trHeight w:val="276"/>
        </w:trPr>
        <w:tc>
          <w:tcPr>
            <w:tcW w:w="5160" w:type="dxa"/>
            <w:vAlign w:val="bottom"/>
            <w:shd w:val="clear" w:color="auto" w:fill="CCEEFF"/>
          </w:tcPr>
          <w:p>
            <w:pPr>
              <w:ind w:left="40"/>
              <w:spacing w:after="0"/>
              <w:rPr>
                <w:sz w:val="20"/>
                <w:szCs w:val="20"/>
                <w:color w:val="auto"/>
              </w:rPr>
            </w:pPr>
            <w:r>
              <w:rPr>
                <w:rFonts w:ascii="Arial" w:cs="Arial" w:eastAsia="Arial" w:hAnsi="Arial"/>
                <w:sz w:val="18"/>
                <w:szCs w:val="18"/>
                <w:color w:val="auto"/>
              </w:rPr>
              <w:t>Benefit obligation at beginning of period</w:t>
            </w:r>
          </w:p>
        </w:tc>
        <w:tc>
          <w:tcPr>
            <w:tcW w:w="34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140" w:type="dxa"/>
            <w:vAlign w:val="bottom"/>
            <w:shd w:val="clear" w:color="auto" w:fill="CCEEFF"/>
          </w:tcPr>
          <w:p>
            <w:pPr>
              <w:jc w:val="right"/>
              <w:ind w:right="14"/>
              <w:spacing w:after="0"/>
              <w:rPr>
                <w:sz w:val="20"/>
                <w:szCs w:val="20"/>
                <w:color w:val="auto"/>
              </w:rPr>
            </w:pPr>
            <w:r>
              <w:rPr>
                <w:rFonts w:ascii="Arial" w:cs="Arial" w:eastAsia="Arial" w:hAnsi="Arial"/>
                <w:sz w:val="18"/>
                <w:szCs w:val="18"/>
                <w:color w:val="auto"/>
              </w:rPr>
              <w:t>16,378</w:t>
            </w:r>
          </w:p>
        </w:tc>
        <w:tc>
          <w:tcPr>
            <w:tcW w:w="100" w:type="dxa"/>
            <w:vAlign w:val="bottom"/>
            <w:shd w:val="clear" w:color="auto" w:fill="CCEEFF"/>
          </w:tcPr>
          <w:p>
            <w:pPr>
              <w:spacing w:after="0"/>
              <w:rPr>
                <w:sz w:val="24"/>
                <w:szCs w:val="24"/>
                <w:color w:val="auto"/>
              </w:rPr>
            </w:pPr>
          </w:p>
        </w:tc>
        <w:tc>
          <w:tcPr>
            <w:tcW w:w="580" w:type="dxa"/>
            <w:vAlign w:val="bottom"/>
            <w:shd w:val="clear" w:color="auto" w:fill="CCEEFF"/>
          </w:tcPr>
          <w:p>
            <w:pPr>
              <w:jc w:val="right"/>
              <w:ind w:right="350"/>
              <w:spacing w:after="0"/>
              <w:rPr>
                <w:sz w:val="20"/>
                <w:szCs w:val="20"/>
                <w:color w:val="auto"/>
              </w:rPr>
            </w:pPr>
            <w:r>
              <w:rPr>
                <w:rFonts w:ascii="Arial" w:cs="Arial" w:eastAsia="Arial" w:hAnsi="Arial"/>
                <w:sz w:val="18"/>
                <w:szCs w:val="18"/>
                <w:color w:val="auto"/>
              </w:rPr>
              <w:t>$</w:t>
            </w:r>
          </w:p>
        </w:tc>
        <w:tc>
          <w:tcPr>
            <w:tcW w:w="920" w:type="dxa"/>
            <w:vAlign w:val="bottom"/>
            <w:shd w:val="clear" w:color="auto" w:fill="CCEEFF"/>
          </w:tcPr>
          <w:p>
            <w:pPr>
              <w:jc w:val="right"/>
              <w:ind w:right="34"/>
              <w:spacing w:after="0"/>
              <w:rPr>
                <w:sz w:val="20"/>
                <w:szCs w:val="20"/>
                <w:color w:val="auto"/>
              </w:rPr>
            </w:pPr>
            <w:r>
              <w:rPr>
                <w:rFonts w:ascii="Arial" w:cs="Arial" w:eastAsia="Arial" w:hAnsi="Arial"/>
                <w:sz w:val="18"/>
                <w:szCs w:val="18"/>
                <w:color w:val="auto"/>
              </w:rPr>
              <w:t>18,275</w:t>
            </w:r>
          </w:p>
        </w:tc>
        <w:tc>
          <w:tcPr>
            <w:tcW w:w="100" w:type="dxa"/>
            <w:vAlign w:val="bottom"/>
            <w:shd w:val="clear" w:color="auto" w:fill="CCEEFF"/>
          </w:tcPr>
          <w:p>
            <w:pPr>
              <w:spacing w:after="0"/>
              <w:rPr>
                <w:sz w:val="24"/>
                <w:szCs w:val="24"/>
                <w:color w:val="auto"/>
              </w:rPr>
            </w:pPr>
          </w:p>
        </w:tc>
        <w:tc>
          <w:tcPr>
            <w:tcW w:w="440" w:type="dxa"/>
            <w:vAlign w:val="bottom"/>
            <w:shd w:val="clear" w:color="auto" w:fill="CCEEFF"/>
          </w:tcPr>
          <w:p>
            <w:pPr>
              <w:jc w:val="right"/>
              <w:ind w:right="230"/>
              <w:spacing w:after="0"/>
              <w:rPr>
                <w:sz w:val="20"/>
                <w:szCs w:val="20"/>
                <w:color w:val="auto"/>
              </w:rPr>
            </w:pPr>
            <w:r>
              <w:rPr>
                <w:rFonts w:ascii="Arial" w:cs="Arial" w:eastAsia="Arial" w:hAnsi="Arial"/>
                <w:sz w:val="18"/>
                <w:szCs w:val="18"/>
                <w:color w:val="auto"/>
                <w:w w:val="99"/>
              </w:rPr>
              <w:t>$</w:t>
            </w:r>
          </w:p>
        </w:tc>
        <w:tc>
          <w:tcPr>
            <w:tcW w:w="1040" w:type="dxa"/>
            <w:vAlign w:val="bottom"/>
            <w:shd w:val="clear" w:color="auto" w:fill="CCEEFF"/>
          </w:tcPr>
          <w:p>
            <w:pPr>
              <w:jc w:val="right"/>
              <w:ind w:right="15"/>
              <w:spacing w:after="0"/>
              <w:rPr>
                <w:sz w:val="20"/>
                <w:szCs w:val="20"/>
                <w:color w:val="auto"/>
              </w:rPr>
            </w:pPr>
            <w:r>
              <w:rPr>
                <w:rFonts w:ascii="Arial" w:cs="Arial" w:eastAsia="Arial" w:hAnsi="Arial"/>
                <w:sz w:val="18"/>
                <w:szCs w:val="18"/>
                <w:color w:val="auto"/>
              </w:rPr>
              <w:t>837</w:t>
            </w:r>
          </w:p>
        </w:tc>
        <w:tc>
          <w:tcPr>
            <w:tcW w:w="120" w:type="dxa"/>
            <w:vAlign w:val="bottom"/>
            <w:shd w:val="clear" w:color="auto" w:fill="CCEEFF"/>
          </w:tcPr>
          <w:p>
            <w:pPr>
              <w:spacing w:after="0"/>
              <w:rPr>
                <w:sz w:val="24"/>
                <w:szCs w:val="24"/>
                <w:color w:val="auto"/>
              </w:rPr>
            </w:pPr>
          </w:p>
        </w:tc>
        <w:tc>
          <w:tcPr>
            <w:tcW w:w="34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14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1,011</w:t>
            </w:r>
          </w:p>
        </w:tc>
      </w:tr>
      <w:tr>
        <w:trPr>
          <w:trHeight w:val="263"/>
        </w:trPr>
        <w:tc>
          <w:tcPr>
            <w:tcW w:w="5160" w:type="dxa"/>
            <w:vAlign w:val="bottom"/>
          </w:tcPr>
          <w:p>
            <w:pPr>
              <w:ind w:left="280"/>
              <w:spacing w:after="0"/>
              <w:rPr>
                <w:sz w:val="20"/>
                <w:szCs w:val="20"/>
                <w:color w:val="auto"/>
              </w:rPr>
            </w:pPr>
            <w:r>
              <w:rPr>
                <w:rFonts w:ascii="Arial" w:cs="Arial" w:eastAsia="Arial" w:hAnsi="Arial"/>
                <w:sz w:val="18"/>
                <w:szCs w:val="18"/>
                <w:color w:val="auto"/>
              </w:rPr>
              <w:t>Service cost</w:t>
            </w:r>
          </w:p>
        </w:tc>
        <w:tc>
          <w:tcPr>
            <w:tcW w:w="340" w:type="dxa"/>
            <w:vAlign w:val="bottom"/>
          </w:tcPr>
          <w:p>
            <w:pPr>
              <w:spacing w:after="0"/>
              <w:rPr>
                <w:sz w:val="22"/>
                <w:szCs w:val="22"/>
                <w:color w:val="auto"/>
              </w:rPr>
            </w:pPr>
          </w:p>
        </w:tc>
        <w:tc>
          <w:tcPr>
            <w:tcW w:w="1140" w:type="dxa"/>
            <w:vAlign w:val="bottom"/>
          </w:tcPr>
          <w:p>
            <w:pPr>
              <w:jc w:val="right"/>
              <w:ind w:right="14"/>
              <w:spacing w:after="0"/>
              <w:rPr>
                <w:sz w:val="20"/>
                <w:szCs w:val="20"/>
                <w:color w:val="auto"/>
              </w:rPr>
            </w:pPr>
            <w:r>
              <w:rPr>
                <w:rFonts w:ascii="Arial" w:cs="Arial" w:eastAsia="Arial" w:hAnsi="Arial"/>
                <w:sz w:val="18"/>
                <w:szCs w:val="18"/>
                <w:color w:val="auto"/>
              </w:rPr>
              <w:t>2</w:t>
            </w:r>
          </w:p>
        </w:tc>
        <w:tc>
          <w:tcPr>
            <w:tcW w:w="100" w:type="dxa"/>
            <w:vAlign w:val="bottom"/>
          </w:tcPr>
          <w:p>
            <w:pPr>
              <w:spacing w:after="0"/>
              <w:rPr>
                <w:sz w:val="22"/>
                <w:szCs w:val="22"/>
                <w:color w:val="auto"/>
              </w:rPr>
            </w:pPr>
          </w:p>
        </w:tc>
        <w:tc>
          <w:tcPr>
            <w:tcW w:w="580" w:type="dxa"/>
            <w:vAlign w:val="bottom"/>
          </w:tcPr>
          <w:p>
            <w:pPr>
              <w:spacing w:after="0"/>
              <w:rPr>
                <w:sz w:val="22"/>
                <w:szCs w:val="22"/>
                <w:color w:val="auto"/>
              </w:rPr>
            </w:pPr>
          </w:p>
        </w:tc>
        <w:tc>
          <w:tcPr>
            <w:tcW w:w="920" w:type="dxa"/>
            <w:vAlign w:val="bottom"/>
          </w:tcPr>
          <w:p>
            <w:pPr>
              <w:jc w:val="right"/>
              <w:ind w:right="34"/>
              <w:spacing w:after="0"/>
              <w:rPr>
                <w:sz w:val="20"/>
                <w:szCs w:val="20"/>
                <w:color w:val="auto"/>
              </w:rPr>
            </w:pPr>
            <w:r>
              <w:rPr>
                <w:rFonts w:ascii="Arial" w:cs="Arial" w:eastAsia="Arial" w:hAnsi="Arial"/>
                <w:sz w:val="18"/>
                <w:szCs w:val="18"/>
                <w:color w:val="auto"/>
              </w:rPr>
              <w:t>3</w:t>
            </w:r>
          </w:p>
        </w:tc>
        <w:tc>
          <w:tcPr>
            <w:tcW w:w="100" w:type="dxa"/>
            <w:vAlign w:val="bottom"/>
          </w:tcPr>
          <w:p>
            <w:pPr>
              <w:spacing w:after="0"/>
              <w:rPr>
                <w:sz w:val="22"/>
                <w:szCs w:val="22"/>
                <w:color w:val="auto"/>
              </w:rPr>
            </w:pPr>
          </w:p>
        </w:tc>
        <w:tc>
          <w:tcPr>
            <w:tcW w:w="440" w:type="dxa"/>
            <w:vAlign w:val="bottom"/>
          </w:tcPr>
          <w:p>
            <w:pPr>
              <w:spacing w:after="0"/>
              <w:rPr>
                <w:sz w:val="22"/>
                <w:szCs w:val="22"/>
                <w:color w:val="auto"/>
              </w:rPr>
            </w:pPr>
          </w:p>
        </w:tc>
        <w:tc>
          <w:tcPr>
            <w:tcW w:w="1040" w:type="dxa"/>
            <w:vAlign w:val="bottom"/>
          </w:tcPr>
          <w:p>
            <w:pPr>
              <w:jc w:val="right"/>
              <w:ind w:right="15"/>
              <w:spacing w:after="0"/>
              <w:rPr>
                <w:sz w:val="20"/>
                <w:szCs w:val="20"/>
                <w:color w:val="auto"/>
              </w:rPr>
            </w:pPr>
            <w:r>
              <w:rPr>
                <w:rFonts w:ascii="Arial" w:cs="Arial" w:eastAsia="Arial" w:hAnsi="Arial"/>
                <w:sz w:val="18"/>
                <w:szCs w:val="18"/>
                <w:color w:val="auto"/>
              </w:rPr>
              <w:t>3</w:t>
            </w:r>
          </w:p>
        </w:tc>
        <w:tc>
          <w:tcPr>
            <w:tcW w:w="12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1140" w:type="dxa"/>
            <w:vAlign w:val="bottom"/>
          </w:tcPr>
          <w:p>
            <w:pPr>
              <w:jc w:val="right"/>
              <w:ind w:right="12"/>
              <w:spacing w:after="0"/>
              <w:rPr>
                <w:sz w:val="20"/>
                <w:szCs w:val="20"/>
                <w:color w:val="auto"/>
              </w:rPr>
            </w:pPr>
            <w:r>
              <w:rPr>
                <w:rFonts w:ascii="Arial" w:cs="Arial" w:eastAsia="Arial" w:hAnsi="Arial"/>
                <w:sz w:val="18"/>
                <w:szCs w:val="18"/>
                <w:color w:val="auto"/>
              </w:rPr>
              <w:t>5</w:t>
            </w:r>
          </w:p>
        </w:tc>
      </w:tr>
      <w:tr>
        <w:trPr>
          <w:trHeight w:val="277"/>
        </w:trPr>
        <w:tc>
          <w:tcPr>
            <w:tcW w:w="5160" w:type="dxa"/>
            <w:vAlign w:val="bottom"/>
            <w:shd w:val="clear" w:color="auto" w:fill="CCEEFF"/>
          </w:tcPr>
          <w:p>
            <w:pPr>
              <w:ind w:left="280"/>
              <w:spacing w:after="0"/>
              <w:rPr>
                <w:sz w:val="20"/>
                <w:szCs w:val="20"/>
                <w:color w:val="auto"/>
              </w:rPr>
            </w:pPr>
            <w:r>
              <w:rPr>
                <w:rFonts w:ascii="Arial" w:cs="Arial" w:eastAsia="Arial" w:hAnsi="Arial"/>
                <w:sz w:val="18"/>
                <w:szCs w:val="18"/>
                <w:color w:val="auto"/>
              </w:rPr>
              <w:t>Interest cost</w:t>
            </w:r>
          </w:p>
        </w:tc>
        <w:tc>
          <w:tcPr>
            <w:tcW w:w="340" w:type="dxa"/>
            <w:vAlign w:val="bottom"/>
            <w:shd w:val="clear" w:color="auto" w:fill="CCEEFF"/>
          </w:tcPr>
          <w:p>
            <w:pPr>
              <w:spacing w:after="0"/>
              <w:rPr>
                <w:sz w:val="24"/>
                <w:szCs w:val="24"/>
                <w:color w:val="auto"/>
              </w:rPr>
            </w:pPr>
          </w:p>
        </w:tc>
        <w:tc>
          <w:tcPr>
            <w:tcW w:w="1140" w:type="dxa"/>
            <w:vAlign w:val="bottom"/>
            <w:shd w:val="clear" w:color="auto" w:fill="CCEEFF"/>
          </w:tcPr>
          <w:p>
            <w:pPr>
              <w:jc w:val="right"/>
              <w:ind w:right="14"/>
              <w:spacing w:after="0"/>
              <w:rPr>
                <w:sz w:val="20"/>
                <w:szCs w:val="20"/>
                <w:color w:val="auto"/>
              </w:rPr>
            </w:pPr>
            <w:r>
              <w:rPr>
                <w:rFonts w:ascii="Arial" w:cs="Arial" w:eastAsia="Arial" w:hAnsi="Arial"/>
                <w:sz w:val="18"/>
                <w:szCs w:val="18"/>
                <w:color w:val="auto"/>
              </w:rPr>
              <w:t>703</w:t>
            </w:r>
          </w:p>
        </w:tc>
        <w:tc>
          <w:tcPr>
            <w:tcW w:w="100" w:type="dxa"/>
            <w:vAlign w:val="bottom"/>
            <w:shd w:val="clear" w:color="auto" w:fill="CCEEFF"/>
          </w:tcPr>
          <w:p>
            <w:pPr>
              <w:spacing w:after="0"/>
              <w:rPr>
                <w:sz w:val="24"/>
                <w:szCs w:val="24"/>
                <w:color w:val="auto"/>
              </w:rPr>
            </w:pPr>
          </w:p>
        </w:tc>
        <w:tc>
          <w:tcPr>
            <w:tcW w:w="580" w:type="dxa"/>
            <w:vAlign w:val="bottom"/>
            <w:shd w:val="clear" w:color="auto" w:fill="CCEEFF"/>
          </w:tcPr>
          <w:p>
            <w:pPr>
              <w:spacing w:after="0"/>
              <w:rPr>
                <w:sz w:val="24"/>
                <w:szCs w:val="24"/>
                <w:color w:val="auto"/>
              </w:rPr>
            </w:pPr>
          </w:p>
        </w:tc>
        <w:tc>
          <w:tcPr>
            <w:tcW w:w="920" w:type="dxa"/>
            <w:vAlign w:val="bottom"/>
            <w:shd w:val="clear" w:color="auto" w:fill="CCEEFF"/>
          </w:tcPr>
          <w:p>
            <w:pPr>
              <w:jc w:val="right"/>
              <w:ind w:right="34"/>
              <w:spacing w:after="0"/>
              <w:rPr>
                <w:sz w:val="20"/>
                <w:szCs w:val="20"/>
                <w:color w:val="auto"/>
              </w:rPr>
            </w:pPr>
            <w:r>
              <w:rPr>
                <w:rFonts w:ascii="Arial" w:cs="Arial" w:eastAsia="Arial" w:hAnsi="Arial"/>
                <w:sz w:val="18"/>
                <w:szCs w:val="18"/>
                <w:color w:val="auto"/>
              </w:rPr>
              <w:t>674</w:t>
            </w:r>
          </w:p>
        </w:tc>
        <w:tc>
          <w:tcPr>
            <w:tcW w:w="100" w:type="dxa"/>
            <w:vAlign w:val="bottom"/>
            <w:shd w:val="clear" w:color="auto" w:fill="CCEEFF"/>
          </w:tcPr>
          <w:p>
            <w:pPr>
              <w:spacing w:after="0"/>
              <w:rPr>
                <w:sz w:val="24"/>
                <w:szCs w:val="24"/>
                <w:color w:val="auto"/>
              </w:rPr>
            </w:pPr>
          </w:p>
        </w:tc>
        <w:tc>
          <w:tcPr>
            <w:tcW w:w="440" w:type="dxa"/>
            <w:vAlign w:val="bottom"/>
            <w:shd w:val="clear" w:color="auto" w:fill="CCEEFF"/>
          </w:tcPr>
          <w:p>
            <w:pPr>
              <w:spacing w:after="0"/>
              <w:rPr>
                <w:sz w:val="24"/>
                <w:szCs w:val="24"/>
                <w:color w:val="auto"/>
              </w:rPr>
            </w:pPr>
          </w:p>
        </w:tc>
        <w:tc>
          <w:tcPr>
            <w:tcW w:w="1040" w:type="dxa"/>
            <w:vAlign w:val="bottom"/>
            <w:shd w:val="clear" w:color="auto" w:fill="CCEEFF"/>
          </w:tcPr>
          <w:p>
            <w:pPr>
              <w:jc w:val="right"/>
              <w:ind w:right="15"/>
              <w:spacing w:after="0"/>
              <w:rPr>
                <w:sz w:val="20"/>
                <w:szCs w:val="20"/>
                <w:color w:val="auto"/>
              </w:rPr>
            </w:pPr>
            <w:r>
              <w:rPr>
                <w:rFonts w:ascii="Arial" w:cs="Arial" w:eastAsia="Arial" w:hAnsi="Arial"/>
                <w:sz w:val="18"/>
                <w:szCs w:val="18"/>
                <w:color w:val="auto"/>
              </w:rPr>
              <w:t>33</w:t>
            </w:r>
          </w:p>
        </w:tc>
        <w:tc>
          <w:tcPr>
            <w:tcW w:w="120" w:type="dxa"/>
            <w:vAlign w:val="bottom"/>
            <w:shd w:val="clear" w:color="auto" w:fill="CCEEFF"/>
          </w:tcPr>
          <w:p>
            <w:pPr>
              <w:spacing w:after="0"/>
              <w:rPr>
                <w:sz w:val="24"/>
                <w:szCs w:val="24"/>
                <w:color w:val="auto"/>
              </w:rPr>
            </w:pPr>
          </w:p>
        </w:tc>
        <w:tc>
          <w:tcPr>
            <w:tcW w:w="340" w:type="dxa"/>
            <w:vAlign w:val="bottom"/>
            <w:shd w:val="clear" w:color="auto" w:fill="CCEEFF"/>
          </w:tcPr>
          <w:p>
            <w:pPr>
              <w:spacing w:after="0"/>
              <w:rPr>
                <w:sz w:val="24"/>
                <w:szCs w:val="24"/>
                <w:color w:val="auto"/>
              </w:rPr>
            </w:pPr>
          </w:p>
        </w:tc>
        <w:tc>
          <w:tcPr>
            <w:tcW w:w="114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35</w:t>
            </w:r>
          </w:p>
        </w:tc>
      </w:tr>
      <w:tr>
        <w:trPr>
          <w:trHeight w:val="270"/>
        </w:trPr>
        <w:tc>
          <w:tcPr>
            <w:tcW w:w="5160" w:type="dxa"/>
            <w:vAlign w:val="bottom"/>
          </w:tcPr>
          <w:p>
            <w:pPr>
              <w:ind w:left="280"/>
              <w:spacing w:after="0"/>
              <w:rPr>
                <w:sz w:val="20"/>
                <w:szCs w:val="20"/>
                <w:color w:val="auto"/>
              </w:rPr>
            </w:pPr>
            <w:r>
              <w:rPr>
                <w:rFonts w:ascii="Arial" w:cs="Arial" w:eastAsia="Arial" w:hAnsi="Arial"/>
                <w:sz w:val="18"/>
                <w:szCs w:val="18"/>
                <w:color w:val="auto"/>
              </w:rPr>
              <w:t xml:space="preserve">Actuarial (gain) loss </w:t>
            </w:r>
            <w:r>
              <w:rPr>
                <w:rFonts w:ascii="Arial" w:cs="Arial" w:eastAsia="Arial" w:hAnsi="Arial"/>
                <w:sz w:val="21"/>
                <w:szCs w:val="21"/>
                <w:color w:val="auto"/>
                <w:vertAlign w:val="superscript"/>
              </w:rPr>
              <w:t>(1), (2)</w:t>
            </w:r>
          </w:p>
        </w:tc>
        <w:tc>
          <w:tcPr>
            <w:tcW w:w="340" w:type="dxa"/>
            <w:vAlign w:val="bottom"/>
          </w:tcPr>
          <w:p>
            <w:pPr>
              <w:spacing w:after="0"/>
              <w:rPr>
                <w:sz w:val="23"/>
                <w:szCs w:val="23"/>
                <w:color w:val="auto"/>
              </w:rPr>
            </w:pPr>
          </w:p>
        </w:tc>
        <w:tc>
          <w:tcPr>
            <w:tcW w:w="1140" w:type="dxa"/>
            <w:vAlign w:val="bottom"/>
          </w:tcPr>
          <w:p>
            <w:pPr>
              <w:jc w:val="right"/>
              <w:ind w:right="14"/>
              <w:spacing w:after="0"/>
              <w:rPr>
                <w:sz w:val="20"/>
                <w:szCs w:val="20"/>
                <w:color w:val="auto"/>
              </w:rPr>
            </w:pPr>
            <w:r>
              <w:rPr>
                <w:rFonts w:ascii="Arial" w:cs="Arial" w:eastAsia="Arial" w:hAnsi="Arial"/>
                <w:sz w:val="18"/>
                <w:szCs w:val="18"/>
                <w:color w:val="auto"/>
              </w:rPr>
              <w:t>1,965</w:t>
            </w:r>
          </w:p>
        </w:tc>
        <w:tc>
          <w:tcPr>
            <w:tcW w:w="100" w:type="dxa"/>
            <w:vAlign w:val="bottom"/>
          </w:tcPr>
          <w:p>
            <w:pPr>
              <w:spacing w:after="0"/>
              <w:rPr>
                <w:sz w:val="23"/>
                <w:szCs w:val="23"/>
                <w:color w:val="auto"/>
              </w:rPr>
            </w:pPr>
          </w:p>
        </w:tc>
        <w:tc>
          <w:tcPr>
            <w:tcW w:w="580" w:type="dxa"/>
            <w:vAlign w:val="bottom"/>
          </w:tcPr>
          <w:p>
            <w:pPr>
              <w:spacing w:after="0"/>
              <w:rPr>
                <w:sz w:val="23"/>
                <w:szCs w:val="23"/>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(1,910)</w:t>
            </w:r>
          </w:p>
        </w:tc>
        <w:tc>
          <w:tcPr>
            <w:tcW w:w="100" w:type="dxa"/>
            <w:vAlign w:val="bottom"/>
          </w:tcPr>
          <w:p>
            <w:pPr>
              <w:spacing w:after="0"/>
              <w:rPr>
                <w:sz w:val="23"/>
                <w:szCs w:val="23"/>
                <w:color w:val="auto"/>
              </w:rPr>
            </w:pPr>
          </w:p>
        </w:tc>
        <w:tc>
          <w:tcPr>
            <w:tcW w:w="440" w:type="dxa"/>
            <w:vAlign w:val="bottom"/>
          </w:tcPr>
          <w:p>
            <w:pPr>
              <w:spacing w:after="0"/>
              <w:rPr>
                <w:sz w:val="23"/>
                <w:szCs w:val="23"/>
                <w:color w:val="auto"/>
              </w:rPr>
            </w:pPr>
          </w:p>
        </w:tc>
        <w:tc>
          <w:tcPr>
            <w:tcW w:w="1040" w:type="dxa"/>
            <w:vAlign w:val="bottom"/>
          </w:tcPr>
          <w:p>
            <w:pPr>
              <w:jc w:val="right"/>
              <w:ind w:right="15"/>
              <w:spacing w:after="0"/>
              <w:rPr>
                <w:sz w:val="20"/>
                <w:szCs w:val="20"/>
                <w:color w:val="auto"/>
              </w:rPr>
            </w:pPr>
            <w:r>
              <w:rPr>
                <w:rFonts w:ascii="Arial" w:cs="Arial" w:eastAsia="Arial" w:hAnsi="Arial"/>
                <w:sz w:val="18"/>
                <w:szCs w:val="18"/>
                <w:color w:val="auto"/>
              </w:rPr>
              <w:t>20</w:t>
            </w:r>
          </w:p>
        </w:tc>
        <w:tc>
          <w:tcPr>
            <w:tcW w:w="12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(133)</w:t>
            </w:r>
          </w:p>
        </w:tc>
      </w:tr>
      <w:tr>
        <w:trPr>
          <w:trHeight w:val="270"/>
        </w:trPr>
        <w:tc>
          <w:tcPr>
            <w:tcW w:w="5160" w:type="dxa"/>
            <w:vAlign w:val="bottom"/>
            <w:shd w:val="clear" w:color="auto" w:fill="CCEEFF"/>
          </w:tcPr>
          <w:p>
            <w:pPr>
              <w:ind w:left="280"/>
              <w:spacing w:after="0"/>
              <w:rPr>
                <w:sz w:val="20"/>
                <w:szCs w:val="20"/>
                <w:color w:val="auto"/>
              </w:rPr>
            </w:pPr>
            <w:r>
              <w:rPr>
                <w:rFonts w:ascii="Arial" w:cs="Arial" w:eastAsia="Arial" w:hAnsi="Arial"/>
                <w:sz w:val="18"/>
                <w:szCs w:val="18"/>
                <w:color w:val="auto"/>
              </w:rPr>
              <w:t>Settlements</w:t>
            </w:r>
          </w:p>
        </w:tc>
        <w:tc>
          <w:tcPr>
            <w:tcW w:w="340" w:type="dxa"/>
            <w:vAlign w:val="bottom"/>
            <w:shd w:val="clear" w:color="auto" w:fill="CCEEFF"/>
          </w:tcPr>
          <w:p>
            <w:pPr>
              <w:spacing w:after="0"/>
              <w:rPr>
                <w:sz w:val="23"/>
                <w:szCs w:val="23"/>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w:t>
            </w:r>
          </w:p>
        </w:tc>
        <w:tc>
          <w:tcPr>
            <w:tcW w:w="100" w:type="dxa"/>
            <w:vAlign w:val="bottom"/>
            <w:shd w:val="clear" w:color="auto" w:fill="CCEEFF"/>
          </w:tcPr>
          <w:p>
            <w:pPr>
              <w:spacing w:after="0"/>
              <w:rPr>
                <w:sz w:val="23"/>
                <w:szCs w:val="23"/>
                <w:color w:val="auto"/>
              </w:rPr>
            </w:pPr>
          </w:p>
        </w:tc>
        <w:tc>
          <w:tcPr>
            <w:tcW w:w="580" w:type="dxa"/>
            <w:vAlign w:val="bottom"/>
            <w:shd w:val="clear" w:color="auto" w:fill="CCEEFF"/>
          </w:tcPr>
          <w:p>
            <w:pPr>
              <w:spacing w:after="0"/>
              <w:rPr>
                <w:sz w:val="23"/>
                <w:szCs w:val="23"/>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w:t>
            </w:r>
          </w:p>
        </w:tc>
        <w:tc>
          <w:tcPr>
            <w:tcW w:w="100" w:type="dxa"/>
            <w:vAlign w:val="bottom"/>
            <w:shd w:val="clear" w:color="auto" w:fill="CCEEFF"/>
          </w:tcPr>
          <w:p>
            <w:pPr>
              <w:spacing w:after="0"/>
              <w:rPr>
                <w:sz w:val="23"/>
                <w:szCs w:val="23"/>
                <w:color w:val="auto"/>
              </w:rPr>
            </w:pPr>
          </w:p>
        </w:tc>
        <w:tc>
          <w:tcPr>
            <w:tcW w:w="440" w:type="dxa"/>
            <w:vAlign w:val="bottom"/>
            <w:shd w:val="clear" w:color="auto" w:fill="CCEEFF"/>
          </w:tcPr>
          <w:p>
            <w:pPr>
              <w:spacing w:after="0"/>
              <w:rPr>
                <w:sz w:val="23"/>
                <w:szCs w:val="23"/>
                <w:color w:val="auto"/>
              </w:rPr>
            </w:pPr>
          </w:p>
        </w:tc>
        <w:tc>
          <w:tcPr>
            <w:tcW w:w="11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340" w:type="dxa"/>
            <w:vAlign w:val="bottom"/>
            <w:shd w:val="clear" w:color="auto" w:fill="CCEEFF"/>
          </w:tcPr>
          <w:p>
            <w:pPr>
              <w:spacing w:after="0"/>
              <w:rPr>
                <w:sz w:val="23"/>
                <w:szCs w:val="23"/>
                <w:color w:val="auto"/>
              </w:rPr>
            </w:pPr>
          </w:p>
        </w:tc>
        <w:tc>
          <w:tcPr>
            <w:tcW w:w="114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w:t>
            </w:r>
          </w:p>
        </w:tc>
      </w:tr>
      <w:tr>
        <w:trPr>
          <w:trHeight w:val="263"/>
        </w:trPr>
        <w:tc>
          <w:tcPr>
            <w:tcW w:w="5160" w:type="dxa"/>
            <w:vAlign w:val="bottom"/>
          </w:tcPr>
          <w:p>
            <w:pPr>
              <w:ind w:left="280"/>
              <w:spacing w:after="0"/>
              <w:rPr>
                <w:sz w:val="20"/>
                <w:szCs w:val="20"/>
                <w:color w:val="auto"/>
              </w:rPr>
            </w:pPr>
            <w:r>
              <w:rPr>
                <w:rFonts w:ascii="Arial" w:cs="Arial" w:eastAsia="Arial" w:hAnsi="Arial"/>
                <w:sz w:val="18"/>
                <w:szCs w:val="18"/>
                <w:color w:val="auto"/>
              </w:rPr>
              <w:t>Benefit payments</w:t>
            </w:r>
          </w:p>
        </w:tc>
        <w:tc>
          <w:tcPr>
            <w:tcW w:w="340" w:type="dxa"/>
            <w:vAlign w:val="bottom"/>
          </w:tcPr>
          <w:p>
            <w:pPr>
              <w:spacing w:after="0"/>
              <w:rPr>
                <w:sz w:val="22"/>
                <w:szCs w:val="22"/>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(689)</w:t>
            </w:r>
          </w:p>
        </w:tc>
        <w:tc>
          <w:tcPr>
            <w:tcW w:w="100" w:type="dxa"/>
            <w:vAlign w:val="bottom"/>
          </w:tcPr>
          <w:p>
            <w:pPr>
              <w:spacing w:after="0"/>
              <w:rPr>
                <w:sz w:val="22"/>
                <w:szCs w:val="22"/>
                <w:color w:val="auto"/>
              </w:rPr>
            </w:pPr>
          </w:p>
        </w:tc>
        <w:tc>
          <w:tcPr>
            <w:tcW w:w="580" w:type="dxa"/>
            <w:vAlign w:val="bottom"/>
          </w:tcPr>
          <w:p>
            <w:pPr>
              <w:spacing w:after="0"/>
              <w:rPr>
                <w:sz w:val="22"/>
                <w:szCs w:val="22"/>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(662)</w:t>
            </w:r>
          </w:p>
        </w:tc>
        <w:tc>
          <w:tcPr>
            <w:tcW w:w="100" w:type="dxa"/>
            <w:vAlign w:val="bottom"/>
          </w:tcPr>
          <w:p>
            <w:pPr>
              <w:spacing w:after="0"/>
              <w:rPr>
                <w:sz w:val="22"/>
                <w:szCs w:val="22"/>
                <w:color w:val="auto"/>
              </w:rPr>
            </w:pPr>
          </w:p>
        </w:tc>
        <w:tc>
          <w:tcPr>
            <w:tcW w:w="440" w:type="dxa"/>
            <w:vAlign w:val="bottom"/>
          </w:tcPr>
          <w:p>
            <w:pPr>
              <w:spacing w:after="0"/>
              <w:rPr>
                <w:sz w:val="22"/>
                <w:szCs w:val="22"/>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(74)</w:t>
            </w:r>
          </w:p>
        </w:tc>
        <w:tc>
          <w:tcPr>
            <w:tcW w:w="12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(81)</w:t>
            </w:r>
          </w:p>
        </w:tc>
      </w:tr>
      <w:tr>
        <w:trPr>
          <w:trHeight w:val="277"/>
        </w:trPr>
        <w:tc>
          <w:tcPr>
            <w:tcW w:w="5160" w:type="dxa"/>
            <w:vAlign w:val="bottom"/>
            <w:shd w:val="clear" w:color="auto" w:fill="CCEEFF"/>
          </w:tcPr>
          <w:p>
            <w:pPr>
              <w:ind w:left="280"/>
              <w:spacing w:after="0"/>
              <w:rPr>
                <w:sz w:val="20"/>
                <w:szCs w:val="20"/>
                <w:color w:val="auto"/>
              </w:rPr>
            </w:pPr>
            <w:r>
              <w:rPr>
                <w:rFonts w:ascii="Arial" w:cs="Arial" w:eastAsia="Arial" w:hAnsi="Arial"/>
                <w:sz w:val="18"/>
                <w:szCs w:val="18"/>
                <w:color w:val="auto"/>
              </w:rPr>
              <w:t>Other</w:t>
            </w:r>
          </w:p>
        </w:tc>
        <w:tc>
          <w:tcPr>
            <w:tcW w:w="340" w:type="dxa"/>
            <w:vAlign w:val="bottom"/>
            <w:tcBorders>
              <w:bottom w:val="single" w:sz="8" w:color="auto"/>
            </w:tcBorders>
            <w:shd w:val="clear" w:color="auto" w:fill="CCEEFF"/>
          </w:tcPr>
          <w:p>
            <w:pPr>
              <w:spacing w:after="0"/>
              <w:rPr>
                <w:sz w:val="24"/>
                <w:szCs w:val="24"/>
                <w:color w:val="auto"/>
              </w:rPr>
            </w:pPr>
          </w:p>
        </w:tc>
        <w:tc>
          <w:tcPr>
            <w:tcW w:w="1140" w:type="dxa"/>
            <w:vAlign w:val="bottom"/>
            <w:tcBorders>
              <w:bottom w:val="single" w:sz="8" w:color="auto"/>
            </w:tcBorders>
            <w:shd w:val="clear" w:color="auto" w:fill="CCEEFF"/>
          </w:tcPr>
          <w:p>
            <w:pPr>
              <w:jc w:val="right"/>
              <w:ind w:right="14"/>
              <w:spacing w:after="0"/>
              <w:rPr>
                <w:sz w:val="20"/>
                <w:szCs w:val="20"/>
                <w:color w:val="auto"/>
              </w:rPr>
            </w:pPr>
            <w:r>
              <w:rPr>
                <w:rFonts w:ascii="Arial" w:cs="Arial" w:eastAsia="Arial" w:hAnsi="Arial"/>
                <w:sz w:val="18"/>
                <w:szCs w:val="18"/>
                <w:color w:val="auto"/>
              </w:rPr>
              <w:t>1</w:t>
            </w:r>
          </w:p>
        </w:tc>
        <w:tc>
          <w:tcPr>
            <w:tcW w:w="100" w:type="dxa"/>
            <w:vAlign w:val="bottom"/>
            <w:shd w:val="clear" w:color="auto" w:fill="CCEEFF"/>
          </w:tcPr>
          <w:p>
            <w:pPr>
              <w:spacing w:after="0"/>
              <w:rPr>
                <w:sz w:val="24"/>
                <w:szCs w:val="24"/>
                <w:color w:val="auto"/>
              </w:rPr>
            </w:pPr>
          </w:p>
        </w:tc>
        <w:tc>
          <w:tcPr>
            <w:tcW w:w="580" w:type="dxa"/>
            <w:vAlign w:val="bottom"/>
            <w:tcBorders>
              <w:bottom w:val="single" w:sz="8" w:color="auto"/>
            </w:tcBorders>
            <w:shd w:val="clear" w:color="auto" w:fill="CCEEFF"/>
          </w:tcPr>
          <w:p>
            <w:pPr>
              <w:spacing w:after="0"/>
              <w:rPr>
                <w:sz w:val="24"/>
                <w:szCs w:val="24"/>
                <w:color w:val="auto"/>
              </w:rPr>
            </w:pPr>
          </w:p>
        </w:tc>
        <w:tc>
          <w:tcPr>
            <w:tcW w:w="920" w:type="dxa"/>
            <w:vAlign w:val="bottom"/>
            <w:tcBorders>
              <w:bottom w:val="single" w:sz="8" w:color="auto"/>
            </w:tcBorders>
            <w:shd w:val="clear" w:color="auto" w:fill="CCEEFF"/>
          </w:tcPr>
          <w:p>
            <w:pPr>
              <w:jc w:val="right"/>
              <w:ind w:right="34"/>
              <w:spacing w:after="0"/>
              <w:rPr>
                <w:sz w:val="20"/>
                <w:szCs w:val="20"/>
                <w:color w:val="auto"/>
              </w:rPr>
            </w:pPr>
            <w:r>
              <w:rPr>
                <w:rFonts w:ascii="Arial" w:cs="Arial" w:eastAsia="Arial" w:hAnsi="Arial"/>
                <w:sz w:val="18"/>
                <w:szCs w:val="18"/>
                <w:color w:val="auto"/>
              </w:rPr>
              <w:t>2</w:t>
            </w:r>
          </w:p>
        </w:tc>
        <w:tc>
          <w:tcPr>
            <w:tcW w:w="100" w:type="dxa"/>
            <w:vAlign w:val="bottom"/>
            <w:shd w:val="clear" w:color="auto" w:fill="CCEEFF"/>
          </w:tcPr>
          <w:p>
            <w:pPr>
              <w:spacing w:after="0"/>
              <w:rPr>
                <w:sz w:val="24"/>
                <w:szCs w:val="24"/>
                <w:color w:val="auto"/>
              </w:rPr>
            </w:pPr>
          </w:p>
        </w:tc>
        <w:tc>
          <w:tcPr>
            <w:tcW w:w="440" w:type="dxa"/>
            <w:vAlign w:val="bottom"/>
            <w:tcBorders>
              <w:bottom w:val="single" w:sz="8" w:color="auto"/>
            </w:tcBorders>
            <w:shd w:val="clear" w:color="auto" w:fill="CCEEFF"/>
          </w:tcPr>
          <w:p>
            <w:pPr>
              <w:spacing w:after="0"/>
              <w:rPr>
                <w:sz w:val="24"/>
                <w:szCs w:val="24"/>
                <w:color w:val="auto"/>
              </w:rPr>
            </w:pPr>
          </w:p>
        </w:tc>
        <w:tc>
          <w:tcPr>
            <w:tcW w:w="1040" w:type="dxa"/>
            <w:vAlign w:val="bottom"/>
            <w:tcBorders>
              <w:bottom w:val="single" w:sz="8" w:color="auto"/>
            </w:tcBorders>
            <w:shd w:val="clear" w:color="auto" w:fill="CCEEFF"/>
          </w:tcPr>
          <w:p>
            <w:pPr>
              <w:jc w:val="right"/>
              <w:ind w:right="15"/>
              <w:spacing w:after="0"/>
              <w:rPr>
                <w:sz w:val="20"/>
                <w:szCs w:val="20"/>
                <w:color w:val="auto"/>
              </w:rPr>
            </w:pPr>
            <w:r>
              <w:rPr>
                <w:rFonts w:ascii="Arial" w:cs="Arial" w:eastAsia="Arial" w:hAnsi="Arial"/>
                <w:sz w:val="18"/>
                <w:szCs w:val="18"/>
                <w:color w:val="auto"/>
              </w:rPr>
              <w:t>5</w:t>
            </w:r>
          </w:p>
        </w:tc>
        <w:tc>
          <w:tcPr>
            <w:tcW w:w="120" w:type="dxa"/>
            <w:vAlign w:val="bottom"/>
            <w:shd w:val="clear" w:color="auto" w:fill="CCEEFF"/>
          </w:tcPr>
          <w:p>
            <w:pPr>
              <w:spacing w:after="0"/>
              <w:rPr>
                <w:sz w:val="24"/>
                <w:szCs w:val="24"/>
                <w:color w:val="auto"/>
              </w:rPr>
            </w:pPr>
          </w:p>
        </w:tc>
        <w:tc>
          <w:tcPr>
            <w:tcW w:w="340" w:type="dxa"/>
            <w:vAlign w:val="bottom"/>
            <w:tcBorders>
              <w:bottom w:val="single" w:sz="8" w:color="auto"/>
            </w:tcBorders>
            <w:shd w:val="clear" w:color="auto" w:fill="CCEEFF"/>
          </w:tcPr>
          <w:p>
            <w:pPr>
              <w:spacing w:after="0"/>
              <w:rPr>
                <w:sz w:val="24"/>
                <w:szCs w:val="24"/>
                <w:color w:val="auto"/>
              </w:rPr>
            </w:pPr>
          </w:p>
        </w:tc>
        <w:tc>
          <w:tcPr>
            <w:tcW w:w="1140" w:type="dxa"/>
            <w:vAlign w:val="bottom"/>
            <w:tcBorders>
              <w:bottom w:val="single" w:sz="8" w:color="auto"/>
            </w:tcBorders>
            <w:shd w:val="clear" w:color="auto" w:fill="CCEEFF"/>
          </w:tcPr>
          <w:p>
            <w:pPr>
              <w:jc w:val="right"/>
              <w:ind w:right="12"/>
              <w:spacing w:after="0"/>
              <w:rPr>
                <w:sz w:val="20"/>
                <w:szCs w:val="20"/>
                <w:color w:val="auto"/>
              </w:rPr>
            </w:pPr>
            <w:r>
              <w:rPr>
                <w:rFonts w:ascii="Arial" w:cs="Arial" w:eastAsia="Arial" w:hAnsi="Arial"/>
                <w:sz w:val="18"/>
                <w:szCs w:val="18"/>
                <w:color w:val="auto"/>
              </w:rPr>
              <w:t>—</w:t>
            </w:r>
          </w:p>
        </w:tc>
      </w:tr>
      <w:tr>
        <w:trPr>
          <w:trHeight w:val="244"/>
        </w:trPr>
        <w:tc>
          <w:tcPr>
            <w:tcW w:w="5160" w:type="dxa"/>
            <w:vAlign w:val="bottom"/>
          </w:tcPr>
          <w:p>
            <w:pPr>
              <w:ind w:left="40"/>
              <w:spacing w:after="0"/>
              <w:rPr>
                <w:sz w:val="20"/>
                <w:szCs w:val="20"/>
                <w:color w:val="auto"/>
              </w:rPr>
            </w:pPr>
            <w:r>
              <w:rPr>
                <w:rFonts w:ascii="Arial" w:cs="Arial" w:eastAsia="Arial" w:hAnsi="Arial"/>
                <w:sz w:val="18"/>
                <w:szCs w:val="18"/>
                <w:color w:val="auto"/>
              </w:rPr>
              <w:t>Benefit obligation at end of period</w:t>
            </w:r>
          </w:p>
        </w:tc>
        <w:tc>
          <w:tcPr>
            <w:tcW w:w="340" w:type="dxa"/>
            <w:vAlign w:val="bottom"/>
            <w:tcBorders>
              <w:bottom w:val="single" w:sz="8" w:color="auto"/>
            </w:tcBorders>
          </w:tcPr>
          <w:p>
            <w:pPr>
              <w:jc w:val="right"/>
              <w:ind w:right="130"/>
              <w:spacing w:after="0"/>
              <w:rPr>
                <w:sz w:val="20"/>
                <w:szCs w:val="20"/>
                <w:color w:val="auto"/>
              </w:rPr>
            </w:pPr>
            <w:r>
              <w:rPr>
                <w:rFonts w:ascii="Arial" w:cs="Arial" w:eastAsia="Arial" w:hAnsi="Arial"/>
                <w:sz w:val="18"/>
                <w:szCs w:val="18"/>
                <w:color w:val="auto"/>
                <w:w w:val="99"/>
              </w:rPr>
              <w:t>$</w:t>
            </w:r>
          </w:p>
        </w:tc>
        <w:tc>
          <w:tcPr>
            <w:tcW w:w="1140" w:type="dxa"/>
            <w:vAlign w:val="bottom"/>
            <w:tcBorders>
              <w:bottom w:val="single" w:sz="8" w:color="auto"/>
            </w:tcBorders>
          </w:tcPr>
          <w:p>
            <w:pPr>
              <w:jc w:val="right"/>
              <w:ind w:right="14"/>
              <w:spacing w:after="0"/>
              <w:rPr>
                <w:sz w:val="20"/>
                <w:szCs w:val="20"/>
                <w:color w:val="auto"/>
              </w:rPr>
            </w:pPr>
            <w:r>
              <w:rPr>
                <w:rFonts w:ascii="Arial" w:cs="Arial" w:eastAsia="Arial" w:hAnsi="Arial"/>
                <w:sz w:val="18"/>
                <w:szCs w:val="18"/>
                <w:color w:val="auto"/>
              </w:rPr>
              <w:t>18,358</w:t>
            </w:r>
          </w:p>
        </w:tc>
        <w:tc>
          <w:tcPr>
            <w:tcW w:w="100" w:type="dxa"/>
            <w:vAlign w:val="bottom"/>
          </w:tcPr>
          <w:p>
            <w:pPr>
              <w:spacing w:after="0"/>
              <w:rPr>
                <w:sz w:val="21"/>
                <w:szCs w:val="21"/>
                <w:color w:val="auto"/>
              </w:rPr>
            </w:pPr>
          </w:p>
        </w:tc>
        <w:tc>
          <w:tcPr>
            <w:tcW w:w="580" w:type="dxa"/>
            <w:vAlign w:val="bottom"/>
            <w:tcBorders>
              <w:bottom w:val="single" w:sz="8" w:color="auto"/>
            </w:tcBorders>
          </w:tcPr>
          <w:p>
            <w:pPr>
              <w:jc w:val="right"/>
              <w:ind w:right="350"/>
              <w:spacing w:after="0"/>
              <w:rPr>
                <w:sz w:val="20"/>
                <w:szCs w:val="20"/>
                <w:color w:val="auto"/>
              </w:rPr>
            </w:pPr>
            <w:r>
              <w:rPr>
                <w:rFonts w:ascii="Arial" w:cs="Arial" w:eastAsia="Arial" w:hAnsi="Arial"/>
                <w:sz w:val="18"/>
                <w:szCs w:val="18"/>
                <w:color w:val="auto"/>
              </w:rPr>
              <w:t>$</w:t>
            </w:r>
          </w:p>
        </w:tc>
        <w:tc>
          <w:tcPr>
            <w:tcW w:w="920" w:type="dxa"/>
            <w:vAlign w:val="bottom"/>
            <w:tcBorders>
              <w:bottom w:val="single" w:sz="8" w:color="auto"/>
            </w:tcBorders>
          </w:tcPr>
          <w:p>
            <w:pPr>
              <w:jc w:val="right"/>
              <w:ind w:right="34"/>
              <w:spacing w:after="0"/>
              <w:rPr>
                <w:sz w:val="20"/>
                <w:szCs w:val="20"/>
                <w:color w:val="auto"/>
              </w:rPr>
            </w:pPr>
            <w:r>
              <w:rPr>
                <w:rFonts w:ascii="Arial" w:cs="Arial" w:eastAsia="Arial" w:hAnsi="Arial"/>
                <w:sz w:val="18"/>
                <w:szCs w:val="18"/>
                <w:color w:val="auto"/>
              </w:rPr>
              <w:t>16,378</w:t>
            </w:r>
          </w:p>
        </w:tc>
        <w:tc>
          <w:tcPr>
            <w:tcW w:w="100" w:type="dxa"/>
            <w:vAlign w:val="bottom"/>
          </w:tcPr>
          <w:p>
            <w:pPr>
              <w:spacing w:after="0"/>
              <w:rPr>
                <w:sz w:val="21"/>
                <w:szCs w:val="21"/>
                <w:color w:val="auto"/>
              </w:rPr>
            </w:pPr>
          </w:p>
        </w:tc>
        <w:tc>
          <w:tcPr>
            <w:tcW w:w="440" w:type="dxa"/>
            <w:vAlign w:val="bottom"/>
            <w:tcBorders>
              <w:bottom w:val="single" w:sz="8" w:color="auto"/>
            </w:tcBorders>
          </w:tcPr>
          <w:p>
            <w:pPr>
              <w:jc w:val="right"/>
              <w:ind w:right="230"/>
              <w:spacing w:after="0"/>
              <w:rPr>
                <w:sz w:val="20"/>
                <w:szCs w:val="20"/>
                <w:color w:val="auto"/>
              </w:rPr>
            </w:pPr>
            <w:r>
              <w:rPr>
                <w:rFonts w:ascii="Arial" w:cs="Arial" w:eastAsia="Arial" w:hAnsi="Arial"/>
                <w:sz w:val="18"/>
                <w:szCs w:val="18"/>
                <w:color w:val="auto"/>
                <w:w w:val="99"/>
              </w:rPr>
              <w:t>$</w:t>
            </w:r>
          </w:p>
        </w:tc>
        <w:tc>
          <w:tcPr>
            <w:tcW w:w="1040" w:type="dxa"/>
            <w:vAlign w:val="bottom"/>
            <w:tcBorders>
              <w:bottom w:val="single" w:sz="8" w:color="auto"/>
            </w:tcBorders>
          </w:tcPr>
          <w:p>
            <w:pPr>
              <w:jc w:val="right"/>
              <w:ind w:right="15"/>
              <w:spacing w:after="0"/>
              <w:rPr>
                <w:sz w:val="20"/>
                <w:szCs w:val="20"/>
                <w:color w:val="auto"/>
              </w:rPr>
            </w:pPr>
            <w:r>
              <w:rPr>
                <w:rFonts w:ascii="Arial" w:cs="Arial" w:eastAsia="Arial" w:hAnsi="Arial"/>
                <w:sz w:val="18"/>
                <w:szCs w:val="18"/>
                <w:color w:val="auto"/>
              </w:rPr>
              <w:t>824</w:t>
            </w:r>
          </w:p>
        </w:tc>
        <w:tc>
          <w:tcPr>
            <w:tcW w:w="120" w:type="dxa"/>
            <w:vAlign w:val="bottom"/>
          </w:tcPr>
          <w:p>
            <w:pPr>
              <w:spacing w:after="0"/>
              <w:rPr>
                <w:sz w:val="21"/>
                <w:szCs w:val="21"/>
                <w:color w:val="auto"/>
              </w:rPr>
            </w:pPr>
          </w:p>
        </w:tc>
        <w:tc>
          <w:tcPr>
            <w:tcW w:w="340" w:type="dxa"/>
            <w:vAlign w:val="bottom"/>
            <w:tcBorders>
              <w:bottom w:val="single" w:sz="8" w:color="auto"/>
            </w:tcBorders>
          </w:tcPr>
          <w:p>
            <w:pPr>
              <w:jc w:val="right"/>
              <w:ind w:right="130"/>
              <w:spacing w:after="0"/>
              <w:rPr>
                <w:sz w:val="20"/>
                <w:szCs w:val="20"/>
                <w:color w:val="auto"/>
              </w:rPr>
            </w:pPr>
            <w:r>
              <w:rPr>
                <w:rFonts w:ascii="Arial" w:cs="Arial" w:eastAsia="Arial" w:hAnsi="Arial"/>
                <w:sz w:val="18"/>
                <w:szCs w:val="18"/>
                <w:color w:val="auto"/>
                <w:w w:val="99"/>
              </w:rPr>
              <w:t>$</w:t>
            </w:r>
          </w:p>
        </w:tc>
        <w:tc>
          <w:tcPr>
            <w:tcW w:w="1140" w:type="dxa"/>
            <w:vAlign w:val="bottom"/>
            <w:tcBorders>
              <w:bottom w:val="single" w:sz="8" w:color="auto"/>
            </w:tcBorders>
          </w:tcPr>
          <w:p>
            <w:pPr>
              <w:jc w:val="right"/>
              <w:ind w:right="12"/>
              <w:spacing w:after="0"/>
              <w:rPr>
                <w:sz w:val="20"/>
                <w:szCs w:val="20"/>
                <w:color w:val="auto"/>
              </w:rPr>
            </w:pPr>
            <w:r>
              <w:rPr>
                <w:rFonts w:ascii="Arial" w:cs="Arial" w:eastAsia="Arial" w:hAnsi="Arial"/>
                <w:sz w:val="18"/>
                <w:szCs w:val="18"/>
                <w:color w:val="auto"/>
              </w:rPr>
              <w:t>837</w:t>
            </w:r>
          </w:p>
        </w:tc>
      </w:tr>
      <w:tr>
        <w:trPr>
          <w:trHeight w:val="20"/>
        </w:trPr>
        <w:tc>
          <w:tcPr>
            <w:tcW w:w="516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ectPr>
          <w:pgSz w:w="11900" w:h="16838" w:orient="portrait"/>
          <w:cols w:equalWidth="0" w:num="1">
            <w:col w:w="11420"/>
          </w:cols>
          <w:pgMar w:left="240" w:top="549" w:right="239" w:bottom="1440" w:gutter="0" w:footer="0" w:header="0"/>
        </w:sectPr>
      </w:pPr>
    </w:p>
    <w:p>
      <w:pPr>
        <w:spacing w:after="0" w:line="231"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98</w:t>
      </w:r>
    </w:p>
    <w:p>
      <w:pPr>
        <w:sectPr>
          <w:pgSz w:w="11900" w:h="16838" w:orient="portrait"/>
          <w:cols w:equalWidth="0" w:num="1">
            <w:col w:w="11420"/>
          </w:cols>
          <w:pgMar w:left="240" w:top="549" w:right="239" w:bottom="1440" w:gutter="0" w:footer="0" w:header="0"/>
          <w:type w:val="continuous"/>
        </w:sectPr>
      </w:pPr>
    </w:p>
    <w:bookmarkStart w:id="98" w:name="page99"/>
    <w:bookmarkEnd w:id="98"/>
    <w:p>
      <w:pPr>
        <w:jc w:val="center"/>
        <w:spacing w:after="0"/>
        <w:rPr>
          <w:sz w:val="20"/>
          <w:szCs w:val="20"/>
          <w:color w:val="auto"/>
        </w:rPr>
      </w:pPr>
      <w:r>
        <w:rPr>
          <w:rFonts w:ascii="Arial" w:cs="Arial" w:eastAsia="Arial" w:hAnsi="Arial"/>
          <w:sz w:val="18"/>
          <w:szCs w:val="18"/>
          <w:b w:val="1"/>
          <w:bCs w:val="1"/>
          <w:color w:val="auto"/>
        </w:rPr>
        <w:t>NOTES TO CONSOLIDATED FINANCIAL STATEMENTS OF AMERICAN AIRLINES GROUP INC.</w:t>
      </w:r>
    </w:p>
    <w:p>
      <w:pPr>
        <w:spacing w:after="0" w:line="200" w:lineRule="exact"/>
        <w:rPr>
          <w:sz w:val="20"/>
          <w:szCs w:val="20"/>
          <w:color w:val="auto"/>
        </w:rPr>
      </w:pPr>
    </w:p>
    <w:p>
      <w:pPr>
        <w:spacing w:after="0" w:line="251"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516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2640" w:type="dxa"/>
            <w:vAlign w:val="bottom"/>
            <w:gridSpan w:val="4"/>
          </w:tcPr>
          <w:p>
            <w:pPr>
              <w:jc w:val="right"/>
              <w:ind w:right="792"/>
              <w:spacing w:after="0"/>
              <w:rPr>
                <w:sz w:val="20"/>
                <w:szCs w:val="20"/>
                <w:color w:val="auto"/>
              </w:rPr>
            </w:pPr>
            <w:r>
              <w:rPr>
                <w:rFonts w:ascii="Arial" w:cs="Arial" w:eastAsia="Arial" w:hAnsi="Arial"/>
                <w:sz w:val="14"/>
                <w:szCs w:val="14"/>
                <w:b w:val="1"/>
                <w:bCs w:val="1"/>
                <w:color w:val="auto"/>
              </w:rPr>
              <w:t>Retiree Medical and</w:t>
            </w:r>
          </w:p>
        </w:tc>
      </w:tr>
      <w:tr>
        <w:trPr>
          <w:trHeight w:val="196"/>
        </w:trPr>
        <w:tc>
          <w:tcPr>
            <w:tcW w:w="5160" w:type="dxa"/>
            <w:vAlign w:val="bottom"/>
          </w:tcPr>
          <w:p>
            <w:pPr>
              <w:spacing w:after="0"/>
              <w:rPr>
                <w:sz w:val="17"/>
                <w:szCs w:val="17"/>
                <w:color w:val="auto"/>
              </w:rPr>
            </w:pPr>
          </w:p>
        </w:tc>
        <w:tc>
          <w:tcPr>
            <w:tcW w:w="340" w:type="dxa"/>
            <w:vAlign w:val="bottom"/>
            <w:tcBorders>
              <w:bottom w:val="single" w:sz="8" w:color="auto"/>
            </w:tcBorders>
          </w:tcPr>
          <w:p>
            <w:pPr>
              <w:spacing w:after="0"/>
              <w:rPr>
                <w:sz w:val="17"/>
                <w:szCs w:val="17"/>
                <w:color w:val="auto"/>
              </w:rPr>
            </w:pPr>
          </w:p>
        </w:tc>
        <w:tc>
          <w:tcPr>
            <w:tcW w:w="1820" w:type="dxa"/>
            <w:vAlign w:val="bottom"/>
            <w:tcBorders>
              <w:bottom w:val="single" w:sz="8" w:color="auto"/>
            </w:tcBorders>
            <w:gridSpan w:val="3"/>
          </w:tcPr>
          <w:p>
            <w:pPr>
              <w:jc w:val="right"/>
              <w:spacing w:after="0"/>
              <w:rPr>
                <w:sz w:val="20"/>
                <w:szCs w:val="20"/>
                <w:color w:val="auto"/>
              </w:rPr>
            </w:pPr>
            <w:r>
              <w:rPr>
                <w:rFonts w:ascii="Arial" w:cs="Arial" w:eastAsia="Arial" w:hAnsi="Arial"/>
                <w:sz w:val="14"/>
                <w:szCs w:val="14"/>
                <w:b w:val="1"/>
                <w:bCs w:val="1"/>
                <w:color w:val="auto"/>
              </w:rPr>
              <w:t>Pension Benefits</w:t>
            </w:r>
          </w:p>
        </w:tc>
        <w:tc>
          <w:tcPr>
            <w:tcW w:w="920" w:type="dxa"/>
            <w:vAlign w:val="bottom"/>
            <w:tcBorders>
              <w:bottom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440" w:type="dxa"/>
            <w:vAlign w:val="bottom"/>
            <w:tcBorders>
              <w:bottom w:val="single" w:sz="8" w:color="auto"/>
            </w:tcBorders>
          </w:tcPr>
          <w:p>
            <w:pPr>
              <w:spacing w:after="0"/>
              <w:rPr>
                <w:sz w:val="17"/>
                <w:szCs w:val="17"/>
                <w:color w:val="auto"/>
              </w:rPr>
            </w:pPr>
          </w:p>
        </w:tc>
        <w:tc>
          <w:tcPr>
            <w:tcW w:w="2640" w:type="dxa"/>
            <w:vAlign w:val="bottom"/>
            <w:tcBorders>
              <w:bottom w:val="single" w:sz="8" w:color="auto"/>
            </w:tcBorders>
            <w:gridSpan w:val="4"/>
          </w:tcPr>
          <w:p>
            <w:pPr>
              <w:jc w:val="right"/>
              <w:ind w:right="412"/>
              <w:spacing w:after="0"/>
              <w:rPr>
                <w:sz w:val="20"/>
                <w:szCs w:val="20"/>
                <w:color w:val="auto"/>
              </w:rPr>
            </w:pPr>
            <w:r>
              <w:rPr>
                <w:rFonts w:ascii="Arial" w:cs="Arial" w:eastAsia="Arial" w:hAnsi="Arial"/>
                <w:sz w:val="14"/>
                <w:szCs w:val="14"/>
                <w:b w:val="1"/>
                <w:bCs w:val="1"/>
                <w:color w:val="auto"/>
              </w:rPr>
              <w:t>Other Postretirement Benefits</w:t>
            </w:r>
          </w:p>
        </w:tc>
      </w:tr>
      <w:tr>
        <w:trPr>
          <w:trHeight w:val="264"/>
        </w:trPr>
        <w:tc>
          <w:tcPr>
            <w:tcW w:w="5160" w:type="dxa"/>
            <w:vAlign w:val="bottom"/>
          </w:tcPr>
          <w:p>
            <w:pPr>
              <w:spacing w:after="0"/>
              <w:rPr>
                <w:sz w:val="22"/>
                <w:szCs w:val="22"/>
                <w:color w:val="auto"/>
              </w:rPr>
            </w:pPr>
          </w:p>
        </w:tc>
        <w:tc>
          <w:tcPr>
            <w:tcW w:w="340" w:type="dxa"/>
            <w:vAlign w:val="bottom"/>
            <w:tcBorders>
              <w:bottom w:val="single" w:sz="8" w:color="auto"/>
            </w:tcBorders>
          </w:tcPr>
          <w:p>
            <w:pPr>
              <w:spacing w:after="0"/>
              <w:rPr>
                <w:sz w:val="22"/>
                <w:szCs w:val="22"/>
                <w:color w:val="auto"/>
              </w:rPr>
            </w:pPr>
          </w:p>
        </w:tc>
        <w:tc>
          <w:tcPr>
            <w:tcW w:w="1140" w:type="dxa"/>
            <w:vAlign w:val="bottom"/>
            <w:tcBorders>
              <w:bottom w:val="single" w:sz="8" w:color="auto"/>
            </w:tcBorders>
          </w:tcPr>
          <w:p>
            <w:pPr>
              <w:jc w:val="right"/>
              <w:ind w:right="494"/>
              <w:spacing w:after="0"/>
              <w:rPr>
                <w:sz w:val="20"/>
                <w:szCs w:val="20"/>
                <w:color w:val="auto"/>
              </w:rPr>
            </w:pPr>
            <w:r>
              <w:rPr>
                <w:rFonts w:ascii="Arial" w:cs="Arial" w:eastAsia="Arial" w:hAnsi="Arial"/>
                <w:sz w:val="14"/>
                <w:szCs w:val="14"/>
                <w:b w:val="1"/>
                <w:bCs w:val="1"/>
                <w:color w:val="auto"/>
              </w:rPr>
              <w:t>2019</w:t>
            </w:r>
          </w:p>
        </w:tc>
        <w:tc>
          <w:tcPr>
            <w:tcW w:w="100" w:type="dxa"/>
            <w:vAlign w:val="bottom"/>
          </w:tcPr>
          <w:p>
            <w:pPr>
              <w:spacing w:after="0"/>
              <w:rPr>
                <w:sz w:val="22"/>
                <w:szCs w:val="22"/>
                <w:color w:val="auto"/>
              </w:rPr>
            </w:pPr>
          </w:p>
        </w:tc>
        <w:tc>
          <w:tcPr>
            <w:tcW w:w="580" w:type="dxa"/>
            <w:vAlign w:val="bottom"/>
            <w:tcBorders>
              <w:bottom w:val="single" w:sz="8" w:color="auto"/>
            </w:tcBorders>
          </w:tcPr>
          <w:p>
            <w:pPr>
              <w:spacing w:after="0"/>
              <w:rPr>
                <w:sz w:val="22"/>
                <w:szCs w:val="22"/>
                <w:color w:val="auto"/>
              </w:rPr>
            </w:pPr>
          </w:p>
        </w:tc>
        <w:tc>
          <w:tcPr>
            <w:tcW w:w="920" w:type="dxa"/>
            <w:vAlign w:val="bottom"/>
            <w:tcBorders>
              <w:bottom w:val="single" w:sz="8" w:color="auto"/>
            </w:tcBorders>
          </w:tcPr>
          <w:p>
            <w:pPr>
              <w:jc w:val="right"/>
              <w:ind w:right="494"/>
              <w:spacing w:after="0"/>
              <w:rPr>
                <w:sz w:val="20"/>
                <w:szCs w:val="20"/>
                <w:color w:val="auto"/>
              </w:rPr>
            </w:pPr>
            <w:r>
              <w:rPr>
                <w:rFonts w:ascii="Arial" w:cs="Arial" w:eastAsia="Arial" w:hAnsi="Arial"/>
                <w:sz w:val="14"/>
                <w:szCs w:val="14"/>
                <w:b w:val="1"/>
                <w:bCs w:val="1"/>
                <w:color w:val="auto"/>
              </w:rPr>
              <w:t>2018</w:t>
            </w:r>
          </w:p>
        </w:tc>
        <w:tc>
          <w:tcPr>
            <w:tcW w:w="100" w:type="dxa"/>
            <w:vAlign w:val="bottom"/>
          </w:tcPr>
          <w:p>
            <w:pPr>
              <w:spacing w:after="0"/>
              <w:rPr>
                <w:sz w:val="22"/>
                <w:szCs w:val="22"/>
                <w:color w:val="auto"/>
              </w:rPr>
            </w:pPr>
          </w:p>
        </w:tc>
        <w:tc>
          <w:tcPr>
            <w:tcW w:w="440" w:type="dxa"/>
            <w:vAlign w:val="bottom"/>
            <w:tcBorders>
              <w:bottom w:val="single" w:sz="8" w:color="auto"/>
            </w:tcBorders>
          </w:tcPr>
          <w:p>
            <w:pPr>
              <w:spacing w:after="0"/>
              <w:rPr>
                <w:sz w:val="22"/>
                <w:szCs w:val="22"/>
                <w:color w:val="auto"/>
              </w:rPr>
            </w:pPr>
          </w:p>
        </w:tc>
        <w:tc>
          <w:tcPr>
            <w:tcW w:w="1040" w:type="dxa"/>
            <w:vAlign w:val="bottom"/>
            <w:tcBorders>
              <w:bottom w:val="single" w:sz="8" w:color="auto"/>
            </w:tcBorders>
          </w:tcPr>
          <w:p>
            <w:pPr>
              <w:jc w:val="right"/>
              <w:ind w:right="495"/>
              <w:spacing w:after="0"/>
              <w:rPr>
                <w:sz w:val="20"/>
                <w:szCs w:val="20"/>
                <w:color w:val="auto"/>
              </w:rPr>
            </w:pPr>
            <w:r>
              <w:rPr>
                <w:rFonts w:ascii="Arial" w:cs="Arial" w:eastAsia="Arial" w:hAnsi="Arial"/>
                <w:sz w:val="14"/>
                <w:szCs w:val="14"/>
                <w:b w:val="1"/>
                <w:bCs w:val="1"/>
                <w:color w:val="auto"/>
              </w:rPr>
              <w:t>2019</w:t>
            </w:r>
          </w:p>
        </w:tc>
        <w:tc>
          <w:tcPr>
            <w:tcW w:w="120" w:type="dxa"/>
            <w:vAlign w:val="bottom"/>
          </w:tcPr>
          <w:p>
            <w:pPr>
              <w:spacing w:after="0"/>
              <w:rPr>
                <w:sz w:val="22"/>
                <w:szCs w:val="22"/>
                <w:color w:val="auto"/>
              </w:rPr>
            </w:pPr>
          </w:p>
        </w:tc>
        <w:tc>
          <w:tcPr>
            <w:tcW w:w="340" w:type="dxa"/>
            <w:vAlign w:val="bottom"/>
            <w:tcBorders>
              <w:bottom w:val="single" w:sz="8" w:color="auto"/>
            </w:tcBorders>
          </w:tcPr>
          <w:p>
            <w:pPr>
              <w:spacing w:after="0"/>
              <w:rPr>
                <w:sz w:val="22"/>
                <w:szCs w:val="22"/>
                <w:color w:val="auto"/>
              </w:rPr>
            </w:pPr>
          </w:p>
        </w:tc>
        <w:tc>
          <w:tcPr>
            <w:tcW w:w="1140" w:type="dxa"/>
            <w:vAlign w:val="bottom"/>
            <w:tcBorders>
              <w:bottom w:val="single" w:sz="8" w:color="auto"/>
            </w:tcBorders>
          </w:tcPr>
          <w:p>
            <w:pPr>
              <w:jc w:val="right"/>
              <w:ind w:right="492"/>
              <w:spacing w:after="0"/>
              <w:rPr>
                <w:sz w:val="20"/>
                <w:szCs w:val="20"/>
                <w:color w:val="auto"/>
              </w:rPr>
            </w:pPr>
            <w:r>
              <w:rPr>
                <w:rFonts w:ascii="Arial" w:cs="Arial" w:eastAsia="Arial" w:hAnsi="Arial"/>
                <w:sz w:val="14"/>
                <w:szCs w:val="14"/>
                <w:b w:val="1"/>
                <w:bCs w:val="1"/>
                <w:color w:val="auto"/>
              </w:rPr>
              <w:t>2018</w:t>
            </w:r>
          </w:p>
        </w:tc>
      </w:tr>
      <w:tr>
        <w:trPr>
          <w:trHeight w:val="331"/>
        </w:trPr>
        <w:tc>
          <w:tcPr>
            <w:tcW w:w="51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460" w:type="dxa"/>
            <w:vAlign w:val="bottom"/>
            <w:gridSpan w:val="3"/>
          </w:tcPr>
          <w:p>
            <w:pPr>
              <w:jc w:val="right"/>
              <w:spacing w:after="0"/>
              <w:rPr>
                <w:sz w:val="20"/>
                <w:szCs w:val="20"/>
                <w:color w:val="auto"/>
              </w:rPr>
            </w:pPr>
            <w:r>
              <w:rPr>
                <w:rFonts w:ascii="Arial" w:cs="Arial" w:eastAsia="Arial" w:hAnsi="Arial"/>
                <w:sz w:val="14"/>
                <w:szCs w:val="14"/>
                <w:b w:val="1"/>
                <w:bCs w:val="1"/>
                <w:color w:val="auto"/>
              </w:rPr>
              <w:t>(In millions)</w:t>
            </w:r>
          </w:p>
        </w:tc>
        <w:tc>
          <w:tcPr>
            <w:tcW w:w="10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140" w:type="dxa"/>
            <w:vAlign w:val="bottom"/>
          </w:tcPr>
          <w:p>
            <w:pPr>
              <w:spacing w:after="0"/>
              <w:rPr>
                <w:sz w:val="24"/>
                <w:szCs w:val="24"/>
                <w:color w:val="auto"/>
              </w:rPr>
            </w:pPr>
          </w:p>
        </w:tc>
      </w:tr>
      <w:tr>
        <w:trPr>
          <w:trHeight w:val="276"/>
        </w:trPr>
        <w:tc>
          <w:tcPr>
            <w:tcW w:w="5160" w:type="dxa"/>
            <w:vAlign w:val="bottom"/>
            <w:shd w:val="clear" w:color="auto" w:fill="CCEEFF"/>
          </w:tcPr>
          <w:p>
            <w:pPr>
              <w:ind w:left="40"/>
              <w:spacing w:after="0"/>
              <w:rPr>
                <w:sz w:val="20"/>
                <w:szCs w:val="20"/>
                <w:color w:val="auto"/>
              </w:rPr>
            </w:pPr>
            <w:r>
              <w:rPr>
                <w:rFonts w:ascii="Arial" w:cs="Arial" w:eastAsia="Arial" w:hAnsi="Arial"/>
                <w:sz w:val="18"/>
                <w:szCs w:val="18"/>
                <w:color w:val="auto"/>
              </w:rPr>
              <w:t>Fair value of plan assets at beginning of period</w:t>
            </w:r>
          </w:p>
        </w:tc>
        <w:tc>
          <w:tcPr>
            <w:tcW w:w="34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140" w:type="dxa"/>
            <w:vAlign w:val="bottom"/>
            <w:shd w:val="clear" w:color="auto" w:fill="CCEEFF"/>
          </w:tcPr>
          <w:p>
            <w:pPr>
              <w:jc w:val="right"/>
              <w:ind w:right="14"/>
              <w:spacing w:after="0"/>
              <w:rPr>
                <w:sz w:val="20"/>
                <w:szCs w:val="20"/>
                <w:color w:val="auto"/>
              </w:rPr>
            </w:pPr>
            <w:r>
              <w:rPr>
                <w:rFonts w:ascii="Arial" w:cs="Arial" w:eastAsia="Arial" w:hAnsi="Arial"/>
                <w:sz w:val="18"/>
                <w:szCs w:val="18"/>
                <w:color w:val="auto"/>
              </w:rPr>
              <w:t>10,053</w:t>
            </w:r>
          </w:p>
        </w:tc>
        <w:tc>
          <w:tcPr>
            <w:tcW w:w="100" w:type="dxa"/>
            <w:vAlign w:val="bottom"/>
            <w:shd w:val="clear" w:color="auto" w:fill="CCEEFF"/>
          </w:tcPr>
          <w:p>
            <w:pPr>
              <w:spacing w:after="0"/>
              <w:rPr>
                <w:sz w:val="24"/>
                <w:szCs w:val="24"/>
                <w:color w:val="auto"/>
              </w:rPr>
            </w:pPr>
          </w:p>
        </w:tc>
        <w:tc>
          <w:tcPr>
            <w:tcW w:w="580" w:type="dxa"/>
            <w:vAlign w:val="bottom"/>
            <w:shd w:val="clear" w:color="auto" w:fill="CCEEFF"/>
          </w:tcPr>
          <w:p>
            <w:pPr>
              <w:jc w:val="right"/>
              <w:ind w:right="350"/>
              <w:spacing w:after="0"/>
              <w:rPr>
                <w:sz w:val="20"/>
                <w:szCs w:val="20"/>
                <w:color w:val="auto"/>
              </w:rPr>
            </w:pPr>
            <w:r>
              <w:rPr>
                <w:rFonts w:ascii="Arial" w:cs="Arial" w:eastAsia="Arial" w:hAnsi="Arial"/>
                <w:sz w:val="18"/>
                <w:szCs w:val="18"/>
                <w:color w:val="auto"/>
              </w:rPr>
              <w:t>$</w:t>
            </w:r>
          </w:p>
        </w:tc>
        <w:tc>
          <w:tcPr>
            <w:tcW w:w="920" w:type="dxa"/>
            <w:vAlign w:val="bottom"/>
            <w:shd w:val="clear" w:color="auto" w:fill="CCEEFF"/>
          </w:tcPr>
          <w:p>
            <w:pPr>
              <w:jc w:val="right"/>
              <w:ind w:right="34"/>
              <w:spacing w:after="0"/>
              <w:rPr>
                <w:sz w:val="20"/>
                <w:szCs w:val="20"/>
                <w:color w:val="auto"/>
              </w:rPr>
            </w:pPr>
            <w:r>
              <w:rPr>
                <w:rFonts w:ascii="Arial" w:cs="Arial" w:eastAsia="Arial" w:hAnsi="Arial"/>
                <w:sz w:val="18"/>
                <w:szCs w:val="18"/>
                <w:color w:val="auto"/>
              </w:rPr>
              <w:t>11,395</w:t>
            </w:r>
          </w:p>
        </w:tc>
        <w:tc>
          <w:tcPr>
            <w:tcW w:w="100" w:type="dxa"/>
            <w:vAlign w:val="bottom"/>
            <w:shd w:val="clear" w:color="auto" w:fill="CCEEFF"/>
          </w:tcPr>
          <w:p>
            <w:pPr>
              <w:spacing w:after="0"/>
              <w:rPr>
                <w:sz w:val="24"/>
                <w:szCs w:val="24"/>
                <w:color w:val="auto"/>
              </w:rPr>
            </w:pPr>
          </w:p>
        </w:tc>
        <w:tc>
          <w:tcPr>
            <w:tcW w:w="440" w:type="dxa"/>
            <w:vAlign w:val="bottom"/>
            <w:shd w:val="clear" w:color="auto" w:fill="CCEEFF"/>
          </w:tcPr>
          <w:p>
            <w:pPr>
              <w:jc w:val="right"/>
              <w:ind w:right="230"/>
              <w:spacing w:after="0"/>
              <w:rPr>
                <w:sz w:val="20"/>
                <w:szCs w:val="20"/>
                <w:color w:val="auto"/>
              </w:rPr>
            </w:pPr>
            <w:r>
              <w:rPr>
                <w:rFonts w:ascii="Arial" w:cs="Arial" w:eastAsia="Arial" w:hAnsi="Arial"/>
                <w:sz w:val="18"/>
                <w:szCs w:val="18"/>
                <w:color w:val="auto"/>
                <w:w w:val="99"/>
              </w:rPr>
              <w:t>$</w:t>
            </w:r>
          </w:p>
        </w:tc>
        <w:tc>
          <w:tcPr>
            <w:tcW w:w="1040" w:type="dxa"/>
            <w:vAlign w:val="bottom"/>
            <w:shd w:val="clear" w:color="auto" w:fill="CCEEFF"/>
          </w:tcPr>
          <w:p>
            <w:pPr>
              <w:jc w:val="right"/>
              <w:ind w:right="15"/>
              <w:spacing w:after="0"/>
              <w:rPr>
                <w:sz w:val="20"/>
                <w:szCs w:val="20"/>
                <w:color w:val="auto"/>
              </w:rPr>
            </w:pPr>
            <w:r>
              <w:rPr>
                <w:rFonts w:ascii="Arial" w:cs="Arial" w:eastAsia="Arial" w:hAnsi="Arial"/>
                <w:sz w:val="18"/>
                <w:szCs w:val="18"/>
                <w:color w:val="auto"/>
              </w:rPr>
              <w:t>225</w:t>
            </w:r>
          </w:p>
        </w:tc>
        <w:tc>
          <w:tcPr>
            <w:tcW w:w="120" w:type="dxa"/>
            <w:vAlign w:val="bottom"/>
            <w:shd w:val="clear" w:color="auto" w:fill="CCEEFF"/>
          </w:tcPr>
          <w:p>
            <w:pPr>
              <w:spacing w:after="0"/>
              <w:rPr>
                <w:sz w:val="24"/>
                <w:szCs w:val="24"/>
                <w:color w:val="auto"/>
              </w:rPr>
            </w:pPr>
          </w:p>
        </w:tc>
        <w:tc>
          <w:tcPr>
            <w:tcW w:w="34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14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295</w:t>
            </w:r>
          </w:p>
        </w:tc>
      </w:tr>
      <w:tr>
        <w:trPr>
          <w:trHeight w:val="263"/>
        </w:trPr>
        <w:tc>
          <w:tcPr>
            <w:tcW w:w="5160" w:type="dxa"/>
            <w:vAlign w:val="bottom"/>
          </w:tcPr>
          <w:p>
            <w:pPr>
              <w:ind w:left="280"/>
              <w:spacing w:after="0"/>
              <w:rPr>
                <w:sz w:val="20"/>
                <w:szCs w:val="20"/>
                <w:color w:val="auto"/>
              </w:rPr>
            </w:pPr>
            <w:r>
              <w:rPr>
                <w:rFonts w:ascii="Arial" w:cs="Arial" w:eastAsia="Arial" w:hAnsi="Arial"/>
                <w:sz w:val="18"/>
                <w:szCs w:val="18"/>
                <w:color w:val="auto"/>
              </w:rPr>
              <w:t>Actual return (loss) on plan assets</w:t>
            </w:r>
          </w:p>
        </w:tc>
        <w:tc>
          <w:tcPr>
            <w:tcW w:w="340" w:type="dxa"/>
            <w:vAlign w:val="bottom"/>
          </w:tcPr>
          <w:p>
            <w:pPr>
              <w:spacing w:after="0"/>
              <w:rPr>
                <w:sz w:val="22"/>
                <w:szCs w:val="22"/>
                <w:color w:val="auto"/>
              </w:rPr>
            </w:pPr>
          </w:p>
        </w:tc>
        <w:tc>
          <w:tcPr>
            <w:tcW w:w="1140" w:type="dxa"/>
            <w:vAlign w:val="bottom"/>
          </w:tcPr>
          <w:p>
            <w:pPr>
              <w:jc w:val="right"/>
              <w:ind w:right="14"/>
              <w:spacing w:after="0"/>
              <w:rPr>
                <w:sz w:val="20"/>
                <w:szCs w:val="20"/>
                <w:color w:val="auto"/>
              </w:rPr>
            </w:pPr>
            <w:r>
              <w:rPr>
                <w:rFonts w:ascii="Arial" w:cs="Arial" w:eastAsia="Arial" w:hAnsi="Arial"/>
                <w:sz w:val="18"/>
                <w:szCs w:val="18"/>
                <w:color w:val="auto"/>
              </w:rPr>
              <w:t>2,305</w:t>
            </w:r>
          </w:p>
        </w:tc>
        <w:tc>
          <w:tcPr>
            <w:tcW w:w="100" w:type="dxa"/>
            <w:vAlign w:val="bottom"/>
          </w:tcPr>
          <w:p>
            <w:pPr>
              <w:spacing w:after="0"/>
              <w:rPr>
                <w:sz w:val="22"/>
                <w:szCs w:val="22"/>
                <w:color w:val="auto"/>
              </w:rPr>
            </w:pPr>
          </w:p>
        </w:tc>
        <w:tc>
          <w:tcPr>
            <w:tcW w:w="580" w:type="dxa"/>
            <w:vAlign w:val="bottom"/>
          </w:tcPr>
          <w:p>
            <w:pPr>
              <w:spacing w:after="0"/>
              <w:rPr>
                <w:sz w:val="22"/>
                <w:szCs w:val="22"/>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(1,151)</w:t>
            </w:r>
          </w:p>
        </w:tc>
        <w:tc>
          <w:tcPr>
            <w:tcW w:w="100" w:type="dxa"/>
            <w:vAlign w:val="bottom"/>
          </w:tcPr>
          <w:p>
            <w:pPr>
              <w:spacing w:after="0"/>
              <w:rPr>
                <w:sz w:val="22"/>
                <w:szCs w:val="22"/>
                <w:color w:val="auto"/>
              </w:rPr>
            </w:pPr>
          </w:p>
        </w:tc>
        <w:tc>
          <w:tcPr>
            <w:tcW w:w="440" w:type="dxa"/>
            <w:vAlign w:val="bottom"/>
          </w:tcPr>
          <w:p>
            <w:pPr>
              <w:spacing w:after="0"/>
              <w:rPr>
                <w:sz w:val="22"/>
                <w:szCs w:val="22"/>
                <w:color w:val="auto"/>
              </w:rPr>
            </w:pPr>
          </w:p>
        </w:tc>
        <w:tc>
          <w:tcPr>
            <w:tcW w:w="1040" w:type="dxa"/>
            <w:vAlign w:val="bottom"/>
          </w:tcPr>
          <w:p>
            <w:pPr>
              <w:jc w:val="right"/>
              <w:ind w:right="15"/>
              <w:spacing w:after="0"/>
              <w:rPr>
                <w:sz w:val="20"/>
                <w:szCs w:val="20"/>
                <w:color w:val="auto"/>
              </w:rPr>
            </w:pPr>
            <w:r>
              <w:rPr>
                <w:rFonts w:ascii="Arial" w:cs="Arial" w:eastAsia="Arial" w:hAnsi="Arial"/>
                <w:sz w:val="18"/>
                <w:szCs w:val="18"/>
                <w:color w:val="auto"/>
              </w:rPr>
              <w:t>41</w:t>
            </w:r>
          </w:p>
        </w:tc>
        <w:tc>
          <w:tcPr>
            <w:tcW w:w="12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(24)</w:t>
            </w:r>
          </w:p>
        </w:tc>
      </w:tr>
      <w:tr>
        <w:trPr>
          <w:trHeight w:val="277"/>
        </w:trPr>
        <w:tc>
          <w:tcPr>
            <w:tcW w:w="5160" w:type="dxa"/>
            <w:vAlign w:val="bottom"/>
            <w:shd w:val="clear" w:color="auto" w:fill="CCEEFF"/>
          </w:tcPr>
          <w:p>
            <w:pPr>
              <w:ind w:left="280"/>
              <w:spacing w:after="0"/>
              <w:rPr>
                <w:sz w:val="20"/>
                <w:szCs w:val="20"/>
                <w:color w:val="auto"/>
              </w:rPr>
            </w:pPr>
            <w:r>
              <w:rPr>
                <w:rFonts w:ascii="Arial" w:cs="Arial" w:eastAsia="Arial" w:hAnsi="Arial"/>
                <w:sz w:val="18"/>
                <w:szCs w:val="18"/>
                <w:color w:val="auto"/>
              </w:rPr>
              <w:t xml:space="preserve">Employer contributions </w:t>
            </w:r>
            <w:r>
              <w:rPr>
                <w:rFonts w:ascii="Arial" w:cs="Arial" w:eastAsia="Arial" w:hAnsi="Arial"/>
                <w:sz w:val="21"/>
                <w:szCs w:val="21"/>
                <w:color w:val="auto"/>
                <w:vertAlign w:val="superscript"/>
              </w:rPr>
              <w:t>(3)</w:t>
            </w:r>
          </w:p>
        </w:tc>
        <w:tc>
          <w:tcPr>
            <w:tcW w:w="340" w:type="dxa"/>
            <w:vAlign w:val="bottom"/>
            <w:shd w:val="clear" w:color="auto" w:fill="CCEEFF"/>
          </w:tcPr>
          <w:p>
            <w:pPr>
              <w:spacing w:after="0"/>
              <w:rPr>
                <w:sz w:val="24"/>
                <w:szCs w:val="24"/>
                <w:color w:val="auto"/>
              </w:rPr>
            </w:pPr>
          </w:p>
        </w:tc>
        <w:tc>
          <w:tcPr>
            <w:tcW w:w="1140" w:type="dxa"/>
            <w:vAlign w:val="bottom"/>
            <w:shd w:val="clear" w:color="auto" w:fill="CCEEFF"/>
          </w:tcPr>
          <w:p>
            <w:pPr>
              <w:jc w:val="right"/>
              <w:ind w:right="14"/>
              <w:spacing w:after="0"/>
              <w:rPr>
                <w:sz w:val="20"/>
                <w:szCs w:val="20"/>
                <w:color w:val="auto"/>
              </w:rPr>
            </w:pPr>
            <w:r>
              <w:rPr>
                <w:rFonts w:ascii="Arial" w:cs="Arial" w:eastAsia="Arial" w:hAnsi="Arial"/>
                <w:sz w:val="18"/>
                <w:szCs w:val="18"/>
                <w:color w:val="auto"/>
              </w:rPr>
              <w:t>1,230</w:t>
            </w:r>
          </w:p>
        </w:tc>
        <w:tc>
          <w:tcPr>
            <w:tcW w:w="100" w:type="dxa"/>
            <w:vAlign w:val="bottom"/>
            <w:shd w:val="clear" w:color="auto" w:fill="CCEEFF"/>
          </w:tcPr>
          <w:p>
            <w:pPr>
              <w:spacing w:after="0"/>
              <w:rPr>
                <w:sz w:val="24"/>
                <w:szCs w:val="24"/>
                <w:color w:val="auto"/>
              </w:rPr>
            </w:pPr>
          </w:p>
        </w:tc>
        <w:tc>
          <w:tcPr>
            <w:tcW w:w="580" w:type="dxa"/>
            <w:vAlign w:val="bottom"/>
            <w:shd w:val="clear" w:color="auto" w:fill="CCEEFF"/>
          </w:tcPr>
          <w:p>
            <w:pPr>
              <w:spacing w:after="0"/>
              <w:rPr>
                <w:sz w:val="24"/>
                <w:szCs w:val="24"/>
                <w:color w:val="auto"/>
              </w:rPr>
            </w:pPr>
          </w:p>
        </w:tc>
        <w:tc>
          <w:tcPr>
            <w:tcW w:w="920" w:type="dxa"/>
            <w:vAlign w:val="bottom"/>
            <w:shd w:val="clear" w:color="auto" w:fill="CCEEFF"/>
          </w:tcPr>
          <w:p>
            <w:pPr>
              <w:jc w:val="right"/>
              <w:ind w:right="34"/>
              <w:spacing w:after="0"/>
              <w:rPr>
                <w:sz w:val="20"/>
                <w:szCs w:val="20"/>
                <w:color w:val="auto"/>
              </w:rPr>
            </w:pPr>
            <w:r>
              <w:rPr>
                <w:rFonts w:ascii="Arial" w:cs="Arial" w:eastAsia="Arial" w:hAnsi="Arial"/>
                <w:sz w:val="18"/>
                <w:szCs w:val="18"/>
                <w:color w:val="auto"/>
              </w:rPr>
              <w:t>475</w:t>
            </w:r>
          </w:p>
        </w:tc>
        <w:tc>
          <w:tcPr>
            <w:tcW w:w="100" w:type="dxa"/>
            <w:vAlign w:val="bottom"/>
            <w:shd w:val="clear" w:color="auto" w:fill="CCEEFF"/>
          </w:tcPr>
          <w:p>
            <w:pPr>
              <w:spacing w:after="0"/>
              <w:rPr>
                <w:sz w:val="24"/>
                <w:szCs w:val="24"/>
                <w:color w:val="auto"/>
              </w:rPr>
            </w:pPr>
          </w:p>
        </w:tc>
        <w:tc>
          <w:tcPr>
            <w:tcW w:w="440" w:type="dxa"/>
            <w:vAlign w:val="bottom"/>
            <w:shd w:val="clear" w:color="auto" w:fill="CCEEFF"/>
          </w:tcPr>
          <w:p>
            <w:pPr>
              <w:spacing w:after="0"/>
              <w:rPr>
                <w:sz w:val="24"/>
                <w:szCs w:val="24"/>
                <w:color w:val="auto"/>
              </w:rPr>
            </w:pPr>
          </w:p>
        </w:tc>
        <w:tc>
          <w:tcPr>
            <w:tcW w:w="1040" w:type="dxa"/>
            <w:vAlign w:val="bottom"/>
            <w:shd w:val="clear" w:color="auto" w:fill="CCEEFF"/>
          </w:tcPr>
          <w:p>
            <w:pPr>
              <w:jc w:val="right"/>
              <w:ind w:right="15"/>
              <w:spacing w:after="0"/>
              <w:rPr>
                <w:sz w:val="20"/>
                <w:szCs w:val="20"/>
                <w:color w:val="auto"/>
              </w:rPr>
            </w:pPr>
            <w:r>
              <w:rPr>
                <w:rFonts w:ascii="Arial" w:cs="Arial" w:eastAsia="Arial" w:hAnsi="Arial"/>
                <w:sz w:val="18"/>
                <w:szCs w:val="18"/>
                <w:color w:val="auto"/>
              </w:rPr>
              <w:t>12</w:t>
            </w:r>
          </w:p>
        </w:tc>
        <w:tc>
          <w:tcPr>
            <w:tcW w:w="120" w:type="dxa"/>
            <w:vAlign w:val="bottom"/>
            <w:shd w:val="clear" w:color="auto" w:fill="CCEEFF"/>
          </w:tcPr>
          <w:p>
            <w:pPr>
              <w:spacing w:after="0"/>
              <w:rPr>
                <w:sz w:val="24"/>
                <w:szCs w:val="24"/>
                <w:color w:val="auto"/>
              </w:rPr>
            </w:pPr>
          </w:p>
        </w:tc>
        <w:tc>
          <w:tcPr>
            <w:tcW w:w="340" w:type="dxa"/>
            <w:vAlign w:val="bottom"/>
            <w:shd w:val="clear" w:color="auto" w:fill="CCEEFF"/>
          </w:tcPr>
          <w:p>
            <w:pPr>
              <w:spacing w:after="0"/>
              <w:rPr>
                <w:sz w:val="24"/>
                <w:szCs w:val="24"/>
                <w:color w:val="auto"/>
              </w:rPr>
            </w:pPr>
          </w:p>
        </w:tc>
        <w:tc>
          <w:tcPr>
            <w:tcW w:w="114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35</w:t>
            </w:r>
          </w:p>
        </w:tc>
      </w:tr>
      <w:tr>
        <w:trPr>
          <w:trHeight w:val="263"/>
        </w:trPr>
        <w:tc>
          <w:tcPr>
            <w:tcW w:w="5160" w:type="dxa"/>
            <w:vAlign w:val="bottom"/>
          </w:tcPr>
          <w:p>
            <w:pPr>
              <w:ind w:left="280"/>
              <w:spacing w:after="0"/>
              <w:rPr>
                <w:sz w:val="20"/>
                <w:szCs w:val="20"/>
                <w:color w:val="auto"/>
              </w:rPr>
            </w:pPr>
            <w:r>
              <w:rPr>
                <w:rFonts w:ascii="Arial" w:cs="Arial" w:eastAsia="Arial" w:hAnsi="Arial"/>
                <w:sz w:val="18"/>
                <w:szCs w:val="18"/>
                <w:color w:val="auto"/>
              </w:rPr>
              <w:t>Settlements</w:t>
            </w:r>
          </w:p>
        </w:tc>
        <w:tc>
          <w:tcPr>
            <w:tcW w:w="340" w:type="dxa"/>
            <w:vAlign w:val="bottom"/>
          </w:tcPr>
          <w:p>
            <w:pPr>
              <w:spacing w:after="0"/>
              <w:rPr>
                <w:sz w:val="22"/>
                <w:szCs w:val="22"/>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(2)</w:t>
            </w:r>
          </w:p>
        </w:tc>
        <w:tc>
          <w:tcPr>
            <w:tcW w:w="100" w:type="dxa"/>
            <w:vAlign w:val="bottom"/>
          </w:tcPr>
          <w:p>
            <w:pPr>
              <w:spacing w:after="0"/>
              <w:rPr>
                <w:sz w:val="22"/>
                <w:szCs w:val="22"/>
                <w:color w:val="auto"/>
              </w:rPr>
            </w:pPr>
          </w:p>
        </w:tc>
        <w:tc>
          <w:tcPr>
            <w:tcW w:w="580" w:type="dxa"/>
            <w:vAlign w:val="bottom"/>
          </w:tcPr>
          <w:p>
            <w:pPr>
              <w:spacing w:after="0"/>
              <w:rPr>
                <w:sz w:val="22"/>
                <w:szCs w:val="22"/>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(4)</w:t>
            </w:r>
          </w:p>
        </w:tc>
        <w:tc>
          <w:tcPr>
            <w:tcW w:w="100" w:type="dxa"/>
            <w:vAlign w:val="bottom"/>
          </w:tcPr>
          <w:p>
            <w:pPr>
              <w:spacing w:after="0"/>
              <w:rPr>
                <w:sz w:val="22"/>
                <w:szCs w:val="22"/>
                <w:color w:val="auto"/>
              </w:rPr>
            </w:pPr>
          </w:p>
        </w:tc>
        <w:tc>
          <w:tcPr>
            <w:tcW w:w="440" w:type="dxa"/>
            <w:vAlign w:val="bottom"/>
          </w:tcPr>
          <w:p>
            <w:pPr>
              <w:spacing w:after="0"/>
              <w:rPr>
                <w:sz w:val="22"/>
                <w:szCs w:val="22"/>
                <w:color w:val="auto"/>
              </w:rPr>
            </w:pPr>
          </w:p>
        </w:tc>
        <w:tc>
          <w:tcPr>
            <w:tcW w:w="11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340" w:type="dxa"/>
            <w:vAlign w:val="bottom"/>
          </w:tcPr>
          <w:p>
            <w:pPr>
              <w:spacing w:after="0"/>
              <w:rPr>
                <w:sz w:val="22"/>
                <w:szCs w:val="22"/>
                <w:color w:val="auto"/>
              </w:rPr>
            </w:pPr>
          </w:p>
        </w:tc>
        <w:tc>
          <w:tcPr>
            <w:tcW w:w="1140" w:type="dxa"/>
            <w:vAlign w:val="bottom"/>
          </w:tcPr>
          <w:p>
            <w:pPr>
              <w:jc w:val="right"/>
              <w:ind w:right="12"/>
              <w:spacing w:after="0"/>
              <w:rPr>
                <w:sz w:val="20"/>
                <w:szCs w:val="20"/>
                <w:color w:val="auto"/>
              </w:rPr>
            </w:pPr>
            <w:r>
              <w:rPr>
                <w:rFonts w:ascii="Arial" w:cs="Arial" w:eastAsia="Arial" w:hAnsi="Arial"/>
                <w:sz w:val="18"/>
                <w:szCs w:val="18"/>
                <w:color w:val="auto"/>
              </w:rPr>
              <w:t>—</w:t>
            </w:r>
          </w:p>
        </w:tc>
      </w:tr>
      <w:tr>
        <w:trPr>
          <w:trHeight w:val="277"/>
        </w:trPr>
        <w:tc>
          <w:tcPr>
            <w:tcW w:w="5160" w:type="dxa"/>
            <w:vAlign w:val="bottom"/>
            <w:shd w:val="clear" w:color="auto" w:fill="CCEEFF"/>
          </w:tcPr>
          <w:p>
            <w:pPr>
              <w:ind w:left="280"/>
              <w:spacing w:after="0"/>
              <w:rPr>
                <w:sz w:val="20"/>
                <w:szCs w:val="20"/>
                <w:color w:val="auto"/>
              </w:rPr>
            </w:pPr>
            <w:r>
              <w:rPr>
                <w:rFonts w:ascii="Arial" w:cs="Arial" w:eastAsia="Arial" w:hAnsi="Arial"/>
                <w:sz w:val="18"/>
                <w:szCs w:val="18"/>
                <w:color w:val="auto"/>
              </w:rPr>
              <w:t>Benefit payments</w:t>
            </w:r>
          </w:p>
        </w:tc>
        <w:tc>
          <w:tcPr>
            <w:tcW w:w="340" w:type="dxa"/>
            <w:vAlign w:val="bottom"/>
            <w:tcBorders>
              <w:bottom w:val="single" w:sz="8" w:color="auto"/>
            </w:tcBorders>
            <w:shd w:val="clear" w:color="auto" w:fill="CCEEFF"/>
          </w:tcPr>
          <w:p>
            <w:pPr>
              <w:spacing w:after="0"/>
              <w:rPr>
                <w:sz w:val="24"/>
                <w:szCs w:val="24"/>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(689)</w:t>
            </w:r>
          </w:p>
        </w:tc>
        <w:tc>
          <w:tcPr>
            <w:tcW w:w="100" w:type="dxa"/>
            <w:vAlign w:val="bottom"/>
            <w:shd w:val="clear" w:color="auto" w:fill="CCEEFF"/>
          </w:tcPr>
          <w:p>
            <w:pPr>
              <w:spacing w:after="0"/>
              <w:rPr>
                <w:sz w:val="24"/>
                <w:szCs w:val="24"/>
                <w:color w:val="auto"/>
              </w:rPr>
            </w:pPr>
          </w:p>
        </w:tc>
        <w:tc>
          <w:tcPr>
            <w:tcW w:w="580" w:type="dxa"/>
            <w:vAlign w:val="bottom"/>
            <w:tcBorders>
              <w:bottom w:val="single" w:sz="8" w:color="auto"/>
            </w:tcBorders>
            <w:shd w:val="clear" w:color="auto" w:fill="CCEEFF"/>
          </w:tcPr>
          <w:p>
            <w:pPr>
              <w:spacing w:after="0"/>
              <w:rPr>
                <w:sz w:val="24"/>
                <w:szCs w:val="24"/>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(662)</w:t>
            </w:r>
          </w:p>
        </w:tc>
        <w:tc>
          <w:tcPr>
            <w:tcW w:w="100" w:type="dxa"/>
            <w:vAlign w:val="bottom"/>
            <w:shd w:val="clear" w:color="auto" w:fill="CCEEFF"/>
          </w:tcPr>
          <w:p>
            <w:pPr>
              <w:spacing w:after="0"/>
              <w:rPr>
                <w:sz w:val="24"/>
                <w:szCs w:val="24"/>
                <w:color w:val="auto"/>
              </w:rPr>
            </w:pPr>
          </w:p>
        </w:tc>
        <w:tc>
          <w:tcPr>
            <w:tcW w:w="440" w:type="dxa"/>
            <w:vAlign w:val="bottom"/>
            <w:tcBorders>
              <w:bottom w:val="single" w:sz="8" w:color="auto"/>
            </w:tcBorders>
            <w:shd w:val="clear" w:color="auto" w:fill="CCEEFF"/>
          </w:tcPr>
          <w:p>
            <w:pPr>
              <w:spacing w:after="0"/>
              <w:rPr>
                <w:sz w:val="24"/>
                <w:szCs w:val="24"/>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(74)</w:t>
            </w:r>
          </w:p>
        </w:tc>
        <w:tc>
          <w:tcPr>
            <w:tcW w:w="120" w:type="dxa"/>
            <w:vAlign w:val="bottom"/>
            <w:shd w:val="clear" w:color="auto" w:fill="CCEEFF"/>
          </w:tcPr>
          <w:p>
            <w:pPr>
              <w:spacing w:after="0"/>
              <w:rPr>
                <w:sz w:val="24"/>
                <w:szCs w:val="24"/>
                <w:color w:val="auto"/>
              </w:rPr>
            </w:pPr>
          </w:p>
        </w:tc>
        <w:tc>
          <w:tcPr>
            <w:tcW w:w="340" w:type="dxa"/>
            <w:vAlign w:val="bottom"/>
            <w:tcBorders>
              <w:bottom w:val="single" w:sz="8" w:color="auto"/>
            </w:tcBorders>
            <w:shd w:val="clear" w:color="auto" w:fill="CCEEFF"/>
          </w:tcPr>
          <w:p>
            <w:pPr>
              <w:spacing w:after="0"/>
              <w:rPr>
                <w:sz w:val="24"/>
                <w:szCs w:val="24"/>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(81)</w:t>
            </w:r>
          </w:p>
        </w:tc>
      </w:tr>
      <w:tr>
        <w:trPr>
          <w:trHeight w:val="284"/>
        </w:trPr>
        <w:tc>
          <w:tcPr>
            <w:tcW w:w="5160" w:type="dxa"/>
            <w:vAlign w:val="bottom"/>
            <w:tcBorders>
              <w:bottom w:val="single" w:sz="8" w:color="CCEEFF"/>
            </w:tcBorders>
          </w:tcPr>
          <w:p>
            <w:pPr>
              <w:ind w:left="40"/>
              <w:spacing w:after="0"/>
              <w:rPr>
                <w:sz w:val="20"/>
                <w:szCs w:val="20"/>
                <w:color w:val="auto"/>
              </w:rPr>
            </w:pPr>
            <w:r>
              <w:rPr>
                <w:rFonts w:ascii="Arial" w:cs="Arial" w:eastAsia="Arial" w:hAnsi="Arial"/>
                <w:sz w:val="18"/>
                <w:szCs w:val="18"/>
                <w:color w:val="auto"/>
              </w:rPr>
              <w:t>Fair value of plan assets at end of period</w:t>
            </w:r>
          </w:p>
        </w:tc>
        <w:tc>
          <w:tcPr>
            <w:tcW w:w="340" w:type="dxa"/>
            <w:vAlign w:val="bottom"/>
            <w:tcBorders>
              <w:bottom w:val="single" w:sz="8" w:color="auto"/>
            </w:tcBorders>
          </w:tcPr>
          <w:p>
            <w:pPr>
              <w:jc w:val="right"/>
              <w:ind w:right="130"/>
              <w:spacing w:after="0"/>
              <w:rPr>
                <w:sz w:val="20"/>
                <w:szCs w:val="20"/>
                <w:color w:val="auto"/>
              </w:rPr>
            </w:pPr>
            <w:r>
              <w:rPr>
                <w:rFonts w:ascii="Arial" w:cs="Arial" w:eastAsia="Arial" w:hAnsi="Arial"/>
                <w:sz w:val="18"/>
                <w:szCs w:val="18"/>
                <w:color w:val="auto"/>
                <w:w w:val="99"/>
              </w:rPr>
              <w:t>$</w:t>
            </w:r>
          </w:p>
        </w:tc>
        <w:tc>
          <w:tcPr>
            <w:tcW w:w="1140" w:type="dxa"/>
            <w:vAlign w:val="bottom"/>
            <w:tcBorders>
              <w:bottom w:val="single" w:sz="8" w:color="auto"/>
            </w:tcBorders>
          </w:tcPr>
          <w:p>
            <w:pPr>
              <w:jc w:val="right"/>
              <w:ind w:right="14"/>
              <w:spacing w:after="0"/>
              <w:rPr>
                <w:sz w:val="20"/>
                <w:szCs w:val="20"/>
                <w:color w:val="auto"/>
              </w:rPr>
            </w:pPr>
            <w:r>
              <w:rPr>
                <w:rFonts w:ascii="Arial" w:cs="Arial" w:eastAsia="Arial" w:hAnsi="Arial"/>
                <w:sz w:val="18"/>
                <w:szCs w:val="18"/>
                <w:color w:val="auto"/>
              </w:rPr>
              <w:t>12,897</w:t>
            </w:r>
          </w:p>
        </w:tc>
        <w:tc>
          <w:tcPr>
            <w:tcW w:w="100" w:type="dxa"/>
            <w:vAlign w:val="bottom"/>
            <w:tcBorders>
              <w:bottom w:val="single" w:sz="8" w:color="CCEEFF"/>
            </w:tcBorders>
          </w:tcPr>
          <w:p>
            <w:pPr>
              <w:spacing w:after="0"/>
              <w:rPr>
                <w:sz w:val="24"/>
                <w:szCs w:val="24"/>
                <w:color w:val="auto"/>
              </w:rPr>
            </w:pPr>
          </w:p>
        </w:tc>
        <w:tc>
          <w:tcPr>
            <w:tcW w:w="580" w:type="dxa"/>
            <w:vAlign w:val="bottom"/>
            <w:tcBorders>
              <w:bottom w:val="single" w:sz="8" w:color="auto"/>
            </w:tcBorders>
          </w:tcPr>
          <w:p>
            <w:pPr>
              <w:jc w:val="right"/>
              <w:ind w:right="350"/>
              <w:spacing w:after="0"/>
              <w:rPr>
                <w:sz w:val="20"/>
                <w:szCs w:val="20"/>
                <w:color w:val="auto"/>
              </w:rPr>
            </w:pPr>
            <w:r>
              <w:rPr>
                <w:rFonts w:ascii="Arial" w:cs="Arial" w:eastAsia="Arial" w:hAnsi="Arial"/>
                <w:sz w:val="18"/>
                <w:szCs w:val="18"/>
                <w:color w:val="auto"/>
              </w:rPr>
              <w:t>$</w:t>
            </w:r>
          </w:p>
        </w:tc>
        <w:tc>
          <w:tcPr>
            <w:tcW w:w="920" w:type="dxa"/>
            <w:vAlign w:val="bottom"/>
            <w:tcBorders>
              <w:bottom w:val="single" w:sz="8" w:color="auto"/>
            </w:tcBorders>
          </w:tcPr>
          <w:p>
            <w:pPr>
              <w:jc w:val="right"/>
              <w:ind w:right="34"/>
              <w:spacing w:after="0"/>
              <w:rPr>
                <w:sz w:val="20"/>
                <w:szCs w:val="20"/>
                <w:color w:val="auto"/>
              </w:rPr>
            </w:pPr>
            <w:r>
              <w:rPr>
                <w:rFonts w:ascii="Arial" w:cs="Arial" w:eastAsia="Arial" w:hAnsi="Arial"/>
                <w:sz w:val="18"/>
                <w:szCs w:val="18"/>
                <w:color w:val="auto"/>
              </w:rPr>
              <w:t>10,053</w:t>
            </w:r>
          </w:p>
        </w:tc>
        <w:tc>
          <w:tcPr>
            <w:tcW w:w="100" w:type="dxa"/>
            <w:vAlign w:val="bottom"/>
            <w:tcBorders>
              <w:bottom w:val="single" w:sz="8" w:color="CCEEFF"/>
            </w:tcBorders>
          </w:tcPr>
          <w:p>
            <w:pPr>
              <w:spacing w:after="0"/>
              <w:rPr>
                <w:sz w:val="24"/>
                <w:szCs w:val="24"/>
                <w:color w:val="auto"/>
              </w:rPr>
            </w:pPr>
          </w:p>
        </w:tc>
        <w:tc>
          <w:tcPr>
            <w:tcW w:w="440" w:type="dxa"/>
            <w:vAlign w:val="bottom"/>
            <w:tcBorders>
              <w:bottom w:val="single" w:sz="8" w:color="auto"/>
            </w:tcBorders>
          </w:tcPr>
          <w:p>
            <w:pPr>
              <w:jc w:val="right"/>
              <w:ind w:right="230"/>
              <w:spacing w:after="0"/>
              <w:rPr>
                <w:sz w:val="20"/>
                <w:szCs w:val="20"/>
                <w:color w:val="auto"/>
              </w:rPr>
            </w:pPr>
            <w:r>
              <w:rPr>
                <w:rFonts w:ascii="Arial" w:cs="Arial" w:eastAsia="Arial" w:hAnsi="Arial"/>
                <w:sz w:val="18"/>
                <w:szCs w:val="18"/>
                <w:color w:val="auto"/>
                <w:w w:val="99"/>
              </w:rPr>
              <w:t>$</w:t>
            </w:r>
          </w:p>
        </w:tc>
        <w:tc>
          <w:tcPr>
            <w:tcW w:w="1040" w:type="dxa"/>
            <w:vAlign w:val="bottom"/>
            <w:tcBorders>
              <w:bottom w:val="single" w:sz="8" w:color="auto"/>
            </w:tcBorders>
          </w:tcPr>
          <w:p>
            <w:pPr>
              <w:jc w:val="right"/>
              <w:ind w:right="15"/>
              <w:spacing w:after="0"/>
              <w:rPr>
                <w:sz w:val="20"/>
                <w:szCs w:val="20"/>
                <w:color w:val="auto"/>
              </w:rPr>
            </w:pPr>
            <w:r>
              <w:rPr>
                <w:rFonts w:ascii="Arial" w:cs="Arial" w:eastAsia="Arial" w:hAnsi="Arial"/>
                <w:sz w:val="18"/>
                <w:szCs w:val="18"/>
                <w:color w:val="auto"/>
              </w:rPr>
              <w:t>204</w:t>
            </w:r>
          </w:p>
        </w:tc>
        <w:tc>
          <w:tcPr>
            <w:tcW w:w="120" w:type="dxa"/>
            <w:vAlign w:val="bottom"/>
            <w:tcBorders>
              <w:bottom w:val="single" w:sz="8" w:color="CCEEFF"/>
            </w:tcBorders>
          </w:tcPr>
          <w:p>
            <w:pPr>
              <w:spacing w:after="0"/>
              <w:rPr>
                <w:sz w:val="24"/>
                <w:szCs w:val="24"/>
                <w:color w:val="auto"/>
              </w:rPr>
            </w:pPr>
          </w:p>
        </w:tc>
        <w:tc>
          <w:tcPr>
            <w:tcW w:w="340" w:type="dxa"/>
            <w:vAlign w:val="bottom"/>
            <w:tcBorders>
              <w:bottom w:val="single" w:sz="8" w:color="auto"/>
            </w:tcBorders>
          </w:tcPr>
          <w:p>
            <w:pPr>
              <w:jc w:val="right"/>
              <w:ind w:right="130"/>
              <w:spacing w:after="0"/>
              <w:rPr>
                <w:sz w:val="20"/>
                <w:szCs w:val="20"/>
                <w:color w:val="auto"/>
              </w:rPr>
            </w:pPr>
            <w:r>
              <w:rPr>
                <w:rFonts w:ascii="Arial" w:cs="Arial" w:eastAsia="Arial" w:hAnsi="Arial"/>
                <w:sz w:val="18"/>
                <w:szCs w:val="18"/>
                <w:color w:val="auto"/>
                <w:w w:val="99"/>
              </w:rPr>
              <w:t>$</w:t>
            </w:r>
          </w:p>
        </w:tc>
        <w:tc>
          <w:tcPr>
            <w:tcW w:w="1140" w:type="dxa"/>
            <w:vAlign w:val="bottom"/>
            <w:tcBorders>
              <w:bottom w:val="single" w:sz="8" w:color="auto"/>
            </w:tcBorders>
          </w:tcPr>
          <w:p>
            <w:pPr>
              <w:jc w:val="right"/>
              <w:ind w:right="12"/>
              <w:spacing w:after="0"/>
              <w:rPr>
                <w:sz w:val="20"/>
                <w:szCs w:val="20"/>
                <w:color w:val="auto"/>
              </w:rPr>
            </w:pPr>
            <w:r>
              <w:rPr>
                <w:rFonts w:ascii="Arial" w:cs="Arial" w:eastAsia="Arial" w:hAnsi="Arial"/>
                <w:sz w:val="18"/>
                <w:szCs w:val="18"/>
                <w:color w:val="auto"/>
              </w:rPr>
              <w:t>225</w:t>
            </w:r>
          </w:p>
        </w:tc>
      </w:tr>
      <w:tr>
        <w:trPr>
          <w:trHeight w:val="237"/>
        </w:trPr>
        <w:tc>
          <w:tcPr>
            <w:tcW w:w="5160" w:type="dxa"/>
            <w:vAlign w:val="bottom"/>
            <w:tcBorders>
              <w:bottom w:val="single" w:sz="8" w:color="CCEEFF"/>
            </w:tcBorders>
            <w:shd w:val="clear" w:color="auto" w:fill="CCEEFF"/>
          </w:tcPr>
          <w:p>
            <w:pPr>
              <w:ind w:left="40"/>
              <w:spacing w:after="0" w:line="203" w:lineRule="exact"/>
              <w:rPr>
                <w:sz w:val="20"/>
                <w:szCs w:val="20"/>
                <w:color w:val="auto"/>
              </w:rPr>
            </w:pPr>
            <w:r>
              <w:rPr>
                <w:rFonts w:ascii="Arial" w:cs="Arial" w:eastAsia="Arial" w:hAnsi="Arial"/>
                <w:sz w:val="18"/>
                <w:szCs w:val="18"/>
                <w:color w:val="auto"/>
              </w:rPr>
              <w:t>Funded status at end of period</w:t>
            </w:r>
          </w:p>
        </w:tc>
        <w:tc>
          <w:tcPr>
            <w:tcW w:w="340" w:type="dxa"/>
            <w:vAlign w:val="bottom"/>
            <w:tcBorders>
              <w:bottom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(5,461)</w:t>
            </w:r>
          </w:p>
        </w:tc>
        <w:tc>
          <w:tcPr>
            <w:tcW w:w="100" w:type="dxa"/>
            <w:vAlign w:val="bottom"/>
            <w:tcBorders>
              <w:bottom w:val="single" w:sz="8" w:color="CCEEFF"/>
            </w:tcBorders>
            <w:shd w:val="clear" w:color="auto" w:fill="CCEEFF"/>
          </w:tcPr>
          <w:p>
            <w:pPr>
              <w:spacing w:after="0"/>
              <w:rPr>
                <w:sz w:val="20"/>
                <w:szCs w:val="20"/>
                <w:color w:val="auto"/>
              </w:rPr>
            </w:pPr>
          </w:p>
        </w:tc>
        <w:tc>
          <w:tcPr>
            <w:tcW w:w="580" w:type="dxa"/>
            <w:vAlign w:val="bottom"/>
            <w:tcBorders>
              <w:bottom w:val="single" w:sz="8" w:color="auto"/>
            </w:tcBorders>
            <w:shd w:val="clear" w:color="auto" w:fill="CCEEFF"/>
          </w:tcPr>
          <w:p>
            <w:pPr>
              <w:jc w:val="right"/>
              <w:ind w:right="350"/>
              <w:spacing w:after="0"/>
              <w:rPr>
                <w:sz w:val="20"/>
                <w:szCs w:val="20"/>
                <w:color w:val="auto"/>
              </w:rPr>
            </w:pPr>
            <w:r>
              <w:rPr>
                <w:rFonts w:ascii="Arial" w:cs="Arial" w:eastAsia="Arial" w:hAnsi="Arial"/>
                <w:sz w:val="18"/>
                <w:szCs w:val="18"/>
                <w:color w:val="auto"/>
              </w:rPr>
              <w:t>$</w:t>
            </w: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(6,325)</w:t>
            </w:r>
          </w:p>
        </w:tc>
        <w:tc>
          <w:tcPr>
            <w:tcW w:w="100" w:type="dxa"/>
            <w:vAlign w:val="bottom"/>
            <w:tcBorders>
              <w:bottom w:val="single" w:sz="8" w:color="CCEEFF"/>
            </w:tcBorders>
            <w:shd w:val="clear" w:color="auto" w:fill="CCEEFF"/>
          </w:tcPr>
          <w:p>
            <w:pPr>
              <w:spacing w:after="0"/>
              <w:rPr>
                <w:sz w:val="20"/>
                <w:szCs w:val="20"/>
                <w:color w:val="auto"/>
              </w:rPr>
            </w:pPr>
          </w:p>
        </w:tc>
        <w:tc>
          <w:tcPr>
            <w:tcW w:w="440" w:type="dxa"/>
            <w:vAlign w:val="bottom"/>
            <w:tcBorders>
              <w:bottom w:val="single" w:sz="8" w:color="auto"/>
            </w:tcBorders>
            <w:shd w:val="clear" w:color="auto" w:fill="CCEEFF"/>
          </w:tcPr>
          <w:p>
            <w:pPr>
              <w:jc w:val="right"/>
              <w:ind w:right="230"/>
              <w:spacing w:after="0"/>
              <w:rPr>
                <w:sz w:val="20"/>
                <w:szCs w:val="20"/>
                <w:color w:val="auto"/>
              </w:rPr>
            </w:pPr>
            <w:r>
              <w:rPr>
                <w:rFonts w:ascii="Arial" w:cs="Arial" w:eastAsia="Arial" w:hAnsi="Arial"/>
                <w:sz w:val="18"/>
                <w:szCs w:val="18"/>
                <w:color w:val="auto"/>
                <w:w w:val="99"/>
              </w:rPr>
              <w:t>$</w:t>
            </w: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(620)</w:t>
            </w:r>
          </w:p>
        </w:tc>
        <w:tc>
          <w:tcPr>
            <w:tcW w:w="120" w:type="dxa"/>
            <w:vAlign w:val="bottom"/>
            <w:tcBorders>
              <w:bottom w:val="single" w:sz="8" w:color="CCEEFF"/>
            </w:tcBorders>
            <w:shd w:val="clear" w:color="auto" w:fill="CCEEFF"/>
          </w:tcPr>
          <w:p>
            <w:pPr>
              <w:spacing w:after="0"/>
              <w:rPr>
                <w:sz w:val="20"/>
                <w:szCs w:val="20"/>
                <w:color w:val="auto"/>
              </w:rPr>
            </w:pPr>
          </w:p>
        </w:tc>
        <w:tc>
          <w:tcPr>
            <w:tcW w:w="340" w:type="dxa"/>
            <w:vAlign w:val="bottom"/>
            <w:tcBorders>
              <w:bottom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(612)</w:t>
            </w:r>
          </w:p>
        </w:tc>
      </w:tr>
      <w:tr>
        <w:trPr>
          <w:trHeight w:val="20"/>
        </w:trPr>
        <w:tc>
          <w:tcPr>
            <w:tcW w:w="516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300355</wp:posOffset>
            </wp:positionV>
            <wp:extent cx="1337945" cy="8890"/>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1337945" cy="8890"/>
                    </a:xfrm>
                    <a:prstGeom prst="rect">
                      <a:avLst/>
                    </a:prstGeom>
                    <a:noFill/>
                  </pic:spPr>
                </pic:pic>
              </a:graphicData>
            </a:graphic>
          </wp:anchor>
        </w:drawing>
      </w:r>
    </w:p>
    <w:p>
      <w:pPr>
        <w:spacing w:after="0" w:line="200" w:lineRule="exact"/>
        <w:rPr>
          <w:sz w:val="20"/>
          <w:szCs w:val="20"/>
          <w:color w:val="auto"/>
        </w:rPr>
      </w:pPr>
    </w:p>
    <w:p>
      <w:pPr>
        <w:spacing w:after="0" w:line="346" w:lineRule="exact"/>
        <w:rPr>
          <w:sz w:val="20"/>
          <w:szCs w:val="20"/>
          <w:color w:val="auto"/>
        </w:rPr>
      </w:pPr>
    </w:p>
    <w:p>
      <w:pPr>
        <w:ind w:left="540" w:hanging="532"/>
        <w:spacing w:after="0" w:line="225" w:lineRule="auto"/>
        <w:tabs>
          <w:tab w:leader="none" w:pos="540" w:val="left"/>
        </w:tabs>
        <w:numPr>
          <w:ilvl w:val="0"/>
          <w:numId w:val="42"/>
        </w:numPr>
        <w:rPr>
          <w:rFonts w:ascii="Arial" w:cs="Arial" w:eastAsia="Arial" w:hAnsi="Arial"/>
          <w:sz w:val="22"/>
          <w:szCs w:val="22"/>
          <w:color w:val="auto"/>
          <w:vertAlign w:val="superscript"/>
        </w:rPr>
      </w:pPr>
      <w:r>
        <w:rPr>
          <w:rFonts w:ascii="Arial" w:cs="Arial" w:eastAsia="Arial" w:hAnsi="Arial"/>
          <w:sz w:val="18"/>
          <w:szCs w:val="18"/>
          <w:color w:val="auto"/>
        </w:rPr>
        <w:t>The 2019 and 2018 pension actuarial (gain) loss primarily relates to changes in our weighted average discount rate and mortality assumption and, in 2018, changes to our retirement rate assumptions.</w:t>
      </w:r>
    </w:p>
    <w:p>
      <w:pPr>
        <w:sectPr>
          <w:pgSz w:w="11900" w:h="16838" w:orient="portrait"/>
          <w:cols w:equalWidth="0" w:num="1">
            <w:col w:w="11420"/>
          </w:cols>
          <w:pgMar w:left="240" w:top="549" w:right="239" w:bottom="1440" w:gutter="0" w:footer="0" w:header="0"/>
        </w:sectPr>
      </w:pPr>
    </w:p>
    <w:p>
      <w:pPr>
        <w:spacing w:after="0" w:line="161" w:lineRule="exact"/>
        <w:rPr>
          <w:sz w:val="20"/>
          <w:szCs w:val="20"/>
          <w:color w:val="auto"/>
        </w:rPr>
      </w:pPr>
    </w:p>
    <w:p>
      <w:pPr>
        <w:spacing w:after="0"/>
        <w:rPr>
          <w:sz w:val="20"/>
          <w:szCs w:val="20"/>
          <w:color w:val="auto"/>
        </w:rPr>
      </w:pPr>
      <w:r>
        <w:rPr>
          <w:rFonts w:ascii="Arial" w:cs="Arial" w:eastAsia="Arial" w:hAnsi="Arial"/>
          <w:sz w:val="11"/>
          <w:szCs w:val="11"/>
          <w:color w:val="auto"/>
        </w:rPr>
        <w:t>(2)</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2" w:lineRule="exact"/>
        <w:rPr>
          <w:sz w:val="20"/>
          <w:szCs w:val="20"/>
          <w:color w:val="auto"/>
        </w:rPr>
      </w:pPr>
    </w:p>
    <w:p>
      <w:pPr>
        <w:spacing w:after="0"/>
        <w:rPr>
          <w:sz w:val="20"/>
          <w:szCs w:val="20"/>
          <w:color w:val="auto"/>
        </w:rPr>
      </w:pPr>
      <w:r>
        <w:rPr>
          <w:rFonts w:ascii="Arial" w:cs="Arial" w:eastAsia="Arial" w:hAnsi="Arial"/>
          <w:sz w:val="11"/>
          <w:szCs w:val="11"/>
          <w:color w:val="auto"/>
        </w:rPr>
        <w:t>(3)</w:t>
      </w:r>
    </w:p>
    <w:p>
      <w:pPr>
        <w:spacing w:after="0" w:line="20" w:lineRule="exact"/>
        <w:rPr>
          <w:sz w:val="20"/>
          <w:szCs w:val="20"/>
          <w:color w:val="auto"/>
        </w:rPr>
      </w:pPr>
      <w:r>
        <w:rPr>
          <w:sz w:val="20"/>
          <w:szCs w:val="20"/>
          <w:color w:val="auto"/>
        </w:rPr>
        <w:br w:type="column"/>
      </w:r>
    </w:p>
    <w:p>
      <w:pPr>
        <w:spacing w:after="0" w:line="143" w:lineRule="exact"/>
        <w:rPr>
          <w:sz w:val="20"/>
          <w:szCs w:val="20"/>
          <w:color w:val="auto"/>
        </w:rPr>
      </w:pPr>
    </w:p>
    <w:p>
      <w:pPr>
        <w:jc w:val="both"/>
        <w:ind w:right="20"/>
        <w:spacing w:after="0" w:line="262" w:lineRule="auto"/>
        <w:rPr>
          <w:sz w:val="20"/>
          <w:szCs w:val="20"/>
          <w:color w:val="auto"/>
        </w:rPr>
      </w:pPr>
      <w:r>
        <w:rPr>
          <w:rFonts w:ascii="Arial" w:cs="Arial" w:eastAsia="Arial" w:hAnsi="Arial"/>
          <w:sz w:val="18"/>
          <w:szCs w:val="18"/>
          <w:color w:val="auto"/>
        </w:rPr>
        <w:t>The 2019 retiree medical and other postretirement benefits actuarial loss primarily relates to changes in our weighted average discount rate assumption and plan experience adjustments.</w:t>
      </w:r>
    </w:p>
    <w:p>
      <w:pPr>
        <w:spacing w:after="0" w:line="142" w:lineRule="exact"/>
        <w:rPr>
          <w:sz w:val="20"/>
          <w:szCs w:val="20"/>
          <w:color w:val="auto"/>
        </w:rPr>
      </w:pPr>
    </w:p>
    <w:p>
      <w:pPr>
        <w:jc w:val="both"/>
        <w:spacing w:after="0" w:line="262" w:lineRule="auto"/>
        <w:rPr>
          <w:sz w:val="20"/>
          <w:szCs w:val="20"/>
          <w:color w:val="auto"/>
        </w:rPr>
      </w:pPr>
      <w:r>
        <w:rPr>
          <w:rFonts w:ascii="Arial" w:cs="Arial" w:eastAsia="Arial" w:hAnsi="Arial"/>
          <w:sz w:val="18"/>
          <w:szCs w:val="18"/>
          <w:color w:val="auto"/>
        </w:rPr>
        <w:t>The 2018 retiree medical and other postretirement benefits actuarial gain primarily relates to changes in our weighted average discount rate, medical trend and per capita claims assumptions.</w:t>
      </w:r>
    </w:p>
    <w:p>
      <w:pPr>
        <w:spacing w:after="0" w:line="142" w:lineRule="exact"/>
        <w:rPr>
          <w:sz w:val="20"/>
          <w:szCs w:val="20"/>
          <w:color w:val="auto"/>
        </w:rPr>
      </w:pPr>
    </w:p>
    <w:p>
      <w:pPr>
        <w:jc w:val="both"/>
        <w:spacing w:after="0" w:line="256" w:lineRule="auto"/>
        <w:rPr>
          <w:sz w:val="20"/>
          <w:szCs w:val="20"/>
          <w:color w:val="auto"/>
        </w:rPr>
      </w:pPr>
      <w:r>
        <w:rPr>
          <w:rFonts w:ascii="Arial" w:cs="Arial" w:eastAsia="Arial" w:hAnsi="Arial"/>
          <w:sz w:val="18"/>
          <w:szCs w:val="18"/>
          <w:color w:val="auto"/>
        </w:rPr>
        <w:t>During 2019, we contributed $1.2 billion to our defined benefit pension plans, including supplemental contributions of $444 million and a $786 million minimum required contribution. During 2018, we contributed $475 million to our defined benefit pension plans, including supplemental contributions of $433 million and a $42 million minimum required contribution.</w:t>
      </w:r>
    </w:p>
    <w:p>
      <w:pPr>
        <w:spacing w:after="0" w:line="200" w:lineRule="exact"/>
        <w:rPr>
          <w:sz w:val="20"/>
          <w:szCs w:val="20"/>
          <w:color w:val="auto"/>
        </w:rPr>
      </w:pPr>
    </w:p>
    <w:p>
      <w:pPr>
        <w:sectPr>
          <w:pgSz w:w="11900" w:h="16838" w:orient="portrait"/>
          <w:cols w:equalWidth="0" w:num="2">
            <w:col w:w="140" w:space="400"/>
            <w:col w:w="10880"/>
          </w:cols>
          <w:pgMar w:left="240" w:top="549" w:right="239" w:bottom="1440" w:gutter="0" w:footer="0" w:header="0"/>
          <w:type w:val="continuous"/>
        </w:sectPr>
      </w:pPr>
    </w:p>
    <w:p>
      <w:pPr>
        <w:spacing w:after="0" w:line="7" w:lineRule="exact"/>
        <w:rPr>
          <w:sz w:val="20"/>
          <w:szCs w:val="20"/>
          <w:color w:val="auto"/>
        </w:rPr>
      </w:pPr>
    </w:p>
    <w:p>
      <w:pPr>
        <w:ind w:left="280"/>
        <w:spacing w:after="0"/>
        <w:rPr>
          <w:sz w:val="20"/>
          <w:szCs w:val="20"/>
          <w:color w:val="auto"/>
        </w:rPr>
      </w:pPr>
      <w:r>
        <w:rPr>
          <w:rFonts w:ascii="Arial" w:cs="Arial" w:eastAsia="Arial" w:hAnsi="Arial"/>
          <w:sz w:val="18"/>
          <w:szCs w:val="18"/>
          <w:b w:val="1"/>
          <w:bCs w:val="1"/>
          <w:i w:val="1"/>
          <w:iCs w:val="1"/>
          <w:color w:val="auto"/>
        </w:rPr>
        <w:t>Balance Sheet Position</w:t>
      </w:r>
    </w:p>
    <w:p>
      <w:pPr>
        <w:spacing w:after="0" w:line="343"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40" w:type="dxa"/>
            <w:vAlign w:val="bottom"/>
          </w:tcPr>
          <w:p>
            <w:pPr>
              <w:spacing w:after="0"/>
              <w:rPr>
                <w:sz w:val="14"/>
                <w:szCs w:val="14"/>
                <w:color w:val="auto"/>
              </w:rPr>
            </w:pPr>
          </w:p>
        </w:tc>
        <w:tc>
          <w:tcPr>
            <w:tcW w:w="1580" w:type="dxa"/>
            <w:vAlign w:val="bottom"/>
          </w:tcPr>
          <w:p>
            <w:pPr>
              <w:spacing w:after="0"/>
              <w:rPr>
                <w:sz w:val="14"/>
                <w:szCs w:val="14"/>
                <w:color w:val="auto"/>
              </w:rPr>
            </w:pPr>
          </w:p>
        </w:tc>
        <w:tc>
          <w:tcPr>
            <w:tcW w:w="396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2480" w:type="dxa"/>
            <w:vAlign w:val="bottom"/>
            <w:gridSpan w:val="4"/>
          </w:tcPr>
          <w:p>
            <w:pPr>
              <w:jc w:val="right"/>
              <w:ind w:right="673"/>
              <w:spacing w:after="0"/>
              <w:rPr>
                <w:sz w:val="20"/>
                <w:szCs w:val="20"/>
                <w:color w:val="auto"/>
              </w:rPr>
            </w:pPr>
            <w:r>
              <w:rPr>
                <w:rFonts w:ascii="Arial" w:cs="Arial" w:eastAsia="Arial" w:hAnsi="Arial"/>
                <w:sz w:val="14"/>
                <w:szCs w:val="14"/>
                <w:b w:val="1"/>
                <w:bCs w:val="1"/>
                <w:color w:val="auto"/>
              </w:rPr>
              <w:t>Retiree Medical and</w:t>
            </w:r>
          </w:p>
        </w:tc>
      </w:tr>
      <w:tr>
        <w:trPr>
          <w:trHeight w:val="196"/>
        </w:trPr>
        <w:tc>
          <w:tcPr>
            <w:tcW w:w="40" w:type="dxa"/>
            <w:vAlign w:val="bottom"/>
          </w:tcPr>
          <w:p>
            <w:pPr>
              <w:spacing w:after="0"/>
              <w:rPr>
                <w:sz w:val="17"/>
                <w:szCs w:val="17"/>
                <w:color w:val="auto"/>
              </w:rPr>
            </w:pPr>
          </w:p>
        </w:tc>
        <w:tc>
          <w:tcPr>
            <w:tcW w:w="1580" w:type="dxa"/>
            <w:vAlign w:val="bottom"/>
          </w:tcPr>
          <w:p>
            <w:pPr>
              <w:spacing w:after="0"/>
              <w:rPr>
                <w:sz w:val="17"/>
                <w:szCs w:val="17"/>
                <w:color w:val="auto"/>
              </w:rPr>
            </w:pPr>
          </w:p>
        </w:tc>
        <w:tc>
          <w:tcPr>
            <w:tcW w:w="396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2600" w:type="dxa"/>
            <w:vAlign w:val="bottom"/>
            <w:gridSpan w:val="5"/>
          </w:tcPr>
          <w:p>
            <w:pPr>
              <w:ind w:left="480"/>
              <w:spacing w:after="0"/>
              <w:rPr>
                <w:sz w:val="20"/>
                <w:szCs w:val="20"/>
                <w:color w:val="auto"/>
              </w:rPr>
            </w:pPr>
            <w:r>
              <w:rPr>
                <w:rFonts w:ascii="Arial" w:cs="Arial" w:eastAsia="Arial" w:hAnsi="Arial"/>
                <w:sz w:val="14"/>
                <w:szCs w:val="14"/>
                <w:b w:val="1"/>
                <w:bCs w:val="1"/>
                <w:color w:val="auto"/>
              </w:rPr>
              <w:t>Pension Benefits</w:t>
            </w:r>
          </w:p>
        </w:tc>
        <w:tc>
          <w:tcPr>
            <w:tcW w:w="380" w:type="dxa"/>
            <w:vAlign w:val="bottom"/>
          </w:tcPr>
          <w:p>
            <w:pPr>
              <w:spacing w:after="0"/>
              <w:rPr>
                <w:sz w:val="17"/>
                <w:szCs w:val="17"/>
                <w:color w:val="auto"/>
              </w:rPr>
            </w:pPr>
          </w:p>
        </w:tc>
        <w:tc>
          <w:tcPr>
            <w:tcW w:w="2480" w:type="dxa"/>
            <w:vAlign w:val="bottom"/>
            <w:gridSpan w:val="4"/>
          </w:tcPr>
          <w:p>
            <w:pPr>
              <w:jc w:val="right"/>
              <w:ind w:right="313"/>
              <w:spacing w:after="0"/>
              <w:rPr>
                <w:sz w:val="20"/>
                <w:szCs w:val="20"/>
                <w:color w:val="auto"/>
              </w:rPr>
            </w:pPr>
            <w:r>
              <w:rPr>
                <w:rFonts w:ascii="Arial" w:cs="Arial" w:eastAsia="Arial" w:hAnsi="Arial"/>
                <w:sz w:val="14"/>
                <w:szCs w:val="14"/>
                <w:b w:val="1"/>
                <w:bCs w:val="1"/>
                <w:color w:val="auto"/>
              </w:rPr>
              <w:t>Other Postretirement Benefits</w:t>
            </w:r>
          </w:p>
        </w:tc>
      </w:tr>
      <w:tr>
        <w:trPr>
          <w:trHeight w:val="264"/>
        </w:trPr>
        <w:tc>
          <w:tcPr>
            <w:tcW w:w="40" w:type="dxa"/>
            <w:vAlign w:val="bottom"/>
          </w:tcPr>
          <w:p>
            <w:pPr>
              <w:spacing w:after="0"/>
              <w:rPr>
                <w:sz w:val="22"/>
                <w:szCs w:val="22"/>
                <w:color w:val="auto"/>
              </w:rPr>
            </w:pPr>
          </w:p>
        </w:tc>
        <w:tc>
          <w:tcPr>
            <w:tcW w:w="1580" w:type="dxa"/>
            <w:vAlign w:val="bottom"/>
          </w:tcPr>
          <w:p>
            <w:pPr>
              <w:spacing w:after="0"/>
              <w:rPr>
                <w:sz w:val="22"/>
                <w:szCs w:val="22"/>
                <w:color w:val="auto"/>
              </w:rPr>
            </w:pPr>
          </w:p>
        </w:tc>
        <w:tc>
          <w:tcPr>
            <w:tcW w:w="3960" w:type="dxa"/>
            <w:vAlign w:val="bottom"/>
          </w:tcPr>
          <w:p>
            <w:pPr>
              <w:spacing w:after="0"/>
              <w:rPr>
                <w:sz w:val="22"/>
                <w:szCs w:val="22"/>
                <w:color w:val="auto"/>
              </w:rPr>
            </w:pPr>
          </w:p>
        </w:tc>
        <w:tc>
          <w:tcPr>
            <w:tcW w:w="380" w:type="dxa"/>
            <w:vAlign w:val="bottom"/>
            <w:tcBorders>
              <w:top w:val="single" w:sz="8" w:color="auto"/>
              <w:bottom w:val="single" w:sz="8" w:color="auto"/>
            </w:tcBorders>
          </w:tcPr>
          <w:p>
            <w:pPr>
              <w:spacing w:after="0"/>
              <w:rPr>
                <w:sz w:val="22"/>
                <w:szCs w:val="22"/>
                <w:color w:val="auto"/>
              </w:rPr>
            </w:pPr>
          </w:p>
        </w:tc>
        <w:tc>
          <w:tcPr>
            <w:tcW w:w="1000" w:type="dxa"/>
            <w:vAlign w:val="bottom"/>
            <w:tcBorders>
              <w:top w:val="single" w:sz="8" w:color="auto"/>
              <w:bottom w:val="single" w:sz="8" w:color="auto"/>
            </w:tcBorders>
          </w:tcPr>
          <w:p>
            <w:pPr>
              <w:jc w:val="right"/>
              <w:ind w:right="434"/>
              <w:spacing w:after="0"/>
              <w:rPr>
                <w:sz w:val="20"/>
                <w:szCs w:val="20"/>
                <w:color w:val="auto"/>
              </w:rPr>
            </w:pPr>
            <w:r>
              <w:rPr>
                <w:rFonts w:ascii="Arial" w:cs="Arial" w:eastAsia="Arial" w:hAnsi="Arial"/>
                <w:sz w:val="14"/>
                <w:szCs w:val="14"/>
                <w:b w:val="1"/>
                <w:bCs w:val="1"/>
                <w:color w:val="auto"/>
              </w:rPr>
              <w:t>2019</w:t>
            </w:r>
          </w:p>
        </w:tc>
        <w:tc>
          <w:tcPr>
            <w:tcW w:w="120" w:type="dxa"/>
            <w:vAlign w:val="bottom"/>
            <w:tcBorders>
              <w:top w:val="single" w:sz="8" w:color="auto"/>
            </w:tcBorders>
          </w:tcPr>
          <w:p>
            <w:pPr>
              <w:spacing w:after="0"/>
              <w:rPr>
                <w:sz w:val="22"/>
                <w:szCs w:val="22"/>
                <w:color w:val="auto"/>
              </w:rPr>
            </w:pPr>
          </w:p>
        </w:tc>
        <w:tc>
          <w:tcPr>
            <w:tcW w:w="320" w:type="dxa"/>
            <w:vAlign w:val="bottom"/>
            <w:tcBorders>
              <w:top w:val="single" w:sz="8" w:color="auto"/>
              <w:bottom w:val="single" w:sz="8" w:color="auto"/>
            </w:tcBorders>
          </w:tcPr>
          <w:p>
            <w:pPr>
              <w:spacing w:after="0"/>
              <w:rPr>
                <w:sz w:val="22"/>
                <w:szCs w:val="22"/>
                <w:color w:val="auto"/>
              </w:rPr>
            </w:pPr>
          </w:p>
        </w:tc>
        <w:tc>
          <w:tcPr>
            <w:tcW w:w="1040" w:type="dxa"/>
            <w:vAlign w:val="bottom"/>
            <w:tcBorders>
              <w:top w:val="single" w:sz="8" w:color="auto"/>
              <w:bottom w:val="single" w:sz="8" w:color="auto"/>
            </w:tcBorders>
          </w:tcPr>
          <w:p>
            <w:pPr>
              <w:jc w:val="right"/>
              <w:ind w:right="434"/>
              <w:spacing w:after="0"/>
              <w:rPr>
                <w:sz w:val="20"/>
                <w:szCs w:val="20"/>
                <w:color w:val="auto"/>
              </w:rPr>
            </w:pPr>
            <w:r>
              <w:rPr>
                <w:rFonts w:ascii="Arial" w:cs="Arial" w:eastAsia="Arial" w:hAnsi="Arial"/>
                <w:sz w:val="14"/>
                <w:szCs w:val="14"/>
                <w:b w:val="1"/>
                <w:bCs w:val="1"/>
                <w:color w:val="auto"/>
              </w:rPr>
              <w:t>2018</w:t>
            </w:r>
          </w:p>
        </w:tc>
        <w:tc>
          <w:tcPr>
            <w:tcW w:w="120" w:type="dxa"/>
            <w:vAlign w:val="bottom"/>
          </w:tcPr>
          <w:p>
            <w:pPr>
              <w:spacing w:after="0"/>
              <w:rPr>
                <w:sz w:val="22"/>
                <w:szCs w:val="22"/>
                <w:color w:val="auto"/>
              </w:rPr>
            </w:pPr>
          </w:p>
        </w:tc>
        <w:tc>
          <w:tcPr>
            <w:tcW w:w="380" w:type="dxa"/>
            <w:vAlign w:val="bottom"/>
            <w:tcBorders>
              <w:top w:val="single" w:sz="8" w:color="auto"/>
              <w:bottom w:val="single" w:sz="8" w:color="auto"/>
            </w:tcBorders>
          </w:tcPr>
          <w:p>
            <w:pPr>
              <w:spacing w:after="0"/>
              <w:rPr>
                <w:sz w:val="22"/>
                <w:szCs w:val="22"/>
                <w:color w:val="auto"/>
              </w:rPr>
            </w:pPr>
          </w:p>
        </w:tc>
        <w:tc>
          <w:tcPr>
            <w:tcW w:w="1000" w:type="dxa"/>
            <w:vAlign w:val="bottom"/>
            <w:tcBorders>
              <w:top w:val="single" w:sz="8" w:color="auto"/>
              <w:bottom w:val="single" w:sz="8" w:color="auto"/>
            </w:tcBorders>
          </w:tcPr>
          <w:p>
            <w:pPr>
              <w:jc w:val="right"/>
              <w:ind w:right="456"/>
              <w:spacing w:after="0"/>
              <w:rPr>
                <w:sz w:val="20"/>
                <w:szCs w:val="20"/>
                <w:color w:val="auto"/>
              </w:rPr>
            </w:pPr>
            <w:r>
              <w:rPr>
                <w:rFonts w:ascii="Arial" w:cs="Arial" w:eastAsia="Arial" w:hAnsi="Arial"/>
                <w:sz w:val="14"/>
                <w:szCs w:val="14"/>
                <w:b w:val="1"/>
                <w:bCs w:val="1"/>
                <w:color w:val="auto"/>
              </w:rPr>
              <w:t>2019</w:t>
            </w:r>
          </w:p>
        </w:tc>
        <w:tc>
          <w:tcPr>
            <w:tcW w:w="100" w:type="dxa"/>
            <w:vAlign w:val="bottom"/>
            <w:tcBorders>
              <w:top w:val="single" w:sz="8" w:color="auto"/>
            </w:tcBorders>
          </w:tcPr>
          <w:p>
            <w:pPr>
              <w:spacing w:after="0"/>
              <w:rPr>
                <w:sz w:val="22"/>
                <w:szCs w:val="22"/>
                <w:color w:val="auto"/>
              </w:rPr>
            </w:pPr>
          </w:p>
        </w:tc>
        <w:tc>
          <w:tcPr>
            <w:tcW w:w="340" w:type="dxa"/>
            <w:vAlign w:val="bottom"/>
            <w:tcBorders>
              <w:top w:val="single" w:sz="8" w:color="auto"/>
              <w:bottom w:val="single" w:sz="8" w:color="auto"/>
            </w:tcBorders>
          </w:tcPr>
          <w:p>
            <w:pPr>
              <w:spacing w:after="0"/>
              <w:rPr>
                <w:sz w:val="22"/>
                <w:szCs w:val="22"/>
                <w:color w:val="auto"/>
              </w:rPr>
            </w:pPr>
          </w:p>
        </w:tc>
        <w:tc>
          <w:tcPr>
            <w:tcW w:w="1040" w:type="dxa"/>
            <w:vAlign w:val="bottom"/>
            <w:tcBorders>
              <w:top w:val="single" w:sz="8" w:color="auto"/>
              <w:bottom w:val="single" w:sz="8" w:color="auto"/>
            </w:tcBorders>
          </w:tcPr>
          <w:p>
            <w:pPr>
              <w:jc w:val="right"/>
              <w:ind w:right="433"/>
              <w:spacing w:after="0"/>
              <w:rPr>
                <w:sz w:val="20"/>
                <w:szCs w:val="20"/>
                <w:color w:val="auto"/>
              </w:rPr>
            </w:pPr>
            <w:r>
              <w:rPr>
                <w:rFonts w:ascii="Arial" w:cs="Arial" w:eastAsia="Arial" w:hAnsi="Arial"/>
                <w:sz w:val="14"/>
                <w:szCs w:val="14"/>
                <w:b w:val="1"/>
                <w:bCs w:val="1"/>
                <w:color w:val="auto"/>
              </w:rPr>
              <w:t>2018</w:t>
            </w:r>
          </w:p>
        </w:tc>
      </w:tr>
      <w:tr>
        <w:trPr>
          <w:trHeight w:val="331"/>
        </w:trPr>
        <w:tc>
          <w:tcPr>
            <w:tcW w:w="4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396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540" w:type="dxa"/>
            <w:vAlign w:val="bottom"/>
            <w:gridSpan w:val="3"/>
          </w:tcPr>
          <w:p>
            <w:pPr>
              <w:jc w:val="right"/>
              <w:spacing w:after="0"/>
              <w:rPr>
                <w:sz w:val="20"/>
                <w:szCs w:val="20"/>
                <w:color w:val="auto"/>
              </w:rPr>
            </w:pPr>
            <w:r>
              <w:rPr>
                <w:rFonts w:ascii="Arial" w:cs="Arial" w:eastAsia="Arial" w:hAnsi="Arial"/>
                <w:sz w:val="14"/>
                <w:szCs w:val="14"/>
                <w:b w:val="1"/>
                <w:bCs w:val="1"/>
                <w:color w:val="auto"/>
              </w:rPr>
              <w:t>(In millions)</w:t>
            </w:r>
          </w:p>
        </w:tc>
        <w:tc>
          <w:tcPr>
            <w:tcW w:w="10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040" w:type="dxa"/>
            <w:vAlign w:val="bottom"/>
          </w:tcPr>
          <w:p>
            <w:pPr>
              <w:spacing w:after="0"/>
              <w:rPr>
                <w:sz w:val="24"/>
                <w:szCs w:val="24"/>
                <w:color w:val="auto"/>
              </w:rPr>
            </w:pPr>
          </w:p>
        </w:tc>
      </w:tr>
      <w:tr>
        <w:trPr>
          <w:trHeight w:val="209"/>
        </w:trPr>
        <w:tc>
          <w:tcPr>
            <w:tcW w:w="5580" w:type="dxa"/>
            <w:vAlign w:val="bottom"/>
            <w:gridSpan w:val="3"/>
            <w:shd w:val="clear" w:color="auto" w:fill="CCEEFF"/>
          </w:tcPr>
          <w:p>
            <w:pPr>
              <w:ind w:left="40"/>
              <w:spacing w:after="0"/>
              <w:rPr>
                <w:sz w:val="20"/>
                <w:szCs w:val="20"/>
                <w:color w:val="auto"/>
              </w:rPr>
            </w:pPr>
            <w:r>
              <w:rPr>
                <w:rFonts w:ascii="Arial" w:cs="Arial" w:eastAsia="Arial" w:hAnsi="Arial"/>
                <w:sz w:val="18"/>
                <w:szCs w:val="18"/>
                <w:color w:val="auto"/>
              </w:rPr>
              <w:t>As of December 31,</w:t>
            </w:r>
          </w:p>
        </w:tc>
        <w:tc>
          <w:tcPr>
            <w:tcW w:w="38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r>
      <w:tr>
        <w:trPr>
          <w:trHeight w:val="48"/>
        </w:trPr>
        <w:tc>
          <w:tcPr>
            <w:tcW w:w="40" w:type="dxa"/>
            <w:vAlign w:val="bottom"/>
            <w:tcBorders>
              <w:top w:val="single" w:sz="8" w:color="CCEEFF"/>
            </w:tcBorders>
            <w:shd w:val="clear" w:color="auto" w:fill="CCEEFF"/>
          </w:tcPr>
          <w:p>
            <w:pPr>
              <w:spacing w:after="0"/>
              <w:rPr>
                <w:sz w:val="4"/>
                <w:szCs w:val="4"/>
                <w:color w:val="auto"/>
              </w:rPr>
            </w:pPr>
          </w:p>
        </w:tc>
        <w:tc>
          <w:tcPr>
            <w:tcW w:w="1580" w:type="dxa"/>
            <w:vAlign w:val="bottom"/>
            <w:tcBorders>
              <w:top w:val="single" w:sz="8" w:color="auto"/>
            </w:tcBorders>
            <w:shd w:val="clear" w:color="auto" w:fill="CCEEFF"/>
          </w:tcPr>
          <w:p>
            <w:pPr>
              <w:spacing w:after="0"/>
              <w:rPr>
                <w:sz w:val="4"/>
                <w:szCs w:val="4"/>
                <w:color w:val="auto"/>
              </w:rPr>
            </w:pPr>
          </w:p>
        </w:tc>
        <w:tc>
          <w:tcPr>
            <w:tcW w:w="3960" w:type="dxa"/>
            <w:vAlign w:val="bottom"/>
            <w:tcBorders>
              <w:top w:val="single" w:sz="8" w:color="CCEEFF"/>
            </w:tcBorders>
            <w:shd w:val="clear" w:color="auto" w:fill="CCEEFF"/>
          </w:tcPr>
          <w:p>
            <w:pPr>
              <w:spacing w:after="0"/>
              <w:rPr>
                <w:sz w:val="4"/>
                <w:szCs w:val="4"/>
                <w:color w:val="auto"/>
              </w:rPr>
            </w:pPr>
          </w:p>
        </w:tc>
        <w:tc>
          <w:tcPr>
            <w:tcW w:w="380" w:type="dxa"/>
            <w:vAlign w:val="bottom"/>
            <w:tcBorders>
              <w:top w:val="single" w:sz="8" w:color="CCEEFF"/>
            </w:tcBorders>
            <w:shd w:val="clear" w:color="auto" w:fill="CCEEFF"/>
          </w:tcPr>
          <w:p>
            <w:pPr>
              <w:spacing w:after="0"/>
              <w:rPr>
                <w:sz w:val="4"/>
                <w:szCs w:val="4"/>
                <w:color w:val="auto"/>
              </w:rPr>
            </w:pPr>
          </w:p>
        </w:tc>
        <w:tc>
          <w:tcPr>
            <w:tcW w:w="1000" w:type="dxa"/>
            <w:vAlign w:val="bottom"/>
            <w:tcBorders>
              <w:top w:val="single" w:sz="8" w:color="CCEEFF"/>
            </w:tcBorders>
            <w:shd w:val="clear" w:color="auto" w:fill="CCEEFF"/>
          </w:tcPr>
          <w:p>
            <w:pPr>
              <w:spacing w:after="0"/>
              <w:rPr>
                <w:sz w:val="4"/>
                <w:szCs w:val="4"/>
                <w:color w:val="auto"/>
              </w:rPr>
            </w:pPr>
          </w:p>
        </w:tc>
        <w:tc>
          <w:tcPr>
            <w:tcW w:w="120" w:type="dxa"/>
            <w:vAlign w:val="bottom"/>
            <w:tcBorders>
              <w:top w:val="single" w:sz="8" w:color="CCEEFF"/>
            </w:tcBorders>
            <w:shd w:val="clear" w:color="auto" w:fill="CCEEFF"/>
          </w:tcPr>
          <w:p>
            <w:pPr>
              <w:spacing w:after="0"/>
              <w:rPr>
                <w:sz w:val="4"/>
                <w:szCs w:val="4"/>
                <w:color w:val="auto"/>
              </w:rPr>
            </w:pPr>
          </w:p>
        </w:tc>
        <w:tc>
          <w:tcPr>
            <w:tcW w:w="320" w:type="dxa"/>
            <w:vAlign w:val="bottom"/>
            <w:tcBorders>
              <w:top w:val="single" w:sz="8" w:color="CCEEFF"/>
            </w:tcBorders>
            <w:shd w:val="clear" w:color="auto" w:fill="CCEEFF"/>
          </w:tcPr>
          <w:p>
            <w:pPr>
              <w:spacing w:after="0"/>
              <w:rPr>
                <w:sz w:val="4"/>
                <w:szCs w:val="4"/>
                <w:color w:val="auto"/>
              </w:rPr>
            </w:pPr>
          </w:p>
        </w:tc>
        <w:tc>
          <w:tcPr>
            <w:tcW w:w="1040" w:type="dxa"/>
            <w:vAlign w:val="bottom"/>
            <w:tcBorders>
              <w:top w:val="single" w:sz="8" w:color="CCEEFF"/>
            </w:tcBorders>
            <w:shd w:val="clear" w:color="auto" w:fill="CCEEFF"/>
          </w:tcPr>
          <w:p>
            <w:pPr>
              <w:spacing w:after="0"/>
              <w:rPr>
                <w:sz w:val="4"/>
                <w:szCs w:val="4"/>
                <w:color w:val="auto"/>
              </w:rPr>
            </w:pPr>
          </w:p>
        </w:tc>
        <w:tc>
          <w:tcPr>
            <w:tcW w:w="120" w:type="dxa"/>
            <w:vAlign w:val="bottom"/>
            <w:tcBorders>
              <w:top w:val="single" w:sz="8" w:color="CCEEFF"/>
            </w:tcBorders>
            <w:shd w:val="clear" w:color="auto" w:fill="CCEEFF"/>
          </w:tcPr>
          <w:p>
            <w:pPr>
              <w:spacing w:after="0"/>
              <w:rPr>
                <w:sz w:val="4"/>
                <w:szCs w:val="4"/>
                <w:color w:val="auto"/>
              </w:rPr>
            </w:pPr>
          </w:p>
        </w:tc>
        <w:tc>
          <w:tcPr>
            <w:tcW w:w="380" w:type="dxa"/>
            <w:vAlign w:val="bottom"/>
            <w:tcBorders>
              <w:top w:val="single" w:sz="8" w:color="CCEEFF"/>
            </w:tcBorders>
            <w:shd w:val="clear" w:color="auto" w:fill="CCEEFF"/>
          </w:tcPr>
          <w:p>
            <w:pPr>
              <w:spacing w:after="0"/>
              <w:rPr>
                <w:sz w:val="4"/>
                <w:szCs w:val="4"/>
                <w:color w:val="auto"/>
              </w:rPr>
            </w:pPr>
          </w:p>
        </w:tc>
        <w:tc>
          <w:tcPr>
            <w:tcW w:w="1000" w:type="dxa"/>
            <w:vAlign w:val="bottom"/>
            <w:tcBorders>
              <w:top w:val="single" w:sz="8" w:color="CCEEFF"/>
            </w:tcBorders>
            <w:shd w:val="clear" w:color="auto" w:fill="CCEEFF"/>
          </w:tcPr>
          <w:p>
            <w:pPr>
              <w:spacing w:after="0"/>
              <w:rPr>
                <w:sz w:val="4"/>
                <w:szCs w:val="4"/>
                <w:color w:val="auto"/>
              </w:rPr>
            </w:pPr>
          </w:p>
        </w:tc>
        <w:tc>
          <w:tcPr>
            <w:tcW w:w="100" w:type="dxa"/>
            <w:vAlign w:val="bottom"/>
            <w:tcBorders>
              <w:top w:val="single" w:sz="8" w:color="CCEEFF"/>
            </w:tcBorders>
            <w:shd w:val="clear" w:color="auto" w:fill="CCEEFF"/>
          </w:tcPr>
          <w:p>
            <w:pPr>
              <w:spacing w:after="0"/>
              <w:rPr>
                <w:sz w:val="4"/>
                <w:szCs w:val="4"/>
                <w:color w:val="auto"/>
              </w:rPr>
            </w:pPr>
          </w:p>
        </w:tc>
        <w:tc>
          <w:tcPr>
            <w:tcW w:w="340" w:type="dxa"/>
            <w:vAlign w:val="bottom"/>
            <w:tcBorders>
              <w:top w:val="single" w:sz="8" w:color="CCEEFF"/>
            </w:tcBorders>
            <w:shd w:val="clear" w:color="auto" w:fill="CCEEFF"/>
          </w:tcPr>
          <w:p>
            <w:pPr>
              <w:spacing w:after="0"/>
              <w:rPr>
                <w:sz w:val="4"/>
                <w:szCs w:val="4"/>
                <w:color w:val="auto"/>
              </w:rPr>
            </w:pPr>
          </w:p>
        </w:tc>
        <w:tc>
          <w:tcPr>
            <w:tcW w:w="1040" w:type="dxa"/>
            <w:vAlign w:val="bottom"/>
            <w:tcBorders>
              <w:top w:val="single" w:sz="8" w:color="CCEEFF"/>
            </w:tcBorders>
            <w:shd w:val="clear" w:color="auto" w:fill="CCEEFF"/>
          </w:tcPr>
          <w:p>
            <w:pPr>
              <w:spacing w:after="0"/>
              <w:rPr>
                <w:sz w:val="4"/>
                <w:szCs w:val="4"/>
                <w:color w:val="auto"/>
              </w:rPr>
            </w:pPr>
          </w:p>
        </w:tc>
      </w:tr>
      <w:tr>
        <w:trPr>
          <w:trHeight w:val="263"/>
        </w:trPr>
        <w:tc>
          <w:tcPr>
            <w:tcW w:w="5580" w:type="dxa"/>
            <w:vAlign w:val="bottom"/>
            <w:gridSpan w:val="3"/>
          </w:tcPr>
          <w:p>
            <w:pPr>
              <w:ind w:left="40"/>
              <w:spacing w:after="0"/>
              <w:rPr>
                <w:sz w:val="20"/>
                <w:szCs w:val="20"/>
                <w:color w:val="auto"/>
              </w:rPr>
            </w:pPr>
            <w:r>
              <w:rPr>
                <w:rFonts w:ascii="Arial" w:cs="Arial" w:eastAsia="Arial" w:hAnsi="Arial"/>
                <w:sz w:val="18"/>
                <w:szCs w:val="18"/>
                <w:color w:val="auto"/>
              </w:rPr>
              <w:t>Current liability</w:t>
            </w:r>
          </w:p>
        </w:tc>
        <w:tc>
          <w:tcPr>
            <w:tcW w:w="380" w:type="dxa"/>
            <w:vAlign w:val="bottom"/>
          </w:tcPr>
          <w:p>
            <w:pPr>
              <w:ind w:left="40"/>
              <w:spacing w:after="0"/>
              <w:rPr>
                <w:sz w:val="20"/>
                <w:szCs w:val="20"/>
                <w:color w:val="auto"/>
              </w:rPr>
            </w:pPr>
            <w:r>
              <w:rPr>
                <w:rFonts w:ascii="Arial" w:cs="Arial" w:eastAsia="Arial" w:hAnsi="Arial"/>
                <w:sz w:val="18"/>
                <w:szCs w:val="18"/>
                <w:color w:val="auto"/>
              </w:rPr>
              <w:t>$</w:t>
            </w:r>
          </w:p>
        </w:tc>
        <w:tc>
          <w:tcPr>
            <w:tcW w:w="1000" w:type="dxa"/>
            <w:vAlign w:val="bottom"/>
          </w:tcPr>
          <w:p>
            <w:pPr>
              <w:jc w:val="right"/>
              <w:ind w:right="14"/>
              <w:spacing w:after="0"/>
              <w:rPr>
                <w:sz w:val="20"/>
                <w:szCs w:val="20"/>
                <w:color w:val="auto"/>
              </w:rPr>
            </w:pPr>
            <w:r>
              <w:rPr>
                <w:rFonts w:ascii="Arial" w:cs="Arial" w:eastAsia="Arial" w:hAnsi="Arial"/>
                <w:sz w:val="18"/>
                <w:szCs w:val="18"/>
                <w:color w:val="auto"/>
              </w:rPr>
              <w:t>5</w:t>
            </w:r>
          </w:p>
        </w:tc>
        <w:tc>
          <w:tcPr>
            <w:tcW w:w="120" w:type="dxa"/>
            <w:vAlign w:val="bottom"/>
          </w:tcPr>
          <w:p>
            <w:pPr>
              <w:spacing w:after="0"/>
              <w:rPr>
                <w:sz w:val="22"/>
                <w:szCs w:val="22"/>
                <w:color w:val="auto"/>
              </w:rPr>
            </w:pPr>
          </w:p>
        </w:tc>
        <w:tc>
          <w:tcPr>
            <w:tcW w:w="320" w:type="dxa"/>
            <w:vAlign w:val="bottom"/>
          </w:tcPr>
          <w:p>
            <w:pPr>
              <w:jc w:val="right"/>
              <w:ind w:right="110"/>
              <w:spacing w:after="0"/>
              <w:rPr>
                <w:sz w:val="20"/>
                <w:szCs w:val="20"/>
                <w:color w:val="auto"/>
              </w:rPr>
            </w:pPr>
            <w:r>
              <w:rPr>
                <w:rFonts w:ascii="Arial" w:cs="Arial" w:eastAsia="Arial" w:hAnsi="Arial"/>
                <w:sz w:val="18"/>
                <w:szCs w:val="18"/>
                <w:color w:val="auto"/>
                <w:w w:val="99"/>
              </w:rPr>
              <w:t>$</w:t>
            </w:r>
          </w:p>
        </w:tc>
        <w:tc>
          <w:tcPr>
            <w:tcW w:w="1040" w:type="dxa"/>
            <w:vAlign w:val="bottom"/>
          </w:tcPr>
          <w:p>
            <w:pPr>
              <w:jc w:val="right"/>
              <w:ind w:right="14"/>
              <w:spacing w:after="0"/>
              <w:rPr>
                <w:sz w:val="20"/>
                <w:szCs w:val="20"/>
                <w:color w:val="auto"/>
              </w:rPr>
            </w:pPr>
            <w:r>
              <w:rPr>
                <w:rFonts w:ascii="Arial" w:cs="Arial" w:eastAsia="Arial" w:hAnsi="Arial"/>
                <w:sz w:val="18"/>
                <w:szCs w:val="18"/>
                <w:color w:val="auto"/>
              </w:rPr>
              <w:t>7</w:t>
            </w:r>
          </w:p>
        </w:tc>
        <w:tc>
          <w:tcPr>
            <w:tcW w:w="120" w:type="dxa"/>
            <w:vAlign w:val="bottom"/>
          </w:tcPr>
          <w:p>
            <w:pPr>
              <w:spacing w:after="0"/>
              <w:rPr>
                <w:sz w:val="22"/>
                <w:szCs w:val="22"/>
                <w:color w:val="auto"/>
              </w:rPr>
            </w:pPr>
          </w:p>
        </w:tc>
        <w:tc>
          <w:tcPr>
            <w:tcW w:w="380" w:type="dxa"/>
            <w:vAlign w:val="bottom"/>
          </w:tcPr>
          <w:p>
            <w:pPr>
              <w:jc w:val="right"/>
              <w:ind w:right="170"/>
              <w:spacing w:after="0"/>
              <w:rPr>
                <w:sz w:val="20"/>
                <w:szCs w:val="20"/>
                <w:color w:val="auto"/>
              </w:rPr>
            </w:pPr>
            <w:r>
              <w:rPr>
                <w:rFonts w:ascii="Arial" w:cs="Arial" w:eastAsia="Arial" w:hAnsi="Arial"/>
                <w:sz w:val="18"/>
                <w:szCs w:val="18"/>
                <w:color w:val="auto"/>
                <w:w w:val="99"/>
              </w:rPr>
              <w:t>$</w:t>
            </w:r>
          </w:p>
        </w:tc>
        <w:tc>
          <w:tcPr>
            <w:tcW w:w="1000" w:type="dxa"/>
            <w:vAlign w:val="bottom"/>
          </w:tcPr>
          <w:p>
            <w:pPr>
              <w:jc w:val="right"/>
              <w:ind w:right="36"/>
              <w:spacing w:after="0"/>
              <w:rPr>
                <w:sz w:val="20"/>
                <w:szCs w:val="20"/>
                <w:color w:val="auto"/>
              </w:rPr>
            </w:pPr>
            <w:r>
              <w:rPr>
                <w:rFonts w:ascii="Arial" w:cs="Arial" w:eastAsia="Arial" w:hAnsi="Arial"/>
                <w:sz w:val="18"/>
                <w:szCs w:val="18"/>
                <w:color w:val="auto"/>
              </w:rPr>
              <w:t>24</w:t>
            </w:r>
          </w:p>
        </w:tc>
        <w:tc>
          <w:tcPr>
            <w:tcW w:w="100" w:type="dxa"/>
            <w:vAlign w:val="bottom"/>
          </w:tcPr>
          <w:p>
            <w:pPr>
              <w:spacing w:after="0"/>
              <w:rPr>
                <w:sz w:val="22"/>
                <w:szCs w:val="22"/>
                <w:color w:val="auto"/>
              </w:rPr>
            </w:pPr>
          </w:p>
        </w:tc>
        <w:tc>
          <w:tcPr>
            <w:tcW w:w="340" w:type="dxa"/>
            <w:vAlign w:val="bottom"/>
          </w:tcPr>
          <w:p>
            <w:pPr>
              <w:jc w:val="right"/>
              <w:ind w:right="130"/>
              <w:spacing w:after="0"/>
              <w:rPr>
                <w:sz w:val="20"/>
                <w:szCs w:val="20"/>
                <w:color w:val="auto"/>
              </w:rPr>
            </w:pPr>
            <w:r>
              <w:rPr>
                <w:rFonts w:ascii="Arial" w:cs="Arial" w:eastAsia="Arial" w:hAnsi="Arial"/>
                <w:sz w:val="18"/>
                <w:szCs w:val="18"/>
                <w:color w:val="auto"/>
                <w:w w:val="99"/>
              </w:rPr>
              <w:t>$</w:t>
            </w:r>
          </w:p>
        </w:tc>
        <w:tc>
          <w:tcPr>
            <w:tcW w:w="1040" w:type="dxa"/>
            <w:vAlign w:val="bottom"/>
          </w:tcPr>
          <w:p>
            <w:pPr>
              <w:jc w:val="right"/>
              <w:ind w:right="13"/>
              <w:spacing w:after="0"/>
              <w:rPr>
                <w:sz w:val="20"/>
                <w:szCs w:val="20"/>
                <w:color w:val="auto"/>
              </w:rPr>
            </w:pPr>
            <w:r>
              <w:rPr>
                <w:rFonts w:ascii="Arial" w:cs="Arial" w:eastAsia="Arial" w:hAnsi="Arial"/>
                <w:sz w:val="18"/>
                <w:szCs w:val="18"/>
                <w:color w:val="auto"/>
              </w:rPr>
              <w:t>23</w:t>
            </w:r>
          </w:p>
        </w:tc>
      </w:tr>
      <w:tr>
        <w:trPr>
          <w:trHeight w:val="277"/>
        </w:trPr>
        <w:tc>
          <w:tcPr>
            <w:tcW w:w="5580" w:type="dxa"/>
            <w:vAlign w:val="bottom"/>
            <w:gridSpan w:val="3"/>
            <w:shd w:val="clear" w:color="auto" w:fill="CCEEFF"/>
          </w:tcPr>
          <w:p>
            <w:pPr>
              <w:ind w:left="40"/>
              <w:spacing w:after="0"/>
              <w:rPr>
                <w:sz w:val="20"/>
                <w:szCs w:val="20"/>
                <w:color w:val="auto"/>
              </w:rPr>
            </w:pPr>
            <w:r>
              <w:rPr>
                <w:rFonts w:ascii="Arial" w:cs="Arial" w:eastAsia="Arial" w:hAnsi="Arial"/>
                <w:sz w:val="18"/>
                <w:szCs w:val="18"/>
                <w:color w:val="auto"/>
              </w:rPr>
              <w:t>Noncurrent liability</w:t>
            </w:r>
          </w:p>
        </w:tc>
        <w:tc>
          <w:tcPr>
            <w:tcW w:w="380" w:type="dxa"/>
            <w:vAlign w:val="bottom"/>
            <w:tcBorders>
              <w:bottom w:val="single" w:sz="8" w:color="auto"/>
            </w:tcBorders>
            <w:shd w:val="clear" w:color="auto" w:fill="CCEEFF"/>
          </w:tcPr>
          <w:p>
            <w:pPr>
              <w:spacing w:after="0"/>
              <w:rPr>
                <w:sz w:val="24"/>
                <w:szCs w:val="24"/>
                <w:color w:val="auto"/>
              </w:rPr>
            </w:pPr>
          </w:p>
        </w:tc>
        <w:tc>
          <w:tcPr>
            <w:tcW w:w="1000" w:type="dxa"/>
            <w:vAlign w:val="bottom"/>
            <w:tcBorders>
              <w:bottom w:val="single" w:sz="8" w:color="auto"/>
            </w:tcBorders>
            <w:shd w:val="clear" w:color="auto" w:fill="CCEEFF"/>
          </w:tcPr>
          <w:p>
            <w:pPr>
              <w:jc w:val="right"/>
              <w:ind w:right="14"/>
              <w:spacing w:after="0"/>
              <w:rPr>
                <w:sz w:val="20"/>
                <w:szCs w:val="20"/>
                <w:color w:val="auto"/>
              </w:rPr>
            </w:pPr>
            <w:r>
              <w:rPr>
                <w:rFonts w:ascii="Arial" w:cs="Arial" w:eastAsia="Arial" w:hAnsi="Arial"/>
                <w:sz w:val="18"/>
                <w:szCs w:val="18"/>
                <w:color w:val="auto"/>
              </w:rPr>
              <w:t>5,456</w:t>
            </w:r>
          </w:p>
        </w:tc>
        <w:tc>
          <w:tcPr>
            <w:tcW w:w="120" w:type="dxa"/>
            <w:vAlign w:val="bottom"/>
            <w:shd w:val="clear" w:color="auto" w:fill="CCEEFF"/>
          </w:tcPr>
          <w:p>
            <w:pPr>
              <w:spacing w:after="0"/>
              <w:rPr>
                <w:sz w:val="24"/>
                <w:szCs w:val="24"/>
                <w:color w:val="auto"/>
              </w:rPr>
            </w:pPr>
          </w:p>
        </w:tc>
        <w:tc>
          <w:tcPr>
            <w:tcW w:w="320" w:type="dxa"/>
            <w:vAlign w:val="bottom"/>
            <w:tcBorders>
              <w:bottom w:val="single" w:sz="8" w:color="auto"/>
            </w:tcBorders>
            <w:shd w:val="clear" w:color="auto" w:fill="CCEEFF"/>
          </w:tcPr>
          <w:p>
            <w:pPr>
              <w:spacing w:after="0"/>
              <w:rPr>
                <w:sz w:val="24"/>
                <w:szCs w:val="24"/>
                <w:color w:val="auto"/>
              </w:rPr>
            </w:pPr>
          </w:p>
        </w:tc>
        <w:tc>
          <w:tcPr>
            <w:tcW w:w="1040" w:type="dxa"/>
            <w:vAlign w:val="bottom"/>
            <w:tcBorders>
              <w:bottom w:val="single" w:sz="8" w:color="auto"/>
            </w:tcBorders>
            <w:shd w:val="clear" w:color="auto" w:fill="CCEEFF"/>
          </w:tcPr>
          <w:p>
            <w:pPr>
              <w:jc w:val="right"/>
              <w:ind w:right="14"/>
              <w:spacing w:after="0"/>
              <w:rPr>
                <w:sz w:val="20"/>
                <w:szCs w:val="20"/>
                <w:color w:val="auto"/>
              </w:rPr>
            </w:pPr>
            <w:r>
              <w:rPr>
                <w:rFonts w:ascii="Arial" w:cs="Arial" w:eastAsia="Arial" w:hAnsi="Arial"/>
                <w:sz w:val="18"/>
                <w:szCs w:val="18"/>
                <w:color w:val="auto"/>
              </w:rPr>
              <w:t>6,318</w:t>
            </w:r>
          </w:p>
        </w:tc>
        <w:tc>
          <w:tcPr>
            <w:tcW w:w="120" w:type="dxa"/>
            <w:vAlign w:val="bottom"/>
            <w:shd w:val="clear" w:color="auto" w:fill="CCEEFF"/>
          </w:tcPr>
          <w:p>
            <w:pPr>
              <w:spacing w:after="0"/>
              <w:rPr>
                <w:sz w:val="24"/>
                <w:szCs w:val="24"/>
                <w:color w:val="auto"/>
              </w:rPr>
            </w:pPr>
          </w:p>
        </w:tc>
        <w:tc>
          <w:tcPr>
            <w:tcW w:w="380" w:type="dxa"/>
            <w:vAlign w:val="bottom"/>
            <w:tcBorders>
              <w:bottom w:val="single" w:sz="8" w:color="auto"/>
            </w:tcBorders>
            <w:shd w:val="clear" w:color="auto" w:fill="CCEEFF"/>
          </w:tcPr>
          <w:p>
            <w:pPr>
              <w:spacing w:after="0"/>
              <w:rPr>
                <w:sz w:val="24"/>
                <w:szCs w:val="24"/>
                <w:color w:val="auto"/>
              </w:rPr>
            </w:pPr>
          </w:p>
        </w:tc>
        <w:tc>
          <w:tcPr>
            <w:tcW w:w="1000" w:type="dxa"/>
            <w:vAlign w:val="bottom"/>
            <w:tcBorders>
              <w:bottom w:val="single" w:sz="8" w:color="auto"/>
            </w:tcBorders>
            <w:shd w:val="clear" w:color="auto" w:fill="CCEEFF"/>
          </w:tcPr>
          <w:p>
            <w:pPr>
              <w:jc w:val="right"/>
              <w:ind w:right="36"/>
              <w:spacing w:after="0"/>
              <w:rPr>
                <w:sz w:val="20"/>
                <w:szCs w:val="20"/>
                <w:color w:val="auto"/>
              </w:rPr>
            </w:pPr>
            <w:r>
              <w:rPr>
                <w:rFonts w:ascii="Arial" w:cs="Arial" w:eastAsia="Arial" w:hAnsi="Arial"/>
                <w:sz w:val="18"/>
                <w:szCs w:val="18"/>
                <w:color w:val="auto"/>
              </w:rPr>
              <w:t>596</w:t>
            </w:r>
          </w:p>
        </w:tc>
        <w:tc>
          <w:tcPr>
            <w:tcW w:w="100" w:type="dxa"/>
            <w:vAlign w:val="bottom"/>
            <w:shd w:val="clear" w:color="auto" w:fill="CCEEFF"/>
          </w:tcPr>
          <w:p>
            <w:pPr>
              <w:spacing w:after="0"/>
              <w:rPr>
                <w:sz w:val="24"/>
                <w:szCs w:val="24"/>
                <w:color w:val="auto"/>
              </w:rPr>
            </w:pPr>
          </w:p>
        </w:tc>
        <w:tc>
          <w:tcPr>
            <w:tcW w:w="340" w:type="dxa"/>
            <w:vAlign w:val="bottom"/>
            <w:tcBorders>
              <w:bottom w:val="single" w:sz="8" w:color="auto"/>
            </w:tcBorders>
            <w:shd w:val="clear" w:color="auto" w:fill="CCEEFF"/>
          </w:tcPr>
          <w:p>
            <w:pPr>
              <w:spacing w:after="0"/>
              <w:rPr>
                <w:sz w:val="24"/>
                <w:szCs w:val="24"/>
                <w:color w:val="auto"/>
              </w:rPr>
            </w:pPr>
          </w:p>
        </w:tc>
        <w:tc>
          <w:tcPr>
            <w:tcW w:w="1040" w:type="dxa"/>
            <w:vAlign w:val="bottom"/>
            <w:tcBorders>
              <w:bottom w:val="single" w:sz="8" w:color="auto"/>
            </w:tcBorders>
            <w:shd w:val="clear" w:color="auto" w:fill="CCEEFF"/>
          </w:tcPr>
          <w:p>
            <w:pPr>
              <w:jc w:val="right"/>
              <w:ind w:right="13"/>
              <w:spacing w:after="0"/>
              <w:rPr>
                <w:sz w:val="20"/>
                <w:szCs w:val="20"/>
                <w:color w:val="auto"/>
              </w:rPr>
            </w:pPr>
            <w:r>
              <w:rPr>
                <w:rFonts w:ascii="Arial" w:cs="Arial" w:eastAsia="Arial" w:hAnsi="Arial"/>
                <w:sz w:val="18"/>
                <w:szCs w:val="18"/>
                <w:color w:val="auto"/>
              </w:rPr>
              <w:t>589</w:t>
            </w:r>
          </w:p>
        </w:tc>
      </w:tr>
      <w:tr>
        <w:trPr>
          <w:trHeight w:val="244"/>
        </w:trPr>
        <w:tc>
          <w:tcPr>
            <w:tcW w:w="5580" w:type="dxa"/>
            <w:vAlign w:val="bottom"/>
            <w:gridSpan w:val="3"/>
          </w:tcPr>
          <w:p>
            <w:pPr>
              <w:ind w:left="40"/>
              <w:spacing w:after="0"/>
              <w:rPr>
                <w:sz w:val="20"/>
                <w:szCs w:val="20"/>
                <w:color w:val="auto"/>
              </w:rPr>
            </w:pPr>
            <w:r>
              <w:rPr>
                <w:rFonts w:ascii="Arial" w:cs="Arial" w:eastAsia="Arial" w:hAnsi="Arial"/>
                <w:sz w:val="18"/>
                <w:szCs w:val="18"/>
                <w:color w:val="auto"/>
              </w:rPr>
              <w:t>Total liabilities</w:t>
            </w:r>
          </w:p>
        </w:tc>
        <w:tc>
          <w:tcPr>
            <w:tcW w:w="380" w:type="dxa"/>
            <w:vAlign w:val="bottom"/>
            <w:tcBorders>
              <w:bottom w:val="single" w:sz="8" w:color="auto"/>
            </w:tcBorders>
          </w:tcPr>
          <w:p>
            <w:pPr>
              <w:ind w:left="40"/>
              <w:spacing w:after="0"/>
              <w:rPr>
                <w:sz w:val="20"/>
                <w:szCs w:val="20"/>
                <w:color w:val="auto"/>
              </w:rPr>
            </w:pPr>
            <w:r>
              <w:rPr>
                <w:rFonts w:ascii="Arial" w:cs="Arial" w:eastAsia="Arial" w:hAnsi="Arial"/>
                <w:sz w:val="18"/>
                <w:szCs w:val="18"/>
                <w:color w:val="auto"/>
              </w:rPr>
              <w:t>$</w:t>
            </w:r>
          </w:p>
        </w:tc>
        <w:tc>
          <w:tcPr>
            <w:tcW w:w="1000" w:type="dxa"/>
            <w:vAlign w:val="bottom"/>
            <w:tcBorders>
              <w:bottom w:val="single" w:sz="8" w:color="auto"/>
            </w:tcBorders>
          </w:tcPr>
          <w:p>
            <w:pPr>
              <w:jc w:val="right"/>
              <w:ind w:right="14"/>
              <w:spacing w:after="0"/>
              <w:rPr>
                <w:sz w:val="20"/>
                <w:szCs w:val="20"/>
                <w:color w:val="auto"/>
              </w:rPr>
            </w:pPr>
            <w:r>
              <w:rPr>
                <w:rFonts w:ascii="Arial" w:cs="Arial" w:eastAsia="Arial" w:hAnsi="Arial"/>
                <w:sz w:val="18"/>
                <w:szCs w:val="18"/>
                <w:color w:val="auto"/>
              </w:rPr>
              <w:t>5,461</w:t>
            </w:r>
          </w:p>
        </w:tc>
        <w:tc>
          <w:tcPr>
            <w:tcW w:w="120" w:type="dxa"/>
            <w:vAlign w:val="bottom"/>
          </w:tcPr>
          <w:p>
            <w:pPr>
              <w:spacing w:after="0"/>
              <w:rPr>
                <w:sz w:val="21"/>
                <w:szCs w:val="21"/>
                <w:color w:val="auto"/>
              </w:rPr>
            </w:pPr>
          </w:p>
        </w:tc>
        <w:tc>
          <w:tcPr>
            <w:tcW w:w="320" w:type="dxa"/>
            <w:vAlign w:val="bottom"/>
            <w:tcBorders>
              <w:bottom w:val="single" w:sz="8" w:color="auto"/>
            </w:tcBorders>
          </w:tcPr>
          <w:p>
            <w:pPr>
              <w:jc w:val="right"/>
              <w:ind w:right="110"/>
              <w:spacing w:after="0"/>
              <w:rPr>
                <w:sz w:val="20"/>
                <w:szCs w:val="20"/>
                <w:color w:val="auto"/>
              </w:rPr>
            </w:pPr>
            <w:r>
              <w:rPr>
                <w:rFonts w:ascii="Arial" w:cs="Arial" w:eastAsia="Arial" w:hAnsi="Arial"/>
                <w:sz w:val="18"/>
                <w:szCs w:val="18"/>
                <w:color w:val="auto"/>
                <w:w w:val="99"/>
              </w:rPr>
              <w:t>$</w:t>
            </w:r>
          </w:p>
        </w:tc>
        <w:tc>
          <w:tcPr>
            <w:tcW w:w="1040" w:type="dxa"/>
            <w:vAlign w:val="bottom"/>
            <w:tcBorders>
              <w:bottom w:val="single" w:sz="8" w:color="auto"/>
            </w:tcBorders>
          </w:tcPr>
          <w:p>
            <w:pPr>
              <w:jc w:val="right"/>
              <w:ind w:right="14"/>
              <w:spacing w:after="0"/>
              <w:rPr>
                <w:sz w:val="20"/>
                <w:szCs w:val="20"/>
                <w:color w:val="auto"/>
              </w:rPr>
            </w:pPr>
            <w:r>
              <w:rPr>
                <w:rFonts w:ascii="Arial" w:cs="Arial" w:eastAsia="Arial" w:hAnsi="Arial"/>
                <w:sz w:val="18"/>
                <w:szCs w:val="18"/>
                <w:color w:val="auto"/>
              </w:rPr>
              <w:t>6,325</w:t>
            </w:r>
          </w:p>
        </w:tc>
        <w:tc>
          <w:tcPr>
            <w:tcW w:w="120" w:type="dxa"/>
            <w:vAlign w:val="bottom"/>
          </w:tcPr>
          <w:p>
            <w:pPr>
              <w:spacing w:after="0"/>
              <w:rPr>
                <w:sz w:val="21"/>
                <w:szCs w:val="21"/>
                <w:color w:val="auto"/>
              </w:rPr>
            </w:pPr>
          </w:p>
        </w:tc>
        <w:tc>
          <w:tcPr>
            <w:tcW w:w="380" w:type="dxa"/>
            <w:vAlign w:val="bottom"/>
            <w:tcBorders>
              <w:bottom w:val="single" w:sz="8" w:color="auto"/>
            </w:tcBorders>
          </w:tcPr>
          <w:p>
            <w:pPr>
              <w:jc w:val="right"/>
              <w:ind w:right="170"/>
              <w:spacing w:after="0"/>
              <w:rPr>
                <w:sz w:val="20"/>
                <w:szCs w:val="20"/>
                <w:color w:val="auto"/>
              </w:rPr>
            </w:pPr>
            <w:r>
              <w:rPr>
                <w:rFonts w:ascii="Arial" w:cs="Arial" w:eastAsia="Arial" w:hAnsi="Arial"/>
                <w:sz w:val="18"/>
                <w:szCs w:val="18"/>
                <w:color w:val="auto"/>
                <w:w w:val="99"/>
              </w:rPr>
              <w:t>$</w:t>
            </w:r>
          </w:p>
        </w:tc>
        <w:tc>
          <w:tcPr>
            <w:tcW w:w="1000" w:type="dxa"/>
            <w:vAlign w:val="bottom"/>
            <w:tcBorders>
              <w:bottom w:val="single" w:sz="8" w:color="auto"/>
            </w:tcBorders>
          </w:tcPr>
          <w:p>
            <w:pPr>
              <w:jc w:val="right"/>
              <w:ind w:right="36"/>
              <w:spacing w:after="0"/>
              <w:rPr>
                <w:sz w:val="20"/>
                <w:szCs w:val="20"/>
                <w:color w:val="auto"/>
              </w:rPr>
            </w:pPr>
            <w:r>
              <w:rPr>
                <w:rFonts w:ascii="Arial" w:cs="Arial" w:eastAsia="Arial" w:hAnsi="Arial"/>
                <w:sz w:val="18"/>
                <w:szCs w:val="18"/>
                <w:color w:val="auto"/>
              </w:rPr>
              <w:t>620</w:t>
            </w:r>
          </w:p>
        </w:tc>
        <w:tc>
          <w:tcPr>
            <w:tcW w:w="100" w:type="dxa"/>
            <w:vAlign w:val="bottom"/>
          </w:tcPr>
          <w:p>
            <w:pPr>
              <w:spacing w:after="0"/>
              <w:rPr>
                <w:sz w:val="21"/>
                <w:szCs w:val="21"/>
                <w:color w:val="auto"/>
              </w:rPr>
            </w:pPr>
          </w:p>
        </w:tc>
        <w:tc>
          <w:tcPr>
            <w:tcW w:w="340" w:type="dxa"/>
            <w:vAlign w:val="bottom"/>
            <w:tcBorders>
              <w:bottom w:val="single" w:sz="8" w:color="auto"/>
            </w:tcBorders>
          </w:tcPr>
          <w:p>
            <w:pPr>
              <w:jc w:val="right"/>
              <w:ind w:right="130"/>
              <w:spacing w:after="0"/>
              <w:rPr>
                <w:sz w:val="20"/>
                <w:szCs w:val="20"/>
                <w:color w:val="auto"/>
              </w:rPr>
            </w:pPr>
            <w:r>
              <w:rPr>
                <w:rFonts w:ascii="Arial" w:cs="Arial" w:eastAsia="Arial" w:hAnsi="Arial"/>
                <w:sz w:val="18"/>
                <w:szCs w:val="18"/>
                <w:color w:val="auto"/>
                <w:w w:val="99"/>
              </w:rPr>
              <w:t>$</w:t>
            </w:r>
          </w:p>
        </w:tc>
        <w:tc>
          <w:tcPr>
            <w:tcW w:w="1040" w:type="dxa"/>
            <w:vAlign w:val="bottom"/>
            <w:tcBorders>
              <w:bottom w:val="single" w:sz="8" w:color="auto"/>
            </w:tcBorders>
          </w:tcPr>
          <w:p>
            <w:pPr>
              <w:jc w:val="right"/>
              <w:ind w:right="13"/>
              <w:spacing w:after="0"/>
              <w:rPr>
                <w:sz w:val="20"/>
                <w:szCs w:val="20"/>
                <w:color w:val="auto"/>
              </w:rPr>
            </w:pPr>
            <w:r>
              <w:rPr>
                <w:rFonts w:ascii="Arial" w:cs="Arial" w:eastAsia="Arial" w:hAnsi="Arial"/>
                <w:sz w:val="18"/>
                <w:szCs w:val="18"/>
                <w:color w:val="auto"/>
              </w:rPr>
              <w:t>612</w:t>
            </w:r>
          </w:p>
        </w:tc>
      </w:tr>
      <w:tr>
        <w:trPr>
          <w:trHeight w:val="20"/>
        </w:trPr>
        <w:tc>
          <w:tcPr>
            <w:tcW w:w="40" w:type="dxa"/>
            <w:vAlign w:val="bottom"/>
          </w:tcPr>
          <w:p>
            <w:pPr>
              <w:spacing w:after="0" w:line="20" w:lineRule="exact"/>
              <w:rPr>
                <w:sz w:val="1"/>
                <w:szCs w:val="1"/>
                <w:color w:val="auto"/>
              </w:rPr>
            </w:pPr>
          </w:p>
        </w:tc>
        <w:tc>
          <w:tcPr>
            <w:tcW w:w="1580" w:type="dxa"/>
            <w:vAlign w:val="bottom"/>
          </w:tcPr>
          <w:p>
            <w:pPr>
              <w:spacing w:after="0" w:line="20" w:lineRule="exact"/>
              <w:rPr>
                <w:sz w:val="1"/>
                <w:szCs w:val="1"/>
                <w:color w:val="auto"/>
              </w:rPr>
            </w:pPr>
          </w:p>
        </w:tc>
        <w:tc>
          <w:tcPr>
            <w:tcW w:w="396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r>
      <w:tr>
        <w:trPr>
          <w:trHeight w:val="392"/>
        </w:trPr>
        <w:tc>
          <w:tcPr>
            <w:tcW w:w="4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396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040" w:type="dxa"/>
            <w:vAlign w:val="bottom"/>
          </w:tcPr>
          <w:p>
            <w:pPr>
              <w:spacing w:after="0"/>
              <w:rPr>
                <w:sz w:val="24"/>
                <w:szCs w:val="24"/>
                <w:color w:val="auto"/>
              </w:rPr>
            </w:pPr>
          </w:p>
        </w:tc>
      </w:tr>
      <w:tr>
        <w:trPr>
          <w:trHeight w:val="270"/>
        </w:trPr>
        <w:tc>
          <w:tcPr>
            <w:tcW w:w="5580" w:type="dxa"/>
            <w:vAlign w:val="bottom"/>
            <w:gridSpan w:val="3"/>
            <w:shd w:val="clear" w:color="auto" w:fill="CCEEFF"/>
          </w:tcPr>
          <w:p>
            <w:pPr>
              <w:ind w:left="40"/>
              <w:spacing w:after="0"/>
              <w:rPr>
                <w:sz w:val="20"/>
                <w:szCs w:val="20"/>
                <w:color w:val="auto"/>
              </w:rPr>
            </w:pPr>
            <w:r>
              <w:rPr>
                <w:rFonts w:ascii="Arial" w:cs="Arial" w:eastAsia="Arial" w:hAnsi="Arial"/>
                <w:sz w:val="18"/>
                <w:szCs w:val="18"/>
                <w:color w:val="auto"/>
              </w:rPr>
              <w:t>Net actuarial loss (gain)</w:t>
            </w:r>
          </w:p>
        </w:tc>
        <w:tc>
          <w:tcPr>
            <w:tcW w:w="380" w:type="dxa"/>
            <w:vAlign w:val="bottom"/>
            <w:shd w:val="clear" w:color="auto" w:fill="CCEEFF"/>
          </w:tcPr>
          <w:p>
            <w:pPr>
              <w:ind w:left="40"/>
              <w:spacing w:after="0"/>
              <w:rPr>
                <w:sz w:val="20"/>
                <w:szCs w:val="20"/>
                <w:color w:val="auto"/>
              </w:rPr>
            </w:pPr>
            <w:r>
              <w:rPr>
                <w:rFonts w:ascii="Arial" w:cs="Arial" w:eastAsia="Arial" w:hAnsi="Arial"/>
                <w:sz w:val="18"/>
                <w:szCs w:val="18"/>
                <w:color w:val="auto"/>
              </w:rPr>
              <w:t>$</w:t>
            </w:r>
          </w:p>
        </w:tc>
        <w:tc>
          <w:tcPr>
            <w:tcW w:w="1000" w:type="dxa"/>
            <w:vAlign w:val="bottom"/>
            <w:shd w:val="clear" w:color="auto" w:fill="CCEEFF"/>
          </w:tcPr>
          <w:p>
            <w:pPr>
              <w:jc w:val="right"/>
              <w:ind w:right="14"/>
              <w:spacing w:after="0"/>
              <w:rPr>
                <w:sz w:val="20"/>
                <w:szCs w:val="20"/>
                <w:color w:val="auto"/>
              </w:rPr>
            </w:pPr>
            <w:r>
              <w:rPr>
                <w:rFonts w:ascii="Arial" w:cs="Arial" w:eastAsia="Arial" w:hAnsi="Arial"/>
                <w:sz w:val="18"/>
                <w:szCs w:val="18"/>
                <w:color w:val="auto"/>
              </w:rPr>
              <w:t>5,680</w:t>
            </w:r>
          </w:p>
        </w:tc>
        <w:tc>
          <w:tcPr>
            <w:tcW w:w="120" w:type="dxa"/>
            <w:vAlign w:val="bottom"/>
            <w:shd w:val="clear" w:color="auto" w:fill="CCEEFF"/>
          </w:tcPr>
          <w:p>
            <w:pPr>
              <w:spacing w:after="0"/>
              <w:rPr>
                <w:sz w:val="23"/>
                <w:szCs w:val="23"/>
                <w:color w:val="auto"/>
              </w:rPr>
            </w:pPr>
          </w:p>
        </w:tc>
        <w:tc>
          <w:tcPr>
            <w:tcW w:w="32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040" w:type="dxa"/>
            <w:vAlign w:val="bottom"/>
            <w:shd w:val="clear" w:color="auto" w:fill="CCEEFF"/>
          </w:tcPr>
          <w:p>
            <w:pPr>
              <w:jc w:val="right"/>
              <w:ind w:right="14"/>
              <w:spacing w:after="0"/>
              <w:rPr>
                <w:sz w:val="20"/>
                <w:szCs w:val="20"/>
                <w:color w:val="auto"/>
              </w:rPr>
            </w:pPr>
            <w:r>
              <w:rPr>
                <w:rFonts w:ascii="Arial" w:cs="Arial" w:eastAsia="Arial" w:hAnsi="Arial"/>
                <w:sz w:val="18"/>
                <w:szCs w:val="18"/>
                <w:color w:val="auto"/>
              </w:rPr>
              <w:t>5,356</w:t>
            </w:r>
          </w:p>
        </w:tc>
        <w:tc>
          <w:tcPr>
            <w:tcW w:w="120" w:type="dxa"/>
            <w:vAlign w:val="bottom"/>
            <w:shd w:val="clear" w:color="auto" w:fill="CCEEFF"/>
          </w:tcPr>
          <w:p>
            <w:pPr>
              <w:spacing w:after="0"/>
              <w:rPr>
                <w:sz w:val="23"/>
                <w:szCs w:val="23"/>
                <w:color w:val="auto"/>
              </w:rPr>
            </w:pPr>
          </w:p>
        </w:tc>
        <w:tc>
          <w:tcPr>
            <w:tcW w:w="380" w:type="dxa"/>
            <w:vAlign w:val="bottom"/>
            <w:shd w:val="clear" w:color="auto" w:fill="CCEEFF"/>
          </w:tcPr>
          <w:p>
            <w:pPr>
              <w:jc w:val="right"/>
              <w:ind w:right="170"/>
              <w:spacing w:after="0"/>
              <w:rPr>
                <w:sz w:val="20"/>
                <w:szCs w:val="20"/>
                <w:color w:val="auto"/>
              </w:rPr>
            </w:pPr>
            <w:r>
              <w:rPr>
                <w:rFonts w:ascii="Arial" w:cs="Arial" w:eastAsia="Arial" w:hAnsi="Arial"/>
                <w:sz w:val="18"/>
                <w:szCs w:val="18"/>
                <w:color w:val="auto"/>
                <w:w w:val="99"/>
              </w:rPr>
              <w:t>$</w:t>
            </w: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(426)</w:t>
            </w:r>
          </w:p>
        </w:tc>
        <w:tc>
          <w:tcPr>
            <w:tcW w:w="100" w:type="dxa"/>
            <w:vAlign w:val="bottom"/>
            <w:shd w:val="clear" w:color="auto" w:fill="CCEEFF"/>
          </w:tcPr>
          <w:p>
            <w:pPr>
              <w:spacing w:after="0"/>
              <w:rPr>
                <w:sz w:val="23"/>
                <w:szCs w:val="23"/>
                <w:color w:val="auto"/>
              </w:rPr>
            </w:pPr>
          </w:p>
        </w:tc>
        <w:tc>
          <w:tcPr>
            <w:tcW w:w="34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(452)</w:t>
            </w:r>
          </w:p>
        </w:tc>
      </w:tr>
      <w:tr>
        <w:trPr>
          <w:trHeight w:val="264"/>
        </w:trPr>
        <w:tc>
          <w:tcPr>
            <w:tcW w:w="5580" w:type="dxa"/>
            <w:vAlign w:val="bottom"/>
            <w:tcBorders>
              <w:bottom w:val="single" w:sz="8" w:color="CCEEFF"/>
            </w:tcBorders>
            <w:gridSpan w:val="3"/>
          </w:tcPr>
          <w:p>
            <w:pPr>
              <w:ind w:left="40"/>
              <w:spacing w:after="0"/>
              <w:rPr>
                <w:sz w:val="20"/>
                <w:szCs w:val="20"/>
                <w:color w:val="auto"/>
              </w:rPr>
            </w:pPr>
            <w:r>
              <w:rPr>
                <w:rFonts w:ascii="Arial" w:cs="Arial" w:eastAsia="Arial" w:hAnsi="Arial"/>
                <w:sz w:val="18"/>
                <w:szCs w:val="18"/>
                <w:color w:val="auto"/>
              </w:rPr>
              <w:t>Prior service cost (benefit)</w:t>
            </w:r>
          </w:p>
        </w:tc>
        <w:tc>
          <w:tcPr>
            <w:tcW w:w="380" w:type="dxa"/>
            <w:vAlign w:val="bottom"/>
            <w:tcBorders>
              <w:bottom w:val="single" w:sz="8" w:color="auto"/>
            </w:tcBorders>
          </w:tcPr>
          <w:p>
            <w:pPr>
              <w:spacing w:after="0"/>
              <w:rPr>
                <w:sz w:val="22"/>
                <w:szCs w:val="22"/>
                <w:color w:val="auto"/>
              </w:rPr>
            </w:pPr>
          </w:p>
        </w:tc>
        <w:tc>
          <w:tcPr>
            <w:tcW w:w="1000" w:type="dxa"/>
            <w:vAlign w:val="bottom"/>
            <w:tcBorders>
              <w:bottom w:val="single" w:sz="8" w:color="auto"/>
            </w:tcBorders>
          </w:tcPr>
          <w:p>
            <w:pPr>
              <w:jc w:val="right"/>
              <w:ind w:right="14"/>
              <w:spacing w:after="0"/>
              <w:rPr>
                <w:sz w:val="20"/>
                <w:szCs w:val="20"/>
                <w:color w:val="auto"/>
              </w:rPr>
            </w:pPr>
            <w:r>
              <w:rPr>
                <w:rFonts w:ascii="Arial" w:cs="Arial" w:eastAsia="Arial" w:hAnsi="Arial"/>
                <w:sz w:val="18"/>
                <w:szCs w:val="18"/>
                <w:color w:val="auto"/>
              </w:rPr>
              <w:t>104</w:t>
            </w:r>
          </w:p>
        </w:tc>
        <w:tc>
          <w:tcPr>
            <w:tcW w:w="120" w:type="dxa"/>
            <w:vAlign w:val="bottom"/>
            <w:tcBorders>
              <w:bottom w:val="single" w:sz="8" w:color="CCEEFF"/>
            </w:tcBorders>
          </w:tcPr>
          <w:p>
            <w:pPr>
              <w:spacing w:after="0"/>
              <w:rPr>
                <w:sz w:val="22"/>
                <w:szCs w:val="22"/>
                <w:color w:val="auto"/>
              </w:rPr>
            </w:pPr>
          </w:p>
        </w:tc>
        <w:tc>
          <w:tcPr>
            <w:tcW w:w="320" w:type="dxa"/>
            <w:vAlign w:val="bottom"/>
            <w:tcBorders>
              <w:bottom w:val="single" w:sz="8" w:color="auto"/>
            </w:tcBorders>
          </w:tcPr>
          <w:p>
            <w:pPr>
              <w:spacing w:after="0"/>
              <w:rPr>
                <w:sz w:val="22"/>
                <w:szCs w:val="22"/>
                <w:color w:val="auto"/>
              </w:rPr>
            </w:pPr>
          </w:p>
        </w:tc>
        <w:tc>
          <w:tcPr>
            <w:tcW w:w="1040" w:type="dxa"/>
            <w:vAlign w:val="bottom"/>
            <w:tcBorders>
              <w:bottom w:val="single" w:sz="8" w:color="auto"/>
            </w:tcBorders>
          </w:tcPr>
          <w:p>
            <w:pPr>
              <w:jc w:val="right"/>
              <w:ind w:right="14"/>
              <w:spacing w:after="0"/>
              <w:rPr>
                <w:sz w:val="20"/>
                <w:szCs w:val="20"/>
                <w:color w:val="auto"/>
              </w:rPr>
            </w:pPr>
            <w:r>
              <w:rPr>
                <w:rFonts w:ascii="Arial" w:cs="Arial" w:eastAsia="Arial" w:hAnsi="Arial"/>
                <w:sz w:val="18"/>
                <w:szCs w:val="18"/>
                <w:color w:val="auto"/>
              </w:rPr>
              <w:t>131</w:t>
            </w:r>
          </w:p>
        </w:tc>
        <w:tc>
          <w:tcPr>
            <w:tcW w:w="120" w:type="dxa"/>
            <w:vAlign w:val="bottom"/>
            <w:tcBorders>
              <w:bottom w:val="single" w:sz="8" w:color="CCEEFF"/>
            </w:tcBorders>
          </w:tcPr>
          <w:p>
            <w:pPr>
              <w:spacing w:after="0"/>
              <w:rPr>
                <w:sz w:val="22"/>
                <w:szCs w:val="22"/>
                <w:color w:val="auto"/>
              </w:rPr>
            </w:pPr>
          </w:p>
        </w:tc>
        <w:tc>
          <w:tcPr>
            <w:tcW w:w="380" w:type="dxa"/>
            <w:vAlign w:val="bottom"/>
            <w:tcBorders>
              <w:bottom w:val="single" w:sz="8" w:color="auto"/>
            </w:tcBorders>
          </w:tcPr>
          <w:p>
            <w:pPr>
              <w:spacing w:after="0"/>
              <w:rPr>
                <w:sz w:val="22"/>
                <w:szCs w:val="22"/>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(120)</w:t>
            </w:r>
          </w:p>
        </w:tc>
        <w:tc>
          <w:tcPr>
            <w:tcW w:w="100" w:type="dxa"/>
            <w:vAlign w:val="bottom"/>
            <w:tcBorders>
              <w:bottom w:val="single" w:sz="8" w:color="CCEEFF"/>
            </w:tcBorders>
          </w:tcPr>
          <w:p>
            <w:pPr>
              <w:spacing w:after="0"/>
              <w:rPr>
                <w:sz w:val="22"/>
                <w:szCs w:val="22"/>
                <w:color w:val="auto"/>
              </w:rPr>
            </w:pPr>
          </w:p>
        </w:tc>
        <w:tc>
          <w:tcPr>
            <w:tcW w:w="340" w:type="dxa"/>
            <w:vAlign w:val="bottom"/>
            <w:tcBorders>
              <w:bottom w:val="single" w:sz="8" w:color="auto"/>
            </w:tcBorders>
          </w:tcPr>
          <w:p>
            <w:pPr>
              <w:spacing w:after="0"/>
              <w:rPr>
                <w:sz w:val="22"/>
                <w:szCs w:val="22"/>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(362)</w:t>
            </w:r>
          </w:p>
        </w:tc>
      </w:tr>
      <w:tr>
        <w:trPr>
          <w:trHeight w:val="257"/>
        </w:trPr>
        <w:tc>
          <w:tcPr>
            <w:tcW w:w="558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8"/>
                <w:szCs w:val="18"/>
                <w:color w:val="auto"/>
              </w:rPr>
              <w:t>Total accumulated other comprehensive loss (income), pre-tax</w:t>
            </w:r>
          </w:p>
        </w:tc>
        <w:tc>
          <w:tcPr>
            <w:tcW w:w="380" w:type="dxa"/>
            <w:vAlign w:val="bottom"/>
            <w:tcBorders>
              <w:bottom w:val="single" w:sz="8" w:color="auto"/>
            </w:tcBorders>
            <w:shd w:val="clear" w:color="auto" w:fill="CCEEFF"/>
          </w:tcPr>
          <w:p>
            <w:pPr>
              <w:ind w:left="40"/>
              <w:spacing w:after="0"/>
              <w:rPr>
                <w:sz w:val="20"/>
                <w:szCs w:val="20"/>
                <w:color w:val="auto"/>
              </w:rPr>
            </w:pPr>
            <w:r>
              <w:rPr>
                <w:rFonts w:ascii="Arial" w:cs="Arial" w:eastAsia="Arial" w:hAnsi="Arial"/>
                <w:sz w:val="18"/>
                <w:szCs w:val="18"/>
                <w:color w:val="auto"/>
              </w:rPr>
              <w:t>$</w:t>
            </w:r>
          </w:p>
        </w:tc>
        <w:tc>
          <w:tcPr>
            <w:tcW w:w="1000" w:type="dxa"/>
            <w:vAlign w:val="bottom"/>
            <w:tcBorders>
              <w:bottom w:val="single" w:sz="8" w:color="auto"/>
            </w:tcBorders>
            <w:shd w:val="clear" w:color="auto" w:fill="CCEEFF"/>
          </w:tcPr>
          <w:p>
            <w:pPr>
              <w:jc w:val="right"/>
              <w:ind w:right="14"/>
              <w:spacing w:after="0"/>
              <w:rPr>
                <w:sz w:val="20"/>
                <w:szCs w:val="20"/>
                <w:color w:val="auto"/>
              </w:rPr>
            </w:pPr>
            <w:r>
              <w:rPr>
                <w:rFonts w:ascii="Arial" w:cs="Arial" w:eastAsia="Arial" w:hAnsi="Arial"/>
                <w:sz w:val="18"/>
                <w:szCs w:val="18"/>
                <w:color w:val="auto"/>
              </w:rPr>
              <w:t>5,784</w:t>
            </w:r>
          </w:p>
        </w:tc>
        <w:tc>
          <w:tcPr>
            <w:tcW w:w="120" w:type="dxa"/>
            <w:vAlign w:val="bottom"/>
            <w:tcBorders>
              <w:bottom w:val="single" w:sz="8" w:color="CCEEFF"/>
            </w:tcBorders>
            <w:shd w:val="clear" w:color="auto" w:fill="CCEEFF"/>
          </w:tcPr>
          <w:p>
            <w:pPr>
              <w:spacing w:after="0"/>
              <w:rPr>
                <w:sz w:val="22"/>
                <w:szCs w:val="22"/>
                <w:color w:val="auto"/>
              </w:rPr>
            </w:pPr>
          </w:p>
        </w:tc>
        <w:tc>
          <w:tcPr>
            <w:tcW w:w="320" w:type="dxa"/>
            <w:vAlign w:val="bottom"/>
            <w:tcBorders>
              <w:bottom w:val="single" w:sz="8" w:color="auto"/>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040" w:type="dxa"/>
            <w:vAlign w:val="bottom"/>
            <w:tcBorders>
              <w:bottom w:val="single" w:sz="8" w:color="auto"/>
            </w:tcBorders>
            <w:shd w:val="clear" w:color="auto" w:fill="CCEEFF"/>
          </w:tcPr>
          <w:p>
            <w:pPr>
              <w:jc w:val="right"/>
              <w:ind w:right="14"/>
              <w:spacing w:after="0"/>
              <w:rPr>
                <w:sz w:val="20"/>
                <w:szCs w:val="20"/>
                <w:color w:val="auto"/>
              </w:rPr>
            </w:pPr>
            <w:r>
              <w:rPr>
                <w:rFonts w:ascii="Arial" w:cs="Arial" w:eastAsia="Arial" w:hAnsi="Arial"/>
                <w:sz w:val="18"/>
                <w:szCs w:val="18"/>
                <w:color w:val="auto"/>
              </w:rPr>
              <w:t>5,487</w:t>
            </w:r>
          </w:p>
        </w:tc>
        <w:tc>
          <w:tcPr>
            <w:tcW w:w="120" w:type="dxa"/>
            <w:vAlign w:val="bottom"/>
            <w:tcBorders>
              <w:bottom w:val="single" w:sz="8" w:color="CCEEFF"/>
            </w:tcBorders>
            <w:shd w:val="clear" w:color="auto" w:fill="CCEEFF"/>
          </w:tcPr>
          <w:p>
            <w:pPr>
              <w:spacing w:after="0"/>
              <w:rPr>
                <w:sz w:val="22"/>
                <w:szCs w:val="22"/>
                <w:color w:val="auto"/>
              </w:rPr>
            </w:pPr>
          </w:p>
        </w:tc>
        <w:tc>
          <w:tcPr>
            <w:tcW w:w="380" w:type="dxa"/>
            <w:vAlign w:val="bottom"/>
            <w:tcBorders>
              <w:bottom w:val="single" w:sz="8" w:color="auto"/>
            </w:tcBorders>
            <w:shd w:val="clear" w:color="auto" w:fill="CCEEFF"/>
          </w:tcPr>
          <w:p>
            <w:pPr>
              <w:jc w:val="right"/>
              <w:ind w:right="170"/>
              <w:spacing w:after="0"/>
              <w:rPr>
                <w:sz w:val="20"/>
                <w:szCs w:val="20"/>
                <w:color w:val="auto"/>
              </w:rPr>
            </w:pPr>
            <w:r>
              <w:rPr>
                <w:rFonts w:ascii="Arial" w:cs="Arial" w:eastAsia="Arial" w:hAnsi="Arial"/>
                <w:sz w:val="18"/>
                <w:szCs w:val="18"/>
                <w:color w:val="auto"/>
                <w:w w:val="99"/>
              </w:rPr>
              <w:t>$</w:t>
            </w: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(546)</w:t>
            </w:r>
          </w:p>
        </w:tc>
        <w:tc>
          <w:tcPr>
            <w:tcW w:w="100" w:type="dxa"/>
            <w:vAlign w:val="bottom"/>
            <w:tcBorders>
              <w:bottom w:val="single" w:sz="8" w:color="CCEEFF"/>
            </w:tcBorders>
            <w:shd w:val="clear" w:color="auto" w:fill="CCEEFF"/>
          </w:tcPr>
          <w:p>
            <w:pPr>
              <w:spacing w:after="0"/>
              <w:rPr>
                <w:sz w:val="22"/>
                <w:szCs w:val="22"/>
                <w:color w:val="auto"/>
              </w:rPr>
            </w:pPr>
          </w:p>
        </w:tc>
        <w:tc>
          <w:tcPr>
            <w:tcW w:w="340" w:type="dxa"/>
            <w:vAlign w:val="bottom"/>
            <w:tcBorders>
              <w:bottom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(814)</w:t>
            </w:r>
          </w:p>
        </w:tc>
      </w:tr>
      <w:tr>
        <w:trPr>
          <w:trHeight w:val="20"/>
        </w:trPr>
        <w:tc>
          <w:tcPr>
            <w:tcW w:w="40" w:type="dxa"/>
            <w:vAlign w:val="bottom"/>
          </w:tcPr>
          <w:p>
            <w:pPr>
              <w:spacing w:after="0" w:line="20" w:lineRule="exact"/>
              <w:rPr>
                <w:sz w:val="1"/>
                <w:szCs w:val="1"/>
                <w:color w:val="auto"/>
              </w:rPr>
            </w:pPr>
          </w:p>
        </w:tc>
        <w:tc>
          <w:tcPr>
            <w:tcW w:w="1580" w:type="dxa"/>
            <w:vAlign w:val="bottom"/>
          </w:tcPr>
          <w:p>
            <w:pPr>
              <w:spacing w:after="0" w:line="20" w:lineRule="exact"/>
              <w:rPr>
                <w:sz w:val="1"/>
                <w:szCs w:val="1"/>
                <w:color w:val="auto"/>
              </w:rPr>
            </w:pPr>
          </w:p>
        </w:tc>
        <w:tc>
          <w:tcPr>
            <w:tcW w:w="396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r>
      <w:tr>
        <w:trPr>
          <w:trHeight w:val="629"/>
        </w:trPr>
        <w:tc>
          <w:tcPr>
            <w:tcW w:w="4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3960" w:type="dxa"/>
            <w:vAlign w:val="bottom"/>
          </w:tcPr>
          <w:p>
            <w:pPr>
              <w:spacing w:after="0"/>
              <w:rPr>
                <w:sz w:val="24"/>
                <w:szCs w:val="24"/>
                <w:color w:val="auto"/>
              </w:rPr>
            </w:pPr>
          </w:p>
        </w:tc>
        <w:tc>
          <w:tcPr>
            <w:tcW w:w="380" w:type="dxa"/>
            <w:vAlign w:val="bottom"/>
          </w:tcPr>
          <w:p>
            <w:pPr>
              <w:ind w:left="40"/>
              <w:spacing w:after="0"/>
              <w:rPr>
                <w:sz w:val="20"/>
                <w:szCs w:val="20"/>
                <w:color w:val="auto"/>
              </w:rPr>
            </w:pPr>
            <w:r>
              <w:rPr>
                <w:rFonts w:ascii="Arial" w:cs="Arial" w:eastAsia="Arial" w:hAnsi="Arial"/>
                <w:sz w:val="18"/>
                <w:szCs w:val="18"/>
                <w:color w:val="auto"/>
              </w:rPr>
              <w:t>99</w:t>
            </w:r>
          </w:p>
        </w:tc>
        <w:tc>
          <w:tcPr>
            <w:tcW w:w="10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040" w:type="dxa"/>
            <w:vAlign w:val="bottom"/>
          </w:tcPr>
          <w:p>
            <w:pPr>
              <w:spacing w:after="0"/>
              <w:rPr>
                <w:sz w:val="24"/>
                <w:szCs w:val="24"/>
                <w:color w:val="auto"/>
              </w:rPr>
            </w:pPr>
          </w:p>
        </w:tc>
      </w:tr>
    </w:tbl>
    <w:p>
      <w:pPr>
        <w:sectPr>
          <w:pgSz w:w="11900" w:h="16838" w:orient="portrait"/>
          <w:cols w:equalWidth="0" w:num="1">
            <w:col w:w="11420"/>
          </w:cols>
          <w:pgMar w:left="240" w:top="549" w:right="239" w:bottom="1440" w:gutter="0" w:footer="0" w:header="0"/>
          <w:type w:val="continuous"/>
        </w:sectPr>
      </w:pPr>
    </w:p>
    <w:bookmarkStart w:id="99" w:name="page100"/>
    <w:bookmarkEnd w:id="99"/>
    <w:p>
      <w:pPr>
        <w:jc w:val="center"/>
        <w:spacing w:after="0"/>
        <w:rPr>
          <w:sz w:val="20"/>
          <w:szCs w:val="20"/>
          <w:color w:val="auto"/>
        </w:rPr>
      </w:pPr>
      <w:r>
        <w:rPr>
          <w:rFonts w:ascii="Arial" w:cs="Arial" w:eastAsia="Arial" w:hAnsi="Arial"/>
          <w:sz w:val="18"/>
          <w:szCs w:val="18"/>
          <w:b w:val="1"/>
          <w:bCs w:val="1"/>
          <w:color w:val="auto"/>
        </w:rPr>
        <w:t>NOTES TO CONSOLIDATED FINANCIAL STATEMENTS OF AMERICAN AIRLINES GROUP INC.</w:t>
      </w:r>
    </w:p>
    <w:p>
      <w:pPr>
        <w:spacing w:after="0" w:line="200" w:lineRule="exact"/>
        <w:rPr>
          <w:sz w:val="20"/>
          <w:szCs w:val="20"/>
          <w:color w:val="auto"/>
        </w:rPr>
      </w:pPr>
    </w:p>
    <w:p>
      <w:pPr>
        <w:spacing w:after="0" w:line="268" w:lineRule="exact"/>
        <w:rPr>
          <w:sz w:val="20"/>
          <w:szCs w:val="20"/>
          <w:color w:val="auto"/>
        </w:rPr>
      </w:pPr>
    </w:p>
    <w:p>
      <w:pPr>
        <w:ind w:left="220"/>
        <w:spacing w:after="0"/>
        <w:rPr>
          <w:sz w:val="20"/>
          <w:szCs w:val="20"/>
          <w:color w:val="auto"/>
        </w:rPr>
      </w:pPr>
      <w:r>
        <w:rPr>
          <w:rFonts w:ascii="Arial" w:cs="Arial" w:eastAsia="Arial" w:hAnsi="Arial"/>
          <w:sz w:val="18"/>
          <w:szCs w:val="18"/>
          <w:b w:val="1"/>
          <w:bCs w:val="1"/>
          <w:i w:val="1"/>
          <w:iCs w:val="1"/>
          <w:color w:val="auto"/>
        </w:rPr>
        <w:t>Plans with Accumulated Benefit Obligations Exceeding Fair Value of Plan Assets</w:t>
      </w:r>
    </w:p>
    <w:p>
      <w:pPr>
        <w:spacing w:after="0" w:line="343"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40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2200" w:type="dxa"/>
            <w:vAlign w:val="bottom"/>
            <w:gridSpan w:val="6"/>
          </w:tcPr>
          <w:p>
            <w:pPr>
              <w:jc w:val="right"/>
              <w:ind w:right="673"/>
              <w:spacing w:after="0"/>
              <w:rPr>
                <w:sz w:val="20"/>
                <w:szCs w:val="20"/>
                <w:color w:val="auto"/>
              </w:rPr>
            </w:pPr>
            <w:r>
              <w:rPr>
                <w:rFonts w:ascii="Arial" w:cs="Arial" w:eastAsia="Arial" w:hAnsi="Arial"/>
                <w:sz w:val="14"/>
                <w:szCs w:val="14"/>
                <w:b w:val="1"/>
                <w:bCs w:val="1"/>
                <w:color w:val="auto"/>
              </w:rPr>
              <w:t>Retiree Medical and</w:t>
            </w:r>
          </w:p>
        </w:tc>
      </w:tr>
      <w:tr>
        <w:trPr>
          <w:trHeight w:val="196"/>
        </w:trPr>
        <w:tc>
          <w:tcPr>
            <w:tcW w:w="40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580" w:type="dxa"/>
            <w:vAlign w:val="bottom"/>
            <w:tcBorders>
              <w:bottom w:val="single" w:sz="8" w:color="auto"/>
            </w:tcBorders>
          </w:tcPr>
          <w:p>
            <w:pPr>
              <w:spacing w:after="0"/>
              <w:rPr>
                <w:sz w:val="17"/>
                <w:szCs w:val="17"/>
                <w:color w:val="auto"/>
              </w:rPr>
            </w:pPr>
          </w:p>
        </w:tc>
        <w:tc>
          <w:tcPr>
            <w:tcW w:w="40" w:type="dxa"/>
            <w:vAlign w:val="bottom"/>
            <w:tcBorders>
              <w:bottom w:val="single" w:sz="8" w:color="auto"/>
            </w:tcBorders>
          </w:tcPr>
          <w:p>
            <w:pPr>
              <w:spacing w:after="0"/>
              <w:rPr>
                <w:sz w:val="17"/>
                <w:szCs w:val="17"/>
                <w:color w:val="auto"/>
              </w:rPr>
            </w:pPr>
          </w:p>
        </w:tc>
        <w:tc>
          <w:tcPr>
            <w:tcW w:w="1320" w:type="dxa"/>
            <w:vAlign w:val="bottom"/>
            <w:tcBorders>
              <w:bottom w:val="single" w:sz="8" w:color="auto"/>
            </w:tcBorders>
            <w:gridSpan w:val="6"/>
          </w:tcPr>
          <w:p>
            <w:pPr>
              <w:spacing w:after="0"/>
              <w:rPr>
                <w:sz w:val="20"/>
                <w:szCs w:val="20"/>
                <w:color w:val="auto"/>
              </w:rPr>
            </w:pPr>
            <w:r>
              <w:rPr>
                <w:rFonts w:ascii="Arial" w:cs="Arial" w:eastAsia="Arial" w:hAnsi="Arial"/>
                <w:sz w:val="14"/>
                <w:szCs w:val="14"/>
                <w:b w:val="1"/>
                <w:bCs w:val="1"/>
                <w:color w:val="auto"/>
              </w:rPr>
              <w:t>Pension Benefits</w:t>
            </w:r>
          </w:p>
        </w:tc>
        <w:tc>
          <w:tcPr>
            <w:tcW w:w="640" w:type="dxa"/>
            <w:vAlign w:val="bottom"/>
            <w:tcBorders>
              <w:bottom w:val="single" w:sz="8" w:color="auto"/>
            </w:tcBorders>
          </w:tcPr>
          <w:p>
            <w:pPr>
              <w:spacing w:after="0"/>
              <w:rPr>
                <w:sz w:val="17"/>
                <w:szCs w:val="17"/>
                <w:color w:val="auto"/>
              </w:rPr>
            </w:pPr>
          </w:p>
        </w:tc>
        <w:tc>
          <w:tcPr>
            <w:tcW w:w="40" w:type="dxa"/>
            <w:vAlign w:val="bottom"/>
            <w:tcBorders>
              <w:bottom w:val="single" w:sz="8" w:color="auto"/>
            </w:tcBorders>
          </w:tcPr>
          <w:p>
            <w:pPr>
              <w:spacing w:after="0"/>
              <w:rPr>
                <w:sz w:val="17"/>
                <w:szCs w:val="17"/>
                <w:color w:val="auto"/>
              </w:rPr>
            </w:pPr>
          </w:p>
        </w:tc>
        <w:tc>
          <w:tcPr>
            <w:tcW w:w="120" w:type="dxa"/>
            <w:vAlign w:val="bottom"/>
          </w:tcPr>
          <w:p>
            <w:pPr>
              <w:spacing w:after="0"/>
              <w:rPr>
                <w:sz w:val="17"/>
                <w:szCs w:val="17"/>
                <w:color w:val="auto"/>
              </w:rPr>
            </w:pPr>
          </w:p>
        </w:tc>
        <w:tc>
          <w:tcPr>
            <w:tcW w:w="340" w:type="dxa"/>
            <w:vAlign w:val="bottom"/>
            <w:tcBorders>
              <w:bottom w:val="single" w:sz="8" w:color="auto"/>
            </w:tcBorders>
          </w:tcPr>
          <w:p>
            <w:pPr>
              <w:spacing w:after="0"/>
              <w:rPr>
                <w:sz w:val="17"/>
                <w:szCs w:val="17"/>
                <w:color w:val="auto"/>
              </w:rPr>
            </w:pPr>
          </w:p>
        </w:tc>
        <w:tc>
          <w:tcPr>
            <w:tcW w:w="20" w:type="dxa"/>
            <w:vAlign w:val="bottom"/>
            <w:tcBorders>
              <w:bottom w:val="single" w:sz="8" w:color="auto"/>
            </w:tcBorders>
          </w:tcPr>
          <w:p>
            <w:pPr>
              <w:spacing w:after="0"/>
              <w:rPr>
                <w:sz w:val="17"/>
                <w:szCs w:val="17"/>
                <w:color w:val="auto"/>
              </w:rPr>
            </w:pPr>
          </w:p>
        </w:tc>
        <w:tc>
          <w:tcPr>
            <w:tcW w:w="2500" w:type="dxa"/>
            <w:vAlign w:val="bottom"/>
            <w:tcBorders>
              <w:bottom w:val="single" w:sz="8" w:color="auto"/>
            </w:tcBorders>
            <w:gridSpan w:val="8"/>
          </w:tcPr>
          <w:p>
            <w:pPr>
              <w:jc w:val="right"/>
              <w:ind w:right="313"/>
              <w:spacing w:after="0"/>
              <w:rPr>
                <w:sz w:val="20"/>
                <w:szCs w:val="20"/>
                <w:color w:val="auto"/>
              </w:rPr>
            </w:pPr>
            <w:r>
              <w:rPr>
                <w:rFonts w:ascii="Arial" w:cs="Arial" w:eastAsia="Arial" w:hAnsi="Arial"/>
                <w:sz w:val="14"/>
                <w:szCs w:val="14"/>
                <w:b w:val="1"/>
                <w:bCs w:val="1"/>
                <w:color w:val="auto"/>
              </w:rPr>
              <w:t>Other Postretirement Benefits</w:t>
            </w:r>
          </w:p>
        </w:tc>
      </w:tr>
      <w:tr>
        <w:trPr>
          <w:trHeight w:val="264"/>
        </w:trPr>
        <w:tc>
          <w:tcPr>
            <w:tcW w:w="400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8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240" w:type="dxa"/>
            <w:vAlign w:val="bottom"/>
            <w:tcBorders>
              <w:bottom w:val="single" w:sz="8" w:color="auto"/>
            </w:tcBorders>
          </w:tcPr>
          <w:p>
            <w:pPr>
              <w:spacing w:after="0"/>
              <w:rPr>
                <w:sz w:val="22"/>
                <w:szCs w:val="22"/>
                <w:color w:val="auto"/>
              </w:rPr>
            </w:pPr>
          </w:p>
        </w:tc>
        <w:tc>
          <w:tcPr>
            <w:tcW w:w="620" w:type="dxa"/>
            <w:vAlign w:val="bottom"/>
            <w:tcBorders>
              <w:bottom w:val="single" w:sz="8" w:color="auto"/>
            </w:tcBorders>
            <w:gridSpan w:val="2"/>
          </w:tcPr>
          <w:p>
            <w:pPr>
              <w:jc w:val="right"/>
              <w:spacing w:after="0"/>
              <w:rPr>
                <w:sz w:val="20"/>
                <w:szCs w:val="20"/>
                <w:color w:val="auto"/>
              </w:rPr>
            </w:pPr>
            <w:r>
              <w:rPr>
                <w:rFonts w:ascii="Arial" w:cs="Arial" w:eastAsia="Arial" w:hAnsi="Arial"/>
                <w:sz w:val="14"/>
                <w:szCs w:val="14"/>
                <w:b w:val="1"/>
                <w:bCs w:val="1"/>
                <w:color w:val="auto"/>
              </w:rPr>
              <w:t>2019</w:t>
            </w:r>
          </w:p>
        </w:tc>
        <w:tc>
          <w:tcPr>
            <w:tcW w:w="60" w:type="dxa"/>
            <w:vAlign w:val="bottom"/>
            <w:tcBorders>
              <w:bottom w:val="single" w:sz="8" w:color="auto"/>
            </w:tcBorders>
          </w:tcPr>
          <w:p>
            <w:pPr>
              <w:spacing w:after="0"/>
              <w:rPr>
                <w:sz w:val="22"/>
                <w:szCs w:val="22"/>
                <w:color w:val="auto"/>
              </w:rPr>
            </w:pPr>
          </w:p>
        </w:tc>
        <w:tc>
          <w:tcPr>
            <w:tcW w:w="380" w:type="dxa"/>
            <w:vAlign w:val="bottom"/>
            <w:tcBorders>
              <w:bottom w:val="single" w:sz="8" w:color="auto"/>
            </w:tcBorders>
          </w:tcPr>
          <w:p>
            <w:pPr>
              <w:spacing w:after="0"/>
              <w:rPr>
                <w:sz w:val="22"/>
                <w:szCs w:val="22"/>
                <w:color w:val="auto"/>
              </w:rPr>
            </w:pPr>
          </w:p>
        </w:tc>
        <w:tc>
          <w:tcPr>
            <w:tcW w:w="80" w:type="dxa"/>
            <w:vAlign w:val="bottom"/>
            <w:tcBorders>
              <w:bottom w:val="single" w:sz="8" w:color="auto"/>
            </w:tcBorders>
          </w:tcPr>
          <w:p>
            <w:pPr>
              <w:spacing w:after="0"/>
              <w:rPr>
                <w:sz w:val="22"/>
                <w:szCs w:val="22"/>
                <w:color w:val="auto"/>
              </w:rPr>
            </w:pPr>
          </w:p>
        </w:tc>
        <w:tc>
          <w:tcPr>
            <w:tcW w:w="120" w:type="dxa"/>
            <w:vAlign w:val="bottom"/>
          </w:tcPr>
          <w:p>
            <w:pPr>
              <w:spacing w:after="0"/>
              <w:rPr>
                <w:sz w:val="22"/>
                <w:szCs w:val="22"/>
                <w:color w:val="auto"/>
              </w:rPr>
            </w:pPr>
          </w:p>
        </w:tc>
        <w:tc>
          <w:tcPr>
            <w:tcW w:w="1320" w:type="dxa"/>
            <w:vAlign w:val="bottom"/>
            <w:tcBorders>
              <w:bottom w:val="single" w:sz="8" w:color="auto"/>
            </w:tcBorders>
            <w:gridSpan w:val="3"/>
          </w:tcPr>
          <w:p>
            <w:pPr>
              <w:jc w:val="right"/>
              <w:ind w:right="394"/>
              <w:spacing w:after="0"/>
              <w:rPr>
                <w:sz w:val="20"/>
                <w:szCs w:val="20"/>
                <w:color w:val="auto"/>
              </w:rPr>
            </w:pPr>
            <w:r>
              <w:rPr>
                <w:rFonts w:ascii="Arial" w:cs="Arial" w:eastAsia="Arial" w:hAnsi="Arial"/>
                <w:sz w:val="14"/>
                <w:szCs w:val="14"/>
                <w:b w:val="1"/>
                <w:bCs w:val="1"/>
                <w:color w:val="auto"/>
              </w:rPr>
              <w:t>2018</w:t>
            </w:r>
          </w:p>
        </w:tc>
        <w:tc>
          <w:tcPr>
            <w:tcW w:w="40" w:type="dxa"/>
            <w:vAlign w:val="bottom"/>
            <w:tcBorders>
              <w:bottom w:val="single" w:sz="8" w:color="auto"/>
            </w:tcBorders>
          </w:tcPr>
          <w:p>
            <w:pPr>
              <w:spacing w:after="0"/>
              <w:rPr>
                <w:sz w:val="22"/>
                <w:szCs w:val="22"/>
                <w:color w:val="auto"/>
              </w:rPr>
            </w:pPr>
          </w:p>
        </w:tc>
        <w:tc>
          <w:tcPr>
            <w:tcW w:w="120" w:type="dxa"/>
            <w:vAlign w:val="bottom"/>
          </w:tcPr>
          <w:p>
            <w:pPr>
              <w:spacing w:after="0"/>
              <w:rPr>
                <w:sz w:val="22"/>
                <w:szCs w:val="22"/>
                <w:color w:val="auto"/>
              </w:rPr>
            </w:pPr>
          </w:p>
        </w:tc>
        <w:tc>
          <w:tcPr>
            <w:tcW w:w="340" w:type="dxa"/>
            <w:vAlign w:val="bottom"/>
            <w:tcBorders>
              <w:bottom w:val="single" w:sz="8" w:color="auto"/>
            </w:tcBorders>
          </w:tcPr>
          <w:p>
            <w:pPr>
              <w:spacing w:after="0"/>
              <w:rPr>
                <w:sz w:val="22"/>
                <w:szCs w:val="22"/>
                <w:color w:val="auto"/>
              </w:rPr>
            </w:pPr>
          </w:p>
        </w:tc>
        <w:tc>
          <w:tcPr>
            <w:tcW w:w="20" w:type="dxa"/>
            <w:vAlign w:val="bottom"/>
            <w:tcBorders>
              <w:bottom w:val="single" w:sz="8" w:color="auto"/>
            </w:tcBorders>
          </w:tcPr>
          <w:p>
            <w:pPr>
              <w:spacing w:after="0"/>
              <w:rPr>
                <w:sz w:val="22"/>
                <w:szCs w:val="22"/>
                <w:color w:val="auto"/>
              </w:rPr>
            </w:pPr>
          </w:p>
        </w:tc>
        <w:tc>
          <w:tcPr>
            <w:tcW w:w="1020" w:type="dxa"/>
            <w:vAlign w:val="bottom"/>
            <w:tcBorders>
              <w:bottom w:val="single" w:sz="8" w:color="auto"/>
            </w:tcBorders>
            <w:gridSpan w:val="3"/>
          </w:tcPr>
          <w:p>
            <w:pPr>
              <w:jc w:val="right"/>
              <w:ind w:right="453"/>
              <w:spacing w:after="0"/>
              <w:rPr>
                <w:sz w:val="20"/>
                <w:szCs w:val="20"/>
                <w:color w:val="auto"/>
              </w:rPr>
            </w:pPr>
            <w:r>
              <w:rPr>
                <w:rFonts w:ascii="Arial" w:cs="Arial" w:eastAsia="Arial" w:hAnsi="Arial"/>
                <w:sz w:val="14"/>
                <w:szCs w:val="14"/>
                <w:b w:val="1"/>
                <w:bCs w:val="1"/>
                <w:color w:val="auto"/>
              </w:rPr>
              <w:t>2019</w:t>
            </w:r>
          </w:p>
        </w:tc>
        <w:tc>
          <w:tcPr>
            <w:tcW w:w="100" w:type="dxa"/>
            <w:vAlign w:val="bottom"/>
          </w:tcPr>
          <w:p>
            <w:pPr>
              <w:spacing w:after="0"/>
              <w:rPr>
                <w:sz w:val="22"/>
                <w:szCs w:val="22"/>
                <w:color w:val="auto"/>
              </w:rPr>
            </w:pPr>
          </w:p>
        </w:tc>
        <w:tc>
          <w:tcPr>
            <w:tcW w:w="120" w:type="dxa"/>
            <w:vAlign w:val="bottom"/>
            <w:tcBorders>
              <w:bottom w:val="single" w:sz="8" w:color="auto"/>
            </w:tcBorders>
          </w:tcPr>
          <w:p>
            <w:pPr>
              <w:spacing w:after="0"/>
              <w:rPr>
                <w:sz w:val="22"/>
                <w:szCs w:val="22"/>
                <w:color w:val="auto"/>
              </w:rPr>
            </w:pPr>
          </w:p>
        </w:tc>
        <w:tc>
          <w:tcPr>
            <w:tcW w:w="120" w:type="dxa"/>
            <w:vAlign w:val="bottom"/>
            <w:tcBorders>
              <w:bottom w:val="single" w:sz="8" w:color="auto"/>
            </w:tcBorders>
          </w:tcPr>
          <w:p>
            <w:pPr>
              <w:spacing w:after="0"/>
              <w:rPr>
                <w:sz w:val="22"/>
                <w:szCs w:val="22"/>
                <w:color w:val="auto"/>
              </w:rPr>
            </w:pPr>
          </w:p>
        </w:tc>
        <w:tc>
          <w:tcPr>
            <w:tcW w:w="200" w:type="dxa"/>
            <w:vAlign w:val="bottom"/>
            <w:tcBorders>
              <w:bottom w:val="single" w:sz="8" w:color="auto"/>
            </w:tcBorders>
          </w:tcPr>
          <w:p>
            <w:pPr>
              <w:spacing w:after="0"/>
              <w:rPr>
                <w:sz w:val="22"/>
                <w:szCs w:val="22"/>
                <w:color w:val="auto"/>
              </w:rPr>
            </w:pPr>
          </w:p>
        </w:tc>
        <w:tc>
          <w:tcPr>
            <w:tcW w:w="940" w:type="dxa"/>
            <w:vAlign w:val="bottom"/>
            <w:tcBorders>
              <w:bottom w:val="single" w:sz="8" w:color="auto"/>
            </w:tcBorders>
          </w:tcPr>
          <w:p>
            <w:pPr>
              <w:jc w:val="right"/>
              <w:ind w:right="433"/>
              <w:spacing w:after="0"/>
              <w:rPr>
                <w:sz w:val="20"/>
                <w:szCs w:val="20"/>
                <w:color w:val="auto"/>
              </w:rPr>
            </w:pPr>
            <w:r>
              <w:rPr>
                <w:rFonts w:ascii="Arial" w:cs="Arial" w:eastAsia="Arial" w:hAnsi="Arial"/>
                <w:sz w:val="14"/>
                <w:szCs w:val="14"/>
                <w:b w:val="1"/>
                <w:bCs w:val="1"/>
                <w:color w:val="auto"/>
              </w:rPr>
              <w:t>2018</w:t>
            </w:r>
          </w:p>
        </w:tc>
      </w:tr>
      <w:tr>
        <w:trPr>
          <w:trHeight w:val="331"/>
        </w:trPr>
        <w:tc>
          <w:tcPr>
            <w:tcW w:w="40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160" w:type="dxa"/>
            <w:vAlign w:val="bottom"/>
            <w:gridSpan w:val="5"/>
          </w:tcPr>
          <w:p>
            <w:pPr>
              <w:ind w:left="360"/>
              <w:spacing w:after="0"/>
              <w:rPr>
                <w:sz w:val="20"/>
                <w:szCs w:val="20"/>
                <w:color w:val="auto"/>
              </w:rPr>
            </w:pPr>
            <w:r>
              <w:rPr>
                <w:rFonts w:ascii="Arial" w:cs="Arial" w:eastAsia="Arial" w:hAnsi="Arial"/>
                <w:sz w:val="14"/>
                <w:szCs w:val="14"/>
                <w:b w:val="1"/>
                <w:bCs w:val="1"/>
                <w:color w:val="auto"/>
                <w:w w:val="99"/>
              </w:rPr>
              <w:t>(In millions)</w:t>
            </w: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940" w:type="dxa"/>
            <w:vAlign w:val="bottom"/>
          </w:tcPr>
          <w:p>
            <w:pPr>
              <w:spacing w:after="0"/>
              <w:rPr>
                <w:sz w:val="24"/>
                <w:szCs w:val="24"/>
                <w:color w:val="auto"/>
              </w:rPr>
            </w:pPr>
          </w:p>
        </w:tc>
      </w:tr>
      <w:tr>
        <w:trPr>
          <w:trHeight w:val="276"/>
        </w:trPr>
        <w:tc>
          <w:tcPr>
            <w:tcW w:w="4000" w:type="dxa"/>
            <w:vAlign w:val="bottom"/>
            <w:shd w:val="clear" w:color="auto" w:fill="CCEEFF"/>
          </w:tcPr>
          <w:p>
            <w:pPr>
              <w:ind w:left="40"/>
              <w:spacing w:after="0"/>
              <w:rPr>
                <w:sz w:val="20"/>
                <w:szCs w:val="20"/>
                <w:color w:val="auto"/>
              </w:rPr>
            </w:pPr>
            <w:r>
              <w:rPr>
                <w:rFonts w:ascii="Arial" w:cs="Arial" w:eastAsia="Arial" w:hAnsi="Arial"/>
                <w:sz w:val="18"/>
                <w:szCs w:val="18"/>
                <w:color w:val="auto"/>
              </w:rPr>
              <w:t>Projected benefit obligation</w:t>
            </w:r>
          </w:p>
        </w:tc>
        <w:tc>
          <w:tcPr>
            <w:tcW w:w="260" w:type="dxa"/>
            <w:vAlign w:val="bottom"/>
            <w:shd w:val="clear" w:color="auto" w:fill="CCEEFF"/>
          </w:tcPr>
          <w:p>
            <w:pPr>
              <w:spacing w:after="0"/>
              <w:rPr>
                <w:sz w:val="24"/>
                <w:szCs w:val="24"/>
                <w:color w:val="auto"/>
              </w:rPr>
            </w:pPr>
          </w:p>
        </w:tc>
        <w:tc>
          <w:tcPr>
            <w:tcW w:w="88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5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1060" w:type="dxa"/>
            <w:vAlign w:val="bottom"/>
            <w:gridSpan w:val="4"/>
            <w:shd w:val="clear" w:color="auto" w:fill="CCEEFF"/>
          </w:tcPr>
          <w:p>
            <w:pPr>
              <w:jc w:val="right"/>
              <w:spacing w:after="0"/>
              <w:rPr>
                <w:sz w:val="20"/>
                <w:szCs w:val="20"/>
                <w:color w:val="auto"/>
              </w:rPr>
            </w:pPr>
            <w:r>
              <w:rPr>
                <w:rFonts w:ascii="Arial" w:cs="Arial" w:eastAsia="Arial" w:hAnsi="Arial"/>
                <w:sz w:val="18"/>
                <w:szCs w:val="18"/>
                <w:color w:val="auto"/>
              </w:rPr>
              <w:t>18,327</w:t>
            </w:r>
          </w:p>
        </w:tc>
        <w:tc>
          <w:tcPr>
            <w:tcW w:w="780" w:type="dxa"/>
            <w:vAlign w:val="bottom"/>
            <w:gridSpan w:val="3"/>
            <w:shd w:val="clear" w:color="auto" w:fill="CCEEFF"/>
          </w:tcPr>
          <w:p>
            <w:pPr>
              <w:jc w:val="right"/>
              <w:ind w:right="388"/>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24"/>
                <w:szCs w:val="24"/>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16,351</w:t>
            </w:r>
          </w:p>
        </w:tc>
        <w:tc>
          <w:tcPr>
            <w:tcW w:w="500" w:type="dxa"/>
            <w:vAlign w:val="bottom"/>
            <w:gridSpan w:val="3"/>
            <w:shd w:val="clear" w:color="auto" w:fill="CCEEFF"/>
          </w:tcPr>
          <w:p>
            <w:pPr>
              <w:jc w:val="right"/>
              <w:ind w:right="139"/>
              <w:spacing w:after="0"/>
              <w:rPr>
                <w:sz w:val="20"/>
                <w:szCs w:val="20"/>
                <w:color w:val="auto"/>
              </w:rPr>
            </w:pPr>
            <w:r>
              <w:rPr>
                <w:rFonts w:ascii="Arial" w:cs="Arial" w:eastAsia="Arial" w:hAnsi="Arial"/>
                <w:sz w:val="18"/>
                <w:szCs w:val="18"/>
                <w:color w:val="auto"/>
              </w:rPr>
              <w:t>$</w:t>
            </w:r>
          </w:p>
        </w:tc>
        <w:tc>
          <w:tcPr>
            <w:tcW w:w="2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200" w:type="dxa"/>
            <w:vAlign w:val="bottom"/>
            <w:shd w:val="clear" w:color="auto" w:fill="CCEEFF"/>
          </w:tcPr>
          <w:p>
            <w:pPr>
              <w:spacing w:after="0"/>
              <w:rPr>
                <w:sz w:val="24"/>
                <w:szCs w:val="24"/>
                <w:color w:val="auto"/>
              </w:rPr>
            </w:pPr>
          </w:p>
        </w:tc>
        <w:tc>
          <w:tcPr>
            <w:tcW w:w="1060" w:type="dxa"/>
            <w:vAlign w:val="bottom"/>
            <w:gridSpan w:val="4"/>
            <w:shd w:val="clear" w:color="auto" w:fill="CCEEFF"/>
          </w:tcPr>
          <w:p>
            <w:pPr>
              <w:ind w:left="420"/>
              <w:spacing w:after="0"/>
              <w:rPr>
                <w:sz w:val="20"/>
                <w:szCs w:val="20"/>
                <w:color w:val="auto"/>
              </w:rPr>
            </w:pPr>
            <w:r>
              <w:rPr>
                <w:rFonts w:ascii="Arial" w:cs="Arial" w:eastAsia="Arial" w:hAnsi="Arial"/>
                <w:sz w:val="18"/>
                <w:szCs w:val="18"/>
                <w:color w:val="auto"/>
              </w:rPr>
              <w:t>—   $</w:t>
            </w:r>
          </w:p>
        </w:tc>
        <w:tc>
          <w:tcPr>
            <w:tcW w:w="200" w:type="dxa"/>
            <w:vAlign w:val="bottom"/>
            <w:shd w:val="clear" w:color="auto" w:fill="CCEEFF"/>
          </w:tcPr>
          <w:p>
            <w:pPr>
              <w:spacing w:after="0"/>
              <w:rPr>
                <w:sz w:val="24"/>
                <w:szCs w:val="24"/>
                <w:color w:val="auto"/>
              </w:rPr>
            </w:pPr>
          </w:p>
        </w:tc>
        <w:tc>
          <w:tcPr>
            <w:tcW w:w="940" w:type="dxa"/>
            <w:vAlign w:val="bottom"/>
            <w:shd w:val="clear" w:color="auto" w:fill="CCEEFF"/>
          </w:tcPr>
          <w:p>
            <w:pPr>
              <w:jc w:val="right"/>
              <w:ind w:right="13"/>
              <w:spacing w:after="0"/>
              <w:rPr>
                <w:sz w:val="20"/>
                <w:szCs w:val="20"/>
                <w:color w:val="auto"/>
              </w:rPr>
            </w:pPr>
            <w:r>
              <w:rPr>
                <w:rFonts w:ascii="Arial" w:cs="Arial" w:eastAsia="Arial" w:hAnsi="Arial"/>
                <w:sz w:val="18"/>
                <w:szCs w:val="18"/>
                <w:color w:val="auto"/>
              </w:rPr>
              <w:t>—</w:t>
            </w:r>
          </w:p>
        </w:tc>
      </w:tr>
      <w:tr>
        <w:trPr>
          <w:trHeight w:val="263"/>
        </w:trPr>
        <w:tc>
          <w:tcPr>
            <w:tcW w:w="4000" w:type="dxa"/>
            <w:vAlign w:val="bottom"/>
          </w:tcPr>
          <w:p>
            <w:pPr>
              <w:ind w:left="40"/>
              <w:spacing w:after="0"/>
              <w:rPr>
                <w:sz w:val="20"/>
                <w:szCs w:val="20"/>
                <w:color w:val="auto"/>
              </w:rPr>
            </w:pPr>
            <w:r>
              <w:rPr>
                <w:rFonts w:ascii="Arial" w:cs="Arial" w:eastAsia="Arial" w:hAnsi="Arial"/>
                <w:sz w:val="18"/>
                <w:szCs w:val="18"/>
                <w:color w:val="auto"/>
              </w:rPr>
              <w:t>Accumulated benefit obligation (ABO)</w:t>
            </w:r>
          </w:p>
        </w:tc>
        <w:tc>
          <w:tcPr>
            <w:tcW w:w="260" w:type="dxa"/>
            <w:vAlign w:val="bottom"/>
          </w:tcPr>
          <w:p>
            <w:pPr>
              <w:spacing w:after="0"/>
              <w:rPr>
                <w:sz w:val="22"/>
                <w:szCs w:val="22"/>
                <w:color w:val="auto"/>
              </w:rPr>
            </w:pPr>
          </w:p>
        </w:tc>
        <w:tc>
          <w:tcPr>
            <w:tcW w:w="8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1060" w:type="dxa"/>
            <w:vAlign w:val="bottom"/>
            <w:gridSpan w:val="4"/>
          </w:tcPr>
          <w:p>
            <w:pPr>
              <w:jc w:val="right"/>
              <w:spacing w:after="0"/>
              <w:rPr>
                <w:sz w:val="20"/>
                <w:szCs w:val="20"/>
                <w:color w:val="auto"/>
              </w:rPr>
            </w:pPr>
            <w:r>
              <w:rPr>
                <w:rFonts w:ascii="Arial" w:cs="Arial" w:eastAsia="Arial" w:hAnsi="Arial"/>
                <w:sz w:val="18"/>
                <w:szCs w:val="18"/>
                <w:color w:val="auto"/>
              </w:rPr>
              <w:t>18,315</w:t>
            </w:r>
          </w:p>
        </w:tc>
        <w:tc>
          <w:tcPr>
            <w:tcW w:w="8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5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16,341</w:t>
            </w:r>
          </w:p>
        </w:tc>
        <w:tc>
          <w:tcPr>
            <w:tcW w:w="4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1060" w:type="dxa"/>
            <w:vAlign w:val="bottom"/>
            <w:gridSpan w:val="4"/>
          </w:tcPr>
          <w:p>
            <w:pPr>
              <w:jc w:val="right"/>
              <w:ind w:right="46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22"/>
                <w:szCs w:val="22"/>
                <w:color w:val="auto"/>
              </w:rPr>
            </w:pPr>
          </w:p>
        </w:tc>
        <w:tc>
          <w:tcPr>
            <w:tcW w:w="940" w:type="dxa"/>
            <w:vAlign w:val="bottom"/>
          </w:tcPr>
          <w:p>
            <w:pPr>
              <w:jc w:val="right"/>
              <w:ind w:right="13"/>
              <w:spacing w:after="0"/>
              <w:rPr>
                <w:sz w:val="20"/>
                <w:szCs w:val="20"/>
                <w:color w:val="auto"/>
              </w:rPr>
            </w:pPr>
            <w:r>
              <w:rPr>
                <w:rFonts w:ascii="Arial" w:cs="Arial" w:eastAsia="Arial" w:hAnsi="Arial"/>
                <w:sz w:val="18"/>
                <w:szCs w:val="18"/>
                <w:color w:val="auto"/>
              </w:rPr>
              <w:t>—</w:t>
            </w:r>
          </w:p>
        </w:tc>
      </w:tr>
      <w:tr>
        <w:trPr>
          <w:trHeight w:val="277"/>
        </w:trPr>
        <w:tc>
          <w:tcPr>
            <w:tcW w:w="4000" w:type="dxa"/>
            <w:vAlign w:val="bottom"/>
            <w:shd w:val="clear" w:color="auto" w:fill="CCEEFF"/>
          </w:tcPr>
          <w:p>
            <w:pPr>
              <w:ind w:left="40"/>
              <w:spacing w:after="0"/>
              <w:rPr>
                <w:sz w:val="20"/>
                <w:szCs w:val="20"/>
                <w:color w:val="auto"/>
              </w:rPr>
            </w:pPr>
            <w:r>
              <w:rPr>
                <w:rFonts w:ascii="Arial" w:cs="Arial" w:eastAsia="Arial" w:hAnsi="Arial"/>
                <w:sz w:val="18"/>
                <w:szCs w:val="18"/>
                <w:color w:val="auto"/>
              </w:rPr>
              <w:t>Accumulated postretirement benefit obligation</w:t>
            </w:r>
          </w:p>
        </w:tc>
        <w:tc>
          <w:tcPr>
            <w:tcW w:w="260" w:type="dxa"/>
            <w:vAlign w:val="bottom"/>
            <w:shd w:val="clear" w:color="auto" w:fill="CCEEFF"/>
          </w:tcPr>
          <w:p>
            <w:pPr>
              <w:spacing w:after="0"/>
              <w:rPr>
                <w:sz w:val="24"/>
                <w:szCs w:val="24"/>
                <w:color w:val="auto"/>
              </w:rPr>
            </w:pPr>
          </w:p>
        </w:tc>
        <w:tc>
          <w:tcPr>
            <w:tcW w:w="88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340" w:type="dxa"/>
            <w:vAlign w:val="bottom"/>
            <w:shd w:val="clear" w:color="auto" w:fill="CCEEFF"/>
          </w:tcPr>
          <w:p>
            <w:pPr>
              <w:spacing w:after="0"/>
              <w:rPr>
                <w:sz w:val="24"/>
                <w:szCs w:val="24"/>
                <w:color w:val="auto"/>
              </w:rPr>
            </w:pPr>
          </w:p>
        </w:tc>
        <w:tc>
          <w:tcPr>
            <w:tcW w:w="240" w:type="dxa"/>
            <w:vAlign w:val="bottom"/>
            <w:shd w:val="clear" w:color="auto" w:fill="CCEEFF"/>
          </w:tcPr>
          <w:p>
            <w:pPr>
              <w:spacing w:after="0"/>
              <w:rPr>
                <w:sz w:val="24"/>
                <w:szCs w:val="24"/>
                <w:color w:val="auto"/>
              </w:rPr>
            </w:pPr>
          </w:p>
        </w:tc>
        <w:tc>
          <w:tcPr>
            <w:tcW w:w="580" w:type="dxa"/>
            <w:vAlign w:val="bottom"/>
            <w:shd w:val="clear" w:color="auto" w:fill="CCEEFF"/>
          </w:tcPr>
          <w:p>
            <w:pPr>
              <w:spacing w:after="0"/>
              <w:rPr>
                <w:sz w:val="24"/>
                <w:szCs w:val="24"/>
                <w:color w:val="auto"/>
              </w:rPr>
            </w:pPr>
          </w:p>
        </w:tc>
        <w:tc>
          <w:tcPr>
            <w:tcW w:w="40" w:type="dxa"/>
            <w:vAlign w:val="bottom"/>
            <w:shd w:val="clear" w:color="auto" w:fill="CCEEFF"/>
          </w:tcPr>
          <w:p>
            <w:pPr>
              <w:spacing w:after="0"/>
              <w:rPr>
                <w:sz w:val="24"/>
                <w:szCs w:val="24"/>
                <w:color w:val="auto"/>
              </w:rPr>
            </w:pPr>
          </w:p>
        </w:tc>
        <w:tc>
          <w:tcPr>
            <w:tcW w:w="60" w:type="dxa"/>
            <w:vAlign w:val="bottom"/>
            <w:shd w:val="clear" w:color="auto" w:fill="CCEEFF"/>
          </w:tcPr>
          <w:p>
            <w:pPr>
              <w:spacing w:after="0"/>
              <w:rPr>
                <w:sz w:val="24"/>
                <w:szCs w:val="24"/>
                <w:color w:val="auto"/>
              </w:rPr>
            </w:pPr>
          </w:p>
        </w:tc>
        <w:tc>
          <w:tcPr>
            <w:tcW w:w="3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58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4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340" w:type="dxa"/>
            <w:vAlign w:val="bottom"/>
            <w:shd w:val="clear" w:color="auto" w:fill="CCEEFF"/>
          </w:tcPr>
          <w:p>
            <w:pPr>
              <w:spacing w:after="0"/>
              <w:rPr>
                <w:sz w:val="24"/>
                <w:szCs w:val="24"/>
                <w:color w:val="auto"/>
              </w:rPr>
            </w:pPr>
          </w:p>
        </w:tc>
        <w:tc>
          <w:tcPr>
            <w:tcW w:w="2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200" w:type="dxa"/>
            <w:vAlign w:val="bottom"/>
            <w:shd w:val="clear" w:color="auto" w:fill="CCEEFF"/>
          </w:tcPr>
          <w:p>
            <w:pPr>
              <w:spacing w:after="0"/>
              <w:rPr>
                <w:sz w:val="24"/>
                <w:szCs w:val="24"/>
                <w:color w:val="auto"/>
              </w:rPr>
            </w:pPr>
          </w:p>
        </w:tc>
        <w:tc>
          <w:tcPr>
            <w:tcW w:w="720" w:type="dxa"/>
            <w:vAlign w:val="bottom"/>
            <w:shd w:val="clear" w:color="auto" w:fill="CCEEFF"/>
          </w:tcPr>
          <w:p>
            <w:pPr>
              <w:jc w:val="right"/>
              <w:ind w:right="33"/>
              <w:spacing w:after="0"/>
              <w:rPr>
                <w:sz w:val="20"/>
                <w:szCs w:val="20"/>
                <w:color w:val="auto"/>
              </w:rPr>
            </w:pPr>
            <w:r>
              <w:rPr>
                <w:rFonts w:ascii="Arial" w:cs="Arial" w:eastAsia="Arial" w:hAnsi="Arial"/>
                <w:sz w:val="18"/>
                <w:szCs w:val="18"/>
                <w:color w:val="auto"/>
              </w:rPr>
              <w:t>824</w:t>
            </w:r>
          </w:p>
        </w:tc>
        <w:tc>
          <w:tcPr>
            <w:tcW w:w="10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200" w:type="dxa"/>
            <w:vAlign w:val="bottom"/>
            <w:shd w:val="clear" w:color="auto" w:fill="CCEEFF"/>
          </w:tcPr>
          <w:p>
            <w:pPr>
              <w:spacing w:after="0"/>
              <w:rPr>
                <w:sz w:val="24"/>
                <w:szCs w:val="24"/>
                <w:color w:val="auto"/>
              </w:rPr>
            </w:pPr>
          </w:p>
        </w:tc>
        <w:tc>
          <w:tcPr>
            <w:tcW w:w="940" w:type="dxa"/>
            <w:vAlign w:val="bottom"/>
            <w:shd w:val="clear" w:color="auto" w:fill="CCEEFF"/>
          </w:tcPr>
          <w:p>
            <w:pPr>
              <w:jc w:val="right"/>
              <w:ind w:right="13"/>
              <w:spacing w:after="0"/>
              <w:rPr>
                <w:sz w:val="20"/>
                <w:szCs w:val="20"/>
                <w:color w:val="auto"/>
              </w:rPr>
            </w:pPr>
            <w:r>
              <w:rPr>
                <w:rFonts w:ascii="Arial" w:cs="Arial" w:eastAsia="Arial" w:hAnsi="Arial"/>
                <w:sz w:val="18"/>
                <w:szCs w:val="18"/>
                <w:color w:val="auto"/>
              </w:rPr>
              <w:t>837</w:t>
            </w:r>
          </w:p>
        </w:tc>
      </w:tr>
      <w:tr>
        <w:trPr>
          <w:trHeight w:val="263"/>
        </w:trPr>
        <w:tc>
          <w:tcPr>
            <w:tcW w:w="4000" w:type="dxa"/>
            <w:vAlign w:val="bottom"/>
          </w:tcPr>
          <w:p>
            <w:pPr>
              <w:ind w:left="40"/>
              <w:spacing w:after="0"/>
              <w:rPr>
                <w:sz w:val="20"/>
                <w:szCs w:val="20"/>
                <w:color w:val="auto"/>
              </w:rPr>
            </w:pPr>
            <w:r>
              <w:rPr>
                <w:rFonts w:ascii="Arial" w:cs="Arial" w:eastAsia="Arial" w:hAnsi="Arial"/>
                <w:sz w:val="18"/>
                <w:szCs w:val="18"/>
                <w:color w:val="auto"/>
              </w:rPr>
              <w:t>Fair value of plan assets</w:t>
            </w:r>
          </w:p>
        </w:tc>
        <w:tc>
          <w:tcPr>
            <w:tcW w:w="260" w:type="dxa"/>
            <w:vAlign w:val="bottom"/>
          </w:tcPr>
          <w:p>
            <w:pPr>
              <w:spacing w:after="0"/>
              <w:rPr>
                <w:sz w:val="22"/>
                <w:szCs w:val="22"/>
                <w:color w:val="auto"/>
              </w:rPr>
            </w:pPr>
          </w:p>
        </w:tc>
        <w:tc>
          <w:tcPr>
            <w:tcW w:w="8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1060" w:type="dxa"/>
            <w:vAlign w:val="bottom"/>
            <w:gridSpan w:val="4"/>
          </w:tcPr>
          <w:p>
            <w:pPr>
              <w:jc w:val="right"/>
              <w:spacing w:after="0"/>
              <w:rPr>
                <w:sz w:val="20"/>
                <w:szCs w:val="20"/>
                <w:color w:val="auto"/>
              </w:rPr>
            </w:pPr>
            <w:r>
              <w:rPr>
                <w:rFonts w:ascii="Arial" w:cs="Arial" w:eastAsia="Arial" w:hAnsi="Arial"/>
                <w:sz w:val="18"/>
                <w:szCs w:val="18"/>
                <w:color w:val="auto"/>
              </w:rPr>
              <w:t>12,862</w:t>
            </w:r>
          </w:p>
        </w:tc>
        <w:tc>
          <w:tcPr>
            <w:tcW w:w="8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5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10,023</w:t>
            </w:r>
          </w:p>
        </w:tc>
        <w:tc>
          <w:tcPr>
            <w:tcW w:w="4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720" w:type="dxa"/>
            <w:vAlign w:val="bottom"/>
          </w:tcPr>
          <w:p>
            <w:pPr>
              <w:jc w:val="right"/>
              <w:ind w:right="33"/>
              <w:spacing w:after="0"/>
              <w:rPr>
                <w:sz w:val="20"/>
                <w:szCs w:val="20"/>
                <w:color w:val="auto"/>
              </w:rPr>
            </w:pPr>
            <w:r>
              <w:rPr>
                <w:rFonts w:ascii="Arial" w:cs="Arial" w:eastAsia="Arial" w:hAnsi="Arial"/>
                <w:sz w:val="18"/>
                <w:szCs w:val="18"/>
                <w:color w:val="auto"/>
              </w:rPr>
              <w:t>204</w:t>
            </w:r>
          </w:p>
        </w:tc>
        <w:tc>
          <w:tcPr>
            <w:tcW w:w="1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940" w:type="dxa"/>
            <w:vAlign w:val="bottom"/>
          </w:tcPr>
          <w:p>
            <w:pPr>
              <w:jc w:val="right"/>
              <w:ind w:right="13"/>
              <w:spacing w:after="0"/>
              <w:rPr>
                <w:sz w:val="20"/>
                <w:szCs w:val="20"/>
                <w:color w:val="auto"/>
              </w:rPr>
            </w:pPr>
            <w:r>
              <w:rPr>
                <w:rFonts w:ascii="Arial" w:cs="Arial" w:eastAsia="Arial" w:hAnsi="Arial"/>
                <w:sz w:val="18"/>
                <w:szCs w:val="18"/>
                <w:color w:val="auto"/>
              </w:rPr>
              <w:t>225</w:t>
            </w:r>
          </w:p>
        </w:tc>
      </w:tr>
      <w:tr>
        <w:trPr>
          <w:trHeight w:val="277"/>
        </w:trPr>
        <w:tc>
          <w:tcPr>
            <w:tcW w:w="4000" w:type="dxa"/>
            <w:vAlign w:val="bottom"/>
            <w:shd w:val="clear" w:color="auto" w:fill="CCEEFF"/>
          </w:tcPr>
          <w:p>
            <w:pPr>
              <w:ind w:left="40"/>
              <w:spacing w:after="0"/>
              <w:rPr>
                <w:sz w:val="20"/>
                <w:szCs w:val="20"/>
                <w:color w:val="auto"/>
              </w:rPr>
            </w:pPr>
            <w:r>
              <w:rPr>
                <w:rFonts w:ascii="Arial" w:cs="Arial" w:eastAsia="Arial" w:hAnsi="Arial"/>
                <w:sz w:val="18"/>
                <w:szCs w:val="18"/>
                <w:color w:val="auto"/>
              </w:rPr>
              <w:t>ABO less fair value of plan assets</w:t>
            </w:r>
          </w:p>
        </w:tc>
        <w:tc>
          <w:tcPr>
            <w:tcW w:w="260" w:type="dxa"/>
            <w:vAlign w:val="bottom"/>
            <w:shd w:val="clear" w:color="auto" w:fill="CCEEFF"/>
          </w:tcPr>
          <w:p>
            <w:pPr>
              <w:spacing w:after="0"/>
              <w:rPr>
                <w:sz w:val="24"/>
                <w:szCs w:val="24"/>
                <w:color w:val="auto"/>
              </w:rPr>
            </w:pPr>
          </w:p>
        </w:tc>
        <w:tc>
          <w:tcPr>
            <w:tcW w:w="88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340" w:type="dxa"/>
            <w:vAlign w:val="bottom"/>
            <w:shd w:val="clear" w:color="auto" w:fill="CCEEFF"/>
          </w:tcPr>
          <w:p>
            <w:pPr>
              <w:spacing w:after="0"/>
              <w:rPr>
                <w:sz w:val="24"/>
                <w:szCs w:val="24"/>
                <w:color w:val="auto"/>
              </w:rPr>
            </w:pPr>
          </w:p>
        </w:tc>
        <w:tc>
          <w:tcPr>
            <w:tcW w:w="240" w:type="dxa"/>
            <w:vAlign w:val="bottom"/>
            <w:shd w:val="clear" w:color="auto" w:fill="CCEEFF"/>
          </w:tcPr>
          <w:p>
            <w:pPr>
              <w:spacing w:after="0"/>
              <w:rPr>
                <w:sz w:val="24"/>
                <w:szCs w:val="24"/>
                <w:color w:val="auto"/>
              </w:rPr>
            </w:pPr>
          </w:p>
        </w:tc>
        <w:tc>
          <w:tcPr>
            <w:tcW w:w="1060" w:type="dxa"/>
            <w:vAlign w:val="bottom"/>
            <w:gridSpan w:val="4"/>
            <w:shd w:val="clear" w:color="auto" w:fill="CCEEFF"/>
          </w:tcPr>
          <w:p>
            <w:pPr>
              <w:jc w:val="right"/>
              <w:spacing w:after="0"/>
              <w:rPr>
                <w:sz w:val="20"/>
                <w:szCs w:val="20"/>
                <w:color w:val="auto"/>
              </w:rPr>
            </w:pPr>
            <w:r>
              <w:rPr>
                <w:rFonts w:ascii="Arial" w:cs="Arial" w:eastAsia="Arial" w:hAnsi="Arial"/>
                <w:sz w:val="18"/>
                <w:szCs w:val="18"/>
                <w:color w:val="auto"/>
              </w:rPr>
              <w:t>5,453</w:t>
            </w:r>
          </w:p>
        </w:tc>
        <w:tc>
          <w:tcPr>
            <w:tcW w:w="8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58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6,318</w:t>
            </w:r>
          </w:p>
        </w:tc>
        <w:tc>
          <w:tcPr>
            <w:tcW w:w="4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340" w:type="dxa"/>
            <w:vAlign w:val="bottom"/>
            <w:shd w:val="clear" w:color="auto" w:fill="CCEEFF"/>
          </w:tcPr>
          <w:p>
            <w:pPr>
              <w:spacing w:after="0"/>
              <w:rPr>
                <w:sz w:val="24"/>
                <w:szCs w:val="24"/>
                <w:color w:val="auto"/>
              </w:rPr>
            </w:pPr>
          </w:p>
        </w:tc>
        <w:tc>
          <w:tcPr>
            <w:tcW w:w="2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200" w:type="dxa"/>
            <w:vAlign w:val="bottom"/>
            <w:shd w:val="clear" w:color="auto" w:fill="CCEEFF"/>
          </w:tcPr>
          <w:p>
            <w:pPr>
              <w:spacing w:after="0"/>
              <w:rPr>
                <w:sz w:val="24"/>
                <w:szCs w:val="24"/>
                <w:color w:val="auto"/>
              </w:rPr>
            </w:pPr>
          </w:p>
        </w:tc>
        <w:tc>
          <w:tcPr>
            <w:tcW w:w="1060" w:type="dxa"/>
            <w:vAlign w:val="bottom"/>
            <w:gridSpan w:val="4"/>
            <w:shd w:val="clear" w:color="auto" w:fill="CCEEFF"/>
          </w:tcPr>
          <w:p>
            <w:pPr>
              <w:jc w:val="right"/>
              <w:ind w:right="460"/>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24"/>
                <w:szCs w:val="24"/>
                <w:color w:val="auto"/>
              </w:rPr>
            </w:pPr>
          </w:p>
        </w:tc>
        <w:tc>
          <w:tcPr>
            <w:tcW w:w="940" w:type="dxa"/>
            <w:vAlign w:val="bottom"/>
            <w:shd w:val="clear" w:color="auto" w:fill="CCEEFF"/>
          </w:tcPr>
          <w:p>
            <w:pPr>
              <w:jc w:val="right"/>
              <w:ind w:right="13"/>
              <w:spacing w:after="0"/>
              <w:rPr>
                <w:sz w:val="20"/>
                <w:szCs w:val="20"/>
                <w:color w:val="auto"/>
              </w:rPr>
            </w:pPr>
            <w:r>
              <w:rPr>
                <w:rFonts w:ascii="Arial" w:cs="Arial" w:eastAsia="Arial" w:hAnsi="Arial"/>
                <w:sz w:val="18"/>
                <w:szCs w:val="18"/>
                <w:color w:val="auto"/>
              </w:rPr>
              <w:t>—</w:t>
            </w:r>
          </w:p>
        </w:tc>
      </w:tr>
      <w:tr>
        <w:trPr>
          <w:trHeight w:val="675"/>
        </w:trPr>
        <w:tc>
          <w:tcPr>
            <w:tcW w:w="4000" w:type="dxa"/>
            <w:vAlign w:val="bottom"/>
          </w:tcPr>
          <w:p>
            <w:pPr>
              <w:ind w:left="220"/>
              <w:spacing w:after="0"/>
              <w:rPr>
                <w:sz w:val="20"/>
                <w:szCs w:val="20"/>
                <w:color w:val="auto"/>
              </w:rPr>
            </w:pPr>
            <w:r>
              <w:rPr>
                <w:rFonts w:ascii="Arial" w:cs="Arial" w:eastAsia="Arial" w:hAnsi="Arial"/>
                <w:sz w:val="18"/>
                <w:szCs w:val="18"/>
                <w:b w:val="1"/>
                <w:bCs w:val="1"/>
                <w:i w:val="1"/>
                <w:iCs w:val="1"/>
                <w:color w:val="auto"/>
              </w:rPr>
              <w:t>Net Periodic Benefit Cost (Income)</w:t>
            </w:r>
          </w:p>
        </w:tc>
        <w:tc>
          <w:tcPr>
            <w:tcW w:w="26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940" w:type="dxa"/>
            <w:vAlign w:val="bottom"/>
          </w:tcPr>
          <w:p>
            <w:pPr>
              <w:spacing w:after="0"/>
              <w:rPr>
                <w:sz w:val="24"/>
                <w:szCs w:val="24"/>
                <w:color w:val="auto"/>
              </w:rPr>
            </w:pPr>
          </w:p>
        </w:tc>
      </w:tr>
      <w:tr>
        <w:trPr>
          <w:trHeight w:val="473"/>
        </w:trPr>
        <w:tc>
          <w:tcPr>
            <w:tcW w:w="40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360" w:type="dxa"/>
            <w:vAlign w:val="bottom"/>
            <w:gridSpan w:val="6"/>
          </w:tcPr>
          <w:p>
            <w:pPr>
              <w:jc w:val="center"/>
              <w:spacing w:after="0"/>
              <w:rPr>
                <w:sz w:val="20"/>
                <w:szCs w:val="20"/>
                <w:color w:val="auto"/>
              </w:rPr>
            </w:pPr>
            <w:r>
              <w:rPr>
                <w:rFonts w:ascii="Arial" w:cs="Arial" w:eastAsia="Arial" w:hAnsi="Arial"/>
                <w:sz w:val="14"/>
                <w:szCs w:val="14"/>
                <w:b w:val="1"/>
                <w:bCs w:val="1"/>
                <w:color w:val="auto"/>
              </w:rPr>
              <w:t>Retiree Medical and</w:t>
            </w:r>
          </w:p>
        </w:tc>
        <w:tc>
          <w:tcPr>
            <w:tcW w:w="200" w:type="dxa"/>
            <w:vAlign w:val="bottom"/>
          </w:tcPr>
          <w:p>
            <w:pPr>
              <w:spacing w:after="0"/>
              <w:rPr>
                <w:sz w:val="24"/>
                <w:szCs w:val="24"/>
                <w:color w:val="auto"/>
              </w:rPr>
            </w:pPr>
          </w:p>
        </w:tc>
        <w:tc>
          <w:tcPr>
            <w:tcW w:w="940" w:type="dxa"/>
            <w:vAlign w:val="bottom"/>
          </w:tcPr>
          <w:p>
            <w:pPr>
              <w:spacing w:after="0"/>
              <w:rPr>
                <w:sz w:val="24"/>
                <w:szCs w:val="24"/>
                <w:color w:val="auto"/>
              </w:rPr>
            </w:pPr>
          </w:p>
        </w:tc>
      </w:tr>
      <w:tr>
        <w:trPr>
          <w:trHeight w:val="196"/>
        </w:trPr>
        <w:tc>
          <w:tcPr>
            <w:tcW w:w="4000" w:type="dxa"/>
            <w:vAlign w:val="bottom"/>
          </w:tcPr>
          <w:p>
            <w:pPr>
              <w:spacing w:after="0"/>
              <w:rPr>
                <w:sz w:val="17"/>
                <w:szCs w:val="17"/>
                <w:color w:val="auto"/>
              </w:rPr>
            </w:pPr>
          </w:p>
        </w:tc>
        <w:tc>
          <w:tcPr>
            <w:tcW w:w="260" w:type="dxa"/>
            <w:vAlign w:val="bottom"/>
            <w:tcBorders>
              <w:bottom w:val="single" w:sz="8" w:color="auto"/>
            </w:tcBorders>
          </w:tcPr>
          <w:p>
            <w:pPr>
              <w:spacing w:after="0"/>
              <w:rPr>
                <w:sz w:val="17"/>
                <w:szCs w:val="17"/>
                <w:color w:val="auto"/>
              </w:rPr>
            </w:pPr>
          </w:p>
        </w:tc>
        <w:tc>
          <w:tcPr>
            <w:tcW w:w="880" w:type="dxa"/>
            <w:vAlign w:val="bottom"/>
            <w:tcBorders>
              <w:bottom w:val="single" w:sz="8" w:color="auto"/>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1200" w:type="dxa"/>
            <w:vAlign w:val="bottom"/>
            <w:tcBorders>
              <w:bottom w:val="single" w:sz="8" w:color="auto"/>
            </w:tcBorders>
            <w:gridSpan w:val="4"/>
          </w:tcPr>
          <w:p>
            <w:pPr>
              <w:ind w:left="20"/>
              <w:spacing w:after="0"/>
              <w:rPr>
                <w:sz w:val="20"/>
                <w:szCs w:val="20"/>
                <w:color w:val="auto"/>
              </w:rPr>
            </w:pPr>
            <w:r>
              <w:rPr>
                <w:rFonts w:ascii="Arial" w:cs="Arial" w:eastAsia="Arial" w:hAnsi="Arial"/>
                <w:sz w:val="14"/>
                <w:szCs w:val="14"/>
                <w:b w:val="1"/>
                <w:bCs w:val="1"/>
                <w:color w:val="auto"/>
              </w:rPr>
              <w:t>Pension Benefits</w:t>
            </w:r>
          </w:p>
        </w:tc>
        <w:tc>
          <w:tcPr>
            <w:tcW w:w="60" w:type="dxa"/>
            <w:vAlign w:val="bottom"/>
            <w:tcBorders>
              <w:bottom w:val="single" w:sz="8" w:color="auto"/>
            </w:tcBorders>
          </w:tcPr>
          <w:p>
            <w:pPr>
              <w:spacing w:after="0"/>
              <w:rPr>
                <w:sz w:val="17"/>
                <w:szCs w:val="17"/>
                <w:color w:val="auto"/>
              </w:rPr>
            </w:pPr>
          </w:p>
        </w:tc>
        <w:tc>
          <w:tcPr>
            <w:tcW w:w="380" w:type="dxa"/>
            <w:vAlign w:val="bottom"/>
            <w:tcBorders>
              <w:bottom w:val="single" w:sz="8" w:color="auto"/>
            </w:tcBorders>
          </w:tcPr>
          <w:p>
            <w:pPr>
              <w:spacing w:after="0"/>
              <w:rPr>
                <w:sz w:val="17"/>
                <w:szCs w:val="17"/>
                <w:color w:val="auto"/>
              </w:rPr>
            </w:pPr>
          </w:p>
        </w:tc>
        <w:tc>
          <w:tcPr>
            <w:tcW w:w="80" w:type="dxa"/>
            <w:vAlign w:val="bottom"/>
            <w:tcBorders>
              <w:bottom w:val="single" w:sz="8" w:color="auto"/>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580" w:type="dxa"/>
            <w:vAlign w:val="bottom"/>
            <w:tcBorders>
              <w:bottom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640" w:type="dxa"/>
            <w:vAlign w:val="bottom"/>
            <w:tcBorders>
              <w:bottom w:val="single" w:sz="8" w:color="auto"/>
            </w:tcBorders>
          </w:tcPr>
          <w:p>
            <w:pPr>
              <w:spacing w:after="0"/>
              <w:rPr>
                <w:sz w:val="17"/>
                <w:szCs w:val="17"/>
                <w:color w:val="auto"/>
              </w:rPr>
            </w:pPr>
          </w:p>
        </w:tc>
        <w:tc>
          <w:tcPr>
            <w:tcW w:w="40" w:type="dxa"/>
            <w:vAlign w:val="bottom"/>
            <w:tcBorders>
              <w:bottom w:val="single" w:sz="8" w:color="auto"/>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2860" w:type="dxa"/>
            <w:vAlign w:val="bottom"/>
            <w:tcBorders>
              <w:bottom w:val="single" w:sz="8" w:color="auto"/>
            </w:tcBorders>
            <w:gridSpan w:val="10"/>
          </w:tcPr>
          <w:p>
            <w:pPr>
              <w:jc w:val="center"/>
              <w:ind w:right="693"/>
              <w:spacing w:after="0"/>
              <w:rPr>
                <w:sz w:val="20"/>
                <w:szCs w:val="20"/>
                <w:color w:val="auto"/>
              </w:rPr>
            </w:pPr>
            <w:r>
              <w:rPr>
                <w:rFonts w:ascii="Arial" w:cs="Arial" w:eastAsia="Arial" w:hAnsi="Arial"/>
                <w:sz w:val="14"/>
                <w:szCs w:val="14"/>
                <w:b w:val="1"/>
                <w:bCs w:val="1"/>
                <w:color w:val="auto"/>
              </w:rPr>
              <w:t>Other Postretirement Benefits</w:t>
            </w:r>
          </w:p>
        </w:tc>
      </w:tr>
      <w:tr>
        <w:trPr>
          <w:trHeight w:val="264"/>
        </w:trPr>
        <w:tc>
          <w:tcPr>
            <w:tcW w:w="4000" w:type="dxa"/>
            <w:vAlign w:val="bottom"/>
          </w:tcPr>
          <w:p>
            <w:pPr>
              <w:spacing w:after="0"/>
              <w:rPr>
                <w:sz w:val="22"/>
                <w:szCs w:val="22"/>
                <w:color w:val="auto"/>
              </w:rPr>
            </w:pPr>
          </w:p>
        </w:tc>
        <w:tc>
          <w:tcPr>
            <w:tcW w:w="260" w:type="dxa"/>
            <w:vAlign w:val="bottom"/>
            <w:tcBorders>
              <w:bottom w:val="single" w:sz="8" w:color="auto"/>
            </w:tcBorders>
          </w:tcPr>
          <w:p>
            <w:pPr>
              <w:spacing w:after="0"/>
              <w:rPr>
                <w:sz w:val="22"/>
                <w:szCs w:val="22"/>
                <w:color w:val="auto"/>
              </w:rPr>
            </w:pPr>
          </w:p>
        </w:tc>
        <w:tc>
          <w:tcPr>
            <w:tcW w:w="880" w:type="dxa"/>
            <w:vAlign w:val="bottom"/>
            <w:tcBorders>
              <w:bottom w:val="single" w:sz="8" w:color="auto"/>
            </w:tcBorders>
          </w:tcPr>
          <w:p>
            <w:pPr>
              <w:jc w:val="right"/>
              <w:ind w:right="332"/>
              <w:spacing w:after="0"/>
              <w:rPr>
                <w:sz w:val="20"/>
                <w:szCs w:val="20"/>
                <w:color w:val="auto"/>
              </w:rPr>
            </w:pPr>
            <w:r>
              <w:rPr>
                <w:rFonts w:ascii="Arial" w:cs="Arial" w:eastAsia="Arial" w:hAnsi="Arial"/>
                <w:sz w:val="14"/>
                <w:szCs w:val="14"/>
                <w:b w:val="1"/>
                <w:bCs w:val="1"/>
                <w:color w:val="auto"/>
              </w:rPr>
              <w:t>2019</w:t>
            </w:r>
          </w:p>
        </w:tc>
        <w:tc>
          <w:tcPr>
            <w:tcW w:w="100" w:type="dxa"/>
            <w:vAlign w:val="bottom"/>
          </w:tcPr>
          <w:p>
            <w:pPr>
              <w:spacing w:after="0"/>
              <w:rPr>
                <w:sz w:val="22"/>
                <w:szCs w:val="22"/>
                <w:color w:val="auto"/>
              </w:rPr>
            </w:pPr>
          </w:p>
        </w:tc>
        <w:tc>
          <w:tcPr>
            <w:tcW w:w="1160" w:type="dxa"/>
            <w:vAlign w:val="bottom"/>
            <w:tcBorders>
              <w:bottom w:val="single" w:sz="8" w:color="auto"/>
            </w:tcBorders>
            <w:gridSpan w:val="3"/>
          </w:tcPr>
          <w:p>
            <w:pPr>
              <w:jc w:val="right"/>
              <w:ind w:right="331"/>
              <w:spacing w:after="0"/>
              <w:rPr>
                <w:sz w:val="20"/>
                <w:szCs w:val="20"/>
                <w:color w:val="auto"/>
              </w:rPr>
            </w:pPr>
            <w:r>
              <w:rPr>
                <w:rFonts w:ascii="Arial" w:cs="Arial" w:eastAsia="Arial" w:hAnsi="Arial"/>
                <w:sz w:val="14"/>
                <w:szCs w:val="14"/>
                <w:b w:val="1"/>
                <w:bCs w:val="1"/>
                <w:color w:val="auto"/>
              </w:rPr>
              <w:t>2018</w:t>
            </w:r>
          </w:p>
        </w:tc>
        <w:tc>
          <w:tcPr>
            <w:tcW w:w="4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380" w:type="dxa"/>
            <w:vAlign w:val="bottom"/>
            <w:tcBorders>
              <w:bottom w:val="single" w:sz="8" w:color="auto"/>
            </w:tcBorders>
          </w:tcPr>
          <w:p>
            <w:pPr>
              <w:spacing w:after="0"/>
              <w:rPr>
                <w:sz w:val="22"/>
                <w:szCs w:val="22"/>
                <w:color w:val="auto"/>
              </w:rPr>
            </w:pPr>
          </w:p>
        </w:tc>
        <w:tc>
          <w:tcPr>
            <w:tcW w:w="780" w:type="dxa"/>
            <w:vAlign w:val="bottom"/>
            <w:tcBorders>
              <w:bottom w:val="single" w:sz="8" w:color="auto"/>
            </w:tcBorders>
            <w:gridSpan w:val="3"/>
          </w:tcPr>
          <w:p>
            <w:pPr>
              <w:jc w:val="right"/>
              <w:ind w:right="348"/>
              <w:spacing w:after="0"/>
              <w:rPr>
                <w:sz w:val="20"/>
                <w:szCs w:val="20"/>
                <w:color w:val="auto"/>
              </w:rPr>
            </w:pPr>
            <w:r>
              <w:rPr>
                <w:rFonts w:ascii="Arial" w:cs="Arial" w:eastAsia="Arial" w:hAnsi="Arial"/>
                <w:sz w:val="14"/>
                <w:szCs w:val="14"/>
                <w:b w:val="1"/>
                <w:bCs w:val="1"/>
                <w:color w:val="auto"/>
              </w:rPr>
              <w:t>2017</w:t>
            </w:r>
          </w:p>
        </w:tc>
        <w:tc>
          <w:tcPr>
            <w:tcW w:w="100" w:type="dxa"/>
            <w:vAlign w:val="bottom"/>
          </w:tcPr>
          <w:p>
            <w:pPr>
              <w:spacing w:after="0"/>
              <w:rPr>
                <w:sz w:val="22"/>
                <w:szCs w:val="22"/>
                <w:color w:val="auto"/>
              </w:rPr>
            </w:pPr>
          </w:p>
        </w:tc>
        <w:tc>
          <w:tcPr>
            <w:tcW w:w="800" w:type="dxa"/>
            <w:vAlign w:val="bottom"/>
            <w:tcBorders>
              <w:bottom w:val="single" w:sz="8" w:color="auto"/>
            </w:tcBorders>
            <w:gridSpan w:val="3"/>
          </w:tcPr>
          <w:p>
            <w:pPr>
              <w:jc w:val="right"/>
              <w:ind w:right="60"/>
              <w:spacing w:after="0"/>
              <w:rPr>
                <w:sz w:val="20"/>
                <w:szCs w:val="20"/>
                <w:color w:val="auto"/>
              </w:rPr>
            </w:pPr>
            <w:r>
              <w:rPr>
                <w:rFonts w:ascii="Arial" w:cs="Arial" w:eastAsia="Arial" w:hAnsi="Arial"/>
                <w:sz w:val="14"/>
                <w:szCs w:val="14"/>
                <w:b w:val="1"/>
                <w:bCs w:val="1"/>
                <w:color w:val="auto"/>
              </w:rPr>
              <w:t>2019</w:t>
            </w:r>
          </w:p>
        </w:tc>
        <w:tc>
          <w:tcPr>
            <w:tcW w:w="340" w:type="dxa"/>
            <w:vAlign w:val="bottom"/>
            <w:tcBorders>
              <w:bottom w:val="single" w:sz="8" w:color="auto"/>
            </w:tcBorders>
          </w:tcPr>
          <w:p>
            <w:pPr>
              <w:spacing w:after="0"/>
              <w:rPr>
                <w:sz w:val="22"/>
                <w:szCs w:val="22"/>
                <w:color w:val="auto"/>
              </w:rPr>
            </w:pPr>
          </w:p>
        </w:tc>
        <w:tc>
          <w:tcPr>
            <w:tcW w:w="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00" w:type="dxa"/>
            <w:vAlign w:val="bottom"/>
            <w:tcBorders>
              <w:bottom w:val="single" w:sz="8" w:color="auto"/>
            </w:tcBorders>
          </w:tcPr>
          <w:p>
            <w:pPr>
              <w:spacing w:after="0"/>
              <w:rPr>
                <w:sz w:val="22"/>
                <w:szCs w:val="22"/>
                <w:color w:val="auto"/>
              </w:rPr>
            </w:pPr>
          </w:p>
        </w:tc>
        <w:tc>
          <w:tcPr>
            <w:tcW w:w="72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rPr>
              <w:t>2018</w:t>
            </w:r>
          </w:p>
        </w:tc>
        <w:tc>
          <w:tcPr>
            <w:tcW w:w="100" w:type="dxa"/>
            <w:vAlign w:val="bottom"/>
            <w:tcBorders>
              <w:bottom w:val="single" w:sz="8" w:color="auto"/>
            </w:tcBorders>
          </w:tcPr>
          <w:p>
            <w:pPr>
              <w:spacing w:after="0"/>
              <w:rPr>
                <w:sz w:val="22"/>
                <w:szCs w:val="22"/>
                <w:color w:val="auto"/>
              </w:rPr>
            </w:pPr>
          </w:p>
        </w:tc>
        <w:tc>
          <w:tcPr>
            <w:tcW w:w="120" w:type="dxa"/>
            <w:vAlign w:val="bottom"/>
            <w:tcBorders>
              <w:bottom w:val="single" w:sz="8" w:color="auto"/>
            </w:tcBorders>
          </w:tcPr>
          <w:p>
            <w:pPr>
              <w:spacing w:after="0"/>
              <w:rPr>
                <w:sz w:val="22"/>
                <w:szCs w:val="22"/>
                <w:color w:val="auto"/>
              </w:rPr>
            </w:pPr>
          </w:p>
        </w:tc>
        <w:tc>
          <w:tcPr>
            <w:tcW w:w="120" w:type="dxa"/>
            <w:vAlign w:val="bottom"/>
          </w:tcPr>
          <w:p>
            <w:pPr>
              <w:spacing w:after="0"/>
              <w:rPr>
                <w:sz w:val="22"/>
                <w:szCs w:val="22"/>
                <w:color w:val="auto"/>
              </w:rPr>
            </w:pPr>
          </w:p>
        </w:tc>
        <w:tc>
          <w:tcPr>
            <w:tcW w:w="200" w:type="dxa"/>
            <w:vAlign w:val="bottom"/>
            <w:tcBorders>
              <w:bottom w:val="single" w:sz="8" w:color="auto"/>
            </w:tcBorders>
          </w:tcPr>
          <w:p>
            <w:pPr>
              <w:spacing w:after="0"/>
              <w:rPr>
                <w:sz w:val="22"/>
                <w:szCs w:val="22"/>
                <w:color w:val="auto"/>
              </w:rPr>
            </w:pPr>
          </w:p>
        </w:tc>
        <w:tc>
          <w:tcPr>
            <w:tcW w:w="940" w:type="dxa"/>
            <w:vAlign w:val="bottom"/>
            <w:tcBorders>
              <w:bottom w:val="single" w:sz="8" w:color="auto"/>
            </w:tcBorders>
          </w:tcPr>
          <w:p>
            <w:pPr>
              <w:jc w:val="right"/>
              <w:ind w:right="333"/>
              <w:spacing w:after="0"/>
              <w:rPr>
                <w:sz w:val="20"/>
                <w:szCs w:val="20"/>
                <w:color w:val="auto"/>
              </w:rPr>
            </w:pPr>
            <w:r>
              <w:rPr>
                <w:rFonts w:ascii="Arial" w:cs="Arial" w:eastAsia="Arial" w:hAnsi="Arial"/>
                <w:sz w:val="14"/>
                <w:szCs w:val="14"/>
                <w:b w:val="1"/>
                <w:bCs w:val="1"/>
                <w:color w:val="auto"/>
              </w:rPr>
              <w:t>2017</w:t>
            </w:r>
          </w:p>
        </w:tc>
      </w:tr>
      <w:tr>
        <w:trPr>
          <w:trHeight w:val="331"/>
        </w:trPr>
        <w:tc>
          <w:tcPr>
            <w:tcW w:w="40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320" w:type="dxa"/>
            <w:vAlign w:val="bottom"/>
            <w:gridSpan w:val="3"/>
          </w:tcPr>
          <w:p>
            <w:pPr>
              <w:jc w:val="right"/>
              <w:ind w:right="194"/>
              <w:spacing w:after="0"/>
              <w:rPr>
                <w:sz w:val="20"/>
                <w:szCs w:val="20"/>
                <w:color w:val="auto"/>
              </w:rPr>
            </w:pPr>
            <w:r>
              <w:rPr>
                <w:rFonts w:ascii="Arial" w:cs="Arial" w:eastAsia="Arial" w:hAnsi="Arial"/>
                <w:sz w:val="14"/>
                <w:szCs w:val="14"/>
                <w:b w:val="1"/>
                <w:bCs w:val="1"/>
                <w:color w:val="auto"/>
              </w:rPr>
              <w:t>(In millions)</w:t>
            </w:r>
          </w:p>
        </w:tc>
        <w:tc>
          <w:tcPr>
            <w:tcW w:w="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940" w:type="dxa"/>
            <w:vAlign w:val="bottom"/>
          </w:tcPr>
          <w:p>
            <w:pPr>
              <w:spacing w:after="0"/>
              <w:rPr>
                <w:sz w:val="24"/>
                <w:szCs w:val="24"/>
                <w:color w:val="auto"/>
              </w:rPr>
            </w:pPr>
          </w:p>
        </w:tc>
      </w:tr>
      <w:tr>
        <w:trPr>
          <w:trHeight w:val="256"/>
        </w:trPr>
        <w:tc>
          <w:tcPr>
            <w:tcW w:w="40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Defined benefit plans:</w:t>
            </w:r>
          </w:p>
        </w:tc>
        <w:tc>
          <w:tcPr>
            <w:tcW w:w="260" w:type="dxa"/>
            <w:vAlign w:val="bottom"/>
            <w:tcBorders>
              <w:bottom w:val="single" w:sz="8" w:color="CCEEFF"/>
            </w:tcBorders>
            <w:shd w:val="clear" w:color="auto" w:fill="CCEEFF"/>
          </w:tcPr>
          <w:p>
            <w:pPr>
              <w:spacing w:after="0"/>
              <w:rPr>
                <w:sz w:val="22"/>
                <w:szCs w:val="22"/>
                <w:color w:val="auto"/>
              </w:rPr>
            </w:pPr>
          </w:p>
        </w:tc>
        <w:tc>
          <w:tcPr>
            <w:tcW w:w="88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34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bottom w:val="single" w:sz="8" w:color="CCEEFF"/>
            </w:tcBorders>
            <w:shd w:val="clear" w:color="auto" w:fill="CCEEFF"/>
          </w:tcPr>
          <w:p>
            <w:pPr>
              <w:spacing w:after="0"/>
              <w:rPr>
                <w:sz w:val="22"/>
                <w:szCs w:val="22"/>
                <w:color w:val="auto"/>
              </w:rPr>
            </w:pPr>
          </w:p>
        </w:tc>
        <w:tc>
          <w:tcPr>
            <w:tcW w:w="580" w:type="dxa"/>
            <w:vAlign w:val="bottom"/>
            <w:tcBorders>
              <w:bottom w:val="single" w:sz="8" w:color="CCEEFF"/>
            </w:tcBorders>
            <w:shd w:val="clear" w:color="auto" w:fill="CCEEFF"/>
          </w:tcPr>
          <w:p>
            <w:pPr>
              <w:spacing w:after="0"/>
              <w:rPr>
                <w:sz w:val="22"/>
                <w:szCs w:val="22"/>
                <w:color w:val="auto"/>
              </w:rPr>
            </w:pPr>
          </w:p>
        </w:tc>
        <w:tc>
          <w:tcPr>
            <w:tcW w:w="40" w:type="dxa"/>
            <w:vAlign w:val="bottom"/>
            <w:tcBorders>
              <w:bottom w:val="single" w:sz="8" w:color="CCEEFF"/>
            </w:tcBorders>
            <w:shd w:val="clear" w:color="auto" w:fill="CCEEFF"/>
          </w:tcPr>
          <w:p>
            <w:pPr>
              <w:spacing w:after="0"/>
              <w:rPr>
                <w:sz w:val="22"/>
                <w:szCs w:val="22"/>
                <w:color w:val="auto"/>
              </w:rPr>
            </w:pPr>
          </w:p>
        </w:tc>
        <w:tc>
          <w:tcPr>
            <w:tcW w:w="60" w:type="dxa"/>
            <w:vAlign w:val="bottom"/>
            <w:tcBorders>
              <w:bottom w:val="single" w:sz="8" w:color="CCEEFF"/>
            </w:tcBorders>
            <w:shd w:val="clear" w:color="auto" w:fill="CCEEFF"/>
          </w:tcPr>
          <w:p>
            <w:pPr>
              <w:spacing w:after="0"/>
              <w:rPr>
                <w:sz w:val="22"/>
                <w:szCs w:val="22"/>
                <w:color w:val="auto"/>
              </w:rPr>
            </w:pPr>
          </w:p>
        </w:tc>
        <w:tc>
          <w:tcPr>
            <w:tcW w:w="380" w:type="dxa"/>
            <w:vAlign w:val="bottom"/>
            <w:tcBorders>
              <w:bottom w:val="single" w:sz="8" w:color="CCEEFF"/>
            </w:tcBorders>
            <w:shd w:val="clear" w:color="auto" w:fill="CCEEFF"/>
          </w:tcPr>
          <w:p>
            <w:pPr>
              <w:spacing w:after="0"/>
              <w:rPr>
                <w:sz w:val="22"/>
                <w:szCs w:val="22"/>
                <w:color w:val="auto"/>
              </w:rPr>
            </w:pPr>
          </w:p>
        </w:tc>
        <w:tc>
          <w:tcPr>
            <w:tcW w:w="8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58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640" w:type="dxa"/>
            <w:vAlign w:val="bottom"/>
            <w:tcBorders>
              <w:bottom w:val="single" w:sz="8" w:color="CCEEFF"/>
            </w:tcBorders>
            <w:shd w:val="clear" w:color="auto" w:fill="CCEEFF"/>
          </w:tcPr>
          <w:p>
            <w:pPr>
              <w:spacing w:after="0"/>
              <w:rPr>
                <w:sz w:val="22"/>
                <w:szCs w:val="22"/>
                <w:color w:val="auto"/>
              </w:rPr>
            </w:pPr>
          </w:p>
        </w:tc>
        <w:tc>
          <w:tcPr>
            <w:tcW w:w="4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340" w:type="dxa"/>
            <w:vAlign w:val="bottom"/>
            <w:tcBorders>
              <w:bottom w:val="single" w:sz="8" w:color="CCEEFF"/>
            </w:tcBorders>
            <w:shd w:val="clear" w:color="auto" w:fill="CCEEFF"/>
          </w:tcPr>
          <w:p>
            <w:pPr>
              <w:spacing w:after="0"/>
              <w:rPr>
                <w:sz w:val="22"/>
                <w:szCs w:val="22"/>
                <w:color w:val="auto"/>
              </w:rPr>
            </w:pPr>
          </w:p>
        </w:tc>
        <w:tc>
          <w:tcPr>
            <w:tcW w:w="2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CCEEFF"/>
            </w:tcBorders>
            <w:shd w:val="clear" w:color="auto" w:fill="CCEEFF"/>
          </w:tcPr>
          <w:p>
            <w:pPr>
              <w:spacing w:after="0"/>
              <w:rPr>
                <w:sz w:val="22"/>
                <w:szCs w:val="22"/>
                <w:color w:val="auto"/>
              </w:rPr>
            </w:pPr>
          </w:p>
        </w:tc>
        <w:tc>
          <w:tcPr>
            <w:tcW w:w="72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CCEEFF"/>
            </w:tcBorders>
            <w:shd w:val="clear" w:color="auto" w:fill="CCEEFF"/>
          </w:tcPr>
          <w:p>
            <w:pPr>
              <w:spacing w:after="0"/>
              <w:rPr>
                <w:sz w:val="22"/>
                <w:szCs w:val="22"/>
                <w:color w:val="auto"/>
              </w:rPr>
            </w:pPr>
          </w:p>
        </w:tc>
        <w:tc>
          <w:tcPr>
            <w:tcW w:w="940" w:type="dxa"/>
            <w:vAlign w:val="bottom"/>
            <w:tcBorders>
              <w:bottom w:val="single" w:sz="8" w:color="CCEEFF"/>
            </w:tcBorders>
            <w:shd w:val="clear" w:color="auto" w:fill="CCEEFF"/>
          </w:tcPr>
          <w:p>
            <w:pPr>
              <w:spacing w:after="0"/>
              <w:rPr>
                <w:sz w:val="22"/>
                <w:szCs w:val="22"/>
                <w:color w:val="auto"/>
              </w:rPr>
            </w:pPr>
          </w:p>
        </w:tc>
      </w:tr>
      <w:tr>
        <w:trPr>
          <w:trHeight w:val="263"/>
        </w:trPr>
        <w:tc>
          <w:tcPr>
            <w:tcW w:w="4000" w:type="dxa"/>
            <w:vAlign w:val="bottom"/>
          </w:tcPr>
          <w:p>
            <w:pPr>
              <w:ind w:left="280"/>
              <w:spacing w:after="0"/>
              <w:rPr>
                <w:sz w:val="20"/>
                <w:szCs w:val="20"/>
                <w:color w:val="auto"/>
              </w:rPr>
            </w:pPr>
            <w:r>
              <w:rPr>
                <w:rFonts w:ascii="Arial" w:cs="Arial" w:eastAsia="Arial" w:hAnsi="Arial"/>
                <w:sz w:val="18"/>
                <w:szCs w:val="18"/>
                <w:color w:val="auto"/>
              </w:rPr>
              <w:t>Service cost</w:t>
            </w:r>
          </w:p>
        </w:tc>
        <w:tc>
          <w:tcPr>
            <w:tcW w:w="260" w:type="dxa"/>
            <w:vAlign w:val="bottom"/>
          </w:tcPr>
          <w:p>
            <w:pPr>
              <w:jc w:val="right"/>
              <w:ind w:right="50"/>
              <w:spacing w:after="0"/>
              <w:rPr>
                <w:sz w:val="20"/>
                <w:szCs w:val="20"/>
                <w:color w:val="auto"/>
              </w:rPr>
            </w:pPr>
            <w:r>
              <w:rPr>
                <w:rFonts w:ascii="Arial" w:cs="Arial" w:eastAsia="Arial" w:hAnsi="Arial"/>
                <w:sz w:val="18"/>
                <w:szCs w:val="18"/>
                <w:color w:val="auto"/>
                <w:w w:val="99"/>
              </w:rPr>
              <w:t>$</w:t>
            </w:r>
          </w:p>
        </w:tc>
        <w:tc>
          <w:tcPr>
            <w:tcW w:w="880" w:type="dxa"/>
            <w:vAlign w:val="bottom"/>
          </w:tcPr>
          <w:p>
            <w:pPr>
              <w:jc w:val="right"/>
              <w:ind w:right="12"/>
              <w:spacing w:after="0"/>
              <w:rPr>
                <w:sz w:val="20"/>
                <w:szCs w:val="20"/>
                <w:color w:val="auto"/>
              </w:rPr>
            </w:pPr>
            <w:r>
              <w:rPr>
                <w:rFonts w:ascii="Arial" w:cs="Arial" w:eastAsia="Arial" w:hAnsi="Arial"/>
                <w:sz w:val="18"/>
                <w:szCs w:val="18"/>
                <w:color w:val="auto"/>
              </w:rPr>
              <w:t>2</w:t>
            </w:r>
          </w:p>
        </w:tc>
        <w:tc>
          <w:tcPr>
            <w:tcW w:w="100" w:type="dxa"/>
            <w:vAlign w:val="bottom"/>
          </w:tcPr>
          <w:p>
            <w:pPr>
              <w:spacing w:after="0"/>
              <w:rPr>
                <w:sz w:val="22"/>
                <w:szCs w:val="22"/>
                <w:color w:val="auto"/>
              </w:rPr>
            </w:pPr>
          </w:p>
        </w:tc>
        <w:tc>
          <w:tcPr>
            <w:tcW w:w="340" w:type="dxa"/>
            <w:vAlign w:val="bottom"/>
          </w:tcPr>
          <w:p>
            <w:pPr>
              <w:ind w:left="4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22"/>
                <w:szCs w:val="22"/>
                <w:color w:val="auto"/>
              </w:rPr>
            </w:pPr>
          </w:p>
        </w:tc>
        <w:tc>
          <w:tcPr>
            <w:tcW w:w="580" w:type="dxa"/>
            <w:vAlign w:val="bottom"/>
          </w:tcPr>
          <w:p>
            <w:pPr>
              <w:jc w:val="right"/>
              <w:ind w:right="31"/>
              <w:spacing w:after="0"/>
              <w:rPr>
                <w:sz w:val="20"/>
                <w:szCs w:val="20"/>
                <w:color w:val="auto"/>
              </w:rPr>
            </w:pPr>
            <w:r>
              <w:rPr>
                <w:rFonts w:ascii="Arial" w:cs="Arial" w:eastAsia="Arial" w:hAnsi="Arial"/>
                <w:sz w:val="18"/>
                <w:szCs w:val="18"/>
                <w:color w:val="auto"/>
              </w:rPr>
              <w:t>3</w:t>
            </w:r>
          </w:p>
        </w:tc>
        <w:tc>
          <w:tcPr>
            <w:tcW w:w="40" w:type="dxa"/>
            <w:vAlign w:val="bottom"/>
          </w:tcPr>
          <w:p>
            <w:pPr>
              <w:spacing w:after="0"/>
              <w:rPr>
                <w:sz w:val="22"/>
                <w:szCs w:val="22"/>
                <w:color w:val="auto"/>
              </w:rPr>
            </w:pPr>
          </w:p>
        </w:tc>
        <w:tc>
          <w:tcPr>
            <w:tcW w:w="440" w:type="dxa"/>
            <w:vAlign w:val="bottom"/>
            <w:gridSpan w:val="2"/>
          </w:tcPr>
          <w:p>
            <w:pPr>
              <w:jc w:val="right"/>
              <w:ind w:right="150"/>
              <w:spacing w:after="0"/>
              <w:rPr>
                <w:sz w:val="20"/>
                <w:szCs w:val="20"/>
                <w:color w:val="auto"/>
              </w:rPr>
            </w:pPr>
            <w:r>
              <w:rPr>
                <w:rFonts w:ascii="Arial" w:cs="Arial" w:eastAsia="Arial" w:hAnsi="Arial"/>
                <w:sz w:val="18"/>
                <w:szCs w:val="18"/>
                <w:color w:val="auto"/>
              </w:rPr>
              <w:t>$</w:t>
            </w:r>
          </w:p>
        </w:tc>
        <w:tc>
          <w:tcPr>
            <w:tcW w:w="780" w:type="dxa"/>
            <w:vAlign w:val="bottom"/>
            <w:gridSpan w:val="3"/>
          </w:tcPr>
          <w:p>
            <w:pPr>
              <w:jc w:val="right"/>
              <w:ind w:right="48"/>
              <w:spacing w:after="0"/>
              <w:rPr>
                <w:sz w:val="20"/>
                <w:szCs w:val="20"/>
                <w:color w:val="auto"/>
              </w:rPr>
            </w:pPr>
            <w:r>
              <w:rPr>
                <w:rFonts w:ascii="Arial" w:cs="Arial" w:eastAsia="Arial" w:hAnsi="Arial"/>
                <w:sz w:val="18"/>
                <w:szCs w:val="18"/>
                <w:color w:val="auto"/>
              </w:rPr>
              <w:t>2</w:t>
            </w:r>
          </w:p>
        </w:tc>
        <w:tc>
          <w:tcPr>
            <w:tcW w:w="100" w:type="dxa"/>
            <w:vAlign w:val="bottom"/>
          </w:tcPr>
          <w:p>
            <w:pPr>
              <w:spacing w:after="0"/>
              <w:rPr>
                <w:sz w:val="22"/>
                <w:szCs w:val="22"/>
                <w:color w:val="auto"/>
              </w:rPr>
            </w:pPr>
          </w:p>
        </w:tc>
        <w:tc>
          <w:tcPr>
            <w:tcW w:w="640" w:type="dxa"/>
            <w:vAlign w:val="bottom"/>
          </w:tcPr>
          <w:p>
            <w:pPr>
              <w:jc w:val="right"/>
              <w:ind w:right="434"/>
              <w:spacing w:after="0"/>
              <w:rPr>
                <w:sz w:val="20"/>
                <w:szCs w:val="20"/>
                <w:color w:val="auto"/>
              </w:rPr>
            </w:pPr>
            <w:r>
              <w:rPr>
                <w:rFonts w:ascii="Arial" w:cs="Arial" w:eastAsia="Arial" w:hAnsi="Arial"/>
                <w:sz w:val="18"/>
                <w:szCs w:val="18"/>
                <w:color w:val="auto"/>
                <w:w w:val="99"/>
              </w:rPr>
              <w:t>$</w:t>
            </w:r>
          </w:p>
        </w:tc>
        <w:tc>
          <w:tcPr>
            <w:tcW w:w="500" w:type="dxa"/>
            <w:vAlign w:val="bottom"/>
            <w:gridSpan w:val="3"/>
          </w:tcPr>
          <w:p>
            <w:pPr>
              <w:jc w:val="right"/>
              <w:ind w:right="19"/>
              <w:spacing w:after="0"/>
              <w:rPr>
                <w:sz w:val="20"/>
                <w:szCs w:val="20"/>
                <w:color w:val="auto"/>
              </w:rPr>
            </w:pPr>
            <w:r>
              <w:rPr>
                <w:rFonts w:ascii="Arial" w:cs="Arial" w:eastAsia="Arial" w:hAnsi="Arial"/>
                <w:sz w:val="18"/>
                <w:szCs w:val="18"/>
                <w:color w:val="auto"/>
              </w:rPr>
              <w:t>3</w:t>
            </w:r>
          </w:p>
        </w:tc>
        <w:tc>
          <w:tcPr>
            <w:tcW w:w="20" w:type="dxa"/>
            <w:vAlign w:val="bottom"/>
          </w:tcPr>
          <w:p>
            <w:pPr>
              <w:spacing w:after="0"/>
              <w:rPr>
                <w:sz w:val="22"/>
                <w:szCs w:val="22"/>
                <w:color w:val="auto"/>
              </w:rPr>
            </w:pPr>
          </w:p>
        </w:tc>
        <w:tc>
          <w:tcPr>
            <w:tcW w:w="30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c>
          <w:tcPr>
            <w:tcW w:w="940" w:type="dxa"/>
            <w:vAlign w:val="bottom"/>
            <w:gridSpan w:val="3"/>
          </w:tcPr>
          <w:p>
            <w:pPr>
              <w:jc w:val="right"/>
              <w:ind w:right="100"/>
              <w:spacing w:after="0"/>
              <w:rPr>
                <w:sz w:val="20"/>
                <w:szCs w:val="20"/>
                <w:color w:val="auto"/>
              </w:rPr>
            </w:pPr>
            <w:r>
              <w:rPr>
                <w:rFonts w:ascii="Arial" w:cs="Arial" w:eastAsia="Arial" w:hAnsi="Arial"/>
                <w:sz w:val="18"/>
                <w:szCs w:val="18"/>
                <w:color w:val="auto"/>
              </w:rPr>
              <w:t>5</w:t>
            </w:r>
          </w:p>
        </w:tc>
        <w:tc>
          <w:tcPr>
            <w:tcW w:w="120" w:type="dxa"/>
            <w:vAlign w:val="bottom"/>
          </w:tcPr>
          <w:p>
            <w:pPr>
              <w:spacing w:after="0"/>
              <w:rPr>
                <w:sz w:val="22"/>
                <w:szCs w:val="22"/>
                <w:color w:val="auto"/>
              </w:rPr>
            </w:pPr>
          </w:p>
        </w:tc>
        <w:tc>
          <w:tcPr>
            <w:tcW w:w="20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940" w:type="dxa"/>
            <w:vAlign w:val="bottom"/>
          </w:tcPr>
          <w:p>
            <w:pPr>
              <w:jc w:val="right"/>
              <w:ind w:right="13"/>
              <w:spacing w:after="0"/>
              <w:rPr>
                <w:sz w:val="20"/>
                <w:szCs w:val="20"/>
                <w:color w:val="auto"/>
              </w:rPr>
            </w:pPr>
            <w:r>
              <w:rPr>
                <w:rFonts w:ascii="Arial" w:cs="Arial" w:eastAsia="Arial" w:hAnsi="Arial"/>
                <w:sz w:val="18"/>
                <w:szCs w:val="18"/>
                <w:color w:val="auto"/>
              </w:rPr>
              <w:t>4</w:t>
            </w:r>
          </w:p>
        </w:tc>
      </w:tr>
      <w:tr>
        <w:trPr>
          <w:trHeight w:val="277"/>
        </w:trPr>
        <w:tc>
          <w:tcPr>
            <w:tcW w:w="4000" w:type="dxa"/>
            <w:vAlign w:val="bottom"/>
            <w:shd w:val="clear" w:color="auto" w:fill="CCEEFF"/>
          </w:tcPr>
          <w:p>
            <w:pPr>
              <w:ind w:left="280"/>
              <w:spacing w:after="0"/>
              <w:rPr>
                <w:sz w:val="20"/>
                <w:szCs w:val="20"/>
                <w:color w:val="auto"/>
              </w:rPr>
            </w:pPr>
            <w:r>
              <w:rPr>
                <w:rFonts w:ascii="Arial" w:cs="Arial" w:eastAsia="Arial" w:hAnsi="Arial"/>
                <w:sz w:val="18"/>
                <w:szCs w:val="18"/>
                <w:color w:val="auto"/>
              </w:rPr>
              <w:t>Interest cost</w:t>
            </w:r>
          </w:p>
        </w:tc>
        <w:tc>
          <w:tcPr>
            <w:tcW w:w="260" w:type="dxa"/>
            <w:vAlign w:val="bottom"/>
            <w:shd w:val="clear" w:color="auto" w:fill="CCEEFF"/>
          </w:tcPr>
          <w:p>
            <w:pPr>
              <w:spacing w:after="0"/>
              <w:rPr>
                <w:sz w:val="24"/>
                <w:szCs w:val="24"/>
                <w:color w:val="auto"/>
              </w:rPr>
            </w:pPr>
          </w:p>
        </w:tc>
        <w:tc>
          <w:tcPr>
            <w:tcW w:w="88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703</w:t>
            </w:r>
          </w:p>
        </w:tc>
        <w:tc>
          <w:tcPr>
            <w:tcW w:w="100" w:type="dxa"/>
            <w:vAlign w:val="bottom"/>
            <w:shd w:val="clear" w:color="auto" w:fill="CCEEFF"/>
          </w:tcPr>
          <w:p>
            <w:pPr>
              <w:spacing w:after="0"/>
              <w:rPr>
                <w:sz w:val="24"/>
                <w:szCs w:val="24"/>
                <w:color w:val="auto"/>
              </w:rPr>
            </w:pPr>
          </w:p>
        </w:tc>
        <w:tc>
          <w:tcPr>
            <w:tcW w:w="340" w:type="dxa"/>
            <w:vAlign w:val="bottom"/>
            <w:shd w:val="clear" w:color="auto" w:fill="CCEEFF"/>
          </w:tcPr>
          <w:p>
            <w:pPr>
              <w:spacing w:after="0"/>
              <w:rPr>
                <w:sz w:val="24"/>
                <w:szCs w:val="24"/>
                <w:color w:val="auto"/>
              </w:rPr>
            </w:pPr>
          </w:p>
        </w:tc>
        <w:tc>
          <w:tcPr>
            <w:tcW w:w="240" w:type="dxa"/>
            <w:vAlign w:val="bottom"/>
            <w:shd w:val="clear" w:color="auto" w:fill="CCEEFF"/>
          </w:tcPr>
          <w:p>
            <w:pPr>
              <w:spacing w:after="0"/>
              <w:rPr>
                <w:sz w:val="24"/>
                <w:szCs w:val="24"/>
                <w:color w:val="auto"/>
              </w:rPr>
            </w:pPr>
          </w:p>
        </w:tc>
        <w:tc>
          <w:tcPr>
            <w:tcW w:w="580" w:type="dxa"/>
            <w:vAlign w:val="bottom"/>
            <w:shd w:val="clear" w:color="auto" w:fill="CCEEFF"/>
          </w:tcPr>
          <w:p>
            <w:pPr>
              <w:jc w:val="right"/>
              <w:ind w:right="31"/>
              <w:spacing w:after="0"/>
              <w:rPr>
                <w:sz w:val="20"/>
                <w:szCs w:val="20"/>
                <w:color w:val="auto"/>
              </w:rPr>
            </w:pPr>
            <w:r>
              <w:rPr>
                <w:rFonts w:ascii="Arial" w:cs="Arial" w:eastAsia="Arial" w:hAnsi="Arial"/>
                <w:sz w:val="18"/>
                <w:szCs w:val="18"/>
                <w:color w:val="auto"/>
              </w:rPr>
              <w:t>674</w:t>
            </w:r>
          </w:p>
        </w:tc>
        <w:tc>
          <w:tcPr>
            <w:tcW w:w="40" w:type="dxa"/>
            <w:vAlign w:val="bottom"/>
            <w:shd w:val="clear" w:color="auto" w:fill="CCEEFF"/>
          </w:tcPr>
          <w:p>
            <w:pPr>
              <w:spacing w:after="0"/>
              <w:rPr>
                <w:sz w:val="24"/>
                <w:szCs w:val="24"/>
                <w:color w:val="auto"/>
              </w:rPr>
            </w:pPr>
          </w:p>
        </w:tc>
        <w:tc>
          <w:tcPr>
            <w:tcW w:w="60" w:type="dxa"/>
            <w:vAlign w:val="bottom"/>
            <w:shd w:val="clear" w:color="auto" w:fill="CCEEFF"/>
          </w:tcPr>
          <w:p>
            <w:pPr>
              <w:spacing w:after="0"/>
              <w:rPr>
                <w:sz w:val="24"/>
                <w:szCs w:val="24"/>
                <w:color w:val="auto"/>
              </w:rPr>
            </w:pPr>
          </w:p>
        </w:tc>
        <w:tc>
          <w:tcPr>
            <w:tcW w:w="380" w:type="dxa"/>
            <w:vAlign w:val="bottom"/>
            <w:shd w:val="clear" w:color="auto" w:fill="CCEEFF"/>
          </w:tcPr>
          <w:p>
            <w:pPr>
              <w:spacing w:after="0"/>
              <w:rPr>
                <w:sz w:val="24"/>
                <w:szCs w:val="24"/>
                <w:color w:val="auto"/>
              </w:rPr>
            </w:pPr>
          </w:p>
        </w:tc>
        <w:tc>
          <w:tcPr>
            <w:tcW w:w="780" w:type="dxa"/>
            <w:vAlign w:val="bottom"/>
            <w:gridSpan w:val="3"/>
            <w:shd w:val="clear" w:color="auto" w:fill="CCEEFF"/>
          </w:tcPr>
          <w:p>
            <w:pPr>
              <w:jc w:val="right"/>
              <w:ind w:right="48"/>
              <w:spacing w:after="0"/>
              <w:rPr>
                <w:sz w:val="20"/>
                <w:szCs w:val="20"/>
                <w:color w:val="auto"/>
              </w:rPr>
            </w:pPr>
            <w:r>
              <w:rPr>
                <w:rFonts w:ascii="Arial" w:cs="Arial" w:eastAsia="Arial" w:hAnsi="Arial"/>
                <w:sz w:val="18"/>
                <w:szCs w:val="18"/>
                <w:color w:val="auto"/>
              </w:rPr>
              <w:t>721</w:t>
            </w:r>
          </w:p>
        </w:tc>
        <w:tc>
          <w:tcPr>
            <w:tcW w:w="100" w:type="dxa"/>
            <w:vAlign w:val="bottom"/>
            <w:shd w:val="clear" w:color="auto" w:fill="CCEEFF"/>
          </w:tcPr>
          <w:p>
            <w:pPr>
              <w:spacing w:after="0"/>
              <w:rPr>
                <w:sz w:val="24"/>
                <w:szCs w:val="24"/>
                <w:color w:val="auto"/>
              </w:rPr>
            </w:pPr>
          </w:p>
        </w:tc>
        <w:tc>
          <w:tcPr>
            <w:tcW w:w="640" w:type="dxa"/>
            <w:vAlign w:val="bottom"/>
            <w:shd w:val="clear" w:color="auto" w:fill="CCEEFF"/>
          </w:tcPr>
          <w:p>
            <w:pPr>
              <w:spacing w:after="0"/>
              <w:rPr>
                <w:sz w:val="24"/>
                <w:szCs w:val="24"/>
                <w:color w:val="auto"/>
              </w:rPr>
            </w:pPr>
          </w:p>
        </w:tc>
        <w:tc>
          <w:tcPr>
            <w:tcW w:w="500" w:type="dxa"/>
            <w:vAlign w:val="bottom"/>
            <w:gridSpan w:val="3"/>
            <w:shd w:val="clear" w:color="auto" w:fill="CCEEFF"/>
          </w:tcPr>
          <w:p>
            <w:pPr>
              <w:jc w:val="right"/>
              <w:ind w:right="19"/>
              <w:spacing w:after="0"/>
              <w:rPr>
                <w:sz w:val="20"/>
                <w:szCs w:val="20"/>
                <w:color w:val="auto"/>
              </w:rPr>
            </w:pPr>
            <w:r>
              <w:rPr>
                <w:rFonts w:ascii="Arial" w:cs="Arial" w:eastAsia="Arial" w:hAnsi="Arial"/>
                <w:sz w:val="18"/>
                <w:szCs w:val="18"/>
                <w:color w:val="auto"/>
              </w:rPr>
              <w:t>33</w:t>
            </w:r>
          </w:p>
        </w:tc>
        <w:tc>
          <w:tcPr>
            <w:tcW w:w="2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200" w:type="dxa"/>
            <w:vAlign w:val="bottom"/>
            <w:shd w:val="clear" w:color="auto" w:fill="CCEEFF"/>
          </w:tcPr>
          <w:p>
            <w:pPr>
              <w:spacing w:after="0"/>
              <w:rPr>
                <w:sz w:val="24"/>
                <w:szCs w:val="24"/>
                <w:color w:val="auto"/>
              </w:rPr>
            </w:pPr>
          </w:p>
        </w:tc>
        <w:tc>
          <w:tcPr>
            <w:tcW w:w="94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35</w:t>
            </w:r>
          </w:p>
        </w:tc>
        <w:tc>
          <w:tcPr>
            <w:tcW w:w="120" w:type="dxa"/>
            <w:vAlign w:val="bottom"/>
            <w:shd w:val="clear" w:color="auto" w:fill="CCEEFF"/>
          </w:tcPr>
          <w:p>
            <w:pPr>
              <w:spacing w:after="0"/>
              <w:rPr>
                <w:sz w:val="24"/>
                <w:szCs w:val="24"/>
                <w:color w:val="auto"/>
              </w:rPr>
            </w:pPr>
          </w:p>
        </w:tc>
        <w:tc>
          <w:tcPr>
            <w:tcW w:w="200" w:type="dxa"/>
            <w:vAlign w:val="bottom"/>
            <w:shd w:val="clear" w:color="auto" w:fill="CCEEFF"/>
          </w:tcPr>
          <w:p>
            <w:pPr>
              <w:spacing w:after="0"/>
              <w:rPr>
                <w:sz w:val="24"/>
                <w:szCs w:val="24"/>
                <w:color w:val="auto"/>
              </w:rPr>
            </w:pPr>
          </w:p>
        </w:tc>
        <w:tc>
          <w:tcPr>
            <w:tcW w:w="940" w:type="dxa"/>
            <w:vAlign w:val="bottom"/>
            <w:shd w:val="clear" w:color="auto" w:fill="CCEEFF"/>
          </w:tcPr>
          <w:p>
            <w:pPr>
              <w:jc w:val="right"/>
              <w:ind w:right="13"/>
              <w:spacing w:after="0"/>
              <w:rPr>
                <w:sz w:val="20"/>
                <w:szCs w:val="20"/>
                <w:color w:val="auto"/>
              </w:rPr>
            </w:pPr>
            <w:r>
              <w:rPr>
                <w:rFonts w:ascii="Arial" w:cs="Arial" w:eastAsia="Arial" w:hAnsi="Arial"/>
                <w:sz w:val="18"/>
                <w:szCs w:val="18"/>
                <w:color w:val="auto"/>
              </w:rPr>
              <w:t>39</w:t>
            </w:r>
          </w:p>
        </w:tc>
      </w:tr>
      <w:tr>
        <w:trPr>
          <w:trHeight w:val="263"/>
        </w:trPr>
        <w:tc>
          <w:tcPr>
            <w:tcW w:w="4000" w:type="dxa"/>
            <w:vAlign w:val="bottom"/>
          </w:tcPr>
          <w:p>
            <w:pPr>
              <w:ind w:left="280"/>
              <w:spacing w:after="0"/>
              <w:rPr>
                <w:sz w:val="20"/>
                <w:szCs w:val="20"/>
                <w:color w:val="auto"/>
              </w:rPr>
            </w:pPr>
            <w:r>
              <w:rPr>
                <w:rFonts w:ascii="Arial" w:cs="Arial" w:eastAsia="Arial" w:hAnsi="Arial"/>
                <w:sz w:val="18"/>
                <w:szCs w:val="18"/>
                <w:color w:val="auto"/>
              </w:rPr>
              <w:t>Expected return on assets</w:t>
            </w:r>
          </w:p>
        </w:tc>
        <w:tc>
          <w:tcPr>
            <w:tcW w:w="260" w:type="dxa"/>
            <w:vAlign w:val="bottom"/>
          </w:tcPr>
          <w:p>
            <w:pPr>
              <w:spacing w:after="0"/>
              <w:rPr>
                <w:sz w:val="22"/>
                <w:szCs w:val="22"/>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(815)</w:t>
            </w:r>
          </w:p>
        </w:tc>
        <w:tc>
          <w:tcPr>
            <w:tcW w:w="10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(905)</w:t>
            </w:r>
          </w:p>
        </w:tc>
        <w:tc>
          <w:tcPr>
            <w:tcW w:w="4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380" w:type="dxa"/>
            <w:vAlign w:val="bottom"/>
          </w:tcPr>
          <w:p>
            <w:pPr>
              <w:spacing w:after="0"/>
              <w:rPr>
                <w:sz w:val="22"/>
                <w:szCs w:val="22"/>
                <w:color w:val="auto"/>
              </w:rPr>
            </w:pPr>
          </w:p>
        </w:tc>
        <w:tc>
          <w:tcPr>
            <w:tcW w:w="780" w:type="dxa"/>
            <w:vAlign w:val="bottom"/>
            <w:gridSpan w:val="3"/>
          </w:tcPr>
          <w:p>
            <w:pPr>
              <w:jc w:val="right"/>
              <w:spacing w:after="0"/>
              <w:rPr>
                <w:sz w:val="20"/>
                <w:szCs w:val="20"/>
                <w:color w:val="auto"/>
              </w:rPr>
            </w:pPr>
            <w:r>
              <w:rPr>
                <w:rFonts w:ascii="Arial" w:cs="Arial" w:eastAsia="Arial" w:hAnsi="Arial"/>
                <w:sz w:val="18"/>
                <w:szCs w:val="18"/>
                <w:color w:val="auto"/>
              </w:rPr>
              <w:t>(790)</w:t>
            </w:r>
          </w:p>
        </w:tc>
        <w:tc>
          <w:tcPr>
            <w:tcW w:w="100" w:type="dxa"/>
            <w:vAlign w:val="bottom"/>
          </w:tcPr>
          <w:p>
            <w:pPr>
              <w:spacing w:after="0"/>
              <w:rPr>
                <w:sz w:val="22"/>
                <w:szCs w:val="22"/>
                <w:color w:val="auto"/>
              </w:rPr>
            </w:pPr>
          </w:p>
        </w:tc>
        <w:tc>
          <w:tcPr>
            <w:tcW w:w="640" w:type="dxa"/>
            <w:vAlign w:val="bottom"/>
          </w:tcPr>
          <w:p>
            <w:pPr>
              <w:spacing w:after="0"/>
              <w:rPr>
                <w:sz w:val="22"/>
                <w:szCs w:val="22"/>
                <w:color w:val="auto"/>
              </w:rPr>
            </w:pPr>
          </w:p>
        </w:tc>
        <w:tc>
          <w:tcPr>
            <w:tcW w:w="500" w:type="dxa"/>
            <w:vAlign w:val="bottom"/>
            <w:gridSpan w:val="3"/>
          </w:tcPr>
          <w:p>
            <w:pPr>
              <w:jc w:val="right"/>
              <w:spacing w:after="0"/>
              <w:rPr>
                <w:sz w:val="20"/>
                <w:szCs w:val="20"/>
                <w:color w:val="auto"/>
              </w:rPr>
            </w:pPr>
            <w:r>
              <w:rPr>
                <w:rFonts w:ascii="Arial" w:cs="Arial" w:eastAsia="Arial" w:hAnsi="Arial"/>
                <w:sz w:val="18"/>
                <w:szCs w:val="18"/>
                <w:color w:val="auto"/>
              </w:rPr>
              <w:t>(15)</w:t>
            </w:r>
          </w:p>
        </w:tc>
        <w:tc>
          <w:tcPr>
            <w:tcW w:w="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940" w:type="dxa"/>
            <w:vAlign w:val="bottom"/>
            <w:gridSpan w:val="3"/>
          </w:tcPr>
          <w:p>
            <w:pPr>
              <w:jc w:val="right"/>
              <w:ind w:right="40"/>
              <w:spacing w:after="0"/>
              <w:rPr>
                <w:sz w:val="20"/>
                <w:szCs w:val="20"/>
                <w:color w:val="auto"/>
              </w:rPr>
            </w:pPr>
            <w:r>
              <w:rPr>
                <w:rFonts w:ascii="Arial" w:cs="Arial" w:eastAsia="Arial" w:hAnsi="Arial"/>
                <w:sz w:val="18"/>
                <w:szCs w:val="18"/>
                <w:color w:val="auto"/>
              </w:rPr>
              <w:t>(24)</w:t>
            </w:r>
          </w:p>
        </w:tc>
        <w:tc>
          <w:tcPr>
            <w:tcW w:w="12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(21)</w:t>
            </w:r>
          </w:p>
        </w:tc>
      </w:tr>
      <w:tr>
        <w:trPr>
          <w:trHeight w:val="277"/>
        </w:trPr>
        <w:tc>
          <w:tcPr>
            <w:tcW w:w="4000" w:type="dxa"/>
            <w:vAlign w:val="bottom"/>
            <w:shd w:val="clear" w:color="auto" w:fill="CCEEFF"/>
          </w:tcPr>
          <w:p>
            <w:pPr>
              <w:ind w:left="280"/>
              <w:spacing w:after="0"/>
              <w:rPr>
                <w:sz w:val="20"/>
                <w:szCs w:val="20"/>
                <w:color w:val="auto"/>
              </w:rPr>
            </w:pPr>
            <w:r>
              <w:rPr>
                <w:rFonts w:ascii="Arial" w:cs="Arial" w:eastAsia="Arial" w:hAnsi="Arial"/>
                <w:sz w:val="18"/>
                <w:szCs w:val="18"/>
                <w:color w:val="auto"/>
              </w:rPr>
              <w:t>Settlements</w:t>
            </w:r>
          </w:p>
        </w:tc>
        <w:tc>
          <w:tcPr>
            <w:tcW w:w="260" w:type="dxa"/>
            <w:vAlign w:val="bottom"/>
            <w:shd w:val="clear" w:color="auto" w:fill="CCEEFF"/>
          </w:tcPr>
          <w:p>
            <w:pPr>
              <w:spacing w:after="0"/>
              <w:rPr>
                <w:sz w:val="24"/>
                <w:szCs w:val="24"/>
                <w:color w:val="auto"/>
              </w:rPr>
            </w:pPr>
          </w:p>
        </w:tc>
        <w:tc>
          <w:tcPr>
            <w:tcW w:w="9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340" w:type="dxa"/>
            <w:vAlign w:val="bottom"/>
            <w:shd w:val="clear" w:color="auto" w:fill="CCEEFF"/>
          </w:tcPr>
          <w:p>
            <w:pPr>
              <w:spacing w:after="0"/>
              <w:rPr>
                <w:sz w:val="24"/>
                <w:szCs w:val="24"/>
                <w:color w:val="auto"/>
              </w:rPr>
            </w:pPr>
          </w:p>
        </w:tc>
        <w:tc>
          <w:tcPr>
            <w:tcW w:w="240" w:type="dxa"/>
            <w:vAlign w:val="bottom"/>
            <w:shd w:val="clear" w:color="auto" w:fill="CCEEFF"/>
          </w:tcPr>
          <w:p>
            <w:pPr>
              <w:spacing w:after="0"/>
              <w:rPr>
                <w:sz w:val="24"/>
                <w:szCs w:val="24"/>
                <w:color w:val="auto"/>
              </w:rPr>
            </w:pPr>
          </w:p>
        </w:tc>
        <w:tc>
          <w:tcPr>
            <w:tcW w:w="6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60" w:type="dxa"/>
            <w:vAlign w:val="bottom"/>
            <w:shd w:val="clear" w:color="auto" w:fill="CCEEFF"/>
          </w:tcPr>
          <w:p>
            <w:pPr>
              <w:spacing w:after="0"/>
              <w:rPr>
                <w:sz w:val="24"/>
                <w:szCs w:val="24"/>
                <w:color w:val="auto"/>
              </w:rPr>
            </w:pPr>
          </w:p>
        </w:tc>
        <w:tc>
          <w:tcPr>
            <w:tcW w:w="380" w:type="dxa"/>
            <w:vAlign w:val="bottom"/>
            <w:shd w:val="clear" w:color="auto" w:fill="CCEEFF"/>
          </w:tcPr>
          <w:p>
            <w:pPr>
              <w:spacing w:after="0"/>
              <w:rPr>
                <w:sz w:val="24"/>
                <w:szCs w:val="24"/>
                <w:color w:val="auto"/>
              </w:rPr>
            </w:pPr>
          </w:p>
        </w:tc>
        <w:tc>
          <w:tcPr>
            <w:tcW w:w="780" w:type="dxa"/>
            <w:vAlign w:val="bottom"/>
            <w:gridSpan w:val="3"/>
            <w:shd w:val="clear" w:color="auto" w:fill="CCEEFF"/>
          </w:tcPr>
          <w:p>
            <w:pPr>
              <w:jc w:val="right"/>
              <w:ind w:right="48"/>
              <w:spacing w:after="0"/>
              <w:rPr>
                <w:sz w:val="20"/>
                <w:szCs w:val="20"/>
                <w:color w:val="auto"/>
              </w:rPr>
            </w:pPr>
            <w:r>
              <w:rPr>
                <w:rFonts w:ascii="Arial" w:cs="Arial" w:eastAsia="Arial" w:hAnsi="Arial"/>
                <w:sz w:val="18"/>
                <w:szCs w:val="18"/>
                <w:color w:val="auto"/>
              </w:rPr>
              <w:t>1</w:t>
            </w:r>
          </w:p>
        </w:tc>
        <w:tc>
          <w:tcPr>
            <w:tcW w:w="100" w:type="dxa"/>
            <w:vAlign w:val="bottom"/>
            <w:shd w:val="clear" w:color="auto" w:fill="CCEEFF"/>
          </w:tcPr>
          <w:p>
            <w:pPr>
              <w:spacing w:after="0"/>
              <w:rPr>
                <w:sz w:val="24"/>
                <w:szCs w:val="24"/>
                <w:color w:val="auto"/>
              </w:rPr>
            </w:pPr>
          </w:p>
        </w:tc>
        <w:tc>
          <w:tcPr>
            <w:tcW w:w="640" w:type="dxa"/>
            <w:vAlign w:val="bottom"/>
            <w:shd w:val="clear" w:color="auto" w:fill="CCEEFF"/>
          </w:tcPr>
          <w:p>
            <w:pPr>
              <w:spacing w:after="0"/>
              <w:rPr>
                <w:sz w:val="24"/>
                <w:szCs w:val="24"/>
                <w:color w:val="auto"/>
              </w:rPr>
            </w:pPr>
          </w:p>
        </w:tc>
        <w:tc>
          <w:tcPr>
            <w:tcW w:w="4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3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24"/>
                <w:szCs w:val="24"/>
                <w:color w:val="auto"/>
              </w:rPr>
            </w:pPr>
          </w:p>
        </w:tc>
        <w:tc>
          <w:tcPr>
            <w:tcW w:w="200" w:type="dxa"/>
            <w:vAlign w:val="bottom"/>
            <w:shd w:val="clear" w:color="auto" w:fill="CCEEFF"/>
          </w:tcPr>
          <w:p>
            <w:pPr>
              <w:spacing w:after="0"/>
              <w:rPr>
                <w:sz w:val="24"/>
                <w:szCs w:val="24"/>
                <w:color w:val="auto"/>
              </w:rPr>
            </w:pPr>
          </w:p>
        </w:tc>
        <w:tc>
          <w:tcPr>
            <w:tcW w:w="1060" w:type="dxa"/>
            <w:vAlign w:val="bottom"/>
            <w:gridSpan w:val="4"/>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24"/>
                <w:szCs w:val="24"/>
                <w:color w:val="auto"/>
              </w:rPr>
            </w:pPr>
          </w:p>
        </w:tc>
        <w:tc>
          <w:tcPr>
            <w:tcW w:w="940" w:type="dxa"/>
            <w:vAlign w:val="bottom"/>
            <w:shd w:val="clear" w:color="auto" w:fill="CCEEFF"/>
          </w:tcPr>
          <w:p>
            <w:pPr>
              <w:jc w:val="right"/>
              <w:ind w:right="13"/>
              <w:spacing w:after="0"/>
              <w:rPr>
                <w:sz w:val="20"/>
                <w:szCs w:val="20"/>
                <w:color w:val="auto"/>
              </w:rPr>
            </w:pPr>
            <w:r>
              <w:rPr>
                <w:rFonts w:ascii="Arial" w:cs="Arial" w:eastAsia="Arial" w:hAnsi="Arial"/>
                <w:sz w:val="18"/>
                <w:szCs w:val="18"/>
                <w:color w:val="auto"/>
              </w:rPr>
              <w:t>—</w:t>
            </w:r>
          </w:p>
        </w:tc>
      </w:tr>
      <w:tr>
        <w:trPr>
          <w:trHeight w:val="243"/>
        </w:trPr>
        <w:tc>
          <w:tcPr>
            <w:tcW w:w="4000" w:type="dxa"/>
            <w:vAlign w:val="bottom"/>
          </w:tcPr>
          <w:p>
            <w:pPr>
              <w:ind w:left="40"/>
              <w:spacing w:after="0"/>
              <w:rPr>
                <w:sz w:val="20"/>
                <w:szCs w:val="20"/>
                <w:color w:val="auto"/>
              </w:rPr>
            </w:pPr>
            <w:r>
              <w:rPr>
                <w:rFonts w:ascii="Arial" w:cs="Arial" w:eastAsia="Arial" w:hAnsi="Arial"/>
                <w:sz w:val="18"/>
                <w:szCs w:val="18"/>
                <w:color w:val="auto"/>
              </w:rPr>
              <w:t>Amortization of:</w:t>
            </w:r>
          </w:p>
        </w:tc>
        <w:tc>
          <w:tcPr>
            <w:tcW w:w="260" w:type="dxa"/>
            <w:vAlign w:val="bottom"/>
          </w:tcPr>
          <w:p>
            <w:pPr>
              <w:spacing w:after="0"/>
              <w:rPr>
                <w:sz w:val="21"/>
                <w:szCs w:val="21"/>
                <w:color w:val="auto"/>
              </w:rPr>
            </w:pPr>
          </w:p>
        </w:tc>
        <w:tc>
          <w:tcPr>
            <w:tcW w:w="8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58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5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64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940" w:type="dxa"/>
            <w:vAlign w:val="bottom"/>
          </w:tcPr>
          <w:p>
            <w:pPr>
              <w:spacing w:after="0"/>
              <w:rPr>
                <w:sz w:val="21"/>
                <w:szCs w:val="21"/>
                <w:color w:val="auto"/>
              </w:rPr>
            </w:pPr>
          </w:p>
        </w:tc>
      </w:tr>
      <w:tr>
        <w:trPr>
          <w:trHeight w:val="27"/>
        </w:trPr>
        <w:tc>
          <w:tcPr>
            <w:tcW w:w="4000" w:type="dxa"/>
            <w:vAlign w:val="bottom"/>
          </w:tcPr>
          <w:p>
            <w:pPr>
              <w:spacing w:after="0"/>
              <w:rPr>
                <w:sz w:val="2"/>
                <w:szCs w:val="2"/>
                <w:color w:val="auto"/>
              </w:rPr>
            </w:pPr>
          </w:p>
        </w:tc>
        <w:tc>
          <w:tcPr>
            <w:tcW w:w="26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240" w:type="dxa"/>
            <w:vAlign w:val="bottom"/>
          </w:tcPr>
          <w:p>
            <w:pPr>
              <w:spacing w:after="0"/>
              <w:rPr>
                <w:sz w:val="2"/>
                <w:szCs w:val="2"/>
                <w:color w:val="auto"/>
              </w:rPr>
            </w:pPr>
          </w:p>
        </w:tc>
        <w:tc>
          <w:tcPr>
            <w:tcW w:w="580" w:type="dxa"/>
            <w:vAlign w:val="bottom"/>
          </w:tcPr>
          <w:p>
            <w:pPr>
              <w:spacing w:after="0"/>
              <w:rPr>
                <w:sz w:val="2"/>
                <w:szCs w:val="2"/>
                <w:color w:val="auto"/>
              </w:rPr>
            </w:pPr>
          </w:p>
        </w:tc>
        <w:tc>
          <w:tcPr>
            <w:tcW w:w="40" w:type="dxa"/>
            <w:vAlign w:val="bottom"/>
          </w:tcPr>
          <w:p>
            <w:pPr>
              <w:spacing w:after="0"/>
              <w:rPr>
                <w:sz w:val="2"/>
                <w:szCs w:val="2"/>
                <w:color w:val="auto"/>
              </w:rPr>
            </w:pPr>
          </w:p>
        </w:tc>
        <w:tc>
          <w:tcPr>
            <w:tcW w:w="60" w:type="dxa"/>
            <w:vAlign w:val="bottom"/>
          </w:tcPr>
          <w:p>
            <w:pPr>
              <w:spacing w:after="0"/>
              <w:rPr>
                <w:sz w:val="2"/>
                <w:szCs w:val="2"/>
                <w:color w:val="auto"/>
              </w:rPr>
            </w:pPr>
          </w:p>
        </w:tc>
        <w:tc>
          <w:tcPr>
            <w:tcW w:w="380" w:type="dxa"/>
            <w:vAlign w:val="bottom"/>
          </w:tcPr>
          <w:p>
            <w:pPr>
              <w:spacing w:after="0"/>
              <w:rPr>
                <w:sz w:val="2"/>
                <w:szCs w:val="2"/>
                <w:color w:val="auto"/>
              </w:rPr>
            </w:pPr>
          </w:p>
        </w:tc>
        <w:tc>
          <w:tcPr>
            <w:tcW w:w="780" w:type="dxa"/>
            <w:vAlign w:val="bottom"/>
            <w:gridSpan w:val="3"/>
          </w:tcPr>
          <w:p>
            <w:pPr>
              <w:spacing w:after="0"/>
              <w:rPr>
                <w:sz w:val="2"/>
                <w:szCs w:val="2"/>
                <w:color w:val="auto"/>
              </w:rPr>
            </w:pPr>
          </w:p>
        </w:tc>
        <w:tc>
          <w:tcPr>
            <w:tcW w:w="100" w:type="dxa"/>
            <w:vAlign w:val="bottom"/>
          </w:tcPr>
          <w:p>
            <w:pPr>
              <w:spacing w:after="0"/>
              <w:rPr>
                <w:sz w:val="2"/>
                <w:szCs w:val="2"/>
                <w:color w:val="auto"/>
              </w:rPr>
            </w:pPr>
          </w:p>
        </w:tc>
        <w:tc>
          <w:tcPr>
            <w:tcW w:w="640" w:type="dxa"/>
            <w:vAlign w:val="bottom"/>
          </w:tcPr>
          <w:p>
            <w:pPr>
              <w:spacing w:after="0"/>
              <w:rPr>
                <w:sz w:val="2"/>
                <w:szCs w:val="2"/>
                <w:color w:val="auto"/>
              </w:rPr>
            </w:pPr>
          </w:p>
        </w:tc>
        <w:tc>
          <w:tcPr>
            <w:tcW w:w="500" w:type="dxa"/>
            <w:vAlign w:val="bottom"/>
            <w:gridSpan w:val="3"/>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940" w:type="dxa"/>
            <w:vAlign w:val="bottom"/>
            <w:gridSpan w:val="3"/>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940" w:type="dxa"/>
            <w:vAlign w:val="bottom"/>
          </w:tcPr>
          <w:p>
            <w:pPr>
              <w:spacing w:after="0"/>
              <w:rPr>
                <w:sz w:val="2"/>
                <w:szCs w:val="2"/>
                <w:color w:val="auto"/>
              </w:rPr>
            </w:pPr>
          </w:p>
        </w:tc>
      </w:tr>
      <w:tr>
        <w:trPr>
          <w:trHeight w:val="270"/>
        </w:trPr>
        <w:tc>
          <w:tcPr>
            <w:tcW w:w="4000" w:type="dxa"/>
            <w:vAlign w:val="bottom"/>
            <w:shd w:val="clear" w:color="auto" w:fill="CCEEFF"/>
          </w:tcPr>
          <w:p>
            <w:pPr>
              <w:ind w:left="280"/>
              <w:spacing w:after="0"/>
              <w:rPr>
                <w:sz w:val="20"/>
                <w:szCs w:val="20"/>
                <w:color w:val="auto"/>
              </w:rPr>
            </w:pPr>
            <w:r>
              <w:rPr>
                <w:rFonts w:ascii="Arial" w:cs="Arial" w:eastAsia="Arial" w:hAnsi="Arial"/>
                <w:sz w:val="18"/>
                <w:szCs w:val="18"/>
                <w:color w:val="auto"/>
              </w:rPr>
              <w:t>Prior service cost (benefit)</w:t>
            </w:r>
          </w:p>
        </w:tc>
        <w:tc>
          <w:tcPr>
            <w:tcW w:w="260" w:type="dxa"/>
            <w:vAlign w:val="bottom"/>
            <w:shd w:val="clear" w:color="auto" w:fill="CCEEFF"/>
          </w:tcPr>
          <w:p>
            <w:pPr>
              <w:spacing w:after="0"/>
              <w:rPr>
                <w:sz w:val="23"/>
                <w:szCs w:val="23"/>
                <w:color w:val="auto"/>
              </w:rPr>
            </w:pPr>
          </w:p>
        </w:tc>
        <w:tc>
          <w:tcPr>
            <w:tcW w:w="88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28</w:t>
            </w:r>
          </w:p>
        </w:tc>
        <w:tc>
          <w:tcPr>
            <w:tcW w:w="100" w:type="dxa"/>
            <w:vAlign w:val="bottom"/>
            <w:shd w:val="clear" w:color="auto" w:fill="CCEEFF"/>
          </w:tcPr>
          <w:p>
            <w:pPr>
              <w:spacing w:after="0"/>
              <w:rPr>
                <w:sz w:val="23"/>
                <w:szCs w:val="23"/>
                <w:color w:val="auto"/>
              </w:rPr>
            </w:pPr>
          </w:p>
        </w:tc>
        <w:tc>
          <w:tcPr>
            <w:tcW w:w="340" w:type="dxa"/>
            <w:vAlign w:val="bottom"/>
            <w:shd w:val="clear" w:color="auto" w:fill="CCEEFF"/>
          </w:tcPr>
          <w:p>
            <w:pPr>
              <w:spacing w:after="0"/>
              <w:rPr>
                <w:sz w:val="23"/>
                <w:szCs w:val="23"/>
                <w:color w:val="auto"/>
              </w:rPr>
            </w:pPr>
          </w:p>
        </w:tc>
        <w:tc>
          <w:tcPr>
            <w:tcW w:w="240" w:type="dxa"/>
            <w:vAlign w:val="bottom"/>
            <w:shd w:val="clear" w:color="auto" w:fill="CCEEFF"/>
          </w:tcPr>
          <w:p>
            <w:pPr>
              <w:spacing w:after="0"/>
              <w:rPr>
                <w:sz w:val="23"/>
                <w:szCs w:val="23"/>
                <w:color w:val="auto"/>
              </w:rPr>
            </w:pPr>
          </w:p>
        </w:tc>
        <w:tc>
          <w:tcPr>
            <w:tcW w:w="580" w:type="dxa"/>
            <w:vAlign w:val="bottom"/>
            <w:shd w:val="clear" w:color="auto" w:fill="CCEEFF"/>
          </w:tcPr>
          <w:p>
            <w:pPr>
              <w:jc w:val="right"/>
              <w:ind w:right="31"/>
              <w:spacing w:after="0"/>
              <w:rPr>
                <w:sz w:val="20"/>
                <w:szCs w:val="20"/>
                <w:color w:val="auto"/>
              </w:rPr>
            </w:pPr>
            <w:r>
              <w:rPr>
                <w:rFonts w:ascii="Arial" w:cs="Arial" w:eastAsia="Arial" w:hAnsi="Arial"/>
                <w:sz w:val="18"/>
                <w:szCs w:val="18"/>
                <w:color w:val="auto"/>
              </w:rPr>
              <w:t>28</w:t>
            </w:r>
          </w:p>
        </w:tc>
        <w:tc>
          <w:tcPr>
            <w:tcW w:w="40" w:type="dxa"/>
            <w:vAlign w:val="bottom"/>
            <w:shd w:val="clear" w:color="auto" w:fill="CCEEFF"/>
          </w:tcPr>
          <w:p>
            <w:pPr>
              <w:spacing w:after="0"/>
              <w:rPr>
                <w:sz w:val="23"/>
                <w:szCs w:val="23"/>
                <w:color w:val="auto"/>
              </w:rPr>
            </w:pPr>
          </w:p>
        </w:tc>
        <w:tc>
          <w:tcPr>
            <w:tcW w:w="60" w:type="dxa"/>
            <w:vAlign w:val="bottom"/>
            <w:shd w:val="clear" w:color="auto" w:fill="CCEEFF"/>
          </w:tcPr>
          <w:p>
            <w:pPr>
              <w:spacing w:after="0"/>
              <w:rPr>
                <w:sz w:val="23"/>
                <w:szCs w:val="23"/>
                <w:color w:val="auto"/>
              </w:rPr>
            </w:pPr>
          </w:p>
        </w:tc>
        <w:tc>
          <w:tcPr>
            <w:tcW w:w="380" w:type="dxa"/>
            <w:vAlign w:val="bottom"/>
            <w:shd w:val="clear" w:color="auto" w:fill="CCEEFF"/>
          </w:tcPr>
          <w:p>
            <w:pPr>
              <w:spacing w:after="0"/>
              <w:rPr>
                <w:sz w:val="23"/>
                <w:szCs w:val="23"/>
                <w:color w:val="auto"/>
              </w:rPr>
            </w:pPr>
          </w:p>
        </w:tc>
        <w:tc>
          <w:tcPr>
            <w:tcW w:w="780" w:type="dxa"/>
            <w:vAlign w:val="bottom"/>
            <w:gridSpan w:val="3"/>
            <w:shd w:val="clear" w:color="auto" w:fill="CCEEFF"/>
          </w:tcPr>
          <w:p>
            <w:pPr>
              <w:jc w:val="right"/>
              <w:ind w:right="48"/>
              <w:spacing w:after="0"/>
              <w:rPr>
                <w:sz w:val="20"/>
                <w:szCs w:val="20"/>
                <w:color w:val="auto"/>
              </w:rPr>
            </w:pPr>
            <w:r>
              <w:rPr>
                <w:rFonts w:ascii="Arial" w:cs="Arial" w:eastAsia="Arial" w:hAnsi="Arial"/>
                <w:sz w:val="18"/>
                <w:szCs w:val="18"/>
                <w:color w:val="auto"/>
              </w:rPr>
              <w:t>28</w:t>
            </w:r>
          </w:p>
        </w:tc>
        <w:tc>
          <w:tcPr>
            <w:tcW w:w="100" w:type="dxa"/>
            <w:vAlign w:val="bottom"/>
            <w:shd w:val="clear" w:color="auto" w:fill="CCEEFF"/>
          </w:tcPr>
          <w:p>
            <w:pPr>
              <w:spacing w:after="0"/>
              <w:rPr>
                <w:sz w:val="23"/>
                <w:szCs w:val="23"/>
                <w:color w:val="auto"/>
              </w:rPr>
            </w:pPr>
          </w:p>
        </w:tc>
        <w:tc>
          <w:tcPr>
            <w:tcW w:w="640" w:type="dxa"/>
            <w:vAlign w:val="bottom"/>
            <w:shd w:val="clear" w:color="auto" w:fill="CCEEFF"/>
          </w:tcPr>
          <w:p>
            <w:pPr>
              <w:spacing w:after="0"/>
              <w:rPr>
                <w:sz w:val="23"/>
                <w:szCs w:val="23"/>
                <w:color w:val="auto"/>
              </w:rPr>
            </w:pPr>
          </w:p>
        </w:tc>
        <w:tc>
          <w:tcPr>
            <w:tcW w:w="50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(236)</w:t>
            </w:r>
          </w:p>
        </w:tc>
        <w:tc>
          <w:tcPr>
            <w:tcW w:w="2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200" w:type="dxa"/>
            <w:vAlign w:val="bottom"/>
            <w:shd w:val="clear" w:color="auto" w:fill="CCEEFF"/>
          </w:tcPr>
          <w:p>
            <w:pPr>
              <w:spacing w:after="0"/>
              <w:rPr>
                <w:sz w:val="23"/>
                <w:szCs w:val="23"/>
                <w:color w:val="auto"/>
              </w:rPr>
            </w:pPr>
          </w:p>
        </w:tc>
        <w:tc>
          <w:tcPr>
            <w:tcW w:w="94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(236)</w:t>
            </w:r>
          </w:p>
        </w:tc>
        <w:tc>
          <w:tcPr>
            <w:tcW w:w="120" w:type="dxa"/>
            <w:vAlign w:val="bottom"/>
            <w:shd w:val="clear" w:color="auto" w:fill="CCEEFF"/>
          </w:tcPr>
          <w:p>
            <w:pPr>
              <w:spacing w:after="0"/>
              <w:rPr>
                <w:sz w:val="23"/>
                <w:szCs w:val="23"/>
                <w:color w:val="auto"/>
              </w:rPr>
            </w:pPr>
          </w:p>
        </w:tc>
        <w:tc>
          <w:tcPr>
            <w:tcW w:w="200" w:type="dxa"/>
            <w:vAlign w:val="bottom"/>
            <w:shd w:val="clear" w:color="auto" w:fill="CCEEFF"/>
          </w:tcPr>
          <w:p>
            <w:pPr>
              <w:spacing w:after="0"/>
              <w:rPr>
                <w:sz w:val="23"/>
                <w:szCs w:val="23"/>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(237)</w:t>
            </w:r>
          </w:p>
        </w:tc>
      </w:tr>
      <w:tr>
        <w:trPr>
          <w:trHeight w:val="264"/>
        </w:trPr>
        <w:tc>
          <w:tcPr>
            <w:tcW w:w="4000" w:type="dxa"/>
            <w:vAlign w:val="bottom"/>
            <w:tcBorders>
              <w:bottom w:val="single" w:sz="8" w:color="CCEEFF"/>
            </w:tcBorders>
          </w:tcPr>
          <w:p>
            <w:pPr>
              <w:ind w:left="280"/>
              <w:spacing w:after="0"/>
              <w:rPr>
                <w:sz w:val="20"/>
                <w:szCs w:val="20"/>
                <w:color w:val="auto"/>
              </w:rPr>
            </w:pPr>
            <w:r>
              <w:rPr>
                <w:rFonts w:ascii="Arial" w:cs="Arial" w:eastAsia="Arial" w:hAnsi="Arial"/>
                <w:sz w:val="18"/>
                <w:szCs w:val="18"/>
                <w:color w:val="auto"/>
              </w:rPr>
              <w:t>Unrecognized net loss (gain)</w:t>
            </w:r>
          </w:p>
        </w:tc>
        <w:tc>
          <w:tcPr>
            <w:tcW w:w="260" w:type="dxa"/>
            <w:vAlign w:val="bottom"/>
            <w:tcBorders>
              <w:bottom w:val="single" w:sz="8" w:color="auto"/>
            </w:tcBorders>
          </w:tcPr>
          <w:p>
            <w:pPr>
              <w:spacing w:after="0"/>
              <w:rPr>
                <w:sz w:val="22"/>
                <w:szCs w:val="22"/>
                <w:color w:val="auto"/>
              </w:rPr>
            </w:pPr>
          </w:p>
        </w:tc>
        <w:tc>
          <w:tcPr>
            <w:tcW w:w="880" w:type="dxa"/>
            <w:vAlign w:val="bottom"/>
            <w:tcBorders>
              <w:bottom w:val="single" w:sz="8" w:color="auto"/>
            </w:tcBorders>
          </w:tcPr>
          <w:p>
            <w:pPr>
              <w:jc w:val="right"/>
              <w:ind w:right="12"/>
              <w:spacing w:after="0"/>
              <w:rPr>
                <w:sz w:val="20"/>
                <w:szCs w:val="20"/>
                <w:color w:val="auto"/>
              </w:rPr>
            </w:pPr>
            <w:r>
              <w:rPr>
                <w:rFonts w:ascii="Arial" w:cs="Arial" w:eastAsia="Arial" w:hAnsi="Arial"/>
                <w:sz w:val="18"/>
                <w:szCs w:val="18"/>
                <w:color w:val="auto"/>
              </w:rPr>
              <w:t>150</w:t>
            </w:r>
          </w:p>
        </w:tc>
        <w:tc>
          <w:tcPr>
            <w:tcW w:w="100" w:type="dxa"/>
            <w:vAlign w:val="bottom"/>
            <w:tcBorders>
              <w:bottom w:val="single" w:sz="8" w:color="CCEEFF"/>
            </w:tcBorders>
          </w:tcPr>
          <w:p>
            <w:pPr>
              <w:spacing w:after="0"/>
              <w:rPr>
                <w:sz w:val="22"/>
                <w:szCs w:val="22"/>
                <w:color w:val="auto"/>
              </w:rPr>
            </w:pPr>
          </w:p>
        </w:tc>
        <w:tc>
          <w:tcPr>
            <w:tcW w:w="340" w:type="dxa"/>
            <w:vAlign w:val="bottom"/>
            <w:tcBorders>
              <w:bottom w:val="single" w:sz="8" w:color="auto"/>
            </w:tcBorders>
          </w:tcPr>
          <w:p>
            <w:pPr>
              <w:spacing w:after="0"/>
              <w:rPr>
                <w:sz w:val="22"/>
                <w:szCs w:val="22"/>
                <w:color w:val="auto"/>
              </w:rPr>
            </w:pPr>
          </w:p>
        </w:tc>
        <w:tc>
          <w:tcPr>
            <w:tcW w:w="240" w:type="dxa"/>
            <w:vAlign w:val="bottom"/>
            <w:tcBorders>
              <w:bottom w:val="single" w:sz="8" w:color="auto"/>
            </w:tcBorders>
          </w:tcPr>
          <w:p>
            <w:pPr>
              <w:spacing w:after="0"/>
              <w:rPr>
                <w:sz w:val="22"/>
                <w:szCs w:val="22"/>
                <w:color w:val="auto"/>
              </w:rPr>
            </w:pPr>
          </w:p>
        </w:tc>
        <w:tc>
          <w:tcPr>
            <w:tcW w:w="580" w:type="dxa"/>
            <w:vAlign w:val="bottom"/>
            <w:tcBorders>
              <w:bottom w:val="single" w:sz="8" w:color="auto"/>
            </w:tcBorders>
          </w:tcPr>
          <w:p>
            <w:pPr>
              <w:jc w:val="right"/>
              <w:ind w:right="31"/>
              <w:spacing w:after="0"/>
              <w:rPr>
                <w:sz w:val="20"/>
                <w:szCs w:val="20"/>
                <w:color w:val="auto"/>
              </w:rPr>
            </w:pPr>
            <w:r>
              <w:rPr>
                <w:rFonts w:ascii="Arial" w:cs="Arial" w:eastAsia="Arial" w:hAnsi="Arial"/>
                <w:sz w:val="18"/>
                <w:szCs w:val="18"/>
                <w:color w:val="auto"/>
              </w:rPr>
              <w:t>141</w:t>
            </w:r>
          </w:p>
        </w:tc>
        <w:tc>
          <w:tcPr>
            <w:tcW w:w="40" w:type="dxa"/>
            <w:vAlign w:val="bottom"/>
            <w:tcBorders>
              <w:bottom w:val="single" w:sz="8" w:color="CCEEFF"/>
            </w:tcBorders>
          </w:tcPr>
          <w:p>
            <w:pPr>
              <w:spacing w:after="0"/>
              <w:rPr>
                <w:sz w:val="22"/>
                <w:szCs w:val="22"/>
                <w:color w:val="auto"/>
              </w:rPr>
            </w:pPr>
          </w:p>
        </w:tc>
        <w:tc>
          <w:tcPr>
            <w:tcW w:w="60" w:type="dxa"/>
            <w:vAlign w:val="bottom"/>
            <w:tcBorders>
              <w:bottom w:val="single" w:sz="8" w:color="CCEEFF"/>
            </w:tcBorders>
          </w:tcPr>
          <w:p>
            <w:pPr>
              <w:spacing w:after="0"/>
              <w:rPr>
                <w:sz w:val="22"/>
                <w:szCs w:val="22"/>
                <w:color w:val="auto"/>
              </w:rPr>
            </w:pPr>
          </w:p>
        </w:tc>
        <w:tc>
          <w:tcPr>
            <w:tcW w:w="380" w:type="dxa"/>
            <w:vAlign w:val="bottom"/>
            <w:tcBorders>
              <w:bottom w:val="single" w:sz="8" w:color="auto"/>
            </w:tcBorders>
          </w:tcPr>
          <w:p>
            <w:pPr>
              <w:spacing w:after="0"/>
              <w:rPr>
                <w:sz w:val="22"/>
                <w:szCs w:val="22"/>
                <w:color w:val="auto"/>
              </w:rPr>
            </w:pPr>
          </w:p>
        </w:tc>
        <w:tc>
          <w:tcPr>
            <w:tcW w:w="780" w:type="dxa"/>
            <w:vAlign w:val="bottom"/>
            <w:tcBorders>
              <w:bottom w:val="single" w:sz="8" w:color="auto"/>
            </w:tcBorders>
            <w:gridSpan w:val="3"/>
          </w:tcPr>
          <w:p>
            <w:pPr>
              <w:jc w:val="right"/>
              <w:ind w:right="48"/>
              <w:spacing w:after="0"/>
              <w:rPr>
                <w:sz w:val="20"/>
                <w:szCs w:val="20"/>
                <w:color w:val="auto"/>
              </w:rPr>
            </w:pPr>
            <w:r>
              <w:rPr>
                <w:rFonts w:ascii="Arial" w:cs="Arial" w:eastAsia="Arial" w:hAnsi="Arial"/>
                <w:sz w:val="18"/>
                <w:szCs w:val="18"/>
                <w:color w:val="auto"/>
              </w:rPr>
              <w:t>144</w:t>
            </w:r>
          </w:p>
        </w:tc>
        <w:tc>
          <w:tcPr>
            <w:tcW w:w="100" w:type="dxa"/>
            <w:vAlign w:val="bottom"/>
            <w:tcBorders>
              <w:bottom w:val="single" w:sz="8" w:color="CCEEFF"/>
            </w:tcBorders>
          </w:tcPr>
          <w:p>
            <w:pPr>
              <w:spacing w:after="0"/>
              <w:rPr>
                <w:sz w:val="22"/>
                <w:szCs w:val="22"/>
                <w:color w:val="auto"/>
              </w:rPr>
            </w:pPr>
          </w:p>
        </w:tc>
        <w:tc>
          <w:tcPr>
            <w:tcW w:w="640" w:type="dxa"/>
            <w:vAlign w:val="bottom"/>
            <w:tcBorders>
              <w:bottom w:val="single" w:sz="8" w:color="auto"/>
            </w:tcBorders>
          </w:tcPr>
          <w:p>
            <w:pPr>
              <w:spacing w:after="0"/>
              <w:rPr>
                <w:sz w:val="22"/>
                <w:szCs w:val="22"/>
                <w:color w:val="auto"/>
              </w:rPr>
            </w:pPr>
          </w:p>
        </w:tc>
        <w:tc>
          <w:tcPr>
            <w:tcW w:w="500" w:type="dxa"/>
            <w:vAlign w:val="bottom"/>
            <w:tcBorders>
              <w:bottom w:val="single" w:sz="8" w:color="auto"/>
            </w:tcBorders>
            <w:gridSpan w:val="3"/>
          </w:tcPr>
          <w:p>
            <w:pPr>
              <w:jc w:val="right"/>
              <w:spacing w:after="0"/>
              <w:rPr>
                <w:sz w:val="20"/>
                <w:szCs w:val="20"/>
                <w:color w:val="auto"/>
              </w:rPr>
            </w:pPr>
            <w:r>
              <w:rPr>
                <w:rFonts w:ascii="Arial" w:cs="Arial" w:eastAsia="Arial" w:hAnsi="Arial"/>
                <w:sz w:val="18"/>
                <w:szCs w:val="18"/>
                <w:color w:val="auto"/>
              </w:rPr>
              <w:t>(31)</w:t>
            </w:r>
          </w:p>
        </w:tc>
        <w:tc>
          <w:tcPr>
            <w:tcW w:w="20" w:type="dxa"/>
            <w:vAlign w:val="bottom"/>
            <w:tcBorders>
              <w:bottom w:val="single" w:sz="8" w:color="CCEEFF"/>
            </w:tcBorders>
          </w:tcPr>
          <w:p>
            <w:pPr>
              <w:spacing w:after="0"/>
              <w:rPr>
                <w:sz w:val="22"/>
                <w:szCs w:val="22"/>
                <w:color w:val="auto"/>
              </w:rPr>
            </w:pPr>
          </w:p>
        </w:tc>
        <w:tc>
          <w:tcPr>
            <w:tcW w:w="100" w:type="dxa"/>
            <w:vAlign w:val="bottom"/>
            <w:tcBorders>
              <w:bottom w:val="single" w:sz="8" w:color="CCEEFF"/>
            </w:tcBorders>
          </w:tcPr>
          <w:p>
            <w:pPr>
              <w:spacing w:after="0"/>
              <w:rPr>
                <w:sz w:val="22"/>
                <w:szCs w:val="22"/>
                <w:color w:val="auto"/>
              </w:rPr>
            </w:pPr>
          </w:p>
        </w:tc>
        <w:tc>
          <w:tcPr>
            <w:tcW w:w="200" w:type="dxa"/>
            <w:vAlign w:val="bottom"/>
            <w:tcBorders>
              <w:bottom w:val="single" w:sz="8" w:color="auto"/>
            </w:tcBorders>
          </w:tcPr>
          <w:p>
            <w:pPr>
              <w:spacing w:after="0"/>
              <w:rPr>
                <w:sz w:val="22"/>
                <w:szCs w:val="22"/>
                <w:color w:val="auto"/>
              </w:rPr>
            </w:pPr>
          </w:p>
        </w:tc>
        <w:tc>
          <w:tcPr>
            <w:tcW w:w="940" w:type="dxa"/>
            <w:vAlign w:val="bottom"/>
            <w:tcBorders>
              <w:bottom w:val="single" w:sz="8" w:color="auto"/>
            </w:tcBorders>
            <w:gridSpan w:val="3"/>
          </w:tcPr>
          <w:p>
            <w:pPr>
              <w:jc w:val="right"/>
              <w:ind w:right="40"/>
              <w:spacing w:after="0"/>
              <w:rPr>
                <w:sz w:val="20"/>
                <w:szCs w:val="20"/>
                <w:color w:val="auto"/>
              </w:rPr>
            </w:pPr>
            <w:r>
              <w:rPr>
                <w:rFonts w:ascii="Arial" w:cs="Arial" w:eastAsia="Arial" w:hAnsi="Arial"/>
                <w:sz w:val="18"/>
                <w:szCs w:val="18"/>
                <w:color w:val="auto"/>
              </w:rPr>
              <w:t>(21)</w:t>
            </w:r>
          </w:p>
        </w:tc>
        <w:tc>
          <w:tcPr>
            <w:tcW w:w="120" w:type="dxa"/>
            <w:vAlign w:val="bottom"/>
            <w:tcBorders>
              <w:bottom w:val="single" w:sz="8" w:color="CCEEFF"/>
            </w:tcBorders>
          </w:tcPr>
          <w:p>
            <w:pPr>
              <w:spacing w:after="0"/>
              <w:rPr>
                <w:sz w:val="22"/>
                <w:szCs w:val="22"/>
                <w:color w:val="auto"/>
              </w:rPr>
            </w:pPr>
          </w:p>
        </w:tc>
        <w:tc>
          <w:tcPr>
            <w:tcW w:w="200" w:type="dxa"/>
            <w:vAlign w:val="bottom"/>
            <w:tcBorders>
              <w:bottom w:val="single" w:sz="8" w:color="auto"/>
            </w:tcBorders>
          </w:tcPr>
          <w:p>
            <w:pPr>
              <w:spacing w:after="0"/>
              <w:rPr>
                <w:sz w:val="22"/>
                <w:szCs w:val="22"/>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(23)</w:t>
            </w:r>
          </w:p>
        </w:tc>
      </w:tr>
      <w:tr>
        <w:trPr>
          <w:trHeight w:val="250"/>
        </w:trPr>
        <w:tc>
          <w:tcPr>
            <w:tcW w:w="4000" w:type="dxa"/>
            <w:vAlign w:val="bottom"/>
            <w:shd w:val="clear" w:color="auto" w:fill="CCEEFF"/>
          </w:tcPr>
          <w:p>
            <w:pPr>
              <w:ind w:left="40"/>
              <w:spacing w:after="0"/>
              <w:rPr>
                <w:sz w:val="20"/>
                <w:szCs w:val="20"/>
                <w:color w:val="auto"/>
              </w:rPr>
            </w:pPr>
            <w:r>
              <w:rPr>
                <w:rFonts w:ascii="Arial" w:cs="Arial" w:eastAsia="Arial" w:hAnsi="Arial"/>
                <w:sz w:val="18"/>
                <w:szCs w:val="18"/>
                <w:color w:val="auto"/>
              </w:rPr>
              <w:t>Net periodic benefit cost (income)</w:t>
            </w:r>
          </w:p>
        </w:tc>
        <w:tc>
          <w:tcPr>
            <w:tcW w:w="26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88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68</w:t>
            </w:r>
          </w:p>
        </w:tc>
        <w:tc>
          <w:tcPr>
            <w:tcW w:w="100" w:type="dxa"/>
            <w:vAlign w:val="bottom"/>
            <w:shd w:val="clear" w:color="auto" w:fill="CCEEFF"/>
          </w:tcPr>
          <w:p>
            <w:pPr>
              <w:spacing w:after="0"/>
              <w:rPr>
                <w:sz w:val="21"/>
                <w:szCs w:val="21"/>
                <w:color w:val="auto"/>
              </w:rPr>
            </w:pPr>
          </w:p>
        </w:tc>
        <w:tc>
          <w:tcPr>
            <w:tcW w:w="340" w:type="dxa"/>
            <w:vAlign w:val="bottom"/>
            <w:shd w:val="clear" w:color="auto" w:fill="CCEEFF"/>
          </w:tcPr>
          <w:p>
            <w:pPr>
              <w:ind w:left="40"/>
              <w:spacing w:after="0"/>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spacing w:after="0"/>
              <w:rPr>
                <w:sz w:val="21"/>
                <w:szCs w:val="21"/>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(59)</w:t>
            </w:r>
          </w:p>
        </w:tc>
        <w:tc>
          <w:tcPr>
            <w:tcW w:w="40" w:type="dxa"/>
            <w:vAlign w:val="bottom"/>
            <w:shd w:val="clear" w:color="auto" w:fill="CCEEFF"/>
          </w:tcPr>
          <w:p>
            <w:pPr>
              <w:spacing w:after="0"/>
              <w:rPr>
                <w:sz w:val="21"/>
                <w:szCs w:val="21"/>
                <w:color w:val="auto"/>
              </w:rPr>
            </w:pPr>
          </w:p>
        </w:tc>
        <w:tc>
          <w:tcPr>
            <w:tcW w:w="440" w:type="dxa"/>
            <w:vAlign w:val="bottom"/>
            <w:gridSpan w:val="2"/>
            <w:shd w:val="clear" w:color="auto" w:fill="CCEEFF"/>
          </w:tcPr>
          <w:p>
            <w:pPr>
              <w:jc w:val="right"/>
              <w:ind w:right="150"/>
              <w:spacing w:after="0"/>
              <w:rPr>
                <w:sz w:val="20"/>
                <w:szCs w:val="20"/>
                <w:color w:val="auto"/>
              </w:rPr>
            </w:pPr>
            <w:r>
              <w:rPr>
                <w:rFonts w:ascii="Arial" w:cs="Arial" w:eastAsia="Arial" w:hAnsi="Arial"/>
                <w:sz w:val="18"/>
                <w:szCs w:val="18"/>
                <w:color w:val="auto"/>
              </w:rPr>
              <w:t>$</w:t>
            </w:r>
          </w:p>
        </w:tc>
        <w:tc>
          <w:tcPr>
            <w:tcW w:w="780" w:type="dxa"/>
            <w:vAlign w:val="bottom"/>
            <w:gridSpan w:val="3"/>
            <w:shd w:val="clear" w:color="auto" w:fill="CCEEFF"/>
          </w:tcPr>
          <w:p>
            <w:pPr>
              <w:jc w:val="right"/>
              <w:ind w:right="48"/>
              <w:spacing w:after="0"/>
              <w:rPr>
                <w:sz w:val="20"/>
                <w:szCs w:val="20"/>
                <w:color w:val="auto"/>
              </w:rPr>
            </w:pPr>
            <w:r>
              <w:rPr>
                <w:rFonts w:ascii="Arial" w:cs="Arial" w:eastAsia="Arial" w:hAnsi="Arial"/>
                <w:sz w:val="18"/>
                <w:szCs w:val="18"/>
                <w:color w:val="auto"/>
              </w:rPr>
              <w:t>106</w:t>
            </w:r>
          </w:p>
        </w:tc>
        <w:tc>
          <w:tcPr>
            <w:tcW w:w="100" w:type="dxa"/>
            <w:vAlign w:val="bottom"/>
            <w:shd w:val="clear" w:color="auto" w:fill="CCEEFF"/>
          </w:tcPr>
          <w:p>
            <w:pPr>
              <w:spacing w:after="0"/>
              <w:rPr>
                <w:sz w:val="21"/>
                <w:szCs w:val="21"/>
                <w:color w:val="auto"/>
              </w:rPr>
            </w:pPr>
          </w:p>
        </w:tc>
        <w:tc>
          <w:tcPr>
            <w:tcW w:w="640" w:type="dxa"/>
            <w:vAlign w:val="bottom"/>
            <w:shd w:val="clear" w:color="auto" w:fill="CCEEFF"/>
          </w:tcPr>
          <w:p>
            <w:pPr>
              <w:jc w:val="right"/>
              <w:ind w:right="434"/>
              <w:spacing w:after="0"/>
              <w:rPr>
                <w:sz w:val="20"/>
                <w:szCs w:val="20"/>
                <w:color w:val="auto"/>
              </w:rPr>
            </w:pPr>
            <w:r>
              <w:rPr>
                <w:rFonts w:ascii="Arial" w:cs="Arial" w:eastAsia="Arial" w:hAnsi="Arial"/>
                <w:sz w:val="18"/>
                <w:szCs w:val="18"/>
                <w:color w:val="auto"/>
                <w:w w:val="99"/>
              </w:rPr>
              <w:t>$</w:t>
            </w:r>
          </w:p>
        </w:tc>
        <w:tc>
          <w:tcPr>
            <w:tcW w:w="50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(246)</w:t>
            </w:r>
          </w:p>
        </w:tc>
        <w:tc>
          <w:tcPr>
            <w:tcW w:w="20" w:type="dxa"/>
            <w:vAlign w:val="bottom"/>
            <w:shd w:val="clear" w:color="auto" w:fill="CCEEFF"/>
          </w:tcPr>
          <w:p>
            <w:pPr>
              <w:spacing w:after="0"/>
              <w:rPr>
                <w:sz w:val="21"/>
                <w:szCs w:val="21"/>
                <w:color w:val="auto"/>
              </w:rPr>
            </w:pPr>
          </w:p>
        </w:tc>
        <w:tc>
          <w:tcPr>
            <w:tcW w:w="30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94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(241)</w:t>
            </w:r>
          </w:p>
        </w:tc>
        <w:tc>
          <w:tcPr>
            <w:tcW w:w="120" w:type="dxa"/>
            <w:vAlign w:val="bottom"/>
            <w:shd w:val="clear" w:color="auto" w:fill="CCEEFF"/>
          </w:tcPr>
          <w:p>
            <w:pPr>
              <w:spacing w:after="0"/>
              <w:rPr>
                <w:sz w:val="21"/>
                <w:szCs w:val="21"/>
                <w:color w:val="auto"/>
              </w:rPr>
            </w:pPr>
          </w:p>
        </w:tc>
        <w:tc>
          <w:tcPr>
            <w:tcW w:w="2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(238)</w:t>
            </w:r>
          </w:p>
        </w:tc>
      </w:tr>
      <w:tr>
        <w:trPr>
          <w:trHeight w:val="20"/>
        </w:trPr>
        <w:tc>
          <w:tcPr>
            <w:tcW w:w="40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Borders>
              <w:top w:val="single" w:sz="8" w:color="CCEEFF"/>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r>
    </w:tbl>
    <w:p>
      <w:pPr>
        <w:spacing w:after="0" w:line="377" w:lineRule="exact"/>
        <w:rPr>
          <w:sz w:val="20"/>
          <w:szCs w:val="20"/>
          <w:color w:val="auto"/>
        </w:rPr>
      </w:pPr>
    </w:p>
    <w:p>
      <w:pPr>
        <w:jc w:val="both"/>
        <w:ind w:firstLine="243"/>
        <w:spacing w:after="0" w:line="262" w:lineRule="auto"/>
        <w:rPr>
          <w:sz w:val="20"/>
          <w:szCs w:val="20"/>
          <w:color w:val="auto"/>
        </w:rPr>
      </w:pPr>
      <w:r>
        <w:rPr>
          <w:rFonts w:ascii="Arial" w:cs="Arial" w:eastAsia="Arial" w:hAnsi="Arial"/>
          <w:sz w:val="18"/>
          <w:szCs w:val="18"/>
          <w:color w:val="auto"/>
        </w:rPr>
        <w:t>The components of net periodic benefit cost (income) other than the service cost component are included in nonoperating other income, net in our consolidated statements of operations.</w:t>
      </w:r>
    </w:p>
    <w:p>
      <w:pPr>
        <w:spacing w:after="0" w:line="142" w:lineRule="exact"/>
        <w:rPr>
          <w:sz w:val="20"/>
          <w:szCs w:val="20"/>
          <w:color w:val="auto"/>
        </w:rPr>
      </w:pPr>
    </w:p>
    <w:p>
      <w:pPr>
        <w:jc w:val="both"/>
        <w:ind w:firstLine="243"/>
        <w:spacing w:after="0" w:line="262" w:lineRule="auto"/>
        <w:rPr>
          <w:sz w:val="20"/>
          <w:szCs w:val="20"/>
          <w:color w:val="auto"/>
        </w:rPr>
      </w:pPr>
      <w:r>
        <w:rPr>
          <w:rFonts w:ascii="Arial" w:cs="Arial" w:eastAsia="Arial" w:hAnsi="Arial"/>
          <w:sz w:val="18"/>
          <w:szCs w:val="18"/>
          <w:color w:val="auto"/>
        </w:rPr>
        <w:t>The estimated amount of unrecognized actuarial net loss and prior service cost for the defined benefit pension plans that will be amortized from AOCI into net periodic benefit cost over the next fiscal year is $194 million.</w:t>
      </w:r>
    </w:p>
    <w:p>
      <w:pPr>
        <w:spacing w:after="0" w:line="142" w:lineRule="exact"/>
        <w:rPr>
          <w:sz w:val="20"/>
          <w:szCs w:val="20"/>
          <w:color w:val="auto"/>
        </w:rPr>
      </w:pPr>
    </w:p>
    <w:p>
      <w:pPr>
        <w:jc w:val="both"/>
        <w:ind w:right="20" w:firstLine="243"/>
        <w:spacing w:after="0" w:line="262" w:lineRule="auto"/>
        <w:rPr>
          <w:sz w:val="20"/>
          <w:szCs w:val="20"/>
          <w:color w:val="auto"/>
        </w:rPr>
      </w:pPr>
      <w:r>
        <w:rPr>
          <w:rFonts w:ascii="Arial" w:cs="Arial" w:eastAsia="Arial" w:hAnsi="Arial"/>
          <w:sz w:val="18"/>
          <w:szCs w:val="18"/>
          <w:color w:val="auto"/>
        </w:rPr>
        <w:t>The estimated amount of unrecognized actuarial net gain and prior service benefit for the retiree medical and other postretirement benefits plans that will be amortized from AOCI into net periodic benefit cost over the next fiscal year is $167 million.</w:t>
      </w:r>
    </w:p>
    <w:p>
      <w:pPr>
        <w:spacing w:after="0" w:line="19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100</w:t>
      </w:r>
    </w:p>
    <w:p>
      <w:pPr>
        <w:sectPr>
          <w:pgSz w:w="11900" w:h="16838" w:orient="portrait"/>
          <w:cols w:equalWidth="0" w:num="1">
            <w:col w:w="11420"/>
          </w:cols>
          <w:pgMar w:left="240" w:top="549" w:right="239" w:bottom="1440" w:gutter="0" w:footer="0" w:header="0"/>
        </w:sectPr>
      </w:pPr>
    </w:p>
    <w:bookmarkStart w:id="100" w:name="page101"/>
    <w:bookmarkEnd w:id="100"/>
    <w:p>
      <w:pPr>
        <w:jc w:val="center"/>
        <w:spacing w:after="0"/>
        <w:rPr>
          <w:sz w:val="20"/>
          <w:szCs w:val="20"/>
          <w:color w:val="auto"/>
        </w:rPr>
      </w:pPr>
      <w:r>
        <w:rPr>
          <w:rFonts w:ascii="Arial" w:cs="Arial" w:eastAsia="Arial" w:hAnsi="Arial"/>
          <w:sz w:val="18"/>
          <w:szCs w:val="18"/>
          <w:b w:val="1"/>
          <w:bCs w:val="1"/>
          <w:color w:val="auto"/>
        </w:rPr>
        <w:t>NOTES TO CONSOLIDATED FINANCIAL STATEMENTS OF AMERICAN AIRLINES GROUP INC.</w:t>
      </w:r>
    </w:p>
    <w:p>
      <w:pPr>
        <w:spacing w:after="0" w:line="200" w:lineRule="exact"/>
        <w:rPr>
          <w:sz w:val="20"/>
          <w:szCs w:val="20"/>
          <w:color w:val="auto"/>
        </w:rPr>
      </w:pPr>
    </w:p>
    <w:p>
      <w:pPr>
        <w:spacing w:after="0" w:line="268" w:lineRule="exact"/>
        <w:rPr>
          <w:sz w:val="20"/>
          <w:szCs w:val="20"/>
          <w:color w:val="auto"/>
        </w:rPr>
      </w:pPr>
    </w:p>
    <w:p>
      <w:pPr>
        <w:ind w:left="220"/>
        <w:spacing w:after="0"/>
        <w:rPr>
          <w:sz w:val="20"/>
          <w:szCs w:val="20"/>
          <w:color w:val="auto"/>
        </w:rPr>
      </w:pPr>
      <w:r>
        <w:rPr>
          <w:rFonts w:ascii="Arial" w:cs="Arial" w:eastAsia="Arial" w:hAnsi="Arial"/>
          <w:sz w:val="18"/>
          <w:szCs w:val="18"/>
          <w:b w:val="1"/>
          <w:bCs w:val="1"/>
          <w:i w:val="1"/>
          <w:iCs w:val="1"/>
          <w:color w:val="auto"/>
        </w:rPr>
        <w:t>Assumptions</w:t>
      </w:r>
    </w:p>
    <w:p>
      <w:pPr>
        <w:spacing w:after="0" w:line="112" w:lineRule="exact"/>
        <w:rPr>
          <w:sz w:val="20"/>
          <w:szCs w:val="20"/>
          <w:color w:val="auto"/>
        </w:rPr>
      </w:pPr>
    </w:p>
    <w:p>
      <w:pPr>
        <w:ind w:right="20" w:firstLine="216"/>
        <w:spacing w:after="0" w:line="262" w:lineRule="auto"/>
        <w:rPr>
          <w:sz w:val="20"/>
          <w:szCs w:val="20"/>
          <w:color w:val="auto"/>
        </w:rPr>
      </w:pPr>
      <w:r>
        <w:rPr>
          <w:rFonts w:ascii="Arial" w:cs="Arial" w:eastAsia="Arial" w:hAnsi="Arial"/>
          <w:sz w:val="18"/>
          <w:szCs w:val="18"/>
          <w:color w:val="auto"/>
        </w:rPr>
        <w:t>The following actuarial assumptions were used to determine our benefit obligations and net periodic benefit cost (income) for the periods presented:</w:t>
      </w:r>
    </w:p>
    <w:p>
      <w:pPr>
        <w:sectPr>
          <w:pgSz w:w="11900" w:h="16838" w:orient="portrait"/>
          <w:cols w:equalWidth="0" w:num="1">
            <w:col w:w="11420"/>
          </w:cols>
          <w:pgMar w:left="240" w:top="549" w:right="2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6" w:lineRule="exact"/>
        <w:rPr>
          <w:sz w:val="20"/>
          <w:szCs w:val="20"/>
          <w:color w:val="auto"/>
        </w:rPr>
      </w:pPr>
    </w:p>
    <w:p>
      <w:pPr>
        <w:ind w:left="40"/>
        <w:spacing w:after="0"/>
        <w:rPr>
          <w:sz w:val="20"/>
          <w:szCs w:val="20"/>
          <w:color w:val="auto"/>
        </w:rPr>
      </w:pPr>
      <w:r>
        <w:rPr>
          <w:rFonts w:ascii="Arial" w:cs="Arial" w:eastAsia="Arial" w:hAnsi="Arial"/>
          <w:sz w:val="18"/>
          <w:szCs w:val="18"/>
          <w:u w:val="single" w:color="auto"/>
          <w:color w:val="auto"/>
        </w:rPr>
        <w:t>Benefit obligations:</w:t>
      </w:r>
    </w:p>
    <w:p>
      <w:pPr>
        <w:spacing w:after="0" w:line="77" w:lineRule="exact"/>
        <w:rPr>
          <w:sz w:val="20"/>
          <w:szCs w:val="20"/>
          <w:color w:val="auto"/>
        </w:rPr>
      </w:pPr>
    </w:p>
    <w:p>
      <w:pPr>
        <w:ind w:left="40"/>
        <w:spacing w:after="0"/>
        <w:rPr>
          <w:sz w:val="20"/>
          <w:szCs w:val="20"/>
          <w:color w:val="auto"/>
        </w:rPr>
      </w:pPr>
      <w:r>
        <w:rPr>
          <w:rFonts w:ascii="Arial" w:cs="Arial" w:eastAsia="Arial" w:hAnsi="Arial"/>
          <w:sz w:val="18"/>
          <w:szCs w:val="18"/>
          <w:color w:val="auto"/>
        </w:rPr>
        <w:t>Weighted average discount rate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40"/>
        <w:spacing w:after="0"/>
        <w:rPr>
          <w:sz w:val="20"/>
          <w:szCs w:val="20"/>
          <w:color w:val="auto"/>
        </w:rPr>
      </w:pPr>
      <w:r>
        <w:rPr>
          <w:rFonts w:ascii="Arial" w:cs="Arial" w:eastAsia="Arial" w:hAnsi="Arial"/>
          <w:sz w:val="18"/>
          <w:szCs w:val="18"/>
          <w:u w:val="single" w:color="auto"/>
          <w:color w:val="auto"/>
        </w:rPr>
        <w:t>Net periodic benefit cost (income):</w:t>
      </w:r>
    </w:p>
    <w:p>
      <w:pPr>
        <w:spacing w:after="0" w:line="77" w:lineRule="exact"/>
        <w:rPr>
          <w:sz w:val="20"/>
          <w:szCs w:val="20"/>
          <w:color w:val="auto"/>
        </w:rPr>
      </w:pPr>
    </w:p>
    <w:p>
      <w:pPr>
        <w:ind w:left="40"/>
        <w:spacing w:after="0"/>
        <w:rPr>
          <w:sz w:val="20"/>
          <w:szCs w:val="20"/>
          <w:color w:val="auto"/>
        </w:rPr>
      </w:pPr>
      <w:r>
        <w:rPr>
          <w:rFonts w:ascii="Arial" w:cs="Arial" w:eastAsia="Arial" w:hAnsi="Arial"/>
          <w:sz w:val="18"/>
          <w:szCs w:val="18"/>
          <w:color w:val="auto"/>
        </w:rPr>
        <w:t>Weighted average discount rate</w:t>
      </w:r>
    </w:p>
    <w:p>
      <w:pPr>
        <w:spacing w:after="0" w:line="63" w:lineRule="exact"/>
        <w:rPr>
          <w:sz w:val="20"/>
          <w:szCs w:val="20"/>
          <w:color w:val="auto"/>
        </w:rPr>
      </w:pPr>
    </w:p>
    <w:p>
      <w:pPr>
        <w:ind w:left="40"/>
        <w:spacing w:after="0"/>
        <w:rPr>
          <w:sz w:val="20"/>
          <w:szCs w:val="20"/>
          <w:color w:val="auto"/>
        </w:rPr>
      </w:pPr>
      <w:r>
        <w:rPr>
          <w:rFonts w:ascii="Arial" w:cs="Arial" w:eastAsia="Arial" w:hAnsi="Arial"/>
          <w:sz w:val="17"/>
          <w:szCs w:val="17"/>
          <w:color w:val="auto"/>
        </w:rPr>
        <w:t>Weighted average expected rate of return on plan assets</w:t>
      </w:r>
    </w:p>
    <w:p>
      <w:pPr>
        <w:spacing w:after="0" w:line="75" w:lineRule="exact"/>
        <w:rPr>
          <w:sz w:val="20"/>
          <w:szCs w:val="20"/>
          <w:color w:val="auto"/>
        </w:rPr>
      </w:pPr>
    </w:p>
    <w:p>
      <w:pPr>
        <w:ind w:left="200" w:right="140" w:hanging="161"/>
        <w:spacing w:after="0" w:line="268" w:lineRule="auto"/>
        <w:rPr>
          <w:sz w:val="20"/>
          <w:szCs w:val="20"/>
          <w:color w:val="auto"/>
        </w:rPr>
      </w:pPr>
      <w:r>
        <w:rPr>
          <w:rFonts w:ascii="Arial" w:cs="Arial" w:eastAsia="Arial" w:hAnsi="Arial"/>
          <w:sz w:val="18"/>
          <w:szCs w:val="18"/>
          <w:color w:val="auto"/>
        </w:rPr>
        <w:t xml:space="preserve">Weighted average health care cost trend rate assumed for next year </w:t>
      </w:r>
      <w:r>
        <w:rPr>
          <w:rFonts w:ascii="Arial" w:cs="Arial" w:eastAsia="Arial" w:hAnsi="Arial"/>
          <w:sz w:val="21"/>
          <w:szCs w:val="21"/>
          <w:color w:val="auto"/>
          <w:vertAlign w:val="superscript"/>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120015</wp:posOffset>
            </wp:positionV>
            <wp:extent cx="1337945" cy="8890"/>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1337945" cy="889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34" w:lineRule="exact"/>
        <w:rPr>
          <w:sz w:val="20"/>
          <w:szCs w:val="20"/>
          <w:color w:val="auto"/>
        </w:rPr>
      </w:pPr>
    </w:p>
    <w:p>
      <w:pPr>
        <w:jc w:val="center"/>
        <w:ind w:left="-679"/>
        <w:spacing w:after="0"/>
        <w:rPr>
          <w:sz w:val="20"/>
          <w:szCs w:val="20"/>
          <w:color w:val="auto"/>
        </w:rPr>
      </w:pPr>
      <w:r>
        <w:rPr>
          <w:rFonts w:ascii="Arial" w:cs="Arial" w:eastAsia="Arial" w:hAnsi="Arial"/>
          <w:sz w:val="14"/>
          <w:szCs w:val="14"/>
          <w:b w:val="1"/>
          <w:bCs w:val="1"/>
          <w:color w:val="auto"/>
        </w:rPr>
        <w:t>Pension Benefits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97790</wp:posOffset>
            </wp:positionH>
            <wp:positionV relativeFrom="paragraph">
              <wp:posOffset>26035</wp:posOffset>
            </wp:positionV>
            <wp:extent cx="1964055" cy="8890"/>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1964055" cy="8890"/>
                    </a:xfrm>
                    <a:prstGeom prst="rect">
                      <a:avLst/>
                    </a:prstGeom>
                    <a:noFill/>
                  </pic:spPr>
                </pic:pic>
              </a:graphicData>
            </a:graphic>
          </wp:anchor>
        </w:drawing>
      </w:r>
    </w:p>
    <w:p>
      <w:pPr>
        <w:spacing w:after="0" w:line="103" w:lineRule="exact"/>
        <w:rPr>
          <w:sz w:val="20"/>
          <w:szCs w:val="20"/>
          <w:color w:val="auto"/>
        </w:rPr>
      </w:pPr>
    </w:p>
    <w:p>
      <w:pPr>
        <w:ind w:left="740"/>
        <w:spacing w:after="0"/>
        <w:tabs>
          <w:tab w:leader="none" w:pos="2320" w:val="left"/>
        </w:tabs>
        <w:rPr>
          <w:sz w:val="20"/>
          <w:szCs w:val="20"/>
          <w:color w:val="auto"/>
        </w:rPr>
      </w:pPr>
      <w:r>
        <w:rPr>
          <w:rFonts w:ascii="Arial" w:cs="Arial" w:eastAsia="Arial" w:hAnsi="Arial"/>
          <w:sz w:val="14"/>
          <w:szCs w:val="14"/>
          <w:b w:val="1"/>
          <w:bCs w:val="1"/>
          <w:color w:val="auto"/>
        </w:rPr>
        <w:t>2019</w:t>
      </w:r>
      <w:r>
        <w:rPr>
          <w:sz w:val="20"/>
          <w:szCs w:val="20"/>
          <w:color w:val="auto"/>
        </w:rPr>
        <w:tab/>
      </w:r>
      <w:r>
        <w:rPr>
          <w:rFonts w:ascii="Arial" w:cs="Arial" w:eastAsia="Arial" w:hAnsi="Arial"/>
          <w:sz w:val="14"/>
          <w:szCs w:val="14"/>
          <w:b w:val="1"/>
          <w:bCs w:val="1"/>
          <w:color w:val="auto"/>
        </w:rPr>
        <w:t>2018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-3169285</wp:posOffset>
            </wp:positionH>
            <wp:positionV relativeFrom="paragraph">
              <wp:posOffset>26035</wp:posOffset>
            </wp:positionV>
            <wp:extent cx="7246620" cy="180340"/>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246620" cy="180340"/>
                    </a:xfrm>
                    <a:prstGeom prst="rect">
                      <a:avLst/>
                    </a:prstGeom>
                    <a:noFill/>
                  </pic:spPr>
                </pic:pic>
              </a:graphicData>
            </a:graphic>
          </wp:anchor>
        </w:drawing>
      </w:r>
    </w:p>
    <w:p>
      <w:pPr>
        <w:spacing w:after="0" w:line="345" w:lineRule="exact"/>
        <w:rPr>
          <w:sz w:val="20"/>
          <w:szCs w:val="20"/>
          <w:color w:val="auto"/>
        </w:rPr>
      </w:pPr>
    </w:p>
    <w:p>
      <w:pPr>
        <w:jc w:val="right"/>
        <w:ind w:right="20"/>
        <w:spacing w:after="0"/>
        <w:tabs>
          <w:tab w:leader="none" w:pos="400" w:val="left"/>
        </w:tabs>
        <w:rPr>
          <w:sz w:val="20"/>
          <w:szCs w:val="20"/>
          <w:color w:val="auto"/>
        </w:rPr>
      </w:pPr>
      <w:r>
        <w:rPr>
          <w:rFonts w:ascii="Arial" w:cs="Arial" w:eastAsia="Arial" w:hAnsi="Arial"/>
          <w:sz w:val="18"/>
          <w:szCs w:val="18"/>
          <w:color w:val="auto"/>
        </w:rPr>
        <w:t>3.4%</w:t>
      </w:r>
      <w:r>
        <w:rPr>
          <w:sz w:val="20"/>
          <w:szCs w:val="20"/>
          <w:color w:val="auto"/>
        </w:rPr>
        <w:tab/>
      </w:r>
      <w:r>
        <w:rPr>
          <w:rFonts w:ascii="Arial" w:cs="Arial" w:eastAsia="Arial" w:hAnsi="Arial"/>
          <w:sz w:val="17"/>
          <w:szCs w:val="17"/>
          <w:color w:val="auto"/>
        </w:rPr>
        <w:t>4.4%</w:t>
      </w:r>
    </w:p>
    <w:p>
      <w:pPr>
        <w:spacing w:after="0" w:line="200" w:lineRule="exact"/>
        <w:rPr>
          <w:sz w:val="20"/>
          <w:szCs w:val="20"/>
          <w:color w:val="auto"/>
        </w:rPr>
      </w:pPr>
    </w:p>
    <w:p>
      <w:pPr>
        <w:spacing w:after="0" w:line="350" w:lineRule="exact"/>
        <w:rPr>
          <w:sz w:val="20"/>
          <w:szCs w:val="20"/>
          <w:color w:val="auto"/>
        </w:rPr>
      </w:pPr>
    </w:p>
    <w:p>
      <w:pPr>
        <w:jc w:val="center"/>
        <w:ind w:right="20"/>
        <w:spacing w:after="0"/>
        <w:rPr>
          <w:sz w:val="20"/>
          <w:szCs w:val="20"/>
          <w:color w:val="auto"/>
        </w:rPr>
      </w:pPr>
      <w:r>
        <w:rPr>
          <w:rFonts w:ascii="Arial" w:cs="Arial" w:eastAsia="Arial" w:hAnsi="Arial"/>
          <w:sz w:val="14"/>
          <w:szCs w:val="14"/>
          <w:b w:val="1"/>
          <w:bCs w:val="1"/>
          <w:color w:val="auto"/>
        </w:rPr>
        <w:t>Pension Benefits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-193675</wp:posOffset>
            </wp:positionH>
            <wp:positionV relativeFrom="paragraph">
              <wp:posOffset>26035</wp:posOffset>
            </wp:positionV>
            <wp:extent cx="2109470" cy="8890"/>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2109470" cy="8890"/>
                    </a:xfrm>
                    <a:prstGeom prst="rect">
                      <a:avLst/>
                    </a:prstGeom>
                    <a:noFill/>
                  </pic:spPr>
                </pic:pic>
              </a:graphicData>
            </a:graphic>
          </wp:anchor>
        </w:drawing>
      </w:r>
    </w:p>
    <w:p>
      <w:pPr>
        <w:spacing w:after="0" w:line="103" w:lineRule="exact"/>
        <w:rPr>
          <w:sz w:val="20"/>
          <w:szCs w:val="20"/>
          <w:color w:val="auto"/>
        </w:rPr>
      </w:pPr>
    </w:p>
    <w:p>
      <w:pPr>
        <w:ind w:left="60"/>
        <w:spacing w:after="0"/>
        <w:tabs>
          <w:tab w:leader="none" w:pos="1180" w:val="left"/>
          <w:tab w:leader="none" w:pos="2320" w:val="left"/>
        </w:tabs>
        <w:rPr>
          <w:sz w:val="20"/>
          <w:szCs w:val="20"/>
          <w:color w:val="auto"/>
        </w:rPr>
      </w:pPr>
      <w:r>
        <w:rPr>
          <w:rFonts w:ascii="Arial" w:cs="Arial" w:eastAsia="Arial" w:hAnsi="Arial"/>
          <w:sz w:val="14"/>
          <w:szCs w:val="14"/>
          <w:b w:val="1"/>
          <w:bCs w:val="1"/>
          <w:color w:val="auto"/>
        </w:rPr>
        <w:t>2019</w:t>
      </w:r>
      <w:r>
        <w:rPr>
          <w:sz w:val="20"/>
          <w:szCs w:val="20"/>
          <w:color w:val="auto"/>
        </w:rPr>
        <w:tab/>
      </w:r>
      <w:r>
        <w:rPr>
          <w:rFonts w:ascii="Arial" w:cs="Arial" w:eastAsia="Arial" w:hAnsi="Arial"/>
          <w:sz w:val="14"/>
          <w:szCs w:val="14"/>
          <w:b w:val="1"/>
          <w:bCs w:val="1"/>
          <w:color w:val="auto"/>
        </w:rPr>
        <w:t>2018</w:t>
      </w:r>
      <w:r>
        <w:rPr>
          <w:sz w:val="20"/>
          <w:szCs w:val="20"/>
          <w:color w:val="auto"/>
        </w:rPr>
        <w:tab/>
      </w:r>
      <w:r>
        <w:rPr>
          <w:rFonts w:ascii="Arial" w:cs="Arial" w:eastAsia="Arial" w:hAnsi="Arial"/>
          <w:sz w:val="14"/>
          <w:szCs w:val="14"/>
          <w:b w:val="1"/>
          <w:bCs w:val="1"/>
          <w:color w:val="auto"/>
        </w:rPr>
        <w:t>2017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-3169285</wp:posOffset>
            </wp:positionH>
            <wp:positionV relativeFrom="paragraph">
              <wp:posOffset>26035</wp:posOffset>
            </wp:positionV>
            <wp:extent cx="7246620" cy="180340"/>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246620" cy="180340"/>
                    </a:xfrm>
                    <a:prstGeom prst="rect">
                      <a:avLst/>
                    </a:prstGeom>
                    <a:noFill/>
                  </pic:spPr>
                </pic:pic>
              </a:graphicData>
            </a:graphic>
          </wp:anchor>
        </w:drawing>
      </w:r>
    </w:p>
    <w:p>
      <w:pPr>
        <w:spacing w:after="0" w:line="345" w:lineRule="exact"/>
        <w:rPr>
          <w:sz w:val="20"/>
          <w:szCs w:val="20"/>
          <w:color w:val="auto"/>
        </w:rPr>
      </w:pPr>
    </w:p>
    <w:p>
      <w:pPr>
        <w:spacing w:after="0"/>
        <w:tabs>
          <w:tab w:leader="none" w:pos="1140" w:val="left"/>
          <w:tab w:leader="none" w:pos="2280" w:val="left"/>
        </w:tabs>
        <w:rPr>
          <w:sz w:val="20"/>
          <w:szCs w:val="20"/>
          <w:color w:val="auto"/>
        </w:rPr>
      </w:pPr>
      <w:r>
        <w:rPr>
          <w:rFonts w:ascii="Arial" w:cs="Arial" w:eastAsia="Arial" w:hAnsi="Arial"/>
          <w:sz w:val="18"/>
          <w:szCs w:val="18"/>
          <w:color w:val="auto"/>
        </w:rPr>
        <w:t>4.4%</w:t>
      </w:r>
      <w:r>
        <w:rPr>
          <w:sz w:val="20"/>
          <w:szCs w:val="20"/>
          <w:color w:val="auto"/>
        </w:rPr>
        <w:tab/>
      </w:r>
      <w:r>
        <w:rPr>
          <w:rFonts w:ascii="Arial" w:cs="Arial" w:eastAsia="Arial" w:hAnsi="Arial"/>
          <w:sz w:val="18"/>
          <w:szCs w:val="18"/>
          <w:color w:val="auto"/>
        </w:rPr>
        <w:t>3.8%</w:t>
      </w:r>
      <w:r>
        <w:rPr>
          <w:sz w:val="20"/>
          <w:szCs w:val="20"/>
          <w:color w:val="auto"/>
        </w:rPr>
        <w:tab/>
      </w:r>
      <w:r>
        <w:rPr>
          <w:rFonts w:ascii="Arial" w:cs="Arial" w:eastAsia="Arial" w:hAnsi="Arial"/>
          <w:sz w:val="17"/>
          <w:szCs w:val="17"/>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-3169285</wp:posOffset>
            </wp:positionH>
            <wp:positionV relativeFrom="paragraph">
              <wp:posOffset>14605</wp:posOffset>
            </wp:positionV>
            <wp:extent cx="7246620" cy="171450"/>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246620" cy="171450"/>
                    </a:xfrm>
                    <a:prstGeom prst="rect">
                      <a:avLst/>
                    </a:prstGeom>
                    <a:noFill/>
                  </pic:spPr>
                </pic:pic>
              </a:graphicData>
            </a:graphic>
          </wp:anchor>
        </w:drawing>
      </w:r>
    </w:p>
    <w:p>
      <w:pPr>
        <w:spacing w:after="0" w:line="43" w:lineRule="exact"/>
        <w:rPr>
          <w:sz w:val="20"/>
          <w:szCs w:val="20"/>
          <w:color w:val="auto"/>
        </w:rPr>
      </w:pPr>
    </w:p>
    <w:p>
      <w:pPr>
        <w:spacing w:after="0"/>
        <w:tabs>
          <w:tab w:leader="none" w:pos="1140" w:val="left"/>
          <w:tab w:leader="none" w:pos="2280" w:val="left"/>
        </w:tabs>
        <w:rPr>
          <w:sz w:val="20"/>
          <w:szCs w:val="20"/>
          <w:color w:val="auto"/>
        </w:rPr>
      </w:pPr>
      <w:r>
        <w:rPr>
          <w:rFonts w:ascii="Arial" w:cs="Arial" w:eastAsia="Arial" w:hAnsi="Arial"/>
          <w:sz w:val="18"/>
          <w:szCs w:val="18"/>
          <w:color w:val="auto"/>
        </w:rPr>
        <w:t>8.0%</w:t>
      </w:r>
      <w:r>
        <w:rPr>
          <w:sz w:val="20"/>
          <w:szCs w:val="20"/>
          <w:color w:val="auto"/>
        </w:rPr>
        <w:tab/>
      </w:r>
      <w:r>
        <w:rPr>
          <w:rFonts w:ascii="Arial" w:cs="Arial" w:eastAsia="Arial" w:hAnsi="Arial"/>
          <w:sz w:val="18"/>
          <w:szCs w:val="18"/>
          <w:color w:val="auto"/>
        </w:rPr>
        <w:t>8.0%</w:t>
      </w:r>
      <w:r>
        <w:rPr>
          <w:sz w:val="20"/>
          <w:szCs w:val="20"/>
          <w:color w:val="auto"/>
        </w:rPr>
        <w:tab/>
      </w:r>
      <w:r>
        <w:rPr>
          <w:rFonts w:ascii="Arial" w:cs="Arial" w:eastAsia="Arial" w:hAnsi="Arial"/>
          <w:sz w:val="17"/>
          <w:szCs w:val="17"/>
          <w:color w:val="auto"/>
        </w:rPr>
        <w:t>8.0%</w:t>
      </w:r>
    </w:p>
    <w:p>
      <w:pPr>
        <w:spacing w:after="0" w:line="252" w:lineRule="exact"/>
        <w:rPr>
          <w:sz w:val="20"/>
          <w:szCs w:val="20"/>
          <w:color w:val="auto"/>
        </w:rPr>
      </w:pPr>
    </w:p>
    <w:p>
      <w:pPr>
        <w:ind w:left="60"/>
        <w:spacing w:after="0"/>
        <w:tabs>
          <w:tab w:leader="none" w:pos="1200" w:val="left"/>
          <w:tab w:leader="none" w:pos="2340" w:val="left"/>
        </w:tabs>
        <w:rPr>
          <w:sz w:val="20"/>
          <w:szCs w:val="20"/>
          <w:color w:val="auto"/>
        </w:rPr>
      </w:pPr>
      <w:r>
        <w:rPr>
          <w:rFonts w:ascii="Arial" w:cs="Arial" w:eastAsia="Arial" w:hAnsi="Arial"/>
          <w:sz w:val="18"/>
          <w:szCs w:val="18"/>
          <w:color w:val="auto"/>
        </w:rPr>
        <w:t>N/A</w:t>
      </w:r>
      <w:r>
        <w:rPr>
          <w:sz w:val="20"/>
          <w:szCs w:val="20"/>
          <w:color w:val="auto"/>
        </w:rPr>
        <w:tab/>
      </w:r>
      <w:r>
        <w:rPr>
          <w:rFonts w:ascii="Arial" w:cs="Arial" w:eastAsia="Arial" w:hAnsi="Arial"/>
          <w:sz w:val="18"/>
          <w:szCs w:val="18"/>
          <w:color w:val="auto"/>
        </w:rPr>
        <w:t>N/A</w:t>
      </w:r>
      <w:r>
        <w:rPr>
          <w:sz w:val="20"/>
          <w:szCs w:val="20"/>
          <w:color w:val="auto"/>
        </w:rPr>
        <w:tab/>
      </w:r>
      <w:r>
        <w:rPr>
          <w:rFonts w:ascii="Arial" w:cs="Arial" w:eastAsia="Arial" w:hAnsi="Arial"/>
          <w:sz w:val="17"/>
          <w:szCs w:val="17"/>
          <w:color w:val="auto"/>
        </w:rPr>
        <w:t>N/A</w:t>
      </w:r>
    </w:p>
    <w:p>
      <w:pPr>
        <w:spacing w:after="0" w:line="20" w:lineRule="exact"/>
        <w:rPr>
          <w:sz w:val="20"/>
          <w:szCs w:val="20"/>
          <w:color w:val="auto"/>
        </w:rPr>
      </w:pPr>
      <w:r>
        <w:rPr>
          <w:sz w:val="20"/>
          <w:szCs w:val="20"/>
          <w:color w:val="auto"/>
        </w:rPr>
        <w:br w:type="column"/>
      </w:r>
    </w:p>
    <w:p>
      <w:pPr>
        <w:spacing w:after="0" w:line="272" w:lineRule="exact"/>
        <w:rPr>
          <w:sz w:val="20"/>
          <w:szCs w:val="20"/>
          <w:color w:val="auto"/>
        </w:rPr>
      </w:pPr>
    </w:p>
    <w:p>
      <w:pPr>
        <w:jc w:val="center"/>
        <w:ind w:right="60"/>
        <w:spacing w:after="0"/>
        <w:rPr>
          <w:sz w:val="20"/>
          <w:szCs w:val="20"/>
          <w:color w:val="auto"/>
        </w:rPr>
      </w:pPr>
      <w:r>
        <w:rPr>
          <w:rFonts w:ascii="Arial" w:cs="Arial" w:eastAsia="Arial" w:hAnsi="Arial"/>
          <w:sz w:val="14"/>
          <w:szCs w:val="14"/>
          <w:b w:val="1"/>
          <w:bCs w:val="1"/>
          <w:color w:val="auto"/>
        </w:rPr>
        <w:t>Retiree Medical and</w:t>
      </w:r>
    </w:p>
    <w:p>
      <w:pPr>
        <w:spacing w:after="0" w:line="19" w:lineRule="exact"/>
        <w:rPr>
          <w:sz w:val="20"/>
          <w:szCs w:val="20"/>
          <w:color w:val="auto"/>
        </w:rPr>
      </w:pPr>
    </w:p>
    <w:p>
      <w:pPr>
        <w:jc w:val="center"/>
        <w:ind w:right="60"/>
        <w:spacing w:after="0"/>
        <w:rPr>
          <w:sz w:val="20"/>
          <w:szCs w:val="20"/>
          <w:color w:val="auto"/>
        </w:rPr>
      </w:pPr>
      <w:r>
        <w:rPr>
          <w:rFonts w:ascii="Arial" w:cs="Arial" w:eastAsia="Arial" w:hAnsi="Arial"/>
          <w:sz w:val="14"/>
          <w:szCs w:val="14"/>
          <w:b w:val="1"/>
          <w:bCs w:val="1"/>
          <w:color w:val="auto"/>
        </w:rPr>
        <w:t>Other Postretirement Benefits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-45085</wp:posOffset>
            </wp:positionH>
            <wp:positionV relativeFrom="paragraph">
              <wp:posOffset>14605</wp:posOffset>
            </wp:positionV>
            <wp:extent cx="1938020" cy="8890"/>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1938020" cy="8890"/>
                    </a:xfrm>
                    <a:prstGeom prst="rect">
                      <a:avLst/>
                    </a:prstGeom>
                    <a:noFill/>
                  </pic:spPr>
                </pic:pic>
              </a:graphicData>
            </a:graphic>
          </wp:anchor>
        </w:drawing>
      </w:r>
    </w:p>
    <w:p>
      <w:pPr>
        <w:spacing w:after="0" w:line="85" w:lineRule="exact"/>
        <w:rPr>
          <w:sz w:val="20"/>
          <w:szCs w:val="20"/>
          <w:color w:val="auto"/>
        </w:rPr>
      </w:pPr>
    </w:p>
    <w:p>
      <w:pPr>
        <w:ind w:left="500"/>
        <w:spacing w:after="0"/>
        <w:tabs>
          <w:tab w:leader="none" w:pos="2060" w:val="left"/>
        </w:tabs>
        <w:rPr>
          <w:sz w:val="20"/>
          <w:szCs w:val="20"/>
          <w:color w:val="auto"/>
        </w:rPr>
      </w:pPr>
      <w:r>
        <w:rPr>
          <w:rFonts w:ascii="Arial" w:cs="Arial" w:eastAsia="Arial" w:hAnsi="Arial"/>
          <w:sz w:val="14"/>
          <w:szCs w:val="14"/>
          <w:b w:val="1"/>
          <w:bCs w:val="1"/>
          <w:color w:val="auto"/>
        </w:rPr>
        <w:t>2019</w:t>
      </w:r>
      <w:r>
        <w:rPr>
          <w:sz w:val="20"/>
          <w:szCs w:val="20"/>
          <w:color w:val="auto"/>
        </w:rPr>
        <w:tab/>
      </w:r>
      <w:r>
        <w:rPr>
          <w:rFonts w:ascii="Arial" w:cs="Arial" w:eastAsia="Arial" w:hAnsi="Arial"/>
          <w:sz w:val="14"/>
          <w:szCs w:val="14"/>
          <w:b w:val="1"/>
          <w:bCs w:val="1"/>
          <w:color w:val="auto"/>
        </w:rPr>
        <w:t>2018</w:t>
      </w:r>
    </w:p>
    <w:p>
      <w:pPr>
        <w:spacing w:after="0" w:line="365" w:lineRule="exact"/>
        <w:rPr>
          <w:sz w:val="20"/>
          <w:szCs w:val="20"/>
          <w:color w:val="auto"/>
        </w:rPr>
      </w:pPr>
    </w:p>
    <w:p>
      <w:pPr>
        <w:ind w:left="460"/>
        <w:spacing w:after="0"/>
        <w:tabs>
          <w:tab w:leader="none" w:pos="2020" w:val="left"/>
        </w:tabs>
        <w:rPr>
          <w:sz w:val="20"/>
          <w:szCs w:val="20"/>
          <w:color w:val="auto"/>
        </w:rPr>
      </w:pPr>
      <w:r>
        <w:rPr>
          <w:rFonts w:ascii="Arial" w:cs="Arial" w:eastAsia="Arial" w:hAnsi="Arial"/>
          <w:sz w:val="18"/>
          <w:szCs w:val="18"/>
          <w:color w:val="auto"/>
        </w:rPr>
        <w:t>3.3%</w:t>
      </w:r>
      <w:r>
        <w:rPr>
          <w:sz w:val="20"/>
          <w:szCs w:val="20"/>
          <w:color w:val="auto"/>
        </w:rPr>
        <w:tab/>
      </w:r>
      <w:r>
        <w:rPr>
          <w:rFonts w:ascii="Arial" w:cs="Arial" w:eastAsia="Arial" w:hAnsi="Arial"/>
          <w:sz w:val="17"/>
          <w:szCs w:val="17"/>
          <w:color w:val="auto"/>
        </w:rPr>
        <w:t>4.3%</w:t>
      </w:r>
    </w:p>
    <w:p>
      <w:pPr>
        <w:spacing w:after="0" w:line="388" w:lineRule="exact"/>
        <w:rPr>
          <w:sz w:val="20"/>
          <w:szCs w:val="20"/>
          <w:color w:val="auto"/>
        </w:rPr>
      </w:pPr>
    </w:p>
    <w:p>
      <w:pPr>
        <w:jc w:val="center"/>
        <w:ind w:right="300"/>
        <w:spacing w:after="0"/>
        <w:rPr>
          <w:sz w:val="20"/>
          <w:szCs w:val="20"/>
          <w:color w:val="auto"/>
        </w:rPr>
      </w:pPr>
      <w:r>
        <w:rPr>
          <w:rFonts w:ascii="Arial" w:cs="Arial" w:eastAsia="Arial" w:hAnsi="Arial"/>
          <w:sz w:val="14"/>
          <w:szCs w:val="14"/>
          <w:b w:val="1"/>
          <w:bCs w:val="1"/>
          <w:color w:val="auto"/>
        </w:rPr>
        <w:t>Retiree Medical and</w:t>
      </w:r>
    </w:p>
    <w:p>
      <w:pPr>
        <w:spacing w:after="0" w:line="19" w:lineRule="exact"/>
        <w:rPr>
          <w:sz w:val="20"/>
          <w:szCs w:val="20"/>
          <w:color w:val="auto"/>
        </w:rPr>
      </w:pPr>
    </w:p>
    <w:p>
      <w:pPr>
        <w:jc w:val="center"/>
        <w:ind w:right="300"/>
        <w:spacing w:after="0"/>
        <w:rPr>
          <w:sz w:val="20"/>
          <w:szCs w:val="20"/>
          <w:color w:val="auto"/>
        </w:rPr>
      </w:pPr>
      <w:r>
        <w:rPr>
          <w:rFonts w:ascii="Arial" w:cs="Arial" w:eastAsia="Arial" w:hAnsi="Arial"/>
          <w:sz w:val="14"/>
          <w:szCs w:val="14"/>
          <w:b w:val="1"/>
          <w:bCs w:val="1"/>
          <w:color w:val="auto"/>
        </w:rPr>
        <w:t>Other Postretirement Benefits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-199390</wp:posOffset>
            </wp:positionH>
            <wp:positionV relativeFrom="paragraph">
              <wp:posOffset>14605</wp:posOffset>
            </wp:positionV>
            <wp:extent cx="2092325" cy="8890"/>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2092325" cy="8890"/>
                    </a:xfrm>
                    <a:prstGeom prst="rect">
                      <a:avLst/>
                    </a:prstGeom>
                    <a:noFill/>
                  </pic:spPr>
                </pic:pic>
              </a:graphicData>
            </a:graphic>
          </wp:anchor>
        </w:drawing>
      </w:r>
    </w:p>
    <w:p>
      <w:pPr>
        <w:spacing w:after="0" w:line="85" w:lineRule="exact"/>
        <w:rPr>
          <w:sz w:val="20"/>
          <w:szCs w:val="20"/>
          <w:color w:val="auto"/>
        </w:rPr>
      </w:pPr>
    </w:p>
    <w:p>
      <w:pPr>
        <w:ind w:left="40"/>
        <w:spacing w:after="0"/>
        <w:tabs>
          <w:tab w:leader="none" w:pos="1160" w:val="left"/>
          <w:tab w:leader="none" w:pos="2280" w:val="left"/>
        </w:tabs>
        <w:rPr>
          <w:sz w:val="20"/>
          <w:szCs w:val="20"/>
          <w:color w:val="auto"/>
        </w:rPr>
      </w:pPr>
      <w:r>
        <w:rPr>
          <w:rFonts w:ascii="Arial" w:cs="Arial" w:eastAsia="Arial" w:hAnsi="Arial"/>
          <w:sz w:val="14"/>
          <w:szCs w:val="14"/>
          <w:b w:val="1"/>
          <w:bCs w:val="1"/>
          <w:color w:val="auto"/>
        </w:rPr>
        <w:t>2019</w:t>
      </w:r>
      <w:r>
        <w:rPr>
          <w:sz w:val="20"/>
          <w:szCs w:val="20"/>
          <w:color w:val="auto"/>
        </w:rPr>
        <w:tab/>
      </w:r>
      <w:r>
        <w:rPr>
          <w:rFonts w:ascii="Arial" w:cs="Arial" w:eastAsia="Arial" w:hAnsi="Arial"/>
          <w:sz w:val="14"/>
          <w:szCs w:val="14"/>
          <w:b w:val="1"/>
          <w:bCs w:val="1"/>
          <w:color w:val="auto"/>
        </w:rPr>
        <w:t>2018</w:t>
      </w:r>
      <w:r>
        <w:rPr>
          <w:sz w:val="20"/>
          <w:szCs w:val="20"/>
          <w:color w:val="auto"/>
        </w:rPr>
        <w:tab/>
      </w:r>
      <w:r>
        <w:rPr>
          <w:rFonts w:ascii="Arial" w:cs="Arial" w:eastAsia="Arial" w:hAnsi="Arial"/>
          <w:sz w:val="14"/>
          <w:szCs w:val="14"/>
          <w:b w:val="1"/>
          <w:bCs w:val="1"/>
          <w:color w:val="auto"/>
        </w:rPr>
        <w:t>2017</w:t>
      </w:r>
    </w:p>
    <w:p>
      <w:pPr>
        <w:spacing w:after="0" w:line="365" w:lineRule="exact"/>
        <w:rPr>
          <w:sz w:val="20"/>
          <w:szCs w:val="20"/>
          <w:color w:val="auto"/>
        </w:rPr>
      </w:pPr>
    </w:p>
    <w:p>
      <w:pPr>
        <w:spacing w:after="0"/>
        <w:tabs>
          <w:tab w:leader="none" w:pos="1100" w:val="left"/>
          <w:tab w:leader="none" w:pos="2240" w:val="left"/>
        </w:tabs>
        <w:rPr>
          <w:sz w:val="20"/>
          <w:szCs w:val="20"/>
          <w:color w:val="auto"/>
        </w:rPr>
      </w:pPr>
      <w:r>
        <w:rPr>
          <w:rFonts w:ascii="Arial" w:cs="Arial" w:eastAsia="Arial" w:hAnsi="Arial"/>
          <w:sz w:val="18"/>
          <w:szCs w:val="18"/>
          <w:color w:val="auto"/>
        </w:rPr>
        <w:t>4.3%</w:t>
      </w:r>
      <w:r>
        <w:rPr>
          <w:sz w:val="20"/>
          <w:szCs w:val="20"/>
          <w:color w:val="auto"/>
        </w:rPr>
        <w:tab/>
      </w:r>
      <w:r>
        <w:rPr>
          <w:rFonts w:ascii="Arial" w:cs="Arial" w:eastAsia="Arial" w:hAnsi="Arial"/>
          <w:sz w:val="18"/>
          <w:szCs w:val="18"/>
          <w:color w:val="auto"/>
        </w:rPr>
        <w:t>3.6%</w:t>
      </w:r>
      <w:r>
        <w:rPr>
          <w:sz w:val="20"/>
          <w:szCs w:val="20"/>
          <w:color w:val="auto"/>
        </w:rPr>
        <w:tab/>
      </w:r>
      <w:r>
        <w:rPr>
          <w:rFonts w:ascii="Arial" w:cs="Arial" w:eastAsia="Arial" w:hAnsi="Arial"/>
          <w:sz w:val="18"/>
          <w:szCs w:val="18"/>
          <w:color w:val="auto"/>
        </w:rPr>
        <w:t>4.1%</w:t>
      </w:r>
    </w:p>
    <w:p>
      <w:pPr>
        <w:spacing w:after="0" w:line="63" w:lineRule="exact"/>
        <w:rPr>
          <w:sz w:val="20"/>
          <w:szCs w:val="20"/>
          <w:color w:val="auto"/>
        </w:rPr>
      </w:pPr>
    </w:p>
    <w:p>
      <w:pPr>
        <w:spacing w:after="0"/>
        <w:tabs>
          <w:tab w:leader="none" w:pos="1100" w:val="left"/>
          <w:tab w:leader="none" w:pos="2240" w:val="left"/>
        </w:tabs>
        <w:rPr>
          <w:sz w:val="20"/>
          <w:szCs w:val="20"/>
          <w:color w:val="auto"/>
        </w:rPr>
      </w:pPr>
      <w:r>
        <w:rPr>
          <w:rFonts w:ascii="Arial" w:cs="Arial" w:eastAsia="Arial" w:hAnsi="Arial"/>
          <w:sz w:val="18"/>
          <w:szCs w:val="18"/>
          <w:color w:val="auto"/>
        </w:rPr>
        <w:t>8.0%</w:t>
      </w:r>
      <w:r>
        <w:rPr>
          <w:sz w:val="20"/>
          <w:szCs w:val="20"/>
          <w:color w:val="auto"/>
        </w:rPr>
        <w:tab/>
      </w:r>
      <w:r>
        <w:rPr>
          <w:rFonts w:ascii="Arial" w:cs="Arial" w:eastAsia="Arial" w:hAnsi="Arial"/>
          <w:sz w:val="18"/>
          <w:szCs w:val="18"/>
          <w:color w:val="auto"/>
        </w:rPr>
        <w:t>8.0%</w:t>
      </w:r>
      <w:r>
        <w:rPr>
          <w:sz w:val="20"/>
          <w:szCs w:val="20"/>
          <w:color w:val="auto"/>
        </w:rPr>
        <w:tab/>
      </w:r>
      <w:r>
        <w:rPr>
          <w:rFonts w:ascii="Arial" w:cs="Arial" w:eastAsia="Arial" w:hAnsi="Arial"/>
          <w:sz w:val="18"/>
          <w:szCs w:val="18"/>
          <w:color w:val="auto"/>
        </w:rPr>
        <w:t>8.0%</w:t>
      </w:r>
    </w:p>
    <w:p>
      <w:pPr>
        <w:spacing w:after="0" w:line="252" w:lineRule="exact"/>
        <w:rPr>
          <w:sz w:val="20"/>
          <w:szCs w:val="20"/>
          <w:color w:val="auto"/>
        </w:rPr>
      </w:pPr>
    </w:p>
    <w:p>
      <w:pPr>
        <w:spacing w:after="0"/>
        <w:tabs>
          <w:tab w:leader="none" w:pos="1100" w:val="left"/>
          <w:tab w:leader="none" w:pos="2240" w:val="left"/>
        </w:tabs>
        <w:rPr>
          <w:sz w:val="20"/>
          <w:szCs w:val="20"/>
          <w:color w:val="auto"/>
        </w:rPr>
      </w:pPr>
      <w:r>
        <w:rPr>
          <w:rFonts w:ascii="Arial" w:cs="Arial" w:eastAsia="Arial" w:hAnsi="Arial"/>
          <w:sz w:val="18"/>
          <w:szCs w:val="18"/>
          <w:color w:val="auto"/>
        </w:rPr>
        <w:t>3.7%</w:t>
      </w:r>
      <w:r>
        <w:rPr>
          <w:sz w:val="20"/>
          <w:szCs w:val="20"/>
          <w:color w:val="auto"/>
        </w:rPr>
        <w:tab/>
      </w:r>
      <w:r>
        <w:rPr>
          <w:rFonts w:ascii="Arial" w:cs="Arial" w:eastAsia="Arial" w:hAnsi="Arial"/>
          <w:sz w:val="18"/>
          <w:szCs w:val="18"/>
          <w:color w:val="auto"/>
        </w:rPr>
        <w:t>3.9%</w:t>
      </w:r>
      <w:r>
        <w:rPr>
          <w:sz w:val="20"/>
          <w:szCs w:val="20"/>
          <w:color w:val="auto"/>
        </w:rPr>
        <w:tab/>
      </w:r>
      <w:r>
        <w:rPr>
          <w:rFonts w:ascii="Arial" w:cs="Arial" w:eastAsia="Arial" w:hAnsi="Arial"/>
          <w:sz w:val="18"/>
          <w:szCs w:val="18"/>
          <w:color w:val="auto"/>
        </w:rPr>
        <w:t>4.2%</w:t>
      </w:r>
    </w:p>
    <w:p>
      <w:pPr>
        <w:spacing w:after="0" w:line="291" w:lineRule="exact"/>
        <w:rPr>
          <w:sz w:val="20"/>
          <w:szCs w:val="20"/>
          <w:color w:val="auto"/>
        </w:rPr>
      </w:pPr>
    </w:p>
    <w:p>
      <w:pPr>
        <w:sectPr>
          <w:pgSz w:w="11900" w:h="16838" w:orient="portrait"/>
          <w:cols w:equalWidth="0" w:num="3">
            <w:col w:w="4560" w:space="440"/>
            <w:col w:w="2720" w:space="720"/>
            <w:col w:w="2980"/>
          </w:cols>
          <w:pgMar w:left="240" w:top="549" w:right="239" w:bottom="1440" w:gutter="0" w:footer="0" w:header="0"/>
          <w:type w:val="continuous"/>
        </w:sectPr>
      </w:pPr>
    </w:p>
    <w:p>
      <w:pPr>
        <w:spacing w:after="0" w:line="83" w:lineRule="exact"/>
        <w:rPr>
          <w:sz w:val="20"/>
          <w:szCs w:val="20"/>
          <w:color w:val="auto"/>
        </w:rPr>
      </w:pPr>
    </w:p>
    <w:p>
      <w:pPr>
        <w:ind w:left="660" w:right="20" w:hanging="652"/>
        <w:spacing w:after="0" w:line="225" w:lineRule="auto"/>
        <w:tabs>
          <w:tab w:leader="none" w:pos="660" w:val="left"/>
        </w:tabs>
        <w:numPr>
          <w:ilvl w:val="0"/>
          <w:numId w:val="43"/>
        </w:numPr>
        <w:rPr>
          <w:rFonts w:ascii="Arial" w:cs="Arial" w:eastAsia="Arial" w:hAnsi="Arial"/>
          <w:sz w:val="22"/>
          <w:szCs w:val="22"/>
          <w:color w:val="auto"/>
          <w:vertAlign w:val="superscript"/>
        </w:rPr>
      </w:pPr>
      <w:r>
        <w:rPr>
          <w:rFonts w:ascii="Arial" w:cs="Arial" w:eastAsia="Arial" w:hAnsi="Arial"/>
          <w:sz w:val="18"/>
          <w:szCs w:val="18"/>
          <w:color w:val="auto"/>
        </w:rPr>
        <w:t>The weighted average health care cost trend rate at December 31, 2019 is assumed to decline gradually to 3.3% by 2027 and remain level thereafter.</w:t>
      </w:r>
    </w:p>
    <w:p>
      <w:pPr>
        <w:spacing w:after="0" w:line="163" w:lineRule="exact"/>
        <w:rPr>
          <w:sz w:val="20"/>
          <w:szCs w:val="20"/>
          <w:color w:val="auto"/>
        </w:rPr>
      </w:pPr>
    </w:p>
    <w:p>
      <w:pPr>
        <w:jc w:val="both"/>
        <w:ind w:firstLine="216"/>
        <w:spacing w:after="0" w:line="254" w:lineRule="auto"/>
        <w:rPr>
          <w:sz w:val="20"/>
          <w:szCs w:val="20"/>
          <w:color w:val="auto"/>
        </w:rPr>
      </w:pPr>
      <w:r>
        <w:rPr>
          <w:rFonts w:ascii="Arial" w:cs="Arial" w:eastAsia="Arial" w:hAnsi="Arial"/>
          <w:sz w:val="18"/>
          <w:szCs w:val="18"/>
          <w:color w:val="auto"/>
        </w:rPr>
        <w:t>As of December 31, 2019, our estimate of the long-term rate of return on plan assets was 8.0% based on the target asset allocation. Expected returns on long duration bonds are based on yields to maturity of the bonds held at year-end. Expected returns on other assets are based on a combination of long-term historical returns, actual returns on plan assets achieved over the last ten years, current and expected market conditions, and expected value to be generated through active management and securities lending programs.</w:t>
      </w:r>
    </w:p>
    <w:p>
      <w:pPr>
        <w:spacing w:after="0" w:line="150" w:lineRule="exact"/>
        <w:rPr>
          <w:sz w:val="20"/>
          <w:szCs w:val="20"/>
          <w:color w:val="auto"/>
        </w:rPr>
      </w:pPr>
    </w:p>
    <w:p>
      <w:pPr>
        <w:jc w:val="both"/>
        <w:ind w:right="20" w:firstLine="216"/>
        <w:spacing w:after="0" w:line="262" w:lineRule="auto"/>
        <w:rPr>
          <w:sz w:val="20"/>
          <w:szCs w:val="20"/>
          <w:color w:val="auto"/>
        </w:rPr>
      </w:pPr>
      <w:r>
        <w:rPr>
          <w:rFonts w:ascii="Arial" w:cs="Arial" w:eastAsia="Arial" w:hAnsi="Arial"/>
          <w:sz w:val="18"/>
          <w:szCs w:val="18"/>
          <w:color w:val="auto"/>
        </w:rPr>
        <w:t>A one percentage point change in the assumed health care cost trend rates would have the following approximate effects on our retiree medical and other postretirement benefits plans (in millions):</w:t>
      </w:r>
    </w:p>
    <w:p>
      <w:pPr>
        <w:spacing w:after="0" w:line="346" w:lineRule="exact"/>
        <w:rPr>
          <w:sz w:val="20"/>
          <w:szCs w:val="20"/>
          <w:color w:val="auto"/>
        </w:rPr>
      </w:pPr>
    </w:p>
    <w:tbl>
      <w:tblPr>
        <w:tblLayout w:type="fixed"/>
        <w:tblInd w:w="0" w:type="dxa"/>
        <w:tblCellMar>
          <w:top w:w="0" w:type="dxa"/>
          <w:left w:w="0" w:type="dxa"/>
          <w:bottom w:w="0" w:type="dxa"/>
          <w:right w:w="0" w:type="dxa"/>
        </w:tblCellMar>
      </w:tblPr>
      <w:tr>
        <w:trPr>
          <w:trHeight w:val="196"/>
        </w:trPr>
        <w:tc>
          <w:tcPr>
            <w:tcW w:w="85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280" w:type="dxa"/>
            <w:vAlign w:val="bottom"/>
            <w:gridSpan w:val="2"/>
          </w:tcPr>
          <w:p>
            <w:pPr>
              <w:ind w:left="60"/>
              <w:spacing w:after="0"/>
              <w:rPr>
                <w:sz w:val="20"/>
                <w:szCs w:val="20"/>
                <w:color w:val="auto"/>
              </w:rPr>
            </w:pPr>
            <w:r>
              <w:rPr>
                <w:rFonts w:ascii="Arial" w:cs="Arial" w:eastAsia="Arial" w:hAnsi="Arial"/>
                <w:sz w:val="14"/>
                <w:szCs w:val="14"/>
                <w:b w:val="1"/>
                <w:bCs w:val="1"/>
                <w:color w:val="auto"/>
              </w:rPr>
              <w:t>1% Increase</w:t>
            </w:r>
          </w:p>
        </w:tc>
        <w:tc>
          <w:tcPr>
            <w:tcW w:w="180" w:type="dxa"/>
            <w:vAlign w:val="bottom"/>
          </w:tcPr>
          <w:p>
            <w:pPr>
              <w:spacing w:after="0"/>
              <w:rPr>
                <w:sz w:val="17"/>
                <w:szCs w:val="17"/>
                <w:color w:val="auto"/>
              </w:rPr>
            </w:pPr>
          </w:p>
        </w:tc>
        <w:tc>
          <w:tcPr>
            <w:tcW w:w="1200" w:type="dxa"/>
            <w:vAlign w:val="bottom"/>
          </w:tcPr>
          <w:p>
            <w:pPr>
              <w:jc w:val="right"/>
              <w:ind w:right="156"/>
              <w:spacing w:after="0"/>
              <w:rPr>
                <w:sz w:val="20"/>
                <w:szCs w:val="20"/>
                <w:color w:val="auto"/>
              </w:rPr>
            </w:pPr>
            <w:r>
              <w:rPr>
                <w:rFonts w:ascii="Arial" w:cs="Arial" w:eastAsia="Arial" w:hAnsi="Arial"/>
                <w:sz w:val="14"/>
                <w:szCs w:val="14"/>
                <w:b w:val="1"/>
                <w:bCs w:val="1"/>
                <w:color w:val="auto"/>
              </w:rPr>
              <w:t>1% Decrease</w:t>
            </w:r>
          </w:p>
        </w:tc>
      </w:tr>
      <w:tr>
        <w:trPr>
          <w:trHeight w:val="256"/>
        </w:trPr>
        <w:tc>
          <w:tcPr>
            <w:tcW w:w="8560" w:type="dxa"/>
            <w:vAlign w:val="bottom"/>
            <w:tcBorders>
              <w:top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Increase (decrease) on 2019 service and interest cost</w:t>
            </w:r>
          </w:p>
        </w:tc>
        <w:tc>
          <w:tcPr>
            <w:tcW w:w="2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80" w:type="dxa"/>
            <w:vAlign w:val="bottom"/>
            <w:tcBorders>
              <w:top w:val="single" w:sz="8" w:color="auto"/>
            </w:tcBorders>
            <w:shd w:val="clear" w:color="auto" w:fill="CCEEFF"/>
          </w:tcPr>
          <w:p>
            <w:pPr>
              <w:jc w:val="right"/>
              <w:ind w:right="36"/>
              <w:spacing w:after="0"/>
              <w:rPr>
                <w:sz w:val="20"/>
                <w:szCs w:val="20"/>
                <w:color w:val="auto"/>
              </w:rPr>
            </w:pPr>
            <w:r>
              <w:rPr>
                <w:rFonts w:ascii="Arial" w:cs="Arial" w:eastAsia="Arial" w:hAnsi="Arial"/>
                <w:sz w:val="18"/>
                <w:szCs w:val="18"/>
                <w:color w:val="auto"/>
              </w:rPr>
              <w:t>1</w:t>
            </w:r>
          </w:p>
        </w:tc>
        <w:tc>
          <w:tcPr>
            <w:tcW w:w="100" w:type="dxa"/>
            <w:vAlign w:val="bottom"/>
            <w:tcBorders>
              <w:top w:val="single" w:sz="8" w:color="CCEEFF"/>
            </w:tcBorders>
            <w:shd w:val="clear" w:color="auto" w:fill="CCEEFF"/>
          </w:tcPr>
          <w:p>
            <w:pPr>
              <w:spacing w:after="0"/>
              <w:rPr>
                <w:sz w:val="22"/>
                <w:szCs w:val="22"/>
                <w:color w:val="auto"/>
              </w:rPr>
            </w:pPr>
          </w:p>
        </w:tc>
        <w:tc>
          <w:tcPr>
            <w:tcW w:w="1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w:t>
            </w:r>
          </w:p>
        </w:tc>
      </w:tr>
      <w:tr>
        <w:trPr>
          <w:trHeight w:val="257"/>
        </w:trPr>
        <w:tc>
          <w:tcPr>
            <w:tcW w:w="8560" w:type="dxa"/>
            <w:vAlign w:val="bottom"/>
          </w:tcPr>
          <w:p>
            <w:pPr>
              <w:ind w:left="40"/>
              <w:spacing w:after="0"/>
              <w:rPr>
                <w:sz w:val="20"/>
                <w:szCs w:val="20"/>
                <w:color w:val="auto"/>
              </w:rPr>
            </w:pPr>
            <w:r>
              <w:rPr>
                <w:rFonts w:ascii="Arial" w:cs="Arial" w:eastAsia="Arial" w:hAnsi="Arial"/>
                <w:sz w:val="18"/>
                <w:szCs w:val="18"/>
                <w:color w:val="auto"/>
              </w:rPr>
              <w:t>Increase (decrease) on benefit obligation as of December 31, 2019</w:t>
            </w:r>
          </w:p>
        </w:tc>
        <w:tc>
          <w:tcPr>
            <w:tcW w:w="200" w:type="dxa"/>
            <w:vAlign w:val="bottom"/>
          </w:tcPr>
          <w:p>
            <w:pPr>
              <w:spacing w:after="0"/>
              <w:rPr>
                <w:sz w:val="22"/>
                <w:szCs w:val="22"/>
                <w:color w:val="auto"/>
              </w:rPr>
            </w:pPr>
          </w:p>
        </w:tc>
        <w:tc>
          <w:tcPr>
            <w:tcW w:w="1180" w:type="dxa"/>
            <w:vAlign w:val="bottom"/>
          </w:tcPr>
          <w:p>
            <w:pPr>
              <w:jc w:val="right"/>
              <w:ind w:right="36"/>
              <w:spacing w:after="0"/>
              <w:rPr>
                <w:sz w:val="20"/>
                <w:szCs w:val="20"/>
                <w:color w:val="auto"/>
              </w:rPr>
            </w:pPr>
            <w:r>
              <w:rPr>
                <w:rFonts w:ascii="Arial" w:cs="Arial" w:eastAsia="Arial" w:hAnsi="Arial"/>
                <w:sz w:val="18"/>
                <w:szCs w:val="18"/>
                <w:color w:val="auto"/>
              </w:rPr>
              <w:t>40</w:t>
            </w:r>
          </w:p>
        </w:tc>
        <w:tc>
          <w:tcPr>
            <w:tcW w:w="10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(40)</w:t>
            </w:r>
          </w:p>
        </w:tc>
      </w:tr>
    </w:tbl>
    <w:p>
      <w:pPr>
        <w:spacing w:after="0" w:line="200" w:lineRule="exact"/>
        <w:rPr>
          <w:sz w:val="20"/>
          <w:szCs w:val="20"/>
          <w:color w:val="auto"/>
        </w:rPr>
      </w:pPr>
    </w:p>
    <w:p>
      <w:pPr>
        <w:spacing w:after="0" w:line="250" w:lineRule="exact"/>
        <w:rPr>
          <w:sz w:val="20"/>
          <w:szCs w:val="20"/>
          <w:color w:val="auto"/>
        </w:rPr>
      </w:pPr>
    </w:p>
    <w:p>
      <w:pPr>
        <w:ind w:left="220"/>
        <w:spacing w:after="0"/>
        <w:rPr>
          <w:sz w:val="20"/>
          <w:szCs w:val="20"/>
          <w:color w:val="auto"/>
        </w:rPr>
      </w:pPr>
      <w:r>
        <w:rPr>
          <w:rFonts w:ascii="Arial" w:cs="Arial" w:eastAsia="Arial" w:hAnsi="Arial"/>
          <w:sz w:val="18"/>
          <w:szCs w:val="18"/>
          <w:b w:val="1"/>
          <w:bCs w:val="1"/>
          <w:i w:val="1"/>
          <w:iCs w:val="1"/>
          <w:color w:val="auto"/>
        </w:rPr>
        <w:t>Minimum Contributions</w:t>
      </w:r>
    </w:p>
    <w:p>
      <w:pPr>
        <w:spacing w:after="0" w:line="112" w:lineRule="exact"/>
        <w:rPr>
          <w:sz w:val="20"/>
          <w:szCs w:val="20"/>
          <w:color w:val="auto"/>
        </w:rPr>
      </w:pPr>
    </w:p>
    <w:p>
      <w:pPr>
        <w:jc w:val="both"/>
        <w:ind w:firstLine="216"/>
        <w:spacing w:after="0" w:line="252" w:lineRule="auto"/>
        <w:rPr>
          <w:sz w:val="20"/>
          <w:szCs w:val="20"/>
          <w:color w:val="auto"/>
        </w:rPr>
      </w:pPr>
      <w:r>
        <w:rPr>
          <w:rFonts w:ascii="Arial" w:cs="Arial" w:eastAsia="Arial" w:hAnsi="Arial"/>
          <w:sz w:val="18"/>
          <w:szCs w:val="18"/>
          <w:color w:val="auto"/>
        </w:rPr>
        <w:t>We are required to make minimum contributions to our defined benefit pension plans under the minimum funding requirements of the Employee Retirement Income Security Act of 1974 (ERISA) and various other laws for U.S. based plans as well as underfunding rules specific to countries where we maintain defined benefit plans. Based on current funding assumptions, we have minimum required contributions of $196 million for 2020 including contributions to defined benefit plans for our wholly-owned regional subsidiaries. Our funding obligations will depend on the performance of our investments held in trust by the pension plans, interest rates for determining liabilities, the amount of and timing of any supplemental contributions and our actuarial experience.</w:t>
      </w:r>
    </w:p>
    <w:p>
      <w:pPr>
        <w:spacing w:after="0" w:line="214" w:lineRule="exact"/>
        <w:rPr>
          <w:sz w:val="20"/>
          <w:szCs w:val="20"/>
          <w:color w:val="auto"/>
        </w:rPr>
      </w:pPr>
    </w:p>
    <w:p>
      <w:pPr>
        <w:ind w:left="220"/>
        <w:spacing w:after="0"/>
        <w:rPr>
          <w:sz w:val="20"/>
          <w:szCs w:val="20"/>
          <w:color w:val="auto"/>
        </w:rPr>
      </w:pPr>
      <w:r>
        <w:rPr>
          <w:rFonts w:ascii="Arial" w:cs="Arial" w:eastAsia="Arial" w:hAnsi="Arial"/>
          <w:sz w:val="18"/>
          <w:szCs w:val="18"/>
          <w:b w:val="1"/>
          <w:bCs w:val="1"/>
          <w:i w:val="1"/>
          <w:iCs w:val="1"/>
          <w:color w:val="auto"/>
        </w:rPr>
        <w:t>Benefit Payments</w:t>
      </w:r>
    </w:p>
    <w:p>
      <w:pPr>
        <w:spacing w:after="0" w:line="112" w:lineRule="exact"/>
        <w:rPr>
          <w:sz w:val="20"/>
          <w:szCs w:val="20"/>
          <w:color w:val="auto"/>
        </w:rPr>
      </w:pPr>
    </w:p>
    <w:p>
      <w:pPr>
        <w:ind w:left="220"/>
        <w:spacing w:after="0"/>
        <w:rPr>
          <w:sz w:val="20"/>
          <w:szCs w:val="20"/>
          <w:color w:val="auto"/>
        </w:rPr>
      </w:pPr>
      <w:r>
        <w:rPr>
          <w:rFonts w:ascii="Arial" w:cs="Arial" w:eastAsia="Arial" w:hAnsi="Arial"/>
          <w:sz w:val="18"/>
          <w:szCs w:val="18"/>
          <w:color w:val="auto"/>
        </w:rPr>
        <w:t>The following benefit payments, which reflect expected future service as appropriate, are expected to be paid (approximately, in millions):</w:t>
      </w:r>
    </w:p>
    <w:p>
      <w:pPr>
        <w:spacing w:after="0" w:line="375" w:lineRule="exact"/>
        <w:rPr>
          <w:sz w:val="20"/>
          <w:szCs w:val="20"/>
          <w:color w:val="auto"/>
        </w:rPr>
      </w:pPr>
    </w:p>
    <w:tbl>
      <w:tblPr>
        <w:tblLayout w:type="fixed"/>
        <w:tblInd w:w="0" w:type="dxa"/>
        <w:tblCellMar>
          <w:top w:w="0" w:type="dxa"/>
          <w:left w:w="0" w:type="dxa"/>
          <w:bottom w:w="0" w:type="dxa"/>
          <w:right w:w="0" w:type="dxa"/>
        </w:tblCellMar>
      </w:tblPr>
      <w:tr>
        <w:trPr>
          <w:trHeight w:val="196"/>
        </w:trPr>
        <w:tc>
          <w:tcPr>
            <w:tcW w:w="5360" w:type="dxa"/>
            <w:vAlign w:val="bottom"/>
            <w:tcBorders>
              <w:bottom w:val="single" w:sz="8" w:color="CCEEFF"/>
            </w:tcBorders>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700" w:type="dxa"/>
            <w:vAlign w:val="bottom"/>
            <w:tcBorders>
              <w:bottom w:val="single" w:sz="8" w:color="auto"/>
            </w:tcBorders>
          </w:tcPr>
          <w:p>
            <w:pPr>
              <w:jc w:val="right"/>
              <w:ind w:right="216"/>
              <w:spacing w:after="0"/>
              <w:rPr>
                <w:sz w:val="20"/>
                <w:szCs w:val="20"/>
                <w:color w:val="auto"/>
              </w:rPr>
            </w:pPr>
            <w:r>
              <w:rPr>
                <w:rFonts w:ascii="Arial" w:cs="Arial" w:eastAsia="Arial" w:hAnsi="Arial"/>
                <w:sz w:val="14"/>
                <w:szCs w:val="14"/>
                <w:b w:val="1"/>
                <w:bCs w:val="1"/>
                <w:color w:val="auto"/>
              </w:rPr>
              <w:t>2020</w:t>
            </w:r>
          </w:p>
        </w:tc>
        <w:tc>
          <w:tcPr>
            <w:tcW w:w="120" w:type="dxa"/>
            <w:vAlign w:val="bottom"/>
            <w:tcBorders>
              <w:bottom w:val="single" w:sz="8" w:color="CCEEFF"/>
            </w:tcBorders>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720" w:type="dxa"/>
            <w:vAlign w:val="bottom"/>
            <w:tcBorders>
              <w:bottom w:val="single" w:sz="8" w:color="auto"/>
            </w:tcBorders>
          </w:tcPr>
          <w:p>
            <w:pPr>
              <w:jc w:val="right"/>
              <w:ind w:right="216"/>
              <w:spacing w:after="0"/>
              <w:rPr>
                <w:sz w:val="20"/>
                <w:szCs w:val="20"/>
                <w:color w:val="auto"/>
              </w:rPr>
            </w:pPr>
            <w:r>
              <w:rPr>
                <w:rFonts w:ascii="Arial" w:cs="Arial" w:eastAsia="Arial" w:hAnsi="Arial"/>
                <w:sz w:val="14"/>
                <w:szCs w:val="14"/>
                <w:b w:val="1"/>
                <w:bCs w:val="1"/>
                <w:color w:val="auto"/>
              </w:rPr>
              <w:t>2021</w:t>
            </w:r>
          </w:p>
        </w:tc>
        <w:tc>
          <w:tcPr>
            <w:tcW w:w="100" w:type="dxa"/>
            <w:vAlign w:val="bottom"/>
            <w:tcBorders>
              <w:bottom w:val="single" w:sz="8" w:color="CCEEFF"/>
            </w:tcBorders>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700" w:type="dxa"/>
            <w:vAlign w:val="bottom"/>
            <w:tcBorders>
              <w:bottom w:val="single" w:sz="8" w:color="auto"/>
            </w:tcBorders>
          </w:tcPr>
          <w:p>
            <w:pPr>
              <w:jc w:val="right"/>
              <w:ind w:right="216"/>
              <w:spacing w:after="0"/>
              <w:rPr>
                <w:sz w:val="20"/>
                <w:szCs w:val="20"/>
                <w:color w:val="auto"/>
              </w:rPr>
            </w:pPr>
            <w:r>
              <w:rPr>
                <w:rFonts w:ascii="Arial" w:cs="Arial" w:eastAsia="Arial" w:hAnsi="Arial"/>
                <w:sz w:val="14"/>
                <w:szCs w:val="14"/>
                <w:b w:val="1"/>
                <w:bCs w:val="1"/>
                <w:color w:val="auto"/>
              </w:rPr>
              <w:t>2022</w:t>
            </w:r>
          </w:p>
        </w:tc>
        <w:tc>
          <w:tcPr>
            <w:tcW w:w="100" w:type="dxa"/>
            <w:vAlign w:val="bottom"/>
            <w:tcBorders>
              <w:bottom w:val="single" w:sz="8" w:color="CCEEFF"/>
            </w:tcBorders>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700" w:type="dxa"/>
            <w:vAlign w:val="bottom"/>
            <w:tcBorders>
              <w:bottom w:val="single" w:sz="8" w:color="auto"/>
            </w:tcBorders>
          </w:tcPr>
          <w:p>
            <w:pPr>
              <w:jc w:val="right"/>
              <w:ind w:right="216"/>
              <w:spacing w:after="0"/>
              <w:rPr>
                <w:sz w:val="20"/>
                <w:szCs w:val="20"/>
                <w:color w:val="auto"/>
              </w:rPr>
            </w:pPr>
            <w:r>
              <w:rPr>
                <w:rFonts w:ascii="Arial" w:cs="Arial" w:eastAsia="Arial" w:hAnsi="Arial"/>
                <w:sz w:val="14"/>
                <w:szCs w:val="14"/>
                <w:b w:val="1"/>
                <w:bCs w:val="1"/>
                <w:color w:val="auto"/>
              </w:rPr>
              <w:t>2023</w:t>
            </w:r>
          </w:p>
        </w:tc>
        <w:tc>
          <w:tcPr>
            <w:tcW w:w="120" w:type="dxa"/>
            <w:vAlign w:val="bottom"/>
            <w:tcBorders>
              <w:bottom w:val="single" w:sz="8" w:color="CCEEFF"/>
            </w:tcBorders>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720" w:type="dxa"/>
            <w:vAlign w:val="bottom"/>
            <w:tcBorders>
              <w:bottom w:val="single" w:sz="8" w:color="auto"/>
            </w:tcBorders>
          </w:tcPr>
          <w:p>
            <w:pPr>
              <w:jc w:val="right"/>
              <w:ind w:right="216"/>
              <w:spacing w:after="0"/>
              <w:rPr>
                <w:sz w:val="20"/>
                <w:szCs w:val="20"/>
                <w:color w:val="auto"/>
              </w:rPr>
            </w:pPr>
            <w:r>
              <w:rPr>
                <w:rFonts w:ascii="Arial" w:cs="Arial" w:eastAsia="Arial" w:hAnsi="Arial"/>
                <w:sz w:val="14"/>
                <w:szCs w:val="14"/>
                <w:b w:val="1"/>
                <w:bCs w:val="1"/>
                <w:color w:val="auto"/>
              </w:rPr>
              <w:t>2024</w:t>
            </w:r>
          </w:p>
        </w:tc>
        <w:tc>
          <w:tcPr>
            <w:tcW w:w="100" w:type="dxa"/>
            <w:vAlign w:val="bottom"/>
            <w:tcBorders>
              <w:bottom w:val="single" w:sz="8" w:color="CCEEFF"/>
            </w:tcBorders>
          </w:tcPr>
          <w:p>
            <w:pPr>
              <w:spacing w:after="0"/>
              <w:rPr>
                <w:sz w:val="17"/>
                <w:szCs w:val="17"/>
                <w:color w:val="auto"/>
              </w:rPr>
            </w:pPr>
          </w:p>
        </w:tc>
        <w:tc>
          <w:tcPr>
            <w:tcW w:w="920" w:type="dxa"/>
            <w:vAlign w:val="bottom"/>
            <w:tcBorders>
              <w:bottom w:val="single" w:sz="8" w:color="auto"/>
            </w:tcBorders>
          </w:tcPr>
          <w:p>
            <w:pPr>
              <w:jc w:val="right"/>
              <w:ind w:right="36"/>
              <w:spacing w:after="0"/>
              <w:rPr>
                <w:sz w:val="20"/>
                <w:szCs w:val="20"/>
                <w:color w:val="auto"/>
              </w:rPr>
            </w:pPr>
            <w:r>
              <w:rPr>
                <w:rFonts w:ascii="Arial" w:cs="Arial" w:eastAsia="Arial" w:hAnsi="Arial"/>
                <w:sz w:val="14"/>
                <w:szCs w:val="14"/>
                <w:b w:val="1"/>
                <w:bCs w:val="1"/>
                <w:color w:val="auto"/>
              </w:rPr>
              <w:t>2025-2029</w:t>
            </w:r>
          </w:p>
        </w:tc>
      </w:tr>
      <w:tr>
        <w:trPr>
          <w:trHeight w:val="256"/>
        </w:trPr>
        <w:tc>
          <w:tcPr>
            <w:tcW w:w="5360" w:type="dxa"/>
            <w:vAlign w:val="bottom"/>
            <w:shd w:val="clear" w:color="auto" w:fill="CCEEFF"/>
          </w:tcPr>
          <w:p>
            <w:pPr>
              <w:ind w:left="40"/>
              <w:spacing w:after="0"/>
              <w:rPr>
                <w:sz w:val="20"/>
                <w:szCs w:val="20"/>
                <w:color w:val="auto"/>
              </w:rPr>
            </w:pPr>
            <w:r>
              <w:rPr>
                <w:rFonts w:ascii="Arial" w:cs="Arial" w:eastAsia="Arial" w:hAnsi="Arial"/>
                <w:sz w:val="18"/>
                <w:szCs w:val="18"/>
                <w:color w:val="auto"/>
              </w:rPr>
              <w:t>Pension benefits</w:t>
            </w:r>
          </w:p>
        </w:tc>
        <w:tc>
          <w:tcPr>
            <w:tcW w:w="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00" w:type="dxa"/>
            <w:vAlign w:val="bottom"/>
            <w:shd w:val="clear" w:color="auto" w:fill="CCEEFF"/>
          </w:tcPr>
          <w:p>
            <w:pPr>
              <w:jc w:val="right"/>
              <w:ind w:right="16"/>
              <w:spacing w:after="0"/>
              <w:rPr>
                <w:sz w:val="20"/>
                <w:szCs w:val="20"/>
                <w:color w:val="auto"/>
              </w:rPr>
            </w:pPr>
            <w:r>
              <w:rPr>
                <w:rFonts w:ascii="Arial" w:cs="Arial" w:eastAsia="Arial" w:hAnsi="Arial"/>
                <w:sz w:val="18"/>
                <w:szCs w:val="18"/>
                <w:color w:val="auto"/>
              </w:rPr>
              <w:t>753</w:t>
            </w:r>
          </w:p>
        </w:tc>
        <w:tc>
          <w:tcPr>
            <w:tcW w:w="120" w:type="dxa"/>
            <w:vAlign w:val="bottom"/>
            <w:shd w:val="clear" w:color="auto" w:fill="CCEEFF"/>
          </w:tcPr>
          <w:p>
            <w:pPr>
              <w:spacing w:after="0"/>
              <w:rPr>
                <w:sz w:val="22"/>
                <w:szCs w:val="22"/>
                <w:color w:val="auto"/>
              </w:rPr>
            </w:pPr>
          </w:p>
        </w:tc>
        <w:tc>
          <w:tcPr>
            <w:tcW w:w="2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720" w:type="dxa"/>
            <w:vAlign w:val="bottom"/>
            <w:shd w:val="clear" w:color="auto" w:fill="CCEEFF"/>
          </w:tcPr>
          <w:p>
            <w:pPr>
              <w:jc w:val="right"/>
              <w:ind w:right="36"/>
              <w:spacing w:after="0"/>
              <w:rPr>
                <w:sz w:val="20"/>
                <w:szCs w:val="20"/>
                <w:color w:val="auto"/>
              </w:rPr>
            </w:pPr>
            <w:r>
              <w:rPr>
                <w:rFonts w:ascii="Arial" w:cs="Arial" w:eastAsia="Arial" w:hAnsi="Arial"/>
                <w:sz w:val="18"/>
                <w:szCs w:val="18"/>
                <w:color w:val="auto"/>
              </w:rPr>
              <w:t>792</w:t>
            </w:r>
          </w:p>
        </w:tc>
        <w:tc>
          <w:tcPr>
            <w:tcW w:w="100" w:type="dxa"/>
            <w:vAlign w:val="bottom"/>
            <w:shd w:val="clear" w:color="auto" w:fill="CCEEFF"/>
          </w:tcPr>
          <w:p>
            <w:pPr>
              <w:spacing w:after="0"/>
              <w:rPr>
                <w:sz w:val="22"/>
                <w:szCs w:val="22"/>
                <w:color w:val="auto"/>
              </w:rPr>
            </w:pPr>
          </w:p>
        </w:tc>
        <w:tc>
          <w:tcPr>
            <w:tcW w:w="2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700" w:type="dxa"/>
            <w:vAlign w:val="bottom"/>
            <w:shd w:val="clear" w:color="auto" w:fill="CCEEFF"/>
          </w:tcPr>
          <w:p>
            <w:pPr>
              <w:jc w:val="right"/>
              <w:ind w:right="16"/>
              <w:spacing w:after="0"/>
              <w:rPr>
                <w:sz w:val="20"/>
                <w:szCs w:val="20"/>
                <w:color w:val="auto"/>
              </w:rPr>
            </w:pPr>
            <w:r>
              <w:rPr>
                <w:rFonts w:ascii="Arial" w:cs="Arial" w:eastAsia="Arial" w:hAnsi="Arial"/>
                <w:sz w:val="18"/>
                <w:szCs w:val="18"/>
                <w:color w:val="auto"/>
              </w:rPr>
              <w:t>832</w:t>
            </w:r>
          </w:p>
        </w:tc>
        <w:tc>
          <w:tcPr>
            <w:tcW w:w="100" w:type="dxa"/>
            <w:vAlign w:val="bottom"/>
            <w:shd w:val="clear" w:color="auto" w:fill="CCEEFF"/>
          </w:tcPr>
          <w:p>
            <w:pPr>
              <w:spacing w:after="0"/>
              <w:rPr>
                <w:sz w:val="22"/>
                <w:szCs w:val="22"/>
                <w:color w:val="auto"/>
              </w:rPr>
            </w:pPr>
          </w:p>
        </w:tc>
        <w:tc>
          <w:tcPr>
            <w:tcW w:w="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00" w:type="dxa"/>
            <w:vAlign w:val="bottom"/>
            <w:shd w:val="clear" w:color="auto" w:fill="CCEEFF"/>
          </w:tcPr>
          <w:p>
            <w:pPr>
              <w:jc w:val="right"/>
              <w:ind w:right="16"/>
              <w:spacing w:after="0"/>
              <w:rPr>
                <w:sz w:val="20"/>
                <w:szCs w:val="20"/>
                <w:color w:val="auto"/>
              </w:rPr>
            </w:pPr>
            <w:r>
              <w:rPr>
                <w:rFonts w:ascii="Arial" w:cs="Arial" w:eastAsia="Arial" w:hAnsi="Arial"/>
                <w:sz w:val="18"/>
                <w:szCs w:val="18"/>
                <w:color w:val="auto"/>
              </w:rPr>
              <w:t>874</w:t>
            </w:r>
          </w:p>
        </w:tc>
        <w:tc>
          <w:tcPr>
            <w:tcW w:w="120" w:type="dxa"/>
            <w:vAlign w:val="bottom"/>
            <w:shd w:val="clear" w:color="auto" w:fill="CCEEFF"/>
          </w:tcPr>
          <w:p>
            <w:pPr>
              <w:spacing w:after="0"/>
              <w:rPr>
                <w:sz w:val="22"/>
                <w:szCs w:val="22"/>
                <w:color w:val="auto"/>
              </w:rPr>
            </w:pPr>
          </w:p>
        </w:tc>
        <w:tc>
          <w:tcPr>
            <w:tcW w:w="2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720" w:type="dxa"/>
            <w:vAlign w:val="bottom"/>
            <w:shd w:val="clear" w:color="auto" w:fill="CCEEFF"/>
          </w:tcPr>
          <w:p>
            <w:pPr>
              <w:jc w:val="right"/>
              <w:ind w:right="36"/>
              <w:spacing w:after="0"/>
              <w:rPr>
                <w:sz w:val="20"/>
                <w:szCs w:val="20"/>
                <w:color w:val="auto"/>
              </w:rPr>
            </w:pPr>
            <w:r>
              <w:rPr>
                <w:rFonts w:ascii="Arial" w:cs="Arial" w:eastAsia="Arial" w:hAnsi="Arial"/>
                <w:sz w:val="18"/>
                <w:szCs w:val="18"/>
                <w:color w:val="auto"/>
              </w:rPr>
              <w:t>914</w:t>
            </w:r>
          </w:p>
        </w:tc>
        <w:tc>
          <w:tcPr>
            <w:tcW w:w="100" w:type="dxa"/>
            <w:vAlign w:val="bottom"/>
            <w:shd w:val="clear" w:color="auto" w:fill="CCEEFF"/>
          </w:tcPr>
          <w:p>
            <w:pPr>
              <w:spacing w:after="0"/>
              <w:rPr>
                <w:sz w:val="22"/>
                <w:szCs w:val="22"/>
                <w:color w:val="auto"/>
              </w:rPr>
            </w:pPr>
          </w:p>
        </w:tc>
        <w:tc>
          <w:tcPr>
            <w:tcW w:w="920" w:type="dxa"/>
            <w:vAlign w:val="bottom"/>
            <w:shd w:val="clear" w:color="auto" w:fill="CCEEFF"/>
          </w:tcPr>
          <w:p>
            <w:pPr>
              <w:jc w:val="right"/>
              <w:ind w:right="16"/>
              <w:spacing w:after="0"/>
              <w:rPr>
                <w:sz w:val="20"/>
                <w:szCs w:val="20"/>
                <w:color w:val="auto"/>
              </w:rPr>
            </w:pPr>
            <w:r>
              <w:rPr>
                <w:rFonts w:ascii="Arial" w:cs="Arial" w:eastAsia="Arial" w:hAnsi="Arial"/>
                <w:sz w:val="18"/>
                <w:szCs w:val="18"/>
                <w:color w:val="auto"/>
              </w:rPr>
              <w:t>$   5,045</w:t>
            </w:r>
          </w:p>
        </w:tc>
      </w:tr>
      <w:tr>
        <w:trPr>
          <w:trHeight w:val="257"/>
        </w:trPr>
        <w:tc>
          <w:tcPr>
            <w:tcW w:w="5360" w:type="dxa"/>
            <w:vAlign w:val="bottom"/>
          </w:tcPr>
          <w:p>
            <w:pPr>
              <w:ind w:left="40"/>
              <w:spacing w:after="0"/>
              <w:rPr>
                <w:sz w:val="20"/>
                <w:szCs w:val="20"/>
                <w:color w:val="auto"/>
              </w:rPr>
            </w:pPr>
            <w:r>
              <w:rPr>
                <w:rFonts w:ascii="Arial" w:cs="Arial" w:eastAsia="Arial" w:hAnsi="Arial"/>
                <w:sz w:val="18"/>
                <w:szCs w:val="18"/>
                <w:color w:val="auto"/>
              </w:rPr>
              <w:t>Retiree medical and other postretirement benefits</w:t>
            </w:r>
          </w:p>
        </w:tc>
        <w:tc>
          <w:tcPr>
            <w:tcW w:w="220" w:type="dxa"/>
            <w:vAlign w:val="bottom"/>
          </w:tcPr>
          <w:p>
            <w:pPr>
              <w:spacing w:after="0"/>
              <w:rPr>
                <w:sz w:val="22"/>
                <w:szCs w:val="22"/>
                <w:color w:val="auto"/>
              </w:rPr>
            </w:pPr>
          </w:p>
        </w:tc>
        <w:tc>
          <w:tcPr>
            <w:tcW w:w="700" w:type="dxa"/>
            <w:vAlign w:val="bottom"/>
          </w:tcPr>
          <w:p>
            <w:pPr>
              <w:jc w:val="right"/>
              <w:ind w:right="16"/>
              <w:spacing w:after="0"/>
              <w:rPr>
                <w:sz w:val="20"/>
                <w:szCs w:val="20"/>
                <w:color w:val="auto"/>
              </w:rPr>
            </w:pPr>
            <w:r>
              <w:rPr>
                <w:rFonts w:ascii="Arial" w:cs="Arial" w:eastAsia="Arial" w:hAnsi="Arial"/>
                <w:sz w:val="18"/>
                <w:szCs w:val="18"/>
                <w:color w:val="auto"/>
              </w:rPr>
              <w:t>80</w:t>
            </w:r>
          </w:p>
        </w:tc>
        <w:tc>
          <w:tcPr>
            <w:tcW w:w="12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720" w:type="dxa"/>
            <w:vAlign w:val="bottom"/>
          </w:tcPr>
          <w:p>
            <w:pPr>
              <w:jc w:val="right"/>
              <w:ind w:right="36"/>
              <w:spacing w:after="0"/>
              <w:rPr>
                <w:sz w:val="20"/>
                <w:szCs w:val="20"/>
                <w:color w:val="auto"/>
              </w:rPr>
            </w:pPr>
            <w:r>
              <w:rPr>
                <w:rFonts w:ascii="Arial" w:cs="Arial" w:eastAsia="Arial" w:hAnsi="Arial"/>
                <w:sz w:val="18"/>
                <w:szCs w:val="18"/>
                <w:color w:val="auto"/>
              </w:rPr>
              <w:t>71</w:t>
            </w:r>
          </w:p>
        </w:tc>
        <w:tc>
          <w:tcPr>
            <w:tcW w:w="10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700" w:type="dxa"/>
            <w:vAlign w:val="bottom"/>
          </w:tcPr>
          <w:p>
            <w:pPr>
              <w:jc w:val="right"/>
              <w:ind w:right="16"/>
              <w:spacing w:after="0"/>
              <w:rPr>
                <w:sz w:val="20"/>
                <w:szCs w:val="20"/>
                <w:color w:val="auto"/>
              </w:rPr>
            </w:pPr>
            <w:r>
              <w:rPr>
                <w:rFonts w:ascii="Arial" w:cs="Arial" w:eastAsia="Arial" w:hAnsi="Arial"/>
                <w:sz w:val="18"/>
                <w:szCs w:val="18"/>
                <w:color w:val="auto"/>
              </w:rPr>
              <w:t>66</w:t>
            </w:r>
          </w:p>
        </w:tc>
        <w:tc>
          <w:tcPr>
            <w:tcW w:w="10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700" w:type="dxa"/>
            <w:vAlign w:val="bottom"/>
          </w:tcPr>
          <w:p>
            <w:pPr>
              <w:jc w:val="right"/>
              <w:ind w:right="16"/>
              <w:spacing w:after="0"/>
              <w:rPr>
                <w:sz w:val="20"/>
                <w:szCs w:val="20"/>
                <w:color w:val="auto"/>
              </w:rPr>
            </w:pPr>
            <w:r>
              <w:rPr>
                <w:rFonts w:ascii="Arial" w:cs="Arial" w:eastAsia="Arial" w:hAnsi="Arial"/>
                <w:sz w:val="18"/>
                <w:szCs w:val="18"/>
                <w:color w:val="auto"/>
              </w:rPr>
              <w:t>64</w:t>
            </w:r>
          </w:p>
        </w:tc>
        <w:tc>
          <w:tcPr>
            <w:tcW w:w="12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720" w:type="dxa"/>
            <w:vAlign w:val="bottom"/>
          </w:tcPr>
          <w:p>
            <w:pPr>
              <w:jc w:val="right"/>
              <w:ind w:right="36"/>
              <w:spacing w:after="0"/>
              <w:rPr>
                <w:sz w:val="20"/>
                <w:szCs w:val="20"/>
                <w:color w:val="auto"/>
              </w:rPr>
            </w:pPr>
            <w:r>
              <w:rPr>
                <w:rFonts w:ascii="Arial" w:cs="Arial" w:eastAsia="Arial" w:hAnsi="Arial"/>
                <w:sz w:val="18"/>
                <w:szCs w:val="18"/>
                <w:color w:val="auto"/>
              </w:rPr>
              <w:t>61</w:t>
            </w:r>
          </w:p>
        </w:tc>
        <w:tc>
          <w:tcPr>
            <w:tcW w:w="100" w:type="dxa"/>
            <w:vAlign w:val="bottom"/>
          </w:tcPr>
          <w:p>
            <w:pPr>
              <w:spacing w:after="0"/>
              <w:rPr>
                <w:sz w:val="22"/>
                <w:szCs w:val="22"/>
                <w:color w:val="auto"/>
              </w:rPr>
            </w:pPr>
          </w:p>
        </w:tc>
        <w:tc>
          <w:tcPr>
            <w:tcW w:w="920" w:type="dxa"/>
            <w:vAlign w:val="bottom"/>
          </w:tcPr>
          <w:p>
            <w:pPr>
              <w:jc w:val="right"/>
              <w:ind w:right="16"/>
              <w:spacing w:after="0"/>
              <w:rPr>
                <w:sz w:val="20"/>
                <w:szCs w:val="20"/>
                <w:color w:val="auto"/>
              </w:rPr>
            </w:pPr>
            <w:r>
              <w:rPr>
                <w:rFonts w:ascii="Arial" w:cs="Arial" w:eastAsia="Arial" w:hAnsi="Arial"/>
                <w:sz w:val="18"/>
                <w:szCs w:val="18"/>
                <w:color w:val="auto"/>
              </w:rPr>
              <w:t>265</w:t>
            </w:r>
          </w:p>
        </w:tc>
      </w:tr>
    </w:tbl>
    <w:p>
      <w:pPr>
        <w:spacing w:after="0" w:line="200" w:lineRule="exact"/>
        <w:rPr>
          <w:sz w:val="20"/>
          <w:szCs w:val="20"/>
          <w:color w:val="auto"/>
        </w:rPr>
      </w:pPr>
    </w:p>
    <w:p>
      <w:pPr>
        <w:sectPr>
          <w:pgSz w:w="11900" w:h="16838" w:orient="portrait"/>
          <w:cols w:equalWidth="0" w:num="1">
            <w:col w:w="11420"/>
          </w:cols>
          <w:pgMar w:left="240" w:top="549" w:right="239" w:bottom="1440" w:gutter="0" w:footer="0" w:header="0"/>
          <w:type w:val="continuous"/>
        </w:sectPr>
      </w:pPr>
    </w:p>
    <w:p>
      <w:pPr>
        <w:spacing w:after="0" w:line="245"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101</w:t>
      </w:r>
    </w:p>
    <w:p>
      <w:pPr>
        <w:sectPr>
          <w:pgSz w:w="11900" w:h="16838" w:orient="portrait"/>
          <w:cols w:equalWidth="0" w:num="1">
            <w:col w:w="11420"/>
          </w:cols>
          <w:pgMar w:left="240" w:top="549" w:right="239" w:bottom="1440" w:gutter="0" w:footer="0" w:header="0"/>
          <w:type w:val="continuous"/>
        </w:sectPr>
      </w:pPr>
    </w:p>
    <w:bookmarkStart w:id="101" w:name="page102"/>
    <w:bookmarkEnd w:id="101"/>
    <w:p>
      <w:pPr>
        <w:jc w:val="center"/>
        <w:spacing w:after="0"/>
        <w:rPr>
          <w:sz w:val="20"/>
          <w:szCs w:val="20"/>
          <w:color w:val="auto"/>
        </w:rPr>
      </w:pPr>
      <w:r>
        <w:rPr>
          <w:rFonts w:ascii="Arial" w:cs="Arial" w:eastAsia="Arial" w:hAnsi="Arial"/>
          <w:sz w:val="18"/>
          <w:szCs w:val="18"/>
          <w:b w:val="1"/>
          <w:bCs w:val="1"/>
          <w:color w:val="auto"/>
        </w:rPr>
        <w:t>NOTES TO CONSOLIDATED FINANCIAL STATEMENTS OF AMERICAN AIRLINES GROUP INC.</w:t>
      </w:r>
    </w:p>
    <w:p>
      <w:pPr>
        <w:spacing w:after="0" w:line="200" w:lineRule="exact"/>
        <w:rPr>
          <w:sz w:val="20"/>
          <w:szCs w:val="20"/>
          <w:color w:val="auto"/>
        </w:rPr>
      </w:pPr>
    </w:p>
    <w:p>
      <w:pPr>
        <w:spacing w:after="0" w:line="268" w:lineRule="exact"/>
        <w:rPr>
          <w:sz w:val="20"/>
          <w:szCs w:val="20"/>
          <w:color w:val="auto"/>
        </w:rPr>
      </w:pPr>
    </w:p>
    <w:p>
      <w:pPr>
        <w:ind w:left="220"/>
        <w:spacing w:after="0"/>
        <w:rPr>
          <w:sz w:val="20"/>
          <w:szCs w:val="20"/>
          <w:color w:val="auto"/>
        </w:rPr>
      </w:pPr>
      <w:r>
        <w:rPr>
          <w:rFonts w:ascii="Arial" w:cs="Arial" w:eastAsia="Arial" w:hAnsi="Arial"/>
          <w:sz w:val="18"/>
          <w:szCs w:val="18"/>
          <w:b w:val="1"/>
          <w:bCs w:val="1"/>
          <w:i w:val="1"/>
          <w:iCs w:val="1"/>
          <w:color w:val="auto"/>
        </w:rPr>
        <w:t>Plan Assets</w:t>
      </w:r>
    </w:p>
    <w:p>
      <w:pPr>
        <w:spacing w:after="0" w:line="112" w:lineRule="exact"/>
        <w:rPr>
          <w:sz w:val="20"/>
          <w:szCs w:val="20"/>
          <w:color w:val="auto"/>
        </w:rPr>
      </w:pPr>
    </w:p>
    <w:p>
      <w:pPr>
        <w:jc w:val="both"/>
        <w:ind w:firstLine="216"/>
        <w:spacing w:after="0" w:line="256" w:lineRule="auto"/>
        <w:rPr>
          <w:sz w:val="20"/>
          <w:szCs w:val="20"/>
          <w:color w:val="auto"/>
        </w:rPr>
      </w:pPr>
      <w:r>
        <w:rPr>
          <w:rFonts w:ascii="Arial" w:cs="Arial" w:eastAsia="Arial" w:hAnsi="Arial"/>
          <w:sz w:val="18"/>
          <w:szCs w:val="18"/>
          <w:color w:val="auto"/>
        </w:rPr>
        <w:t>The objectives of our investment policies are to: maintain sufficient income and liquidity to pay retirement benefits; produce a long-term rate of return that meets or exceeds the assumed rate of return for plan assets; limit the volatility of asset performance and funded status; and diversify assets among asset classes and investment managers.</w:t>
      </w:r>
    </w:p>
    <w:p>
      <w:pPr>
        <w:spacing w:after="0" w:line="148" w:lineRule="exact"/>
        <w:rPr>
          <w:sz w:val="20"/>
          <w:szCs w:val="20"/>
          <w:color w:val="auto"/>
        </w:rPr>
      </w:pPr>
    </w:p>
    <w:p>
      <w:pPr>
        <w:jc w:val="both"/>
        <w:ind w:firstLine="216"/>
        <w:spacing w:after="0" w:line="256" w:lineRule="auto"/>
        <w:rPr>
          <w:sz w:val="20"/>
          <w:szCs w:val="20"/>
          <w:color w:val="auto"/>
        </w:rPr>
      </w:pPr>
      <w:r>
        <w:rPr>
          <w:rFonts w:ascii="Arial" w:cs="Arial" w:eastAsia="Arial" w:hAnsi="Arial"/>
          <w:sz w:val="18"/>
          <w:szCs w:val="18"/>
          <w:color w:val="auto"/>
        </w:rPr>
        <w:t>Based on these investment objectives, a long-term strategic asset allocation has been established. This strategic allocation seeks to balance the potential benefit of improving the funded position with the potential risk that the funded position would decline. The current strategic target asset allocation is as follows:</w:t>
      </w:r>
    </w:p>
    <w:p>
      <w:pPr>
        <w:spacing w:after="0" w:line="298"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9480" w:type="dxa"/>
            <w:vAlign w:val="bottom"/>
            <w:gridSpan w:val="3"/>
          </w:tcPr>
          <w:p>
            <w:pPr>
              <w:ind w:left="40"/>
              <w:spacing w:after="0"/>
              <w:rPr>
                <w:sz w:val="20"/>
                <w:szCs w:val="20"/>
                <w:color w:val="auto"/>
              </w:rPr>
            </w:pPr>
            <w:r>
              <w:rPr>
                <w:rFonts w:ascii="Arial" w:cs="Arial" w:eastAsia="Arial" w:hAnsi="Arial"/>
                <w:sz w:val="14"/>
                <w:szCs w:val="14"/>
                <w:b w:val="1"/>
                <w:bCs w:val="1"/>
                <w:color w:val="auto"/>
              </w:rPr>
              <w:t>Asset Class/Sub-Class</w:t>
            </w:r>
          </w:p>
        </w:tc>
        <w:tc>
          <w:tcPr>
            <w:tcW w:w="1940" w:type="dxa"/>
            <w:vAlign w:val="bottom"/>
            <w:gridSpan w:val="2"/>
          </w:tcPr>
          <w:p>
            <w:pPr>
              <w:jc w:val="right"/>
              <w:ind w:right="350"/>
              <w:spacing w:after="0"/>
              <w:rPr>
                <w:sz w:val="20"/>
                <w:szCs w:val="20"/>
                <w:color w:val="auto"/>
              </w:rPr>
            </w:pPr>
            <w:r>
              <w:rPr>
                <w:rFonts w:ascii="Arial" w:cs="Arial" w:eastAsia="Arial" w:hAnsi="Arial"/>
                <w:sz w:val="14"/>
                <w:szCs w:val="14"/>
                <w:b w:val="1"/>
                <w:bCs w:val="1"/>
                <w:color w:val="auto"/>
              </w:rPr>
              <w:t>Allowed Range</w:t>
            </w:r>
          </w:p>
        </w:tc>
      </w:tr>
      <w:tr>
        <w:trPr>
          <w:trHeight w:val="21"/>
        </w:trPr>
        <w:tc>
          <w:tcPr>
            <w:tcW w:w="40" w:type="dxa"/>
            <w:vAlign w:val="bottom"/>
            <w:tcBorders>
              <w:bottom w:val="single" w:sz="8" w:color="CCEEFF"/>
            </w:tcBorders>
          </w:tcPr>
          <w:p>
            <w:pPr>
              <w:spacing w:after="0" w:line="20" w:lineRule="exact"/>
              <w:rPr>
                <w:sz w:val="1"/>
                <w:szCs w:val="1"/>
                <w:color w:val="auto"/>
              </w:rPr>
            </w:pPr>
          </w:p>
        </w:tc>
        <w:tc>
          <w:tcPr>
            <w:tcW w:w="1560" w:type="dxa"/>
            <w:vAlign w:val="bottom"/>
            <w:tcBorders>
              <w:top w:val="single" w:sz="8" w:color="auto"/>
              <w:bottom w:val="single" w:sz="8" w:color="CCEEFF"/>
            </w:tcBorders>
          </w:tcPr>
          <w:p>
            <w:pPr>
              <w:spacing w:after="0" w:line="20" w:lineRule="exact"/>
              <w:rPr>
                <w:sz w:val="1"/>
                <w:szCs w:val="1"/>
                <w:color w:val="auto"/>
              </w:rPr>
            </w:pPr>
          </w:p>
        </w:tc>
        <w:tc>
          <w:tcPr>
            <w:tcW w:w="7880" w:type="dxa"/>
            <w:vAlign w:val="bottom"/>
            <w:tcBorders>
              <w:bottom w:val="single" w:sz="8" w:color="CCEEFF"/>
            </w:tcBorders>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r>
      <w:tr>
        <w:trPr>
          <w:trHeight w:val="250"/>
        </w:trPr>
        <w:tc>
          <w:tcPr>
            <w:tcW w:w="9480" w:type="dxa"/>
            <w:vAlign w:val="bottom"/>
            <w:gridSpan w:val="3"/>
            <w:shd w:val="clear" w:color="auto" w:fill="CCEEFF"/>
          </w:tcPr>
          <w:p>
            <w:pPr>
              <w:ind w:left="40"/>
              <w:spacing w:after="0"/>
              <w:rPr>
                <w:sz w:val="20"/>
                <w:szCs w:val="20"/>
                <w:color w:val="auto"/>
              </w:rPr>
            </w:pPr>
            <w:r>
              <w:rPr>
                <w:rFonts w:ascii="Arial" w:cs="Arial" w:eastAsia="Arial" w:hAnsi="Arial"/>
                <w:sz w:val="18"/>
                <w:szCs w:val="18"/>
                <w:color w:val="auto"/>
              </w:rPr>
              <w:t>Equity</w:t>
            </w:r>
          </w:p>
        </w:tc>
        <w:tc>
          <w:tcPr>
            <w:tcW w:w="1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45%</w:t>
            </w: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- 80%</w:t>
            </w:r>
          </w:p>
        </w:tc>
      </w:tr>
      <w:tr>
        <w:trPr>
          <w:trHeight w:val="243"/>
        </w:trPr>
        <w:tc>
          <w:tcPr>
            <w:tcW w:w="40" w:type="dxa"/>
            <w:vAlign w:val="bottom"/>
          </w:tcPr>
          <w:p>
            <w:pPr>
              <w:spacing w:after="0"/>
              <w:rPr>
                <w:sz w:val="21"/>
                <w:szCs w:val="21"/>
                <w:color w:val="auto"/>
              </w:rPr>
            </w:pPr>
          </w:p>
        </w:tc>
        <w:tc>
          <w:tcPr>
            <w:tcW w:w="9440" w:type="dxa"/>
            <w:vAlign w:val="bottom"/>
            <w:gridSpan w:val="2"/>
          </w:tcPr>
          <w:p>
            <w:pPr>
              <w:ind w:left="140"/>
              <w:spacing w:after="0"/>
              <w:rPr>
                <w:sz w:val="20"/>
                <w:szCs w:val="20"/>
                <w:color w:val="auto"/>
              </w:rPr>
            </w:pPr>
            <w:r>
              <w:rPr>
                <w:rFonts w:ascii="Arial" w:cs="Arial" w:eastAsia="Arial" w:hAnsi="Arial"/>
                <w:sz w:val="18"/>
                <w:szCs w:val="18"/>
                <w:color w:val="auto"/>
              </w:rPr>
              <w:t>Public:</w:t>
            </w:r>
          </w:p>
        </w:tc>
        <w:tc>
          <w:tcPr>
            <w:tcW w:w="1420" w:type="dxa"/>
            <w:vAlign w:val="bottom"/>
          </w:tcPr>
          <w:p>
            <w:pPr>
              <w:spacing w:after="0"/>
              <w:rPr>
                <w:sz w:val="21"/>
                <w:szCs w:val="21"/>
                <w:color w:val="auto"/>
              </w:rPr>
            </w:pPr>
          </w:p>
        </w:tc>
        <w:tc>
          <w:tcPr>
            <w:tcW w:w="520" w:type="dxa"/>
            <w:vAlign w:val="bottom"/>
          </w:tcPr>
          <w:p>
            <w:pPr>
              <w:spacing w:after="0"/>
              <w:rPr>
                <w:sz w:val="21"/>
                <w:szCs w:val="21"/>
                <w:color w:val="auto"/>
              </w:rPr>
            </w:pPr>
          </w:p>
        </w:tc>
      </w:tr>
      <w:tr>
        <w:trPr>
          <w:trHeight w:val="27"/>
        </w:trPr>
        <w:tc>
          <w:tcPr>
            <w:tcW w:w="40" w:type="dxa"/>
            <w:vAlign w:val="bottom"/>
          </w:tcPr>
          <w:p>
            <w:pPr>
              <w:spacing w:after="0"/>
              <w:rPr>
                <w:sz w:val="2"/>
                <w:szCs w:val="2"/>
                <w:color w:val="auto"/>
              </w:rPr>
            </w:pPr>
          </w:p>
        </w:tc>
        <w:tc>
          <w:tcPr>
            <w:tcW w:w="1560" w:type="dxa"/>
            <w:vAlign w:val="bottom"/>
          </w:tcPr>
          <w:p>
            <w:pPr>
              <w:spacing w:after="0"/>
              <w:rPr>
                <w:sz w:val="2"/>
                <w:szCs w:val="2"/>
                <w:color w:val="auto"/>
              </w:rPr>
            </w:pPr>
          </w:p>
        </w:tc>
        <w:tc>
          <w:tcPr>
            <w:tcW w:w="7880" w:type="dxa"/>
            <w:vAlign w:val="bottom"/>
          </w:tcPr>
          <w:p>
            <w:pPr>
              <w:spacing w:after="0"/>
              <w:rPr>
                <w:sz w:val="2"/>
                <w:szCs w:val="2"/>
                <w:color w:val="auto"/>
              </w:rPr>
            </w:pPr>
          </w:p>
        </w:tc>
        <w:tc>
          <w:tcPr>
            <w:tcW w:w="1420" w:type="dxa"/>
            <w:vAlign w:val="bottom"/>
          </w:tcPr>
          <w:p>
            <w:pPr>
              <w:spacing w:after="0"/>
              <w:rPr>
                <w:sz w:val="2"/>
                <w:szCs w:val="2"/>
                <w:color w:val="auto"/>
              </w:rPr>
            </w:pPr>
          </w:p>
        </w:tc>
        <w:tc>
          <w:tcPr>
            <w:tcW w:w="520" w:type="dxa"/>
            <w:vAlign w:val="bottom"/>
          </w:tcPr>
          <w:p>
            <w:pPr>
              <w:spacing w:after="0"/>
              <w:rPr>
                <w:sz w:val="2"/>
                <w:szCs w:val="2"/>
                <w:color w:val="auto"/>
              </w:rPr>
            </w:pPr>
          </w:p>
        </w:tc>
      </w:tr>
      <w:tr>
        <w:trPr>
          <w:trHeight w:val="257"/>
        </w:trPr>
        <w:tc>
          <w:tcPr>
            <w:tcW w:w="40" w:type="dxa"/>
            <w:vAlign w:val="bottom"/>
            <w:shd w:val="clear" w:color="auto" w:fill="CCEEFF"/>
          </w:tcPr>
          <w:p>
            <w:pPr>
              <w:spacing w:after="0"/>
              <w:rPr>
                <w:sz w:val="22"/>
                <w:szCs w:val="22"/>
                <w:color w:val="auto"/>
              </w:rPr>
            </w:pPr>
          </w:p>
        </w:tc>
        <w:tc>
          <w:tcPr>
            <w:tcW w:w="9440" w:type="dxa"/>
            <w:vAlign w:val="bottom"/>
            <w:gridSpan w:val="2"/>
            <w:shd w:val="clear" w:color="auto" w:fill="CCEEFF"/>
          </w:tcPr>
          <w:p>
            <w:pPr>
              <w:ind w:left="240"/>
              <w:spacing w:after="0"/>
              <w:rPr>
                <w:sz w:val="20"/>
                <w:szCs w:val="20"/>
                <w:color w:val="auto"/>
              </w:rPr>
            </w:pPr>
            <w:r>
              <w:rPr>
                <w:rFonts w:ascii="Arial" w:cs="Arial" w:eastAsia="Arial" w:hAnsi="Arial"/>
                <w:sz w:val="18"/>
                <w:szCs w:val="18"/>
                <w:color w:val="auto"/>
              </w:rPr>
              <w:t>U.S. Large</w:t>
            </w:r>
          </w:p>
        </w:tc>
        <w:tc>
          <w:tcPr>
            <w:tcW w:w="1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w:t>
            </w: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- 40%</w:t>
            </w:r>
          </w:p>
        </w:tc>
      </w:tr>
      <w:tr>
        <w:trPr>
          <w:trHeight w:val="250"/>
        </w:trPr>
        <w:tc>
          <w:tcPr>
            <w:tcW w:w="40" w:type="dxa"/>
            <w:vAlign w:val="bottom"/>
          </w:tcPr>
          <w:p>
            <w:pPr>
              <w:spacing w:after="0"/>
              <w:rPr>
                <w:sz w:val="21"/>
                <w:szCs w:val="21"/>
                <w:color w:val="auto"/>
              </w:rPr>
            </w:pPr>
          </w:p>
        </w:tc>
        <w:tc>
          <w:tcPr>
            <w:tcW w:w="9440" w:type="dxa"/>
            <w:vAlign w:val="bottom"/>
            <w:gridSpan w:val="2"/>
          </w:tcPr>
          <w:p>
            <w:pPr>
              <w:ind w:left="240"/>
              <w:spacing w:after="0"/>
              <w:rPr>
                <w:sz w:val="20"/>
                <w:szCs w:val="20"/>
                <w:color w:val="auto"/>
              </w:rPr>
            </w:pPr>
            <w:r>
              <w:rPr>
                <w:rFonts w:ascii="Arial" w:cs="Arial" w:eastAsia="Arial" w:hAnsi="Arial"/>
                <w:sz w:val="18"/>
                <w:szCs w:val="18"/>
                <w:color w:val="auto"/>
              </w:rPr>
              <w:t>U.S. Small/Mid</w:t>
            </w:r>
          </w:p>
        </w:tc>
        <w:tc>
          <w:tcPr>
            <w:tcW w:w="1420" w:type="dxa"/>
            <w:vAlign w:val="bottom"/>
          </w:tcPr>
          <w:p>
            <w:pPr>
              <w:jc w:val="right"/>
              <w:spacing w:after="0"/>
              <w:rPr>
                <w:sz w:val="20"/>
                <w:szCs w:val="20"/>
                <w:color w:val="auto"/>
              </w:rPr>
            </w:pPr>
            <w:r>
              <w:rPr>
                <w:rFonts w:ascii="Arial" w:cs="Arial" w:eastAsia="Arial" w:hAnsi="Arial"/>
                <w:sz w:val="18"/>
                <w:szCs w:val="18"/>
                <w:color w:val="auto"/>
              </w:rPr>
              <w:t>2%</w:t>
            </w:r>
          </w:p>
        </w:tc>
        <w:tc>
          <w:tcPr>
            <w:tcW w:w="520" w:type="dxa"/>
            <w:vAlign w:val="bottom"/>
          </w:tcPr>
          <w:p>
            <w:pPr>
              <w:jc w:val="right"/>
              <w:spacing w:after="0"/>
              <w:rPr>
                <w:sz w:val="20"/>
                <w:szCs w:val="20"/>
                <w:color w:val="auto"/>
              </w:rPr>
            </w:pPr>
            <w:r>
              <w:rPr>
                <w:rFonts w:ascii="Arial" w:cs="Arial" w:eastAsia="Arial" w:hAnsi="Arial"/>
                <w:sz w:val="18"/>
                <w:szCs w:val="18"/>
                <w:color w:val="auto"/>
              </w:rPr>
              <w:t>- 10%</w:t>
            </w:r>
          </w:p>
        </w:tc>
      </w:tr>
      <w:tr>
        <w:trPr>
          <w:trHeight w:val="263"/>
        </w:trPr>
        <w:tc>
          <w:tcPr>
            <w:tcW w:w="40" w:type="dxa"/>
            <w:vAlign w:val="bottom"/>
            <w:shd w:val="clear" w:color="auto" w:fill="CCEEFF"/>
          </w:tcPr>
          <w:p>
            <w:pPr>
              <w:spacing w:after="0"/>
              <w:rPr>
                <w:sz w:val="22"/>
                <w:szCs w:val="22"/>
                <w:color w:val="auto"/>
              </w:rPr>
            </w:pPr>
          </w:p>
        </w:tc>
        <w:tc>
          <w:tcPr>
            <w:tcW w:w="9440" w:type="dxa"/>
            <w:vAlign w:val="bottom"/>
            <w:gridSpan w:val="2"/>
            <w:shd w:val="clear" w:color="auto" w:fill="CCEEFF"/>
          </w:tcPr>
          <w:p>
            <w:pPr>
              <w:ind w:left="240"/>
              <w:spacing w:after="0"/>
              <w:rPr>
                <w:sz w:val="20"/>
                <w:szCs w:val="20"/>
                <w:color w:val="auto"/>
              </w:rPr>
            </w:pPr>
            <w:r>
              <w:rPr>
                <w:rFonts w:ascii="Arial" w:cs="Arial" w:eastAsia="Arial" w:hAnsi="Arial"/>
                <w:sz w:val="18"/>
                <w:szCs w:val="18"/>
                <w:color w:val="auto"/>
              </w:rPr>
              <w:t>International</w:t>
            </w:r>
          </w:p>
        </w:tc>
        <w:tc>
          <w:tcPr>
            <w:tcW w:w="1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w:t>
            </w: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- 25%</w:t>
            </w:r>
          </w:p>
        </w:tc>
      </w:tr>
      <w:tr>
        <w:trPr>
          <w:trHeight w:val="250"/>
        </w:trPr>
        <w:tc>
          <w:tcPr>
            <w:tcW w:w="40" w:type="dxa"/>
            <w:vAlign w:val="bottom"/>
          </w:tcPr>
          <w:p>
            <w:pPr>
              <w:spacing w:after="0"/>
              <w:rPr>
                <w:sz w:val="21"/>
                <w:szCs w:val="21"/>
                <w:color w:val="auto"/>
              </w:rPr>
            </w:pPr>
          </w:p>
        </w:tc>
        <w:tc>
          <w:tcPr>
            <w:tcW w:w="9440" w:type="dxa"/>
            <w:vAlign w:val="bottom"/>
            <w:gridSpan w:val="2"/>
          </w:tcPr>
          <w:p>
            <w:pPr>
              <w:ind w:left="240"/>
              <w:spacing w:after="0"/>
              <w:rPr>
                <w:sz w:val="20"/>
                <w:szCs w:val="20"/>
                <w:color w:val="auto"/>
              </w:rPr>
            </w:pPr>
            <w:r>
              <w:rPr>
                <w:rFonts w:ascii="Arial" w:cs="Arial" w:eastAsia="Arial" w:hAnsi="Arial"/>
                <w:sz w:val="18"/>
                <w:szCs w:val="18"/>
                <w:color w:val="auto"/>
              </w:rPr>
              <w:t>Emerging Markets</w:t>
            </w:r>
          </w:p>
        </w:tc>
        <w:tc>
          <w:tcPr>
            <w:tcW w:w="1420" w:type="dxa"/>
            <w:vAlign w:val="bottom"/>
          </w:tcPr>
          <w:p>
            <w:pPr>
              <w:jc w:val="right"/>
              <w:spacing w:after="0"/>
              <w:rPr>
                <w:sz w:val="20"/>
                <w:szCs w:val="20"/>
                <w:color w:val="auto"/>
              </w:rPr>
            </w:pPr>
            <w:r>
              <w:rPr>
                <w:rFonts w:ascii="Arial" w:cs="Arial" w:eastAsia="Arial" w:hAnsi="Arial"/>
                <w:sz w:val="18"/>
                <w:szCs w:val="18"/>
                <w:color w:val="auto"/>
              </w:rPr>
              <w:t>2%</w:t>
            </w:r>
          </w:p>
        </w:tc>
        <w:tc>
          <w:tcPr>
            <w:tcW w:w="520" w:type="dxa"/>
            <w:vAlign w:val="bottom"/>
          </w:tcPr>
          <w:p>
            <w:pPr>
              <w:jc w:val="right"/>
              <w:spacing w:after="0"/>
              <w:rPr>
                <w:sz w:val="20"/>
                <w:szCs w:val="20"/>
                <w:color w:val="auto"/>
              </w:rPr>
            </w:pPr>
            <w:r>
              <w:rPr>
                <w:rFonts w:ascii="Arial" w:cs="Arial" w:eastAsia="Arial" w:hAnsi="Arial"/>
                <w:sz w:val="18"/>
                <w:szCs w:val="18"/>
                <w:color w:val="auto"/>
              </w:rPr>
              <w:t>- 15%</w:t>
            </w:r>
          </w:p>
        </w:tc>
      </w:tr>
      <w:tr>
        <w:trPr>
          <w:trHeight w:val="263"/>
        </w:trPr>
        <w:tc>
          <w:tcPr>
            <w:tcW w:w="40" w:type="dxa"/>
            <w:vAlign w:val="bottom"/>
            <w:shd w:val="clear" w:color="auto" w:fill="CCEEFF"/>
          </w:tcPr>
          <w:p>
            <w:pPr>
              <w:spacing w:after="0"/>
              <w:rPr>
                <w:sz w:val="22"/>
                <w:szCs w:val="22"/>
                <w:color w:val="auto"/>
              </w:rPr>
            </w:pPr>
          </w:p>
        </w:tc>
        <w:tc>
          <w:tcPr>
            <w:tcW w:w="9440" w:type="dxa"/>
            <w:vAlign w:val="bottom"/>
            <w:gridSpan w:val="2"/>
            <w:shd w:val="clear" w:color="auto" w:fill="CCEEFF"/>
          </w:tcPr>
          <w:p>
            <w:pPr>
              <w:ind w:left="140"/>
              <w:spacing w:after="0"/>
              <w:rPr>
                <w:sz w:val="20"/>
                <w:szCs w:val="20"/>
                <w:color w:val="auto"/>
              </w:rPr>
            </w:pPr>
            <w:r>
              <w:rPr>
                <w:rFonts w:ascii="Arial" w:cs="Arial" w:eastAsia="Arial" w:hAnsi="Arial"/>
                <w:sz w:val="18"/>
                <w:szCs w:val="18"/>
                <w:color w:val="auto"/>
              </w:rPr>
              <w:t>Alternative Investments</w:t>
            </w:r>
          </w:p>
        </w:tc>
        <w:tc>
          <w:tcPr>
            <w:tcW w:w="1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w:t>
            </w: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- 30%</w:t>
            </w:r>
          </w:p>
        </w:tc>
      </w:tr>
      <w:tr>
        <w:trPr>
          <w:trHeight w:val="250"/>
        </w:trPr>
        <w:tc>
          <w:tcPr>
            <w:tcW w:w="9480" w:type="dxa"/>
            <w:vAlign w:val="bottom"/>
            <w:gridSpan w:val="3"/>
          </w:tcPr>
          <w:p>
            <w:pPr>
              <w:ind w:left="40"/>
              <w:spacing w:after="0"/>
              <w:rPr>
                <w:sz w:val="20"/>
                <w:szCs w:val="20"/>
                <w:color w:val="auto"/>
              </w:rPr>
            </w:pPr>
            <w:r>
              <w:rPr>
                <w:rFonts w:ascii="Arial" w:cs="Arial" w:eastAsia="Arial" w:hAnsi="Arial"/>
                <w:sz w:val="18"/>
                <w:szCs w:val="18"/>
                <w:color w:val="auto"/>
              </w:rPr>
              <w:t>Fixed Income</w:t>
            </w:r>
          </w:p>
        </w:tc>
        <w:tc>
          <w:tcPr>
            <w:tcW w:w="1420" w:type="dxa"/>
            <w:vAlign w:val="bottom"/>
          </w:tcPr>
          <w:p>
            <w:pPr>
              <w:jc w:val="right"/>
              <w:spacing w:after="0"/>
              <w:rPr>
                <w:sz w:val="20"/>
                <w:szCs w:val="20"/>
                <w:color w:val="auto"/>
              </w:rPr>
            </w:pPr>
            <w:r>
              <w:rPr>
                <w:rFonts w:ascii="Arial" w:cs="Arial" w:eastAsia="Arial" w:hAnsi="Arial"/>
                <w:sz w:val="18"/>
                <w:szCs w:val="18"/>
                <w:color w:val="auto"/>
              </w:rPr>
              <w:t>20%</w:t>
            </w:r>
          </w:p>
        </w:tc>
        <w:tc>
          <w:tcPr>
            <w:tcW w:w="520" w:type="dxa"/>
            <w:vAlign w:val="bottom"/>
          </w:tcPr>
          <w:p>
            <w:pPr>
              <w:jc w:val="right"/>
              <w:spacing w:after="0"/>
              <w:rPr>
                <w:sz w:val="20"/>
                <w:szCs w:val="20"/>
                <w:color w:val="auto"/>
              </w:rPr>
            </w:pPr>
            <w:r>
              <w:rPr>
                <w:rFonts w:ascii="Arial" w:cs="Arial" w:eastAsia="Arial" w:hAnsi="Arial"/>
                <w:sz w:val="18"/>
                <w:szCs w:val="18"/>
                <w:color w:val="auto"/>
              </w:rPr>
              <w:t>- 55%</w:t>
            </w:r>
          </w:p>
        </w:tc>
      </w:tr>
      <w:tr>
        <w:trPr>
          <w:trHeight w:val="257"/>
        </w:trPr>
        <w:tc>
          <w:tcPr>
            <w:tcW w:w="40" w:type="dxa"/>
            <w:vAlign w:val="bottom"/>
            <w:tcBorders>
              <w:bottom w:val="single" w:sz="8" w:color="CCEEFF"/>
            </w:tcBorders>
            <w:shd w:val="clear" w:color="auto" w:fill="CCEEFF"/>
          </w:tcPr>
          <w:p>
            <w:pPr>
              <w:spacing w:after="0"/>
              <w:rPr>
                <w:sz w:val="22"/>
                <w:szCs w:val="22"/>
                <w:color w:val="auto"/>
              </w:rPr>
            </w:pPr>
          </w:p>
        </w:tc>
        <w:tc>
          <w:tcPr>
            <w:tcW w:w="9440" w:type="dxa"/>
            <w:vAlign w:val="bottom"/>
            <w:tcBorders>
              <w:bottom w:val="single" w:sz="8" w:color="CCEEFF"/>
            </w:tcBorders>
            <w:gridSpan w:val="2"/>
            <w:shd w:val="clear" w:color="auto" w:fill="CCEEFF"/>
          </w:tcPr>
          <w:p>
            <w:pPr>
              <w:ind w:left="140"/>
              <w:spacing w:after="0"/>
              <w:rPr>
                <w:sz w:val="20"/>
                <w:szCs w:val="20"/>
                <w:color w:val="auto"/>
              </w:rPr>
            </w:pPr>
            <w:r>
              <w:rPr>
                <w:rFonts w:ascii="Arial" w:cs="Arial" w:eastAsia="Arial" w:hAnsi="Arial"/>
                <w:sz w:val="18"/>
                <w:szCs w:val="18"/>
                <w:color w:val="auto"/>
              </w:rPr>
              <w:t>Public:</w:t>
            </w:r>
          </w:p>
        </w:tc>
        <w:tc>
          <w:tcPr>
            <w:tcW w:w="1420" w:type="dxa"/>
            <w:vAlign w:val="bottom"/>
            <w:tcBorders>
              <w:bottom w:val="single" w:sz="8" w:color="CCEEFF"/>
            </w:tcBorders>
            <w:shd w:val="clear" w:color="auto" w:fill="CCEEFF"/>
          </w:tcPr>
          <w:p>
            <w:pPr>
              <w:spacing w:after="0"/>
              <w:rPr>
                <w:sz w:val="22"/>
                <w:szCs w:val="22"/>
                <w:color w:val="auto"/>
              </w:rPr>
            </w:pPr>
          </w:p>
        </w:tc>
        <w:tc>
          <w:tcPr>
            <w:tcW w:w="520" w:type="dxa"/>
            <w:vAlign w:val="bottom"/>
            <w:tcBorders>
              <w:bottom w:val="single" w:sz="8" w:color="CCEEFF"/>
            </w:tcBorders>
            <w:shd w:val="clear" w:color="auto" w:fill="CCEEFF"/>
          </w:tcPr>
          <w:p>
            <w:pPr>
              <w:spacing w:after="0"/>
              <w:rPr>
                <w:sz w:val="22"/>
                <w:szCs w:val="22"/>
                <w:color w:val="auto"/>
              </w:rPr>
            </w:pPr>
          </w:p>
        </w:tc>
      </w:tr>
      <w:tr>
        <w:trPr>
          <w:trHeight w:val="250"/>
        </w:trPr>
        <w:tc>
          <w:tcPr>
            <w:tcW w:w="40" w:type="dxa"/>
            <w:vAlign w:val="bottom"/>
          </w:tcPr>
          <w:p>
            <w:pPr>
              <w:spacing w:after="0"/>
              <w:rPr>
                <w:sz w:val="21"/>
                <w:szCs w:val="21"/>
                <w:color w:val="auto"/>
              </w:rPr>
            </w:pPr>
          </w:p>
        </w:tc>
        <w:tc>
          <w:tcPr>
            <w:tcW w:w="9440" w:type="dxa"/>
            <w:vAlign w:val="bottom"/>
            <w:gridSpan w:val="2"/>
          </w:tcPr>
          <w:p>
            <w:pPr>
              <w:ind w:left="240"/>
              <w:spacing w:after="0"/>
              <w:rPr>
                <w:sz w:val="20"/>
                <w:szCs w:val="20"/>
                <w:color w:val="auto"/>
              </w:rPr>
            </w:pPr>
            <w:r>
              <w:rPr>
                <w:rFonts w:ascii="Arial" w:cs="Arial" w:eastAsia="Arial" w:hAnsi="Arial"/>
                <w:sz w:val="18"/>
                <w:szCs w:val="18"/>
                <w:color w:val="auto"/>
              </w:rPr>
              <w:t>U.S. Long Duration</w:t>
            </w:r>
          </w:p>
        </w:tc>
        <w:tc>
          <w:tcPr>
            <w:tcW w:w="1420" w:type="dxa"/>
            <w:vAlign w:val="bottom"/>
          </w:tcPr>
          <w:p>
            <w:pPr>
              <w:jc w:val="right"/>
              <w:spacing w:after="0"/>
              <w:rPr>
                <w:sz w:val="20"/>
                <w:szCs w:val="20"/>
                <w:color w:val="auto"/>
              </w:rPr>
            </w:pPr>
            <w:r>
              <w:rPr>
                <w:rFonts w:ascii="Arial" w:cs="Arial" w:eastAsia="Arial" w:hAnsi="Arial"/>
                <w:sz w:val="18"/>
                <w:szCs w:val="18"/>
                <w:color w:val="auto"/>
              </w:rPr>
              <w:t>15%</w:t>
            </w:r>
          </w:p>
        </w:tc>
        <w:tc>
          <w:tcPr>
            <w:tcW w:w="520" w:type="dxa"/>
            <w:vAlign w:val="bottom"/>
          </w:tcPr>
          <w:p>
            <w:pPr>
              <w:jc w:val="right"/>
              <w:spacing w:after="0"/>
              <w:rPr>
                <w:sz w:val="20"/>
                <w:szCs w:val="20"/>
                <w:color w:val="auto"/>
              </w:rPr>
            </w:pPr>
            <w:r>
              <w:rPr>
                <w:rFonts w:ascii="Arial" w:cs="Arial" w:eastAsia="Arial" w:hAnsi="Arial"/>
                <w:sz w:val="18"/>
                <w:szCs w:val="18"/>
                <w:color w:val="auto"/>
              </w:rPr>
              <w:t>- 45%</w:t>
            </w:r>
          </w:p>
        </w:tc>
      </w:tr>
      <w:tr>
        <w:trPr>
          <w:trHeight w:val="263"/>
        </w:trPr>
        <w:tc>
          <w:tcPr>
            <w:tcW w:w="40" w:type="dxa"/>
            <w:vAlign w:val="bottom"/>
            <w:shd w:val="clear" w:color="auto" w:fill="CCEEFF"/>
          </w:tcPr>
          <w:p>
            <w:pPr>
              <w:spacing w:after="0"/>
              <w:rPr>
                <w:sz w:val="22"/>
                <w:szCs w:val="22"/>
                <w:color w:val="auto"/>
              </w:rPr>
            </w:pPr>
          </w:p>
        </w:tc>
        <w:tc>
          <w:tcPr>
            <w:tcW w:w="9440" w:type="dxa"/>
            <w:vAlign w:val="bottom"/>
            <w:gridSpan w:val="2"/>
            <w:shd w:val="clear" w:color="auto" w:fill="CCEEFF"/>
          </w:tcPr>
          <w:p>
            <w:pPr>
              <w:ind w:left="240"/>
              <w:spacing w:after="0"/>
              <w:rPr>
                <w:sz w:val="20"/>
                <w:szCs w:val="20"/>
                <w:color w:val="auto"/>
              </w:rPr>
            </w:pPr>
            <w:r>
              <w:rPr>
                <w:rFonts w:ascii="Arial" w:cs="Arial" w:eastAsia="Arial" w:hAnsi="Arial"/>
                <w:sz w:val="18"/>
                <w:szCs w:val="18"/>
                <w:color w:val="auto"/>
              </w:rPr>
              <w:t>High Yield and Emerging Markets</w:t>
            </w:r>
          </w:p>
        </w:tc>
        <w:tc>
          <w:tcPr>
            <w:tcW w:w="1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w:t>
            </w: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- 10%</w:t>
            </w:r>
          </w:p>
        </w:tc>
      </w:tr>
      <w:tr>
        <w:trPr>
          <w:trHeight w:val="250"/>
        </w:trPr>
        <w:tc>
          <w:tcPr>
            <w:tcW w:w="40" w:type="dxa"/>
            <w:vAlign w:val="bottom"/>
          </w:tcPr>
          <w:p>
            <w:pPr>
              <w:spacing w:after="0"/>
              <w:rPr>
                <w:sz w:val="21"/>
                <w:szCs w:val="21"/>
                <w:color w:val="auto"/>
              </w:rPr>
            </w:pPr>
          </w:p>
        </w:tc>
        <w:tc>
          <w:tcPr>
            <w:tcW w:w="9440" w:type="dxa"/>
            <w:vAlign w:val="bottom"/>
            <w:gridSpan w:val="2"/>
          </w:tcPr>
          <w:p>
            <w:pPr>
              <w:ind w:left="140"/>
              <w:spacing w:after="0"/>
              <w:rPr>
                <w:sz w:val="20"/>
                <w:szCs w:val="20"/>
                <w:color w:val="auto"/>
              </w:rPr>
            </w:pPr>
            <w:r>
              <w:rPr>
                <w:rFonts w:ascii="Arial" w:cs="Arial" w:eastAsia="Arial" w:hAnsi="Arial"/>
                <w:sz w:val="18"/>
                <w:szCs w:val="18"/>
                <w:color w:val="auto"/>
              </w:rPr>
              <w:t>Private Income</w:t>
            </w:r>
          </w:p>
        </w:tc>
        <w:tc>
          <w:tcPr>
            <w:tcW w:w="1420" w:type="dxa"/>
            <w:vAlign w:val="bottom"/>
          </w:tcPr>
          <w:p>
            <w:pPr>
              <w:jc w:val="right"/>
              <w:spacing w:after="0"/>
              <w:rPr>
                <w:sz w:val="20"/>
                <w:szCs w:val="20"/>
                <w:color w:val="auto"/>
              </w:rPr>
            </w:pPr>
            <w:r>
              <w:rPr>
                <w:rFonts w:ascii="Arial" w:cs="Arial" w:eastAsia="Arial" w:hAnsi="Arial"/>
                <w:sz w:val="18"/>
                <w:szCs w:val="18"/>
                <w:color w:val="auto"/>
              </w:rPr>
              <w:t>0%</w:t>
            </w:r>
          </w:p>
        </w:tc>
        <w:tc>
          <w:tcPr>
            <w:tcW w:w="520" w:type="dxa"/>
            <w:vAlign w:val="bottom"/>
          </w:tcPr>
          <w:p>
            <w:pPr>
              <w:jc w:val="right"/>
              <w:spacing w:after="0"/>
              <w:rPr>
                <w:sz w:val="20"/>
                <w:szCs w:val="20"/>
                <w:color w:val="auto"/>
              </w:rPr>
            </w:pPr>
            <w:r>
              <w:rPr>
                <w:rFonts w:ascii="Arial" w:cs="Arial" w:eastAsia="Arial" w:hAnsi="Arial"/>
                <w:sz w:val="18"/>
                <w:szCs w:val="18"/>
                <w:color w:val="auto"/>
              </w:rPr>
              <w:t>- 10%</w:t>
            </w:r>
          </w:p>
        </w:tc>
      </w:tr>
      <w:tr>
        <w:trPr>
          <w:trHeight w:val="263"/>
        </w:trPr>
        <w:tc>
          <w:tcPr>
            <w:tcW w:w="9480" w:type="dxa"/>
            <w:vAlign w:val="bottom"/>
            <w:gridSpan w:val="3"/>
            <w:shd w:val="clear" w:color="auto" w:fill="CCEEFF"/>
          </w:tcPr>
          <w:p>
            <w:pPr>
              <w:ind w:left="40"/>
              <w:spacing w:after="0"/>
              <w:rPr>
                <w:sz w:val="20"/>
                <w:szCs w:val="20"/>
                <w:color w:val="auto"/>
              </w:rPr>
            </w:pPr>
            <w:r>
              <w:rPr>
                <w:rFonts w:ascii="Arial" w:cs="Arial" w:eastAsia="Arial" w:hAnsi="Arial"/>
                <w:sz w:val="18"/>
                <w:szCs w:val="18"/>
                <w:color w:val="auto"/>
              </w:rPr>
              <w:t>Other</w:t>
            </w:r>
          </w:p>
        </w:tc>
        <w:tc>
          <w:tcPr>
            <w:tcW w:w="19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0% - 5%</w:t>
            </w:r>
          </w:p>
        </w:tc>
      </w:tr>
      <w:tr>
        <w:trPr>
          <w:trHeight w:val="243"/>
        </w:trPr>
        <w:tc>
          <w:tcPr>
            <w:tcW w:w="9480" w:type="dxa"/>
            <w:vAlign w:val="bottom"/>
            <w:gridSpan w:val="3"/>
          </w:tcPr>
          <w:p>
            <w:pPr>
              <w:ind w:left="40"/>
              <w:spacing w:after="0"/>
              <w:rPr>
                <w:sz w:val="20"/>
                <w:szCs w:val="20"/>
                <w:color w:val="auto"/>
              </w:rPr>
            </w:pPr>
            <w:r>
              <w:rPr>
                <w:rFonts w:ascii="Arial" w:cs="Arial" w:eastAsia="Arial" w:hAnsi="Arial"/>
                <w:sz w:val="18"/>
                <w:szCs w:val="18"/>
                <w:color w:val="auto"/>
              </w:rPr>
              <w:t>Cash Equivalents</w:t>
            </w:r>
          </w:p>
        </w:tc>
        <w:tc>
          <w:tcPr>
            <w:tcW w:w="1420" w:type="dxa"/>
            <w:vAlign w:val="bottom"/>
          </w:tcPr>
          <w:p>
            <w:pPr>
              <w:jc w:val="right"/>
              <w:spacing w:after="0"/>
              <w:rPr>
                <w:sz w:val="20"/>
                <w:szCs w:val="20"/>
                <w:color w:val="auto"/>
              </w:rPr>
            </w:pPr>
            <w:r>
              <w:rPr>
                <w:rFonts w:ascii="Arial" w:cs="Arial" w:eastAsia="Arial" w:hAnsi="Arial"/>
                <w:sz w:val="18"/>
                <w:szCs w:val="18"/>
                <w:color w:val="auto"/>
              </w:rPr>
              <w:t>0%</w:t>
            </w:r>
          </w:p>
        </w:tc>
        <w:tc>
          <w:tcPr>
            <w:tcW w:w="520" w:type="dxa"/>
            <w:vAlign w:val="bottom"/>
          </w:tcPr>
          <w:p>
            <w:pPr>
              <w:jc w:val="right"/>
              <w:spacing w:after="0"/>
              <w:rPr>
                <w:sz w:val="20"/>
                <w:szCs w:val="20"/>
                <w:color w:val="auto"/>
              </w:rPr>
            </w:pPr>
            <w:r>
              <w:rPr>
                <w:rFonts w:ascii="Arial" w:cs="Arial" w:eastAsia="Arial" w:hAnsi="Arial"/>
                <w:sz w:val="18"/>
                <w:szCs w:val="18"/>
                <w:color w:val="auto"/>
              </w:rPr>
              <w:t>- 20%</w:t>
            </w:r>
          </w:p>
        </w:tc>
      </w:tr>
    </w:tbl>
    <w:p>
      <w:pPr>
        <w:spacing w:after="0" w:line="391" w:lineRule="exact"/>
        <w:rPr>
          <w:sz w:val="20"/>
          <w:szCs w:val="20"/>
          <w:color w:val="auto"/>
        </w:rPr>
      </w:pPr>
    </w:p>
    <w:p>
      <w:pPr>
        <w:jc w:val="both"/>
        <w:ind w:firstLine="216"/>
        <w:spacing w:after="0" w:line="252" w:lineRule="auto"/>
        <w:rPr>
          <w:sz w:val="20"/>
          <w:szCs w:val="20"/>
          <w:color w:val="auto"/>
        </w:rPr>
      </w:pPr>
      <w:r>
        <w:rPr>
          <w:rFonts w:ascii="Arial" w:cs="Arial" w:eastAsia="Arial" w:hAnsi="Arial"/>
          <w:sz w:val="18"/>
          <w:szCs w:val="18"/>
          <w:color w:val="auto"/>
        </w:rPr>
        <w:t>Public equity as well as high yield and emerging market fixed income securities are used to provide diversification and are expected to generate higher returns over the long-term than U.S. long duration bonds. Public stocks are managed using a value investment approach in order to participate in the returns generated by stocks in the long-term, while reducing year-over-year volatility. U.S. long duration bonds are used to partially hedge the assets from declines in interest rates. Alternative (private) investments are used to provide expected returns in excess of the public markets over the long-term. The pension plan’s master trust also participates in securities lending programs to generate additional income by loaning plan assets to borrowers on a fully collateralized basis. These programs are subject to market risk.</w:t>
      </w:r>
    </w:p>
    <w:p>
      <w:pPr>
        <w:spacing w:after="0" w:line="155" w:lineRule="exact"/>
        <w:rPr>
          <w:sz w:val="20"/>
          <w:szCs w:val="20"/>
          <w:color w:val="auto"/>
        </w:rPr>
      </w:pPr>
    </w:p>
    <w:p>
      <w:pPr>
        <w:jc w:val="both"/>
        <w:ind w:firstLine="216"/>
        <w:spacing w:after="0" w:line="251" w:lineRule="auto"/>
        <w:rPr>
          <w:sz w:val="20"/>
          <w:szCs w:val="20"/>
          <w:color w:val="auto"/>
        </w:rPr>
      </w:pPr>
      <w:r>
        <w:rPr>
          <w:rFonts w:ascii="Arial" w:cs="Arial" w:eastAsia="Arial" w:hAnsi="Arial"/>
          <w:sz w:val="18"/>
          <w:szCs w:val="18"/>
          <w:color w:val="auto"/>
        </w:rPr>
        <w:t>Investments in securities traded on recognized securities exchanges are valued at the last reported sales price on the last business day of the year. Securities traded in the over-the-counter market are valued at the last bid price. The money market fund is valued at fair value which represents the net asset value of the shares of such fund as of the close of business at the end of the period. Investments in limited partnerships are carried at estimated net asset value as determined by and reported by the general partners of the partnerships and represent the proportionate share of the estimated fair value of the underlying assets of the limited partnerships. Common/collective trusts are valued at net asset value based on the fair values of the underlying investments of the trusts as determined by the sponsor of the trusts. The pension plan’s master trust also invests in a 103-12 investment entity (the 103-12 Investment Trust) which is designed to invest plan assets of more than one unrelated employer. The 103-12 Investment Trust is valued at net asset value which is determined by the issuer daily and is based on the aggregate fair value of trust assets less liabilities, divided by the number of units outstanding. No changes in valuation techniques or inputs occurred during the year.</w:t>
      </w:r>
    </w:p>
    <w:p>
      <w:pPr>
        <w:spacing w:after="0" w:line="21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102</w:t>
      </w:r>
    </w:p>
    <w:p>
      <w:pPr>
        <w:sectPr>
          <w:pgSz w:w="11900" w:h="16838" w:orient="portrait"/>
          <w:cols w:equalWidth="0" w:num="1">
            <w:col w:w="11420"/>
          </w:cols>
          <w:pgMar w:left="240" w:top="549" w:right="239" w:bottom="1440" w:gutter="0" w:footer="0" w:header="0"/>
        </w:sectPr>
      </w:pPr>
    </w:p>
    <w:bookmarkStart w:id="102" w:name="page103"/>
    <w:bookmarkEnd w:id="102"/>
    <w:p>
      <w:pPr>
        <w:jc w:val="center"/>
        <w:spacing w:after="0"/>
        <w:rPr>
          <w:sz w:val="20"/>
          <w:szCs w:val="20"/>
          <w:color w:val="auto"/>
        </w:rPr>
      </w:pPr>
      <w:r>
        <w:rPr>
          <w:rFonts w:ascii="Arial" w:cs="Arial" w:eastAsia="Arial" w:hAnsi="Arial"/>
          <w:sz w:val="18"/>
          <w:szCs w:val="18"/>
          <w:b w:val="1"/>
          <w:bCs w:val="1"/>
          <w:color w:val="auto"/>
        </w:rPr>
        <w:t>NOTES TO CONSOLIDATED FINANCIAL STATEMENTS OF AMERICAN AIRLINES GROUP INC.</w:t>
      </w:r>
    </w:p>
    <w:p>
      <w:pPr>
        <w:spacing w:after="0" w:line="200" w:lineRule="exact"/>
        <w:rPr>
          <w:sz w:val="20"/>
          <w:szCs w:val="20"/>
          <w:color w:val="auto"/>
        </w:rPr>
      </w:pPr>
    </w:p>
    <w:p>
      <w:pPr>
        <w:spacing w:after="0" w:line="268" w:lineRule="exact"/>
        <w:rPr>
          <w:sz w:val="20"/>
          <w:szCs w:val="20"/>
          <w:color w:val="auto"/>
        </w:rPr>
      </w:pPr>
    </w:p>
    <w:p>
      <w:pPr>
        <w:ind w:left="220"/>
        <w:spacing w:after="0"/>
        <w:rPr>
          <w:sz w:val="20"/>
          <w:szCs w:val="20"/>
          <w:color w:val="auto"/>
        </w:rPr>
      </w:pPr>
      <w:r>
        <w:rPr>
          <w:rFonts w:ascii="Arial" w:cs="Arial" w:eastAsia="Arial" w:hAnsi="Arial"/>
          <w:sz w:val="18"/>
          <w:szCs w:val="18"/>
          <w:b w:val="1"/>
          <w:bCs w:val="1"/>
          <w:i w:val="1"/>
          <w:iCs w:val="1"/>
          <w:color w:val="auto"/>
        </w:rPr>
        <w:t>Benefit Plan Assets Measured at Fair Value on a Recurring Basis</w:t>
      </w:r>
    </w:p>
    <w:p>
      <w:pPr>
        <w:spacing w:after="0" w:line="112" w:lineRule="exact"/>
        <w:rPr>
          <w:sz w:val="20"/>
          <w:szCs w:val="20"/>
          <w:color w:val="auto"/>
        </w:rPr>
      </w:pPr>
    </w:p>
    <w:p>
      <w:pPr>
        <w:ind w:left="220"/>
        <w:spacing w:after="0"/>
        <w:rPr>
          <w:sz w:val="20"/>
          <w:szCs w:val="20"/>
          <w:color w:val="auto"/>
        </w:rPr>
      </w:pPr>
      <w:r>
        <w:rPr>
          <w:rFonts w:ascii="Arial" w:cs="Arial" w:eastAsia="Arial" w:hAnsi="Arial"/>
          <w:sz w:val="18"/>
          <w:szCs w:val="18"/>
          <w:color w:val="auto"/>
        </w:rPr>
        <w:t>The fair value of our pension plan assets at December 31, 2019 and 2018, by asset category, were as follows (in millions):</w:t>
      </w:r>
    </w:p>
    <w:p>
      <w:pPr>
        <w:spacing w:after="0" w:line="321" w:lineRule="exact"/>
        <w:rPr>
          <w:sz w:val="20"/>
          <w:szCs w:val="20"/>
          <w:color w:val="auto"/>
        </w:rPr>
      </w:pPr>
    </w:p>
    <w:tbl>
      <w:tblPr>
        <w:tblLayout w:type="fixed"/>
        <w:tblInd w:w="0" w:type="dxa"/>
        <w:tblCellMar>
          <w:top w:w="0" w:type="dxa"/>
          <w:left w:w="0" w:type="dxa"/>
          <w:bottom w:w="0" w:type="dxa"/>
          <w:right w:w="0" w:type="dxa"/>
        </w:tblCellMar>
      </w:tblPr>
      <w:tr>
        <w:trPr>
          <w:trHeight w:val="196"/>
        </w:trPr>
        <w:tc>
          <w:tcPr>
            <w:tcW w:w="4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4480" w:type="dxa"/>
            <w:vAlign w:val="bottom"/>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4700" w:type="dxa"/>
            <w:vAlign w:val="bottom"/>
            <w:tcBorders>
              <w:bottom w:val="single" w:sz="8" w:color="auto"/>
            </w:tcBorders>
            <w:gridSpan w:val="9"/>
          </w:tcPr>
          <w:p>
            <w:pPr>
              <w:jc w:val="right"/>
              <w:ind w:right="110"/>
              <w:spacing w:after="0"/>
              <w:rPr>
                <w:sz w:val="20"/>
                <w:szCs w:val="20"/>
                <w:color w:val="auto"/>
              </w:rPr>
            </w:pPr>
            <w:r>
              <w:rPr>
                <w:rFonts w:ascii="Arial" w:cs="Arial" w:eastAsia="Arial" w:hAnsi="Arial"/>
                <w:sz w:val="14"/>
                <w:szCs w:val="14"/>
                <w:b w:val="1"/>
                <w:bCs w:val="1"/>
                <w:color w:val="auto"/>
              </w:rPr>
              <w:t>Fair Value Measurements as of December 31, 2019</w:t>
            </w:r>
          </w:p>
        </w:tc>
        <w:tc>
          <w:tcPr>
            <w:tcW w:w="980" w:type="dxa"/>
            <w:vAlign w:val="bottom"/>
            <w:tcBorders>
              <w:bottom w:val="single" w:sz="8" w:color="auto"/>
            </w:tcBorders>
          </w:tcPr>
          <w:p>
            <w:pPr>
              <w:spacing w:after="0"/>
              <w:rPr>
                <w:sz w:val="17"/>
                <w:szCs w:val="17"/>
                <w:color w:val="auto"/>
              </w:rPr>
            </w:pPr>
          </w:p>
        </w:tc>
      </w:tr>
      <w:tr>
        <w:trPr>
          <w:trHeight w:val="175"/>
        </w:trPr>
        <w:tc>
          <w:tcPr>
            <w:tcW w:w="4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44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44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rPr>
              <w:t>Quoted Prices in</w:t>
            </w:r>
          </w:p>
        </w:tc>
        <w:tc>
          <w:tcPr>
            <w:tcW w:w="220" w:type="dxa"/>
            <w:vAlign w:val="bottom"/>
          </w:tcPr>
          <w:p>
            <w:pPr>
              <w:spacing w:after="0"/>
              <w:rPr>
                <w:sz w:val="15"/>
                <w:szCs w:val="15"/>
                <w:color w:val="auto"/>
              </w:rPr>
            </w:pPr>
          </w:p>
        </w:tc>
        <w:tc>
          <w:tcPr>
            <w:tcW w:w="11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2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980" w:type="dxa"/>
            <w:vAlign w:val="bottom"/>
          </w:tcPr>
          <w:p>
            <w:pPr>
              <w:spacing w:after="0"/>
              <w:rPr>
                <w:sz w:val="15"/>
                <w:szCs w:val="15"/>
                <w:color w:val="auto"/>
              </w:rPr>
            </w:pPr>
          </w:p>
        </w:tc>
      </w:tr>
      <w:tr>
        <w:trPr>
          <w:trHeight w:val="162"/>
        </w:trPr>
        <w:tc>
          <w:tcPr>
            <w:tcW w:w="4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44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44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rPr>
              <w:t>Active Markets</w:t>
            </w:r>
          </w:p>
        </w:tc>
        <w:tc>
          <w:tcPr>
            <w:tcW w:w="220" w:type="dxa"/>
            <w:vAlign w:val="bottom"/>
          </w:tcPr>
          <w:p>
            <w:pPr>
              <w:spacing w:after="0"/>
              <w:rPr>
                <w:sz w:val="14"/>
                <w:szCs w:val="14"/>
                <w:color w:val="auto"/>
              </w:rPr>
            </w:pPr>
          </w:p>
        </w:tc>
        <w:tc>
          <w:tcPr>
            <w:tcW w:w="1260" w:type="dxa"/>
            <w:vAlign w:val="bottom"/>
            <w:gridSpan w:val="2"/>
          </w:tcPr>
          <w:p>
            <w:pPr>
              <w:jc w:val="center"/>
              <w:ind w:right="320"/>
              <w:spacing w:after="0"/>
              <w:rPr>
                <w:sz w:val="20"/>
                <w:szCs w:val="20"/>
                <w:color w:val="auto"/>
              </w:rPr>
            </w:pPr>
            <w:r>
              <w:rPr>
                <w:rFonts w:ascii="Arial" w:cs="Arial" w:eastAsia="Arial" w:hAnsi="Arial"/>
                <w:sz w:val="14"/>
                <w:szCs w:val="14"/>
                <w:b w:val="1"/>
                <w:bCs w:val="1"/>
                <w:color w:val="auto"/>
              </w:rPr>
              <w:t>Significant</w:t>
            </w:r>
          </w:p>
        </w:tc>
        <w:tc>
          <w:tcPr>
            <w:tcW w:w="180" w:type="dxa"/>
            <w:vAlign w:val="bottom"/>
          </w:tcPr>
          <w:p>
            <w:pPr>
              <w:spacing w:after="0"/>
              <w:rPr>
                <w:sz w:val="14"/>
                <w:szCs w:val="14"/>
                <w:color w:val="auto"/>
              </w:rPr>
            </w:pPr>
          </w:p>
        </w:tc>
        <w:tc>
          <w:tcPr>
            <w:tcW w:w="1320" w:type="dxa"/>
            <w:vAlign w:val="bottom"/>
            <w:gridSpan w:val="2"/>
          </w:tcPr>
          <w:p>
            <w:pPr>
              <w:jc w:val="center"/>
              <w:ind w:right="300"/>
              <w:spacing w:after="0"/>
              <w:rPr>
                <w:sz w:val="20"/>
                <w:szCs w:val="20"/>
                <w:color w:val="auto"/>
              </w:rPr>
            </w:pPr>
            <w:r>
              <w:rPr>
                <w:rFonts w:ascii="Arial" w:cs="Arial" w:eastAsia="Arial" w:hAnsi="Arial"/>
                <w:sz w:val="14"/>
                <w:szCs w:val="14"/>
                <w:b w:val="1"/>
                <w:bCs w:val="1"/>
                <w:color w:val="auto"/>
              </w:rPr>
              <w:t>Significant</w:t>
            </w:r>
          </w:p>
        </w:tc>
        <w:tc>
          <w:tcPr>
            <w:tcW w:w="280" w:type="dxa"/>
            <w:vAlign w:val="bottom"/>
          </w:tcPr>
          <w:p>
            <w:pPr>
              <w:spacing w:after="0"/>
              <w:rPr>
                <w:sz w:val="14"/>
                <w:szCs w:val="14"/>
                <w:color w:val="auto"/>
              </w:rPr>
            </w:pPr>
          </w:p>
        </w:tc>
        <w:tc>
          <w:tcPr>
            <w:tcW w:w="980" w:type="dxa"/>
            <w:vAlign w:val="bottom"/>
          </w:tcPr>
          <w:p>
            <w:pPr>
              <w:spacing w:after="0"/>
              <w:rPr>
                <w:sz w:val="14"/>
                <w:szCs w:val="14"/>
                <w:color w:val="auto"/>
              </w:rPr>
            </w:pPr>
          </w:p>
        </w:tc>
      </w:tr>
      <w:tr>
        <w:trPr>
          <w:trHeight w:val="162"/>
        </w:trPr>
        <w:tc>
          <w:tcPr>
            <w:tcW w:w="4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44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44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rPr>
              <w:t>for Identical</w:t>
            </w:r>
          </w:p>
        </w:tc>
        <w:tc>
          <w:tcPr>
            <w:tcW w:w="220" w:type="dxa"/>
            <w:vAlign w:val="bottom"/>
          </w:tcPr>
          <w:p>
            <w:pPr>
              <w:spacing w:after="0"/>
              <w:rPr>
                <w:sz w:val="14"/>
                <w:szCs w:val="14"/>
                <w:color w:val="auto"/>
              </w:rPr>
            </w:pPr>
          </w:p>
        </w:tc>
        <w:tc>
          <w:tcPr>
            <w:tcW w:w="1260" w:type="dxa"/>
            <w:vAlign w:val="bottom"/>
            <w:gridSpan w:val="2"/>
          </w:tcPr>
          <w:p>
            <w:pPr>
              <w:jc w:val="center"/>
              <w:ind w:right="320"/>
              <w:spacing w:after="0"/>
              <w:rPr>
                <w:sz w:val="20"/>
                <w:szCs w:val="20"/>
                <w:color w:val="auto"/>
              </w:rPr>
            </w:pPr>
            <w:r>
              <w:rPr>
                <w:rFonts w:ascii="Arial" w:cs="Arial" w:eastAsia="Arial" w:hAnsi="Arial"/>
                <w:sz w:val="14"/>
                <w:szCs w:val="14"/>
                <w:b w:val="1"/>
                <w:bCs w:val="1"/>
                <w:color w:val="auto"/>
              </w:rPr>
              <w:t>Observable</w:t>
            </w:r>
          </w:p>
        </w:tc>
        <w:tc>
          <w:tcPr>
            <w:tcW w:w="180" w:type="dxa"/>
            <w:vAlign w:val="bottom"/>
          </w:tcPr>
          <w:p>
            <w:pPr>
              <w:spacing w:after="0"/>
              <w:rPr>
                <w:sz w:val="14"/>
                <w:szCs w:val="14"/>
                <w:color w:val="auto"/>
              </w:rPr>
            </w:pPr>
          </w:p>
        </w:tc>
        <w:tc>
          <w:tcPr>
            <w:tcW w:w="1320" w:type="dxa"/>
            <w:vAlign w:val="bottom"/>
            <w:gridSpan w:val="2"/>
          </w:tcPr>
          <w:p>
            <w:pPr>
              <w:jc w:val="center"/>
              <w:ind w:right="300"/>
              <w:spacing w:after="0"/>
              <w:rPr>
                <w:sz w:val="20"/>
                <w:szCs w:val="20"/>
                <w:color w:val="auto"/>
              </w:rPr>
            </w:pPr>
            <w:r>
              <w:rPr>
                <w:rFonts w:ascii="Arial" w:cs="Arial" w:eastAsia="Arial" w:hAnsi="Arial"/>
                <w:sz w:val="14"/>
                <w:szCs w:val="14"/>
                <w:b w:val="1"/>
                <w:bCs w:val="1"/>
                <w:color w:val="auto"/>
              </w:rPr>
              <w:t>Unobservable</w:t>
            </w:r>
          </w:p>
        </w:tc>
        <w:tc>
          <w:tcPr>
            <w:tcW w:w="280" w:type="dxa"/>
            <w:vAlign w:val="bottom"/>
          </w:tcPr>
          <w:p>
            <w:pPr>
              <w:spacing w:after="0"/>
              <w:rPr>
                <w:sz w:val="14"/>
                <w:szCs w:val="14"/>
                <w:color w:val="auto"/>
              </w:rPr>
            </w:pPr>
          </w:p>
        </w:tc>
        <w:tc>
          <w:tcPr>
            <w:tcW w:w="980" w:type="dxa"/>
            <w:vAlign w:val="bottom"/>
          </w:tcPr>
          <w:p>
            <w:pPr>
              <w:spacing w:after="0"/>
              <w:rPr>
                <w:sz w:val="14"/>
                <w:szCs w:val="14"/>
                <w:color w:val="auto"/>
              </w:rPr>
            </w:pPr>
          </w:p>
        </w:tc>
      </w:tr>
      <w:tr>
        <w:trPr>
          <w:trHeight w:val="162"/>
        </w:trPr>
        <w:tc>
          <w:tcPr>
            <w:tcW w:w="4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44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44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rPr>
              <w:t>Assets</w:t>
            </w:r>
          </w:p>
        </w:tc>
        <w:tc>
          <w:tcPr>
            <w:tcW w:w="220" w:type="dxa"/>
            <w:vAlign w:val="bottom"/>
          </w:tcPr>
          <w:p>
            <w:pPr>
              <w:spacing w:after="0"/>
              <w:rPr>
                <w:sz w:val="14"/>
                <w:szCs w:val="14"/>
                <w:color w:val="auto"/>
              </w:rPr>
            </w:pPr>
          </w:p>
        </w:tc>
        <w:tc>
          <w:tcPr>
            <w:tcW w:w="1260" w:type="dxa"/>
            <w:vAlign w:val="bottom"/>
            <w:gridSpan w:val="2"/>
          </w:tcPr>
          <w:p>
            <w:pPr>
              <w:jc w:val="center"/>
              <w:ind w:right="320"/>
              <w:spacing w:after="0"/>
              <w:rPr>
                <w:sz w:val="20"/>
                <w:szCs w:val="20"/>
                <w:color w:val="auto"/>
              </w:rPr>
            </w:pPr>
            <w:r>
              <w:rPr>
                <w:rFonts w:ascii="Arial" w:cs="Arial" w:eastAsia="Arial" w:hAnsi="Arial"/>
                <w:sz w:val="14"/>
                <w:szCs w:val="14"/>
                <w:b w:val="1"/>
                <w:bCs w:val="1"/>
                <w:color w:val="auto"/>
                <w:w w:val="99"/>
              </w:rPr>
              <w:t>Inputs</w:t>
            </w:r>
          </w:p>
        </w:tc>
        <w:tc>
          <w:tcPr>
            <w:tcW w:w="180" w:type="dxa"/>
            <w:vAlign w:val="bottom"/>
          </w:tcPr>
          <w:p>
            <w:pPr>
              <w:spacing w:after="0"/>
              <w:rPr>
                <w:sz w:val="14"/>
                <w:szCs w:val="14"/>
                <w:color w:val="auto"/>
              </w:rPr>
            </w:pPr>
          </w:p>
        </w:tc>
        <w:tc>
          <w:tcPr>
            <w:tcW w:w="1320" w:type="dxa"/>
            <w:vAlign w:val="bottom"/>
            <w:gridSpan w:val="2"/>
          </w:tcPr>
          <w:p>
            <w:pPr>
              <w:jc w:val="center"/>
              <w:ind w:right="300"/>
              <w:spacing w:after="0"/>
              <w:rPr>
                <w:sz w:val="20"/>
                <w:szCs w:val="20"/>
                <w:color w:val="auto"/>
              </w:rPr>
            </w:pPr>
            <w:r>
              <w:rPr>
                <w:rFonts w:ascii="Arial" w:cs="Arial" w:eastAsia="Arial" w:hAnsi="Arial"/>
                <w:sz w:val="14"/>
                <w:szCs w:val="14"/>
                <w:b w:val="1"/>
                <w:bCs w:val="1"/>
                <w:color w:val="auto"/>
                <w:w w:val="99"/>
              </w:rPr>
              <w:t>Inputs</w:t>
            </w:r>
          </w:p>
        </w:tc>
        <w:tc>
          <w:tcPr>
            <w:tcW w:w="280" w:type="dxa"/>
            <w:vAlign w:val="bottom"/>
          </w:tcPr>
          <w:p>
            <w:pPr>
              <w:spacing w:after="0"/>
              <w:rPr>
                <w:sz w:val="14"/>
                <w:szCs w:val="14"/>
                <w:color w:val="auto"/>
              </w:rPr>
            </w:pPr>
          </w:p>
        </w:tc>
        <w:tc>
          <w:tcPr>
            <w:tcW w:w="980" w:type="dxa"/>
            <w:vAlign w:val="bottom"/>
          </w:tcPr>
          <w:p>
            <w:pPr>
              <w:spacing w:after="0"/>
              <w:rPr>
                <w:sz w:val="14"/>
                <w:szCs w:val="14"/>
                <w:color w:val="auto"/>
              </w:rPr>
            </w:pPr>
          </w:p>
        </w:tc>
      </w:tr>
      <w:tr>
        <w:trPr>
          <w:trHeight w:val="162"/>
        </w:trPr>
        <w:tc>
          <w:tcPr>
            <w:tcW w:w="5580" w:type="dxa"/>
            <w:vAlign w:val="bottom"/>
            <w:gridSpan w:val="3"/>
          </w:tcPr>
          <w:p>
            <w:pPr>
              <w:ind w:left="40"/>
              <w:spacing w:after="0"/>
              <w:rPr>
                <w:sz w:val="20"/>
                <w:szCs w:val="20"/>
                <w:color w:val="auto"/>
              </w:rPr>
            </w:pPr>
            <w:r>
              <w:rPr>
                <w:rFonts w:ascii="Arial" w:cs="Arial" w:eastAsia="Arial" w:hAnsi="Arial"/>
                <w:sz w:val="14"/>
                <w:szCs w:val="14"/>
                <w:b w:val="1"/>
                <w:bCs w:val="1"/>
                <w:color w:val="auto"/>
              </w:rPr>
              <w:t>Asset Category</w:t>
            </w:r>
          </w:p>
        </w:tc>
        <w:tc>
          <w:tcPr>
            <w:tcW w:w="160" w:type="dxa"/>
            <w:vAlign w:val="bottom"/>
          </w:tcPr>
          <w:p>
            <w:pPr>
              <w:spacing w:after="0"/>
              <w:rPr>
                <w:sz w:val="14"/>
                <w:szCs w:val="14"/>
                <w:color w:val="auto"/>
              </w:rPr>
            </w:pPr>
          </w:p>
        </w:tc>
        <w:tc>
          <w:tcPr>
            <w:tcW w:w="144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rPr>
              <w:t>(Level 1)</w:t>
            </w:r>
          </w:p>
        </w:tc>
        <w:tc>
          <w:tcPr>
            <w:tcW w:w="220" w:type="dxa"/>
            <w:vAlign w:val="bottom"/>
          </w:tcPr>
          <w:p>
            <w:pPr>
              <w:spacing w:after="0"/>
              <w:rPr>
                <w:sz w:val="14"/>
                <w:szCs w:val="14"/>
                <w:color w:val="auto"/>
              </w:rPr>
            </w:pPr>
          </w:p>
        </w:tc>
        <w:tc>
          <w:tcPr>
            <w:tcW w:w="1260" w:type="dxa"/>
            <w:vAlign w:val="bottom"/>
            <w:gridSpan w:val="2"/>
          </w:tcPr>
          <w:p>
            <w:pPr>
              <w:jc w:val="center"/>
              <w:ind w:right="320"/>
              <w:spacing w:after="0"/>
              <w:rPr>
                <w:sz w:val="20"/>
                <w:szCs w:val="20"/>
                <w:color w:val="auto"/>
              </w:rPr>
            </w:pPr>
            <w:r>
              <w:rPr>
                <w:rFonts w:ascii="Arial" w:cs="Arial" w:eastAsia="Arial" w:hAnsi="Arial"/>
                <w:sz w:val="14"/>
                <w:szCs w:val="14"/>
                <w:b w:val="1"/>
                <w:bCs w:val="1"/>
                <w:color w:val="auto"/>
              </w:rPr>
              <w:t>(Level 2)</w:t>
            </w:r>
          </w:p>
        </w:tc>
        <w:tc>
          <w:tcPr>
            <w:tcW w:w="180" w:type="dxa"/>
            <w:vAlign w:val="bottom"/>
          </w:tcPr>
          <w:p>
            <w:pPr>
              <w:spacing w:after="0"/>
              <w:rPr>
                <w:sz w:val="14"/>
                <w:szCs w:val="14"/>
                <w:color w:val="auto"/>
              </w:rPr>
            </w:pPr>
          </w:p>
        </w:tc>
        <w:tc>
          <w:tcPr>
            <w:tcW w:w="1320" w:type="dxa"/>
            <w:vAlign w:val="bottom"/>
            <w:gridSpan w:val="2"/>
          </w:tcPr>
          <w:p>
            <w:pPr>
              <w:jc w:val="center"/>
              <w:ind w:right="300"/>
              <w:spacing w:after="0"/>
              <w:rPr>
                <w:sz w:val="20"/>
                <w:szCs w:val="20"/>
                <w:color w:val="auto"/>
              </w:rPr>
            </w:pPr>
            <w:r>
              <w:rPr>
                <w:rFonts w:ascii="Arial" w:cs="Arial" w:eastAsia="Arial" w:hAnsi="Arial"/>
                <w:sz w:val="14"/>
                <w:szCs w:val="14"/>
                <w:b w:val="1"/>
                <w:bCs w:val="1"/>
                <w:color w:val="auto"/>
              </w:rPr>
              <w:t>(Level 3)</w:t>
            </w:r>
          </w:p>
        </w:tc>
        <w:tc>
          <w:tcPr>
            <w:tcW w:w="280" w:type="dxa"/>
            <w:vAlign w:val="bottom"/>
          </w:tcPr>
          <w:p>
            <w:pPr>
              <w:spacing w:after="0"/>
              <w:rPr>
                <w:sz w:val="14"/>
                <w:szCs w:val="14"/>
                <w:color w:val="auto"/>
              </w:rPr>
            </w:pPr>
          </w:p>
        </w:tc>
        <w:tc>
          <w:tcPr>
            <w:tcW w:w="980" w:type="dxa"/>
            <w:vAlign w:val="bottom"/>
          </w:tcPr>
          <w:p>
            <w:pPr>
              <w:jc w:val="right"/>
              <w:ind w:right="371"/>
              <w:spacing w:after="0"/>
              <w:rPr>
                <w:sz w:val="20"/>
                <w:szCs w:val="20"/>
                <w:color w:val="auto"/>
              </w:rPr>
            </w:pPr>
            <w:r>
              <w:rPr>
                <w:rFonts w:ascii="Arial" w:cs="Arial" w:eastAsia="Arial" w:hAnsi="Arial"/>
                <w:sz w:val="14"/>
                <w:szCs w:val="14"/>
                <w:b w:val="1"/>
                <w:bCs w:val="1"/>
                <w:color w:val="auto"/>
              </w:rPr>
              <w:t>Total</w:t>
            </w:r>
          </w:p>
        </w:tc>
      </w:tr>
      <w:tr>
        <w:trPr>
          <w:trHeight w:val="21"/>
        </w:trPr>
        <w:tc>
          <w:tcPr>
            <w:tcW w:w="40" w:type="dxa"/>
            <w:vAlign w:val="bottom"/>
            <w:tcBorders>
              <w:bottom w:val="single" w:sz="8" w:color="CCEEFF"/>
            </w:tcBorders>
          </w:tcPr>
          <w:p>
            <w:pPr>
              <w:spacing w:after="0" w:line="20" w:lineRule="exact"/>
              <w:rPr>
                <w:sz w:val="1"/>
                <w:szCs w:val="1"/>
                <w:color w:val="auto"/>
              </w:rPr>
            </w:pPr>
          </w:p>
        </w:tc>
        <w:tc>
          <w:tcPr>
            <w:tcW w:w="1060" w:type="dxa"/>
            <w:vAlign w:val="bottom"/>
            <w:tcBorders>
              <w:top w:val="single" w:sz="8" w:color="auto"/>
              <w:bottom w:val="single" w:sz="8" w:color="CCEEFF"/>
            </w:tcBorders>
          </w:tcPr>
          <w:p>
            <w:pPr>
              <w:spacing w:after="0" w:line="20" w:lineRule="exact"/>
              <w:rPr>
                <w:sz w:val="1"/>
                <w:szCs w:val="1"/>
                <w:color w:val="auto"/>
              </w:rPr>
            </w:pPr>
          </w:p>
        </w:tc>
        <w:tc>
          <w:tcPr>
            <w:tcW w:w="448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r>
      <w:tr>
        <w:trPr>
          <w:trHeight w:val="250"/>
        </w:trPr>
        <w:tc>
          <w:tcPr>
            <w:tcW w:w="5580" w:type="dxa"/>
            <w:vAlign w:val="bottom"/>
            <w:gridSpan w:val="3"/>
            <w:shd w:val="clear" w:color="auto" w:fill="CCEEFF"/>
          </w:tcPr>
          <w:p>
            <w:pPr>
              <w:ind w:left="40"/>
              <w:spacing w:after="0"/>
              <w:rPr>
                <w:sz w:val="20"/>
                <w:szCs w:val="20"/>
                <w:color w:val="auto"/>
              </w:rPr>
            </w:pPr>
            <w:r>
              <w:rPr>
                <w:rFonts w:ascii="Arial" w:cs="Arial" w:eastAsia="Arial" w:hAnsi="Arial"/>
                <w:sz w:val="18"/>
                <w:szCs w:val="18"/>
                <w:color w:val="auto"/>
              </w:rPr>
              <w:t>Cash and cash equivalents</w:t>
            </w: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340" w:type="dxa"/>
            <w:vAlign w:val="bottom"/>
            <w:shd w:val="clear" w:color="auto" w:fill="CCEEFF"/>
          </w:tcPr>
          <w:p>
            <w:pPr>
              <w:jc w:val="right"/>
              <w:ind w:right="34"/>
              <w:spacing w:after="0"/>
              <w:rPr>
                <w:sz w:val="20"/>
                <w:szCs w:val="20"/>
                <w:color w:val="auto"/>
              </w:rPr>
            </w:pPr>
            <w:r>
              <w:rPr>
                <w:rFonts w:ascii="Arial" w:cs="Arial" w:eastAsia="Arial" w:hAnsi="Arial"/>
                <w:sz w:val="18"/>
                <w:szCs w:val="18"/>
                <w:color w:val="auto"/>
              </w:rPr>
              <w:t>20</w:t>
            </w:r>
          </w:p>
        </w:tc>
        <w:tc>
          <w:tcPr>
            <w:tcW w:w="100" w:type="dxa"/>
            <w:vAlign w:val="bottom"/>
            <w:shd w:val="clear" w:color="auto" w:fill="CCEEFF"/>
          </w:tcPr>
          <w:p>
            <w:pPr>
              <w:spacing w:after="0"/>
              <w:rPr>
                <w:sz w:val="21"/>
                <w:szCs w:val="21"/>
                <w:color w:val="auto"/>
              </w:rPr>
            </w:pPr>
          </w:p>
        </w:tc>
        <w:tc>
          <w:tcPr>
            <w:tcW w:w="2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2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3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8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98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20</w:t>
            </w:r>
          </w:p>
        </w:tc>
      </w:tr>
      <w:tr>
        <w:trPr>
          <w:trHeight w:val="243"/>
        </w:trPr>
        <w:tc>
          <w:tcPr>
            <w:tcW w:w="5580" w:type="dxa"/>
            <w:vAlign w:val="bottom"/>
            <w:gridSpan w:val="3"/>
          </w:tcPr>
          <w:p>
            <w:pPr>
              <w:ind w:left="40"/>
              <w:spacing w:after="0"/>
              <w:rPr>
                <w:sz w:val="20"/>
                <w:szCs w:val="20"/>
                <w:color w:val="auto"/>
              </w:rPr>
            </w:pPr>
            <w:r>
              <w:rPr>
                <w:rFonts w:ascii="Arial" w:cs="Arial" w:eastAsia="Arial" w:hAnsi="Arial"/>
                <w:sz w:val="18"/>
                <w:szCs w:val="18"/>
                <w:color w:val="auto"/>
              </w:rPr>
              <w:t>Equity securities:</w:t>
            </w:r>
          </w:p>
        </w:tc>
        <w:tc>
          <w:tcPr>
            <w:tcW w:w="160" w:type="dxa"/>
            <w:vAlign w:val="bottom"/>
          </w:tcPr>
          <w:p>
            <w:pPr>
              <w:spacing w:after="0"/>
              <w:rPr>
                <w:sz w:val="21"/>
                <w:szCs w:val="21"/>
                <w:color w:val="auto"/>
              </w:rPr>
            </w:pPr>
          </w:p>
        </w:tc>
        <w:tc>
          <w:tcPr>
            <w:tcW w:w="13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1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2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80" w:type="dxa"/>
            <w:vAlign w:val="bottom"/>
          </w:tcPr>
          <w:p>
            <w:pPr>
              <w:spacing w:after="0"/>
              <w:rPr>
                <w:sz w:val="21"/>
                <w:szCs w:val="21"/>
                <w:color w:val="auto"/>
              </w:rPr>
            </w:pPr>
          </w:p>
        </w:tc>
      </w:tr>
      <w:tr>
        <w:trPr>
          <w:trHeight w:val="27"/>
        </w:trPr>
        <w:tc>
          <w:tcPr>
            <w:tcW w:w="40" w:type="dxa"/>
            <w:vAlign w:val="bottom"/>
          </w:tcPr>
          <w:p>
            <w:pPr>
              <w:spacing w:after="0"/>
              <w:rPr>
                <w:sz w:val="2"/>
                <w:szCs w:val="2"/>
                <w:color w:val="auto"/>
              </w:rPr>
            </w:pPr>
          </w:p>
        </w:tc>
        <w:tc>
          <w:tcPr>
            <w:tcW w:w="1060" w:type="dxa"/>
            <w:vAlign w:val="bottom"/>
          </w:tcPr>
          <w:p>
            <w:pPr>
              <w:spacing w:after="0"/>
              <w:rPr>
                <w:sz w:val="2"/>
                <w:szCs w:val="2"/>
                <w:color w:val="auto"/>
              </w:rPr>
            </w:pPr>
          </w:p>
        </w:tc>
        <w:tc>
          <w:tcPr>
            <w:tcW w:w="4480" w:type="dxa"/>
            <w:vAlign w:val="bottom"/>
          </w:tcPr>
          <w:p>
            <w:pPr>
              <w:spacing w:after="0"/>
              <w:rPr>
                <w:sz w:val="2"/>
                <w:szCs w:val="2"/>
                <w:color w:val="auto"/>
              </w:rPr>
            </w:pPr>
          </w:p>
        </w:tc>
        <w:tc>
          <w:tcPr>
            <w:tcW w:w="16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980" w:type="dxa"/>
            <w:vAlign w:val="bottom"/>
          </w:tcPr>
          <w:p>
            <w:pPr>
              <w:spacing w:after="0"/>
              <w:rPr>
                <w:sz w:val="2"/>
                <w:szCs w:val="2"/>
                <w:color w:val="auto"/>
              </w:rPr>
            </w:pPr>
          </w:p>
        </w:tc>
      </w:tr>
      <w:tr>
        <w:trPr>
          <w:trHeight w:val="270"/>
        </w:trPr>
        <w:tc>
          <w:tcPr>
            <w:tcW w:w="40" w:type="dxa"/>
            <w:vAlign w:val="bottom"/>
            <w:shd w:val="clear" w:color="auto" w:fill="CCEEFF"/>
          </w:tcPr>
          <w:p>
            <w:pPr>
              <w:spacing w:after="0"/>
              <w:rPr>
                <w:sz w:val="23"/>
                <w:szCs w:val="23"/>
                <w:color w:val="auto"/>
              </w:rPr>
            </w:pPr>
          </w:p>
        </w:tc>
        <w:tc>
          <w:tcPr>
            <w:tcW w:w="5540" w:type="dxa"/>
            <w:vAlign w:val="bottom"/>
            <w:gridSpan w:val="2"/>
            <w:shd w:val="clear" w:color="auto" w:fill="CCEEFF"/>
          </w:tcPr>
          <w:p>
            <w:pPr>
              <w:ind w:left="340"/>
              <w:spacing w:after="0"/>
              <w:rPr>
                <w:sz w:val="20"/>
                <w:szCs w:val="20"/>
                <w:color w:val="auto"/>
              </w:rPr>
            </w:pPr>
            <w:r>
              <w:rPr>
                <w:rFonts w:ascii="Arial" w:cs="Arial" w:eastAsia="Arial" w:hAnsi="Arial"/>
                <w:sz w:val="18"/>
                <w:szCs w:val="18"/>
                <w:color w:val="auto"/>
              </w:rPr>
              <w:t xml:space="preserve">International markets </w:t>
            </w:r>
            <w:r>
              <w:rPr>
                <w:rFonts w:ascii="Arial" w:cs="Arial" w:eastAsia="Arial" w:hAnsi="Arial"/>
                <w:sz w:val="21"/>
                <w:szCs w:val="21"/>
                <w:color w:val="auto"/>
                <w:vertAlign w:val="superscript"/>
              </w:rPr>
              <w:t>(a), (b)</w:t>
            </w:r>
          </w:p>
        </w:tc>
        <w:tc>
          <w:tcPr>
            <w:tcW w:w="160" w:type="dxa"/>
            <w:vAlign w:val="bottom"/>
            <w:shd w:val="clear" w:color="auto" w:fill="CCEEFF"/>
          </w:tcPr>
          <w:p>
            <w:pPr>
              <w:spacing w:after="0"/>
              <w:rPr>
                <w:sz w:val="23"/>
                <w:szCs w:val="23"/>
                <w:color w:val="auto"/>
              </w:rPr>
            </w:pPr>
          </w:p>
        </w:tc>
        <w:tc>
          <w:tcPr>
            <w:tcW w:w="1340" w:type="dxa"/>
            <w:vAlign w:val="bottom"/>
            <w:shd w:val="clear" w:color="auto" w:fill="CCEEFF"/>
          </w:tcPr>
          <w:p>
            <w:pPr>
              <w:jc w:val="right"/>
              <w:ind w:right="34"/>
              <w:spacing w:after="0"/>
              <w:rPr>
                <w:sz w:val="20"/>
                <w:szCs w:val="20"/>
                <w:color w:val="auto"/>
              </w:rPr>
            </w:pPr>
            <w:r>
              <w:rPr>
                <w:rFonts w:ascii="Arial" w:cs="Arial" w:eastAsia="Arial" w:hAnsi="Arial"/>
                <w:sz w:val="18"/>
                <w:szCs w:val="18"/>
                <w:color w:val="auto"/>
              </w:rPr>
              <w:t>2,769</w:t>
            </w:r>
          </w:p>
        </w:tc>
        <w:tc>
          <w:tcPr>
            <w:tcW w:w="100" w:type="dxa"/>
            <w:vAlign w:val="bottom"/>
            <w:shd w:val="clear" w:color="auto" w:fill="CCEEFF"/>
          </w:tcPr>
          <w:p>
            <w:pPr>
              <w:spacing w:after="0"/>
              <w:rPr>
                <w:sz w:val="23"/>
                <w:szCs w:val="23"/>
                <w:color w:val="auto"/>
              </w:rPr>
            </w:pPr>
          </w:p>
        </w:tc>
        <w:tc>
          <w:tcPr>
            <w:tcW w:w="220" w:type="dxa"/>
            <w:vAlign w:val="bottom"/>
            <w:shd w:val="clear" w:color="auto" w:fill="CCEEFF"/>
          </w:tcPr>
          <w:p>
            <w:pPr>
              <w:spacing w:after="0"/>
              <w:rPr>
                <w:sz w:val="23"/>
                <w:szCs w:val="23"/>
                <w:color w:val="auto"/>
              </w:rPr>
            </w:pPr>
          </w:p>
        </w:tc>
        <w:tc>
          <w:tcPr>
            <w:tcW w:w="12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23"/>
                <w:szCs w:val="23"/>
                <w:color w:val="auto"/>
              </w:rPr>
            </w:pPr>
          </w:p>
        </w:tc>
        <w:tc>
          <w:tcPr>
            <w:tcW w:w="13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80" w:type="dxa"/>
            <w:vAlign w:val="bottom"/>
            <w:shd w:val="clear" w:color="auto" w:fill="CCEEFF"/>
          </w:tcPr>
          <w:p>
            <w:pPr>
              <w:spacing w:after="0"/>
              <w:rPr>
                <w:sz w:val="23"/>
                <w:szCs w:val="23"/>
                <w:color w:val="auto"/>
              </w:rPr>
            </w:pPr>
          </w:p>
        </w:tc>
        <w:tc>
          <w:tcPr>
            <w:tcW w:w="98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2,769</w:t>
            </w:r>
          </w:p>
        </w:tc>
      </w:tr>
      <w:tr>
        <w:trPr>
          <w:trHeight w:val="270"/>
        </w:trPr>
        <w:tc>
          <w:tcPr>
            <w:tcW w:w="40" w:type="dxa"/>
            <w:vAlign w:val="bottom"/>
          </w:tcPr>
          <w:p>
            <w:pPr>
              <w:spacing w:after="0"/>
              <w:rPr>
                <w:sz w:val="23"/>
                <w:szCs w:val="23"/>
                <w:color w:val="auto"/>
              </w:rPr>
            </w:pPr>
          </w:p>
        </w:tc>
        <w:tc>
          <w:tcPr>
            <w:tcW w:w="5540" w:type="dxa"/>
            <w:vAlign w:val="bottom"/>
            <w:gridSpan w:val="2"/>
          </w:tcPr>
          <w:p>
            <w:pPr>
              <w:ind w:left="340"/>
              <w:spacing w:after="0"/>
              <w:rPr>
                <w:sz w:val="20"/>
                <w:szCs w:val="20"/>
                <w:color w:val="auto"/>
              </w:rPr>
            </w:pPr>
            <w:r>
              <w:rPr>
                <w:rFonts w:ascii="Arial" w:cs="Arial" w:eastAsia="Arial" w:hAnsi="Arial"/>
                <w:sz w:val="18"/>
                <w:szCs w:val="18"/>
                <w:color w:val="auto"/>
              </w:rPr>
              <w:t xml:space="preserve">Large-cap companies </w:t>
            </w:r>
            <w:r>
              <w:rPr>
                <w:rFonts w:ascii="Arial" w:cs="Arial" w:eastAsia="Arial" w:hAnsi="Arial"/>
                <w:sz w:val="21"/>
                <w:szCs w:val="21"/>
                <w:color w:val="auto"/>
                <w:vertAlign w:val="superscript"/>
              </w:rPr>
              <w:t>(b)</w:t>
            </w:r>
          </w:p>
        </w:tc>
        <w:tc>
          <w:tcPr>
            <w:tcW w:w="160" w:type="dxa"/>
            <w:vAlign w:val="bottom"/>
          </w:tcPr>
          <w:p>
            <w:pPr>
              <w:spacing w:after="0"/>
              <w:rPr>
                <w:sz w:val="23"/>
                <w:szCs w:val="23"/>
                <w:color w:val="auto"/>
              </w:rPr>
            </w:pPr>
          </w:p>
        </w:tc>
        <w:tc>
          <w:tcPr>
            <w:tcW w:w="1340" w:type="dxa"/>
            <w:vAlign w:val="bottom"/>
          </w:tcPr>
          <w:p>
            <w:pPr>
              <w:jc w:val="right"/>
              <w:ind w:right="34"/>
              <w:spacing w:after="0"/>
              <w:rPr>
                <w:sz w:val="20"/>
                <w:szCs w:val="20"/>
                <w:color w:val="auto"/>
              </w:rPr>
            </w:pPr>
            <w:r>
              <w:rPr>
                <w:rFonts w:ascii="Arial" w:cs="Arial" w:eastAsia="Arial" w:hAnsi="Arial"/>
                <w:sz w:val="18"/>
                <w:szCs w:val="18"/>
                <w:color w:val="auto"/>
              </w:rPr>
              <w:t>2,312</w:t>
            </w:r>
          </w:p>
        </w:tc>
        <w:tc>
          <w:tcPr>
            <w:tcW w:w="10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12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3"/>
                <w:szCs w:val="23"/>
                <w:color w:val="auto"/>
              </w:rPr>
            </w:pPr>
          </w:p>
        </w:tc>
        <w:tc>
          <w:tcPr>
            <w:tcW w:w="13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23"/>
                <w:szCs w:val="23"/>
                <w:color w:val="auto"/>
              </w:rPr>
            </w:pPr>
          </w:p>
        </w:tc>
        <w:tc>
          <w:tcPr>
            <w:tcW w:w="980" w:type="dxa"/>
            <w:vAlign w:val="bottom"/>
          </w:tcPr>
          <w:p>
            <w:pPr>
              <w:jc w:val="right"/>
              <w:ind w:right="11"/>
              <w:spacing w:after="0"/>
              <w:rPr>
                <w:sz w:val="20"/>
                <w:szCs w:val="20"/>
                <w:color w:val="auto"/>
              </w:rPr>
            </w:pPr>
            <w:r>
              <w:rPr>
                <w:rFonts w:ascii="Arial" w:cs="Arial" w:eastAsia="Arial" w:hAnsi="Arial"/>
                <w:sz w:val="18"/>
                <w:szCs w:val="18"/>
                <w:color w:val="auto"/>
              </w:rPr>
              <w:t>2,312</w:t>
            </w:r>
          </w:p>
        </w:tc>
      </w:tr>
      <w:tr>
        <w:trPr>
          <w:trHeight w:val="270"/>
        </w:trPr>
        <w:tc>
          <w:tcPr>
            <w:tcW w:w="40" w:type="dxa"/>
            <w:vAlign w:val="bottom"/>
            <w:shd w:val="clear" w:color="auto" w:fill="CCEEFF"/>
          </w:tcPr>
          <w:p>
            <w:pPr>
              <w:spacing w:after="0"/>
              <w:rPr>
                <w:sz w:val="23"/>
                <w:szCs w:val="23"/>
                <w:color w:val="auto"/>
              </w:rPr>
            </w:pPr>
          </w:p>
        </w:tc>
        <w:tc>
          <w:tcPr>
            <w:tcW w:w="5540" w:type="dxa"/>
            <w:vAlign w:val="bottom"/>
            <w:gridSpan w:val="2"/>
            <w:shd w:val="clear" w:color="auto" w:fill="CCEEFF"/>
          </w:tcPr>
          <w:p>
            <w:pPr>
              <w:ind w:left="340"/>
              <w:spacing w:after="0"/>
              <w:rPr>
                <w:sz w:val="20"/>
                <w:szCs w:val="20"/>
                <w:color w:val="auto"/>
              </w:rPr>
            </w:pPr>
            <w:r>
              <w:rPr>
                <w:rFonts w:ascii="Arial" w:cs="Arial" w:eastAsia="Arial" w:hAnsi="Arial"/>
                <w:sz w:val="18"/>
                <w:szCs w:val="18"/>
                <w:color w:val="auto"/>
              </w:rPr>
              <w:t xml:space="preserve">Mid-cap companies </w:t>
            </w:r>
            <w:r>
              <w:rPr>
                <w:rFonts w:ascii="Arial" w:cs="Arial" w:eastAsia="Arial" w:hAnsi="Arial"/>
                <w:sz w:val="21"/>
                <w:szCs w:val="21"/>
                <w:color w:val="auto"/>
                <w:vertAlign w:val="superscript"/>
              </w:rPr>
              <w:t>(b)</w:t>
            </w:r>
          </w:p>
        </w:tc>
        <w:tc>
          <w:tcPr>
            <w:tcW w:w="160" w:type="dxa"/>
            <w:vAlign w:val="bottom"/>
            <w:shd w:val="clear" w:color="auto" w:fill="CCEEFF"/>
          </w:tcPr>
          <w:p>
            <w:pPr>
              <w:spacing w:after="0"/>
              <w:rPr>
                <w:sz w:val="23"/>
                <w:szCs w:val="23"/>
                <w:color w:val="auto"/>
              </w:rPr>
            </w:pPr>
          </w:p>
        </w:tc>
        <w:tc>
          <w:tcPr>
            <w:tcW w:w="1340" w:type="dxa"/>
            <w:vAlign w:val="bottom"/>
            <w:shd w:val="clear" w:color="auto" w:fill="CCEEFF"/>
          </w:tcPr>
          <w:p>
            <w:pPr>
              <w:jc w:val="right"/>
              <w:ind w:right="34"/>
              <w:spacing w:after="0"/>
              <w:rPr>
                <w:sz w:val="20"/>
                <w:szCs w:val="20"/>
                <w:color w:val="auto"/>
              </w:rPr>
            </w:pPr>
            <w:r>
              <w:rPr>
                <w:rFonts w:ascii="Arial" w:cs="Arial" w:eastAsia="Arial" w:hAnsi="Arial"/>
                <w:sz w:val="18"/>
                <w:szCs w:val="18"/>
                <w:color w:val="auto"/>
              </w:rPr>
              <w:t>543</w:t>
            </w:r>
          </w:p>
        </w:tc>
        <w:tc>
          <w:tcPr>
            <w:tcW w:w="100" w:type="dxa"/>
            <w:vAlign w:val="bottom"/>
            <w:shd w:val="clear" w:color="auto" w:fill="CCEEFF"/>
          </w:tcPr>
          <w:p>
            <w:pPr>
              <w:spacing w:after="0"/>
              <w:rPr>
                <w:sz w:val="23"/>
                <w:szCs w:val="23"/>
                <w:color w:val="auto"/>
              </w:rPr>
            </w:pPr>
          </w:p>
        </w:tc>
        <w:tc>
          <w:tcPr>
            <w:tcW w:w="220" w:type="dxa"/>
            <w:vAlign w:val="bottom"/>
            <w:shd w:val="clear" w:color="auto" w:fill="CCEEFF"/>
          </w:tcPr>
          <w:p>
            <w:pPr>
              <w:spacing w:after="0"/>
              <w:rPr>
                <w:sz w:val="23"/>
                <w:szCs w:val="23"/>
                <w:color w:val="auto"/>
              </w:rPr>
            </w:pPr>
          </w:p>
        </w:tc>
        <w:tc>
          <w:tcPr>
            <w:tcW w:w="12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23"/>
                <w:szCs w:val="23"/>
                <w:color w:val="auto"/>
              </w:rPr>
            </w:pPr>
          </w:p>
        </w:tc>
        <w:tc>
          <w:tcPr>
            <w:tcW w:w="13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80" w:type="dxa"/>
            <w:vAlign w:val="bottom"/>
            <w:shd w:val="clear" w:color="auto" w:fill="CCEEFF"/>
          </w:tcPr>
          <w:p>
            <w:pPr>
              <w:spacing w:after="0"/>
              <w:rPr>
                <w:sz w:val="23"/>
                <w:szCs w:val="23"/>
                <w:color w:val="auto"/>
              </w:rPr>
            </w:pPr>
          </w:p>
        </w:tc>
        <w:tc>
          <w:tcPr>
            <w:tcW w:w="98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543</w:t>
            </w:r>
          </w:p>
        </w:tc>
      </w:tr>
      <w:tr>
        <w:trPr>
          <w:trHeight w:val="270"/>
        </w:trPr>
        <w:tc>
          <w:tcPr>
            <w:tcW w:w="40" w:type="dxa"/>
            <w:vAlign w:val="bottom"/>
          </w:tcPr>
          <w:p>
            <w:pPr>
              <w:spacing w:after="0"/>
              <w:rPr>
                <w:sz w:val="23"/>
                <w:szCs w:val="23"/>
                <w:color w:val="auto"/>
              </w:rPr>
            </w:pPr>
          </w:p>
        </w:tc>
        <w:tc>
          <w:tcPr>
            <w:tcW w:w="5540" w:type="dxa"/>
            <w:vAlign w:val="bottom"/>
            <w:gridSpan w:val="2"/>
          </w:tcPr>
          <w:p>
            <w:pPr>
              <w:ind w:left="340"/>
              <w:spacing w:after="0"/>
              <w:rPr>
                <w:sz w:val="20"/>
                <w:szCs w:val="20"/>
                <w:color w:val="auto"/>
              </w:rPr>
            </w:pPr>
            <w:r>
              <w:rPr>
                <w:rFonts w:ascii="Arial" w:cs="Arial" w:eastAsia="Arial" w:hAnsi="Arial"/>
                <w:sz w:val="18"/>
                <w:szCs w:val="18"/>
                <w:color w:val="auto"/>
              </w:rPr>
              <w:t xml:space="preserve">Small-cap companies </w:t>
            </w:r>
            <w:r>
              <w:rPr>
                <w:rFonts w:ascii="Arial" w:cs="Arial" w:eastAsia="Arial" w:hAnsi="Arial"/>
                <w:sz w:val="21"/>
                <w:szCs w:val="21"/>
                <w:color w:val="auto"/>
                <w:vertAlign w:val="superscript"/>
              </w:rPr>
              <w:t>(b)</w:t>
            </w:r>
          </w:p>
        </w:tc>
        <w:tc>
          <w:tcPr>
            <w:tcW w:w="160" w:type="dxa"/>
            <w:vAlign w:val="bottom"/>
          </w:tcPr>
          <w:p>
            <w:pPr>
              <w:spacing w:after="0"/>
              <w:rPr>
                <w:sz w:val="23"/>
                <w:szCs w:val="23"/>
                <w:color w:val="auto"/>
              </w:rPr>
            </w:pPr>
          </w:p>
        </w:tc>
        <w:tc>
          <w:tcPr>
            <w:tcW w:w="1340" w:type="dxa"/>
            <w:vAlign w:val="bottom"/>
          </w:tcPr>
          <w:p>
            <w:pPr>
              <w:jc w:val="right"/>
              <w:ind w:right="34"/>
              <w:spacing w:after="0"/>
              <w:rPr>
                <w:sz w:val="20"/>
                <w:szCs w:val="20"/>
                <w:color w:val="auto"/>
              </w:rPr>
            </w:pPr>
            <w:r>
              <w:rPr>
                <w:rFonts w:ascii="Arial" w:cs="Arial" w:eastAsia="Arial" w:hAnsi="Arial"/>
                <w:sz w:val="18"/>
                <w:szCs w:val="18"/>
                <w:color w:val="auto"/>
              </w:rPr>
              <w:t>97</w:t>
            </w:r>
          </w:p>
        </w:tc>
        <w:tc>
          <w:tcPr>
            <w:tcW w:w="10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12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3"/>
                <w:szCs w:val="23"/>
                <w:color w:val="auto"/>
              </w:rPr>
            </w:pPr>
          </w:p>
        </w:tc>
        <w:tc>
          <w:tcPr>
            <w:tcW w:w="13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23"/>
                <w:szCs w:val="23"/>
                <w:color w:val="auto"/>
              </w:rPr>
            </w:pPr>
          </w:p>
        </w:tc>
        <w:tc>
          <w:tcPr>
            <w:tcW w:w="980" w:type="dxa"/>
            <w:vAlign w:val="bottom"/>
          </w:tcPr>
          <w:p>
            <w:pPr>
              <w:jc w:val="right"/>
              <w:ind w:right="11"/>
              <w:spacing w:after="0"/>
              <w:rPr>
                <w:sz w:val="20"/>
                <w:szCs w:val="20"/>
                <w:color w:val="auto"/>
              </w:rPr>
            </w:pPr>
            <w:r>
              <w:rPr>
                <w:rFonts w:ascii="Arial" w:cs="Arial" w:eastAsia="Arial" w:hAnsi="Arial"/>
                <w:sz w:val="18"/>
                <w:szCs w:val="18"/>
                <w:color w:val="auto"/>
              </w:rPr>
              <w:t>97</w:t>
            </w:r>
          </w:p>
        </w:tc>
      </w:tr>
      <w:tr>
        <w:trPr>
          <w:trHeight w:val="270"/>
        </w:trPr>
        <w:tc>
          <w:tcPr>
            <w:tcW w:w="40" w:type="dxa"/>
            <w:vAlign w:val="bottom"/>
            <w:shd w:val="clear" w:color="auto" w:fill="CCEEFF"/>
          </w:tcPr>
          <w:p>
            <w:pPr>
              <w:spacing w:after="0"/>
              <w:rPr>
                <w:sz w:val="23"/>
                <w:szCs w:val="23"/>
                <w:color w:val="auto"/>
              </w:rPr>
            </w:pPr>
          </w:p>
        </w:tc>
        <w:tc>
          <w:tcPr>
            <w:tcW w:w="5540" w:type="dxa"/>
            <w:vAlign w:val="bottom"/>
            <w:gridSpan w:val="2"/>
            <w:shd w:val="clear" w:color="auto" w:fill="CCEEFF"/>
          </w:tcPr>
          <w:p>
            <w:pPr>
              <w:ind w:left="340"/>
              <w:spacing w:after="0"/>
              <w:rPr>
                <w:sz w:val="20"/>
                <w:szCs w:val="20"/>
                <w:color w:val="auto"/>
              </w:rPr>
            </w:pPr>
            <w:r>
              <w:rPr>
                <w:rFonts w:ascii="Arial" w:cs="Arial" w:eastAsia="Arial" w:hAnsi="Arial"/>
                <w:sz w:val="18"/>
                <w:szCs w:val="18"/>
                <w:color w:val="auto"/>
              </w:rPr>
              <w:t xml:space="preserve">Mutual funds </w:t>
            </w:r>
            <w:r>
              <w:rPr>
                <w:rFonts w:ascii="Arial" w:cs="Arial" w:eastAsia="Arial" w:hAnsi="Arial"/>
                <w:sz w:val="21"/>
                <w:szCs w:val="21"/>
                <w:color w:val="auto"/>
                <w:vertAlign w:val="superscript"/>
              </w:rPr>
              <w:t>(c)</w:t>
            </w:r>
          </w:p>
        </w:tc>
        <w:tc>
          <w:tcPr>
            <w:tcW w:w="160" w:type="dxa"/>
            <w:vAlign w:val="bottom"/>
            <w:shd w:val="clear" w:color="auto" w:fill="CCEEFF"/>
          </w:tcPr>
          <w:p>
            <w:pPr>
              <w:spacing w:after="0"/>
              <w:rPr>
                <w:sz w:val="23"/>
                <w:szCs w:val="23"/>
                <w:color w:val="auto"/>
              </w:rPr>
            </w:pPr>
          </w:p>
        </w:tc>
        <w:tc>
          <w:tcPr>
            <w:tcW w:w="1340" w:type="dxa"/>
            <w:vAlign w:val="bottom"/>
            <w:shd w:val="clear" w:color="auto" w:fill="CCEEFF"/>
          </w:tcPr>
          <w:p>
            <w:pPr>
              <w:jc w:val="right"/>
              <w:ind w:right="34"/>
              <w:spacing w:after="0"/>
              <w:rPr>
                <w:sz w:val="20"/>
                <w:szCs w:val="20"/>
                <w:color w:val="auto"/>
              </w:rPr>
            </w:pPr>
            <w:r>
              <w:rPr>
                <w:rFonts w:ascii="Arial" w:cs="Arial" w:eastAsia="Arial" w:hAnsi="Arial"/>
                <w:sz w:val="18"/>
                <w:szCs w:val="18"/>
                <w:color w:val="auto"/>
              </w:rPr>
              <w:t>68</w:t>
            </w:r>
          </w:p>
        </w:tc>
        <w:tc>
          <w:tcPr>
            <w:tcW w:w="100" w:type="dxa"/>
            <w:vAlign w:val="bottom"/>
            <w:shd w:val="clear" w:color="auto" w:fill="CCEEFF"/>
          </w:tcPr>
          <w:p>
            <w:pPr>
              <w:spacing w:after="0"/>
              <w:rPr>
                <w:sz w:val="23"/>
                <w:szCs w:val="23"/>
                <w:color w:val="auto"/>
              </w:rPr>
            </w:pPr>
          </w:p>
        </w:tc>
        <w:tc>
          <w:tcPr>
            <w:tcW w:w="220" w:type="dxa"/>
            <w:vAlign w:val="bottom"/>
            <w:shd w:val="clear" w:color="auto" w:fill="CCEEFF"/>
          </w:tcPr>
          <w:p>
            <w:pPr>
              <w:spacing w:after="0"/>
              <w:rPr>
                <w:sz w:val="23"/>
                <w:szCs w:val="23"/>
                <w:color w:val="auto"/>
              </w:rPr>
            </w:pPr>
          </w:p>
        </w:tc>
        <w:tc>
          <w:tcPr>
            <w:tcW w:w="12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23"/>
                <w:szCs w:val="23"/>
                <w:color w:val="auto"/>
              </w:rPr>
            </w:pPr>
          </w:p>
        </w:tc>
        <w:tc>
          <w:tcPr>
            <w:tcW w:w="13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80" w:type="dxa"/>
            <w:vAlign w:val="bottom"/>
            <w:shd w:val="clear" w:color="auto" w:fill="CCEEFF"/>
          </w:tcPr>
          <w:p>
            <w:pPr>
              <w:spacing w:after="0"/>
              <w:rPr>
                <w:sz w:val="23"/>
                <w:szCs w:val="23"/>
                <w:color w:val="auto"/>
              </w:rPr>
            </w:pPr>
          </w:p>
        </w:tc>
        <w:tc>
          <w:tcPr>
            <w:tcW w:w="98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68</w:t>
            </w:r>
          </w:p>
        </w:tc>
      </w:tr>
      <w:tr>
        <w:trPr>
          <w:trHeight w:val="243"/>
        </w:trPr>
        <w:tc>
          <w:tcPr>
            <w:tcW w:w="5580" w:type="dxa"/>
            <w:vAlign w:val="bottom"/>
            <w:gridSpan w:val="3"/>
          </w:tcPr>
          <w:p>
            <w:pPr>
              <w:ind w:left="40"/>
              <w:spacing w:after="0"/>
              <w:rPr>
                <w:sz w:val="20"/>
                <w:szCs w:val="20"/>
                <w:color w:val="auto"/>
              </w:rPr>
            </w:pPr>
            <w:r>
              <w:rPr>
                <w:rFonts w:ascii="Arial" w:cs="Arial" w:eastAsia="Arial" w:hAnsi="Arial"/>
                <w:sz w:val="18"/>
                <w:szCs w:val="18"/>
                <w:color w:val="auto"/>
              </w:rPr>
              <w:t>Fixed income:</w:t>
            </w:r>
          </w:p>
        </w:tc>
        <w:tc>
          <w:tcPr>
            <w:tcW w:w="160" w:type="dxa"/>
            <w:vAlign w:val="bottom"/>
          </w:tcPr>
          <w:p>
            <w:pPr>
              <w:spacing w:after="0"/>
              <w:rPr>
                <w:sz w:val="21"/>
                <w:szCs w:val="21"/>
                <w:color w:val="auto"/>
              </w:rPr>
            </w:pPr>
          </w:p>
        </w:tc>
        <w:tc>
          <w:tcPr>
            <w:tcW w:w="13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1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2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80" w:type="dxa"/>
            <w:vAlign w:val="bottom"/>
          </w:tcPr>
          <w:p>
            <w:pPr>
              <w:spacing w:after="0"/>
              <w:rPr>
                <w:sz w:val="21"/>
                <w:szCs w:val="21"/>
                <w:color w:val="auto"/>
              </w:rPr>
            </w:pPr>
          </w:p>
        </w:tc>
      </w:tr>
      <w:tr>
        <w:trPr>
          <w:trHeight w:val="27"/>
        </w:trPr>
        <w:tc>
          <w:tcPr>
            <w:tcW w:w="40" w:type="dxa"/>
            <w:vAlign w:val="bottom"/>
          </w:tcPr>
          <w:p>
            <w:pPr>
              <w:spacing w:after="0"/>
              <w:rPr>
                <w:sz w:val="2"/>
                <w:szCs w:val="2"/>
                <w:color w:val="auto"/>
              </w:rPr>
            </w:pPr>
          </w:p>
        </w:tc>
        <w:tc>
          <w:tcPr>
            <w:tcW w:w="1060" w:type="dxa"/>
            <w:vAlign w:val="bottom"/>
          </w:tcPr>
          <w:p>
            <w:pPr>
              <w:spacing w:after="0"/>
              <w:rPr>
                <w:sz w:val="2"/>
                <w:szCs w:val="2"/>
                <w:color w:val="auto"/>
              </w:rPr>
            </w:pPr>
          </w:p>
        </w:tc>
        <w:tc>
          <w:tcPr>
            <w:tcW w:w="4480" w:type="dxa"/>
            <w:vAlign w:val="bottom"/>
          </w:tcPr>
          <w:p>
            <w:pPr>
              <w:spacing w:after="0"/>
              <w:rPr>
                <w:sz w:val="2"/>
                <w:szCs w:val="2"/>
                <w:color w:val="auto"/>
              </w:rPr>
            </w:pPr>
          </w:p>
        </w:tc>
        <w:tc>
          <w:tcPr>
            <w:tcW w:w="16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980" w:type="dxa"/>
            <w:vAlign w:val="bottom"/>
          </w:tcPr>
          <w:p>
            <w:pPr>
              <w:spacing w:after="0"/>
              <w:rPr>
                <w:sz w:val="2"/>
                <w:szCs w:val="2"/>
                <w:color w:val="auto"/>
              </w:rPr>
            </w:pPr>
          </w:p>
        </w:tc>
      </w:tr>
      <w:tr>
        <w:trPr>
          <w:trHeight w:val="270"/>
        </w:trPr>
        <w:tc>
          <w:tcPr>
            <w:tcW w:w="40" w:type="dxa"/>
            <w:vAlign w:val="bottom"/>
            <w:shd w:val="clear" w:color="auto" w:fill="CCEEFF"/>
          </w:tcPr>
          <w:p>
            <w:pPr>
              <w:spacing w:after="0"/>
              <w:rPr>
                <w:sz w:val="23"/>
                <w:szCs w:val="23"/>
                <w:color w:val="auto"/>
              </w:rPr>
            </w:pPr>
          </w:p>
        </w:tc>
        <w:tc>
          <w:tcPr>
            <w:tcW w:w="5540" w:type="dxa"/>
            <w:vAlign w:val="bottom"/>
            <w:gridSpan w:val="2"/>
            <w:shd w:val="clear" w:color="auto" w:fill="CCEEFF"/>
          </w:tcPr>
          <w:p>
            <w:pPr>
              <w:ind w:left="340"/>
              <w:spacing w:after="0"/>
              <w:rPr>
                <w:sz w:val="20"/>
                <w:szCs w:val="20"/>
                <w:color w:val="auto"/>
              </w:rPr>
            </w:pPr>
            <w:r>
              <w:rPr>
                <w:rFonts w:ascii="Arial" w:cs="Arial" w:eastAsia="Arial" w:hAnsi="Arial"/>
                <w:sz w:val="18"/>
                <w:szCs w:val="18"/>
                <w:color w:val="auto"/>
              </w:rPr>
              <w:t xml:space="preserve">Corporate debt </w:t>
            </w:r>
            <w:r>
              <w:rPr>
                <w:rFonts w:ascii="Arial" w:cs="Arial" w:eastAsia="Arial" w:hAnsi="Arial"/>
                <w:sz w:val="21"/>
                <w:szCs w:val="21"/>
                <w:color w:val="auto"/>
                <w:vertAlign w:val="superscript"/>
              </w:rPr>
              <w:t>(d)</w:t>
            </w:r>
          </w:p>
        </w:tc>
        <w:tc>
          <w:tcPr>
            <w:tcW w:w="160" w:type="dxa"/>
            <w:vAlign w:val="bottom"/>
            <w:shd w:val="clear" w:color="auto" w:fill="CCEEFF"/>
          </w:tcPr>
          <w:p>
            <w:pPr>
              <w:spacing w:after="0"/>
              <w:rPr>
                <w:sz w:val="23"/>
                <w:szCs w:val="23"/>
                <w:color w:val="auto"/>
              </w:rPr>
            </w:pPr>
          </w:p>
        </w:tc>
        <w:tc>
          <w:tcPr>
            <w:tcW w:w="14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23"/>
                <w:szCs w:val="23"/>
                <w:color w:val="auto"/>
              </w:rPr>
            </w:pPr>
          </w:p>
        </w:tc>
        <w:tc>
          <w:tcPr>
            <w:tcW w:w="1160" w:type="dxa"/>
            <w:vAlign w:val="bottom"/>
            <w:shd w:val="clear" w:color="auto" w:fill="CCEEFF"/>
          </w:tcPr>
          <w:p>
            <w:pPr>
              <w:jc w:val="right"/>
              <w:ind w:right="33"/>
              <w:spacing w:after="0"/>
              <w:rPr>
                <w:sz w:val="20"/>
                <w:szCs w:val="20"/>
                <w:color w:val="auto"/>
              </w:rPr>
            </w:pPr>
            <w:r>
              <w:rPr>
                <w:rFonts w:ascii="Arial" w:cs="Arial" w:eastAsia="Arial" w:hAnsi="Arial"/>
                <w:sz w:val="18"/>
                <w:szCs w:val="18"/>
                <w:color w:val="auto"/>
              </w:rPr>
              <w:t>2,804</w:t>
            </w:r>
          </w:p>
        </w:tc>
        <w:tc>
          <w:tcPr>
            <w:tcW w:w="100" w:type="dxa"/>
            <w:vAlign w:val="bottom"/>
            <w:shd w:val="clear" w:color="auto" w:fill="CCEEFF"/>
          </w:tcPr>
          <w:p>
            <w:pPr>
              <w:spacing w:after="0"/>
              <w:rPr>
                <w:sz w:val="23"/>
                <w:szCs w:val="23"/>
                <w:color w:val="auto"/>
              </w:rPr>
            </w:pPr>
          </w:p>
        </w:tc>
        <w:tc>
          <w:tcPr>
            <w:tcW w:w="180" w:type="dxa"/>
            <w:vAlign w:val="bottom"/>
            <w:shd w:val="clear" w:color="auto" w:fill="CCEEFF"/>
          </w:tcPr>
          <w:p>
            <w:pPr>
              <w:spacing w:after="0"/>
              <w:rPr>
                <w:sz w:val="23"/>
                <w:szCs w:val="23"/>
                <w:color w:val="auto"/>
              </w:rPr>
            </w:pPr>
          </w:p>
        </w:tc>
        <w:tc>
          <w:tcPr>
            <w:tcW w:w="13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80" w:type="dxa"/>
            <w:vAlign w:val="bottom"/>
            <w:shd w:val="clear" w:color="auto" w:fill="CCEEFF"/>
          </w:tcPr>
          <w:p>
            <w:pPr>
              <w:spacing w:after="0"/>
              <w:rPr>
                <w:sz w:val="23"/>
                <w:szCs w:val="23"/>
                <w:color w:val="auto"/>
              </w:rPr>
            </w:pPr>
          </w:p>
        </w:tc>
        <w:tc>
          <w:tcPr>
            <w:tcW w:w="98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2,804</w:t>
            </w:r>
          </w:p>
        </w:tc>
      </w:tr>
      <w:tr>
        <w:trPr>
          <w:trHeight w:val="270"/>
        </w:trPr>
        <w:tc>
          <w:tcPr>
            <w:tcW w:w="40" w:type="dxa"/>
            <w:vAlign w:val="bottom"/>
          </w:tcPr>
          <w:p>
            <w:pPr>
              <w:spacing w:after="0"/>
              <w:rPr>
                <w:sz w:val="23"/>
                <w:szCs w:val="23"/>
                <w:color w:val="auto"/>
              </w:rPr>
            </w:pPr>
          </w:p>
        </w:tc>
        <w:tc>
          <w:tcPr>
            <w:tcW w:w="5540" w:type="dxa"/>
            <w:vAlign w:val="bottom"/>
            <w:gridSpan w:val="2"/>
          </w:tcPr>
          <w:p>
            <w:pPr>
              <w:ind w:left="340"/>
              <w:spacing w:after="0"/>
              <w:rPr>
                <w:sz w:val="20"/>
                <w:szCs w:val="20"/>
                <w:color w:val="auto"/>
              </w:rPr>
            </w:pPr>
            <w:r>
              <w:rPr>
                <w:rFonts w:ascii="Arial" w:cs="Arial" w:eastAsia="Arial" w:hAnsi="Arial"/>
                <w:sz w:val="18"/>
                <w:szCs w:val="18"/>
                <w:color w:val="auto"/>
              </w:rPr>
              <w:t xml:space="preserve">Government securities </w:t>
            </w:r>
            <w:r>
              <w:rPr>
                <w:rFonts w:ascii="Arial" w:cs="Arial" w:eastAsia="Arial" w:hAnsi="Arial"/>
                <w:sz w:val="21"/>
                <w:szCs w:val="21"/>
                <w:color w:val="auto"/>
                <w:vertAlign w:val="superscript"/>
              </w:rPr>
              <w:t>(e)</w:t>
            </w:r>
          </w:p>
        </w:tc>
        <w:tc>
          <w:tcPr>
            <w:tcW w:w="160" w:type="dxa"/>
            <w:vAlign w:val="bottom"/>
          </w:tcPr>
          <w:p>
            <w:pPr>
              <w:spacing w:after="0"/>
              <w:rPr>
                <w:sz w:val="23"/>
                <w:szCs w:val="23"/>
                <w:color w:val="auto"/>
              </w:rPr>
            </w:pPr>
          </w:p>
        </w:tc>
        <w:tc>
          <w:tcPr>
            <w:tcW w:w="14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23"/>
                <w:szCs w:val="23"/>
                <w:color w:val="auto"/>
              </w:rPr>
            </w:pPr>
          </w:p>
        </w:tc>
        <w:tc>
          <w:tcPr>
            <w:tcW w:w="1160" w:type="dxa"/>
            <w:vAlign w:val="bottom"/>
          </w:tcPr>
          <w:p>
            <w:pPr>
              <w:jc w:val="right"/>
              <w:ind w:right="33"/>
              <w:spacing w:after="0"/>
              <w:rPr>
                <w:sz w:val="20"/>
                <w:szCs w:val="20"/>
                <w:color w:val="auto"/>
              </w:rPr>
            </w:pPr>
            <w:r>
              <w:rPr>
                <w:rFonts w:ascii="Arial" w:cs="Arial" w:eastAsia="Arial" w:hAnsi="Arial"/>
                <w:sz w:val="18"/>
                <w:szCs w:val="18"/>
                <w:color w:val="auto"/>
              </w:rPr>
              <w:t>923</w:t>
            </w:r>
          </w:p>
        </w:tc>
        <w:tc>
          <w:tcPr>
            <w:tcW w:w="10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13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23"/>
                <w:szCs w:val="23"/>
                <w:color w:val="auto"/>
              </w:rPr>
            </w:pPr>
          </w:p>
        </w:tc>
        <w:tc>
          <w:tcPr>
            <w:tcW w:w="980" w:type="dxa"/>
            <w:vAlign w:val="bottom"/>
          </w:tcPr>
          <w:p>
            <w:pPr>
              <w:jc w:val="right"/>
              <w:ind w:right="11"/>
              <w:spacing w:after="0"/>
              <w:rPr>
                <w:sz w:val="20"/>
                <w:szCs w:val="20"/>
                <w:color w:val="auto"/>
              </w:rPr>
            </w:pPr>
            <w:r>
              <w:rPr>
                <w:rFonts w:ascii="Arial" w:cs="Arial" w:eastAsia="Arial" w:hAnsi="Arial"/>
                <w:sz w:val="18"/>
                <w:szCs w:val="18"/>
                <w:color w:val="auto"/>
              </w:rPr>
              <w:t>923</w:t>
            </w:r>
          </w:p>
        </w:tc>
      </w:tr>
      <w:tr>
        <w:trPr>
          <w:trHeight w:val="270"/>
        </w:trPr>
        <w:tc>
          <w:tcPr>
            <w:tcW w:w="40" w:type="dxa"/>
            <w:vAlign w:val="bottom"/>
            <w:shd w:val="clear" w:color="auto" w:fill="CCEEFF"/>
          </w:tcPr>
          <w:p>
            <w:pPr>
              <w:spacing w:after="0"/>
              <w:rPr>
                <w:sz w:val="23"/>
                <w:szCs w:val="23"/>
                <w:color w:val="auto"/>
              </w:rPr>
            </w:pPr>
          </w:p>
        </w:tc>
        <w:tc>
          <w:tcPr>
            <w:tcW w:w="5540" w:type="dxa"/>
            <w:vAlign w:val="bottom"/>
            <w:gridSpan w:val="2"/>
            <w:shd w:val="clear" w:color="auto" w:fill="CCEEFF"/>
          </w:tcPr>
          <w:p>
            <w:pPr>
              <w:ind w:left="340"/>
              <w:spacing w:after="0"/>
              <w:rPr>
                <w:sz w:val="20"/>
                <w:szCs w:val="20"/>
                <w:color w:val="auto"/>
              </w:rPr>
            </w:pPr>
            <w:r>
              <w:rPr>
                <w:rFonts w:ascii="Arial" w:cs="Arial" w:eastAsia="Arial" w:hAnsi="Arial"/>
                <w:sz w:val="18"/>
                <w:szCs w:val="18"/>
                <w:color w:val="auto"/>
              </w:rPr>
              <w:t>U.S. municipal securities</w:t>
            </w:r>
          </w:p>
        </w:tc>
        <w:tc>
          <w:tcPr>
            <w:tcW w:w="160" w:type="dxa"/>
            <w:vAlign w:val="bottom"/>
            <w:shd w:val="clear" w:color="auto" w:fill="CCEEFF"/>
          </w:tcPr>
          <w:p>
            <w:pPr>
              <w:spacing w:after="0"/>
              <w:rPr>
                <w:sz w:val="23"/>
                <w:szCs w:val="23"/>
                <w:color w:val="auto"/>
              </w:rPr>
            </w:pPr>
          </w:p>
        </w:tc>
        <w:tc>
          <w:tcPr>
            <w:tcW w:w="14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23"/>
                <w:szCs w:val="23"/>
                <w:color w:val="auto"/>
              </w:rPr>
            </w:pPr>
          </w:p>
        </w:tc>
        <w:tc>
          <w:tcPr>
            <w:tcW w:w="1160" w:type="dxa"/>
            <w:vAlign w:val="bottom"/>
            <w:shd w:val="clear" w:color="auto" w:fill="CCEEFF"/>
          </w:tcPr>
          <w:p>
            <w:pPr>
              <w:jc w:val="right"/>
              <w:ind w:right="33"/>
              <w:spacing w:after="0"/>
              <w:rPr>
                <w:sz w:val="20"/>
                <w:szCs w:val="20"/>
                <w:color w:val="auto"/>
              </w:rPr>
            </w:pPr>
            <w:r>
              <w:rPr>
                <w:rFonts w:ascii="Arial" w:cs="Arial" w:eastAsia="Arial" w:hAnsi="Arial"/>
                <w:sz w:val="18"/>
                <w:szCs w:val="18"/>
                <w:color w:val="auto"/>
              </w:rPr>
              <w:t>51</w:t>
            </w:r>
          </w:p>
        </w:tc>
        <w:tc>
          <w:tcPr>
            <w:tcW w:w="100" w:type="dxa"/>
            <w:vAlign w:val="bottom"/>
            <w:shd w:val="clear" w:color="auto" w:fill="CCEEFF"/>
          </w:tcPr>
          <w:p>
            <w:pPr>
              <w:spacing w:after="0"/>
              <w:rPr>
                <w:sz w:val="23"/>
                <w:szCs w:val="23"/>
                <w:color w:val="auto"/>
              </w:rPr>
            </w:pPr>
          </w:p>
        </w:tc>
        <w:tc>
          <w:tcPr>
            <w:tcW w:w="180" w:type="dxa"/>
            <w:vAlign w:val="bottom"/>
            <w:shd w:val="clear" w:color="auto" w:fill="CCEEFF"/>
          </w:tcPr>
          <w:p>
            <w:pPr>
              <w:spacing w:after="0"/>
              <w:rPr>
                <w:sz w:val="23"/>
                <w:szCs w:val="23"/>
                <w:color w:val="auto"/>
              </w:rPr>
            </w:pPr>
          </w:p>
        </w:tc>
        <w:tc>
          <w:tcPr>
            <w:tcW w:w="13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80" w:type="dxa"/>
            <w:vAlign w:val="bottom"/>
            <w:shd w:val="clear" w:color="auto" w:fill="CCEEFF"/>
          </w:tcPr>
          <w:p>
            <w:pPr>
              <w:spacing w:after="0"/>
              <w:rPr>
                <w:sz w:val="23"/>
                <w:szCs w:val="23"/>
                <w:color w:val="auto"/>
              </w:rPr>
            </w:pPr>
          </w:p>
        </w:tc>
        <w:tc>
          <w:tcPr>
            <w:tcW w:w="98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51</w:t>
            </w:r>
          </w:p>
        </w:tc>
      </w:tr>
      <w:tr>
        <w:trPr>
          <w:trHeight w:val="263"/>
        </w:trPr>
        <w:tc>
          <w:tcPr>
            <w:tcW w:w="40" w:type="dxa"/>
            <w:vAlign w:val="bottom"/>
          </w:tcPr>
          <w:p>
            <w:pPr>
              <w:spacing w:after="0"/>
              <w:rPr>
                <w:sz w:val="22"/>
                <w:szCs w:val="22"/>
                <w:color w:val="auto"/>
              </w:rPr>
            </w:pPr>
          </w:p>
        </w:tc>
        <w:tc>
          <w:tcPr>
            <w:tcW w:w="5540" w:type="dxa"/>
            <w:vAlign w:val="bottom"/>
            <w:gridSpan w:val="2"/>
          </w:tcPr>
          <w:p>
            <w:pPr>
              <w:ind w:left="340"/>
              <w:spacing w:after="0"/>
              <w:rPr>
                <w:sz w:val="20"/>
                <w:szCs w:val="20"/>
                <w:color w:val="auto"/>
              </w:rPr>
            </w:pPr>
            <w:r>
              <w:rPr>
                <w:rFonts w:ascii="Arial" w:cs="Arial" w:eastAsia="Arial" w:hAnsi="Arial"/>
                <w:sz w:val="18"/>
                <w:szCs w:val="18"/>
                <w:color w:val="auto"/>
              </w:rPr>
              <w:t>Mortgage backed securities</w:t>
            </w:r>
          </w:p>
        </w:tc>
        <w:tc>
          <w:tcPr>
            <w:tcW w:w="160" w:type="dxa"/>
            <w:vAlign w:val="bottom"/>
          </w:tcPr>
          <w:p>
            <w:pPr>
              <w:spacing w:after="0"/>
              <w:rPr>
                <w:sz w:val="22"/>
                <w:szCs w:val="22"/>
                <w:color w:val="auto"/>
              </w:rPr>
            </w:pPr>
          </w:p>
        </w:tc>
        <w:tc>
          <w:tcPr>
            <w:tcW w:w="14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22"/>
                <w:szCs w:val="22"/>
                <w:color w:val="auto"/>
              </w:rPr>
            </w:pPr>
          </w:p>
        </w:tc>
        <w:tc>
          <w:tcPr>
            <w:tcW w:w="1160" w:type="dxa"/>
            <w:vAlign w:val="bottom"/>
          </w:tcPr>
          <w:p>
            <w:pPr>
              <w:jc w:val="right"/>
              <w:ind w:right="33"/>
              <w:spacing w:after="0"/>
              <w:rPr>
                <w:sz w:val="20"/>
                <w:szCs w:val="20"/>
                <w:color w:val="auto"/>
              </w:rPr>
            </w:pPr>
            <w:r>
              <w:rPr>
                <w:rFonts w:ascii="Arial" w:cs="Arial" w:eastAsia="Arial" w:hAnsi="Arial"/>
                <w:sz w:val="18"/>
                <w:szCs w:val="18"/>
                <w:color w:val="auto"/>
              </w:rPr>
              <w:t>4</w:t>
            </w:r>
          </w:p>
        </w:tc>
        <w:tc>
          <w:tcPr>
            <w:tcW w:w="10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3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22"/>
                <w:szCs w:val="22"/>
                <w:color w:val="auto"/>
              </w:rPr>
            </w:pPr>
          </w:p>
        </w:tc>
        <w:tc>
          <w:tcPr>
            <w:tcW w:w="980" w:type="dxa"/>
            <w:vAlign w:val="bottom"/>
          </w:tcPr>
          <w:p>
            <w:pPr>
              <w:jc w:val="right"/>
              <w:ind w:right="11"/>
              <w:spacing w:after="0"/>
              <w:rPr>
                <w:sz w:val="20"/>
                <w:szCs w:val="20"/>
                <w:color w:val="auto"/>
              </w:rPr>
            </w:pPr>
            <w:r>
              <w:rPr>
                <w:rFonts w:ascii="Arial" w:cs="Arial" w:eastAsia="Arial" w:hAnsi="Arial"/>
                <w:sz w:val="18"/>
                <w:szCs w:val="18"/>
                <w:color w:val="auto"/>
              </w:rPr>
              <w:t>4</w:t>
            </w:r>
          </w:p>
        </w:tc>
      </w:tr>
      <w:tr>
        <w:trPr>
          <w:trHeight w:val="257"/>
        </w:trPr>
        <w:tc>
          <w:tcPr>
            <w:tcW w:w="558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8"/>
                <w:szCs w:val="18"/>
                <w:color w:val="auto"/>
              </w:rPr>
              <w:t>Alternative instruments:</w:t>
            </w:r>
          </w:p>
        </w:tc>
        <w:tc>
          <w:tcPr>
            <w:tcW w:w="160" w:type="dxa"/>
            <w:vAlign w:val="bottom"/>
            <w:tcBorders>
              <w:bottom w:val="single" w:sz="8" w:color="CCEEFF"/>
            </w:tcBorders>
            <w:shd w:val="clear" w:color="auto" w:fill="CCEEFF"/>
          </w:tcPr>
          <w:p>
            <w:pPr>
              <w:spacing w:after="0"/>
              <w:rPr>
                <w:sz w:val="22"/>
                <w:szCs w:val="22"/>
                <w:color w:val="auto"/>
              </w:rPr>
            </w:pPr>
          </w:p>
        </w:tc>
        <w:tc>
          <w:tcPr>
            <w:tcW w:w="134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CCEEFF"/>
            </w:tcBorders>
            <w:shd w:val="clear" w:color="auto" w:fill="CCEEFF"/>
          </w:tcPr>
          <w:p>
            <w:pPr>
              <w:spacing w:after="0"/>
              <w:rPr>
                <w:sz w:val="22"/>
                <w:szCs w:val="22"/>
                <w:color w:val="auto"/>
              </w:rPr>
            </w:pPr>
          </w:p>
        </w:tc>
        <w:tc>
          <w:tcPr>
            <w:tcW w:w="116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CCEEFF"/>
            </w:tcBorders>
            <w:shd w:val="clear" w:color="auto" w:fill="CCEEFF"/>
          </w:tcPr>
          <w:p>
            <w:pPr>
              <w:spacing w:after="0"/>
              <w:rPr>
                <w:sz w:val="22"/>
                <w:szCs w:val="22"/>
                <w:color w:val="auto"/>
              </w:rPr>
            </w:pPr>
          </w:p>
        </w:tc>
        <w:tc>
          <w:tcPr>
            <w:tcW w:w="120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280" w:type="dxa"/>
            <w:vAlign w:val="bottom"/>
            <w:tcBorders>
              <w:bottom w:val="single" w:sz="8" w:color="CCEEFF"/>
            </w:tcBorders>
            <w:shd w:val="clear" w:color="auto" w:fill="CCEEFF"/>
          </w:tcPr>
          <w:p>
            <w:pPr>
              <w:spacing w:after="0"/>
              <w:rPr>
                <w:sz w:val="22"/>
                <w:szCs w:val="22"/>
                <w:color w:val="auto"/>
              </w:rPr>
            </w:pPr>
          </w:p>
        </w:tc>
        <w:tc>
          <w:tcPr>
            <w:tcW w:w="980" w:type="dxa"/>
            <w:vAlign w:val="bottom"/>
            <w:tcBorders>
              <w:bottom w:val="single" w:sz="8" w:color="CCEEFF"/>
            </w:tcBorders>
            <w:shd w:val="clear" w:color="auto" w:fill="CCEEFF"/>
          </w:tcPr>
          <w:p>
            <w:pPr>
              <w:spacing w:after="0"/>
              <w:rPr>
                <w:sz w:val="22"/>
                <w:szCs w:val="22"/>
                <w:color w:val="auto"/>
              </w:rPr>
            </w:pPr>
          </w:p>
        </w:tc>
      </w:tr>
      <w:tr>
        <w:trPr>
          <w:trHeight w:val="270"/>
        </w:trPr>
        <w:tc>
          <w:tcPr>
            <w:tcW w:w="40" w:type="dxa"/>
            <w:vAlign w:val="bottom"/>
          </w:tcPr>
          <w:p>
            <w:pPr>
              <w:spacing w:after="0"/>
              <w:rPr>
                <w:sz w:val="23"/>
                <w:szCs w:val="23"/>
                <w:color w:val="auto"/>
              </w:rPr>
            </w:pPr>
          </w:p>
        </w:tc>
        <w:tc>
          <w:tcPr>
            <w:tcW w:w="5540" w:type="dxa"/>
            <w:vAlign w:val="bottom"/>
            <w:gridSpan w:val="2"/>
          </w:tcPr>
          <w:p>
            <w:pPr>
              <w:ind w:left="340"/>
              <w:spacing w:after="0"/>
              <w:rPr>
                <w:sz w:val="20"/>
                <w:szCs w:val="20"/>
                <w:color w:val="auto"/>
              </w:rPr>
            </w:pPr>
            <w:r>
              <w:rPr>
                <w:rFonts w:ascii="Arial" w:cs="Arial" w:eastAsia="Arial" w:hAnsi="Arial"/>
                <w:sz w:val="18"/>
                <w:szCs w:val="18"/>
                <w:color w:val="auto"/>
              </w:rPr>
              <w:t xml:space="preserve">Private market partnerships </w:t>
            </w:r>
            <w:r>
              <w:rPr>
                <w:rFonts w:ascii="Arial" w:cs="Arial" w:eastAsia="Arial" w:hAnsi="Arial"/>
                <w:sz w:val="21"/>
                <w:szCs w:val="21"/>
                <w:color w:val="auto"/>
                <w:vertAlign w:val="superscript"/>
              </w:rPr>
              <w:t>(f)</w:t>
            </w:r>
          </w:p>
        </w:tc>
        <w:tc>
          <w:tcPr>
            <w:tcW w:w="160" w:type="dxa"/>
            <w:vAlign w:val="bottom"/>
          </w:tcPr>
          <w:p>
            <w:pPr>
              <w:spacing w:after="0"/>
              <w:rPr>
                <w:sz w:val="23"/>
                <w:szCs w:val="23"/>
                <w:color w:val="auto"/>
              </w:rPr>
            </w:pPr>
          </w:p>
        </w:tc>
        <w:tc>
          <w:tcPr>
            <w:tcW w:w="14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23"/>
                <w:szCs w:val="23"/>
                <w:color w:val="auto"/>
              </w:rPr>
            </w:pPr>
          </w:p>
        </w:tc>
        <w:tc>
          <w:tcPr>
            <w:tcW w:w="12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3"/>
                <w:szCs w:val="23"/>
                <w:color w:val="auto"/>
              </w:rPr>
            </w:pPr>
          </w:p>
        </w:tc>
        <w:tc>
          <w:tcPr>
            <w:tcW w:w="1200" w:type="dxa"/>
            <w:vAlign w:val="bottom"/>
          </w:tcPr>
          <w:p>
            <w:pPr>
              <w:jc w:val="right"/>
              <w:ind w:right="13"/>
              <w:spacing w:after="0"/>
              <w:rPr>
                <w:sz w:val="20"/>
                <w:szCs w:val="20"/>
                <w:color w:val="auto"/>
              </w:rPr>
            </w:pPr>
            <w:r>
              <w:rPr>
                <w:rFonts w:ascii="Arial" w:cs="Arial" w:eastAsia="Arial" w:hAnsi="Arial"/>
                <w:sz w:val="18"/>
                <w:szCs w:val="18"/>
                <w:color w:val="auto"/>
              </w:rPr>
              <w:t>10</w:t>
            </w:r>
          </w:p>
        </w:tc>
        <w:tc>
          <w:tcPr>
            <w:tcW w:w="12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980" w:type="dxa"/>
            <w:vAlign w:val="bottom"/>
          </w:tcPr>
          <w:p>
            <w:pPr>
              <w:jc w:val="right"/>
              <w:ind w:right="11"/>
              <w:spacing w:after="0"/>
              <w:rPr>
                <w:sz w:val="20"/>
                <w:szCs w:val="20"/>
                <w:color w:val="auto"/>
              </w:rPr>
            </w:pPr>
            <w:r>
              <w:rPr>
                <w:rFonts w:ascii="Arial" w:cs="Arial" w:eastAsia="Arial" w:hAnsi="Arial"/>
                <w:sz w:val="18"/>
                <w:szCs w:val="18"/>
                <w:color w:val="auto"/>
              </w:rPr>
              <w:t>10</w:t>
            </w:r>
          </w:p>
        </w:tc>
      </w:tr>
      <w:tr>
        <w:trPr>
          <w:trHeight w:val="270"/>
        </w:trPr>
        <w:tc>
          <w:tcPr>
            <w:tcW w:w="40" w:type="dxa"/>
            <w:vAlign w:val="bottom"/>
            <w:shd w:val="clear" w:color="auto" w:fill="CCEEFF"/>
          </w:tcPr>
          <w:p>
            <w:pPr>
              <w:spacing w:after="0"/>
              <w:rPr>
                <w:sz w:val="23"/>
                <w:szCs w:val="23"/>
                <w:color w:val="auto"/>
              </w:rPr>
            </w:pPr>
          </w:p>
        </w:tc>
        <w:tc>
          <w:tcPr>
            <w:tcW w:w="5540" w:type="dxa"/>
            <w:vAlign w:val="bottom"/>
            <w:gridSpan w:val="2"/>
            <w:shd w:val="clear" w:color="auto" w:fill="CCEEFF"/>
          </w:tcPr>
          <w:p>
            <w:pPr>
              <w:ind w:left="340"/>
              <w:spacing w:after="0"/>
              <w:rPr>
                <w:sz w:val="20"/>
                <w:szCs w:val="20"/>
                <w:color w:val="auto"/>
              </w:rPr>
            </w:pPr>
            <w:r>
              <w:rPr>
                <w:rFonts w:ascii="Arial" w:cs="Arial" w:eastAsia="Arial" w:hAnsi="Arial"/>
                <w:sz w:val="18"/>
                <w:szCs w:val="18"/>
                <w:color w:val="auto"/>
              </w:rPr>
              <w:t xml:space="preserve">Private market partnerships measured at net asset value </w:t>
            </w:r>
            <w:r>
              <w:rPr>
                <w:rFonts w:ascii="Arial" w:cs="Arial" w:eastAsia="Arial" w:hAnsi="Arial"/>
                <w:sz w:val="21"/>
                <w:szCs w:val="21"/>
                <w:color w:val="auto"/>
                <w:vertAlign w:val="superscript"/>
              </w:rPr>
              <w:t>(f), (g)</w:t>
            </w:r>
          </w:p>
        </w:tc>
        <w:tc>
          <w:tcPr>
            <w:tcW w:w="160" w:type="dxa"/>
            <w:vAlign w:val="bottom"/>
            <w:shd w:val="clear" w:color="auto" w:fill="CCEEFF"/>
          </w:tcPr>
          <w:p>
            <w:pPr>
              <w:spacing w:after="0"/>
              <w:rPr>
                <w:sz w:val="23"/>
                <w:szCs w:val="23"/>
                <w:color w:val="auto"/>
              </w:rPr>
            </w:pPr>
          </w:p>
        </w:tc>
        <w:tc>
          <w:tcPr>
            <w:tcW w:w="14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23"/>
                <w:szCs w:val="23"/>
                <w:color w:val="auto"/>
              </w:rPr>
            </w:pPr>
          </w:p>
        </w:tc>
        <w:tc>
          <w:tcPr>
            <w:tcW w:w="12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23"/>
                <w:szCs w:val="23"/>
                <w:color w:val="auto"/>
              </w:rPr>
            </w:pPr>
          </w:p>
        </w:tc>
        <w:tc>
          <w:tcPr>
            <w:tcW w:w="13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80" w:type="dxa"/>
            <w:vAlign w:val="bottom"/>
            <w:shd w:val="clear" w:color="auto" w:fill="CCEEFF"/>
          </w:tcPr>
          <w:p>
            <w:pPr>
              <w:spacing w:after="0"/>
              <w:rPr>
                <w:sz w:val="23"/>
                <w:szCs w:val="23"/>
                <w:color w:val="auto"/>
              </w:rPr>
            </w:pPr>
          </w:p>
        </w:tc>
        <w:tc>
          <w:tcPr>
            <w:tcW w:w="98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1,464</w:t>
            </w:r>
          </w:p>
        </w:tc>
      </w:tr>
      <w:tr>
        <w:trPr>
          <w:trHeight w:val="270"/>
        </w:trPr>
        <w:tc>
          <w:tcPr>
            <w:tcW w:w="40" w:type="dxa"/>
            <w:vAlign w:val="bottom"/>
          </w:tcPr>
          <w:p>
            <w:pPr>
              <w:spacing w:after="0"/>
              <w:rPr>
                <w:sz w:val="23"/>
                <w:szCs w:val="23"/>
                <w:color w:val="auto"/>
              </w:rPr>
            </w:pPr>
          </w:p>
        </w:tc>
        <w:tc>
          <w:tcPr>
            <w:tcW w:w="5540" w:type="dxa"/>
            <w:vAlign w:val="bottom"/>
            <w:gridSpan w:val="2"/>
          </w:tcPr>
          <w:p>
            <w:pPr>
              <w:ind w:left="340"/>
              <w:spacing w:after="0"/>
              <w:rPr>
                <w:sz w:val="20"/>
                <w:szCs w:val="20"/>
                <w:color w:val="auto"/>
              </w:rPr>
            </w:pPr>
            <w:r>
              <w:rPr>
                <w:rFonts w:ascii="Arial" w:cs="Arial" w:eastAsia="Arial" w:hAnsi="Arial"/>
                <w:sz w:val="18"/>
                <w:szCs w:val="18"/>
                <w:color w:val="auto"/>
              </w:rPr>
              <w:t xml:space="preserve">Common/collective trusts </w:t>
            </w:r>
            <w:r>
              <w:rPr>
                <w:rFonts w:ascii="Arial" w:cs="Arial" w:eastAsia="Arial" w:hAnsi="Arial"/>
                <w:sz w:val="21"/>
                <w:szCs w:val="21"/>
                <w:color w:val="auto"/>
                <w:vertAlign w:val="superscript"/>
              </w:rPr>
              <w:t>(h)</w:t>
            </w:r>
          </w:p>
        </w:tc>
        <w:tc>
          <w:tcPr>
            <w:tcW w:w="160" w:type="dxa"/>
            <w:vAlign w:val="bottom"/>
          </w:tcPr>
          <w:p>
            <w:pPr>
              <w:spacing w:after="0"/>
              <w:rPr>
                <w:sz w:val="23"/>
                <w:szCs w:val="23"/>
                <w:color w:val="auto"/>
              </w:rPr>
            </w:pPr>
          </w:p>
        </w:tc>
        <w:tc>
          <w:tcPr>
            <w:tcW w:w="14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23"/>
                <w:szCs w:val="23"/>
                <w:color w:val="auto"/>
              </w:rPr>
            </w:pPr>
          </w:p>
        </w:tc>
        <w:tc>
          <w:tcPr>
            <w:tcW w:w="1160" w:type="dxa"/>
            <w:vAlign w:val="bottom"/>
          </w:tcPr>
          <w:p>
            <w:pPr>
              <w:jc w:val="right"/>
              <w:ind w:right="33"/>
              <w:spacing w:after="0"/>
              <w:rPr>
                <w:sz w:val="20"/>
                <w:szCs w:val="20"/>
                <w:color w:val="auto"/>
              </w:rPr>
            </w:pPr>
            <w:r>
              <w:rPr>
                <w:rFonts w:ascii="Arial" w:cs="Arial" w:eastAsia="Arial" w:hAnsi="Arial"/>
                <w:sz w:val="18"/>
                <w:szCs w:val="18"/>
                <w:color w:val="auto"/>
              </w:rPr>
              <w:t>358</w:t>
            </w:r>
          </w:p>
        </w:tc>
        <w:tc>
          <w:tcPr>
            <w:tcW w:w="10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13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23"/>
                <w:szCs w:val="23"/>
                <w:color w:val="auto"/>
              </w:rPr>
            </w:pPr>
          </w:p>
        </w:tc>
        <w:tc>
          <w:tcPr>
            <w:tcW w:w="980" w:type="dxa"/>
            <w:vAlign w:val="bottom"/>
          </w:tcPr>
          <w:p>
            <w:pPr>
              <w:jc w:val="right"/>
              <w:ind w:right="11"/>
              <w:spacing w:after="0"/>
              <w:rPr>
                <w:sz w:val="20"/>
                <w:szCs w:val="20"/>
                <w:color w:val="auto"/>
              </w:rPr>
            </w:pPr>
            <w:r>
              <w:rPr>
                <w:rFonts w:ascii="Arial" w:cs="Arial" w:eastAsia="Arial" w:hAnsi="Arial"/>
                <w:sz w:val="18"/>
                <w:szCs w:val="18"/>
                <w:color w:val="auto"/>
              </w:rPr>
              <w:t>358</w:t>
            </w:r>
          </w:p>
        </w:tc>
      </w:tr>
      <w:tr>
        <w:trPr>
          <w:trHeight w:val="226"/>
        </w:trPr>
        <w:tc>
          <w:tcPr>
            <w:tcW w:w="40" w:type="dxa"/>
            <w:vAlign w:val="bottom"/>
            <w:shd w:val="clear" w:color="auto" w:fill="CCEEFF"/>
          </w:tcPr>
          <w:p>
            <w:pPr>
              <w:spacing w:after="0"/>
              <w:rPr>
                <w:sz w:val="19"/>
                <w:szCs w:val="19"/>
                <w:color w:val="auto"/>
              </w:rPr>
            </w:pPr>
          </w:p>
        </w:tc>
        <w:tc>
          <w:tcPr>
            <w:tcW w:w="5540" w:type="dxa"/>
            <w:vAlign w:val="bottom"/>
            <w:gridSpan w:val="2"/>
            <w:shd w:val="clear" w:color="auto" w:fill="CCEEFF"/>
          </w:tcPr>
          <w:p>
            <w:pPr>
              <w:ind w:left="340"/>
              <w:spacing w:after="0"/>
              <w:rPr>
                <w:sz w:val="20"/>
                <w:szCs w:val="20"/>
                <w:color w:val="auto"/>
              </w:rPr>
            </w:pPr>
            <w:r>
              <w:rPr>
                <w:rFonts w:ascii="Arial" w:cs="Arial" w:eastAsia="Arial" w:hAnsi="Arial"/>
                <w:sz w:val="18"/>
                <w:szCs w:val="18"/>
                <w:color w:val="auto"/>
              </w:rPr>
              <w:t>Common/collective trusts and 103-12 Investment Trust</w:t>
            </w:r>
          </w:p>
        </w:tc>
        <w:tc>
          <w:tcPr>
            <w:tcW w:w="160" w:type="dxa"/>
            <w:vAlign w:val="bottom"/>
            <w:shd w:val="clear" w:color="auto" w:fill="CCEEFF"/>
          </w:tcPr>
          <w:p>
            <w:pPr>
              <w:spacing w:after="0"/>
              <w:rPr>
                <w:sz w:val="19"/>
                <w:szCs w:val="19"/>
                <w:color w:val="auto"/>
              </w:rPr>
            </w:pPr>
          </w:p>
        </w:tc>
        <w:tc>
          <w:tcPr>
            <w:tcW w:w="13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1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2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80" w:type="dxa"/>
            <w:vAlign w:val="bottom"/>
            <w:shd w:val="clear" w:color="auto" w:fill="CCEEFF"/>
          </w:tcPr>
          <w:p>
            <w:pPr>
              <w:spacing w:after="0"/>
              <w:rPr>
                <w:sz w:val="19"/>
                <w:szCs w:val="19"/>
                <w:color w:val="auto"/>
              </w:rPr>
            </w:pPr>
          </w:p>
        </w:tc>
      </w:tr>
      <w:tr>
        <w:trPr>
          <w:trHeight w:val="233"/>
        </w:trPr>
        <w:tc>
          <w:tcPr>
            <w:tcW w:w="40" w:type="dxa"/>
            <w:vAlign w:val="bottom"/>
            <w:shd w:val="clear" w:color="auto" w:fill="CCEEFF"/>
          </w:tcPr>
          <w:p>
            <w:pPr>
              <w:spacing w:after="0"/>
              <w:rPr>
                <w:sz w:val="20"/>
                <w:szCs w:val="20"/>
                <w:color w:val="auto"/>
              </w:rPr>
            </w:pPr>
          </w:p>
        </w:tc>
        <w:tc>
          <w:tcPr>
            <w:tcW w:w="5540" w:type="dxa"/>
            <w:vAlign w:val="bottom"/>
            <w:gridSpan w:val="2"/>
            <w:shd w:val="clear" w:color="auto" w:fill="CCEEFF"/>
          </w:tcPr>
          <w:p>
            <w:pPr>
              <w:ind w:left="500"/>
              <w:spacing w:after="0" w:line="233" w:lineRule="exact"/>
              <w:rPr>
                <w:sz w:val="20"/>
                <w:szCs w:val="20"/>
                <w:color w:val="auto"/>
              </w:rPr>
            </w:pPr>
            <w:r>
              <w:rPr>
                <w:rFonts w:ascii="Arial" w:cs="Arial" w:eastAsia="Arial" w:hAnsi="Arial"/>
                <w:sz w:val="18"/>
                <w:szCs w:val="18"/>
                <w:color w:val="auto"/>
              </w:rPr>
              <w:t xml:space="preserve">measured at net asset value </w:t>
            </w:r>
            <w:r>
              <w:rPr>
                <w:rFonts w:ascii="Arial" w:cs="Arial" w:eastAsia="Arial" w:hAnsi="Arial"/>
                <w:sz w:val="21"/>
                <w:szCs w:val="21"/>
                <w:color w:val="auto"/>
                <w:vertAlign w:val="superscript"/>
              </w:rPr>
              <w:t>(g), (h)</w:t>
            </w:r>
          </w:p>
        </w:tc>
        <w:tc>
          <w:tcPr>
            <w:tcW w:w="160" w:type="dxa"/>
            <w:vAlign w:val="bottom"/>
            <w:shd w:val="clear" w:color="auto" w:fill="CCEEFF"/>
          </w:tcPr>
          <w:p>
            <w:pPr>
              <w:spacing w:after="0"/>
              <w:rPr>
                <w:sz w:val="20"/>
                <w:szCs w:val="20"/>
                <w:color w:val="auto"/>
              </w:rPr>
            </w:pPr>
          </w:p>
        </w:tc>
        <w:tc>
          <w:tcPr>
            <w:tcW w:w="14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20"/>
                <w:szCs w:val="20"/>
                <w:color w:val="auto"/>
              </w:rPr>
            </w:pPr>
          </w:p>
        </w:tc>
        <w:tc>
          <w:tcPr>
            <w:tcW w:w="12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20"/>
                <w:szCs w:val="20"/>
                <w:color w:val="auto"/>
              </w:rPr>
            </w:pPr>
          </w:p>
        </w:tc>
        <w:tc>
          <w:tcPr>
            <w:tcW w:w="13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80" w:type="dxa"/>
            <w:vAlign w:val="bottom"/>
            <w:shd w:val="clear" w:color="auto" w:fill="CCEEFF"/>
          </w:tcPr>
          <w:p>
            <w:pPr>
              <w:spacing w:after="0"/>
              <w:rPr>
                <w:sz w:val="20"/>
                <w:szCs w:val="20"/>
                <w:color w:val="auto"/>
              </w:rPr>
            </w:pPr>
          </w:p>
        </w:tc>
        <w:tc>
          <w:tcPr>
            <w:tcW w:w="98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1,423</w:t>
            </w:r>
          </w:p>
        </w:tc>
      </w:tr>
      <w:tr>
        <w:trPr>
          <w:trHeight w:val="263"/>
        </w:trPr>
        <w:tc>
          <w:tcPr>
            <w:tcW w:w="40" w:type="dxa"/>
            <w:vAlign w:val="bottom"/>
          </w:tcPr>
          <w:p>
            <w:pPr>
              <w:spacing w:after="0"/>
              <w:rPr>
                <w:sz w:val="22"/>
                <w:szCs w:val="22"/>
                <w:color w:val="auto"/>
              </w:rPr>
            </w:pPr>
          </w:p>
        </w:tc>
        <w:tc>
          <w:tcPr>
            <w:tcW w:w="5540" w:type="dxa"/>
            <w:vAlign w:val="bottom"/>
            <w:gridSpan w:val="2"/>
          </w:tcPr>
          <w:p>
            <w:pPr>
              <w:ind w:left="340"/>
              <w:spacing w:after="0"/>
              <w:rPr>
                <w:sz w:val="20"/>
                <w:szCs w:val="20"/>
                <w:color w:val="auto"/>
              </w:rPr>
            </w:pPr>
            <w:r>
              <w:rPr>
                <w:rFonts w:ascii="Arial" w:cs="Arial" w:eastAsia="Arial" w:hAnsi="Arial"/>
                <w:sz w:val="18"/>
                <w:szCs w:val="18"/>
                <w:color w:val="auto"/>
              </w:rPr>
              <w:t>Insurance group annuity contracts</w:t>
            </w:r>
          </w:p>
        </w:tc>
        <w:tc>
          <w:tcPr>
            <w:tcW w:w="160" w:type="dxa"/>
            <w:vAlign w:val="bottom"/>
          </w:tcPr>
          <w:p>
            <w:pPr>
              <w:spacing w:after="0"/>
              <w:rPr>
                <w:sz w:val="22"/>
                <w:szCs w:val="22"/>
                <w:color w:val="auto"/>
              </w:rPr>
            </w:pPr>
          </w:p>
        </w:tc>
        <w:tc>
          <w:tcPr>
            <w:tcW w:w="14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22"/>
                <w:szCs w:val="22"/>
                <w:color w:val="auto"/>
              </w:rPr>
            </w:pPr>
          </w:p>
        </w:tc>
        <w:tc>
          <w:tcPr>
            <w:tcW w:w="12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2"/>
                <w:szCs w:val="22"/>
                <w:color w:val="auto"/>
              </w:rPr>
            </w:pPr>
          </w:p>
        </w:tc>
        <w:tc>
          <w:tcPr>
            <w:tcW w:w="1200" w:type="dxa"/>
            <w:vAlign w:val="bottom"/>
          </w:tcPr>
          <w:p>
            <w:pPr>
              <w:jc w:val="right"/>
              <w:ind w:right="13"/>
              <w:spacing w:after="0"/>
              <w:rPr>
                <w:sz w:val="20"/>
                <w:szCs w:val="20"/>
                <w:color w:val="auto"/>
              </w:rPr>
            </w:pPr>
            <w:r>
              <w:rPr>
                <w:rFonts w:ascii="Arial" w:cs="Arial" w:eastAsia="Arial" w:hAnsi="Arial"/>
                <w:sz w:val="18"/>
                <w:szCs w:val="18"/>
                <w:color w:val="auto"/>
              </w:rPr>
              <w:t>2</w:t>
            </w:r>
          </w:p>
        </w:tc>
        <w:tc>
          <w:tcPr>
            <w:tcW w:w="12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980" w:type="dxa"/>
            <w:vAlign w:val="bottom"/>
          </w:tcPr>
          <w:p>
            <w:pPr>
              <w:jc w:val="right"/>
              <w:ind w:right="11"/>
              <w:spacing w:after="0"/>
              <w:rPr>
                <w:sz w:val="20"/>
                <w:szCs w:val="20"/>
                <w:color w:val="auto"/>
              </w:rPr>
            </w:pPr>
            <w:r>
              <w:rPr>
                <w:rFonts w:ascii="Arial" w:cs="Arial" w:eastAsia="Arial" w:hAnsi="Arial"/>
                <w:sz w:val="18"/>
                <w:szCs w:val="18"/>
                <w:color w:val="auto"/>
              </w:rPr>
              <w:t>2</w:t>
            </w:r>
          </w:p>
        </w:tc>
      </w:tr>
      <w:tr>
        <w:trPr>
          <w:trHeight w:val="277"/>
        </w:trPr>
        <w:tc>
          <w:tcPr>
            <w:tcW w:w="5580" w:type="dxa"/>
            <w:vAlign w:val="bottom"/>
            <w:gridSpan w:val="3"/>
            <w:shd w:val="clear" w:color="auto" w:fill="CCEEFF"/>
          </w:tcPr>
          <w:p>
            <w:pPr>
              <w:ind w:left="40"/>
              <w:spacing w:after="0"/>
              <w:rPr>
                <w:sz w:val="20"/>
                <w:szCs w:val="20"/>
                <w:color w:val="auto"/>
              </w:rPr>
            </w:pPr>
            <w:r>
              <w:rPr>
                <w:rFonts w:ascii="Arial" w:cs="Arial" w:eastAsia="Arial" w:hAnsi="Arial"/>
                <w:sz w:val="18"/>
                <w:szCs w:val="18"/>
                <w:color w:val="auto"/>
              </w:rPr>
              <w:t>Dividend and interest receivable</w:t>
            </w:r>
          </w:p>
        </w:tc>
        <w:tc>
          <w:tcPr>
            <w:tcW w:w="160" w:type="dxa"/>
            <w:vAlign w:val="bottom"/>
            <w:shd w:val="clear" w:color="auto" w:fill="CCEEFF"/>
          </w:tcPr>
          <w:p>
            <w:pPr>
              <w:spacing w:after="0"/>
              <w:rPr>
                <w:sz w:val="24"/>
                <w:szCs w:val="24"/>
                <w:color w:val="auto"/>
              </w:rPr>
            </w:pPr>
          </w:p>
        </w:tc>
        <w:tc>
          <w:tcPr>
            <w:tcW w:w="1340" w:type="dxa"/>
            <w:vAlign w:val="bottom"/>
            <w:shd w:val="clear" w:color="auto" w:fill="CCEEFF"/>
          </w:tcPr>
          <w:p>
            <w:pPr>
              <w:jc w:val="right"/>
              <w:ind w:right="34"/>
              <w:spacing w:after="0"/>
              <w:rPr>
                <w:sz w:val="20"/>
                <w:szCs w:val="20"/>
                <w:color w:val="auto"/>
              </w:rPr>
            </w:pPr>
            <w:r>
              <w:rPr>
                <w:rFonts w:ascii="Arial" w:cs="Arial" w:eastAsia="Arial" w:hAnsi="Arial"/>
                <w:sz w:val="18"/>
                <w:szCs w:val="18"/>
                <w:color w:val="auto"/>
              </w:rPr>
              <w:t>53</w:t>
            </w:r>
          </w:p>
        </w:tc>
        <w:tc>
          <w:tcPr>
            <w:tcW w:w="100" w:type="dxa"/>
            <w:vAlign w:val="bottom"/>
            <w:shd w:val="clear" w:color="auto" w:fill="CCEEFF"/>
          </w:tcPr>
          <w:p>
            <w:pPr>
              <w:spacing w:after="0"/>
              <w:rPr>
                <w:sz w:val="24"/>
                <w:szCs w:val="24"/>
                <w:color w:val="auto"/>
              </w:rPr>
            </w:pPr>
          </w:p>
        </w:tc>
        <w:tc>
          <w:tcPr>
            <w:tcW w:w="220" w:type="dxa"/>
            <w:vAlign w:val="bottom"/>
            <w:shd w:val="clear" w:color="auto" w:fill="CCEEFF"/>
          </w:tcPr>
          <w:p>
            <w:pPr>
              <w:spacing w:after="0"/>
              <w:rPr>
                <w:sz w:val="24"/>
                <w:szCs w:val="24"/>
                <w:color w:val="auto"/>
              </w:rPr>
            </w:pPr>
          </w:p>
        </w:tc>
        <w:tc>
          <w:tcPr>
            <w:tcW w:w="12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24"/>
                <w:szCs w:val="24"/>
                <w:color w:val="auto"/>
              </w:rPr>
            </w:pPr>
          </w:p>
        </w:tc>
        <w:tc>
          <w:tcPr>
            <w:tcW w:w="13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80" w:type="dxa"/>
            <w:vAlign w:val="bottom"/>
            <w:shd w:val="clear" w:color="auto" w:fill="CCEEFF"/>
          </w:tcPr>
          <w:p>
            <w:pPr>
              <w:spacing w:after="0"/>
              <w:rPr>
                <w:sz w:val="24"/>
                <w:szCs w:val="24"/>
                <w:color w:val="auto"/>
              </w:rPr>
            </w:pPr>
          </w:p>
        </w:tc>
        <w:tc>
          <w:tcPr>
            <w:tcW w:w="98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53</w:t>
            </w:r>
          </w:p>
        </w:tc>
      </w:tr>
      <w:tr>
        <w:trPr>
          <w:trHeight w:val="264"/>
        </w:trPr>
        <w:tc>
          <w:tcPr>
            <w:tcW w:w="5580" w:type="dxa"/>
            <w:vAlign w:val="bottom"/>
            <w:gridSpan w:val="3"/>
          </w:tcPr>
          <w:p>
            <w:pPr>
              <w:ind w:left="40"/>
              <w:spacing w:after="0"/>
              <w:rPr>
                <w:sz w:val="20"/>
                <w:szCs w:val="20"/>
                <w:color w:val="auto"/>
              </w:rPr>
            </w:pPr>
            <w:r>
              <w:rPr>
                <w:rFonts w:ascii="Arial" w:cs="Arial" w:eastAsia="Arial" w:hAnsi="Arial"/>
                <w:sz w:val="18"/>
                <w:szCs w:val="18"/>
                <w:color w:val="auto"/>
              </w:rPr>
              <w:t>Due to/from brokers for sale of securities – net</w:t>
            </w:r>
          </w:p>
        </w:tc>
        <w:tc>
          <w:tcPr>
            <w:tcW w:w="160" w:type="dxa"/>
            <w:vAlign w:val="bottom"/>
          </w:tcPr>
          <w:p>
            <w:pPr>
              <w:spacing w:after="0"/>
              <w:rPr>
                <w:sz w:val="22"/>
                <w:szCs w:val="22"/>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(4)</w:t>
            </w:r>
          </w:p>
        </w:tc>
        <w:tc>
          <w:tcPr>
            <w:tcW w:w="10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12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2"/>
                <w:szCs w:val="22"/>
                <w:color w:val="auto"/>
              </w:rPr>
            </w:pPr>
          </w:p>
        </w:tc>
        <w:tc>
          <w:tcPr>
            <w:tcW w:w="13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22"/>
                <w:szCs w:val="22"/>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(4)</w:t>
            </w:r>
          </w:p>
        </w:tc>
      </w:tr>
      <w:tr>
        <w:trPr>
          <w:trHeight w:val="250"/>
        </w:trPr>
        <w:tc>
          <w:tcPr>
            <w:tcW w:w="40" w:type="dxa"/>
            <w:vAlign w:val="bottom"/>
            <w:tcBorders>
              <w:top w:val="single" w:sz="8" w:color="CCEEFF"/>
              <w:bottom w:val="single" w:sz="8" w:color="CCEEFF"/>
            </w:tcBorders>
            <w:shd w:val="clear" w:color="auto" w:fill="CCEEFF"/>
          </w:tcPr>
          <w:p>
            <w:pPr>
              <w:spacing w:after="0"/>
              <w:rPr>
                <w:sz w:val="21"/>
                <w:szCs w:val="21"/>
                <w:color w:val="auto"/>
              </w:rPr>
            </w:pPr>
          </w:p>
        </w:tc>
        <w:tc>
          <w:tcPr>
            <w:tcW w:w="5540" w:type="dxa"/>
            <w:vAlign w:val="bottom"/>
            <w:tcBorders>
              <w:top w:val="single" w:sz="8" w:color="CCEEFF"/>
              <w:bottom w:val="single" w:sz="8" w:color="CCEEFF"/>
            </w:tcBorders>
            <w:gridSpan w:val="2"/>
            <w:shd w:val="clear" w:color="auto" w:fill="CCEEFF"/>
          </w:tcPr>
          <w:p>
            <w:pPr>
              <w:ind w:left="140"/>
              <w:spacing w:after="0"/>
              <w:rPr>
                <w:sz w:val="20"/>
                <w:szCs w:val="20"/>
                <w:color w:val="auto"/>
              </w:rPr>
            </w:pPr>
            <w:r>
              <w:rPr>
                <w:rFonts w:ascii="Arial" w:cs="Arial" w:eastAsia="Arial" w:hAnsi="Arial"/>
                <w:sz w:val="18"/>
                <w:szCs w:val="18"/>
                <w:color w:val="auto"/>
              </w:rPr>
              <w:t>Total</w:t>
            </w: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340" w:type="dxa"/>
            <w:vAlign w:val="bottom"/>
            <w:tcBorders>
              <w:top w:val="single" w:sz="8" w:color="auto"/>
              <w:bottom w:val="single" w:sz="8" w:color="auto"/>
            </w:tcBorders>
            <w:shd w:val="clear" w:color="auto" w:fill="CCEEFF"/>
          </w:tcPr>
          <w:p>
            <w:pPr>
              <w:jc w:val="right"/>
              <w:ind w:right="34"/>
              <w:spacing w:after="0"/>
              <w:rPr>
                <w:sz w:val="20"/>
                <w:szCs w:val="20"/>
                <w:color w:val="auto"/>
              </w:rPr>
            </w:pPr>
            <w:r>
              <w:rPr>
                <w:rFonts w:ascii="Arial" w:cs="Arial" w:eastAsia="Arial" w:hAnsi="Arial"/>
                <w:sz w:val="18"/>
                <w:szCs w:val="18"/>
                <w:color w:val="auto"/>
              </w:rPr>
              <w:t>5,858</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220" w:type="dxa"/>
            <w:vAlign w:val="bottom"/>
            <w:tcBorders>
              <w:top w:val="single" w:sz="8" w:color="auto"/>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160" w:type="dxa"/>
            <w:vAlign w:val="bottom"/>
            <w:tcBorders>
              <w:top w:val="single" w:sz="8" w:color="auto"/>
              <w:bottom w:val="single" w:sz="8" w:color="auto"/>
            </w:tcBorders>
            <w:shd w:val="clear" w:color="auto" w:fill="CCEEFF"/>
          </w:tcPr>
          <w:p>
            <w:pPr>
              <w:jc w:val="right"/>
              <w:ind w:right="33"/>
              <w:spacing w:after="0"/>
              <w:rPr>
                <w:sz w:val="20"/>
                <w:szCs w:val="20"/>
                <w:color w:val="auto"/>
              </w:rPr>
            </w:pPr>
            <w:r>
              <w:rPr>
                <w:rFonts w:ascii="Arial" w:cs="Arial" w:eastAsia="Arial" w:hAnsi="Arial"/>
                <w:sz w:val="18"/>
                <w:szCs w:val="18"/>
                <w:color w:val="auto"/>
              </w:rPr>
              <w:t>4,140</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00" w:type="dxa"/>
            <w:vAlign w:val="bottom"/>
            <w:tcBorders>
              <w:top w:val="single" w:sz="8" w:color="auto"/>
              <w:bottom w:val="single" w:sz="8" w:color="auto"/>
            </w:tcBorders>
            <w:shd w:val="clear" w:color="auto" w:fill="CCEEFF"/>
          </w:tcPr>
          <w:p>
            <w:pPr>
              <w:jc w:val="right"/>
              <w:ind w:right="13"/>
              <w:spacing w:after="0"/>
              <w:rPr>
                <w:sz w:val="20"/>
                <w:szCs w:val="20"/>
                <w:color w:val="auto"/>
              </w:rPr>
            </w:pPr>
            <w:r>
              <w:rPr>
                <w:rFonts w:ascii="Arial" w:cs="Arial" w:eastAsia="Arial" w:hAnsi="Arial"/>
                <w:sz w:val="18"/>
                <w:szCs w:val="18"/>
                <w:color w:val="auto"/>
              </w:rPr>
              <w:t>12</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280" w:type="dxa"/>
            <w:vAlign w:val="bottom"/>
            <w:tcBorders>
              <w:top w:val="single" w:sz="8" w:color="auto"/>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980" w:type="dxa"/>
            <w:vAlign w:val="bottom"/>
            <w:tcBorders>
              <w:top w:val="single" w:sz="8" w:color="auto"/>
              <w:bottom w:val="single" w:sz="8" w:color="auto"/>
            </w:tcBorders>
            <w:shd w:val="clear" w:color="auto" w:fill="CCEEFF"/>
          </w:tcPr>
          <w:p>
            <w:pPr>
              <w:jc w:val="right"/>
              <w:ind w:right="11"/>
              <w:spacing w:after="0"/>
              <w:rPr>
                <w:sz w:val="20"/>
                <w:szCs w:val="20"/>
                <w:color w:val="auto"/>
              </w:rPr>
            </w:pPr>
            <w:r>
              <w:rPr>
                <w:rFonts w:ascii="Arial" w:cs="Arial" w:eastAsia="Arial" w:hAnsi="Arial"/>
                <w:sz w:val="18"/>
                <w:szCs w:val="18"/>
                <w:color w:val="auto"/>
              </w:rPr>
              <w:t>12,897</w:t>
            </w:r>
          </w:p>
        </w:tc>
      </w:tr>
      <w:tr>
        <w:trPr>
          <w:trHeight w:val="20"/>
        </w:trPr>
        <w:tc>
          <w:tcPr>
            <w:tcW w:w="4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448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163195</wp:posOffset>
            </wp:positionV>
            <wp:extent cx="1337945" cy="8890"/>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1337945" cy="8890"/>
                    </a:xfrm>
                    <a:prstGeom prst="rect">
                      <a:avLst/>
                    </a:prstGeom>
                    <a:noFill/>
                  </pic:spPr>
                </pic:pic>
              </a:graphicData>
            </a:graphic>
          </wp:anchor>
        </w:drawing>
      </w:r>
    </w:p>
    <w:p>
      <w:pPr>
        <w:sectPr>
          <w:pgSz w:w="11900" w:h="16838" w:orient="portrait"/>
          <w:cols w:equalWidth="0" w:num="1">
            <w:col w:w="11420"/>
          </w:cols>
          <w:pgMar w:left="240" w:top="549" w:right="239" w:bottom="1440" w:gutter="0" w:footer="0" w:header="0"/>
        </w:sectPr>
      </w:pPr>
    </w:p>
    <w:p>
      <w:pPr>
        <w:spacing w:after="0" w:line="348" w:lineRule="exact"/>
        <w:rPr>
          <w:sz w:val="20"/>
          <w:szCs w:val="20"/>
          <w:color w:val="auto"/>
        </w:rPr>
      </w:pPr>
    </w:p>
    <w:p>
      <w:pPr>
        <w:spacing w:after="0"/>
        <w:rPr>
          <w:sz w:val="20"/>
          <w:szCs w:val="20"/>
          <w:color w:val="auto"/>
        </w:rPr>
      </w:pPr>
      <w:r>
        <w:rPr>
          <w:rFonts w:ascii="Arial" w:cs="Arial" w:eastAsia="Arial" w:hAnsi="Arial"/>
          <w:sz w:val="11"/>
          <w:szCs w:val="11"/>
          <w:color w:val="auto"/>
        </w:rPr>
        <w:t>(a)</w:t>
      </w:r>
    </w:p>
    <w:p>
      <w:pPr>
        <w:spacing w:after="0" w:line="200" w:lineRule="exact"/>
        <w:rPr>
          <w:sz w:val="20"/>
          <w:szCs w:val="20"/>
          <w:color w:val="auto"/>
        </w:rPr>
      </w:pPr>
    </w:p>
    <w:p>
      <w:pPr>
        <w:spacing w:after="0" w:line="268" w:lineRule="exact"/>
        <w:rPr>
          <w:sz w:val="20"/>
          <w:szCs w:val="20"/>
          <w:color w:val="auto"/>
        </w:rPr>
      </w:pPr>
    </w:p>
    <w:p>
      <w:pPr>
        <w:spacing w:after="0"/>
        <w:rPr>
          <w:sz w:val="20"/>
          <w:szCs w:val="20"/>
          <w:color w:val="auto"/>
        </w:rPr>
      </w:pPr>
      <w:r>
        <w:rPr>
          <w:rFonts w:ascii="Arial" w:cs="Arial" w:eastAsia="Arial" w:hAnsi="Arial"/>
          <w:sz w:val="11"/>
          <w:szCs w:val="11"/>
          <w:color w:val="auto"/>
        </w:rPr>
        <w:t>(b)</w:t>
      </w:r>
    </w:p>
    <w:p>
      <w:pPr>
        <w:spacing w:after="0" w:line="252" w:lineRule="exact"/>
        <w:rPr>
          <w:sz w:val="20"/>
          <w:szCs w:val="20"/>
          <w:color w:val="auto"/>
        </w:rPr>
      </w:pPr>
    </w:p>
    <w:p>
      <w:pPr>
        <w:spacing w:after="0"/>
        <w:rPr>
          <w:sz w:val="20"/>
          <w:szCs w:val="20"/>
          <w:color w:val="auto"/>
        </w:rPr>
      </w:pPr>
      <w:r>
        <w:rPr>
          <w:rFonts w:ascii="Arial" w:cs="Arial" w:eastAsia="Arial" w:hAnsi="Arial"/>
          <w:sz w:val="11"/>
          <w:szCs w:val="11"/>
          <w:color w:val="auto"/>
        </w:rPr>
        <w:t>(c)</w:t>
      </w:r>
    </w:p>
    <w:p>
      <w:pPr>
        <w:spacing w:after="0" w:line="200" w:lineRule="exact"/>
        <w:rPr>
          <w:sz w:val="20"/>
          <w:szCs w:val="20"/>
          <w:color w:val="auto"/>
        </w:rPr>
      </w:pPr>
    </w:p>
    <w:p>
      <w:pPr>
        <w:spacing w:after="0" w:line="268" w:lineRule="exact"/>
        <w:rPr>
          <w:sz w:val="20"/>
          <w:szCs w:val="20"/>
          <w:color w:val="auto"/>
        </w:rPr>
      </w:pPr>
    </w:p>
    <w:p>
      <w:pPr>
        <w:spacing w:after="0"/>
        <w:rPr>
          <w:sz w:val="20"/>
          <w:szCs w:val="20"/>
          <w:color w:val="auto"/>
        </w:rPr>
      </w:pPr>
      <w:r>
        <w:rPr>
          <w:rFonts w:ascii="Arial" w:cs="Arial" w:eastAsia="Arial" w:hAnsi="Arial"/>
          <w:sz w:val="11"/>
          <w:szCs w:val="11"/>
          <w:color w:val="auto"/>
        </w:rPr>
        <w:t>(d)</w:t>
      </w:r>
    </w:p>
    <w:p>
      <w:pPr>
        <w:spacing w:after="0" w:line="200" w:lineRule="exact"/>
        <w:rPr>
          <w:sz w:val="20"/>
          <w:szCs w:val="20"/>
          <w:color w:val="auto"/>
        </w:rPr>
      </w:pPr>
    </w:p>
    <w:p>
      <w:pPr>
        <w:spacing w:after="0" w:line="268" w:lineRule="exact"/>
        <w:rPr>
          <w:sz w:val="20"/>
          <w:szCs w:val="20"/>
          <w:color w:val="auto"/>
        </w:rPr>
      </w:pPr>
    </w:p>
    <w:p>
      <w:pPr>
        <w:spacing w:after="0"/>
        <w:rPr>
          <w:sz w:val="20"/>
          <w:szCs w:val="20"/>
          <w:color w:val="auto"/>
        </w:rPr>
      </w:pPr>
      <w:r>
        <w:rPr>
          <w:rFonts w:ascii="Arial" w:cs="Arial" w:eastAsia="Arial" w:hAnsi="Arial"/>
          <w:sz w:val="11"/>
          <w:szCs w:val="11"/>
          <w:color w:val="auto"/>
        </w:rPr>
        <w:t>(e)</w:t>
      </w:r>
    </w:p>
    <w:p>
      <w:pPr>
        <w:spacing w:after="0" w:line="20" w:lineRule="exact"/>
        <w:rPr>
          <w:sz w:val="20"/>
          <w:szCs w:val="20"/>
          <w:color w:val="auto"/>
        </w:rPr>
      </w:pPr>
      <w:r>
        <w:rPr>
          <w:sz w:val="20"/>
          <w:szCs w:val="20"/>
          <w:color w:val="auto"/>
        </w:rPr>
        <w:br w:type="column"/>
      </w:r>
    </w:p>
    <w:p>
      <w:pPr>
        <w:spacing w:after="0" w:line="330" w:lineRule="exact"/>
        <w:rPr>
          <w:sz w:val="20"/>
          <w:szCs w:val="20"/>
          <w:color w:val="auto"/>
        </w:rPr>
      </w:pPr>
    </w:p>
    <w:p>
      <w:pPr>
        <w:spacing w:after="0" w:line="262" w:lineRule="auto"/>
        <w:rPr>
          <w:sz w:val="20"/>
          <w:szCs w:val="20"/>
          <w:color w:val="auto"/>
        </w:rPr>
      </w:pPr>
      <w:r>
        <w:rPr>
          <w:rFonts w:ascii="Arial" w:cs="Arial" w:eastAsia="Arial" w:hAnsi="Arial"/>
          <w:sz w:val="18"/>
          <w:szCs w:val="18"/>
          <w:color w:val="auto"/>
        </w:rPr>
        <w:t>Holdings are diversified as follows: 14% United Kingdom, 8% Switzerland, 8% Ireland, 7% Japan, 7% France, 6% South Korea, 6% Canada, 18% emerging markets and the remaining 26% with no concentration greater than 5% in any one country.</w:t>
      </w:r>
    </w:p>
    <w:p>
      <w:pPr>
        <w:spacing w:after="0" w:line="142" w:lineRule="exact"/>
        <w:rPr>
          <w:sz w:val="20"/>
          <w:szCs w:val="20"/>
          <w:color w:val="auto"/>
        </w:rPr>
      </w:pPr>
    </w:p>
    <w:p>
      <w:pPr>
        <w:spacing w:after="0"/>
        <w:rPr>
          <w:sz w:val="20"/>
          <w:szCs w:val="20"/>
          <w:color w:val="auto"/>
        </w:rPr>
      </w:pPr>
      <w:r>
        <w:rPr>
          <w:rFonts w:ascii="Arial" w:cs="Arial" w:eastAsia="Arial" w:hAnsi="Arial"/>
          <w:sz w:val="18"/>
          <w:szCs w:val="18"/>
          <w:color w:val="auto"/>
        </w:rPr>
        <w:t>There are no significant concentrations of holdings by company or industry.</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color w:val="auto"/>
        </w:rPr>
        <w:t>Investment includes mutual funds invested 40% in equity securities of large-cap, mid-cap and small-cap U.S. companies, 33% in U.S.</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treasuries and corporate bonds and 27% in equity securities of international companies.</w:t>
      </w:r>
    </w:p>
    <w:p>
      <w:pPr>
        <w:spacing w:after="0" w:line="171" w:lineRule="exact"/>
        <w:rPr>
          <w:sz w:val="20"/>
          <w:szCs w:val="20"/>
          <w:color w:val="auto"/>
        </w:rPr>
      </w:pPr>
    </w:p>
    <w:p>
      <w:pPr>
        <w:ind w:right="20"/>
        <w:spacing w:after="0" w:line="262" w:lineRule="auto"/>
        <w:rPr>
          <w:sz w:val="20"/>
          <w:szCs w:val="20"/>
          <w:color w:val="auto"/>
        </w:rPr>
      </w:pPr>
      <w:r>
        <w:rPr>
          <w:rFonts w:ascii="Arial" w:cs="Arial" w:eastAsia="Arial" w:hAnsi="Arial"/>
          <w:sz w:val="18"/>
          <w:szCs w:val="18"/>
          <w:color w:val="auto"/>
        </w:rPr>
        <w:t>Includes approximately 76% investments in corporate debt with a S&amp;P rating lower than A and 24% investments in corporate debt with a S&amp;P rating A or higher. Holdings include 86% U.S. companies, 11% international companies and 3% emerging market companies.</w:t>
      </w:r>
    </w:p>
    <w:p>
      <w:pPr>
        <w:spacing w:after="0" w:line="142" w:lineRule="exact"/>
        <w:rPr>
          <w:sz w:val="20"/>
          <w:szCs w:val="20"/>
          <w:color w:val="auto"/>
        </w:rPr>
      </w:pPr>
    </w:p>
    <w:p>
      <w:pPr>
        <w:ind w:right="20"/>
        <w:spacing w:after="0" w:line="262" w:lineRule="auto"/>
        <w:rPr>
          <w:sz w:val="20"/>
          <w:szCs w:val="20"/>
          <w:color w:val="auto"/>
        </w:rPr>
      </w:pPr>
      <w:r>
        <w:rPr>
          <w:rFonts w:ascii="Arial" w:cs="Arial" w:eastAsia="Arial" w:hAnsi="Arial"/>
          <w:sz w:val="18"/>
          <w:szCs w:val="18"/>
          <w:color w:val="auto"/>
        </w:rPr>
        <w:t>Includes approximately 79% investments in U.S. domestic government securities, 13% in emerging market government securities and 8% in international government securities. There are no significant foreign currency risks within this classification.</w:t>
      </w:r>
    </w:p>
    <w:p>
      <w:pPr>
        <w:spacing w:after="0" w:line="196" w:lineRule="exact"/>
        <w:rPr>
          <w:sz w:val="20"/>
          <w:szCs w:val="20"/>
          <w:color w:val="auto"/>
        </w:rPr>
      </w:pPr>
    </w:p>
    <w:p>
      <w:pPr>
        <w:jc w:val="center"/>
        <w:ind w:right="640"/>
        <w:spacing w:after="0"/>
        <w:rPr>
          <w:sz w:val="20"/>
          <w:szCs w:val="20"/>
          <w:color w:val="auto"/>
        </w:rPr>
      </w:pPr>
      <w:r>
        <w:rPr>
          <w:rFonts w:ascii="Arial" w:cs="Arial" w:eastAsia="Arial" w:hAnsi="Arial"/>
          <w:sz w:val="18"/>
          <w:szCs w:val="18"/>
          <w:color w:val="auto"/>
        </w:rPr>
        <w:t>103</w:t>
      </w:r>
    </w:p>
    <w:p>
      <w:pPr>
        <w:sectPr>
          <w:pgSz w:w="11900" w:h="16838" w:orient="portrait"/>
          <w:cols w:equalWidth="0" w:num="2">
            <w:col w:w="140" w:space="520"/>
            <w:col w:w="10760"/>
          </w:cols>
          <w:pgMar w:left="240" w:top="549" w:right="239" w:bottom="1440" w:gutter="0" w:footer="0" w:header="0"/>
          <w:type w:val="continuous"/>
        </w:sectPr>
      </w:pPr>
    </w:p>
    <w:bookmarkStart w:id="103" w:name="page104"/>
    <w:bookmarkEnd w:id="103"/>
    <w:p>
      <w:pPr>
        <w:spacing w:after="0" w:line="200" w:lineRule="exact"/>
        <w:rPr>
          <w:sz w:val="20"/>
          <w:szCs w:val="20"/>
          <w:color w:val="auto"/>
        </w:rPr>
      </w:pPr>
    </w:p>
    <w:p>
      <w:pPr>
        <w:spacing w:after="0" w:line="200" w:lineRule="exact"/>
        <w:rPr>
          <w:sz w:val="20"/>
          <w:szCs w:val="20"/>
          <w:color w:val="auto"/>
        </w:rPr>
      </w:pPr>
    </w:p>
    <w:p>
      <w:pPr>
        <w:spacing w:after="0" w:line="214" w:lineRule="exact"/>
        <w:rPr>
          <w:sz w:val="20"/>
          <w:szCs w:val="20"/>
          <w:color w:val="auto"/>
        </w:rPr>
      </w:pPr>
    </w:p>
    <w:p>
      <w:pPr>
        <w:spacing w:after="0"/>
        <w:rPr>
          <w:sz w:val="20"/>
          <w:szCs w:val="20"/>
          <w:color w:val="auto"/>
        </w:rPr>
      </w:pPr>
      <w:r>
        <w:rPr>
          <w:rFonts w:ascii="Arial" w:cs="Arial" w:eastAsia="Arial" w:hAnsi="Arial"/>
          <w:sz w:val="11"/>
          <w:szCs w:val="11"/>
          <w:color w:val="auto"/>
        </w:rPr>
        <w:t>(f)</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6" w:lineRule="exact"/>
        <w:rPr>
          <w:sz w:val="20"/>
          <w:szCs w:val="20"/>
          <w:color w:val="auto"/>
        </w:rPr>
      </w:pPr>
    </w:p>
    <w:p>
      <w:pPr>
        <w:spacing w:after="0"/>
        <w:rPr>
          <w:sz w:val="20"/>
          <w:szCs w:val="20"/>
          <w:color w:val="auto"/>
        </w:rPr>
      </w:pPr>
      <w:r>
        <w:rPr>
          <w:rFonts w:ascii="Arial" w:cs="Arial" w:eastAsia="Arial" w:hAnsi="Arial"/>
          <w:sz w:val="11"/>
          <w:szCs w:val="11"/>
          <w:color w:val="auto"/>
        </w:rPr>
        <w:t>(g)</w:t>
      </w:r>
    </w:p>
    <w:p>
      <w:pPr>
        <w:spacing w:after="0" w:line="200" w:lineRule="exact"/>
        <w:rPr>
          <w:sz w:val="20"/>
          <w:szCs w:val="20"/>
          <w:color w:val="auto"/>
        </w:rPr>
      </w:pPr>
    </w:p>
    <w:p>
      <w:pPr>
        <w:spacing w:after="0" w:line="200" w:lineRule="exact"/>
        <w:rPr>
          <w:sz w:val="20"/>
          <w:szCs w:val="20"/>
          <w:color w:val="auto"/>
        </w:rPr>
      </w:pPr>
    </w:p>
    <w:p>
      <w:pPr>
        <w:spacing w:after="0" w:line="284" w:lineRule="exact"/>
        <w:rPr>
          <w:sz w:val="20"/>
          <w:szCs w:val="20"/>
          <w:color w:val="auto"/>
        </w:rPr>
      </w:pPr>
    </w:p>
    <w:p>
      <w:pPr>
        <w:spacing w:after="0"/>
        <w:rPr>
          <w:sz w:val="20"/>
          <w:szCs w:val="20"/>
          <w:color w:val="auto"/>
        </w:rPr>
      </w:pPr>
      <w:r>
        <w:rPr>
          <w:rFonts w:ascii="Arial" w:cs="Arial" w:eastAsia="Arial" w:hAnsi="Arial"/>
          <w:sz w:val="11"/>
          <w:szCs w:val="11"/>
          <w:color w:val="auto"/>
        </w:rPr>
        <w:t>(h)</w:t>
      </w:r>
    </w:p>
    <w:p>
      <w:pPr>
        <w:spacing w:after="0" w:line="20" w:lineRule="exact"/>
        <w:rPr>
          <w:sz w:val="20"/>
          <w:szCs w:val="20"/>
          <w:color w:val="auto"/>
        </w:rPr>
      </w:pPr>
      <w:r>
        <w:rPr>
          <w:sz w:val="20"/>
          <w:szCs w:val="20"/>
          <w:color w:val="auto"/>
        </w:rPr>
        <w:br w:type="column"/>
      </w:r>
    </w:p>
    <w:p>
      <w:pPr>
        <w:jc w:val="center"/>
        <w:ind w:right="640"/>
        <w:spacing w:after="0"/>
        <w:rPr>
          <w:sz w:val="20"/>
          <w:szCs w:val="20"/>
          <w:color w:val="auto"/>
        </w:rPr>
      </w:pPr>
      <w:r>
        <w:rPr>
          <w:rFonts w:ascii="Arial" w:cs="Arial" w:eastAsia="Arial" w:hAnsi="Arial"/>
          <w:sz w:val="18"/>
          <w:szCs w:val="18"/>
          <w:b w:val="1"/>
          <w:bCs w:val="1"/>
          <w:color w:val="auto"/>
        </w:rPr>
        <w:t>NOTES TO CONSOLIDATED FINANCIAL STATEMENTS OF AMERICAN AIRLINES GROUP INC.</w:t>
      </w:r>
    </w:p>
    <w:p>
      <w:pPr>
        <w:spacing w:after="0" w:line="200" w:lineRule="exact"/>
        <w:rPr>
          <w:sz w:val="20"/>
          <w:szCs w:val="20"/>
          <w:color w:val="auto"/>
        </w:rPr>
      </w:pPr>
    </w:p>
    <w:p>
      <w:pPr>
        <w:spacing w:after="0" w:line="209"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auto"/>
        </w:rPr>
        <w:t>Includes limited partnerships that invest primarily in domestic private equity and private income opportunities. The pension plan’s master trust does not have the right to redeem its limited partnership investment at its net asset value, but rather receives distributions as the underlying assets are liquidated. It is estimated that the underlying assets of these funds will be gradually liquidated over the next one to ten years. Additionally, the pension plan’s master trust has future funding commitments of approximately $1.4 billion over the next ten years.</w:t>
      </w:r>
    </w:p>
    <w:p>
      <w:pPr>
        <w:spacing w:after="0" w:line="152" w:lineRule="exact"/>
        <w:rPr>
          <w:sz w:val="20"/>
          <w:szCs w:val="20"/>
          <w:color w:val="auto"/>
        </w:rPr>
      </w:pPr>
    </w:p>
    <w:p>
      <w:pPr>
        <w:jc w:val="both"/>
        <w:spacing w:after="0" w:line="256" w:lineRule="auto"/>
        <w:rPr>
          <w:sz w:val="20"/>
          <w:szCs w:val="20"/>
          <w:color w:val="auto"/>
        </w:rPr>
      </w:pPr>
      <w:r>
        <w:rPr>
          <w:rFonts w:ascii="Arial" w:cs="Arial" w:eastAsia="Arial" w:hAnsi="Arial"/>
          <w:sz w:val="18"/>
          <w:szCs w:val="18"/>
          <w:color w:val="auto"/>
        </w:rPr>
        <w:t>Certain investments that are measured using net asset value per share (or its equivalent) as a practical expedient for fair value have not been classified in the fair value hierarchy. The fair value amounts presented in this table are intended to permit reconciliation of the fair value hierarchy to the amounts presented in the notes to the consolidated financial statements.</w:t>
      </w:r>
    </w:p>
    <w:p>
      <w:pPr>
        <w:spacing w:after="0" w:line="148"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auto"/>
        </w:rPr>
        <w:t>Investment includes 36% in a common/collective trust investing in securities of larger companies within the U.S., 29% in a common/collective trust investing in securities of smaller companies located outside the U.S., 16% in a collective interest trust investing primarily in short-term securities, 15% in an emerging market 103-12 Investment Trust with investments in emerging country equity securities and 4% in Canadian segregated balanced value, income growth and diversified pooled funds. For some trusts, requests for withdrawals must meet specific requirements with advance notice of redemption preferred.</w:t>
      </w:r>
    </w:p>
    <w:p>
      <w:pPr>
        <w:spacing w:after="0" w:line="139" w:lineRule="exact"/>
        <w:rPr>
          <w:sz w:val="20"/>
          <w:szCs w:val="20"/>
          <w:color w:val="auto"/>
        </w:rPr>
      </w:pPr>
    </w:p>
    <w:p>
      <w:pPr>
        <w:sectPr>
          <w:pgSz w:w="11900" w:h="16838" w:orient="portrait"/>
          <w:cols w:equalWidth="0" w:num="2">
            <w:col w:w="140" w:space="520"/>
            <w:col w:w="10760"/>
          </w:cols>
          <w:pgMar w:left="240" w:top="549" w:right="239" w:bottom="1440" w:gutter="0" w:footer="0" w:header="0"/>
        </w:sectPr>
      </w:pPr>
    </w:p>
    <w:tbl>
      <w:tblPr>
        <w:tblLayout w:type="fixed"/>
        <w:tblInd w:w="0" w:type="dxa"/>
        <w:tblCellMar>
          <w:top w:w="0" w:type="dxa"/>
          <w:left w:w="0" w:type="dxa"/>
          <w:bottom w:w="0" w:type="dxa"/>
          <w:right w:w="0" w:type="dxa"/>
        </w:tblCellMar>
      </w:tblPr>
      <w:tr>
        <w:trPr>
          <w:trHeight w:val="196"/>
        </w:trPr>
        <w:tc>
          <w:tcPr>
            <w:tcW w:w="4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4480" w:type="dxa"/>
            <w:vAlign w:val="bottom"/>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4700" w:type="dxa"/>
            <w:vAlign w:val="bottom"/>
            <w:tcBorders>
              <w:bottom w:val="single" w:sz="8" w:color="auto"/>
            </w:tcBorders>
            <w:gridSpan w:val="9"/>
          </w:tcPr>
          <w:p>
            <w:pPr>
              <w:jc w:val="right"/>
              <w:ind w:right="110"/>
              <w:spacing w:after="0"/>
              <w:rPr>
                <w:sz w:val="20"/>
                <w:szCs w:val="20"/>
                <w:color w:val="auto"/>
              </w:rPr>
            </w:pPr>
            <w:r>
              <w:rPr>
                <w:rFonts w:ascii="Arial" w:cs="Arial" w:eastAsia="Arial" w:hAnsi="Arial"/>
                <w:sz w:val="14"/>
                <w:szCs w:val="14"/>
                <w:b w:val="1"/>
                <w:bCs w:val="1"/>
                <w:color w:val="auto"/>
              </w:rPr>
              <w:t>Fair Value Measurements as of December 31, 2018</w:t>
            </w:r>
          </w:p>
        </w:tc>
        <w:tc>
          <w:tcPr>
            <w:tcW w:w="980" w:type="dxa"/>
            <w:vAlign w:val="bottom"/>
            <w:tcBorders>
              <w:bottom w:val="single" w:sz="8" w:color="auto"/>
            </w:tcBorders>
          </w:tcPr>
          <w:p>
            <w:pPr>
              <w:spacing w:after="0"/>
              <w:rPr>
                <w:sz w:val="17"/>
                <w:szCs w:val="17"/>
                <w:color w:val="auto"/>
              </w:rPr>
            </w:pPr>
          </w:p>
        </w:tc>
      </w:tr>
      <w:tr>
        <w:trPr>
          <w:trHeight w:val="175"/>
        </w:trPr>
        <w:tc>
          <w:tcPr>
            <w:tcW w:w="4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44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44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rPr>
              <w:t>Quoted Prices in</w:t>
            </w:r>
          </w:p>
        </w:tc>
        <w:tc>
          <w:tcPr>
            <w:tcW w:w="220" w:type="dxa"/>
            <w:vAlign w:val="bottom"/>
          </w:tcPr>
          <w:p>
            <w:pPr>
              <w:spacing w:after="0"/>
              <w:rPr>
                <w:sz w:val="15"/>
                <w:szCs w:val="15"/>
                <w:color w:val="auto"/>
              </w:rPr>
            </w:pPr>
          </w:p>
        </w:tc>
        <w:tc>
          <w:tcPr>
            <w:tcW w:w="11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2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980" w:type="dxa"/>
            <w:vAlign w:val="bottom"/>
          </w:tcPr>
          <w:p>
            <w:pPr>
              <w:spacing w:after="0"/>
              <w:rPr>
                <w:sz w:val="15"/>
                <w:szCs w:val="15"/>
                <w:color w:val="auto"/>
              </w:rPr>
            </w:pPr>
          </w:p>
        </w:tc>
      </w:tr>
      <w:tr>
        <w:trPr>
          <w:trHeight w:val="162"/>
        </w:trPr>
        <w:tc>
          <w:tcPr>
            <w:tcW w:w="4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44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44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rPr>
              <w:t>Active Markets</w:t>
            </w:r>
          </w:p>
        </w:tc>
        <w:tc>
          <w:tcPr>
            <w:tcW w:w="220" w:type="dxa"/>
            <w:vAlign w:val="bottom"/>
          </w:tcPr>
          <w:p>
            <w:pPr>
              <w:spacing w:after="0"/>
              <w:rPr>
                <w:sz w:val="14"/>
                <w:szCs w:val="14"/>
                <w:color w:val="auto"/>
              </w:rPr>
            </w:pPr>
          </w:p>
        </w:tc>
        <w:tc>
          <w:tcPr>
            <w:tcW w:w="1260" w:type="dxa"/>
            <w:vAlign w:val="bottom"/>
            <w:gridSpan w:val="2"/>
          </w:tcPr>
          <w:p>
            <w:pPr>
              <w:jc w:val="center"/>
              <w:ind w:right="320"/>
              <w:spacing w:after="0"/>
              <w:rPr>
                <w:sz w:val="20"/>
                <w:szCs w:val="20"/>
                <w:color w:val="auto"/>
              </w:rPr>
            </w:pPr>
            <w:r>
              <w:rPr>
                <w:rFonts w:ascii="Arial" w:cs="Arial" w:eastAsia="Arial" w:hAnsi="Arial"/>
                <w:sz w:val="14"/>
                <w:szCs w:val="14"/>
                <w:b w:val="1"/>
                <w:bCs w:val="1"/>
                <w:color w:val="auto"/>
              </w:rPr>
              <w:t>Significant</w:t>
            </w:r>
          </w:p>
        </w:tc>
        <w:tc>
          <w:tcPr>
            <w:tcW w:w="180" w:type="dxa"/>
            <w:vAlign w:val="bottom"/>
          </w:tcPr>
          <w:p>
            <w:pPr>
              <w:spacing w:after="0"/>
              <w:rPr>
                <w:sz w:val="14"/>
                <w:szCs w:val="14"/>
                <w:color w:val="auto"/>
              </w:rPr>
            </w:pPr>
          </w:p>
        </w:tc>
        <w:tc>
          <w:tcPr>
            <w:tcW w:w="1320" w:type="dxa"/>
            <w:vAlign w:val="bottom"/>
            <w:gridSpan w:val="2"/>
          </w:tcPr>
          <w:p>
            <w:pPr>
              <w:jc w:val="center"/>
              <w:ind w:right="300"/>
              <w:spacing w:after="0"/>
              <w:rPr>
                <w:sz w:val="20"/>
                <w:szCs w:val="20"/>
                <w:color w:val="auto"/>
              </w:rPr>
            </w:pPr>
            <w:r>
              <w:rPr>
                <w:rFonts w:ascii="Arial" w:cs="Arial" w:eastAsia="Arial" w:hAnsi="Arial"/>
                <w:sz w:val="14"/>
                <w:szCs w:val="14"/>
                <w:b w:val="1"/>
                <w:bCs w:val="1"/>
                <w:color w:val="auto"/>
              </w:rPr>
              <w:t>Significant</w:t>
            </w:r>
          </w:p>
        </w:tc>
        <w:tc>
          <w:tcPr>
            <w:tcW w:w="280" w:type="dxa"/>
            <w:vAlign w:val="bottom"/>
          </w:tcPr>
          <w:p>
            <w:pPr>
              <w:spacing w:after="0"/>
              <w:rPr>
                <w:sz w:val="14"/>
                <w:szCs w:val="14"/>
                <w:color w:val="auto"/>
              </w:rPr>
            </w:pPr>
          </w:p>
        </w:tc>
        <w:tc>
          <w:tcPr>
            <w:tcW w:w="980" w:type="dxa"/>
            <w:vAlign w:val="bottom"/>
          </w:tcPr>
          <w:p>
            <w:pPr>
              <w:spacing w:after="0"/>
              <w:rPr>
                <w:sz w:val="14"/>
                <w:szCs w:val="14"/>
                <w:color w:val="auto"/>
              </w:rPr>
            </w:pPr>
          </w:p>
        </w:tc>
      </w:tr>
      <w:tr>
        <w:trPr>
          <w:trHeight w:val="162"/>
        </w:trPr>
        <w:tc>
          <w:tcPr>
            <w:tcW w:w="4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44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44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rPr>
              <w:t>for Identical</w:t>
            </w:r>
          </w:p>
        </w:tc>
        <w:tc>
          <w:tcPr>
            <w:tcW w:w="220" w:type="dxa"/>
            <w:vAlign w:val="bottom"/>
          </w:tcPr>
          <w:p>
            <w:pPr>
              <w:spacing w:after="0"/>
              <w:rPr>
                <w:sz w:val="14"/>
                <w:szCs w:val="14"/>
                <w:color w:val="auto"/>
              </w:rPr>
            </w:pPr>
          </w:p>
        </w:tc>
        <w:tc>
          <w:tcPr>
            <w:tcW w:w="1260" w:type="dxa"/>
            <w:vAlign w:val="bottom"/>
            <w:gridSpan w:val="2"/>
          </w:tcPr>
          <w:p>
            <w:pPr>
              <w:jc w:val="center"/>
              <w:ind w:right="320"/>
              <w:spacing w:after="0"/>
              <w:rPr>
                <w:sz w:val="20"/>
                <w:szCs w:val="20"/>
                <w:color w:val="auto"/>
              </w:rPr>
            </w:pPr>
            <w:r>
              <w:rPr>
                <w:rFonts w:ascii="Arial" w:cs="Arial" w:eastAsia="Arial" w:hAnsi="Arial"/>
                <w:sz w:val="14"/>
                <w:szCs w:val="14"/>
                <w:b w:val="1"/>
                <w:bCs w:val="1"/>
                <w:color w:val="auto"/>
              </w:rPr>
              <w:t>Observable</w:t>
            </w:r>
          </w:p>
        </w:tc>
        <w:tc>
          <w:tcPr>
            <w:tcW w:w="180" w:type="dxa"/>
            <w:vAlign w:val="bottom"/>
          </w:tcPr>
          <w:p>
            <w:pPr>
              <w:spacing w:after="0"/>
              <w:rPr>
                <w:sz w:val="14"/>
                <w:szCs w:val="14"/>
                <w:color w:val="auto"/>
              </w:rPr>
            </w:pPr>
          </w:p>
        </w:tc>
        <w:tc>
          <w:tcPr>
            <w:tcW w:w="1320" w:type="dxa"/>
            <w:vAlign w:val="bottom"/>
            <w:gridSpan w:val="2"/>
          </w:tcPr>
          <w:p>
            <w:pPr>
              <w:jc w:val="center"/>
              <w:ind w:right="300"/>
              <w:spacing w:after="0"/>
              <w:rPr>
                <w:sz w:val="20"/>
                <w:szCs w:val="20"/>
                <w:color w:val="auto"/>
              </w:rPr>
            </w:pPr>
            <w:r>
              <w:rPr>
                <w:rFonts w:ascii="Arial" w:cs="Arial" w:eastAsia="Arial" w:hAnsi="Arial"/>
                <w:sz w:val="14"/>
                <w:szCs w:val="14"/>
                <w:b w:val="1"/>
                <w:bCs w:val="1"/>
                <w:color w:val="auto"/>
              </w:rPr>
              <w:t>Unobservable</w:t>
            </w:r>
          </w:p>
        </w:tc>
        <w:tc>
          <w:tcPr>
            <w:tcW w:w="280" w:type="dxa"/>
            <w:vAlign w:val="bottom"/>
          </w:tcPr>
          <w:p>
            <w:pPr>
              <w:spacing w:after="0"/>
              <w:rPr>
                <w:sz w:val="14"/>
                <w:szCs w:val="14"/>
                <w:color w:val="auto"/>
              </w:rPr>
            </w:pPr>
          </w:p>
        </w:tc>
        <w:tc>
          <w:tcPr>
            <w:tcW w:w="980" w:type="dxa"/>
            <w:vAlign w:val="bottom"/>
          </w:tcPr>
          <w:p>
            <w:pPr>
              <w:spacing w:after="0"/>
              <w:rPr>
                <w:sz w:val="14"/>
                <w:szCs w:val="14"/>
                <w:color w:val="auto"/>
              </w:rPr>
            </w:pPr>
          </w:p>
        </w:tc>
      </w:tr>
      <w:tr>
        <w:trPr>
          <w:trHeight w:val="162"/>
        </w:trPr>
        <w:tc>
          <w:tcPr>
            <w:tcW w:w="4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44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44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rPr>
              <w:t>Assets</w:t>
            </w:r>
          </w:p>
        </w:tc>
        <w:tc>
          <w:tcPr>
            <w:tcW w:w="220" w:type="dxa"/>
            <w:vAlign w:val="bottom"/>
          </w:tcPr>
          <w:p>
            <w:pPr>
              <w:spacing w:after="0"/>
              <w:rPr>
                <w:sz w:val="14"/>
                <w:szCs w:val="14"/>
                <w:color w:val="auto"/>
              </w:rPr>
            </w:pPr>
          </w:p>
        </w:tc>
        <w:tc>
          <w:tcPr>
            <w:tcW w:w="1260" w:type="dxa"/>
            <w:vAlign w:val="bottom"/>
            <w:gridSpan w:val="2"/>
          </w:tcPr>
          <w:p>
            <w:pPr>
              <w:jc w:val="center"/>
              <w:ind w:right="320"/>
              <w:spacing w:after="0"/>
              <w:rPr>
                <w:sz w:val="20"/>
                <w:szCs w:val="20"/>
                <w:color w:val="auto"/>
              </w:rPr>
            </w:pPr>
            <w:r>
              <w:rPr>
                <w:rFonts w:ascii="Arial" w:cs="Arial" w:eastAsia="Arial" w:hAnsi="Arial"/>
                <w:sz w:val="14"/>
                <w:szCs w:val="14"/>
                <w:b w:val="1"/>
                <w:bCs w:val="1"/>
                <w:color w:val="auto"/>
                <w:w w:val="99"/>
              </w:rPr>
              <w:t>Inputs</w:t>
            </w:r>
          </w:p>
        </w:tc>
        <w:tc>
          <w:tcPr>
            <w:tcW w:w="180" w:type="dxa"/>
            <w:vAlign w:val="bottom"/>
          </w:tcPr>
          <w:p>
            <w:pPr>
              <w:spacing w:after="0"/>
              <w:rPr>
                <w:sz w:val="14"/>
                <w:szCs w:val="14"/>
                <w:color w:val="auto"/>
              </w:rPr>
            </w:pPr>
          </w:p>
        </w:tc>
        <w:tc>
          <w:tcPr>
            <w:tcW w:w="1320" w:type="dxa"/>
            <w:vAlign w:val="bottom"/>
            <w:gridSpan w:val="2"/>
          </w:tcPr>
          <w:p>
            <w:pPr>
              <w:jc w:val="center"/>
              <w:ind w:right="300"/>
              <w:spacing w:after="0"/>
              <w:rPr>
                <w:sz w:val="20"/>
                <w:szCs w:val="20"/>
                <w:color w:val="auto"/>
              </w:rPr>
            </w:pPr>
            <w:r>
              <w:rPr>
                <w:rFonts w:ascii="Arial" w:cs="Arial" w:eastAsia="Arial" w:hAnsi="Arial"/>
                <w:sz w:val="14"/>
                <w:szCs w:val="14"/>
                <w:b w:val="1"/>
                <w:bCs w:val="1"/>
                <w:color w:val="auto"/>
                <w:w w:val="99"/>
              </w:rPr>
              <w:t>Inputs</w:t>
            </w:r>
          </w:p>
        </w:tc>
        <w:tc>
          <w:tcPr>
            <w:tcW w:w="280" w:type="dxa"/>
            <w:vAlign w:val="bottom"/>
          </w:tcPr>
          <w:p>
            <w:pPr>
              <w:spacing w:after="0"/>
              <w:rPr>
                <w:sz w:val="14"/>
                <w:szCs w:val="14"/>
                <w:color w:val="auto"/>
              </w:rPr>
            </w:pPr>
          </w:p>
        </w:tc>
        <w:tc>
          <w:tcPr>
            <w:tcW w:w="980" w:type="dxa"/>
            <w:vAlign w:val="bottom"/>
          </w:tcPr>
          <w:p>
            <w:pPr>
              <w:spacing w:after="0"/>
              <w:rPr>
                <w:sz w:val="14"/>
                <w:szCs w:val="14"/>
                <w:color w:val="auto"/>
              </w:rPr>
            </w:pPr>
          </w:p>
        </w:tc>
      </w:tr>
      <w:tr>
        <w:trPr>
          <w:trHeight w:val="162"/>
        </w:trPr>
        <w:tc>
          <w:tcPr>
            <w:tcW w:w="5580" w:type="dxa"/>
            <w:vAlign w:val="bottom"/>
            <w:gridSpan w:val="3"/>
          </w:tcPr>
          <w:p>
            <w:pPr>
              <w:ind w:left="40"/>
              <w:spacing w:after="0"/>
              <w:rPr>
                <w:sz w:val="20"/>
                <w:szCs w:val="20"/>
                <w:color w:val="auto"/>
              </w:rPr>
            </w:pPr>
            <w:r>
              <w:rPr>
                <w:rFonts w:ascii="Arial" w:cs="Arial" w:eastAsia="Arial" w:hAnsi="Arial"/>
                <w:sz w:val="14"/>
                <w:szCs w:val="14"/>
                <w:b w:val="1"/>
                <w:bCs w:val="1"/>
                <w:color w:val="auto"/>
              </w:rPr>
              <w:t>Asset Category</w:t>
            </w:r>
          </w:p>
        </w:tc>
        <w:tc>
          <w:tcPr>
            <w:tcW w:w="160" w:type="dxa"/>
            <w:vAlign w:val="bottom"/>
          </w:tcPr>
          <w:p>
            <w:pPr>
              <w:spacing w:after="0"/>
              <w:rPr>
                <w:sz w:val="14"/>
                <w:szCs w:val="14"/>
                <w:color w:val="auto"/>
              </w:rPr>
            </w:pPr>
          </w:p>
        </w:tc>
        <w:tc>
          <w:tcPr>
            <w:tcW w:w="144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rPr>
              <w:t>(Level 1)</w:t>
            </w:r>
          </w:p>
        </w:tc>
        <w:tc>
          <w:tcPr>
            <w:tcW w:w="220" w:type="dxa"/>
            <w:vAlign w:val="bottom"/>
          </w:tcPr>
          <w:p>
            <w:pPr>
              <w:spacing w:after="0"/>
              <w:rPr>
                <w:sz w:val="14"/>
                <w:szCs w:val="14"/>
                <w:color w:val="auto"/>
              </w:rPr>
            </w:pPr>
          </w:p>
        </w:tc>
        <w:tc>
          <w:tcPr>
            <w:tcW w:w="1260" w:type="dxa"/>
            <w:vAlign w:val="bottom"/>
            <w:gridSpan w:val="2"/>
          </w:tcPr>
          <w:p>
            <w:pPr>
              <w:jc w:val="center"/>
              <w:ind w:right="320"/>
              <w:spacing w:after="0"/>
              <w:rPr>
                <w:sz w:val="20"/>
                <w:szCs w:val="20"/>
                <w:color w:val="auto"/>
              </w:rPr>
            </w:pPr>
            <w:r>
              <w:rPr>
                <w:rFonts w:ascii="Arial" w:cs="Arial" w:eastAsia="Arial" w:hAnsi="Arial"/>
                <w:sz w:val="14"/>
                <w:szCs w:val="14"/>
                <w:b w:val="1"/>
                <w:bCs w:val="1"/>
                <w:color w:val="auto"/>
              </w:rPr>
              <w:t>(Level 2)</w:t>
            </w:r>
          </w:p>
        </w:tc>
        <w:tc>
          <w:tcPr>
            <w:tcW w:w="180" w:type="dxa"/>
            <w:vAlign w:val="bottom"/>
          </w:tcPr>
          <w:p>
            <w:pPr>
              <w:spacing w:after="0"/>
              <w:rPr>
                <w:sz w:val="14"/>
                <w:szCs w:val="14"/>
                <w:color w:val="auto"/>
              </w:rPr>
            </w:pPr>
          </w:p>
        </w:tc>
        <w:tc>
          <w:tcPr>
            <w:tcW w:w="1320" w:type="dxa"/>
            <w:vAlign w:val="bottom"/>
            <w:gridSpan w:val="2"/>
          </w:tcPr>
          <w:p>
            <w:pPr>
              <w:jc w:val="center"/>
              <w:ind w:right="300"/>
              <w:spacing w:after="0"/>
              <w:rPr>
                <w:sz w:val="20"/>
                <w:szCs w:val="20"/>
                <w:color w:val="auto"/>
              </w:rPr>
            </w:pPr>
            <w:r>
              <w:rPr>
                <w:rFonts w:ascii="Arial" w:cs="Arial" w:eastAsia="Arial" w:hAnsi="Arial"/>
                <w:sz w:val="14"/>
                <w:szCs w:val="14"/>
                <w:b w:val="1"/>
                <w:bCs w:val="1"/>
                <w:color w:val="auto"/>
              </w:rPr>
              <w:t>(Level 3)</w:t>
            </w:r>
          </w:p>
        </w:tc>
        <w:tc>
          <w:tcPr>
            <w:tcW w:w="280" w:type="dxa"/>
            <w:vAlign w:val="bottom"/>
          </w:tcPr>
          <w:p>
            <w:pPr>
              <w:spacing w:after="0"/>
              <w:rPr>
                <w:sz w:val="14"/>
                <w:szCs w:val="14"/>
                <w:color w:val="auto"/>
              </w:rPr>
            </w:pPr>
          </w:p>
        </w:tc>
        <w:tc>
          <w:tcPr>
            <w:tcW w:w="980" w:type="dxa"/>
            <w:vAlign w:val="bottom"/>
          </w:tcPr>
          <w:p>
            <w:pPr>
              <w:jc w:val="right"/>
              <w:ind w:right="371"/>
              <w:spacing w:after="0"/>
              <w:rPr>
                <w:sz w:val="20"/>
                <w:szCs w:val="20"/>
                <w:color w:val="auto"/>
              </w:rPr>
            </w:pPr>
            <w:r>
              <w:rPr>
                <w:rFonts w:ascii="Arial" w:cs="Arial" w:eastAsia="Arial" w:hAnsi="Arial"/>
                <w:sz w:val="14"/>
                <w:szCs w:val="14"/>
                <w:b w:val="1"/>
                <w:bCs w:val="1"/>
                <w:color w:val="auto"/>
              </w:rPr>
              <w:t>Total</w:t>
            </w:r>
          </w:p>
        </w:tc>
      </w:tr>
      <w:tr>
        <w:trPr>
          <w:trHeight w:val="21"/>
        </w:trPr>
        <w:tc>
          <w:tcPr>
            <w:tcW w:w="40" w:type="dxa"/>
            <w:vAlign w:val="bottom"/>
            <w:tcBorders>
              <w:bottom w:val="single" w:sz="8" w:color="CCEEFF"/>
            </w:tcBorders>
          </w:tcPr>
          <w:p>
            <w:pPr>
              <w:spacing w:after="0" w:line="20" w:lineRule="exact"/>
              <w:rPr>
                <w:sz w:val="1"/>
                <w:szCs w:val="1"/>
                <w:color w:val="auto"/>
              </w:rPr>
            </w:pPr>
          </w:p>
        </w:tc>
        <w:tc>
          <w:tcPr>
            <w:tcW w:w="1060" w:type="dxa"/>
            <w:vAlign w:val="bottom"/>
            <w:tcBorders>
              <w:top w:val="single" w:sz="8" w:color="auto"/>
              <w:bottom w:val="single" w:sz="8" w:color="CCEEFF"/>
            </w:tcBorders>
          </w:tcPr>
          <w:p>
            <w:pPr>
              <w:spacing w:after="0" w:line="20" w:lineRule="exact"/>
              <w:rPr>
                <w:sz w:val="1"/>
                <w:szCs w:val="1"/>
                <w:color w:val="auto"/>
              </w:rPr>
            </w:pPr>
          </w:p>
        </w:tc>
        <w:tc>
          <w:tcPr>
            <w:tcW w:w="448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r>
      <w:tr>
        <w:trPr>
          <w:trHeight w:val="250"/>
        </w:trPr>
        <w:tc>
          <w:tcPr>
            <w:tcW w:w="5580" w:type="dxa"/>
            <w:vAlign w:val="bottom"/>
            <w:gridSpan w:val="3"/>
            <w:shd w:val="clear" w:color="auto" w:fill="CCEEFF"/>
          </w:tcPr>
          <w:p>
            <w:pPr>
              <w:ind w:left="40"/>
              <w:spacing w:after="0"/>
              <w:rPr>
                <w:sz w:val="20"/>
                <w:szCs w:val="20"/>
                <w:color w:val="auto"/>
              </w:rPr>
            </w:pPr>
            <w:r>
              <w:rPr>
                <w:rFonts w:ascii="Arial" w:cs="Arial" w:eastAsia="Arial" w:hAnsi="Arial"/>
                <w:sz w:val="18"/>
                <w:szCs w:val="18"/>
                <w:color w:val="auto"/>
              </w:rPr>
              <w:t>Cash and cash equivalents</w:t>
            </w: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340" w:type="dxa"/>
            <w:vAlign w:val="bottom"/>
            <w:shd w:val="clear" w:color="auto" w:fill="CCEEFF"/>
          </w:tcPr>
          <w:p>
            <w:pPr>
              <w:jc w:val="right"/>
              <w:ind w:right="34"/>
              <w:spacing w:after="0"/>
              <w:rPr>
                <w:sz w:val="20"/>
                <w:szCs w:val="20"/>
                <w:color w:val="auto"/>
              </w:rPr>
            </w:pPr>
            <w:r>
              <w:rPr>
                <w:rFonts w:ascii="Arial" w:cs="Arial" w:eastAsia="Arial" w:hAnsi="Arial"/>
                <w:sz w:val="18"/>
                <w:szCs w:val="18"/>
                <w:color w:val="auto"/>
              </w:rPr>
              <w:t>23</w:t>
            </w:r>
          </w:p>
        </w:tc>
        <w:tc>
          <w:tcPr>
            <w:tcW w:w="100" w:type="dxa"/>
            <w:vAlign w:val="bottom"/>
            <w:shd w:val="clear" w:color="auto" w:fill="CCEEFF"/>
          </w:tcPr>
          <w:p>
            <w:pPr>
              <w:spacing w:after="0"/>
              <w:rPr>
                <w:sz w:val="21"/>
                <w:szCs w:val="21"/>
                <w:color w:val="auto"/>
              </w:rPr>
            </w:pPr>
          </w:p>
        </w:tc>
        <w:tc>
          <w:tcPr>
            <w:tcW w:w="2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2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3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8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98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23</w:t>
            </w:r>
          </w:p>
        </w:tc>
      </w:tr>
      <w:tr>
        <w:trPr>
          <w:trHeight w:val="243"/>
        </w:trPr>
        <w:tc>
          <w:tcPr>
            <w:tcW w:w="5580" w:type="dxa"/>
            <w:vAlign w:val="bottom"/>
            <w:gridSpan w:val="3"/>
          </w:tcPr>
          <w:p>
            <w:pPr>
              <w:ind w:left="40"/>
              <w:spacing w:after="0"/>
              <w:rPr>
                <w:sz w:val="20"/>
                <w:szCs w:val="20"/>
                <w:color w:val="auto"/>
              </w:rPr>
            </w:pPr>
            <w:r>
              <w:rPr>
                <w:rFonts w:ascii="Arial" w:cs="Arial" w:eastAsia="Arial" w:hAnsi="Arial"/>
                <w:sz w:val="18"/>
                <w:szCs w:val="18"/>
                <w:color w:val="auto"/>
              </w:rPr>
              <w:t>Equity securities:</w:t>
            </w:r>
          </w:p>
        </w:tc>
        <w:tc>
          <w:tcPr>
            <w:tcW w:w="160" w:type="dxa"/>
            <w:vAlign w:val="bottom"/>
          </w:tcPr>
          <w:p>
            <w:pPr>
              <w:spacing w:after="0"/>
              <w:rPr>
                <w:sz w:val="21"/>
                <w:szCs w:val="21"/>
                <w:color w:val="auto"/>
              </w:rPr>
            </w:pPr>
          </w:p>
        </w:tc>
        <w:tc>
          <w:tcPr>
            <w:tcW w:w="13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1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2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80" w:type="dxa"/>
            <w:vAlign w:val="bottom"/>
          </w:tcPr>
          <w:p>
            <w:pPr>
              <w:spacing w:after="0"/>
              <w:rPr>
                <w:sz w:val="21"/>
                <w:szCs w:val="21"/>
                <w:color w:val="auto"/>
              </w:rPr>
            </w:pPr>
          </w:p>
        </w:tc>
      </w:tr>
      <w:tr>
        <w:trPr>
          <w:trHeight w:val="27"/>
        </w:trPr>
        <w:tc>
          <w:tcPr>
            <w:tcW w:w="40" w:type="dxa"/>
            <w:vAlign w:val="bottom"/>
          </w:tcPr>
          <w:p>
            <w:pPr>
              <w:spacing w:after="0"/>
              <w:rPr>
                <w:sz w:val="2"/>
                <w:szCs w:val="2"/>
                <w:color w:val="auto"/>
              </w:rPr>
            </w:pPr>
          </w:p>
        </w:tc>
        <w:tc>
          <w:tcPr>
            <w:tcW w:w="1060" w:type="dxa"/>
            <w:vAlign w:val="bottom"/>
          </w:tcPr>
          <w:p>
            <w:pPr>
              <w:spacing w:after="0"/>
              <w:rPr>
                <w:sz w:val="2"/>
                <w:szCs w:val="2"/>
                <w:color w:val="auto"/>
              </w:rPr>
            </w:pPr>
          </w:p>
        </w:tc>
        <w:tc>
          <w:tcPr>
            <w:tcW w:w="4480" w:type="dxa"/>
            <w:vAlign w:val="bottom"/>
          </w:tcPr>
          <w:p>
            <w:pPr>
              <w:spacing w:after="0"/>
              <w:rPr>
                <w:sz w:val="2"/>
                <w:szCs w:val="2"/>
                <w:color w:val="auto"/>
              </w:rPr>
            </w:pPr>
          </w:p>
        </w:tc>
        <w:tc>
          <w:tcPr>
            <w:tcW w:w="16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980" w:type="dxa"/>
            <w:vAlign w:val="bottom"/>
          </w:tcPr>
          <w:p>
            <w:pPr>
              <w:spacing w:after="0"/>
              <w:rPr>
                <w:sz w:val="2"/>
                <w:szCs w:val="2"/>
                <w:color w:val="auto"/>
              </w:rPr>
            </w:pPr>
          </w:p>
        </w:tc>
      </w:tr>
      <w:tr>
        <w:trPr>
          <w:trHeight w:val="270"/>
        </w:trPr>
        <w:tc>
          <w:tcPr>
            <w:tcW w:w="40" w:type="dxa"/>
            <w:vAlign w:val="bottom"/>
            <w:shd w:val="clear" w:color="auto" w:fill="CCEEFF"/>
          </w:tcPr>
          <w:p>
            <w:pPr>
              <w:spacing w:after="0"/>
              <w:rPr>
                <w:sz w:val="23"/>
                <w:szCs w:val="23"/>
                <w:color w:val="auto"/>
              </w:rPr>
            </w:pPr>
          </w:p>
        </w:tc>
        <w:tc>
          <w:tcPr>
            <w:tcW w:w="5540" w:type="dxa"/>
            <w:vAlign w:val="bottom"/>
            <w:gridSpan w:val="2"/>
            <w:shd w:val="clear" w:color="auto" w:fill="CCEEFF"/>
          </w:tcPr>
          <w:p>
            <w:pPr>
              <w:ind w:left="340"/>
              <w:spacing w:after="0"/>
              <w:rPr>
                <w:sz w:val="20"/>
                <w:szCs w:val="20"/>
                <w:color w:val="auto"/>
              </w:rPr>
            </w:pPr>
            <w:r>
              <w:rPr>
                <w:rFonts w:ascii="Arial" w:cs="Arial" w:eastAsia="Arial" w:hAnsi="Arial"/>
                <w:sz w:val="18"/>
                <w:szCs w:val="18"/>
                <w:color w:val="auto"/>
              </w:rPr>
              <w:t xml:space="preserve">International markets </w:t>
            </w:r>
            <w:r>
              <w:rPr>
                <w:rFonts w:ascii="Arial" w:cs="Arial" w:eastAsia="Arial" w:hAnsi="Arial"/>
                <w:sz w:val="21"/>
                <w:szCs w:val="21"/>
                <w:color w:val="auto"/>
                <w:vertAlign w:val="superscript"/>
              </w:rPr>
              <w:t>(a), (b)</w:t>
            </w:r>
          </w:p>
        </w:tc>
        <w:tc>
          <w:tcPr>
            <w:tcW w:w="160" w:type="dxa"/>
            <w:vAlign w:val="bottom"/>
            <w:shd w:val="clear" w:color="auto" w:fill="CCEEFF"/>
          </w:tcPr>
          <w:p>
            <w:pPr>
              <w:spacing w:after="0"/>
              <w:rPr>
                <w:sz w:val="23"/>
                <w:szCs w:val="23"/>
                <w:color w:val="auto"/>
              </w:rPr>
            </w:pPr>
          </w:p>
        </w:tc>
        <w:tc>
          <w:tcPr>
            <w:tcW w:w="1340" w:type="dxa"/>
            <w:vAlign w:val="bottom"/>
            <w:shd w:val="clear" w:color="auto" w:fill="CCEEFF"/>
          </w:tcPr>
          <w:p>
            <w:pPr>
              <w:jc w:val="right"/>
              <w:ind w:right="34"/>
              <w:spacing w:after="0"/>
              <w:rPr>
                <w:sz w:val="20"/>
                <w:szCs w:val="20"/>
                <w:color w:val="auto"/>
              </w:rPr>
            </w:pPr>
            <w:r>
              <w:rPr>
                <w:rFonts w:ascii="Arial" w:cs="Arial" w:eastAsia="Arial" w:hAnsi="Arial"/>
                <w:sz w:val="18"/>
                <w:szCs w:val="18"/>
                <w:color w:val="auto"/>
              </w:rPr>
              <w:t>3,181</w:t>
            </w:r>
          </w:p>
        </w:tc>
        <w:tc>
          <w:tcPr>
            <w:tcW w:w="100" w:type="dxa"/>
            <w:vAlign w:val="bottom"/>
            <w:shd w:val="clear" w:color="auto" w:fill="CCEEFF"/>
          </w:tcPr>
          <w:p>
            <w:pPr>
              <w:spacing w:after="0"/>
              <w:rPr>
                <w:sz w:val="23"/>
                <w:szCs w:val="23"/>
                <w:color w:val="auto"/>
              </w:rPr>
            </w:pPr>
          </w:p>
        </w:tc>
        <w:tc>
          <w:tcPr>
            <w:tcW w:w="220" w:type="dxa"/>
            <w:vAlign w:val="bottom"/>
            <w:shd w:val="clear" w:color="auto" w:fill="CCEEFF"/>
          </w:tcPr>
          <w:p>
            <w:pPr>
              <w:spacing w:after="0"/>
              <w:rPr>
                <w:sz w:val="23"/>
                <w:szCs w:val="23"/>
                <w:color w:val="auto"/>
              </w:rPr>
            </w:pPr>
          </w:p>
        </w:tc>
        <w:tc>
          <w:tcPr>
            <w:tcW w:w="12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23"/>
                <w:szCs w:val="23"/>
                <w:color w:val="auto"/>
              </w:rPr>
            </w:pPr>
          </w:p>
        </w:tc>
        <w:tc>
          <w:tcPr>
            <w:tcW w:w="13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80" w:type="dxa"/>
            <w:vAlign w:val="bottom"/>
            <w:shd w:val="clear" w:color="auto" w:fill="CCEEFF"/>
          </w:tcPr>
          <w:p>
            <w:pPr>
              <w:spacing w:after="0"/>
              <w:rPr>
                <w:sz w:val="23"/>
                <w:szCs w:val="23"/>
                <w:color w:val="auto"/>
              </w:rPr>
            </w:pPr>
          </w:p>
        </w:tc>
        <w:tc>
          <w:tcPr>
            <w:tcW w:w="98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3,181</w:t>
            </w:r>
          </w:p>
        </w:tc>
      </w:tr>
      <w:tr>
        <w:trPr>
          <w:trHeight w:val="270"/>
        </w:trPr>
        <w:tc>
          <w:tcPr>
            <w:tcW w:w="40" w:type="dxa"/>
            <w:vAlign w:val="bottom"/>
          </w:tcPr>
          <w:p>
            <w:pPr>
              <w:spacing w:after="0"/>
              <w:rPr>
                <w:sz w:val="23"/>
                <w:szCs w:val="23"/>
                <w:color w:val="auto"/>
              </w:rPr>
            </w:pPr>
          </w:p>
        </w:tc>
        <w:tc>
          <w:tcPr>
            <w:tcW w:w="5540" w:type="dxa"/>
            <w:vAlign w:val="bottom"/>
            <w:gridSpan w:val="2"/>
          </w:tcPr>
          <w:p>
            <w:pPr>
              <w:ind w:left="340"/>
              <w:spacing w:after="0"/>
              <w:rPr>
                <w:sz w:val="20"/>
                <w:szCs w:val="20"/>
                <w:color w:val="auto"/>
              </w:rPr>
            </w:pPr>
            <w:r>
              <w:rPr>
                <w:rFonts w:ascii="Arial" w:cs="Arial" w:eastAsia="Arial" w:hAnsi="Arial"/>
                <w:sz w:val="18"/>
                <w:szCs w:val="18"/>
                <w:color w:val="auto"/>
              </w:rPr>
              <w:t xml:space="preserve">Large-cap companies </w:t>
            </w:r>
            <w:r>
              <w:rPr>
                <w:rFonts w:ascii="Arial" w:cs="Arial" w:eastAsia="Arial" w:hAnsi="Arial"/>
                <w:sz w:val="21"/>
                <w:szCs w:val="21"/>
                <w:color w:val="auto"/>
                <w:vertAlign w:val="superscript"/>
              </w:rPr>
              <w:t>(b)</w:t>
            </w:r>
          </w:p>
        </w:tc>
        <w:tc>
          <w:tcPr>
            <w:tcW w:w="160" w:type="dxa"/>
            <w:vAlign w:val="bottom"/>
          </w:tcPr>
          <w:p>
            <w:pPr>
              <w:spacing w:after="0"/>
              <w:rPr>
                <w:sz w:val="23"/>
                <w:szCs w:val="23"/>
                <w:color w:val="auto"/>
              </w:rPr>
            </w:pPr>
          </w:p>
        </w:tc>
        <w:tc>
          <w:tcPr>
            <w:tcW w:w="1340" w:type="dxa"/>
            <w:vAlign w:val="bottom"/>
          </w:tcPr>
          <w:p>
            <w:pPr>
              <w:jc w:val="right"/>
              <w:ind w:right="34"/>
              <w:spacing w:after="0"/>
              <w:rPr>
                <w:sz w:val="20"/>
                <w:szCs w:val="20"/>
                <w:color w:val="auto"/>
              </w:rPr>
            </w:pPr>
            <w:r>
              <w:rPr>
                <w:rFonts w:ascii="Arial" w:cs="Arial" w:eastAsia="Arial" w:hAnsi="Arial"/>
                <w:sz w:val="18"/>
                <w:szCs w:val="18"/>
                <w:color w:val="auto"/>
              </w:rPr>
              <w:t>2,021</w:t>
            </w:r>
          </w:p>
        </w:tc>
        <w:tc>
          <w:tcPr>
            <w:tcW w:w="10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12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3"/>
                <w:szCs w:val="23"/>
                <w:color w:val="auto"/>
              </w:rPr>
            </w:pPr>
          </w:p>
        </w:tc>
        <w:tc>
          <w:tcPr>
            <w:tcW w:w="13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23"/>
                <w:szCs w:val="23"/>
                <w:color w:val="auto"/>
              </w:rPr>
            </w:pPr>
          </w:p>
        </w:tc>
        <w:tc>
          <w:tcPr>
            <w:tcW w:w="980" w:type="dxa"/>
            <w:vAlign w:val="bottom"/>
          </w:tcPr>
          <w:p>
            <w:pPr>
              <w:jc w:val="right"/>
              <w:ind w:right="11"/>
              <w:spacing w:after="0"/>
              <w:rPr>
                <w:sz w:val="20"/>
                <w:szCs w:val="20"/>
                <w:color w:val="auto"/>
              </w:rPr>
            </w:pPr>
            <w:r>
              <w:rPr>
                <w:rFonts w:ascii="Arial" w:cs="Arial" w:eastAsia="Arial" w:hAnsi="Arial"/>
                <w:sz w:val="18"/>
                <w:szCs w:val="18"/>
                <w:color w:val="auto"/>
              </w:rPr>
              <w:t>2,021</w:t>
            </w:r>
          </w:p>
        </w:tc>
      </w:tr>
      <w:tr>
        <w:trPr>
          <w:trHeight w:val="270"/>
        </w:trPr>
        <w:tc>
          <w:tcPr>
            <w:tcW w:w="40" w:type="dxa"/>
            <w:vAlign w:val="bottom"/>
            <w:shd w:val="clear" w:color="auto" w:fill="CCEEFF"/>
          </w:tcPr>
          <w:p>
            <w:pPr>
              <w:spacing w:after="0"/>
              <w:rPr>
                <w:sz w:val="23"/>
                <w:szCs w:val="23"/>
                <w:color w:val="auto"/>
              </w:rPr>
            </w:pPr>
          </w:p>
        </w:tc>
        <w:tc>
          <w:tcPr>
            <w:tcW w:w="5540" w:type="dxa"/>
            <w:vAlign w:val="bottom"/>
            <w:gridSpan w:val="2"/>
            <w:shd w:val="clear" w:color="auto" w:fill="CCEEFF"/>
          </w:tcPr>
          <w:p>
            <w:pPr>
              <w:ind w:left="340"/>
              <w:spacing w:after="0"/>
              <w:rPr>
                <w:sz w:val="20"/>
                <w:szCs w:val="20"/>
                <w:color w:val="auto"/>
              </w:rPr>
            </w:pPr>
            <w:r>
              <w:rPr>
                <w:rFonts w:ascii="Arial" w:cs="Arial" w:eastAsia="Arial" w:hAnsi="Arial"/>
                <w:sz w:val="18"/>
                <w:szCs w:val="18"/>
                <w:color w:val="auto"/>
              </w:rPr>
              <w:t xml:space="preserve">Mid-cap companies </w:t>
            </w:r>
            <w:r>
              <w:rPr>
                <w:rFonts w:ascii="Arial" w:cs="Arial" w:eastAsia="Arial" w:hAnsi="Arial"/>
                <w:sz w:val="21"/>
                <w:szCs w:val="21"/>
                <w:color w:val="auto"/>
                <w:vertAlign w:val="superscript"/>
              </w:rPr>
              <w:t>(b)</w:t>
            </w:r>
          </w:p>
        </w:tc>
        <w:tc>
          <w:tcPr>
            <w:tcW w:w="160" w:type="dxa"/>
            <w:vAlign w:val="bottom"/>
            <w:shd w:val="clear" w:color="auto" w:fill="CCEEFF"/>
          </w:tcPr>
          <w:p>
            <w:pPr>
              <w:spacing w:after="0"/>
              <w:rPr>
                <w:sz w:val="23"/>
                <w:szCs w:val="23"/>
                <w:color w:val="auto"/>
              </w:rPr>
            </w:pPr>
          </w:p>
        </w:tc>
        <w:tc>
          <w:tcPr>
            <w:tcW w:w="1340" w:type="dxa"/>
            <w:vAlign w:val="bottom"/>
            <w:shd w:val="clear" w:color="auto" w:fill="CCEEFF"/>
          </w:tcPr>
          <w:p>
            <w:pPr>
              <w:jc w:val="right"/>
              <w:ind w:right="34"/>
              <w:spacing w:after="0"/>
              <w:rPr>
                <w:sz w:val="20"/>
                <w:szCs w:val="20"/>
                <w:color w:val="auto"/>
              </w:rPr>
            </w:pPr>
            <w:r>
              <w:rPr>
                <w:rFonts w:ascii="Arial" w:cs="Arial" w:eastAsia="Arial" w:hAnsi="Arial"/>
                <w:sz w:val="18"/>
                <w:szCs w:val="18"/>
                <w:color w:val="auto"/>
              </w:rPr>
              <w:t>583</w:t>
            </w:r>
          </w:p>
        </w:tc>
        <w:tc>
          <w:tcPr>
            <w:tcW w:w="100" w:type="dxa"/>
            <w:vAlign w:val="bottom"/>
            <w:shd w:val="clear" w:color="auto" w:fill="CCEEFF"/>
          </w:tcPr>
          <w:p>
            <w:pPr>
              <w:spacing w:after="0"/>
              <w:rPr>
                <w:sz w:val="23"/>
                <w:szCs w:val="23"/>
                <w:color w:val="auto"/>
              </w:rPr>
            </w:pPr>
          </w:p>
        </w:tc>
        <w:tc>
          <w:tcPr>
            <w:tcW w:w="220" w:type="dxa"/>
            <w:vAlign w:val="bottom"/>
            <w:shd w:val="clear" w:color="auto" w:fill="CCEEFF"/>
          </w:tcPr>
          <w:p>
            <w:pPr>
              <w:spacing w:after="0"/>
              <w:rPr>
                <w:sz w:val="23"/>
                <w:szCs w:val="23"/>
                <w:color w:val="auto"/>
              </w:rPr>
            </w:pPr>
          </w:p>
        </w:tc>
        <w:tc>
          <w:tcPr>
            <w:tcW w:w="12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23"/>
                <w:szCs w:val="23"/>
                <w:color w:val="auto"/>
              </w:rPr>
            </w:pPr>
          </w:p>
        </w:tc>
        <w:tc>
          <w:tcPr>
            <w:tcW w:w="13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80" w:type="dxa"/>
            <w:vAlign w:val="bottom"/>
            <w:shd w:val="clear" w:color="auto" w:fill="CCEEFF"/>
          </w:tcPr>
          <w:p>
            <w:pPr>
              <w:spacing w:after="0"/>
              <w:rPr>
                <w:sz w:val="23"/>
                <w:szCs w:val="23"/>
                <w:color w:val="auto"/>
              </w:rPr>
            </w:pPr>
          </w:p>
        </w:tc>
        <w:tc>
          <w:tcPr>
            <w:tcW w:w="98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583</w:t>
            </w:r>
          </w:p>
        </w:tc>
      </w:tr>
      <w:tr>
        <w:trPr>
          <w:trHeight w:val="270"/>
        </w:trPr>
        <w:tc>
          <w:tcPr>
            <w:tcW w:w="40" w:type="dxa"/>
            <w:vAlign w:val="bottom"/>
          </w:tcPr>
          <w:p>
            <w:pPr>
              <w:spacing w:after="0"/>
              <w:rPr>
                <w:sz w:val="23"/>
                <w:szCs w:val="23"/>
                <w:color w:val="auto"/>
              </w:rPr>
            </w:pPr>
          </w:p>
        </w:tc>
        <w:tc>
          <w:tcPr>
            <w:tcW w:w="5540" w:type="dxa"/>
            <w:vAlign w:val="bottom"/>
            <w:gridSpan w:val="2"/>
          </w:tcPr>
          <w:p>
            <w:pPr>
              <w:ind w:left="340"/>
              <w:spacing w:after="0"/>
              <w:rPr>
                <w:sz w:val="20"/>
                <w:szCs w:val="20"/>
                <w:color w:val="auto"/>
              </w:rPr>
            </w:pPr>
            <w:r>
              <w:rPr>
                <w:rFonts w:ascii="Arial" w:cs="Arial" w:eastAsia="Arial" w:hAnsi="Arial"/>
                <w:sz w:val="18"/>
                <w:szCs w:val="18"/>
                <w:color w:val="auto"/>
              </w:rPr>
              <w:t xml:space="preserve">Small-cap companies </w:t>
            </w:r>
            <w:r>
              <w:rPr>
                <w:rFonts w:ascii="Arial" w:cs="Arial" w:eastAsia="Arial" w:hAnsi="Arial"/>
                <w:sz w:val="21"/>
                <w:szCs w:val="21"/>
                <w:color w:val="auto"/>
                <w:vertAlign w:val="superscript"/>
              </w:rPr>
              <w:t>(b)</w:t>
            </w:r>
          </w:p>
        </w:tc>
        <w:tc>
          <w:tcPr>
            <w:tcW w:w="160" w:type="dxa"/>
            <w:vAlign w:val="bottom"/>
          </w:tcPr>
          <w:p>
            <w:pPr>
              <w:spacing w:after="0"/>
              <w:rPr>
                <w:sz w:val="23"/>
                <w:szCs w:val="23"/>
                <w:color w:val="auto"/>
              </w:rPr>
            </w:pPr>
          </w:p>
        </w:tc>
        <w:tc>
          <w:tcPr>
            <w:tcW w:w="1340" w:type="dxa"/>
            <w:vAlign w:val="bottom"/>
          </w:tcPr>
          <w:p>
            <w:pPr>
              <w:jc w:val="right"/>
              <w:ind w:right="34"/>
              <w:spacing w:after="0"/>
              <w:rPr>
                <w:sz w:val="20"/>
                <w:szCs w:val="20"/>
                <w:color w:val="auto"/>
              </w:rPr>
            </w:pPr>
            <w:r>
              <w:rPr>
                <w:rFonts w:ascii="Arial" w:cs="Arial" w:eastAsia="Arial" w:hAnsi="Arial"/>
                <w:sz w:val="18"/>
                <w:szCs w:val="18"/>
                <w:color w:val="auto"/>
              </w:rPr>
              <w:t>122</w:t>
            </w:r>
          </w:p>
        </w:tc>
        <w:tc>
          <w:tcPr>
            <w:tcW w:w="10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12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3"/>
                <w:szCs w:val="23"/>
                <w:color w:val="auto"/>
              </w:rPr>
            </w:pPr>
          </w:p>
        </w:tc>
        <w:tc>
          <w:tcPr>
            <w:tcW w:w="13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23"/>
                <w:szCs w:val="23"/>
                <w:color w:val="auto"/>
              </w:rPr>
            </w:pPr>
          </w:p>
        </w:tc>
        <w:tc>
          <w:tcPr>
            <w:tcW w:w="980" w:type="dxa"/>
            <w:vAlign w:val="bottom"/>
          </w:tcPr>
          <w:p>
            <w:pPr>
              <w:jc w:val="right"/>
              <w:ind w:right="11"/>
              <w:spacing w:after="0"/>
              <w:rPr>
                <w:sz w:val="20"/>
                <w:szCs w:val="20"/>
                <w:color w:val="auto"/>
              </w:rPr>
            </w:pPr>
            <w:r>
              <w:rPr>
                <w:rFonts w:ascii="Arial" w:cs="Arial" w:eastAsia="Arial" w:hAnsi="Arial"/>
                <w:sz w:val="18"/>
                <w:szCs w:val="18"/>
                <w:color w:val="auto"/>
              </w:rPr>
              <w:t>122</w:t>
            </w:r>
          </w:p>
        </w:tc>
      </w:tr>
      <w:tr>
        <w:trPr>
          <w:trHeight w:val="270"/>
        </w:trPr>
        <w:tc>
          <w:tcPr>
            <w:tcW w:w="40" w:type="dxa"/>
            <w:vAlign w:val="bottom"/>
            <w:shd w:val="clear" w:color="auto" w:fill="CCEEFF"/>
          </w:tcPr>
          <w:p>
            <w:pPr>
              <w:spacing w:after="0"/>
              <w:rPr>
                <w:sz w:val="23"/>
                <w:szCs w:val="23"/>
                <w:color w:val="auto"/>
              </w:rPr>
            </w:pPr>
          </w:p>
        </w:tc>
        <w:tc>
          <w:tcPr>
            <w:tcW w:w="5540" w:type="dxa"/>
            <w:vAlign w:val="bottom"/>
            <w:gridSpan w:val="2"/>
            <w:shd w:val="clear" w:color="auto" w:fill="CCEEFF"/>
          </w:tcPr>
          <w:p>
            <w:pPr>
              <w:ind w:left="340"/>
              <w:spacing w:after="0"/>
              <w:rPr>
                <w:sz w:val="20"/>
                <w:szCs w:val="20"/>
                <w:color w:val="auto"/>
              </w:rPr>
            </w:pPr>
            <w:r>
              <w:rPr>
                <w:rFonts w:ascii="Arial" w:cs="Arial" w:eastAsia="Arial" w:hAnsi="Arial"/>
                <w:sz w:val="18"/>
                <w:szCs w:val="18"/>
                <w:color w:val="auto"/>
              </w:rPr>
              <w:t xml:space="preserve">Mutual funds </w:t>
            </w:r>
            <w:r>
              <w:rPr>
                <w:rFonts w:ascii="Arial" w:cs="Arial" w:eastAsia="Arial" w:hAnsi="Arial"/>
                <w:sz w:val="21"/>
                <w:szCs w:val="21"/>
                <w:color w:val="auto"/>
                <w:vertAlign w:val="superscript"/>
              </w:rPr>
              <w:t>(c)</w:t>
            </w:r>
          </w:p>
        </w:tc>
        <w:tc>
          <w:tcPr>
            <w:tcW w:w="160" w:type="dxa"/>
            <w:vAlign w:val="bottom"/>
            <w:shd w:val="clear" w:color="auto" w:fill="CCEEFF"/>
          </w:tcPr>
          <w:p>
            <w:pPr>
              <w:spacing w:after="0"/>
              <w:rPr>
                <w:sz w:val="23"/>
                <w:szCs w:val="23"/>
                <w:color w:val="auto"/>
              </w:rPr>
            </w:pPr>
          </w:p>
        </w:tc>
        <w:tc>
          <w:tcPr>
            <w:tcW w:w="1340" w:type="dxa"/>
            <w:vAlign w:val="bottom"/>
            <w:shd w:val="clear" w:color="auto" w:fill="CCEEFF"/>
          </w:tcPr>
          <w:p>
            <w:pPr>
              <w:jc w:val="right"/>
              <w:ind w:right="34"/>
              <w:spacing w:after="0"/>
              <w:rPr>
                <w:sz w:val="20"/>
                <w:szCs w:val="20"/>
                <w:color w:val="auto"/>
              </w:rPr>
            </w:pPr>
            <w:r>
              <w:rPr>
                <w:rFonts w:ascii="Arial" w:cs="Arial" w:eastAsia="Arial" w:hAnsi="Arial"/>
                <w:sz w:val="18"/>
                <w:szCs w:val="18"/>
                <w:color w:val="auto"/>
              </w:rPr>
              <w:t>52</w:t>
            </w:r>
          </w:p>
        </w:tc>
        <w:tc>
          <w:tcPr>
            <w:tcW w:w="100" w:type="dxa"/>
            <w:vAlign w:val="bottom"/>
            <w:shd w:val="clear" w:color="auto" w:fill="CCEEFF"/>
          </w:tcPr>
          <w:p>
            <w:pPr>
              <w:spacing w:after="0"/>
              <w:rPr>
                <w:sz w:val="23"/>
                <w:szCs w:val="23"/>
                <w:color w:val="auto"/>
              </w:rPr>
            </w:pPr>
          </w:p>
        </w:tc>
        <w:tc>
          <w:tcPr>
            <w:tcW w:w="220" w:type="dxa"/>
            <w:vAlign w:val="bottom"/>
            <w:shd w:val="clear" w:color="auto" w:fill="CCEEFF"/>
          </w:tcPr>
          <w:p>
            <w:pPr>
              <w:spacing w:after="0"/>
              <w:rPr>
                <w:sz w:val="23"/>
                <w:szCs w:val="23"/>
                <w:color w:val="auto"/>
              </w:rPr>
            </w:pPr>
          </w:p>
        </w:tc>
        <w:tc>
          <w:tcPr>
            <w:tcW w:w="12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23"/>
                <w:szCs w:val="23"/>
                <w:color w:val="auto"/>
              </w:rPr>
            </w:pPr>
          </w:p>
        </w:tc>
        <w:tc>
          <w:tcPr>
            <w:tcW w:w="13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80" w:type="dxa"/>
            <w:vAlign w:val="bottom"/>
            <w:shd w:val="clear" w:color="auto" w:fill="CCEEFF"/>
          </w:tcPr>
          <w:p>
            <w:pPr>
              <w:spacing w:after="0"/>
              <w:rPr>
                <w:sz w:val="23"/>
                <w:szCs w:val="23"/>
                <w:color w:val="auto"/>
              </w:rPr>
            </w:pPr>
          </w:p>
        </w:tc>
        <w:tc>
          <w:tcPr>
            <w:tcW w:w="98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52</w:t>
            </w:r>
          </w:p>
        </w:tc>
      </w:tr>
      <w:tr>
        <w:trPr>
          <w:trHeight w:val="243"/>
        </w:trPr>
        <w:tc>
          <w:tcPr>
            <w:tcW w:w="5580" w:type="dxa"/>
            <w:vAlign w:val="bottom"/>
            <w:gridSpan w:val="3"/>
          </w:tcPr>
          <w:p>
            <w:pPr>
              <w:ind w:left="40"/>
              <w:spacing w:after="0"/>
              <w:rPr>
                <w:sz w:val="20"/>
                <w:szCs w:val="20"/>
                <w:color w:val="auto"/>
              </w:rPr>
            </w:pPr>
            <w:r>
              <w:rPr>
                <w:rFonts w:ascii="Arial" w:cs="Arial" w:eastAsia="Arial" w:hAnsi="Arial"/>
                <w:sz w:val="18"/>
                <w:szCs w:val="18"/>
                <w:color w:val="auto"/>
              </w:rPr>
              <w:t>Fixed income:</w:t>
            </w:r>
          </w:p>
        </w:tc>
        <w:tc>
          <w:tcPr>
            <w:tcW w:w="160" w:type="dxa"/>
            <w:vAlign w:val="bottom"/>
          </w:tcPr>
          <w:p>
            <w:pPr>
              <w:spacing w:after="0"/>
              <w:rPr>
                <w:sz w:val="21"/>
                <w:szCs w:val="21"/>
                <w:color w:val="auto"/>
              </w:rPr>
            </w:pPr>
          </w:p>
        </w:tc>
        <w:tc>
          <w:tcPr>
            <w:tcW w:w="13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1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2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80" w:type="dxa"/>
            <w:vAlign w:val="bottom"/>
          </w:tcPr>
          <w:p>
            <w:pPr>
              <w:spacing w:after="0"/>
              <w:rPr>
                <w:sz w:val="21"/>
                <w:szCs w:val="21"/>
                <w:color w:val="auto"/>
              </w:rPr>
            </w:pPr>
          </w:p>
        </w:tc>
      </w:tr>
      <w:tr>
        <w:trPr>
          <w:trHeight w:val="27"/>
        </w:trPr>
        <w:tc>
          <w:tcPr>
            <w:tcW w:w="40" w:type="dxa"/>
            <w:vAlign w:val="bottom"/>
          </w:tcPr>
          <w:p>
            <w:pPr>
              <w:spacing w:after="0"/>
              <w:rPr>
                <w:sz w:val="2"/>
                <w:szCs w:val="2"/>
                <w:color w:val="auto"/>
              </w:rPr>
            </w:pPr>
          </w:p>
        </w:tc>
        <w:tc>
          <w:tcPr>
            <w:tcW w:w="1060" w:type="dxa"/>
            <w:vAlign w:val="bottom"/>
          </w:tcPr>
          <w:p>
            <w:pPr>
              <w:spacing w:after="0"/>
              <w:rPr>
                <w:sz w:val="2"/>
                <w:szCs w:val="2"/>
                <w:color w:val="auto"/>
              </w:rPr>
            </w:pPr>
          </w:p>
        </w:tc>
        <w:tc>
          <w:tcPr>
            <w:tcW w:w="4480" w:type="dxa"/>
            <w:vAlign w:val="bottom"/>
          </w:tcPr>
          <w:p>
            <w:pPr>
              <w:spacing w:after="0"/>
              <w:rPr>
                <w:sz w:val="2"/>
                <w:szCs w:val="2"/>
                <w:color w:val="auto"/>
              </w:rPr>
            </w:pPr>
          </w:p>
        </w:tc>
        <w:tc>
          <w:tcPr>
            <w:tcW w:w="16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980" w:type="dxa"/>
            <w:vAlign w:val="bottom"/>
          </w:tcPr>
          <w:p>
            <w:pPr>
              <w:spacing w:after="0"/>
              <w:rPr>
                <w:sz w:val="2"/>
                <w:szCs w:val="2"/>
                <w:color w:val="auto"/>
              </w:rPr>
            </w:pPr>
          </w:p>
        </w:tc>
      </w:tr>
      <w:tr>
        <w:trPr>
          <w:trHeight w:val="270"/>
        </w:trPr>
        <w:tc>
          <w:tcPr>
            <w:tcW w:w="40" w:type="dxa"/>
            <w:vAlign w:val="bottom"/>
            <w:shd w:val="clear" w:color="auto" w:fill="CCEEFF"/>
          </w:tcPr>
          <w:p>
            <w:pPr>
              <w:spacing w:after="0"/>
              <w:rPr>
                <w:sz w:val="23"/>
                <w:szCs w:val="23"/>
                <w:color w:val="auto"/>
              </w:rPr>
            </w:pPr>
          </w:p>
        </w:tc>
        <w:tc>
          <w:tcPr>
            <w:tcW w:w="5540" w:type="dxa"/>
            <w:vAlign w:val="bottom"/>
            <w:gridSpan w:val="2"/>
            <w:shd w:val="clear" w:color="auto" w:fill="CCEEFF"/>
          </w:tcPr>
          <w:p>
            <w:pPr>
              <w:ind w:left="340"/>
              <w:spacing w:after="0"/>
              <w:rPr>
                <w:sz w:val="20"/>
                <w:szCs w:val="20"/>
                <w:color w:val="auto"/>
              </w:rPr>
            </w:pPr>
            <w:r>
              <w:rPr>
                <w:rFonts w:ascii="Arial" w:cs="Arial" w:eastAsia="Arial" w:hAnsi="Arial"/>
                <w:sz w:val="18"/>
                <w:szCs w:val="18"/>
                <w:color w:val="auto"/>
              </w:rPr>
              <w:t xml:space="preserve">Corporate debt </w:t>
            </w:r>
            <w:r>
              <w:rPr>
                <w:rFonts w:ascii="Arial" w:cs="Arial" w:eastAsia="Arial" w:hAnsi="Arial"/>
                <w:sz w:val="21"/>
                <w:szCs w:val="21"/>
                <w:color w:val="auto"/>
                <w:vertAlign w:val="superscript"/>
              </w:rPr>
              <w:t>(d)</w:t>
            </w:r>
          </w:p>
        </w:tc>
        <w:tc>
          <w:tcPr>
            <w:tcW w:w="160" w:type="dxa"/>
            <w:vAlign w:val="bottom"/>
            <w:shd w:val="clear" w:color="auto" w:fill="CCEEFF"/>
          </w:tcPr>
          <w:p>
            <w:pPr>
              <w:spacing w:after="0"/>
              <w:rPr>
                <w:sz w:val="23"/>
                <w:szCs w:val="23"/>
                <w:color w:val="auto"/>
              </w:rPr>
            </w:pPr>
          </w:p>
        </w:tc>
        <w:tc>
          <w:tcPr>
            <w:tcW w:w="14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23"/>
                <w:szCs w:val="23"/>
                <w:color w:val="auto"/>
              </w:rPr>
            </w:pPr>
          </w:p>
        </w:tc>
        <w:tc>
          <w:tcPr>
            <w:tcW w:w="1160" w:type="dxa"/>
            <w:vAlign w:val="bottom"/>
            <w:shd w:val="clear" w:color="auto" w:fill="CCEEFF"/>
          </w:tcPr>
          <w:p>
            <w:pPr>
              <w:jc w:val="right"/>
              <w:ind w:right="33"/>
              <w:spacing w:after="0"/>
              <w:rPr>
                <w:sz w:val="20"/>
                <w:szCs w:val="20"/>
                <w:color w:val="auto"/>
              </w:rPr>
            </w:pPr>
            <w:r>
              <w:rPr>
                <w:rFonts w:ascii="Arial" w:cs="Arial" w:eastAsia="Arial" w:hAnsi="Arial"/>
                <w:sz w:val="18"/>
                <w:szCs w:val="18"/>
                <w:color w:val="auto"/>
              </w:rPr>
              <w:t>2,116</w:t>
            </w:r>
          </w:p>
        </w:tc>
        <w:tc>
          <w:tcPr>
            <w:tcW w:w="100" w:type="dxa"/>
            <w:vAlign w:val="bottom"/>
            <w:shd w:val="clear" w:color="auto" w:fill="CCEEFF"/>
          </w:tcPr>
          <w:p>
            <w:pPr>
              <w:spacing w:after="0"/>
              <w:rPr>
                <w:sz w:val="23"/>
                <w:szCs w:val="23"/>
                <w:color w:val="auto"/>
              </w:rPr>
            </w:pPr>
          </w:p>
        </w:tc>
        <w:tc>
          <w:tcPr>
            <w:tcW w:w="180" w:type="dxa"/>
            <w:vAlign w:val="bottom"/>
            <w:shd w:val="clear" w:color="auto" w:fill="CCEEFF"/>
          </w:tcPr>
          <w:p>
            <w:pPr>
              <w:spacing w:after="0"/>
              <w:rPr>
                <w:sz w:val="23"/>
                <w:szCs w:val="23"/>
                <w:color w:val="auto"/>
              </w:rPr>
            </w:pPr>
          </w:p>
        </w:tc>
        <w:tc>
          <w:tcPr>
            <w:tcW w:w="13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80" w:type="dxa"/>
            <w:vAlign w:val="bottom"/>
            <w:shd w:val="clear" w:color="auto" w:fill="CCEEFF"/>
          </w:tcPr>
          <w:p>
            <w:pPr>
              <w:spacing w:after="0"/>
              <w:rPr>
                <w:sz w:val="23"/>
                <w:szCs w:val="23"/>
                <w:color w:val="auto"/>
              </w:rPr>
            </w:pPr>
          </w:p>
        </w:tc>
        <w:tc>
          <w:tcPr>
            <w:tcW w:w="98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2,116</w:t>
            </w:r>
          </w:p>
        </w:tc>
      </w:tr>
      <w:tr>
        <w:trPr>
          <w:trHeight w:val="270"/>
        </w:trPr>
        <w:tc>
          <w:tcPr>
            <w:tcW w:w="40" w:type="dxa"/>
            <w:vAlign w:val="bottom"/>
          </w:tcPr>
          <w:p>
            <w:pPr>
              <w:spacing w:after="0"/>
              <w:rPr>
                <w:sz w:val="23"/>
                <w:szCs w:val="23"/>
                <w:color w:val="auto"/>
              </w:rPr>
            </w:pPr>
          </w:p>
        </w:tc>
        <w:tc>
          <w:tcPr>
            <w:tcW w:w="5540" w:type="dxa"/>
            <w:vAlign w:val="bottom"/>
            <w:gridSpan w:val="2"/>
          </w:tcPr>
          <w:p>
            <w:pPr>
              <w:ind w:left="340"/>
              <w:spacing w:after="0"/>
              <w:rPr>
                <w:sz w:val="20"/>
                <w:szCs w:val="20"/>
                <w:color w:val="auto"/>
              </w:rPr>
            </w:pPr>
            <w:r>
              <w:rPr>
                <w:rFonts w:ascii="Arial" w:cs="Arial" w:eastAsia="Arial" w:hAnsi="Arial"/>
                <w:sz w:val="18"/>
                <w:szCs w:val="18"/>
                <w:color w:val="auto"/>
              </w:rPr>
              <w:t xml:space="preserve">Government securities </w:t>
            </w:r>
            <w:r>
              <w:rPr>
                <w:rFonts w:ascii="Arial" w:cs="Arial" w:eastAsia="Arial" w:hAnsi="Arial"/>
                <w:sz w:val="21"/>
                <w:szCs w:val="21"/>
                <w:color w:val="auto"/>
                <w:vertAlign w:val="superscript"/>
              </w:rPr>
              <w:t>(e)</w:t>
            </w:r>
          </w:p>
        </w:tc>
        <w:tc>
          <w:tcPr>
            <w:tcW w:w="160" w:type="dxa"/>
            <w:vAlign w:val="bottom"/>
          </w:tcPr>
          <w:p>
            <w:pPr>
              <w:spacing w:after="0"/>
              <w:rPr>
                <w:sz w:val="23"/>
                <w:szCs w:val="23"/>
                <w:color w:val="auto"/>
              </w:rPr>
            </w:pPr>
          </w:p>
        </w:tc>
        <w:tc>
          <w:tcPr>
            <w:tcW w:w="14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23"/>
                <w:szCs w:val="23"/>
                <w:color w:val="auto"/>
              </w:rPr>
            </w:pPr>
          </w:p>
        </w:tc>
        <w:tc>
          <w:tcPr>
            <w:tcW w:w="1160" w:type="dxa"/>
            <w:vAlign w:val="bottom"/>
          </w:tcPr>
          <w:p>
            <w:pPr>
              <w:jc w:val="right"/>
              <w:ind w:right="33"/>
              <w:spacing w:after="0"/>
              <w:rPr>
                <w:sz w:val="20"/>
                <w:szCs w:val="20"/>
                <w:color w:val="auto"/>
              </w:rPr>
            </w:pPr>
            <w:r>
              <w:rPr>
                <w:rFonts w:ascii="Arial" w:cs="Arial" w:eastAsia="Arial" w:hAnsi="Arial"/>
                <w:sz w:val="18"/>
                <w:szCs w:val="18"/>
                <w:color w:val="auto"/>
              </w:rPr>
              <w:t>228</w:t>
            </w:r>
          </w:p>
        </w:tc>
        <w:tc>
          <w:tcPr>
            <w:tcW w:w="10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13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23"/>
                <w:szCs w:val="23"/>
                <w:color w:val="auto"/>
              </w:rPr>
            </w:pPr>
          </w:p>
        </w:tc>
        <w:tc>
          <w:tcPr>
            <w:tcW w:w="980" w:type="dxa"/>
            <w:vAlign w:val="bottom"/>
          </w:tcPr>
          <w:p>
            <w:pPr>
              <w:jc w:val="right"/>
              <w:ind w:right="11"/>
              <w:spacing w:after="0"/>
              <w:rPr>
                <w:sz w:val="20"/>
                <w:szCs w:val="20"/>
                <w:color w:val="auto"/>
              </w:rPr>
            </w:pPr>
            <w:r>
              <w:rPr>
                <w:rFonts w:ascii="Arial" w:cs="Arial" w:eastAsia="Arial" w:hAnsi="Arial"/>
                <w:sz w:val="18"/>
                <w:szCs w:val="18"/>
                <w:color w:val="auto"/>
              </w:rPr>
              <w:t>228</w:t>
            </w:r>
          </w:p>
        </w:tc>
      </w:tr>
      <w:tr>
        <w:trPr>
          <w:trHeight w:val="270"/>
        </w:trPr>
        <w:tc>
          <w:tcPr>
            <w:tcW w:w="40" w:type="dxa"/>
            <w:vAlign w:val="bottom"/>
            <w:shd w:val="clear" w:color="auto" w:fill="CCEEFF"/>
          </w:tcPr>
          <w:p>
            <w:pPr>
              <w:spacing w:after="0"/>
              <w:rPr>
                <w:sz w:val="23"/>
                <w:szCs w:val="23"/>
                <w:color w:val="auto"/>
              </w:rPr>
            </w:pPr>
          </w:p>
        </w:tc>
        <w:tc>
          <w:tcPr>
            <w:tcW w:w="5540" w:type="dxa"/>
            <w:vAlign w:val="bottom"/>
            <w:gridSpan w:val="2"/>
            <w:shd w:val="clear" w:color="auto" w:fill="CCEEFF"/>
          </w:tcPr>
          <w:p>
            <w:pPr>
              <w:ind w:left="340"/>
              <w:spacing w:after="0"/>
              <w:rPr>
                <w:sz w:val="20"/>
                <w:szCs w:val="20"/>
                <w:color w:val="auto"/>
              </w:rPr>
            </w:pPr>
            <w:r>
              <w:rPr>
                <w:rFonts w:ascii="Arial" w:cs="Arial" w:eastAsia="Arial" w:hAnsi="Arial"/>
                <w:sz w:val="18"/>
                <w:szCs w:val="18"/>
                <w:color w:val="auto"/>
              </w:rPr>
              <w:t>U.S. municipal securities</w:t>
            </w:r>
          </w:p>
        </w:tc>
        <w:tc>
          <w:tcPr>
            <w:tcW w:w="160" w:type="dxa"/>
            <w:vAlign w:val="bottom"/>
            <w:shd w:val="clear" w:color="auto" w:fill="CCEEFF"/>
          </w:tcPr>
          <w:p>
            <w:pPr>
              <w:spacing w:after="0"/>
              <w:rPr>
                <w:sz w:val="23"/>
                <w:szCs w:val="23"/>
                <w:color w:val="auto"/>
              </w:rPr>
            </w:pPr>
          </w:p>
        </w:tc>
        <w:tc>
          <w:tcPr>
            <w:tcW w:w="14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23"/>
                <w:szCs w:val="23"/>
                <w:color w:val="auto"/>
              </w:rPr>
            </w:pPr>
          </w:p>
        </w:tc>
        <w:tc>
          <w:tcPr>
            <w:tcW w:w="1160" w:type="dxa"/>
            <w:vAlign w:val="bottom"/>
            <w:shd w:val="clear" w:color="auto" w:fill="CCEEFF"/>
          </w:tcPr>
          <w:p>
            <w:pPr>
              <w:jc w:val="right"/>
              <w:ind w:right="33"/>
              <w:spacing w:after="0"/>
              <w:rPr>
                <w:sz w:val="20"/>
                <w:szCs w:val="20"/>
                <w:color w:val="auto"/>
              </w:rPr>
            </w:pPr>
            <w:r>
              <w:rPr>
                <w:rFonts w:ascii="Arial" w:cs="Arial" w:eastAsia="Arial" w:hAnsi="Arial"/>
                <w:sz w:val="18"/>
                <w:szCs w:val="18"/>
                <w:color w:val="auto"/>
              </w:rPr>
              <w:t>40</w:t>
            </w:r>
          </w:p>
        </w:tc>
        <w:tc>
          <w:tcPr>
            <w:tcW w:w="100" w:type="dxa"/>
            <w:vAlign w:val="bottom"/>
            <w:shd w:val="clear" w:color="auto" w:fill="CCEEFF"/>
          </w:tcPr>
          <w:p>
            <w:pPr>
              <w:spacing w:after="0"/>
              <w:rPr>
                <w:sz w:val="23"/>
                <w:szCs w:val="23"/>
                <w:color w:val="auto"/>
              </w:rPr>
            </w:pPr>
          </w:p>
        </w:tc>
        <w:tc>
          <w:tcPr>
            <w:tcW w:w="180" w:type="dxa"/>
            <w:vAlign w:val="bottom"/>
            <w:shd w:val="clear" w:color="auto" w:fill="CCEEFF"/>
          </w:tcPr>
          <w:p>
            <w:pPr>
              <w:spacing w:after="0"/>
              <w:rPr>
                <w:sz w:val="23"/>
                <w:szCs w:val="23"/>
                <w:color w:val="auto"/>
              </w:rPr>
            </w:pPr>
          </w:p>
        </w:tc>
        <w:tc>
          <w:tcPr>
            <w:tcW w:w="13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80" w:type="dxa"/>
            <w:vAlign w:val="bottom"/>
            <w:shd w:val="clear" w:color="auto" w:fill="CCEEFF"/>
          </w:tcPr>
          <w:p>
            <w:pPr>
              <w:spacing w:after="0"/>
              <w:rPr>
                <w:sz w:val="23"/>
                <w:szCs w:val="23"/>
                <w:color w:val="auto"/>
              </w:rPr>
            </w:pPr>
          </w:p>
        </w:tc>
        <w:tc>
          <w:tcPr>
            <w:tcW w:w="98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40</w:t>
            </w:r>
          </w:p>
        </w:tc>
      </w:tr>
      <w:tr>
        <w:trPr>
          <w:trHeight w:val="243"/>
        </w:trPr>
        <w:tc>
          <w:tcPr>
            <w:tcW w:w="5580" w:type="dxa"/>
            <w:vAlign w:val="bottom"/>
            <w:gridSpan w:val="3"/>
          </w:tcPr>
          <w:p>
            <w:pPr>
              <w:ind w:left="40"/>
              <w:spacing w:after="0"/>
              <w:rPr>
                <w:sz w:val="20"/>
                <w:szCs w:val="20"/>
                <w:color w:val="auto"/>
              </w:rPr>
            </w:pPr>
            <w:r>
              <w:rPr>
                <w:rFonts w:ascii="Arial" w:cs="Arial" w:eastAsia="Arial" w:hAnsi="Arial"/>
                <w:sz w:val="18"/>
                <w:szCs w:val="18"/>
                <w:color w:val="auto"/>
              </w:rPr>
              <w:t>Alternative instruments:</w:t>
            </w:r>
          </w:p>
        </w:tc>
        <w:tc>
          <w:tcPr>
            <w:tcW w:w="160" w:type="dxa"/>
            <w:vAlign w:val="bottom"/>
          </w:tcPr>
          <w:p>
            <w:pPr>
              <w:spacing w:after="0"/>
              <w:rPr>
                <w:sz w:val="21"/>
                <w:szCs w:val="21"/>
                <w:color w:val="auto"/>
              </w:rPr>
            </w:pPr>
          </w:p>
        </w:tc>
        <w:tc>
          <w:tcPr>
            <w:tcW w:w="13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1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2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80" w:type="dxa"/>
            <w:vAlign w:val="bottom"/>
          </w:tcPr>
          <w:p>
            <w:pPr>
              <w:spacing w:after="0"/>
              <w:rPr>
                <w:sz w:val="21"/>
                <w:szCs w:val="21"/>
                <w:color w:val="auto"/>
              </w:rPr>
            </w:pPr>
          </w:p>
        </w:tc>
      </w:tr>
      <w:tr>
        <w:trPr>
          <w:trHeight w:val="27"/>
        </w:trPr>
        <w:tc>
          <w:tcPr>
            <w:tcW w:w="40" w:type="dxa"/>
            <w:vAlign w:val="bottom"/>
          </w:tcPr>
          <w:p>
            <w:pPr>
              <w:spacing w:after="0"/>
              <w:rPr>
                <w:sz w:val="2"/>
                <w:szCs w:val="2"/>
                <w:color w:val="auto"/>
              </w:rPr>
            </w:pPr>
          </w:p>
        </w:tc>
        <w:tc>
          <w:tcPr>
            <w:tcW w:w="1060" w:type="dxa"/>
            <w:vAlign w:val="bottom"/>
          </w:tcPr>
          <w:p>
            <w:pPr>
              <w:spacing w:after="0"/>
              <w:rPr>
                <w:sz w:val="2"/>
                <w:szCs w:val="2"/>
                <w:color w:val="auto"/>
              </w:rPr>
            </w:pPr>
          </w:p>
        </w:tc>
        <w:tc>
          <w:tcPr>
            <w:tcW w:w="4480" w:type="dxa"/>
            <w:vAlign w:val="bottom"/>
          </w:tcPr>
          <w:p>
            <w:pPr>
              <w:spacing w:after="0"/>
              <w:rPr>
                <w:sz w:val="2"/>
                <w:szCs w:val="2"/>
                <w:color w:val="auto"/>
              </w:rPr>
            </w:pPr>
          </w:p>
        </w:tc>
        <w:tc>
          <w:tcPr>
            <w:tcW w:w="16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980" w:type="dxa"/>
            <w:vAlign w:val="bottom"/>
          </w:tcPr>
          <w:p>
            <w:pPr>
              <w:spacing w:after="0"/>
              <w:rPr>
                <w:sz w:val="2"/>
                <w:szCs w:val="2"/>
                <w:color w:val="auto"/>
              </w:rPr>
            </w:pPr>
          </w:p>
        </w:tc>
      </w:tr>
      <w:tr>
        <w:trPr>
          <w:trHeight w:val="270"/>
        </w:trPr>
        <w:tc>
          <w:tcPr>
            <w:tcW w:w="40" w:type="dxa"/>
            <w:vAlign w:val="bottom"/>
            <w:shd w:val="clear" w:color="auto" w:fill="CCEEFF"/>
          </w:tcPr>
          <w:p>
            <w:pPr>
              <w:spacing w:after="0"/>
              <w:rPr>
                <w:sz w:val="23"/>
                <w:szCs w:val="23"/>
                <w:color w:val="auto"/>
              </w:rPr>
            </w:pPr>
          </w:p>
        </w:tc>
        <w:tc>
          <w:tcPr>
            <w:tcW w:w="5540" w:type="dxa"/>
            <w:vAlign w:val="bottom"/>
            <w:gridSpan w:val="2"/>
            <w:shd w:val="clear" w:color="auto" w:fill="CCEEFF"/>
          </w:tcPr>
          <w:p>
            <w:pPr>
              <w:ind w:left="340"/>
              <w:spacing w:after="0"/>
              <w:rPr>
                <w:sz w:val="20"/>
                <w:szCs w:val="20"/>
                <w:color w:val="auto"/>
              </w:rPr>
            </w:pPr>
            <w:r>
              <w:rPr>
                <w:rFonts w:ascii="Arial" w:cs="Arial" w:eastAsia="Arial" w:hAnsi="Arial"/>
                <w:sz w:val="18"/>
                <w:szCs w:val="18"/>
                <w:color w:val="auto"/>
              </w:rPr>
              <w:t xml:space="preserve">Private market partnerships </w:t>
            </w:r>
            <w:r>
              <w:rPr>
                <w:rFonts w:ascii="Arial" w:cs="Arial" w:eastAsia="Arial" w:hAnsi="Arial"/>
                <w:sz w:val="21"/>
                <w:szCs w:val="21"/>
                <w:color w:val="auto"/>
                <w:vertAlign w:val="superscript"/>
              </w:rPr>
              <w:t>(f)</w:t>
            </w:r>
          </w:p>
        </w:tc>
        <w:tc>
          <w:tcPr>
            <w:tcW w:w="160" w:type="dxa"/>
            <w:vAlign w:val="bottom"/>
            <w:shd w:val="clear" w:color="auto" w:fill="CCEEFF"/>
          </w:tcPr>
          <w:p>
            <w:pPr>
              <w:spacing w:after="0"/>
              <w:rPr>
                <w:sz w:val="23"/>
                <w:szCs w:val="23"/>
                <w:color w:val="auto"/>
              </w:rPr>
            </w:pPr>
          </w:p>
        </w:tc>
        <w:tc>
          <w:tcPr>
            <w:tcW w:w="14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23"/>
                <w:szCs w:val="23"/>
                <w:color w:val="auto"/>
              </w:rPr>
            </w:pPr>
          </w:p>
        </w:tc>
        <w:tc>
          <w:tcPr>
            <w:tcW w:w="12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23"/>
                <w:szCs w:val="23"/>
                <w:color w:val="auto"/>
              </w:rPr>
            </w:pPr>
          </w:p>
        </w:tc>
        <w:tc>
          <w:tcPr>
            <w:tcW w:w="1200" w:type="dxa"/>
            <w:vAlign w:val="bottom"/>
            <w:shd w:val="clear" w:color="auto" w:fill="CCEEFF"/>
          </w:tcPr>
          <w:p>
            <w:pPr>
              <w:jc w:val="right"/>
              <w:ind w:right="13"/>
              <w:spacing w:after="0"/>
              <w:rPr>
                <w:sz w:val="20"/>
                <w:szCs w:val="20"/>
                <w:color w:val="auto"/>
              </w:rPr>
            </w:pPr>
            <w:r>
              <w:rPr>
                <w:rFonts w:ascii="Arial" w:cs="Arial" w:eastAsia="Arial" w:hAnsi="Arial"/>
                <w:sz w:val="18"/>
                <w:szCs w:val="18"/>
                <w:color w:val="auto"/>
              </w:rPr>
              <w:t>7</w:t>
            </w:r>
          </w:p>
        </w:tc>
        <w:tc>
          <w:tcPr>
            <w:tcW w:w="120" w:type="dxa"/>
            <w:vAlign w:val="bottom"/>
            <w:shd w:val="clear" w:color="auto" w:fill="CCEEFF"/>
          </w:tcPr>
          <w:p>
            <w:pPr>
              <w:spacing w:after="0"/>
              <w:rPr>
                <w:sz w:val="23"/>
                <w:szCs w:val="23"/>
                <w:color w:val="auto"/>
              </w:rPr>
            </w:pPr>
          </w:p>
        </w:tc>
        <w:tc>
          <w:tcPr>
            <w:tcW w:w="280" w:type="dxa"/>
            <w:vAlign w:val="bottom"/>
            <w:shd w:val="clear" w:color="auto" w:fill="CCEEFF"/>
          </w:tcPr>
          <w:p>
            <w:pPr>
              <w:spacing w:after="0"/>
              <w:rPr>
                <w:sz w:val="23"/>
                <w:szCs w:val="23"/>
                <w:color w:val="auto"/>
              </w:rPr>
            </w:pPr>
          </w:p>
        </w:tc>
        <w:tc>
          <w:tcPr>
            <w:tcW w:w="98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7</w:t>
            </w:r>
          </w:p>
        </w:tc>
      </w:tr>
      <w:tr>
        <w:trPr>
          <w:trHeight w:val="270"/>
        </w:trPr>
        <w:tc>
          <w:tcPr>
            <w:tcW w:w="40" w:type="dxa"/>
            <w:vAlign w:val="bottom"/>
          </w:tcPr>
          <w:p>
            <w:pPr>
              <w:spacing w:after="0"/>
              <w:rPr>
                <w:sz w:val="23"/>
                <w:szCs w:val="23"/>
                <w:color w:val="auto"/>
              </w:rPr>
            </w:pPr>
          </w:p>
        </w:tc>
        <w:tc>
          <w:tcPr>
            <w:tcW w:w="5540" w:type="dxa"/>
            <w:vAlign w:val="bottom"/>
            <w:gridSpan w:val="2"/>
          </w:tcPr>
          <w:p>
            <w:pPr>
              <w:ind w:left="340"/>
              <w:spacing w:after="0"/>
              <w:rPr>
                <w:sz w:val="20"/>
                <w:szCs w:val="20"/>
                <w:color w:val="auto"/>
              </w:rPr>
            </w:pPr>
            <w:r>
              <w:rPr>
                <w:rFonts w:ascii="Arial" w:cs="Arial" w:eastAsia="Arial" w:hAnsi="Arial"/>
                <w:sz w:val="18"/>
                <w:szCs w:val="18"/>
                <w:color w:val="auto"/>
              </w:rPr>
              <w:t xml:space="preserve">Private market partnerships measured at net asset value </w:t>
            </w:r>
            <w:r>
              <w:rPr>
                <w:rFonts w:ascii="Arial" w:cs="Arial" w:eastAsia="Arial" w:hAnsi="Arial"/>
                <w:sz w:val="21"/>
                <w:szCs w:val="21"/>
                <w:color w:val="auto"/>
                <w:vertAlign w:val="superscript"/>
              </w:rPr>
              <w:t>(f), (g)</w:t>
            </w:r>
          </w:p>
        </w:tc>
        <w:tc>
          <w:tcPr>
            <w:tcW w:w="160" w:type="dxa"/>
            <w:vAlign w:val="bottom"/>
          </w:tcPr>
          <w:p>
            <w:pPr>
              <w:spacing w:after="0"/>
              <w:rPr>
                <w:sz w:val="23"/>
                <w:szCs w:val="23"/>
                <w:color w:val="auto"/>
              </w:rPr>
            </w:pPr>
          </w:p>
        </w:tc>
        <w:tc>
          <w:tcPr>
            <w:tcW w:w="14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23"/>
                <w:szCs w:val="23"/>
                <w:color w:val="auto"/>
              </w:rPr>
            </w:pPr>
          </w:p>
        </w:tc>
        <w:tc>
          <w:tcPr>
            <w:tcW w:w="12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3"/>
                <w:szCs w:val="23"/>
                <w:color w:val="auto"/>
              </w:rPr>
            </w:pPr>
          </w:p>
        </w:tc>
        <w:tc>
          <w:tcPr>
            <w:tcW w:w="13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23"/>
                <w:szCs w:val="23"/>
                <w:color w:val="auto"/>
              </w:rPr>
            </w:pPr>
          </w:p>
        </w:tc>
        <w:tc>
          <w:tcPr>
            <w:tcW w:w="980" w:type="dxa"/>
            <w:vAlign w:val="bottom"/>
          </w:tcPr>
          <w:p>
            <w:pPr>
              <w:jc w:val="right"/>
              <w:ind w:right="11"/>
              <w:spacing w:after="0"/>
              <w:rPr>
                <w:sz w:val="20"/>
                <w:szCs w:val="20"/>
                <w:color w:val="auto"/>
              </w:rPr>
            </w:pPr>
            <w:r>
              <w:rPr>
                <w:rFonts w:ascii="Arial" w:cs="Arial" w:eastAsia="Arial" w:hAnsi="Arial"/>
                <w:sz w:val="18"/>
                <w:szCs w:val="18"/>
                <w:color w:val="auto"/>
              </w:rPr>
              <w:t>1,188</w:t>
            </w:r>
          </w:p>
        </w:tc>
      </w:tr>
      <w:tr>
        <w:trPr>
          <w:trHeight w:val="270"/>
        </w:trPr>
        <w:tc>
          <w:tcPr>
            <w:tcW w:w="40" w:type="dxa"/>
            <w:vAlign w:val="bottom"/>
            <w:shd w:val="clear" w:color="auto" w:fill="CCEEFF"/>
          </w:tcPr>
          <w:p>
            <w:pPr>
              <w:spacing w:after="0"/>
              <w:rPr>
                <w:sz w:val="23"/>
                <w:szCs w:val="23"/>
                <w:color w:val="auto"/>
              </w:rPr>
            </w:pPr>
          </w:p>
        </w:tc>
        <w:tc>
          <w:tcPr>
            <w:tcW w:w="5540" w:type="dxa"/>
            <w:vAlign w:val="bottom"/>
            <w:gridSpan w:val="2"/>
            <w:shd w:val="clear" w:color="auto" w:fill="CCEEFF"/>
          </w:tcPr>
          <w:p>
            <w:pPr>
              <w:ind w:left="340"/>
              <w:spacing w:after="0"/>
              <w:rPr>
                <w:sz w:val="20"/>
                <w:szCs w:val="20"/>
                <w:color w:val="auto"/>
              </w:rPr>
            </w:pPr>
            <w:r>
              <w:rPr>
                <w:rFonts w:ascii="Arial" w:cs="Arial" w:eastAsia="Arial" w:hAnsi="Arial"/>
                <w:sz w:val="18"/>
                <w:szCs w:val="18"/>
                <w:color w:val="auto"/>
              </w:rPr>
              <w:t xml:space="preserve">Common/collective trusts </w:t>
            </w:r>
            <w:r>
              <w:rPr>
                <w:rFonts w:ascii="Arial" w:cs="Arial" w:eastAsia="Arial" w:hAnsi="Arial"/>
                <w:sz w:val="21"/>
                <w:szCs w:val="21"/>
                <w:color w:val="auto"/>
                <w:vertAlign w:val="superscript"/>
              </w:rPr>
              <w:t>(h)</w:t>
            </w:r>
          </w:p>
        </w:tc>
        <w:tc>
          <w:tcPr>
            <w:tcW w:w="160" w:type="dxa"/>
            <w:vAlign w:val="bottom"/>
            <w:shd w:val="clear" w:color="auto" w:fill="CCEEFF"/>
          </w:tcPr>
          <w:p>
            <w:pPr>
              <w:spacing w:after="0"/>
              <w:rPr>
                <w:sz w:val="23"/>
                <w:szCs w:val="23"/>
                <w:color w:val="auto"/>
              </w:rPr>
            </w:pPr>
          </w:p>
        </w:tc>
        <w:tc>
          <w:tcPr>
            <w:tcW w:w="14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23"/>
                <w:szCs w:val="23"/>
                <w:color w:val="auto"/>
              </w:rPr>
            </w:pPr>
          </w:p>
        </w:tc>
        <w:tc>
          <w:tcPr>
            <w:tcW w:w="1160" w:type="dxa"/>
            <w:vAlign w:val="bottom"/>
            <w:shd w:val="clear" w:color="auto" w:fill="CCEEFF"/>
          </w:tcPr>
          <w:p>
            <w:pPr>
              <w:jc w:val="right"/>
              <w:ind w:right="33"/>
              <w:spacing w:after="0"/>
              <w:rPr>
                <w:sz w:val="20"/>
                <w:szCs w:val="20"/>
                <w:color w:val="auto"/>
              </w:rPr>
            </w:pPr>
            <w:r>
              <w:rPr>
                <w:rFonts w:ascii="Arial" w:cs="Arial" w:eastAsia="Arial" w:hAnsi="Arial"/>
                <w:sz w:val="18"/>
                <w:szCs w:val="18"/>
                <w:color w:val="auto"/>
              </w:rPr>
              <w:t>218</w:t>
            </w:r>
          </w:p>
        </w:tc>
        <w:tc>
          <w:tcPr>
            <w:tcW w:w="100" w:type="dxa"/>
            <w:vAlign w:val="bottom"/>
            <w:shd w:val="clear" w:color="auto" w:fill="CCEEFF"/>
          </w:tcPr>
          <w:p>
            <w:pPr>
              <w:spacing w:after="0"/>
              <w:rPr>
                <w:sz w:val="23"/>
                <w:szCs w:val="23"/>
                <w:color w:val="auto"/>
              </w:rPr>
            </w:pPr>
          </w:p>
        </w:tc>
        <w:tc>
          <w:tcPr>
            <w:tcW w:w="180" w:type="dxa"/>
            <w:vAlign w:val="bottom"/>
            <w:shd w:val="clear" w:color="auto" w:fill="CCEEFF"/>
          </w:tcPr>
          <w:p>
            <w:pPr>
              <w:spacing w:after="0"/>
              <w:rPr>
                <w:sz w:val="23"/>
                <w:szCs w:val="23"/>
                <w:color w:val="auto"/>
              </w:rPr>
            </w:pPr>
          </w:p>
        </w:tc>
        <w:tc>
          <w:tcPr>
            <w:tcW w:w="13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80" w:type="dxa"/>
            <w:vAlign w:val="bottom"/>
            <w:shd w:val="clear" w:color="auto" w:fill="CCEEFF"/>
          </w:tcPr>
          <w:p>
            <w:pPr>
              <w:spacing w:after="0"/>
              <w:rPr>
                <w:sz w:val="23"/>
                <w:szCs w:val="23"/>
                <w:color w:val="auto"/>
              </w:rPr>
            </w:pPr>
          </w:p>
        </w:tc>
        <w:tc>
          <w:tcPr>
            <w:tcW w:w="98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218</w:t>
            </w:r>
          </w:p>
        </w:tc>
      </w:tr>
      <w:tr>
        <w:trPr>
          <w:trHeight w:val="226"/>
        </w:trPr>
        <w:tc>
          <w:tcPr>
            <w:tcW w:w="40" w:type="dxa"/>
            <w:vAlign w:val="bottom"/>
          </w:tcPr>
          <w:p>
            <w:pPr>
              <w:spacing w:after="0"/>
              <w:rPr>
                <w:sz w:val="19"/>
                <w:szCs w:val="19"/>
                <w:color w:val="auto"/>
              </w:rPr>
            </w:pPr>
          </w:p>
        </w:tc>
        <w:tc>
          <w:tcPr>
            <w:tcW w:w="5540" w:type="dxa"/>
            <w:vAlign w:val="bottom"/>
            <w:gridSpan w:val="2"/>
          </w:tcPr>
          <w:p>
            <w:pPr>
              <w:ind w:left="340"/>
              <w:spacing w:after="0"/>
              <w:rPr>
                <w:sz w:val="20"/>
                <w:szCs w:val="20"/>
                <w:color w:val="auto"/>
              </w:rPr>
            </w:pPr>
            <w:r>
              <w:rPr>
                <w:rFonts w:ascii="Arial" w:cs="Arial" w:eastAsia="Arial" w:hAnsi="Arial"/>
                <w:sz w:val="18"/>
                <w:szCs w:val="18"/>
                <w:color w:val="auto"/>
              </w:rPr>
              <w:t>Common/collective trusts and 103-12 Investment Trust</w:t>
            </w:r>
          </w:p>
        </w:tc>
        <w:tc>
          <w:tcPr>
            <w:tcW w:w="160" w:type="dxa"/>
            <w:vAlign w:val="bottom"/>
          </w:tcPr>
          <w:p>
            <w:pPr>
              <w:spacing w:after="0"/>
              <w:rPr>
                <w:sz w:val="19"/>
                <w:szCs w:val="19"/>
                <w:color w:val="auto"/>
              </w:rPr>
            </w:pPr>
          </w:p>
        </w:tc>
        <w:tc>
          <w:tcPr>
            <w:tcW w:w="13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80" w:type="dxa"/>
            <w:vAlign w:val="bottom"/>
          </w:tcPr>
          <w:p>
            <w:pPr>
              <w:spacing w:after="0"/>
              <w:rPr>
                <w:sz w:val="19"/>
                <w:szCs w:val="19"/>
                <w:color w:val="auto"/>
              </w:rPr>
            </w:pPr>
          </w:p>
        </w:tc>
      </w:tr>
      <w:tr>
        <w:trPr>
          <w:trHeight w:val="233"/>
        </w:trPr>
        <w:tc>
          <w:tcPr>
            <w:tcW w:w="40" w:type="dxa"/>
            <w:vAlign w:val="bottom"/>
          </w:tcPr>
          <w:p>
            <w:pPr>
              <w:spacing w:after="0"/>
              <w:rPr>
                <w:sz w:val="20"/>
                <w:szCs w:val="20"/>
                <w:color w:val="auto"/>
              </w:rPr>
            </w:pPr>
          </w:p>
        </w:tc>
        <w:tc>
          <w:tcPr>
            <w:tcW w:w="5540" w:type="dxa"/>
            <w:vAlign w:val="bottom"/>
            <w:gridSpan w:val="2"/>
          </w:tcPr>
          <w:p>
            <w:pPr>
              <w:ind w:left="500"/>
              <w:spacing w:after="0" w:line="233" w:lineRule="exact"/>
              <w:rPr>
                <w:sz w:val="20"/>
                <w:szCs w:val="20"/>
                <w:color w:val="auto"/>
              </w:rPr>
            </w:pPr>
            <w:r>
              <w:rPr>
                <w:rFonts w:ascii="Arial" w:cs="Arial" w:eastAsia="Arial" w:hAnsi="Arial"/>
                <w:sz w:val="18"/>
                <w:szCs w:val="18"/>
                <w:color w:val="auto"/>
              </w:rPr>
              <w:t xml:space="preserve">measured at net asset value </w:t>
            </w:r>
            <w:r>
              <w:rPr>
                <w:rFonts w:ascii="Arial" w:cs="Arial" w:eastAsia="Arial" w:hAnsi="Arial"/>
                <w:sz w:val="21"/>
                <w:szCs w:val="21"/>
                <w:color w:val="auto"/>
                <w:vertAlign w:val="superscript"/>
              </w:rPr>
              <w:t>(g), (h)</w:t>
            </w:r>
          </w:p>
        </w:tc>
        <w:tc>
          <w:tcPr>
            <w:tcW w:w="160" w:type="dxa"/>
            <w:vAlign w:val="bottom"/>
          </w:tcPr>
          <w:p>
            <w:pPr>
              <w:spacing w:after="0"/>
              <w:rPr>
                <w:sz w:val="20"/>
                <w:szCs w:val="20"/>
                <w:color w:val="auto"/>
              </w:rPr>
            </w:pPr>
          </w:p>
        </w:tc>
        <w:tc>
          <w:tcPr>
            <w:tcW w:w="14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20"/>
                <w:szCs w:val="20"/>
                <w:color w:val="auto"/>
              </w:rPr>
            </w:pPr>
          </w:p>
        </w:tc>
        <w:tc>
          <w:tcPr>
            <w:tcW w:w="12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0"/>
                <w:szCs w:val="20"/>
                <w:color w:val="auto"/>
              </w:rPr>
            </w:pPr>
          </w:p>
        </w:tc>
        <w:tc>
          <w:tcPr>
            <w:tcW w:w="13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20"/>
                <w:szCs w:val="20"/>
                <w:color w:val="auto"/>
              </w:rPr>
            </w:pPr>
          </w:p>
        </w:tc>
        <w:tc>
          <w:tcPr>
            <w:tcW w:w="980" w:type="dxa"/>
            <w:vAlign w:val="bottom"/>
          </w:tcPr>
          <w:p>
            <w:pPr>
              <w:jc w:val="right"/>
              <w:ind w:right="11"/>
              <w:spacing w:after="0"/>
              <w:rPr>
                <w:sz w:val="20"/>
                <w:szCs w:val="20"/>
                <w:color w:val="auto"/>
              </w:rPr>
            </w:pPr>
            <w:r>
              <w:rPr>
                <w:rFonts w:ascii="Arial" w:cs="Arial" w:eastAsia="Arial" w:hAnsi="Arial"/>
                <w:sz w:val="18"/>
                <w:szCs w:val="18"/>
                <w:color w:val="auto"/>
              </w:rPr>
              <w:t>227</w:t>
            </w:r>
          </w:p>
        </w:tc>
      </w:tr>
      <w:tr>
        <w:trPr>
          <w:trHeight w:val="270"/>
        </w:trPr>
        <w:tc>
          <w:tcPr>
            <w:tcW w:w="40" w:type="dxa"/>
            <w:vAlign w:val="bottom"/>
            <w:shd w:val="clear" w:color="auto" w:fill="CCEEFF"/>
          </w:tcPr>
          <w:p>
            <w:pPr>
              <w:spacing w:after="0"/>
              <w:rPr>
                <w:sz w:val="23"/>
                <w:szCs w:val="23"/>
                <w:color w:val="auto"/>
              </w:rPr>
            </w:pPr>
          </w:p>
        </w:tc>
        <w:tc>
          <w:tcPr>
            <w:tcW w:w="5540" w:type="dxa"/>
            <w:vAlign w:val="bottom"/>
            <w:gridSpan w:val="2"/>
            <w:shd w:val="clear" w:color="auto" w:fill="CCEEFF"/>
          </w:tcPr>
          <w:p>
            <w:pPr>
              <w:ind w:left="340"/>
              <w:spacing w:after="0"/>
              <w:rPr>
                <w:sz w:val="20"/>
                <w:szCs w:val="20"/>
                <w:color w:val="auto"/>
              </w:rPr>
            </w:pPr>
            <w:r>
              <w:rPr>
                <w:rFonts w:ascii="Arial" w:cs="Arial" w:eastAsia="Arial" w:hAnsi="Arial"/>
                <w:sz w:val="18"/>
                <w:szCs w:val="18"/>
                <w:color w:val="auto"/>
              </w:rPr>
              <w:t>Insurance group annuity contracts</w:t>
            </w:r>
          </w:p>
        </w:tc>
        <w:tc>
          <w:tcPr>
            <w:tcW w:w="160" w:type="dxa"/>
            <w:vAlign w:val="bottom"/>
            <w:shd w:val="clear" w:color="auto" w:fill="CCEEFF"/>
          </w:tcPr>
          <w:p>
            <w:pPr>
              <w:spacing w:after="0"/>
              <w:rPr>
                <w:sz w:val="23"/>
                <w:szCs w:val="23"/>
                <w:color w:val="auto"/>
              </w:rPr>
            </w:pPr>
          </w:p>
        </w:tc>
        <w:tc>
          <w:tcPr>
            <w:tcW w:w="14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23"/>
                <w:szCs w:val="23"/>
                <w:color w:val="auto"/>
              </w:rPr>
            </w:pPr>
          </w:p>
        </w:tc>
        <w:tc>
          <w:tcPr>
            <w:tcW w:w="12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23"/>
                <w:szCs w:val="23"/>
                <w:color w:val="auto"/>
              </w:rPr>
            </w:pPr>
          </w:p>
        </w:tc>
        <w:tc>
          <w:tcPr>
            <w:tcW w:w="1200" w:type="dxa"/>
            <w:vAlign w:val="bottom"/>
            <w:shd w:val="clear" w:color="auto" w:fill="CCEEFF"/>
          </w:tcPr>
          <w:p>
            <w:pPr>
              <w:jc w:val="right"/>
              <w:ind w:right="13"/>
              <w:spacing w:after="0"/>
              <w:rPr>
                <w:sz w:val="20"/>
                <w:szCs w:val="20"/>
                <w:color w:val="auto"/>
              </w:rPr>
            </w:pPr>
            <w:r>
              <w:rPr>
                <w:rFonts w:ascii="Arial" w:cs="Arial" w:eastAsia="Arial" w:hAnsi="Arial"/>
                <w:sz w:val="18"/>
                <w:szCs w:val="18"/>
                <w:color w:val="auto"/>
              </w:rPr>
              <w:t>2</w:t>
            </w:r>
          </w:p>
        </w:tc>
        <w:tc>
          <w:tcPr>
            <w:tcW w:w="120" w:type="dxa"/>
            <w:vAlign w:val="bottom"/>
            <w:shd w:val="clear" w:color="auto" w:fill="CCEEFF"/>
          </w:tcPr>
          <w:p>
            <w:pPr>
              <w:spacing w:after="0"/>
              <w:rPr>
                <w:sz w:val="23"/>
                <w:szCs w:val="23"/>
                <w:color w:val="auto"/>
              </w:rPr>
            </w:pPr>
          </w:p>
        </w:tc>
        <w:tc>
          <w:tcPr>
            <w:tcW w:w="280" w:type="dxa"/>
            <w:vAlign w:val="bottom"/>
            <w:shd w:val="clear" w:color="auto" w:fill="CCEEFF"/>
          </w:tcPr>
          <w:p>
            <w:pPr>
              <w:spacing w:after="0"/>
              <w:rPr>
                <w:sz w:val="23"/>
                <w:szCs w:val="23"/>
                <w:color w:val="auto"/>
              </w:rPr>
            </w:pPr>
          </w:p>
        </w:tc>
        <w:tc>
          <w:tcPr>
            <w:tcW w:w="98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2</w:t>
            </w:r>
          </w:p>
        </w:tc>
      </w:tr>
      <w:tr>
        <w:trPr>
          <w:trHeight w:val="263"/>
        </w:trPr>
        <w:tc>
          <w:tcPr>
            <w:tcW w:w="5580" w:type="dxa"/>
            <w:vAlign w:val="bottom"/>
            <w:gridSpan w:val="3"/>
          </w:tcPr>
          <w:p>
            <w:pPr>
              <w:ind w:left="40"/>
              <w:spacing w:after="0"/>
              <w:rPr>
                <w:sz w:val="20"/>
                <w:szCs w:val="20"/>
                <w:color w:val="auto"/>
              </w:rPr>
            </w:pPr>
            <w:r>
              <w:rPr>
                <w:rFonts w:ascii="Arial" w:cs="Arial" w:eastAsia="Arial" w:hAnsi="Arial"/>
                <w:sz w:val="18"/>
                <w:szCs w:val="18"/>
                <w:color w:val="auto"/>
              </w:rPr>
              <w:t>Dividend and interest receivable</w:t>
            </w:r>
          </w:p>
        </w:tc>
        <w:tc>
          <w:tcPr>
            <w:tcW w:w="160" w:type="dxa"/>
            <w:vAlign w:val="bottom"/>
          </w:tcPr>
          <w:p>
            <w:pPr>
              <w:spacing w:after="0"/>
              <w:rPr>
                <w:sz w:val="22"/>
                <w:szCs w:val="22"/>
                <w:color w:val="auto"/>
              </w:rPr>
            </w:pPr>
          </w:p>
        </w:tc>
        <w:tc>
          <w:tcPr>
            <w:tcW w:w="1340" w:type="dxa"/>
            <w:vAlign w:val="bottom"/>
          </w:tcPr>
          <w:p>
            <w:pPr>
              <w:jc w:val="right"/>
              <w:ind w:right="34"/>
              <w:spacing w:after="0"/>
              <w:rPr>
                <w:sz w:val="20"/>
                <w:szCs w:val="20"/>
                <w:color w:val="auto"/>
              </w:rPr>
            </w:pPr>
            <w:r>
              <w:rPr>
                <w:rFonts w:ascii="Arial" w:cs="Arial" w:eastAsia="Arial" w:hAnsi="Arial"/>
                <w:sz w:val="18"/>
                <w:szCs w:val="18"/>
                <w:color w:val="auto"/>
              </w:rPr>
              <w:t>47</w:t>
            </w:r>
          </w:p>
        </w:tc>
        <w:tc>
          <w:tcPr>
            <w:tcW w:w="10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12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2"/>
                <w:szCs w:val="22"/>
                <w:color w:val="auto"/>
              </w:rPr>
            </w:pPr>
          </w:p>
        </w:tc>
        <w:tc>
          <w:tcPr>
            <w:tcW w:w="13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22"/>
                <w:szCs w:val="22"/>
                <w:color w:val="auto"/>
              </w:rPr>
            </w:pPr>
          </w:p>
        </w:tc>
        <w:tc>
          <w:tcPr>
            <w:tcW w:w="980" w:type="dxa"/>
            <w:vAlign w:val="bottom"/>
          </w:tcPr>
          <w:p>
            <w:pPr>
              <w:jc w:val="right"/>
              <w:ind w:right="11"/>
              <w:spacing w:after="0"/>
              <w:rPr>
                <w:sz w:val="20"/>
                <w:szCs w:val="20"/>
                <w:color w:val="auto"/>
              </w:rPr>
            </w:pPr>
            <w:r>
              <w:rPr>
                <w:rFonts w:ascii="Arial" w:cs="Arial" w:eastAsia="Arial" w:hAnsi="Arial"/>
                <w:sz w:val="18"/>
                <w:szCs w:val="18"/>
                <w:color w:val="auto"/>
              </w:rPr>
              <w:t>47</w:t>
            </w:r>
          </w:p>
        </w:tc>
      </w:tr>
      <w:tr>
        <w:trPr>
          <w:trHeight w:val="277"/>
        </w:trPr>
        <w:tc>
          <w:tcPr>
            <w:tcW w:w="5580" w:type="dxa"/>
            <w:vAlign w:val="bottom"/>
            <w:gridSpan w:val="3"/>
            <w:shd w:val="clear" w:color="auto" w:fill="CCEEFF"/>
          </w:tcPr>
          <w:p>
            <w:pPr>
              <w:ind w:left="40"/>
              <w:spacing w:after="0"/>
              <w:rPr>
                <w:sz w:val="20"/>
                <w:szCs w:val="20"/>
                <w:color w:val="auto"/>
              </w:rPr>
            </w:pPr>
            <w:r>
              <w:rPr>
                <w:rFonts w:ascii="Arial" w:cs="Arial" w:eastAsia="Arial" w:hAnsi="Arial"/>
                <w:sz w:val="18"/>
                <w:szCs w:val="18"/>
                <w:color w:val="auto"/>
              </w:rPr>
              <w:t>Due to/from brokers for sale of securities – net</w:t>
            </w:r>
          </w:p>
        </w:tc>
        <w:tc>
          <w:tcPr>
            <w:tcW w:w="160" w:type="dxa"/>
            <w:vAlign w:val="bottom"/>
            <w:shd w:val="clear" w:color="auto" w:fill="CCEEFF"/>
          </w:tcPr>
          <w:p>
            <w:pPr>
              <w:spacing w:after="0"/>
              <w:rPr>
                <w:sz w:val="24"/>
                <w:szCs w:val="24"/>
                <w:color w:val="auto"/>
              </w:rPr>
            </w:pPr>
          </w:p>
        </w:tc>
        <w:tc>
          <w:tcPr>
            <w:tcW w:w="1340" w:type="dxa"/>
            <w:vAlign w:val="bottom"/>
            <w:shd w:val="clear" w:color="auto" w:fill="CCEEFF"/>
          </w:tcPr>
          <w:p>
            <w:pPr>
              <w:jc w:val="right"/>
              <w:ind w:right="34"/>
              <w:spacing w:after="0"/>
              <w:rPr>
                <w:sz w:val="20"/>
                <w:szCs w:val="20"/>
                <w:color w:val="auto"/>
              </w:rPr>
            </w:pPr>
            <w:r>
              <w:rPr>
                <w:rFonts w:ascii="Arial" w:cs="Arial" w:eastAsia="Arial" w:hAnsi="Arial"/>
                <w:sz w:val="18"/>
                <w:szCs w:val="18"/>
                <w:color w:val="auto"/>
              </w:rPr>
              <w:t>5</w:t>
            </w:r>
          </w:p>
        </w:tc>
        <w:tc>
          <w:tcPr>
            <w:tcW w:w="100" w:type="dxa"/>
            <w:vAlign w:val="bottom"/>
            <w:shd w:val="clear" w:color="auto" w:fill="CCEEFF"/>
          </w:tcPr>
          <w:p>
            <w:pPr>
              <w:spacing w:after="0"/>
              <w:rPr>
                <w:sz w:val="24"/>
                <w:szCs w:val="24"/>
                <w:color w:val="auto"/>
              </w:rPr>
            </w:pPr>
          </w:p>
        </w:tc>
        <w:tc>
          <w:tcPr>
            <w:tcW w:w="220" w:type="dxa"/>
            <w:vAlign w:val="bottom"/>
            <w:shd w:val="clear" w:color="auto" w:fill="CCEEFF"/>
          </w:tcPr>
          <w:p>
            <w:pPr>
              <w:spacing w:after="0"/>
              <w:rPr>
                <w:sz w:val="24"/>
                <w:szCs w:val="24"/>
                <w:color w:val="auto"/>
              </w:rPr>
            </w:pPr>
          </w:p>
        </w:tc>
        <w:tc>
          <w:tcPr>
            <w:tcW w:w="12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24"/>
                <w:szCs w:val="24"/>
                <w:color w:val="auto"/>
              </w:rPr>
            </w:pPr>
          </w:p>
        </w:tc>
        <w:tc>
          <w:tcPr>
            <w:tcW w:w="13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80" w:type="dxa"/>
            <w:vAlign w:val="bottom"/>
            <w:shd w:val="clear" w:color="auto" w:fill="CCEEFF"/>
          </w:tcPr>
          <w:p>
            <w:pPr>
              <w:spacing w:after="0"/>
              <w:rPr>
                <w:sz w:val="24"/>
                <w:szCs w:val="24"/>
                <w:color w:val="auto"/>
              </w:rPr>
            </w:pPr>
          </w:p>
        </w:tc>
        <w:tc>
          <w:tcPr>
            <w:tcW w:w="98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5</w:t>
            </w:r>
          </w:p>
        </w:tc>
      </w:tr>
      <w:tr>
        <w:trPr>
          <w:trHeight w:val="264"/>
        </w:trPr>
        <w:tc>
          <w:tcPr>
            <w:tcW w:w="5580" w:type="dxa"/>
            <w:vAlign w:val="bottom"/>
            <w:gridSpan w:val="3"/>
          </w:tcPr>
          <w:p>
            <w:pPr>
              <w:ind w:left="40"/>
              <w:spacing w:after="0"/>
              <w:rPr>
                <w:sz w:val="20"/>
                <w:szCs w:val="20"/>
                <w:color w:val="auto"/>
              </w:rPr>
            </w:pPr>
            <w:r>
              <w:rPr>
                <w:rFonts w:ascii="Arial" w:cs="Arial" w:eastAsia="Arial" w:hAnsi="Arial"/>
                <w:sz w:val="18"/>
                <w:szCs w:val="18"/>
                <w:color w:val="auto"/>
              </w:rPr>
              <w:t>Other liabilities – net</w:t>
            </w:r>
          </w:p>
        </w:tc>
        <w:tc>
          <w:tcPr>
            <w:tcW w:w="160" w:type="dxa"/>
            <w:vAlign w:val="bottom"/>
          </w:tcPr>
          <w:p>
            <w:pPr>
              <w:spacing w:after="0"/>
              <w:rPr>
                <w:sz w:val="22"/>
                <w:szCs w:val="22"/>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(7)</w:t>
            </w:r>
          </w:p>
        </w:tc>
        <w:tc>
          <w:tcPr>
            <w:tcW w:w="10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12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2"/>
                <w:szCs w:val="22"/>
                <w:color w:val="auto"/>
              </w:rPr>
            </w:pPr>
          </w:p>
        </w:tc>
        <w:tc>
          <w:tcPr>
            <w:tcW w:w="13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22"/>
                <w:szCs w:val="22"/>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(7)</w:t>
            </w:r>
          </w:p>
        </w:tc>
      </w:tr>
      <w:tr>
        <w:trPr>
          <w:trHeight w:val="250"/>
        </w:trPr>
        <w:tc>
          <w:tcPr>
            <w:tcW w:w="40" w:type="dxa"/>
            <w:vAlign w:val="bottom"/>
            <w:tcBorders>
              <w:top w:val="single" w:sz="8" w:color="CCEEFF"/>
              <w:bottom w:val="single" w:sz="8" w:color="CCEEFF"/>
            </w:tcBorders>
            <w:shd w:val="clear" w:color="auto" w:fill="CCEEFF"/>
          </w:tcPr>
          <w:p>
            <w:pPr>
              <w:spacing w:after="0"/>
              <w:rPr>
                <w:sz w:val="21"/>
                <w:szCs w:val="21"/>
                <w:color w:val="auto"/>
              </w:rPr>
            </w:pPr>
          </w:p>
        </w:tc>
        <w:tc>
          <w:tcPr>
            <w:tcW w:w="5540" w:type="dxa"/>
            <w:vAlign w:val="bottom"/>
            <w:tcBorders>
              <w:top w:val="single" w:sz="8" w:color="CCEEFF"/>
              <w:bottom w:val="single" w:sz="8" w:color="CCEEFF"/>
            </w:tcBorders>
            <w:gridSpan w:val="2"/>
            <w:shd w:val="clear" w:color="auto" w:fill="CCEEFF"/>
          </w:tcPr>
          <w:p>
            <w:pPr>
              <w:ind w:left="140"/>
              <w:spacing w:after="0"/>
              <w:rPr>
                <w:sz w:val="20"/>
                <w:szCs w:val="20"/>
                <w:color w:val="auto"/>
              </w:rPr>
            </w:pPr>
            <w:r>
              <w:rPr>
                <w:rFonts w:ascii="Arial" w:cs="Arial" w:eastAsia="Arial" w:hAnsi="Arial"/>
                <w:sz w:val="18"/>
                <w:szCs w:val="18"/>
                <w:color w:val="auto"/>
              </w:rPr>
              <w:t>Total</w:t>
            </w: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340" w:type="dxa"/>
            <w:vAlign w:val="bottom"/>
            <w:tcBorders>
              <w:top w:val="single" w:sz="8" w:color="auto"/>
              <w:bottom w:val="single" w:sz="8" w:color="auto"/>
            </w:tcBorders>
            <w:shd w:val="clear" w:color="auto" w:fill="CCEEFF"/>
          </w:tcPr>
          <w:p>
            <w:pPr>
              <w:jc w:val="right"/>
              <w:ind w:right="34"/>
              <w:spacing w:after="0"/>
              <w:rPr>
                <w:sz w:val="20"/>
                <w:szCs w:val="20"/>
                <w:color w:val="auto"/>
              </w:rPr>
            </w:pPr>
            <w:r>
              <w:rPr>
                <w:rFonts w:ascii="Arial" w:cs="Arial" w:eastAsia="Arial" w:hAnsi="Arial"/>
                <w:sz w:val="18"/>
                <w:szCs w:val="18"/>
                <w:color w:val="auto"/>
              </w:rPr>
              <w:t>6,027</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220" w:type="dxa"/>
            <w:vAlign w:val="bottom"/>
            <w:tcBorders>
              <w:top w:val="single" w:sz="8" w:color="auto"/>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160" w:type="dxa"/>
            <w:vAlign w:val="bottom"/>
            <w:tcBorders>
              <w:top w:val="single" w:sz="8" w:color="auto"/>
              <w:bottom w:val="single" w:sz="8" w:color="auto"/>
            </w:tcBorders>
            <w:shd w:val="clear" w:color="auto" w:fill="CCEEFF"/>
          </w:tcPr>
          <w:p>
            <w:pPr>
              <w:jc w:val="right"/>
              <w:ind w:right="33"/>
              <w:spacing w:after="0"/>
              <w:rPr>
                <w:sz w:val="20"/>
                <w:szCs w:val="20"/>
                <w:color w:val="auto"/>
              </w:rPr>
            </w:pPr>
            <w:r>
              <w:rPr>
                <w:rFonts w:ascii="Arial" w:cs="Arial" w:eastAsia="Arial" w:hAnsi="Arial"/>
                <w:sz w:val="18"/>
                <w:szCs w:val="18"/>
                <w:color w:val="auto"/>
              </w:rPr>
              <w:t>2,602</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00" w:type="dxa"/>
            <w:vAlign w:val="bottom"/>
            <w:tcBorders>
              <w:top w:val="single" w:sz="8" w:color="auto"/>
              <w:bottom w:val="single" w:sz="8" w:color="auto"/>
            </w:tcBorders>
            <w:shd w:val="clear" w:color="auto" w:fill="CCEEFF"/>
          </w:tcPr>
          <w:p>
            <w:pPr>
              <w:jc w:val="right"/>
              <w:ind w:right="13"/>
              <w:spacing w:after="0"/>
              <w:rPr>
                <w:sz w:val="20"/>
                <w:szCs w:val="20"/>
                <w:color w:val="auto"/>
              </w:rPr>
            </w:pPr>
            <w:r>
              <w:rPr>
                <w:rFonts w:ascii="Arial" w:cs="Arial" w:eastAsia="Arial" w:hAnsi="Arial"/>
                <w:sz w:val="18"/>
                <w:szCs w:val="18"/>
                <w:color w:val="auto"/>
              </w:rPr>
              <w:t>9</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280" w:type="dxa"/>
            <w:vAlign w:val="bottom"/>
            <w:tcBorders>
              <w:top w:val="single" w:sz="8" w:color="auto"/>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980" w:type="dxa"/>
            <w:vAlign w:val="bottom"/>
            <w:tcBorders>
              <w:top w:val="single" w:sz="8" w:color="auto"/>
              <w:bottom w:val="single" w:sz="8" w:color="auto"/>
            </w:tcBorders>
            <w:shd w:val="clear" w:color="auto" w:fill="CCEEFF"/>
          </w:tcPr>
          <w:p>
            <w:pPr>
              <w:jc w:val="right"/>
              <w:ind w:right="11"/>
              <w:spacing w:after="0"/>
              <w:rPr>
                <w:sz w:val="20"/>
                <w:szCs w:val="20"/>
                <w:color w:val="auto"/>
              </w:rPr>
            </w:pPr>
            <w:r>
              <w:rPr>
                <w:rFonts w:ascii="Arial" w:cs="Arial" w:eastAsia="Arial" w:hAnsi="Arial"/>
                <w:sz w:val="18"/>
                <w:szCs w:val="18"/>
                <w:color w:val="auto"/>
              </w:rPr>
              <w:t>10,053</w:t>
            </w:r>
          </w:p>
        </w:tc>
      </w:tr>
      <w:tr>
        <w:trPr>
          <w:trHeight w:val="20"/>
        </w:trPr>
        <w:tc>
          <w:tcPr>
            <w:tcW w:w="4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448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163195</wp:posOffset>
            </wp:positionV>
            <wp:extent cx="1337945" cy="8890"/>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1337945" cy="8890"/>
                    </a:xfrm>
                    <a:prstGeom prst="rect">
                      <a:avLst/>
                    </a:prstGeom>
                    <a:noFill/>
                  </pic:spPr>
                </pic:pic>
              </a:graphicData>
            </a:graphic>
          </wp:anchor>
        </w:drawing>
      </w:r>
    </w:p>
    <w:p>
      <w:pPr>
        <w:sectPr>
          <w:pgSz w:w="11900" w:h="16838" w:orient="portrait"/>
          <w:cols w:equalWidth="0" w:num="1">
            <w:col w:w="11420"/>
          </w:cols>
          <w:pgMar w:left="240" w:top="549" w:right="239" w:bottom="1440" w:gutter="0" w:footer="0" w:header="0"/>
          <w:type w:val="continuous"/>
        </w:sectPr>
      </w:pPr>
    </w:p>
    <w:p>
      <w:pPr>
        <w:spacing w:after="0" w:line="348" w:lineRule="exact"/>
        <w:rPr>
          <w:sz w:val="20"/>
          <w:szCs w:val="20"/>
          <w:color w:val="auto"/>
        </w:rPr>
      </w:pPr>
    </w:p>
    <w:p>
      <w:pPr>
        <w:spacing w:after="0"/>
        <w:rPr>
          <w:sz w:val="20"/>
          <w:szCs w:val="20"/>
          <w:color w:val="auto"/>
        </w:rPr>
      </w:pPr>
      <w:r>
        <w:rPr>
          <w:rFonts w:ascii="Arial" w:cs="Arial" w:eastAsia="Arial" w:hAnsi="Arial"/>
          <w:sz w:val="11"/>
          <w:szCs w:val="11"/>
          <w:color w:val="auto"/>
        </w:rPr>
        <w:t>(a)</w:t>
      </w:r>
    </w:p>
    <w:p>
      <w:pPr>
        <w:spacing w:after="0" w:line="200" w:lineRule="exact"/>
        <w:rPr>
          <w:sz w:val="20"/>
          <w:szCs w:val="20"/>
          <w:color w:val="auto"/>
        </w:rPr>
      </w:pPr>
    </w:p>
    <w:p>
      <w:pPr>
        <w:spacing w:after="0" w:line="268" w:lineRule="exact"/>
        <w:rPr>
          <w:sz w:val="20"/>
          <w:szCs w:val="20"/>
          <w:color w:val="auto"/>
        </w:rPr>
      </w:pPr>
    </w:p>
    <w:p>
      <w:pPr>
        <w:spacing w:after="0"/>
        <w:rPr>
          <w:sz w:val="20"/>
          <w:szCs w:val="20"/>
          <w:color w:val="auto"/>
        </w:rPr>
      </w:pPr>
      <w:r>
        <w:rPr>
          <w:rFonts w:ascii="Arial" w:cs="Arial" w:eastAsia="Arial" w:hAnsi="Arial"/>
          <w:sz w:val="11"/>
          <w:szCs w:val="11"/>
          <w:color w:val="auto"/>
        </w:rPr>
        <w:t>(b)</w:t>
      </w:r>
    </w:p>
    <w:p>
      <w:pPr>
        <w:spacing w:after="0" w:line="252" w:lineRule="exact"/>
        <w:rPr>
          <w:sz w:val="20"/>
          <w:szCs w:val="20"/>
          <w:color w:val="auto"/>
        </w:rPr>
      </w:pPr>
    </w:p>
    <w:p>
      <w:pPr>
        <w:spacing w:after="0"/>
        <w:rPr>
          <w:sz w:val="20"/>
          <w:szCs w:val="20"/>
          <w:color w:val="auto"/>
        </w:rPr>
      </w:pPr>
      <w:r>
        <w:rPr>
          <w:rFonts w:ascii="Arial" w:cs="Arial" w:eastAsia="Arial" w:hAnsi="Arial"/>
          <w:sz w:val="11"/>
          <w:szCs w:val="11"/>
          <w:color w:val="auto"/>
        </w:rPr>
        <w:t>(c)</w:t>
      </w:r>
    </w:p>
    <w:p>
      <w:pPr>
        <w:spacing w:after="0" w:line="20" w:lineRule="exact"/>
        <w:rPr>
          <w:sz w:val="20"/>
          <w:szCs w:val="20"/>
          <w:color w:val="auto"/>
        </w:rPr>
      </w:pPr>
      <w:r>
        <w:rPr>
          <w:sz w:val="20"/>
          <w:szCs w:val="20"/>
          <w:color w:val="auto"/>
        </w:rPr>
        <w:br w:type="column"/>
      </w:r>
    </w:p>
    <w:p>
      <w:pPr>
        <w:spacing w:after="0" w:line="330" w:lineRule="exact"/>
        <w:rPr>
          <w:sz w:val="20"/>
          <w:szCs w:val="20"/>
          <w:color w:val="auto"/>
        </w:rPr>
      </w:pPr>
    </w:p>
    <w:p>
      <w:pPr>
        <w:ind w:right="20"/>
        <w:spacing w:after="0" w:line="262" w:lineRule="auto"/>
        <w:rPr>
          <w:sz w:val="20"/>
          <w:szCs w:val="20"/>
          <w:color w:val="auto"/>
        </w:rPr>
      </w:pPr>
      <w:r>
        <w:rPr>
          <w:rFonts w:ascii="Arial" w:cs="Arial" w:eastAsia="Arial" w:hAnsi="Arial"/>
          <w:sz w:val="18"/>
          <w:szCs w:val="18"/>
          <w:color w:val="auto"/>
        </w:rPr>
        <w:t>Holdings are diversified as follows: 17% United Kingdom, 10% Japan, 8% France, 7% Switzerland, 6% Ireland, 17% emerging markets and the remaining 35% with no concentration greater than 5% in any one country.</w:t>
      </w:r>
    </w:p>
    <w:p>
      <w:pPr>
        <w:spacing w:after="0" w:line="142" w:lineRule="exact"/>
        <w:rPr>
          <w:sz w:val="20"/>
          <w:szCs w:val="20"/>
          <w:color w:val="auto"/>
        </w:rPr>
      </w:pPr>
    </w:p>
    <w:p>
      <w:pPr>
        <w:spacing w:after="0"/>
        <w:rPr>
          <w:sz w:val="20"/>
          <w:szCs w:val="20"/>
          <w:color w:val="auto"/>
        </w:rPr>
      </w:pPr>
      <w:r>
        <w:rPr>
          <w:rFonts w:ascii="Arial" w:cs="Arial" w:eastAsia="Arial" w:hAnsi="Arial"/>
          <w:sz w:val="18"/>
          <w:szCs w:val="18"/>
          <w:color w:val="auto"/>
        </w:rPr>
        <w:t>There are no significant concentrations of holdings by company or industry.</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color w:val="auto"/>
        </w:rPr>
        <w:t>Investment includes mutual funds invested 37% in equity securities of large-cap, mid-cap and small-cap U.S. companies, 38% in U.S.</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treasuries and corporate bonds and 25% in equity securities of international companies.</w:t>
      </w:r>
    </w:p>
    <w:p>
      <w:pPr>
        <w:spacing w:after="0" w:line="200" w:lineRule="exact"/>
        <w:rPr>
          <w:sz w:val="20"/>
          <w:szCs w:val="20"/>
          <w:color w:val="auto"/>
        </w:rPr>
      </w:pPr>
    </w:p>
    <w:p>
      <w:pPr>
        <w:sectPr>
          <w:pgSz w:w="11900" w:h="16838" w:orient="portrait"/>
          <w:cols w:equalWidth="0" w:num="2">
            <w:col w:w="140" w:space="520"/>
            <w:col w:w="10760"/>
          </w:cols>
          <w:pgMar w:left="240" w:top="549" w:right="239" w:bottom="1440" w:gutter="0" w:footer="0" w:header="0"/>
          <w:type w:val="continuous"/>
        </w:sectPr>
      </w:pPr>
    </w:p>
    <w:p>
      <w:pPr>
        <w:spacing w:after="0" w:line="25"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104</w:t>
      </w:r>
    </w:p>
    <w:p>
      <w:pPr>
        <w:sectPr>
          <w:pgSz w:w="11900" w:h="16838" w:orient="portrait"/>
          <w:cols w:equalWidth="0" w:num="1">
            <w:col w:w="11420"/>
          </w:cols>
          <w:pgMar w:left="240" w:top="549" w:right="239" w:bottom="1440" w:gutter="0" w:footer="0" w:header="0"/>
          <w:type w:val="continuous"/>
        </w:sectPr>
      </w:pPr>
    </w:p>
    <w:bookmarkStart w:id="104" w:name="page105"/>
    <w:bookmarkEnd w:id="104"/>
    <w:p>
      <w:pPr>
        <w:jc w:val="center"/>
        <w:spacing w:after="0"/>
        <w:rPr>
          <w:sz w:val="20"/>
          <w:szCs w:val="20"/>
          <w:color w:val="auto"/>
        </w:rPr>
      </w:pPr>
      <w:r>
        <w:rPr>
          <w:rFonts w:ascii="Arial" w:cs="Arial" w:eastAsia="Arial" w:hAnsi="Arial"/>
          <w:sz w:val="18"/>
          <w:szCs w:val="18"/>
          <w:b w:val="1"/>
          <w:bCs w:val="1"/>
          <w:color w:val="auto"/>
        </w:rPr>
        <w:t>NOTES TO CONSOLIDATED FINANCIAL STATEMENTS OF AMERICAN AIRLINES GROUP INC.</w:t>
      </w:r>
    </w:p>
    <w:p>
      <w:pPr>
        <w:spacing w:after="0" w:line="200" w:lineRule="exact"/>
        <w:rPr>
          <w:sz w:val="20"/>
          <w:szCs w:val="20"/>
          <w:color w:val="auto"/>
        </w:rPr>
      </w:pPr>
    </w:p>
    <w:p>
      <w:pPr>
        <w:spacing w:after="0" w:line="209" w:lineRule="exact"/>
        <w:rPr>
          <w:sz w:val="20"/>
          <w:szCs w:val="20"/>
          <w:color w:val="auto"/>
        </w:rPr>
      </w:pPr>
    </w:p>
    <w:p>
      <w:pPr>
        <w:ind w:left="660" w:right="20" w:hanging="652"/>
        <w:spacing w:after="0" w:line="225" w:lineRule="auto"/>
        <w:tabs>
          <w:tab w:leader="none" w:pos="660" w:val="left"/>
        </w:tabs>
        <w:numPr>
          <w:ilvl w:val="0"/>
          <w:numId w:val="44"/>
        </w:numPr>
        <w:rPr>
          <w:rFonts w:ascii="Arial" w:cs="Arial" w:eastAsia="Arial" w:hAnsi="Arial"/>
          <w:sz w:val="22"/>
          <w:szCs w:val="22"/>
          <w:color w:val="auto"/>
          <w:vertAlign w:val="superscript"/>
        </w:rPr>
      </w:pPr>
      <w:r>
        <w:rPr>
          <w:rFonts w:ascii="Arial" w:cs="Arial" w:eastAsia="Arial" w:hAnsi="Arial"/>
          <w:sz w:val="18"/>
          <w:szCs w:val="18"/>
          <w:color w:val="auto"/>
        </w:rPr>
        <w:t>Includes approximately 77% investments in corporate debt with a S&amp;P rating lower than A and 23% investments in corporate debt with a S&amp;P rating A or higher. Holdings include 85% U.S. companies, 12% international companies and 3% emerging market companies.</w:t>
      </w:r>
    </w:p>
    <w:p>
      <w:pPr>
        <w:spacing w:after="0" w:line="163" w:lineRule="exact"/>
        <w:rPr>
          <w:rFonts w:ascii="Arial" w:cs="Arial" w:eastAsia="Arial" w:hAnsi="Arial"/>
          <w:sz w:val="22"/>
          <w:szCs w:val="22"/>
          <w:color w:val="auto"/>
          <w:vertAlign w:val="superscript"/>
        </w:rPr>
      </w:pPr>
    </w:p>
    <w:p>
      <w:pPr>
        <w:ind w:left="660" w:right="20" w:hanging="652"/>
        <w:spacing w:after="0" w:line="225" w:lineRule="auto"/>
        <w:tabs>
          <w:tab w:leader="none" w:pos="660" w:val="left"/>
        </w:tabs>
        <w:numPr>
          <w:ilvl w:val="0"/>
          <w:numId w:val="44"/>
        </w:numPr>
        <w:rPr>
          <w:rFonts w:ascii="Arial" w:cs="Arial" w:eastAsia="Arial" w:hAnsi="Arial"/>
          <w:sz w:val="22"/>
          <w:szCs w:val="22"/>
          <w:color w:val="auto"/>
          <w:vertAlign w:val="superscript"/>
        </w:rPr>
      </w:pPr>
      <w:r>
        <w:rPr>
          <w:rFonts w:ascii="Arial" w:cs="Arial" w:eastAsia="Arial" w:hAnsi="Arial"/>
          <w:sz w:val="18"/>
          <w:szCs w:val="18"/>
          <w:color w:val="auto"/>
        </w:rPr>
        <w:t>Includes approximately 32% investments in U.S. domestic government securities, 37% in emerging market government securities and 31% in international government securities. There are no significant foreign currency risks within this classification.</w:t>
      </w:r>
    </w:p>
    <w:p>
      <w:pPr>
        <w:spacing w:after="0" w:line="163" w:lineRule="exact"/>
        <w:rPr>
          <w:rFonts w:ascii="Arial" w:cs="Arial" w:eastAsia="Arial" w:hAnsi="Arial"/>
          <w:sz w:val="22"/>
          <w:szCs w:val="22"/>
          <w:color w:val="auto"/>
          <w:vertAlign w:val="superscript"/>
        </w:rPr>
      </w:pPr>
    </w:p>
    <w:p>
      <w:pPr>
        <w:jc w:val="both"/>
        <w:ind w:left="660" w:hanging="652"/>
        <w:spacing w:after="0"/>
        <w:tabs>
          <w:tab w:leader="none" w:pos="660" w:val="left"/>
        </w:tabs>
        <w:numPr>
          <w:ilvl w:val="0"/>
          <w:numId w:val="44"/>
        </w:numPr>
        <w:rPr>
          <w:rFonts w:ascii="Arial" w:cs="Arial" w:eastAsia="Arial" w:hAnsi="Arial"/>
          <w:sz w:val="22"/>
          <w:szCs w:val="22"/>
          <w:color w:val="auto"/>
          <w:vertAlign w:val="superscript"/>
        </w:rPr>
      </w:pPr>
      <w:r>
        <w:rPr>
          <w:rFonts w:ascii="Arial" w:cs="Arial" w:eastAsia="Arial" w:hAnsi="Arial"/>
          <w:sz w:val="18"/>
          <w:szCs w:val="18"/>
          <w:color w:val="auto"/>
        </w:rPr>
        <w:t>Includes limited partnerships that invest primarily in U.S. (94%) and European (6%) buyout opportunities of a range of privately held companies. The pension plan’s master trust does not have the right to redeem its limited partnership investment at its net asset value, but rather receives distributions as the underlying assets are liquidated. It is estimated that the underlying assets of these funds will be gradually liquidated over the next one to ten years. Additionally, the pension plan’s master trust has future funding commitments of approximately $1.0 billion over the next ten years.</w:t>
      </w:r>
    </w:p>
    <w:p>
      <w:pPr>
        <w:spacing w:after="0" w:line="161" w:lineRule="exact"/>
        <w:rPr>
          <w:rFonts w:ascii="Arial" w:cs="Arial" w:eastAsia="Arial" w:hAnsi="Arial"/>
          <w:sz w:val="22"/>
          <w:szCs w:val="22"/>
          <w:color w:val="auto"/>
          <w:vertAlign w:val="superscript"/>
        </w:rPr>
      </w:pPr>
    </w:p>
    <w:p>
      <w:pPr>
        <w:jc w:val="both"/>
        <w:ind w:left="660" w:hanging="652"/>
        <w:spacing w:after="0" w:line="233" w:lineRule="auto"/>
        <w:tabs>
          <w:tab w:leader="none" w:pos="660" w:val="left"/>
        </w:tabs>
        <w:numPr>
          <w:ilvl w:val="0"/>
          <w:numId w:val="44"/>
        </w:numPr>
        <w:rPr>
          <w:rFonts w:ascii="Arial" w:cs="Arial" w:eastAsia="Arial" w:hAnsi="Arial"/>
          <w:sz w:val="22"/>
          <w:szCs w:val="22"/>
          <w:color w:val="auto"/>
          <w:vertAlign w:val="superscript"/>
        </w:rPr>
      </w:pPr>
      <w:r>
        <w:rPr>
          <w:rFonts w:ascii="Arial" w:cs="Arial" w:eastAsia="Arial" w:hAnsi="Arial"/>
          <w:sz w:val="18"/>
          <w:szCs w:val="18"/>
          <w:color w:val="auto"/>
        </w:rPr>
        <w:t>Certain investments that are measured using net asset value per share (or its equivalent) as a practical expedient for fair value have not been classified in the fair value hierarchy. The fair value amounts presented in this table are intended to permit reconciliation of the fair value hierarchy to the amounts presented in the notes to the consolidated financial statements.</w:t>
      </w:r>
    </w:p>
    <w:p>
      <w:pPr>
        <w:spacing w:after="0" w:line="162" w:lineRule="exact"/>
        <w:rPr>
          <w:rFonts w:ascii="Arial" w:cs="Arial" w:eastAsia="Arial" w:hAnsi="Arial"/>
          <w:sz w:val="22"/>
          <w:szCs w:val="22"/>
          <w:color w:val="auto"/>
          <w:vertAlign w:val="superscript"/>
        </w:rPr>
      </w:pPr>
    </w:p>
    <w:p>
      <w:pPr>
        <w:jc w:val="both"/>
        <w:ind w:left="660" w:hanging="652"/>
        <w:spacing w:after="0"/>
        <w:tabs>
          <w:tab w:leader="none" w:pos="660" w:val="left"/>
        </w:tabs>
        <w:numPr>
          <w:ilvl w:val="0"/>
          <w:numId w:val="44"/>
        </w:numPr>
        <w:rPr>
          <w:rFonts w:ascii="Arial" w:cs="Arial" w:eastAsia="Arial" w:hAnsi="Arial"/>
          <w:sz w:val="22"/>
          <w:szCs w:val="22"/>
          <w:color w:val="auto"/>
          <w:vertAlign w:val="superscript"/>
        </w:rPr>
      </w:pPr>
      <w:r>
        <w:rPr>
          <w:rFonts w:ascii="Arial" w:cs="Arial" w:eastAsia="Arial" w:hAnsi="Arial"/>
          <w:sz w:val="18"/>
          <w:szCs w:val="18"/>
          <w:color w:val="auto"/>
        </w:rPr>
        <w:t>Investment includes 45% in an emerging market 103-12 Investment Trust with investments in emerging country equity securities, 37% in a collective interest trust investing primarily in short-term securities, 12% in Canadian segregated balanced value, income growth and diversified pooled funds and 6% in a common/collective trust investing in securities of smaller companies located outside the U.S., including developing markets. For some trusts, requests for withdrawals must meet specific requirements with advance notice of redemption preferred.</w:t>
      </w:r>
    </w:p>
    <w:p>
      <w:pPr>
        <w:spacing w:after="0" w:line="162" w:lineRule="exact"/>
        <w:rPr>
          <w:sz w:val="20"/>
          <w:szCs w:val="20"/>
          <w:color w:val="auto"/>
        </w:rPr>
      </w:pPr>
    </w:p>
    <w:p>
      <w:pPr>
        <w:ind w:left="220"/>
        <w:spacing w:after="0"/>
        <w:rPr>
          <w:sz w:val="20"/>
          <w:szCs w:val="20"/>
          <w:color w:val="auto"/>
        </w:rPr>
      </w:pPr>
      <w:r>
        <w:rPr>
          <w:rFonts w:ascii="Arial" w:cs="Arial" w:eastAsia="Arial" w:hAnsi="Arial"/>
          <w:sz w:val="18"/>
          <w:szCs w:val="18"/>
          <w:color w:val="auto"/>
        </w:rPr>
        <w:t>Changes in fair value measurements of Level 3 investments during the year ended December 31, 2019, were as follows (in millions):</w:t>
      </w:r>
    </w:p>
    <w:p>
      <w:pPr>
        <w:spacing w:after="0" w:line="321"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7640" w:type="dxa"/>
            <w:vAlign w:val="bottom"/>
          </w:tcPr>
          <w:p>
            <w:pPr>
              <w:spacing w:after="0"/>
              <w:rPr>
                <w:sz w:val="14"/>
                <w:szCs w:val="14"/>
                <w:color w:val="auto"/>
              </w:rPr>
            </w:pPr>
          </w:p>
        </w:tc>
        <w:tc>
          <w:tcPr>
            <w:tcW w:w="1460" w:type="dxa"/>
            <w:vAlign w:val="bottom"/>
          </w:tcPr>
          <w:p>
            <w:pPr>
              <w:jc w:val="right"/>
              <w:spacing w:after="0"/>
              <w:rPr>
                <w:sz w:val="20"/>
                <w:szCs w:val="20"/>
                <w:color w:val="auto"/>
              </w:rPr>
            </w:pPr>
            <w:r>
              <w:rPr>
                <w:rFonts w:ascii="Arial" w:cs="Arial" w:eastAsia="Arial" w:hAnsi="Arial"/>
                <w:sz w:val="14"/>
                <w:szCs w:val="14"/>
                <w:b w:val="1"/>
                <w:bCs w:val="1"/>
                <w:color w:val="auto"/>
              </w:rPr>
              <w:t>Private Market</w:t>
            </w:r>
          </w:p>
        </w:tc>
        <w:tc>
          <w:tcPr>
            <w:tcW w:w="3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620" w:type="dxa"/>
            <w:vAlign w:val="bottom"/>
          </w:tcPr>
          <w:p>
            <w:pPr>
              <w:jc w:val="right"/>
              <w:ind w:right="257"/>
              <w:spacing w:after="0"/>
              <w:rPr>
                <w:sz w:val="20"/>
                <w:szCs w:val="20"/>
                <w:color w:val="auto"/>
              </w:rPr>
            </w:pPr>
            <w:r>
              <w:rPr>
                <w:rFonts w:ascii="Arial" w:cs="Arial" w:eastAsia="Arial" w:hAnsi="Arial"/>
                <w:sz w:val="14"/>
                <w:szCs w:val="14"/>
                <w:b w:val="1"/>
                <w:bCs w:val="1"/>
                <w:color w:val="auto"/>
              </w:rPr>
              <w:t>Insurance Group</w:t>
            </w:r>
          </w:p>
        </w:tc>
      </w:tr>
      <w:tr>
        <w:trPr>
          <w:trHeight w:val="196"/>
        </w:trPr>
        <w:tc>
          <w:tcPr>
            <w:tcW w:w="7640" w:type="dxa"/>
            <w:vAlign w:val="bottom"/>
            <w:tcBorders>
              <w:bottom w:val="single" w:sz="8" w:color="CCEEFF"/>
            </w:tcBorders>
          </w:tcPr>
          <w:p>
            <w:pPr>
              <w:spacing w:after="0"/>
              <w:rPr>
                <w:sz w:val="17"/>
                <w:szCs w:val="17"/>
                <w:color w:val="auto"/>
              </w:rPr>
            </w:pPr>
          </w:p>
        </w:tc>
        <w:tc>
          <w:tcPr>
            <w:tcW w:w="1460" w:type="dxa"/>
            <w:vAlign w:val="bottom"/>
            <w:tcBorders>
              <w:bottom w:val="single" w:sz="8" w:color="auto"/>
            </w:tcBorders>
          </w:tcPr>
          <w:p>
            <w:pPr>
              <w:jc w:val="right"/>
              <w:ind w:right="19"/>
              <w:spacing w:after="0"/>
              <w:rPr>
                <w:sz w:val="20"/>
                <w:szCs w:val="20"/>
                <w:color w:val="auto"/>
              </w:rPr>
            </w:pPr>
            <w:r>
              <w:rPr>
                <w:rFonts w:ascii="Arial" w:cs="Arial" w:eastAsia="Arial" w:hAnsi="Arial"/>
                <w:sz w:val="14"/>
                <w:szCs w:val="14"/>
                <w:b w:val="1"/>
                <w:bCs w:val="1"/>
                <w:color w:val="auto"/>
              </w:rPr>
              <w:t>Partnerships</w:t>
            </w:r>
          </w:p>
        </w:tc>
        <w:tc>
          <w:tcPr>
            <w:tcW w:w="380" w:type="dxa"/>
            <w:vAlign w:val="bottom"/>
            <w:tcBorders>
              <w:bottom w:val="single" w:sz="8" w:color="auto"/>
            </w:tcBorders>
          </w:tcPr>
          <w:p>
            <w:pPr>
              <w:spacing w:after="0"/>
              <w:rPr>
                <w:sz w:val="17"/>
                <w:szCs w:val="17"/>
                <w:color w:val="auto"/>
              </w:rPr>
            </w:pPr>
          </w:p>
        </w:tc>
        <w:tc>
          <w:tcPr>
            <w:tcW w:w="100" w:type="dxa"/>
            <w:vAlign w:val="bottom"/>
            <w:tcBorders>
              <w:bottom w:val="single" w:sz="8" w:color="CCEEFF"/>
            </w:tcBorders>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1620" w:type="dxa"/>
            <w:vAlign w:val="bottom"/>
            <w:tcBorders>
              <w:bottom w:val="single" w:sz="8" w:color="auto"/>
            </w:tcBorders>
          </w:tcPr>
          <w:p>
            <w:pPr>
              <w:jc w:val="right"/>
              <w:ind w:right="217"/>
              <w:spacing w:after="0"/>
              <w:rPr>
                <w:sz w:val="20"/>
                <w:szCs w:val="20"/>
                <w:color w:val="auto"/>
              </w:rPr>
            </w:pPr>
            <w:r>
              <w:rPr>
                <w:rFonts w:ascii="Arial" w:cs="Arial" w:eastAsia="Arial" w:hAnsi="Arial"/>
                <w:sz w:val="14"/>
                <w:szCs w:val="14"/>
                <w:b w:val="1"/>
                <w:bCs w:val="1"/>
                <w:color w:val="auto"/>
              </w:rPr>
              <w:t>Annuity Contracts</w:t>
            </w:r>
          </w:p>
        </w:tc>
      </w:tr>
      <w:tr>
        <w:trPr>
          <w:trHeight w:val="256"/>
        </w:trPr>
        <w:tc>
          <w:tcPr>
            <w:tcW w:w="7640" w:type="dxa"/>
            <w:vAlign w:val="bottom"/>
            <w:shd w:val="clear" w:color="auto" w:fill="CCEEFF"/>
          </w:tcPr>
          <w:p>
            <w:pPr>
              <w:ind w:left="40"/>
              <w:spacing w:after="0"/>
              <w:rPr>
                <w:sz w:val="20"/>
                <w:szCs w:val="20"/>
                <w:color w:val="auto"/>
              </w:rPr>
            </w:pPr>
            <w:r>
              <w:rPr>
                <w:rFonts w:ascii="Arial" w:cs="Arial" w:eastAsia="Arial" w:hAnsi="Arial"/>
                <w:sz w:val="18"/>
                <w:szCs w:val="18"/>
                <w:color w:val="auto"/>
              </w:rPr>
              <w:t>Beginning balance at December 31, 2018</w:t>
            </w:r>
          </w:p>
        </w:tc>
        <w:tc>
          <w:tcPr>
            <w:tcW w:w="1460" w:type="dxa"/>
            <w:vAlign w:val="bottom"/>
            <w:shd w:val="clear" w:color="auto" w:fill="CCEEFF"/>
          </w:tcPr>
          <w:p>
            <w:pPr>
              <w:jc w:val="right"/>
              <w:ind w:right="1259"/>
              <w:spacing w:after="0"/>
              <w:rPr>
                <w:sz w:val="20"/>
                <w:szCs w:val="20"/>
                <w:color w:val="auto"/>
              </w:rPr>
            </w:pPr>
            <w:r>
              <w:rPr>
                <w:rFonts w:ascii="Arial" w:cs="Arial" w:eastAsia="Arial" w:hAnsi="Arial"/>
                <w:sz w:val="18"/>
                <w:szCs w:val="18"/>
                <w:color w:val="auto"/>
                <w:w w:val="99"/>
              </w:rPr>
              <w:t>$</w:t>
            </w:r>
          </w:p>
        </w:tc>
        <w:tc>
          <w:tcPr>
            <w:tcW w:w="38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7</w:t>
            </w:r>
          </w:p>
        </w:tc>
        <w:tc>
          <w:tcPr>
            <w:tcW w:w="100" w:type="dxa"/>
            <w:vAlign w:val="bottom"/>
            <w:shd w:val="clear" w:color="auto" w:fill="CCEEFF"/>
          </w:tcPr>
          <w:p>
            <w:pPr>
              <w:spacing w:after="0"/>
              <w:rPr>
                <w:sz w:val="22"/>
                <w:szCs w:val="22"/>
                <w:color w:val="auto"/>
              </w:rPr>
            </w:pPr>
          </w:p>
        </w:tc>
        <w:tc>
          <w:tcPr>
            <w:tcW w:w="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620" w:type="dxa"/>
            <w:vAlign w:val="bottom"/>
            <w:shd w:val="clear" w:color="auto" w:fill="CCEEFF"/>
          </w:tcPr>
          <w:p>
            <w:pPr>
              <w:jc w:val="right"/>
              <w:ind w:right="17"/>
              <w:spacing w:after="0"/>
              <w:rPr>
                <w:sz w:val="20"/>
                <w:szCs w:val="20"/>
                <w:color w:val="auto"/>
              </w:rPr>
            </w:pPr>
            <w:r>
              <w:rPr>
                <w:rFonts w:ascii="Arial" w:cs="Arial" w:eastAsia="Arial" w:hAnsi="Arial"/>
                <w:sz w:val="18"/>
                <w:szCs w:val="18"/>
                <w:color w:val="auto"/>
              </w:rPr>
              <w:t>2</w:t>
            </w:r>
          </w:p>
        </w:tc>
      </w:tr>
      <w:tr>
        <w:trPr>
          <w:trHeight w:val="264"/>
        </w:trPr>
        <w:tc>
          <w:tcPr>
            <w:tcW w:w="7640" w:type="dxa"/>
            <w:vAlign w:val="bottom"/>
            <w:tcBorders>
              <w:bottom w:val="single" w:sz="8" w:color="CCEEFF"/>
            </w:tcBorders>
          </w:tcPr>
          <w:p>
            <w:pPr>
              <w:ind w:left="40"/>
              <w:spacing w:after="0"/>
              <w:rPr>
                <w:sz w:val="20"/>
                <w:szCs w:val="20"/>
                <w:color w:val="auto"/>
              </w:rPr>
            </w:pPr>
            <w:r>
              <w:rPr>
                <w:rFonts w:ascii="Arial" w:cs="Arial" w:eastAsia="Arial" w:hAnsi="Arial"/>
                <w:sz w:val="18"/>
                <w:szCs w:val="18"/>
                <w:color w:val="auto"/>
              </w:rPr>
              <w:t>Purchases</w:t>
            </w:r>
          </w:p>
        </w:tc>
        <w:tc>
          <w:tcPr>
            <w:tcW w:w="1460" w:type="dxa"/>
            <w:vAlign w:val="bottom"/>
            <w:tcBorders>
              <w:bottom w:val="single" w:sz="8" w:color="auto"/>
            </w:tcBorders>
          </w:tcPr>
          <w:p>
            <w:pPr>
              <w:spacing w:after="0"/>
              <w:rPr>
                <w:sz w:val="22"/>
                <w:szCs w:val="22"/>
                <w:color w:val="auto"/>
              </w:rPr>
            </w:pPr>
          </w:p>
        </w:tc>
        <w:tc>
          <w:tcPr>
            <w:tcW w:w="38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3</w:t>
            </w:r>
          </w:p>
        </w:tc>
        <w:tc>
          <w:tcPr>
            <w:tcW w:w="100" w:type="dxa"/>
            <w:vAlign w:val="bottom"/>
            <w:tcBorders>
              <w:bottom w:val="single" w:sz="8" w:color="CCEEFF"/>
            </w:tcBorders>
          </w:tcPr>
          <w:p>
            <w:pPr>
              <w:spacing w:after="0"/>
              <w:rPr>
                <w:sz w:val="22"/>
                <w:szCs w:val="22"/>
                <w:color w:val="auto"/>
              </w:rPr>
            </w:pPr>
          </w:p>
        </w:tc>
        <w:tc>
          <w:tcPr>
            <w:tcW w:w="220" w:type="dxa"/>
            <w:vAlign w:val="bottom"/>
            <w:tcBorders>
              <w:bottom w:val="single" w:sz="8" w:color="auto"/>
            </w:tcBorders>
          </w:tcPr>
          <w:p>
            <w:pPr>
              <w:spacing w:after="0"/>
              <w:rPr>
                <w:sz w:val="22"/>
                <w:szCs w:val="22"/>
                <w:color w:val="auto"/>
              </w:rPr>
            </w:pPr>
          </w:p>
        </w:tc>
        <w:tc>
          <w:tcPr>
            <w:tcW w:w="1620" w:type="dxa"/>
            <w:vAlign w:val="bottom"/>
            <w:tcBorders>
              <w:bottom w:val="single" w:sz="8" w:color="auto"/>
            </w:tcBorders>
          </w:tcPr>
          <w:p>
            <w:pPr>
              <w:jc w:val="right"/>
              <w:ind w:right="17"/>
              <w:spacing w:after="0"/>
              <w:rPr>
                <w:sz w:val="20"/>
                <w:szCs w:val="20"/>
                <w:color w:val="auto"/>
              </w:rPr>
            </w:pPr>
            <w:r>
              <w:rPr>
                <w:rFonts w:ascii="Arial" w:cs="Arial" w:eastAsia="Arial" w:hAnsi="Arial"/>
                <w:sz w:val="18"/>
                <w:szCs w:val="18"/>
                <w:color w:val="auto"/>
              </w:rPr>
              <w:t>—</w:t>
            </w:r>
          </w:p>
        </w:tc>
      </w:tr>
      <w:tr>
        <w:trPr>
          <w:trHeight w:val="250"/>
        </w:trPr>
        <w:tc>
          <w:tcPr>
            <w:tcW w:w="76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Ending balance at December 31, 2019</w:t>
            </w:r>
          </w:p>
        </w:tc>
        <w:tc>
          <w:tcPr>
            <w:tcW w:w="1460" w:type="dxa"/>
            <w:vAlign w:val="bottom"/>
            <w:tcBorders>
              <w:bottom w:val="single" w:sz="8" w:color="auto"/>
            </w:tcBorders>
            <w:shd w:val="clear" w:color="auto" w:fill="CCEEFF"/>
          </w:tcPr>
          <w:p>
            <w:pPr>
              <w:jc w:val="right"/>
              <w:ind w:right="1259"/>
              <w:spacing w:after="0"/>
              <w:rPr>
                <w:sz w:val="20"/>
                <w:szCs w:val="20"/>
                <w:color w:val="auto"/>
              </w:rPr>
            </w:pPr>
            <w:r>
              <w:rPr>
                <w:rFonts w:ascii="Arial" w:cs="Arial" w:eastAsia="Arial" w:hAnsi="Arial"/>
                <w:sz w:val="18"/>
                <w:szCs w:val="18"/>
                <w:color w:val="auto"/>
                <w:w w:val="99"/>
              </w:rPr>
              <w:t>$</w:t>
            </w:r>
          </w:p>
        </w:tc>
        <w:tc>
          <w:tcPr>
            <w:tcW w:w="38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10</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620" w:type="dxa"/>
            <w:vAlign w:val="bottom"/>
            <w:tcBorders>
              <w:bottom w:val="single" w:sz="8" w:color="auto"/>
            </w:tcBorders>
            <w:shd w:val="clear" w:color="auto" w:fill="CCEEFF"/>
          </w:tcPr>
          <w:p>
            <w:pPr>
              <w:jc w:val="right"/>
              <w:ind w:right="17"/>
              <w:spacing w:after="0"/>
              <w:rPr>
                <w:sz w:val="20"/>
                <w:szCs w:val="20"/>
                <w:color w:val="auto"/>
              </w:rPr>
            </w:pPr>
            <w:r>
              <w:rPr>
                <w:rFonts w:ascii="Arial" w:cs="Arial" w:eastAsia="Arial" w:hAnsi="Arial"/>
                <w:sz w:val="18"/>
                <w:szCs w:val="18"/>
                <w:color w:val="auto"/>
              </w:rPr>
              <w:t>2</w:t>
            </w:r>
          </w:p>
        </w:tc>
      </w:tr>
      <w:tr>
        <w:trPr>
          <w:trHeight w:val="20"/>
        </w:trPr>
        <w:tc>
          <w:tcPr>
            <w:tcW w:w="7640" w:type="dxa"/>
            <w:vAlign w:val="bottom"/>
          </w:tcPr>
          <w:p>
            <w:pPr>
              <w:spacing w:after="0" w:line="20" w:lineRule="exact"/>
              <w:rPr>
                <w:sz w:val="1"/>
                <w:szCs w:val="1"/>
                <w:color w:val="auto"/>
              </w:rPr>
            </w:pPr>
          </w:p>
        </w:tc>
        <w:tc>
          <w:tcPr>
            <w:tcW w:w="1460" w:type="dxa"/>
            <w:vAlign w:val="bottom"/>
            <w:tcBorders>
              <w:bottom w:val="single" w:sz="8" w:color="auto"/>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620" w:type="dxa"/>
            <w:vAlign w:val="bottom"/>
            <w:tcBorders>
              <w:bottom w:val="single" w:sz="8" w:color="auto"/>
            </w:tcBorders>
          </w:tcPr>
          <w:p>
            <w:pPr>
              <w:spacing w:after="0" w:line="20" w:lineRule="exact"/>
              <w:rPr>
                <w:sz w:val="1"/>
                <w:szCs w:val="1"/>
                <w:color w:val="auto"/>
              </w:rPr>
            </w:pPr>
          </w:p>
        </w:tc>
      </w:tr>
    </w:tbl>
    <w:p>
      <w:pPr>
        <w:spacing w:after="0" w:line="161" w:lineRule="exact"/>
        <w:rPr>
          <w:sz w:val="20"/>
          <w:szCs w:val="20"/>
          <w:color w:val="auto"/>
        </w:rPr>
      </w:pPr>
    </w:p>
    <w:p>
      <w:pPr>
        <w:ind w:left="220"/>
        <w:spacing w:after="0"/>
        <w:rPr>
          <w:sz w:val="20"/>
          <w:szCs w:val="20"/>
          <w:color w:val="auto"/>
        </w:rPr>
      </w:pPr>
      <w:r>
        <w:rPr>
          <w:rFonts w:ascii="Arial" w:cs="Arial" w:eastAsia="Arial" w:hAnsi="Arial"/>
          <w:sz w:val="18"/>
          <w:szCs w:val="18"/>
          <w:color w:val="auto"/>
        </w:rPr>
        <w:t>Changes in fair value measurements of Level 3 investments during the year ended December 31, 2018, were as follows (in millions):</w:t>
      </w:r>
    </w:p>
    <w:p>
      <w:pPr>
        <w:spacing w:after="0" w:line="321"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4820" w:type="dxa"/>
            <w:vAlign w:val="bottom"/>
          </w:tcPr>
          <w:p>
            <w:pPr>
              <w:spacing w:after="0"/>
              <w:rPr>
                <w:sz w:val="14"/>
                <w:szCs w:val="14"/>
                <w:color w:val="auto"/>
              </w:rPr>
            </w:pPr>
          </w:p>
        </w:tc>
        <w:tc>
          <w:tcPr>
            <w:tcW w:w="2820" w:type="dxa"/>
            <w:vAlign w:val="bottom"/>
          </w:tcPr>
          <w:p>
            <w:pPr>
              <w:spacing w:after="0"/>
              <w:rPr>
                <w:sz w:val="14"/>
                <w:szCs w:val="14"/>
                <w:color w:val="auto"/>
              </w:rPr>
            </w:pPr>
          </w:p>
        </w:tc>
        <w:tc>
          <w:tcPr>
            <w:tcW w:w="1460" w:type="dxa"/>
            <w:vAlign w:val="bottom"/>
          </w:tcPr>
          <w:p>
            <w:pPr>
              <w:jc w:val="right"/>
              <w:spacing w:after="0"/>
              <w:rPr>
                <w:sz w:val="20"/>
                <w:szCs w:val="20"/>
                <w:color w:val="auto"/>
              </w:rPr>
            </w:pPr>
            <w:r>
              <w:rPr>
                <w:rFonts w:ascii="Arial" w:cs="Arial" w:eastAsia="Arial" w:hAnsi="Arial"/>
                <w:sz w:val="14"/>
                <w:szCs w:val="14"/>
                <w:b w:val="1"/>
                <w:bCs w:val="1"/>
                <w:color w:val="auto"/>
              </w:rPr>
              <w:t>Private Market</w:t>
            </w:r>
          </w:p>
        </w:tc>
        <w:tc>
          <w:tcPr>
            <w:tcW w:w="3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620" w:type="dxa"/>
            <w:vAlign w:val="bottom"/>
          </w:tcPr>
          <w:p>
            <w:pPr>
              <w:jc w:val="right"/>
              <w:ind w:right="255"/>
              <w:spacing w:after="0"/>
              <w:rPr>
                <w:sz w:val="20"/>
                <w:szCs w:val="20"/>
                <w:color w:val="auto"/>
              </w:rPr>
            </w:pPr>
            <w:r>
              <w:rPr>
                <w:rFonts w:ascii="Arial" w:cs="Arial" w:eastAsia="Arial" w:hAnsi="Arial"/>
                <w:sz w:val="14"/>
                <w:szCs w:val="14"/>
                <w:b w:val="1"/>
                <w:bCs w:val="1"/>
                <w:color w:val="auto"/>
              </w:rPr>
              <w:t>Insurance Group</w:t>
            </w:r>
          </w:p>
        </w:tc>
        <w:tc>
          <w:tcPr>
            <w:tcW w:w="0" w:type="dxa"/>
            <w:vAlign w:val="bottom"/>
          </w:tcPr>
          <w:p>
            <w:pPr>
              <w:spacing w:after="0"/>
              <w:rPr>
                <w:sz w:val="1"/>
                <w:szCs w:val="1"/>
                <w:color w:val="auto"/>
              </w:rPr>
            </w:pPr>
          </w:p>
        </w:tc>
      </w:tr>
      <w:tr>
        <w:trPr>
          <w:trHeight w:val="196"/>
        </w:trPr>
        <w:tc>
          <w:tcPr>
            <w:tcW w:w="4820" w:type="dxa"/>
            <w:vAlign w:val="bottom"/>
            <w:tcBorders>
              <w:bottom w:val="single" w:sz="8" w:color="CCEEFF"/>
            </w:tcBorders>
          </w:tcPr>
          <w:p>
            <w:pPr>
              <w:spacing w:after="0"/>
              <w:rPr>
                <w:sz w:val="17"/>
                <w:szCs w:val="17"/>
                <w:color w:val="auto"/>
              </w:rPr>
            </w:pPr>
          </w:p>
        </w:tc>
        <w:tc>
          <w:tcPr>
            <w:tcW w:w="2820" w:type="dxa"/>
            <w:vAlign w:val="bottom"/>
            <w:tcBorders>
              <w:bottom w:val="single" w:sz="8" w:color="CCEEFF"/>
            </w:tcBorders>
          </w:tcPr>
          <w:p>
            <w:pPr>
              <w:spacing w:after="0"/>
              <w:rPr>
                <w:sz w:val="17"/>
                <w:szCs w:val="17"/>
                <w:color w:val="auto"/>
              </w:rPr>
            </w:pPr>
          </w:p>
        </w:tc>
        <w:tc>
          <w:tcPr>
            <w:tcW w:w="146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b w:val="1"/>
                <w:bCs w:val="1"/>
                <w:color w:val="auto"/>
              </w:rPr>
              <w:t>Partnerships</w:t>
            </w:r>
          </w:p>
        </w:tc>
        <w:tc>
          <w:tcPr>
            <w:tcW w:w="380" w:type="dxa"/>
            <w:vAlign w:val="bottom"/>
            <w:tcBorders>
              <w:bottom w:val="single" w:sz="8" w:color="auto"/>
            </w:tcBorders>
          </w:tcPr>
          <w:p>
            <w:pPr>
              <w:spacing w:after="0"/>
              <w:rPr>
                <w:sz w:val="17"/>
                <w:szCs w:val="17"/>
                <w:color w:val="auto"/>
              </w:rPr>
            </w:pPr>
          </w:p>
        </w:tc>
        <w:tc>
          <w:tcPr>
            <w:tcW w:w="100" w:type="dxa"/>
            <w:vAlign w:val="bottom"/>
            <w:tcBorders>
              <w:bottom w:val="single" w:sz="8" w:color="CCEEFF"/>
            </w:tcBorders>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1620" w:type="dxa"/>
            <w:vAlign w:val="bottom"/>
            <w:tcBorders>
              <w:bottom w:val="single" w:sz="8" w:color="auto"/>
            </w:tcBorders>
          </w:tcPr>
          <w:p>
            <w:pPr>
              <w:jc w:val="right"/>
              <w:ind w:right="215"/>
              <w:spacing w:after="0"/>
              <w:rPr>
                <w:sz w:val="20"/>
                <w:szCs w:val="20"/>
                <w:color w:val="auto"/>
              </w:rPr>
            </w:pPr>
            <w:r>
              <w:rPr>
                <w:rFonts w:ascii="Arial" w:cs="Arial" w:eastAsia="Arial" w:hAnsi="Arial"/>
                <w:sz w:val="14"/>
                <w:szCs w:val="14"/>
                <w:b w:val="1"/>
                <w:bCs w:val="1"/>
                <w:color w:val="auto"/>
              </w:rPr>
              <w:t>Annuity Contracts</w:t>
            </w:r>
          </w:p>
        </w:tc>
        <w:tc>
          <w:tcPr>
            <w:tcW w:w="0" w:type="dxa"/>
            <w:vAlign w:val="bottom"/>
          </w:tcPr>
          <w:p>
            <w:pPr>
              <w:spacing w:after="0"/>
              <w:rPr>
                <w:sz w:val="1"/>
                <w:szCs w:val="1"/>
                <w:color w:val="auto"/>
              </w:rPr>
            </w:pPr>
          </w:p>
        </w:tc>
      </w:tr>
      <w:tr>
        <w:trPr>
          <w:trHeight w:val="256"/>
        </w:trPr>
        <w:tc>
          <w:tcPr>
            <w:tcW w:w="4820" w:type="dxa"/>
            <w:vAlign w:val="bottom"/>
            <w:shd w:val="clear" w:color="auto" w:fill="CCEEFF"/>
          </w:tcPr>
          <w:p>
            <w:pPr>
              <w:ind w:left="40"/>
              <w:spacing w:after="0"/>
              <w:rPr>
                <w:sz w:val="20"/>
                <w:szCs w:val="20"/>
                <w:color w:val="auto"/>
              </w:rPr>
            </w:pPr>
            <w:r>
              <w:rPr>
                <w:rFonts w:ascii="Arial" w:cs="Arial" w:eastAsia="Arial" w:hAnsi="Arial"/>
                <w:sz w:val="18"/>
                <w:szCs w:val="18"/>
                <w:color w:val="auto"/>
              </w:rPr>
              <w:t>Beginning balance at December 31, 2017</w:t>
            </w:r>
          </w:p>
        </w:tc>
        <w:tc>
          <w:tcPr>
            <w:tcW w:w="4280" w:type="dxa"/>
            <w:vAlign w:val="bottom"/>
            <w:gridSpan w:val="2"/>
            <w:shd w:val="clear" w:color="auto" w:fill="CCEEFF"/>
          </w:tcPr>
          <w:p>
            <w:pPr>
              <w:jc w:val="right"/>
              <w:ind w:right="1268"/>
              <w:spacing w:after="0"/>
              <w:rPr>
                <w:sz w:val="20"/>
                <w:szCs w:val="20"/>
                <w:color w:val="auto"/>
              </w:rPr>
            </w:pPr>
            <w:r>
              <w:rPr>
                <w:rFonts w:ascii="Arial" w:cs="Arial" w:eastAsia="Arial" w:hAnsi="Arial"/>
                <w:sz w:val="18"/>
                <w:szCs w:val="18"/>
                <w:color w:val="auto"/>
              </w:rPr>
              <w:t>$</w:t>
            </w:r>
          </w:p>
        </w:tc>
        <w:tc>
          <w:tcPr>
            <w:tcW w:w="38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14</w:t>
            </w:r>
          </w:p>
        </w:tc>
        <w:tc>
          <w:tcPr>
            <w:tcW w:w="100" w:type="dxa"/>
            <w:vAlign w:val="bottom"/>
            <w:shd w:val="clear" w:color="auto" w:fill="CCEEFF"/>
          </w:tcPr>
          <w:p>
            <w:pPr>
              <w:spacing w:after="0"/>
              <w:rPr>
                <w:sz w:val="22"/>
                <w:szCs w:val="22"/>
                <w:color w:val="auto"/>
              </w:rPr>
            </w:pPr>
          </w:p>
        </w:tc>
        <w:tc>
          <w:tcPr>
            <w:tcW w:w="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620" w:type="dxa"/>
            <w:vAlign w:val="bottom"/>
            <w:shd w:val="clear" w:color="auto" w:fill="CCEEFF"/>
          </w:tcPr>
          <w:p>
            <w:pPr>
              <w:jc w:val="right"/>
              <w:ind w:right="15"/>
              <w:spacing w:after="0"/>
              <w:rPr>
                <w:sz w:val="20"/>
                <w:szCs w:val="20"/>
                <w:color w:val="auto"/>
              </w:rPr>
            </w:pPr>
            <w:r>
              <w:rPr>
                <w:rFonts w:ascii="Arial" w:cs="Arial" w:eastAsia="Arial" w:hAnsi="Arial"/>
                <w:sz w:val="18"/>
                <w:szCs w:val="18"/>
                <w:color w:val="auto"/>
              </w:rPr>
              <w:t>2</w:t>
            </w:r>
          </w:p>
        </w:tc>
        <w:tc>
          <w:tcPr>
            <w:tcW w:w="0" w:type="dxa"/>
            <w:vAlign w:val="bottom"/>
          </w:tcPr>
          <w:p>
            <w:pPr>
              <w:spacing w:after="0"/>
              <w:rPr>
                <w:sz w:val="1"/>
                <w:szCs w:val="1"/>
                <w:color w:val="auto"/>
              </w:rPr>
            </w:pPr>
          </w:p>
        </w:tc>
      </w:tr>
      <w:tr>
        <w:trPr>
          <w:trHeight w:val="243"/>
        </w:trPr>
        <w:tc>
          <w:tcPr>
            <w:tcW w:w="4820" w:type="dxa"/>
            <w:vAlign w:val="bottom"/>
          </w:tcPr>
          <w:p>
            <w:pPr>
              <w:ind w:left="40"/>
              <w:spacing w:after="0"/>
              <w:rPr>
                <w:sz w:val="20"/>
                <w:szCs w:val="20"/>
                <w:color w:val="auto"/>
              </w:rPr>
            </w:pPr>
            <w:r>
              <w:rPr>
                <w:rFonts w:ascii="Arial" w:cs="Arial" w:eastAsia="Arial" w:hAnsi="Arial"/>
                <w:sz w:val="18"/>
                <w:szCs w:val="18"/>
                <w:color w:val="auto"/>
              </w:rPr>
              <w:t>Actual loss on plan assets:</w:t>
            </w:r>
          </w:p>
        </w:tc>
        <w:tc>
          <w:tcPr>
            <w:tcW w:w="2820" w:type="dxa"/>
            <w:vAlign w:val="bottom"/>
          </w:tcPr>
          <w:p>
            <w:pPr>
              <w:spacing w:after="0"/>
              <w:rPr>
                <w:sz w:val="21"/>
                <w:szCs w:val="21"/>
                <w:color w:val="auto"/>
              </w:rPr>
            </w:pPr>
          </w:p>
        </w:tc>
        <w:tc>
          <w:tcPr>
            <w:tcW w:w="146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6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4820" w:type="dxa"/>
            <w:vAlign w:val="bottom"/>
          </w:tcPr>
          <w:p>
            <w:pPr>
              <w:spacing w:after="0"/>
              <w:rPr>
                <w:sz w:val="2"/>
                <w:szCs w:val="2"/>
                <w:color w:val="auto"/>
              </w:rPr>
            </w:pPr>
          </w:p>
        </w:tc>
        <w:tc>
          <w:tcPr>
            <w:tcW w:w="2820" w:type="dxa"/>
            <w:vAlign w:val="bottom"/>
          </w:tcPr>
          <w:p>
            <w:pPr>
              <w:spacing w:after="0"/>
              <w:rPr>
                <w:sz w:val="2"/>
                <w:szCs w:val="2"/>
                <w:color w:val="auto"/>
              </w:rPr>
            </w:pPr>
          </w:p>
        </w:tc>
        <w:tc>
          <w:tcPr>
            <w:tcW w:w="1460" w:type="dxa"/>
            <w:vAlign w:val="bottom"/>
          </w:tcPr>
          <w:p>
            <w:pPr>
              <w:spacing w:after="0"/>
              <w:rPr>
                <w:sz w:val="2"/>
                <w:szCs w:val="2"/>
                <w:color w:val="auto"/>
              </w:rPr>
            </w:pPr>
          </w:p>
        </w:tc>
        <w:tc>
          <w:tcPr>
            <w:tcW w:w="3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6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4820" w:type="dxa"/>
            <w:vAlign w:val="bottom"/>
            <w:shd w:val="clear" w:color="auto" w:fill="CCEEFF"/>
          </w:tcPr>
          <w:p>
            <w:pPr>
              <w:ind w:left="280"/>
              <w:spacing w:after="0"/>
              <w:rPr>
                <w:sz w:val="20"/>
                <w:szCs w:val="20"/>
                <w:color w:val="auto"/>
              </w:rPr>
            </w:pPr>
            <w:r>
              <w:rPr>
                <w:rFonts w:ascii="Arial" w:cs="Arial" w:eastAsia="Arial" w:hAnsi="Arial"/>
                <w:sz w:val="18"/>
                <w:szCs w:val="18"/>
                <w:color w:val="auto"/>
              </w:rPr>
              <w:t>Relating to assets still held at the reporting date</w:t>
            </w:r>
          </w:p>
        </w:tc>
        <w:tc>
          <w:tcPr>
            <w:tcW w:w="2820" w:type="dxa"/>
            <w:vAlign w:val="bottom"/>
            <w:shd w:val="clear" w:color="auto" w:fill="CCEEFF"/>
          </w:tcPr>
          <w:p>
            <w:pPr>
              <w:spacing w:after="0"/>
              <w:rPr>
                <w:sz w:val="23"/>
                <w:szCs w:val="23"/>
                <w:color w:val="auto"/>
              </w:rPr>
            </w:pPr>
          </w:p>
        </w:tc>
        <w:tc>
          <w:tcPr>
            <w:tcW w:w="1460" w:type="dxa"/>
            <w:vAlign w:val="bottom"/>
            <w:shd w:val="clear" w:color="auto" w:fill="CCEEFF"/>
          </w:tcPr>
          <w:p>
            <w:pPr>
              <w:spacing w:after="0"/>
              <w:rPr>
                <w:sz w:val="23"/>
                <w:szCs w:val="23"/>
                <w:color w:val="auto"/>
              </w:rPr>
            </w:pPr>
          </w:p>
        </w:tc>
        <w:tc>
          <w:tcPr>
            <w:tcW w:w="3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w:t>
            </w:r>
          </w:p>
        </w:tc>
        <w:tc>
          <w:tcPr>
            <w:tcW w:w="100" w:type="dxa"/>
            <w:vAlign w:val="bottom"/>
            <w:shd w:val="clear" w:color="auto" w:fill="CCEEFF"/>
          </w:tcPr>
          <w:p>
            <w:pPr>
              <w:spacing w:after="0"/>
              <w:rPr>
                <w:sz w:val="23"/>
                <w:szCs w:val="23"/>
                <w:color w:val="auto"/>
              </w:rPr>
            </w:pPr>
          </w:p>
        </w:tc>
        <w:tc>
          <w:tcPr>
            <w:tcW w:w="220" w:type="dxa"/>
            <w:vAlign w:val="bottom"/>
            <w:shd w:val="clear" w:color="auto" w:fill="CCEEFF"/>
          </w:tcPr>
          <w:p>
            <w:pPr>
              <w:spacing w:after="0"/>
              <w:rPr>
                <w:sz w:val="23"/>
                <w:szCs w:val="23"/>
                <w:color w:val="auto"/>
              </w:rPr>
            </w:pPr>
          </w:p>
        </w:tc>
        <w:tc>
          <w:tcPr>
            <w:tcW w:w="1620" w:type="dxa"/>
            <w:vAlign w:val="bottom"/>
            <w:shd w:val="clear" w:color="auto" w:fill="CCEEFF"/>
          </w:tcPr>
          <w:p>
            <w:pPr>
              <w:jc w:val="right"/>
              <w:ind w:right="15"/>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63"/>
        </w:trPr>
        <w:tc>
          <w:tcPr>
            <w:tcW w:w="4820" w:type="dxa"/>
            <w:vAlign w:val="bottom"/>
          </w:tcPr>
          <w:p>
            <w:pPr>
              <w:ind w:left="40"/>
              <w:spacing w:after="0"/>
              <w:rPr>
                <w:sz w:val="20"/>
                <w:szCs w:val="20"/>
                <w:color w:val="auto"/>
              </w:rPr>
            </w:pPr>
            <w:r>
              <w:rPr>
                <w:rFonts w:ascii="Arial" w:cs="Arial" w:eastAsia="Arial" w:hAnsi="Arial"/>
                <w:sz w:val="18"/>
                <w:szCs w:val="18"/>
                <w:color w:val="auto"/>
              </w:rPr>
              <w:t>Purchases</w:t>
            </w:r>
          </w:p>
        </w:tc>
        <w:tc>
          <w:tcPr>
            <w:tcW w:w="2820" w:type="dxa"/>
            <w:vAlign w:val="bottom"/>
          </w:tcPr>
          <w:p>
            <w:pPr>
              <w:spacing w:after="0"/>
              <w:rPr>
                <w:sz w:val="22"/>
                <w:szCs w:val="22"/>
                <w:color w:val="auto"/>
              </w:rPr>
            </w:pPr>
          </w:p>
        </w:tc>
        <w:tc>
          <w:tcPr>
            <w:tcW w:w="1460" w:type="dxa"/>
            <w:vAlign w:val="bottom"/>
          </w:tcPr>
          <w:p>
            <w:pPr>
              <w:spacing w:after="0"/>
              <w:rPr>
                <w:sz w:val="22"/>
                <w:szCs w:val="22"/>
                <w:color w:val="auto"/>
              </w:rPr>
            </w:pPr>
          </w:p>
        </w:tc>
        <w:tc>
          <w:tcPr>
            <w:tcW w:w="380" w:type="dxa"/>
            <w:vAlign w:val="bottom"/>
          </w:tcPr>
          <w:p>
            <w:pPr>
              <w:jc w:val="right"/>
              <w:ind w:right="30"/>
              <w:spacing w:after="0"/>
              <w:rPr>
                <w:sz w:val="20"/>
                <w:szCs w:val="20"/>
                <w:color w:val="auto"/>
              </w:rPr>
            </w:pPr>
            <w:r>
              <w:rPr>
                <w:rFonts w:ascii="Arial" w:cs="Arial" w:eastAsia="Arial" w:hAnsi="Arial"/>
                <w:sz w:val="18"/>
                <w:szCs w:val="18"/>
                <w:color w:val="auto"/>
              </w:rPr>
              <w:t>1</w:t>
            </w:r>
          </w:p>
        </w:tc>
        <w:tc>
          <w:tcPr>
            <w:tcW w:w="10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1620" w:type="dxa"/>
            <w:vAlign w:val="bottom"/>
          </w:tcPr>
          <w:p>
            <w:pPr>
              <w:jc w:val="right"/>
              <w:ind w:right="15"/>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7"/>
        </w:trPr>
        <w:tc>
          <w:tcPr>
            <w:tcW w:w="4820" w:type="dxa"/>
            <w:vAlign w:val="bottom"/>
            <w:shd w:val="clear" w:color="auto" w:fill="CCEEFF"/>
          </w:tcPr>
          <w:p>
            <w:pPr>
              <w:ind w:left="40"/>
              <w:spacing w:after="0"/>
              <w:rPr>
                <w:sz w:val="20"/>
                <w:szCs w:val="20"/>
                <w:color w:val="auto"/>
              </w:rPr>
            </w:pPr>
            <w:r>
              <w:rPr>
                <w:rFonts w:ascii="Arial" w:cs="Arial" w:eastAsia="Arial" w:hAnsi="Arial"/>
                <w:sz w:val="18"/>
                <w:szCs w:val="18"/>
                <w:color w:val="auto"/>
              </w:rPr>
              <w:t>Sales</w:t>
            </w:r>
          </w:p>
        </w:tc>
        <w:tc>
          <w:tcPr>
            <w:tcW w:w="2820" w:type="dxa"/>
            <w:vAlign w:val="bottom"/>
            <w:shd w:val="clear" w:color="auto" w:fill="CCEEFF"/>
          </w:tcPr>
          <w:p>
            <w:pPr>
              <w:spacing w:after="0"/>
              <w:rPr>
                <w:sz w:val="24"/>
                <w:szCs w:val="24"/>
                <w:color w:val="auto"/>
              </w:rPr>
            </w:pPr>
          </w:p>
        </w:tc>
        <w:tc>
          <w:tcPr>
            <w:tcW w:w="1460" w:type="dxa"/>
            <w:vAlign w:val="bottom"/>
            <w:tcBorders>
              <w:bottom w:val="single" w:sz="8" w:color="auto"/>
            </w:tcBorders>
            <w:shd w:val="clear" w:color="auto" w:fill="CCEEFF"/>
          </w:tcPr>
          <w:p>
            <w:pPr>
              <w:spacing w:after="0"/>
              <w:rPr>
                <w:sz w:val="24"/>
                <w:szCs w:val="24"/>
                <w:color w:val="auto"/>
              </w:rPr>
            </w:pPr>
          </w:p>
        </w:tc>
        <w:tc>
          <w:tcPr>
            <w:tcW w:w="3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w:t>
            </w:r>
          </w:p>
        </w:tc>
        <w:tc>
          <w:tcPr>
            <w:tcW w:w="100" w:type="dxa"/>
            <w:vAlign w:val="bottom"/>
            <w:shd w:val="clear" w:color="auto" w:fill="CCEEFF"/>
          </w:tcPr>
          <w:p>
            <w:pPr>
              <w:spacing w:after="0"/>
              <w:rPr>
                <w:sz w:val="24"/>
                <w:szCs w:val="24"/>
                <w:color w:val="auto"/>
              </w:rPr>
            </w:pPr>
          </w:p>
        </w:tc>
        <w:tc>
          <w:tcPr>
            <w:tcW w:w="220" w:type="dxa"/>
            <w:vAlign w:val="bottom"/>
            <w:tcBorders>
              <w:bottom w:val="single" w:sz="8" w:color="auto"/>
            </w:tcBorders>
            <w:shd w:val="clear" w:color="auto" w:fill="CCEEFF"/>
          </w:tcPr>
          <w:p>
            <w:pPr>
              <w:spacing w:after="0"/>
              <w:rPr>
                <w:sz w:val="24"/>
                <w:szCs w:val="24"/>
                <w:color w:val="auto"/>
              </w:rPr>
            </w:pPr>
          </w:p>
        </w:tc>
        <w:tc>
          <w:tcPr>
            <w:tcW w:w="1620" w:type="dxa"/>
            <w:vAlign w:val="bottom"/>
            <w:tcBorders>
              <w:bottom w:val="single" w:sz="8" w:color="auto"/>
            </w:tcBorders>
            <w:shd w:val="clear" w:color="auto" w:fill="CCEEFF"/>
          </w:tcPr>
          <w:p>
            <w:pPr>
              <w:jc w:val="right"/>
              <w:ind w:right="15"/>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44"/>
        </w:trPr>
        <w:tc>
          <w:tcPr>
            <w:tcW w:w="4820" w:type="dxa"/>
            <w:vAlign w:val="bottom"/>
          </w:tcPr>
          <w:p>
            <w:pPr>
              <w:ind w:left="40"/>
              <w:spacing w:after="0"/>
              <w:rPr>
                <w:sz w:val="20"/>
                <w:szCs w:val="20"/>
                <w:color w:val="auto"/>
              </w:rPr>
            </w:pPr>
            <w:r>
              <w:rPr>
                <w:rFonts w:ascii="Arial" w:cs="Arial" w:eastAsia="Arial" w:hAnsi="Arial"/>
                <w:sz w:val="18"/>
                <w:szCs w:val="18"/>
                <w:color w:val="auto"/>
              </w:rPr>
              <w:t>Ending balance at December 31, 2018</w:t>
            </w:r>
          </w:p>
        </w:tc>
        <w:tc>
          <w:tcPr>
            <w:tcW w:w="4280" w:type="dxa"/>
            <w:vAlign w:val="bottom"/>
            <w:gridSpan w:val="2"/>
          </w:tcPr>
          <w:p>
            <w:pPr>
              <w:jc w:val="right"/>
              <w:ind w:right="1268"/>
              <w:spacing w:after="0"/>
              <w:rPr>
                <w:sz w:val="20"/>
                <w:szCs w:val="20"/>
                <w:color w:val="auto"/>
              </w:rPr>
            </w:pPr>
            <w:r>
              <w:rPr>
                <w:rFonts w:ascii="Arial" w:cs="Arial" w:eastAsia="Arial" w:hAnsi="Arial"/>
                <w:sz w:val="18"/>
                <w:szCs w:val="18"/>
                <w:color w:val="auto"/>
              </w:rPr>
              <w:t>$</w:t>
            </w:r>
          </w:p>
        </w:tc>
        <w:tc>
          <w:tcPr>
            <w:tcW w:w="380" w:type="dxa"/>
            <w:vAlign w:val="bottom"/>
          </w:tcPr>
          <w:p>
            <w:pPr>
              <w:jc w:val="right"/>
              <w:ind w:right="30"/>
              <w:spacing w:after="0"/>
              <w:rPr>
                <w:sz w:val="20"/>
                <w:szCs w:val="20"/>
                <w:color w:val="auto"/>
              </w:rPr>
            </w:pPr>
            <w:r>
              <w:rPr>
                <w:rFonts w:ascii="Arial" w:cs="Arial" w:eastAsia="Arial" w:hAnsi="Arial"/>
                <w:sz w:val="18"/>
                <w:szCs w:val="18"/>
                <w:color w:val="auto"/>
              </w:rPr>
              <w:t>7</w:t>
            </w:r>
          </w:p>
        </w:tc>
        <w:tc>
          <w:tcPr>
            <w:tcW w:w="100" w:type="dxa"/>
            <w:vAlign w:val="bottom"/>
          </w:tcPr>
          <w:p>
            <w:pPr>
              <w:spacing w:after="0"/>
              <w:rPr>
                <w:sz w:val="21"/>
                <w:szCs w:val="21"/>
                <w:color w:val="auto"/>
              </w:rPr>
            </w:pPr>
          </w:p>
        </w:tc>
        <w:tc>
          <w:tcPr>
            <w:tcW w:w="220" w:type="dxa"/>
            <w:vAlign w:val="bottom"/>
          </w:tcPr>
          <w:p>
            <w:pPr>
              <w:jc w:val="right"/>
              <w:spacing w:after="0"/>
              <w:rPr>
                <w:sz w:val="20"/>
                <w:szCs w:val="20"/>
                <w:color w:val="auto"/>
              </w:rPr>
            </w:pPr>
            <w:r>
              <w:rPr>
                <w:rFonts w:ascii="Arial" w:cs="Arial" w:eastAsia="Arial" w:hAnsi="Arial"/>
                <w:sz w:val="18"/>
                <w:szCs w:val="18"/>
                <w:color w:val="auto"/>
              </w:rPr>
              <w:t>$</w:t>
            </w:r>
          </w:p>
        </w:tc>
        <w:tc>
          <w:tcPr>
            <w:tcW w:w="1620" w:type="dxa"/>
            <w:vAlign w:val="bottom"/>
          </w:tcPr>
          <w:p>
            <w:pPr>
              <w:jc w:val="right"/>
              <w:ind w:right="15"/>
              <w:spacing w:after="0"/>
              <w:rPr>
                <w:sz w:val="20"/>
                <w:szCs w:val="20"/>
                <w:color w:val="auto"/>
              </w:rPr>
            </w:pPr>
            <w:r>
              <w:rPr>
                <w:rFonts w:ascii="Arial" w:cs="Arial" w:eastAsia="Arial" w:hAnsi="Arial"/>
                <w:sz w:val="18"/>
                <w:szCs w:val="18"/>
                <w:color w:val="auto"/>
              </w:rPr>
              <w:t>2</w:t>
            </w:r>
          </w:p>
        </w:tc>
        <w:tc>
          <w:tcPr>
            <w:tcW w:w="0" w:type="dxa"/>
            <w:vAlign w:val="bottom"/>
          </w:tcPr>
          <w:p>
            <w:pPr>
              <w:spacing w:after="0"/>
              <w:rPr>
                <w:sz w:val="1"/>
                <w:szCs w:val="1"/>
                <w:color w:val="auto"/>
              </w:rPr>
            </w:pPr>
          </w:p>
        </w:tc>
      </w:tr>
      <w:tr>
        <w:trPr>
          <w:trHeight w:val="20"/>
        </w:trPr>
        <w:tc>
          <w:tcPr>
            <w:tcW w:w="4820" w:type="dxa"/>
            <w:vAlign w:val="bottom"/>
          </w:tcPr>
          <w:p>
            <w:pPr>
              <w:spacing w:after="0" w:line="20" w:lineRule="exact"/>
              <w:rPr>
                <w:sz w:val="1"/>
                <w:szCs w:val="1"/>
                <w:color w:val="auto"/>
              </w:rPr>
            </w:pPr>
          </w:p>
        </w:tc>
        <w:tc>
          <w:tcPr>
            <w:tcW w:w="2820" w:type="dxa"/>
            <w:vAlign w:val="bottom"/>
            <w:vMerge w:val="restart"/>
          </w:tcPr>
          <w:p>
            <w:pPr>
              <w:jc w:val="right"/>
              <w:ind w:right="1690"/>
              <w:spacing w:after="0"/>
              <w:rPr>
                <w:sz w:val="20"/>
                <w:szCs w:val="20"/>
                <w:color w:val="auto"/>
              </w:rPr>
            </w:pPr>
            <w:r>
              <w:rPr>
                <w:rFonts w:ascii="Arial" w:cs="Arial" w:eastAsia="Arial" w:hAnsi="Arial"/>
                <w:sz w:val="18"/>
                <w:szCs w:val="18"/>
                <w:color w:val="auto"/>
              </w:rPr>
              <w:t>105</w:t>
            </w:r>
          </w:p>
        </w:tc>
        <w:tc>
          <w:tcPr>
            <w:tcW w:w="146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62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35"/>
        </w:trPr>
        <w:tc>
          <w:tcPr>
            <w:tcW w:w="4820" w:type="dxa"/>
            <w:vAlign w:val="bottom"/>
          </w:tcPr>
          <w:p>
            <w:pPr>
              <w:spacing w:after="0"/>
              <w:rPr>
                <w:sz w:val="24"/>
                <w:szCs w:val="24"/>
                <w:color w:val="auto"/>
              </w:rPr>
            </w:pPr>
          </w:p>
        </w:tc>
        <w:tc>
          <w:tcPr>
            <w:tcW w:w="2820" w:type="dxa"/>
            <w:vAlign w:val="bottom"/>
            <w:vMerge w:val="continue"/>
          </w:tcPr>
          <w:p>
            <w:pPr>
              <w:spacing w:after="0"/>
              <w:rPr>
                <w:sz w:val="24"/>
                <w:szCs w:val="24"/>
                <w:color w:val="auto"/>
              </w:rPr>
            </w:pPr>
          </w:p>
        </w:tc>
        <w:tc>
          <w:tcPr>
            <w:tcW w:w="146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62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549" w:right="239" w:bottom="1440" w:gutter="0" w:footer="0" w:header="0"/>
        </w:sectPr>
      </w:pPr>
    </w:p>
    <w:bookmarkStart w:id="105" w:name="page106"/>
    <w:bookmarkEnd w:id="105"/>
    <w:p>
      <w:pPr>
        <w:jc w:val="center"/>
        <w:spacing w:after="0"/>
        <w:rPr>
          <w:sz w:val="20"/>
          <w:szCs w:val="20"/>
          <w:color w:val="auto"/>
        </w:rPr>
      </w:pPr>
      <w:r>
        <w:rPr>
          <w:rFonts w:ascii="Arial" w:cs="Arial" w:eastAsia="Arial" w:hAnsi="Arial"/>
          <w:sz w:val="18"/>
          <w:szCs w:val="18"/>
          <w:b w:val="1"/>
          <w:bCs w:val="1"/>
          <w:color w:val="auto"/>
        </w:rPr>
        <w:t>NOTES TO CONSOLIDATED FINANCIAL STATEMENTS OF AMERICAN AIRLINES GROUP INC.</w:t>
      </w:r>
    </w:p>
    <w:p>
      <w:pPr>
        <w:spacing w:after="0" w:line="200" w:lineRule="exact"/>
        <w:rPr>
          <w:sz w:val="20"/>
          <w:szCs w:val="20"/>
          <w:color w:val="auto"/>
        </w:rPr>
      </w:pPr>
    </w:p>
    <w:p>
      <w:pPr>
        <w:spacing w:after="0" w:line="209" w:lineRule="exact"/>
        <w:rPr>
          <w:sz w:val="20"/>
          <w:szCs w:val="20"/>
          <w:color w:val="auto"/>
        </w:rPr>
      </w:pPr>
    </w:p>
    <w:p>
      <w:pPr>
        <w:ind w:left="220"/>
        <w:spacing w:after="0"/>
        <w:rPr>
          <w:sz w:val="20"/>
          <w:szCs w:val="20"/>
          <w:color w:val="auto"/>
        </w:rPr>
      </w:pPr>
      <w:r>
        <w:rPr>
          <w:rFonts w:ascii="Arial" w:cs="Arial" w:eastAsia="Arial" w:hAnsi="Arial"/>
          <w:sz w:val="18"/>
          <w:szCs w:val="18"/>
          <w:color w:val="auto"/>
        </w:rPr>
        <w:t>The fair value of our retiree medical and other postretirement benefits plans assets by asset category, were as follows (in millions):</w:t>
      </w:r>
    </w:p>
    <w:p>
      <w:pPr>
        <w:spacing w:after="0" w:line="321" w:lineRule="exact"/>
        <w:rPr>
          <w:sz w:val="20"/>
          <w:szCs w:val="20"/>
          <w:color w:val="auto"/>
        </w:rPr>
      </w:pPr>
    </w:p>
    <w:tbl>
      <w:tblPr>
        <w:tblLayout w:type="fixed"/>
        <w:tblInd w:w="0" w:type="dxa"/>
        <w:tblCellMar>
          <w:top w:w="0" w:type="dxa"/>
          <w:left w:w="0" w:type="dxa"/>
          <w:bottom w:w="0" w:type="dxa"/>
          <w:right w:w="0" w:type="dxa"/>
        </w:tblCellMar>
      </w:tblPr>
      <w:tr>
        <w:trPr>
          <w:trHeight w:val="196"/>
        </w:trPr>
        <w:tc>
          <w:tcPr>
            <w:tcW w:w="4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3940" w:type="dxa"/>
            <w:vAlign w:val="bottom"/>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4780" w:type="dxa"/>
            <w:vAlign w:val="bottom"/>
            <w:tcBorders>
              <w:bottom w:val="single" w:sz="8" w:color="auto"/>
            </w:tcBorders>
            <w:gridSpan w:val="9"/>
          </w:tcPr>
          <w:p>
            <w:pPr>
              <w:ind w:left="1340"/>
              <w:spacing w:after="0"/>
              <w:rPr>
                <w:sz w:val="20"/>
                <w:szCs w:val="20"/>
                <w:color w:val="auto"/>
              </w:rPr>
            </w:pPr>
            <w:r>
              <w:rPr>
                <w:rFonts w:ascii="Arial" w:cs="Arial" w:eastAsia="Arial" w:hAnsi="Arial"/>
                <w:sz w:val="14"/>
                <w:szCs w:val="14"/>
                <w:b w:val="1"/>
                <w:bCs w:val="1"/>
                <w:color w:val="auto"/>
              </w:rPr>
              <w:t>Fair Value Measurements as of December 31, 2019</w:t>
            </w:r>
          </w:p>
        </w:tc>
        <w:tc>
          <w:tcPr>
            <w:tcW w:w="320" w:type="dxa"/>
            <w:vAlign w:val="bottom"/>
            <w:tcBorders>
              <w:bottom w:val="single" w:sz="8" w:color="auto"/>
            </w:tcBorders>
          </w:tcPr>
          <w:p>
            <w:pPr>
              <w:spacing w:after="0"/>
              <w:rPr>
                <w:sz w:val="17"/>
                <w:szCs w:val="17"/>
                <w:color w:val="auto"/>
              </w:rPr>
            </w:pPr>
          </w:p>
        </w:tc>
        <w:tc>
          <w:tcPr>
            <w:tcW w:w="1140" w:type="dxa"/>
            <w:vAlign w:val="bottom"/>
            <w:tcBorders>
              <w:bottom w:val="single" w:sz="8" w:color="auto"/>
            </w:tcBorders>
          </w:tcPr>
          <w:p>
            <w:pPr>
              <w:spacing w:after="0"/>
              <w:rPr>
                <w:sz w:val="17"/>
                <w:szCs w:val="17"/>
                <w:color w:val="auto"/>
              </w:rPr>
            </w:pPr>
          </w:p>
        </w:tc>
      </w:tr>
      <w:tr>
        <w:trPr>
          <w:trHeight w:val="175"/>
        </w:trPr>
        <w:tc>
          <w:tcPr>
            <w:tcW w:w="4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39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56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rPr>
              <w:t>Quoted Prices in</w:t>
            </w:r>
          </w:p>
        </w:tc>
        <w:tc>
          <w:tcPr>
            <w:tcW w:w="240" w:type="dxa"/>
            <w:vAlign w:val="bottom"/>
          </w:tcPr>
          <w:p>
            <w:pPr>
              <w:spacing w:after="0"/>
              <w:rPr>
                <w:sz w:val="15"/>
                <w:szCs w:val="15"/>
                <w:color w:val="auto"/>
              </w:rPr>
            </w:pPr>
          </w:p>
        </w:tc>
        <w:tc>
          <w:tcPr>
            <w:tcW w:w="1360" w:type="dxa"/>
            <w:vAlign w:val="bottom"/>
            <w:gridSpan w:val="2"/>
          </w:tcPr>
          <w:p>
            <w:pPr>
              <w:jc w:val="center"/>
              <w:ind w:right="340"/>
              <w:spacing w:after="0"/>
              <w:rPr>
                <w:sz w:val="20"/>
                <w:szCs w:val="20"/>
                <w:color w:val="auto"/>
              </w:rPr>
            </w:pPr>
            <w:r>
              <w:rPr>
                <w:rFonts w:ascii="Arial" w:cs="Arial" w:eastAsia="Arial" w:hAnsi="Arial"/>
                <w:sz w:val="14"/>
                <w:szCs w:val="14"/>
                <w:b w:val="1"/>
                <w:bCs w:val="1"/>
                <w:color w:val="auto"/>
              </w:rPr>
              <w:t>Significant</w:t>
            </w:r>
          </w:p>
        </w:tc>
        <w:tc>
          <w:tcPr>
            <w:tcW w:w="200" w:type="dxa"/>
            <w:vAlign w:val="bottom"/>
          </w:tcPr>
          <w:p>
            <w:pPr>
              <w:spacing w:after="0"/>
              <w:rPr>
                <w:sz w:val="15"/>
                <w:szCs w:val="15"/>
                <w:color w:val="auto"/>
              </w:rPr>
            </w:pPr>
          </w:p>
        </w:tc>
        <w:tc>
          <w:tcPr>
            <w:tcW w:w="1420" w:type="dxa"/>
            <w:vAlign w:val="bottom"/>
            <w:gridSpan w:val="3"/>
          </w:tcPr>
          <w:p>
            <w:pPr>
              <w:jc w:val="center"/>
              <w:ind w:right="320"/>
              <w:spacing w:after="0"/>
              <w:rPr>
                <w:sz w:val="20"/>
                <w:szCs w:val="20"/>
                <w:color w:val="auto"/>
              </w:rPr>
            </w:pPr>
            <w:r>
              <w:rPr>
                <w:rFonts w:ascii="Arial" w:cs="Arial" w:eastAsia="Arial" w:hAnsi="Arial"/>
                <w:sz w:val="14"/>
                <w:szCs w:val="14"/>
                <w:b w:val="1"/>
                <w:bCs w:val="1"/>
                <w:color w:val="auto"/>
              </w:rPr>
              <w:t>Significant</w:t>
            </w:r>
          </w:p>
        </w:tc>
        <w:tc>
          <w:tcPr>
            <w:tcW w:w="320" w:type="dxa"/>
            <w:vAlign w:val="bottom"/>
          </w:tcPr>
          <w:p>
            <w:pPr>
              <w:spacing w:after="0"/>
              <w:rPr>
                <w:sz w:val="15"/>
                <w:szCs w:val="15"/>
                <w:color w:val="auto"/>
              </w:rPr>
            </w:pPr>
          </w:p>
        </w:tc>
        <w:tc>
          <w:tcPr>
            <w:tcW w:w="1140" w:type="dxa"/>
            <w:vAlign w:val="bottom"/>
          </w:tcPr>
          <w:p>
            <w:pPr>
              <w:spacing w:after="0"/>
              <w:rPr>
                <w:sz w:val="15"/>
                <w:szCs w:val="15"/>
                <w:color w:val="auto"/>
              </w:rPr>
            </w:pPr>
          </w:p>
        </w:tc>
      </w:tr>
      <w:tr>
        <w:trPr>
          <w:trHeight w:val="162"/>
        </w:trPr>
        <w:tc>
          <w:tcPr>
            <w:tcW w:w="4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39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56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rPr>
              <w:t>Active Markets for</w:t>
            </w:r>
          </w:p>
        </w:tc>
        <w:tc>
          <w:tcPr>
            <w:tcW w:w="240" w:type="dxa"/>
            <w:vAlign w:val="bottom"/>
          </w:tcPr>
          <w:p>
            <w:pPr>
              <w:spacing w:after="0"/>
              <w:rPr>
                <w:sz w:val="14"/>
                <w:szCs w:val="14"/>
                <w:color w:val="auto"/>
              </w:rPr>
            </w:pPr>
          </w:p>
        </w:tc>
        <w:tc>
          <w:tcPr>
            <w:tcW w:w="1360" w:type="dxa"/>
            <w:vAlign w:val="bottom"/>
            <w:gridSpan w:val="2"/>
          </w:tcPr>
          <w:p>
            <w:pPr>
              <w:jc w:val="center"/>
              <w:ind w:right="340"/>
              <w:spacing w:after="0"/>
              <w:rPr>
                <w:sz w:val="20"/>
                <w:szCs w:val="20"/>
                <w:color w:val="auto"/>
              </w:rPr>
            </w:pPr>
            <w:r>
              <w:rPr>
                <w:rFonts w:ascii="Arial" w:cs="Arial" w:eastAsia="Arial" w:hAnsi="Arial"/>
                <w:sz w:val="14"/>
                <w:szCs w:val="14"/>
                <w:b w:val="1"/>
                <w:bCs w:val="1"/>
                <w:color w:val="auto"/>
              </w:rPr>
              <w:t>Observable</w:t>
            </w:r>
          </w:p>
        </w:tc>
        <w:tc>
          <w:tcPr>
            <w:tcW w:w="200" w:type="dxa"/>
            <w:vAlign w:val="bottom"/>
          </w:tcPr>
          <w:p>
            <w:pPr>
              <w:spacing w:after="0"/>
              <w:rPr>
                <w:sz w:val="14"/>
                <w:szCs w:val="14"/>
                <w:color w:val="auto"/>
              </w:rPr>
            </w:pPr>
          </w:p>
        </w:tc>
        <w:tc>
          <w:tcPr>
            <w:tcW w:w="1420" w:type="dxa"/>
            <w:vAlign w:val="bottom"/>
            <w:gridSpan w:val="3"/>
          </w:tcPr>
          <w:p>
            <w:pPr>
              <w:jc w:val="center"/>
              <w:ind w:right="340"/>
              <w:spacing w:after="0"/>
              <w:rPr>
                <w:sz w:val="20"/>
                <w:szCs w:val="20"/>
                <w:color w:val="auto"/>
              </w:rPr>
            </w:pPr>
            <w:r>
              <w:rPr>
                <w:rFonts w:ascii="Arial" w:cs="Arial" w:eastAsia="Arial" w:hAnsi="Arial"/>
                <w:sz w:val="14"/>
                <w:szCs w:val="14"/>
                <w:b w:val="1"/>
                <w:bCs w:val="1"/>
                <w:color w:val="auto"/>
              </w:rPr>
              <w:t>Unobservable</w:t>
            </w:r>
          </w:p>
        </w:tc>
        <w:tc>
          <w:tcPr>
            <w:tcW w:w="320" w:type="dxa"/>
            <w:vAlign w:val="bottom"/>
          </w:tcPr>
          <w:p>
            <w:pPr>
              <w:spacing w:after="0"/>
              <w:rPr>
                <w:sz w:val="14"/>
                <w:szCs w:val="14"/>
                <w:color w:val="auto"/>
              </w:rPr>
            </w:pPr>
          </w:p>
        </w:tc>
        <w:tc>
          <w:tcPr>
            <w:tcW w:w="1140" w:type="dxa"/>
            <w:vAlign w:val="bottom"/>
          </w:tcPr>
          <w:p>
            <w:pPr>
              <w:spacing w:after="0"/>
              <w:rPr>
                <w:sz w:val="14"/>
                <w:szCs w:val="14"/>
                <w:color w:val="auto"/>
              </w:rPr>
            </w:pPr>
          </w:p>
        </w:tc>
      </w:tr>
      <w:tr>
        <w:trPr>
          <w:trHeight w:val="162"/>
        </w:trPr>
        <w:tc>
          <w:tcPr>
            <w:tcW w:w="4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39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56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rPr>
              <w:t>Identical Assets</w:t>
            </w:r>
          </w:p>
        </w:tc>
        <w:tc>
          <w:tcPr>
            <w:tcW w:w="240" w:type="dxa"/>
            <w:vAlign w:val="bottom"/>
          </w:tcPr>
          <w:p>
            <w:pPr>
              <w:spacing w:after="0"/>
              <w:rPr>
                <w:sz w:val="14"/>
                <w:szCs w:val="14"/>
                <w:color w:val="auto"/>
              </w:rPr>
            </w:pPr>
          </w:p>
        </w:tc>
        <w:tc>
          <w:tcPr>
            <w:tcW w:w="1360" w:type="dxa"/>
            <w:vAlign w:val="bottom"/>
            <w:gridSpan w:val="2"/>
          </w:tcPr>
          <w:p>
            <w:pPr>
              <w:jc w:val="center"/>
              <w:ind w:right="340"/>
              <w:spacing w:after="0"/>
              <w:rPr>
                <w:sz w:val="20"/>
                <w:szCs w:val="20"/>
                <w:color w:val="auto"/>
              </w:rPr>
            </w:pPr>
            <w:r>
              <w:rPr>
                <w:rFonts w:ascii="Arial" w:cs="Arial" w:eastAsia="Arial" w:hAnsi="Arial"/>
                <w:sz w:val="14"/>
                <w:szCs w:val="14"/>
                <w:b w:val="1"/>
                <w:bCs w:val="1"/>
                <w:color w:val="auto"/>
                <w:w w:val="99"/>
              </w:rPr>
              <w:t>Inputs</w:t>
            </w:r>
          </w:p>
        </w:tc>
        <w:tc>
          <w:tcPr>
            <w:tcW w:w="200" w:type="dxa"/>
            <w:vAlign w:val="bottom"/>
          </w:tcPr>
          <w:p>
            <w:pPr>
              <w:spacing w:after="0"/>
              <w:rPr>
                <w:sz w:val="14"/>
                <w:szCs w:val="14"/>
                <w:color w:val="auto"/>
              </w:rPr>
            </w:pPr>
          </w:p>
        </w:tc>
        <w:tc>
          <w:tcPr>
            <w:tcW w:w="1420" w:type="dxa"/>
            <w:vAlign w:val="bottom"/>
            <w:gridSpan w:val="3"/>
          </w:tcPr>
          <w:p>
            <w:pPr>
              <w:jc w:val="center"/>
              <w:ind w:right="340"/>
              <w:spacing w:after="0"/>
              <w:rPr>
                <w:sz w:val="20"/>
                <w:szCs w:val="20"/>
                <w:color w:val="auto"/>
              </w:rPr>
            </w:pPr>
            <w:r>
              <w:rPr>
                <w:rFonts w:ascii="Arial" w:cs="Arial" w:eastAsia="Arial" w:hAnsi="Arial"/>
                <w:sz w:val="14"/>
                <w:szCs w:val="14"/>
                <w:b w:val="1"/>
                <w:bCs w:val="1"/>
                <w:color w:val="auto"/>
              </w:rPr>
              <w:t>Inputs</w:t>
            </w:r>
          </w:p>
        </w:tc>
        <w:tc>
          <w:tcPr>
            <w:tcW w:w="320" w:type="dxa"/>
            <w:vAlign w:val="bottom"/>
          </w:tcPr>
          <w:p>
            <w:pPr>
              <w:spacing w:after="0"/>
              <w:rPr>
                <w:sz w:val="14"/>
                <w:szCs w:val="14"/>
                <w:color w:val="auto"/>
              </w:rPr>
            </w:pPr>
          </w:p>
        </w:tc>
        <w:tc>
          <w:tcPr>
            <w:tcW w:w="1140" w:type="dxa"/>
            <w:vAlign w:val="bottom"/>
          </w:tcPr>
          <w:p>
            <w:pPr>
              <w:spacing w:after="0"/>
              <w:rPr>
                <w:sz w:val="14"/>
                <w:szCs w:val="14"/>
                <w:color w:val="auto"/>
              </w:rPr>
            </w:pPr>
          </w:p>
        </w:tc>
      </w:tr>
      <w:tr>
        <w:trPr>
          <w:trHeight w:val="162"/>
        </w:trPr>
        <w:tc>
          <w:tcPr>
            <w:tcW w:w="5040" w:type="dxa"/>
            <w:vAlign w:val="bottom"/>
            <w:gridSpan w:val="3"/>
          </w:tcPr>
          <w:p>
            <w:pPr>
              <w:ind w:left="40"/>
              <w:spacing w:after="0"/>
              <w:rPr>
                <w:sz w:val="20"/>
                <w:szCs w:val="20"/>
                <w:color w:val="auto"/>
              </w:rPr>
            </w:pPr>
            <w:r>
              <w:rPr>
                <w:rFonts w:ascii="Arial" w:cs="Arial" w:eastAsia="Arial" w:hAnsi="Arial"/>
                <w:sz w:val="14"/>
                <w:szCs w:val="14"/>
                <w:b w:val="1"/>
                <w:bCs w:val="1"/>
                <w:color w:val="auto"/>
              </w:rPr>
              <w:t>Asset Category</w:t>
            </w:r>
          </w:p>
        </w:tc>
        <w:tc>
          <w:tcPr>
            <w:tcW w:w="140" w:type="dxa"/>
            <w:vAlign w:val="bottom"/>
          </w:tcPr>
          <w:p>
            <w:pPr>
              <w:spacing w:after="0"/>
              <w:rPr>
                <w:sz w:val="14"/>
                <w:szCs w:val="14"/>
                <w:color w:val="auto"/>
              </w:rPr>
            </w:pPr>
          </w:p>
        </w:tc>
        <w:tc>
          <w:tcPr>
            <w:tcW w:w="156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rPr>
              <w:t>(Level 1)</w:t>
            </w:r>
          </w:p>
        </w:tc>
        <w:tc>
          <w:tcPr>
            <w:tcW w:w="240" w:type="dxa"/>
            <w:vAlign w:val="bottom"/>
          </w:tcPr>
          <w:p>
            <w:pPr>
              <w:spacing w:after="0"/>
              <w:rPr>
                <w:sz w:val="14"/>
                <w:szCs w:val="14"/>
                <w:color w:val="auto"/>
              </w:rPr>
            </w:pPr>
          </w:p>
        </w:tc>
        <w:tc>
          <w:tcPr>
            <w:tcW w:w="1360" w:type="dxa"/>
            <w:vAlign w:val="bottom"/>
            <w:gridSpan w:val="2"/>
          </w:tcPr>
          <w:p>
            <w:pPr>
              <w:jc w:val="center"/>
              <w:ind w:right="340"/>
              <w:spacing w:after="0"/>
              <w:rPr>
                <w:sz w:val="20"/>
                <w:szCs w:val="20"/>
                <w:color w:val="auto"/>
              </w:rPr>
            </w:pPr>
            <w:r>
              <w:rPr>
                <w:rFonts w:ascii="Arial" w:cs="Arial" w:eastAsia="Arial" w:hAnsi="Arial"/>
                <w:sz w:val="14"/>
                <w:szCs w:val="14"/>
                <w:b w:val="1"/>
                <w:bCs w:val="1"/>
                <w:color w:val="auto"/>
              </w:rPr>
              <w:t>(Level 2)</w:t>
            </w:r>
          </w:p>
        </w:tc>
        <w:tc>
          <w:tcPr>
            <w:tcW w:w="200" w:type="dxa"/>
            <w:vAlign w:val="bottom"/>
          </w:tcPr>
          <w:p>
            <w:pPr>
              <w:spacing w:after="0"/>
              <w:rPr>
                <w:sz w:val="14"/>
                <w:szCs w:val="14"/>
                <w:color w:val="auto"/>
              </w:rPr>
            </w:pPr>
          </w:p>
        </w:tc>
        <w:tc>
          <w:tcPr>
            <w:tcW w:w="1420" w:type="dxa"/>
            <w:vAlign w:val="bottom"/>
            <w:gridSpan w:val="3"/>
          </w:tcPr>
          <w:p>
            <w:pPr>
              <w:jc w:val="center"/>
              <w:ind w:right="320"/>
              <w:spacing w:after="0"/>
              <w:rPr>
                <w:sz w:val="20"/>
                <w:szCs w:val="20"/>
                <w:color w:val="auto"/>
              </w:rPr>
            </w:pPr>
            <w:r>
              <w:rPr>
                <w:rFonts w:ascii="Arial" w:cs="Arial" w:eastAsia="Arial" w:hAnsi="Arial"/>
                <w:sz w:val="14"/>
                <w:szCs w:val="14"/>
                <w:b w:val="1"/>
                <w:bCs w:val="1"/>
                <w:color w:val="auto"/>
              </w:rPr>
              <w:t>(Level 3)</w:t>
            </w:r>
          </w:p>
        </w:tc>
        <w:tc>
          <w:tcPr>
            <w:tcW w:w="320" w:type="dxa"/>
            <w:vAlign w:val="bottom"/>
          </w:tcPr>
          <w:p>
            <w:pPr>
              <w:spacing w:after="0"/>
              <w:rPr>
                <w:sz w:val="14"/>
                <w:szCs w:val="14"/>
                <w:color w:val="auto"/>
              </w:rPr>
            </w:pPr>
          </w:p>
        </w:tc>
        <w:tc>
          <w:tcPr>
            <w:tcW w:w="1140" w:type="dxa"/>
            <w:vAlign w:val="bottom"/>
          </w:tcPr>
          <w:p>
            <w:pPr>
              <w:jc w:val="right"/>
              <w:ind w:right="494"/>
              <w:spacing w:after="0"/>
              <w:rPr>
                <w:sz w:val="20"/>
                <w:szCs w:val="20"/>
                <w:color w:val="auto"/>
              </w:rPr>
            </w:pPr>
            <w:r>
              <w:rPr>
                <w:rFonts w:ascii="Arial" w:cs="Arial" w:eastAsia="Arial" w:hAnsi="Arial"/>
                <w:sz w:val="14"/>
                <w:szCs w:val="14"/>
                <w:b w:val="1"/>
                <w:bCs w:val="1"/>
                <w:color w:val="auto"/>
              </w:rPr>
              <w:t>Total</w:t>
            </w:r>
          </w:p>
        </w:tc>
      </w:tr>
      <w:tr>
        <w:trPr>
          <w:trHeight w:val="21"/>
        </w:trPr>
        <w:tc>
          <w:tcPr>
            <w:tcW w:w="40" w:type="dxa"/>
            <w:vAlign w:val="bottom"/>
            <w:tcBorders>
              <w:bottom w:val="single" w:sz="8" w:color="CCEEFF"/>
            </w:tcBorders>
          </w:tcPr>
          <w:p>
            <w:pPr>
              <w:spacing w:after="0" w:line="20" w:lineRule="exact"/>
              <w:rPr>
                <w:sz w:val="1"/>
                <w:szCs w:val="1"/>
                <w:color w:val="auto"/>
              </w:rPr>
            </w:pPr>
          </w:p>
        </w:tc>
        <w:tc>
          <w:tcPr>
            <w:tcW w:w="1060" w:type="dxa"/>
            <w:vAlign w:val="bottom"/>
            <w:tcBorders>
              <w:top w:val="single" w:sz="8" w:color="auto"/>
              <w:bottom w:val="single" w:sz="8" w:color="CCEEFF"/>
            </w:tcBorders>
          </w:tcPr>
          <w:p>
            <w:pPr>
              <w:spacing w:after="0" w:line="20" w:lineRule="exact"/>
              <w:rPr>
                <w:sz w:val="1"/>
                <w:szCs w:val="1"/>
                <w:color w:val="auto"/>
              </w:rPr>
            </w:pPr>
          </w:p>
        </w:tc>
        <w:tc>
          <w:tcPr>
            <w:tcW w:w="394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4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r>
      <w:tr>
        <w:trPr>
          <w:trHeight w:val="250"/>
        </w:trPr>
        <w:tc>
          <w:tcPr>
            <w:tcW w:w="5040" w:type="dxa"/>
            <w:vAlign w:val="bottom"/>
            <w:gridSpan w:val="3"/>
            <w:shd w:val="clear" w:color="auto" w:fill="CCEEFF"/>
          </w:tcPr>
          <w:p>
            <w:pPr>
              <w:ind w:left="40"/>
              <w:spacing w:after="0"/>
              <w:rPr>
                <w:sz w:val="20"/>
                <w:szCs w:val="20"/>
                <w:color w:val="auto"/>
              </w:rPr>
            </w:pPr>
            <w:r>
              <w:rPr>
                <w:rFonts w:ascii="Arial" w:cs="Arial" w:eastAsia="Arial" w:hAnsi="Arial"/>
                <w:sz w:val="18"/>
                <w:szCs w:val="18"/>
                <w:color w:val="auto"/>
              </w:rPr>
              <w:t>Money market fund</w:t>
            </w: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460" w:type="dxa"/>
            <w:vAlign w:val="bottom"/>
            <w:shd w:val="clear" w:color="auto" w:fill="CCEEFF"/>
          </w:tcPr>
          <w:p>
            <w:pPr>
              <w:jc w:val="right"/>
              <w:ind w:right="21"/>
              <w:spacing w:after="0"/>
              <w:rPr>
                <w:sz w:val="20"/>
                <w:szCs w:val="20"/>
                <w:color w:val="auto"/>
              </w:rPr>
            </w:pPr>
            <w:r>
              <w:rPr>
                <w:rFonts w:ascii="Arial" w:cs="Arial" w:eastAsia="Arial" w:hAnsi="Arial"/>
                <w:sz w:val="18"/>
                <w:szCs w:val="18"/>
                <w:color w:val="auto"/>
              </w:rPr>
              <w:t>4</w:t>
            </w:r>
          </w:p>
        </w:tc>
        <w:tc>
          <w:tcPr>
            <w:tcW w:w="100" w:type="dxa"/>
            <w:vAlign w:val="bottom"/>
            <w:shd w:val="clear" w:color="auto" w:fill="CCEEFF"/>
          </w:tcPr>
          <w:p>
            <w:pPr>
              <w:spacing w:after="0"/>
              <w:rPr>
                <w:sz w:val="21"/>
                <w:szCs w:val="21"/>
                <w:color w:val="auto"/>
              </w:rPr>
            </w:pPr>
          </w:p>
        </w:tc>
        <w:tc>
          <w:tcPr>
            <w:tcW w:w="24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13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420" w:type="dxa"/>
            <w:vAlign w:val="bottom"/>
            <w:gridSpan w:val="3"/>
            <w:shd w:val="clear" w:color="auto" w:fill="CCEEFF"/>
          </w:tcPr>
          <w:p>
            <w:pPr>
              <w:ind w:left="1000"/>
              <w:spacing w:after="0"/>
              <w:rPr>
                <w:sz w:val="20"/>
                <w:szCs w:val="20"/>
                <w:color w:val="auto"/>
              </w:rPr>
            </w:pPr>
            <w:r>
              <w:rPr>
                <w:rFonts w:ascii="Arial" w:cs="Arial" w:eastAsia="Arial" w:hAnsi="Arial"/>
                <w:sz w:val="18"/>
                <w:szCs w:val="18"/>
                <w:color w:val="auto"/>
              </w:rPr>
              <w:t>—</w:t>
            </w:r>
          </w:p>
        </w:tc>
        <w:tc>
          <w:tcPr>
            <w:tcW w:w="32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w w:val="79"/>
              </w:rPr>
              <w:t>$</w:t>
            </w:r>
          </w:p>
        </w:tc>
        <w:tc>
          <w:tcPr>
            <w:tcW w:w="1140" w:type="dxa"/>
            <w:vAlign w:val="bottom"/>
            <w:shd w:val="clear" w:color="auto" w:fill="CCEEFF"/>
          </w:tcPr>
          <w:p>
            <w:pPr>
              <w:jc w:val="right"/>
              <w:ind w:right="14"/>
              <w:spacing w:after="0"/>
              <w:rPr>
                <w:sz w:val="20"/>
                <w:szCs w:val="20"/>
                <w:color w:val="auto"/>
              </w:rPr>
            </w:pPr>
            <w:r>
              <w:rPr>
                <w:rFonts w:ascii="Arial" w:cs="Arial" w:eastAsia="Arial" w:hAnsi="Arial"/>
                <w:sz w:val="18"/>
                <w:szCs w:val="18"/>
                <w:color w:val="auto"/>
              </w:rPr>
              <w:t>4</w:t>
            </w:r>
          </w:p>
        </w:tc>
      </w:tr>
      <w:tr>
        <w:trPr>
          <w:trHeight w:val="264"/>
        </w:trPr>
        <w:tc>
          <w:tcPr>
            <w:tcW w:w="5040" w:type="dxa"/>
            <w:vAlign w:val="bottom"/>
            <w:tcBorders>
              <w:bottom w:val="single" w:sz="8" w:color="CCEEFF"/>
            </w:tcBorders>
            <w:gridSpan w:val="3"/>
          </w:tcPr>
          <w:p>
            <w:pPr>
              <w:ind w:left="40"/>
              <w:spacing w:after="0"/>
              <w:rPr>
                <w:sz w:val="20"/>
                <w:szCs w:val="20"/>
                <w:color w:val="auto"/>
              </w:rPr>
            </w:pPr>
            <w:r>
              <w:rPr>
                <w:rFonts w:ascii="Arial" w:cs="Arial" w:eastAsia="Arial" w:hAnsi="Arial"/>
                <w:sz w:val="18"/>
                <w:szCs w:val="18"/>
                <w:color w:val="auto"/>
              </w:rPr>
              <w:t>Mutual funds – AAL Class</w:t>
            </w:r>
          </w:p>
        </w:tc>
        <w:tc>
          <w:tcPr>
            <w:tcW w:w="140" w:type="dxa"/>
            <w:vAlign w:val="bottom"/>
            <w:tcBorders>
              <w:bottom w:val="single" w:sz="8" w:color="auto"/>
            </w:tcBorders>
          </w:tcPr>
          <w:p>
            <w:pPr>
              <w:spacing w:after="0"/>
              <w:rPr>
                <w:sz w:val="22"/>
                <w:szCs w:val="22"/>
                <w:color w:val="auto"/>
              </w:rPr>
            </w:pPr>
          </w:p>
        </w:tc>
        <w:tc>
          <w:tcPr>
            <w:tcW w:w="1460" w:type="dxa"/>
            <w:vAlign w:val="bottom"/>
            <w:tcBorders>
              <w:bottom w:val="single" w:sz="8" w:color="auto"/>
            </w:tcBorders>
          </w:tcPr>
          <w:p>
            <w:pPr>
              <w:jc w:val="right"/>
              <w:ind w:right="21"/>
              <w:spacing w:after="0"/>
              <w:rPr>
                <w:sz w:val="20"/>
                <w:szCs w:val="20"/>
                <w:color w:val="auto"/>
              </w:rPr>
            </w:pPr>
            <w:r>
              <w:rPr>
                <w:rFonts w:ascii="Arial" w:cs="Arial" w:eastAsia="Arial" w:hAnsi="Arial"/>
                <w:sz w:val="18"/>
                <w:szCs w:val="18"/>
                <w:color w:val="auto"/>
              </w:rPr>
              <w:t>—</w:t>
            </w:r>
          </w:p>
        </w:tc>
        <w:tc>
          <w:tcPr>
            <w:tcW w:w="100" w:type="dxa"/>
            <w:vAlign w:val="bottom"/>
            <w:tcBorders>
              <w:bottom w:val="single" w:sz="8" w:color="CCEEFF"/>
            </w:tcBorders>
          </w:tcPr>
          <w:p>
            <w:pPr>
              <w:spacing w:after="0"/>
              <w:rPr>
                <w:sz w:val="22"/>
                <w:szCs w:val="22"/>
                <w:color w:val="auto"/>
              </w:rPr>
            </w:pPr>
          </w:p>
        </w:tc>
        <w:tc>
          <w:tcPr>
            <w:tcW w:w="240" w:type="dxa"/>
            <w:vAlign w:val="bottom"/>
            <w:tcBorders>
              <w:bottom w:val="single" w:sz="8" w:color="auto"/>
            </w:tcBorders>
          </w:tcPr>
          <w:p>
            <w:pPr>
              <w:spacing w:after="0"/>
              <w:rPr>
                <w:sz w:val="22"/>
                <w:szCs w:val="22"/>
                <w:color w:val="auto"/>
              </w:rPr>
            </w:pPr>
          </w:p>
        </w:tc>
        <w:tc>
          <w:tcPr>
            <w:tcW w:w="1260" w:type="dxa"/>
            <w:vAlign w:val="bottom"/>
            <w:tcBorders>
              <w:bottom w:val="single" w:sz="8" w:color="auto"/>
            </w:tcBorders>
          </w:tcPr>
          <w:p>
            <w:pPr>
              <w:jc w:val="right"/>
              <w:ind w:right="40"/>
              <w:spacing w:after="0"/>
              <w:rPr>
                <w:sz w:val="20"/>
                <w:szCs w:val="20"/>
                <w:color w:val="auto"/>
              </w:rPr>
            </w:pPr>
            <w:r>
              <w:rPr>
                <w:rFonts w:ascii="Arial" w:cs="Arial" w:eastAsia="Arial" w:hAnsi="Arial"/>
                <w:sz w:val="18"/>
                <w:szCs w:val="18"/>
                <w:color w:val="auto"/>
              </w:rPr>
              <w:t>200</w:t>
            </w:r>
          </w:p>
        </w:tc>
        <w:tc>
          <w:tcPr>
            <w:tcW w:w="100" w:type="dxa"/>
            <w:vAlign w:val="bottom"/>
            <w:tcBorders>
              <w:bottom w:val="single" w:sz="8" w:color="CCEEFF"/>
            </w:tcBorders>
          </w:tcPr>
          <w:p>
            <w:pPr>
              <w:spacing w:after="0"/>
              <w:rPr>
                <w:sz w:val="22"/>
                <w:szCs w:val="22"/>
                <w:color w:val="auto"/>
              </w:rPr>
            </w:pPr>
          </w:p>
        </w:tc>
        <w:tc>
          <w:tcPr>
            <w:tcW w:w="200" w:type="dxa"/>
            <w:vAlign w:val="bottom"/>
            <w:tcBorders>
              <w:bottom w:val="single" w:sz="8" w:color="auto"/>
            </w:tcBorders>
          </w:tcPr>
          <w:p>
            <w:pPr>
              <w:spacing w:after="0"/>
              <w:rPr>
                <w:sz w:val="22"/>
                <w:szCs w:val="22"/>
                <w:color w:val="auto"/>
              </w:rPr>
            </w:pPr>
          </w:p>
        </w:tc>
        <w:tc>
          <w:tcPr>
            <w:tcW w:w="1280" w:type="dxa"/>
            <w:vAlign w:val="bottom"/>
            <w:tcBorders>
              <w:bottom w:val="single" w:sz="8" w:color="auto"/>
            </w:tcBorders>
          </w:tcPr>
          <w:p>
            <w:pPr>
              <w:ind w:left="1000"/>
              <w:spacing w:after="0"/>
              <w:rPr>
                <w:sz w:val="20"/>
                <w:szCs w:val="20"/>
                <w:color w:val="auto"/>
              </w:rPr>
            </w:pPr>
            <w:r>
              <w:rPr>
                <w:rFonts w:ascii="Arial" w:cs="Arial" w:eastAsia="Arial" w:hAnsi="Arial"/>
                <w:sz w:val="18"/>
                <w:szCs w:val="18"/>
                <w:color w:val="auto"/>
              </w:rPr>
              <w:t>—</w:t>
            </w:r>
          </w:p>
        </w:tc>
        <w:tc>
          <w:tcPr>
            <w:tcW w:w="120" w:type="dxa"/>
            <w:vAlign w:val="bottom"/>
            <w:tcBorders>
              <w:bottom w:val="single" w:sz="8" w:color="CCEEFF"/>
            </w:tcBorders>
          </w:tcPr>
          <w:p>
            <w:pPr>
              <w:spacing w:after="0"/>
              <w:rPr>
                <w:sz w:val="22"/>
                <w:szCs w:val="22"/>
                <w:color w:val="auto"/>
              </w:rPr>
            </w:pPr>
          </w:p>
        </w:tc>
        <w:tc>
          <w:tcPr>
            <w:tcW w:w="20" w:type="dxa"/>
            <w:vAlign w:val="bottom"/>
            <w:tcBorders>
              <w:bottom w:val="single" w:sz="8" w:color="auto"/>
            </w:tcBorders>
          </w:tcPr>
          <w:p>
            <w:pPr>
              <w:spacing w:after="0"/>
              <w:rPr>
                <w:sz w:val="22"/>
                <w:szCs w:val="22"/>
                <w:color w:val="auto"/>
              </w:rPr>
            </w:pPr>
          </w:p>
        </w:tc>
        <w:tc>
          <w:tcPr>
            <w:tcW w:w="320" w:type="dxa"/>
            <w:vAlign w:val="bottom"/>
            <w:tcBorders>
              <w:bottom w:val="single" w:sz="8" w:color="auto"/>
            </w:tcBorders>
          </w:tcPr>
          <w:p>
            <w:pPr>
              <w:spacing w:after="0"/>
              <w:rPr>
                <w:sz w:val="22"/>
                <w:szCs w:val="22"/>
                <w:color w:val="auto"/>
              </w:rPr>
            </w:pPr>
          </w:p>
        </w:tc>
        <w:tc>
          <w:tcPr>
            <w:tcW w:w="1140" w:type="dxa"/>
            <w:vAlign w:val="bottom"/>
            <w:tcBorders>
              <w:bottom w:val="single" w:sz="8" w:color="auto"/>
            </w:tcBorders>
          </w:tcPr>
          <w:p>
            <w:pPr>
              <w:jc w:val="right"/>
              <w:ind w:right="14"/>
              <w:spacing w:after="0"/>
              <w:rPr>
                <w:sz w:val="20"/>
                <w:szCs w:val="20"/>
                <w:color w:val="auto"/>
              </w:rPr>
            </w:pPr>
            <w:r>
              <w:rPr>
                <w:rFonts w:ascii="Arial" w:cs="Arial" w:eastAsia="Arial" w:hAnsi="Arial"/>
                <w:sz w:val="18"/>
                <w:szCs w:val="18"/>
                <w:color w:val="auto"/>
              </w:rPr>
              <w:t>200</w:t>
            </w:r>
          </w:p>
        </w:tc>
      </w:tr>
      <w:tr>
        <w:trPr>
          <w:trHeight w:val="250"/>
        </w:trPr>
        <w:tc>
          <w:tcPr>
            <w:tcW w:w="40" w:type="dxa"/>
            <w:vAlign w:val="bottom"/>
            <w:tcBorders>
              <w:bottom w:val="single" w:sz="8" w:color="CCEEFF"/>
            </w:tcBorders>
            <w:shd w:val="clear" w:color="auto" w:fill="CCEEFF"/>
          </w:tcPr>
          <w:p>
            <w:pPr>
              <w:spacing w:after="0"/>
              <w:rPr>
                <w:sz w:val="21"/>
                <w:szCs w:val="21"/>
                <w:color w:val="auto"/>
              </w:rPr>
            </w:pPr>
          </w:p>
        </w:tc>
        <w:tc>
          <w:tcPr>
            <w:tcW w:w="5000" w:type="dxa"/>
            <w:vAlign w:val="bottom"/>
            <w:tcBorders>
              <w:bottom w:val="single" w:sz="8" w:color="CCEEFF"/>
            </w:tcBorders>
            <w:gridSpan w:val="2"/>
            <w:shd w:val="clear" w:color="auto" w:fill="CCEEFF"/>
          </w:tcPr>
          <w:p>
            <w:pPr>
              <w:ind w:left="140"/>
              <w:spacing w:after="0"/>
              <w:rPr>
                <w:sz w:val="20"/>
                <w:szCs w:val="20"/>
                <w:color w:val="auto"/>
              </w:rPr>
            </w:pPr>
            <w:r>
              <w:rPr>
                <w:rFonts w:ascii="Arial" w:cs="Arial" w:eastAsia="Arial" w:hAnsi="Arial"/>
                <w:sz w:val="18"/>
                <w:szCs w:val="18"/>
                <w:color w:val="auto"/>
              </w:rPr>
              <w:t>Total</w:t>
            </w: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460" w:type="dxa"/>
            <w:vAlign w:val="bottom"/>
            <w:tcBorders>
              <w:bottom w:val="single" w:sz="8" w:color="auto"/>
            </w:tcBorders>
            <w:shd w:val="clear" w:color="auto" w:fill="CCEEFF"/>
          </w:tcPr>
          <w:p>
            <w:pPr>
              <w:jc w:val="right"/>
              <w:ind w:right="21"/>
              <w:spacing w:after="0"/>
              <w:rPr>
                <w:sz w:val="20"/>
                <w:szCs w:val="20"/>
                <w:color w:val="auto"/>
              </w:rPr>
            </w:pPr>
            <w:r>
              <w:rPr>
                <w:rFonts w:ascii="Arial" w:cs="Arial" w:eastAsia="Arial" w:hAnsi="Arial"/>
                <w:sz w:val="18"/>
                <w:szCs w:val="18"/>
                <w:color w:val="auto"/>
              </w:rPr>
              <w:t>4</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1260" w:type="dxa"/>
            <w:vAlign w:val="bottom"/>
            <w:tcBorders>
              <w:bottom w:val="single" w:sz="8" w:color="auto"/>
            </w:tcBorders>
            <w:shd w:val="clear" w:color="auto" w:fill="CCEEFF"/>
          </w:tcPr>
          <w:p>
            <w:pPr>
              <w:jc w:val="right"/>
              <w:ind w:right="40"/>
              <w:spacing w:after="0"/>
              <w:rPr>
                <w:sz w:val="20"/>
                <w:szCs w:val="20"/>
                <w:color w:val="auto"/>
              </w:rPr>
            </w:pPr>
            <w:r>
              <w:rPr>
                <w:rFonts w:ascii="Arial" w:cs="Arial" w:eastAsia="Arial" w:hAnsi="Arial"/>
                <w:sz w:val="18"/>
                <w:szCs w:val="18"/>
                <w:color w:val="auto"/>
              </w:rPr>
              <w:t>200</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80" w:type="dxa"/>
            <w:vAlign w:val="bottom"/>
            <w:tcBorders>
              <w:bottom w:val="single" w:sz="8" w:color="auto"/>
            </w:tcBorders>
            <w:shd w:val="clear" w:color="auto" w:fill="CCEEFF"/>
          </w:tcPr>
          <w:p>
            <w:pPr>
              <w:ind w:left="1000"/>
              <w:spacing w:after="0"/>
              <w:rPr>
                <w:sz w:val="20"/>
                <w:szCs w:val="20"/>
                <w:color w:val="auto"/>
              </w:rPr>
            </w:pPr>
            <w:r>
              <w:rPr>
                <w:rFonts w:ascii="Arial" w:cs="Arial" w:eastAsia="Arial" w:hAnsi="Arial"/>
                <w:sz w:val="18"/>
                <w:szCs w:val="18"/>
                <w:color w:val="auto"/>
              </w:rPr>
              <w:t>—</w:t>
            </w:r>
          </w:p>
        </w:tc>
        <w:tc>
          <w:tcPr>
            <w:tcW w:w="12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auto"/>
            </w:tcBorders>
            <w:shd w:val="clear" w:color="auto" w:fill="CCEEFF"/>
          </w:tcPr>
          <w:p>
            <w:pPr>
              <w:spacing w:after="0"/>
              <w:rPr>
                <w:sz w:val="21"/>
                <w:szCs w:val="21"/>
                <w:color w:val="auto"/>
              </w:rPr>
            </w:pPr>
          </w:p>
        </w:tc>
        <w:tc>
          <w:tcPr>
            <w:tcW w:w="320" w:type="dxa"/>
            <w:vAlign w:val="bottom"/>
            <w:tcBorders>
              <w:bottom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w w:val="79"/>
              </w:rPr>
              <w:t>$</w:t>
            </w:r>
          </w:p>
        </w:tc>
        <w:tc>
          <w:tcPr>
            <w:tcW w:w="1140" w:type="dxa"/>
            <w:vAlign w:val="bottom"/>
            <w:tcBorders>
              <w:bottom w:val="single" w:sz="8" w:color="auto"/>
            </w:tcBorders>
            <w:shd w:val="clear" w:color="auto" w:fill="CCEEFF"/>
          </w:tcPr>
          <w:p>
            <w:pPr>
              <w:jc w:val="right"/>
              <w:ind w:right="14"/>
              <w:spacing w:after="0"/>
              <w:rPr>
                <w:sz w:val="20"/>
                <w:szCs w:val="20"/>
                <w:color w:val="auto"/>
              </w:rPr>
            </w:pPr>
            <w:r>
              <w:rPr>
                <w:rFonts w:ascii="Arial" w:cs="Arial" w:eastAsia="Arial" w:hAnsi="Arial"/>
                <w:sz w:val="18"/>
                <w:szCs w:val="18"/>
                <w:color w:val="auto"/>
              </w:rPr>
              <w:t>204</w:t>
            </w:r>
          </w:p>
        </w:tc>
      </w:tr>
      <w:tr>
        <w:trPr>
          <w:trHeight w:val="20"/>
        </w:trPr>
        <w:tc>
          <w:tcPr>
            <w:tcW w:w="4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394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4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500" w:type="dxa"/>
            <w:vAlign w:val="bottom"/>
            <w:tcBorders>
              <w:bottom w:val="single" w:sz="8" w:color="auto"/>
            </w:tcBorders>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80" w:type="dxa"/>
            <w:vAlign w:val="bottom"/>
            <w:tcBorders>
              <w:bottom w:val="single" w:sz="8" w:color="auto"/>
            </w:tcBorders>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r>
      <w:tr>
        <w:trPr>
          <w:trHeight w:val="494"/>
        </w:trPr>
        <w:tc>
          <w:tcPr>
            <w:tcW w:w="4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3940" w:type="dxa"/>
            <w:vAlign w:val="bottom"/>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4780" w:type="dxa"/>
            <w:vAlign w:val="bottom"/>
            <w:tcBorders>
              <w:bottom w:val="single" w:sz="8" w:color="auto"/>
            </w:tcBorders>
            <w:gridSpan w:val="9"/>
          </w:tcPr>
          <w:p>
            <w:pPr>
              <w:ind w:left="1340"/>
              <w:spacing w:after="0"/>
              <w:rPr>
                <w:sz w:val="20"/>
                <w:szCs w:val="20"/>
                <w:color w:val="auto"/>
              </w:rPr>
            </w:pPr>
            <w:r>
              <w:rPr>
                <w:rFonts w:ascii="Arial" w:cs="Arial" w:eastAsia="Arial" w:hAnsi="Arial"/>
                <w:sz w:val="14"/>
                <w:szCs w:val="14"/>
                <w:b w:val="1"/>
                <w:bCs w:val="1"/>
                <w:color w:val="auto"/>
              </w:rPr>
              <w:t>Fair Value Measurements as of December 31, 2018</w:t>
            </w:r>
          </w:p>
        </w:tc>
        <w:tc>
          <w:tcPr>
            <w:tcW w:w="320" w:type="dxa"/>
            <w:vAlign w:val="bottom"/>
            <w:tcBorders>
              <w:bottom w:val="single" w:sz="8" w:color="auto"/>
            </w:tcBorders>
          </w:tcPr>
          <w:p>
            <w:pPr>
              <w:spacing w:after="0"/>
              <w:rPr>
                <w:sz w:val="24"/>
                <w:szCs w:val="24"/>
                <w:color w:val="auto"/>
              </w:rPr>
            </w:pPr>
          </w:p>
        </w:tc>
        <w:tc>
          <w:tcPr>
            <w:tcW w:w="1140" w:type="dxa"/>
            <w:vAlign w:val="bottom"/>
            <w:tcBorders>
              <w:bottom w:val="single" w:sz="8" w:color="auto"/>
            </w:tcBorders>
          </w:tcPr>
          <w:p>
            <w:pPr>
              <w:spacing w:after="0"/>
              <w:rPr>
                <w:sz w:val="24"/>
                <w:szCs w:val="24"/>
                <w:color w:val="auto"/>
              </w:rPr>
            </w:pPr>
          </w:p>
        </w:tc>
      </w:tr>
      <w:tr>
        <w:trPr>
          <w:trHeight w:val="175"/>
        </w:trPr>
        <w:tc>
          <w:tcPr>
            <w:tcW w:w="4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39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56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rPr>
              <w:t>Quoted Prices in</w:t>
            </w:r>
          </w:p>
        </w:tc>
        <w:tc>
          <w:tcPr>
            <w:tcW w:w="240" w:type="dxa"/>
            <w:vAlign w:val="bottom"/>
          </w:tcPr>
          <w:p>
            <w:pPr>
              <w:spacing w:after="0"/>
              <w:rPr>
                <w:sz w:val="15"/>
                <w:szCs w:val="15"/>
                <w:color w:val="auto"/>
              </w:rPr>
            </w:pPr>
          </w:p>
        </w:tc>
        <w:tc>
          <w:tcPr>
            <w:tcW w:w="1360" w:type="dxa"/>
            <w:vAlign w:val="bottom"/>
            <w:gridSpan w:val="2"/>
          </w:tcPr>
          <w:p>
            <w:pPr>
              <w:jc w:val="center"/>
              <w:ind w:right="340"/>
              <w:spacing w:after="0"/>
              <w:rPr>
                <w:sz w:val="20"/>
                <w:szCs w:val="20"/>
                <w:color w:val="auto"/>
              </w:rPr>
            </w:pPr>
            <w:r>
              <w:rPr>
                <w:rFonts w:ascii="Arial" w:cs="Arial" w:eastAsia="Arial" w:hAnsi="Arial"/>
                <w:sz w:val="14"/>
                <w:szCs w:val="14"/>
                <w:b w:val="1"/>
                <w:bCs w:val="1"/>
                <w:color w:val="auto"/>
              </w:rPr>
              <w:t>Significant</w:t>
            </w:r>
          </w:p>
        </w:tc>
        <w:tc>
          <w:tcPr>
            <w:tcW w:w="200" w:type="dxa"/>
            <w:vAlign w:val="bottom"/>
          </w:tcPr>
          <w:p>
            <w:pPr>
              <w:spacing w:after="0"/>
              <w:rPr>
                <w:sz w:val="15"/>
                <w:szCs w:val="15"/>
                <w:color w:val="auto"/>
              </w:rPr>
            </w:pPr>
          </w:p>
        </w:tc>
        <w:tc>
          <w:tcPr>
            <w:tcW w:w="1420" w:type="dxa"/>
            <w:vAlign w:val="bottom"/>
            <w:gridSpan w:val="3"/>
          </w:tcPr>
          <w:p>
            <w:pPr>
              <w:jc w:val="center"/>
              <w:ind w:right="320"/>
              <w:spacing w:after="0"/>
              <w:rPr>
                <w:sz w:val="20"/>
                <w:szCs w:val="20"/>
                <w:color w:val="auto"/>
              </w:rPr>
            </w:pPr>
            <w:r>
              <w:rPr>
                <w:rFonts w:ascii="Arial" w:cs="Arial" w:eastAsia="Arial" w:hAnsi="Arial"/>
                <w:sz w:val="14"/>
                <w:szCs w:val="14"/>
                <w:b w:val="1"/>
                <w:bCs w:val="1"/>
                <w:color w:val="auto"/>
              </w:rPr>
              <w:t>Significant</w:t>
            </w:r>
          </w:p>
        </w:tc>
        <w:tc>
          <w:tcPr>
            <w:tcW w:w="320" w:type="dxa"/>
            <w:vAlign w:val="bottom"/>
          </w:tcPr>
          <w:p>
            <w:pPr>
              <w:spacing w:after="0"/>
              <w:rPr>
                <w:sz w:val="15"/>
                <w:szCs w:val="15"/>
                <w:color w:val="auto"/>
              </w:rPr>
            </w:pPr>
          </w:p>
        </w:tc>
        <w:tc>
          <w:tcPr>
            <w:tcW w:w="1140" w:type="dxa"/>
            <w:vAlign w:val="bottom"/>
          </w:tcPr>
          <w:p>
            <w:pPr>
              <w:spacing w:after="0"/>
              <w:rPr>
                <w:sz w:val="15"/>
                <w:szCs w:val="15"/>
                <w:color w:val="auto"/>
              </w:rPr>
            </w:pPr>
          </w:p>
        </w:tc>
      </w:tr>
      <w:tr>
        <w:trPr>
          <w:trHeight w:val="162"/>
        </w:trPr>
        <w:tc>
          <w:tcPr>
            <w:tcW w:w="4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39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56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rPr>
              <w:t>Active Markets for</w:t>
            </w:r>
          </w:p>
        </w:tc>
        <w:tc>
          <w:tcPr>
            <w:tcW w:w="240" w:type="dxa"/>
            <w:vAlign w:val="bottom"/>
          </w:tcPr>
          <w:p>
            <w:pPr>
              <w:spacing w:after="0"/>
              <w:rPr>
                <w:sz w:val="14"/>
                <w:szCs w:val="14"/>
                <w:color w:val="auto"/>
              </w:rPr>
            </w:pPr>
          </w:p>
        </w:tc>
        <w:tc>
          <w:tcPr>
            <w:tcW w:w="1360" w:type="dxa"/>
            <w:vAlign w:val="bottom"/>
            <w:gridSpan w:val="2"/>
          </w:tcPr>
          <w:p>
            <w:pPr>
              <w:jc w:val="center"/>
              <w:ind w:right="340"/>
              <w:spacing w:after="0"/>
              <w:rPr>
                <w:sz w:val="20"/>
                <w:szCs w:val="20"/>
                <w:color w:val="auto"/>
              </w:rPr>
            </w:pPr>
            <w:r>
              <w:rPr>
                <w:rFonts w:ascii="Arial" w:cs="Arial" w:eastAsia="Arial" w:hAnsi="Arial"/>
                <w:sz w:val="14"/>
                <w:szCs w:val="14"/>
                <w:b w:val="1"/>
                <w:bCs w:val="1"/>
                <w:color w:val="auto"/>
              </w:rPr>
              <w:t>Observable</w:t>
            </w:r>
          </w:p>
        </w:tc>
        <w:tc>
          <w:tcPr>
            <w:tcW w:w="200" w:type="dxa"/>
            <w:vAlign w:val="bottom"/>
          </w:tcPr>
          <w:p>
            <w:pPr>
              <w:spacing w:after="0"/>
              <w:rPr>
                <w:sz w:val="14"/>
                <w:szCs w:val="14"/>
                <w:color w:val="auto"/>
              </w:rPr>
            </w:pPr>
          </w:p>
        </w:tc>
        <w:tc>
          <w:tcPr>
            <w:tcW w:w="1420" w:type="dxa"/>
            <w:vAlign w:val="bottom"/>
            <w:gridSpan w:val="3"/>
          </w:tcPr>
          <w:p>
            <w:pPr>
              <w:jc w:val="center"/>
              <w:ind w:right="340"/>
              <w:spacing w:after="0"/>
              <w:rPr>
                <w:sz w:val="20"/>
                <w:szCs w:val="20"/>
                <w:color w:val="auto"/>
              </w:rPr>
            </w:pPr>
            <w:r>
              <w:rPr>
                <w:rFonts w:ascii="Arial" w:cs="Arial" w:eastAsia="Arial" w:hAnsi="Arial"/>
                <w:sz w:val="14"/>
                <w:szCs w:val="14"/>
                <w:b w:val="1"/>
                <w:bCs w:val="1"/>
                <w:color w:val="auto"/>
              </w:rPr>
              <w:t>Unobservable</w:t>
            </w:r>
          </w:p>
        </w:tc>
        <w:tc>
          <w:tcPr>
            <w:tcW w:w="320" w:type="dxa"/>
            <w:vAlign w:val="bottom"/>
          </w:tcPr>
          <w:p>
            <w:pPr>
              <w:spacing w:after="0"/>
              <w:rPr>
                <w:sz w:val="14"/>
                <w:szCs w:val="14"/>
                <w:color w:val="auto"/>
              </w:rPr>
            </w:pPr>
          </w:p>
        </w:tc>
        <w:tc>
          <w:tcPr>
            <w:tcW w:w="1140" w:type="dxa"/>
            <w:vAlign w:val="bottom"/>
          </w:tcPr>
          <w:p>
            <w:pPr>
              <w:spacing w:after="0"/>
              <w:rPr>
                <w:sz w:val="14"/>
                <w:szCs w:val="14"/>
                <w:color w:val="auto"/>
              </w:rPr>
            </w:pPr>
          </w:p>
        </w:tc>
      </w:tr>
      <w:tr>
        <w:trPr>
          <w:trHeight w:val="162"/>
        </w:trPr>
        <w:tc>
          <w:tcPr>
            <w:tcW w:w="4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39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56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rPr>
              <w:t>Identical Assets</w:t>
            </w:r>
          </w:p>
        </w:tc>
        <w:tc>
          <w:tcPr>
            <w:tcW w:w="240" w:type="dxa"/>
            <w:vAlign w:val="bottom"/>
          </w:tcPr>
          <w:p>
            <w:pPr>
              <w:spacing w:after="0"/>
              <w:rPr>
                <w:sz w:val="14"/>
                <w:szCs w:val="14"/>
                <w:color w:val="auto"/>
              </w:rPr>
            </w:pPr>
          </w:p>
        </w:tc>
        <w:tc>
          <w:tcPr>
            <w:tcW w:w="1360" w:type="dxa"/>
            <w:vAlign w:val="bottom"/>
            <w:gridSpan w:val="2"/>
          </w:tcPr>
          <w:p>
            <w:pPr>
              <w:jc w:val="center"/>
              <w:ind w:right="340"/>
              <w:spacing w:after="0"/>
              <w:rPr>
                <w:sz w:val="20"/>
                <w:szCs w:val="20"/>
                <w:color w:val="auto"/>
              </w:rPr>
            </w:pPr>
            <w:r>
              <w:rPr>
                <w:rFonts w:ascii="Arial" w:cs="Arial" w:eastAsia="Arial" w:hAnsi="Arial"/>
                <w:sz w:val="14"/>
                <w:szCs w:val="14"/>
                <w:b w:val="1"/>
                <w:bCs w:val="1"/>
                <w:color w:val="auto"/>
                <w:w w:val="99"/>
              </w:rPr>
              <w:t>Inputs</w:t>
            </w:r>
          </w:p>
        </w:tc>
        <w:tc>
          <w:tcPr>
            <w:tcW w:w="200" w:type="dxa"/>
            <w:vAlign w:val="bottom"/>
          </w:tcPr>
          <w:p>
            <w:pPr>
              <w:spacing w:after="0"/>
              <w:rPr>
                <w:sz w:val="14"/>
                <w:szCs w:val="14"/>
                <w:color w:val="auto"/>
              </w:rPr>
            </w:pPr>
          </w:p>
        </w:tc>
        <w:tc>
          <w:tcPr>
            <w:tcW w:w="1420" w:type="dxa"/>
            <w:vAlign w:val="bottom"/>
            <w:gridSpan w:val="3"/>
          </w:tcPr>
          <w:p>
            <w:pPr>
              <w:jc w:val="center"/>
              <w:ind w:right="340"/>
              <w:spacing w:after="0"/>
              <w:rPr>
                <w:sz w:val="20"/>
                <w:szCs w:val="20"/>
                <w:color w:val="auto"/>
              </w:rPr>
            </w:pPr>
            <w:r>
              <w:rPr>
                <w:rFonts w:ascii="Arial" w:cs="Arial" w:eastAsia="Arial" w:hAnsi="Arial"/>
                <w:sz w:val="14"/>
                <w:szCs w:val="14"/>
                <w:b w:val="1"/>
                <w:bCs w:val="1"/>
                <w:color w:val="auto"/>
              </w:rPr>
              <w:t>Inputs</w:t>
            </w:r>
          </w:p>
        </w:tc>
        <w:tc>
          <w:tcPr>
            <w:tcW w:w="320" w:type="dxa"/>
            <w:vAlign w:val="bottom"/>
          </w:tcPr>
          <w:p>
            <w:pPr>
              <w:spacing w:after="0"/>
              <w:rPr>
                <w:sz w:val="14"/>
                <w:szCs w:val="14"/>
                <w:color w:val="auto"/>
              </w:rPr>
            </w:pPr>
          </w:p>
        </w:tc>
        <w:tc>
          <w:tcPr>
            <w:tcW w:w="1140" w:type="dxa"/>
            <w:vAlign w:val="bottom"/>
          </w:tcPr>
          <w:p>
            <w:pPr>
              <w:spacing w:after="0"/>
              <w:rPr>
                <w:sz w:val="14"/>
                <w:szCs w:val="14"/>
                <w:color w:val="auto"/>
              </w:rPr>
            </w:pPr>
          </w:p>
        </w:tc>
      </w:tr>
      <w:tr>
        <w:trPr>
          <w:trHeight w:val="162"/>
        </w:trPr>
        <w:tc>
          <w:tcPr>
            <w:tcW w:w="5040" w:type="dxa"/>
            <w:vAlign w:val="bottom"/>
            <w:gridSpan w:val="3"/>
          </w:tcPr>
          <w:p>
            <w:pPr>
              <w:ind w:left="40"/>
              <w:spacing w:after="0"/>
              <w:rPr>
                <w:sz w:val="20"/>
                <w:szCs w:val="20"/>
                <w:color w:val="auto"/>
              </w:rPr>
            </w:pPr>
            <w:r>
              <w:rPr>
                <w:rFonts w:ascii="Arial" w:cs="Arial" w:eastAsia="Arial" w:hAnsi="Arial"/>
                <w:sz w:val="14"/>
                <w:szCs w:val="14"/>
                <w:b w:val="1"/>
                <w:bCs w:val="1"/>
                <w:color w:val="auto"/>
              </w:rPr>
              <w:t>Asset Category</w:t>
            </w:r>
          </w:p>
        </w:tc>
        <w:tc>
          <w:tcPr>
            <w:tcW w:w="140" w:type="dxa"/>
            <w:vAlign w:val="bottom"/>
          </w:tcPr>
          <w:p>
            <w:pPr>
              <w:spacing w:after="0"/>
              <w:rPr>
                <w:sz w:val="14"/>
                <w:szCs w:val="14"/>
                <w:color w:val="auto"/>
              </w:rPr>
            </w:pPr>
          </w:p>
        </w:tc>
        <w:tc>
          <w:tcPr>
            <w:tcW w:w="156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rPr>
              <w:t>(Level 1)</w:t>
            </w:r>
          </w:p>
        </w:tc>
        <w:tc>
          <w:tcPr>
            <w:tcW w:w="240" w:type="dxa"/>
            <w:vAlign w:val="bottom"/>
          </w:tcPr>
          <w:p>
            <w:pPr>
              <w:spacing w:after="0"/>
              <w:rPr>
                <w:sz w:val="14"/>
                <w:szCs w:val="14"/>
                <w:color w:val="auto"/>
              </w:rPr>
            </w:pPr>
          </w:p>
        </w:tc>
        <w:tc>
          <w:tcPr>
            <w:tcW w:w="1360" w:type="dxa"/>
            <w:vAlign w:val="bottom"/>
            <w:gridSpan w:val="2"/>
          </w:tcPr>
          <w:p>
            <w:pPr>
              <w:jc w:val="center"/>
              <w:ind w:right="340"/>
              <w:spacing w:after="0"/>
              <w:rPr>
                <w:sz w:val="20"/>
                <w:szCs w:val="20"/>
                <w:color w:val="auto"/>
              </w:rPr>
            </w:pPr>
            <w:r>
              <w:rPr>
                <w:rFonts w:ascii="Arial" w:cs="Arial" w:eastAsia="Arial" w:hAnsi="Arial"/>
                <w:sz w:val="14"/>
                <w:szCs w:val="14"/>
                <w:b w:val="1"/>
                <w:bCs w:val="1"/>
                <w:color w:val="auto"/>
              </w:rPr>
              <w:t>(Level 2)</w:t>
            </w:r>
          </w:p>
        </w:tc>
        <w:tc>
          <w:tcPr>
            <w:tcW w:w="200" w:type="dxa"/>
            <w:vAlign w:val="bottom"/>
          </w:tcPr>
          <w:p>
            <w:pPr>
              <w:spacing w:after="0"/>
              <w:rPr>
                <w:sz w:val="14"/>
                <w:szCs w:val="14"/>
                <w:color w:val="auto"/>
              </w:rPr>
            </w:pPr>
          </w:p>
        </w:tc>
        <w:tc>
          <w:tcPr>
            <w:tcW w:w="1420" w:type="dxa"/>
            <w:vAlign w:val="bottom"/>
            <w:gridSpan w:val="3"/>
          </w:tcPr>
          <w:p>
            <w:pPr>
              <w:jc w:val="center"/>
              <w:ind w:right="320"/>
              <w:spacing w:after="0"/>
              <w:rPr>
                <w:sz w:val="20"/>
                <w:szCs w:val="20"/>
                <w:color w:val="auto"/>
              </w:rPr>
            </w:pPr>
            <w:r>
              <w:rPr>
                <w:rFonts w:ascii="Arial" w:cs="Arial" w:eastAsia="Arial" w:hAnsi="Arial"/>
                <w:sz w:val="14"/>
                <w:szCs w:val="14"/>
                <w:b w:val="1"/>
                <w:bCs w:val="1"/>
                <w:color w:val="auto"/>
              </w:rPr>
              <w:t>(Level 3)</w:t>
            </w:r>
          </w:p>
        </w:tc>
        <w:tc>
          <w:tcPr>
            <w:tcW w:w="320" w:type="dxa"/>
            <w:vAlign w:val="bottom"/>
          </w:tcPr>
          <w:p>
            <w:pPr>
              <w:spacing w:after="0"/>
              <w:rPr>
                <w:sz w:val="14"/>
                <w:szCs w:val="14"/>
                <w:color w:val="auto"/>
              </w:rPr>
            </w:pPr>
          </w:p>
        </w:tc>
        <w:tc>
          <w:tcPr>
            <w:tcW w:w="1140" w:type="dxa"/>
            <w:vAlign w:val="bottom"/>
          </w:tcPr>
          <w:p>
            <w:pPr>
              <w:jc w:val="right"/>
              <w:ind w:right="494"/>
              <w:spacing w:after="0"/>
              <w:rPr>
                <w:sz w:val="20"/>
                <w:szCs w:val="20"/>
                <w:color w:val="auto"/>
              </w:rPr>
            </w:pPr>
            <w:r>
              <w:rPr>
                <w:rFonts w:ascii="Arial" w:cs="Arial" w:eastAsia="Arial" w:hAnsi="Arial"/>
                <w:sz w:val="14"/>
                <w:szCs w:val="14"/>
                <w:b w:val="1"/>
                <w:bCs w:val="1"/>
                <w:color w:val="auto"/>
              </w:rPr>
              <w:t>Total</w:t>
            </w:r>
          </w:p>
        </w:tc>
      </w:tr>
      <w:tr>
        <w:trPr>
          <w:trHeight w:val="21"/>
        </w:trPr>
        <w:tc>
          <w:tcPr>
            <w:tcW w:w="40" w:type="dxa"/>
            <w:vAlign w:val="bottom"/>
            <w:tcBorders>
              <w:bottom w:val="single" w:sz="8" w:color="CCEEFF"/>
            </w:tcBorders>
          </w:tcPr>
          <w:p>
            <w:pPr>
              <w:spacing w:after="0" w:line="20" w:lineRule="exact"/>
              <w:rPr>
                <w:sz w:val="1"/>
                <w:szCs w:val="1"/>
                <w:color w:val="auto"/>
              </w:rPr>
            </w:pPr>
          </w:p>
        </w:tc>
        <w:tc>
          <w:tcPr>
            <w:tcW w:w="1060" w:type="dxa"/>
            <w:vAlign w:val="bottom"/>
            <w:tcBorders>
              <w:top w:val="single" w:sz="8" w:color="auto"/>
              <w:bottom w:val="single" w:sz="8" w:color="CCEEFF"/>
            </w:tcBorders>
          </w:tcPr>
          <w:p>
            <w:pPr>
              <w:spacing w:after="0" w:line="20" w:lineRule="exact"/>
              <w:rPr>
                <w:sz w:val="1"/>
                <w:szCs w:val="1"/>
                <w:color w:val="auto"/>
              </w:rPr>
            </w:pPr>
          </w:p>
        </w:tc>
        <w:tc>
          <w:tcPr>
            <w:tcW w:w="394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4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r>
      <w:tr>
        <w:trPr>
          <w:trHeight w:val="250"/>
        </w:trPr>
        <w:tc>
          <w:tcPr>
            <w:tcW w:w="5040" w:type="dxa"/>
            <w:vAlign w:val="bottom"/>
            <w:gridSpan w:val="3"/>
            <w:shd w:val="clear" w:color="auto" w:fill="CCEEFF"/>
          </w:tcPr>
          <w:p>
            <w:pPr>
              <w:ind w:left="40"/>
              <w:spacing w:after="0"/>
              <w:rPr>
                <w:sz w:val="20"/>
                <w:szCs w:val="20"/>
                <w:color w:val="auto"/>
              </w:rPr>
            </w:pPr>
            <w:r>
              <w:rPr>
                <w:rFonts w:ascii="Arial" w:cs="Arial" w:eastAsia="Arial" w:hAnsi="Arial"/>
                <w:sz w:val="18"/>
                <w:szCs w:val="18"/>
                <w:color w:val="auto"/>
              </w:rPr>
              <w:t>Money market fund</w:t>
            </w: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460" w:type="dxa"/>
            <w:vAlign w:val="bottom"/>
            <w:shd w:val="clear" w:color="auto" w:fill="CCEEFF"/>
          </w:tcPr>
          <w:p>
            <w:pPr>
              <w:jc w:val="right"/>
              <w:ind w:right="21"/>
              <w:spacing w:after="0"/>
              <w:rPr>
                <w:sz w:val="20"/>
                <w:szCs w:val="20"/>
                <w:color w:val="auto"/>
              </w:rPr>
            </w:pPr>
            <w:r>
              <w:rPr>
                <w:rFonts w:ascii="Arial" w:cs="Arial" w:eastAsia="Arial" w:hAnsi="Arial"/>
                <w:sz w:val="18"/>
                <w:szCs w:val="18"/>
                <w:color w:val="auto"/>
              </w:rPr>
              <w:t>4</w:t>
            </w:r>
          </w:p>
        </w:tc>
        <w:tc>
          <w:tcPr>
            <w:tcW w:w="100" w:type="dxa"/>
            <w:vAlign w:val="bottom"/>
            <w:shd w:val="clear" w:color="auto" w:fill="CCEEFF"/>
          </w:tcPr>
          <w:p>
            <w:pPr>
              <w:spacing w:after="0"/>
              <w:rPr>
                <w:sz w:val="21"/>
                <w:szCs w:val="21"/>
                <w:color w:val="auto"/>
              </w:rPr>
            </w:pPr>
          </w:p>
        </w:tc>
        <w:tc>
          <w:tcPr>
            <w:tcW w:w="24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13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420" w:type="dxa"/>
            <w:vAlign w:val="bottom"/>
            <w:gridSpan w:val="3"/>
            <w:shd w:val="clear" w:color="auto" w:fill="CCEEFF"/>
          </w:tcPr>
          <w:p>
            <w:pPr>
              <w:ind w:left="1000"/>
              <w:spacing w:after="0"/>
              <w:rPr>
                <w:sz w:val="20"/>
                <w:szCs w:val="20"/>
                <w:color w:val="auto"/>
              </w:rPr>
            </w:pPr>
            <w:r>
              <w:rPr>
                <w:rFonts w:ascii="Arial" w:cs="Arial" w:eastAsia="Arial" w:hAnsi="Arial"/>
                <w:sz w:val="18"/>
                <w:szCs w:val="18"/>
                <w:color w:val="auto"/>
              </w:rPr>
              <w:t>—</w:t>
            </w:r>
          </w:p>
        </w:tc>
        <w:tc>
          <w:tcPr>
            <w:tcW w:w="32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w w:val="79"/>
              </w:rPr>
              <w:t>$</w:t>
            </w:r>
          </w:p>
        </w:tc>
        <w:tc>
          <w:tcPr>
            <w:tcW w:w="1140" w:type="dxa"/>
            <w:vAlign w:val="bottom"/>
            <w:shd w:val="clear" w:color="auto" w:fill="CCEEFF"/>
          </w:tcPr>
          <w:p>
            <w:pPr>
              <w:jc w:val="right"/>
              <w:ind w:right="14"/>
              <w:spacing w:after="0"/>
              <w:rPr>
                <w:sz w:val="20"/>
                <w:szCs w:val="20"/>
                <w:color w:val="auto"/>
              </w:rPr>
            </w:pPr>
            <w:r>
              <w:rPr>
                <w:rFonts w:ascii="Arial" w:cs="Arial" w:eastAsia="Arial" w:hAnsi="Arial"/>
                <w:sz w:val="18"/>
                <w:szCs w:val="18"/>
                <w:color w:val="auto"/>
              </w:rPr>
              <w:t>4</w:t>
            </w:r>
          </w:p>
        </w:tc>
      </w:tr>
      <w:tr>
        <w:trPr>
          <w:trHeight w:val="264"/>
        </w:trPr>
        <w:tc>
          <w:tcPr>
            <w:tcW w:w="5040" w:type="dxa"/>
            <w:vAlign w:val="bottom"/>
            <w:tcBorders>
              <w:bottom w:val="single" w:sz="8" w:color="CCEEFF"/>
            </w:tcBorders>
            <w:gridSpan w:val="3"/>
          </w:tcPr>
          <w:p>
            <w:pPr>
              <w:ind w:left="40"/>
              <w:spacing w:after="0"/>
              <w:rPr>
                <w:sz w:val="20"/>
                <w:szCs w:val="20"/>
                <w:color w:val="auto"/>
              </w:rPr>
            </w:pPr>
            <w:r>
              <w:rPr>
                <w:rFonts w:ascii="Arial" w:cs="Arial" w:eastAsia="Arial" w:hAnsi="Arial"/>
                <w:sz w:val="18"/>
                <w:szCs w:val="18"/>
                <w:color w:val="auto"/>
              </w:rPr>
              <w:t>Mutual funds – AAL Class</w:t>
            </w:r>
          </w:p>
        </w:tc>
        <w:tc>
          <w:tcPr>
            <w:tcW w:w="140" w:type="dxa"/>
            <w:vAlign w:val="bottom"/>
            <w:tcBorders>
              <w:bottom w:val="single" w:sz="8" w:color="auto"/>
            </w:tcBorders>
          </w:tcPr>
          <w:p>
            <w:pPr>
              <w:spacing w:after="0"/>
              <w:rPr>
                <w:sz w:val="22"/>
                <w:szCs w:val="22"/>
                <w:color w:val="auto"/>
              </w:rPr>
            </w:pPr>
          </w:p>
        </w:tc>
        <w:tc>
          <w:tcPr>
            <w:tcW w:w="1460" w:type="dxa"/>
            <w:vAlign w:val="bottom"/>
            <w:tcBorders>
              <w:bottom w:val="single" w:sz="8" w:color="auto"/>
            </w:tcBorders>
          </w:tcPr>
          <w:p>
            <w:pPr>
              <w:jc w:val="right"/>
              <w:ind w:right="21"/>
              <w:spacing w:after="0"/>
              <w:rPr>
                <w:sz w:val="20"/>
                <w:szCs w:val="20"/>
                <w:color w:val="auto"/>
              </w:rPr>
            </w:pPr>
            <w:r>
              <w:rPr>
                <w:rFonts w:ascii="Arial" w:cs="Arial" w:eastAsia="Arial" w:hAnsi="Arial"/>
                <w:sz w:val="18"/>
                <w:szCs w:val="18"/>
                <w:color w:val="auto"/>
              </w:rPr>
              <w:t>—</w:t>
            </w:r>
          </w:p>
        </w:tc>
        <w:tc>
          <w:tcPr>
            <w:tcW w:w="100" w:type="dxa"/>
            <w:vAlign w:val="bottom"/>
            <w:tcBorders>
              <w:bottom w:val="single" w:sz="8" w:color="CCEEFF"/>
            </w:tcBorders>
          </w:tcPr>
          <w:p>
            <w:pPr>
              <w:spacing w:after="0"/>
              <w:rPr>
                <w:sz w:val="22"/>
                <w:szCs w:val="22"/>
                <w:color w:val="auto"/>
              </w:rPr>
            </w:pPr>
          </w:p>
        </w:tc>
        <w:tc>
          <w:tcPr>
            <w:tcW w:w="240" w:type="dxa"/>
            <w:vAlign w:val="bottom"/>
            <w:tcBorders>
              <w:bottom w:val="single" w:sz="8" w:color="auto"/>
            </w:tcBorders>
          </w:tcPr>
          <w:p>
            <w:pPr>
              <w:spacing w:after="0"/>
              <w:rPr>
                <w:sz w:val="22"/>
                <w:szCs w:val="22"/>
                <w:color w:val="auto"/>
              </w:rPr>
            </w:pPr>
          </w:p>
        </w:tc>
        <w:tc>
          <w:tcPr>
            <w:tcW w:w="1260" w:type="dxa"/>
            <w:vAlign w:val="bottom"/>
            <w:tcBorders>
              <w:bottom w:val="single" w:sz="8" w:color="auto"/>
            </w:tcBorders>
          </w:tcPr>
          <w:p>
            <w:pPr>
              <w:jc w:val="right"/>
              <w:ind w:right="40"/>
              <w:spacing w:after="0"/>
              <w:rPr>
                <w:sz w:val="20"/>
                <w:szCs w:val="20"/>
                <w:color w:val="auto"/>
              </w:rPr>
            </w:pPr>
            <w:r>
              <w:rPr>
                <w:rFonts w:ascii="Arial" w:cs="Arial" w:eastAsia="Arial" w:hAnsi="Arial"/>
                <w:sz w:val="18"/>
                <w:szCs w:val="18"/>
                <w:color w:val="auto"/>
              </w:rPr>
              <w:t>221</w:t>
            </w:r>
          </w:p>
        </w:tc>
        <w:tc>
          <w:tcPr>
            <w:tcW w:w="100" w:type="dxa"/>
            <w:vAlign w:val="bottom"/>
            <w:tcBorders>
              <w:bottom w:val="single" w:sz="8" w:color="CCEEFF"/>
            </w:tcBorders>
          </w:tcPr>
          <w:p>
            <w:pPr>
              <w:spacing w:after="0"/>
              <w:rPr>
                <w:sz w:val="22"/>
                <w:szCs w:val="22"/>
                <w:color w:val="auto"/>
              </w:rPr>
            </w:pPr>
          </w:p>
        </w:tc>
        <w:tc>
          <w:tcPr>
            <w:tcW w:w="200" w:type="dxa"/>
            <w:vAlign w:val="bottom"/>
            <w:tcBorders>
              <w:bottom w:val="single" w:sz="8" w:color="auto"/>
            </w:tcBorders>
          </w:tcPr>
          <w:p>
            <w:pPr>
              <w:spacing w:after="0"/>
              <w:rPr>
                <w:sz w:val="22"/>
                <w:szCs w:val="22"/>
                <w:color w:val="auto"/>
              </w:rPr>
            </w:pPr>
          </w:p>
        </w:tc>
        <w:tc>
          <w:tcPr>
            <w:tcW w:w="1280" w:type="dxa"/>
            <w:vAlign w:val="bottom"/>
            <w:tcBorders>
              <w:bottom w:val="single" w:sz="8" w:color="auto"/>
            </w:tcBorders>
          </w:tcPr>
          <w:p>
            <w:pPr>
              <w:ind w:left="1000"/>
              <w:spacing w:after="0"/>
              <w:rPr>
                <w:sz w:val="20"/>
                <w:szCs w:val="20"/>
                <w:color w:val="auto"/>
              </w:rPr>
            </w:pPr>
            <w:r>
              <w:rPr>
                <w:rFonts w:ascii="Arial" w:cs="Arial" w:eastAsia="Arial" w:hAnsi="Arial"/>
                <w:sz w:val="18"/>
                <w:szCs w:val="18"/>
                <w:color w:val="auto"/>
              </w:rPr>
              <w:t>—</w:t>
            </w:r>
          </w:p>
        </w:tc>
        <w:tc>
          <w:tcPr>
            <w:tcW w:w="120" w:type="dxa"/>
            <w:vAlign w:val="bottom"/>
            <w:tcBorders>
              <w:bottom w:val="single" w:sz="8" w:color="CCEEFF"/>
            </w:tcBorders>
          </w:tcPr>
          <w:p>
            <w:pPr>
              <w:spacing w:after="0"/>
              <w:rPr>
                <w:sz w:val="22"/>
                <w:szCs w:val="22"/>
                <w:color w:val="auto"/>
              </w:rPr>
            </w:pPr>
          </w:p>
        </w:tc>
        <w:tc>
          <w:tcPr>
            <w:tcW w:w="20" w:type="dxa"/>
            <w:vAlign w:val="bottom"/>
            <w:tcBorders>
              <w:bottom w:val="single" w:sz="8" w:color="auto"/>
            </w:tcBorders>
          </w:tcPr>
          <w:p>
            <w:pPr>
              <w:spacing w:after="0"/>
              <w:rPr>
                <w:sz w:val="22"/>
                <w:szCs w:val="22"/>
                <w:color w:val="auto"/>
              </w:rPr>
            </w:pPr>
          </w:p>
        </w:tc>
        <w:tc>
          <w:tcPr>
            <w:tcW w:w="320" w:type="dxa"/>
            <w:vAlign w:val="bottom"/>
            <w:tcBorders>
              <w:bottom w:val="single" w:sz="8" w:color="auto"/>
            </w:tcBorders>
          </w:tcPr>
          <w:p>
            <w:pPr>
              <w:spacing w:after="0"/>
              <w:rPr>
                <w:sz w:val="22"/>
                <w:szCs w:val="22"/>
                <w:color w:val="auto"/>
              </w:rPr>
            </w:pPr>
          </w:p>
        </w:tc>
        <w:tc>
          <w:tcPr>
            <w:tcW w:w="1140" w:type="dxa"/>
            <w:vAlign w:val="bottom"/>
            <w:tcBorders>
              <w:bottom w:val="single" w:sz="8" w:color="auto"/>
            </w:tcBorders>
          </w:tcPr>
          <w:p>
            <w:pPr>
              <w:jc w:val="right"/>
              <w:ind w:right="14"/>
              <w:spacing w:after="0"/>
              <w:rPr>
                <w:sz w:val="20"/>
                <w:szCs w:val="20"/>
                <w:color w:val="auto"/>
              </w:rPr>
            </w:pPr>
            <w:r>
              <w:rPr>
                <w:rFonts w:ascii="Arial" w:cs="Arial" w:eastAsia="Arial" w:hAnsi="Arial"/>
                <w:sz w:val="18"/>
                <w:szCs w:val="18"/>
                <w:color w:val="auto"/>
              </w:rPr>
              <w:t>221</w:t>
            </w:r>
          </w:p>
        </w:tc>
      </w:tr>
      <w:tr>
        <w:trPr>
          <w:trHeight w:val="250"/>
        </w:trPr>
        <w:tc>
          <w:tcPr>
            <w:tcW w:w="40" w:type="dxa"/>
            <w:vAlign w:val="bottom"/>
            <w:shd w:val="clear" w:color="auto" w:fill="CCEEFF"/>
          </w:tcPr>
          <w:p>
            <w:pPr>
              <w:spacing w:after="0"/>
              <w:rPr>
                <w:sz w:val="21"/>
                <w:szCs w:val="21"/>
                <w:color w:val="auto"/>
              </w:rPr>
            </w:pPr>
          </w:p>
        </w:tc>
        <w:tc>
          <w:tcPr>
            <w:tcW w:w="5000" w:type="dxa"/>
            <w:vAlign w:val="bottom"/>
            <w:gridSpan w:val="2"/>
            <w:shd w:val="clear" w:color="auto" w:fill="CCEEFF"/>
          </w:tcPr>
          <w:p>
            <w:pPr>
              <w:ind w:left="140"/>
              <w:spacing w:after="0"/>
              <w:rPr>
                <w:sz w:val="20"/>
                <w:szCs w:val="20"/>
                <w:color w:val="auto"/>
              </w:rPr>
            </w:pPr>
            <w:r>
              <w:rPr>
                <w:rFonts w:ascii="Arial" w:cs="Arial" w:eastAsia="Arial" w:hAnsi="Arial"/>
                <w:sz w:val="18"/>
                <w:szCs w:val="18"/>
                <w:color w:val="auto"/>
              </w:rPr>
              <w:t>Total</w:t>
            </w: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460" w:type="dxa"/>
            <w:vAlign w:val="bottom"/>
            <w:shd w:val="clear" w:color="auto" w:fill="CCEEFF"/>
          </w:tcPr>
          <w:p>
            <w:pPr>
              <w:jc w:val="right"/>
              <w:ind w:right="21"/>
              <w:spacing w:after="0"/>
              <w:rPr>
                <w:sz w:val="20"/>
                <w:szCs w:val="20"/>
                <w:color w:val="auto"/>
              </w:rPr>
            </w:pPr>
            <w:r>
              <w:rPr>
                <w:rFonts w:ascii="Arial" w:cs="Arial" w:eastAsia="Arial" w:hAnsi="Arial"/>
                <w:sz w:val="18"/>
                <w:szCs w:val="18"/>
                <w:color w:val="auto"/>
              </w:rPr>
              <w:t>4</w:t>
            </w:r>
          </w:p>
        </w:tc>
        <w:tc>
          <w:tcPr>
            <w:tcW w:w="100" w:type="dxa"/>
            <w:vAlign w:val="bottom"/>
            <w:shd w:val="clear" w:color="auto" w:fill="CCEEFF"/>
          </w:tcPr>
          <w:p>
            <w:pPr>
              <w:spacing w:after="0"/>
              <w:rPr>
                <w:sz w:val="21"/>
                <w:szCs w:val="21"/>
                <w:color w:val="auto"/>
              </w:rPr>
            </w:pPr>
          </w:p>
        </w:tc>
        <w:tc>
          <w:tcPr>
            <w:tcW w:w="24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1260" w:type="dxa"/>
            <w:vAlign w:val="bottom"/>
            <w:shd w:val="clear" w:color="auto" w:fill="CCEEFF"/>
          </w:tcPr>
          <w:p>
            <w:pPr>
              <w:jc w:val="right"/>
              <w:ind w:right="40"/>
              <w:spacing w:after="0"/>
              <w:rPr>
                <w:sz w:val="20"/>
                <w:szCs w:val="20"/>
                <w:color w:val="auto"/>
              </w:rPr>
            </w:pPr>
            <w:r>
              <w:rPr>
                <w:rFonts w:ascii="Arial" w:cs="Arial" w:eastAsia="Arial" w:hAnsi="Arial"/>
                <w:sz w:val="18"/>
                <w:szCs w:val="18"/>
                <w:color w:val="auto"/>
              </w:rPr>
              <w:t>221</w:t>
            </w:r>
          </w:p>
        </w:tc>
        <w:tc>
          <w:tcPr>
            <w:tcW w:w="100" w:type="dxa"/>
            <w:vAlign w:val="bottom"/>
            <w:shd w:val="clear" w:color="auto" w:fill="CCEEFF"/>
          </w:tcPr>
          <w:p>
            <w:pPr>
              <w:spacing w:after="0"/>
              <w:rPr>
                <w:sz w:val="21"/>
                <w:szCs w:val="21"/>
                <w:color w:val="auto"/>
              </w:rPr>
            </w:pPr>
          </w:p>
        </w:tc>
        <w:tc>
          <w:tcPr>
            <w:tcW w:w="2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420" w:type="dxa"/>
            <w:vAlign w:val="bottom"/>
            <w:gridSpan w:val="3"/>
            <w:shd w:val="clear" w:color="auto" w:fill="CCEEFF"/>
          </w:tcPr>
          <w:p>
            <w:pPr>
              <w:ind w:left="1000"/>
              <w:spacing w:after="0"/>
              <w:rPr>
                <w:sz w:val="20"/>
                <w:szCs w:val="20"/>
                <w:color w:val="auto"/>
              </w:rPr>
            </w:pPr>
            <w:r>
              <w:rPr>
                <w:rFonts w:ascii="Arial" w:cs="Arial" w:eastAsia="Arial" w:hAnsi="Arial"/>
                <w:sz w:val="18"/>
                <w:szCs w:val="18"/>
                <w:color w:val="auto"/>
              </w:rPr>
              <w:t>—</w:t>
            </w:r>
          </w:p>
        </w:tc>
        <w:tc>
          <w:tcPr>
            <w:tcW w:w="32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w w:val="79"/>
              </w:rPr>
              <w:t>$</w:t>
            </w:r>
          </w:p>
        </w:tc>
        <w:tc>
          <w:tcPr>
            <w:tcW w:w="1140" w:type="dxa"/>
            <w:vAlign w:val="bottom"/>
            <w:shd w:val="clear" w:color="auto" w:fill="CCEEFF"/>
          </w:tcPr>
          <w:p>
            <w:pPr>
              <w:jc w:val="right"/>
              <w:ind w:right="14"/>
              <w:spacing w:after="0"/>
              <w:rPr>
                <w:sz w:val="20"/>
                <w:szCs w:val="20"/>
                <w:color w:val="auto"/>
              </w:rPr>
            </w:pPr>
            <w:r>
              <w:rPr>
                <w:rFonts w:ascii="Arial" w:cs="Arial" w:eastAsia="Arial" w:hAnsi="Arial"/>
                <w:sz w:val="18"/>
                <w:szCs w:val="18"/>
                <w:color w:val="auto"/>
              </w:rPr>
              <w:t>225</w:t>
            </w:r>
          </w:p>
        </w:tc>
      </w:tr>
      <w:tr>
        <w:trPr>
          <w:trHeight w:val="20"/>
        </w:trPr>
        <w:tc>
          <w:tcPr>
            <w:tcW w:w="40" w:type="dxa"/>
            <w:vAlign w:val="bottom"/>
            <w:tcBorders>
              <w:top w:val="single" w:sz="8" w:color="CCEEFF"/>
            </w:tcBorders>
          </w:tcPr>
          <w:p>
            <w:pPr>
              <w:spacing w:after="0" w:line="20" w:lineRule="exact"/>
              <w:rPr>
                <w:sz w:val="1"/>
                <w:szCs w:val="1"/>
                <w:color w:val="auto"/>
              </w:rPr>
            </w:pPr>
          </w:p>
        </w:tc>
        <w:tc>
          <w:tcPr>
            <w:tcW w:w="1060" w:type="dxa"/>
            <w:vAlign w:val="bottom"/>
            <w:tcBorders>
              <w:top w:val="single" w:sz="8" w:color="CCEEFF"/>
            </w:tcBorders>
          </w:tcPr>
          <w:p>
            <w:pPr>
              <w:spacing w:after="0" w:line="20" w:lineRule="exact"/>
              <w:rPr>
                <w:sz w:val="1"/>
                <w:szCs w:val="1"/>
                <w:color w:val="auto"/>
              </w:rPr>
            </w:pPr>
          </w:p>
        </w:tc>
        <w:tc>
          <w:tcPr>
            <w:tcW w:w="394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4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2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2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r>
    </w:tbl>
    <w:p>
      <w:pPr>
        <w:spacing w:after="0" w:line="377" w:lineRule="exact"/>
        <w:rPr>
          <w:sz w:val="20"/>
          <w:szCs w:val="20"/>
          <w:color w:val="auto"/>
        </w:rPr>
      </w:pPr>
    </w:p>
    <w:p>
      <w:pPr>
        <w:jc w:val="both"/>
        <w:ind w:firstLine="216"/>
        <w:spacing w:after="0" w:line="253" w:lineRule="auto"/>
        <w:rPr>
          <w:sz w:val="20"/>
          <w:szCs w:val="20"/>
          <w:color w:val="auto"/>
        </w:rPr>
      </w:pPr>
      <w:r>
        <w:rPr>
          <w:rFonts w:ascii="Arial" w:cs="Arial" w:eastAsia="Arial" w:hAnsi="Arial"/>
          <w:sz w:val="18"/>
          <w:szCs w:val="18"/>
          <w:color w:val="auto"/>
        </w:rPr>
        <w:t>Investments in the retiree medical and other postretirement benefits plans’ mutual funds are valued by quoted prices on the active market, which is fair value, and represents the net asset value of the shares of such funds as of the close of business at the end of the period. The AAL Class mutual funds are offered only to benefit plans of American, therefore, trading is restricted only to American, resulting in a fair value classification of Level 2. Investments included approximately 24% and 30% of investments in non-U.S. common stocks in 2019 and 2018, respectively. Net asset value is based on the fair market value of the funds’ underlying assets and liabilities at the date of determination.</w:t>
      </w:r>
    </w:p>
    <w:p>
      <w:pPr>
        <w:spacing w:after="0" w:line="211" w:lineRule="exact"/>
        <w:rPr>
          <w:sz w:val="20"/>
          <w:szCs w:val="20"/>
          <w:color w:val="auto"/>
        </w:rPr>
      </w:pPr>
    </w:p>
    <w:p>
      <w:pPr>
        <w:ind w:left="260"/>
        <w:spacing w:after="0"/>
        <w:rPr>
          <w:sz w:val="20"/>
          <w:szCs w:val="20"/>
          <w:color w:val="auto"/>
        </w:rPr>
      </w:pPr>
      <w:r>
        <w:rPr>
          <w:rFonts w:ascii="Arial" w:cs="Arial" w:eastAsia="Arial" w:hAnsi="Arial"/>
          <w:sz w:val="18"/>
          <w:szCs w:val="18"/>
          <w:b w:val="1"/>
          <w:bCs w:val="1"/>
          <w:i w:val="1"/>
          <w:iCs w:val="1"/>
          <w:color w:val="auto"/>
        </w:rPr>
        <w:t>Defined Contribution and Multiemployer Plans</w:t>
      </w:r>
    </w:p>
    <w:p>
      <w:pPr>
        <w:spacing w:after="0" w:line="112" w:lineRule="exact"/>
        <w:rPr>
          <w:sz w:val="20"/>
          <w:szCs w:val="20"/>
          <w:color w:val="auto"/>
        </w:rPr>
      </w:pPr>
    </w:p>
    <w:p>
      <w:pPr>
        <w:jc w:val="both"/>
        <w:ind w:firstLine="243"/>
        <w:spacing w:after="0" w:line="262" w:lineRule="auto"/>
        <w:rPr>
          <w:sz w:val="20"/>
          <w:szCs w:val="20"/>
          <w:color w:val="auto"/>
        </w:rPr>
      </w:pPr>
      <w:r>
        <w:rPr>
          <w:rFonts w:ascii="Arial" w:cs="Arial" w:eastAsia="Arial" w:hAnsi="Arial"/>
          <w:sz w:val="18"/>
          <w:szCs w:val="18"/>
          <w:color w:val="auto"/>
        </w:rPr>
        <w:t>The costs associated with our defined contribution plans were $860 million, $846 million and $820 million for the years ended December 31, 2019, 2018 and 2017, respectively.</w:t>
      </w:r>
    </w:p>
    <w:p>
      <w:pPr>
        <w:spacing w:after="0" w:line="142" w:lineRule="exact"/>
        <w:rPr>
          <w:sz w:val="20"/>
          <w:szCs w:val="20"/>
          <w:color w:val="auto"/>
        </w:rPr>
      </w:pPr>
    </w:p>
    <w:p>
      <w:pPr>
        <w:jc w:val="both"/>
        <w:ind w:firstLine="243"/>
        <w:spacing w:after="0" w:line="253" w:lineRule="auto"/>
        <w:rPr>
          <w:sz w:val="20"/>
          <w:szCs w:val="20"/>
          <w:color w:val="auto"/>
        </w:rPr>
      </w:pPr>
      <w:r>
        <w:rPr>
          <w:rFonts w:ascii="Arial" w:cs="Arial" w:eastAsia="Arial" w:hAnsi="Arial"/>
          <w:sz w:val="18"/>
          <w:szCs w:val="18"/>
          <w:color w:val="auto"/>
        </w:rPr>
        <w:t>We participate in the International Association of Machinists &amp; Aerospace Workers (IAM) National Pension Fund, Employer Identification No. 51-6031295 and Plan No. 002 (the IAM Pension Fund). Our contributions to the IAM Pension Fund were $32 million, $31 million and $31 million for the years ended December 31, 2019, 2018 and 2017, respectively. The IAM Pension Fund reported $467 million in employers’ contributions for the year ended December 31, 2018, which is the most recent year for which such information is available. For 2018, our contributions represented more than 5% of total contributions to the IAM Pension Fund.</w:t>
      </w:r>
    </w:p>
    <w:p>
      <w:pPr>
        <w:spacing w:after="0" w:line="152" w:lineRule="exact"/>
        <w:rPr>
          <w:sz w:val="20"/>
          <w:szCs w:val="20"/>
          <w:color w:val="auto"/>
        </w:rPr>
      </w:pPr>
    </w:p>
    <w:p>
      <w:pPr>
        <w:jc w:val="both"/>
        <w:ind w:firstLine="243"/>
        <w:spacing w:after="0" w:line="252" w:lineRule="auto"/>
        <w:rPr>
          <w:sz w:val="20"/>
          <w:szCs w:val="20"/>
          <w:color w:val="auto"/>
        </w:rPr>
      </w:pPr>
      <w:r>
        <w:rPr>
          <w:rFonts w:ascii="Arial" w:cs="Arial" w:eastAsia="Arial" w:hAnsi="Arial"/>
          <w:sz w:val="18"/>
          <w:szCs w:val="18"/>
          <w:color w:val="auto"/>
        </w:rPr>
        <w:t>On March 29, 2019, the actuary for the IAM Pension Fund certified that the fund was in endangered status despite reporting a funded status of over 80%. Additionally, the IAM Pension Fund’s Board voluntarily elected to enter into critical status on April 17, 2019. In connection with the entry into critical status, the IAM Pension Fund adopted a rehabilitation plan on April 17, 2019 (the Rehabilitation Plan). Under the Rehabilitation Plan, we were subject to an immaterial contribution surcharge, which ceased to apply June 14, 2019 upon our adoption of a contribution schedule under the Rehabilitation Plan. The contribution schedule we adopted provides for 2.5% annual increases to our contribution rate. This contribution schedule will remain in effect through the earlier of December 31, 2031 or the date the IAM Pension Fund emerges from critical status.</w:t>
      </w:r>
    </w:p>
    <w:p>
      <w:pPr>
        <w:spacing w:after="0" w:line="212" w:lineRule="exact"/>
        <w:rPr>
          <w:sz w:val="20"/>
          <w:szCs w:val="20"/>
          <w:color w:val="auto"/>
        </w:rPr>
      </w:pPr>
    </w:p>
    <w:p>
      <w:pPr>
        <w:ind w:left="220"/>
        <w:spacing w:after="0"/>
        <w:rPr>
          <w:sz w:val="20"/>
          <w:szCs w:val="20"/>
          <w:color w:val="auto"/>
        </w:rPr>
      </w:pPr>
      <w:r>
        <w:rPr>
          <w:rFonts w:ascii="Arial" w:cs="Arial" w:eastAsia="Arial" w:hAnsi="Arial"/>
          <w:sz w:val="18"/>
          <w:szCs w:val="18"/>
          <w:b w:val="1"/>
          <w:bCs w:val="1"/>
          <w:i w:val="1"/>
          <w:iCs w:val="1"/>
          <w:color w:val="auto"/>
        </w:rPr>
        <w:t>Profit Sharing Program</w:t>
      </w:r>
    </w:p>
    <w:p>
      <w:pPr>
        <w:spacing w:after="0" w:line="112" w:lineRule="exact"/>
        <w:rPr>
          <w:sz w:val="20"/>
          <w:szCs w:val="20"/>
          <w:color w:val="auto"/>
        </w:rPr>
      </w:pPr>
    </w:p>
    <w:p>
      <w:pPr>
        <w:jc w:val="both"/>
        <w:ind w:firstLine="216"/>
        <w:spacing w:after="0" w:line="262" w:lineRule="auto"/>
        <w:rPr>
          <w:sz w:val="20"/>
          <w:szCs w:val="20"/>
          <w:color w:val="auto"/>
        </w:rPr>
      </w:pPr>
      <w:r>
        <w:rPr>
          <w:rFonts w:ascii="Arial" w:cs="Arial" w:eastAsia="Arial" w:hAnsi="Arial"/>
          <w:sz w:val="18"/>
          <w:szCs w:val="18"/>
          <w:color w:val="auto"/>
        </w:rPr>
        <w:t>We accrue 5% of our pre-tax income excluding net special items for our profit sharing program. For the year ended December 31, 2019, we accrued $213 million for this program, which will be distributed to employees in the first quarter of 2020.</w:t>
      </w:r>
    </w:p>
    <w:p>
      <w:pPr>
        <w:spacing w:after="0" w:line="19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106</w:t>
      </w:r>
    </w:p>
    <w:p>
      <w:pPr>
        <w:sectPr>
          <w:pgSz w:w="11900" w:h="16838" w:orient="portrait"/>
          <w:cols w:equalWidth="0" w:num="1">
            <w:col w:w="11420"/>
          </w:cols>
          <w:pgMar w:left="240" w:top="549" w:right="239" w:bottom="1440" w:gutter="0" w:footer="0" w:header="0"/>
        </w:sectPr>
      </w:pPr>
    </w:p>
    <w:bookmarkStart w:id="106" w:name="page107"/>
    <w:bookmarkEnd w:id="106"/>
    <w:p>
      <w:pPr>
        <w:jc w:val="center"/>
        <w:spacing w:after="0"/>
        <w:rPr>
          <w:sz w:val="20"/>
          <w:szCs w:val="20"/>
          <w:color w:val="auto"/>
        </w:rPr>
      </w:pPr>
      <w:r>
        <w:rPr>
          <w:rFonts w:ascii="Arial" w:cs="Arial" w:eastAsia="Arial" w:hAnsi="Arial"/>
          <w:sz w:val="18"/>
          <w:szCs w:val="18"/>
          <w:b w:val="1"/>
          <w:bCs w:val="1"/>
          <w:color w:val="auto"/>
        </w:rPr>
        <w:t>NOTES TO CONSOLIDATED FINANCIAL STATEMENTS OF AMERICAN AIRLINES GROUP INC.</w:t>
      </w:r>
    </w:p>
    <w:p>
      <w:pPr>
        <w:spacing w:after="0" w:line="200" w:lineRule="exact"/>
        <w:rPr>
          <w:sz w:val="20"/>
          <w:szCs w:val="20"/>
          <w:color w:val="auto"/>
        </w:rPr>
      </w:pPr>
    </w:p>
    <w:p>
      <w:pPr>
        <w:spacing w:after="0" w:line="26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11. Accumulated Other Comprehensive Loss</w:t>
      </w:r>
    </w:p>
    <w:p>
      <w:pPr>
        <w:spacing w:after="0" w:line="112" w:lineRule="exact"/>
        <w:rPr>
          <w:sz w:val="20"/>
          <w:szCs w:val="20"/>
          <w:color w:val="auto"/>
        </w:rPr>
      </w:pPr>
    </w:p>
    <w:p>
      <w:pPr>
        <w:ind w:left="220"/>
        <w:spacing w:after="0"/>
        <w:rPr>
          <w:sz w:val="20"/>
          <w:szCs w:val="20"/>
          <w:color w:val="auto"/>
        </w:rPr>
      </w:pPr>
      <w:r>
        <w:rPr>
          <w:rFonts w:ascii="Arial" w:cs="Arial" w:eastAsia="Arial" w:hAnsi="Arial"/>
          <w:sz w:val="18"/>
          <w:szCs w:val="18"/>
          <w:color w:val="auto"/>
        </w:rPr>
        <w:t>The components of AOCI are as follows (in millions):</w:t>
      </w:r>
    </w:p>
    <w:p>
      <w:pPr>
        <w:spacing w:after="0" w:line="321"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58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32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rPr>
              <w:t>Pension,</w:t>
            </w:r>
          </w:p>
        </w:tc>
        <w:tc>
          <w:tcPr>
            <w:tcW w:w="18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880" w:type="dxa"/>
            <w:vAlign w:val="bottom"/>
          </w:tcPr>
          <w:p>
            <w:pPr>
              <w:spacing w:after="0"/>
              <w:rPr>
                <w:sz w:val="14"/>
                <w:szCs w:val="14"/>
                <w:color w:val="auto"/>
              </w:rPr>
            </w:pPr>
          </w:p>
        </w:tc>
      </w:tr>
      <w:tr>
        <w:trPr>
          <w:trHeight w:val="162"/>
        </w:trPr>
        <w:tc>
          <w:tcPr>
            <w:tcW w:w="58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32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rPr>
              <w:t>Retiree</w:t>
            </w:r>
          </w:p>
        </w:tc>
        <w:tc>
          <w:tcPr>
            <w:tcW w:w="18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880" w:type="dxa"/>
            <w:vAlign w:val="bottom"/>
          </w:tcPr>
          <w:p>
            <w:pPr>
              <w:spacing w:after="0"/>
              <w:rPr>
                <w:sz w:val="14"/>
                <w:szCs w:val="14"/>
                <w:color w:val="auto"/>
              </w:rPr>
            </w:pPr>
          </w:p>
        </w:tc>
      </w:tr>
      <w:tr>
        <w:trPr>
          <w:trHeight w:val="162"/>
        </w:trPr>
        <w:tc>
          <w:tcPr>
            <w:tcW w:w="58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32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rPr>
              <w:t>Medical and</w:t>
            </w:r>
          </w:p>
        </w:tc>
        <w:tc>
          <w:tcPr>
            <w:tcW w:w="18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880" w:type="dxa"/>
            <w:vAlign w:val="bottom"/>
          </w:tcPr>
          <w:p>
            <w:pPr>
              <w:spacing w:after="0"/>
              <w:rPr>
                <w:sz w:val="14"/>
                <w:szCs w:val="14"/>
                <w:color w:val="auto"/>
              </w:rPr>
            </w:pPr>
          </w:p>
        </w:tc>
      </w:tr>
      <w:tr>
        <w:trPr>
          <w:trHeight w:val="162"/>
        </w:trPr>
        <w:tc>
          <w:tcPr>
            <w:tcW w:w="58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32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rPr>
              <w:t>Other</w:t>
            </w:r>
          </w:p>
        </w:tc>
        <w:tc>
          <w:tcPr>
            <w:tcW w:w="1380" w:type="dxa"/>
            <w:vAlign w:val="bottom"/>
            <w:gridSpan w:val="3"/>
          </w:tcPr>
          <w:p>
            <w:pPr>
              <w:jc w:val="center"/>
              <w:ind w:right="100"/>
              <w:spacing w:after="0"/>
              <w:rPr>
                <w:sz w:val="20"/>
                <w:szCs w:val="20"/>
                <w:color w:val="auto"/>
              </w:rPr>
            </w:pPr>
            <w:r>
              <w:rPr>
                <w:rFonts w:ascii="Arial" w:cs="Arial" w:eastAsia="Arial" w:hAnsi="Arial"/>
                <w:sz w:val="14"/>
                <w:szCs w:val="14"/>
                <w:b w:val="1"/>
                <w:bCs w:val="1"/>
                <w:color w:val="auto"/>
              </w:rPr>
              <w:t>Unrealized Gain</w:t>
            </w:r>
          </w:p>
        </w:tc>
        <w:tc>
          <w:tcPr>
            <w:tcW w:w="160" w:type="dxa"/>
            <w:vAlign w:val="bottom"/>
          </w:tcPr>
          <w:p>
            <w:pPr>
              <w:spacing w:after="0"/>
              <w:rPr>
                <w:sz w:val="14"/>
                <w:szCs w:val="14"/>
                <w:color w:val="auto"/>
              </w:rPr>
            </w:pPr>
          </w:p>
        </w:tc>
        <w:tc>
          <w:tcPr>
            <w:tcW w:w="1120" w:type="dxa"/>
            <w:vAlign w:val="bottom"/>
          </w:tcPr>
          <w:p>
            <w:pPr>
              <w:jc w:val="center"/>
              <w:ind w:right="74"/>
              <w:spacing w:after="0"/>
              <w:rPr>
                <w:sz w:val="20"/>
                <w:szCs w:val="20"/>
                <w:color w:val="auto"/>
              </w:rPr>
            </w:pPr>
            <w:r>
              <w:rPr>
                <w:rFonts w:ascii="Arial" w:cs="Arial" w:eastAsia="Arial" w:hAnsi="Arial"/>
                <w:sz w:val="14"/>
                <w:szCs w:val="14"/>
                <w:b w:val="1"/>
                <w:bCs w:val="1"/>
                <w:color w:val="auto"/>
              </w:rPr>
              <w:t>Income Tax</w:t>
            </w:r>
          </w:p>
        </w:tc>
        <w:tc>
          <w:tcPr>
            <w:tcW w:w="3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880" w:type="dxa"/>
            <w:vAlign w:val="bottom"/>
          </w:tcPr>
          <w:p>
            <w:pPr>
              <w:spacing w:after="0"/>
              <w:rPr>
                <w:sz w:val="14"/>
                <w:szCs w:val="14"/>
                <w:color w:val="auto"/>
              </w:rPr>
            </w:pPr>
          </w:p>
        </w:tc>
      </w:tr>
      <w:tr>
        <w:trPr>
          <w:trHeight w:val="162"/>
        </w:trPr>
        <w:tc>
          <w:tcPr>
            <w:tcW w:w="58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32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rPr>
              <w:t>Postretirement</w:t>
            </w:r>
          </w:p>
        </w:tc>
        <w:tc>
          <w:tcPr>
            <w:tcW w:w="180" w:type="dxa"/>
            <w:vAlign w:val="bottom"/>
          </w:tcPr>
          <w:p>
            <w:pPr>
              <w:spacing w:after="0"/>
              <w:rPr>
                <w:sz w:val="14"/>
                <w:szCs w:val="14"/>
                <w:color w:val="auto"/>
              </w:rPr>
            </w:pPr>
          </w:p>
        </w:tc>
        <w:tc>
          <w:tcPr>
            <w:tcW w:w="120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rPr>
              <w:t>(Loss) on</w:t>
            </w:r>
          </w:p>
        </w:tc>
        <w:tc>
          <w:tcPr>
            <w:tcW w:w="160" w:type="dxa"/>
            <w:vAlign w:val="bottom"/>
          </w:tcPr>
          <w:p>
            <w:pPr>
              <w:spacing w:after="0"/>
              <w:rPr>
                <w:sz w:val="14"/>
                <w:szCs w:val="14"/>
                <w:color w:val="auto"/>
              </w:rPr>
            </w:pPr>
          </w:p>
        </w:tc>
        <w:tc>
          <w:tcPr>
            <w:tcW w:w="1120" w:type="dxa"/>
            <w:vAlign w:val="bottom"/>
          </w:tcPr>
          <w:p>
            <w:pPr>
              <w:jc w:val="center"/>
              <w:ind w:right="74"/>
              <w:spacing w:after="0"/>
              <w:rPr>
                <w:sz w:val="20"/>
                <w:szCs w:val="20"/>
                <w:color w:val="auto"/>
              </w:rPr>
            </w:pPr>
            <w:r>
              <w:rPr>
                <w:rFonts w:ascii="Arial" w:cs="Arial" w:eastAsia="Arial" w:hAnsi="Arial"/>
                <w:sz w:val="14"/>
                <w:szCs w:val="14"/>
                <w:b w:val="1"/>
                <w:bCs w:val="1"/>
                <w:color w:val="auto"/>
              </w:rPr>
              <w:t>Benefit</w:t>
            </w:r>
          </w:p>
        </w:tc>
        <w:tc>
          <w:tcPr>
            <w:tcW w:w="3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880" w:type="dxa"/>
            <w:vAlign w:val="bottom"/>
          </w:tcPr>
          <w:p>
            <w:pPr>
              <w:spacing w:after="0"/>
              <w:rPr>
                <w:sz w:val="14"/>
                <w:szCs w:val="14"/>
                <w:color w:val="auto"/>
              </w:rPr>
            </w:pPr>
          </w:p>
        </w:tc>
      </w:tr>
      <w:tr>
        <w:trPr>
          <w:trHeight w:val="202"/>
        </w:trPr>
        <w:tc>
          <w:tcPr>
            <w:tcW w:w="5800" w:type="dxa"/>
            <w:vAlign w:val="bottom"/>
            <w:tcBorders>
              <w:bottom w:val="single" w:sz="8" w:color="CCEEFF"/>
            </w:tcBorders>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1220" w:type="dxa"/>
            <w:vAlign w:val="bottom"/>
            <w:tcBorders>
              <w:bottom w:val="single" w:sz="8" w:color="auto"/>
            </w:tcBorders>
          </w:tcPr>
          <w:p>
            <w:pPr>
              <w:jc w:val="center"/>
              <w:ind w:right="77"/>
              <w:spacing w:after="0"/>
              <w:rPr>
                <w:sz w:val="20"/>
                <w:szCs w:val="20"/>
                <w:color w:val="auto"/>
              </w:rPr>
            </w:pPr>
            <w:r>
              <w:rPr>
                <w:rFonts w:ascii="Arial" w:cs="Arial" w:eastAsia="Arial" w:hAnsi="Arial"/>
                <w:sz w:val="14"/>
                <w:szCs w:val="14"/>
                <w:b w:val="1"/>
                <w:bCs w:val="1"/>
                <w:color w:val="auto"/>
              </w:rPr>
              <w:t>Benefits</w:t>
            </w:r>
          </w:p>
        </w:tc>
        <w:tc>
          <w:tcPr>
            <w:tcW w:w="100" w:type="dxa"/>
            <w:vAlign w:val="bottom"/>
            <w:tcBorders>
              <w:bottom w:val="single" w:sz="8" w:color="CCEEFF"/>
            </w:tcBorders>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1100" w:type="dxa"/>
            <w:vAlign w:val="bottom"/>
            <w:tcBorders>
              <w:bottom w:val="single" w:sz="8" w:color="auto"/>
            </w:tcBorders>
          </w:tcPr>
          <w:p>
            <w:pPr>
              <w:jc w:val="center"/>
              <w:ind w:right="93"/>
              <w:spacing w:after="0"/>
              <w:rPr>
                <w:sz w:val="20"/>
                <w:szCs w:val="20"/>
                <w:color w:val="auto"/>
              </w:rPr>
            </w:pPr>
            <w:r>
              <w:rPr>
                <w:rFonts w:ascii="Arial" w:cs="Arial" w:eastAsia="Arial" w:hAnsi="Arial"/>
                <w:sz w:val="14"/>
                <w:szCs w:val="14"/>
                <w:b w:val="1"/>
                <w:bCs w:val="1"/>
                <w:color w:val="auto"/>
              </w:rPr>
              <w:t>Investments</w:t>
            </w:r>
          </w:p>
        </w:tc>
        <w:tc>
          <w:tcPr>
            <w:tcW w:w="100" w:type="dxa"/>
            <w:vAlign w:val="bottom"/>
            <w:tcBorders>
              <w:bottom w:val="single" w:sz="8" w:color="CCEEFF"/>
            </w:tcBorders>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1120" w:type="dxa"/>
            <w:vAlign w:val="bottom"/>
            <w:tcBorders>
              <w:bottom w:val="single" w:sz="8" w:color="auto"/>
            </w:tcBorders>
          </w:tcPr>
          <w:p>
            <w:pPr>
              <w:jc w:val="center"/>
              <w:ind w:right="74"/>
              <w:spacing w:after="0"/>
              <w:rPr>
                <w:sz w:val="20"/>
                <w:szCs w:val="20"/>
                <w:color w:val="auto"/>
              </w:rPr>
            </w:pPr>
            <w:r>
              <w:rPr>
                <w:rFonts w:ascii="Arial" w:cs="Arial" w:eastAsia="Arial" w:hAnsi="Arial"/>
                <w:sz w:val="14"/>
                <w:szCs w:val="14"/>
                <w:b w:val="1"/>
                <w:bCs w:val="1"/>
                <w:color w:val="auto"/>
              </w:rPr>
              <w:t xml:space="preserve">(Provision) </w:t>
            </w:r>
            <w:r>
              <w:rPr>
                <w:rFonts w:ascii="Arial" w:cs="Arial" w:eastAsia="Arial" w:hAnsi="Arial"/>
                <w:sz w:val="17"/>
                <w:szCs w:val="17"/>
                <w:b w:val="1"/>
                <w:bCs w:val="1"/>
                <w:color w:val="auto"/>
                <w:vertAlign w:val="superscript"/>
              </w:rPr>
              <w:t>(1)</w:t>
            </w:r>
          </w:p>
        </w:tc>
        <w:tc>
          <w:tcPr>
            <w:tcW w:w="340" w:type="dxa"/>
            <w:vAlign w:val="bottom"/>
            <w:tcBorders>
              <w:bottom w:val="single" w:sz="8" w:color="CCEEFF"/>
            </w:tcBorders>
          </w:tcPr>
          <w:p>
            <w:pPr>
              <w:spacing w:after="0"/>
              <w:rPr>
                <w:sz w:val="17"/>
                <w:szCs w:val="17"/>
                <w:color w:val="auto"/>
              </w:rPr>
            </w:pPr>
          </w:p>
        </w:tc>
        <w:tc>
          <w:tcPr>
            <w:tcW w:w="260" w:type="dxa"/>
            <w:vAlign w:val="bottom"/>
            <w:tcBorders>
              <w:bottom w:val="single" w:sz="8" w:color="auto"/>
            </w:tcBorders>
          </w:tcPr>
          <w:p>
            <w:pPr>
              <w:spacing w:after="0"/>
              <w:rPr>
                <w:sz w:val="17"/>
                <w:szCs w:val="17"/>
                <w:color w:val="auto"/>
              </w:rPr>
            </w:pPr>
          </w:p>
        </w:tc>
        <w:tc>
          <w:tcPr>
            <w:tcW w:w="880" w:type="dxa"/>
            <w:vAlign w:val="bottom"/>
            <w:tcBorders>
              <w:bottom w:val="single" w:sz="8" w:color="auto"/>
            </w:tcBorders>
          </w:tcPr>
          <w:p>
            <w:pPr>
              <w:jc w:val="right"/>
              <w:ind w:right="312"/>
              <w:spacing w:after="0"/>
              <w:rPr>
                <w:sz w:val="20"/>
                <w:szCs w:val="20"/>
                <w:color w:val="auto"/>
              </w:rPr>
            </w:pPr>
            <w:r>
              <w:rPr>
                <w:rFonts w:ascii="Arial" w:cs="Arial" w:eastAsia="Arial" w:hAnsi="Arial"/>
                <w:sz w:val="14"/>
                <w:szCs w:val="14"/>
                <w:b w:val="1"/>
                <w:bCs w:val="1"/>
                <w:color w:val="auto"/>
              </w:rPr>
              <w:t>Total</w:t>
            </w:r>
          </w:p>
        </w:tc>
      </w:tr>
      <w:tr>
        <w:trPr>
          <w:trHeight w:val="250"/>
        </w:trPr>
        <w:tc>
          <w:tcPr>
            <w:tcW w:w="5800" w:type="dxa"/>
            <w:vAlign w:val="bottom"/>
            <w:shd w:val="clear" w:color="auto" w:fill="CCEEFF"/>
          </w:tcPr>
          <w:p>
            <w:pPr>
              <w:ind w:left="40"/>
              <w:spacing w:after="0"/>
              <w:rPr>
                <w:sz w:val="20"/>
                <w:szCs w:val="20"/>
                <w:color w:val="auto"/>
              </w:rPr>
            </w:pPr>
            <w:r>
              <w:rPr>
                <w:rFonts w:ascii="Arial" w:cs="Arial" w:eastAsia="Arial" w:hAnsi="Arial"/>
                <w:sz w:val="18"/>
                <w:szCs w:val="18"/>
                <w:color w:val="auto"/>
              </w:rPr>
              <w:t>Balance at December 31, 2017</w:t>
            </w: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(4,523)</w:t>
            </w:r>
          </w:p>
        </w:tc>
        <w:tc>
          <w:tcPr>
            <w:tcW w:w="100" w:type="dxa"/>
            <w:vAlign w:val="bottom"/>
            <w:shd w:val="clear" w:color="auto" w:fill="CCEEFF"/>
          </w:tcPr>
          <w:p>
            <w:pPr>
              <w:spacing w:after="0"/>
              <w:rPr>
                <w:sz w:val="21"/>
                <w:szCs w:val="21"/>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100" w:type="dxa"/>
            <w:vAlign w:val="bottom"/>
            <w:shd w:val="clear" w:color="auto" w:fill="CCEEFF"/>
          </w:tcPr>
          <w:p>
            <w:pPr>
              <w:spacing w:after="0"/>
              <w:rPr>
                <w:sz w:val="21"/>
                <w:szCs w:val="21"/>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(1,252)</w:t>
            </w:r>
          </w:p>
        </w:tc>
        <w:tc>
          <w:tcPr>
            <w:tcW w:w="6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(5,776)</w:t>
            </w:r>
          </w:p>
        </w:tc>
      </w:tr>
      <w:tr>
        <w:trPr>
          <w:trHeight w:val="263"/>
        </w:trPr>
        <w:tc>
          <w:tcPr>
            <w:tcW w:w="5800" w:type="dxa"/>
            <w:vAlign w:val="bottom"/>
          </w:tcPr>
          <w:p>
            <w:pPr>
              <w:ind w:left="180"/>
              <w:spacing w:after="0"/>
              <w:rPr>
                <w:sz w:val="20"/>
                <w:szCs w:val="20"/>
                <w:color w:val="auto"/>
              </w:rPr>
            </w:pPr>
            <w:r>
              <w:rPr>
                <w:rFonts w:ascii="Arial" w:cs="Arial" w:eastAsia="Arial" w:hAnsi="Arial"/>
                <w:sz w:val="18"/>
                <w:szCs w:val="18"/>
                <w:color w:val="auto"/>
              </w:rPr>
              <w:t>Other comprehensive income (loss) before reclassifications</w:t>
            </w:r>
          </w:p>
        </w:tc>
        <w:tc>
          <w:tcPr>
            <w:tcW w:w="160" w:type="dxa"/>
            <w:vAlign w:val="bottom"/>
          </w:tcPr>
          <w:p>
            <w:pPr>
              <w:spacing w:after="0"/>
              <w:rPr>
                <w:sz w:val="22"/>
                <w:szCs w:val="22"/>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(62)</w:t>
            </w:r>
          </w:p>
        </w:tc>
        <w:tc>
          <w:tcPr>
            <w:tcW w:w="10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(4)</w:t>
            </w:r>
          </w:p>
        </w:tc>
        <w:tc>
          <w:tcPr>
            <w:tcW w:w="10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120" w:type="dxa"/>
            <w:vAlign w:val="bottom"/>
          </w:tcPr>
          <w:p>
            <w:pPr>
              <w:jc w:val="right"/>
              <w:ind w:right="34"/>
              <w:spacing w:after="0"/>
              <w:rPr>
                <w:sz w:val="20"/>
                <w:szCs w:val="20"/>
                <w:color w:val="auto"/>
              </w:rPr>
            </w:pPr>
            <w:r>
              <w:rPr>
                <w:rFonts w:ascii="Arial" w:cs="Arial" w:eastAsia="Arial" w:hAnsi="Arial"/>
                <w:sz w:val="18"/>
                <w:szCs w:val="18"/>
                <w:color w:val="auto"/>
              </w:rPr>
              <w:t>15</w:t>
            </w:r>
          </w:p>
        </w:tc>
        <w:tc>
          <w:tcPr>
            <w:tcW w:w="34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(51)</w:t>
            </w:r>
          </w:p>
        </w:tc>
      </w:tr>
      <w:tr>
        <w:trPr>
          <w:trHeight w:val="277"/>
        </w:trPr>
        <w:tc>
          <w:tcPr>
            <w:tcW w:w="5800" w:type="dxa"/>
            <w:vAlign w:val="bottom"/>
            <w:shd w:val="clear" w:color="auto" w:fill="CCEEFF"/>
          </w:tcPr>
          <w:p>
            <w:pPr>
              <w:ind w:left="180"/>
              <w:spacing w:after="0"/>
              <w:rPr>
                <w:sz w:val="20"/>
                <w:szCs w:val="20"/>
                <w:color w:val="auto"/>
              </w:rPr>
            </w:pPr>
            <w:r>
              <w:rPr>
                <w:rFonts w:ascii="Arial" w:cs="Arial" w:eastAsia="Arial" w:hAnsi="Arial"/>
                <w:sz w:val="18"/>
                <w:szCs w:val="18"/>
                <w:color w:val="auto"/>
              </w:rPr>
              <w:t>Amounts reclassified from AOCI</w:t>
            </w:r>
          </w:p>
        </w:tc>
        <w:tc>
          <w:tcPr>
            <w:tcW w:w="160" w:type="dxa"/>
            <w:vAlign w:val="bottom"/>
            <w:shd w:val="clear" w:color="auto" w:fill="CCEEFF"/>
          </w:tcPr>
          <w:p>
            <w:pPr>
              <w:spacing w:after="0"/>
              <w:rPr>
                <w:sz w:val="24"/>
                <w:szCs w:val="24"/>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(88)</w:t>
            </w:r>
          </w:p>
        </w:tc>
        <w:tc>
          <w:tcPr>
            <w:tcW w:w="10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12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24"/>
                <w:szCs w:val="24"/>
                <w:color w:val="auto"/>
              </w:rPr>
            </w:pPr>
          </w:p>
        </w:tc>
        <w:tc>
          <w:tcPr>
            <w:tcW w:w="1120" w:type="dxa"/>
            <w:vAlign w:val="bottom"/>
            <w:shd w:val="clear" w:color="auto" w:fill="CCEEFF"/>
          </w:tcPr>
          <w:p>
            <w:pPr>
              <w:jc w:val="right"/>
              <w:ind w:right="34"/>
              <w:spacing w:after="0"/>
              <w:rPr>
                <w:sz w:val="20"/>
                <w:szCs w:val="20"/>
                <w:color w:val="auto"/>
              </w:rPr>
            </w:pPr>
            <w:r>
              <w:rPr>
                <w:rFonts w:ascii="Arial" w:cs="Arial" w:eastAsia="Arial" w:hAnsi="Arial"/>
                <w:sz w:val="18"/>
                <w:szCs w:val="18"/>
                <w:color w:val="auto"/>
              </w:rPr>
              <w:t>19</w:t>
            </w:r>
          </w:p>
        </w:tc>
        <w:tc>
          <w:tcPr>
            <w:tcW w:w="340" w:type="dxa"/>
            <w:vAlign w:val="bottom"/>
            <w:shd w:val="clear" w:color="auto" w:fill="CCEEFF"/>
          </w:tcPr>
          <w:p>
            <w:pPr>
              <w:jc w:val="right"/>
              <w:ind w:right="108"/>
              <w:spacing w:after="0"/>
              <w:rPr>
                <w:sz w:val="20"/>
                <w:szCs w:val="20"/>
                <w:color w:val="auto"/>
              </w:rPr>
            </w:pPr>
            <w:r>
              <w:rPr>
                <w:rFonts w:ascii="Arial" w:cs="Arial" w:eastAsia="Arial" w:hAnsi="Arial"/>
                <w:sz w:val="11"/>
                <w:szCs w:val="11"/>
                <w:color w:val="auto"/>
              </w:rPr>
              <w:t>(2)</w:t>
            </w:r>
          </w:p>
        </w:tc>
        <w:tc>
          <w:tcPr>
            <w:tcW w:w="260" w:type="dxa"/>
            <w:vAlign w:val="bottom"/>
            <w:shd w:val="clear" w:color="auto" w:fill="CCEEFF"/>
          </w:tcPr>
          <w:p>
            <w:pPr>
              <w:spacing w:after="0"/>
              <w:rPr>
                <w:sz w:val="24"/>
                <w:szCs w:val="24"/>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(69)</w:t>
            </w:r>
          </w:p>
        </w:tc>
      </w:tr>
      <w:tr>
        <w:trPr>
          <w:trHeight w:val="244"/>
        </w:trPr>
        <w:tc>
          <w:tcPr>
            <w:tcW w:w="5800" w:type="dxa"/>
            <w:vAlign w:val="bottom"/>
            <w:tcBorders>
              <w:bottom w:val="single" w:sz="8" w:color="CCEEFF"/>
            </w:tcBorders>
          </w:tcPr>
          <w:p>
            <w:pPr>
              <w:ind w:left="380"/>
              <w:spacing w:after="0"/>
              <w:rPr>
                <w:sz w:val="20"/>
                <w:szCs w:val="20"/>
                <w:color w:val="auto"/>
              </w:rPr>
            </w:pPr>
            <w:r>
              <w:rPr>
                <w:rFonts w:ascii="Arial" w:cs="Arial" w:eastAsia="Arial" w:hAnsi="Arial"/>
                <w:sz w:val="18"/>
                <w:szCs w:val="18"/>
                <w:color w:val="auto"/>
              </w:rPr>
              <w:t>Net current-period other comprehensive income (loss)</w:t>
            </w:r>
          </w:p>
        </w:tc>
        <w:tc>
          <w:tcPr>
            <w:tcW w:w="160" w:type="dxa"/>
            <w:vAlign w:val="bottom"/>
            <w:tcBorders>
              <w:top w:val="single" w:sz="8" w:color="auto"/>
              <w:bottom w:val="single" w:sz="8" w:color="auto"/>
            </w:tcBorders>
          </w:tcPr>
          <w:p>
            <w:pPr>
              <w:spacing w:after="0"/>
              <w:rPr>
                <w:sz w:val="21"/>
                <w:szCs w:val="21"/>
                <w:color w:val="auto"/>
              </w:rPr>
            </w:pPr>
          </w:p>
        </w:tc>
        <w:tc>
          <w:tcPr>
            <w:tcW w:w="12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(150)</w:t>
            </w:r>
          </w:p>
        </w:tc>
        <w:tc>
          <w:tcPr>
            <w:tcW w:w="100" w:type="dxa"/>
            <w:vAlign w:val="bottom"/>
            <w:tcBorders>
              <w:bottom w:val="single" w:sz="8" w:color="CCEEFF"/>
            </w:tcBorders>
          </w:tcPr>
          <w:p>
            <w:pPr>
              <w:spacing w:after="0"/>
              <w:rPr>
                <w:sz w:val="21"/>
                <w:szCs w:val="21"/>
                <w:color w:val="auto"/>
              </w:rPr>
            </w:pPr>
          </w:p>
        </w:tc>
        <w:tc>
          <w:tcPr>
            <w:tcW w:w="180" w:type="dxa"/>
            <w:vAlign w:val="bottom"/>
            <w:tcBorders>
              <w:top w:val="single" w:sz="8" w:color="auto"/>
              <w:bottom w:val="single" w:sz="8" w:color="auto"/>
            </w:tcBorders>
          </w:tcPr>
          <w:p>
            <w:pPr>
              <w:spacing w:after="0"/>
              <w:rPr>
                <w:sz w:val="21"/>
                <w:szCs w:val="21"/>
                <w:color w:val="auto"/>
              </w:rPr>
            </w:pPr>
          </w:p>
        </w:tc>
        <w:tc>
          <w:tcPr>
            <w:tcW w:w="1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w:t>
            </w:r>
          </w:p>
        </w:tc>
        <w:tc>
          <w:tcPr>
            <w:tcW w:w="100" w:type="dxa"/>
            <w:vAlign w:val="bottom"/>
            <w:tcBorders>
              <w:bottom w:val="single" w:sz="8" w:color="CCEEFF"/>
            </w:tcBorders>
          </w:tcPr>
          <w:p>
            <w:pPr>
              <w:spacing w:after="0"/>
              <w:rPr>
                <w:sz w:val="21"/>
                <w:szCs w:val="21"/>
                <w:color w:val="auto"/>
              </w:rPr>
            </w:pPr>
          </w:p>
        </w:tc>
        <w:tc>
          <w:tcPr>
            <w:tcW w:w="160" w:type="dxa"/>
            <w:vAlign w:val="bottom"/>
            <w:tcBorders>
              <w:top w:val="single" w:sz="8" w:color="auto"/>
              <w:bottom w:val="single" w:sz="8" w:color="auto"/>
            </w:tcBorders>
          </w:tcPr>
          <w:p>
            <w:pPr>
              <w:spacing w:after="0"/>
              <w:rPr>
                <w:sz w:val="21"/>
                <w:szCs w:val="21"/>
                <w:color w:val="auto"/>
              </w:rPr>
            </w:pPr>
          </w:p>
        </w:tc>
        <w:tc>
          <w:tcPr>
            <w:tcW w:w="1120" w:type="dxa"/>
            <w:vAlign w:val="bottom"/>
            <w:tcBorders>
              <w:top w:val="single" w:sz="8" w:color="auto"/>
              <w:bottom w:val="single" w:sz="8" w:color="auto"/>
            </w:tcBorders>
          </w:tcPr>
          <w:p>
            <w:pPr>
              <w:jc w:val="right"/>
              <w:ind w:right="34"/>
              <w:spacing w:after="0"/>
              <w:rPr>
                <w:sz w:val="20"/>
                <w:szCs w:val="20"/>
                <w:color w:val="auto"/>
              </w:rPr>
            </w:pPr>
            <w:r>
              <w:rPr>
                <w:rFonts w:ascii="Arial" w:cs="Arial" w:eastAsia="Arial" w:hAnsi="Arial"/>
                <w:sz w:val="18"/>
                <w:szCs w:val="18"/>
                <w:color w:val="auto"/>
              </w:rPr>
              <w:t>34</w:t>
            </w:r>
          </w:p>
        </w:tc>
        <w:tc>
          <w:tcPr>
            <w:tcW w:w="340" w:type="dxa"/>
            <w:vAlign w:val="bottom"/>
            <w:tcBorders>
              <w:bottom w:val="single" w:sz="8" w:color="CCEEFF"/>
            </w:tcBorders>
          </w:tcPr>
          <w:p>
            <w:pPr>
              <w:spacing w:after="0"/>
              <w:rPr>
                <w:sz w:val="21"/>
                <w:szCs w:val="21"/>
                <w:color w:val="auto"/>
              </w:rPr>
            </w:pPr>
          </w:p>
        </w:tc>
        <w:tc>
          <w:tcPr>
            <w:tcW w:w="260" w:type="dxa"/>
            <w:vAlign w:val="bottom"/>
            <w:tcBorders>
              <w:top w:val="single" w:sz="8" w:color="auto"/>
              <w:bottom w:val="single" w:sz="8" w:color="auto"/>
            </w:tcBorders>
          </w:tcPr>
          <w:p>
            <w:pPr>
              <w:spacing w:after="0"/>
              <w:rPr>
                <w:sz w:val="21"/>
                <w:szCs w:val="21"/>
                <w:color w:val="auto"/>
              </w:rPr>
            </w:pPr>
          </w:p>
        </w:tc>
        <w:tc>
          <w:tcPr>
            <w:tcW w:w="8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(120)</w:t>
            </w:r>
          </w:p>
        </w:tc>
      </w:tr>
      <w:tr>
        <w:trPr>
          <w:trHeight w:val="257"/>
        </w:trPr>
        <w:tc>
          <w:tcPr>
            <w:tcW w:w="5800" w:type="dxa"/>
            <w:vAlign w:val="bottom"/>
            <w:shd w:val="clear" w:color="auto" w:fill="CCEEFF"/>
          </w:tcPr>
          <w:p>
            <w:pPr>
              <w:ind w:left="40"/>
              <w:spacing w:after="0"/>
              <w:rPr>
                <w:sz w:val="20"/>
                <w:szCs w:val="20"/>
                <w:color w:val="auto"/>
              </w:rPr>
            </w:pPr>
            <w:r>
              <w:rPr>
                <w:rFonts w:ascii="Arial" w:cs="Arial" w:eastAsia="Arial" w:hAnsi="Arial"/>
                <w:sz w:val="18"/>
                <w:szCs w:val="18"/>
                <w:color w:val="auto"/>
              </w:rPr>
              <w:t>Balance at December 31, 2018</w:t>
            </w:r>
          </w:p>
        </w:tc>
        <w:tc>
          <w:tcPr>
            <w:tcW w:w="160" w:type="dxa"/>
            <w:vAlign w:val="bottom"/>
            <w:shd w:val="clear" w:color="auto" w:fill="CCEEFF"/>
          </w:tcPr>
          <w:p>
            <w:pPr>
              <w:spacing w:after="0"/>
              <w:rPr>
                <w:sz w:val="22"/>
                <w:szCs w:val="22"/>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(4,673)</w:t>
            </w:r>
          </w:p>
        </w:tc>
        <w:tc>
          <w:tcPr>
            <w:tcW w:w="100" w:type="dxa"/>
            <w:vAlign w:val="bottom"/>
            <w:shd w:val="clear" w:color="auto" w:fill="CCEEFF"/>
          </w:tcPr>
          <w:p>
            <w:pPr>
              <w:spacing w:after="0"/>
              <w:rPr>
                <w:sz w:val="22"/>
                <w:szCs w:val="22"/>
                <w:color w:val="auto"/>
              </w:rPr>
            </w:pPr>
          </w:p>
        </w:tc>
        <w:tc>
          <w:tcPr>
            <w:tcW w:w="180" w:type="dxa"/>
            <w:vAlign w:val="bottom"/>
            <w:shd w:val="clear" w:color="auto" w:fill="CCEEFF"/>
          </w:tcPr>
          <w:p>
            <w:pPr>
              <w:spacing w:after="0"/>
              <w:rPr>
                <w:sz w:val="22"/>
                <w:szCs w:val="22"/>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w:t>
            </w:r>
          </w:p>
        </w:tc>
        <w:tc>
          <w:tcPr>
            <w:tcW w:w="100" w:type="dxa"/>
            <w:vAlign w:val="bottom"/>
            <w:shd w:val="clear" w:color="auto" w:fill="CCEEFF"/>
          </w:tcPr>
          <w:p>
            <w:pPr>
              <w:spacing w:after="0"/>
              <w:rPr>
                <w:sz w:val="22"/>
                <w:szCs w:val="22"/>
                <w:color w:val="auto"/>
              </w:rPr>
            </w:pPr>
          </w:p>
        </w:tc>
        <w:tc>
          <w:tcPr>
            <w:tcW w:w="160" w:type="dxa"/>
            <w:vAlign w:val="bottom"/>
            <w:shd w:val="clear" w:color="auto" w:fill="CCEEFF"/>
          </w:tcPr>
          <w:p>
            <w:pPr>
              <w:spacing w:after="0"/>
              <w:rPr>
                <w:sz w:val="22"/>
                <w:szCs w:val="22"/>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(1,218)</w:t>
            </w:r>
          </w:p>
        </w:tc>
        <w:tc>
          <w:tcPr>
            <w:tcW w:w="340" w:type="dxa"/>
            <w:vAlign w:val="bottom"/>
            <w:shd w:val="clear" w:color="auto" w:fill="CCEEFF"/>
          </w:tcPr>
          <w:p>
            <w:pPr>
              <w:spacing w:after="0"/>
              <w:rPr>
                <w:sz w:val="22"/>
                <w:szCs w:val="22"/>
                <w:color w:val="auto"/>
              </w:rPr>
            </w:pPr>
          </w:p>
        </w:tc>
        <w:tc>
          <w:tcPr>
            <w:tcW w:w="260" w:type="dxa"/>
            <w:vAlign w:val="bottom"/>
            <w:shd w:val="clear" w:color="auto" w:fill="CCEEFF"/>
          </w:tcPr>
          <w:p>
            <w:pPr>
              <w:spacing w:after="0"/>
              <w:rPr>
                <w:sz w:val="22"/>
                <w:szCs w:val="22"/>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(5,896)</w:t>
            </w:r>
          </w:p>
        </w:tc>
      </w:tr>
      <w:tr>
        <w:trPr>
          <w:trHeight w:val="263"/>
        </w:trPr>
        <w:tc>
          <w:tcPr>
            <w:tcW w:w="5800" w:type="dxa"/>
            <w:vAlign w:val="bottom"/>
          </w:tcPr>
          <w:p>
            <w:pPr>
              <w:ind w:left="180"/>
              <w:spacing w:after="0"/>
              <w:rPr>
                <w:sz w:val="20"/>
                <w:szCs w:val="20"/>
                <w:color w:val="auto"/>
              </w:rPr>
            </w:pPr>
            <w:r>
              <w:rPr>
                <w:rFonts w:ascii="Arial" w:cs="Arial" w:eastAsia="Arial" w:hAnsi="Arial"/>
                <w:sz w:val="18"/>
                <w:szCs w:val="18"/>
                <w:color w:val="auto"/>
              </w:rPr>
              <w:t>Other comprehensive income (loss) before reclassifications</w:t>
            </w:r>
          </w:p>
        </w:tc>
        <w:tc>
          <w:tcPr>
            <w:tcW w:w="160" w:type="dxa"/>
            <w:vAlign w:val="bottom"/>
          </w:tcPr>
          <w:p>
            <w:pPr>
              <w:spacing w:after="0"/>
              <w:rPr>
                <w:sz w:val="22"/>
                <w:szCs w:val="22"/>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(476)</w:t>
            </w:r>
          </w:p>
        </w:tc>
        <w:tc>
          <w:tcPr>
            <w:tcW w:w="10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100" w:type="dxa"/>
            <w:vAlign w:val="bottom"/>
          </w:tcPr>
          <w:p>
            <w:pPr>
              <w:jc w:val="right"/>
              <w:ind w:right="33"/>
              <w:spacing w:after="0"/>
              <w:rPr>
                <w:sz w:val="20"/>
                <w:szCs w:val="20"/>
                <w:color w:val="auto"/>
              </w:rPr>
            </w:pPr>
            <w:r>
              <w:rPr>
                <w:rFonts w:ascii="Arial" w:cs="Arial" w:eastAsia="Arial" w:hAnsi="Arial"/>
                <w:sz w:val="18"/>
                <w:szCs w:val="18"/>
                <w:color w:val="auto"/>
              </w:rPr>
              <w:t>3</w:t>
            </w:r>
          </w:p>
        </w:tc>
        <w:tc>
          <w:tcPr>
            <w:tcW w:w="10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120" w:type="dxa"/>
            <w:vAlign w:val="bottom"/>
          </w:tcPr>
          <w:p>
            <w:pPr>
              <w:jc w:val="right"/>
              <w:ind w:right="34"/>
              <w:spacing w:after="0"/>
              <w:rPr>
                <w:sz w:val="20"/>
                <w:szCs w:val="20"/>
                <w:color w:val="auto"/>
              </w:rPr>
            </w:pPr>
            <w:r>
              <w:rPr>
                <w:rFonts w:ascii="Arial" w:cs="Arial" w:eastAsia="Arial" w:hAnsi="Arial"/>
                <w:sz w:val="18"/>
                <w:szCs w:val="18"/>
                <w:color w:val="auto"/>
              </w:rPr>
              <w:t>107</w:t>
            </w:r>
          </w:p>
        </w:tc>
        <w:tc>
          <w:tcPr>
            <w:tcW w:w="34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(366)</w:t>
            </w:r>
          </w:p>
        </w:tc>
      </w:tr>
      <w:tr>
        <w:trPr>
          <w:trHeight w:val="277"/>
        </w:trPr>
        <w:tc>
          <w:tcPr>
            <w:tcW w:w="5800" w:type="dxa"/>
            <w:vAlign w:val="bottom"/>
            <w:shd w:val="clear" w:color="auto" w:fill="CCEEFF"/>
          </w:tcPr>
          <w:p>
            <w:pPr>
              <w:ind w:left="180"/>
              <w:spacing w:after="0"/>
              <w:rPr>
                <w:sz w:val="20"/>
                <w:szCs w:val="20"/>
                <w:color w:val="auto"/>
              </w:rPr>
            </w:pPr>
            <w:r>
              <w:rPr>
                <w:rFonts w:ascii="Arial" w:cs="Arial" w:eastAsia="Arial" w:hAnsi="Arial"/>
                <w:sz w:val="18"/>
                <w:szCs w:val="18"/>
                <w:color w:val="auto"/>
              </w:rPr>
              <w:t>Amounts reclassified from AOCI</w:t>
            </w:r>
          </w:p>
        </w:tc>
        <w:tc>
          <w:tcPr>
            <w:tcW w:w="160" w:type="dxa"/>
            <w:vAlign w:val="bottom"/>
            <w:shd w:val="clear" w:color="auto" w:fill="CCEEFF"/>
          </w:tcPr>
          <w:p>
            <w:pPr>
              <w:spacing w:after="0"/>
              <w:rPr>
                <w:sz w:val="24"/>
                <w:szCs w:val="24"/>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(89)</w:t>
            </w:r>
          </w:p>
        </w:tc>
        <w:tc>
          <w:tcPr>
            <w:tcW w:w="10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12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24"/>
                <w:szCs w:val="24"/>
                <w:color w:val="auto"/>
              </w:rPr>
            </w:pPr>
          </w:p>
        </w:tc>
        <w:tc>
          <w:tcPr>
            <w:tcW w:w="1120" w:type="dxa"/>
            <w:vAlign w:val="bottom"/>
            <w:shd w:val="clear" w:color="auto" w:fill="CCEEFF"/>
          </w:tcPr>
          <w:p>
            <w:pPr>
              <w:jc w:val="right"/>
              <w:ind w:right="34"/>
              <w:spacing w:after="0"/>
              <w:rPr>
                <w:sz w:val="20"/>
                <w:szCs w:val="20"/>
                <w:color w:val="auto"/>
              </w:rPr>
            </w:pPr>
            <w:r>
              <w:rPr>
                <w:rFonts w:ascii="Arial" w:cs="Arial" w:eastAsia="Arial" w:hAnsi="Arial"/>
                <w:sz w:val="18"/>
                <w:szCs w:val="18"/>
                <w:color w:val="auto"/>
              </w:rPr>
              <w:t>20</w:t>
            </w:r>
          </w:p>
        </w:tc>
        <w:tc>
          <w:tcPr>
            <w:tcW w:w="340" w:type="dxa"/>
            <w:vAlign w:val="bottom"/>
            <w:shd w:val="clear" w:color="auto" w:fill="CCEEFF"/>
          </w:tcPr>
          <w:p>
            <w:pPr>
              <w:jc w:val="right"/>
              <w:ind w:right="108"/>
              <w:spacing w:after="0"/>
              <w:rPr>
                <w:sz w:val="20"/>
                <w:szCs w:val="20"/>
                <w:color w:val="auto"/>
              </w:rPr>
            </w:pPr>
            <w:r>
              <w:rPr>
                <w:rFonts w:ascii="Arial" w:cs="Arial" w:eastAsia="Arial" w:hAnsi="Arial"/>
                <w:sz w:val="11"/>
                <w:szCs w:val="11"/>
                <w:color w:val="auto"/>
              </w:rPr>
              <w:t>(2)</w:t>
            </w:r>
          </w:p>
        </w:tc>
        <w:tc>
          <w:tcPr>
            <w:tcW w:w="260" w:type="dxa"/>
            <w:vAlign w:val="bottom"/>
            <w:shd w:val="clear" w:color="auto" w:fill="CCEEFF"/>
          </w:tcPr>
          <w:p>
            <w:pPr>
              <w:spacing w:after="0"/>
              <w:rPr>
                <w:sz w:val="24"/>
                <w:szCs w:val="24"/>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(69)</w:t>
            </w:r>
          </w:p>
        </w:tc>
      </w:tr>
      <w:tr>
        <w:trPr>
          <w:trHeight w:val="244"/>
        </w:trPr>
        <w:tc>
          <w:tcPr>
            <w:tcW w:w="5800" w:type="dxa"/>
            <w:vAlign w:val="bottom"/>
            <w:tcBorders>
              <w:bottom w:val="single" w:sz="8" w:color="CCEEFF"/>
            </w:tcBorders>
          </w:tcPr>
          <w:p>
            <w:pPr>
              <w:ind w:left="380"/>
              <w:spacing w:after="0"/>
              <w:rPr>
                <w:sz w:val="20"/>
                <w:szCs w:val="20"/>
                <w:color w:val="auto"/>
              </w:rPr>
            </w:pPr>
            <w:r>
              <w:rPr>
                <w:rFonts w:ascii="Arial" w:cs="Arial" w:eastAsia="Arial" w:hAnsi="Arial"/>
                <w:sz w:val="18"/>
                <w:szCs w:val="18"/>
                <w:color w:val="auto"/>
              </w:rPr>
              <w:t>Net current-period other comprehensive income (loss)</w:t>
            </w:r>
          </w:p>
        </w:tc>
        <w:tc>
          <w:tcPr>
            <w:tcW w:w="160" w:type="dxa"/>
            <w:vAlign w:val="bottom"/>
            <w:tcBorders>
              <w:top w:val="single" w:sz="8" w:color="auto"/>
              <w:bottom w:val="single" w:sz="8" w:color="auto"/>
            </w:tcBorders>
          </w:tcPr>
          <w:p>
            <w:pPr>
              <w:spacing w:after="0"/>
              <w:rPr>
                <w:sz w:val="21"/>
                <w:szCs w:val="21"/>
                <w:color w:val="auto"/>
              </w:rPr>
            </w:pPr>
          </w:p>
        </w:tc>
        <w:tc>
          <w:tcPr>
            <w:tcW w:w="12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(565)</w:t>
            </w:r>
          </w:p>
        </w:tc>
        <w:tc>
          <w:tcPr>
            <w:tcW w:w="100" w:type="dxa"/>
            <w:vAlign w:val="bottom"/>
            <w:tcBorders>
              <w:bottom w:val="single" w:sz="8" w:color="CCEEFF"/>
            </w:tcBorders>
          </w:tcPr>
          <w:p>
            <w:pPr>
              <w:spacing w:after="0"/>
              <w:rPr>
                <w:sz w:val="21"/>
                <w:szCs w:val="21"/>
                <w:color w:val="auto"/>
              </w:rPr>
            </w:pPr>
          </w:p>
        </w:tc>
        <w:tc>
          <w:tcPr>
            <w:tcW w:w="180" w:type="dxa"/>
            <w:vAlign w:val="bottom"/>
            <w:tcBorders>
              <w:top w:val="single" w:sz="8" w:color="auto"/>
              <w:bottom w:val="single" w:sz="8" w:color="auto"/>
            </w:tcBorders>
          </w:tcPr>
          <w:p>
            <w:pPr>
              <w:spacing w:after="0"/>
              <w:rPr>
                <w:sz w:val="21"/>
                <w:szCs w:val="21"/>
                <w:color w:val="auto"/>
              </w:rPr>
            </w:pPr>
          </w:p>
        </w:tc>
        <w:tc>
          <w:tcPr>
            <w:tcW w:w="1100" w:type="dxa"/>
            <w:vAlign w:val="bottom"/>
            <w:tcBorders>
              <w:top w:val="single" w:sz="8" w:color="auto"/>
              <w:bottom w:val="single" w:sz="8" w:color="auto"/>
            </w:tcBorders>
          </w:tcPr>
          <w:p>
            <w:pPr>
              <w:jc w:val="right"/>
              <w:ind w:right="33"/>
              <w:spacing w:after="0"/>
              <w:rPr>
                <w:sz w:val="20"/>
                <w:szCs w:val="20"/>
                <w:color w:val="auto"/>
              </w:rPr>
            </w:pPr>
            <w:r>
              <w:rPr>
                <w:rFonts w:ascii="Arial" w:cs="Arial" w:eastAsia="Arial" w:hAnsi="Arial"/>
                <w:sz w:val="18"/>
                <w:szCs w:val="18"/>
                <w:color w:val="auto"/>
              </w:rPr>
              <w:t>3</w:t>
            </w:r>
          </w:p>
        </w:tc>
        <w:tc>
          <w:tcPr>
            <w:tcW w:w="100" w:type="dxa"/>
            <w:vAlign w:val="bottom"/>
            <w:tcBorders>
              <w:bottom w:val="single" w:sz="8" w:color="CCEEFF"/>
            </w:tcBorders>
          </w:tcPr>
          <w:p>
            <w:pPr>
              <w:spacing w:after="0"/>
              <w:rPr>
                <w:sz w:val="21"/>
                <w:szCs w:val="21"/>
                <w:color w:val="auto"/>
              </w:rPr>
            </w:pPr>
          </w:p>
        </w:tc>
        <w:tc>
          <w:tcPr>
            <w:tcW w:w="160" w:type="dxa"/>
            <w:vAlign w:val="bottom"/>
            <w:tcBorders>
              <w:top w:val="single" w:sz="8" w:color="auto"/>
              <w:bottom w:val="single" w:sz="8" w:color="auto"/>
            </w:tcBorders>
          </w:tcPr>
          <w:p>
            <w:pPr>
              <w:spacing w:after="0"/>
              <w:rPr>
                <w:sz w:val="21"/>
                <w:szCs w:val="21"/>
                <w:color w:val="auto"/>
              </w:rPr>
            </w:pPr>
          </w:p>
        </w:tc>
        <w:tc>
          <w:tcPr>
            <w:tcW w:w="1120" w:type="dxa"/>
            <w:vAlign w:val="bottom"/>
            <w:tcBorders>
              <w:top w:val="single" w:sz="8" w:color="auto"/>
              <w:bottom w:val="single" w:sz="8" w:color="auto"/>
            </w:tcBorders>
          </w:tcPr>
          <w:p>
            <w:pPr>
              <w:jc w:val="right"/>
              <w:ind w:right="34"/>
              <w:spacing w:after="0"/>
              <w:rPr>
                <w:sz w:val="20"/>
                <w:szCs w:val="20"/>
                <w:color w:val="auto"/>
              </w:rPr>
            </w:pPr>
            <w:r>
              <w:rPr>
                <w:rFonts w:ascii="Arial" w:cs="Arial" w:eastAsia="Arial" w:hAnsi="Arial"/>
                <w:sz w:val="18"/>
                <w:szCs w:val="18"/>
                <w:color w:val="auto"/>
              </w:rPr>
              <w:t>127</w:t>
            </w:r>
          </w:p>
        </w:tc>
        <w:tc>
          <w:tcPr>
            <w:tcW w:w="340" w:type="dxa"/>
            <w:vAlign w:val="bottom"/>
            <w:tcBorders>
              <w:bottom w:val="single" w:sz="8" w:color="CCEEFF"/>
            </w:tcBorders>
          </w:tcPr>
          <w:p>
            <w:pPr>
              <w:spacing w:after="0"/>
              <w:rPr>
                <w:sz w:val="21"/>
                <w:szCs w:val="21"/>
                <w:color w:val="auto"/>
              </w:rPr>
            </w:pPr>
          </w:p>
        </w:tc>
        <w:tc>
          <w:tcPr>
            <w:tcW w:w="260" w:type="dxa"/>
            <w:vAlign w:val="bottom"/>
            <w:tcBorders>
              <w:top w:val="single" w:sz="8" w:color="auto"/>
              <w:bottom w:val="single" w:sz="8" w:color="auto"/>
            </w:tcBorders>
          </w:tcPr>
          <w:p>
            <w:pPr>
              <w:spacing w:after="0"/>
              <w:rPr>
                <w:sz w:val="21"/>
                <w:szCs w:val="21"/>
                <w:color w:val="auto"/>
              </w:rPr>
            </w:pPr>
          </w:p>
        </w:tc>
        <w:tc>
          <w:tcPr>
            <w:tcW w:w="8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(435)</w:t>
            </w:r>
          </w:p>
        </w:tc>
      </w:tr>
      <w:tr>
        <w:trPr>
          <w:trHeight w:val="250"/>
        </w:trPr>
        <w:tc>
          <w:tcPr>
            <w:tcW w:w="5800" w:type="dxa"/>
            <w:vAlign w:val="bottom"/>
            <w:shd w:val="clear" w:color="auto" w:fill="CCEEFF"/>
          </w:tcPr>
          <w:p>
            <w:pPr>
              <w:ind w:left="40"/>
              <w:spacing w:after="0"/>
              <w:rPr>
                <w:sz w:val="20"/>
                <w:szCs w:val="20"/>
                <w:color w:val="auto"/>
              </w:rPr>
            </w:pPr>
            <w:r>
              <w:rPr>
                <w:rFonts w:ascii="Arial" w:cs="Arial" w:eastAsia="Arial" w:hAnsi="Arial"/>
                <w:sz w:val="18"/>
                <w:szCs w:val="18"/>
                <w:color w:val="auto"/>
              </w:rPr>
              <w:t>Balance at December 31, 2019</w:t>
            </w: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(5,238)</w:t>
            </w:r>
          </w:p>
        </w:tc>
        <w:tc>
          <w:tcPr>
            <w:tcW w:w="100" w:type="dxa"/>
            <w:vAlign w:val="bottom"/>
            <w:shd w:val="clear" w:color="auto" w:fill="CCEEFF"/>
          </w:tcPr>
          <w:p>
            <w:pPr>
              <w:spacing w:after="0"/>
              <w:rPr>
                <w:sz w:val="21"/>
                <w:szCs w:val="21"/>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w:t>
            </w:r>
          </w:p>
        </w:tc>
        <w:tc>
          <w:tcPr>
            <w:tcW w:w="100" w:type="dxa"/>
            <w:vAlign w:val="bottom"/>
            <w:shd w:val="clear" w:color="auto" w:fill="CCEEFF"/>
          </w:tcPr>
          <w:p>
            <w:pPr>
              <w:spacing w:after="0"/>
              <w:rPr>
                <w:sz w:val="21"/>
                <w:szCs w:val="21"/>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(1,091)</w:t>
            </w:r>
          </w:p>
        </w:tc>
        <w:tc>
          <w:tcPr>
            <w:tcW w:w="6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(6,331)</w:t>
            </w:r>
          </w:p>
        </w:tc>
      </w:tr>
      <w:tr>
        <w:trPr>
          <w:trHeight w:val="20"/>
        </w:trPr>
        <w:tc>
          <w:tcPr>
            <w:tcW w:w="58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2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163195</wp:posOffset>
            </wp:positionV>
            <wp:extent cx="1337945" cy="8890"/>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1337945" cy="8890"/>
                    </a:xfrm>
                    <a:prstGeom prst="rect">
                      <a:avLst/>
                    </a:prstGeom>
                    <a:noFill/>
                  </pic:spPr>
                </pic:pic>
              </a:graphicData>
            </a:graphic>
          </wp:anchor>
        </w:drawing>
      </w:r>
    </w:p>
    <w:p>
      <w:pPr>
        <w:spacing w:after="0" w:line="330" w:lineRule="exact"/>
        <w:rPr>
          <w:sz w:val="20"/>
          <w:szCs w:val="20"/>
          <w:color w:val="auto"/>
        </w:rPr>
      </w:pPr>
    </w:p>
    <w:p>
      <w:pPr>
        <w:ind w:left="660" w:hanging="652"/>
        <w:spacing w:after="0" w:line="225" w:lineRule="auto"/>
        <w:tabs>
          <w:tab w:leader="none" w:pos="660" w:val="left"/>
        </w:tabs>
        <w:numPr>
          <w:ilvl w:val="0"/>
          <w:numId w:val="45"/>
        </w:numPr>
        <w:rPr>
          <w:rFonts w:ascii="Arial" w:cs="Arial" w:eastAsia="Arial" w:hAnsi="Arial"/>
          <w:sz w:val="22"/>
          <w:szCs w:val="22"/>
          <w:color w:val="auto"/>
          <w:vertAlign w:val="superscript"/>
        </w:rPr>
      </w:pPr>
      <w:r>
        <w:rPr>
          <w:rFonts w:ascii="Arial" w:cs="Arial" w:eastAsia="Arial" w:hAnsi="Arial"/>
          <w:sz w:val="18"/>
          <w:szCs w:val="18"/>
          <w:color w:val="auto"/>
        </w:rPr>
        <w:t>Relates principally to pension, retiree medical and other postretirement benefits obligations that will not be recognized in net income until the obligations are fully extinguished.</w:t>
      </w:r>
    </w:p>
    <w:p>
      <w:pPr>
        <w:spacing w:after="0" w:line="163" w:lineRule="exact"/>
        <w:rPr>
          <w:rFonts w:ascii="Arial" w:cs="Arial" w:eastAsia="Arial" w:hAnsi="Arial"/>
          <w:sz w:val="22"/>
          <w:szCs w:val="22"/>
          <w:color w:val="auto"/>
          <w:vertAlign w:val="superscript"/>
        </w:rPr>
      </w:pPr>
    </w:p>
    <w:p>
      <w:pPr>
        <w:ind w:left="660" w:hanging="652"/>
        <w:spacing w:after="0" w:line="225" w:lineRule="auto"/>
        <w:tabs>
          <w:tab w:leader="none" w:pos="660" w:val="left"/>
        </w:tabs>
        <w:numPr>
          <w:ilvl w:val="0"/>
          <w:numId w:val="45"/>
        </w:numPr>
        <w:rPr>
          <w:rFonts w:ascii="Arial" w:cs="Arial" w:eastAsia="Arial" w:hAnsi="Arial"/>
          <w:sz w:val="22"/>
          <w:szCs w:val="22"/>
          <w:color w:val="auto"/>
          <w:vertAlign w:val="superscript"/>
        </w:rPr>
      </w:pPr>
      <w:r>
        <w:rPr>
          <w:rFonts w:ascii="Arial" w:cs="Arial" w:eastAsia="Arial" w:hAnsi="Arial"/>
          <w:sz w:val="18"/>
          <w:szCs w:val="18"/>
          <w:color w:val="auto"/>
        </w:rPr>
        <w:t>Relates to pension, retiree medical and other postretirement benefits obligations and is recognized within the income tax provision on our consolidated statements of operations.</w:t>
      </w:r>
    </w:p>
    <w:p>
      <w:pPr>
        <w:spacing w:after="0" w:line="163" w:lineRule="exact"/>
        <w:rPr>
          <w:sz w:val="20"/>
          <w:szCs w:val="20"/>
          <w:color w:val="auto"/>
        </w:rPr>
      </w:pPr>
    </w:p>
    <w:p>
      <w:pPr>
        <w:ind w:left="220"/>
        <w:spacing w:after="0"/>
        <w:rPr>
          <w:sz w:val="20"/>
          <w:szCs w:val="20"/>
          <w:color w:val="auto"/>
        </w:rPr>
      </w:pPr>
      <w:r>
        <w:rPr>
          <w:rFonts w:ascii="Arial" w:cs="Arial" w:eastAsia="Arial" w:hAnsi="Arial"/>
          <w:sz w:val="18"/>
          <w:szCs w:val="18"/>
          <w:color w:val="auto"/>
        </w:rPr>
        <w:t>Reclassifications out of AOCI for the years ended December 31, 2019 and 2018 are as follows (in millions):</w:t>
      </w:r>
    </w:p>
    <w:p>
      <w:pPr>
        <w:spacing w:after="0" w:line="375" w:lineRule="exact"/>
        <w:rPr>
          <w:sz w:val="20"/>
          <w:szCs w:val="20"/>
          <w:color w:val="auto"/>
        </w:rPr>
      </w:pPr>
    </w:p>
    <w:tbl>
      <w:tblPr>
        <w:tblLayout w:type="fixed"/>
        <w:tblInd w:w="0" w:type="dxa"/>
        <w:tblCellMar>
          <w:top w:w="0" w:type="dxa"/>
          <w:left w:w="0" w:type="dxa"/>
          <w:bottom w:w="0" w:type="dxa"/>
          <w:right w:w="0" w:type="dxa"/>
        </w:tblCellMar>
      </w:tblPr>
      <w:tr>
        <w:trPr>
          <w:trHeight w:val="196"/>
        </w:trPr>
        <w:tc>
          <w:tcPr>
            <w:tcW w:w="40" w:type="dxa"/>
            <w:vAlign w:val="bottom"/>
          </w:tcPr>
          <w:p>
            <w:pPr>
              <w:spacing w:after="0"/>
              <w:rPr>
                <w:sz w:val="17"/>
                <w:szCs w:val="17"/>
                <w:color w:val="auto"/>
              </w:rPr>
            </w:pPr>
          </w:p>
        </w:tc>
        <w:tc>
          <w:tcPr>
            <w:tcW w:w="1280" w:type="dxa"/>
            <w:vAlign w:val="bottom"/>
          </w:tcPr>
          <w:p>
            <w:pPr>
              <w:spacing w:after="0"/>
              <w:rPr>
                <w:sz w:val="17"/>
                <w:szCs w:val="17"/>
                <w:color w:val="auto"/>
              </w:rPr>
            </w:pPr>
          </w:p>
        </w:tc>
        <w:tc>
          <w:tcPr>
            <w:tcW w:w="4040" w:type="dxa"/>
            <w:vAlign w:val="bottom"/>
          </w:tcPr>
          <w:p>
            <w:pPr>
              <w:spacing w:after="0"/>
              <w:rPr>
                <w:sz w:val="17"/>
                <w:szCs w:val="17"/>
                <w:color w:val="auto"/>
              </w:rPr>
            </w:pPr>
          </w:p>
        </w:tc>
        <w:tc>
          <w:tcPr>
            <w:tcW w:w="2880" w:type="dxa"/>
            <w:vAlign w:val="bottom"/>
            <w:tcBorders>
              <w:bottom w:val="single" w:sz="8" w:color="auto"/>
            </w:tcBorders>
            <w:gridSpan w:val="5"/>
          </w:tcPr>
          <w:p>
            <w:pPr>
              <w:jc w:val="right"/>
              <w:ind w:right="230"/>
              <w:spacing w:after="0"/>
              <w:rPr>
                <w:sz w:val="20"/>
                <w:szCs w:val="20"/>
                <w:color w:val="auto"/>
              </w:rPr>
            </w:pPr>
            <w:r>
              <w:rPr>
                <w:rFonts w:ascii="Arial" w:cs="Arial" w:eastAsia="Arial" w:hAnsi="Arial"/>
                <w:sz w:val="14"/>
                <w:szCs w:val="14"/>
                <w:b w:val="1"/>
                <w:bCs w:val="1"/>
                <w:color w:val="auto"/>
              </w:rPr>
              <w:t>Amounts reclassified from AOCI</w:t>
            </w:r>
          </w:p>
        </w:tc>
        <w:tc>
          <w:tcPr>
            <w:tcW w:w="100" w:type="dxa"/>
            <w:vAlign w:val="bottom"/>
          </w:tcPr>
          <w:p>
            <w:pPr>
              <w:spacing w:after="0"/>
              <w:rPr>
                <w:sz w:val="17"/>
                <w:szCs w:val="17"/>
                <w:color w:val="auto"/>
              </w:rPr>
            </w:pPr>
          </w:p>
        </w:tc>
        <w:tc>
          <w:tcPr>
            <w:tcW w:w="30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40" w:type="dxa"/>
            <w:vAlign w:val="bottom"/>
          </w:tcPr>
          <w:p>
            <w:pPr>
              <w:spacing w:after="0"/>
              <w:rPr>
                <w:sz w:val="17"/>
                <w:szCs w:val="17"/>
                <w:color w:val="auto"/>
              </w:rPr>
            </w:pPr>
          </w:p>
        </w:tc>
        <w:tc>
          <w:tcPr>
            <w:tcW w:w="1280" w:type="dxa"/>
            <w:vAlign w:val="bottom"/>
          </w:tcPr>
          <w:p>
            <w:pPr>
              <w:spacing w:after="0"/>
              <w:rPr>
                <w:sz w:val="17"/>
                <w:szCs w:val="17"/>
                <w:color w:val="auto"/>
              </w:rPr>
            </w:pPr>
          </w:p>
        </w:tc>
        <w:tc>
          <w:tcPr>
            <w:tcW w:w="4040" w:type="dxa"/>
            <w:vAlign w:val="bottom"/>
          </w:tcPr>
          <w:p>
            <w:pPr>
              <w:spacing w:after="0"/>
              <w:rPr>
                <w:sz w:val="17"/>
                <w:szCs w:val="17"/>
                <w:color w:val="auto"/>
              </w:rPr>
            </w:pPr>
          </w:p>
        </w:tc>
        <w:tc>
          <w:tcPr>
            <w:tcW w:w="2380" w:type="dxa"/>
            <w:vAlign w:val="bottom"/>
            <w:gridSpan w:val="4"/>
          </w:tcPr>
          <w:p>
            <w:pPr>
              <w:jc w:val="right"/>
              <w:spacing w:after="0"/>
              <w:rPr>
                <w:sz w:val="20"/>
                <w:szCs w:val="20"/>
                <w:color w:val="auto"/>
              </w:rPr>
            </w:pPr>
            <w:r>
              <w:rPr>
                <w:rFonts w:ascii="Arial" w:cs="Arial" w:eastAsia="Arial" w:hAnsi="Arial"/>
                <w:sz w:val="14"/>
                <w:szCs w:val="14"/>
                <w:b w:val="1"/>
                <w:bCs w:val="1"/>
                <w:color w:val="auto"/>
              </w:rPr>
              <w:t>Year Ended December 31,</w:t>
            </w:r>
          </w:p>
        </w:tc>
        <w:tc>
          <w:tcPr>
            <w:tcW w:w="5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080" w:type="dxa"/>
            <w:vAlign w:val="bottom"/>
          </w:tcPr>
          <w:p>
            <w:pPr>
              <w:jc w:val="center"/>
              <w:spacing w:after="0"/>
              <w:rPr>
                <w:sz w:val="20"/>
                <w:szCs w:val="20"/>
                <w:color w:val="auto"/>
              </w:rPr>
            </w:pPr>
            <w:r>
              <w:rPr>
                <w:rFonts w:ascii="Arial" w:cs="Arial" w:eastAsia="Arial" w:hAnsi="Arial"/>
                <w:sz w:val="14"/>
                <w:szCs w:val="14"/>
                <w:b w:val="1"/>
                <w:bCs w:val="1"/>
                <w:color w:val="auto"/>
              </w:rPr>
              <w:t>Affected line items on the</w:t>
            </w:r>
          </w:p>
        </w:tc>
        <w:tc>
          <w:tcPr>
            <w:tcW w:w="0" w:type="dxa"/>
            <w:vAlign w:val="bottom"/>
          </w:tcPr>
          <w:p>
            <w:pPr>
              <w:spacing w:after="0"/>
              <w:rPr>
                <w:sz w:val="1"/>
                <w:szCs w:val="1"/>
                <w:color w:val="auto"/>
              </w:rPr>
            </w:pPr>
          </w:p>
        </w:tc>
      </w:tr>
      <w:tr>
        <w:trPr>
          <w:trHeight w:val="54"/>
        </w:trPr>
        <w:tc>
          <w:tcPr>
            <w:tcW w:w="40" w:type="dxa"/>
            <w:vAlign w:val="bottom"/>
          </w:tcPr>
          <w:p>
            <w:pPr>
              <w:spacing w:after="0"/>
              <w:rPr>
                <w:sz w:val="4"/>
                <w:szCs w:val="4"/>
                <w:color w:val="auto"/>
              </w:rPr>
            </w:pPr>
          </w:p>
        </w:tc>
        <w:tc>
          <w:tcPr>
            <w:tcW w:w="1280" w:type="dxa"/>
            <w:vAlign w:val="bottom"/>
          </w:tcPr>
          <w:p>
            <w:pPr>
              <w:spacing w:after="0"/>
              <w:rPr>
                <w:sz w:val="4"/>
                <w:szCs w:val="4"/>
                <w:color w:val="auto"/>
              </w:rPr>
            </w:pPr>
          </w:p>
        </w:tc>
        <w:tc>
          <w:tcPr>
            <w:tcW w:w="4040" w:type="dxa"/>
            <w:vAlign w:val="bottom"/>
          </w:tcPr>
          <w:p>
            <w:pPr>
              <w:spacing w:after="0"/>
              <w:rPr>
                <w:sz w:val="4"/>
                <w:szCs w:val="4"/>
                <w:color w:val="auto"/>
              </w:rPr>
            </w:pPr>
          </w:p>
        </w:tc>
        <w:tc>
          <w:tcPr>
            <w:tcW w:w="880" w:type="dxa"/>
            <w:vAlign w:val="bottom"/>
            <w:tcBorders>
              <w:bottom w:val="single" w:sz="8" w:color="auto"/>
            </w:tcBorders>
          </w:tcPr>
          <w:p>
            <w:pPr>
              <w:spacing w:after="0"/>
              <w:rPr>
                <w:sz w:val="4"/>
                <w:szCs w:val="4"/>
                <w:color w:val="auto"/>
              </w:rPr>
            </w:pPr>
          </w:p>
        </w:tc>
        <w:tc>
          <w:tcPr>
            <w:tcW w:w="500" w:type="dxa"/>
            <w:vAlign w:val="bottom"/>
            <w:tcBorders>
              <w:bottom w:val="single" w:sz="8" w:color="auto"/>
            </w:tcBorders>
          </w:tcPr>
          <w:p>
            <w:pPr>
              <w:spacing w:after="0"/>
              <w:rPr>
                <w:sz w:val="4"/>
                <w:szCs w:val="4"/>
                <w:color w:val="auto"/>
              </w:rPr>
            </w:pPr>
          </w:p>
        </w:tc>
        <w:tc>
          <w:tcPr>
            <w:tcW w:w="120" w:type="dxa"/>
            <w:vAlign w:val="bottom"/>
            <w:tcBorders>
              <w:bottom w:val="single" w:sz="8" w:color="auto"/>
            </w:tcBorders>
          </w:tcPr>
          <w:p>
            <w:pPr>
              <w:spacing w:after="0"/>
              <w:rPr>
                <w:sz w:val="4"/>
                <w:szCs w:val="4"/>
                <w:color w:val="auto"/>
              </w:rPr>
            </w:pPr>
          </w:p>
        </w:tc>
        <w:tc>
          <w:tcPr>
            <w:tcW w:w="880" w:type="dxa"/>
            <w:vAlign w:val="bottom"/>
            <w:tcBorders>
              <w:bottom w:val="single" w:sz="8" w:color="auto"/>
            </w:tcBorders>
          </w:tcPr>
          <w:p>
            <w:pPr>
              <w:spacing w:after="0"/>
              <w:rPr>
                <w:sz w:val="4"/>
                <w:szCs w:val="4"/>
                <w:color w:val="auto"/>
              </w:rPr>
            </w:pPr>
          </w:p>
        </w:tc>
        <w:tc>
          <w:tcPr>
            <w:tcW w:w="500" w:type="dxa"/>
            <w:vAlign w:val="bottom"/>
            <w:tcBorders>
              <w:bottom w:val="single" w:sz="8" w:color="auto"/>
            </w:tcBorders>
          </w:tcPr>
          <w:p>
            <w:pPr>
              <w:spacing w:after="0"/>
              <w:rPr>
                <w:sz w:val="4"/>
                <w:szCs w:val="4"/>
                <w:color w:val="auto"/>
              </w:rPr>
            </w:pPr>
          </w:p>
        </w:tc>
        <w:tc>
          <w:tcPr>
            <w:tcW w:w="100" w:type="dxa"/>
            <w:vAlign w:val="bottom"/>
            <w:vMerge w:val="restart"/>
          </w:tcPr>
          <w:p>
            <w:pPr>
              <w:spacing w:after="0"/>
              <w:rPr>
                <w:sz w:val="4"/>
                <w:szCs w:val="4"/>
                <w:color w:val="auto"/>
              </w:rPr>
            </w:pPr>
          </w:p>
        </w:tc>
        <w:tc>
          <w:tcPr>
            <w:tcW w:w="3080" w:type="dxa"/>
            <w:vAlign w:val="bottom"/>
            <w:vMerge w:val="restart"/>
          </w:tcPr>
          <w:p>
            <w:pPr>
              <w:jc w:val="center"/>
              <w:spacing w:after="0" w:line="135" w:lineRule="exact"/>
              <w:rPr>
                <w:sz w:val="20"/>
                <w:szCs w:val="20"/>
                <w:color w:val="auto"/>
              </w:rPr>
            </w:pPr>
            <w:r>
              <w:rPr>
                <w:rFonts w:ascii="Arial" w:cs="Arial" w:eastAsia="Arial" w:hAnsi="Arial"/>
                <w:sz w:val="14"/>
                <w:szCs w:val="14"/>
                <w:b w:val="1"/>
                <w:bCs w:val="1"/>
                <w:color w:val="auto"/>
              </w:rPr>
              <w:t>consolidated statements of</w:t>
            </w:r>
          </w:p>
        </w:tc>
        <w:tc>
          <w:tcPr>
            <w:tcW w:w="0" w:type="dxa"/>
            <w:vAlign w:val="bottom"/>
          </w:tcPr>
          <w:p>
            <w:pPr>
              <w:spacing w:after="0"/>
              <w:rPr>
                <w:sz w:val="1"/>
                <w:szCs w:val="1"/>
                <w:color w:val="auto"/>
              </w:rPr>
            </w:pPr>
          </w:p>
        </w:tc>
      </w:tr>
      <w:tr>
        <w:trPr>
          <w:trHeight w:val="61"/>
        </w:trPr>
        <w:tc>
          <w:tcPr>
            <w:tcW w:w="40" w:type="dxa"/>
            <w:vAlign w:val="bottom"/>
          </w:tcPr>
          <w:p>
            <w:pPr>
              <w:spacing w:after="0"/>
              <w:rPr>
                <w:sz w:val="5"/>
                <w:szCs w:val="5"/>
                <w:color w:val="auto"/>
              </w:rPr>
            </w:pPr>
          </w:p>
        </w:tc>
        <w:tc>
          <w:tcPr>
            <w:tcW w:w="1280" w:type="dxa"/>
            <w:vAlign w:val="bottom"/>
          </w:tcPr>
          <w:p>
            <w:pPr>
              <w:spacing w:after="0"/>
              <w:rPr>
                <w:sz w:val="5"/>
                <w:szCs w:val="5"/>
                <w:color w:val="auto"/>
              </w:rPr>
            </w:pPr>
          </w:p>
        </w:tc>
        <w:tc>
          <w:tcPr>
            <w:tcW w:w="4040" w:type="dxa"/>
            <w:vAlign w:val="bottom"/>
          </w:tcPr>
          <w:p>
            <w:pPr>
              <w:spacing w:after="0"/>
              <w:rPr>
                <w:sz w:val="5"/>
                <w:szCs w:val="5"/>
                <w:color w:val="auto"/>
              </w:rPr>
            </w:pPr>
          </w:p>
        </w:tc>
        <w:tc>
          <w:tcPr>
            <w:tcW w:w="880" w:type="dxa"/>
            <w:vAlign w:val="bottom"/>
          </w:tcPr>
          <w:p>
            <w:pPr>
              <w:spacing w:after="0"/>
              <w:rPr>
                <w:sz w:val="5"/>
                <w:szCs w:val="5"/>
                <w:color w:val="auto"/>
              </w:rPr>
            </w:pPr>
          </w:p>
        </w:tc>
        <w:tc>
          <w:tcPr>
            <w:tcW w:w="500" w:type="dxa"/>
            <w:vAlign w:val="bottom"/>
          </w:tcPr>
          <w:p>
            <w:pPr>
              <w:spacing w:after="0"/>
              <w:rPr>
                <w:sz w:val="5"/>
                <w:szCs w:val="5"/>
                <w:color w:val="auto"/>
              </w:rPr>
            </w:pPr>
          </w:p>
        </w:tc>
        <w:tc>
          <w:tcPr>
            <w:tcW w:w="120" w:type="dxa"/>
            <w:vAlign w:val="bottom"/>
          </w:tcPr>
          <w:p>
            <w:pPr>
              <w:spacing w:after="0"/>
              <w:rPr>
                <w:sz w:val="5"/>
                <w:szCs w:val="5"/>
                <w:color w:val="auto"/>
              </w:rPr>
            </w:pPr>
          </w:p>
        </w:tc>
        <w:tc>
          <w:tcPr>
            <w:tcW w:w="880" w:type="dxa"/>
            <w:vAlign w:val="bottom"/>
          </w:tcPr>
          <w:p>
            <w:pPr>
              <w:spacing w:after="0"/>
              <w:rPr>
                <w:sz w:val="5"/>
                <w:szCs w:val="5"/>
                <w:color w:val="auto"/>
              </w:rPr>
            </w:pPr>
          </w:p>
        </w:tc>
        <w:tc>
          <w:tcPr>
            <w:tcW w:w="500" w:type="dxa"/>
            <w:vAlign w:val="bottom"/>
          </w:tcPr>
          <w:p>
            <w:pPr>
              <w:spacing w:after="0"/>
              <w:rPr>
                <w:sz w:val="5"/>
                <w:szCs w:val="5"/>
                <w:color w:val="auto"/>
              </w:rPr>
            </w:pPr>
          </w:p>
        </w:tc>
        <w:tc>
          <w:tcPr>
            <w:tcW w:w="100" w:type="dxa"/>
            <w:vAlign w:val="bottom"/>
            <w:vMerge w:val="continue"/>
          </w:tcPr>
          <w:p>
            <w:pPr>
              <w:spacing w:after="0"/>
              <w:rPr>
                <w:sz w:val="5"/>
                <w:szCs w:val="5"/>
                <w:color w:val="auto"/>
              </w:rPr>
            </w:pPr>
          </w:p>
        </w:tc>
        <w:tc>
          <w:tcPr>
            <w:tcW w:w="308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62"/>
        </w:trPr>
        <w:tc>
          <w:tcPr>
            <w:tcW w:w="5360" w:type="dxa"/>
            <w:vAlign w:val="bottom"/>
            <w:gridSpan w:val="3"/>
          </w:tcPr>
          <w:p>
            <w:pPr>
              <w:ind w:left="40"/>
              <w:spacing w:after="0"/>
              <w:rPr>
                <w:sz w:val="20"/>
                <w:szCs w:val="20"/>
                <w:color w:val="auto"/>
              </w:rPr>
            </w:pPr>
            <w:r>
              <w:rPr>
                <w:rFonts w:ascii="Arial" w:cs="Arial" w:eastAsia="Arial" w:hAnsi="Arial"/>
                <w:sz w:val="14"/>
                <w:szCs w:val="14"/>
                <w:b w:val="1"/>
                <w:bCs w:val="1"/>
                <w:color w:val="auto"/>
              </w:rPr>
              <w:t>AOCI Components</w:t>
            </w:r>
          </w:p>
        </w:tc>
        <w:tc>
          <w:tcPr>
            <w:tcW w:w="880" w:type="dxa"/>
            <w:vAlign w:val="bottom"/>
          </w:tcPr>
          <w:p>
            <w:pPr>
              <w:jc w:val="right"/>
              <w:spacing w:after="0"/>
              <w:rPr>
                <w:sz w:val="20"/>
                <w:szCs w:val="20"/>
                <w:color w:val="auto"/>
              </w:rPr>
            </w:pPr>
            <w:r>
              <w:rPr>
                <w:rFonts w:ascii="Arial" w:cs="Arial" w:eastAsia="Arial" w:hAnsi="Arial"/>
                <w:sz w:val="14"/>
                <w:szCs w:val="14"/>
                <w:b w:val="1"/>
                <w:bCs w:val="1"/>
                <w:color w:val="auto"/>
              </w:rPr>
              <w:t>2019</w:t>
            </w:r>
          </w:p>
        </w:tc>
        <w:tc>
          <w:tcPr>
            <w:tcW w:w="5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80" w:type="dxa"/>
            <w:vAlign w:val="bottom"/>
          </w:tcPr>
          <w:p>
            <w:pPr>
              <w:jc w:val="right"/>
              <w:spacing w:after="0"/>
              <w:rPr>
                <w:sz w:val="20"/>
                <w:szCs w:val="20"/>
                <w:color w:val="auto"/>
              </w:rPr>
            </w:pPr>
            <w:r>
              <w:rPr>
                <w:rFonts w:ascii="Arial" w:cs="Arial" w:eastAsia="Arial" w:hAnsi="Arial"/>
                <w:sz w:val="14"/>
                <w:szCs w:val="14"/>
                <w:b w:val="1"/>
                <w:bCs w:val="1"/>
                <w:color w:val="auto"/>
              </w:rPr>
              <w:t>2018</w:t>
            </w:r>
          </w:p>
        </w:tc>
        <w:tc>
          <w:tcPr>
            <w:tcW w:w="5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080" w:type="dxa"/>
            <w:vAlign w:val="bottom"/>
          </w:tcPr>
          <w:p>
            <w:pPr>
              <w:jc w:val="center"/>
              <w:spacing w:after="0"/>
              <w:rPr>
                <w:sz w:val="20"/>
                <w:szCs w:val="20"/>
                <w:color w:val="auto"/>
              </w:rPr>
            </w:pPr>
            <w:r>
              <w:rPr>
                <w:rFonts w:ascii="Arial" w:cs="Arial" w:eastAsia="Arial" w:hAnsi="Arial"/>
                <w:sz w:val="14"/>
                <w:szCs w:val="14"/>
                <w:b w:val="1"/>
                <w:bCs w:val="1"/>
                <w:color w:val="auto"/>
              </w:rPr>
              <w:t>operations</w:t>
            </w:r>
          </w:p>
        </w:tc>
        <w:tc>
          <w:tcPr>
            <w:tcW w:w="0" w:type="dxa"/>
            <w:vAlign w:val="bottom"/>
          </w:tcPr>
          <w:p>
            <w:pPr>
              <w:spacing w:after="0"/>
              <w:rPr>
                <w:sz w:val="1"/>
                <w:szCs w:val="1"/>
                <w:color w:val="auto"/>
              </w:rPr>
            </w:pPr>
          </w:p>
        </w:tc>
      </w:tr>
      <w:tr>
        <w:trPr>
          <w:trHeight w:val="21"/>
        </w:trPr>
        <w:tc>
          <w:tcPr>
            <w:tcW w:w="40" w:type="dxa"/>
            <w:vAlign w:val="bottom"/>
            <w:tcBorders>
              <w:bottom w:val="single" w:sz="8" w:color="CCEEFF"/>
            </w:tcBorders>
          </w:tcPr>
          <w:p>
            <w:pPr>
              <w:spacing w:after="0" w:line="20" w:lineRule="exact"/>
              <w:rPr>
                <w:sz w:val="1"/>
                <w:szCs w:val="1"/>
                <w:color w:val="auto"/>
              </w:rPr>
            </w:pPr>
          </w:p>
        </w:tc>
        <w:tc>
          <w:tcPr>
            <w:tcW w:w="1280" w:type="dxa"/>
            <w:vAlign w:val="bottom"/>
            <w:tcBorders>
              <w:top w:val="single" w:sz="8" w:color="auto"/>
              <w:bottom w:val="single" w:sz="8" w:color="CCEEFF"/>
            </w:tcBorders>
          </w:tcPr>
          <w:p>
            <w:pPr>
              <w:spacing w:after="0" w:line="20" w:lineRule="exact"/>
              <w:rPr>
                <w:sz w:val="1"/>
                <w:szCs w:val="1"/>
                <w:color w:val="auto"/>
              </w:rPr>
            </w:pPr>
          </w:p>
        </w:tc>
        <w:tc>
          <w:tcPr>
            <w:tcW w:w="4040" w:type="dxa"/>
            <w:vAlign w:val="bottom"/>
            <w:tcBorders>
              <w:bottom w:val="single" w:sz="8" w:color="CCEEFF"/>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0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09"/>
        </w:trPr>
        <w:tc>
          <w:tcPr>
            <w:tcW w:w="5360" w:type="dxa"/>
            <w:vAlign w:val="bottom"/>
            <w:gridSpan w:val="3"/>
            <w:shd w:val="clear" w:color="auto" w:fill="CCEEFF"/>
          </w:tcPr>
          <w:p>
            <w:pPr>
              <w:ind w:left="40"/>
              <w:spacing w:after="0"/>
              <w:rPr>
                <w:sz w:val="20"/>
                <w:szCs w:val="20"/>
                <w:color w:val="auto"/>
              </w:rPr>
            </w:pPr>
            <w:r>
              <w:rPr>
                <w:rFonts w:ascii="Arial" w:cs="Arial" w:eastAsia="Arial" w:hAnsi="Arial"/>
                <w:sz w:val="18"/>
                <w:szCs w:val="18"/>
                <w:color w:val="auto"/>
              </w:rPr>
              <w:t>Amortization of pension, retiree medical and other postretirement</w:t>
            </w:r>
          </w:p>
        </w:tc>
        <w:tc>
          <w:tcPr>
            <w:tcW w:w="88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0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40" w:type="dxa"/>
            <w:vAlign w:val="bottom"/>
            <w:shd w:val="clear" w:color="auto" w:fill="CCEEFF"/>
          </w:tcPr>
          <w:p>
            <w:pPr>
              <w:spacing w:after="0"/>
              <w:rPr>
                <w:sz w:val="20"/>
                <w:szCs w:val="20"/>
                <w:color w:val="auto"/>
              </w:rPr>
            </w:pPr>
          </w:p>
        </w:tc>
        <w:tc>
          <w:tcPr>
            <w:tcW w:w="5320" w:type="dxa"/>
            <w:vAlign w:val="bottom"/>
            <w:gridSpan w:val="2"/>
            <w:shd w:val="clear" w:color="auto" w:fill="CCEEFF"/>
          </w:tcPr>
          <w:p>
            <w:pPr>
              <w:ind w:left="160"/>
              <w:spacing w:after="0"/>
              <w:rPr>
                <w:sz w:val="20"/>
                <w:szCs w:val="20"/>
                <w:color w:val="auto"/>
              </w:rPr>
            </w:pPr>
            <w:r>
              <w:rPr>
                <w:rFonts w:ascii="Arial" w:cs="Arial" w:eastAsia="Arial" w:hAnsi="Arial"/>
                <w:sz w:val="18"/>
                <w:szCs w:val="18"/>
                <w:color w:val="auto"/>
              </w:rPr>
              <w:t>benefits:</w:t>
            </w:r>
          </w:p>
        </w:tc>
        <w:tc>
          <w:tcPr>
            <w:tcW w:w="880" w:type="dxa"/>
            <w:vAlign w:val="bottom"/>
            <w:shd w:val="clear" w:color="auto" w:fill="CCEEFF"/>
          </w:tcPr>
          <w:p>
            <w:pPr>
              <w:spacing w:after="0"/>
              <w:rPr>
                <w:sz w:val="20"/>
                <w:szCs w:val="20"/>
                <w:color w:val="auto"/>
              </w:rPr>
            </w:pPr>
          </w:p>
        </w:tc>
        <w:tc>
          <w:tcPr>
            <w:tcW w:w="50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880" w:type="dxa"/>
            <w:vAlign w:val="bottom"/>
            <w:shd w:val="clear" w:color="auto" w:fill="CCEEFF"/>
          </w:tcPr>
          <w:p>
            <w:pPr>
              <w:spacing w:after="0"/>
              <w:rPr>
                <w:sz w:val="20"/>
                <w:szCs w:val="20"/>
                <w:color w:val="auto"/>
              </w:rPr>
            </w:pPr>
          </w:p>
        </w:tc>
        <w:tc>
          <w:tcPr>
            <w:tcW w:w="50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308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63"/>
        </w:trPr>
        <w:tc>
          <w:tcPr>
            <w:tcW w:w="40" w:type="dxa"/>
            <w:vAlign w:val="bottom"/>
          </w:tcPr>
          <w:p>
            <w:pPr>
              <w:spacing w:after="0"/>
              <w:rPr>
                <w:sz w:val="22"/>
                <w:szCs w:val="22"/>
                <w:color w:val="auto"/>
              </w:rPr>
            </w:pPr>
          </w:p>
        </w:tc>
        <w:tc>
          <w:tcPr>
            <w:tcW w:w="5320" w:type="dxa"/>
            <w:vAlign w:val="bottom"/>
            <w:gridSpan w:val="2"/>
          </w:tcPr>
          <w:p>
            <w:pPr>
              <w:ind w:left="240"/>
              <w:spacing w:after="0"/>
              <w:rPr>
                <w:sz w:val="20"/>
                <w:szCs w:val="20"/>
                <w:color w:val="auto"/>
              </w:rPr>
            </w:pPr>
            <w:r>
              <w:rPr>
                <w:rFonts w:ascii="Arial" w:cs="Arial" w:eastAsia="Arial" w:hAnsi="Arial"/>
                <w:sz w:val="18"/>
                <w:szCs w:val="18"/>
                <w:color w:val="auto"/>
              </w:rPr>
              <w:t>Prior service benefit</w:t>
            </w:r>
          </w:p>
        </w:tc>
        <w:tc>
          <w:tcPr>
            <w:tcW w:w="880" w:type="dxa"/>
            <w:vAlign w:val="bottom"/>
          </w:tcPr>
          <w:p>
            <w:pPr>
              <w:jc w:val="right"/>
              <w:ind w:right="661"/>
              <w:spacing w:after="0"/>
              <w:rPr>
                <w:sz w:val="20"/>
                <w:szCs w:val="20"/>
                <w:color w:val="auto"/>
              </w:rPr>
            </w:pPr>
            <w:r>
              <w:rPr>
                <w:rFonts w:ascii="Arial" w:cs="Arial" w:eastAsia="Arial" w:hAnsi="Arial"/>
                <w:sz w:val="18"/>
                <w:szCs w:val="18"/>
                <w:color w:val="auto"/>
              </w:rPr>
              <w:t>$</w:t>
            </w:r>
          </w:p>
        </w:tc>
        <w:tc>
          <w:tcPr>
            <w:tcW w:w="500" w:type="dxa"/>
            <w:vAlign w:val="bottom"/>
          </w:tcPr>
          <w:p>
            <w:pPr>
              <w:jc w:val="right"/>
              <w:spacing w:after="0"/>
              <w:rPr>
                <w:sz w:val="20"/>
                <w:szCs w:val="20"/>
                <w:color w:val="auto"/>
              </w:rPr>
            </w:pPr>
            <w:r>
              <w:rPr>
                <w:rFonts w:ascii="Arial" w:cs="Arial" w:eastAsia="Arial" w:hAnsi="Arial"/>
                <w:sz w:val="18"/>
                <w:szCs w:val="18"/>
                <w:color w:val="auto"/>
              </w:rPr>
              <w:t>(162)</w:t>
            </w:r>
          </w:p>
        </w:tc>
        <w:tc>
          <w:tcPr>
            <w:tcW w:w="120" w:type="dxa"/>
            <w:vAlign w:val="bottom"/>
          </w:tcPr>
          <w:p>
            <w:pPr>
              <w:spacing w:after="0"/>
              <w:rPr>
                <w:sz w:val="22"/>
                <w:szCs w:val="22"/>
                <w:color w:val="auto"/>
              </w:rPr>
            </w:pPr>
          </w:p>
        </w:tc>
        <w:tc>
          <w:tcPr>
            <w:tcW w:w="880" w:type="dxa"/>
            <w:vAlign w:val="bottom"/>
          </w:tcPr>
          <w:p>
            <w:pPr>
              <w:jc w:val="right"/>
              <w:ind w:right="676"/>
              <w:spacing w:after="0"/>
              <w:rPr>
                <w:sz w:val="20"/>
                <w:szCs w:val="20"/>
                <w:color w:val="auto"/>
              </w:rPr>
            </w:pPr>
            <w:r>
              <w:rPr>
                <w:rFonts w:ascii="Arial" w:cs="Arial" w:eastAsia="Arial" w:hAnsi="Arial"/>
                <w:sz w:val="18"/>
                <w:szCs w:val="18"/>
                <w:color w:val="auto"/>
                <w:w w:val="99"/>
              </w:rPr>
              <w:t>$</w:t>
            </w:r>
          </w:p>
        </w:tc>
        <w:tc>
          <w:tcPr>
            <w:tcW w:w="500" w:type="dxa"/>
            <w:vAlign w:val="bottom"/>
          </w:tcPr>
          <w:p>
            <w:pPr>
              <w:jc w:val="right"/>
              <w:spacing w:after="0"/>
              <w:rPr>
                <w:sz w:val="20"/>
                <w:szCs w:val="20"/>
                <w:color w:val="auto"/>
              </w:rPr>
            </w:pPr>
            <w:r>
              <w:rPr>
                <w:rFonts w:ascii="Arial" w:cs="Arial" w:eastAsia="Arial" w:hAnsi="Arial"/>
                <w:sz w:val="18"/>
                <w:szCs w:val="18"/>
                <w:color w:val="auto"/>
                <w:w w:val="99"/>
              </w:rPr>
              <w:t>(161)</w:t>
            </w:r>
          </w:p>
        </w:tc>
        <w:tc>
          <w:tcPr>
            <w:tcW w:w="100" w:type="dxa"/>
            <w:vAlign w:val="bottom"/>
          </w:tcPr>
          <w:p>
            <w:pPr>
              <w:spacing w:after="0"/>
              <w:rPr>
                <w:sz w:val="22"/>
                <w:szCs w:val="22"/>
                <w:color w:val="auto"/>
              </w:rPr>
            </w:pPr>
          </w:p>
        </w:tc>
        <w:tc>
          <w:tcPr>
            <w:tcW w:w="3080" w:type="dxa"/>
            <w:vAlign w:val="bottom"/>
          </w:tcPr>
          <w:p>
            <w:pPr>
              <w:jc w:val="right"/>
              <w:ind w:right="464"/>
              <w:spacing w:after="0"/>
              <w:rPr>
                <w:sz w:val="20"/>
                <w:szCs w:val="20"/>
                <w:color w:val="auto"/>
              </w:rPr>
            </w:pPr>
            <w:r>
              <w:rPr>
                <w:rFonts w:ascii="Arial" w:cs="Arial" w:eastAsia="Arial" w:hAnsi="Arial"/>
                <w:sz w:val="18"/>
                <w:szCs w:val="18"/>
                <w:color w:val="auto"/>
                <w:w w:val="99"/>
              </w:rPr>
              <w:t>Nonoperating other income, net</w:t>
            </w:r>
          </w:p>
        </w:tc>
        <w:tc>
          <w:tcPr>
            <w:tcW w:w="0" w:type="dxa"/>
            <w:vAlign w:val="bottom"/>
          </w:tcPr>
          <w:p>
            <w:pPr>
              <w:spacing w:after="0"/>
              <w:rPr>
                <w:sz w:val="1"/>
                <w:szCs w:val="1"/>
                <w:color w:val="auto"/>
              </w:rPr>
            </w:pPr>
          </w:p>
        </w:tc>
      </w:tr>
      <w:tr>
        <w:trPr>
          <w:trHeight w:val="277"/>
        </w:trPr>
        <w:tc>
          <w:tcPr>
            <w:tcW w:w="40" w:type="dxa"/>
            <w:vAlign w:val="bottom"/>
            <w:shd w:val="clear" w:color="auto" w:fill="CCEEFF"/>
          </w:tcPr>
          <w:p>
            <w:pPr>
              <w:spacing w:after="0"/>
              <w:rPr>
                <w:sz w:val="24"/>
                <w:szCs w:val="24"/>
                <w:color w:val="auto"/>
              </w:rPr>
            </w:pPr>
          </w:p>
        </w:tc>
        <w:tc>
          <w:tcPr>
            <w:tcW w:w="5320" w:type="dxa"/>
            <w:vAlign w:val="bottom"/>
            <w:gridSpan w:val="2"/>
            <w:shd w:val="clear" w:color="auto" w:fill="CCEEFF"/>
          </w:tcPr>
          <w:p>
            <w:pPr>
              <w:ind w:left="240"/>
              <w:spacing w:after="0"/>
              <w:rPr>
                <w:sz w:val="20"/>
                <w:szCs w:val="20"/>
                <w:color w:val="auto"/>
              </w:rPr>
            </w:pPr>
            <w:r>
              <w:rPr>
                <w:rFonts w:ascii="Arial" w:cs="Arial" w:eastAsia="Arial" w:hAnsi="Arial"/>
                <w:sz w:val="18"/>
                <w:szCs w:val="18"/>
                <w:color w:val="auto"/>
              </w:rPr>
              <w:t>Actuarial loss</w:t>
            </w:r>
          </w:p>
        </w:tc>
        <w:tc>
          <w:tcPr>
            <w:tcW w:w="880" w:type="dxa"/>
            <w:vAlign w:val="bottom"/>
            <w:shd w:val="clear" w:color="auto" w:fill="CCEEFF"/>
          </w:tcPr>
          <w:p>
            <w:pPr>
              <w:spacing w:after="0"/>
              <w:rPr>
                <w:sz w:val="24"/>
                <w:szCs w:val="24"/>
                <w:color w:val="auto"/>
              </w:rPr>
            </w:pPr>
          </w:p>
        </w:tc>
        <w:tc>
          <w:tcPr>
            <w:tcW w:w="5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93</w:t>
            </w:r>
          </w:p>
        </w:tc>
        <w:tc>
          <w:tcPr>
            <w:tcW w:w="120" w:type="dxa"/>
            <w:vAlign w:val="bottom"/>
            <w:shd w:val="clear" w:color="auto" w:fill="CCEEFF"/>
          </w:tcPr>
          <w:p>
            <w:pPr>
              <w:spacing w:after="0"/>
              <w:rPr>
                <w:sz w:val="24"/>
                <w:szCs w:val="24"/>
                <w:color w:val="auto"/>
              </w:rPr>
            </w:pPr>
          </w:p>
        </w:tc>
        <w:tc>
          <w:tcPr>
            <w:tcW w:w="880" w:type="dxa"/>
            <w:vAlign w:val="bottom"/>
            <w:shd w:val="clear" w:color="auto" w:fill="CCEEFF"/>
          </w:tcPr>
          <w:p>
            <w:pPr>
              <w:spacing w:after="0"/>
              <w:rPr>
                <w:sz w:val="24"/>
                <w:szCs w:val="24"/>
                <w:color w:val="auto"/>
              </w:rPr>
            </w:pPr>
          </w:p>
        </w:tc>
        <w:tc>
          <w:tcPr>
            <w:tcW w:w="3680" w:type="dxa"/>
            <w:vAlign w:val="bottom"/>
            <w:gridSpan w:val="3"/>
            <w:shd w:val="clear" w:color="auto" w:fill="CCEEFF"/>
          </w:tcPr>
          <w:p>
            <w:pPr>
              <w:jc w:val="right"/>
              <w:ind w:right="464"/>
              <w:spacing w:after="0"/>
              <w:rPr>
                <w:sz w:val="20"/>
                <w:szCs w:val="20"/>
                <w:color w:val="auto"/>
              </w:rPr>
            </w:pPr>
            <w:r>
              <w:rPr>
                <w:rFonts w:ascii="Arial" w:cs="Arial" w:eastAsia="Arial" w:hAnsi="Arial"/>
                <w:sz w:val="18"/>
                <w:szCs w:val="18"/>
                <w:color w:val="auto"/>
              </w:rPr>
              <w:t>92   Nonoperating other income, net</w:t>
            </w:r>
          </w:p>
        </w:tc>
        <w:tc>
          <w:tcPr>
            <w:tcW w:w="0" w:type="dxa"/>
            <w:vAlign w:val="bottom"/>
          </w:tcPr>
          <w:p>
            <w:pPr>
              <w:spacing w:after="0"/>
              <w:rPr>
                <w:sz w:val="1"/>
                <w:szCs w:val="1"/>
                <w:color w:val="auto"/>
              </w:rPr>
            </w:pPr>
          </w:p>
        </w:tc>
      </w:tr>
      <w:tr>
        <w:trPr>
          <w:trHeight w:val="244"/>
        </w:trPr>
        <w:tc>
          <w:tcPr>
            <w:tcW w:w="5360" w:type="dxa"/>
            <w:vAlign w:val="bottom"/>
            <w:gridSpan w:val="3"/>
          </w:tcPr>
          <w:p>
            <w:pPr>
              <w:ind w:left="40"/>
              <w:spacing w:after="0"/>
              <w:rPr>
                <w:sz w:val="20"/>
                <w:szCs w:val="20"/>
                <w:color w:val="auto"/>
              </w:rPr>
            </w:pPr>
            <w:r>
              <w:rPr>
                <w:rFonts w:ascii="Arial" w:cs="Arial" w:eastAsia="Arial" w:hAnsi="Arial"/>
                <w:sz w:val="18"/>
                <w:szCs w:val="18"/>
                <w:color w:val="auto"/>
              </w:rPr>
              <w:t>Total reclassifications for the period, net of tax</w:t>
            </w:r>
          </w:p>
        </w:tc>
        <w:tc>
          <w:tcPr>
            <w:tcW w:w="880" w:type="dxa"/>
            <w:vAlign w:val="bottom"/>
            <w:tcBorders>
              <w:top w:val="single" w:sz="8" w:color="auto"/>
              <w:bottom w:val="single" w:sz="8" w:color="auto"/>
            </w:tcBorders>
          </w:tcPr>
          <w:p>
            <w:pPr>
              <w:jc w:val="right"/>
              <w:ind w:right="661"/>
              <w:spacing w:after="0"/>
              <w:rPr>
                <w:sz w:val="20"/>
                <w:szCs w:val="20"/>
                <w:color w:val="auto"/>
              </w:rPr>
            </w:pPr>
            <w:r>
              <w:rPr>
                <w:rFonts w:ascii="Arial" w:cs="Arial" w:eastAsia="Arial" w:hAnsi="Arial"/>
                <w:sz w:val="18"/>
                <w:szCs w:val="18"/>
                <w:color w:val="auto"/>
              </w:rPr>
              <w:t>$</w:t>
            </w:r>
          </w:p>
        </w:tc>
        <w:tc>
          <w:tcPr>
            <w:tcW w:w="5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(69)</w:t>
            </w:r>
          </w:p>
        </w:tc>
        <w:tc>
          <w:tcPr>
            <w:tcW w:w="120" w:type="dxa"/>
            <w:vAlign w:val="bottom"/>
          </w:tcPr>
          <w:p>
            <w:pPr>
              <w:spacing w:after="0"/>
              <w:rPr>
                <w:sz w:val="21"/>
                <w:szCs w:val="21"/>
                <w:color w:val="auto"/>
              </w:rPr>
            </w:pPr>
          </w:p>
        </w:tc>
        <w:tc>
          <w:tcPr>
            <w:tcW w:w="880" w:type="dxa"/>
            <w:vAlign w:val="bottom"/>
            <w:tcBorders>
              <w:top w:val="single" w:sz="8" w:color="auto"/>
              <w:bottom w:val="single" w:sz="8" w:color="auto"/>
            </w:tcBorders>
          </w:tcPr>
          <w:p>
            <w:pPr>
              <w:jc w:val="right"/>
              <w:ind w:right="676"/>
              <w:spacing w:after="0"/>
              <w:rPr>
                <w:sz w:val="20"/>
                <w:szCs w:val="20"/>
                <w:color w:val="auto"/>
              </w:rPr>
            </w:pPr>
            <w:r>
              <w:rPr>
                <w:rFonts w:ascii="Arial" w:cs="Arial" w:eastAsia="Arial" w:hAnsi="Arial"/>
                <w:sz w:val="18"/>
                <w:szCs w:val="18"/>
                <w:color w:val="auto"/>
                <w:w w:val="99"/>
              </w:rPr>
              <w:t>$</w:t>
            </w:r>
          </w:p>
        </w:tc>
        <w:tc>
          <w:tcPr>
            <w:tcW w:w="5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(69)</w:t>
            </w:r>
          </w:p>
        </w:tc>
        <w:tc>
          <w:tcPr>
            <w:tcW w:w="100" w:type="dxa"/>
            <w:vAlign w:val="bottom"/>
          </w:tcPr>
          <w:p>
            <w:pPr>
              <w:spacing w:after="0"/>
              <w:rPr>
                <w:sz w:val="21"/>
                <w:szCs w:val="21"/>
                <w:color w:val="auto"/>
              </w:rPr>
            </w:pPr>
          </w:p>
        </w:tc>
        <w:tc>
          <w:tcPr>
            <w:tcW w:w="30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40" w:type="dxa"/>
            <w:vAlign w:val="bottom"/>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4040" w:type="dxa"/>
            <w:vAlign w:val="bottom"/>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77" w:lineRule="exact"/>
        <w:rPr>
          <w:sz w:val="20"/>
          <w:szCs w:val="20"/>
          <w:color w:val="auto"/>
        </w:rPr>
      </w:pPr>
    </w:p>
    <w:p>
      <w:pPr>
        <w:jc w:val="both"/>
        <w:ind w:firstLine="216"/>
        <w:spacing w:after="0" w:line="262" w:lineRule="auto"/>
        <w:rPr>
          <w:sz w:val="20"/>
          <w:szCs w:val="20"/>
          <w:color w:val="auto"/>
        </w:rPr>
      </w:pPr>
      <w:r>
        <w:rPr>
          <w:rFonts w:ascii="Arial" w:cs="Arial" w:eastAsia="Arial" w:hAnsi="Arial"/>
          <w:sz w:val="18"/>
          <w:szCs w:val="18"/>
          <w:color w:val="auto"/>
        </w:rPr>
        <w:t>Amounts allocated to other comprehensive income for income taxes as further described in Note 7 will remain in AOCI until we cease all related activities, such as termination of the pension plan.</w:t>
      </w:r>
    </w:p>
    <w:p>
      <w:pPr>
        <w:spacing w:after="0" w:line="201" w:lineRule="exact"/>
        <w:rPr>
          <w:sz w:val="20"/>
          <w:szCs w:val="20"/>
          <w:color w:val="auto"/>
        </w:rPr>
      </w:pPr>
    </w:p>
    <w:p>
      <w:pPr>
        <w:ind w:left="360" w:hanging="352"/>
        <w:spacing w:after="0"/>
        <w:tabs>
          <w:tab w:leader="none" w:pos="360" w:val="left"/>
        </w:tabs>
        <w:numPr>
          <w:ilvl w:val="0"/>
          <w:numId w:val="46"/>
        </w:numPr>
        <w:rPr>
          <w:rFonts w:ascii="Arial" w:cs="Arial" w:eastAsia="Arial" w:hAnsi="Arial"/>
          <w:sz w:val="18"/>
          <w:szCs w:val="18"/>
          <w:b w:val="1"/>
          <w:bCs w:val="1"/>
          <w:color w:val="auto"/>
        </w:rPr>
      </w:pPr>
      <w:r>
        <w:rPr>
          <w:rFonts w:ascii="Arial" w:cs="Arial" w:eastAsia="Arial" w:hAnsi="Arial"/>
          <w:sz w:val="18"/>
          <w:szCs w:val="18"/>
          <w:b w:val="1"/>
          <w:bCs w:val="1"/>
          <w:color w:val="auto"/>
        </w:rPr>
        <w:t>Commitments, Contingencies and Guarantees</w:t>
      </w:r>
    </w:p>
    <w:p>
      <w:pPr>
        <w:spacing w:after="0" w:line="90" w:lineRule="exact"/>
        <w:rPr>
          <w:rFonts w:ascii="Arial" w:cs="Arial" w:eastAsia="Arial" w:hAnsi="Arial"/>
          <w:sz w:val="18"/>
          <w:szCs w:val="18"/>
          <w:b w:val="1"/>
          <w:bCs w:val="1"/>
          <w:color w:val="auto"/>
        </w:rPr>
      </w:pPr>
    </w:p>
    <w:p>
      <w:pPr>
        <w:ind w:left="500" w:hanging="276"/>
        <w:spacing w:after="0"/>
        <w:tabs>
          <w:tab w:leader="none" w:pos="500" w:val="left"/>
        </w:tabs>
        <w:numPr>
          <w:ilvl w:val="1"/>
          <w:numId w:val="46"/>
        </w:numPr>
        <w:rPr>
          <w:rFonts w:ascii="Arial" w:cs="Arial" w:eastAsia="Arial" w:hAnsi="Arial"/>
          <w:sz w:val="18"/>
          <w:szCs w:val="18"/>
          <w:b w:val="1"/>
          <w:bCs w:val="1"/>
          <w:i w:val="1"/>
          <w:iCs w:val="1"/>
          <w:color w:val="auto"/>
        </w:rPr>
      </w:pPr>
      <w:r>
        <w:rPr>
          <w:rFonts w:ascii="Arial" w:cs="Arial" w:eastAsia="Arial" w:hAnsi="Arial"/>
          <w:sz w:val="18"/>
          <w:szCs w:val="18"/>
          <w:b w:val="1"/>
          <w:bCs w:val="1"/>
          <w:i w:val="1"/>
          <w:iCs w:val="1"/>
          <w:color w:val="auto"/>
        </w:rPr>
        <w:t>Aircraft, Engine and Other Purchase Commitments</w:t>
      </w:r>
    </w:p>
    <w:p>
      <w:pPr>
        <w:spacing w:after="0" w:line="112" w:lineRule="exact"/>
        <w:rPr>
          <w:sz w:val="20"/>
          <w:szCs w:val="20"/>
          <w:color w:val="auto"/>
        </w:rPr>
      </w:pPr>
    </w:p>
    <w:p>
      <w:pPr>
        <w:ind w:firstLine="216"/>
        <w:spacing w:after="0" w:line="262" w:lineRule="auto"/>
        <w:rPr>
          <w:sz w:val="20"/>
          <w:szCs w:val="20"/>
          <w:color w:val="auto"/>
        </w:rPr>
      </w:pPr>
      <w:r>
        <w:rPr>
          <w:rFonts w:ascii="Arial" w:cs="Arial" w:eastAsia="Arial" w:hAnsi="Arial"/>
          <w:sz w:val="18"/>
          <w:szCs w:val="18"/>
          <w:color w:val="auto"/>
        </w:rPr>
        <w:t>Under all of our aircraft and engine purchase agreements, our total future commitments as of December 31, 2019 are expected to be as follows (approximately, in millions):</w:t>
      </w:r>
    </w:p>
    <w:p>
      <w:pPr>
        <w:spacing w:after="0" w:line="292"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422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0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rPr>
              <w:t>2025 and</w:t>
            </w:r>
          </w:p>
        </w:tc>
        <w:tc>
          <w:tcPr>
            <w:tcW w:w="920" w:type="dxa"/>
            <w:vAlign w:val="bottom"/>
          </w:tcPr>
          <w:p>
            <w:pPr>
              <w:spacing w:after="0"/>
              <w:rPr>
                <w:sz w:val="14"/>
                <w:szCs w:val="14"/>
                <w:color w:val="auto"/>
              </w:rPr>
            </w:pPr>
          </w:p>
        </w:tc>
      </w:tr>
      <w:tr>
        <w:trPr>
          <w:trHeight w:val="196"/>
        </w:trPr>
        <w:tc>
          <w:tcPr>
            <w:tcW w:w="4220" w:type="dxa"/>
            <w:vAlign w:val="bottom"/>
          </w:tcPr>
          <w:p>
            <w:pPr>
              <w:spacing w:after="0"/>
              <w:rPr>
                <w:sz w:val="17"/>
                <w:szCs w:val="17"/>
                <w:color w:val="auto"/>
              </w:rPr>
            </w:pPr>
          </w:p>
        </w:tc>
        <w:tc>
          <w:tcPr>
            <w:tcW w:w="920" w:type="dxa"/>
            <w:vAlign w:val="bottom"/>
          </w:tcPr>
          <w:p>
            <w:pPr>
              <w:jc w:val="right"/>
              <w:ind w:right="219"/>
              <w:spacing w:after="0"/>
              <w:rPr>
                <w:sz w:val="20"/>
                <w:szCs w:val="20"/>
                <w:color w:val="auto"/>
              </w:rPr>
            </w:pPr>
            <w:r>
              <w:rPr>
                <w:rFonts w:ascii="Arial" w:cs="Arial" w:eastAsia="Arial" w:hAnsi="Arial"/>
                <w:sz w:val="14"/>
                <w:szCs w:val="14"/>
                <w:b w:val="1"/>
                <w:bCs w:val="1"/>
                <w:color w:val="auto"/>
              </w:rPr>
              <w:t>2020</w:t>
            </w:r>
          </w:p>
        </w:tc>
        <w:tc>
          <w:tcPr>
            <w:tcW w:w="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700" w:type="dxa"/>
            <w:vAlign w:val="bottom"/>
          </w:tcPr>
          <w:p>
            <w:pPr>
              <w:jc w:val="right"/>
              <w:ind w:right="219"/>
              <w:spacing w:after="0"/>
              <w:rPr>
                <w:sz w:val="20"/>
                <w:szCs w:val="20"/>
                <w:color w:val="auto"/>
              </w:rPr>
            </w:pPr>
            <w:r>
              <w:rPr>
                <w:rFonts w:ascii="Arial" w:cs="Arial" w:eastAsia="Arial" w:hAnsi="Arial"/>
                <w:sz w:val="14"/>
                <w:szCs w:val="14"/>
                <w:b w:val="1"/>
                <w:bCs w:val="1"/>
                <w:color w:val="auto"/>
              </w:rPr>
              <w:t>2021</w:t>
            </w:r>
          </w:p>
        </w:tc>
        <w:tc>
          <w:tcPr>
            <w:tcW w:w="120" w:type="dxa"/>
            <w:vAlign w:val="bottom"/>
          </w:tcPr>
          <w:p>
            <w:pPr>
              <w:spacing w:after="0"/>
              <w:rPr>
                <w:sz w:val="17"/>
                <w:szCs w:val="17"/>
                <w:color w:val="auto"/>
              </w:rPr>
            </w:pPr>
          </w:p>
        </w:tc>
        <w:tc>
          <w:tcPr>
            <w:tcW w:w="920" w:type="dxa"/>
            <w:vAlign w:val="bottom"/>
          </w:tcPr>
          <w:p>
            <w:pPr>
              <w:jc w:val="right"/>
              <w:ind w:right="219"/>
              <w:spacing w:after="0"/>
              <w:rPr>
                <w:sz w:val="20"/>
                <w:szCs w:val="20"/>
                <w:color w:val="auto"/>
              </w:rPr>
            </w:pPr>
            <w:r>
              <w:rPr>
                <w:rFonts w:ascii="Arial" w:cs="Arial" w:eastAsia="Arial" w:hAnsi="Arial"/>
                <w:sz w:val="14"/>
                <w:szCs w:val="14"/>
                <w:b w:val="1"/>
                <w:bCs w:val="1"/>
                <w:color w:val="auto"/>
              </w:rPr>
              <w:t>2022</w:t>
            </w:r>
          </w:p>
        </w:tc>
        <w:tc>
          <w:tcPr>
            <w:tcW w:w="100" w:type="dxa"/>
            <w:vAlign w:val="bottom"/>
          </w:tcPr>
          <w:p>
            <w:pPr>
              <w:spacing w:after="0"/>
              <w:rPr>
                <w:sz w:val="17"/>
                <w:szCs w:val="17"/>
                <w:color w:val="auto"/>
              </w:rPr>
            </w:pPr>
          </w:p>
        </w:tc>
        <w:tc>
          <w:tcPr>
            <w:tcW w:w="920" w:type="dxa"/>
            <w:vAlign w:val="bottom"/>
          </w:tcPr>
          <w:p>
            <w:pPr>
              <w:jc w:val="right"/>
              <w:ind w:right="219"/>
              <w:spacing w:after="0"/>
              <w:rPr>
                <w:sz w:val="20"/>
                <w:szCs w:val="20"/>
                <w:color w:val="auto"/>
              </w:rPr>
            </w:pPr>
            <w:r>
              <w:rPr>
                <w:rFonts w:ascii="Arial" w:cs="Arial" w:eastAsia="Arial" w:hAnsi="Arial"/>
                <w:sz w:val="14"/>
                <w:szCs w:val="14"/>
                <w:b w:val="1"/>
                <w:bCs w:val="1"/>
                <w:color w:val="auto"/>
              </w:rPr>
              <w:t>2023</w:t>
            </w:r>
          </w:p>
        </w:tc>
        <w:tc>
          <w:tcPr>
            <w:tcW w:w="100" w:type="dxa"/>
            <w:vAlign w:val="bottom"/>
          </w:tcPr>
          <w:p>
            <w:pPr>
              <w:spacing w:after="0"/>
              <w:rPr>
                <w:sz w:val="17"/>
                <w:szCs w:val="17"/>
                <w:color w:val="auto"/>
              </w:rPr>
            </w:pPr>
          </w:p>
        </w:tc>
        <w:tc>
          <w:tcPr>
            <w:tcW w:w="920" w:type="dxa"/>
            <w:vAlign w:val="bottom"/>
          </w:tcPr>
          <w:p>
            <w:pPr>
              <w:jc w:val="right"/>
              <w:ind w:right="219"/>
              <w:spacing w:after="0"/>
              <w:rPr>
                <w:sz w:val="20"/>
                <w:szCs w:val="20"/>
                <w:color w:val="auto"/>
              </w:rPr>
            </w:pPr>
            <w:r>
              <w:rPr>
                <w:rFonts w:ascii="Arial" w:cs="Arial" w:eastAsia="Arial" w:hAnsi="Arial"/>
                <w:sz w:val="14"/>
                <w:szCs w:val="14"/>
                <w:b w:val="1"/>
                <w:bCs w:val="1"/>
                <w:color w:val="auto"/>
              </w:rPr>
              <w:t>2024</w:t>
            </w: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0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rPr>
              <w:t>Thereafter</w:t>
            </w:r>
          </w:p>
        </w:tc>
        <w:tc>
          <w:tcPr>
            <w:tcW w:w="920" w:type="dxa"/>
            <w:vAlign w:val="bottom"/>
          </w:tcPr>
          <w:p>
            <w:pPr>
              <w:jc w:val="right"/>
              <w:ind w:right="219"/>
              <w:spacing w:after="0"/>
              <w:rPr>
                <w:sz w:val="20"/>
                <w:szCs w:val="20"/>
                <w:color w:val="auto"/>
              </w:rPr>
            </w:pPr>
            <w:r>
              <w:rPr>
                <w:rFonts w:ascii="Arial" w:cs="Arial" w:eastAsia="Arial" w:hAnsi="Arial"/>
                <w:sz w:val="14"/>
                <w:szCs w:val="14"/>
                <w:b w:val="1"/>
                <w:bCs w:val="1"/>
                <w:color w:val="auto"/>
              </w:rPr>
              <w:t>Total</w:t>
            </w:r>
          </w:p>
        </w:tc>
      </w:tr>
      <w:tr>
        <w:trPr>
          <w:trHeight w:val="212"/>
        </w:trPr>
        <w:tc>
          <w:tcPr>
            <w:tcW w:w="4220" w:type="dxa"/>
            <w:vAlign w:val="bottom"/>
            <w:tcBorders>
              <w:top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Payments for aircraft commitments and certain</w:t>
            </w:r>
          </w:p>
        </w:tc>
        <w:tc>
          <w:tcPr>
            <w:tcW w:w="92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spacing w:after="0"/>
              <w:rPr>
                <w:sz w:val="18"/>
                <w:szCs w:val="18"/>
                <w:color w:val="auto"/>
              </w:rPr>
            </w:pPr>
          </w:p>
        </w:tc>
        <w:tc>
          <w:tcPr>
            <w:tcW w:w="700" w:type="dxa"/>
            <w:vAlign w:val="bottom"/>
            <w:tcBorders>
              <w:top w:val="single" w:sz="8" w:color="auto"/>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92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92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920" w:type="dxa"/>
            <w:vAlign w:val="bottom"/>
            <w:tcBorders>
              <w:top w:val="single" w:sz="8" w:color="auto"/>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90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920" w:type="dxa"/>
            <w:vAlign w:val="bottom"/>
            <w:tcBorders>
              <w:top w:val="single" w:sz="8" w:color="auto"/>
            </w:tcBorders>
            <w:shd w:val="clear" w:color="auto" w:fill="CCEEFF"/>
          </w:tcPr>
          <w:p>
            <w:pPr>
              <w:spacing w:after="0"/>
              <w:rPr>
                <w:sz w:val="18"/>
                <w:szCs w:val="18"/>
                <w:color w:val="auto"/>
              </w:rPr>
            </w:pPr>
          </w:p>
        </w:tc>
      </w:tr>
      <w:tr>
        <w:trPr>
          <w:trHeight w:val="233"/>
        </w:trPr>
        <w:tc>
          <w:tcPr>
            <w:tcW w:w="4220" w:type="dxa"/>
            <w:vAlign w:val="bottom"/>
            <w:shd w:val="clear" w:color="auto" w:fill="CCEEFF"/>
          </w:tcPr>
          <w:p>
            <w:pPr>
              <w:ind w:left="200"/>
              <w:spacing w:after="0" w:line="233" w:lineRule="exact"/>
              <w:rPr>
                <w:sz w:val="20"/>
                <w:szCs w:val="20"/>
                <w:color w:val="auto"/>
              </w:rPr>
            </w:pPr>
            <w:r>
              <w:rPr>
                <w:rFonts w:ascii="Arial" w:cs="Arial" w:eastAsia="Arial" w:hAnsi="Arial"/>
                <w:sz w:val="18"/>
                <w:szCs w:val="18"/>
                <w:color w:val="auto"/>
              </w:rPr>
              <w:t xml:space="preserve">engines </w:t>
            </w:r>
            <w:r>
              <w:rPr>
                <w:rFonts w:ascii="Arial" w:cs="Arial" w:eastAsia="Arial" w:hAnsi="Arial"/>
                <w:sz w:val="21"/>
                <w:szCs w:val="21"/>
                <w:color w:val="auto"/>
                <w:vertAlign w:val="superscript"/>
              </w:rPr>
              <w:t>(1)</w:t>
            </w:r>
          </w:p>
        </w:tc>
        <w:tc>
          <w:tcPr>
            <w:tcW w:w="920" w:type="dxa"/>
            <w:vAlign w:val="bottom"/>
            <w:shd w:val="clear" w:color="auto" w:fill="CCEEFF"/>
          </w:tcPr>
          <w:p>
            <w:pPr>
              <w:jc w:val="right"/>
              <w:ind w:right="19"/>
              <w:spacing w:after="0"/>
              <w:rPr>
                <w:sz w:val="20"/>
                <w:szCs w:val="20"/>
                <w:color w:val="auto"/>
              </w:rPr>
            </w:pPr>
            <w:r>
              <w:rPr>
                <w:rFonts w:ascii="Arial" w:cs="Arial" w:eastAsia="Arial" w:hAnsi="Arial"/>
                <w:sz w:val="18"/>
                <w:szCs w:val="18"/>
                <w:color w:val="auto"/>
              </w:rPr>
              <w:t>$   1,629</w:t>
            </w:r>
          </w:p>
        </w:tc>
        <w:tc>
          <w:tcPr>
            <w:tcW w:w="100" w:type="dxa"/>
            <w:vAlign w:val="bottom"/>
            <w:shd w:val="clear" w:color="auto" w:fill="CCEEFF"/>
          </w:tcPr>
          <w:p>
            <w:pPr>
              <w:spacing w:after="0"/>
              <w:rPr>
                <w:sz w:val="20"/>
                <w:szCs w:val="20"/>
                <w:color w:val="auto"/>
              </w:rPr>
            </w:pPr>
          </w:p>
        </w:tc>
        <w:tc>
          <w:tcPr>
            <w:tcW w:w="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00" w:type="dxa"/>
            <w:vAlign w:val="bottom"/>
            <w:shd w:val="clear" w:color="auto" w:fill="CCEEFF"/>
          </w:tcPr>
          <w:p>
            <w:pPr>
              <w:jc w:val="right"/>
              <w:ind w:right="19"/>
              <w:spacing w:after="0"/>
              <w:rPr>
                <w:sz w:val="20"/>
                <w:szCs w:val="20"/>
                <w:color w:val="auto"/>
              </w:rPr>
            </w:pPr>
            <w:r>
              <w:rPr>
                <w:rFonts w:ascii="Arial" w:cs="Arial" w:eastAsia="Arial" w:hAnsi="Arial"/>
                <w:sz w:val="18"/>
                <w:szCs w:val="18"/>
                <w:color w:val="auto"/>
              </w:rPr>
              <w:t>750</w:t>
            </w:r>
          </w:p>
        </w:tc>
        <w:tc>
          <w:tcPr>
            <w:tcW w:w="120" w:type="dxa"/>
            <w:vAlign w:val="bottom"/>
            <w:shd w:val="clear" w:color="auto" w:fill="CCEEFF"/>
          </w:tcPr>
          <w:p>
            <w:pPr>
              <w:spacing w:after="0"/>
              <w:rPr>
                <w:sz w:val="20"/>
                <w:szCs w:val="20"/>
                <w:color w:val="auto"/>
              </w:rPr>
            </w:pPr>
          </w:p>
        </w:tc>
        <w:tc>
          <w:tcPr>
            <w:tcW w:w="920" w:type="dxa"/>
            <w:vAlign w:val="bottom"/>
            <w:shd w:val="clear" w:color="auto" w:fill="CCEEFF"/>
          </w:tcPr>
          <w:p>
            <w:pPr>
              <w:jc w:val="right"/>
              <w:ind w:right="39"/>
              <w:spacing w:after="0"/>
              <w:rPr>
                <w:sz w:val="20"/>
                <w:szCs w:val="20"/>
                <w:color w:val="auto"/>
              </w:rPr>
            </w:pPr>
            <w:r>
              <w:rPr>
                <w:rFonts w:ascii="Arial" w:cs="Arial" w:eastAsia="Arial" w:hAnsi="Arial"/>
                <w:sz w:val="18"/>
                <w:szCs w:val="18"/>
                <w:color w:val="auto"/>
              </w:rPr>
              <w:t>$   1,599</w:t>
            </w:r>
          </w:p>
        </w:tc>
        <w:tc>
          <w:tcPr>
            <w:tcW w:w="100" w:type="dxa"/>
            <w:vAlign w:val="bottom"/>
            <w:shd w:val="clear" w:color="auto" w:fill="CCEEFF"/>
          </w:tcPr>
          <w:p>
            <w:pPr>
              <w:spacing w:after="0"/>
              <w:rPr>
                <w:sz w:val="20"/>
                <w:szCs w:val="20"/>
                <w:color w:val="auto"/>
              </w:rPr>
            </w:pPr>
          </w:p>
        </w:tc>
        <w:tc>
          <w:tcPr>
            <w:tcW w:w="920" w:type="dxa"/>
            <w:vAlign w:val="bottom"/>
            <w:shd w:val="clear" w:color="auto" w:fill="CCEEFF"/>
          </w:tcPr>
          <w:p>
            <w:pPr>
              <w:jc w:val="right"/>
              <w:ind w:right="19"/>
              <w:spacing w:after="0"/>
              <w:rPr>
                <w:sz w:val="20"/>
                <w:szCs w:val="20"/>
                <w:color w:val="auto"/>
              </w:rPr>
            </w:pPr>
            <w:r>
              <w:rPr>
                <w:rFonts w:ascii="Arial" w:cs="Arial" w:eastAsia="Arial" w:hAnsi="Arial"/>
                <w:sz w:val="18"/>
                <w:szCs w:val="18"/>
                <w:color w:val="auto"/>
              </w:rPr>
              <w:t>$   1,543</w:t>
            </w:r>
          </w:p>
        </w:tc>
        <w:tc>
          <w:tcPr>
            <w:tcW w:w="100" w:type="dxa"/>
            <w:vAlign w:val="bottom"/>
            <w:shd w:val="clear" w:color="auto" w:fill="CCEEFF"/>
          </w:tcPr>
          <w:p>
            <w:pPr>
              <w:spacing w:after="0"/>
              <w:rPr>
                <w:sz w:val="20"/>
                <w:szCs w:val="20"/>
                <w:color w:val="auto"/>
              </w:rPr>
            </w:pPr>
          </w:p>
        </w:tc>
        <w:tc>
          <w:tcPr>
            <w:tcW w:w="920" w:type="dxa"/>
            <w:vAlign w:val="bottom"/>
            <w:shd w:val="clear" w:color="auto" w:fill="CCEEFF"/>
          </w:tcPr>
          <w:p>
            <w:pPr>
              <w:jc w:val="right"/>
              <w:ind w:right="19"/>
              <w:spacing w:after="0"/>
              <w:rPr>
                <w:sz w:val="20"/>
                <w:szCs w:val="20"/>
                <w:color w:val="auto"/>
              </w:rPr>
            </w:pPr>
            <w:r>
              <w:rPr>
                <w:rFonts w:ascii="Arial" w:cs="Arial" w:eastAsia="Arial" w:hAnsi="Arial"/>
                <w:sz w:val="18"/>
                <w:szCs w:val="18"/>
                <w:color w:val="auto"/>
              </w:rPr>
              <w:t>$   2,574</w:t>
            </w:r>
          </w:p>
        </w:tc>
        <w:tc>
          <w:tcPr>
            <w:tcW w:w="120" w:type="dxa"/>
            <w:vAlign w:val="bottom"/>
            <w:shd w:val="clear" w:color="auto" w:fill="CCEEFF"/>
          </w:tcPr>
          <w:p>
            <w:pPr>
              <w:spacing w:after="0"/>
              <w:rPr>
                <w:sz w:val="20"/>
                <w:szCs w:val="20"/>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900" w:type="dxa"/>
            <w:vAlign w:val="bottom"/>
            <w:shd w:val="clear" w:color="auto" w:fill="CCEEFF"/>
          </w:tcPr>
          <w:p>
            <w:pPr>
              <w:jc w:val="right"/>
              <w:ind w:right="42"/>
              <w:spacing w:after="0"/>
              <w:rPr>
                <w:sz w:val="20"/>
                <w:szCs w:val="20"/>
                <w:color w:val="auto"/>
              </w:rPr>
            </w:pPr>
            <w:r>
              <w:rPr>
                <w:rFonts w:ascii="Arial" w:cs="Arial" w:eastAsia="Arial" w:hAnsi="Arial"/>
                <w:sz w:val="18"/>
                <w:szCs w:val="18"/>
                <w:color w:val="auto"/>
              </w:rPr>
              <w:t>4,855</w:t>
            </w:r>
          </w:p>
        </w:tc>
        <w:tc>
          <w:tcPr>
            <w:tcW w:w="100" w:type="dxa"/>
            <w:vAlign w:val="bottom"/>
            <w:shd w:val="clear" w:color="auto" w:fill="CCEEFF"/>
          </w:tcPr>
          <w:p>
            <w:pPr>
              <w:spacing w:after="0"/>
              <w:rPr>
                <w:sz w:val="20"/>
                <w:szCs w:val="20"/>
                <w:color w:val="auto"/>
              </w:rPr>
            </w:pPr>
          </w:p>
        </w:tc>
        <w:tc>
          <w:tcPr>
            <w:tcW w:w="920" w:type="dxa"/>
            <w:vAlign w:val="bottom"/>
            <w:shd w:val="clear" w:color="auto" w:fill="CCEEFF"/>
          </w:tcPr>
          <w:p>
            <w:pPr>
              <w:jc w:val="right"/>
              <w:ind w:right="19"/>
              <w:spacing w:after="0"/>
              <w:rPr>
                <w:sz w:val="20"/>
                <w:szCs w:val="20"/>
                <w:color w:val="auto"/>
              </w:rPr>
            </w:pPr>
            <w:r>
              <w:rPr>
                <w:rFonts w:ascii="Arial" w:cs="Arial" w:eastAsia="Arial" w:hAnsi="Arial"/>
                <w:sz w:val="18"/>
                <w:szCs w:val="18"/>
                <w:color w:val="auto"/>
              </w:rPr>
              <w:t>$  12,950</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163195</wp:posOffset>
            </wp:positionV>
            <wp:extent cx="1337945" cy="8890"/>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1337945" cy="8890"/>
                    </a:xfrm>
                    <a:prstGeom prst="rect">
                      <a:avLst/>
                    </a:prstGeom>
                    <a:noFill/>
                  </pic:spPr>
                </pic:pic>
              </a:graphicData>
            </a:graphic>
          </wp:anchor>
        </w:drawing>
      </w:r>
    </w:p>
    <w:p>
      <w:pPr>
        <w:spacing w:after="0" w:line="330" w:lineRule="exact"/>
        <w:rPr>
          <w:sz w:val="20"/>
          <w:szCs w:val="20"/>
          <w:color w:val="auto"/>
        </w:rPr>
      </w:pPr>
    </w:p>
    <w:p>
      <w:pPr>
        <w:ind w:left="660" w:hanging="652"/>
        <w:spacing w:after="0" w:line="225" w:lineRule="auto"/>
        <w:tabs>
          <w:tab w:leader="none" w:pos="660" w:val="left"/>
        </w:tabs>
        <w:numPr>
          <w:ilvl w:val="0"/>
          <w:numId w:val="47"/>
        </w:numPr>
        <w:rPr>
          <w:rFonts w:ascii="Arial" w:cs="Arial" w:eastAsia="Arial" w:hAnsi="Arial"/>
          <w:sz w:val="22"/>
          <w:szCs w:val="22"/>
          <w:color w:val="auto"/>
          <w:vertAlign w:val="superscript"/>
        </w:rPr>
      </w:pPr>
      <w:r>
        <w:rPr>
          <w:rFonts w:ascii="Arial" w:cs="Arial" w:eastAsia="Arial" w:hAnsi="Arial"/>
          <w:sz w:val="18"/>
          <w:szCs w:val="18"/>
          <w:color w:val="auto"/>
        </w:rPr>
        <w:t>These amounts are net of purchase deposits currently held by the manufacturers. We have granted a security interest in certain of our purchase deposits with Boeing. Our purchase deposits held by all manufacturers totaled $1.7 billion as of December 31, 2019.</w:t>
      </w:r>
    </w:p>
    <w:p>
      <w:pPr>
        <w:sectPr>
          <w:pgSz w:w="11900" w:h="16838" w:orient="portrait"/>
          <w:cols w:equalWidth="0" w:num="1">
            <w:col w:w="11420"/>
          </w:cols>
          <w:pgMar w:left="240" w:top="549" w:right="239" w:bottom="1440" w:gutter="0" w:footer="0" w:header="0"/>
        </w:sectPr>
      </w:pPr>
    </w:p>
    <w:p>
      <w:pPr>
        <w:spacing w:after="0" w:line="217"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107</w:t>
      </w:r>
    </w:p>
    <w:p>
      <w:pPr>
        <w:sectPr>
          <w:pgSz w:w="11900" w:h="16838" w:orient="portrait"/>
          <w:cols w:equalWidth="0" w:num="1">
            <w:col w:w="11420"/>
          </w:cols>
          <w:pgMar w:left="240" w:top="549" w:right="239" w:bottom="1440" w:gutter="0" w:footer="0" w:header="0"/>
          <w:type w:val="continuous"/>
        </w:sectPr>
      </w:pPr>
    </w:p>
    <w:bookmarkStart w:id="107" w:name="page108"/>
    <w:bookmarkEnd w:id="107"/>
    <w:p>
      <w:pPr>
        <w:jc w:val="center"/>
        <w:spacing w:after="0"/>
        <w:rPr>
          <w:sz w:val="20"/>
          <w:szCs w:val="20"/>
          <w:color w:val="auto"/>
        </w:rPr>
      </w:pPr>
      <w:r>
        <w:rPr>
          <w:rFonts w:ascii="Arial" w:cs="Arial" w:eastAsia="Arial" w:hAnsi="Arial"/>
          <w:sz w:val="18"/>
          <w:szCs w:val="18"/>
          <w:b w:val="1"/>
          <w:bCs w:val="1"/>
          <w:color w:val="auto"/>
        </w:rPr>
        <w:t>NOTES TO CONSOLIDATED FINANCIAL STATEMENTS OF AMERICAN AIRLINES GROUP INC.</w:t>
      </w:r>
    </w:p>
    <w:p>
      <w:pPr>
        <w:spacing w:after="0" w:line="328" w:lineRule="exact"/>
        <w:rPr>
          <w:sz w:val="20"/>
          <w:szCs w:val="20"/>
          <w:color w:val="auto"/>
        </w:rPr>
      </w:pPr>
    </w:p>
    <w:p>
      <w:pPr>
        <w:jc w:val="both"/>
        <w:ind w:left="660"/>
        <w:spacing w:after="0" w:line="252" w:lineRule="auto"/>
        <w:rPr>
          <w:sz w:val="20"/>
          <w:szCs w:val="20"/>
          <w:color w:val="auto"/>
        </w:rPr>
      </w:pPr>
      <w:r>
        <w:rPr>
          <w:rFonts w:ascii="Arial" w:cs="Arial" w:eastAsia="Arial" w:hAnsi="Arial"/>
          <w:sz w:val="18"/>
          <w:szCs w:val="18"/>
          <w:color w:val="auto"/>
        </w:rPr>
        <w:t>On March 13, 2019, a directive from the Federal Aviation Administration (FAA) grounded all U.S.-registered Boeing 737 MAX aircraft. We currently have 76 Boeing 737 MAX Family aircraft on order and we have not taken delivery of any Boeing 737 MAX Family aircraft since the grounding. The extent of the delay to the scheduled deliveries of the Boeing 737 MAX aircraft is expected to be impacted by the length of time the FAA order remains in place, Boeing's production rate and the pace at which Boeing can deliver aircraft following the lifting of the FAA order, among other factors. Due to uncertainty surrounding the timing of delivery of certain aircraft, the amounts in the table represent our current best estimate, including with respect to the delivery of Boeing 737 MAX aircraft; however, the actual delivery schedule may differ from the table above, potentially materially.</w:t>
      </w:r>
    </w:p>
    <w:p>
      <w:pPr>
        <w:spacing w:after="0" w:line="153" w:lineRule="exact"/>
        <w:rPr>
          <w:sz w:val="20"/>
          <w:szCs w:val="20"/>
          <w:color w:val="auto"/>
        </w:rPr>
      </w:pPr>
    </w:p>
    <w:p>
      <w:pPr>
        <w:jc w:val="both"/>
        <w:ind w:left="660"/>
        <w:spacing w:after="0" w:line="262" w:lineRule="auto"/>
        <w:rPr>
          <w:sz w:val="20"/>
          <w:szCs w:val="20"/>
          <w:color w:val="auto"/>
        </w:rPr>
      </w:pPr>
      <w:r>
        <w:rPr>
          <w:rFonts w:ascii="Arial" w:cs="Arial" w:eastAsia="Arial" w:hAnsi="Arial"/>
          <w:sz w:val="18"/>
          <w:szCs w:val="18"/>
          <w:color w:val="auto"/>
        </w:rPr>
        <w:t>The amounts in the table exclude 22 787-8 aircraft to be delivered in 2020 and 2021 for which Boeing has committed to provide sale-leaseback financing (in the form of operating leases). See Note 6 for information regarding this operating lease commitment.</w:t>
      </w:r>
    </w:p>
    <w:p>
      <w:pPr>
        <w:spacing w:after="0" w:line="142" w:lineRule="exact"/>
        <w:rPr>
          <w:sz w:val="20"/>
          <w:szCs w:val="20"/>
          <w:color w:val="auto"/>
        </w:rPr>
      </w:pPr>
    </w:p>
    <w:p>
      <w:pPr>
        <w:jc w:val="both"/>
        <w:ind w:left="60" w:firstLine="243"/>
        <w:spacing w:after="0" w:line="256" w:lineRule="auto"/>
        <w:rPr>
          <w:sz w:val="20"/>
          <w:szCs w:val="20"/>
          <w:color w:val="auto"/>
        </w:rPr>
      </w:pPr>
      <w:r>
        <w:rPr>
          <w:rFonts w:ascii="Arial" w:cs="Arial" w:eastAsia="Arial" w:hAnsi="Arial"/>
          <w:sz w:val="18"/>
          <w:szCs w:val="18"/>
          <w:color w:val="auto"/>
        </w:rPr>
        <w:t>Additionally, we have purchase commitments related to aircraft fuel, construction projects and information technology support as follows (approximately): $3.5 billion in 2020, $3.5 billion in 2021, $1.3 billion in 2022, $130 million in 2023, $81 million in 2024 and $77 million in 2025 and thereafter.</w:t>
      </w:r>
    </w:p>
    <w:p>
      <w:pPr>
        <w:spacing w:after="0" w:line="207" w:lineRule="exact"/>
        <w:rPr>
          <w:sz w:val="20"/>
          <w:szCs w:val="20"/>
          <w:color w:val="auto"/>
        </w:rPr>
      </w:pPr>
    </w:p>
    <w:p>
      <w:pPr>
        <w:ind w:left="220"/>
        <w:spacing w:after="0"/>
        <w:rPr>
          <w:sz w:val="20"/>
          <w:szCs w:val="20"/>
          <w:color w:val="auto"/>
        </w:rPr>
      </w:pPr>
      <w:r>
        <w:rPr>
          <w:rFonts w:ascii="Arial" w:cs="Arial" w:eastAsia="Arial" w:hAnsi="Arial"/>
          <w:sz w:val="18"/>
          <w:szCs w:val="18"/>
          <w:b w:val="1"/>
          <w:bCs w:val="1"/>
          <w:i w:val="1"/>
          <w:iCs w:val="1"/>
          <w:color w:val="auto"/>
        </w:rPr>
        <w:t>(b) Capacity Purchase Agreements with Third-Party Regional Carriers</w:t>
      </w:r>
    </w:p>
    <w:p>
      <w:pPr>
        <w:spacing w:after="0" w:line="112" w:lineRule="exact"/>
        <w:rPr>
          <w:sz w:val="20"/>
          <w:szCs w:val="20"/>
          <w:color w:val="auto"/>
        </w:rPr>
      </w:pPr>
    </w:p>
    <w:p>
      <w:pPr>
        <w:jc w:val="both"/>
        <w:ind w:firstLine="216"/>
        <w:spacing w:after="0" w:line="253" w:lineRule="auto"/>
        <w:rPr>
          <w:sz w:val="20"/>
          <w:szCs w:val="20"/>
          <w:color w:val="auto"/>
        </w:rPr>
      </w:pPr>
      <w:r>
        <w:rPr>
          <w:rFonts w:ascii="Arial" w:cs="Arial" w:eastAsia="Arial" w:hAnsi="Arial"/>
          <w:sz w:val="18"/>
          <w:szCs w:val="18"/>
          <w:color w:val="auto"/>
        </w:rPr>
        <w:t>American has capacity purchase agreements with third-party regional carriers. The capacity purchase agreements provide that all revenues, including passenger, in-flight, ancillary, mail and freight revenues, go to American. American controls marketing, scheduling, ticketing, pricing and seat inventories. In return, American agrees to pay predetermined fees to these airlines for operating an agreed-upon number of aircraft, without regard to the number of passengers on board. In addition, these agreements provide that American either reimburses or pays 100% of certain variable costs, such as airport landing fees, fuel and passenger liability insurance.</w:t>
      </w:r>
    </w:p>
    <w:p>
      <w:pPr>
        <w:spacing w:after="0" w:line="152" w:lineRule="exact"/>
        <w:rPr>
          <w:sz w:val="20"/>
          <w:szCs w:val="20"/>
          <w:color w:val="auto"/>
        </w:rPr>
      </w:pPr>
    </w:p>
    <w:p>
      <w:pPr>
        <w:jc w:val="both"/>
        <w:ind w:right="20" w:firstLine="216"/>
        <w:spacing w:after="0" w:line="262" w:lineRule="auto"/>
        <w:rPr>
          <w:sz w:val="20"/>
          <w:szCs w:val="20"/>
          <w:color w:val="auto"/>
        </w:rPr>
      </w:pPr>
      <w:r>
        <w:rPr>
          <w:rFonts w:ascii="Arial" w:cs="Arial" w:eastAsia="Arial" w:hAnsi="Arial"/>
          <w:sz w:val="18"/>
          <w:szCs w:val="18"/>
          <w:color w:val="auto"/>
        </w:rPr>
        <w:t>As of December 31, 2019, American’s capacity purchase agreements with third-party regional carriers had expiration dates ranging from 2020 to 2032, with rights of American to extend the respective terms of certain agreements.</w:t>
      </w:r>
    </w:p>
    <w:p>
      <w:pPr>
        <w:spacing w:after="0" w:line="142" w:lineRule="exact"/>
        <w:rPr>
          <w:sz w:val="20"/>
          <w:szCs w:val="20"/>
          <w:color w:val="auto"/>
        </w:rPr>
      </w:pPr>
    </w:p>
    <w:p>
      <w:pPr>
        <w:jc w:val="both"/>
        <w:ind w:firstLine="216"/>
        <w:spacing w:after="0" w:line="262" w:lineRule="auto"/>
        <w:rPr>
          <w:sz w:val="20"/>
          <w:szCs w:val="20"/>
          <w:color w:val="auto"/>
        </w:rPr>
      </w:pPr>
      <w:r>
        <w:rPr>
          <w:rFonts w:ascii="Arial" w:cs="Arial" w:eastAsia="Arial" w:hAnsi="Arial"/>
          <w:sz w:val="18"/>
          <w:szCs w:val="18"/>
          <w:color w:val="auto"/>
        </w:rPr>
        <w:t>As of December 31, 2019, American’s minimum obligations under its capacity purchase agreements with third-party regional carriers are as follows (approximately, in millions):</w:t>
      </w:r>
    </w:p>
    <w:p>
      <w:pPr>
        <w:spacing w:after="0" w:line="292"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422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0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rPr>
              <w:t>2025 and</w:t>
            </w:r>
          </w:p>
        </w:tc>
        <w:tc>
          <w:tcPr>
            <w:tcW w:w="920" w:type="dxa"/>
            <w:vAlign w:val="bottom"/>
          </w:tcPr>
          <w:p>
            <w:pPr>
              <w:spacing w:after="0"/>
              <w:rPr>
                <w:sz w:val="14"/>
                <w:szCs w:val="14"/>
                <w:color w:val="auto"/>
              </w:rPr>
            </w:pPr>
          </w:p>
        </w:tc>
      </w:tr>
      <w:tr>
        <w:trPr>
          <w:trHeight w:val="196"/>
        </w:trPr>
        <w:tc>
          <w:tcPr>
            <w:tcW w:w="4220" w:type="dxa"/>
            <w:vAlign w:val="bottom"/>
          </w:tcPr>
          <w:p>
            <w:pPr>
              <w:spacing w:after="0"/>
              <w:rPr>
                <w:sz w:val="17"/>
                <w:szCs w:val="17"/>
                <w:color w:val="auto"/>
              </w:rPr>
            </w:pPr>
          </w:p>
        </w:tc>
        <w:tc>
          <w:tcPr>
            <w:tcW w:w="920" w:type="dxa"/>
            <w:vAlign w:val="bottom"/>
          </w:tcPr>
          <w:p>
            <w:pPr>
              <w:jc w:val="right"/>
              <w:ind w:right="219"/>
              <w:spacing w:after="0"/>
              <w:rPr>
                <w:sz w:val="20"/>
                <w:szCs w:val="20"/>
                <w:color w:val="auto"/>
              </w:rPr>
            </w:pPr>
            <w:r>
              <w:rPr>
                <w:rFonts w:ascii="Arial" w:cs="Arial" w:eastAsia="Arial" w:hAnsi="Arial"/>
                <w:sz w:val="14"/>
                <w:szCs w:val="14"/>
                <w:b w:val="1"/>
                <w:bCs w:val="1"/>
                <w:color w:val="auto"/>
              </w:rPr>
              <w:t>2020</w:t>
            </w:r>
          </w:p>
        </w:tc>
        <w:tc>
          <w:tcPr>
            <w:tcW w:w="100" w:type="dxa"/>
            <w:vAlign w:val="bottom"/>
          </w:tcPr>
          <w:p>
            <w:pPr>
              <w:spacing w:after="0"/>
              <w:rPr>
                <w:sz w:val="17"/>
                <w:szCs w:val="17"/>
                <w:color w:val="auto"/>
              </w:rPr>
            </w:pPr>
          </w:p>
        </w:tc>
        <w:tc>
          <w:tcPr>
            <w:tcW w:w="920" w:type="dxa"/>
            <w:vAlign w:val="bottom"/>
          </w:tcPr>
          <w:p>
            <w:pPr>
              <w:jc w:val="right"/>
              <w:ind w:right="219"/>
              <w:spacing w:after="0"/>
              <w:rPr>
                <w:sz w:val="20"/>
                <w:szCs w:val="20"/>
                <w:color w:val="auto"/>
              </w:rPr>
            </w:pPr>
            <w:r>
              <w:rPr>
                <w:rFonts w:ascii="Arial" w:cs="Arial" w:eastAsia="Arial" w:hAnsi="Arial"/>
                <w:sz w:val="14"/>
                <w:szCs w:val="14"/>
                <w:b w:val="1"/>
                <w:bCs w:val="1"/>
                <w:color w:val="auto"/>
              </w:rPr>
              <w:t>2021</w:t>
            </w:r>
          </w:p>
        </w:tc>
        <w:tc>
          <w:tcPr>
            <w:tcW w:w="120" w:type="dxa"/>
            <w:vAlign w:val="bottom"/>
          </w:tcPr>
          <w:p>
            <w:pPr>
              <w:spacing w:after="0"/>
              <w:rPr>
                <w:sz w:val="17"/>
                <w:szCs w:val="17"/>
                <w:color w:val="auto"/>
              </w:rPr>
            </w:pPr>
          </w:p>
        </w:tc>
        <w:tc>
          <w:tcPr>
            <w:tcW w:w="920" w:type="dxa"/>
            <w:vAlign w:val="bottom"/>
          </w:tcPr>
          <w:p>
            <w:pPr>
              <w:jc w:val="right"/>
              <w:ind w:right="219"/>
              <w:spacing w:after="0"/>
              <w:rPr>
                <w:sz w:val="20"/>
                <w:szCs w:val="20"/>
                <w:color w:val="auto"/>
              </w:rPr>
            </w:pPr>
            <w:r>
              <w:rPr>
                <w:rFonts w:ascii="Arial" w:cs="Arial" w:eastAsia="Arial" w:hAnsi="Arial"/>
                <w:sz w:val="14"/>
                <w:szCs w:val="14"/>
                <w:b w:val="1"/>
                <w:bCs w:val="1"/>
                <w:color w:val="auto"/>
              </w:rPr>
              <w:t>2022</w:t>
            </w:r>
          </w:p>
        </w:tc>
        <w:tc>
          <w:tcPr>
            <w:tcW w:w="100" w:type="dxa"/>
            <w:vAlign w:val="bottom"/>
          </w:tcPr>
          <w:p>
            <w:pPr>
              <w:spacing w:after="0"/>
              <w:rPr>
                <w:sz w:val="17"/>
                <w:szCs w:val="17"/>
                <w:color w:val="auto"/>
              </w:rPr>
            </w:pPr>
          </w:p>
        </w:tc>
        <w:tc>
          <w:tcPr>
            <w:tcW w:w="920" w:type="dxa"/>
            <w:vAlign w:val="bottom"/>
          </w:tcPr>
          <w:p>
            <w:pPr>
              <w:jc w:val="right"/>
              <w:ind w:right="219"/>
              <w:spacing w:after="0"/>
              <w:rPr>
                <w:sz w:val="20"/>
                <w:szCs w:val="20"/>
                <w:color w:val="auto"/>
              </w:rPr>
            </w:pPr>
            <w:r>
              <w:rPr>
                <w:rFonts w:ascii="Arial" w:cs="Arial" w:eastAsia="Arial" w:hAnsi="Arial"/>
                <w:sz w:val="14"/>
                <w:szCs w:val="14"/>
                <w:b w:val="1"/>
                <w:bCs w:val="1"/>
                <w:color w:val="auto"/>
              </w:rPr>
              <w:t>2023</w:t>
            </w:r>
          </w:p>
        </w:tc>
        <w:tc>
          <w:tcPr>
            <w:tcW w:w="100" w:type="dxa"/>
            <w:vAlign w:val="bottom"/>
          </w:tcPr>
          <w:p>
            <w:pPr>
              <w:spacing w:after="0"/>
              <w:rPr>
                <w:sz w:val="17"/>
                <w:szCs w:val="17"/>
                <w:color w:val="auto"/>
              </w:rPr>
            </w:pPr>
          </w:p>
        </w:tc>
        <w:tc>
          <w:tcPr>
            <w:tcW w:w="920" w:type="dxa"/>
            <w:vAlign w:val="bottom"/>
          </w:tcPr>
          <w:p>
            <w:pPr>
              <w:jc w:val="right"/>
              <w:ind w:right="219"/>
              <w:spacing w:after="0"/>
              <w:rPr>
                <w:sz w:val="20"/>
                <w:szCs w:val="20"/>
                <w:color w:val="auto"/>
              </w:rPr>
            </w:pPr>
            <w:r>
              <w:rPr>
                <w:rFonts w:ascii="Arial" w:cs="Arial" w:eastAsia="Arial" w:hAnsi="Arial"/>
                <w:sz w:val="14"/>
                <w:szCs w:val="14"/>
                <w:b w:val="1"/>
                <w:bCs w:val="1"/>
                <w:color w:val="auto"/>
              </w:rPr>
              <w:t>2024</w:t>
            </w: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0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rPr>
              <w:t>Thereafter</w:t>
            </w:r>
          </w:p>
        </w:tc>
        <w:tc>
          <w:tcPr>
            <w:tcW w:w="920" w:type="dxa"/>
            <w:vAlign w:val="bottom"/>
          </w:tcPr>
          <w:p>
            <w:pPr>
              <w:jc w:val="right"/>
              <w:ind w:right="219"/>
              <w:spacing w:after="0"/>
              <w:rPr>
                <w:sz w:val="20"/>
                <w:szCs w:val="20"/>
                <w:color w:val="auto"/>
              </w:rPr>
            </w:pPr>
            <w:r>
              <w:rPr>
                <w:rFonts w:ascii="Arial" w:cs="Arial" w:eastAsia="Arial" w:hAnsi="Arial"/>
                <w:sz w:val="14"/>
                <w:szCs w:val="14"/>
                <w:b w:val="1"/>
                <w:bCs w:val="1"/>
                <w:color w:val="auto"/>
              </w:rPr>
              <w:t>Total</w:t>
            </w:r>
          </w:p>
        </w:tc>
      </w:tr>
      <w:tr>
        <w:trPr>
          <w:trHeight w:val="212"/>
        </w:trPr>
        <w:tc>
          <w:tcPr>
            <w:tcW w:w="4220" w:type="dxa"/>
            <w:vAlign w:val="bottom"/>
            <w:tcBorders>
              <w:top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Minimum obligations under capacity purchase</w:t>
            </w:r>
          </w:p>
        </w:tc>
        <w:tc>
          <w:tcPr>
            <w:tcW w:w="92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920" w:type="dxa"/>
            <w:vAlign w:val="bottom"/>
            <w:tcBorders>
              <w:top w:val="single" w:sz="8" w:color="auto"/>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92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92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920" w:type="dxa"/>
            <w:vAlign w:val="bottom"/>
            <w:tcBorders>
              <w:top w:val="single" w:sz="8" w:color="auto"/>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90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920" w:type="dxa"/>
            <w:vAlign w:val="bottom"/>
            <w:tcBorders>
              <w:top w:val="single" w:sz="8" w:color="auto"/>
            </w:tcBorders>
            <w:shd w:val="clear" w:color="auto" w:fill="CCEEFF"/>
          </w:tcPr>
          <w:p>
            <w:pPr>
              <w:spacing w:after="0"/>
              <w:rPr>
                <w:sz w:val="18"/>
                <w:szCs w:val="18"/>
                <w:color w:val="auto"/>
              </w:rPr>
            </w:pPr>
          </w:p>
        </w:tc>
      </w:tr>
      <w:tr>
        <w:trPr>
          <w:trHeight w:val="233"/>
        </w:trPr>
        <w:tc>
          <w:tcPr>
            <w:tcW w:w="4220" w:type="dxa"/>
            <w:vAlign w:val="bottom"/>
            <w:shd w:val="clear" w:color="auto" w:fill="CCEEFF"/>
          </w:tcPr>
          <w:p>
            <w:pPr>
              <w:ind w:left="200"/>
              <w:spacing w:after="0" w:line="233" w:lineRule="exact"/>
              <w:rPr>
                <w:sz w:val="20"/>
                <w:szCs w:val="20"/>
                <w:color w:val="auto"/>
              </w:rPr>
            </w:pPr>
            <w:r>
              <w:rPr>
                <w:rFonts w:ascii="Arial" w:cs="Arial" w:eastAsia="Arial" w:hAnsi="Arial"/>
                <w:sz w:val="18"/>
                <w:szCs w:val="18"/>
                <w:color w:val="auto"/>
              </w:rPr>
              <w:t xml:space="preserve">agreements with third-party regional carriers </w:t>
            </w:r>
            <w:r>
              <w:rPr>
                <w:rFonts w:ascii="Arial" w:cs="Arial" w:eastAsia="Arial" w:hAnsi="Arial"/>
                <w:sz w:val="21"/>
                <w:szCs w:val="21"/>
                <w:color w:val="auto"/>
                <w:vertAlign w:val="superscript"/>
              </w:rPr>
              <w:t>(1)</w:t>
            </w:r>
          </w:p>
        </w:tc>
        <w:tc>
          <w:tcPr>
            <w:tcW w:w="920" w:type="dxa"/>
            <w:vAlign w:val="bottom"/>
            <w:shd w:val="clear" w:color="auto" w:fill="CCEEFF"/>
          </w:tcPr>
          <w:p>
            <w:pPr>
              <w:jc w:val="right"/>
              <w:ind w:right="19"/>
              <w:spacing w:after="0"/>
              <w:rPr>
                <w:sz w:val="20"/>
                <w:szCs w:val="20"/>
                <w:color w:val="auto"/>
              </w:rPr>
            </w:pPr>
            <w:r>
              <w:rPr>
                <w:rFonts w:ascii="Arial" w:cs="Arial" w:eastAsia="Arial" w:hAnsi="Arial"/>
                <w:sz w:val="18"/>
                <w:szCs w:val="18"/>
                <w:color w:val="auto"/>
              </w:rPr>
              <w:t>$   1,115</w:t>
            </w:r>
          </w:p>
        </w:tc>
        <w:tc>
          <w:tcPr>
            <w:tcW w:w="100" w:type="dxa"/>
            <w:vAlign w:val="bottom"/>
            <w:shd w:val="clear" w:color="auto" w:fill="CCEEFF"/>
          </w:tcPr>
          <w:p>
            <w:pPr>
              <w:spacing w:after="0"/>
              <w:rPr>
                <w:sz w:val="20"/>
                <w:szCs w:val="20"/>
                <w:color w:val="auto"/>
              </w:rPr>
            </w:pPr>
          </w:p>
        </w:tc>
        <w:tc>
          <w:tcPr>
            <w:tcW w:w="920" w:type="dxa"/>
            <w:vAlign w:val="bottom"/>
            <w:shd w:val="clear" w:color="auto" w:fill="CCEEFF"/>
          </w:tcPr>
          <w:p>
            <w:pPr>
              <w:jc w:val="right"/>
              <w:ind w:right="19"/>
              <w:spacing w:after="0"/>
              <w:rPr>
                <w:sz w:val="20"/>
                <w:szCs w:val="20"/>
                <w:color w:val="auto"/>
              </w:rPr>
            </w:pPr>
            <w:r>
              <w:rPr>
                <w:rFonts w:ascii="Arial" w:cs="Arial" w:eastAsia="Arial" w:hAnsi="Arial"/>
                <w:sz w:val="18"/>
                <w:szCs w:val="18"/>
                <w:color w:val="auto"/>
              </w:rPr>
              <w:t>$   1,185</w:t>
            </w:r>
          </w:p>
        </w:tc>
        <w:tc>
          <w:tcPr>
            <w:tcW w:w="120" w:type="dxa"/>
            <w:vAlign w:val="bottom"/>
            <w:shd w:val="clear" w:color="auto" w:fill="CCEEFF"/>
          </w:tcPr>
          <w:p>
            <w:pPr>
              <w:spacing w:after="0"/>
              <w:rPr>
                <w:sz w:val="20"/>
                <w:szCs w:val="20"/>
                <w:color w:val="auto"/>
              </w:rPr>
            </w:pPr>
          </w:p>
        </w:tc>
        <w:tc>
          <w:tcPr>
            <w:tcW w:w="920" w:type="dxa"/>
            <w:vAlign w:val="bottom"/>
            <w:shd w:val="clear" w:color="auto" w:fill="CCEEFF"/>
          </w:tcPr>
          <w:p>
            <w:pPr>
              <w:jc w:val="right"/>
              <w:ind w:right="39"/>
              <w:spacing w:after="0"/>
              <w:rPr>
                <w:sz w:val="20"/>
                <w:szCs w:val="20"/>
                <w:color w:val="auto"/>
              </w:rPr>
            </w:pPr>
            <w:r>
              <w:rPr>
                <w:rFonts w:ascii="Arial" w:cs="Arial" w:eastAsia="Arial" w:hAnsi="Arial"/>
                <w:sz w:val="18"/>
                <w:szCs w:val="18"/>
                <w:color w:val="auto"/>
              </w:rPr>
              <w:t>$   1,126</w:t>
            </w:r>
          </w:p>
        </w:tc>
        <w:tc>
          <w:tcPr>
            <w:tcW w:w="100" w:type="dxa"/>
            <w:vAlign w:val="bottom"/>
            <w:shd w:val="clear" w:color="auto" w:fill="CCEEFF"/>
          </w:tcPr>
          <w:p>
            <w:pPr>
              <w:spacing w:after="0"/>
              <w:rPr>
                <w:sz w:val="20"/>
                <w:szCs w:val="20"/>
                <w:color w:val="auto"/>
              </w:rPr>
            </w:pPr>
          </w:p>
        </w:tc>
        <w:tc>
          <w:tcPr>
            <w:tcW w:w="920" w:type="dxa"/>
            <w:vAlign w:val="bottom"/>
            <w:shd w:val="clear" w:color="auto" w:fill="CCEEFF"/>
          </w:tcPr>
          <w:p>
            <w:pPr>
              <w:jc w:val="right"/>
              <w:ind w:right="19"/>
              <w:spacing w:after="0"/>
              <w:rPr>
                <w:sz w:val="20"/>
                <w:szCs w:val="20"/>
                <w:color w:val="auto"/>
              </w:rPr>
            </w:pPr>
            <w:r>
              <w:rPr>
                <w:rFonts w:ascii="Arial" w:cs="Arial" w:eastAsia="Arial" w:hAnsi="Arial"/>
                <w:sz w:val="18"/>
                <w:szCs w:val="18"/>
                <w:color w:val="auto"/>
              </w:rPr>
              <w:t>$   1,077</w:t>
            </w:r>
          </w:p>
        </w:tc>
        <w:tc>
          <w:tcPr>
            <w:tcW w:w="100" w:type="dxa"/>
            <w:vAlign w:val="bottom"/>
            <w:shd w:val="clear" w:color="auto" w:fill="CCEEFF"/>
          </w:tcPr>
          <w:p>
            <w:pPr>
              <w:spacing w:after="0"/>
              <w:rPr>
                <w:sz w:val="20"/>
                <w:szCs w:val="20"/>
                <w:color w:val="auto"/>
              </w:rPr>
            </w:pPr>
          </w:p>
        </w:tc>
        <w:tc>
          <w:tcPr>
            <w:tcW w:w="920" w:type="dxa"/>
            <w:vAlign w:val="bottom"/>
            <w:shd w:val="clear" w:color="auto" w:fill="CCEEFF"/>
          </w:tcPr>
          <w:p>
            <w:pPr>
              <w:jc w:val="right"/>
              <w:ind w:right="19"/>
              <w:spacing w:after="0"/>
              <w:rPr>
                <w:sz w:val="20"/>
                <w:szCs w:val="20"/>
                <w:color w:val="auto"/>
              </w:rPr>
            </w:pPr>
            <w:r>
              <w:rPr>
                <w:rFonts w:ascii="Arial" w:cs="Arial" w:eastAsia="Arial" w:hAnsi="Arial"/>
                <w:sz w:val="18"/>
                <w:szCs w:val="18"/>
                <w:color w:val="auto"/>
              </w:rPr>
              <w:t>$   1,077</w:t>
            </w:r>
          </w:p>
        </w:tc>
        <w:tc>
          <w:tcPr>
            <w:tcW w:w="120" w:type="dxa"/>
            <w:vAlign w:val="bottom"/>
            <w:shd w:val="clear" w:color="auto" w:fill="CCEEFF"/>
          </w:tcPr>
          <w:p>
            <w:pPr>
              <w:spacing w:after="0"/>
              <w:rPr>
                <w:sz w:val="20"/>
                <w:szCs w:val="20"/>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900" w:type="dxa"/>
            <w:vAlign w:val="bottom"/>
            <w:shd w:val="clear" w:color="auto" w:fill="CCEEFF"/>
          </w:tcPr>
          <w:p>
            <w:pPr>
              <w:jc w:val="right"/>
              <w:ind w:right="42"/>
              <w:spacing w:after="0"/>
              <w:rPr>
                <w:sz w:val="20"/>
                <w:szCs w:val="20"/>
                <w:color w:val="auto"/>
              </w:rPr>
            </w:pPr>
            <w:r>
              <w:rPr>
                <w:rFonts w:ascii="Arial" w:cs="Arial" w:eastAsia="Arial" w:hAnsi="Arial"/>
                <w:sz w:val="18"/>
                <w:szCs w:val="18"/>
                <w:color w:val="auto"/>
              </w:rPr>
              <w:t>3,402</w:t>
            </w:r>
          </w:p>
        </w:tc>
        <w:tc>
          <w:tcPr>
            <w:tcW w:w="100" w:type="dxa"/>
            <w:vAlign w:val="bottom"/>
            <w:shd w:val="clear" w:color="auto" w:fill="CCEEFF"/>
          </w:tcPr>
          <w:p>
            <w:pPr>
              <w:spacing w:after="0"/>
              <w:rPr>
                <w:sz w:val="20"/>
                <w:szCs w:val="20"/>
                <w:color w:val="auto"/>
              </w:rPr>
            </w:pPr>
          </w:p>
        </w:tc>
        <w:tc>
          <w:tcPr>
            <w:tcW w:w="920" w:type="dxa"/>
            <w:vAlign w:val="bottom"/>
            <w:shd w:val="clear" w:color="auto" w:fill="CCEEFF"/>
          </w:tcPr>
          <w:p>
            <w:pPr>
              <w:jc w:val="right"/>
              <w:ind w:right="19"/>
              <w:spacing w:after="0"/>
              <w:rPr>
                <w:sz w:val="20"/>
                <w:szCs w:val="20"/>
                <w:color w:val="auto"/>
              </w:rPr>
            </w:pPr>
            <w:r>
              <w:rPr>
                <w:rFonts w:ascii="Arial" w:cs="Arial" w:eastAsia="Arial" w:hAnsi="Arial"/>
                <w:sz w:val="18"/>
                <w:szCs w:val="18"/>
                <w:color w:val="auto"/>
              </w:rPr>
              <w:t>$   8,982</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163195</wp:posOffset>
            </wp:positionV>
            <wp:extent cx="1337945" cy="8890"/>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1337945" cy="8890"/>
                    </a:xfrm>
                    <a:prstGeom prst="rect">
                      <a:avLst/>
                    </a:prstGeom>
                    <a:noFill/>
                  </pic:spPr>
                </pic:pic>
              </a:graphicData>
            </a:graphic>
          </wp:anchor>
        </w:drawing>
      </w:r>
    </w:p>
    <w:p>
      <w:pPr>
        <w:spacing w:after="0" w:line="330" w:lineRule="exact"/>
        <w:rPr>
          <w:sz w:val="20"/>
          <w:szCs w:val="20"/>
          <w:color w:val="auto"/>
        </w:rPr>
      </w:pPr>
    </w:p>
    <w:p>
      <w:pPr>
        <w:jc w:val="both"/>
        <w:ind w:left="660" w:hanging="652"/>
        <w:spacing w:after="0" w:line="237" w:lineRule="auto"/>
        <w:tabs>
          <w:tab w:leader="none" w:pos="660" w:val="left"/>
        </w:tabs>
        <w:numPr>
          <w:ilvl w:val="0"/>
          <w:numId w:val="48"/>
        </w:numPr>
        <w:rPr>
          <w:rFonts w:ascii="Arial" w:cs="Arial" w:eastAsia="Arial" w:hAnsi="Arial"/>
          <w:sz w:val="22"/>
          <w:szCs w:val="22"/>
          <w:color w:val="auto"/>
          <w:vertAlign w:val="superscript"/>
        </w:rPr>
      </w:pPr>
      <w:r>
        <w:rPr>
          <w:rFonts w:ascii="Arial" w:cs="Arial" w:eastAsia="Arial" w:hAnsi="Arial"/>
          <w:sz w:val="18"/>
          <w:szCs w:val="18"/>
          <w:color w:val="auto"/>
        </w:rPr>
        <w:t>Represents minimum payments under capacity purchase agreements with third-party regional carriers, which are estimates of costs based on assumed minimum levels of flying under the capacity purchase agreements and American’s actual payments could differ materially. Excludes payments for the lease of certain aircraft under capacity purchase agreements, which are reflected in the operating lease obligations in Note 6.</w:t>
      </w:r>
    </w:p>
    <w:p>
      <w:pPr>
        <w:spacing w:after="0" w:line="222" w:lineRule="exact"/>
        <w:rPr>
          <w:sz w:val="20"/>
          <w:szCs w:val="20"/>
          <w:color w:val="auto"/>
        </w:rPr>
      </w:pPr>
    </w:p>
    <w:p>
      <w:pPr>
        <w:ind w:left="220"/>
        <w:spacing w:after="0"/>
        <w:rPr>
          <w:sz w:val="20"/>
          <w:szCs w:val="20"/>
          <w:color w:val="auto"/>
        </w:rPr>
      </w:pPr>
      <w:r>
        <w:rPr>
          <w:rFonts w:ascii="Arial" w:cs="Arial" w:eastAsia="Arial" w:hAnsi="Arial"/>
          <w:sz w:val="18"/>
          <w:szCs w:val="18"/>
          <w:b w:val="1"/>
          <w:bCs w:val="1"/>
          <w:i w:val="1"/>
          <w:iCs w:val="1"/>
          <w:color w:val="auto"/>
        </w:rPr>
        <w:t>(c) Airport Redevelopment</w:t>
      </w:r>
    </w:p>
    <w:p>
      <w:pPr>
        <w:spacing w:after="0" w:line="94" w:lineRule="exact"/>
        <w:rPr>
          <w:sz w:val="20"/>
          <w:szCs w:val="20"/>
          <w:color w:val="auto"/>
        </w:rPr>
      </w:pPr>
    </w:p>
    <w:p>
      <w:pPr>
        <w:ind w:left="220"/>
        <w:spacing w:after="0"/>
        <w:rPr>
          <w:sz w:val="20"/>
          <w:szCs w:val="20"/>
          <w:color w:val="auto"/>
        </w:rPr>
      </w:pPr>
      <w:r>
        <w:rPr>
          <w:rFonts w:ascii="Arial" w:cs="Arial" w:eastAsia="Arial" w:hAnsi="Arial"/>
          <w:sz w:val="18"/>
          <w:szCs w:val="18"/>
          <w:i w:val="1"/>
          <w:iCs w:val="1"/>
          <w:u w:val="single" w:color="auto"/>
          <w:color w:val="auto"/>
        </w:rPr>
        <w:t>Los Angeles International Airport (LAX)</w:t>
      </w:r>
    </w:p>
    <w:p>
      <w:pPr>
        <w:spacing w:after="0" w:line="108" w:lineRule="exact"/>
        <w:rPr>
          <w:sz w:val="20"/>
          <w:szCs w:val="20"/>
          <w:color w:val="auto"/>
        </w:rPr>
      </w:pPr>
    </w:p>
    <w:p>
      <w:pPr>
        <w:jc w:val="both"/>
        <w:ind w:firstLine="243"/>
        <w:spacing w:after="0" w:line="252" w:lineRule="auto"/>
        <w:rPr>
          <w:sz w:val="20"/>
          <w:szCs w:val="20"/>
          <w:color w:val="auto"/>
        </w:rPr>
      </w:pPr>
      <w:r>
        <w:rPr>
          <w:rFonts w:ascii="Arial" w:cs="Arial" w:eastAsia="Arial" w:hAnsi="Arial"/>
          <w:sz w:val="18"/>
          <w:szCs w:val="18"/>
          <w:color w:val="auto"/>
        </w:rPr>
        <w:t>In 2018, we executed a lease agreement with Los Angeles World Airports (LAWA), which owns and operates LAX, in connection with a $1.6 billion modernization project related to LAX Terminals 4 and 5. Construction will occur in a phased approach, which started in October 2018 and is expected to be completed in 2028. The modernization project will include a unified departure hall to combine the entranceway of Terminals 4 and 5, reconfigured ticket counter and check-in areas with seamless access to security screening areas, 16 security screening lanes with automated technology and upgraded amenities at gate areas. The project will also include renovated break rooms, multi-use meeting rooms and team gathering spaces throughout the terminals to support our team members at LAX.</w:t>
      </w:r>
    </w:p>
    <w:p>
      <w:pPr>
        <w:spacing w:after="0" w:line="155" w:lineRule="exact"/>
        <w:rPr>
          <w:sz w:val="20"/>
          <w:szCs w:val="20"/>
          <w:color w:val="auto"/>
        </w:rPr>
      </w:pPr>
    </w:p>
    <w:p>
      <w:pPr>
        <w:jc w:val="both"/>
        <w:ind w:firstLine="243"/>
        <w:spacing w:after="0" w:line="253" w:lineRule="auto"/>
        <w:rPr>
          <w:sz w:val="20"/>
          <w:szCs w:val="20"/>
          <w:color w:val="auto"/>
        </w:rPr>
      </w:pPr>
      <w:r>
        <w:rPr>
          <w:rFonts w:ascii="Arial" w:cs="Arial" w:eastAsia="Arial" w:hAnsi="Arial"/>
          <w:sz w:val="18"/>
          <w:szCs w:val="18"/>
          <w:color w:val="auto"/>
        </w:rPr>
        <w:t>We are managing this project and have legal title to the assets during their construction. As each phase is completed, the assets will be sold and transferred to LAWA, including the site improvements and non-proprietary improvements. As we control the assets during construction, they are recognized on our balance sheet until legal title has transferred. For 2019, we incurred approximately $98 million in costs relating to the LAX modernization project, which are included within operating property and equipment on our consolidated balance sheet as of December 31, 2019.</w:t>
      </w:r>
    </w:p>
    <w:p>
      <w:pPr>
        <w:spacing w:after="0" w:line="20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108</w:t>
      </w:r>
    </w:p>
    <w:p>
      <w:pPr>
        <w:sectPr>
          <w:pgSz w:w="11900" w:h="16838" w:orient="portrait"/>
          <w:cols w:equalWidth="0" w:num="1">
            <w:col w:w="11420"/>
          </w:cols>
          <w:pgMar w:left="240" w:top="549" w:right="239" w:bottom="1440" w:gutter="0" w:footer="0" w:header="0"/>
        </w:sectPr>
      </w:pPr>
    </w:p>
    <w:bookmarkStart w:id="108" w:name="page109"/>
    <w:bookmarkEnd w:id="108"/>
    <w:p>
      <w:pPr>
        <w:jc w:val="center"/>
        <w:spacing w:after="0"/>
        <w:rPr>
          <w:sz w:val="20"/>
          <w:szCs w:val="20"/>
          <w:color w:val="auto"/>
        </w:rPr>
      </w:pPr>
      <w:r>
        <w:rPr>
          <w:rFonts w:ascii="Arial" w:cs="Arial" w:eastAsia="Arial" w:hAnsi="Arial"/>
          <w:sz w:val="18"/>
          <w:szCs w:val="18"/>
          <w:b w:val="1"/>
          <w:bCs w:val="1"/>
          <w:color w:val="auto"/>
        </w:rPr>
        <w:t>NOTES TO CONSOLIDATED FINANCIAL STATEMENTS OF AMERICAN AIRLINES GROUP INC.</w:t>
      </w:r>
    </w:p>
    <w:p>
      <w:pPr>
        <w:spacing w:after="0" w:line="200" w:lineRule="exact"/>
        <w:rPr>
          <w:sz w:val="20"/>
          <w:szCs w:val="20"/>
          <w:color w:val="auto"/>
        </w:rPr>
      </w:pPr>
    </w:p>
    <w:p>
      <w:pPr>
        <w:spacing w:after="0" w:line="268" w:lineRule="exact"/>
        <w:rPr>
          <w:sz w:val="20"/>
          <w:szCs w:val="20"/>
          <w:color w:val="auto"/>
        </w:rPr>
      </w:pPr>
    </w:p>
    <w:p>
      <w:pPr>
        <w:ind w:left="220" w:right="8100" w:firstLine="4"/>
        <w:spacing w:after="0" w:line="357" w:lineRule="auto"/>
        <w:tabs>
          <w:tab w:leader="none" w:pos="500" w:val="left"/>
        </w:tabs>
        <w:numPr>
          <w:ilvl w:val="0"/>
          <w:numId w:val="49"/>
        </w:numPr>
        <w:rPr>
          <w:rFonts w:ascii="Arial" w:cs="Arial" w:eastAsia="Arial" w:hAnsi="Arial"/>
          <w:sz w:val="18"/>
          <w:szCs w:val="18"/>
          <w:b w:val="1"/>
          <w:bCs w:val="1"/>
          <w:i w:val="1"/>
          <w:iCs w:val="1"/>
          <w:color w:val="auto"/>
        </w:rPr>
      </w:pPr>
      <w:r>
        <w:rPr>
          <w:rFonts w:ascii="Arial" w:cs="Arial" w:eastAsia="Arial" w:hAnsi="Arial"/>
          <w:sz w:val="18"/>
          <w:szCs w:val="18"/>
          <w:b w:val="1"/>
          <w:bCs w:val="1"/>
          <w:i w:val="1"/>
          <w:iCs w:val="1"/>
          <w:color w:val="auto"/>
        </w:rPr>
        <w:t xml:space="preserve">Off-Balance Sheet Arrangements </w:t>
      </w:r>
      <w:r>
        <w:rPr>
          <w:rFonts w:ascii="Arial" w:cs="Arial" w:eastAsia="Arial" w:hAnsi="Arial"/>
          <w:sz w:val="18"/>
          <w:szCs w:val="18"/>
          <w:i w:val="1"/>
          <w:iCs w:val="1"/>
          <w:u w:val="single" w:color="auto"/>
          <w:color w:val="auto"/>
        </w:rPr>
        <w:t>Aircraft and Engines</w:t>
      </w:r>
    </w:p>
    <w:p>
      <w:pPr>
        <w:jc w:val="both"/>
        <w:ind w:firstLine="216"/>
        <w:spacing w:after="0" w:line="251" w:lineRule="auto"/>
        <w:rPr>
          <w:sz w:val="20"/>
          <w:szCs w:val="20"/>
          <w:color w:val="auto"/>
        </w:rPr>
      </w:pPr>
      <w:r>
        <w:rPr>
          <w:rFonts w:ascii="Arial" w:cs="Arial" w:eastAsia="Arial" w:hAnsi="Arial"/>
          <w:sz w:val="18"/>
          <w:szCs w:val="18"/>
          <w:color w:val="auto"/>
        </w:rPr>
        <w:t>American currently operates 382 owned aircraft and 69 leased aircraft, and owns 79 spare aircraft engines, which in each case were financed with EETCs issued by pass-through trusts. These trusts are off-balance sheet entities, the primary purpose of which is to finance the acquisition of flight equipment or to permit issuance of debt backed by existing flight equipment. In the case of aircraft EETCs, rather than finance each aircraft separately when such aircraft is purchased, delivered or refinanced, these trusts allow American to raise the financing for a number of aircraft at one time and, if applicable, place such funds in escrow pending a future purchase, delivery or refinancing of the relevant aircraft. Similarly, in the case of the spare engine EETCs, the trust allows American to use its existing pool of spare engines to raise financing under a single facility. The trusts have also been structured to provide for certain credit enhancements, such as liquidity facilities to cover certain interest payments, that reduce the risks to the purchasers of the trust certificates and, as a result, reduce the cost of aircraft financing to American.</w:t>
      </w:r>
    </w:p>
    <w:p>
      <w:pPr>
        <w:spacing w:after="0" w:line="159" w:lineRule="exact"/>
        <w:rPr>
          <w:sz w:val="20"/>
          <w:szCs w:val="20"/>
          <w:color w:val="auto"/>
        </w:rPr>
      </w:pPr>
    </w:p>
    <w:p>
      <w:pPr>
        <w:jc w:val="both"/>
        <w:ind w:firstLine="216"/>
        <w:spacing w:after="0" w:line="251" w:lineRule="auto"/>
        <w:rPr>
          <w:sz w:val="20"/>
          <w:szCs w:val="20"/>
          <w:color w:val="auto"/>
        </w:rPr>
      </w:pPr>
      <w:r>
        <w:rPr>
          <w:rFonts w:ascii="Arial" w:cs="Arial" w:eastAsia="Arial" w:hAnsi="Arial"/>
          <w:sz w:val="18"/>
          <w:szCs w:val="18"/>
          <w:color w:val="auto"/>
        </w:rPr>
        <w:t>Each trust covers a set number of aircraft or spare engines scheduled to be delivered, financed or refinanced upon the issuance of the EETC or within a specific period of time thereafter. At the time of each covered aircraft or spare engine financing, the relevant trust used the proceeds of the issuance of the EETC (which may have been available at the time of issuance thereof or held in escrow until financing of the applicable aircraft following its delivery) to purchase equipment notes relating to the financed aircraft or engines. The equipment notes are issued, at American’s election, in connection with a mortgage financing of the aircraft or spare engines or, in certain cases, by a separate owner trust in connection with a leveraged lease financing of the aircraft. In the case of a leveraged lease financing, the owner trust then leases the aircraft to American. In both cases, the equipment notes are secured by a security interest in the aircraft or engines, as applicable. The pass-through trust certificates are not direct obligations of, nor are they guaranteed by, AAG or American. However, in the case of mortgage financings, the equipment notes issued to the trusts are direct obligations of American and, in certain instances, have been guaranteed by AAG. As of December 31, 2019, $11.9 billion associated with these mortgage financings is reflected as debt in the accompanying consolidated balance sheet.</w:t>
      </w:r>
    </w:p>
    <w:p>
      <w:pPr>
        <w:spacing w:after="0" w:line="158" w:lineRule="exact"/>
        <w:rPr>
          <w:sz w:val="20"/>
          <w:szCs w:val="20"/>
          <w:color w:val="auto"/>
        </w:rPr>
      </w:pPr>
    </w:p>
    <w:p>
      <w:pPr>
        <w:jc w:val="both"/>
        <w:ind w:firstLine="216"/>
        <w:spacing w:after="0" w:line="253" w:lineRule="auto"/>
        <w:rPr>
          <w:sz w:val="20"/>
          <w:szCs w:val="20"/>
          <w:color w:val="auto"/>
        </w:rPr>
      </w:pPr>
      <w:r>
        <w:rPr>
          <w:rFonts w:ascii="Arial" w:cs="Arial" w:eastAsia="Arial" w:hAnsi="Arial"/>
          <w:sz w:val="18"/>
          <w:szCs w:val="18"/>
          <w:color w:val="auto"/>
        </w:rPr>
        <w:t>With respect to leveraged leases, American evaluated whether the leases had characteristics of a variable interest entity. American concluded the leasing entities met the criteria for variable interest entities; however, American concluded it is not the primary beneficiary under these leasing arrangements and accounts for the majority of its EETC leveraged lease financings as operating leases. American’s total future payments to the trusts of each of the relevant EETCs under these leveraged lease financings are $177 million as of December 31, 2019, which are reflected in the operating lease obligations in Note 6.</w:t>
      </w:r>
    </w:p>
    <w:p>
      <w:pPr>
        <w:spacing w:after="0" w:line="215" w:lineRule="exact"/>
        <w:rPr>
          <w:sz w:val="20"/>
          <w:szCs w:val="20"/>
          <w:color w:val="auto"/>
        </w:rPr>
      </w:pPr>
    </w:p>
    <w:p>
      <w:pPr>
        <w:ind w:left="220"/>
        <w:spacing w:after="0"/>
        <w:rPr>
          <w:sz w:val="20"/>
          <w:szCs w:val="20"/>
          <w:color w:val="auto"/>
        </w:rPr>
      </w:pPr>
      <w:r>
        <w:rPr>
          <w:rFonts w:ascii="Arial" w:cs="Arial" w:eastAsia="Arial" w:hAnsi="Arial"/>
          <w:sz w:val="18"/>
          <w:szCs w:val="18"/>
          <w:i w:val="1"/>
          <w:iCs w:val="1"/>
          <w:u w:val="single" w:color="auto"/>
          <w:color w:val="auto"/>
        </w:rPr>
        <w:t>Letters of Credit and Other</w:t>
      </w:r>
    </w:p>
    <w:p>
      <w:pPr>
        <w:spacing w:after="0" w:line="108" w:lineRule="exact"/>
        <w:rPr>
          <w:sz w:val="20"/>
          <w:szCs w:val="20"/>
          <w:color w:val="auto"/>
        </w:rPr>
      </w:pPr>
    </w:p>
    <w:p>
      <w:pPr>
        <w:jc w:val="both"/>
        <w:ind w:firstLine="243"/>
        <w:spacing w:after="0" w:line="254" w:lineRule="auto"/>
        <w:rPr>
          <w:sz w:val="20"/>
          <w:szCs w:val="20"/>
          <w:color w:val="auto"/>
        </w:rPr>
      </w:pPr>
      <w:r>
        <w:rPr>
          <w:rFonts w:ascii="Arial" w:cs="Arial" w:eastAsia="Arial" w:hAnsi="Arial"/>
          <w:sz w:val="18"/>
          <w:szCs w:val="18"/>
          <w:color w:val="auto"/>
        </w:rPr>
        <w:t>We provide financial assurance, such as letters of credit, surety bonds or restricted cash and investments, primarily to support projected workers’ compensation obligations and airport commitments. As of December 31, 2019, we had $572 million of letters of credit and surety bonds securing various obligations. The letters of credit and surety bonds that are subject to expiration will expire on various dates through 2022.</w:t>
      </w:r>
    </w:p>
    <w:p>
      <w:pPr>
        <w:spacing w:after="0" w:line="209" w:lineRule="exact"/>
        <w:rPr>
          <w:sz w:val="20"/>
          <w:szCs w:val="20"/>
          <w:color w:val="auto"/>
        </w:rPr>
      </w:pPr>
    </w:p>
    <w:p>
      <w:pPr>
        <w:ind w:left="220"/>
        <w:spacing w:after="0"/>
        <w:rPr>
          <w:sz w:val="20"/>
          <w:szCs w:val="20"/>
          <w:color w:val="auto"/>
        </w:rPr>
      </w:pPr>
      <w:r>
        <w:rPr>
          <w:rFonts w:ascii="Arial" w:cs="Arial" w:eastAsia="Arial" w:hAnsi="Arial"/>
          <w:sz w:val="18"/>
          <w:szCs w:val="18"/>
          <w:b w:val="1"/>
          <w:bCs w:val="1"/>
          <w:i w:val="1"/>
          <w:iCs w:val="1"/>
          <w:color w:val="auto"/>
        </w:rPr>
        <w:t>(e) Legal Proceedings</w:t>
      </w:r>
    </w:p>
    <w:p>
      <w:pPr>
        <w:spacing w:after="0" w:line="94" w:lineRule="exact"/>
        <w:rPr>
          <w:sz w:val="20"/>
          <w:szCs w:val="20"/>
          <w:color w:val="auto"/>
        </w:rPr>
      </w:pPr>
    </w:p>
    <w:p>
      <w:pPr>
        <w:jc w:val="both"/>
        <w:ind w:firstLine="216"/>
        <w:spacing w:after="0" w:line="258" w:lineRule="auto"/>
        <w:rPr>
          <w:sz w:val="20"/>
          <w:szCs w:val="20"/>
          <w:color w:val="auto"/>
        </w:rPr>
      </w:pPr>
      <w:r>
        <w:rPr>
          <w:rFonts w:ascii="Arial" w:cs="Arial" w:eastAsia="Arial" w:hAnsi="Arial"/>
          <w:sz w:val="18"/>
          <w:szCs w:val="18"/>
          <w:i w:val="1"/>
          <w:iCs w:val="1"/>
          <w:color w:val="auto"/>
        </w:rPr>
        <w:t>Chapter 11 Cases</w:t>
      </w:r>
      <w:r>
        <w:rPr>
          <w:rFonts w:ascii="Arial" w:cs="Arial" w:eastAsia="Arial" w:hAnsi="Arial"/>
          <w:sz w:val="18"/>
          <w:szCs w:val="18"/>
          <w:color w:val="auto"/>
        </w:rPr>
        <w:t>. On November 29, 2011, AMR, American, and certain of AMR’s other direct and indirect domestic subsidiaries (the</w:t>
      </w:r>
      <w:r>
        <w:rPr>
          <w:rFonts w:ascii="Arial" w:cs="Arial" w:eastAsia="Arial" w:hAnsi="Arial"/>
          <w:sz w:val="18"/>
          <w:szCs w:val="18"/>
          <w:i w:val="1"/>
          <w:iCs w:val="1"/>
          <w:color w:val="auto"/>
        </w:rPr>
        <w:t xml:space="preserve"> </w:t>
      </w:r>
      <w:r>
        <w:rPr>
          <w:rFonts w:ascii="Arial" w:cs="Arial" w:eastAsia="Arial" w:hAnsi="Arial"/>
          <w:sz w:val="18"/>
          <w:szCs w:val="18"/>
          <w:color w:val="auto"/>
        </w:rPr>
        <w:t>Debtors) filed voluntary petitions for relief under Chapter 11 of the United States Bankruptcy Code in the United States Bankruptcy Court for the Southern District of New York (the Bankruptcy Court). On October 21, 2013, the Bankruptcy Court entered an order approving and confirming the Debtors’ fourth amended joint plan of reorganization (as amended, the Plan). On the Effective Date, December 9, 2013, the Debtors consummated their reorganization pursuant to the Plan and completed the Merger.</w:t>
      </w:r>
    </w:p>
    <w:p>
      <w:pPr>
        <w:spacing w:after="0" w:line="148" w:lineRule="exact"/>
        <w:rPr>
          <w:sz w:val="20"/>
          <w:szCs w:val="20"/>
          <w:color w:val="auto"/>
        </w:rPr>
      </w:pPr>
    </w:p>
    <w:p>
      <w:pPr>
        <w:jc w:val="both"/>
        <w:ind w:firstLine="216"/>
        <w:spacing w:after="0" w:line="251" w:lineRule="auto"/>
        <w:rPr>
          <w:sz w:val="20"/>
          <w:szCs w:val="20"/>
          <w:color w:val="auto"/>
        </w:rPr>
      </w:pPr>
      <w:r>
        <w:rPr>
          <w:rFonts w:ascii="Arial" w:cs="Arial" w:eastAsia="Arial" w:hAnsi="Arial"/>
          <w:sz w:val="18"/>
          <w:szCs w:val="18"/>
          <w:color w:val="auto"/>
        </w:rPr>
        <w:t>Pursuant to rulings of the Bankruptcy Court, the Plan established the Disputed Claims Reserve to hold shares of AAG common stock reserved for issuance to disputed claimholders at the Effective Date that ultimately become holders of allowed claims. The shares of AAG common stock issued to the Disputed Claims Reserve were originally issued on December 13, 2013 and have at all times since been included in the number of shares issued and outstanding as reported from time to time in our quarterly and annual reports, including for purposes of calculating earnings per common share. As disputed claims are resolved, the claimants receive distributions of shares from the Disputed Claims Reserve. However, we are not required to distribute additional shares above the limits contemplated by the Plan, even if the shares remaining for distribution in the Disputed Claims Reserve are not sufficient to fully pay any additional allowed unsecured claims. To the extent that any of the reserved shares remain undistributed upon resolution of all remaining disputed claims, such shares will not be returned to us but rather will be distributed to former AMR stockholders and former convertible noteholders treated as stockholders</w:t>
      </w:r>
    </w:p>
    <w:p>
      <w:pPr>
        <w:spacing w:after="0" w:line="21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109</w:t>
      </w:r>
    </w:p>
    <w:p>
      <w:pPr>
        <w:sectPr>
          <w:pgSz w:w="11900" w:h="16838" w:orient="portrait"/>
          <w:cols w:equalWidth="0" w:num="1">
            <w:col w:w="11420"/>
          </w:cols>
          <w:pgMar w:left="240" w:top="549" w:right="239" w:bottom="1440" w:gutter="0" w:footer="0" w:header="0"/>
        </w:sectPr>
      </w:pPr>
    </w:p>
    <w:bookmarkStart w:id="109" w:name="page110"/>
    <w:bookmarkEnd w:id="109"/>
    <w:p>
      <w:pPr>
        <w:jc w:val="center"/>
        <w:spacing w:after="0"/>
        <w:rPr>
          <w:sz w:val="20"/>
          <w:szCs w:val="20"/>
          <w:color w:val="auto"/>
        </w:rPr>
      </w:pPr>
      <w:r>
        <w:rPr>
          <w:rFonts w:ascii="Arial" w:cs="Arial" w:eastAsia="Arial" w:hAnsi="Arial"/>
          <w:sz w:val="18"/>
          <w:szCs w:val="18"/>
          <w:b w:val="1"/>
          <w:bCs w:val="1"/>
          <w:color w:val="auto"/>
        </w:rPr>
        <w:t>NOTES TO CONSOLIDATED FINANCIAL STATEMENTS OF AMERICAN AIRLINES GROUP INC.</w:t>
      </w:r>
    </w:p>
    <w:p>
      <w:pPr>
        <w:spacing w:after="0" w:line="200" w:lineRule="exact"/>
        <w:rPr>
          <w:sz w:val="20"/>
          <w:szCs w:val="20"/>
          <w:color w:val="auto"/>
        </w:rPr>
      </w:pPr>
    </w:p>
    <w:p>
      <w:pPr>
        <w:spacing w:after="0" w:line="209" w:lineRule="exact"/>
        <w:rPr>
          <w:sz w:val="20"/>
          <w:szCs w:val="20"/>
          <w:color w:val="auto"/>
        </w:rPr>
      </w:pPr>
    </w:p>
    <w:p>
      <w:pPr>
        <w:spacing w:after="0"/>
        <w:rPr>
          <w:sz w:val="20"/>
          <w:szCs w:val="20"/>
          <w:color w:val="auto"/>
        </w:rPr>
      </w:pPr>
      <w:r>
        <w:rPr>
          <w:rFonts w:ascii="Arial" w:cs="Arial" w:eastAsia="Arial" w:hAnsi="Arial"/>
          <w:sz w:val="18"/>
          <w:szCs w:val="18"/>
          <w:color w:val="auto"/>
        </w:rPr>
        <w:t>under the Plan. As of December 31, 2019, the Disputed Claims Reserve held approximately 7 million shares of AAG common stock.</w:t>
      </w:r>
    </w:p>
    <w:p>
      <w:pPr>
        <w:spacing w:after="0" w:line="153" w:lineRule="exact"/>
        <w:rPr>
          <w:sz w:val="20"/>
          <w:szCs w:val="20"/>
          <w:color w:val="auto"/>
        </w:rPr>
      </w:pPr>
    </w:p>
    <w:p>
      <w:pPr>
        <w:jc w:val="both"/>
        <w:ind w:firstLine="216"/>
        <w:spacing w:after="0" w:line="255" w:lineRule="auto"/>
        <w:rPr>
          <w:sz w:val="20"/>
          <w:szCs w:val="20"/>
          <w:color w:val="auto"/>
        </w:rPr>
      </w:pPr>
      <w:r>
        <w:rPr>
          <w:rFonts w:ascii="Arial" w:cs="Arial" w:eastAsia="Arial" w:hAnsi="Arial"/>
          <w:sz w:val="18"/>
          <w:szCs w:val="18"/>
          <w:i w:val="1"/>
          <w:iCs w:val="1"/>
          <w:color w:val="auto"/>
        </w:rPr>
        <w:t xml:space="preserve">Private Party Antitrust Action Related to Passenger Capacity. </w:t>
      </w:r>
      <w:r>
        <w:rPr>
          <w:rFonts w:ascii="Arial" w:cs="Arial" w:eastAsia="Arial" w:hAnsi="Arial"/>
          <w:sz w:val="18"/>
          <w:szCs w:val="18"/>
          <w:color w:val="auto"/>
        </w:rPr>
        <w:t>We, along with Delta Air Lines, Inc., Southwest Airlines Co., United Airlines,</w:t>
      </w:r>
      <w:r>
        <w:rPr>
          <w:rFonts w:ascii="Arial" w:cs="Arial" w:eastAsia="Arial" w:hAnsi="Arial"/>
          <w:sz w:val="18"/>
          <w:szCs w:val="18"/>
          <w:i w:val="1"/>
          <w:iCs w:val="1"/>
          <w:color w:val="auto"/>
        </w:rPr>
        <w:t xml:space="preserve"> </w:t>
      </w:r>
      <w:r>
        <w:rPr>
          <w:rFonts w:ascii="Arial" w:cs="Arial" w:eastAsia="Arial" w:hAnsi="Arial"/>
          <w:sz w:val="18"/>
          <w:szCs w:val="18"/>
          <w:color w:val="auto"/>
        </w:rPr>
        <w:t>Inc. and, in the case of litigation filed in Canada, Air Canada, were named as defendants in approximately 100 putative class action lawsuits alleging unlawful agreements with respect to air passenger capacity. The U.S. lawsuits were consolidated in the Federal District Court for the District of Columbia (the DC Court). On June 15, 2018, we reached a settlement agreement with the plaintiffs in the amount of $45 million to resolve all class claims in the U.S. lawsuits. That settlement was approved by the DC Court on May 13, 2019. Three parties who objected to the settlement have appealed that decision to the United States Court of Appeals for the District of Columbia. We believe these appeals are without merit and intend to vigorously defend against them.</w:t>
      </w:r>
    </w:p>
    <w:p>
      <w:pPr>
        <w:spacing w:after="0" w:line="135" w:lineRule="exact"/>
        <w:rPr>
          <w:sz w:val="20"/>
          <w:szCs w:val="20"/>
          <w:color w:val="auto"/>
        </w:rPr>
      </w:pPr>
    </w:p>
    <w:p>
      <w:pPr>
        <w:jc w:val="both"/>
        <w:ind w:firstLine="216"/>
        <w:spacing w:after="0" w:line="255" w:lineRule="auto"/>
        <w:rPr>
          <w:sz w:val="20"/>
          <w:szCs w:val="20"/>
          <w:color w:val="auto"/>
        </w:rPr>
      </w:pPr>
      <w:r>
        <w:rPr>
          <w:rFonts w:ascii="Arial" w:cs="Arial" w:eastAsia="Arial" w:hAnsi="Arial"/>
          <w:sz w:val="18"/>
          <w:szCs w:val="18"/>
          <w:i w:val="1"/>
          <w:iCs w:val="1"/>
          <w:color w:val="auto"/>
        </w:rPr>
        <w:t>Private Party Antitrust Action Related to the Merger</w:t>
      </w:r>
      <w:r>
        <w:rPr>
          <w:rFonts w:ascii="Arial" w:cs="Arial" w:eastAsia="Arial" w:hAnsi="Arial"/>
          <w:sz w:val="18"/>
          <w:szCs w:val="18"/>
          <w:color w:val="auto"/>
        </w:rPr>
        <w:t>. On August 6, 2013, a lawsuit captioned Carolyn Fjord, et al., v. AMR Corporation, et al.,</w:t>
      </w:r>
      <w:r>
        <w:rPr>
          <w:rFonts w:ascii="Arial" w:cs="Arial" w:eastAsia="Arial" w:hAnsi="Arial"/>
          <w:sz w:val="18"/>
          <w:szCs w:val="18"/>
          <w:i w:val="1"/>
          <w:iCs w:val="1"/>
          <w:color w:val="auto"/>
        </w:rPr>
        <w:t xml:space="preserve"> </w:t>
      </w:r>
      <w:r>
        <w:rPr>
          <w:rFonts w:ascii="Arial" w:cs="Arial" w:eastAsia="Arial" w:hAnsi="Arial"/>
          <w:sz w:val="18"/>
          <w:szCs w:val="18"/>
          <w:color w:val="auto"/>
        </w:rPr>
        <w:t>was filed in the Bankruptcy Court. The complaint named as defendants US Airways Group, US Airways, AMR and American, alleged that the effect of the Merger may be to create a monopoly in violation of Section 7 of the Clayton Antitrust Act, and sought injunctive relief and/or divestiture. On November 27, 2013, the Bankruptcy Court denied plaintiffs’ motion to preliminarily enjoin the Merger. On August 29, 2018, the Bankruptcy Court denied in part defendants' motion for summary judgment, and fully denied plaintiffs' cross-motion for summary judgment. The parties' evidentiary cases were presented before the Bankruptcy Court in a bench trial in March 2019. The parties submitted proposed findings of fact and conclusions of law and made closing arguments in April 2019, and we are awaiting the Bankruptcy Court's decision. We believe this lawsuit is without merit and intend to vigorously defend against the allegations.</w:t>
      </w:r>
    </w:p>
    <w:p>
      <w:pPr>
        <w:spacing w:after="0" w:line="131" w:lineRule="exact"/>
        <w:rPr>
          <w:sz w:val="20"/>
          <w:szCs w:val="20"/>
          <w:color w:val="auto"/>
        </w:rPr>
      </w:pPr>
    </w:p>
    <w:p>
      <w:pPr>
        <w:jc w:val="both"/>
        <w:ind w:firstLine="162"/>
        <w:spacing w:after="0" w:line="254" w:lineRule="auto"/>
        <w:rPr>
          <w:sz w:val="20"/>
          <w:szCs w:val="20"/>
          <w:color w:val="auto"/>
        </w:rPr>
      </w:pPr>
      <w:r>
        <w:rPr>
          <w:rFonts w:ascii="Arial" w:cs="Arial" w:eastAsia="Arial" w:hAnsi="Arial"/>
          <w:sz w:val="18"/>
          <w:szCs w:val="18"/>
          <w:i w:val="1"/>
          <w:iCs w:val="1"/>
          <w:color w:val="auto"/>
        </w:rPr>
        <w:t xml:space="preserve">Pension Benefits Action. </w:t>
      </w:r>
      <w:r>
        <w:rPr>
          <w:rFonts w:ascii="Arial" w:cs="Arial" w:eastAsia="Arial" w:hAnsi="Arial"/>
          <w:sz w:val="18"/>
          <w:szCs w:val="18"/>
          <w:color w:val="auto"/>
        </w:rPr>
        <w:t>On December 11, 2018, a lawsuit captioned Torres, et al. v. American Airlines, Inc., The Employee Benefits</w:t>
      </w:r>
      <w:r>
        <w:rPr>
          <w:rFonts w:ascii="Arial" w:cs="Arial" w:eastAsia="Arial" w:hAnsi="Arial"/>
          <w:sz w:val="18"/>
          <w:szCs w:val="18"/>
          <w:i w:val="1"/>
          <w:iCs w:val="1"/>
          <w:color w:val="auto"/>
        </w:rPr>
        <w:t xml:space="preserve"> </w:t>
      </w:r>
      <w:r>
        <w:rPr>
          <w:rFonts w:ascii="Arial" w:cs="Arial" w:eastAsia="Arial" w:hAnsi="Arial"/>
          <w:sz w:val="18"/>
          <w:szCs w:val="18"/>
          <w:color w:val="auto"/>
        </w:rPr>
        <w:t>Committee and John/Jane Does 1-5, was filed in the United States District Court for the Northern District of Texas. The plaintiffs in this lawsuit purport to represent a class consisting of all participants in and beneficiaries under any of the four American defined benefit pension plans who elected to receive an optional form of benefit other than a lump sum distribution of a participant’s vested benefit. Under ERISA, participants covered by defined benefit plans accrue retirement benefits in the form of a single life annuity payable upon retirement on a monthly basis until the employee’s death, and may elect certain alternative forms of benefit payments. Plaintiffs contend that the mortality tables used by American for purposes of calculations related to these alternative forms of benefits are outdated and that more recent mortality tables would have provided more generous benefits and should have been used to make those calculations. The court has denied our motion to dismiss the complaint. We believe this lawsuit is without merit and intend to vigorously defend against the allegations.</w:t>
      </w:r>
    </w:p>
    <w:p>
      <w:pPr>
        <w:spacing w:after="0" w:line="135" w:lineRule="exact"/>
        <w:rPr>
          <w:sz w:val="20"/>
          <w:szCs w:val="20"/>
          <w:color w:val="auto"/>
        </w:rPr>
      </w:pPr>
    </w:p>
    <w:p>
      <w:pPr>
        <w:jc w:val="both"/>
        <w:ind w:firstLine="216"/>
        <w:spacing w:after="0" w:line="258" w:lineRule="auto"/>
        <w:rPr>
          <w:sz w:val="20"/>
          <w:szCs w:val="20"/>
          <w:color w:val="auto"/>
        </w:rPr>
      </w:pPr>
      <w:r>
        <w:rPr>
          <w:rFonts w:ascii="Arial" w:cs="Arial" w:eastAsia="Arial" w:hAnsi="Arial"/>
          <w:sz w:val="18"/>
          <w:szCs w:val="18"/>
          <w:i w:val="1"/>
          <w:iCs w:val="1"/>
          <w:color w:val="auto"/>
        </w:rPr>
        <w:t>General</w:t>
      </w:r>
      <w:r>
        <w:rPr>
          <w:rFonts w:ascii="Arial" w:cs="Arial" w:eastAsia="Arial" w:hAnsi="Arial"/>
          <w:sz w:val="18"/>
          <w:szCs w:val="18"/>
          <w:color w:val="auto"/>
        </w:rPr>
        <w:t>. In addition to the specifically identified legal proceedings, we and our subsidiaries are also engaged in other legal proceedings from</w:t>
      </w:r>
      <w:r>
        <w:rPr>
          <w:rFonts w:ascii="Arial" w:cs="Arial" w:eastAsia="Arial" w:hAnsi="Arial"/>
          <w:sz w:val="18"/>
          <w:szCs w:val="18"/>
          <w:i w:val="1"/>
          <w:iCs w:val="1"/>
          <w:color w:val="auto"/>
        </w:rPr>
        <w:t xml:space="preserve"> </w:t>
      </w:r>
      <w:r>
        <w:rPr>
          <w:rFonts w:ascii="Arial" w:cs="Arial" w:eastAsia="Arial" w:hAnsi="Arial"/>
          <w:sz w:val="18"/>
          <w:szCs w:val="18"/>
          <w:color w:val="auto"/>
        </w:rPr>
        <w:t>time to time. Legal proceedings can be complex and take many months, or even years, to reach resolution, with the final outcome depending on a number of variables, some of which are not within our control. Therefore, although we will vigorously defend ourselves in each of the actions described above and such other legal proceedings, their ultimate resolution and potential financial and other impacts on us are uncertain but could be material.</w:t>
      </w:r>
    </w:p>
    <w:p>
      <w:pPr>
        <w:spacing w:after="0" w:line="207" w:lineRule="exact"/>
        <w:rPr>
          <w:sz w:val="20"/>
          <w:szCs w:val="20"/>
          <w:color w:val="auto"/>
        </w:rPr>
      </w:pPr>
    </w:p>
    <w:p>
      <w:pPr>
        <w:ind w:left="220"/>
        <w:spacing w:after="0"/>
        <w:rPr>
          <w:sz w:val="20"/>
          <w:szCs w:val="20"/>
          <w:color w:val="auto"/>
        </w:rPr>
      </w:pPr>
      <w:r>
        <w:rPr>
          <w:rFonts w:ascii="Arial" w:cs="Arial" w:eastAsia="Arial" w:hAnsi="Arial"/>
          <w:sz w:val="18"/>
          <w:szCs w:val="18"/>
          <w:b w:val="1"/>
          <w:bCs w:val="1"/>
          <w:i w:val="1"/>
          <w:iCs w:val="1"/>
          <w:color w:val="auto"/>
        </w:rPr>
        <w:t>(f) Guarantees and Indemnifications</w:t>
      </w:r>
    </w:p>
    <w:p>
      <w:pPr>
        <w:spacing w:after="0" w:line="112" w:lineRule="exact"/>
        <w:rPr>
          <w:sz w:val="20"/>
          <w:szCs w:val="20"/>
          <w:color w:val="auto"/>
        </w:rPr>
      </w:pPr>
    </w:p>
    <w:p>
      <w:pPr>
        <w:jc w:val="both"/>
        <w:ind w:firstLine="216"/>
        <w:spacing w:after="0" w:line="256" w:lineRule="auto"/>
        <w:rPr>
          <w:sz w:val="20"/>
          <w:szCs w:val="20"/>
          <w:color w:val="auto"/>
        </w:rPr>
      </w:pPr>
      <w:r>
        <w:rPr>
          <w:rFonts w:ascii="Arial" w:cs="Arial" w:eastAsia="Arial" w:hAnsi="Arial"/>
          <w:sz w:val="18"/>
          <w:szCs w:val="18"/>
          <w:color w:val="auto"/>
        </w:rPr>
        <w:t>We are party to many routine contracts in which we provide general indemnities in the normal course of business to third parties for various risks. We are not able to estimate the potential amount of any liability resulting from the indemnities. These indemnities are discussed in the following paragraphs.</w:t>
      </w:r>
    </w:p>
    <w:p>
      <w:pPr>
        <w:spacing w:after="0" w:line="148" w:lineRule="exact"/>
        <w:rPr>
          <w:sz w:val="20"/>
          <w:szCs w:val="20"/>
          <w:color w:val="auto"/>
        </w:rPr>
      </w:pPr>
    </w:p>
    <w:p>
      <w:pPr>
        <w:jc w:val="both"/>
        <w:ind w:firstLine="216"/>
        <w:spacing w:after="0" w:line="256" w:lineRule="auto"/>
        <w:rPr>
          <w:sz w:val="20"/>
          <w:szCs w:val="20"/>
          <w:color w:val="auto"/>
        </w:rPr>
      </w:pPr>
      <w:r>
        <w:rPr>
          <w:rFonts w:ascii="Arial" w:cs="Arial" w:eastAsia="Arial" w:hAnsi="Arial"/>
          <w:sz w:val="18"/>
          <w:szCs w:val="18"/>
          <w:color w:val="auto"/>
        </w:rPr>
        <w:t>In our aircraft financing agreements, we generally indemnify the financing parties, trustees acting on their behalf and other relevant parties against liabilities (including certain taxes) resulting from the financing, manufacture, design, ownership, operation and maintenance of the aircraft regardless of whether these liabilities (including certain taxes) relate to the negligence of the indemnified parties.</w:t>
      </w:r>
    </w:p>
    <w:p>
      <w:pPr>
        <w:spacing w:after="0" w:line="148" w:lineRule="exact"/>
        <w:rPr>
          <w:sz w:val="20"/>
          <w:szCs w:val="20"/>
          <w:color w:val="auto"/>
        </w:rPr>
      </w:pPr>
    </w:p>
    <w:p>
      <w:pPr>
        <w:jc w:val="both"/>
        <w:ind w:firstLine="216"/>
        <w:spacing w:after="0" w:line="252" w:lineRule="auto"/>
        <w:rPr>
          <w:sz w:val="20"/>
          <w:szCs w:val="20"/>
          <w:color w:val="auto"/>
        </w:rPr>
      </w:pPr>
      <w:r>
        <w:rPr>
          <w:rFonts w:ascii="Arial" w:cs="Arial" w:eastAsia="Arial" w:hAnsi="Arial"/>
          <w:sz w:val="18"/>
          <w:szCs w:val="18"/>
          <w:color w:val="auto"/>
        </w:rPr>
        <w:t>Our loan agreements and other LIBOR-based financing transactions (including certain leveraged aircraft leases) generally obligate us to reimburse the applicable lender for incremental costs due to a change in law that imposes (i) any reserve or special deposit requirement against assets of, deposits with or credit extended by such lender related to the loan, (ii) any tax, duty or other charge with respect to the loan (except standard income tax) or (iii) capital adequacy requirements. In addition, our loan agreements and other financing arrangements typically contain a withholding tax provision that requires us to pay additional amounts to the applicable lender or other financing party, generally if withholding taxes are imposed on such lender or other financing party as a result of a change in the applicable tax law.</w:t>
      </w:r>
    </w:p>
    <w:p>
      <w:pPr>
        <w:spacing w:after="0" w:line="20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110</w:t>
      </w:r>
    </w:p>
    <w:p>
      <w:pPr>
        <w:sectPr>
          <w:pgSz w:w="11900" w:h="16838" w:orient="portrait"/>
          <w:cols w:equalWidth="0" w:num="1">
            <w:col w:w="11420"/>
          </w:cols>
          <w:pgMar w:left="240" w:top="549" w:right="239" w:bottom="1440" w:gutter="0" w:footer="0" w:header="0"/>
        </w:sectPr>
      </w:pPr>
    </w:p>
    <w:bookmarkStart w:id="110" w:name="page111"/>
    <w:bookmarkEnd w:id="110"/>
    <w:p>
      <w:pPr>
        <w:jc w:val="center"/>
        <w:spacing w:after="0"/>
        <w:rPr>
          <w:sz w:val="20"/>
          <w:szCs w:val="20"/>
          <w:color w:val="auto"/>
        </w:rPr>
      </w:pPr>
      <w:r>
        <w:rPr>
          <w:rFonts w:ascii="Arial" w:cs="Arial" w:eastAsia="Arial" w:hAnsi="Arial"/>
          <w:sz w:val="18"/>
          <w:szCs w:val="18"/>
          <w:b w:val="1"/>
          <w:bCs w:val="1"/>
          <w:color w:val="auto"/>
        </w:rPr>
        <w:t>NOTES TO CONSOLIDATED FINANCIAL STATEMENTS OF AMERICAN AIRLINES GROUP INC.</w:t>
      </w:r>
    </w:p>
    <w:p>
      <w:pPr>
        <w:spacing w:after="0" w:line="200" w:lineRule="exact"/>
        <w:rPr>
          <w:sz w:val="20"/>
          <w:szCs w:val="20"/>
          <w:color w:val="auto"/>
        </w:rPr>
      </w:pPr>
    </w:p>
    <w:p>
      <w:pPr>
        <w:spacing w:after="0" w:line="209" w:lineRule="exact"/>
        <w:rPr>
          <w:sz w:val="20"/>
          <w:szCs w:val="20"/>
          <w:color w:val="auto"/>
        </w:rPr>
      </w:pPr>
    </w:p>
    <w:p>
      <w:pPr>
        <w:jc w:val="both"/>
        <w:ind w:firstLine="216"/>
        <w:spacing w:after="0" w:line="256" w:lineRule="auto"/>
        <w:rPr>
          <w:sz w:val="20"/>
          <w:szCs w:val="20"/>
          <w:color w:val="auto"/>
        </w:rPr>
      </w:pPr>
      <w:r>
        <w:rPr>
          <w:rFonts w:ascii="Arial" w:cs="Arial" w:eastAsia="Arial" w:hAnsi="Arial"/>
          <w:sz w:val="18"/>
          <w:szCs w:val="18"/>
          <w:color w:val="auto"/>
        </w:rPr>
        <w:t>In certain transactions, including certain aircraft financing leases and loans, the lessors, lenders and/or other parties have rights to terminate the transaction based on changes in foreign tax law, illegality or certain other events or circumstances. In such a case, we may be required to make a lump sum payment to terminate the relevant transaction.</w:t>
      </w:r>
    </w:p>
    <w:p>
      <w:pPr>
        <w:spacing w:after="0" w:line="148" w:lineRule="exact"/>
        <w:rPr>
          <w:sz w:val="20"/>
          <w:szCs w:val="20"/>
          <w:color w:val="auto"/>
        </w:rPr>
      </w:pPr>
    </w:p>
    <w:p>
      <w:pPr>
        <w:jc w:val="both"/>
        <w:ind w:firstLine="216"/>
        <w:spacing w:after="0" w:line="254" w:lineRule="auto"/>
        <w:rPr>
          <w:sz w:val="20"/>
          <w:szCs w:val="20"/>
          <w:color w:val="auto"/>
        </w:rPr>
      </w:pPr>
      <w:r>
        <w:rPr>
          <w:rFonts w:ascii="Arial" w:cs="Arial" w:eastAsia="Arial" w:hAnsi="Arial"/>
          <w:sz w:val="18"/>
          <w:szCs w:val="18"/>
          <w:color w:val="auto"/>
        </w:rPr>
        <w:t>We have general indemnity clauses in many of our airport and other real estate leases where we as lessee indemnify the lessor (and related parties) against liabilities related to our use of the leased property. Generally, these indemnifications cover liabilities resulting from the negligence of the indemnified parties, but not liabilities resulting from the gross negligence or willful misconduct of the indemnified parties. In addition, we provide environmental indemnities in many of these leases for contamination related to our use of the leased property.</w:t>
      </w:r>
    </w:p>
    <w:p>
      <w:pPr>
        <w:spacing w:after="0" w:line="150" w:lineRule="exact"/>
        <w:rPr>
          <w:sz w:val="20"/>
          <w:szCs w:val="20"/>
          <w:color w:val="auto"/>
        </w:rPr>
      </w:pPr>
    </w:p>
    <w:p>
      <w:pPr>
        <w:jc w:val="both"/>
        <w:ind w:firstLine="216"/>
        <w:spacing w:after="0" w:line="256" w:lineRule="auto"/>
        <w:rPr>
          <w:sz w:val="20"/>
          <w:szCs w:val="20"/>
          <w:color w:val="auto"/>
        </w:rPr>
      </w:pPr>
      <w:r>
        <w:rPr>
          <w:rFonts w:ascii="Arial" w:cs="Arial" w:eastAsia="Arial" w:hAnsi="Arial"/>
          <w:sz w:val="18"/>
          <w:szCs w:val="18"/>
          <w:color w:val="auto"/>
        </w:rPr>
        <w:t>Under certain contracts with third parties, we indemnify the third-party against legal liability arising out of an action by the third-party, or certain other parties. The terms of these contracts vary and the potential exposure under these indemnities cannot be determined. We have liability insurance protecting us for some of the obligations we have undertaken under these indemnities.</w:t>
      </w:r>
    </w:p>
    <w:p>
      <w:pPr>
        <w:spacing w:after="0" w:line="148" w:lineRule="exact"/>
        <w:rPr>
          <w:sz w:val="20"/>
          <w:szCs w:val="20"/>
          <w:color w:val="auto"/>
        </w:rPr>
      </w:pPr>
    </w:p>
    <w:p>
      <w:pPr>
        <w:jc w:val="both"/>
        <w:ind w:firstLine="216"/>
        <w:spacing w:after="0" w:line="253" w:lineRule="auto"/>
        <w:rPr>
          <w:sz w:val="20"/>
          <w:szCs w:val="20"/>
          <w:color w:val="auto"/>
        </w:rPr>
      </w:pPr>
      <w:r>
        <w:rPr>
          <w:rFonts w:ascii="Arial" w:cs="Arial" w:eastAsia="Arial" w:hAnsi="Arial"/>
          <w:sz w:val="18"/>
          <w:szCs w:val="18"/>
          <w:color w:val="auto"/>
        </w:rPr>
        <w:t>American is required to make principal and interest payments for certain special facility revenue bonds issued by municipalities primarily to build or improve airport facilities and purchase equipment, which are leased to American. The payment of principal and interest of certain special facility revenue bonds is guaranteed by AAG. As of December 31, 2019, the remaining lease payments through 2035 guaranteeing the principal and interest on these bonds are $589 million and the current carrying amount of the associated operating lease liability in the accompanying consolidated balance sheet is $321 million.</w:t>
      </w:r>
    </w:p>
    <w:p>
      <w:pPr>
        <w:spacing w:after="0" w:line="152" w:lineRule="exact"/>
        <w:rPr>
          <w:sz w:val="20"/>
          <w:szCs w:val="20"/>
          <w:color w:val="auto"/>
        </w:rPr>
      </w:pPr>
    </w:p>
    <w:p>
      <w:pPr>
        <w:jc w:val="both"/>
        <w:ind w:firstLine="216"/>
        <w:spacing w:after="0" w:line="256" w:lineRule="auto"/>
        <w:rPr>
          <w:sz w:val="20"/>
          <w:szCs w:val="20"/>
          <w:color w:val="auto"/>
        </w:rPr>
      </w:pPr>
      <w:r>
        <w:rPr>
          <w:rFonts w:ascii="Arial" w:cs="Arial" w:eastAsia="Arial" w:hAnsi="Arial"/>
          <w:sz w:val="18"/>
          <w:szCs w:val="18"/>
          <w:color w:val="auto"/>
        </w:rPr>
        <w:t>As of December 31, 2019, AAG had issued guarantees covering approximately $725 million of American’s special facility revenue bonds (and interest thereon) and $8.1 billion of American’s secured debt (and interest thereon), including the Credit Facilities and certain EETC financings.</w:t>
      </w:r>
    </w:p>
    <w:p>
      <w:pPr>
        <w:spacing w:after="0" w:line="207" w:lineRule="exact"/>
        <w:rPr>
          <w:sz w:val="20"/>
          <w:szCs w:val="20"/>
          <w:color w:val="auto"/>
        </w:rPr>
      </w:pPr>
    </w:p>
    <w:p>
      <w:pPr>
        <w:ind w:left="220"/>
        <w:spacing w:after="0"/>
        <w:rPr>
          <w:sz w:val="20"/>
          <w:szCs w:val="20"/>
          <w:color w:val="auto"/>
        </w:rPr>
      </w:pPr>
      <w:r>
        <w:rPr>
          <w:rFonts w:ascii="Arial" w:cs="Arial" w:eastAsia="Arial" w:hAnsi="Arial"/>
          <w:sz w:val="18"/>
          <w:szCs w:val="18"/>
          <w:b w:val="1"/>
          <w:bCs w:val="1"/>
          <w:i w:val="1"/>
          <w:iCs w:val="1"/>
          <w:color w:val="auto"/>
        </w:rPr>
        <w:t>(g) Credit Card Processing Agreements</w:t>
      </w:r>
    </w:p>
    <w:p>
      <w:pPr>
        <w:spacing w:after="0" w:line="112" w:lineRule="exact"/>
        <w:rPr>
          <w:sz w:val="20"/>
          <w:szCs w:val="20"/>
          <w:color w:val="auto"/>
        </w:rPr>
      </w:pPr>
    </w:p>
    <w:p>
      <w:pPr>
        <w:jc w:val="both"/>
        <w:ind w:firstLine="216"/>
        <w:spacing w:after="0" w:line="252" w:lineRule="auto"/>
        <w:rPr>
          <w:sz w:val="20"/>
          <w:szCs w:val="20"/>
          <w:color w:val="auto"/>
        </w:rPr>
      </w:pPr>
      <w:r>
        <w:rPr>
          <w:rFonts w:ascii="Arial" w:cs="Arial" w:eastAsia="Arial" w:hAnsi="Arial"/>
          <w:sz w:val="18"/>
          <w:szCs w:val="18"/>
          <w:color w:val="auto"/>
        </w:rPr>
        <w:t>We have agreements with companies that process customer credit card transactions for the sale of air travel and other services. Our agreements allow these credit card processing companies, under certain conditions, to hold an amount of our cash (referred to as a holdback) equal to a portion of advance ticket sales that have been processed by that company, but for which we have not yet provided the air transportation. Additional holdback requirements in the event of material adverse changes in our financial condition will reduce our liquidity in the form of unrestricted cash by the amount of the holdbacks. These credit card processing companies are not currently entitled to maintain any holdbacks pursuant to these requirements.</w:t>
      </w:r>
    </w:p>
    <w:p>
      <w:pPr>
        <w:spacing w:after="0" w:line="214" w:lineRule="exact"/>
        <w:rPr>
          <w:sz w:val="20"/>
          <w:szCs w:val="20"/>
          <w:color w:val="auto"/>
        </w:rPr>
      </w:pPr>
    </w:p>
    <w:p>
      <w:pPr>
        <w:ind w:left="220"/>
        <w:spacing w:after="0"/>
        <w:rPr>
          <w:sz w:val="20"/>
          <w:szCs w:val="20"/>
          <w:color w:val="auto"/>
        </w:rPr>
      </w:pPr>
      <w:r>
        <w:rPr>
          <w:rFonts w:ascii="Arial" w:cs="Arial" w:eastAsia="Arial" w:hAnsi="Arial"/>
          <w:sz w:val="18"/>
          <w:szCs w:val="18"/>
          <w:b w:val="1"/>
          <w:bCs w:val="1"/>
          <w:i w:val="1"/>
          <w:iCs w:val="1"/>
          <w:color w:val="auto"/>
        </w:rPr>
        <w:t>(h) Labor Negotiations</w:t>
      </w:r>
    </w:p>
    <w:p>
      <w:pPr>
        <w:spacing w:after="0" w:line="112" w:lineRule="exact"/>
        <w:rPr>
          <w:sz w:val="20"/>
          <w:szCs w:val="20"/>
          <w:color w:val="auto"/>
        </w:rPr>
      </w:pPr>
    </w:p>
    <w:p>
      <w:pPr>
        <w:jc w:val="both"/>
        <w:ind w:firstLine="216"/>
        <w:spacing w:after="0" w:line="252" w:lineRule="auto"/>
        <w:rPr>
          <w:sz w:val="20"/>
          <w:szCs w:val="20"/>
          <w:color w:val="auto"/>
        </w:rPr>
      </w:pPr>
      <w:r>
        <w:rPr>
          <w:rFonts w:ascii="Arial" w:cs="Arial" w:eastAsia="Arial" w:hAnsi="Arial"/>
          <w:sz w:val="18"/>
          <w:szCs w:val="18"/>
          <w:color w:val="auto"/>
        </w:rPr>
        <w:t>As of December 31, 2019, we employed approximately 133,700 active full-time equivalent employees, of which 29,500 were employed by our regional operations. Approximately 85% of employees are covered by collective bargaining agreements (CBAs) with various labor unions and approximately 22% of employees are covered by CBAs that will become amendable within one year. Agreements in principle were reached on January 30, 2020 for joint collective bargaining agreements (JCBAs) covering our mainline maintenance, fleet service, stock clerks, maintenance control technicians and maintenance training instructors. Those agreements are subject to membership ratification vote. Additionally, the post-Merger JCBAs covering our pilots and flight attendants became amendable in January 2020 and December 2019, respectively. Negotiations continue for new agreements for these workgroups as well as for CBAs covering certain employee groups at our wholly-owned regional subsidiaries.</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13. Supplemental Cash Flow Information</w:t>
      </w:r>
    </w:p>
    <w:p>
      <w:pPr>
        <w:spacing w:after="0" w:line="112" w:lineRule="exact"/>
        <w:rPr>
          <w:sz w:val="20"/>
          <w:szCs w:val="20"/>
          <w:color w:val="auto"/>
        </w:rPr>
      </w:pPr>
    </w:p>
    <w:p>
      <w:pPr>
        <w:ind w:left="220"/>
        <w:spacing w:after="0"/>
        <w:rPr>
          <w:sz w:val="20"/>
          <w:szCs w:val="20"/>
          <w:color w:val="auto"/>
        </w:rPr>
      </w:pPr>
      <w:r>
        <w:rPr>
          <w:rFonts w:ascii="Arial" w:cs="Arial" w:eastAsia="Arial" w:hAnsi="Arial"/>
          <w:sz w:val="18"/>
          <w:szCs w:val="18"/>
          <w:color w:val="auto"/>
        </w:rPr>
        <w:t>Supplemental disclosure of cash flow information and non-cash investing and financing activities are as follows (in millions):</w:t>
      </w:r>
    </w:p>
    <w:p>
      <w:pPr>
        <w:spacing w:after="0" w:line="321" w:lineRule="exact"/>
        <w:rPr>
          <w:sz w:val="20"/>
          <w:szCs w:val="20"/>
          <w:color w:val="auto"/>
        </w:rPr>
      </w:pPr>
    </w:p>
    <w:p>
      <w:pPr>
        <w:ind w:left="8040"/>
        <w:spacing w:after="0"/>
        <w:rPr>
          <w:sz w:val="20"/>
          <w:szCs w:val="20"/>
          <w:color w:val="auto"/>
        </w:rPr>
      </w:pPr>
      <w:r>
        <w:rPr>
          <w:rFonts w:ascii="Arial" w:cs="Arial" w:eastAsia="Arial" w:hAnsi="Arial"/>
          <w:sz w:val="14"/>
          <w:szCs w:val="14"/>
          <w:b w:val="1"/>
          <w:bCs w:val="1"/>
          <w:color w:val="auto"/>
        </w:rPr>
        <w:t>Year Ended December 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4053205</wp:posOffset>
            </wp:positionH>
            <wp:positionV relativeFrom="paragraph">
              <wp:posOffset>26035</wp:posOffset>
            </wp:positionV>
            <wp:extent cx="3198495" cy="8890"/>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3198495" cy="8890"/>
                    </a:xfrm>
                    <a:prstGeom prst="rect">
                      <a:avLst/>
                    </a:prstGeom>
                    <a:noFill/>
                  </pic:spPr>
                </pic:pic>
              </a:graphicData>
            </a:graphic>
          </wp:anchor>
        </w:drawing>
      </w:r>
    </w:p>
    <w:p>
      <w:pPr>
        <w:spacing w:after="0" w:line="103" w:lineRule="exact"/>
        <w:rPr>
          <w:sz w:val="20"/>
          <w:szCs w:val="20"/>
          <w:color w:val="auto"/>
        </w:rPr>
      </w:pPr>
    </w:p>
    <w:tbl>
      <w:tblPr>
        <w:tblLayout w:type="fixed"/>
        <w:tblInd w:w="0" w:type="dxa"/>
        <w:tblCellMar>
          <w:top w:w="0" w:type="dxa"/>
          <w:left w:w="0" w:type="dxa"/>
          <w:bottom w:w="0" w:type="dxa"/>
          <w:right w:w="0" w:type="dxa"/>
        </w:tblCellMar>
      </w:tblPr>
      <w:tr>
        <w:trPr>
          <w:trHeight w:val="196"/>
        </w:trPr>
        <w:tc>
          <w:tcPr>
            <w:tcW w:w="6380" w:type="dxa"/>
            <w:vAlign w:val="bottom"/>
            <w:tcBorders>
              <w:bottom w:val="single" w:sz="8" w:color="CCEEFF"/>
            </w:tcBorders>
          </w:tcPr>
          <w:p>
            <w:pPr>
              <w:spacing w:after="0"/>
              <w:rPr>
                <w:sz w:val="17"/>
                <w:szCs w:val="17"/>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2019</w:t>
            </w:r>
          </w:p>
        </w:tc>
        <w:tc>
          <w:tcPr>
            <w:tcW w:w="600" w:type="dxa"/>
            <w:vAlign w:val="bottom"/>
            <w:tcBorders>
              <w:bottom w:val="single" w:sz="8" w:color="auto"/>
            </w:tcBorders>
          </w:tcPr>
          <w:p>
            <w:pPr>
              <w:spacing w:after="0"/>
              <w:rPr>
                <w:sz w:val="17"/>
                <w:szCs w:val="17"/>
                <w:color w:val="auto"/>
              </w:rPr>
            </w:pPr>
          </w:p>
        </w:tc>
        <w:tc>
          <w:tcPr>
            <w:tcW w:w="120" w:type="dxa"/>
            <w:vAlign w:val="bottom"/>
            <w:tcBorders>
              <w:bottom w:val="single" w:sz="8" w:color="CCEEFF"/>
            </w:tcBorders>
          </w:tcPr>
          <w:p>
            <w:pPr>
              <w:spacing w:after="0"/>
              <w:rPr>
                <w:sz w:val="17"/>
                <w:szCs w:val="17"/>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2018</w:t>
            </w:r>
          </w:p>
        </w:tc>
        <w:tc>
          <w:tcPr>
            <w:tcW w:w="600" w:type="dxa"/>
            <w:vAlign w:val="bottom"/>
            <w:tcBorders>
              <w:bottom w:val="single" w:sz="8" w:color="auto"/>
            </w:tcBorders>
          </w:tcPr>
          <w:p>
            <w:pPr>
              <w:spacing w:after="0"/>
              <w:rPr>
                <w:sz w:val="17"/>
                <w:szCs w:val="17"/>
                <w:color w:val="auto"/>
              </w:rPr>
            </w:pPr>
          </w:p>
        </w:tc>
        <w:tc>
          <w:tcPr>
            <w:tcW w:w="120" w:type="dxa"/>
            <w:vAlign w:val="bottom"/>
            <w:tcBorders>
              <w:bottom w:val="single" w:sz="8" w:color="CCEEFF"/>
            </w:tcBorders>
          </w:tcPr>
          <w:p>
            <w:pPr>
              <w:spacing w:after="0"/>
              <w:rPr>
                <w:sz w:val="17"/>
                <w:szCs w:val="17"/>
                <w:color w:val="auto"/>
              </w:rPr>
            </w:pPr>
          </w:p>
        </w:tc>
        <w:tc>
          <w:tcPr>
            <w:tcW w:w="380" w:type="dxa"/>
            <w:vAlign w:val="bottom"/>
            <w:tcBorders>
              <w:bottom w:val="single" w:sz="8" w:color="auto"/>
            </w:tcBorders>
          </w:tcPr>
          <w:p>
            <w:pPr>
              <w:spacing w:after="0"/>
              <w:rPr>
                <w:sz w:val="17"/>
                <w:szCs w:val="17"/>
                <w:color w:val="auto"/>
              </w:rPr>
            </w:pPr>
          </w:p>
        </w:tc>
        <w:tc>
          <w:tcPr>
            <w:tcW w:w="1220" w:type="dxa"/>
            <w:vAlign w:val="bottom"/>
            <w:tcBorders>
              <w:bottom w:val="single" w:sz="8" w:color="auto"/>
            </w:tcBorders>
          </w:tcPr>
          <w:p>
            <w:pPr>
              <w:jc w:val="right"/>
              <w:ind w:right="554"/>
              <w:spacing w:after="0"/>
              <w:rPr>
                <w:sz w:val="20"/>
                <w:szCs w:val="20"/>
                <w:color w:val="auto"/>
              </w:rPr>
            </w:pPr>
            <w:r>
              <w:rPr>
                <w:rFonts w:ascii="Arial" w:cs="Arial" w:eastAsia="Arial" w:hAnsi="Arial"/>
                <w:sz w:val="14"/>
                <w:szCs w:val="14"/>
                <w:b w:val="1"/>
                <w:bCs w:val="1"/>
                <w:color w:val="auto"/>
              </w:rPr>
              <w:t>2017</w:t>
            </w:r>
          </w:p>
        </w:tc>
      </w:tr>
      <w:tr>
        <w:trPr>
          <w:trHeight w:val="270"/>
        </w:trPr>
        <w:tc>
          <w:tcPr>
            <w:tcW w:w="6380" w:type="dxa"/>
            <w:vAlign w:val="bottom"/>
            <w:shd w:val="clear" w:color="auto" w:fill="CCEEFF"/>
          </w:tcPr>
          <w:p>
            <w:pPr>
              <w:ind w:left="40"/>
              <w:spacing w:after="0"/>
              <w:rPr>
                <w:sz w:val="20"/>
                <w:szCs w:val="20"/>
                <w:color w:val="auto"/>
              </w:rPr>
            </w:pPr>
            <w:r>
              <w:rPr>
                <w:rFonts w:ascii="Arial" w:cs="Arial" w:eastAsia="Arial" w:hAnsi="Arial"/>
                <w:sz w:val="18"/>
                <w:szCs w:val="18"/>
                <w:color w:val="auto"/>
              </w:rPr>
              <w:t>Non-cash investing and financing activities:</w:t>
            </w:r>
          </w:p>
        </w:tc>
        <w:tc>
          <w:tcPr>
            <w:tcW w:w="1000" w:type="dxa"/>
            <w:vAlign w:val="bottom"/>
            <w:shd w:val="clear" w:color="auto" w:fill="CCEEFF"/>
          </w:tcPr>
          <w:p>
            <w:pPr>
              <w:spacing w:after="0"/>
              <w:rPr>
                <w:sz w:val="23"/>
                <w:szCs w:val="23"/>
                <w:color w:val="auto"/>
              </w:rPr>
            </w:pPr>
          </w:p>
        </w:tc>
        <w:tc>
          <w:tcPr>
            <w:tcW w:w="60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1000" w:type="dxa"/>
            <w:vAlign w:val="bottom"/>
            <w:shd w:val="clear" w:color="auto" w:fill="CCEEFF"/>
          </w:tcPr>
          <w:p>
            <w:pPr>
              <w:spacing w:after="0"/>
              <w:rPr>
                <w:sz w:val="23"/>
                <w:szCs w:val="23"/>
                <w:color w:val="auto"/>
              </w:rPr>
            </w:pPr>
          </w:p>
        </w:tc>
        <w:tc>
          <w:tcPr>
            <w:tcW w:w="60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380" w:type="dxa"/>
            <w:vAlign w:val="bottom"/>
            <w:shd w:val="clear" w:color="auto" w:fill="CCEEFF"/>
          </w:tcPr>
          <w:p>
            <w:pPr>
              <w:spacing w:after="0"/>
              <w:rPr>
                <w:sz w:val="23"/>
                <w:szCs w:val="23"/>
                <w:color w:val="auto"/>
              </w:rPr>
            </w:pPr>
          </w:p>
        </w:tc>
        <w:tc>
          <w:tcPr>
            <w:tcW w:w="1220" w:type="dxa"/>
            <w:vAlign w:val="bottom"/>
            <w:shd w:val="clear" w:color="auto" w:fill="CCEEFF"/>
          </w:tcPr>
          <w:p>
            <w:pPr>
              <w:spacing w:after="0"/>
              <w:rPr>
                <w:sz w:val="23"/>
                <w:szCs w:val="23"/>
                <w:color w:val="auto"/>
              </w:rPr>
            </w:pPr>
          </w:p>
        </w:tc>
      </w:tr>
      <w:tr>
        <w:trPr>
          <w:trHeight w:val="263"/>
        </w:trPr>
        <w:tc>
          <w:tcPr>
            <w:tcW w:w="6380" w:type="dxa"/>
            <w:vAlign w:val="bottom"/>
          </w:tcPr>
          <w:p>
            <w:pPr>
              <w:ind w:left="280"/>
              <w:spacing w:after="0"/>
              <w:rPr>
                <w:sz w:val="20"/>
                <w:szCs w:val="20"/>
                <w:color w:val="auto"/>
              </w:rPr>
            </w:pPr>
            <w:r>
              <w:rPr>
                <w:rFonts w:ascii="Arial" w:cs="Arial" w:eastAsia="Arial" w:hAnsi="Arial"/>
                <w:sz w:val="18"/>
                <w:szCs w:val="18"/>
                <w:color w:val="auto"/>
              </w:rPr>
              <w:t>Settlement of bankruptcy obligations</w:t>
            </w:r>
          </w:p>
        </w:tc>
        <w:tc>
          <w:tcPr>
            <w:tcW w:w="1000" w:type="dxa"/>
            <w:vAlign w:val="bottom"/>
          </w:tcPr>
          <w:p>
            <w:pPr>
              <w:jc w:val="right"/>
              <w:ind w:right="799"/>
              <w:spacing w:after="0"/>
              <w:rPr>
                <w:sz w:val="20"/>
                <w:szCs w:val="20"/>
                <w:color w:val="auto"/>
              </w:rPr>
            </w:pPr>
            <w:r>
              <w:rPr>
                <w:rFonts w:ascii="Arial" w:cs="Arial" w:eastAsia="Arial" w:hAnsi="Arial"/>
                <w:sz w:val="18"/>
                <w:szCs w:val="18"/>
                <w:color w:val="auto"/>
                <w:w w:val="99"/>
              </w:rPr>
              <w:t>$</w:t>
            </w:r>
          </w:p>
        </w:tc>
        <w:tc>
          <w:tcPr>
            <w:tcW w:w="600" w:type="dxa"/>
            <w:vAlign w:val="bottom"/>
          </w:tcPr>
          <w:p>
            <w:pPr>
              <w:jc w:val="right"/>
              <w:ind w:right="10"/>
              <w:spacing w:after="0"/>
              <w:rPr>
                <w:sz w:val="20"/>
                <w:szCs w:val="20"/>
                <w:color w:val="auto"/>
              </w:rPr>
            </w:pPr>
            <w:r>
              <w:rPr>
                <w:rFonts w:ascii="Arial" w:cs="Arial" w:eastAsia="Arial" w:hAnsi="Arial"/>
                <w:sz w:val="18"/>
                <w:szCs w:val="18"/>
                <w:color w:val="auto"/>
              </w:rPr>
              <w:t>7</w:t>
            </w:r>
          </w:p>
        </w:tc>
        <w:tc>
          <w:tcPr>
            <w:tcW w:w="120" w:type="dxa"/>
            <w:vAlign w:val="bottom"/>
          </w:tcPr>
          <w:p>
            <w:pPr>
              <w:spacing w:after="0"/>
              <w:rPr>
                <w:sz w:val="22"/>
                <w:szCs w:val="22"/>
                <w:color w:val="auto"/>
              </w:rPr>
            </w:pPr>
          </w:p>
        </w:tc>
        <w:tc>
          <w:tcPr>
            <w:tcW w:w="1000" w:type="dxa"/>
            <w:vAlign w:val="bottom"/>
          </w:tcPr>
          <w:p>
            <w:pPr>
              <w:jc w:val="right"/>
              <w:ind w:right="799"/>
              <w:spacing w:after="0"/>
              <w:rPr>
                <w:sz w:val="20"/>
                <w:szCs w:val="20"/>
                <w:color w:val="auto"/>
              </w:rPr>
            </w:pPr>
            <w:r>
              <w:rPr>
                <w:rFonts w:ascii="Arial" w:cs="Arial" w:eastAsia="Arial" w:hAnsi="Arial"/>
                <w:sz w:val="18"/>
                <w:szCs w:val="18"/>
                <w:color w:val="auto"/>
                <w:w w:val="99"/>
              </w:rPr>
              <w:t>$</w:t>
            </w:r>
          </w:p>
        </w:tc>
        <w:tc>
          <w:tcPr>
            <w:tcW w:w="1100" w:type="dxa"/>
            <w:vAlign w:val="bottom"/>
            <w:gridSpan w:val="3"/>
          </w:tcPr>
          <w:p>
            <w:pPr>
              <w:ind w:left="320"/>
              <w:spacing w:after="0"/>
              <w:rPr>
                <w:sz w:val="20"/>
                <w:szCs w:val="20"/>
                <w:color w:val="auto"/>
              </w:rPr>
            </w:pPr>
            <w:r>
              <w:rPr>
                <w:rFonts w:ascii="Arial" w:cs="Arial" w:eastAsia="Arial" w:hAnsi="Arial"/>
                <w:sz w:val="18"/>
                <w:szCs w:val="18"/>
                <w:color w:val="auto"/>
              </w:rPr>
              <w:t>—   $</w:t>
            </w:r>
          </w:p>
        </w:tc>
        <w:tc>
          <w:tcPr>
            <w:tcW w:w="1220" w:type="dxa"/>
            <w:vAlign w:val="bottom"/>
          </w:tcPr>
          <w:p>
            <w:pPr>
              <w:jc w:val="right"/>
              <w:ind w:right="14"/>
              <w:spacing w:after="0"/>
              <w:rPr>
                <w:sz w:val="20"/>
                <w:szCs w:val="20"/>
                <w:color w:val="auto"/>
              </w:rPr>
            </w:pPr>
            <w:r>
              <w:rPr>
                <w:rFonts w:ascii="Arial" w:cs="Arial" w:eastAsia="Arial" w:hAnsi="Arial"/>
                <w:sz w:val="18"/>
                <w:szCs w:val="18"/>
                <w:color w:val="auto"/>
              </w:rPr>
              <w:t>15</w:t>
            </w:r>
          </w:p>
        </w:tc>
      </w:tr>
      <w:tr>
        <w:trPr>
          <w:trHeight w:val="277"/>
        </w:trPr>
        <w:tc>
          <w:tcPr>
            <w:tcW w:w="6380" w:type="dxa"/>
            <w:vAlign w:val="bottom"/>
            <w:shd w:val="clear" w:color="auto" w:fill="CCEEFF"/>
          </w:tcPr>
          <w:p>
            <w:pPr>
              <w:ind w:left="280"/>
              <w:spacing w:after="0"/>
              <w:rPr>
                <w:sz w:val="20"/>
                <w:szCs w:val="20"/>
                <w:color w:val="auto"/>
              </w:rPr>
            </w:pPr>
            <w:r>
              <w:rPr>
                <w:rFonts w:ascii="Arial" w:cs="Arial" w:eastAsia="Arial" w:hAnsi="Arial"/>
                <w:sz w:val="18"/>
                <w:szCs w:val="18"/>
                <w:color w:val="auto"/>
              </w:rPr>
              <w:t>Equity Investment</w:t>
            </w:r>
          </w:p>
        </w:tc>
        <w:tc>
          <w:tcPr>
            <w:tcW w:w="1000" w:type="dxa"/>
            <w:vAlign w:val="bottom"/>
            <w:shd w:val="clear" w:color="auto" w:fill="CCEEFF"/>
          </w:tcPr>
          <w:p>
            <w:pPr>
              <w:spacing w:after="0"/>
              <w:rPr>
                <w:sz w:val="24"/>
                <w:szCs w:val="24"/>
                <w:color w:val="auto"/>
              </w:rPr>
            </w:pPr>
          </w:p>
        </w:tc>
        <w:tc>
          <w:tcPr>
            <w:tcW w:w="7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000" w:type="dxa"/>
            <w:vAlign w:val="bottom"/>
            <w:shd w:val="clear" w:color="auto" w:fill="CCEEFF"/>
          </w:tcPr>
          <w:p>
            <w:pPr>
              <w:spacing w:after="0"/>
              <w:rPr>
                <w:sz w:val="24"/>
                <w:szCs w:val="24"/>
                <w:color w:val="auto"/>
              </w:rPr>
            </w:pPr>
          </w:p>
        </w:tc>
        <w:tc>
          <w:tcPr>
            <w:tcW w:w="1100" w:type="dxa"/>
            <w:vAlign w:val="bottom"/>
            <w:gridSpan w:val="3"/>
            <w:shd w:val="clear" w:color="auto" w:fill="CCEEFF"/>
          </w:tcPr>
          <w:p>
            <w:pPr>
              <w:jc w:val="right"/>
              <w:ind w:right="600"/>
              <w:spacing w:after="0"/>
              <w:rPr>
                <w:sz w:val="20"/>
                <w:szCs w:val="20"/>
                <w:color w:val="auto"/>
              </w:rPr>
            </w:pPr>
            <w:r>
              <w:rPr>
                <w:rFonts w:ascii="Arial" w:cs="Arial" w:eastAsia="Arial" w:hAnsi="Arial"/>
                <w:sz w:val="18"/>
                <w:szCs w:val="18"/>
                <w:color w:val="auto"/>
              </w:rPr>
              <w:t>—</w:t>
            </w:r>
          </w:p>
        </w:tc>
        <w:tc>
          <w:tcPr>
            <w:tcW w:w="1220" w:type="dxa"/>
            <w:vAlign w:val="bottom"/>
            <w:shd w:val="clear" w:color="auto" w:fill="CCEEFF"/>
          </w:tcPr>
          <w:p>
            <w:pPr>
              <w:jc w:val="right"/>
              <w:ind w:right="14"/>
              <w:spacing w:after="0"/>
              <w:rPr>
                <w:sz w:val="20"/>
                <w:szCs w:val="20"/>
                <w:color w:val="auto"/>
              </w:rPr>
            </w:pPr>
            <w:r>
              <w:rPr>
                <w:rFonts w:ascii="Arial" w:cs="Arial" w:eastAsia="Arial" w:hAnsi="Arial"/>
                <w:sz w:val="18"/>
                <w:szCs w:val="18"/>
                <w:color w:val="auto"/>
              </w:rPr>
              <w:t>120</w:t>
            </w:r>
          </w:p>
        </w:tc>
      </w:tr>
      <w:tr>
        <w:trPr>
          <w:trHeight w:val="243"/>
        </w:trPr>
        <w:tc>
          <w:tcPr>
            <w:tcW w:w="6380" w:type="dxa"/>
            <w:vAlign w:val="bottom"/>
          </w:tcPr>
          <w:p>
            <w:pPr>
              <w:ind w:left="40"/>
              <w:spacing w:after="0"/>
              <w:rPr>
                <w:sz w:val="20"/>
                <w:szCs w:val="20"/>
                <w:color w:val="auto"/>
              </w:rPr>
            </w:pPr>
            <w:r>
              <w:rPr>
                <w:rFonts w:ascii="Arial" w:cs="Arial" w:eastAsia="Arial" w:hAnsi="Arial"/>
                <w:sz w:val="18"/>
                <w:szCs w:val="18"/>
                <w:color w:val="auto"/>
              </w:rPr>
              <w:t>Supplemental information:</w:t>
            </w:r>
          </w:p>
        </w:tc>
        <w:tc>
          <w:tcPr>
            <w:tcW w:w="1000" w:type="dxa"/>
            <w:vAlign w:val="bottom"/>
          </w:tcPr>
          <w:p>
            <w:pPr>
              <w:spacing w:after="0"/>
              <w:rPr>
                <w:sz w:val="21"/>
                <w:szCs w:val="21"/>
                <w:color w:val="auto"/>
              </w:rPr>
            </w:pPr>
          </w:p>
        </w:tc>
        <w:tc>
          <w:tcPr>
            <w:tcW w:w="6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000" w:type="dxa"/>
            <w:vAlign w:val="bottom"/>
          </w:tcPr>
          <w:p>
            <w:pPr>
              <w:spacing w:after="0"/>
              <w:rPr>
                <w:sz w:val="21"/>
                <w:szCs w:val="21"/>
                <w:color w:val="auto"/>
              </w:rPr>
            </w:pPr>
          </w:p>
        </w:tc>
        <w:tc>
          <w:tcPr>
            <w:tcW w:w="6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220" w:type="dxa"/>
            <w:vAlign w:val="bottom"/>
          </w:tcPr>
          <w:p>
            <w:pPr>
              <w:spacing w:after="0"/>
              <w:rPr>
                <w:sz w:val="21"/>
                <w:szCs w:val="21"/>
                <w:color w:val="auto"/>
              </w:rPr>
            </w:pPr>
          </w:p>
        </w:tc>
      </w:tr>
      <w:tr>
        <w:trPr>
          <w:trHeight w:val="27"/>
        </w:trPr>
        <w:tc>
          <w:tcPr>
            <w:tcW w:w="6380" w:type="dxa"/>
            <w:vAlign w:val="bottom"/>
          </w:tcPr>
          <w:p>
            <w:pPr>
              <w:spacing w:after="0"/>
              <w:rPr>
                <w:sz w:val="2"/>
                <w:szCs w:val="2"/>
                <w:color w:val="auto"/>
              </w:rPr>
            </w:pPr>
          </w:p>
        </w:tc>
        <w:tc>
          <w:tcPr>
            <w:tcW w:w="1000" w:type="dxa"/>
            <w:vAlign w:val="bottom"/>
          </w:tcPr>
          <w:p>
            <w:pPr>
              <w:spacing w:after="0"/>
              <w:rPr>
                <w:sz w:val="2"/>
                <w:szCs w:val="2"/>
                <w:color w:val="auto"/>
              </w:rPr>
            </w:pPr>
          </w:p>
        </w:tc>
        <w:tc>
          <w:tcPr>
            <w:tcW w:w="6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0" w:type="dxa"/>
            <w:vAlign w:val="bottom"/>
          </w:tcPr>
          <w:p>
            <w:pPr>
              <w:spacing w:after="0"/>
              <w:rPr>
                <w:sz w:val="2"/>
                <w:szCs w:val="2"/>
                <w:color w:val="auto"/>
              </w:rPr>
            </w:pPr>
          </w:p>
        </w:tc>
        <w:tc>
          <w:tcPr>
            <w:tcW w:w="600" w:type="dxa"/>
            <w:vAlign w:val="bottom"/>
          </w:tcPr>
          <w:p>
            <w:pPr>
              <w:spacing w:after="0"/>
              <w:rPr>
                <w:sz w:val="2"/>
                <w:szCs w:val="2"/>
                <w:color w:val="auto"/>
              </w:rPr>
            </w:pPr>
          </w:p>
        </w:tc>
        <w:tc>
          <w:tcPr>
            <w:tcW w:w="12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20" w:type="dxa"/>
            <w:vAlign w:val="bottom"/>
          </w:tcPr>
          <w:p>
            <w:pPr>
              <w:spacing w:after="0"/>
              <w:rPr>
                <w:sz w:val="2"/>
                <w:szCs w:val="2"/>
                <w:color w:val="auto"/>
              </w:rPr>
            </w:pPr>
          </w:p>
        </w:tc>
      </w:tr>
      <w:tr>
        <w:trPr>
          <w:trHeight w:val="270"/>
        </w:trPr>
        <w:tc>
          <w:tcPr>
            <w:tcW w:w="6380" w:type="dxa"/>
            <w:vAlign w:val="bottom"/>
            <w:shd w:val="clear" w:color="auto" w:fill="CCEEFF"/>
          </w:tcPr>
          <w:p>
            <w:pPr>
              <w:ind w:left="280"/>
              <w:spacing w:after="0"/>
              <w:rPr>
                <w:sz w:val="20"/>
                <w:szCs w:val="20"/>
                <w:color w:val="auto"/>
              </w:rPr>
            </w:pPr>
            <w:r>
              <w:rPr>
                <w:rFonts w:ascii="Arial" w:cs="Arial" w:eastAsia="Arial" w:hAnsi="Arial"/>
                <w:sz w:val="18"/>
                <w:szCs w:val="18"/>
                <w:color w:val="auto"/>
              </w:rPr>
              <w:t>Interest paid, net</w:t>
            </w:r>
          </w:p>
        </w:tc>
        <w:tc>
          <w:tcPr>
            <w:tcW w:w="1000" w:type="dxa"/>
            <w:vAlign w:val="bottom"/>
            <w:shd w:val="clear" w:color="auto" w:fill="CCEEFF"/>
          </w:tcPr>
          <w:p>
            <w:pPr>
              <w:spacing w:after="0"/>
              <w:rPr>
                <w:sz w:val="23"/>
                <w:szCs w:val="23"/>
                <w:color w:val="auto"/>
              </w:rPr>
            </w:pPr>
          </w:p>
        </w:tc>
        <w:tc>
          <w:tcPr>
            <w:tcW w:w="6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1,111</w:t>
            </w:r>
          </w:p>
        </w:tc>
        <w:tc>
          <w:tcPr>
            <w:tcW w:w="120" w:type="dxa"/>
            <w:vAlign w:val="bottom"/>
            <w:shd w:val="clear" w:color="auto" w:fill="CCEEFF"/>
          </w:tcPr>
          <w:p>
            <w:pPr>
              <w:spacing w:after="0"/>
              <w:rPr>
                <w:sz w:val="23"/>
                <w:szCs w:val="23"/>
                <w:color w:val="auto"/>
              </w:rPr>
            </w:pPr>
          </w:p>
        </w:tc>
        <w:tc>
          <w:tcPr>
            <w:tcW w:w="1000" w:type="dxa"/>
            <w:vAlign w:val="bottom"/>
            <w:shd w:val="clear" w:color="auto" w:fill="CCEEFF"/>
          </w:tcPr>
          <w:p>
            <w:pPr>
              <w:spacing w:after="0"/>
              <w:rPr>
                <w:sz w:val="23"/>
                <w:szCs w:val="23"/>
                <w:color w:val="auto"/>
              </w:rPr>
            </w:pPr>
          </w:p>
        </w:tc>
        <w:tc>
          <w:tcPr>
            <w:tcW w:w="6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1,091</w:t>
            </w:r>
          </w:p>
        </w:tc>
        <w:tc>
          <w:tcPr>
            <w:tcW w:w="120" w:type="dxa"/>
            <w:vAlign w:val="bottom"/>
            <w:shd w:val="clear" w:color="auto" w:fill="CCEEFF"/>
          </w:tcPr>
          <w:p>
            <w:pPr>
              <w:spacing w:after="0"/>
              <w:rPr>
                <w:sz w:val="23"/>
                <w:szCs w:val="23"/>
                <w:color w:val="auto"/>
              </w:rPr>
            </w:pPr>
          </w:p>
        </w:tc>
        <w:tc>
          <w:tcPr>
            <w:tcW w:w="380" w:type="dxa"/>
            <w:vAlign w:val="bottom"/>
            <w:shd w:val="clear" w:color="auto" w:fill="CCEEFF"/>
          </w:tcPr>
          <w:p>
            <w:pPr>
              <w:spacing w:after="0"/>
              <w:rPr>
                <w:sz w:val="23"/>
                <w:szCs w:val="23"/>
                <w:color w:val="auto"/>
              </w:rPr>
            </w:pPr>
          </w:p>
        </w:tc>
        <w:tc>
          <w:tcPr>
            <w:tcW w:w="1220" w:type="dxa"/>
            <w:vAlign w:val="bottom"/>
            <w:shd w:val="clear" w:color="auto" w:fill="CCEEFF"/>
          </w:tcPr>
          <w:p>
            <w:pPr>
              <w:jc w:val="right"/>
              <w:ind w:right="14"/>
              <w:spacing w:after="0"/>
              <w:rPr>
                <w:sz w:val="20"/>
                <w:szCs w:val="20"/>
                <w:color w:val="auto"/>
              </w:rPr>
            </w:pPr>
            <w:r>
              <w:rPr>
                <w:rFonts w:ascii="Arial" w:cs="Arial" w:eastAsia="Arial" w:hAnsi="Arial"/>
                <w:sz w:val="18"/>
                <w:szCs w:val="18"/>
                <w:color w:val="auto"/>
              </w:rPr>
              <w:t>1,040</w:t>
            </w:r>
          </w:p>
        </w:tc>
      </w:tr>
      <w:tr>
        <w:trPr>
          <w:trHeight w:val="257"/>
        </w:trPr>
        <w:tc>
          <w:tcPr>
            <w:tcW w:w="6380" w:type="dxa"/>
            <w:vAlign w:val="bottom"/>
          </w:tcPr>
          <w:p>
            <w:pPr>
              <w:ind w:left="280"/>
              <w:spacing w:after="0"/>
              <w:rPr>
                <w:sz w:val="20"/>
                <w:szCs w:val="20"/>
                <w:color w:val="auto"/>
              </w:rPr>
            </w:pPr>
            <w:r>
              <w:rPr>
                <w:rFonts w:ascii="Arial" w:cs="Arial" w:eastAsia="Arial" w:hAnsi="Arial"/>
                <w:sz w:val="18"/>
                <w:szCs w:val="18"/>
                <w:color w:val="auto"/>
              </w:rPr>
              <w:t>Income taxes paid</w:t>
            </w:r>
          </w:p>
        </w:tc>
        <w:tc>
          <w:tcPr>
            <w:tcW w:w="1000" w:type="dxa"/>
            <w:vAlign w:val="bottom"/>
          </w:tcPr>
          <w:p>
            <w:pPr>
              <w:spacing w:after="0"/>
              <w:rPr>
                <w:sz w:val="22"/>
                <w:szCs w:val="22"/>
                <w:color w:val="auto"/>
              </w:rPr>
            </w:pPr>
          </w:p>
        </w:tc>
        <w:tc>
          <w:tcPr>
            <w:tcW w:w="600" w:type="dxa"/>
            <w:vAlign w:val="bottom"/>
          </w:tcPr>
          <w:p>
            <w:pPr>
              <w:jc w:val="right"/>
              <w:ind w:right="10"/>
              <w:spacing w:after="0"/>
              <w:rPr>
                <w:sz w:val="20"/>
                <w:szCs w:val="20"/>
                <w:color w:val="auto"/>
              </w:rPr>
            </w:pPr>
            <w:r>
              <w:rPr>
                <w:rFonts w:ascii="Arial" w:cs="Arial" w:eastAsia="Arial" w:hAnsi="Arial"/>
                <w:sz w:val="18"/>
                <w:szCs w:val="18"/>
                <w:color w:val="auto"/>
              </w:rPr>
              <w:t>8</w:t>
            </w:r>
          </w:p>
        </w:tc>
        <w:tc>
          <w:tcPr>
            <w:tcW w:w="120" w:type="dxa"/>
            <w:vAlign w:val="bottom"/>
          </w:tcPr>
          <w:p>
            <w:pPr>
              <w:spacing w:after="0"/>
              <w:rPr>
                <w:sz w:val="22"/>
                <w:szCs w:val="22"/>
                <w:color w:val="auto"/>
              </w:rPr>
            </w:pPr>
          </w:p>
        </w:tc>
        <w:tc>
          <w:tcPr>
            <w:tcW w:w="1000" w:type="dxa"/>
            <w:vAlign w:val="bottom"/>
          </w:tcPr>
          <w:p>
            <w:pPr>
              <w:spacing w:after="0"/>
              <w:rPr>
                <w:sz w:val="22"/>
                <w:szCs w:val="22"/>
                <w:color w:val="auto"/>
              </w:rPr>
            </w:pPr>
          </w:p>
        </w:tc>
        <w:tc>
          <w:tcPr>
            <w:tcW w:w="600" w:type="dxa"/>
            <w:vAlign w:val="bottom"/>
          </w:tcPr>
          <w:p>
            <w:pPr>
              <w:jc w:val="right"/>
              <w:ind w:right="10"/>
              <w:spacing w:after="0"/>
              <w:rPr>
                <w:sz w:val="20"/>
                <w:szCs w:val="20"/>
                <w:color w:val="auto"/>
              </w:rPr>
            </w:pPr>
            <w:r>
              <w:rPr>
                <w:rFonts w:ascii="Arial" w:cs="Arial" w:eastAsia="Arial" w:hAnsi="Arial"/>
                <w:sz w:val="18"/>
                <w:szCs w:val="18"/>
                <w:color w:val="auto"/>
              </w:rPr>
              <w:t>18</w:t>
            </w:r>
          </w:p>
        </w:tc>
        <w:tc>
          <w:tcPr>
            <w:tcW w:w="120" w:type="dxa"/>
            <w:vAlign w:val="bottom"/>
          </w:tcPr>
          <w:p>
            <w:pPr>
              <w:spacing w:after="0"/>
              <w:rPr>
                <w:sz w:val="22"/>
                <w:szCs w:val="22"/>
                <w:color w:val="auto"/>
              </w:rPr>
            </w:pPr>
          </w:p>
        </w:tc>
        <w:tc>
          <w:tcPr>
            <w:tcW w:w="380" w:type="dxa"/>
            <w:vAlign w:val="bottom"/>
          </w:tcPr>
          <w:p>
            <w:pPr>
              <w:spacing w:after="0"/>
              <w:rPr>
                <w:sz w:val="22"/>
                <w:szCs w:val="22"/>
                <w:color w:val="auto"/>
              </w:rPr>
            </w:pPr>
          </w:p>
        </w:tc>
        <w:tc>
          <w:tcPr>
            <w:tcW w:w="1220" w:type="dxa"/>
            <w:vAlign w:val="bottom"/>
          </w:tcPr>
          <w:p>
            <w:pPr>
              <w:jc w:val="right"/>
              <w:ind w:right="14"/>
              <w:spacing w:after="0"/>
              <w:rPr>
                <w:sz w:val="20"/>
                <w:szCs w:val="20"/>
                <w:color w:val="auto"/>
              </w:rPr>
            </w:pPr>
            <w:r>
              <w:rPr>
                <w:rFonts w:ascii="Arial" w:cs="Arial" w:eastAsia="Arial" w:hAnsi="Arial"/>
                <w:sz w:val="18"/>
                <w:szCs w:val="18"/>
                <w:color w:val="auto"/>
              </w:rPr>
              <w:t>20</w:t>
            </w:r>
          </w:p>
        </w:tc>
      </w:tr>
    </w:tbl>
    <w:p>
      <w:pPr>
        <w:spacing w:after="0" w:line="200" w:lineRule="exact"/>
        <w:rPr>
          <w:sz w:val="20"/>
          <w:szCs w:val="20"/>
          <w:color w:val="auto"/>
        </w:rPr>
      </w:pPr>
    </w:p>
    <w:p>
      <w:pPr>
        <w:sectPr>
          <w:pgSz w:w="11900" w:h="16838" w:orient="portrait"/>
          <w:cols w:equalWidth="0" w:num="1">
            <w:col w:w="11420"/>
          </w:cols>
          <w:pgMar w:left="240" w:top="549" w:right="239" w:bottom="1440" w:gutter="0" w:footer="0" w:header="0"/>
        </w:sectPr>
      </w:pPr>
    </w:p>
    <w:p>
      <w:pPr>
        <w:spacing w:after="0" w:line="245"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111</w:t>
      </w:r>
    </w:p>
    <w:p>
      <w:pPr>
        <w:sectPr>
          <w:pgSz w:w="11900" w:h="16838" w:orient="portrait"/>
          <w:cols w:equalWidth="0" w:num="1">
            <w:col w:w="11420"/>
          </w:cols>
          <w:pgMar w:left="240" w:top="549" w:right="239" w:bottom="1440" w:gutter="0" w:footer="0" w:header="0"/>
          <w:type w:val="continuous"/>
        </w:sectPr>
      </w:pPr>
    </w:p>
    <w:bookmarkStart w:id="111" w:name="page112"/>
    <w:bookmarkEnd w:id="111"/>
    <w:p>
      <w:pPr>
        <w:jc w:val="center"/>
        <w:spacing w:after="0"/>
        <w:rPr>
          <w:sz w:val="20"/>
          <w:szCs w:val="20"/>
          <w:color w:val="auto"/>
        </w:rPr>
      </w:pPr>
      <w:r>
        <w:rPr>
          <w:rFonts w:ascii="Arial" w:cs="Arial" w:eastAsia="Arial" w:hAnsi="Arial"/>
          <w:sz w:val="18"/>
          <w:szCs w:val="18"/>
          <w:b w:val="1"/>
          <w:bCs w:val="1"/>
          <w:color w:val="auto"/>
        </w:rPr>
        <w:t>NOTES TO CONSOLIDATED FINANCIAL STATEMENTS OF AMERICAN AIRLINES GROUP INC.</w:t>
      </w:r>
    </w:p>
    <w:p>
      <w:pPr>
        <w:spacing w:after="0" w:line="200" w:lineRule="exact"/>
        <w:rPr>
          <w:sz w:val="20"/>
          <w:szCs w:val="20"/>
          <w:color w:val="auto"/>
        </w:rPr>
      </w:pPr>
    </w:p>
    <w:p>
      <w:pPr>
        <w:spacing w:after="0" w:line="26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14. Operating Segments and Related Disclosures</w:t>
      </w:r>
    </w:p>
    <w:p>
      <w:pPr>
        <w:spacing w:after="0" w:line="112" w:lineRule="exact"/>
        <w:rPr>
          <w:sz w:val="20"/>
          <w:szCs w:val="20"/>
          <w:color w:val="auto"/>
        </w:rPr>
      </w:pPr>
    </w:p>
    <w:p>
      <w:pPr>
        <w:jc w:val="both"/>
        <w:ind w:firstLine="216"/>
        <w:spacing w:after="0" w:line="252" w:lineRule="auto"/>
        <w:rPr>
          <w:sz w:val="20"/>
          <w:szCs w:val="20"/>
          <w:color w:val="auto"/>
        </w:rPr>
      </w:pPr>
      <w:r>
        <w:rPr>
          <w:rFonts w:ascii="Arial" w:cs="Arial" w:eastAsia="Arial" w:hAnsi="Arial"/>
          <w:sz w:val="18"/>
          <w:szCs w:val="18"/>
          <w:color w:val="auto"/>
        </w:rPr>
        <w:t>We are managed as a single business unit that provides air transportation for passengers and cargo. This allows us to benefit from an integrated revenue pricing and route network that includes American and our wholly-owned and third-party regional carriers that fly under capacity purchase agreements operating as American Eagle. The flight equipment of all these carriers is combined to form one fleet that is deployed through a single route scheduling system. Financial information and annual operational plans and forecasts are prepared and reviewed by the chief operating decision maker at the consolidated level. When making operational decisions, the chief operating decision maker evaluates flight profitability data, which considers aircraft type and route economics, but is indifferent to the results of the individual wholly-owned regional carriers. The objective in making operational decisions is to maximize consolidated financial results, not the individual results of American or American Eagle.</w:t>
      </w:r>
    </w:p>
    <w:p>
      <w:pPr>
        <w:spacing w:after="0" w:line="152" w:lineRule="exact"/>
        <w:rPr>
          <w:sz w:val="20"/>
          <w:szCs w:val="20"/>
          <w:color w:val="auto"/>
        </w:rPr>
      </w:pPr>
    </w:p>
    <w:p>
      <w:pPr>
        <w:jc w:val="both"/>
        <w:ind w:firstLine="216"/>
        <w:spacing w:after="0" w:line="262" w:lineRule="auto"/>
        <w:rPr>
          <w:sz w:val="20"/>
          <w:szCs w:val="20"/>
          <w:color w:val="auto"/>
        </w:rPr>
      </w:pPr>
      <w:r>
        <w:rPr>
          <w:rFonts w:ascii="Arial" w:cs="Arial" w:eastAsia="Arial" w:hAnsi="Arial"/>
          <w:sz w:val="18"/>
          <w:szCs w:val="18"/>
          <w:color w:val="auto"/>
        </w:rPr>
        <w:t>See Note 1(k) for our passenger revenue by geographic region. Our tangible assets consist primarily of flight equipment, which are mobile across geographic markets and, therefore, have not been allocated.</w:t>
      </w:r>
    </w:p>
    <w:p>
      <w:pPr>
        <w:spacing w:after="0" w:line="20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15. Share-based Compensation</w:t>
      </w:r>
    </w:p>
    <w:p>
      <w:pPr>
        <w:spacing w:after="0" w:line="112" w:lineRule="exact"/>
        <w:rPr>
          <w:sz w:val="20"/>
          <w:szCs w:val="20"/>
          <w:color w:val="auto"/>
        </w:rPr>
      </w:pPr>
    </w:p>
    <w:p>
      <w:pPr>
        <w:jc w:val="both"/>
        <w:ind w:firstLine="216"/>
        <w:spacing w:after="0" w:line="253" w:lineRule="auto"/>
        <w:rPr>
          <w:sz w:val="20"/>
          <w:szCs w:val="20"/>
          <w:color w:val="auto"/>
        </w:rPr>
      </w:pPr>
      <w:r>
        <w:rPr>
          <w:rFonts w:ascii="Arial" w:cs="Arial" w:eastAsia="Arial" w:hAnsi="Arial"/>
          <w:sz w:val="18"/>
          <w:szCs w:val="18"/>
          <w:color w:val="auto"/>
        </w:rPr>
        <w:t>The 2013 AAG Incentive Award Plan (the 2013 Plan) provides that awards may be in the form of an option, restricted stock award, restricted stock unit award, performance award, dividend equivalent award, deferred stock award, deferred stock unit award, stock payment award or stock appreciation right. The 2013 Plan initially authorized the grant of awards for the issuance of up to 40 million shares. Any shares underlying awards granted under the 2013 Plan that are forfeited, terminate or are settled in cash (in whole or in part) without the delivery of shares will again be available for grant.</w:t>
      </w:r>
    </w:p>
    <w:p>
      <w:pPr>
        <w:spacing w:after="0" w:line="152" w:lineRule="exact"/>
        <w:rPr>
          <w:sz w:val="20"/>
          <w:szCs w:val="20"/>
          <w:color w:val="auto"/>
        </w:rPr>
      </w:pPr>
    </w:p>
    <w:p>
      <w:pPr>
        <w:jc w:val="both"/>
        <w:ind w:firstLine="216"/>
        <w:spacing w:after="0" w:line="262" w:lineRule="auto"/>
        <w:rPr>
          <w:sz w:val="20"/>
          <w:szCs w:val="20"/>
          <w:color w:val="auto"/>
        </w:rPr>
      </w:pPr>
      <w:r>
        <w:rPr>
          <w:rFonts w:ascii="Arial" w:cs="Arial" w:eastAsia="Arial" w:hAnsi="Arial"/>
          <w:sz w:val="18"/>
          <w:szCs w:val="18"/>
          <w:color w:val="auto"/>
        </w:rPr>
        <w:t>Our salaries, wages and benefits expense for the years ended December 31, 2019, 2018 and 2017 included $95 million, $88 million and $90 million, respectively, of share-based compensation costs.</w:t>
      </w:r>
    </w:p>
    <w:p>
      <w:pPr>
        <w:spacing w:after="0" w:line="142" w:lineRule="exact"/>
        <w:rPr>
          <w:sz w:val="20"/>
          <w:szCs w:val="20"/>
          <w:color w:val="auto"/>
        </w:rPr>
      </w:pPr>
    </w:p>
    <w:p>
      <w:pPr>
        <w:jc w:val="both"/>
        <w:ind w:firstLine="216"/>
        <w:spacing w:after="0" w:line="256" w:lineRule="auto"/>
        <w:rPr>
          <w:sz w:val="20"/>
          <w:szCs w:val="20"/>
          <w:color w:val="auto"/>
        </w:rPr>
      </w:pPr>
      <w:r>
        <w:rPr>
          <w:rFonts w:ascii="Arial" w:cs="Arial" w:eastAsia="Arial" w:hAnsi="Arial"/>
          <w:sz w:val="18"/>
          <w:szCs w:val="18"/>
          <w:color w:val="auto"/>
        </w:rPr>
        <w:t>During 2019, 2018 and 2017, we withheld approximately 0.8 million, 0.8 million and 1.1 million shares of AAG common stock, respectively, and paid approximately $25 million, $37 million and $51 million, respectively, in satisfaction of certain tax withholding obligations associated with employee equity awards.</w:t>
      </w:r>
    </w:p>
    <w:p>
      <w:pPr>
        <w:spacing w:after="0" w:line="207" w:lineRule="exact"/>
        <w:rPr>
          <w:sz w:val="20"/>
          <w:szCs w:val="20"/>
          <w:color w:val="auto"/>
        </w:rPr>
      </w:pPr>
    </w:p>
    <w:p>
      <w:pPr>
        <w:ind w:left="220"/>
        <w:spacing w:after="0"/>
        <w:rPr>
          <w:sz w:val="20"/>
          <w:szCs w:val="20"/>
          <w:color w:val="auto"/>
        </w:rPr>
      </w:pPr>
      <w:r>
        <w:rPr>
          <w:rFonts w:ascii="Arial" w:cs="Arial" w:eastAsia="Arial" w:hAnsi="Arial"/>
          <w:sz w:val="18"/>
          <w:szCs w:val="18"/>
          <w:b w:val="1"/>
          <w:bCs w:val="1"/>
          <w:i w:val="1"/>
          <w:iCs w:val="1"/>
          <w:color w:val="auto"/>
        </w:rPr>
        <w:t>Restricted Stock Unit Awards (RSUs)</w:t>
      </w:r>
    </w:p>
    <w:p>
      <w:pPr>
        <w:spacing w:after="0" w:line="112" w:lineRule="exact"/>
        <w:rPr>
          <w:sz w:val="20"/>
          <w:szCs w:val="20"/>
          <w:color w:val="auto"/>
        </w:rPr>
      </w:pPr>
    </w:p>
    <w:p>
      <w:pPr>
        <w:jc w:val="both"/>
        <w:ind w:firstLine="216"/>
        <w:spacing w:after="0" w:line="254" w:lineRule="auto"/>
        <w:rPr>
          <w:sz w:val="20"/>
          <w:szCs w:val="20"/>
          <w:color w:val="auto"/>
        </w:rPr>
      </w:pPr>
      <w:r>
        <w:rPr>
          <w:rFonts w:ascii="Arial" w:cs="Arial" w:eastAsia="Arial" w:hAnsi="Arial"/>
          <w:sz w:val="18"/>
          <w:szCs w:val="18"/>
          <w:color w:val="auto"/>
        </w:rPr>
        <w:t>The majority of our RSUs have service conditions (time vested primarily over three years). The grant-date fair value of these RSUs is equal to the market price of the underlying shares of AAG common stock on the date of grant. The expense for these RSUs is recognized on a straight-line basis over the vesting period for the entire award. RSUs are classified as equity awards as the vesting results in the issuance of shares of AAG common stock.</w:t>
      </w:r>
    </w:p>
    <w:p>
      <w:pPr>
        <w:spacing w:after="0" w:line="150" w:lineRule="exact"/>
        <w:rPr>
          <w:sz w:val="20"/>
          <w:szCs w:val="20"/>
          <w:color w:val="auto"/>
        </w:rPr>
      </w:pPr>
    </w:p>
    <w:p>
      <w:pPr>
        <w:ind w:left="220"/>
        <w:spacing w:after="0"/>
        <w:rPr>
          <w:sz w:val="20"/>
          <w:szCs w:val="20"/>
          <w:color w:val="auto"/>
        </w:rPr>
      </w:pPr>
      <w:r>
        <w:rPr>
          <w:rFonts w:ascii="Arial" w:cs="Arial" w:eastAsia="Arial" w:hAnsi="Arial"/>
          <w:sz w:val="18"/>
          <w:szCs w:val="18"/>
          <w:color w:val="auto"/>
        </w:rPr>
        <w:t>RSU award activity for all plans for the years ended December 31, 2019, 2018 and 2017 is as follows:</w:t>
      </w:r>
    </w:p>
    <w:p>
      <w:pPr>
        <w:spacing w:after="0" w:line="321"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7200" w:type="dxa"/>
            <w:vAlign w:val="bottom"/>
          </w:tcPr>
          <w:p>
            <w:pPr>
              <w:spacing w:after="0"/>
              <w:rPr>
                <w:sz w:val="14"/>
                <w:szCs w:val="14"/>
                <w:color w:val="auto"/>
              </w:rPr>
            </w:pPr>
          </w:p>
        </w:tc>
        <w:tc>
          <w:tcPr>
            <w:tcW w:w="20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900" w:type="dxa"/>
            <w:vAlign w:val="bottom"/>
          </w:tcPr>
          <w:p>
            <w:pPr>
              <w:jc w:val="right"/>
              <w:ind w:right="112"/>
              <w:spacing w:after="0"/>
              <w:rPr>
                <w:sz w:val="20"/>
                <w:szCs w:val="20"/>
                <w:color w:val="auto"/>
              </w:rPr>
            </w:pPr>
            <w:r>
              <w:rPr>
                <w:rFonts w:ascii="Arial" w:cs="Arial" w:eastAsia="Arial" w:hAnsi="Arial"/>
                <w:sz w:val="14"/>
                <w:szCs w:val="14"/>
                <w:b w:val="1"/>
                <w:bCs w:val="1"/>
                <w:color w:val="auto"/>
              </w:rPr>
              <w:t>Weighted Average Grant</w:t>
            </w:r>
          </w:p>
        </w:tc>
      </w:tr>
      <w:tr>
        <w:trPr>
          <w:trHeight w:val="196"/>
        </w:trPr>
        <w:tc>
          <w:tcPr>
            <w:tcW w:w="7200" w:type="dxa"/>
            <w:vAlign w:val="bottom"/>
          </w:tcPr>
          <w:p>
            <w:pPr>
              <w:spacing w:after="0"/>
              <w:rPr>
                <w:sz w:val="17"/>
                <w:szCs w:val="17"/>
                <w:color w:val="auto"/>
              </w:rPr>
            </w:pPr>
          </w:p>
        </w:tc>
        <w:tc>
          <w:tcPr>
            <w:tcW w:w="2040" w:type="dxa"/>
            <w:vAlign w:val="bottom"/>
            <w:tcBorders>
              <w:bottom w:val="single" w:sz="8" w:color="auto"/>
            </w:tcBorders>
          </w:tcPr>
          <w:p>
            <w:pPr>
              <w:jc w:val="right"/>
              <w:ind w:right="312"/>
              <w:spacing w:after="0"/>
              <w:rPr>
                <w:sz w:val="20"/>
                <w:szCs w:val="20"/>
                <w:color w:val="auto"/>
              </w:rPr>
            </w:pPr>
            <w:r>
              <w:rPr>
                <w:rFonts w:ascii="Arial" w:cs="Arial" w:eastAsia="Arial" w:hAnsi="Arial"/>
                <w:sz w:val="14"/>
                <w:szCs w:val="14"/>
                <w:b w:val="1"/>
                <w:bCs w:val="1"/>
                <w:color w:val="auto"/>
              </w:rPr>
              <w:t>Number of Shares</w:t>
            </w:r>
          </w:p>
        </w:tc>
        <w:tc>
          <w:tcPr>
            <w:tcW w:w="120" w:type="dxa"/>
            <w:vAlign w:val="bottom"/>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1900" w:type="dxa"/>
            <w:vAlign w:val="bottom"/>
            <w:tcBorders>
              <w:bottom w:val="single" w:sz="8" w:color="auto"/>
            </w:tcBorders>
          </w:tcPr>
          <w:p>
            <w:pPr>
              <w:jc w:val="right"/>
              <w:ind w:right="432"/>
              <w:spacing w:after="0"/>
              <w:rPr>
                <w:sz w:val="20"/>
                <w:szCs w:val="20"/>
                <w:color w:val="auto"/>
              </w:rPr>
            </w:pPr>
            <w:r>
              <w:rPr>
                <w:rFonts w:ascii="Arial" w:cs="Arial" w:eastAsia="Arial" w:hAnsi="Arial"/>
                <w:sz w:val="14"/>
                <w:szCs w:val="14"/>
                <w:b w:val="1"/>
                <w:bCs w:val="1"/>
                <w:color w:val="auto"/>
              </w:rPr>
              <w:t>Date Fair Value</w:t>
            </w:r>
          </w:p>
        </w:tc>
      </w:tr>
      <w:tr>
        <w:trPr>
          <w:trHeight w:val="250"/>
        </w:trPr>
        <w:tc>
          <w:tcPr>
            <w:tcW w:w="7200" w:type="dxa"/>
            <w:vAlign w:val="bottom"/>
          </w:tcPr>
          <w:p>
            <w:pPr>
              <w:spacing w:after="0"/>
              <w:rPr>
                <w:sz w:val="21"/>
                <w:szCs w:val="21"/>
                <w:color w:val="auto"/>
              </w:rPr>
            </w:pPr>
          </w:p>
        </w:tc>
        <w:tc>
          <w:tcPr>
            <w:tcW w:w="2040" w:type="dxa"/>
            <w:vAlign w:val="bottom"/>
          </w:tcPr>
          <w:p>
            <w:pPr>
              <w:jc w:val="right"/>
              <w:ind w:right="432"/>
              <w:spacing w:after="0"/>
              <w:rPr>
                <w:sz w:val="20"/>
                <w:szCs w:val="20"/>
                <w:color w:val="auto"/>
              </w:rPr>
            </w:pPr>
            <w:r>
              <w:rPr>
                <w:rFonts w:ascii="Arial" w:cs="Arial" w:eastAsia="Arial" w:hAnsi="Arial"/>
                <w:sz w:val="14"/>
                <w:szCs w:val="14"/>
                <w:b w:val="1"/>
                <w:bCs w:val="1"/>
                <w:color w:val="auto"/>
              </w:rPr>
              <w:t>(In thousands)</w:t>
            </w: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900" w:type="dxa"/>
            <w:vAlign w:val="bottom"/>
          </w:tcPr>
          <w:p>
            <w:pPr>
              <w:spacing w:after="0"/>
              <w:rPr>
                <w:sz w:val="21"/>
                <w:szCs w:val="21"/>
                <w:color w:val="auto"/>
              </w:rPr>
            </w:pPr>
          </w:p>
        </w:tc>
      </w:tr>
      <w:tr>
        <w:trPr>
          <w:trHeight w:val="276"/>
        </w:trPr>
        <w:tc>
          <w:tcPr>
            <w:tcW w:w="7200" w:type="dxa"/>
            <w:vAlign w:val="bottom"/>
            <w:shd w:val="clear" w:color="auto" w:fill="CCEEFF"/>
          </w:tcPr>
          <w:p>
            <w:pPr>
              <w:ind w:left="40"/>
              <w:spacing w:after="0"/>
              <w:rPr>
                <w:sz w:val="20"/>
                <w:szCs w:val="20"/>
                <w:color w:val="auto"/>
              </w:rPr>
            </w:pPr>
            <w:r>
              <w:rPr>
                <w:rFonts w:ascii="Arial" w:cs="Arial" w:eastAsia="Arial" w:hAnsi="Arial"/>
                <w:sz w:val="18"/>
                <w:szCs w:val="18"/>
                <w:color w:val="auto"/>
              </w:rPr>
              <w:t>Outstanding at December 31, 2016</w:t>
            </w:r>
          </w:p>
        </w:tc>
        <w:tc>
          <w:tcPr>
            <w:tcW w:w="204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5,187</w:t>
            </w:r>
          </w:p>
        </w:tc>
        <w:tc>
          <w:tcPr>
            <w:tcW w:w="2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190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41.48</w:t>
            </w:r>
          </w:p>
        </w:tc>
      </w:tr>
      <w:tr>
        <w:trPr>
          <w:trHeight w:val="263"/>
        </w:trPr>
        <w:tc>
          <w:tcPr>
            <w:tcW w:w="7200" w:type="dxa"/>
            <w:vAlign w:val="bottom"/>
          </w:tcPr>
          <w:p>
            <w:pPr>
              <w:ind w:left="280"/>
              <w:spacing w:after="0"/>
              <w:rPr>
                <w:sz w:val="20"/>
                <w:szCs w:val="20"/>
                <w:color w:val="auto"/>
              </w:rPr>
            </w:pPr>
            <w:r>
              <w:rPr>
                <w:rFonts w:ascii="Arial" w:cs="Arial" w:eastAsia="Arial" w:hAnsi="Arial"/>
                <w:sz w:val="18"/>
                <w:szCs w:val="18"/>
                <w:color w:val="auto"/>
              </w:rPr>
              <w:t>Granted</w:t>
            </w:r>
          </w:p>
        </w:tc>
        <w:tc>
          <w:tcPr>
            <w:tcW w:w="2040" w:type="dxa"/>
            <w:vAlign w:val="bottom"/>
          </w:tcPr>
          <w:p>
            <w:pPr>
              <w:jc w:val="right"/>
              <w:ind w:right="12"/>
              <w:spacing w:after="0"/>
              <w:rPr>
                <w:sz w:val="20"/>
                <w:szCs w:val="20"/>
                <w:color w:val="auto"/>
              </w:rPr>
            </w:pPr>
            <w:r>
              <w:rPr>
                <w:rFonts w:ascii="Arial" w:cs="Arial" w:eastAsia="Arial" w:hAnsi="Arial"/>
                <w:sz w:val="18"/>
                <w:szCs w:val="18"/>
                <w:color w:val="auto"/>
              </w:rPr>
              <w:t>2,309</w:t>
            </w:r>
          </w:p>
        </w:tc>
        <w:tc>
          <w:tcPr>
            <w:tcW w:w="12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900" w:type="dxa"/>
            <w:vAlign w:val="bottom"/>
          </w:tcPr>
          <w:p>
            <w:pPr>
              <w:jc w:val="right"/>
              <w:ind w:right="12"/>
              <w:spacing w:after="0"/>
              <w:rPr>
                <w:sz w:val="20"/>
                <w:szCs w:val="20"/>
                <w:color w:val="auto"/>
              </w:rPr>
            </w:pPr>
            <w:r>
              <w:rPr>
                <w:rFonts w:ascii="Arial" w:cs="Arial" w:eastAsia="Arial" w:hAnsi="Arial"/>
                <w:sz w:val="18"/>
                <w:szCs w:val="18"/>
                <w:color w:val="auto"/>
              </w:rPr>
              <w:t>48.58</w:t>
            </w:r>
          </w:p>
        </w:tc>
      </w:tr>
      <w:tr>
        <w:trPr>
          <w:trHeight w:val="277"/>
        </w:trPr>
        <w:tc>
          <w:tcPr>
            <w:tcW w:w="7200" w:type="dxa"/>
            <w:vAlign w:val="bottom"/>
            <w:shd w:val="clear" w:color="auto" w:fill="CCEEFF"/>
          </w:tcPr>
          <w:p>
            <w:pPr>
              <w:ind w:left="280"/>
              <w:spacing w:after="0"/>
              <w:rPr>
                <w:sz w:val="20"/>
                <w:szCs w:val="20"/>
                <w:color w:val="auto"/>
              </w:rPr>
            </w:pPr>
            <w:r>
              <w:rPr>
                <w:rFonts w:ascii="Arial" w:cs="Arial" w:eastAsia="Arial" w:hAnsi="Arial"/>
                <w:sz w:val="18"/>
                <w:szCs w:val="18"/>
                <w:color w:val="auto"/>
              </w:rPr>
              <w:t>Vested and released</w:t>
            </w:r>
          </w:p>
        </w:tc>
        <w:tc>
          <w:tcPr>
            <w:tcW w:w="2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(2,708)</w:t>
            </w:r>
          </w:p>
        </w:tc>
        <w:tc>
          <w:tcPr>
            <w:tcW w:w="12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190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39.63</w:t>
            </w:r>
          </w:p>
        </w:tc>
      </w:tr>
      <w:tr>
        <w:trPr>
          <w:trHeight w:val="264"/>
        </w:trPr>
        <w:tc>
          <w:tcPr>
            <w:tcW w:w="7200" w:type="dxa"/>
            <w:vAlign w:val="bottom"/>
            <w:tcBorders>
              <w:bottom w:val="single" w:sz="8" w:color="CCEEFF"/>
            </w:tcBorders>
          </w:tcPr>
          <w:p>
            <w:pPr>
              <w:ind w:left="280"/>
              <w:spacing w:after="0"/>
              <w:rPr>
                <w:sz w:val="20"/>
                <w:szCs w:val="20"/>
                <w:color w:val="auto"/>
              </w:rPr>
            </w:pPr>
            <w:r>
              <w:rPr>
                <w:rFonts w:ascii="Arial" w:cs="Arial" w:eastAsia="Arial" w:hAnsi="Arial"/>
                <w:sz w:val="18"/>
                <w:szCs w:val="18"/>
                <w:color w:val="auto"/>
              </w:rPr>
              <w:t>Forfeited</w:t>
            </w:r>
          </w:p>
        </w:tc>
        <w:tc>
          <w:tcPr>
            <w:tcW w:w="2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(464)</w:t>
            </w:r>
          </w:p>
        </w:tc>
        <w:tc>
          <w:tcPr>
            <w:tcW w:w="120" w:type="dxa"/>
            <w:vAlign w:val="bottom"/>
            <w:tcBorders>
              <w:bottom w:val="single" w:sz="8" w:color="CCEEFF"/>
            </w:tcBorders>
          </w:tcPr>
          <w:p>
            <w:pPr>
              <w:spacing w:after="0"/>
              <w:rPr>
                <w:sz w:val="22"/>
                <w:szCs w:val="22"/>
                <w:color w:val="auto"/>
              </w:rPr>
            </w:pPr>
          </w:p>
        </w:tc>
        <w:tc>
          <w:tcPr>
            <w:tcW w:w="160" w:type="dxa"/>
            <w:vAlign w:val="bottom"/>
            <w:tcBorders>
              <w:bottom w:val="single" w:sz="8" w:color="CCEEFF"/>
            </w:tcBorders>
          </w:tcPr>
          <w:p>
            <w:pPr>
              <w:spacing w:after="0"/>
              <w:rPr>
                <w:sz w:val="22"/>
                <w:szCs w:val="22"/>
                <w:color w:val="auto"/>
              </w:rPr>
            </w:pPr>
          </w:p>
        </w:tc>
        <w:tc>
          <w:tcPr>
            <w:tcW w:w="1900" w:type="dxa"/>
            <w:vAlign w:val="bottom"/>
            <w:tcBorders>
              <w:bottom w:val="single" w:sz="8" w:color="CCEEFF"/>
            </w:tcBorders>
          </w:tcPr>
          <w:p>
            <w:pPr>
              <w:jc w:val="right"/>
              <w:ind w:right="12"/>
              <w:spacing w:after="0"/>
              <w:rPr>
                <w:sz w:val="20"/>
                <w:szCs w:val="20"/>
                <w:color w:val="auto"/>
              </w:rPr>
            </w:pPr>
            <w:r>
              <w:rPr>
                <w:rFonts w:ascii="Arial" w:cs="Arial" w:eastAsia="Arial" w:hAnsi="Arial"/>
                <w:sz w:val="18"/>
                <w:szCs w:val="18"/>
                <w:color w:val="auto"/>
              </w:rPr>
              <w:t>44.48</w:t>
            </w:r>
          </w:p>
        </w:tc>
      </w:tr>
      <w:tr>
        <w:trPr>
          <w:trHeight w:val="257"/>
        </w:trPr>
        <w:tc>
          <w:tcPr>
            <w:tcW w:w="7200" w:type="dxa"/>
            <w:vAlign w:val="bottom"/>
            <w:shd w:val="clear" w:color="auto" w:fill="CCEEFF"/>
          </w:tcPr>
          <w:p>
            <w:pPr>
              <w:ind w:left="40"/>
              <w:spacing w:after="0"/>
              <w:rPr>
                <w:sz w:val="20"/>
                <w:szCs w:val="20"/>
                <w:color w:val="auto"/>
              </w:rPr>
            </w:pPr>
            <w:r>
              <w:rPr>
                <w:rFonts w:ascii="Arial" w:cs="Arial" w:eastAsia="Arial" w:hAnsi="Arial"/>
                <w:sz w:val="18"/>
                <w:szCs w:val="18"/>
                <w:color w:val="auto"/>
              </w:rPr>
              <w:t>Outstanding at December 31, 2017</w:t>
            </w:r>
          </w:p>
        </w:tc>
        <w:tc>
          <w:tcPr>
            <w:tcW w:w="204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4,324</w:t>
            </w:r>
          </w:p>
        </w:tc>
        <w:tc>
          <w:tcPr>
            <w:tcW w:w="2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190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46.94</w:t>
            </w:r>
          </w:p>
        </w:tc>
      </w:tr>
      <w:tr>
        <w:trPr>
          <w:trHeight w:val="263"/>
        </w:trPr>
        <w:tc>
          <w:tcPr>
            <w:tcW w:w="7200" w:type="dxa"/>
            <w:vAlign w:val="bottom"/>
          </w:tcPr>
          <w:p>
            <w:pPr>
              <w:ind w:left="280"/>
              <w:spacing w:after="0"/>
              <w:rPr>
                <w:sz w:val="20"/>
                <w:szCs w:val="20"/>
                <w:color w:val="auto"/>
              </w:rPr>
            </w:pPr>
            <w:r>
              <w:rPr>
                <w:rFonts w:ascii="Arial" w:cs="Arial" w:eastAsia="Arial" w:hAnsi="Arial"/>
                <w:sz w:val="18"/>
                <w:szCs w:val="18"/>
                <w:color w:val="auto"/>
              </w:rPr>
              <w:t>Granted</w:t>
            </w:r>
          </w:p>
        </w:tc>
        <w:tc>
          <w:tcPr>
            <w:tcW w:w="2040" w:type="dxa"/>
            <w:vAlign w:val="bottom"/>
          </w:tcPr>
          <w:p>
            <w:pPr>
              <w:jc w:val="right"/>
              <w:ind w:right="12"/>
              <w:spacing w:after="0"/>
              <w:rPr>
                <w:sz w:val="20"/>
                <w:szCs w:val="20"/>
                <w:color w:val="auto"/>
              </w:rPr>
            </w:pPr>
            <w:r>
              <w:rPr>
                <w:rFonts w:ascii="Arial" w:cs="Arial" w:eastAsia="Arial" w:hAnsi="Arial"/>
                <w:sz w:val="18"/>
                <w:szCs w:val="18"/>
                <w:color w:val="auto"/>
              </w:rPr>
              <w:t>2,194</w:t>
            </w:r>
          </w:p>
        </w:tc>
        <w:tc>
          <w:tcPr>
            <w:tcW w:w="12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900" w:type="dxa"/>
            <w:vAlign w:val="bottom"/>
          </w:tcPr>
          <w:p>
            <w:pPr>
              <w:jc w:val="right"/>
              <w:ind w:right="12"/>
              <w:spacing w:after="0"/>
              <w:rPr>
                <w:sz w:val="20"/>
                <w:szCs w:val="20"/>
                <w:color w:val="auto"/>
              </w:rPr>
            </w:pPr>
            <w:r>
              <w:rPr>
                <w:rFonts w:ascii="Arial" w:cs="Arial" w:eastAsia="Arial" w:hAnsi="Arial"/>
                <w:sz w:val="18"/>
                <w:szCs w:val="18"/>
                <w:color w:val="auto"/>
              </w:rPr>
              <w:t>47.65</w:t>
            </w:r>
          </w:p>
        </w:tc>
      </w:tr>
      <w:tr>
        <w:trPr>
          <w:trHeight w:val="277"/>
        </w:trPr>
        <w:tc>
          <w:tcPr>
            <w:tcW w:w="7200" w:type="dxa"/>
            <w:vAlign w:val="bottom"/>
            <w:shd w:val="clear" w:color="auto" w:fill="CCEEFF"/>
          </w:tcPr>
          <w:p>
            <w:pPr>
              <w:ind w:left="280"/>
              <w:spacing w:after="0"/>
              <w:rPr>
                <w:sz w:val="20"/>
                <w:szCs w:val="20"/>
                <w:color w:val="auto"/>
              </w:rPr>
            </w:pPr>
            <w:r>
              <w:rPr>
                <w:rFonts w:ascii="Arial" w:cs="Arial" w:eastAsia="Arial" w:hAnsi="Arial"/>
                <w:sz w:val="18"/>
                <w:szCs w:val="18"/>
                <w:color w:val="auto"/>
              </w:rPr>
              <w:t>Vested and released</w:t>
            </w:r>
          </w:p>
        </w:tc>
        <w:tc>
          <w:tcPr>
            <w:tcW w:w="2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(1,999)</w:t>
            </w:r>
          </w:p>
        </w:tc>
        <w:tc>
          <w:tcPr>
            <w:tcW w:w="12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190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44.99</w:t>
            </w:r>
          </w:p>
        </w:tc>
      </w:tr>
      <w:tr>
        <w:trPr>
          <w:trHeight w:val="264"/>
        </w:trPr>
        <w:tc>
          <w:tcPr>
            <w:tcW w:w="7200" w:type="dxa"/>
            <w:vAlign w:val="bottom"/>
            <w:tcBorders>
              <w:bottom w:val="single" w:sz="8" w:color="CCEEFF"/>
            </w:tcBorders>
          </w:tcPr>
          <w:p>
            <w:pPr>
              <w:ind w:left="280"/>
              <w:spacing w:after="0"/>
              <w:rPr>
                <w:sz w:val="20"/>
                <w:szCs w:val="20"/>
                <w:color w:val="auto"/>
              </w:rPr>
            </w:pPr>
            <w:r>
              <w:rPr>
                <w:rFonts w:ascii="Arial" w:cs="Arial" w:eastAsia="Arial" w:hAnsi="Arial"/>
                <w:sz w:val="18"/>
                <w:szCs w:val="18"/>
                <w:color w:val="auto"/>
              </w:rPr>
              <w:t>Forfeited</w:t>
            </w:r>
          </w:p>
        </w:tc>
        <w:tc>
          <w:tcPr>
            <w:tcW w:w="2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(199)</w:t>
            </w:r>
          </w:p>
        </w:tc>
        <w:tc>
          <w:tcPr>
            <w:tcW w:w="120" w:type="dxa"/>
            <w:vAlign w:val="bottom"/>
            <w:tcBorders>
              <w:bottom w:val="single" w:sz="8" w:color="CCEEFF"/>
            </w:tcBorders>
          </w:tcPr>
          <w:p>
            <w:pPr>
              <w:spacing w:after="0"/>
              <w:rPr>
                <w:sz w:val="22"/>
                <w:szCs w:val="22"/>
                <w:color w:val="auto"/>
              </w:rPr>
            </w:pPr>
          </w:p>
        </w:tc>
        <w:tc>
          <w:tcPr>
            <w:tcW w:w="160" w:type="dxa"/>
            <w:vAlign w:val="bottom"/>
            <w:tcBorders>
              <w:bottom w:val="single" w:sz="8" w:color="CCEEFF"/>
            </w:tcBorders>
          </w:tcPr>
          <w:p>
            <w:pPr>
              <w:spacing w:after="0"/>
              <w:rPr>
                <w:sz w:val="22"/>
                <w:szCs w:val="22"/>
                <w:color w:val="auto"/>
              </w:rPr>
            </w:pPr>
          </w:p>
        </w:tc>
        <w:tc>
          <w:tcPr>
            <w:tcW w:w="1900" w:type="dxa"/>
            <w:vAlign w:val="bottom"/>
            <w:tcBorders>
              <w:bottom w:val="single" w:sz="8" w:color="CCEEFF"/>
            </w:tcBorders>
          </w:tcPr>
          <w:p>
            <w:pPr>
              <w:jc w:val="right"/>
              <w:ind w:right="12"/>
              <w:spacing w:after="0"/>
              <w:rPr>
                <w:sz w:val="20"/>
                <w:szCs w:val="20"/>
                <w:color w:val="auto"/>
              </w:rPr>
            </w:pPr>
            <w:r>
              <w:rPr>
                <w:rFonts w:ascii="Arial" w:cs="Arial" w:eastAsia="Arial" w:hAnsi="Arial"/>
                <w:sz w:val="18"/>
                <w:szCs w:val="18"/>
                <w:color w:val="auto"/>
              </w:rPr>
              <w:t>45.72</w:t>
            </w:r>
          </w:p>
        </w:tc>
      </w:tr>
      <w:tr>
        <w:trPr>
          <w:trHeight w:val="257"/>
        </w:trPr>
        <w:tc>
          <w:tcPr>
            <w:tcW w:w="7200" w:type="dxa"/>
            <w:vAlign w:val="bottom"/>
            <w:shd w:val="clear" w:color="auto" w:fill="CCEEFF"/>
          </w:tcPr>
          <w:p>
            <w:pPr>
              <w:ind w:left="40"/>
              <w:spacing w:after="0"/>
              <w:rPr>
                <w:sz w:val="20"/>
                <w:szCs w:val="20"/>
                <w:color w:val="auto"/>
              </w:rPr>
            </w:pPr>
            <w:r>
              <w:rPr>
                <w:rFonts w:ascii="Arial" w:cs="Arial" w:eastAsia="Arial" w:hAnsi="Arial"/>
                <w:sz w:val="18"/>
                <w:szCs w:val="18"/>
                <w:color w:val="auto"/>
              </w:rPr>
              <w:t>Outstanding at December 31, 2018</w:t>
            </w:r>
          </w:p>
        </w:tc>
        <w:tc>
          <w:tcPr>
            <w:tcW w:w="204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4,320</w:t>
            </w:r>
          </w:p>
        </w:tc>
        <w:tc>
          <w:tcPr>
            <w:tcW w:w="2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190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44.29</w:t>
            </w:r>
          </w:p>
        </w:tc>
      </w:tr>
      <w:tr>
        <w:trPr>
          <w:trHeight w:val="263"/>
        </w:trPr>
        <w:tc>
          <w:tcPr>
            <w:tcW w:w="7200" w:type="dxa"/>
            <w:vAlign w:val="bottom"/>
          </w:tcPr>
          <w:p>
            <w:pPr>
              <w:ind w:left="280"/>
              <w:spacing w:after="0"/>
              <w:rPr>
                <w:sz w:val="20"/>
                <w:szCs w:val="20"/>
                <w:color w:val="auto"/>
              </w:rPr>
            </w:pPr>
            <w:r>
              <w:rPr>
                <w:rFonts w:ascii="Arial" w:cs="Arial" w:eastAsia="Arial" w:hAnsi="Arial"/>
                <w:sz w:val="18"/>
                <w:szCs w:val="18"/>
                <w:color w:val="auto"/>
              </w:rPr>
              <w:t>Granted</w:t>
            </w:r>
          </w:p>
        </w:tc>
        <w:tc>
          <w:tcPr>
            <w:tcW w:w="2040" w:type="dxa"/>
            <w:vAlign w:val="bottom"/>
          </w:tcPr>
          <w:p>
            <w:pPr>
              <w:jc w:val="right"/>
              <w:ind w:right="12"/>
              <w:spacing w:after="0"/>
              <w:rPr>
                <w:sz w:val="20"/>
                <w:szCs w:val="20"/>
                <w:color w:val="auto"/>
              </w:rPr>
            </w:pPr>
            <w:r>
              <w:rPr>
                <w:rFonts w:ascii="Arial" w:cs="Arial" w:eastAsia="Arial" w:hAnsi="Arial"/>
                <w:sz w:val="18"/>
                <w:szCs w:val="18"/>
                <w:color w:val="auto"/>
              </w:rPr>
              <w:t>3,206</w:t>
            </w:r>
          </w:p>
        </w:tc>
        <w:tc>
          <w:tcPr>
            <w:tcW w:w="12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900" w:type="dxa"/>
            <w:vAlign w:val="bottom"/>
          </w:tcPr>
          <w:p>
            <w:pPr>
              <w:jc w:val="right"/>
              <w:ind w:right="12"/>
              <w:spacing w:after="0"/>
              <w:rPr>
                <w:sz w:val="20"/>
                <w:szCs w:val="20"/>
                <w:color w:val="auto"/>
              </w:rPr>
            </w:pPr>
            <w:r>
              <w:rPr>
                <w:rFonts w:ascii="Arial" w:cs="Arial" w:eastAsia="Arial" w:hAnsi="Arial"/>
                <w:sz w:val="18"/>
                <w:szCs w:val="18"/>
                <w:color w:val="auto"/>
              </w:rPr>
              <w:t>34.00</w:t>
            </w:r>
          </w:p>
        </w:tc>
      </w:tr>
      <w:tr>
        <w:trPr>
          <w:trHeight w:val="277"/>
        </w:trPr>
        <w:tc>
          <w:tcPr>
            <w:tcW w:w="7200" w:type="dxa"/>
            <w:vAlign w:val="bottom"/>
            <w:shd w:val="clear" w:color="auto" w:fill="CCEEFF"/>
          </w:tcPr>
          <w:p>
            <w:pPr>
              <w:ind w:left="280"/>
              <w:spacing w:after="0"/>
              <w:rPr>
                <w:sz w:val="20"/>
                <w:szCs w:val="20"/>
                <w:color w:val="auto"/>
              </w:rPr>
            </w:pPr>
            <w:r>
              <w:rPr>
                <w:rFonts w:ascii="Arial" w:cs="Arial" w:eastAsia="Arial" w:hAnsi="Arial"/>
                <w:sz w:val="18"/>
                <w:szCs w:val="18"/>
                <w:color w:val="auto"/>
              </w:rPr>
              <w:t>Vested and released</w:t>
            </w:r>
          </w:p>
        </w:tc>
        <w:tc>
          <w:tcPr>
            <w:tcW w:w="2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(2,002)</w:t>
            </w:r>
          </w:p>
        </w:tc>
        <w:tc>
          <w:tcPr>
            <w:tcW w:w="12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190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44.90</w:t>
            </w:r>
          </w:p>
        </w:tc>
      </w:tr>
      <w:tr>
        <w:trPr>
          <w:trHeight w:val="264"/>
        </w:trPr>
        <w:tc>
          <w:tcPr>
            <w:tcW w:w="7200" w:type="dxa"/>
            <w:vAlign w:val="bottom"/>
            <w:tcBorders>
              <w:bottom w:val="single" w:sz="8" w:color="CCEEFF"/>
            </w:tcBorders>
          </w:tcPr>
          <w:p>
            <w:pPr>
              <w:ind w:left="280"/>
              <w:spacing w:after="0"/>
              <w:rPr>
                <w:sz w:val="20"/>
                <w:szCs w:val="20"/>
                <w:color w:val="auto"/>
              </w:rPr>
            </w:pPr>
            <w:r>
              <w:rPr>
                <w:rFonts w:ascii="Arial" w:cs="Arial" w:eastAsia="Arial" w:hAnsi="Arial"/>
                <w:sz w:val="18"/>
                <w:szCs w:val="18"/>
                <w:color w:val="auto"/>
              </w:rPr>
              <w:t>Forfeited</w:t>
            </w:r>
          </w:p>
        </w:tc>
        <w:tc>
          <w:tcPr>
            <w:tcW w:w="2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(337)</w:t>
            </w:r>
          </w:p>
        </w:tc>
        <w:tc>
          <w:tcPr>
            <w:tcW w:w="120" w:type="dxa"/>
            <w:vAlign w:val="bottom"/>
            <w:tcBorders>
              <w:bottom w:val="single" w:sz="8" w:color="CCEEFF"/>
            </w:tcBorders>
          </w:tcPr>
          <w:p>
            <w:pPr>
              <w:spacing w:after="0"/>
              <w:rPr>
                <w:sz w:val="22"/>
                <w:szCs w:val="22"/>
                <w:color w:val="auto"/>
              </w:rPr>
            </w:pPr>
          </w:p>
        </w:tc>
        <w:tc>
          <w:tcPr>
            <w:tcW w:w="160" w:type="dxa"/>
            <w:vAlign w:val="bottom"/>
            <w:tcBorders>
              <w:bottom w:val="single" w:sz="8" w:color="CCEEFF"/>
            </w:tcBorders>
          </w:tcPr>
          <w:p>
            <w:pPr>
              <w:spacing w:after="0"/>
              <w:rPr>
                <w:sz w:val="22"/>
                <w:szCs w:val="22"/>
                <w:color w:val="auto"/>
              </w:rPr>
            </w:pPr>
          </w:p>
        </w:tc>
        <w:tc>
          <w:tcPr>
            <w:tcW w:w="1900" w:type="dxa"/>
            <w:vAlign w:val="bottom"/>
            <w:tcBorders>
              <w:bottom w:val="single" w:sz="8" w:color="CCEEFF"/>
            </w:tcBorders>
          </w:tcPr>
          <w:p>
            <w:pPr>
              <w:jc w:val="right"/>
              <w:ind w:right="12"/>
              <w:spacing w:after="0"/>
              <w:rPr>
                <w:sz w:val="20"/>
                <w:szCs w:val="20"/>
                <w:color w:val="auto"/>
              </w:rPr>
            </w:pPr>
            <w:r>
              <w:rPr>
                <w:rFonts w:ascii="Arial" w:cs="Arial" w:eastAsia="Arial" w:hAnsi="Arial"/>
                <w:sz w:val="18"/>
                <w:szCs w:val="18"/>
                <w:color w:val="auto"/>
              </w:rPr>
              <w:t>42.55</w:t>
            </w:r>
          </w:p>
        </w:tc>
      </w:tr>
      <w:tr>
        <w:trPr>
          <w:trHeight w:val="257"/>
        </w:trPr>
        <w:tc>
          <w:tcPr>
            <w:tcW w:w="72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Outstanding at December 31, 2019</w:t>
            </w:r>
          </w:p>
        </w:tc>
        <w:tc>
          <w:tcPr>
            <w:tcW w:w="2040" w:type="dxa"/>
            <w:vAlign w:val="bottom"/>
            <w:tcBorders>
              <w:bottom w:val="single" w:sz="8" w:color="auto"/>
            </w:tcBorders>
            <w:shd w:val="clear" w:color="auto" w:fill="CCEEFF"/>
          </w:tcPr>
          <w:p>
            <w:pPr>
              <w:jc w:val="right"/>
              <w:ind w:right="12"/>
              <w:spacing w:after="0"/>
              <w:rPr>
                <w:sz w:val="20"/>
                <w:szCs w:val="20"/>
                <w:color w:val="auto"/>
              </w:rPr>
            </w:pPr>
            <w:r>
              <w:rPr>
                <w:rFonts w:ascii="Arial" w:cs="Arial" w:eastAsia="Arial" w:hAnsi="Arial"/>
                <w:sz w:val="18"/>
                <w:szCs w:val="18"/>
                <w:color w:val="auto"/>
              </w:rPr>
              <w:t>5,187</w:t>
            </w:r>
          </w:p>
        </w:tc>
        <w:tc>
          <w:tcPr>
            <w:tcW w:w="280" w:type="dxa"/>
            <w:vAlign w:val="bottom"/>
            <w:tcBorders>
              <w:bottom w:val="single" w:sz="8" w:color="CCEEFF"/>
            </w:tcBorders>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190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37.01</w:t>
            </w:r>
          </w:p>
        </w:tc>
      </w:tr>
      <w:tr>
        <w:trPr>
          <w:trHeight w:val="20"/>
        </w:trPr>
        <w:tc>
          <w:tcPr>
            <w:tcW w:w="7200" w:type="dxa"/>
            <w:vAlign w:val="bottom"/>
          </w:tcPr>
          <w:p>
            <w:pPr>
              <w:spacing w:after="0" w:line="20" w:lineRule="exact"/>
              <w:rPr>
                <w:sz w:val="1"/>
                <w:szCs w:val="1"/>
                <w:color w:val="auto"/>
              </w:rPr>
            </w:pPr>
          </w:p>
        </w:tc>
        <w:tc>
          <w:tcPr>
            <w:tcW w:w="20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900" w:type="dxa"/>
            <w:vAlign w:val="bottom"/>
          </w:tcPr>
          <w:p>
            <w:pPr>
              <w:spacing w:after="0" w:line="20" w:lineRule="exact"/>
              <w:rPr>
                <w:sz w:val="1"/>
                <w:szCs w:val="1"/>
                <w:color w:val="auto"/>
              </w:rPr>
            </w:pPr>
          </w:p>
        </w:tc>
      </w:tr>
    </w:tbl>
    <w:p>
      <w:pPr>
        <w:spacing w:after="0" w:line="200" w:lineRule="exact"/>
        <w:rPr>
          <w:sz w:val="20"/>
          <w:szCs w:val="20"/>
          <w:color w:val="auto"/>
        </w:rPr>
      </w:pPr>
    </w:p>
    <w:p>
      <w:pPr>
        <w:sectPr>
          <w:pgSz w:w="11900" w:h="16838" w:orient="portrait"/>
          <w:cols w:equalWidth="0" w:num="1">
            <w:col w:w="11420"/>
          </w:cols>
          <w:pgMar w:left="240" w:top="549" w:right="239" w:bottom="1440" w:gutter="0" w:footer="0" w:header="0"/>
        </w:sectPr>
      </w:pPr>
    </w:p>
    <w:p>
      <w:pPr>
        <w:spacing w:after="0" w:line="231"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112</w:t>
      </w:r>
    </w:p>
    <w:p>
      <w:pPr>
        <w:sectPr>
          <w:pgSz w:w="11900" w:h="16838" w:orient="portrait"/>
          <w:cols w:equalWidth="0" w:num="1">
            <w:col w:w="11420"/>
          </w:cols>
          <w:pgMar w:left="240" w:top="549" w:right="239" w:bottom="1440" w:gutter="0" w:footer="0" w:header="0"/>
          <w:type w:val="continuous"/>
        </w:sectPr>
      </w:pPr>
    </w:p>
    <w:bookmarkStart w:id="112" w:name="page113"/>
    <w:bookmarkEnd w:id="112"/>
    <w:p>
      <w:pPr>
        <w:jc w:val="center"/>
        <w:spacing w:after="0"/>
        <w:rPr>
          <w:sz w:val="20"/>
          <w:szCs w:val="20"/>
          <w:color w:val="auto"/>
        </w:rPr>
      </w:pPr>
      <w:r>
        <w:rPr>
          <w:rFonts w:ascii="Arial" w:cs="Arial" w:eastAsia="Arial" w:hAnsi="Arial"/>
          <w:sz w:val="18"/>
          <w:szCs w:val="18"/>
          <w:b w:val="1"/>
          <w:bCs w:val="1"/>
          <w:color w:val="auto"/>
        </w:rPr>
        <w:t>NOTES TO CONSOLIDATED FINANCIAL STATEMENTS OF AMERICAN AIRLINES GROUP INC.</w:t>
      </w:r>
    </w:p>
    <w:p>
      <w:pPr>
        <w:spacing w:after="0" w:line="200" w:lineRule="exact"/>
        <w:rPr>
          <w:sz w:val="20"/>
          <w:szCs w:val="20"/>
          <w:color w:val="auto"/>
        </w:rPr>
      </w:pPr>
    </w:p>
    <w:p>
      <w:pPr>
        <w:spacing w:after="0" w:line="209" w:lineRule="exact"/>
        <w:rPr>
          <w:sz w:val="20"/>
          <w:szCs w:val="20"/>
          <w:color w:val="auto"/>
        </w:rPr>
      </w:pPr>
    </w:p>
    <w:p>
      <w:pPr>
        <w:jc w:val="both"/>
        <w:ind w:firstLine="216"/>
        <w:spacing w:after="0" w:line="256" w:lineRule="auto"/>
        <w:rPr>
          <w:sz w:val="20"/>
          <w:szCs w:val="20"/>
          <w:color w:val="auto"/>
        </w:rPr>
      </w:pPr>
      <w:r>
        <w:rPr>
          <w:rFonts w:ascii="Arial" w:cs="Arial" w:eastAsia="Arial" w:hAnsi="Arial"/>
          <w:sz w:val="18"/>
          <w:szCs w:val="18"/>
          <w:color w:val="auto"/>
        </w:rPr>
        <w:t>As of December 31, 2019, there was $108 million of unrecognized compensation cost related to RSUs. These costs are expected to be recognized over a weighted average period of one year. The total fair value of RSUs vested during the years ended December 31, 2019, 2018 and 2017 was $68 million, $91 million and $123 million, respectively.</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16. Valuation and Qualifying Accounts (in millions)</w:t>
      </w:r>
    </w:p>
    <w:p>
      <w:pPr>
        <w:spacing w:after="0" w:line="343"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46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4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720" w:type="dxa"/>
            <w:vAlign w:val="bottom"/>
            <w:gridSpan w:val="3"/>
          </w:tcPr>
          <w:p>
            <w:pPr>
              <w:jc w:val="center"/>
              <w:ind w:right="100"/>
              <w:spacing w:after="0"/>
              <w:rPr>
                <w:sz w:val="20"/>
                <w:szCs w:val="20"/>
                <w:color w:val="auto"/>
              </w:rPr>
            </w:pPr>
            <w:r>
              <w:rPr>
                <w:rFonts w:ascii="Arial" w:cs="Arial" w:eastAsia="Arial" w:hAnsi="Arial"/>
                <w:sz w:val="14"/>
                <w:szCs w:val="14"/>
                <w:b w:val="1"/>
                <w:bCs w:val="1"/>
                <w:color w:val="auto"/>
              </w:rPr>
              <w:t>Additions Charged to</w:t>
            </w:r>
          </w:p>
        </w:tc>
        <w:tc>
          <w:tcPr>
            <w:tcW w:w="26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340" w:type="dxa"/>
            <w:vAlign w:val="bottom"/>
          </w:tcPr>
          <w:p>
            <w:pPr>
              <w:spacing w:after="0"/>
              <w:rPr>
                <w:sz w:val="14"/>
                <w:szCs w:val="14"/>
                <w:color w:val="auto"/>
              </w:rPr>
            </w:pPr>
          </w:p>
        </w:tc>
      </w:tr>
      <w:tr>
        <w:trPr>
          <w:trHeight w:val="162"/>
        </w:trPr>
        <w:tc>
          <w:tcPr>
            <w:tcW w:w="46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56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rPr>
              <w:t>Balance at</w:t>
            </w:r>
          </w:p>
        </w:tc>
        <w:tc>
          <w:tcPr>
            <w:tcW w:w="260" w:type="dxa"/>
            <w:vAlign w:val="bottom"/>
          </w:tcPr>
          <w:p>
            <w:pPr>
              <w:spacing w:after="0"/>
              <w:rPr>
                <w:sz w:val="14"/>
                <w:szCs w:val="14"/>
                <w:color w:val="auto"/>
              </w:rPr>
            </w:pPr>
          </w:p>
        </w:tc>
        <w:tc>
          <w:tcPr>
            <w:tcW w:w="1460" w:type="dxa"/>
            <w:vAlign w:val="bottom"/>
            <w:gridSpan w:val="2"/>
          </w:tcPr>
          <w:p>
            <w:pPr>
              <w:jc w:val="center"/>
              <w:ind w:right="360"/>
              <w:spacing w:after="0"/>
              <w:rPr>
                <w:sz w:val="20"/>
                <w:szCs w:val="20"/>
                <w:color w:val="auto"/>
              </w:rPr>
            </w:pPr>
            <w:r>
              <w:rPr>
                <w:rFonts w:ascii="Arial" w:cs="Arial" w:eastAsia="Arial" w:hAnsi="Arial"/>
                <w:sz w:val="14"/>
                <w:szCs w:val="14"/>
                <w:b w:val="1"/>
                <w:bCs w:val="1"/>
                <w:color w:val="auto"/>
              </w:rPr>
              <w:t>Statement of</w:t>
            </w:r>
          </w:p>
        </w:tc>
        <w:tc>
          <w:tcPr>
            <w:tcW w:w="26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340" w:type="dxa"/>
            <w:vAlign w:val="bottom"/>
          </w:tcPr>
          <w:p>
            <w:pPr>
              <w:jc w:val="right"/>
              <w:ind w:right="354"/>
              <w:spacing w:after="0"/>
              <w:rPr>
                <w:sz w:val="20"/>
                <w:szCs w:val="20"/>
                <w:color w:val="auto"/>
              </w:rPr>
            </w:pPr>
            <w:r>
              <w:rPr>
                <w:rFonts w:ascii="Arial" w:cs="Arial" w:eastAsia="Arial" w:hAnsi="Arial"/>
                <w:sz w:val="14"/>
                <w:szCs w:val="14"/>
                <w:b w:val="1"/>
                <w:bCs w:val="1"/>
                <w:color w:val="auto"/>
              </w:rPr>
              <w:t>Balance at</w:t>
            </w:r>
          </w:p>
        </w:tc>
      </w:tr>
      <w:tr>
        <w:trPr>
          <w:trHeight w:val="196"/>
        </w:trPr>
        <w:tc>
          <w:tcPr>
            <w:tcW w:w="46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56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rPr>
              <w:t>Beginning of Year</w:t>
            </w:r>
          </w:p>
        </w:tc>
        <w:tc>
          <w:tcPr>
            <w:tcW w:w="1720" w:type="dxa"/>
            <w:vAlign w:val="bottom"/>
            <w:gridSpan w:val="3"/>
          </w:tcPr>
          <w:p>
            <w:pPr>
              <w:jc w:val="center"/>
              <w:ind w:right="100"/>
              <w:spacing w:after="0"/>
              <w:rPr>
                <w:sz w:val="20"/>
                <w:szCs w:val="20"/>
                <w:color w:val="auto"/>
              </w:rPr>
            </w:pPr>
            <w:r>
              <w:rPr>
                <w:rFonts w:ascii="Arial" w:cs="Arial" w:eastAsia="Arial" w:hAnsi="Arial"/>
                <w:sz w:val="14"/>
                <w:szCs w:val="14"/>
                <w:b w:val="1"/>
                <w:bCs w:val="1"/>
                <w:color w:val="auto"/>
              </w:rPr>
              <w:t>Operations Accounts</w:t>
            </w:r>
          </w:p>
        </w:tc>
        <w:tc>
          <w:tcPr>
            <w:tcW w:w="260" w:type="dxa"/>
            <w:vAlign w:val="bottom"/>
          </w:tcPr>
          <w:p>
            <w:pPr>
              <w:spacing w:after="0"/>
              <w:rPr>
                <w:sz w:val="17"/>
                <w:szCs w:val="17"/>
                <w:color w:val="auto"/>
              </w:rPr>
            </w:pPr>
          </w:p>
        </w:tc>
        <w:tc>
          <w:tcPr>
            <w:tcW w:w="1460" w:type="dxa"/>
            <w:vAlign w:val="bottom"/>
            <w:gridSpan w:val="2"/>
          </w:tcPr>
          <w:p>
            <w:pPr>
              <w:ind w:left="140"/>
              <w:spacing w:after="0"/>
              <w:rPr>
                <w:sz w:val="20"/>
                <w:szCs w:val="20"/>
                <w:color w:val="auto"/>
              </w:rPr>
            </w:pPr>
            <w:r>
              <w:rPr>
                <w:rFonts w:ascii="Arial" w:cs="Arial" w:eastAsia="Arial" w:hAnsi="Arial"/>
                <w:sz w:val="14"/>
                <w:szCs w:val="14"/>
                <w:b w:val="1"/>
                <w:bCs w:val="1"/>
                <w:color w:val="auto"/>
              </w:rPr>
              <w:t>Deductions</w:t>
            </w:r>
          </w:p>
        </w:tc>
        <w:tc>
          <w:tcPr>
            <w:tcW w:w="260" w:type="dxa"/>
            <w:vAlign w:val="bottom"/>
          </w:tcPr>
          <w:p>
            <w:pPr>
              <w:spacing w:after="0"/>
              <w:rPr>
                <w:sz w:val="17"/>
                <w:szCs w:val="17"/>
                <w:color w:val="auto"/>
              </w:rPr>
            </w:pPr>
          </w:p>
        </w:tc>
        <w:tc>
          <w:tcPr>
            <w:tcW w:w="1340" w:type="dxa"/>
            <w:vAlign w:val="bottom"/>
          </w:tcPr>
          <w:p>
            <w:pPr>
              <w:jc w:val="right"/>
              <w:ind w:right="314"/>
              <w:spacing w:after="0"/>
              <w:rPr>
                <w:sz w:val="20"/>
                <w:szCs w:val="20"/>
                <w:color w:val="auto"/>
              </w:rPr>
            </w:pPr>
            <w:r>
              <w:rPr>
                <w:rFonts w:ascii="Arial" w:cs="Arial" w:eastAsia="Arial" w:hAnsi="Arial"/>
                <w:sz w:val="14"/>
                <w:szCs w:val="14"/>
                <w:b w:val="1"/>
                <w:bCs w:val="1"/>
                <w:color w:val="auto"/>
              </w:rPr>
              <w:t>End of Year</w:t>
            </w:r>
          </w:p>
        </w:tc>
      </w:tr>
      <w:tr>
        <w:trPr>
          <w:trHeight w:val="250"/>
        </w:trPr>
        <w:tc>
          <w:tcPr>
            <w:tcW w:w="4660" w:type="dxa"/>
            <w:vAlign w:val="bottom"/>
            <w:tcBorders>
              <w:top w:val="single" w:sz="8" w:color="CCEEFF"/>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Allowance for obsolescence of spare parts</w:t>
            </w:r>
          </w:p>
        </w:tc>
        <w:tc>
          <w:tcPr>
            <w:tcW w:w="160" w:type="dxa"/>
            <w:vAlign w:val="bottom"/>
            <w:tcBorders>
              <w:top w:val="single" w:sz="8" w:color="auto"/>
              <w:bottom w:val="single" w:sz="8" w:color="CCEEFF"/>
            </w:tcBorders>
            <w:shd w:val="clear" w:color="auto" w:fill="CCEEFF"/>
          </w:tcPr>
          <w:p>
            <w:pPr>
              <w:spacing w:after="0"/>
              <w:rPr>
                <w:sz w:val="21"/>
                <w:szCs w:val="21"/>
                <w:color w:val="auto"/>
              </w:rPr>
            </w:pPr>
          </w:p>
        </w:tc>
        <w:tc>
          <w:tcPr>
            <w:tcW w:w="1460" w:type="dxa"/>
            <w:vAlign w:val="bottom"/>
            <w:tcBorders>
              <w:top w:val="single" w:sz="8" w:color="auto"/>
              <w:bottom w:val="single" w:sz="8" w:color="CCEEFF"/>
            </w:tcBorders>
            <w:shd w:val="clear" w:color="auto" w:fill="CCEEFF"/>
          </w:tcPr>
          <w:p>
            <w:pPr>
              <w:spacing w:after="0"/>
              <w:rPr>
                <w:sz w:val="21"/>
                <w:szCs w:val="21"/>
                <w:color w:val="auto"/>
              </w:rPr>
            </w:pP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260" w:type="dxa"/>
            <w:vAlign w:val="bottom"/>
            <w:tcBorders>
              <w:top w:val="single" w:sz="8" w:color="auto"/>
              <w:bottom w:val="single" w:sz="8" w:color="CCEEFF"/>
            </w:tcBorders>
            <w:shd w:val="clear" w:color="auto" w:fill="CCEEFF"/>
          </w:tcPr>
          <w:p>
            <w:pPr>
              <w:spacing w:after="0"/>
              <w:rPr>
                <w:sz w:val="21"/>
                <w:szCs w:val="21"/>
                <w:color w:val="auto"/>
              </w:rPr>
            </w:pPr>
          </w:p>
        </w:tc>
        <w:tc>
          <w:tcPr>
            <w:tcW w:w="1340" w:type="dxa"/>
            <w:vAlign w:val="bottom"/>
            <w:tcBorders>
              <w:top w:val="single" w:sz="8" w:color="auto"/>
              <w:bottom w:val="single" w:sz="8" w:color="CCEEFF"/>
            </w:tcBorders>
            <w:shd w:val="clear" w:color="auto" w:fill="CCEEFF"/>
          </w:tcPr>
          <w:p>
            <w:pPr>
              <w:spacing w:after="0"/>
              <w:rPr>
                <w:sz w:val="21"/>
                <w:szCs w:val="21"/>
                <w:color w:val="auto"/>
              </w:rPr>
            </w:pP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260" w:type="dxa"/>
            <w:vAlign w:val="bottom"/>
            <w:tcBorders>
              <w:top w:val="single" w:sz="8" w:color="auto"/>
              <w:bottom w:val="single" w:sz="8" w:color="CCEEFF"/>
            </w:tcBorders>
            <w:shd w:val="clear" w:color="auto" w:fill="CCEEFF"/>
          </w:tcPr>
          <w:p>
            <w:pPr>
              <w:spacing w:after="0"/>
              <w:rPr>
                <w:sz w:val="21"/>
                <w:szCs w:val="21"/>
                <w:color w:val="auto"/>
              </w:rPr>
            </w:pPr>
          </w:p>
        </w:tc>
        <w:tc>
          <w:tcPr>
            <w:tcW w:w="1340" w:type="dxa"/>
            <w:vAlign w:val="bottom"/>
            <w:tcBorders>
              <w:top w:val="single" w:sz="8" w:color="auto"/>
              <w:bottom w:val="single" w:sz="8" w:color="CCEEFF"/>
            </w:tcBorders>
            <w:shd w:val="clear" w:color="auto" w:fill="CCEEFF"/>
          </w:tcPr>
          <w:p>
            <w:pPr>
              <w:spacing w:after="0"/>
              <w:rPr>
                <w:sz w:val="21"/>
                <w:szCs w:val="21"/>
                <w:color w:val="auto"/>
              </w:rPr>
            </w:pP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260" w:type="dxa"/>
            <w:vAlign w:val="bottom"/>
            <w:tcBorders>
              <w:top w:val="single" w:sz="8" w:color="auto"/>
              <w:bottom w:val="single" w:sz="8" w:color="CCEEFF"/>
            </w:tcBorders>
            <w:shd w:val="clear" w:color="auto" w:fill="CCEEFF"/>
          </w:tcPr>
          <w:p>
            <w:pPr>
              <w:spacing w:after="0"/>
              <w:rPr>
                <w:sz w:val="21"/>
                <w:szCs w:val="21"/>
                <w:color w:val="auto"/>
              </w:rPr>
            </w:pPr>
          </w:p>
        </w:tc>
        <w:tc>
          <w:tcPr>
            <w:tcW w:w="1340" w:type="dxa"/>
            <w:vAlign w:val="bottom"/>
            <w:tcBorders>
              <w:top w:val="single" w:sz="8" w:color="auto"/>
              <w:bottom w:val="single" w:sz="8" w:color="CCEEFF"/>
            </w:tcBorders>
            <w:shd w:val="clear" w:color="auto" w:fill="CCEEFF"/>
          </w:tcPr>
          <w:p>
            <w:pPr>
              <w:spacing w:after="0"/>
              <w:rPr>
                <w:sz w:val="21"/>
                <w:szCs w:val="21"/>
                <w:color w:val="auto"/>
              </w:rPr>
            </w:pPr>
          </w:p>
        </w:tc>
      </w:tr>
      <w:tr>
        <w:trPr>
          <w:trHeight w:val="263"/>
        </w:trPr>
        <w:tc>
          <w:tcPr>
            <w:tcW w:w="4660" w:type="dxa"/>
            <w:vAlign w:val="bottom"/>
          </w:tcPr>
          <w:p>
            <w:pPr>
              <w:ind w:left="180"/>
              <w:spacing w:after="0"/>
              <w:rPr>
                <w:sz w:val="20"/>
                <w:szCs w:val="20"/>
                <w:color w:val="auto"/>
              </w:rPr>
            </w:pPr>
            <w:r>
              <w:rPr>
                <w:rFonts w:ascii="Arial" w:cs="Arial" w:eastAsia="Arial" w:hAnsi="Arial"/>
                <w:sz w:val="18"/>
                <w:szCs w:val="18"/>
                <w:color w:val="auto"/>
              </w:rPr>
              <w:t>Year ended December 31, 2019</w:t>
            </w:r>
          </w:p>
        </w:tc>
        <w:tc>
          <w:tcPr>
            <w:tcW w:w="160" w:type="dxa"/>
            <w:vAlign w:val="bottom"/>
          </w:tcPr>
          <w:p>
            <w:pPr>
              <w:jc w:val="right"/>
              <w:spacing w:after="0"/>
              <w:rPr>
                <w:sz w:val="20"/>
                <w:szCs w:val="20"/>
                <w:color w:val="auto"/>
              </w:rPr>
            </w:pPr>
            <w:r>
              <w:rPr>
                <w:rFonts w:ascii="Arial" w:cs="Arial" w:eastAsia="Arial" w:hAnsi="Arial"/>
                <w:sz w:val="18"/>
                <w:szCs w:val="18"/>
                <w:color w:val="auto"/>
              </w:rPr>
              <w:t>$</w:t>
            </w:r>
          </w:p>
        </w:tc>
        <w:tc>
          <w:tcPr>
            <w:tcW w:w="1460" w:type="dxa"/>
            <w:vAlign w:val="bottom"/>
          </w:tcPr>
          <w:p>
            <w:pPr>
              <w:jc w:val="right"/>
              <w:ind w:right="34"/>
              <w:spacing w:after="0"/>
              <w:rPr>
                <w:sz w:val="20"/>
                <w:szCs w:val="20"/>
                <w:color w:val="auto"/>
              </w:rPr>
            </w:pPr>
            <w:r>
              <w:rPr>
                <w:rFonts w:ascii="Arial" w:cs="Arial" w:eastAsia="Arial" w:hAnsi="Arial"/>
                <w:sz w:val="18"/>
                <w:szCs w:val="18"/>
                <w:color w:val="auto"/>
              </w:rPr>
              <w:t>814</w:t>
            </w:r>
          </w:p>
        </w:tc>
        <w:tc>
          <w:tcPr>
            <w:tcW w:w="100" w:type="dxa"/>
            <w:vAlign w:val="bottom"/>
          </w:tcPr>
          <w:p>
            <w:pPr>
              <w:spacing w:after="0"/>
              <w:rPr>
                <w:sz w:val="22"/>
                <w:szCs w:val="22"/>
                <w:color w:val="auto"/>
              </w:rPr>
            </w:pPr>
          </w:p>
        </w:tc>
        <w:tc>
          <w:tcPr>
            <w:tcW w:w="260" w:type="dxa"/>
            <w:vAlign w:val="bottom"/>
          </w:tcPr>
          <w:p>
            <w:pPr>
              <w:jc w:val="right"/>
              <w:ind w:right="59"/>
              <w:spacing w:after="0"/>
              <w:rPr>
                <w:sz w:val="20"/>
                <w:szCs w:val="20"/>
                <w:color w:val="auto"/>
              </w:rPr>
            </w:pPr>
            <w:r>
              <w:rPr>
                <w:rFonts w:ascii="Arial" w:cs="Arial" w:eastAsia="Arial" w:hAnsi="Arial"/>
                <w:sz w:val="18"/>
                <w:szCs w:val="18"/>
                <w:color w:val="auto"/>
                <w:w w:val="99"/>
              </w:rPr>
              <w:t>$</w:t>
            </w:r>
          </w:p>
        </w:tc>
        <w:tc>
          <w:tcPr>
            <w:tcW w:w="1340" w:type="dxa"/>
            <w:vAlign w:val="bottom"/>
          </w:tcPr>
          <w:p>
            <w:pPr>
              <w:jc w:val="right"/>
              <w:ind w:right="13"/>
              <w:spacing w:after="0"/>
              <w:rPr>
                <w:sz w:val="20"/>
                <w:szCs w:val="20"/>
                <w:color w:val="auto"/>
              </w:rPr>
            </w:pPr>
            <w:r>
              <w:rPr>
                <w:rFonts w:ascii="Arial" w:cs="Arial" w:eastAsia="Arial" w:hAnsi="Arial"/>
                <w:sz w:val="18"/>
                <w:szCs w:val="18"/>
                <w:color w:val="auto"/>
              </w:rPr>
              <w:t>91</w:t>
            </w:r>
          </w:p>
        </w:tc>
        <w:tc>
          <w:tcPr>
            <w:tcW w:w="120" w:type="dxa"/>
            <w:vAlign w:val="bottom"/>
          </w:tcPr>
          <w:p>
            <w:pPr>
              <w:spacing w:after="0"/>
              <w:rPr>
                <w:sz w:val="22"/>
                <w:szCs w:val="22"/>
                <w:color w:val="auto"/>
              </w:rPr>
            </w:pPr>
          </w:p>
        </w:tc>
        <w:tc>
          <w:tcPr>
            <w:tcW w:w="260" w:type="dxa"/>
            <w:vAlign w:val="bottom"/>
          </w:tcPr>
          <w:p>
            <w:pPr>
              <w:jc w:val="right"/>
              <w:ind w:right="50"/>
              <w:spacing w:after="0"/>
              <w:rPr>
                <w:sz w:val="20"/>
                <w:szCs w:val="20"/>
                <w:color w:val="auto"/>
              </w:rPr>
            </w:pPr>
            <w:r>
              <w:rPr>
                <w:rFonts w:ascii="Arial" w:cs="Arial" w:eastAsia="Arial" w:hAnsi="Arial"/>
                <w:sz w:val="18"/>
                <w:szCs w:val="18"/>
                <w:color w:val="auto"/>
                <w:w w:val="99"/>
              </w:rPr>
              <w:t>$</w:t>
            </w:r>
          </w:p>
        </w:tc>
        <w:tc>
          <w:tcPr>
            <w:tcW w:w="1340" w:type="dxa"/>
            <w:vAlign w:val="bottom"/>
          </w:tcPr>
          <w:p>
            <w:pPr>
              <w:jc w:val="right"/>
              <w:spacing w:after="0"/>
              <w:rPr>
                <w:sz w:val="20"/>
                <w:szCs w:val="20"/>
                <w:color w:val="auto"/>
              </w:rPr>
            </w:pPr>
            <w:r>
              <w:rPr>
                <w:rFonts w:ascii="Arial" w:cs="Arial" w:eastAsia="Arial" w:hAnsi="Arial"/>
                <w:sz w:val="18"/>
                <w:szCs w:val="18"/>
                <w:color w:val="auto"/>
              </w:rPr>
              <w:t>(121)</w:t>
            </w:r>
          </w:p>
        </w:tc>
        <w:tc>
          <w:tcPr>
            <w:tcW w:w="120" w:type="dxa"/>
            <w:vAlign w:val="bottom"/>
          </w:tcPr>
          <w:p>
            <w:pPr>
              <w:spacing w:after="0"/>
              <w:rPr>
                <w:sz w:val="22"/>
                <w:szCs w:val="22"/>
                <w:color w:val="auto"/>
              </w:rPr>
            </w:pPr>
          </w:p>
        </w:tc>
        <w:tc>
          <w:tcPr>
            <w:tcW w:w="260" w:type="dxa"/>
            <w:vAlign w:val="bottom"/>
          </w:tcPr>
          <w:p>
            <w:pPr>
              <w:jc w:val="right"/>
              <w:ind w:right="50"/>
              <w:spacing w:after="0"/>
              <w:rPr>
                <w:sz w:val="20"/>
                <w:szCs w:val="20"/>
                <w:color w:val="auto"/>
              </w:rPr>
            </w:pPr>
            <w:r>
              <w:rPr>
                <w:rFonts w:ascii="Arial" w:cs="Arial" w:eastAsia="Arial" w:hAnsi="Arial"/>
                <w:sz w:val="18"/>
                <w:szCs w:val="18"/>
                <w:color w:val="auto"/>
                <w:w w:val="99"/>
              </w:rPr>
              <w:t>$</w:t>
            </w:r>
          </w:p>
        </w:tc>
        <w:tc>
          <w:tcPr>
            <w:tcW w:w="1340" w:type="dxa"/>
            <w:vAlign w:val="bottom"/>
          </w:tcPr>
          <w:p>
            <w:pPr>
              <w:jc w:val="right"/>
              <w:ind w:right="14"/>
              <w:spacing w:after="0"/>
              <w:rPr>
                <w:sz w:val="20"/>
                <w:szCs w:val="20"/>
                <w:color w:val="auto"/>
              </w:rPr>
            </w:pPr>
            <w:r>
              <w:rPr>
                <w:rFonts w:ascii="Arial" w:cs="Arial" w:eastAsia="Arial" w:hAnsi="Arial"/>
                <w:sz w:val="18"/>
                <w:szCs w:val="18"/>
                <w:color w:val="auto"/>
              </w:rPr>
              <w:t>784</w:t>
            </w:r>
          </w:p>
        </w:tc>
      </w:tr>
      <w:tr>
        <w:trPr>
          <w:trHeight w:val="277"/>
        </w:trPr>
        <w:tc>
          <w:tcPr>
            <w:tcW w:w="4660" w:type="dxa"/>
            <w:vAlign w:val="bottom"/>
            <w:shd w:val="clear" w:color="auto" w:fill="CCEEFF"/>
          </w:tcPr>
          <w:p>
            <w:pPr>
              <w:ind w:left="180"/>
              <w:spacing w:after="0"/>
              <w:rPr>
                <w:sz w:val="20"/>
                <w:szCs w:val="20"/>
                <w:color w:val="auto"/>
              </w:rPr>
            </w:pPr>
            <w:r>
              <w:rPr>
                <w:rFonts w:ascii="Arial" w:cs="Arial" w:eastAsia="Arial" w:hAnsi="Arial"/>
                <w:sz w:val="18"/>
                <w:szCs w:val="18"/>
                <w:color w:val="auto"/>
              </w:rPr>
              <w:t>Year ended December 31, 2018</w:t>
            </w:r>
          </w:p>
        </w:tc>
        <w:tc>
          <w:tcPr>
            <w:tcW w:w="160" w:type="dxa"/>
            <w:vAlign w:val="bottom"/>
            <w:shd w:val="clear" w:color="auto" w:fill="CCEEFF"/>
          </w:tcPr>
          <w:p>
            <w:pPr>
              <w:spacing w:after="0"/>
              <w:rPr>
                <w:sz w:val="24"/>
                <w:szCs w:val="24"/>
                <w:color w:val="auto"/>
              </w:rPr>
            </w:pPr>
          </w:p>
        </w:tc>
        <w:tc>
          <w:tcPr>
            <w:tcW w:w="1460" w:type="dxa"/>
            <w:vAlign w:val="bottom"/>
            <w:shd w:val="clear" w:color="auto" w:fill="CCEEFF"/>
          </w:tcPr>
          <w:p>
            <w:pPr>
              <w:jc w:val="right"/>
              <w:ind w:right="34"/>
              <w:spacing w:after="0"/>
              <w:rPr>
                <w:sz w:val="20"/>
                <w:szCs w:val="20"/>
                <w:color w:val="auto"/>
              </w:rPr>
            </w:pPr>
            <w:r>
              <w:rPr>
                <w:rFonts w:ascii="Arial" w:cs="Arial" w:eastAsia="Arial" w:hAnsi="Arial"/>
                <w:sz w:val="18"/>
                <w:szCs w:val="18"/>
                <w:color w:val="auto"/>
              </w:rPr>
              <w:t>769</w:t>
            </w:r>
          </w:p>
        </w:tc>
        <w:tc>
          <w:tcPr>
            <w:tcW w:w="100" w:type="dxa"/>
            <w:vAlign w:val="bottom"/>
            <w:shd w:val="clear" w:color="auto" w:fill="CCEEFF"/>
          </w:tcPr>
          <w:p>
            <w:pPr>
              <w:spacing w:after="0"/>
              <w:rPr>
                <w:sz w:val="24"/>
                <w:szCs w:val="24"/>
                <w:color w:val="auto"/>
              </w:rPr>
            </w:pPr>
          </w:p>
        </w:tc>
        <w:tc>
          <w:tcPr>
            <w:tcW w:w="260" w:type="dxa"/>
            <w:vAlign w:val="bottom"/>
            <w:shd w:val="clear" w:color="auto" w:fill="CCEEFF"/>
          </w:tcPr>
          <w:p>
            <w:pPr>
              <w:spacing w:after="0"/>
              <w:rPr>
                <w:sz w:val="24"/>
                <w:szCs w:val="24"/>
                <w:color w:val="auto"/>
              </w:rPr>
            </w:pPr>
          </w:p>
        </w:tc>
        <w:tc>
          <w:tcPr>
            <w:tcW w:w="1340" w:type="dxa"/>
            <w:vAlign w:val="bottom"/>
            <w:shd w:val="clear" w:color="auto" w:fill="CCEEFF"/>
          </w:tcPr>
          <w:p>
            <w:pPr>
              <w:jc w:val="right"/>
              <w:ind w:right="13"/>
              <w:spacing w:after="0"/>
              <w:rPr>
                <w:sz w:val="20"/>
                <w:szCs w:val="20"/>
                <w:color w:val="auto"/>
              </w:rPr>
            </w:pPr>
            <w:r>
              <w:rPr>
                <w:rFonts w:ascii="Arial" w:cs="Arial" w:eastAsia="Arial" w:hAnsi="Arial"/>
                <w:sz w:val="18"/>
                <w:szCs w:val="18"/>
                <w:color w:val="auto"/>
              </w:rPr>
              <w:t>70</w:t>
            </w:r>
          </w:p>
        </w:tc>
        <w:tc>
          <w:tcPr>
            <w:tcW w:w="120" w:type="dxa"/>
            <w:vAlign w:val="bottom"/>
            <w:shd w:val="clear" w:color="auto" w:fill="CCEEFF"/>
          </w:tcPr>
          <w:p>
            <w:pPr>
              <w:spacing w:after="0"/>
              <w:rPr>
                <w:sz w:val="24"/>
                <w:szCs w:val="24"/>
                <w:color w:val="auto"/>
              </w:rPr>
            </w:pPr>
          </w:p>
        </w:tc>
        <w:tc>
          <w:tcPr>
            <w:tcW w:w="260" w:type="dxa"/>
            <w:vAlign w:val="bottom"/>
            <w:shd w:val="clear" w:color="auto" w:fill="CCEEFF"/>
          </w:tcPr>
          <w:p>
            <w:pPr>
              <w:spacing w:after="0"/>
              <w:rPr>
                <w:sz w:val="24"/>
                <w:szCs w:val="24"/>
                <w:color w:val="auto"/>
              </w:rPr>
            </w:pPr>
          </w:p>
        </w:tc>
        <w:tc>
          <w:tcPr>
            <w:tcW w:w="1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w:t>
            </w:r>
          </w:p>
        </w:tc>
        <w:tc>
          <w:tcPr>
            <w:tcW w:w="120" w:type="dxa"/>
            <w:vAlign w:val="bottom"/>
            <w:shd w:val="clear" w:color="auto" w:fill="CCEEFF"/>
          </w:tcPr>
          <w:p>
            <w:pPr>
              <w:spacing w:after="0"/>
              <w:rPr>
                <w:sz w:val="24"/>
                <w:szCs w:val="24"/>
                <w:color w:val="auto"/>
              </w:rPr>
            </w:pPr>
          </w:p>
        </w:tc>
        <w:tc>
          <w:tcPr>
            <w:tcW w:w="260" w:type="dxa"/>
            <w:vAlign w:val="bottom"/>
            <w:shd w:val="clear" w:color="auto" w:fill="CCEEFF"/>
          </w:tcPr>
          <w:p>
            <w:pPr>
              <w:spacing w:after="0"/>
              <w:rPr>
                <w:sz w:val="24"/>
                <w:szCs w:val="24"/>
                <w:color w:val="auto"/>
              </w:rPr>
            </w:pPr>
          </w:p>
        </w:tc>
        <w:tc>
          <w:tcPr>
            <w:tcW w:w="1340" w:type="dxa"/>
            <w:vAlign w:val="bottom"/>
            <w:shd w:val="clear" w:color="auto" w:fill="CCEEFF"/>
          </w:tcPr>
          <w:p>
            <w:pPr>
              <w:jc w:val="right"/>
              <w:ind w:right="14"/>
              <w:spacing w:after="0"/>
              <w:rPr>
                <w:sz w:val="20"/>
                <w:szCs w:val="20"/>
                <w:color w:val="auto"/>
              </w:rPr>
            </w:pPr>
            <w:r>
              <w:rPr>
                <w:rFonts w:ascii="Arial" w:cs="Arial" w:eastAsia="Arial" w:hAnsi="Arial"/>
                <w:sz w:val="18"/>
                <w:szCs w:val="18"/>
                <w:color w:val="auto"/>
              </w:rPr>
              <w:t>814</w:t>
            </w:r>
          </w:p>
        </w:tc>
      </w:tr>
      <w:tr>
        <w:trPr>
          <w:trHeight w:val="263"/>
        </w:trPr>
        <w:tc>
          <w:tcPr>
            <w:tcW w:w="4660" w:type="dxa"/>
            <w:vAlign w:val="bottom"/>
          </w:tcPr>
          <w:p>
            <w:pPr>
              <w:ind w:left="180"/>
              <w:spacing w:after="0"/>
              <w:rPr>
                <w:sz w:val="20"/>
                <w:szCs w:val="20"/>
                <w:color w:val="auto"/>
              </w:rPr>
            </w:pPr>
            <w:r>
              <w:rPr>
                <w:rFonts w:ascii="Arial" w:cs="Arial" w:eastAsia="Arial" w:hAnsi="Arial"/>
                <w:sz w:val="18"/>
                <w:szCs w:val="18"/>
                <w:color w:val="auto"/>
              </w:rPr>
              <w:t>Year ended December 31, 2017</w:t>
            </w:r>
          </w:p>
        </w:tc>
        <w:tc>
          <w:tcPr>
            <w:tcW w:w="160" w:type="dxa"/>
            <w:vAlign w:val="bottom"/>
          </w:tcPr>
          <w:p>
            <w:pPr>
              <w:spacing w:after="0"/>
              <w:rPr>
                <w:sz w:val="22"/>
                <w:szCs w:val="22"/>
                <w:color w:val="auto"/>
              </w:rPr>
            </w:pPr>
          </w:p>
        </w:tc>
        <w:tc>
          <w:tcPr>
            <w:tcW w:w="1460" w:type="dxa"/>
            <w:vAlign w:val="bottom"/>
          </w:tcPr>
          <w:p>
            <w:pPr>
              <w:jc w:val="right"/>
              <w:ind w:right="34"/>
              <w:spacing w:after="0"/>
              <w:rPr>
                <w:sz w:val="20"/>
                <w:szCs w:val="20"/>
                <w:color w:val="auto"/>
              </w:rPr>
            </w:pPr>
            <w:r>
              <w:rPr>
                <w:rFonts w:ascii="Arial" w:cs="Arial" w:eastAsia="Arial" w:hAnsi="Arial"/>
                <w:sz w:val="18"/>
                <w:szCs w:val="18"/>
                <w:color w:val="auto"/>
              </w:rPr>
              <w:t>765</w:t>
            </w:r>
          </w:p>
        </w:tc>
        <w:tc>
          <w:tcPr>
            <w:tcW w:w="10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1340" w:type="dxa"/>
            <w:vAlign w:val="bottom"/>
          </w:tcPr>
          <w:p>
            <w:pPr>
              <w:jc w:val="right"/>
              <w:ind w:right="13"/>
              <w:spacing w:after="0"/>
              <w:rPr>
                <w:sz w:val="20"/>
                <w:szCs w:val="20"/>
                <w:color w:val="auto"/>
              </w:rPr>
            </w:pPr>
            <w:r>
              <w:rPr>
                <w:rFonts w:ascii="Arial" w:cs="Arial" w:eastAsia="Arial" w:hAnsi="Arial"/>
                <w:sz w:val="18"/>
                <w:szCs w:val="18"/>
                <w:color w:val="auto"/>
              </w:rPr>
              <w:t>29</w:t>
            </w:r>
          </w:p>
        </w:tc>
        <w:tc>
          <w:tcPr>
            <w:tcW w:w="12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(25)</w:t>
            </w:r>
          </w:p>
        </w:tc>
        <w:tc>
          <w:tcPr>
            <w:tcW w:w="12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1340" w:type="dxa"/>
            <w:vAlign w:val="bottom"/>
          </w:tcPr>
          <w:p>
            <w:pPr>
              <w:jc w:val="right"/>
              <w:ind w:right="14"/>
              <w:spacing w:after="0"/>
              <w:rPr>
                <w:sz w:val="20"/>
                <w:szCs w:val="20"/>
                <w:color w:val="auto"/>
              </w:rPr>
            </w:pPr>
            <w:r>
              <w:rPr>
                <w:rFonts w:ascii="Arial" w:cs="Arial" w:eastAsia="Arial" w:hAnsi="Arial"/>
                <w:sz w:val="18"/>
                <w:szCs w:val="18"/>
                <w:color w:val="auto"/>
              </w:rPr>
              <w:t>769</w:t>
            </w:r>
          </w:p>
        </w:tc>
      </w:tr>
      <w:tr>
        <w:trPr>
          <w:trHeight w:val="257"/>
        </w:trPr>
        <w:tc>
          <w:tcPr>
            <w:tcW w:w="46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Allowance for uncollectible accounts</w:t>
            </w:r>
          </w:p>
        </w:tc>
        <w:tc>
          <w:tcPr>
            <w:tcW w:w="160" w:type="dxa"/>
            <w:vAlign w:val="bottom"/>
            <w:tcBorders>
              <w:bottom w:val="single" w:sz="8" w:color="CCEEFF"/>
            </w:tcBorders>
            <w:shd w:val="clear" w:color="auto" w:fill="CCEEFF"/>
          </w:tcPr>
          <w:p>
            <w:pPr>
              <w:spacing w:after="0"/>
              <w:rPr>
                <w:sz w:val="22"/>
                <w:szCs w:val="22"/>
                <w:color w:val="auto"/>
              </w:rPr>
            </w:pPr>
          </w:p>
        </w:tc>
        <w:tc>
          <w:tcPr>
            <w:tcW w:w="146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260" w:type="dxa"/>
            <w:vAlign w:val="bottom"/>
            <w:tcBorders>
              <w:bottom w:val="single" w:sz="8" w:color="CCEEFF"/>
            </w:tcBorders>
            <w:shd w:val="clear" w:color="auto" w:fill="CCEEFF"/>
          </w:tcPr>
          <w:p>
            <w:pPr>
              <w:spacing w:after="0"/>
              <w:rPr>
                <w:sz w:val="22"/>
                <w:szCs w:val="22"/>
                <w:color w:val="auto"/>
              </w:rPr>
            </w:pPr>
          </w:p>
        </w:tc>
        <w:tc>
          <w:tcPr>
            <w:tcW w:w="134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260" w:type="dxa"/>
            <w:vAlign w:val="bottom"/>
            <w:tcBorders>
              <w:bottom w:val="single" w:sz="8" w:color="CCEEFF"/>
            </w:tcBorders>
            <w:shd w:val="clear" w:color="auto" w:fill="CCEEFF"/>
          </w:tcPr>
          <w:p>
            <w:pPr>
              <w:spacing w:after="0"/>
              <w:rPr>
                <w:sz w:val="22"/>
                <w:szCs w:val="22"/>
                <w:color w:val="auto"/>
              </w:rPr>
            </w:pPr>
          </w:p>
        </w:tc>
        <w:tc>
          <w:tcPr>
            <w:tcW w:w="134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260" w:type="dxa"/>
            <w:vAlign w:val="bottom"/>
            <w:tcBorders>
              <w:bottom w:val="single" w:sz="8" w:color="CCEEFF"/>
            </w:tcBorders>
            <w:shd w:val="clear" w:color="auto" w:fill="CCEEFF"/>
          </w:tcPr>
          <w:p>
            <w:pPr>
              <w:spacing w:after="0"/>
              <w:rPr>
                <w:sz w:val="22"/>
                <w:szCs w:val="22"/>
                <w:color w:val="auto"/>
              </w:rPr>
            </w:pPr>
          </w:p>
        </w:tc>
        <w:tc>
          <w:tcPr>
            <w:tcW w:w="1340" w:type="dxa"/>
            <w:vAlign w:val="bottom"/>
            <w:tcBorders>
              <w:bottom w:val="single" w:sz="8" w:color="CCEEFF"/>
            </w:tcBorders>
            <w:shd w:val="clear" w:color="auto" w:fill="CCEEFF"/>
          </w:tcPr>
          <w:p>
            <w:pPr>
              <w:spacing w:after="0"/>
              <w:rPr>
                <w:sz w:val="22"/>
                <w:szCs w:val="22"/>
                <w:color w:val="auto"/>
              </w:rPr>
            </w:pPr>
          </w:p>
        </w:tc>
      </w:tr>
      <w:tr>
        <w:trPr>
          <w:trHeight w:val="263"/>
        </w:trPr>
        <w:tc>
          <w:tcPr>
            <w:tcW w:w="4660" w:type="dxa"/>
            <w:vAlign w:val="bottom"/>
          </w:tcPr>
          <w:p>
            <w:pPr>
              <w:ind w:left="180"/>
              <w:spacing w:after="0"/>
              <w:rPr>
                <w:sz w:val="20"/>
                <w:szCs w:val="20"/>
                <w:color w:val="auto"/>
              </w:rPr>
            </w:pPr>
            <w:r>
              <w:rPr>
                <w:rFonts w:ascii="Arial" w:cs="Arial" w:eastAsia="Arial" w:hAnsi="Arial"/>
                <w:sz w:val="18"/>
                <w:szCs w:val="18"/>
                <w:color w:val="auto"/>
              </w:rPr>
              <w:t>Year ended December 31, 2019</w:t>
            </w:r>
          </w:p>
        </w:tc>
        <w:tc>
          <w:tcPr>
            <w:tcW w:w="160" w:type="dxa"/>
            <w:vAlign w:val="bottom"/>
          </w:tcPr>
          <w:p>
            <w:pPr>
              <w:jc w:val="right"/>
              <w:spacing w:after="0"/>
              <w:rPr>
                <w:sz w:val="20"/>
                <w:szCs w:val="20"/>
                <w:color w:val="auto"/>
              </w:rPr>
            </w:pPr>
            <w:r>
              <w:rPr>
                <w:rFonts w:ascii="Arial" w:cs="Arial" w:eastAsia="Arial" w:hAnsi="Arial"/>
                <w:sz w:val="18"/>
                <w:szCs w:val="18"/>
                <w:color w:val="auto"/>
              </w:rPr>
              <w:t>$</w:t>
            </w:r>
          </w:p>
        </w:tc>
        <w:tc>
          <w:tcPr>
            <w:tcW w:w="1460" w:type="dxa"/>
            <w:vAlign w:val="bottom"/>
          </w:tcPr>
          <w:p>
            <w:pPr>
              <w:jc w:val="right"/>
              <w:ind w:right="34"/>
              <w:spacing w:after="0"/>
              <w:rPr>
                <w:sz w:val="20"/>
                <w:szCs w:val="20"/>
                <w:color w:val="auto"/>
              </w:rPr>
            </w:pPr>
            <w:r>
              <w:rPr>
                <w:rFonts w:ascii="Arial" w:cs="Arial" w:eastAsia="Arial" w:hAnsi="Arial"/>
                <w:sz w:val="18"/>
                <w:szCs w:val="18"/>
                <w:color w:val="auto"/>
              </w:rPr>
              <w:t>29</w:t>
            </w:r>
          </w:p>
        </w:tc>
        <w:tc>
          <w:tcPr>
            <w:tcW w:w="100" w:type="dxa"/>
            <w:vAlign w:val="bottom"/>
          </w:tcPr>
          <w:p>
            <w:pPr>
              <w:spacing w:after="0"/>
              <w:rPr>
                <w:sz w:val="22"/>
                <w:szCs w:val="22"/>
                <w:color w:val="auto"/>
              </w:rPr>
            </w:pPr>
          </w:p>
        </w:tc>
        <w:tc>
          <w:tcPr>
            <w:tcW w:w="260" w:type="dxa"/>
            <w:vAlign w:val="bottom"/>
          </w:tcPr>
          <w:p>
            <w:pPr>
              <w:jc w:val="right"/>
              <w:ind w:right="59"/>
              <w:spacing w:after="0"/>
              <w:rPr>
                <w:sz w:val="20"/>
                <w:szCs w:val="20"/>
                <w:color w:val="auto"/>
              </w:rPr>
            </w:pPr>
            <w:r>
              <w:rPr>
                <w:rFonts w:ascii="Arial" w:cs="Arial" w:eastAsia="Arial" w:hAnsi="Arial"/>
                <w:sz w:val="18"/>
                <w:szCs w:val="18"/>
                <w:color w:val="auto"/>
                <w:w w:val="99"/>
              </w:rPr>
              <w:t>$</w:t>
            </w:r>
          </w:p>
        </w:tc>
        <w:tc>
          <w:tcPr>
            <w:tcW w:w="1340" w:type="dxa"/>
            <w:vAlign w:val="bottom"/>
          </w:tcPr>
          <w:p>
            <w:pPr>
              <w:jc w:val="right"/>
              <w:ind w:right="13"/>
              <w:spacing w:after="0"/>
              <w:rPr>
                <w:sz w:val="20"/>
                <w:szCs w:val="20"/>
                <w:color w:val="auto"/>
              </w:rPr>
            </w:pPr>
            <w:r>
              <w:rPr>
                <w:rFonts w:ascii="Arial" w:cs="Arial" w:eastAsia="Arial" w:hAnsi="Arial"/>
                <w:sz w:val="18"/>
                <w:szCs w:val="18"/>
                <w:color w:val="auto"/>
              </w:rPr>
              <w:t>19</w:t>
            </w:r>
          </w:p>
        </w:tc>
        <w:tc>
          <w:tcPr>
            <w:tcW w:w="120" w:type="dxa"/>
            <w:vAlign w:val="bottom"/>
          </w:tcPr>
          <w:p>
            <w:pPr>
              <w:spacing w:after="0"/>
              <w:rPr>
                <w:sz w:val="22"/>
                <w:szCs w:val="22"/>
                <w:color w:val="auto"/>
              </w:rPr>
            </w:pPr>
          </w:p>
        </w:tc>
        <w:tc>
          <w:tcPr>
            <w:tcW w:w="260" w:type="dxa"/>
            <w:vAlign w:val="bottom"/>
          </w:tcPr>
          <w:p>
            <w:pPr>
              <w:jc w:val="right"/>
              <w:ind w:right="50"/>
              <w:spacing w:after="0"/>
              <w:rPr>
                <w:sz w:val="20"/>
                <w:szCs w:val="20"/>
                <w:color w:val="auto"/>
              </w:rPr>
            </w:pPr>
            <w:r>
              <w:rPr>
                <w:rFonts w:ascii="Arial" w:cs="Arial" w:eastAsia="Arial" w:hAnsi="Arial"/>
                <w:sz w:val="18"/>
                <w:szCs w:val="18"/>
                <w:color w:val="auto"/>
                <w:w w:val="99"/>
              </w:rPr>
              <w:t>$</w:t>
            </w:r>
          </w:p>
        </w:tc>
        <w:tc>
          <w:tcPr>
            <w:tcW w:w="1340" w:type="dxa"/>
            <w:vAlign w:val="bottom"/>
          </w:tcPr>
          <w:p>
            <w:pPr>
              <w:jc w:val="right"/>
              <w:spacing w:after="0"/>
              <w:rPr>
                <w:sz w:val="20"/>
                <w:szCs w:val="20"/>
                <w:color w:val="auto"/>
              </w:rPr>
            </w:pPr>
            <w:r>
              <w:rPr>
                <w:rFonts w:ascii="Arial" w:cs="Arial" w:eastAsia="Arial" w:hAnsi="Arial"/>
                <w:sz w:val="18"/>
                <w:szCs w:val="18"/>
                <w:color w:val="auto"/>
              </w:rPr>
              <w:t>(17)</w:t>
            </w:r>
          </w:p>
        </w:tc>
        <w:tc>
          <w:tcPr>
            <w:tcW w:w="120" w:type="dxa"/>
            <w:vAlign w:val="bottom"/>
          </w:tcPr>
          <w:p>
            <w:pPr>
              <w:spacing w:after="0"/>
              <w:rPr>
                <w:sz w:val="22"/>
                <w:szCs w:val="22"/>
                <w:color w:val="auto"/>
              </w:rPr>
            </w:pPr>
          </w:p>
        </w:tc>
        <w:tc>
          <w:tcPr>
            <w:tcW w:w="260" w:type="dxa"/>
            <w:vAlign w:val="bottom"/>
          </w:tcPr>
          <w:p>
            <w:pPr>
              <w:jc w:val="right"/>
              <w:ind w:right="50"/>
              <w:spacing w:after="0"/>
              <w:rPr>
                <w:sz w:val="20"/>
                <w:szCs w:val="20"/>
                <w:color w:val="auto"/>
              </w:rPr>
            </w:pPr>
            <w:r>
              <w:rPr>
                <w:rFonts w:ascii="Arial" w:cs="Arial" w:eastAsia="Arial" w:hAnsi="Arial"/>
                <w:sz w:val="18"/>
                <w:szCs w:val="18"/>
                <w:color w:val="auto"/>
                <w:w w:val="99"/>
              </w:rPr>
              <w:t>$</w:t>
            </w:r>
          </w:p>
        </w:tc>
        <w:tc>
          <w:tcPr>
            <w:tcW w:w="1340" w:type="dxa"/>
            <w:vAlign w:val="bottom"/>
          </w:tcPr>
          <w:p>
            <w:pPr>
              <w:jc w:val="right"/>
              <w:ind w:right="14"/>
              <w:spacing w:after="0"/>
              <w:rPr>
                <w:sz w:val="20"/>
                <w:szCs w:val="20"/>
                <w:color w:val="auto"/>
              </w:rPr>
            </w:pPr>
            <w:r>
              <w:rPr>
                <w:rFonts w:ascii="Arial" w:cs="Arial" w:eastAsia="Arial" w:hAnsi="Arial"/>
                <w:sz w:val="18"/>
                <w:szCs w:val="18"/>
                <w:color w:val="auto"/>
              </w:rPr>
              <w:t>31</w:t>
            </w:r>
          </w:p>
        </w:tc>
      </w:tr>
      <w:tr>
        <w:trPr>
          <w:trHeight w:val="277"/>
        </w:trPr>
        <w:tc>
          <w:tcPr>
            <w:tcW w:w="4660" w:type="dxa"/>
            <w:vAlign w:val="bottom"/>
            <w:shd w:val="clear" w:color="auto" w:fill="CCEEFF"/>
          </w:tcPr>
          <w:p>
            <w:pPr>
              <w:ind w:left="180"/>
              <w:spacing w:after="0"/>
              <w:rPr>
                <w:sz w:val="20"/>
                <w:szCs w:val="20"/>
                <w:color w:val="auto"/>
              </w:rPr>
            </w:pPr>
            <w:r>
              <w:rPr>
                <w:rFonts w:ascii="Arial" w:cs="Arial" w:eastAsia="Arial" w:hAnsi="Arial"/>
                <w:sz w:val="18"/>
                <w:szCs w:val="18"/>
                <w:color w:val="auto"/>
              </w:rPr>
              <w:t>Year ended December 31, 2018</w:t>
            </w:r>
          </w:p>
        </w:tc>
        <w:tc>
          <w:tcPr>
            <w:tcW w:w="160" w:type="dxa"/>
            <w:vAlign w:val="bottom"/>
            <w:shd w:val="clear" w:color="auto" w:fill="CCEEFF"/>
          </w:tcPr>
          <w:p>
            <w:pPr>
              <w:spacing w:after="0"/>
              <w:rPr>
                <w:sz w:val="24"/>
                <w:szCs w:val="24"/>
                <w:color w:val="auto"/>
              </w:rPr>
            </w:pPr>
          </w:p>
        </w:tc>
        <w:tc>
          <w:tcPr>
            <w:tcW w:w="1460" w:type="dxa"/>
            <w:vAlign w:val="bottom"/>
            <w:shd w:val="clear" w:color="auto" w:fill="CCEEFF"/>
          </w:tcPr>
          <w:p>
            <w:pPr>
              <w:jc w:val="right"/>
              <w:ind w:right="34"/>
              <w:spacing w:after="0"/>
              <w:rPr>
                <w:sz w:val="20"/>
                <w:szCs w:val="20"/>
                <w:color w:val="auto"/>
              </w:rPr>
            </w:pPr>
            <w:r>
              <w:rPr>
                <w:rFonts w:ascii="Arial" w:cs="Arial" w:eastAsia="Arial" w:hAnsi="Arial"/>
                <w:sz w:val="18"/>
                <w:szCs w:val="18"/>
                <w:color w:val="auto"/>
              </w:rPr>
              <w:t>24</w:t>
            </w:r>
          </w:p>
        </w:tc>
        <w:tc>
          <w:tcPr>
            <w:tcW w:w="100" w:type="dxa"/>
            <w:vAlign w:val="bottom"/>
            <w:shd w:val="clear" w:color="auto" w:fill="CCEEFF"/>
          </w:tcPr>
          <w:p>
            <w:pPr>
              <w:spacing w:after="0"/>
              <w:rPr>
                <w:sz w:val="24"/>
                <w:szCs w:val="24"/>
                <w:color w:val="auto"/>
              </w:rPr>
            </w:pPr>
          </w:p>
        </w:tc>
        <w:tc>
          <w:tcPr>
            <w:tcW w:w="260" w:type="dxa"/>
            <w:vAlign w:val="bottom"/>
            <w:shd w:val="clear" w:color="auto" w:fill="CCEEFF"/>
          </w:tcPr>
          <w:p>
            <w:pPr>
              <w:spacing w:after="0"/>
              <w:rPr>
                <w:sz w:val="24"/>
                <w:szCs w:val="24"/>
                <w:color w:val="auto"/>
              </w:rPr>
            </w:pPr>
          </w:p>
        </w:tc>
        <w:tc>
          <w:tcPr>
            <w:tcW w:w="1340" w:type="dxa"/>
            <w:vAlign w:val="bottom"/>
            <w:shd w:val="clear" w:color="auto" w:fill="CCEEFF"/>
          </w:tcPr>
          <w:p>
            <w:pPr>
              <w:jc w:val="right"/>
              <w:ind w:right="13"/>
              <w:spacing w:after="0"/>
              <w:rPr>
                <w:sz w:val="20"/>
                <w:szCs w:val="20"/>
                <w:color w:val="auto"/>
              </w:rPr>
            </w:pPr>
            <w:r>
              <w:rPr>
                <w:rFonts w:ascii="Arial" w:cs="Arial" w:eastAsia="Arial" w:hAnsi="Arial"/>
                <w:sz w:val="18"/>
                <w:szCs w:val="18"/>
                <w:color w:val="auto"/>
              </w:rPr>
              <w:t>42</w:t>
            </w:r>
          </w:p>
        </w:tc>
        <w:tc>
          <w:tcPr>
            <w:tcW w:w="120" w:type="dxa"/>
            <w:vAlign w:val="bottom"/>
            <w:shd w:val="clear" w:color="auto" w:fill="CCEEFF"/>
          </w:tcPr>
          <w:p>
            <w:pPr>
              <w:spacing w:after="0"/>
              <w:rPr>
                <w:sz w:val="24"/>
                <w:szCs w:val="24"/>
                <w:color w:val="auto"/>
              </w:rPr>
            </w:pPr>
          </w:p>
        </w:tc>
        <w:tc>
          <w:tcPr>
            <w:tcW w:w="260" w:type="dxa"/>
            <w:vAlign w:val="bottom"/>
            <w:shd w:val="clear" w:color="auto" w:fill="CCEEFF"/>
          </w:tcPr>
          <w:p>
            <w:pPr>
              <w:spacing w:after="0"/>
              <w:rPr>
                <w:sz w:val="24"/>
                <w:szCs w:val="24"/>
                <w:color w:val="auto"/>
              </w:rPr>
            </w:pPr>
          </w:p>
        </w:tc>
        <w:tc>
          <w:tcPr>
            <w:tcW w:w="1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(37)</w:t>
            </w:r>
          </w:p>
        </w:tc>
        <w:tc>
          <w:tcPr>
            <w:tcW w:w="120" w:type="dxa"/>
            <w:vAlign w:val="bottom"/>
            <w:shd w:val="clear" w:color="auto" w:fill="CCEEFF"/>
          </w:tcPr>
          <w:p>
            <w:pPr>
              <w:spacing w:after="0"/>
              <w:rPr>
                <w:sz w:val="24"/>
                <w:szCs w:val="24"/>
                <w:color w:val="auto"/>
              </w:rPr>
            </w:pPr>
          </w:p>
        </w:tc>
        <w:tc>
          <w:tcPr>
            <w:tcW w:w="260" w:type="dxa"/>
            <w:vAlign w:val="bottom"/>
            <w:shd w:val="clear" w:color="auto" w:fill="CCEEFF"/>
          </w:tcPr>
          <w:p>
            <w:pPr>
              <w:spacing w:after="0"/>
              <w:rPr>
                <w:sz w:val="24"/>
                <w:szCs w:val="24"/>
                <w:color w:val="auto"/>
              </w:rPr>
            </w:pPr>
          </w:p>
        </w:tc>
        <w:tc>
          <w:tcPr>
            <w:tcW w:w="1340" w:type="dxa"/>
            <w:vAlign w:val="bottom"/>
            <w:shd w:val="clear" w:color="auto" w:fill="CCEEFF"/>
          </w:tcPr>
          <w:p>
            <w:pPr>
              <w:jc w:val="right"/>
              <w:ind w:right="14"/>
              <w:spacing w:after="0"/>
              <w:rPr>
                <w:sz w:val="20"/>
                <w:szCs w:val="20"/>
                <w:color w:val="auto"/>
              </w:rPr>
            </w:pPr>
            <w:r>
              <w:rPr>
                <w:rFonts w:ascii="Arial" w:cs="Arial" w:eastAsia="Arial" w:hAnsi="Arial"/>
                <w:sz w:val="18"/>
                <w:szCs w:val="18"/>
                <w:color w:val="auto"/>
              </w:rPr>
              <w:t>29</w:t>
            </w:r>
          </w:p>
        </w:tc>
      </w:tr>
      <w:tr>
        <w:trPr>
          <w:trHeight w:val="257"/>
        </w:trPr>
        <w:tc>
          <w:tcPr>
            <w:tcW w:w="4660" w:type="dxa"/>
            <w:vAlign w:val="bottom"/>
          </w:tcPr>
          <w:p>
            <w:pPr>
              <w:ind w:left="180"/>
              <w:spacing w:after="0"/>
              <w:rPr>
                <w:sz w:val="20"/>
                <w:szCs w:val="20"/>
                <w:color w:val="auto"/>
              </w:rPr>
            </w:pPr>
            <w:r>
              <w:rPr>
                <w:rFonts w:ascii="Arial" w:cs="Arial" w:eastAsia="Arial" w:hAnsi="Arial"/>
                <w:sz w:val="18"/>
                <w:szCs w:val="18"/>
                <w:color w:val="auto"/>
              </w:rPr>
              <w:t>Year ended December 31, 2017</w:t>
            </w:r>
          </w:p>
        </w:tc>
        <w:tc>
          <w:tcPr>
            <w:tcW w:w="160" w:type="dxa"/>
            <w:vAlign w:val="bottom"/>
          </w:tcPr>
          <w:p>
            <w:pPr>
              <w:spacing w:after="0"/>
              <w:rPr>
                <w:sz w:val="22"/>
                <w:szCs w:val="22"/>
                <w:color w:val="auto"/>
              </w:rPr>
            </w:pPr>
          </w:p>
        </w:tc>
        <w:tc>
          <w:tcPr>
            <w:tcW w:w="1460" w:type="dxa"/>
            <w:vAlign w:val="bottom"/>
          </w:tcPr>
          <w:p>
            <w:pPr>
              <w:jc w:val="right"/>
              <w:ind w:right="34"/>
              <w:spacing w:after="0"/>
              <w:rPr>
                <w:sz w:val="20"/>
                <w:szCs w:val="20"/>
                <w:color w:val="auto"/>
              </w:rPr>
            </w:pPr>
            <w:r>
              <w:rPr>
                <w:rFonts w:ascii="Arial" w:cs="Arial" w:eastAsia="Arial" w:hAnsi="Arial"/>
                <w:sz w:val="18"/>
                <w:szCs w:val="18"/>
                <w:color w:val="auto"/>
              </w:rPr>
              <w:t>36</w:t>
            </w:r>
          </w:p>
        </w:tc>
        <w:tc>
          <w:tcPr>
            <w:tcW w:w="10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1340" w:type="dxa"/>
            <w:vAlign w:val="bottom"/>
          </w:tcPr>
          <w:p>
            <w:pPr>
              <w:jc w:val="right"/>
              <w:ind w:right="13"/>
              <w:spacing w:after="0"/>
              <w:rPr>
                <w:sz w:val="20"/>
                <w:szCs w:val="20"/>
                <w:color w:val="auto"/>
              </w:rPr>
            </w:pPr>
            <w:r>
              <w:rPr>
                <w:rFonts w:ascii="Arial" w:cs="Arial" w:eastAsia="Arial" w:hAnsi="Arial"/>
                <w:sz w:val="18"/>
                <w:szCs w:val="18"/>
                <w:color w:val="auto"/>
              </w:rPr>
              <w:t>43</w:t>
            </w:r>
          </w:p>
        </w:tc>
        <w:tc>
          <w:tcPr>
            <w:tcW w:w="12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(55)</w:t>
            </w:r>
          </w:p>
        </w:tc>
        <w:tc>
          <w:tcPr>
            <w:tcW w:w="12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1340" w:type="dxa"/>
            <w:vAlign w:val="bottom"/>
          </w:tcPr>
          <w:p>
            <w:pPr>
              <w:jc w:val="right"/>
              <w:ind w:right="14"/>
              <w:spacing w:after="0"/>
              <w:rPr>
                <w:sz w:val="20"/>
                <w:szCs w:val="20"/>
                <w:color w:val="auto"/>
              </w:rPr>
            </w:pPr>
            <w:r>
              <w:rPr>
                <w:rFonts w:ascii="Arial" w:cs="Arial" w:eastAsia="Arial" w:hAnsi="Arial"/>
                <w:sz w:val="18"/>
                <w:szCs w:val="18"/>
                <w:color w:val="auto"/>
              </w:rPr>
              <w:t>24</w:t>
            </w:r>
          </w:p>
        </w:tc>
      </w:tr>
    </w:tbl>
    <w:p>
      <w:pPr>
        <w:spacing w:after="0" w:line="200" w:lineRule="exact"/>
        <w:rPr>
          <w:sz w:val="20"/>
          <w:szCs w:val="20"/>
          <w:color w:val="auto"/>
        </w:rPr>
      </w:pPr>
    </w:p>
    <w:p>
      <w:pPr>
        <w:spacing w:after="0" w:line="25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17. Quarterly Financial Data (Unaudited)</w:t>
      </w:r>
    </w:p>
    <w:p>
      <w:pPr>
        <w:spacing w:after="0" w:line="112" w:lineRule="exact"/>
        <w:rPr>
          <w:sz w:val="20"/>
          <w:szCs w:val="20"/>
          <w:color w:val="auto"/>
        </w:rPr>
      </w:pPr>
    </w:p>
    <w:p>
      <w:pPr>
        <w:ind w:left="220"/>
        <w:spacing w:after="0"/>
        <w:rPr>
          <w:sz w:val="20"/>
          <w:szCs w:val="20"/>
          <w:color w:val="auto"/>
        </w:rPr>
      </w:pPr>
      <w:r>
        <w:rPr>
          <w:rFonts w:ascii="Arial" w:cs="Arial" w:eastAsia="Arial" w:hAnsi="Arial"/>
          <w:sz w:val="18"/>
          <w:szCs w:val="18"/>
          <w:color w:val="auto"/>
        </w:rPr>
        <w:t>Unaudited summarized financial data by quarter for 2019 and 2018 (in millions, except share and per share amounts):</w:t>
      </w:r>
    </w:p>
    <w:p>
      <w:pPr>
        <w:spacing w:after="0" w:line="375" w:lineRule="exact"/>
        <w:rPr>
          <w:sz w:val="20"/>
          <w:szCs w:val="20"/>
          <w:color w:val="auto"/>
        </w:rPr>
      </w:pPr>
    </w:p>
    <w:tbl>
      <w:tblPr>
        <w:tblLayout w:type="fixed"/>
        <w:tblInd w:w="0" w:type="dxa"/>
        <w:tblCellMar>
          <w:top w:w="0" w:type="dxa"/>
          <w:left w:w="0" w:type="dxa"/>
          <w:bottom w:w="0" w:type="dxa"/>
          <w:right w:w="0" w:type="dxa"/>
        </w:tblCellMar>
      </w:tblPr>
      <w:tr>
        <w:trPr>
          <w:trHeight w:val="196"/>
        </w:trPr>
        <w:tc>
          <w:tcPr>
            <w:tcW w:w="466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460" w:type="dxa"/>
            <w:vAlign w:val="bottom"/>
            <w:gridSpan w:val="2"/>
          </w:tcPr>
          <w:p>
            <w:pPr>
              <w:ind w:left="120"/>
              <w:spacing w:after="0"/>
              <w:rPr>
                <w:sz w:val="20"/>
                <w:szCs w:val="20"/>
                <w:color w:val="auto"/>
              </w:rPr>
            </w:pPr>
            <w:r>
              <w:rPr>
                <w:rFonts w:ascii="Arial" w:cs="Arial" w:eastAsia="Arial" w:hAnsi="Arial"/>
                <w:sz w:val="14"/>
                <w:szCs w:val="14"/>
                <w:b w:val="1"/>
                <w:bCs w:val="1"/>
                <w:color w:val="auto"/>
              </w:rPr>
              <w:t>First Quarter</w:t>
            </w:r>
          </w:p>
        </w:tc>
        <w:tc>
          <w:tcPr>
            <w:tcW w:w="200" w:type="dxa"/>
            <w:vAlign w:val="bottom"/>
          </w:tcPr>
          <w:p>
            <w:pPr>
              <w:spacing w:after="0"/>
              <w:rPr>
                <w:sz w:val="17"/>
                <w:szCs w:val="17"/>
                <w:color w:val="auto"/>
              </w:rPr>
            </w:pPr>
          </w:p>
        </w:tc>
        <w:tc>
          <w:tcPr>
            <w:tcW w:w="1520" w:type="dxa"/>
            <w:vAlign w:val="bottom"/>
            <w:gridSpan w:val="2"/>
          </w:tcPr>
          <w:p>
            <w:pPr>
              <w:ind w:left="60"/>
              <w:spacing w:after="0"/>
              <w:rPr>
                <w:sz w:val="20"/>
                <w:szCs w:val="20"/>
                <w:color w:val="auto"/>
              </w:rPr>
            </w:pPr>
            <w:r>
              <w:rPr>
                <w:rFonts w:ascii="Arial" w:cs="Arial" w:eastAsia="Arial" w:hAnsi="Arial"/>
                <w:sz w:val="14"/>
                <w:szCs w:val="14"/>
                <w:b w:val="1"/>
                <w:bCs w:val="1"/>
                <w:color w:val="auto"/>
              </w:rPr>
              <w:t>Second Quarter</w:t>
            </w:r>
          </w:p>
        </w:tc>
        <w:tc>
          <w:tcPr>
            <w:tcW w:w="240" w:type="dxa"/>
            <w:vAlign w:val="bottom"/>
          </w:tcPr>
          <w:p>
            <w:pPr>
              <w:spacing w:after="0"/>
              <w:rPr>
                <w:sz w:val="17"/>
                <w:szCs w:val="17"/>
                <w:color w:val="auto"/>
              </w:rPr>
            </w:pPr>
          </w:p>
        </w:tc>
        <w:tc>
          <w:tcPr>
            <w:tcW w:w="1480" w:type="dxa"/>
            <w:vAlign w:val="bottom"/>
            <w:gridSpan w:val="2"/>
          </w:tcPr>
          <w:p>
            <w:pPr>
              <w:ind w:left="100"/>
              <w:spacing w:after="0"/>
              <w:rPr>
                <w:sz w:val="20"/>
                <w:szCs w:val="20"/>
                <w:color w:val="auto"/>
              </w:rPr>
            </w:pPr>
            <w:r>
              <w:rPr>
                <w:rFonts w:ascii="Arial" w:cs="Arial" w:eastAsia="Arial" w:hAnsi="Arial"/>
                <w:sz w:val="14"/>
                <w:szCs w:val="14"/>
                <w:b w:val="1"/>
                <w:bCs w:val="1"/>
                <w:color w:val="auto"/>
              </w:rPr>
              <w:t>Third Quarter</w:t>
            </w:r>
          </w:p>
        </w:tc>
        <w:tc>
          <w:tcPr>
            <w:tcW w:w="200" w:type="dxa"/>
            <w:vAlign w:val="bottom"/>
          </w:tcPr>
          <w:p>
            <w:pPr>
              <w:spacing w:after="0"/>
              <w:rPr>
                <w:sz w:val="17"/>
                <w:szCs w:val="17"/>
                <w:color w:val="auto"/>
              </w:rPr>
            </w:pPr>
          </w:p>
        </w:tc>
        <w:tc>
          <w:tcPr>
            <w:tcW w:w="1400" w:type="dxa"/>
            <w:vAlign w:val="bottom"/>
          </w:tcPr>
          <w:p>
            <w:pPr>
              <w:jc w:val="right"/>
              <w:ind w:right="211"/>
              <w:spacing w:after="0"/>
              <w:rPr>
                <w:sz w:val="20"/>
                <w:szCs w:val="20"/>
                <w:color w:val="auto"/>
              </w:rPr>
            </w:pPr>
            <w:r>
              <w:rPr>
                <w:rFonts w:ascii="Arial" w:cs="Arial" w:eastAsia="Arial" w:hAnsi="Arial"/>
                <w:sz w:val="14"/>
                <w:szCs w:val="14"/>
                <w:b w:val="1"/>
                <w:bCs w:val="1"/>
                <w:color w:val="auto"/>
              </w:rPr>
              <w:t>Fourth Quarter</w:t>
            </w:r>
          </w:p>
        </w:tc>
      </w:tr>
      <w:tr>
        <w:trPr>
          <w:trHeight w:val="250"/>
        </w:trPr>
        <w:tc>
          <w:tcPr>
            <w:tcW w:w="4660" w:type="dxa"/>
            <w:vAlign w:val="bottom"/>
            <w:tcBorders>
              <w:top w:val="single" w:sz="8" w:color="CCEEFF"/>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2019</w:t>
            </w:r>
          </w:p>
        </w:tc>
        <w:tc>
          <w:tcPr>
            <w:tcW w:w="260" w:type="dxa"/>
            <w:vAlign w:val="bottom"/>
            <w:tcBorders>
              <w:top w:val="single" w:sz="8" w:color="auto"/>
              <w:bottom w:val="single" w:sz="8" w:color="CCEEFF"/>
            </w:tcBorders>
            <w:shd w:val="clear" w:color="auto" w:fill="CCEEFF"/>
          </w:tcPr>
          <w:p>
            <w:pPr>
              <w:spacing w:after="0"/>
              <w:rPr>
                <w:sz w:val="21"/>
                <w:szCs w:val="21"/>
                <w:color w:val="auto"/>
              </w:rPr>
            </w:pPr>
          </w:p>
        </w:tc>
        <w:tc>
          <w:tcPr>
            <w:tcW w:w="1360" w:type="dxa"/>
            <w:vAlign w:val="bottom"/>
            <w:tcBorders>
              <w:top w:val="single" w:sz="8" w:color="auto"/>
              <w:bottom w:val="single" w:sz="8" w:color="CCEEFF"/>
            </w:tcBorders>
            <w:shd w:val="clear" w:color="auto" w:fill="CCEEFF"/>
          </w:tcPr>
          <w:p>
            <w:pPr>
              <w:spacing w:after="0"/>
              <w:rPr>
                <w:sz w:val="21"/>
                <w:szCs w:val="21"/>
                <w:color w:val="auto"/>
              </w:rPr>
            </w:pP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200" w:type="dxa"/>
            <w:vAlign w:val="bottom"/>
            <w:tcBorders>
              <w:top w:val="single" w:sz="8" w:color="auto"/>
              <w:bottom w:val="single" w:sz="8" w:color="CCEEFF"/>
            </w:tcBorders>
            <w:shd w:val="clear" w:color="auto" w:fill="CCEEFF"/>
          </w:tcPr>
          <w:p>
            <w:pPr>
              <w:spacing w:after="0"/>
              <w:rPr>
                <w:sz w:val="21"/>
                <w:szCs w:val="21"/>
                <w:color w:val="auto"/>
              </w:rPr>
            </w:pPr>
          </w:p>
        </w:tc>
        <w:tc>
          <w:tcPr>
            <w:tcW w:w="1400" w:type="dxa"/>
            <w:vAlign w:val="bottom"/>
            <w:tcBorders>
              <w:top w:val="single" w:sz="8" w:color="auto"/>
              <w:bottom w:val="single" w:sz="8" w:color="CCEEFF"/>
            </w:tcBorders>
            <w:shd w:val="clear" w:color="auto" w:fill="CCEEFF"/>
          </w:tcPr>
          <w:p>
            <w:pPr>
              <w:spacing w:after="0"/>
              <w:rPr>
                <w:sz w:val="21"/>
                <w:szCs w:val="21"/>
                <w:color w:val="auto"/>
              </w:rPr>
            </w:pP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240" w:type="dxa"/>
            <w:vAlign w:val="bottom"/>
            <w:tcBorders>
              <w:top w:val="single" w:sz="8" w:color="auto"/>
              <w:bottom w:val="single" w:sz="8" w:color="CCEEFF"/>
            </w:tcBorders>
            <w:shd w:val="clear" w:color="auto" w:fill="CCEEFF"/>
          </w:tcPr>
          <w:p>
            <w:pPr>
              <w:spacing w:after="0"/>
              <w:rPr>
                <w:sz w:val="21"/>
                <w:szCs w:val="21"/>
                <w:color w:val="auto"/>
              </w:rPr>
            </w:pPr>
          </w:p>
        </w:tc>
        <w:tc>
          <w:tcPr>
            <w:tcW w:w="1360" w:type="dxa"/>
            <w:vAlign w:val="bottom"/>
            <w:tcBorders>
              <w:top w:val="single" w:sz="8" w:color="auto"/>
              <w:bottom w:val="single" w:sz="8" w:color="CCEEFF"/>
            </w:tcBorders>
            <w:shd w:val="clear" w:color="auto" w:fill="CCEEFF"/>
          </w:tcPr>
          <w:p>
            <w:pPr>
              <w:spacing w:after="0"/>
              <w:rPr>
                <w:sz w:val="21"/>
                <w:szCs w:val="21"/>
                <w:color w:val="auto"/>
              </w:rPr>
            </w:pP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200" w:type="dxa"/>
            <w:vAlign w:val="bottom"/>
            <w:tcBorders>
              <w:top w:val="single" w:sz="8" w:color="auto"/>
              <w:bottom w:val="single" w:sz="8" w:color="CCEEFF"/>
            </w:tcBorders>
            <w:shd w:val="clear" w:color="auto" w:fill="CCEEFF"/>
          </w:tcPr>
          <w:p>
            <w:pPr>
              <w:spacing w:after="0"/>
              <w:rPr>
                <w:sz w:val="21"/>
                <w:szCs w:val="21"/>
                <w:color w:val="auto"/>
              </w:rPr>
            </w:pPr>
          </w:p>
        </w:tc>
        <w:tc>
          <w:tcPr>
            <w:tcW w:w="1400" w:type="dxa"/>
            <w:vAlign w:val="bottom"/>
            <w:tcBorders>
              <w:top w:val="single" w:sz="8" w:color="auto"/>
              <w:bottom w:val="single" w:sz="8" w:color="CCEEFF"/>
            </w:tcBorders>
            <w:shd w:val="clear" w:color="auto" w:fill="CCEEFF"/>
          </w:tcPr>
          <w:p>
            <w:pPr>
              <w:spacing w:after="0"/>
              <w:rPr>
                <w:sz w:val="21"/>
                <w:szCs w:val="21"/>
                <w:color w:val="auto"/>
              </w:rPr>
            </w:pPr>
          </w:p>
        </w:tc>
      </w:tr>
      <w:tr>
        <w:trPr>
          <w:trHeight w:val="263"/>
        </w:trPr>
        <w:tc>
          <w:tcPr>
            <w:tcW w:w="4660" w:type="dxa"/>
            <w:vAlign w:val="bottom"/>
          </w:tcPr>
          <w:p>
            <w:pPr>
              <w:ind w:left="40"/>
              <w:spacing w:after="0"/>
              <w:rPr>
                <w:sz w:val="20"/>
                <w:szCs w:val="20"/>
                <w:color w:val="auto"/>
              </w:rPr>
            </w:pPr>
            <w:r>
              <w:rPr>
                <w:rFonts w:ascii="Arial" w:cs="Arial" w:eastAsia="Arial" w:hAnsi="Arial"/>
                <w:sz w:val="18"/>
                <w:szCs w:val="18"/>
                <w:color w:val="auto"/>
              </w:rPr>
              <w:t>Operating revenues</w:t>
            </w:r>
          </w:p>
        </w:tc>
        <w:tc>
          <w:tcPr>
            <w:tcW w:w="260" w:type="dxa"/>
            <w:vAlign w:val="bottom"/>
          </w:tcPr>
          <w:p>
            <w:pPr>
              <w:jc w:val="right"/>
              <w:ind w:right="30"/>
              <w:spacing w:after="0"/>
              <w:rPr>
                <w:sz w:val="20"/>
                <w:szCs w:val="20"/>
                <w:color w:val="auto"/>
              </w:rPr>
            </w:pPr>
            <w:r>
              <w:rPr>
                <w:rFonts w:ascii="Arial" w:cs="Arial" w:eastAsia="Arial" w:hAnsi="Arial"/>
                <w:sz w:val="18"/>
                <w:szCs w:val="18"/>
                <w:color w:val="auto"/>
              </w:rPr>
              <w:t>$</w:t>
            </w:r>
          </w:p>
        </w:tc>
        <w:tc>
          <w:tcPr>
            <w:tcW w:w="1360" w:type="dxa"/>
            <w:vAlign w:val="bottom"/>
          </w:tcPr>
          <w:p>
            <w:pPr>
              <w:jc w:val="right"/>
              <w:ind w:right="31"/>
              <w:spacing w:after="0"/>
              <w:rPr>
                <w:sz w:val="20"/>
                <w:szCs w:val="20"/>
                <w:color w:val="auto"/>
              </w:rPr>
            </w:pPr>
            <w:r>
              <w:rPr>
                <w:rFonts w:ascii="Arial" w:cs="Arial" w:eastAsia="Arial" w:hAnsi="Arial"/>
                <w:sz w:val="18"/>
                <w:szCs w:val="18"/>
                <w:color w:val="auto"/>
              </w:rPr>
              <w:t>10,584</w:t>
            </w:r>
          </w:p>
        </w:tc>
        <w:tc>
          <w:tcPr>
            <w:tcW w:w="100" w:type="dxa"/>
            <w:vAlign w:val="bottom"/>
          </w:tcPr>
          <w:p>
            <w:pPr>
              <w:spacing w:after="0"/>
              <w:rPr>
                <w:sz w:val="22"/>
                <w:szCs w:val="22"/>
                <w:color w:val="auto"/>
              </w:rPr>
            </w:pPr>
          </w:p>
        </w:tc>
        <w:tc>
          <w:tcPr>
            <w:tcW w:w="20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400" w:type="dxa"/>
            <w:vAlign w:val="bottom"/>
          </w:tcPr>
          <w:p>
            <w:pPr>
              <w:jc w:val="right"/>
              <w:ind w:right="11"/>
              <w:spacing w:after="0"/>
              <w:rPr>
                <w:sz w:val="20"/>
                <w:szCs w:val="20"/>
                <w:color w:val="auto"/>
              </w:rPr>
            </w:pPr>
            <w:r>
              <w:rPr>
                <w:rFonts w:ascii="Arial" w:cs="Arial" w:eastAsia="Arial" w:hAnsi="Arial"/>
                <w:sz w:val="18"/>
                <w:szCs w:val="18"/>
                <w:color w:val="auto"/>
              </w:rPr>
              <w:t>11,960</w:t>
            </w:r>
          </w:p>
        </w:tc>
        <w:tc>
          <w:tcPr>
            <w:tcW w:w="120" w:type="dxa"/>
            <w:vAlign w:val="bottom"/>
          </w:tcPr>
          <w:p>
            <w:pPr>
              <w:spacing w:after="0"/>
              <w:rPr>
                <w:sz w:val="22"/>
                <w:szCs w:val="22"/>
                <w:color w:val="auto"/>
              </w:rPr>
            </w:pPr>
          </w:p>
        </w:tc>
        <w:tc>
          <w:tcPr>
            <w:tcW w:w="240" w:type="dxa"/>
            <w:vAlign w:val="bottom"/>
          </w:tcPr>
          <w:p>
            <w:pPr>
              <w:jc w:val="right"/>
              <w:ind w:right="30"/>
              <w:spacing w:after="0"/>
              <w:rPr>
                <w:sz w:val="20"/>
                <w:szCs w:val="20"/>
                <w:color w:val="auto"/>
              </w:rPr>
            </w:pPr>
            <w:r>
              <w:rPr>
                <w:rFonts w:ascii="Arial" w:cs="Arial" w:eastAsia="Arial" w:hAnsi="Arial"/>
                <w:sz w:val="18"/>
                <w:szCs w:val="18"/>
                <w:color w:val="auto"/>
                <w:w w:val="99"/>
              </w:rPr>
              <w:t>$</w:t>
            </w:r>
          </w:p>
        </w:tc>
        <w:tc>
          <w:tcPr>
            <w:tcW w:w="1360" w:type="dxa"/>
            <w:vAlign w:val="bottom"/>
          </w:tcPr>
          <w:p>
            <w:pPr>
              <w:jc w:val="right"/>
              <w:ind w:right="11"/>
              <w:spacing w:after="0"/>
              <w:rPr>
                <w:sz w:val="20"/>
                <w:szCs w:val="20"/>
                <w:color w:val="auto"/>
              </w:rPr>
            </w:pPr>
            <w:r>
              <w:rPr>
                <w:rFonts w:ascii="Arial" w:cs="Arial" w:eastAsia="Arial" w:hAnsi="Arial"/>
                <w:sz w:val="18"/>
                <w:szCs w:val="18"/>
                <w:color w:val="auto"/>
              </w:rPr>
              <w:t>11,911</w:t>
            </w:r>
          </w:p>
        </w:tc>
        <w:tc>
          <w:tcPr>
            <w:tcW w:w="120" w:type="dxa"/>
            <w:vAlign w:val="bottom"/>
          </w:tcPr>
          <w:p>
            <w:pPr>
              <w:spacing w:after="0"/>
              <w:rPr>
                <w:sz w:val="22"/>
                <w:szCs w:val="22"/>
                <w:color w:val="auto"/>
              </w:rPr>
            </w:pPr>
          </w:p>
        </w:tc>
        <w:tc>
          <w:tcPr>
            <w:tcW w:w="20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400" w:type="dxa"/>
            <w:vAlign w:val="bottom"/>
          </w:tcPr>
          <w:p>
            <w:pPr>
              <w:jc w:val="right"/>
              <w:ind w:right="11"/>
              <w:spacing w:after="0"/>
              <w:rPr>
                <w:sz w:val="20"/>
                <w:szCs w:val="20"/>
                <w:color w:val="auto"/>
              </w:rPr>
            </w:pPr>
            <w:r>
              <w:rPr>
                <w:rFonts w:ascii="Arial" w:cs="Arial" w:eastAsia="Arial" w:hAnsi="Arial"/>
                <w:sz w:val="18"/>
                <w:szCs w:val="18"/>
                <w:color w:val="auto"/>
              </w:rPr>
              <w:t>11,313</w:t>
            </w:r>
          </w:p>
        </w:tc>
      </w:tr>
      <w:tr>
        <w:trPr>
          <w:trHeight w:val="277"/>
        </w:trPr>
        <w:tc>
          <w:tcPr>
            <w:tcW w:w="4660" w:type="dxa"/>
            <w:vAlign w:val="bottom"/>
            <w:shd w:val="clear" w:color="auto" w:fill="CCEEFF"/>
          </w:tcPr>
          <w:p>
            <w:pPr>
              <w:ind w:left="40"/>
              <w:spacing w:after="0"/>
              <w:rPr>
                <w:sz w:val="20"/>
                <w:szCs w:val="20"/>
                <w:color w:val="auto"/>
              </w:rPr>
            </w:pPr>
            <w:r>
              <w:rPr>
                <w:rFonts w:ascii="Arial" w:cs="Arial" w:eastAsia="Arial" w:hAnsi="Arial"/>
                <w:sz w:val="18"/>
                <w:szCs w:val="18"/>
                <w:color w:val="auto"/>
              </w:rPr>
              <w:t>Operating expenses</w:t>
            </w:r>
          </w:p>
        </w:tc>
        <w:tc>
          <w:tcPr>
            <w:tcW w:w="260" w:type="dxa"/>
            <w:vAlign w:val="bottom"/>
            <w:shd w:val="clear" w:color="auto" w:fill="CCEEFF"/>
          </w:tcPr>
          <w:p>
            <w:pPr>
              <w:spacing w:after="0"/>
              <w:rPr>
                <w:sz w:val="24"/>
                <w:szCs w:val="24"/>
                <w:color w:val="auto"/>
              </w:rPr>
            </w:pPr>
          </w:p>
        </w:tc>
        <w:tc>
          <w:tcPr>
            <w:tcW w:w="1360" w:type="dxa"/>
            <w:vAlign w:val="bottom"/>
            <w:shd w:val="clear" w:color="auto" w:fill="CCEEFF"/>
          </w:tcPr>
          <w:p>
            <w:pPr>
              <w:jc w:val="right"/>
              <w:ind w:right="31"/>
              <w:spacing w:after="0"/>
              <w:rPr>
                <w:sz w:val="20"/>
                <w:szCs w:val="20"/>
                <w:color w:val="auto"/>
              </w:rPr>
            </w:pPr>
            <w:r>
              <w:rPr>
                <w:rFonts w:ascii="Arial" w:cs="Arial" w:eastAsia="Arial" w:hAnsi="Arial"/>
                <w:sz w:val="18"/>
                <w:szCs w:val="18"/>
                <w:color w:val="auto"/>
              </w:rPr>
              <w:t>10,209</w:t>
            </w:r>
          </w:p>
        </w:tc>
        <w:tc>
          <w:tcPr>
            <w:tcW w:w="100" w:type="dxa"/>
            <w:vAlign w:val="bottom"/>
            <w:shd w:val="clear" w:color="auto" w:fill="CCEEFF"/>
          </w:tcPr>
          <w:p>
            <w:pPr>
              <w:spacing w:after="0"/>
              <w:rPr>
                <w:sz w:val="24"/>
                <w:szCs w:val="24"/>
                <w:color w:val="auto"/>
              </w:rPr>
            </w:pPr>
          </w:p>
        </w:tc>
        <w:tc>
          <w:tcPr>
            <w:tcW w:w="200" w:type="dxa"/>
            <w:vAlign w:val="bottom"/>
            <w:shd w:val="clear" w:color="auto" w:fill="CCEEFF"/>
          </w:tcPr>
          <w:p>
            <w:pPr>
              <w:spacing w:after="0"/>
              <w:rPr>
                <w:sz w:val="24"/>
                <w:szCs w:val="24"/>
                <w:color w:val="auto"/>
              </w:rPr>
            </w:pPr>
          </w:p>
        </w:tc>
        <w:tc>
          <w:tcPr>
            <w:tcW w:w="140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10,807</w:t>
            </w:r>
          </w:p>
        </w:tc>
        <w:tc>
          <w:tcPr>
            <w:tcW w:w="120" w:type="dxa"/>
            <w:vAlign w:val="bottom"/>
            <w:shd w:val="clear" w:color="auto" w:fill="CCEEFF"/>
          </w:tcPr>
          <w:p>
            <w:pPr>
              <w:spacing w:after="0"/>
              <w:rPr>
                <w:sz w:val="24"/>
                <w:szCs w:val="24"/>
                <w:color w:val="auto"/>
              </w:rPr>
            </w:pPr>
          </w:p>
        </w:tc>
        <w:tc>
          <w:tcPr>
            <w:tcW w:w="240" w:type="dxa"/>
            <w:vAlign w:val="bottom"/>
            <w:shd w:val="clear" w:color="auto" w:fill="CCEEFF"/>
          </w:tcPr>
          <w:p>
            <w:pPr>
              <w:spacing w:after="0"/>
              <w:rPr>
                <w:sz w:val="24"/>
                <w:szCs w:val="24"/>
                <w:color w:val="auto"/>
              </w:rPr>
            </w:pPr>
          </w:p>
        </w:tc>
        <w:tc>
          <w:tcPr>
            <w:tcW w:w="136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11,103</w:t>
            </w:r>
          </w:p>
        </w:tc>
        <w:tc>
          <w:tcPr>
            <w:tcW w:w="120" w:type="dxa"/>
            <w:vAlign w:val="bottom"/>
            <w:shd w:val="clear" w:color="auto" w:fill="CCEEFF"/>
          </w:tcPr>
          <w:p>
            <w:pPr>
              <w:spacing w:after="0"/>
              <w:rPr>
                <w:sz w:val="24"/>
                <w:szCs w:val="24"/>
                <w:color w:val="auto"/>
              </w:rPr>
            </w:pPr>
          </w:p>
        </w:tc>
        <w:tc>
          <w:tcPr>
            <w:tcW w:w="200" w:type="dxa"/>
            <w:vAlign w:val="bottom"/>
            <w:shd w:val="clear" w:color="auto" w:fill="CCEEFF"/>
          </w:tcPr>
          <w:p>
            <w:pPr>
              <w:spacing w:after="0"/>
              <w:rPr>
                <w:sz w:val="24"/>
                <w:szCs w:val="24"/>
                <w:color w:val="auto"/>
              </w:rPr>
            </w:pPr>
          </w:p>
        </w:tc>
        <w:tc>
          <w:tcPr>
            <w:tcW w:w="140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10,584</w:t>
            </w:r>
          </w:p>
        </w:tc>
      </w:tr>
      <w:tr>
        <w:trPr>
          <w:trHeight w:val="263"/>
        </w:trPr>
        <w:tc>
          <w:tcPr>
            <w:tcW w:w="4660" w:type="dxa"/>
            <w:vAlign w:val="bottom"/>
          </w:tcPr>
          <w:p>
            <w:pPr>
              <w:ind w:left="40"/>
              <w:spacing w:after="0"/>
              <w:rPr>
                <w:sz w:val="20"/>
                <w:szCs w:val="20"/>
                <w:color w:val="auto"/>
              </w:rPr>
            </w:pPr>
            <w:r>
              <w:rPr>
                <w:rFonts w:ascii="Arial" w:cs="Arial" w:eastAsia="Arial" w:hAnsi="Arial"/>
                <w:sz w:val="18"/>
                <w:szCs w:val="18"/>
                <w:color w:val="auto"/>
              </w:rPr>
              <w:t>Operating income</w:t>
            </w:r>
          </w:p>
        </w:tc>
        <w:tc>
          <w:tcPr>
            <w:tcW w:w="260" w:type="dxa"/>
            <w:vAlign w:val="bottom"/>
          </w:tcPr>
          <w:p>
            <w:pPr>
              <w:spacing w:after="0"/>
              <w:rPr>
                <w:sz w:val="22"/>
                <w:szCs w:val="22"/>
                <w:color w:val="auto"/>
              </w:rPr>
            </w:pPr>
          </w:p>
        </w:tc>
        <w:tc>
          <w:tcPr>
            <w:tcW w:w="1360" w:type="dxa"/>
            <w:vAlign w:val="bottom"/>
          </w:tcPr>
          <w:p>
            <w:pPr>
              <w:jc w:val="right"/>
              <w:ind w:right="31"/>
              <w:spacing w:after="0"/>
              <w:rPr>
                <w:sz w:val="20"/>
                <w:szCs w:val="20"/>
                <w:color w:val="auto"/>
              </w:rPr>
            </w:pPr>
            <w:r>
              <w:rPr>
                <w:rFonts w:ascii="Arial" w:cs="Arial" w:eastAsia="Arial" w:hAnsi="Arial"/>
                <w:sz w:val="18"/>
                <w:szCs w:val="18"/>
                <w:color w:val="auto"/>
              </w:rPr>
              <w:t>375</w:t>
            </w:r>
          </w:p>
        </w:tc>
        <w:tc>
          <w:tcPr>
            <w:tcW w:w="10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1400" w:type="dxa"/>
            <w:vAlign w:val="bottom"/>
          </w:tcPr>
          <w:p>
            <w:pPr>
              <w:jc w:val="right"/>
              <w:ind w:right="11"/>
              <w:spacing w:after="0"/>
              <w:rPr>
                <w:sz w:val="20"/>
                <w:szCs w:val="20"/>
                <w:color w:val="auto"/>
              </w:rPr>
            </w:pPr>
            <w:r>
              <w:rPr>
                <w:rFonts w:ascii="Arial" w:cs="Arial" w:eastAsia="Arial" w:hAnsi="Arial"/>
                <w:sz w:val="18"/>
                <w:szCs w:val="18"/>
                <w:color w:val="auto"/>
              </w:rPr>
              <w:t>1,153</w:t>
            </w:r>
          </w:p>
        </w:tc>
        <w:tc>
          <w:tcPr>
            <w:tcW w:w="12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1360" w:type="dxa"/>
            <w:vAlign w:val="bottom"/>
          </w:tcPr>
          <w:p>
            <w:pPr>
              <w:jc w:val="right"/>
              <w:ind w:right="11"/>
              <w:spacing w:after="0"/>
              <w:rPr>
                <w:sz w:val="20"/>
                <w:szCs w:val="20"/>
                <w:color w:val="auto"/>
              </w:rPr>
            </w:pPr>
            <w:r>
              <w:rPr>
                <w:rFonts w:ascii="Arial" w:cs="Arial" w:eastAsia="Arial" w:hAnsi="Arial"/>
                <w:sz w:val="18"/>
                <w:szCs w:val="18"/>
                <w:color w:val="auto"/>
              </w:rPr>
              <w:t>808</w:t>
            </w:r>
          </w:p>
        </w:tc>
        <w:tc>
          <w:tcPr>
            <w:tcW w:w="12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1400" w:type="dxa"/>
            <w:vAlign w:val="bottom"/>
          </w:tcPr>
          <w:p>
            <w:pPr>
              <w:jc w:val="right"/>
              <w:ind w:right="11"/>
              <w:spacing w:after="0"/>
              <w:rPr>
                <w:sz w:val="20"/>
                <w:szCs w:val="20"/>
                <w:color w:val="auto"/>
              </w:rPr>
            </w:pPr>
            <w:r>
              <w:rPr>
                <w:rFonts w:ascii="Arial" w:cs="Arial" w:eastAsia="Arial" w:hAnsi="Arial"/>
                <w:sz w:val="18"/>
                <w:szCs w:val="18"/>
                <w:color w:val="auto"/>
              </w:rPr>
              <w:t>729</w:t>
            </w:r>
          </w:p>
        </w:tc>
      </w:tr>
      <w:tr>
        <w:trPr>
          <w:trHeight w:val="277"/>
        </w:trPr>
        <w:tc>
          <w:tcPr>
            <w:tcW w:w="4660" w:type="dxa"/>
            <w:vAlign w:val="bottom"/>
            <w:shd w:val="clear" w:color="auto" w:fill="CCEEFF"/>
          </w:tcPr>
          <w:p>
            <w:pPr>
              <w:ind w:left="40"/>
              <w:spacing w:after="0"/>
              <w:rPr>
                <w:sz w:val="20"/>
                <w:szCs w:val="20"/>
                <w:color w:val="auto"/>
              </w:rPr>
            </w:pPr>
            <w:r>
              <w:rPr>
                <w:rFonts w:ascii="Arial" w:cs="Arial" w:eastAsia="Arial" w:hAnsi="Arial"/>
                <w:sz w:val="18"/>
                <w:szCs w:val="18"/>
                <w:color w:val="auto"/>
              </w:rPr>
              <w:t>Net income</w:t>
            </w:r>
          </w:p>
        </w:tc>
        <w:tc>
          <w:tcPr>
            <w:tcW w:w="260" w:type="dxa"/>
            <w:vAlign w:val="bottom"/>
            <w:shd w:val="clear" w:color="auto" w:fill="CCEEFF"/>
          </w:tcPr>
          <w:p>
            <w:pPr>
              <w:spacing w:after="0"/>
              <w:rPr>
                <w:sz w:val="24"/>
                <w:szCs w:val="24"/>
                <w:color w:val="auto"/>
              </w:rPr>
            </w:pPr>
          </w:p>
        </w:tc>
        <w:tc>
          <w:tcPr>
            <w:tcW w:w="1360" w:type="dxa"/>
            <w:vAlign w:val="bottom"/>
            <w:shd w:val="clear" w:color="auto" w:fill="CCEEFF"/>
          </w:tcPr>
          <w:p>
            <w:pPr>
              <w:jc w:val="right"/>
              <w:ind w:right="31"/>
              <w:spacing w:after="0"/>
              <w:rPr>
                <w:sz w:val="20"/>
                <w:szCs w:val="20"/>
                <w:color w:val="auto"/>
              </w:rPr>
            </w:pPr>
            <w:r>
              <w:rPr>
                <w:rFonts w:ascii="Arial" w:cs="Arial" w:eastAsia="Arial" w:hAnsi="Arial"/>
                <w:sz w:val="18"/>
                <w:szCs w:val="18"/>
                <w:color w:val="auto"/>
              </w:rPr>
              <w:t>185</w:t>
            </w:r>
          </w:p>
        </w:tc>
        <w:tc>
          <w:tcPr>
            <w:tcW w:w="100" w:type="dxa"/>
            <w:vAlign w:val="bottom"/>
            <w:shd w:val="clear" w:color="auto" w:fill="CCEEFF"/>
          </w:tcPr>
          <w:p>
            <w:pPr>
              <w:spacing w:after="0"/>
              <w:rPr>
                <w:sz w:val="24"/>
                <w:szCs w:val="24"/>
                <w:color w:val="auto"/>
              </w:rPr>
            </w:pPr>
          </w:p>
        </w:tc>
        <w:tc>
          <w:tcPr>
            <w:tcW w:w="200" w:type="dxa"/>
            <w:vAlign w:val="bottom"/>
            <w:shd w:val="clear" w:color="auto" w:fill="CCEEFF"/>
          </w:tcPr>
          <w:p>
            <w:pPr>
              <w:spacing w:after="0"/>
              <w:rPr>
                <w:sz w:val="24"/>
                <w:szCs w:val="24"/>
                <w:color w:val="auto"/>
              </w:rPr>
            </w:pPr>
          </w:p>
        </w:tc>
        <w:tc>
          <w:tcPr>
            <w:tcW w:w="140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662</w:t>
            </w:r>
          </w:p>
        </w:tc>
        <w:tc>
          <w:tcPr>
            <w:tcW w:w="120" w:type="dxa"/>
            <w:vAlign w:val="bottom"/>
            <w:shd w:val="clear" w:color="auto" w:fill="CCEEFF"/>
          </w:tcPr>
          <w:p>
            <w:pPr>
              <w:spacing w:after="0"/>
              <w:rPr>
                <w:sz w:val="24"/>
                <w:szCs w:val="24"/>
                <w:color w:val="auto"/>
              </w:rPr>
            </w:pPr>
          </w:p>
        </w:tc>
        <w:tc>
          <w:tcPr>
            <w:tcW w:w="240" w:type="dxa"/>
            <w:vAlign w:val="bottom"/>
            <w:shd w:val="clear" w:color="auto" w:fill="CCEEFF"/>
          </w:tcPr>
          <w:p>
            <w:pPr>
              <w:spacing w:after="0"/>
              <w:rPr>
                <w:sz w:val="24"/>
                <w:szCs w:val="24"/>
                <w:color w:val="auto"/>
              </w:rPr>
            </w:pPr>
          </w:p>
        </w:tc>
        <w:tc>
          <w:tcPr>
            <w:tcW w:w="136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425</w:t>
            </w:r>
          </w:p>
        </w:tc>
        <w:tc>
          <w:tcPr>
            <w:tcW w:w="120" w:type="dxa"/>
            <w:vAlign w:val="bottom"/>
            <w:shd w:val="clear" w:color="auto" w:fill="CCEEFF"/>
          </w:tcPr>
          <w:p>
            <w:pPr>
              <w:spacing w:after="0"/>
              <w:rPr>
                <w:sz w:val="24"/>
                <w:szCs w:val="24"/>
                <w:color w:val="auto"/>
              </w:rPr>
            </w:pPr>
          </w:p>
        </w:tc>
        <w:tc>
          <w:tcPr>
            <w:tcW w:w="200" w:type="dxa"/>
            <w:vAlign w:val="bottom"/>
            <w:shd w:val="clear" w:color="auto" w:fill="CCEEFF"/>
          </w:tcPr>
          <w:p>
            <w:pPr>
              <w:spacing w:after="0"/>
              <w:rPr>
                <w:sz w:val="24"/>
                <w:szCs w:val="24"/>
                <w:color w:val="auto"/>
              </w:rPr>
            </w:pPr>
          </w:p>
        </w:tc>
        <w:tc>
          <w:tcPr>
            <w:tcW w:w="140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414</w:t>
            </w:r>
          </w:p>
        </w:tc>
      </w:tr>
      <w:tr>
        <w:trPr>
          <w:trHeight w:val="243"/>
        </w:trPr>
        <w:tc>
          <w:tcPr>
            <w:tcW w:w="4660" w:type="dxa"/>
            <w:vAlign w:val="bottom"/>
          </w:tcPr>
          <w:p>
            <w:pPr>
              <w:ind w:left="40"/>
              <w:spacing w:after="0"/>
              <w:rPr>
                <w:sz w:val="20"/>
                <w:szCs w:val="20"/>
                <w:color w:val="auto"/>
              </w:rPr>
            </w:pPr>
            <w:r>
              <w:rPr>
                <w:rFonts w:ascii="Arial" w:cs="Arial" w:eastAsia="Arial" w:hAnsi="Arial"/>
                <w:sz w:val="18"/>
                <w:szCs w:val="18"/>
                <w:color w:val="auto"/>
              </w:rPr>
              <w:t>Earnings per share:</w:t>
            </w:r>
          </w:p>
        </w:tc>
        <w:tc>
          <w:tcPr>
            <w:tcW w:w="260" w:type="dxa"/>
            <w:vAlign w:val="bottom"/>
          </w:tcPr>
          <w:p>
            <w:pPr>
              <w:spacing w:after="0"/>
              <w:rPr>
                <w:sz w:val="21"/>
                <w:szCs w:val="21"/>
                <w:color w:val="auto"/>
              </w:rPr>
            </w:pPr>
          </w:p>
        </w:tc>
        <w:tc>
          <w:tcPr>
            <w:tcW w:w="13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4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3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400" w:type="dxa"/>
            <w:vAlign w:val="bottom"/>
          </w:tcPr>
          <w:p>
            <w:pPr>
              <w:spacing w:after="0"/>
              <w:rPr>
                <w:sz w:val="21"/>
                <w:szCs w:val="21"/>
                <w:color w:val="auto"/>
              </w:rPr>
            </w:pPr>
          </w:p>
        </w:tc>
      </w:tr>
      <w:tr>
        <w:trPr>
          <w:trHeight w:val="27"/>
        </w:trPr>
        <w:tc>
          <w:tcPr>
            <w:tcW w:w="4660" w:type="dxa"/>
            <w:vAlign w:val="bottom"/>
          </w:tcPr>
          <w:p>
            <w:pPr>
              <w:spacing w:after="0"/>
              <w:rPr>
                <w:sz w:val="2"/>
                <w:szCs w:val="2"/>
                <w:color w:val="auto"/>
              </w:rPr>
            </w:pPr>
          </w:p>
        </w:tc>
        <w:tc>
          <w:tcPr>
            <w:tcW w:w="26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4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400" w:type="dxa"/>
            <w:vAlign w:val="bottom"/>
          </w:tcPr>
          <w:p>
            <w:pPr>
              <w:spacing w:after="0"/>
              <w:rPr>
                <w:sz w:val="2"/>
                <w:szCs w:val="2"/>
                <w:color w:val="auto"/>
              </w:rPr>
            </w:pPr>
          </w:p>
        </w:tc>
      </w:tr>
      <w:tr>
        <w:trPr>
          <w:trHeight w:val="270"/>
        </w:trPr>
        <w:tc>
          <w:tcPr>
            <w:tcW w:w="4660" w:type="dxa"/>
            <w:vAlign w:val="bottom"/>
            <w:shd w:val="clear" w:color="auto" w:fill="CCEEFF"/>
          </w:tcPr>
          <w:p>
            <w:pPr>
              <w:ind w:left="280"/>
              <w:spacing w:after="0"/>
              <w:rPr>
                <w:sz w:val="20"/>
                <w:szCs w:val="20"/>
                <w:color w:val="auto"/>
              </w:rPr>
            </w:pPr>
            <w:r>
              <w:rPr>
                <w:rFonts w:ascii="Arial" w:cs="Arial" w:eastAsia="Arial" w:hAnsi="Arial"/>
                <w:sz w:val="18"/>
                <w:szCs w:val="18"/>
                <w:color w:val="auto"/>
              </w:rPr>
              <w:t>Basic</w:t>
            </w:r>
          </w:p>
        </w:tc>
        <w:tc>
          <w:tcPr>
            <w:tcW w:w="26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1360" w:type="dxa"/>
            <w:vAlign w:val="bottom"/>
            <w:shd w:val="clear" w:color="auto" w:fill="CCEEFF"/>
          </w:tcPr>
          <w:p>
            <w:pPr>
              <w:jc w:val="right"/>
              <w:ind w:right="31"/>
              <w:spacing w:after="0"/>
              <w:rPr>
                <w:sz w:val="20"/>
                <w:szCs w:val="20"/>
                <w:color w:val="auto"/>
              </w:rPr>
            </w:pPr>
            <w:r>
              <w:rPr>
                <w:rFonts w:ascii="Arial" w:cs="Arial" w:eastAsia="Arial" w:hAnsi="Arial"/>
                <w:sz w:val="18"/>
                <w:szCs w:val="18"/>
                <w:color w:val="auto"/>
              </w:rPr>
              <w:t>0.41</w:t>
            </w:r>
          </w:p>
        </w:tc>
        <w:tc>
          <w:tcPr>
            <w:tcW w:w="100" w:type="dxa"/>
            <w:vAlign w:val="bottom"/>
            <w:shd w:val="clear" w:color="auto" w:fill="CCEEFF"/>
          </w:tcPr>
          <w:p>
            <w:pPr>
              <w:spacing w:after="0"/>
              <w:rPr>
                <w:sz w:val="23"/>
                <w:szCs w:val="23"/>
                <w:color w:val="auto"/>
              </w:rPr>
            </w:pPr>
          </w:p>
        </w:tc>
        <w:tc>
          <w:tcPr>
            <w:tcW w:w="2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40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1.49</w:t>
            </w:r>
          </w:p>
        </w:tc>
        <w:tc>
          <w:tcPr>
            <w:tcW w:w="120" w:type="dxa"/>
            <w:vAlign w:val="bottom"/>
            <w:shd w:val="clear" w:color="auto" w:fill="CCEEFF"/>
          </w:tcPr>
          <w:p>
            <w:pPr>
              <w:spacing w:after="0"/>
              <w:rPr>
                <w:sz w:val="23"/>
                <w:szCs w:val="23"/>
                <w:color w:val="auto"/>
              </w:rPr>
            </w:pPr>
          </w:p>
        </w:tc>
        <w:tc>
          <w:tcPr>
            <w:tcW w:w="24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36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0.96</w:t>
            </w:r>
          </w:p>
        </w:tc>
        <w:tc>
          <w:tcPr>
            <w:tcW w:w="120" w:type="dxa"/>
            <w:vAlign w:val="bottom"/>
            <w:shd w:val="clear" w:color="auto" w:fill="CCEEFF"/>
          </w:tcPr>
          <w:p>
            <w:pPr>
              <w:spacing w:after="0"/>
              <w:rPr>
                <w:sz w:val="23"/>
                <w:szCs w:val="23"/>
                <w:color w:val="auto"/>
              </w:rPr>
            </w:pPr>
          </w:p>
        </w:tc>
        <w:tc>
          <w:tcPr>
            <w:tcW w:w="2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40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0.95</w:t>
            </w:r>
          </w:p>
        </w:tc>
      </w:tr>
      <w:tr>
        <w:trPr>
          <w:trHeight w:val="263"/>
        </w:trPr>
        <w:tc>
          <w:tcPr>
            <w:tcW w:w="4660" w:type="dxa"/>
            <w:vAlign w:val="bottom"/>
          </w:tcPr>
          <w:p>
            <w:pPr>
              <w:ind w:left="280"/>
              <w:spacing w:after="0"/>
              <w:rPr>
                <w:sz w:val="20"/>
                <w:szCs w:val="20"/>
                <w:color w:val="auto"/>
              </w:rPr>
            </w:pPr>
            <w:r>
              <w:rPr>
                <w:rFonts w:ascii="Arial" w:cs="Arial" w:eastAsia="Arial" w:hAnsi="Arial"/>
                <w:sz w:val="18"/>
                <w:szCs w:val="18"/>
                <w:color w:val="auto"/>
              </w:rPr>
              <w:t>Diluted</w:t>
            </w:r>
          </w:p>
        </w:tc>
        <w:tc>
          <w:tcPr>
            <w:tcW w:w="260" w:type="dxa"/>
            <w:vAlign w:val="bottom"/>
          </w:tcPr>
          <w:p>
            <w:pPr>
              <w:jc w:val="right"/>
              <w:ind w:right="30"/>
              <w:spacing w:after="0"/>
              <w:rPr>
                <w:sz w:val="20"/>
                <w:szCs w:val="20"/>
                <w:color w:val="auto"/>
              </w:rPr>
            </w:pPr>
            <w:r>
              <w:rPr>
                <w:rFonts w:ascii="Arial" w:cs="Arial" w:eastAsia="Arial" w:hAnsi="Arial"/>
                <w:sz w:val="18"/>
                <w:szCs w:val="18"/>
                <w:color w:val="auto"/>
              </w:rPr>
              <w:t>$</w:t>
            </w:r>
          </w:p>
        </w:tc>
        <w:tc>
          <w:tcPr>
            <w:tcW w:w="1360" w:type="dxa"/>
            <w:vAlign w:val="bottom"/>
          </w:tcPr>
          <w:p>
            <w:pPr>
              <w:jc w:val="right"/>
              <w:ind w:right="31"/>
              <w:spacing w:after="0"/>
              <w:rPr>
                <w:sz w:val="20"/>
                <w:szCs w:val="20"/>
                <w:color w:val="auto"/>
              </w:rPr>
            </w:pPr>
            <w:r>
              <w:rPr>
                <w:rFonts w:ascii="Arial" w:cs="Arial" w:eastAsia="Arial" w:hAnsi="Arial"/>
                <w:sz w:val="18"/>
                <w:szCs w:val="18"/>
                <w:color w:val="auto"/>
              </w:rPr>
              <w:t>0.41</w:t>
            </w:r>
          </w:p>
        </w:tc>
        <w:tc>
          <w:tcPr>
            <w:tcW w:w="100" w:type="dxa"/>
            <w:vAlign w:val="bottom"/>
          </w:tcPr>
          <w:p>
            <w:pPr>
              <w:spacing w:after="0"/>
              <w:rPr>
                <w:sz w:val="22"/>
                <w:szCs w:val="22"/>
                <w:color w:val="auto"/>
              </w:rPr>
            </w:pPr>
          </w:p>
        </w:tc>
        <w:tc>
          <w:tcPr>
            <w:tcW w:w="20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400" w:type="dxa"/>
            <w:vAlign w:val="bottom"/>
          </w:tcPr>
          <w:p>
            <w:pPr>
              <w:jc w:val="right"/>
              <w:ind w:right="11"/>
              <w:spacing w:after="0"/>
              <w:rPr>
                <w:sz w:val="20"/>
                <w:szCs w:val="20"/>
                <w:color w:val="auto"/>
              </w:rPr>
            </w:pPr>
            <w:r>
              <w:rPr>
                <w:rFonts w:ascii="Arial" w:cs="Arial" w:eastAsia="Arial" w:hAnsi="Arial"/>
                <w:sz w:val="18"/>
                <w:szCs w:val="18"/>
                <w:color w:val="auto"/>
              </w:rPr>
              <w:t>1.49</w:t>
            </w:r>
          </w:p>
        </w:tc>
        <w:tc>
          <w:tcPr>
            <w:tcW w:w="120" w:type="dxa"/>
            <w:vAlign w:val="bottom"/>
          </w:tcPr>
          <w:p>
            <w:pPr>
              <w:spacing w:after="0"/>
              <w:rPr>
                <w:sz w:val="22"/>
                <w:szCs w:val="22"/>
                <w:color w:val="auto"/>
              </w:rPr>
            </w:pPr>
          </w:p>
        </w:tc>
        <w:tc>
          <w:tcPr>
            <w:tcW w:w="240" w:type="dxa"/>
            <w:vAlign w:val="bottom"/>
          </w:tcPr>
          <w:p>
            <w:pPr>
              <w:jc w:val="right"/>
              <w:ind w:right="30"/>
              <w:spacing w:after="0"/>
              <w:rPr>
                <w:sz w:val="20"/>
                <w:szCs w:val="20"/>
                <w:color w:val="auto"/>
              </w:rPr>
            </w:pPr>
            <w:r>
              <w:rPr>
                <w:rFonts w:ascii="Arial" w:cs="Arial" w:eastAsia="Arial" w:hAnsi="Arial"/>
                <w:sz w:val="18"/>
                <w:szCs w:val="18"/>
                <w:color w:val="auto"/>
                <w:w w:val="99"/>
              </w:rPr>
              <w:t>$</w:t>
            </w:r>
          </w:p>
        </w:tc>
        <w:tc>
          <w:tcPr>
            <w:tcW w:w="1360" w:type="dxa"/>
            <w:vAlign w:val="bottom"/>
          </w:tcPr>
          <w:p>
            <w:pPr>
              <w:jc w:val="right"/>
              <w:ind w:right="11"/>
              <w:spacing w:after="0"/>
              <w:rPr>
                <w:sz w:val="20"/>
                <w:szCs w:val="20"/>
                <w:color w:val="auto"/>
              </w:rPr>
            </w:pPr>
            <w:r>
              <w:rPr>
                <w:rFonts w:ascii="Arial" w:cs="Arial" w:eastAsia="Arial" w:hAnsi="Arial"/>
                <w:sz w:val="18"/>
                <w:szCs w:val="18"/>
                <w:color w:val="auto"/>
              </w:rPr>
              <w:t>0.96</w:t>
            </w:r>
          </w:p>
        </w:tc>
        <w:tc>
          <w:tcPr>
            <w:tcW w:w="120" w:type="dxa"/>
            <w:vAlign w:val="bottom"/>
          </w:tcPr>
          <w:p>
            <w:pPr>
              <w:spacing w:after="0"/>
              <w:rPr>
                <w:sz w:val="22"/>
                <w:szCs w:val="22"/>
                <w:color w:val="auto"/>
              </w:rPr>
            </w:pPr>
          </w:p>
        </w:tc>
        <w:tc>
          <w:tcPr>
            <w:tcW w:w="20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400" w:type="dxa"/>
            <w:vAlign w:val="bottom"/>
          </w:tcPr>
          <w:p>
            <w:pPr>
              <w:jc w:val="right"/>
              <w:ind w:right="11"/>
              <w:spacing w:after="0"/>
              <w:rPr>
                <w:sz w:val="20"/>
                <w:szCs w:val="20"/>
                <w:color w:val="auto"/>
              </w:rPr>
            </w:pPr>
            <w:r>
              <w:rPr>
                <w:rFonts w:ascii="Arial" w:cs="Arial" w:eastAsia="Arial" w:hAnsi="Arial"/>
                <w:sz w:val="18"/>
                <w:szCs w:val="18"/>
                <w:color w:val="auto"/>
              </w:rPr>
              <w:t>0.95</w:t>
            </w:r>
          </w:p>
        </w:tc>
      </w:tr>
      <w:tr>
        <w:trPr>
          <w:trHeight w:val="257"/>
        </w:trPr>
        <w:tc>
          <w:tcPr>
            <w:tcW w:w="46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Shares used for computation (in thousands):</w:t>
            </w:r>
          </w:p>
        </w:tc>
        <w:tc>
          <w:tcPr>
            <w:tcW w:w="260" w:type="dxa"/>
            <w:vAlign w:val="bottom"/>
            <w:tcBorders>
              <w:bottom w:val="single" w:sz="8" w:color="CCEEFF"/>
            </w:tcBorders>
            <w:shd w:val="clear" w:color="auto" w:fill="CCEEFF"/>
          </w:tcPr>
          <w:p>
            <w:pPr>
              <w:spacing w:after="0"/>
              <w:rPr>
                <w:sz w:val="22"/>
                <w:szCs w:val="22"/>
                <w:color w:val="auto"/>
              </w:rPr>
            </w:pPr>
          </w:p>
        </w:tc>
        <w:tc>
          <w:tcPr>
            <w:tcW w:w="136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CCEEFF"/>
            </w:tcBorders>
            <w:shd w:val="clear" w:color="auto" w:fill="CCEEFF"/>
          </w:tcPr>
          <w:p>
            <w:pPr>
              <w:spacing w:after="0"/>
              <w:rPr>
                <w:sz w:val="22"/>
                <w:szCs w:val="22"/>
                <w:color w:val="auto"/>
              </w:rPr>
            </w:pPr>
          </w:p>
        </w:tc>
        <w:tc>
          <w:tcPr>
            <w:tcW w:w="140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bottom w:val="single" w:sz="8" w:color="CCEEFF"/>
            </w:tcBorders>
            <w:shd w:val="clear" w:color="auto" w:fill="CCEEFF"/>
          </w:tcPr>
          <w:p>
            <w:pPr>
              <w:spacing w:after="0"/>
              <w:rPr>
                <w:sz w:val="22"/>
                <w:szCs w:val="22"/>
                <w:color w:val="auto"/>
              </w:rPr>
            </w:pPr>
          </w:p>
        </w:tc>
        <w:tc>
          <w:tcPr>
            <w:tcW w:w="136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CCEEFF"/>
            </w:tcBorders>
            <w:shd w:val="clear" w:color="auto" w:fill="CCEEFF"/>
          </w:tcPr>
          <w:p>
            <w:pPr>
              <w:spacing w:after="0"/>
              <w:rPr>
                <w:sz w:val="22"/>
                <w:szCs w:val="22"/>
                <w:color w:val="auto"/>
              </w:rPr>
            </w:pPr>
          </w:p>
        </w:tc>
        <w:tc>
          <w:tcPr>
            <w:tcW w:w="1400" w:type="dxa"/>
            <w:vAlign w:val="bottom"/>
            <w:tcBorders>
              <w:bottom w:val="single" w:sz="8" w:color="CCEEFF"/>
            </w:tcBorders>
            <w:shd w:val="clear" w:color="auto" w:fill="CCEEFF"/>
          </w:tcPr>
          <w:p>
            <w:pPr>
              <w:spacing w:after="0"/>
              <w:rPr>
                <w:sz w:val="22"/>
                <w:szCs w:val="22"/>
                <w:color w:val="auto"/>
              </w:rPr>
            </w:pPr>
          </w:p>
        </w:tc>
      </w:tr>
      <w:tr>
        <w:trPr>
          <w:trHeight w:val="263"/>
        </w:trPr>
        <w:tc>
          <w:tcPr>
            <w:tcW w:w="4660" w:type="dxa"/>
            <w:vAlign w:val="bottom"/>
          </w:tcPr>
          <w:p>
            <w:pPr>
              <w:ind w:left="280"/>
              <w:spacing w:after="0"/>
              <w:rPr>
                <w:sz w:val="20"/>
                <w:szCs w:val="20"/>
                <w:color w:val="auto"/>
              </w:rPr>
            </w:pPr>
            <w:r>
              <w:rPr>
                <w:rFonts w:ascii="Arial" w:cs="Arial" w:eastAsia="Arial" w:hAnsi="Arial"/>
                <w:sz w:val="18"/>
                <w:szCs w:val="18"/>
                <w:color w:val="auto"/>
              </w:rPr>
              <w:t>Basic</w:t>
            </w:r>
          </w:p>
        </w:tc>
        <w:tc>
          <w:tcPr>
            <w:tcW w:w="260" w:type="dxa"/>
            <w:vAlign w:val="bottom"/>
          </w:tcPr>
          <w:p>
            <w:pPr>
              <w:spacing w:after="0"/>
              <w:rPr>
                <w:sz w:val="22"/>
                <w:szCs w:val="22"/>
                <w:color w:val="auto"/>
              </w:rPr>
            </w:pPr>
          </w:p>
        </w:tc>
        <w:tc>
          <w:tcPr>
            <w:tcW w:w="1360" w:type="dxa"/>
            <w:vAlign w:val="bottom"/>
          </w:tcPr>
          <w:p>
            <w:pPr>
              <w:jc w:val="right"/>
              <w:ind w:right="31"/>
              <w:spacing w:after="0"/>
              <w:rPr>
                <w:sz w:val="20"/>
                <w:szCs w:val="20"/>
                <w:color w:val="auto"/>
              </w:rPr>
            </w:pPr>
            <w:r>
              <w:rPr>
                <w:rFonts w:ascii="Arial" w:cs="Arial" w:eastAsia="Arial" w:hAnsi="Arial"/>
                <w:sz w:val="18"/>
                <w:szCs w:val="18"/>
                <w:color w:val="auto"/>
              </w:rPr>
              <w:t>451,951</w:t>
            </w:r>
          </w:p>
        </w:tc>
        <w:tc>
          <w:tcPr>
            <w:tcW w:w="10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1400" w:type="dxa"/>
            <w:vAlign w:val="bottom"/>
          </w:tcPr>
          <w:p>
            <w:pPr>
              <w:jc w:val="right"/>
              <w:ind w:right="11"/>
              <w:spacing w:after="0"/>
              <w:rPr>
                <w:sz w:val="20"/>
                <w:szCs w:val="20"/>
                <w:color w:val="auto"/>
              </w:rPr>
            </w:pPr>
            <w:r>
              <w:rPr>
                <w:rFonts w:ascii="Arial" w:cs="Arial" w:eastAsia="Arial" w:hAnsi="Arial"/>
                <w:sz w:val="18"/>
                <w:szCs w:val="18"/>
                <w:color w:val="auto"/>
              </w:rPr>
              <w:t>445,008</w:t>
            </w:r>
          </w:p>
        </w:tc>
        <w:tc>
          <w:tcPr>
            <w:tcW w:w="12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1360" w:type="dxa"/>
            <w:vAlign w:val="bottom"/>
          </w:tcPr>
          <w:p>
            <w:pPr>
              <w:jc w:val="right"/>
              <w:ind w:right="11"/>
              <w:spacing w:after="0"/>
              <w:rPr>
                <w:sz w:val="20"/>
                <w:szCs w:val="20"/>
                <w:color w:val="auto"/>
              </w:rPr>
            </w:pPr>
            <w:r>
              <w:rPr>
                <w:rFonts w:ascii="Arial" w:cs="Arial" w:eastAsia="Arial" w:hAnsi="Arial"/>
                <w:sz w:val="18"/>
                <w:szCs w:val="18"/>
                <w:color w:val="auto"/>
              </w:rPr>
              <w:t>441,915</w:t>
            </w:r>
          </w:p>
        </w:tc>
        <w:tc>
          <w:tcPr>
            <w:tcW w:w="12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1400" w:type="dxa"/>
            <w:vAlign w:val="bottom"/>
          </w:tcPr>
          <w:p>
            <w:pPr>
              <w:jc w:val="right"/>
              <w:ind w:right="11"/>
              <w:spacing w:after="0"/>
              <w:rPr>
                <w:sz w:val="20"/>
                <w:szCs w:val="20"/>
                <w:color w:val="auto"/>
              </w:rPr>
            </w:pPr>
            <w:r>
              <w:rPr>
                <w:rFonts w:ascii="Arial" w:cs="Arial" w:eastAsia="Arial" w:hAnsi="Arial"/>
                <w:sz w:val="18"/>
                <w:szCs w:val="18"/>
                <w:color w:val="auto"/>
              </w:rPr>
              <w:t>434,578</w:t>
            </w:r>
          </w:p>
        </w:tc>
      </w:tr>
      <w:tr>
        <w:trPr>
          <w:trHeight w:val="277"/>
        </w:trPr>
        <w:tc>
          <w:tcPr>
            <w:tcW w:w="4660" w:type="dxa"/>
            <w:vAlign w:val="bottom"/>
            <w:shd w:val="clear" w:color="auto" w:fill="CCEEFF"/>
          </w:tcPr>
          <w:p>
            <w:pPr>
              <w:ind w:left="280"/>
              <w:spacing w:after="0"/>
              <w:rPr>
                <w:sz w:val="20"/>
                <w:szCs w:val="20"/>
                <w:color w:val="auto"/>
              </w:rPr>
            </w:pPr>
            <w:r>
              <w:rPr>
                <w:rFonts w:ascii="Arial" w:cs="Arial" w:eastAsia="Arial" w:hAnsi="Arial"/>
                <w:sz w:val="18"/>
                <w:szCs w:val="18"/>
                <w:color w:val="auto"/>
              </w:rPr>
              <w:t>Diluted</w:t>
            </w:r>
          </w:p>
        </w:tc>
        <w:tc>
          <w:tcPr>
            <w:tcW w:w="260" w:type="dxa"/>
            <w:vAlign w:val="bottom"/>
            <w:shd w:val="clear" w:color="auto" w:fill="CCEEFF"/>
          </w:tcPr>
          <w:p>
            <w:pPr>
              <w:spacing w:after="0"/>
              <w:rPr>
                <w:sz w:val="24"/>
                <w:szCs w:val="24"/>
                <w:color w:val="auto"/>
              </w:rPr>
            </w:pPr>
          </w:p>
        </w:tc>
        <w:tc>
          <w:tcPr>
            <w:tcW w:w="1360" w:type="dxa"/>
            <w:vAlign w:val="bottom"/>
            <w:shd w:val="clear" w:color="auto" w:fill="CCEEFF"/>
          </w:tcPr>
          <w:p>
            <w:pPr>
              <w:jc w:val="right"/>
              <w:ind w:right="31"/>
              <w:spacing w:after="0"/>
              <w:rPr>
                <w:sz w:val="20"/>
                <w:szCs w:val="20"/>
                <w:color w:val="auto"/>
              </w:rPr>
            </w:pPr>
            <w:r>
              <w:rPr>
                <w:rFonts w:ascii="Arial" w:cs="Arial" w:eastAsia="Arial" w:hAnsi="Arial"/>
                <w:sz w:val="18"/>
                <w:szCs w:val="18"/>
                <w:color w:val="auto"/>
              </w:rPr>
              <w:t>453,429</w:t>
            </w:r>
          </w:p>
        </w:tc>
        <w:tc>
          <w:tcPr>
            <w:tcW w:w="100" w:type="dxa"/>
            <w:vAlign w:val="bottom"/>
            <w:shd w:val="clear" w:color="auto" w:fill="CCEEFF"/>
          </w:tcPr>
          <w:p>
            <w:pPr>
              <w:spacing w:after="0"/>
              <w:rPr>
                <w:sz w:val="24"/>
                <w:szCs w:val="24"/>
                <w:color w:val="auto"/>
              </w:rPr>
            </w:pPr>
          </w:p>
        </w:tc>
        <w:tc>
          <w:tcPr>
            <w:tcW w:w="200" w:type="dxa"/>
            <w:vAlign w:val="bottom"/>
            <w:shd w:val="clear" w:color="auto" w:fill="CCEEFF"/>
          </w:tcPr>
          <w:p>
            <w:pPr>
              <w:spacing w:after="0"/>
              <w:rPr>
                <w:sz w:val="24"/>
                <w:szCs w:val="24"/>
                <w:color w:val="auto"/>
              </w:rPr>
            </w:pPr>
          </w:p>
        </w:tc>
        <w:tc>
          <w:tcPr>
            <w:tcW w:w="140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445,587</w:t>
            </w:r>
          </w:p>
        </w:tc>
        <w:tc>
          <w:tcPr>
            <w:tcW w:w="120" w:type="dxa"/>
            <w:vAlign w:val="bottom"/>
            <w:shd w:val="clear" w:color="auto" w:fill="CCEEFF"/>
          </w:tcPr>
          <w:p>
            <w:pPr>
              <w:spacing w:after="0"/>
              <w:rPr>
                <w:sz w:val="24"/>
                <w:szCs w:val="24"/>
                <w:color w:val="auto"/>
              </w:rPr>
            </w:pPr>
          </w:p>
        </w:tc>
        <w:tc>
          <w:tcPr>
            <w:tcW w:w="240" w:type="dxa"/>
            <w:vAlign w:val="bottom"/>
            <w:shd w:val="clear" w:color="auto" w:fill="CCEEFF"/>
          </w:tcPr>
          <w:p>
            <w:pPr>
              <w:spacing w:after="0"/>
              <w:rPr>
                <w:sz w:val="24"/>
                <w:szCs w:val="24"/>
                <w:color w:val="auto"/>
              </w:rPr>
            </w:pPr>
          </w:p>
        </w:tc>
        <w:tc>
          <w:tcPr>
            <w:tcW w:w="136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442,401</w:t>
            </w:r>
          </w:p>
        </w:tc>
        <w:tc>
          <w:tcPr>
            <w:tcW w:w="120" w:type="dxa"/>
            <w:vAlign w:val="bottom"/>
            <w:shd w:val="clear" w:color="auto" w:fill="CCEEFF"/>
          </w:tcPr>
          <w:p>
            <w:pPr>
              <w:spacing w:after="0"/>
              <w:rPr>
                <w:sz w:val="24"/>
                <w:szCs w:val="24"/>
                <w:color w:val="auto"/>
              </w:rPr>
            </w:pPr>
          </w:p>
        </w:tc>
        <w:tc>
          <w:tcPr>
            <w:tcW w:w="200" w:type="dxa"/>
            <w:vAlign w:val="bottom"/>
            <w:shd w:val="clear" w:color="auto" w:fill="CCEEFF"/>
          </w:tcPr>
          <w:p>
            <w:pPr>
              <w:spacing w:after="0"/>
              <w:rPr>
                <w:sz w:val="24"/>
                <w:szCs w:val="24"/>
                <w:color w:val="auto"/>
              </w:rPr>
            </w:pPr>
          </w:p>
        </w:tc>
        <w:tc>
          <w:tcPr>
            <w:tcW w:w="140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435,659</w:t>
            </w:r>
          </w:p>
        </w:tc>
      </w:tr>
      <w:tr>
        <w:trPr>
          <w:trHeight w:val="297"/>
        </w:trPr>
        <w:tc>
          <w:tcPr>
            <w:tcW w:w="46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400" w:type="dxa"/>
            <w:vAlign w:val="bottom"/>
          </w:tcPr>
          <w:p>
            <w:pPr>
              <w:spacing w:after="0"/>
              <w:rPr>
                <w:sz w:val="24"/>
                <w:szCs w:val="24"/>
                <w:color w:val="auto"/>
              </w:rPr>
            </w:pPr>
          </w:p>
        </w:tc>
      </w:tr>
      <w:tr>
        <w:trPr>
          <w:trHeight w:val="250"/>
        </w:trPr>
        <w:tc>
          <w:tcPr>
            <w:tcW w:w="46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2018</w:t>
            </w:r>
          </w:p>
        </w:tc>
        <w:tc>
          <w:tcPr>
            <w:tcW w:w="26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4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400" w:type="dxa"/>
            <w:vAlign w:val="bottom"/>
            <w:tcBorders>
              <w:bottom w:val="single" w:sz="8" w:color="CCEEFF"/>
            </w:tcBorders>
            <w:shd w:val="clear" w:color="auto" w:fill="CCEEFF"/>
          </w:tcPr>
          <w:p>
            <w:pPr>
              <w:spacing w:after="0"/>
              <w:rPr>
                <w:sz w:val="21"/>
                <w:szCs w:val="21"/>
                <w:color w:val="auto"/>
              </w:rPr>
            </w:pPr>
          </w:p>
        </w:tc>
      </w:tr>
      <w:tr>
        <w:trPr>
          <w:trHeight w:val="263"/>
        </w:trPr>
        <w:tc>
          <w:tcPr>
            <w:tcW w:w="4660" w:type="dxa"/>
            <w:vAlign w:val="bottom"/>
          </w:tcPr>
          <w:p>
            <w:pPr>
              <w:ind w:left="40"/>
              <w:spacing w:after="0"/>
              <w:rPr>
                <w:sz w:val="20"/>
                <w:szCs w:val="20"/>
                <w:color w:val="auto"/>
              </w:rPr>
            </w:pPr>
            <w:r>
              <w:rPr>
                <w:rFonts w:ascii="Arial" w:cs="Arial" w:eastAsia="Arial" w:hAnsi="Arial"/>
                <w:sz w:val="18"/>
                <w:szCs w:val="18"/>
                <w:color w:val="auto"/>
              </w:rPr>
              <w:t>Operating revenues</w:t>
            </w:r>
          </w:p>
        </w:tc>
        <w:tc>
          <w:tcPr>
            <w:tcW w:w="260" w:type="dxa"/>
            <w:vAlign w:val="bottom"/>
          </w:tcPr>
          <w:p>
            <w:pPr>
              <w:jc w:val="right"/>
              <w:ind w:right="30"/>
              <w:spacing w:after="0"/>
              <w:rPr>
                <w:sz w:val="20"/>
                <w:szCs w:val="20"/>
                <w:color w:val="auto"/>
              </w:rPr>
            </w:pPr>
            <w:r>
              <w:rPr>
                <w:rFonts w:ascii="Arial" w:cs="Arial" w:eastAsia="Arial" w:hAnsi="Arial"/>
                <w:sz w:val="18"/>
                <w:szCs w:val="18"/>
                <w:color w:val="auto"/>
              </w:rPr>
              <w:t>$</w:t>
            </w:r>
          </w:p>
        </w:tc>
        <w:tc>
          <w:tcPr>
            <w:tcW w:w="1360" w:type="dxa"/>
            <w:vAlign w:val="bottom"/>
          </w:tcPr>
          <w:p>
            <w:pPr>
              <w:jc w:val="right"/>
              <w:ind w:right="31"/>
              <w:spacing w:after="0"/>
              <w:rPr>
                <w:sz w:val="20"/>
                <w:szCs w:val="20"/>
                <w:color w:val="auto"/>
              </w:rPr>
            </w:pPr>
            <w:r>
              <w:rPr>
                <w:rFonts w:ascii="Arial" w:cs="Arial" w:eastAsia="Arial" w:hAnsi="Arial"/>
                <w:sz w:val="18"/>
                <w:szCs w:val="18"/>
                <w:color w:val="auto"/>
              </w:rPr>
              <w:t>10,401</w:t>
            </w:r>
          </w:p>
        </w:tc>
        <w:tc>
          <w:tcPr>
            <w:tcW w:w="100" w:type="dxa"/>
            <w:vAlign w:val="bottom"/>
          </w:tcPr>
          <w:p>
            <w:pPr>
              <w:spacing w:after="0"/>
              <w:rPr>
                <w:sz w:val="22"/>
                <w:szCs w:val="22"/>
                <w:color w:val="auto"/>
              </w:rPr>
            </w:pPr>
          </w:p>
        </w:tc>
        <w:tc>
          <w:tcPr>
            <w:tcW w:w="20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400" w:type="dxa"/>
            <w:vAlign w:val="bottom"/>
          </w:tcPr>
          <w:p>
            <w:pPr>
              <w:jc w:val="right"/>
              <w:ind w:right="11"/>
              <w:spacing w:after="0"/>
              <w:rPr>
                <w:sz w:val="20"/>
                <w:szCs w:val="20"/>
                <w:color w:val="auto"/>
              </w:rPr>
            </w:pPr>
            <w:r>
              <w:rPr>
                <w:rFonts w:ascii="Arial" w:cs="Arial" w:eastAsia="Arial" w:hAnsi="Arial"/>
                <w:sz w:val="18"/>
                <w:szCs w:val="18"/>
                <w:color w:val="auto"/>
              </w:rPr>
              <w:t>11,643</w:t>
            </w:r>
          </w:p>
        </w:tc>
        <w:tc>
          <w:tcPr>
            <w:tcW w:w="120" w:type="dxa"/>
            <w:vAlign w:val="bottom"/>
          </w:tcPr>
          <w:p>
            <w:pPr>
              <w:spacing w:after="0"/>
              <w:rPr>
                <w:sz w:val="22"/>
                <w:szCs w:val="22"/>
                <w:color w:val="auto"/>
              </w:rPr>
            </w:pPr>
          </w:p>
        </w:tc>
        <w:tc>
          <w:tcPr>
            <w:tcW w:w="240" w:type="dxa"/>
            <w:vAlign w:val="bottom"/>
          </w:tcPr>
          <w:p>
            <w:pPr>
              <w:jc w:val="right"/>
              <w:ind w:right="30"/>
              <w:spacing w:after="0"/>
              <w:rPr>
                <w:sz w:val="20"/>
                <w:szCs w:val="20"/>
                <w:color w:val="auto"/>
              </w:rPr>
            </w:pPr>
            <w:r>
              <w:rPr>
                <w:rFonts w:ascii="Arial" w:cs="Arial" w:eastAsia="Arial" w:hAnsi="Arial"/>
                <w:sz w:val="18"/>
                <w:szCs w:val="18"/>
                <w:color w:val="auto"/>
                <w:w w:val="99"/>
              </w:rPr>
              <w:t>$</w:t>
            </w:r>
          </w:p>
        </w:tc>
        <w:tc>
          <w:tcPr>
            <w:tcW w:w="1360" w:type="dxa"/>
            <w:vAlign w:val="bottom"/>
          </w:tcPr>
          <w:p>
            <w:pPr>
              <w:jc w:val="right"/>
              <w:ind w:right="11"/>
              <w:spacing w:after="0"/>
              <w:rPr>
                <w:sz w:val="20"/>
                <w:szCs w:val="20"/>
                <w:color w:val="auto"/>
              </w:rPr>
            </w:pPr>
            <w:r>
              <w:rPr>
                <w:rFonts w:ascii="Arial" w:cs="Arial" w:eastAsia="Arial" w:hAnsi="Arial"/>
                <w:sz w:val="18"/>
                <w:szCs w:val="18"/>
                <w:color w:val="auto"/>
              </w:rPr>
              <w:t>11,559</w:t>
            </w:r>
          </w:p>
        </w:tc>
        <w:tc>
          <w:tcPr>
            <w:tcW w:w="120" w:type="dxa"/>
            <w:vAlign w:val="bottom"/>
          </w:tcPr>
          <w:p>
            <w:pPr>
              <w:spacing w:after="0"/>
              <w:rPr>
                <w:sz w:val="22"/>
                <w:szCs w:val="22"/>
                <w:color w:val="auto"/>
              </w:rPr>
            </w:pPr>
          </w:p>
        </w:tc>
        <w:tc>
          <w:tcPr>
            <w:tcW w:w="20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400" w:type="dxa"/>
            <w:vAlign w:val="bottom"/>
          </w:tcPr>
          <w:p>
            <w:pPr>
              <w:jc w:val="right"/>
              <w:ind w:right="11"/>
              <w:spacing w:after="0"/>
              <w:rPr>
                <w:sz w:val="20"/>
                <w:szCs w:val="20"/>
                <w:color w:val="auto"/>
              </w:rPr>
            </w:pPr>
            <w:r>
              <w:rPr>
                <w:rFonts w:ascii="Arial" w:cs="Arial" w:eastAsia="Arial" w:hAnsi="Arial"/>
                <w:sz w:val="18"/>
                <w:szCs w:val="18"/>
                <w:color w:val="auto"/>
              </w:rPr>
              <w:t>10,938</w:t>
            </w:r>
          </w:p>
        </w:tc>
      </w:tr>
      <w:tr>
        <w:trPr>
          <w:trHeight w:val="277"/>
        </w:trPr>
        <w:tc>
          <w:tcPr>
            <w:tcW w:w="4660" w:type="dxa"/>
            <w:vAlign w:val="bottom"/>
            <w:shd w:val="clear" w:color="auto" w:fill="CCEEFF"/>
          </w:tcPr>
          <w:p>
            <w:pPr>
              <w:ind w:left="40"/>
              <w:spacing w:after="0"/>
              <w:rPr>
                <w:sz w:val="20"/>
                <w:szCs w:val="20"/>
                <w:color w:val="auto"/>
              </w:rPr>
            </w:pPr>
            <w:r>
              <w:rPr>
                <w:rFonts w:ascii="Arial" w:cs="Arial" w:eastAsia="Arial" w:hAnsi="Arial"/>
                <w:sz w:val="18"/>
                <w:szCs w:val="18"/>
                <w:color w:val="auto"/>
              </w:rPr>
              <w:t>Operating expenses</w:t>
            </w:r>
          </w:p>
        </w:tc>
        <w:tc>
          <w:tcPr>
            <w:tcW w:w="260" w:type="dxa"/>
            <w:vAlign w:val="bottom"/>
            <w:shd w:val="clear" w:color="auto" w:fill="CCEEFF"/>
          </w:tcPr>
          <w:p>
            <w:pPr>
              <w:spacing w:after="0"/>
              <w:rPr>
                <w:sz w:val="24"/>
                <w:szCs w:val="24"/>
                <w:color w:val="auto"/>
              </w:rPr>
            </w:pPr>
          </w:p>
        </w:tc>
        <w:tc>
          <w:tcPr>
            <w:tcW w:w="1360" w:type="dxa"/>
            <w:vAlign w:val="bottom"/>
            <w:shd w:val="clear" w:color="auto" w:fill="CCEEFF"/>
          </w:tcPr>
          <w:p>
            <w:pPr>
              <w:jc w:val="right"/>
              <w:ind w:right="31"/>
              <w:spacing w:after="0"/>
              <w:rPr>
                <w:sz w:val="20"/>
                <w:szCs w:val="20"/>
                <w:color w:val="auto"/>
              </w:rPr>
            </w:pPr>
            <w:r>
              <w:rPr>
                <w:rFonts w:ascii="Arial" w:cs="Arial" w:eastAsia="Arial" w:hAnsi="Arial"/>
                <w:sz w:val="18"/>
                <w:szCs w:val="18"/>
                <w:color w:val="auto"/>
              </w:rPr>
              <w:t>10,005</w:t>
            </w:r>
          </w:p>
        </w:tc>
        <w:tc>
          <w:tcPr>
            <w:tcW w:w="100" w:type="dxa"/>
            <w:vAlign w:val="bottom"/>
            <w:shd w:val="clear" w:color="auto" w:fill="CCEEFF"/>
          </w:tcPr>
          <w:p>
            <w:pPr>
              <w:spacing w:after="0"/>
              <w:rPr>
                <w:sz w:val="24"/>
                <w:szCs w:val="24"/>
                <w:color w:val="auto"/>
              </w:rPr>
            </w:pPr>
          </w:p>
        </w:tc>
        <w:tc>
          <w:tcPr>
            <w:tcW w:w="200" w:type="dxa"/>
            <w:vAlign w:val="bottom"/>
            <w:shd w:val="clear" w:color="auto" w:fill="CCEEFF"/>
          </w:tcPr>
          <w:p>
            <w:pPr>
              <w:spacing w:after="0"/>
              <w:rPr>
                <w:sz w:val="24"/>
                <w:szCs w:val="24"/>
                <w:color w:val="auto"/>
              </w:rPr>
            </w:pPr>
          </w:p>
        </w:tc>
        <w:tc>
          <w:tcPr>
            <w:tcW w:w="140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10,639</w:t>
            </w:r>
          </w:p>
        </w:tc>
        <w:tc>
          <w:tcPr>
            <w:tcW w:w="120" w:type="dxa"/>
            <w:vAlign w:val="bottom"/>
            <w:shd w:val="clear" w:color="auto" w:fill="CCEEFF"/>
          </w:tcPr>
          <w:p>
            <w:pPr>
              <w:spacing w:after="0"/>
              <w:rPr>
                <w:sz w:val="24"/>
                <w:szCs w:val="24"/>
                <w:color w:val="auto"/>
              </w:rPr>
            </w:pPr>
          </w:p>
        </w:tc>
        <w:tc>
          <w:tcPr>
            <w:tcW w:w="240" w:type="dxa"/>
            <w:vAlign w:val="bottom"/>
            <w:shd w:val="clear" w:color="auto" w:fill="CCEEFF"/>
          </w:tcPr>
          <w:p>
            <w:pPr>
              <w:spacing w:after="0"/>
              <w:rPr>
                <w:sz w:val="24"/>
                <w:szCs w:val="24"/>
                <w:color w:val="auto"/>
              </w:rPr>
            </w:pPr>
          </w:p>
        </w:tc>
        <w:tc>
          <w:tcPr>
            <w:tcW w:w="136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10,874</w:t>
            </w:r>
          </w:p>
        </w:tc>
        <w:tc>
          <w:tcPr>
            <w:tcW w:w="120" w:type="dxa"/>
            <w:vAlign w:val="bottom"/>
            <w:shd w:val="clear" w:color="auto" w:fill="CCEEFF"/>
          </w:tcPr>
          <w:p>
            <w:pPr>
              <w:spacing w:after="0"/>
              <w:rPr>
                <w:sz w:val="24"/>
                <w:szCs w:val="24"/>
                <w:color w:val="auto"/>
              </w:rPr>
            </w:pPr>
          </w:p>
        </w:tc>
        <w:tc>
          <w:tcPr>
            <w:tcW w:w="200" w:type="dxa"/>
            <w:vAlign w:val="bottom"/>
            <w:shd w:val="clear" w:color="auto" w:fill="CCEEFF"/>
          </w:tcPr>
          <w:p>
            <w:pPr>
              <w:spacing w:after="0"/>
              <w:rPr>
                <w:sz w:val="24"/>
                <w:szCs w:val="24"/>
                <w:color w:val="auto"/>
              </w:rPr>
            </w:pPr>
          </w:p>
        </w:tc>
        <w:tc>
          <w:tcPr>
            <w:tcW w:w="140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10,367</w:t>
            </w:r>
          </w:p>
        </w:tc>
      </w:tr>
      <w:tr>
        <w:trPr>
          <w:trHeight w:val="263"/>
        </w:trPr>
        <w:tc>
          <w:tcPr>
            <w:tcW w:w="4660" w:type="dxa"/>
            <w:vAlign w:val="bottom"/>
          </w:tcPr>
          <w:p>
            <w:pPr>
              <w:ind w:left="40"/>
              <w:spacing w:after="0"/>
              <w:rPr>
                <w:sz w:val="20"/>
                <w:szCs w:val="20"/>
                <w:color w:val="auto"/>
              </w:rPr>
            </w:pPr>
            <w:r>
              <w:rPr>
                <w:rFonts w:ascii="Arial" w:cs="Arial" w:eastAsia="Arial" w:hAnsi="Arial"/>
                <w:sz w:val="18"/>
                <w:szCs w:val="18"/>
                <w:color w:val="auto"/>
              </w:rPr>
              <w:t>Operating income</w:t>
            </w:r>
          </w:p>
        </w:tc>
        <w:tc>
          <w:tcPr>
            <w:tcW w:w="260" w:type="dxa"/>
            <w:vAlign w:val="bottom"/>
          </w:tcPr>
          <w:p>
            <w:pPr>
              <w:spacing w:after="0"/>
              <w:rPr>
                <w:sz w:val="22"/>
                <w:szCs w:val="22"/>
                <w:color w:val="auto"/>
              </w:rPr>
            </w:pPr>
          </w:p>
        </w:tc>
        <w:tc>
          <w:tcPr>
            <w:tcW w:w="1360" w:type="dxa"/>
            <w:vAlign w:val="bottom"/>
          </w:tcPr>
          <w:p>
            <w:pPr>
              <w:jc w:val="right"/>
              <w:ind w:right="31"/>
              <w:spacing w:after="0"/>
              <w:rPr>
                <w:sz w:val="20"/>
                <w:szCs w:val="20"/>
                <w:color w:val="auto"/>
              </w:rPr>
            </w:pPr>
            <w:r>
              <w:rPr>
                <w:rFonts w:ascii="Arial" w:cs="Arial" w:eastAsia="Arial" w:hAnsi="Arial"/>
                <w:sz w:val="18"/>
                <w:szCs w:val="18"/>
                <w:color w:val="auto"/>
              </w:rPr>
              <w:t>396</w:t>
            </w:r>
          </w:p>
        </w:tc>
        <w:tc>
          <w:tcPr>
            <w:tcW w:w="10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1400" w:type="dxa"/>
            <w:vAlign w:val="bottom"/>
          </w:tcPr>
          <w:p>
            <w:pPr>
              <w:jc w:val="right"/>
              <w:ind w:right="11"/>
              <w:spacing w:after="0"/>
              <w:rPr>
                <w:sz w:val="20"/>
                <w:szCs w:val="20"/>
                <w:color w:val="auto"/>
              </w:rPr>
            </w:pPr>
            <w:r>
              <w:rPr>
                <w:rFonts w:ascii="Arial" w:cs="Arial" w:eastAsia="Arial" w:hAnsi="Arial"/>
                <w:sz w:val="18"/>
                <w:szCs w:val="18"/>
                <w:color w:val="auto"/>
              </w:rPr>
              <w:t>1,004</w:t>
            </w:r>
          </w:p>
        </w:tc>
        <w:tc>
          <w:tcPr>
            <w:tcW w:w="12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1360" w:type="dxa"/>
            <w:vAlign w:val="bottom"/>
          </w:tcPr>
          <w:p>
            <w:pPr>
              <w:jc w:val="right"/>
              <w:ind w:right="11"/>
              <w:spacing w:after="0"/>
              <w:rPr>
                <w:sz w:val="20"/>
                <w:szCs w:val="20"/>
                <w:color w:val="auto"/>
              </w:rPr>
            </w:pPr>
            <w:r>
              <w:rPr>
                <w:rFonts w:ascii="Arial" w:cs="Arial" w:eastAsia="Arial" w:hAnsi="Arial"/>
                <w:sz w:val="18"/>
                <w:szCs w:val="18"/>
                <w:color w:val="auto"/>
              </w:rPr>
              <w:t>685</w:t>
            </w:r>
          </w:p>
        </w:tc>
        <w:tc>
          <w:tcPr>
            <w:tcW w:w="12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1400" w:type="dxa"/>
            <w:vAlign w:val="bottom"/>
          </w:tcPr>
          <w:p>
            <w:pPr>
              <w:jc w:val="right"/>
              <w:ind w:right="11"/>
              <w:spacing w:after="0"/>
              <w:rPr>
                <w:sz w:val="20"/>
                <w:szCs w:val="20"/>
                <w:color w:val="auto"/>
              </w:rPr>
            </w:pPr>
            <w:r>
              <w:rPr>
                <w:rFonts w:ascii="Arial" w:cs="Arial" w:eastAsia="Arial" w:hAnsi="Arial"/>
                <w:sz w:val="18"/>
                <w:szCs w:val="18"/>
                <w:color w:val="auto"/>
              </w:rPr>
              <w:t>571</w:t>
            </w:r>
          </w:p>
        </w:tc>
      </w:tr>
      <w:tr>
        <w:trPr>
          <w:trHeight w:val="277"/>
        </w:trPr>
        <w:tc>
          <w:tcPr>
            <w:tcW w:w="4660" w:type="dxa"/>
            <w:vAlign w:val="bottom"/>
            <w:shd w:val="clear" w:color="auto" w:fill="CCEEFF"/>
          </w:tcPr>
          <w:p>
            <w:pPr>
              <w:ind w:left="40"/>
              <w:spacing w:after="0"/>
              <w:rPr>
                <w:sz w:val="20"/>
                <w:szCs w:val="20"/>
                <w:color w:val="auto"/>
              </w:rPr>
            </w:pPr>
            <w:r>
              <w:rPr>
                <w:rFonts w:ascii="Arial" w:cs="Arial" w:eastAsia="Arial" w:hAnsi="Arial"/>
                <w:sz w:val="18"/>
                <w:szCs w:val="18"/>
                <w:color w:val="auto"/>
              </w:rPr>
              <w:t>Net income</w:t>
            </w:r>
          </w:p>
        </w:tc>
        <w:tc>
          <w:tcPr>
            <w:tcW w:w="260" w:type="dxa"/>
            <w:vAlign w:val="bottom"/>
            <w:shd w:val="clear" w:color="auto" w:fill="CCEEFF"/>
          </w:tcPr>
          <w:p>
            <w:pPr>
              <w:spacing w:after="0"/>
              <w:rPr>
                <w:sz w:val="24"/>
                <w:szCs w:val="24"/>
                <w:color w:val="auto"/>
              </w:rPr>
            </w:pPr>
          </w:p>
        </w:tc>
        <w:tc>
          <w:tcPr>
            <w:tcW w:w="1360" w:type="dxa"/>
            <w:vAlign w:val="bottom"/>
            <w:shd w:val="clear" w:color="auto" w:fill="CCEEFF"/>
          </w:tcPr>
          <w:p>
            <w:pPr>
              <w:jc w:val="right"/>
              <w:ind w:right="31"/>
              <w:spacing w:after="0"/>
              <w:rPr>
                <w:sz w:val="20"/>
                <w:szCs w:val="20"/>
                <w:color w:val="auto"/>
              </w:rPr>
            </w:pPr>
            <w:r>
              <w:rPr>
                <w:rFonts w:ascii="Arial" w:cs="Arial" w:eastAsia="Arial" w:hAnsi="Arial"/>
                <w:sz w:val="18"/>
                <w:szCs w:val="18"/>
                <w:color w:val="auto"/>
              </w:rPr>
              <w:t>159</w:t>
            </w:r>
          </w:p>
        </w:tc>
        <w:tc>
          <w:tcPr>
            <w:tcW w:w="100" w:type="dxa"/>
            <w:vAlign w:val="bottom"/>
            <w:shd w:val="clear" w:color="auto" w:fill="CCEEFF"/>
          </w:tcPr>
          <w:p>
            <w:pPr>
              <w:spacing w:after="0"/>
              <w:rPr>
                <w:sz w:val="24"/>
                <w:szCs w:val="24"/>
                <w:color w:val="auto"/>
              </w:rPr>
            </w:pPr>
          </w:p>
        </w:tc>
        <w:tc>
          <w:tcPr>
            <w:tcW w:w="200" w:type="dxa"/>
            <w:vAlign w:val="bottom"/>
            <w:shd w:val="clear" w:color="auto" w:fill="CCEEFF"/>
          </w:tcPr>
          <w:p>
            <w:pPr>
              <w:spacing w:after="0"/>
              <w:rPr>
                <w:sz w:val="24"/>
                <w:szCs w:val="24"/>
                <w:color w:val="auto"/>
              </w:rPr>
            </w:pPr>
          </w:p>
        </w:tc>
        <w:tc>
          <w:tcPr>
            <w:tcW w:w="140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556</w:t>
            </w:r>
          </w:p>
        </w:tc>
        <w:tc>
          <w:tcPr>
            <w:tcW w:w="120" w:type="dxa"/>
            <w:vAlign w:val="bottom"/>
            <w:shd w:val="clear" w:color="auto" w:fill="CCEEFF"/>
          </w:tcPr>
          <w:p>
            <w:pPr>
              <w:spacing w:after="0"/>
              <w:rPr>
                <w:sz w:val="24"/>
                <w:szCs w:val="24"/>
                <w:color w:val="auto"/>
              </w:rPr>
            </w:pPr>
          </w:p>
        </w:tc>
        <w:tc>
          <w:tcPr>
            <w:tcW w:w="240" w:type="dxa"/>
            <w:vAlign w:val="bottom"/>
            <w:shd w:val="clear" w:color="auto" w:fill="CCEEFF"/>
          </w:tcPr>
          <w:p>
            <w:pPr>
              <w:spacing w:after="0"/>
              <w:rPr>
                <w:sz w:val="24"/>
                <w:szCs w:val="24"/>
                <w:color w:val="auto"/>
              </w:rPr>
            </w:pPr>
          </w:p>
        </w:tc>
        <w:tc>
          <w:tcPr>
            <w:tcW w:w="136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372</w:t>
            </w:r>
          </w:p>
        </w:tc>
        <w:tc>
          <w:tcPr>
            <w:tcW w:w="120" w:type="dxa"/>
            <w:vAlign w:val="bottom"/>
            <w:shd w:val="clear" w:color="auto" w:fill="CCEEFF"/>
          </w:tcPr>
          <w:p>
            <w:pPr>
              <w:spacing w:after="0"/>
              <w:rPr>
                <w:sz w:val="24"/>
                <w:szCs w:val="24"/>
                <w:color w:val="auto"/>
              </w:rPr>
            </w:pPr>
          </w:p>
        </w:tc>
        <w:tc>
          <w:tcPr>
            <w:tcW w:w="200" w:type="dxa"/>
            <w:vAlign w:val="bottom"/>
            <w:shd w:val="clear" w:color="auto" w:fill="CCEEFF"/>
          </w:tcPr>
          <w:p>
            <w:pPr>
              <w:spacing w:after="0"/>
              <w:rPr>
                <w:sz w:val="24"/>
                <w:szCs w:val="24"/>
                <w:color w:val="auto"/>
              </w:rPr>
            </w:pPr>
          </w:p>
        </w:tc>
        <w:tc>
          <w:tcPr>
            <w:tcW w:w="140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325</w:t>
            </w:r>
          </w:p>
        </w:tc>
      </w:tr>
      <w:tr>
        <w:trPr>
          <w:trHeight w:val="243"/>
        </w:trPr>
        <w:tc>
          <w:tcPr>
            <w:tcW w:w="4660" w:type="dxa"/>
            <w:vAlign w:val="bottom"/>
          </w:tcPr>
          <w:p>
            <w:pPr>
              <w:ind w:left="40"/>
              <w:spacing w:after="0"/>
              <w:rPr>
                <w:sz w:val="20"/>
                <w:szCs w:val="20"/>
                <w:color w:val="auto"/>
              </w:rPr>
            </w:pPr>
            <w:r>
              <w:rPr>
                <w:rFonts w:ascii="Arial" w:cs="Arial" w:eastAsia="Arial" w:hAnsi="Arial"/>
                <w:sz w:val="18"/>
                <w:szCs w:val="18"/>
                <w:color w:val="auto"/>
              </w:rPr>
              <w:t>Earnings per share:</w:t>
            </w:r>
          </w:p>
        </w:tc>
        <w:tc>
          <w:tcPr>
            <w:tcW w:w="260" w:type="dxa"/>
            <w:vAlign w:val="bottom"/>
          </w:tcPr>
          <w:p>
            <w:pPr>
              <w:spacing w:after="0"/>
              <w:rPr>
                <w:sz w:val="21"/>
                <w:szCs w:val="21"/>
                <w:color w:val="auto"/>
              </w:rPr>
            </w:pPr>
          </w:p>
        </w:tc>
        <w:tc>
          <w:tcPr>
            <w:tcW w:w="13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4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3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400" w:type="dxa"/>
            <w:vAlign w:val="bottom"/>
          </w:tcPr>
          <w:p>
            <w:pPr>
              <w:spacing w:after="0"/>
              <w:rPr>
                <w:sz w:val="21"/>
                <w:szCs w:val="21"/>
                <w:color w:val="auto"/>
              </w:rPr>
            </w:pPr>
          </w:p>
        </w:tc>
      </w:tr>
      <w:tr>
        <w:trPr>
          <w:trHeight w:val="27"/>
        </w:trPr>
        <w:tc>
          <w:tcPr>
            <w:tcW w:w="4660" w:type="dxa"/>
            <w:vAlign w:val="bottom"/>
          </w:tcPr>
          <w:p>
            <w:pPr>
              <w:spacing w:after="0"/>
              <w:rPr>
                <w:sz w:val="2"/>
                <w:szCs w:val="2"/>
                <w:color w:val="auto"/>
              </w:rPr>
            </w:pPr>
          </w:p>
        </w:tc>
        <w:tc>
          <w:tcPr>
            <w:tcW w:w="26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4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400" w:type="dxa"/>
            <w:vAlign w:val="bottom"/>
          </w:tcPr>
          <w:p>
            <w:pPr>
              <w:spacing w:after="0"/>
              <w:rPr>
                <w:sz w:val="2"/>
                <w:szCs w:val="2"/>
                <w:color w:val="auto"/>
              </w:rPr>
            </w:pPr>
          </w:p>
        </w:tc>
      </w:tr>
      <w:tr>
        <w:trPr>
          <w:trHeight w:val="270"/>
        </w:trPr>
        <w:tc>
          <w:tcPr>
            <w:tcW w:w="4660" w:type="dxa"/>
            <w:vAlign w:val="bottom"/>
            <w:shd w:val="clear" w:color="auto" w:fill="CCEEFF"/>
          </w:tcPr>
          <w:p>
            <w:pPr>
              <w:ind w:left="280"/>
              <w:spacing w:after="0"/>
              <w:rPr>
                <w:sz w:val="20"/>
                <w:szCs w:val="20"/>
                <w:color w:val="auto"/>
              </w:rPr>
            </w:pPr>
            <w:r>
              <w:rPr>
                <w:rFonts w:ascii="Arial" w:cs="Arial" w:eastAsia="Arial" w:hAnsi="Arial"/>
                <w:sz w:val="18"/>
                <w:szCs w:val="18"/>
                <w:color w:val="auto"/>
              </w:rPr>
              <w:t>Basic</w:t>
            </w:r>
          </w:p>
        </w:tc>
        <w:tc>
          <w:tcPr>
            <w:tcW w:w="26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1360" w:type="dxa"/>
            <w:vAlign w:val="bottom"/>
            <w:shd w:val="clear" w:color="auto" w:fill="CCEEFF"/>
          </w:tcPr>
          <w:p>
            <w:pPr>
              <w:jc w:val="right"/>
              <w:ind w:right="31"/>
              <w:spacing w:after="0"/>
              <w:rPr>
                <w:sz w:val="20"/>
                <w:szCs w:val="20"/>
                <w:color w:val="auto"/>
              </w:rPr>
            </w:pPr>
            <w:r>
              <w:rPr>
                <w:rFonts w:ascii="Arial" w:cs="Arial" w:eastAsia="Arial" w:hAnsi="Arial"/>
                <w:sz w:val="18"/>
                <w:szCs w:val="18"/>
                <w:color w:val="auto"/>
              </w:rPr>
              <w:t>0.34</w:t>
            </w:r>
          </w:p>
        </w:tc>
        <w:tc>
          <w:tcPr>
            <w:tcW w:w="100" w:type="dxa"/>
            <w:vAlign w:val="bottom"/>
            <w:shd w:val="clear" w:color="auto" w:fill="CCEEFF"/>
          </w:tcPr>
          <w:p>
            <w:pPr>
              <w:spacing w:after="0"/>
              <w:rPr>
                <w:sz w:val="23"/>
                <w:szCs w:val="23"/>
                <w:color w:val="auto"/>
              </w:rPr>
            </w:pPr>
          </w:p>
        </w:tc>
        <w:tc>
          <w:tcPr>
            <w:tcW w:w="2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40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1.20</w:t>
            </w:r>
          </w:p>
        </w:tc>
        <w:tc>
          <w:tcPr>
            <w:tcW w:w="120" w:type="dxa"/>
            <w:vAlign w:val="bottom"/>
            <w:shd w:val="clear" w:color="auto" w:fill="CCEEFF"/>
          </w:tcPr>
          <w:p>
            <w:pPr>
              <w:spacing w:after="0"/>
              <w:rPr>
                <w:sz w:val="23"/>
                <w:szCs w:val="23"/>
                <w:color w:val="auto"/>
              </w:rPr>
            </w:pPr>
          </w:p>
        </w:tc>
        <w:tc>
          <w:tcPr>
            <w:tcW w:w="24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36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0.81</w:t>
            </w:r>
          </w:p>
        </w:tc>
        <w:tc>
          <w:tcPr>
            <w:tcW w:w="120" w:type="dxa"/>
            <w:vAlign w:val="bottom"/>
            <w:shd w:val="clear" w:color="auto" w:fill="CCEEFF"/>
          </w:tcPr>
          <w:p>
            <w:pPr>
              <w:spacing w:after="0"/>
              <w:rPr>
                <w:sz w:val="23"/>
                <w:szCs w:val="23"/>
                <w:color w:val="auto"/>
              </w:rPr>
            </w:pPr>
          </w:p>
        </w:tc>
        <w:tc>
          <w:tcPr>
            <w:tcW w:w="2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40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0.71</w:t>
            </w:r>
          </w:p>
        </w:tc>
      </w:tr>
      <w:tr>
        <w:trPr>
          <w:trHeight w:val="263"/>
        </w:trPr>
        <w:tc>
          <w:tcPr>
            <w:tcW w:w="4660" w:type="dxa"/>
            <w:vAlign w:val="bottom"/>
          </w:tcPr>
          <w:p>
            <w:pPr>
              <w:ind w:left="280"/>
              <w:spacing w:after="0"/>
              <w:rPr>
                <w:sz w:val="20"/>
                <w:szCs w:val="20"/>
                <w:color w:val="auto"/>
              </w:rPr>
            </w:pPr>
            <w:r>
              <w:rPr>
                <w:rFonts w:ascii="Arial" w:cs="Arial" w:eastAsia="Arial" w:hAnsi="Arial"/>
                <w:sz w:val="18"/>
                <w:szCs w:val="18"/>
                <w:color w:val="auto"/>
              </w:rPr>
              <w:t>Diluted</w:t>
            </w:r>
          </w:p>
        </w:tc>
        <w:tc>
          <w:tcPr>
            <w:tcW w:w="260" w:type="dxa"/>
            <w:vAlign w:val="bottom"/>
          </w:tcPr>
          <w:p>
            <w:pPr>
              <w:jc w:val="right"/>
              <w:ind w:right="30"/>
              <w:spacing w:after="0"/>
              <w:rPr>
                <w:sz w:val="20"/>
                <w:szCs w:val="20"/>
                <w:color w:val="auto"/>
              </w:rPr>
            </w:pPr>
            <w:r>
              <w:rPr>
                <w:rFonts w:ascii="Arial" w:cs="Arial" w:eastAsia="Arial" w:hAnsi="Arial"/>
                <w:sz w:val="18"/>
                <w:szCs w:val="18"/>
                <w:color w:val="auto"/>
              </w:rPr>
              <w:t>$</w:t>
            </w:r>
          </w:p>
        </w:tc>
        <w:tc>
          <w:tcPr>
            <w:tcW w:w="1360" w:type="dxa"/>
            <w:vAlign w:val="bottom"/>
          </w:tcPr>
          <w:p>
            <w:pPr>
              <w:jc w:val="right"/>
              <w:ind w:right="31"/>
              <w:spacing w:after="0"/>
              <w:rPr>
                <w:sz w:val="20"/>
                <w:szCs w:val="20"/>
                <w:color w:val="auto"/>
              </w:rPr>
            </w:pPr>
            <w:r>
              <w:rPr>
                <w:rFonts w:ascii="Arial" w:cs="Arial" w:eastAsia="Arial" w:hAnsi="Arial"/>
                <w:sz w:val="18"/>
                <w:szCs w:val="18"/>
                <w:color w:val="auto"/>
              </w:rPr>
              <w:t>0.34</w:t>
            </w:r>
          </w:p>
        </w:tc>
        <w:tc>
          <w:tcPr>
            <w:tcW w:w="100" w:type="dxa"/>
            <w:vAlign w:val="bottom"/>
          </w:tcPr>
          <w:p>
            <w:pPr>
              <w:spacing w:after="0"/>
              <w:rPr>
                <w:sz w:val="22"/>
                <w:szCs w:val="22"/>
                <w:color w:val="auto"/>
              </w:rPr>
            </w:pPr>
          </w:p>
        </w:tc>
        <w:tc>
          <w:tcPr>
            <w:tcW w:w="20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400" w:type="dxa"/>
            <w:vAlign w:val="bottom"/>
          </w:tcPr>
          <w:p>
            <w:pPr>
              <w:jc w:val="right"/>
              <w:ind w:right="11"/>
              <w:spacing w:after="0"/>
              <w:rPr>
                <w:sz w:val="20"/>
                <w:szCs w:val="20"/>
                <w:color w:val="auto"/>
              </w:rPr>
            </w:pPr>
            <w:r>
              <w:rPr>
                <w:rFonts w:ascii="Arial" w:cs="Arial" w:eastAsia="Arial" w:hAnsi="Arial"/>
                <w:sz w:val="18"/>
                <w:szCs w:val="18"/>
                <w:color w:val="auto"/>
              </w:rPr>
              <w:t>1.20</w:t>
            </w:r>
          </w:p>
        </w:tc>
        <w:tc>
          <w:tcPr>
            <w:tcW w:w="120" w:type="dxa"/>
            <w:vAlign w:val="bottom"/>
          </w:tcPr>
          <w:p>
            <w:pPr>
              <w:spacing w:after="0"/>
              <w:rPr>
                <w:sz w:val="22"/>
                <w:szCs w:val="22"/>
                <w:color w:val="auto"/>
              </w:rPr>
            </w:pPr>
          </w:p>
        </w:tc>
        <w:tc>
          <w:tcPr>
            <w:tcW w:w="240" w:type="dxa"/>
            <w:vAlign w:val="bottom"/>
          </w:tcPr>
          <w:p>
            <w:pPr>
              <w:jc w:val="right"/>
              <w:ind w:right="30"/>
              <w:spacing w:after="0"/>
              <w:rPr>
                <w:sz w:val="20"/>
                <w:szCs w:val="20"/>
                <w:color w:val="auto"/>
              </w:rPr>
            </w:pPr>
            <w:r>
              <w:rPr>
                <w:rFonts w:ascii="Arial" w:cs="Arial" w:eastAsia="Arial" w:hAnsi="Arial"/>
                <w:sz w:val="18"/>
                <w:szCs w:val="18"/>
                <w:color w:val="auto"/>
                <w:w w:val="99"/>
              </w:rPr>
              <w:t>$</w:t>
            </w:r>
          </w:p>
        </w:tc>
        <w:tc>
          <w:tcPr>
            <w:tcW w:w="1360" w:type="dxa"/>
            <w:vAlign w:val="bottom"/>
          </w:tcPr>
          <w:p>
            <w:pPr>
              <w:jc w:val="right"/>
              <w:ind w:right="11"/>
              <w:spacing w:after="0"/>
              <w:rPr>
                <w:sz w:val="20"/>
                <w:szCs w:val="20"/>
                <w:color w:val="auto"/>
              </w:rPr>
            </w:pPr>
            <w:r>
              <w:rPr>
                <w:rFonts w:ascii="Arial" w:cs="Arial" w:eastAsia="Arial" w:hAnsi="Arial"/>
                <w:sz w:val="18"/>
                <w:szCs w:val="18"/>
                <w:color w:val="auto"/>
              </w:rPr>
              <w:t>0.81</w:t>
            </w:r>
          </w:p>
        </w:tc>
        <w:tc>
          <w:tcPr>
            <w:tcW w:w="120" w:type="dxa"/>
            <w:vAlign w:val="bottom"/>
          </w:tcPr>
          <w:p>
            <w:pPr>
              <w:spacing w:after="0"/>
              <w:rPr>
                <w:sz w:val="22"/>
                <w:szCs w:val="22"/>
                <w:color w:val="auto"/>
              </w:rPr>
            </w:pPr>
          </w:p>
        </w:tc>
        <w:tc>
          <w:tcPr>
            <w:tcW w:w="20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400" w:type="dxa"/>
            <w:vAlign w:val="bottom"/>
          </w:tcPr>
          <w:p>
            <w:pPr>
              <w:jc w:val="right"/>
              <w:ind w:right="11"/>
              <w:spacing w:after="0"/>
              <w:rPr>
                <w:sz w:val="20"/>
                <w:szCs w:val="20"/>
                <w:color w:val="auto"/>
              </w:rPr>
            </w:pPr>
            <w:r>
              <w:rPr>
                <w:rFonts w:ascii="Arial" w:cs="Arial" w:eastAsia="Arial" w:hAnsi="Arial"/>
                <w:sz w:val="18"/>
                <w:szCs w:val="18"/>
                <w:color w:val="auto"/>
              </w:rPr>
              <w:t>0.70</w:t>
            </w:r>
          </w:p>
        </w:tc>
      </w:tr>
      <w:tr>
        <w:trPr>
          <w:trHeight w:val="257"/>
        </w:trPr>
        <w:tc>
          <w:tcPr>
            <w:tcW w:w="46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Shares used for computation (in thousands):</w:t>
            </w:r>
          </w:p>
        </w:tc>
        <w:tc>
          <w:tcPr>
            <w:tcW w:w="260" w:type="dxa"/>
            <w:vAlign w:val="bottom"/>
            <w:tcBorders>
              <w:bottom w:val="single" w:sz="8" w:color="CCEEFF"/>
            </w:tcBorders>
            <w:shd w:val="clear" w:color="auto" w:fill="CCEEFF"/>
          </w:tcPr>
          <w:p>
            <w:pPr>
              <w:spacing w:after="0"/>
              <w:rPr>
                <w:sz w:val="22"/>
                <w:szCs w:val="22"/>
                <w:color w:val="auto"/>
              </w:rPr>
            </w:pPr>
          </w:p>
        </w:tc>
        <w:tc>
          <w:tcPr>
            <w:tcW w:w="136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CCEEFF"/>
            </w:tcBorders>
            <w:shd w:val="clear" w:color="auto" w:fill="CCEEFF"/>
          </w:tcPr>
          <w:p>
            <w:pPr>
              <w:spacing w:after="0"/>
              <w:rPr>
                <w:sz w:val="22"/>
                <w:szCs w:val="22"/>
                <w:color w:val="auto"/>
              </w:rPr>
            </w:pPr>
          </w:p>
        </w:tc>
        <w:tc>
          <w:tcPr>
            <w:tcW w:w="140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bottom w:val="single" w:sz="8" w:color="CCEEFF"/>
            </w:tcBorders>
            <w:shd w:val="clear" w:color="auto" w:fill="CCEEFF"/>
          </w:tcPr>
          <w:p>
            <w:pPr>
              <w:spacing w:after="0"/>
              <w:rPr>
                <w:sz w:val="22"/>
                <w:szCs w:val="22"/>
                <w:color w:val="auto"/>
              </w:rPr>
            </w:pPr>
          </w:p>
        </w:tc>
        <w:tc>
          <w:tcPr>
            <w:tcW w:w="136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CCEEFF"/>
            </w:tcBorders>
            <w:shd w:val="clear" w:color="auto" w:fill="CCEEFF"/>
          </w:tcPr>
          <w:p>
            <w:pPr>
              <w:spacing w:after="0"/>
              <w:rPr>
                <w:sz w:val="22"/>
                <w:szCs w:val="22"/>
                <w:color w:val="auto"/>
              </w:rPr>
            </w:pPr>
          </w:p>
        </w:tc>
        <w:tc>
          <w:tcPr>
            <w:tcW w:w="1400" w:type="dxa"/>
            <w:vAlign w:val="bottom"/>
            <w:tcBorders>
              <w:bottom w:val="single" w:sz="8" w:color="CCEEFF"/>
            </w:tcBorders>
            <w:shd w:val="clear" w:color="auto" w:fill="CCEEFF"/>
          </w:tcPr>
          <w:p>
            <w:pPr>
              <w:spacing w:after="0"/>
              <w:rPr>
                <w:sz w:val="22"/>
                <w:szCs w:val="22"/>
                <w:color w:val="auto"/>
              </w:rPr>
            </w:pPr>
          </w:p>
        </w:tc>
      </w:tr>
      <w:tr>
        <w:trPr>
          <w:trHeight w:val="263"/>
        </w:trPr>
        <w:tc>
          <w:tcPr>
            <w:tcW w:w="4660" w:type="dxa"/>
            <w:vAlign w:val="bottom"/>
          </w:tcPr>
          <w:p>
            <w:pPr>
              <w:ind w:left="280"/>
              <w:spacing w:after="0"/>
              <w:rPr>
                <w:sz w:val="20"/>
                <w:szCs w:val="20"/>
                <w:color w:val="auto"/>
              </w:rPr>
            </w:pPr>
            <w:r>
              <w:rPr>
                <w:rFonts w:ascii="Arial" w:cs="Arial" w:eastAsia="Arial" w:hAnsi="Arial"/>
                <w:sz w:val="18"/>
                <w:szCs w:val="18"/>
                <w:color w:val="auto"/>
              </w:rPr>
              <w:t>Basic</w:t>
            </w:r>
          </w:p>
        </w:tc>
        <w:tc>
          <w:tcPr>
            <w:tcW w:w="260" w:type="dxa"/>
            <w:vAlign w:val="bottom"/>
          </w:tcPr>
          <w:p>
            <w:pPr>
              <w:spacing w:after="0"/>
              <w:rPr>
                <w:sz w:val="22"/>
                <w:szCs w:val="22"/>
                <w:color w:val="auto"/>
              </w:rPr>
            </w:pPr>
          </w:p>
        </w:tc>
        <w:tc>
          <w:tcPr>
            <w:tcW w:w="1360" w:type="dxa"/>
            <w:vAlign w:val="bottom"/>
          </w:tcPr>
          <w:p>
            <w:pPr>
              <w:jc w:val="right"/>
              <w:ind w:right="31"/>
              <w:spacing w:after="0"/>
              <w:rPr>
                <w:sz w:val="20"/>
                <w:szCs w:val="20"/>
                <w:color w:val="auto"/>
              </w:rPr>
            </w:pPr>
            <w:r>
              <w:rPr>
                <w:rFonts w:ascii="Arial" w:cs="Arial" w:eastAsia="Arial" w:hAnsi="Arial"/>
                <w:sz w:val="18"/>
                <w:szCs w:val="18"/>
                <w:color w:val="auto"/>
              </w:rPr>
              <w:t>472,297</w:t>
            </w:r>
          </w:p>
        </w:tc>
        <w:tc>
          <w:tcPr>
            <w:tcW w:w="10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1400" w:type="dxa"/>
            <w:vAlign w:val="bottom"/>
          </w:tcPr>
          <w:p>
            <w:pPr>
              <w:jc w:val="right"/>
              <w:ind w:right="11"/>
              <w:spacing w:after="0"/>
              <w:rPr>
                <w:sz w:val="20"/>
                <w:szCs w:val="20"/>
                <w:color w:val="auto"/>
              </w:rPr>
            </w:pPr>
            <w:r>
              <w:rPr>
                <w:rFonts w:ascii="Arial" w:cs="Arial" w:eastAsia="Arial" w:hAnsi="Arial"/>
                <w:sz w:val="18"/>
                <w:szCs w:val="18"/>
                <w:color w:val="auto"/>
              </w:rPr>
              <w:t>463,533</w:t>
            </w:r>
          </w:p>
        </w:tc>
        <w:tc>
          <w:tcPr>
            <w:tcW w:w="12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1360" w:type="dxa"/>
            <w:vAlign w:val="bottom"/>
          </w:tcPr>
          <w:p>
            <w:pPr>
              <w:jc w:val="right"/>
              <w:ind w:right="11"/>
              <w:spacing w:after="0"/>
              <w:rPr>
                <w:sz w:val="20"/>
                <w:szCs w:val="20"/>
                <w:color w:val="auto"/>
              </w:rPr>
            </w:pPr>
            <w:r>
              <w:rPr>
                <w:rFonts w:ascii="Arial" w:cs="Arial" w:eastAsia="Arial" w:hAnsi="Arial"/>
                <w:sz w:val="18"/>
                <w:szCs w:val="18"/>
                <w:color w:val="auto"/>
              </w:rPr>
              <w:t>460,526</w:t>
            </w:r>
          </w:p>
        </w:tc>
        <w:tc>
          <w:tcPr>
            <w:tcW w:w="12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1400" w:type="dxa"/>
            <w:vAlign w:val="bottom"/>
          </w:tcPr>
          <w:p>
            <w:pPr>
              <w:jc w:val="right"/>
              <w:ind w:right="11"/>
              <w:spacing w:after="0"/>
              <w:rPr>
                <w:sz w:val="20"/>
                <w:szCs w:val="20"/>
                <w:color w:val="auto"/>
              </w:rPr>
            </w:pPr>
            <w:r>
              <w:rPr>
                <w:rFonts w:ascii="Arial" w:cs="Arial" w:eastAsia="Arial" w:hAnsi="Arial"/>
                <w:sz w:val="18"/>
                <w:szCs w:val="18"/>
                <w:color w:val="auto"/>
              </w:rPr>
              <w:t>460,589</w:t>
            </w:r>
          </w:p>
        </w:tc>
      </w:tr>
      <w:tr>
        <w:trPr>
          <w:trHeight w:val="277"/>
        </w:trPr>
        <w:tc>
          <w:tcPr>
            <w:tcW w:w="4660" w:type="dxa"/>
            <w:vAlign w:val="bottom"/>
            <w:shd w:val="clear" w:color="auto" w:fill="CCEEFF"/>
          </w:tcPr>
          <w:p>
            <w:pPr>
              <w:ind w:left="280"/>
              <w:spacing w:after="0"/>
              <w:rPr>
                <w:sz w:val="20"/>
                <w:szCs w:val="20"/>
                <w:color w:val="auto"/>
              </w:rPr>
            </w:pPr>
            <w:r>
              <w:rPr>
                <w:rFonts w:ascii="Arial" w:cs="Arial" w:eastAsia="Arial" w:hAnsi="Arial"/>
                <w:sz w:val="18"/>
                <w:szCs w:val="18"/>
                <w:color w:val="auto"/>
              </w:rPr>
              <w:t>Diluted</w:t>
            </w:r>
          </w:p>
        </w:tc>
        <w:tc>
          <w:tcPr>
            <w:tcW w:w="260" w:type="dxa"/>
            <w:vAlign w:val="bottom"/>
            <w:shd w:val="clear" w:color="auto" w:fill="CCEEFF"/>
          </w:tcPr>
          <w:p>
            <w:pPr>
              <w:spacing w:after="0"/>
              <w:rPr>
                <w:sz w:val="24"/>
                <w:szCs w:val="24"/>
                <w:color w:val="auto"/>
              </w:rPr>
            </w:pPr>
          </w:p>
        </w:tc>
        <w:tc>
          <w:tcPr>
            <w:tcW w:w="1360" w:type="dxa"/>
            <w:vAlign w:val="bottom"/>
            <w:shd w:val="clear" w:color="auto" w:fill="CCEEFF"/>
          </w:tcPr>
          <w:p>
            <w:pPr>
              <w:jc w:val="right"/>
              <w:ind w:right="31"/>
              <w:spacing w:after="0"/>
              <w:rPr>
                <w:sz w:val="20"/>
                <w:szCs w:val="20"/>
                <w:color w:val="auto"/>
              </w:rPr>
            </w:pPr>
            <w:r>
              <w:rPr>
                <w:rFonts w:ascii="Arial" w:cs="Arial" w:eastAsia="Arial" w:hAnsi="Arial"/>
                <w:sz w:val="18"/>
                <w:szCs w:val="18"/>
                <w:color w:val="auto"/>
              </w:rPr>
              <w:t>474,598</w:t>
            </w:r>
          </w:p>
        </w:tc>
        <w:tc>
          <w:tcPr>
            <w:tcW w:w="100" w:type="dxa"/>
            <w:vAlign w:val="bottom"/>
            <w:shd w:val="clear" w:color="auto" w:fill="CCEEFF"/>
          </w:tcPr>
          <w:p>
            <w:pPr>
              <w:spacing w:after="0"/>
              <w:rPr>
                <w:sz w:val="24"/>
                <w:szCs w:val="24"/>
                <w:color w:val="auto"/>
              </w:rPr>
            </w:pPr>
          </w:p>
        </w:tc>
        <w:tc>
          <w:tcPr>
            <w:tcW w:w="200" w:type="dxa"/>
            <w:vAlign w:val="bottom"/>
            <w:shd w:val="clear" w:color="auto" w:fill="CCEEFF"/>
          </w:tcPr>
          <w:p>
            <w:pPr>
              <w:spacing w:after="0"/>
              <w:rPr>
                <w:sz w:val="24"/>
                <w:szCs w:val="24"/>
                <w:color w:val="auto"/>
              </w:rPr>
            </w:pPr>
          </w:p>
        </w:tc>
        <w:tc>
          <w:tcPr>
            <w:tcW w:w="140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464,618</w:t>
            </w:r>
          </w:p>
        </w:tc>
        <w:tc>
          <w:tcPr>
            <w:tcW w:w="120" w:type="dxa"/>
            <w:vAlign w:val="bottom"/>
            <w:shd w:val="clear" w:color="auto" w:fill="CCEEFF"/>
          </w:tcPr>
          <w:p>
            <w:pPr>
              <w:spacing w:after="0"/>
              <w:rPr>
                <w:sz w:val="24"/>
                <w:szCs w:val="24"/>
                <w:color w:val="auto"/>
              </w:rPr>
            </w:pPr>
          </w:p>
        </w:tc>
        <w:tc>
          <w:tcPr>
            <w:tcW w:w="240" w:type="dxa"/>
            <w:vAlign w:val="bottom"/>
            <w:shd w:val="clear" w:color="auto" w:fill="CCEEFF"/>
          </w:tcPr>
          <w:p>
            <w:pPr>
              <w:spacing w:after="0"/>
              <w:rPr>
                <w:sz w:val="24"/>
                <w:szCs w:val="24"/>
                <w:color w:val="auto"/>
              </w:rPr>
            </w:pPr>
          </w:p>
        </w:tc>
        <w:tc>
          <w:tcPr>
            <w:tcW w:w="136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461,507</w:t>
            </w:r>
          </w:p>
        </w:tc>
        <w:tc>
          <w:tcPr>
            <w:tcW w:w="120" w:type="dxa"/>
            <w:vAlign w:val="bottom"/>
            <w:shd w:val="clear" w:color="auto" w:fill="CCEEFF"/>
          </w:tcPr>
          <w:p>
            <w:pPr>
              <w:spacing w:after="0"/>
              <w:rPr>
                <w:sz w:val="24"/>
                <w:szCs w:val="24"/>
                <w:color w:val="auto"/>
              </w:rPr>
            </w:pPr>
          </w:p>
        </w:tc>
        <w:tc>
          <w:tcPr>
            <w:tcW w:w="200" w:type="dxa"/>
            <w:vAlign w:val="bottom"/>
            <w:shd w:val="clear" w:color="auto" w:fill="CCEEFF"/>
          </w:tcPr>
          <w:p>
            <w:pPr>
              <w:spacing w:after="0"/>
              <w:rPr>
                <w:sz w:val="24"/>
                <w:szCs w:val="24"/>
                <w:color w:val="auto"/>
              </w:rPr>
            </w:pPr>
          </w:p>
        </w:tc>
        <w:tc>
          <w:tcPr>
            <w:tcW w:w="140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461,915</w:t>
            </w:r>
          </w:p>
        </w:tc>
      </w:tr>
    </w:tbl>
    <w:p>
      <w:pPr>
        <w:spacing w:after="0" w:line="377" w:lineRule="exact"/>
        <w:rPr>
          <w:sz w:val="20"/>
          <w:szCs w:val="20"/>
          <w:color w:val="auto"/>
        </w:rPr>
      </w:pPr>
    </w:p>
    <w:p>
      <w:pPr>
        <w:jc w:val="both"/>
        <w:ind w:right="20" w:firstLine="216"/>
        <w:spacing w:after="0" w:line="256" w:lineRule="auto"/>
        <w:rPr>
          <w:sz w:val="20"/>
          <w:szCs w:val="20"/>
          <w:color w:val="auto"/>
        </w:rPr>
      </w:pPr>
      <w:r>
        <w:rPr>
          <w:rFonts w:ascii="Arial" w:cs="Arial" w:eastAsia="Arial" w:hAnsi="Arial"/>
          <w:sz w:val="18"/>
          <w:szCs w:val="18"/>
          <w:color w:val="auto"/>
        </w:rPr>
        <w:t>Our fourth quarter 2019 results include $108 million of total pre-tax net special items that principally included $85 million of merger integration expenses and $39 million of fleet restructuring expenses, offset in part by $42 million of mark-to-market net unrealized gains associated with certain equity and other investments.</w:t>
      </w:r>
    </w:p>
    <w:p>
      <w:pPr>
        <w:sectPr>
          <w:pgSz w:w="11900" w:h="16838" w:orient="portrait"/>
          <w:cols w:equalWidth="0" w:num="1">
            <w:col w:w="11420"/>
          </w:cols>
          <w:pgMar w:left="240" w:top="549" w:right="239" w:bottom="1440" w:gutter="0" w:footer="0" w:header="0"/>
        </w:sectPr>
      </w:pPr>
    </w:p>
    <w:p>
      <w:pPr>
        <w:spacing w:after="0" w:line="202"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113</w:t>
      </w:r>
    </w:p>
    <w:p>
      <w:pPr>
        <w:sectPr>
          <w:pgSz w:w="11900" w:h="16838" w:orient="portrait"/>
          <w:cols w:equalWidth="0" w:num="1">
            <w:col w:w="11420"/>
          </w:cols>
          <w:pgMar w:left="240" w:top="549" w:right="239" w:bottom="1440" w:gutter="0" w:footer="0" w:header="0"/>
          <w:type w:val="continuous"/>
        </w:sectPr>
      </w:pPr>
    </w:p>
    <w:bookmarkStart w:id="113" w:name="page114"/>
    <w:bookmarkEnd w:id="113"/>
    <w:p>
      <w:pPr>
        <w:jc w:val="center"/>
        <w:spacing w:after="0"/>
        <w:rPr>
          <w:sz w:val="20"/>
          <w:szCs w:val="20"/>
          <w:color w:val="auto"/>
        </w:rPr>
      </w:pPr>
      <w:r>
        <w:rPr>
          <w:rFonts w:ascii="Arial" w:cs="Arial" w:eastAsia="Arial" w:hAnsi="Arial"/>
          <w:sz w:val="18"/>
          <w:szCs w:val="18"/>
          <w:b w:val="1"/>
          <w:bCs w:val="1"/>
          <w:color w:val="auto"/>
        </w:rPr>
        <w:t>NOTES TO CONSOLIDATED FINANCIAL STATEMENTS OF AMERICAN AIRLINES GROUP INC.</w:t>
      </w:r>
    </w:p>
    <w:p>
      <w:pPr>
        <w:spacing w:after="0" w:line="200" w:lineRule="exact"/>
        <w:rPr>
          <w:sz w:val="20"/>
          <w:szCs w:val="20"/>
          <w:color w:val="auto"/>
        </w:rPr>
      </w:pPr>
    </w:p>
    <w:p>
      <w:pPr>
        <w:spacing w:after="0" w:line="209" w:lineRule="exact"/>
        <w:rPr>
          <w:sz w:val="20"/>
          <w:szCs w:val="20"/>
          <w:color w:val="auto"/>
        </w:rPr>
      </w:pPr>
    </w:p>
    <w:p>
      <w:pPr>
        <w:jc w:val="both"/>
        <w:ind w:firstLine="216"/>
        <w:spacing w:after="0" w:line="254" w:lineRule="auto"/>
        <w:rPr>
          <w:sz w:val="20"/>
          <w:szCs w:val="20"/>
          <w:color w:val="auto"/>
        </w:rPr>
      </w:pPr>
      <w:r>
        <w:rPr>
          <w:rFonts w:ascii="Arial" w:cs="Arial" w:eastAsia="Arial" w:hAnsi="Arial"/>
          <w:sz w:val="18"/>
          <w:szCs w:val="18"/>
          <w:color w:val="auto"/>
        </w:rPr>
        <w:t>Our fourth quarter 2018 results include $195 million of total pre-tax net special items that principally included $94 million of fleet restructuring expenses, $81 million of merger integration expenses, $37 million of severance costs associated with reductions of management and support staff team members, $22 million of mark-to-market net unrealized losses associated with certain equity investments, offset in part by a $37 million net credit resulting from mark-to-market adjustments on bankruptcy obligations.</w:t>
      </w:r>
    </w:p>
    <w:p>
      <w:pPr>
        <w:spacing w:after="0" w:line="209" w:lineRule="exact"/>
        <w:rPr>
          <w:sz w:val="20"/>
          <w:szCs w:val="20"/>
          <w:color w:val="auto"/>
        </w:rPr>
      </w:pPr>
    </w:p>
    <w:p>
      <w:pPr>
        <w:ind w:left="220" w:right="9400" w:hanging="212"/>
        <w:spacing w:after="0" w:line="378" w:lineRule="auto"/>
        <w:tabs>
          <w:tab w:leader="none" w:pos="354" w:val="left"/>
        </w:tabs>
        <w:numPr>
          <w:ilvl w:val="0"/>
          <w:numId w:val="50"/>
        </w:numPr>
        <w:rPr>
          <w:rFonts w:ascii="Arial" w:cs="Arial" w:eastAsia="Arial" w:hAnsi="Arial"/>
          <w:sz w:val="17"/>
          <w:szCs w:val="17"/>
          <w:b w:val="1"/>
          <w:bCs w:val="1"/>
          <w:color w:val="auto"/>
        </w:rPr>
      </w:pPr>
      <w:r>
        <w:rPr>
          <w:rFonts w:ascii="Arial" w:cs="Arial" w:eastAsia="Arial" w:hAnsi="Arial"/>
          <w:sz w:val="17"/>
          <w:szCs w:val="17"/>
          <w:b w:val="1"/>
          <w:bCs w:val="1"/>
          <w:color w:val="auto"/>
        </w:rPr>
        <w:t xml:space="preserve">Subsequent Events </w:t>
      </w:r>
      <w:r>
        <w:rPr>
          <w:rFonts w:ascii="Arial" w:cs="Arial" w:eastAsia="Arial" w:hAnsi="Arial"/>
          <w:sz w:val="17"/>
          <w:szCs w:val="17"/>
          <w:i w:val="1"/>
          <w:iCs w:val="1"/>
          <w:u w:val="single" w:color="auto"/>
          <w:color w:val="auto"/>
        </w:rPr>
        <w:t>Dividend Declaration</w:t>
      </w:r>
    </w:p>
    <w:p>
      <w:pPr>
        <w:jc w:val="both"/>
        <w:ind w:firstLine="216"/>
        <w:spacing w:after="0" w:line="254" w:lineRule="auto"/>
        <w:rPr>
          <w:sz w:val="20"/>
          <w:szCs w:val="20"/>
          <w:color w:val="auto"/>
        </w:rPr>
      </w:pPr>
      <w:r>
        <w:rPr>
          <w:rFonts w:ascii="Arial" w:cs="Arial" w:eastAsia="Arial" w:hAnsi="Arial"/>
          <w:sz w:val="18"/>
          <w:szCs w:val="18"/>
          <w:color w:val="auto"/>
        </w:rPr>
        <w:t>In January 2020, we announced that our Board of Directors declared a $ 0.10 per share cash dividend for stockholders of record on February 5, 2020, and payable on February 19, 2020. Any future dividends that may be declared and paid from time to time will be subject to market and economic conditions, applicable legal requirements and other relevant factors. We are not obligated to continue a dividend for any fixed period, and the payment of dividends may be suspended or discontinued at any time at our discretion and without prior notice.</w:t>
      </w:r>
    </w:p>
    <w:p>
      <w:pPr>
        <w:spacing w:after="0" w:line="213" w:lineRule="exact"/>
        <w:rPr>
          <w:sz w:val="20"/>
          <w:szCs w:val="20"/>
          <w:color w:val="auto"/>
        </w:rPr>
      </w:pPr>
    </w:p>
    <w:p>
      <w:pPr>
        <w:ind w:left="220"/>
        <w:spacing w:after="0"/>
        <w:rPr>
          <w:sz w:val="20"/>
          <w:szCs w:val="20"/>
          <w:color w:val="auto"/>
        </w:rPr>
      </w:pPr>
      <w:r>
        <w:rPr>
          <w:rFonts w:ascii="Arial" w:cs="Arial" w:eastAsia="Arial" w:hAnsi="Arial"/>
          <w:sz w:val="18"/>
          <w:szCs w:val="18"/>
          <w:i w:val="1"/>
          <w:iCs w:val="1"/>
          <w:u w:val="single" w:color="auto"/>
          <w:color w:val="auto"/>
        </w:rPr>
        <w:t>2014 Credit Facilities Refinancing</w:t>
      </w:r>
    </w:p>
    <w:p>
      <w:pPr>
        <w:spacing w:after="0" w:line="108" w:lineRule="exact"/>
        <w:rPr>
          <w:sz w:val="20"/>
          <w:szCs w:val="20"/>
          <w:color w:val="auto"/>
        </w:rPr>
      </w:pPr>
    </w:p>
    <w:p>
      <w:pPr>
        <w:jc w:val="both"/>
        <w:ind w:firstLine="162"/>
        <w:spacing w:after="0" w:line="252" w:lineRule="auto"/>
        <w:rPr>
          <w:sz w:val="20"/>
          <w:szCs w:val="20"/>
          <w:color w:val="auto"/>
        </w:rPr>
      </w:pPr>
      <w:r>
        <w:rPr>
          <w:rFonts w:ascii="Arial" w:cs="Arial" w:eastAsia="Arial" w:hAnsi="Arial"/>
          <w:sz w:val="18"/>
          <w:szCs w:val="18"/>
          <w:color w:val="auto"/>
        </w:rPr>
        <w:t>In January 2020, American and AAG entered into the Eighth Amendment (the Eighth Amendment) to Amended and Restated Credit and Guaranty Agreement, amending the 2014 Credit Agreement, pursuant to which American refinanced the 2014 Term Loan Facility, increasing the total aggregate principal outstanding to $1.22 billion, reducing LIBOR margin from 2.00% to 1.75%, with a LIBOR floor of 0%, and reducing the base rate margin from 1.00% to 0.75%. In addition, the maturity date for the 2014 Term Loan Facility was extended to January 2027 from October 2021. The 2014 Revolving Facility remains unchanged and, as of January 29, 2020, the effective date of the Eighth Amendment, there were no borrowings or letters of credit outstanding thereunder.</w:t>
      </w:r>
    </w:p>
    <w:p>
      <w:pPr>
        <w:spacing w:after="0" w:line="20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114</w:t>
      </w:r>
    </w:p>
    <w:p>
      <w:pPr>
        <w:sectPr>
          <w:pgSz w:w="11900" w:h="16838" w:orient="portrait"/>
          <w:cols w:equalWidth="0" w:num="1">
            <w:col w:w="11420"/>
          </w:cols>
          <w:pgMar w:left="240" w:top="549" w:right="239" w:bottom="1440" w:gutter="0" w:footer="0" w:header="0"/>
        </w:sectPr>
      </w:pPr>
    </w:p>
    <w:bookmarkStart w:id="114" w:name="page115"/>
    <w:bookmarkEnd w:id="114"/>
    <w:p>
      <w:pPr>
        <w:spacing w:after="0"/>
        <w:rPr>
          <w:sz w:val="20"/>
          <w:szCs w:val="20"/>
          <w:color w:val="auto"/>
        </w:rPr>
      </w:pPr>
      <w:r>
        <w:rPr>
          <w:rFonts w:ascii="Arial" w:cs="Arial" w:eastAsia="Arial" w:hAnsi="Arial"/>
          <w:sz w:val="18"/>
          <w:szCs w:val="18"/>
          <w:b w:val="1"/>
          <w:bCs w:val="1"/>
          <w:color w:val="auto"/>
        </w:rPr>
        <w:t>ITEM 8B. CONSOLIDATED FINANCIAL STATEMENTS AND SUPPLEMENTARY DATA OF AMERICAN AIRLINES, INC.</w:t>
      </w:r>
    </w:p>
    <w:p>
      <w:pPr>
        <w:spacing w:after="0" w:line="171" w:lineRule="exact"/>
        <w:rPr>
          <w:sz w:val="20"/>
          <w:szCs w:val="20"/>
          <w:color w:val="auto"/>
        </w:rPr>
      </w:pPr>
    </w:p>
    <w:p>
      <w:pPr>
        <w:ind w:left="3220"/>
        <w:spacing w:after="0"/>
        <w:rPr>
          <w:sz w:val="20"/>
          <w:szCs w:val="20"/>
          <w:color w:val="auto"/>
        </w:rPr>
      </w:pPr>
      <w:r>
        <w:rPr>
          <w:rFonts w:ascii="Arial" w:cs="Arial" w:eastAsia="Arial" w:hAnsi="Arial"/>
          <w:sz w:val="18"/>
          <w:szCs w:val="18"/>
          <w:b w:val="1"/>
          <w:bCs w:val="1"/>
          <w:color w:val="auto"/>
        </w:rPr>
        <w:t>Report of Independent Registered Public Accounting Firm</w:t>
      </w:r>
    </w:p>
    <w:p>
      <w:pPr>
        <w:spacing w:after="0" w:line="355" w:lineRule="exact"/>
        <w:rPr>
          <w:sz w:val="20"/>
          <w:szCs w:val="20"/>
          <w:color w:val="auto"/>
        </w:rPr>
      </w:pPr>
    </w:p>
    <w:p>
      <w:pPr>
        <w:spacing w:after="0"/>
        <w:rPr>
          <w:sz w:val="20"/>
          <w:szCs w:val="20"/>
          <w:color w:val="auto"/>
        </w:rPr>
      </w:pPr>
      <w:r>
        <w:rPr>
          <w:rFonts w:ascii="Arial" w:cs="Arial" w:eastAsia="Arial" w:hAnsi="Arial"/>
          <w:sz w:val="18"/>
          <w:szCs w:val="18"/>
          <w:color w:val="auto"/>
        </w:rPr>
        <w:t>To the Stockholder and Board of Directors</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American Airlines, Inc.:</w:t>
      </w:r>
    </w:p>
    <w:p>
      <w:pPr>
        <w:spacing w:after="0" w:line="23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Opinion on the Consolidated Financial Statements</w:t>
      </w:r>
    </w:p>
    <w:p>
      <w:pPr>
        <w:spacing w:after="0" w:line="108" w:lineRule="exact"/>
        <w:rPr>
          <w:sz w:val="20"/>
          <w:szCs w:val="20"/>
          <w:color w:val="auto"/>
        </w:rPr>
      </w:pPr>
    </w:p>
    <w:p>
      <w:pPr>
        <w:jc w:val="both"/>
        <w:spacing w:after="0" w:line="252" w:lineRule="auto"/>
        <w:rPr>
          <w:sz w:val="20"/>
          <w:szCs w:val="20"/>
          <w:color w:val="auto"/>
        </w:rPr>
      </w:pPr>
      <w:r>
        <w:rPr>
          <w:rFonts w:ascii="Arial" w:cs="Arial" w:eastAsia="Arial" w:hAnsi="Arial"/>
          <w:sz w:val="18"/>
          <w:szCs w:val="18"/>
          <w:color w:val="auto"/>
        </w:rPr>
        <w:t>We have audited the accompanying consolidated balance sheets of American Airlines, Inc. and subsidiaries (American) as of December 31, 2019 and 2018, the related consolidated statements of operations, comprehensive income, cash flows, and stockholder’s equity for each of the years in the three-year period ended December 31, 2019, and the related notes (collectively, the consolidated financial statements). In our opinion, the consolidated financial statements present fairly, in all material respects, the financial position of American as of December 31, 2019 and 2018, and the results of its operations and its cash flows for each of the years in the three-year period ended December 31, 2019, in conformity with U.S. generally accepted accounting principles.</w:t>
      </w:r>
    </w:p>
    <w:p>
      <w:pPr>
        <w:spacing w:after="0" w:line="155"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 xml:space="preserve">We also have audited, in accordance with the standards of the Public Company Accounting Oversight Board (United States) (PCAOB), American’s internal control over financial reporting as of December 31, 2019, based on criteria established in </w:t>
      </w:r>
      <w:r>
        <w:rPr>
          <w:rFonts w:ascii="Arial" w:cs="Arial" w:eastAsia="Arial" w:hAnsi="Arial"/>
          <w:sz w:val="18"/>
          <w:szCs w:val="18"/>
          <w:i w:val="1"/>
          <w:iCs w:val="1"/>
          <w:color w:val="auto"/>
        </w:rPr>
        <w:t>Internal Control</w:t>
      </w:r>
      <w:r>
        <w:rPr>
          <w:rFonts w:ascii="Arial" w:cs="Arial" w:eastAsia="Arial" w:hAnsi="Arial"/>
          <w:sz w:val="18"/>
          <w:szCs w:val="18"/>
          <w:color w:val="auto"/>
        </w:rPr>
        <w:t xml:space="preserve"> – </w:t>
      </w:r>
      <w:r>
        <w:rPr>
          <w:rFonts w:ascii="Arial" w:cs="Arial" w:eastAsia="Arial" w:hAnsi="Arial"/>
          <w:sz w:val="18"/>
          <w:szCs w:val="18"/>
          <w:i w:val="1"/>
          <w:iCs w:val="1"/>
          <w:color w:val="auto"/>
        </w:rPr>
        <w:t>Integrated</w:t>
      </w:r>
      <w:r>
        <w:rPr>
          <w:rFonts w:ascii="Arial" w:cs="Arial" w:eastAsia="Arial" w:hAnsi="Arial"/>
          <w:sz w:val="18"/>
          <w:szCs w:val="18"/>
          <w:color w:val="auto"/>
        </w:rPr>
        <w:t xml:space="preserve"> </w:t>
      </w:r>
      <w:r>
        <w:rPr>
          <w:rFonts w:ascii="Arial" w:cs="Arial" w:eastAsia="Arial" w:hAnsi="Arial"/>
          <w:sz w:val="18"/>
          <w:szCs w:val="18"/>
          <w:i w:val="1"/>
          <w:iCs w:val="1"/>
          <w:color w:val="auto"/>
        </w:rPr>
        <w:t xml:space="preserve">Framework (2013) </w:t>
      </w:r>
      <w:r>
        <w:rPr>
          <w:rFonts w:ascii="Arial" w:cs="Arial" w:eastAsia="Arial" w:hAnsi="Arial"/>
          <w:sz w:val="18"/>
          <w:szCs w:val="18"/>
          <w:color w:val="auto"/>
        </w:rPr>
        <w:t>issued by the Committee of Sponsoring Organizations of the Treadway Commission, and our report dated February 19,</w:t>
      </w:r>
      <w:r>
        <w:rPr>
          <w:rFonts w:ascii="Arial" w:cs="Arial" w:eastAsia="Arial" w:hAnsi="Arial"/>
          <w:sz w:val="18"/>
          <w:szCs w:val="18"/>
          <w:i w:val="1"/>
          <w:iCs w:val="1"/>
          <w:color w:val="auto"/>
        </w:rPr>
        <w:t xml:space="preserve"> </w:t>
      </w:r>
      <w:r>
        <w:rPr>
          <w:rFonts w:ascii="Arial" w:cs="Arial" w:eastAsia="Arial" w:hAnsi="Arial"/>
          <w:sz w:val="18"/>
          <w:szCs w:val="18"/>
          <w:color w:val="auto"/>
        </w:rPr>
        <w:t>2020 expressed an unqualified opinion on the effectiveness of American’s internal control over financial reporting.</w:t>
      </w:r>
    </w:p>
    <w:p>
      <w:pPr>
        <w:spacing w:after="0" w:line="21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Change in Accounting Principle</w:t>
      </w:r>
    </w:p>
    <w:p>
      <w:pPr>
        <w:spacing w:after="0" w:line="108" w:lineRule="exact"/>
        <w:rPr>
          <w:sz w:val="20"/>
          <w:szCs w:val="20"/>
          <w:color w:val="auto"/>
        </w:rPr>
      </w:pPr>
    </w:p>
    <w:p>
      <w:pPr>
        <w:jc w:val="both"/>
        <w:spacing w:after="0" w:line="262" w:lineRule="auto"/>
        <w:rPr>
          <w:sz w:val="20"/>
          <w:szCs w:val="20"/>
          <w:color w:val="auto"/>
        </w:rPr>
      </w:pPr>
      <w:r>
        <w:rPr>
          <w:rFonts w:ascii="Arial" w:cs="Arial" w:eastAsia="Arial" w:hAnsi="Arial"/>
          <w:sz w:val="18"/>
          <w:szCs w:val="18"/>
          <w:color w:val="auto"/>
        </w:rPr>
        <w:t xml:space="preserve">As discussed in Note 1 to the consolidated financial statements, American has changed its method of accounting for leases as of January 1, 2018 due to the modified retrospective adoption of Accounting Standards Update 2016-02, </w:t>
      </w:r>
      <w:r>
        <w:rPr>
          <w:rFonts w:ascii="Arial" w:cs="Arial" w:eastAsia="Arial" w:hAnsi="Arial"/>
          <w:sz w:val="18"/>
          <w:szCs w:val="18"/>
          <w:i w:val="1"/>
          <w:iCs w:val="1"/>
          <w:color w:val="auto"/>
        </w:rPr>
        <w:t>Leases (Topic 842)</w:t>
      </w:r>
      <w:r>
        <w:rPr>
          <w:rFonts w:ascii="Arial" w:cs="Arial" w:eastAsia="Arial" w:hAnsi="Arial"/>
          <w:sz w:val="18"/>
          <w:szCs w:val="18"/>
          <w:color w:val="auto"/>
        </w:rPr>
        <w:t>, as amended.</w:t>
      </w:r>
    </w:p>
    <w:p>
      <w:pPr>
        <w:spacing w:after="0" w:line="20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Basis for Opinion</w:t>
      </w:r>
    </w:p>
    <w:p>
      <w:pPr>
        <w:spacing w:after="0" w:line="108"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These consolidated financial statements are the responsibility of American’s management. Our responsibility is to express an opinion on these consolidated financial statements based on our audits. We are a public accounting firm registered with the PCAOB and are required to be independent with respect to American in accordance with the U.S. federal securities laws and the applicable rules and regulations of the Securities and Exchange Commission and the PCAOB.</w:t>
      </w:r>
    </w:p>
    <w:p>
      <w:pPr>
        <w:spacing w:after="0" w:line="150" w:lineRule="exact"/>
        <w:rPr>
          <w:sz w:val="20"/>
          <w:szCs w:val="20"/>
          <w:color w:val="auto"/>
        </w:rPr>
      </w:pPr>
    </w:p>
    <w:p>
      <w:pPr>
        <w:jc w:val="both"/>
        <w:spacing w:after="0" w:line="252" w:lineRule="auto"/>
        <w:rPr>
          <w:sz w:val="20"/>
          <w:szCs w:val="20"/>
          <w:color w:val="auto"/>
        </w:rPr>
      </w:pPr>
      <w:r>
        <w:rPr>
          <w:rFonts w:ascii="Arial" w:cs="Arial" w:eastAsia="Arial" w:hAnsi="Arial"/>
          <w:sz w:val="18"/>
          <w:szCs w:val="18"/>
          <w:color w:val="auto"/>
        </w:rPr>
        <w:t>We conducted our audits in accordance with the standards of the PCAOB. Those standards require that we plan and perform the audit to obtain reasonable assurance about whether the consolidated financial statements are free of material misstatement, whether due to error or fraud. Our audits included performing procedures to assess the risks of material misstatement of the consolidated financial statements, whether due to error or fraud, and performing procedures that respond to those risks. Such procedures included examining, on a test basis, evidence regarding the amounts and disclosures in the consolidated financial statements. Our audits also included evaluating the accounting principles used and significant estimates made by management, as well as evaluating the overall presentation of the consolidated financial statements. We believe that our audits provide a reasonable basis for our opinion.</w:t>
      </w:r>
    </w:p>
    <w:p>
      <w:pPr>
        <w:spacing w:after="0" w:line="20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115</w:t>
      </w:r>
    </w:p>
    <w:p>
      <w:pPr>
        <w:sectPr>
          <w:pgSz w:w="11900" w:h="16838" w:orient="portrait"/>
          <w:cols w:equalWidth="0" w:num="1">
            <w:col w:w="11420"/>
          </w:cols>
          <w:pgMar w:left="240" w:top="549" w:right="239" w:bottom="1440" w:gutter="0" w:footer="0" w:header="0"/>
        </w:sectPr>
      </w:pPr>
    </w:p>
    <w:bookmarkStart w:id="115" w:name="page116"/>
    <w:bookmarkEnd w:id="115"/>
    <w:p>
      <w:pPr>
        <w:spacing w:after="0"/>
        <w:rPr>
          <w:sz w:val="20"/>
          <w:szCs w:val="20"/>
          <w:color w:val="auto"/>
        </w:rPr>
      </w:pPr>
      <w:r>
        <w:rPr>
          <w:rFonts w:ascii="Arial" w:cs="Arial" w:eastAsia="Arial" w:hAnsi="Arial"/>
          <w:sz w:val="18"/>
          <w:szCs w:val="18"/>
          <w:i w:val="1"/>
          <w:iCs w:val="1"/>
          <w:color w:val="auto"/>
        </w:rPr>
        <w:t>Critical Audit Matters</w:t>
      </w:r>
    </w:p>
    <w:p>
      <w:pPr>
        <w:spacing w:after="0" w:line="108" w:lineRule="exact"/>
        <w:rPr>
          <w:sz w:val="20"/>
          <w:szCs w:val="20"/>
          <w:color w:val="auto"/>
        </w:rPr>
      </w:pPr>
    </w:p>
    <w:p>
      <w:pPr>
        <w:jc w:val="both"/>
        <w:spacing w:after="0" w:line="252" w:lineRule="auto"/>
        <w:rPr>
          <w:sz w:val="20"/>
          <w:szCs w:val="20"/>
          <w:color w:val="auto"/>
        </w:rPr>
      </w:pPr>
      <w:r>
        <w:rPr>
          <w:rFonts w:ascii="Arial" w:cs="Arial" w:eastAsia="Arial" w:hAnsi="Arial"/>
          <w:sz w:val="18"/>
          <w:szCs w:val="18"/>
          <w:color w:val="auto"/>
        </w:rPr>
        <w:t>The critical audit matters communicated below are matters arising from the current period audit of the consolidated financial statements that were communicated or required to be communicated to the audit committee and that: (1) relate to accounts or disclosures that are material to the consolidated financial statements and (2) involved our especially challenging, subjective, or complex judgments. The communication of critical audit matters does not alter in any way our opinion on the consolidated financial statements, taken as a whole, and we are not, by communicating the critical audit matters below, providing separate opinions on the critical audit matters or on the accounts or disclosures to which they relate.</w:t>
      </w:r>
    </w:p>
    <w:p>
      <w:pPr>
        <w:spacing w:after="0" w:line="218" w:lineRule="exact"/>
        <w:rPr>
          <w:sz w:val="20"/>
          <w:szCs w:val="20"/>
          <w:color w:val="auto"/>
        </w:rPr>
      </w:pPr>
    </w:p>
    <w:p>
      <w:pPr>
        <w:ind w:left="340"/>
        <w:spacing w:after="0"/>
        <w:rPr>
          <w:sz w:val="20"/>
          <w:szCs w:val="20"/>
          <w:color w:val="auto"/>
        </w:rPr>
      </w:pPr>
      <w:r>
        <w:rPr>
          <w:rFonts w:ascii="Arial" w:cs="Arial" w:eastAsia="Arial" w:hAnsi="Arial"/>
          <w:sz w:val="18"/>
          <w:szCs w:val="18"/>
          <w:i w:val="1"/>
          <w:iCs w:val="1"/>
          <w:color w:val="auto"/>
        </w:rPr>
        <w:t>Evaluation of estimated passenger travel revenue</w:t>
      </w:r>
    </w:p>
    <w:p>
      <w:pPr>
        <w:spacing w:after="0" w:line="108" w:lineRule="exact"/>
        <w:rPr>
          <w:sz w:val="20"/>
          <w:szCs w:val="20"/>
          <w:color w:val="auto"/>
        </w:rPr>
      </w:pPr>
    </w:p>
    <w:p>
      <w:pPr>
        <w:jc w:val="both"/>
        <w:ind w:left="340"/>
        <w:spacing w:after="0" w:line="254" w:lineRule="auto"/>
        <w:rPr>
          <w:sz w:val="20"/>
          <w:szCs w:val="20"/>
          <w:color w:val="auto"/>
        </w:rPr>
      </w:pPr>
      <w:r>
        <w:rPr>
          <w:rFonts w:ascii="Arial" w:cs="Arial" w:eastAsia="Arial" w:hAnsi="Arial"/>
          <w:sz w:val="18"/>
          <w:szCs w:val="18"/>
          <w:color w:val="auto"/>
        </w:rPr>
        <w:t>As discussed in Note 1(k) to the consolidated financial statements, American recorded passenger travel revenue of $ 38.8 billion for the year ended December 31, 2019. Passenger travel revenue includes an estimate for the amount of revenue recognized for tickets that will expire unused in whole or in part. The percentage of passenger tickets that are expected to expire unused is estimated based on an analysis of American’s historical data.</w:t>
      </w:r>
    </w:p>
    <w:p>
      <w:pPr>
        <w:spacing w:after="0" w:line="150" w:lineRule="exact"/>
        <w:rPr>
          <w:sz w:val="20"/>
          <w:szCs w:val="20"/>
          <w:color w:val="auto"/>
        </w:rPr>
      </w:pPr>
    </w:p>
    <w:p>
      <w:pPr>
        <w:jc w:val="both"/>
        <w:ind w:left="340" w:right="20"/>
        <w:spacing w:after="0" w:line="262" w:lineRule="auto"/>
        <w:rPr>
          <w:sz w:val="20"/>
          <w:szCs w:val="20"/>
          <w:color w:val="auto"/>
        </w:rPr>
      </w:pPr>
      <w:r>
        <w:rPr>
          <w:rFonts w:ascii="Arial" w:cs="Arial" w:eastAsia="Arial" w:hAnsi="Arial"/>
          <w:sz w:val="18"/>
          <w:szCs w:val="18"/>
          <w:color w:val="auto"/>
        </w:rPr>
        <w:t>We identified the evaluation of estimated passenger travel revenue as a critical audit matter. A high degree of auditor judgment was required to assess the underlying assumption made by American to develop this estimate.</w:t>
      </w:r>
    </w:p>
    <w:p>
      <w:pPr>
        <w:spacing w:after="0" w:line="142" w:lineRule="exact"/>
        <w:rPr>
          <w:sz w:val="20"/>
          <w:szCs w:val="20"/>
          <w:color w:val="auto"/>
        </w:rPr>
      </w:pPr>
    </w:p>
    <w:p>
      <w:pPr>
        <w:jc w:val="both"/>
        <w:ind w:left="340"/>
        <w:spacing w:after="0" w:line="252" w:lineRule="auto"/>
        <w:rPr>
          <w:sz w:val="20"/>
          <w:szCs w:val="20"/>
          <w:color w:val="auto"/>
        </w:rPr>
      </w:pPr>
      <w:r>
        <w:rPr>
          <w:rFonts w:ascii="Arial" w:cs="Arial" w:eastAsia="Arial" w:hAnsi="Arial"/>
          <w:sz w:val="18"/>
          <w:szCs w:val="18"/>
          <w:color w:val="auto"/>
        </w:rPr>
        <w:t>The primary procedures we performed to address this critical audit matter included the following. We tested certain internal controls over American’s passenger revenue recognition process, including controls related to the estimation of the percentage of passenger tickets that are expected to expire unused. We assessed American’s estimate of the percentage of passenger tickets expected to expire unused by comparing previous years’ estimates to the actual percentage of passenger tickets expired unused for the year. We evaluated the estimated amount of revenue recorded in the current year related to passenger tickets that are expected to expire unused by developing an independent expectation using actual historical ticket expirations. We compared our independent expectation to that of American.</w:t>
      </w:r>
    </w:p>
    <w:p>
      <w:pPr>
        <w:spacing w:after="0" w:line="218" w:lineRule="exact"/>
        <w:rPr>
          <w:sz w:val="20"/>
          <w:szCs w:val="20"/>
          <w:color w:val="auto"/>
        </w:rPr>
      </w:pPr>
    </w:p>
    <w:p>
      <w:pPr>
        <w:ind w:left="340"/>
        <w:spacing w:after="0"/>
        <w:rPr>
          <w:sz w:val="20"/>
          <w:szCs w:val="20"/>
          <w:color w:val="auto"/>
        </w:rPr>
      </w:pPr>
      <w:r>
        <w:rPr>
          <w:rFonts w:ascii="Arial" w:cs="Arial" w:eastAsia="Arial" w:hAnsi="Arial"/>
          <w:sz w:val="18"/>
          <w:szCs w:val="18"/>
          <w:i w:val="1"/>
          <w:iCs w:val="1"/>
          <w:color w:val="auto"/>
        </w:rPr>
        <w:t>Assessment of the estimated selling price for mileage credits earned through travel</w:t>
      </w:r>
    </w:p>
    <w:p>
      <w:pPr>
        <w:spacing w:after="0" w:line="108" w:lineRule="exact"/>
        <w:rPr>
          <w:sz w:val="20"/>
          <w:szCs w:val="20"/>
          <w:color w:val="auto"/>
        </w:rPr>
      </w:pPr>
    </w:p>
    <w:p>
      <w:pPr>
        <w:jc w:val="both"/>
        <w:ind w:left="340"/>
        <w:spacing w:after="0" w:line="252" w:lineRule="auto"/>
        <w:rPr>
          <w:sz w:val="20"/>
          <w:szCs w:val="20"/>
          <w:color w:val="auto"/>
        </w:rPr>
      </w:pPr>
      <w:r>
        <w:rPr>
          <w:rFonts w:ascii="Arial" w:cs="Arial" w:eastAsia="Arial" w:hAnsi="Arial"/>
          <w:sz w:val="18"/>
          <w:szCs w:val="18"/>
          <w:color w:val="auto"/>
        </w:rPr>
        <w:t>As discussed in Note 1(k) to the consolidated financial statements, American applies a relative selling price approach whereby the total amount collected from each applicable passenger ticket sale is allocated between the air transportation and the mileage credits earned. The mileage credits earned are deferred and recognized in passenger revenue at the time mileage credits are redeemed and transportation is provided. American estimates the selling price of mileage credits earned through travel using an approach based on inputs and assumptions derived from historical data. Additionally, an adjustment is made to the estimated selling price of mileage credits earned to account for the estimate of mileage credits not expected to be redeemed. American’s loyalty program liability was $ 8.6 billion as of December 31, 2019, and the associated passenger revenue for mileage credits redeemed for travel was $3.2 billion for the year ended December 31, 2019.</w:t>
      </w:r>
    </w:p>
    <w:p>
      <w:pPr>
        <w:spacing w:after="0" w:line="152" w:lineRule="exact"/>
        <w:rPr>
          <w:sz w:val="20"/>
          <w:szCs w:val="20"/>
          <w:color w:val="auto"/>
        </w:rPr>
      </w:pPr>
    </w:p>
    <w:p>
      <w:pPr>
        <w:jc w:val="both"/>
        <w:ind w:left="340"/>
        <w:spacing w:after="0" w:line="256" w:lineRule="auto"/>
        <w:rPr>
          <w:sz w:val="20"/>
          <w:szCs w:val="20"/>
          <w:color w:val="auto"/>
        </w:rPr>
      </w:pPr>
      <w:r>
        <w:rPr>
          <w:rFonts w:ascii="Arial" w:cs="Arial" w:eastAsia="Arial" w:hAnsi="Arial"/>
          <w:sz w:val="18"/>
          <w:szCs w:val="18"/>
          <w:color w:val="auto"/>
        </w:rPr>
        <w:t>We identified the assessment of the estimated selling price for mileage credits earned through travel, including the estimated number of mileage credits not expected to be redeemed, as a critical audit matter. A high degree of auditor judgment was required to evaluate the historical data used to develop the estimate.</w:t>
      </w:r>
    </w:p>
    <w:p>
      <w:pPr>
        <w:spacing w:after="0" w:line="148" w:lineRule="exact"/>
        <w:rPr>
          <w:sz w:val="20"/>
          <w:szCs w:val="20"/>
          <w:color w:val="auto"/>
        </w:rPr>
      </w:pPr>
    </w:p>
    <w:p>
      <w:pPr>
        <w:jc w:val="both"/>
        <w:ind w:left="340"/>
        <w:spacing w:after="0" w:line="252" w:lineRule="auto"/>
        <w:rPr>
          <w:sz w:val="20"/>
          <w:szCs w:val="20"/>
          <w:color w:val="auto"/>
        </w:rPr>
      </w:pPr>
      <w:r>
        <w:rPr>
          <w:rFonts w:ascii="Arial" w:cs="Arial" w:eastAsia="Arial" w:hAnsi="Arial"/>
          <w:sz w:val="18"/>
          <w:szCs w:val="18"/>
          <w:color w:val="auto"/>
        </w:rPr>
        <w:t>The primary procedures we performed to address this critical audit matter included the following. We tested certain internal controls over American’s loyalty program accounting process, including controls related to the estimation of the selling price for mileage credits earned through travel. We evaluated that American’s methodology used to develop the estimated selling price of mileage credits earned through travel, including estimated mileage credits not expected to be redeemed, was consistent with that of historical periods. We performed sensitivity analyses over the estimated selling price of mileage credits earned through travel, including estimated mileage credits not expected to be redeemed. We assessed the results of the sensitivity analyses to American’s recorded amount of loyalty program liability and the associated passenger revenue. We compared American’s estimate of mileage credits not expected to be redeemed to that of other airlines within the industry.</w:t>
      </w:r>
    </w:p>
    <w:p>
      <w:pPr>
        <w:spacing w:after="0" w:line="200" w:lineRule="exact"/>
        <w:rPr>
          <w:sz w:val="20"/>
          <w:szCs w:val="20"/>
          <w:color w:val="auto"/>
        </w:rPr>
      </w:pPr>
    </w:p>
    <w:p>
      <w:pPr>
        <w:spacing w:after="0" w:line="344" w:lineRule="exact"/>
        <w:rPr>
          <w:sz w:val="20"/>
          <w:szCs w:val="20"/>
          <w:color w:val="auto"/>
        </w:rPr>
      </w:pPr>
    </w:p>
    <w:p>
      <w:pPr>
        <w:ind w:left="5740"/>
        <w:spacing w:after="0"/>
        <w:tabs>
          <w:tab w:leader="none" w:pos="6100" w:val="left"/>
        </w:tabs>
        <w:rPr>
          <w:sz w:val="20"/>
          <w:szCs w:val="20"/>
          <w:color w:val="auto"/>
        </w:rPr>
      </w:pPr>
      <w:r>
        <w:rPr>
          <w:rFonts w:ascii="Arial" w:cs="Arial" w:eastAsia="Arial" w:hAnsi="Arial"/>
          <w:sz w:val="18"/>
          <w:szCs w:val="18"/>
          <w:color w:val="auto"/>
        </w:rPr>
        <w:t>/s/</w:t>
        <w:tab/>
        <w:t>KPMG LLP</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We have served as American’s auditor since 2014.</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color w:val="auto"/>
        </w:rPr>
        <w:t>Dallas, Texas</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February 19, 2020</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116</w:t>
      </w:r>
    </w:p>
    <w:p>
      <w:pPr>
        <w:sectPr>
          <w:pgSz w:w="11900" w:h="16838" w:orient="portrait"/>
          <w:cols w:equalWidth="0" w:num="1">
            <w:col w:w="11420"/>
          </w:cols>
          <w:pgMar w:left="240" w:top="796" w:right="239" w:bottom="1440" w:gutter="0" w:footer="0" w:header="0"/>
        </w:sectPr>
      </w:pPr>
    </w:p>
    <w:bookmarkStart w:id="116" w:name="page117"/>
    <w:bookmarkEnd w:id="116"/>
    <w:p>
      <w:pPr>
        <w:jc w:val="center"/>
        <w:spacing w:after="0"/>
        <w:rPr>
          <w:sz w:val="20"/>
          <w:szCs w:val="20"/>
          <w:color w:val="auto"/>
        </w:rPr>
      </w:pPr>
      <w:r>
        <w:rPr>
          <w:rFonts w:ascii="Arial" w:cs="Arial" w:eastAsia="Arial" w:hAnsi="Arial"/>
          <w:sz w:val="18"/>
          <w:szCs w:val="18"/>
          <w:b w:val="1"/>
          <w:bCs w:val="1"/>
          <w:color w:val="auto"/>
        </w:rPr>
        <w:t>AMERICAN AIRLINES, INC.</w:t>
      </w:r>
    </w:p>
    <w:p>
      <w:pPr>
        <w:spacing w:after="0" w:line="3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STATEMENTS OF OPERATIONS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millions)</w:t>
      </w:r>
    </w:p>
    <w:p>
      <w:pPr>
        <w:spacing w:after="0" w:line="321" w:lineRule="exact"/>
        <w:rPr>
          <w:sz w:val="20"/>
          <w:szCs w:val="20"/>
          <w:color w:val="auto"/>
        </w:rPr>
      </w:pPr>
    </w:p>
    <w:tbl>
      <w:tblPr>
        <w:tblLayout w:type="fixed"/>
        <w:tblInd w:w="0" w:type="dxa"/>
        <w:tblCellMar>
          <w:top w:w="0" w:type="dxa"/>
          <w:left w:w="0" w:type="dxa"/>
          <w:bottom w:w="0" w:type="dxa"/>
          <w:right w:w="0" w:type="dxa"/>
        </w:tblCellMar>
      </w:tblPr>
      <w:tr>
        <w:trPr>
          <w:trHeight w:val="196"/>
        </w:trPr>
        <w:tc>
          <w:tcPr>
            <w:tcW w:w="6380" w:type="dxa"/>
            <w:vAlign w:val="bottom"/>
          </w:tcPr>
          <w:p>
            <w:pPr>
              <w:spacing w:after="0"/>
              <w:rPr>
                <w:sz w:val="17"/>
                <w:szCs w:val="17"/>
                <w:color w:val="auto"/>
              </w:rPr>
            </w:pPr>
          </w:p>
        </w:tc>
        <w:tc>
          <w:tcPr>
            <w:tcW w:w="380" w:type="dxa"/>
            <w:vAlign w:val="bottom"/>
            <w:tcBorders>
              <w:bottom w:val="single" w:sz="8" w:color="auto"/>
            </w:tcBorders>
          </w:tcPr>
          <w:p>
            <w:pPr>
              <w:spacing w:after="0"/>
              <w:rPr>
                <w:sz w:val="17"/>
                <w:szCs w:val="17"/>
                <w:color w:val="auto"/>
              </w:rPr>
            </w:pPr>
          </w:p>
        </w:tc>
        <w:tc>
          <w:tcPr>
            <w:tcW w:w="1220" w:type="dxa"/>
            <w:vAlign w:val="bottom"/>
            <w:tcBorders>
              <w:bottom w:val="single" w:sz="8" w:color="auto"/>
            </w:tcBorders>
          </w:tcPr>
          <w:p>
            <w:pPr>
              <w:spacing w:after="0"/>
              <w:rPr>
                <w:sz w:val="17"/>
                <w:szCs w:val="17"/>
                <w:color w:val="auto"/>
              </w:rPr>
            </w:pPr>
          </w:p>
        </w:tc>
        <w:tc>
          <w:tcPr>
            <w:tcW w:w="1840" w:type="dxa"/>
            <w:vAlign w:val="bottom"/>
            <w:tcBorders>
              <w:bottom w:val="single" w:sz="8" w:color="auto"/>
            </w:tcBorders>
            <w:gridSpan w:val="4"/>
          </w:tcPr>
          <w:p>
            <w:pPr>
              <w:ind w:left="60"/>
              <w:spacing w:after="0"/>
              <w:rPr>
                <w:sz w:val="20"/>
                <w:szCs w:val="20"/>
                <w:color w:val="auto"/>
              </w:rPr>
            </w:pPr>
            <w:r>
              <w:rPr>
                <w:rFonts w:ascii="Arial" w:cs="Arial" w:eastAsia="Arial" w:hAnsi="Arial"/>
                <w:sz w:val="14"/>
                <w:szCs w:val="14"/>
                <w:b w:val="1"/>
                <w:bCs w:val="1"/>
                <w:color w:val="auto"/>
              </w:rPr>
              <w:t>Year Ended December 31,</w:t>
            </w:r>
          </w:p>
        </w:tc>
        <w:tc>
          <w:tcPr>
            <w:tcW w:w="380" w:type="dxa"/>
            <w:vAlign w:val="bottom"/>
            <w:tcBorders>
              <w:bottom w:val="single" w:sz="8" w:color="auto"/>
            </w:tcBorders>
          </w:tcPr>
          <w:p>
            <w:pPr>
              <w:spacing w:after="0"/>
              <w:rPr>
                <w:sz w:val="17"/>
                <w:szCs w:val="17"/>
                <w:color w:val="auto"/>
              </w:rPr>
            </w:pPr>
          </w:p>
        </w:tc>
        <w:tc>
          <w:tcPr>
            <w:tcW w:w="1220" w:type="dxa"/>
            <w:vAlign w:val="bottom"/>
            <w:tcBorders>
              <w:bottom w:val="single" w:sz="8" w:color="auto"/>
            </w:tcBorders>
          </w:tcPr>
          <w:p>
            <w:pPr>
              <w:spacing w:after="0"/>
              <w:rPr>
                <w:sz w:val="17"/>
                <w:szCs w:val="17"/>
                <w:color w:val="auto"/>
              </w:rPr>
            </w:pPr>
          </w:p>
        </w:tc>
      </w:tr>
      <w:tr>
        <w:trPr>
          <w:trHeight w:val="264"/>
        </w:trPr>
        <w:tc>
          <w:tcPr>
            <w:tcW w:w="6380" w:type="dxa"/>
            <w:vAlign w:val="bottom"/>
            <w:tcBorders>
              <w:bottom w:val="single" w:sz="8" w:color="CCEEFF"/>
            </w:tcBorders>
          </w:tcPr>
          <w:p>
            <w:pPr>
              <w:spacing w:after="0"/>
              <w:rPr>
                <w:sz w:val="22"/>
                <w:szCs w:val="22"/>
                <w:color w:val="auto"/>
              </w:rPr>
            </w:pPr>
          </w:p>
        </w:tc>
        <w:tc>
          <w:tcPr>
            <w:tcW w:w="380" w:type="dxa"/>
            <w:vAlign w:val="bottom"/>
            <w:tcBorders>
              <w:bottom w:val="single" w:sz="8" w:color="auto"/>
            </w:tcBorders>
          </w:tcPr>
          <w:p>
            <w:pPr>
              <w:spacing w:after="0"/>
              <w:rPr>
                <w:sz w:val="22"/>
                <w:szCs w:val="22"/>
                <w:color w:val="auto"/>
              </w:rPr>
            </w:pPr>
          </w:p>
        </w:tc>
        <w:tc>
          <w:tcPr>
            <w:tcW w:w="1220" w:type="dxa"/>
            <w:vAlign w:val="bottom"/>
            <w:tcBorders>
              <w:bottom w:val="single" w:sz="8" w:color="auto"/>
            </w:tcBorders>
          </w:tcPr>
          <w:p>
            <w:pPr>
              <w:jc w:val="right"/>
              <w:ind w:right="551"/>
              <w:spacing w:after="0"/>
              <w:rPr>
                <w:sz w:val="20"/>
                <w:szCs w:val="20"/>
                <w:color w:val="auto"/>
              </w:rPr>
            </w:pPr>
            <w:r>
              <w:rPr>
                <w:rFonts w:ascii="Arial" w:cs="Arial" w:eastAsia="Arial" w:hAnsi="Arial"/>
                <w:sz w:val="14"/>
                <w:szCs w:val="14"/>
                <w:b w:val="1"/>
                <w:bCs w:val="1"/>
                <w:color w:val="auto"/>
              </w:rPr>
              <w:t>2019</w:t>
            </w:r>
          </w:p>
        </w:tc>
        <w:tc>
          <w:tcPr>
            <w:tcW w:w="120" w:type="dxa"/>
            <w:vAlign w:val="bottom"/>
            <w:tcBorders>
              <w:bottom w:val="single" w:sz="8" w:color="CCEEFF"/>
            </w:tcBorders>
          </w:tcPr>
          <w:p>
            <w:pPr>
              <w:spacing w:after="0"/>
              <w:rPr>
                <w:sz w:val="22"/>
                <w:szCs w:val="22"/>
                <w:color w:val="auto"/>
              </w:rPr>
            </w:pPr>
          </w:p>
        </w:tc>
        <w:tc>
          <w:tcPr>
            <w:tcW w:w="380" w:type="dxa"/>
            <w:vAlign w:val="bottom"/>
            <w:tcBorders>
              <w:bottom w:val="single" w:sz="8" w:color="auto"/>
            </w:tcBorders>
          </w:tcPr>
          <w:p>
            <w:pPr>
              <w:spacing w:after="0"/>
              <w:rPr>
                <w:sz w:val="22"/>
                <w:szCs w:val="22"/>
                <w:color w:val="auto"/>
              </w:rPr>
            </w:pPr>
          </w:p>
        </w:tc>
        <w:tc>
          <w:tcPr>
            <w:tcW w:w="1220" w:type="dxa"/>
            <w:vAlign w:val="bottom"/>
            <w:tcBorders>
              <w:bottom w:val="single" w:sz="8" w:color="auto"/>
            </w:tcBorders>
          </w:tcPr>
          <w:p>
            <w:pPr>
              <w:jc w:val="right"/>
              <w:ind w:right="551"/>
              <w:spacing w:after="0"/>
              <w:rPr>
                <w:sz w:val="20"/>
                <w:szCs w:val="20"/>
                <w:color w:val="auto"/>
              </w:rPr>
            </w:pPr>
            <w:r>
              <w:rPr>
                <w:rFonts w:ascii="Arial" w:cs="Arial" w:eastAsia="Arial" w:hAnsi="Arial"/>
                <w:sz w:val="14"/>
                <w:szCs w:val="14"/>
                <w:b w:val="1"/>
                <w:bCs w:val="1"/>
                <w:color w:val="auto"/>
              </w:rPr>
              <w:t>2018</w:t>
            </w:r>
          </w:p>
        </w:tc>
        <w:tc>
          <w:tcPr>
            <w:tcW w:w="120" w:type="dxa"/>
            <w:vAlign w:val="bottom"/>
            <w:tcBorders>
              <w:bottom w:val="single" w:sz="8" w:color="CCEEFF"/>
            </w:tcBorders>
          </w:tcPr>
          <w:p>
            <w:pPr>
              <w:spacing w:after="0"/>
              <w:rPr>
                <w:sz w:val="22"/>
                <w:szCs w:val="22"/>
                <w:color w:val="auto"/>
              </w:rPr>
            </w:pPr>
          </w:p>
        </w:tc>
        <w:tc>
          <w:tcPr>
            <w:tcW w:w="380" w:type="dxa"/>
            <w:vAlign w:val="bottom"/>
            <w:tcBorders>
              <w:bottom w:val="single" w:sz="8" w:color="auto"/>
            </w:tcBorders>
          </w:tcPr>
          <w:p>
            <w:pPr>
              <w:spacing w:after="0"/>
              <w:rPr>
                <w:sz w:val="22"/>
                <w:szCs w:val="22"/>
                <w:color w:val="auto"/>
              </w:rPr>
            </w:pPr>
          </w:p>
        </w:tc>
        <w:tc>
          <w:tcPr>
            <w:tcW w:w="1220" w:type="dxa"/>
            <w:vAlign w:val="bottom"/>
            <w:tcBorders>
              <w:bottom w:val="single" w:sz="8" w:color="auto"/>
            </w:tcBorders>
          </w:tcPr>
          <w:p>
            <w:pPr>
              <w:jc w:val="right"/>
              <w:ind w:right="551"/>
              <w:spacing w:after="0"/>
              <w:rPr>
                <w:sz w:val="20"/>
                <w:szCs w:val="20"/>
                <w:color w:val="auto"/>
              </w:rPr>
            </w:pPr>
            <w:r>
              <w:rPr>
                <w:rFonts w:ascii="Arial" w:cs="Arial" w:eastAsia="Arial" w:hAnsi="Arial"/>
                <w:sz w:val="14"/>
                <w:szCs w:val="14"/>
                <w:b w:val="1"/>
                <w:bCs w:val="1"/>
                <w:color w:val="auto"/>
              </w:rPr>
              <w:t>2017</w:t>
            </w:r>
          </w:p>
        </w:tc>
      </w:tr>
      <w:tr>
        <w:trPr>
          <w:trHeight w:val="250"/>
        </w:trPr>
        <w:tc>
          <w:tcPr>
            <w:tcW w:w="63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Operating revenues:</w:t>
            </w:r>
          </w:p>
        </w:tc>
        <w:tc>
          <w:tcPr>
            <w:tcW w:w="38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spacing w:after="0"/>
              <w:rPr>
                <w:sz w:val="21"/>
                <w:szCs w:val="21"/>
                <w:color w:val="auto"/>
              </w:rPr>
            </w:pPr>
          </w:p>
        </w:tc>
      </w:tr>
      <w:tr>
        <w:trPr>
          <w:trHeight w:val="263"/>
        </w:trPr>
        <w:tc>
          <w:tcPr>
            <w:tcW w:w="6380" w:type="dxa"/>
            <w:vAlign w:val="bottom"/>
          </w:tcPr>
          <w:p>
            <w:pPr>
              <w:ind w:left="380"/>
              <w:spacing w:after="0"/>
              <w:rPr>
                <w:sz w:val="20"/>
                <w:szCs w:val="20"/>
                <w:color w:val="auto"/>
              </w:rPr>
            </w:pPr>
            <w:r>
              <w:rPr>
                <w:rFonts w:ascii="Arial" w:cs="Arial" w:eastAsia="Arial" w:hAnsi="Arial"/>
                <w:sz w:val="18"/>
                <w:szCs w:val="18"/>
                <w:color w:val="auto"/>
              </w:rPr>
              <w:t>Passenger</w:t>
            </w:r>
          </w:p>
        </w:tc>
        <w:tc>
          <w:tcPr>
            <w:tcW w:w="380" w:type="dxa"/>
            <w:vAlign w:val="bottom"/>
          </w:tcPr>
          <w:p>
            <w:pPr>
              <w:jc w:val="right"/>
              <w:ind w:right="170"/>
              <w:spacing w:after="0"/>
              <w:rPr>
                <w:sz w:val="20"/>
                <w:szCs w:val="20"/>
                <w:color w:val="auto"/>
              </w:rPr>
            </w:pPr>
            <w:r>
              <w:rPr>
                <w:rFonts w:ascii="Arial" w:cs="Arial" w:eastAsia="Arial" w:hAnsi="Arial"/>
                <w:sz w:val="18"/>
                <w:szCs w:val="18"/>
                <w:color w:val="auto"/>
                <w:w w:val="99"/>
              </w:rPr>
              <w:t>$</w:t>
            </w:r>
          </w:p>
        </w:tc>
        <w:tc>
          <w:tcPr>
            <w:tcW w:w="1220" w:type="dxa"/>
            <w:vAlign w:val="bottom"/>
          </w:tcPr>
          <w:p>
            <w:pPr>
              <w:jc w:val="right"/>
              <w:ind w:right="11"/>
              <w:spacing w:after="0"/>
              <w:rPr>
                <w:sz w:val="20"/>
                <w:szCs w:val="20"/>
                <w:color w:val="auto"/>
              </w:rPr>
            </w:pPr>
            <w:r>
              <w:rPr>
                <w:rFonts w:ascii="Arial" w:cs="Arial" w:eastAsia="Arial" w:hAnsi="Arial"/>
                <w:sz w:val="18"/>
                <w:szCs w:val="18"/>
                <w:color w:val="auto"/>
              </w:rPr>
              <w:t>42,010</w:t>
            </w:r>
          </w:p>
        </w:tc>
        <w:tc>
          <w:tcPr>
            <w:tcW w:w="50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1220" w:type="dxa"/>
            <w:vAlign w:val="bottom"/>
          </w:tcPr>
          <w:p>
            <w:pPr>
              <w:jc w:val="right"/>
              <w:ind w:right="11"/>
              <w:spacing w:after="0"/>
              <w:rPr>
                <w:sz w:val="20"/>
                <w:szCs w:val="20"/>
                <w:color w:val="auto"/>
              </w:rPr>
            </w:pPr>
            <w:r>
              <w:rPr>
                <w:rFonts w:ascii="Arial" w:cs="Arial" w:eastAsia="Arial" w:hAnsi="Arial"/>
                <w:sz w:val="18"/>
                <w:szCs w:val="18"/>
                <w:color w:val="auto"/>
              </w:rPr>
              <w:t>40,676</w:t>
            </w:r>
          </w:p>
        </w:tc>
        <w:tc>
          <w:tcPr>
            <w:tcW w:w="120" w:type="dxa"/>
            <w:vAlign w:val="bottom"/>
          </w:tcPr>
          <w:p>
            <w:pPr>
              <w:spacing w:after="0"/>
              <w:rPr>
                <w:sz w:val="22"/>
                <w:szCs w:val="22"/>
                <w:color w:val="auto"/>
              </w:rPr>
            </w:pPr>
          </w:p>
        </w:tc>
        <w:tc>
          <w:tcPr>
            <w:tcW w:w="380" w:type="dxa"/>
            <w:vAlign w:val="bottom"/>
          </w:tcPr>
          <w:p>
            <w:pPr>
              <w:jc w:val="right"/>
              <w:ind w:right="170"/>
              <w:spacing w:after="0"/>
              <w:rPr>
                <w:sz w:val="20"/>
                <w:szCs w:val="20"/>
                <w:color w:val="auto"/>
              </w:rPr>
            </w:pPr>
            <w:r>
              <w:rPr>
                <w:rFonts w:ascii="Arial" w:cs="Arial" w:eastAsia="Arial" w:hAnsi="Arial"/>
                <w:sz w:val="18"/>
                <w:szCs w:val="18"/>
                <w:color w:val="auto"/>
                <w:w w:val="99"/>
              </w:rPr>
              <w:t>$</w:t>
            </w:r>
          </w:p>
        </w:tc>
        <w:tc>
          <w:tcPr>
            <w:tcW w:w="1220" w:type="dxa"/>
            <w:vAlign w:val="bottom"/>
          </w:tcPr>
          <w:p>
            <w:pPr>
              <w:jc w:val="right"/>
              <w:ind w:right="11"/>
              <w:spacing w:after="0"/>
              <w:rPr>
                <w:sz w:val="20"/>
                <w:szCs w:val="20"/>
                <w:color w:val="auto"/>
              </w:rPr>
            </w:pPr>
            <w:r>
              <w:rPr>
                <w:rFonts w:ascii="Arial" w:cs="Arial" w:eastAsia="Arial" w:hAnsi="Arial"/>
                <w:sz w:val="18"/>
                <w:szCs w:val="18"/>
                <w:color w:val="auto"/>
              </w:rPr>
              <w:t>39,131</w:t>
            </w:r>
          </w:p>
        </w:tc>
      </w:tr>
      <w:tr>
        <w:trPr>
          <w:trHeight w:val="277"/>
        </w:trPr>
        <w:tc>
          <w:tcPr>
            <w:tcW w:w="6380" w:type="dxa"/>
            <w:vAlign w:val="bottom"/>
            <w:shd w:val="clear" w:color="auto" w:fill="CCEEFF"/>
          </w:tcPr>
          <w:p>
            <w:pPr>
              <w:ind w:left="380"/>
              <w:spacing w:after="0"/>
              <w:rPr>
                <w:sz w:val="20"/>
                <w:szCs w:val="20"/>
                <w:color w:val="auto"/>
              </w:rPr>
            </w:pPr>
            <w:r>
              <w:rPr>
                <w:rFonts w:ascii="Arial" w:cs="Arial" w:eastAsia="Arial" w:hAnsi="Arial"/>
                <w:sz w:val="18"/>
                <w:szCs w:val="18"/>
                <w:color w:val="auto"/>
              </w:rPr>
              <w:t>Cargo</w:t>
            </w:r>
          </w:p>
        </w:tc>
        <w:tc>
          <w:tcPr>
            <w:tcW w:w="380" w:type="dxa"/>
            <w:vAlign w:val="bottom"/>
            <w:shd w:val="clear" w:color="auto" w:fill="CCEEFF"/>
          </w:tcPr>
          <w:p>
            <w:pPr>
              <w:spacing w:after="0"/>
              <w:rPr>
                <w:sz w:val="24"/>
                <w:szCs w:val="24"/>
                <w:color w:val="auto"/>
              </w:rPr>
            </w:pPr>
          </w:p>
        </w:tc>
        <w:tc>
          <w:tcPr>
            <w:tcW w:w="122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863</w:t>
            </w:r>
          </w:p>
        </w:tc>
        <w:tc>
          <w:tcPr>
            <w:tcW w:w="120" w:type="dxa"/>
            <w:vAlign w:val="bottom"/>
            <w:shd w:val="clear" w:color="auto" w:fill="CCEEFF"/>
          </w:tcPr>
          <w:p>
            <w:pPr>
              <w:spacing w:after="0"/>
              <w:rPr>
                <w:sz w:val="24"/>
                <w:szCs w:val="24"/>
                <w:color w:val="auto"/>
              </w:rPr>
            </w:pPr>
          </w:p>
        </w:tc>
        <w:tc>
          <w:tcPr>
            <w:tcW w:w="380" w:type="dxa"/>
            <w:vAlign w:val="bottom"/>
            <w:shd w:val="clear" w:color="auto" w:fill="CCEEFF"/>
          </w:tcPr>
          <w:p>
            <w:pPr>
              <w:spacing w:after="0"/>
              <w:rPr>
                <w:sz w:val="24"/>
                <w:szCs w:val="24"/>
                <w:color w:val="auto"/>
              </w:rPr>
            </w:pPr>
          </w:p>
        </w:tc>
        <w:tc>
          <w:tcPr>
            <w:tcW w:w="122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1,013</w:t>
            </w:r>
          </w:p>
        </w:tc>
        <w:tc>
          <w:tcPr>
            <w:tcW w:w="120" w:type="dxa"/>
            <w:vAlign w:val="bottom"/>
            <w:shd w:val="clear" w:color="auto" w:fill="CCEEFF"/>
          </w:tcPr>
          <w:p>
            <w:pPr>
              <w:spacing w:after="0"/>
              <w:rPr>
                <w:sz w:val="24"/>
                <w:szCs w:val="24"/>
                <w:color w:val="auto"/>
              </w:rPr>
            </w:pPr>
          </w:p>
        </w:tc>
        <w:tc>
          <w:tcPr>
            <w:tcW w:w="380" w:type="dxa"/>
            <w:vAlign w:val="bottom"/>
            <w:shd w:val="clear" w:color="auto" w:fill="CCEEFF"/>
          </w:tcPr>
          <w:p>
            <w:pPr>
              <w:spacing w:after="0"/>
              <w:rPr>
                <w:sz w:val="24"/>
                <w:szCs w:val="24"/>
                <w:color w:val="auto"/>
              </w:rPr>
            </w:pPr>
          </w:p>
        </w:tc>
        <w:tc>
          <w:tcPr>
            <w:tcW w:w="122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890</w:t>
            </w:r>
          </w:p>
        </w:tc>
      </w:tr>
      <w:tr>
        <w:trPr>
          <w:trHeight w:val="264"/>
        </w:trPr>
        <w:tc>
          <w:tcPr>
            <w:tcW w:w="6380" w:type="dxa"/>
            <w:vAlign w:val="bottom"/>
            <w:tcBorders>
              <w:bottom w:val="single" w:sz="8" w:color="CCEEFF"/>
            </w:tcBorders>
          </w:tcPr>
          <w:p>
            <w:pPr>
              <w:ind w:left="380"/>
              <w:spacing w:after="0"/>
              <w:rPr>
                <w:sz w:val="20"/>
                <w:szCs w:val="20"/>
                <w:color w:val="auto"/>
              </w:rPr>
            </w:pPr>
            <w:r>
              <w:rPr>
                <w:rFonts w:ascii="Arial" w:cs="Arial" w:eastAsia="Arial" w:hAnsi="Arial"/>
                <w:sz w:val="18"/>
                <w:szCs w:val="18"/>
                <w:color w:val="auto"/>
              </w:rPr>
              <w:t>Other</w:t>
            </w:r>
          </w:p>
        </w:tc>
        <w:tc>
          <w:tcPr>
            <w:tcW w:w="380" w:type="dxa"/>
            <w:vAlign w:val="bottom"/>
            <w:tcBorders>
              <w:bottom w:val="single" w:sz="8" w:color="auto"/>
            </w:tcBorders>
          </w:tcPr>
          <w:p>
            <w:pPr>
              <w:spacing w:after="0"/>
              <w:rPr>
                <w:sz w:val="22"/>
                <w:szCs w:val="22"/>
                <w:color w:val="auto"/>
              </w:rPr>
            </w:pPr>
          </w:p>
        </w:tc>
        <w:tc>
          <w:tcPr>
            <w:tcW w:w="1220" w:type="dxa"/>
            <w:vAlign w:val="bottom"/>
            <w:tcBorders>
              <w:bottom w:val="single" w:sz="8" w:color="auto"/>
            </w:tcBorders>
          </w:tcPr>
          <w:p>
            <w:pPr>
              <w:jc w:val="right"/>
              <w:ind w:right="11"/>
              <w:spacing w:after="0"/>
              <w:rPr>
                <w:sz w:val="20"/>
                <w:szCs w:val="20"/>
                <w:color w:val="auto"/>
              </w:rPr>
            </w:pPr>
            <w:r>
              <w:rPr>
                <w:rFonts w:ascii="Arial" w:cs="Arial" w:eastAsia="Arial" w:hAnsi="Arial"/>
                <w:sz w:val="18"/>
                <w:szCs w:val="18"/>
                <w:color w:val="auto"/>
              </w:rPr>
              <w:t>2,888</w:t>
            </w:r>
          </w:p>
        </w:tc>
        <w:tc>
          <w:tcPr>
            <w:tcW w:w="120" w:type="dxa"/>
            <w:vAlign w:val="bottom"/>
            <w:tcBorders>
              <w:bottom w:val="single" w:sz="8" w:color="CCEEFF"/>
            </w:tcBorders>
          </w:tcPr>
          <w:p>
            <w:pPr>
              <w:spacing w:after="0"/>
              <w:rPr>
                <w:sz w:val="22"/>
                <w:szCs w:val="22"/>
                <w:color w:val="auto"/>
              </w:rPr>
            </w:pPr>
          </w:p>
        </w:tc>
        <w:tc>
          <w:tcPr>
            <w:tcW w:w="380" w:type="dxa"/>
            <w:vAlign w:val="bottom"/>
            <w:tcBorders>
              <w:bottom w:val="single" w:sz="8" w:color="auto"/>
            </w:tcBorders>
          </w:tcPr>
          <w:p>
            <w:pPr>
              <w:spacing w:after="0"/>
              <w:rPr>
                <w:sz w:val="22"/>
                <w:szCs w:val="22"/>
                <w:color w:val="auto"/>
              </w:rPr>
            </w:pPr>
          </w:p>
        </w:tc>
        <w:tc>
          <w:tcPr>
            <w:tcW w:w="1220" w:type="dxa"/>
            <w:vAlign w:val="bottom"/>
            <w:tcBorders>
              <w:bottom w:val="single" w:sz="8" w:color="auto"/>
            </w:tcBorders>
          </w:tcPr>
          <w:p>
            <w:pPr>
              <w:jc w:val="right"/>
              <w:ind w:right="11"/>
              <w:spacing w:after="0"/>
              <w:rPr>
                <w:sz w:val="20"/>
                <w:szCs w:val="20"/>
                <w:color w:val="auto"/>
              </w:rPr>
            </w:pPr>
            <w:r>
              <w:rPr>
                <w:rFonts w:ascii="Arial" w:cs="Arial" w:eastAsia="Arial" w:hAnsi="Arial"/>
                <w:sz w:val="18"/>
                <w:szCs w:val="18"/>
                <w:color w:val="auto"/>
              </w:rPr>
              <w:t>2,841</w:t>
            </w:r>
          </w:p>
        </w:tc>
        <w:tc>
          <w:tcPr>
            <w:tcW w:w="120" w:type="dxa"/>
            <w:vAlign w:val="bottom"/>
            <w:tcBorders>
              <w:bottom w:val="single" w:sz="8" w:color="CCEEFF"/>
            </w:tcBorders>
          </w:tcPr>
          <w:p>
            <w:pPr>
              <w:spacing w:after="0"/>
              <w:rPr>
                <w:sz w:val="22"/>
                <w:szCs w:val="22"/>
                <w:color w:val="auto"/>
              </w:rPr>
            </w:pPr>
          </w:p>
        </w:tc>
        <w:tc>
          <w:tcPr>
            <w:tcW w:w="380" w:type="dxa"/>
            <w:vAlign w:val="bottom"/>
            <w:tcBorders>
              <w:bottom w:val="single" w:sz="8" w:color="auto"/>
            </w:tcBorders>
          </w:tcPr>
          <w:p>
            <w:pPr>
              <w:spacing w:after="0"/>
              <w:rPr>
                <w:sz w:val="22"/>
                <w:szCs w:val="22"/>
                <w:color w:val="auto"/>
              </w:rPr>
            </w:pPr>
          </w:p>
        </w:tc>
        <w:tc>
          <w:tcPr>
            <w:tcW w:w="1220" w:type="dxa"/>
            <w:vAlign w:val="bottom"/>
            <w:tcBorders>
              <w:bottom w:val="single" w:sz="8" w:color="auto"/>
            </w:tcBorders>
          </w:tcPr>
          <w:p>
            <w:pPr>
              <w:jc w:val="right"/>
              <w:ind w:right="11"/>
              <w:spacing w:after="0"/>
              <w:rPr>
                <w:sz w:val="20"/>
                <w:szCs w:val="20"/>
                <w:color w:val="auto"/>
              </w:rPr>
            </w:pPr>
            <w:r>
              <w:rPr>
                <w:rFonts w:ascii="Arial" w:cs="Arial" w:eastAsia="Arial" w:hAnsi="Arial"/>
                <w:sz w:val="18"/>
                <w:szCs w:val="18"/>
                <w:color w:val="auto"/>
              </w:rPr>
              <w:t>2,589</w:t>
            </w:r>
          </w:p>
        </w:tc>
      </w:tr>
      <w:tr>
        <w:trPr>
          <w:trHeight w:val="257"/>
        </w:trPr>
        <w:tc>
          <w:tcPr>
            <w:tcW w:w="6380" w:type="dxa"/>
            <w:vAlign w:val="bottom"/>
            <w:shd w:val="clear" w:color="auto" w:fill="CCEEFF"/>
          </w:tcPr>
          <w:p>
            <w:pPr>
              <w:ind w:left="600"/>
              <w:spacing w:after="0"/>
              <w:rPr>
                <w:sz w:val="20"/>
                <w:szCs w:val="20"/>
                <w:color w:val="auto"/>
              </w:rPr>
            </w:pPr>
            <w:r>
              <w:rPr>
                <w:rFonts w:ascii="Arial" w:cs="Arial" w:eastAsia="Arial" w:hAnsi="Arial"/>
                <w:sz w:val="18"/>
                <w:szCs w:val="18"/>
                <w:color w:val="auto"/>
              </w:rPr>
              <w:t>Total operating revenues</w:t>
            </w:r>
          </w:p>
        </w:tc>
        <w:tc>
          <w:tcPr>
            <w:tcW w:w="380" w:type="dxa"/>
            <w:vAlign w:val="bottom"/>
            <w:shd w:val="clear" w:color="auto" w:fill="CCEEFF"/>
          </w:tcPr>
          <w:p>
            <w:pPr>
              <w:spacing w:after="0"/>
              <w:rPr>
                <w:sz w:val="22"/>
                <w:szCs w:val="22"/>
                <w:color w:val="auto"/>
              </w:rPr>
            </w:pPr>
          </w:p>
        </w:tc>
        <w:tc>
          <w:tcPr>
            <w:tcW w:w="122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45,761</w:t>
            </w:r>
          </w:p>
        </w:tc>
        <w:tc>
          <w:tcPr>
            <w:tcW w:w="120" w:type="dxa"/>
            <w:vAlign w:val="bottom"/>
            <w:shd w:val="clear" w:color="auto" w:fill="CCEEFF"/>
          </w:tcPr>
          <w:p>
            <w:pPr>
              <w:spacing w:after="0"/>
              <w:rPr>
                <w:sz w:val="22"/>
                <w:szCs w:val="22"/>
                <w:color w:val="auto"/>
              </w:rPr>
            </w:pPr>
          </w:p>
        </w:tc>
        <w:tc>
          <w:tcPr>
            <w:tcW w:w="380" w:type="dxa"/>
            <w:vAlign w:val="bottom"/>
            <w:shd w:val="clear" w:color="auto" w:fill="CCEEFF"/>
          </w:tcPr>
          <w:p>
            <w:pPr>
              <w:spacing w:after="0"/>
              <w:rPr>
                <w:sz w:val="22"/>
                <w:szCs w:val="22"/>
                <w:color w:val="auto"/>
              </w:rPr>
            </w:pPr>
          </w:p>
        </w:tc>
        <w:tc>
          <w:tcPr>
            <w:tcW w:w="122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44,530</w:t>
            </w:r>
          </w:p>
        </w:tc>
        <w:tc>
          <w:tcPr>
            <w:tcW w:w="120" w:type="dxa"/>
            <w:vAlign w:val="bottom"/>
            <w:shd w:val="clear" w:color="auto" w:fill="CCEEFF"/>
          </w:tcPr>
          <w:p>
            <w:pPr>
              <w:spacing w:after="0"/>
              <w:rPr>
                <w:sz w:val="22"/>
                <w:szCs w:val="22"/>
                <w:color w:val="auto"/>
              </w:rPr>
            </w:pPr>
          </w:p>
        </w:tc>
        <w:tc>
          <w:tcPr>
            <w:tcW w:w="380" w:type="dxa"/>
            <w:vAlign w:val="bottom"/>
            <w:shd w:val="clear" w:color="auto" w:fill="CCEEFF"/>
          </w:tcPr>
          <w:p>
            <w:pPr>
              <w:spacing w:after="0"/>
              <w:rPr>
                <w:sz w:val="22"/>
                <w:szCs w:val="22"/>
                <w:color w:val="auto"/>
              </w:rPr>
            </w:pPr>
          </w:p>
        </w:tc>
        <w:tc>
          <w:tcPr>
            <w:tcW w:w="122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42,610</w:t>
            </w:r>
          </w:p>
        </w:tc>
      </w:tr>
      <w:tr>
        <w:trPr>
          <w:trHeight w:val="243"/>
        </w:trPr>
        <w:tc>
          <w:tcPr>
            <w:tcW w:w="6380" w:type="dxa"/>
            <w:vAlign w:val="bottom"/>
          </w:tcPr>
          <w:p>
            <w:pPr>
              <w:ind w:left="40"/>
              <w:spacing w:after="0"/>
              <w:rPr>
                <w:sz w:val="20"/>
                <w:szCs w:val="20"/>
                <w:color w:val="auto"/>
              </w:rPr>
            </w:pPr>
            <w:r>
              <w:rPr>
                <w:rFonts w:ascii="Arial" w:cs="Arial" w:eastAsia="Arial" w:hAnsi="Arial"/>
                <w:sz w:val="18"/>
                <w:szCs w:val="18"/>
                <w:b w:val="1"/>
                <w:bCs w:val="1"/>
                <w:color w:val="auto"/>
              </w:rPr>
              <w:t>Operating expenses:</w:t>
            </w:r>
          </w:p>
        </w:tc>
        <w:tc>
          <w:tcPr>
            <w:tcW w:w="380" w:type="dxa"/>
            <w:vAlign w:val="bottom"/>
          </w:tcPr>
          <w:p>
            <w:pPr>
              <w:spacing w:after="0"/>
              <w:rPr>
                <w:sz w:val="21"/>
                <w:szCs w:val="21"/>
                <w:color w:val="auto"/>
              </w:rPr>
            </w:pPr>
          </w:p>
        </w:tc>
        <w:tc>
          <w:tcPr>
            <w:tcW w:w="12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2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220" w:type="dxa"/>
            <w:vAlign w:val="bottom"/>
          </w:tcPr>
          <w:p>
            <w:pPr>
              <w:spacing w:after="0"/>
              <w:rPr>
                <w:sz w:val="21"/>
                <w:szCs w:val="21"/>
                <w:color w:val="auto"/>
              </w:rPr>
            </w:pPr>
          </w:p>
        </w:tc>
      </w:tr>
      <w:tr>
        <w:trPr>
          <w:trHeight w:val="27"/>
        </w:trPr>
        <w:tc>
          <w:tcPr>
            <w:tcW w:w="638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20" w:type="dxa"/>
            <w:vAlign w:val="bottom"/>
          </w:tcPr>
          <w:p>
            <w:pPr>
              <w:spacing w:after="0"/>
              <w:rPr>
                <w:sz w:val="2"/>
                <w:szCs w:val="2"/>
                <w:color w:val="auto"/>
              </w:rPr>
            </w:pPr>
          </w:p>
        </w:tc>
      </w:tr>
      <w:tr>
        <w:trPr>
          <w:trHeight w:val="270"/>
        </w:trPr>
        <w:tc>
          <w:tcPr>
            <w:tcW w:w="6380" w:type="dxa"/>
            <w:vAlign w:val="bottom"/>
            <w:shd w:val="clear" w:color="auto" w:fill="CCEEFF"/>
          </w:tcPr>
          <w:p>
            <w:pPr>
              <w:ind w:left="380"/>
              <w:spacing w:after="0"/>
              <w:rPr>
                <w:sz w:val="20"/>
                <w:szCs w:val="20"/>
                <w:color w:val="auto"/>
              </w:rPr>
            </w:pPr>
            <w:r>
              <w:rPr>
                <w:rFonts w:ascii="Arial" w:cs="Arial" w:eastAsia="Arial" w:hAnsi="Arial"/>
                <w:sz w:val="18"/>
                <w:szCs w:val="18"/>
                <w:color w:val="auto"/>
              </w:rPr>
              <w:t>Aircraft fuel and related taxes</w:t>
            </w:r>
          </w:p>
        </w:tc>
        <w:tc>
          <w:tcPr>
            <w:tcW w:w="380" w:type="dxa"/>
            <w:vAlign w:val="bottom"/>
            <w:shd w:val="clear" w:color="auto" w:fill="CCEEFF"/>
          </w:tcPr>
          <w:p>
            <w:pPr>
              <w:spacing w:after="0"/>
              <w:rPr>
                <w:sz w:val="23"/>
                <w:szCs w:val="23"/>
                <w:color w:val="auto"/>
              </w:rPr>
            </w:pPr>
          </w:p>
        </w:tc>
        <w:tc>
          <w:tcPr>
            <w:tcW w:w="122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7,526</w:t>
            </w:r>
          </w:p>
        </w:tc>
        <w:tc>
          <w:tcPr>
            <w:tcW w:w="120" w:type="dxa"/>
            <w:vAlign w:val="bottom"/>
            <w:shd w:val="clear" w:color="auto" w:fill="CCEEFF"/>
          </w:tcPr>
          <w:p>
            <w:pPr>
              <w:spacing w:after="0"/>
              <w:rPr>
                <w:sz w:val="23"/>
                <w:szCs w:val="23"/>
                <w:color w:val="auto"/>
              </w:rPr>
            </w:pPr>
          </w:p>
        </w:tc>
        <w:tc>
          <w:tcPr>
            <w:tcW w:w="380" w:type="dxa"/>
            <w:vAlign w:val="bottom"/>
            <w:shd w:val="clear" w:color="auto" w:fill="CCEEFF"/>
          </w:tcPr>
          <w:p>
            <w:pPr>
              <w:spacing w:after="0"/>
              <w:rPr>
                <w:sz w:val="23"/>
                <w:szCs w:val="23"/>
                <w:color w:val="auto"/>
              </w:rPr>
            </w:pPr>
          </w:p>
        </w:tc>
        <w:tc>
          <w:tcPr>
            <w:tcW w:w="122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8,053</w:t>
            </w:r>
          </w:p>
        </w:tc>
        <w:tc>
          <w:tcPr>
            <w:tcW w:w="120" w:type="dxa"/>
            <w:vAlign w:val="bottom"/>
            <w:shd w:val="clear" w:color="auto" w:fill="CCEEFF"/>
          </w:tcPr>
          <w:p>
            <w:pPr>
              <w:spacing w:after="0"/>
              <w:rPr>
                <w:sz w:val="23"/>
                <w:szCs w:val="23"/>
                <w:color w:val="auto"/>
              </w:rPr>
            </w:pPr>
          </w:p>
        </w:tc>
        <w:tc>
          <w:tcPr>
            <w:tcW w:w="380" w:type="dxa"/>
            <w:vAlign w:val="bottom"/>
            <w:shd w:val="clear" w:color="auto" w:fill="CCEEFF"/>
          </w:tcPr>
          <w:p>
            <w:pPr>
              <w:spacing w:after="0"/>
              <w:rPr>
                <w:sz w:val="23"/>
                <w:szCs w:val="23"/>
                <w:color w:val="auto"/>
              </w:rPr>
            </w:pPr>
          </w:p>
        </w:tc>
        <w:tc>
          <w:tcPr>
            <w:tcW w:w="122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6,128</w:t>
            </w:r>
          </w:p>
        </w:tc>
      </w:tr>
      <w:tr>
        <w:trPr>
          <w:trHeight w:val="263"/>
        </w:trPr>
        <w:tc>
          <w:tcPr>
            <w:tcW w:w="6380" w:type="dxa"/>
            <w:vAlign w:val="bottom"/>
          </w:tcPr>
          <w:p>
            <w:pPr>
              <w:ind w:left="380"/>
              <w:spacing w:after="0"/>
              <w:rPr>
                <w:sz w:val="20"/>
                <w:szCs w:val="20"/>
                <w:color w:val="auto"/>
              </w:rPr>
            </w:pPr>
            <w:r>
              <w:rPr>
                <w:rFonts w:ascii="Arial" w:cs="Arial" w:eastAsia="Arial" w:hAnsi="Arial"/>
                <w:sz w:val="18"/>
                <w:szCs w:val="18"/>
                <w:color w:val="auto"/>
              </w:rPr>
              <w:t>Salaries, wages and benefits</w:t>
            </w:r>
          </w:p>
        </w:tc>
        <w:tc>
          <w:tcPr>
            <w:tcW w:w="380" w:type="dxa"/>
            <w:vAlign w:val="bottom"/>
          </w:tcPr>
          <w:p>
            <w:pPr>
              <w:spacing w:after="0"/>
              <w:rPr>
                <w:sz w:val="22"/>
                <w:szCs w:val="22"/>
                <w:color w:val="auto"/>
              </w:rPr>
            </w:pPr>
          </w:p>
        </w:tc>
        <w:tc>
          <w:tcPr>
            <w:tcW w:w="1220" w:type="dxa"/>
            <w:vAlign w:val="bottom"/>
          </w:tcPr>
          <w:p>
            <w:pPr>
              <w:jc w:val="right"/>
              <w:ind w:right="11"/>
              <w:spacing w:after="0"/>
              <w:rPr>
                <w:sz w:val="20"/>
                <w:szCs w:val="20"/>
                <w:color w:val="auto"/>
              </w:rPr>
            </w:pPr>
            <w:r>
              <w:rPr>
                <w:rFonts w:ascii="Arial" w:cs="Arial" w:eastAsia="Arial" w:hAnsi="Arial"/>
                <w:sz w:val="18"/>
                <w:szCs w:val="18"/>
                <w:color w:val="auto"/>
              </w:rPr>
              <w:t>12,600</w:t>
            </w:r>
          </w:p>
        </w:tc>
        <w:tc>
          <w:tcPr>
            <w:tcW w:w="120" w:type="dxa"/>
            <w:vAlign w:val="bottom"/>
          </w:tcPr>
          <w:p>
            <w:pPr>
              <w:spacing w:after="0"/>
              <w:rPr>
                <w:sz w:val="22"/>
                <w:szCs w:val="22"/>
                <w:color w:val="auto"/>
              </w:rPr>
            </w:pPr>
          </w:p>
        </w:tc>
        <w:tc>
          <w:tcPr>
            <w:tcW w:w="380" w:type="dxa"/>
            <w:vAlign w:val="bottom"/>
          </w:tcPr>
          <w:p>
            <w:pPr>
              <w:spacing w:after="0"/>
              <w:rPr>
                <w:sz w:val="22"/>
                <w:szCs w:val="22"/>
                <w:color w:val="auto"/>
              </w:rPr>
            </w:pPr>
          </w:p>
        </w:tc>
        <w:tc>
          <w:tcPr>
            <w:tcW w:w="1220" w:type="dxa"/>
            <w:vAlign w:val="bottom"/>
          </w:tcPr>
          <w:p>
            <w:pPr>
              <w:jc w:val="right"/>
              <w:ind w:right="11"/>
              <w:spacing w:after="0"/>
              <w:rPr>
                <w:sz w:val="20"/>
                <w:szCs w:val="20"/>
                <w:color w:val="auto"/>
              </w:rPr>
            </w:pPr>
            <w:r>
              <w:rPr>
                <w:rFonts w:ascii="Arial" w:cs="Arial" w:eastAsia="Arial" w:hAnsi="Arial"/>
                <w:sz w:val="18"/>
                <w:szCs w:val="18"/>
                <w:color w:val="auto"/>
              </w:rPr>
              <w:t>12,240</w:t>
            </w:r>
          </w:p>
        </w:tc>
        <w:tc>
          <w:tcPr>
            <w:tcW w:w="120" w:type="dxa"/>
            <w:vAlign w:val="bottom"/>
          </w:tcPr>
          <w:p>
            <w:pPr>
              <w:spacing w:after="0"/>
              <w:rPr>
                <w:sz w:val="22"/>
                <w:szCs w:val="22"/>
                <w:color w:val="auto"/>
              </w:rPr>
            </w:pPr>
          </w:p>
        </w:tc>
        <w:tc>
          <w:tcPr>
            <w:tcW w:w="380" w:type="dxa"/>
            <w:vAlign w:val="bottom"/>
          </w:tcPr>
          <w:p>
            <w:pPr>
              <w:spacing w:after="0"/>
              <w:rPr>
                <w:sz w:val="22"/>
                <w:szCs w:val="22"/>
                <w:color w:val="auto"/>
              </w:rPr>
            </w:pPr>
          </w:p>
        </w:tc>
        <w:tc>
          <w:tcPr>
            <w:tcW w:w="1220" w:type="dxa"/>
            <w:vAlign w:val="bottom"/>
          </w:tcPr>
          <w:p>
            <w:pPr>
              <w:jc w:val="right"/>
              <w:ind w:right="11"/>
              <w:spacing w:after="0"/>
              <w:rPr>
                <w:sz w:val="20"/>
                <w:szCs w:val="20"/>
                <w:color w:val="auto"/>
              </w:rPr>
            </w:pPr>
            <w:r>
              <w:rPr>
                <w:rFonts w:ascii="Arial" w:cs="Arial" w:eastAsia="Arial" w:hAnsi="Arial"/>
                <w:sz w:val="18"/>
                <w:szCs w:val="18"/>
                <w:color w:val="auto"/>
              </w:rPr>
              <w:t>11,942</w:t>
            </w:r>
          </w:p>
        </w:tc>
      </w:tr>
      <w:tr>
        <w:trPr>
          <w:trHeight w:val="277"/>
        </w:trPr>
        <w:tc>
          <w:tcPr>
            <w:tcW w:w="6380" w:type="dxa"/>
            <w:vAlign w:val="bottom"/>
            <w:shd w:val="clear" w:color="auto" w:fill="CCEEFF"/>
          </w:tcPr>
          <w:p>
            <w:pPr>
              <w:ind w:left="380"/>
              <w:spacing w:after="0"/>
              <w:rPr>
                <w:sz w:val="20"/>
                <w:szCs w:val="20"/>
                <w:color w:val="auto"/>
              </w:rPr>
            </w:pPr>
            <w:r>
              <w:rPr>
                <w:rFonts w:ascii="Arial" w:cs="Arial" w:eastAsia="Arial" w:hAnsi="Arial"/>
                <w:sz w:val="18"/>
                <w:szCs w:val="18"/>
                <w:color w:val="auto"/>
              </w:rPr>
              <w:t>Regional expenses</w:t>
            </w:r>
          </w:p>
        </w:tc>
        <w:tc>
          <w:tcPr>
            <w:tcW w:w="380" w:type="dxa"/>
            <w:vAlign w:val="bottom"/>
            <w:shd w:val="clear" w:color="auto" w:fill="CCEEFF"/>
          </w:tcPr>
          <w:p>
            <w:pPr>
              <w:spacing w:after="0"/>
              <w:rPr>
                <w:sz w:val="24"/>
                <w:szCs w:val="24"/>
                <w:color w:val="auto"/>
              </w:rPr>
            </w:pPr>
          </w:p>
        </w:tc>
        <w:tc>
          <w:tcPr>
            <w:tcW w:w="122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7,518</w:t>
            </w:r>
          </w:p>
        </w:tc>
        <w:tc>
          <w:tcPr>
            <w:tcW w:w="120" w:type="dxa"/>
            <w:vAlign w:val="bottom"/>
            <w:shd w:val="clear" w:color="auto" w:fill="CCEEFF"/>
          </w:tcPr>
          <w:p>
            <w:pPr>
              <w:spacing w:after="0"/>
              <w:rPr>
                <w:sz w:val="24"/>
                <w:szCs w:val="24"/>
                <w:color w:val="auto"/>
              </w:rPr>
            </w:pPr>
          </w:p>
        </w:tc>
        <w:tc>
          <w:tcPr>
            <w:tcW w:w="380" w:type="dxa"/>
            <w:vAlign w:val="bottom"/>
            <w:shd w:val="clear" w:color="auto" w:fill="CCEEFF"/>
          </w:tcPr>
          <w:p>
            <w:pPr>
              <w:spacing w:after="0"/>
              <w:rPr>
                <w:sz w:val="24"/>
                <w:szCs w:val="24"/>
                <w:color w:val="auto"/>
              </w:rPr>
            </w:pPr>
          </w:p>
        </w:tc>
        <w:tc>
          <w:tcPr>
            <w:tcW w:w="122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7,064</w:t>
            </w:r>
          </w:p>
        </w:tc>
        <w:tc>
          <w:tcPr>
            <w:tcW w:w="120" w:type="dxa"/>
            <w:vAlign w:val="bottom"/>
            <w:shd w:val="clear" w:color="auto" w:fill="CCEEFF"/>
          </w:tcPr>
          <w:p>
            <w:pPr>
              <w:spacing w:after="0"/>
              <w:rPr>
                <w:sz w:val="24"/>
                <w:szCs w:val="24"/>
                <w:color w:val="auto"/>
              </w:rPr>
            </w:pPr>
          </w:p>
        </w:tc>
        <w:tc>
          <w:tcPr>
            <w:tcW w:w="380" w:type="dxa"/>
            <w:vAlign w:val="bottom"/>
            <w:shd w:val="clear" w:color="auto" w:fill="CCEEFF"/>
          </w:tcPr>
          <w:p>
            <w:pPr>
              <w:spacing w:after="0"/>
              <w:rPr>
                <w:sz w:val="24"/>
                <w:szCs w:val="24"/>
                <w:color w:val="auto"/>
              </w:rPr>
            </w:pPr>
          </w:p>
        </w:tc>
        <w:tc>
          <w:tcPr>
            <w:tcW w:w="122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6,572</w:t>
            </w:r>
          </w:p>
        </w:tc>
      </w:tr>
      <w:tr>
        <w:trPr>
          <w:trHeight w:val="263"/>
        </w:trPr>
        <w:tc>
          <w:tcPr>
            <w:tcW w:w="6380" w:type="dxa"/>
            <w:vAlign w:val="bottom"/>
          </w:tcPr>
          <w:p>
            <w:pPr>
              <w:ind w:left="380"/>
              <w:spacing w:after="0"/>
              <w:rPr>
                <w:sz w:val="20"/>
                <w:szCs w:val="20"/>
                <w:color w:val="auto"/>
              </w:rPr>
            </w:pPr>
            <w:r>
              <w:rPr>
                <w:rFonts w:ascii="Arial" w:cs="Arial" w:eastAsia="Arial" w:hAnsi="Arial"/>
                <w:sz w:val="18"/>
                <w:szCs w:val="18"/>
                <w:color w:val="auto"/>
              </w:rPr>
              <w:t>Maintenance, materials and repairs</w:t>
            </w:r>
          </w:p>
        </w:tc>
        <w:tc>
          <w:tcPr>
            <w:tcW w:w="380" w:type="dxa"/>
            <w:vAlign w:val="bottom"/>
          </w:tcPr>
          <w:p>
            <w:pPr>
              <w:spacing w:after="0"/>
              <w:rPr>
                <w:sz w:val="22"/>
                <w:szCs w:val="22"/>
                <w:color w:val="auto"/>
              </w:rPr>
            </w:pPr>
          </w:p>
        </w:tc>
        <w:tc>
          <w:tcPr>
            <w:tcW w:w="1220" w:type="dxa"/>
            <w:vAlign w:val="bottom"/>
          </w:tcPr>
          <w:p>
            <w:pPr>
              <w:jc w:val="right"/>
              <w:ind w:right="11"/>
              <w:spacing w:after="0"/>
              <w:rPr>
                <w:sz w:val="20"/>
                <w:szCs w:val="20"/>
                <w:color w:val="auto"/>
              </w:rPr>
            </w:pPr>
            <w:r>
              <w:rPr>
                <w:rFonts w:ascii="Arial" w:cs="Arial" w:eastAsia="Arial" w:hAnsi="Arial"/>
                <w:sz w:val="18"/>
                <w:szCs w:val="18"/>
                <w:color w:val="auto"/>
              </w:rPr>
              <w:t>2,380</w:t>
            </w:r>
          </w:p>
        </w:tc>
        <w:tc>
          <w:tcPr>
            <w:tcW w:w="120" w:type="dxa"/>
            <w:vAlign w:val="bottom"/>
          </w:tcPr>
          <w:p>
            <w:pPr>
              <w:spacing w:after="0"/>
              <w:rPr>
                <w:sz w:val="22"/>
                <w:szCs w:val="22"/>
                <w:color w:val="auto"/>
              </w:rPr>
            </w:pPr>
          </w:p>
        </w:tc>
        <w:tc>
          <w:tcPr>
            <w:tcW w:w="380" w:type="dxa"/>
            <w:vAlign w:val="bottom"/>
          </w:tcPr>
          <w:p>
            <w:pPr>
              <w:spacing w:after="0"/>
              <w:rPr>
                <w:sz w:val="22"/>
                <w:szCs w:val="22"/>
                <w:color w:val="auto"/>
              </w:rPr>
            </w:pPr>
          </w:p>
        </w:tc>
        <w:tc>
          <w:tcPr>
            <w:tcW w:w="1220" w:type="dxa"/>
            <w:vAlign w:val="bottom"/>
          </w:tcPr>
          <w:p>
            <w:pPr>
              <w:jc w:val="right"/>
              <w:ind w:right="11"/>
              <w:spacing w:after="0"/>
              <w:rPr>
                <w:sz w:val="20"/>
                <w:szCs w:val="20"/>
                <w:color w:val="auto"/>
              </w:rPr>
            </w:pPr>
            <w:r>
              <w:rPr>
                <w:rFonts w:ascii="Arial" w:cs="Arial" w:eastAsia="Arial" w:hAnsi="Arial"/>
                <w:sz w:val="18"/>
                <w:szCs w:val="18"/>
                <w:color w:val="auto"/>
              </w:rPr>
              <w:t>2,050</w:t>
            </w:r>
          </w:p>
        </w:tc>
        <w:tc>
          <w:tcPr>
            <w:tcW w:w="120" w:type="dxa"/>
            <w:vAlign w:val="bottom"/>
          </w:tcPr>
          <w:p>
            <w:pPr>
              <w:spacing w:after="0"/>
              <w:rPr>
                <w:sz w:val="22"/>
                <w:szCs w:val="22"/>
                <w:color w:val="auto"/>
              </w:rPr>
            </w:pPr>
          </w:p>
        </w:tc>
        <w:tc>
          <w:tcPr>
            <w:tcW w:w="380" w:type="dxa"/>
            <w:vAlign w:val="bottom"/>
          </w:tcPr>
          <w:p>
            <w:pPr>
              <w:spacing w:after="0"/>
              <w:rPr>
                <w:sz w:val="22"/>
                <w:szCs w:val="22"/>
                <w:color w:val="auto"/>
              </w:rPr>
            </w:pPr>
          </w:p>
        </w:tc>
        <w:tc>
          <w:tcPr>
            <w:tcW w:w="1220" w:type="dxa"/>
            <w:vAlign w:val="bottom"/>
          </w:tcPr>
          <w:p>
            <w:pPr>
              <w:jc w:val="right"/>
              <w:ind w:right="11"/>
              <w:spacing w:after="0"/>
              <w:rPr>
                <w:sz w:val="20"/>
                <w:szCs w:val="20"/>
                <w:color w:val="auto"/>
              </w:rPr>
            </w:pPr>
            <w:r>
              <w:rPr>
                <w:rFonts w:ascii="Arial" w:cs="Arial" w:eastAsia="Arial" w:hAnsi="Arial"/>
                <w:sz w:val="18"/>
                <w:szCs w:val="18"/>
                <w:color w:val="auto"/>
              </w:rPr>
              <w:t>1,959</w:t>
            </w:r>
          </w:p>
        </w:tc>
      </w:tr>
      <w:tr>
        <w:trPr>
          <w:trHeight w:val="277"/>
        </w:trPr>
        <w:tc>
          <w:tcPr>
            <w:tcW w:w="6380" w:type="dxa"/>
            <w:vAlign w:val="bottom"/>
            <w:shd w:val="clear" w:color="auto" w:fill="CCEEFF"/>
          </w:tcPr>
          <w:p>
            <w:pPr>
              <w:ind w:left="380"/>
              <w:spacing w:after="0"/>
              <w:rPr>
                <w:sz w:val="20"/>
                <w:szCs w:val="20"/>
                <w:color w:val="auto"/>
              </w:rPr>
            </w:pPr>
            <w:r>
              <w:rPr>
                <w:rFonts w:ascii="Arial" w:cs="Arial" w:eastAsia="Arial" w:hAnsi="Arial"/>
                <w:sz w:val="18"/>
                <w:szCs w:val="18"/>
                <w:color w:val="auto"/>
              </w:rPr>
              <w:t>Other rent and landing fees</w:t>
            </w:r>
          </w:p>
        </w:tc>
        <w:tc>
          <w:tcPr>
            <w:tcW w:w="380" w:type="dxa"/>
            <w:vAlign w:val="bottom"/>
            <w:shd w:val="clear" w:color="auto" w:fill="CCEEFF"/>
          </w:tcPr>
          <w:p>
            <w:pPr>
              <w:spacing w:after="0"/>
              <w:rPr>
                <w:sz w:val="24"/>
                <w:szCs w:val="24"/>
                <w:color w:val="auto"/>
              </w:rPr>
            </w:pPr>
          </w:p>
        </w:tc>
        <w:tc>
          <w:tcPr>
            <w:tcW w:w="122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2,055</w:t>
            </w:r>
          </w:p>
        </w:tc>
        <w:tc>
          <w:tcPr>
            <w:tcW w:w="120" w:type="dxa"/>
            <w:vAlign w:val="bottom"/>
            <w:shd w:val="clear" w:color="auto" w:fill="CCEEFF"/>
          </w:tcPr>
          <w:p>
            <w:pPr>
              <w:spacing w:after="0"/>
              <w:rPr>
                <w:sz w:val="24"/>
                <w:szCs w:val="24"/>
                <w:color w:val="auto"/>
              </w:rPr>
            </w:pPr>
          </w:p>
        </w:tc>
        <w:tc>
          <w:tcPr>
            <w:tcW w:w="380" w:type="dxa"/>
            <w:vAlign w:val="bottom"/>
            <w:shd w:val="clear" w:color="auto" w:fill="CCEEFF"/>
          </w:tcPr>
          <w:p>
            <w:pPr>
              <w:spacing w:after="0"/>
              <w:rPr>
                <w:sz w:val="24"/>
                <w:szCs w:val="24"/>
                <w:color w:val="auto"/>
              </w:rPr>
            </w:pPr>
          </w:p>
        </w:tc>
        <w:tc>
          <w:tcPr>
            <w:tcW w:w="122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1,900</w:t>
            </w:r>
          </w:p>
        </w:tc>
        <w:tc>
          <w:tcPr>
            <w:tcW w:w="120" w:type="dxa"/>
            <w:vAlign w:val="bottom"/>
            <w:shd w:val="clear" w:color="auto" w:fill="CCEEFF"/>
          </w:tcPr>
          <w:p>
            <w:pPr>
              <w:spacing w:after="0"/>
              <w:rPr>
                <w:sz w:val="24"/>
                <w:szCs w:val="24"/>
                <w:color w:val="auto"/>
              </w:rPr>
            </w:pPr>
          </w:p>
        </w:tc>
        <w:tc>
          <w:tcPr>
            <w:tcW w:w="380" w:type="dxa"/>
            <w:vAlign w:val="bottom"/>
            <w:shd w:val="clear" w:color="auto" w:fill="CCEEFF"/>
          </w:tcPr>
          <w:p>
            <w:pPr>
              <w:spacing w:after="0"/>
              <w:rPr>
                <w:sz w:val="24"/>
                <w:szCs w:val="24"/>
                <w:color w:val="auto"/>
              </w:rPr>
            </w:pPr>
          </w:p>
        </w:tc>
        <w:tc>
          <w:tcPr>
            <w:tcW w:w="122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1,806</w:t>
            </w:r>
          </w:p>
        </w:tc>
      </w:tr>
      <w:tr>
        <w:trPr>
          <w:trHeight w:val="263"/>
        </w:trPr>
        <w:tc>
          <w:tcPr>
            <w:tcW w:w="6380" w:type="dxa"/>
            <w:vAlign w:val="bottom"/>
          </w:tcPr>
          <w:p>
            <w:pPr>
              <w:ind w:left="380"/>
              <w:spacing w:after="0"/>
              <w:rPr>
                <w:sz w:val="20"/>
                <w:szCs w:val="20"/>
                <w:color w:val="auto"/>
              </w:rPr>
            </w:pPr>
            <w:r>
              <w:rPr>
                <w:rFonts w:ascii="Arial" w:cs="Arial" w:eastAsia="Arial" w:hAnsi="Arial"/>
                <w:sz w:val="18"/>
                <w:szCs w:val="18"/>
                <w:color w:val="auto"/>
              </w:rPr>
              <w:t>Aircraft rent</w:t>
            </w:r>
          </w:p>
        </w:tc>
        <w:tc>
          <w:tcPr>
            <w:tcW w:w="380" w:type="dxa"/>
            <w:vAlign w:val="bottom"/>
          </w:tcPr>
          <w:p>
            <w:pPr>
              <w:spacing w:after="0"/>
              <w:rPr>
                <w:sz w:val="22"/>
                <w:szCs w:val="22"/>
                <w:color w:val="auto"/>
              </w:rPr>
            </w:pPr>
          </w:p>
        </w:tc>
        <w:tc>
          <w:tcPr>
            <w:tcW w:w="1220" w:type="dxa"/>
            <w:vAlign w:val="bottom"/>
          </w:tcPr>
          <w:p>
            <w:pPr>
              <w:jc w:val="right"/>
              <w:ind w:right="11"/>
              <w:spacing w:after="0"/>
              <w:rPr>
                <w:sz w:val="20"/>
                <w:szCs w:val="20"/>
                <w:color w:val="auto"/>
              </w:rPr>
            </w:pPr>
            <w:r>
              <w:rPr>
                <w:rFonts w:ascii="Arial" w:cs="Arial" w:eastAsia="Arial" w:hAnsi="Arial"/>
                <w:sz w:val="18"/>
                <w:szCs w:val="18"/>
                <w:color w:val="auto"/>
              </w:rPr>
              <w:t>1,326</w:t>
            </w:r>
          </w:p>
        </w:tc>
        <w:tc>
          <w:tcPr>
            <w:tcW w:w="120" w:type="dxa"/>
            <w:vAlign w:val="bottom"/>
          </w:tcPr>
          <w:p>
            <w:pPr>
              <w:spacing w:after="0"/>
              <w:rPr>
                <w:sz w:val="22"/>
                <w:szCs w:val="22"/>
                <w:color w:val="auto"/>
              </w:rPr>
            </w:pPr>
          </w:p>
        </w:tc>
        <w:tc>
          <w:tcPr>
            <w:tcW w:w="380" w:type="dxa"/>
            <w:vAlign w:val="bottom"/>
          </w:tcPr>
          <w:p>
            <w:pPr>
              <w:spacing w:after="0"/>
              <w:rPr>
                <w:sz w:val="22"/>
                <w:szCs w:val="22"/>
                <w:color w:val="auto"/>
              </w:rPr>
            </w:pPr>
          </w:p>
        </w:tc>
        <w:tc>
          <w:tcPr>
            <w:tcW w:w="1220" w:type="dxa"/>
            <w:vAlign w:val="bottom"/>
          </w:tcPr>
          <w:p>
            <w:pPr>
              <w:jc w:val="right"/>
              <w:ind w:right="11"/>
              <w:spacing w:after="0"/>
              <w:rPr>
                <w:sz w:val="20"/>
                <w:szCs w:val="20"/>
                <w:color w:val="auto"/>
              </w:rPr>
            </w:pPr>
            <w:r>
              <w:rPr>
                <w:rFonts w:ascii="Arial" w:cs="Arial" w:eastAsia="Arial" w:hAnsi="Arial"/>
                <w:sz w:val="18"/>
                <w:szCs w:val="18"/>
                <w:color w:val="auto"/>
              </w:rPr>
              <w:t>1,264</w:t>
            </w:r>
          </w:p>
        </w:tc>
        <w:tc>
          <w:tcPr>
            <w:tcW w:w="120" w:type="dxa"/>
            <w:vAlign w:val="bottom"/>
          </w:tcPr>
          <w:p>
            <w:pPr>
              <w:spacing w:after="0"/>
              <w:rPr>
                <w:sz w:val="22"/>
                <w:szCs w:val="22"/>
                <w:color w:val="auto"/>
              </w:rPr>
            </w:pPr>
          </w:p>
        </w:tc>
        <w:tc>
          <w:tcPr>
            <w:tcW w:w="380" w:type="dxa"/>
            <w:vAlign w:val="bottom"/>
          </w:tcPr>
          <w:p>
            <w:pPr>
              <w:spacing w:after="0"/>
              <w:rPr>
                <w:sz w:val="22"/>
                <w:szCs w:val="22"/>
                <w:color w:val="auto"/>
              </w:rPr>
            </w:pPr>
          </w:p>
        </w:tc>
        <w:tc>
          <w:tcPr>
            <w:tcW w:w="1220" w:type="dxa"/>
            <w:vAlign w:val="bottom"/>
          </w:tcPr>
          <w:p>
            <w:pPr>
              <w:jc w:val="right"/>
              <w:ind w:right="11"/>
              <w:spacing w:after="0"/>
              <w:rPr>
                <w:sz w:val="20"/>
                <w:szCs w:val="20"/>
                <w:color w:val="auto"/>
              </w:rPr>
            </w:pPr>
            <w:r>
              <w:rPr>
                <w:rFonts w:ascii="Arial" w:cs="Arial" w:eastAsia="Arial" w:hAnsi="Arial"/>
                <w:sz w:val="18"/>
                <w:szCs w:val="18"/>
                <w:color w:val="auto"/>
              </w:rPr>
              <w:t>1,197</w:t>
            </w:r>
          </w:p>
        </w:tc>
      </w:tr>
      <w:tr>
        <w:trPr>
          <w:trHeight w:val="277"/>
        </w:trPr>
        <w:tc>
          <w:tcPr>
            <w:tcW w:w="6380" w:type="dxa"/>
            <w:vAlign w:val="bottom"/>
            <w:shd w:val="clear" w:color="auto" w:fill="CCEEFF"/>
          </w:tcPr>
          <w:p>
            <w:pPr>
              <w:ind w:left="380"/>
              <w:spacing w:after="0"/>
              <w:rPr>
                <w:sz w:val="20"/>
                <w:szCs w:val="20"/>
                <w:color w:val="auto"/>
              </w:rPr>
            </w:pPr>
            <w:r>
              <w:rPr>
                <w:rFonts w:ascii="Arial" w:cs="Arial" w:eastAsia="Arial" w:hAnsi="Arial"/>
                <w:sz w:val="18"/>
                <w:szCs w:val="18"/>
                <w:color w:val="auto"/>
              </w:rPr>
              <w:t>Selling expenses</w:t>
            </w:r>
          </w:p>
        </w:tc>
        <w:tc>
          <w:tcPr>
            <w:tcW w:w="380" w:type="dxa"/>
            <w:vAlign w:val="bottom"/>
            <w:shd w:val="clear" w:color="auto" w:fill="CCEEFF"/>
          </w:tcPr>
          <w:p>
            <w:pPr>
              <w:spacing w:after="0"/>
              <w:rPr>
                <w:sz w:val="24"/>
                <w:szCs w:val="24"/>
                <w:color w:val="auto"/>
              </w:rPr>
            </w:pPr>
          </w:p>
        </w:tc>
        <w:tc>
          <w:tcPr>
            <w:tcW w:w="122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1,602</w:t>
            </w:r>
          </w:p>
        </w:tc>
        <w:tc>
          <w:tcPr>
            <w:tcW w:w="120" w:type="dxa"/>
            <w:vAlign w:val="bottom"/>
            <w:shd w:val="clear" w:color="auto" w:fill="CCEEFF"/>
          </w:tcPr>
          <w:p>
            <w:pPr>
              <w:spacing w:after="0"/>
              <w:rPr>
                <w:sz w:val="24"/>
                <w:szCs w:val="24"/>
                <w:color w:val="auto"/>
              </w:rPr>
            </w:pPr>
          </w:p>
        </w:tc>
        <w:tc>
          <w:tcPr>
            <w:tcW w:w="380" w:type="dxa"/>
            <w:vAlign w:val="bottom"/>
            <w:shd w:val="clear" w:color="auto" w:fill="CCEEFF"/>
          </w:tcPr>
          <w:p>
            <w:pPr>
              <w:spacing w:after="0"/>
              <w:rPr>
                <w:sz w:val="24"/>
                <w:szCs w:val="24"/>
                <w:color w:val="auto"/>
              </w:rPr>
            </w:pPr>
          </w:p>
        </w:tc>
        <w:tc>
          <w:tcPr>
            <w:tcW w:w="122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1,520</w:t>
            </w:r>
          </w:p>
        </w:tc>
        <w:tc>
          <w:tcPr>
            <w:tcW w:w="120" w:type="dxa"/>
            <w:vAlign w:val="bottom"/>
            <w:shd w:val="clear" w:color="auto" w:fill="CCEEFF"/>
          </w:tcPr>
          <w:p>
            <w:pPr>
              <w:spacing w:after="0"/>
              <w:rPr>
                <w:sz w:val="24"/>
                <w:szCs w:val="24"/>
                <w:color w:val="auto"/>
              </w:rPr>
            </w:pPr>
          </w:p>
        </w:tc>
        <w:tc>
          <w:tcPr>
            <w:tcW w:w="380" w:type="dxa"/>
            <w:vAlign w:val="bottom"/>
            <w:shd w:val="clear" w:color="auto" w:fill="CCEEFF"/>
          </w:tcPr>
          <w:p>
            <w:pPr>
              <w:spacing w:after="0"/>
              <w:rPr>
                <w:sz w:val="24"/>
                <w:szCs w:val="24"/>
                <w:color w:val="auto"/>
              </w:rPr>
            </w:pPr>
          </w:p>
        </w:tc>
        <w:tc>
          <w:tcPr>
            <w:tcW w:w="122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1,477</w:t>
            </w:r>
          </w:p>
        </w:tc>
      </w:tr>
      <w:tr>
        <w:trPr>
          <w:trHeight w:val="263"/>
        </w:trPr>
        <w:tc>
          <w:tcPr>
            <w:tcW w:w="6380" w:type="dxa"/>
            <w:vAlign w:val="bottom"/>
          </w:tcPr>
          <w:p>
            <w:pPr>
              <w:ind w:left="380"/>
              <w:spacing w:after="0"/>
              <w:rPr>
                <w:sz w:val="20"/>
                <w:szCs w:val="20"/>
                <w:color w:val="auto"/>
              </w:rPr>
            </w:pPr>
            <w:r>
              <w:rPr>
                <w:rFonts w:ascii="Arial" w:cs="Arial" w:eastAsia="Arial" w:hAnsi="Arial"/>
                <w:sz w:val="18"/>
                <w:szCs w:val="18"/>
                <w:color w:val="auto"/>
              </w:rPr>
              <w:t>Depreciation and amortization</w:t>
            </w:r>
          </w:p>
        </w:tc>
        <w:tc>
          <w:tcPr>
            <w:tcW w:w="380" w:type="dxa"/>
            <w:vAlign w:val="bottom"/>
          </w:tcPr>
          <w:p>
            <w:pPr>
              <w:spacing w:after="0"/>
              <w:rPr>
                <w:sz w:val="22"/>
                <w:szCs w:val="22"/>
                <w:color w:val="auto"/>
              </w:rPr>
            </w:pPr>
          </w:p>
        </w:tc>
        <w:tc>
          <w:tcPr>
            <w:tcW w:w="1220" w:type="dxa"/>
            <w:vAlign w:val="bottom"/>
          </w:tcPr>
          <w:p>
            <w:pPr>
              <w:jc w:val="right"/>
              <w:ind w:right="11"/>
              <w:spacing w:after="0"/>
              <w:rPr>
                <w:sz w:val="20"/>
                <w:szCs w:val="20"/>
                <w:color w:val="auto"/>
              </w:rPr>
            </w:pPr>
            <w:r>
              <w:rPr>
                <w:rFonts w:ascii="Arial" w:cs="Arial" w:eastAsia="Arial" w:hAnsi="Arial"/>
                <w:sz w:val="18"/>
                <w:szCs w:val="18"/>
                <w:color w:val="auto"/>
              </w:rPr>
              <w:t>1,982</w:t>
            </w:r>
          </w:p>
        </w:tc>
        <w:tc>
          <w:tcPr>
            <w:tcW w:w="120" w:type="dxa"/>
            <w:vAlign w:val="bottom"/>
          </w:tcPr>
          <w:p>
            <w:pPr>
              <w:spacing w:after="0"/>
              <w:rPr>
                <w:sz w:val="22"/>
                <w:szCs w:val="22"/>
                <w:color w:val="auto"/>
              </w:rPr>
            </w:pPr>
          </w:p>
        </w:tc>
        <w:tc>
          <w:tcPr>
            <w:tcW w:w="380" w:type="dxa"/>
            <w:vAlign w:val="bottom"/>
          </w:tcPr>
          <w:p>
            <w:pPr>
              <w:spacing w:after="0"/>
              <w:rPr>
                <w:sz w:val="22"/>
                <w:szCs w:val="22"/>
                <w:color w:val="auto"/>
              </w:rPr>
            </w:pPr>
          </w:p>
        </w:tc>
        <w:tc>
          <w:tcPr>
            <w:tcW w:w="1220" w:type="dxa"/>
            <w:vAlign w:val="bottom"/>
          </w:tcPr>
          <w:p>
            <w:pPr>
              <w:jc w:val="right"/>
              <w:ind w:right="11"/>
              <w:spacing w:after="0"/>
              <w:rPr>
                <w:sz w:val="20"/>
                <w:szCs w:val="20"/>
                <w:color w:val="auto"/>
              </w:rPr>
            </w:pPr>
            <w:r>
              <w:rPr>
                <w:rFonts w:ascii="Arial" w:cs="Arial" w:eastAsia="Arial" w:hAnsi="Arial"/>
                <w:sz w:val="18"/>
                <w:szCs w:val="18"/>
                <w:color w:val="auto"/>
              </w:rPr>
              <w:t>1,839</w:t>
            </w:r>
          </w:p>
        </w:tc>
        <w:tc>
          <w:tcPr>
            <w:tcW w:w="120" w:type="dxa"/>
            <w:vAlign w:val="bottom"/>
          </w:tcPr>
          <w:p>
            <w:pPr>
              <w:spacing w:after="0"/>
              <w:rPr>
                <w:sz w:val="22"/>
                <w:szCs w:val="22"/>
                <w:color w:val="auto"/>
              </w:rPr>
            </w:pPr>
          </w:p>
        </w:tc>
        <w:tc>
          <w:tcPr>
            <w:tcW w:w="380" w:type="dxa"/>
            <w:vAlign w:val="bottom"/>
          </w:tcPr>
          <w:p>
            <w:pPr>
              <w:spacing w:after="0"/>
              <w:rPr>
                <w:sz w:val="22"/>
                <w:szCs w:val="22"/>
                <w:color w:val="auto"/>
              </w:rPr>
            </w:pPr>
          </w:p>
        </w:tc>
        <w:tc>
          <w:tcPr>
            <w:tcW w:w="1220" w:type="dxa"/>
            <w:vAlign w:val="bottom"/>
          </w:tcPr>
          <w:p>
            <w:pPr>
              <w:jc w:val="right"/>
              <w:ind w:right="11"/>
              <w:spacing w:after="0"/>
              <w:rPr>
                <w:sz w:val="20"/>
                <w:szCs w:val="20"/>
                <w:color w:val="auto"/>
              </w:rPr>
            </w:pPr>
            <w:r>
              <w:rPr>
                <w:rFonts w:ascii="Arial" w:cs="Arial" w:eastAsia="Arial" w:hAnsi="Arial"/>
                <w:sz w:val="18"/>
                <w:szCs w:val="18"/>
                <w:color w:val="auto"/>
              </w:rPr>
              <w:t>1,702</w:t>
            </w:r>
          </w:p>
        </w:tc>
      </w:tr>
      <w:tr>
        <w:trPr>
          <w:trHeight w:val="277"/>
        </w:trPr>
        <w:tc>
          <w:tcPr>
            <w:tcW w:w="6380" w:type="dxa"/>
            <w:vAlign w:val="bottom"/>
            <w:shd w:val="clear" w:color="auto" w:fill="CCEEFF"/>
          </w:tcPr>
          <w:p>
            <w:pPr>
              <w:ind w:left="380"/>
              <w:spacing w:after="0"/>
              <w:rPr>
                <w:sz w:val="20"/>
                <w:szCs w:val="20"/>
                <w:color w:val="auto"/>
              </w:rPr>
            </w:pPr>
            <w:r>
              <w:rPr>
                <w:rFonts w:ascii="Arial" w:cs="Arial" w:eastAsia="Arial" w:hAnsi="Arial"/>
                <w:sz w:val="18"/>
                <w:szCs w:val="18"/>
                <w:color w:val="auto"/>
              </w:rPr>
              <w:t>Special items, net</w:t>
            </w:r>
          </w:p>
        </w:tc>
        <w:tc>
          <w:tcPr>
            <w:tcW w:w="380" w:type="dxa"/>
            <w:vAlign w:val="bottom"/>
            <w:shd w:val="clear" w:color="auto" w:fill="CCEEFF"/>
          </w:tcPr>
          <w:p>
            <w:pPr>
              <w:spacing w:after="0"/>
              <w:rPr>
                <w:sz w:val="24"/>
                <w:szCs w:val="24"/>
                <w:color w:val="auto"/>
              </w:rPr>
            </w:pPr>
          </w:p>
        </w:tc>
        <w:tc>
          <w:tcPr>
            <w:tcW w:w="122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635</w:t>
            </w:r>
          </w:p>
        </w:tc>
        <w:tc>
          <w:tcPr>
            <w:tcW w:w="120" w:type="dxa"/>
            <w:vAlign w:val="bottom"/>
            <w:shd w:val="clear" w:color="auto" w:fill="CCEEFF"/>
          </w:tcPr>
          <w:p>
            <w:pPr>
              <w:spacing w:after="0"/>
              <w:rPr>
                <w:sz w:val="24"/>
                <w:szCs w:val="24"/>
                <w:color w:val="auto"/>
              </w:rPr>
            </w:pPr>
          </w:p>
        </w:tc>
        <w:tc>
          <w:tcPr>
            <w:tcW w:w="380" w:type="dxa"/>
            <w:vAlign w:val="bottom"/>
            <w:shd w:val="clear" w:color="auto" w:fill="CCEEFF"/>
          </w:tcPr>
          <w:p>
            <w:pPr>
              <w:spacing w:after="0"/>
              <w:rPr>
                <w:sz w:val="24"/>
                <w:szCs w:val="24"/>
                <w:color w:val="auto"/>
              </w:rPr>
            </w:pPr>
          </w:p>
        </w:tc>
        <w:tc>
          <w:tcPr>
            <w:tcW w:w="122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787</w:t>
            </w:r>
          </w:p>
        </w:tc>
        <w:tc>
          <w:tcPr>
            <w:tcW w:w="120" w:type="dxa"/>
            <w:vAlign w:val="bottom"/>
            <w:shd w:val="clear" w:color="auto" w:fill="CCEEFF"/>
          </w:tcPr>
          <w:p>
            <w:pPr>
              <w:spacing w:after="0"/>
              <w:rPr>
                <w:sz w:val="24"/>
                <w:szCs w:val="24"/>
                <w:color w:val="auto"/>
              </w:rPr>
            </w:pPr>
          </w:p>
        </w:tc>
        <w:tc>
          <w:tcPr>
            <w:tcW w:w="380" w:type="dxa"/>
            <w:vAlign w:val="bottom"/>
            <w:shd w:val="clear" w:color="auto" w:fill="CCEEFF"/>
          </w:tcPr>
          <w:p>
            <w:pPr>
              <w:spacing w:after="0"/>
              <w:rPr>
                <w:sz w:val="24"/>
                <w:szCs w:val="24"/>
                <w:color w:val="auto"/>
              </w:rPr>
            </w:pPr>
          </w:p>
        </w:tc>
        <w:tc>
          <w:tcPr>
            <w:tcW w:w="122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712</w:t>
            </w:r>
          </w:p>
        </w:tc>
      </w:tr>
      <w:tr>
        <w:trPr>
          <w:trHeight w:val="264"/>
        </w:trPr>
        <w:tc>
          <w:tcPr>
            <w:tcW w:w="6380" w:type="dxa"/>
            <w:vAlign w:val="bottom"/>
            <w:tcBorders>
              <w:bottom w:val="single" w:sz="8" w:color="CCEEFF"/>
            </w:tcBorders>
          </w:tcPr>
          <w:p>
            <w:pPr>
              <w:ind w:left="380"/>
              <w:spacing w:after="0"/>
              <w:rPr>
                <w:sz w:val="20"/>
                <w:szCs w:val="20"/>
                <w:color w:val="auto"/>
              </w:rPr>
            </w:pPr>
            <w:r>
              <w:rPr>
                <w:rFonts w:ascii="Arial" w:cs="Arial" w:eastAsia="Arial" w:hAnsi="Arial"/>
                <w:sz w:val="18"/>
                <w:szCs w:val="18"/>
                <w:color w:val="auto"/>
              </w:rPr>
              <w:t>Other</w:t>
            </w:r>
          </w:p>
        </w:tc>
        <w:tc>
          <w:tcPr>
            <w:tcW w:w="380" w:type="dxa"/>
            <w:vAlign w:val="bottom"/>
            <w:tcBorders>
              <w:bottom w:val="single" w:sz="8" w:color="auto"/>
            </w:tcBorders>
          </w:tcPr>
          <w:p>
            <w:pPr>
              <w:spacing w:after="0"/>
              <w:rPr>
                <w:sz w:val="22"/>
                <w:szCs w:val="22"/>
                <w:color w:val="auto"/>
              </w:rPr>
            </w:pPr>
          </w:p>
        </w:tc>
        <w:tc>
          <w:tcPr>
            <w:tcW w:w="1220" w:type="dxa"/>
            <w:vAlign w:val="bottom"/>
            <w:tcBorders>
              <w:bottom w:val="single" w:sz="8" w:color="auto"/>
            </w:tcBorders>
          </w:tcPr>
          <w:p>
            <w:pPr>
              <w:jc w:val="right"/>
              <w:ind w:right="11"/>
              <w:spacing w:after="0"/>
              <w:rPr>
                <w:sz w:val="20"/>
                <w:szCs w:val="20"/>
                <w:color w:val="auto"/>
              </w:rPr>
            </w:pPr>
            <w:r>
              <w:rPr>
                <w:rFonts w:ascii="Arial" w:cs="Arial" w:eastAsia="Arial" w:hAnsi="Arial"/>
                <w:sz w:val="18"/>
                <w:szCs w:val="18"/>
                <w:color w:val="auto"/>
              </w:rPr>
              <w:t>5,090</w:t>
            </w:r>
          </w:p>
        </w:tc>
        <w:tc>
          <w:tcPr>
            <w:tcW w:w="120" w:type="dxa"/>
            <w:vAlign w:val="bottom"/>
            <w:tcBorders>
              <w:bottom w:val="single" w:sz="8" w:color="CCEEFF"/>
            </w:tcBorders>
          </w:tcPr>
          <w:p>
            <w:pPr>
              <w:spacing w:after="0"/>
              <w:rPr>
                <w:sz w:val="22"/>
                <w:szCs w:val="22"/>
                <w:color w:val="auto"/>
              </w:rPr>
            </w:pPr>
          </w:p>
        </w:tc>
        <w:tc>
          <w:tcPr>
            <w:tcW w:w="380" w:type="dxa"/>
            <w:vAlign w:val="bottom"/>
            <w:tcBorders>
              <w:bottom w:val="single" w:sz="8" w:color="auto"/>
            </w:tcBorders>
          </w:tcPr>
          <w:p>
            <w:pPr>
              <w:spacing w:after="0"/>
              <w:rPr>
                <w:sz w:val="22"/>
                <w:szCs w:val="22"/>
                <w:color w:val="auto"/>
              </w:rPr>
            </w:pPr>
          </w:p>
        </w:tc>
        <w:tc>
          <w:tcPr>
            <w:tcW w:w="1220" w:type="dxa"/>
            <w:vAlign w:val="bottom"/>
            <w:tcBorders>
              <w:bottom w:val="single" w:sz="8" w:color="auto"/>
            </w:tcBorders>
          </w:tcPr>
          <w:p>
            <w:pPr>
              <w:jc w:val="right"/>
              <w:ind w:right="11"/>
              <w:spacing w:after="0"/>
              <w:rPr>
                <w:sz w:val="20"/>
                <w:szCs w:val="20"/>
                <w:color w:val="auto"/>
              </w:rPr>
            </w:pPr>
            <w:r>
              <w:rPr>
                <w:rFonts w:ascii="Arial" w:cs="Arial" w:eastAsia="Arial" w:hAnsi="Arial"/>
                <w:sz w:val="18"/>
                <w:szCs w:val="18"/>
                <w:color w:val="auto"/>
              </w:rPr>
              <w:t>5,090</w:t>
            </w:r>
          </w:p>
        </w:tc>
        <w:tc>
          <w:tcPr>
            <w:tcW w:w="120" w:type="dxa"/>
            <w:vAlign w:val="bottom"/>
            <w:tcBorders>
              <w:bottom w:val="single" w:sz="8" w:color="CCEEFF"/>
            </w:tcBorders>
          </w:tcPr>
          <w:p>
            <w:pPr>
              <w:spacing w:after="0"/>
              <w:rPr>
                <w:sz w:val="22"/>
                <w:szCs w:val="22"/>
                <w:color w:val="auto"/>
              </w:rPr>
            </w:pPr>
          </w:p>
        </w:tc>
        <w:tc>
          <w:tcPr>
            <w:tcW w:w="380" w:type="dxa"/>
            <w:vAlign w:val="bottom"/>
            <w:tcBorders>
              <w:bottom w:val="single" w:sz="8" w:color="auto"/>
            </w:tcBorders>
          </w:tcPr>
          <w:p>
            <w:pPr>
              <w:spacing w:after="0"/>
              <w:rPr>
                <w:sz w:val="22"/>
                <w:szCs w:val="22"/>
                <w:color w:val="auto"/>
              </w:rPr>
            </w:pPr>
          </w:p>
        </w:tc>
        <w:tc>
          <w:tcPr>
            <w:tcW w:w="1220" w:type="dxa"/>
            <w:vAlign w:val="bottom"/>
            <w:tcBorders>
              <w:bottom w:val="single" w:sz="8" w:color="auto"/>
            </w:tcBorders>
          </w:tcPr>
          <w:p>
            <w:pPr>
              <w:jc w:val="right"/>
              <w:ind w:right="11"/>
              <w:spacing w:after="0"/>
              <w:rPr>
                <w:sz w:val="20"/>
                <w:szCs w:val="20"/>
                <w:color w:val="auto"/>
              </w:rPr>
            </w:pPr>
            <w:r>
              <w:rPr>
                <w:rFonts w:ascii="Arial" w:cs="Arial" w:eastAsia="Arial" w:hAnsi="Arial"/>
                <w:sz w:val="18"/>
                <w:szCs w:val="18"/>
                <w:color w:val="auto"/>
              </w:rPr>
              <w:t>4,910</w:t>
            </w:r>
          </w:p>
        </w:tc>
      </w:tr>
      <w:tr>
        <w:trPr>
          <w:trHeight w:val="257"/>
        </w:trPr>
        <w:tc>
          <w:tcPr>
            <w:tcW w:w="6380" w:type="dxa"/>
            <w:vAlign w:val="bottom"/>
            <w:shd w:val="clear" w:color="auto" w:fill="CCEEFF"/>
          </w:tcPr>
          <w:p>
            <w:pPr>
              <w:ind w:left="600"/>
              <w:spacing w:after="0"/>
              <w:rPr>
                <w:sz w:val="20"/>
                <w:szCs w:val="20"/>
                <w:color w:val="auto"/>
              </w:rPr>
            </w:pPr>
            <w:r>
              <w:rPr>
                <w:rFonts w:ascii="Arial" w:cs="Arial" w:eastAsia="Arial" w:hAnsi="Arial"/>
                <w:sz w:val="18"/>
                <w:szCs w:val="18"/>
                <w:color w:val="auto"/>
              </w:rPr>
              <w:t>Total operating expenses</w:t>
            </w:r>
          </w:p>
        </w:tc>
        <w:tc>
          <w:tcPr>
            <w:tcW w:w="380" w:type="dxa"/>
            <w:vAlign w:val="bottom"/>
            <w:tcBorders>
              <w:bottom w:val="single" w:sz="8" w:color="auto"/>
            </w:tcBorders>
            <w:shd w:val="clear" w:color="auto" w:fill="CCEEFF"/>
          </w:tcPr>
          <w:p>
            <w:pPr>
              <w:spacing w:after="0"/>
              <w:rPr>
                <w:sz w:val="22"/>
                <w:szCs w:val="22"/>
                <w:color w:val="auto"/>
              </w:rPr>
            </w:pPr>
          </w:p>
        </w:tc>
        <w:tc>
          <w:tcPr>
            <w:tcW w:w="1220" w:type="dxa"/>
            <w:vAlign w:val="bottom"/>
            <w:tcBorders>
              <w:bottom w:val="single" w:sz="8" w:color="auto"/>
            </w:tcBorders>
            <w:shd w:val="clear" w:color="auto" w:fill="CCEEFF"/>
          </w:tcPr>
          <w:p>
            <w:pPr>
              <w:jc w:val="right"/>
              <w:ind w:right="11"/>
              <w:spacing w:after="0"/>
              <w:rPr>
                <w:sz w:val="20"/>
                <w:szCs w:val="20"/>
                <w:color w:val="auto"/>
              </w:rPr>
            </w:pPr>
            <w:r>
              <w:rPr>
                <w:rFonts w:ascii="Arial" w:cs="Arial" w:eastAsia="Arial" w:hAnsi="Arial"/>
                <w:sz w:val="18"/>
                <w:szCs w:val="18"/>
                <w:color w:val="auto"/>
              </w:rPr>
              <w:t>42,714</w:t>
            </w:r>
          </w:p>
        </w:tc>
        <w:tc>
          <w:tcPr>
            <w:tcW w:w="120" w:type="dxa"/>
            <w:vAlign w:val="bottom"/>
            <w:shd w:val="clear" w:color="auto" w:fill="CCEEFF"/>
          </w:tcPr>
          <w:p>
            <w:pPr>
              <w:spacing w:after="0"/>
              <w:rPr>
                <w:sz w:val="22"/>
                <w:szCs w:val="22"/>
                <w:color w:val="auto"/>
              </w:rPr>
            </w:pPr>
          </w:p>
        </w:tc>
        <w:tc>
          <w:tcPr>
            <w:tcW w:w="380" w:type="dxa"/>
            <w:vAlign w:val="bottom"/>
            <w:tcBorders>
              <w:bottom w:val="single" w:sz="8" w:color="auto"/>
            </w:tcBorders>
            <w:shd w:val="clear" w:color="auto" w:fill="CCEEFF"/>
          </w:tcPr>
          <w:p>
            <w:pPr>
              <w:spacing w:after="0"/>
              <w:rPr>
                <w:sz w:val="22"/>
                <w:szCs w:val="22"/>
                <w:color w:val="auto"/>
              </w:rPr>
            </w:pPr>
          </w:p>
        </w:tc>
        <w:tc>
          <w:tcPr>
            <w:tcW w:w="1220" w:type="dxa"/>
            <w:vAlign w:val="bottom"/>
            <w:tcBorders>
              <w:bottom w:val="single" w:sz="8" w:color="auto"/>
            </w:tcBorders>
            <w:shd w:val="clear" w:color="auto" w:fill="CCEEFF"/>
          </w:tcPr>
          <w:p>
            <w:pPr>
              <w:jc w:val="right"/>
              <w:ind w:right="11"/>
              <w:spacing w:after="0"/>
              <w:rPr>
                <w:sz w:val="20"/>
                <w:szCs w:val="20"/>
                <w:color w:val="auto"/>
              </w:rPr>
            </w:pPr>
            <w:r>
              <w:rPr>
                <w:rFonts w:ascii="Arial" w:cs="Arial" w:eastAsia="Arial" w:hAnsi="Arial"/>
                <w:sz w:val="18"/>
                <w:szCs w:val="18"/>
                <w:color w:val="auto"/>
              </w:rPr>
              <w:t>41,807</w:t>
            </w:r>
          </w:p>
        </w:tc>
        <w:tc>
          <w:tcPr>
            <w:tcW w:w="120" w:type="dxa"/>
            <w:vAlign w:val="bottom"/>
            <w:shd w:val="clear" w:color="auto" w:fill="CCEEFF"/>
          </w:tcPr>
          <w:p>
            <w:pPr>
              <w:spacing w:after="0"/>
              <w:rPr>
                <w:sz w:val="22"/>
                <w:szCs w:val="22"/>
                <w:color w:val="auto"/>
              </w:rPr>
            </w:pPr>
          </w:p>
        </w:tc>
        <w:tc>
          <w:tcPr>
            <w:tcW w:w="380" w:type="dxa"/>
            <w:vAlign w:val="bottom"/>
            <w:tcBorders>
              <w:bottom w:val="single" w:sz="8" w:color="auto"/>
            </w:tcBorders>
            <w:shd w:val="clear" w:color="auto" w:fill="CCEEFF"/>
          </w:tcPr>
          <w:p>
            <w:pPr>
              <w:spacing w:after="0"/>
              <w:rPr>
                <w:sz w:val="22"/>
                <w:szCs w:val="22"/>
                <w:color w:val="auto"/>
              </w:rPr>
            </w:pPr>
          </w:p>
        </w:tc>
        <w:tc>
          <w:tcPr>
            <w:tcW w:w="1220" w:type="dxa"/>
            <w:vAlign w:val="bottom"/>
            <w:tcBorders>
              <w:bottom w:val="single" w:sz="8" w:color="auto"/>
            </w:tcBorders>
            <w:shd w:val="clear" w:color="auto" w:fill="CCEEFF"/>
          </w:tcPr>
          <w:p>
            <w:pPr>
              <w:jc w:val="right"/>
              <w:ind w:right="11"/>
              <w:spacing w:after="0"/>
              <w:rPr>
                <w:sz w:val="20"/>
                <w:szCs w:val="20"/>
                <w:color w:val="auto"/>
              </w:rPr>
            </w:pPr>
            <w:r>
              <w:rPr>
                <w:rFonts w:ascii="Arial" w:cs="Arial" w:eastAsia="Arial" w:hAnsi="Arial"/>
                <w:sz w:val="18"/>
                <w:szCs w:val="18"/>
                <w:color w:val="auto"/>
              </w:rPr>
              <w:t>38,405</w:t>
            </w:r>
          </w:p>
        </w:tc>
      </w:tr>
      <w:tr>
        <w:trPr>
          <w:trHeight w:val="243"/>
        </w:trPr>
        <w:tc>
          <w:tcPr>
            <w:tcW w:w="6380" w:type="dxa"/>
            <w:vAlign w:val="bottom"/>
          </w:tcPr>
          <w:p>
            <w:pPr>
              <w:ind w:left="40"/>
              <w:spacing w:after="0"/>
              <w:rPr>
                <w:sz w:val="20"/>
                <w:szCs w:val="20"/>
                <w:color w:val="auto"/>
              </w:rPr>
            </w:pPr>
            <w:r>
              <w:rPr>
                <w:rFonts w:ascii="Arial" w:cs="Arial" w:eastAsia="Arial" w:hAnsi="Arial"/>
                <w:sz w:val="18"/>
                <w:szCs w:val="18"/>
                <w:b w:val="1"/>
                <w:bCs w:val="1"/>
                <w:color w:val="auto"/>
              </w:rPr>
              <w:t>Operating income</w:t>
            </w:r>
          </w:p>
        </w:tc>
        <w:tc>
          <w:tcPr>
            <w:tcW w:w="380" w:type="dxa"/>
            <w:vAlign w:val="bottom"/>
          </w:tcPr>
          <w:p>
            <w:pPr>
              <w:spacing w:after="0"/>
              <w:rPr>
                <w:sz w:val="21"/>
                <w:szCs w:val="21"/>
                <w:color w:val="auto"/>
              </w:rPr>
            </w:pPr>
          </w:p>
        </w:tc>
        <w:tc>
          <w:tcPr>
            <w:tcW w:w="1220" w:type="dxa"/>
            <w:vAlign w:val="bottom"/>
          </w:tcPr>
          <w:p>
            <w:pPr>
              <w:jc w:val="right"/>
              <w:ind w:right="11"/>
              <w:spacing w:after="0"/>
              <w:rPr>
                <w:sz w:val="20"/>
                <w:szCs w:val="20"/>
                <w:color w:val="auto"/>
              </w:rPr>
            </w:pPr>
            <w:r>
              <w:rPr>
                <w:rFonts w:ascii="Arial" w:cs="Arial" w:eastAsia="Arial" w:hAnsi="Arial"/>
                <w:sz w:val="18"/>
                <w:szCs w:val="18"/>
                <w:color w:val="auto"/>
              </w:rPr>
              <w:t>3,047</w:t>
            </w:r>
          </w:p>
        </w:tc>
        <w:tc>
          <w:tcPr>
            <w:tcW w:w="12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220" w:type="dxa"/>
            <w:vAlign w:val="bottom"/>
          </w:tcPr>
          <w:p>
            <w:pPr>
              <w:jc w:val="right"/>
              <w:ind w:right="11"/>
              <w:spacing w:after="0"/>
              <w:rPr>
                <w:sz w:val="20"/>
                <w:szCs w:val="20"/>
                <w:color w:val="auto"/>
              </w:rPr>
            </w:pPr>
            <w:r>
              <w:rPr>
                <w:rFonts w:ascii="Arial" w:cs="Arial" w:eastAsia="Arial" w:hAnsi="Arial"/>
                <w:sz w:val="18"/>
                <w:szCs w:val="18"/>
                <w:color w:val="auto"/>
              </w:rPr>
              <w:t>2,723</w:t>
            </w:r>
          </w:p>
        </w:tc>
        <w:tc>
          <w:tcPr>
            <w:tcW w:w="12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220" w:type="dxa"/>
            <w:vAlign w:val="bottom"/>
          </w:tcPr>
          <w:p>
            <w:pPr>
              <w:jc w:val="right"/>
              <w:ind w:right="11"/>
              <w:spacing w:after="0"/>
              <w:rPr>
                <w:sz w:val="20"/>
                <w:szCs w:val="20"/>
                <w:color w:val="auto"/>
              </w:rPr>
            </w:pPr>
            <w:r>
              <w:rPr>
                <w:rFonts w:ascii="Arial" w:cs="Arial" w:eastAsia="Arial" w:hAnsi="Arial"/>
                <w:sz w:val="18"/>
                <w:szCs w:val="18"/>
                <w:color w:val="auto"/>
              </w:rPr>
              <w:t>4,205</w:t>
            </w:r>
          </w:p>
        </w:tc>
      </w:tr>
      <w:tr>
        <w:trPr>
          <w:trHeight w:val="257"/>
        </w:trPr>
        <w:tc>
          <w:tcPr>
            <w:tcW w:w="63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Nonoperating income (expense):</w:t>
            </w:r>
          </w:p>
        </w:tc>
        <w:tc>
          <w:tcPr>
            <w:tcW w:w="380" w:type="dxa"/>
            <w:vAlign w:val="bottom"/>
            <w:tcBorders>
              <w:bottom w:val="single" w:sz="8" w:color="CCEEFF"/>
            </w:tcBorders>
            <w:shd w:val="clear" w:color="auto" w:fill="CCEEFF"/>
          </w:tcPr>
          <w:p>
            <w:pPr>
              <w:spacing w:after="0"/>
              <w:rPr>
                <w:sz w:val="22"/>
                <w:szCs w:val="22"/>
                <w:color w:val="auto"/>
              </w:rPr>
            </w:pPr>
          </w:p>
        </w:tc>
        <w:tc>
          <w:tcPr>
            <w:tcW w:w="122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380" w:type="dxa"/>
            <w:vAlign w:val="bottom"/>
            <w:tcBorders>
              <w:bottom w:val="single" w:sz="8" w:color="CCEEFF"/>
            </w:tcBorders>
            <w:shd w:val="clear" w:color="auto" w:fill="CCEEFF"/>
          </w:tcPr>
          <w:p>
            <w:pPr>
              <w:spacing w:after="0"/>
              <w:rPr>
                <w:sz w:val="22"/>
                <w:szCs w:val="22"/>
                <w:color w:val="auto"/>
              </w:rPr>
            </w:pPr>
          </w:p>
        </w:tc>
        <w:tc>
          <w:tcPr>
            <w:tcW w:w="122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380" w:type="dxa"/>
            <w:vAlign w:val="bottom"/>
            <w:tcBorders>
              <w:bottom w:val="single" w:sz="8" w:color="CCEEFF"/>
            </w:tcBorders>
            <w:shd w:val="clear" w:color="auto" w:fill="CCEEFF"/>
          </w:tcPr>
          <w:p>
            <w:pPr>
              <w:spacing w:after="0"/>
              <w:rPr>
                <w:sz w:val="22"/>
                <w:szCs w:val="22"/>
                <w:color w:val="auto"/>
              </w:rPr>
            </w:pPr>
          </w:p>
        </w:tc>
        <w:tc>
          <w:tcPr>
            <w:tcW w:w="1220" w:type="dxa"/>
            <w:vAlign w:val="bottom"/>
            <w:tcBorders>
              <w:bottom w:val="single" w:sz="8" w:color="CCEEFF"/>
            </w:tcBorders>
            <w:shd w:val="clear" w:color="auto" w:fill="CCEEFF"/>
          </w:tcPr>
          <w:p>
            <w:pPr>
              <w:spacing w:after="0"/>
              <w:rPr>
                <w:sz w:val="22"/>
                <w:szCs w:val="22"/>
                <w:color w:val="auto"/>
              </w:rPr>
            </w:pPr>
          </w:p>
        </w:tc>
      </w:tr>
      <w:tr>
        <w:trPr>
          <w:trHeight w:val="263"/>
        </w:trPr>
        <w:tc>
          <w:tcPr>
            <w:tcW w:w="6380" w:type="dxa"/>
            <w:vAlign w:val="bottom"/>
          </w:tcPr>
          <w:p>
            <w:pPr>
              <w:ind w:left="380"/>
              <w:spacing w:after="0"/>
              <w:rPr>
                <w:sz w:val="20"/>
                <w:szCs w:val="20"/>
                <w:color w:val="auto"/>
              </w:rPr>
            </w:pPr>
            <w:r>
              <w:rPr>
                <w:rFonts w:ascii="Arial" w:cs="Arial" w:eastAsia="Arial" w:hAnsi="Arial"/>
                <w:sz w:val="18"/>
                <w:szCs w:val="18"/>
                <w:color w:val="auto"/>
              </w:rPr>
              <w:t>Interest income</w:t>
            </w:r>
          </w:p>
        </w:tc>
        <w:tc>
          <w:tcPr>
            <w:tcW w:w="380" w:type="dxa"/>
            <w:vAlign w:val="bottom"/>
          </w:tcPr>
          <w:p>
            <w:pPr>
              <w:spacing w:after="0"/>
              <w:rPr>
                <w:sz w:val="22"/>
                <w:szCs w:val="22"/>
                <w:color w:val="auto"/>
              </w:rPr>
            </w:pPr>
          </w:p>
        </w:tc>
        <w:tc>
          <w:tcPr>
            <w:tcW w:w="1220" w:type="dxa"/>
            <w:vAlign w:val="bottom"/>
          </w:tcPr>
          <w:p>
            <w:pPr>
              <w:jc w:val="right"/>
              <w:ind w:right="11"/>
              <w:spacing w:after="0"/>
              <w:rPr>
                <w:sz w:val="20"/>
                <w:szCs w:val="20"/>
                <w:color w:val="auto"/>
              </w:rPr>
            </w:pPr>
            <w:r>
              <w:rPr>
                <w:rFonts w:ascii="Arial" w:cs="Arial" w:eastAsia="Arial" w:hAnsi="Arial"/>
                <w:sz w:val="18"/>
                <w:szCs w:val="18"/>
                <w:color w:val="auto"/>
              </w:rPr>
              <w:t>515</w:t>
            </w:r>
          </w:p>
        </w:tc>
        <w:tc>
          <w:tcPr>
            <w:tcW w:w="120" w:type="dxa"/>
            <w:vAlign w:val="bottom"/>
          </w:tcPr>
          <w:p>
            <w:pPr>
              <w:spacing w:after="0"/>
              <w:rPr>
                <w:sz w:val="22"/>
                <w:szCs w:val="22"/>
                <w:color w:val="auto"/>
              </w:rPr>
            </w:pPr>
          </w:p>
        </w:tc>
        <w:tc>
          <w:tcPr>
            <w:tcW w:w="380" w:type="dxa"/>
            <w:vAlign w:val="bottom"/>
          </w:tcPr>
          <w:p>
            <w:pPr>
              <w:spacing w:after="0"/>
              <w:rPr>
                <w:sz w:val="22"/>
                <w:szCs w:val="22"/>
                <w:color w:val="auto"/>
              </w:rPr>
            </w:pPr>
          </w:p>
        </w:tc>
        <w:tc>
          <w:tcPr>
            <w:tcW w:w="1220" w:type="dxa"/>
            <w:vAlign w:val="bottom"/>
          </w:tcPr>
          <w:p>
            <w:pPr>
              <w:jc w:val="right"/>
              <w:ind w:right="11"/>
              <w:spacing w:after="0"/>
              <w:rPr>
                <w:sz w:val="20"/>
                <w:szCs w:val="20"/>
                <w:color w:val="auto"/>
              </w:rPr>
            </w:pPr>
            <w:r>
              <w:rPr>
                <w:rFonts w:ascii="Arial" w:cs="Arial" w:eastAsia="Arial" w:hAnsi="Arial"/>
                <w:sz w:val="18"/>
                <w:szCs w:val="18"/>
                <w:color w:val="auto"/>
              </w:rPr>
              <w:t>330</w:t>
            </w:r>
          </w:p>
        </w:tc>
        <w:tc>
          <w:tcPr>
            <w:tcW w:w="120" w:type="dxa"/>
            <w:vAlign w:val="bottom"/>
          </w:tcPr>
          <w:p>
            <w:pPr>
              <w:spacing w:after="0"/>
              <w:rPr>
                <w:sz w:val="22"/>
                <w:szCs w:val="22"/>
                <w:color w:val="auto"/>
              </w:rPr>
            </w:pPr>
          </w:p>
        </w:tc>
        <w:tc>
          <w:tcPr>
            <w:tcW w:w="380" w:type="dxa"/>
            <w:vAlign w:val="bottom"/>
          </w:tcPr>
          <w:p>
            <w:pPr>
              <w:spacing w:after="0"/>
              <w:rPr>
                <w:sz w:val="22"/>
                <w:szCs w:val="22"/>
                <w:color w:val="auto"/>
              </w:rPr>
            </w:pPr>
          </w:p>
        </w:tc>
        <w:tc>
          <w:tcPr>
            <w:tcW w:w="1220" w:type="dxa"/>
            <w:vAlign w:val="bottom"/>
          </w:tcPr>
          <w:p>
            <w:pPr>
              <w:jc w:val="right"/>
              <w:ind w:right="11"/>
              <w:spacing w:after="0"/>
              <w:rPr>
                <w:sz w:val="20"/>
                <w:szCs w:val="20"/>
                <w:color w:val="auto"/>
              </w:rPr>
            </w:pPr>
            <w:r>
              <w:rPr>
                <w:rFonts w:ascii="Arial" w:cs="Arial" w:eastAsia="Arial" w:hAnsi="Arial"/>
                <w:sz w:val="18"/>
                <w:szCs w:val="18"/>
                <w:color w:val="auto"/>
              </w:rPr>
              <w:t>215</w:t>
            </w:r>
          </w:p>
        </w:tc>
      </w:tr>
      <w:tr>
        <w:trPr>
          <w:trHeight w:val="277"/>
        </w:trPr>
        <w:tc>
          <w:tcPr>
            <w:tcW w:w="6380" w:type="dxa"/>
            <w:vAlign w:val="bottom"/>
            <w:shd w:val="clear" w:color="auto" w:fill="CCEEFF"/>
          </w:tcPr>
          <w:p>
            <w:pPr>
              <w:ind w:left="380"/>
              <w:spacing w:after="0"/>
              <w:rPr>
                <w:sz w:val="20"/>
                <w:szCs w:val="20"/>
                <w:color w:val="auto"/>
              </w:rPr>
            </w:pPr>
            <w:r>
              <w:rPr>
                <w:rFonts w:ascii="Arial" w:cs="Arial" w:eastAsia="Arial" w:hAnsi="Arial"/>
                <w:sz w:val="18"/>
                <w:szCs w:val="18"/>
                <w:color w:val="auto"/>
              </w:rPr>
              <w:t>Interest expense, net</w:t>
            </w:r>
          </w:p>
        </w:tc>
        <w:tc>
          <w:tcPr>
            <w:tcW w:w="380" w:type="dxa"/>
            <w:vAlign w:val="bottom"/>
            <w:shd w:val="clear" w:color="auto" w:fill="CCEEFF"/>
          </w:tcPr>
          <w:p>
            <w:pPr>
              <w:spacing w:after="0"/>
              <w:rPr>
                <w:sz w:val="24"/>
                <w:szCs w:val="24"/>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(1,109)</w:t>
            </w:r>
          </w:p>
        </w:tc>
        <w:tc>
          <w:tcPr>
            <w:tcW w:w="120" w:type="dxa"/>
            <w:vAlign w:val="bottom"/>
            <w:shd w:val="clear" w:color="auto" w:fill="CCEEFF"/>
          </w:tcPr>
          <w:p>
            <w:pPr>
              <w:spacing w:after="0"/>
              <w:rPr>
                <w:sz w:val="24"/>
                <w:szCs w:val="24"/>
                <w:color w:val="auto"/>
              </w:rPr>
            </w:pPr>
          </w:p>
        </w:tc>
        <w:tc>
          <w:tcPr>
            <w:tcW w:w="380" w:type="dxa"/>
            <w:vAlign w:val="bottom"/>
            <w:shd w:val="clear" w:color="auto" w:fill="CCEEFF"/>
          </w:tcPr>
          <w:p>
            <w:pPr>
              <w:spacing w:after="0"/>
              <w:rPr>
                <w:sz w:val="24"/>
                <w:szCs w:val="24"/>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(1,028)</w:t>
            </w:r>
          </w:p>
        </w:tc>
        <w:tc>
          <w:tcPr>
            <w:tcW w:w="120" w:type="dxa"/>
            <w:vAlign w:val="bottom"/>
            <w:shd w:val="clear" w:color="auto" w:fill="CCEEFF"/>
          </w:tcPr>
          <w:p>
            <w:pPr>
              <w:spacing w:after="0"/>
              <w:rPr>
                <w:sz w:val="24"/>
                <w:szCs w:val="24"/>
                <w:color w:val="auto"/>
              </w:rPr>
            </w:pPr>
          </w:p>
        </w:tc>
        <w:tc>
          <w:tcPr>
            <w:tcW w:w="380" w:type="dxa"/>
            <w:vAlign w:val="bottom"/>
            <w:shd w:val="clear" w:color="auto" w:fill="CCEEFF"/>
          </w:tcPr>
          <w:p>
            <w:pPr>
              <w:spacing w:after="0"/>
              <w:rPr>
                <w:sz w:val="24"/>
                <w:szCs w:val="24"/>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(988)</w:t>
            </w:r>
          </w:p>
        </w:tc>
      </w:tr>
      <w:tr>
        <w:trPr>
          <w:trHeight w:val="264"/>
        </w:trPr>
        <w:tc>
          <w:tcPr>
            <w:tcW w:w="6380" w:type="dxa"/>
            <w:vAlign w:val="bottom"/>
            <w:tcBorders>
              <w:bottom w:val="single" w:sz="8" w:color="CCEEFF"/>
            </w:tcBorders>
          </w:tcPr>
          <w:p>
            <w:pPr>
              <w:ind w:left="380"/>
              <w:spacing w:after="0"/>
              <w:rPr>
                <w:sz w:val="20"/>
                <w:szCs w:val="20"/>
                <w:color w:val="auto"/>
              </w:rPr>
            </w:pPr>
            <w:r>
              <w:rPr>
                <w:rFonts w:ascii="Arial" w:cs="Arial" w:eastAsia="Arial" w:hAnsi="Arial"/>
                <w:sz w:val="18"/>
                <w:szCs w:val="18"/>
                <w:color w:val="auto"/>
              </w:rPr>
              <w:t>Other income, net</w:t>
            </w:r>
          </w:p>
        </w:tc>
        <w:tc>
          <w:tcPr>
            <w:tcW w:w="380" w:type="dxa"/>
            <w:vAlign w:val="bottom"/>
            <w:tcBorders>
              <w:bottom w:val="single" w:sz="8" w:color="auto"/>
            </w:tcBorders>
          </w:tcPr>
          <w:p>
            <w:pPr>
              <w:spacing w:after="0"/>
              <w:rPr>
                <w:sz w:val="22"/>
                <w:szCs w:val="22"/>
                <w:color w:val="auto"/>
              </w:rPr>
            </w:pPr>
          </w:p>
        </w:tc>
        <w:tc>
          <w:tcPr>
            <w:tcW w:w="1220" w:type="dxa"/>
            <w:vAlign w:val="bottom"/>
            <w:tcBorders>
              <w:bottom w:val="single" w:sz="8" w:color="auto"/>
            </w:tcBorders>
          </w:tcPr>
          <w:p>
            <w:pPr>
              <w:jc w:val="right"/>
              <w:ind w:right="11"/>
              <w:spacing w:after="0"/>
              <w:rPr>
                <w:sz w:val="20"/>
                <w:szCs w:val="20"/>
                <w:color w:val="auto"/>
              </w:rPr>
            </w:pPr>
            <w:r>
              <w:rPr>
                <w:rFonts w:ascii="Arial" w:cs="Arial" w:eastAsia="Arial" w:hAnsi="Arial"/>
                <w:sz w:val="18"/>
                <w:szCs w:val="18"/>
                <w:color w:val="auto"/>
              </w:rPr>
              <w:t>152</w:t>
            </w:r>
          </w:p>
        </w:tc>
        <w:tc>
          <w:tcPr>
            <w:tcW w:w="120" w:type="dxa"/>
            <w:vAlign w:val="bottom"/>
            <w:tcBorders>
              <w:bottom w:val="single" w:sz="8" w:color="CCEEFF"/>
            </w:tcBorders>
          </w:tcPr>
          <w:p>
            <w:pPr>
              <w:spacing w:after="0"/>
              <w:rPr>
                <w:sz w:val="22"/>
                <w:szCs w:val="22"/>
                <w:color w:val="auto"/>
              </w:rPr>
            </w:pPr>
          </w:p>
        </w:tc>
        <w:tc>
          <w:tcPr>
            <w:tcW w:w="380" w:type="dxa"/>
            <w:vAlign w:val="bottom"/>
            <w:tcBorders>
              <w:bottom w:val="single" w:sz="8" w:color="auto"/>
            </w:tcBorders>
          </w:tcPr>
          <w:p>
            <w:pPr>
              <w:spacing w:after="0"/>
              <w:rPr>
                <w:sz w:val="22"/>
                <w:szCs w:val="22"/>
                <w:color w:val="auto"/>
              </w:rPr>
            </w:pPr>
          </w:p>
        </w:tc>
        <w:tc>
          <w:tcPr>
            <w:tcW w:w="1220" w:type="dxa"/>
            <w:vAlign w:val="bottom"/>
            <w:tcBorders>
              <w:bottom w:val="single" w:sz="8" w:color="auto"/>
            </w:tcBorders>
          </w:tcPr>
          <w:p>
            <w:pPr>
              <w:jc w:val="right"/>
              <w:ind w:right="11"/>
              <w:spacing w:after="0"/>
              <w:rPr>
                <w:sz w:val="20"/>
                <w:szCs w:val="20"/>
                <w:color w:val="auto"/>
              </w:rPr>
            </w:pPr>
            <w:r>
              <w:rPr>
                <w:rFonts w:ascii="Arial" w:cs="Arial" w:eastAsia="Arial" w:hAnsi="Arial"/>
                <w:sz w:val="18"/>
                <w:szCs w:val="18"/>
                <w:color w:val="auto"/>
              </w:rPr>
              <w:t>167</w:t>
            </w:r>
          </w:p>
        </w:tc>
        <w:tc>
          <w:tcPr>
            <w:tcW w:w="120" w:type="dxa"/>
            <w:vAlign w:val="bottom"/>
            <w:tcBorders>
              <w:bottom w:val="single" w:sz="8" w:color="CCEEFF"/>
            </w:tcBorders>
          </w:tcPr>
          <w:p>
            <w:pPr>
              <w:spacing w:after="0"/>
              <w:rPr>
                <w:sz w:val="22"/>
                <w:szCs w:val="22"/>
                <w:color w:val="auto"/>
              </w:rPr>
            </w:pPr>
          </w:p>
        </w:tc>
        <w:tc>
          <w:tcPr>
            <w:tcW w:w="380" w:type="dxa"/>
            <w:vAlign w:val="bottom"/>
            <w:tcBorders>
              <w:bottom w:val="single" w:sz="8" w:color="auto"/>
            </w:tcBorders>
          </w:tcPr>
          <w:p>
            <w:pPr>
              <w:spacing w:after="0"/>
              <w:rPr>
                <w:sz w:val="22"/>
                <w:szCs w:val="22"/>
                <w:color w:val="auto"/>
              </w:rPr>
            </w:pPr>
          </w:p>
        </w:tc>
        <w:tc>
          <w:tcPr>
            <w:tcW w:w="1220" w:type="dxa"/>
            <w:vAlign w:val="bottom"/>
            <w:tcBorders>
              <w:bottom w:val="single" w:sz="8" w:color="auto"/>
            </w:tcBorders>
          </w:tcPr>
          <w:p>
            <w:pPr>
              <w:jc w:val="right"/>
              <w:ind w:right="11"/>
              <w:spacing w:after="0"/>
              <w:rPr>
                <w:sz w:val="20"/>
                <w:szCs w:val="20"/>
                <w:color w:val="auto"/>
              </w:rPr>
            </w:pPr>
            <w:r>
              <w:rPr>
                <w:rFonts w:ascii="Arial" w:cs="Arial" w:eastAsia="Arial" w:hAnsi="Arial"/>
                <w:sz w:val="18"/>
                <w:szCs w:val="18"/>
                <w:color w:val="auto"/>
              </w:rPr>
              <w:t>123</w:t>
            </w:r>
          </w:p>
        </w:tc>
      </w:tr>
      <w:tr>
        <w:trPr>
          <w:trHeight w:val="257"/>
        </w:trPr>
        <w:tc>
          <w:tcPr>
            <w:tcW w:w="6380" w:type="dxa"/>
            <w:vAlign w:val="bottom"/>
            <w:shd w:val="clear" w:color="auto" w:fill="CCEEFF"/>
          </w:tcPr>
          <w:p>
            <w:pPr>
              <w:ind w:left="600"/>
              <w:spacing w:after="0"/>
              <w:rPr>
                <w:sz w:val="20"/>
                <w:szCs w:val="20"/>
                <w:color w:val="auto"/>
              </w:rPr>
            </w:pPr>
            <w:r>
              <w:rPr>
                <w:rFonts w:ascii="Arial" w:cs="Arial" w:eastAsia="Arial" w:hAnsi="Arial"/>
                <w:sz w:val="18"/>
                <w:szCs w:val="18"/>
                <w:color w:val="auto"/>
              </w:rPr>
              <w:t>Total nonoperating expense, net</w:t>
            </w:r>
          </w:p>
        </w:tc>
        <w:tc>
          <w:tcPr>
            <w:tcW w:w="380" w:type="dxa"/>
            <w:vAlign w:val="bottom"/>
            <w:tcBorders>
              <w:bottom w:val="single" w:sz="8" w:color="auto"/>
            </w:tcBorders>
            <w:shd w:val="clear" w:color="auto" w:fill="CCEEFF"/>
          </w:tcPr>
          <w:p>
            <w:pPr>
              <w:spacing w:after="0"/>
              <w:rPr>
                <w:sz w:val="22"/>
                <w:szCs w:val="22"/>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(442)</w:t>
            </w:r>
          </w:p>
        </w:tc>
        <w:tc>
          <w:tcPr>
            <w:tcW w:w="120" w:type="dxa"/>
            <w:vAlign w:val="bottom"/>
            <w:shd w:val="clear" w:color="auto" w:fill="CCEEFF"/>
          </w:tcPr>
          <w:p>
            <w:pPr>
              <w:spacing w:after="0"/>
              <w:rPr>
                <w:sz w:val="22"/>
                <w:szCs w:val="22"/>
                <w:color w:val="auto"/>
              </w:rPr>
            </w:pPr>
          </w:p>
        </w:tc>
        <w:tc>
          <w:tcPr>
            <w:tcW w:w="380" w:type="dxa"/>
            <w:vAlign w:val="bottom"/>
            <w:tcBorders>
              <w:bottom w:val="single" w:sz="8" w:color="auto"/>
            </w:tcBorders>
            <w:shd w:val="clear" w:color="auto" w:fill="CCEEFF"/>
          </w:tcPr>
          <w:p>
            <w:pPr>
              <w:spacing w:after="0"/>
              <w:rPr>
                <w:sz w:val="22"/>
                <w:szCs w:val="22"/>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(531)</w:t>
            </w:r>
          </w:p>
        </w:tc>
        <w:tc>
          <w:tcPr>
            <w:tcW w:w="120" w:type="dxa"/>
            <w:vAlign w:val="bottom"/>
            <w:shd w:val="clear" w:color="auto" w:fill="CCEEFF"/>
          </w:tcPr>
          <w:p>
            <w:pPr>
              <w:spacing w:after="0"/>
              <w:rPr>
                <w:sz w:val="22"/>
                <w:szCs w:val="22"/>
                <w:color w:val="auto"/>
              </w:rPr>
            </w:pPr>
          </w:p>
        </w:tc>
        <w:tc>
          <w:tcPr>
            <w:tcW w:w="380" w:type="dxa"/>
            <w:vAlign w:val="bottom"/>
            <w:tcBorders>
              <w:bottom w:val="single" w:sz="8" w:color="auto"/>
            </w:tcBorders>
            <w:shd w:val="clear" w:color="auto" w:fill="CCEEFF"/>
          </w:tcPr>
          <w:p>
            <w:pPr>
              <w:spacing w:after="0"/>
              <w:rPr>
                <w:sz w:val="22"/>
                <w:szCs w:val="22"/>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(650)</w:t>
            </w:r>
          </w:p>
        </w:tc>
      </w:tr>
      <w:tr>
        <w:trPr>
          <w:trHeight w:val="243"/>
        </w:trPr>
        <w:tc>
          <w:tcPr>
            <w:tcW w:w="6380" w:type="dxa"/>
            <w:vAlign w:val="bottom"/>
          </w:tcPr>
          <w:p>
            <w:pPr>
              <w:ind w:left="40"/>
              <w:spacing w:after="0"/>
              <w:rPr>
                <w:sz w:val="20"/>
                <w:szCs w:val="20"/>
                <w:color w:val="auto"/>
              </w:rPr>
            </w:pPr>
            <w:r>
              <w:rPr>
                <w:rFonts w:ascii="Arial" w:cs="Arial" w:eastAsia="Arial" w:hAnsi="Arial"/>
                <w:sz w:val="18"/>
                <w:szCs w:val="18"/>
                <w:b w:val="1"/>
                <w:bCs w:val="1"/>
                <w:color w:val="auto"/>
              </w:rPr>
              <w:t>Income before income taxes</w:t>
            </w:r>
          </w:p>
        </w:tc>
        <w:tc>
          <w:tcPr>
            <w:tcW w:w="380" w:type="dxa"/>
            <w:vAlign w:val="bottom"/>
          </w:tcPr>
          <w:p>
            <w:pPr>
              <w:spacing w:after="0"/>
              <w:rPr>
                <w:sz w:val="21"/>
                <w:szCs w:val="21"/>
                <w:color w:val="auto"/>
              </w:rPr>
            </w:pPr>
          </w:p>
        </w:tc>
        <w:tc>
          <w:tcPr>
            <w:tcW w:w="1220" w:type="dxa"/>
            <w:vAlign w:val="bottom"/>
          </w:tcPr>
          <w:p>
            <w:pPr>
              <w:jc w:val="right"/>
              <w:ind w:right="11"/>
              <w:spacing w:after="0"/>
              <w:rPr>
                <w:sz w:val="20"/>
                <w:szCs w:val="20"/>
                <w:color w:val="auto"/>
              </w:rPr>
            </w:pPr>
            <w:r>
              <w:rPr>
                <w:rFonts w:ascii="Arial" w:cs="Arial" w:eastAsia="Arial" w:hAnsi="Arial"/>
                <w:sz w:val="18"/>
                <w:szCs w:val="18"/>
                <w:color w:val="auto"/>
              </w:rPr>
              <w:t>2,605</w:t>
            </w:r>
          </w:p>
        </w:tc>
        <w:tc>
          <w:tcPr>
            <w:tcW w:w="12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220" w:type="dxa"/>
            <w:vAlign w:val="bottom"/>
          </w:tcPr>
          <w:p>
            <w:pPr>
              <w:jc w:val="right"/>
              <w:ind w:right="11"/>
              <w:spacing w:after="0"/>
              <w:rPr>
                <w:sz w:val="20"/>
                <w:szCs w:val="20"/>
                <w:color w:val="auto"/>
              </w:rPr>
            </w:pPr>
            <w:r>
              <w:rPr>
                <w:rFonts w:ascii="Arial" w:cs="Arial" w:eastAsia="Arial" w:hAnsi="Arial"/>
                <w:sz w:val="18"/>
                <w:szCs w:val="18"/>
                <w:color w:val="auto"/>
              </w:rPr>
              <w:t>2,192</w:t>
            </w:r>
          </w:p>
        </w:tc>
        <w:tc>
          <w:tcPr>
            <w:tcW w:w="12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220" w:type="dxa"/>
            <w:vAlign w:val="bottom"/>
          </w:tcPr>
          <w:p>
            <w:pPr>
              <w:jc w:val="right"/>
              <w:ind w:right="11"/>
              <w:spacing w:after="0"/>
              <w:rPr>
                <w:sz w:val="20"/>
                <w:szCs w:val="20"/>
                <w:color w:val="auto"/>
              </w:rPr>
            </w:pPr>
            <w:r>
              <w:rPr>
                <w:rFonts w:ascii="Arial" w:cs="Arial" w:eastAsia="Arial" w:hAnsi="Arial"/>
                <w:sz w:val="18"/>
                <w:szCs w:val="18"/>
                <w:color w:val="auto"/>
              </w:rPr>
              <w:t>3,555</w:t>
            </w:r>
          </w:p>
        </w:tc>
      </w:tr>
      <w:tr>
        <w:trPr>
          <w:trHeight w:val="277"/>
        </w:trPr>
        <w:tc>
          <w:tcPr>
            <w:tcW w:w="6380" w:type="dxa"/>
            <w:vAlign w:val="bottom"/>
            <w:shd w:val="clear" w:color="auto" w:fill="CCEEFF"/>
          </w:tcPr>
          <w:p>
            <w:pPr>
              <w:ind w:left="380"/>
              <w:spacing w:after="0"/>
              <w:rPr>
                <w:sz w:val="20"/>
                <w:szCs w:val="20"/>
                <w:color w:val="auto"/>
              </w:rPr>
            </w:pPr>
            <w:r>
              <w:rPr>
                <w:rFonts w:ascii="Arial" w:cs="Arial" w:eastAsia="Arial" w:hAnsi="Arial"/>
                <w:sz w:val="18"/>
                <w:szCs w:val="18"/>
                <w:color w:val="auto"/>
              </w:rPr>
              <w:t>Income tax provision</w:t>
            </w:r>
          </w:p>
        </w:tc>
        <w:tc>
          <w:tcPr>
            <w:tcW w:w="380" w:type="dxa"/>
            <w:vAlign w:val="bottom"/>
            <w:tcBorders>
              <w:bottom w:val="single" w:sz="8" w:color="auto"/>
            </w:tcBorders>
            <w:shd w:val="clear" w:color="auto" w:fill="CCEEFF"/>
          </w:tcPr>
          <w:p>
            <w:pPr>
              <w:spacing w:after="0"/>
              <w:rPr>
                <w:sz w:val="24"/>
                <w:szCs w:val="24"/>
                <w:color w:val="auto"/>
              </w:rPr>
            </w:pPr>
          </w:p>
        </w:tc>
        <w:tc>
          <w:tcPr>
            <w:tcW w:w="1220" w:type="dxa"/>
            <w:vAlign w:val="bottom"/>
            <w:tcBorders>
              <w:bottom w:val="single" w:sz="8" w:color="auto"/>
            </w:tcBorders>
            <w:shd w:val="clear" w:color="auto" w:fill="CCEEFF"/>
          </w:tcPr>
          <w:p>
            <w:pPr>
              <w:jc w:val="right"/>
              <w:ind w:right="11"/>
              <w:spacing w:after="0"/>
              <w:rPr>
                <w:sz w:val="20"/>
                <w:szCs w:val="20"/>
                <w:color w:val="auto"/>
              </w:rPr>
            </w:pPr>
            <w:r>
              <w:rPr>
                <w:rFonts w:ascii="Arial" w:cs="Arial" w:eastAsia="Arial" w:hAnsi="Arial"/>
                <w:sz w:val="18"/>
                <w:szCs w:val="18"/>
                <w:color w:val="auto"/>
              </w:rPr>
              <w:t>633</w:t>
            </w:r>
          </w:p>
        </w:tc>
        <w:tc>
          <w:tcPr>
            <w:tcW w:w="120" w:type="dxa"/>
            <w:vAlign w:val="bottom"/>
            <w:shd w:val="clear" w:color="auto" w:fill="CCEEFF"/>
          </w:tcPr>
          <w:p>
            <w:pPr>
              <w:spacing w:after="0"/>
              <w:rPr>
                <w:sz w:val="24"/>
                <w:szCs w:val="24"/>
                <w:color w:val="auto"/>
              </w:rPr>
            </w:pPr>
          </w:p>
        </w:tc>
        <w:tc>
          <w:tcPr>
            <w:tcW w:w="380" w:type="dxa"/>
            <w:vAlign w:val="bottom"/>
            <w:tcBorders>
              <w:bottom w:val="single" w:sz="8" w:color="auto"/>
            </w:tcBorders>
            <w:shd w:val="clear" w:color="auto" w:fill="CCEEFF"/>
          </w:tcPr>
          <w:p>
            <w:pPr>
              <w:spacing w:after="0"/>
              <w:rPr>
                <w:sz w:val="24"/>
                <w:szCs w:val="24"/>
                <w:color w:val="auto"/>
              </w:rPr>
            </w:pPr>
          </w:p>
        </w:tc>
        <w:tc>
          <w:tcPr>
            <w:tcW w:w="1220" w:type="dxa"/>
            <w:vAlign w:val="bottom"/>
            <w:tcBorders>
              <w:bottom w:val="single" w:sz="8" w:color="auto"/>
            </w:tcBorders>
            <w:shd w:val="clear" w:color="auto" w:fill="CCEEFF"/>
          </w:tcPr>
          <w:p>
            <w:pPr>
              <w:jc w:val="right"/>
              <w:ind w:right="11"/>
              <w:spacing w:after="0"/>
              <w:rPr>
                <w:sz w:val="20"/>
                <w:szCs w:val="20"/>
                <w:color w:val="auto"/>
              </w:rPr>
            </w:pPr>
            <w:r>
              <w:rPr>
                <w:rFonts w:ascii="Arial" w:cs="Arial" w:eastAsia="Arial" w:hAnsi="Arial"/>
                <w:sz w:val="18"/>
                <w:szCs w:val="18"/>
                <w:color w:val="auto"/>
              </w:rPr>
              <w:t>534</w:t>
            </w:r>
          </w:p>
        </w:tc>
        <w:tc>
          <w:tcPr>
            <w:tcW w:w="120" w:type="dxa"/>
            <w:vAlign w:val="bottom"/>
            <w:shd w:val="clear" w:color="auto" w:fill="CCEEFF"/>
          </w:tcPr>
          <w:p>
            <w:pPr>
              <w:spacing w:after="0"/>
              <w:rPr>
                <w:sz w:val="24"/>
                <w:szCs w:val="24"/>
                <w:color w:val="auto"/>
              </w:rPr>
            </w:pPr>
          </w:p>
        </w:tc>
        <w:tc>
          <w:tcPr>
            <w:tcW w:w="380" w:type="dxa"/>
            <w:vAlign w:val="bottom"/>
            <w:tcBorders>
              <w:bottom w:val="single" w:sz="8" w:color="auto"/>
            </w:tcBorders>
            <w:shd w:val="clear" w:color="auto" w:fill="CCEEFF"/>
          </w:tcPr>
          <w:p>
            <w:pPr>
              <w:spacing w:after="0"/>
              <w:rPr>
                <w:sz w:val="24"/>
                <w:szCs w:val="24"/>
                <w:color w:val="auto"/>
              </w:rPr>
            </w:pPr>
          </w:p>
        </w:tc>
        <w:tc>
          <w:tcPr>
            <w:tcW w:w="1220" w:type="dxa"/>
            <w:vAlign w:val="bottom"/>
            <w:tcBorders>
              <w:bottom w:val="single" w:sz="8" w:color="auto"/>
            </w:tcBorders>
            <w:shd w:val="clear" w:color="auto" w:fill="CCEEFF"/>
          </w:tcPr>
          <w:p>
            <w:pPr>
              <w:jc w:val="right"/>
              <w:ind w:right="11"/>
              <w:spacing w:after="0"/>
              <w:rPr>
                <w:sz w:val="20"/>
                <w:szCs w:val="20"/>
                <w:color w:val="auto"/>
              </w:rPr>
            </w:pPr>
            <w:r>
              <w:rPr>
                <w:rFonts w:ascii="Arial" w:cs="Arial" w:eastAsia="Arial" w:hAnsi="Arial"/>
                <w:sz w:val="18"/>
                <w:szCs w:val="18"/>
                <w:color w:val="auto"/>
              </w:rPr>
              <w:t>2,270</w:t>
            </w:r>
          </w:p>
        </w:tc>
      </w:tr>
      <w:tr>
        <w:trPr>
          <w:trHeight w:val="244"/>
        </w:trPr>
        <w:tc>
          <w:tcPr>
            <w:tcW w:w="6380" w:type="dxa"/>
            <w:vAlign w:val="bottom"/>
          </w:tcPr>
          <w:p>
            <w:pPr>
              <w:ind w:left="40"/>
              <w:spacing w:after="0"/>
              <w:rPr>
                <w:sz w:val="20"/>
                <w:szCs w:val="20"/>
                <w:color w:val="auto"/>
              </w:rPr>
            </w:pPr>
            <w:r>
              <w:rPr>
                <w:rFonts w:ascii="Arial" w:cs="Arial" w:eastAsia="Arial" w:hAnsi="Arial"/>
                <w:sz w:val="18"/>
                <w:szCs w:val="18"/>
                <w:b w:val="1"/>
                <w:bCs w:val="1"/>
                <w:color w:val="auto"/>
              </w:rPr>
              <w:t>Net income</w:t>
            </w:r>
          </w:p>
        </w:tc>
        <w:tc>
          <w:tcPr>
            <w:tcW w:w="380" w:type="dxa"/>
            <w:vAlign w:val="bottom"/>
          </w:tcPr>
          <w:p>
            <w:pPr>
              <w:jc w:val="right"/>
              <w:ind w:right="170"/>
              <w:spacing w:after="0"/>
              <w:rPr>
                <w:sz w:val="20"/>
                <w:szCs w:val="20"/>
                <w:color w:val="auto"/>
              </w:rPr>
            </w:pPr>
            <w:r>
              <w:rPr>
                <w:rFonts w:ascii="Arial" w:cs="Arial" w:eastAsia="Arial" w:hAnsi="Arial"/>
                <w:sz w:val="18"/>
                <w:szCs w:val="18"/>
                <w:color w:val="auto"/>
                <w:w w:val="99"/>
              </w:rPr>
              <w:t>$</w:t>
            </w:r>
          </w:p>
        </w:tc>
        <w:tc>
          <w:tcPr>
            <w:tcW w:w="1220" w:type="dxa"/>
            <w:vAlign w:val="bottom"/>
          </w:tcPr>
          <w:p>
            <w:pPr>
              <w:jc w:val="right"/>
              <w:ind w:right="11"/>
              <w:spacing w:after="0"/>
              <w:rPr>
                <w:sz w:val="20"/>
                <w:szCs w:val="20"/>
                <w:color w:val="auto"/>
              </w:rPr>
            </w:pPr>
            <w:r>
              <w:rPr>
                <w:rFonts w:ascii="Arial" w:cs="Arial" w:eastAsia="Arial" w:hAnsi="Arial"/>
                <w:sz w:val="18"/>
                <w:szCs w:val="18"/>
                <w:color w:val="auto"/>
              </w:rPr>
              <w:t>1,972</w:t>
            </w:r>
          </w:p>
        </w:tc>
        <w:tc>
          <w:tcPr>
            <w:tcW w:w="50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1220" w:type="dxa"/>
            <w:vAlign w:val="bottom"/>
          </w:tcPr>
          <w:p>
            <w:pPr>
              <w:jc w:val="right"/>
              <w:ind w:right="11"/>
              <w:spacing w:after="0"/>
              <w:rPr>
                <w:sz w:val="20"/>
                <w:szCs w:val="20"/>
                <w:color w:val="auto"/>
              </w:rPr>
            </w:pPr>
            <w:r>
              <w:rPr>
                <w:rFonts w:ascii="Arial" w:cs="Arial" w:eastAsia="Arial" w:hAnsi="Arial"/>
                <w:sz w:val="18"/>
                <w:szCs w:val="18"/>
                <w:color w:val="auto"/>
              </w:rPr>
              <w:t>1,658</w:t>
            </w:r>
          </w:p>
        </w:tc>
        <w:tc>
          <w:tcPr>
            <w:tcW w:w="120" w:type="dxa"/>
            <w:vAlign w:val="bottom"/>
          </w:tcPr>
          <w:p>
            <w:pPr>
              <w:spacing w:after="0"/>
              <w:rPr>
                <w:sz w:val="21"/>
                <w:szCs w:val="21"/>
                <w:color w:val="auto"/>
              </w:rPr>
            </w:pPr>
          </w:p>
        </w:tc>
        <w:tc>
          <w:tcPr>
            <w:tcW w:w="380" w:type="dxa"/>
            <w:vAlign w:val="bottom"/>
          </w:tcPr>
          <w:p>
            <w:pPr>
              <w:jc w:val="right"/>
              <w:ind w:right="170"/>
              <w:spacing w:after="0"/>
              <w:rPr>
                <w:sz w:val="20"/>
                <w:szCs w:val="20"/>
                <w:color w:val="auto"/>
              </w:rPr>
            </w:pPr>
            <w:r>
              <w:rPr>
                <w:rFonts w:ascii="Arial" w:cs="Arial" w:eastAsia="Arial" w:hAnsi="Arial"/>
                <w:sz w:val="18"/>
                <w:szCs w:val="18"/>
                <w:color w:val="auto"/>
                <w:w w:val="99"/>
              </w:rPr>
              <w:t>$</w:t>
            </w:r>
          </w:p>
        </w:tc>
        <w:tc>
          <w:tcPr>
            <w:tcW w:w="1220" w:type="dxa"/>
            <w:vAlign w:val="bottom"/>
          </w:tcPr>
          <w:p>
            <w:pPr>
              <w:jc w:val="right"/>
              <w:ind w:right="11"/>
              <w:spacing w:after="0"/>
              <w:rPr>
                <w:sz w:val="20"/>
                <w:szCs w:val="20"/>
                <w:color w:val="auto"/>
              </w:rPr>
            </w:pPr>
            <w:r>
              <w:rPr>
                <w:rFonts w:ascii="Arial" w:cs="Arial" w:eastAsia="Arial" w:hAnsi="Arial"/>
                <w:sz w:val="18"/>
                <w:szCs w:val="18"/>
                <w:color w:val="auto"/>
              </w:rPr>
              <w:t>1,285</w:t>
            </w:r>
          </w:p>
        </w:tc>
      </w:tr>
      <w:tr>
        <w:trPr>
          <w:trHeight w:val="20"/>
        </w:trPr>
        <w:tc>
          <w:tcPr>
            <w:tcW w:w="6380" w:type="dxa"/>
            <w:vAlign w:val="bottom"/>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12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12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1220" w:type="dxa"/>
            <w:vAlign w:val="bottom"/>
            <w:tcBorders>
              <w:top w:val="single" w:sz="8" w:color="auto"/>
              <w:bottom w:val="single" w:sz="8" w:color="auto"/>
            </w:tcBorders>
          </w:tcPr>
          <w:p>
            <w:pPr>
              <w:spacing w:after="0" w:line="20" w:lineRule="exact"/>
              <w:rPr>
                <w:sz w:val="1"/>
                <w:szCs w:val="1"/>
                <w:color w:val="auto"/>
              </w:rPr>
            </w:pPr>
          </w:p>
        </w:tc>
      </w:tr>
    </w:tbl>
    <w:p>
      <w:pPr>
        <w:spacing w:after="0" w:line="26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accompanying notes to consolidated financial statements.</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117</w:t>
      </w:r>
    </w:p>
    <w:p>
      <w:pPr>
        <w:sectPr>
          <w:pgSz w:w="11900" w:h="16838" w:orient="portrait"/>
          <w:cols w:equalWidth="0" w:num="1">
            <w:col w:w="11420"/>
          </w:cols>
          <w:pgMar w:left="240" w:top="549" w:right="239" w:bottom="1440" w:gutter="0" w:footer="0" w:header="0"/>
        </w:sectPr>
      </w:pPr>
    </w:p>
    <w:bookmarkStart w:id="117" w:name="page118"/>
    <w:bookmarkEnd w:id="117"/>
    <w:p>
      <w:pPr>
        <w:jc w:val="center"/>
        <w:spacing w:after="0"/>
        <w:rPr>
          <w:sz w:val="20"/>
          <w:szCs w:val="20"/>
          <w:color w:val="auto"/>
        </w:rPr>
      </w:pPr>
      <w:r>
        <w:rPr>
          <w:rFonts w:ascii="Arial" w:cs="Arial" w:eastAsia="Arial" w:hAnsi="Arial"/>
          <w:sz w:val="18"/>
          <w:szCs w:val="18"/>
          <w:b w:val="1"/>
          <w:bCs w:val="1"/>
          <w:color w:val="auto"/>
        </w:rPr>
        <w:t>AMERICAN AIRLINES, INC.</w:t>
      </w:r>
    </w:p>
    <w:p>
      <w:pPr>
        <w:spacing w:after="0" w:line="3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STATEMENTS OF COMPREHENSIVE INCOME</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millions)</w:t>
      </w:r>
    </w:p>
    <w:p>
      <w:pPr>
        <w:spacing w:after="0" w:line="321" w:lineRule="exact"/>
        <w:rPr>
          <w:sz w:val="20"/>
          <w:szCs w:val="20"/>
          <w:color w:val="auto"/>
        </w:rPr>
      </w:pPr>
    </w:p>
    <w:tbl>
      <w:tblPr>
        <w:tblLayout w:type="fixed"/>
        <w:tblInd w:w="0" w:type="dxa"/>
        <w:tblCellMar>
          <w:top w:w="0" w:type="dxa"/>
          <w:left w:w="0" w:type="dxa"/>
          <w:bottom w:w="0" w:type="dxa"/>
          <w:right w:w="0" w:type="dxa"/>
        </w:tblCellMar>
      </w:tblPr>
      <w:tr>
        <w:trPr>
          <w:trHeight w:val="196"/>
        </w:trPr>
        <w:tc>
          <w:tcPr>
            <w:tcW w:w="6620" w:type="dxa"/>
            <w:vAlign w:val="bottom"/>
          </w:tcPr>
          <w:p>
            <w:pPr>
              <w:spacing w:after="0"/>
              <w:rPr>
                <w:sz w:val="17"/>
                <w:szCs w:val="17"/>
                <w:color w:val="auto"/>
              </w:rPr>
            </w:pPr>
          </w:p>
        </w:tc>
        <w:tc>
          <w:tcPr>
            <w:tcW w:w="920" w:type="dxa"/>
            <w:vAlign w:val="bottom"/>
            <w:tcBorders>
              <w:bottom w:val="single" w:sz="8" w:color="auto"/>
            </w:tcBorders>
          </w:tcPr>
          <w:p>
            <w:pPr>
              <w:spacing w:after="0"/>
              <w:rPr>
                <w:sz w:val="17"/>
                <w:szCs w:val="17"/>
                <w:color w:val="auto"/>
              </w:rPr>
            </w:pPr>
          </w:p>
        </w:tc>
        <w:tc>
          <w:tcPr>
            <w:tcW w:w="580" w:type="dxa"/>
            <w:vAlign w:val="bottom"/>
            <w:tcBorders>
              <w:bottom w:val="single" w:sz="8" w:color="auto"/>
            </w:tcBorders>
          </w:tcPr>
          <w:p>
            <w:pPr>
              <w:spacing w:after="0"/>
              <w:rPr>
                <w:sz w:val="17"/>
                <w:szCs w:val="17"/>
                <w:color w:val="auto"/>
              </w:rPr>
            </w:pPr>
          </w:p>
        </w:tc>
        <w:tc>
          <w:tcPr>
            <w:tcW w:w="2080" w:type="dxa"/>
            <w:vAlign w:val="bottom"/>
            <w:tcBorders>
              <w:bottom w:val="single" w:sz="8" w:color="auto"/>
            </w:tcBorders>
            <w:gridSpan w:val="5"/>
          </w:tcPr>
          <w:p>
            <w:pPr>
              <w:jc w:val="right"/>
              <w:ind w:right="190"/>
              <w:spacing w:after="0"/>
              <w:rPr>
                <w:sz w:val="20"/>
                <w:szCs w:val="20"/>
                <w:color w:val="auto"/>
              </w:rPr>
            </w:pPr>
            <w:r>
              <w:rPr>
                <w:rFonts w:ascii="Arial" w:cs="Arial" w:eastAsia="Arial" w:hAnsi="Arial"/>
                <w:sz w:val="14"/>
                <w:szCs w:val="14"/>
                <w:b w:val="1"/>
                <w:bCs w:val="1"/>
                <w:color w:val="auto"/>
              </w:rPr>
              <w:t>Year Ended December 31,</w:t>
            </w:r>
          </w:p>
        </w:tc>
        <w:tc>
          <w:tcPr>
            <w:tcW w:w="1220" w:type="dxa"/>
            <w:vAlign w:val="bottom"/>
            <w:tcBorders>
              <w:bottom w:val="single" w:sz="8" w:color="auto"/>
            </w:tcBorders>
          </w:tcPr>
          <w:p>
            <w:pPr>
              <w:spacing w:after="0"/>
              <w:rPr>
                <w:sz w:val="17"/>
                <w:szCs w:val="17"/>
                <w:color w:val="auto"/>
              </w:rPr>
            </w:pPr>
          </w:p>
        </w:tc>
      </w:tr>
      <w:tr>
        <w:trPr>
          <w:trHeight w:val="264"/>
        </w:trPr>
        <w:tc>
          <w:tcPr>
            <w:tcW w:w="6620" w:type="dxa"/>
            <w:vAlign w:val="bottom"/>
            <w:tcBorders>
              <w:bottom w:val="single" w:sz="8" w:color="CCEEFF"/>
            </w:tcBorders>
          </w:tcPr>
          <w:p>
            <w:pPr>
              <w:spacing w:after="0"/>
              <w:rPr>
                <w:sz w:val="22"/>
                <w:szCs w:val="22"/>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2019</w:t>
            </w:r>
          </w:p>
        </w:tc>
        <w:tc>
          <w:tcPr>
            <w:tcW w:w="580" w:type="dxa"/>
            <w:vAlign w:val="bottom"/>
            <w:tcBorders>
              <w:bottom w:val="single" w:sz="8" w:color="auto"/>
            </w:tcBorders>
          </w:tcPr>
          <w:p>
            <w:pPr>
              <w:spacing w:after="0"/>
              <w:rPr>
                <w:sz w:val="22"/>
                <w:szCs w:val="22"/>
                <w:color w:val="auto"/>
              </w:rPr>
            </w:pPr>
          </w:p>
        </w:tc>
        <w:tc>
          <w:tcPr>
            <w:tcW w:w="100" w:type="dxa"/>
            <w:vAlign w:val="bottom"/>
            <w:tcBorders>
              <w:bottom w:val="single" w:sz="8" w:color="CCEEFF"/>
            </w:tcBorders>
          </w:tcPr>
          <w:p>
            <w:pPr>
              <w:spacing w:after="0"/>
              <w:rPr>
                <w:sz w:val="22"/>
                <w:szCs w:val="22"/>
                <w:color w:val="auto"/>
              </w:rPr>
            </w:pPr>
          </w:p>
        </w:tc>
        <w:tc>
          <w:tcPr>
            <w:tcW w:w="360" w:type="dxa"/>
            <w:vAlign w:val="bottom"/>
            <w:tcBorders>
              <w:bottom w:val="single" w:sz="8" w:color="auto"/>
            </w:tcBorders>
          </w:tcPr>
          <w:p>
            <w:pPr>
              <w:spacing w:after="0"/>
              <w:rPr>
                <w:sz w:val="22"/>
                <w:szCs w:val="22"/>
                <w:color w:val="auto"/>
              </w:rPr>
            </w:pPr>
          </w:p>
        </w:tc>
        <w:tc>
          <w:tcPr>
            <w:tcW w:w="1120" w:type="dxa"/>
            <w:vAlign w:val="bottom"/>
            <w:tcBorders>
              <w:bottom w:val="single" w:sz="8" w:color="auto"/>
            </w:tcBorders>
          </w:tcPr>
          <w:p>
            <w:pPr>
              <w:jc w:val="right"/>
              <w:ind w:right="493"/>
              <w:spacing w:after="0"/>
              <w:rPr>
                <w:sz w:val="20"/>
                <w:szCs w:val="20"/>
                <w:color w:val="auto"/>
              </w:rPr>
            </w:pPr>
            <w:r>
              <w:rPr>
                <w:rFonts w:ascii="Arial" w:cs="Arial" w:eastAsia="Arial" w:hAnsi="Arial"/>
                <w:sz w:val="14"/>
                <w:szCs w:val="14"/>
                <w:b w:val="1"/>
                <w:bCs w:val="1"/>
                <w:color w:val="auto"/>
              </w:rPr>
              <w:t>2018</w:t>
            </w:r>
          </w:p>
        </w:tc>
        <w:tc>
          <w:tcPr>
            <w:tcW w:w="120" w:type="dxa"/>
            <w:vAlign w:val="bottom"/>
            <w:tcBorders>
              <w:bottom w:val="single" w:sz="8" w:color="CCEEFF"/>
            </w:tcBorders>
          </w:tcPr>
          <w:p>
            <w:pPr>
              <w:spacing w:after="0"/>
              <w:rPr>
                <w:sz w:val="22"/>
                <w:szCs w:val="22"/>
                <w:color w:val="auto"/>
              </w:rPr>
            </w:pPr>
          </w:p>
        </w:tc>
        <w:tc>
          <w:tcPr>
            <w:tcW w:w="380" w:type="dxa"/>
            <w:vAlign w:val="bottom"/>
            <w:tcBorders>
              <w:bottom w:val="single" w:sz="8" w:color="auto"/>
            </w:tcBorders>
          </w:tcPr>
          <w:p>
            <w:pPr>
              <w:spacing w:after="0"/>
              <w:rPr>
                <w:sz w:val="22"/>
                <w:szCs w:val="22"/>
                <w:color w:val="auto"/>
              </w:rPr>
            </w:pPr>
          </w:p>
        </w:tc>
        <w:tc>
          <w:tcPr>
            <w:tcW w:w="1220" w:type="dxa"/>
            <w:vAlign w:val="bottom"/>
            <w:tcBorders>
              <w:bottom w:val="single" w:sz="8" w:color="auto"/>
            </w:tcBorders>
          </w:tcPr>
          <w:p>
            <w:pPr>
              <w:jc w:val="right"/>
              <w:ind w:right="553"/>
              <w:spacing w:after="0"/>
              <w:rPr>
                <w:sz w:val="20"/>
                <w:szCs w:val="20"/>
                <w:color w:val="auto"/>
              </w:rPr>
            </w:pPr>
            <w:r>
              <w:rPr>
                <w:rFonts w:ascii="Arial" w:cs="Arial" w:eastAsia="Arial" w:hAnsi="Arial"/>
                <w:sz w:val="14"/>
                <w:szCs w:val="14"/>
                <w:b w:val="1"/>
                <w:bCs w:val="1"/>
                <w:color w:val="auto"/>
              </w:rPr>
              <w:t>2017</w:t>
            </w:r>
          </w:p>
        </w:tc>
      </w:tr>
      <w:tr>
        <w:trPr>
          <w:trHeight w:val="256"/>
        </w:trPr>
        <w:tc>
          <w:tcPr>
            <w:tcW w:w="6620" w:type="dxa"/>
            <w:vAlign w:val="bottom"/>
            <w:shd w:val="clear" w:color="auto" w:fill="CCEEFF"/>
          </w:tcPr>
          <w:p>
            <w:pPr>
              <w:ind w:left="40"/>
              <w:spacing w:after="0"/>
              <w:rPr>
                <w:sz w:val="20"/>
                <w:szCs w:val="20"/>
                <w:color w:val="auto"/>
              </w:rPr>
            </w:pPr>
            <w:r>
              <w:rPr>
                <w:rFonts w:ascii="Arial" w:cs="Arial" w:eastAsia="Arial" w:hAnsi="Arial"/>
                <w:sz w:val="18"/>
                <w:szCs w:val="18"/>
                <w:b w:val="1"/>
                <w:bCs w:val="1"/>
                <w:color w:val="auto"/>
              </w:rPr>
              <w:t>Net income</w:t>
            </w:r>
          </w:p>
        </w:tc>
        <w:tc>
          <w:tcPr>
            <w:tcW w:w="920" w:type="dxa"/>
            <w:vAlign w:val="bottom"/>
            <w:shd w:val="clear" w:color="auto" w:fill="CCEEFF"/>
          </w:tcPr>
          <w:p>
            <w:pPr>
              <w:jc w:val="right"/>
              <w:ind w:right="696"/>
              <w:spacing w:after="0"/>
              <w:rPr>
                <w:sz w:val="20"/>
                <w:szCs w:val="20"/>
                <w:color w:val="auto"/>
              </w:rPr>
            </w:pPr>
            <w:r>
              <w:rPr>
                <w:rFonts w:ascii="Arial" w:cs="Arial" w:eastAsia="Arial" w:hAnsi="Arial"/>
                <w:sz w:val="18"/>
                <w:szCs w:val="18"/>
                <w:color w:val="auto"/>
              </w:rPr>
              <w:t>$</w:t>
            </w:r>
          </w:p>
        </w:tc>
        <w:tc>
          <w:tcPr>
            <w:tcW w:w="58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97"/>
              </w:rPr>
              <w:t>1,972</w:t>
            </w:r>
          </w:p>
        </w:tc>
        <w:tc>
          <w:tcPr>
            <w:tcW w:w="46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1120" w:type="dxa"/>
            <w:vAlign w:val="bottom"/>
            <w:shd w:val="clear" w:color="auto" w:fill="CCEEFF"/>
          </w:tcPr>
          <w:p>
            <w:pPr>
              <w:jc w:val="right"/>
              <w:ind w:right="13"/>
              <w:spacing w:after="0"/>
              <w:rPr>
                <w:sz w:val="20"/>
                <w:szCs w:val="20"/>
                <w:color w:val="auto"/>
              </w:rPr>
            </w:pPr>
            <w:r>
              <w:rPr>
                <w:rFonts w:ascii="Arial" w:cs="Arial" w:eastAsia="Arial" w:hAnsi="Arial"/>
                <w:sz w:val="18"/>
                <w:szCs w:val="18"/>
                <w:color w:val="auto"/>
              </w:rPr>
              <w:t>1,658</w:t>
            </w:r>
          </w:p>
        </w:tc>
        <w:tc>
          <w:tcPr>
            <w:tcW w:w="120" w:type="dxa"/>
            <w:vAlign w:val="bottom"/>
            <w:shd w:val="clear" w:color="auto" w:fill="CCEEFF"/>
          </w:tcPr>
          <w:p>
            <w:pPr>
              <w:spacing w:after="0"/>
              <w:rPr>
                <w:sz w:val="22"/>
                <w:szCs w:val="22"/>
                <w:color w:val="auto"/>
              </w:rPr>
            </w:pPr>
          </w:p>
        </w:tc>
        <w:tc>
          <w:tcPr>
            <w:tcW w:w="380" w:type="dxa"/>
            <w:vAlign w:val="bottom"/>
            <w:shd w:val="clear" w:color="auto" w:fill="CCEEFF"/>
          </w:tcPr>
          <w:p>
            <w:pPr>
              <w:jc w:val="right"/>
              <w:ind w:right="170"/>
              <w:spacing w:after="0"/>
              <w:rPr>
                <w:sz w:val="20"/>
                <w:szCs w:val="20"/>
                <w:color w:val="auto"/>
              </w:rPr>
            </w:pPr>
            <w:r>
              <w:rPr>
                <w:rFonts w:ascii="Arial" w:cs="Arial" w:eastAsia="Arial" w:hAnsi="Arial"/>
                <w:sz w:val="18"/>
                <w:szCs w:val="18"/>
                <w:color w:val="auto"/>
                <w:w w:val="99"/>
              </w:rPr>
              <w:t>$</w:t>
            </w:r>
          </w:p>
        </w:tc>
        <w:tc>
          <w:tcPr>
            <w:tcW w:w="1220" w:type="dxa"/>
            <w:vAlign w:val="bottom"/>
            <w:shd w:val="clear" w:color="auto" w:fill="CCEEFF"/>
          </w:tcPr>
          <w:p>
            <w:pPr>
              <w:jc w:val="right"/>
              <w:ind w:right="13"/>
              <w:spacing w:after="0"/>
              <w:rPr>
                <w:sz w:val="20"/>
                <w:szCs w:val="20"/>
                <w:color w:val="auto"/>
              </w:rPr>
            </w:pPr>
            <w:r>
              <w:rPr>
                <w:rFonts w:ascii="Arial" w:cs="Arial" w:eastAsia="Arial" w:hAnsi="Arial"/>
                <w:sz w:val="18"/>
                <w:szCs w:val="18"/>
                <w:color w:val="auto"/>
              </w:rPr>
              <w:t>1,285</w:t>
            </w:r>
          </w:p>
        </w:tc>
      </w:tr>
      <w:tr>
        <w:trPr>
          <w:trHeight w:val="243"/>
        </w:trPr>
        <w:tc>
          <w:tcPr>
            <w:tcW w:w="6620" w:type="dxa"/>
            <w:vAlign w:val="bottom"/>
          </w:tcPr>
          <w:p>
            <w:pPr>
              <w:ind w:left="40"/>
              <w:spacing w:after="0"/>
              <w:rPr>
                <w:sz w:val="20"/>
                <w:szCs w:val="20"/>
                <w:color w:val="auto"/>
              </w:rPr>
            </w:pPr>
            <w:r>
              <w:rPr>
                <w:rFonts w:ascii="Arial" w:cs="Arial" w:eastAsia="Arial" w:hAnsi="Arial"/>
                <w:sz w:val="18"/>
                <w:szCs w:val="18"/>
                <w:b w:val="1"/>
                <w:bCs w:val="1"/>
                <w:color w:val="auto"/>
              </w:rPr>
              <w:t>Other comprehensive income (loss), net of tax:</w:t>
            </w:r>
          </w:p>
        </w:tc>
        <w:tc>
          <w:tcPr>
            <w:tcW w:w="920" w:type="dxa"/>
            <w:vAlign w:val="bottom"/>
          </w:tcPr>
          <w:p>
            <w:pPr>
              <w:spacing w:after="0"/>
              <w:rPr>
                <w:sz w:val="21"/>
                <w:szCs w:val="21"/>
                <w:color w:val="auto"/>
              </w:rPr>
            </w:pPr>
          </w:p>
        </w:tc>
        <w:tc>
          <w:tcPr>
            <w:tcW w:w="5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220" w:type="dxa"/>
            <w:vAlign w:val="bottom"/>
          </w:tcPr>
          <w:p>
            <w:pPr>
              <w:spacing w:after="0"/>
              <w:rPr>
                <w:sz w:val="21"/>
                <w:szCs w:val="21"/>
                <w:color w:val="auto"/>
              </w:rPr>
            </w:pPr>
          </w:p>
        </w:tc>
      </w:tr>
      <w:tr>
        <w:trPr>
          <w:trHeight w:val="27"/>
        </w:trPr>
        <w:tc>
          <w:tcPr>
            <w:tcW w:w="6620" w:type="dxa"/>
            <w:vAlign w:val="bottom"/>
          </w:tcPr>
          <w:p>
            <w:pPr>
              <w:spacing w:after="0"/>
              <w:rPr>
                <w:sz w:val="2"/>
                <w:szCs w:val="2"/>
                <w:color w:val="auto"/>
              </w:rPr>
            </w:pPr>
          </w:p>
        </w:tc>
        <w:tc>
          <w:tcPr>
            <w:tcW w:w="920" w:type="dxa"/>
            <w:vAlign w:val="bottom"/>
          </w:tcPr>
          <w:p>
            <w:pPr>
              <w:spacing w:after="0"/>
              <w:rPr>
                <w:sz w:val="2"/>
                <w:szCs w:val="2"/>
                <w:color w:val="auto"/>
              </w:rPr>
            </w:pPr>
          </w:p>
        </w:tc>
        <w:tc>
          <w:tcPr>
            <w:tcW w:w="5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20" w:type="dxa"/>
            <w:vAlign w:val="bottom"/>
          </w:tcPr>
          <w:p>
            <w:pPr>
              <w:spacing w:after="0"/>
              <w:rPr>
                <w:sz w:val="2"/>
                <w:szCs w:val="2"/>
                <w:color w:val="auto"/>
              </w:rPr>
            </w:pPr>
          </w:p>
        </w:tc>
      </w:tr>
      <w:tr>
        <w:trPr>
          <w:trHeight w:val="270"/>
        </w:trPr>
        <w:tc>
          <w:tcPr>
            <w:tcW w:w="6620" w:type="dxa"/>
            <w:vAlign w:val="bottom"/>
            <w:shd w:val="clear" w:color="auto" w:fill="CCEEFF"/>
          </w:tcPr>
          <w:p>
            <w:pPr>
              <w:ind w:left="180"/>
              <w:spacing w:after="0"/>
              <w:rPr>
                <w:sz w:val="20"/>
                <w:szCs w:val="20"/>
                <w:color w:val="auto"/>
              </w:rPr>
            </w:pPr>
            <w:r>
              <w:rPr>
                <w:rFonts w:ascii="Arial" w:cs="Arial" w:eastAsia="Arial" w:hAnsi="Arial"/>
                <w:sz w:val="18"/>
                <w:szCs w:val="18"/>
                <w:color w:val="auto"/>
              </w:rPr>
              <w:t>Pension, retiree medical and other postretirement benefits</w:t>
            </w:r>
          </w:p>
        </w:tc>
        <w:tc>
          <w:tcPr>
            <w:tcW w:w="920" w:type="dxa"/>
            <w:vAlign w:val="bottom"/>
            <w:shd w:val="clear" w:color="auto" w:fill="CCEEFF"/>
          </w:tcPr>
          <w:p>
            <w:pPr>
              <w:spacing w:after="0"/>
              <w:rPr>
                <w:sz w:val="23"/>
                <w:szCs w:val="23"/>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(434)</w:t>
            </w:r>
          </w:p>
        </w:tc>
        <w:tc>
          <w:tcPr>
            <w:tcW w:w="100" w:type="dxa"/>
            <w:vAlign w:val="bottom"/>
            <w:shd w:val="clear" w:color="auto" w:fill="CCEEFF"/>
          </w:tcPr>
          <w:p>
            <w:pPr>
              <w:spacing w:after="0"/>
              <w:rPr>
                <w:sz w:val="23"/>
                <w:szCs w:val="23"/>
                <w:color w:val="auto"/>
              </w:rPr>
            </w:pPr>
          </w:p>
        </w:tc>
        <w:tc>
          <w:tcPr>
            <w:tcW w:w="360" w:type="dxa"/>
            <w:vAlign w:val="bottom"/>
            <w:shd w:val="clear" w:color="auto" w:fill="CCEEFF"/>
          </w:tcPr>
          <w:p>
            <w:pPr>
              <w:spacing w:after="0"/>
              <w:rPr>
                <w:sz w:val="23"/>
                <w:szCs w:val="23"/>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(116)</w:t>
            </w:r>
          </w:p>
        </w:tc>
        <w:tc>
          <w:tcPr>
            <w:tcW w:w="120" w:type="dxa"/>
            <w:vAlign w:val="bottom"/>
            <w:shd w:val="clear" w:color="auto" w:fill="CCEEFF"/>
          </w:tcPr>
          <w:p>
            <w:pPr>
              <w:spacing w:after="0"/>
              <w:rPr>
                <w:sz w:val="23"/>
                <w:szCs w:val="23"/>
                <w:color w:val="auto"/>
              </w:rPr>
            </w:pPr>
          </w:p>
        </w:tc>
        <w:tc>
          <w:tcPr>
            <w:tcW w:w="380" w:type="dxa"/>
            <w:vAlign w:val="bottom"/>
            <w:shd w:val="clear" w:color="auto" w:fill="CCEEFF"/>
          </w:tcPr>
          <w:p>
            <w:pPr>
              <w:spacing w:after="0"/>
              <w:rPr>
                <w:sz w:val="23"/>
                <w:szCs w:val="23"/>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(68)</w:t>
            </w:r>
          </w:p>
        </w:tc>
      </w:tr>
      <w:tr>
        <w:trPr>
          <w:trHeight w:val="264"/>
        </w:trPr>
        <w:tc>
          <w:tcPr>
            <w:tcW w:w="6620" w:type="dxa"/>
            <w:vAlign w:val="bottom"/>
            <w:tcBorders>
              <w:bottom w:val="single" w:sz="8" w:color="CCEEFF"/>
            </w:tcBorders>
          </w:tcPr>
          <w:p>
            <w:pPr>
              <w:ind w:left="180"/>
              <w:spacing w:after="0"/>
              <w:rPr>
                <w:sz w:val="20"/>
                <w:szCs w:val="20"/>
                <w:color w:val="auto"/>
              </w:rPr>
            </w:pPr>
            <w:r>
              <w:rPr>
                <w:rFonts w:ascii="Arial" w:cs="Arial" w:eastAsia="Arial" w:hAnsi="Arial"/>
                <w:sz w:val="18"/>
                <w:szCs w:val="18"/>
                <w:color w:val="auto"/>
              </w:rPr>
              <w:t>Investments</w:t>
            </w:r>
          </w:p>
        </w:tc>
        <w:tc>
          <w:tcPr>
            <w:tcW w:w="920" w:type="dxa"/>
            <w:vAlign w:val="bottom"/>
            <w:tcBorders>
              <w:bottom w:val="single" w:sz="8" w:color="auto"/>
            </w:tcBorders>
          </w:tcPr>
          <w:p>
            <w:pPr>
              <w:spacing w:after="0"/>
              <w:rPr>
                <w:sz w:val="22"/>
                <w:szCs w:val="22"/>
                <w:color w:val="auto"/>
              </w:rPr>
            </w:pPr>
          </w:p>
        </w:tc>
        <w:tc>
          <w:tcPr>
            <w:tcW w:w="58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3</w:t>
            </w:r>
          </w:p>
        </w:tc>
        <w:tc>
          <w:tcPr>
            <w:tcW w:w="100" w:type="dxa"/>
            <w:vAlign w:val="bottom"/>
            <w:tcBorders>
              <w:bottom w:val="single" w:sz="8" w:color="CCEEFF"/>
            </w:tcBorders>
          </w:tcPr>
          <w:p>
            <w:pPr>
              <w:spacing w:after="0"/>
              <w:rPr>
                <w:sz w:val="22"/>
                <w:szCs w:val="22"/>
                <w:color w:val="auto"/>
              </w:rPr>
            </w:pPr>
          </w:p>
        </w:tc>
        <w:tc>
          <w:tcPr>
            <w:tcW w:w="360" w:type="dxa"/>
            <w:vAlign w:val="bottom"/>
            <w:tcBorders>
              <w:bottom w:val="single" w:sz="8" w:color="auto"/>
            </w:tcBorders>
          </w:tcPr>
          <w:p>
            <w:pPr>
              <w:spacing w:after="0"/>
              <w:rPr>
                <w:sz w:val="22"/>
                <w:szCs w:val="22"/>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w:t>
            </w:r>
          </w:p>
        </w:tc>
        <w:tc>
          <w:tcPr>
            <w:tcW w:w="120" w:type="dxa"/>
            <w:vAlign w:val="bottom"/>
            <w:tcBorders>
              <w:bottom w:val="single" w:sz="8" w:color="CCEEFF"/>
            </w:tcBorders>
          </w:tcPr>
          <w:p>
            <w:pPr>
              <w:spacing w:after="0"/>
              <w:rPr>
                <w:sz w:val="22"/>
                <w:szCs w:val="22"/>
                <w:color w:val="auto"/>
              </w:rPr>
            </w:pPr>
          </w:p>
        </w:tc>
        <w:tc>
          <w:tcPr>
            <w:tcW w:w="380" w:type="dxa"/>
            <w:vAlign w:val="bottom"/>
            <w:tcBorders>
              <w:bottom w:val="single" w:sz="8" w:color="auto"/>
            </w:tcBorders>
          </w:tcPr>
          <w:p>
            <w:pPr>
              <w:spacing w:after="0"/>
              <w:rPr>
                <w:sz w:val="22"/>
                <w:szCs w:val="22"/>
                <w:color w:val="auto"/>
              </w:rPr>
            </w:pP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w:t>
            </w:r>
          </w:p>
        </w:tc>
      </w:tr>
      <w:tr>
        <w:trPr>
          <w:trHeight w:val="257"/>
        </w:trPr>
        <w:tc>
          <w:tcPr>
            <w:tcW w:w="6620" w:type="dxa"/>
            <w:vAlign w:val="bottom"/>
            <w:shd w:val="clear" w:color="auto" w:fill="CCEEFF"/>
          </w:tcPr>
          <w:p>
            <w:pPr>
              <w:ind w:left="380"/>
              <w:spacing w:after="0"/>
              <w:rPr>
                <w:sz w:val="20"/>
                <w:szCs w:val="20"/>
                <w:color w:val="auto"/>
              </w:rPr>
            </w:pPr>
            <w:r>
              <w:rPr>
                <w:rFonts w:ascii="Arial" w:cs="Arial" w:eastAsia="Arial" w:hAnsi="Arial"/>
                <w:sz w:val="18"/>
                <w:szCs w:val="18"/>
                <w:b w:val="1"/>
                <w:bCs w:val="1"/>
                <w:color w:val="auto"/>
              </w:rPr>
              <w:t>Total other comprehensive loss, net of tax</w:t>
            </w:r>
          </w:p>
        </w:tc>
        <w:tc>
          <w:tcPr>
            <w:tcW w:w="920" w:type="dxa"/>
            <w:vAlign w:val="bottom"/>
            <w:tcBorders>
              <w:bottom w:val="single" w:sz="8" w:color="auto"/>
            </w:tcBorders>
            <w:shd w:val="clear" w:color="auto" w:fill="CCEEFF"/>
          </w:tcPr>
          <w:p>
            <w:pPr>
              <w:spacing w:after="0"/>
              <w:rPr>
                <w:sz w:val="22"/>
                <w:szCs w:val="22"/>
                <w:color w:val="auto"/>
              </w:rPr>
            </w:pPr>
          </w:p>
        </w:tc>
        <w:tc>
          <w:tcPr>
            <w:tcW w:w="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(431)</w:t>
            </w:r>
          </w:p>
        </w:tc>
        <w:tc>
          <w:tcPr>
            <w:tcW w:w="100" w:type="dxa"/>
            <w:vAlign w:val="bottom"/>
            <w:shd w:val="clear" w:color="auto" w:fill="CCEEFF"/>
          </w:tcPr>
          <w:p>
            <w:pPr>
              <w:spacing w:after="0"/>
              <w:rPr>
                <w:sz w:val="22"/>
                <w:szCs w:val="22"/>
                <w:color w:val="auto"/>
              </w:rPr>
            </w:pPr>
          </w:p>
        </w:tc>
        <w:tc>
          <w:tcPr>
            <w:tcW w:w="360" w:type="dxa"/>
            <w:vAlign w:val="bottom"/>
            <w:tcBorders>
              <w:bottom w:val="single" w:sz="8" w:color="auto"/>
            </w:tcBorders>
            <w:shd w:val="clear" w:color="auto" w:fill="CCEEFF"/>
          </w:tcPr>
          <w:p>
            <w:pPr>
              <w:spacing w:after="0"/>
              <w:rPr>
                <w:sz w:val="22"/>
                <w:szCs w:val="22"/>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(119)</w:t>
            </w:r>
          </w:p>
        </w:tc>
        <w:tc>
          <w:tcPr>
            <w:tcW w:w="120" w:type="dxa"/>
            <w:vAlign w:val="bottom"/>
            <w:shd w:val="clear" w:color="auto" w:fill="CCEEFF"/>
          </w:tcPr>
          <w:p>
            <w:pPr>
              <w:spacing w:after="0"/>
              <w:rPr>
                <w:sz w:val="22"/>
                <w:szCs w:val="22"/>
                <w:color w:val="auto"/>
              </w:rPr>
            </w:pPr>
          </w:p>
        </w:tc>
        <w:tc>
          <w:tcPr>
            <w:tcW w:w="380" w:type="dxa"/>
            <w:vAlign w:val="bottom"/>
            <w:tcBorders>
              <w:bottom w:val="single" w:sz="8" w:color="auto"/>
            </w:tcBorders>
            <w:shd w:val="clear" w:color="auto" w:fill="CCEEFF"/>
          </w:tcPr>
          <w:p>
            <w:pPr>
              <w:spacing w:after="0"/>
              <w:rPr>
                <w:sz w:val="22"/>
                <w:szCs w:val="22"/>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(69)</w:t>
            </w:r>
          </w:p>
        </w:tc>
      </w:tr>
      <w:tr>
        <w:trPr>
          <w:trHeight w:val="244"/>
        </w:trPr>
        <w:tc>
          <w:tcPr>
            <w:tcW w:w="6620" w:type="dxa"/>
            <w:vAlign w:val="bottom"/>
          </w:tcPr>
          <w:p>
            <w:pPr>
              <w:ind w:left="40"/>
              <w:spacing w:after="0"/>
              <w:rPr>
                <w:sz w:val="20"/>
                <w:szCs w:val="20"/>
                <w:color w:val="auto"/>
              </w:rPr>
            </w:pPr>
            <w:r>
              <w:rPr>
                <w:rFonts w:ascii="Arial" w:cs="Arial" w:eastAsia="Arial" w:hAnsi="Arial"/>
                <w:sz w:val="18"/>
                <w:szCs w:val="18"/>
                <w:b w:val="1"/>
                <w:bCs w:val="1"/>
                <w:color w:val="auto"/>
              </w:rPr>
              <w:t>Total comprehensive income</w:t>
            </w:r>
          </w:p>
        </w:tc>
        <w:tc>
          <w:tcPr>
            <w:tcW w:w="920" w:type="dxa"/>
            <w:vAlign w:val="bottom"/>
          </w:tcPr>
          <w:p>
            <w:pPr>
              <w:jc w:val="right"/>
              <w:ind w:right="696"/>
              <w:spacing w:after="0"/>
              <w:rPr>
                <w:sz w:val="20"/>
                <w:szCs w:val="20"/>
                <w:color w:val="auto"/>
              </w:rPr>
            </w:pPr>
            <w:r>
              <w:rPr>
                <w:rFonts w:ascii="Arial" w:cs="Arial" w:eastAsia="Arial" w:hAnsi="Arial"/>
                <w:sz w:val="18"/>
                <w:szCs w:val="18"/>
                <w:color w:val="auto"/>
              </w:rPr>
              <w:t>$</w:t>
            </w:r>
          </w:p>
        </w:tc>
        <w:tc>
          <w:tcPr>
            <w:tcW w:w="580" w:type="dxa"/>
            <w:vAlign w:val="bottom"/>
          </w:tcPr>
          <w:p>
            <w:pPr>
              <w:jc w:val="right"/>
              <w:ind w:right="30"/>
              <w:spacing w:after="0"/>
              <w:rPr>
                <w:sz w:val="20"/>
                <w:szCs w:val="20"/>
                <w:color w:val="auto"/>
              </w:rPr>
            </w:pPr>
            <w:r>
              <w:rPr>
                <w:rFonts w:ascii="Arial" w:cs="Arial" w:eastAsia="Arial" w:hAnsi="Arial"/>
                <w:sz w:val="18"/>
                <w:szCs w:val="18"/>
                <w:color w:val="auto"/>
                <w:w w:val="97"/>
              </w:rPr>
              <w:t>1,541</w:t>
            </w:r>
          </w:p>
        </w:tc>
        <w:tc>
          <w:tcPr>
            <w:tcW w:w="46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1120" w:type="dxa"/>
            <w:vAlign w:val="bottom"/>
          </w:tcPr>
          <w:p>
            <w:pPr>
              <w:jc w:val="right"/>
              <w:ind w:right="13"/>
              <w:spacing w:after="0"/>
              <w:rPr>
                <w:sz w:val="20"/>
                <w:szCs w:val="20"/>
                <w:color w:val="auto"/>
              </w:rPr>
            </w:pPr>
            <w:r>
              <w:rPr>
                <w:rFonts w:ascii="Arial" w:cs="Arial" w:eastAsia="Arial" w:hAnsi="Arial"/>
                <w:sz w:val="18"/>
                <w:szCs w:val="18"/>
                <w:color w:val="auto"/>
              </w:rPr>
              <w:t>1,539</w:t>
            </w:r>
          </w:p>
        </w:tc>
        <w:tc>
          <w:tcPr>
            <w:tcW w:w="120" w:type="dxa"/>
            <w:vAlign w:val="bottom"/>
          </w:tcPr>
          <w:p>
            <w:pPr>
              <w:spacing w:after="0"/>
              <w:rPr>
                <w:sz w:val="21"/>
                <w:szCs w:val="21"/>
                <w:color w:val="auto"/>
              </w:rPr>
            </w:pPr>
          </w:p>
        </w:tc>
        <w:tc>
          <w:tcPr>
            <w:tcW w:w="380" w:type="dxa"/>
            <w:vAlign w:val="bottom"/>
          </w:tcPr>
          <w:p>
            <w:pPr>
              <w:jc w:val="right"/>
              <w:ind w:right="170"/>
              <w:spacing w:after="0"/>
              <w:rPr>
                <w:sz w:val="20"/>
                <w:szCs w:val="20"/>
                <w:color w:val="auto"/>
              </w:rPr>
            </w:pPr>
            <w:r>
              <w:rPr>
                <w:rFonts w:ascii="Arial" w:cs="Arial" w:eastAsia="Arial" w:hAnsi="Arial"/>
                <w:sz w:val="18"/>
                <w:szCs w:val="18"/>
                <w:color w:val="auto"/>
                <w:w w:val="99"/>
              </w:rPr>
              <w:t>$</w:t>
            </w:r>
          </w:p>
        </w:tc>
        <w:tc>
          <w:tcPr>
            <w:tcW w:w="1220" w:type="dxa"/>
            <w:vAlign w:val="bottom"/>
          </w:tcPr>
          <w:p>
            <w:pPr>
              <w:jc w:val="right"/>
              <w:ind w:right="13"/>
              <w:spacing w:after="0"/>
              <w:rPr>
                <w:sz w:val="20"/>
                <w:szCs w:val="20"/>
                <w:color w:val="auto"/>
              </w:rPr>
            </w:pPr>
            <w:r>
              <w:rPr>
                <w:rFonts w:ascii="Arial" w:cs="Arial" w:eastAsia="Arial" w:hAnsi="Arial"/>
                <w:sz w:val="18"/>
                <w:szCs w:val="18"/>
                <w:color w:val="auto"/>
              </w:rPr>
              <w:t>1,216</w:t>
            </w:r>
          </w:p>
        </w:tc>
      </w:tr>
      <w:tr>
        <w:trPr>
          <w:trHeight w:val="20"/>
        </w:trPr>
        <w:tc>
          <w:tcPr>
            <w:tcW w:w="6620" w:type="dxa"/>
            <w:vAlign w:val="bottom"/>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1220" w:type="dxa"/>
            <w:vAlign w:val="bottom"/>
            <w:tcBorders>
              <w:top w:val="single" w:sz="8" w:color="auto"/>
              <w:bottom w:val="single" w:sz="8" w:color="auto"/>
            </w:tcBorders>
          </w:tcPr>
          <w:p>
            <w:pPr>
              <w:spacing w:after="0" w:line="20" w:lineRule="exact"/>
              <w:rPr>
                <w:sz w:val="1"/>
                <w:szCs w:val="1"/>
                <w:color w:val="auto"/>
              </w:rPr>
            </w:pPr>
          </w:p>
        </w:tc>
      </w:tr>
    </w:tbl>
    <w:p>
      <w:pPr>
        <w:spacing w:after="0" w:line="26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accompanying notes to consolidated financial statements.</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118</w:t>
      </w:r>
    </w:p>
    <w:p>
      <w:pPr>
        <w:sectPr>
          <w:pgSz w:w="11900" w:h="16838" w:orient="portrait"/>
          <w:cols w:equalWidth="0" w:num="1">
            <w:col w:w="11420"/>
          </w:cols>
          <w:pgMar w:left="240" w:top="549" w:right="239" w:bottom="1440" w:gutter="0" w:footer="0" w:header="0"/>
        </w:sectPr>
      </w:pPr>
    </w:p>
    <w:bookmarkStart w:id="118" w:name="page119"/>
    <w:bookmarkEnd w:id="118"/>
    <w:p>
      <w:pPr>
        <w:jc w:val="center"/>
        <w:spacing w:after="0"/>
        <w:rPr>
          <w:sz w:val="20"/>
          <w:szCs w:val="20"/>
          <w:color w:val="auto"/>
        </w:rPr>
      </w:pPr>
      <w:r>
        <w:rPr>
          <w:rFonts w:ascii="Arial" w:cs="Arial" w:eastAsia="Arial" w:hAnsi="Arial"/>
          <w:sz w:val="18"/>
          <w:szCs w:val="18"/>
          <w:b w:val="1"/>
          <w:bCs w:val="1"/>
          <w:color w:val="auto"/>
        </w:rPr>
        <w:t>AMERICAN AIRLINES, INC.</w:t>
      </w:r>
    </w:p>
    <w:p>
      <w:pPr>
        <w:spacing w:after="0" w:line="3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BALANCE SHEETS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millions, except share and par value)</w:t>
      </w:r>
    </w:p>
    <w:p>
      <w:pPr>
        <w:spacing w:after="0" w:line="159" w:lineRule="exact"/>
        <w:rPr>
          <w:sz w:val="20"/>
          <w:szCs w:val="20"/>
          <w:color w:val="auto"/>
        </w:rPr>
      </w:pPr>
    </w:p>
    <w:tbl>
      <w:tblPr>
        <w:tblLayout w:type="fixed"/>
        <w:tblInd w:w="0" w:type="dxa"/>
        <w:tblCellMar>
          <w:top w:w="0" w:type="dxa"/>
          <w:left w:w="0" w:type="dxa"/>
          <w:bottom w:w="0" w:type="dxa"/>
          <w:right w:w="0" w:type="dxa"/>
        </w:tblCellMar>
      </w:tblPr>
      <w:tr>
        <w:trPr>
          <w:trHeight w:val="196"/>
        </w:trPr>
        <w:tc>
          <w:tcPr>
            <w:tcW w:w="280" w:type="dxa"/>
            <w:vAlign w:val="bottom"/>
          </w:tcPr>
          <w:p>
            <w:pPr>
              <w:spacing w:after="0"/>
              <w:rPr>
                <w:sz w:val="17"/>
                <w:szCs w:val="17"/>
                <w:color w:val="auto"/>
              </w:rPr>
            </w:pPr>
          </w:p>
        </w:tc>
        <w:tc>
          <w:tcPr>
            <w:tcW w:w="7620" w:type="dxa"/>
            <w:vAlign w:val="bottom"/>
          </w:tcPr>
          <w:p>
            <w:pPr>
              <w:spacing w:after="0"/>
              <w:rPr>
                <w:sz w:val="17"/>
                <w:szCs w:val="17"/>
                <w:color w:val="auto"/>
              </w:rPr>
            </w:pPr>
          </w:p>
        </w:tc>
        <w:tc>
          <w:tcPr>
            <w:tcW w:w="1040" w:type="dxa"/>
            <w:vAlign w:val="bottom"/>
            <w:tcBorders>
              <w:bottom w:val="single" w:sz="8" w:color="auto"/>
            </w:tcBorders>
          </w:tcPr>
          <w:p>
            <w:pPr>
              <w:spacing w:after="0"/>
              <w:rPr>
                <w:sz w:val="17"/>
                <w:szCs w:val="17"/>
                <w:color w:val="auto"/>
              </w:rPr>
            </w:pPr>
          </w:p>
        </w:tc>
        <w:tc>
          <w:tcPr>
            <w:tcW w:w="1340" w:type="dxa"/>
            <w:vAlign w:val="bottom"/>
            <w:tcBorders>
              <w:bottom w:val="single" w:sz="8" w:color="auto"/>
            </w:tcBorders>
            <w:gridSpan w:val="3"/>
          </w:tcPr>
          <w:p>
            <w:pPr>
              <w:jc w:val="right"/>
              <w:ind w:right="59"/>
              <w:spacing w:after="0"/>
              <w:rPr>
                <w:sz w:val="20"/>
                <w:szCs w:val="20"/>
                <w:color w:val="auto"/>
              </w:rPr>
            </w:pPr>
            <w:r>
              <w:rPr>
                <w:rFonts w:ascii="Arial" w:cs="Arial" w:eastAsia="Arial" w:hAnsi="Arial"/>
                <w:sz w:val="14"/>
                <w:szCs w:val="14"/>
                <w:b w:val="1"/>
                <w:bCs w:val="1"/>
                <w:color w:val="auto"/>
              </w:rPr>
              <w:t>December 31,</w:t>
            </w:r>
          </w:p>
        </w:tc>
        <w:tc>
          <w:tcPr>
            <w:tcW w:w="1140" w:type="dxa"/>
            <w:vAlign w:val="bottom"/>
            <w:tcBorders>
              <w:bottom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264"/>
        </w:trPr>
        <w:tc>
          <w:tcPr>
            <w:tcW w:w="280" w:type="dxa"/>
            <w:vAlign w:val="bottom"/>
            <w:tcBorders>
              <w:bottom w:val="single" w:sz="8" w:color="CCEEFF"/>
            </w:tcBorders>
          </w:tcPr>
          <w:p>
            <w:pPr>
              <w:spacing w:after="0"/>
              <w:rPr>
                <w:sz w:val="22"/>
                <w:szCs w:val="22"/>
                <w:color w:val="auto"/>
              </w:rPr>
            </w:pPr>
          </w:p>
        </w:tc>
        <w:tc>
          <w:tcPr>
            <w:tcW w:w="7620" w:type="dxa"/>
            <w:vAlign w:val="bottom"/>
            <w:tcBorders>
              <w:bottom w:val="single" w:sz="8" w:color="CCEEFF"/>
            </w:tcBorders>
          </w:tcPr>
          <w:p>
            <w:pPr>
              <w:spacing w:after="0"/>
              <w:rPr>
                <w:sz w:val="22"/>
                <w:szCs w:val="22"/>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2019</w:t>
            </w:r>
          </w:p>
        </w:tc>
        <w:tc>
          <w:tcPr>
            <w:tcW w:w="680" w:type="dxa"/>
            <w:vAlign w:val="bottom"/>
            <w:tcBorders>
              <w:bottom w:val="single" w:sz="8" w:color="auto"/>
            </w:tcBorders>
          </w:tcPr>
          <w:p>
            <w:pPr>
              <w:spacing w:after="0"/>
              <w:rPr>
                <w:sz w:val="22"/>
                <w:szCs w:val="22"/>
                <w:color w:val="auto"/>
              </w:rPr>
            </w:pPr>
          </w:p>
        </w:tc>
        <w:tc>
          <w:tcPr>
            <w:tcW w:w="100" w:type="dxa"/>
            <w:vAlign w:val="bottom"/>
            <w:tcBorders>
              <w:bottom w:val="single" w:sz="8" w:color="CCEEFF"/>
            </w:tcBorders>
          </w:tcPr>
          <w:p>
            <w:pPr>
              <w:spacing w:after="0"/>
              <w:rPr>
                <w:sz w:val="22"/>
                <w:szCs w:val="22"/>
                <w:color w:val="auto"/>
              </w:rPr>
            </w:pPr>
          </w:p>
        </w:tc>
        <w:tc>
          <w:tcPr>
            <w:tcW w:w="560" w:type="dxa"/>
            <w:vAlign w:val="bottom"/>
            <w:tcBorders>
              <w:bottom w:val="single" w:sz="8" w:color="auto"/>
            </w:tcBorders>
          </w:tcPr>
          <w:p>
            <w:pPr>
              <w:spacing w:after="0"/>
              <w:rPr>
                <w:sz w:val="22"/>
                <w:szCs w:val="22"/>
                <w:color w:val="auto"/>
              </w:rPr>
            </w:pPr>
          </w:p>
        </w:tc>
        <w:tc>
          <w:tcPr>
            <w:tcW w:w="1140" w:type="dxa"/>
            <w:vAlign w:val="bottom"/>
            <w:tcBorders>
              <w:bottom w:val="single" w:sz="8" w:color="auto"/>
            </w:tcBorders>
          </w:tcPr>
          <w:p>
            <w:pPr>
              <w:jc w:val="right"/>
              <w:ind w:right="619"/>
              <w:spacing w:after="0"/>
              <w:rPr>
                <w:sz w:val="20"/>
                <w:szCs w:val="20"/>
                <w:color w:val="auto"/>
              </w:rPr>
            </w:pPr>
            <w:r>
              <w:rPr>
                <w:rFonts w:ascii="Arial" w:cs="Arial" w:eastAsia="Arial" w:hAnsi="Arial"/>
                <w:sz w:val="14"/>
                <w:szCs w:val="14"/>
                <w:b w:val="1"/>
                <w:bCs w:val="1"/>
                <w:color w:val="auto"/>
              </w:rPr>
              <w:t>2018</w:t>
            </w:r>
          </w:p>
        </w:tc>
        <w:tc>
          <w:tcPr>
            <w:tcW w:w="0" w:type="dxa"/>
            <w:vAlign w:val="bottom"/>
          </w:tcPr>
          <w:p>
            <w:pPr>
              <w:spacing w:after="0"/>
              <w:rPr>
                <w:sz w:val="1"/>
                <w:szCs w:val="1"/>
                <w:color w:val="auto"/>
              </w:rPr>
            </w:pPr>
          </w:p>
        </w:tc>
      </w:tr>
      <w:tr>
        <w:trPr>
          <w:trHeight w:val="210"/>
        </w:trPr>
        <w:tc>
          <w:tcPr>
            <w:tcW w:w="7900" w:type="dxa"/>
            <w:vAlign w:val="bottom"/>
            <w:gridSpan w:val="2"/>
            <w:shd w:val="clear" w:color="auto" w:fill="CCEEFF"/>
          </w:tcPr>
          <w:p>
            <w:pPr>
              <w:ind w:left="40"/>
              <w:spacing w:after="0"/>
              <w:rPr>
                <w:sz w:val="20"/>
                <w:szCs w:val="20"/>
                <w:color w:val="auto"/>
              </w:rPr>
            </w:pPr>
            <w:r>
              <w:rPr>
                <w:rFonts w:ascii="Arial" w:cs="Arial" w:eastAsia="Arial" w:hAnsi="Arial"/>
                <w:sz w:val="16"/>
                <w:szCs w:val="16"/>
                <w:b w:val="1"/>
                <w:bCs w:val="1"/>
                <w:color w:val="auto"/>
              </w:rPr>
              <w:t>ASSETS</w:t>
            </w:r>
          </w:p>
        </w:tc>
        <w:tc>
          <w:tcPr>
            <w:tcW w:w="104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60"/>
        </w:trPr>
        <w:tc>
          <w:tcPr>
            <w:tcW w:w="280" w:type="dxa"/>
            <w:vAlign w:val="bottom"/>
            <w:shd w:val="clear" w:color="auto" w:fill="CCEEFF"/>
          </w:tcPr>
          <w:p>
            <w:pPr>
              <w:spacing w:after="0"/>
              <w:rPr>
                <w:sz w:val="5"/>
                <w:szCs w:val="5"/>
                <w:color w:val="auto"/>
              </w:rPr>
            </w:pPr>
          </w:p>
        </w:tc>
        <w:tc>
          <w:tcPr>
            <w:tcW w:w="7620" w:type="dxa"/>
            <w:vAlign w:val="bottom"/>
            <w:shd w:val="clear" w:color="auto" w:fill="CCEEFF"/>
          </w:tcPr>
          <w:p>
            <w:pPr>
              <w:spacing w:after="0"/>
              <w:rPr>
                <w:sz w:val="5"/>
                <w:szCs w:val="5"/>
                <w:color w:val="auto"/>
              </w:rPr>
            </w:pPr>
          </w:p>
        </w:tc>
        <w:tc>
          <w:tcPr>
            <w:tcW w:w="1040" w:type="dxa"/>
            <w:vAlign w:val="bottom"/>
            <w:shd w:val="clear" w:color="auto" w:fill="CCEEFF"/>
          </w:tcPr>
          <w:p>
            <w:pPr>
              <w:spacing w:after="0"/>
              <w:rPr>
                <w:sz w:val="5"/>
                <w:szCs w:val="5"/>
                <w:color w:val="auto"/>
              </w:rPr>
            </w:pPr>
          </w:p>
        </w:tc>
        <w:tc>
          <w:tcPr>
            <w:tcW w:w="680" w:type="dxa"/>
            <w:vAlign w:val="bottom"/>
            <w:shd w:val="clear" w:color="auto" w:fill="CCEEFF"/>
          </w:tcPr>
          <w:p>
            <w:pPr>
              <w:spacing w:after="0"/>
              <w:rPr>
                <w:sz w:val="5"/>
                <w:szCs w:val="5"/>
                <w:color w:val="auto"/>
              </w:rPr>
            </w:pPr>
          </w:p>
        </w:tc>
        <w:tc>
          <w:tcPr>
            <w:tcW w:w="100" w:type="dxa"/>
            <w:vAlign w:val="bottom"/>
            <w:shd w:val="clear" w:color="auto" w:fill="CCEEFF"/>
          </w:tcPr>
          <w:p>
            <w:pPr>
              <w:spacing w:after="0"/>
              <w:rPr>
                <w:sz w:val="5"/>
                <w:szCs w:val="5"/>
                <w:color w:val="auto"/>
              </w:rPr>
            </w:pPr>
          </w:p>
        </w:tc>
        <w:tc>
          <w:tcPr>
            <w:tcW w:w="560" w:type="dxa"/>
            <w:vAlign w:val="bottom"/>
            <w:shd w:val="clear" w:color="auto" w:fill="CCEEFF"/>
          </w:tcPr>
          <w:p>
            <w:pPr>
              <w:spacing w:after="0"/>
              <w:rPr>
                <w:sz w:val="5"/>
                <w:szCs w:val="5"/>
                <w:color w:val="auto"/>
              </w:rPr>
            </w:pPr>
          </w:p>
        </w:tc>
        <w:tc>
          <w:tcPr>
            <w:tcW w:w="1140" w:type="dxa"/>
            <w:vAlign w:val="bottom"/>
            <w:shd w:val="clear" w:color="auto" w:fill="CCEEFF"/>
          </w:tcPr>
          <w:p>
            <w:pPr>
              <w:spacing w:after="0"/>
              <w:rPr>
                <w:sz w:val="5"/>
                <w:szCs w:val="5"/>
                <w:color w:val="auto"/>
              </w:rPr>
            </w:pPr>
          </w:p>
        </w:tc>
        <w:tc>
          <w:tcPr>
            <w:tcW w:w="0" w:type="dxa"/>
            <w:vAlign w:val="bottom"/>
          </w:tcPr>
          <w:p>
            <w:pPr>
              <w:spacing w:after="0"/>
              <w:rPr>
                <w:sz w:val="1"/>
                <w:szCs w:val="1"/>
                <w:color w:val="auto"/>
              </w:rPr>
            </w:pPr>
          </w:p>
        </w:tc>
      </w:tr>
      <w:tr>
        <w:trPr>
          <w:trHeight w:val="224"/>
        </w:trPr>
        <w:tc>
          <w:tcPr>
            <w:tcW w:w="7900" w:type="dxa"/>
            <w:vAlign w:val="bottom"/>
            <w:gridSpan w:val="2"/>
          </w:tcPr>
          <w:p>
            <w:pPr>
              <w:ind w:left="40"/>
              <w:spacing w:after="0"/>
              <w:rPr>
                <w:sz w:val="20"/>
                <w:szCs w:val="20"/>
                <w:color w:val="auto"/>
              </w:rPr>
            </w:pPr>
            <w:r>
              <w:rPr>
                <w:rFonts w:ascii="Arial" w:cs="Arial" w:eastAsia="Arial" w:hAnsi="Arial"/>
                <w:sz w:val="16"/>
                <w:szCs w:val="16"/>
                <w:b w:val="1"/>
                <w:bCs w:val="1"/>
                <w:color w:val="auto"/>
              </w:rPr>
              <w:t>Current assets</w:t>
            </w:r>
          </w:p>
        </w:tc>
        <w:tc>
          <w:tcPr>
            <w:tcW w:w="104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47"/>
        </w:trPr>
        <w:tc>
          <w:tcPr>
            <w:tcW w:w="280" w:type="dxa"/>
            <w:vAlign w:val="bottom"/>
          </w:tcPr>
          <w:p>
            <w:pPr>
              <w:spacing w:after="0"/>
              <w:rPr>
                <w:sz w:val="4"/>
                <w:szCs w:val="4"/>
                <w:color w:val="auto"/>
              </w:rPr>
            </w:pPr>
          </w:p>
        </w:tc>
        <w:tc>
          <w:tcPr>
            <w:tcW w:w="7620" w:type="dxa"/>
            <w:vAlign w:val="bottom"/>
          </w:tcPr>
          <w:p>
            <w:pPr>
              <w:spacing w:after="0"/>
              <w:rPr>
                <w:sz w:val="4"/>
                <w:szCs w:val="4"/>
                <w:color w:val="auto"/>
              </w:rPr>
            </w:pPr>
          </w:p>
        </w:tc>
        <w:tc>
          <w:tcPr>
            <w:tcW w:w="1040" w:type="dxa"/>
            <w:vAlign w:val="bottom"/>
          </w:tcPr>
          <w:p>
            <w:pPr>
              <w:spacing w:after="0"/>
              <w:rPr>
                <w:sz w:val="4"/>
                <w:szCs w:val="4"/>
                <w:color w:val="auto"/>
              </w:rPr>
            </w:pPr>
          </w:p>
        </w:tc>
        <w:tc>
          <w:tcPr>
            <w:tcW w:w="680" w:type="dxa"/>
            <w:vAlign w:val="bottom"/>
          </w:tcPr>
          <w:p>
            <w:pPr>
              <w:spacing w:after="0"/>
              <w:rPr>
                <w:sz w:val="4"/>
                <w:szCs w:val="4"/>
                <w:color w:val="auto"/>
              </w:rPr>
            </w:pPr>
          </w:p>
        </w:tc>
        <w:tc>
          <w:tcPr>
            <w:tcW w:w="100" w:type="dxa"/>
            <w:vAlign w:val="bottom"/>
          </w:tcPr>
          <w:p>
            <w:pPr>
              <w:spacing w:after="0"/>
              <w:rPr>
                <w:sz w:val="4"/>
                <w:szCs w:val="4"/>
                <w:color w:val="auto"/>
              </w:rPr>
            </w:pPr>
          </w:p>
        </w:tc>
        <w:tc>
          <w:tcPr>
            <w:tcW w:w="560" w:type="dxa"/>
            <w:vAlign w:val="bottom"/>
          </w:tcPr>
          <w:p>
            <w:pPr>
              <w:spacing w:after="0"/>
              <w:rPr>
                <w:sz w:val="4"/>
                <w:szCs w:val="4"/>
                <w:color w:val="auto"/>
              </w:rPr>
            </w:pPr>
          </w:p>
        </w:tc>
        <w:tc>
          <w:tcPr>
            <w:tcW w:w="114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70"/>
        </w:trPr>
        <w:tc>
          <w:tcPr>
            <w:tcW w:w="280" w:type="dxa"/>
            <w:vAlign w:val="bottom"/>
            <w:shd w:val="clear" w:color="auto" w:fill="CCEEFF"/>
          </w:tcPr>
          <w:p>
            <w:pPr>
              <w:spacing w:after="0"/>
              <w:rPr>
                <w:sz w:val="23"/>
                <w:szCs w:val="23"/>
                <w:color w:val="auto"/>
              </w:rPr>
            </w:pPr>
          </w:p>
        </w:tc>
        <w:tc>
          <w:tcPr>
            <w:tcW w:w="7620" w:type="dxa"/>
            <w:vAlign w:val="bottom"/>
            <w:shd w:val="clear" w:color="auto" w:fill="CCEEFF"/>
          </w:tcPr>
          <w:p>
            <w:pPr>
              <w:spacing w:after="0"/>
              <w:rPr>
                <w:sz w:val="20"/>
                <w:szCs w:val="20"/>
                <w:color w:val="auto"/>
              </w:rPr>
            </w:pPr>
            <w:r>
              <w:rPr>
                <w:rFonts w:ascii="Arial" w:cs="Arial" w:eastAsia="Arial" w:hAnsi="Arial"/>
                <w:sz w:val="16"/>
                <w:szCs w:val="16"/>
                <w:color w:val="auto"/>
              </w:rPr>
              <w:t>Cash</w:t>
            </w:r>
          </w:p>
        </w:tc>
        <w:tc>
          <w:tcPr>
            <w:tcW w:w="1040" w:type="dxa"/>
            <w:vAlign w:val="bottom"/>
            <w:shd w:val="clear" w:color="auto" w:fill="CCEEFF"/>
          </w:tcPr>
          <w:p>
            <w:pPr>
              <w:jc w:val="right"/>
              <w:ind w:right="841"/>
              <w:spacing w:after="0"/>
              <w:rPr>
                <w:sz w:val="20"/>
                <w:szCs w:val="20"/>
                <w:color w:val="auto"/>
              </w:rPr>
            </w:pPr>
            <w:r>
              <w:rPr>
                <w:rFonts w:ascii="Arial" w:cs="Arial" w:eastAsia="Arial" w:hAnsi="Arial"/>
                <w:sz w:val="16"/>
                <w:szCs w:val="16"/>
                <w:color w:val="auto"/>
              </w:rPr>
              <w:t>$</w:t>
            </w:r>
          </w:p>
        </w:tc>
        <w:tc>
          <w:tcPr>
            <w:tcW w:w="68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267</w:t>
            </w:r>
          </w:p>
        </w:tc>
        <w:tc>
          <w:tcPr>
            <w:tcW w:w="100" w:type="dxa"/>
            <w:vAlign w:val="bottom"/>
            <w:shd w:val="clear" w:color="auto" w:fill="CCEEFF"/>
          </w:tcPr>
          <w:p>
            <w:pPr>
              <w:spacing w:after="0"/>
              <w:rPr>
                <w:sz w:val="23"/>
                <w:szCs w:val="23"/>
                <w:color w:val="auto"/>
              </w:rPr>
            </w:pPr>
          </w:p>
        </w:tc>
        <w:tc>
          <w:tcPr>
            <w:tcW w:w="560" w:type="dxa"/>
            <w:vAlign w:val="bottom"/>
            <w:shd w:val="clear" w:color="auto" w:fill="CCEEFF"/>
          </w:tcPr>
          <w:p>
            <w:pPr>
              <w:jc w:val="right"/>
              <w:ind w:right="359"/>
              <w:spacing w:after="0"/>
              <w:rPr>
                <w:sz w:val="20"/>
                <w:szCs w:val="20"/>
                <w:color w:val="auto"/>
              </w:rPr>
            </w:pPr>
            <w:r>
              <w:rPr>
                <w:rFonts w:ascii="Arial" w:cs="Arial" w:eastAsia="Arial" w:hAnsi="Arial"/>
                <w:sz w:val="16"/>
                <w:szCs w:val="16"/>
                <w:color w:val="auto"/>
              </w:rPr>
              <w:t>$</w:t>
            </w:r>
          </w:p>
        </w:tc>
        <w:tc>
          <w:tcPr>
            <w:tcW w:w="114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265</w:t>
            </w:r>
          </w:p>
        </w:tc>
        <w:tc>
          <w:tcPr>
            <w:tcW w:w="0" w:type="dxa"/>
            <w:vAlign w:val="bottom"/>
          </w:tcPr>
          <w:p>
            <w:pPr>
              <w:spacing w:after="0"/>
              <w:rPr>
                <w:sz w:val="1"/>
                <w:szCs w:val="1"/>
                <w:color w:val="auto"/>
              </w:rPr>
            </w:pPr>
          </w:p>
        </w:tc>
      </w:tr>
      <w:tr>
        <w:trPr>
          <w:trHeight w:val="260"/>
        </w:trPr>
        <w:tc>
          <w:tcPr>
            <w:tcW w:w="280" w:type="dxa"/>
            <w:vAlign w:val="bottom"/>
          </w:tcPr>
          <w:p>
            <w:pPr>
              <w:spacing w:after="0"/>
              <w:rPr>
                <w:sz w:val="22"/>
                <w:szCs w:val="22"/>
                <w:color w:val="auto"/>
              </w:rPr>
            </w:pPr>
          </w:p>
        </w:tc>
        <w:tc>
          <w:tcPr>
            <w:tcW w:w="7620" w:type="dxa"/>
            <w:vAlign w:val="bottom"/>
          </w:tcPr>
          <w:p>
            <w:pPr>
              <w:spacing w:after="0"/>
              <w:rPr>
                <w:sz w:val="20"/>
                <w:szCs w:val="20"/>
                <w:color w:val="auto"/>
              </w:rPr>
            </w:pPr>
            <w:r>
              <w:rPr>
                <w:rFonts w:ascii="Arial" w:cs="Arial" w:eastAsia="Arial" w:hAnsi="Arial"/>
                <w:sz w:val="16"/>
                <w:szCs w:val="16"/>
                <w:color w:val="auto"/>
              </w:rPr>
              <w:t>Short-term investments</w:t>
            </w:r>
          </w:p>
        </w:tc>
        <w:tc>
          <w:tcPr>
            <w:tcW w:w="1040" w:type="dxa"/>
            <w:vAlign w:val="bottom"/>
          </w:tcPr>
          <w:p>
            <w:pPr>
              <w:spacing w:after="0"/>
              <w:rPr>
                <w:sz w:val="22"/>
                <w:szCs w:val="22"/>
                <w:color w:val="auto"/>
              </w:rPr>
            </w:pPr>
          </w:p>
        </w:tc>
        <w:tc>
          <w:tcPr>
            <w:tcW w:w="680" w:type="dxa"/>
            <w:vAlign w:val="bottom"/>
          </w:tcPr>
          <w:p>
            <w:pPr>
              <w:jc w:val="right"/>
              <w:ind w:right="39"/>
              <w:spacing w:after="0"/>
              <w:rPr>
                <w:sz w:val="20"/>
                <w:szCs w:val="20"/>
                <w:color w:val="auto"/>
              </w:rPr>
            </w:pPr>
            <w:r>
              <w:rPr>
                <w:rFonts w:ascii="Arial" w:cs="Arial" w:eastAsia="Arial" w:hAnsi="Arial"/>
                <w:sz w:val="16"/>
                <w:szCs w:val="16"/>
                <w:color w:val="auto"/>
              </w:rPr>
              <w:t>3,543</w:t>
            </w:r>
          </w:p>
        </w:tc>
        <w:tc>
          <w:tcPr>
            <w:tcW w:w="100" w:type="dxa"/>
            <w:vAlign w:val="bottom"/>
          </w:tcPr>
          <w:p>
            <w:pPr>
              <w:spacing w:after="0"/>
              <w:rPr>
                <w:sz w:val="22"/>
                <w:szCs w:val="22"/>
                <w:color w:val="auto"/>
              </w:rPr>
            </w:pPr>
          </w:p>
        </w:tc>
        <w:tc>
          <w:tcPr>
            <w:tcW w:w="560" w:type="dxa"/>
            <w:vAlign w:val="bottom"/>
          </w:tcPr>
          <w:p>
            <w:pPr>
              <w:spacing w:after="0"/>
              <w:rPr>
                <w:sz w:val="22"/>
                <w:szCs w:val="22"/>
                <w:color w:val="auto"/>
              </w:rPr>
            </w:pPr>
          </w:p>
        </w:tc>
        <w:tc>
          <w:tcPr>
            <w:tcW w:w="1140" w:type="dxa"/>
            <w:vAlign w:val="bottom"/>
          </w:tcPr>
          <w:p>
            <w:pPr>
              <w:jc w:val="right"/>
              <w:ind w:right="19"/>
              <w:spacing w:after="0"/>
              <w:rPr>
                <w:sz w:val="20"/>
                <w:szCs w:val="20"/>
                <w:color w:val="auto"/>
              </w:rPr>
            </w:pPr>
            <w:r>
              <w:rPr>
                <w:rFonts w:ascii="Arial" w:cs="Arial" w:eastAsia="Arial" w:hAnsi="Arial"/>
                <w:sz w:val="16"/>
                <w:szCs w:val="16"/>
                <w:color w:val="auto"/>
              </w:rPr>
              <w:t>4,482</w:t>
            </w:r>
          </w:p>
        </w:tc>
        <w:tc>
          <w:tcPr>
            <w:tcW w:w="0" w:type="dxa"/>
            <w:vAlign w:val="bottom"/>
          </w:tcPr>
          <w:p>
            <w:pPr>
              <w:spacing w:after="0"/>
              <w:rPr>
                <w:sz w:val="1"/>
                <w:szCs w:val="1"/>
                <w:color w:val="auto"/>
              </w:rPr>
            </w:pPr>
          </w:p>
        </w:tc>
      </w:tr>
      <w:tr>
        <w:trPr>
          <w:trHeight w:val="280"/>
        </w:trPr>
        <w:tc>
          <w:tcPr>
            <w:tcW w:w="280" w:type="dxa"/>
            <w:vAlign w:val="bottom"/>
            <w:shd w:val="clear" w:color="auto" w:fill="CCEEFF"/>
          </w:tcPr>
          <w:p>
            <w:pPr>
              <w:spacing w:after="0"/>
              <w:rPr>
                <w:sz w:val="24"/>
                <w:szCs w:val="24"/>
                <w:color w:val="auto"/>
              </w:rPr>
            </w:pPr>
          </w:p>
        </w:tc>
        <w:tc>
          <w:tcPr>
            <w:tcW w:w="7620" w:type="dxa"/>
            <w:vAlign w:val="bottom"/>
            <w:shd w:val="clear" w:color="auto" w:fill="CCEEFF"/>
          </w:tcPr>
          <w:p>
            <w:pPr>
              <w:spacing w:after="0"/>
              <w:rPr>
                <w:sz w:val="20"/>
                <w:szCs w:val="20"/>
                <w:color w:val="auto"/>
              </w:rPr>
            </w:pPr>
            <w:r>
              <w:rPr>
                <w:rFonts w:ascii="Arial" w:cs="Arial" w:eastAsia="Arial" w:hAnsi="Arial"/>
                <w:sz w:val="16"/>
                <w:szCs w:val="16"/>
                <w:color w:val="auto"/>
              </w:rPr>
              <w:t>Restricted cash and short-term investments</w:t>
            </w:r>
          </w:p>
        </w:tc>
        <w:tc>
          <w:tcPr>
            <w:tcW w:w="1040" w:type="dxa"/>
            <w:vAlign w:val="bottom"/>
            <w:shd w:val="clear" w:color="auto" w:fill="CCEEFF"/>
          </w:tcPr>
          <w:p>
            <w:pPr>
              <w:spacing w:after="0"/>
              <w:rPr>
                <w:sz w:val="24"/>
                <w:szCs w:val="24"/>
                <w:color w:val="auto"/>
              </w:rPr>
            </w:pPr>
          </w:p>
        </w:tc>
        <w:tc>
          <w:tcPr>
            <w:tcW w:w="68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158</w:t>
            </w:r>
          </w:p>
        </w:tc>
        <w:tc>
          <w:tcPr>
            <w:tcW w:w="100" w:type="dxa"/>
            <w:vAlign w:val="bottom"/>
            <w:shd w:val="clear" w:color="auto" w:fill="CCEEFF"/>
          </w:tcPr>
          <w:p>
            <w:pPr>
              <w:spacing w:after="0"/>
              <w:rPr>
                <w:sz w:val="24"/>
                <w:szCs w:val="24"/>
                <w:color w:val="auto"/>
              </w:rPr>
            </w:pPr>
          </w:p>
        </w:tc>
        <w:tc>
          <w:tcPr>
            <w:tcW w:w="560" w:type="dxa"/>
            <w:vAlign w:val="bottom"/>
            <w:shd w:val="clear" w:color="auto" w:fill="CCEEFF"/>
          </w:tcPr>
          <w:p>
            <w:pPr>
              <w:spacing w:after="0"/>
              <w:rPr>
                <w:sz w:val="24"/>
                <w:szCs w:val="24"/>
                <w:color w:val="auto"/>
              </w:rPr>
            </w:pPr>
          </w:p>
        </w:tc>
        <w:tc>
          <w:tcPr>
            <w:tcW w:w="114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154</w:t>
            </w:r>
          </w:p>
        </w:tc>
        <w:tc>
          <w:tcPr>
            <w:tcW w:w="0" w:type="dxa"/>
            <w:vAlign w:val="bottom"/>
          </w:tcPr>
          <w:p>
            <w:pPr>
              <w:spacing w:after="0"/>
              <w:rPr>
                <w:sz w:val="1"/>
                <w:szCs w:val="1"/>
                <w:color w:val="auto"/>
              </w:rPr>
            </w:pPr>
          </w:p>
        </w:tc>
      </w:tr>
      <w:tr>
        <w:trPr>
          <w:trHeight w:val="260"/>
        </w:trPr>
        <w:tc>
          <w:tcPr>
            <w:tcW w:w="280" w:type="dxa"/>
            <w:vAlign w:val="bottom"/>
          </w:tcPr>
          <w:p>
            <w:pPr>
              <w:spacing w:after="0"/>
              <w:rPr>
                <w:sz w:val="22"/>
                <w:szCs w:val="22"/>
                <w:color w:val="auto"/>
              </w:rPr>
            </w:pPr>
          </w:p>
        </w:tc>
        <w:tc>
          <w:tcPr>
            <w:tcW w:w="7620" w:type="dxa"/>
            <w:vAlign w:val="bottom"/>
          </w:tcPr>
          <w:p>
            <w:pPr>
              <w:spacing w:after="0"/>
              <w:rPr>
                <w:sz w:val="20"/>
                <w:szCs w:val="20"/>
                <w:color w:val="auto"/>
              </w:rPr>
            </w:pPr>
            <w:r>
              <w:rPr>
                <w:rFonts w:ascii="Arial" w:cs="Arial" w:eastAsia="Arial" w:hAnsi="Arial"/>
                <w:sz w:val="16"/>
                <w:szCs w:val="16"/>
                <w:color w:val="auto"/>
              </w:rPr>
              <w:t>Accounts receivable, net</w:t>
            </w:r>
          </w:p>
        </w:tc>
        <w:tc>
          <w:tcPr>
            <w:tcW w:w="1040" w:type="dxa"/>
            <w:vAlign w:val="bottom"/>
          </w:tcPr>
          <w:p>
            <w:pPr>
              <w:spacing w:after="0"/>
              <w:rPr>
                <w:sz w:val="22"/>
                <w:szCs w:val="22"/>
                <w:color w:val="auto"/>
              </w:rPr>
            </w:pPr>
          </w:p>
        </w:tc>
        <w:tc>
          <w:tcPr>
            <w:tcW w:w="680" w:type="dxa"/>
            <w:vAlign w:val="bottom"/>
          </w:tcPr>
          <w:p>
            <w:pPr>
              <w:jc w:val="right"/>
              <w:ind w:right="39"/>
              <w:spacing w:after="0"/>
              <w:rPr>
                <w:sz w:val="20"/>
                <w:szCs w:val="20"/>
                <w:color w:val="auto"/>
              </w:rPr>
            </w:pPr>
            <w:r>
              <w:rPr>
                <w:rFonts w:ascii="Arial" w:cs="Arial" w:eastAsia="Arial" w:hAnsi="Arial"/>
                <w:sz w:val="16"/>
                <w:szCs w:val="16"/>
                <w:color w:val="auto"/>
              </w:rPr>
              <w:t>1,770</w:t>
            </w:r>
          </w:p>
        </w:tc>
        <w:tc>
          <w:tcPr>
            <w:tcW w:w="100" w:type="dxa"/>
            <w:vAlign w:val="bottom"/>
          </w:tcPr>
          <w:p>
            <w:pPr>
              <w:spacing w:after="0"/>
              <w:rPr>
                <w:sz w:val="22"/>
                <w:szCs w:val="22"/>
                <w:color w:val="auto"/>
              </w:rPr>
            </w:pPr>
          </w:p>
        </w:tc>
        <w:tc>
          <w:tcPr>
            <w:tcW w:w="560" w:type="dxa"/>
            <w:vAlign w:val="bottom"/>
          </w:tcPr>
          <w:p>
            <w:pPr>
              <w:spacing w:after="0"/>
              <w:rPr>
                <w:sz w:val="22"/>
                <w:szCs w:val="22"/>
                <w:color w:val="auto"/>
              </w:rPr>
            </w:pPr>
          </w:p>
        </w:tc>
        <w:tc>
          <w:tcPr>
            <w:tcW w:w="1140" w:type="dxa"/>
            <w:vAlign w:val="bottom"/>
          </w:tcPr>
          <w:p>
            <w:pPr>
              <w:jc w:val="right"/>
              <w:ind w:right="19"/>
              <w:spacing w:after="0"/>
              <w:rPr>
                <w:sz w:val="20"/>
                <w:szCs w:val="20"/>
                <w:color w:val="auto"/>
              </w:rPr>
            </w:pPr>
            <w:r>
              <w:rPr>
                <w:rFonts w:ascii="Arial" w:cs="Arial" w:eastAsia="Arial" w:hAnsi="Arial"/>
                <w:sz w:val="16"/>
                <w:szCs w:val="16"/>
                <w:color w:val="auto"/>
              </w:rPr>
              <w:t>1,755</w:t>
            </w:r>
          </w:p>
        </w:tc>
        <w:tc>
          <w:tcPr>
            <w:tcW w:w="0" w:type="dxa"/>
            <w:vAlign w:val="bottom"/>
          </w:tcPr>
          <w:p>
            <w:pPr>
              <w:spacing w:after="0"/>
              <w:rPr>
                <w:sz w:val="1"/>
                <w:szCs w:val="1"/>
                <w:color w:val="auto"/>
              </w:rPr>
            </w:pPr>
          </w:p>
        </w:tc>
      </w:tr>
      <w:tr>
        <w:trPr>
          <w:trHeight w:val="280"/>
        </w:trPr>
        <w:tc>
          <w:tcPr>
            <w:tcW w:w="280" w:type="dxa"/>
            <w:vAlign w:val="bottom"/>
            <w:shd w:val="clear" w:color="auto" w:fill="CCEEFF"/>
          </w:tcPr>
          <w:p>
            <w:pPr>
              <w:spacing w:after="0"/>
              <w:rPr>
                <w:sz w:val="24"/>
                <w:szCs w:val="24"/>
                <w:color w:val="auto"/>
              </w:rPr>
            </w:pPr>
          </w:p>
        </w:tc>
        <w:tc>
          <w:tcPr>
            <w:tcW w:w="7620" w:type="dxa"/>
            <w:vAlign w:val="bottom"/>
            <w:shd w:val="clear" w:color="auto" w:fill="CCEEFF"/>
          </w:tcPr>
          <w:p>
            <w:pPr>
              <w:spacing w:after="0"/>
              <w:rPr>
                <w:sz w:val="20"/>
                <w:szCs w:val="20"/>
                <w:color w:val="auto"/>
              </w:rPr>
            </w:pPr>
            <w:r>
              <w:rPr>
                <w:rFonts w:ascii="Arial" w:cs="Arial" w:eastAsia="Arial" w:hAnsi="Arial"/>
                <w:sz w:val="16"/>
                <w:szCs w:val="16"/>
                <w:color w:val="auto"/>
              </w:rPr>
              <w:t>Receivables from related parties, net</w:t>
            </w:r>
          </w:p>
        </w:tc>
        <w:tc>
          <w:tcPr>
            <w:tcW w:w="1040" w:type="dxa"/>
            <w:vAlign w:val="bottom"/>
            <w:shd w:val="clear" w:color="auto" w:fill="CCEEFF"/>
          </w:tcPr>
          <w:p>
            <w:pPr>
              <w:spacing w:after="0"/>
              <w:rPr>
                <w:sz w:val="24"/>
                <w:szCs w:val="24"/>
                <w:color w:val="auto"/>
              </w:rPr>
            </w:pPr>
          </w:p>
        </w:tc>
        <w:tc>
          <w:tcPr>
            <w:tcW w:w="68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12,451</w:t>
            </w:r>
          </w:p>
        </w:tc>
        <w:tc>
          <w:tcPr>
            <w:tcW w:w="100" w:type="dxa"/>
            <w:vAlign w:val="bottom"/>
            <w:shd w:val="clear" w:color="auto" w:fill="CCEEFF"/>
          </w:tcPr>
          <w:p>
            <w:pPr>
              <w:spacing w:after="0"/>
              <w:rPr>
                <w:sz w:val="24"/>
                <w:szCs w:val="24"/>
                <w:color w:val="auto"/>
              </w:rPr>
            </w:pPr>
          </w:p>
        </w:tc>
        <w:tc>
          <w:tcPr>
            <w:tcW w:w="560" w:type="dxa"/>
            <w:vAlign w:val="bottom"/>
            <w:shd w:val="clear" w:color="auto" w:fill="CCEEFF"/>
          </w:tcPr>
          <w:p>
            <w:pPr>
              <w:spacing w:after="0"/>
              <w:rPr>
                <w:sz w:val="24"/>
                <w:szCs w:val="24"/>
                <w:color w:val="auto"/>
              </w:rPr>
            </w:pPr>
          </w:p>
        </w:tc>
        <w:tc>
          <w:tcPr>
            <w:tcW w:w="114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10,666</w:t>
            </w:r>
          </w:p>
        </w:tc>
        <w:tc>
          <w:tcPr>
            <w:tcW w:w="0" w:type="dxa"/>
            <w:vAlign w:val="bottom"/>
          </w:tcPr>
          <w:p>
            <w:pPr>
              <w:spacing w:after="0"/>
              <w:rPr>
                <w:sz w:val="1"/>
                <w:szCs w:val="1"/>
                <w:color w:val="auto"/>
              </w:rPr>
            </w:pPr>
          </w:p>
        </w:tc>
      </w:tr>
      <w:tr>
        <w:trPr>
          <w:trHeight w:val="260"/>
        </w:trPr>
        <w:tc>
          <w:tcPr>
            <w:tcW w:w="280" w:type="dxa"/>
            <w:vAlign w:val="bottom"/>
          </w:tcPr>
          <w:p>
            <w:pPr>
              <w:spacing w:after="0"/>
              <w:rPr>
                <w:sz w:val="22"/>
                <w:szCs w:val="22"/>
                <w:color w:val="auto"/>
              </w:rPr>
            </w:pPr>
          </w:p>
        </w:tc>
        <w:tc>
          <w:tcPr>
            <w:tcW w:w="7620" w:type="dxa"/>
            <w:vAlign w:val="bottom"/>
          </w:tcPr>
          <w:p>
            <w:pPr>
              <w:spacing w:after="0"/>
              <w:rPr>
                <w:sz w:val="20"/>
                <w:szCs w:val="20"/>
                <w:color w:val="auto"/>
              </w:rPr>
            </w:pPr>
            <w:r>
              <w:rPr>
                <w:rFonts w:ascii="Arial" w:cs="Arial" w:eastAsia="Arial" w:hAnsi="Arial"/>
                <w:sz w:val="16"/>
                <w:szCs w:val="16"/>
                <w:color w:val="auto"/>
              </w:rPr>
              <w:t>Aircraft fuel, spare parts and supplies, net</w:t>
            </w:r>
          </w:p>
        </w:tc>
        <w:tc>
          <w:tcPr>
            <w:tcW w:w="1040" w:type="dxa"/>
            <w:vAlign w:val="bottom"/>
          </w:tcPr>
          <w:p>
            <w:pPr>
              <w:spacing w:after="0"/>
              <w:rPr>
                <w:sz w:val="22"/>
                <w:szCs w:val="22"/>
                <w:color w:val="auto"/>
              </w:rPr>
            </w:pPr>
          </w:p>
        </w:tc>
        <w:tc>
          <w:tcPr>
            <w:tcW w:w="680" w:type="dxa"/>
            <w:vAlign w:val="bottom"/>
          </w:tcPr>
          <w:p>
            <w:pPr>
              <w:jc w:val="right"/>
              <w:ind w:right="39"/>
              <w:spacing w:after="0"/>
              <w:rPr>
                <w:sz w:val="20"/>
                <w:szCs w:val="20"/>
                <w:color w:val="auto"/>
              </w:rPr>
            </w:pPr>
            <w:r>
              <w:rPr>
                <w:rFonts w:ascii="Arial" w:cs="Arial" w:eastAsia="Arial" w:hAnsi="Arial"/>
                <w:sz w:val="16"/>
                <w:szCs w:val="16"/>
                <w:color w:val="auto"/>
              </w:rPr>
              <w:t>1,754</w:t>
            </w:r>
          </w:p>
        </w:tc>
        <w:tc>
          <w:tcPr>
            <w:tcW w:w="100" w:type="dxa"/>
            <w:vAlign w:val="bottom"/>
          </w:tcPr>
          <w:p>
            <w:pPr>
              <w:spacing w:after="0"/>
              <w:rPr>
                <w:sz w:val="22"/>
                <w:szCs w:val="22"/>
                <w:color w:val="auto"/>
              </w:rPr>
            </w:pPr>
          </w:p>
        </w:tc>
        <w:tc>
          <w:tcPr>
            <w:tcW w:w="560" w:type="dxa"/>
            <w:vAlign w:val="bottom"/>
          </w:tcPr>
          <w:p>
            <w:pPr>
              <w:spacing w:after="0"/>
              <w:rPr>
                <w:sz w:val="22"/>
                <w:szCs w:val="22"/>
                <w:color w:val="auto"/>
              </w:rPr>
            </w:pPr>
          </w:p>
        </w:tc>
        <w:tc>
          <w:tcPr>
            <w:tcW w:w="1140" w:type="dxa"/>
            <w:vAlign w:val="bottom"/>
          </w:tcPr>
          <w:p>
            <w:pPr>
              <w:jc w:val="right"/>
              <w:ind w:right="19"/>
              <w:spacing w:after="0"/>
              <w:rPr>
                <w:sz w:val="20"/>
                <w:szCs w:val="20"/>
                <w:color w:val="auto"/>
              </w:rPr>
            </w:pPr>
            <w:r>
              <w:rPr>
                <w:rFonts w:ascii="Arial" w:cs="Arial" w:eastAsia="Arial" w:hAnsi="Arial"/>
                <w:sz w:val="16"/>
                <w:szCs w:val="16"/>
                <w:color w:val="auto"/>
              </w:rPr>
              <w:t>1,442</w:t>
            </w:r>
          </w:p>
        </w:tc>
        <w:tc>
          <w:tcPr>
            <w:tcW w:w="0" w:type="dxa"/>
            <w:vAlign w:val="bottom"/>
          </w:tcPr>
          <w:p>
            <w:pPr>
              <w:spacing w:after="0"/>
              <w:rPr>
                <w:sz w:val="1"/>
                <w:szCs w:val="1"/>
                <w:color w:val="auto"/>
              </w:rPr>
            </w:pPr>
          </w:p>
        </w:tc>
      </w:tr>
      <w:tr>
        <w:trPr>
          <w:trHeight w:val="280"/>
        </w:trPr>
        <w:tc>
          <w:tcPr>
            <w:tcW w:w="280" w:type="dxa"/>
            <w:vAlign w:val="bottom"/>
            <w:shd w:val="clear" w:color="auto" w:fill="CCEEFF"/>
          </w:tcPr>
          <w:p>
            <w:pPr>
              <w:spacing w:after="0"/>
              <w:rPr>
                <w:sz w:val="24"/>
                <w:szCs w:val="24"/>
                <w:color w:val="auto"/>
              </w:rPr>
            </w:pPr>
          </w:p>
        </w:tc>
        <w:tc>
          <w:tcPr>
            <w:tcW w:w="7620" w:type="dxa"/>
            <w:vAlign w:val="bottom"/>
            <w:shd w:val="clear" w:color="auto" w:fill="CCEEFF"/>
          </w:tcPr>
          <w:p>
            <w:pPr>
              <w:spacing w:after="0"/>
              <w:rPr>
                <w:sz w:val="20"/>
                <w:szCs w:val="20"/>
                <w:color w:val="auto"/>
              </w:rPr>
            </w:pPr>
            <w:r>
              <w:rPr>
                <w:rFonts w:ascii="Arial" w:cs="Arial" w:eastAsia="Arial" w:hAnsi="Arial"/>
                <w:sz w:val="16"/>
                <w:szCs w:val="16"/>
                <w:color w:val="auto"/>
              </w:rPr>
              <w:t>Prepaid expenses and other</w:t>
            </w:r>
          </w:p>
        </w:tc>
        <w:tc>
          <w:tcPr>
            <w:tcW w:w="1040" w:type="dxa"/>
            <w:vAlign w:val="bottom"/>
            <w:tcBorders>
              <w:bottom w:val="single" w:sz="8" w:color="auto"/>
            </w:tcBorders>
            <w:shd w:val="clear" w:color="auto" w:fill="CCEEFF"/>
          </w:tcPr>
          <w:p>
            <w:pPr>
              <w:spacing w:after="0"/>
              <w:rPr>
                <w:sz w:val="24"/>
                <w:szCs w:val="24"/>
                <w:color w:val="auto"/>
              </w:rPr>
            </w:pPr>
          </w:p>
        </w:tc>
        <w:tc>
          <w:tcPr>
            <w:tcW w:w="680" w:type="dxa"/>
            <w:vAlign w:val="bottom"/>
            <w:tcBorders>
              <w:bottom w:val="single" w:sz="8" w:color="auto"/>
            </w:tcBorders>
            <w:shd w:val="clear" w:color="auto" w:fill="CCEEFF"/>
          </w:tcPr>
          <w:p>
            <w:pPr>
              <w:jc w:val="right"/>
              <w:ind w:right="39"/>
              <w:spacing w:after="0"/>
              <w:rPr>
                <w:sz w:val="20"/>
                <w:szCs w:val="20"/>
                <w:color w:val="auto"/>
              </w:rPr>
            </w:pPr>
            <w:r>
              <w:rPr>
                <w:rFonts w:ascii="Arial" w:cs="Arial" w:eastAsia="Arial" w:hAnsi="Arial"/>
                <w:sz w:val="16"/>
                <w:szCs w:val="16"/>
                <w:color w:val="auto"/>
              </w:rPr>
              <w:t>584</w:t>
            </w:r>
          </w:p>
        </w:tc>
        <w:tc>
          <w:tcPr>
            <w:tcW w:w="100" w:type="dxa"/>
            <w:vAlign w:val="bottom"/>
            <w:shd w:val="clear" w:color="auto" w:fill="CCEEFF"/>
          </w:tcPr>
          <w:p>
            <w:pPr>
              <w:spacing w:after="0"/>
              <w:rPr>
                <w:sz w:val="24"/>
                <w:szCs w:val="24"/>
                <w:color w:val="auto"/>
              </w:rPr>
            </w:pPr>
          </w:p>
        </w:tc>
        <w:tc>
          <w:tcPr>
            <w:tcW w:w="560" w:type="dxa"/>
            <w:vAlign w:val="bottom"/>
            <w:tcBorders>
              <w:bottom w:val="single" w:sz="8" w:color="auto"/>
            </w:tcBorders>
            <w:shd w:val="clear" w:color="auto" w:fill="CCEEFF"/>
          </w:tcPr>
          <w:p>
            <w:pPr>
              <w:spacing w:after="0"/>
              <w:rPr>
                <w:sz w:val="24"/>
                <w:szCs w:val="24"/>
                <w:color w:val="auto"/>
              </w:rPr>
            </w:pPr>
          </w:p>
        </w:tc>
        <w:tc>
          <w:tcPr>
            <w:tcW w:w="114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493</w:t>
            </w:r>
          </w:p>
        </w:tc>
        <w:tc>
          <w:tcPr>
            <w:tcW w:w="0" w:type="dxa"/>
            <w:vAlign w:val="bottom"/>
          </w:tcPr>
          <w:p>
            <w:pPr>
              <w:spacing w:after="0"/>
              <w:rPr>
                <w:sz w:val="1"/>
                <w:szCs w:val="1"/>
                <w:color w:val="auto"/>
              </w:rPr>
            </w:pPr>
          </w:p>
        </w:tc>
      </w:tr>
      <w:tr>
        <w:trPr>
          <w:trHeight w:val="240"/>
        </w:trPr>
        <w:tc>
          <w:tcPr>
            <w:tcW w:w="280" w:type="dxa"/>
            <w:vAlign w:val="bottom"/>
          </w:tcPr>
          <w:p>
            <w:pPr>
              <w:spacing w:after="0"/>
              <w:rPr>
                <w:sz w:val="20"/>
                <w:szCs w:val="20"/>
                <w:color w:val="auto"/>
              </w:rPr>
            </w:pPr>
          </w:p>
        </w:tc>
        <w:tc>
          <w:tcPr>
            <w:tcW w:w="7620" w:type="dxa"/>
            <w:vAlign w:val="bottom"/>
          </w:tcPr>
          <w:p>
            <w:pPr>
              <w:ind w:left="220"/>
              <w:spacing w:after="0"/>
              <w:rPr>
                <w:sz w:val="20"/>
                <w:szCs w:val="20"/>
                <w:color w:val="auto"/>
              </w:rPr>
            </w:pPr>
            <w:r>
              <w:rPr>
                <w:rFonts w:ascii="Arial" w:cs="Arial" w:eastAsia="Arial" w:hAnsi="Arial"/>
                <w:sz w:val="16"/>
                <w:szCs w:val="16"/>
                <w:color w:val="auto"/>
              </w:rPr>
              <w:t>Total current assets</w:t>
            </w:r>
          </w:p>
        </w:tc>
        <w:tc>
          <w:tcPr>
            <w:tcW w:w="1040" w:type="dxa"/>
            <w:vAlign w:val="bottom"/>
          </w:tcPr>
          <w:p>
            <w:pPr>
              <w:spacing w:after="0"/>
              <w:rPr>
                <w:sz w:val="20"/>
                <w:szCs w:val="20"/>
                <w:color w:val="auto"/>
              </w:rPr>
            </w:pPr>
          </w:p>
        </w:tc>
        <w:tc>
          <w:tcPr>
            <w:tcW w:w="680" w:type="dxa"/>
            <w:vAlign w:val="bottom"/>
          </w:tcPr>
          <w:p>
            <w:pPr>
              <w:jc w:val="right"/>
              <w:ind w:right="39"/>
              <w:spacing w:after="0"/>
              <w:rPr>
                <w:sz w:val="20"/>
                <w:szCs w:val="20"/>
                <w:color w:val="auto"/>
              </w:rPr>
            </w:pPr>
            <w:r>
              <w:rPr>
                <w:rFonts w:ascii="Arial" w:cs="Arial" w:eastAsia="Arial" w:hAnsi="Arial"/>
                <w:sz w:val="16"/>
                <w:szCs w:val="16"/>
                <w:color w:val="auto"/>
              </w:rPr>
              <w:t>20,527</w:t>
            </w:r>
          </w:p>
        </w:tc>
        <w:tc>
          <w:tcPr>
            <w:tcW w:w="10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1140" w:type="dxa"/>
            <w:vAlign w:val="bottom"/>
          </w:tcPr>
          <w:p>
            <w:pPr>
              <w:jc w:val="right"/>
              <w:ind w:right="19"/>
              <w:spacing w:after="0"/>
              <w:rPr>
                <w:sz w:val="20"/>
                <w:szCs w:val="20"/>
                <w:color w:val="auto"/>
              </w:rPr>
            </w:pPr>
            <w:r>
              <w:rPr>
                <w:rFonts w:ascii="Arial" w:cs="Arial" w:eastAsia="Arial" w:hAnsi="Arial"/>
                <w:sz w:val="16"/>
                <w:szCs w:val="16"/>
                <w:color w:val="auto"/>
              </w:rPr>
              <w:t>19,257</w:t>
            </w:r>
          </w:p>
        </w:tc>
        <w:tc>
          <w:tcPr>
            <w:tcW w:w="0" w:type="dxa"/>
            <w:vAlign w:val="bottom"/>
          </w:tcPr>
          <w:p>
            <w:pPr>
              <w:spacing w:after="0"/>
              <w:rPr>
                <w:sz w:val="1"/>
                <w:szCs w:val="1"/>
                <w:color w:val="auto"/>
              </w:rPr>
            </w:pPr>
          </w:p>
        </w:tc>
      </w:tr>
      <w:tr>
        <w:trPr>
          <w:trHeight w:val="260"/>
        </w:trPr>
        <w:tc>
          <w:tcPr>
            <w:tcW w:w="790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6"/>
                <w:szCs w:val="16"/>
                <w:b w:val="1"/>
                <w:bCs w:val="1"/>
                <w:color w:val="auto"/>
              </w:rPr>
              <w:t>Operating property and equipment</w:t>
            </w:r>
          </w:p>
        </w:tc>
        <w:tc>
          <w:tcPr>
            <w:tcW w:w="1040" w:type="dxa"/>
            <w:vAlign w:val="bottom"/>
            <w:tcBorders>
              <w:bottom w:val="single" w:sz="8" w:color="CCEEFF"/>
            </w:tcBorders>
            <w:shd w:val="clear" w:color="auto" w:fill="CCEEFF"/>
          </w:tcPr>
          <w:p>
            <w:pPr>
              <w:spacing w:after="0"/>
              <w:rPr>
                <w:sz w:val="22"/>
                <w:szCs w:val="22"/>
                <w:color w:val="auto"/>
              </w:rPr>
            </w:pPr>
          </w:p>
        </w:tc>
        <w:tc>
          <w:tcPr>
            <w:tcW w:w="68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560" w:type="dxa"/>
            <w:vAlign w:val="bottom"/>
            <w:tcBorders>
              <w:bottom w:val="single" w:sz="8" w:color="CCEEFF"/>
            </w:tcBorders>
            <w:shd w:val="clear" w:color="auto" w:fill="CCEEFF"/>
          </w:tcPr>
          <w:p>
            <w:pPr>
              <w:spacing w:after="0"/>
              <w:rPr>
                <w:sz w:val="22"/>
                <w:szCs w:val="22"/>
                <w:color w:val="auto"/>
              </w:rPr>
            </w:pPr>
          </w:p>
        </w:tc>
        <w:tc>
          <w:tcPr>
            <w:tcW w:w="1140" w:type="dxa"/>
            <w:vAlign w:val="bottom"/>
            <w:tcBorders>
              <w:bottom w:val="single" w:sz="8" w:color="CCEEFF"/>
            </w:tcBorders>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60"/>
        </w:trPr>
        <w:tc>
          <w:tcPr>
            <w:tcW w:w="280" w:type="dxa"/>
            <w:vAlign w:val="bottom"/>
          </w:tcPr>
          <w:p>
            <w:pPr>
              <w:spacing w:after="0"/>
              <w:rPr>
                <w:sz w:val="22"/>
                <w:szCs w:val="22"/>
                <w:color w:val="auto"/>
              </w:rPr>
            </w:pPr>
          </w:p>
        </w:tc>
        <w:tc>
          <w:tcPr>
            <w:tcW w:w="7620" w:type="dxa"/>
            <w:vAlign w:val="bottom"/>
          </w:tcPr>
          <w:p>
            <w:pPr>
              <w:spacing w:after="0"/>
              <w:rPr>
                <w:sz w:val="20"/>
                <w:szCs w:val="20"/>
                <w:color w:val="auto"/>
              </w:rPr>
            </w:pPr>
            <w:r>
              <w:rPr>
                <w:rFonts w:ascii="Arial" w:cs="Arial" w:eastAsia="Arial" w:hAnsi="Arial"/>
                <w:sz w:val="16"/>
                <w:szCs w:val="16"/>
                <w:color w:val="auto"/>
              </w:rPr>
              <w:t>Flight equipment</w:t>
            </w:r>
          </w:p>
        </w:tc>
        <w:tc>
          <w:tcPr>
            <w:tcW w:w="1040" w:type="dxa"/>
            <w:vAlign w:val="bottom"/>
          </w:tcPr>
          <w:p>
            <w:pPr>
              <w:spacing w:after="0"/>
              <w:rPr>
                <w:sz w:val="22"/>
                <w:szCs w:val="22"/>
                <w:color w:val="auto"/>
              </w:rPr>
            </w:pPr>
          </w:p>
        </w:tc>
        <w:tc>
          <w:tcPr>
            <w:tcW w:w="680" w:type="dxa"/>
            <w:vAlign w:val="bottom"/>
          </w:tcPr>
          <w:p>
            <w:pPr>
              <w:jc w:val="right"/>
              <w:ind w:right="39"/>
              <w:spacing w:after="0"/>
              <w:rPr>
                <w:sz w:val="20"/>
                <w:szCs w:val="20"/>
                <w:color w:val="auto"/>
              </w:rPr>
            </w:pPr>
            <w:r>
              <w:rPr>
                <w:rFonts w:ascii="Arial" w:cs="Arial" w:eastAsia="Arial" w:hAnsi="Arial"/>
                <w:sz w:val="16"/>
                <w:szCs w:val="16"/>
                <w:color w:val="auto"/>
              </w:rPr>
              <w:t>42,213</w:t>
            </w:r>
          </w:p>
        </w:tc>
        <w:tc>
          <w:tcPr>
            <w:tcW w:w="100" w:type="dxa"/>
            <w:vAlign w:val="bottom"/>
          </w:tcPr>
          <w:p>
            <w:pPr>
              <w:spacing w:after="0"/>
              <w:rPr>
                <w:sz w:val="22"/>
                <w:szCs w:val="22"/>
                <w:color w:val="auto"/>
              </w:rPr>
            </w:pPr>
          </w:p>
        </w:tc>
        <w:tc>
          <w:tcPr>
            <w:tcW w:w="560" w:type="dxa"/>
            <w:vAlign w:val="bottom"/>
          </w:tcPr>
          <w:p>
            <w:pPr>
              <w:spacing w:after="0"/>
              <w:rPr>
                <w:sz w:val="22"/>
                <w:szCs w:val="22"/>
                <w:color w:val="auto"/>
              </w:rPr>
            </w:pPr>
          </w:p>
        </w:tc>
        <w:tc>
          <w:tcPr>
            <w:tcW w:w="1140" w:type="dxa"/>
            <w:vAlign w:val="bottom"/>
          </w:tcPr>
          <w:p>
            <w:pPr>
              <w:jc w:val="right"/>
              <w:ind w:right="19"/>
              <w:spacing w:after="0"/>
              <w:rPr>
                <w:sz w:val="20"/>
                <w:szCs w:val="20"/>
                <w:color w:val="auto"/>
              </w:rPr>
            </w:pPr>
            <w:r>
              <w:rPr>
                <w:rFonts w:ascii="Arial" w:cs="Arial" w:eastAsia="Arial" w:hAnsi="Arial"/>
                <w:sz w:val="16"/>
                <w:szCs w:val="16"/>
                <w:color w:val="auto"/>
              </w:rPr>
              <w:t>41,180</w:t>
            </w:r>
          </w:p>
        </w:tc>
        <w:tc>
          <w:tcPr>
            <w:tcW w:w="0" w:type="dxa"/>
            <w:vAlign w:val="bottom"/>
          </w:tcPr>
          <w:p>
            <w:pPr>
              <w:spacing w:after="0"/>
              <w:rPr>
                <w:sz w:val="1"/>
                <w:szCs w:val="1"/>
                <w:color w:val="auto"/>
              </w:rPr>
            </w:pPr>
          </w:p>
        </w:tc>
      </w:tr>
      <w:tr>
        <w:trPr>
          <w:trHeight w:val="280"/>
        </w:trPr>
        <w:tc>
          <w:tcPr>
            <w:tcW w:w="280" w:type="dxa"/>
            <w:vAlign w:val="bottom"/>
            <w:shd w:val="clear" w:color="auto" w:fill="CCEEFF"/>
          </w:tcPr>
          <w:p>
            <w:pPr>
              <w:spacing w:after="0"/>
              <w:rPr>
                <w:sz w:val="24"/>
                <w:szCs w:val="24"/>
                <w:color w:val="auto"/>
              </w:rPr>
            </w:pPr>
          </w:p>
        </w:tc>
        <w:tc>
          <w:tcPr>
            <w:tcW w:w="7620" w:type="dxa"/>
            <w:vAlign w:val="bottom"/>
            <w:shd w:val="clear" w:color="auto" w:fill="CCEEFF"/>
          </w:tcPr>
          <w:p>
            <w:pPr>
              <w:spacing w:after="0"/>
              <w:rPr>
                <w:sz w:val="20"/>
                <w:szCs w:val="20"/>
                <w:color w:val="auto"/>
              </w:rPr>
            </w:pPr>
            <w:r>
              <w:rPr>
                <w:rFonts w:ascii="Arial" w:cs="Arial" w:eastAsia="Arial" w:hAnsi="Arial"/>
                <w:sz w:val="16"/>
                <w:szCs w:val="16"/>
                <w:color w:val="auto"/>
              </w:rPr>
              <w:t>Ground property and equipment</w:t>
            </w:r>
          </w:p>
        </w:tc>
        <w:tc>
          <w:tcPr>
            <w:tcW w:w="1040" w:type="dxa"/>
            <w:vAlign w:val="bottom"/>
            <w:shd w:val="clear" w:color="auto" w:fill="CCEEFF"/>
          </w:tcPr>
          <w:p>
            <w:pPr>
              <w:spacing w:after="0"/>
              <w:rPr>
                <w:sz w:val="24"/>
                <w:szCs w:val="24"/>
                <w:color w:val="auto"/>
              </w:rPr>
            </w:pPr>
          </w:p>
        </w:tc>
        <w:tc>
          <w:tcPr>
            <w:tcW w:w="68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9,089</w:t>
            </w:r>
          </w:p>
        </w:tc>
        <w:tc>
          <w:tcPr>
            <w:tcW w:w="100" w:type="dxa"/>
            <w:vAlign w:val="bottom"/>
            <w:shd w:val="clear" w:color="auto" w:fill="CCEEFF"/>
          </w:tcPr>
          <w:p>
            <w:pPr>
              <w:spacing w:after="0"/>
              <w:rPr>
                <w:sz w:val="24"/>
                <w:szCs w:val="24"/>
                <w:color w:val="auto"/>
              </w:rPr>
            </w:pPr>
          </w:p>
        </w:tc>
        <w:tc>
          <w:tcPr>
            <w:tcW w:w="560" w:type="dxa"/>
            <w:vAlign w:val="bottom"/>
            <w:shd w:val="clear" w:color="auto" w:fill="CCEEFF"/>
          </w:tcPr>
          <w:p>
            <w:pPr>
              <w:spacing w:after="0"/>
              <w:rPr>
                <w:sz w:val="24"/>
                <w:szCs w:val="24"/>
                <w:color w:val="auto"/>
              </w:rPr>
            </w:pPr>
          </w:p>
        </w:tc>
        <w:tc>
          <w:tcPr>
            <w:tcW w:w="114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8,466</w:t>
            </w:r>
          </w:p>
        </w:tc>
        <w:tc>
          <w:tcPr>
            <w:tcW w:w="0" w:type="dxa"/>
            <w:vAlign w:val="bottom"/>
          </w:tcPr>
          <w:p>
            <w:pPr>
              <w:spacing w:after="0"/>
              <w:rPr>
                <w:sz w:val="1"/>
                <w:szCs w:val="1"/>
                <w:color w:val="auto"/>
              </w:rPr>
            </w:pPr>
          </w:p>
        </w:tc>
      </w:tr>
      <w:tr>
        <w:trPr>
          <w:trHeight w:val="264"/>
        </w:trPr>
        <w:tc>
          <w:tcPr>
            <w:tcW w:w="280" w:type="dxa"/>
            <w:vAlign w:val="bottom"/>
            <w:tcBorders>
              <w:bottom w:val="single" w:sz="8" w:color="CCEEFF"/>
            </w:tcBorders>
          </w:tcPr>
          <w:p>
            <w:pPr>
              <w:spacing w:after="0"/>
              <w:rPr>
                <w:sz w:val="22"/>
                <w:szCs w:val="22"/>
                <w:color w:val="auto"/>
              </w:rPr>
            </w:pPr>
          </w:p>
        </w:tc>
        <w:tc>
          <w:tcPr>
            <w:tcW w:w="7620" w:type="dxa"/>
            <w:vAlign w:val="bottom"/>
            <w:tcBorders>
              <w:bottom w:val="single" w:sz="8" w:color="CCEEFF"/>
            </w:tcBorders>
          </w:tcPr>
          <w:p>
            <w:pPr>
              <w:spacing w:after="0"/>
              <w:rPr>
                <w:sz w:val="20"/>
                <w:szCs w:val="20"/>
                <w:color w:val="auto"/>
              </w:rPr>
            </w:pPr>
            <w:r>
              <w:rPr>
                <w:rFonts w:ascii="Arial" w:cs="Arial" w:eastAsia="Arial" w:hAnsi="Arial"/>
                <w:sz w:val="16"/>
                <w:szCs w:val="16"/>
                <w:color w:val="auto"/>
              </w:rPr>
              <w:t>Equipment purchase deposits</w:t>
            </w:r>
          </w:p>
        </w:tc>
        <w:tc>
          <w:tcPr>
            <w:tcW w:w="1040" w:type="dxa"/>
            <w:vAlign w:val="bottom"/>
            <w:tcBorders>
              <w:bottom w:val="single" w:sz="8" w:color="auto"/>
            </w:tcBorders>
          </w:tcPr>
          <w:p>
            <w:pPr>
              <w:spacing w:after="0"/>
              <w:rPr>
                <w:sz w:val="22"/>
                <w:szCs w:val="22"/>
                <w:color w:val="auto"/>
              </w:rPr>
            </w:pPr>
          </w:p>
        </w:tc>
        <w:tc>
          <w:tcPr>
            <w:tcW w:w="68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rPr>
              <w:t>1,674</w:t>
            </w:r>
          </w:p>
        </w:tc>
        <w:tc>
          <w:tcPr>
            <w:tcW w:w="100" w:type="dxa"/>
            <w:vAlign w:val="bottom"/>
            <w:tcBorders>
              <w:bottom w:val="single" w:sz="8" w:color="CCEEFF"/>
            </w:tcBorders>
          </w:tcPr>
          <w:p>
            <w:pPr>
              <w:spacing w:after="0"/>
              <w:rPr>
                <w:sz w:val="22"/>
                <w:szCs w:val="22"/>
                <w:color w:val="auto"/>
              </w:rPr>
            </w:pPr>
          </w:p>
        </w:tc>
        <w:tc>
          <w:tcPr>
            <w:tcW w:w="560" w:type="dxa"/>
            <w:vAlign w:val="bottom"/>
            <w:tcBorders>
              <w:bottom w:val="single" w:sz="8" w:color="auto"/>
            </w:tcBorders>
          </w:tcPr>
          <w:p>
            <w:pPr>
              <w:spacing w:after="0"/>
              <w:rPr>
                <w:sz w:val="22"/>
                <w:szCs w:val="22"/>
                <w:color w:val="auto"/>
              </w:rPr>
            </w:pPr>
          </w:p>
        </w:tc>
        <w:tc>
          <w:tcPr>
            <w:tcW w:w="114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1,277</w:t>
            </w:r>
          </w:p>
        </w:tc>
        <w:tc>
          <w:tcPr>
            <w:tcW w:w="0" w:type="dxa"/>
            <w:vAlign w:val="bottom"/>
          </w:tcPr>
          <w:p>
            <w:pPr>
              <w:spacing w:after="0"/>
              <w:rPr>
                <w:sz w:val="1"/>
                <w:szCs w:val="1"/>
                <w:color w:val="auto"/>
              </w:rPr>
            </w:pPr>
          </w:p>
        </w:tc>
      </w:tr>
      <w:tr>
        <w:trPr>
          <w:trHeight w:val="257"/>
        </w:trPr>
        <w:tc>
          <w:tcPr>
            <w:tcW w:w="280" w:type="dxa"/>
            <w:vAlign w:val="bottom"/>
            <w:shd w:val="clear" w:color="auto" w:fill="CCEEFF"/>
          </w:tcPr>
          <w:p>
            <w:pPr>
              <w:spacing w:after="0"/>
              <w:rPr>
                <w:sz w:val="22"/>
                <w:szCs w:val="22"/>
                <w:color w:val="auto"/>
              </w:rPr>
            </w:pPr>
          </w:p>
        </w:tc>
        <w:tc>
          <w:tcPr>
            <w:tcW w:w="7620" w:type="dxa"/>
            <w:vAlign w:val="bottom"/>
            <w:shd w:val="clear" w:color="auto" w:fill="CCEEFF"/>
          </w:tcPr>
          <w:p>
            <w:pPr>
              <w:ind w:left="220"/>
              <w:spacing w:after="0"/>
              <w:rPr>
                <w:sz w:val="20"/>
                <w:szCs w:val="20"/>
                <w:color w:val="auto"/>
              </w:rPr>
            </w:pPr>
            <w:r>
              <w:rPr>
                <w:rFonts w:ascii="Arial" w:cs="Arial" w:eastAsia="Arial" w:hAnsi="Arial"/>
                <w:sz w:val="16"/>
                <w:szCs w:val="16"/>
                <w:color w:val="auto"/>
              </w:rPr>
              <w:t>Total property and equipment, at cost</w:t>
            </w:r>
          </w:p>
        </w:tc>
        <w:tc>
          <w:tcPr>
            <w:tcW w:w="1040" w:type="dxa"/>
            <w:vAlign w:val="bottom"/>
            <w:shd w:val="clear" w:color="auto" w:fill="CCEEFF"/>
          </w:tcPr>
          <w:p>
            <w:pPr>
              <w:spacing w:after="0"/>
              <w:rPr>
                <w:sz w:val="22"/>
                <w:szCs w:val="22"/>
                <w:color w:val="auto"/>
              </w:rPr>
            </w:pPr>
          </w:p>
        </w:tc>
        <w:tc>
          <w:tcPr>
            <w:tcW w:w="68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52,976</w:t>
            </w:r>
          </w:p>
        </w:tc>
        <w:tc>
          <w:tcPr>
            <w:tcW w:w="100" w:type="dxa"/>
            <w:vAlign w:val="bottom"/>
            <w:shd w:val="clear" w:color="auto" w:fill="CCEEFF"/>
          </w:tcPr>
          <w:p>
            <w:pPr>
              <w:spacing w:after="0"/>
              <w:rPr>
                <w:sz w:val="22"/>
                <w:szCs w:val="22"/>
                <w:color w:val="auto"/>
              </w:rPr>
            </w:pPr>
          </w:p>
        </w:tc>
        <w:tc>
          <w:tcPr>
            <w:tcW w:w="560" w:type="dxa"/>
            <w:vAlign w:val="bottom"/>
            <w:shd w:val="clear" w:color="auto" w:fill="CCEEFF"/>
          </w:tcPr>
          <w:p>
            <w:pPr>
              <w:spacing w:after="0"/>
              <w:rPr>
                <w:sz w:val="22"/>
                <w:szCs w:val="22"/>
                <w:color w:val="auto"/>
              </w:rPr>
            </w:pPr>
          </w:p>
        </w:tc>
        <w:tc>
          <w:tcPr>
            <w:tcW w:w="114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50,923</w:t>
            </w:r>
          </w:p>
        </w:tc>
        <w:tc>
          <w:tcPr>
            <w:tcW w:w="0" w:type="dxa"/>
            <w:vAlign w:val="bottom"/>
          </w:tcPr>
          <w:p>
            <w:pPr>
              <w:spacing w:after="0"/>
              <w:rPr>
                <w:sz w:val="1"/>
                <w:szCs w:val="1"/>
                <w:color w:val="auto"/>
              </w:rPr>
            </w:pPr>
          </w:p>
        </w:tc>
      </w:tr>
      <w:tr>
        <w:trPr>
          <w:trHeight w:val="264"/>
        </w:trPr>
        <w:tc>
          <w:tcPr>
            <w:tcW w:w="280" w:type="dxa"/>
            <w:vAlign w:val="bottom"/>
            <w:tcBorders>
              <w:bottom w:val="single" w:sz="8" w:color="CCEEFF"/>
            </w:tcBorders>
          </w:tcPr>
          <w:p>
            <w:pPr>
              <w:spacing w:after="0"/>
              <w:rPr>
                <w:sz w:val="22"/>
                <w:szCs w:val="22"/>
                <w:color w:val="auto"/>
              </w:rPr>
            </w:pPr>
          </w:p>
        </w:tc>
        <w:tc>
          <w:tcPr>
            <w:tcW w:w="7620" w:type="dxa"/>
            <w:vAlign w:val="bottom"/>
            <w:tcBorders>
              <w:bottom w:val="single" w:sz="8" w:color="CCEEFF"/>
            </w:tcBorders>
          </w:tcPr>
          <w:p>
            <w:pPr>
              <w:spacing w:after="0"/>
              <w:rPr>
                <w:sz w:val="20"/>
                <w:szCs w:val="20"/>
                <w:color w:val="auto"/>
              </w:rPr>
            </w:pPr>
            <w:r>
              <w:rPr>
                <w:rFonts w:ascii="Arial" w:cs="Arial" w:eastAsia="Arial" w:hAnsi="Arial"/>
                <w:sz w:val="16"/>
                <w:szCs w:val="16"/>
                <w:color w:val="auto"/>
              </w:rPr>
              <w:t>Less accumulated depreciation and amortization</w:t>
            </w:r>
          </w:p>
        </w:tc>
        <w:tc>
          <w:tcPr>
            <w:tcW w:w="1040" w:type="dxa"/>
            <w:vAlign w:val="bottom"/>
            <w:tcBorders>
              <w:bottom w:val="single" w:sz="8" w:color="auto"/>
            </w:tcBorders>
          </w:tcPr>
          <w:p>
            <w:pPr>
              <w:spacing w:after="0"/>
              <w:rPr>
                <w:sz w:val="22"/>
                <w:szCs w:val="22"/>
                <w:color w:val="auto"/>
              </w:rPr>
            </w:pP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(18,335)</w:t>
            </w:r>
          </w:p>
        </w:tc>
        <w:tc>
          <w:tcPr>
            <w:tcW w:w="100" w:type="dxa"/>
            <w:vAlign w:val="bottom"/>
            <w:tcBorders>
              <w:bottom w:val="single" w:sz="8" w:color="CCEEFF"/>
            </w:tcBorders>
          </w:tcPr>
          <w:p>
            <w:pPr>
              <w:spacing w:after="0"/>
              <w:rPr>
                <w:sz w:val="22"/>
                <w:szCs w:val="22"/>
                <w:color w:val="auto"/>
              </w:rPr>
            </w:pPr>
          </w:p>
        </w:tc>
        <w:tc>
          <w:tcPr>
            <w:tcW w:w="560" w:type="dxa"/>
            <w:vAlign w:val="bottom"/>
            <w:tcBorders>
              <w:bottom w:val="single" w:sz="8" w:color="auto"/>
            </w:tcBorders>
          </w:tcPr>
          <w:p>
            <w:pPr>
              <w:spacing w:after="0"/>
              <w:rPr>
                <w:sz w:val="22"/>
                <w:szCs w:val="22"/>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(17,123)</w:t>
            </w:r>
          </w:p>
        </w:tc>
        <w:tc>
          <w:tcPr>
            <w:tcW w:w="0" w:type="dxa"/>
            <w:vAlign w:val="bottom"/>
          </w:tcPr>
          <w:p>
            <w:pPr>
              <w:spacing w:after="0"/>
              <w:rPr>
                <w:sz w:val="1"/>
                <w:szCs w:val="1"/>
                <w:color w:val="auto"/>
              </w:rPr>
            </w:pPr>
          </w:p>
        </w:tc>
      </w:tr>
      <w:tr>
        <w:trPr>
          <w:trHeight w:val="257"/>
        </w:trPr>
        <w:tc>
          <w:tcPr>
            <w:tcW w:w="280" w:type="dxa"/>
            <w:vAlign w:val="bottom"/>
            <w:shd w:val="clear" w:color="auto" w:fill="CCEEFF"/>
          </w:tcPr>
          <w:p>
            <w:pPr>
              <w:spacing w:after="0"/>
              <w:rPr>
                <w:sz w:val="22"/>
                <w:szCs w:val="22"/>
                <w:color w:val="auto"/>
              </w:rPr>
            </w:pPr>
          </w:p>
        </w:tc>
        <w:tc>
          <w:tcPr>
            <w:tcW w:w="7620" w:type="dxa"/>
            <w:vAlign w:val="bottom"/>
            <w:shd w:val="clear" w:color="auto" w:fill="CCEEFF"/>
          </w:tcPr>
          <w:p>
            <w:pPr>
              <w:ind w:left="220"/>
              <w:spacing w:after="0"/>
              <w:rPr>
                <w:sz w:val="20"/>
                <w:szCs w:val="20"/>
                <w:color w:val="auto"/>
              </w:rPr>
            </w:pPr>
            <w:r>
              <w:rPr>
                <w:rFonts w:ascii="Arial" w:cs="Arial" w:eastAsia="Arial" w:hAnsi="Arial"/>
                <w:sz w:val="16"/>
                <w:szCs w:val="16"/>
                <w:color w:val="auto"/>
              </w:rPr>
              <w:t>Total property and equipment, net</w:t>
            </w:r>
          </w:p>
        </w:tc>
        <w:tc>
          <w:tcPr>
            <w:tcW w:w="1040" w:type="dxa"/>
            <w:vAlign w:val="bottom"/>
            <w:shd w:val="clear" w:color="auto" w:fill="CCEEFF"/>
          </w:tcPr>
          <w:p>
            <w:pPr>
              <w:spacing w:after="0"/>
              <w:rPr>
                <w:sz w:val="22"/>
                <w:szCs w:val="22"/>
                <w:color w:val="auto"/>
              </w:rPr>
            </w:pPr>
          </w:p>
        </w:tc>
        <w:tc>
          <w:tcPr>
            <w:tcW w:w="68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34,641</w:t>
            </w:r>
          </w:p>
        </w:tc>
        <w:tc>
          <w:tcPr>
            <w:tcW w:w="100" w:type="dxa"/>
            <w:vAlign w:val="bottom"/>
            <w:shd w:val="clear" w:color="auto" w:fill="CCEEFF"/>
          </w:tcPr>
          <w:p>
            <w:pPr>
              <w:spacing w:after="0"/>
              <w:rPr>
                <w:sz w:val="22"/>
                <w:szCs w:val="22"/>
                <w:color w:val="auto"/>
              </w:rPr>
            </w:pPr>
          </w:p>
        </w:tc>
        <w:tc>
          <w:tcPr>
            <w:tcW w:w="560" w:type="dxa"/>
            <w:vAlign w:val="bottom"/>
            <w:shd w:val="clear" w:color="auto" w:fill="CCEEFF"/>
          </w:tcPr>
          <w:p>
            <w:pPr>
              <w:spacing w:after="0"/>
              <w:rPr>
                <w:sz w:val="22"/>
                <w:szCs w:val="22"/>
                <w:color w:val="auto"/>
              </w:rPr>
            </w:pPr>
          </w:p>
        </w:tc>
        <w:tc>
          <w:tcPr>
            <w:tcW w:w="114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33,800</w:t>
            </w:r>
          </w:p>
        </w:tc>
        <w:tc>
          <w:tcPr>
            <w:tcW w:w="0" w:type="dxa"/>
            <w:vAlign w:val="bottom"/>
          </w:tcPr>
          <w:p>
            <w:pPr>
              <w:spacing w:after="0"/>
              <w:rPr>
                <w:sz w:val="1"/>
                <w:szCs w:val="1"/>
                <w:color w:val="auto"/>
              </w:rPr>
            </w:pPr>
          </w:p>
        </w:tc>
      </w:tr>
      <w:tr>
        <w:trPr>
          <w:trHeight w:val="260"/>
        </w:trPr>
        <w:tc>
          <w:tcPr>
            <w:tcW w:w="7900" w:type="dxa"/>
            <w:vAlign w:val="bottom"/>
            <w:gridSpan w:val="2"/>
          </w:tcPr>
          <w:p>
            <w:pPr>
              <w:ind w:left="40"/>
              <w:spacing w:after="0"/>
              <w:rPr>
                <w:sz w:val="20"/>
                <w:szCs w:val="20"/>
                <w:color w:val="auto"/>
              </w:rPr>
            </w:pPr>
            <w:r>
              <w:rPr>
                <w:rFonts w:ascii="Arial" w:cs="Arial" w:eastAsia="Arial" w:hAnsi="Arial"/>
                <w:sz w:val="16"/>
                <w:szCs w:val="16"/>
                <w:b w:val="1"/>
                <w:bCs w:val="1"/>
                <w:color w:val="auto"/>
              </w:rPr>
              <w:t>Operating lease right-of-use assets</w:t>
            </w:r>
          </w:p>
        </w:tc>
        <w:tc>
          <w:tcPr>
            <w:tcW w:w="1040" w:type="dxa"/>
            <w:vAlign w:val="bottom"/>
          </w:tcPr>
          <w:p>
            <w:pPr>
              <w:spacing w:after="0"/>
              <w:rPr>
                <w:sz w:val="22"/>
                <w:szCs w:val="22"/>
                <w:color w:val="auto"/>
              </w:rPr>
            </w:pPr>
          </w:p>
        </w:tc>
        <w:tc>
          <w:tcPr>
            <w:tcW w:w="680" w:type="dxa"/>
            <w:vAlign w:val="bottom"/>
          </w:tcPr>
          <w:p>
            <w:pPr>
              <w:jc w:val="right"/>
              <w:ind w:right="39"/>
              <w:spacing w:after="0"/>
              <w:rPr>
                <w:sz w:val="20"/>
                <w:szCs w:val="20"/>
                <w:color w:val="auto"/>
              </w:rPr>
            </w:pPr>
            <w:r>
              <w:rPr>
                <w:rFonts w:ascii="Arial" w:cs="Arial" w:eastAsia="Arial" w:hAnsi="Arial"/>
                <w:sz w:val="16"/>
                <w:szCs w:val="16"/>
                <w:color w:val="auto"/>
              </w:rPr>
              <w:t>8,694</w:t>
            </w:r>
          </w:p>
        </w:tc>
        <w:tc>
          <w:tcPr>
            <w:tcW w:w="100" w:type="dxa"/>
            <w:vAlign w:val="bottom"/>
          </w:tcPr>
          <w:p>
            <w:pPr>
              <w:spacing w:after="0"/>
              <w:rPr>
                <w:sz w:val="22"/>
                <w:szCs w:val="22"/>
                <w:color w:val="auto"/>
              </w:rPr>
            </w:pPr>
          </w:p>
        </w:tc>
        <w:tc>
          <w:tcPr>
            <w:tcW w:w="560" w:type="dxa"/>
            <w:vAlign w:val="bottom"/>
          </w:tcPr>
          <w:p>
            <w:pPr>
              <w:spacing w:after="0"/>
              <w:rPr>
                <w:sz w:val="22"/>
                <w:szCs w:val="22"/>
                <w:color w:val="auto"/>
              </w:rPr>
            </w:pPr>
          </w:p>
        </w:tc>
        <w:tc>
          <w:tcPr>
            <w:tcW w:w="1140" w:type="dxa"/>
            <w:vAlign w:val="bottom"/>
          </w:tcPr>
          <w:p>
            <w:pPr>
              <w:jc w:val="right"/>
              <w:ind w:right="19"/>
              <w:spacing w:after="0"/>
              <w:rPr>
                <w:sz w:val="20"/>
                <w:szCs w:val="20"/>
                <w:color w:val="auto"/>
              </w:rPr>
            </w:pPr>
            <w:r>
              <w:rPr>
                <w:rFonts w:ascii="Arial" w:cs="Arial" w:eastAsia="Arial" w:hAnsi="Arial"/>
                <w:sz w:val="16"/>
                <w:szCs w:val="16"/>
                <w:color w:val="auto"/>
              </w:rPr>
              <w:t>9,094</w:t>
            </w:r>
          </w:p>
        </w:tc>
        <w:tc>
          <w:tcPr>
            <w:tcW w:w="0" w:type="dxa"/>
            <w:vAlign w:val="bottom"/>
          </w:tcPr>
          <w:p>
            <w:pPr>
              <w:spacing w:after="0"/>
              <w:rPr>
                <w:sz w:val="1"/>
                <w:szCs w:val="1"/>
                <w:color w:val="auto"/>
              </w:rPr>
            </w:pPr>
          </w:p>
        </w:tc>
      </w:tr>
      <w:tr>
        <w:trPr>
          <w:trHeight w:val="260"/>
        </w:trPr>
        <w:tc>
          <w:tcPr>
            <w:tcW w:w="790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6"/>
                <w:szCs w:val="16"/>
                <w:b w:val="1"/>
                <w:bCs w:val="1"/>
                <w:color w:val="auto"/>
              </w:rPr>
              <w:t>Other assets</w:t>
            </w:r>
          </w:p>
        </w:tc>
        <w:tc>
          <w:tcPr>
            <w:tcW w:w="1040" w:type="dxa"/>
            <w:vAlign w:val="bottom"/>
            <w:tcBorders>
              <w:bottom w:val="single" w:sz="8" w:color="CCEEFF"/>
            </w:tcBorders>
            <w:shd w:val="clear" w:color="auto" w:fill="CCEEFF"/>
          </w:tcPr>
          <w:p>
            <w:pPr>
              <w:spacing w:after="0"/>
              <w:rPr>
                <w:sz w:val="22"/>
                <w:szCs w:val="22"/>
                <w:color w:val="auto"/>
              </w:rPr>
            </w:pPr>
          </w:p>
        </w:tc>
        <w:tc>
          <w:tcPr>
            <w:tcW w:w="68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560" w:type="dxa"/>
            <w:vAlign w:val="bottom"/>
            <w:tcBorders>
              <w:bottom w:val="single" w:sz="8" w:color="CCEEFF"/>
            </w:tcBorders>
            <w:shd w:val="clear" w:color="auto" w:fill="CCEEFF"/>
          </w:tcPr>
          <w:p>
            <w:pPr>
              <w:spacing w:after="0"/>
              <w:rPr>
                <w:sz w:val="22"/>
                <w:szCs w:val="22"/>
                <w:color w:val="auto"/>
              </w:rPr>
            </w:pPr>
          </w:p>
        </w:tc>
        <w:tc>
          <w:tcPr>
            <w:tcW w:w="1140" w:type="dxa"/>
            <w:vAlign w:val="bottom"/>
            <w:tcBorders>
              <w:bottom w:val="single" w:sz="8" w:color="CCEEFF"/>
            </w:tcBorders>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60"/>
        </w:trPr>
        <w:tc>
          <w:tcPr>
            <w:tcW w:w="280" w:type="dxa"/>
            <w:vAlign w:val="bottom"/>
          </w:tcPr>
          <w:p>
            <w:pPr>
              <w:spacing w:after="0"/>
              <w:rPr>
                <w:sz w:val="22"/>
                <w:szCs w:val="22"/>
                <w:color w:val="auto"/>
              </w:rPr>
            </w:pPr>
          </w:p>
        </w:tc>
        <w:tc>
          <w:tcPr>
            <w:tcW w:w="7620" w:type="dxa"/>
            <w:vAlign w:val="bottom"/>
          </w:tcPr>
          <w:p>
            <w:pPr>
              <w:spacing w:after="0"/>
              <w:rPr>
                <w:sz w:val="20"/>
                <w:szCs w:val="20"/>
                <w:color w:val="auto"/>
              </w:rPr>
            </w:pPr>
            <w:r>
              <w:rPr>
                <w:rFonts w:ascii="Arial" w:cs="Arial" w:eastAsia="Arial" w:hAnsi="Arial"/>
                <w:sz w:val="16"/>
                <w:szCs w:val="16"/>
                <w:color w:val="auto"/>
              </w:rPr>
              <w:t>Goodwill</w:t>
            </w:r>
          </w:p>
        </w:tc>
        <w:tc>
          <w:tcPr>
            <w:tcW w:w="1040" w:type="dxa"/>
            <w:vAlign w:val="bottom"/>
          </w:tcPr>
          <w:p>
            <w:pPr>
              <w:spacing w:after="0"/>
              <w:rPr>
                <w:sz w:val="22"/>
                <w:szCs w:val="22"/>
                <w:color w:val="auto"/>
              </w:rPr>
            </w:pPr>
          </w:p>
        </w:tc>
        <w:tc>
          <w:tcPr>
            <w:tcW w:w="680" w:type="dxa"/>
            <w:vAlign w:val="bottom"/>
          </w:tcPr>
          <w:p>
            <w:pPr>
              <w:jc w:val="right"/>
              <w:ind w:right="39"/>
              <w:spacing w:after="0"/>
              <w:rPr>
                <w:sz w:val="20"/>
                <w:szCs w:val="20"/>
                <w:color w:val="auto"/>
              </w:rPr>
            </w:pPr>
            <w:r>
              <w:rPr>
                <w:rFonts w:ascii="Arial" w:cs="Arial" w:eastAsia="Arial" w:hAnsi="Arial"/>
                <w:sz w:val="16"/>
                <w:szCs w:val="16"/>
                <w:color w:val="auto"/>
              </w:rPr>
              <w:t>4,091</w:t>
            </w:r>
          </w:p>
        </w:tc>
        <w:tc>
          <w:tcPr>
            <w:tcW w:w="100" w:type="dxa"/>
            <w:vAlign w:val="bottom"/>
          </w:tcPr>
          <w:p>
            <w:pPr>
              <w:spacing w:after="0"/>
              <w:rPr>
                <w:sz w:val="22"/>
                <w:szCs w:val="22"/>
                <w:color w:val="auto"/>
              </w:rPr>
            </w:pPr>
          </w:p>
        </w:tc>
        <w:tc>
          <w:tcPr>
            <w:tcW w:w="560" w:type="dxa"/>
            <w:vAlign w:val="bottom"/>
          </w:tcPr>
          <w:p>
            <w:pPr>
              <w:spacing w:after="0"/>
              <w:rPr>
                <w:sz w:val="22"/>
                <w:szCs w:val="22"/>
                <w:color w:val="auto"/>
              </w:rPr>
            </w:pPr>
          </w:p>
        </w:tc>
        <w:tc>
          <w:tcPr>
            <w:tcW w:w="1140" w:type="dxa"/>
            <w:vAlign w:val="bottom"/>
          </w:tcPr>
          <w:p>
            <w:pPr>
              <w:jc w:val="right"/>
              <w:ind w:right="19"/>
              <w:spacing w:after="0"/>
              <w:rPr>
                <w:sz w:val="20"/>
                <w:szCs w:val="20"/>
                <w:color w:val="auto"/>
              </w:rPr>
            </w:pPr>
            <w:r>
              <w:rPr>
                <w:rFonts w:ascii="Arial" w:cs="Arial" w:eastAsia="Arial" w:hAnsi="Arial"/>
                <w:sz w:val="16"/>
                <w:szCs w:val="16"/>
                <w:color w:val="auto"/>
              </w:rPr>
              <w:t>4,091</w:t>
            </w:r>
          </w:p>
        </w:tc>
        <w:tc>
          <w:tcPr>
            <w:tcW w:w="0" w:type="dxa"/>
            <w:vAlign w:val="bottom"/>
          </w:tcPr>
          <w:p>
            <w:pPr>
              <w:spacing w:after="0"/>
              <w:rPr>
                <w:sz w:val="1"/>
                <w:szCs w:val="1"/>
                <w:color w:val="auto"/>
              </w:rPr>
            </w:pPr>
          </w:p>
        </w:tc>
      </w:tr>
      <w:tr>
        <w:trPr>
          <w:trHeight w:val="280"/>
        </w:trPr>
        <w:tc>
          <w:tcPr>
            <w:tcW w:w="280" w:type="dxa"/>
            <w:vAlign w:val="bottom"/>
            <w:shd w:val="clear" w:color="auto" w:fill="CCEEFF"/>
          </w:tcPr>
          <w:p>
            <w:pPr>
              <w:spacing w:after="0"/>
              <w:rPr>
                <w:sz w:val="24"/>
                <w:szCs w:val="24"/>
                <w:color w:val="auto"/>
              </w:rPr>
            </w:pPr>
          </w:p>
        </w:tc>
        <w:tc>
          <w:tcPr>
            <w:tcW w:w="7620" w:type="dxa"/>
            <w:vAlign w:val="bottom"/>
            <w:shd w:val="clear" w:color="auto" w:fill="CCEEFF"/>
          </w:tcPr>
          <w:p>
            <w:pPr>
              <w:spacing w:after="0"/>
              <w:rPr>
                <w:sz w:val="20"/>
                <w:szCs w:val="20"/>
                <w:color w:val="auto"/>
              </w:rPr>
            </w:pPr>
            <w:r>
              <w:rPr>
                <w:rFonts w:ascii="Arial" w:cs="Arial" w:eastAsia="Arial" w:hAnsi="Arial"/>
                <w:sz w:val="16"/>
                <w:szCs w:val="16"/>
                <w:color w:val="auto"/>
              </w:rPr>
              <w:t>Intangibles, net of accumulated amortization of $704 and $663, respectively</w:t>
            </w:r>
          </w:p>
        </w:tc>
        <w:tc>
          <w:tcPr>
            <w:tcW w:w="1040" w:type="dxa"/>
            <w:vAlign w:val="bottom"/>
            <w:shd w:val="clear" w:color="auto" w:fill="CCEEFF"/>
          </w:tcPr>
          <w:p>
            <w:pPr>
              <w:spacing w:after="0"/>
              <w:rPr>
                <w:sz w:val="24"/>
                <w:szCs w:val="24"/>
                <w:color w:val="auto"/>
              </w:rPr>
            </w:pPr>
          </w:p>
        </w:tc>
        <w:tc>
          <w:tcPr>
            <w:tcW w:w="68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2,084</w:t>
            </w:r>
          </w:p>
        </w:tc>
        <w:tc>
          <w:tcPr>
            <w:tcW w:w="100" w:type="dxa"/>
            <w:vAlign w:val="bottom"/>
            <w:shd w:val="clear" w:color="auto" w:fill="CCEEFF"/>
          </w:tcPr>
          <w:p>
            <w:pPr>
              <w:spacing w:after="0"/>
              <w:rPr>
                <w:sz w:val="24"/>
                <w:szCs w:val="24"/>
                <w:color w:val="auto"/>
              </w:rPr>
            </w:pPr>
          </w:p>
        </w:tc>
        <w:tc>
          <w:tcPr>
            <w:tcW w:w="560" w:type="dxa"/>
            <w:vAlign w:val="bottom"/>
            <w:shd w:val="clear" w:color="auto" w:fill="CCEEFF"/>
          </w:tcPr>
          <w:p>
            <w:pPr>
              <w:spacing w:after="0"/>
              <w:rPr>
                <w:sz w:val="24"/>
                <w:szCs w:val="24"/>
                <w:color w:val="auto"/>
              </w:rPr>
            </w:pPr>
          </w:p>
        </w:tc>
        <w:tc>
          <w:tcPr>
            <w:tcW w:w="114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2,137</w:t>
            </w:r>
          </w:p>
        </w:tc>
        <w:tc>
          <w:tcPr>
            <w:tcW w:w="0" w:type="dxa"/>
            <w:vAlign w:val="bottom"/>
          </w:tcPr>
          <w:p>
            <w:pPr>
              <w:spacing w:after="0"/>
              <w:rPr>
                <w:sz w:val="1"/>
                <w:szCs w:val="1"/>
                <w:color w:val="auto"/>
              </w:rPr>
            </w:pPr>
          </w:p>
        </w:tc>
      </w:tr>
      <w:tr>
        <w:trPr>
          <w:trHeight w:val="260"/>
        </w:trPr>
        <w:tc>
          <w:tcPr>
            <w:tcW w:w="280" w:type="dxa"/>
            <w:vAlign w:val="bottom"/>
          </w:tcPr>
          <w:p>
            <w:pPr>
              <w:spacing w:after="0"/>
              <w:rPr>
                <w:sz w:val="22"/>
                <w:szCs w:val="22"/>
                <w:color w:val="auto"/>
              </w:rPr>
            </w:pPr>
          </w:p>
        </w:tc>
        <w:tc>
          <w:tcPr>
            <w:tcW w:w="7620" w:type="dxa"/>
            <w:vAlign w:val="bottom"/>
          </w:tcPr>
          <w:p>
            <w:pPr>
              <w:spacing w:after="0"/>
              <w:rPr>
                <w:sz w:val="20"/>
                <w:szCs w:val="20"/>
                <w:color w:val="auto"/>
              </w:rPr>
            </w:pPr>
            <w:r>
              <w:rPr>
                <w:rFonts w:ascii="Arial" w:cs="Arial" w:eastAsia="Arial" w:hAnsi="Arial"/>
                <w:sz w:val="16"/>
                <w:szCs w:val="16"/>
                <w:color w:val="auto"/>
              </w:rPr>
              <w:t>Deferred tax asset</w:t>
            </w:r>
          </w:p>
        </w:tc>
        <w:tc>
          <w:tcPr>
            <w:tcW w:w="1040" w:type="dxa"/>
            <w:vAlign w:val="bottom"/>
          </w:tcPr>
          <w:p>
            <w:pPr>
              <w:spacing w:after="0"/>
              <w:rPr>
                <w:sz w:val="22"/>
                <w:szCs w:val="22"/>
                <w:color w:val="auto"/>
              </w:rPr>
            </w:pPr>
          </w:p>
        </w:tc>
        <w:tc>
          <w:tcPr>
            <w:tcW w:w="680" w:type="dxa"/>
            <w:vAlign w:val="bottom"/>
          </w:tcPr>
          <w:p>
            <w:pPr>
              <w:jc w:val="right"/>
              <w:ind w:right="39"/>
              <w:spacing w:after="0"/>
              <w:rPr>
                <w:sz w:val="20"/>
                <w:szCs w:val="20"/>
                <w:color w:val="auto"/>
              </w:rPr>
            </w:pPr>
            <w:r>
              <w:rPr>
                <w:rFonts w:ascii="Arial" w:cs="Arial" w:eastAsia="Arial" w:hAnsi="Arial"/>
                <w:sz w:val="16"/>
                <w:szCs w:val="16"/>
                <w:color w:val="auto"/>
              </w:rPr>
              <w:t>689</w:t>
            </w:r>
          </w:p>
        </w:tc>
        <w:tc>
          <w:tcPr>
            <w:tcW w:w="100" w:type="dxa"/>
            <w:vAlign w:val="bottom"/>
          </w:tcPr>
          <w:p>
            <w:pPr>
              <w:spacing w:after="0"/>
              <w:rPr>
                <w:sz w:val="22"/>
                <w:szCs w:val="22"/>
                <w:color w:val="auto"/>
              </w:rPr>
            </w:pPr>
          </w:p>
        </w:tc>
        <w:tc>
          <w:tcPr>
            <w:tcW w:w="560" w:type="dxa"/>
            <w:vAlign w:val="bottom"/>
          </w:tcPr>
          <w:p>
            <w:pPr>
              <w:spacing w:after="0"/>
              <w:rPr>
                <w:sz w:val="22"/>
                <w:szCs w:val="22"/>
                <w:color w:val="auto"/>
              </w:rPr>
            </w:pPr>
          </w:p>
        </w:tc>
        <w:tc>
          <w:tcPr>
            <w:tcW w:w="1140" w:type="dxa"/>
            <w:vAlign w:val="bottom"/>
          </w:tcPr>
          <w:p>
            <w:pPr>
              <w:jc w:val="right"/>
              <w:ind w:right="19"/>
              <w:spacing w:after="0"/>
              <w:rPr>
                <w:sz w:val="20"/>
                <w:szCs w:val="20"/>
                <w:color w:val="auto"/>
              </w:rPr>
            </w:pPr>
            <w:r>
              <w:rPr>
                <w:rFonts w:ascii="Arial" w:cs="Arial" w:eastAsia="Arial" w:hAnsi="Arial"/>
                <w:sz w:val="16"/>
                <w:szCs w:val="16"/>
                <w:color w:val="auto"/>
              </w:rPr>
              <w:t>1,280</w:t>
            </w:r>
          </w:p>
        </w:tc>
        <w:tc>
          <w:tcPr>
            <w:tcW w:w="0" w:type="dxa"/>
            <w:vAlign w:val="bottom"/>
          </w:tcPr>
          <w:p>
            <w:pPr>
              <w:spacing w:after="0"/>
              <w:rPr>
                <w:sz w:val="1"/>
                <w:szCs w:val="1"/>
                <w:color w:val="auto"/>
              </w:rPr>
            </w:pPr>
          </w:p>
        </w:tc>
      </w:tr>
      <w:tr>
        <w:trPr>
          <w:trHeight w:val="280"/>
        </w:trPr>
        <w:tc>
          <w:tcPr>
            <w:tcW w:w="280" w:type="dxa"/>
            <w:vAlign w:val="bottom"/>
            <w:shd w:val="clear" w:color="auto" w:fill="CCEEFF"/>
          </w:tcPr>
          <w:p>
            <w:pPr>
              <w:spacing w:after="0"/>
              <w:rPr>
                <w:sz w:val="24"/>
                <w:szCs w:val="24"/>
                <w:color w:val="auto"/>
              </w:rPr>
            </w:pPr>
          </w:p>
        </w:tc>
        <w:tc>
          <w:tcPr>
            <w:tcW w:w="7620" w:type="dxa"/>
            <w:vAlign w:val="bottom"/>
            <w:shd w:val="clear" w:color="auto" w:fill="CCEEFF"/>
          </w:tcPr>
          <w:p>
            <w:pPr>
              <w:spacing w:after="0"/>
              <w:rPr>
                <w:sz w:val="20"/>
                <w:szCs w:val="20"/>
                <w:color w:val="auto"/>
              </w:rPr>
            </w:pPr>
            <w:r>
              <w:rPr>
                <w:rFonts w:ascii="Arial" w:cs="Arial" w:eastAsia="Arial" w:hAnsi="Arial"/>
                <w:sz w:val="16"/>
                <w:szCs w:val="16"/>
                <w:color w:val="auto"/>
              </w:rPr>
              <w:t>Other assets</w:t>
            </w:r>
          </w:p>
        </w:tc>
        <w:tc>
          <w:tcPr>
            <w:tcW w:w="1040" w:type="dxa"/>
            <w:vAlign w:val="bottom"/>
            <w:tcBorders>
              <w:bottom w:val="single" w:sz="8" w:color="auto"/>
            </w:tcBorders>
            <w:shd w:val="clear" w:color="auto" w:fill="CCEEFF"/>
          </w:tcPr>
          <w:p>
            <w:pPr>
              <w:spacing w:after="0"/>
              <w:rPr>
                <w:sz w:val="24"/>
                <w:szCs w:val="24"/>
                <w:color w:val="auto"/>
              </w:rPr>
            </w:pPr>
          </w:p>
        </w:tc>
        <w:tc>
          <w:tcPr>
            <w:tcW w:w="680" w:type="dxa"/>
            <w:vAlign w:val="bottom"/>
            <w:tcBorders>
              <w:bottom w:val="single" w:sz="8" w:color="auto"/>
            </w:tcBorders>
            <w:shd w:val="clear" w:color="auto" w:fill="CCEEFF"/>
          </w:tcPr>
          <w:p>
            <w:pPr>
              <w:jc w:val="right"/>
              <w:ind w:right="39"/>
              <w:spacing w:after="0"/>
              <w:rPr>
                <w:sz w:val="20"/>
                <w:szCs w:val="20"/>
                <w:color w:val="auto"/>
              </w:rPr>
            </w:pPr>
            <w:r>
              <w:rPr>
                <w:rFonts w:ascii="Arial" w:cs="Arial" w:eastAsia="Arial" w:hAnsi="Arial"/>
                <w:sz w:val="16"/>
                <w:szCs w:val="16"/>
                <w:color w:val="auto"/>
              </w:rPr>
              <w:t>1,164</w:t>
            </w:r>
          </w:p>
        </w:tc>
        <w:tc>
          <w:tcPr>
            <w:tcW w:w="100" w:type="dxa"/>
            <w:vAlign w:val="bottom"/>
            <w:shd w:val="clear" w:color="auto" w:fill="CCEEFF"/>
          </w:tcPr>
          <w:p>
            <w:pPr>
              <w:spacing w:after="0"/>
              <w:rPr>
                <w:sz w:val="24"/>
                <w:szCs w:val="24"/>
                <w:color w:val="auto"/>
              </w:rPr>
            </w:pPr>
          </w:p>
        </w:tc>
        <w:tc>
          <w:tcPr>
            <w:tcW w:w="560" w:type="dxa"/>
            <w:vAlign w:val="bottom"/>
            <w:tcBorders>
              <w:bottom w:val="single" w:sz="8" w:color="auto"/>
            </w:tcBorders>
            <w:shd w:val="clear" w:color="auto" w:fill="CCEEFF"/>
          </w:tcPr>
          <w:p>
            <w:pPr>
              <w:spacing w:after="0"/>
              <w:rPr>
                <w:sz w:val="24"/>
                <w:szCs w:val="24"/>
                <w:color w:val="auto"/>
              </w:rPr>
            </w:pPr>
          </w:p>
        </w:tc>
        <w:tc>
          <w:tcPr>
            <w:tcW w:w="114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1,219</w:t>
            </w:r>
          </w:p>
        </w:tc>
        <w:tc>
          <w:tcPr>
            <w:tcW w:w="0" w:type="dxa"/>
            <w:vAlign w:val="bottom"/>
          </w:tcPr>
          <w:p>
            <w:pPr>
              <w:spacing w:after="0"/>
              <w:rPr>
                <w:sz w:val="1"/>
                <w:szCs w:val="1"/>
                <w:color w:val="auto"/>
              </w:rPr>
            </w:pPr>
          </w:p>
        </w:tc>
      </w:tr>
      <w:tr>
        <w:trPr>
          <w:trHeight w:val="244"/>
        </w:trPr>
        <w:tc>
          <w:tcPr>
            <w:tcW w:w="280" w:type="dxa"/>
            <w:vAlign w:val="bottom"/>
            <w:tcBorders>
              <w:bottom w:val="single" w:sz="8" w:color="CCEEFF"/>
            </w:tcBorders>
          </w:tcPr>
          <w:p>
            <w:pPr>
              <w:spacing w:after="0"/>
              <w:rPr>
                <w:sz w:val="21"/>
                <w:szCs w:val="21"/>
                <w:color w:val="auto"/>
              </w:rPr>
            </w:pPr>
          </w:p>
        </w:tc>
        <w:tc>
          <w:tcPr>
            <w:tcW w:w="7620" w:type="dxa"/>
            <w:vAlign w:val="bottom"/>
            <w:tcBorders>
              <w:bottom w:val="single" w:sz="8" w:color="CCEEFF"/>
            </w:tcBorders>
          </w:tcPr>
          <w:p>
            <w:pPr>
              <w:ind w:left="220"/>
              <w:spacing w:after="0"/>
              <w:rPr>
                <w:sz w:val="20"/>
                <w:szCs w:val="20"/>
                <w:color w:val="auto"/>
              </w:rPr>
            </w:pPr>
            <w:r>
              <w:rPr>
                <w:rFonts w:ascii="Arial" w:cs="Arial" w:eastAsia="Arial" w:hAnsi="Arial"/>
                <w:sz w:val="16"/>
                <w:szCs w:val="16"/>
                <w:color w:val="auto"/>
              </w:rPr>
              <w:t>Total other assets</w:t>
            </w:r>
          </w:p>
        </w:tc>
        <w:tc>
          <w:tcPr>
            <w:tcW w:w="1040" w:type="dxa"/>
            <w:vAlign w:val="bottom"/>
            <w:tcBorders>
              <w:bottom w:val="single" w:sz="8" w:color="auto"/>
            </w:tcBorders>
          </w:tcPr>
          <w:p>
            <w:pPr>
              <w:spacing w:after="0"/>
              <w:rPr>
                <w:sz w:val="21"/>
                <w:szCs w:val="21"/>
                <w:color w:val="auto"/>
              </w:rPr>
            </w:pPr>
          </w:p>
        </w:tc>
        <w:tc>
          <w:tcPr>
            <w:tcW w:w="68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rPr>
              <w:t>8,028</w:t>
            </w:r>
          </w:p>
        </w:tc>
        <w:tc>
          <w:tcPr>
            <w:tcW w:w="100" w:type="dxa"/>
            <w:vAlign w:val="bottom"/>
            <w:tcBorders>
              <w:bottom w:val="single" w:sz="8" w:color="CCEEFF"/>
            </w:tcBorders>
          </w:tcPr>
          <w:p>
            <w:pPr>
              <w:spacing w:after="0"/>
              <w:rPr>
                <w:sz w:val="21"/>
                <w:szCs w:val="21"/>
                <w:color w:val="auto"/>
              </w:rPr>
            </w:pPr>
          </w:p>
        </w:tc>
        <w:tc>
          <w:tcPr>
            <w:tcW w:w="560" w:type="dxa"/>
            <w:vAlign w:val="bottom"/>
            <w:tcBorders>
              <w:bottom w:val="single" w:sz="8" w:color="auto"/>
            </w:tcBorders>
          </w:tcPr>
          <w:p>
            <w:pPr>
              <w:spacing w:after="0"/>
              <w:rPr>
                <w:sz w:val="21"/>
                <w:szCs w:val="21"/>
                <w:color w:val="auto"/>
              </w:rPr>
            </w:pPr>
          </w:p>
        </w:tc>
        <w:tc>
          <w:tcPr>
            <w:tcW w:w="114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8,727</w:t>
            </w:r>
          </w:p>
        </w:tc>
        <w:tc>
          <w:tcPr>
            <w:tcW w:w="0" w:type="dxa"/>
            <w:vAlign w:val="bottom"/>
          </w:tcPr>
          <w:p>
            <w:pPr>
              <w:spacing w:after="0"/>
              <w:rPr>
                <w:sz w:val="1"/>
                <w:szCs w:val="1"/>
                <w:color w:val="auto"/>
              </w:rPr>
            </w:pPr>
          </w:p>
        </w:tc>
      </w:tr>
      <w:tr>
        <w:trPr>
          <w:trHeight w:val="237"/>
        </w:trPr>
        <w:tc>
          <w:tcPr>
            <w:tcW w:w="280" w:type="dxa"/>
            <w:vAlign w:val="bottom"/>
            <w:tcBorders>
              <w:bottom w:val="single" w:sz="8" w:color="CCEEFF"/>
            </w:tcBorders>
            <w:shd w:val="clear" w:color="auto" w:fill="CCEEFF"/>
          </w:tcPr>
          <w:p>
            <w:pPr>
              <w:spacing w:after="0"/>
              <w:rPr>
                <w:sz w:val="20"/>
                <w:szCs w:val="20"/>
                <w:color w:val="auto"/>
              </w:rPr>
            </w:pPr>
          </w:p>
        </w:tc>
        <w:tc>
          <w:tcPr>
            <w:tcW w:w="7620" w:type="dxa"/>
            <w:vAlign w:val="bottom"/>
            <w:tcBorders>
              <w:bottom w:val="single" w:sz="8" w:color="CCEEFF"/>
            </w:tcBorders>
            <w:shd w:val="clear" w:color="auto" w:fill="CCEEFF"/>
          </w:tcPr>
          <w:p>
            <w:pPr>
              <w:ind w:left="440"/>
              <w:spacing w:after="0"/>
              <w:rPr>
                <w:sz w:val="20"/>
                <w:szCs w:val="20"/>
                <w:color w:val="auto"/>
              </w:rPr>
            </w:pPr>
            <w:r>
              <w:rPr>
                <w:rFonts w:ascii="Arial" w:cs="Arial" w:eastAsia="Arial" w:hAnsi="Arial"/>
                <w:sz w:val="16"/>
                <w:szCs w:val="16"/>
                <w:b w:val="1"/>
                <w:bCs w:val="1"/>
                <w:color w:val="auto"/>
              </w:rPr>
              <w:t>Total assets</w:t>
            </w:r>
          </w:p>
        </w:tc>
        <w:tc>
          <w:tcPr>
            <w:tcW w:w="1040" w:type="dxa"/>
            <w:vAlign w:val="bottom"/>
            <w:tcBorders>
              <w:bottom w:val="single" w:sz="8" w:color="auto"/>
            </w:tcBorders>
            <w:shd w:val="clear" w:color="auto" w:fill="CCEEFF"/>
          </w:tcPr>
          <w:p>
            <w:pPr>
              <w:jc w:val="right"/>
              <w:ind w:right="841"/>
              <w:spacing w:after="0"/>
              <w:rPr>
                <w:sz w:val="20"/>
                <w:szCs w:val="20"/>
                <w:color w:val="auto"/>
              </w:rPr>
            </w:pPr>
            <w:r>
              <w:rPr>
                <w:rFonts w:ascii="Arial" w:cs="Arial" w:eastAsia="Arial" w:hAnsi="Arial"/>
                <w:sz w:val="16"/>
                <w:szCs w:val="16"/>
                <w:color w:val="auto"/>
              </w:rPr>
              <w:t>$</w:t>
            </w:r>
          </w:p>
        </w:tc>
        <w:tc>
          <w:tcPr>
            <w:tcW w:w="680" w:type="dxa"/>
            <w:vAlign w:val="bottom"/>
            <w:tcBorders>
              <w:bottom w:val="single" w:sz="8" w:color="auto"/>
            </w:tcBorders>
            <w:shd w:val="clear" w:color="auto" w:fill="CCEEFF"/>
          </w:tcPr>
          <w:p>
            <w:pPr>
              <w:jc w:val="right"/>
              <w:ind w:right="39"/>
              <w:spacing w:after="0"/>
              <w:rPr>
                <w:sz w:val="20"/>
                <w:szCs w:val="20"/>
                <w:color w:val="auto"/>
              </w:rPr>
            </w:pPr>
            <w:r>
              <w:rPr>
                <w:rFonts w:ascii="Arial" w:cs="Arial" w:eastAsia="Arial" w:hAnsi="Arial"/>
                <w:sz w:val="16"/>
                <w:szCs w:val="16"/>
                <w:color w:val="auto"/>
              </w:rPr>
              <w:t>71,890</w:t>
            </w:r>
          </w:p>
        </w:tc>
        <w:tc>
          <w:tcPr>
            <w:tcW w:w="100" w:type="dxa"/>
            <w:vAlign w:val="bottom"/>
            <w:tcBorders>
              <w:bottom w:val="single" w:sz="8" w:color="CCEEFF"/>
            </w:tcBorders>
            <w:shd w:val="clear" w:color="auto" w:fill="CCEEFF"/>
          </w:tcPr>
          <w:p>
            <w:pPr>
              <w:spacing w:after="0"/>
              <w:rPr>
                <w:sz w:val="20"/>
                <w:szCs w:val="20"/>
                <w:color w:val="auto"/>
              </w:rPr>
            </w:pPr>
          </w:p>
        </w:tc>
        <w:tc>
          <w:tcPr>
            <w:tcW w:w="560" w:type="dxa"/>
            <w:vAlign w:val="bottom"/>
            <w:tcBorders>
              <w:bottom w:val="single" w:sz="8" w:color="auto"/>
            </w:tcBorders>
            <w:shd w:val="clear" w:color="auto" w:fill="CCEEFF"/>
          </w:tcPr>
          <w:p>
            <w:pPr>
              <w:jc w:val="right"/>
              <w:ind w:right="359"/>
              <w:spacing w:after="0"/>
              <w:rPr>
                <w:sz w:val="20"/>
                <w:szCs w:val="20"/>
                <w:color w:val="auto"/>
              </w:rPr>
            </w:pPr>
            <w:r>
              <w:rPr>
                <w:rFonts w:ascii="Arial" w:cs="Arial" w:eastAsia="Arial" w:hAnsi="Arial"/>
                <w:sz w:val="16"/>
                <w:szCs w:val="16"/>
                <w:color w:val="auto"/>
              </w:rPr>
              <w:t>$</w:t>
            </w:r>
          </w:p>
        </w:tc>
        <w:tc>
          <w:tcPr>
            <w:tcW w:w="114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70,878</w:t>
            </w:r>
          </w:p>
        </w:tc>
        <w:tc>
          <w:tcPr>
            <w:tcW w:w="0" w:type="dxa"/>
            <w:vAlign w:val="bottom"/>
          </w:tcPr>
          <w:p>
            <w:pPr>
              <w:spacing w:after="0"/>
              <w:rPr>
                <w:sz w:val="1"/>
                <w:szCs w:val="1"/>
                <w:color w:val="auto"/>
              </w:rPr>
            </w:pPr>
          </w:p>
        </w:tc>
      </w:tr>
      <w:tr>
        <w:trPr>
          <w:trHeight w:val="20"/>
        </w:trPr>
        <w:tc>
          <w:tcPr>
            <w:tcW w:w="7900" w:type="dxa"/>
            <w:vAlign w:val="bottom"/>
            <w:gridSpan w:val="2"/>
            <w:vMerge w:val="restart"/>
          </w:tcPr>
          <w:p>
            <w:pPr>
              <w:ind w:left="40"/>
              <w:spacing w:after="0"/>
              <w:rPr>
                <w:sz w:val="20"/>
                <w:szCs w:val="20"/>
                <w:color w:val="auto"/>
              </w:rPr>
            </w:pPr>
            <w:r>
              <w:rPr>
                <w:rFonts w:ascii="Arial" w:cs="Arial" w:eastAsia="Arial" w:hAnsi="Arial"/>
                <w:sz w:val="16"/>
                <w:szCs w:val="16"/>
                <w:b w:val="1"/>
                <w:bCs w:val="1"/>
                <w:color w:val="auto"/>
              </w:rPr>
              <w:t>LIABILITIES AND STOCKHOLDER’S EQUITY</w:t>
            </w:r>
          </w:p>
        </w:tc>
        <w:tc>
          <w:tcPr>
            <w:tcW w:w="104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32"/>
        </w:trPr>
        <w:tc>
          <w:tcPr>
            <w:tcW w:w="7900" w:type="dxa"/>
            <w:vAlign w:val="bottom"/>
            <w:gridSpan w:val="2"/>
            <w:vMerge w:val="continue"/>
          </w:tcPr>
          <w:p>
            <w:pPr>
              <w:spacing w:after="0"/>
              <w:rPr>
                <w:sz w:val="24"/>
                <w:szCs w:val="24"/>
                <w:color w:val="auto"/>
              </w:rPr>
            </w:pPr>
          </w:p>
        </w:tc>
        <w:tc>
          <w:tcPr>
            <w:tcW w:w="104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7"/>
        </w:trPr>
        <w:tc>
          <w:tcPr>
            <w:tcW w:w="280" w:type="dxa"/>
            <w:vAlign w:val="bottom"/>
          </w:tcPr>
          <w:p>
            <w:pPr>
              <w:spacing w:after="0"/>
              <w:rPr>
                <w:sz w:val="4"/>
                <w:szCs w:val="4"/>
                <w:color w:val="auto"/>
              </w:rPr>
            </w:pPr>
          </w:p>
        </w:tc>
        <w:tc>
          <w:tcPr>
            <w:tcW w:w="7620" w:type="dxa"/>
            <w:vAlign w:val="bottom"/>
          </w:tcPr>
          <w:p>
            <w:pPr>
              <w:spacing w:after="0"/>
              <w:rPr>
                <w:sz w:val="4"/>
                <w:szCs w:val="4"/>
                <w:color w:val="auto"/>
              </w:rPr>
            </w:pPr>
          </w:p>
        </w:tc>
        <w:tc>
          <w:tcPr>
            <w:tcW w:w="1040" w:type="dxa"/>
            <w:vAlign w:val="bottom"/>
          </w:tcPr>
          <w:p>
            <w:pPr>
              <w:spacing w:after="0"/>
              <w:rPr>
                <w:sz w:val="4"/>
                <w:szCs w:val="4"/>
                <w:color w:val="auto"/>
              </w:rPr>
            </w:pPr>
          </w:p>
        </w:tc>
        <w:tc>
          <w:tcPr>
            <w:tcW w:w="680" w:type="dxa"/>
            <w:vAlign w:val="bottom"/>
          </w:tcPr>
          <w:p>
            <w:pPr>
              <w:spacing w:after="0"/>
              <w:rPr>
                <w:sz w:val="4"/>
                <w:szCs w:val="4"/>
                <w:color w:val="auto"/>
              </w:rPr>
            </w:pPr>
          </w:p>
        </w:tc>
        <w:tc>
          <w:tcPr>
            <w:tcW w:w="100" w:type="dxa"/>
            <w:vAlign w:val="bottom"/>
          </w:tcPr>
          <w:p>
            <w:pPr>
              <w:spacing w:after="0"/>
              <w:rPr>
                <w:sz w:val="4"/>
                <w:szCs w:val="4"/>
                <w:color w:val="auto"/>
              </w:rPr>
            </w:pPr>
          </w:p>
        </w:tc>
        <w:tc>
          <w:tcPr>
            <w:tcW w:w="560" w:type="dxa"/>
            <w:vAlign w:val="bottom"/>
          </w:tcPr>
          <w:p>
            <w:pPr>
              <w:spacing w:after="0"/>
              <w:rPr>
                <w:sz w:val="4"/>
                <w:szCs w:val="4"/>
                <w:color w:val="auto"/>
              </w:rPr>
            </w:pPr>
          </w:p>
        </w:tc>
        <w:tc>
          <w:tcPr>
            <w:tcW w:w="114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50"/>
        </w:trPr>
        <w:tc>
          <w:tcPr>
            <w:tcW w:w="790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6"/>
                <w:szCs w:val="16"/>
                <w:b w:val="1"/>
                <w:bCs w:val="1"/>
                <w:color w:val="auto"/>
                <w:shd w:val="clear" w:color="auto" w:fill="CCEEFF"/>
              </w:rPr>
              <w:t>Current liabilities</w:t>
            </w:r>
          </w:p>
        </w:tc>
        <w:tc>
          <w:tcPr>
            <w:tcW w:w="1040" w:type="dxa"/>
            <w:vAlign w:val="bottom"/>
            <w:tcBorders>
              <w:bottom w:val="single" w:sz="8" w:color="CCEEFF"/>
            </w:tcBorders>
            <w:shd w:val="clear" w:color="auto" w:fill="CCEEFF"/>
          </w:tcPr>
          <w:p>
            <w:pPr>
              <w:spacing w:after="0"/>
              <w:rPr>
                <w:sz w:val="21"/>
                <w:szCs w:val="21"/>
                <w:color w:val="auto"/>
              </w:rPr>
            </w:pPr>
          </w:p>
        </w:tc>
        <w:tc>
          <w:tcPr>
            <w:tcW w:w="6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56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60"/>
        </w:trPr>
        <w:tc>
          <w:tcPr>
            <w:tcW w:w="280" w:type="dxa"/>
            <w:vAlign w:val="bottom"/>
          </w:tcPr>
          <w:p>
            <w:pPr>
              <w:spacing w:after="0"/>
              <w:rPr>
                <w:sz w:val="22"/>
                <w:szCs w:val="22"/>
                <w:color w:val="auto"/>
              </w:rPr>
            </w:pPr>
          </w:p>
        </w:tc>
        <w:tc>
          <w:tcPr>
            <w:tcW w:w="7620" w:type="dxa"/>
            <w:vAlign w:val="bottom"/>
          </w:tcPr>
          <w:p>
            <w:pPr>
              <w:spacing w:after="0"/>
              <w:rPr>
                <w:sz w:val="20"/>
                <w:szCs w:val="20"/>
                <w:color w:val="auto"/>
              </w:rPr>
            </w:pPr>
            <w:r>
              <w:rPr>
                <w:rFonts w:ascii="Arial" w:cs="Arial" w:eastAsia="Arial" w:hAnsi="Arial"/>
                <w:sz w:val="16"/>
                <w:szCs w:val="16"/>
                <w:color w:val="auto"/>
              </w:rPr>
              <w:t>Current maturities of long-term debt and finance leases</w:t>
            </w:r>
          </w:p>
        </w:tc>
        <w:tc>
          <w:tcPr>
            <w:tcW w:w="1040" w:type="dxa"/>
            <w:vAlign w:val="bottom"/>
          </w:tcPr>
          <w:p>
            <w:pPr>
              <w:jc w:val="right"/>
              <w:ind w:right="841"/>
              <w:spacing w:after="0"/>
              <w:rPr>
                <w:sz w:val="20"/>
                <w:szCs w:val="20"/>
                <w:color w:val="auto"/>
              </w:rPr>
            </w:pPr>
            <w:r>
              <w:rPr>
                <w:rFonts w:ascii="Arial" w:cs="Arial" w:eastAsia="Arial" w:hAnsi="Arial"/>
                <w:sz w:val="16"/>
                <w:szCs w:val="16"/>
                <w:color w:val="auto"/>
              </w:rPr>
              <w:t>$</w:t>
            </w:r>
          </w:p>
        </w:tc>
        <w:tc>
          <w:tcPr>
            <w:tcW w:w="680" w:type="dxa"/>
            <w:vAlign w:val="bottom"/>
          </w:tcPr>
          <w:p>
            <w:pPr>
              <w:jc w:val="right"/>
              <w:ind w:right="39"/>
              <w:spacing w:after="0"/>
              <w:rPr>
                <w:sz w:val="20"/>
                <w:szCs w:val="20"/>
                <w:color w:val="auto"/>
              </w:rPr>
            </w:pPr>
            <w:r>
              <w:rPr>
                <w:rFonts w:ascii="Arial" w:cs="Arial" w:eastAsia="Arial" w:hAnsi="Arial"/>
                <w:sz w:val="16"/>
                <w:szCs w:val="16"/>
                <w:color w:val="auto"/>
              </w:rPr>
              <w:t>2,358</w:t>
            </w:r>
          </w:p>
        </w:tc>
        <w:tc>
          <w:tcPr>
            <w:tcW w:w="100" w:type="dxa"/>
            <w:vAlign w:val="bottom"/>
          </w:tcPr>
          <w:p>
            <w:pPr>
              <w:spacing w:after="0"/>
              <w:rPr>
                <w:sz w:val="22"/>
                <w:szCs w:val="22"/>
                <w:color w:val="auto"/>
              </w:rPr>
            </w:pPr>
          </w:p>
        </w:tc>
        <w:tc>
          <w:tcPr>
            <w:tcW w:w="560" w:type="dxa"/>
            <w:vAlign w:val="bottom"/>
          </w:tcPr>
          <w:p>
            <w:pPr>
              <w:jc w:val="right"/>
              <w:ind w:right="359"/>
              <w:spacing w:after="0"/>
              <w:rPr>
                <w:sz w:val="20"/>
                <w:szCs w:val="20"/>
                <w:color w:val="auto"/>
              </w:rPr>
            </w:pPr>
            <w:r>
              <w:rPr>
                <w:rFonts w:ascii="Arial" w:cs="Arial" w:eastAsia="Arial" w:hAnsi="Arial"/>
                <w:sz w:val="16"/>
                <w:szCs w:val="16"/>
                <w:color w:val="auto"/>
              </w:rPr>
              <w:t>$</w:t>
            </w:r>
          </w:p>
        </w:tc>
        <w:tc>
          <w:tcPr>
            <w:tcW w:w="1140" w:type="dxa"/>
            <w:vAlign w:val="bottom"/>
          </w:tcPr>
          <w:p>
            <w:pPr>
              <w:jc w:val="right"/>
              <w:ind w:right="19"/>
              <w:spacing w:after="0"/>
              <w:rPr>
                <w:sz w:val="20"/>
                <w:szCs w:val="20"/>
                <w:color w:val="auto"/>
              </w:rPr>
            </w:pPr>
            <w:r>
              <w:rPr>
                <w:rFonts w:ascii="Arial" w:cs="Arial" w:eastAsia="Arial" w:hAnsi="Arial"/>
                <w:sz w:val="16"/>
                <w:szCs w:val="16"/>
                <w:color w:val="auto"/>
              </w:rPr>
              <w:t>2,547</w:t>
            </w:r>
          </w:p>
        </w:tc>
        <w:tc>
          <w:tcPr>
            <w:tcW w:w="0" w:type="dxa"/>
            <w:vAlign w:val="bottom"/>
          </w:tcPr>
          <w:p>
            <w:pPr>
              <w:spacing w:after="0"/>
              <w:rPr>
                <w:sz w:val="1"/>
                <w:szCs w:val="1"/>
                <w:color w:val="auto"/>
              </w:rPr>
            </w:pPr>
          </w:p>
        </w:tc>
      </w:tr>
      <w:tr>
        <w:trPr>
          <w:trHeight w:val="260"/>
        </w:trPr>
        <w:tc>
          <w:tcPr>
            <w:tcW w:w="280" w:type="dxa"/>
            <w:vAlign w:val="bottom"/>
            <w:tcBorders>
              <w:bottom w:val="single" w:sz="8" w:color="CCEEFF"/>
            </w:tcBorders>
            <w:shd w:val="clear" w:color="auto" w:fill="CCEEFF"/>
          </w:tcPr>
          <w:p>
            <w:pPr>
              <w:spacing w:after="0"/>
              <w:rPr>
                <w:sz w:val="22"/>
                <w:szCs w:val="22"/>
                <w:color w:val="auto"/>
              </w:rPr>
            </w:pPr>
          </w:p>
        </w:tc>
        <w:tc>
          <w:tcPr>
            <w:tcW w:w="762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6"/>
                <w:szCs w:val="16"/>
                <w:color w:val="auto"/>
                <w:shd w:val="clear" w:color="auto" w:fill="CCEEFF"/>
              </w:rPr>
              <w:t>Accounts payable</w:t>
            </w:r>
          </w:p>
        </w:tc>
        <w:tc>
          <w:tcPr>
            <w:tcW w:w="1040" w:type="dxa"/>
            <w:vAlign w:val="bottom"/>
            <w:tcBorders>
              <w:bottom w:val="single" w:sz="8" w:color="CCEEFF"/>
            </w:tcBorders>
            <w:shd w:val="clear" w:color="auto" w:fill="CCEEFF"/>
          </w:tcPr>
          <w:p>
            <w:pPr>
              <w:spacing w:after="0"/>
              <w:rPr>
                <w:sz w:val="22"/>
                <w:szCs w:val="22"/>
                <w:color w:val="auto"/>
              </w:rPr>
            </w:pPr>
          </w:p>
        </w:tc>
        <w:tc>
          <w:tcPr>
            <w:tcW w:w="68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1,990</w:t>
            </w:r>
          </w:p>
        </w:tc>
        <w:tc>
          <w:tcPr>
            <w:tcW w:w="100" w:type="dxa"/>
            <w:vAlign w:val="bottom"/>
            <w:tcBorders>
              <w:bottom w:val="single" w:sz="8" w:color="CCEEFF"/>
            </w:tcBorders>
            <w:shd w:val="clear" w:color="auto" w:fill="CCEEFF"/>
          </w:tcPr>
          <w:p>
            <w:pPr>
              <w:spacing w:after="0"/>
              <w:rPr>
                <w:sz w:val="22"/>
                <w:szCs w:val="22"/>
                <w:color w:val="auto"/>
              </w:rPr>
            </w:pPr>
          </w:p>
        </w:tc>
        <w:tc>
          <w:tcPr>
            <w:tcW w:w="560" w:type="dxa"/>
            <w:vAlign w:val="bottom"/>
            <w:tcBorders>
              <w:bottom w:val="single" w:sz="8" w:color="CCEEFF"/>
            </w:tcBorders>
            <w:shd w:val="clear" w:color="auto" w:fill="CCEEFF"/>
          </w:tcPr>
          <w:p>
            <w:pPr>
              <w:spacing w:after="0"/>
              <w:rPr>
                <w:sz w:val="22"/>
                <w:szCs w:val="22"/>
                <w:color w:val="auto"/>
              </w:rPr>
            </w:pPr>
          </w:p>
        </w:tc>
        <w:tc>
          <w:tcPr>
            <w:tcW w:w="114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1,707</w:t>
            </w:r>
          </w:p>
        </w:tc>
        <w:tc>
          <w:tcPr>
            <w:tcW w:w="0" w:type="dxa"/>
            <w:vAlign w:val="bottom"/>
          </w:tcPr>
          <w:p>
            <w:pPr>
              <w:spacing w:after="0"/>
              <w:rPr>
                <w:sz w:val="1"/>
                <w:szCs w:val="1"/>
                <w:color w:val="auto"/>
              </w:rPr>
            </w:pPr>
          </w:p>
        </w:tc>
      </w:tr>
      <w:tr>
        <w:trPr>
          <w:trHeight w:val="260"/>
        </w:trPr>
        <w:tc>
          <w:tcPr>
            <w:tcW w:w="280" w:type="dxa"/>
            <w:vAlign w:val="bottom"/>
          </w:tcPr>
          <w:p>
            <w:pPr>
              <w:spacing w:after="0"/>
              <w:rPr>
                <w:sz w:val="22"/>
                <w:szCs w:val="22"/>
                <w:color w:val="auto"/>
              </w:rPr>
            </w:pPr>
          </w:p>
        </w:tc>
        <w:tc>
          <w:tcPr>
            <w:tcW w:w="7620" w:type="dxa"/>
            <w:vAlign w:val="bottom"/>
          </w:tcPr>
          <w:p>
            <w:pPr>
              <w:spacing w:after="0"/>
              <w:rPr>
                <w:sz w:val="20"/>
                <w:szCs w:val="20"/>
                <w:color w:val="auto"/>
              </w:rPr>
            </w:pPr>
            <w:r>
              <w:rPr>
                <w:rFonts w:ascii="Arial" w:cs="Arial" w:eastAsia="Arial" w:hAnsi="Arial"/>
                <w:sz w:val="16"/>
                <w:szCs w:val="16"/>
                <w:color w:val="auto"/>
              </w:rPr>
              <w:t>Accrued salaries and wages</w:t>
            </w:r>
          </w:p>
        </w:tc>
        <w:tc>
          <w:tcPr>
            <w:tcW w:w="1040" w:type="dxa"/>
            <w:vAlign w:val="bottom"/>
          </w:tcPr>
          <w:p>
            <w:pPr>
              <w:spacing w:after="0"/>
              <w:rPr>
                <w:sz w:val="22"/>
                <w:szCs w:val="22"/>
                <w:color w:val="auto"/>
              </w:rPr>
            </w:pPr>
          </w:p>
        </w:tc>
        <w:tc>
          <w:tcPr>
            <w:tcW w:w="680" w:type="dxa"/>
            <w:vAlign w:val="bottom"/>
          </w:tcPr>
          <w:p>
            <w:pPr>
              <w:jc w:val="right"/>
              <w:ind w:right="39"/>
              <w:spacing w:after="0"/>
              <w:rPr>
                <w:sz w:val="20"/>
                <w:szCs w:val="20"/>
                <w:color w:val="auto"/>
              </w:rPr>
            </w:pPr>
            <w:r>
              <w:rPr>
                <w:rFonts w:ascii="Arial" w:cs="Arial" w:eastAsia="Arial" w:hAnsi="Arial"/>
                <w:sz w:val="16"/>
                <w:szCs w:val="16"/>
                <w:color w:val="auto"/>
              </w:rPr>
              <w:t>1,461</w:t>
            </w:r>
          </w:p>
        </w:tc>
        <w:tc>
          <w:tcPr>
            <w:tcW w:w="100" w:type="dxa"/>
            <w:vAlign w:val="bottom"/>
          </w:tcPr>
          <w:p>
            <w:pPr>
              <w:spacing w:after="0"/>
              <w:rPr>
                <w:sz w:val="22"/>
                <w:szCs w:val="22"/>
                <w:color w:val="auto"/>
              </w:rPr>
            </w:pPr>
          </w:p>
        </w:tc>
        <w:tc>
          <w:tcPr>
            <w:tcW w:w="560" w:type="dxa"/>
            <w:vAlign w:val="bottom"/>
          </w:tcPr>
          <w:p>
            <w:pPr>
              <w:spacing w:after="0"/>
              <w:rPr>
                <w:sz w:val="22"/>
                <w:szCs w:val="22"/>
                <w:color w:val="auto"/>
              </w:rPr>
            </w:pPr>
          </w:p>
        </w:tc>
        <w:tc>
          <w:tcPr>
            <w:tcW w:w="1140" w:type="dxa"/>
            <w:vAlign w:val="bottom"/>
          </w:tcPr>
          <w:p>
            <w:pPr>
              <w:jc w:val="right"/>
              <w:ind w:right="19"/>
              <w:spacing w:after="0"/>
              <w:rPr>
                <w:sz w:val="20"/>
                <w:szCs w:val="20"/>
                <w:color w:val="auto"/>
              </w:rPr>
            </w:pPr>
            <w:r>
              <w:rPr>
                <w:rFonts w:ascii="Arial" w:cs="Arial" w:eastAsia="Arial" w:hAnsi="Arial"/>
                <w:sz w:val="16"/>
                <w:szCs w:val="16"/>
                <w:color w:val="auto"/>
              </w:rPr>
              <w:t>1,363</w:t>
            </w:r>
          </w:p>
        </w:tc>
        <w:tc>
          <w:tcPr>
            <w:tcW w:w="0" w:type="dxa"/>
            <w:vAlign w:val="bottom"/>
          </w:tcPr>
          <w:p>
            <w:pPr>
              <w:spacing w:after="0"/>
              <w:rPr>
                <w:sz w:val="1"/>
                <w:szCs w:val="1"/>
                <w:color w:val="auto"/>
              </w:rPr>
            </w:pPr>
          </w:p>
        </w:tc>
      </w:tr>
      <w:tr>
        <w:trPr>
          <w:trHeight w:val="260"/>
        </w:trPr>
        <w:tc>
          <w:tcPr>
            <w:tcW w:w="280" w:type="dxa"/>
            <w:vAlign w:val="bottom"/>
            <w:tcBorders>
              <w:bottom w:val="single" w:sz="8" w:color="CCEEFF"/>
            </w:tcBorders>
            <w:shd w:val="clear" w:color="auto" w:fill="CCEEFF"/>
          </w:tcPr>
          <w:p>
            <w:pPr>
              <w:spacing w:after="0"/>
              <w:rPr>
                <w:sz w:val="22"/>
                <w:szCs w:val="22"/>
                <w:color w:val="auto"/>
              </w:rPr>
            </w:pPr>
          </w:p>
        </w:tc>
        <w:tc>
          <w:tcPr>
            <w:tcW w:w="762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6"/>
                <w:szCs w:val="16"/>
                <w:color w:val="auto"/>
                <w:shd w:val="clear" w:color="auto" w:fill="CCEEFF"/>
              </w:rPr>
              <w:t>Air traffic liability</w:t>
            </w:r>
          </w:p>
        </w:tc>
        <w:tc>
          <w:tcPr>
            <w:tcW w:w="1040" w:type="dxa"/>
            <w:vAlign w:val="bottom"/>
            <w:tcBorders>
              <w:bottom w:val="single" w:sz="8" w:color="CCEEFF"/>
            </w:tcBorders>
            <w:shd w:val="clear" w:color="auto" w:fill="CCEEFF"/>
          </w:tcPr>
          <w:p>
            <w:pPr>
              <w:spacing w:after="0"/>
              <w:rPr>
                <w:sz w:val="22"/>
                <w:szCs w:val="22"/>
                <w:color w:val="auto"/>
              </w:rPr>
            </w:pPr>
          </w:p>
        </w:tc>
        <w:tc>
          <w:tcPr>
            <w:tcW w:w="68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4,808</w:t>
            </w:r>
          </w:p>
        </w:tc>
        <w:tc>
          <w:tcPr>
            <w:tcW w:w="100" w:type="dxa"/>
            <w:vAlign w:val="bottom"/>
            <w:tcBorders>
              <w:bottom w:val="single" w:sz="8" w:color="CCEEFF"/>
            </w:tcBorders>
            <w:shd w:val="clear" w:color="auto" w:fill="CCEEFF"/>
          </w:tcPr>
          <w:p>
            <w:pPr>
              <w:spacing w:after="0"/>
              <w:rPr>
                <w:sz w:val="22"/>
                <w:szCs w:val="22"/>
                <w:color w:val="auto"/>
              </w:rPr>
            </w:pPr>
          </w:p>
        </w:tc>
        <w:tc>
          <w:tcPr>
            <w:tcW w:w="560" w:type="dxa"/>
            <w:vAlign w:val="bottom"/>
            <w:tcBorders>
              <w:bottom w:val="single" w:sz="8" w:color="CCEEFF"/>
            </w:tcBorders>
            <w:shd w:val="clear" w:color="auto" w:fill="CCEEFF"/>
          </w:tcPr>
          <w:p>
            <w:pPr>
              <w:spacing w:after="0"/>
              <w:rPr>
                <w:sz w:val="22"/>
                <w:szCs w:val="22"/>
                <w:color w:val="auto"/>
              </w:rPr>
            </w:pPr>
          </w:p>
        </w:tc>
        <w:tc>
          <w:tcPr>
            <w:tcW w:w="114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4,339</w:t>
            </w:r>
          </w:p>
        </w:tc>
        <w:tc>
          <w:tcPr>
            <w:tcW w:w="0" w:type="dxa"/>
            <w:vAlign w:val="bottom"/>
          </w:tcPr>
          <w:p>
            <w:pPr>
              <w:spacing w:after="0"/>
              <w:rPr>
                <w:sz w:val="1"/>
                <w:szCs w:val="1"/>
                <w:color w:val="auto"/>
              </w:rPr>
            </w:pPr>
          </w:p>
        </w:tc>
      </w:tr>
      <w:tr>
        <w:trPr>
          <w:trHeight w:val="260"/>
        </w:trPr>
        <w:tc>
          <w:tcPr>
            <w:tcW w:w="280" w:type="dxa"/>
            <w:vAlign w:val="bottom"/>
          </w:tcPr>
          <w:p>
            <w:pPr>
              <w:spacing w:after="0"/>
              <w:rPr>
                <w:sz w:val="22"/>
                <w:szCs w:val="22"/>
                <w:color w:val="auto"/>
              </w:rPr>
            </w:pPr>
          </w:p>
        </w:tc>
        <w:tc>
          <w:tcPr>
            <w:tcW w:w="7620" w:type="dxa"/>
            <w:vAlign w:val="bottom"/>
          </w:tcPr>
          <w:p>
            <w:pPr>
              <w:spacing w:after="0"/>
              <w:rPr>
                <w:sz w:val="20"/>
                <w:szCs w:val="20"/>
                <w:color w:val="auto"/>
              </w:rPr>
            </w:pPr>
            <w:r>
              <w:rPr>
                <w:rFonts w:ascii="Arial" w:cs="Arial" w:eastAsia="Arial" w:hAnsi="Arial"/>
                <w:sz w:val="16"/>
                <w:szCs w:val="16"/>
                <w:color w:val="auto"/>
              </w:rPr>
              <w:t>Loyalty program liability</w:t>
            </w:r>
          </w:p>
        </w:tc>
        <w:tc>
          <w:tcPr>
            <w:tcW w:w="1040" w:type="dxa"/>
            <w:vAlign w:val="bottom"/>
          </w:tcPr>
          <w:p>
            <w:pPr>
              <w:spacing w:after="0"/>
              <w:rPr>
                <w:sz w:val="22"/>
                <w:szCs w:val="22"/>
                <w:color w:val="auto"/>
              </w:rPr>
            </w:pPr>
          </w:p>
        </w:tc>
        <w:tc>
          <w:tcPr>
            <w:tcW w:w="680" w:type="dxa"/>
            <w:vAlign w:val="bottom"/>
          </w:tcPr>
          <w:p>
            <w:pPr>
              <w:jc w:val="right"/>
              <w:ind w:right="39"/>
              <w:spacing w:after="0"/>
              <w:rPr>
                <w:sz w:val="20"/>
                <w:szCs w:val="20"/>
                <w:color w:val="auto"/>
              </w:rPr>
            </w:pPr>
            <w:r>
              <w:rPr>
                <w:rFonts w:ascii="Arial" w:cs="Arial" w:eastAsia="Arial" w:hAnsi="Arial"/>
                <w:sz w:val="16"/>
                <w:szCs w:val="16"/>
                <w:color w:val="auto"/>
              </w:rPr>
              <w:t>3,193</w:t>
            </w:r>
          </w:p>
        </w:tc>
        <w:tc>
          <w:tcPr>
            <w:tcW w:w="100" w:type="dxa"/>
            <w:vAlign w:val="bottom"/>
          </w:tcPr>
          <w:p>
            <w:pPr>
              <w:spacing w:after="0"/>
              <w:rPr>
                <w:sz w:val="22"/>
                <w:szCs w:val="22"/>
                <w:color w:val="auto"/>
              </w:rPr>
            </w:pPr>
          </w:p>
        </w:tc>
        <w:tc>
          <w:tcPr>
            <w:tcW w:w="560" w:type="dxa"/>
            <w:vAlign w:val="bottom"/>
          </w:tcPr>
          <w:p>
            <w:pPr>
              <w:spacing w:after="0"/>
              <w:rPr>
                <w:sz w:val="22"/>
                <w:szCs w:val="22"/>
                <w:color w:val="auto"/>
              </w:rPr>
            </w:pPr>
          </w:p>
        </w:tc>
        <w:tc>
          <w:tcPr>
            <w:tcW w:w="1140" w:type="dxa"/>
            <w:vAlign w:val="bottom"/>
          </w:tcPr>
          <w:p>
            <w:pPr>
              <w:jc w:val="right"/>
              <w:ind w:right="19"/>
              <w:spacing w:after="0"/>
              <w:rPr>
                <w:sz w:val="20"/>
                <w:szCs w:val="20"/>
                <w:color w:val="auto"/>
              </w:rPr>
            </w:pPr>
            <w:r>
              <w:rPr>
                <w:rFonts w:ascii="Arial" w:cs="Arial" w:eastAsia="Arial" w:hAnsi="Arial"/>
                <w:sz w:val="16"/>
                <w:szCs w:val="16"/>
                <w:color w:val="auto"/>
              </w:rPr>
              <w:t>3,267</w:t>
            </w:r>
          </w:p>
        </w:tc>
        <w:tc>
          <w:tcPr>
            <w:tcW w:w="0" w:type="dxa"/>
            <w:vAlign w:val="bottom"/>
          </w:tcPr>
          <w:p>
            <w:pPr>
              <w:spacing w:after="0"/>
              <w:rPr>
                <w:sz w:val="1"/>
                <w:szCs w:val="1"/>
                <w:color w:val="auto"/>
              </w:rPr>
            </w:pPr>
          </w:p>
        </w:tc>
      </w:tr>
      <w:tr>
        <w:trPr>
          <w:trHeight w:val="280"/>
        </w:trPr>
        <w:tc>
          <w:tcPr>
            <w:tcW w:w="280" w:type="dxa"/>
            <w:vAlign w:val="bottom"/>
            <w:shd w:val="clear" w:color="auto" w:fill="CCEEFF"/>
          </w:tcPr>
          <w:p>
            <w:pPr>
              <w:spacing w:after="0"/>
              <w:rPr>
                <w:sz w:val="24"/>
                <w:szCs w:val="24"/>
                <w:color w:val="auto"/>
              </w:rPr>
            </w:pPr>
          </w:p>
        </w:tc>
        <w:tc>
          <w:tcPr>
            <w:tcW w:w="7620" w:type="dxa"/>
            <w:vAlign w:val="bottom"/>
            <w:shd w:val="clear" w:color="auto" w:fill="CCEEFF"/>
          </w:tcPr>
          <w:p>
            <w:pPr>
              <w:spacing w:after="0"/>
              <w:rPr>
                <w:sz w:val="20"/>
                <w:szCs w:val="20"/>
                <w:color w:val="auto"/>
              </w:rPr>
            </w:pPr>
            <w:r>
              <w:rPr>
                <w:rFonts w:ascii="Arial" w:cs="Arial" w:eastAsia="Arial" w:hAnsi="Arial"/>
                <w:sz w:val="16"/>
                <w:szCs w:val="16"/>
                <w:color w:val="auto"/>
              </w:rPr>
              <w:t>Operating lease liabilities</w:t>
            </w:r>
          </w:p>
        </w:tc>
        <w:tc>
          <w:tcPr>
            <w:tcW w:w="1040" w:type="dxa"/>
            <w:vAlign w:val="bottom"/>
            <w:shd w:val="clear" w:color="auto" w:fill="CCEEFF"/>
          </w:tcPr>
          <w:p>
            <w:pPr>
              <w:spacing w:after="0"/>
              <w:rPr>
                <w:sz w:val="24"/>
                <w:szCs w:val="24"/>
                <w:color w:val="auto"/>
              </w:rPr>
            </w:pPr>
          </w:p>
        </w:tc>
        <w:tc>
          <w:tcPr>
            <w:tcW w:w="68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1,695</w:t>
            </w:r>
          </w:p>
        </w:tc>
        <w:tc>
          <w:tcPr>
            <w:tcW w:w="100" w:type="dxa"/>
            <w:vAlign w:val="bottom"/>
            <w:shd w:val="clear" w:color="auto" w:fill="CCEEFF"/>
          </w:tcPr>
          <w:p>
            <w:pPr>
              <w:spacing w:after="0"/>
              <w:rPr>
                <w:sz w:val="24"/>
                <w:szCs w:val="24"/>
                <w:color w:val="auto"/>
              </w:rPr>
            </w:pPr>
          </w:p>
        </w:tc>
        <w:tc>
          <w:tcPr>
            <w:tcW w:w="560" w:type="dxa"/>
            <w:vAlign w:val="bottom"/>
            <w:shd w:val="clear" w:color="auto" w:fill="CCEEFF"/>
          </w:tcPr>
          <w:p>
            <w:pPr>
              <w:spacing w:after="0"/>
              <w:rPr>
                <w:sz w:val="24"/>
                <w:szCs w:val="24"/>
                <w:color w:val="auto"/>
              </w:rPr>
            </w:pPr>
          </w:p>
        </w:tc>
        <w:tc>
          <w:tcPr>
            <w:tcW w:w="114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1,639</w:t>
            </w:r>
          </w:p>
        </w:tc>
        <w:tc>
          <w:tcPr>
            <w:tcW w:w="0" w:type="dxa"/>
            <w:vAlign w:val="bottom"/>
          </w:tcPr>
          <w:p>
            <w:pPr>
              <w:spacing w:after="0"/>
              <w:rPr>
                <w:sz w:val="1"/>
                <w:szCs w:val="1"/>
                <w:color w:val="auto"/>
              </w:rPr>
            </w:pPr>
          </w:p>
        </w:tc>
      </w:tr>
      <w:tr>
        <w:trPr>
          <w:trHeight w:val="264"/>
        </w:trPr>
        <w:tc>
          <w:tcPr>
            <w:tcW w:w="280" w:type="dxa"/>
            <w:vAlign w:val="bottom"/>
            <w:tcBorders>
              <w:bottom w:val="single" w:sz="8" w:color="CCEEFF"/>
            </w:tcBorders>
          </w:tcPr>
          <w:p>
            <w:pPr>
              <w:spacing w:after="0"/>
              <w:rPr>
                <w:sz w:val="22"/>
                <w:szCs w:val="22"/>
                <w:color w:val="auto"/>
              </w:rPr>
            </w:pPr>
          </w:p>
        </w:tc>
        <w:tc>
          <w:tcPr>
            <w:tcW w:w="7620" w:type="dxa"/>
            <w:vAlign w:val="bottom"/>
            <w:tcBorders>
              <w:bottom w:val="single" w:sz="8" w:color="CCEEFF"/>
            </w:tcBorders>
          </w:tcPr>
          <w:p>
            <w:pPr>
              <w:spacing w:after="0"/>
              <w:rPr>
                <w:sz w:val="20"/>
                <w:szCs w:val="20"/>
                <w:color w:val="auto"/>
              </w:rPr>
            </w:pPr>
            <w:r>
              <w:rPr>
                <w:rFonts w:ascii="Arial" w:cs="Arial" w:eastAsia="Arial" w:hAnsi="Arial"/>
                <w:sz w:val="16"/>
                <w:szCs w:val="16"/>
                <w:color w:val="auto"/>
              </w:rPr>
              <w:t>Other accrued liabilities</w:t>
            </w:r>
          </w:p>
        </w:tc>
        <w:tc>
          <w:tcPr>
            <w:tcW w:w="1040" w:type="dxa"/>
            <w:vAlign w:val="bottom"/>
            <w:tcBorders>
              <w:bottom w:val="single" w:sz="8" w:color="auto"/>
            </w:tcBorders>
          </w:tcPr>
          <w:p>
            <w:pPr>
              <w:spacing w:after="0"/>
              <w:rPr>
                <w:sz w:val="22"/>
                <w:szCs w:val="22"/>
                <w:color w:val="auto"/>
              </w:rPr>
            </w:pPr>
          </w:p>
        </w:tc>
        <w:tc>
          <w:tcPr>
            <w:tcW w:w="68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rPr>
              <w:t>2,055</w:t>
            </w:r>
          </w:p>
        </w:tc>
        <w:tc>
          <w:tcPr>
            <w:tcW w:w="100" w:type="dxa"/>
            <w:vAlign w:val="bottom"/>
            <w:tcBorders>
              <w:bottom w:val="single" w:sz="8" w:color="CCEEFF"/>
            </w:tcBorders>
          </w:tcPr>
          <w:p>
            <w:pPr>
              <w:spacing w:after="0"/>
              <w:rPr>
                <w:sz w:val="22"/>
                <w:szCs w:val="22"/>
                <w:color w:val="auto"/>
              </w:rPr>
            </w:pPr>
          </w:p>
        </w:tc>
        <w:tc>
          <w:tcPr>
            <w:tcW w:w="560" w:type="dxa"/>
            <w:vAlign w:val="bottom"/>
            <w:tcBorders>
              <w:bottom w:val="single" w:sz="8" w:color="auto"/>
            </w:tcBorders>
          </w:tcPr>
          <w:p>
            <w:pPr>
              <w:spacing w:after="0"/>
              <w:rPr>
                <w:sz w:val="22"/>
                <w:szCs w:val="22"/>
                <w:color w:val="auto"/>
              </w:rPr>
            </w:pPr>
          </w:p>
        </w:tc>
        <w:tc>
          <w:tcPr>
            <w:tcW w:w="114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2,259</w:t>
            </w:r>
          </w:p>
        </w:tc>
        <w:tc>
          <w:tcPr>
            <w:tcW w:w="0" w:type="dxa"/>
            <w:vAlign w:val="bottom"/>
          </w:tcPr>
          <w:p>
            <w:pPr>
              <w:spacing w:after="0"/>
              <w:rPr>
                <w:sz w:val="1"/>
                <w:szCs w:val="1"/>
                <w:color w:val="auto"/>
              </w:rPr>
            </w:pPr>
          </w:p>
        </w:tc>
      </w:tr>
      <w:tr>
        <w:trPr>
          <w:trHeight w:val="237"/>
        </w:trPr>
        <w:tc>
          <w:tcPr>
            <w:tcW w:w="280" w:type="dxa"/>
            <w:vAlign w:val="bottom"/>
            <w:tcBorders>
              <w:bottom w:val="single" w:sz="8" w:color="CCEEFF"/>
            </w:tcBorders>
            <w:shd w:val="clear" w:color="auto" w:fill="CCEEFF"/>
          </w:tcPr>
          <w:p>
            <w:pPr>
              <w:spacing w:after="0"/>
              <w:rPr>
                <w:sz w:val="20"/>
                <w:szCs w:val="20"/>
                <w:color w:val="auto"/>
              </w:rPr>
            </w:pPr>
          </w:p>
        </w:tc>
        <w:tc>
          <w:tcPr>
            <w:tcW w:w="7620" w:type="dxa"/>
            <w:vAlign w:val="bottom"/>
            <w:tcBorders>
              <w:bottom w:val="single" w:sz="8" w:color="CCEEFF"/>
            </w:tcBorders>
            <w:shd w:val="clear" w:color="auto" w:fill="CCEEFF"/>
          </w:tcPr>
          <w:p>
            <w:pPr>
              <w:ind w:left="220"/>
              <w:spacing w:after="0"/>
              <w:rPr>
                <w:sz w:val="20"/>
                <w:szCs w:val="20"/>
                <w:color w:val="auto"/>
              </w:rPr>
            </w:pPr>
            <w:r>
              <w:rPr>
                <w:rFonts w:ascii="Arial" w:cs="Arial" w:eastAsia="Arial" w:hAnsi="Arial"/>
                <w:sz w:val="16"/>
                <w:szCs w:val="16"/>
                <w:color w:val="auto"/>
                <w:shd w:val="clear" w:color="auto" w:fill="CCEEFF"/>
              </w:rPr>
              <w:t>Total current liabilities</w:t>
            </w:r>
          </w:p>
        </w:tc>
        <w:tc>
          <w:tcPr>
            <w:tcW w:w="1040" w:type="dxa"/>
            <w:vAlign w:val="bottom"/>
            <w:tcBorders>
              <w:bottom w:val="single" w:sz="8" w:color="CCEEFF"/>
            </w:tcBorders>
            <w:shd w:val="clear" w:color="auto" w:fill="CCEEFF"/>
          </w:tcPr>
          <w:p>
            <w:pPr>
              <w:spacing w:after="0"/>
              <w:rPr>
                <w:sz w:val="20"/>
                <w:szCs w:val="20"/>
                <w:color w:val="auto"/>
              </w:rPr>
            </w:pPr>
          </w:p>
        </w:tc>
        <w:tc>
          <w:tcPr>
            <w:tcW w:w="68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17,560</w:t>
            </w:r>
          </w:p>
        </w:tc>
        <w:tc>
          <w:tcPr>
            <w:tcW w:w="100" w:type="dxa"/>
            <w:vAlign w:val="bottom"/>
            <w:tcBorders>
              <w:bottom w:val="single" w:sz="8" w:color="CCEEFF"/>
            </w:tcBorders>
            <w:shd w:val="clear" w:color="auto" w:fill="CCEEFF"/>
          </w:tcPr>
          <w:p>
            <w:pPr>
              <w:spacing w:after="0"/>
              <w:rPr>
                <w:sz w:val="20"/>
                <w:szCs w:val="20"/>
                <w:color w:val="auto"/>
              </w:rPr>
            </w:pPr>
          </w:p>
        </w:tc>
        <w:tc>
          <w:tcPr>
            <w:tcW w:w="560" w:type="dxa"/>
            <w:vAlign w:val="bottom"/>
            <w:tcBorders>
              <w:bottom w:val="single" w:sz="8" w:color="CCEEFF"/>
            </w:tcBorders>
            <w:shd w:val="clear" w:color="auto" w:fill="CCEEFF"/>
          </w:tcPr>
          <w:p>
            <w:pPr>
              <w:spacing w:after="0"/>
              <w:rPr>
                <w:sz w:val="20"/>
                <w:szCs w:val="20"/>
                <w:color w:val="auto"/>
              </w:rPr>
            </w:pPr>
          </w:p>
        </w:tc>
        <w:tc>
          <w:tcPr>
            <w:tcW w:w="114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17,121</w:t>
            </w:r>
          </w:p>
        </w:tc>
        <w:tc>
          <w:tcPr>
            <w:tcW w:w="0" w:type="dxa"/>
            <w:vAlign w:val="bottom"/>
          </w:tcPr>
          <w:p>
            <w:pPr>
              <w:spacing w:after="0"/>
              <w:rPr>
                <w:sz w:val="1"/>
                <w:szCs w:val="1"/>
                <w:color w:val="auto"/>
              </w:rPr>
            </w:pPr>
          </w:p>
        </w:tc>
      </w:tr>
      <w:tr>
        <w:trPr>
          <w:trHeight w:val="224"/>
        </w:trPr>
        <w:tc>
          <w:tcPr>
            <w:tcW w:w="7900" w:type="dxa"/>
            <w:vAlign w:val="bottom"/>
            <w:gridSpan w:val="2"/>
          </w:tcPr>
          <w:p>
            <w:pPr>
              <w:ind w:left="40"/>
              <w:spacing w:after="0"/>
              <w:rPr>
                <w:sz w:val="20"/>
                <w:szCs w:val="20"/>
                <w:color w:val="auto"/>
              </w:rPr>
            </w:pPr>
            <w:r>
              <w:rPr>
                <w:rFonts w:ascii="Arial" w:cs="Arial" w:eastAsia="Arial" w:hAnsi="Arial"/>
                <w:sz w:val="16"/>
                <w:szCs w:val="16"/>
                <w:b w:val="1"/>
                <w:bCs w:val="1"/>
                <w:color w:val="auto"/>
              </w:rPr>
              <w:t>Noncurrent liabilities</w:t>
            </w:r>
          </w:p>
        </w:tc>
        <w:tc>
          <w:tcPr>
            <w:tcW w:w="104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47"/>
        </w:trPr>
        <w:tc>
          <w:tcPr>
            <w:tcW w:w="280" w:type="dxa"/>
            <w:vAlign w:val="bottom"/>
          </w:tcPr>
          <w:p>
            <w:pPr>
              <w:spacing w:after="0"/>
              <w:rPr>
                <w:sz w:val="4"/>
                <w:szCs w:val="4"/>
                <w:color w:val="auto"/>
              </w:rPr>
            </w:pPr>
          </w:p>
        </w:tc>
        <w:tc>
          <w:tcPr>
            <w:tcW w:w="7620" w:type="dxa"/>
            <w:vAlign w:val="bottom"/>
          </w:tcPr>
          <w:p>
            <w:pPr>
              <w:spacing w:after="0"/>
              <w:rPr>
                <w:sz w:val="4"/>
                <w:szCs w:val="4"/>
                <w:color w:val="auto"/>
              </w:rPr>
            </w:pPr>
          </w:p>
        </w:tc>
        <w:tc>
          <w:tcPr>
            <w:tcW w:w="1040" w:type="dxa"/>
            <w:vAlign w:val="bottom"/>
          </w:tcPr>
          <w:p>
            <w:pPr>
              <w:spacing w:after="0"/>
              <w:rPr>
                <w:sz w:val="4"/>
                <w:szCs w:val="4"/>
                <w:color w:val="auto"/>
              </w:rPr>
            </w:pPr>
          </w:p>
        </w:tc>
        <w:tc>
          <w:tcPr>
            <w:tcW w:w="680" w:type="dxa"/>
            <w:vAlign w:val="bottom"/>
          </w:tcPr>
          <w:p>
            <w:pPr>
              <w:spacing w:after="0"/>
              <w:rPr>
                <w:sz w:val="4"/>
                <w:szCs w:val="4"/>
                <w:color w:val="auto"/>
              </w:rPr>
            </w:pPr>
          </w:p>
        </w:tc>
        <w:tc>
          <w:tcPr>
            <w:tcW w:w="100" w:type="dxa"/>
            <w:vAlign w:val="bottom"/>
          </w:tcPr>
          <w:p>
            <w:pPr>
              <w:spacing w:after="0"/>
              <w:rPr>
                <w:sz w:val="4"/>
                <w:szCs w:val="4"/>
                <w:color w:val="auto"/>
              </w:rPr>
            </w:pPr>
          </w:p>
        </w:tc>
        <w:tc>
          <w:tcPr>
            <w:tcW w:w="560" w:type="dxa"/>
            <w:vAlign w:val="bottom"/>
          </w:tcPr>
          <w:p>
            <w:pPr>
              <w:spacing w:after="0"/>
              <w:rPr>
                <w:sz w:val="4"/>
                <w:szCs w:val="4"/>
                <w:color w:val="auto"/>
              </w:rPr>
            </w:pPr>
          </w:p>
        </w:tc>
        <w:tc>
          <w:tcPr>
            <w:tcW w:w="114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50"/>
        </w:trPr>
        <w:tc>
          <w:tcPr>
            <w:tcW w:w="280" w:type="dxa"/>
            <w:vAlign w:val="bottom"/>
            <w:tcBorders>
              <w:bottom w:val="single" w:sz="8" w:color="CCEEFF"/>
            </w:tcBorders>
            <w:shd w:val="clear" w:color="auto" w:fill="CCEEFF"/>
          </w:tcPr>
          <w:p>
            <w:pPr>
              <w:spacing w:after="0"/>
              <w:rPr>
                <w:sz w:val="21"/>
                <w:szCs w:val="21"/>
                <w:color w:val="auto"/>
              </w:rPr>
            </w:pPr>
          </w:p>
        </w:tc>
        <w:tc>
          <w:tcPr>
            <w:tcW w:w="762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6"/>
                <w:szCs w:val="16"/>
                <w:color w:val="auto"/>
                <w:shd w:val="clear" w:color="auto" w:fill="CCEEFF"/>
              </w:rPr>
              <w:t>Long-term debt and finance leases, net of current maturities</w:t>
            </w:r>
          </w:p>
        </w:tc>
        <w:tc>
          <w:tcPr>
            <w:tcW w:w="1040" w:type="dxa"/>
            <w:vAlign w:val="bottom"/>
            <w:tcBorders>
              <w:bottom w:val="single" w:sz="8" w:color="CCEEFF"/>
            </w:tcBorders>
            <w:shd w:val="clear" w:color="auto" w:fill="CCEEFF"/>
          </w:tcPr>
          <w:p>
            <w:pPr>
              <w:spacing w:after="0"/>
              <w:rPr>
                <w:sz w:val="21"/>
                <w:szCs w:val="21"/>
                <w:color w:val="auto"/>
              </w:rPr>
            </w:pPr>
          </w:p>
        </w:tc>
        <w:tc>
          <w:tcPr>
            <w:tcW w:w="68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20,684</w:t>
            </w:r>
          </w:p>
        </w:tc>
        <w:tc>
          <w:tcPr>
            <w:tcW w:w="100" w:type="dxa"/>
            <w:vAlign w:val="bottom"/>
            <w:tcBorders>
              <w:bottom w:val="single" w:sz="8" w:color="CCEEFF"/>
            </w:tcBorders>
            <w:shd w:val="clear" w:color="auto" w:fill="CCEEFF"/>
          </w:tcPr>
          <w:p>
            <w:pPr>
              <w:spacing w:after="0"/>
              <w:rPr>
                <w:sz w:val="21"/>
                <w:szCs w:val="21"/>
                <w:color w:val="auto"/>
              </w:rPr>
            </w:pPr>
          </w:p>
        </w:tc>
        <w:tc>
          <w:tcPr>
            <w:tcW w:w="56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20,650</w:t>
            </w:r>
          </w:p>
        </w:tc>
        <w:tc>
          <w:tcPr>
            <w:tcW w:w="0" w:type="dxa"/>
            <w:vAlign w:val="bottom"/>
          </w:tcPr>
          <w:p>
            <w:pPr>
              <w:spacing w:after="0"/>
              <w:rPr>
                <w:sz w:val="1"/>
                <w:szCs w:val="1"/>
                <w:color w:val="auto"/>
              </w:rPr>
            </w:pPr>
          </w:p>
        </w:tc>
      </w:tr>
      <w:tr>
        <w:trPr>
          <w:trHeight w:val="260"/>
        </w:trPr>
        <w:tc>
          <w:tcPr>
            <w:tcW w:w="280" w:type="dxa"/>
            <w:vAlign w:val="bottom"/>
          </w:tcPr>
          <w:p>
            <w:pPr>
              <w:spacing w:after="0"/>
              <w:rPr>
                <w:sz w:val="22"/>
                <w:szCs w:val="22"/>
                <w:color w:val="auto"/>
              </w:rPr>
            </w:pPr>
          </w:p>
        </w:tc>
        <w:tc>
          <w:tcPr>
            <w:tcW w:w="7620" w:type="dxa"/>
            <w:vAlign w:val="bottom"/>
          </w:tcPr>
          <w:p>
            <w:pPr>
              <w:spacing w:after="0"/>
              <w:rPr>
                <w:sz w:val="20"/>
                <w:szCs w:val="20"/>
                <w:color w:val="auto"/>
              </w:rPr>
            </w:pPr>
            <w:r>
              <w:rPr>
                <w:rFonts w:ascii="Arial" w:cs="Arial" w:eastAsia="Arial" w:hAnsi="Arial"/>
                <w:sz w:val="16"/>
                <w:szCs w:val="16"/>
                <w:color w:val="auto"/>
              </w:rPr>
              <w:t>Pension and postretirement benefits</w:t>
            </w:r>
          </w:p>
        </w:tc>
        <w:tc>
          <w:tcPr>
            <w:tcW w:w="1040" w:type="dxa"/>
            <w:vAlign w:val="bottom"/>
          </w:tcPr>
          <w:p>
            <w:pPr>
              <w:spacing w:after="0"/>
              <w:rPr>
                <w:sz w:val="22"/>
                <w:szCs w:val="22"/>
                <w:color w:val="auto"/>
              </w:rPr>
            </w:pPr>
          </w:p>
        </w:tc>
        <w:tc>
          <w:tcPr>
            <w:tcW w:w="680" w:type="dxa"/>
            <w:vAlign w:val="bottom"/>
          </w:tcPr>
          <w:p>
            <w:pPr>
              <w:jc w:val="right"/>
              <w:ind w:right="39"/>
              <w:spacing w:after="0"/>
              <w:rPr>
                <w:sz w:val="20"/>
                <w:szCs w:val="20"/>
                <w:color w:val="auto"/>
              </w:rPr>
            </w:pPr>
            <w:r>
              <w:rPr>
                <w:rFonts w:ascii="Arial" w:cs="Arial" w:eastAsia="Arial" w:hAnsi="Arial"/>
                <w:sz w:val="16"/>
                <w:szCs w:val="16"/>
                <w:color w:val="auto"/>
              </w:rPr>
              <w:t>6,008</w:t>
            </w:r>
          </w:p>
        </w:tc>
        <w:tc>
          <w:tcPr>
            <w:tcW w:w="100" w:type="dxa"/>
            <w:vAlign w:val="bottom"/>
          </w:tcPr>
          <w:p>
            <w:pPr>
              <w:spacing w:after="0"/>
              <w:rPr>
                <w:sz w:val="22"/>
                <w:szCs w:val="22"/>
                <w:color w:val="auto"/>
              </w:rPr>
            </w:pPr>
          </w:p>
        </w:tc>
        <w:tc>
          <w:tcPr>
            <w:tcW w:w="560" w:type="dxa"/>
            <w:vAlign w:val="bottom"/>
          </w:tcPr>
          <w:p>
            <w:pPr>
              <w:spacing w:after="0"/>
              <w:rPr>
                <w:sz w:val="22"/>
                <w:szCs w:val="22"/>
                <w:color w:val="auto"/>
              </w:rPr>
            </w:pPr>
          </w:p>
        </w:tc>
        <w:tc>
          <w:tcPr>
            <w:tcW w:w="1140" w:type="dxa"/>
            <w:vAlign w:val="bottom"/>
          </w:tcPr>
          <w:p>
            <w:pPr>
              <w:jc w:val="right"/>
              <w:ind w:right="19"/>
              <w:spacing w:after="0"/>
              <w:rPr>
                <w:sz w:val="20"/>
                <w:szCs w:val="20"/>
                <w:color w:val="auto"/>
              </w:rPr>
            </w:pPr>
            <w:r>
              <w:rPr>
                <w:rFonts w:ascii="Arial" w:cs="Arial" w:eastAsia="Arial" w:hAnsi="Arial"/>
                <w:sz w:val="16"/>
                <w:szCs w:val="16"/>
                <w:color w:val="auto"/>
              </w:rPr>
              <w:t>6,863</w:t>
            </w:r>
          </w:p>
        </w:tc>
        <w:tc>
          <w:tcPr>
            <w:tcW w:w="0" w:type="dxa"/>
            <w:vAlign w:val="bottom"/>
          </w:tcPr>
          <w:p>
            <w:pPr>
              <w:spacing w:after="0"/>
              <w:rPr>
                <w:sz w:val="1"/>
                <w:szCs w:val="1"/>
                <w:color w:val="auto"/>
              </w:rPr>
            </w:pPr>
          </w:p>
        </w:tc>
      </w:tr>
      <w:tr>
        <w:trPr>
          <w:trHeight w:val="260"/>
        </w:trPr>
        <w:tc>
          <w:tcPr>
            <w:tcW w:w="280" w:type="dxa"/>
            <w:vAlign w:val="bottom"/>
            <w:tcBorders>
              <w:bottom w:val="single" w:sz="8" w:color="CCEEFF"/>
            </w:tcBorders>
            <w:shd w:val="clear" w:color="auto" w:fill="CCEEFF"/>
          </w:tcPr>
          <w:p>
            <w:pPr>
              <w:spacing w:after="0"/>
              <w:rPr>
                <w:sz w:val="22"/>
                <w:szCs w:val="22"/>
                <w:color w:val="auto"/>
              </w:rPr>
            </w:pPr>
          </w:p>
        </w:tc>
        <w:tc>
          <w:tcPr>
            <w:tcW w:w="762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6"/>
                <w:szCs w:val="16"/>
                <w:color w:val="auto"/>
                <w:shd w:val="clear" w:color="auto" w:fill="CCEEFF"/>
              </w:rPr>
              <w:t>Loyalty program liability</w:t>
            </w:r>
          </w:p>
        </w:tc>
        <w:tc>
          <w:tcPr>
            <w:tcW w:w="1040" w:type="dxa"/>
            <w:vAlign w:val="bottom"/>
            <w:tcBorders>
              <w:bottom w:val="single" w:sz="8" w:color="CCEEFF"/>
            </w:tcBorders>
            <w:shd w:val="clear" w:color="auto" w:fill="CCEEFF"/>
          </w:tcPr>
          <w:p>
            <w:pPr>
              <w:spacing w:after="0"/>
              <w:rPr>
                <w:sz w:val="22"/>
                <w:szCs w:val="22"/>
                <w:color w:val="auto"/>
              </w:rPr>
            </w:pPr>
          </w:p>
        </w:tc>
        <w:tc>
          <w:tcPr>
            <w:tcW w:w="68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5,422</w:t>
            </w:r>
          </w:p>
        </w:tc>
        <w:tc>
          <w:tcPr>
            <w:tcW w:w="100" w:type="dxa"/>
            <w:vAlign w:val="bottom"/>
            <w:tcBorders>
              <w:bottom w:val="single" w:sz="8" w:color="CCEEFF"/>
            </w:tcBorders>
            <w:shd w:val="clear" w:color="auto" w:fill="CCEEFF"/>
          </w:tcPr>
          <w:p>
            <w:pPr>
              <w:spacing w:after="0"/>
              <w:rPr>
                <w:sz w:val="22"/>
                <w:szCs w:val="22"/>
                <w:color w:val="auto"/>
              </w:rPr>
            </w:pPr>
          </w:p>
        </w:tc>
        <w:tc>
          <w:tcPr>
            <w:tcW w:w="560" w:type="dxa"/>
            <w:vAlign w:val="bottom"/>
            <w:tcBorders>
              <w:bottom w:val="single" w:sz="8" w:color="CCEEFF"/>
            </w:tcBorders>
            <w:shd w:val="clear" w:color="auto" w:fill="CCEEFF"/>
          </w:tcPr>
          <w:p>
            <w:pPr>
              <w:spacing w:after="0"/>
              <w:rPr>
                <w:sz w:val="22"/>
                <w:szCs w:val="22"/>
                <w:color w:val="auto"/>
              </w:rPr>
            </w:pPr>
          </w:p>
        </w:tc>
        <w:tc>
          <w:tcPr>
            <w:tcW w:w="114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5,272</w:t>
            </w:r>
          </w:p>
        </w:tc>
        <w:tc>
          <w:tcPr>
            <w:tcW w:w="0" w:type="dxa"/>
            <w:vAlign w:val="bottom"/>
          </w:tcPr>
          <w:p>
            <w:pPr>
              <w:spacing w:after="0"/>
              <w:rPr>
                <w:sz w:val="1"/>
                <w:szCs w:val="1"/>
                <w:color w:val="auto"/>
              </w:rPr>
            </w:pPr>
          </w:p>
        </w:tc>
      </w:tr>
      <w:tr>
        <w:trPr>
          <w:trHeight w:val="260"/>
        </w:trPr>
        <w:tc>
          <w:tcPr>
            <w:tcW w:w="280" w:type="dxa"/>
            <w:vAlign w:val="bottom"/>
          </w:tcPr>
          <w:p>
            <w:pPr>
              <w:spacing w:after="0"/>
              <w:rPr>
                <w:sz w:val="22"/>
                <w:szCs w:val="22"/>
                <w:color w:val="auto"/>
              </w:rPr>
            </w:pPr>
          </w:p>
        </w:tc>
        <w:tc>
          <w:tcPr>
            <w:tcW w:w="7620" w:type="dxa"/>
            <w:vAlign w:val="bottom"/>
          </w:tcPr>
          <w:p>
            <w:pPr>
              <w:spacing w:after="0"/>
              <w:rPr>
                <w:sz w:val="20"/>
                <w:szCs w:val="20"/>
                <w:color w:val="auto"/>
              </w:rPr>
            </w:pPr>
            <w:r>
              <w:rPr>
                <w:rFonts w:ascii="Arial" w:cs="Arial" w:eastAsia="Arial" w:hAnsi="Arial"/>
                <w:sz w:val="16"/>
                <w:szCs w:val="16"/>
                <w:color w:val="auto"/>
              </w:rPr>
              <w:t>Operating lease liabilities</w:t>
            </w:r>
          </w:p>
        </w:tc>
        <w:tc>
          <w:tcPr>
            <w:tcW w:w="1040" w:type="dxa"/>
            <w:vAlign w:val="bottom"/>
          </w:tcPr>
          <w:p>
            <w:pPr>
              <w:spacing w:after="0"/>
              <w:rPr>
                <w:sz w:val="22"/>
                <w:szCs w:val="22"/>
                <w:color w:val="auto"/>
              </w:rPr>
            </w:pPr>
          </w:p>
        </w:tc>
        <w:tc>
          <w:tcPr>
            <w:tcW w:w="680" w:type="dxa"/>
            <w:vAlign w:val="bottom"/>
          </w:tcPr>
          <w:p>
            <w:pPr>
              <w:jc w:val="right"/>
              <w:ind w:right="39"/>
              <w:spacing w:after="0"/>
              <w:rPr>
                <w:sz w:val="20"/>
                <w:szCs w:val="20"/>
                <w:color w:val="auto"/>
              </w:rPr>
            </w:pPr>
            <w:r>
              <w:rPr>
                <w:rFonts w:ascii="Arial" w:cs="Arial" w:eastAsia="Arial" w:hAnsi="Arial"/>
                <w:sz w:val="16"/>
                <w:szCs w:val="16"/>
                <w:color w:val="auto"/>
              </w:rPr>
              <w:t>7,388</w:t>
            </w:r>
          </w:p>
        </w:tc>
        <w:tc>
          <w:tcPr>
            <w:tcW w:w="100" w:type="dxa"/>
            <w:vAlign w:val="bottom"/>
          </w:tcPr>
          <w:p>
            <w:pPr>
              <w:spacing w:after="0"/>
              <w:rPr>
                <w:sz w:val="22"/>
                <w:szCs w:val="22"/>
                <w:color w:val="auto"/>
              </w:rPr>
            </w:pPr>
          </w:p>
        </w:tc>
        <w:tc>
          <w:tcPr>
            <w:tcW w:w="560" w:type="dxa"/>
            <w:vAlign w:val="bottom"/>
          </w:tcPr>
          <w:p>
            <w:pPr>
              <w:spacing w:after="0"/>
              <w:rPr>
                <w:sz w:val="22"/>
                <w:szCs w:val="22"/>
                <w:color w:val="auto"/>
              </w:rPr>
            </w:pPr>
          </w:p>
        </w:tc>
        <w:tc>
          <w:tcPr>
            <w:tcW w:w="1140" w:type="dxa"/>
            <w:vAlign w:val="bottom"/>
          </w:tcPr>
          <w:p>
            <w:pPr>
              <w:jc w:val="right"/>
              <w:ind w:right="19"/>
              <w:spacing w:after="0"/>
              <w:rPr>
                <w:sz w:val="20"/>
                <w:szCs w:val="20"/>
                <w:color w:val="auto"/>
              </w:rPr>
            </w:pPr>
            <w:r>
              <w:rPr>
                <w:rFonts w:ascii="Arial" w:cs="Arial" w:eastAsia="Arial" w:hAnsi="Arial"/>
                <w:sz w:val="16"/>
                <w:szCs w:val="16"/>
                <w:color w:val="auto"/>
              </w:rPr>
              <w:t>7,857</w:t>
            </w:r>
          </w:p>
        </w:tc>
        <w:tc>
          <w:tcPr>
            <w:tcW w:w="0" w:type="dxa"/>
            <w:vAlign w:val="bottom"/>
          </w:tcPr>
          <w:p>
            <w:pPr>
              <w:spacing w:after="0"/>
              <w:rPr>
                <w:sz w:val="1"/>
                <w:szCs w:val="1"/>
                <w:color w:val="auto"/>
              </w:rPr>
            </w:pPr>
          </w:p>
        </w:tc>
      </w:tr>
      <w:tr>
        <w:trPr>
          <w:trHeight w:val="280"/>
        </w:trPr>
        <w:tc>
          <w:tcPr>
            <w:tcW w:w="280" w:type="dxa"/>
            <w:vAlign w:val="bottom"/>
            <w:tcBorders>
              <w:bottom w:val="single" w:sz="8" w:color="CCEEFF"/>
            </w:tcBorders>
            <w:shd w:val="clear" w:color="auto" w:fill="CCEEFF"/>
          </w:tcPr>
          <w:p>
            <w:pPr>
              <w:spacing w:after="0"/>
              <w:rPr>
                <w:sz w:val="24"/>
                <w:szCs w:val="24"/>
                <w:color w:val="auto"/>
              </w:rPr>
            </w:pPr>
          </w:p>
        </w:tc>
        <w:tc>
          <w:tcPr>
            <w:tcW w:w="762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6"/>
                <w:szCs w:val="16"/>
                <w:color w:val="auto"/>
                <w:shd w:val="clear" w:color="auto" w:fill="CCEEFF"/>
              </w:rPr>
              <w:t>Other liabilities</w:t>
            </w:r>
          </w:p>
        </w:tc>
        <w:tc>
          <w:tcPr>
            <w:tcW w:w="1040" w:type="dxa"/>
            <w:vAlign w:val="bottom"/>
            <w:tcBorders>
              <w:bottom w:val="single" w:sz="8" w:color="CCEEFF"/>
            </w:tcBorders>
            <w:shd w:val="clear" w:color="auto" w:fill="CCEEFF"/>
          </w:tcPr>
          <w:p>
            <w:pPr>
              <w:spacing w:after="0"/>
              <w:rPr>
                <w:sz w:val="24"/>
                <w:szCs w:val="24"/>
                <w:color w:val="auto"/>
              </w:rPr>
            </w:pPr>
          </w:p>
        </w:tc>
        <w:tc>
          <w:tcPr>
            <w:tcW w:w="68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1,406</w:t>
            </w:r>
          </w:p>
        </w:tc>
        <w:tc>
          <w:tcPr>
            <w:tcW w:w="100" w:type="dxa"/>
            <w:vAlign w:val="bottom"/>
            <w:tcBorders>
              <w:bottom w:val="single" w:sz="8" w:color="CCEEFF"/>
            </w:tcBorders>
            <w:shd w:val="clear" w:color="auto" w:fill="CCEEFF"/>
          </w:tcPr>
          <w:p>
            <w:pPr>
              <w:spacing w:after="0"/>
              <w:rPr>
                <w:sz w:val="24"/>
                <w:szCs w:val="24"/>
                <w:color w:val="auto"/>
              </w:rPr>
            </w:pPr>
          </w:p>
        </w:tc>
        <w:tc>
          <w:tcPr>
            <w:tcW w:w="560" w:type="dxa"/>
            <w:vAlign w:val="bottom"/>
            <w:tcBorders>
              <w:bottom w:val="single" w:sz="8" w:color="CCEEFF"/>
            </w:tcBorders>
            <w:shd w:val="clear" w:color="auto" w:fill="CCEEFF"/>
          </w:tcPr>
          <w:p>
            <w:pPr>
              <w:spacing w:after="0"/>
              <w:rPr>
                <w:sz w:val="24"/>
                <w:szCs w:val="24"/>
                <w:color w:val="auto"/>
              </w:rPr>
            </w:pPr>
          </w:p>
        </w:tc>
        <w:tc>
          <w:tcPr>
            <w:tcW w:w="114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1,345</w:t>
            </w:r>
          </w:p>
        </w:tc>
        <w:tc>
          <w:tcPr>
            <w:tcW w:w="0" w:type="dxa"/>
            <w:vAlign w:val="bottom"/>
          </w:tcPr>
          <w:p>
            <w:pPr>
              <w:spacing w:after="0"/>
              <w:rPr>
                <w:sz w:val="1"/>
                <w:szCs w:val="1"/>
                <w:color w:val="auto"/>
              </w:rPr>
            </w:pPr>
          </w:p>
        </w:tc>
      </w:tr>
      <w:tr>
        <w:trPr>
          <w:trHeight w:val="240"/>
        </w:trPr>
        <w:tc>
          <w:tcPr>
            <w:tcW w:w="280" w:type="dxa"/>
            <w:vAlign w:val="bottom"/>
          </w:tcPr>
          <w:p>
            <w:pPr>
              <w:spacing w:after="0"/>
              <w:rPr>
                <w:sz w:val="20"/>
                <w:szCs w:val="20"/>
                <w:color w:val="auto"/>
              </w:rPr>
            </w:pPr>
          </w:p>
        </w:tc>
        <w:tc>
          <w:tcPr>
            <w:tcW w:w="7620" w:type="dxa"/>
            <w:vAlign w:val="bottom"/>
          </w:tcPr>
          <w:p>
            <w:pPr>
              <w:ind w:left="220"/>
              <w:spacing w:after="0"/>
              <w:rPr>
                <w:sz w:val="20"/>
                <w:szCs w:val="20"/>
                <w:color w:val="auto"/>
              </w:rPr>
            </w:pPr>
            <w:r>
              <w:rPr>
                <w:rFonts w:ascii="Arial" w:cs="Arial" w:eastAsia="Arial" w:hAnsi="Arial"/>
                <w:sz w:val="16"/>
                <w:szCs w:val="16"/>
                <w:color w:val="auto"/>
              </w:rPr>
              <w:t>Total noncurrent liabilities</w:t>
            </w:r>
          </w:p>
        </w:tc>
        <w:tc>
          <w:tcPr>
            <w:tcW w:w="1040" w:type="dxa"/>
            <w:vAlign w:val="bottom"/>
            <w:tcBorders>
              <w:top w:val="single" w:sz="8" w:color="auto"/>
            </w:tcBorders>
          </w:tcPr>
          <w:p>
            <w:pPr>
              <w:spacing w:after="0"/>
              <w:rPr>
                <w:sz w:val="20"/>
                <w:szCs w:val="20"/>
                <w:color w:val="auto"/>
              </w:rPr>
            </w:pPr>
          </w:p>
        </w:tc>
        <w:tc>
          <w:tcPr>
            <w:tcW w:w="680" w:type="dxa"/>
            <w:vAlign w:val="bottom"/>
            <w:tcBorders>
              <w:top w:val="single" w:sz="8" w:color="auto"/>
            </w:tcBorders>
          </w:tcPr>
          <w:p>
            <w:pPr>
              <w:jc w:val="right"/>
              <w:ind w:right="39"/>
              <w:spacing w:after="0"/>
              <w:rPr>
                <w:sz w:val="20"/>
                <w:szCs w:val="20"/>
                <w:color w:val="auto"/>
              </w:rPr>
            </w:pPr>
            <w:r>
              <w:rPr>
                <w:rFonts w:ascii="Arial" w:cs="Arial" w:eastAsia="Arial" w:hAnsi="Arial"/>
                <w:sz w:val="16"/>
                <w:szCs w:val="16"/>
                <w:color w:val="auto"/>
              </w:rPr>
              <w:t>40,908</w:t>
            </w:r>
          </w:p>
        </w:tc>
        <w:tc>
          <w:tcPr>
            <w:tcW w:w="100" w:type="dxa"/>
            <w:vAlign w:val="bottom"/>
          </w:tcPr>
          <w:p>
            <w:pPr>
              <w:spacing w:after="0"/>
              <w:rPr>
                <w:sz w:val="20"/>
                <w:szCs w:val="20"/>
                <w:color w:val="auto"/>
              </w:rPr>
            </w:pPr>
          </w:p>
        </w:tc>
        <w:tc>
          <w:tcPr>
            <w:tcW w:w="560" w:type="dxa"/>
            <w:vAlign w:val="bottom"/>
            <w:tcBorders>
              <w:top w:val="single" w:sz="8" w:color="auto"/>
            </w:tcBorders>
          </w:tcPr>
          <w:p>
            <w:pPr>
              <w:spacing w:after="0"/>
              <w:rPr>
                <w:sz w:val="20"/>
                <w:szCs w:val="20"/>
                <w:color w:val="auto"/>
              </w:rPr>
            </w:pPr>
          </w:p>
        </w:tc>
        <w:tc>
          <w:tcPr>
            <w:tcW w:w="1140" w:type="dxa"/>
            <w:vAlign w:val="bottom"/>
            <w:tcBorders>
              <w:top w:val="single" w:sz="8" w:color="auto"/>
            </w:tcBorders>
          </w:tcPr>
          <w:p>
            <w:pPr>
              <w:jc w:val="right"/>
              <w:ind w:right="19"/>
              <w:spacing w:after="0"/>
              <w:rPr>
                <w:sz w:val="20"/>
                <w:szCs w:val="20"/>
                <w:color w:val="auto"/>
              </w:rPr>
            </w:pPr>
            <w:r>
              <w:rPr>
                <w:rFonts w:ascii="Arial" w:cs="Arial" w:eastAsia="Arial" w:hAnsi="Arial"/>
                <w:sz w:val="16"/>
                <w:szCs w:val="16"/>
                <w:color w:val="auto"/>
              </w:rPr>
              <w:t>41,987</w:t>
            </w:r>
          </w:p>
        </w:tc>
        <w:tc>
          <w:tcPr>
            <w:tcW w:w="0" w:type="dxa"/>
            <w:vAlign w:val="bottom"/>
          </w:tcPr>
          <w:p>
            <w:pPr>
              <w:spacing w:after="0"/>
              <w:rPr>
                <w:sz w:val="1"/>
                <w:szCs w:val="1"/>
                <w:color w:val="auto"/>
              </w:rPr>
            </w:pPr>
          </w:p>
        </w:tc>
      </w:tr>
      <w:tr>
        <w:trPr>
          <w:trHeight w:val="260"/>
        </w:trPr>
        <w:tc>
          <w:tcPr>
            <w:tcW w:w="790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6"/>
                <w:szCs w:val="16"/>
                <w:b w:val="1"/>
                <w:bCs w:val="1"/>
                <w:color w:val="auto"/>
                <w:shd w:val="clear" w:color="auto" w:fill="CCEEFF"/>
              </w:rPr>
              <w:t>Commitments and contingencies (Note 10)</w:t>
            </w:r>
          </w:p>
        </w:tc>
        <w:tc>
          <w:tcPr>
            <w:tcW w:w="1040" w:type="dxa"/>
            <w:vAlign w:val="bottom"/>
            <w:tcBorders>
              <w:bottom w:val="single" w:sz="8" w:color="CCEEFF"/>
            </w:tcBorders>
            <w:shd w:val="clear" w:color="auto" w:fill="CCEEFF"/>
          </w:tcPr>
          <w:p>
            <w:pPr>
              <w:spacing w:after="0"/>
              <w:rPr>
                <w:sz w:val="22"/>
                <w:szCs w:val="22"/>
                <w:color w:val="auto"/>
              </w:rPr>
            </w:pPr>
          </w:p>
        </w:tc>
        <w:tc>
          <w:tcPr>
            <w:tcW w:w="68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560" w:type="dxa"/>
            <w:vAlign w:val="bottom"/>
            <w:tcBorders>
              <w:bottom w:val="single" w:sz="8" w:color="CCEEFF"/>
            </w:tcBorders>
            <w:shd w:val="clear" w:color="auto" w:fill="CCEEFF"/>
          </w:tcPr>
          <w:p>
            <w:pPr>
              <w:spacing w:after="0"/>
              <w:rPr>
                <w:sz w:val="22"/>
                <w:szCs w:val="22"/>
                <w:color w:val="auto"/>
              </w:rPr>
            </w:pPr>
          </w:p>
        </w:tc>
        <w:tc>
          <w:tcPr>
            <w:tcW w:w="1140" w:type="dxa"/>
            <w:vAlign w:val="bottom"/>
            <w:tcBorders>
              <w:bottom w:val="single" w:sz="8" w:color="CCEEFF"/>
            </w:tcBorders>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24"/>
        </w:trPr>
        <w:tc>
          <w:tcPr>
            <w:tcW w:w="7900" w:type="dxa"/>
            <w:vAlign w:val="bottom"/>
            <w:gridSpan w:val="2"/>
          </w:tcPr>
          <w:p>
            <w:pPr>
              <w:ind w:left="40"/>
              <w:spacing w:after="0"/>
              <w:rPr>
                <w:sz w:val="20"/>
                <w:szCs w:val="20"/>
                <w:color w:val="auto"/>
              </w:rPr>
            </w:pPr>
            <w:r>
              <w:rPr>
                <w:rFonts w:ascii="Arial" w:cs="Arial" w:eastAsia="Arial" w:hAnsi="Arial"/>
                <w:sz w:val="16"/>
                <w:szCs w:val="16"/>
                <w:b w:val="1"/>
                <w:bCs w:val="1"/>
                <w:color w:val="auto"/>
              </w:rPr>
              <w:t>Stockholder’s equity</w:t>
            </w:r>
          </w:p>
        </w:tc>
        <w:tc>
          <w:tcPr>
            <w:tcW w:w="104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47"/>
        </w:trPr>
        <w:tc>
          <w:tcPr>
            <w:tcW w:w="280" w:type="dxa"/>
            <w:vAlign w:val="bottom"/>
          </w:tcPr>
          <w:p>
            <w:pPr>
              <w:spacing w:after="0"/>
              <w:rPr>
                <w:sz w:val="4"/>
                <w:szCs w:val="4"/>
                <w:color w:val="auto"/>
              </w:rPr>
            </w:pPr>
          </w:p>
        </w:tc>
        <w:tc>
          <w:tcPr>
            <w:tcW w:w="7620" w:type="dxa"/>
            <w:vAlign w:val="bottom"/>
          </w:tcPr>
          <w:p>
            <w:pPr>
              <w:spacing w:after="0"/>
              <w:rPr>
                <w:sz w:val="4"/>
                <w:szCs w:val="4"/>
                <w:color w:val="auto"/>
              </w:rPr>
            </w:pPr>
          </w:p>
        </w:tc>
        <w:tc>
          <w:tcPr>
            <w:tcW w:w="1040" w:type="dxa"/>
            <w:vAlign w:val="bottom"/>
          </w:tcPr>
          <w:p>
            <w:pPr>
              <w:spacing w:after="0"/>
              <w:rPr>
                <w:sz w:val="4"/>
                <w:szCs w:val="4"/>
                <w:color w:val="auto"/>
              </w:rPr>
            </w:pPr>
          </w:p>
        </w:tc>
        <w:tc>
          <w:tcPr>
            <w:tcW w:w="680" w:type="dxa"/>
            <w:vAlign w:val="bottom"/>
          </w:tcPr>
          <w:p>
            <w:pPr>
              <w:spacing w:after="0"/>
              <w:rPr>
                <w:sz w:val="4"/>
                <w:szCs w:val="4"/>
                <w:color w:val="auto"/>
              </w:rPr>
            </w:pPr>
          </w:p>
        </w:tc>
        <w:tc>
          <w:tcPr>
            <w:tcW w:w="100" w:type="dxa"/>
            <w:vAlign w:val="bottom"/>
          </w:tcPr>
          <w:p>
            <w:pPr>
              <w:spacing w:after="0"/>
              <w:rPr>
                <w:sz w:val="4"/>
                <w:szCs w:val="4"/>
                <w:color w:val="auto"/>
              </w:rPr>
            </w:pPr>
          </w:p>
        </w:tc>
        <w:tc>
          <w:tcPr>
            <w:tcW w:w="560" w:type="dxa"/>
            <w:vAlign w:val="bottom"/>
          </w:tcPr>
          <w:p>
            <w:pPr>
              <w:spacing w:after="0"/>
              <w:rPr>
                <w:sz w:val="4"/>
                <w:szCs w:val="4"/>
                <w:color w:val="auto"/>
              </w:rPr>
            </w:pPr>
          </w:p>
        </w:tc>
        <w:tc>
          <w:tcPr>
            <w:tcW w:w="114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50"/>
        </w:trPr>
        <w:tc>
          <w:tcPr>
            <w:tcW w:w="280" w:type="dxa"/>
            <w:vAlign w:val="bottom"/>
            <w:tcBorders>
              <w:bottom w:val="single" w:sz="8" w:color="CCEEFF"/>
            </w:tcBorders>
            <w:shd w:val="clear" w:color="auto" w:fill="CCEEFF"/>
          </w:tcPr>
          <w:p>
            <w:pPr>
              <w:spacing w:after="0"/>
              <w:rPr>
                <w:sz w:val="21"/>
                <w:szCs w:val="21"/>
                <w:color w:val="auto"/>
              </w:rPr>
            </w:pPr>
          </w:p>
        </w:tc>
        <w:tc>
          <w:tcPr>
            <w:tcW w:w="762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6"/>
                <w:szCs w:val="16"/>
                <w:color w:val="auto"/>
                <w:shd w:val="clear" w:color="auto" w:fill="CCEEFF"/>
              </w:rPr>
              <w:t>Common stock, $1.00 par value; 1,000 shares authorized, issued and outstanding</w:t>
            </w:r>
          </w:p>
        </w:tc>
        <w:tc>
          <w:tcPr>
            <w:tcW w:w="104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56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60"/>
        </w:trPr>
        <w:tc>
          <w:tcPr>
            <w:tcW w:w="280" w:type="dxa"/>
            <w:vAlign w:val="bottom"/>
          </w:tcPr>
          <w:p>
            <w:pPr>
              <w:spacing w:after="0"/>
              <w:rPr>
                <w:sz w:val="22"/>
                <w:szCs w:val="22"/>
                <w:color w:val="auto"/>
              </w:rPr>
            </w:pPr>
          </w:p>
        </w:tc>
        <w:tc>
          <w:tcPr>
            <w:tcW w:w="7620" w:type="dxa"/>
            <w:vAlign w:val="bottom"/>
          </w:tcPr>
          <w:p>
            <w:pPr>
              <w:spacing w:after="0"/>
              <w:rPr>
                <w:sz w:val="20"/>
                <w:szCs w:val="20"/>
                <w:color w:val="auto"/>
              </w:rPr>
            </w:pPr>
            <w:r>
              <w:rPr>
                <w:rFonts w:ascii="Arial" w:cs="Arial" w:eastAsia="Arial" w:hAnsi="Arial"/>
                <w:sz w:val="16"/>
                <w:szCs w:val="16"/>
                <w:color w:val="auto"/>
              </w:rPr>
              <w:t>Additional paid-in capital</w:t>
            </w:r>
          </w:p>
        </w:tc>
        <w:tc>
          <w:tcPr>
            <w:tcW w:w="1040" w:type="dxa"/>
            <w:vAlign w:val="bottom"/>
          </w:tcPr>
          <w:p>
            <w:pPr>
              <w:spacing w:after="0"/>
              <w:rPr>
                <w:sz w:val="22"/>
                <w:szCs w:val="22"/>
                <w:color w:val="auto"/>
              </w:rPr>
            </w:pPr>
          </w:p>
        </w:tc>
        <w:tc>
          <w:tcPr>
            <w:tcW w:w="680" w:type="dxa"/>
            <w:vAlign w:val="bottom"/>
          </w:tcPr>
          <w:p>
            <w:pPr>
              <w:jc w:val="right"/>
              <w:ind w:right="39"/>
              <w:spacing w:after="0"/>
              <w:rPr>
                <w:sz w:val="20"/>
                <w:szCs w:val="20"/>
                <w:color w:val="auto"/>
              </w:rPr>
            </w:pPr>
            <w:r>
              <w:rPr>
                <w:rFonts w:ascii="Arial" w:cs="Arial" w:eastAsia="Arial" w:hAnsi="Arial"/>
                <w:sz w:val="16"/>
                <w:szCs w:val="16"/>
                <w:color w:val="auto"/>
              </w:rPr>
              <w:t>16,903</w:t>
            </w:r>
          </w:p>
        </w:tc>
        <w:tc>
          <w:tcPr>
            <w:tcW w:w="100" w:type="dxa"/>
            <w:vAlign w:val="bottom"/>
          </w:tcPr>
          <w:p>
            <w:pPr>
              <w:spacing w:after="0"/>
              <w:rPr>
                <w:sz w:val="22"/>
                <w:szCs w:val="22"/>
                <w:color w:val="auto"/>
              </w:rPr>
            </w:pPr>
          </w:p>
        </w:tc>
        <w:tc>
          <w:tcPr>
            <w:tcW w:w="560" w:type="dxa"/>
            <w:vAlign w:val="bottom"/>
          </w:tcPr>
          <w:p>
            <w:pPr>
              <w:spacing w:after="0"/>
              <w:rPr>
                <w:sz w:val="22"/>
                <w:szCs w:val="22"/>
                <w:color w:val="auto"/>
              </w:rPr>
            </w:pPr>
          </w:p>
        </w:tc>
        <w:tc>
          <w:tcPr>
            <w:tcW w:w="1140" w:type="dxa"/>
            <w:vAlign w:val="bottom"/>
          </w:tcPr>
          <w:p>
            <w:pPr>
              <w:jc w:val="right"/>
              <w:ind w:right="19"/>
              <w:spacing w:after="0"/>
              <w:rPr>
                <w:sz w:val="20"/>
                <w:szCs w:val="20"/>
                <w:color w:val="auto"/>
              </w:rPr>
            </w:pPr>
            <w:r>
              <w:rPr>
                <w:rFonts w:ascii="Arial" w:cs="Arial" w:eastAsia="Arial" w:hAnsi="Arial"/>
                <w:sz w:val="16"/>
                <w:szCs w:val="16"/>
                <w:color w:val="auto"/>
              </w:rPr>
              <w:t>16,802</w:t>
            </w:r>
          </w:p>
        </w:tc>
        <w:tc>
          <w:tcPr>
            <w:tcW w:w="0" w:type="dxa"/>
            <w:vAlign w:val="bottom"/>
          </w:tcPr>
          <w:p>
            <w:pPr>
              <w:spacing w:after="0"/>
              <w:rPr>
                <w:sz w:val="1"/>
                <w:szCs w:val="1"/>
                <w:color w:val="auto"/>
              </w:rPr>
            </w:pPr>
          </w:p>
        </w:tc>
      </w:tr>
      <w:tr>
        <w:trPr>
          <w:trHeight w:val="260"/>
        </w:trPr>
        <w:tc>
          <w:tcPr>
            <w:tcW w:w="280" w:type="dxa"/>
            <w:vAlign w:val="bottom"/>
            <w:tcBorders>
              <w:bottom w:val="single" w:sz="8" w:color="CCEEFF"/>
            </w:tcBorders>
            <w:shd w:val="clear" w:color="auto" w:fill="CCEEFF"/>
          </w:tcPr>
          <w:p>
            <w:pPr>
              <w:spacing w:after="0"/>
              <w:rPr>
                <w:sz w:val="22"/>
                <w:szCs w:val="22"/>
                <w:color w:val="auto"/>
              </w:rPr>
            </w:pPr>
          </w:p>
        </w:tc>
        <w:tc>
          <w:tcPr>
            <w:tcW w:w="762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6"/>
                <w:szCs w:val="16"/>
                <w:color w:val="auto"/>
                <w:shd w:val="clear" w:color="auto" w:fill="CCEEFF"/>
              </w:rPr>
              <w:t>Accumulated other comprehensive loss</w:t>
            </w:r>
          </w:p>
        </w:tc>
        <w:tc>
          <w:tcPr>
            <w:tcW w:w="1040" w:type="dxa"/>
            <w:vAlign w:val="bottom"/>
            <w:tcBorders>
              <w:bottom w:val="single" w:sz="8" w:color="CCEEFF"/>
            </w:tcBorders>
            <w:shd w:val="clear" w:color="auto" w:fill="CCEEFF"/>
          </w:tcPr>
          <w:p>
            <w:pPr>
              <w:spacing w:after="0"/>
              <w:rPr>
                <w:sz w:val="22"/>
                <w:szCs w:val="22"/>
                <w:color w:val="auto"/>
              </w:rPr>
            </w:pPr>
          </w:p>
        </w:tc>
        <w:tc>
          <w:tcPr>
            <w:tcW w:w="6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(6,423)</w:t>
            </w:r>
          </w:p>
        </w:tc>
        <w:tc>
          <w:tcPr>
            <w:tcW w:w="100" w:type="dxa"/>
            <w:vAlign w:val="bottom"/>
            <w:tcBorders>
              <w:bottom w:val="single" w:sz="8" w:color="CCEEFF"/>
            </w:tcBorders>
            <w:shd w:val="clear" w:color="auto" w:fill="CCEEFF"/>
          </w:tcPr>
          <w:p>
            <w:pPr>
              <w:spacing w:after="0"/>
              <w:rPr>
                <w:sz w:val="22"/>
                <w:szCs w:val="22"/>
                <w:color w:val="auto"/>
              </w:rPr>
            </w:pPr>
          </w:p>
        </w:tc>
        <w:tc>
          <w:tcPr>
            <w:tcW w:w="560" w:type="dxa"/>
            <w:vAlign w:val="bottom"/>
            <w:tcBorders>
              <w:bottom w:val="single" w:sz="8" w:color="CCEEFF"/>
            </w:tcBorders>
            <w:shd w:val="clear" w:color="auto" w:fill="CCEEFF"/>
          </w:tcPr>
          <w:p>
            <w:pPr>
              <w:spacing w:after="0"/>
              <w:rPr>
                <w:sz w:val="22"/>
                <w:szCs w:val="22"/>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(5,992)</w:t>
            </w:r>
          </w:p>
        </w:tc>
        <w:tc>
          <w:tcPr>
            <w:tcW w:w="0" w:type="dxa"/>
            <w:vAlign w:val="bottom"/>
          </w:tcPr>
          <w:p>
            <w:pPr>
              <w:spacing w:after="0"/>
              <w:rPr>
                <w:sz w:val="1"/>
                <w:szCs w:val="1"/>
                <w:color w:val="auto"/>
              </w:rPr>
            </w:pPr>
          </w:p>
        </w:tc>
      </w:tr>
      <w:tr>
        <w:trPr>
          <w:trHeight w:val="264"/>
        </w:trPr>
        <w:tc>
          <w:tcPr>
            <w:tcW w:w="280" w:type="dxa"/>
            <w:vAlign w:val="bottom"/>
            <w:tcBorders>
              <w:bottom w:val="single" w:sz="8" w:color="CCEEFF"/>
            </w:tcBorders>
          </w:tcPr>
          <w:p>
            <w:pPr>
              <w:spacing w:after="0"/>
              <w:rPr>
                <w:sz w:val="22"/>
                <w:szCs w:val="22"/>
                <w:color w:val="auto"/>
              </w:rPr>
            </w:pPr>
          </w:p>
        </w:tc>
        <w:tc>
          <w:tcPr>
            <w:tcW w:w="7620" w:type="dxa"/>
            <w:vAlign w:val="bottom"/>
            <w:tcBorders>
              <w:bottom w:val="single" w:sz="8" w:color="CCEEFF"/>
            </w:tcBorders>
          </w:tcPr>
          <w:p>
            <w:pPr>
              <w:spacing w:after="0"/>
              <w:rPr>
                <w:sz w:val="20"/>
                <w:szCs w:val="20"/>
                <w:color w:val="auto"/>
              </w:rPr>
            </w:pPr>
            <w:r>
              <w:rPr>
                <w:rFonts w:ascii="Arial" w:cs="Arial" w:eastAsia="Arial" w:hAnsi="Arial"/>
                <w:sz w:val="16"/>
                <w:szCs w:val="16"/>
                <w:color w:val="auto"/>
              </w:rPr>
              <w:t>Retained earnings</w:t>
            </w:r>
          </w:p>
        </w:tc>
        <w:tc>
          <w:tcPr>
            <w:tcW w:w="1040" w:type="dxa"/>
            <w:vAlign w:val="bottom"/>
            <w:tcBorders>
              <w:bottom w:val="single" w:sz="8" w:color="auto"/>
            </w:tcBorders>
          </w:tcPr>
          <w:p>
            <w:pPr>
              <w:spacing w:after="0"/>
              <w:rPr>
                <w:sz w:val="22"/>
                <w:szCs w:val="22"/>
                <w:color w:val="auto"/>
              </w:rPr>
            </w:pPr>
          </w:p>
        </w:tc>
        <w:tc>
          <w:tcPr>
            <w:tcW w:w="68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rPr>
              <w:t>2,942</w:t>
            </w:r>
          </w:p>
        </w:tc>
        <w:tc>
          <w:tcPr>
            <w:tcW w:w="100" w:type="dxa"/>
            <w:vAlign w:val="bottom"/>
            <w:tcBorders>
              <w:bottom w:val="single" w:sz="8" w:color="CCEEFF"/>
            </w:tcBorders>
          </w:tcPr>
          <w:p>
            <w:pPr>
              <w:spacing w:after="0"/>
              <w:rPr>
                <w:sz w:val="22"/>
                <w:szCs w:val="22"/>
                <w:color w:val="auto"/>
              </w:rPr>
            </w:pPr>
          </w:p>
        </w:tc>
        <w:tc>
          <w:tcPr>
            <w:tcW w:w="560" w:type="dxa"/>
            <w:vAlign w:val="bottom"/>
            <w:tcBorders>
              <w:bottom w:val="single" w:sz="8" w:color="auto"/>
            </w:tcBorders>
          </w:tcPr>
          <w:p>
            <w:pPr>
              <w:spacing w:after="0"/>
              <w:rPr>
                <w:sz w:val="22"/>
                <w:szCs w:val="22"/>
                <w:color w:val="auto"/>
              </w:rPr>
            </w:pPr>
          </w:p>
        </w:tc>
        <w:tc>
          <w:tcPr>
            <w:tcW w:w="114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960</w:t>
            </w:r>
          </w:p>
        </w:tc>
        <w:tc>
          <w:tcPr>
            <w:tcW w:w="0" w:type="dxa"/>
            <w:vAlign w:val="bottom"/>
          </w:tcPr>
          <w:p>
            <w:pPr>
              <w:spacing w:after="0"/>
              <w:rPr>
                <w:sz w:val="1"/>
                <w:szCs w:val="1"/>
                <w:color w:val="auto"/>
              </w:rPr>
            </w:pPr>
          </w:p>
        </w:tc>
      </w:tr>
      <w:tr>
        <w:trPr>
          <w:trHeight w:val="257"/>
        </w:trPr>
        <w:tc>
          <w:tcPr>
            <w:tcW w:w="280" w:type="dxa"/>
            <w:vAlign w:val="bottom"/>
            <w:tcBorders>
              <w:bottom w:val="single" w:sz="8" w:color="CCEEFF"/>
            </w:tcBorders>
            <w:shd w:val="clear" w:color="auto" w:fill="CCEEFF"/>
          </w:tcPr>
          <w:p>
            <w:pPr>
              <w:spacing w:after="0"/>
              <w:rPr>
                <w:sz w:val="22"/>
                <w:szCs w:val="22"/>
                <w:color w:val="auto"/>
              </w:rPr>
            </w:pPr>
          </w:p>
        </w:tc>
        <w:tc>
          <w:tcPr>
            <w:tcW w:w="7620" w:type="dxa"/>
            <w:vAlign w:val="bottom"/>
            <w:tcBorders>
              <w:bottom w:val="single" w:sz="8" w:color="CCEEFF"/>
            </w:tcBorders>
            <w:shd w:val="clear" w:color="auto" w:fill="CCEEFF"/>
          </w:tcPr>
          <w:p>
            <w:pPr>
              <w:ind w:left="220"/>
              <w:spacing w:after="0"/>
              <w:rPr>
                <w:sz w:val="20"/>
                <w:szCs w:val="20"/>
                <w:color w:val="auto"/>
              </w:rPr>
            </w:pPr>
            <w:r>
              <w:rPr>
                <w:rFonts w:ascii="Arial" w:cs="Arial" w:eastAsia="Arial" w:hAnsi="Arial"/>
                <w:sz w:val="16"/>
                <w:szCs w:val="16"/>
                <w:color w:val="auto"/>
                <w:shd w:val="clear" w:color="auto" w:fill="CCEEFF"/>
              </w:rPr>
              <w:t>Total stockholder’s equity</w:t>
            </w:r>
          </w:p>
        </w:tc>
        <w:tc>
          <w:tcPr>
            <w:tcW w:w="1040" w:type="dxa"/>
            <w:vAlign w:val="bottom"/>
            <w:tcBorders>
              <w:bottom w:val="single" w:sz="8" w:color="CCEEFF"/>
            </w:tcBorders>
            <w:shd w:val="clear" w:color="auto" w:fill="CCEEFF"/>
          </w:tcPr>
          <w:p>
            <w:pPr>
              <w:spacing w:after="0"/>
              <w:rPr>
                <w:sz w:val="22"/>
                <w:szCs w:val="22"/>
                <w:color w:val="auto"/>
              </w:rPr>
            </w:pPr>
          </w:p>
        </w:tc>
        <w:tc>
          <w:tcPr>
            <w:tcW w:w="68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13,422</w:t>
            </w:r>
          </w:p>
        </w:tc>
        <w:tc>
          <w:tcPr>
            <w:tcW w:w="100" w:type="dxa"/>
            <w:vAlign w:val="bottom"/>
            <w:tcBorders>
              <w:bottom w:val="single" w:sz="8" w:color="CCEEFF"/>
            </w:tcBorders>
            <w:shd w:val="clear" w:color="auto" w:fill="CCEEFF"/>
          </w:tcPr>
          <w:p>
            <w:pPr>
              <w:spacing w:after="0"/>
              <w:rPr>
                <w:sz w:val="22"/>
                <w:szCs w:val="22"/>
                <w:color w:val="auto"/>
              </w:rPr>
            </w:pPr>
          </w:p>
        </w:tc>
        <w:tc>
          <w:tcPr>
            <w:tcW w:w="560" w:type="dxa"/>
            <w:vAlign w:val="bottom"/>
            <w:tcBorders>
              <w:bottom w:val="single" w:sz="8" w:color="CCEEFF"/>
            </w:tcBorders>
            <w:shd w:val="clear" w:color="auto" w:fill="CCEEFF"/>
          </w:tcPr>
          <w:p>
            <w:pPr>
              <w:spacing w:after="0"/>
              <w:rPr>
                <w:sz w:val="22"/>
                <w:szCs w:val="22"/>
                <w:color w:val="auto"/>
              </w:rPr>
            </w:pPr>
          </w:p>
        </w:tc>
        <w:tc>
          <w:tcPr>
            <w:tcW w:w="114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11,770</w:t>
            </w:r>
          </w:p>
        </w:tc>
        <w:tc>
          <w:tcPr>
            <w:tcW w:w="0" w:type="dxa"/>
            <w:vAlign w:val="bottom"/>
          </w:tcPr>
          <w:p>
            <w:pPr>
              <w:spacing w:after="0"/>
              <w:rPr>
                <w:sz w:val="1"/>
                <w:szCs w:val="1"/>
                <w:color w:val="auto"/>
              </w:rPr>
            </w:pPr>
          </w:p>
        </w:tc>
      </w:tr>
      <w:tr>
        <w:trPr>
          <w:trHeight w:val="217"/>
        </w:trPr>
        <w:tc>
          <w:tcPr>
            <w:tcW w:w="280" w:type="dxa"/>
            <w:vAlign w:val="bottom"/>
          </w:tcPr>
          <w:p>
            <w:pPr>
              <w:spacing w:after="0"/>
              <w:rPr>
                <w:sz w:val="18"/>
                <w:szCs w:val="18"/>
                <w:color w:val="auto"/>
              </w:rPr>
            </w:pPr>
          </w:p>
        </w:tc>
        <w:tc>
          <w:tcPr>
            <w:tcW w:w="7620" w:type="dxa"/>
            <w:vAlign w:val="bottom"/>
          </w:tcPr>
          <w:p>
            <w:pPr>
              <w:ind w:left="440"/>
              <w:spacing w:after="0"/>
              <w:rPr>
                <w:sz w:val="20"/>
                <w:szCs w:val="20"/>
                <w:color w:val="auto"/>
              </w:rPr>
            </w:pPr>
            <w:r>
              <w:rPr>
                <w:rFonts w:ascii="Arial" w:cs="Arial" w:eastAsia="Arial" w:hAnsi="Arial"/>
                <w:sz w:val="16"/>
                <w:szCs w:val="16"/>
                <w:b w:val="1"/>
                <w:bCs w:val="1"/>
                <w:color w:val="auto"/>
              </w:rPr>
              <w:t>Total liabilities and stockholder’s equity</w:t>
            </w:r>
          </w:p>
        </w:tc>
        <w:tc>
          <w:tcPr>
            <w:tcW w:w="1040" w:type="dxa"/>
            <w:vAlign w:val="bottom"/>
            <w:tcBorders>
              <w:top w:val="single" w:sz="8" w:color="auto"/>
            </w:tcBorders>
          </w:tcPr>
          <w:p>
            <w:pPr>
              <w:jc w:val="right"/>
              <w:ind w:right="841"/>
              <w:spacing w:after="0"/>
              <w:rPr>
                <w:sz w:val="20"/>
                <w:szCs w:val="20"/>
                <w:color w:val="auto"/>
              </w:rPr>
            </w:pPr>
            <w:r>
              <w:rPr>
                <w:rFonts w:ascii="Arial" w:cs="Arial" w:eastAsia="Arial" w:hAnsi="Arial"/>
                <w:sz w:val="16"/>
                <w:szCs w:val="16"/>
                <w:color w:val="auto"/>
              </w:rPr>
              <w:t>$</w:t>
            </w:r>
          </w:p>
        </w:tc>
        <w:tc>
          <w:tcPr>
            <w:tcW w:w="680" w:type="dxa"/>
            <w:vAlign w:val="bottom"/>
            <w:tcBorders>
              <w:top w:val="single" w:sz="8" w:color="auto"/>
            </w:tcBorders>
          </w:tcPr>
          <w:p>
            <w:pPr>
              <w:jc w:val="right"/>
              <w:ind w:right="39"/>
              <w:spacing w:after="0"/>
              <w:rPr>
                <w:sz w:val="20"/>
                <w:szCs w:val="20"/>
                <w:color w:val="auto"/>
              </w:rPr>
            </w:pPr>
            <w:r>
              <w:rPr>
                <w:rFonts w:ascii="Arial" w:cs="Arial" w:eastAsia="Arial" w:hAnsi="Arial"/>
                <w:sz w:val="16"/>
                <w:szCs w:val="16"/>
                <w:color w:val="auto"/>
              </w:rPr>
              <w:t>71,890</w:t>
            </w:r>
          </w:p>
        </w:tc>
        <w:tc>
          <w:tcPr>
            <w:tcW w:w="100" w:type="dxa"/>
            <w:vAlign w:val="bottom"/>
          </w:tcPr>
          <w:p>
            <w:pPr>
              <w:spacing w:after="0"/>
              <w:rPr>
                <w:sz w:val="18"/>
                <w:szCs w:val="18"/>
                <w:color w:val="auto"/>
              </w:rPr>
            </w:pPr>
          </w:p>
        </w:tc>
        <w:tc>
          <w:tcPr>
            <w:tcW w:w="560" w:type="dxa"/>
            <w:vAlign w:val="bottom"/>
            <w:tcBorders>
              <w:top w:val="single" w:sz="8" w:color="auto"/>
            </w:tcBorders>
          </w:tcPr>
          <w:p>
            <w:pPr>
              <w:jc w:val="right"/>
              <w:ind w:right="359"/>
              <w:spacing w:after="0"/>
              <w:rPr>
                <w:sz w:val="20"/>
                <w:szCs w:val="20"/>
                <w:color w:val="auto"/>
              </w:rPr>
            </w:pPr>
            <w:r>
              <w:rPr>
                <w:rFonts w:ascii="Arial" w:cs="Arial" w:eastAsia="Arial" w:hAnsi="Arial"/>
                <w:sz w:val="16"/>
                <w:szCs w:val="16"/>
                <w:color w:val="auto"/>
              </w:rPr>
              <w:t>$</w:t>
            </w:r>
          </w:p>
        </w:tc>
        <w:tc>
          <w:tcPr>
            <w:tcW w:w="1140" w:type="dxa"/>
            <w:vAlign w:val="bottom"/>
            <w:tcBorders>
              <w:top w:val="single" w:sz="8" w:color="auto"/>
            </w:tcBorders>
          </w:tcPr>
          <w:p>
            <w:pPr>
              <w:jc w:val="right"/>
              <w:ind w:right="19"/>
              <w:spacing w:after="0"/>
              <w:rPr>
                <w:sz w:val="20"/>
                <w:szCs w:val="20"/>
                <w:color w:val="auto"/>
              </w:rPr>
            </w:pPr>
            <w:r>
              <w:rPr>
                <w:rFonts w:ascii="Arial" w:cs="Arial" w:eastAsia="Arial" w:hAnsi="Arial"/>
                <w:sz w:val="16"/>
                <w:szCs w:val="16"/>
                <w:color w:val="auto"/>
              </w:rPr>
              <w:t>70,878</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5013325</wp:posOffset>
            </wp:positionH>
            <wp:positionV relativeFrom="paragraph">
              <wp:posOffset>12700</wp:posOffset>
            </wp:positionV>
            <wp:extent cx="2238375" cy="2603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2238375" cy="26035"/>
                    </a:xfrm>
                    <a:prstGeom prst="rect">
                      <a:avLst/>
                    </a:prstGeom>
                    <a:noFill/>
                  </pic:spPr>
                </pic:pic>
              </a:graphicData>
            </a:graphic>
          </wp:anchor>
        </w:drawing>
      </w:r>
    </w:p>
    <w:p>
      <w:pPr>
        <w:spacing w:after="0" w:line="3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accompanying notes to consolidated financial statements.</w:t>
      </w:r>
    </w:p>
    <w:p>
      <w:pPr>
        <w:sectPr>
          <w:pgSz w:w="11900" w:h="16838" w:orient="portrait"/>
          <w:cols w:equalWidth="0" w:num="1">
            <w:col w:w="11420"/>
          </w:cols>
          <w:pgMar w:left="240" w:top="549" w:right="239" w:bottom="98" w:gutter="0" w:footer="0" w:header="0"/>
        </w:sectPr>
      </w:pP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119</w:t>
      </w:r>
    </w:p>
    <w:p>
      <w:pPr>
        <w:sectPr>
          <w:pgSz w:w="11900" w:h="16838" w:orient="portrait"/>
          <w:cols w:equalWidth="0" w:num="1">
            <w:col w:w="11420"/>
          </w:cols>
          <w:pgMar w:left="240" w:top="549" w:right="239" w:bottom="98" w:gutter="0" w:footer="0" w:header="0"/>
          <w:type w:val="continuous"/>
        </w:sectPr>
      </w:pPr>
    </w:p>
    <w:bookmarkStart w:id="119" w:name="page120"/>
    <w:bookmarkEnd w:id="119"/>
    <w:p>
      <w:pPr>
        <w:jc w:val="center"/>
        <w:spacing w:after="0"/>
        <w:rPr>
          <w:sz w:val="20"/>
          <w:szCs w:val="20"/>
          <w:color w:val="auto"/>
        </w:rPr>
      </w:pPr>
      <w:r>
        <w:rPr>
          <w:rFonts w:ascii="Arial" w:cs="Arial" w:eastAsia="Arial" w:hAnsi="Arial"/>
          <w:sz w:val="18"/>
          <w:szCs w:val="18"/>
          <w:b w:val="1"/>
          <w:bCs w:val="1"/>
          <w:color w:val="auto"/>
        </w:rPr>
        <w:t>AMERICAN AIRLINES, INC.</w:t>
      </w:r>
    </w:p>
    <w:p>
      <w:pPr>
        <w:spacing w:after="0" w:line="3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STATEMENTS OF CASH FLOWS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millions)</w:t>
      </w:r>
    </w:p>
    <w:p>
      <w:pPr>
        <w:spacing w:after="0" w:line="321" w:lineRule="exact"/>
        <w:rPr>
          <w:sz w:val="20"/>
          <w:szCs w:val="20"/>
          <w:color w:val="auto"/>
        </w:rPr>
      </w:pPr>
    </w:p>
    <w:tbl>
      <w:tblPr>
        <w:tblLayout w:type="fixed"/>
        <w:tblInd w:w="0" w:type="dxa"/>
        <w:tblCellMar>
          <w:top w:w="0" w:type="dxa"/>
          <w:left w:w="0" w:type="dxa"/>
          <w:bottom w:w="0" w:type="dxa"/>
          <w:right w:w="0" w:type="dxa"/>
        </w:tblCellMar>
      </w:tblPr>
      <w:tr>
        <w:trPr>
          <w:trHeight w:val="196"/>
        </w:trPr>
        <w:tc>
          <w:tcPr>
            <w:tcW w:w="2120" w:type="dxa"/>
            <w:vAlign w:val="bottom"/>
          </w:tcPr>
          <w:p>
            <w:pPr>
              <w:spacing w:after="0"/>
              <w:rPr>
                <w:sz w:val="17"/>
                <w:szCs w:val="17"/>
                <w:color w:val="auto"/>
              </w:rPr>
            </w:pPr>
          </w:p>
        </w:tc>
        <w:tc>
          <w:tcPr>
            <w:tcW w:w="4920" w:type="dxa"/>
            <w:vAlign w:val="bottom"/>
          </w:tcPr>
          <w:p>
            <w:pPr>
              <w:spacing w:after="0"/>
              <w:rPr>
                <w:sz w:val="17"/>
                <w:szCs w:val="17"/>
                <w:color w:val="auto"/>
              </w:rPr>
            </w:pPr>
          </w:p>
        </w:tc>
        <w:tc>
          <w:tcPr>
            <w:tcW w:w="320" w:type="dxa"/>
            <w:vAlign w:val="bottom"/>
            <w:tcBorders>
              <w:bottom w:val="single" w:sz="8" w:color="auto"/>
            </w:tcBorders>
          </w:tcPr>
          <w:p>
            <w:pPr>
              <w:spacing w:after="0"/>
              <w:rPr>
                <w:sz w:val="17"/>
                <w:szCs w:val="17"/>
                <w:color w:val="auto"/>
              </w:rPr>
            </w:pPr>
          </w:p>
        </w:tc>
        <w:tc>
          <w:tcPr>
            <w:tcW w:w="1000" w:type="dxa"/>
            <w:vAlign w:val="bottom"/>
            <w:tcBorders>
              <w:bottom w:val="single" w:sz="8" w:color="auto"/>
            </w:tcBorders>
          </w:tcPr>
          <w:p>
            <w:pPr>
              <w:spacing w:after="0"/>
              <w:rPr>
                <w:sz w:val="17"/>
                <w:szCs w:val="17"/>
                <w:color w:val="auto"/>
              </w:rPr>
            </w:pPr>
          </w:p>
        </w:tc>
        <w:tc>
          <w:tcPr>
            <w:tcW w:w="1960" w:type="dxa"/>
            <w:vAlign w:val="bottom"/>
            <w:tcBorders>
              <w:bottom w:val="single" w:sz="8" w:color="auto"/>
            </w:tcBorders>
            <w:gridSpan w:val="6"/>
          </w:tcPr>
          <w:p>
            <w:pPr>
              <w:jc w:val="right"/>
              <w:ind w:right="123"/>
              <w:spacing w:after="0"/>
              <w:rPr>
                <w:sz w:val="20"/>
                <w:szCs w:val="20"/>
                <w:color w:val="auto"/>
              </w:rPr>
            </w:pPr>
            <w:r>
              <w:rPr>
                <w:rFonts w:ascii="Arial" w:cs="Arial" w:eastAsia="Arial" w:hAnsi="Arial"/>
                <w:sz w:val="14"/>
                <w:szCs w:val="14"/>
                <w:b w:val="1"/>
                <w:bCs w:val="1"/>
                <w:color w:val="auto"/>
              </w:rPr>
              <w:t>Year Ended December 31,</w:t>
            </w:r>
          </w:p>
        </w:tc>
        <w:tc>
          <w:tcPr>
            <w:tcW w:w="1040" w:type="dxa"/>
            <w:vAlign w:val="bottom"/>
            <w:tcBorders>
              <w:bottom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264"/>
        </w:trPr>
        <w:tc>
          <w:tcPr>
            <w:tcW w:w="2120" w:type="dxa"/>
            <w:vAlign w:val="bottom"/>
            <w:tcBorders>
              <w:bottom w:val="single" w:sz="8" w:color="CCEEFF"/>
            </w:tcBorders>
          </w:tcPr>
          <w:p>
            <w:pPr>
              <w:spacing w:after="0"/>
              <w:rPr>
                <w:sz w:val="22"/>
                <w:szCs w:val="22"/>
                <w:color w:val="auto"/>
              </w:rPr>
            </w:pPr>
          </w:p>
        </w:tc>
        <w:tc>
          <w:tcPr>
            <w:tcW w:w="4920" w:type="dxa"/>
            <w:vAlign w:val="bottom"/>
            <w:tcBorders>
              <w:bottom w:val="single" w:sz="8" w:color="CCEEFF"/>
            </w:tcBorders>
          </w:tcPr>
          <w:p>
            <w:pPr>
              <w:spacing w:after="0"/>
              <w:rPr>
                <w:sz w:val="22"/>
                <w:szCs w:val="22"/>
                <w:color w:val="auto"/>
              </w:rPr>
            </w:pPr>
          </w:p>
        </w:tc>
        <w:tc>
          <w:tcPr>
            <w:tcW w:w="320" w:type="dxa"/>
            <w:vAlign w:val="bottom"/>
            <w:tcBorders>
              <w:bottom w:val="single" w:sz="8" w:color="auto"/>
            </w:tcBorders>
          </w:tcPr>
          <w:p>
            <w:pPr>
              <w:spacing w:after="0"/>
              <w:rPr>
                <w:sz w:val="22"/>
                <w:szCs w:val="22"/>
                <w:color w:val="auto"/>
              </w:rPr>
            </w:pPr>
          </w:p>
        </w:tc>
        <w:tc>
          <w:tcPr>
            <w:tcW w:w="1000" w:type="dxa"/>
            <w:vAlign w:val="bottom"/>
            <w:tcBorders>
              <w:bottom w:val="single" w:sz="8" w:color="auto"/>
            </w:tcBorders>
          </w:tcPr>
          <w:p>
            <w:pPr>
              <w:jc w:val="right"/>
              <w:ind w:right="404"/>
              <w:spacing w:after="0"/>
              <w:rPr>
                <w:sz w:val="20"/>
                <w:szCs w:val="20"/>
                <w:color w:val="auto"/>
              </w:rPr>
            </w:pPr>
            <w:r>
              <w:rPr>
                <w:rFonts w:ascii="Arial" w:cs="Arial" w:eastAsia="Arial" w:hAnsi="Arial"/>
                <w:sz w:val="14"/>
                <w:szCs w:val="14"/>
                <w:b w:val="1"/>
                <w:bCs w:val="1"/>
                <w:color w:val="auto"/>
              </w:rPr>
              <w:t>2019</w:t>
            </w:r>
          </w:p>
        </w:tc>
        <w:tc>
          <w:tcPr>
            <w:tcW w:w="40" w:type="dxa"/>
            <w:vAlign w:val="bottom"/>
            <w:tcBorders>
              <w:bottom w:val="single" w:sz="8" w:color="auto"/>
            </w:tcBorders>
          </w:tcPr>
          <w:p>
            <w:pPr>
              <w:spacing w:after="0"/>
              <w:rPr>
                <w:sz w:val="22"/>
                <w:szCs w:val="22"/>
                <w:color w:val="auto"/>
              </w:rPr>
            </w:pPr>
          </w:p>
        </w:tc>
        <w:tc>
          <w:tcPr>
            <w:tcW w:w="120" w:type="dxa"/>
            <w:vAlign w:val="bottom"/>
            <w:tcBorders>
              <w:bottom w:val="single" w:sz="8" w:color="CCEEFF"/>
            </w:tcBorders>
          </w:tcPr>
          <w:p>
            <w:pPr>
              <w:spacing w:after="0"/>
              <w:rPr>
                <w:sz w:val="22"/>
                <w:szCs w:val="22"/>
                <w:color w:val="auto"/>
              </w:rPr>
            </w:pPr>
          </w:p>
        </w:tc>
        <w:tc>
          <w:tcPr>
            <w:tcW w:w="320" w:type="dxa"/>
            <w:vAlign w:val="bottom"/>
            <w:tcBorders>
              <w:bottom w:val="single" w:sz="8" w:color="auto"/>
            </w:tcBorders>
          </w:tcPr>
          <w:p>
            <w:pPr>
              <w:spacing w:after="0"/>
              <w:rPr>
                <w:sz w:val="22"/>
                <w:szCs w:val="22"/>
                <w:color w:val="auto"/>
              </w:rPr>
            </w:pPr>
          </w:p>
        </w:tc>
        <w:tc>
          <w:tcPr>
            <w:tcW w:w="1040" w:type="dxa"/>
            <w:vAlign w:val="bottom"/>
            <w:tcBorders>
              <w:bottom w:val="single" w:sz="8" w:color="auto"/>
            </w:tcBorders>
          </w:tcPr>
          <w:p>
            <w:pPr>
              <w:jc w:val="right"/>
              <w:ind w:right="444"/>
              <w:spacing w:after="0"/>
              <w:rPr>
                <w:sz w:val="20"/>
                <w:szCs w:val="20"/>
                <w:color w:val="auto"/>
              </w:rPr>
            </w:pPr>
            <w:r>
              <w:rPr>
                <w:rFonts w:ascii="Arial" w:cs="Arial" w:eastAsia="Arial" w:hAnsi="Arial"/>
                <w:sz w:val="14"/>
                <w:szCs w:val="14"/>
                <w:b w:val="1"/>
                <w:bCs w:val="1"/>
                <w:color w:val="auto"/>
              </w:rPr>
              <w:t>2018</w:t>
            </w:r>
          </w:p>
        </w:tc>
        <w:tc>
          <w:tcPr>
            <w:tcW w:w="100" w:type="dxa"/>
            <w:vAlign w:val="bottom"/>
            <w:tcBorders>
              <w:bottom w:val="single" w:sz="8" w:color="CCEEFF"/>
            </w:tcBorders>
          </w:tcPr>
          <w:p>
            <w:pPr>
              <w:spacing w:after="0"/>
              <w:rPr>
                <w:sz w:val="22"/>
                <w:szCs w:val="22"/>
                <w:color w:val="auto"/>
              </w:rPr>
            </w:pPr>
          </w:p>
        </w:tc>
        <w:tc>
          <w:tcPr>
            <w:tcW w:w="340" w:type="dxa"/>
            <w:vAlign w:val="bottom"/>
            <w:tcBorders>
              <w:bottom w:val="single" w:sz="8" w:color="auto"/>
            </w:tcBorders>
          </w:tcPr>
          <w:p>
            <w:pPr>
              <w:spacing w:after="0"/>
              <w:rPr>
                <w:sz w:val="22"/>
                <w:szCs w:val="22"/>
                <w:color w:val="auto"/>
              </w:rPr>
            </w:pPr>
          </w:p>
        </w:tc>
        <w:tc>
          <w:tcPr>
            <w:tcW w:w="1040" w:type="dxa"/>
            <w:vAlign w:val="bottom"/>
            <w:tcBorders>
              <w:bottom w:val="single" w:sz="8" w:color="auto"/>
            </w:tcBorders>
          </w:tcPr>
          <w:p>
            <w:pPr>
              <w:jc w:val="right"/>
              <w:ind w:right="444"/>
              <w:spacing w:after="0"/>
              <w:rPr>
                <w:sz w:val="20"/>
                <w:szCs w:val="20"/>
                <w:color w:val="auto"/>
              </w:rPr>
            </w:pPr>
            <w:r>
              <w:rPr>
                <w:rFonts w:ascii="Arial" w:cs="Arial" w:eastAsia="Arial" w:hAnsi="Arial"/>
                <w:sz w:val="14"/>
                <w:szCs w:val="14"/>
                <w:b w:val="1"/>
                <w:bCs w:val="1"/>
                <w:color w:val="auto"/>
              </w:rPr>
              <w:t>2017</w:t>
            </w:r>
          </w:p>
        </w:tc>
        <w:tc>
          <w:tcPr>
            <w:tcW w:w="0" w:type="dxa"/>
            <w:vAlign w:val="bottom"/>
          </w:tcPr>
          <w:p>
            <w:pPr>
              <w:spacing w:after="0"/>
              <w:rPr>
                <w:sz w:val="1"/>
                <w:szCs w:val="1"/>
                <w:color w:val="auto"/>
              </w:rPr>
            </w:pPr>
          </w:p>
        </w:tc>
      </w:tr>
      <w:tr>
        <w:trPr>
          <w:trHeight w:val="194"/>
        </w:trPr>
        <w:tc>
          <w:tcPr>
            <w:tcW w:w="7040" w:type="dxa"/>
            <w:vAlign w:val="bottom"/>
            <w:gridSpan w:val="2"/>
            <w:shd w:val="clear" w:color="auto" w:fill="CCEEFF"/>
          </w:tcPr>
          <w:p>
            <w:pPr>
              <w:ind w:left="40"/>
              <w:spacing w:after="0"/>
              <w:rPr>
                <w:sz w:val="20"/>
                <w:szCs w:val="20"/>
                <w:color w:val="auto"/>
              </w:rPr>
            </w:pPr>
            <w:r>
              <w:rPr>
                <w:rFonts w:ascii="Arial" w:cs="Arial" w:eastAsia="Arial" w:hAnsi="Arial"/>
                <w:sz w:val="15"/>
                <w:szCs w:val="15"/>
                <w:b w:val="1"/>
                <w:bCs w:val="1"/>
                <w:color w:val="auto"/>
              </w:rPr>
              <w:t>Cash flows from operating activities:</w:t>
            </w:r>
          </w:p>
        </w:tc>
        <w:tc>
          <w:tcPr>
            <w:tcW w:w="320" w:type="dxa"/>
            <w:vAlign w:val="bottom"/>
            <w:shd w:val="clear" w:color="auto" w:fill="CCEEFF"/>
          </w:tcPr>
          <w:p>
            <w:pPr>
              <w:spacing w:after="0"/>
              <w:rPr>
                <w:sz w:val="16"/>
                <w:szCs w:val="16"/>
                <w:color w:val="auto"/>
              </w:rPr>
            </w:pPr>
          </w:p>
        </w:tc>
        <w:tc>
          <w:tcPr>
            <w:tcW w:w="100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320" w:type="dxa"/>
            <w:vAlign w:val="bottom"/>
            <w:shd w:val="clear" w:color="auto" w:fill="CCEEFF"/>
          </w:tcPr>
          <w:p>
            <w:pPr>
              <w:spacing w:after="0"/>
              <w:rPr>
                <w:sz w:val="16"/>
                <w:szCs w:val="16"/>
                <w:color w:val="auto"/>
              </w:rPr>
            </w:pPr>
          </w:p>
        </w:tc>
        <w:tc>
          <w:tcPr>
            <w:tcW w:w="10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340" w:type="dxa"/>
            <w:vAlign w:val="bottom"/>
            <w:shd w:val="clear" w:color="auto" w:fill="CCEEFF"/>
          </w:tcPr>
          <w:p>
            <w:pPr>
              <w:spacing w:after="0"/>
              <w:rPr>
                <w:sz w:val="16"/>
                <w:szCs w:val="16"/>
                <w:color w:val="auto"/>
              </w:rPr>
            </w:pPr>
          </w:p>
        </w:tc>
        <w:tc>
          <w:tcPr>
            <w:tcW w:w="104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76"/>
        </w:trPr>
        <w:tc>
          <w:tcPr>
            <w:tcW w:w="2120" w:type="dxa"/>
            <w:vAlign w:val="bottom"/>
            <w:shd w:val="clear" w:color="auto" w:fill="CCEEFF"/>
          </w:tcPr>
          <w:p>
            <w:pPr>
              <w:spacing w:after="0"/>
              <w:rPr>
                <w:sz w:val="6"/>
                <w:szCs w:val="6"/>
                <w:color w:val="auto"/>
              </w:rPr>
            </w:pPr>
          </w:p>
        </w:tc>
        <w:tc>
          <w:tcPr>
            <w:tcW w:w="4920" w:type="dxa"/>
            <w:vAlign w:val="bottom"/>
            <w:shd w:val="clear" w:color="auto" w:fill="CCEEFF"/>
          </w:tcPr>
          <w:p>
            <w:pPr>
              <w:spacing w:after="0"/>
              <w:rPr>
                <w:sz w:val="6"/>
                <w:szCs w:val="6"/>
                <w:color w:val="auto"/>
              </w:rPr>
            </w:pPr>
          </w:p>
        </w:tc>
        <w:tc>
          <w:tcPr>
            <w:tcW w:w="320" w:type="dxa"/>
            <w:vAlign w:val="bottom"/>
            <w:shd w:val="clear" w:color="auto" w:fill="CCEEFF"/>
          </w:tcPr>
          <w:p>
            <w:pPr>
              <w:spacing w:after="0"/>
              <w:rPr>
                <w:sz w:val="6"/>
                <w:szCs w:val="6"/>
                <w:color w:val="auto"/>
              </w:rPr>
            </w:pPr>
          </w:p>
        </w:tc>
        <w:tc>
          <w:tcPr>
            <w:tcW w:w="1000" w:type="dxa"/>
            <w:vAlign w:val="bottom"/>
            <w:shd w:val="clear" w:color="auto" w:fill="CCEEFF"/>
          </w:tcPr>
          <w:p>
            <w:pPr>
              <w:spacing w:after="0"/>
              <w:rPr>
                <w:sz w:val="6"/>
                <w:szCs w:val="6"/>
                <w:color w:val="auto"/>
              </w:rPr>
            </w:pPr>
          </w:p>
        </w:tc>
        <w:tc>
          <w:tcPr>
            <w:tcW w:w="40" w:type="dxa"/>
            <w:vAlign w:val="bottom"/>
            <w:shd w:val="clear" w:color="auto" w:fill="CCEEFF"/>
          </w:tcPr>
          <w:p>
            <w:pPr>
              <w:spacing w:after="0"/>
              <w:rPr>
                <w:sz w:val="6"/>
                <w:szCs w:val="6"/>
                <w:color w:val="auto"/>
              </w:rPr>
            </w:pPr>
          </w:p>
        </w:tc>
        <w:tc>
          <w:tcPr>
            <w:tcW w:w="120" w:type="dxa"/>
            <w:vAlign w:val="bottom"/>
            <w:shd w:val="clear" w:color="auto" w:fill="CCEEFF"/>
          </w:tcPr>
          <w:p>
            <w:pPr>
              <w:spacing w:after="0"/>
              <w:rPr>
                <w:sz w:val="6"/>
                <w:szCs w:val="6"/>
                <w:color w:val="auto"/>
              </w:rPr>
            </w:pPr>
          </w:p>
        </w:tc>
        <w:tc>
          <w:tcPr>
            <w:tcW w:w="320" w:type="dxa"/>
            <w:vAlign w:val="bottom"/>
            <w:shd w:val="clear" w:color="auto" w:fill="CCEEFF"/>
          </w:tcPr>
          <w:p>
            <w:pPr>
              <w:spacing w:after="0"/>
              <w:rPr>
                <w:sz w:val="6"/>
                <w:szCs w:val="6"/>
                <w:color w:val="auto"/>
              </w:rPr>
            </w:pPr>
          </w:p>
        </w:tc>
        <w:tc>
          <w:tcPr>
            <w:tcW w:w="1040" w:type="dxa"/>
            <w:vAlign w:val="bottom"/>
            <w:shd w:val="clear" w:color="auto" w:fill="CCEEFF"/>
          </w:tcPr>
          <w:p>
            <w:pPr>
              <w:spacing w:after="0"/>
              <w:rPr>
                <w:sz w:val="6"/>
                <w:szCs w:val="6"/>
                <w:color w:val="auto"/>
              </w:rPr>
            </w:pPr>
          </w:p>
        </w:tc>
        <w:tc>
          <w:tcPr>
            <w:tcW w:w="100" w:type="dxa"/>
            <w:vAlign w:val="bottom"/>
            <w:shd w:val="clear" w:color="auto" w:fill="CCEEFF"/>
          </w:tcPr>
          <w:p>
            <w:pPr>
              <w:spacing w:after="0"/>
              <w:rPr>
                <w:sz w:val="6"/>
                <w:szCs w:val="6"/>
                <w:color w:val="auto"/>
              </w:rPr>
            </w:pPr>
          </w:p>
        </w:tc>
        <w:tc>
          <w:tcPr>
            <w:tcW w:w="340" w:type="dxa"/>
            <w:vAlign w:val="bottom"/>
            <w:shd w:val="clear" w:color="auto" w:fill="CCEEFF"/>
          </w:tcPr>
          <w:p>
            <w:pPr>
              <w:spacing w:after="0"/>
              <w:rPr>
                <w:sz w:val="6"/>
                <w:szCs w:val="6"/>
                <w:color w:val="auto"/>
              </w:rPr>
            </w:pPr>
          </w:p>
        </w:tc>
        <w:tc>
          <w:tcPr>
            <w:tcW w:w="1040" w:type="dxa"/>
            <w:vAlign w:val="bottom"/>
            <w:shd w:val="clear" w:color="auto" w:fill="CCEEFF"/>
          </w:tcPr>
          <w:p>
            <w:pPr>
              <w:spacing w:after="0"/>
              <w:rPr>
                <w:sz w:val="6"/>
                <w:szCs w:val="6"/>
                <w:color w:val="auto"/>
              </w:rPr>
            </w:pPr>
          </w:p>
        </w:tc>
        <w:tc>
          <w:tcPr>
            <w:tcW w:w="0" w:type="dxa"/>
            <w:vAlign w:val="bottom"/>
          </w:tcPr>
          <w:p>
            <w:pPr>
              <w:spacing w:after="0"/>
              <w:rPr>
                <w:sz w:val="1"/>
                <w:szCs w:val="1"/>
                <w:color w:val="auto"/>
              </w:rPr>
            </w:pPr>
          </w:p>
        </w:tc>
      </w:tr>
      <w:tr>
        <w:trPr>
          <w:trHeight w:val="208"/>
        </w:trPr>
        <w:tc>
          <w:tcPr>
            <w:tcW w:w="7040" w:type="dxa"/>
            <w:vAlign w:val="bottom"/>
            <w:gridSpan w:val="2"/>
          </w:tcPr>
          <w:p>
            <w:pPr>
              <w:ind w:left="40"/>
              <w:spacing w:after="0"/>
              <w:rPr>
                <w:sz w:val="20"/>
                <w:szCs w:val="20"/>
                <w:color w:val="auto"/>
              </w:rPr>
            </w:pPr>
            <w:r>
              <w:rPr>
                <w:rFonts w:ascii="Arial" w:cs="Arial" w:eastAsia="Arial" w:hAnsi="Arial"/>
                <w:sz w:val="15"/>
                <w:szCs w:val="15"/>
                <w:color w:val="auto"/>
              </w:rPr>
              <w:t>Net income</w:t>
            </w:r>
          </w:p>
        </w:tc>
        <w:tc>
          <w:tcPr>
            <w:tcW w:w="320" w:type="dxa"/>
            <w:vAlign w:val="bottom"/>
            <w:vMerge w:val="restart"/>
          </w:tcPr>
          <w:p>
            <w:pPr>
              <w:jc w:val="right"/>
              <w:ind w:right="123"/>
              <w:spacing w:after="0"/>
              <w:rPr>
                <w:sz w:val="20"/>
                <w:szCs w:val="20"/>
                <w:color w:val="auto"/>
              </w:rPr>
            </w:pPr>
            <w:r>
              <w:rPr>
                <w:rFonts w:ascii="Arial" w:cs="Arial" w:eastAsia="Arial" w:hAnsi="Arial"/>
                <w:sz w:val="15"/>
                <w:szCs w:val="15"/>
                <w:color w:val="auto"/>
              </w:rPr>
              <w:t>$</w:t>
            </w:r>
          </w:p>
        </w:tc>
        <w:tc>
          <w:tcPr>
            <w:tcW w:w="1000" w:type="dxa"/>
            <w:vAlign w:val="bottom"/>
            <w:vMerge w:val="restart"/>
          </w:tcPr>
          <w:p>
            <w:pPr>
              <w:jc w:val="right"/>
              <w:spacing w:after="0"/>
              <w:rPr>
                <w:sz w:val="20"/>
                <w:szCs w:val="20"/>
                <w:color w:val="auto"/>
              </w:rPr>
            </w:pPr>
            <w:r>
              <w:rPr>
                <w:rFonts w:ascii="Arial" w:cs="Arial" w:eastAsia="Arial" w:hAnsi="Arial"/>
                <w:sz w:val="15"/>
                <w:szCs w:val="15"/>
                <w:color w:val="auto"/>
              </w:rPr>
              <w:t>1,972</w:t>
            </w:r>
          </w:p>
        </w:tc>
        <w:tc>
          <w:tcPr>
            <w:tcW w:w="480" w:type="dxa"/>
            <w:vAlign w:val="bottom"/>
            <w:gridSpan w:val="3"/>
            <w:vMerge w:val="restart"/>
          </w:tcPr>
          <w:p>
            <w:pPr>
              <w:jc w:val="right"/>
              <w:ind w:right="220"/>
              <w:spacing w:after="0"/>
              <w:rPr>
                <w:sz w:val="20"/>
                <w:szCs w:val="20"/>
                <w:color w:val="auto"/>
              </w:rPr>
            </w:pPr>
            <w:r>
              <w:rPr>
                <w:rFonts w:ascii="Arial" w:cs="Arial" w:eastAsia="Arial" w:hAnsi="Arial"/>
                <w:sz w:val="15"/>
                <w:szCs w:val="15"/>
                <w:color w:val="auto"/>
              </w:rPr>
              <w:t>$</w:t>
            </w:r>
          </w:p>
        </w:tc>
        <w:tc>
          <w:tcPr>
            <w:tcW w:w="1040" w:type="dxa"/>
            <w:vAlign w:val="bottom"/>
            <w:vMerge w:val="restart"/>
          </w:tcPr>
          <w:p>
            <w:pPr>
              <w:jc w:val="right"/>
              <w:ind w:right="24"/>
              <w:spacing w:after="0"/>
              <w:rPr>
                <w:sz w:val="20"/>
                <w:szCs w:val="20"/>
                <w:color w:val="auto"/>
              </w:rPr>
            </w:pPr>
            <w:r>
              <w:rPr>
                <w:rFonts w:ascii="Arial" w:cs="Arial" w:eastAsia="Arial" w:hAnsi="Arial"/>
                <w:sz w:val="15"/>
                <w:szCs w:val="15"/>
                <w:color w:val="auto"/>
              </w:rPr>
              <w:t>1,658</w:t>
            </w:r>
          </w:p>
        </w:tc>
        <w:tc>
          <w:tcPr>
            <w:tcW w:w="100" w:type="dxa"/>
            <w:vAlign w:val="bottom"/>
          </w:tcPr>
          <w:p>
            <w:pPr>
              <w:spacing w:after="0"/>
              <w:rPr>
                <w:sz w:val="18"/>
                <w:szCs w:val="18"/>
                <w:color w:val="auto"/>
              </w:rPr>
            </w:pPr>
          </w:p>
        </w:tc>
        <w:tc>
          <w:tcPr>
            <w:tcW w:w="340" w:type="dxa"/>
            <w:vAlign w:val="bottom"/>
            <w:vMerge w:val="restart"/>
          </w:tcPr>
          <w:p>
            <w:pPr>
              <w:jc w:val="right"/>
              <w:ind w:right="143"/>
              <w:spacing w:after="0"/>
              <w:rPr>
                <w:sz w:val="20"/>
                <w:szCs w:val="20"/>
                <w:color w:val="auto"/>
              </w:rPr>
            </w:pPr>
            <w:r>
              <w:rPr>
                <w:rFonts w:ascii="Arial" w:cs="Arial" w:eastAsia="Arial" w:hAnsi="Arial"/>
                <w:sz w:val="15"/>
                <w:szCs w:val="15"/>
                <w:color w:val="auto"/>
              </w:rPr>
              <w:t>$</w:t>
            </w:r>
          </w:p>
        </w:tc>
        <w:tc>
          <w:tcPr>
            <w:tcW w:w="1040" w:type="dxa"/>
            <w:vAlign w:val="bottom"/>
            <w:vMerge w:val="restart"/>
          </w:tcPr>
          <w:p>
            <w:pPr>
              <w:jc w:val="right"/>
              <w:ind w:right="44"/>
              <w:spacing w:after="0"/>
              <w:rPr>
                <w:sz w:val="20"/>
                <w:szCs w:val="20"/>
                <w:color w:val="auto"/>
              </w:rPr>
            </w:pPr>
            <w:r>
              <w:rPr>
                <w:rFonts w:ascii="Arial" w:cs="Arial" w:eastAsia="Arial" w:hAnsi="Arial"/>
                <w:sz w:val="15"/>
                <w:szCs w:val="15"/>
                <w:color w:val="auto"/>
              </w:rPr>
              <w:t>1,285</w:t>
            </w:r>
          </w:p>
        </w:tc>
        <w:tc>
          <w:tcPr>
            <w:tcW w:w="0" w:type="dxa"/>
            <w:vAlign w:val="bottom"/>
          </w:tcPr>
          <w:p>
            <w:pPr>
              <w:spacing w:after="0"/>
              <w:rPr>
                <w:sz w:val="1"/>
                <w:szCs w:val="1"/>
                <w:color w:val="auto"/>
              </w:rPr>
            </w:pPr>
          </w:p>
        </w:tc>
      </w:tr>
      <w:tr>
        <w:trPr>
          <w:trHeight w:val="58"/>
        </w:trPr>
        <w:tc>
          <w:tcPr>
            <w:tcW w:w="2120" w:type="dxa"/>
            <w:vAlign w:val="bottom"/>
          </w:tcPr>
          <w:p>
            <w:pPr>
              <w:spacing w:after="0"/>
              <w:rPr>
                <w:sz w:val="5"/>
                <w:szCs w:val="5"/>
                <w:color w:val="auto"/>
              </w:rPr>
            </w:pPr>
          </w:p>
        </w:tc>
        <w:tc>
          <w:tcPr>
            <w:tcW w:w="4920" w:type="dxa"/>
            <w:vAlign w:val="bottom"/>
          </w:tcPr>
          <w:p>
            <w:pPr>
              <w:spacing w:after="0"/>
              <w:rPr>
                <w:sz w:val="5"/>
                <w:szCs w:val="5"/>
                <w:color w:val="auto"/>
              </w:rPr>
            </w:pPr>
          </w:p>
        </w:tc>
        <w:tc>
          <w:tcPr>
            <w:tcW w:w="320" w:type="dxa"/>
            <w:vAlign w:val="bottom"/>
            <w:vMerge w:val="continue"/>
          </w:tcPr>
          <w:p>
            <w:pPr>
              <w:spacing w:after="0"/>
              <w:rPr>
                <w:sz w:val="5"/>
                <w:szCs w:val="5"/>
                <w:color w:val="auto"/>
              </w:rPr>
            </w:pPr>
          </w:p>
        </w:tc>
        <w:tc>
          <w:tcPr>
            <w:tcW w:w="1000" w:type="dxa"/>
            <w:vAlign w:val="bottom"/>
            <w:vMerge w:val="continue"/>
          </w:tcPr>
          <w:p>
            <w:pPr>
              <w:spacing w:after="0"/>
              <w:rPr>
                <w:sz w:val="5"/>
                <w:szCs w:val="5"/>
                <w:color w:val="auto"/>
              </w:rPr>
            </w:pPr>
          </w:p>
        </w:tc>
        <w:tc>
          <w:tcPr>
            <w:tcW w:w="480" w:type="dxa"/>
            <w:vAlign w:val="bottom"/>
            <w:gridSpan w:val="3"/>
            <w:vMerge w:val="continue"/>
          </w:tcPr>
          <w:p>
            <w:pPr>
              <w:spacing w:after="0"/>
              <w:rPr>
                <w:sz w:val="5"/>
                <w:szCs w:val="5"/>
                <w:color w:val="auto"/>
              </w:rPr>
            </w:pPr>
          </w:p>
        </w:tc>
        <w:tc>
          <w:tcPr>
            <w:tcW w:w="1040" w:type="dxa"/>
            <w:vAlign w:val="bottom"/>
            <w:vMerge w:val="continue"/>
          </w:tcPr>
          <w:p>
            <w:pPr>
              <w:spacing w:after="0"/>
              <w:rPr>
                <w:sz w:val="5"/>
                <w:szCs w:val="5"/>
                <w:color w:val="auto"/>
              </w:rPr>
            </w:pPr>
          </w:p>
        </w:tc>
        <w:tc>
          <w:tcPr>
            <w:tcW w:w="100" w:type="dxa"/>
            <w:vAlign w:val="bottom"/>
          </w:tcPr>
          <w:p>
            <w:pPr>
              <w:spacing w:after="0"/>
              <w:rPr>
                <w:sz w:val="5"/>
                <w:szCs w:val="5"/>
                <w:color w:val="auto"/>
              </w:rPr>
            </w:pPr>
          </w:p>
        </w:tc>
        <w:tc>
          <w:tcPr>
            <w:tcW w:w="340" w:type="dxa"/>
            <w:vAlign w:val="bottom"/>
            <w:vMerge w:val="continue"/>
          </w:tcPr>
          <w:p>
            <w:pPr>
              <w:spacing w:after="0"/>
              <w:rPr>
                <w:sz w:val="5"/>
                <w:szCs w:val="5"/>
                <w:color w:val="auto"/>
              </w:rPr>
            </w:pPr>
          </w:p>
        </w:tc>
        <w:tc>
          <w:tcPr>
            <w:tcW w:w="104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r>
        <w:trPr>
          <w:trHeight w:val="212"/>
        </w:trPr>
        <w:tc>
          <w:tcPr>
            <w:tcW w:w="7040" w:type="dxa"/>
            <w:vAlign w:val="bottom"/>
            <w:gridSpan w:val="2"/>
            <w:shd w:val="clear" w:color="auto" w:fill="CCEEFF"/>
          </w:tcPr>
          <w:p>
            <w:pPr>
              <w:ind w:left="40"/>
              <w:spacing w:after="0"/>
              <w:rPr>
                <w:sz w:val="20"/>
                <w:szCs w:val="20"/>
                <w:color w:val="auto"/>
              </w:rPr>
            </w:pPr>
            <w:r>
              <w:rPr>
                <w:rFonts w:ascii="Arial" w:cs="Arial" w:eastAsia="Arial" w:hAnsi="Arial"/>
                <w:sz w:val="15"/>
                <w:szCs w:val="15"/>
                <w:color w:val="auto"/>
              </w:rPr>
              <w:t>Adjustments to reconcile net income to net cash provided by operating activities:</w:t>
            </w:r>
          </w:p>
        </w:tc>
        <w:tc>
          <w:tcPr>
            <w:tcW w:w="32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62"/>
        </w:trPr>
        <w:tc>
          <w:tcPr>
            <w:tcW w:w="2120" w:type="dxa"/>
            <w:vAlign w:val="bottom"/>
            <w:shd w:val="clear" w:color="auto" w:fill="CCEEFF"/>
          </w:tcPr>
          <w:p>
            <w:pPr>
              <w:spacing w:after="0"/>
              <w:rPr>
                <w:sz w:val="5"/>
                <w:szCs w:val="5"/>
                <w:color w:val="auto"/>
              </w:rPr>
            </w:pPr>
          </w:p>
        </w:tc>
        <w:tc>
          <w:tcPr>
            <w:tcW w:w="4920" w:type="dxa"/>
            <w:vAlign w:val="bottom"/>
            <w:shd w:val="clear" w:color="auto" w:fill="CCEEFF"/>
          </w:tcPr>
          <w:p>
            <w:pPr>
              <w:spacing w:after="0"/>
              <w:rPr>
                <w:sz w:val="5"/>
                <w:szCs w:val="5"/>
                <w:color w:val="auto"/>
              </w:rPr>
            </w:pPr>
          </w:p>
        </w:tc>
        <w:tc>
          <w:tcPr>
            <w:tcW w:w="320" w:type="dxa"/>
            <w:vAlign w:val="bottom"/>
            <w:shd w:val="clear" w:color="auto" w:fill="CCEEFF"/>
          </w:tcPr>
          <w:p>
            <w:pPr>
              <w:spacing w:after="0"/>
              <w:rPr>
                <w:sz w:val="5"/>
                <w:szCs w:val="5"/>
                <w:color w:val="auto"/>
              </w:rPr>
            </w:pPr>
          </w:p>
        </w:tc>
        <w:tc>
          <w:tcPr>
            <w:tcW w:w="1000" w:type="dxa"/>
            <w:vAlign w:val="bottom"/>
            <w:shd w:val="clear" w:color="auto" w:fill="CCEEFF"/>
          </w:tcPr>
          <w:p>
            <w:pPr>
              <w:spacing w:after="0"/>
              <w:rPr>
                <w:sz w:val="5"/>
                <w:szCs w:val="5"/>
                <w:color w:val="auto"/>
              </w:rPr>
            </w:pPr>
          </w:p>
        </w:tc>
        <w:tc>
          <w:tcPr>
            <w:tcW w:w="40" w:type="dxa"/>
            <w:vAlign w:val="bottom"/>
            <w:shd w:val="clear" w:color="auto" w:fill="CCEEFF"/>
          </w:tcPr>
          <w:p>
            <w:pPr>
              <w:spacing w:after="0"/>
              <w:rPr>
                <w:sz w:val="5"/>
                <w:szCs w:val="5"/>
                <w:color w:val="auto"/>
              </w:rPr>
            </w:pPr>
          </w:p>
        </w:tc>
        <w:tc>
          <w:tcPr>
            <w:tcW w:w="120" w:type="dxa"/>
            <w:vAlign w:val="bottom"/>
            <w:shd w:val="clear" w:color="auto" w:fill="CCEEFF"/>
          </w:tcPr>
          <w:p>
            <w:pPr>
              <w:spacing w:after="0"/>
              <w:rPr>
                <w:sz w:val="5"/>
                <w:szCs w:val="5"/>
                <w:color w:val="auto"/>
              </w:rPr>
            </w:pPr>
          </w:p>
        </w:tc>
        <w:tc>
          <w:tcPr>
            <w:tcW w:w="320" w:type="dxa"/>
            <w:vAlign w:val="bottom"/>
            <w:shd w:val="clear" w:color="auto" w:fill="CCEEFF"/>
          </w:tcPr>
          <w:p>
            <w:pPr>
              <w:spacing w:after="0"/>
              <w:rPr>
                <w:sz w:val="5"/>
                <w:szCs w:val="5"/>
                <w:color w:val="auto"/>
              </w:rPr>
            </w:pPr>
          </w:p>
        </w:tc>
        <w:tc>
          <w:tcPr>
            <w:tcW w:w="1040" w:type="dxa"/>
            <w:vAlign w:val="bottom"/>
            <w:shd w:val="clear" w:color="auto" w:fill="CCEEFF"/>
          </w:tcPr>
          <w:p>
            <w:pPr>
              <w:spacing w:after="0"/>
              <w:rPr>
                <w:sz w:val="5"/>
                <w:szCs w:val="5"/>
                <w:color w:val="auto"/>
              </w:rPr>
            </w:pPr>
          </w:p>
        </w:tc>
        <w:tc>
          <w:tcPr>
            <w:tcW w:w="100" w:type="dxa"/>
            <w:vAlign w:val="bottom"/>
            <w:shd w:val="clear" w:color="auto" w:fill="CCEEFF"/>
          </w:tcPr>
          <w:p>
            <w:pPr>
              <w:spacing w:after="0"/>
              <w:rPr>
                <w:sz w:val="5"/>
                <w:szCs w:val="5"/>
                <w:color w:val="auto"/>
              </w:rPr>
            </w:pPr>
          </w:p>
        </w:tc>
        <w:tc>
          <w:tcPr>
            <w:tcW w:w="340" w:type="dxa"/>
            <w:vAlign w:val="bottom"/>
            <w:shd w:val="clear" w:color="auto" w:fill="CCEEFF"/>
          </w:tcPr>
          <w:p>
            <w:pPr>
              <w:spacing w:after="0"/>
              <w:rPr>
                <w:sz w:val="5"/>
                <w:szCs w:val="5"/>
                <w:color w:val="auto"/>
              </w:rPr>
            </w:pPr>
          </w:p>
        </w:tc>
        <w:tc>
          <w:tcPr>
            <w:tcW w:w="1040" w:type="dxa"/>
            <w:vAlign w:val="bottom"/>
            <w:shd w:val="clear" w:color="auto" w:fill="CCEEFF"/>
          </w:tcPr>
          <w:p>
            <w:pPr>
              <w:spacing w:after="0"/>
              <w:rPr>
                <w:sz w:val="5"/>
                <w:szCs w:val="5"/>
                <w:color w:val="auto"/>
              </w:rPr>
            </w:pPr>
          </w:p>
        </w:tc>
        <w:tc>
          <w:tcPr>
            <w:tcW w:w="0" w:type="dxa"/>
            <w:vAlign w:val="bottom"/>
          </w:tcPr>
          <w:p>
            <w:pPr>
              <w:spacing w:after="0"/>
              <w:rPr>
                <w:sz w:val="1"/>
                <w:szCs w:val="1"/>
                <w:color w:val="auto"/>
              </w:rPr>
            </w:pPr>
          </w:p>
        </w:tc>
      </w:tr>
      <w:tr>
        <w:trPr>
          <w:trHeight w:val="208"/>
        </w:trPr>
        <w:tc>
          <w:tcPr>
            <w:tcW w:w="7040" w:type="dxa"/>
            <w:vAlign w:val="bottom"/>
            <w:gridSpan w:val="2"/>
          </w:tcPr>
          <w:p>
            <w:pPr>
              <w:ind w:left="280"/>
              <w:spacing w:after="0"/>
              <w:rPr>
                <w:sz w:val="20"/>
                <w:szCs w:val="20"/>
                <w:color w:val="auto"/>
              </w:rPr>
            </w:pPr>
            <w:r>
              <w:rPr>
                <w:rFonts w:ascii="Arial" w:cs="Arial" w:eastAsia="Arial" w:hAnsi="Arial"/>
                <w:sz w:val="15"/>
                <w:szCs w:val="15"/>
                <w:color w:val="auto"/>
              </w:rPr>
              <w:t>Depreciation and amortization</w:t>
            </w:r>
          </w:p>
        </w:tc>
        <w:tc>
          <w:tcPr>
            <w:tcW w:w="320" w:type="dxa"/>
            <w:vAlign w:val="bottom"/>
          </w:tcPr>
          <w:p>
            <w:pPr>
              <w:spacing w:after="0"/>
              <w:rPr>
                <w:sz w:val="18"/>
                <w:szCs w:val="18"/>
                <w:color w:val="auto"/>
              </w:rPr>
            </w:pPr>
          </w:p>
        </w:tc>
        <w:tc>
          <w:tcPr>
            <w:tcW w:w="1000" w:type="dxa"/>
            <w:vAlign w:val="bottom"/>
            <w:vMerge w:val="restart"/>
          </w:tcPr>
          <w:p>
            <w:pPr>
              <w:jc w:val="right"/>
              <w:spacing w:after="0"/>
              <w:rPr>
                <w:sz w:val="20"/>
                <w:szCs w:val="20"/>
                <w:color w:val="auto"/>
              </w:rPr>
            </w:pPr>
            <w:r>
              <w:rPr>
                <w:rFonts w:ascii="Arial" w:cs="Arial" w:eastAsia="Arial" w:hAnsi="Arial"/>
                <w:sz w:val="15"/>
                <w:szCs w:val="15"/>
                <w:color w:val="auto"/>
              </w:rPr>
              <w:t>2,267</w:t>
            </w:r>
          </w:p>
        </w:tc>
        <w:tc>
          <w:tcPr>
            <w:tcW w:w="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40" w:type="dxa"/>
            <w:vAlign w:val="bottom"/>
            <w:vMerge w:val="restart"/>
          </w:tcPr>
          <w:p>
            <w:pPr>
              <w:jc w:val="right"/>
              <w:ind w:right="24"/>
              <w:spacing w:after="0"/>
              <w:rPr>
                <w:sz w:val="20"/>
                <w:szCs w:val="20"/>
                <w:color w:val="auto"/>
              </w:rPr>
            </w:pPr>
            <w:r>
              <w:rPr>
                <w:rFonts w:ascii="Arial" w:cs="Arial" w:eastAsia="Arial" w:hAnsi="Arial"/>
                <w:sz w:val="15"/>
                <w:szCs w:val="15"/>
                <w:color w:val="auto"/>
              </w:rPr>
              <w:t>2,108</w:t>
            </w: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040" w:type="dxa"/>
            <w:vAlign w:val="bottom"/>
            <w:vMerge w:val="restart"/>
          </w:tcPr>
          <w:p>
            <w:pPr>
              <w:jc w:val="right"/>
              <w:ind w:right="44"/>
              <w:spacing w:after="0"/>
              <w:rPr>
                <w:sz w:val="20"/>
                <w:szCs w:val="20"/>
                <w:color w:val="auto"/>
              </w:rPr>
            </w:pPr>
            <w:r>
              <w:rPr>
                <w:rFonts w:ascii="Arial" w:cs="Arial" w:eastAsia="Arial" w:hAnsi="Arial"/>
                <w:sz w:val="15"/>
                <w:szCs w:val="15"/>
                <w:color w:val="auto"/>
              </w:rPr>
              <w:t>1,964</w:t>
            </w:r>
          </w:p>
        </w:tc>
        <w:tc>
          <w:tcPr>
            <w:tcW w:w="0" w:type="dxa"/>
            <w:vAlign w:val="bottom"/>
          </w:tcPr>
          <w:p>
            <w:pPr>
              <w:spacing w:after="0"/>
              <w:rPr>
                <w:sz w:val="1"/>
                <w:szCs w:val="1"/>
                <w:color w:val="auto"/>
              </w:rPr>
            </w:pPr>
          </w:p>
        </w:tc>
      </w:tr>
      <w:tr>
        <w:trPr>
          <w:trHeight w:val="58"/>
        </w:trPr>
        <w:tc>
          <w:tcPr>
            <w:tcW w:w="2120" w:type="dxa"/>
            <w:vAlign w:val="bottom"/>
          </w:tcPr>
          <w:p>
            <w:pPr>
              <w:spacing w:after="0"/>
              <w:rPr>
                <w:sz w:val="5"/>
                <w:szCs w:val="5"/>
                <w:color w:val="auto"/>
              </w:rPr>
            </w:pPr>
          </w:p>
        </w:tc>
        <w:tc>
          <w:tcPr>
            <w:tcW w:w="4920" w:type="dxa"/>
            <w:vAlign w:val="bottom"/>
          </w:tcPr>
          <w:p>
            <w:pPr>
              <w:spacing w:after="0"/>
              <w:rPr>
                <w:sz w:val="5"/>
                <w:szCs w:val="5"/>
                <w:color w:val="auto"/>
              </w:rPr>
            </w:pPr>
          </w:p>
        </w:tc>
        <w:tc>
          <w:tcPr>
            <w:tcW w:w="320" w:type="dxa"/>
            <w:vAlign w:val="bottom"/>
          </w:tcPr>
          <w:p>
            <w:pPr>
              <w:spacing w:after="0"/>
              <w:rPr>
                <w:sz w:val="5"/>
                <w:szCs w:val="5"/>
                <w:color w:val="auto"/>
              </w:rPr>
            </w:pPr>
          </w:p>
        </w:tc>
        <w:tc>
          <w:tcPr>
            <w:tcW w:w="1000" w:type="dxa"/>
            <w:vAlign w:val="bottom"/>
            <w:vMerge w:val="continue"/>
          </w:tcPr>
          <w:p>
            <w:pPr>
              <w:spacing w:after="0"/>
              <w:rPr>
                <w:sz w:val="5"/>
                <w:szCs w:val="5"/>
                <w:color w:val="auto"/>
              </w:rPr>
            </w:pPr>
          </w:p>
        </w:tc>
        <w:tc>
          <w:tcPr>
            <w:tcW w:w="40" w:type="dxa"/>
            <w:vAlign w:val="bottom"/>
          </w:tcPr>
          <w:p>
            <w:pPr>
              <w:spacing w:after="0"/>
              <w:rPr>
                <w:sz w:val="5"/>
                <w:szCs w:val="5"/>
                <w:color w:val="auto"/>
              </w:rPr>
            </w:pPr>
          </w:p>
        </w:tc>
        <w:tc>
          <w:tcPr>
            <w:tcW w:w="120" w:type="dxa"/>
            <w:vAlign w:val="bottom"/>
          </w:tcPr>
          <w:p>
            <w:pPr>
              <w:spacing w:after="0"/>
              <w:rPr>
                <w:sz w:val="5"/>
                <w:szCs w:val="5"/>
                <w:color w:val="auto"/>
              </w:rPr>
            </w:pPr>
          </w:p>
        </w:tc>
        <w:tc>
          <w:tcPr>
            <w:tcW w:w="320" w:type="dxa"/>
            <w:vAlign w:val="bottom"/>
          </w:tcPr>
          <w:p>
            <w:pPr>
              <w:spacing w:after="0"/>
              <w:rPr>
                <w:sz w:val="5"/>
                <w:szCs w:val="5"/>
                <w:color w:val="auto"/>
              </w:rPr>
            </w:pPr>
          </w:p>
        </w:tc>
        <w:tc>
          <w:tcPr>
            <w:tcW w:w="1040" w:type="dxa"/>
            <w:vAlign w:val="bottom"/>
            <w:vMerge w:val="continue"/>
          </w:tcPr>
          <w:p>
            <w:pPr>
              <w:spacing w:after="0"/>
              <w:rPr>
                <w:sz w:val="5"/>
                <w:szCs w:val="5"/>
                <w:color w:val="auto"/>
              </w:rPr>
            </w:pPr>
          </w:p>
        </w:tc>
        <w:tc>
          <w:tcPr>
            <w:tcW w:w="100" w:type="dxa"/>
            <w:vAlign w:val="bottom"/>
          </w:tcPr>
          <w:p>
            <w:pPr>
              <w:spacing w:after="0"/>
              <w:rPr>
                <w:sz w:val="5"/>
                <w:szCs w:val="5"/>
                <w:color w:val="auto"/>
              </w:rPr>
            </w:pPr>
          </w:p>
        </w:tc>
        <w:tc>
          <w:tcPr>
            <w:tcW w:w="340" w:type="dxa"/>
            <w:vAlign w:val="bottom"/>
          </w:tcPr>
          <w:p>
            <w:pPr>
              <w:spacing w:after="0"/>
              <w:rPr>
                <w:sz w:val="5"/>
                <w:szCs w:val="5"/>
                <w:color w:val="auto"/>
              </w:rPr>
            </w:pPr>
          </w:p>
        </w:tc>
        <w:tc>
          <w:tcPr>
            <w:tcW w:w="104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r>
        <w:trPr>
          <w:trHeight w:val="212"/>
        </w:trPr>
        <w:tc>
          <w:tcPr>
            <w:tcW w:w="7040" w:type="dxa"/>
            <w:vAlign w:val="bottom"/>
            <w:gridSpan w:val="2"/>
            <w:shd w:val="clear" w:color="auto" w:fill="CCEEFF"/>
          </w:tcPr>
          <w:p>
            <w:pPr>
              <w:ind w:left="280"/>
              <w:spacing w:after="0"/>
              <w:rPr>
                <w:sz w:val="20"/>
                <w:szCs w:val="20"/>
                <w:color w:val="auto"/>
              </w:rPr>
            </w:pPr>
            <w:r>
              <w:rPr>
                <w:rFonts w:ascii="Arial" w:cs="Arial" w:eastAsia="Arial" w:hAnsi="Arial"/>
                <w:sz w:val="15"/>
                <w:szCs w:val="15"/>
                <w:color w:val="auto"/>
              </w:rPr>
              <w:t>Net loss (gains) from sale of property and equipment and sale-leaseback transactions</w:t>
            </w:r>
          </w:p>
        </w:tc>
        <w:tc>
          <w:tcPr>
            <w:tcW w:w="320" w:type="dxa"/>
            <w:vAlign w:val="bottom"/>
            <w:shd w:val="clear" w:color="auto" w:fill="CCEEFF"/>
          </w:tcPr>
          <w:p>
            <w:pPr>
              <w:spacing w:after="0"/>
              <w:rPr>
                <w:sz w:val="18"/>
                <w:szCs w:val="18"/>
                <w:color w:val="auto"/>
              </w:rPr>
            </w:pPr>
          </w:p>
        </w:tc>
        <w:tc>
          <w:tcPr>
            <w:tcW w:w="1000" w:type="dxa"/>
            <w:vAlign w:val="bottom"/>
            <w:vMerge w:val="restart"/>
            <w:shd w:val="clear" w:color="auto" w:fill="CCEEFF"/>
          </w:tcPr>
          <w:p>
            <w:pPr>
              <w:jc w:val="right"/>
              <w:spacing w:after="0"/>
              <w:rPr>
                <w:sz w:val="20"/>
                <w:szCs w:val="20"/>
                <w:color w:val="auto"/>
              </w:rPr>
            </w:pPr>
            <w:r>
              <w:rPr>
                <w:rFonts w:ascii="Arial" w:cs="Arial" w:eastAsia="Arial" w:hAnsi="Arial"/>
                <w:sz w:val="15"/>
                <w:szCs w:val="15"/>
                <w:color w:val="auto"/>
              </w:rPr>
              <w:t>(109)</w:t>
            </w:r>
          </w:p>
        </w:tc>
        <w:tc>
          <w:tcPr>
            <w:tcW w:w="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40" w:type="dxa"/>
            <w:vAlign w:val="bottom"/>
            <w:vMerge w:val="restart"/>
            <w:shd w:val="clear" w:color="auto" w:fill="CCEEFF"/>
          </w:tcPr>
          <w:p>
            <w:pPr>
              <w:jc w:val="right"/>
              <w:spacing w:after="0"/>
              <w:rPr>
                <w:sz w:val="20"/>
                <w:szCs w:val="20"/>
                <w:color w:val="auto"/>
              </w:rPr>
            </w:pPr>
            <w:r>
              <w:rPr>
                <w:rFonts w:ascii="Arial" w:cs="Arial" w:eastAsia="Arial" w:hAnsi="Arial"/>
                <w:sz w:val="15"/>
                <w:szCs w:val="15"/>
                <w:color w:val="auto"/>
              </w:rPr>
              <w:t>(57)</w:t>
            </w:r>
          </w:p>
        </w:tc>
        <w:tc>
          <w:tcPr>
            <w:tcW w:w="1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040" w:type="dxa"/>
            <w:vAlign w:val="bottom"/>
            <w:vMerge w:val="restart"/>
            <w:shd w:val="clear" w:color="auto" w:fill="CCEEFF"/>
          </w:tcPr>
          <w:p>
            <w:pPr>
              <w:jc w:val="right"/>
              <w:ind w:right="44"/>
              <w:spacing w:after="0"/>
              <w:rPr>
                <w:sz w:val="20"/>
                <w:szCs w:val="20"/>
                <w:color w:val="auto"/>
              </w:rPr>
            </w:pPr>
            <w:r>
              <w:rPr>
                <w:rFonts w:ascii="Arial" w:cs="Arial" w:eastAsia="Arial" w:hAnsi="Arial"/>
                <w:sz w:val="15"/>
                <w:szCs w:val="15"/>
                <w:color w:val="auto"/>
              </w:rPr>
              <w:t>2</w:t>
            </w:r>
          </w:p>
        </w:tc>
        <w:tc>
          <w:tcPr>
            <w:tcW w:w="0" w:type="dxa"/>
            <w:vAlign w:val="bottom"/>
          </w:tcPr>
          <w:p>
            <w:pPr>
              <w:spacing w:after="0"/>
              <w:rPr>
                <w:sz w:val="1"/>
                <w:szCs w:val="1"/>
                <w:color w:val="auto"/>
              </w:rPr>
            </w:pPr>
          </w:p>
        </w:tc>
      </w:tr>
      <w:tr>
        <w:trPr>
          <w:trHeight w:val="62"/>
        </w:trPr>
        <w:tc>
          <w:tcPr>
            <w:tcW w:w="2120" w:type="dxa"/>
            <w:vAlign w:val="bottom"/>
            <w:shd w:val="clear" w:color="auto" w:fill="CCEEFF"/>
          </w:tcPr>
          <w:p>
            <w:pPr>
              <w:spacing w:after="0"/>
              <w:rPr>
                <w:sz w:val="5"/>
                <w:szCs w:val="5"/>
                <w:color w:val="auto"/>
              </w:rPr>
            </w:pPr>
          </w:p>
        </w:tc>
        <w:tc>
          <w:tcPr>
            <w:tcW w:w="4920" w:type="dxa"/>
            <w:vAlign w:val="bottom"/>
            <w:shd w:val="clear" w:color="auto" w:fill="CCEEFF"/>
          </w:tcPr>
          <w:p>
            <w:pPr>
              <w:spacing w:after="0"/>
              <w:rPr>
                <w:sz w:val="5"/>
                <w:szCs w:val="5"/>
                <w:color w:val="auto"/>
              </w:rPr>
            </w:pPr>
          </w:p>
        </w:tc>
        <w:tc>
          <w:tcPr>
            <w:tcW w:w="320" w:type="dxa"/>
            <w:vAlign w:val="bottom"/>
            <w:shd w:val="clear" w:color="auto" w:fill="CCEEFF"/>
          </w:tcPr>
          <w:p>
            <w:pPr>
              <w:spacing w:after="0"/>
              <w:rPr>
                <w:sz w:val="5"/>
                <w:szCs w:val="5"/>
                <w:color w:val="auto"/>
              </w:rPr>
            </w:pPr>
          </w:p>
        </w:tc>
        <w:tc>
          <w:tcPr>
            <w:tcW w:w="1000" w:type="dxa"/>
            <w:vAlign w:val="bottom"/>
            <w:vMerge w:val="continue"/>
            <w:shd w:val="clear" w:color="auto" w:fill="CCEEFF"/>
          </w:tcPr>
          <w:p>
            <w:pPr>
              <w:spacing w:after="0"/>
              <w:rPr>
                <w:sz w:val="5"/>
                <w:szCs w:val="5"/>
                <w:color w:val="auto"/>
              </w:rPr>
            </w:pPr>
          </w:p>
        </w:tc>
        <w:tc>
          <w:tcPr>
            <w:tcW w:w="40" w:type="dxa"/>
            <w:vAlign w:val="bottom"/>
            <w:shd w:val="clear" w:color="auto" w:fill="CCEEFF"/>
          </w:tcPr>
          <w:p>
            <w:pPr>
              <w:spacing w:after="0"/>
              <w:rPr>
                <w:sz w:val="5"/>
                <w:szCs w:val="5"/>
                <w:color w:val="auto"/>
              </w:rPr>
            </w:pPr>
          </w:p>
        </w:tc>
        <w:tc>
          <w:tcPr>
            <w:tcW w:w="120" w:type="dxa"/>
            <w:vAlign w:val="bottom"/>
            <w:shd w:val="clear" w:color="auto" w:fill="CCEEFF"/>
          </w:tcPr>
          <w:p>
            <w:pPr>
              <w:spacing w:after="0"/>
              <w:rPr>
                <w:sz w:val="5"/>
                <w:szCs w:val="5"/>
                <w:color w:val="auto"/>
              </w:rPr>
            </w:pPr>
          </w:p>
        </w:tc>
        <w:tc>
          <w:tcPr>
            <w:tcW w:w="320" w:type="dxa"/>
            <w:vAlign w:val="bottom"/>
            <w:shd w:val="clear" w:color="auto" w:fill="CCEEFF"/>
          </w:tcPr>
          <w:p>
            <w:pPr>
              <w:spacing w:after="0"/>
              <w:rPr>
                <w:sz w:val="5"/>
                <w:szCs w:val="5"/>
                <w:color w:val="auto"/>
              </w:rPr>
            </w:pPr>
          </w:p>
        </w:tc>
        <w:tc>
          <w:tcPr>
            <w:tcW w:w="1040" w:type="dxa"/>
            <w:vAlign w:val="bottom"/>
            <w:vMerge w:val="continue"/>
            <w:shd w:val="clear" w:color="auto" w:fill="CCEEFF"/>
          </w:tcPr>
          <w:p>
            <w:pPr>
              <w:spacing w:after="0"/>
              <w:rPr>
                <w:sz w:val="5"/>
                <w:szCs w:val="5"/>
                <w:color w:val="auto"/>
              </w:rPr>
            </w:pPr>
          </w:p>
        </w:tc>
        <w:tc>
          <w:tcPr>
            <w:tcW w:w="100" w:type="dxa"/>
            <w:vAlign w:val="bottom"/>
            <w:shd w:val="clear" w:color="auto" w:fill="CCEEFF"/>
          </w:tcPr>
          <w:p>
            <w:pPr>
              <w:spacing w:after="0"/>
              <w:rPr>
                <w:sz w:val="5"/>
                <w:szCs w:val="5"/>
                <w:color w:val="auto"/>
              </w:rPr>
            </w:pPr>
          </w:p>
        </w:tc>
        <w:tc>
          <w:tcPr>
            <w:tcW w:w="340" w:type="dxa"/>
            <w:vAlign w:val="bottom"/>
            <w:shd w:val="clear" w:color="auto" w:fill="CCEEFF"/>
          </w:tcPr>
          <w:p>
            <w:pPr>
              <w:spacing w:after="0"/>
              <w:rPr>
                <w:sz w:val="5"/>
                <w:szCs w:val="5"/>
                <w:color w:val="auto"/>
              </w:rPr>
            </w:pPr>
          </w:p>
        </w:tc>
        <w:tc>
          <w:tcPr>
            <w:tcW w:w="1040" w:type="dxa"/>
            <w:vAlign w:val="bottom"/>
            <w:vMerge w:val="continue"/>
            <w:shd w:val="clear" w:color="auto" w:fill="CCEEFF"/>
          </w:tcPr>
          <w:p>
            <w:pPr>
              <w:spacing w:after="0"/>
              <w:rPr>
                <w:sz w:val="5"/>
                <w:szCs w:val="5"/>
                <w:color w:val="auto"/>
              </w:rPr>
            </w:pPr>
          </w:p>
        </w:tc>
        <w:tc>
          <w:tcPr>
            <w:tcW w:w="0" w:type="dxa"/>
            <w:vAlign w:val="bottom"/>
          </w:tcPr>
          <w:p>
            <w:pPr>
              <w:spacing w:after="0"/>
              <w:rPr>
                <w:sz w:val="1"/>
                <w:szCs w:val="1"/>
                <w:color w:val="auto"/>
              </w:rPr>
            </w:pPr>
          </w:p>
        </w:tc>
      </w:tr>
      <w:tr>
        <w:trPr>
          <w:trHeight w:val="208"/>
        </w:trPr>
        <w:tc>
          <w:tcPr>
            <w:tcW w:w="7040" w:type="dxa"/>
            <w:vAlign w:val="bottom"/>
            <w:gridSpan w:val="2"/>
          </w:tcPr>
          <w:p>
            <w:pPr>
              <w:ind w:left="280"/>
              <w:spacing w:after="0"/>
              <w:rPr>
                <w:sz w:val="20"/>
                <w:szCs w:val="20"/>
                <w:color w:val="auto"/>
              </w:rPr>
            </w:pPr>
            <w:r>
              <w:rPr>
                <w:rFonts w:ascii="Arial" w:cs="Arial" w:eastAsia="Arial" w:hAnsi="Arial"/>
                <w:sz w:val="15"/>
                <w:szCs w:val="15"/>
                <w:color w:val="auto"/>
              </w:rPr>
              <w:t>Special items, net non-cash</w:t>
            </w:r>
          </w:p>
        </w:tc>
        <w:tc>
          <w:tcPr>
            <w:tcW w:w="320" w:type="dxa"/>
            <w:vAlign w:val="bottom"/>
          </w:tcPr>
          <w:p>
            <w:pPr>
              <w:spacing w:after="0"/>
              <w:rPr>
                <w:sz w:val="18"/>
                <w:szCs w:val="18"/>
                <w:color w:val="auto"/>
              </w:rPr>
            </w:pPr>
          </w:p>
        </w:tc>
        <w:tc>
          <w:tcPr>
            <w:tcW w:w="1000" w:type="dxa"/>
            <w:vAlign w:val="bottom"/>
            <w:vMerge w:val="restart"/>
          </w:tcPr>
          <w:p>
            <w:pPr>
              <w:jc w:val="right"/>
              <w:spacing w:after="0"/>
              <w:rPr>
                <w:sz w:val="20"/>
                <w:szCs w:val="20"/>
                <w:color w:val="auto"/>
              </w:rPr>
            </w:pPr>
            <w:r>
              <w:rPr>
                <w:rFonts w:ascii="Arial" w:cs="Arial" w:eastAsia="Arial" w:hAnsi="Arial"/>
                <w:sz w:val="15"/>
                <w:szCs w:val="15"/>
                <w:color w:val="auto"/>
              </w:rPr>
              <w:t>384</w:t>
            </w:r>
          </w:p>
        </w:tc>
        <w:tc>
          <w:tcPr>
            <w:tcW w:w="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40" w:type="dxa"/>
            <w:vAlign w:val="bottom"/>
            <w:vMerge w:val="restart"/>
          </w:tcPr>
          <w:p>
            <w:pPr>
              <w:jc w:val="right"/>
              <w:ind w:right="24"/>
              <w:spacing w:after="0"/>
              <w:rPr>
                <w:sz w:val="20"/>
                <w:szCs w:val="20"/>
                <w:color w:val="auto"/>
              </w:rPr>
            </w:pPr>
            <w:r>
              <w:rPr>
                <w:rFonts w:ascii="Arial" w:cs="Arial" w:eastAsia="Arial" w:hAnsi="Arial"/>
                <w:sz w:val="15"/>
                <w:szCs w:val="15"/>
                <w:color w:val="auto"/>
              </w:rPr>
              <w:t>458</w:t>
            </w: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040" w:type="dxa"/>
            <w:vAlign w:val="bottom"/>
            <w:vMerge w:val="restart"/>
          </w:tcPr>
          <w:p>
            <w:pPr>
              <w:jc w:val="right"/>
              <w:ind w:right="44"/>
              <w:spacing w:after="0"/>
              <w:rPr>
                <w:sz w:val="20"/>
                <w:szCs w:val="20"/>
                <w:color w:val="auto"/>
              </w:rPr>
            </w:pPr>
            <w:r>
              <w:rPr>
                <w:rFonts w:ascii="Arial" w:cs="Arial" w:eastAsia="Arial" w:hAnsi="Arial"/>
                <w:sz w:val="15"/>
                <w:szCs w:val="15"/>
                <w:color w:val="auto"/>
              </w:rPr>
              <w:t>272</w:t>
            </w:r>
          </w:p>
        </w:tc>
        <w:tc>
          <w:tcPr>
            <w:tcW w:w="0" w:type="dxa"/>
            <w:vAlign w:val="bottom"/>
          </w:tcPr>
          <w:p>
            <w:pPr>
              <w:spacing w:after="0"/>
              <w:rPr>
                <w:sz w:val="1"/>
                <w:szCs w:val="1"/>
                <w:color w:val="auto"/>
              </w:rPr>
            </w:pPr>
          </w:p>
        </w:tc>
      </w:tr>
      <w:tr>
        <w:trPr>
          <w:trHeight w:val="58"/>
        </w:trPr>
        <w:tc>
          <w:tcPr>
            <w:tcW w:w="2120" w:type="dxa"/>
            <w:vAlign w:val="bottom"/>
          </w:tcPr>
          <w:p>
            <w:pPr>
              <w:spacing w:after="0"/>
              <w:rPr>
                <w:sz w:val="5"/>
                <w:szCs w:val="5"/>
                <w:color w:val="auto"/>
              </w:rPr>
            </w:pPr>
          </w:p>
        </w:tc>
        <w:tc>
          <w:tcPr>
            <w:tcW w:w="4920" w:type="dxa"/>
            <w:vAlign w:val="bottom"/>
          </w:tcPr>
          <w:p>
            <w:pPr>
              <w:spacing w:after="0"/>
              <w:rPr>
                <w:sz w:val="5"/>
                <w:szCs w:val="5"/>
                <w:color w:val="auto"/>
              </w:rPr>
            </w:pPr>
          </w:p>
        </w:tc>
        <w:tc>
          <w:tcPr>
            <w:tcW w:w="320" w:type="dxa"/>
            <w:vAlign w:val="bottom"/>
          </w:tcPr>
          <w:p>
            <w:pPr>
              <w:spacing w:after="0"/>
              <w:rPr>
                <w:sz w:val="5"/>
                <w:szCs w:val="5"/>
                <w:color w:val="auto"/>
              </w:rPr>
            </w:pPr>
          </w:p>
        </w:tc>
        <w:tc>
          <w:tcPr>
            <w:tcW w:w="1000" w:type="dxa"/>
            <w:vAlign w:val="bottom"/>
            <w:vMerge w:val="continue"/>
          </w:tcPr>
          <w:p>
            <w:pPr>
              <w:spacing w:after="0"/>
              <w:rPr>
                <w:sz w:val="5"/>
                <w:szCs w:val="5"/>
                <w:color w:val="auto"/>
              </w:rPr>
            </w:pPr>
          </w:p>
        </w:tc>
        <w:tc>
          <w:tcPr>
            <w:tcW w:w="40" w:type="dxa"/>
            <w:vAlign w:val="bottom"/>
          </w:tcPr>
          <w:p>
            <w:pPr>
              <w:spacing w:after="0"/>
              <w:rPr>
                <w:sz w:val="5"/>
                <w:szCs w:val="5"/>
                <w:color w:val="auto"/>
              </w:rPr>
            </w:pPr>
          </w:p>
        </w:tc>
        <w:tc>
          <w:tcPr>
            <w:tcW w:w="120" w:type="dxa"/>
            <w:vAlign w:val="bottom"/>
          </w:tcPr>
          <w:p>
            <w:pPr>
              <w:spacing w:after="0"/>
              <w:rPr>
                <w:sz w:val="5"/>
                <w:szCs w:val="5"/>
                <w:color w:val="auto"/>
              </w:rPr>
            </w:pPr>
          </w:p>
        </w:tc>
        <w:tc>
          <w:tcPr>
            <w:tcW w:w="320" w:type="dxa"/>
            <w:vAlign w:val="bottom"/>
          </w:tcPr>
          <w:p>
            <w:pPr>
              <w:spacing w:after="0"/>
              <w:rPr>
                <w:sz w:val="5"/>
                <w:szCs w:val="5"/>
                <w:color w:val="auto"/>
              </w:rPr>
            </w:pPr>
          </w:p>
        </w:tc>
        <w:tc>
          <w:tcPr>
            <w:tcW w:w="1040" w:type="dxa"/>
            <w:vAlign w:val="bottom"/>
            <w:vMerge w:val="continue"/>
          </w:tcPr>
          <w:p>
            <w:pPr>
              <w:spacing w:after="0"/>
              <w:rPr>
                <w:sz w:val="5"/>
                <w:szCs w:val="5"/>
                <w:color w:val="auto"/>
              </w:rPr>
            </w:pPr>
          </w:p>
        </w:tc>
        <w:tc>
          <w:tcPr>
            <w:tcW w:w="100" w:type="dxa"/>
            <w:vAlign w:val="bottom"/>
          </w:tcPr>
          <w:p>
            <w:pPr>
              <w:spacing w:after="0"/>
              <w:rPr>
                <w:sz w:val="5"/>
                <w:szCs w:val="5"/>
                <w:color w:val="auto"/>
              </w:rPr>
            </w:pPr>
          </w:p>
        </w:tc>
        <w:tc>
          <w:tcPr>
            <w:tcW w:w="340" w:type="dxa"/>
            <w:vAlign w:val="bottom"/>
          </w:tcPr>
          <w:p>
            <w:pPr>
              <w:spacing w:after="0"/>
              <w:rPr>
                <w:sz w:val="5"/>
                <w:szCs w:val="5"/>
                <w:color w:val="auto"/>
              </w:rPr>
            </w:pPr>
          </w:p>
        </w:tc>
        <w:tc>
          <w:tcPr>
            <w:tcW w:w="104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r>
        <w:trPr>
          <w:trHeight w:val="212"/>
        </w:trPr>
        <w:tc>
          <w:tcPr>
            <w:tcW w:w="7040" w:type="dxa"/>
            <w:vAlign w:val="bottom"/>
            <w:gridSpan w:val="2"/>
            <w:shd w:val="clear" w:color="auto" w:fill="CCEEFF"/>
          </w:tcPr>
          <w:p>
            <w:pPr>
              <w:ind w:left="280"/>
              <w:spacing w:after="0"/>
              <w:rPr>
                <w:sz w:val="20"/>
                <w:szCs w:val="20"/>
                <w:color w:val="auto"/>
              </w:rPr>
            </w:pPr>
            <w:r>
              <w:rPr>
                <w:rFonts w:ascii="Arial" w:cs="Arial" w:eastAsia="Arial" w:hAnsi="Arial"/>
                <w:sz w:val="15"/>
                <w:szCs w:val="15"/>
                <w:color w:val="auto"/>
              </w:rPr>
              <w:t>Pension and postretirement</w:t>
            </w:r>
          </w:p>
        </w:tc>
        <w:tc>
          <w:tcPr>
            <w:tcW w:w="320" w:type="dxa"/>
            <w:vAlign w:val="bottom"/>
            <w:shd w:val="clear" w:color="auto" w:fill="CCEEFF"/>
          </w:tcPr>
          <w:p>
            <w:pPr>
              <w:spacing w:after="0"/>
              <w:rPr>
                <w:sz w:val="18"/>
                <w:szCs w:val="18"/>
                <w:color w:val="auto"/>
              </w:rPr>
            </w:pPr>
          </w:p>
        </w:tc>
        <w:tc>
          <w:tcPr>
            <w:tcW w:w="1000" w:type="dxa"/>
            <w:vAlign w:val="bottom"/>
            <w:vMerge w:val="restart"/>
            <w:shd w:val="clear" w:color="auto" w:fill="CCEEFF"/>
          </w:tcPr>
          <w:p>
            <w:pPr>
              <w:jc w:val="right"/>
              <w:spacing w:after="0"/>
              <w:rPr>
                <w:sz w:val="20"/>
                <w:szCs w:val="20"/>
                <w:color w:val="auto"/>
              </w:rPr>
            </w:pPr>
            <w:r>
              <w:rPr>
                <w:rFonts w:ascii="Arial" w:cs="Arial" w:eastAsia="Arial" w:hAnsi="Arial"/>
                <w:sz w:val="15"/>
                <w:szCs w:val="15"/>
                <w:color w:val="auto"/>
              </w:rPr>
              <w:t>(178)</w:t>
            </w:r>
          </w:p>
        </w:tc>
        <w:tc>
          <w:tcPr>
            <w:tcW w:w="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40" w:type="dxa"/>
            <w:vAlign w:val="bottom"/>
            <w:vMerge w:val="restart"/>
            <w:shd w:val="clear" w:color="auto" w:fill="CCEEFF"/>
          </w:tcPr>
          <w:p>
            <w:pPr>
              <w:jc w:val="right"/>
              <w:spacing w:after="0"/>
              <w:rPr>
                <w:sz w:val="20"/>
                <w:szCs w:val="20"/>
                <w:color w:val="auto"/>
              </w:rPr>
            </w:pPr>
            <w:r>
              <w:rPr>
                <w:rFonts w:ascii="Arial" w:cs="Arial" w:eastAsia="Arial" w:hAnsi="Arial"/>
                <w:sz w:val="15"/>
                <w:szCs w:val="15"/>
                <w:color w:val="auto"/>
              </w:rPr>
              <w:t>(302)</w:t>
            </w:r>
          </w:p>
        </w:tc>
        <w:tc>
          <w:tcPr>
            <w:tcW w:w="1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040" w:type="dxa"/>
            <w:vAlign w:val="bottom"/>
            <w:vMerge w:val="restart"/>
            <w:shd w:val="clear" w:color="auto" w:fill="CCEEFF"/>
          </w:tcPr>
          <w:p>
            <w:pPr>
              <w:jc w:val="right"/>
              <w:spacing w:after="0"/>
              <w:rPr>
                <w:sz w:val="20"/>
                <w:szCs w:val="20"/>
                <w:color w:val="auto"/>
              </w:rPr>
            </w:pPr>
            <w:r>
              <w:rPr>
                <w:rFonts w:ascii="Arial" w:cs="Arial" w:eastAsia="Arial" w:hAnsi="Arial"/>
                <w:sz w:val="15"/>
                <w:szCs w:val="15"/>
                <w:color w:val="auto"/>
              </w:rPr>
              <w:t>(132)</w:t>
            </w:r>
          </w:p>
        </w:tc>
        <w:tc>
          <w:tcPr>
            <w:tcW w:w="0" w:type="dxa"/>
            <w:vAlign w:val="bottom"/>
          </w:tcPr>
          <w:p>
            <w:pPr>
              <w:spacing w:after="0"/>
              <w:rPr>
                <w:sz w:val="1"/>
                <w:szCs w:val="1"/>
                <w:color w:val="auto"/>
              </w:rPr>
            </w:pPr>
          </w:p>
        </w:tc>
      </w:tr>
      <w:tr>
        <w:trPr>
          <w:trHeight w:val="62"/>
        </w:trPr>
        <w:tc>
          <w:tcPr>
            <w:tcW w:w="2120" w:type="dxa"/>
            <w:vAlign w:val="bottom"/>
            <w:shd w:val="clear" w:color="auto" w:fill="CCEEFF"/>
          </w:tcPr>
          <w:p>
            <w:pPr>
              <w:spacing w:after="0"/>
              <w:rPr>
                <w:sz w:val="5"/>
                <w:szCs w:val="5"/>
                <w:color w:val="auto"/>
              </w:rPr>
            </w:pPr>
          </w:p>
        </w:tc>
        <w:tc>
          <w:tcPr>
            <w:tcW w:w="4920" w:type="dxa"/>
            <w:vAlign w:val="bottom"/>
            <w:shd w:val="clear" w:color="auto" w:fill="CCEEFF"/>
          </w:tcPr>
          <w:p>
            <w:pPr>
              <w:spacing w:after="0"/>
              <w:rPr>
                <w:sz w:val="5"/>
                <w:szCs w:val="5"/>
                <w:color w:val="auto"/>
              </w:rPr>
            </w:pPr>
          </w:p>
        </w:tc>
        <w:tc>
          <w:tcPr>
            <w:tcW w:w="320" w:type="dxa"/>
            <w:vAlign w:val="bottom"/>
            <w:shd w:val="clear" w:color="auto" w:fill="CCEEFF"/>
          </w:tcPr>
          <w:p>
            <w:pPr>
              <w:spacing w:after="0"/>
              <w:rPr>
                <w:sz w:val="5"/>
                <w:szCs w:val="5"/>
                <w:color w:val="auto"/>
              </w:rPr>
            </w:pPr>
          </w:p>
        </w:tc>
        <w:tc>
          <w:tcPr>
            <w:tcW w:w="1000" w:type="dxa"/>
            <w:vAlign w:val="bottom"/>
            <w:vMerge w:val="continue"/>
            <w:shd w:val="clear" w:color="auto" w:fill="CCEEFF"/>
          </w:tcPr>
          <w:p>
            <w:pPr>
              <w:spacing w:after="0"/>
              <w:rPr>
                <w:sz w:val="5"/>
                <w:szCs w:val="5"/>
                <w:color w:val="auto"/>
              </w:rPr>
            </w:pPr>
          </w:p>
        </w:tc>
        <w:tc>
          <w:tcPr>
            <w:tcW w:w="40" w:type="dxa"/>
            <w:vAlign w:val="bottom"/>
            <w:shd w:val="clear" w:color="auto" w:fill="CCEEFF"/>
          </w:tcPr>
          <w:p>
            <w:pPr>
              <w:spacing w:after="0"/>
              <w:rPr>
                <w:sz w:val="5"/>
                <w:szCs w:val="5"/>
                <w:color w:val="auto"/>
              </w:rPr>
            </w:pPr>
          </w:p>
        </w:tc>
        <w:tc>
          <w:tcPr>
            <w:tcW w:w="120" w:type="dxa"/>
            <w:vAlign w:val="bottom"/>
            <w:shd w:val="clear" w:color="auto" w:fill="CCEEFF"/>
          </w:tcPr>
          <w:p>
            <w:pPr>
              <w:spacing w:after="0"/>
              <w:rPr>
                <w:sz w:val="5"/>
                <w:szCs w:val="5"/>
                <w:color w:val="auto"/>
              </w:rPr>
            </w:pPr>
          </w:p>
        </w:tc>
        <w:tc>
          <w:tcPr>
            <w:tcW w:w="320" w:type="dxa"/>
            <w:vAlign w:val="bottom"/>
            <w:shd w:val="clear" w:color="auto" w:fill="CCEEFF"/>
          </w:tcPr>
          <w:p>
            <w:pPr>
              <w:spacing w:after="0"/>
              <w:rPr>
                <w:sz w:val="5"/>
                <w:szCs w:val="5"/>
                <w:color w:val="auto"/>
              </w:rPr>
            </w:pPr>
          </w:p>
        </w:tc>
        <w:tc>
          <w:tcPr>
            <w:tcW w:w="1040" w:type="dxa"/>
            <w:vAlign w:val="bottom"/>
            <w:vMerge w:val="continue"/>
            <w:shd w:val="clear" w:color="auto" w:fill="CCEEFF"/>
          </w:tcPr>
          <w:p>
            <w:pPr>
              <w:spacing w:after="0"/>
              <w:rPr>
                <w:sz w:val="5"/>
                <w:szCs w:val="5"/>
                <w:color w:val="auto"/>
              </w:rPr>
            </w:pPr>
          </w:p>
        </w:tc>
        <w:tc>
          <w:tcPr>
            <w:tcW w:w="100" w:type="dxa"/>
            <w:vAlign w:val="bottom"/>
            <w:shd w:val="clear" w:color="auto" w:fill="CCEEFF"/>
          </w:tcPr>
          <w:p>
            <w:pPr>
              <w:spacing w:after="0"/>
              <w:rPr>
                <w:sz w:val="5"/>
                <w:szCs w:val="5"/>
                <w:color w:val="auto"/>
              </w:rPr>
            </w:pPr>
          </w:p>
        </w:tc>
        <w:tc>
          <w:tcPr>
            <w:tcW w:w="340" w:type="dxa"/>
            <w:vAlign w:val="bottom"/>
            <w:shd w:val="clear" w:color="auto" w:fill="CCEEFF"/>
          </w:tcPr>
          <w:p>
            <w:pPr>
              <w:spacing w:after="0"/>
              <w:rPr>
                <w:sz w:val="5"/>
                <w:szCs w:val="5"/>
                <w:color w:val="auto"/>
              </w:rPr>
            </w:pPr>
          </w:p>
        </w:tc>
        <w:tc>
          <w:tcPr>
            <w:tcW w:w="1040" w:type="dxa"/>
            <w:vAlign w:val="bottom"/>
            <w:vMerge w:val="continue"/>
            <w:shd w:val="clear" w:color="auto" w:fill="CCEEFF"/>
          </w:tcPr>
          <w:p>
            <w:pPr>
              <w:spacing w:after="0"/>
              <w:rPr>
                <w:sz w:val="5"/>
                <w:szCs w:val="5"/>
                <w:color w:val="auto"/>
              </w:rPr>
            </w:pPr>
          </w:p>
        </w:tc>
        <w:tc>
          <w:tcPr>
            <w:tcW w:w="0" w:type="dxa"/>
            <w:vAlign w:val="bottom"/>
          </w:tcPr>
          <w:p>
            <w:pPr>
              <w:spacing w:after="0"/>
              <w:rPr>
                <w:sz w:val="1"/>
                <w:szCs w:val="1"/>
                <w:color w:val="auto"/>
              </w:rPr>
            </w:pPr>
          </w:p>
        </w:tc>
      </w:tr>
      <w:tr>
        <w:trPr>
          <w:trHeight w:val="208"/>
        </w:trPr>
        <w:tc>
          <w:tcPr>
            <w:tcW w:w="7040" w:type="dxa"/>
            <w:vAlign w:val="bottom"/>
            <w:gridSpan w:val="2"/>
          </w:tcPr>
          <w:p>
            <w:pPr>
              <w:ind w:left="280"/>
              <w:spacing w:after="0"/>
              <w:rPr>
                <w:sz w:val="20"/>
                <w:szCs w:val="20"/>
                <w:color w:val="auto"/>
              </w:rPr>
            </w:pPr>
            <w:r>
              <w:rPr>
                <w:rFonts w:ascii="Arial" w:cs="Arial" w:eastAsia="Arial" w:hAnsi="Arial"/>
                <w:sz w:val="15"/>
                <w:szCs w:val="15"/>
                <w:color w:val="auto"/>
              </w:rPr>
              <w:t>Deferred income tax provision</w:t>
            </w:r>
          </w:p>
        </w:tc>
        <w:tc>
          <w:tcPr>
            <w:tcW w:w="320" w:type="dxa"/>
            <w:vAlign w:val="bottom"/>
          </w:tcPr>
          <w:p>
            <w:pPr>
              <w:spacing w:after="0"/>
              <w:rPr>
                <w:sz w:val="18"/>
                <w:szCs w:val="18"/>
                <w:color w:val="auto"/>
              </w:rPr>
            </w:pPr>
          </w:p>
        </w:tc>
        <w:tc>
          <w:tcPr>
            <w:tcW w:w="1000" w:type="dxa"/>
            <w:vAlign w:val="bottom"/>
            <w:vMerge w:val="restart"/>
          </w:tcPr>
          <w:p>
            <w:pPr>
              <w:jc w:val="right"/>
              <w:spacing w:after="0"/>
              <w:rPr>
                <w:sz w:val="20"/>
                <w:szCs w:val="20"/>
                <w:color w:val="auto"/>
              </w:rPr>
            </w:pPr>
            <w:r>
              <w:rPr>
                <w:rFonts w:ascii="Arial" w:cs="Arial" w:eastAsia="Arial" w:hAnsi="Arial"/>
                <w:sz w:val="15"/>
                <w:szCs w:val="15"/>
                <w:color w:val="auto"/>
              </w:rPr>
              <w:t>623</w:t>
            </w:r>
          </w:p>
        </w:tc>
        <w:tc>
          <w:tcPr>
            <w:tcW w:w="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40" w:type="dxa"/>
            <w:vAlign w:val="bottom"/>
            <w:vMerge w:val="restart"/>
          </w:tcPr>
          <w:p>
            <w:pPr>
              <w:jc w:val="right"/>
              <w:ind w:right="24"/>
              <w:spacing w:after="0"/>
              <w:rPr>
                <w:sz w:val="20"/>
                <w:szCs w:val="20"/>
                <w:color w:val="auto"/>
              </w:rPr>
            </w:pPr>
            <w:r>
              <w:rPr>
                <w:rFonts w:ascii="Arial" w:cs="Arial" w:eastAsia="Arial" w:hAnsi="Arial"/>
                <w:sz w:val="15"/>
                <w:szCs w:val="15"/>
                <w:color w:val="auto"/>
              </w:rPr>
              <w:t>503</w:t>
            </w: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040" w:type="dxa"/>
            <w:vAlign w:val="bottom"/>
            <w:vMerge w:val="restart"/>
          </w:tcPr>
          <w:p>
            <w:pPr>
              <w:jc w:val="right"/>
              <w:ind w:right="44"/>
              <w:spacing w:after="0"/>
              <w:rPr>
                <w:sz w:val="20"/>
                <w:szCs w:val="20"/>
                <w:color w:val="auto"/>
              </w:rPr>
            </w:pPr>
            <w:r>
              <w:rPr>
                <w:rFonts w:ascii="Arial" w:cs="Arial" w:eastAsia="Arial" w:hAnsi="Arial"/>
                <w:sz w:val="15"/>
                <w:szCs w:val="15"/>
                <w:color w:val="auto"/>
              </w:rPr>
              <w:t>2,246</w:t>
            </w:r>
          </w:p>
        </w:tc>
        <w:tc>
          <w:tcPr>
            <w:tcW w:w="0" w:type="dxa"/>
            <w:vAlign w:val="bottom"/>
          </w:tcPr>
          <w:p>
            <w:pPr>
              <w:spacing w:after="0"/>
              <w:rPr>
                <w:sz w:val="1"/>
                <w:szCs w:val="1"/>
                <w:color w:val="auto"/>
              </w:rPr>
            </w:pPr>
          </w:p>
        </w:tc>
      </w:tr>
      <w:tr>
        <w:trPr>
          <w:trHeight w:val="58"/>
        </w:trPr>
        <w:tc>
          <w:tcPr>
            <w:tcW w:w="2120" w:type="dxa"/>
            <w:vAlign w:val="bottom"/>
          </w:tcPr>
          <w:p>
            <w:pPr>
              <w:spacing w:after="0"/>
              <w:rPr>
                <w:sz w:val="5"/>
                <w:szCs w:val="5"/>
                <w:color w:val="auto"/>
              </w:rPr>
            </w:pPr>
          </w:p>
        </w:tc>
        <w:tc>
          <w:tcPr>
            <w:tcW w:w="4920" w:type="dxa"/>
            <w:vAlign w:val="bottom"/>
          </w:tcPr>
          <w:p>
            <w:pPr>
              <w:spacing w:after="0"/>
              <w:rPr>
                <w:sz w:val="5"/>
                <w:szCs w:val="5"/>
                <w:color w:val="auto"/>
              </w:rPr>
            </w:pPr>
          </w:p>
        </w:tc>
        <w:tc>
          <w:tcPr>
            <w:tcW w:w="320" w:type="dxa"/>
            <w:vAlign w:val="bottom"/>
          </w:tcPr>
          <w:p>
            <w:pPr>
              <w:spacing w:after="0"/>
              <w:rPr>
                <w:sz w:val="5"/>
                <w:szCs w:val="5"/>
                <w:color w:val="auto"/>
              </w:rPr>
            </w:pPr>
          </w:p>
        </w:tc>
        <w:tc>
          <w:tcPr>
            <w:tcW w:w="1000" w:type="dxa"/>
            <w:vAlign w:val="bottom"/>
            <w:vMerge w:val="continue"/>
          </w:tcPr>
          <w:p>
            <w:pPr>
              <w:spacing w:after="0"/>
              <w:rPr>
                <w:sz w:val="5"/>
                <w:szCs w:val="5"/>
                <w:color w:val="auto"/>
              </w:rPr>
            </w:pPr>
          </w:p>
        </w:tc>
        <w:tc>
          <w:tcPr>
            <w:tcW w:w="40" w:type="dxa"/>
            <w:vAlign w:val="bottom"/>
          </w:tcPr>
          <w:p>
            <w:pPr>
              <w:spacing w:after="0"/>
              <w:rPr>
                <w:sz w:val="5"/>
                <w:szCs w:val="5"/>
                <w:color w:val="auto"/>
              </w:rPr>
            </w:pPr>
          </w:p>
        </w:tc>
        <w:tc>
          <w:tcPr>
            <w:tcW w:w="120" w:type="dxa"/>
            <w:vAlign w:val="bottom"/>
          </w:tcPr>
          <w:p>
            <w:pPr>
              <w:spacing w:after="0"/>
              <w:rPr>
                <w:sz w:val="5"/>
                <w:szCs w:val="5"/>
                <w:color w:val="auto"/>
              </w:rPr>
            </w:pPr>
          </w:p>
        </w:tc>
        <w:tc>
          <w:tcPr>
            <w:tcW w:w="320" w:type="dxa"/>
            <w:vAlign w:val="bottom"/>
          </w:tcPr>
          <w:p>
            <w:pPr>
              <w:spacing w:after="0"/>
              <w:rPr>
                <w:sz w:val="5"/>
                <w:szCs w:val="5"/>
                <w:color w:val="auto"/>
              </w:rPr>
            </w:pPr>
          </w:p>
        </w:tc>
        <w:tc>
          <w:tcPr>
            <w:tcW w:w="1040" w:type="dxa"/>
            <w:vAlign w:val="bottom"/>
            <w:vMerge w:val="continue"/>
          </w:tcPr>
          <w:p>
            <w:pPr>
              <w:spacing w:after="0"/>
              <w:rPr>
                <w:sz w:val="5"/>
                <w:szCs w:val="5"/>
                <w:color w:val="auto"/>
              </w:rPr>
            </w:pPr>
          </w:p>
        </w:tc>
        <w:tc>
          <w:tcPr>
            <w:tcW w:w="100" w:type="dxa"/>
            <w:vAlign w:val="bottom"/>
          </w:tcPr>
          <w:p>
            <w:pPr>
              <w:spacing w:after="0"/>
              <w:rPr>
                <w:sz w:val="5"/>
                <w:szCs w:val="5"/>
                <w:color w:val="auto"/>
              </w:rPr>
            </w:pPr>
          </w:p>
        </w:tc>
        <w:tc>
          <w:tcPr>
            <w:tcW w:w="340" w:type="dxa"/>
            <w:vAlign w:val="bottom"/>
          </w:tcPr>
          <w:p>
            <w:pPr>
              <w:spacing w:after="0"/>
              <w:rPr>
                <w:sz w:val="5"/>
                <w:szCs w:val="5"/>
                <w:color w:val="auto"/>
              </w:rPr>
            </w:pPr>
          </w:p>
        </w:tc>
        <w:tc>
          <w:tcPr>
            <w:tcW w:w="104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r>
        <w:trPr>
          <w:trHeight w:val="212"/>
        </w:trPr>
        <w:tc>
          <w:tcPr>
            <w:tcW w:w="7040" w:type="dxa"/>
            <w:vAlign w:val="bottom"/>
            <w:gridSpan w:val="2"/>
            <w:shd w:val="clear" w:color="auto" w:fill="CCEEFF"/>
          </w:tcPr>
          <w:p>
            <w:pPr>
              <w:ind w:left="280"/>
              <w:spacing w:after="0"/>
              <w:rPr>
                <w:sz w:val="20"/>
                <w:szCs w:val="20"/>
                <w:color w:val="auto"/>
              </w:rPr>
            </w:pPr>
            <w:r>
              <w:rPr>
                <w:rFonts w:ascii="Arial" w:cs="Arial" w:eastAsia="Arial" w:hAnsi="Arial"/>
                <w:sz w:val="15"/>
                <w:szCs w:val="15"/>
                <w:color w:val="auto"/>
              </w:rPr>
              <w:t>Share-based compensation</w:t>
            </w:r>
          </w:p>
        </w:tc>
        <w:tc>
          <w:tcPr>
            <w:tcW w:w="320" w:type="dxa"/>
            <w:vAlign w:val="bottom"/>
            <w:shd w:val="clear" w:color="auto" w:fill="CCEEFF"/>
          </w:tcPr>
          <w:p>
            <w:pPr>
              <w:spacing w:after="0"/>
              <w:rPr>
                <w:sz w:val="18"/>
                <w:szCs w:val="18"/>
                <w:color w:val="auto"/>
              </w:rPr>
            </w:pPr>
          </w:p>
        </w:tc>
        <w:tc>
          <w:tcPr>
            <w:tcW w:w="1000" w:type="dxa"/>
            <w:vAlign w:val="bottom"/>
            <w:vMerge w:val="restart"/>
            <w:shd w:val="clear" w:color="auto" w:fill="CCEEFF"/>
          </w:tcPr>
          <w:p>
            <w:pPr>
              <w:jc w:val="right"/>
              <w:spacing w:after="0"/>
              <w:rPr>
                <w:sz w:val="20"/>
                <w:szCs w:val="20"/>
                <w:color w:val="auto"/>
              </w:rPr>
            </w:pPr>
            <w:r>
              <w:rPr>
                <w:rFonts w:ascii="Arial" w:cs="Arial" w:eastAsia="Arial" w:hAnsi="Arial"/>
                <w:sz w:val="15"/>
                <w:szCs w:val="15"/>
                <w:color w:val="auto"/>
              </w:rPr>
              <w:t>94</w:t>
            </w:r>
          </w:p>
        </w:tc>
        <w:tc>
          <w:tcPr>
            <w:tcW w:w="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40" w:type="dxa"/>
            <w:vAlign w:val="bottom"/>
            <w:vMerge w:val="restart"/>
            <w:shd w:val="clear" w:color="auto" w:fill="CCEEFF"/>
          </w:tcPr>
          <w:p>
            <w:pPr>
              <w:jc w:val="right"/>
              <w:ind w:right="24"/>
              <w:spacing w:after="0"/>
              <w:rPr>
                <w:sz w:val="20"/>
                <w:szCs w:val="20"/>
                <w:color w:val="auto"/>
              </w:rPr>
            </w:pPr>
            <w:r>
              <w:rPr>
                <w:rFonts w:ascii="Arial" w:cs="Arial" w:eastAsia="Arial" w:hAnsi="Arial"/>
                <w:sz w:val="15"/>
                <w:szCs w:val="15"/>
                <w:color w:val="auto"/>
              </w:rPr>
              <w:t>86</w:t>
            </w:r>
          </w:p>
        </w:tc>
        <w:tc>
          <w:tcPr>
            <w:tcW w:w="1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040" w:type="dxa"/>
            <w:vAlign w:val="bottom"/>
            <w:vMerge w:val="restart"/>
            <w:shd w:val="clear" w:color="auto" w:fill="CCEEFF"/>
          </w:tcPr>
          <w:p>
            <w:pPr>
              <w:jc w:val="right"/>
              <w:ind w:right="44"/>
              <w:spacing w:after="0"/>
              <w:rPr>
                <w:sz w:val="20"/>
                <w:szCs w:val="20"/>
                <w:color w:val="auto"/>
              </w:rPr>
            </w:pPr>
            <w:r>
              <w:rPr>
                <w:rFonts w:ascii="Arial" w:cs="Arial" w:eastAsia="Arial" w:hAnsi="Arial"/>
                <w:sz w:val="15"/>
                <w:szCs w:val="15"/>
                <w:color w:val="auto"/>
              </w:rPr>
              <w:t>90</w:t>
            </w:r>
          </w:p>
        </w:tc>
        <w:tc>
          <w:tcPr>
            <w:tcW w:w="0" w:type="dxa"/>
            <w:vAlign w:val="bottom"/>
          </w:tcPr>
          <w:p>
            <w:pPr>
              <w:spacing w:after="0"/>
              <w:rPr>
                <w:sz w:val="1"/>
                <w:szCs w:val="1"/>
                <w:color w:val="auto"/>
              </w:rPr>
            </w:pPr>
          </w:p>
        </w:tc>
      </w:tr>
      <w:tr>
        <w:trPr>
          <w:trHeight w:val="62"/>
        </w:trPr>
        <w:tc>
          <w:tcPr>
            <w:tcW w:w="2120" w:type="dxa"/>
            <w:vAlign w:val="bottom"/>
            <w:shd w:val="clear" w:color="auto" w:fill="CCEEFF"/>
          </w:tcPr>
          <w:p>
            <w:pPr>
              <w:spacing w:after="0"/>
              <w:rPr>
                <w:sz w:val="5"/>
                <w:szCs w:val="5"/>
                <w:color w:val="auto"/>
              </w:rPr>
            </w:pPr>
          </w:p>
        </w:tc>
        <w:tc>
          <w:tcPr>
            <w:tcW w:w="4920" w:type="dxa"/>
            <w:vAlign w:val="bottom"/>
            <w:shd w:val="clear" w:color="auto" w:fill="CCEEFF"/>
          </w:tcPr>
          <w:p>
            <w:pPr>
              <w:spacing w:after="0"/>
              <w:rPr>
                <w:sz w:val="5"/>
                <w:szCs w:val="5"/>
                <w:color w:val="auto"/>
              </w:rPr>
            </w:pPr>
          </w:p>
        </w:tc>
        <w:tc>
          <w:tcPr>
            <w:tcW w:w="320" w:type="dxa"/>
            <w:vAlign w:val="bottom"/>
            <w:shd w:val="clear" w:color="auto" w:fill="CCEEFF"/>
          </w:tcPr>
          <w:p>
            <w:pPr>
              <w:spacing w:after="0"/>
              <w:rPr>
                <w:sz w:val="5"/>
                <w:szCs w:val="5"/>
                <w:color w:val="auto"/>
              </w:rPr>
            </w:pPr>
          </w:p>
        </w:tc>
        <w:tc>
          <w:tcPr>
            <w:tcW w:w="1000" w:type="dxa"/>
            <w:vAlign w:val="bottom"/>
            <w:vMerge w:val="continue"/>
            <w:shd w:val="clear" w:color="auto" w:fill="CCEEFF"/>
          </w:tcPr>
          <w:p>
            <w:pPr>
              <w:spacing w:after="0"/>
              <w:rPr>
                <w:sz w:val="5"/>
                <w:szCs w:val="5"/>
                <w:color w:val="auto"/>
              </w:rPr>
            </w:pPr>
          </w:p>
        </w:tc>
        <w:tc>
          <w:tcPr>
            <w:tcW w:w="40" w:type="dxa"/>
            <w:vAlign w:val="bottom"/>
            <w:shd w:val="clear" w:color="auto" w:fill="CCEEFF"/>
          </w:tcPr>
          <w:p>
            <w:pPr>
              <w:spacing w:after="0"/>
              <w:rPr>
                <w:sz w:val="5"/>
                <w:szCs w:val="5"/>
                <w:color w:val="auto"/>
              </w:rPr>
            </w:pPr>
          </w:p>
        </w:tc>
        <w:tc>
          <w:tcPr>
            <w:tcW w:w="120" w:type="dxa"/>
            <w:vAlign w:val="bottom"/>
            <w:shd w:val="clear" w:color="auto" w:fill="CCEEFF"/>
          </w:tcPr>
          <w:p>
            <w:pPr>
              <w:spacing w:after="0"/>
              <w:rPr>
                <w:sz w:val="5"/>
                <w:szCs w:val="5"/>
                <w:color w:val="auto"/>
              </w:rPr>
            </w:pPr>
          </w:p>
        </w:tc>
        <w:tc>
          <w:tcPr>
            <w:tcW w:w="320" w:type="dxa"/>
            <w:vAlign w:val="bottom"/>
            <w:shd w:val="clear" w:color="auto" w:fill="CCEEFF"/>
          </w:tcPr>
          <w:p>
            <w:pPr>
              <w:spacing w:after="0"/>
              <w:rPr>
                <w:sz w:val="5"/>
                <w:szCs w:val="5"/>
                <w:color w:val="auto"/>
              </w:rPr>
            </w:pPr>
          </w:p>
        </w:tc>
        <w:tc>
          <w:tcPr>
            <w:tcW w:w="1040" w:type="dxa"/>
            <w:vAlign w:val="bottom"/>
            <w:vMerge w:val="continue"/>
            <w:shd w:val="clear" w:color="auto" w:fill="CCEEFF"/>
          </w:tcPr>
          <w:p>
            <w:pPr>
              <w:spacing w:after="0"/>
              <w:rPr>
                <w:sz w:val="5"/>
                <w:szCs w:val="5"/>
                <w:color w:val="auto"/>
              </w:rPr>
            </w:pPr>
          </w:p>
        </w:tc>
        <w:tc>
          <w:tcPr>
            <w:tcW w:w="100" w:type="dxa"/>
            <w:vAlign w:val="bottom"/>
            <w:shd w:val="clear" w:color="auto" w:fill="CCEEFF"/>
          </w:tcPr>
          <w:p>
            <w:pPr>
              <w:spacing w:after="0"/>
              <w:rPr>
                <w:sz w:val="5"/>
                <w:szCs w:val="5"/>
                <w:color w:val="auto"/>
              </w:rPr>
            </w:pPr>
          </w:p>
        </w:tc>
        <w:tc>
          <w:tcPr>
            <w:tcW w:w="340" w:type="dxa"/>
            <w:vAlign w:val="bottom"/>
            <w:shd w:val="clear" w:color="auto" w:fill="CCEEFF"/>
          </w:tcPr>
          <w:p>
            <w:pPr>
              <w:spacing w:after="0"/>
              <w:rPr>
                <w:sz w:val="5"/>
                <w:szCs w:val="5"/>
                <w:color w:val="auto"/>
              </w:rPr>
            </w:pPr>
          </w:p>
        </w:tc>
        <w:tc>
          <w:tcPr>
            <w:tcW w:w="1040" w:type="dxa"/>
            <w:vAlign w:val="bottom"/>
            <w:vMerge w:val="continue"/>
            <w:shd w:val="clear" w:color="auto" w:fill="CCEEFF"/>
          </w:tcPr>
          <w:p>
            <w:pPr>
              <w:spacing w:after="0"/>
              <w:rPr>
                <w:sz w:val="5"/>
                <w:szCs w:val="5"/>
                <w:color w:val="auto"/>
              </w:rPr>
            </w:pPr>
          </w:p>
        </w:tc>
        <w:tc>
          <w:tcPr>
            <w:tcW w:w="0" w:type="dxa"/>
            <w:vAlign w:val="bottom"/>
          </w:tcPr>
          <w:p>
            <w:pPr>
              <w:spacing w:after="0"/>
              <w:rPr>
                <w:sz w:val="1"/>
                <w:szCs w:val="1"/>
                <w:color w:val="auto"/>
              </w:rPr>
            </w:pPr>
          </w:p>
        </w:tc>
      </w:tr>
      <w:tr>
        <w:trPr>
          <w:trHeight w:val="208"/>
        </w:trPr>
        <w:tc>
          <w:tcPr>
            <w:tcW w:w="7040" w:type="dxa"/>
            <w:vAlign w:val="bottom"/>
            <w:gridSpan w:val="2"/>
          </w:tcPr>
          <w:p>
            <w:pPr>
              <w:ind w:left="280"/>
              <w:spacing w:after="0"/>
              <w:rPr>
                <w:sz w:val="20"/>
                <w:szCs w:val="20"/>
                <w:color w:val="auto"/>
              </w:rPr>
            </w:pPr>
            <w:r>
              <w:rPr>
                <w:rFonts w:ascii="Arial" w:cs="Arial" w:eastAsia="Arial" w:hAnsi="Arial"/>
                <w:sz w:val="15"/>
                <w:szCs w:val="15"/>
                <w:color w:val="auto"/>
              </w:rPr>
              <w:t>Other, net</w:t>
            </w:r>
          </w:p>
        </w:tc>
        <w:tc>
          <w:tcPr>
            <w:tcW w:w="320" w:type="dxa"/>
            <w:vAlign w:val="bottom"/>
          </w:tcPr>
          <w:p>
            <w:pPr>
              <w:spacing w:after="0"/>
              <w:rPr>
                <w:sz w:val="18"/>
                <w:szCs w:val="18"/>
                <w:color w:val="auto"/>
              </w:rPr>
            </w:pPr>
          </w:p>
        </w:tc>
        <w:tc>
          <w:tcPr>
            <w:tcW w:w="1000" w:type="dxa"/>
            <w:vAlign w:val="bottom"/>
            <w:vMerge w:val="restart"/>
          </w:tcPr>
          <w:p>
            <w:pPr>
              <w:jc w:val="right"/>
              <w:spacing w:after="0"/>
              <w:rPr>
                <w:sz w:val="20"/>
                <w:szCs w:val="20"/>
                <w:color w:val="auto"/>
              </w:rPr>
            </w:pPr>
            <w:r>
              <w:rPr>
                <w:rFonts w:ascii="Arial" w:cs="Arial" w:eastAsia="Arial" w:hAnsi="Arial"/>
                <w:sz w:val="15"/>
                <w:szCs w:val="15"/>
                <w:color w:val="auto"/>
              </w:rPr>
              <w:t>(56)</w:t>
            </w:r>
          </w:p>
        </w:tc>
        <w:tc>
          <w:tcPr>
            <w:tcW w:w="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40" w:type="dxa"/>
            <w:vAlign w:val="bottom"/>
            <w:vMerge w:val="restart"/>
          </w:tcPr>
          <w:p>
            <w:pPr>
              <w:jc w:val="right"/>
              <w:spacing w:after="0"/>
              <w:rPr>
                <w:sz w:val="20"/>
                <w:szCs w:val="20"/>
                <w:color w:val="auto"/>
              </w:rPr>
            </w:pPr>
            <w:r>
              <w:rPr>
                <w:rFonts w:ascii="Arial" w:cs="Arial" w:eastAsia="Arial" w:hAnsi="Arial"/>
                <w:sz w:val="15"/>
                <w:szCs w:val="15"/>
                <w:color w:val="auto"/>
              </w:rPr>
              <w:t>(102)</w:t>
            </w: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040" w:type="dxa"/>
            <w:vAlign w:val="bottom"/>
            <w:vMerge w:val="restart"/>
          </w:tcPr>
          <w:p>
            <w:pPr>
              <w:jc w:val="right"/>
              <w:spacing w:after="0"/>
              <w:rPr>
                <w:sz w:val="20"/>
                <w:szCs w:val="20"/>
                <w:color w:val="auto"/>
              </w:rPr>
            </w:pPr>
            <w:r>
              <w:rPr>
                <w:rFonts w:ascii="Arial" w:cs="Arial" w:eastAsia="Arial" w:hAnsi="Arial"/>
                <w:sz w:val="15"/>
                <w:szCs w:val="15"/>
                <w:color w:val="auto"/>
              </w:rPr>
              <w:t>(146)</w:t>
            </w:r>
          </w:p>
        </w:tc>
        <w:tc>
          <w:tcPr>
            <w:tcW w:w="0" w:type="dxa"/>
            <w:vAlign w:val="bottom"/>
          </w:tcPr>
          <w:p>
            <w:pPr>
              <w:spacing w:after="0"/>
              <w:rPr>
                <w:sz w:val="1"/>
                <w:szCs w:val="1"/>
                <w:color w:val="auto"/>
              </w:rPr>
            </w:pPr>
          </w:p>
        </w:tc>
      </w:tr>
      <w:tr>
        <w:trPr>
          <w:trHeight w:val="58"/>
        </w:trPr>
        <w:tc>
          <w:tcPr>
            <w:tcW w:w="2120" w:type="dxa"/>
            <w:vAlign w:val="bottom"/>
          </w:tcPr>
          <w:p>
            <w:pPr>
              <w:spacing w:after="0"/>
              <w:rPr>
                <w:sz w:val="5"/>
                <w:szCs w:val="5"/>
                <w:color w:val="auto"/>
              </w:rPr>
            </w:pPr>
          </w:p>
        </w:tc>
        <w:tc>
          <w:tcPr>
            <w:tcW w:w="4920" w:type="dxa"/>
            <w:vAlign w:val="bottom"/>
          </w:tcPr>
          <w:p>
            <w:pPr>
              <w:spacing w:after="0"/>
              <w:rPr>
                <w:sz w:val="5"/>
                <w:szCs w:val="5"/>
                <w:color w:val="auto"/>
              </w:rPr>
            </w:pPr>
          </w:p>
        </w:tc>
        <w:tc>
          <w:tcPr>
            <w:tcW w:w="320" w:type="dxa"/>
            <w:vAlign w:val="bottom"/>
          </w:tcPr>
          <w:p>
            <w:pPr>
              <w:spacing w:after="0"/>
              <w:rPr>
                <w:sz w:val="5"/>
                <w:szCs w:val="5"/>
                <w:color w:val="auto"/>
              </w:rPr>
            </w:pPr>
          </w:p>
        </w:tc>
        <w:tc>
          <w:tcPr>
            <w:tcW w:w="1000" w:type="dxa"/>
            <w:vAlign w:val="bottom"/>
            <w:vMerge w:val="continue"/>
          </w:tcPr>
          <w:p>
            <w:pPr>
              <w:spacing w:after="0"/>
              <w:rPr>
                <w:sz w:val="5"/>
                <w:szCs w:val="5"/>
                <w:color w:val="auto"/>
              </w:rPr>
            </w:pPr>
          </w:p>
        </w:tc>
        <w:tc>
          <w:tcPr>
            <w:tcW w:w="40" w:type="dxa"/>
            <w:vAlign w:val="bottom"/>
          </w:tcPr>
          <w:p>
            <w:pPr>
              <w:spacing w:after="0"/>
              <w:rPr>
                <w:sz w:val="5"/>
                <w:szCs w:val="5"/>
                <w:color w:val="auto"/>
              </w:rPr>
            </w:pPr>
          </w:p>
        </w:tc>
        <w:tc>
          <w:tcPr>
            <w:tcW w:w="120" w:type="dxa"/>
            <w:vAlign w:val="bottom"/>
          </w:tcPr>
          <w:p>
            <w:pPr>
              <w:spacing w:after="0"/>
              <w:rPr>
                <w:sz w:val="5"/>
                <w:szCs w:val="5"/>
                <w:color w:val="auto"/>
              </w:rPr>
            </w:pPr>
          </w:p>
        </w:tc>
        <w:tc>
          <w:tcPr>
            <w:tcW w:w="320" w:type="dxa"/>
            <w:vAlign w:val="bottom"/>
          </w:tcPr>
          <w:p>
            <w:pPr>
              <w:spacing w:after="0"/>
              <w:rPr>
                <w:sz w:val="5"/>
                <w:szCs w:val="5"/>
                <w:color w:val="auto"/>
              </w:rPr>
            </w:pPr>
          </w:p>
        </w:tc>
        <w:tc>
          <w:tcPr>
            <w:tcW w:w="1040" w:type="dxa"/>
            <w:vAlign w:val="bottom"/>
            <w:vMerge w:val="continue"/>
          </w:tcPr>
          <w:p>
            <w:pPr>
              <w:spacing w:after="0"/>
              <w:rPr>
                <w:sz w:val="5"/>
                <w:szCs w:val="5"/>
                <w:color w:val="auto"/>
              </w:rPr>
            </w:pPr>
          </w:p>
        </w:tc>
        <w:tc>
          <w:tcPr>
            <w:tcW w:w="100" w:type="dxa"/>
            <w:vAlign w:val="bottom"/>
          </w:tcPr>
          <w:p>
            <w:pPr>
              <w:spacing w:after="0"/>
              <w:rPr>
                <w:sz w:val="5"/>
                <w:szCs w:val="5"/>
                <w:color w:val="auto"/>
              </w:rPr>
            </w:pPr>
          </w:p>
        </w:tc>
        <w:tc>
          <w:tcPr>
            <w:tcW w:w="340" w:type="dxa"/>
            <w:vAlign w:val="bottom"/>
          </w:tcPr>
          <w:p>
            <w:pPr>
              <w:spacing w:after="0"/>
              <w:rPr>
                <w:sz w:val="5"/>
                <w:szCs w:val="5"/>
                <w:color w:val="auto"/>
              </w:rPr>
            </w:pPr>
          </w:p>
        </w:tc>
        <w:tc>
          <w:tcPr>
            <w:tcW w:w="104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r>
        <w:trPr>
          <w:trHeight w:val="212"/>
        </w:trPr>
        <w:tc>
          <w:tcPr>
            <w:tcW w:w="7040" w:type="dxa"/>
            <w:vAlign w:val="bottom"/>
            <w:gridSpan w:val="2"/>
            <w:shd w:val="clear" w:color="auto" w:fill="CCEEFF"/>
          </w:tcPr>
          <w:p>
            <w:pPr>
              <w:ind w:left="280"/>
              <w:spacing w:after="0"/>
              <w:rPr>
                <w:sz w:val="20"/>
                <w:szCs w:val="20"/>
                <w:color w:val="auto"/>
              </w:rPr>
            </w:pPr>
            <w:r>
              <w:rPr>
                <w:rFonts w:ascii="Arial" w:cs="Arial" w:eastAsia="Arial" w:hAnsi="Arial"/>
                <w:sz w:val="15"/>
                <w:szCs w:val="15"/>
                <w:b w:val="1"/>
                <w:bCs w:val="1"/>
                <w:color w:val="auto"/>
              </w:rPr>
              <w:t>Changes in operating assets and liabilities:</w:t>
            </w:r>
          </w:p>
        </w:tc>
        <w:tc>
          <w:tcPr>
            <w:tcW w:w="32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62"/>
        </w:trPr>
        <w:tc>
          <w:tcPr>
            <w:tcW w:w="2120" w:type="dxa"/>
            <w:vAlign w:val="bottom"/>
            <w:shd w:val="clear" w:color="auto" w:fill="CCEEFF"/>
          </w:tcPr>
          <w:p>
            <w:pPr>
              <w:spacing w:after="0"/>
              <w:rPr>
                <w:sz w:val="5"/>
                <w:szCs w:val="5"/>
                <w:color w:val="auto"/>
              </w:rPr>
            </w:pPr>
          </w:p>
        </w:tc>
        <w:tc>
          <w:tcPr>
            <w:tcW w:w="4920" w:type="dxa"/>
            <w:vAlign w:val="bottom"/>
            <w:shd w:val="clear" w:color="auto" w:fill="CCEEFF"/>
          </w:tcPr>
          <w:p>
            <w:pPr>
              <w:spacing w:after="0"/>
              <w:rPr>
                <w:sz w:val="5"/>
                <w:szCs w:val="5"/>
                <w:color w:val="auto"/>
              </w:rPr>
            </w:pPr>
          </w:p>
        </w:tc>
        <w:tc>
          <w:tcPr>
            <w:tcW w:w="320" w:type="dxa"/>
            <w:vAlign w:val="bottom"/>
            <w:shd w:val="clear" w:color="auto" w:fill="CCEEFF"/>
          </w:tcPr>
          <w:p>
            <w:pPr>
              <w:spacing w:after="0"/>
              <w:rPr>
                <w:sz w:val="5"/>
                <w:szCs w:val="5"/>
                <w:color w:val="auto"/>
              </w:rPr>
            </w:pPr>
          </w:p>
        </w:tc>
        <w:tc>
          <w:tcPr>
            <w:tcW w:w="1000" w:type="dxa"/>
            <w:vAlign w:val="bottom"/>
            <w:shd w:val="clear" w:color="auto" w:fill="CCEEFF"/>
          </w:tcPr>
          <w:p>
            <w:pPr>
              <w:spacing w:after="0"/>
              <w:rPr>
                <w:sz w:val="5"/>
                <w:szCs w:val="5"/>
                <w:color w:val="auto"/>
              </w:rPr>
            </w:pPr>
          </w:p>
        </w:tc>
        <w:tc>
          <w:tcPr>
            <w:tcW w:w="40" w:type="dxa"/>
            <w:vAlign w:val="bottom"/>
            <w:shd w:val="clear" w:color="auto" w:fill="CCEEFF"/>
          </w:tcPr>
          <w:p>
            <w:pPr>
              <w:spacing w:after="0"/>
              <w:rPr>
                <w:sz w:val="5"/>
                <w:szCs w:val="5"/>
                <w:color w:val="auto"/>
              </w:rPr>
            </w:pPr>
          </w:p>
        </w:tc>
        <w:tc>
          <w:tcPr>
            <w:tcW w:w="120" w:type="dxa"/>
            <w:vAlign w:val="bottom"/>
            <w:shd w:val="clear" w:color="auto" w:fill="CCEEFF"/>
          </w:tcPr>
          <w:p>
            <w:pPr>
              <w:spacing w:after="0"/>
              <w:rPr>
                <w:sz w:val="5"/>
                <w:szCs w:val="5"/>
                <w:color w:val="auto"/>
              </w:rPr>
            </w:pPr>
          </w:p>
        </w:tc>
        <w:tc>
          <w:tcPr>
            <w:tcW w:w="320" w:type="dxa"/>
            <w:vAlign w:val="bottom"/>
            <w:shd w:val="clear" w:color="auto" w:fill="CCEEFF"/>
          </w:tcPr>
          <w:p>
            <w:pPr>
              <w:spacing w:after="0"/>
              <w:rPr>
                <w:sz w:val="5"/>
                <w:szCs w:val="5"/>
                <w:color w:val="auto"/>
              </w:rPr>
            </w:pPr>
          </w:p>
        </w:tc>
        <w:tc>
          <w:tcPr>
            <w:tcW w:w="1040" w:type="dxa"/>
            <w:vAlign w:val="bottom"/>
            <w:shd w:val="clear" w:color="auto" w:fill="CCEEFF"/>
          </w:tcPr>
          <w:p>
            <w:pPr>
              <w:spacing w:after="0"/>
              <w:rPr>
                <w:sz w:val="5"/>
                <w:szCs w:val="5"/>
                <w:color w:val="auto"/>
              </w:rPr>
            </w:pPr>
          </w:p>
        </w:tc>
        <w:tc>
          <w:tcPr>
            <w:tcW w:w="100" w:type="dxa"/>
            <w:vAlign w:val="bottom"/>
            <w:shd w:val="clear" w:color="auto" w:fill="CCEEFF"/>
          </w:tcPr>
          <w:p>
            <w:pPr>
              <w:spacing w:after="0"/>
              <w:rPr>
                <w:sz w:val="5"/>
                <w:szCs w:val="5"/>
                <w:color w:val="auto"/>
              </w:rPr>
            </w:pPr>
          </w:p>
        </w:tc>
        <w:tc>
          <w:tcPr>
            <w:tcW w:w="340" w:type="dxa"/>
            <w:vAlign w:val="bottom"/>
            <w:shd w:val="clear" w:color="auto" w:fill="CCEEFF"/>
          </w:tcPr>
          <w:p>
            <w:pPr>
              <w:spacing w:after="0"/>
              <w:rPr>
                <w:sz w:val="5"/>
                <w:szCs w:val="5"/>
                <w:color w:val="auto"/>
              </w:rPr>
            </w:pPr>
          </w:p>
        </w:tc>
        <w:tc>
          <w:tcPr>
            <w:tcW w:w="1040" w:type="dxa"/>
            <w:vAlign w:val="bottom"/>
            <w:shd w:val="clear" w:color="auto" w:fill="CCEEFF"/>
          </w:tcPr>
          <w:p>
            <w:pPr>
              <w:spacing w:after="0"/>
              <w:rPr>
                <w:sz w:val="5"/>
                <w:szCs w:val="5"/>
                <w:color w:val="auto"/>
              </w:rPr>
            </w:pPr>
          </w:p>
        </w:tc>
        <w:tc>
          <w:tcPr>
            <w:tcW w:w="0" w:type="dxa"/>
            <w:vAlign w:val="bottom"/>
          </w:tcPr>
          <w:p>
            <w:pPr>
              <w:spacing w:after="0"/>
              <w:rPr>
                <w:sz w:val="1"/>
                <w:szCs w:val="1"/>
                <w:color w:val="auto"/>
              </w:rPr>
            </w:pPr>
          </w:p>
        </w:tc>
      </w:tr>
      <w:tr>
        <w:trPr>
          <w:trHeight w:val="208"/>
        </w:trPr>
        <w:tc>
          <w:tcPr>
            <w:tcW w:w="7040" w:type="dxa"/>
            <w:vAlign w:val="bottom"/>
            <w:gridSpan w:val="2"/>
          </w:tcPr>
          <w:p>
            <w:pPr>
              <w:ind w:left="380"/>
              <w:spacing w:after="0"/>
              <w:rPr>
                <w:sz w:val="20"/>
                <w:szCs w:val="20"/>
                <w:color w:val="auto"/>
              </w:rPr>
            </w:pPr>
            <w:r>
              <w:rPr>
                <w:rFonts w:ascii="Arial" w:cs="Arial" w:eastAsia="Arial" w:hAnsi="Arial"/>
                <w:sz w:val="15"/>
                <w:szCs w:val="15"/>
                <w:color w:val="auto"/>
              </w:rPr>
              <w:t>Decrease (increase) in accounts receivable</w:t>
            </w:r>
          </w:p>
        </w:tc>
        <w:tc>
          <w:tcPr>
            <w:tcW w:w="320" w:type="dxa"/>
            <w:vAlign w:val="bottom"/>
          </w:tcPr>
          <w:p>
            <w:pPr>
              <w:spacing w:after="0"/>
              <w:rPr>
                <w:sz w:val="18"/>
                <w:szCs w:val="18"/>
                <w:color w:val="auto"/>
              </w:rPr>
            </w:pPr>
          </w:p>
        </w:tc>
        <w:tc>
          <w:tcPr>
            <w:tcW w:w="1000" w:type="dxa"/>
            <w:vAlign w:val="bottom"/>
            <w:vMerge w:val="restart"/>
          </w:tcPr>
          <w:p>
            <w:pPr>
              <w:jc w:val="right"/>
              <w:spacing w:after="0"/>
              <w:rPr>
                <w:sz w:val="20"/>
                <w:szCs w:val="20"/>
                <w:color w:val="auto"/>
              </w:rPr>
            </w:pPr>
            <w:r>
              <w:rPr>
                <w:rFonts w:ascii="Arial" w:cs="Arial" w:eastAsia="Arial" w:hAnsi="Arial"/>
                <w:sz w:val="15"/>
                <w:szCs w:val="15"/>
                <w:color w:val="auto"/>
              </w:rPr>
              <w:t>130</w:t>
            </w:r>
          </w:p>
        </w:tc>
        <w:tc>
          <w:tcPr>
            <w:tcW w:w="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40" w:type="dxa"/>
            <w:vAlign w:val="bottom"/>
            <w:vMerge w:val="restart"/>
          </w:tcPr>
          <w:p>
            <w:pPr>
              <w:jc w:val="right"/>
              <w:ind w:right="24"/>
              <w:spacing w:after="0"/>
              <w:rPr>
                <w:sz w:val="20"/>
                <w:szCs w:val="20"/>
                <w:color w:val="auto"/>
              </w:rPr>
            </w:pPr>
            <w:r>
              <w:rPr>
                <w:rFonts w:ascii="Arial" w:cs="Arial" w:eastAsia="Arial" w:hAnsi="Arial"/>
                <w:sz w:val="15"/>
                <w:szCs w:val="15"/>
                <w:color w:val="auto"/>
              </w:rPr>
              <w:t>232</w:t>
            </w: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040" w:type="dxa"/>
            <w:vAlign w:val="bottom"/>
            <w:vMerge w:val="restart"/>
          </w:tcPr>
          <w:p>
            <w:pPr>
              <w:jc w:val="right"/>
              <w:spacing w:after="0"/>
              <w:rPr>
                <w:sz w:val="20"/>
                <w:szCs w:val="20"/>
                <w:color w:val="auto"/>
              </w:rPr>
            </w:pPr>
            <w:r>
              <w:rPr>
                <w:rFonts w:ascii="Arial" w:cs="Arial" w:eastAsia="Arial" w:hAnsi="Arial"/>
                <w:sz w:val="15"/>
                <w:szCs w:val="15"/>
                <w:color w:val="auto"/>
              </w:rPr>
              <w:t>(189)</w:t>
            </w:r>
          </w:p>
        </w:tc>
        <w:tc>
          <w:tcPr>
            <w:tcW w:w="0" w:type="dxa"/>
            <w:vAlign w:val="bottom"/>
          </w:tcPr>
          <w:p>
            <w:pPr>
              <w:spacing w:after="0"/>
              <w:rPr>
                <w:sz w:val="1"/>
                <w:szCs w:val="1"/>
                <w:color w:val="auto"/>
              </w:rPr>
            </w:pPr>
          </w:p>
        </w:tc>
      </w:tr>
      <w:tr>
        <w:trPr>
          <w:trHeight w:val="58"/>
        </w:trPr>
        <w:tc>
          <w:tcPr>
            <w:tcW w:w="2120" w:type="dxa"/>
            <w:vAlign w:val="bottom"/>
          </w:tcPr>
          <w:p>
            <w:pPr>
              <w:spacing w:after="0"/>
              <w:rPr>
                <w:sz w:val="5"/>
                <w:szCs w:val="5"/>
                <w:color w:val="auto"/>
              </w:rPr>
            </w:pPr>
          </w:p>
        </w:tc>
        <w:tc>
          <w:tcPr>
            <w:tcW w:w="4920" w:type="dxa"/>
            <w:vAlign w:val="bottom"/>
          </w:tcPr>
          <w:p>
            <w:pPr>
              <w:spacing w:after="0"/>
              <w:rPr>
                <w:sz w:val="5"/>
                <w:szCs w:val="5"/>
                <w:color w:val="auto"/>
              </w:rPr>
            </w:pPr>
          </w:p>
        </w:tc>
        <w:tc>
          <w:tcPr>
            <w:tcW w:w="320" w:type="dxa"/>
            <w:vAlign w:val="bottom"/>
          </w:tcPr>
          <w:p>
            <w:pPr>
              <w:spacing w:after="0"/>
              <w:rPr>
                <w:sz w:val="5"/>
                <w:szCs w:val="5"/>
                <w:color w:val="auto"/>
              </w:rPr>
            </w:pPr>
          </w:p>
        </w:tc>
        <w:tc>
          <w:tcPr>
            <w:tcW w:w="1000" w:type="dxa"/>
            <w:vAlign w:val="bottom"/>
            <w:vMerge w:val="continue"/>
          </w:tcPr>
          <w:p>
            <w:pPr>
              <w:spacing w:after="0"/>
              <w:rPr>
                <w:sz w:val="5"/>
                <w:szCs w:val="5"/>
                <w:color w:val="auto"/>
              </w:rPr>
            </w:pPr>
          </w:p>
        </w:tc>
        <w:tc>
          <w:tcPr>
            <w:tcW w:w="40" w:type="dxa"/>
            <w:vAlign w:val="bottom"/>
          </w:tcPr>
          <w:p>
            <w:pPr>
              <w:spacing w:after="0"/>
              <w:rPr>
                <w:sz w:val="5"/>
                <w:szCs w:val="5"/>
                <w:color w:val="auto"/>
              </w:rPr>
            </w:pPr>
          </w:p>
        </w:tc>
        <w:tc>
          <w:tcPr>
            <w:tcW w:w="120" w:type="dxa"/>
            <w:vAlign w:val="bottom"/>
          </w:tcPr>
          <w:p>
            <w:pPr>
              <w:spacing w:after="0"/>
              <w:rPr>
                <w:sz w:val="5"/>
                <w:szCs w:val="5"/>
                <w:color w:val="auto"/>
              </w:rPr>
            </w:pPr>
          </w:p>
        </w:tc>
        <w:tc>
          <w:tcPr>
            <w:tcW w:w="320" w:type="dxa"/>
            <w:vAlign w:val="bottom"/>
          </w:tcPr>
          <w:p>
            <w:pPr>
              <w:spacing w:after="0"/>
              <w:rPr>
                <w:sz w:val="5"/>
                <w:szCs w:val="5"/>
                <w:color w:val="auto"/>
              </w:rPr>
            </w:pPr>
          </w:p>
        </w:tc>
        <w:tc>
          <w:tcPr>
            <w:tcW w:w="1040" w:type="dxa"/>
            <w:vAlign w:val="bottom"/>
            <w:vMerge w:val="continue"/>
          </w:tcPr>
          <w:p>
            <w:pPr>
              <w:spacing w:after="0"/>
              <w:rPr>
                <w:sz w:val="5"/>
                <w:szCs w:val="5"/>
                <w:color w:val="auto"/>
              </w:rPr>
            </w:pPr>
          </w:p>
        </w:tc>
        <w:tc>
          <w:tcPr>
            <w:tcW w:w="100" w:type="dxa"/>
            <w:vAlign w:val="bottom"/>
          </w:tcPr>
          <w:p>
            <w:pPr>
              <w:spacing w:after="0"/>
              <w:rPr>
                <w:sz w:val="5"/>
                <w:szCs w:val="5"/>
                <w:color w:val="auto"/>
              </w:rPr>
            </w:pPr>
          </w:p>
        </w:tc>
        <w:tc>
          <w:tcPr>
            <w:tcW w:w="340" w:type="dxa"/>
            <w:vAlign w:val="bottom"/>
          </w:tcPr>
          <w:p>
            <w:pPr>
              <w:spacing w:after="0"/>
              <w:rPr>
                <w:sz w:val="5"/>
                <w:szCs w:val="5"/>
                <w:color w:val="auto"/>
              </w:rPr>
            </w:pPr>
          </w:p>
        </w:tc>
        <w:tc>
          <w:tcPr>
            <w:tcW w:w="104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r>
        <w:trPr>
          <w:trHeight w:val="212"/>
        </w:trPr>
        <w:tc>
          <w:tcPr>
            <w:tcW w:w="7040" w:type="dxa"/>
            <w:vAlign w:val="bottom"/>
            <w:gridSpan w:val="2"/>
            <w:shd w:val="clear" w:color="auto" w:fill="CCEEFF"/>
          </w:tcPr>
          <w:p>
            <w:pPr>
              <w:ind w:left="380"/>
              <w:spacing w:after="0"/>
              <w:rPr>
                <w:sz w:val="20"/>
                <w:szCs w:val="20"/>
                <w:color w:val="auto"/>
              </w:rPr>
            </w:pPr>
            <w:r>
              <w:rPr>
                <w:rFonts w:ascii="Arial" w:cs="Arial" w:eastAsia="Arial" w:hAnsi="Arial"/>
                <w:sz w:val="15"/>
                <w:szCs w:val="15"/>
                <w:color w:val="auto"/>
              </w:rPr>
              <w:t>Increase in other assets</w:t>
            </w:r>
          </w:p>
        </w:tc>
        <w:tc>
          <w:tcPr>
            <w:tcW w:w="320" w:type="dxa"/>
            <w:vAlign w:val="bottom"/>
            <w:shd w:val="clear" w:color="auto" w:fill="CCEEFF"/>
          </w:tcPr>
          <w:p>
            <w:pPr>
              <w:spacing w:after="0"/>
              <w:rPr>
                <w:sz w:val="18"/>
                <w:szCs w:val="18"/>
                <w:color w:val="auto"/>
              </w:rPr>
            </w:pPr>
          </w:p>
        </w:tc>
        <w:tc>
          <w:tcPr>
            <w:tcW w:w="1000" w:type="dxa"/>
            <w:vAlign w:val="bottom"/>
            <w:vMerge w:val="restart"/>
            <w:shd w:val="clear" w:color="auto" w:fill="CCEEFF"/>
          </w:tcPr>
          <w:p>
            <w:pPr>
              <w:jc w:val="right"/>
              <w:spacing w:after="0"/>
              <w:rPr>
                <w:sz w:val="20"/>
                <w:szCs w:val="20"/>
                <w:color w:val="auto"/>
              </w:rPr>
            </w:pPr>
            <w:r>
              <w:rPr>
                <w:rFonts w:ascii="Arial" w:cs="Arial" w:eastAsia="Arial" w:hAnsi="Arial"/>
                <w:sz w:val="15"/>
                <w:szCs w:val="15"/>
                <w:color w:val="auto"/>
              </w:rPr>
              <w:t>(321)</w:t>
            </w:r>
          </w:p>
        </w:tc>
        <w:tc>
          <w:tcPr>
            <w:tcW w:w="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40" w:type="dxa"/>
            <w:vAlign w:val="bottom"/>
            <w:vMerge w:val="restart"/>
            <w:shd w:val="clear" w:color="auto" w:fill="CCEEFF"/>
          </w:tcPr>
          <w:p>
            <w:pPr>
              <w:jc w:val="right"/>
              <w:spacing w:after="0"/>
              <w:rPr>
                <w:sz w:val="20"/>
                <w:szCs w:val="20"/>
                <w:color w:val="auto"/>
              </w:rPr>
            </w:pPr>
            <w:r>
              <w:rPr>
                <w:rFonts w:ascii="Arial" w:cs="Arial" w:eastAsia="Arial" w:hAnsi="Arial"/>
                <w:sz w:val="15"/>
                <w:szCs w:val="15"/>
                <w:color w:val="auto"/>
              </w:rPr>
              <w:t>(354)</w:t>
            </w:r>
          </w:p>
        </w:tc>
        <w:tc>
          <w:tcPr>
            <w:tcW w:w="1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040" w:type="dxa"/>
            <w:vAlign w:val="bottom"/>
            <w:vMerge w:val="restart"/>
            <w:shd w:val="clear" w:color="auto" w:fill="CCEEFF"/>
          </w:tcPr>
          <w:p>
            <w:pPr>
              <w:jc w:val="right"/>
              <w:spacing w:after="0"/>
              <w:rPr>
                <w:sz w:val="20"/>
                <w:szCs w:val="20"/>
                <w:color w:val="auto"/>
              </w:rPr>
            </w:pPr>
            <w:r>
              <w:rPr>
                <w:rFonts w:ascii="Arial" w:cs="Arial" w:eastAsia="Arial" w:hAnsi="Arial"/>
                <w:sz w:val="15"/>
                <w:szCs w:val="15"/>
                <w:color w:val="auto"/>
              </w:rPr>
              <w:t>(405)</w:t>
            </w:r>
          </w:p>
        </w:tc>
        <w:tc>
          <w:tcPr>
            <w:tcW w:w="0" w:type="dxa"/>
            <w:vAlign w:val="bottom"/>
          </w:tcPr>
          <w:p>
            <w:pPr>
              <w:spacing w:after="0"/>
              <w:rPr>
                <w:sz w:val="1"/>
                <w:szCs w:val="1"/>
                <w:color w:val="auto"/>
              </w:rPr>
            </w:pPr>
          </w:p>
        </w:tc>
      </w:tr>
      <w:tr>
        <w:trPr>
          <w:trHeight w:val="62"/>
        </w:trPr>
        <w:tc>
          <w:tcPr>
            <w:tcW w:w="2120" w:type="dxa"/>
            <w:vAlign w:val="bottom"/>
            <w:shd w:val="clear" w:color="auto" w:fill="CCEEFF"/>
          </w:tcPr>
          <w:p>
            <w:pPr>
              <w:spacing w:after="0"/>
              <w:rPr>
                <w:sz w:val="5"/>
                <w:szCs w:val="5"/>
                <w:color w:val="auto"/>
              </w:rPr>
            </w:pPr>
          </w:p>
        </w:tc>
        <w:tc>
          <w:tcPr>
            <w:tcW w:w="4920" w:type="dxa"/>
            <w:vAlign w:val="bottom"/>
            <w:shd w:val="clear" w:color="auto" w:fill="CCEEFF"/>
          </w:tcPr>
          <w:p>
            <w:pPr>
              <w:spacing w:after="0"/>
              <w:rPr>
                <w:sz w:val="5"/>
                <w:szCs w:val="5"/>
                <w:color w:val="auto"/>
              </w:rPr>
            </w:pPr>
          </w:p>
        </w:tc>
        <w:tc>
          <w:tcPr>
            <w:tcW w:w="320" w:type="dxa"/>
            <w:vAlign w:val="bottom"/>
            <w:shd w:val="clear" w:color="auto" w:fill="CCEEFF"/>
          </w:tcPr>
          <w:p>
            <w:pPr>
              <w:spacing w:after="0"/>
              <w:rPr>
                <w:sz w:val="5"/>
                <w:szCs w:val="5"/>
                <w:color w:val="auto"/>
              </w:rPr>
            </w:pPr>
          </w:p>
        </w:tc>
        <w:tc>
          <w:tcPr>
            <w:tcW w:w="1000" w:type="dxa"/>
            <w:vAlign w:val="bottom"/>
            <w:vMerge w:val="continue"/>
            <w:shd w:val="clear" w:color="auto" w:fill="CCEEFF"/>
          </w:tcPr>
          <w:p>
            <w:pPr>
              <w:spacing w:after="0"/>
              <w:rPr>
                <w:sz w:val="5"/>
                <w:szCs w:val="5"/>
                <w:color w:val="auto"/>
              </w:rPr>
            </w:pPr>
          </w:p>
        </w:tc>
        <w:tc>
          <w:tcPr>
            <w:tcW w:w="40" w:type="dxa"/>
            <w:vAlign w:val="bottom"/>
            <w:shd w:val="clear" w:color="auto" w:fill="CCEEFF"/>
          </w:tcPr>
          <w:p>
            <w:pPr>
              <w:spacing w:after="0"/>
              <w:rPr>
                <w:sz w:val="5"/>
                <w:szCs w:val="5"/>
                <w:color w:val="auto"/>
              </w:rPr>
            </w:pPr>
          </w:p>
        </w:tc>
        <w:tc>
          <w:tcPr>
            <w:tcW w:w="120" w:type="dxa"/>
            <w:vAlign w:val="bottom"/>
            <w:shd w:val="clear" w:color="auto" w:fill="CCEEFF"/>
          </w:tcPr>
          <w:p>
            <w:pPr>
              <w:spacing w:after="0"/>
              <w:rPr>
                <w:sz w:val="5"/>
                <w:szCs w:val="5"/>
                <w:color w:val="auto"/>
              </w:rPr>
            </w:pPr>
          </w:p>
        </w:tc>
        <w:tc>
          <w:tcPr>
            <w:tcW w:w="320" w:type="dxa"/>
            <w:vAlign w:val="bottom"/>
            <w:shd w:val="clear" w:color="auto" w:fill="CCEEFF"/>
          </w:tcPr>
          <w:p>
            <w:pPr>
              <w:spacing w:after="0"/>
              <w:rPr>
                <w:sz w:val="5"/>
                <w:szCs w:val="5"/>
                <w:color w:val="auto"/>
              </w:rPr>
            </w:pPr>
          </w:p>
        </w:tc>
        <w:tc>
          <w:tcPr>
            <w:tcW w:w="1040" w:type="dxa"/>
            <w:vAlign w:val="bottom"/>
            <w:vMerge w:val="continue"/>
            <w:shd w:val="clear" w:color="auto" w:fill="CCEEFF"/>
          </w:tcPr>
          <w:p>
            <w:pPr>
              <w:spacing w:after="0"/>
              <w:rPr>
                <w:sz w:val="5"/>
                <w:szCs w:val="5"/>
                <w:color w:val="auto"/>
              </w:rPr>
            </w:pPr>
          </w:p>
        </w:tc>
        <w:tc>
          <w:tcPr>
            <w:tcW w:w="100" w:type="dxa"/>
            <w:vAlign w:val="bottom"/>
            <w:shd w:val="clear" w:color="auto" w:fill="CCEEFF"/>
          </w:tcPr>
          <w:p>
            <w:pPr>
              <w:spacing w:after="0"/>
              <w:rPr>
                <w:sz w:val="5"/>
                <w:szCs w:val="5"/>
                <w:color w:val="auto"/>
              </w:rPr>
            </w:pPr>
          </w:p>
        </w:tc>
        <w:tc>
          <w:tcPr>
            <w:tcW w:w="340" w:type="dxa"/>
            <w:vAlign w:val="bottom"/>
            <w:shd w:val="clear" w:color="auto" w:fill="CCEEFF"/>
          </w:tcPr>
          <w:p>
            <w:pPr>
              <w:spacing w:after="0"/>
              <w:rPr>
                <w:sz w:val="5"/>
                <w:szCs w:val="5"/>
                <w:color w:val="auto"/>
              </w:rPr>
            </w:pPr>
          </w:p>
        </w:tc>
        <w:tc>
          <w:tcPr>
            <w:tcW w:w="1040" w:type="dxa"/>
            <w:vAlign w:val="bottom"/>
            <w:vMerge w:val="continue"/>
            <w:shd w:val="clear" w:color="auto" w:fill="CCEEFF"/>
          </w:tcPr>
          <w:p>
            <w:pPr>
              <w:spacing w:after="0"/>
              <w:rPr>
                <w:sz w:val="5"/>
                <w:szCs w:val="5"/>
                <w:color w:val="auto"/>
              </w:rPr>
            </w:pPr>
          </w:p>
        </w:tc>
        <w:tc>
          <w:tcPr>
            <w:tcW w:w="0" w:type="dxa"/>
            <w:vAlign w:val="bottom"/>
          </w:tcPr>
          <w:p>
            <w:pPr>
              <w:spacing w:after="0"/>
              <w:rPr>
                <w:sz w:val="1"/>
                <w:szCs w:val="1"/>
                <w:color w:val="auto"/>
              </w:rPr>
            </w:pPr>
          </w:p>
        </w:tc>
      </w:tr>
      <w:tr>
        <w:trPr>
          <w:trHeight w:val="208"/>
        </w:trPr>
        <w:tc>
          <w:tcPr>
            <w:tcW w:w="7040" w:type="dxa"/>
            <w:vAlign w:val="bottom"/>
            <w:gridSpan w:val="2"/>
          </w:tcPr>
          <w:p>
            <w:pPr>
              <w:ind w:left="380"/>
              <w:spacing w:after="0"/>
              <w:rPr>
                <w:sz w:val="20"/>
                <w:szCs w:val="20"/>
                <w:color w:val="auto"/>
              </w:rPr>
            </w:pPr>
            <w:r>
              <w:rPr>
                <w:rFonts w:ascii="Arial" w:cs="Arial" w:eastAsia="Arial" w:hAnsi="Arial"/>
                <w:sz w:val="15"/>
                <w:szCs w:val="15"/>
                <w:color w:val="auto"/>
              </w:rPr>
              <w:t>Increase (decrease) in accounts payable and accrued liabilities</w:t>
            </w:r>
          </w:p>
        </w:tc>
        <w:tc>
          <w:tcPr>
            <w:tcW w:w="320" w:type="dxa"/>
            <w:vAlign w:val="bottom"/>
          </w:tcPr>
          <w:p>
            <w:pPr>
              <w:spacing w:after="0"/>
              <w:rPr>
                <w:sz w:val="18"/>
                <w:szCs w:val="18"/>
                <w:color w:val="auto"/>
              </w:rPr>
            </w:pPr>
          </w:p>
        </w:tc>
        <w:tc>
          <w:tcPr>
            <w:tcW w:w="1000" w:type="dxa"/>
            <w:vAlign w:val="bottom"/>
            <w:vMerge w:val="restart"/>
          </w:tcPr>
          <w:p>
            <w:pPr>
              <w:jc w:val="right"/>
              <w:spacing w:after="0"/>
              <w:rPr>
                <w:sz w:val="20"/>
                <w:szCs w:val="20"/>
                <w:color w:val="auto"/>
              </w:rPr>
            </w:pPr>
            <w:r>
              <w:rPr>
                <w:rFonts w:ascii="Arial" w:cs="Arial" w:eastAsia="Arial" w:hAnsi="Arial"/>
                <w:sz w:val="15"/>
                <w:szCs w:val="15"/>
                <w:color w:val="auto"/>
              </w:rPr>
              <w:t>273</w:t>
            </w:r>
          </w:p>
        </w:tc>
        <w:tc>
          <w:tcPr>
            <w:tcW w:w="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40" w:type="dxa"/>
            <w:vAlign w:val="bottom"/>
            <w:vMerge w:val="restart"/>
          </w:tcPr>
          <w:p>
            <w:pPr>
              <w:jc w:val="right"/>
              <w:spacing w:after="0"/>
              <w:rPr>
                <w:sz w:val="20"/>
                <w:szCs w:val="20"/>
                <w:color w:val="auto"/>
              </w:rPr>
            </w:pPr>
            <w:r>
              <w:rPr>
                <w:rFonts w:ascii="Arial" w:cs="Arial" w:eastAsia="Arial" w:hAnsi="Arial"/>
                <w:sz w:val="15"/>
                <w:szCs w:val="15"/>
                <w:color w:val="auto"/>
              </w:rPr>
              <w:t>(171)</w:t>
            </w: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040" w:type="dxa"/>
            <w:vAlign w:val="bottom"/>
            <w:vMerge w:val="restart"/>
          </w:tcPr>
          <w:p>
            <w:pPr>
              <w:jc w:val="right"/>
              <w:ind w:right="44"/>
              <w:spacing w:after="0"/>
              <w:rPr>
                <w:sz w:val="20"/>
                <w:szCs w:val="20"/>
                <w:color w:val="auto"/>
              </w:rPr>
            </w:pPr>
            <w:r>
              <w:rPr>
                <w:rFonts w:ascii="Arial" w:cs="Arial" w:eastAsia="Arial" w:hAnsi="Arial"/>
                <w:sz w:val="15"/>
                <w:szCs w:val="15"/>
                <w:color w:val="auto"/>
              </w:rPr>
              <w:t>266</w:t>
            </w:r>
          </w:p>
        </w:tc>
        <w:tc>
          <w:tcPr>
            <w:tcW w:w="0" w:type="dxa"/>
            <w:vAlign w:val="bottom"/>
          </w:tcPr>
          <w:p>
            <w:pPr>
              <w:spacing w:after="0"/>
              <w:rPr>
                <w:sz w:val="1"/>
                <w:szCs w:val="1"/>
                <w:color w:val="auto"/>
              </w:rPr>
            </w:pPr>
          </w:p>
        </w:tc>
      </w:tr>
      <w:tr>
        <w:trPr>
          <w:trHeight w:val="58"/>
        </w:trPr>
        <w:tc>
          <w:tcPr>
            <w:tcW w:w="2120" w:type="dxa"/>
            <w:vAlign w:val="bottom"/>
          </w:tcPr>
          <w:p>
            <w:pPr>
              <w:spacing w:after="0"/>
              <w:rPr>
                <w:sz w:val="5"/>
                <w:szCs w:val="5"/>
                <w:color w:val="auto"/>
              </w:rPr>
            </w:pPr>
          </w:p>
        </w:tc>
        <w:tc>
          <w:tcPr>
            <w:tcW w:w="4920" w:type="dxa"/>
            <w:vAlign w:val="bottom"/>
          </w:tcPr>
          <w:p>
            <w:pPr>
              <w:spacing w:after="0"/>
              <w:rPr>
                <w:sz w:val="5"/>
                <w:szCs w:val="5"/>
                <w:color w:val="auto"/>
              </w:rPr>
            </w:pPr>
          </w:p>
        </w:tc>
        <w:tc>
          <w:tcPr>
            <w:tcW w:w="320" w:type="dxa"/>
            <w:vAlign w:val="bottom"/>
          </w:tcPr>
          <w:p>
            <w:pPr>
              <w:spacing w:after="0"/>
              <w:rPr>
                <w:sz w:val="5"/>
                <w:szCs w:val="5"/>
                <w:color w:val="auto"/>
              </w:rPr>
            </w:pPr>
          </w:p>
        </w:tc>
        <w:tc>
          <w:tcPr>
            <w:tcW w:w="1000" w:type="dxa"/>
            <w:vAlign w:val="bottom"/>
            <w:vMerge w:val="continue"/>
          </w:tcPr>
          <w:p>
            <w:pPr>
              <w:spacing w:after="0"/>
              <w:rPr>
                <w:sz w:val="5"/>
                <w:szCs w:val="5"/>
                <w:color w:val="auto"/>
              </w:rPr>
            </w:pPr>
          </w:p>
        </w:tc>
        <w:tc>
          <w:tcPr>
            <w:tcW w:w="40" w:type="dxa"/>
            <w:vAlign w:val="bottom"/>
          </w:tcPr>
          <w:p>
            <w:pPr>
              <w:spacing w:after="0"/>
              <w:rPr>
                <w:sz w:val="5"/>
                <w:szCs w:val="5"/>
                <w:color w:val="auto"/>
              </w:rPr>
            </w:pPr>
          </w:p>
        </w:tc>
        <w:tc>
          <w:tcPr>
            <w:tcW w:w="120" w:type="dxa"/>
            <w:vAlign w:val="bottom"/>
          </w:tcPr>
          <w:p>
            <w:pPr>
              <w:spacing w:after="0"/>
              <w:rPr>
                <w:sz w:val="5"/>
                <w:szCs w:val="5"/>
                <w:color w:val="auto"/>
              </w:rPr>
            </w:pPr>
          </w:p>
        </w:tc>
        <w:tc>
          <w:tcPr>
            <w:tcW w:w="320" w:type="dxa"/>
            <w:vAlign w:val="bottom"/>
          </w:tcPr>
          <w:p>
            <w:pPr>
              <w:spacing w:after="0"/>
              <w:rPr>
                <w:sz w:val="5"/>
                <w:szCs w:val="5"/>
                <w:color w:val="auto"/>
              </w:rPr>
            </w:pPr>
          </w:p>
        </w:tc>
        <w:tc>
          <w:tcPr>
            <w:tcW w:w="1040" w:type="dxa"/>
            <w:vAlign w:val="bottom"/>
            <w:vMerge w:val="continue"/>
          </w:tcPr>
          <w:p>
            <w:pPr>
              <w:spacing w:after="0"/>
              <w:rPr>
                <w:sz w:val="5"/>
                <w:szCs w:val="5"/>
                <w:color w:val="auto"/>
              </w:rPr>
            </w:pPr>
          </w:p>
        </w:tc>
        <w:tc>
          <w:tcPr>
            <w:tcW w:w="100" w:type="dxa"/>
            <w:vAlign w:val="bottom"/>
          </w:tcPr>
          <w:p>
            <w:pPr>
              <w:spacing w:after="0"/>
              <w:rPr>
                <w:sz w:val="5"/>
                <w:szCs w:val="5"/>
                <w:color w:val="auto"/>
              </w:rPr>
            </w:pPr>
          </w:p>
        </w:tc>
        <w:tc>
          <w:tcPr>
            <w:tcW w:w="340" w:type="dxa"/>
            <w:vAlign w:val="bottom"/>
          </w:tcPr>
          <w:p>
            <w:pPr>
              <w:spacing w:after="0"/>
              <w:rPr>
                <w:sz w:val="5"/>
                <w:szCs w:val="5"/>
                <w:color w:val="auto"/>
              </w:rPr>
            </w:pPr>
          </w:p>
        </w:tc>
        <w:tc>
          <w:tcPr>
            <w:tcW w:w="104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r>
        <w:trPr>
          <w:trHeight w:val="212"/>
        </w:trPr>
        <w:tc>
          <w:tcPr>
            <w:tcW w:w="7040" w:type="dxa"/>
            <w:vAlign w:val="bottom"/>
            <w:gridSpan w:val="2"/>
            <w:shd w:val="clear" w:color="auto" w:fill="CCEEFF"/>
          </w:tcPr>
          <w:p>
            <w:pPr>
              <w:ind w:left="380"/>
              <w:spacing w:after="0"/>
              <w:rPr>
                <w:sz w:val="20"/>
                <w:szCs w:val="20"/>
                <w:color w:val="auto"/>
              </w:rPr>
            </w:pPr>
            <w:r>
              <w:rPr>
                <w:rFonts w:ascii="Arial" w:cs="Arial" w:eastAsia="Arial" w:hAnsi="Arial"/>
                <w:sz w:val="15"/>
                <w:szCs w:val="15"/>
                <w:color w:val="auto"/>
              </w:rPr>
              <w:t>Increase in air traffic liability</w:t>
            </w:r>
          </w:p>
        </w:tc>
        <w:tc>
          <w:tcPr>
            <w:tcW w:w="320" w:type="dxa"/>
            <w:vAlign w:val="bottom"/>
            <w:shd w:val="clear" w:color="auto" w:fill="CCEEFF"/>
          </w:tcPr>
          <w:p>
            <w:pPr>
              <w:spacing w:after="0"/>
              <w:rPr>
                <w:sz w:val="18"/>
                <w:szCs w:val="18"/>
                <w:color w:val="auto"/>
              </w:rPr>
            </w:pPr>
          </w:p>
        </w:tc>
        <w:tc>
          <w:tcPr>
            <w:tcW w:w="1000" w:type="dxa"/>
            <w:vAlign w:val="bottom"/>
            <w:vMerge w:val="restart"/>
            <w:shd w:val="clear" w:color="auto" w:fill="CCEEFF"/>
          </w:tcPr>
          <w:p>
            <w:pPr>
              <w:jc w:val="right"/>
              <w:spacing w:after="0"/>
              <w:rPr>
                <w:sz w:val="20"/>
                <w:szCs w:val="20"/>
                <w:color w:val="auto"/>
              </w:rPr>
            </w:pPr>
            <w:r>
              <w:rPr>
                <w:rFonts w:ascii="Arial" w:cs="Arial" w:eastAsia="Arial" w:hAnsi="Arial"/>
                <w:sz w:val="15"/>
                <w:szCs w:val="15"/>
                <w:color w:val="auto"/>
              </w:rPr>
              <w:t>469</w:t>
            </w:r>
          </w:p>
        </w:tc>
        <w:tc>
          <w:tcPr>
            <w:tcW w:w="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40" w:type="dxa"/>
            <w:vAlign w:val="bottom"/>
            <w:vMerge w:val="restart"/>
            <w:shd w:val="clear" w:color="auto" w:fill="CCEEFF"/>
          </w:tcPr>
          <w:p>
            <w:pPr>
              <w:jc w:val="right"/>
              <w:ind w:right="24"/>
              <w:spacing w:after="0"/>
              <w:rPr>
                <w:sz w:val="20"/>
                <w:szCs w:val="20"/>
                <w:color w:val="auto"/>
              </w:rPr>
            </w:pPr>
            <w:r>
              <w:rPr>
                <w:rFonts w:ascii="Arial" w:cs="Arial" w:eastAsia="Arial" w:hAnsi="Arial"/>
                <w:sz w:val="15"/>
                <w:szCs w:val="15"/>
                <w:color w:val="auto"/>
              </w:rPr>
              <w:t>297</w:t>
            </w:r>
          </w:p>
        </w:tc>
        <w:tc>
          <w:tcPr>
            <w:tcW w:w="1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040" w:type="dxa"/>
            <w:vAlign w:val="bottom"/>
            <w:vMerge w:val="restart"/>
            <w:shd w:val="clear" w:color="auto" w:fill="CCEEFF"/>
          </w:tcPr>
          <w:p>
            <w:pPr>
              <w:jc w:val="right"/>
              <w:ind w:right="44"/>
              <w:spacing w:after="0"/>
              <w:rPr>
                <w:sz w:val="20"/>
                <w:szCs w:val="20"/>
                <w:color w:val="auto"/>
              </w:rPr>
            </w:pPr>
            <w:r>
              <w:rPr>
                <w:rFonts w:ascii="Arial" w:cs="Arial" w:eastAsia="Arial" w:hAnsi="Arial"/>
                <w:sz w:val="15"/>
                <w:szCs w:val="15"/>
                <w:color w:val="auto"/>
              </w:rPr>
              <w:t>65</w:t>
            </w:r>
          </w:p>
        </w:tc>
        <w:tc>
          <w:tcPr>
            <w:tcW w:w="0" w:type="dxa"/>
            <w:vAlign w:val="bottom"/>
          </w:tcPr>
          <w:p>
            <w:pPr>
              <w:spacing w:after="0"/>
              <w:rPr>
                <w:sz w:val="1"/>
                <w:szCs w:val="1"/>
                <w:color w:val="auto"/>
              </w:rPr>
            </w:pPr>
          </w:p>
        </w:tc>
      </w:tr>
      <w:tr>
        <w:trPr>
          <w:trHeight w:val="62"/>
        </w:trPr>
        <w:tc>
          <w:tcPr>
            <w:tcW w:w="2120" w:type="dxa"/>
            <w:vAlign w:val="bottom"/>
            <w:shd w:val="clear" w:color="auto" w:fill="CCEEFF"/>
          </w:tcPr>
          <w:p>
            <w:pPr>
              <w:spacing w:after="0"/>
              <w:rPr>
                <w:sz w:val="5"/>
                <w:szCs w:val="5"/>
                <w:color w:val="auto"/>
              </w:rPr>
            </w:pPr>
          </w:p>
        </w:tc>
        <w:tc>
          <w:tcPr>
            <w:tcW w:w="4920" w:type="dxa"/>
            <w:vAlign w:val="bottom"/>
            <w:shd w:val="clear" w:color="auto" w:fill="CCEEFF"/>
          </w:tcPr>
          <w:p>
            <w:pPr>
              <w:spacing w:after="0"/>
              <w:rPr>
                <w:sz w:val="5"/>
                <w:szCs w:val="5"/>
                <w:color w:val="auto"/>
              </w:rPr>
            </w:pPr>
          </w:p>
        </w:tc>
        <w:tc>
          <w:tcPr>
            <w:tcW w:w="320" w:type="dxa"/>
            <w:vAlign w:val="bottom"/>
            <w:shd w:val="clear" w:color="auto" w:fill="CCEEFF"/>
          </w:tcPr>
          <w:p>
            <w:pPr>
              <w:spacing w:after="0"/>
              <w:rPr>
                <w:sz w:val="5"/>
                <w:szCs w:val="5"/>
                <w:color w:val="auto"/>
              </w:rPr>
            </w:pPr>
          </w:p>
        </w:tc>
        <w:tc>
          <w:tcPr>
            <w:tcW w:w="1000" w:type="dxa"/>
            <w:vAlign w:val="bottom"/>
            <w:vMerge w:val="continue"/>
            <w:shd w:val="clear" w:color="auto" w:fill="CCEEFF"/>
          </w:tcPr>
          <w:p>
            <w:pPr>
              <w:spacing w:after="0"/>
              <w:rPr>
                <w:sz w:val="5"/>
                <w:szCs w:val="5"/>
                <w:color w:val="auto"/>
              </w:rPr>
            </w:pPr>
          </w:p>
        </w:tc>
        <w:tc>
          <w:tcPr>
            <w:tcW w:w="40" w:type="dxa"/>
            <w:vAlign w:val="bottom"/>
            <w:shd w:val="clear" w:color="auto" w:fill="CCEEFF"/>
          </w:tcPr>
          <w:p>
            <w:pPr>
              <w:spacing w:after="0"/>
              <w:rPr>
                <w:sz w:val="5"/>
                <w:szCs w:val="5"/>
                <w:color w:val="auto"/>
              </w:rPr>
            </w:pPr>
          </w:p>
        </w:tc>
        <w:tc>
          <w:tcPr>
            <w:tcW w:w="120" w:type="dxa"/>
            <w:vAlign w:val="bottom"/>
            <w:shd w:val="clear" w:color="auto" w:fill="CCEEFF"/>
          </w:tcPr>
          <w:p>
            <w:pPr>
              <w:spacing w:after="0"/>
              <w:rPr>
                <w:sz w:val="5"/>
                <w:szCs w:val="5"/>
                <w:color w:val="auto"/>
              </w:rPr>
            </w:pPr>
          </w:p>
        </w:tc>
        <w:tc>
          <w:tcPr>
            <w:tcW w:w="320" w:type="dxa"/>
            <w:vAlign w:val="bottom"/>
            <w:shd w:val="clear" w:color="auto" w:fill="CCEEFF"/>
          </w:tcPr>
          <w:p>
            <w:pPr>
              <w:spacing w:after="0"/>
              <w:rPr>
                <w:sz w:val="5"/>
                <w:szCs w:val="5"/>
                <w:color w:val="auto"/>
              </w:rPr>
            </w:pPr>
          </w:p>
        </w:tc>
        <w:tc>
          <w:tcPr>
            <w:tcW w:w="1040" w:type="dxa"/>
            <w:vAlign w:val="bottom"/>
            <w:vMerge w:val="continue"/>
            <w:shd w:val="clear" w:color="auto" w:fill="CCEEFF"/>
          </w:tcPr>
          <w:p>
            <w:pPr>
              <w:spacing w:after="0"/>
              <w:rPr>
                <w:sz w:val="5"/>
                <w:szCs w:val="5"/>
                <w:color w:val="auto"/>
              </w:rPr>
            </w:pPr>
          </w:p>
        </w:tc>
        <w:tc>
          <w:tcPr>
            <w:tcW w:w="100" w:type="dxa"/>
            <w:vAlign w:val="bottom"/>
            <w:shd w:val="clear" w:color="auto" w:fill="CCEEFF"/>
          </w:tcPr>
          <w:p>
            <w:pPr>
              <w:spacing w:after="0"/>
              <w:rPr>
                <w:sz w:val="5"/>
                <w:szCs w:val="5"/>
                <w:color w:val="auto"/>
              </w:rPr>
            </w:pPr>
          </w:p>
        </w:tc>
        <w:tc>
          <w:tcPr>
            <w:tcW w:w="340" w:type="dxa"/>
            <w:vAlign w:val="bottom"/>
            <w:shd w:val="clear" w:color="auto" w:fill="CCEEFF"/>
          </w:tcPr>
          <w:p>
            <w:pPr>
              <w:spacing w:after="0"/>
              <w:rPr>
                <w:sz w:val="5"/>
                <w:szCs w:val="5"/>
                <w:color w:val="auto"/>
              </w:rPr>
            </w:pPr>
          </w:p>
        </w:tc>
        <w:tc>
          <w:tcPr>
            <w:tcW w:w="1040" w:type="dxa"/>
            <w:vAlign w:val="bottom"/>
            <w:vMerge w:val="continue"/>
            <w:shd w:val="clear" w:color="auto" w:fill="CCEEFF"/>
          </w:tcPr>
          <w:p>
            <w:pPr>
              <w:spacing w:after="0"/>
              <w:rPr>
                <w:sz w:val="5"/>
                <w:szCs w:val="5"/>
                <w:color w:val="auto"/>
              </w:rPr>
            </w:pPr>
          </w:p>
        </w:tc>
        <w:tc>
          <w:tcPr>
            <w:tcW w:w="0" w:type="dxa"/>
            <w:vAlign w:val="bottom"/>
          </w:tcPr>
          <w:p>
            <w:pPr>
              <w:spacing w:after="0"/>
              <w:rPr>
                <w:sz w:val="1"/>
                <w:szCs w:val="1"/>
                <w:color w:val="auto"/>
              </w:rPr>
            </w:pPr>
          </w:p>
        </w:tc>
      </w:tr>
      <w:tr>
        <w:trPr>
          <w:trHeight w:val="208"/>
        </w:trPr>
        <w:tc>
          <w:tcPr>
            <w:tcW w:w="7040" w:type="dxa"/>
            <w:vAlign w:val="bottom"/>
            <w:gridSpan w:val="2"/>
          </w:tcPr>
          <w:p>
            <w:pPr>
              <w:ind w:left="380"/>
              <w:spacing w:after="0"/>
              <w:rPr>
                <w:sz w:val="20"/>
                <w:szCs w:val="20"/>
                <w:color w:val="auto"/>
              </w:rPr>
            </w:pPr>
            <w:r>
              <w:rPr>
                <w:rFonts w:ascii="Arial" w:cs="Arial" w:eastAsia="Arial" w:hAnsi="Arial"/>
                <w:sz w:val="15"/>
                <w:szCs w:val="15"/>
                <w:color w:val="auto"/>
              </w:rPr>
              <w:t>Increase in receivables from related parties, net</w:t>
            </w:r>
          </w:p>
        </w:tc>
        <w:tc>
          <w:tcPr>
            <w:tcW w:w="320" w:type="dxa"/>
            <w:vAlign w:val="bottom"/>
          </w:tcPr>
          <w:p>
            <w:pPr>
              <w:spacing w:after="0"/>
              <w:rPr>
                <w:sz w:val="18"/>
                <w:szCs w:val="18"/>
                <w:color w:val="auto"/>
              </w:rPr>
            </w:pPr>
          </w:p>
        </w:tc>
        <w:tc>
          <w:tcPr>
            <w:tcW w:w="1000" w:type="dxa"/>
            <w:vAlign w:val="bottom"/>
            <w:vMerge w:val="restart"/>
          </w:tcPr>
          <w:p>
            <w:pPr>
              <w:jc w:val="right"/>
              <w:spacing w:after="0"/>
              <w:rPr>
                <w:sz w:val="20"/>
                <w:szCs w:val="20"/>
                <w:color w:val="auto"/>
              </w:rPr>
            </w:pPr>
            <w:r>
              <w:rPr>
                <w:rFonts w:ascii="Arial" w:cs="Arial" w:eastAsia="Arial" w:hAnsi="Arial"/>
                <w:sz w:val="15"/>
                <w:szCs w:val="15"/>
                <w:color w:val="auto"/>
              </w:rPr>
              <w:t>(1,772)</w:t>
            </w:r>
          </w:p>
        </w:tc>
        <w:tc>
          <w:tcPr>
            <w:tcW w:w="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40" w:type="dxa"/>
            <w:vAlign w:val="bottom"/>
            <w:vMerge w:val="restart"/>
          </w:tcPr>
          <w:p>
            <w:pPr>
              <w:jc w:val="right"/>
              <w:spacing w:after="0"/>
              <w:rPr>
                <w:sz w:val="20"/>
                <w:szCs w:val="20"/>
                <w:color w:val="auto"/>
              </w:rPr>
            </w:pPr>
            <w:r>
              <w:rPr>
                <w:rFonts w:ascii="Arial" w:cs="Arial" w:eastAsia="Arial" w:hAnsi="Arial"/>
                <w:sz w:val="15"/>
                <w:szCs w:val="15"/>
                <w:color w:val="auto"/>
              </w:rPr>
              <w:t>(1,849)</w:t>
            </w: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040" w:type="dxa"/>
            <w:vAlign w:val="bottom"/>
            <w:vMerge w:val="restart"/>
          </w:tcPr>
          <w:p>
            <w:pPr>
              <w:jc w:val="right"/>
              <w:spacing w:after="0"/>
              <w:rPr>
                <w:sz w:val="20"/>
                <w:szCs w:val="20"/>
                <w:color w:val="auto"/>
              </w:rPr>
            </w:pPr>
            <w:r>
              <w:rPr>
                <w:rFonts w:ascii="Arial" w:cs="Arial" w:eastAsia="Arial" w:hAnsi="Arial"/>
                <w:sz w:val="15"/>
                <w:szCs w:val="15"/>
                <w:color w:val="auto"/>
              </w:rPr>
              <w:t>(1,994)</w:t>
            </w:r>
          </w:p>
        </w:tc>
        <w:tc>
          <w:tcPr>
            <w:tcW w:w="0" w:type="dxa"/>
            <w:vAlign w:val="bottom"/>
          </w:tcPr>
          <w:p>
            <w:pPr>
              <w:spacing w:after="0"/>
              <w:rPr>
                <w:sz w:val="1"/>
                <w:szCs w:val="1"/>
                <w:color w:val="auto"/>
              </w:rPr>
            </w:pPr>
          </w:p>
        </w:tc>
      </w:tr>
      <w:tr>
        <w:trPr>
          <w:trHeight w:val="58"/>
        </w:trPr>
        <w:tc>
          <w:tcPr>
            <w:tcW w:w="2120" w:type="dxa"/>
            <w:vAlign w:val="bottom"/>
          </w:tcPr>
          <w:p>
            <w:pPr>
              <w:spacing w:after="0"/>
              <w:rPr>
                <w:sz w:val="5"/>
                <w:szCs w:val="5"/>
                <w:color w:val="auto"/>
              </w:rPr>
            </w:pPr>
          </w:p>
        </w:tc>
        <w:tc>
          <w:tcPr>
            <w:tcW w:w="4920" w:type="dxa"/>
            <w:vAlign w:val="bottom"/>
          </w:tcPr>
          <w:p>
            <w:pPr>
              <w:spacing w:after="0"/>
              <w:rPr>
                <w:sz w:val="5"/>
                <w:szCs w:val="5"/>
                <w:color w:val="auto"/>
              </w:rPr>
            </w:pPr>
          </w:p>
        </w:tc>
        <w:tc>
          <w:tcPr>
            <w:tcW w:w="320" w:type="dxa"/>
            <w:vAlign w:val="bottom"/>
          </w:tcPr>
          <w:p>
            <w:pPr>
              <w:spacing w:after="0"/>
              <w:rPr>
                <w:sz w:val="5"/>
                <w:szCs w:val="5"/>
                <w:color w:val="auto"/>
              </w:rPr>
            </w:pPr>
          </w:p>
        </w:tc>
        <w:tc>
          <w:tcPr>
            <w:tcW w:w="1000" w:type="dxa"/>
            <w:vAlign w:val="bottom"/>
            <w:vMerge w:val="continue"/>
          </w:tcPr>
          <w:p>
            <w:pPr>
              <w:spacing w:after="0"/>
              <w:rPr>
                <w:sz w:val="5"/>
                <w:szCs w:val="5"/>
                <w:color w:val="auto"/>
              </w:rPr>
            </w:pPr>
          </w:p>
        </w:tc>
        <w:tc>
          <w:tcPr>
            <w:tcW w:w="40" w:type="dxa"/>
            <w:vAlign w:val="bottom"/>
          </w:tcPr>
          <w:p>
            <w:pPr>
              <w:spacing w:after="0"/>
              <w:rPr>
                <w:sz w:val="5"/>
                <w:szCs w:val="5"/>
                <w:color w:val="auto"/>
              </w:rPr>
            </w:pPr>
          </w:p>
        </w:tc>
        <w:tc>
          <w:tcPr>
            <w:tcW w:w="120" w:type="dxa"/>
            <w:vAlign w:val="bottom"/>
          </w:tcPr>
          <w:p>
            <w:pPr>
              <w:spacing w:after="0"/>
              <w:rPr>
                <w:sz w:val="5"/>
                <w:szCs w:val="5"/>
                <w:color w:val="auto"/>
              </w:rPr>
            </w:pPr>
          </w:p>
        </w:tc>
        <w:tc>
          <w:tcPr>
            <w:tcW w:w="320" w:type="dxa"/>
            <w:vAlign w:val="bottom"/>
          </w:tcPr>
          <w:p>
            <w:pPr>
              <w:spacing w:after="0"/>
              <w:rPr>
                <w:sz w:val="5"/>
                <w:szCs w:val="5"/>
                <w:color w:val="auto"/>
              </w:rPr>
            </w:pPr>
          </w:p>
        </w:tc>
        <w:tc>
          <w:tcPr>
            <w:tcW w:w="1040" w:type="dxa"/>
            <w:vAlign w:val="bottom"/>
            <w:vMerge w:val="continue"/>
          </w:tcPr>
          <w:p>
            <w:pPr>
              <w:spacing w:after="0"/>
              <w:rPr>
                <w:sz w:val="5"/>
                <w:szCs w:val="5"/>
                <w:color w:val="auto"/>
              </w:rPr>
            </w:pPr>
          </w:p>
        </w:tc>
        <w:tc>
          <w:tcPr>
            <w:tcW w:w="100" w:type="dxa"/>
            <w:vAlign w:val="bottom"/>
          </w:tcPr>
          <w:p>
            <w:pPr>
              <w:spacing w:after="0"/>
              <w:rPr>
                <w:sz w:val="5"/>
                <w:szCs w:val="5"/>
                <w:color w:val="auto"/>
              </w:rPr>
            </w:pPr>
          </w:p>
        </w:tc>
        <w:tc>
          <w:tcPr>
            <w:tcW w:w="340" w:type="dxa"/>
            <w:vAlign w:val="bottom"/>
          </w:tcPr>
          <w:p>
            <w:pPr>
              <w:spacing w:after="0"/>
              <w:rPr>
                <w:sz w:val="5"/>
                <w:szCs w:val="5"/>
                <w:color w:val="auto"/>
              </w:rPr>
            </w:pPr>
          </w:p>
        </w:tc>
        <w:tc>
          <w:tcPr>
            <w:tcW w:w="104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r>
        <w:trPr>
          <w:trHeight w:val="212"/>
        </w:trPr>
        <w:tc>
          <w:tcPr>
            <w:tcW w:w="7040" w:type="dxa"/>
            <w:vAlign w:val="bottom"/>
            <w:gridSpan w:val="2"/>
            <w:shd w:val="clear" w:color="auto" w:fill="CCEEFF"/>
          </w:tcPr>
          <w:p>
            <w:pPr>
              <w:ind w:left="380"/>
              <w:spacing w:after="0"/>
              <w:rPr>
                <w:sz w:val="20"/>
                <w:szCs w:val="20"/>
                <w:color w:val="auto"/>
              </w:rPr>
            </w:pPr>
            <w:r>
              <w:rPr>
                <w:rFonts w:ascii="Arial" w:cs="Arial" w:eastAsia="Arial" w:hAnsi="Arial"/>
                <w:sz w:val="15"/>
                <w:szCs w:val="15"/>
                <w:color w:val="auto"/>
              </w:rPr>
              <w:t>Increase (decrease) in loyalty program liability</w:t>
            </w:r>
          </w:p>
        </w:tc>
        <w:tc>
          <w:tcPr>
            <w:tcW w:w="320" w:type="dxa"/>
            <w:vAlign w:val="bottom"/>
            <w:shd w:val="clear" w:color="auto" w:fill="CCEEFF"/>
          </w:tcPr>
          <w:p>
            <w:pPr>
              <w:spacing w:after="0"/>
              <w:rPr>
                <w:sz w:val="18"/>
                <w:szCs w:val="18"/>
                <w:color w:val="auto"/>
              </w:rPr>
            </w:pPr>
          </w:p>
        </w:tc>
        <w:tc>
          <w:tcPr>
            <w:tcW w:w="1000" w:type="dxa"/>
            <w:vAlign w:val="bottom"/>
            <w:vMerge w:val="restart"/>
            <w:shd w:val="clear" w:color="auto" w:fill="CCEEFF"/>
          </w:tcPr>
          <w:p>
            <w:pPr>
              <w:jc w:val="right"/>
              <w:spacing w:after="0"/>
              <w:rPr>
                <w:sz w:val="20"/>
                <w:szCs w:val="20"/>
                <w:color w:val="auto"/>
              </w:rPr>
            </w:pPr>
            <w:r>
              <w:rPr>
                <w:rFonts w:ascii="Arial" w:cs="Arial" w:eastAsia="Arial" w:hAnsi="Arial"/>
                <w:sz w:val="15"/>
                <w:szCs w:val="15"/>
                <w:color w:val="auto"/>
              </w:rPr>
              <w:t>76</w:t>
            </w:r>
          </w:p>
        </w:tc>
        <w:tc>
          <w:tcPr>
            <w:tcW w:w="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40" w:type="dxa"/>
            <w:vAlign w:val="bottom"/>
            <w:vMerge w:val="restart"/>
            <w:shd w:val="clear" w:color="auto" w:fill="CCEEFF"/>
          </w:tcPr>
          <w:p>
            <w:pPr>
              <w:jc w:val="right"/>
              <w:spacing w:after="0"/>
              <w:rPr>
                <w:sz w:val="20"/>
                <w:szCs w:val="20"/>
                <w:color w:val="auto"/>
              </w:rPr>
            </w:pPr>
            <w:r>
              <w:rPr>
                <w:rFonts w:ascii="Arial" w:cs="Arial" w:eastAsia="Arial" w:hAnsi="Arial"/>
                <w:sz w:val="15"/>
                <w:szCs w:val="15"/>
                <w:color w:val="auto"/>
              </w:rPr>
              <w:t>(283)</w:t>
            </w:r>
          </w:p>
        </w:tc>
        <w:tc>
          <w:tcPr>
            <w:tcW w:w="1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040" w:type="dxa"/>
            <w:vAlign w:val="bottom"/>
            <w:vMerge w:val="restart"/>
            <w:shd w:val="clear" w:color="auto" w:fill="CCEEFF"/>
          </w:tcPr>
          <w:p>
            <w:pPr>
              <w:jc w:val="right"/>
              <w:spacing w:after="0"/>
              <w:rPr>
                <w:sz w:val="20"/>
                <w:szCs w:val="20"/>
                <w:color w:val="auto"/>
              </w:rPr>
            </w:pPr>
            <w:r>
              <w:rPr>
                <w:rFonts w:ascii="Arial" w:cs="Arial" w:eastAsia="Arial" w:hAnsi="Arial"/>
                <w:sz w:val="15"/>
                <w:szCs w:val="15"/>
                <w:color w:val="auto"/>
              </w:rPr>
              <w:t>(308)</w:t>
            </w:r>
          </w:p>
        </w:tc>
        <w:tc>
          <w:tcPr>
            <w:tcW w:w="0" w:type="dxa"/>
            <w:vAlign w:val="bottom"/>
          </w:tcPr>
          <w:p>
            <w:pPr>
              <w:spacing w:after="0"/>
              <w:rPr>
                <w:sz w:val="1"/>
                <w:szCs w:val="1"/>
                <w:color w:val="auto"/>
              </w:rPr>
            </w:pPr>
          </w:p>
        </w:tc>
      </w:tr>
      <w:tr>
        <w:trPr>
          <w:trHeight w:val="62"/>
        </w:trPr>
        <w:tc>
          <w:tcPr>
            <w:tcW w:w="2120" w:type="dxa"/>
            <w:vAlign w:val="bottom"/>
            <w:shd w:val="clear" w:color="auto" w:fill="CCEEFF"/>
          </w:tcPr>
          <w:p>
            <w:pPr>
              <w:spacing w:after="0"/>
              <w:rPr>
                <w:sz w:val="5"/>
                <w:szCs w:val="5"/>
                <w:color w:val="auto"/>
              </w:rPr>
            </w:pPr>
          </w:p>
        </w:tc>
        <w:tc>
          <w:tcPr>
            <w:tcW w:w="4920" w:type="dxa"/>
            <w:vAlign w:val="bottom"/>
            <w:shd w:val="clear" w:color="auto" w:fill="CCEEFF"/>
          </w:tcPr>
          <w:p>
            <w:pPr>
              <w:spacing w:after="0"/>
              <w:rPr>
                <w:sz w:val="5"/>
                <w:szCs w:val="5"/>
                <w:color w:val="auto"/>
              </w:rPr>
            </w:pPr>
          </w:p>
        </w:tc>
        <w:tc>
          <w:tcPr>
            <w:tcW w:w="320" w:type="dxa"/>
            <w:vAlign w:val="bottom"/>
            <w:shd w:val="clear" w:color="auto" w:fill="CCEEFF"/>
          </w:tcPr>
          <w:p>
            <w:pPr>
              <w:spacing w:after="0"/>
              <w:rPr>
                <w:sz w:val="5"/>
                <w:szCs w:val="5"/>
                <w:color w:val="auto"/>
              </w:rPr>
            </w:pPr>
          </w:p>
        </w:tc>
        <w:tc>
          <w:tcPr>
            <w:tcW w:w="1000" w:type="dxa"/>
            <w:vAlign w:val="bottom"/>
            <w:vMerge w:val="continue"/>
            <w:shd w:val="clear" w:color="auto" w:fill="CCEEFF"/>
          </w:tcPr>
          <w:p>
            <w:pPr>
              <w:spacing w:after="0"/>
              <w:rPr>
                <w:sz w:val="5"/>
                <w:szCs w:val="5"/>
                <w:color w:val="auto"/>
              </w:rPr>
            </w:pPr>
          </w:p>
        </w:tc>
        <w:tc>
          <w:tcPr>
            <w:tcW w:w="40" w:type="dxa"/>
            <w:vAlign w:val="bottom"/>
            <w:shd w:val="clear" w:color="auto" w:fill="CCEEFF"/>
          </w:tcPr>
          <w:p>
            <w:pPr>
              <w:spacing w:after="0"/>
              <w:rPr>
                <w:sz w:val="5"/>
                <w:szCs w:val="5"/>
                <w:color w:val="auto"/>
              </w:rPr>
            </w:pPr>
          </w:p>
        </w:tc>
        <w:tc>
          <w:tcPr>
            <w:tcW w:w="120" w:type="dxa"/>
            <w:vAlign w:val="bottom"/>
            <w:shd w:val="clear" w:color="auto" w:fill="CCEEFF"/>
          </w:tcPr>
          <w:p>
            <w:pPr>
              <w:spacing w:after="0"/>
              <w:rPr>
                <w:sz w:val="5"/>
                <w:szCs w:val="5"/>
                <w:color w:val="auto"/>
              </w:rPr>
            </w:pPr>
          </w:p>
        </w:tc>
        <w:tc>
          <w:tcPr>
            <w:tcW w:w="320" w:type="dxa"/>
            <w:vAlign w:val="bottom"/>
            <w:shd w:val="clear" w:color="auto" w:fill="CCEEFF"/>
          </w:tcPr>
          <w:p>
            <w:pPr>
              <w:spacing w:after="0"/>
              <w:rPr>
                <w:sz w:val="5"/>
                <w:szCs w:val="5"/>
                <w:color w:val="auto"/>
              </w:rPr>
            </w:pPr>
          </w:p>
        </w:tc>
        <w:tc>
          <w:tcPr>
            <w:tcW w:w="1040" w:type="dxa"/>
            <w:vAlign w:val="bottom"/>
            <w:vMerge w:val="continue"/>
            <w:shd w:val="clear" w:color="auto" w:fill="CCEEFF"/>
          </w:tcPr>
          <w:p>
            <w:pPr>
              <w:spacing w:after="0"/>
              <w:rPr>
                <w:sz w:val="5"/>
                <w:szCs w:val="5"/>
                <w:color w:val="auto"/>
              </w:rPr>
            </w:pPr>
          </w:p>
        </w:tc>
        <w:tc>
          <w:tcPr>
            <w:tcW w:w="100" w:type="dxa"/>
            <w:vAlign w:val="bottom"/>
            <w:shd w:val="clear" w:color="auto" w:fill="CCEEFF"/>
          </w:tcPr>
          <w:p>
            <w:pPr>
              <w:spacing w:after="0"/>
              <w:rPr>
                <w:sz w:val="5"/>
                <w:szCs w:val="5"/>
                <w:color w:val="auto"/>
              </w:rPr>
            </w:pPr>
          </w:p>
        </w:tc>
        <w:tc>
          <w:tcPr>
            <w:tcW w:w="340" w:type="dxa"/>
            <w:vAlign w:val="bottom"/>
            <w:shd w:val="clear" w:color="auto" w:fill="CCEEFF"/>
          </w:tcPr>
          <w:p>
            <w:pPr>
              <w:spacing w:after="0"/>
              <w:rPr>
                <w:sz w:val="5"/>
                <w:szCs w:val="5"/>
                <w:color w:val="auto"/>
              </w:rPr>
            </w:pPr>
          </w:p>
        </w:tc>
        <w:tc>
          <w:tcPr>
            <w:tcW w:w="1040" w:type="dxa"/>
            <w:vAlign w:val="bottom"/>
            <w:vMerge w:val="continue"/>
            <w:shd w:val="clear" w:color="auto" w:fill="CCEEFF"/>
          </w:tcPr>
          <w:p>
            <w:pPr>
              <w:spacing w:after="0"/>
              <w:rPr>
                <w:sz w:val="5"/>
                <w:szCs w:val="5"/>
                <w:color w:val="auto"/>
              </w:rPr>
            </w:pPr>
          </w:p>
        </w:tc>
        <w:tc>
          <w:tcPr>
            <w:tcW w:w="0" w:type="dxa"/>
            <w:vAlign w:val="bottom"/>
          </w:tcPr>
          <w:p>
            <w:pPr>
              <w:spacing w:after="0"/>
              <w:rPr>
                <w:sz w:val="1"/>
                <w:szCs w:val="1"/>
                <w:color w:val="auto"/>
              </w:rPr>
            </w:pPr>
          </w:p>
        </w:tc>
      </w:tr>
      <w:tr>
        <w:trPr>
          <w:trHeight w:val="208"/>
        </w:trPr>
        <w:tc>
          <w:tcPr>
            <w:tcW w:w="7040" w:type="dxa"/>
            <w:vAlign w:val="bottom"/>
            <w:gridSpan w:val="2"/>
          </w:tcPr>
          <w:p>
            <w:pPr>
              <w:ind w:left="380"/>
              <w:spacing w:after="0"/>
              <w:rPr>
                <w:sz w:val="20"/>
                <w:szCs w:val="20"/>
                <w:color w:val="auto"/>
              </w:rPr>
            </w:pPr>
            <w:r>
              <w:rPr>
                <w:rFonts w:ascii="Arial" w:cs="Arial" w:eastAsia="Arial" w:hAnsi="Arial"/>
                <w:sz w:val="15"/>
                <w:szCs w:val="15"/>
                <w:color w:val="auto"/>
              </w:rPr>
              <w:t>Contributions to pension plans</w:t>
            </w:r>
          </w:p>
        </w:tc>
        <w:tc>
          <w:tcPr>
            <w:tcW w:w="320" w:type="dxa"/>
            <w:vAlign w:val="bottom"/>
          </w:tcPr>
          <w:p>
            <w:pPr>
              <w:spacing w:after="0"/>
              <w:rPr>
                <w:sz w:val="18"/>
                <w:szCs w:val="18"/>
                <w:color w:val="auto"/>
              </w:rPr>
            </w:pPr>
          </w:p>
        </w:tc>
        <w:tc>
          <w:tcPr>
            <w:tcW w:w="1000" w:type="dxa"/>
            <w:vAlign w:val="bottom"/>
            <w:vMerge w:val="restart"/>
          </w:tcPr>
          <w:p>
            <w:pPr>
              <w:jc w:val="right"/>
              <w:spacing w:after="0"/>
              <w:rPr>
                <w:sz w:val="20"/>
                <w:szCs w:val="20"/>
                <w:color w:val="auto"/>
              </w:rPr>
            </w:pPr>
            <w:r>
              <w:rPr>
                <w:rFonts w:ascii="Arial" w:cs="Arial" w:eastAsia="Arial" w:hAnsi="Arial"/>
                <w:sz w:val="15"/>
                <w:szCs w:val="15"/>
                <w:color w:val="auto"/>
              </w:rPr>
              <w:t>(1,224)</w:t>
            </w:r>
          </w:p>
        </w:tc>
        <w:tc>
          <w:tcPr>
            <w:tcW w:w="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40" w:type="dxa"/>
            <w:vAlign w:val="bottom"/>
            <w:vMerge w:val="restart"/>
          </w:tcPr>
          <w:p>
            <w:pPr>
              <w:jc w:val="right"/>
              <w:spacing w:after="0"/>
              <w:rPr>
                <w:sz w:val="20"/>
                <w:szCs w:val="20"/>
                <w:color w:val="auto"/>
              </w:rPr>
            </w:pPr>
            <w:r>
              <w:rPr>
                <w:rFonts w:ascii="Arial" w:cs="Arial" w:eastAsia="Arial" w:hAnsi="Arial"/>
                <w:sz w:val="15"/>
                <w:szCs w:val="15"/>
                <w:color w:val="auto"/>
              </w:rPr>
              <w:t>(472)</w:t>
            </w: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040" w:type="dxa"/>
            <w:vAlign w:val="bottom"/>
            <w:vMerge w:val="restart"/>
          </w:tcPr>
          <w:p>
            <w:pPr>
              <w:jc w:val="right"/>
              <w:spacing w:after="0"/>
              <w:rPr>
                <w:sz w:val="20"/>
                <w:szCs w:val="20"/>
                <w:color w:val="auto"/>
              </w:rPr>
            </w:pPr>
            <w:r>
              <w:rPr>
                <w:rFonts w:ascii="Arial" w:cs="Arial" w:eastAsia="Arial" w:hAnsi="Arial"/>
                <w:sz w:val="15"/>
                <w:szCs w:val="15"/>
                <w:color w:val="auto"/>
              </w:rPr>
              <w:t>(286)</w:t>
            </w:r>
          </w:p>
        </w:tc>
        <w:tc>
          <w:tcPr>
            <w:tcW w:w="0" w:type="dxa"/>
            <w:vAlign w:val="bottom"/>
          </w:tcPr>
          <w:p>
            <w:pPr>
              <w:spacing w:after="0"/>
              <w:rPr>
                <w:sz w:val="1"/>
                <w:szCs w:val="1"/>
                <w:color w:val="auto"/>
              </w:rPr>
            </w:pPr>
          </w:p>
        </w:tc>
      </w:tr>
      <w:tr>
        <w:trPr>
          <w:trHeight w:val="58"/>
        </w:trPr>
        <w:tc>
          <w:tcPr>
            <w:tcW w:w="2120" w:type="dxa"/>
            <w:vAlign w:val="bottom"/>
          </w:tcPr>
          <w:p>
            <w:pPr>
              <w:spacing w:after="0"/>
              <w:rPr>
                <w:sz w:val="5"/>
                <w:szCs w:val="5"/>
                <w:color w:val="auto"/>
              </w:rPr>
            </w:pPr>
          </w:p>
        </w:tc>
        <w:tc>
          <w:tcPr>
            <w:tcW w:w="4920" w:type="dxa"/>
            <w:vAlign w:val="bottom"/>
          </w:tcPr>
          <w:p>
            <w:pPr>
              <w:spacing w:after="0"/>
              <w:rPr>
                <w:sz w:val="5"/>
                <w:szCs w:val="5"/>
                <w:color w:val="auto"/>
              </w:rPr>
            </w:pPr>
          </w:p>
        </w:tc>
        <w:tc>
          <w:tcPr>
            <w:tcW w:w="320" w:type="dxa"/>
            <w:vAlign w:val="bottom"/>
          </w:tcPr>
          <w:p>
            <w:pPr>
              <w:spacing w:after="0"/>
              <w:rPr>
                <w:sz w:val="5"/>
                <w:szCs w:val="5"/>
                <w:color w:val="auto"/>
              </w:rPr>
            </w:pPr>
          </w:p>
        </w:tc>
        <w:tc>
          <w:tcPr>
            <w:tcW w:w="1000" w:type="dxa"/>
            <w:vAlign w:val="bottom"/>
            <w:vMerge w:val="continue"/>
          </w:tcPr>
          <w:p>
            <w:pPr>
              <w:spacing w:after="0"/>
              <w:rPr>
                <w:sz w:val="5"/>
                <w:szCs w:val="5"/>
                <w:color w:val="auto"/>
              </w:rPr>
            </w:pPr>
          </w:p>
        </w:tc>
        <w:tc>
          <w:tcPr>
            <w:tcW w:w="40" w:type="dxa"/>
            <w:vAlign w:val="bottom"/>
          </w:tcPr>
          <w:p>
            <w:pPr>
              <w:spacing w:after="0"/>
              <w:rPr>
                <w:sz w:val="5"/>
                <w:szCs w:val="5"/>
                <w:color w:val="auto"/>
              </w:rPr>
            </w:pPr>
          </w:p>
        </w:tc>
        <w:tc>
          <w:tcPr>
            <w:tcW w:w="120" w:type="dxa"/>
            <w:vAlign w:val="bottom"/>
          </w:tcPr>
          <w:p>
            <w:pPr>
              <w:spacing w:after="0"/>
              <w:rPr>
                <w:sz w:val="5"/>
                <w:szCs w:val="5"/>
                <w:color w:val="auto"/>
              </w:rPr>
            </w:pPr>
          </w:p>
        </w:tc>
        <w:tc>
          <w:tcPr>
            <w:tcW w:w="320" w:type="dxa"/>
            <w:vAlign w:val="bottom"/>
          </w:tcPr>
          <w:p>
            <w:pPr>
              <w:spacing w:after="0"/>
              <w:rPr>
                <w:sz w:val="5"/>
                <w:szCs w:val="5"/>
                <w:color w:val="auto"/>
              </w:rPr>
            </w:pPr>
          </w:p>
        </w:tc>
        <w:tc>
          <w:tcPr>
            <w:tcW w:w="1040" w:type="dxa"/>
            <w:vAlign w:val="bottom"/>
            <w:vMerge w:val="continue"/>
          </w:tcPr>
          <w:p>
            <w:pPr>
              <w:spacing w:after="0"/>
              <w:rPr>
                <w:sz w:val="5"/>
                <w:szCs w:val="5"/>
                <w:color w:val="auto"/>
              </w:rPr>
            </w:pPr>
          </w:p>
        </w:tc>
        <w:tc>
          <w:tcPr>
            <w:tcW w:w="100" w:type="dxa"/>
            <w:vAlign w:val="bottom"/>
          </w:tcPr>
          <w:p>
            <w:pPr>
              <w:spacing w:after="0"/>
              <w:rPr>
                <w:sz w:val="5"/>
                <w:szCs w:val="5"/>
                <w:color w:val="auto"/>
              </w:rPr>
            </w:pPr>
          </w:p>
        </w:tc>
        <w:tc>
          <w:tcPr>
            <w:tcW w:w="340" w:type="dxa"/>
            <w:vAlign w:val="bottom"/>
          </w:tcPr>
          <w:p>
            <w:pPr>
              <w:spacing w:after="0"/>
              <w:rPr>
                <w:sz w:val="5"/>
                <w:szCs w:val="5"/>
                <w:color w:val="auto"/>
              </w:rPr>
            </w:pPr>
          </w:p>
        </w:tc>
        <w:tc>
          <w:tcPr>
            <w:tcW w:w="104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r>
        <w:trPr>
          <w:trHeight w:val="212"/>
        </w:trPr>
        <w:tc>
          <w:tcPr>
            <w:tcW w:w="7040" w:type="dxa"/>
            <w:vAlign w:val="bottom"/>
            <w:gridSpan w:val="2"/>
            <w:shd w:val="clear" w:color="auto" w:fill="CCEEFF"/>
          </w:tcPr>
          <w:p>
            <w:pPr>
              <w:ind w:left="380"/>
              <w:spacing w:after="0"/>
              <w:rPr>
                <w:sz w:val="20"/>
                <w:szCs w:val="20"/>
                <w:color w:val="auto"/>
              </w:rPr>
            </w:pPr>
            <w:r>
              <w:rPr>
                <w:rFonts w:ascii="Arial" w:cs="Arial" w:eastAsia="Arial" w:hAnsi="Arial"/>
                <w:sz w:val="15"/>
                <w:szCs w:val="15"/>
                <w:color w:val="auto"/>
              </w:rPr>
              <w:t>Increase (decrease) in other liabilities</w:t>
            </w:r>
          </w:p>
        </w:tc>
        <w:tc>
          <w:tcPr>
            <w:tcW w:w="320" w:type="dxa"/>
            <w:vAlign w:val="bottom"/>
            <w:shd w:val="clear" w:color="auto" w:fill="CCEEFF"/>
          </w:tcPr>
          <w:p>
            <w:pPr>
              <w:spacing w:after="0"/>
              <w:rPr>
                <w:sz w:val="18"/>
                <w:szCs w:val="18"/>
                <w:color w:val="auto"/>
              </w:rPr>
            </w:pPr>
          </w:p>
        </w:tc>
        <w:tc>
          <w:tcPr>
            <w:tcW w:w="1000" w:type="dxa"/>
            <w:vAlign w:val="bottom"/>
            <w:vMerge w:val="restart"/>
            <w:shd w:val="clear" w:color="auto" w:fill="CCEEFF"/>
          </w:tcPr>
          <w:p>
            <w:pPr>
              <w:jc w:val="right"/>
              <w:spacing w:after="0"/>
              <w:rPr>
                <w:sz w:val="20"/>
                <w:szCs w:val="20"/>
                <w:color w:val="auto"/>
              </w:rPr>
            </w:pPr>
            <w:r>
              <w:rPr>
                <w:rFonts w:ascii="Arial" w:cs="Arial" w:eastAsia="Arial" w:hAnsi="Arial"/>
                <w:sz w:val="15"/>
                <w:szCs w:val="15"/>
                <w:color w:val="auto"/>
              </w:rPr>
              <w:t>(199)</w:t>
            </w:r>
          </w:p>
        </w:tc>
        <w:tc>
          <w:tcPr>
            <w:tcW w:w="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40" w:type="dxa"/>
            <w:vAlign w:val="bottom"/>
            <w:vMerge w:val="restart"/>
            <w:shd w:val="clear" w:color="auto" w:fill="CCEEFF"/>
          </w:tcPr>
          <w:p>
            <w:pPr>
              <w:jc w:val="right"/>
              <w:ind w:right="24"/>
              <w:spacing w:after="0"/>
              <w:rPr>
                <w:sz w:val="20"/>
                <w:szCs w:val="20"/>
                <w:color w:val="auto"/>
              </w:rPr>
            </w:pPr>
            <w:r>
              <w:rPr>
                <w:rFonts w:ascii="Arial" w:cs="Arial" w:eastAsia="Arial" w:hAnsi="Arial"/>
                <w:sz w:val="15"/>
                <w:szCs w:val="15"/>
                <w:color w:val="auto"/>
              </w:rPr>
              <w:t>191</w:t>
            </w:r>
          </w:p>
        </w:tc>
        <w:tc>
          <w:tcPr>
            <w:tcW w:w="1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040" w:type="dxa"/>
            <w:vAlign w:val="bottom"/>
            <w:vMerge w:val="restart"/>
            <w:shd w:val="clear" w:color="auto" w:fill="CCEEFF"/>
          </w:tcPr>
          <w:p>
            <w:pPr>
              <w:jc w:val="right"/>
              <w:ind w:right="44"/>
              <w:spacing w:after="0"/>
              <w:rPr>
                <w:sz w:val="20"/>
                <w:szCs w:val="20"/>
                <w:color w:val="auto"/>
              </w:rPr>
            </w:pPr>
            <w:r>
              <w:rPr>
                <w:rFonts w:ascii="Arial" w:cs="Arial" w:eastAsia="Arial" w:hAnsi="Arial"/>
                <w:sz w:val="15"/>
                <w:szCs w:val="15"/>
                <w:color w:val="auto"/>
              </w:rPr>
              <w:t>140</w:t>
            </w:r>
          </w:p>
        </w:tc>
        <w:tc>
          <w:tcPr>
            <w:tcW w:w="0" w:type="dxa"/>
            <w:vAlign w:val="bottom"/>
          </w:tcPr>
          <w:p>
            <w:pPr>
              <w:spacing w:after="0"/>
              <w:rPr>
                <w:sz w:val="1"/>
                <w:szCs w:val="1"/>
                <w:color w:val="auto"/>
              </w:rPr>
            </w:pPr>
          </w:p>
        </w:tc>
      </w:tr>
      <w:tr>
        <w:trPr>
          <w:trHeight w:val="62"/>
        </w:trPr>
        <w:tc>
          <w:tcPr>
            <w:tcW w:w="2120" w:type="dxa"/>
            <w:vAlign w:val="bottom"/>
            <w:shd w:val="clear" w:color="auto" w:fill="CCEEFF"/>
          </w:tcPr>
          <w:p>
            <w:pPr>
              <w:spacing w:after="0"/>
              <w:rPr>
                <w:sz w:val="5"/>
                <w:szCs w:val="5"/>
                <w:color w:val="auto"/>
              </w:rPr>
            </w:pPr>
          </w:p>
        </w:tc>
        <w:tc>
          <w:tcPr>
            <w:tcW w:w="4920" w:type="dxa"/>
            <w:vAlign w:val="bottom"/>
            <w:shd w:val="clear" w:color="auto" w:fill="CCEEFF"/>
          </w:tcPr>
          <w:p>
            <w:pPr>
              <w:spacing w:after="0"/>
              <w:rPr>
                <w:sz w:val="5"/>
                <w:szCs w:val="5"/>
                <w:color w:val="auto"/>
              </w:rPr>
            </w:pPr>
          </w:p>
        </w:tc>
        <w:tc>
          <w:tcPr>
            <w:tcW w:w="320" w:type="dxa"/>
            <w:vAlign w:val="bottom"/>
            <w:tcBorders>
              <w:bottom w:val="single" w:sz="8" w:color="auto"/>
            </w:tcBorders>
            <w:shd w:val="clear" w:color="auto" w:fill="CCEEFF"/>
          </w:tcPr>
          <w:p>
            <w:pPr>
              <w:spacing w:after="0"/>
              <w:rPr>
                <w:sz w:val="5"/>
                <w:szCs w:val="5"/>
                <w:color w:val="auto"/>
              </w:rPr>
            </w:pPr>
          </w:p>
        </w:tc>
        <w:tc>
          <w:tcPr>
            <w:tcW w:w="1000" w:type="dxa"/>
            <w:vAlign w:val="bottom"/>
            <w:tcBorders>
              <w:bottom w:val="single" w:sz="8" w:color="auto"/>
            </w:tcBorders>
            <w:vMerge w:val="continue"/>
            <w:shd w:val="clear" w:color="auto" w:fill="CCEEFF"/>
          </w:tcPr>
          <w:p>
            <w:pPr>
              <w:spacing w:after="0"/>
              <w:rPr>
                <w:sz w:val="5"/>
                <w:szCs w:val="5"/>
                <w:color w:val="auto"/>
              </w:rPr>
            </w:pPr>
          </w:p>
        </w:tc>
        <w:tc>
          <w:tcPr>
            <w:tcW w:w="40" w:type="dxa"/>
            <w:vAlign w:val="bottom"/>
            <w:tcBorders>
              <w:bottom w:val="single" w:sz="8" w:color="auto"/>
            </w:tcBorders>
            <w:shd w:val="clear" w:color="auto" w:fill="CCEEFF"/>
          </w:tcPr>
          <w:p>
            <w:pPr>
              <w:spacing w:after="0"/>
              <w:rPr>
                <w:sz w:val="5"/>
                <w:szCs w:val="5"/>
                <w:color w:val="auto"/>
              </w:rPr>
            </w:pPr>
          </w:p>
        </w:tc>
        <w:tc>
          <w:tcPr>
            <w:tcW w:w="120" w:type="dxa"/>
            <w:vAlign w:val="bottom"/>
            <w:shd w:val="clear" w:color="auto" w:fill="CCEEFF"/>
          </w:tcPr>
          <w:p>
            <w:pPr>
              <w:spacing w:after="0"/>
              <w:rPr>
                <w:sz w:val="5"/>
                <w:szCs w:val="5"/>
                <w:color w:val="auto"/>
              </w:rPr>
            </w:pPr>
          </w:p>
        </w:tc>
        <w:tc>
          <w:tcPr>
            <w:tcW w:w="320" w:type="dxa"/>
            <w:vAlign w:val="bottom"/>
            <w:tcBorders>
              <w:bottom w:val="single" w:sz="8" w:color="auto"/>
            </w:tcBorders>
            <w:shd w:val="clear" w:color="auto" w:fill="CCEEFF"/>
          </w:tcPr>
          <w:p>
            <w:pPr>
              <w:spacing w:after="0"/>
              <w:rPr>
                <w:sz w:val="5"/>
                <w:szCs w:val="5"/>
                <w:color w:val="auto"/>
              </w:rPr>
            </w:pPr>
          </w:p>
        </w:tc>
        <w:tc>
          <w:tcPr>
            <w:tcW w:w="1040" w:type="dxa"/>
            <w:vAlign w:val="bottom"/>
            <w:tcBorders>
              <w:bottom w:val="single" w:sz="8" w:color="auto"/>
            </w:tcBorders>
            <w:vMerge w:val="continue"/>
            <w:shd w:val="clear" w:color="auto" w:fill="CCEEFF"/>
          </w:tcPr>
          <w:p>
            <w:pPr>
              <w:spacing w:after="0"/>
              <w:rPr>
                <w:sz w:val="5"/>
                <w:szCs w:val="5"/>
                <w:color w:val="auto"/>
              </w:rPr>
            </w:pPr>
          </w:p>
        </w:tc>
        <w:tc>
          <w:tcPr>
            <w:tcW w:w="100" w:type="dxa"/>
            <w:vAlign w:val="bottom"/>
            <w:shd w:val="clear" w:color="auto" w:fill="CCEEFF"/>
          </w:tcPr>
          <w:p>
            <w:pPr>
              <w:spacing w:after="0"/>
              <w:rPr>
                <w:sz w:val="5"/>
                <w:szCs w:val="5"/>
                <w:color w:val="auto"/>
              </w:rPr>
            </w:pPr>
          </w:p>
        </w:tc>
        <w:tc>
          <w:tcPr>
            <w:tcW w:w="340" w:type="dxa"/>
            <w:vAlign w:val="bottom"/>
            <w:tcBorders>
              <w:bottom w:val="single" w:sz="8" w:color="auto"/>
            </w:tcBorders>
            <w:shd w:val="clear" w:color="auto" w:fill="CCEEFF"/>
          </w:tcPr>
          <w:p>
            <w:pPr>
              <w:spacing w:after="0"/>
              <w:rPr>
                <w:sz w:val="5"/>
                <w:szCs w:val="5"/>
                <w:color w:val="auto"/>
              </w:rPr>
            </w:pPr>
          </w:p>
        </w:tc>
        <w:tc>
          <w:tcPr>
            <w:tcW w:w="1040" w:type="dxa"/>
            <w:vAlign w:val="bottom"/>
            <w:tcBorders>
              <w:bottom w:val="single" w:sz="8" w:color="auto"/>
            </w:tcBorders>
            <w:vMerge w:val="continue"/>
            <w:shd w:val="clear" w:color="auto" w:fill="CCEEFF"/>
          </w:tcPr>
          <w:p>
            <w:pPr>
              <w:spacing w:after="0"/>
              <w:rPr>
                <w:sz w:val="5"/>
                <w:szCs w:val="5"/>
                <w:color w:val="auto"/>
              </w:rPr>
            </w:pPr>
          </w:p>
        </w:tc>
        <w:tc>
          <w:tcPr>
            <w:tcW w:w="0" w:type="dxa"/>
            <w:vAlign w:val="bottom"/>
          </w:tcPr>
          <w:p>
            <w:pPr>
              <w:spacing w:after="0"/>
              <w:rPr>
                <w:sz w:val="1"/>
                <w:szCs w:val="1"/>
                <w:color w:val="auto"/>
              </w:rPr>
            </w:pPr>
          </w:p>
        </w:tc>
      </w:tr>
      <w:tr>
        <w:trPr>
          <w:trHeight w:val="188"/>
        </w:trPr>
        <w:tc>
          <w:tcPr>
            <w:tcW w:w="7040" w:type="dxa"/>
            <w:vAlign w:val="bottom"/>
            <w:gridSpan w:val="2"/>
          </w:tcPr>
          <w:p>
            <w:pPr>
              <w:ind w:left="500"/>
              <w:spacing w:after="0"/>
              <w:rPr>
                <w:sz w:val="20"/>
                <w:szCs w:val="20"/>
                <w:color w:val="auto"/>
              </w:rPr>
            </w:pPr>
            <w:r>
              <w:rPr>
                <w:rFonts w:ascii="Arial" w:cs="Arial" w:eastAsia="Arial" w:hAnsi="Arial"/>
                <w:sz w:val="15"/>
                <w:szCs w:val="15"/>
                <w:color w:val="auto"/>
              </w:rPr>
              <w:t>Net cash provided by operating activities</w:t>
            </w:r>
          </w:p>
        </w:tc>
        <w:tc>
          <w:tcPr>
            <w:tcW w:w="320" w:type="dxa"/>
            <w:vAlign w:val="bottom"/>
          </w:tcPr>
          <w:p>
            <w:pPr>
              <w:spacing w:after="0"/>
              <w:rPr>
                <w:sz w:val="16"/>
                <w:szCs w:val="16"/>
                <w:color w:val="auto"/>
              </w:rPr>
            </w:pPr>
          </w:p>
        </w:tc>
        <w:tc>
          <w:tcPr>
            <w:tcW w:w="1000" w:type="dxa"/>
            <w:vAlign w:val="bottom"/>
            <w:vMerge w:val="restart"/>
          </w:tcPr>
          <w:p>
            <w:pPr>
              <w:jc w:val="right"/>
              <w:spacing w:after="0"/>
              <w:rPr>
                <w:sz w:val="20"/>
                <w:szCs w:val="20"/>
                <w:color w:val="auto"/>
              </w:rPr>
            </w:pPr>
            <w:r>
              <w:rPr>
                <w:rFonts w:ascii="Arial" w:cs="Arial" w:eastAsia="Arial" w:hAnsi="Arial"/>
                <w:sz w:val="15"/>
                <w:szCs w:val="15"/>
                <w:color w:val="auto"/>
              </w:rPr>
              <w:t>2,429</w:t>
            </w:r>
          </w:p>
        </w:tc>
        <w:tc>
          <w:tcPr>
            <w:tcW w:w="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040" w:type="dxa"/>
            <w:vAlign w:val="bottom"/>
            <w:vMerge w:val="restart"/>
          </w:tcPr>
          <w:p>
            <w:pPr>
              <w:jc w:val="right"/>
              <w:ind w:right="24"/>
              <w:spacing w:after="0"/>
              <w:rPr>
                <w:sz w:val="20"/>
                <w:szCs w:val="20"/>
                <w:color w:val="auto"/>
              </w:rPr>
            </w:pPr>
            <w:r>
              <w:rPr>
                <w:rFonts w:ascii="Arial" w:cs="Arial" w:eastAsia="Arial" w:hAnsi="Arial"/>
                <w:sz w:val="15"/>
                <w:szCs w:val="15"/>
                <w:color w:val="auto"/>
              </w:rPr>
              <w:t>1,943</w:t>
            </w:r>
          </w:p>
        </w:tc>
        <w:tc>
          <w:tcPr>
            <w:tcW w:w="1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040" w:type="dxa"/>
            <w:vAlign w:val="bottom"/>
            <w:vMerge w:val="restart"/>
          </w:tcPr>
          <w:p>
            <w:pPr>
              <w:jc w:val="right"/>
              <w:ind w:right="44"/>
              <w:spacing w:after="0"/>
              <w:rPr>
                <w:sz w:val="20"/>
                <w:szCs w:val="20"/>
                <w:color w:val="auto"/>
              </w:rPr>
            </w:pPr>
            <w:r>
              <w:rPr>
                <w:rFonts w:ascii="Arial" w:cs="Arial" w:eastAsia="Arial" w:hAnsi="Arial"/>
                <w:sz w:val="15"/>
                <w:szCs w:val="15"/>
                <w:color w:val="auto"/>
              </w:rPr>
              <w:t>2,870</w:t>
            </w:r>
          </w:p>
        </w:tc>
        <w:tc>
          <w:tcPr>
            <w:tcW w:w="0" w:type="dxa"/>
            <w:vAlign w:val="bottom"/>
          </w:tcPr>
          <w:p>
            <w:pPr>
              <w:spacing w:after="0"/>
              <w:rPr>
                <w:sz w:val="1"/>
                <w:szCs w:val="1"/>
                <w:color w:val="auto"/>
              </w:rPr>
            </w:pPr>
          </w:p>
        </w:tc>
      </w:tr>
      <w:tr>
        <w:trPr>
          <w:trHeight w:val="58"/>
        </w:trPr>
        <w:tc>
          <w:tcPr>
            <w:tcW w:w="2120" w:type="dxa"/>
            <w:vAlign w:val="bottom"/>
          </w:tcPr>
          <w:p>
            <w:pPr>
              <w:spacing w:after="0"/>
              <w:rPr>
                <w:sz w:val="5"/>
                <w:szCs w:val="5"/>
                <w:color w:val="auto"/>
              </w:rPr>
            </w:pPr>
          </w:p>
        </w:tc>
        <w:tc>
          <w:tcPr>
            <w:tcW w:w="4920" w:type="dxa"/>
            <w:vAlign w:val="bottom"/>
          </w:tcPr>
          <w:p>
            <w:pPr>
              <w:spacing w:after="0"/>
              <w:rPr>
                <w:sz w:val="5"/>
                <w:szCs w:val="5"/>
                <w:color w:val="auto"/>
              </w:rPr>
            </w:pPr>
          </w:p>
        </w:tc>
        <w:tc>
          <w:tcPr>
            <w:tcW w:w="320" w:type="dxa"/>
            <w:vAlign w:val="bottom"/>
          </w:tcPr>
          <w:p>
            <w:pPr>
              <w:spacing w:after="0"/>
              <w:rPr>
                <w:sz w:val="5"/>
                <w:szCs w:val="5"/>
                <w:color w:val="auto"/>
              </w:rPr>
            </w:pPr>
          </w:p>
        </w:tc>
        <w:tc>
          <w:tcPr>
            <w:tcW w:w="1000" w:type="dxa"/>
            <w:vAlign w:val="bottom"/>
            <w:vMerge w:val="continue"/>
          </w:tcPr>
          <w:p>
            <w:pPr>
              <w:spacing w:after="0"/>
              <w:rPr>
                <w:sz w:val="5"/>
                <w:szCs w:val="5"/>
                <w:color w:val="auto"/>
              </w:rPr>
            </w:pPr>
          </w:p>
        </w:tc>
        <w:tc>
          <w:tcPr>
            <w:tcW w:w="40" w:type="dxa"/>
            <w:vAlign w:val="bottom"/>
          </w:tcPr>
          <w:p>
            <w:pPr>
              <w:spacing w:after="0"/>
              <w:rPr>
                <w:sz w:val="5"/>
                <w:szCs w:val="5"/>
                <w:color w:val="auto"/>
              </w:rPr>
            </w:pPr>
          </w:p>
        </w:tc>
        <w:tc>
          <w:tcPr>
            <w:tcW w:w="120" w:type="dxa"/>
            <w:vAlign w:val="bottom"/>
          </w:tcPr>
          <w:p>
            <w:pPr>
              <w:spacing w:after="0"/>
              <w:rPr>
                <w:sz w:val="5"/>
                <w:szCs w:val="5"/>
                <w:color w:val="auto"/>
              </w:rPr>
            </w:pPr>
          </w:p>
        </w:tc>
        <w:tc>
          <w:tcPr>
            <w:tcW w:w="320" w:type="dxa"/>
            <w:vAlign w:val="bottom"/>
          </w:tcPr>
          <w:p>
            <w:pPr>
              <w:spacing w:after="0"/>
              <w:rPr>
                <w:sz w:val="5"/>
                <w:szCs w:val="5"/>
                <w:color w:val="auto"/>
              </w:rPr>
            </w:pPr>
          </w:p>
        </w:tc>
        <w:tc>
          <w:tcPr>
            <w:tcW w:w="1040" w:type="dxa"/>
            <w:vAlign w:val="bottom"/>
            <w:vMerge w:val="continue"/>
          </w:tcPr>
          <w:p>
            <w:pPr>
              <w:spacing w:after="0"/>
              <w:rPr>
                <w:sz w:val="5"/>
                <w:szCs w:val="5"/>
                <w:color w:val="auto"/>
              </w:rPr>
            </w:pPr>
          </w:p>
        </w:tc>
        <w:tc>
          <w:tcPr>
            <w:tcW w:w="100" w:type="dxa"/>
            <w:vAlign w:val="bottom"/>
          </w:tcPr>
          <w:p>
            <w:pPr>
              <w:spacing w:after="0"/>
              <w:rPr>
                <w:sz w:val="5"/>
                <w:szCs w:val="5"/>
                <w:color w:val="auto"/>
              </w:rPr>
            </w:pPr>
          </w:p>
        </w:tc>
        <w:tc>
          <w:tcPr>
            <w:tcW w:w="340" w:type="dxa"/>
            <w:vAlign w:val="bottom"/>
          </w:tcPr>
          <w:p>
            <w:pPr>
              <w:spacing w:after="0"/>
              <w:rPr>
                <w:sz w:val="5"/>
                <w:szCs w:val="5"/>
                <w:color w:val="auto"/>
              </w:rPr>
            </w:pPr>
          </w:p>
        </w:tc>
        <w:tc>
          <w:tcPr>
            <w:tcW w:w="104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r>
        <w:trPr>
          <w:trHeight w:val="212"/>
        </w:trPr>
        <w:tc>
          <w:tcPr>
            <w:tcW w:w="7040" w:type="dxa"/>
            <w:vAlign w:val="bottom"/>
            <w:gridSpan w:val="2"/>
            <w:shd w:val="clear" w:color="auto" w:fill="CCEEFF"/>
          </w:tcPr>
          <w:p>
            <w:pPr>
              <w:ind w:left="40"/>
              <w:spacing w:after="0"/>
              <w:rPr>
                <w:sz w:val="20"/>
                <w:szCs w:val="20"/>
                <w:color w:val="auto"/>
              </w:rPr>
            </w:pPr>
            <w:r>
              <w:rPr>
                <w:rFonts w:ascii="Arial" w:cs="Arial" w:eastAsia="Arial" w:hAnsi="Arial"/>
                <w:sz w:val="15"/>
                <w:szCs w:val="15"/>
                <w:b w:val="1"/>
                <w:bCs w:val="1"/>
                <w:color w:val="auto"/>
              </w:rPr>
              <w:t>Cash flows from investing activities:</w:t>
            </w:r>
          </w:p>
        </w:tc>
        <w:tc>
          <w:tcPr>
            <w:tcW w:w="32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62"/>
        </w:trPr>
        <w:tc>
          <w:tcPr>
            <w:tcW w:w="2120" w:type="dxa"/>
            <w:vAlign w:val="bottom"/>
            <w:shd w:val="clear" w:color="auto" w:fill="CCEEFF"/>
          </w:tcPr>
          <w:p>
            <w:pPr>
              <w:spacing w:after="0"/>
              <w:rPr>
                <w:sz w:val="5"/>
                <w:szCs w:val="5"/>
                <w:color w:val="auto"/>
              </w:rPr>
            </w:pPr>
          </w:p>
        </w:tc>
        <w:tc>
          <w:tcPr>
            <w:tcW w:w="4920" w:type="dxa"/>
            <w:vAlign w:val="bottom"/>
            <w:shd w:val="clear" w:color="auto" w:fill="CCEEFF"/>
          </w:tcPr>
          <w:p>
            <w:pPr>
              <w:spacing w:after="0"/>
              <w:rPr>
                <w:sz w:val="5"/>
                <w:szCs w:val="5"/>
                <w:color w:val="auto"/>
              </w:rPr>
            </w:pPr>
          </w:p>
        </w:tc>
        <w:tc>
          <w:tcPr>
            <w:tcW w:w="320" w:type="dxa"/>
            <w:vAlign w:val="bottom"/>
            <w:shd w:val="clear" w:color="auto" w:fill="CCEEFF"/>
          </w:tcPr>
          <w:p>
            <w:pPr>
              <w:spacing w:after="0"/>
              <w:rPr>
                <w:sz w:val="5"/>
                <w:szCs w:val="5"/>
                <w:color w:val="auto"/>
              </w:rPr>
            </w:pPr>
          </w:p>
        </w:tc>
        <w:tc>
          <w:tcPr>
            <w:tcW w:w="1000" w:type="dxa"/>
            <w:vAlign w:val="bottom"/>
            <w:shd w:val="clear" w:color="auto" w:fill="CCEEFF"/>
          </w:tcPr>
          <w:p>
            <w:pPr>
              <w:spacing w:after="0"/>
              <w:rPr>
                <w:sz w:val="5"/>
                <w:szCs w:val="5"/>
                <w:color w:val="auto"/>
              </w:rPr>
            </w:pPr>
          </w:p>
        </w:tc>
        <w:tc>
          <w:tcPr>
            <w:tcW w:w="40" w:type="dxa"/>
            <w:vAlign w:val="bottom"/>
            <w:shd w:val="clear" w:color="auto" w:fill="CCEEFF"/>
          </w:tcPr>
          <w:p>
            <w:pPr>
              <w:spacing w:after="0"/>
              <w:rPr>
                <w:sz w:val="5"/>
                <w:szCs w:val="5"/>
                <w:color w:val="auto"/>
              </w:rPr>
            </w:pPr>
          </w:p>
        </w:tc>
        <w:tc>
          <w:tcPr>
            <w:tcW w:w="120" w:type="dxa"/>
            <w:vAlign w:val="bottom"/>
            <w:shd w:val="clear" w:color="auto" w:fill="CCEEFF"/>
          </w:tcPr>
          <w:p>
            <w:pPr>
              <w:spacing w:after="0"/>
              <w:rPr>
                <w:sz w:val="5"/>
                <w:szCs w:val="5"/>
                <w:color w:val="auto"/>
              </w:rPr>
            </w:pPr>
          </w:p>
        </w:tc>
        <w:tc>
          <w:tcPr>
            <w:tcW w:w="320" w:type="dxa"/>
            <w:vAlign w:val="bottom"/>
            <w:shd w:val="clear" w:color="auto" w:fill="CCEEFF"/>
          </w:tcPr>
          <w:p>
            <w:pPr>
              <w:spacing w:after="0"/>
              <w:rPr>
                <w:sz w:val="5"/>
                <w:szCs w:val="5"/>
                <w:color w:val="auto"/>
              </w:rPr>
            </w:pPr>
          </w:p>
        </w:tc>
        <w:tc>
          <w:tcPr>
            <w:tcW w:w="1040" w:type="dxa"/>
            <w:vAlign w:val="bottom"/>
            <w:shd w:val="clear" w:color="auto" w:fill="CCEEFF"/>
          </w:tcPr>
          <w:p>
            <w:pPr>
              <w:spacing w:after="0"/>
              <w:rPr>
                <w:sz w:val="5"/>
                <w:szCs w:val="5"/>
                <w:color w:val="auto"/>
              </w:rPr>
            </w:pPr>
          </w:p>
        </w:tc>
        <w:tc>
          <w:tcPr>
            <w:tcW w:w="100" w:type="dxa"/>
            <w:vAlign w:val="bottom"/>
            <w:shd w:val="clear" w:color="auto" w:fill="CCEEFF"/>
          </w:tcPr>
          <w:p>
            <w:pPr>
              <w:spacing w:after="0"/>
              <w:rPr>
                <w:sz w:val="5"/>
                <w:szCs w:val="5"/>
                <w:color w:val="auto"/>
              </w:rPr>
            </w:pPr>
          </w:p>
        </w:tc>
        <w:tc>
          <w:tcPr>
            <w:tcW w:w="340" w:type="dxa"/>
            <w:vAlign w:val="bottom"/>
            <w:shd w:val="clear" w:color="auto" w:fill="CCEEFF"/>
          </w:tcPr>
          <w:p>
            <w:pPr>
              <w:spacing w:after="0"/>
              <w:rPr>
                <w:sz w:val="5"/>
                <w:szCs w:val="5"/>
                <w:color w:val="auto"/>
              </w:rPr>
            </w:pPr>
          </w:p>
        </w:tc>
        <w:tc>
          <w:tcPr>
            <w:tcW w:w="1040" w:type="dxa"/>
            <w:vAlign w:val="bottom"/>
            <w:shd w:val="clear" w:color="auto" w:fill="CCEEFF"/>
          </w:tcPr>
          <w:p>
            <w:pPr>
              <w:spacing w:after="0"/>
              <w:rPr>
                <w:sz w:val="5"/>
                <w:szCs w:val="5"/>
                <w:color w:val="auto"/>
              </w:rPr>
            </w:pPr>
          </w:p>
        </w:tc>
        <w:tc>
          <w:tcPr>
            <w:tcW w:w="0" w:type="dxa"/>
            <w:vAlign w:val="bottom"/>
          </w:tcPr>
          <w:p>
            <w:pPr>
              <w:spacing w:after="0"/>
              <w:rPr>
                <w:sz w:val="1"/>
                <w:szCs w:val="1"/>
                <w:color w:val="auto"/>
              </w:rPr>
            </w:pPr>
          </w:p>
        </w:tc>
      </w:tr>
      <w:tr>
        <w:trPr>
          <w:trHeight w:val="208"/>
        </w:trPr>
        <w:tc>
          <w:tcPr>
            <w:tcW w:w="7040" w:type="dxa"/>
            <w:vAlign w:val="bottom"/>
            <w:gridSpan w:val="2"/>
          </w:tcPr>
          <w:p>
            <w:pPr>
              <w:ind w:left="280"/>
              <w:spacing w:after="0"/>
              <w:rPr>
                <w:sz w:val="20"/>
                <w:szCs w:val="20"/>
                <w:color w:val="auto"/>
              </w:rPr>
            </w:pPr>
            <w:r>
              <w:rPr>
                <w:rFonts w:ascii="Arial" w:cs="Arial" w:eastAsia="Arial" w:hAnsi="Arial"/>
                <w:sz w:val="15"/>
                <w:szCs w:val="15"/>
                <w:color w:val="auto"/>
              </w:rPr>
              <w:t>Capital expenditures and aircraft purchase deposits</w:t>
            </w:r>
          </w:p>
        </w:tc>
        <w:tc>
          <w:tcPr>
            <w:tcW w:w="320" w:type="dxa"/>
            <w:vAlign w:val="bottom"/>
          </w:tcPr>
          <w:p>
            <w:pPr>
              <w:spacing w:after="0"/>
              <w:rPr>
                <w:sz w:val="18"/>
                <w:szCs w:val="18"/>
                <w:color w:val="auto"/>
              </w:rPr>
            </w:pPr>
          </w:p>
        </w:tc>
        <w:tc>
          <w:tcPr>
            <w:tcW w:w="1000" w:type="dxa"/>
            <w:vAlign w:val="bottom"/>
            <w:vMerge w:val="restart"/>
          </w:tcPr>
          <w:p>
            <w:pPr>
              <w:jc w:val="right"/>
              <w:spacing w:after="0"/>
              <w:rPr>
                <w:sz w:val="20"/>
                <w:szCs w:val="20"/>
                <w:color w:val="auto"/>
              </w:rPr>
            </w:pPr>
            <w:r>
              <w:rPr>
                <w:rFonts w:ascii="Arial" w:cs="Arial" w:eastAsia="Arial" w:hAnsi="Arial"/>
                <w:sz w:val="15"/>
                <w:szCs w:val="15"/>
                <w:color w:val="auto"/>
              </w:rPr>
              <w:t>(4,156)</w:t>
            </w:r>
          </w:p>
        </w:tc>
        <w:tc>
          <w:tcPr>
            <w:tcW w:w="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40" w:type="dxa"/>
            <w:vAlign w:val="bottom"/>
            <w:vMerge w:val="restart"/>
          </w:tcPr>
          <w:p>
            <w:pPr>
              <w:jc w:val="right"/>
              <w:spacing w:after="0"/>
              <w:rPr>
                <w:sz w:val="20"/>
                <w:szCs w:val="20"/>
                <w:color w:val="auto"/>
              </w:rPr>
            </w:pPr>
            <w:r>
              <w:rPr>
                <w:rFonts w:ascii="Arial" w:cs="Arial" w:eastAsia="Arial" w:hAnsi="Arial"/>
                <w:sz w:val="15"/>
                <w:szCs w:val="15"/>
                <w:color w:val="auto"/>
              </w:rPr>
              <w:t>(3,677)</w:t>
            </w: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040" w:type="dxa"/>
            <w:vAlign w:val="bottom"/>
            <w:vMerge w:val="restart"/>
          </w:tcPr>
          <w:p>
            <w:pPr>
              <w:jc w:val="right"/>
              <w:spacing w:after="0"/>
              <w:rPr>
                <w:sz w:val="20"/>
                <w:szCs w:val="20"/>
                <w:color w:val="auto"/>
              </w:rPr>
            </w:pPr>
            <w:r>
              <w:rPr>
                <w:rFonts w:ascii="Arial" w:cs="Arial" w:eastAsia="Arial" w:hAnsi="Arial"/>
                <w:sz w:val="15"/>
                <w:szCs w:val="15"/>
                <w:color w:val="auto"/>
              </w:rPr>
              <w:t>(5,881)</w:t>
            </w:r>
          </w:p>
        </w:tc>
        <w:tc>
          <w:tcPr>
            <w:tcW w:w="0" w:type="dxa"/>
            <w:vAlign w:val="bottom"/>
          </w:tcPr>
          <w:p>
            <w:pPr>
              <w:spacing w:after="0"/>
              <w:rPr>
                <w:sz w:val="1"/>
                <w:szCs w:val="1"/>
                <w:color w:val="auto"/>
              </w:rPr>
            </w:pPr>
          </w:p>
        </w:tc>
      </w:tr>
      <w:tr>
        <w:trPr>
          <w:trHeight w:val="58"/>
        </w:trPr>
        <w:tc>
          <w:tcPr>
            <w:tcW w:w="2120" w:type="dxa"/>
            <w:vAlign w:val="bottom"/>
          </w:tcPr>
          <w:p>
            <w:pPr>
              <w:spacing w:after="0"/>
              <w:rPr>
                <w:sz w:val="5"/>
                <w:szCs w:val="5"/>
                <w:color w:val="auto"/>
              </w:rPr>
            </w:pPr>
          </w:p>
        </w:tc>
        <w:tc>
          <w:tcPr>
            <w:tcW w:w="4920" w:type="dxa"/>
            <w:vAlign w:val="bottom"/>
          </w:tcPr>
          <w:p>
            <w:pPr>
              <w:spacing w:after="0"/>
              <w:rPr>
                <w:sz w:val="5"/>
                <w:szCs w:val="5"/>
                <w:color w:val="auto"/>
              </w:rPr>
            </w:pPr>
          </w:p>
        </w:tc>
        <w:tc>
          <w:tcPr>
            <w:tcW w:w="320" w:type="dxa"/>
            <w:vAlign w:val="bottom"/>
          </w:tcPr>
          <w:p>
            <w:pPr>
              <w:spacing w:after="0"/>
              <w:rPr>
                <w:sz w:val="5"/>
                <w:szCs w:val="5"/>
                <w:color w:val="auto"/>
              </w:rPr>
            </w:pPr>
          </w:p>
        </w:tc>
        <w:tc>
          <w:tcPr>
            <w:tcW w:w="1000" w:type="dxa"/>
            <w:vAlign w:val="bottom"/>
            <w:vMerge w:val="continue"/>
          </w:tcPr>
          <w:p>
            <w:pPr>
              <w:spacing w:after="0"/>
              <w:rPr>
                <w:sz w:val="5"/>
                <w:szCs w:val="5"/>
                <w:color w:val="auto"/>
              </w:rPr>
            </w:pPr>
          </w:p>
        </w:tc>
        <w:tc>
          <w:tcPr>
            <w:tcW w:w="40" w:type="dxa"/>
            <w:vAlign w:val="bottom"/>
          </w:tcPr>
          <w:p>
            <w:pPr>
              <w:spacing w:after="0"/>
              <w:rPr>
                <w:sz w:val="5"/>
                <w:szCs w:val="5"/>
                <w:color w:val="auto"/>
              </w:rPr>
            </w:pPr>
          </w:p>
        </w:tc>
        <w:tc>
          <w:tcPr>
            <w:tcW w:w="120" w:type="dxa"/>
            <w:vAlign w:val="bottom"/>
          </w:tcPr>
          <w:p>
            <w:pPr>
              <w:spacing w:after="0"/>
              <w:rPr>
                <w:sz w:val="5"/>
                <w:szCs w:val="5"/>
                <w:color w:val="auto"/>
              </w:rPr>
            </w:pPr>
          </w:p>
        </w:tc>
        <w:tc>
          <w:tcPr>
            <w:tcW w:w="320" w:type="dxa"/>
            <w:vAlign w:val="bottom"/>
          </w:tcPr>
          <w:p>
            <w:pPr>
              <w:spacing w:after="0"/>
              <w:rPr>
                <w:sz w:val="5"/>
                <w:szCs w:val="5"/>
                <w:color w:val="auto"/>
              </w:rPr>
            </w:pPr>
          </w:p>
        </w:tc>
        <w:tc>
          <w:tcPr>
            <w:tcW w:w="1040" w:type="dxa"/>
            <w:vAlign w:val="bottom"/>
            <w:vMerge w:val="continue"/>
          </w:tcPr>
          <w:p>
            <w:pPr>
              <w:spacing w:after="0"/>
              <w:rPr>
                <w:sz w:val="5"/>
                <w:szCs w:val="5"/>
                <w:color w:val="auto"/>
              </w:rPr>
            </w:pPr>
          </w:p>
        </w:tc>
        <w:tc>
          <w:tcPr>
            <w:tcW w:w="100" w:type="dxa"/>
            <w:vAlign w:val="bottom"/>
          </w:tcPr>
          <w:p>
            <w:pPr>
              <w:spacing w:after="0"/>
              <w:rPr>
                <w:sz w:val="5"/>
                <w:szCs w:val="5"/>
                <w:color w:val="auto"/>
              </w:rPr>
            </w:pPr>
          </w:p>
        </w:tc>
        <w:tc>
          <w:tcPr>
            <w:tcW w:w="340" w:type="dxa"/>
            <w:vAlign w:val="bottom"/>
          </w:tcPr>
          <w:p>
            <w:pPr>
              <w:spacing w:after="0"/>
              <w:rPr>
                <w:sz w:val="5"/>
                <w:szCs w:val="5"/>
                <w:color w:val="auto"/>
              </w:rPr>
            </w:pPr>
          </w:p>
        </w:tc>
        <w:tc>
          <w:tcPr>
            <w:tcW w:w="104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r>
        <w:trPr>
          <w:trHeight w:val="212"/>
        </w:trPr>
        <w:tc>
          <w:tcPr>
            <w:tcW w:w="7040" w:type="dxa"/>
            <w:vAlign w:val="bottom"/>
            <w:gridSpan w:val="2"/>
            <w:shd w:val="clear" w:color="auto" w:fill="CCEEFF"/>
          </w:tcPr>
          <w:p>
            <w:pPr>
              <w:ind w:left="280"/>
              <w:spacing w:after="0"/>
              <w:rPr>
                <w:sz w:val="20"/>
                <w:szCs w:val="20"/>
                <w:color w:val="auto"/>
              </w:rPr>
            </w:pPr>
            <w:r>
              <w:rPr>
                <w:rFonts w:ascii="Arial" w:cs="Arial" w:eastAsia="Arial" w:hAnsi="Arial"/>
                <w:sz w:val="15"/>
                <w:szCs w:val="15"/>
                <w:color w:val="auto"/>
              </w:rPr>
              <w:t>Proceeds from sale-leaseback transactions</w:t>
            </w:r>
          </w:p>
        </w:tc>
        <w:tc>
          <w:tcPr>
            <w:tcW w:w="320" w:type="dxa"/>
            <w:vAlign w:val="bottom"/>
            <w:shd w:val="clear" w:color="auto" w:fill="CCEEFF"/>
          </w:tcPr>
          <w:p>
            <w:pPr>
              <w:spacing w:after="0"/>
              <w:rPr>
                <w:sz w:val="18"/>
                <w:szCs w:val="18"/>
                <w:color w:val="auto"/>
              </w:rPr>
            </w:pPr>
          </w:p>
        </w:tc>
        <w:tc>
          <w:tcPr>
            <w:tcW w:w="1000" w:type="dxa"/>
            <w:vAlign w:val="bottom"/>
            <w:vMerge w:val="restart"/>
            <w:shd w:val="clear" w:color="auto" w:fill="CCEEFF"/>
          </w:tcPr>
          <w:p>
            <w:pPr>
              <w:jc w:val="right"/>
              <w:spacing w:after="0"/>
              <w:rPr>
                <w:sz w:val="20"/>
                <w:szCs w:val="20"/>
                <w:color w:val="auto"/>
              </w:rPr>
            </w:pPr>
            <w:r>
              <w:rPr>
                <w:rFonts w:ascii="Arial" w:cs="Arial" w:eastAsia="Arial" w:hAnsi="Arial"/>
                <w:sz w:val="15"/>
                <w:szCs w:val="15"/>
                <w:color w:val="auto"/>
              </w:rPr>
              <w:t>850</w:t>
            </w:r>
          </w:p>
        </w:tc>
        <w:tc>
          <w:tcPr>
            <w:tcW w:w="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40" w:type="dxa"/>
            <w:vAlign w:val="bottom"/>
            <w:vMerge w:val="restart"/>
            <w:shd w:val="clear" w:color="auto" w:fill="CCEEFF"/>
          </w:tcPr>
          <w:p>
            <w:pPr>
              <w:jc w:val="right"/>
              <w:ind w:right="24"/>
              <w:spacing w:after="0"/>
              <w:rPr>
                <w:sz w:val="20"/>
                <w:szCs w:val="20"/>
                <w:color w:val="auto"/>
              </w:rPr>
            </w:pPr>
            <w:r>
              <w:rPr>
                <w:rFonts w:ascii="Arial" w:cs="Arial" w:eastAsia="Arial" w:hAnsi="Arial"/>
                <w:sz w:val="15"/>
                <w:szCs w:val="15"/>
                <w:color w:val="auto"/>
              </w:rPr>
              <w:t>1,096</w:t>
            </w:r>
          </w:p>
        </w:tc>
        <w:tc>
          <w:tcPr>
            <w:tcW w:w="1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040" w:type="dxa"/>
            <w:vAlign w:val="bottom"/>
            <w:vMerge w:val="restart"/>
            <w:shd w:val="clear" w:color="auto" w:fill="CCEEFF"/>
          </w:tcPr>
          <w:p>
            <w:pPr>
              <w:jc w:val="right"/>
              <w:ind w:right="44"/>
              <w:spacing w:after="0"/>
              <w:rPr>
                <w:sz w:val="20"/>
                <w:szCs w:val="20"/>
                <w:color w:val="auto"/>
              </w:rPr>
            </w:pPr>
            <w:r>
              <w:rPr>
                <w:rFonts w:ascii="Arial" w:cs="Arial" w:eastAsia="Arial" w:hAnsi="Arial"/>
                <w:sz w:val="15"/>
                <w:szCs w:val="15"/>
                <w:color w:val="auto"/>
              </w:rPr>
              <w:t>853</w:t>
            </w:r>
          </w:p>
        </w:tc>
        <w:tc>
          <w:tcPr>
            <w:tcW w:w="0" w:type="dxa"/>
            <w:vAlign w:val="bottom"/>
          </w:tcPr>
          <w:p>
            <w:pPr>
              <w:spacing w:after="0"/>
              <w:rPr>
                <w:sz w:val="1"/>
                <w:szCs w:val="1"/>
                <w:color w:val="auto"/>
              </w:rPr>
            </w:pPr>
          </w:p>
        </w:tc>
      </w:tr>
      <w:tr>
        <w:trPr>
          <w:trHeight w:val="62"/>
        </w:trPr>
        <w:tc>
          <w:tcPr>
            <w:tcW w:w="2120" w:type="dxa"/>
            <w:vAlign w:val="bottom"/>
            <w:shd w:val="clear" w:color="auto" w:fill="CCEEFF"/>
          </w:tcPr>
          <w:p>
            <w:pPr>
              <w:spacing w:after="0"/>
              <w:rPr>
                <w:sz w:val="5"/>
                <w:szCs w:val="5"/>
                <w:color w:val="auto"/>
              </w:rPr>
            </w:pPr>
          </w:p>
        </w:tc>
        <w:tc>
          <w:tcPr>
            <w:tcW w:w="4920" w:type="dxa"/>
            <w:vAlign w:val="bottom"/>
            <w:shd w:val="clear" w:color="auto" w:fill="CCEEFF"/>
          </w:tcPr>
          <w:p>
            <w:pPr>
              <w:spacing w:after="0"/>
              <w:rPr>
                <w:sz w:val="5"/>
                <w:szCs w:val="5"/>
                <w:color w:val="auto"/>
              </w:rPr>
            </w:pPr>
          </w:p>
        </w:tc>
        <w:tc>
          <w:tcPr>
            <w:tcW w:w="320" w:type="dxa"/>
            <w:vAlign w:val="bottom"/>
            <w:shd w:val="clear" w:color="auto" w:fill="CCEEFF"/>
          </w:tcPr>
          <w:p>
            <w:pPr>
              <w:spacing w:after="0"/>
              <w:rPr>
                <w:sz w:val="5"/>
                <w:szCs w:val="5"/>
                <w:color w:val="auto"/>
              </w:rPr>
            </w:pPr>
          </w:p>
        </w:tc>
        <w:tc>
          <w:tcPr>
            <w:tcW w:w="1000" w:type="dxa"/>
            <w:vAlign w:val="bottom"/>
            <w:vMerge w:val="continue"/>
            <w:shd w:val="clear" w:color="auto" w:fill="CCEEFF"/>
          </w:tcPr>
          <w:p>
            <w:pPr>
              <w:spacing w:after="0"/>
              <w:rPr>
                <w:sz w:val="5"/>
                <w:szCs w:val="5"/>
                <w:color w:val="auto"/>
              </w:rPr>
            </w:pPr>
          </w:p>
        </w:tc>
        <w:tc>
          <w:tcPr>
            <w:tcW w:w="40" w:type="dxa"/>
            <w:vAlign w:val="bottom"/>
            <w:shd w:val="clear" w:color="auto" w:fill="CCEEFF"/>
          </w:tcPr>
          <w:p>
            <w:pPr>
              <w:spacing w:after="0"/>
              <w:rPr>
                <w:sz w:val="5"/>
                <w:szCs w:val="5"/>
                <w:color w:val="auto"/>
              </w:rPr>
            </w:pPr>
          </w:p>
        </w:tc>
        <w:tc>
          <w:tcPr>
            <w:tcW w:w="120" w:type="dxa"/>
            <w:vAlign w:val="bottom"/>
            <w:shd w:val="clear" w:color="auto" w:fill="CCEEFF"/>
          </w:tcPr>
          <w:p>
            <w:pPr>
              <w:spacing w:after="0"/>
              <w:rPr>
                <w:sz w:val="5"/>
                <w:szCs w:val="5"/>
                <w:color w:val="auto"/>
              </w:rPr>
            </w:pPr>
          </w:p>
        </w:tc>
        <w:tc>
          <w:tcPr>
            <w:tcW w:w="320" w:type="dxa"/>
            <w:vAlign w:val="bottom"/>
            <w:shd w:val="clear" w:color="auto" w:fill="CCEEFF"/>
          </w:tcPr>
          <w:p>
            <w:pPr>
              <w:spacing w:after="0"/>
              <w:rPr>
                <w:sz w:val="5"/>
                <w:szCs w:val="5"/>
                <w:color w:val="auto"/>
              </w:rPr>
            </w:pPr>
          </w:p>
        </w:tc>
        <w:tc>
          <w:tcPr>
            <w:tcW w:w="1040" w:type="dxa"/>
            <w:vAlign w:val="bottom"/>
            <w:vMerge w:val="continue"/>
            <w:shd w:val="clear" w:color="auto" w:fill="CCEEFF"/>
          </w:tcPr>
          <w:p>
            <w:pPr>
              <w:spacing w:after="0"/>
              <w:rPr>
                <w:sz w:val="5"/>
                <w:szCs w:val="5"/>
                <w:color w:val="auto"/>
              </w:rPr>
            </w:pPr>
          </w:p>
        </w:tc>
        <w:tc>
          <w:tcPr>
            <w:tcW w:w="100" w:type="dxa"/>
            <w:vAlign w:val="bottom"/>
            <w:shd w:val="clear" w:color="auto" w:fill="CCEEFF"/>
          </w:tcPr>
          <w:p>
            <w:pPr>
              <w:spacing w:after="0"/>
              <w:rPr>
                <w:sz w:val="5"/>
                <w:szCs w:val="5"/>
                <w:color w:val="auto"/>
              </w:rPr>
            </w:pPr>
          </w:p>
        </w:tc>
        <w:tc>
          <w:tcPr>
            <w:tcW w:w="340" w:type="dxa"/>
            <w:vAlign w:val="bottom"/>
            <w:shd w:val="clear" w:color="auto" w:fill="CCEEFF"/>
          </w:tcPr>
          <w:p>
            <w:pPr>
              <w:spacing w:after="0"/>
              <w:rPr>
                <w:sz w:val="5"/>
                <w:szCs w:val="5"/>
                <w:color w:val="auto"/>
              </w:rPr>
            </w:pPr>
          </w:p>
        </w:tc>
        <w:tc>
          <w:tcPr>
            <w:tcW w:w="1040" w:type="dxa"/>
            <w:vAlign w:val="bottom"/>
            <w:vMerge w:val="continue"/>
            <w:shd w:val="clear" w:color="auto" w:fill="CCEEFF"/>
          </w:tcPr>
          <w:p>
            <w:pPr>
              <w:spacing w:after="0"/>
              <w:rPr>
                <w:sz w:val="5"/>
                <w:szCs w:val="5"/>
                <w:color w:val="auto"/>
              </w:rPr>
            </w:pPr>
          </w:p>
        </w:tc>
        <w:tc>
          <w:tcPr>
            <w:tcW w:w="0" w:type="dxa"/>
            <w:vAlign w:val="bottom"/>
          </w:tcPr>
          <w:p>
            <w:pPr>
              <w:spacing w:after="0"/>
              <w:rPr>
                <w:sz w:val="1"/>
                <w:szCs w:val="1"/>
                <w:color w:val="auto"/>
              </w:rPr>
            </w:pPr>
          </w:p>
        </w:tc>
      </w:tr>
      <w:tr>
        <w:trPr>
          <w:trHeight w:val="208"/>
        </w:trPr>
        <w:tc>
          <w:tcPr>
            <w:tcW w:w="7040" w:type="dxa"/>
            <w:vAlign w:val="bottom"/>
            <w:gridSpan w:val="2"/>
          </w:tcPr>
          <w:p>
            <w:pPr>
              <w:ind w:left="280"/>
              <w:spacing w:after="0"/>
              <w:rPr>
                <w:sz w:val="20"/>
                <w:szCs w:val="20"/>
                <w:color w:val="auto"/>
              </w:rPr>
            </w:pPr>
            <w:r>
              <w:rPr>
                <w:rFonts w:ascii="Arial" w:cs="Arial" w:eastAsia="Arial" w:hAnsi="Arial"/>
                <w:sz w:val="15"/>
                <w:szCs w:val="15"/>
                <w:color w:val="auto"/>
              </w:rPr>
              <w:t>Proceeds from sale of property and equipment</w:t>
            </w:r>
          </w:p>
        </w:tc>
        <w:tc>
          <w:tcPr>
            <w:tcW w:w="320" w:type="dxa"/>
            <w:vAlign w:val="bottom"/>
          </w:tcPr>
          <w:p>
            <w:pPr>
              <w:spacing w:after="0"/>
              <w:rPr>
                <w:sz w:val="18"/>
                <w:szCs w:val="18"/>
                <w:color w:val="auto"/>
              </w:rPr>
            </w:pPr>
          </w:p>
        </w:tc>
        <w:tc>
          <w:tcPr>
            <w:tcW w:w="1000" w:type="dxa"/>
            <w:vAlign w:val="bottom"/>
            <w:vMerge w:val="restart"/>
          </w:tcPr>
          <w:p>
            <w:pPr>
              <w:jc w:val="right"/>
              <w:spacing w:after="0"/>
              <w:rPr>
                <w:sz w:val="20"/>
                <w:szCs w:val="20"/>
                <w:color w:val="auto"/>
              </w:rPr>
            </w:pPr>
            <w:r>
              <w:rPr>
                <w:rFonts w:ascii="Arial" w:cs="Arial" w:eastAsia="Arial" w:hAnsi="Arial"/>
                <w:sz w:val="15"/>
                <w:szCs w:val="15"/>
                <w:color w:val="auto"/>
              </w:rPr>
              <w:t>49</w:t>
            </w:r>
          </w:p>
        </w:tc>
        <w:tc>
          <w:tcPr>
            <w:tcW w:w="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40" w:type="dxa"/>
            <w:vAlign w:val="bottom"/>
            <w:vMerge w:val="restart"/>
          </w:tcPr>
          <w:p>
            <w:pPr>
              <w:jc w:val="right"/>
              <w:ind w:right="24"/>
              <w:spacing w:after="0"/>
              <w:rPr>
                <w:sz w:val="20"/>
                <w:szCs w:val="20"/>
                <w:color w:val="auto"/>
              </w:rPr>
            </w:pPr>
            <w:r>
              <w:rPr>
                <w:rFonts w:ascii="Arial" w:cs="Arial" w:eastAsia="Arial" w:hAnsi="Arial"/>
                <w:sz w:val="15"/>
                <w:szCs w:val="15"/>
                <w:color w:val="auto"/>
              </w:rPr>
              <w:t>106</w:t>
            </w: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040" w:type="dxa"/>
            <w:vAlign w:val="bottom"/>
            <w:vMerge w:val="restart"/>
          </w:tcPr>
          <w:p>
            <w:pPr>
              <w:jc w:val="right"/>
              <w:ind w:right="44"/>
              <w:spacing w:after="0"/>
              <w:rPr>
                <w:sz w:val="20"/>
                <w:szCs w:val="20"/>
                <w:color w:val="auto"/>
              </w:rPr>
            </w:pPr>
            <w:r>
              <w:rPr>
                <w:rFonts w:ascii="Arial" w:cs="Arial" w:eastAsia="Arial" w:hAnsi="Arial"/>
                <w:sz w:val="15"/>
                <w:szCs w:val="15"/>
                <w:color w:val="auto"/>
              </w:rPr>
              <w:t>69</w:t>
            </w:r>
          </w:p>
        </w:tc>
        <w:tc>
          <w:tcPr>
            <w:tcW w:w="0" w:type="dxa"/>
            <w:vAlign w:val="bottom"/>
          </w:tcPr>
          <w:p>
            <w:pPr>
              <w:spacing w:after="0"/>
              <w:rPr>
                <w:sz w:val="1"/>
                <w:szCs w:val="1"/>
                <w:color w:val="auto"/>
              </w:rPr>
            </w:pPr>
          </w:p>
        </w:tc>
      </w:tr>
      <w:tr>
        <w:trPr>
          <w:trHeight w:val="58"/>
        </w:trPr>
        <w:tc>
          <w:tcPr>
            <w:tcW w:w="2120" w:type="dxa"/>
            <w:vAlign w:val="bottom"/>
          </w:tcPr>
          <w:p>
            <w:pPr>
              <w:spacing w:after="0"/>
              <w:rPr>
                <w:sz w:val="5"/>
                <w:szCs w:val="5"/>
                <w:color w:val="auto"/>
              </w:rPr>
            </w:pPr>
          </w:p>
        </w:tc>
        <w:tc>
          <w:tcPr>
            <w:tcW w:w="4920" w:type="dxa"/>
            <w:vAlign w:val="bottom"/>
          </w:tcPr>
          <w:p>
            <w:pPr>
              <w:spacing w:after="0"/>
              <w:rPr>
                <w:sz w:val="5"/>
                <w:szCs w:val="5"/>
                <w:color w:val="auto"/>
              </w:rPr>
            </w:pPr>
          </w:p>
        </w:tc>
        <w:tc>
          <w:tcPr>
            <w:tcW w:w="320" w:type="dxa"/>
            <w:vAlign w:val="bottom"/>
          </w:tcPr>
          <w:p>
            <w:pPr>
              <w:spacing w:after="0"/>
              <w:rPr>
                <w:sz w:val="5"/>
                <w:szCs w:val="5"/>
                <w:color w:val="auto"/>
              </w:rPr>
            </w:pPr>
          </w:p>
        </w:tc>
        <w:tc>
          <w:tcPr>
            <w:tcW w:w="1000" w:type="dxa"/>
            <w:vAlign w:val="bottom"/>
            <w:vMerge w:val="continue"/>
          </w:tcPr>
          <w:p>
            <w:pPr>
              <w:spacing w:after="0"/>
              <w:rPr>
                <w:sz w:val="5"/>
                <w:szCs w:val="5"/>
                <w:color w:val="auto"/>
              </w:rPr>
            </w:pPr>
          </w:p>
        </w:tc>
        <w:tc>
          <w:tcPr>
            <w:tcW w:w="40" w:type="dxa"/>
            <w:vAlign w:val="bottom"/>
          </w:tcPr>
          <w:p>
            <w:pPr>
              <w:spacing w:after="0"/>
              <w:rPr>
                <w:sz w:val="5"/>
                <w:szCs w:val="5"/>
                <w:color w:val="auto"/>
              </w:rPr>
            </w:pPr>
          </w:p>
        </w:tc>
        <w:tc>
          <w:tcPr>
            <w:tcW w:w="120" w:type="dxa"/>
            <w:vAlign w:val="bottom"/>
          </w:tcPr>
          <w:p>
            <w:pPr>
              <w:spacing w:after="0"/>
              <w:rPr>
                <w:sz w:val="5"/>
                <w:szCs w:val="5"/>
                <w:color w:val="auto"/>
              </w:rPr>
            </w:pPr>
          </w:p>
        </w:tc>
        <w:tc>
          <w:tcPr>
            <w:tcW w:w="320" w:type="dxa"/>
            <w:vAlign w:val="bottom"/>
          </w:tcPr>
          <w:p>
            <w:pPr>
              <w:spacing w:after="0"/>
              <w:rPr>
                <w:sz w:val="5"/>
                <w:szCs w:val="5"/>
                <w:color w:val="auto"/>
              </w:rPr>
            </w:pPr>
          </w:p>
        </w:tc>
        <w:tc>
          <w:tcPr>
            <w:tcW w:w="1040" w:type="dxa"/>
            <w:vAlign w:val="bottom"/>
            <w:vMerge w:val="continue"/>
          </w:tcPr>
          <w:p>
            <w:pPr>
              <w:spacing w:after="0"/>
              <w:rPr>
                <w:sz w:val="5"/>
                <w:szCs w:val="5"/>
                <w:color w:val="auto"/>
              </w:rPr>
            </w:pPr>
          </w:p>
        </w:tc>
        <w:tc>
          <w:tcPr>
            <w:tcW w:w="100" w:type="dxa"/>
            <w:vAlign w:val="bottom"/>
          </w:tcPr>
          <w:p>
            <w:pPr>
              <w:spacing w:after="0"/>
              <w:rPr>
                <w:sz w:val="5"/>
                <w:szCs w:val="5"/>
                <w:color w:val="auto"/>
              </w:rPr>
            </w:pPr>
          </w:p>
        </w:tc>
        <w:tc>
          <w:tcPr>
            <w:tcW w:w="340" w:type="dxa"/>
            <w:vAlign w:val="bottom"/>
          </w:tcPr>
          <w:p>
            <w:pPr>
              <w:spacing w:after="0"/>
              <w:rPr>
                <w:sz w:val="5"/>
                <w:szCs w:val="5"/>
                <w:color w:val="auto"/>
              </w:rPr>
            </w:pPr>
          </w:p>
        </w:tc>
        <w:tc>
          <w:tcPr>
            <w:tcW w:w="104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r>
        <w:trPr>
          <w:trHeight w:val="212"/>
        </w:trPr>
        <w:tc>
          <w:tcPr>
            <w:tcW w:w="7040" w:type="dxa"/>
            <w:vAlign w:val="bottom"/>
            <w:gridSpan w:val="2"/>
            <w:shd w:val="clear" w:color="auto" w:fill="CCEEFF"/>
          </w:tcPr>
          <w:p>
            <w:pPr>
              <w:ind w:left="280"/>
              <w:spacing w:after="0"/>
              <w:rPr>
                <w:sz w:val="20"/>
                <w:szCs w:val="20"/>
                <w:color w:val="auto"/>
              </w:rPr>
            </w:pPr>
            <w:r>
              <w:rPr>
                <w:rFonts w:ascii="Arial" w:cs="Arial" w:eastAsia="Arial" w:hAnsi="Arial"/>
                <w:sz w:val="15"/>
                <w:szCs w:val="15"/>
                <w:color w:val="auto"/>
              </w:rPr>
              <w:t>Purchases of short-term investments</w:t>
            </w:r>
          </w:p>
        </w:tc>
        <w:tc>
          <w:tcPr>
            <w:tcW w:w="320" w:type="dxa"/>
            <w:vAlign w:val="bottom"/>
            <w:shd w:val="clear" w:color="auto" w:fill="CCEEFF"/>
          </w:tcPr>
          <w:p>
            <w:pPr>
              <w:spacing w:after="0"/>
              <w:rPr>
                <w:sz w:val="18"/>
                <w:szCs w:val="18"/>
                <w:color w:val="auto"/>
              </w:rPr>
            </w:pPr>
          </w:p>
        </w:tc>
        <w:tc>
          <w:tcPr>
            <w:tcW w:w="1000" w:type="dxa"/>
            <w:vAlign w:val="bottom"/>
            <w:vMerge w:val="restart"/>
            <w:shd w:val="clear" w:color="auto" w:fill="CCEEFF"/>
          </w:tcPr>
          <w:p>
            <w:pPr>
              <w:jc w:val="right"/>
              <w:spacing w:after="0"/>
              <w:rPr>
                <w:sz w:val="20"/>
                <w:szCs w:val="20"/>
                <w:color w:val="auto"/>
              </w:rPr>
            </w:pPr>
            <w:r>
              <w:rPr>
                <w:rFonts w:ascii="Arial" w:cs="Arial" w:eastAsia="Arial" w:hAnsi="Arial"/>
                <w:sz w:val="15"/>
                <w:szCs w:val="15"/>
                <w:color w:val="auto"/>
              </w:rPr>
              <w:t>(3,184)</w:t>
            </w:r>
          </w:p>
        </w:tc>
        <w:tc>
          <w:tcPr>
            <w:tcW w:w="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40" w:type="dxa"/>
            <w:vAlign w:val="bottom"/>
            <w:vMerge w:val="restart"/>
            <w:shd w:val="clear" w:color="auto" w:fill="CCEEFF"/>
          </w:tcPr>
          <w:p>
            <w:pPr>
              <w:jc w:val="right"/>
              <w:spacing w:after="0"/>
              <w:rPr>
                <w:sz w:val="20"/>
                <w:szCs w:val="20"/>
                <w:color w:val="auto"/>
              </w:rPr>
            </w:pPr>
            <w:r>
              <w:rPr>
                <w:rFonts w:ascii="Arial" w:cs="Arial" w:eastAsia="Arial" w:hAnsi="Arial"/>
                <w:sz w:val="15"/>
                <w:szCs w:val="15"/>
                <w:color w:val="auto"/>
              </w:rPr>
              <w:t>(3,412)</w:t>
            </w:r>
          </w:p>
        </w:tc>
        <w:tc>
          <w:tcPr>
            <w:tcW w:w="1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040" w:type="dxa"/>
            <w:vAlign w:val="bottom"/>
            <w:vMerge w:val="restart"/>
            <w:shd w:val="clear" w:color="auto" w:fill="CCEEFF"/>
          </w:tcPr>
          <w:p>
            <w:pPr>
              <w:jc w:val="right"/>
              <w:spacing w:after="0"/>
              <w:rPr>
                <w:sz w:val="20"/>
                <w:szCs w:val="20"/>
                <w:color w:val="auto"/>
              </w:rPr>
            </w:pPr>
            <w:r>
              <w:rPr>
                <w:rFonts w:ascii="Arial" w:cs="Arial" w:eastAsia="Arial" w:hAnsi="Arial"/>
                <w:sz w:val="15"/>
                <w:szCs w:val="15"/>
                <w:color w:val="auto"/>
              </w:rPr>
              <w:t>(4,633)</w:t>
            </w:r>
          </w:p>
        </w:tc>
        <w:tc>
          <w:tcPr>
            <w:tcW w:w="0" w:type="dxa"/>
            <w:vAlign w:val="bottom"/>
          </w:tcPr>
          <w:p>
            <w:pPr>
              <w:spacing w:after="0"/>
              <w:rPr>
                <w:sz w:val="1"/>
                <w:szCs w:val="1"/>
                <w:color w:val="auto"/>
              </w:rPr>
            </w:pPr>
          </w:p>
        </w:tc>
      </w:tr>
      <w:tr>
        <w:trPr>
          <w:trHeight w:val="62"/>
        </w:trPr>
        <w:tc>
          <w:tcPr>
            <w:tcW w:w="2120" w:type="dxa"/>
            <w:vAlign w:val="bottom"/>
            <w:shd w:val="clear" w:color="auto" w:fill="CCEEFF"/>
          </w:tcPr>
          <w:p>
            <w:pPr>
              <w:spacing w:after="0"/>
              <w:rPr>
                <w:sz w:val="5"/>
                <w:szCs w:val="5"/>
                <w:color w:val="auto"/>
              </w:rPr>
            </w:pPr>
          </w:p>
        </w:tc>
        <w:tc>
          <w:tcPr>
            <w:tcW w:w="4920" w:type="dxa"/>
            <w:vAlign w:val="bottom"/>
            <w:shd w:val="clear" w:color="auto" w:fill="CCEEFF"/>
          </w:tcPr>
          <w:p>
            <w:pPr>
              <w:spacing w:after="0"/>
              <w:rPr>
                <w:sz w:val="5"/>
                <w:szCs w:val="5"/>
                <w:color w:val="auto"/>
              </w:rPr>
            </w:pPr>
          </w:p>
        </w:tc>
        <w:tc>
          <w:tcPr>
            <w:tcW w:w="320" w:type="dxa"/>
            <w:vAlign w:val="bottom"/>
            <w:shd w:val="clear" w:color="auto" w:fill="CCEEFF"/>
          </w:tcPr>
          <w:p>
            <w:pPr>
              <w:spacing w:after="0"/>
              <w:rPr>
                <w:sz w:val="5"/>
                <w:szCs w:val="5"/>
                <w:color w:val="auto"/>
              </w:rPr>
            </w:pPr>
          </w:p>
        </w:tc>
        <w:tc>
          <w:tcPr>
            <w:tcW w:w="1000" w:type="dxa"/>
            <w:vAlign w:val="bottom"/>
            <w:vMerge w:val="continue"/>
            <w:shd w:val="clear" w:color="auto" w:fill="CCEEFF"/>
          </w:tcPr>
          <w:p>
            <w:pPr>
              <w:spacing w:after="0"/>
              <w:rPr>
                <w:sz w:val="5"/>
                <w:szCs w:val="5"/>
                <w:color w:val="auto"/>
              </w:rPr>
            </w:pPr>
          </w:p>
        </w:tc>
        <w:tc>
          <w:tcPr>
            <w:tcW w:w="40" w:type="dxa"/>
            <w:vAlign w:val="bottom"/>
            <w:shd w:val="clear" w:color="auto" w:fill="CCEEFF"/>
          </w:tcPr>
          <w:p>
            <w:pPr>
              <w:spacing w:after="0"/>
              <w:rPr>
                <w:sz w:val="5"/>
                <w:szCs w:val="5"/>
                <w:color w:val="auto"/>
              </w:rPr>
            </w:pPr>
          </w:p>
        </w:tc>
        <w:tc>
          <w:tcPr>
            <w:tcW w:w="120" w:type="dxa"/>
            <w:vAlign w:val="bottom"/>
            <w:shd w:val="clear" w:color="auto" w:fill="CCEEFF"/>
          </w:tcPr>
          <w:p>
            <w:pPr>
              <w:spacing w:after="0"/>
              <w:rPr>
                <w:sz w:val="5"/>
                <w:szCs w:val="5"/>
                <w:color w:val="auto"/>
              </w:rPr>
            </w:pPr>
          </w:p>
        </w:tc>
        <w:tc>
          <w:tcPr>
            <w:tcW w:w="320" w:type="dxa"/>
            <w:vAlign w:val="bottom"/>
            <w:shd w:val="clear" w:color="auto" w:fill="CCEEFF"/>
          </w:tcPr>
          <w:p>
            <w:pPr>
              <w:spacing w:after="0"/>
              <w:rPr>
                <w:sz w:val="5"/>
                <w:szCs w:val="5"/>
                <w:color w:val="auto"/>
              </w:rPr>
            </w:pPr>
          </w:p>
        </w:tc>
        <w:tc>
          <w:tcPr>
            <w:tcW w:w="1040" w:type="dxa"/>
            <w:vAlign w:val="bottom"/>
            <w:vMerge w:val="continue"/>
            <w:shd w:val="clear" w:color="auto" w:fill="CCEEFF"/>
          </w:tcPr>
          <w:p>
            <w:pPr>
              <w:spacing w:after="0"/>
              <w:rPr>
                <w:sz w:val="5"/>
                <w:szCs w:val="5"/>
                <w:color w:val="auto"/>
              </w:rPr>
            </w:pPr>
          </w:p>
        </w:tc>
        <w:tc>
          <w:tcPr>
            <w:tcW w:w="100" w:type="dxa"/>
            <w:vAlign w:val="bottom"/>
            <w:shd w:val="clear" w:color="auto" w:fill="CCEEFF"/>
          </w:tcPr>
          <w:p>
            <w:pPr>
              <w:spacing w:after="0"/>
              <w:rPr>
                <w:sz w:val="5"/>
                <w:szCs w:val="5"/>
                <w:color w:val="auto"/>
              </w:rPr>
            </w:pPr>
          </w:p>
        </w:tc>
        <w:tc>
          <w:tcPr>
            <w:tcW w:w="340" w:type="dxa"/>
            <w:vAlign w:val="bottom"/>
            <w:shd w:val="clear" w:color="auto" w:fill="CCEEFF"/>
          </w:tcPr>
          <w:p>
            <w:pPr>
              <w:spacing w:after="0"/>
              <w:rPr>
                <w:sz w:val="5"/>
                <w:szCs w:val="5"/>
                <w:color w:val="auto"/>
              </w:rPr>
            </w:pPr>
          </w:p>
        </w:tc>
        <w:tc>
          <w:tcPr>
            <w:tcW w:w="1040" w:type="dxa"/>
            <w:vAlign w:val="bottom"/>
            <w:vMerge w:val="continue"/>
            <w:shd w:val="clear" w:color="auto" w:fill="CCEEFF"/>
          </w:tcPr>
          <w:p>
            <w:pPr>
              <w:spacing w:after="0"/>
              <w:rPr>
                <w:sz w:val="5"/>
                <w:szCs w:val="5"/>
                <w:color w:val="auto"/>
              </w:rPr>
            </w:pPr>
          </w:p>
        </w:tc>
        <w:tc>
          <w:tcPr>
            <w:tcW w:w="0" w:type="dxa"/>
            <w:vAlign w:val="bottom"/>
          </w:tcPr>
          <w:p>
            <w:pPr>
              <w:spacing w:after="0"/>
              <w:rPr>
                <w:sz w:val="1"/>
                <w:szCs w:val="1"/>
                <w:color w:val="auto"/>
              </w:rPr>
            </w:pPr>
          </w:p>
        </w:tc>
      </w:tr>
      <w:tr>
        <w:trPr>
          <w:trHeight w:val="208"/>
        </w:trPr>
        <w:tc>
          <w:tcPr>
            <w:tcW w:w="7040" w:type="dxa"/>
            <w:vAlign w:val="bottom"/>
            <w:gridSpan w:val="2"/>
          </w:tcPr>
          <w:p>
            <w:pPr>
              <w:ind w:left="280"/>
              <w:spacing w:after="0"/>
              <w:rPr>
                <w:sz w:val="20"/>
                <w:szCs w:val="20"/>
                <w:color w:val="auto"/>
              </w:rPr>
            </w:pPr>
            <w:r>
              <w:rPr>
                <w:rFonts w:ascii="Arial" w:cs="Arial" w:eastAsia="Arial" w:hAnsi="Arial"/>
                <w:sz w:val="15"/>
                <w:szCs w:val="15"/>
                <w:color w:val="auto"/>
              </w:rPr>
              <w:t>Sales of short-term investments</w:t>
            </w:r>
          </w:p>
        </w:tc>
        <w:tc>
          <w:tcPr>
            <w:tcW w:w="320" w:type="dxa"/>
            <w:vAlign w:val="bottom"/>
          </w:tcPr>
          <w:p>
            <w:pPr>
              <w:spacing w:after="0"/>
              <w:rPr>
                <w:sz w:val="18"/>
                <w:szCs w:val="18"/>
                <w:color w:val="auto"/>
              </w:rPr>
            </w:pPr>
          </w:p>
        </w:tc>
        <w:tc>
          <w:tcPr>
            <w:tcW w:w="1000" w:type="dxa"/>
            <w:vAlign w:val="bottom"/>
            <w:vMerge w:val="restart"/>
          </w:tcPr>
          <w:p>
            <w:pPr>
              <w:jc w:val="right"/>
              <w:spacing w:after="0"/>
              <w:rPr>
                <w:sz w:val="20"/>
                <w:szCs w:val="20"/>
                <w:color w:val="auto"/>
              </w:rPr>
            </w:pPr>
            <w:r>
              <w:rPr>
                <w:rFonts w:ascii="Arial" w:cs="Arial" w:eastAsia="Arial" w:hAnsi="Arial"/>
                <w:sz w:val="15"/>
                <w:szCs w:val="15"/>
                <w:color w:val="auto"/>
              </w:rPr>
              <w:t>4,144</w:t>
            </w:r>
          </w:p>
        </w:tc>
        <w:tc>
          <w:tcPr>
            <w:tcW w:w="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40" w:type="dxa"/>
            <w:vAlign w:val="bottom"/>
            <w:vMerge w:val="restart"/>
          </w:tcPr>
          <w:p>
            <w:pPr>
              <w:jc w:val="right"/>
              <w:ind w:right="24"/>
              <w:spacing w:after="0"/>
              <w:rPr>
                <w:sz w:val="20"/>
                <w:szCs w:val="20"/>
                <w:color w:val="auto"/>
              </w:rPr>
            </w:pPr>
            <w:r>
              <w:rPr>
                <w:rFonts w:ascii="Arial" w:cs="Arial" w:eastAsia="Arial" w:hAnsi="Arial"/>
                <w:sz w:val="15"/>
                <w:szCs w:val="15"/>
                <w:color w:val="auto"/>
              </w:rPr>
              <w:t>3,705</w:t>
            </w: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040" w:type="dxa"/>
            <w:vAlign w:val="bottom"/>
            <w:vMerge w:val="restart"/>
          </w:tcPr>
          <w:p>
            <w:pPr>
              <w:jc w:val="right"/>
              <w:ind w:right="44"/>
              <w:spacing w:after="0"/>
              <w:rPr>
                <w:sz w:val="20"/>
                <w:szCs w:val="20"/>
                <w:color w:val="auto"/>
              </w:rPr>
            </w:pPr>
            <w:r>
              <w:rPr>
                <w:rFonts w:ascii="Arial" w:cs="Arial" w:eastAsia="Arial" w:hAnsi="Arial"/>
                <w:sz w:val="15"/>
                <w:szCs w:val="15"/>
                <w:color w:val="auto"/>
              </w:rPr>
              <w:t>5,915</w:t>
            </w:r>
          </w:p>
        </w:tc>
        <w:tc>
          <w:tcPr>
            <w:tcW w:w="0" w:type="dxa"/>
            <w:vAlign w:val="bottom"/>
          </w:tcPr>
          <w:p>
            <w:pPr>
              <w:spacing w:after="0"/>
              <w:rPr>
                <w:sz w:val="1"/>
                <w:szCs w:val="1"/>
                <w:color w:val="auto"/>
              </w:rPr>
            </w:pPr>
          </w:p>
        </w:tc>
      </w:tr>
      <w:tr>
        <w:trPr>
          <w:trHeight w:val="58"/>
        </w:trPr>
        <w:tc>
          <w:tcPr>
            <w:tcW w:w="2120" w:type="dxa"/>
            <w:vAlign w:val="bottom"/>
          </w:tcPr>
          <w:p>
            <w:pPr>
              <w:spacing w:after="0"/>
              <w:rPr>
                <w:sz w:val="5"/>
                <w:szCs w:val="5"/>
                <w:color w:val="auto"/>
              </w:rPr>
            </w:pPr>
          </w:p>
        </w:tc>
        <w:tc>
          <w:tcPr>
            <w:tcW w:w="4920" w:type="dxa"/>
            <w:vAlign w:val="bottom"/>
          </w:tcPr>
          <w:p>
            <w:pPr>
              <w:spacing w:after="0"/>
              <w:rPr>
                <w:sz w:val="5"/>
                <w:szCs w:val="5"/>
                <w:color w:val="auto"/>
              </w:rPr>
            </w:pPr>
          </w:p>
        </w:tc>
        <w:tc>
          <w:tcPr>
            <w:tcW w:w="320" w:type="dxa"/>
            <w:vAlign w:val="bottom"/>
          </w:tcPr>
          <w:p>
            <w:pPr>
              <w:spacing w:after="0"/>
              <w:rPr>
                <w:sz w:val="5"/>
                <w:szCs w:val="5"/>
                <w:color w:val="auto"/>
              </w:rPr>
            </w:pPr>
          </w:p>
        </w:tc>
        <w:tc>
          <w:tcPr>
            <w:tcW w:w="1000" w:type="dxa"/>
            <w:vAlign w:val="bottom"/>
            <w:vMerge w:val="continue"/>
          </w:tcPr>
          <w:p>
            <w:pPr>
              <w:spacing w:after="0"/>
              <w:rPr>
                <w:sz w:val="5"/>
                <w:szCs w:val="5"/>
                <w:color w:val="auto"/>
              </w:rPr>
            </w:pPr>
          </w:p>
        </w:tc>
        <w:tc>
          <w:tcPr>
            <w:tcW w:w="40" w:type="dxa"/>
            <w:vAlign w:val="bottom"/>
          </w:tcPr>
          <w:p>
            <w:pPr>
              <w:spacing w:after="0"/>
              <w:rPr>
                <w:sz w:val="5"/>
                <w:szCs w:val="5"/>
                <w:color w:val="auto"/>
              </w:rPr>
            </w:pPr>
          </w:p>
        </w:tc>
        <w:tc>
          <w:tcPr>
            <w:tcW w:w="120" w:type="dxa"/>
            <w:vAlign w:val="bottom"/>
          </w:tcPr>
          <w:p>
            <w:pPr>
              <w:spacing w:after="0"/>
              <w:rPr>
                <w:sz w:val="5"/>
                <w:szCs w:val="5"/>
                <w:color w:val="auto"/>
              </w:rPr>
            </w:pPr>
          </w:p>
        </w:tc>
        <w:tc>
          <w:tcPr>
            <w:tcW w:w="320" w:type="dxa"/>
            <w:vAlign w:val="bottom"/>
          </w:tcPr>
          <w:p>
            <w:pPr>
              <w:spacing w:after="0"/>
              <w:rPr>
                <w:sz w:val="5"/>
                <w:szCs w:val="5"/>
                <w:color w:val="auto"/>
              </w:rPr>
            </w:pPr>
          </w:p>
        </w:tc>
        <w:tc>
          <w:tcPr>
            <w:tcW w:w="1040" w:type="dxa"/>
            <w:vAlign w:val="bottom"/>
            <w:vMerge w:val="continue"/>
          </w:tcPr>
          <w:p>
            <w:pPr>
              <w:spacing w:after="0"/>
              <w:rPr>
                <w:sz w:val="5"/>
                <w:szCs w:val="5"/>
                <w:color w:val="auto"/>
              </w:rPr>
            </w:pPr>
          </w:p>
        </w:tc>
        <w:tc>
          <w:tcPr>
            <w:tcW w:w="100" w:type="dxa"/>
            <w:vAlign w:val="bottom"/>
          </w:tcPr>
          <w:p>
            <w:pPr>
              <w:spacing w:after="0"/>
              <w:rPr>
                <w:sz w:val="5"/>
                <w:szCs w:val="5"/>
                <w:color w:val="auto"/>
              </w:rPr>
            </w:pPr>
          </w:p>
        </w:tc>
        <w:tc>
          <w:tcPr>
            <w:tcW w:w="340" w:type="dxa"/>
            <w:vAlign w:val="bottom"/>
          </w:tcPr>
          <w:p>
            <w:pPr>
              <w:spacing w:after="0"/>
              <w:rPr>
                <w:sz w:val="5"/>
                <w:szCs w:val="5"/>
                <w:color w:val="auto"/>
              </w:rPr>
            </w:pPr>
          </w:p>
        </w:tc>
        <w:tc>
          <w:tcPr>
            <w:tcW w:w="104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r>
        <w:trPr>
          <w:trHeight w:val="212"/>
        </w:trPr>
        <w:tc>
          <w:tcPr>
            <w:tcW w:w="7040" w:type="dxa"/>
            <w:vAlign w:val="bottom"/>
            <w:gridSpan w:val="2"/>
            <w:shd w:val="clear" w:color="auto" w:fill="CCEEFF"/>
          </w:tcPr>
          <w:p>
            <w:pPr>
              <w:ind w:left="280"/>
              <w:spacing w:after="0"/>
              <w:rPr>
                <w:sz w:val="20"/>
                <w:szCs w:val="20"/>
                <w:color w:val="auto"/>
              </w:rPr>
            </w:pPr>
            <w:r>
              <w:rPr>
                <w:rFonts w:ascii="Arial" w:cs="Arial" w:eastAsia="Arial" w:hAnsi="Arial"/>
                <w:sz w:val="15"/>
                <w:szCs w:val="15"/>
                <w:color w:val="auto"/>
              </w:rPr>
              <w:t>Proceeds from vendor</w:t>
            </w:r>
          </w:p>
        </w:tc>
        <w:tc>
          <w:tcPr>
            <w:tcW w:w="320" w:type="dxa"/>
            <w:vAlign w:val="bottom"/>
            <w:shd w:val="clear" w:color="auto" w:fill="CCEEFF"/>
          </w:tcPr>
          <w:p>
            <w:pPr>
              <w:spacing w:after="0"/>
              <w:rPr>
                <w:sz w:val="18"/>
                <w:szCs w:val="18"/>
                <w:color w:val="auto"/>
              </w:rPr>
            </w:pPr>
          </w:p>
        </w:tc>
        <w:tc>
          <w:tcPr>
            <w:tcW w:w="1000" w:type="dxa"/>
            <w:vAlign w:val="bottom"/>
            <w:vMerge w:val="restart"/>
            <w:shd w:val="clear" w:color="auto" w:fill="CCEEFF"/>
          </w:tcPr>
          <w:p>
            <w:pPr>
              <w:jc w:val="right"/>
              <w:spacing w:after="0"/>
              <w:rPr>
                <w:sz w:val="20"/>
                <w:szCs w:val="20"/>
                <w:color w:val="auto"/>
              </w:rPr>
            </w:pPr>
            <w:r>
              <w:rPr>
                <w:rFonts w:ascii="Arial" w:cs="Arial" w:eastAsia="Arial" w:hAnsi="Arial"/>
                <w:sz w:val="15"/>
                <w:szCs w:val="15"/>
                <w:color w:val="auto"/>
              </w:rPr>
              <w:t>250</w:t>
            </w:r>
          </w:p>
        </w:tc>
        <w:tc>
          <w:tcPr>
            <w:tcW w:w="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140" w:type="dxa"/>
            <w:vAlign w:val="bottom"/>
            <w:gridSpan w:val="2"/>
            <w:vMerge w:val="restart"/>
            <w:shd w:val="clear" w:color="auto" w:fill="CCEEFF"/>
          </w:tcPr>
          <w:p>
            <w:pPr>
              <w:jc w:val="right"/>
              <w:ind w:right="200"/>
              <w:spacing w:after="0"/>
              <w:rPr>
                <w:sz w:val="20"/>
                <w:szCs w:val="20"/>
                <w:color w:val="auto"/>
              </w:rPr>
            </w:pPr>
            <w:r>
              <w:rPr>
                <w:rFonts w:ascii="Arial" w:cs="Arial" w:eastAsia="Arial" w:hAnsi="Arial"/>
                <w:sz w:val="15"/>
                <w:szCs w:val="15"/>
                <w:color w:val="auto"/>
              </w:rPr>
              <w:t>—</w:t>
            </w:r>
          </w:p>
        </w:tc>
        <w:tc>
          <w:tcPr>
            <w:tcW w:w="340" w:type="dxa"/>
            <w:vAlign w:val="bottom"/>
            <w:shd w:val="clear" w:color="auto" w:fill="CCEEFF"/>
          </w:tcPr>
          <w:p>
            <w:pPr>
              <w:spacing w:after="0"/>
              <w:rPr>
                <w:sz w:val="18"/>
                <w:szCs w:val="18"/>
                <w:color w:val="auto"/>
              </w:rPr>
            </w:pPr>
          </w:p>
        </w:tc>
        <w:tc>
          <w:tcPr>
            <w:tcW w:w="1040" w:type="dxa"/>
            <w:vAlign w:val="bottom"/>
            <w:vMerge w:val="restart"/>
            <w:shd w:val="clear" w:color="auto" w:fill="CCEEFF"/>
          </w:tcPr>
          <w:p>
            <w:pPr>
              <w:jc w:val="right"/>
              <w:ind w:right="44"/>
              <w:spacing w:after="0"/>
              <w:rPr>
                <w:sz w:val="20"/>
                <w:szCs w:val="20"/>
                <w:color w:val="auto"/>
              </w:rPr>
            </w:pPr>
            <w:r>
              <w:rPr>
                <w:rFonts w:ascii="Arial" w:cs="Arial" w:eastAsia="Arial" w:hAnsi="Arial"/>
                <w:sz w:val="15"/>
                <w:szCs w:val="15"/>
                <w:color w:val="auto"/>
              </w:rPr>
              <w:t>—</w:t>
            </w:r>
          </w:p>
        </w:tc>
        <w:tc>
          <w:tcPr>
            <w:tcW w:w="0" w:type="dxa"/>
            <w:vAlign w:val="bottom"/>
          </w:tcPr>
          <w:p>
            <w:pPr>
              <w:spacing w:after="0"/>
              <w:rPr>
                <w:sz w:val="1"/>
                <w:szCs w:val="1"/>
                <w:color w:val="auto"/>
              </w:rPr>
            </w:pPr>
          </w:p>
        </w:tc>
      </w:tr>
      <w:tr>
        <w:trPr>
          <w:trHeight w:val="62"/>
        </w:trPr>
        <w:tc>
          <w:tcPr>
            <w:tcW w:w="2120" w:type="dxa"/>
            <w:vAlign w:val="bottom"/>
            <w:shd w:val="clear" w:color="auto" w:fill="CCEEFF"/>
          </w:tcPr>
          <w:p>
            <w:pPr>
              <w:spacing w:after="0"/>
              <w:rPr>
                <w:sz w:val="5"/>
                <w:szCs w:val="5"/>
                <w:color w:val="auto"/>
              </w:rPr>
            </w:pPr>
          </w:p>
        </w:tc>
        <w:tc>
          <w:tcPr>
            <w:tcW w:w="4920" w:type="dxa"/>
            <w:vAlign w:val="bottom"/>
            <w:shd w:val="clear" w:color="auto" w:fill="CCEEFF"/>
          </w:tcPr>
          <w:p>
            <w:pPr>
              <w:spacing w:after="0"/>
              <w:rPr>
                <w:sz w:val="5"/>
                <w:szCs w:val="5"/>
                <w:color w:val="auto"/>
              </w:rPr>
            </w:pPr>
          </w:p>
        </w:tc>
        <w:tc>
          <w:tcPr>
            <w:tcW w:w="320" w:type="dxa"/>
            <w:vAlign w:val="bottom"/>
            <w:shd w:val="clear" w:color="auto" w:fill="CCEEFF"/>
          </w:tcPr>
          <w:p>
            <w:pPr>
              <w:spacing w:after="0"/>
              <w:rPr>
                <w:sz w:val="5"/>
                <w:szCs w:val="5"/>
                <w:color w:val="auto"/>
              </w:rPr>
            </w:pPr>
          </w:p>
        </w:tc>
        <w:tc>
          <w:tcPr>
            <w:tcW w:w="1000" w:type="dxa"/>
            <w:vAlign w:val="bottom"/>
            <w:vMerge w:val="continue"/>
            <w:shd w:val="clear" w:color="auto" w:fill="CCEEFF"/>
          </w:tcPr>
          <w:p>
            <w:pPr>
              <w:spacing w:after="0"/>
              <w:rPr>
                <w:sz w:val="5"/>
                <w:szCs w:val="5"/>
                <w:color w:val="auto"/>
              </w:rPr>
            </w:pPr>
          </w:p>
        </w:tc>
        <w:tc>
          <w:tcPr>
            <w:tcW w:w="40" w:type="dxa"/>
            <w:vAlign w:val="bottom"/>
            <w:shd w:val="clear" w:color="auto" w:fill="CCEEFF"/>
          </w:tcPr>
          <w:p>
            <w:pPr>
              <w:spacing w:after="0"/>
              <w:rPr>
                <w:sz w:val="5"/>
                <w:szCs w:val="5"/>
                <w:color w:val="auto"/>
              </w:rPr>
            </w:pPr>
          </w:p>
        </w:tc>
        <w:tc>
          <w:tcPr>
            <w:tcW w:w="120" w:type="dxa"/>
            <w:vAlign w:val="bottom"/>
            <w:shd w:val="clear" w:color="auto" w:fill="CCEEFF"/>
          </w:tcPr>
          <w:p>
            <w:pPr>
              <w:spacing w:after="0"/>
              <w:rPr>
                <w:sz w:val="5"/>
                <w:szCs w:val="5"/>
                <w:color w:val="auto"/>
              </w:rPr>
            </w:pPr>
          </w:p>
        </w:tc>
        <w:tc>
          <w:tcPr>
            <w:tcW w:w="320" w:type="dxa"/>
            <w:vAlign w:val="bottom"/>
            <w:shd w:val="clear" w:color="auto" w:fill="CCEEFF"/>
          </w:tcPr>
          <w:p>
            <w:pPr>
              <w:spacing w:after="0"/>
              <w:rPr>
                <w:sz w:val="5"/>
                <w:szCs w:val="5"/>
                <w:color w:val="auto"/>
              </w:rPr>
            </w:pPr>
          </w:p>
        </w:tc>
        <w:tc>
          <w:tcPr>
            <w:tcW w:w="1140" w:type="dxa"/>
            <w:vAlign w:val="bottom"/>
            <w:gridSpan w:val="2"/>
            <w:vMerge w:val="continue"/>
            <w:shd w:val="clear" w:color="auto" w:fill="CCEEFF"/>
          </w:tcPr>
          <w:p>
            <w:pPr>
              <w:spacing w:after="0"/>
              <w:rPr>
                <w:sz w:val="5"/>
                <w:szCs w:val="5"/>
                <w:color w:val="auto"/>
              </w:rPr>
            </w:pPr>
          </w:p>
        </w:tc>
        <w:tc>
          <w:tcPr>
            <w:tcW w:w="340" w:type="dxa"/>
            <w:vAlign w:val="bottom"/>
            <w:shd w:val="clear" w:color="auto" w:fill="CCEEFF"/>
          </w:tcPr>
          <w:p>
            <w:pPr>
              <w:spacing w:after="0"/>
              <w:rPr>
                <w:sz w:val="5"/>
                <w:szCs w:val="5"/>
                <w:color w:val="auto"/>
              </w:rPr>
            </w:pPr>
          </w:p>
        </w:tc>
        <w:tc>
          <w:tcPr>
            <w:tcW w:w="1040" w:type="dxa"/>
            <w:vAlign w:val="bottom"/>
            <w:vMerge w:val="continue"/>
            <w:shd w:val="clear" w:color="auto" w:fill="CCEEFF"/>
          </w:tcPr>
          <w:p>
            <w:pPr>
              <w:spacing w:after="0"/>
              <w:rPr>
                <w:sz w:val="5"/>
                <w:szCs w:val="5"/>
                <w:color w:val="auto"/>
              </w:rPr>
            </w:pPr>
          </w:p>
        </w:tc>
        <w:tc>
          <w:tcPr>
            <w:tcW w:w="0" w:type="dxa"/>
            <w:vAlign w:val="bottom"/>
          </w:tcPr>
          <w:p>
            <w:pPr>
              <w:spacing w:after="0"/>
              <w:rPr>
                <w:sz w:val="1"/>
                <w:szCs w:val="1"/>
                <w:color w:val="auto"/>
              </w:rPr>
            </w:pPr>
          </w:p>
        </w:tc>
      </w:tr>
      <w:tr>
        <w:trPr>
          <w:trHeight w:val="208"/>
        </w:trPr>
        <w:tc>
          <w:tcPr>
            <w:tcW w:w="7040" w:type="dxa"/>
            <w:vAlign w:val="bottom"/>
            <w:gridSpan w:val="2"/>
          </w:tcPr>
          <w:p>
            <w:pPr>
              <w:ind w:left="280"/>
              <w:spacing w:after="0"/>
              <w:rPr>
                <w:sz w:val="20"/>
                <w:szCs w:val="20"/>
                <w:color w:val="auto"/>
              </w:rPr>
            </w:pPr>
            <w:r>
              <w:rPr>
                <w:rFonts w:ascii="Arial" w:cs="Arial" w:eastAsia="Arial" w:hAnsi="Arial"/>
                <w:sz w:val="15"/>
                <w:szCs w:val="15"/>
                <w:color w:val="auto"/>
              </w:rPr>
              <w:t>Decrease (increase) in restricted short-term investments</w:t>
            </w:r>
          </w:p>
        </w:tc>
        <w:tc>
          <w:tcPr>
            <w:tcW w:w="320" w:type="dxa"/>
            <w:vAlign w:val="bottom"/>
          </w:tcPr>
          <w:p>
            <w:pPr>
              <w:spacing w:after="0"/>
              <w:rPr>
                <w:sz w:val="18"/>
                <w:szCs w:val="18"/>
                <w:color w:val="auto"/>
              </w:rPr>
            </w:pPr>
          </w:p>
        </w:tc>
        <w:tc>
          <w:tcPr>
            <w:tcW w:w="1000" w:type="dxa"/>
            <w:vAlign w:val="bottom"/>
            <w:vMerge w:val="restart"/>
          </w:tcPr>
          <w:p>
            <w:pPr>
              <w:jc w:val="right"/>
              <w:spacing w:after="0"/>
              <w:rPr>
                <w:sz w:val="20"/>
                <w:szCs w:val="20"/>
                <w:color w:val="auto"/>
              </w:rPr>
            </w:pPr>
            <w:r>
              <w:rPr>
                <w:rFonts w:ascii="Arial" w:cs="Arial" w:eastAsia="Arial" w:hAnsi="Arial"/>
                <w:sz w:val="15"/>
                <w:szCs w:val="15"/>
                <w:color w:val="auto"/>
              </w:rPr>
              <w:t>(3)</w:t>
            </w:r>
          </w:p>
        </w:tc>
        <w:tc>
          <w:tcPr>
            <w:tcW w:w="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40" w:type="dxa"/>
            <w:vAlign w:val="bottom"/>
            <w:vMerge w:val="restart"/>
          </w:tcPr>
          <w:p>
            <w:pPr>
              <w:jc w:val="right"/>
              <w:ind w:right="24"/>
              <w:spacing w:after="0"/>
              <w:rPr>
                <w:sz w:val="20"/>
                <w:szCs w:val="20"/>
                <w:color w:val="auto"/>
              </w:rPr>
            </w:pPr>
            <w:r>
              <w:rPr>
                <w:rFonts w:ascii="Arial" w:cs="Arial" w:eastAsia="Arial" w:hAnsi="Arial"/>
                <w:sz w:val="15"/>
                <w:szCs w:val="15"/>
                <w:color w:val="auto"/>
              </w:rPr>
              <w:t>72</w:t>
            </w: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040" w:type="dxa"/>
            <w:vAlign w:val="bottom"/>
            <w:vMerge w:val="restart"/>
          </w:tcPr>
          <w:p>
            <w:pPr>
              <w:jc w:val="right"/>
              <w:ind w:right="44"/>
              <w:spacing w:after="0"/>
              <w:rPr>
                <w:sz w:val="20"/>
                <w:szCs w:val="20"/>
                <w:color w:val="auto"/>
              </w:rPr>
            </w:pPr>
            <w:r>
              <w:rPr>
                <w:rFonts w:ascii="Arial" w:cs="Arial" w:eastAsia="Arial" w:hAnsi="Arial"/>
                <w:sz w:val="15"/>
                <w:szCs w:val="15"/>
                <w:color w:val="auto"/>
              </w:rPr>
              <w:t>309</w:t>
            </w:r>
          </w:p>
        </w:tc>
        <w:tc>
          <w:tcPr>
            <w:tcW w:w="0" w:type="dxa"/>
            <w:vAlign w:val="bottom"/>
          </w:tcPr>
          <w:p>
            <w:pPr>
              <w:spacing w:after="0"/>
              <w:rPr>
                <w:sz w:val="1"/>
                <w:szCs w:val="1"/>
                <w:color w:val="auto"/>
              </w:rPr>
            </w:pPr>
          </w:p>
        </w:tc>
      </w:tr>
      <w:tr>
        <w:trPr>
          <w:trHeight w:val="58"/>
        </w:trPr>
        <w:tc>
          <w:tcPr>
            <w:tcW w:w="2120" w:type="dxa"/>
            <w:vAlign w:val="bottom"/>
          </w:tcPr>
          <w:p>
            <w:pPr>
              <w:spacing w:after="0"/>
              <w:rPr>
                <w:sz w:val="5"/>
                <w:szCs w:val="5"/>
                <w:color w:val="auto"/>
              </w:rPr>
            </w:pPr>
          </w:p>
        </w:tc>
        <w:tc>
          <w:tcPr>
            <w:tcW w:w="4920" w:type="dxa"/>
            <w:vAlign w:val="bottom"/>
          </w:tcPr>
          <w:p>
            <w:pPr>
              <w:spacing w:after="0"/>
              <w:rPr>
                <w:sz w:val="5"/>
                <w:szCs w:val="5"/>
                <w:color w:val="auto"/>
              </w:rPr>
            </w:pPr>
          </w:p>
        </w:tc>
        <w:tc>
          <w:tcPr>
            <w:tcW w:w="320" w:type="dxa"/>
            <w:vAlign w:val="bottom"/>
          </w:tcPr>
          <w:p>
            <w:pPr>
              <w:spacing w:after="0"/>
              <w:rPr>
                <w:sz w:val="5"/>
                <w:szCs w:val="5"/>
                <w:color w:val="auto"/>
              </w:rPr>
            </w:pPr>
          </w:p>
        </w:tc>
        <w:tc>
          <w:tcPr>
            <w:tcW w:w="1000" w:type="dxa"/>
            <w:vAlign w:val="bottom"/>
            <w:vMerge w:val="continue"/>
          </w:tcPr>
          <w:p>
            <w:pPr>
              <w:spacing w:after="0"/>
              <w:rPr>
                <w:sz w:val="5"/>
                <w:szCs w:val="5"/>
                <w:color w:val="auto"/>
              </w:rPr>
            </w:pPr>
          </w:p>
        </w:tc>
        <w:tc>
          <w:tcPr>
            <w:tcW w:w="40" w:type="dxa"/>
            <w:vAlign w:val="bottom"/>
          </w:tcPr>
          <w:p>
            <w:pPr>
              <w:spacing w:after="0"/>
              <w:rPr>
                <w:sz w:val="5"/>
                <w:szCs w:val="5"/>
                <w:color w:val="auto"/>
              </w:rPr>
            </w:pPr>
          </w:p>
        </w:tc>
        <w:tc>
          <w:tcPr>
            <w:tcW w:w="120" w:type="dxa"/>
            <w:vAlign w:val="bottom"/>
          </w:tcPr>
          <w:p>
            <w:pPr>
              <w:spacing w:after="0"/>
              <w:rPr>
                <w:sz w:val="5"/>
                <w:szCs w:val="5"/>
                <w:color w:val="auto"/>
              </w:rPr>
            </w:pPr>
          </w:p>
        </w:tc>
        <w:tc>
          <w:tcPr>
            <w:tcW w:w="320" w:type="dxa"/>
            <w:vAlign w:val="bottom"/>
          </w:tcPr>
          <w:p>
            <w:pPr>
              <w:spacing w:after="0"/>
              <w:rPr>
                <w:sz w:val="5"/>
                <w:szCs w:val="5"/>
                <w:color w:val="auto"/>
              </w:rPr>
            </w:pPr>
          </w:p>
        </w:tc>
        <w:tc>
          <w:tcPr>
            <w:tcW w:w="1040" w:type="dxa"/>
            <w:vAlign w:val="bottom"/>
            <w:vMerge w:val="continue"/>
          </w:tcPr>
          <w:p>
            <w:pPr>
              <w:spacing w:after="0"/>
              <w:rPr>
                <w:sz w:val="5"/>
                <w:szCs w:val="5"/>
                <w:color w:val="auto"/>
              </w:rPr>
            </w:pPr>
          </w:p>
        </w:tc>
        <w:tc>
          <w:tcPr>
            <w:tcW w:w="100" w:type="dxa"/>
            <w:vAlign w:val="bottom"/>
          </w:tcPr>
          <w:p>
            <w:pPr>
              <w:spacing w:after="0"/>
              <w:rPr>
                <w:sz w:val="5"/>
                <w:szCs w:val="5"/>
                <w:color w:val="auto"/>
              </w:rPr>
            </w:pPr>
          </w:p>
        </w:tc>
        <w:tc>
          <w:tcPr>
            <w:tcW w:w="340" w:type="dxa"/>
            <w:vAlign w:val="bottom"/>
          </w:tcPr>
          <w:p>
            <w:pPr>
              <w:spacing w:after="0"/>
              <w:rPr>
                <w:sz w:val="5"/>
                <w:szCs w:val="5"/>
                <w:color w:val="auto"/>
              </w:rPr>
            </w:pPr>
          </w:p>
        </w:tc>
        <w:tc>
          <w:tcPr>
            <w:tcW w:w="104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r>
        <w:trPr>
          <w:trHeight w:val="212"/>
        </w:trPr>
        <w:tc>
          <w:tcPr>
            <w:tcW w:w="7040" w:type="dxa"/>
            <w:vAlign w:val="bottom"/>
            <w:gridSpan w:val="2"/>
            <w:shd w:val="clear" w:color="auto" w:fill="CCEEFF"/>
          </w:tcPr>
          <w:p>
            <w:pPr>
              <w:ind w:left="280"/>
              <w:spacing w:after="0"/>
              <w:rPr>
                <w:sz w:val="20"/>
                <w:szCs w:val="20"/>
                <w:color w:val="auto"/>
              </w:rPr>
            </w:pPr>
            <w:r>
              <w:rPr>
                <w:rFonts w:ascii="Arial" w:cs="Arial" w:eastAsia="Arial" w:hAnsi="Arial"/>
                <w:sz w:val="15"/>
                <w:szCs w:val="15"/>
                <w:color w:val="auto"/>
              </w:rPr>
              <w:t>Proceeds from sale of investments</w:t>
            </w:r>
          </w:p>
        </w:tc>
        <w:tc>
          <w:tcPr>
            <w:tcW w:w="320" w:type="dxa"/>
            <w:vAlign w:val="bottom"/>
            <w:shd w:val="clear" w:color="auto" w:fill="CCEEFF"/>
          </w:tcPr>
          <w:p>
            <w:pPr>
              <w:spacing w:after="0"/>
              <w:rPr>
                <w:sz w:val="18"/>
                <w:szCs w:val="18"/>
                <w:color w:val="auto"/>
              </w:rPr>
            </w:pPr>
          </w:p>
        </w:tc>
        <w:tc>
          <w:tcPr>
            <w:tcW w:w="1000" w:type="dxa"/>
            <w:vAlign w:val="bottom"/>
            <w:vMerge w:val="restart"/>
            <w:shd w:val="clear" w:color="auto" w:fill="CCEEFF"/>
          </w:tcPr>
          <w:p>
            <w:pPr>
              <w:jc w:val="right"/>
              <w:spacing w:after="0"/>
              <w:rPr>
                <w:sz w:val="20"/>
                <w:szCs w:val="20"/>
                <w:color w:val="auto"/>
              </w:rPr>
            </w:pPr>
            <w:r>
              <w:rPr>
                <w:rFonts w:ascii="Arial" w:cs="Arial" w:eastAsia="Arial" w:hAnsi="Arial"/>
                <w:sz w:val="15"/>
                <w:szCs w:val="15"/>
                <w:color w:val="auto"/>
              </w:rPr>
              <w:t>—</w:t>
            </w:r>
          </w:p>
        </w:tc>
        <w:tc>
          <w:tcPr>
            <w:tcW w:w="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40" w:type="dxa"/>
            <w:vAlign w:val="bottom"/>
            <w:vMerge w:val="restart"/>
            <w:shd w:val="clear" w:color="auto" w:fill="CCEEFF"/>
          </w:tcPr>
          <w:p>
            <w:pPr>
              <w:jc w:val="right"/>
              <w:ind w:right="24"/>
              <w:spacing w:after="0"/>
              <w:rPr>
                <w:sz w:val="20"/>
                <w:szCs w:val="20"/>
                <w:color w:val="auto"/>
              </w:rPr>
            </w:pPr>
            <w:r>
              <w:rPr>
                <w:rFonts w:ascii="Arial" w:cs="Arial" w:eastAsia="Arial" w:hAnsi="Arial"/>
                <w:sz w:val="15"/>
                <w:szCs w:val="15"/>
                <w:color w:val="auto"/>
              </w:rPr>
              <w:t>207</w:t>
            </w:r>
          </w:p>
        </w:tc>
        <w:tc>
          <w:tcPr>
            <w:tcW w:w="1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040" w:type="dxa"/>
            <w:vAlign w:val="bottom"/>
            <w:vMerge w:val="restart"/>
            <w:shd w:val="clear" w:color="auto" w:fill="CCEEFF"/>
          </w:tcPr>
          <w:p>
            <w:pPr>
              <w:jc w:val="right"/>
              <w:ind w:right="44"/>
              <w:spacing w:after="0"/>
              <w:rPr>
                <w:sz w:val="20"/>
                <w:szCs w:val="20"/>
                <w:color w:val="auto"/>
              </w:rPr>
            </w:pPr>
            <w:r>
              <w:rPr>
                <w:rFonts w:ascii="Arial" w:cs="Arial" w:eastAsia="Arial" w:hAnsi="Arial"/>
                <w:sz w:val="15"/>
                <w:szCs w:val="15"/>
                <w:color w:val="auto"/>
              </w:rPr>
              <w:t>—</w:t>
            </w:r>
          </w:p>
        </w:tc>
        <w:tc>
          <w:tcPr>
            <w:tcW w:w="0" w:type="dxa"/>
            <w:vAlign w:val="bottom"/>
          </w:tcPr>
          <w:p>
            <w:pPr>
              <w:spacing w:after="0"/>
              <w:rPr>
                <w:sz w:val="1"/>
                <w:szCs w:val="1"/>
                <w:color w:val="auto"/>
              </w:rPr>
            </w:pPr>
          </w:p>
        </w:tc>
      </w:tr>
      <w:tr>
        <w:trPr>
          <w:trHeight w:val="62"/>
        </w:trPr>
        <w:tc>
          <w:tcPr>
            <w:tcW w:w="2120" w:type="dxa"/>
            <w:vAlign w:val="bottom"/>
            <w:shd w:val="clear" w:color="auto" w:fill="CCEEFF"/>
          </w:tcPr>
          <w:p>
            <w:pPr>
              <w:spacing w:after="0"/>
              <w:rPr>
                <w:sz w:val="5"/>
                <w:szCs w:val="5"/>
                <w:color w:val="auto"/>
              </w:rPr>
            </w:pPr>
          </w:p>
        </w:tc>
        <w:tc>
          <w:tcPr>
            <w:tcW w:w="4920" w:type="dxa"/>
            <w:vAlign w:val="bottom"/>
            <w:shd w:val="clear" w:color="auto" w:fill="CCEEFF"/>
          </w:tcPr>
          <w:p>
            <w:pPr>
              <w:spacing w:after="0"/>
              <w:rPr>
                <w:sz w:val="5"/>
                <w:szCs w:val="5"/>
                <w:color w:val="auto"/>
              </w:rPr>
            </w:pPr>
          </w:p>
        </w:tc>
        <w:tc>
          <w:tcPr>
            <w:tcW w:w="320" w:type="dxa"/>
            <w:vAlign w:val="bottom"/>
            <w:shd w:val="clear" w:color="auto" w:fill="CCEEFF"/>
          </w:tcPr>
          <w:p>
            <w:pPr>
              <w:spacing w:after="0"/>
              <w:rPr>
                <w:sz w:val="5"/>
                <w:szCs w:val="5"/>
                <w:color w:val="auto"/>
              </w:rPr>
            </w:pPr>
          </w:p>
        </w:tc>
        <w:tc>
          <w:tcPr>
            <w:tcW w:w="1000" w:type="dxa"/>
            <w:vAlign w:val="bottom"/>
            <w:vMerge w:val="continue"/>
            <w:shd w:val="clear" w:color="auto" w:fill="CCEEFF"/>
          </w:tcPr>
          <w:p>
            <w:pPr>
              <w:spacing w:after="0"/>
              <w:rPr>
                <w:sz w:val="5"/>
                <w:szCs w:val="5"/>
                <w:color w:val="auto"/>
              </w:rPr>
            </w:pPr>
          </w:p>
        </w:tc>
        <w:tc>
          <w:tcPr>
            <w:tcW w:w="40" w:type="dxa"/>
            <w:vAlign w:val="bottom"/>
            <w:shd w:val="clear" w:color="auto" w:fill="CCEEFF"/>
          </w:tcPr>
          <w:p>
            <w:pPr>
              <w:spacing w:after="0"/>
              <w:rPr>
                <w:sz w:val="5"/>
                <w:szCs w:val="5"/>
                <w:color w:val="auto"/>
              </w:rPr>
            </w:pPr>
          </w:p>
        </w:tc>
        <w:tc>
          <w:tcPr>
            <w:tcW w:w="120" w:type="dxa"/>
            <w:vAlign w:val="bottom"/>
            <w:shd w:val="clear" w:color="auto" w:fill="CCEEFF"/>
          </w:tcPr>
          <w:p>
            <w:pPr>
              <w:spacing w:after="0"/>
              <w:rPr>
                <w:sz w:val="5"/>
                <w:szCs w:val="5"/>
                <w:color w:val="auto"/>
              </w:rPr>
            </w:pPr>
          </w:p>
        </w:tc>
        <w:tc>
          <w:tcPr>
            <w:tcW w:w="320" w:type="dxa"/>
            <w:vAlign w:val="bottom"/>
            <w:shd w:val="clear" w:color="auto" w:fill="CCEEFF"/>
          </w:tcPr>
          <w:p>
            <w:pPr>
              <w:spacing w:after="0"/>
              <w:rPr>
                <w:sz w:val="5"/>
                <w:szCs w:val="5"/>
                <w:color w:val="auto"/>
              </w:rPr>
            </w:pPr>
          </w:p>
        </w:tc>
        <w:tc>
          <w:tcPr>
            <w:tcW w:w="1040" w:type="dxa"/>
            <w:vAlign w:val="bottom"/>
            <w:vMerge w:val="continue"/>
            <w:shd w:val="clear" w:color="auto" w:fill="CCEEFF"/>
          </w:tcPr>
          <w:p>
            <w:pPr>
              <w:spacing w:after="0"/>
              <w:rPr>
                <w:sz w:val="5"/>
                <w:szCs w:val="5"/>
                <w:color w:val="auto"/>
              </w:rPr>
            </w:pPr>
          </w:p>
        </w:tc>
        <w:tc>
          <w:tcPr>
            <w:tcW w:w="100" w:type="dxa"/>
            <w:vAlign w:val="bottom"/>
            <w:shd w:val="clear" w:color="auto" w:fill="CCEEFF"/>
          </w:tcPr>
          <w:p>
            <w:pPr>
              <w:spacing w:after="0"/>
              <w:rPr>
                <w:sz w:val="5"/>
                <w:szCs w:val="5"/>
                <w:color w:val="auto"/>
              </w:rPr>
            </w:pPr>
          </w:p>
        </w:tc>
        <w:tc>
          <w:tcPr>
            <w:tcW w:w="340" w:type="dxa"/>
            <w:vAlign w:val="bottom"/>
            <w:shd w:val="clear" w:color="auto" w:fill="CCEEFF"/>
          </w:tcPr>
          <w:p>
            <w:pPr>
              <w:spacing w:after="0"/>
              <w:rPr>
                <w:sz w:val="5"/>
                <w:szCs w:val="5"/>
                <w:color w:val="auto"/>
              </w:rPr>
            </w:pPr>
          </w:p>
        </w:tc>
        <w:tc>
          <w:tcPr>
            <w:tcW w:w="1040" w:type="dxa"/>
            <w:vAlign w:val="bottom"/>
            <w:vMerge w:val="continue"/>
            <w:shd w:val="clear" w:color="auto" w:fill="CCEEFF"/>
          </w:tcPr>
          <w:p>
            <w:pPr>
              <w:spacing w:after="0"/>
              <w:rPr>
                <w:sz w:val="5"/>
                <w:szCs w:val="5"/>
                <w:color w:val="auto"/>
              </w:rPr>
            </w:pPr>
          </w:p>
        </w:tc>
        <w:tc>
          <w:tcPr>
            <w:tcW w:w="0" w:type="dxa"/>
            <w:vAlign w:val="bottom"/>
          </w:tcPr>
          <w:p>
            <w:pPr>
              <w:spacing w:after="0"/>
              <w:rPr>
                <w:sz w:val="1"/>
                <w:szCs w:val="1"/>
                <w:color w:val="auto"/>
              </w:rPr>
            </w:pPr>
          </w:p>
        </w:tc>
      </w:tr>
      <w:tr>
        <w:trPr>
          <w:trHeight w:val="208"/>
        </w:trPr>
        <w:tc>
          <w:tcPr>
            <w:tcW w:w="7040" w:type="dxa"/>
            <w:vAlign w:val="bottom"/>
            <w:gridSpan w:val="2"/>
          </w:tcPr>
          <w:p>
            <w:pPr>
              <w:ind w:left="280"/>
              <w:spacing w:after="0"/>
              <w:rPr>
                <w:sz w:val="20"/>
                <w:szCs w:val="20"/>
                <w:color w:val="auto"/>
              </w:rPr>
            </w:pPr>
            <w:r>
              <w:rPr>
                <w:rFonts w:ascii="Arial" w:cs="Arial" w:eastAsia="Arial" w:hAnsi="Arial"/>
                <w:sz w:val="15"/>
                <w:szCs w:val="15"/>
                <w:color w:val="auto"/>
              </w:rPr>
              <w:t>Purchase of equity investment</w:t>
            </w:r>
          </w:p>
        </w:tc>
        <w:tc>
          <w:tcPr>
            <w:tcW w:w="320" w:type="dxa"/>
            <w:vAlign w:val="bottom"/>
          </w:tcPr>
          <w:p>
            <w:pPr>
              <w:spacing w:after="0"/>
              <w:rPr>
                <w:sz w:val="18"/>
                <w:szCs w:val="18"/>
                <w:color w:val="auto"/>
              </w:rPr>
            </w:pPr>
          </w:p>
        </w:tc>
        <w:tc>
          <w:tcPr>
            <w:tcW w:w="1000" w:type="dxa"/>
            <w:vAlign w:val="bottom"/>
            <w:vMerge w:val="restart"/>
          </w:tcPr>
          <w:p>
            <w:pPr>
              <w:jc w:val="right"/>
              <w:spacing w:after="0"/>
              <w:rPr>
                <w:sz w:val="20"/>
                <w:szCs w:val="20"/>
                <w:color w:val="auto"/>
              </w:rPr>
            </w:pPr>
            <w:r>
              <w:rPr>
                <w:rFonts w:ascii="Arial" w:cs="Arial" w:eastAsia="Arial" w:hAnsi="Arial"/>
                <w:sz w:val="15"/>
                <w:szCs w:val="15"/>
                <w:color w:val="auto"/>
              </w:rPr>
              <w:t>—</w:t>
            </w:r>
          </w:p>
        </w:tc>
        <w:tc>
          <w:tcPr>
            <w:tcW w:w="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40" w:type="dxa"/>
            <w:vAlign w:val="bottom"/>
            <w:gridSpan w:val="2"/>
            <w:vMerge w:val="restart"/>
          </w:tcPr>
          <w:p>
            <w:pPr>
              <w:jc w:val="right"/>
              <w:ind w:right="200"/>
              <w:spacing w:after="0"/>
              <w:rPr>
                <w:sz w:val="20"/>
                <w:szCs w:val="20"/>
                <w:color w:val="auto"/>
              </w:rPr>
            </w:pPr>
            <w:r>
              <w:rPr>
                <w:rFonts w:ascii="Arial" w:cs="Arial" w:eastAsia="Arial" w:hAnsi="Arial"/>
                <w:sz w:val="15"/>
                <w:szCs w:val="15"/>
                <w:color w:val="auto"/>
              </w:rPr>
              <w:t>—</w:t>
            </w:r>
          </w:p>
        </w:tc>
        <w:tc>
          <w:tcPr>
            <w:tcW w:w="340" w:type="dxa"/>
            <w:vAlign w:val="bottom"/>
          </w:tcPr>
          <w:p>
            <w:pPr>
              <w:spacing w:after="0"/>
              <w:rPr>
                <w:sz w:val="18"/>
                <w:szCs w:val="18"/>
                <w:color w:val="auto"/>
              </w:rPr>
            </w:pPr>
          </w:p>
        </w:tc>
        <w:tc>
          <w:tcPr>
            <w:tcW w:w="1040" w:type="dxa"/>
            <w:vAlign w:val="bottom"/>
            <w:vMerge w:val="restart"/>
          </w:tcPr>
          <w:p>
            <w:pPr>
              <w:jc w:val="right"/>
              <w:spacing w:after="0"/>
              <w:rPr>
                <w:sz w:val="20"/>
                <w:szCs w:val="20"/>
                <w:color w:val="auto"/>
              </w:rPr>
            </w:pPr>
            <w:r>
              <w:rPr>
                <w:rFonts w:ascii="Arial" w:cs="Arial" w:eastAsia="Arial" w:hAnsi="Arial"/>
                <w:sz w:val="15"/>
                <w:szCs w:val="15"/>
                <w:color w:val="auto"/>
              </w:rPr>
              <w:t>(203)</w:t>
            </w:r>
          </w:p>
        </w:tc>
        <w:tc>
          <w:tcPr>
            <w:tcW w:w="0" w:type="dxa"/>
            <w:vAlign w:val="bottom"/>
          </w:tcPr>
          <w:p>
            <w:pPr>
              <w:spacing w:after="0"/>
              <w:rPr>
                <w:sz w:val="1"/>
                <w:szCs w:val="1"/>
                <w:color w:val="auto"/>
              </w:rPr>
            </w:pPr>
          </w:p>
        </w:tc>
      </w:tr>
      <w:tr>
        <w:trPr>
          <w:trHeight w:val="58"/>
        </w:trPr>
        <w:tc>
          <w:tcPr>
            <w:tcW w:w="2120" w:type="dxa"/>
            <w:vAlign w:val="bottom"/>
          </w:tcPr>
          <w:p>
            <w:pPr>
              <w:spacing w:after="0"/>
              <w:rPr>
                <w:sz w:val="5"/>
                <w:szCs w:val="5"/>
                <w:color w:val="auto"/>
              </w:rPr>
            </w:pPr>
          </w:p>
        </w:tc>
        <w:tc>
          <w:tcPr>
            <w:tcW w:w="4920" w:type="dxa"/>
            <w:vAlign w:val="bottom"/>
          </w:tcPr>
          <w:p>
            <w:pPr>
              <w:spacing w:after="0"/>
              <w:rPr>
                <w:sz w:val="5"/>
                <w:szCs w:val="5"/>
                <w:color w:val="auto"/>
              </w:rPr>
            </w:pPr>
          </w:p>
        </w:tc>
        <w:tc>
          <w:tcPr>
            <w:tcW w:w="320" w:type="dxa"/>
            <w:vAlign w:val="bottom"/>
          </w:tcPr>
          <w:p>
            <w:pPr>
              <w:spacing w:after="0"/>
              <w:rPr>
                <w:sz w:val="5"/>
                <w:szCs w:val="5"/>
                <w:color w:val="auto"/>
              </w:rPr>
            </w:pPr>
          </w:p>
        </w:tc>
        <w:tc>
          <w:tcPr>
            <w:tcW w:w="1000" w:type="dxa"/>
            <w:vAlign w:val="bottom"/>
            <w:vMerge w:val="continue"/>
          </w:tcPr>
          <w:p>
            <w:pPr>
              <w:spacing w:after="0"/>
              <w:rPr>
                <w:sz w:val="5"/>
                <w:szCs w:val="5"/>
                <w:color w:val="auto"/>
              </w:rPr>
            </w:pPr>
          </w:p>
        </w:tc>
        <w:tc>
          <w:tcPr>
            <w:tcW w:w="40" w:type="dxa"/>
            <w:vAlign w:val="bottom"/>
          </w:tcPr>
          <w:p>
            <w:pPr>
              <w:spacing w:after="0"/>
              <w:rPr>
                <w:sz w:val="5"/>
                <w:szCs w:val="5"/>
                <w:color w:val="auto"/>
              </w:rPr>
            </w:pPr>
          </w:p>
        </w:tc>
        <w:tc>
          <w:tcPr>
            <w:tcW w:w="120" w:type="dxa"/>
            <w:vAlign w:val="bottom"/>
          </w:tcPr>
          <w:p>
            <w:pPr>
              <w:spacing w:after="0"/>
              <w:rPr>
                <w:sz w:val="5"/>
                <w:szCs w:val="5"/>
                <w:color w:val="auto"/>
              </w:rPr>
            </w:pPr>
          </w:p>
        </w:tc>
        <w:tc>
          <w:tcPr>
            <w:tcW w:w="320" w:type="dxa"/>
            <w:vAlign w:val="bottom"/>
          </w:tcPr>
          <w:p>
            <w:pPr>
              <w:spacing w:after="0"/>
              <w:rPr>
                <w:sz w:val="5"/>
                <w:szCs w:val="5"/>
                <w:color w:val="auto"/>
              </w:rPr>
            </w:pPr>
          </w:p>
        </w:tc>
        <w:tc>
          <w:tcPr>
            <w:tcW w:w="1140" w:type="dxa"/>
            <w:vAlign w:val="bottom"/>
            <w:gridSpan w:val="2"/>
            <w:vMerge w:val="continue"/>
          </w:tcPr>
          <w:p>
            <w:pPr>
              <w:spacing w:after="0"/>
              <w:rPr>
                <w:sz w:val="5"/>
                <w:szCs w:val="5"/>
                <w:color w:val="auto"/>
              </w:rPr>
            </w:pPr>
          </w:p>
        </w:tc>
        <w:tc>
          <w:tcPr>
            <w:tcW w:w="340" w:type="dxa"/>
            <w:vAlign w:val="bottom"/>
          </w:tcPr>
          <w:p>
            <w:pPr>
              <w:spacing w:after="0"/>
              <w:rPr>
                <w:sz w:val="5"/>
                <w:szCs w:val="5"/>
                <w:color w:val="auto"/>
              </w:rPr>
            </w:pPr>
          </w:p>
        </w:tc>
        <w:tc>
          <w:tcPr>
            <w:tcW w:w="104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r>
        <w:trPr>
          <w:trHeight w:val="212"/>
        </w:trPr>
        <w:tc>
          <w:tcPr>
            <w:tcW w:w="7040" w:type="dxa"/>
            <w:vAlign w:val="bottom"/>
            <w:gridSpan w:val="2"/>
            <w:shd w:val="clear" w:color="auto" w:fill="CCEEFF"/>
          </w:tcPr>
          <w:p>
            <w:pPr>
              <w:ind w:left="280"/>
              <w:spacing w:after="0"/>
              <w:rPr>
                <w:sz w:val="20"/>
                <w:szCs w:val="20"/>
                <w:color w:val="auto"/>
              </w:rPr>
            </w:pPr>
            <w:r>
              <w:rPr>
                <w:rFonts w:ascii="Arial" w:cs="Arial" w:eastAsia="Arial" w:hAnsi="Arial"/>
                <w:sz w:val="15"/>
                <w:szCs w:val="15"/>
                <w:color w:val="auto"/>
              </w:rPr>
              <w:t>Other investing activities</w:t>
            </w:r>
          </w:p>
        </w:tc>
        <w:tc>
          <w:tcPr>
            <w:tcW w:w="320" w:type="dxa"/>
            <w:vAlign w:val="bottom"/>
            <w:shd w:val="clear" w:color="auto" w:fill="CCEEFF"/>
          </w:tcPr>
          <w:p>
            <w:pPr>
              <w:spacing w:after="0"/>
              <w:rPr>
                <w:sz w:val="18"/>
                <w:szCs w:val="18"/>
                <w:color w:val="auto"/>
              </w:rPr>
            </w:pPr>
          </w:p>
        </w:tc>
        <w:tc>
          <w:tcPr>
            <w:tcW w:w="1000" w:type="dxa"/>
            <w:vAlign w:val="bottom"/>
            <w:vMerge w:val="restart"/>
            <w:shd w:val="clear" w:color="auto" w:fill="CCEEFF"/>
          </w:tcPr>
          <w:p>
            <w:pPr>
              <w:jc w:val="right"/>
              <w:spacing w:after="0"/>
              <w:rPr>
                <w:sz w:val="20"/>
                <w:szCs w:val="20"/>
                <w:color w:val="auto"/>
              </w:rPr>
            </w:pPr>
            <w:r>
              <w:rPr>
                <w:rFonts w:ascii="Arial" w:cs="Arial" w:eastAsia="Arial" w:hAnsi="Arial"/>
                <w:sz w:val="15"/>
                <w:szCs w:val="15"/>
                <w:color w:val="auto"/>
              </w:rPr>
              <w:t>(96)</w:t>
            </w:r>
          </w:p>
        </w:tc>
        <w:tc>
          <w:tcPr>
            <w:tcW w:w="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40" w:type="dxa"/>
            <w:vAlign w:val="bottom"/>
            <w:vMerge w:val="restart"/>
            <w:shd w:val="clear" w:color="auto" w:fill="CCEEFF"/>
          </w:tcPr>
          <w:p>
            <w:pPr>
              <w:jc w:val="right"/>
              <w:spacing w:after="0"/>
              <w:rPr>
                <w:sz w:val="20"/>
                <w:szCs w:val="20"/>
                <w:color w:val="auto"/>
              </w:rPr>
            </w:pPr>
            <w:r>
              <w:rPr>
                <w:rFonts w:ascii="Arial" w:cs="Arial" w:eastAsia="Arial" w:hAnsi="Arial"/>
                <w:sz w:val="15"/>
                <w:szCs w:val="15"/>
                <w:color w:val="auto"/>
              </w:rPr>
              <w:t>(7)</w:t>
            </w:r>
          </w:p>
        </w:tc>
        <w:tc>
          <w:tcPr>
            <w:tcW w:w="1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040" w:type="dxa"/>
            <w:vAlign w:val="bottom"/>
            <w:vMerge w:val="restart"/>
            <w:shd w:val="clear" w:color="auto" w:fill="CCEEFF"/>
          </w:tcPr>
          <w:p>
            <w:pPr>
              <w:jc w:val="right"/>
              <w:ind w:right="44"/>
              <w:spacing w:after="0"/>
              <w:rPr>
                <w:sz w:val="20"/>
                <w:szCs w:val="20"/>
                <w:color w:val="auto"/>
              </w:rPr>
            </w:pPr>
            <w:r>
              <w:rPr>
                <w:rFonts w:ascii="Arial" w:cs="Arial" w:eastAsia="Arial" w:hAnsi="Arial"/>
                <w:sz w:val="15"/>
                <w:szCs w:val="15"/>
                <w:color w:val="auto"/>
              </w:rPr>
              <w:t>—</w:t>
            </w:r>
          </w:p>
        </w:tc>
        <w:tc>
          <w:tcPr>
            <w:tcW w:w="0" w:type="dxa"/>
            <w:vAlign w:val="bottom"/>
          </w:tcPr>
          <w:p>
            <w:pPr>
              <w:spacing w:after="0"/>
              <w:rPr>
                <w:sz w:val="1"/>
                <w:szCs w:val="1"/>
                <w:color w:val="auto"/>
              </w:rPr>
            </w:pPr>
          </w:p>
        </w:tc>
      </w:tr>
      <w:tr>
        <w:trPr>
          <w:trHeight w:val="62"/>
        </w:trPr>
        <w:tc>
          <w:tcPr>
            <w:tcW w:w="2120" w:type="dxa"/>
            <w:vAlign w:val="bottom"/>
            <w:shd w:val="clear" w:color="auto" w:fill="CCEEFF"/>
          </w:tcPr>
          <w:p>
            <w:pPr>
              <w:spacing w:after="0"/>
              <w:rPr>
                <w:sz w:val="5"/>
                <w:szCs w:val="5"/>
                <w:color w:val="auto"/>
              </w:rPr>
            </w:pPr>
          </w:p>
        </w:tc>
        <w:tc>
          <w:tcPr>
            <w:tcW w:w="4920" w:type="dxa"/>
            <w:vAlign w:val="bottom"/>
            <w:shd w:val="clear" w:color="auto" w:fill="CCEEFF"/>
          </w:tcPr>
          <w:p>
            <w:pPr>
              <w:spacing w:after="0"/>
              <w:rPr>
                <w:sz w:val="5"/>
                <w:szCs w:val="5"/>
                <w:color w:val="auto"/>
              </w:rPr>
            </w:pPr>
          </w:p>
        </w:tc>
        <w:tc>
          <w:tcPr>
            <w:tcW w:w="320" w:type="dxa"/>
            <w:vAlign w:val="bottom"/>
            <w:tcBorders>
              <w:bottom w:val="single" w:sz="8" w:color="auto"/>
            </w:tcBorders>
            <w:shd w:val="clear" w:color="auto" w:fill="CCEEFF"/>
          </w:tcPr>
          <w:p>
            <w:pPr>
              <w:spacing w:after="0"/>
              <w:rPr>
                <w:sz w:val="5"/>
                <w:szCs w:val="5"/>
                <w:color w:val="auto"/>
              </w:rPr>
            </w:pPr>
          </w:p>
        </w:tc>
        <w:tc>
          <w:tcPr>
            <w:tcW w:w="1000" w:type="dxa"/>
            <w:vAlign w:val="bottom"/>
            <w:tcBorders>
              <w:bottom w:val="single" w:sz="8" w:color="auto"/>
            </w:tcBorders>
            <w:vMerge w:val="continue"/>
            <w:shd w:val="clear" w:color="auto" w:fill="CCEEFF"/>
          </w:tcPr>
          <w:p>
            <w:pPr>
              <w:spacing w:after="0"/>
              <w:rPr>
                <w:sz w:val="5"/>
                <w:szCs w:val="5"/>
                <w:color w:val="auto"/>
              </w:rPr>
            </w:pPr>
          </w:p>
        </w:tc>
        <w:tc>
          <w:tcPr>
            <w:tcW w:w="40" w:type="dxa"/>
            <w:vAlign w:val="bottom"/>
            <w:tcBorders>
              <w:bottom w:val="single" w:sz="8" w:color="auto"/>
            </w:tcBorders>
            <w:shd w:val="clear" w:color="auto" w:fill="CCEEFF"/>
          </w:tcPr>
          <w:p>
            <w:pPr>
              <w:spacing w:after="0"/>
              <w:rPr>
                <w:sz w:val="5"/>
                <w:szCs w:val="5"/>
                <w:color w:val="auto"/>
              </w:rPr>
            </w:pPr>
          </w:p>
        </w:tc>
        <w:tc>
          <w:tcPr>
            <w:tcW w:w="120" w:type="dxa"/>
            <w:vAlign w:val="bottom"/>
            <w:shd w:val="clear" w:color="auto" w:fill="CCEEFF"/>
          </w:tcPr>
          <w:p>
            <w:pPr>
              <w:spacing w:after="0"/>
              <w:rPr>
                <w:sz w:val="5"/>
                <w:szCs w:val="5"/>
                <w:color w:val="auto"/>
              </w:rPr>
            </w:pPr>
          </w:p>
        </w:tc>
        <w:tc>
          <w:tcPr>
            <w:tcW w:w="320" w:type="dxa"/>
            <w:vAlign w:val="bottom"/>
            <w:tcBorders>
              <w:bottom w:val="single" w:sz="8" w:color="auto"/>
            </w:tcBorders>
            <w:shd w:val="clear" w:color="auto" w:fill="CCEEFF"/>
          </w:tcPr>
          <w:p>
            <w:pPr>
              <w:spacing w:after="0"/>
              <w:rPr>
                <w:sz w:val="5"/>
                <w:szCs w:val="5"/>
                <w:color w:val="auto"/>
              </w:rPr>
            </w:pPr>
          </w:p>
        </w:tc>
        <w:tc>
          <w:tcPr>
            <w:tcW w:w="1040" w:type="dxa"/>
            <w:vAlign w:val="bottom"/>
            <w:tcBorders>
              <w:bottom w:val="single" w:sz="8" w:color="auto"/>
            </w:tcBorders>
            <w:vMerge w:val="continue"/>
            <w:shd w:val="clear" w:color="auto" w:fill="CCEEFF"/>
          </w:tcPr>
          <w:p>
            <w:pPr>
              <w:spacing w:after="0"/>
              <w:rPr>
                <w:sz w:val="5"/>
                <w:szCs w:val="5"/>
                <w:color w:val="auto"/>
              </w:rPr>
            </w:pPr>
          </w:p>
        </w:tc>
        <w:tc>
          <w:tcPr>
            <w:tcW w:w="100" w:type="dxa"/>
            <w:vAlign w:val="bottom"/>
            <w:shd w:val="clear" w:color="auto" w:fill="CCEEFF"/>
          </w:tcPr>
          <w:p>
            <w:pPr>
              <w:spacing w:after="0"/>
              <w:rPr>
                <w:sz w:val="5"/>
                <w:szCs w:val="5"/>
                <w:color w:val="auto"/>
              </w:rPr>
            </w:pPr>
          </w:p>
        </w:tc>
        <w:tc>
          <w:tcPr>
            <w:tcW w:w="340" w:type="dxa"/>
            <w:vAlign w:val="bottom"/>
            <w:tcBorders>
              <w:bottom w:val="single" w:sz="8" w:color="auto"/>
            </w:tcBorders>
            <w:shd w:val="clear" w:color="auto" w:fill="CCEEFF"/>
          </w:tcPr>
          <w:p>
            <w:pPr>
              <w:spacing w:after="0"/>
              <w:rPr>
                <w:sz w:val="5"/>
                <w:szCs w:val="5"/>
                <w:color w:val="auto"/>
              </w:rPr>
            </w:pPr>
          </w:p>
        </w:tc>
        <w:tc>
          <w:tcPr>
            <w:tcW w:w="1040" w:type="dxa"/>
            <w:vAlign w:val="bottom"/>
            <w:tcBorders>
              <w:bottom w:val="single" w:sz="8" w:color="auto"/>
            </w:tcBorders>
            <w:vMerge w:val="continue"/>
            <w:shd w:val="clear" w:color="auto" w:fill="CCEEFF"/>
          </w:tcPr>
          <w:p>
            <w:pPr>
              <w:spacing w:after="0"/>
              <w:rPr>
                <w:sz w:val="5"/>
                <w:szCs w:val="5"/>
                <w:color w:val="auto"/>
              </w:rPr>
            </w:pPr>
          </w:p>
        </w:tc>
        <w:tc>
          <w:tcPr>
            <w:tcW w:w="0" w:type="dxa"/>
            <w:vAlign w:val="bottom"/>
          </w:tcPr>
          <w:p>
            <w:pPr>
              <w:spacing w:after="0"/>
              <w:rPr>
                <w:sz w:val="1"/>
                <w:szCs w:val="1"/>
                <w:color w:val="auto"/>
              </w:rPr>
            </w:pPr>
          </w:p>
        </w:tc>
      </w:tr>
      <w:tr>
        <w:trPr>
          <w:trHeight w:val="188"/>
        </w:trPr>
        <w:tc>
          <w:tcPr>
            <w:tcW w:w="7040" w:type="dxa"/>
            <w:vAlign w:val="bottom"/>
            <w:gridSpan w:val="2"/>
          </w:tcPr>
          <w:p>
            <w:pPr>
              <w:ind w:left="500"/>
              <w:spacing w:after="0"/>
              <w:rPr>
                <w:sz w:val="20"/>
                <w:szCs w:val="20"/>
                <w:color w:val="auto"/>
              </w:rPr>
            </w:pPr>
            <w:r>
              <w:rPr>
                <w:rFonts w:ascii="Arial" w:cs="Arial" w:eastAsia="Arial" w:hAnsi="Arial"/>
                <w:sz w:val="15"/>
                <w:szCs w:val="15"/>
                <w:color w:val="auto"/>
              </w:rPr>
              <w:t>Net cash used in investing activities</w:t>
            </w:r>
          </w:p>
        </w:tc>
        <w:tc>
          <w:tcPr>
            <w:tcW w:w="320" w:type="dxa"/>
            <w:vAlign w:val="bottom"/>
          </w:tcPr>
          <w:p>
            <w:pPr>
              <w:spacing w:after="0"/>
              <w:rPr>
                <w:sz w:val="16"/>
                <w:szCs w:val="16"/>
                <w:color w:val="auto"/>
              </w:rPr>
            </w:pPr>
          </w:p>
        </w:tc>
        <w:tc>
          <w:tcPr>
            <w:tcW w:w="1000" w:type="dxa"/>
            <w:vAlign w:val="bottom"/>
            <w:vMerge w:val="restart"/>
          </w:tcPr>
          <w:p>
            <w:pPr>
              <w:jc w:val="right"/>
              <w:spacing w:after="0"/>
              <w:rPr>
                <w:sz w:val="20"/>
                <w:szCs w:val="20"/>
                <w:color w:val="auto"/>
              </w:rPr>
            </w:pPr>
            <w:r>
              <w:rPr>
                <w:rFonts w:ascii="Arial" w:cs="Arial" w:eastAsia="Arial" w:hAnsi="Arial"/>
                <w:sz w:val="15"/>
                <w:szCs w:val="15"/>
                <w:color w:val="auto"/>
              </w:rPr>
              <w:t>(2,146)</w:t>
            </w:r>
          </w:p>
        </w:tc>
        <w:tc>
          <w:tcPr>
            <w:tcW w:w="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040" w:type="dxa"/>
            <w:vAlign w:val="bottom"/>
            <w:vMerge w:val="restart"/>
          </w:tcPr>
          <w:p>
            <w:pPr>
              <w:jc w:val="right"/>
              <w:spacing w:after="0"/>
              <w:rPr>
                <w:sz w:val="20"/>
                <w:szCs w:val="20"/>
                <w:color w:val="auto"/>
              </w:rPr>
            </w:pPr>
            <w:r>
              <w:rPr>
                <w:rFonts w:ascii="Arial" w:cs="Arial" w:eastAsia="Arial" w:hAnsi="Arial"/>
                <w:sz w:val="15"/>
                <w:szCs w:val="15"/>
                <w:color w:val="auto"/>
              </w:rPr>
              <w:t>(1,910)</w:t>
            </w:r>
          </w:p>
        </w:tc>
        <w:tc>
          <w:tcPr>
            <w:tcW w:w="1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040" w:type="dxa"/>
            <w:vAlign w:val="bottom"/>
            <w:vMerge w:val="restart"/>
          </w:tcPr>
          <w:p>
            <w:pPr>
              <w:jc w:val="right"/>
              <w:spacing w:after="0"/>
              <w:rPr>
                <w:sz w:val="20"/>
                <w:szCs w:val="20"/>
                <w:color w:val="auto"/>
              </w:rPr>
            </w:pPr>
            <w:r>
              <w:rPr>
                <w:rFonts w:ascii="Arial" w:cs="Arial" w:eastAsia="Arial" w:hAnsi="Arial"/>
                <w:sz w:val="15"/>
                <w:szCs w:val="15"/>
                <w:color w:val="auto"/>
              </w:rPr>
              <w:t>(3,571)</w:t>
            </w:r>
          </w:p>
        </w:tc>
        <w:tc>
          <w:tcPr>
            <w:tcW w:w="0" w:type="dxa"/>
            <w:vAlign w:val="bottom"/>
          </w:tcPr>
          <w:p>
            <w:pPr>
              <w:spacing w:after="0"/>
              <w:rPr>
                <w:sz w:val="1"/>
                <w:szCs w:val="1"/>
                <w:color w:val="auto"/>
              </w:rPr>
            </w:pPr>
          </w:p>
        </w:tc>
      </w:tr>
      <w:tr>
        <w:trPr>
          <w:trHeight w:val="58"/>
        </w:trPr>
        <w:tc>
          <w:tcPr>
            <w:tcW w:w="2120" w:type="dxa"/>
            <w:vAlign w:val="bottom"/>
          </w:tcPr>
          <w:p>
            <w:pPr>
              <w:spacing w:after="0"/>
              <w:rPr>
                <w:sz w:val="5"/>
                <w:szCs w:val="5"/>
                <w:color w:val="auto"/>
              </w:rPr>
            </w:pPr>
          </w:p>
        </w:tc>
        <w:tc>
          <w:tcPr>
            <w:tcW w:w="4920" w:type="dxa"/>
            <w:vAlign w:val="bottom"/>
          </w:tcPr>
          <w:p>
            <w:pPr>
              <w:spacing w:after="0"/>
              <w:rPr>
                <w:sz w:val="5"/>
                <w:szCs w:val="5"/>
                <w:color w:val="auto"/>
              </w:rPr>
            </w:pPr>
          </w:p>
        </w:tc>
        <w:tc>
          <w:tcPr>
            <w:tcW w:w="320" w:type="dxa"/>
            <w:vAlign w:val="bottom"/>
          </w:tcPr>
          <w:p>
            <w:pPr>
              <w:spacing w:after="0"/>
              <w:rPr>
                <w:sz w:val="5"/>
                <w:szCs w:val="5"/>
                <w:color w:val="auto"/>
              </w:rPr>
            </w:pPr>
          </w:p>
        </w:tc>
        <w:tc>
          <w:tcPr>
            <w:tcW w:w="1000" w:type="dxa"/>
            <w:vAlign w:val="bottom"/>
            <w:vMerge w:val="continue"/>
          </w:tcPr>
          <w:p>
            <w:pPr>
              <w:spacing w:after="0"/>
              <w:rPr>
                <w:sz w:val="5"/>
                <w:szCs w:val="5"/>
                <w:color w:val="auto"/>
              </w:rPr>
            </w:pPr>
          </w:p>
        </w:tc>
        <w:tc>
          <w:tcPr>
            <w:tcW w:w="40" w:type="dxa"/>
            <w:vAlign w:val="bottom"/>
          </w:tcPr>
          <w:p>
            <w:pPr>
              <w:spacing w:after="0"/>
              <w:rPr>
                <w:sz w:val="5"/>
                <w:szCs w:val="5"/>
                <w:color w:val="auto"/>
              </w:rPr>
            </w:pPr>
          </w:p>
        </w:tc>
        <w:tc>
          <w:tcPr>
            <w:tcW w:w="120" w:type="dxa"/>
            <w:vAlign w:val="bottom"/>
          </w:tcPr>
          <w:p>
            <w:pPr>
              <w:spacing w:after="0"/>
              <w:rPr>
                <w:sz w:val="5"/>
                <w:szCs w:val="5"/>
                <w:color w:val="auto"/>
              </w:rPr>
            </w:pPr>
          </w:p>
        </w:tc>
        <w:tc>
          <w:tcPr>
            <w:tcW w:w="320" w:type="dxa"/>
            <w:vAlign w:val="bottom"/>
          </w:tcPr>
          <w:p>
            <w:pPr>
              <w:spacing w:after="0"/>
              <w:rPr>
                <w:sz w:val="5"/>
                <w:szCs w:val="5"/>
                <w:color w:val="auto"/>
              </w:rPr>
            </w:pPr>
          </w:p>
        </w:tc>
        <w:tc>
          <w:tcPr>
            <w:tcW w:w="1040" w:type="dxa"/>
            <w:vAlign w:val="bottom"/>
            <w:vMerge w:val="continue"/>
          </w:tcPr>
          <w:p>
            <w:pPr>
              <w:spacing w:after="0"/>
              <w:rPr>
                <w:sz w:val="5"/>
                <w:szCs w:val="5"/>
                <w:color w:val="auto"/>
              </w:rPr>
            </w:pPr>
          </w:p>
        </w:tc>
        <w:tc>
          <w:tcPr>
            <w:tcW w:w="100" w:type="dxa"/>
            <w:vAlign w:val="bottom"/>
          </w:tcPr>
          <w:p>
            <w:pPr>
              <w:spacing w:after="0"/>
              <w:rPr>
                <w:sz w:val="5"/>
                <w:szCs w:val="5"/>
                <w:color w:val="auto"/>
              </w:rPr>
            </w:pPr>
          </w:p>
        </w:tc>
        <w:tc>
          <w:tcPr>
            <w:tcW w:w="340" w:type="dxa"/>
            <w:vAlign w:val="bottom"/>
          </w:tcPr>
          <w:p>
            <w:pPr>
              <w:spacing w:after="0"/>
              <w:rPr>
                <w:sz w:val="5"/>
                <w:szCs w:val="5"/>
                <w:color w:val="auto"/>
              </w:rPr>
            </w:pPr>
          </w:p>
        </w:tc>
        <w:tc>
          <w:tcPr>
            <w:tcW w:w="104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r>
        <w:trPr>
          <w:trHeight w:val="212"/>
        </w:trPr>
        <w:tc>
          <w:tcPr>
            <w:tcW w:w="7040" w:type="dxa"/>
            <w:vAlign w:val="bottom"/>
            <w:gridSpan w:val="2"/>
            <w:shd w:val="clear" w:color="auto" w:fill="CCEEFF"/>
          </w:tcPr>
          <w:p>
            <w:pPr>
              <w:ind w:left="40"/>
              <w:spacing w:after="0"/>
              <w:rPr>
                <w:sz w:val="20"/>
                <w:szCs w:val="20"/>
                <w:color w:val="auto"/>
              </w:rPr>
            </w:pPr>
            <w:r>
              <w:rPr>
                <w:rFonts w:ascii="Arial" w:cs="Arial" w:eastAsia="Arial" w:hAnsi="Arial"/>
                <w:sz w:val="15"/>
                <w:szCs w:val="15"/>
                <w:b w:val="1"/>
                <w:bCs w:val="1"/>
                <w:color w:val="auto"/>
              </w:rPr>
              <w:t>Cash flows from financing activities:</w:t>
            </w:r>
          </w:p>
        </w:tc>
        <w:tc>
          <w:tcPr>
            <w:tcW w:w="32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62"/>
        </w:trPr>
        <w:tc>
          <w:tcPr>
            <w:tcW w:w="2120" w:type="dxa"/>
            <w:vAlign w:val="bottom"/>
            <w:shd w:val="clear" w:color="auto" w:fill="CCEEFF"/>
          </w:tcPr>
          <w:p>
            <w:pPr>
              <w:spacing w:after="0"/>
              <w:rPr>
                <w:sz w:val="5"/>
                <w:szCs w:val="5"/>
                <w:color w:val="auto"/>
              </w:rPr>
            </w:pPr>
          </w:p>
        </w:tc>
        <w:tc>
          <w:tcPr>
            <w:tcW w:w="4920" w:type="dxa"/>
            <w:vAlign w:val="bottom"/>
            <w:shd w:val="clear" w:color="auto" w:fill="CCEEFF"/>
          </w:tcPr>
          <w:p>
            <w:pPr>
              <w:spacing w:after="0"/>
              <w:rPr>
                <w:sz w:val="5"/>
                <w:szCs w:val="5"/>
                <w:color w:val="auto"/>
              </w:rPr>
            </w:pPr>
          </w:p>
        </w:tc>
        <w:tc>
          <w:tcPr>
            <w:tcW w:w="320" w:type="dxa"/>
            <w:vAlign w:val="bottom"/>
            <w:shd w:val="clear" w:color="auto" w:fill="CCEEFF"/>
          </w:tcPr>
          <w:p>
            <w:pPr>
              <w:spacing w:after="0"/>
              <w:rPr>
                <w:sz w:val="5"/>
                <w:szCs w:val="5"/>
                <w:color w:val="auto"/>
              </w:rPr>
            </w:pPr>
          </w:p>
        </w:tc>
        <w:tc>
          <w:tcPr>
            <w:tcW w:w="1000" w:type="dxa"/>
            <w:vAlign w:val="bottom"/>
            <w:shd w:val="clear" w:color="auto" w:fill="CCEEFF"/>
          </w:tcPr>
          <w:p>
            <w:pPr>
              <w:spacing w:after="0"/>
              <w:rPr>
                <w:sz w:val="5"/>
                <w:szCs w:val="5"/>
                <w:color w:val="auto"/>
              </w:rPr>
            </w:pPr>
          </w:p>
        </w:tc>
        <w:tc>
          <w:tcPr>
            <w:tcW w:w="40" w:type="dxa"/>
            <w:vAlign w:val="bottom"/>
            <w:shd w:val="clear" w:color="auto" w:fill="CCEEFF"/>
          </w:tcPr>
          <w:p>
            <w:pPr>
              <w:spacing w:after="0"/>
              <w:rPr>
                <w:sz w:val="5"/>
                <w:szCs w:val="5"/>
                <w:color w:val="auto"/>
              </w:rPr>
            </w:pPr>
          </w:p>
        </w:tc>
        <w:tc>
          <w:tcPr>
            <w:tcW w:w="120" w:type="dxa"/>
            <w:vAlign w:val="bottom"/>
            <w:shd w:val="clear" w:color="auto" w:fill="CCEEFF"/>
          </w:tcPr>
          <w:p>
            <w:pPr>
              <w:spacing w:after="0"/>
              <w:rPr>
                <w:sz w:val="5"/>
                <w:szCs w:val="5"/>
                <w:color w:val="auto"/>
              </w:rPr>
            </w:pPr>
          </w:p>
        </w:tc>
        <w:tc>
          <w:tcPr>
            <w:tcW w:w="320" w:type="dxa"/>
            <w:vAlign w:val="bottom"/>
            <w:shd w:val="clear" w:color="auto" w:fill="CCEEFF"/>
          </w:tcPr>
          <w:p>
            <w:pPr>
              <w:spacing w:after="0"/>
              <w:rPr>
                <w:sz w:val="5"/>
                <w:szCs w:val="5"/>
                <w:color w:val="auto"/>
              </w:rPr>
            </w:pPr>
          </w:p>
        </w:tc>
        <w:tc>
          <w:tcPr>
            <w:tcW w:w="1040" w:type="dxa"/>
            <w:vAlign w:val="bottom"/>
            <w:shd w:val="clear" w:color="auto" w:fill="CCEEFF"/>
          </w:tcPr>
          <w:p>
            <w:pPr>
              <w:spacing w:after="0"/>
              <w:rPr>
                <w:sz w:val="5"/>
                <w:szCs w:val="5"/>
                <w:color w:val="auto"/>
              </w:rPr>
            </w:pPr>
          </w:p>
        </w:tc>
        <w:tc>
          <w:tcPr>
            <w:tcW w:w="100" w:type="dxa"/>
            <w:vAlign w:val="bottom"/>
            <w:shd w:val="clear" w:color="auto" w:fill="CCEEFF"/>
          </w:tcPr>
          <w:p>
            <w:pPr>
              <w:spacing w:after="0"/>
              <w:rPr>
                <w:sz w:val="5"/>
                <w:szCs w:val="5"/>
                <w:color w:val="auto"/>
              </w:rPr>
            </w:pPr>
          </w:p>
        </w:tc>
        <w:tc>
          <w:tcPr>
            <w:tcW w:w="340" w:type="dxa"/>
            <w:vAlign w:val="bottom"/>
            <w:shd w:val="clear" w:color="auto" w:fill="CCEEFF"/>
          </w:tcPr>
          <w:p>
            <w:pPr>
              <w:spacing w:after="0"/>
              <w:rPr>
                <w:sz w:val="5"/>
                <w:szCs w:val="5"/>
                <w:color w:val="auto"/>
              </w:rPr>
            </w:pPr>
          </w:p>
        </w:tc>
        <w:tc>
          <w:tcPr>
            <w:tcW w:w="1040" w:type="dxa"/>
            <w:vAlign w:val="bottom"/>
            <w:shd w:val="clear" w:color="auto" w:fill="CCEEFF"/>
          </w:tcPr>
          <w:p>
            <w:pPr>
              <w:spacing w:after="0"/>
              <w:rPr>
                <w:sz w:val="5"/>
                <w:szCs w:val="5"/>
                <w:color w:val="auto"/>
              </w:rPr>
            </w:pPr>
          </w:p>
        </w:tc>
        <w:tc>
          <w:tcPr>
            <w:tcW w:w="0" w:type="dxa"/>
            <w:vAlign w:val="bottom"/>
          </w:tcPr>
          <w:p>
            <w:pPr>
              <w:spacing w:after="0"/>
              <w:rPr>
                <w:sz w:val="1"/>
                <w:szCs w:val="1"/>
                <w:color w:val="auto"/>
              </w:rPr>
            </w:pPr>
          </w:p>
        </w:tc>
      </w:tr>
      <w:tr>
        <w:trPr>
          <w:trHeight w:val="208"/>
        </w:trPr>
        <w:tc>
          <w:tcPr>
            <w:tcW w:w="7040" w:type="dxa"/>
            <w:vAlign w:val="bottom"/>
            <w:gridSpan w:val="2"/>
          </w:tcPr>
          <w:p>
            <w:pPr>
              <w:ind w:left="280"/>
              <w:spacing w:after="0"/>
              <w:rPr>
                <w:sz w:val="20"/>
                <w:szCs w:val="20"/>
                <w:color w:val="auto"/>
              </w:rPr>
            </w:pPr>
            <w:r>
              <w:rPr>
                <w:rFonts w:ascii="Arial" w:cs="Arial" w:eastAsia="Arial" w:hAnsi="Arial"/>
                <w:sz w:val="15"/>
                <w:szCs w:val="15"/>
                <w:color w:val="auto"/>
              </w:rPr>
              <w:t>Proceeds from issuance of long-term debt</w:t>
            </w:r>
          </w:p>
        </w:tc>
        <w:tc>
          <w:tcPr>
            <w:tcW w:w="320" w:type="dxa"/>
            <w:vAlign w:val="bottom"/>
          </w:tcPr>
          <w:p>
            <w:pPr>
              <w:spacing w:after="0"/>
              <w:rPr>
                <w:sz w:val="18"/>
                <w:szCs w:val="18"/>
                <w:color w:val="auto"/>
              </w:rPr>
            </w:pPr>
          </w:p>
        </w:tc>
        <w:tc>
          <w:tcPr>
            <w:tcW w:w="1000" w:type="dxa"/>
            <w:vAlign w:val="bottom"/>
            <w:vMerge w:val="restart"/>
          </w:tcPr>
          <w:p>
            <w:pPr>
              <w:jc w:val="right"/>
              <w:spacing w:after="0"/>
              <w:rPr>
                <w:sz w:val="20"/>
                <w:szCs w:val="20"/>
                <w:color w:val="auto"/>
              </w:rPr>
            </w:pPr>
            <w:r>
              <w:rPr>
                <w:rFonts w:ascii="Arial" w:cs="Arial" w:eastAsia="Arial" w:hAnsi="Arial"/>
                <w:sz w:val="15"/>
                <w:szCs w:val="15"/>
                <w:color w:val="auto"/>
              </w:rPr>
              <w:t>3,210</w:t>
            </w:r>
          </w:p>
        </w:tc>
        <w:tc>
          <w:tcPr>
            <w:tcW w:w="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40" w:type="dxa"/>
            <w:vAlign w:val="bottom"/>
            <w:vMerge w:val="restart"/>
          </w:tcPr>
          <w:p>
            <w:pPr>
              <w:jc w:val="right"/>
              <w:ind w:right="24"/>
              <w:spacing w:after="0"/>
              <w:rPr>
                <w:sz w:val="20"/>
                <w:szCs w:val="20"/>
                <w:color w:val="auto"/>
              </w:rPr>
            </w:pPr>
            <w:r>
              <w:rPr>
                <w:rFonts w:ascii="Arial" w:cs="Arial" w:eastAsia="Arial" w:hAnsi="Arial"/>
                <w:sz w:val="15"/>
                <w:szCs w:val="15"/>
                <w:color w:val="auto"/>
              </w:rPr>
              <w:t>2,354</w:t>
            </w: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040" w:type="dxa"/>
            <w:vAlign w:val="bottom"/>
            <w:vMerge w:val="restart"/>
          </w:tcPr>
          <w:p>
            <w:pPr>
              <w:jc w:val="right"/>
              <w:ind w:right="44"/>
              <w:spacing w:after="0"/>
              <w:rPr>
                <w:sz w:val="20"/>
                <w:szCs w:val="20"/>
                <w:color w:val="auto"/>
              </w:rPr>
            </w:pPr>
            <w:r>
              <w:rPr>
                <w:rFonts w:ascii="Arial" w:cs="Arial" w:eastAsia="Arial" w:hAnsi="Arial"/>
                <w:sz w:val="15"/>
                <w:szCs w:val="15"/>
                <w:color w:val="auto"/>
              </w:rPr>
              <w:t>3,058</w:t>
            </w:r>
          </w:p>
        </w:tc>
        <w:tc>
          <w:tcPr>
            <w:tcW w:w="0" w:type="dxa"/>
            <w:vAlign w:val="bottom"/>
          </w:tcPr>
          <w:p>
            <w:pPr>
              <w:spacing w:after="0"/>
              <w:rPr>
                <w:sz w:val="1"/>
                <w:szCs w:val="1"/>
                <w:color w:val="auto"/>
              </w:rPr>
            </w:pPr>
          </w:p>
        </w:tc>
      </w:tr>
      <w:tr>
        <w:trPr>
          <w:trHeight w:val="58"/>
        </w:trPr>
        <w:tc>
          <w:tcPr>
            <w:tcW w:w="2120" w:type="dxa"/>
            <w:vAlign w:val="bottom"/>
          </w:tcPr>
          <w:p>
            <w:pPr>
              <w:spacing w:after="0"/>
              <w:rPr>
                <w:sz w:val="5"/>
                <w:szCs w:val="5"/>
                <w:color w:val="auto"/>
              </w:rPr>
            </w:pPr>
          </w:p>
        </w:tc>
        <w:tc>
          <w:tcPr>
            <w:tcW w:w="4920" w:type="dxa"/>
            <w:vAlign w:val="bottom"/>
          </w:tcPr>
          <w:p>
            <w:pPr>
              <w:spacing w:after="0"/>
              <w:rPr>
                <w:sz w:val="5"/>
                <w:szCs w:val="5"/>
                <w:color w:val="auto"/>
              </w:rPr>
            </w:pPr>
          </w:p>
        </w:tc>
        <w:tc>
          <w:tcPr>
            <w:tcW w:w="320" w:type="dxa"/>
            <w:vAlign w:val="bottom"/>
          </w:tcPr>
          <w:p>
            <w:pPr>
              <w:spacing w:after="0"/>
              <w:rPr>
                <w:sz w:val="5"/>
                <w:szCs w:val="5"/>
                <w:color w:val="auto"/>
              </w:rPr>
            </w:pPr>
          </w:p>
        </w:tc>
        <w:tc>
          <w:tcPr>
            <w:tcW w:w="1000" w:type="dxa"/>
            <w:vAlign w:val="bottom"/>
            <w:vMerge w:val="continue"/>
          </w:tcPr>
          <w:p>
            <w:pPr>
              <w:spacing w:after="0"/>
              <w:rPr>
                <w:sz w:val="5"/>
                <w:szCs w:val="5"/>
                <w:color w:val="auto"/>
              </w:rPr>
            </w:pPr>
          </w:p>
        </w:tc>
        <w:tc>
          <w:tcPr>
            <w:tcW w:w="40" w:type="dxa"/>
            <w:vAlign w:val="bottom"/>
          </w:tcPr>
          <w:p>
            <w:pPr>
              <w:spacing w:after="0"/>
              <w:rPr>
                <w:sz w:val="5"/>
                <w:szCs w:val="5"/>
                <w:color w:val="auto"/>
              </w:rPr>
            </w:pPr>
          </w:p>
        </w:tc>
        <w:tc>
          <w:tcPr>
            <w:tcW w:w="120" w:type="dxa"/>
            <w:vAlign w:val="bottom"/>
          </w:tcPr>
          <w:p>
            <w:pPr>
              <w:spacing w:after="0"/>
              <w:rPr>
                <w:sz w:val="5"/>
                <w:szCs w:val="5"/>
                <w:color w:val="auto"/>
              </w:rPr>
            </w:pPr>
          </w:p>
        </w:tc>
        <w:tc>
          <w:tcPr>
            <w:tcW w:w="320" w:type="dxa"/>
            <w:vAlign w:val="bottom"/>
          </w:tcPr>
          <w:p>
            <w:pPr>
              <w:spacing w:after="0"/>
              <w:rPr>
                <w:sz w:val="5"/>
                <w:szCs w:val="5"/>
                <w:color w:val="auto"/>
              </w:rPr>
            </w:pPr>
          </w:p>
        </w:tc>
        <w:tc>
          <w:tcPr>
            <w:tcW w:w="1040" w:type="dxa"/>
            <w:vAlign w:val="bottom"/>
            <w:vMerge w:val="continue"/>
          </w:tcPr>
          <w:p>
            <w:pPr>
              <w:spacing w:after="0"/>
              <w:rPr>
                <w:sz w:val="5"/>
                <w:szCs w:val="5"/>
                <w:color w:val="auto"/>
              </w:rPr>
            </w:pPr>
          </w:p>
        </w:tc>
        <w:tc>
          <w:tcPr>
            <w:tcW w:w="100" w:type="dxa"/>
            <w:vAlign w:val="bottom"/>
          </w:tcPr>
          <w:p>
            <w:pPr>
              <w:spacing w:after="0"/>
              <w:rPr>
                <w:sz w:val="5"/>
                <w:szCs w:val="5"/>
                <w:color w:val="auto"/>
              </w:rPr>
            </w:pPr>
          </w:p>
        </w:tc>
        <w:tc>
          <w:tcPr>
            <w:tcW w:w="340" w:type="dxa"/>
            <w:vAlign w:val="bottom"/>
          </w:tcPr>
          <w:p>
            <w:pPr>
              <w:spacing w:after="0"/>
              <w:rPr>
                <w:sz w:val="5"/>
                <w:szCs w:val="5"/>
                <w:color w:val="auto"/>
              </w:rPr>
            </w:pPr>
          </w:p>
        </w:tc>
        <w:tc>
          <w:tcPr>
            <w:tcW w:w="104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r>
        <w:trPr>
          <w:trHeight w:val="212"/>
        </w:trPr>
        <w:tc>
          <w:tcPr>
            <w:tcW w:w="7040" w:type="dxa"/>
            <w:vAlign w:val="bottom"/>
            <w:gridSpan w:val="2"/>
            <w:shd w:val="clear" w:color="auto" w:fill="CCEEFF"/>
          </w:tcPr>
          <w:p>
            <w:pPr>
              <w:ind w:left="280"/>
              <w:spacing w:after="0"/>
              <w:rPr>
                <w:sz w:val="20"/>
                <w:szCs w:val="20"/>
                <w:color w:val="auto"/>
              </w:rPr>
            </w:pPr>
            <w:r>
              <w:rPr>
                <w:rFonts w:ascii="Arial" w:cs="Arial" w:eastAsia="Arial" w:hAnsi="Arial"/>
                <w:sz w:val="15"/>
                <w:szCs w:val="15"/>
                <w:color w:val="auto"/>
              </w:rPr>
              <w:t>Payments on long-term debt and finance leases</w:t>
            </w:r>
          </w:p>
        </w:tc>
        <w:tc>
          <w:tcPr>
            <w:tcW w:w="320" w:type="dxa"/>
            <w:vAlign w:val="bottom"/>
            <w:shd w:val="clear" w:color="auto" w:fill="CCEEFF"/>
          </w:tcPr>
          <w:p>
            <w:pPr>
              <w:spacing w:after="0"/>
              <w:rPr>
                <w:sz w:val="18"/>
                <w:szCs w:val="18"/>
                <w:color w:val="auto"/>
              </w:rPr>
            </w:pPr>
          </w:p>
        </w:tc>
        <w:tc>
          <w:tcPr>
            <w:tcW w:w="1000" w:type="dxa"/>
            <w:vAlign w:val="bottom"/>
            <w:vMerge w:val="restart"/>
            <w:shd w:val="clear" w:color="auto" w:fill="CCEEFF"/>
          </w:tcPr>
          <w:p>
            <w:pPr>
              <w:jc w:val="right"/>
              <w:spacing w:after="0"/>
              <w:rPr>
                <w:sz w:val="20"/>
                <w:szCs w:val="20"/>
                <w:color w:val="auto"/>
              </w:rPr>
            </w:pPr>
            <w:r>
              <w:rPr>
                <w:rFonts w:ascii="Arial" w:cs="Arial" w:eastAsia="Arial" w:hAnsi="Arial"/>
                <w:sz w:val="15"/>
                <w:szCs w:val="15"/>
                <w:color w:val="auto"/>
              </w:rPr>
              <w:t>(3,440)</w:t>
            </w:r>
          </w:p>
        </w:tc>
        <w:tc>
          <w:tcPr>
            <w:tcW w:w="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40" w:type="dxa"/>
            <w:vAlign w:val="bottom"/>
            <w:vMerge w:val="restart"/>
            <w:shd w:val="clear" w:color="auto" w:fill="CCEEFF"/>
          </w:tcPr>
          <w:p>
            <w:pPr>
              <w:jc w:val="right"/>
              <w:spacing w:after="0"/>
              <w:rPr>
                <w:sz w:val="20"/>
                <w:szCs w:val="20"/>
                <w:color w:val="auto"/>
              </w:rPr>
            </w:pPr>
            <w:r>
              <w:rPr>
                <w:rFonts w:ascii="Arial" w:cs="Arial" w:eastAsia="Arial" w:hAnsi="Arial"/>
                <w:sz w:val="15"/>
                <w:szCs w:val="15"/>
                <w:color w:val="auto"/>
              </w:rPr>
              <w:t>(2,442)</w:t>
            </w:r>
          </w:p>
        </w:tc>
        <w:tc>
          <w:tcPr>
            <w:tcW w:w="1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040" w:type="dxa"/>
            <w:vAlign w:val="bottom"/>
            <w:vMerge w:val="restart"/>
            <w:shd w:val="clear" w:color="auto" w:fill="CCEEFF"/>
          </w:tcPr>
          <w:p>
            <w:pPr>
              <w:jc w:val="right"/>
              <w:spacing w:after="0"/>
              <w:rPr>
                <w:sz w:val="20"/>
                <w:szCs w:val="20"/>
                <w:color w:val="auto"/>
              </w:rPr>
            </w:pPr>
            <w:r>
              <w:rPr>
                <w:rFonts w:ascii="Arial" w:cs="Arial" w:eastAsia="Arial" w:hAnsi="Arial"/>
                <w:sz w:val="15"/>
                <w:szCs w:val="15"/>
                <w:color w:val="auto"/>
              </w:rPr>
              <w:t>(2,332)</w:t>
            </w:r>
          </w:p>
        </w:tc>
        <w:tc>
          <w:tcPr>
            <w:tcW w:w="0" w:type="dxa"/>
            <w:vAlign w:val="bottom"/>
          </w:tcPr>
          <w:p>
            <w:pPr>
              <w:spacing w:after="0"/>
              <w:rPr>
                <w:sz w:val="1"/>
                <w:szCs w:val="1"/>
                <w:color w:val="auto"/>
              </w:rPr>
            </w:pPr>
          </w:p>
        </w:tc>
      </w:tr>
      <w:tr>
        <w:trPr>
          <w:trHeight w:val="62"/>
        </w:trPr>
        <w:tc>
          <w:tcPr>
            <w:tcW w:w="2120" w:type="dxa"/>
            <w:vAlign w:val="bottom"/>
            <w:shd w:val="clear" w:color="auto" w:fill="CCEEFF"/>
          </w:tcPr>
          <w:p>
            <w:pPr>
              <w:spacing w:after="0"/>
              <w:rPr>
                <w:sz w:val="5"/>
                <w:szCs w:val="5"/>
                <w:color w:val="auto"/>
              </w:rPr>
            </w:pPr>
          </w:p>
        </w:tc>
        <w:tc>
          <w:tcPr>
            <w:tcW w:w="4920" w:type="dxa"/>
            <w:vAlign w:val="bottom"/>
            <w:shd w:val="clear" w:color="auto" w:fill="CCEEFF"/>
          </w:tcPr>
          <w:p>
            <w:pPr>
              <w:spacing w:after="0"/>
              <w:rPr>
                <w:sz w:val="5"/>
                <w:szCs w:val="5"/>
                <w:color w:val="auto"/>
              </w:rPr>
            </w:pPr>
          </w:p>
        </w:tc>
        <w:tc>
          <w:tcPr>
            <w:tcW w:w="320" w:type="dxa"/>
            <w:vAlign w:val="bottom"/>
            <w:shd w:val="clear" w:color="auto" w:fill="CCEEFF"/>
          </w:tcPr>
          <w:p>
            <w:pPr>
              <w:spacing w:after="0"/>
              <w:rPr>
                <w:sz w:val="5"/>
                <w:szCs w:val="5"/>
                <w:color w:val="auto"/>
              </w:rPr>
            </w:pPr>
          </w:p>
        </w:tc>
        <w:tc>
          <w:tcPr>
            <w:tcW w:w="1000" w:type="dxa"/>
            <w:vAlign w:val="bottom"/>
            <w:vMerge w:val="continue"/>
            <w:shd w:val="clear" w:color="auto" w:fill="CCEEFF"/>
          </w:tcPr>
          <w:p>
            <w:pPr>
              <w:spacing w:after="0"/>
              <w:rPr>
                <w:sz w:val="5"/>
                <w:szCs w:val="5"/>
                <w:color w:val="auto"/>
              </w:rPr>
            </w:pPr>
          </w:p>
        </w:tc>
        <w:tc>
          <w:tcPr>
            <w:tcW w:w="40" w:type="dxa"/>
            <w:vAlign w:val="bottom"/>
            <w:shd w:val="clear" w:color="auto" w:fill="CCEEFF"/>
          </w:tcPr>
          <w:p>
            <w:pPr>
              <w:spacing w:after="0"/>
              <w:rPr>
                <w:sz w:val="5"/>
                <w:szCs w:val="5"/>
                <w:color w:val="auto"/>
              </w:rPr>
            </w:pPr>
          </w:p>
        </w:tc>
        <w:tc>
          <w:tcPr>
            <w:tcW w:w="120" w:type="dxa"/>
            <w:vAlign w:val="bottom"/>
            <w:shd w:val="clear" w:color="auto" w:fill="CCEEFF"/>
          </w:tcPr>
          <w:p>
            <w:pPr>
              <w:spacing w:after="0"/>
              <w:rPr>
                <w:sz w:val="5"/>
                <w:szCs w:val="5"/>
                <w:color w:val="auto"/>
              </w:rPr>
            </w:pPr>
          </w:p>
        </w:tc>
        <w:tc>
          <w:tcPr>
            <w:tcW w:w="320" w:type="dxa"/>
            <w:vAlign w:val="bottom"/>
            <w:shd w:val="clear" w:color="auto" w:fill="CCEEFF"/>
          </w:tcPr>
          <w:p>
            <w:pPr>
              <w:spacing w:after="0"/>
              <w:rPr>
                <w:sz w:val="5"/>
                <w:szCs w:val="5"/>
                <w:color w:val="auto"/>
              </w:rPr>
            </w:pPr>
          </w:p>
        </w:tc>
        <w:tc>
          <w:tcPr>
            <w:tcW w:w="1040" w:type="dxa"/>
            <w:vAlign w:val="bottom"/>
            <w:vMerge w:val="continue"/>
            <w:shd w:val="clear" w:color="auto" w:fill="CCEEFF"/>
          </w:tcPr>
          <w:p>
            <w:pPr>
              <w:spacing w:after="0"/>
              <w:rPr>
                <w:sz w:val="5"/>
                <w:szCs w:val="5"/>
                <w:color w:val="auto"/>
              </w:rPr>
            </w:pPr>
          </w:p>
        </w:tc>
        <w:tc>
          <w:tcPr>
            <w:tcW w:w="100" w:type="dxa"/>
            <w:vAlign w:val="bottom"/>
            <w:shd w:val="clear" w:color="auto" w:fill="CCEEFF"/>
          </w:tcPr>
          <w:p>
            <w:pPr>
              <w:spacing w:after="0"/>
              <w:rPr>
                <w:sz w:val="5"/>
                <w:szCs w:val="5"/>
                <w:color w:val="auto"/>
              </w:rPr>
            </w:pPr>
          </w:p>
        </w:tc>
        <w:tc>
          <w:tcPr>
            <w:tcW w:w="340" w:type="dxa"/>
            <w:vAlign w:val="bottom"/>
            <w:shd w:val="clear" w:color="auto" w:fill="CCEEFF"/>
          </w:tcPr>
          <w:p>
            <w:pPr>
              <w:spacing w:after="0"/>
              <w:rPr>
                <w:sz w:val="5"/>
                <w:szCs w:val="5"/>
                <w:color w:val="auto"/>
              </w:rPr>
            </w:pPr>
          </w:p>
        </w:tc>
        <w:tc>
          <w:tcPr>
            <w:tcW w:w="1040" w:type="dxa"/>
            <w:vAlign w:val="bottom"/>
            <w:vMerge w:val="continue"/>
            <w:shd w:val="clear" w:color="auto" w:fill="CCEEFF"/>
          </w:tcPr>
          <w:p>
            <w:pPr>
              <w:spacing w:after="0"/>
              <w:rPr>
                <w:sz w:val="5"/>
                <w:szCs w:val="5"/>
                <w:color w:val="auto"/>
              </w:rPr>
            </w:pPr>
          </w:p>
        </w:tc>
        <w:tc>
          <w:tcPr>
            <w:tcW w:w="0" w:type="dxa"/>
            <w:vAlign w:val="bottom"/>
          </w:tcPr>
          <w:p>
            <w:pPr>
              <w:spacing w:after="0"/>
              <w:rPr>
                <w:sz w:val="1"/>
                <w:szCs w:val="1"/>
                <w:color w:val="auto"/>
              </w:rPr>
            </w:pPr>
          </w:p>
        </w:tc>
      </w:tr>
      <w:tr>
        <w:trPr>
          <w:trHeight w:val="208"/>
        </w:trPr>
        <w:tc>
          <w:tcPr>
            <w:tcW w:w="7040" w:type="dxa"/>
            <w:vAlign w:val="bottom"/>
            <w:gridSpan w:val="2"/>
          </w:tcPr>
          <w:p>
            <w:pPr>
              <w:ind w:left="280"/>
              <w:spacing w:after="0"/>
              <w:rPr>
                <w:sz w:val="20"/>
                <w:szCs w:val="20"/>
                <w:color w:val="auto"/>
              </w:rPr>
            </w:pPr>
            <w:r>
              <w:rPr>
                <w:rFonts w:ascii="Arial" w:cs="Arial" w:eastAsia="Arial" w:hAnsi="Arial"/>
                <w:sz w:val="15"/>
                <w:szCs w:val="15"/>
                <w:color w:val="auto"/>
              </w:rPr>
              <w:t>Deferred financing costs</w:t>
            </w:r>
          </w:p>
        </w:tc>
        <w:tc>
          <w:tcPr>
            <w:tcW w:w="320" w:type="dxa"/>
            <w:vAlign w:val="bottom"/>
          </w:tcPr>
          <w:p>
            <w:pPr>
              <w:spacing w:after="0"/>
              <w:rPr>
                <w:sz w:val="18"/>
                <w:szCs w:val="18"/>
                <w:color w:val="auto"/>
              </w:rPr>
            </w:pPr>
          </w:p>
        </w:tc>
        <w:tc>
          <w:tcPr>
            <w:tcW w:w="1000" w:type="dxa"/>
            <w:vAlign w:val="bottom"/>
            <w:vMerge w:val="restart"/>
          </w:tcPr>
          <w:p>
            <w:pPr>
              <w:jc w:val="right"/>
              <w:spacing w:after="0"/>
              <w:rPr>
                <w:sz w:val="20"/>
                <w:szCs w:val="20"/>
                <w:color w:val="auto"/>
              </w:rPr>
            </w:pPr>
            <w:r>
              <w:rPr>
                <w:rFonts w:ascii="Arial" w:cs="Arial" w:eastAsia="Arial" w:hAnsi="Arial"/>
                <w:sz w:val="15"/>
                <w:szCs w:val="15"/>
                <w:color w:val="auto"/>
              </w:rPr>
              <w:t>(52)</w:t>
            </w:r>
          </w:p>
        </w:tc>
        <w:tc>
          <w:tcPr>
            <w:tcW w:w="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40" w:type="dxa"/>
            <w:vAlign w:val="bottom"/>
            <w:vMerge w:val="restart"/>
          </w:tcPr>
          <w:p>
            <w:pPr>
              <w:jc w:val="right"/>
              <w:spacing w:after="0"/>
              <w:rPr>
                <w:sz w:val="20"/>
                <w:szCs w:val="20"/>
                <w:color w:val="auto"/>
              </w:rPr>
            </w:pPr>
            <w:r>
              <w:rPr>
                <w:rFonts w:ascii="Arial" w:cs="Arial" w:eastAsia="Arial" w:hAnsi="Arial"/>
                <w:sz w:val="15"/>
                <w:szCs w:val="15"/>
                <w:color w:val="auto"/>
              </w:rPr>
              <w:t>(59)</w:t>
            </w: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040" w:type="dxa"/>
            <w:vAlign w:val="bottom"/>
            <w:vMerge w:val="restart"/>
          </w:tcPr>
          <w:p>
            <w:pPr>
              <w:jc w:val="right"/>
              <w:spacing w:after="0"/>
              <w:rPr>
                <w:sz w:val="20"/>
                <w:szCs w:val="20"/>
                <w:color w:val="auto"/>
              </w:rPr>
            </w:pPr>
            <w:r>
              <w:rPr>
                <w:rFonts w:ascii="Arial" w:cs="Arial" w:eastAsia="Arial" w:hAnsi="Arial"/>
                <w:sz w:val="15"/>
                <w:szCs w:val="15"/>
                <w:color w:val="auto"/>
              </w:rPr>
              <w:t>(85)</w:t>
            </w:r>
          </w:p>
        </w:tc>
        <w:tc>
          <w:tcPr>
            <w:tcW w:w="0" w:type="dxa"/>
            <w:vAlign w:val="bottom"/>
          </w:tcPr>
          <w:p>
            <w:pPr>
              <w:spacing w:after="0"/>
              <w:rPr>
                <w:sz w:val="1"/>
                <w:szCs w:val="1"/>
                <w:color w:val="auto"/>
              </w:rPr>
            </w:pPr>
          </w:p>
        </w:tc>
      </w:tr>
      <w:tr>
        <w:trPr>
          <w:trHeight w:val="58"/>
        </w:trPr>
        <w:tc>
          <w:tcPr>
            <w:tcW w:w="2120" w:type="dxa"/>
            <w:vAlign w:val="bottom"/>
          </w:tcPr>
          <w:p>
            <w:pPr>
              <w:spacing w:after="0"/>
              <w:rPr>
                <w:sz w:val="5"/>
                <w:szCs w:val="5"/>
                <w:color w:val="auto"/>
              </w:rPr>
            </w:pPr>
          </w:p>
        </w:tc>
        <w:tc>
          <w:tcPr>
            <w:tcW w:w="4920" w:type="dxa"/>
            <w:vAlign w:val="bottom"/>
          </w:tcPr>
          <w:p>
            <w:pPr>
              <w:spacing w:after="0"/>
              <w:rPr>
                <w:sz w:val="5"/>
                <w:szCs w:val="5"/>
                <w:color w:val="auto"/>
              </w:rPr>
            </w:pPr>
          </w:p>
        </w:tc>
        <w:tc>
          <w:tcPr>
            <w:tcW w:w="320" w:type="dxa"/>
            <w:vAlign w:val="bottom"/>
          </w:tcPr>
          <w:p>
            <w:pPr>
              <w:spacing w:after="0"/>
              <w:rPr>
                <w:sz w:val="5"/>
                <w:szCs w:val="5"/>
                <w:color w:val="auto"/>
              </w:rPr>
            </w:pPr>
          </w:p>
        </w:tc>
        <w:tc>
          <w:tcPr>
            <w:tcW w:w="1000" w:type="dxa"/>
            <w:vAlign w:val="bottom"/>
            <w:vMerge w:val="continue"/>
          </w:tcPr>
          <w:p>
            <w:pPr>
              <w:spacing w:after="0"/>
              <w:rPr>
                <w:sz w:val="5"/>
                <w:szCs w:val="5"/>
                <w:color w:val="auto"/>
              </w:rPr>
            </w:pPr>
          </w:p>
        </w:tc>
        <w:tc>
          <w:tcPr>
            <w:tcW w:w="40" w:type="dxa"/>
            <w:vAlign w:val="bottom"/>
          </w:tcPr>
          <w:p>
            <w:pPr>
              <w:spacing w:after="0"/>
              <w:rPr>
                <w:sz w:val="5"/>
                <w:szCs w:val="5"/>
                <w:color w:val="auto"/>
              </w:rPr>
            </w:pPr>
          </w:p>
        </w:tc>
        <w:tc>
          <w:tcPr>
            <w:tcW w:w="120" w:type="dxa"/>
            <w:vAlign w:val="bottom"/>
          </w:tcPr>
          <w:p>
            <w:pPr>
              <w:spacing w:after="0"/>
              <w:rPr>
                <w:sz w:val="5"/>
                <w:szCs w:val="5"/>
                <w:color w:val="auto"/>
              </w:rPr>
            </w:pPr>
          </w:p>
        </w:tc>
        <w:tc>
          <w:tcPr>
            <w:tcW w:w="320" w:type="dxa"/>
            <w:vAlign w:val="bottom"/>
          </w:tcPr>
          <w:p>
            <w:pPr>
              <w:spacing w:after="0"/>
              <w:rPr>
                <w:sz w:val="5"/>
                <w:szCs w:val="5"/>
                <w:color w:val="auto"/>
              </w:rPr>
            </w:pPr>
          </w:p>
        </w:tc>
        <w:tc>
          <w:tcPr>
            <w:tcW w:w="1040" w:type="dxa"/>
            <w:vAlign w:val="bottom"/>
            <w:vMerge w:val="continue"/>
          </w:tcPr>
          <w:p>
            <w:pPr>
              <w:spacing w:after="0"/>
              <w:rPr>
                <w:sz w:val="5"/>
                <w:szCs w:val="5"/>
                <w:color w:val="auto"/>
              </w:rPr>
            </w:pPr>
          </w:p>
        </w:tc>
        <w:tc>
          <w:tcPr>
            <w:tcW w:w="100" w:type="dxa"/>
            <w:vAlign w:val="bottom"/>
          </w:tcPr>
          <w:p>
            <w:pPr>
              <w:spacing w:after="0"/>
              <w:rPr>
                <w:sz w:val="5"/>
                <w:szCs w:val="5"/>
                <w:color w:val="auto"/>
              </w:rPr>
            </w:pPr>
          </w:p>
        </w:tc>
        <w:tc>
          <w:tcPr>
            <w:tcW w:w="340" w:type="dxa"/>
            <w:vAlign w:val="bottom"/>
          </w:tcPr>
          <w:p>
            <w:pPr>
              <w:spacing w:after="0"/>
              <w:rPr>
                <w:sz w:val="5"/>
                <w:szCs w:val="5"/>
                <w:color w:val="auto"/>
              </w:rPr>
            </w:pPr>
          </w:p>
        </w:tc>
        <w:tc>
          <w:tcPr>
            <w:tcW w:w="104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r>
        <w:trPr>
          <w:trHeight w:val="212"/>
        </w:trPr>
        <w:tc>
          <w:tcPr>
            <w:tcW w:w="7040" w:type="dxa"/>
            <w:vAlign w:val="bottom"/>
            <w:gridSpan w:val="2"/>
            <w:shd w:val="clear" w:color="auto" w:fill="CCEEFF"/>
          </w:tcPr>
          <w:p>
            <w:pPr>
              <w:ind w:left="280"/>
              <w:spacing w:after="0"/>
              <w:rPr>
                <w:sz w:val="20"/>
                <w:szCs w:val="20"/>
                <w:color w:val="auto"/>
              </w:rPr>
            </w:pPr>
            <w:r>
              <w:rPr>
                <w:rFonts w:ascii="Arial" w:cs="Arial" w:eastAsia="Arial" w:hAnsi="Arial"/>
                <w:sz w:val="15"/>
                <w:szCs w:val="15"/>
                <w:color w:val="auto"/>
              </w:rPr>
              <w:t>Other financing activities</w:t>
            </w:r>
          </w:p>
        </w:tc>
        <w:tc>
          <w:tcPr>
            <w:tcW w:w="320" w:type="dxa"/>
            <w:vAlign w:val="bottom"/>
            <w:shd w:val="clear" w:color="auto" w:fill="CCEEFF"/>
          </w:tcPr>
          <w:p>
            <w:pPr>
              <w:spacing w:after="0"/>
              <w:rPr>
                <w:sz w:val="18"/>
                <w:szCs w:val="18"/>
                <w:color w:val="auto"/>
              </w:rPr>
            </w:pPr>
          </w:p>
        </w:tc>
        <w:tc>
          <w:tcPr>
            <w:tcW w:w="1000" w:type="dxa"/>
            <w:vAlign w:val="bottom"/>
            <w:vMerge w:val="restart"/>
            <w:shd w:val="clear" w:color="auto" w:fill="CCEEFF"/>
          </w:tcPr>
          <w:p>
            <w:pPr>
              <w:jc w:val="right"/>
              <w:spacing w:after="0"/>
              <w:rPr>
                <w:sz w:val="20"/>
                <w:szCs w:val="20"/>
                <w:color w:val="auto"/>
              </w:rPr>
            </w:pPr>
            <w:r>
              <w:rPr>
                <w:rFonts w:ascii="Arial" w:cs="Arial" w:eastAsia="Arial" w:hAnsi="Arial"/>
                <w:sz w:val="15"/>
                <w:szCs w:val="15"/>
                <w:color w:val="auto"/>
              </w:rPr>
              <w:t>—</w:t>
            </w:r>
          </w:p>
        </w:tc>
        <w:tc>
          <w:tcPr>
            <w:tcW w:w="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140" w:type="dxa"/>
            <w:vAlign w:val="bottom"/>
            <w:gridSpan w:val="2"/>
            <w:vMerge w:val="restart"/>
            <w:shd w:val="clear" w:color="auto" w:fill="CCEEFF"/>
          </w:tcPr>
          <w:p>
            <w:pPr>
              <w:jc w:val="right"/>
              <w:ind w:right="200"/>
              <w:spacing w:after="0"/>
              <w:rPr>
                <w:sz w:val="20"/>
                <w:szCs w:val="20"/>
                <w:color w:val="auto"/>
              </w:rPr>
            </w:pPr>
            <w:r>
              <w:rPr>
                <w:rFonts w:ascii="Arial" w:cs="Arial" w:eastAsia="Arial" w:hAnsi="Arial"/>
                <w:sz w:val="15"/>
                <w:szCs w:val="15"/>
                <w:color w:val="auto"/>
              </w:rPr>
              <w:t>—</w:t>
            </w:r>
          </w:p>
        </w:tc>
        <w:tc>
          <w:tcPr>
            <w:tcW w:w="340" w:type="dxa"/>
            <w:vAlign w:val="bottom"/>
            <w:shd w:val="clear" w:color="auto" w:fill="CCEEFF"/>
          </w:tcPr>
          <w:p>
            <w:pPr>
              <w:spacing w:after="0"/>
              <w:rPr>
                <w:sz w:val="18"/>
                <w:szCs w:val="18"/>
                <w:color w:val="auto"/>
              </w:rPr>
            </w:pPr>
          </w:p>
        </w:tc>
        <w:tc>
          <w:tcPr>
            <w:tcW w:w="1040" w:type="dxa"/>
            <w:vAlign w:val="bottom"/>
            <w:vMerge w:val="restart"/>
            <w:shd w:val="clear" w:color="auto" w:fill="CCEEFF"/>
          </w:tcPr>
          <w:p>
            <w:pPr>
              <w:jc w:val="right"/>
              <w:ind w:right="44"/>
              <w:spacing w:after="0"/>
              <w:rPr>
                <w:sz w:val="20"/>
                <w:szCs w:val="20"/>
                <w:color w:val="auto"/>
              </w:rPr>
            </w:pPr>
            <w:r>
              <w:rPr>
                <w:rFonts w:ascii="Arial" w:cs="Arial" w:eastAsia="Arial" w:hAnsi="Arial"/>
                <w:sz w:val="15"/>
                <w:szCs w:val="15"/>
                <w:color w:val="auto"/>
              </w:rPr>
              <w:t>27</w:t>
            </w:r>
          </w:p>
        </w:tc>
        <w:tc>
          <w:tcPr>
            <w:tcW w:w="0" w:type="dxa"/>
            <w:vAlign w:val="bottom"/>
          </w:tcPr>
          <w:p>
            <w:pPr>
              <w:spacing w:after="0"/>
              <w:rPr>
                <w:sz w:val="1"/>
                <w:szCs w:val="1"/>
                <w:color w:val="auto"/>
              </w:rPr>
            </w:pPr>
          </w:p>
        </w:tc>
      </w:tr>
      <w:tr>
        <w:trPr>
          <w:trHeight w:val="62"/>
        </w:trPr>
        <w:tc>
          <w:tcPr>
            <w:tcW w:w="2120" w:type="dxa"/>
            <w:vAlign w:val="bottom"/>
            <w:shd w:val="clear" w:color="auto" w:fill="CCEEFF"/>
          </w:tcPr>
          <w:p>
            <w:pPr>
              <w:spacing w:after="0"/>
              <w:rPr>
                <w:sz w:val="5"/>
                <w:szCs w:val="5"/>
                <w:color w:val="auto"/>
              </w:rPr>
            </w:pPr>
          </w:p>
        </w:tc>
        <w:tc>
          <w:tcPr>
            <w:tcW w:w="4920" w:type="dxa"/>
            <w:vAlign w:val="bottom"/>
            <w:shd w:val="clear" w:color="auto" w:fill="CCEEFF"/>
          </w:tcPr>
          <w:p>
            <w:pPr>
              <w:spacing w:after="0"/>
              <w:rPr>
                <w:sz w:val="5"/>
                <w:szCs w:val="5"/>
                <w:color w:val="auto"/>
              </w:rPr>
            </w:pPr>
          </w:p>
        </w:tc>
        <w:tc>
          <w:tcPr>
            <w:tcW w:w="320" w:type="dxa"/>
            <w:vAlign w:val="bottom"/>
            <w:shd w:val="clear" w:color="auto" w:fill="CCEEFF"/>
          </w:tcPr>
          <w:p>
            <w:pPr>
              <w:spacing w:after="0"/>
              <w:rPr>
                <w:sz w:val="5"/>
                <w:szCs w:val="5"/>
                <w:color w:val="auto"/>
              </w:rPr>
            </w:pPr>
          </w:p>
        </w:tc>
        <w:tc>
          <w:tcPr>
            <w:tcW w:w="1000" w:type="dxa"/>
            <w:vAlign w:val="bottom"/>
            <w:vMerge w:val="continue"/>
            <w:shd w:val="clear" w:color="auto" w:fill="CCEEFF"/>
          </w:tcPr>
          <w:p>
            <w:pPr>
              <w:spacing w:after="0"/>
              <w:rPr>
                <w:sz w:val="5"/>
                <w:szCs w:val="5"/>
                <w:color w:val="auto"/>
              </w:rPr>
            </w:pPr>
          </w:p>
        </w:tc>
        <w:tc>
          <w:tcPr>
            <w:tcW w:w="40" w:type="dxa"/>
            <w:vAlign w:val="bottom"/>
            <w:shd w:val="clear" w:color="auto" w:fill="CCEEFF"/>
          </w:tcPr>
          <w:p>
            <w:pPr>
              <w:spacing w:after="0"/>
              <w:rPr>
                <w:sz w:val="5"/>
                <w:szCs w:val="5"/>
                <w:color w:val="auto"/>
              </w:rPr>
            </w:pPr>
          </w:p>
        </w:tc>
        <w:tc>
          <w:tcPr>
            <w:tcW w:w="120" w:type="dxa"/>
            <w:vAlign w:val="bottom"/>
            <w:shd w:val="clear" w:color="auto" w:fill="CCEEFF"/>
          </w:tcPr>
          <w:p>
            <w:pPr>
              <w:spacing w:after="0"/>
              <w:rPr>
                <w:sz w:val="5"/>
                <w:szCs w:val="5"/>
                <w:color w:val="auto"/>
              </w:rPr>
            </w:pPr>
          </w:p>
        </w:tc>
        <w:tc>
          <w:tcPr>
            <w:tcW w:w="320" w:type="dxa"/>
            <w:vAlign w:val="bottom"/>
            <w:shd w:val="clear" w:color="auto" w:fill="CCEEFF"/>
          </w:tcPr>
          <w:p>
            <w:pPr>
              <w:spacing w:after="0"/>
              <w:rPr>
                <w:sz w:val="5"/>
                <w:szCs w:val="5"/>
                <w:color w:val="auto"/>
              </w:rPr>
            </w:pPr>
          </w:p>
        </w:tc>
        <w:tc>
          <w:tcPr>
            <w:tcW w:w="1140" w:type="dxa"/>
            <w:vAlign w:val="bottom"/>
            <w:gridSpan w:val="2"/>
            <w:vMerge w:val="continue"/>
            <w:shd w:val="clear" w:color="auto" w:fill="CCEEFF"/>
          </w:tcPr>
          <w:p>
            <w:pPr>
              <w:spacing w:after="0"/>
              <w:rPr>
                <w:sz w:val="5"/>
                <w:szCs w:val="5"/>
                <w:color w:val="auto"/>
              </w:rPr>
            </w:pPr>
          </w:p>
        </w:tc>
        <w:tc>
          <w:tcPr>
            <w:tcW w:w="340" w:type="dxa"/>
            <w:vAlign w:val="bottom"/>
            <w:shd w:val="clear" w:color="auto" w:fill="CCEEFF"/>
          </w:tcPr>
          <w:p>
            <w:pPr>
              <w:spacing w:after="0"/>
              <w:rPr>
                <w:sz w:val="5"/>
                <w:szCs w:val="5"/>
                <w:color w:val="auto"/>
              </w:rPr>
            </w:pPr>
          </w:p>
        </w:tc>
        <w:tc>
          <w:tcPr>
            <w:tcW w:w="1040" w:type="dxa"/>
            <w:vAlign w:val="bottom"/>
            <w:vMerge w:val="continue"/>
            <w:shd w:val="clear" w:color="auto" w:fill="CCEEFF"/>
          </w:tcPr>
          <w:p>
            <w:pPr>
              <w:spacing w:after="0"/>
              <w:rPr>
                <w:sz w:val="5"/>
                <w:szCs w:val="5"/>
                <w:color w:val="auto"/>
              </w:rPr>
            </w:pPr>
          </w:p>
        </w:tc>
        <w:tc>
          <w:tcPr>
            <w:tcW w:w="0" w:type="dxa"/>
            <w:vAlign w:val="bottom"/>
          </w:tcPr>
          <w:p>
            <w:pPr>
              <w:spacing w:after="0"/>
              <w:rPr>
                <w:sz w:val="1"/>
                <w:szCs w:val="1"/>
                <w:color w:val="auto"/>
              </w:rPr>
            </w:pPr>
          </w:p>
        </w:tc>
      </w:tr>
      <w:tr>
        <w:trPr>
          <w:trHeight w:val="188"/>
        </w:trPr>
        <w:tc>
          <w:tcPr>
            <w:tcW w:w="7040" w:type="dxa"/>
            <w:vAlign w:val="bottom"/>
            <w:gridSpan w:val="2"/>
          </w:tcPr>
          <w:p>
            <w:pPr>
              <w:ind w:left="500"/>
              <w:spacing w:after="0"/>
              <w:rPr>
                <w:sz w:val="20"/>
                <w:szCs w:val="20"/>
                <w:color w:val="auto"/>
              </w:rPr>
            </w:pPr>
            <w:r>
              <w:rPr>
                <w:rFonts w:ascii="Arial" w:cs="Arial" w:eastAsia="Arial" w:hAnsi="Arial"/>
                <w:sz w:val="15"/>
                <w:szCs w:val="15"/>
                <w:color w:val="auto"/>
              </w:rPr>
              <w:t>Net cash provided by (used in) financing activities</w:t>
            </w:r>
          </w:p>
        </w:tc>
        <w:tc>
          <w:tcPr>
            <w:tcW w:w="320" w:type="dxa"/>
            <w:vAlign w:val="bottom"/>
            <w:tcBorders>
              <w:top w:val="single" w:sz="8" w:color="auto"/>
            </w:tcBorders>
          </w:tcPr>
          <w:p>
            <w:pPr>
              <w:spacing w:after="0"/>
              <w:rPr>
                <w:sz w:val="16"/>
                <w:szCs w:val="16"/>
                <w:color w:val="auto"/>
              </w:rPr>
            </w:pPr>
          </w:p>
        </w:tc>
        <w:tc>
          <w:tcPr>
            <w:tcW w:w="1000" w:type="dxa"/>
            <w:vAlign w:val="bottom"/>
            <w:tcBorders>
              <w:top w:val="single" w:sz="8" w:color="auto"/>
            </w:tcBorders>
            <w:vMerge w:val="restart"/>
          </w:tcPr>
          <w:p>
            <w:pPr>
              <w:jc w:val="right"/>
              <w:spacing w:after="0"/>
              <w:rPr>
                <w:sz w:val="20"/>
                <w:szCs w:val="20"/>
                <w:color w:val="auto"/>
              </w:rPr>
            </w:pPr>
            <w:r>
              <w:rPr>
                <w:rFonts w:ascii="Arial" w:cs="Arial" w:eastAsia="Arial" w:hAnsi="Arial"/>
                <w:sz w:val="15"/>
                <w:szCs w:val="15"/>
                <w:color w:val="auto"/>
              </w:rPr>
              <w:t>(282)</w:t>
            </w:r>
          </w:p>
        </w:tc>
        <w:tc>
          <w:tcPr>
            <w:tcW w:w="40" w:type="dxa"/>
            <w:vAlign w:val="bottom"/>
            <w:tcBorders>
              <w:top w:val="single" w:sz="8" w:color="auto"/>
            </w:tcBorders>
          </w:tcPr>
          <w:p>
            <w:pPr>
              <w:spacing w:after="0"/>
              <w:rPr>
                <w:sz w:val="16"/>
                <w:szCs w:val="16"/>
                <w:color w:val="auto"/>
              </w:rPr>
            </w:pPr>
          </w:p>
        </w:tc>
        <w:tc>
          <w:tcPr>
            <w:tcW w:w="120" w:type="dxa"/>
            <w:vAlign w:val="bottom"/>
          </w:tcPr>
          <w:p>
            <w:pPr>
              <w:spacing w:after="0"/>
              <w:rPr>
                <w:sz w:val="16"/>
                <w:szCs w:val="16"/>
                <w:color w:val="auto"/>
              </w:rPr>
            </w:pPr>
          </w:p>
        </w:tc>
        <w:tc>
          <w:tcPr>
            <w:tcW w:w="320" w:type="dxa"/>
            <w:vAlign w:val="bottom"/>
            <w:tcBorders>
              <w:top w:val="single" w:sz="8" w:color="auto"/>
            </w:tcBorders>
          </w:tcPr>
          <w:p>
            <w:pPr>
              <w:spacing w:after="0"/>
              <w:rPr>
                <w:sz w:val="16"/>
                <w:szCs w:val="16"/>
                <w:color w:val="auto"/>
              </w:rPr>
            </w:pPr>
          </w:p>
        </w:tc>
        <w:tc>
          <w:tcPr>
            <w:tcW w:w="1040" w:type="dxa"/>
            <w:vAlign w:val="bottom"/>
            <w:tcBorders>
              <w:top w:val="single" w:sz="8" w:color="auto"/>
            </w:tcBorders>
            <w:vMerge w:val="restart"/>
          </w:tcPr>
          <w:p>
            <w:pPr>
              <w:jc w:val="right"/>
              <w:spacing w:after="0"/>
              <w:rPr>
                <w:sz w:val="20"/>
                <w:szCs w:val="20"/>
                <w:color w:val="auto"/>
              </w:rPr>
            </w:pPr>
            <w:r>
              <w:rPr>
                <w:rFonts w:ascii="Arial" w:cs="Arial" w:eastAsia="Arial" w:hAnsi="Arial"/>
                <w:sz w:val="15"/>
                <w:szCs w:val="15"/>
                <w:color w:val="auto"/>
              </w:rPr>
              <w:t>(147)</w:t>
            </w:r>
          </w:p>
        </w:tc>
        <w:tc>
          <w:tcPr>
            <w:tcW w:w="100" w:type="dxa"/>
            <w:vAlign w:val="bottom"/>
          </w:tcPr>
          <w:p>
            <w:pPr>
              <w:spacing w:after="0"/>
              <w:rPr>
                <w:sz w:val="16"/>
                <w:szCs w:val="16"/>
                <w:color w:val="auto"/>
              </w:rPr>
            </w:pPr>
          </w:p>
        </w:tc>
        <w:tc>
          <w:tcPr>
            <w:tcW w:w="340" w:type="dxa"/>
            <w:vAlign w:val="bottom"/>
            <w:tcBorders>
              <w:top w:val="single" w:sz="8" w:color="auto"/>
            </w:tcBorders>
          </w:tcPr>
          <w:p>
            <w:pPr>
              <w:spacing w:after="0"/>
              <w:rPr>
                <w:sz w:val="16"/>
                <w:szCs w:val="16"/>
                <w:color w:val="auto"/>
              </w:rPr>
            </w:pPr>
          </w:p>
        </w:tc>
        <w:tc>
          <w:tcPr>
            <w:tcW w:w="1040" w:type="dxa"/>
            <w:vAlign w:val="bottom"/>
            <w:tcBorders>
              <w:top w:val="single" w:sz="8" w:color="auto"/>
            </w:tcBorders>
            <w:vMerge w:val="restart"/>
          </w:tcPr>
          <w:p>
            <w:pPr>
              <w:jc w:val="right"/>
              <w:ind w:right="44"/>
              <w:spacing w:after="0"/>
              <w:rPr>
                <w:sz w:val="20"/>
                <w:szCs w:val="20"/>
                <w:color w:val="auto"/>
              </w:rPr>
            </w:pPr>
            <w:r>
              <w:rPr>
                <w:rFonts w:ascii="Arial" w:cs="Arial" w:eastAsia="Arial" w:hAnsi="Arial"/>
                <w:sz w:val="15"/>
                <w:szCs w:val="15"/>
                <w:color w:val="auto"/>
              </w:rPr>
              <w:t>668</w:t>
            </w:r>
          </w:p>
        </w:tc>
        <w:tc>
          <w:tcPr>
            <w:tcW w:w="0" w:type="dxa"/>
            <w:vAlign w:val="bottom"/>
          </w:tcPr>
          <w:p>
            <w:pPr>
              <w:spacing w:after="0"/>
              <w:rPr>
                <w:sz w:val="1"/>
                <w:szCs w:val="1"/>
                <w:color w:val="auto"/>
              </w:rPr>
            </w:pPr>
          </w:p>
        </w:tc>
      </w:tr>
      <w:tr>
        <w:trPr>
          <w:trHeight w:val="58"/>
        </w:trPr>
        <w:tc>
          <w:tcPr>
            <w:tcW w:w="2120" w:type="dxa"/>
            <w:vAlign w:val="bottom"/>
            <w:tcBorders>
              <w:bottom w:val="single" w:sz="8" w:color="CCEEFF"/>
            </w:tcBorders>
          </w:tcPr>
          <w:p>
            <w:pPr>
              <w:spacing w:after="0"/>
              <w:rPr>
                <w:sz w:val="5"/>
                <w:szCs w:val="5"/>
                <w:color w:val="auto"/>
              </w:rPr>
            </w:pPr>
          </w:p>
        </w:tc>
        <w:tc>
          <w:tcPr>
            <w:tcW w:w="4920" w:type="dxa"/>
            <w:vAlign w:val="bottom"/>
            <w:tcBorders>
              <w:bottom w:val="single" w:sz="8" w:color="CCEEFF"/>
            </w:tcBorders>
          </w:tcPr>
          <w:p>
            <w:pPr>
              <w:spacing w:after="0"/>
              <w:rPr>
                <w:sz w:val="5"/>
                <w:szCs w:val="5"/>
                <w:color w:val="auto"/>
              </w:rPr>
            </w:pPr>
          </w:p>
        </w:tc>
        <w:tc>
          <w:tcPr>
            <w:tcW w:w="320" w:type="dxa"/>
            <w:vAlign w:val="bottom"/>
            <w:tcBorders>
              <w:bottom w:val="single" w:sz="8" w:color="auto"/>
            </w:tcBorders>
          </w:tcPr>
          <w:p>
            <w:pPr>
              <w:spacing w:after="0"/>
              <w:rPr>
                <w:sz w:val="5"/>
                <w:szCs w:val="5"/>
                <w:color w:val="auto"/>
              </w:rPr>
            </w:pPr>
          </w:p>
        </w:tc>
        <w:tc>
          <w:tcPr>
            <w:tcW w:w="1000" w:type="dxa"/>
            <w:vAlign w:val="bottom"/>
            <w:tcBorders>
              <w:bottom w:val="single" w:sz="8" w:color="auto"/>
            </w:tcBorders>
            <w:vMerge w:val="continue"/>
          </w:tcPr>
          <w:p>
            <w:pPr>
              <w:spacing w:after="0"/>
              <w:rPr>
                <w:sz w:val="5"/>
                <w:szCs w:val="5"/>
                <w:color w:val="auto"/>
              </w:rPr>
            </w:pPr>
          </w:p>
        </w:tc>
        <w:tc>
          <w:tcPr>
            <w:tcW w:w="40" w:type="dxa"/>
            <w:vAlign w:val="bottom"/>
            <w:tcBorders>
              <w:bottom w:val="single" w:sz="8" w:color="auto"/>
            </w:tcBorders>
          </w:tcPr>
          <w:p>
            <w:pPr>
              <w:spacing w:after="0"/>
              <w:rPr>
                <w:sz w:val="5"/>
                <w:szCs w:val="5"/>
                <w:color w:val="auto"/>
              </w:rPr>
            </w:pPr>
          </w:p>
        </w:tc>
        <w:tc>
          <w:tcPr>
            <w:tcW w:w="120" w:type="dxa"/>
            <w:vAlign w:val="bottom"/>
            <w:tcBorders>
              <w:bottom w:val="single" w:sz="8" w:color="CCEEFF"/>
            </w:tcBorders>
          </w:tcPr>
          <w:p>
            <w:pPr>
              <w:spacing w:after="0"/>
              <w:rPr>
                <w:sz w:val="5"/>
                <w:szCs w:val="5"/>
                <w:color w:val="auto"/>
              </w:rPr>
            </w:pPr>
          </w:p>
        </w:tc>
        <w:tc>
          <w:tcPr>
            <w:tcW w:w="320" w:type="dxa"/>
            <w:vAlign w:val="bottom"/>
            <w:tcBorders>
              <w:bottom w:val="single" w:sz="8" w:color="auto"/>
            </w:tcBorders>
          </w:tcPr>
          <w:p>
            <w:pPr>
              <w:spacing w:after="0"/>
              <w:rPr>
                <w:sz w:val="5"/>
                <w:szCs w:val="5"/>
                <w:color w:val="auto"/>
              </w:rPr>
            </w:pPr>
          </w:p>
        </w:tc>
        <w:tc>
          <w:tcPr>
            <w:tcW w:w="1040" w:type="dxa"/>
            <w:vAlign w:val="bottom"/>
            <w:tcBorders>
              <w:bottom w:val="single" w:sz="8" w:color="auto"/>
            </w:tcBorders>
            <w:vMerge w:val="continue"/>
          </w:tcPr>
          <w:p>
            <w:pPr>
              <w:spacing w:after="0"/>
              <w:rPr>
                <w:sz w:val="5"/>
                <w:szCs w:val="5"/>
                <w:color w:val="auto"/>
              </w:rPr>
            </w:pPr>
          </w:p>
        </w:tc>
        <w:tc>
          <w:tcPr>
            <w:tcW w:w="100" w:type="dxa"/>
            <w:vAlign w:val="bottom"/>
            <w:tcBorders>
              <w:bottom w:val="single" w:sz="8" w:color="CCEEFF"/>
            </w:tcBorders>
          </w:tcPr>
          <w:p>
            <w:pPr>
              <w:spacing w:after="0"/>
              <w:rPr>
                <w:sz w:val="5"/>
                <w:szCs w:val="5"/>
                <w:color w:val="auto"/>
              </w:rPr>
            </w:pPr>
          </w:p>
        </w:tc>
        <w:tc>
          <w:tcPr>
            <w:tcW w:w="340" w:type="dxa"/>
            <w:vAlign w:val="bottom"/>
            <w:tcBorders>
              <w:bottom w:val="single" w:sz="8" w:color="auto"/>
            </w:tcBorders>
          </w:tcPr>
          <w:p>
            <w:pPr>
              <w:spacing w:after="0"/>
              <w:rPr>
                <w:sz w:val="5"/>
                <w:szCs w:val="5"/>
                <w:color w:val="auto"/>
              </w:rPr>
            </w:pPr>
          </w:p>
        </w:tc>
        <w:tc>
          <w:tcPr>
            <w:tcW w:w="1040" w:type="dxa"/>
            <w:vAlign w:val="bottom"/>
            <w:tcBorders>
              <w:bottom w:val="single" w:sz="8" w:color="auto"/>
            </w:tcBorders>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92"/>
        </w:trPr>
        <w:tc>
          <w:tcPr>
            <w:tcW w:w="7040" w:type="dxa"/>
            <w:vAlign w:val="bottom"/>
            <w:gridSpan w:val="2"/>
            <w:shd w:val="clear" w:color="auto" w:fill="CCEEFF"/>
          </w:tcPr>
          <w:p>
            <w:pPr>
              <w:ind w:left="40"/>
              <w:spacing w:after="0"/>
              <w:rPr>
                <w:sz w:val="20"/>
                <w:szCs w:val="20"/>
                <w:color w:val="auto"/>
              </w:rPr>
            </w:pPr>
            <w:r>
              <w:rPr>
                <w:rFonts w:ascii="Arial" w:cs="Arial" w:eastAsia="Arial" w:hAnsi="Arial"/>
                <w:sz w:val="15"/>
                <w:szCs w:val="15"/>
                <w:color w:val="auto"/>
              </w:rPr>
              <w:t>Net increase (decrease) in cash and restricted cash</w:t>
            </w:r>
          </w:p>
        </w:tc>
        <w:tc>
          <w:tcPr>
            <w:tcW w:w="320" w:type="dxa"/>
            <w:vAlign w:val="bottom"/>
            <w:shd w:val="clear" w:color="auto" w:fill="CCEEFF"/>
          </w:tcPr>
          <w:p>
            <w:pPr>
              <w:spacing w:after="0"/>
              <w:rPr>
                <w:sz w:val="16"/>
                <w:szCs w:val="16"/>
                <w:color w:val="auto"/>
              </w:rPr>
            </w:pPr>
          </w:p>
        </w:tc>
        <w:tc>
          <w:tcPr>
            <w:tcW w:w="1000" w:type="dxa"/>
            <w:vAlign w:val="bottom"/>
            <w:vMerge w:val="restart"/>
            <w:shd w:val="clear" w:color="auto" w:fill="CCEEFF"/>
          </w:tcPr>
          <w:p>
            <w:pPr>
              <w:jc w:val="right"/>
              <w:spacing w:after="0"/>
              <w:rPr>
                <w:sz w:val="20"/>
                <w:szCs w:val="20"/>
                <w:color w:val="auto"/>
              </w:rPr>
            </w:pPr>
            <w:r>
              <w:rPr>
                <w:rFonts w:ascii="Arial" w:cs="Arial" w:eastAsia="Arial" w:hAnsi="Arial"/>
                <w:sz w:val="15"/>
                <w:szCs w:val="15"/>
                <w:color w:val="auto"/>
              </w:rPr>
              <w:t>1</w:t>
            </w:r>
          </w:p>
        </w:tc>
        <w:tc>
          <w:tcPr>
            <w:tcW w:w="4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320" w:type="dxa"/>
            <w:vAlign w:val="bottom"/>
            <w:shd w:val="clear" w:color="auto" w:fill="CCEEFF"/>
          </w:tcPr>
          <w:p>
            <w:pPr>
              <w:spacing w:after="0"/>
              <w:rPr>
                <w:sz w:val="16"/>
                <w:szCs w:val="16"/>
                <w:color w:val="auto"/>
              </w:rPr>
            </w:pPr>
          </w:p>
        </w:tc>
        <w:tc>
          <w:tcPr>
            <w:tcW w:w="1040" w:type="dxa"/>
            <w:vAlign w:val="bottom"/>
            <w:vMerge w:val="restart"/>
            <w:shd w:val="clear" w:color="auto" w:fill="CCEEFF"/>
          </w:tcPr>
          <w:p>
            <w:pPr>
              <w:jc w:val="right"/>
              <w:spacing w:after="0"/>
              <w:rPr>
                <w:sz w:val="20"/>
                <w:szCs w:val="20"/>
                <w:color w:val="auto"/>
              </w:rPr>
            </w:pPr>
            <w:r>
              <w:rPr>
                <w:rFonts w:ascii="Arial" w:cs="Arial" w:eastAsia="Arial" w:hAnsi="Arial"/>
                <w:sz w:val="15"/>
                <w:szCs w:val="15"/>
                <w:color w:val="auto"/>
              </w:rPr>
              <w:t>(114)</w:t>
            </w:r>
          </w:p>
        </w:tc>
        <w:tc>
          <w:tcPr>
            <w:tcW w:w="100" w:type="dxa"/>
            <w:vAlign w:val="bottom"/>
            <w:shd w:val="clear" w:color="auto" w:fill="CCEEFF"/>
          </w:tcPr>
          <w:p>
            <w:pPr>
              <w:spacing w:after="0"/>
              <w:rPr>
                <w:sz w:val="16"/>
                <w:szCs w:val="16"/>
                <w:color w:val="auto"/>
              </w:rPr>
            </w:pPr>
          </w:p>
        </w:tc>
        <w:tc>
          <w:tcPr>
            <w:tcW w:w="340" w:type="dxa"/>
            <w:vAlign w:val="bottom"/>
            <w:shd w:val="clear" w:color="auto" w:fill="CCEEFF"/>
          </w:tcPr>
          <w:p>
            <w:pPr>
              <w:spacing w:after="0"/>
              <w:rPr>
                <w:sz w:val="16"/>
                <w:szCs w:val="16"/>
                <w:color w:val="auto"/>
              </w:rPr>
            </w:pPr>
          </w:p>
        </w:tc>
        <w:tc>
          <w:tcPr>
            <w:tcW w:w="1040" w:type="dxa"/>
            <w:vAlign w:val="bottom"/>
            <w:vMerge w:val="restart"/>
            <w:shd w:val="clear" w:color="auto" w:fill="CCEEFF"/>
          </w:tcPr>
          <w:p>
            <w:pPr>
              <w:jc w:val="right"/>
              <w:spacing w:after="0"/>
              <w:rPr>
                <w:sz w:val="20"/>
                <w:szCs w:val="20"/>
                <w:color w:val="auto"/>
              </w:rPr>
            </w:pPr>
            <w:r>
              <w:rPr>
                <w:rFonts w:ascii="Arial" w:cs="Arial" w:eastAsia="Arial" w:hAnsi="Arial"/>
                <w:sz w:val="15"/>
                <w:szCs w:val="15"/>
                <w:color w:val="auto"/>
              </w:rPr>
              <w:t>(33)</w:t>
            </w:r>
          </w:p>
        </w:tc>
        <w:tc>
          <w:tcPr>
            <w:tcW w:w="0" w:type="dxa"/>
            <w:vAlign w:val="bottom"/>
          </w:tcPr>
          <w:p>
            <w:pPr>
              <w:spacing w:after="0"/>
              <w:rPr>
                <w:sz w:val="1"/>
                <w:szCs w:val="1"/>
                <w:color w:val="auto"/>
              </w:rPr>
            </w:pPr>
          </w:p>
        </w:tc>
      </w:tr>
      <w:tr>
        <w:trPr>
          <w:trHeight w:val="62"/>
        </w:trPr>
        <w:tc>
          <w:tcPr>
            <w:tcW w:w="2120" w:type="dxa"/>
            <w:vAlign w:val="bottom"/>
            <w:shd w:val="clear" w:color="auto" w:fill="CCEEFF"/>
          </w:tcPr>
          <w:p>
            <w:pPr>
              <w:spacing w:after="0"/>
              <w:rPr>
                <w:sz w:val="5"/>
                <w:szCs w:val="5"/>
                <w:color w:val="auto"/>
              </w:rPr>
            </w:pPr>
          </w:p>
        </w:tc>
        <w:tc>
          <w:tcPr>
            <w:tcW w:w="4920" w:type="dxa"/>
            <w:vAlign w:val="bottom"/>
            <w:shd w:val="clear" w:color="auto" w:fill="CCEEFF"/>
          </w:tcPr>
          <w:p>
            <w:pPr>
              <w:spacing w:after="0"/>
              <w:rPr>
                <w:sz w:val="5"/>
                <w:szCs w:val="5"/>
                <w:color w:val="auto"/>
              </w:rPr>
            </w:pPr>
          </w:p>
        </w:tc>
        <w:tc>
          <w:tcPr>
            <w:tcW w:w="320" w:type="dxa"/>
            <w:vAlign w:val="bottom"/>
            <w:shd w:val="clear" w:color="auto" w:fill="CCEEFF"/>
          </w:tcPr>
          <w:p>
            <w:pPr>
              <w:spacing w:after="0"/>
              <w:rPr>
                <w:sz w:val="5"/>
                <w:szCs w:val="5"/>
                <w:color w:val="auto"/>
              </w:rPr>
            </w:pPr>
          </w:p>
        </w:tc>
        <w:tc>
          <w:tcPr>
            <w:tcW w:w="1000" w:type="dxa"/>
            <w:vAlign w:val="bottom"/>
            <w:vMerge w:val="continue"/>
            <w:shd w:val="clear" w:color="auto" w:fill="CCEEFF"/>
          </w:tcPr>
          <w:p>
            <w:pPr>
              <w:spacing w:after="0"/>
              <w:rPr>
                <w:sz w:val="5"/>
                <w:szCs w:val="5"/>
                <w:color w:val="auto"/>
              </w:rPr>
            </w:pPr>
          </w:p>
        </w:tc>
        <w:tc>
          <w:tcPr>
            <w:tcW w:w="40" w:type="dxa"/>
            <w:vAlign w:val="bottom"/>
            <w:shd w:val="clear" w:color="auto" w:fill="CCEEFF"/>
          </w:tcPr>
          <w:p>
            <w:pPr>
              <w:spacing w:after="0"/>
              <w:rPr>
                <w:sz w:val="5"/>
                <w:szCs w:val="5"/>
                <w:color w:val="auto"/>
              </w:rPr>
            </w:pPr>
          </w:p>
        </w:tc>
        <w:tc>
          <w:tcPr>
            <w:tcW w:w="120" w:type="dxa"/>
            <w:vAlign w:val="bottom"/>
            <w:shd w:val="clear" w:color="auto" w:fill="CCEEFF"/>
          </w:tcPr>
          <w:p>
            <w:pPr>
              <w:spacing w:after="0"/>
              <w:rPr>
                <w:sz w:val="5"/>
                <w:szCs w:val="5"/>
                <w:color w:val="auto"/>
              </w:rPr>
            </w:pPr>
          </w:p>
        </w:tc>
        <w:tc>
          <w:tcPr>
            <w:tcW w:w="320" w:type="dxa"/>
            <w:vAlign w:val="bottom"/>
            <w:shd w:val="clear" w:color="auto" w:fill="CCEEFF"/>
          </w:tcPr>
          <w:p>
            <w:pPr>
              <w:spacing w:after="0"/>
              <w:rPr>
                <w:sz w:val="5"/>
                <w:szCs w:val="5"/>
                <w:color w:val="auto"/>
              </w:rPr>
            </w:pPr>
          </w:p>
        </w:tc>
        <w:tc>
          <w:tcPr>
            <w:tcW w:w="1040" w:type="dxa"/>
            <w:vAlign w:val="bottom"/>
            <w:vMerge w:val="continue"/>
            <w:shd w:val="clear" w:color="auto" w:fill="CCEEFF"/>
          </w:tcPr>
          <w:p>
            <w:pPr>
              <w:spacing w:after="0"/>
              <w:rPr>
                <w:sz w:val="5"/>
                <w:szCs w:val="5"/>
                <w:color w:val="auto"/>
              </w:rPr>
            </w:pPr>
          </w:p>
        </w:tc>
        <w:tc>
          <w:tcPr>
            <w:tcW w:w="100" w:type="dxa"/>
            <w:vAlign w:val="bottom"/>
            <w:shd w:val="clear" w:color="auto" w:fill="CCEEFF"/>
          </w:tcPr>
          <w:p>
            <w:pPr>
              <w:spacing w:after="0"/>
              <w:rPr>
                <w:sz w:val="5"/>
                <w:szCs w:val="5"/>
                <w:color w:val="auto"/>
              </w:rPr>
            </w:pPr>
          </w:p>
        </w:tc>
        <w:tc>
          <w:tcPr>
            <w:tcW w:w="340" w:type="dxa"/>
            <w:vAlign w:val="bottom"/>
            <w:shd w:val="clear" w:color="auto" w:fill="CCEEFF"/>
          </w:tcPr>
          <w:p>
            <w:pPr>
              <w:spacing w:after="0"/>
              <w:rPr>
                <w:sz w:val="5"/>
                <w:szCs w:val="5"/>
                <w:color w:val="auto"/>
              </w:rPr>
            </w:pPr>
          </w:p>
        </w:tc>
        <w:tc>
          <w:tcPr>
            <w:tcW w:w="1040" w:type="dxa"/>
            <w:vAlign w:val="bottom"/>
            <w:vMerge w:val="continue"/>
            <w:shd w:val="clear" w:color="auto" w:fill="CCEEFF"/>
          </w:tcPr>
          <w:p>
            <w:pPr>
              <w:spacing w:after="0"/>
              <w:rPr>
                <w:sz w:val="5"/>
                <w:szCs w:val="5"/>
                <w:color w:val="auto"/>
              </w:rPr>
            </w:pPr>
          </w:p>
        </w:tc>
        <w:tc>
          <w:tcPr>
            <w:tcW w:w="0" w:type="dxa"/>
            <w:vAlign w:val="bottom"/>
          </w:tcPr>
          <w:p>
            <w:pPr>
              <w:spacing w:after="0"/>
              <w:rPr>
                <w:sz w:val="1"/>
                <w:szCs w:val="1"/>
                <w:color w:val="auto"/>
              </w:rPr>
            </w:pPr>
          </w:p>
        </w:tc>
      </w:tr>
      <w:tr>
        <w:trPr>
          <w:trHeight w:val="208"/>
        </w:trPr>
        <w:tc>
          <w:tcPr>
            <w:tcW w:w="7040" w:type="dxa"/>
            <w:vAlign w:val="bottom"/>
            <w:gridSpan w:val="2"/>
          </w:tcPr>
          <w:p>
            <w:pPr>
              <w:ind w:left="40"/>
              <w:spacing w:after="0"/>
              <w:rPr>
                <w:sz w:val="20"/>
                <w:szCs w:val="20"/>
                <w:color w:val="auto"/>
              </w:rPr>
            </w:pPr>
            <w:r>
              <w:rPr>
                <w:rFonts w:ascii="Arial" w:cs="Arial" w:eastAsia="Arial" w:hAnsi="Arial"/>
                <w:sz w:val="15"/>
                <w:szCs w:val="15"/>
                <w:color w:val="auto"/>
              </w:rPr>
              <w:t>Cash and restricted cash at beginning of year</w:t>
            </w:r>
          </w:p>
        </w:tc>
        <w:tc>
          <w:tcPr>
            <w:tcW w:w="320" w:type="dxa"/>
            <w:vAlign w:val="bottom"/>
          </w:tcPr>
          <w:p>
            <w:pPr>
              <w:spacing w:after="0"/>
              <w:rPr>
                <w:sz w:val="18"/>
                <w:szCs w:val="18"/>
                <w:color w:val="auto"/>
              </w:rPr>
            </w:pPr>
          </w:p>
        </w:tc>
        <w:tc>
          <w:tcPr>
            <w:tcW w:w="1000" w:type="dxa"/>
            <w:vAlign w:val="bottom"/>
            <w:vMerge w:val="restart"/>
          </w:tcPr>
          <w:p>
            <w:pPr>
              <w:jc w:val="right"/>
              <w:spacing w:after="0"/>
              <w:rPr>
                <w:sz w:val="20"/>
                <w:szCs w:val="20"/>
                <w:color w:val="auto"/>
              </w:rPr>
            </w:pPr>
            <w:r>
              <w:rPr>
                <w:rFonts w:ascii="Arial" w:cs="Arial" w:eastAsia="Arial" w:hAnsi="Arial"/>
                <w:sz w:val="15"/>
                <w:szCs w:val="15"/>
                <w:color w:val="auto"/>
              </w:rPr>
              <w:t>276</w:t>
            </w:r>
          </w:p>
        </w:tc>
        <w:tc>
          <w:tcPr>
            <w:tcW w:w="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40" w:type="dxa"/>
            <w:vAlign w:val="bottom"/>
            <w:vMerge w:val="restart"/>
          </w:tcPr>
          <w:p>
            <w:pPr>
              <w:jc w:val="right"/>
              <w:ind w:right="24"/>
              <w:spacing w:after="0"/>
              <w:rPr>
                <w:sz w:val="20"/>
                <w:szCs w:val="20"/>
                <w:color w:val="auto"/>
              </w:rPr>
            </w:pPr>
            <w:r>
              <w:rPr>
                <w:rFonts w:ascii="Arial" w:cs="Arial" w:eastAsia="Arial" w:hAnsi="Arial"/>
                <w:sz w:val="15"/>
                <w:szCs w:val="15"/>
                <w:color w:val="auto"/>
              </w:rPr>
              <w:t>390</w:t>
            </w: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040" w:type="dxa"/>
            <w:vAlign w:val="bottom"/>
            <w:vMerge w:val="restart"/>
          </w:tcPr>
          <w:p>
            <w:pPr>
              <w:jc w:val="right"/>
              <w:ind w:right="44"/>
              <w:spacing w:after="0"/>
              <w:rPr>
                <w:sz w:val="20"/>
                <w:szCs w:val="20"/>
                <w:color w:val="auto"/>
              </w:rPr>
            </w:pPr>
            <w:r>
              <w:rPr>
                <w:rFonts w:ascii="Arial" w:cs="Arial" w:eastAsia="Arial" w:hAnsi="Arial"/>
                <w:sz w:val="15"/>
                <w:szCs w:val="15"/>
                <w:color w:val="auto"/>
              </w:rPr>
              <w:t>423</w:t>
            </w:r>
          </w:p>
        </w:tc>
        <w:tc>
          <w:tcPr>
            <w:tcW w:w="0" w:type="dxa"/>
            <w:vAlign w:val="bottom"/>
          </w:tcPr>
          <w:p>
            <w:pPr>
              <w:spacing w:after="0"/>
              <w:rPr>
                <w:sz w:val="1"/>
                <w:szCs w:val="1"/>
                <w:color w:val="auto"/>
              </w:rPr>
            </w:pPr>
          </w:p>
        </w:tc>
      </w:tr>
      <w:tr>
        <w:trPr>
          <w:trHeight w:val="58"/>
        </w:trPr>
        <w:tc>
          <w:tcPr>
            <w:tcW w:w="2120" w:type="dxa"/>
            <w:vAlign w:val="bottom"/>
            <w:tcBorders>
              <w:bottom w:val="single" w:sz="8" w:color="CCEEFF"/>
            </w:tcBorders>
          </w:tcPr>
          <w:p>
            <w:pPr>
              <w:spacing w:after="0"/>
              <w:rPr>
                <w:sz w:val="5"/>
                <w:szCs w:val="5"/>
                <w:color w:val="auto"/>
              </w:rPr>
            </w:pPr>
          </w:p>
        </w:tc>
        <w:tc>
          <w:tcPr>
            <w:tcW w:w="4920" w:type="dxa"/>
            <w:vAlign w:val="bottom"/>
            <w:tcBorders>
              <w:bottom w:val="single" w:sz="8" w:color="CCEEFF"/>
            </w:tcBorders>
          </w:tcPr>
          <w:p>
            <w:pPr>
              <w:spacing w:after="0"/>
              <w:rPr>
                <w:sz w:val="5"/>
                <w:szCs w:val="5"/>
                <w:color w:val="auto"/>
              </w:rPr>
            </w:pPr>
          </w:p>
        </w:tc>
        <w:tc>
          <w:tcPr>
            <w:tcW w:w="320" w:type="dxa"/>
            <w:vAlign w:val="bottom"/>
            <w:tcBorders>
              <w:bottom w:val="single" w:sz="8" w:color="auto"/>
            </w:tcBorders>
          </w:tcPr>
          <w:p>
            <w:pPr>
              <w:spacing w:after="0"/>
              <w:rPr>
                <w:sz w:val="5"/>
                <w:szCs w:val="5"/>
                <w:color w:val="auto"/>
              </w:rPr>
            </w:pPr>
          </w:p>
        </w:tc>
        <w:tc>
          <w:tcPr>
            <w:tcW w:w="1000" w:type="dxa"/>
            <w:vAlign w:val="bottom"/>
            <w:tcBorders>
              <w:bottom w:val="single" w:sz="8" w:color="auto"/>
            </w:tcBorders>
            <w:vMerge w:val="continue"/>
          </w:tcPr>
          <w:p>
            <w:pPr>
              <w:spacing w:after="0"/>
              <w:rPr>
                <w:sz w:val="5"/>
                <w:szCs w:val="5"/>
                <w:color w:val="auto"/>
              </w:rPr>
            </w:pPr>
          </w:p>
        </w:tc>
        <w:tc>
          <w:tcPr>
            <w:tcW w:w="40" w:type="dxa"/>
            <w:vAlign w:val="bottom"/>
            <w:tcBorders>
              <w:bottom w:val="single" w:sz="8" w:color="auto"/>
            </w:tcBorders>
          </w:tcPr>
          <w:p>
            <w:pPr>
              <w:spacing w:after="0"/>
              <w:rPr>
                <w:sz w:val="5"/>
                <w:szCs w:val="5"/>
                <w:color w:val="auto"/>
              </w:rPr>
            </w:pPr>
          </w:p>
        </w:tc>
        <w:tc>
          <w:tcPr>
            <w:tcW w:w="120" w:type="dxa"/>
            <w:vAlign w:val="bottom"/>
            <w:tcBorders>
              <w:bottom w:val="single" w:sz="8" w:color="CCEEFF"/>
            </w:tcBorders>
          </w:tcPr>
          <w:p>
            <w:pPr>
              <w:spacing w:after="0"/>
              <w:rPr>
                <w:sz w:val="5"/>
                <w:szCs w:val="5"/>
                <w:color w:val="auto"/>
              </w:rPr>
            </w:pPr>
          </w:p>
        </w:tc>
        <w:tc>
          <w:tcPr>
            <w:tcW w:w="320" w:type="dxa"/>
            <w:vAlign w:val="bottom"/>
            <w:tcBorders>
              <w:bottom w:val="single" w:sz="8" w:color="auto"/>
            </w:tcBorders>
          </w:tcPr>
          <w:p>
            <w:pPr>
              <w:spacing w:after="0"/>
              <w:rPr>
                <w:sz w:val="5"/>
                <w:szCs w:val="5"/>
                <w:color w:val="auto"/>
              </w:rPr>
            </w:pPr>
          </w:p>
        </w:tc>
        <w:tc>
          <w:tcPr>
            <w:tcW w:w="1040" w:type="dxa"/>
            <w:vAlign w:val="bottom"/>
            <w:tcBorders>
              <w:bottom w:val="single" w:sz="8" w:color="auto"/>
            </w:tcBorders>
            <w:vMerge w:val="continue"/>
          </w:tcPr>
          <w:p>
            <w:pPr>
              <w:spacing w:after="0"/>
              <w:rPr>
                <w:sz w:val="5"/>
                <w:szCs w:val="5"/>
                <w:color w:val="auto"/>
              </w:rPr>
            </w:pPr>
          </w:p>
        </w:tc>
        <w:tc>
          <w:tcPr>
            <w:tcW w:w="100" w:type="dxa"/>
            <w:vAlign w:val="bottom"/>
            <w:tcBorders>
              <w:bottom w:val="single" w:sz="8" w:color="CCEEFF"/>
            </w:tcBorders>
          </w:tcPr>
          <w:p>
            <w:pPr>
              <w:spacing w:after="0"/>
              <w:rPr>
                <w:sz w:val="5"/>
                <w:szCs w:val="5"/>
                <w:color w:val="auto"/>
              </w:rPr>
            </w:pPr>
          </w:p>
        </w:tc>
        <w:tc>
          <w:tcPr>
            <w:tcW w:w="340" w:type="dxa"/>
            <w:vAlign w:val="bottom"/>
            <w:tcBorders>
              <w:bottom w:val="single" w:sz="8" w:color="auto"/>
            </w:tcBorders>
          </w:tcPr>
          <w:p>
            <w:pPr>
              <w:spacing w:after="0"/>
              <w:rPr>
                <w:sz w:val="5"/>
                <w:szCs w:val="5"/>
                <w:color w:val="auto"/>
              </w:rPr>
            </w:pPr>
          </w:p>
        </w:tc>
        <w:tc>
          <w:tcPr>
            <w:tcW w:w="1040" w:type="dxa"/>
            <w:vAlign w:val="bottom"/>
            <w:tcBorders>
              <w:bottom w:val="single" w:sz="8" w:color="auto"/>
            </w:tcBorders>
            <w:vMerge w:val="continue"/>
          </w:tcPr>
          <w:p>
            <w:pPr>
              <w:spacing w:after="0"/>
              <w:rPr>
                <w:sz w:val="5"/>
                <w:szCs w:val="5"/>
                <w:color w:val="auto"/>
              </w:rPr>
            </w:pPr>
          </w:p>
        </w:tc>
        <w:tc>
          <w:tcPr>
            <w:tcW w:w="0" w:type="dxa"/>
            <w:vAlign w:val="bottom"/>
          </w:tcPr>
          <w:p>
            <w:pPr>
              <w:spacing w:after="0"/>
              <w:rPr>
                <w:sz w:val="1"/>
                <w:szCs w:val="1"/>
                <w:color w:val="auto"/>
              </w:rPr>
            </w:pPr>
          </w:p>
        </w:tc>
      </w:tr>
      <w:tr>
        <w:trPr>
          <w:trHeight w:val="237"/>
        </w:trPr>
        <w:tc>
          <w:tcPr>
            <w:tcW w:w="7040" w:type="dxa"/>
            <w:vAlign w:val="bottom"/>
            <w:gridSpan w:val="2"/>
            <w:shd w:val="clear" w:color="auto" w:fill="CCEEFF"/>
          </w:tcPr>
          <w:p>
            <w:pPr>
              <w:ind w:left="40"/>
              <w:spacing w:after="0"/>
              <w:rPr>
                <w:sz w:val="20"/>
                <w:szCs w:val="20"/>
                <w:color w:val="auto"/>
              </w:rPr>
            </w:pPr>
            <w:r>
              <w:rPr>
                <w:rFonts w:ascii="Arial" w:cs="Arial" w:eastAsia="Arial" w:hAnsi="Arial"/>
                <w:sz w:val="15"/>
                <w:szCs w:val="15"/>
                <w:color w:val="auto"/>
              </w:rPr>
              <w:t xml:space="preserve">Cash and restricted cash at end of year </w:t>
            </w:r>
            <w:r>
              <w:rPr>
                <w:rFonts w:ascii="Arial" w:cs="Arial" w:eastAsia="Arial" w:hAnsi="Arial"/>
                <w:sz w:val="12"/>
                <w:szCs w:val="12"/>
                <w:color w:val="auto"/>
              </w:rPr>
              <w:t>(a)</w:t>
            </w:r>
          </w:p>
        </w:tc>
        <w:tc>
          <w:tcPr>
            <w:tcW w:w="320" w:type="dxa"/>
            <w:vAlign w:val="bottom"/>
            <w:shd w:val="clear" w:color="auto" w:fill="CCEEFF"/>
          </w:tcPr>
          <w:p>
            <w:pPr>
              <w:jc w:val="right"/>
              <w:ind w:right="123"/>
              <w:spacing w:after="0"/>
              <w:rPr>
                <w:sz w:val="20"/>
                <w:szCs w:val="20"/>
                <w:color w:val="auto"/>
              </w:rPr>
            </w:pPr>
            <w:r>
              <w:rPr>
                <w:rFonts w:ascii="Arial" w:cs="Arial" w:eastAsia="Arial" w:hAnsi="Arial"/>
                <w:sz w:val="15"/>
                <w:szCs w:val="15"/>
                <w:color w:val="auto"/>
              </w:rPr>
              <w:t>$</w:t>
            </w:r>
          </w:p>
        </w:tc>
        <w:tc>
          <w:tcPr>
            <w:tcW w:w="1000" w:type="dxa"/>
            <w:vAlign w:val="bottom"/>
            <w:shd w:val="clear" w:color="auto" w:fill="CCEEFF"/>
          </w:tcPr>
          <w:p>
            <w:pPr>
              <w:jc w:val="right"/>
              <w:spacing w:after="0"/>
              <w:rPr>
                <w:sz w:val="20"/>
                <w:szCs w:val="20"/>
                <w:color w:val="auto"/>
              </w:rPr>
            </w:pPr>
            <w:r>
              <w:rPr>
                <w:rFonts w:ascii="Arial" w:cs="Arial" w:eastAsia="Arial" w:hAnsi="Arial"/>
                <w:sz w:val="15"/>
                <w:szCs w:val="15"/>
                <w:color w:val="auto"/>
              </w:rPr>
              <w:t>277</w:t>
            </w:r>
          </w:p>
        </w:tc>
        <w:tc>
          <w:tcPr>
            <w:tcW w:w="480" w:type="dxa"/>
            <w:vAlign w:val="bottom"/>
            <w:gridSpan w:val="3"/>
            <w:shd w:val="clear" w:color="auto" w:fill="CCEEFF"/>
          </w:tcPr>
          <w:p>
            <w:pPr>
              <w:jc w:val="right"/>
              <w:ind w:right="220"/>
              <w:spacing w:after="0"/>
              <w:rPr>
                <w:sz w:val="20"/>
                <w:szCs w:val="20"/>
                <w:color w:val="auto"/>
              </w:rPr>
            </w:pPr>
            <w:r>
              <w:rPr>
                <w:rFonts w:ascii="Arial" w:cs="Arial" w:eastAsia="Arial" w:hAnsi="Arial"/>
                <w:sz w:val="15"/>
                <w:szCs w:val="15"/>
                <w:color w:val="auto"/>
              </w:rPr>
              <w:t>$</w:t>
            </w:r>
          </w:p>
        </w:tc>
        <w:tc>
          <w:tcPr>
            <w:tcW w:w="1040" w:type="dxa"/>
            <w:vAlign w:val="bottom"/>
            <w:shd w:val="clear" w:color="auto" w:fill="CCEEFF"/>
          </w:tcPr>
          <w:p>
            <w:pPr>
              <w:jc w:val="right"/>
              <w:ind w:right="24"/>
              <w:spacing w:after="0"/>
              <w:rPr>
                <w:sz w:val="20"/>
                <w:szCs w:val="20"/>
                <w:color w:val="auto"/>
              </w:rPr>
            </w:pPr>
            <w:r>
              <w:rPr>
                <w:rFonts w:ascii="Arial" w:cs="Arial" w:eastAsia="Arial" w:hAnsi="Arial"/>
                <w:sz w:val="15"/>
                <w:szCs w:val="15"/>
                <w:color w:val="auto"/>
              </w:rPr>
              <w:t>276</w:t>
            </w:r>
          </w:p>
        </w:tc>
        <w:tc>
          <w:tcPr>
            <w:tcW w:w="100" w:type="dxa"/>
            <w:vAlign w:val="bottom"/>
            <w:shd w:val="clear" w:color="auto" w:fill="CCEEFF"/>
          </w:tcPr>
          <w:p>
            <w:pPr>
              <w:spacing w:after="0"/>
              <w:rPr>
                <w:sz w:val="20"/>
                <w:szCs w:val="20"/>
                <w:color w:val="auto"/>
              </w:rPr>
            </w:pPr>
          </w:p>
        </w:tc>
        <w:tc>
          <w:tcPr>
            <w:tcW w:w="340" w:type="dxa"/>
            <w:vAlign w:val="bottom"/>
            <w:shd w:val="clear" w:color="auto" w:fill="CCEEFF"/>
          </w:tcPr>
          <w:p>
            <w:pPr>
              <w:jc w:val="right"/>
              <w:ind w:right="143"/>
              <w:spacing w:after="0"/>
              <w:rPr>
                <w:sz w:val="20"/>
                <w:szCs w:val="20"/>
                <w:color w:val="auto"/>
              </w:rPr>
            </w:pPr>
            <w:r>
              <w:rPr>
                <w:rFonts w:ascii="Arial" w:cs="Arial" w:eastAsia="Arial" w:hAnsi="Arial"/>
                <w:sz w:val="15"/>
                <w:szCs w:val="15"/>
                <w:color w:val="auto"/>
              </w:rPr>
              <w:t>$</w:t>
            </w:r>
          </w:p>
        </w:tc>
        <w:tc>
          <w:tcPr>
            <w:tcW w:w="1040" w:type="dxa"/>
            <w:vAlign w:val="bottom"/>
            <w:shd w:val="clear" w:color="auto" w:fill="CCEEFF"/>
          </w:tcPr>
          <w:p>
            <w:pPr>
              <w:jc w:val="right"/>
              <w:ind w:right="44"/>
              <w:spacing w:after="0"/>
              <w:rPr>
                <w:sz w:val="20"/>
                <w:szCs w:val="20"/>
                <w:color w:val="auto"/>
              </w:rPr>
            </w:pPr>
            <w:r>
              <w:rPr>
                <w:rFonts w:ascii="Arial" w:cs="Arial" w:eastAsia="Arial" w:hAnsi="Arial"/>
                <w:sz w:val="15"/>
                <w:szCs w:val="15"/>
                <w:color w:val="auto"/>
              </w:rPr>
              <w:t>390</w:t>
            </w:r>
          </w:p>
        </w:tc>
        <w:tc>
          <w:tcPr>
            <w:tcW w:w="0" w:type="dxa"/>
            <w:vAlign w:val="bottom"/>
          </w:tcPr>
          <w:p>
            <w:pPr>
              <w:spacing w:after="0"/>
              <w:rPr>
                <w:sz w:val="1"/>
                <w:szCs w:val="1"/>
                <w:color w:val="auto"/>
              </w:rPr>
            </w:pPr>
          </w:p>
        </w:tc>
      </w:tr>
      <w:tr>
        <w:trPr>
          <w:trHeight w:val="20"/>
        </w:trPr>
        <w:tc>
          <w:tcPr>
            <w:tcW w:w="2120" w:type="dxa"/>
            <w:vAlign w:val="bottom"/>
            <w:tcBorders>
              <w:top w:val="single" w:sz="8" w:color="CCEEFF"/>
            </w:tcBorders>
          </w:tcPr>
          <w:p>
            <w:pPr>
              <w:spacing w:after="0" w:line="20" w:lineRule="exact"/>
              <w:rPr>
                <w:sz w:val="1"/>
                <w:szCs w:val="1"/>
                <w:color w:val="auto"/>
              </w:rPr>
            </w:pPr>
          </w:p>
        </w:tc>
        <w:tc>
          <w:tcPr>
            <w:tcW w:w="492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41"/>
        </w:trPr>
        <w:tc>
          <w:tcPr>
            <w:tcW w:w="2120" w:type="dxa"/>
            <w:vAlign w:val="bottom"/>
            <w:tcBorders>
              <w:bottom w:val="single" w:sz="8" w:color="auto"/>
            </w:tcBorders>
          </w:tcPr>
          <w:p>
            <w:pPr>
              <w:spacing w:after="0"/>
              <w:rPr>
                <w:sz w:val="20"/>
                <w:szCs w:val="20"/>
                <w:color w:val="auto"/>
              </w:rPr>
            </w:pPr>
          </w:p>
        </w:tc>
        <w:tc>
          <w:tcPr>
            <w:tcW w:w="49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pacing w:after="0" w:line="252" w:lineRule="exact"/>
        <w:rPr>
          <w:sz w:val="20"/>
          <w:szCs w:val="20"/>
          <w:color w:val="auto"/>
        </w:rPr>
      </w:pPr>
    </w:p>
    <w:p>
      <w:pPr>
        <w:ind w:left="180" w:hanging="172"/>
        <w:spacing w:after="0"/>
        <w:tabs>
          <w:tab w:leader="none" w:pos="180" w:val="left"/>
        </w:tabs>
        <w:numPr>
          <w:ilvl w:val="0"/>
          <w:numId w:val="51"/>
        </w:numPr>
        <w:rPr>
          <w:rFonts w:ascii="Arial" w:cs="Arial" w:eastAsia="Arial" w:hAnsi="Arial"/>
          <w:sz w:val="21"/>
          <w:szCs w:val="21"/>
          <w:color w:val="auto"/>
          <w:vertAlign w:val="superscript"/>
        </w:rPr>
      </w:pPr>
      <w:r>
        <w:rPr>
          <w:rFonts w:ascii="Arial" w:cs="Arial" w:eastAsia="Arial" w:hAnsi="Arial"/>
          <w:sz w:val="15"/>
          <w:szCs w:val="15"/>
          <w:color w:val="auto"/>
        </w:rPr>
        <w:t>The following table provides a reconciliation of cash and restricted cash to amounts reported within the consolidated balance sheets:</w:t>
      </w:r>
    </w:p>
    <w:p>
      <w:pPr>
        <w:spacing w:after="0" w:line="128" w:lineRule="exact"/>
        <w:rPr>
          <w:sz w:val="20"/>
          <w:szCs w:val="20"/>
          <w:color w:val="auto"/>
        </w:rPr>
      </w:pPr>
    </w:p>
    <w:tbl>
      <w:tblPr>
        <w:tblLayout w:type="fixed"/>
        <w:tblInd w:w="0" w:type="dxa"/>
        <w:tblCellMar>
          <w:top w:w="0" w:type="dxa"/>
          <w:left w:w="0" w:type="dxa"/>
          <w:bottom w:w="0" w:type="dxa"/>
          <w:right w:w="0" w:type="dxa"/>
        </w:tblCellMar>
      </w:tblPr>
      <w:tr>
        <w:trPr>
          <w:trHeight w:val="270"/>
        </w:trPr>
        <w:tc>
          <w:tcPr>
            <w:tcW w:w="7080" w:type="dxa"/>
            <w:vAlign w:val="bottom"/>
            <w:shd w:val="clear" w:color="auto" w:fill="CCEEFF"/>
          </w:tcPr>
          <w:p>
            <w:pPr>
              <w:ind w:left="40"/>
              <w:spacing w:after="0"/>
              <w:rPr>
                <w:sz w:val="20"/>
                <w:szCs w:val="20"/>
                <w:color w:val="auto"/>
              </w:rPr>
            </w:pPr>
            <w:r>
              <w:rPr>
                <w:rFonts w:ascii="Arial" w:cs="Arial" w:eastAsia="Arial" w:hAnsi="Arial"/>
                <w:sz w:val="15"/>
                <w:szCs w:val="15"/>
                <w:color w:val="auto"/>
              </w:rPr>
              <w:t>Cash</w:t>
            </w:r>
          </w:p>
        </w:tc>
        <w:tc>
          <w:tcPr>
            <w:tcW w:w="580" w:type="dxa"/>
            <w:vAlign w:val="bottom"/>
            <w:shd w:val="clear" w:color="auto" w:fill="CCEEFF"/>
          </w:tcPr>
          <w:p>
            <w:pPr>
              <w:jc w:val="right"/>
              <w:ind w:right="383"/>
              <w:spacing w:after="0"/>
              <w:rPr>
                <w:sz w:val="20"/>
                <w:szCs w:val="20"/>
                <w:color w:val="auto"/>
              </w:rPr>
            </w:pPr>
            <w:r>
              <w:rPr>
                <w:rFonts w:ascii="Arial" w:cs="Arial" w:eastAsia="Arial" w:hAnsi="Arial"/>
                <w:sz w:val="15"/>
                <w:szCs w:val="15"/>
                <w:color w:val="auto"/>
              </w:rPr>
              <w:t>$</w:t>
            </w:r>
          </w:p>
        </w:tc>
        <w:tc>
          <w:tcPr>
            <w:tcW w:w="820" w:type="dxa"/>
            <w:vAlign w:val="bottom"/>
            <w:shd w:val="clear" w:color="auto" w:fill="CCEEFF"/>
          </w:tcPr>
          <w:p>
            <w:pPr>
              <w:jc w:val="right"/>
              <w:ind w:right="43"/>
              <w:spacing w:after="0"/>
              <w:rPr>
                <w:sz w:val="20"/>
                <w:szCs w:val="20"/>
                <w:color w:val="auto"/>
              </w:rPr>
            </w:pPr>
            <w:r>
              <w:rPr>
                <w:rFonts w:ascii="Arial" w:cs="Arial" w:eastAsia="Arial" w:hAnsi="Arial"/>
                <w:sz w:val="15"/>
                <w:szCs w:val="15"/>
                <w:color w:val="auto"/>
              </w:rPr>
              <w:t>267</w:t>
            </w:r>
          </w:p>
        </w:tc>
        <w:tc>
          <w:tcPr>
            <w:tcW w:w="100" w:type="dxa"/>
            <w:vAlign w:val="bottom"/>
            <w:shd w:val="clear" w:color="auto" w:fill="CCEEFF"/>
          </w:tcPr>
          <w:p>
            <w:pPr>
              <w:spacing w:after="0"/>
              <w:rPr>
                <w:sz w:val="23"/>
                <w:szCs w:val="23"/>
                <w:color w:val="auto"/>
              </w:rPr>
            </w:pPr>
          </w:p>
        </w:tc>
        <w:tc>
          <w:tcPr>
            <w:tcW w:w="560" w:type="dxa"/>
            <w:vAlign w:val="bottom"/>
            <w:shd w:val="clear" w:color="auto" w:fill="CCEEFF"/>
          </w:tcPr>
          <w:p>
            <w:pPr>
              <w:jc w:val="right"/>
              <w:ind w:right="363"/>
              <w:spacing w:after="0"/>
              <w:rPr>
                <w:sz w:val="20"/>
                <w:szCs w:val="20"/>
                <w:color w:val="auto"/>
              </w:rPr>
            </w:pPr>
            <w:r>
              <w:rPr>
                <w:rFonts w:ascii="Arial" w:cs="Arial" w:eastAsia="Arial" w:hAnsi="Arial"/>
                <w:sz w:val="15"/>
                <w:szCs w:val="15"/>
                <w:color w:val="auto"/>
              </w:rPr>
              <w:t>$</w:t>
            </w:r>
          </w:p>
        </w:tc>
        <w:tc>
          <w:tcPr>
            <w:tcW w:w="800" w:type="dxa"/>
            <w:vAlign w:val="bottom"/>
            <w:shd w:val="clear" w:color="auto" w:fill="CCEEFF"/>
          </w:tcPr>
          <w:p>
            <w:pPr>
              <w:jc w:val="right"/>
              <w:ind w:right="23"/>
              <w:spacing w:after="0"/>
              <w:rPr>
                <w:sz w:val="20"/>
                <w:szCs w:val="20"/>
                <w:color w:val="auto"/>
              </w:rPr>
            </w:pPr>
            <w:r>
              <w:rPr>
                <w:rFonts w:ascii="Arial" w:cs="Arial" w:eastAsia="Arial" w:hAnsi="Arial"/>
                <w:sz w:val="15"/>
                <w:szCs w:val="15"/>
                <w:color w:val="auto"/>
              </w:rPr>
              <w:t>265</w:t>
            </w:r>
          </w:p>
        </w:tc>
        <w:tc>
          <w:tcPr>
            <w:tcW w:w="120" w:type="dxa"/>
            <w:vAlign w:val="bottom"/>
            <w:shd w:val="clear" w:color="auto" w:fill="CCEEFF"/>
          </w:tcPr>
          <w:p>
            <w:pPr>
              <w:spacing w:after="0"/>
              <w:rPr>
                <w:sz w:val="23"/>
                <w:szCs w:val="23"/>
                <w:color w:val="auto"/>
              </w:rPr>
            </w:pPr>
          </w:p>
        </w:tc>
        <w:tc>
          <w:tcPr>
            <w:tcW w:w="560" w:type="dxa"/>
            <w:vAlign w:val="bottom"/>
            <w:shd w:val="clear" w:color="auto" w:fill="CCEEFF"/>
          </w:tcPr>
          <w:p>
            <w:pPr>
              <w:jc w:val="right"/>
              <w:ind w:right="383"/>
              <w:spacing w:after="0"/>
              <w:rPr>
                <w:sz w:val="20"/>
                <w:szCs w:val="20"/>
                <w:color w:val="auto"/>
              </w:rPr>
            </w:pPr>
            <w:r>
              <w:rPr>
                <w:rFonts w:ascii="Arial" w:cs="Arial" w:eastAsia="Arial" w:hAnsi="Arial"/>
                <w:sz w:val="15"/>
                <w:szCs w:val="15"/>
                <w:color w:val="auto"/>
                <w:w w:val="95"/>
              </w:rPr>
              <w:t>$</w:t>
            </w:r>
          </w:p>
        </w:tc>
        <w:tc>
          <w:tcPr>
            <w:tcW w:w="800" w:type="dxa"/>
            <w:vAlign w:val="bottom"/>
            <w:shd w:val="clear" w:color="auto" w:fill="CCEEFF"/>
          </w:tcPr>
          <w:p>
            <w:pPr>
              <w:jc w:val="right"/>
              <w:ind w:right="23"/>
              <w:spacing w:after="0"/>
              <w:rPr>
                <w:sz w:val="20"/>
                <w:szCs w:val="20"/>
                <w:color w:val="auto"/>
              </w:rPr>
            </w:pPr>
            <w:r>
              <w:rPr>
                <w:rFonts w:ascii="Arial" w:cs="Arial" w:eastAsia="Arial" w:hAnsi="Arial"/>
                <w:sz w:val="15"/>
                <w:szCs w:val="15"/>
                <w:color w:val="auto"/>
              </w:rPr>
              <w:t>287</w:t>
            </w:r>
          </w:p>
        </w:tc>
      </w:tr>
      <w:tr>
        <w:trPr>
          <w:trHeight w:val="266"/>
        </w:trPr>
        <w:tc>
          <w:tcPr>
            <w:tcW w:w="7080" w:type="dxa"/>
            <w:vAlign w:val="bottom"/>
            <w:tcBorders>
              <w:bottom w:val="single" w:sz="8" w:color="CCEEFF"/>
            </w:tcBorders>
          </w:tcPr>
          <w:p>
            <w:pPr>
              <w:ind w:left="40"/>
              <w:spacing w:after="0"/>
              <w:rPr>
                <w:sz w:val="20"/>
                <w:szCs w:val="20"/>
                <w:color w:val="auto"/>
              </w:rPr>
            </w:pPr>
            <w:r>
              <w:rPr>
                <w:rFonts w:ascii="Arial" w:cs="Arial" w:eastAsia="Arial" w:hAnsi="Arial"/>
                <w:sz w:val="15"/>
                <w:szCs w:val="15"/>
                <w:color w:val="auto"/>
              </w:rPr>
              <w:t>Restricted cash included in restricted cash and short-term investments</w:t>
            </w:r>
          </w:p>
        </w:tc>
        <w:tc>
          <w:tcPr>
            <w:tcW w:w="580" w:type="dxa"/>
            <w:vAlign w:val="bottom"/>
            <w:tcBorders>
              <w:bottom w:val="single" w:sz="8" w:color="auto"/>
            </w:tcBorders>
          </w:tcPr>
          <w:p>
            <w:pPr>
              <w:spacing w:after="0"/>
              <w:rPr>
                <w:sz w:val="23"/>
                <w:szCs w:val="23"/>
                <w:color w:val="auto"/>
              </w:rPr>
            </w:pPr>
          </w:p>
        </w:tc>
        <w:tc>
          <w:tcPr>
            <w:tcW w:w="820" w:type="dxa"/>
            <w:vAlign w:val="bottom"/>
            <w:tcBorders>
              <w:bottom w:val="single" w:sz="8" w:color="auto"/>
            </w:tcBorders>
          </w:tcPr>
          <w:p>
            <w:pPr>
              <w:jc w:val="right"/>
              <w:ind w:right="43"/>
              <w:spacing w:after="0"/>
              <w:rPr>
                <w:sz w:val="20"/>
                <w:szCs w:val="20"/>
                <w:color w:val="auto"/>
              </w:rPr>
            </w:pPr>
            <w:r>
              <w:rPr>
                <w:rFonts w:ascii="Arial" w:cs="Arial" w:eastAsia="Arial" w:hAnsi="Arial"/>
                <w:sz w:val="15"/>
                <w:szCs w:val="15"/>
                <w:color w:val="auto"/>
              </w:rPr>
              <w:t>10</w:t>
            </w:r>
          </w:p>
        </w:tc>
        <w:tc>
          <w:tcPr>
            <w:tcW w:w="100" w:type="dxa"/>
            <w:vAlign w:val="bottom"/>
            <w:tcBorders>
              <w:bottom w:val="single" w:sz="8" w:color="CCEEFF"/>
            </w:tcBorders>
          </w:tcPr>
          <w:p>
            <w:pPr>
              <w:spacing w:after="0"/>
              <w:rPr>
                <w:sz w:val="23"/>
                <w:szCs w:val="23"/>
                <w:color w:val="auto"/>
              </w:rPr>
            </w:pPr>
          </w:p>
        </w:tc>
        <w:tc>
          <w:tcPr>
            <w:tcW w:w="560" w:type="dxa"/>
            <w:vAlign w:val="bottom"/>
            <w:tcBorders>
              <w:bottom w:val="single" w:sz="8" w:color="auto"/>
            </w:tcBorders>
          </w:tcPr>
          <w:p>
            <w:pPr>
              <w:spacing w:after="0"/>
              <w:rPr>
                <w:sz w:val="23"/>
                <w:szCs w:val="23"/>
                <w:color w:val="auto"/>
              </w:rPr>
            </w:pPr>
          </w:p>
        </w:tc>
        <w:tc>
          <w:tcPr>
            <w:tcW w:w="800" w:type="dxa"/>
            <w:vAlign w:val="bottom"/>
            <w:tcBorders>
              <w:bottom w:val="single" w:sz="8" w:color="auto"/>
            </w:tcBorders>
          </w:tcPr>
          <w:p>
            <w:pPr>
              <w:jc w:val="right"/>
              <w:ind w:right="23"/>
              <w:spacing w:after="0"/>
              <w:rPr>
                <w:sz w:val="20"/>
                <w:szCs w:val="20"/>
                <w:color w:val="auto"/>
              </w:rPr>
            </w:pPr>
            <w:r>
              <w:rPr>
                <w:rFonts w:ascii="Arial" w:cs="Arial" w:eastAsia="Arial" w:hAnsi="Arial"/>
                <w:sz w:val="15"/>
                <w:szCs w:val="15"/>
                <w:color w:val="auto"/>
              </w:rPr>
              <w:t>11</w:t>
            </w:r>
          </w:p>
        </w:tc>
        <w:tc>
          <w:tcPr>
            <w:tcW w:w="120" w:type="dxa"/>
            <w:vAlign w:val="bottom"/>
            <w:tcBorders>
              <w:bottom w:val="single" w:sz="8" w:color="CCEEFF"/>
            </w:tcBorders>
          </w:tcPr>
          <w:p>
            <w:pPr>
              <w:spacing w:after="0"/>
              <w:rPr>
                <w:sz w:val="23"/>
                <w:szCs w:val="23"/>
                <w:color w:val="auto"/>
              </w:rPr>
            </w:pPr>
          </w:p>
        </w:tc>
        <w:tc>
          <w:tcPr>
            <w:tcW w:w="560" w:type="dxa"/>
            <w:vAlign w:val="bottom"/>
            <w:tcBorders>
              <w:bottom w:val="single" w:sz="8" w:color="auto"/>
            </w:tcBorders>
          </w:tcPr>
          <w:p>
            <w:pPr>
              <w:spacing w:after="0"/>
              <w:rPr>
                <w:sz w:val="23"/>
                <w:szCs w:val="23"/>
                <w:color w:val="auto"/>
              </w:rPr>
            </w:pPr>
          </w:p>
        </w:tc>
        <w:tc>
          <w:tcPr>
            <w:tcW w:w="800" w:type="dxa"/>
            <w:vAlign w:val="bottom"/>
            <w:tcBorders>
              <w:bottom w:val="single" w:sz="8" w:color="auto"/>
            </w:tcBorders>
          </w:tcPr>
          <w:p>
            <w:pPr>
              <w:jc w:val="right"/>
              <w:ind w:right="23"/>
              <w:spacing w:after="0"/>
              <w:rPr>
                <w:sz w:val="20"/>
                <w:szCs w:val="20"/>
                <w:color w:val="auto"/>
              </w:rPr>
            </w:pPr>
            <w:r>
              <w:rPr>
                <w:rFonts w:ascii="Arial" w:cs="Arial" w:eastAsia="Arial" w:hAnsi="Arial"/>
                <w:sz w:val="15"/>
                <w:szCs w:val="15"/>
                <w:color w:val="auto"/>
              </w:rPr>
              <w:t>103</w:t>
            </w:r>
          </w:p>
        </w:tc>
      </w:tr>
      <w:tr>
        <w:trPr>
          <w:trHeight w:val="241"/>
        </w:trPr>
        <w:tc>
          <w:tcPr>
            <w:tcW w:w="708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5"/>
                <w:szCs w:val="15"/>
                <w:color w:val="auto"/>
              </w:rPr>
              <w:t>Total cash and restricted cash</w:t>
            </w:r>
          </w:p>
        </w:tc>
        <w:tc>
          <w:tcPr>
            <w:tcW w:w="580" w:type="dxa"/>
            <w:vAlign w:val="bottom"/>
            <w:tcBorders>
              <w:bottom w:val="single" w:sz="8" w:color="auto"/>
            </w:tcBorders>
            <w:shd w:val="clear" w:color="auto" w:fill="CCEEFF"/>
          </w:tcPr>
          <w:p>
            <w:pPr>
              <w:jc w:val="right"/>
              <w:ind w:right="383"/>
              <w:spacing w:after="0"/>
              <w:rPr>
                <w:sz w:val="20"/>
                <w:szCs w:val="20"/>
                <w:color w:val="auto"/>
              </w:rPr>
            </w:pPr>
            <w:r>
              <w:rPr>
                <w:rFonts w:ascii="Arial" w:cs="Arial" w:eastAsia="Arial" w:hAnsi="Arial"/>
                <w:sz w:val="15"/>
                <w:szCs w:val="15"/>
                <w:color w:val="auto"/>
              </w:rPr>
              <w:t>$</w:t>
            </w:r>
          </w:p>
        </w:tc>
        <w:tc>
          <w:tcPr>
            <w:tcW w:w="820" w:type="dxa"/>
            <w:vAlign w:val="bottom"/>
            <w:tcBorders>
              <w:bottom w:val="single" w:sz="8" w:color="auto"/>
            </w:tcBorders>
            <w:shd w:val="clear" w:color="auto" w:fill="CCEEFF"/>
          </w:tcPr>
          <w:p>
            <w:pPr>
              <w:jc w:val="right"/>
              <w:ind w:right="43"/>
              <w:spacing w:after="0"/>
              <w:rPr>
                <w:sz w:val="20"/>
                <w:szCs w:val="20"/>
                <w:color w:val="auto"/>
              </w:rPr>
            </w:pPr>
            <w:r>
              <w:rPr>
                <w:rFonts w:ascii="Arial" w:cs="Arial" w:eastAsia="Arial" w:hAnsi="Arial"/>
                <w:sz w:val="15"/>
                <w:szCs w:val="15"/>
                <w:color w:val="auto"/>
              </w:rPr>
              <w:t>277</w:t>
            </w:r>
          </w:p>
        </w:tc>
        <w:tc>
          <w:tcPr>
            <w:tcW w:w="100" w:type="dxa"/>
            <w:vAlign w:val="bottom"/>
            <w:tcBorders>
              <w:bottom w:val="single" w:sz="8" w:color="CCEEFF"/>
            </w:tcBorders>
            <w:shd w:val="clear" w:color="auto" w:fill="CCEEFF"/>
          </w:tcPr>
          <w:p>
            <w:pPr>
              <w:spacing w:after="0"/>
              <w:rPr>
                <w:sz w:val="20"/>
                <w:szCs w:val="20"/>
                <w:color w:val="auto"/>
              </w:rPr>
            </w:pPr>
          </w:p>
        </w:tc>
        <w:tc>
          <w:tcPr>
            <w:tcW w:w="560" w:type="dxa"/>
            <w:vAlign w:val="bottom"/>
            <w:tcBorders>
              <w:bottom w:val="single" w:sz="8" w:color="auto"/>
            </w:tcBorders>
            <w:shd w:val="clear" w:color="auto" w:fill="CCEEFF"/>
          </w:tcPr>
          <w:p>
            <w:pPr>
              <w:jc w:val="right"/>
              <w:ind w:right="363"/>
              <w:spacing w:after="0"/>
              <w:rPr>
                <w:sz w:val="20"/>
                <w:szCs w:val="20"/>
                <w:color w:val="auto"/>
              </w:rPr>
            </w:pPr>
            <w:r>
              <w:rPr>
                <w:rFonts w:ascii="Arial" w:cs="Arial" w:eastAsia="Arial" w:hAnsi="Arial"/>
                <w:sz w:val="15"/>
                <w:szCs w:val="15"/>
                <w:color w:val="auto"/>
              </w:rPr>
              <w:t>$</w:t>
            </w:r>
          </w:p>
        </w:tc>
        <w:tc>
          <w:tcPr>
            <w:tcW w:w="800" w:type="dxa"/>
            <w:vAlign w:val="bottom"/>
            <w:tcBorders>
              <w:bottom w:val="single" w:sz="8" w:color="auto"/>
            </w:tcBorders>
            <w:shd w:val="clear" w:color="auto" w:fill="CCEEFF"/>
          </w:tcPr>
          <w:p>
            <w:pPr>
              <w:jc w:val="right"/>
              <w:ind w:right="23"/>
              <w:spacing w:after="0"/>
              <w:rPr>
                <w:sz w:val="20"/>
                <w:szCs w:val="20"/>
                <w:color w:val="auto"/>
              </w:rPr>
            </w:pPr>
            <w:r>
              <w:rPr>
                <w:rFonts w:ascii="Arial" w:cs="Arial" w:eastAsia="Arial" w:hAnsi="Arial"/>
                <w:sz w:val="15"/>
                <w:szCs w:val="15"/>
                <w:color w:val="auto"/>
              </w:rPr>
              <w:t>276</w:t>
            </w:r>
          </w:p>
        </w:tc>
        <w:tc>
          <w:tcPr>
            <w:tcW w:w="120" w:type="dxa"/>
            <w:vAlign w:val="bottom"/>
            <w:tcBorders>
              <w:bottom w:val="single" w:sz="8" w:color="CCEEFF"/>
            </w:tcBorders>
            <w:shd w:val="clear" w:color="auto" w:fill="CCEEFF"/>
          </w:tcPr>
          <w:p>
            <w:pPr>
              <w:spacing w:after="0"/>
              <w:rPr>
                <w:sz w:val="20"/>
                <w:szCs w:val="20"/>
                <w:color w:val="auto"/>
              </w:rPr>
            </w:pPr>
          </w:p>
        </w:tc>
        <w:tc>
          <w:tcPr>
            <w:tcW w:w="560" w:type="dxa"/>
            <w:vAlign w:val="bottom"/>
            <w:tcBorders>
              <w:bottom w:val="single" w:sz="8" w:color="auto"/>
            </w:tcBorders>
            <w:shd w:val="clear" w:color="auto" w:fill="CCEEFF"/>
          </w:tcPr>
          <w:p>
            <w:pPr>
              <w:jc w:val="right"/>
              <w:ind w:right="383"/>
              <w:spacing w:after="0"/>
              <w:rPr>
                <w:sz w:val="20"/>
                <w:szCs w:val="20"/>
                <w:color w:val="auto"/>
              </w:rPr>
            </w:pPr>
            <w:r>
              <w:rPr>
                <w:rFonts w:ascii="Arial" w:cs="Arial" w:eastAsia="Arial" w:hAnsi="Arial"/>
                <w:sz w:val="15"/>
                <w:szCs w:val="15"/>
                <w:color w:val="auto"/>
                <w:w w:val="95"/>
              </w:rPr>
              <w:t>$</w:t>
            </w:r>
          </w:p>
        </w:tc>
        <w:tc>
          <w:tcPr>
            <w:tcW w:w="800" w:type="dxa"/>
            <w:vAlign w:val="bottom"/>
            <w:tcBorders>
              <w:bottom w:val="single" w:sz="8" w:color="auto"/>
            </w:tcBorders>
            <w:shd w:val="clear" w:color="auto" w:fill="CCEEFF"/>
          </w:tcPr>
          <w:p>
            <w:pPr>
              <w:jc w:val="right"/>
              <w:ind w:right="23"/>
              <w:spacing w:after="0"/>
              <w:rPr>
                <w:sz w:val="20"/>
                <w:szCs w:val="20"/>
                <w:color w:val="auto"/>
              </w:rPr>
            </w:pPr>
            <w:r>
              <w:rPr>
                <w:rFonts w:ascii="Arial" w:cs="Arial" w:eastAsia="Arial" w:hAnsi="Arial"/>
                <w:sz w:val="15"/>
                <w:szCs w:val="15"/>
                <w:color w:val="auto"/>
              </w:rPr>
              <w:t>390</w:t>
            </w:r>
          </w:p>
        </w:tc>
      </w:tr>
      <w:tr>
        <w:trPr>
          <w:trHeight w:val="20"/>
        </w:trPr>
        <w:tc>
          <w:tcPr>
            <w:tcW w:w="7080" w:type="dxa"/>
            <w:vAlign w:val="bottom"/>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8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accompanying notes to consolidated financial statements.</w:t>
      </w:r>
    </w:p>
    <w:p>
      <w:pPr>
        <w:sectPr>
          <w:pgSz w:w="11900" w:h="16838" w:orient="portrait"/>
          <w:cols w:equalWidth="0" w:num="1">
            <w:col w:w="11420"/>
          </w:cols>
          <w:pgMar w:left="240" w:top="549" w:right="239" w:bottom="300" w:gutter="0" w:footer="0" w:header="0"/>
        </w:sectPr>
      </w:pP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120</w:t>
      </w:r>
    </w:p>
    <w:p>
      <w:pPr>
        <w:sectPr>
          <w:pgSz w:w="11900" w:h="16838" w:orient="portrait"/>
          <w:cols w:equalWidth="0" w:num="1">
            <w:col w:w="11420"/>
          </w:cols>
          <w:pgMar w:left="240" w:top="549" w:right="239" w:bottom="300" w:gutter="0" w:footer="0" w:header="0"/>
          <w:type w:val="continuous"/>
        </w:sectPr>
      </w:pPr>
    </w:p>
    <w:bookmarkStart w:id="120" w:name="page121"/>
    <w:bookmarkEnd w:id="120"/>
    <w:p>
      <w:pPr>
        <w:jc w:val="center"/>
        <w:spacing w:after="0"/>
        <w:rPr>
          <w:sz w:val="20"/>
          <w:szCs w:val="20"/>
          <w:color w:val="auto"/>
        </w:rPr>
      </w:pPr>
      <w:r>
        <w:rPr>
          <w:rFonts w:ascii="Arial" w:cs="Arial" w:eastAsia="Arial" w:hAnsi="Arial"/>
          <w:sz w:val="18"/>
          <w:szCs w:val="18"/>
          <w:b w:val="1"/>
          <w:bCs w:val="1"/>
          <w:color w:val="auto"/>
        </w:rPr>
        <w:t>AMERICAN AIRLINES, INC.</w:t>
      </w:r>
    </w:p>
    <w:p>
      <w:pPr>
        <w:spacing w:after="0" w:line="3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STATEMENTS OF STOCKHOLDER’S EQUITY</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millions)</w:t>
      </w:r>
    </w:p>
    <w:p>
      <w:pPr>
        <w:spacing w:after="0" w:line="321"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57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36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rPr>
              <w:t>Accumulated</w:t>
            </w:r>
          </w:p>
        </w:tc>
        <w:tc>
          <w:tcPr>
            <w:tcW w:w="14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800" w:type="dxa"/>
            <w:vAlign w:val="bottom"/>
          </w:tcPr>
          <w:p>
            <w:pPr>
              <w:spacing w:after="0"/>
              <w:rPr>
                <w:sz w:val="14"/>
                <w:szCs w:val="14"/>
                <w:color w:val="auto"/>
              </w:rPr>
            </w:pPr>
          </w:p>
        </w:tc>
      </w:tr>
      <w:tr>
        <w:trPr>
          <w:trHeight w:val="162"/>
        </w:trPr>
        <w:tc>
          <w:tcPr>
            <w:tcW w:w="57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0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rPr>
              <w:t>Additional</w:t>
            </w:r>
          </w:p>
        </w:tc>
        <w:tc>
          <w:tcPr>
            <w:tcW w:w="140" w:type="dxa"/>
            <w:vAlign w:val="bottom"/>
          </w:tcPr>
          <w:p>
            <w:pPr>
              <w:spacing w:after="0"/>
              <w:rPr>
                <w:sz w:val="14"/>
                <w:szCs w:val="14"/>
                <w:color w:val="auto"/>
              </w:rPr>
            </w:pPr>
          </w:p>
        </w:tc>
        <w:tc>
          <w:tcPr>
            <w:tcW w:w="136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rPr>
              <w:t>Other</w:t>
            </w:r>
          </w:p>
        </w:tc>
        <w:tc>
          <w:tcPr>
            <w:tcW w:w="140" w:type="dxa"/>
            <w:vAlign w:val="bottom"/>
          </w:tcPr>
          <w:p>
            <w:pPr>
              <w:spacing w:after="0"/>
              <w:rPr>
                <w:sz w:val="14"/>
                <w:szCs w:val="14"/>
                <w:color w:val="auto"/>
              </w:rPr>
            </w:pPr>
          </w:p>
        </w:tc>
        <w:tc>
          <w:tcPr>
            <w:tcW w:w="88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rPr>
              <w:t>Retained</w:t>
            </w:r>
          </w:p>
        </w:tc>
        <w:tc>
          <w:tcPr>
            <w:tcW w:w="240" w:type="dxa"/>
            <w:vAlign w:val="bottom"/>
          </w:tcPr>
          <w:p>
            <w:pPr>
              <w:spacing w:after="0"/>
              <w:rPr>
                <w:sz w:val="14"/>
                <w:szCs w:val="14"/>
                <w:color w:val="auto"/>
              </w:rPr>
            </w:pPr>
          </w:p>
        </w:tc>
        <w:tc>
          <w:tcPr>
            <w:tcW w:w="800" w:type="dxa"/>
            <w:vAlign w:val="bottom"/>
          </w:tcPr>
          <w:p>
            <w:pPr>
              <w:spacing w:after="0"/>
              <w:rPr>
                <w:sz w:val="14"/>
                <w:szCs w:val="14"/>
                <w:color w:val="auto"/>
              </w:rPr>
            </w:pPr>
          </w:p>
        </w:tc>
      </w:tr>
      <w:tr>
        <w:trPr>
          <w:trHeight w:val="162"/>
        </w:trPr>
        <w:tc>
          <w:tcPr>
            <w:tcW w:w="57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80" w:type="dxa"/>
            <w:vAlign w:val="bottom"/>
            <w:gridSpan w:val="2"/>
          </w:tcPr>
          <w:p>
            <w:pPr>
              <w:spacing w:after="0"/>
              <w:rPr>
                <w:sz w:val="20"/>
                <w:szCs w:val="20"/>
                <w:color w:val="auto"/>
              </w:rPr>
            </w:pPr>
            <w:r>
              <w:rPr>
                <w:rFonts w:ascii="Arial" w:cs="Arial" w:eastAsia="Arial" w:hAnsi="Arial"/>
                <w:sz w:val="14"/>
                <w:szCs w:val="14"/>
                <w:b w:val="1"/>
                <w:bCs w:val="1"/>
                <w:color w:val="auto"/>
              </w:rPr>
              <w:t>Common</w:t>
            </w:r>
          </w:p>
        </w:tc>
        <w:tc>
          <w:tcPr>
            <w:tcW w:w="140" w:type="dxa"/>
            <w:vAlign w:val="bottom"/>
          </w:tcPr>
          <w:p>
            <w:pPr>
              <w:spacing w:after="0"/>
              <w:rPr>
                <w:sz w:val="14"/>
                <w:szCs w:val="14"/>
                <w:color w:val="auto"/>
              </w:rPr>
            </w:pPr>
          </w:p>
        </w:tc>
        <w:tc>
          <w:tcPr>
            <w:tcW w:w="100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rPr>
              <w:t>Paid-in</w:t>
            </w:r>
          </w:p>
        </w:tc>
        <w:tc>
          <w:tcPr>
            <w:tcW w:w="140" w:type="dxa"/>
            <w:vAlign w:val="bottom"/>
          </w:tcPr>
          <w:p>
            <w:pPr>
              <w:spacing w:after="0"/>
              <w:rPr>
                <w:sz w:val="14"/>
                <w:szCs w:val="14"/>
                <w:color w:val="auto"/>
              </w:rPr>
            </w:pPr>
          </w:p>
        </w:tc>
        <w:tc>
          <w:tcPr>
            <w:tcW w:w="136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rPr>
              <w:t>Comprehensive</w:t>
            </w:r>
          </w:p>
        </w:tc>
        <w:tc>
          <w:tcPr>
            <w:tcW w:w="140" w:type="dxa"/>
            <w:vAlign w:val="bottom"/>
          </w:tcPr>
          <w:p>
            <w:pPr>
              <w:spacing w:after="0"/>
              <w:rPr>
                <w:sz w:val="14"/>
                <w:szCs w:val="14"/>
                <w:color w:val="auto"/>
              </w:rPr>
            </w:pPr>
          </w:p>
        </w:tc>
        <w:tc>
          <w:tcPr>
            <w:tcW w:w="88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rPr>
              <w:t>Earnings</w:t>
            </w:r>
          </w:p>
        </w:tc>
        <w:tc>
          <w:tcPr>
            <w:tcW w:w="240" w:type="dxa"/>
            <w:vAlign w:val="bottom"/>
          </w:tcPr>
          <w:p>
            <w:pPr>
              <w:spacing w:after="0"/>
              <w:rPr>
                <w:sz w:val="14"/>
                <w:szCs w:val="14"/>
                <w:color w:val="auto"/>
              </w:rPr>
            </w:pPr>
          </w:p>
        </w:tc>
        <w:tc>
          <w:tcPr>
            <w:tcW w:w="800" w:type="dxa"/>
            <w:vAlign w:val="bottom"/>
          </w:tcPr>
          <w:p>
            <w:pPr>
              <w:spacing w:after="0"/>
              <w:rPr>
                <w:sz w:val="14"/>
                <w:szCs w:val="14"/>
                <w:color w:val="auto"/>
              </w:rPr>
            </w:pPr>
          </w:p>
        </w:tc>
      </w:tr>
      <w:tr>
        <w:trPr>
          <w:trHeight w:val="196"/>
        </w:trPr>
        <w:tc>
          <w:tcPr>
            <w:tcW w:w="5700" w:type="dxa"/>
            <w:vAlign w:val="bottom"/>
            <w:tcBorders>
              <w:bottom w:val="single" w:sz="8" w:color="CCEEFF"/>
            </w:tcBorders>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780" w:type="dxa"/>
            <w:vAlign w:val="bottom"/>
            <w:tcBorders>
              <w:bottom w:val="single" w:sz="8" w:color="auto"/>
            </w:tcBorders>
          </w:tcPr>
          <w:p>
            <w:pPr>
              <w:ind w:left="120"/>
              <w:spacing w:after="0"/>
              <w:rPr>
                <w:sz w:val="20"/>
                <w:szCs w:val="20"/>
                <w:color w:val="auto"/>
              </w:rPr>
            </w:pPr>
            <w:r>
              <w:rPr>
                <w:rFonts w:ascii="Arial" w:cs="Arial" w:eastAsia="Arial" w:hAnsi="Arial"/>
                <w:sz w:val="14"/>
                <w:szCs w:val="14"/>
                <w:b w:val="1"/>
                <w:bCs w:val="1"/>
                <w:color w:val="auto"/>
              </w:rPr>
              <w:t>Stock</w:t>
            </w:r>
          </w:p>
        </w:tc>
        <w:tc>
          <w:tcPr>
            <w:tcW w:w="100" w:type="dxa"/>
            <w:vAlign w:val="bottom"/>
            <w:tcBorders>
              <w:bottom w:val="single" w:sz="8" w:color="CCEEFF"/>
            </w:tcBorders>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900" w:type="dxa"/>
            <w:vAlign w:val="bottom"/>
            <w:tcBorders>
              <w:bottom w:val="single" w:sz="8" w:color="auto"/>
            </w:tcBorders>
          </w:tcPr>
          <w:p>
            <w:pPr>
              <w:jc w:val="center"/>
              <w:ind w:right="53"/>
              <w:spacing w:after="0"/>
              <w:rPr>
                <w:sz w:val="20"/>
                <w:szCs w:val="20"/>
                <w:color w:val="auto"/>
              </w:rPr>
            </w:pPr>
            <w:r>
              <w:rPr>
                <w:rFonts w:ascii="Arial" w:cs="Arial" w:eastAsia="Arial" w:hAnsi="Arial"/>
                <w:sz w:val="14"/>
                <w:szCs w:val="14"/>
                <w:b w:val="1"/>
                <w:bCs w:val="1"/>
                <w:color w:val="auto"/>
              </w:rPr>
              <w:t>Capital</w:t>
            </w:r>
          </w:p>
        </w:tc>
        <w:tc>
          <w:tcPr>
            <w:tcW w:w="100" w:type="dxa"/>
            <w:vAlign w:val="bottom"/>
            <w:tcBorders>
              <w:bottom w:val="single" w:sz="8" w:color="CCEEFF"/>
            </w:tcBorders>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1240" w:type="dxa"/>
            <w:vAlign w:val="bottom"/>
            <w:tcBorders>
              <w:bottom w:val="single" w:sz="8" w:color="auto"/>
            </w:tcBorders>
          </w:tcPr>
          <w:p>
            <w:pPr>
              <w:jc w:val="center"/>
              <w:ind w:right="53"/>
              <w:spacing w:after="0"/>
              <w:rPr>
                <w:sz w:val="20"/>
                <w:szCs w:val="20"/>
                <w:color w:val="auto"/>
              </w:rPr>
            </w:pPr>
            <w:r>
              <w:rPr>
                <w:rFonts w:ascii="Arial" w:cs="Arial" w:eastAsia="Arial" w:hAnsi="Arial"/>
                <w:sz w:val="14"/>
                <w:szCs w:val="14"/>
                <w:b w:val="1"/>
                <w:bCs w:val="1"/>
                <w:color w:val="auto"/>
              </w:rPr>
              <w:t>Loss</w:t>
            </w:r>
          </w:p>
        </w:tc>
        <w:tc>
          <w:tcPr>
            <w:tcW w:w="120" w:type="dxa"/>
            <w:vAlign w:val="bottom"/>
            <w:tcBorders>
              <w:bottom w:val="single" w:sz="8" w:color="CCEEFF"/>
            </w:tcBorders>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780" w:type="dxa"/>
            <w:vAlign w:val="bottom"/>
            <w:tcBorders>
              <w:bottom w:val="single" w:sz="8" w:color="auto"/>
            </w:tcBorders>
          </w:tcPr>
          <w:p>
            <w:pPr>
              <w:jc w:val="center"/>
              <w:ind w:right="73"/>
              <w:spacing w:after="0"/>
              <w:rPr>
                <w:sz w:val="20"/>
                <w:szCs w:val="20"/>
                <w:color w:val="auto"/>
              </w:rPr>
            </w:pPr>
            <w:r>
              <w:rPr>
                <w:rFonts w:ascii="Arial" w:cs="Arial" w:eastAsia="Arial" w:hAnsi="Arial"/>
                <w:sz w:val="14"/>
                <w:szCs w:val="14"/>
                <w:b w:val="1"/>
                <w:bCs w:val="1"/>
                <w:color w:val="auto"/>
              </w:rPr>
              <w:t>(Deficit)</w:t>
            </w:r>
          </w:p>
        </w:tc>
        <w:tc>
          <w:tcPr>
            <w:tcW w:w="100" w:type="dxa"/>
            <w:vAlign w:val="bottom"/>
            <w:tcBorders>
              <w:bottom w:val="single" w:sz="8" w:color="CCEEFF"/>
            </w:tcBorders>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800" w:type="dxa"/>
            <w:vAlign w:val="bottom"/>
            <w:tcBorders>
              <w:bottom w:val="single" w:sz="8" w:color="auto"/>
            </w:tcBorders>
          </w:tcPr>
          <w:p>
            <w:pPr>
              <w:jc w:val="right"/>
              <w:ind w:right="271"/>
              <w:spacing w:after="0"/>
              <w:rPr>
                <w:sz w:val="20"/>
                <w:szCs w:val="20"/>
                <w:color w:val="auto"/>
              </w:rPr>
            </w:pPr>
            <w:r>
              <w:rPr>
                <w:rFonts w:ascii="Arial" w:cs="Arial" w:eastAsia="Arial" w:hAnsi="Arial"/>
                <w:sz w:val="14"/>
                <w:szCs w:val="14"/>
                <w:b w:val="1"/>
                <w:bCs w:val="1"/>
                <w:color w:val="auto"/>
              </w:rPr>
              <w:t>Total</w:t>
            </w:r>
          </w:p>
        </w:tc>
      </w:tr>
      <w:tr>
        <w:trPr>
          <w:trHeight w:val="256"/>
        </w:trPr>
        <w:tc>
          <w:tcPr>
            <w:tcW w:w="5700" w:type="dxa"/>
            <w:vAlign w:val="bottom"/>
            <w:shd w:val="clear" w:color="auto" w:fill="CCEEFF"/>
          </w:tcPr>
          <w:p>
            <w:pPr>
              <w:ind w:left="40"/>
              <w:spacing w:after="0"/>
              <w:rPr>
                <w:sz w:val="20"/>
                <w:szCs w:val="20"/>
                <w:color w:val="auto"/>
              </w:rPr>
            </w:pPr>
            <w:r>
              <w:rPr>
                <w:rFonts w:ascii="Arial" w:cs="Arial" w:eastAsia="Arial" w:hAnsi="Arial"/>
                <w:sz w:val="18"/>
                <w:szCs w:val="18"/>
                <w:b w:val="1"/>
                <w:bCs w:val="1"/>
                <w:color w:val="auto"/>
              </w:rPr>
              <w:t>Balance at December 31, 2016</w:t>
            </w: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880" w:type="dxa"/>
            <w:vAlign w:val="bottom"/>
            <w:gridSpan w:val="2"/>
            <w:shd w:val="clear" w:color="auto" w:fill="CCEEFF"/>
          </w:tcPr>
          <w:p>
            <w:pPr>
              <w:ind w:left="48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900" w:type="dxa"/>
            <w:vAlign w:val="bottom"/>
            <w:shd w:val="clear" w:color="auto" w:fill="CCEEFF"/>
          </w:tcPr>
          <w:p>
            <w:pPr>
              <w:jc w:val="right"/>
              <w:ind w:right="13"/>
              <w:spacing w:after="0"/>
              <w:rPr>
                <w:sz w:val="20"/>
                <w:szCs w:val="20"/>
                <w:color w:val="auto"/>
              </w:rPr>
            </w:pPr>
            <w:r>
              <w:rPr>
                <w:rFonts w:ascii="Arial" w:cs="Arial" w:eastAsia="Arial" w:hAnsi="Arial"/>
                <w:sz w:val="18"/>
                <w:szCs w:val="18"/>
                <w:color w:val="auto"/>
              </w:rPr>
              <w:t>16,624</w:t>
            </w:r>
          </w:p>
        </w:tc>
        <w:tc>
          <w:tcPr>
            <w:tcW w:w="100" w:type="dxa"/>
            <w:vAlign w:val="bottom"/>
            <w:shd w:val="clear" w:color="auto" w:fill="CCEEFF"/>
          </w:tcPr>
          <w:p>
            <w:pPr>
              <w:spacing w:after="0"/>
              <w:rPr>
                <w:sz w:val="22"/>
                <w:szCs w:val="22"/>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(5,182)</w:t>
            </w:r>
          </w:p>
        </w:tc>
        <w:tc>
          <w:tcPr>
            <w:tcW w:w="120" w:type="dxa"/>
            <w:vAlign w:val="bottom"/>
            <w:shd w:val="clear" w:color="auto" w:fill="CCEEFF"/>
          </w:tcPr>
          <w:p>
            <w:pPr>
              <w:spacing w:after="0"/>
              <w:rPr>
                <w:sz w:val="22"/>
                <w:szCs w:val="22"/>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(2,862)</w:t>
            </w:r>
          </w:p>
        </w:tc>
        <w:tc>
          <w:tcPr>
            <w:tcW w:w="100" w:type="dxa"/>
            <w:vAlign w:val="bottom"/>
            <w:shd w:val="clear" w:color="auto" w:fill="CCEEFF"/>
          </w:tcPr>
          <w:p>
            <w:pPr>
              <w:spacing w:after="0"/>
              <w:rPr>
                <w:sz w:val="22"/>
                <w:szCs w:val="22"/>
                <w:color w:val="auto"/>
              </w:rPr>
            </w:pPr>
          </w:p>
        </w:tc>
        <w:tc>
          <w:tcPr>
            <w:tcW w:w="24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80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8,580</w:t>
            </w:r>
          </w:p>
        </w:tc>
      </w:tr>
      <w:tr>
        <w:trPr>
          <w:trHeight w:val="263"/>
        </w:trPr>
        <w:tc>
          <w:tcPr>
            <w:tcW w:w="5700" w:type="dxa"/>
            <w:vAlign w:val="bottom"/>
          </w:tcPr>
          <w:p>
            <w:pPr>
              <w:ind w:left="40"/>
              <w:spacing w:after="0"/>
              <w:rPr>
                <w:sz w:val="20"/>
                <w:szCs w:val="20"/>
                <w:color w:val="auto"/>
              </w:rPr>
            </w:pPr>
            <w:r>
              <w:rPr>
                <w:rFonts w:ascii="Arial" w:cs="Arial" w:eastAsia="Arial" w:hAnsi="Arial"/>
                <w:sz w:val="18"/>
                <w:szCs w:val="18"/>
                <w:color w:val="auto"/>
              </w:rPr>
              <w:t>Net income</w:t>
            </w:r>
          </w:p>
        </w:tc>
        <w:tc>
          <w:tcPr>
            <w:tcW w:w="140" w:type="dxa"/>
            <w:vAlign w:val="bottom"/>
          </w:tcPr>
          <w:p>
            <w:pPr>
              <w:spacing w:after="0"/>
              <w:rPr>
                <w:sz w:val="22"/>
                <w:szCs w:val="22"/>
                <w:color w:val="auto"/>
              </w:rPr>
            </w:pPr>
          </w:p>
        </w:tc>
        <w:tc>
          <w:tcPr>
            <w:tcW w:w="880" w:type="dxa"/>
            <w:vAlign w:val="bottom"/>
            <w:gridSpan w:val="2"/>
          </w:tcPr>
          <w:p>
            <w:pPr>
              <w:ind w:left="48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2"/>
                <w:szCs w:val="22"/>
                <w:color w:val="auto"/>
              </w:rPr>
            </w:pPr>
          </w:p>
        </w:tc>
        <w:tc>
          <w:tcPr>
            <w:tcW w:w="100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2"/>
                <w:szCs w:val="22"/>
                <w:color w:val="auto"/>
              </w:rPr>
            </w:pPr>
          </w:p>
        </w:tc>
        <w:tc>
          <w:tcPr>
            <w:tcW w:w="13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2"/>
                <w:szCs w:val="22"/>
                <w:color w:val="auto"/>
              </w:rPr>
            </w:pPr>
          </w:p>
        </w:tc>
        <w:tc>
          <w:tcPr>
            <w:tcW w:w="780" w:type="dxa"/>
            <w:vAlign w:val="bottom"/>
          </w:tcPr>
          <w:p>
            <w:pPr>
              <w:jc w:val="right"/>
              <w:ind w:right="33"/>
              <w:spacing w:after="0"/>
              <w:rPr>
                <w:sz w:val="20"/>
                <w:szCs w:val="20"/>
                <w:color w:val="auto"/>
              </w:rPr>
            </w:pPr>
            <w:r>
              <w:rPr>
                <w:rFonts w:ascii="Arial" w:cs="Arial" w:eastAsia="Arial" w:hAnsi="Arial"/>
                <w:sz w:val="18"/>
                <w:szCs w:val="18"/>
                <w:color w:val="auto"/>
              </w:rPr>
              <w:t>1,285</w:t>
            </w:r>
          </w:p>
        </w:tc>
        <w:tc>
          <w:tcPr>
            <w:tcW w:w="10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800" w:type="dxa"/>
            <w:vAlign w:val="bottom"/>
          </w:tcPr>
          <w:p>
            <w:pPr>
              <w:jc w:val="right"/>
              <w:ind w:right="11"/>
              <w:spacing w:after="0"/>
              <w:rPr>
                <w:sz w:val="20"/>
                <w:szCs w:val="20"/>
                <w:color w:val="auto"/>
              </w:rPr>
            </w:pPr>
            <w:r>
              <w:rPr>
                <w:rFonts w:ascii="Arial" w:cs="Arial" w:eastAsia="Arial" w:hAnsi="Arial"/>
                <w:sz w:val="18"/>
                <w:szCs w:val="18"/>
                <w:color w:val="auto"/>
              </w:rPr>
              <w:t>1,285</w:t>
            </w:r>
          </w:p>
        </w:tc>
      </w:tr>
      <w:tr>
        <w:trPr>
          <w:trHeight w:val="277"/>
        </w:trPr>
        <w:tc>
          <w:tcPr>
            <w:tcW w:w="5700" w:type="dxa"/>
            <w:vAlign w:val="bottom"/>
            <w:shd w:val="clear" w:color="auto" w:fill="CCEEFF"/>
          </w:tcPr>
          <w:p>
            <w:pPr>
              <w:ind w:left="40"/>
              <w:spacing w:after="0"/>
              <w:rPr>
                <w:sz w:val="20"/>
                <w:szCs w:val="20"/>
                <w:color w:val="auto"/>
              </w:rPr>
            </w:pPr>
            <w:r>
              <w:rPr>
                <w:rFonts w:ascii="Arial" w:cs="Arial" w:eastAsia="Arial" w:hAnsi="Arial"/>
                <w:sz w:val="18"/>
                <w:szCs w:val="18"/>
                <w:color w:val="auto"/>
              </w:rPr>
              <w:t>Other comprehensive loss, net</w:t>
            </w:r>
          </w:p>
        </w:tc>
        <w:tc>
          <w:tcPr>
            <w:tcW w:w="140" w:type="dxa"/>
            <w:vAlign w:val="bottom"/>
            <w:shd w:val="clear" w:color="auto" w:fill="CCEEFF"/>
          </w:tcPr>
          <w:p>
            <w:pPr>
              <w:spacing w:after="0"/>
              <w:rPr>
                <w:sz w:val="24"/>
                <w:szCs w:val="24"/>
                <w:color w:val="auto"/>
              </w:rPr>
            </w:pPr>
          </w:p>
        </w:tc>
        <w:tc>
          <w:tcPr>
            <w:tcW w:w="880" w:type="dxa"/>
            <w:vAlign w:val="bottom"/>
            <w:gridSpan w:val="2"/>
            <w:shd w:val="clear" w:color="auto" w:fill="CCEEFF"/>
          </w:tcPr>
          <w:p>
            <w:pPr>
              <w:ind w:left="48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24"/>
                <w:szCs w:val="24"/>
                <w:color w:val="auto"/>
              </w:rPr>
            </w:pPr>
          </w:p>
        </w:tc>
        <w:tc>
          <w:tcPr>
            <w:tcW w:w="10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24"/>
                <w:szCs w:val="24"/>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(69)</w:t>
            </w:r>
          </w:p>
        </w:tc>
        <w:tc>
          <w:tcPr>
            <w:tcW w:w="12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8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spacing w:after="0"/>
              <w:rPr>
                <w:sz w:val="24"/>
                <w:szCs w:val="24"/>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(69)</w:t>
            </w:r>
          </w:p>
        </w:tc>
      </w:tr>
      <w:tr>
        <w:trPr>
          <w:trHeight w:val="263"/>
        </w:trPr>
        <w:tc>
          <w:tcPr>
            <w:tcW w:w="5700" w:type="dxa"/>
            <w:vAlign w:val="bottom"/>
          </w:tcPr>
          <w:p>
            <w:pPr>
              <w:ind w:left="40"/>
              <w:spacing w:after="0"/>
              <w:rPr>
                <w:sz w:val="20"/>
                <w:szCs w:val="20"/>
                <w:color w:val="auto"/>
              </w:rPr>
            </w:pPr>
            <w:r>
              <w:rPr>
                <w:rFonts w:ascii="Arial" w:cs="Arial" w:eastAsia="Arial" w:hAnsi="Arial"/>
                <w:sz w:val="18"/>
                <w:szCs w:val="18"/>
                <w:color w:val="auto"/>
              </w:rPr>
              <w:t>Share-based compensation expense</w:t>
            </w:r>
          </w:p>
        </w:tc>
        <w:tc>
          <w:tcPr>
            <w:tcW w:w="140" w:type="dxa"/>
            <w:vAlign w:val="bottom"/>
          </w:tcPr>
          <w:p>
            <w:pPr>
              <w:spacing w:after="0"/>
              <w:rPr>
                <w:sz w:val="22"/>
                <w:szCs w:val="22"/>
                <w:color w:val="auto"/>
              </w:rPr>
            </w:pPr>
          </w:p>
        </w:tc>
        <w:tc>
          <w:tcPr>
            <w:tcW w:w="880" w:type="dxa"/>
            <w:vAlign w:val="bottom"/>
            <w:gridSpan w:val="2"/>
          </w:tcPr>
          <w:p>
            <w:pPr>
              <w:ind w:left="48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2"/>
                <w:szCs w:val="22"/>
                <w:color w:val="auto"/>
              </w:rPr>
            </w:pPr>
          </w:p>
        </w:tc>
        <w:tc>
          <w:tcPr>
            <w:tcW w:w="900" w:type="dxa"/>
            <w:vAlign w:val="bottom"/>
          </w:tcPr>
          <w:p>
            <w:pPr>
              <w:jc w:val="right"/>
              <w:ind w:right="13"/>
              <w:spacing w:after="0"/>
              <w:rPr>
                <w:sz w:val="20"/>
                <w:szCs w:val="20"/>
                <w:color w:val="auto"/>
              </w:rPr>
            </w:pPr>
            <w:r>
              <w:rPr>
                <w:rFonts w:ascii="Arial" w:cs="Arial" w:eastAsia="Arial" w:hAnsi="Arial"/>
                <w:sz w:val="18"/>
                <w:szCs w:val="18"/>
                <w:color w:val="auto"/>
              </w:rPr>
              <w:t>90</w:t>
            </w:r>
          </w:p>
        </w:tc>
        <w:tc>
          <w:tcPr>
            <w:tcW w:w="10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3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2"/>
                <w:szCs w:val="22"/>
                <w:color w:val="auto"/>
              </w:rPr>
            </w:pPr>
          </w:p>
        </w:tc>
        <w:tc>
          <w:tcPr>
            <w:tcW w:w="8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22"/>
                <w:szCs w:val="22"/>
                <w:color w:val="auto"/>
              </w:rPr>
            </w:pPr>
          </w:p>
        </w:tc>
        <w:tc>
          <w:tcPr>
            <w:tcW w:w="800" w:type="dxa"/>
            <w:vAlign w:val="bottom"/>
          </w:tcPr>
          <w:p>
            <w:pPr>
              <w:jc w:val="right"/>
              <w:ind w:right="11"/>
              <w:spacing w:after="0"/>
              <w:rPr>
                <w:sz w:val="20"/>
                <w:szCs w:val="20"/>
                <w:color w:val="auto"/>
              </w:rPr>
            </w:pPr>
            <w:r>
              <w:rPr>
                <w:rFonts w:ascii="Arial" w:cs="Arial" w:eastAsia="Arial" w:hAnsi="Arial"/>
                <w:sz w:val="18"/>
                <w:szCs w:val="18"/>
                <w:color w:val="auto"/>
              </w:rPr>
              <w:t>90</w:t>
            </w:r>
          </w:p>
        </w:tc>
      </w:tr>
      <w:tr>
        <w:trPr>
          <w:trHeight w:val="277"/>
        </w:trPr>
        <w:tc>
          <w:tcPr>
            <w:tcW w:w="5700" w:type="dxa"/>
            <w:vAlign w:val="bottom"/>
            <w:shd w:val="clear" w:color="auto" w:fill="CCEEFF"/>
          </w:tcPr>
          <w:p>
            <w:pPr>
              <w:ind w:left="40"/>
              <w:spacing w:after="0"/>
              <w:rPr>
                <w:sz w:val="20"/>
                <w:szCs w:val="20"/>
                <w:color w:val="auto"/>
              </w:rPr>
            </w:pPr>
            <w:r>
              <w:rPr>
                <w:rFonts w:ascii="Arial" w:cs="Arial" w:eastAsia="Arial" w:hAnsi="Arial"/>
                <w:sz w:val="18"/>
                <w:szCs w:val="18"/>
                <w:color w:val="auto"/>
              </w:rPr>
              <w:t>Intercompany equity transfer</w:t>
            </w:r>
          </w:p>
        </w:tc>
        <w:tc>
          <w:tcPr>
            <w:tcW w:w="140" w:type="dxa"/>
            <w:vAlign w:val="bottom"/>
            <w:shd w:val="clear" w:color="auto" w:fill="CCEEFF"/>
          </w:tcPr>
          <w:p>
            <w:pPr>
              <w:spacing w:after="0"/>
              <w:rPr>
                <w:sz w:val="24"/>
                <w:szCs w:val="24"/>
                <w:color w:val="auto"/>
              </w:rPr>
            </w:pPr>
          </w:p>
        </w:tc>
        <w:tc>
          <w:tcPr>
            <w:tcW w:w="880" w:type="dxa"/>
            <w:vAlign w:val="bottom"/>
            <w:gridSpan w:val="2"/>
            <w:shd w:val="clear" w:color="auto" w:fill="CCEEFF"/>
          </w:tcPr>
          <w:p>
            <w:pPr>
              <w:ind w:left="48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24"/>
                <w:szCs w:val="24"/>
                <w:color w:val="auto"/>
              </w:rPr>
            </w:pPr>
          </w:p>
        </w:tc>
        <w:tc>
          <w:tcPr>
            <w:tcW w:w="900" w:type="dxa"/>
            <w:vAlign w:val="bottom"/>
            <w:shd w:val="clear" w:color="auto" w:fill="CCEEFF"/>
          </w:tcPr>
          <w:p>
            <w:pPr>
              <w:jc w:val="right"/>
              <w:ind w:right="13"/>
              <w:spacing w:after="0"/>
              <w:rPr>
                <w:sz w:val="20"/>
                <w:szCs w:val="20"/>
                <w:color w:val="auto"/>
              </w:rPr>
            </w:pPr>
            <w:r>
              <w:rPr>
                <w:rFonts w:ascii="Arial" w:cs="Arial" w:eastAsia="Arial" w:hAnsi="Arial"/>
                <w:sz w:val="18"/>
                <w:szCs w:val="18"/>
                <w:color w:val="auto"/>
              </w:rPr>
              <w:t>2</w:t>
            </w:r>
          </w:p>
        </w:tc>
        <w:tc>
          <w:tcPr>
            <w:tcW w:w="10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13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24"/>
                <w:szCs w:val="24"/>
                <w:color w:val="auto"/>
              </w:rPr>
            </w:pPr>
          </w:p>
        </w:tc>
        <w:tc>
          <w:tcPr>
            <w:tcW w:w="8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spacing w:after="0"/>
              <w:rPr>
                <w:sz w:val="24"/>
                <w:szCs w:val="24"/>
                <w:color w:val="auto"/>
              </w:rPr>
            </w:pPr>
          </w:p>
        </w:tc>
        <w:tc>
          <w:tcPr>
            <w:tcW w:w="80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2</w:t>
            </w:r>
          </w:p>
        </w:tc>
      </w:tr>
      <w:tr>
        <w:trPr>
          <w:trHeight w:val="229"/>
        </w:trPr>
        <w:tc>
          <w:tcPr>
            <w:tcW w:w="5700" w:type="dxa"/>
            <w:vAlign w:val="bottom"/>
          </w:tcPr>
          <w:p>
            <w:pPr>
              <w:ind w:left="40"/>
              <w:spacing w:after="0"/>
              <w:rPr>
                <w:sz w:val="20"/>
                <w:szCs w:val="20"/>
                <w:color w:val="auto"/>
              </w:rPr>
            </w:pPr>
            <w:r>
              <w:rPr>
                <w:rFonts w:ascii="Arial" w:cs="Arial" w:eastAsia="Arial" w:hAnsi="Arial"/>
                <w:sz w:val="18"/>
                <w:szCs w:val="18"/>
                <w:color w:val="auto"/>
              </w:rPr>
              <w:t>Impact of adoption of Accounting Standards Update (ASU)</w:t>
            </w:r>
          </w:p>
        </w:tc>
        <w:tc>
          <w:tcPr>
            <w:tcW w:w="14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00" w:type="dxa"/>
            <w:vAlign w:val="bottom"/>
          </w:tcPr>
          <w:p>
            <w:pPr>
              <w:spacing w:after="0"/>
              <w:rPr>
                <w:sz w:val="19"/>
                <w:szCs w:val="19"/>
                <w:color w:val="auto"/>
              </w:rPr>
            </w:pPr>
          </w:p>
        </w:tc>
      </w:tr>
      <w:tr>
        <w:trPr>
          <w:trHeight w:val="224"/>
        </w:trPr>
        <w:tc>
          <w:tcPr>
            <w:tcW w:w="5700" w:type="dxa"/>
            <w:vAlign w:val="bottom"/>
            <w:tcBorders>
              <w:bottom w:val="single" w:sz="8" w:color="CCEEFF"/>
            </w:tcBorders>
          </w:tcPr>
          <w:p>
            <w:pPr>
              <w:ind w:left="200"/>
              <w:spacing w:after="0"/>
              <w:rPr>
                <w:sz w:val="20"/>
                <w:szCs w:val="20"/>
                <w:color w:val="auto"/>
              </w:rPr>
            </w:pPr>
            <w:r>
              <w:rPr>
                <w:rFonts w:ascii="Arial" w:cs="Arial" w:eastAsia="Arial" w:hAnsi="Arial"/>
                <w:sz w:val="18"/>
                <w:szCs w:val="18"/>
                <w:color w:val="auto"/>
              </w:rPr>
              <w:t>2018-02 related to comprehensive income (See Note 1(b))</w:t>
            </w:r>
          </w:p>
        </w:tc>
        <w:tc>
          <w:tcPr>
            <w:tcW w:w="140" w:type="dxa"/>
            <w:vAlign w:val="bottom"/>
            <w:tcBorders>
              <w:bottom w:val="single" w:sz="8" w:color="auto"/>
            </w:tcBorders>
          </w:tcPr>
          <w:p>
            <w:pPr>
              <w:spacing w:after="0"/>
              <w:rPr>
                <w:sz w:val="19"/>
                <w:szCs w:val="19"/>
                <w:color w:val="auto"/>
              </w:rPr>
            </w:pPr>
          </w:p>
        </w:tc>
        <w:tc>
          <w:tcPr>
            <w:tcW w:w="780" w:type="dxa"/>
            <w:vAlign w:val="bottom"/>
            <w:tcBorders>
              <w:bottom w:val="single" w:sz="8" w:color="auto"/>
            </w:tcBorders>
          </w:tcPr>
          <w:p>
            <w:pPr>
              <w:ind w:left="480"/>
              <w:spacing w:after="0"/>
              <w:rPr>
                <w:sz w:val="20"/>
                <w:szCs w:val="20"/>
                <w:color w:val="auto"/>
              </w:rPr>
            </w:pPr>
            <w:r>
              <w:rPr>
                <w:rFonts w:ascii="Arial" w:cs="Arial" w:eastAsia="Arial" w:hAnsi="Arial"/>
                <w:sz w:val="18"/>
                <w:szCs w:val="18"/>
                <w:color w:val="auto"/>
              </w:rPr>
              <w:t>—</w:t>
            </w:r>
          </w:p>
        </w:tc>
        <w:tc>
          <w:tcPr>
            <w:tcW w:w="100" w:type="dxa"/>
            <w:vAlign w:val="bottom"/>
            <w:tcBorders>
              <w:bottom w:val="single" w:sz="8" w:color="CCEEFF"/>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ind w:right="13"/>
              <w:spacing w:after="0"/>
              <w:rPr>
                <w:sz w:val="20"/>
                <w:szCs w:val="20"/>
                <w:color w:val="auto"/>
              </w:rPr>
            </w:pPr>
            <w:r>
              <w:rPr>
                <w:rFonts w:ascii="Arial" w:cs="Arial" w:eastAsia="Arial" w:hAnsi="Arial"/>
                <w:sz w:val="18"/>
                <w:szCs w:val="18"/>
                <w:color w:val="auto"/>
              </w:rPr>
              <w:t>—</w:t>
            </w:r>
          </w:p>
        </w:tc>
        <w:tc>
          <w:tcPr>
            <w:tcW w:w="100" w:type="dxa"/>
            <w:vAlign w:val="bottom"/>
            <w:tcBorders>
              <w:bottom w:val="single" w:sz="8" w:color="CCEEFF"/>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(622)</w:t>
            </w:r>
          </w:p>
        </w:tc>
        <w:tc>
          <w:tcPr>
            <w:tcW w:w="120" w:type="dxa"/>
            <w:vAlign w:val="bottom"/>
            <w:tcBorders>
              <w:bottom w:val="single" w:sz="8" w:color="CCEEFF"/>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780" w:type="dxa"/>
            <w:vAlign w:val="bottom"/>
            <w:tcBorders>
              <w:bottom w:val="single" w:sz="8" w:color="auto"/>
            </w:tcBorders>
          </w:tcPr>
          <w:p>
            <w:pPr>
              <w:jc w:val="right"/>
              <w:ind w:right="33"/>
              <w:spacing w:after="0"/>
              <w:rPr>
                <w:sz w:val="20"/>
                <w:szCs w:val="20"/>
                <w:color w:val="auto"/>
              </w:rPr>
            </w:pPr>
            <w:r>
              <w:rPr>
                <w:rFonts w:ascii="Arial" w:cs="Arial" w:eastAsia="Arial" w:hAnsi="Arial"/>
                <w:sz w:val="18"/>
                <w:szCs w:val="18"/>
                <w:color w:val="auto"/>
              </w:rPr>
              <w:t>622</w:t>
            </w:r>
          </w:p>
        </w:tc>
        <w:tc>
          <w:tcPr>
            <w:tcW w:w="100" w:type="dxa"/>
            <w:vAlign w:val="bottom"/>
            <w:tcBorders>
              <w:bottom w:val="single" w:sz="8" w:color="CCEEFF"/>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800" w:type="dxa"/>
            <w:vAlign w:val="bottom"/>
            <w:tcBorders>
              <w:bottom w:val="single" w:sz="8" w:color="auto"/>
            </w:tcBorders>
          </w:tcPr>
          <w:p>
            <w:pPr>
              <w:jc w:val="right"/>
              <w:ind w:right="11"/>
              <w:spacing w:after="0"/>
              <w:rPr>
                <w:sz w:val="20"/>
                <w:szCs w:val="20"/>
                <w:color w:val="auto"/>
              </w:rPr>
            </w:pPr>
            <w:r>
              <w:rPr>
                <w:rFonts w:ascii="Arial" w:cs="Arial" w:eastAsia="Arial" w:hAnsi="Arial"/>
                <w:sz w:val="18"/>
                <w:szCs w:val="18"/>
                <w:color w:val="auto"/>
              </w:rPr>
              <w:t>—</w:t>
            </w:r>
          </w:p>
        </w:tc>
      </w:tr>
      <w:tr>
        <w:trPr>
          <w:trHeight w:val="257"/>
        </w:trPr>
        <w:tc>
          <w:tcPr>
            <w:tcW w:w="5700" w:type="dxa"/>
            <w:vAlign w:val="bottom"/>
            <w:shd w:val="clear" w:color="auto" w:fill="CCEEFF"/>
          </w:tcPr>
          <w:p>
            <w:pPr>
              <w:ind w:left="40"/>
              <w:spacing w:after="0"/>
              <w:rPr>
                <w:sz w:val="20"/>
                <w:szCs w:val="20"/>
                <w:color w:val="auto"/>
              </w:rPr>
            </w:pPr>
            <w:r>
              <w:rPr>
                <w:rFonts w:ascii="Arial" w:cs="Arial" w:eastAsia="Arial" w:hAnsi="Arial"/>
                <w:sz w:val="18"/>
                <w:szCs w:val="18"/>
                <w:b w:val="1"/>
                <w:bCs w:val="1"/>
                <w:color w:val="auto"/>
              </w:rPr>
              <w:t>Balance at December 31, 2017</w:t>
            </w:r>
          </w:p>
        </w:tc>
        <w:tc>
          <w:tcPr>
            <w:tcW w:w="140" w:type="dxa"/>
            <w:vAlign w:val="bottom"/>
            <w:shd w:val="clear" w:color="auto" w:fill="CCEEFF"/>
          </w:tcPr>
          <w:p>
            <w:pPr>
              <w:spacing w:after="0"/>
              <w:rPr>
                <w:sz w:val="22"/>
                <w:szCs w:val="22"/>
                <w:color w:val="auto"/>
              </w:rPr>
            </w:pPr>
          </w:p>
        </w:tc>
        <w:tc>
          <w:tcPr>
            <w:tcW w:w="880" w:type="dxa"/>
            <w:vAlign w:val="bottom"/>
            <w:gridSpan w:val="2"/>
            <w:shd w:val="clear" w:color="auto" w:fill="CCEEFF"/>
          </w:tcPr>
          <w:p>
            <w:pPr>
              <w:ind w:left="48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22"/>
                <w:szCs w:val="22"/>
                <w:color w:val="auto"/>
              </w:rPr>
            </w:pPr>
          </w:p>
        </w:tc>
        <w:tc>
          <w:tcPr>
            <w:tcW w:w="900" w:type="dxa"/>
            <w:vAlign w:val="bottom"/>
            <w:shd w:val="clear" w:color="auto" w:fill="CCEEFF"/>
          </w:tcPr>
          <w:p>
            <w:pPr>
              <w:jc w:val="right"/>
              <w:ind w:right="13"/>
              <w:spacing w:after="0"/>
              <w:rPr>
                <w:sz w:val="20"/>
                <w:szCs w:val="20"/>
                <w:color w:val="auto"/>
              </w:rPr>
            </w:pPr>
            <w:r>
              <w:rPr>
                <w:rFonts w:ascii="Arial" w:cs="Arial" w:eastAsia="Arial" w:hAnsi="Arial"/>
                <w:sz w:val="18"/>
                <w:szCs w:val="18"/>
                <w:color w:val="auto"/>
              </w:rPr>
              <w:t>16,716</w:t>
            </w:r>
          </w:p>
        </w:tc>
        <w:tc>
          <w:tcPr>
            <w:tcW w:w="100" w:type="dxa"/>
            <w:vAlign w:val="bottom"/>
            <w:shd w:val="clear" w:color="auto" w:fill="CCEEFF"/>
          </w:tcPr>
          <w:p>
            <w:pPr>
              <w:spacing w:after="0"/>
              <w:rPr>
                <w:sz w:val="22"/>
                <w:szCs w:val="22"/>
                <w:color w:val="auto"/>
              </w:rPr>
            </w:pPr>
          </w:p>
        </w:tc>
        <w:tc>
          <w:tcPr>
            <w:tcW w:w="140" w:type="dxa"/>
            <w:vAlign w:val="bottom"/>
            <w:shd w:val="clear" w:color="auto" w:fill="CCEEFF"/>
          </w:tcPr>
          <w:p>
            <w:pPr>
              <w:spacing w:after="0"/>
              <w:rPr>
                <w:sz w:val="22"/>
                <w:szCs w:val="22"/>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(5,873)</w:t>
            </w:r>
          </w:p>
        </w:tc>
        <w:tc>
          <w:tcPr>
            <w:tcW w:w="120" w:type="dxa"/>
            <w:vAlign w:val="bottom"/>
            <w:shd w:val="clear" w:color="auto" w:fill="CCEEFF"/>
          </w:tcPr>
          <w:p>
            <w:pPr>
              <w:spacing w:after="0"/>
              <w:rPr>
                <w:sz w:val="22"/>
                <w:szCs w:val="22"/>
                <w:color w:val="auto"/>
              </w:rPr>
            </w:pPr>
          </w:p>
        </w:tc>
        <w:tc>
          <w:tcPr>
            <w:tcW w:w="140" w:type="dxa"/>
            <w:vAlign w:val="bottom"/>
            <w:shd w:val="clear" w:color="auto" w:fill="CCEEFF"/>
          </w:tcPr>
          <w:p>
            <w:pPr>
              <w:spacing w:after="0"/>
              <w:rPr>
                <w:sz w:val="22"/>
                <w:szCs w:val="22"/>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(955)</w:t>
            </w:r>
          </w:p>
        </w:tc>
        <w:tc>
          <w:tcPr>
            <w:tcW w:w="100" w:type="dxa"/>
            <w:vAlign w:val="bottom"/>
            <w:shd w:val="clear" w:color="auto" w:fill="CCEEFF"/>
          </w:tcPr>
          <w:p>
            <w:pPr>
              <w:spacing w:after="0"/>
              <w:rPr>
                <w:sz w:val="22"/>
                <w:szCs w:val="22"/>
                <w:color w:val="auto"/>
              </w:rPr>
            </w:pPr>
          </w:p>
        </w:tc>
        <w:tc>
          <w:tcPr>
            <w:tcW w:w="240" w:type="dxa"/>
            <w:vAlign w:val="bottom"/>
            <w:shd w:val="clear" w:color="auto" w:fill="CCEEFF"/>
          </w:tcPr>
          <w:p>
            <w:pPr>
              <w:spacing w:after="0"/>
              <w:rPr>
                <w:sz w:val="22"/>
                <w:szCs w:val="22"/>
                <w:color w:val="auto"/>
              </w:rPr>
            </w:pPr>
          </w:p>
        </w:tc>
        <w:tc>
          <w:tcPr>
            <w:tcW w:w="80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9,888</w:t>
            </w:r>
          </w:p>
        </w:tc>
      </w:tr>
      <w:tr>
        <w:trPr>
          <w:trHeight w:val="263"/>
        </w:trPr>
        <w:tc>
          <w:tcPr>
            <w:tcW w:w="5700" w:type="dxa"/>
            <w:vAlign w:val="bottom"/>
          </w:tcPr>
          <w:p>
            <w:pPr>
              <w:ind w:left="40"/>
              <w:spacing w:after="0"/>
              <w:rPr>
                <w:sz w:val="20"/>
                <w:szCs w:val="20"/>
                <w:color w:val="auto"/>
              </w:rPr>
            </w:pPr>
            <w:r>
              <w:rPr>
                <w:rFonts w:ascii="Arial" w:cs="Arial" w:eastAsia="Arial" w:hAnsi="Arial"/>
                <w:sz w:val="18"/>
                <w:szCs w:val="18"/>
                <w:color w:val="auto"/>
              </w:rPr>
              <w:t>Net income</w:t>
            </w:r>
          </w:p>
        </w:tc>
        <w:tc>
          <w:tcPr>
            <w:tcW w:w="140" w:type="dxa"/>
            <w:vAlign w:val="bottom"/>
          </w:tcPr>
          <w:p>
            <w:pPr>
              <w:spacing w:after="0"/>
              <w:rPr>
                <w:sz w:val="22"/>
                <w:szCs w:val="22"/>
                <w:color w:val="auto"/>
              </w:rPr>
            </w:pPr>
          </w:p>
        </w:tc>
        <w:tc>
          <w:tcPr>
            <w:tcW w:w="880" w:type="dxa"/>
            <w:vAlign w:val="bottom"/>
            <w:gridSpan w:val="2"/>
          </w:tcPr>
          <w:p>
            <w:pPr>
              <w:ind w:left="48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2"/>
                <w:szCs w:val="22"/>
                <w:color w:val="auto"/>
              </w:rPr>
            </w:pPr>
          </w:p>
        </w:tc>
        <w:tc>
          <w:tcPr>
            <w:tcW w:w="100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2"/>
                <w:szCs w:val="22"/>
                <w:color w:val="auto"/>
              </w:rPr>
            </w:pPr>
          </w:p>
        </w:tc>
        <w:tc>
          <w:tcPr>
            <w:tcW w:w="13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2"/>
                <w:szCs w:val="22"/>
                <w:color w:val="auto"/>
              </w:rPr>
            </w:pPr>
          </w:p>
        </w:tc>
        <w:tc>
          <w:tcPr>
            <w:tcW w:w="780" w:type="dxa"/>
            <w:vAlign w:val="bottom"/>
          </w:tcPr>
          <w:p>
            <w:pPr>
              <w:jc w:val="right"/>
              <w:ind w:right="33"/>
              <w:spacing w:after="0"/>
              <w:rPr>
                <w:sz w:val="20"/>
                <w:szCs w:val="20"/>
                <w:color w:val="auto"/>
              </w:rPr>
            </w:pPr>
            <w:r>
              <w:rPr>
                <w:rFonts w:ascii="Arial" w:cs="Arial" w:eastAsia="Arial" w:hAnsi="Arial"/>
                <w:sz w:val="18"/>
                <w:szCs w:val="18"/>
                <w:color w:val="auto"/>
              </w:rPr>
              <w:t>1,658</w:t>
            </w:r>
          </w:p>
        </w:tc>
        <w:tc>
          <w:tcPr>
            <w:tcW w:w="10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800" w:type="dxa"/>
            <w:vAlign w:val="bottom"/>
          </w:tcPr>
          <w:p>
            <w:pPr>
              <w:jc w:val="right"/>
              <w:ind w:right="11"/>
              <w:spacing w:after="0"/>
              <w:rPr>
                <w:sz w:val="20"/>
                <w:szCs w:val="20"/>
                <w:color w:val="auto"/>
              </w:rPr>
            </w:pPr>
            <w:r>
              <w:rPr>
                <w:rFonts w:ascii="Arial" w:cs="Arial" w:eastAsia="Arial" w:hAnsi="Arial"/>
                <w:sz w:val="18"/>
                <w:szCs w:val="18"/>
                <w:color w:val="auto"/>
              </w:rPr>
              <w:t>1,658</w:t>
            </w:r>
          </w:p>
        </w:tc>
      </w:tr>
      <w:tr>
        <w:trPr>
          <w:trHeight w:val="277"/>
        </w:trPr>
        <w:tc>
          <w:tcPr>
            <w:tcW w:w="5700" w:type="dxa"/>
            <w:vAlign w:val="bottom"/>
            <w:shd w:val="clear" w:color="auto" w:fill="CCEEFF"/>
          </w:tcPr>
          <w:p>
            <w:pPr>
              <w:ind w:left="40"/>
              <w:spacing w:after="0"/>
              <w:rPr>
                <w:sz w:val="20"/>
                <w:szCs w:val="20"/>
                <w:color w:val="auto"/>
              </w:rPr>
            </w:pPr>
            <w:r>
              <w:rPr>
                <w:rFonts w:ascii="Arial" w:cs="Arial" w:eastAsia="Arial" w:hAnsi="Arial"/>
                <w:sz w:val="18"/>
                <w:szCs w:val="18"/>
                <w:color w:val="auto"/>
              </w:rPr>
              <w:t>Other comprehensive loss, net</w:t>
            </w:r>
          </w:p>
        </w:tc>
        <w:tc>
          <w:tcPr>
            <w:tcW w:w="140" w:type="dxa"/>
            <w:vAlign w:val="bottom"/>
            <w:shd w:val="clear" w:color="auto" w:fill="CCEEFF"/>
          </w:tcPr>
          <w:p>
            <w:pPr>
              <w:spacing w:after="0"/>
              <w:rPr>
                <w:sz w:val="24"/>
                <w:szCs w:val="24"/>
                <w:color w:val="auto"/>
              </w:rPr>
            </w:pPr>
          </w:p>
        </w:tc>
        <w:tc>
          <w:tcPr>
            <w:tcW w:w="880" w:type="dxa"/>
            <w:vAlign w:val="bottom"/>
            <w:gridSpan w:val="2"/>
            <w:shd w:val="clear" w:color="auto" w:fill="CCEEFF"/>
          </w:tcPr>
          <w:p>
            <w:pPr>
              <w:ind w:left="48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24"/>
                <w:szCs w:val="24"/>
                <w:color w:val="auto"/>
              </w:rPr>
            </w:pPr>
          </w:p>
        </w:tc>
        <w:tc>
          <w:tcPr>
            <w:tcW w:w="10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24"/>
                <w:szCs w:val="24"/>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(119)</w:t>
            </w:r>
          </w:p>
        </w:tc>
        <w:tc>
          <w:tcPr>
            <w:tcW w:w="12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8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spacing w:after="0"/>
              <w:rPr>
                <w:sz w:val="24"/>
                <w:szCs w:val="24"/>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(119)</w:t>
            </w:r>
          </w:p>
        </w:tc>
      </w:tr>
      <w:tr>
        <w:trPr>
          <w:trHeight w:val="263"/>
        </w:trPr>
        <w:tc>
          <w:tcPr>
            <w:tcW w:w="5700" w:type="dxa"/>
            <w:vAlign w:val="bottom"/>
          </w:tcPr>
          <w:p>
            <w:pPr>
              <w:ind w:left="40"/>
              <w:spacing w:after="0"/>
              <w:rPr>
                <w:sz w:val="20"/>
                <w:szCs w:val="20"/>
                <w:color w:val="auto"/>
              </w:rPr>
            </w:pPr>
            <w:r>
              <w:rPr>
                <w:rFonts w:ascii="Arial" w:cs="Arial" w:eastAsia="Arial" w:hAnsi="Arial"/>
                <w:sz w:val="18"/>
                <w:szCs w:val="18"/>
                <w:color w:val="auto"/>
              </w:rPr>
              <w:t>Share-based compensation expense</w:t>
            </w:r>
          </w:p>
        </w:tc>
        <w:tc>
          <w:tcPr>
            <w:tcW w:w="140" w:type="dxa"/>
            <w:vAlign w:val="bottom"/>
          </w:tcPr>
          <w:p>
            <w:pPr>
              <w:spacing w:after="0"/>
              <w:rPr>
                <w:sz w:val="22"/>
                <w:szCs w:val="22"/>
                <w:color w:val="auto"/>
              </w:rPr>
            </w:pPr>
          </w:p>
        </w:tc>
        <w:tc>
          <w:tcPr>
            <w:tcW w:w="880" w:type="dxa"/>
            <w:vAlign w:val="bottom"/>
            <w:gridSpan w:val="2"/>
          </w:tcPr>
          <w:p>
            <w:pPr>
              <w:ind w:left="48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2"/>
                <w:szCs w:val="22"/>
                <w:color w:val="auto"/>
              </w:rPr>
            </w:pPr>
          </w:p>
        </w:tc>
        <w:tc>
          <w:tcPr>
            <w:tcW w:w="900" w:type="dxa"/>
            <w:vAlign w:val="bottom"/>
          </w:tcPr>
          <w:p>
            <w:pPr>
              <w:jc w:val="right"/>
              <w:ind w:right="13"/>
              <w:spacing w:after="0"/>
              <w:rPr>
                <w:sz w:val="20"/>
                <w:szCs w:val="20"/>
                <w:color w:val="auto"/>
              </w:rPr>
            </w:pPr>
            <w:r>
              <w:rPr>
                <w:rFonts w:ascii="Arial" w:cs="Arial" w:eastAsia="Arial" w:hAnsi="Arial"/>
                <w:sz w:val="18"/>
                <w:szCs w:val="18"/>
                <w:color w:val="auto"/>
              </w:rPr>
              <w:t>86</w:t>
            </w:r>
          </w:p>
        </w:tc>
        <w:tc>
          <w:tcPr>
            <w:tcW w:w="10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3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2"/>
                <w:szCs w:val="22"/>
                <w:color w:val="auto"/>
              </w:rPr>
            </w:pPr>
          </w:p>
        </w:tc>
        <w:tc>
          <w:tcPr>
            <w:tcW w:w="8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22"/>
                <w:szCs w:val="22"/>
                <w:color w:val="auto"/>
              </w:rPr>
            </w:pPr>
          </w:p>
        </w:tc>
        <w:tc>
          <w:tcPr>
            <w:tcW w:w="800" w:type="dxa"/>
            <w:vAlign w:val="bottom"/>
          </w:tcPr>
          <w:p>
            <w:pPr>
              <w:jc w:val="right"/>
              <w:ind w:right="11"/>
              <w:spacing w:after="0"/>
              <w:rPr>
                <w:sz w:val="20"/>
                <w:szCs w:val="20"/>
                <w:color w:val="auto"/>
              </w:rPr>
            </w:pPr>
            <w:r>
              <w:rPr>
                <w:rFonts w:ascii="Arial" w:cs="Arial" w:eastAsia="Arial" w:hAnsi="Arial"/>
                <w:sz w:val="18"/>
                <w:szCs w:val="18"/>
                <w:color w:val="auto"/>
              </w:rPr>
              <w:t>86</w:t>
            </w:r>
          </w:p>
        </w:tc>
      </w:tr>
      <w:tr>
        <w:trPr>
          <w:trHeight w:val="235"/>
        </w:trPr>
        <w:tc>
          <w:tcPr>
            <w:tcW w:w="5700" w:type="dxa"/>
            <w:vAlign w:val="bottom"/>
            <w:shd w:val="clear" w:color="auto" w:fill="CCEEFF"/>
          </w:tcPr>
          <w:p>
            <w:pPr>
              <w:ind w:left="40"/>
              <w:spacing w:after="0"/>
              <w:rPr>
                <w:sz w:val="20"/>
                <w:szCs w:val="20"/>
                <w:color w:val="auto"/>
              </w:rPr>
            </w:pPr>
            <w:r>
              <w:rPr>
                <w:rFonts w:ascii="Arial" w:cs="Arial" w:eastAsia="Arial" w:hAnsi="Arial"/>
                <w:sz w:val="18"/>
                <w:szCs w:val="18"/>
                <w:color w:val="auto"/>
              </w:rPr>
              <w:t>Impact of adoption of ASU 2016-01 related to financial</w:t>
            </w:r>
          </w:p>
        </w:tc>
        <w:tc>
          <w:tcPr>
            <w:tcW w:w="140" w:type="dxa"/>
            <w:vAlign w:val="bottom"/>
            <w:shd w:val="clear" w:color="auto" w:fill="CCEEFF"/>
          </w:tcPr>
          <w:p>
            <w:pPr>
              <w:spacing w:after="0"/>
              <w:rPr>
                <w:sz w:val="20"/>
                <w:szCs w:val="20"/>
                <w:color w:val="auto"/>
              </w:rPr>
            </w:pPr>
          </w:p>
        </w:tc>
        <w:tc>
          <w:tcPr>
            <w:tcW w:w="78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90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124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78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240" w:type="dxa"/>
            <w:vAlign w:val="bottom"/>
            <w:shd w:val="clear" w:color="auto" w:fill="CCEEFF"/>
          </w:tcPr>
          <w:p>
            <w:pPr>
              <w:spacing w:after="0"/>
              <w:rPr>
                <w:sz w:val="20"/>
                <w:szCs w:val="20"/>
                <w:color w:val="auto"/>
              </w:rPr>
            </w:pPr>
          </w:p>
        </w:tc>
        <w:tc>
          <w:tcPr>
            <w:tcW w:w="800" w:type="dxa"/>
            <w:vAlign w:val="bottom"/>
            <w:shd w:val="clear" w:color="auto" w:fill="CCEEFF"/>
          </w:tcPr>
          <w:p>
            <w:pPr>
              <w:spacing w:after="0"/>
              <w:rPr>
                <w:sz w:val="20"/>
                <w:szCs w:val="20"/>
                <w:color w:val="auto"/>
              </w:rPr>
            </w:pPr>
          </w:p>
        </w:tc>
      </w:tr>
      <w:tr>
        <w:trPr>
          <w:trHeight w:val="230"/>
        </w:trPr>
        <w:tc>
          <w:tcPr>
            <w:tcW w:w="5700" w:type="dxa"/>
            <w:vAlign w:val="bottom"/>
            <w:shd w:val="clear" w:color="auto" w:fill="CCEEFF"/>
          </w:tcPr>
          <w:p>
            <w:pPr>
              <w:ind w:left="200"/>
              <w:spacing w:after="0"/>
              <w:rPr>
                <w:sz w:val="20"/>
                <w:szCs w:val="20"/>
                <w:color w:val="auto"/>
              </w:rPr>
            </w:pPr>
            <w:r>
              <w:rPr>
                <w:rFonts w:ascii="Arial" w:cs="Arial" w:eastAsia="Arial" w:hAnsi="Arial"/>
                <w:sz w:val="18"/>
                <w:szCs w:val="18"/>
                <w:color w:val="auto"/>
              </w:rPr>
              <w:t>instruments</w:t>
            </w:r>
          </w:p>
        </w:tc>
        <w:tc>
          <w:tcPr>
            <w:tcW w:w="140" w:type="dxa"/>
            <w:vAlign w:val="bottom"/>
            <w:shd w:val="clear" w:color="auto" w:fill="CCEEFF"/>
          </w:tcPr>
          <w:p>
            <w:pPr>
              <w:spacing w:after="0"/>
              <w:rPr>
                <w:sz w:val="20"/>
                <w:szCs w:val="20"/>
                <w:color w:val="auto"/>
              </w:rPr>
            </w:pPr>
          </w:p>
        </w:tc>
        <w:tc>
          <w:tcPr>
            <w:tcW w:w="880" w:type="dxa"/>
            <w:vAlign w:val="bottom"/>
            <w:gridSpan w:val="2"/>
            <w:shd w:val="clear" w:color="auto" w:fill="CCEEFF"/>
          </w:tcPr>
          <w:p>
            <w:pPr>
              <w:ind w:left="48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20"/>
                <w:szCs w:val="20"/>
                <w:color w:val="auto"/>
              </w:rPr>
            </w:pPr>
          </w:p>
        </w:tc>
        <w:tc>
          <w:tcPr>
            <w:tcW w:w="10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20"/>
                <w:szCs w:val="20"/>
                <w:color w:val="auto"/>
              </w:rPr>
            </w:pPr>
          </w:p>
        </w:tc>
        <w:tc>
          <w:tcPr>
            <w:tcW w:w="13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20"/>
                <w:szCs w:val="20"/>
                <w:color w:val="auto"/>
              </w:rPr>
            </w:pPr>
          </w:p>
        </w:tc>
        <w:tc>
          <w:tcPr>
            <w:tcW w:w="780" w:type="dxa"/>
            <w:vAlign w:val="bottom"/>
            <w:shd w:val="clear" w:color="auto" w:fill="CCEEFF"/>
          </w:tcPr>
          <w:p>
            <w:pPr>
              <w:jc w:val="right"/>
              <w:ind w:right="33"/>
              <w:spacing w:after="0"/>
              <w:rPr>
                <w:sz w:val="20"/>
                <w:szCs w:val="20"/>
                <w:color w:val="auto"/>
              </w:rPr>
            </w:pPr>
            <w:r>
              <w:rPr>
                <w:rFonts w:ascii="Arial" w:cs="Arial" w:eastAsia="Arial" w:hAnsi="Arial"/>
                <w:sz w:val="18"/>
                <w:szCs w:val="18"/>
                <w:color w:val="auto"/>
              </w:rPr>
              <w:t>60</w:t>
            </w:r>
          </w:p>
        </w:tc>
        <w:tc>
          <w:tcPr>
            <w:tcW w:w="100" w:type="dxa"/>
            <w:vAlign w:val="bottom"/>
            <w:shd w:val="clear" w:color="auto" w:fill="CCEEFF"/>
          </w:tcPr>
          <w:p>
            <w:pPr>
              <w:spacing w:after="0"/>
              <w:rPr>
                <w:sz w:val="20"/>
                <w:szCs w:val="20"/>
                <w:color w:val="auto"/>
              </w:rPr>
            </w:pPr>
          </w:p>
        </w:tc>
        <w:tc>
          <w:tcPr>
            <w:tcW w:w="240" w:type="dxa"/>
            <w:vAlign w:val="bottom"/>
            <w:shd w:val="clear" w:color="auto" w:fill="CCEEFF"/>
          </w:tcPr>
          <w:p>
            <w:pPr>
              <w:spacing w:after="0"/>
              <w:rPr>
                <w:sz w:val="20"/>
                <w:szCs w:val="20"/>
                <w:color w:val="auto"/>
              </w:rPr>
            </w:pPr>
          </w:p>
        </w:tc>
        <w:tc>
          <w:tcPr>
            <w:tcW w:w="80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60</w:t>
            </w:r>
          </w:p>
        </w:tc>
      </w:tr>
      <w:tr>
        <w:trPr>
          <w:trHeight w:val="264"/>
        </w:trPr>
        <w:tc>
          <w:tcPr>
            <w:tcW w:w="5700" w:type="dxa"/>
            <w:vAlign w:val="bottom"/>
            <w:tcBorders>
              <w:bottom w:val="single" w:sz="8" w:color="CCEEFF"/>
            </w:tcBorders>
          </w:tcPr>
          <w:p>
            <w:pPr>
              <w:ind w:left="40"/>
              <w:spacing w:after="0"/>
              <w:rPr>
                <w:sz w:val="20"/>
                <w:szCs w:val="20"/>
                <w:color w:val="auto"/>
              </w:rPr>
            </w:pPr>
            <w:r>
              <w:rPr>
                <w:rFonts w:ascii="Arial" w:cs="Arial" w:eastAsia="Arial" w:hAnsi="Arial"/>
                <w:sz w:val="18"/>
                <w:szCs w:val="18"/>
                <w:color w:val="auto"/>
              </w:rPr>
              <w:t>Impact of adoption of ASU 2016-02 related to leases</w:t>
            </w:r>
          </w:p>
        </w:tc>
        <w:tc>
          <w:tcPr>
            <w:tcW w:w="140" w:type="dxa"/>
            <w:vAlign w:val="bottom"/>
            <w:tcBorders>
              <w:bottom w:val="single" w:sz="8" w:color="auto"/>
            </w:tcBorders>
          </w:tcPr>
          <w:p>
            <w:pPr>
              <w:spacing w:after="0"/>
              <w:rPr>
                <w:sz w:val="22"/>
                <w:szCs w:val="22"/>
                <w:color w:val="auto"/>
              </w:rPr>
            </w:pPr>
          </w:p>
        </w:tc>
        <w:tc>
          <w:tcPr>
            <w:tcW w:w="780" w:type="dxa"/>
            <w:vAlign w:val="bottom"/>
            <w:tcBorders>
              <w:bottom w:val="single" w:sz="8" w:color="auto"/>
            </w:tcBorders>
          </w:tcPr>
          <w:p>
            <w:pPr>
              <w:ind w:left="480"/>
              <w:spacing w:after="0"/>
              <w:rPr>
                <w:sz w:val="20"/>
                <w:szCs w:val="20"/>
                <w:color w:val="auto"/>
              </w:rPr>
            </w:pPr>
            <w:r>
              <w:rPr>
                <w:rFonts w:ascii="Arial" w:cs="Arial" w:eastAsia="Arial" w:hAnsi="Arial"/>
                <w:sz w:val="18"/>
                <w:szCs w:val="18"/>
                <w:color w:val="auto"/>
              </w:rPr>
              <w:t>—</w:t>
            </w:r>
          </w:p>
        </w:tc>
        <w:tc>
          <w:tcPr>
            <w:tcW w:w="100" w:type="dxa"/>
            <w:vAlign w:val="bottom"/>
            <w:tcBorders>
              <w:bottom w:val="single" w:sz="8" w:color="CCEEFF"/>
            </w:tcBorders>
          </w:tcPr>
          <w:p>
            <w:pPr>
              <w:spacing w:after="0"/>
              <w:rPr>
                <w:sz w:val="22"/>
                <w:szCs w:val="22"/>
                <w:color w:val="auto"/>
              </w:rPr>
            </w:pPr>
          </w:p>
        </w:tc>
        <w:tc>
          <w:tcPr>
            <w:tcW w:w="140" w:type="dxa"/>
            <w:vAlign w:val="bottom"/>
            <w:tcBorders>
              <w:bottom w:val="single" w:sz="8" w:color="auto"/>
            </w:tcBorders>
          </w:tcPr>
          <w:p>
            <w:pPr>
              <w:spacing w:after="0"/>
              <w:rPr>
                <w:sz w:val="22"/>
                <w:szCs w:val="22"/>
                <w:color w:val="auto"/>
              </w:rPr>
            </w:pPr>
          </w:p>
        </w:tc>
        <w:tc>
          <w:tcPr>
            <w:tcW w:w="900" w:type="dxa"/>
            <w:vAlign w:val="bottom"/>
            <w:tcBorders>
              <w:bottom w:val="single" w:sz="8" w:color="auto"/>
            </w:tcBorders>
          </w:tcPr>
          <w:p>
            <w:pPr>
              <w:jc w:val="right"/>
              <w:ind w:right="13"/>
              <w:spacing w:after="0"/>
              <w:rPr>
                <w:sz w:val="20"/>
                <w:szCs w:val="20"/>
                <w:color w:val="auto"/>
              </w:rPr>
            </w:pPr>
            <w:r>
              <w:rPr>
                <w:rFonts w:ascii="Arial" w:cs="Arial" w:eastAsia="Arial" w:hAnsi="Arial"/>
                <w:sz w:val="18"/>
                <w:szCs w:val="18"/>
                <w:color w:val="auto"/>
              </w:rPr>
              <w:t>—</w:t>
            </w:r>
          </w:p>
        </w:tc>
        <w:tc>
          <w:tcPr>
            <w:tcW w:w="100" w:type="dxa"/>
            <w:vAlign w:val="bottom"/>
            <w:tcBorders>
              <w:bottom w:val="single" w:sz="8" w:color="CCEEFF"/>
            </w:tcBorders>
          </w:tcPr>
          <w:p>
            <w:pPr>
              <w:spacing w:after="0"/>
              <w:rPr>
                <w:sz w:val="22"/>
                <w:szCs w:val="22"/>
                <w:color w:val="auto"/>
              </w:rPr>
            </w:pPr>
          </w:p>
        </w:tc>
        <w:tc>
          <w:tcPr>
            <w:tcW w:w="140" w:type="dxa"/>
            <w:vAlign w:val="bottom"/>
            <w:tcBorders>
              <w:bottom w:val="single" w:sz="8" w:color="auto"/>
            </w:tcBorders>
          </w:tcPr>
          <w:p>
            <w:pPr>
              <w:spacing w:after="0"/>
              <w:rPr>
                <w:sz w:val="22"/>
                <w:szCs w:val="22"/>
                <w:color w:val="auto"/>
              </w:rPr>
            </w:pPr>
          </w:p>
        </w:tc>
        <w:tc>
          <w:tcPr>
            <w:tcW w:w="1240" w:type="dxa"/>
            <w:vAlign w:val="bottom"/>
            <w:tcBorders>
              <w:bottom w:val="single" w:sz="8" w:color="auto"/>
            </w:tcBorders>
          </w:tcPr>
          <w:p>
            <w:pPr>
              <w:jc w:val="right"/>
              <w:ind w:right="13"/>
              <w:spacing w:after="0"/>
              <w:rPr>
                <w:sz w:val="20"/>
                <w:szCs w:val="20"/>
                <w:color w:val="auto"/>
              </w:rPr>
            </w:pPr>
            <w:r>
              <w:rPr>
                <w:rFonts w:ascii="Arial" w:cs="Arial" w:eastAsia="Arial" w:hAnsi="Arial"/>
                <w:sz w:val="18"/>
                <w:szCs w:val="18"/>
                <w:color w:val="auto"/>
              </w:rPr>
              <w:t>—</w:t>
            </w:r>
          </w:p>
        </w:tc>
        <w:tc>
          <w:tcPr>
            <w:tcW w:w="120" w:type="dxa"/>
            <w:vAlign w:val="bottom"/>
            <w:tcBorders>
              <w:bottom w:val="single" w:sz="8" w:color="CCEEFF"/>
            </w:tcBorders>
          </w:tcPr>
          <w:p>
            <w:pPr>
              <w:spacing w:after="0"/>
              <w:rPr>
                <w:sz w:val="22"/>
                <w:szCs w:val="22"/>
                <w:color w:val="auto"/>
              </w:rPr>
            </w:pPr>
          </w:p>
        </w:tc>
        <w:tc>
          <w:tcPr>
            <w:tcW w:w="140" w:type="dxa"/>
            <w:vAlign w:val="bottom"/>
            <w:tcBorders>
              <w:bottom w:val="single" w:sz="8" w:color="auto"/>
            </w:tcBorders>
          </w:tcPr>
          <w:p>
            <w:pPr>
              <w:spacing w:after="0"/>
              <w:rPr>
                <w:sz w:val="22"/>
                <w:szCs w:val="22"/>
                <w:color w:val="auto"/>
              </w:rPr>
            </w:pPr>
          </w:p>
        </w:tc>
        <w:tc>
          <w:tcPr>
            <w:tcW w:w="780" w:type="dxa"/>
            <w:vAlign w:val="bottom"/>
            <w:tcBorders>
              <w:bottom w:val="single" w:sz="8" w:color="auto"/>
            </w:tcBorders>
          </w:tcPr>
          <w:p>
            <w:pPr>
              <w:jc w:val="right"/>
              <w:ind w:right="33"/>
              <w:spacing w:after="0"/>
              <w:rPr>
                <w:sz w:val="20"/>
                <w:szCs w:val="20"/>
                <w:color w:val="auto"/>
              </w:rPr>
            </w:pPr>
            <w:r>
              <w:rPr>
                <w:rFonts w:ascii="Arial" w:cs="Arial" w:eastAsia="Arial" w:hAnsi="Arial"/>
                <w:sz w:val="18"/>
                <w:szCs w:val="18"/>
                <w:color w:val="auto"/>
              </w:rPr>
              <w:t>197</w:t>
            </w:r>
          </w:p>
        </w:tc>
        <w:tc>
          <w:tcPr>
            <w:tcW w:w="100" w:type="dxa"/>
            <w:vAlign w:val="bottom"/>
            <w:tcBorders>
              <w:bottom w:val="single" w:sz="8" w:color="CCEEFF"/>
            </w:tcBorders>
          </w:tcPr>
          <w:p>
            <w:pPr>
              <w:spacing w:after="0"/>
              <w:rPr>
                <w:sz w:val="22"/>
                <w:szCs w:val="22"/>
                <w:color w:val="auto"/>
              </w:rPr>
            </w:pPr>
          </w:p>
        </w:tc>
        <w:tc>
          <w:tcPr>
            <w:tcW w:w="240" w:type="dxa"/>
            <w:vAlign w:val="bottom"/>
            <w:tcBorders>
              <w:bottom w:val="single" w:sz="8" w:color="auto"/>
            </w:tcBorders>
          </w:tcPr>
          <w:p>
            <w:pPr>
              <w:spacing w:after="0"/>
              <w:rPr>
                <w:sz w:val="22"/>
                <w:szCs w:val="22"/>
                <w:color w:val="auto"/>
              </w:rPr>
            </w:pPr>
          </w:p>
        </w:tc>
        <w:tc>
          <w:tcPr>
            <w:tcW w:w="800" w:type="dxa"/>
            <w:vAlign w:val="bottom"/>
            <w:tcBorders>
              <w:bottom w:val="single" w:sz="8" w:color="auto"/>
            </w:tcBorders>
          </w:tcPr>
          <w:p>
            <w:pPr>
              <w:jc w:val="right"/>
              <w:ind w:right="11"/>
              <w:spacing w:after="0"/>
              <w:rPr>
                <w:sz w:val="20"/>
                <w:szCs w:val="20"/>
                <w:color w:val="auto"/>
              </w:rPr>
            </w:pPr>
            <w:r>
              <w:rPr>
                <w:rFonts w:ascii="Arial" w:cs="Arial" w:eastAsia="Arial" w:hAnsi="Arial"/>
                <w:sz w:val="18"/>
                <w:szCs w:val="18"/>
                <w:color w:val="auto"/>
              </w:rPr>
              <w:t>197</w:t>
            </w:r>
          </w:p>
        </w:tc>
      </w:tr>
      <w:tr>
        <w:trPr>
          <w:trHeight w:val="257"/>
        </w:trPr>
        <w:tc>
          <w:tcPr>
            <w:tcW w:w="5700" w:type="dxa"/>
            <w:vAlign w:val="bottom"/>
            <w:shd w:val="clear" w:color="auto" w:fill="CCEEFF"/>
          </w:tcPr>
          <w:p>
            <w:pPr>
              <w:ind w:left="40"/>
              <w:spacing w:after="0"/>
              <w:rPr>
                <w:sz w:val="20"/>
                <w:szCs w:val="20"/>
                <w:color w:val="auto"/>
              </w:rPr>
            </w:pPr>
            <w:r>
              <w:rPr>
                <w:rFonts w:ascii="Arial" w:cs="Arial" w:eastAsia="Arial" w:hAnsi="Arial"/>
                <w:sz w:val="18"/>
                <w:szCs w:val="18"/>
                <w:b w:val="1"/>
                <w:bCs w:val="1"/>
                <w:color w:val="auto"/>
              </w:rPr>
              <w:t>Balance at December 31, 2018</w:t>
            </w:r>
          </w:p>
        </w:tc>
        <w:tc>
          <w:tcPr>
            <w:tcW w:w="140" w:type="dxa"/>
            <w:vAlign w:val="bottom"/>
            <w:shd w:val="clear" w:color="auto" w:fill="CCEEFF"/>
          </w:tcPr>
          <w:p>
            <w:pPr>
              <w:spacing w:after="0"/>
              <w:rPr>
                <w:sz w:val="22"/>
                <w:szCs w:val="22"/>
                <w:color w:val="auto"/>
              </w:rPr>
            </w:pPr>
          </w:p>
        </w:tc>
        <w:tc>
          <w:tcPr>
            <w:tcW w:w="880" w:type="dxa"/>
            <w:vAlign w:val="bottom"/>
            <w:gridSpan w:val="2"/>
            <w:shd w:val="clear" w:color="auto" w:fill="CCEEFF"/>
          </w:tcPr>
          <w:p>
            <w:pPr>
              <w:ind w:left="48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22"/>
                <w:szCs w:val="22"/>
                <w:color w:val="auto"/>
              </w:rPr>
            </w:pPr>
          </w:p>
        </w:tc>
        <w:tc>
          <w:tcPr>
            <w:tcW w:w="900" w:type="dxa"/>
            <w:vAlign w:val="bottom"/>
            <w:shd w:val="clear" w:color="auto" w:fill="CCEEFF"/>
          </w:tcPr>
          <w:p>
            <w:pPr>
              <w:jc w:val="right"/>
              <w:ind w:right="13"/>
              <w:spacing w:after="0"/>
              <w:rPr>
                <w:sz w:val="20"/>
                <w:szCs w:val="20"/>
                <w:color w:val="auto"/>
              </w:rPr>
            </w:pPr>
            <w:r>
              <w:rPr>
                <w:rFonts w:ascii="Arial" w:cs="Arial" w:eastAsia="Arial" w:hAnsi="Arial"/>
                <w:sz w:val="18"/>
                <w:szCs w:val="18"/>
                <w:color w:val="auto"/>
              </w:rPr>
              <w:t>16,802</w:t>
            </w:r>
          </w:p>
        </w:tc>
        <w:tc>
          <w:tcPr>
            <w:tcW w:w="100" w:type="dxa"/>
            <w:vAlign w:val="bottom"/>
            <w:shd w:val="clear" w:color="auto" w:fill="CCEEFF"/>
          </w:tcPr>
          <w:p>
            <w:pPr>
              <w:spacing w:after="0"/>
              <w:rPr>
                <w:sz w:val="22"/>
                <w:szCs w:val="22"/>
                <w:color w:val="auto"/>
              </w:rPr>
            </w:pPr>
          </w:p>
        </w:tc>
        <w:tc>
          <w:tcPr>
            <w:tcW w:w="140" w:type="dxa"/>
            <w:vAlign w:val="bottom"/>
            <w:shd w:val="clear" w:color="auto" w:fill="CCEEFF"/>
          </w:tcPr>
          <w:p>
            <w:pPr>
              <w:spacing w:after="0"/>
              <w:rPr>
                <w:sz w:val="22"/>
                <w:szCs w:val="22"/>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(5,992)</w:t>
            </w:r>
          </w:p>
        </w:tc>
        <w:tc>
          <w:tcPr>
            <w:tcW w:w="120" w:type="dxa"/>
            <w:vAlign w:val="bottom"/>
            <w:shd w:val="clear" w:color="auto" w:fill="CCEEFF"/>
          </w:tcPr>
          <w:p>
            <w:pPr>
              <w:spacing w:after="0"/>
              <w:rPr>
                <w:sz w:val="22"/>
                <w:szCs w:val="22"/>
                <w:color w:val="auto"/>
              </w:rPr>
            </w:pPr>
          </w:p>
        </w:tc>
        <w:tc>
          <w:tcPr>
            <w:tcW w:w="140" w:type="dxa"/>
            <w:vAlign w:val="bottom"/>
            <w:shd w:val="clear" w:color="auto" w:fill="CCEEFF"/>
          </w:tcPr>
          <w:p>
            <w:pPr>
              <w:spacing w:after="0"/>
              <w:rPr>
                <w:sz w:val="22"/>
                <w:szCs w:val="22"/>
                <w:color w:val="auto"/>
              </w:rPr>
            </w:pPr>
          </w:p>
        </w:tc>
        <w:tc>
          <w:tcPr>
            <w:tcW w:w="780" w:type="dxa"/>
            <w:vAlign w:val="bottom"/>
            <w:shd w:val="clear" w:color="auto" w:fill="CCEEFF"/>
          </w:tcPr>
          <w:p>
            <w:pPr>
              <w:jc w:val="right"/>
              <w:ind w:right="33"/>
              <w:spacing w:after="0"/>
              <w:rPr>
                <w:sz w:val="20"/>
                <w:szCs w:val="20"/>
                <w:color w:val="auto"/>
              </w:rPr>
            </w:pPr>
            <w:r>
              <w:rPr>
                <w:rFonts w:ascii="Arial" w:cs="Arial" w:eastAsia="Arial" w:hAnsi="Arial"/>
                <w:sz w:val="18"/>
                <w:szCs w:val="18"/>
                <w:color w:val="auto"/>
              </w:rPr>
              <w:t>960</w:t>
            </w:r>
          </w:p>
        </w:tc>
        <w:tc>
          <w:tcPr>
            <w:tcW w:w="100" w:type="dxa"/>
            <w:vAlign w:val="bottom"/>
            <w:shd w:val="clear" w:color="auto" w:fill="CCEEFF"/>
          </w:tcPr>
          <w:p>
            <w:pPr>
              <w:spacing w:after="0"/>
              <w:rPr>
                <w:sz w:val="22"/>
                <w:szCs w:val="22"/>
                <w:color w:val="auto"/>
              </w:rPr>
            </w:pPr>
          </w:p>
        </w:tc>
        <w:tc>
          <w:tcPr>
            <w:tcW w:w="240" w:type="dxa"/>
            <w:vAlign w:val="bottom"/>
            <w:shd w:val="clear" w:color="auto" w:fill="CCEEFF"/>
          </w:tcPr>
          <w:p>
            <w:pPr>
              <w:spacing w:after="0"/>
              <w:rPr>
                <w:sz w:val="22"/>
                <w:szCs w:val="22"/>
                <w:color w:val="auto"/>
              </w:rPr>
            </w:pPr>
          </w:p>
        </w:tc>
        <w:tc>
          <w:tcPr>
            <w:tcW w:w="80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11,770</w:t>
            </w:r>
          </w:p>
        </w:tc>
      </w:tr>
      <w:tr>
        <w:trPr>
          <w:trHeight w:val="263"/>
        </w:trPr>
        <w:tc>
          <w:tcPr>
            <w:tcW w:w="5700" w:type="dxa"/>
            <w:vAlign w:val="bottom"/>
          </w:tcPr>
          <w:p>
            <w:pPr>
              <w:ind w:left="40"/>
              <w:spacing w:after="0"/>
              <w:rPr>
                <w:sz w:val="20"/>
                <w:szCs w:val="20"/>
                <w:color w:val="auto"/>
              </w:rPr>
            </w:pPr>
            <w:r>
              <w:rPr>
                <w:rFonts w:ascii="Arial" w:cs="Arial" w:eastAsia="Arial" w:hAnsi="Arial"/>
                <w:sz w:val="18"/>
                <w:szCs w:val="18"/>
                <w:color w:val="auto"/>
              </w:rPr>
              <w:t>Net income</w:t>
            </w:r>
          </w:p>
        </w:tc>
        <w:tc>
          <w:tcPr>
            <w:tcW w:w="140" w:type="dxa"/>
            <w:vAlign w:val="bottom"/>
          </w:tcPr>
          <w:p>
            <w:pPr>
              <w:spacing w:after="0"/>
              <w:rPr>
                <w:sz w:val="22"/>
                <w:szCs w:val="22"/>
                <w:color w:val="auto"/>
              </w:rPr>
            </w:pPr>
          </w:p>
        </w:tc>
        <w:tc>
          <w:tcPr>
            <w:tcW w:w="880" w:type="dxa"/>
            <w:vAlign w:val="bottom"/>
            <w:gridSpan w:val="2"/>
          </w:tcPr>
          <w:p>
            <w:pPr>
              <w:ind w:left="48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2"/>
                <w:szCs w:val="22"/>
                <w:color w:val="auto"/>
              </w:rPr>
            </w:pPr>
          </w:p>
        </w:tc>
        <w:tc>
          <w:tcPr>
            <w:tcW w:w="100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2"/>
                <w:szCs w:val="22"/>
                <w:color w:val="auto"/>
              </w:rPr>
            </w:pPr>
          </w:p>
        </w:tc>
        <w:tc>
          <w:tcPr>
            <w:tcW w:w="13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2"/>
                <w:szCs w:val="22"/>
                <w:color w:val="auto"/>
              </w:rPr>
            </w:pPr>
          </w:p>
        </w:tc>
        <w:tc>
          <w:tcPr>
            <w:tcW w:w="780" w:type="dxa"/>
            <w:vAlign w:val="bottom"/>
          </w:tcPr>
          <w:p>
            <w:pPr>
              <w:jc w:val="right"/>
              <w:ind w:right="33"/>
              <w:spacing w:after="0"/>
              <w:rPr>
                <w:sz w:val="20"/>
                <w:szCs w:val="20"/>
                <w:color w:val="auto"/>
              </w:rPr>
            </w:pPr>
            <w:r>
              <w:rPr>
                <w:rFonts w:ascii="Arial" w:cs="Arial" w:eastAsia="Arial" w:hAnsi="Arial"/>
                <w:sz w:val="18"/>
                <w:szCs w:val="18"/>
                <w:color w:val="auto"/>
              </w:rPr>
              <w:t>1,972</w:t>
            </w:r>
          </w:p>
        </w:tc>
        <w:tc>
          <w:tcPr>
            <w:tcW w:w="10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800" w:type="dxa"/>
            <w:vAlign w:val="bottom"/>
          </w:tcPr>
          <w:p>
            <w:pPr>
              <w:jc w:val="right"/>
              <w:ind w:right="11"/>
              <w:spacing w:after="0"/>
              <w:rPr>
                <w:sz w:val="20"/>
                <w:szCs w:val="20"/>
                <w:color w:val="auto"/>
              </w:rPr>
            </w:pPr>
            <w:r>
              <w:rPr>
                <w:rFonts w:ascii="Arial" w:cs="Arial" w:eastAsia="Arial" w:hAnsi="Arial"/>
                <w:sz w:val="18"/>
                <w:szCs w:val="18"/>
                <w:color w:val="auto"/>
              </w:rPr>
              <w:t>1,972</w:t>
            </w:r>
          </w:p>
        </w:tc>
      </w:tr>
      <w:tr>
        <w:trPr>
          <w:trHeight w:val="277"/>
        </w:trPr>
        <w:tc>
          <w:tcPr>
            <w:tcW w:w="5700" w:type="dxa"/>
            <w:vAlign w:val="bottom"/>
            <w:shd w:val="clear" w:color="auto" w:fill="CCEEFF"/>
          </w:tcPr>
          <w:p>
            <w:pPr>
              <w:ind w:left="40"/>
              <w:spacing w:after="0"/>
              <w:rPr>
                <w:sz w:val="20"/>
                <w:szCs w:val="20"/>
                <w:color w:val="auto"/>
              </w:rPr>
            </w:pPr>
            <w:r>
              <w:rPr>
                <w:rFonts w:ascii="Arial" w:cs="Arial" w:eastAsia="Arial" w:hAnsi="Arial"/>
                <w:sz w:val="18"/>
                <w:szCs w:val="18"/>
                <w:color w:val="auto"/>
              </w:rPr>
              <w:t>Other comprehensive loss, net</w:t>
            </w:r>
          </w:p>
        </w:tc>
        <w:tc>
          <w:tcPr>
            <w:tcW w:w="140" w:type="dxa"/>
            <w:vAlign w:val="bottom"/>
            <w:shd w:val="clear" w:color="auto" w:fill="CCEEFF"/>
          </w:tcPr>
          <w:p>
            <w:pPr>
              <w:spacing w:after="0"/>
              <w:rPr>
                <w:sz w:val="24"/>
                <w:szCs w:val="24"/>
                <w:color w:val="auto"/>
              </w:rPr>
            </w:pPr>
          </w:p>
        </w:tc>
        <w:tc>
          <w:tcPr>
            <w:tcW w:w="880" w:type="dxa"/>
            <w:vAlign w:val="bottom"/>
            <w:gridSpan w:val="2"/>
            <w:shd w:val="clear" w:color="auto" w:fill="CCEEFF"/>
          </w:tcPr>
          <w:p>
            <w:pPr>
              <w:ind w:left="48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24"/>
                <w:szCs w:val="24"/>
                <w:color w:val="auto"/>
              </w:rPr>
            </w:pPr>
          </w:p>
        </w:tc>
        <w:tc>
          <w:tcPr>
            <w:tcW w:w="10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24"/>
                <w:szCs w:val="24"/>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(431)</w:t>
            </w:r>
          </w:p>
        </w:tc>
        <w:tc>
          <w:tcPr>
            <w:tcW w:w="12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8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spacing w:after="0"/>
              <w:rPr>
                <w:sz w:val="24"/>
                <w:szCs w:val="24"/>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(431)</w:t>
            </w:r>
          </w:p>
        </w:tc>
      </w:tr>
      <w:tr>
        <w:trPr>
          <w:trHeight w:val="263"/>
        </w:trPr>
        <w:tc>
          <w:tcPr>
            <w:tcW w:w="5700" w:type="dxa"/>
            <w:vAlign w:val="bottom"/>
          </w:tcPr>
          <w:p>
            <w:pPr>
              <w:ind w:left="40"/>
              <w:spacing w:after="0"/>
              <w:rPr>
                <w:sz w:val="20"/>
                <w:szCs w:val="20"/>
                <w:color w:val="auto"/>
              </w:rPr>
            </w:pPr>
            <w:r>
              <w:rPr>
                <w:rFonts w:ascii="Arial" w:cs="Arial" w:eastAsia="Arial" w:hAnsi="Arial"/>
                <w:sz w:val="18"/>
                <w:szCs w:val="18"/>
                <w:color w:val="auto"/>
              </w:rPr>
              <w:t>Share-based compensation expense</w:t>
            </w:r>
          </w:p>
        </w:tc>
        <w:tc>
          <w:tcPr>
            <w:tcW w:w="140" w:type="dxa"/>
            <w:vAlign w:val="bottom"/>
          </w:tcPr>
          <w:p>
            <w:pPr>
              <w:spacing w:after="0"/>
              <w:rPr>
                <w:sz w:val="22"/>
                <w:szCs w:val="22"/>
                <w:color w:val="auto"/>
              </w:rPr>
            </w:pPr>
          </w:p>
        </w:tc>
        <w:tc>
          <w:tcPr>
            <w:tcW w:w="880" w:type="dxa"/>
            <w:vAlign w:val="bottom"/>
            <w:gridSpan w:val="2"/>
          </w:tcPr>
          <w:p>
            <w:pPr>
              <w:ind w:left="48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2"/>
                <w:szCs w:val="22"/>
                <w:color w:val="auto"/>
              </w:rPr>
            </w:pPr>
          </w:p>
        </w:tc>
        <w:tc>
          <w:tcPr>
            <w:tcW w:w="900" w:type="dxa"/>
            <w:vAlign w:val="bottom"/>
          </w:tcPr>
          <w:p>
            <w:pPr>
              <w:jc w:val="right"/>
              <w:ind w:right="13"/>
              <w:spacing w:after="0"/>
              <w:rPr>
                <w:sz w:val="20"/>
                <w:szCs w:val="20"/>
                <w:color w:val="auto"/>
              </w:rPr>
            </w:pPr>
            <w:r>
              <w:rPr>
                <w:rFonts w:ascii="Arial" w:cs="Arial" w:eastAsia="Arial" w:hAnsi="Arial"/>
                <w:sz w:val="18"/>
                <w:szCs w:val="18"/>
                <w:color w:val="auto"/>
              </w:rPr>
              <w:t>94</w:t>
            </w:r>
          </w:p>
        </w:tc>
        <w:tc>
          <w:tcPr>
            <w:tcW w:w="10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3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2"/>
                <w:szCs w:val="22"/>
                <w:color w:val="auto"/>
              </w:rPr>
            </w:pPr>
          </w:p>
        </w:tc>
        <w:tc>
          <w:tcPr>
            <w:tcW w:w="8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22"/>
                <w:szCs w:val="22"/>
                <w:color w:val="auto"/>
              </w:rPr>
            </w:pPr>
          </w:p>
        </w:tc>
        <w:tc>
          <w:tcPr>
            <w:tcW w:w="800" w:type="dxa"/>
            <w:vAlign w:val="bottom"/>
          </w:tcPr>
          <w:p>
            <w:pPr>
              <w:jc w:val="right"/>
              <w:ind w:right="11"/>
              <w:spacing w:after="0"/>
              <w:rPr>
                <w:sz w:val="20"/>
                <w:szCs w:val="20"/>
                <w:color w:val="auto"/>
              </w:rPr>
            </w:pPr>
            <w:r>
              <w:rPr>
                <w:rFonts w:ascii="Arial" w:cs="Arial" w:eastAsia="Arial" w:hAnsi="Arial"/>
                <w:sz w:val="18"/>
                <w:szCs w:val="18"/>
                <w:color w:val="auto"/>
              </w:rPr>
              <w:t>94</w:t>
            </w:r>
          </w:p>
        </w:tc>
      </w:tr>
      <w:tr>
        <w:trPr>
          <w:trHeight w:val="277"/>
        </w:trPr>
        <w:tc>
          <w:tcPr>
            <w:tcW w:w="5700" w:type="dxa"/>
            <w:vAlign w:val="bottom"/>
            <w:shd w:val="clear" w:color="auto" w:fill="CCEEFF"/>
          </w:tcPr>
          <w:p>
            <w:pPr>
              <w:ind w:left="40"/>
              <w:spacing w:after="0"/>
              <w:rPr>
                <w:sz w:val="20"/>
                <w:szCs w:val="20"/>
                <w:color w:val="auto"/>
              </w:rPr>
            </w:pPr>
            <w:r>
              <w:rPr>
                <w:rFonts w:ascii="Arial" w:cs="Arial" w:eastAsia="Arial" w:hAnsi="Arial"/>
                <w:sz w:val="18"/>
                <w:szCs w:val="18"/>
                <w:color w:val="auto"/>
              </w:rPr>
              <w:t>Intercompany equity transfer</w:t>
            </w:r>
          </w:p>
        </w:tc>
        <w:tc>
          <w:tcPr>
            <w:tcW w:w="140" w:type="dxa"/>
            <w:vAlign w:val="bottom"/>
            <w:tcBorders>
              <w:bottom w:val="single" w:sz="8" w:color="auto"/>
            </w:tcBorders>
            <w:shd w:val="clear" w:color="auto" w:fill="CCEEFF"/>
          </w:tcPr>
          <w:p>
            <w:pPr>
              <w:spacing w:after="0"/>
              <w:rPr>
                <w:sz w:val="24"/>
                <w:szCs w:val="24"/>
                <w:color w:val="auto"/>
              </w:rPr>
            </w:pPr>
          </w:p>
        </w:tc>
        <w:tc>
          <w:tcPr>
            <w:tcW w:w="780" w:type="dxa"/>
            <w:vAlign w:val="bottom"/>
            <w:tcBorders>
              <w:bottom w:val="single" w:sz="8" w:color="auto"/>
            </w:tcBorders>
            <w:shd w:val="clear" w:color="auto" w:fill="CCEEFF"/>
          </w:tcPr>
          <w:p>
            <w:pPr>
              <w:ind w:left="48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24"/>
                <w:szCs w:val="24"/>
                <w:color w:val="auto"/>
              </w:rPr>
            </w:pPr>
          </w:p>
        </w:tc>
        <w:tc>
          <w:tcPr>
            <w:tcW w:w="140" w:type="dxa"/>
            <w:vAlign w:val="bottom"/>
            <w:tcBorders>
              <w:bottom w:val="single" w:sz="8" w:color="auto"/>
            </w:tcBorders>
            <w:shd w:val="clear" w:color="auto" w:fill="CCEEFF"/>
          </w:tcPr>
          <w:p>
            <w:pPr>
              <w:spacing w:after="0"/>
              <w:rPr>
                <w:sz w:val="24"/>
                <w:szCs w:val="24"/>
                <w:color w:val="auto"/>
              </w:rPr>
            </w:pPr>
          </w:p>
        </w:tc>
        <w:tc>
          <w:tcPr>
            <w:tcW w:w="900" w:type="dxa"/>
            <w:vAlign w:val="bottom"/>
            <w:tcBorders>
              <w:bottom w:val="single" w:sz="8" w:color="auto"/>
            </w:tcBorders>
            <w:shd w:val="clear" w:color="auto" w:fill="CCEEFF"/>
          </w:tcPr>
          <w:p>
            <w:pPr>
              <w:jc w:val="right"/>
              <w:ind w:right="13"/>
              <w:spacing w:after="0"/>
              <w:rPr>
                <w:sz w:val="20"/>
                <w:szCs w:val="20"/>
                <w:color w:val="auto"/>
              </w:rPr>
            </w:pPr>
            <w:r>
              <w:rPr>
                <w:rFonts w:ascii="Arial" w:cs="Arial" w:eastAsia="Arial" w:hAnsi="Arial"/>
                <w:sz w:val="18"/>
                <w:szCs w:val="18"/>
                <w:color w:val="auto"/>
              </w:rPr>
              <w:t>7</w:t>
            </w:r>
          </w:p>
        </w:tc>
        <w:tc>
          <w:tcPr>
            <w:tcW w:w="100" w:type="dxa"/>
            <w:vAlign w:val="bottom"/>
            <w:shd w:val="clear" w:color="auto" w:fill="CCEEFF"/>
          </w:tcPr>
          <w:p>
            <w:pPr>
              <w:spacing w:after="0"/>
              <w:rPr>
                <w:sz w:val="24"/>
                <w:szCs w:val="24"/>
                <w:color w:val="auto"/>
              </w:rPr>
            </w:pPr>
          </w:p>
        </w:tc>
        <w:tc>
          <w:tcPr>
            <w:tcW w:w="140" w:type="dxa"/>
            <w:vAlign w:val="bottom"/>
            <w:tcBorders>
              <w:bottom w:val="single" w:sz="8" w:color="auto"/>
            </w:tcBorders>
            <w:shd w:val="clear" w:color="auto" w:fill="CCEEFF"/>
          </w:tcPr>
          <w:p>
            <w:pPr>
              <w:spacing w:after="0"/>
              <w:rPr>
                <w:sz w:val="24"/>
                <w:szCs w:val="24"/>
                <w:color w:val="auto"/>
              </w:rPr>
            </w:pPr>
          </w:p>
        </w:tc>
        <w:tc>
          <w:tcPr>
            <w:tcW w:w="1240" w:type="dxa"/>
            <w:vAlign w:val="bottom"/>
            <w:tcBorders>
              <w:bottom w:val="single" w:sz="8" w:color="auto"/>
            </w:tcBorders>
            <w:shd w:val="clear" w:color="auto" w:fill="CCEEFF"/>
          </w:tcPr>
          <w:p>
            <w:pPr>
              <w:jc w:val="right"/>
              <w:ind w:right="13"/>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24"/>
                <w:szCs w:val="24"/>
                <w:color w:val="auto"/>
              </w:rPr>
            </w:pPr>
          </w:p>
        </w:tc>
        <w:tc>
          <w:tcPr>
            <w:tcW w:w="140" w:type="dxa"/>
            <w:vAlign w:val="bottom"/>
            <w:tcBorders>
              <w:bottom w:val="single" w:sz="8" w:color="auto"/>
            </w:tcBorders>
            <w:shd w:val="clear" w:color="auto" w:fill="CCEEFF"/>
          </w:tcPr>
          <w:p>
            <w:pPr>
              <w:spacing w:after="0"/>
              <w:rPr>
                <w:sz w:val="24"/>
                <w:szCs w:val="24"/>
                <w:color w:val="auto"/>
              </w:rPr>
            </w:pPr>
          </w:p>
        </w:tc>
        <w:tc>
          <w:tcPr>
            <w:tcW w:w="780" w:type="dxa"/>
            <w:vAlign w:val="bottom"/>
            <w:tcBorders>
              <w:bottom w:val="single" w:sz="8" w:color="auto"/>
            </w:tcBorders>
            <w:shd w:val="clear" w:color="auto" w:fill="CCEEFF"/>
          </w:tcPr>
          <w:p>
            <w:pPr>
              <w:jc w:val="right"/>
              <w:ind w:right="33"/>
              <w:spacing w:after="0"/>
              <w:rPr>
                <w:sz w:val="20"/>
                <w:szCs w:val="20"/>
                <w:color w:val="auto"/>
              </w:rPr>
            </w:pPr>
            <w:r>
              <w:rPr>
                <w:rFonts w:ascii="Arial" w:cs="Arial" w:eastAsia="Arial" w:hAnsi="Arial"/>
                <w:sz w:val="18"/>
                <w:szCs w:val="18"/>
                <w:color w:val="auto"/>
              </w:rPr>
              <w:t>10</w:t>
            </w:r>
          </w:p>
        </w:tc>
        <w:tc>
          <w:tcPr>
            <w:tcW w:w="100" w:type="dxa"/>
            <w:vAlign w:val="bottom"/>
            <w:shd w:val="clear" w:color="auto" w:fill="CCEEFF"/>
          </w:tcPr>
          <w:p>
            <w:pPr>
              <w:spacing w:after="0"/>
              <w:rPr>
                <w:sz w:val="24"/>
                <w:szCs w:val="24"/>
                <w:color w:val="auto"/>
              </w:rPr>
            </w:pPr>
          </w:p>
        </w:tc>
        <w:tc>
          <w:tcPr>
            <w:tcW w:w="240" w:type="dxa"/>
            <w:vAlign w:val="bottom"/>
            <w:tcBorders>
              <w:bottom w:val="single" w:sz="8" w:color="auto"/>
            </w:tcBorders>
            <w:shd w:val="clear" w:color="auto" w:fill="CCEEFF"/>
          </w:tcPr>
          <w:p>
            <w:pPr>
              <w:spacing w:after="0"/>
              <w:rPr>
                <w:sz w:val="24"/>
                <w:szCs w:val="24"/>
                <w:color w:val="auto"/>
              </w:rPr>
            </w:pPr>
          </w:p>
        </w:tc>
        <w:tc>
          <w:tcPr>
            <w:tcW w:w="800" w:type="dxa"/>
            <w:vAlign w:val="bottom"/>
            <w:tcBorders>
              <w:bottom w:val="single" w:sz="8" w:color="auto"/>
            </w:tcBorders>
            <w:shd w:val="clear" w:color="auto" w:fill="CCEEFF"/>
          </w:tcPr>
          <w:p>
            <w:pPr>
              <w:jc w:val="right"/>
              <w:ind w:right="11"/>
              <w:spacing w:after="0"/>
              <w:rPr>
                <w:sz w:val="20"/>
                <w:szCs w:val="20"/>
                <w:color w:val="auto"/>
              </w:rPr>
            </w:pPr>
            <w:r>
              <w:rPr>
                <w:rFonts w:ascii="Arial" w:cs="Arial" w:eastAsia="Arial" w:hAnsi="Arial"/>
                <w:sz w:val="18"/>
                <w:szCs w:val="18"/>
                <w:color w:val="auto"/>
              </w:rPr>
              <w:t>17</w:t>
            </w:r>
          </w:p>
        </w:tc>
      </w:tr>
      <w:tr>
        <w:trPr>
          <w:trHeight w:val="244"/>
        </w:trPr>
        <w:tc>
          <w:tcPr>
            <w:tcW w:w="5700" w:type="dxa"/>
            <w:vAlign w:val="bottom"/>
          </w:tcPr>
          <w:p>
            <w:pPr>
              <w:ind w:left="40"/>
              <w:spacing w:after="0"/>
              <w:rPr>
                <w:sz w:val="20"/>
                <w:szCs w:val="20"/>
                <w:color w:val="auto"/>
              </w:rPr>
            </w:pPr>
            <w:r>
              <w:rPr>
                <w:rFonts w:ascii="Arial" w:cs="Arial" w:eastAsia="Arial" w:hAnsi="Arial"/>
                <w:sz w:val="18"/>
                <w:szCs w:val="18"/>
                <w:b w:val="1"/>
                <w:bCs w:val="1"/>
                <w:color w:val="auto"/>
              </w:rPr>
              <w:t>Balance at December 31, 2019</w:t>
            </w:r>
          </w:p>
        </w:tc>
        <w:tc>
          <w:tcPr>
            <w:tcW w:w="14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880" w:type="dxa"/>
            <w:vAlign w:val="bottom"/>
            <w:gridSpan w:val="2"/>
          </w:tcPr>
          <w:p>
            <w:pPr>
              <w:ind w:left="480"/>
              <w:spacing w:after="0"/>
              <w:rPr>
                <w:sz w:val="20"/>
                <w:szCs w:val="20"/>
                <w:color w:val="auto"/>
              </w:rPr>
            </w:pPr>
            <w:r>
              <w:rPr>
                <w:rFonts w:ascii="Arial" w:cs="Arial" w:eastAsia="Arial" w:hAnsi="Arial"/>
                <w:sz w:val="18"/>
                <w:szCs w:val="18"/>
                <w:color w:val="auto"/>
              </w:rPr>
              <w:t>—</w:t>
            </w:r>
          </w:p>
        </w:tc>
        <w:tc>
          <w:tcPr>
            <w:tcW w:w="14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900" w:type="dxa"/>
            <w:vAlign w:val="bottom"/>
          </w:tcPr>
          <w:p>
            <w:pPr>
              <w:jc w:val="right"/>
              <w:ind w:right="13"/>
              <w:spacing w:after="0"/>
              <w:rPr>
                <w:sz w:val="20"/>
                <w:szCs w:val="20"/>
                <w:color w:val="auto"/>
              </w:rPr>
            </w:pPr>
            <w:r>
              <w:rPr>
                <w:rFonts w:ascii="Arial" w:cs="Arial" w:eastAsia="Arial" w:hAnsi="Arial"/>
                <w:sz w:val="18"/>
                <w:szCs w:val="18"/>
                <w:color w:val="auto"/>
              </w:rPr>
              <w:t>16,903</w:t>
            </w:r>
          </w:p>
        </w:tc>
        <w:tc>
          <w:tcPr>
            <w:tcW w:w="100" w:type="dxa"/>
            <w:vAlign w:val="bottom"/>
          </w:tcPr>
          <w:p>
            <w:pPr>
              <w:spacing w:after="0"/>
              <w:rPr>
                <w:sz w:val="21"/>
                <w:szCs w:val="21"/>
                <w:color w:val="auto"/>
              </w:rPr>
            </w:pPr>
          </w:p>
        </w:tc>
        <w:tc>
          <w:tcPr>
            <w:tcW w:w="140" w:type="dxa"/>
            <w:vAlign w:val="bottom"/>
          </w:tcPr>
          <w:p>
            <w:pPr>
              <w:jc w:val="right"/>
              <w:spacing w:after="0"/>
              <w:rPr>
                <w:sz w:val="20"/>
                <w:szCs w:val="20"/>
                <w:color w:val="auto"/>
              </w:rPr>
            </w:pPr>
            <w:r>
              <w:rPr>
                <w:rFonts w:ascii="Arial" w:cs="Arial" w:eastAsia="Arial" w:hAnsi="Arial"/>
                <w:sz w:val="18"/>
                <w:szCs w:val="18"/>
                <w:color w:val="auto"/>
              </w:rPr>
              <w:t>$</w:t>
            </w:r>
          </w:p>
        </w:tc>
        <w:tc>
          <w:tcPr>
            <w:tcW w:w="1240" w:type="dxa"/>
            <w:vAlign w:val="bottom"/>
          </w:tcPr>
          <w:p>
            <w:pPr>
              <w:jc w:val="right"/>
              <w:spacing w:after="0"/>
              <w:rPr>
                <w:sz w:val="20"/>
                <w:szCs w:val="20"/>
                <w:color w:val="auto"/>
              </w:rPr>
            </w:pPr>
            <w:r>
              <w:rPr>
                <w:rFonts w:ascii="Arial" w:cs="Arial" w:eastAsia="Arial" w:hAnsi="Arial"/>
                <w:sz w:val="18"/>
                <w:szCs w:val="18"/>
                <w:color w:val="auto"/>
              </w:rPr>
              <w:t>(6,423)</w:t>
            </w:r>
          </w:p>
        </w:tc>
        <w:tc>
          <w:tcPr>
            <w:tcW w:w="120" w:type="dxa"/>
            <w:vAlign w:val="bottom"/>
          </w:tcPr>
          <w:p>
            <w:pPr>
              <w:spacing w:after="0"/>
              <w:rPr>
                <w:sz w:val="21"/>
                <w:szCs w:val="21"/>
                <w:color w:val="auto"/>
              </w:rPr>
            </w:pPr>
          </w:p>
        </w:tc>
        <w:tc>
          <w:tcPr>
            <w:tcW w:w="14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780" w:type="dxa"/>
            <w:vAlign w:val="bottom"/>
          </w:tcPr>
          <w:p>
            <w:pPr>
              <w:jc w:val="right"/>
              <w:ind w:right="33"/>
              <w:spacing w:after="0"/>
              <w:rPr>
                <w:sz w:val="20"/>
                <w:szCs w:val="20"/>
                <w:color w:val="auto"/>
              </w:rPr>
            </w:pPr>
            <w:r>
              <w:rPr>
                <w:rFonts w:ascii="Arial" w:cs="Arial" w:eastAsia="Arial" w:hAnsi="Arial"/>
                <w:sz w:val="18"/>
                <w:szCs w:val="18"/>
                <w:color w:val="auto"/>
              </w:rPr>
              <w:t>2,942</w:t>
            </w:r>
          </w:p>
        </w:tc>
        <w:tc>
          <w:tcPr>
            <w:tcW w:w="100" w:type="dxa"/>
            <w:vAlign w:val="bottom"/>
          </w:tcPr>
          <w:p>
            <w:pPr>
              <w:spacing w:after="0"/>
              <w:rPr>
                <w:sz w:val="21"/>
                <w:szCs w:val="21"/>
                <w:color w:val="auto"/>
              </w:rPr>
            </w:pPr>
          </w:p>
        </w:tc>
        <w:tc>
          <w:tcPr>
            <w:tcW w:w="240" w:type="dxa"/>
            <w:vAlign w:val="bottom"/>
          </w:tcPr>
          <w:p>
            <w:pPr>
              <w:jc w:val="right"/>
              <w:ind w:right="30"/>
              <w:spacing w:after="0"/>
              <w:rPr>
                <w:sz w:val="20"/>
                <w:szCs w:val="20"/>
                <w:color w:val="auto"/>
              </w:rPr>
            </w:pPr>
            <w:r>
              <w:rPr>
                <w:rFonts w:ascii="Arial" w:cs="Arial" w:eastAsia="Arial" w:hAnsi="Arial"/>
                <w:sz w:val="18"/>
                <w:szCs w:val="18"/>
                <w:color w:val="auto"/>
                <w:w w:val="99"/>
              </w:rPr>
              <w:t>$</w:t>
            </w:r>
          </w:p>
        </w:tc>
        <w:tc>
          <w:tcPr>
            <w:tcW w:w="800" w:type="dxa"/>
            <w:vAlign w:val="bottom"/>
          </w:tcPr>
          <w:p>
            <w:pPr>
              <w:jc w:val="right"/>
              <w:ind w:right="11"/>
              <w:spacing w:after="0"/>
              <w:rPr>
                <w:sz w:val="20"/>
                <w:szCs w:val="20"/>
                <w:color w:val="auto"/>
              </w:rPr>
            </w:pPr>
            <w:r>
              <w:rPr>
                <w:rFonts w:ascii="Arial" w:cs="Arial" w:eastAsia="Arial" w:hAnsi="Arial"/>
                <w:sz w:val="18"/>
                <w:szCs w:val="18"/>
                <w:color w:val="auto"/>
              </w:rPr>
              <w:t>13,422</w:t>
            </w:r>
          </w:p>
        </w:tc>
      </w:tr>
      <w:tr>
        <w:trPr>
          <w:trHeight w:val="20"/>
        </w:trPr>
        <w:tc>
          <w:tcPr>
            <w:tcW w:w="570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2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r>
    </w:tbl>
    <w:p>
      <w:pPr>
        <w:spacing w:after="0" w:line="26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accompanying notes to consolidated financial statements.</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121</w:t>
      </w:r>
    </w:p>
    <w:p>
      <w:pPr>
        <w:sectPr>
          <w:pgSz w:w="11900" w:h="16838" w:orient="portrait"/>
          <w:cols w:equalWidth="0" w:num="1">
            <w:col w:w="11420"/>
          </w:cols>
          <w:pgMar w:left="240" w:top="549" w:right="239" w:bottom="1440" w:gutter="0" w:footer="0" w:header="0"/>
        </w:sectPr>
      </w:pPr>
    </w:p>
    <w:bookmarkStart w:id="121" w:name="page122"/>
    <w:bookmarkEnd w:id="121"/>
    <w:p>
      <w:pPr>
        <w:jc w:val="center"/>
        <w:spacing w:after="0"/>
        <w:rPr>
          <w:sz w:val="20"/>
          <w:szCs w:val="20"/>
          <w:color w:val="auto"/>
        </w:rPr>
      </w:pPr>
      <w:r>
        <w:rPr>
          <w:rFonts w:ascii="Arial" w:cs="Arial" w:eastAsia="Arial" w:hAnsi="Arial"/>
          <w:sz w:val="18"/>
          <w:szCs w:val="18"/>
          <w:b w:val="1"/>
          <w:bCs w:val="1"/>
          <w:color w:val="auto"/>
        </w:rPr>
        <w:t>NOTES TO CONSOLIDATED FINANCIAL STATEMENTS OF AMERICAN AIRLINES, INC.</w:t>
      </w:r>
    </w:p>
    <w:p>
      <w:pPr>
        <w:spacing w:after="0" w:line="252" w:lineRule="exact"/>
        <w:rPr>
          <w:sz w:val="20"/>
          <w:szCs w:val="20"/>
          <w:color w:val="auto"/>
        </w:rPr>
      </w:pPr>
    </w:p>
    <w:p>
      <w:pPr>
        <w:ind w:left="260" w:hanging="252"/>
        <w:spacing w:after="0"/>
        <w:tabs>
          <w:tab w:leader="none" w:pos="260" w:val="left"/>
        </w:tabs>
        <w:numPr>
          <w:ilvl w:val="0"/>
          <w:numId w:val="52"/>
        </w:numPr>
        <w:rPr>
          <w:rFonts w:ascii="Arial" w:cs="Arial" w:eastAsia="Arial" w:hAnsi="Arial"/>
          <w:sz w:val="18"/>
          <w:szCs w:val="18"/>
          <w:b w:val="1"/>
          <w:bCs w:val="1"/>
          <w:color w:val="auto"/>
        </w:rPr>
      </w:pPr>
      <w:r>
        <w:rPr>
          <w:rFonts w:ascii="Arial" w:cs="Arial" w:eastAsia="Arial" w:hAnsi="Arial"/>
          <w:sz w:val="18"/>
          <w:szCs w:val="18"/>
          <w:b w:val="1"/>
          <w:bCs w:val="1"/>
          <w:color w:val="auto"/>
        </w:rPr>
        <w:t>Basis of Presentation and Summary of Significant Accounting Policies</w:t>
      </w:r>
    </w:p>
    <w:p>
      <w:pPr>
        <w:spacing w:after="0" w:line="90" w:lineRule="exact"/>
        <w:rPr>
          <w:rFonts w:ascii="Arial" w:cs="Arial" w:eastAsia="Arial" w:hAnsi="Arial"/>
          <w:sz w:val="18"/>
          <w:szCs w:val="18"/>
          <w:b w:val="1"/>
          <w:bCs w:val="1"/>
          <w:color w:val="auto"/>
        </w:rPr>
      </w:pPr>
    </w:p>
    <w:p>
      <w:pPr>
        <w:ind w:left="500" w:hanging="276"/>
        <w:spacing w:after="0"/>
        <w:tabs>
          <w:tab w:leader="none" w:pos="500" w:val="left"/>
        </w:tabs>
        <w:numPr>
          <w:ilvl w:val="1"/>
          <w:numId w:val="52"/>
        </w:numPr>
        <w:rPr>
          <w:rFonts w:ascii="Arial" w:cs="Arial" w:eastAsia="Arial" w:hAnsi="Arial"/>
          <w:sz w:val="18"/>
          <w:szCs w:val="18"/>
          <w:b w:val="1"/>
          <w:bCs w:val="1"/>
          <w:i w:val="1"/>
          <w:iCs w:val="1"/>
          <w:color w:val="auto"/>
        </w:rPr>
      </w:pPr>
      <w:r>
        <w:rPr>
          <w:rFonts w:ascii="Arial" w:cs="Arial" w:eastAsia="Arial" w:hAnsi="Arial"/>
          <w:sz w:val="18"/>
          <w:szCs w:val="18"/>
          <w:b w:val="1"/>
          <w:bCs w:val="1"/>
          <w:i w:val="1"/>
          <w:iCs w:val="1"/>
          <w:color w:val="auto"/>
        </w:rPr>
        <w:t>Basis of Presentation</w:t>
      </w:r>
    </w:p>
    <w:p>
      <w:pPr>
        <w:spacing w:after="0" w:line="112" w:lineRule="exact"/>
        <w:rPr>
          <w:sz w:val="20"/>
          <w:szCs w:val="20"/>
          <w:color w:val="auto"/>
        </w:rPr>
      </w:pPr>
    </w:p>
    <w:p>
      <w:pPr>
        <w:jc w:val="both"/>
        <w:ind w:firstLine="216"/>
        <w:spacing w:after="0" w:line="252" w:lineRule="auto"/>
        <w:rPr>
          <w:sz w:val="20"/>
          <w:szCs w:val="20"/>
          <w:color w:val="auto"/>
        </w:rPr>
      </w:pPr>
      <w:r>
        <w:rPr>
          <w:rFonts w:ascii="Arial" w:cs="Arial" w:eastAsia="Arial" w:hAnsi="Arial"/>
          <w:sz w:val="18"/>
          <w:szCs w:val="18"/>
          <w:color w:val="auto"/>
        </w:rPr>
        <w:t>American Airlines, Inc. (American) is a Delaware corporation whose primary business activity is the operation of a major network air carrier. American is the principal wholly-owned subsidiary of American Airlines Group Inc. (AAG), which owns all of American’s outstanding common stock, par value $1.00 per share. On December 9, 2013, a subsidiary of AMR Corporation (AMR) merged with and into US Airways Group, Inc. (US Airways Group), a Delaware corporation, which survived as a wholly-owned subsidiary of AAG, and AAG emerged from Chapter 11 (the Merger). Upon closing of the Merger and emergence from Chapter 11, AMR changed its name to American Airlines Group Inc. All significant intercompany transactions have been eliminated.</w:t>
      </w:r>
    </w:p>
    <w:p>
      <w:pPr>
        <w:spacing w:after="0" w:line="155" w:lineRule="exact"/>
        <w:rPr>
          <w:sz w:val="20"/>
          <w:szCs w:val="20"/>
          <w:color w:val="auto"/>
        </w:rPr>
      </w:pPr>
    </w:p>
    <w:p>
      <w:pPr>
        <w:jc w:val="both"/>
        <w:ind w:firstLine="216"/>
        <w:spacing w:after="0" w:line="253" w:lineRule="auto"/>
        <w:rPr>
          <w:sz w:val="20"/>
          <w:szCs w:val="20"/>
          <w:color w:val="auto"/>
        </w:rPr>
      </w:pPr>
      <w:r>
        <w:rPr>
          <w:rFonts w:ascii="Arial" w:cs="Arial" w:eastAsia="Arial" w:hAnsi="Arial"/>
          <w:sz w:val="18"/>
          <w:szCs w:val="18"/>
          <w:color w:val="auto"/>
        </w:rPr>
        <w:t>The preparation of financial statements in accordance with accounting principles generally accepted in the United States (GAAP) requires management to make certain estimates and assumptions that affect the reported amounts of assets and liabilities, revenues and expenses, and the disclosure of contingent assets and liabilities at the date of the financial statements. Actual results could differ from those estimates. The most significant areas of judgment relate to passenger revenue recognition, impairment of goodwill, impairment of long-lived and intangible assets, the loyalty program, as well as pension and retiree medical and other postretirement benefits.</w:t>
      </w:r>
    </w:p>
    <w:p>
      <w:pPr>
        <w:spacing w:after="0" w:line="211" w:lineRule="exact"/>
        <w:rPr>
          <w:sz w:val="20"/>
          <w:szCs w:val="20"/>
          <w:color w:val="auto"/>
        </w:rPr>
      </w:pPr>
    </w:p>
    <w:p>
      <w:pPr>
        <w:ind w:left="220"/>
        <w:spacing w:after="0"/>
        <w:rPr>
          <w:sz w:val="20"/>
          <w:szCs w:val="20"/>
          <w:color w:val="auto"/>
        </w:rPr>
      </w:pPr>
      <w:r>
        <w:rPr>
          <w:rFonts w:ascii="Arial" w:cs="Arial" w:eastAsia="Arial" w:hAnsi="Arial"/>
          <w:sz w:val="18"/>
          <w:szCs w:val="18"/>
          <w:b w:val="1"/>
          <w:bCs w:val="1"/>
          <w:i w:val="1"/>
          <w:iCs w:val="1"/>
          <w:color w:val="auto"/>
        </w:rPr>
        <w:t>(b) Recent Accounting Pronouncements</w:t>
      </w:r>
    </w:p>
    <w:p>
      <w:pPr>
        <w:spacing w:after="0" w:line="90" w:lineRule="exact"/>
        <w:rPr>
          <w:sz w:val="20"/>
          <w:szCs w:val="20"/>
          <w:color w:val="auto"/>
        </w:rPr>
      </w:pPr>
    </w:p>
    <w:p>
      <w:pPr>
        <w:ind w:left="220"/>
        <w:spacing w:after="0"/>
        <w:rPr>
          <w:sz w:val="20"/>
          <w:szCs w:val="20"/>
          <w:color w:val="auto"/>
        </w:rPr>
      </w:pPr>
      <w:r>
        <w:rPr>
          <w:rFonts w:ascii="Arial" w:cs="Arial" w:eastAsia="Arial" w:hAnsi="Arial"/>
          <w:sz w:val="18"/>
          <w:szCs w:val="18"/>
          <w:b w:val="1"/>
          <w:bCs w:val="1"/>
          <w:i w:val="1"/>
          <w:iCs w:val="1"/>
          <w:color w:val="auto"/>
        </w:rPr>
        <w:t>ASU 2016-02: Leases (Topic 842) (the New Lease Standard)</w:t>
      </w:r>
    </w:p>
    <w:p>
      <w:pPr>
        <w:spacing w:after="0" w:line="112" w:lineRule="exact"/>
        <w:rPr>
          <w:sz w:val="20"/>
          <w:szCs w:val="20"/>
          <w:color w:val="auto"/>
        </w:rPr>
      </w:pPr>
    </w:p>
    <w:p>
      <w:pPr>
        <w:jc w:val="both"/>
        <w:ind w:firstLine="216"/>
        <w:spacing w:after="0" w:line="256" w:lineRule="auto"/>
        <w:rPr>
          <w:sz w:val="20"/>
          <w:szCs w:val="20"/>
          <w:color w:val="auto"/>
        </w:rPr>
      </w:pPr>
      <w:r>
        <w:rPr>
          <w:rFonts w:ascii="Arial" w:cs="Arial" w:eastAsia="Arial" w:hAnsi="Arial"/>
          <w:sz w:val="18"/>
          <w:szCs w:val="18"/>
          <w:color w:val="auto"/>
        </w:rPr>
        <w:t>The New Lease Standard requires lessees to recognize a lease liability and a right-of-use (ROU) asset on the balance sheet for operating leases. Accounting for finance leases is substantially unchanged. The New Lease Standard is effective for fiscal years beginning after December 15, 2018, including interim periods within those fiscal years. Early adoption is permitted.</w:t>
      </w:r>
    </w:p>
    <w:p>
      <w:pPr>
        <w:spacing w:after="0" w:line="148" w:lineRule="exact"/>
        <w:rPr>
          <w:sz w:val="20"/>
          <w:szCs w:val="20"/>
          <w:color w:val="auto"/>
        </w:rPr>
      </w:pPr>
    </w:p>
    <w:p>
      <w:pPr>
        <w:jc w:val="both"/>
        <w:ind w:firstLine="216"/>
        <w:spacing w:after="0" w:line="254" w:lineRule="auto"/>
        <w:rPr>
          <w:sz w:val="20"/>
          <w:szCs w:val="20"/>
          <w:color w:val="auto"/>
        </w:rPr>
      </w:pPr>
      <w:r>
        <w:rPr>
          <w:rFonts w:ascii="Arial" w:cs="Arial" w:eastAsia="Arial" w:hAnsi="Arial"/>
          <w:sz w:val="18"/>
          <w:szCs w:val="18"/>
          <w:color w:val="auto"/>
        </w:rPr>
        <w:t>In the fourth quarter of 2018, American elected to early adopt the New Lease Standard as of January 1, 2018 using a modified retrospective transition, with the cumulative-effect adjustment to the opening balance of retained earnings as of the effective date (the effective date method). Under the effective date method, financial results reported in periods prior to 2018 are unchanged. American also elected the package of practical expedients, which among other things, does not require reassessment of lease classification.</w:t>
      </w:r>
    </w:p>
    <w:p>
      <w:pPr>
        <w:spacing w:after="0" w:line="150" w:lineRule="exact"/>
        <w:rPr>
          <w:sz w:val="20"/>
          <w:szCs w:val="20"/>
          <w:color w:val="auto"/>
        </w:rPr>
      </w:pPr>
    </w:p>
    <w:p>
      <w:pPr>
        <w:jc w:val="both"/>
        <w:ind w:firstLine="230"/>
        <w:spacing w:after="0" w:line="262" w:lineRule="auto"/>
        <w:rPr>
          <w:sz w:val="20"/>
          <w:szCs w:val="20"/>
          <w:color w:val="auto"/>
        </w:rPr>
      </w:pPr>
      <w:r>
        <w:rPr>
          <w:rFonts w:ascii="Arial" w:cs="Arial" w:eastAsia="Arial" w:hAnsi="Arial"/>
          <w:sz w:val="18"/>
          <w:szCs w:val="18"/>
          <w:color w:val="auto"/>
        </w:rPr>
        <w:t>The adoption of the New Lease Standard had a significant impact on American’s consolidated balance sheet due to the recognition of approximately $10 billion of lease liabilities with corresponding right-of-use assets for operating leases.</w:t>
      </w:r>
    </w:p>
    <w:p>
      <w:pPr>
        <w:spacing w:after="0" w:line="142" w:lineRule="exact"/>
        <w:rPr>
          <w:sz w:val="20"/>
          <w:szCs w:val="20"/>
          <w:color w:val="auto"/>
        </w:rPr>
      </w:pPr>
    </w:p>
    <w:p>
      <w:pPr>
        <w:jc w:val="both"/>
        <w:ind w:firstLine="230"/>
        <w:spacing w:after="0" w:line="253" w:lineRule="auto"/>
        <w:rPr>
          <w:sz w:val="20"/>
          <w:szCs w:val="20"/>
          <w:color w:val="auto"/>
        </w:rPr>
      </w:pPr>
      <w:r>
        <w:rPr>
          <w:rFonts w:ascii="Arial" w:cs="Arial" w:eastAsia="Arial" w:hAnsi="Arial"/>
          <w:sz w:val="18"/>
          <w:szCs w:val="18"/>
          <w:color w:val="auto"/>
        </w:rPr>
        <w:t>Additionally, American recognized a $197 million cumulative effect adjustment credit, net of tax, to retained earnings. The adjustment to retained earnings was driven principally by sale-leaseback transactions including the recognition of unamortized deferred aircraft sale-leaseback gains. Prior to the adoption of the New Lease Standard, gains on sale-leaseback transactions were generally deferred and recognized in the income statement over the lease term. Under the New Lease Standard, gains on sale-leaseback transactions (subject to adjustment for off-market terms) are recognized immediately.</w:t>
      </w:r>
    </w:p>
    <w:p>
      <w:pPr>
        <w:spacing w:after="0" w:line="211" w:lineRule="exact"/>
        <w:rPr>
          <w:sz w:val="20"/>
          <w:szCs w:val="20"/>
          <w:color w:val="auto"/>
        </w:rPr>
      </w:pPr>
    </w:p>
    <w:p>
      <w:pPr>
        <w:ind w:right="500" w:firstLine="216"/>
        <w:spacing w:after="0" w:line="287" w:lineRule="auto"/>
        <w:rPr>
          <w:sz w:val="20"/>
          <w:szCs w:val="20"/>
          <w:color w:val="auto"/>
        </w:rPr>
      </w:pPr>
      <w:r>
        <w:rPr>
          <w:rFonts w:ascii="Arial" w:cs="Arial" w:eastAsia="Arial" w:hAnsi="Arial"/>
          <w:sz w:val="18"/>
          <w:szCs w:val="18"/>
          <w:b w:val="1"/>
          <w:bCs w:val="1"/>
          <w:i w:val="1"/>
          <w:iCs w:val="1"/>
          <w:color w:val="auto"/>
        </w:rPr>
        <w:t xml:space="preserve">ASU 2018-02: Income Statement </w:t>
      </w:r>
      <w:r>
        <w:rPr>
          <w:rFonts w:ascii="Arial" w:cs="Arial" w:eastAsia="Arial" w:hAnsi="Arial"/>
          <w:sz w:val="18"/>
          <w:szCs w:val="18"/>
          <w:b w:val="1"/>
          <w:bCs w:val="1"/>
          <w:color w:val="auto"/>
        </w:rPr>
        <w:t>–</w:t>
      </w:r>
      <w:r>
        <w:rPr>
          <w:rFonts w:ascii="Arial" w:cs="Arial" w:eastAsia="Arial" w:hAnsi="Arial"/>
          <w:sz w:val="18"/>
          <w:szCs w:val="18"/>
          <w:b w:val="1"/>
          <w:bCs w:val="1"/>
          <w:i w:val="1"/>
          <w:iCs w:val="1"/>
          <w:color w:val="auto"/>
        </w:rPr>
        <w:t xml:space="preserve"> Reporting Comprehensive Income (Topic 220): Reclassification of Certain Tax Effects from Accumulated Other Comprehensive Income</w:t>
      </w:r>
    </w:p>
    <w:p>
      <w:pPr>
        <w:spacing w:after="0" w:line="40" w:lineRule="exact"/>
        <w:rPr>
          <w:sz w:val="20"/>
          <w:szCs w:val="20"/>
          <w:color w:val="auto"/>
        </w:rPr>
      </w:pPr>
    </w:p>
    <w:p>
      <w:pPr>
        <w:jc w:val="both"/>
        <w:ind w:firstLine="243"/>
        <w:spacing w:after="0" w:line="251" w:lineRule="auto"/>
        <w:rPr>
          <w:sz w:val="20"/>
          <w:szCs w:val="20"/>
          <w:color w:val="auto"/>
        </w:rPr>
      </w:pPr>
      <w:r>
        <w:rPr>
          <w:rFonts w:ascii="Arial" w:cs="Arial" w:eastAsia="Arial" w:hAnsi="Arial"/>
          <w:sz w:val="18"/>
          <w:szCs w:val="18"/>
          <w:color w:val="auto"/>
        </w:rPr>
        <w:t>This ASU provides the option to reclassify stranded tax effects within accumulated other comprehensive income to retained earnings due to the U.S. federal corporate income tax rate change as a result of H.R. 1, the 2017 Tax Cuts and Jobs Act (the 2017 Tax Act). The amount of the reclassification is the difference between the amount initially charged or credited directly to other comprehensive income at the previous U.S. federal corporate income tax rate that remains in accumulated other comprehensive income and the amount that would have been charged or credited directly to other comprehensive income using the newly enacted U.S. federal corporate income tax rate, excluding the effect of any valuation allowance previously charged to income from continuing operations. This standard is effective for interim and annual reporting periods beginning after December 15, 2018. In the first quarter of 2019, American adopted this standard retrospectively as of December 22, 2017, the date the 2017 Tax Act was enacted, which resulted in the recast of prior reporting periods. As a result of the adoption, American reclassified $622 million of stranded tax effects principally related to its pension plans from accumulated other comprehensive loss to retained earnings.</w:t>
      </w:r>
    </w:p>
    <w:p>
      <w:pPr>
        <w:spacing w:after="0" w:line="200" w:lineRule="exact"/>
        <w:rPr>
          <w:sz w:val="20"/>
          <w:szCs w:val="20"/>
          <w:color w:val="auto"/>
        </w:rPr>
      </w:pPr>
    </w:p>
    <w:p>
      <w:pPr>
        <w:spacing w:after="0" w:line="22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122</w:t>
      </w:r>
    </w:p>
    <w:p>
      <w:pPr>
        <w:sectPr>
          <w:pgSz w:w="11900" w:h="16838" w:orient="portrait"/>
          <w:cols w:equalWidth="0" w:num="1">
            <w:col w:w="11420"/>
          </w:cols>
          <w:pgMar w:left="240" w:top="549" w:right="239" w:bottom="1440" w:gutter="0" w:footer="0" w:header="0"/>
        </w:sectPr>
      </w:pPr>
    </w:p>
    <w:bookmarkStart w:id="122" w:name="page123"/>
    <w:bookmarkEnd w:id="122"/>
    <w:p>
      <w:pPr>
        <w:jc w:val="center"/>
        <w:spacing w:after="0"/>
        <w:rPr>
          <w:sz w:val="20"/>
          <w:szCs w:val="20"/>
          <w:color w:val="auto"/>
        </w:rPr>
      </w:pPr>
      <w:r>
        <w:rPr>
          <w:rFonts w:ascii="Arial" w:cs="Arial" w:eastAsia="Arial" w:hAnsi="Arial"/>
          <w:sz w:val="18"/>
          <w:szCs w:val="18"/>
          <w:b w:val="1"/>
          <w:bCs w:val="1"/>
          <w:color w:val="auto"/>
        </w:rPr>
        <w:t>NOTES TO CONSOLIDATED FINANCIAL STATEMENTS OF AMERICAN AIRLINES, INC.</w:t>
      </w:r>
    </w:p>
    <w:p>
      <w:pPr>
        <w:spacing w:after="0" w:line="200" w:lineRule="exact"/>
        <w:rPr>
          <w:sz w:val="20"/>
          <w:szCs w:val="20"/>
          <w:color w:val="auto"/>
        </w:rPr>
      </w:pPr>
    </w:p>
    <w:p>
      <w:pPr>
        <w:spacing w:after="0" w:line="268" w:lineRule="exact"/>
        <w:rPr>
          <w:sz w:val="20"/>
          <w:szCs w:val="20"/>
          <w:color w:val="auto"/>
        </w:rPr>
      </w:pPr>
    </w:p>
    <w:p>
      <w:pPr>
        <w:ind w:left="220"/>
        <w:spacing w:after="0"/>
        <w:rPr>
          <w:sz w:val="20"/>
          <w:szCs w:val="20"/>
          <w:color w:val="auto"/>
        </w:rPr>
      </w:pPr>
      <w:r>
        <w:rPr>
          <w:rFonts w:ascii="Arial" w:cs="Arial" w:eastAsia="Arial" w:hAnsi="Arial"/>
          <w:sz w:val="18"/>
          <w:szCs w:val="18"/>
          <w:b w:val="1"/>
          <w:bCs w:val="1"/>
          <w:i w:val="1"/>
          <w:iCs w:val="1"/>
          <w:color w:val="auto"/>
        </w:rPr>
        <w:t xml:space="preserve">ASU 2016-13: Financial Instruments </w:t>
      </w:r>
      <w:r>
        <w:rPr>
          <w:rFonts w:ascii="Arial" w:cs="Arial" w:eastAsia="Arial" w:hAnsi="Arial"/>
          <w:sz w:val="18"/>
          <w:szCs w:val="18"/>
          <w:b w:val="1"/>
          <w:bCs w:val="1"/>
          <w:color w:val="auto"/>
        </w:rPr>
        <w:t>–</w:t>
      </w:r>
      <w:r>
        <w:rPr>
          <w:rFonts w:ascii="Arial" w:cs="Arial" w:eastAsia="Arial" w:hAnsi="Arial"/>
          <w:sz w:val="18"/>
          <w:szCs w:val="18"/>
          <w:b w:val="1"/>
          <w:bCs w:val="1"/>
          <w:i w:val="1"/>
          <w:iCs w:val="1"/>
          <w:color w:val="auto"/>
        </w:rPr>
        <w:t xml:space="preserve"> Credit Losses (Topic 326)</w:t>
      </w:r>
    </w:p>
    <w:p>
      <w:pPr>
        <w:spacing w:after="0" w:line="112" w:lineRule="exact"/>
        <w:rPr>
          <w:sz w:val="20"/>
          <w:szCs w:val="20"/>
          <w:color w:val="auto"/>
        </w:rPr>
      </w:pPr>
    </w:p>
    <w:p>
      <w:pPr>
        <w:jc w:val="both"/>
        <w:ind w:firstLine="216"/>
        <w:spacing w:after="0" w:line="252" w:lineRule="auto"/>
        <w:rPr>
          <w:sz w:val="20"/>
          <w:szCs w:val="20"/>
          <w:color w:val="auto"/>
        </w:rPr>
      </w:pPr>
      <w:r>
        <w:rPr>
          <w:rFonts w:ascii="Arial" w:cs="Arial" w:eastAsia="Arial" w:hAnsi="Arial"/>
          <w:sz w:val="18"/>
          <w:szCs w:val="18"/>
          <w:color w:val="auto"/>
        </w:rPr>
        <w:t>This ASU requires the use of an expected loss model for certain types of financial instruments and requires consideration of a broader range of reasonable and supportable information to calculate credit loss estimates. For trade receivables, loans and held-to-maturity debt securities, an estimate of lifetime expected credit losses is required. For available-for-sale debt securities, an allowance for credit losses will be required rather than a reduction to the carrying value of the asset. This standard is effective for interim and annual reporting periods beginning after December 15, 2019. While American has not completed its evaluation of the impact of adoption of this standard, American does not expect it to have a material impact on its consolidated financial statements.</w:t>
      </w:r>
    </w:p>
    <w:p>
      <w:pPr>
        <w:spacing w:after="0" w:line="214" w:lineRule="exact"/>
        <w:rPr>
          <w:sz w:val="20"/>
          <w:szCs w:val="20"/>
          <w:color w:val="auto"/>
        </w:rPr>
      </w:pPr>
    </w:p>
    <w:p>
      <w:pPr>
        <w:ind w:left="220"/>
        <w:spacing w:after="0"/>
        <w:rPr>
          <w:sz w:val="20"/>
          <w:szCs w:val="20"/>
          <w:color w:val="auto"/>
        </w:rPr>
      </w:pPr>
      <w:r>
        <w:rPr>
          <w:rFonts w:ascii="Arial" w:cs="Arial" w:eastAsia="Arial" w:hAnsi="Arial"/>
          <w:sz w:val="18"/>
          <w:szCs w:val="18"/>
          <w:b w:val="1"/>
          <w:bCs w:val="1"/>
          <w:i w:val="1"/>
          <w:iCs w:val="1"/>
          <w:color w:val="auto"/>
        </w:rPr>
        <w:t>(c) Short-term Investments</w:t>
      </w:r>
    </w:p>
    <w:p>
      <w:pPr>
        <w:spacing w:after="0" w:line="112" w:lineRule="exact"/>
        <w:rPr>
          <w:sz w:val="20"/>
          <w:szCs w:val="20"/>
          <w:color w:val="auto"/>
        </w:rPr>
      </w:pPr>
    </w:p>
    <w:p>
      <w:pPr>
        <w:jc w:val="both"/>
        <w:ind w:firstLine="216"/>
        <w:spacing w:after="0" w:line="256" w:lineRule="auto"/>
        <w:rPr>
          <w:sz w:val="20"/>
          <w:szCs w:val="20"/>
          <w:color w:val="auto"/>
        </w:rPr>
      </w:pPr>
      <w:r>
        <w:rPr>
          <w:rFonts w:ascii="Arial" w:cs="Arial" w:eastAsia="Arial" w:hAnsi="Arial"/>
          <w:sz w:val="18"/>
          <w:szCs w:val="18"/>
          <w:color w:val="auto"/>
        </w:rPr>
        <w:t>Short-term investments are classified as available-for-sale and stated at fair value. Realized gains and losses are recorded in nonoperating expense on American’s consolidated statements of operations. Unrealized gains and losses are recorded in accumulated other comprehensive loss on American’s consolidated balance sheets.</w:t>
      </w:r>
    </w:p>
    <w:p>
      <w:pPr>
        <w:spacing w:after="0" w:line="207" w:lineRule="exact"/>
        <w:rPr>
          <w:sz w:val="20"/>
          <w:szCs w:val="20"/>
          <w:color w:val="auto"/>
        </w:rPr>
      </w:pPr>
    </w:p>
    <w:p>
      <w:pPr>
        <w:ind w:left="220"/>
        <w:spacing w:after="0"/>
        <w:rPr>
          <w:sz w:val="20"/>
          <w:szCs w:val="20"/>
          <w:color w:val="auto"/>
        </w:rPr>
      </w:pPr>
      <w:r>
        <w:rPr>
          <w:rFonts w:ascii="Arial" w:cs="Arial" w:eastAsia="Arial" w:hAnsi="Arial"/>
          <w:sz w:val="18"/>
          <w:szCs w:val="18"/>
          <w:b w:val="1"/>
          <w:bCs w:val="1"/>
          <w:i w:val="1"/>
          <w:iCs w:val="1"/>
          <w:color w:val="auto"/>
        </w:rPr>
        <w:t>(d) Restricted Cash and Short-term Investments</w:t>
      </w:r>
    </w:p>
    <w:p>
      <w:pPr>
        <w:spacing w:after="0" w:line="112" w:lineRule="exact"/>
        <w:rPr>
          <w:sz w:val="20"/>
          <w:szCs w:val="20"/>
          <w:color w:val="auto"/>
        </w:rPr>
      </w:pPr>
    </w:p>
    <w:p>
      <w:pPr>
        <w:ind w:left="220"/>
        <w:spacing w:after="0"/>
        <w:rPr>
          <w:sz w:val="20"/>
          <w:szCs w:val="20"/>
          <w:color w:val="auto"/>
        </w:rPr>
      </w:pPr>
      <w:r>
        <w:rPr>
          <w:rFonts w:ascii="Arial" w:cs="Arial" w:eastAsia="Arial" w:hAnsi="Arial"/>
          <w:sz w:val="18"/>
          <w:szCs w:val="18"/>
          <w:color w:val="auto"/>
        </w:rPr>
        <w:t>American has restricted cash and short-term investments related primarily to collateral held to support workers’ compensation obligations.</w:t>
      </w:r>
    </w:p>
    <w:p>
      <w:pPr>
        <w:spacing w:after="0" w:line="230" w:lineRule="exact"/>
        <w:rPr>
          <w:sz w:val="20"/>
          <w:szCs w:val="20"/>
          <w:color w:val="auto"/>
        </w:rPr>
      </w:pPr>
    </w:p>
    <w:p>
      <w:pPr>
        <w:ind w:left="220"/>
        <w:spacing w:after="0"/>
        <w:rPr>
          <w:sz w:val="20"/>
          <w:szCs w:val="20"/>
          <w:color w:val="auto"/>
        </w:rPr>
      </w:pPr>
      <w:r>
        <w:rPr>
          <w:rFonts w:ascii="Arial" w:cs="Arial" w:eastAsia="Arial" w:hAnsi="Arial"/>
          <w:sz w:val="18"/>
          <w:szCs w:val="18"/>
          <w:b w:val="1"/>
          <w:bCs w:val="1"/>
          <w:i w:val="1"/>
          <w:iCs w:val="1"/>
          <w:color w:val="auto"/>
        </w:rPr>
        <w:t>(e) Aircraft Fuel, Spare Parts and Supplies, Net</w:t>
      </w:r>
    </w:p>
    <w:p>
      <w:pPr>
        <w:spacing w:after="0" w:line="112" w:lineRule="exact"/>
        <w:rPr>
          <w:sz w:val="20"/>
          <w:szCs w:val="20"/>
          <w:color w:val="auto"/>
        </w:rPr>
      </w:pPr>
    </w:p>
    <w:p>
      <w:pPr>
        <w:jc w:val="both"/>
        <w:ind w:right="20" w:firstLine="216"/>
        <w:spacing w:after="0" w:line="262" w:lineRule="auto"/>
        <w:rPr>
          <w:sz w:val="20"/>
          <w:szCs w:val="20"/>
          <w:color w:val="auto"/>
        </w:rPr>
      </w:pPr>
      <w:r>
        <w:rPr>
          <w:rFonts w:ascii="Arial" w:cs="Arial" w:eastAsia="Arial" w:hAnsi="Arial"/>
          <w:sz w:val="18"/>
          <w:szCs w:val="18"/>
          <w:color w:val="auto"/>
        </w:rPr>
        <w:t>Aircraft fuel is recorded on a first-in, first-out basis. Spare parts and supplies are recorded at average costs less an allowance for obsolescence. These items are expensed when used.</w:t>
      </w:r>
    </w:p>
    <w:p>
      <w:pPr>
        <w:spacing w:after="0" w:line="201" w:lineRule="exact"/>
        <w:rPr>
          <w:sz w:val="20"/>
          <w:szCs w:val="20"/>
          <w:color w:val="auto"/>
        </w:rPr>
      </w:pPr>
    </w:p>
    <w:p>
      <w:pPr>
        <w:ind w:left="220"/>
        <w:spacing w:after="0"/>
        <w:rPr>
          <w:sz w:val="20"/>
          <w:szCs w:val="20"/>
          <w:color w:val="auto"/>
        </w:rPr>
      </w:pPr>
      <w:r>
        <w:rPr>
          <w:rFonts w:ascii="Arial" w:cs="Arial" w:eastAsia="Arial" w:hAnsi="Arial"/>
          <w:sz w:val="18"/>
          <w:szCs w:val="18"/>
          <w:b w:val="1"/>
          <w:bCs w:val="1"/>
          <w:i w:val="1"/>
          <w:iCs w:val="1"/>
          <w:color w:val="auto"/>
        </w:rPr>
        <w:t>(f) Operating Property and Equipment</w:t>
      </w:r>
    </w:p>
    <w:p>
      <w:pPr>
        <w:spacing w:after="0" w:line="112" w:lineRule="exact"/>
        <w:rPr>
          <w:sz w:val="20"/>
          <w:szCs w:val="20"/>
          <w:color w:val="auto"/>
        </w:rPr>
      </w:pPr>
    </w:p>
    <w:p>
      <w:pPr>
        <w:jc w:val="both"/>
        <w:ind w:firstLine="216"/>
        <w:spacing w:after="0" w:line="253" w:lineRule="auto"/>
        <w:rPr>
          <w:sz w:val="20"/>
          <w:szCs w:val="20"/>
          <w:color w:val="auto"/>
        </w:rPr>
      </w:pPr>
      <w:r>
        <w:rPr>
          <w:rFonts w:ascii="Arial" w:cs="Arial" w:eastAsia="Arial" w:hAnsi="Arial"/>
          <w:sz w:val="18"/>
          <w:szCs w:val="18"/>
          <w:color w:val="auto"/>
        </w:rPr>
        <w:t>Operating property and equipment is recorded at cost and depreciated or amortized to residual values over the asset’s estimated useful life or the lease term, whichever is less, using the straight-line method. Residual values for aircraft, engines and related rotable parts are generally 5% to 10% of original cost. Costs of major improvements that enhance the usefulness of the asset are capitalized and depreciated or amortized over the estimated useful life of the asset or the lease term, whichever is less. The estimated useful lives for the principal property and equipment classifications are as follows:</w:t>
      </w:r>
    </w:p>
    <w:p>
      <w:pPr>
        <w:spacing w:after="0" w:line="301"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9920" w:type="dxa"/>
            <w:vAlign w:val="bottom"/>
            <w:gridSpan w:val="3"/>
          </w:tcPr>
          <w:p>
            <w:pPr>
              <w:ind w:left="40"/>
              <w:spacing w:after="0"/>
              <w:rPr>
                <w:sz w:val="20"/>
                <w:szCs w:val="20"/>
                <w:color w:val="auto"/>
              </w:rPr>
            </w:pPr>
            <w:r>
              <w:rPr>
                <w:rFonts w:ascii="Arial" w:cs="Arial" w:eastAsia="Arial" w:hAnsi="Arial"/>
                <w:sz w:val="14"/>
                <w:szCs w:val="14"/>
                <w:b w:val="1"/>
                <w:bCs w:val="1"/>
                <w:color w:val="auto"/>
              </w:rPr>
              <w:t>Principal Property and Equipment Classification</w:t>
            </w:r>
          </w:p>
        </w:tc>
        <w:tc>
          <w:tcPr>
            <w:tcW w:w="1500" w:type="dxa"/>
            <w:vAlign w:val="bottom"/>
            <w:gridSpan w:val="3"/>
          </w:tcPr>
          <w:p>
            <w:pPr>
              <w:jc w:val="right"/>
              <w:ind w:right="20"/>
              <w:spacing w:after="0"/>
              <w:rPr>
                <w:sz w:val="20"/>
                <w:szCs w:val="20"/>
                <w:color w:val="auto"/>
              </w:rPr>
            </w:pPr>
            <w:r>
              <w:rPr>
                <w:rFonts w:ascii="Arial" w:cs="Arial" w:eastAsia="Arial" w:hAnsi="Arial"/>
                <w:sz w:val="14"/>
                <w:szCs w:val="14"/>
                <w:b w:val="1"/>
                <w:bCs w:val="1"/>
                <w:color w:val="auto"/>
              </w:rPr>
              <w:t>Estimated Useful Life</w:t>
            </w:r>
          </w:p>
        </w:tc>
      </w:tr>
      <w:tr>
        <w:trPr>
          <w:trHeight w:val="21"/>
        </w:trPr>
        <w:tc>
          <w:tcPr>
            <w:tcW w:w="40" w:type="dxa"/>
            <w:vAlign w:val="bottom"/>
          </w:tcPr>
          <w:p>
            <w:pPr>
              <w:spacing w:after="0" w:line="20" w:lineRule="exact"/>
              <w:rPr>
                <w:sz w:val="1"/>
                <w:szCs w:val="1"/>
                <w:color w:val="auto"/>
              </w:rPr>
            </w:pPr>
          </w:p>
        </w:tc>
        <w:tc>
          <w:tcPr>
            <w:tcW w:w="3280" w:type="dxa"/>
            <w:vAlign w:val="bottom"/>
            <w:tcBorders>
              <w:top w:val="single" w:sz="8" w:color="auto"/>
            </w:tcBorders>
          </w:tcPr>
          <w:p>
            <w:pPr>
              <w:spacing w:after="0" w:line="20" w:lineRule="exact"/>
              <w:rPr>
                <w:sz w:val="1"/>
                <w:szCs w:val="1"/>
                <w:color w:val="auto"/>
              </w:rPr>
            </w:pPr>
          </w:p>
        </w:tc>
        <w:tc>
          <w:tcPr>
            <w:tcW w:w="6600" w:type="dxa"/>
            <w:vAlign w:val="bottom"/>
          </w:tcPr>
          <w:p>
            <w:pPr>
              <w:spacing w:after="0" w:line="20" w:lineRule="exact"/>
              <w:rPr>
                <w:sz w:val="1"/>
                <w:szCs w:val="1"/>
                <w:color w:val="auto"/>
              </w:rPr>
            </w:pPr>
          </w:p>
        </w:tc>
        <w:tc>
          <w:tcPr>
            <w:tcW w:w="600" w:type="dxa"/>
            <w:vAlign w:val="bottom"/>
            <w:tcBorders>
              <w:top w:val="single" w:sz="8" w:color="auto"/>
            </w:tcBorders>
          </w:tcPr>
          <w:p>
            <w:pPr>
              <w:spacing w:after="0" w:line="20" w:lineRule="exact"/>
              <w:rPr>
                <w:sz w:val="1"/>
                <w:szCs w:val="1"/>
                <w:color w:val="auto"/>
              </w:rPr>
            </w:pPr>
          </w:p>
        </w:tc>
        <w:tc>
          <w:tcPr>
            <w:tcW w:w="880" w:type="dxa"/>
            <w:vAlign w:val="bottom"/>
            <w:tcBorders>
              <w:top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57"/>
        </w:trPr>
        <w:tc>
          <w:tcPr>
            <w:tcW w:w="9920" w:type="dxa"/>
            <w:vAlign w:val="bottom"/>
            <w:gridSpan w:val="3"/>
            <w:shd w:val="clear" w:color="auto" w:fill="CCEEFF"/>
          </w:tcPr>
          <w:p>
            <w:pPr>
              <w:ind w:left="40"/>
              <w:spacing w:after="0"/>
              <w:rPr>
                <w:sz w:val="20"/>
                <w:szCs w:val="20"/>
                <w:color w:val="auto"/>
              </w:rPr>
            </w:pPr>
            <w:r>
              <w:rPr>
                <w:rFonts w:ascii="Arial" w:cs="Arial" w:eastAsia="Arial" w:hAnsi="Arial"/>
                <w:sz w:val="18"/>
                <w:szCs w:val="18"/>
                <w:color w:val="auto"/>
              </w:rPr>
              <w:t>Aircraft, engines and related rotable parts</w:t>
            </w: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w:t>
            </w:r>
          </w:p>
        </w:tc>
        <w:tc>
          <w:tcPr>
            <w:tcW w:w="9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 30 years</w:t>
            </w:r>
          </w:p>
        </w:tc>
      </w:tr>
      <w:tr>
        <w:trPr>
          <w:trHeight w:val="250"/>
        </w:trPr>
        <w:tc>
          <w:tcPr>
            <w:tcW w:w="9920" w:type="dxa"/>
            <w:vAlign w:val="bottom"/>
            <w:gridSpan w:val="3"/>
          </w:tcPr>
          <w:p>
            <w:pPr>
              <w:ind w:left="40"/>
              <w:spacing w:after="0"/>
              <w:rPr>
                <w:sz w:val="20"/>
                <w:szCs w:val="20"/>
                <w:color w:val="auto"/>
              </w:rPr>
            </w:pPr>
            <w:r>
              <w:rPr>
                <w:rFonts w:ascii="Arial" w:cs="Arial" w:eastAsia="Arial" w:hAnsi="Arial"/>
                <w:sz w:val="18"/>
                <w:szCs w:val="18"/>
                <w:color w:val="auto"/>
              </w:rPr>
              <w:t>Buildings and improvements</w:t>
            </w:r>
          </w:p>
        </w:tc>
        <w:tc>
          <w:tcPr>
            <w:tcW w:w="600" w:type="dxa"/>
            <w:vAlign w:val="bottom"/>
          </w:tcPr>
          <w:p>
            <w:pPr>
              <w:jc w:val="right"/>
              <w:spacing w:after="0"/>
              <w:rPr>
                <w:sz w:val="20"/>
                <w:szCs w:val="20"/>
                <w:color w:val="auto"/>
              </w:rPr>
            </w:pPr>
            <w:r>
              <w:rPr>
                <w:rFonts w:ascii="Arial" w:cs="Arial" w:eastAsia="Arial" w:hAnsi="Arial"/>
                <w:sz w:val="18"/>
                <w:szCs w:val="18"/>
                <w:color w:val="auto"/>
              </w:rPr>
              <w:t>5</w:t>
            </w:r>
          </w:p>
        </w:tc>
        <w:tc>
          <w:tcPr>
            <w:tcW w:w="900" w:type="dxa"/>
            <w:vAlign w:val="bottom"/>
            <w:gridSpan w:val="2"/>
          </w:tcPr>
          <w:p>
            <w:pPr>
              <w:jc w:val="right"/>
              <w:ind w:right="20"/>
              <w:spacing w:after="0"/>
              <w:rPr>
                <w:sz w:val="20"/>
                <w:szCs w:val="20"/>
                <w:color w:val="auto"/>
              </w:rPr>
            </w:pPr>
            <w:r>
              <w:rPr>
                <w:rFonts w:ascii="Arial" w:cs="Arial" w:eastAsia="Arial" w:hAnsi="Arial"/>
                <w:sz w:val="18"/>
                <w:szCs w:val="18"/>
                <w:color w:val="auto"/>
              </w:rPr>
              <w:t>– 30 years</w:t>
            </w:r>
          </w:p>
        </w:tc>
      </w:tr>
      <w:tr>
        <w:trPr>
          <w:trHeight w:val="263"/>
        </w:trPr>
        <w:tc>
          <w:tcPr>
            <w:tcW w:w="9920" w:type="dxa"/>
            <w:vAlign w:val="bottom"/>
            <w:gridSpan w:val="3"/>
            <w:shd w:val="clear" w:color="auto" w:fill="CCEEFF"/>
          </w:tcPr>
          <w:p>
            <w:pPr>
              <w:ind w:left="40"/>
              <w:spacing w:after="0"/>
              <w:rPr>
                <w:sz w:val="20"/>
                <w:szCs w:val="20"/>
                <w:color w:val="auto"/>
              </w:rPr>
            </w:pPr>
            <w:r>
              <w:rPr>
                <w:rFonts w:ascii="Arial" w:cs="Arial" w:eastAsia="Arial" w:hAnsi="Arial"/>
                <w:sz w:val="18"/>
                <w:szCs w:val="18"/>
                <w:color w:val="auto"/>
              </w:rPr>
              <w:t>Furniture, fixtures and other equipment</w:t>
            </w: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w:t>
            </w:r>
          </w:p>
        </w:tc>
        <w:tc>
          <w:tcPr>
            <w:tcW w:w="9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 10 years</w:t>
            </w:r>
          </w:p>
        </w:tc>
      </w:tr>
      <w:tr>
        <w:trPr>
          <w:trHeight w:val="243"/>
        </w:trPr>
        <w:tc>
          <w:tcPr>
            <w:tcW w:w="9920" w:type="dxa"/>
            <w:vAlign w:val="bottom"/>
            <w:gridSpan w:val="3"/>
          </w:tcPr>
          <w:p>
            <w:pPr>
              <w:ind w:left="40"/>
              <w:spacing w:after="0"/>
              <w:rPr>
                <w:sz w:val="20"/>
                <w:szCs w:val="20"/>
                <w:color w:val="auto"/>
              </w:rPr>
            </w:pPr>
            <w:r>
              <w:rPr>
                <w:rFonts w:ascii="Arial" w:cs="Arial" w:eastAsia="Arial" w:hAnsi="Arial"/>
                <w:sz w:val="18"/>
                <w:szCs w:val="18"/>
                <w:color w:val="auto"/>
              </w:rPr>
              <w:t>Capitalized software</w:t>
            </w:r>
          </w:p>
        </w:tc>
        <w:tc>
          <w:tcPr>
            <w:tcW w:w="600" w:type="dxa"/>
            <w:vAlign w:val="bottom"/>
          </w:tcPr>
          <w:p>
            <w:pPr>
              <w:jc w:val="right"/>
              <w:spacing w:after="0"/>
              <w:rPr>
                <w:sz w:val="20"/>
                <w:szCs w:val="20"/>
                <w:color w:val="auto"/>
              </w:rPr>
            </w:pPr>
            <w:r>
              <w:rPr>
                <w:rFonts w:ascii="Arial" w:cs="Arial" w:eastAsia="Arial" w:hAnsi="Arial"/>
                <w:sz w:val="18"/>
                <w:szCs w:val="18"/>
                <w:color w:val="auto"/>
              </w:rPr>
              <w:t>5</w:t>
            </w:r>
          </w:p>
        </w:tc>
        <w:tc>
          <w:tcPr>
            <w:tcW w:w="900" w:type="dxa"/>
            <w:vAlign w:val="bottom"/>
            <w:gridSpan w:val="2"/>
          </w:tcPr>
          <w:p>
            <w:pPr>
              <w:jc w:val="right"/>
              <w:ind w:right="20"/>
              <w:spacing w:after="0"/>
              <w:rPr>
                <w:sz w:val="20"/>
                <w:szCs w:val="20"/>
                <w:color w:val="auto"/>
              </w:rPr>
            </w:pPr>
            <w:r>
              <w:rPr>
                <w:rFonts w:ascii="Arial" w:cs="Arial" w:eastAsia="Arial" w:hAnsi="Arial"/>
                <w:sz w:val="18"/>
                <w:szCs w:val="18"/>
                <w:color w:val="auto"/>
              </w:rPr>
              <w:t>– 10 years</w:t>
            </w:r>
          </w:p>
        </w:tc>
      </w:tr>
    </w:tbl>
    <w:p>
      <w:pPr>
        <w:spacing w:after="0" w:line="391" w:lineRule="exact"/>
        <w:rPr>
          <w:sz w:val="20"/>
          <w:szCs w:val="20"/>
          <w:color w:val="auto"/>
        </w:rPr>
      </w:pPr>
    </w:p>
    <w:p>
      <w:pPr>
        <w:jc w:val="both"/>
        <w:ind w:firstLine="216"/>
        <w:spacing w:after="0" w:line="253" w:lineRule="auto"/>
        <w:rPr>
          <w:sz w:val="20"/>
          <w:szCs w:val="20"/>
          <w:color w:val="auto"/>
        </w:rPr>
      </w:pPr>
      <w:r>
        <w:rPr>
          <w:rFonts w:ascii="Arial" w:cs="Arial" w:eastAsia="Arial" w:hAnsi="Arial"/>
          <w:sz w:val="18"/>
          <w:szCs w:val="18"/>
          <w:color w:val="auto"/>
        </w:rPr>
        <w:t>American assesses impairment of operating property and equipment when events and circumstances indicate that the assets may be impaired. An asset or group of assets is considered impaired when the undiscounted cash flows estimated to be generated by the assets are less than the carrying amount of the assets and the net book value of the assets exceeds their estimated fair value. If such assets are considered to be impaired, the impairment to be recognized is measured by the amount by which the carrying amount of the assets exceeds the fair value of the assets. Assets to be disposed of are reported at the lower of the carrying amount or fair value less the cost to sell.</w:t>
      </w:r>
    </w:p>
    <w:p>
      <w:pPr>
        <w:spacing w:after="0" w:line="152" w:lineRule="exact"/>
        <w:rPr>
          <w:sz w:val="20"/>
          <w:szCs w:val="20"/>
          <w:color w:val="auto"/>
        </w:rPr>
      </w:pPr>
    </w:p>
    <w:p>
      <w:pPr>
        <w:jc w:val="both"/>
        <w:ind w:firstLine="216"/>
        <w:spacing w:after="0" w:line="262" w:lineRule="auto"/>
        <w:rPr>
          <w:sz w:val="20"/>
          <w:szCs w:val="20"/>
          <w:color w:val="auto"/>
        </w:rPr>
      </w:pPr>
      <w:r>
        <w:rPr>
          <w:rFonts w:ascii="Arial" w:cs="Arial" w:eastAsia="Arial" w:hAnsi="Arial"/>
          <w:sz w:val="18"/>
          <w:szCs w:val="18"/>
          <w:color w:val="auto"/>
        </w:rPr>
        <w:t>Total depreciation and amortization expense was $2.5 billion, $2.4 billion and $2.1 billion for the years ended December 31, 2019, 2018 and 2017, respectively.</w:t>
      </w:r>
    </w:p>
    <w:p>
      <w:pPr>
        <w:spacing w:after="0" w:line="255" w:lineRule="exact"/>
        <w:rPr>
          <w:sz w:val="20"/>
          <w:szCs w:val="20"/>
          <w:color w:val="auto"/>
        </w:rPr>
      </w:pPr>
    </w:p>
    <w:p>
      <w:pPr>
        <w:ind w:left="220"/>
        <w:spacing w:after="0"/>
        <w:rPr>
          <w:sz w:val="20"/>
          <w:szCs w:val="20"/>
          <w:color w:val="auto"/>
        </w:rPr>
      </w:pPr>
      <w:r>
        <w:rPr>
          <w:rFonts w:ascii="Arial" w:cs="Arial" w:eastAsia="Arial" w:hAnsi="Arial"/>
          <w:sz w:val="18"/>
          <w:szCs w:val="18"/>
          <w:b w:val="1"/>
          <w:bCs w:val="1"/>
          <w:i w:val="1"/>
          <w:iCs w:val="1"/>
          <w:color w:val="auto"/>
        </w:rPr>
        <w:t>(g) Leases</w:t>
      </w:r>
    </w:p>
    <w:p>
      <w:pPr>
        <w:spacing w:after="0" w:line="153" w:lineRule="exact"/>
        <w:rPr>
          <w:sz w:val="20"/>
          <w:szCs w:val="20"/>
          <w:color w:val="auto"/>
        </w:rPr>
      </w:pPr>
    </w:p>
    <w:p>
      <w:pPr>
        <w:jc w:val="both"/>
        <w:ind w:firstLine="216"/>
        <w:spacing w:after="0" w:line="254" w:lineRule="auto"/>
        <w:rPr>
          <w:sz w:val="20"/>
          <w:szCs w:val="20"/>
          <w:color w:val="auto"/>
        </w:rPr>
      </w:pPr>
      <w:r>
        <w:rPr>
          <w:rFonts w:ascii="Arial" w:cs="Arial" w:eastAsia="Arial" w:hAnsi="Arial"/>
          <w:sz w:val="18"/>
          <w:szCs w:val="18"/>
          <w:color w:val="auto"/>
        </w:rPr>
        <w:t>American determines if an arrangement is a lease at inception. Operating leases are included in operating lease right-of-use (ROU) assets, current operating lease liabilities and noncurrent operating lease liabilities in American’s consolidated balance sheet. Finance leases are included in property and equipment, current maturities of long-term debt and finance leases and long-term debt and finance leases, net of current maturities, in American’s consolidated balance sheets.</w:t>
      </w:r>
    </w:p>
    <w:p>
      <w:pPr>
        <w:spacing w:after="0" w:line="150" w:lineRule="exact"/>
        <w:rPr>
          <w:sz w:val="20"/>
          <w:szCs w:val="20"/>
          <w:color w:val="auto"/>
        </w:rPr>
      </w:pPr>
    </w:p>
    <w:p>
      <w:pPr>
        <w:jc w:val="both"/>
        <w:ind w:firstLine="243"/>
        <w:spacing w:after="0" w:line="256" w:lineRule="auto"/>
        <w:rPr>
          <w:sz w:val="20"/>
          <w:szCs w:val="20"/>
          <w:color w:val="auto"/>
        </w:rPr>
      </w:pPr>
      <w:r>
        <w:rPr>
          <w:rFonts w:ascii="Arial" w:cs="Arial" w:eastAsia="Arial" w:hAnsi="Arial"/>
          <w:sz w:val="18"/>
          <w:szCs w:val="18"/>
          <w:color w:val="auto"/>
        </w:rPr>
        <w:t>ROU assets represent American’s right to use an underlying asset for the lease term and lease liabilities represent its obligation to make lease payments arising from the lease. ROU assets and liabilities are recognized at the lease commencement date based on the estimated present value of lease payments over the lease term.</w:t>
      </w:r>
    </w:p>
    <w:p>
      <w:pPr>
        <w:sectPr>
          <w:pgSz w:w="11900" w:h="16838" w:orient="portrait"/>
          <w:cols w:equalWidth="0" w:num="1">
            <w:col w:w="11420"/>
          </w:cols>
          <w:pgMar w:left="240" w:top="549" w:right="239" w:bottom="1440" w:gutter="0" w:footer="0" w:header="0"/>
        </w:sectPr>
      </w:pPr>
    </w:p>
    <w:p>
      <w:pPr>
        <w:spacing w:after="0" w:line="202"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123</w:t>
      </w:r>
    </w:p>
    <w:p>
      <w:pPr>
        <w:sectPr>
          <w:pgSz w:w="11900" w:h="16838" w:orient="portrait"/>
          <w:cols w:equalWidth="0" w:num="1">
            <w:col w:w="11420"/>
          </w:cols>
          <w:pgMar w:left="240" w:top="549" w:right="239" w:bottom="1440" w:gutter="0" w:footer="0" w:header="0"/>
          <w:type w:val="continuous"/>
        </w:sectPr>
      </w:pPr>
    </w:p>
    <w:bookmarkStart w:id="123" w:name="page124"/>
    <w:bookmarkEnd w:id="123"/>
    <w:p>
      <w:pPr>
        <w:jc w:val="center"/>
        <w:spacing w:after="0"/>
        <w:rPr>
          <w:sz w:val="20"/>
          <w:szCs w:val="20"/>
          <w:color w:val="auto"/>
        </w:rPr>
      </w:pPr>
      <w:r>
        <w:rPr>
          <w:rFonts w:ascii="Arial" w:cs="Arial" w:eastAsia="Arial" w:hAnsi="Arial"/>
          <w:sz w:val="18"/>
          <w:szCs w:val="18"/>
          <w:b w:val="1"/>
          <w:bCs w:val="1"/>
          <w:color w:val="auto"/>
        </w:rPr>
        <w:t>NOTES TO CONSOLIDATED FINANCIAL STATEMENTS OF AMERICAN AIRLINES, INC.</w:t>
      </w:r>
    </w:p>
    <w:p>
      <w:pPr>
        <w:spacing w:after="0" w:line="396" w:lineRule="exact"/>
        <w:rPr>
          <w:sz w:val="20"/>
          <w:szCs w:val="20"/>
          <w:color w:val="auto"/>
        </w:rPr>
      </w:pPr>
    </w:p>
    <w:p>
      <w:pPr>
        <w:jc w:val="both"/>
        <w:ind w:firstLine="243"/>
        <w:spacing w:after="0" w:line="264" w:lineRule="auto"/>
        <w:rPr>
          <w:sz w:val="20"/>
          <w:szCs w:val="20"/>
          <w:color w:val="auto"/>
        </w:rPr>
      </w:pPr>
      <w:r>
        <w:rPr>
          <w:rFonts w:ascii="Arial" w:cs="Arial" w:eastAsia="Arial" w:hAnsi="Arial"/>
          <w:sz w:val="18"/>
          <w:szCs w:val="18"/>
          <w:color w:val="auto"/>
        </w:rPr>
        <w:t>American uses its estimated incremental borrowing rate, which is derived from information available at the lease commencement date, in determining the present value of lease payments. American gives consideration to its recent debt issuances as well as publicly available data for instruments with similar characteristics when calculating its incremental borrowing rates.</w:t>
      </w:r>
    </w:p>
    <w:p>
      <w:pPr>
        <w:spacing w:after="0" w:line="141" w:lineRule="exact"/>
        <w:rPr>
          <w:sz w:val="20"/>
          <w:szCs w:val="20"/>
          <w:color w:val="auto"/>
        </w:rPr>
      </w:pPr>
    </w:p>
    <w:p>
      <w:pPr>
        <w:jc w:val="both"/>
        <w:ind w:right="20" w:firstLine="243"/>
        <w:spacing w:after="0" w:line="262" w:lineRule="auto"/>
        <w:rPr>
          <w:sz w:val="20"/>
          <w:szCs w:val="20"/>
          <w:color w:val="auto"/>
        </w:rPr>
      </w:pPr>
      <w:r>
        <w:rPr>
          <w:rFonts w:ascii="Arial" w:cs="Arial" w:eastAsia="Arial" w:hAnsi="Arial"/>
          <w:sz w:val="18"/>
          <w:szCs w:val="18"/>
          <w:color w:val="auto"/>
        </w:rPr>
        <w:t>American’s lease term includes options to extend the lease when it is reasonably certain that it will exercise that option. Leases with a term of 12 months or less are not recorded on the balance sheet. American’s lease agreements do not contain any residual value guarantees.</w:t>
      </w:r>
    </w:p>
    <w:p>
      <w:pPr>
        <w:spacing w:after="0" w:line="142" w:lineRule="exact"/>
        <w:rPr>
          <w:sz w:val="20"/>
          <w:szCs w:val="20"/>
          <w:color w:val="auto"/>
        </w:rPr>
      </w:pPr>
    </w:p>
    <w:p>
      <w:pPr>
        <w:jc w:val="both"/>
        <w:ind w:firstLine="243"/>
        <w:spacing w:after="0" w:line="252" w:lineRule="auto"/>
        <w:rPr>
          <w:sz w:val="20"/>
          <w:szCs w:val="20"/>
          <w:color w:val="auto"/>
        </w:rPr>
      </w:pPr>
      <w:r>
        <w:rPr>
          <w:rFonts w:ascii="Arial" w:cs="Arial" w:eastAsia="Arial" w:hAnsi="Arial"/>
          <w:sz w:val="18"/>
          <w:szCs w:val="18"/>
          <w:color w:val="auto"/>
        </w:rPr>
        <w:t>Under certain of American’s capacity purchase agreements with third-party regional carriers, American does not own the underlying aircraft. However, since American controls the marketing, scheduling, ticketing, pricing and seat inventories of these aircraft and therefore control the asset, the aircraft is deemed to be leased for accounting purposes. For these capacity purchase agreements, American accounts for the lease and non-lease components separately. The lease component consists of the aircraft and the non-lease components consist of services, such as the crew and maintenance. American allocates the consideration in the capacity purchase agreements to the lease and non-lease components using their estimated relative standalone prices. See Note 10(b) for additional information on its capacity purchase agreements.</w:t>
      </w:r>
    </w:p>
    <w:p>
      <w:pPr>
        <w:spacing w:after="0" w:line="155" w:lineRule="exact"/>
        <w:rPr>
          <w:sz w:val="20"/>
          <w:szCs w:val="20"/>
          <w:color w:val="auto"/>
        </w:rPr>
      </w:pPr>
    </w:p>
    <w:p>
      <w:pPr>
        <w:ind w:left="220"/>
        <w:spacing w:after="0"/>
        <w:rPr>
          <w:sz w:val="20"/>
          <w:szCs w:val="20"/>
          <w:color w:val="auto"/>
        </w:rPr>
      </w:pPr>
      <w:r>
        <w:rPr>
          <w:rFonts w:ascii="Arial" w:cs="Arial" w:eastAsia="Arial" w:hAnsi="Arial"/>
          <w:sz w:val="18"/>
          <w:szCs w:val="18"/>
          <w:color w:val="auto"/>
        </w:rPr>
        <w:t>For real estate, American accounts for the lease and non-lease components as a single lease component.</w:t>
      </w:r>
    </w:p>
    <w:p>
      <w:pPr>
        <w:spacing w:after="0" w:line="230" w:lineRule="exact"/>
        <w:rPr>
          <w:sz w:val="20"/>
          <w:szCs w:val="20"/>
          <w:color w:val="auto"/>
        </w:rPr>
      </w:pPr>
    </w:p>
    <w:p>
      <w:pPr>
        <w:ind w:left="220"/>
        <w:spacing w:after="0"/>
        <w:rPr>
          <w:sz w:val="20"/>
          <w:szCs w:val="20"/>
          <w:color w:val="auto"/>
        </w:rPr>
      </w:pPr>
      <w:r>
        <w:rPr>
          <w:rFonts w:ascii="Arial" w:cs="Arial" w:eastAsia="Arial" w:hAnsi="Arial"/>
          <w:sz w:val="18"/>
          <w:szCs w:val="18"/>
          <w:b w:val="1"/>
          <w:bCs w:val="1"/>
          <w:i w:val="1"/>
          <w:iCs w:val="1"/>
          <w:color w:val="auto"/>
        </w:rPr>
        <w:t>(h) Income Taxes</w:t>
      </w:r>
    </w:p>
    <w:p>
      <w:pPr>
        <w:spacing w:after="0" w:line="112" w:lineRule="exact"/>
        <w:rPr>
          <w:sz w:val="20"/>
          <w:szCs w:val="20"/>
          <w:color w:val="auto"/>
        </w:rPr>
      </w:pPr>
    </w:p>
    <w:p>
      <w:pPr>
        <w:jc w:val="both"/>
        <w:ind w:firstLine="216"/>
        <w:spacing w:after="0" w:line="254" w:lineRule="auto"/>
        <w:rPr>
          <w:sz w:val="20"/>
          <w:szCs w:val="20"/>
          <w:color w:val="auto"/>
        </w:rPr>
      </w:pPr>
      <w:r>
        <w:rPr>
          <w:rFonts w:ascii="Arial" w:cs="Arial" w:eastAsia="Arial" w:hAnsi="Arial"/>
          <w:sz w:val="18"/>
          <w:szCs w:val="18"/>
          <w:color w:val="auto"/>
        </w:rPr>
        <w:t>Income taxes are accounted for under the asset and liability method. Deferred tax assets and liabilities are recognized for the future tax consequences attributable to differences between the financial statement carrying amounts of existing assets and liabilities and their respective tax bases and operating loss and tax credit carryforwards. Deferred tax assets and liabilities are recorded net as noncurrent deferred income taxes.</w:t>
      </w:r>
    </w:p>
    <w:p>
      <w:pPr>
        <w:spacing w:after="0" w:line="150" w:lineRule="exact"/>
        <w:rPr>
          <w:sz w:val="20"/>
          <w:szCs w:val="20"/>
          <w:color w:val="auto"/>
        </w:rPr>
      </w:pPr>
    </w:p>
    <w:p>
      <w:pPr>
        <w:jc w:val="both"/>
        <w:ind w:firstLine="216"/>
        <w:spacing w:after="0" w:line="253" w:lineRule="auto"/>
        <w:rPr>
          <w:sz w:val="20"/>
          <w:szCs w:val="20"/>
          <w:color w:val="auto"/>
        </w:rPr>
      </w:pPr>
      <w:r>
        <w:rPr>
          <w:rFonts w:ascii="Arial" w:cs="Arial" w:eastAsia="Arial" w:hAnsi="Arial"/>
          <w:sz w:val="18"/>
          <w:szCs w:val="18"/>
          <w:color w:val="auto"/>
        </w:rPr>
        <w:t>American provides a valuation allowance for its deferred tax assets when it is more likely than not that some portion, or all of its deferred tax assets, will not be realized. The ultimate realization of deferred tax assets is dependent upon the generation of future taxable income. American considers all available positive and negative evidence and makes certain assumptions in evaluating the realizability of its deferred tax assets. Many factors are considered that impact American’s assessment of future profitability, including conditions which are beyond American’s control, such as the health of the economy, the availability and price volatility of aircraft fuel and travel demand.</w:t>
      </w:r>
    </w:p>
    <w:p>
      <w:pPr>
        <w:spacing w:after="0" w:line="211" w:lineRule="exact"/>
        <w:rPr>
          <w:sz w:val="20"/>
          <w:szCs w:val="20"/>
          <w:color w:val="auto"/>
        </w:rPr>
      </w:pPr>
    </w:p>
    <w:p>
      <w:pPr>
        <w:ind w:left="220"/>
        <w:spacing w:after="0"/>
        <w:rPr>
          <w:sz w:val="20"/>
          <w:szCs w:val="20"/>
          <w:color w:val="auto"/>
        </w:rPr>
      </w:pPr>
      <w:r>
        <w:rPr>
          <w:rFonts w:ascii="Arial" w:cs="Arial" w:eastAsia="Arial" w:hAnsi="Arial"/>
          <w:sz w:val="18"/>
          <w:szCs w:val="18"/>
          <w:b w:val="1"/>
          <w:bCs w:val="1"/>
          <w:i w:val="1"/>
          <w:iCs w:val="1"/>
          <w:color w:val="auto"/>
        </w:rPr>
        <w:t>(i) Goodwill</w:t>
      </w:r>
    </w:p>
    <w:p>
      <w:pPr>
        <w:spacing w:after="0" w:line="112" w:lineRule="exact"/>
        <w:rPr>
          <w:sz w:val="20"/>
          <w:szCs w:val="20"/>
          <w:color w:val="auto"/>
        </w:rPr>
      </w:pPr>
    </w:p>
    <w:p>
      <w:pPr>
        <w:jc w:val="both"/>
        <w:ind w:right="20" w:firstLine="216"/>
        <w:spacing w:after="0" w:line="256" w:lineRule="auto"/>
        <w:rPr>
          <w:sz w:val="20"/>
          <w:szCs w:val="20"/>
          <w:color w:val="auto"/>
        </w:rPr>
      </w:pPr>
      <w:r>
        <w:rPr>
          <w:rFonts w:ascii="Arial" w:cs="Arial" w:eastAsia="Arial" w:hAnsi="Arial"/>
          <w:sz w:val="18"/>
          <w:szCs w:val="18"/>
          <w:color w:val="auto"/>
        </w:rPr>
        <w:t>Goodwill represents the excess of the purchase price over the fair value of the net assets acquired and liabilities assumed. Goodwill is not amortized but assessed for impairment annually on October 1 or more frequently if events or circumstances indicate that goodwill may be impaired. American has one consolidated reporting unit.</w:t>
      </w:r>
    </w:p>
    <w:p>
      <w:pPr>
        <w:spacing w:after="0" w:line="148" w:lineRule="exact"/>
        <w:rPr>
          <w:sz w:val="20"/>
          <w:szCs w:val="20"/>
          <w:color w:val="auto"/>
        </w:rPr>
      </w:pPr>
    </w:p>
    <w:p>
      <w:pPr>
        <w:jc w:val="both"/>
        <w:ind w:firstLine="216"/>
        <w:spacing w:after="0" w:line="253" w:lineRule="auto"/>
        <w:rPr>
          <w:sz w:val="20"/>
          <w:szCs w:val="20"/>
          <w:color w:val="auto"/>
        </w:rPr>
      </w:pPr>
      <w:r>
        <w:rPr>
          <w:rFonts w:ascii="Arial" w:cs="Arial" w:eastAsia="Arial" w:hAnsi="Arial"/>
          <w:sz w:val="18"/>
          <w:szCs w:val="18"/>
          <w:color w:val="auto"/>
        </w:rPr>
        <w:t>Goodwill is assessed for impairment by initially performing a qualitative assessment and, if necessary, then comparing the fair value of the reporting unit to its carrying value, including goodwill. If the fair value of the reporting unit is less than the carrying value, a second step is performed to determine the implied fair value of goodwill. If the implied fair value of goodwill is lower than its carrying value, an impairment charge equal to the difference is recorded. Based upon American’s annual assessment, there was no goodwill impairment in 2019. The carrying value of the goodwill on American’s consolidated balance sheets was $4.1 billion as of December 31, 2019 and 2018.</w:t>
      </w:r>
    </w:p>
    <w:p>
      <w:pPr>
        <w:spacing w:after="0" w:line="211" w:lineRule="exact"/>
        <w:rPr>
          <w:sz w:val="20"/>
          <w:szCs w:val="20"/>
          <w:color w:val="auto"/>
        </w:rPr>
      </w:pPr>
    </w:p>
    <w:p>
      <w:pPr>
        <w:ind w:left="220"/>
        <w:spacing w:after="0"/>
        <w:rPr>
          <w:sz w:val="20"/>
          <w:szCs w:val="20"/>
          <w:color w:val="auto"/>
        </w:rPr>
      </w:pPr>
      <w:r>
        <w:rPr>
          <w:rFonts w:ascii="Arial" w:cs="Arial" w:eastAsia="Arial" w:hAnsi="Arial"/>
          <w:sz w:val="18"/>
          <w:szCs w:val="18"/>
          <w:b w:val="1"/>
          <w:bCs w:val="1"/>
          <w:i w:val="1"/>
          <w:iCs w:val="1"/>
          <w:color w:val="auto"/>
        </w:rPr>
        <w:t>(j) Other Intangibles, Net</w:t>
      </w:r>
    </w:p>
    <w:p>
      <w:pPr>
        <w:spacing w:after="0" w:line="112" w:lineRule="exact"/>
        <w:rPr>
          <w:sz w:val="20"/>
          <w:szCs w:val="20"/>
          <w:color w:val="auto"/>
        </w:rPr>
      </w:pPr>
    </w:p>
    <w:p>
      <w:pPr>
        <w:jc w:val="both"/>
        <w:ind w:firstLine="216"/>
        <w:spacing w:after="0" w:line="262" w:lineRule="auto"/>
        <w:rPr>
          <w:sz w:val="20"/>
          <w:szCs w:val="20"/>
          <w:color w:val="auto"/>
        </w:rPr>
      </w:pPr>
      <w:r>
        <w:rPr>
          <w:rFonts w:ascii="Arial" w:cs="Arial" w:eastAsia="Arial" w:hAnsi="Arial"/>
          <w:sz w:val="18"/>
          <w:szCs w:val="18"/>
          <w:color w:val="auto"/>
        </w:rPr>
        <w:t>Intangible assets consist primarily of domestic airport slots, customer relationships, marketing agreements, international slots and route authorities, airport gate leasehold rights and tradenames.</w:t>
      </w:r>
    </w:p>
    <w:p>
      <w:pPr>
        <w:spacing w:after="0" w:line="205" w:lineRule="exact"/>
        <w:rPr>
          <w:sz w:val="20"/>
          <w:szCs w:val="20"/>
          <w:color w:val="auto"/>
        </w:rPr>
      </w:pPr>
    </w:p>
    <w:p>
      <w:pPr>
        <w:ind w:left="220"/>
        <w:spacing w:after="0"/>
        <w:rPr>
          <w:sz w:val="20"/>
          <w:szCs w:val="20"/>
          <w:color w:val="auto"/>
        </w:rPr>
      </w:pPr>
      <w:r>
        <w:rPr>
          <w:rFonts w:ascii="Arial" w:cs="Arial" w:eastAsia="Arial" w:hAnsi="Arial"/>
          <w:sz w:val="18"/>
          <w:szCs w:val="18"/>
          <w:i w:val="1"/>
          <w:iCs w:val="1"/>
          <w:u w:val="single" w:color="auto"/>
          <w:color w:val="auto"/>
        </w:rPr>
        <w:t>Definite-Lived Intangible Assets</w:t>
      </w:r>
    </w:p>
    <w:p>
      <w:pPr>
        <w:spacing w:after="0" w:line="108" w:lineRule="exact"/>
        <w:rPr>
          <w:sz w:val="20"/>
          <w:szCs w:val="20"/>
          <w:color w:val="auto"/>
        </w:rPr>
      </w:pPr>
    </w:p>
    <w:p>
      <w:pPr>
        <w:jc w:val="both"/>
        <w:ind w:firstLine="216"/>
        <w:spacing w:after="0" w:line="262" w:lineRule="auto"/>
        <w:rPr>
          <w:sz w:val="20"/>
          <w:szCs w:val="20"/>
          <w:color w:val="auto"/>
        </w:rPr>
      </w:pPr>
      <w:r>
        <w:rPr>
          <w:rFonts w:ascii="Arial" w:cs="Arial" w:eastAsia="Arial" w:hAnsi="Arial"/>
          <w:sz w:val="18"/>
          <w:szCs w:val="18"/>
          <w:color w:val="auto"/>
        </w:rPr>
        <w:t>Definite-lived intangible assets are amortized over their respective estimated useful lives and reviewed for impairment whenever events or changes in circumstances indicate that the carrying value may not be recoverable.</w:t>
      </w:r>
    </w:p>
    <w:p>
      <w:pPr>
        <w:spacing w:after="0" w:line="19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124</w:t>
      </w:r>
    </w:p>
    <w:p>
      <w:pPr>
        <w:sectPr>
          <w:pgSz w:w="11900" w:h="16838" w:orient="portrait"/>
          <w:cols w:equalWidth="0" w:num="1">
            <w:col w:w="11420"/>
          </w:cols>
          <w:pgMar w:left="240" w:top="549" w:right="239" w:bottom="1440" w:gutter="0" w:footer="0" w:header="0"/>
        </w:sectPr>
      </w:pPr>
    </w:p>
    <w:bookmarkStart w:id="124" w:name="page125"/>
    <w:bookmarkEnd w:id="124"/>
    <w:p>
      <w:pPr>
        <w:jc w:val="center"/>
        <w:spacing w:after="0"/>
        <w:rPr>
          <w:sz w:val="20"/>
          <w:szCs w:val="20"/>
          <w:color w:val="auto"/>
        </w:rPr>
      </w:pPr>
      <w:r>
        <w:rPr>
          <w:rFonts w:ascii="Arial" w:cs="Arial" w:eastAsia="Arial" w:hAnsi="Arial"/>
          <w:sz w:val="18"/>
          <w:szCs w:val="18"/>
          <w:b w:val="1"/>
          <w:bCs w:val="1"/>
          <w:color w:val="auto"/>
        </w:rPr>
        <w:t>NOTES TO CONSOLIDATED FINANCIAL STATEMENTS OF AMERICAN AIRLINES, INC.</w:t>
      </w:r>
    </w:p>
    <w:p>
      <w:pPr>
        <w:spacing w:after="0" w:line="200" w:lineRule="exact"/>
        <w:rPr>
          <w:sz w:val="20"/>
          <w:szCs w:val="20"/>
          <w:color w:val="auto"/>
        </w:rPr>
      </w:pPr>
    </w:p>
    <w:p>
      <w:pPr>
        <w:spacing w:after="0" w:line="209" w:lineRule="exact"/>
        <w:rPr>
          <w:sz w:val="20"/>
          <w:szCs w:val="20"/>
          <w:color w:val="auto"/>
        </w:rPr>
      </w:pPr>
    </w:p>
    <w:p>
      <w:pPr>
        <w:jc w:val="both"/>
        <w:ind w:right="20" w:firstLine="216"/>
        <w:spacing w:after="0" w:line="262" w:lineRule="auto"/>
        <w:rPr>
          <w:sz w:val="20"/>
          <w:szCs w:val="20"/>
          <w:color w:val="auto"/>
        </w:rPr>
      </w:pPr>
      <w:r>
        <w:rPr>
          <w:rFonts w:ascii="Arial" w:cs="Arial" w:eastAsia="Arial" w:hAnsi="Arial"/>
          <w:sz w:val="18"/>
          <w:szCs w:val="18"/>
          <w:color w:val="auto"/>
        </w:rPr>
        <w:t>The following table provides information relating to American’s amortizable intangible assets as of December 31, 2019 and 2018 (in millions):</w:t>
      </w:r>
    </w:p>
    <w:p>
      <w:pPr>
        <w:spacing w:after="0" w:line="292" w:lineRule="exact"/>
        <w:rPr>
          <w:sz w:val="20"/>
          <w:szCs w:val="20"/>
          <w:color w:val="auto"/>
        </w:rPr>
      </w:pPr>
    </w:p>
    <w:tbl>
      <w:tblPr>
        <w:tblLayout w:type="fixed"/>
        <w:tblInd w:w="0" w:type="dxa"/>
        <w:tblCellMar>
          <w:top w:w="0" w:type="dxa"/>
          <w:left w:w="0" w:type="dxa"/>
          <w:bottom w:w="0" w:type="dxa"/>
          <w:right w:w="0" w:type="dxa"/>
        </w:tblCellMar>
      </w:tblPr>
      <w:tr>
        <w:trPr>
          <w:trHeight w:val="196"/>
        </w:trPr>
        <w:tc>
          <w:tcPr>
            <w:tcW w:w="8560" w:type="dxa"/>
            <w:vAlign w:val="bottom"/>
          </w:tcPr>
          <w:p>
            <w:pPr>
              <w:spacing w:after="0"/>
              <w:rPr>
                <w:sz w:val="17"/>
                <w:szCs w:val="17"/>
                <w:color w:val="auto"/>
              </w:rPr>
            </w:pPr>
          </w:p>
        </w:tc>
        <w:tc>
          <w:tcPr>
            <w:tcW w:w="880" w:type="dxa"/>
            <w:vAlign w:val="bottom"/>
            <w:tcBorders>
              <w:bottom w:val="single" w:sz="8" w:color="auto"/>
            </w:tcBorders>
          </w:tcPr>
          <w:p>
            <w:pPr>
              <w:spacing w:after="0"/>
              <w:rPr>
                <w:sz w:val="17"/>
                <w:szCs w:val="17"/>
                <w:color w:val="auto"/>
              </w:rPr>
            </w:pPr>
          </w:p>
        </w:tc>
        <w:tc>
          <w:tcPr>
            <w:tcW w:w="1080" w:type="dxa"/>
            <w:vAlign w:val="bottom"/>
            <w:tcBorders>
              <w:bottom w:val="single" w:sz="8" w:color="auto"/>
            </w:tcBorders>
            <w:gridSpan w:val="3"/>
          </w:tcPr>
          <w:p>
            <w:pPr>
              <w:jc w:val="right"/>
              <w:spacing w:after="0"/>
              <w:rPr>
                <w:sz w:val="20"/>
                <w:szCs w:val="20"/>
                <w:color w:val="auto"/>
              </w:rPr>
            </w:pPr>
            <w:r>
              <w:rPr>
                <w:rFonts w:ascii="Arial" w:cs="Arial" w:eastAsia="Arial" w:hAnsi="Arial"/>
                <w:sz w:val="14"/>
                <w:szCs w:val="14"/>
                <w:b w:val="1"/>
                <w:bCs w:val="1"/>
                <w:color w:val="auto"/>
              </w:rPr>
              <w:t>December 31,</w:t>
            </w:r>
          </w:p>
        </w:tc>
        <w:tc>
          <w:tcPr>
            <w:tcW w:w="900" w:type="dxa"/>
            <w:vAlign w:val="bottom"/>
            <w:tcBorders>
              <w:bottom w:val="single" w:sz="8" w:color="auto"/>
            </w:tcBorders>
          </w:tcPr>
          <w:p>
            <w:pPr>
              <w:spacing w:after="0"/>
              <w:rPr>
                <w:sz w:val="17"/>
                <w:szCs w:val="17"/>
                <w:color w:val="auto"/>
              </w:rPr>
            </w:pPr>
          </w:p>
        </w:tc>
      </w:tr>
      <w:tr>
        <w:trPr>
          <w:trHeight w:val="264"/>
        </w:trPr>
        <w:tc>
          <w:tcPr>
            <w:tcW w:w="8560" w:type="dxa"/>
            <w:vAlign w:val="bottom"/>
            <w:tcBorders>
              <w:bottom w:val="single" w:sz="8" w:color="CCEEFF"/>
            </w:tcBorders>
          </w:tcPr>
          <w:p>
            <w:pPr>
              <w:spacing w:after="0"/>
              <w:rPr>
                <w:sz w:val="22"/>
                <w:szCs w:val="22"/>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2019</w:t>
            </w:r>
          </w:p>
        </w:tc>
        <w:tc>
          <w:tcPr>
            <w:tcW w:w="500" w:type="dxa"/>
            <w:vAlign w:val="bottom"/>
            <w:tcBorders>
              <w:bottom w:val="single" w:sz="8" w:color="auto"/>
            </w:tcBorders>
          </w:tcPr>
          <w:p>
            <w:pPr>
              <w:spacing w:after="0"/>
              <w:rPr>
                <w:sz w:val="22"/>
                <w:szCs w:val="22"/>
                <w:color w:val="auto"/>
              </w:rPr>
            </w:pPr>
          </w:p>
        </w:tc>
        <w:tc>
          <w:tcPr>
            <w:tcW w:w="100" w:type="dxa"/>
            <w:vAlign w:val="bottom"/>
            <w:tcBorders>
              <w:bottom w:val="single" w:sz="8" w:color="CCEEFF"/>
            </w:tcBorders>
          </w:tcPr>
          <w:p>
            <w:pPr>
              <w:spacing w:after="0"/>
              <w:rPr>
                <w:sz w:val="22"/>
                <w:szCs w:val="22"/>
                <w:color w:val="auto"/>
              </w:rPr>
            </w:pPr>
          </w:p>
        </w:tc>
        <w:tc>
          <w:tcPr>
            <w:tcW w:w="480" w:type="dxa"/>
            <w:vAlign w:val="bottom"/>
            <w:tcBorders>
              <w:bottom w:val="single" w:sz="8" w:color="auto"/>
            </w:tcBorders>
          </w:tcPr>
          <w:p>
            <w:pPr>
              <w:spacing w:after="0"/>
              <w:rPr>
                <w:sz w:val="22"/>
                <w:szCs w:val="22"/>
                <w:color w:val="auto"/>
              </w:rPr>
            </w:pPr>
          </w:p>
        </w:tc>
        <w:tc>
          <w:tcPr>
            <w:tcW w:w="900" w:type="dxa"/>
            <w:vAlign w:val="bottom"/>
            <w:tcBorders>
              <w:bottom w:val="single" w:sz="8" w:color="auto"/>
            </w:tcBorders>
          </w:tcPr>
          <w:p>
            <w:pPr>
              <w:jc w:val="right"/>
              <w:ind w:right="432"/>
              <w:spacing w:after="0"/>
              <w:rPr>
                <w:sz w:val="20"/>
                <w:szCs w:val="20"/>
                <w:color w:val="auto"/>
              </w:rPr>
            </w:pPr>
            <w:r>
              <w:rPr>
                <w:rFonts w:ascii="Arial" w:cs="Arial" w:eastAsia="Arial" w:hAnsi="Arial"/>
                <w:sz w:val="14"/>
                <w:szCs w:val="14"/>
                <w:b w:val="1"/>
                <w:bCs w:val="1"/>
                <w:color w:val="auto"/>
              </w:rPr>
              <w:t>2018</w:t>
            </w:r>
          </w:p>
        </w:tc>
      </w:tr>
      <w:tr>
        <w:trPr>
          <w:trHeight w:val="256"/>
        </w:trPr>
        <w:tc>
          <w:tcPr>
            <w:tcW w:w="8560" w:type="dxa"/>
            <w:vAlign w:val="bottom"/>
            <w:shd w:val="clear" w:color="auto" w:fill="CCEEFF"/>
          </w:tcPr>
          <w:p>
            <w:pPr>
              <w:ind w:left="40"/>
              <w:spacing w:after="0"/>
              <w:rPr>
                <w:sz w:val="20"/>
                <w:szCs w:val="20"/>
                <w:color w:val="auto"/>
              </w:rPr>
            </w:pPr>
            <w:r>
              <w:rPr>
                <w:rFonts w:ascii="Arial" w:cs="Arial" w:eastAsia="Arial" w:hAnsi="Arial"/>
                <w:sz w:val="18"/>
                <w:szCs w:val="18"/>
                <w:color w:val="auto"/>
              </w:rPr>
              <w:t>Domestic airport slots</w:t>
            </w:r>
          </w:p>
        </w:tc>
        <w:tc>
          <w:tcPr>
            <w:tcW w:w="880" w:type="dxa"/>
            <w:vAlign w:val="bottom"/>
            <w:shd w:val="clear" w:color="auto" w:fill="CCEEFF"/>
          </w:tcPr>
          <w:p>
            <w:pPr>
              <w:jc w:val="right"/>
              <w:ind w:right="676"/>
              <w:spacing w:after="0"/>
              <w:rPr>
                <w:sz w:val="20"/>
                <w:szCs w:val="20"/>
                <w:color w:val="auto"/>
              </w:rPr>
            </w:pPr>
            <w:r>
              <w:rPr>
                <w:rFonts w:ascii="Arial" w:cs="Arial" w:eastAsia="Arial" w:hAnsi="Arial"/>
                <w:sz w:val="18"/>
                <w:szCs w:val="18"/>
                <w:color w:val="auto"/>
                <w:w w:val="99"/>
              </w:rPr>
              <w:t>$</w:t>
            </w:r>
          </w:p>
        </w:tc>
        <w:tc>
          <w:tcPr>
            <w:tcW w:w="500" w:type="dxa"/>
            <w:vAlign w:val="bottom"/>
            <w:shd w:val="clear" w:color="auto" w:fill="CCEEFF"/>
          </w:tcPr>
          <w:p>
            <w:pPr>
              <w:jc w:val="right"/>
              <w:ind w:right="32"/>
              <w:spacing w:after="0"/>
              <w:rPr>
                <w:sz w:val="20"/>
                <w:szCs w:val="20"/>
                <w:color w:val="auto"/>
              </w:rPr>
            </w:pPr>
            <w:r>
              <w:rPr>
                <w:rFonts w:ascii="Arial" w:cs="Arial" w:eastAsia="Arial" w:hAnsi="Arial"/>
                <w:sz w:val="18"/>
                <w:szCs w:val="18"/>
                <w:color w:val="auto"/>
              </w:rPr>
              <w:t>365</w:t>
            </w:r>
          </w:p>
        </w:tc>
        <w:tc>
          <w:tcPr>
            <w:tcW w:w="100" w:type="dxa"/>
            <w:vAlign w:val="bottom"/>
            <w:shd w:val="clear" w:color="auto" w:fill="CCEEFF"/>
          </w:tcPr>
          <w:p>
            <w:pPr>
              <w:spacing w:after="0"/>
              <w:rPr>
                <w:sz w:val="22"/>
                <w:szCs w:val="22"/>
                <w:color w:val="auto"/>
              </w:rPr>
            </w:pPr>
          </w:p>
        </w:tc>
        <w:tc>
          <w:tcPr>
            <w:tcW w:w="480" w:type="dxa"/>
            <w:vAlign w:val="bottom"/>
            <w:shd w:val="clear" w:color="auto" w:fill="CCEEFF"/>
          </w:tcPr>
          <w:p>
            <w:pPr>
              <w:jc w:val="right"/>
              <w:ind w:right="270"/>
              <w:spacing w:after="0"/>
              <w:rPr>
                <w:sz w:val="20"/>
                <w:szCs w:val="20"/>
                <w:color w:val="auto"/>
              </w:rPr>
            </w:pPr>
            <w:r>
              <w:rPr>
                <w:rFonts w:ascii="Arial" w:cs="Arial" w:eastAsia="Arial" w:hAnsi="Arial"/>
                <w:sz w:val="18"/>
                <w:szCs w:val="18"/>
                <w:color w:val="auto"/>
                <w:w w:val="99"/>
              </w:rPr>
              <w:t>$</w:t>
            </w:r>
          </w:p>
        </w:tc>
        <w:tc>
          <w:tcPr>
            <w:tcW w:w="90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365</w:t>
            </w:r>
          </w:p>
        </w:tc>
      </w:tr>
      <w:tr>
        <w:trPr>
          <w:trHeight w:val="263"/>
        </w:trPr>
        <w:tc>
          <w:tcPr>
            <w:tcW w:w="8560" w:type="dxa"/>
            <w:vAlign w:val="bottom"/>
          </w:tcPr>
          <w:p>
            <w:pPr>
              <w:ind w:left="40"/>
              <w:spacing w:after="0"/>
              <w:rPr>
                <w:sz w:val="20"/>
                <w:szCs w:val="20"/>
                <w:color w:val="auto"/>
              </w:rPr>
            </w:pPr>
            <w:r>
              <w:rPr>
                <w:rFonts w:ascii="Arial" w:cs="Arial" w:eastAsia="Arial" w:hAnsi="Arial"/>
                <w:sz w:val="18"/>
                <w:szCs w:val="18"/>
                <w:color w:val="auto"/>
              </w:rPr>
              <w:t>Customer relationships</w:t>
            </w:r>
          </w:p>
        </w:tc>
        <w:tc>
          <w:tcPr>
            <w:tcW w:w="880" w:type="dxa"/>
            <w:vAlign w:val="bottom"/>
          </w:tcPr>
          <w:p>
            <w:pPr>
              <w:spacing w:after="0"/>
              <w:rPr>
                <w:sz w:val="22"/>
                <w:szCs w:val="22"/>
                <w:color w:val="auto"/>
              </w:rPr>
            </w:pPr>
          </w:p>
        </w:tc>
        <w:tc>
          <w:tcPr>
            <w:tcW w:w="500" w:type="dxa"/>
            <w:vAlign w:val="bottom"/>
          </w:tcPr>
          <w:p>
            <w:pPr>
              <w:jc w:val="right"/>
              <w:ind w:right="32"/>
              <w:spacing w:after="0"/>
              <w:rPr>
                <w:sz w:val="20"/>
                <w:szCs w:val="20"/>
                <w:color w:val="auto"/>
              </w:rPr>
            </w:pPr>
            <w:r>
              <w:rPr>
                <w:rFonts w:ascii="Arial" w:cs="Arial" w:eastAsia="Arial" w:hAnsi="Arial"/>
                <w:sz w:val="18"/>
                <w:szCs w:val="18"/>
                <w:color w:val="auto"/>
              </w:rPr>
              <w:t>300</w:t>
            </w:r>
          </w:p>
        </w:tc>
        <w:tc>
          <w:tcPr>
            <w:tcW w:w="100" w:type="dxa"/>
            <w:vAlign w:val="bottom"/>
          </w:tcPr>
          <w:p>
            <w:pPr>
              <w:spacing w:after="0"/>
              <w:rPr>
                <w:sz w:val="22"/>
                <w:szCs w:val="22"/>
                <w:color w:val="auto"/>
              </w:rPr>
            </w:pPr>
          </w:p>
        </w:tc>
        <w:tc>
          <w:tcPr>
            <w:tcW w:w="480" w:type="dxa"/>
            <w:vAlign w:val="bottom"/>
          </w:tcPr>
          <w:p>
            <w:pPr>
              <w:spacing w:after="0"/>
              <w:rPr>
                <w:sz w:val="22"/>
                <w:szCs w:val="22"/>
                <w:color w:val="auto"/>
              </w:rPr>
            </w:pPr>
          </w:p>
        </w:tc>
        <w:tc>
          <w:tcPr>
            <w:tcW w:w="900" w:type="dxa"/>
            <w:vAlign w:val="bottom"/>
          </w:tcPr>
          <w:p>
            <w:pPr>
              <w:jc w:val="right"/>
              <w:ind w:right="12"/>
              <w:spacing w:after="0"/>
              <w:rPr>
                <w:sz w:val="20"/>
                <w:szCs w:val="20"/>
                <w:color w:val="auto"/>
              </w:rPr>
            </w:pPr>
            <w:r>
              <w:rPr>
                <w:rFonts w:ascii="Arial" w:cs="Arial" w:eastAsia="Arial" w:hAnsi="Arial"/>
                <w:sz w:val="18"/>
                <w:szCs w:val="18"/>
                <w:color w:val="auto"/>
              </w:rPr>
              <w:t>300</w:t>
            </w:r>
          </w:p>
        </w:tc>
      </w:tr>
      <w:tr>
        <w:trPr>
          <w:trHeight w:val="277"/>
        </w:trPr>
        <w:tc>
          <w:tcPr>
            <w:tcW w:w="8560" w:type="dxa"/>
            <w:vAlign w:val="bottom"/>
            <w:shd w:val="clear" w:color="auto" w:fill="CCEEFF"/>
          </w:tcPr>
          <w:p>
            <w:pPr>
              <w:ind w:left="40"/>
              <w:spacing w:after="0"/>
              <w:rPr>
                <w:sz w:val="20"/>
                <w:szCs w:val="20"/>
                <w:color w:val="auto"/>
              </w:rPr>
            </w:pPr>
            <w:r>
              <w:rPr>
                <w:rFonts w:ascii="Arial" w:cs="Arial" w:eastAsia="Arial" w:hAnsi="Arial"/>
                <w:sz w:val="18"/>
                <w:szCs w:val="18"/>
                <w:color w:val="auto"/>
              </w:rPr>
              <w:t>Marketing agreements</w:t>
            </w:r>
          </w:p>
        </w:tc>
        <w:tc>
          <w:tcPr>
            <w:tcW w:w="880" w:type="dxa"/>
            <w:vAlign w:val="bottom"/>
            <w:shd w:val="clear" w:color="auto" w:fill="CCEEFF"/>
          </w:tcPr>
          <w:p>
            <w:pPr>
              <w:spacing w:after="0"/>
              <w:rPr>
                <w:sz w:val="24"/>
                <w:szCs w:val="24"/>
                <w:color w:val="auto"/>
              </w:rPr>
            </w:pPr>
          </w:p>
        </w:tc>
        <w:tc>
          <w:tcPr>
            <w:tcW w:w="500" w:type="dxa"/>
            <w:vAlign w:val="bottom"/>
            <w:shd w:val="clear" w:color="auto" w:fill="CCEEFF"/>
          </w:tcPr>
          <w:p>
            <w:pPr>
              <w:jc w:val="right"/>
              <w:ind w:right="32"/>
              <w:spacing w:after="0"/>
              <w:rPr>
                <w:sz w:val="20"/>
                <w:szCs w:val="20"/>
                <w:color w:val="auto"/>
              </w:rPr>
            </w:pPr>
            <w:r>
              <w:rPr>
                <w:rFonts w:ascii="Arial" w:cs="Arial" w:eastAsia="Arial" w:hAnsi="Arial"/>
                <w:sz w:val="18"/>
                <w:szCs w:val="18"/>
                <w:color w:val="auto"/>
              </w:rPr>
              <w:t>105</w:t>
            </w:r>
          </w:p>
        </w:tc>
        <w:tc>
          <w:tcPr>
            <w:tcW w:w="100" w:type="dxa"/>
            <w:vAlign w:val="bottom"/>
            <w:shd w:val="clear" w:color="auto" w:fill="CCEEFF"/>
          </w:tcPr>
          <w:p>
            <w:pPr>
              <w:spacing w:after="0"/>
              <w:rPr>
                <w:sz w:val="24"/>
                <w:szCs w:val="24"/>
                <w:color w:val="auto"/>
              </w:rPr>
            </w:pPr>
          </w:p>
        </w:tc>
        <w:tc>
          <w:tcPr>
            <w:tcW w:w="480" w:type="dxa"/>
            <w:vAlign w:val="bottom"/>
            <w:shd w:val="clear" w:color="auto" w:fill="CCEEFF"/>
          </w:tcPr>
          <w:p>
            <w:pPr>
              <w:spacing w:after="0"/>
              <w:rPr>
                <w:sz w:val="24"/>
                <w:szCs w:val="24"/>
                <w:color w:val="auto"/>
              </w:rPr>
            </w:pPr>
          </w:p>
        </w:tc>
        <w:tc>
          <w:tcPr>
            <w:tcW w:w="90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105</w:t>
            </w:r>
          </w:p>
        </w:tc>
      </w:tr>
      <w:tr>
        <w:trPr>
          <w:trHeight w:val="263"/>
        </w:trPr>
        <w:tc>
          <w:tcPr>
            <w:tcW w:w="8560" w:type="dxa"/>
            <w:vAlign w:val="bottom"/>
          </w:tcPr>
          <w:p>
            <w:pPr>
              <w:ind w:left="40"/>
              <w:spacing w:after="0"/>
              <w:rPr>
                <w:sz w:val="20"/>
                <w:szCs w:val="20"/>
                <w:color w:val="auto"/>
              </w:rPr>
            </w:pPr>
            <w:r>
              <w:rPr>
                <w:rFonts w:ascii="Arial" w:cs="Arial" w:eastAsia="Arial" w:hAnsi="Arial"/>
                <w:sz w:val="18"/>
                <w:szCs w:val="18"/>
                <w:color w:val="auto"/>
              </w:rPr>
              <w:t>Tradenames</w:t>
            </w:r>
          </w:p>
        </w:tc>
        <w:tc>
          <w:tcPr>
            <w:tcW w:w="880" w:type="dxa"/>
            <w:vAlign w:val="bottom"/>
          </w:tcPr>
          <w:p>
            <w:pPr>
              <w:spacing w:after="0"/>
              <w:rPr>
                <w:sz w:val="22"/>
                <w:szCs w:val="22"/>
                <w:color w:val="auto"/>
              </w:rPr>
            </w:pPr>
          </w:p>
        </w:tc>
        <w:tc>
          <w:tcPr>
            <w:tcW w:w="500" w:type="dxa"/>
            <w:vAlign w:val="bottom"/>
          </w:tcPr>
          <w:p>
            <w:pPr>
              <w:jc w:val="right"/>
              <w:ind w:right="32"/>
              <w:spacing w:after="0"/>
              <w:rPr>
                <w:sz w:val="20"/>
                <w:szCs w:val="20"/>
                <w:color w:val="auto"/>
              </w:rPr>
            </w:pPr>
            <w:r>
              <w:rPr>
                <w:rFonts w:ascii="Arial" w:cs="Arial" w:eastAsia="Arial" w:hAnsi="Arial"/>
                <w:sz w:val="18"/>
                <w:szCs w:val="18"/>
                <w:color w:val="auto"/>
              </w:rPr>
              <w:t>35</w:t>
            </w:r>
          </w:p>
        </w:tc>
        <w:tc>
          <w:tcPr>
            <w:tcW w:w="100" w:type="dxa"/>
            <w:vAlign w:val="bottom"/>
          </w:tcPr>
          <w:p>
            <w:pPr>
              <w:spacing w:after="0"/>
              <w:rPr>
                <w:sz w:val="22"/>
                <w:szCs w:val="22"/>
                <w:color w:val="auto"/>
              </w:rPr>
            </w:pPr>
          </w:p>
        </w:tc>
        <w:tc>
          <w:tcPr>
            <w:tcW w:w="480" w:type="dxa"/>
            <w:vAlign w:val="bottom"/>
          </w:tcPr>
          <w:p>
            <w:pPr>
              <w:spacing w:after="0"/>
              <w:rPr>
                <w:sz w:val="22"/>
                <w:szCs w:val="22"/>
                <w:color w:val="auto"/>
              </w:rPr>
            </w:pPr>
          </w:p>
        </w:tc>
        <w:tc>
          <w:tcPr>
            <w:tcW w:w="900" w:type="dxa"/>
            <w:vAlign w:val="bottom"/>
          </w:tcPr>
          <w:p>
            <w:pPr>
              <w:jc w:val="right"/>
              <w:ind w:right="12"/>
              <w:spacing w:after="0"/>
              <w:rPr>
                <w:sz w:val="20"/>
                <w:szCs w:val="20"/>
                <w:color w:val="auto"/>
              </w:rPr>
            </w:pPr>
            <w:r>
              <w:rPr>
                <w:rFonts w:ascii="Arial" w:cs="Arial" w:eastAsia="Arial" w:hAnsi="Arial"/>
                <w:sz w:val="18"/>
                <w:szCs w:val="18"/>
                <w:color w:val="auto"/>
              </w:rPr>
              <w:t>35</w:t>
            </w:r>
          </w:p>
        </w:tc>
      </w:tr>
      <w:tr>
        <w:trPr>
          <w:trHeight w:val="277"/>
        </w:trPr>
        <w:tc>
          <w:tcPr>
            <w:tcW w:w="8560" w:type="dxa"/>
            <w:vAlign w:val="bottom"/>
            <w:shd w:val="clear" w:color="auto" w:fill="CCEEFF"/>
          </w:tcPr>
          <w:p>
            <w:pPr>
              <w:ind w:left="40"/>
              <w:spacing w:after="0"/>
              <w:rPr>
                <w:sz w:val="20"/>
                <w:szCs w:val="20"/>
                <w:color w:val="auto"/>
              </w:rPr>
            </w:pPr>
            <w:r>
              <w:rPr>
                <w:rFonts w:ascii="Arial" w:cs="Arial" w:eastAsia="Arial" w:hAnsi="Arial"/>
                <w:sz w:val="18"/>
                <w:szCs w:val="18"/>
                <w:color w:val="auto"/>
              </w:rPr>
              <w:t>Airport gate leasehold rights</w:t>
            </w:r>
          </w:p>
        </w:tc>
        <w:tc>
          <w:tcPr>
            <w:tcW w:w="880" w:type="dxa"/>
            <w:vAlign w:val="bottom"/>
            <w:shd w:val="clear" w:color="auto" w:fill="CCEEFF"/>
          </w:tcPr>
          <w:p>
            <w:pPr>
              <w:spacing w:after="0"/>
              <w:rPr>
                <w:sz w:val="24"/>
                <w:szCs w:val="24"/>
                <w:color w:val="auto"/>
              </w:rPr>
            </w:pPr>
          </w:p>
        </w:tc>
        <w:tc>
          <w:tcPr>
            <w:tcW w:w="500" w:type="dxa"/>
            <w:vAlign w:val="bottom"/>
            <w:shd w:val="clear" w:color="auto" w:fill="CCEEFF"/>
          </w:tcPr>
          <w:p>
            <w:pPr>
              <w:jc w:val="right"/>
              <w:ind w:right="32"/>
              <w:spacing w:after="0"/>
              <w:rPr>
                <w:sz w:val="20"/>
                <w:szCs w:val="20"/>
                <w:color w:val="auto"/>
              </w:rPr>
            </w:pPr>
            <w:r>
              <w:rPr>
                <w:rFonts w:ascii="Arial" w:cs="Arial" w:eastAsia="Arial" w:hAnsi="Arial"/>
                <w:sz w:val="18"/>
                <w:szCs w:val="18"/>
                <w:color w:val="auto"/>
              </w:rPr>
              <w:t>137</w:t>
            </w:r>
          </w:p>
        </w:tc>
        <w:tc>
          <w:tcPr>
            <w:tcW w:w="100" w:type="dxa"/>
            <w:vAlign w:val="bottom"/>
            <w:shd w:val="clear" w:color="auto" w:fill="CCEEFF"/>
          </w:tcPr>
          <w:p>
            <w:pPr>
              <w:spacing w:after="0"/>
              <w:rPr>
                <w:sz w:val="24"/>
                <w:szCs w:val="24"/>
                <w:color w:val="auto"/>
              </w:rPr>
            </w:pPr>
          </w:p>
        </w:tc>
        <w:tc>
          <w:tcPr>
            <w:tcW w:w="480" w:type="dxa"/>
            <w:vAlign w:val="bottom"/>
            <w:shd w:val="clear" w:color="auto" w:fill="CCEEFF"/>
          </w:tcPr>
          <w:p>
            <w:pPr>
              <w:spacing w:after="0"/>
              <w:rPr>
                <w:sz w:val="24"/>
                <w:szCs w:val="24"/>
                <w:color w:val="auto"/>
              </w:rPr>
            </w:pPr>
          </w:p>
        </w:tc>
        <w:tc>
          <w:tcPr>
            <w:tcW w:w="90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137</w:t>
            </w:r>
          </w:p>
        </w:tc>
      </w:tr>
      <w:tr>
        <w:trPr>
          <w:trHeight w:val="264"/>
        </w:trPr>
        <w:tc>
          <w:tcPr>
            <w:tcW w:w="8560" w:type="dxa"/>
            <w:vAlign w:val="bottom"/>
            <w:tcBorders>
              <w:bottom w:val="single" w:sz="8" w:color="CCEEFF"/>
            </w:tcBorders>
          </w:tcPr>
          <w:p>
            <w:pPr>
              <w:ind w:left="40"/>
              <w:spacing w:after="0"/>
              <w:rPr>
                <w:sz w:val="20"/>
                <w:szCs w:val="20"/>
                <w:color w:val="auto"/>
              </w:rPr>
            </w:pPr>
            <w:r>
              <w:rPr>
                <w:rFonts w:ascii="Arial" w:cs="Arial" w:eastAsia="Arial" w:hAnsi="Arial"/>
                <w:sz w:val="18"/>
                <w:szCs w:val="18"/>
                <w:color w:val="auto"/>
              </w:rPr>
              <w:t>Accumulated amortization</w:t>
            </w:r>
          </w:p>
        </w:tc>
        <w:tc>
          <w:tcPr>
            <w:tcW w:w="880" w:type="dxa"/>
            <w:vAlign w:val="bottom"/>
            <w:tcBorders>
              <w:bottom w:val="single" w:sz="8" w:color="auto"/>
            </w:tcBorders>
          </w:tcPr>
          <w:p>
            <w:pPr>
              <w:spacing w:after="0"/>
              <w:rPr>
                <w:sz w:val="22"/>
                <w:szCs w:val="22"/>
                <w:color w:val="auto"/>
              </w:rPr>
            </w:pPr>
          </w:p>
        </w:tc>
        <w:tc>
          <w:tcPr>
            <w:tcW w:w="5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(704)</w:t>
            </w:r>
          </w:p>
        </w:tc>
        <w:tc>
          <w:tcPr>
            <w:tcW w:w="100" w:type="dxa"/>
            <w:vAlign w:val="bottom"/>
            <w:tcBorders>
              <w:bottom w:val="single" w:sz="8" w:color="CCEEFF"/>
            </w:tcBorders>
          </w:tcPr>
          <w:p>
            <w:pPr>
              <w:spacing w:after="0"/>
              <w:rPr>
                <w:sz w:val="22"/>
                <w:szCs w:val="22"/>
                <w:color w:val="auto"/>
              </w:rPr>
            </w:pPr>
          </w:p>
        </w:tc>
        <w:tc>
          <w:tcPr>
            <w:tcW w:w="480" w:type="dxa"/>
            <w:vAlign w:val="bottom"/>
            <w:tcBorders>
              <w:bottom w:val="single" w:sz="8" w:color="auto"/>
            </w:tcBorders>
          </w:tcPr>
          <w:p>
            <w:pPr>
              <w:spacing w:after="0"/>
              <w:rPr>
                <w:sz w:val="22"/>
                <w:szCs w:val="22"/>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(663)</w:t>
            </w:r>
          </w:p>
        </w:tc>
      </w:tr>
      <w:tr>
        <w:trPr>
          <w:trHeight w:val="250"/>
        </w:trPr>
        <w:tc>
          <w:tcPr>
            <w:tcW w:w="856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Total</w:t>
            </w:r>
          </w:p>
        </w:tc>
        <w:tc>
          <w:tcPr>
            <w:tcW w:w="880" w:type="dxa"/>
            <w:vAlign w:val="bottom"/>
            <w:tcBorders>
              <w:bottom w:val="single" w:sz="8" w:color="auto"/>
            </w:tcBorders>
            <w:shd w:val="clear" w:color="auto" w:fill="CCEEFF"/>
          </w:tcPr>
          <w:p>
            <w:pPr>
              <w:jc w:val="right"/>
              <w:ind w:right="676"/>
              <w:spacing w:after="0"/>
              <w:rPr>
                <w:sz w:val="20"/>
                <w:szCs w:val="20"/>
                <w:color w:val="auto"/>
              </w:rPr>
            </w:pPr>
            <w:r>
              <w:rPr>
                <w:rFonts w:ascii="Arial" w:cs="Arial" w:eastAsia="Arial" w:hAnsi="Arial"/>
                <w:sz w:val="18"/>
                <w:szCs w:val="18"/>
                <w:color w:val="auto"/>
                <w:w w:val="99"/>
              </w:rPr>
              <w:t>$</w:t>
            </w:r>
          </w:p>
        </w:tc>
        <w:tc>
          <w:tcPr>
            <w:tcW w:w="500" w:type="dxa"/>
            <w:vAlign w:val="bottom"/>
            <w:tcBorders>
              <w:bottom w:val="single" w:sz="8" w:color="auto"/>
            </w:tcBorders>
            <w:shd w:val="clear" w:color="auto" w:fill="CCEEFF"/>
          </w:tcPr>
          <w:p>
            <w:pPr>
              <w:jc w:val="right"/>
              <w:ind w:right="32"/>
              <w:spacing w:after="0"/>
              <w:rPr>
                <w:sz w:val="20"/>
                <w:szCs w:val="20"/>
                <w:color w:val="auto"/>
              </w:rPr>
            </w:pPr>
            <w:r>
              <w:rPr>
                <w:rFonts w:ascii="Arial" w:cs="Arial" w:eastAsia="Arial" w:hAnsi="Arial"/>
                <w:sz w:val="18"/>
                <w:szCs w:val="18"/>
                <w:color w:val="auto"/>
              </w:rPr>
              <w:t>238</w:t>
            </w:r>
          </w:p>
        </w:tc>
        <w:tc>
          <w:tcPr>
            <w:tcW w:w="100" w:type="dxa"/>
            <w:vAlign w:val="bottom"/>
            <w:tcBorders>
              <w:bottom w:val="single" w:sz="8" w:color="CCEEFF"/>
            </w:tcBorders>
            <w:shd w:val="clear" w:color="auto" w:fill="CCEEFF"/>
          </w:tcPr>
          <w:p>
            <w:pPr>
              <w:spacing w:after="0"/>
              <w:rPr>
                <w:sz w:val="21"/>
                <w:szCs w:val="21"/>
                <w:color w:val="auto"/>
              </w:rPr>
            </w:pPr>
          </w:p>
        </w:tc>
        <w:tc>
          <w:tcPr>
            <w:tcW w:w="480" w:type="dxa"/>
            <w:vAlign w:val="bottom"/>
            <w:tcBorders>
              <w:bottom w:val="single" w:sz="8" w:color="auto"/>
            </w:tcBorders>
            <w:shd w:val="clear" w:color="auto" w:fill="CCEEFF"/>
          </w:tcPr>
          <w:p>
            <w:pPr>
              <w:jc w:val="right"/>
              <w:ind w:right="270"/>
              <w:spacing w:after="0"/>
              <w:rPr>
                <w:sz w:val="20"/>
                <w:szCs w:val="20"/>
                <w:color w:val="auto"/>
              </w:rPr>
            </w:pPr>
            <w:r>
              <w:rPr>
                <w:rFonts w:ascii="Arial" w:cs="Arial" w:eastAsia="Arial" w:hAnsi="Arial"/>
                <w:sz w:val="18"/>
                <w:szCs w:val="18"/>
                <w:color w:val="auto"/>
                <w:w w:val="99"/>
              </w:rPr>
              <w:t>$</w:t>
            </w:r>
          </w:p>
        </w:tc>
        <w:tc>
          <w:tcPr>
            <w:tcW w:w="900" w:type="dxa"/>
            <w:vAlign w:val="bottom"/>
            <w:tcBorders>
              <w:bottom w:val="single" w:sz="8" w:color="auto"/>
            </w:tcBorders>
            <w:shd w:val="clear" w:color="auto" w:fill="CCEEFF"/>
          </w:tcPr>
          <w:p>
            <w:pPr>
              <w:jc w:val="right"/>
              <w:ind w:right="12"/>
              <w:spacing w:after="0"/>
              <w:rPr>
                <w:sz w:val="20"/>
                <w:szCs w:val="20"/>
                <w:color w:val="auto"/>
              </w:rPr>
            </w:pPr>
            <w:r>
              <w:rPr>
                <w:rFonts w:ascii="Arial" w:cs="Arial" w:eastAsia="Arial" w:hAnsi="Arial"/>
                <w:sz w:val="18"/>
                <w:szCs w:val="18"/>
                <w:color w:val="auto"/>
              </w:rPr>
              <w:t>279</w:t>
            </w:r>
          </w:p>
        </w:tc>
      </w:tr>
      <w:tr>
        <w:trPr>
          <w:trHeight w:val="20"/>
        </w:trPr>
        <w:tc>
          <w:tcPr>
            <w:tcW w:w="8560" w:type="dxa"/>
            <w:vAlign w:val="bottom"/>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r>
    </w:tbl>
    <w:p>
      <w:pPr>
        <w:spacing w:after="0" w:line="377" w:lineRule="exact"/>
        <w:rPr>
          <w:sz w:val="20"/>
          <w:szCs w:val="20"/>
          <w:color w:val="auto"/>
        </w:rPr>
      </w:pPr>
    </w:p>
    <w:p>
      <w:pPr>
        <w:jc w:val="both"/>
        <w:ind w:firstLine="216"/>
        <w:spacing w:after="0" w:line="256" w:lineRule="auto"/>
        <w:rPr>
          <w:sz w:val="20"/>
          <w:szCs w:val="20"/>
          <w:color w:val="auto"/>
        </w:rPr>
      </w:pPr>
      <w:r>
        <w:rPr>
          <w:rFonts w:ascii="Arial" w:cs="Arial" w:eastAsia="Arial" w:hAnsi="Arial"/>
          <w:sz w:val="18"/>
          <w:szCs w:val="18"/>
          <w:color w:val="auto"/>
        </w:rPr>
        <w:t>Certain domestic airport slots and airport gate leasehold rights are amortized on a straight-line basis over 25 years. The customer relationships and marketing agreements were identified as intangible assets subject to amortization and are amortized on a straight-line basis over approximately nine years and 30 years, respectively. Tradenames are fully amortized.</w:t>
      </w:r>
    </w:p>
    <w:p>
      <w:pPr>
        <w:spacing w:after="0" w:line="148" w:lineRule="exact"/>
        <w:rPr>
          <w:sz w:val="20"/>
          <w:szCs w:val="20"/>
          <w:color w:val="auto"/>
        </w:rPr>
      </w:pPr>
    </w:p>
    <w:p>
      <w:pPr>
        <w:ind w:firstLine="216"/>
        <w:spacing w:after="0" w:line="262" w:lineRule="auto"/>
        <w:rPr>
          <w:sz w:val="20"/>
          <w:szCs w:val="20"/>
          <w:color w:val="auto"/>
        </w:rPr>
      </w:pPr>
      <w:r>
        <w:rPr>
          <w:rFonts w:ascii="Arial" w:cs="Arial" w:eastAsia="Arial" w:hAnsi="Arial"/>
          <w:sz w:val="18"/>
          <w:szCs w:val="18"/>
          <w:color w:val="auto"/>
        </w:rPr>
        <w:t>American recorded amortization expense related to these intangible assets of $41 million for both years ended December 31, 2019 and 2018 and $44 million for 2017. American expects to record annual amortization expense for these intangible assets as follows (in millions):</w:t>
      </w:r>
    </w:p>
    <w:p>
      <w:pPr>
        <w:spacing w:after="0" w:line="278" w:lineRule="exact"/>
        <w:rPr>
          <w:sz w:val="20"/>
          <w:szCs w:val="20"/>
          <w:color w:val="auto"/>
        </w:rPr>
      </w:pPr>
    </w:p>
    <w:tbl>
      <w:tblPr>
        <w:tblLayout w:type="fixed"/>
        <w:tblInd w:w="0" w:type="dxa"/>
        <w:tblCellMar>
          <w:top w:w="0" w:type="dxa"/>
          <w:left w:w="0" w:type="dxa"/>
          <w:bottom w:w="0" w:type="dxa"/>
          <w:right w:w="0" w:type="dxa"/>
        </w:tblCellMar>
      </w:tblPr>
      <w:tr>
        <w:trPr>
          <w:trHeight w:val="257"/>
        </w:trPr>
        <w:tc>
          <w:tcPr>
            <w:tcW w:w="9580" w:type="dxa"/>
            <w:vAlign w:val="bottom"/>
            <w:shd w:val="clear" w:color="auto" w:fill="CCEEFF"/>
          </w:tcPr>
          <w:p>
            <w:pPr>
              <w:ind w:left="40"/>
              <w:spacing w:after="0"/>
              <w:rPr>
                <w:sz w:val="20"/>
                <w:szCs w:val="20"/>
                <w:color w:val="auto"/>
              </w:rPr>
            </w:pPr>
            <w:r>
              <w:rPr>
                <w:rFonts w:ascii="Arial" w:cs="Arial" w:eastAsia="Arial" w:hAnsi="Arial"/>
                <w:sz w:val="18"/>
                <w:szCs w:val="18"/>
                <w:color w:val="auto"/>
              </w:rPr>
              <w:t>2020</w:t>
            </w:r>
          </w:p>
        </w:tc>
        <w:tc>
          <w:tcPr>
            <w:tcW w:w="780" w:type="dxa"/>
            <w:vAlign w:val="bottom"/>
            <w:shd w:val="clear" w:color="auto" w:fill="CCEEFF"/>
          </w:tcPr>
          <w:p>
            <w:pPr>
              <w:jc w:val="right"/>
              <w:ind w:right="550"/>
              <w:spacing w:after="0"/>
              <w:rPr>
                <w:sz w:val="20"/>
                <w:szCs w:val="20"/>
                <w:color w:val="auto"/>
              </w:rPr>
            </w:pPr>
            <w:r>
              <w:rPr>
                <w:rFonts w:ascii="Arial" w:cs="Arial" w:eastAsia="Arial" w:hAnsi="Arial"/>
                <w:sz w:val="18"/>
                <w:szCs w:val="18"/>
                <w:color w:val="auto"/>
              </w:rPr>
              <w:t>$</w:t>
            </w:r>
          </w:p>
        </w:tc>
        <w:tc>
          <w:tcPr>
            <w:tcW w:w="106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41</w:t>
            </w:r>
          </w:p>
        </w:tc>
      </w:tr>
      <w:tr>
        <w:trPr>
          <w:trHeight w:val="250"/>
        </w:trPr>
        <w:tc>
          <w:tcPr>
            <w:tcW w:w="9580" w:type="dxa"/>
            <w:vAlign w:val="bottom"/>
          </w:tcPr>
          <w:p>
            <w:pPr>
              <w:ind w:left="40"/>
              <w:spacing w:after="0"/>
              <w:rPr>
                <w:sz w:val="20"/>
                <w:szCs w:val="20"/>
                <w:color w:val="auto"/>
              </w:rPr>
            </w:pPr>
            <w:r>
              <w:rPr>
                <w:rFonts w:ascii="Arial" w:cs="Arial" w:eastAsia="Arial" w:hAnsi="Arial"/>
                <w:sz w:val="18"/>
                <w:szCs w:val="18"/>
                <w:color w:val="auto"/>
              </w:rPr>
              <w:t>2021</w:t>
            </w:r>
          </w:p>
        </w:tc>
        <w:tc>
          <w:tcPr>
            <w:tcW w:w="780" w:type="dxa"/>
            <w:vAlign w:val="bottom"/>
          </w:tcPr>
          <w:p>
            <w:pPr>
              <w:spacing w:after="0"/>
              <w:rPr>
                <w:sz w:val="21"/>
                <w:szCs w:val="21"/>
                <w:color w:val="auto"/>
              </w:rPr>
            </w:pPr>
          </w:p>
        </w:tc>
        <w:tc>
          <w:tcPr>
            <w:tcW w:w="1060" w:type="dxa"/>
            <w:vAlign w:val="bottom"/>
          </w:tcPr>
          <w:p>
            <w:pPr>
              <w:jc w:val="right"/>
              <w:ind w:right="10"/>
              <w:spacing w:after="0"/>
              <w:rPr>
                <w:sz w:val="20"/>
                <w:szCs w:val="20"/>
                <w:color w:val="auto"/>
              </w:rPr>
            </w:pPr>
            <w:r>
              <w:rPr>
                <w:rFonts w:ascii="Arial" w:cs="Arial" w:eastAsia="Arial" w:hAnsi="Arial"/>
                <w:sz w:val="18"/>
                <w:szCs w:val="18"/>
                <w:color w:val="auto"/>
              </w:rPr>
              <w:t>41</w:t>
            </w:r>
          </w:p>
        </w:tc>
      </w:tr>
      <w:tr>
        <w:trPr>
          <w:trHeight w:val="263"/>
        </w:trPr>
        <w:tc>
          <w:tcPr>
            <w:tcW w:w="9580" w:type="dxa"/>
            <w:vAlign w:val="bottom"/>
            <w:shd w:val="clear" w:color="auto" w:fill="CCEEFF"/>
          </w:tcPr>
          <w:p>
            <w:pPr>
              <w:ind w:left="40"/>
              <w:spacing w:after="0"/>
              <w:rPr>
                <w:sz w:val="20"/>
                <w:szCs w:val="20"/>
                <w:color w:val="auto"/>
              </w:rPr>
            </w:pPr>
            <w:r>
              <w:rPr>
                <w:rFonts w:ascii="Arial" w:cs="Arial" w:eastAsia="Arial" w:hAnsi="Arial"/>
                <w:sz w:val="18"/>
                <w:szCs w:val="18"/>
                <w:color w:val="auto"/>
              </w:rPr>
              <w:t>2022</w:t>
            </w:r>
          </w:p>
        </w:tc>
        <w:tc>
          <w:tcPr>
            <w:tcW w:w="780" w:type="dxa"/>
            <w:vAlign w:val="bottom"/>
            <w:shd w:val="clear" w:color="auto" w:fill="CCEEFF"/>
          </w:tcPr>
          <w:p>
            <w:pPr>
              <w:spacing w:after="0"/>
              <w:rPr>
                <w:sz w:val="22"/>
                <w:szCs w:val="22"/>
                <w:color w:val="auto"/>
              </w:rPr>
            </w:pPr>
          </w:p>
        </w:tc>
        <w:tc>
          <w:tcPr>
            <w:tcW w:w="106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41</w:t>
            </w:r>
          </w:p>
        </w:tc>
      </w:tr>
      <w:tr>
        <w:trPr>
          <w:trHeight w:val="250"/>
        </w:trPr>
        <w:tc>
          <w:tcPr>
            <w:tcW w:w="9580" w:type="dxa"/>
            <w:vAlign w:val="bottom"/>
          </w:tcPr>
          <w:p>
            <w:pPr>
              <w:ind w:left="40"/>
              <w:spacing w:after="0"/>
              <w:rPr>
                <w:sz w:val="20"/>
                <w:szCs w:val="20"/>
                <w:color w:val="auto"/>
              </w:rPr>
            </w:pPr>
            <w:r>
              <w:rPr>
                <w:rFonts w:ascii="Arial" w:cs="Arial" w:eastAsia="Arial" w:hAnsi="Arial"/>
                <w:sz w:val="18"/>
                <w:szCs w:val="18"/>
                <w:color w:val="auto"/>
              </w:rPr>
              <w:t>2023</w:t>
            </w:r>
          </w:p>
        </w:tc>
        <w:tc>
          <w:tcPr>
            <w:tcW w:w="780" w:type="dxa"/>
            <w:vAlign w:val="bottom"/>
          </w:tcPr>
          <w:p>
            <w:pPr>
              <w:spacing w:after="0"/>
              <w:rPr>
                <w:sz w:val="21"/>
                <w:szCs w:val="21"/>
                <w:color w:val="auto"/>
              </w:rPr>
            </w:pPr>
          </w:p>
        </w:tc>
        <w:tc>
          <w:tcPr>
            <w:tcW w:w="1060" w:type="dxa"/>
            <w:vAlign w:val="bottom"/>
          </w:tcPr>
          <w:p>
            <w:pPr>
              <w:jc w:val="right"/>
              <w:ind w:right="10"/>
              <w:spacing w:after="0"/>
              <w:rPr>
                <w:sz w:val="20"/>
                <w:szCs w:val="20"/>
                <w:color w:val="auto"/>
              </w:rPr>
            </w:pPr>
            <w:r>
              <w:rPr>
                <w:rFonts w:ascii="Arial" w:cs="Arial" w:eastAsia="Arial" w:hAnsi="Arial"/>
                <w:sz w:val="18"/>
                <w:szCs w:val="18"/>
                <w:color w:val="auto"/>
              </w:rPr>
              <w:t>7</w:t>
            </w:r>
          </w:p>
        </w:tc>
      </w:tr>
      <w:tr>
        <w:trPr>
          <w:trHeight w:val="263"/>
        </w:trPr>
        <w:tc>
          <w:tcPr>
            <w:tcW w:w="9580" w:type="dxa"/>
            <w:vAlign w:val="bottom"/>
            <w:shd w:val="clear" w:color="auto" w:fill="CCEEFF"/>
          </w:tcPr>
          <w:p>
            <w:pPr>
              <w:ind w:left="40"/>
              <w:spacing w:after="0"/>
              <w:rPr>
                <w:sz w:val="20"/>
                <w:szCs w:val="20"/>
                <w:color w:val="auto"/>
              </w:rPr>
            </w:pPr>
            <w:r>
              <w:rPr>
                <w:rFonts w:ascii="Arial" w:cs="Arial" w:eastAsia="Arial" w:hAnsi="Arial"/>
                <w:sz w:val="18"/>
                <w:szCs w:val="18"/>
                <w:color w:val="auto"/>
              </w:rPr>
              <w:t>2024</w:t>
            </w:r>
          </w:p>
        </w:tc>
        <w:tc>
          <w:tcPr>
            <w:tcW w:w="780" w:type="dxa"/>
            <w:vAlign w:val="bottom"/>
            <w:shd w:val="clear" w:color="auto" w:fill="CCEEFF"/>
          </w:tcPr>
          <w:p>
            <w:pPr>
              <w:spacing w:after="0"/>
              <w:rPr>
                <w:sz w:val="22"/>
                <w:szCs w:val="22"/>
                <w:color w:val="auto"/>
              </w:rPr>
            </w:pPr>
          </w:p>
        </w:tc>
        <w:tc>
          <w:tcPr>
            <w:tcW w:w="106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7</w:t>
            </w:r>
          </w:p>
        </w:tc>
      </w:tr>
      <w:tr>
        <w:trPr>
          <w:trHeight w:val="250"/>
        </w:trPr>
        <w:tc>
          <w:tcPr>
            <w:tcW w:w="9580" w:type="dxa"/>
            <w:vAlign w:val="bottom"/>
            <w:tcBorders>
              <w:bottom w:val="single" w:sz="8" w:color="CCEEFF"/>
            </w:tcBorders>
          </w:tcPr>
          <w:p>
            <w:pPr>
              <w:ind w:left="40"/>
              <w:spacing w:after="0"/>
              <w:rPr>
                <w:sz w:val="20"/>
                <w:szCs w:val="20"/>
                <w:color w:val="auto"/>
              </w:rPr>
            </w:pPr>
            <w:r>
              <w:rPr>
                <w:rFonts w:ascii="Arial" w:cs="Arial" w:eastAsia="Arial" w:hAnsi="Arial"/>
                <w:sz w:val="18"/>
                <w:szCs w:val="18"/>
                <w:color w:val="auto"/>
              </w:rPr>
              <w:t>2025 and thereafter</w:t>
            </w:r>
          </w:p>
        </w:tc>
        <w:tc>
          <w:tcPr>
            <w:tcW w:w="780" w:type="dxa"/>
            <w:vAlign w:val="bottom"/>
            <w:tcBorders>
              <w:bottom w:val="single" w:sz="8" w:color="auto"/>
            </w:tcBorders>
          </w:tcPr>
          <w:p>
            <w:pPr>
              <w:spacing w:after="0"/>
              <w:rPr>
                <w:sz w:val="21"/>
                <w:szCs w:val="21"/>
                <w:color w:val="auto"/>
              </w:rPr>
            </w:pPr>
          </w:p>
        </w:tc>
        <w:tc>
          <w:tcPr>
            <w:tcW w:w="106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101</w:t>
            </w:r>
          </w:p>
        </w:tc>
      </w:tr>
      <w:tr>
        <w:trPr>
          <w:trHeight w:val="250"/>
        </w:trPr>
        <w:tc>
          <w:tcPr>
            <w:tcW w:w="958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Total</w:t>
            </w:r>
          </w:p>
        </w:tc>
        <w:tc>
          <w:tcPr>
            <w:tcW w:w="780" w:type="dxa"/>
            <w:vAlign w:val="bottom"/>
            <w:tcBorders>
              <w:bottom w:val="single" w:sz="8" w:color="auto"/>
            </w:tcBorders>
            <w:shd w:val="clear" w:color="auto" w:fill="CCEEFF"/>
          </w:tcPr>
          <w:p>
            <w:pPr>
              <w:jc w:val="right"/>
              <w:ind w:right="550"/>
              <w:spacing w:after="0"/>
              <w:rPr>
                <w:sz w:val="20"/>
                <w:szCs w:val="20"/>
                <w:color w:val="auto"/>
              </w:rPr>
            </w:pPr>
            <w:r>
              <w:rPr>
                <w:rFonts w:ascii="Arial" w:cs="Arial" w:eastAsia="Arial" w:hAnsi="Arial"/>
                <w:sz w:val="18"/>
                <w:szCs w:val="18"/>
                <w:color w:val="auto"/>
              </w:rPr>
              <w:t>$</w:t>
            </w:r>
          </w:p>
        </w:tc>
        <w:tc>
          <w:tcPr>
            <w:tcW w:w="106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238</w:t>
            </w:r>
          </w:p>
        </w:tc>
      </w:tr>
      <w:tr>
        <w:trPr>
          <w:trHeight w:val="20"/>
        </w:trPr>
        <w:tc>
          <w:tcPr>
            <w:tcW w:w="9580" w:type="dxa"/>
            <w:vAlign w:val="bottom"/>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40" w:lineRule="exact"/>
        <w:rPr>
          <w:sz w:val="20"/>
          <w:szCs w:val="20"/>
          <w:color w:val="auto"/>
        </w:rPr>
      </w:pPr>
    </w:p>
    <w:p>
      <w:pPr>
        <w:ind w:left="220"/>
        <w:spacing w:after="0"/>
        <w:rPr>
          <w:sz w:val="20"/>
          <w:szCs w:val="20"/>
          <w:color w:val="auto"/>
        </w:rPr>
      </w:pPr>
      <w:r>
        <w:rPr>
          <w:rFonts w:ascii="Arial" w:cs="Arial" w:eastAsia="Arial" w:hAnsi="Arial"/>
          <w:sz w:val="18"/>
          <w:szCs w:val="18"/>
          <w:i w:val="1"/>
          <w:iCs w:val="1"/>
          <w:u w:val="single" w:color="auto"/>
          <w:color w:val="auto"/>
        </w:rPr>
        <w:t>Indefinite-Lived Intangible Assets</w:t>
      </w:r>
    </w:p>
    <w:p>
      <w:pPr>
        <w:spacing w:after="0" w:line="108" w:lineRule="exact"/>
        <w:rPr>
          <w:sz w:val="20"/>
          <w:szCs w:val="20"/>
          <w:color w:val="auto"/>
        </w:rPr>
      </w:pPr>
    </w:p>
    <w:p>
      <w:pPr>
        <w:jc w:val="both"/>
        <w:ind w:firstLine="216"/>
        <w:spacing w:after="0" w:line="254" w:lineRule="auto"/>
        <w:rPr>
          <w:sz w:val="20"/>
          <w:szCs w:val="20"/>
          <w:color w:val="auto"/>
        </w:rPr>
      </w:pPr>
      <w:r>
        <w:rPr>
          <w:rFonts w:ascii="Arial" w:cs="Arial" w:eastAsia="Arial" w:hAnsi="Arial"/>
          <w:sz w:val="18"/>
          <w:szCs w:val="18"/>
          <w:color w:val="auto"/>
        </w:rPr>
        <w:t>Indefinite-lived intangible assets include certain domestic airport slots and international slots and route authorities. Indefinite-lived intangible assets are not amortized but instead are assessed for impairment annually on October 1 or more frequently if events or circumstances indicate that the asset may be impaired. As of December 31, 2019 and 2018, American had $1.8 billion and $1.9 billion, respectively, of indefinite-lived intangible assets on its consolidated balance sheets.</w:t>
      </w:r>
    </w:p>
    <w:p>
      <w:pPr>
        <w:spacing w:after="0" w:line="150" w:lineRule="exact"/>
        <w:rPr>
          <w:sz w:val="20"/>
          <w:szCs w:val="20"/>
          <w:color w:val="auto"/>
        </w:rPr>
      </w:pPr>
    </w:p>
    <w:p>
      <w:pPr>
        <w:jc w:val="both"/>
        <w:ind w:firstLine="216"/>
        <w:spacing w:after="0" w:line="253" w:lineRule="auto"/>
        <w:rPr>
          <w:sz w:val="20"/>
          <w:szCs w:val="20"/>
          <w:color w:val="auto"/>
        </w:rPr>
      </w:pPr>
      <w:r>
        <w:rPr>
          <w:rFonts w:ascii="Arial" w:cs="Arial" w:eastAsia="Arial" w:hAnsi="Arial"/>
          <w:sz w:val="18"/>
          <w:szCs w:val="18"/>
          <w:color w:val="auto"/>
        </w:rPr>
        <w:t>Indefinite-lived intangible assets are assessed for impairment by initially performing a qualitative assessment to determine whether American believes it is more likely than not that an asset has been impaired. If American believes impairment has occurred, American then evaluates for impairment by comparing the estimated fair value of assets to the carrying value. An impairment charge is recognized if the asset’s estimated fair value is less than its carrying value. Based upon American’s annual assessment, there were no material indefinite-lived intangible asset impairments in 2019.</w:t>
      </w:r>
    </w:p>
    <w:p>
      <w:pPr>
        <w:spacing w:after="0" w:line="20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125</w:t>
      </w:r>
    </w:p>
    <w:p>
      <w:pPr>
        <w:sectPr>
          <w:pgSz w:w="11900" w:h="16838" w:orient="portrait"/>
          <w:cols w:equalWidth="0" w:num="1">
            <w:col w:w="11420"/>
          </w:cols>
          <w:pgMar w:left="240" w:top="549" w:right="239" w:bottom="1440" w:gutter="0" w:footer="0" w:header="0"/>
        </w:sectPr>
      </w:pPr>
    </w:p>
    <w:bookmarkStart w:id="125" w:name="page126"/>
    <w:bookmarkEnd w:id="125"/>
    <w:p>
      <w:pPr>
        <w:jc w:val="center"/>
        <w:spacing w:after="0"/>
        <w:rPr>
          <w:sz w:val="20"/>
          <w:szCs w:val="20"/>
          <w:color w:val="auto"/>
        </w:rPr>
      </w:pPr>
      <w:r>
        <w:rPr>
          <w:rFonts w:ascii="Arial" w:cs="Arial" w:eastAsia="Arial" w:hAnsi="Arial"/>
          <w:sz w:val="18"/>
          <w:szCs w:val="18"/>
          <w:b w:val="1"/>
          <w:bCs w:val="1"/>
          <w:color w:val="auto"/>
        </w:rPr>
        <w:t>NOTES TO CONSOLIDATED FINANCIAL STATEMENTS OF AMERICAN AIRLINES, INC.</w:t>
      </w:r>
    </w:p>
    <w:p>
      <w:pPr>
        <w:spacing w:after="0" w:line="200" w:lineRule="exact"/>
        <w:rPr>
          <w:sz w:val="20"/>
          <w:szCs w:val="20"/>
          <w:color w:val="auto"/>
        </w:rPr>
      </w:pPr>
    </w:p>
    <w:p>
      <w:pPr>
        <w:spacing w:after="0" w:line="268" w:lineRule="exact"/>
        <w:rPr>
          <w:sz w:val="20"/>
          <w:szCs w:val="20"/>
          <w:color w:val="auto"/>
        </w:rPr>
      </w:pPr>
    </w:p>
    <w:p>
      <w:pPr>
        <w:ind w:left="240" w:right="9060" w:firstLine="11"/>
        <w:spacing w:after="0" w:line="357" w:lineRule="auto"/>
        <w:tabs>
          <w:tab w:leader="none" w:pos="524" w:val="left"/>
        </w:tabs>
        <w:numPr>
          <w:ilvl w:val="0"/>
          <w:numId w:val="53"/>
        </w:numPr>
        <w:rPr>
          <w:rFonts w:ascii="Arial" w:cs="Arial" w:eastAsia="Arial" w:hAnsi="Arial"/>
          <w:sz w:val="18"/>
          <w:szCs w:val="18"/>
          <w:b w:val="1"/>
          <w:bCs w:val="1"/>
          <w:i w:val="1"/>
          <w:iCs w:val="1"/>
          <w:color w:val="auto"/>
        </w:rPr>
      </w:pPr>
      <w:r>
        <w:rPr>
          <w:rFonts w:ascii="Arial" w:cs="Arial" w:eastAsia="Arial" w:hAnsi="Arial"/>
          <w:sz w:val="18"/>
          <w:szCs w:val="18"/>
          <w:b w:val="1"/>
          <w:bCs w:val="1"/>
          <w:i w:val="1"/>
          <w:iCs w:val="1"/>
          <w:color w:val="auto"/>
        </w:rPr>
        <w:t xml:space="preserve">Revenue Recognition </w:t>
      </w:r>
      <w:r>
        <w:rPr>
          <w:rFonts w:ascii="Arial" w:cs="Arial" w:eastAsia="Arial" w:hAnsi="Arial"/>
          <w:sz w:val="18"/>
          <w:szCs w:val="18"/>
          <w:i w:val="1"/>
          <w:iCs w:val="1"/>
          <w:u w:val="single" w:color="auto"/>
          <w:color w:val="auto"/>
        </w:rPr>
        <w:t>Revenue</w:t>
      </w:r>
    </w:p>
    <w:p>
      <w:pPr>
        <w:ind w:left="260"/>
        <w:spacing w:after="0"/>
        <w:rPr>
          <w:rFonts w:ascii="Arial" w:cs="Arial" w:eastAsia="Arial" w:hAnsi="Arial"/>
          <w:sz w:val="18"/>
          <w:szCs w:val="18"/>
          <w:b w:val="1"/>
          <w:bCs w:val="1"/>
          <w:i w:val="1"/>
          <w:iCs w:val="1"/>
          <w:color w:val="auto"/>
        </w:rPr>
      </w:pPr>
      <w:r>
        <w:rPr>
          <w:rFonts w:ascii="Arial" w:cs="Arial" w:eastAsia="Arial" w:hAnsi="Arial"/>
          <w:sz w:val="18"/>
          <w:szCs w:val="18"/>
          <w:color w:val="auto"/>
        </w:rPr>
        <w:t>The following are the significant categories comprising American’s reported operating revenues (in millions):</w:t>
      </w:r>
    </w:p>
    <w:p>
      <w:pPr>
        <w:spacing w:after="0" w:line="375" w:lineRule="exact"/>
        <w:rPr>
          <w:sz w:val="20"/>
          <w:szCs w:val="20"/>
          <w:color w:val="auto"/>
        </w:rPr>
      </w:pPr>
    </w:p>
    <w:tbl>
      <w:tblPr>
        <w:tblLayout w:type="fixed"/>
        <w:tblInd w:w="0" w:type="dxa"/>
        <w:tblCellMar>
          <w:top w:w="0" w:type="dxa"/>
          <w:left w:w="0" w:type="dxa"/>
          <w:bottom w:w="0" w:type="dxa"/>
          <w:right w:w="0" w:type="dxa"/>
        </w:tblCellMar>
      </w:tblPr>
      <w:tr>
        <w:trPr>
          <w:trHeight w:val="196"/>
        </w:trPr>
        <w:tc>
          <w:tcPr>
            <w:tcW w:w="6740" w:type="dxa"/>
            <w:vAlign w:val="bottom"/>
          </w:tcPr>
          <w:p>
            <w:pPr>
              <w:spacing w:after="0"/>
              <w:rPr>
                <w:sz w:val="17"/>
                <w:szCs w:val="17"/>
                <w:color w:val="auto"/>
              </w:rPr>
            </w:pPr>
          </w:p>
        </w:tc>
        <w:tc>
          <w:tcPr>
            <w:tcW w:w="360" w:type="dxa"/>
            <w:vAlign w:val="bottom"/>
            <w:tcBorders>
              <w:bottom w:val="single" w:sz="8" w:color="auto"/>
            </w:tcBorders>
          </w:tcPr>
          <w:p>
            <w:pPr>
              <w:spacing w:after="0"/>
              <w:rPr>
                <w:sz w:val="17"/>
                <w:szCs w:val="17"/>
                <w:color w:val="auto"/>
              </w:rPr>
            </w:pPr>
          </w:p>
        </w:tc>
        <w:tc>
          <w:tcPr>
            <w:tcW w:w="1080" w:type="dxa"/>
            <w:vAlign w:val="bottom"/>
            <w:tcBorders>
              <w:bottom w:val="single" w:sz="8" w:color="auto"/>
            </w:tcBorders>
          </w:tcPr>
          <w:p>
            <w:pPr>
              <w:spacing w:after="0"/>
              <w:rPr>
                <w:sz w:val="17"/>
                <w:szCs w:val="17"/>
                <w:color w:val="auto"/>
              </w:rPr>
            </w:pPr>
          </w:p>
        </w:tc>
        <w:tc>
          <w:tcPr>
            <w:tcW w:w="2100" w:type="dxa"/>
            <w:vAlign w:val="bottom"/>
            <w:tcBorders>
              <w:bottom w:val="single" w:sz="8" w:color="auto"/>
            </w:tcBorders>
            <w:gridSpan w:val="6"/>
          </w:tcPr>
          <w:p>
            <w:pPr>
              <w:jc w:val="right"/>
              <w:ind w:right="210"/>
              <w:spacing w:after="0"/>
              <w:rPr>
                <w:sz w:val="20"/>
                <w:szCs w:val="20"/>
                <w:color w:val="auto"/>
              </w:rPr>
            </w:pPr>
            <w:r>
              <w:rPr>
                <w:rFonts w:ascii="Arial" w:cs="Arial" w:eastAsia="Arial" w:hAnsi="Arial"/>
                <w:sz w:val="14"/>
                <w:szCs w:val="14"/>
                <w:b w:val="1"/>
                <w:bCs w:val="1"/>
                <w:color w:val="auto"/>
              </w:rPr>
              <w:t>Year Ended December 31,</w:t>
            </w:r>
          </w:p>
        </w:tc>
        <w:tc>
          <w:tcPr>
            <w:tcW w:w="1140" w:type="dxa"/>
            <w:vAlign w:val="bottom"/>
            <w:tcBorders>
              <w:bottom w:val="single" w:sz="8" w:color="auto"/>
            </w:tcBorders>
          </w:tcPr>
          <w:p>
            <w:pPr>
              <w:spacing w:after="0"/>
              <w:rPr>
                <w:sz w:val="17"/>
                <w:szCs w:val="17"/>
                <w:color w:val="auto"/>
              </w:rPr>
            </w:pPr>
          </w:p>
        </w:tc>
      </w:tr>
      <w:tr>
        <w:trPr>
          <w:trHeight w:val="263"/>
        </w:trPr>
        <w:tc>
          <w:tcPr>
            <w:tcW w:w="6740" w:type="dxa"/>
            <w:vAlign w:val="bottom"/>
          </w:tcPr>
          <w:p>
            <w:pPr>
              <w:spacing w:after="0"/>
              <w:rPr>
                <w:sz w:val="22"/>
                <w:szCs w:val="22"/>
                <w:color w:val="auto"/>
              </w:rPr>
            </w:pPr>
          </w:p>
        </w:tc>
        <w:tc>
          <w:tcPr>
            <w:tcW w:w="360" w:type="dxa"/>
            <w:vAlign w:val="bottom"/>
            <w:tcBorders>
              <w:bottom w:val="single" w:sz="8" w:color="auto"/>
            </w:tcBorders>
          </w:tcPr>
          <w:p>
            <w:pPr>
              <w:spacing w:after="0"/>
              <w:rPr>
                <w:sz w:val="22"/>
                <w:szCs w:val="22"/>
                <w:color w:val="auto"/>
              </w:rPr>
            </w:pPr>
          </w:p>
        </w:tc>
        <w:tc>
          <w:tcPr>
            <w:tcW w:w="1080" w:type="dxa"/>
            <w:vAlign w:val="bottom"/>
            <w:tcBorders>
              <w:bottom w:val="single" w:sz="8" w:color="auto"/>
            </w:tcBorders>
          </w:tcPr>
          <w:p>
            <w:pPr>
              <w:jc w:val="right"/>
              <w:ind w:right="432"/>
              <w:spacing w:after="0"/>
              <w:rPr>
                <w:sz w:val="20"/>
                <w:szCs w:val="20"/>
                <w:color w:val="auto"/>
              </w:rPr>
            </w:pPr>
            <w:r>
              <w:rPr>
                <w:rFonts w:ascii="Arial" w:cs="Arial" w:eastAsia="Arial" w:hAnsi="Arial"/>
                <w:sz w:val="14"/>
                <w:szCs w:val="14"/>
                <w:b w:val="1"/>
                <w:bCs w:val="1"/>
                <w:color w:val="auto"/>
              </w:rPr>
              <w:t>2019</w:t>
            </w:r>
          </w:p>
        </w:tc>
        <w:tc>
          <w:tcPr>
            <w:tcW w:w="60" w:type="dxa"/>
            <w:vAlign w:val="bottom"/>
            <w:tcBorders>
              <w:bottom w:val="single" w:sz="8" w:color="auto"/>
            </w:tcBorders>
          </w:tcPr>
          <w:p>
            <w:pPr>
              <w:spacing w:after="0"/>
              <w:rPr>
                <w:sz w:val="22"/>
                <w:szCs w:val="22"/>
                <w:color w:val="auto"/>
              </w:rPr>
            </w:pPr>
          </w:p>
        </w:tc>
        <w:tc>
          <w:tcPr>
            <w:tcW w:w="100" w:type="dxa"/>
            <w:vAlign w:val="bottom"/>
          </w:tcPr>
          <w:p>
            <w:pPr>
              <w:spacing w:after="0"/>
              <w:rPr>
                <w:sz w:val="22"/>
                <w:szCs w:val="22"/>
                <w:color w:val="auto"/>
              </w:rPr>
            </w:pPr>
          </w:p>
        </w:tc>
        <w:tc>
          <w:tcPr>
            <w:tcW w:w="360" w:type="dxa"/>
            <w:vAlign w:val="bottom"/>
            <w:tcBorders>
              <w:bottom w:val="single" w:sz="8" w:color="auto"/>
            </w:tcBorders>
          </w:tcPr>
          <w:p>
            <w:pPr>
              <w:spacing w:after="0"/>
              <w:rPr>
                <w:sz w:val="22"/>
                <w:szCs w:val="22"/>
                <w:color w:val="auto"/>
              </w:rPr>
            </w:pPr>
          </w:p>
        </w:tc>
        <w:tc>
          <w:tcPr>
            <w:tcW w:w="1120" w:type="dxa"/>
            <w:vAlign w:val="bottom"/>
            <w:tcBorders>
              <w:bottom w:val="single" w:sz="8" w:color="auto"/>
            </w:tcBorders>
          </w:tcPr>
          <w:p>
            <w:pPr>
              <w:jc w:val="right"/>
              <w:ind w:right="492"/>
              <w:spacing w:after="0"/>
              <w:rPr>
                <w:sz w:val="20"/>
                <w:szCs w:val="20"/>
                <w:color w:val="auto"/>
              </w:rPr>
            </w:pPr>
            <w:r>
              <w:rPr>
                <w:rFonts w:ascii="Arial" w:cs="Arial" w:eastAsia="Arial" w:hAnsi="Arial"/>
                <w:sz w:val="14"/>
                <w:szCs w:val="14"/>
                <w:b w:val="1"/>
                <w:bCs w:val="1"/>
                <w:color w:val="auto"/>
              </w:rPr>
              <w:t>2018</w:t>
            </w:r>
          </w:p>
        </w:tc>
        <w:tc>
          <w:tcPr>
            <w:tcW w:w="120" w:type="dxa"/>
            <w:vAlign w:val="bottom"/>
          </w:tcPr>
          <w:p>
            <w:pPr>
              <w:spacing w:after="0"/>
              <w:rPr>
                <w:sz w:val="22"/>
                <w:szCs w:val="22"/>
                <w:color w:val="auto"/>
              </w:rPr>
            </w:pPr>
          </w:p>
        </w:tc>
        <w:tc>
          <w:tcPr>
            <w:tcW w:w="340" w:type="dxa"/>
            <w:vAlign w:val="bottom"/>
            <w:tcBorders>
              <w:bottom w:val="single" w:sz="8" w:color="auto"/>
            </w:tcBorders>
          </w:tcPr>
          <w:p>
            <w:pPr>
              <w:spacing w:after="0"/>
              <w:rPr>
                <w:sz w:val="22"/>
                <w:szCs w:val="22"/>
                <w:color w:val="auto"/>
              </w:rPr>
            </w:pPr>
          </w:p>
        </w:tc>
        <w:tc>
          <w:tcPr>
            <w:tcW w:w="1140" w:type="dxa"/>
            <w:vAlign w:val="bottom"/>
            <w:tcBorders>
              <w:bottom w:val="single" w:sz="8" w:color="auto"/>
            </w:tcBorders>
          </w:tcPr>
          <w:p>
            <w:pPr>
              <w:jc w:val="right"/>
              <w:ind w:right="492"/>
              <w:spacing w:after="0"/>
              <w:rPr>
                <w:sz w:val="20"/>
                <w:szCs w:val="20"/>
                <w:color w:val="auto"/>
              </w:rPr>
            </w:pPr>
            <w:r>
              <w:rPr>
                <w:rFonts w:ascii="Arial" w:cs="Arial" w:eastAsia="Arial" w:hAnsi="Arial"/>
                <w:sz w:val="14"/>
                <w:szCs w:val="14"/>
                <w:b w:val="1"/>
                <w:bCs w:val="1"/>
                <w:color w:val="auto"/>
              </w:rPr>
              <w:t>2017</w:t>
            </w:r>
          </w:p>
        </w:tc>
      </w:tr>
      <w:tr>
        <w:trPr>
          <w:trHeight w:val="263"/>
        </w:trPr>
        <w:tc>
          <w:tcPr>
            <w:tcW w:w="6740" w:type="dxa"/>
            <w:vAlign w:val="bottom"/>
          </w:tcPr>
          <w:p>
            <w:pPr>
              <w:ind w:left="40"/>
              <w:spacing w:after="0"/>
              <w:rPr>
                <w:sz w:val="20"/>
                <w:szCs w:val="20"/>
                <w:color w:val="auto"/>
              </w:rPr>
            </w:pPr>
            <w:r>
              <w:rPr>
                <w:rFonts w:ascii="Arial" w:cs="Arial" w:eastAsia="Arial" w:hAnsi="Arial"/>
                <w:sz w:val="18"/>
                <w:szCs w:val="18"/>
                <w:color w:val="auto"/>
              </w:rPr>
              <w:t>Passenger revenue:</w:t>
            </w:r>
          </w:p>
        </w:tc>
        <w:tc>
          <w:tcPr>
            <w:tcW w:w="360" w:type="dxa"/>
            <w:vAlign w:val="bottom"/>
          </w:tcPr>
          <w:p>
            <w:pPr>
              <w:spacing w:after="0"/>
              <w:rPr>
                <w:sz w:val="22"/>
                <w:szCs w:val="22"/>
                <w:color w:val="auto"/>
              </w:rPr>
            </w:pPr>
          </w:p>
        </w:tc>
        <w:tc>
          <w:tcPr>
            <w:tcW w:w="108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11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1140" w:type="dxa"/>
            <w:vAlign w:val="bottom"/>
          </w:tcPr>
          <w:p>
            <w:pPr>
              <w:spacing w:after="0"/>
              <w:rPr>
                <w:sz w:val="22"/>
                <w:szCs w:val="22"/>
                <w:color w:val="auto"/>
              </w:rPr>
            </w:pPr>
          </w:p>
        </w:tc>
      </w:tr>
      <w:tr>
        <w:trPr>
          <w:trHeight w:val="277"/>
        </w:trPr>
        <w:tc>
          <w:tcPr>
            <w:tcW w:w="6740" w:type="dxa"/>
            <w:vAlign w:val="bottom"/>
            <w:shd w:val="clear" w:color="auto" w:fill="CCEEFF"/>
          </w:tcPr>
          <w:p>
            <w:pPr>
              <w:ind w:left="280"/>
              <w:spacing w:after="0"/>
              <w:rPr>
                <w:sz w:val="20"/>
                <w:szCs w:val="20"/>
                <w:color w:val="auto"/>
              </w:rPr>
            </w:pPr>
            <w:r>
              <w:rPr>
                <w:rFonts w:ascii="Arial" w:cs="Arial" w:eastAsia="Arial" w:hAnsi="Arial"/>
                <w:sz w:val="18"/>
                <w:szCs w:val="18"/>
                <w:color w:val="auto"/>
              </w:rPr>
              <w:t>Passenger travel</w:t>
            </w:r>
          </w:p>
        </w:tc>
        <w:tc>
          <w:tcPr>
            <w:tcW w:w="36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rPr>
              <w:t>$</w:t>
            </w: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38,831</w:t>
            </w:r>
          </w:p>
        </w:tc>
        <w:tc>
          <w:tcPr>
            <w:tcW w:w="520" w:type="dxa"/>
            <w:vAlign w:val="bottom"/>
            <w:gridSpan w:val="3"/>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112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37,457</w:t>
            </w:r>
          </w:p>
        </w:tc>
        <w:tc>
          <w:tcPr>
            <w:tcW w:w="120" w:type="dxa"/>
            <w:vAlign w:val="bottom"/>
            <w:shd w:val="clear" w:color="auto" w:fill="CCEEFF"/>
          </w:tcPr>
          <w:p>
            <w:pPr>
              <w:spacing w:after="0"/>
              <w:rPr>
                <w:sz w:val="24"/>
                <w:szCs w:val="24"/>
                <w:color w:val="auto"/>
              </w:rPr>
            </w:pPr>
          </w:p>
        </w:tc>
        <w:tc>
          <w:tcPr>
            <w:tcW w:w="34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14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36,152</w:t>
            </w:r>
          </w:p>
        </w:tc>
      </w:tr>
      <w:tr>
        <w:trPr>
          <w:trHeight w:val="270"/>
        </w:trPr>
        <w:tc>
          <w:tcPr>
            <w:tcW w:w="6740" w:type="dxa"/>
            <w:vAlign w:val="bottom"/>
            <w:tcBorders>
              <w:bottom w:val="single" w:sz="8" w:color="CCEEFF"/>
            </w:tcBorders>
          </w:tcPr>
          <w:p>
            <w:pPr>
              <w:ind w:left="280"/>
              <w:spacing w:after="0"/>
              <w:rPr>
                <w:sz w:val="20"/>
                <w:szCs w:val="20"/>
                <w:color w:val="auto"/>
              </w:rPr>
            </w:pPr>
            <w:r>
              <w:rPr>
                <w:rFonts w:ascii="Arial" w:cs="Arial" w:eastAsia="Arial" w:hAnsi="Arial"/>
                <w:sz w:val="18"/>
                <w:szCs w:val="18"/>
                <w:color w:val="auto"/>
              </w:rPr>
              <w:t xml:space="preserve">Loyalty revenue - travel </w:t>
            </w:r>
            <w:r>
              <w:rPr>
                <w:rFonts w:ascii="Arial" w:cs="Arial" w:eastAsia="Arial" w:hAnsi="Arial"/>
                <w:sz w:val="21"/>
                <w:szCs w:val="21"/>
                <w:color w:val="auto"/>
                <w:vertAlign w:val="superscript"/>
              </w:rPr>
              <w:t>(1)</w:t>
            </w:r>
          </w:p>
        </w:tc>
        <w:tc>
          <w:tcPr>
            <w:tcW w:w="360" w:type="dxa"/>
            <w:vAlign w:val="bottom"/>
            <w:tcBorders>
              <w:bottom w:val="single" w:sz="8" w:color="auto"/>
            </w:tcBorders>
          </w:tcPr>
          <w:p>
            <w:pPr>
              <w:spacing w:after="0"/>
              <w:rPr>
                <w:sz w:val="23"/>
                <w:szCs w:val="23"/>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3,179</w:t>
            </w:r>
          </w:p>
        </w:tc>
        <w:tc>
          <w:tcPr>
            <w:tcW w:w="60" w:type="dxa"/>
            <w:vAlign w:val="bottom"/>
            <w:tcBorders>
              <w:bottom w:val="single" w:sz="8" w:color="auto"/>
            </w:tcBorders>
          </w:tcPr>
          <w:p>
            <w:pPr>
              <w:spacing w:after="0"/>
              <w:rPr>
                <w:sz w:val="23"/>
                <w:szCs w:val="23"/>
                <w:color w:val="auto"/>
              </w:rPr>
            </w:pPr>
          </w:p>
        </w:tc>
        <w:tc>
          <w:tcPr>
            <w:tcW w:w="100" w:type="dxa"/>
            <w:vAlign w:val="bottom"/>
            <w:tcBorders>
              <w:bottom w:val="single" w:sz="8" w:color="CCEEFF"/>
            </w:tcBorders>
          </w:tcPr>
          <w:p>
            <w:pPr>
              <w:spacing w:after="0"/>
              <w:rPr>
                <w:sz w:val="23"/>
                <w:szCs w:val="23"/>
                <w:color w:val="auto"/>
              </w:rPr>
            </w:pPr>
          </w:p>
        </w:tc>
        <w:tc>
          <w:tcPr>
            <w:tcW w:w="360" w:type="dxa"/>
            <w:vAlign w:val="bottom"/>
            <w:tcBorders>
              <w:bottom w:val="single" w:sz="8" w:color="auto"/>
            </w:tcBorders>
          </w:tcPr>
          <w:p>
            <w:pPr>
              <w:spacing w:after="0"/>
              <w:rPr>
                <w:sz w:val="23"/>
                <w:szCs w:val="23"/>
                <w:color w:val="auto"/>
              </w:rPr>
            </w:pPr>
          </w:p>
        </w:tc>
        <w:tc>
          <w:tcPr>
            <w:tcW w:w="1120" w:type="dxa"/>
            <w:vAlign w:val="bottom"/>
            <w:tcBorders>
              <w:bottom w:val="single" w:sz="8" w:color="auto"/>
            </w:tcBorders>
          </w:tcPr>
          <w:p>
            <w:pPr>
              <w:jc w:val="right"/>
              <w:ind w:right="12"/>
              <w:spacing w:after="0"/>
              <w:rPr>
                <w:sz w:val="20"/>
                <w:szCs w:val="20"/>
                <w:color w:val="auto"/>
              </w:rPr>
            </w:pPr>
            <w:r>
              <w:rPr>
                <w:rFonts w:ascii="Arial" w:cs="Arial" w:eastAsia="Arial" w:hAnsi="Arial"/>
                <w:sz w:val="18"/>
                <w:szCs w:val="18"/>
                <w:color w:val="auto"/>
              </w:rPr>
              <w:t>3,219</w:t>
            </w:r>
          </w:p>
        </w:tc>
        <w:tc>
          <w:tcPr>
            <w:tcW w:w="120" w:type="dxa"/>
            <w:vAlign w:val="bottom"/>
            <w:tcBorders>
              <w:bottom w:val="single" w:sz="8" w:color="CCEEFF"/>
            </w:tcBorders>
          </w:tcPr>
          <w:p>
            <w:pPr>
              <w:spacing w:after="0"/>
              <w:rPr>
                <w:sz w:val="23"/>
                <w:szCs w:val="23"/>
                <w:color w:val="auto"/>
              </w:rPr>
            </w:pPr>
          </w:p>
        </w:tc>
        <w:tc>
          <w:tcPr>
            <w:tcW w:w="340" w:type="dxa"/>
            <w:vAlign w:val="bottom"/>
            <w:tcBorders>
              <w:bottom w:val="single" w:sz="8" w:color="auto"/>
            </w:tcBorders>
          </w:tcPr>
          <w:p>
            <w:pPr>
              <w:spacing w:after="0"/>
              <w:rPr>
                <w:sz w:val="23"/>
                <w:szCs w:val="23"/>
                <w:color w:val="auto"/>
              </w:rPr>
            </w:pPr>
          </w:p>
        </w:tc>
        <w:tc>
          <w:tcPr>
            <w:tcW w:w="1140" w:type="dxa"/>
            <w:vAlign w:val="bottom"/>
            <w:tcBorders>
              <w:bottom w:val="single" w:sz="8" w:color="auto"/>
            </w:tcBorders>
          </w:tcPr>
          <w:p>
            <w:pPr>
              <w:jc w:val="right"/>
              <w:ind w:right="12"/>
              <w:spacing w:after="0"/>
              <w:rPr>
                <w:sz w:val="20"/>
                <w:szCs w:val="20"/>
                <w:color w:val="auto"/>
              </w:rPr>
            </w:pPr>
            <w:r>
              <w:rPr>
                <w:rFonts w:ascii="Arial" w:cs="Arial" w:eastAsia="Arial" w:hAnsi="Arial"/>
                <w:sz w:val="18"/>
                <w:szCs w:val="18"/>
                <w:color w:val="auto"/>
              </w:rPr>
              <w:t>2,979</w:t>
            </w:r>
          </w:p>
        </w:tc>
      </w:tr>
      <w:tr>
        <w:trPr>
          <w:trHeight w:val="250"/>
        </w:trPr>
        <w:tc>
          <w:tcPr>
            <w:tcW w:w="6740" w:type="dxa"/>
            <w:vAlign w:val="bottom"/>
            <w:shd w:val="clear" w:color="auto" w:fill="CCEEFF"/>
          </w:tcPr>
          <w:p>
            <w:pPr>
              <w:ind w:left="500"/>
              <w:spacing w:after="0"/>
              <w:rPr>
                <w:sz w:val="20"/>
                <w:szCs w:val="20"/>
                <w:color w:val="auto"/>
              </w:rPr>
            </w:pPr>
            <w:r>
              <w:rPr>
                <w:rFonts w:ascii="Arial" w:cs="Arial" w:eastAsia="Arial" w:hAnsi="Arial"/>
                <w:sz w:val="18"/>
                <w:szCs w:val="18"/>
                <w:color w:val="auto"/>
              </w:rPr>
              <w:t>Total passenger revenue</w:t>
            </w:r>
          </w:p>
        </w:tc>
        <w:tc>
          <w:tcPr>
            <w:tcW w:w="360" w:type="dxa"/>
            <w:vAlign w:val="bottom"/>
            <w:shd w:val="clear" w:color="auto" w:fill="CCEEFF"/>
          </w:tcPr>
          <w:p>
            <w:pPr>
              <w:spacing w:after="0"/>
              <w:rPr>
                <w:sz w:val="21"/>
                <w:szCs w:val="21"/>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42,010</w:t>
            </w:r>
          </w:p>
        </w:tc>
        <w:tc>
          <w:tcPr>
            <w:tcW w:w="6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360" w:type="dxa"/>
            <w:vAlign w:val="bottom"/>
            <w:shd w:val="clear" w:color="auto" w:fill="CCEEFF"/>
          </w:tcPr>
          <w:p>
            <w:pPr>
              <w:spacing w:after="0"/>
              <w:rPr>
                <w:sz w:val="21"/>
                <w:szCs w:val="21"/>
                <w:color w:val="auto"/>
              </w:rPr>
            </w:pPr>
          </w:p>
        </w:tc>
        <w:tc>
          <w:tcPr>
            <w:tcW w:w="112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40,676</w:t>
            </w:r>
          </w:p>
        </w:tc>
        <w:tc>
          <w:tcPr>
            <w:tcW w:w="120" w:type="dxa"/>
            <w:vAlign w:val="bottom"/>
            <w:shd w:val="clear" w:color="auto" w:fill="CCEEFF"/>
          </w:tcPr>
          <w:p>
            <w:pPr>
              <w:spacing w:after="0"/>
              <w:rPr>
                <w:sz w:val="21"/>
                <w:szCs w:val="21"/>
                <w:color w:val="auto"/>
              </w:rPr>
            </w:pPr>
          </w:p>
        </w:tc>
        <w:tc>
          <w:tcPr>
            <w:tcW w:w="340" w:type="dxa"/>
            <w:vAlign w:val="bottom"/>
            <w:shd w:val="clear" w:color="auto" w:fill="CCEEFF"/>
          </w:tcPr>
          <w:p>
            <w:pPr>
              <w:spacing w:after="0"/>
              <w:rPr>
                <w:sz w:val="21"/>
                <w:szCs w:val="21"/>
                <w:color w:val="auto"/>
              </w:rPr>
            </w:pPr>
          </w:p>
        </w:tc>
        <w:tc>
          <w:tcPr>
            <w:tcW w:w="114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39,131</w:t>
            </w:r>
          </w:p>
        </w:tc>
      </w:tr>
      <w:tr>
        <w:trPr>
          <w:trHeight w:val="263"/>
        </w:trPr>
        <w:tc>
          <w:tcPr>
            <w:tcW w:w="6740" w:type="dxa"/>
            <w:vAlign w:val="bottom"/>
          </w:tcPr>
          <w:p>
            <w:pPr>
              <w:ind w:left="40"/>
              <w:spacing w:after="0"/>
              <w:rPr>
                <w:sz w:val="20"/>
                <w:szCs w:val="20"/>
                <w:color w:val="auto"/>
              </w:rPr>
            </w:pPr>
            <w:r>
              <w:rPr>
                <w:rFonts w:ascii="Arial" w:cs="Arial" w:eastAsia="Arial" w:hAnsi="Arial"/>
                <w:sz w:val="18"/>
                <w:szCs w:val="18"/>
                <w:color w:val="auto"/>
              </w:rPr>
              <w:t>Cargo</w:t>
            </w:r>
          </w:p>
        </w:tc>
        <w:tc>
          <w:tcPr>
            <w:tcW w:w="360" w:type="dxa"/>
            <w:vAlign w:val="bottom"/>
          </w:tcPr>
          <w:p>
            <w:pPr>
              <w:spacing w:after="0"/>
              <w:rPr>
                <w:sz w:val="22"/>
                <w:szCs w:val="22"/>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863</w:t>
            </w:r>
          </w:p>
        </w:tc>
        <w:tc>
          <w:tcPr>
            <w:tcW w:w="6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1120" w:type="dxa"/>
            <w:vAlign w:val="bottom"/>
          </w:tcPr>
          <w:p>
            <w:pPr>
              <w:jc w:val="right"/>
              <w:ind w:right="12"/>
              <w:spacing w:after="0"/>
              <w:rPr>
                <w:sz w:val="20"/>
                <w:szCs w:val="20"/>
                <w:color w:val="auto"/>
              </w:rPr>
            </w:pPr>
            <w:r>
              <w:rPr>
                <w:rFonts w:ascii="Arial" w:cs="Arial" w:eastAsia="Arial" w:hAnsi="Arial"/>
                <w:sz w:val="18"/>
                <w:szCs w:val="18"/>
                <w:color w:val="auto"/>
              </w:rPr>
              <w:t>1,013</w:t>
            </w:r>
          </w:p>
        </w:tc>
        <w:tc>
          <w:tcPr>
            <w:tcW w:w="12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1140" w:type="dxa"/>
            <w:vAlign w:val="bottom"/>
          </w:tcPr>
          <w:p>
            <w:pPr>
              <w:jc w:val="right"/>
              <w:ind w:right="12"/>
              <w:spacing w:after="0"/>
              <w:rPr>
                <w:sz w:val="20"/>
                <w:szCs w:val="20"/>
                <w:color w:val="auto"/>
              </w:rPr>
            </w:pPr>
            <w:r>
              <w:rPr>
                <w:rFonts w:ascii="Arial" w:cs="Arial" w:eastAsia="Arial" w:hAnsi="Arial"/>
                <w:sz w:val="18"/>
                <w:szCs w:val="18"/>
                <w:color w:val="auto"/>
              </w:rPr>
              <w:t>890</w:t>
            </w:r>
          </w:p>
        </w:tc>
      </w:tr>
      <w:tr>
        <w:trPr>
          <w:trHeight w:val="277"/>
        </w:trPr>
        <w:tc>
          <w:tcPr>
            <w:tcW w:w="6740" w:type="dxa"/>
            <w:vAlign w:val="bottom"/>
            <w:shd w:val="clear" w:color="auto" w:fill="CCEEFF"/>
          </w:tcPr>
          <w:p>
            <w:pPr>
              <w:ind w:left="40"/>
              <w:spacing w:after="0"/>
              <w:rPr>
                <w:sz w:val="20"/>
                <w:szCs w:val="20"/>
                <w:color w:val="auto"/>
              </w:rPr>
            </w:pPr>
            <w:r>
              <w:rPr>
                <w:rFonts w:ascii="Arial" w:cs="Arial" w:eastAsia="Arial" w:hAnsi="Arial"/>
                <w:sz w:val="18"/>
                <w:szCs w:val="18"/>
                <w:color w:val="auto"/>
              </w:rPr>
              <w:t>Other:</w:t>
            </w:r>
          </w:p>
        </w:tc>
        <w:tc>
          <w:tcPr>
            <w:tcW w:w="360" w:type="dxa"/>
            <w:vAlign w:val="bottom"/>
            <w:shd w:val="clear" w:color="auto" w:fill="CCEEFF"/>
          </w:tcPr>
          <w:p>
            <w:pPr>
              <w:spacing w:after="0"/>
              <w:rPr>
                <w:sz w:val="24"/>
                <w:szCs w:val="24"/>
                <w:color w:val="auto"/>
              </w:rPr>
            </w:pPr>
          </w:p>
        </w:tc>
        <w:tc>
          <w:tcPr>
            <w:tcW w:w="1080" w:type="dxa"/>
            <w:vAlign w:val="bottom"/>
            <w:shd w:val="clear" w:color="auto" w:fill="CCEEFF"/>
          </w:tcPr>
          <w:p>
            <w:pPr>
              <w:spacing w:after="0"/>
              <w:rPr>
                <w:sz w:val="24"/>
                <w:szCs w:val="24"/>
                <w:color w:val="auto"/>
              </w:rPr>
            </w:pPr>
          </w:p>
        </w:tc>
        <w:tc>
          <w:tcPr>
            <w:tcW w:w="6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360" w:type="dxa"/>
            <w:vAlign w:val="bottom"/>
            <w:shd w:val="clear" w:color="auto" w:fill="CCEEFF"/>
          </w:tcPr>
          <w:p>
            <w:pPr>
              <w:spacing w:after="0"/>
              <w:rPr>
                <w:sz w:val="24"/>
                <w:szCs w:val="24"/>
                <w:color w:val="auto"/>
              </w:rPr>
            </w:pPr>
          </w:p>
        </w:tc>
        <w:tc>
          <w:tcPr>
            <w:tcW w:w="112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340" w:type="dxa"/>
            <w:vAlign w:val="bottom"/>
            <w:shd w:val="clear" w:color="auto" w:fill="CCEEFF"/>
          </w:tcPr>
          <w:p>
            <w:pPr>
              <w:spacing w:after="0"/>
              <w:rPr>
                <w:sz w:val="24"/>
                <w:szCs w:val="24"/>
                <w:color w:val="auto"/>
              </w:rPr>
            </w:pPr>
          </w:p>
        </w:tc>
        <w:tc>
          <w:tcPr>
            <w:tcW w:w="1140" w:type="dxa"/>
            <w:vAlign w:val="bottom"/>
            <w:shd w:val="clear" w:color="auto" w:fill="CCEEFF"/>
          </w:tcPr>
          <w:p>
            <w:pPr>
              <w:spacing w:after="0"/>
              <w:rPr>
                <w:sz w:val="24"/>
                <w:szCs w:val="24"/>
                <w:color w:val="auto"/>
              </w:rPr>
            </w:pPr>
          </w:p>
        </w:tc>
      </w:tr>
      <w:tr>
        <w:trPr>
          <w:trHeight w:val="263"/>
        </w:trPr>
        <w:tc>
          <w:tcPr>
            <w:tcW w:w="6740" w:type="dxa"/>
            <w:vAlign w:val="bottom"/>
          </w:tcPr>
          <w:p>
            <w:pPr>
              <w:ind w:left="280"/>
              <w:spacing w:after="0"/>
              <w:rPr>
                <w:sz w:val="20"/>
                <w:szCs w:val="20"/>
                <w:color w:val="auto"/>
              </w:rPr>
            </w:pPr>
            <w:r>
              <w:rPr>
                <w:rFonts w:ascii="Arial" w:cs="Arial" w:eastAsia="Arial" w:hAnsi="Arial"/>
                <w:sz w:val="18"/>
                <w:szCs w:val="18"/>
                <w:color w:val="auto"/>
              </w:rPr>
              <w:t>Loyalty revenue - marketing services</w:t>
            </w:r>
          </w:p>
        </w:tc>
        <w:tc>
          <w:tcPr>
            <w:tcW w:w="360" w:type="dxa"/>
            <w:vAlign w:val="bottom"/>
          </w:tcPr>
          <w:p>
            <w:pPr>
              <w:spacing w:after="0"/>
              <w:rPr>
                <w:sz w:val="22"/>
                <w:szCs w:val="22"/>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2,361</w:t>
            </w:r>
          </w:p>
        </w:tc>
        <w:tc>
          <w:tcPr>
            <w:tcW w:w="6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1120" w:type="dxa"/>
            <w:vAlign w:val="bottom"/>
          </w:tcPr>
          <w:p>
            <w:pPr>
              <w:jc w:val="right"/>
              <w:ind w:right="12"/>
              <w:spacing w:after="0"/>
              <w:rPr>
                <w:sz w:val="20"/>
                <w:szCs w:val="20"/>
                <w:color w:val="auto"/>
              </w:rPr>
            </w:pPr>
            <w:r>
              <w:rPr>
                <w:rFonts w:ascii="Arial" w:cs="Arial" w:eastAsia="Arial" w:hAnsi="Arial"/>
                <w:sz w:val="18"/>
                <w:szCs w:val="18"/>
                <w:color w:val="auto"/>
              </w:rPr>
              <w:t>2,352</w:t>
            </w:r>
          </w:p>
        </w:tc>
        <w:tc>
          <w:tcPr>
            <w:tcW w:w="12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1140" w:type="dxa"/>
            <w:vAlign w:val="bottom"/>
          </w:tcPr>
          <w:p>
            <w:pPr>
              <w:jc w:val="right"/>
              <w:ind w:right="12"/>
              <w:spacing w:after="0"/>
              <w:rPr>
                <w:sz w:val="20"/>
                <w:szCs w:val="20"/>
                <w:color w:val="auto"/>
              </w:rPr>
            </w:pPr>
            <w:r>
              <w:rPr>
                <w:rFonts w:ascii="Arial" w:cs="Arial" w:eastAsia="Arial" w:hAnsi="Arial"/>
                <w:sz w:val="18"/>
                <w:szCs w:val="18"/>
                <w:color w:val="auto"/>
              </w:rPr>
              <w:t>2,124</w:t>
            </w:r>
          </w:p>
        </w:tc>
      </w:tr>
      <w:tr>
        <w:trPr>
          <w:trHeight w:val="270"/>
        </w:trPr>
        <w:tc>
          <w:tcPr>
            <w:tcW w:w="6740" w:type="dxa"/>
            <w:vAlign w:val="bottom"/>
            <w:shd w:val="clear" w:color="auto" w:fill="CCEEFF"/>
          </w:tcPr>
          <w:p>
            <w:pPr>
              <w:ind w:left="280"/>
              <w:spacing w:after="0"/>
              <w:rPr>
                <w:sz w:val="20"/>
                <w:szCs w:val="20"/>
                <w:color w:val="auto"/>
              </w:rPr>
            </w:pPr>
            <w:r>
              <w:rPr>
                <w:rFonts w:ascii="Arial" w:cs="Arial" w:eastAsia="Arial" w:hAnsi="Arial"/>
                <w:sz w:val="18"/>
                <w:szCs w:val="18"/>
                <w:color w:val="auto"/>
              </w:rPr>
              <w:t>Other revenue</w:t>
            </w:r>
          </w:p>
        </w:tc>
        <w:tc>
          <w:tcPr>
            <w:tcW w:w="360" w:type="dxa"/>
            <w:vAlign w:val="bottom"/>
            <w:tcBorders>
              <w:bottom w:val="single" w:sz="8" w:color="auto"/>
            </w:tcBorders>
            <w:shd w:val="clear" w:color="auto" w:fill="CCEEFF"/>
          </w:tcPr>
          <w:p>
            <w:pPr>
              <w:spacing w:after="0"/>
              <w:rPr>
                <w:sz w:val="23"/>
                <w:szCs w:val="23"/>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527</w:t>
            </w:r>
          </w:p>
        </w:tc>
        <w:tc>
          <w:tcPr>
            <w:tcW w:w="60" w:type="dxa"/>
            <w:vAlign w:val="bottom"/>
            <w:tcBorders>
              <w:bottom w:val="single" w:sz="8" w:color="auto"/>
            </w:tcBorders>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360" w:type="dxa"/>
            <w:vAlign w:val="bottom"/>
            <w:tcBorders>
              <w:bottom w:val="single" w:sz="8" w:color="auto"/>
            </w:tcBorders>
            <w:shd w:val="clear" w:color="auto" w:fill="CCEEFF"/>
          </w:tcPr>
          <w:p>
            <w:pPr>
              <w:spacing w:after="0"/>
              <w:rPr>
                <w:sz w:val="23"/>
                <w:szCs w:val="23"/>
                <w:color w:val="auto"/>
              </w:rPr>
            </w:pPr>
          </w:p>
        </w:tc>
        <w:tc>
          <w:tcPr>
            <w:tcW w:w="1120" w:type="dxa"/>
            <w:vAlign w:val="bottom"/>
            <w:tcBorders>
              <w:bottom w:val="single" w:sz="8" w:color="auto"/>
            </w:tcBorders>
            <w:shd w:val="clear" w:color="auto" w:fill="CCEEFF"/>
          </w:tcPr>
          <w:p>
            <w:pPr>
              <w:jc w:val="right"/>
              <w:ind w:right="12"/>
              <w:spacing w:after="0"/>
              <w:rPr>
                <w:sz w:val="20"/>
                <w:szCs w:val="20"/>
                <w:color w:val="auto"/>
              </w:rPr>
            </w:pPr>
            <w:r>
              <w:rPr>
                <w:rFonts w:ascii="Arial" w:cs="Arial" w:eastAsia="Arial" w:hAnsi="Arial"/>
                <w:sz w:val="18"/>
                <w:szCs w:val="18"/>
                <w:color w:val="auto"/>
              </w:rPr>
              <w:t>489</w:t>
            </w:r>
          </w:p>
        </w:tc>
        <w:tc>
          <w:tcPr>
            <w:tcW w:w="120" w:type="dxa"/>
            <w:vAlign w:val="bottom"/>
            <w:shd w:val="clear" w:color="auto" w:fill="CCEEFF"/>
          </w:tcPr>
          <w:p>
            <w:pPr>
              <w:spacing w:after="0"/>
              <w:rPr>
                <w:sz w:val="23"/>
                <w:szCs w:val="23"/>
                <w:color w:val="auto"/>
              </w:rPr>
            </w:pPr>
          </w:p>
        </w:tc>
        <w:tc>
          <w:tcPr>
            <w:tcW w:w="340" w:type="dxa"/>
            <w:vAlign w:val="bottom"/>
            <w:tcBorders>
              <w:bottom w:val="single" w:sz="8" w:color="auto"/>
            </w:tcBorders>
            <w:shd w:val="clear" w:color="auto" w:fill="CCEEFF"/>
          </w:tcPr>
          <w:p>
            <w:pPr>
              <w:spacing w:after="0"/>
              <w:rPr>
                <w:sz w:val="23"/>
                <w:szCs w:val="23"/>
                <w:color w:val="auto"/>
              </w:rPr>
            </w:pPr>
          </w:p>
        </w:tc>
        <w:tc>
          <w:tcPr>
            <w:tcW w:w="1140" w:type="dxa"/>
            <w:vAlign w:val="bottom"/>
            <w:tcBorders>
              <w:bottom w:val="single" w:sz="8" w:color="auto"/>
            </w:tcBorders>
            <w:shd w:val="clear" w:color="auto" w:fill="CCEEFF"/>
          </w:tcPr>
          <w:p>
            <w:pPr>
              <w:jc w:val="right"/>
              <w:ind w:right="12"/>
              <w:spacing w:after="0"/>
              <w:rPr>
                <w:sz w:val="20"/>
                <w:szCs w:val="20"/>
                <w:color w:val="auto"/>
              </w:rPr>
            </w:pPr>
            <w:r>
              <w:rPr>
                <w:rFonts w:ascii="Arial" w:cs="Arial" w:eastAsia="Arial" w:hAnsi="Arial"/>
                <w:sz w:val="18"/>
                <w:szCs w:val="18"/>
                <w:color w:val="auto"/>
              </w:rPr>
              <w:t>465</w:t>
            </w:r>
          </w:p>
        </w:tc>
      </w:tr>
      <w:tr>
        <w:trPr>
          <w:trHeight w:val="250"/>
        </w:trPr>
        <w:tc>
          <w:tcPr>
            <w:tcW w:w="6740" w:type="dxa"/>
            <w:vAlign w:val="bottom"/>
            <w:tcBorders>
              <w:bottom w:val="single" w:sz="8" w:color="CCEEFF"/>
            </w:tcBorders>
          </w:tcPr>
          <w:p>
            <w:pPr>
              <w:ind w:left="500"/>
              <w:spacing w:after="0"/>
              <w:rPr>
                <w:sz w:val="20"/>
                <w:szCs w:val="20"/>
                <w:color w:val="auto"/>
              </w:rPr>
            </w:pPr>
            <w:r>
              <w:rPr>
                <w:rFonts w:ascii="Arial" w:cs="Arial" w:eastAsia="Arial" w:hAnsi="Arial"/>
                <w:sz w:val="18"/>
                <w:szCs w:val="18"/>
                <w:color w:val="auto"/>
              </w:rPr>
              <w:t>Total other revenue</w:t>
            </w:r>
          </w:p>
        </w:tc>
        <w:tc>
          <w:tcPr>
            <w:tcW w:w="360" w:type="dxa"/>
            <w:vAlign w:val="bottom"/>
            <w:tcBorders>
              <w:bottom w:val="single" w:sz="8" w:color="auto"/>
            </w:tcBorders>
          </w:tcPr>
          <w:p>
            <w:pPr>
              <w:spacing w:after="0"/>
              <w:rPr>
                <w:sz w:val="21"/>
                <w:szCs w:val="21"/>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2,888</w:t>
            </w:r>
          </w:p>
        </w:tc>
        <w:tc>
          <w:tcPr>
            <w:tcW w:w="60" w:type="dxa"/>
            <w:vAlign w:val="bottom"/>
            <w:tcBorders>
              <w:bottom w:val="single" w:sz="8" w:color="auto"/>
            </w:tcBorders>
          </w:tcPr>
          <w:p>
            <w:pPr>
              <w:spacing w:after="0"/>
              <w:rPr>
                <w:sz w:val="21"/>
                <w:szCs w:val="21"/>
                <w:color w:val="auto"/>
              </w:rPr>
            </w:pPr>
          </w:p>
        </w:tc>
        <w:tc>
          <w:tcPr>
            <w:tcW w:w="100" w:type="dxa"/>
            <w:vAlign w:val="bottom"/>
            <w:tcBorders>
              <w:bottom w:val="single" w:sz="8" w:color="CCEEFF"/>
            </w:tcBorders>
          </w:tcPr>
          <w:p>
            <w:pPr>
              <w:spacing w:after="0"/>
              <w:rPr>
                <w:sz w:val="21"/>
                <w:szCs w:val="21"/>
                <w:color w:val="auto"/>
              </w:rPr>
            </w:pPr>
          </w:p>
        </w:tc>
        <w:tc>
          <w:tcPr>
            <w:tcW w:w="360" w:type="dxa"/>
            <w:vAlign w:val="bottom"/>
            <w:tcBorders>
              <w:bottom w:val="single" w:sz="8" w:color="auto"/>
            </w:tcBorders>
          </w:tcPr>
          <w:p>
            <w:pPr>
              <w:spacing w:after="0"/>
              <w:rPr>
                <w:sz w:val="21"/>
                <w:szCs w:val="21"/>
                <w:color w:val="auto"/>
              </w:rPr>
            </w:pPr>
          </w:p>
        </w:tc>
        <w:tc>
          <w:tcPr>
            <w:tcW w:w="1120" w:type="dxa"/>
            <w:vAlign w:val="bottom"/>
            <w:tcBorders>
              <w:bottom w:val="single" w:sz="8" w:color="auto"/>
            </w:tcBorders>
          </w:tcPr>
          <w:p>
            <w:pPr>
              <w:jc w:val="right"/>
              <w:ind w:right="12"/>
              <w:spacing w:after="0"/>
              <w:rPr>
                <w:sz w:val="20"/>
                <w:szCs w:val="20"/>
                <w:color w:val="auto"/>
              </w:rPr>
            </w:pPr>
            <w:r>
              <w:rPr>
                <w:rFonts w:ascii="Arial" w:cs="Arial" w:eastAsia="Arial" w:hAnsi="Arial"/>
                <w:sz w:val="18"/>
                <w:szCs w:val="18"/>
                <w:color w:val="auto"/>
              </w:rPr>
              <w:t>2,841</w:t>
            </w:r>
          </w:p>
        </w:tc>
        <w:tc>
          <w:tcPr>
            <w:tcW w:w="120" w:type="dxa"/>
            <w:vAlign w:val="bottom"/>
            <w:tcBorders>
              <w:bottom w:val="single" w:sz="8" w:color="CCEEFF"/>
            </w:tcBorders>
          </w:tcPr>
          <w:p>
            <w:pPr>
              <w:spacing w:after="0"/>
              <w:rPr>
                <w:sz w:val="21"/>
                <w:szCs w:val="21"/>
                <w:color w:val="auto"/>
              </w:rPr>
            </w:pPr>
          </w:p>
        </w:tc>
        <w:tc>
          <w:tcPr>
            <w:tcW w:w="340" w:type="dxa"/>
            <w:vAlign w:val="bottom"/>
            <w:tcBorders>
              <w:bottom w:val="single" w:sz="8" w:color="auto"/>
            </w:tcBorders>
          </w:tcPr>
          <w:p>
            <w:pPr>
              <w:spacing w:after="0"/>
              <w:rPr>
                <w:sz w:val="21"/>
                <w:szCs w:val="21"/>
                <w:color w:val="auto"/>
              </w:rPr>
            </w:pPr>
          </w:p>
        </w:tc>
        <w:tc>
          <w:tcPr>
            <w:tcW w:w="1140" w:type="dxa"/>
            <w:vAlign w:val="bottom"/>
            <w:tcBorders>
              <w:bottom w:val="single" w:sz="8" w:color="auto"/>
            </w:tcBorders>
          </w:tcPr>
          <w:p>
            <w:pPr>
              <w:jc w:val="right"/>
              <w:ind w:right="12"/>
              <w:spacing w:after="0"/>
              <w:rPr>
                <w:sz w:val="20"/>
                <w:szCs w:val="20"/>
                <w:color w:val="auto"/>
              </w:rPr>
            </w:pPr>
            <w:r>
              <w:rPr>
                <w:rFonts w:ascii="Arial" w:cs="Arial" w:eastAsia="Arial" w:hAnsi="Arial"/>
                <w:sz w:val="18"/>
                <w:szCs w:val="18"/>
                <w:color w:val="auto"/>
              </w:rPr>
              <w:t>2,589</w:t>
            </w:r>
          </w:p>
        </w:tc>
      </w:tr>
      <w:tr>
        <w:trPr>
          <w:trHeight w:val="257"/>
        </w:trPr>
        <w:tc>
          <w:tcPr>
            <w:tcW w:w="6740" w:type="dxa"/>
            <w:vAlign w:val="bottom"/>
            <w:shd w:val="clear" w:color="auto" w:fill="CCEEFF"/>
          </w:tcPr>
          <w:p>
            <w:pPr>
              <w:ind w:left="720"/>
              <w:spacing w:after="0"/>
              <w:rPr>
                <w:sz w:val="20"/>
                <w:szCs w:val="20"/>
                <w:color w:val="auto"/>
              </w:rPr>
            </w:pPr>
            <w:r>
              <w:rPr>
                <w:rFonts w:ascii="Arial" w:cs="Arial" w:eastAsia="Arial" w:hAnsi="Arial"/>
                <w:sz w:val="18"/>
                <w:szCs w:val="18"/>
                <w:color w:val="auto"/>
              </w:rPr>
              <w:t>Total operating revenues</w:t>
            </w:r>
          </w:p>
        </w:tc>
        <w:tc>
          <w:tcPr>
            <w:tcW w:w="36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rPr>
              <w:t>$</w:t>
            </w: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45,761</w:t>
            </w:r>
          </w:p>
        </w:tc>
        <w:tc>
          <w:tcPr>
            <w:tcW w:w="520" w:type="dxa"/>
            <w:vAlign w:val="bottom"/>
            <w:gridSpan w:val="3"/>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112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44,530</w:t>
            </w:r>
          </w:p>
        </w:tc>
        <w:tc>
          <w:tcPr>
            <w:tcW w:w="120" w:type="dxa"/>
            <w:vAlign w:val="bottom"/>
            <w:shd w:val="clear" w:color="auto" w:fill="CCEEFF"/>
          </w:tcPr>
          <w:p>
            <w:pPr>
              <w:spacing w:after="0"/>
              <w:rPr>
                <w:sz w:val="22"/>
                <w:szCs w:val="22"/>
                <w:color w:val="auto"/>
              </w:rPr>
            </w:pPr>
          </w:p>
        </w:tc>
        <w:tc>
          <w:tcPr>
            <w:tcW w:w="34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14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42,610</w:t>
            </w:r>
          </w:p>
        </w:tc>
      </w:tr>
      <w:tr>
        <w:trPr>
          <w:trHeight w:val="20"/>
        </w:trPr>
        <w:tc>
          <w:tcPr>
            <w:tcW w:w="674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163195</wp:posOffset>
            </wp:positionV>
            <wp:extent cx="1337945" cy="8890"/>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1337945" cy="8890"/>
                    </a:xfrm>
                    <a:prstGeom prst="rect">
                      <a:avLst/>
                    </a:prstGeom>
                    <a:noFill/>
                  </pic:spPr>
                </pic:pic>
              </a:graphicData>
            </a:graphic>
          </wp:anchor>
        </w:drawing>
      </w:r>
    </w:p>
    <w:p>
      <w:pPr>
        <w:spacing w:after="0" w:line="330" w:lineRule="exact"/>
        <w:rPr>
          <w:sz w:val="20"/>
          <w:szCs w:val="20"/>
          <w:color w:val="auto"/>
        </w:rPr>
      </w:pPr>
    </w:p>
    <w:p>
      <w:pPr>
        <w:ind w:left="500" w:hanging="330"/>
        <w:spacing w:after="0" w:line="225" w:lineRule="auto"/>
        <w:tabs>
          <w:tab w:leader="none" w:pos="500" w:val="left"/>
        </w:tabs>
        <w:numPr>
          <w:ilvl w:val="0"/>
          <w:numId w:val="54"/>
        </w:numPr>
        <w:rPr>
          <w:rFonts w:ascii="Arial" w:cs="Arial" w:eastAsia="Arial" w:hAnsi="Arial"/>
          <w:sz w:val="22"/>
          <w:szCs w:val="22"/>
          <w:color w:val="auto"/>
          <w:vertAlign w:val="superscript"/>
        </w:rPr>
      </w:pPr>
      <w:r>
        <w:rPr>
          <w:rFonts w:ascii="Arial" w:cs="Arial" w:eastAsia="Arial" w:hAnsi="Arial"/>
          <w:sz w:val="18"/>
          <w:szCs w:val="18"/>
          <w:color w:val="auto"/>
        </w:rPr>
        <w:t>Loyalty revenue included in passenger revenue is principally comprised of mileage credit redemptions earned through travel or from co-branded credit card and other partners. See “</w:t>
      </w:r>
      <w:r>
        <w:rPr>
          <w:rFonts w:ascii="Arial" w:cs="Arial" w:eastAsia="Arial" w:hAnsi="Arial"/>
          <w:sz w:val="18"/>
          <w:szCs w:val="18"/>
          <w:i w:val="1"/>
          <w:iCs w:val="1"/>
          <w:color w:val="auto"/>
        </w:rPr>
        <w:t>Loyalty Revenue”</w:t>
      </w:r>
      <w:r>
        <w:rPr>
          <w:rFonts w:ascii="Arial" w:cs="Arial" w:eastAsia="Arial" w:hAnsi="Arial"/>
          <w:sz w:val="18"/>
          <w:szCs w:val="18"/>
          <w:color w:val="auto"/>
        </w:rPr>
        <w:t xml:space="preserve"> below for further discussion on these mileage credits.</w:t>
      </w:r>
    </w:p>
    <w:p>
      <w:pPr>
        <w:spacing w:after="0" w:line="163" w:lineRule="exact"/>
        <w:rPr>
          <w:sz w:val="20"/>
          <w:szCs w:val="20"/>
          <w:color w:val="auto"/>
        </w:rPr>
      </w:pPr>
    </w:p>
    <w:p>
      <w:pPr>
        <w:ind w:left="260"/>
        <w:spacing w:after="0"/>
        <w:rPr>
          <w:sz w:val="20"/>
          <w:szCs w:val="20"/>
          <w:color w:val="auto"/>
        </w:rPr>
      </w:pPr>
      <w:r>
        <w:rPr>
          <w:rFonts w:ascii="Arial" w:cs="Arial" w:eastAsia="Arial" w:hAnsi="Arial"/>
          <w:sz w:val="18"/>
          <w:szCs w:val="18"/>
          <w:color w:val="auto"/>
        </w:rPr>
        <w:t>The following is American’s total passenger revenue by geographic region (in millions):</w:t>
      </w:r>
    </w:p>
    <w:p>
      <w:pPr>
        <w:spacing w:after="0" w:line="375" w:lineRule="exact"/>
        <w:rPr>
          <w:sz w:val="20"/>
          <w:szCs w:val="20"/>
          <w:color w:val="auto"/>
        </w:rPr>
      </w:pPr>
    </w:p>
    <w:tbl>
      <w:tblPr>
        <w:tblLayout w:type="fixed"/>
        <w:tblInd w:w="0" w:type="dxa"/>
        <w:tblCellMar>
          <w:top w:w="0" w:type="dxa"/>
          <w:left w:w="0" w:type="dxa"/>
          <w:bottom w:w="0" w:type="dxa"/>
          <w:right w:w="0" w:type="dxa"/>
        </w:tblCellMar>
      </w:tblPr>
      <w:tr>
        <w:trPr>
          <w:trHeight w:val="196"/>
        </w:trPr>
        <w:tc>
          <w:tcPr>
            <w:tcW w:w="6740" w:type="dxa"/>
            <w:vAlign w:val="bottom"/>
          </w:tcPr>
          <w:p>
            <w:pPr>
              <w:spacing w:after="0"/>
              <w:rPr>
                <w:sz w:val="17"/>
                <w:szCs w:val="17"/>
                <w:color w:val="auto"/>
              </w:rPr>
            </w:pPr>
          </w:p>
        </w:tc>
        <w:tc>
          <w:tcPr>
            <w:tcW w:w="360" w:type="dxa"/>
            <w:vAlign w:val="bottom"/>
            <w:tcBorders>
              <w:bottom w:val="single" w:sz="8" w:color="auto"/>
            </w:tcBorders>
          </w:tcPr>
          <w:p>
            <w:pPr>
              <w:spacing w:after="0"/>
              <w:rPr>
                <w:sz w:val="17"/>
                <w:szCs w:val="17"/>
                <w:color w:val="auto"/>
              </w:rPr>
            </w:pPr>
          </w:p>
        </w:tc>
        <w:tc>
          <w:tcPr>
            <w:tcW w:w="1080" w:type="dxa"/>
            <w:vAlign w:val="bottom"/>
            <w:tcBorders>
              <w:bottom w:val="single" w:sz="8" w:color="auto"/>
            </w:tcBorders>
          </w:tcPr>
          <w:p>
            <w:pPr>
              <w:spacing w:after="0"/>
              <w:rPr>
                <w:sz w:val="17"/>
                <w:szCs w:val="17"/>
                <w:color w:val="auto"/>
              </w:rPr>
            </w:pPr>
          </w:p>
        </w:tc>
        <w:tc>
          <w:tcPr>
            <w:tcW w:w="2100" w:type="dxa"/>
            <w:vAlign w:val="bottom"/>
            <w:tcBorders>
              <w:bottom w:val="single" w:sz="8" w:color="auto"/>
            </w:tcBorders>
            <w:gridSpan w:val="6"/>
          </w:tcPr>
          <w:p>
            <w:pPr>
              <w:jc w:val="right"/>
              <w:ind w:right="210"/>
              <w:spacing w:after="0"/>
              <w:rPr>
                <w:sz w:val="20"/>
                <w:szCs w:val="20"/>
                <w:color w:val="auto"/>
              </w:rPr>
            </w:pPr>
            <w:r>
              <w:rPr>
                <w:rFonts w:ascii="Arial" w:cs="Arial" w:eastAsia="Arial" w:hAnsi="Arial"/>
                <w:sz w:val="14"/>
                <w:szCs w:val="14"/>
                <w:b w:val="1"/>
                <w:bCs w:val="1"/>
                <w:color w:val="auto"/>
              </w:rPr>
              <w:t>Year Ended December 31,</w:t>
            </w:r>
          </w:p>
        </w:tc>
        <w:tc>
          <w:tcPr>
            <w:tcW w:w="1140" w:type="dxa"/>
            <w:vAlign w:val="bottom"/>
            <w:tcBorders>
              <w:bottom w:val="single" w:sz="8" w:color="auto"/>
            </w:tcBorders>
          </w:tcPr>
          <w:p>
            <w:pPr>
              <w:spacing w:after="0"/>
              <w:rPr>
                <w:sz w:val="17"/>
                <w:szCs w:val="17"/>
                <w:color w:val="auto"/>
              </w:rPr>
            </w:pPr>
          </w:p>
        </w:tc>
      </w:tr>
      <w:tr>
        <w:trPr>
          <w:trHeight w:val="264"/>
        </w:trPr>
        <w:tc>
          <w:tcPr>
            <w:tcW w:w="6740" w:type="dxa"/>
            <w:vAlign w:val="bottom"/>
          </w:tcPr>
          <w:p>
            <w:pPr>
              <w:spacing w:after="0"/>
              <w:rPr>
                <w:sz w:val="22"/>
                <w:szCs w:val="22"/>
                <w:color w:val="auto"/>
              </w:rPr>
            </w:pPr>
          </w:p>
        </w:tc>
        <w:tc>
          <w:tcPr>
            <w:tcW w:w="360" w:type="dxa"/>
            <w:vAlign w:val="bottom"/>
            <w:tcBorders>
              <w:bottom w:val="single" w:sz="8" w:color="auto"/>
            </w:tcBorders>
          </w:tcPr>
          <w:p>
            <w:pPr>
              <w:spacing w:after="0"/>
              <w:rPr>
                <w:sz w:val="22"/>
                <w:szCs w:val="22"/>
                <w:color w:val="auto"/>
              </w:rPr>
            </w:pPr>
          </w:p>
        </w:tc>
        <w:tc>
          <w:tcPr>
            <w:tcW w:w="1080" w:type="dxa"/>
            <w:vAlign w:val="bottom"/>
            <w:tcBorders>
              <w:bottom w:val="single" w:sz="8" w:color="auto"/>
            </w:tcBorders>
          </w:tcPr>
          <w:p>
            <w:pPr>
              <w:jc w:val="right"/>
              <w:ind w:right="433"/>
              <w:spacing w:after="0"/>
              <w:rPr>
                <w:sz w:val="20"/>
                <w:szCs w:val="20"/>
                <w:color w:val="auto"/>
              </w:rPr>
            </w:pPr>
            <w:r>
              <w:rPr>
                <w:rFonts w:ascii="Arial" w:cs="Arial" w:eastAsia="Arial" w:hAnsi="Arial"/>
                <w:sz w:val="14"/>
                <w:szCs w:val="14"/>
                <w:b w:val="1"/>
                <w:bCs w:val="1"/>
                <w:color w:val="auto"/>
              </w:rPr>
              <w:t>2019</w:t>
            </w:r>
          </w:p>
        </w:tc>
        <w:tc>
          <w:tcPr>
            <w:tcW w:w="60" w:type="dxa"/>
            <w:vAlign w:val="bottom"/>
            <w:tcBorders>
              <w:bottom w:val="single" w:sz="8" w:color="auto"/>
            </w:tcBorders>
          </w:tcPr>
          <w:p>
            <w:pPr>
              <w:spacing w:after="0"/>
              <w:rPr>
                <w:sz w:val="22"/>
                <w:szCs w:val="22"/>
                <w:color w:val="auto"/>
              </w:rPr>
            </w:pPr>
          </w:p>
        </w:tc>
        <w:tc>
          <w:tcPr>
            <w:tcW w:w="100" w:type="dxa"/>
            <w:vAlign w:val="bottom"/>
          </w:tcPr>
          <w:p>
            <w:pPr>
              <w:spacing w:after="0"/>
              <w:rPr>
                <w:sz w:val="22"/>
                <w:szCs w:val="22"/>
                <w:color w:val="auto"/>
              </w:rPr>
            </w:pPr>
          </w:p>
        </w:tc>
        <w:tc>
          <w:tcPr>
            <w:tcW w:w="360" w:type="dxa"/>
            <w:vAlign w:val="bottom"/>
            <w:tcBorders>
              <w:bottom w:val="single" w:sz="8" w:color="auto"/>
            </w:tcBorders>
          </w:tcPr>
          <w:p>
            <w:pPr>
              <w:spacing w:after="0"/>
              <w:rPr>
                <w:sz w:val="22"/>
                <w:szCs w:val="22"/>
                <w:color w:val="auto"/>
              </w:rPr>
            </w:pPr>
          </w:p>
        </w:tc>
        <w:tc>
          <w:tcPr>
            <w:tcW w:w="1120" w:type="dxa"/>
            <w:vAlign w:val="bottom"/>
            <w:tcBorders>
              <w:bottom w:val="single" w:sz="8" w:color="auto"/>
            </w:tcBorders>
          </w:tcPr>
          <w:p>
            <w:pPr>
              <w:jc w:val="right"/>
              <w:ind w:right="493"/>
              <w:spacing w:after="0"/>
              <w:rPr>
                <w:sz w:val="20"/>
                <w:szCs w:val="20"/>
                <w:color w:val="auto"/>
              </w:rPr>
            </w:pPr>
            <w:r>
              <w:rPr>
                <w:rFonts w:ascii="Arial" w:cs="Arial" w:eastAsia="Arial" w:hAnsi="Arial"/>
                <w:sz w:val="14"/>
                <w:szCs w:val="14"/>
                <w:b w:val="1"/>
                <w:bCs w:val="1"/>
                <w:color w:val="auto"/>
              </w:rPr>
              <w:t>2018</w:t>
            </w:r>
          </w:p>
        </w:tc>
        <w:tc>
          <w:tcPr>
            <w:tcW w:w="120" w:type="dxa"/>
            <w:vAlign w:val="bottom"/>
          </w:tcPr>
          <w:p>
            <w:pPr>
              <w:spacing w:after="0"/>
              <w:rPr>
                <w:sz w:val="22"/>
                <w:szCs w:val="22"/>
                <w:color w:val="auto"/>
              </w:rPr>
            </w:pPr>
          </w:p>
        </w:tc>
        <w:tc>
          <w:tcPr>
            <w:tcW w:w="340" w:type="dxa"/>
            <w:vAlign w:val="bottom"/>
            <w:tcBorders>
              <w:bottom w:val="single" w:sz="8" w:color="auto"/>
            </w:tcBorders>
          </w:tcPr>
          <w:p>
            <w:pPr>
              <w:spacing w:after="0"/>
              <w:rPr>
                <w:sz w:val="22"/>
                <w:szCs w:val="22"/>
                <w:color w:val="auto"/>
              </w:rPr>
            </w:pPr>
          </w:p>
        </w:tc>
        <w:tc>
          <w:tcPr>
            <w:tcW w:w="1140" w:type="dxa"/>
            <w:vAlign w:val="bottom"/>
            <w:tcBorders>
              <w:bottom w:val="single" w:sz="8" w:color="auto"/>
            </w:tcBorders>
          </w:tcPr>
          <w:p>
            <w:pPr>
              <w:jc w:val="right"/>
              <w:ind w:right="493"/>
              <w:spacing w:after="0"/>
              <w:rPr>
                <w:sz w:val="20"/>
                <w:szCs w:val="20"/>
                <w:color w:val="auto"/>
              </w:rPr>
            </w:pPr>
            <w:r>
              <w:rPr>
                <w:rFonts w:ascii="Arial" w:cs="Arial" w:eastAsia="Arial" w:hAnsi="Arial"/>
                <w:sz w:val="14"/>
                <w:szCs w:val="14"/>
                <w:b w:val="1"/>
                <w:bCs w:val="1"/>
                <w:color w:val="auto"/>
              </w:rPr>
              <w:t>2017</w:t>
            </w:r>
          </w:p>
        </w:tc>
      </w:tr>
      <w:tr>
        <w:trPr>
          <w:trHeight w:val="249"/>
        </w:trPr>
        <w:tc>
          <w:tcPr>
            <w:tcW w:w="6740" w:type="dxa"/>
            <w:vAlign w:val="bottom"/>
          </w:tcPr>
          <w:p>
            <w:pPr>
              <w:ind w:left="40"/>
              <w:spacing w:after="0"/>
              <w:rPr>
                <w:sz w:val="20"/>
                <w:szCs w:val="20"/>
                <w:color w:val="auto"/>
              </w:rPr>
            </w:pPr>
            <w:r>
              <w:rPr>
                <w:rFonts w:ascii="Arial" w:cs="Arial" w:eastAsia="Arial" w:hAnsi="Arial"/>
                <w:sz w:val="18"/>
                <w:szCs w:val="18"/>
                <w:color w:val="auto"/>
              </w:rPr>
              <w:t>Domestic</w:t>
            </w:r>
          </w:p>
        </w:tc>
        <w:tc>
          <w:tcPr>
            <w:tcW w:w="360" w:type="dxa"/>
            <w:vAlign w:val="bottom"/>
          </w:tcPr>
          <w:p>
            <w:pPr>
              <w:jc w:val="right"/>
              <w:ind w:right="130"/>
              <w:spacing w:after="0"/>
              <w:rPr>
                <w:sz w:val="20"/>
                <w:szCs w:val="20"/>
                <w:color w:val="auto"/>
              </w:rPr>
            </w:pPr>
            <w:r>
              <w:rPr>
                <w:rFonts w:ascii="Arial" w:cs="Arial" w:eastAsia="Arial" w:hAnsi="Arial"/>
                <w:sz w:val="18"/>
                <w:szCs w:val="18"/>
                <w:color w:val="auto"/>
              </w:rPr>
              <w:t>$</w:t>
            </w:r>
          </w:p>
        </w:tc>
        <w:tc>
          <w:tcPr>
            <w:tcW w:w="1080" w:type="dxa"/>
            <w:vAlign w:val="bottom"/>
          </w:tcPr>
          <w:p>
            <w:pPr>
              <w:jc w:val="right"/>
              <w:spacing w:after="0"/>
              <w:rPr>
                <w:sz w:val="20"/>
                <w:szCs w:val="20"/>
                <w:color w:val="auto"/>
              </w:rPr>
            </w:pPr>
            <w:r>
              <w:rPr>
                <w:rFonts w:ascii="Arial" w:cs="Arial" w:eastAsia="Arial" w:hAnsi="Arial"/>
                <w:sz w:val="18"/>
                <w:szCs w:val="18"/>
                <w:color w:val="auto"/>
              </w:rPr>
              <w:t>30,881</w:t>
            </w:r>
          </w:p>
        </w:tc>
        <w:tc>
          <w:tcPr>
            <w:tcW w:w="520" w:type="dxa"/>
            <w:vAlign w:val="bottom"/>
            <w:gridSpan w:val="3"/>
          </w:tcPr>
          <w:p>
            <w:pPr>
              <w:jc w:val="right"/>
              <w:ind w:right="240"/>
              <w:spacing w:after="0"/>
              <w:rPr>
                <w:sz w:val="20"/>
                <w:szCs w:val="20"/>
                <w:color w:val="auto"/>
              </w:rPr>
            </w:pPr>
            <w:r>
              <w:rPr>
                <w:rFonts w:ascii="Arial" w:cs="Arial" w:eastAsia="Arial" w:hAnsi="Arial"/>
                <w:sz w:val="18"/>
                <w:szCs w:val="18"/>
                <w:color w:val="auto"/>
              </w:rPr>
              <w:t>$</w:t>
            </w:r>
          </w:p>
        </w:tc>
        <w:tc>
          <w:tcPr>
            <w:tcW w:w="1120" w:type="dxa"/>
            <w:vAlign w:val="bottom"/>
          </w:tcPr>
          <w:p>
            <w:pPr>
              <w:jc w:val="right"/>
              <w:ind w:right="13"/>
              <w:spacing w:after="0"/>
              <w:rPr>
                <w:sz w:val="20"/>
                <w:szCs w:val="20"/>
                <w:color w:val="auto"/>
              </w:rPr>
            </w:pPr>
            <w:r>
              <w:rPr>
                <w:rFonts w:ascii="Arial" w:cs="Arial" w:eastAsia="Arial" w:hAnsi="Arial"/>
                <w:sz w:val="18"/>
                <w:szCs w:val="18"/>
                <w:color w:val="auto"/>
              </w:rPr>
              <w:t>29,573</w:t>
            </w:r>
          </w:p>
        </w:tc>
        <w:tc>
          <w:tcPr>
            <w:tcW w:w="120" w:type="dxa"/>
            <w:vAlign w:val="bottom"/>
          </w:tcPr>
          <w:p>
            <w:pPr>
              <w:spacing w:after="0"/>
              <w:rPr>
                <w:sz w:val="21"/>
                <w:szCs w:val="21"/>
                <w:color w:val="auto"/>
              </w:rPr>
            </w:pPr>
          </w:p>
        </w:tc>
        <w:tc>
          <w:tcPr>
            <w:tcW w:w="340" w:type="dxa"/>
            <w:vAlign w:val="bottom"/>
          </w:tcPr>
          <w:p>
            <w:pPr>
              <w:jc w:val="right"/>
              <w:ind w:right="130"/>
              <w:spacing w:after="0"/>
              <w:rPr>
                <w:sz w:val="20"/>
                <w:szCs w:val="20"/>
                <w:color w:val="auto"/>
              </w:rPr>
            </w:pPr>
            <w:r>
              <w:rPr>
                <w:rFonts w:ascii="Arial" w:cs="Arial" w:eastAsia="Arial" w:hAnsi="Arial"/>
                <w:sz w:val="18"/>
                <w:szCs w:val="18"/>
                <w:color w:val="auto"/>
                <w:w w:val="99"/>
              </w:rPr>
              <w:t>$</w:t>
            </w:r>
          </w:p>
        </w:tc>
        <w:tc>
          <w:tcPr>
            <w:tcW w:w="1140" w:type="dxa"/>
            <w:vAlign w:val="bottom"/>
          </w:tcPr>
          <w:p>
            <w:pPr>
              <w:jc w:val="right"/>
              <w:ind w:right="13"/>
              <w:spacing w:after="0"/>
              <w:rPr>
                <w:sz w:val="20"/>
                <w:szCs w:val="20"/>
                <w:color w:val="auto"/>
              </w:rPr>
            </w:pPr>
            <w:r>
              <w:rPr>
                <w:rFonts w:ascii="Arial" w:cs="Arial" w:eastAsia="Arial" w:hAnsi="Arial"/>
                <w:sz w:val="18"/>
                <w:szCs w:val="18"/>
                <w:color w:val="auto"/>
              </w:rPr>
              <w:t>28,749</w:t>
            </w:r>
          </w:p>
        </w:tc>
      </w:tr>
      <w:tr>
        <w:trPr>
          <w:trHeight w:val="277"/>
        </w:trPr>
        <w:tc>
          <w:tcPr>
            <w:tcW w:w="6740" w:type="dxa"/>
            <w:vAlign w:val="bottom"/>
            <w:shd w:val="clear" w:color="auto" w:fill="CCEEFF"/>
          </w:tcPr>
          <w:p>
            <w:pPr>
              <w:ind w:left="40"/>
              <w:spacing w:after="0"/>
              <w:rPr>
                <w:sz w:val="20"/>
                <w:szCs w:val="20"/>
                <w:color w:val="auto"/>
              </w:rPr>
            </w:pPr>
            <w:r>
              <w:rPr>
                <w:rFonts w:ascii="Arial" w:cs="Arial" w:eastAsia="Arial" w:hAnsi="Arial"/>
                <w:sz w:val="18"/>
                <w:szCs w:val="18"/>
                <w:color w:val="auto"/>
              </w:rPr>
              <w:t>Latin America</w:t>
            </w:r>
          </w:p>
        </w:tc>
        <w:tc>
          <w:tcPr>
            <w:tcW w:w="360" w:type="dxa"/>
            <w:vAlign w:val="bottom"/>
            <w:shd w:val="clear" w:color="auto" w:fill="CCEEFF"/>
          </w:tcPr>
          <w:p>
            <w:pPr>
              <w:spacing w:after="0"/>
              <w:rPr>
                <w:sz w:val="24"/>
                <w:szCs w:val="24"/>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5,047</w:t>
            </w:r>
          </w:p>
        </w:tc>
        <w:tc>
          <w:tcPr>
            <w:tcW w:w="6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360" w:type="dxa"/>
            <w:vAlign w:val="bottom"/>
            <w:shd w:val="clear" w:color="auto" w:fill="CCEEFF"/>
          </w:tcPr>
          <w:p>
            <w:pPr>
              <w:spacing w:after="0"/>
              <w:rPr>
                <w:sz w:val="24"/>
                <w:szCs w:val="24"/>
                <w:color w:val="auto"/>
              </w:rPr>
            </w:pPr>
          </w:p>
        </w:tc>
        <w:tc>
          <w:tcPr>
            <w:tcW w:w="1120" w:type="dxa"/>
            <w:vAlign w:val="bottom"/>
            <w:shd w:val="clear" w:color="auto" w:fill="CCEEFF"/>
          </w:tcPr>
          <w:p>
            <w:pPr>
              <w:jc w:val="right"/>
              <w:ind w:right="13"/>
              <w:spacing w:after="0"/>
              <w:rPr>
                <w:sz w:val="20"/>
                <w:szCs w:val="20"/>
                <w:color w:val="auto"/>
              </w:rPr>
            </w:pPr>
            <w:r>
              <w:rPr>
                <w:rFonts w:ascii="Arial" w:cs="Arial" w:eastAsia="Arial" w:hAnsi="Arial"/>
                <w:sz w:val="18"/>
                <w:szCs w:val="18"/>
                <w:color w:val="auto"/>
              </w:rPr>
              <w:t>5,125</w:t>
            </w:r>
          </w:p>
        </w:tc>
        <w:tc>
          <w:tcPr>
            <w:tcW w:w="120" w:type="dxa"/>
            <w:vAlign w:val="bottom"/>
            <w:shd w:val="clear" w:color="auto" w:fill="CCEEFF"/>
          </w:tcPr>
          <w:p>
            <w:pPr>
              <w:spacing w:after="0"/>
              <w:rPr>
                <w:sz w:val="24"/>
                <w:szCs w:val="24"/>
                <w:color w:val="auto"/>
              </w:rPr>
            </w:pPr>
          </w:p>
        </w:tc>
        <w:tc>
          <w:tcPr>
            <w:tcW w:w="340" w:type="dxa"/>
            <w:vAlign w:val="bottom"/>
            <w:shd w:val="clear" w:color="auto" w:fill="CCEEFF"/>
          </w:tcPr>
          <w:p>
            <w:pPr>
              <w:spacing w:after="0"/>
              <w:rPr>
                <w:sz w:val="24"/>
                <w:szCs w:val="24"/>
                <w:color w:val="auto"/>
              </w:rPr>
            </w:pPr>
          </w:p>
        </w:tc>
        <w:tc>
          <w:tcPr>
            <w:tcW w:w="1140" w:type="dxa"/>
            <w:vAlign w:val="bottom"/>
            <w:shd w:val="clear" w:color="auto" w:fill="CCEEFF"/>
          </w:tcPr>
          <w:p>
            <w:pPr>
              <w:jc w:val="right"/>
              <w:ind w:right="13"/>
              <w:spacing w:after="0"/>
              <w:rPr>
                <w:sz w:val="20"/>
                <w:szCs w:val="20"/>
                <w:color w:val="auto"/>
              </w:rPr>
            </w:pPr>
            <w:r>
              <w:rPr>
                <w:rFonts w:ascii="Arial" w:cs="Arial" w:eastAsia="Arial" w:hAnsi="Arial"/>
                <w:sz w:val="18"/>
                <w:szCs w:val="18"/>
                <w:color w:val="auto"/>
              </w:rPr>
              <w:t>4,840</w:t>
            </w:r>
          </w:p>
        </w:tc>
      </w:tr>
      <w:tr>
        <w:trPr>
          <w:trHeight w:val="263"/>
        </w:trPr>
        <w:tc>
          <w:tcPr>
            <w:tcW w:w="6740" w:type="dxa"/>
            <w:vAlign w:val="bottom"/>
          </w:tcPr>
          <w:p>
            <w:pPr>
              <w:ind w:left="40"/>
              <w:spacing w:after="0"/>
              <w:rPr>
                <w:sz w:val="20"/>
                <w:szCs w:val="20"/>
                <w:color w:val="auto"/>
              </w:rPr>
            </w:pPr>
            <w:r>
              <w:rPr>
                <w:rFonts w:ascii="Arial" w:cs="Arial" w:eastAsia="Arial" w:hAnsi="Arial"/>
                <w:sz w:val="18"/>
                <w:szCs w:val="18"/>
                <w:color w:val="auto"/>
              </w:rPr>
              <w:t>Atlantic</w:t>
            </w:r>
          </w:p>
        </w:tc>
        <w:tc>
          <w:tcPr>
            <w:tcW w:w="360" w:type="dxa"/>
            <w:vAlign w:val="bottom"/>
          </w:tcPr>
          <w:p>
            <w:pPr>
              <w:spacing w:after="0"/>
              <w:rPr>
                <w:sz w:val="22"/>
                <w:szCs w:val="22"/>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4,624</w:t>
            </w:r>
          </w:p>
        </w:tc>
        <w:tc>
          <w:tcPr>
            <w:tcW w:w="6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1120" w:type="dxa"/>
            <w:vAlign w:val="bottom"/>
          </w:tcPr>
          <w:p>
            <w:pPr>
              <w:jc w:val="right"/>
              <w:ind w:right="13"/>
              <w:spacing w:after="0"/>
              <w:rPr>
                <w:sz w:val="20"/>
                <w:szCs w:val="20"/>
                <w:color w:val="auto"/>
              </w:rPr>
            </w:pPr>
            <w:r>
              <w:rPr>
                <w:rFonts w:ascii="Arial" w:cs="Arial" w:eastAsia="Arial" w:hAnsi="Arial"/>
                <w:sz w:val="18"/>
                <w:szCs w:val="18"/>
                <w:color w:val="auto"/>
              </w:rPr>
              <w:t>4,376</w:t>
            </w:r>
          </w:p>
        </w:tc>
        <w:tc>
          <w:tcPr>
            <w:tcW w:w="12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1140" w:type="dxa"/>
            <w:vAlign w:val="bottom"/>
          </w:tcPr>
          <w:p>
            <w:pPr>
              <w:jc w:val="right"/>
              <w:ind w:right="13"/>
              <w:spacing w:after="0"/>
              <w:rPr>
                <w:sz w:val="20"/>
                <w:szCs w:val="20"/>
                <w:color w:val="auto"/>
              </w:rPr>
            </w:pPr>
            <w:r>
              <w:rPr>
                <w:rFonts w:ascii="Arial" w:cs="Arial" w:eastAsia="Arial" w:hAnsi="Arial"/>
                <w:sz w:val="18"/>
                <w:szCs w:val="18"/>
                <w:color w:val="auto"/>
              </w:rPr>
              <w:t>4,028</w:t>
            </w:r>
          </w:p>
        </w:tc>
      </w:tr>
      <w:tr>
        <w:trPr>
          <w:trHeight w:val="277"/>
        </w:trPr>
        <w:tc>
          <w:tcPr>
            <w:tcW w:w="6740" w:type="dxa"/>
            <w:vAlign w:val="bottom"/>
            <w:shd w:val="clear" w:color="auto" w:fill="CCEEFF"/>
          </w:tcPr>
          <w:p>
            <w:pPr>
              <w:ind w:left="40"/>
              <w:spacing w:after="0"/>
              <w:rPr>
                <w:sz w:val="20"/>
                <w:szCs w:val="20"/>
                <w:color w:val="auto"/>
              </w:rPr>
            </w:pPr>
            <w:r>
              <w:rPr>
                <w:rFonts w:ascii="Arial" w:cs="Arial" w:eastAsia="Arial" w:hAnsi="Arial"/>
                <w:sz w:val="18"/>
                <w:szCs w:val="18"/>
                <w:color w:val="auto"/>
              </w:rPr>
              <w:t>Pacific</w:t>
            </w:r>
          </w:p>
        </w:tc>
        <w:tc>
          <w:tcPr>
            <w:tcW w:w="360" w:type="dxa"/>
            <w:vAlign w:val="bottom"/>
            <w:tcBorders>
              <w:bottom w:val="single" w:sz="8" w:color="auto"/>
            </w:tcBorders>
            <w:shd w:val="clear" w:color="auto" w:fill="CCEEFF"/>
          </w:tcPr>
          <w:p>
            <w:pPr>
              <w:spacing w:after="0"/>
              <w:rPr>
                <w:sz w:val="24"/>
                <w:szCs w:val="24"/>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1,458</w:t>
            </w:r>
          </w:p>
        </w:tc>
        <w:tc>
          <w:tcPr>
            <w:tcW w:w="60" w:type="dxa"/>
            <w:vAlign w:val="bottom"/>
            <w:tcBorders>
              <w:bottom w:val="single" w:sz="8" w:color="auto"/>
            </w:tcBorders>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360" w:type="dxa"/>
            <w:vAlign w:val="bottom"/>
            <w:tcBorders>
              <w:bottom w:val="single" w:sz="8" w:color="auto"/>
            </w:tcBorders>
            <w:shd w:val="clear" w:color="auto" w:fill="CCEEFF"/>
          </w:tcPr>
          <w:p>
            <w:pPr>
              <w:spacing w:after="0"/>
              <w:rPr>
                <w:sz w:val="24"/>
                <w:szCs w:val="24"/>
                <w:color w:val="auto"/>
              </w:rPr>
            </w:pPr>
          </w:p>
        </w:tc>
        <w:tc>
          <w:tcPr>
            <w:tcW w:w="1120" w:type="dxa"/>
            <w:vAlign w:val="bottom"/>
            <w:tcBorders>
              <w:bottom w:val="single" w:sz="8" w:color="auto"/>
            </w:tcBorders>
            <w:shd w:val="clear" w:color="auto" w:fill="CCEEFF"/>
          </w:tcPr>
          <w:p>
            <w:pPr>
              <w:jc w:val="right"/>
              <w:ind w:right="13"/>
              <w:spacing w:after="0"/>
              <w:rPr>
                <w:sz w:val="20"/>
                <w:szCs w:val="20"/>
                <w:color w:val="auto"/>
              </w:rPr>
            </w:pPr>
            <w:r>
              <w:rPr>
                <w:rFonts w:ascii="Arial" w:cs="Arial" w:eastAsia="Arial" w:hAnsi="Arial"/>
                <w:sz w:val="18"/>
                <w:szCs w:val="18"/>
                <w:color w:val="auto"/>
              </w:rPr>
              <w:t>1,602</w:t>
            </w:r>
          </w:p>
        </w:tc>
        <w:tc>
          <w:tcPr>
            <w:tcW w:w="120" w:type="dxa"/>
            <w:vAlign w:val="bottom"/>
            <w:shd w:val="clear" w:color="auto" w:fill="CCEEFF"/>
          </w:tcPr>
          <w:p>
            <w:pPr>
              <w:spacing w:after="0"/>
              <w:rPr>
                <w:sz w:val="24"/>
                <w:szCs w:val="24"/>
                <w:color w:val="auto"/>
              </w:rPr>
            </w:pPr>
          </w:p>
        </w:tc>
        <w:tc>
          <w:tcPr>
            <w:tcW w:w="340" w:type="dxa"/>
            <w:vAlign w:val="bottom"/>
            <w:tcBorders>
              <w:bottom w:val="single" w:sz="8" w:color="auto"/>
            </w:tcBorders>
            <w:shd w:val="clear" w:color="auto" w:fill="CCEEFF"/>
          </w:tcPr>
          <w:p>
            <w:pPr>
              <w:spacing w:after="0"/>
              <w:rPr>
                <w:sz w:val="24"/>
                <w:szCs w:val="24"/>
                <w:color w:val="auto"/>
              </w:rPr>
            </w:pPr>
          </w:p>
        </w:tc>
        <w:tc>
          <w:tcPr>
            <w:tcW w:w="1140" w:type="dxa"/>
            <w:vAlign w:val="bottom"/>
            <w:tcBorders>
              <w:bottom w:val="single" w:sz="8" w:color="auto"/>
            </w:tcBorders>
            <w:shd w:val="clear" w:color="auto" w:fill="CCEEFF"/>
          </w:tcPr>
          <w:p>
            <w:pPr>
              <w:jc w:val="right"/>
              <w:ind w:right="13"/>
              <w:spacing w:after="0"/>
              <w:rPr>
                <w:sz w:val="20"/>
                <w:szCs w:val="20"/>
                <w:color w:val="auto"/>
              </w:rPr>
            </w:pPr>
            <w:r>
              <w:rPr>
                <w:rFonts w:ascii="Arial" w:cs="Arial" w:eastAsia="Arial" w:hAnsi="Arial"/>
                <w:sz w:val="18"/>
                <w:szCs w:val="18"/>
                <w:color w:val="auto"/>
              </w:rPr>
              <w:t>1,514</w:t>
            </w:r>
          </w:p>
        </w:tc>
      </w:tr>
      <w:tr>
        <w:trPr>
          <w:trHeight w:val="244"/>
        </w:trPr>
        <w:tc>
          <w:tcPr>
            <w:tcW w:w="6740" w:type="dxa"/>
            <w:vAlign w:val="bottom"/>
          </w:tcPr>
          <w:p>
            <w:pPr>
              <w:ind w:left="280"/>
              <w:spacing w:after="0"/>
              <w:rPr>
                <w:sz w:val="20"/>
                <w:szCs w:val="20"/>
                <w:color w:val="auto"/>
              </w:rPr>
            </w:pPr>
            <w:r>
              <w:rPr>
                <w:rFonts w:ascii="Arial" w:cs="Arial" w:eastAsia="Arial" w:hAnsi="Arial"/>
                <w:sz w:val="18"/>
                <w:szCs w:val="18"/>
                <w:color w:val="auto"/>
              </w:rPr>
              <w:t>Total passenger revenue</w:t>
            </w:r>
          </w:p>
        </w:tc>
        <w:tc>
          <w:tcPr>
            <w:tcW w:w="360" w:type="dxa"/>
            <w:vAlign w:val="bottom"/>
          </w:tcPr>
          <w:p>
            <w:pPr>
              <w:jc w:val="right"/>
              <w:ind w:right="130"/>
              <w:spacing w:after="0"/>
              <w:rPr>
                <w:sz w:val="20"/>
                <w:szCs w:val="20"/>
                <w:color w:val="auto"/>
              </w:rPr>
            </w:pPr>
            <w:r>
              <w:rPr>
                <w:rFonts w:ascii="Arial" w:cs="Arial" w:eastAsia="Arial" w:hAnsi="Arial"/>
                <w:sz w:val="18"/>
                <w:szCs w:val="18"/>
                <w:color w:val="auto"/>
              </w:rPr>
              <w:t>$</w:t>
            </w:r>
          </w:p>
        </w:tc>
        <w:tc>
          <w:tcPr>
            <w:tcW w:w="1080" w:type="dxa"/>
            <w:vAlign w:val="bottom"/>
          </w:tcPr>
          <w:p>
            <w:pPr>
              <w:jc w:val="right"/>
              <w:spacing w:after="0"/>
              <w:rPr>
                <w:sz w:val="20"/>
                <w:szCs w:val="20"/>
                <w:color w:val="auto"/>
              </w:rPr>
            </w:pPr>
            <w:r>
              <w:rPr>
                <w:rFonts w:ascii="Arial" w:cs="Arial" w:eastAsia="Arial" w:hAnsi="Arial"/>
                <w:sz w:val="18"/>
                <w:szCs w:val="18"/>
                <w:color w:val="auto"/>
              </w:rPr>
              <w:t>42,010</w:t>
            </w:r>
          </w:p>
        </w:tc>
        <w:tc>
          <w:tcPr>
            <w:tcW w:w="520" w:type="dxa"/>
            <w:vAlign w:val="bottom"/>
            <w:gridSpan w:val="3"/>
          </w:tcPr>
          <w:p>
            <w:pPr>
              <w:jc w:val="right"/>
              <w:ind w:right="240"/>
              <w:spacing w:after="0"/>
              <w:rPr>
                <w:sz w:val="20"/>
                <w:szCs w:val="20"/>
                <w:color w:val="auto"/>
              </w:rPr>
            </w:pPr>
            <w:r>
              <w:rPr>
                <w:rFonts w:ascii="Arial" w:cs="Arial" w:eastAsia="Arial" w:hAnsi="Arial"/>
                <w:sz w:val="18"/>
                <w:szCs w:val="18"/>
                <w:color w:val="auto"/>
              </w:rPr>
              <w:t>$</w:t>
            </w:r>
          </w:p>
        </w:tc>
        <w:tc>
          <w:tcPr>
            <w:tcW w:w="1120" w:type="dxa"/>
            <w:vAlign w:val="bottom"/>
          </w:tcPr>
          <w:p>
            <w:pPr>
              <w:jc w:val="right"/>
              <w:ind w:right="13"/>
              <w:spacing w:after="0"/>
              <w:rPr>
                <w:sz w:val="20"/>
                <w:szCs w:val="20"/>
                <w:color w:val="auto"/>
              </w:rPr>
            </w:pPr>
            <w:r>
              <w:rPr>
                <w:rFonts w:ascii="Arial" w:cs="Arial" w:eastAsia="Arial" w:hAnsi="Arial"/>
                <w:sz w:val="18"/>
                <w:szCs w:val="18"/>
                <w:color w:val="auto"/>
              </w:rPr>
              <w:t>40,676</w:t>
            </w:r>
          </w:p>
        </w:tc>
        <w:tc>
          <w:tcPr>
            <w:tcW w:w="120" w:type="dxa"/>
            <w:vAlign w:val="bottom"/>
          </w:tcPr>
          <w:p>
            <w:pPr>
              <w:spacing w:after="0"/>
              <w:rPr>
                <w:sz w:val="21"/>
                <w:szCs w:val="21"/>
                <w:color w:val="auto"/>
              </w:rPr>
            </w:pPr>
          </w:p>
        </w:tc>
        <w:tc>
          <w:tcPr>
            <w:tcW w:w="340" w:type="dxa"/>
            <w:vAlign w:val="bottom"/>
          </w:tcPr>
          <w:p>
            <w:pPr>
              <w:jc w:val="right"/>
              <w:ind w:right="130"/>
              <w:spacing w:after="0"/>
              <w:rPr>
                <w:sz w:val="20"/>
                <w:szCs w:val="20"/>
                <w:color w:val="auto"/>
              </w:rPr>
            </w:pPr>
            <w:r>
              <w:rPr>
                <w:rFonts w:ascii="Arial" w:cs="Arial" w:eastAsia="Arial" w:hAnsi="Arial"/>
                <w:sz w:val="18"/>
                <w:szCs w:val="18"/>
                <w:color w:val="auto"/>
                <w:w w:val="99"/>
              </w:rPr>
              <w:t>$</w:t>
            </w:r>
          </w:p>
        </w:tc>
        <w:tc>
          <w:tcPr>
            <w:tcW w:w="1140" w:type="dxa"/>
            <w:vAlign w:val="bottom"/>
          </w:tcPr>
          <w:p>
            <w:pPr>
              <w:jc w:val="right"/>
              <w:ind w:right="13"/>
              <w:spacing w:after="0"/>
              <w:rPr>
                <w:sz w:val="20"/>
                <w:szCs w:val="20"/>
                <w:color w:val="auto"/>
              </w:rPr>
            </w:pPr>
            <w:r>
              <w:rPr>
                <w:rFonts w:ascii="Arial" w:cs="Arial" w:eastAsia="Arial" w:hAnsi="Arial"/>
                <w:sz w:val="18"/>
                <w:szCs w:val="18"/>
                <w:color w:val="auto"/>
              </w:rPr>
              <w:t>39,131</w:t>
            </w:r>
          </w:p>
        </w:tc>
      </w:tr>
      <w:tr>
        <w:trPr>
          <w:trHeight w:val="20"/>
        </w:trPr>
        <w:tc>
          <w:tcPr>
            <w:tcW w:w="6740" w:type="dxa"/>
            <w:vAlign w:val="bottom"/>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58" w:lineRule="exact"/>
        <w:rPr>
          <w:sz w:val="20"/>
          <w:szCs w:val="20"/>
          <w:color w:val="auto"/>
        </w:rPr>
      </w:pPr>
    </w:p>
    <w:p>
      <w:pPr>
        <w:ind w:left="220"/>
        <w:spacing w:after="0"/>
        <w:rPr>
          <w:sz w:val="20"/>
          <w:szCs w:val="20"/>
          <w:color w:val="auto"/>
        </w:rPr>
      </w:pPr>
      <w:r>
        <w:rPr>
          <w:rFonts w:ascii="Arial" w:cs="Arial" w:eastAsia="Arial" w:hAnsi="Arial"/>
          <w:sz w:val="18"/>
          <w:szCs w:val="18"/>
          <w:color w:val="auto"/>
        </w:rPr>
        <w:t>American attributes passenger revenue by geographic region based upon the origin and destination of each flight segment.</w:t>
      </w:r>
    </w:p>
    <w:p>
      <w:pPr>
        <w:spacing w:after="0" w:line="230" w:lineRule="exact"/>
        <w:rPr>
          <w:sz w:val="20"/>
          <w:szCs w:val="20"/>
          <w:color w:val="auto"/>
        </w:rPr>
      </w:pPr>
    </w:p>
    <w:p>
      <w:pPr>
        <w:ind w:left="220"/>
        <w:spacing w:after="0"/>
        <w:rPr>
          <w:sz w:val="20"/>
          <w:szCs w:val="20"/>
          <w:color w:val="auto"/>
        </w:rPr>
      </w:pPr>
      <w:r>
        <w:rPr>
          <w:rFonts w:ascii="Arial" w:cs="Arial" w:eastAsia="Arial" w:hAnsi="Arial"/>
          <w:sz w:val="18"/>
          <w:szCs w:val="18"/>
          <w:b w:val="1"/>
          <w:bCs w:val="1"/>
          <w:color w:val="auto"/>
        </w:rPr>
        <w:t>Passenger Revenue</w:t>
      </w:r>
    </w:p>
    <w:p>
      <w:pPr>
        <w:spacing w:after="0" w:line="112" w:lineRule="exact"/>
        <w:rPr>
          <w:sz w:val="20"/>
          <w:szCs w:val="20"/>
          <w:color w:val="auto"/>
        </w:rPr>
      </w:pPr>
    </w:p>
    <w:p>
      <w:pPr>
        <w:jc w:val="both"/>
        <w:ind w:firstLine="230"/>
        <w:spacing w:after="0" w:line="253" w:lineRule="auto"/>
        <w:rPr>
          <w:sz w:val="20"/>
          <w:szCs w:val="20"/>
          <w:color w:val="auto"/>
        </w:rPr>
      </w:pPr>
      <w:r>
        <w:rPr>
          <w:rFonts w:ascii="Arial" w:cs="Arial" w:eastAsia="Arial" w:hAnsi="Arial"/>
          <w:sz w:val="18"/>
          <w:szCs w:val="18"/>
          <w:color w:val="auto"/>
        </w:rPr>
        <w:t>American recognizes all revenues generated from transportation on American and its regional flights operated under the brand name American Eagle, including associated baggage fees, ticketing change fees and other inflight services, as passenger revenue when transportation is provided. Ticket and other related sales for transportation that has not yet been provided are initially deferred and recorded as air traffic liability on American’s consolidated balance sheets. The air traffic liability principally represents tickets sold for future travel on American and partner airlines, as well as estimated future refunds and exchanges of tickets sold for past travel.</w:t>
      </w:r>
    </w:p>
    <w:p>
      <w:pPr>
        <w:spacing w:after="0" w:line="152" w:lineRule="exact"/>
        <w:rPr>
          <w:sz w:val="20"/>
          <w:szCs w:val="20"/>
          <w:color w:val="auto"/>
        </w:rPr>
      </w:pPr>
    </w:p>
    <w:p>
      <w:pPr>
        <w:jc w:val="both"/>
        <w:ind w:firstLine="216"/>
        <w:spacing w:after="0" w:line="252" w:lineRule="auto"/>
        <w:rPr>
          <w:sz w:val="20"/>
          <w:szCs w:val="20"/>
          <w:color w:val="auto"/>
        </w:rPr>
      </w:pPr>
      <w:r>
        <w:rPr>
          <w:rFonts w:ascii="Arial" w:cs="Arial" w:eastAsia="Arial" w:hAnsi="Arial"/>
          <w:sz w:val="18"/>
          <w:szCs w:val="18"/>
          <w:color w:val="auto"/>
        </w:rPr>
        <w:t>The majority of tickets sold are nonrefundable. A small percentage of tickets, some of which are partially used tickets, expire unused. Due to complex pricing structures, refund and exchange policies, and interline agreements with other airlines, certain amounts are recognized in passenger revenue using estimates regarding both the timing of the revenue recognition and the amount of revenue to be recognized. These estimates are generally based on the analysis of American’s historical data. American has consistently applied this accounting method to estimate revenue from unused tickets at the date of travel. Estimated future refunds and exchanges included in the air traffic liability are routinely evaluated based on subsequent activity to validate the accuracy of American’s estimates. Any adjustments resulting from periodic evaluations of the estimated air traffic liability are included in passenger revenue during the period in which the evaluations are completed.</w:t>
      </w:r>
    </w:p>
    <w:p>
      <w:pPr>
        <w:spacing w:after="0" w:line="20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126</w:t>
      </w:r>
    </w:p>
    <w:p>
      <w:pPr>
        <w:sectPr>
          <w:pgSz w:w="11900" w:h="16838" w:orient="portrait"/>
          <w:cols w:equalWidth="0" w:num="1">
            <w:col w:w="11420"/>
          </w:cols>
          <w:pgMar w:left="240" w:top="549" w:right="239" w:bottom="1440" w:gutter="0" w:footer="0" w:header="0"/>
        </w:sectPr>
      </w:pPr>
    </w:p>
    <w:bookmarkStart w:id="126" w:name="page127"/>
    <w:bookmarkEnd w:id="126"/>
    <w:p>
      <w:pPr>
        <w:jc w:val="center"/>
        <w:spacing w:after="0"/>
        <w:rPr>
          <w:sz w:val="20"/>
          <w:szCs w:val="20"/>
          <w:color w:val="auto"/>
        </w:rPr>
      </w:pPr>
      <w:r>
        <w:rPr>
          <w:rFonts w:ascii="Arial" w:cs="Arial" w:eastAsia="Arial" w:hAnsi="Arial"/>
          <w:sz w:val="18"/>
          <w:szCs w:val="18"/>
          <w:b w:val="1"/>
          <w:bCs w:val="1"/>
          <w:color w:val="auto"/>
        </w:rPr>
        <w:t>NOTES TO CONSOLIDATED FINANCIAL STATEMENTS OF AMERICAN AIRLINES, INC.</w:t>
      </w:r>
    </w:p>
    <w:p>
      <w:pPr>
        <w:spacing w:after="0" w:line="200" w:lineRule="exact"/>
        <w:rPr>
          <w:sz w:val="20"/>
          <w:szCs w:val="20"/>
          <w:color w:val="auto"/>
        </w:rPr>
      </w:pPr>
    </w:p>
    <w:p>
      <w:pPr>
        <w:spacing w:after="0" w:line="209" w:lineRule="exact"/>
        <w:rPr>
          <w:sz w:val="20"/>
          <w:szCs w:val="20"/>
          <w:color w:val="auto"/>
        </w:rPr>
      </w:pPr>
    </w:p>
    <w:p>
      <w:pPr>
        <w:jc w:val="both"/>
        <w:ind w:right="20" w:firstLine="216"/>
        <w:spacing w:after="0" w:line="256" w:lineRule="auto"/>
        <w:rPr>
          <w:sz w:val="20"/>
          <w:szCs w:val="20"/>
          <w:color w:val="auto"/>
        </w:rPr>
      </w:pPr>
      <w:r>
        <w:rPr>
          <w:rFonts w:ascii="Arial" w:cs="Arial" w:eastAsia="Arial" w:hAnsi="Arial"/>
          <w:sz w:val="18"/>
          <w:szCs w:val="18"/>
          <w:color w:val="auto"/>
        </w:rPr>
        <w:t>Various taxes and fees assessed on the sale of tickets to end customers are collected by American as an agent and remitted to taxing authorities. These taxes and fees have been presented on a net basis in the accompanying consolidated statements of operations and recorded as a liability until remitted to the appropriate taxing authority.</w:t>
      </w:r>
    </w:p>
    <w:p>
      <w:pPr>
        <w:spacing w:after="0" w:line="207" w:lineRule="exact"/>
        <w:rPr>
          <w:sz w:val="20"/>
          <w:szCs w:val="20"/>
          <w:color w:val="auto"/>
        </w:rPr>
      </w:pPr>
    </w:p>
    <w:p>
      <w:pPr>
        <w:ind w:left="220"/>
        <w:spacing w:after="0"/>
        <w:rPr>
          <w:sz w:val="20"/>
          <w:szCs w:val="20"/>
          <w:color w:val="auto"/>
        </w:rPr>
      </w:pPr>
      <w:r>
        <w:rPr>
          <w:rFonts w:ascii="Arial" w:cs="Arial" w:eastAsia="Arial" w:hAnsi="Arial"/>
          <w:sz w:val="18"/>
          <w:szCs w:val="18"/>
          <w:b w:val="1"/>
          <w:bCs w:val="1"/>
          <w:color w:val="auto"/>
        </w:rPr>
        <w:t>Loyalty Revenue</w:t>
      </w:r>
    </w:p>
    <w:p>
      <w:pPr>
        <w:spacing w:after="0" w:line="112" w:lineRule="exact"/>
        <w:rPr>
          <w:sz w:val="20"/>
          <w:szCs w:val="20"/>
          <w:color w:val="auto"/>
        </w:rPr>
      </w:pPr>
    </w:p>
    <w:p>
      <w:pPr>
        <w:jc w:val="both"/>
        <w:ind w:firstLine="216"/>
        <w:spacing w:after="0" w:line="253" w:lineRule="auto"/>
        <w:rPr>
          <w:sz w:val="20"/>
          <w:szCs w:val="20"/>
          <w:color w:val="auto"/>
        </w:rPr>
      </w:pPr>
      <w:r>
        <w:rPr>
          <w:rFonts w:ascii="Arial" w:cs="Arial" w:eastAsia="Arial" w:hAnsi="Arial"/>
          <w:sz w:val="18"/>
          <w:szCs w:val="18"/>
          <w:color w:val="auto"/>
        </w:rPr>
        <w:t xml:space="preserve">American currently operates the loyalty program, AAdvantage. This program awards mileage credits to passengers who fly on American, any </w:t>
      </w:r>
      <w:r>
        <w:rPr>
          <w:rFonts w:ascii="Arial" w:cs="Arial" w:eastAsia="Arial" w:hAnsi="Arial"/>
          <w:sz w:val="18"/>
          <w:szCs w:val="18"/>
          <w:b w:val="1"/>
          <w:bCs w:val="1"/>
          <w:color w:val="auto"/>
        </w:rPr>
        <w:t>one</w:t>
      </w:r>
      <w:r>
        <w:rPr>
          <w:rFonts w:ascii="Arial" w:cs="Arial" w:eastAsia="Arial" w:hAnsi="Arial"/>
          <w:sz w:val="18"/>
          <w:szCs w:val="18"/>
          <w:color w:val="auto"/>
        </w:rPr>
        <w:t>world airline or other partner airlines, or by using the services of other program participants, such as the Citi and Barclaycard US co-branded credit cards, and certain hotels and car rental companies. Mileage credits can be redeemed for travel on American and other participating partner airlines, as well as other non-air travel awards such as hotels and rental cars. For mileage credits earned by AAdvantage loyalty program members, American applies the deferred revenue method.</w:t>
      </w:r>
    </w:p>
    <w:p>
      <w:pPr>
        <w:spacing w:after="0" w:line="215" w:lineRule="exact"/>
        <w:rPr>
          <w:sz w:val="20"/>
          <w:szCs w:val="20"/>
          <w:color w:val="auto"/>
        </w:rPr>
      </w:pPr>
    </w:p>
    <w:p>
      <w:pPr>
        <w:ind w:left="220"/>
        <w:spacing w:after="0"/>
        <w:rPr>
          <w:sz w:val="20"/>
          <w:szCs w:val="20"/>
          <w:color w:val="auto"/>
        </w:rPr>
      </w:pPr>
      <w:r>
        <w:rPr>
          <w:rFonts w:ascii="Arial" w:cs="Arial" w:eastAsia="Arial" w:hAnsi="Arial"/>
          <w:sz w:val="18"/>
          <w:szCs w:val="18"/>
          <w:i w:val="1"/>
          <w:iCs w:val="1"/>
          <w:color w:val="auto"/>
        </w:rPr>
        <w:t>Mileage credits earned through travel</w:t>
      </w:r>
    </w:p>
    <w:p>
      <w:pPr>
        <w:spacing w:after="0" w:line="108" w:lineRule="exact"/>
        <w:rPr>
          <w:sz w:val="20"/>
          <w:szCs w:val="20"/>
          <w:color w:val="auto"/>
        </w:rPr>
      </w:pPr>
    </w:p>
    <w:p>
      <w:pPr>
        <w:jc w:val="both"/>
        <w:ind w:firstLine="216"/>
        <w:spacing w:after="0" w:line="252" w:lineRule="auto"/>
        <w:rPr>
          <w:sz w:val="20"/>
          <w:szCs w:val="20"/>
          <w:color w:val="auto"/>
        </w:rPr>
      </w:pPr>
      <w:r>
        <w:rPr>
          <w:rFonts w:ascii="Arial" w:cs="Arial" w:eastAsia="Arial" w:hAnsi="Arial"/>
          <w:sz w:val="18"/>
          <w:szCs w:val="18"/>
          <w:color w:val="auto"/>
        </w:rPr>
        <w:t>For mileage credits earned through travel, American applies a relative selling price approach whereby the total amount collected from each passenger ticket sale is allocated between the air transportation and the mileage credits earned. The portion of each passenger ticket sale attributable to mileage credits earned is initially deferred and then recognized in passenger revenue when mileage credits are redeemed and transportation is provided. The estimated selling price of mileage credits is determined using an equivalent ticket value approach, which uses historical data, including award redemption patterns by geographic region and class of service, as well as similar fares as those used to settle award redemptions. The estimated selling price of miles is adjusted for an estimate of miles that will not be redeemed based on historical redemption patterns.</w:t>
      </w:r>
    </w:p>
    <w:p>
      <w:pPr>
        <w:spacing w:after="0" w:line="216" w:lineRule="exact"/>
        <w:rPr>
          <w:sz w:val="20"/>
          <w:szCs w:val="20"/>
          <w:color w:val="auto"/>
        </w:rPr>
      </w:pPr>
    </w:p>
    <w:p>
      <w:pPr>
        <w:ind w:left="220"/>
        <w:spacing w:after="0"/>
        <w:rPr>
          <w:sz w:val="20"/>
          <w:szCs w:val="20"/>
          <w:color w:val="auto"/>
        </w:rPr>
      </w:pPr>
      <w:r>
        <w:rPr>
          <w:rFonts w:ascii="Arial" w:cs="Arial" w:eastAsia="Arial" w:hAnsi="Arial"/>
          <w:sz w:val="18"/>
          <w:szCs w:val="18"/>
          <w:i w:val="1"/>
          <w:iCs w:val="1"/>
          <w:color w:val="auto"/>
        </w:rPr>
        <w:t>Mileage credits sold to co-branded credit cards and other partners</w:t>
      </w:r>
    </w:p>
    <w:p>
      <w:pPr>
        <w:spacing w:after="0" w:line="108" w:lineRule="exact"/>
        <w:rPr>
          <w:sz w:val="20"/>
          <w:szCs w:val="20"/>
          <w:color w:val="auto"/>
        </w:rPr>
      </w:pPr>
    </w:p>
    <w:p>
      <w:pPr>
        <w:jc w:val="both"/>
        <w:ind w:firstLine="216"/>
        <w:spacing w:after="0" w:line="253" w:lineRule="auto"/>
        <w:rPr>
          <w:sz w:val="20"/>
          <w:szCs w:val="20"/>
          <w:color w:val="auto"/>
        </w:rPr>
      </w:pPr>
      <w:r>
        <w:rPr>
          <w:rFonts w:ascii="Arial" w:cs="Arial" w:eastAsia="Arial" w:hAnsi="Arial"/>
          <w:sz w:val="18"/>
          <w:szCs w:val="18"/>
          <w:color w:val="auto"/>
        </w:rPr>
        <w:t>American sells mileage credits to participating airline partners and non-airline business partners, including American’s co-branded credit card partners, under contracts with terms extending generally for one to seven years. Consideration received from the sale of mileage credits is variable and payment terms typically are within 30 days subsequent to the month of mileage sale. Sales of mileage credits to non-airline business partners are comprised of two components, transportation and marketing. American allocates the consideration received from these sales of mileage credits based on the relative selling price of each product or service delivered.</w:t>
      </w:r>
    </w:p>
    <w:p>
      <w:pPr>
        <w:spacing w:after="0" w:line="152" w:lineRule="exact"/>
        <w:rPr>
          <w:sz w:val="20"/>
          <w:szCs w:val="20"/>
          <w:color w:val="auto"/>
        </w:rPr>
      </w:pPr>
    </w:p>
    <w:p>
      <w:pPr>
        <w:jc w:val="both"/>
        <w:ind w:firstLine="216"/>
        <w:spacing w:after="0" w:line="253" w:lineRule="auto"/>
        <w:rPr>
          <w:sz w:val="20"/>
          <w:szCs w:val="20"/>
          <w:color w:val="auto"/>
        </w:rPr>
      </w:pPr>
      <w:r>
        <w:rPr>
          <w:rFonts w:ascii="Arial" w:cs="Arial" w:eastAsia="Arial" w:hAnsi="Arial"/>
          <w:sz w:val="18"/>
          <w:szCs w:val="18"/>
          <w:color w:val="auto"/>
        </w:rPr>
        <w:t>American’s most significant partner agreements are its co-branded credit card agreements with Citi and Barclaycard US that American entered into in 2016. American identified the following revenue elements in these co-branded credit card agreements: the transportation component; and the use of intellectual property, including the American brand and access to loyalty program member lists, which is the predominant element in the agreements, as well as advertising (collectively, the marketing component). Accordingly, American recognizes the marketing component in other revenue in the period of the mileage sale following the sales-based royalty method.</w:t>
      </w:r>
    </w:p>
    <w:p>
      <w:pPr>
        <w:spacing w:after="0" w:line="152" w:lineRule="exact"/>
        <w:rPr>
          <w:sz w:val="20"/>
          <w:szCs w:val="20"/>
          <w:color w:val="auto"/>
        </w:rPr>
      </w:pPr>
    </w:p>
    <w:p>
      <w:pPr>
        <w:jc w:val="both"/>
        <w:ind w:right="20" w:firstLine="216"/>
        <w:spacing w:after="0" w:line="256" w:lineRule="auto"/>
        <w:rPr>
          <w:sz w:val="20"/>
          <w:szCs w:val="20"/>
          <w:color w:val="auto"/>
        </w:rPr>
      </w:pPr>
      <w:r>
        <w:rPr>
          <w:rFonts w:ascii="Arial" w:cs="Arial" w:eastAsia="Arial" w:hAnsi="Arial"/>
          <w:sz w:val="18"/>
          <w:szCs w:val="18"/>
          <w:color w:val="auto"/>
        </w:rPr>
        <w:t>The transportation component represents the estimated selling price of future travel awards and is determined using the same equivalent ticket value approach described above. The portion of each mileage credit sold attributable to transportation is initially deferred and then recognized in passenger revenue when mileage credits are redeemed and transportation is provided.</w:t>
      </w:r>
    </w:p>
    <w:p>
      <w:pPr>
        <w:spacing w:after="0" w:line="148" w:lineRule="exact"/>
        <w:rPr>
          <w:sz w:val="20"/>
          <w:szCs w:val="20"/>
          <w:color w:val="auto"/>
        </w:rPr>
      </w:pPr>
    </w:p>
    <w:p>
      <w:pPr>
        <w:jc w:val="both"/>
        <w:ind w:firstLine="216"/>
        <w:spacing w:after="0" w:line="262" w:lineRule="auto"/>
        <w:rPr>
          <w:sz w:val="20"/>
          <w:szCs w:val="20"/>
          <w:color w:val="auto"/>
        </w:rPr>
      </w:pPr>
      <w:r>
        <w:rPr>
          <w:rFonts w:ascii="Arial" w:cs="Arial" w:eastAsia="Arial" w:hAnsi="Arial"/>
          <w:sz w:val="18"/>
          <w:szCs w:val="18"/>
          <w:color w:val="auto"/>
        </w:rPr>
        <w:t>For the portion of American’s outstanding mileage credits that it estimates will not be redeemed, American recognizes the associated value proportionally as the remaining mileage credits are redeemed. American’s estimates are based on analysis of historical redemptions.</w:t>
      </w:r>
    </w:p>
    <w:p>
      <w:pPr>
        <w:spacing w:after="0" w:line="201" w:lineRule="exact"/>
        <w:rPr>
          <w:sz w:val="20"/>
          <w:szCs w:val="20"/>
          <w:color w:val="auto"/>
        </w:rPr>
      </w:pPr>
    </w:p>
    <w:p>
      <w:pPr>
        <w:ind w:left="220"/>
        <w:spacing w:after="0"/>
        <w:rPr>
          <w:sz w:val="20"/>
          <w:szCs w:val="20"/>
          <w:color w:val="auto"/>
        </w:rPr>
      </w:pPr>
      <w:r>
        <w:rPr>
          <w:rFonts w:ascii="Arial" w:cs="Arial" w:eastAsia="Arial" w:hAnsi="Arial"/>
          <w:sz w:val="18"/>
          <w:szCs w:val="18"/>
          <w:b w:val="1"/>
          <w:bCs w:val="1"/>
          <w:color w:val="auto"/>
        </w:rPr>
        <w:t>Cargo Revenue</w:t>
      </w:r>
    </w:p>
    <w:p>
      <w:pPr>
        <w:spacing w:after="0" w:line="112" w:lineRule="exact"/>
        <w:rPr>
          <w:sz w:val="20"/>
          <w:szCs w:val="20"/>
          <w:color w:val="auto"/>
        </w:rPr>
      </w:pPr>
    </w:p>
    <w:p>
      <w:pPr>
        <w:ind w:left="220"/>
        <w:spacing w:after="0"/>
        <w:rPr>
          <w:sz w:val="20"/>
          <w:szCs w:val="20"/>
          <w:color w:val="auto"/>
        </w:rPr>
      </w:pPr>
      <w:r>
        <w:rPr>
          <w:rFonts w:ascii="Arial" w:cs="Arial" w:eastAsia="Arial" w:hAnsi="Arial"/>
          <w:sz w:val="18"/>
          <w:szCs w:val="18"/>
          <w:color w:val="auto"/>
        </w:rPr>
        <w:t>Cargo revenue is recognized when American provides the transportation.</w:t>
      </w:r>
    </w:p>
    <w:p>
      <w:pPr>
        <w:spacing w:after="0" w:line="230" w:lineRule="exact"/>
        <w:rPr>
          <w:sz w:val="20"/>
          <w:szCs w:val="20"/>
          <w:color w:val="auto"/>
        </w:rPr>
      </w:pPr>
    </w:p>
    <w:p>
      <w:pPr>
        <w:ind w:left="220"/>
        <w:spacing w:after="0"/>
        <w:rPr>
          <w:sz w:val="20"/>
          <w:szCs w:val="20"/>
          <w:color w:val="auto"/>
        </w:rPr>
      </w:pPr>
      <w:r>
        <w:rPr>
          <w:rFonts w:ascii="Arial" w:cs="Arial" w:eastAsia="Arial" w:hAnsi="Arial"/>
          <w:sz w:val="18"/>
          <w:szCs w:val="18"/>
          <w:b w:val="1"/>
          <w:bCs w:val="1"/>
          <w:color w:val="auto"/>
        </w:rPr>
        <w:t>Other Revenue</w:t>
      </w:r>
    </w:p>
    <w:p>
      <w:pPr>
        <w:spacing w:after="0" w:line="112" w:lineRule="exact"/>
        <w:rPr>
          <w:sz w:val="20"/>
          <w:szCs w:val="20"/>
          <w:color w:val="auto"/>
        </w:rPr>
      </w:pPr>
    </w:p>
    <w:p>
      <w:pPr>
        <w:jc w:val="both"/>
        <w:ind w:firstLine="216"/>
        <w:spacing w:after="0" w:line="253" w:lineRule="auto"/>
        <w:rPr>
          <w:sz w:val="20"/>
          <w:szCs w:val="20"/>
          <w:color w:val="auto"/>
        </w:rPr>
      </w:pPr>
      <w:r>
        <w:rPr>
          <w:rFonts w:ascii="Arial" w:cs="Arial" w:eastAsia="Arial" w:hAnsi="Arial"/>
          <w:sz w:val="18"/>
          <w:szCs w:val="18"/>
          <w:color w:val="auto"/>
        </w:rPr>
        <w:t>Other revenue includes revenue associated with American’s loyalty program, which is comprised principally of the marketing component of mileage sales to co-branded credit card and other partners and other marketing related payments. Loyalty revenue included in other revenue was $2.4 billion for both years ended December 31, 2019 and 2018 and $2.1 billion for 2017. The accounting and recognition for the loyalty program marketing services are discussed above in “</w:t>
      </w:r>
      <w:r>
        <w:rPr>
          <w:rFonts w:ascii="Arial" w:cs="Arial" w:eastAsia="Arial" w:hAnsi="Arial"/>
          <w:sz w:val="18"/>
          <w:szCs w:val="18"/>
          <w:i w:val="1"/>
          <w:iCs w:val="1"/>
          <w:color w:val="auto"/>
        </w:rPr>
        <w:t>Loyalty Revenue</w:t>
      </w:r>
      <w:r>
        <w:rPr>
          <w:rFonts w:ascii="Arial" w:cs="Arial" w:eastAsia="Arial" w:hAnsi="Arial"/>
          <w:sz w:val="18"/>
          <w:szCs w:val="18"/>
          <w:color w:val="auto"/>
        </w:rPr>
        <w:t>.” The remaining amounts included within other revenue relate to airport clubs, advertising and vacation-related services.</w:t>
      </w:r>
    </w:p>
    <w:p>
      <w:pPr>
        <w:spacing w:after="0" w:line="20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127</w:t>
      </w:r>
    </w:p>
    <w:p>
      <w:pPr>
        <w:sectPr>
          <w:pgSz w:w="11900" w:h="16838" w:orient="portrait"/>
          <w:cols w:equalWidth="0" w:num="1">
            <w:col w:w="11420"/>
          </w:cols>
          <w:pgMar w:left="240" w:top="549" w:right="239" w:bottom="1440" w:gutter="0" w:footer="0" w:header="0"/>
        </w:sectPr>
      </w:pPr>
    </w:p>
    <w:bookmarkStart w:id="127" w:name="page128"/>
    <w:bookmarkEnd w:id="127"/>
    <w:p>
      <w:pPr>
        <w:jc w:val="center"/>
        <w:spacing w:after="0"/>
        <w:rPr>
          <w:sz w:val="20"/>
          <w:szCs w:val="20"/>
          <w:color w:val="auto"/>
        </w:rPr>
      </w:pPr>
      <w:r>
        <w:rPr>
          <w:rFonts w:ascii="Arial" w:cs="Arial" w:eastAsia="Arial" w:hAnsi="Arial"/>
          <w:sz w:val="18"/>
          <w:szCs w:val="18"/>
          <w:b w:val="1"/>
          <w:bCs w:val="1"/>
          <w:color w:val="auto"/>
        </w:rPr>
        <w:t>NOTES TO CONSOLIDATED FINANCIAL STATEMENTS OF AMERICAN AIRLINES, INC.</w:t>
      </w:r>
    </w:p>
    <w:p>
      <w:pPr>
        <w:spacing w:after="0" w:line="200" w:lineRule="exact"/>
        <w:rPr>
          <w:sz w:val="20"/>
          <w:szCs w:val="20"/>
          <w:color w:val="auto"/>
        </w:rPr>
      </w:pPr>
    </w:p>
    <w:p>
      <w:pPr>
        <w:spacing w:after="0" w:line="272" w:lineRule="exact"/>
        <w:rPr>
          <w:sz w:val="20"/>
          <w:szCs w:val="20"/>
          <w:color w:val="auto"/>
        </w:rPr>
      </w:pPr>
    </w:p>
    <w:p>
      <w:pPr>
        <w:ind w:left="240"/>
        <w:spacing w:after="0"/>
        <w:rPr>
          <w:sz w:val="20"/>
          <w:szCs w:val="20"/>
          <w:color w:val="auto"/>
        </w:rPr>
      </w:pPr>
      <w:r>
        <w:rPr>
          <w:rFonts w:ascii="Arial" w:cs="Arial" w:eastAsia="Arial" w:hAnsi="Arial"/>
          <w:sz w:val="18"/>
          <w:szCs w:val="18"/>
          <w:i w:val="1"/>
          <w:iCs w:val="1"/>
          <w:u w:val="single" w:color="auto"/>
          <w:color w:val="auto"/>
        </w:rPr>
        <w:t>Contract Balances</w:t>
      </w:r>
    </w:p>
    <w:p>
      <w:pPr>
        <w:spacing w:after="0" w:line="108" w:lineRule="exact"/>
        <w:rPr>
          <w:sz w:val="20"/>
          <w:szCs w:val="20"/>
          <w:color w:val="auto"/>
        </w:rPr>
      </w:pPr>
    </w:p>
    <w:p>
      <w:pPr>
        <w:jc w:val="both"/>
        <w:ind w:firstLine="243"/>
        <w:spacing w:after="0" w:line="256" w:lineRule="auto"/>
        <w:rPr>
          <w:sz w:val="20"/>
          <w:szCs w:val="20"/>
          <w:color w:val="auto"/>
        </w:rPr>
      </w:pPr>
      <w:r>
        <w:rPr>
          <w:rFonts w:ascii="Arial" w:cs="Arial" w:eastAsia="Arial" w:hAnsi="Arial"/>
          <w:sz w:val="18"/>
          <w:szCs w:val="18"/>
          <w:color w:val="auto"/>
        </w:rPr>
        <w:t>American’s significant contract liabilities are comprised of (1) outstanding loyalty program mileage credits that may be redeemed for future travel and other non-air travel awards, reported as loyalty program liability on American’s consolidated balance sheets and (2) ticket sales for transportation that has not yet been provided, reported as air traffic liability on American’s consolidated balance sheets.</w:t>
      </w:r>
    </w:p>
    <w:p>
      <w:pPr>
        <w:spacing w:after="0" w:line="352" w:lineRule="exact"/>
        <w:rPr>
          <w:sz w:val="20"/>
          <w:szCs w:val="20"/>
          <w:color w:val="auto"/>
        </w:rPr>
      </w:pPr>
    </w:p>
    <w:tbl>
      <w:tblPr>
        <w:tblLayout w:type="fixed"/>
        <w:tblInd w:w="0" w:type="dxa"/>
        <w:tblCellMar>
          <w:top w:w="0" w:type="dxa"/>
          <w:left w:w="0" w:type="dxa"/>
          <w:bottom w:w="0" w:type="dxa"/>
          <w:right w:w="0" w:type="dxa"/>
        </w:tblCellMar>
      </w:tblPr>
      <w:tr>
        <w:trPr>
          <w:trHeight w:val="196"/>
        </w:trPr>
        <w:tc>
          <w:tcPr>
            <w:tcW w:w="7760" w:type="dxa"/>
            <w:vAlign w:val="bottom"/>
          </w:tcPr>
          <w:p>
            <w:pPr>
              <w:spacing w:after="0"/>
              <w:rPr>
                <w:sz w:val="17"/>
                <w:szCs w:val="17"/>
                <w:color w:val="auto"/>
              </w:rPr>
            </w:pPr>
          </w:p>
        </w:tc>
        <w:tc>
          <w:tcPr>
            <w:tcW w:w="1040" w:type="dxa"/>
            <w:vAlign w:val="bottom"/>
            <w:tcBorders>
              <w:bottom w:val="single" w:sz="8" w:color="auto"/>
            </w:tcBorders>
          </w:tcPr>
          <w:p>
            <w:pPr>
              <w:spacing w:after="0"/>
              <w:rPr>
                <w:sz w:val="17"/>
                <w:szCs w:val="17"/>
                <w:color w:val="auto"/>
              </w:rPr>
            </w:pPr>
          </w:p>
        </w:tc>
        <w:tc>
          <w:tcPr>
            <w:tcW w:w="1400" w:type="dxa"/>
            <w:vAlign w:val="bottom"/>
            <w:tcBorders>
              <w:bottom w:val="single" w:sz="8" w:color="auto"/>
            </w:tcBorders>
            <w:gridSpan w:val="3"/>
          </w:tcPr>
          <w:p>
            <w:pPr>
              <w:jc w:val="right"/>
              <w:ind w:right="30"/>
              <w:spacing w:after="0"/>
              <w:rPr>
                <w:sz w:val="20"/>
                <w:szCs w:val="20"/>
                <w:color w:val="auto"/>
              </w:rPr>
            </w:pPr>
            <w:r>
              <w:rPr>
                <w:rFonts w:ascii="Arial" w:cs="Arial" w:eastAsia="Arial" w:hAnsi="Arial"/>
                <w:sz w:val="14"/>
                <w:szCs w:val="14"/>
                <w:b w:val="1"/>
                <w:bCs w:val="1"/>
                <w:color w:val="auto"/>
              </w:rPr>
              <w:t>December 31,</w:t>
            </w:r>
          </w:p>
        </w:tc>
        <w:tc>
          <w:tcPr>
            <w:tcW w:w="1220" w:type="dxa"/>
            <w:vAlign w:val="bottom"/>
            <w:tcBorders>
              <w:bottom w:val="single" w:sz="8" w:color="auto"/>
            </w:tcBorders>
          </w:tcPr>
          <w:p>
            <w:pPr>
              <w:spacing w:after="0"/>
              <w:rPr>
                <w:sz w:val="17"/>
                <w:szCs w:val="17"/>
                <w:color w:val="auto"/>
              </w:rPr>
            </w:pPr>
          </w:p>
        </w:tc>
      </w:tr>
      <w:tr>
        <w:trPr>
          <w:trHeight w:val="264"/>
        </w:trPr>
        <w:tc>
          <w:tcPr>
            <w:tcW w:w="7760" w:type="dxa"/>
            <w:vAlign w:val="bottom"/>
          </w:tcPr>
          <w:p>
            <w:pPr>
              <w:spacing w:after="0"/>
              <w:rPr>
                <w:sz w:val="22"/>
                <w:szCs w:val="22"/>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2019</w:t>
            </w:r>
          </w:p>
        </w:tc>
        <w:tc>
          <w:tcPr>
            <w:tcW w:w="680" w:type="dxa"/>
            <w:vAlign w:val="bottom"/>
            <w:tcBorders>
              <w:bottom w:val="single" w:sz="8" w:color="auto"/>
            </w:tcBorders>
          </w:tcPr>
          <w:p>
            <w:pPr>
              <w:spacing w:after="0"/>
              <w:rPr>
                <w:sz w:val="22"/>
                <w:szCs w:val="22"/>
                <w:color w:val="auto"/>
              </w:rPr>
            </w:pPr>
          </w:p>
        </w:tc>
        <w:tc>
          <w:tcPr>
            <w:tcW w:w="100" w:type="dxa"/>
            <w:vAlign w:val="bottom"/>
            <w:tcBorders>
              <w:bottom w:val="single" w:sz="8" w:color="auto"/>
            </w:tcBorders>
          </w:tcPr>
          <w:p>
            <w:pPr>
              <w:spacing w:after="0"/>
              <w:rPr>
                <w:sz w:val="22"/>
                <w:szCs w:val="22"/>
                <w:color w:val="auto"/>
              </w:rPr>
            </w:pPr>
          </w:p>
        </w:tc>
        <w:tc>
          <w:tcPr>
            <w:tcW w:w="620" w:type="dxa"/>
            <w:vAlign w:val="bottom"/>
            <w:tcBorders>
              <w:bottom w:val="single" w:sz="8" w:color="auto"/>
            </w:tcBorders>
          </w:tcPr>
          <w:p>
            <w:pPr>
              <w:spacing w:after="0"/>
              <w:rPr>
                <w:sz w:val="22"/>
                <w:szCs w:val="22"/>
                <w:color w:val="auto"/>
              </w:rPr>
            </w:pPr>
          </w:p>
        </w:tc>
        <w:tc>
          <w:tcPr>
            <w:tcW w:w="1220" w:type="dxa"/>
            <w:vAlign w:val="bottom"/>
            <w:tcBorders>
              <w:bottom w:val="single" w:sz="8" w:color="auto"/>
            </w:tcBorders>
          </w:tcPr>
          <w:p>
            <w:pPr>
              <w:jc w:val="right"/>
              <w:ind w:right="674"/>
              <w:spacing w:after="0"/>
              <w:rPr>
                <w:sz w:val="20"/>
                <w:szCs w:val="20"/>
                <w:color w:val="auto"/>
              </w:rPr>
            </w:pPr>
            <w:r>
              <w:rPr>
                <w:rFonts w:ascii="Arial" w:cs="Arial" w:eastAsia="Arial" w:hAnsi="Arial"/>
                <w:sz w:val="14"/>
                <w:szCs w:val="14"/>
                <w:b w:val="1"/>
                <w:bCs w:val="1"/>
                <w:color w:val="auto"/>
              </w:rPr>
              <w:t>2018</w:t>
            </w:r>
          </w:p>
        </w:tc>
      </w:tr>
      <w:tr>
        <w:trPr>
          <w:trHeight w:val="244"/>
        </w:trPr>
        <w:tc>
          <w:tcPr>
            <w:tcW w:w="7760" w:type="dxa"/>
            <w:vAlign w:val="bottom"/>
          </w:tcPr>
          <w:p>
            <w:pPr>
              <w:spacing w:after="0"/>
              <w:rPr>
                <w:sz w:val="21"/>
                <w:szCs w:val="21"/>
                <w:color w:val="auto"/>
              </w:rPr>
            </w:pPr>
          </w:p>
        </w:tc>
        <w:tc>
          <w:tcPr>
            <w:tcW w:w="1040" w:type="dxa"/>
            <w:vAlign w:val="bottom"/>
          </w:tcPr>
          <w:p>
            <w:pPr>
              <w:spacing w:after="0"/>
              <w:rPr>
                <w:sz w:val="21"/>
                <w:szCs w:val="21"/>
                <w:color w:val="auto"/>
              </w:rPr>
            </w:pPr>
          </w:p>
        </w:tc>
        <w:tc>
          <w:tcPr>
            <w:tcW w:w="1400" w:type="dxa"/>
            <w:vAlign w:val="bottom"/>
            <w:gridSpan w:val="3"/>
          </w:tcPr>
          <w:p>
            <w:pPr>
              <w:jc w:val="right"/>
              <w:ind w:right="110"/>
              <w:spacing w:after="0"/>
              <w:rPr>
                <w:sz w:val="20"/>
                <w:szCs w:val="20"/>
                <w:color w:val="auto"/>
              </w:rPr>
            </w:pPr>
            <w:r>
              <w:rPr>
                <w:rFonts w:ascii="Arial" w:cs="Arial" w:eastAsia="Arial" w:hAnsi="Arial"/>
                <w:sz w:val="14"/>
                <w:szCs w:val="14"/>
                <w:b w:val="1"/>
                <w:bCs w:val="1"/>
                <w:color w:val="auto"/>
              </w:rPr>
              <w:t>(in millions)</w:t>
            </w:r>
          </w:p>
        </w:tc>
        <w:tc>
          <w:tcPr>
            <w:tcW w:w="1220" w:type="dxa"/>
            <w:vAlign w:val="bottom"/>
          </w:tcPr>
          <w:p>
            <w:pPr>
              <w:spacing w:after="0"/>
              <w:rPr>
                <w:sz w:val="21"/>
                <w:szCs w:val="21"/>
                <w:color w:val="auto"/>
              </w:rPr>
            </w:pPr>
          </w:p>
        </w:tc>
      </w:tr>
      <w:tr>
        <w:trPr>
          <w:trHeight w:val="275"/>
        </w:trPr>
        <w:tc>
          <w:tcPr>
            <w:tcW w:w="7760" w:type="dxa"/>
            <w:vAlign w:val="bottom"/>
          </w:tcPr>
          <w:p>
            <w:pPr>
              <w:ind w:left="40"/>
              <w:spacing w:after="0"/>
              <w:rPr>
                <w:sz w:val="20"/>
                <w:szCs w:val="20"/>
                <w:color w:val="auto"/>
              </w:rPr>
            </w:pPr>
            <w:r>
              <w:rPr>
                <w:rFonts w:ascii="Arial" w:cs="Arial" w:eastAsia="Arial" w:hAnsi="Arial"/>
                <w:sz w:val="18"/>
                <w:szCs w:val="18"/>
                <w:color w:val="auto"/>
              </w:rPr>
              <w:t>Loyalty program liability</w:t>
            </w:r>
          </w:p>
        </w:tc>
        <w:tc>
          <w:tcPr>
            <w:tcW w:w="1040" w:type="dxa"/>
            <w:vAlign w:val="bottom"/>
          </w:tcPr>
          <w:p>
            <w:pPr>
              <w:jc w:val="right"/>
              <w:ind w:right="836"/>
              <w:spacing w:after="0"/>
              <w:rPr>
                <w:sz w:val="20"/>
                <w:szCs w:val="20"/>
                <w:color w:val="auto"/>
              </w:rPr>
            </w:pPr>
            <w:r>
              <w:rPr>
                <w:rFonts w:ascii="Arial" w:cs="Arial" w:eastAsia="Arial" w:hAnsi="Arial"/>
                <w:sz w:val="18"/>
                <w:szCs w:val="18"/>
                <w:color w:val="auto"/>
                <w:w w:val="99"/>
              </w:rPr>
              <w:t>$</w:t>
            </w:r>
          </w:p>
        </w:tc>
        <w:tc>
          <w:tcPr>
            <w:tcW w:w="680" w:type="dxa"/>
            <w:vAlign w:val="bottom"/>
          </w:tcPr>
          <w:p>
            <w:pPr>
              <w:jc w:val="right"/>
              <w:ind w:right="37"/>
              <w:spacing w:after="0"/>
              <w:rPr>
                <w:sz w:val="20"/>
                <w:szCs w:val="20"/>
                <w:color w:val="auto"/>
              </w:rPr>
            </w:pPr>
            <w:r>
              <w:rPr>
                <w:rFonts w:ascii="Arial" w:cs="Arial" w:eastAsia="Arial" w:hAnsi="Arial"/>
                <w:sz w:val="18"/>
                <w:szCs w:val="18"/>
                <w:color w:val="auto"/>
              </w:rPr>
              <w:t>8,615</w:t>
            </w:r>
          </w:p>
        </w:tc>
        <w:tc>
          <w:tcPr>
            <w:tcW w:w="100" w:type="dxa"/>
            <w:vAlign w:val="bottom"/>
          </w:tcPr>
          <w:p>
            <w:pPr>
              <w:spacing w:after="0"/>
              <w:rPr>
                <w:sz w:val="23"/>
                <w:szCs w:val="23"/>
                <w:color w:val="auto"/>
              </w:rPr>
            </w:pPr>
          </w:p>
        </w:tc>
        <w:tc>
          <w:tcPr>
            <w:tcW w:w="620" w:type="dxa"/>
            <w:vAlign w:val="bottom"/>
          </w:tcPr>
          <w:p>
            <w:pPr>
              <w:jc w:val="right"/>
              <w:ind w:right="390"/>
              <w:spacing w:after="0"/>
              <w:rPr>
                <w:sz w:val="20"/>
                <w:szCs w:val="20"/>
                <w:color w:val="auto"/>
              </w:rPr>
            </w:pPr>
            <w:r>
              <w:rPr>
                <w:rFonts w:ascii="Arial" w:cs="Arial" w:eastAsia="Arial" w:hAnsi="Arial"/>
                <w:sz w:val="18"/>
                <w:szCs w:val="18"/>
                <w:color w:val="auto"/>
              </w:rPr>
              <w:t>$</w:t>
            </w:r>
          </w:p>
        </w:tc>
        <w:tc>
          <w:tcPr>
            <w:tcW w:w="1220" w:type="dxa"/>
            <w:vAlign w:val="bottom"/>
          </w:tcPr>
          <w:p>
            <w:pPr>
              <w:jc w:val="right"/>
              <w:ind w:right="14"/>
              <w:spacing w:after="0"/>
              <w:rPr>
                <w:sz w:val="20"/>
                <w:szCs w:val="20"/>
                <w:color w:val="auto"/>
              </w:rPr>
            </w:pPr>
            <w:r>
              <w:rPr>
                <w:rFonts w:ascii="Arial" w:cs="Arial" w:eastAsia="Arial" w:hAnsi="Arial"/>
                <w:sz w:val="18"/>
                <w:szCs w:val="18"/>
                <w:color w:val="auto"/>
              </w:rPr>
              <w:t>8,539</w:t>
            </w:r>
          </w:p>
        </w:tc>
      </w:tr>
      <w:tr>
        <w:trPr>
          <w:trHeight w:val="270"/>
        </w:trPr>
        <w:tc>
          <w:tcPr>
            <w:tcW w:w="7760" w:type="dxa"/>
            <w:vAlign w:val="bottom"/>
            <w:shd w:val="clear" w:color="auto" w:fill="CCEEFF"/>
          </w:tcPr>
          <w:p>
            <w:pPr>
              <w:ind w:left="40"/>
              <w:spacing w:after="0"/>
              <w:rPr>
                <w:sz w:val="20"/>
                <w:szCs w:val="20"/>
                <w:color w:val="auto"/>
              </w:rPr>
            </w:pPr>
            <w:r>
              <w:rPr>
                <w:rFonts w:ascii="Arial" w:cs="Arial" w:eastAsia="Arial" w:hAnsi="Arial"/>
                <w:sz w:val="18"/>
                <w:szCs w:val="18"/>
                <w:color w:val="auto"/>
              </w:rPr>
              <w:t>Air traffic liability</w:t>
            </w:r>
          </w:p>
        </w:tc>
        <w:tc>
          <w:tcPr>
            <w:tcW w:w="1040" w:type="dxa"/>
            <w:vAlign w:val="bottom"/>
            <w:tcBorders>
              <w:bottom w:val="single" w:sz="8" w:color="auto"/>
            </w:tcBorders>
            <w:shd w:val="clear" w:color="auto" w:fill="CCEEFF"/>
          </w:tcPr>
          <w:p>
            <w:pPr>
              <w:spacing w:after="0"/>
              <w:rPr>
                <w:sz w:val="23"/>
                <w:szCs w:val="23"/>
                <w:color w:val="auto"/>
              </w:rPr>
            </w:pPr>
          </w:p>
        </w:tc>
        <w:tc>
          <w:tcPr>
            <w:tcW w:w="680" w:type="dxa"/>
            <w:vAlign w:val="bottom"/>
            <w:tcBorders>
              <w:bottom w:val="single" w:sz="8" w:color="auto"/>
            </w:tcBorders>
            <w:shd w:val="clear" w:color="auto" w:fill="CCEEFF"/>
          </w:tcPr>
          <w:p>
            <w:pPr>
              <w:jc w:val="right"/>
              <w:ind w:right="37"/>
              <w:spacing w:after="0"/>
              <w:rPr>
                <w:sz w:val="20"/>
                <w:szCs w:val="20"/>
                <w:color w:val="auto"/>
              </w:rPr>
            </w:pPr>
            <w:r>
              <w:rPr>
                <w:rFonts w:ascii="Arial" w:cs="Arial" w:eastAsia="Arial" w:hAnsi="Arial"/>
                <w:sz w:val="18"/>
                <w:szCs w:val="18"/>
                <w:color w:val="auto"/>
              </w:rPr>
              <w:t>4,808</w:t>
            </w:r>
          </w:p>
        </w:tc>
        <w:tc>
          <w:tcPr>
            <w:tcW w:w="100" w:type="dxa"/>
            <w:vAlign w:val="bottom"/>
            <w:shd w:val="clear" w:color="auto" w:fill="CCEEFF"/>
          </w:tcPr>
          <w:p>
            <w:pPr>
              <w:spacing w:after="0"/>
              <w:rPr>
                <w:sz w:val="23"/>
                <w:szCs w:val="23"/>
                <w:color w:val="auto"/>
              </w:rPr>
            </w:pPr>
          </w:p>
        </w:tc>
        <w:tc>
          <w:tcPr>
            <w:tcW w:w="620" w:type="dxa"/>
            <w:vAlign w:val="bottom"/>
            <w:tcBorders>
              <w:bottom w:val="single" w:sz="8" w:color="auto"/>
            </w:tcBorders>
            <w:shd w:val="clear" w:color="auto" w:fill="CCEEFF"/>
          </w:tcPr>
          <w:p>
            <w:pPr>
              <w:spacing w:after="0"/>
              <w:rPr>
                <w:sz w:val="23"/>
                <w:szCs w:val="23"/>
                <w:color w:val="auto"/>
              </w:rPr>
            </w:pPr>
          </w:p>
        </w:tc>
        <w:tc>
          <w:tcPr>
            <w:tcW w:w="1220" w:type="dxa"/>
            <w:vAlign w:val="bottom"/>
            <w:tcBorders>
              <w:bottom w:val="single" w:sz="8" w:color="auto"/>
            </w:tcBorders>
            <w:shd w:val="clear" w:color="auto" w:fill="CCEEFF"/>
          </w:tcPr>
          <w:p>
            <w:pPr>
              <w:jc w:val="right"/>
              <w:ind w:right="14"/>
              <w:spacing w:after="0"/>
              <w:rPr>
                <w:sz w:val="20"/>
                <w:szCs w:val="20"/>
                <w:color w:val="auto"/>
              </w:rPr>
            </w:pPr>
            <w:r>
              <w:rPr>
                <w:rFonts w:ascii="Arial" w:cs="Arial" w:eastAsia="Arial" w:hAnsi="Arial"/>
                <w:sz w:val="18"/>
                <w:szCs w:val="18"/>
                <w:color w:val="auto"/>
              </w:rPr>
              <w:t>4,339</w:t>
            </w:r>
          </w:p>
        </w:tc>
      </w:tr>
      <w:tr>
        <w:trPr>
          <w:trHeight w:val="257"/>
        </w:trPr>
        <w:tc>
          <w:tcPr>
            <w:tcW w:w="7760" w:type="dxa"/>
            <w:vAlign w:val="bottom"/>
          </w:tcPr>
          <w:p>
            <w:pPr>
              <w:ind w:left="280"/>
              <w:spacing w:after="0"/>
              <w:rPr>
                <w:sz w:val="20"/>
                <w:szCs w:val="20"/>
                <w:color w:val="auto"/>
              </w:rPr>
            </w:pPr>
            <w:r>
              <w:rPr>
                <w:rFonts w:ascii="Arial" w:cs="Arial" w:eastAsia="Arial" w:hAnsi="Arial"/>
                <w:sz w:val="18"/>
                <w:szCs w:val="18"/>
                <w:color w:val="auto"/>
              </w:rPr>
              <w:t>Total</w:t>
            </w:r>
          </w:p>
        </w:tc>
        <w:tc>
          <w:tcPr>
            <w:tcW w:w="1040" w:type="dxa"/>
            <w:vAlign w:val="bottom"/>
            <w:tcBorders>
              <w:bottom w:val="single" w:sz="8" w:color="auto"/>
            </w:tcBorders>
          </w:tcPr>
          <w:p>
            <w:pPr>
              <w:jc w:val="right"/>
              <w:ind w:right="836"/>
              <w:spacing w:after="0"/>
              <w:rPr>
                <w:sz w:val="20"/>
                <w:szCs w:val="20"/>
                <w:color w:val="auto"/>
              </w:rPr>
            </w:pPr>
            <w:r>
              <w:rPr>
                <w:rFonts w:ascii="Arial" w:cs="Arial" w:eastAsia="Arial" w:hAnsi="Arial"/>
                <w:sz w:val="18"/>
                <w:szCs w:val="18"/>
                <w:color w:val="auto"/>
                <w:w w:val="99"/>
              </w:rPr>
              <w:t>$</w:t>
            </w:r>
          </w:p>
        </w:tc>
        <w:tc>
          <w:tcPr>
            <w:tcW w:w="680" w:type="dxa"/>
            <w:vAlign w:val="bottom"/>
            <w:tcBorders>
              <w:bottom w:val="single" w:sz="8" w:color="auto"/>
            </w:tcBorders>
          </w:tcPr>
          <w:p>
            <w:pPr>
              <w:jc w:val="right"/>
              <w:ind w:right="37"/>
              <w:spacing w:after="0"/>
              <w:rPr>
                <w:sz w:val="20"/>
                <w:szCs w:val="20"/>
                <w:color w:val="auto"/>
              </w:rPr>
            </w:pPr>
            <w:r>
              <w:rPr>
                <w:rFonts w:ascii="Arial" w:cs="Arial" w:eastAsia="Arial" w:hAnsi="Arial"/>
                <w:sz w:val="18"/>
                <w:szCs w:val="18"/>
                <w:color w:val="auto"/>
                <w:w w:val="98"/>
              </w:rPr>
              <w:t>13,423</w:t>
            </w:r>
          </w:p>
        </w:tc>
        <w:tc>
          <w:tcPr>
            <w:tcW w:w="100" w:type="dxa"/>
            <w:vAlign w:val="bottom"/>
          </w:tcPr>
          <w:p>
            <w:pPr>
              <w:spacing w:after="0"/>
              <w:rPr>
                <w:sz w:val="22"/>
                <w:szCs w:val="22"/>
                <w:color w:val="auto"/>
              </w:rPr>
            </w:pPr>
          </w:p>
        </w:tc>
        <w:tc>
          <w:tcPr>
            <w:tcW w:w="620" w:type="dxa"/>
            <w:vAlign w:val="bottom"/>
            <w:tcBorders>
              <w:bottom w:val="single" w:sz="8" w:color="auto"/>
            </w:tcBorders>
          </w:tcPr>
          <w:p>
            <w:pPr>
              <w:jc w:val="right"/>
              <w:ind w:right="390"/>
              <w:spacing w:after="0"/>
              <w:rPr>
                <w:sz w:val="20"/>
                <w:szCs w:val="20"/>
                <w:color w:val="auto"/>
              </w:rPr>
            </w:pPr>
            <w:r>
              <w:rPr>
                <w:rFonts w:ascii="Arial" w:cs="Arial" w:eastAsia="Arial" w:hAnsi="Arial"/>
                <w:sz w:val="18"/>
                <w:szCs w:val="18"/>
                <w:color w:val="auto"/>
              </w:rPr>
              <w:t>$</w:t>
            </w:r>
          </w:p>
        </w:tc>
        <w:tc>
          <w:tcPr>
            <w:tcW w:w="1220" w:type="dxa"/>
            <w:vAlign w:val="bottom"/>
            <w:tcBorders>
              <w:bottom w:val="single" w:sz="8" w:color="auto"/>
            </w:tcBorders>
          </w:tcPr>
          <w:p>
            <w:pPr>
              <w:jc w:val="right"/>
              <w:ind w:right="14"/>
              <w:spacing w:after="0"/>
              <w:rPr>
                <w:sz w:val="20"/>
                <w:szCs w:val="20"/>
                <w:color w:val="auto"/>
              </w:rPr>
            </w:pPr>
            <w:r>
              <w:rPr>
                <w:rFonts w:ascii="Arial" w:cs="Arial" w:eastAsia="Arial" w:hAnsi="Arial"/>
                <w:sz w:val="18"/>
                <w:szCs w:val="18"/>
                <w:color w:val="auto"/>
              </w:rPr>
              <w:t>12,878</w:t>
            </w:r>
          </w:p>
        </w:tc>
      </w:tr>
      <w:tr>
        <w:trPr>
          <w:trHeight w:val="20"/>
        </w:trPr>
        <w:tc>
          <w:tcPr>
            <w:tcW w:w="7760" w:type="dxa"/>
            <w:vAlign w:val="bottom"/>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6016625</wp:posOffset>
            </wp:positionH>
            <wp:positionV relativeFrom="paragraph">
              <wp:posOffset>-711200</wp:posOffset>
            </wp:positionV>
            <wp:extent cx="68580" cy="8890"/>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68580" cy="8890"/>
                    </a:xfrm>
                    <a:prstGeom prst="rect">
                      <a:avLst/>
                    </a:prstGeom>
                    <a:noFill/>
                  </pic:spPr>
                </pic:pic>
              </a:graphicData>
            </a:graphic>
          </wp:anchor>
        </w:drawing>
      </w:r>
    </w:p>
    <w:p>
      <w:pPr>
        <w:spacing w:after="0" w:line="200" w:lineRule="exact"/>
        <w:rPr>
          <w:sz w:val="20"/>
          <w:szCs w:val="20"/>
          <w:color w:val="auto"/>
        </w:rPr>
      </w:pPr>
    </w:p>
    <w:p>
      <w:pPr>
        <w:spacing w:after="0" w:line="238" w:lineRule="exact"/>
        <w:rPr>
          <w:sz w:val="20"/>
          <w:szCs w:val="20"/>
          <w:color w:val="auto"/>
        </w:rPr>
      </w:pPr>
    </w:p>
    <w:p>
      <w:pPr>
        <w:jc w:val="both"/>
        <w:ind w:firstLine="243"/>
        <w:spacing w:after="0" w:line="256" w:lineRule="auto"/>
        <w:rPr>
          <w:sz w:val="20"/>
          <w:szCs w:val="20"/>
          <w:color w:val="auto"/>
        </w:rPr>
      </w:pPr>
      <w:r>
        <w:rPr>
          <w:rFonts w:ascii="Arial" w:cs="Arial" w:eastAsia="Arial" w:hAnsi="Arial"/>
          <w:sz w:val="18"/>
          <w:szCs w:val="18"/>
          <w:color w:val="auto"/>
        </w:rPr>
        <w:t>The balance of the loyalty program liability fluctuates based on seasonal patterns, which impact the volume of mileage credits issued through travel or sold to co-branded credit card and other partners (deferral of revenue) and mileage credits redeemed (recognition of revenue). Changes in loyalty program liability are as follows (in millions):</w:t>
      </w:r>
    </w:p>
    <w:p>
      <w:pPr>
        <w:spacing w:after="0" w:line="284" w:lineRule="exact"/>
        <w:rPr>
          <w:sz w:val="20"/>
          <w:szCs w:val="20"/>
          <w:color w:val="auto"/>
        </w:rPr>
      </w:pPr>
    </w:p>
    <w:tbl>
      <w:tblPr>
        <w:tblLayout w:type="fixed"/>
        <w:tblInd w:w="0" w:type="dxa"/>
        <w:tblCellMar>
          <w:top w:w="0" w:type="dxa"/>
          <w:left w:w="0" w:type="dxa"/>
          <w:bottom w:w="0" w:type="dxa"/>
          <w:right w:w="0" w:type="dxa"/>
        </w:tblCellMar>
      </w:tblPr>
      <w:tr>
        <w:trPr>
          <w:trHeight w:val="257"/>
        </w:trPr>
        <w:tc>
          <w:tcPr>
            <w:tcW w:w="9700" w:type="dxa"/>
            <w:vAlign w:val="bottom"/>
            <w:shd w:val="clear" w:color="auto" w:fill="CCEEFF"/>
          </w:tcPr>
          <w:p>
            <w:pPr>
              <w:ind w:left="40"/>
              <w:spacing w:after="0"/>
              <w:rPr>
                <w:sz w:val="20"/>
                <w:szCs w:val="20"/>
                <w:color w:val="auto"/>
              </w:rPr>
            </w:pPr>
            <w:r>
              <w:rPr>
                <w:rFonts w:ascii="Arial" w:cs="Arial" w:eastAsia="Arial" w:hAnsi="Arial"/>
                <w:sz w:val="18"/>
                <w:szCs w:val="18"/>
                <w:color w:val="auto"/>
              </w:rPr>
              <w:t>Balance at December 31, 2018</w:t>
            </w:r>
          </w:p>
        </w:tc>
        <w:tc>
          <w:tcPr>
            <w:tcW w:w="620" w:type="dxa"/>
            <w:vAlign w:val="bottom"/>
            <w:shd w:val="clear" w:color="auto" w:fill="CCEEFF"/>
          </w:tcPr>
          <w:p>
            <w:pPr>
              <w:jc w:val="right"/>
              <w:ind w:right="390"/>
              <w:spacing w:after="0"/>
              <w:rPr>
                <w:sz w:val="20"/>
                <w:szCs w:val="20"/>
                <w:color w:val="auto"/>
              </w:rPr>
            </w:pPr>
            <w:r>
              <w:rPr>
                <w:rFonts w:ascii="Arial" w:cs="Arial" w:eastAsia="Arial" w:hAnsi="Arial"/>
                <w:sz w:val="18"/>
                <w:szCs w:val="18"/>
                <w:color w:val="auto"/>
              </w:rPr>
              <w:t>$</w:t>
            </w:r>
          </w:p>
        </w:tc>
        <w:tc>
          <w:tcPr>
            <w:tcW w:w="11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8,539</w:t>
            </w:r>
          </w:p>
        </w:tc>
      </w:tr>
      <w:tr>
        <w:trPr>
          <w:trHeight w:val="250"/>
        </w:trPr>
        <w:tc>
          <w:tcPr>
            <w:tcW w:w="9700" w:type="dxa"/>
            <w:vAlign w:val="bottom"/>
          </w:tcPr>
          <w:p>
            <w:pPr>
              <w:ind w:left="280"/>
              <w:spacing w:after="0"/>
              <w:rPr>
                <w:sz w:val="20"/>
                <w:szCs w:val="20"/>
                <w:color w:val="auto"/>
              </w:rPr>
            </w:pPr>
            <w:r>
              <w:rPr>
                <w:rFonts w:ascii="Arial" w:cs="Arial" w:eastAsia="Arial" w:hAnsi="Arial"/>
                <w:sz w:val="18"/>
                <w:szCs w:val="18"/>
                <w:color w:val="auto"/>
              </w:rPr>
              <w:t>Deferral of revenue</w:t>
            </w:r>
          </w:p>
        </w:tc>
        <w:tc>
          <w:tcPr>
            <w:tcW w:w="620" w:type="dxa"/>
            <w:vAlign w:val="bottom"/>
          </w:tcPr>
          <w:p>
            <w:pPr>
              <w:spacing w:after="0"/>
              <w:rPr>
                <w:sz w:val="21"/>
                <w:szCs w:val="21"/>
                <w:color w:val="auto"/>
              </w:rPr>
            </w:pPr>
          </w:p>
        </w:tc>
        <w:tc>
          <w:tcPr>
            <w:tcW w:w="1100" w:type="dxa"/>
            <w:vAlign w:val="bottom"/>
          </w:tcPr>
          <w:p>
            <w:pPr>
              <w:jc w:val="right"/>
              <w:ind w:right="10"/>
              <w:spacing w:after="0"/>
              <w:rPr>
                <w:sz w:val="20"/>
                <w:szCs w:val="20"/>
                <w:color w:val="auto"/>
              </w:rPr>
            </w:pPr>
            <w:r>
              <w:rPr>
                <w:rFonts w:ascii="Arial" w:cs="Arial" w:eastAsia="Arial" w:hAnsi="Arial"/>
                <w:sz w:val="18"/>
                <w:szCs w:val="18"/>
                <w:color w:val="auto"/>
              </w:rPr>
              <w:t>3,438</w:t>
            </w:r>
          </w:p>
        </w:tc>
      </w:tr>
      <w:tr>
        <w:trPr>
          <w:trHeight w:val="263"/>
        </w:trPr>
        <w:tc>
          <w:tcPr>
            <w:tcW w:w="9700" w:type="dxa"/>
            <w:vAlign w:val="bottom"/>
            <w:shd w:val="clear" w:color="auto" w:fill="CCEEFF"/>
          </w:tcPr>
          <w:p>
            <w:pPr>
              <w:ind w:left="280"/>
              <w:spacing w:after="0"/>
              <w:rPr>
                <w:sz w:val="20"/>
                <w:szCs w:val="20"/>
                <w:color w:val="auto"/>
              </w:rPr>
            </w:pPr>
            <w:r>
              <w:rPr>
                <w:rFonts w:ascii="Arial" w:cs="Arial" w:eastAsia="Arial" w:hAnsi="Arial"/>
                <w:sz w:val="18"/>
                <w:szCs w:val="18"/>
                <w:color w:val="auto"/>
              </w:rPr>
              <w:t xml:space="preserve">Recognition of revenue </w:t>
            </w:r>
            <w:r>
              <w:rPr>
                <w:rFonts w:ascii="Arial" w:cs="Arial" w:eastAsia="Arial" w:hAnsi="Arial"/>
                <w:sz w:val="21"/>
                <w:szCs w:val="21"/>
                <w:color w:val="auto"/>
                <w:vertAlign w:val="superscript"/>
              </w:rPr>
              <w:t>(1)</w:t>
            </w:r>
          </w:p>
        </w:tc>
        <w:tc>
          <w:tcPr>
            <w:tcW w:w="620" w:type="dxa"/>
            <w:vAlign w:val="bottom"/>
            <w:tcBorders>
              <w:bottom w:val="single" w:sz="8" w:color="auto"/>
            </w:tcBorders>
            <w:shd w:val="clear" w:color="auto" w:fill="CCEEFF"/>
          </w:tcPr>
          <w:p>
            <w:pPr>
              <w:spacing w:after="0"/>
              <w:rPr>
                <w:sz w:val="22"/>
                <w:szCs w:val="22"/>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(3,362)</w:t>
            </w:r>
          </w:p>
        </w:tc>
      </w:tr>
      <w:tr>
        <w:trPr>
          <w:trHeight w:val="250"/>
        </w:trPr>
        <w:tc>
          <w:tcPr>
            <w:tcW w:w="9700" w:type="dxa"/>
            <w:vAlign w:val="bottom"/>
          </w:tcPr>
          <w:p>
            <w:pPr>
              <w:ind w:left="40"/>
              <w:spacing w:after="0"/>
              <w:rPr>
                <w:sz w:val="20"/>
                <w:szCs w:val="20"/>
                <w:color w:val="auto"/>
              </w:rPr>
            </w:pPr>
            <w:r>
              <w:rPr>
                <w:rFonts w:ascii="Arial" w:cs="Arial" w:eastAsia="Arial" w:hAnsi="Arial"/>
                <w:sz w:val="18"/>
                <w:szCs w:val="18"/>
                <w:color w:val="auto"/>
              </w:rPr>
              <w:t xml:space="preserve">Balance at December 31, 2019 </w:t>
            </w:r>
            <w:r>
              <w:rPr>
                <w:rFonts w:ascii="Arial" w:cs="Arial" w:eastAsia="Arial" w:hAnsi="Arial"/>
                <w:sz w:val="21"/>
                <w:szCs w:val="21"/>
                <w:color w:val="auto"/>
                <w:vertAlign w:val="superscript"/>
              </w:rPr>
              <w:t>(2)</w:t>
            </w:r>
          </w:p>
        </w:tc>
        <w:tc>
          <w:tcPr>
            <w:tcW w:w="620" w:type="dxa"/>
            <w:vAlign w:val="bottom"/>
            <w:tcBorders>
              <w:bottom w:val="single" w:sz="8" w:color="auto"/>
            </w:tcBorders>
          </w:tcPr>
          <w:p>
            <w:pPr>
              <w:jc w:val="right"/>
              <w:ind w:right="390"/>
              <w:spacing w:after="0"/>
              <w:rPr>
                <w:sz w:val="20"/>
                <w:szCs w:val="20"/>
                <w:color w:val="auto"/>
              </w:rPr>
            </w:pPr>
            <w:r>
              <w:rPr>
                <w:rFonts w:ascii="Arial" w:cs="Arial" w:eastAsia="Arial" w:hAnsi="Arial"/>
                <w:sz w:val="18"/>
                <w:szCs w:val="18"/>
                <w:color w:val="auto"/>
              </w:rPr>
              <w:t>$</w:t>
            </w:r>
          </w:p>
        </w:tc>
        <w:tc>
          <w:tcPr>
            <w:tcW w:w="110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8,615</w:t>
            </w:r>
          </w:p>
        </w:tc>
      </w:tr>
      <w:tr>
        <w:trPr>
          <w:trHeight w:val="20"/>
        </w:trPr>
        <w:tc>
          <w:tcPr>
            <w:tcW w:w="9700" w:type="dxa"/>
            <w:vAlign w:val="bottom"/>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163195</wp:posOffset>
            </wp:positionV>
            <wp:extent cx="1337945" cy="8890"/>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1337945" cy="8890"/>
                    </a:xfrm>
                    <a:prstGeom prst="rect">
                      <a:avLst/>
                    </a:prstGeom>
                    <a:noFill/>
                  </pic:spPr>
                </pic:pic>
              </a:graphicData>
            </a:graphic>
          </wp:anchor>
        </w:drawing>
      </w:r>
    </w:p>
    <w:p>
      <w:pPr>
        <w:spacing w:after="0" w:line="330" w:lineRule="exact"/>
        <w:rPr>
          <w:sz w:val="20"/>
          <w:szCs w:val="20"/>
          <w:color w:val="auto"/>
        </w:rPr>
      </w:pPr>
    </w:p>
    <w:p>
      <w:pPr>
        <w:jc w:val="both"/>
        <w:ind w:left="500" w:hanging="330"/>
        <w:spacing w:after="0" w:line="233" w:lineRule="auto"/>
        <w:tabs>
          <w:tab w:leader="none" w:pos="500" w:val="left"/>
        </w:tabs>
        <w:numPr>
          <w:ilvl w:val="0"/>
          <w:numId w:val="55"/>
        </w:numPr>
        <w:rPr>
          <w:rFonts w:ascii="Arial" w:cs="Arial" w:eastAsia="Arial" w:hAnsi="Arial"/>
          <w:sz w:val="22"/>
          <w:szCs w:val="22"/>
          <w:color w:val="auto"/>
          <w:vertAlign w:val="superscript"/>
        </w:rPr>
      </w:pPr>
      <w:r>
        <w:rPr>
          <w:rFonts w:ascii="Arial" w:cs="Arial" w:eastAsia="Arial" w:hAnsi="Arial"/>
          <w:sz w:val="18"/>
          <w:szCs w:val="18"/>
          <w:color w:val="auto"/>
        </w:rPr>
        <w:t>Principally relates to revenue recognized from the redemption of mileage credits for both air and non-air travel awards. Mileage credits are combined in one homogenous pool and are not separately identifiable. As such, the revenue is comprised of miles that were part of the loyalty program deferred revenue balance at the beginning of the period, as well as miles that were issued during the period.</w:t>
      </w:r>
    </w:p>
    <w:p>
      <w:pPr>
        <w:spacing w:after="0" w:line="162" w:lineRule="exact"/>
        <w:rPr>
          <w:rFonts w:ascii="Arial" w:cs="Arial" w:eastAsia="Arial" w:hAnsi="Arial"/>
          <w:sz w:val="22"/>
          <w:szCs w:val="22"/>
          <w:color w:val="auto"/>
          <w:vertAlign w:val="superscript"/>
        </w:rPr>
      </w:pPr>
    </w:p>
    <w:p>
      <w:pPr>
        <w:jc w:val="both"/>
        <w:ind w:left="500" w:hanging="330"/>
        <w:spacing w:after="0" w:line="237" w:lineRule="auto"/>
        <w:tabs>
          <w:tab w:leader="none" w:pos="500" w:val="left"/>
        </w:tabs>
        <w:numPr>
          <w:ilvl w:val="0"/>
          <w:numId w:val="55"/>
        </w:numPr>
        <w:rPr>
          <w:rFonts w:ascii="Arial" w:cs="Arial" w:eastAsia="Arial" w:hAnsi="Arial"/>
          <w:sz w:val="22"/>
          <w:szCs w:val="22"/>
          <w:color w:val="auto"/>
          <w:vertAlign w:val="superscript"/>
        </w:rPr>
      </w:pPr>
      <w:r>
        <w:rPr>
          <w:rFonts w:ascii="Arial" w:cs="Arial" w:eastAsia="Arial" w:hAnsi="Arial"/>
          <w:sz w:val="18"/>
          <w:szCs w:val="18"/>
          <w:color w:val="auto"/>
        </w:rPr>
        <w:t>Mileage credits can be redeemed at any time and do not expire as long as that AAdvantage member has any type of qualifying activity at least every 18 months. As of December 31, 2019, American’s current loyalty program liability was $3.2 billion and represents American’s current estimate of revenue expected to be recognized in the next 12 months based on historical trends, with the balance reflected in long-term loyalty program liability expected to be recognized as revenue in periods thereafter.</w:t>
      </w:r>
    </w:p>
    <w:p>
      <w:pPr>
        <w:spacing w:after="0" w:line="163" w:lineRule="exact"/>
        <w:rPr>
          <w:sz w:val="20"/>
          <w:szCs w:val="20"/>
          <w:color w:val="auto"/>
        </w:rPr>
      </w:pPr>
    </w:p>
    <w:p>
      <w:pPr>
        <w:jc w:val="both"/>
        <w:ind w:firstLine="243"/>
        <w:spacing w:after="0" w:line="253" w:lineRule="auto"/>
        <w:rPr>
          <w:sz w:val="20"/>
          <w:szCs w:val="20"/>
          <w:color w:val="auto"/>
        </w:rPr>
      </w:pPr>
      <w:r>
        <w:rPr>
          <w:rFonts w:ascii="Arial" w:cs="Arial" w:eastAsia="Arial" w:hAnsi="Arial"/>
          <w:sz w:val="18"/>
          <w:szCs w:val="18"/>
          <w:color w:val="auto"/>
        </w:rPr>
        <w:t>The air traffic liability principally represents tickets sold for future travel on American and partner airlines, as well as estimated future refunds and exchanges of tickets sold for past travel. The balance in American’s air traffic liability also fluctuates with seasonal travel patterns. The contract duration of passenger tickets is one year. Accordingly, any revenue associated with tickets sold for future travel will be recognized within 12 months. For 2019, $3.3 billion of revenue was recognized in passenger revenue that was included in American’s air traffic liability at December 31, 2018.</w:t>
      </w:r>
    </w:p>
    <w:p>
      <w:pPr>
        <w:spacing w:after="0" w:line="152" w:lineRule="exact"/>
        <w:rPr>
          <w:sz w:val="20"/>
          <w:szCs w:val="20"/>
          <w:color w:val="auto"/>
        </w:rPr>
      </w:pPr>
    </w:p>
    <w:p>
      <w:pPr>
        <w:jc w:val="both"/>
        <w:ind w:firstLine="243"/>
        <w:spacing w:after="0" w:line="254" w:lineRule="auto"/>
        <w:rPr>
          <w:sz w:val="20"/>
          <w:szCs w:val="20"/>
          <w:color w:val="auto"/>
        </w:rPr>
      </w:pPr>
      <w:r>
        <w:rPr>
          <w:rFonts w:ascii="Arial" w:cs="Arial" w:eastAsia="Arial" w:hAnsi="Arial"/>
          <w:sz w:val="18"/>
          <w:szCs w:val="18"/>
          <w:color w:val="auto"/>
        </w:rPr>
        <w:t>With respect to contract receivables, reflected as accounts receivable, net on the accompanying consolidated balance sheets, these primarily include receivables for tickets sold to individual passengers through the use of major credit cards. These receivables are short-term, mostly settled within seven days after sale. Bad debt losses, which have been minimal in the past, have been considered in establishing allowances for doubtful accounts.</w:t>
      </w:r>
    </w:p>
    <w:p>
      <w:pPr>
        <w:spacing w:after="0" w:line="209" w:lineRule="exact"/>
        <w:rPr>
          <w:sz w:val="20"/>
          <w:szCs w:val="20"/>
          <w:color w:val="auto"/>
        </w:rPr>
      </w:pPr>
    </w:p>
    <w:p>
      <w:pPr>
        <w:ind w:left="220"/>
        <w:spacing w:after="0"/>
        <w:rPr>
          <w:sz w:val="20"/>
          <w:szCs w:val="20"/>
          <w:color w:val="auto"/>
        </w:rPr>
      </w:pPr>
      <w:r>
        <w:rPr>
          <w:rFonts w:ascii="Arial" w:cs="Arial" w:eastAsia="Arial" w:hAnsi="Arial"/>
          <w:sz w:val="18"/>
          <w:szCs w:val="18"/>
          <w:b w:val="1"/>
          <w:bCs w:val="1"/>
          <w:i w:val="1"/>
          <w:iCs w:val="1"/>
          <w:color w:val="auto"/>
        </w:rPr>
        <w:t>(l) Maintenance, Materials and Repairs</w:t>
      </w:r>
    </w:p>
    <w:p>
      <w:pPr>
        <w:spacing w:after="0" w:line="112" w:lineRule="exact"/>
        <w:rPr>
          <w:sz w:val="20"/>
          <w:szCs w:val="20"/>
          <w:color w:val="auto"/>
        </w:rPr>
      </w:pPr>
    </w:p>
    <w:p>
      <w:pPr>
        <w:jc w:val="both"/>
        <w:ind w:firstLine="216"/>
        <w:spacing w:after="0" w:line="256" w:lineRule="auto"/>
        <w:rPr>
          <w:sz w:val="20"/>
          <w:szCs w:val="20"/>
          <w:color w:val="auto"/>
        </w:rPr>
      </w:pPr>
      <w:r>
        <w:rPr>
          <w:rFonts w:ascii="Arial" w:cs="Arial" w:eastAsia="Arial" w:hAnsi="Arial"/>
          <w:sz w:val="18"/>
          <w:szCs w:val="18"/>
          <w:color w:val="auto"/>
        </w:rPr>
        <w:t>Maintenance and repair costs for owned and leased flight equipment are charged to operating expense as incurred, except costs incurred for maintenance and repair under flight hour maintenance contract agreements, which are accrued based on contractual terms when an obligation exists.</w:t>
      </w:r>
    </w:p>
    <w:p>
      <w:pPr>
        <w:spacing w:after="0" w:line="207" w:lineRule="exact"/>
        <w:rPr>
          <w:sz w:val="20"/>
          <w:szCs w:val="20"/>
          <w:color w:val="auto"/>
        </w:rPr>
      </w:pPr>
    </w:p>
    <w:p>
      <w:pPr>
        <w:ind w:left="220"/>
        <w:spacing w:after="0"/>
        <w:rPr>
          <w:sz w:val="20"/>
          <w:szCs w:val="20"/>
          <w:color w:val="auto"/>
        </w:rPr>
      </w:pPr>
      <w:r>
        <w:rPr>
          <w:rFonts w:ascii="Arial" w:cs="Arial" w:eastAsia="Arial" w:hAnsi="Arial"/>
          <w:sz w:val="18"/>
          <w:szCs w:val="18"/>
          <w:b w:val="1"/>
          <w:bCs w:val="1"/>
          <w:i w:val="1"/>
          <w:iCs w:val="1"/>
          <w:color w:val="auto"/>
        </w:rPr>
        <w:t>(m) Selling Expenses</w:t>
      </w:r>
    </w:p>
    <w:p>
      <w:pPr>
        <w:spacing w:after="0" w:line="112" w:lineRule="exact"/>
        <w:rPr>
          <w:sz w:val="20"/>
          <w:szCs w:val="20"/>
          <w:color w:val="auto"/>
        </w:rPr>
      </w:pPr>
    </w:p>
    <w:p>
      <w:pPr>
        <w:jc w:val="both"/>
        <w:ind w:firstLine="216"/>
        <w:spacing w:after="0" w:line="256" w:lineRule="auto"/>
        <w:rPr>
          <w:sz w:val="20"/>
          <w:szCs w:val="20"/>
          <w:color w:val="auto"/>
        </w:rPr>
      </w:pPr>
      <w:r>
        <w:rPr>
          <w:rFonts w:ascii="Arial" w:cs="Arial" w:eastAsia="Arial" w:hAnsi="Arial"/>
          <w:sz w:val="18"/>
          <w:szCs w:val="18"/>
          <w:color w:val="auto"/>
        </w:rPr>
        <w:t>Selling expenses include credit card fees, commissions, computerized reservations systems fees and advertising. Selling expenses associated with passenger revenue are expensed when the transportation or service is provided. Advertising costs are expensed as incurred. Advertising expense was $129 million, $128 million and $135 million for the years ended December 31, 2019, 2018 and 2017, respectively.</w:t>
      </w:r>
    </w:p>
    <w:p>
      <w:pPr>
        <w:sectPr>
          <w:pgSz w:w="11900" w:h="16838" w:orient="portrait"/>
          <w:cols w:equalWidth="0" w:num="1">
            <w:col w:w="11420"/>
          </w:cols>
          <w:pgMar w:left="240" w:top="549" w:right="239" w:bottom="1440" w:gutter="0" w:footer="0" w:header="0"/>
        </w:sectPr>
      </w:pPr>
    </w:p>
    <w:p>
      <w:pPr>
        <w:spacing w:after="0" w:line="202"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128</w:t>
      </w:r>
    </w:p>
    <w:p>
      <w:pPr>
        <w:sectPr>
          <w:pgSz w:w="11900" w:h="16838" w:orient="portrait"/>
          <w:cols w:equalWidth="0" w:num="1">
            <w:col w:w="11420"/>
          </w:cols>
          <w:pgMar w:left="240" w:top="549" w:right="239" w:bottom="1440" w:gutter="0" w:footer="0" w:header="0"/>
          <w:type w:val="continuous"/>
        </w:sectPr>
      </w:pPr>
    </w:p>
    <w:bookmarkStart w:id="128" w:name="page129"/>
    <w:bookmarkEnd w:id="128"/>
    <w:p>
      <w:pPr>
        <w:jc w:val="center"/>
        <w:spacing w:after="0"/>
        <w:rPr>
          <w:sz w:val="20"/>
          <w:szCs w:val="20"/>
          <w:color w:val="auto"/>
        </w:rPr>
      </w:pPr>
      <w:r>
        <w:rPr>
          <w:rFonts w:ascii="Arial" w:cs="Arial" w:eastAsia="Arial" w:hAnsi="Arial"/>
          <w:sz w:val="18"/>
          <w:szCs w:val="18"/>
          <w:b w:val="1"/>
          <w:bCs w:val="1"/>
          <w:color w:val="auto"/>
        </w:rPr>
        <w:t>NOTES TO CONSOLIDATED FINANCIAL STATEMENTS OF AMERICAN AIRLINES, INC.</w:t>
      </w:r>
    </w:p>
    <w:p>
      <w:pPr>
        <w:spacing w:after="0" w:line="200" w:lineRule="exact"/>
        <w:rPr>
          <w:sz w:val="20"/>
          <w:szCs w:val="20"/>
          <w:color w:val="auto"/>
        </w:rPr>
      </w:pPr>
    </w:p>
    <w:p>
      <w:pPr>
        <w:spacing w:after="0" w:line="268" w:lineRule="exact"/>
        <w:rPr>
          <w:sz w:val="20"/>
          <w:szCs w:val="20"/>
          <w:color w:val="auto"/>
        </w:rPr>
      </w:pPr>
    </w:p>
    <w:p>
      <w:pPr>
        <w:ind w:left="220"/>
        <w:spacing w:after="0"/>
        <w:rPr>
          <w:sz w:val="20"/>
          <w:szCs w:val="20"/>
          <w:color w:val="auto"/>
        </w:rPr>
      </w:pPr>
      <w:r>
        <w:rPr>
          <w:rFonts w:ascii="Arial" w:cs="Arial" w:eastAsia="Arial" w:hAnsi="Arial"/>
          <w:sz w:val="18"/>
          <w:szCs w:val="18"/>
          <w:b w:val="1"/>
          <w:bCs w:val="1"/>
          <w:i w:val="1"/>
          <w:iCs w:val="1"/>
          <w:color w:val="auto"/>
        </w:rPr>
        <w:t>(n) Share-based Compensation</w:t>
      </w:r>
    </w:p>
    <w:p>
      <w:pPr>
        <w:spacing w:after="0" w:line="112" w:lineRule="exact"/>
        <w:rPr>
          <w:sz w:val="20"/>
          <w:szCs w:val="20"/>
          <w:color w:val="auto"/>
        </w:rPr>
      </w:pPr>
    </w:p>
    <w:p>
      <w:pPr>
        <w:jc w:val="both"/>
        <w:ind w:firstLine="216"/>
        <w:spacing w:after="0" w:line="254" w:lineRule="auto"/>
        <w:rPr>
          <w:sz w:val="20"/>
          <w:szCs w:val="20"/>
          <w:color w:val="auto"/>
        </w:rPr>
      </w:pPr>
      <w:r>
        <w:rPr>
          <w:rFonts w:ascii="Arial" w:cs="Arial" w:eastAsia="Arial" w:hAnsi="Arial"/>
          <w:sz w:val="18"/>
          <w:szCs w:val="18"/>
          <w:color w:val="auto"/>
        </w:rPr>
        <w:t>American accounts for its share-based compensation expense based on the fair value of the stock award at the time of grant, which is recognized ratably over the vesting period of the stock award. The majority of American’s stock awards are time vested restricted stock units, and the fair value of such awards is based on the market price of the underlying shares of AAG common stock on the date of grant. See Note 13 for further discussion of share-based compensation.</w:t>
      </w:r>
    </w:p>
    <w:p>
      <w:pPr>
        <w:spacing w:after="0" w:line="209" w:lineRule="exact"/>
        <w:rPr>
          <w:sz w:val="20"/>
          <w:szCs w:val="20"/>
          <w:color w:val="auto"/>
        </w:rPr>
      </w:pPr>
    </w:p>
    <w:p>
      <w:pPr>
        <w:ind w:left="220"/>
        <w:spacing w:after="0"/>
        <w:rPr>
          <w:sz w:val="20"/>
          <w:szCs w:val="20"/>
          <w:color w:val="auto"/>
        </w:rPr>
      </w:pPr>
      <w:r>
        <w:rPr>
          <w:rFonts w:ascii="Arial" w:cs="Arial" w:eastAsia="Arial" w:hAnsi="Arial"/>
          <w:sz w:val="18"/>
          <w:szCs w:val="18"/>
          <w:b w:val="1"/>
          <w:bCs w:val="1"/>
          <w:i w:val="1"/>
          <w:iCs w:val="1"/>
          <w:color w:val="auto"/>
        </w:rPr>
        <w:t>(o) Foreign Currency Gains and Losses</w:t>
      </w:r>
    </w:p>
    <w:p>
      <w:pPr>
        <w:spacing w:after="0" w:line="112" w:lineRule="exact"/>
        <w:rPr>
          <w:sz w:val="20"/>
          <w:szCs w:val="20"/>
          <w:color w:val="auto"/>
        </w:rPr>
      </w:pPr>
    </w:p>
    <w:p>
      <w:pPr>
        <w:jc w:val="both"/>
        <w:ind w:firstLine="216"/>
        <w:spacing w:after="0" w:line="256" w:lineRule="auto"/>
        <w:rPr>
          <w:sz w:val="20"/>
          <w:szCs w:val="20"/>
          <w:color w:val="auto"/>
        </w:rPr>
      </w:pPr>
      <w:r>
        <w:rPr>
          <w:rFonts w:ascii="Arial" w:cs="Arial" w:eastAsia="Arial" w:hAnsi="Arial"/>
          <w:sz w:val="18"/>
          <w:szCs w:val="18"/>
          <w:color w:val="auto"/>
        </w:rPr>
        <w:t>Foreign currency gains and losses are recorded as part of other income, net within total nonoperating expense, net in American’s consolidated statements of operations. For the years ended December 31, 2019, 2018 and 2017, respectively, foreign currency losses were $32 million, $54 million and $4 million.</w:t>
      </w:r>
    </w:p>
    <w:p>
      <w:pPr>
        <w:spacing w:after="0" w:line="207" w:lineRule="exact"/>
        <w:rPr>
          <w:sz w:val="20"/>
          <w:szCs w:val="20"/>
          <w:color w:val="auto"/>
        </w:rPr>
      </w:pPr>
    </w:p>
    <w:p>
      <w:pPr>
        <w:ind w:left="220"/>
        <w:spacing w:after="0"/>
        <w:rPr>
          <w:sz w:val="20"/>
          <w:szCs w:val="20"/>
          <w:color w:val="auto"/>
        </w:rPr>
      </w:pPr>
      <w:r>
        <w:rPr>
          <w:rFonts w:ascii="Arial" w:cs="Arial" w:eastAsia="Arial" w:hAnsi="Arial"/>
          <w:sz w:val="18"/>
          <w:szCs w:val="18"/>
          <w:b w:val="1"/>
          <w:bCs w:val="1"/>
          <w:i w:val="1"/>
          <w:iCs w:val="1"/>
          <w:color w:val="auto"/>
        </w:rPr>
        <w:t>(p) Other Operating Expenses</w:t>
      </w:r>
    </w:p>
    <w:p>
      <w:pPr>
        <w:spacing w:after="0" w:line="112" w:lineRule="exact"/>
        <w:rPr>
          <w:sz w:val="20"/>
          <w:szCs w:val="20"/>
          <w:color w:val="auto"/>
        </w:rPr>
      </w:pPr>
    </w:p>
    <w:p>
      <w:pPr>
        <w:jc w:val="both"/>
        <w:ind w:right="20" w:firstLine="216"/>
        <w:spacing w:after="0" w:line="262" w:lineRule="auto"/>
        <w:rPr>
          <w:sz w:val="20"/>
          <w:szCs w:val="20"/>
          <w:color w:val="auto"/>
        </w:rPr>
      </w:pPr>
      <w:r>
        <w:rPr>
          <w:rFonts w:ascii="Arial" w:cs="Arial" w:eastAsia="Arial" w:hAnsi="Arial"/>
          <w:sz w:val="18"/>
          <w:szCs w:val="18"/>
          <w:color w:val="auto"/>
        </w:rPr>
        <w:t>Other operating expenses includes costs associated with ground and cargo handling, crew travel, aircraft food and catering, passenger accommodation, airport security, international navigation fees and certain general and administrative expenses.</w:t>
      </w:r>
    </w:p>
    <w:p>
      <w:pPr>
        <w:spacing w:after="0" w:line="201" w:lineRule="exact"/>
        <w:rPr>
          <w:sz w:val="20"/>
          <w:szCs w:val="20"/>
          <w:color w:val="auto"/>
        </w:rPr>
      </w:pPr>
    </w:p>
    <w:p>
      <w:pPr>
        <w:ind w:left="220"/>
        <w:spacing w:after="0"/>
        <w:rPr>
          <w:sz w:val="20"/>
          <w:szCs w:val="20"/>
          <w:color w:val="auto"/>
        </w:rPr>
      </w:pPr>
      <w:r>
        <w:rPr>
          <w:rFonts w:ascii="Arial" w:cs="Arial" w:eastAsia="Arial" w:hAnsi="Arial"/>
          <w:sz w:val="18"/>
          <w:szCs w:val="18"/>
          <w:b w:val="1"/>
          <w:bCs w:val="1"/>
          <w:i w:val="1"/>
          <w:iCs w:val="1"/>
          <w:color w:val="auto"/>
        </w:rPr>
        <w:t>(q) Regional Expenses</w:t>
      </w:r>
    </w:p>
    <w:p>
      <w:pPr>
        <w:spacing w:after="0" w:line="112" w:lineRule="exact"/>
        <w:rPr>
          <w:sz w:val="20"/>
          <w:szCs w:val="20"/>
          <w:color w:val="auto"/>
        </w:rPr>
      </w:pPr>
    </w:p>
    <w:p>
      <w:pPr>
        <w:jc w:val="both"/>
        <w:ind w:firstLine="216"/>
        <w:spacing w:after="0" w:line="262" w:lineRule="auto"/>
        <w:rPr>
          <w:sz w:val="20"/>
          <w:szCs w:val="20"/>
          <w:color w:val="auto"/>
        </w:rPr>
      </w:pPr>
      <w:r>
        <w:rPr>
          <w:rFonts w:ascii="Arial" w:cs="Arial" w:eastAsia="Arial" w:hAnsi="Arial"/>
          <w:sz w:val="18"/>
          <w:szCs w:val="18"/>
          <w:color w:val="auto"/>
        </w:rPr>
        <w:t>Expenses associated with American Eagle operations are classified as regional expenses on American’s consolidated statements of operations. Regional expenses consist of the following (in millions):</w:t>
      </w:r>
    </w:p>
    <w:p>
      <w:pPr>
        <w:spacing w:after="0" w:line="292" w:lineRule="exact"/>
        <w:rPr>
          <w:sz w:val="20"/>
          <w:szCs w:val="20"/>
          <w:color w:val="auto"/>
        </w:rPr>
      </w:pPr>
    </w:p>
    <w:tbl>
      <w:tblPr>
        <w:tblLayout w:type="fixed"/>
        <w:tblInd w:w="0" w:type="dxa"/>
        <w:tblCellMar>
          <w:top w:w="0" w:type="dxa"/>
          <w:left w:w="0" w:type="dxa"/>
          <w:bottom w:w="0" w:type="dxa"/>
          <w:right w:w="0" w:type="dxa"/>
        </w:tblCellMar>
      </w:tblPr>
      <w:tr>
        <w:trPr>
          <w:trHeight w:val="196"/>
        </w:trPr>
        <w:tc>
          <w:tcPr>
            <w:tcW w:w="6620" w:type="dxa"/>
            <w:vAlign w:val="bottom"/>
          </w:tcPr>
          <w:p>
            <w:pPr>
              <w:spacing w:after="0"/>
              <w:rPr>
                <w:sz w:val="17"/>
                <w:szCs w:val="17"/>
                <w:color w:val="auto"/>
              </w:rPr>
            </w:pPr>
          </w:p>
        </w:tc>
        <w:tc>
          <w:tcPr>
            <w:tcW w:w="920" w:type="dxa"/>
            <w:vAlign w:val="bottom"/>
            <w:tcBorders>
              <w:bottom w:val="single" w:sz="8" w:color="auto"/>
            </w:tcBorders>
          </w:tcPr>
          <w:p>
            <w:pPr>
              <w:spacing w:after="0"/>
              <w:rPr>
                <w:sz w:val="17"/>
                <w:szCs w:val="17"/>
                <w:color w:val="auto"/>
              </w:rPr>
            </w:pPr>
          </w:p>
        </w:tc>
        <w:tc>
          <w:tcPr>
            <w:tcW w:w="580" w:type="dxa"/>
            <w:vAlign w:val="bottom"/>
            <w:tcBorders>
              <w:bottom w:val="single" w:sz="8" w:color="auto"/>
            </w:tcBorders>
          </w:tcPr>
          <w:p>
            <w:pPr>
              <w:spacing w:after="0"/>
              <w:rPr>
                <w:sz w:val="17"/>
                <w:szCs w:val="17"/>
                <w:color w:val="auto"/>
              </w:rPr>
            </w:pPr>
          </w:p>
        </w:tc>
        <w:tc>
          <w:tcPr>
            <w:tcW w:w="2080" w:type="dxa"/>
            <w:vAlign w:val="bottom"/>
            <w:tcBorders>
              <w:bottom w:val="single" w:sz="8" w:color="auto"/>
            </w:tcBorders>
            <w:gridSpan w:val="5"/>
          </w:tcPr>
          <w:p>
            <w:pPr>
              <w:jc w:val="right"/>
              <w:ind w:right="190"/>
              <w:spacing w:after="0"/>
              <w:rPr>
                <w:sz w:val="20"/>
                <w:szCs w:val="20"/>
                <w:color w:val="auto"/>
              </w:rPr>
            </w:pPr>
            <w:r>
              <w:rPr>
                <w:rFonts w:ascii="Arial" w:cs="Arial" w:eastAsia="Arial" w:hAnsi="Arial"/>
                <w:sz w:val="14"/>
                <w:szCs w:val="14"/>
                <w:b w:val="1"/>
                <w:bCs w:val="1"/>
                <w:color w:val="auto"/>
              </w:rPr>
              <w:t>Year Ended December 31,</w:t>
            </w:r>
          </w:p>
        </w:tc>
        <w:tc>
          <w:tcPr>
            <w:tcW w:w="1220" w:type="dxa"/>
            <w:vAlign w:val="bottom"/>
            <w:tcBorders>
              <w:bottom w:val="single" w:sz="8" w:color="auto"/>
            </w:tcBorders>
          </w:tcPr>
          <w:p>
            <w:pPr>
              <w:spacing w:after="0"/>
              <w:rPr>
                <w:sz w:val="17"/>
                <w:szCs w:val="17"/>
                <w:color w:val="auto"/>
              </w:rPr>
            </w:pPr>
          </w:p>
        </w:tc>
      </w:tr>
      <w:tr>
        <w:trPr>
          <w:trHeight w:val="264"/>
        </w:trPr>
        <w:tc>
          <w:tcPr>
            <w:tcW w:w="6620" w:type="dxa"/>
            <w:vAlign w:val="bottom"/>
            <w:tcBorders>
              <w:bottom w:val="single" w:sz="8" w:color="CCEEFF"/>
            </w:tcBorders>
          </w:tcPr>
          <w:p>
            <w:pPr>
              <w:spacing w:after="0"/>
              <w:rPr>
                <w:sz w:val="22"/>
                <w:szCs w:val="22"/>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2019</w:t>
            </w:r>
          </w:p>
        </w:tc>
        <w:tc>
          <w:tcPr>
            <w:tcW w:w="580" w:type="dxa"/>
            <w:vAlign w:val="bottom"/>
            <w:tcBorders>
              <w:bottom w:val="single" w:sz="8" w:color="auto"/>
            </w:tcBorders>
          </w:tcPr>
          <w:p>
            <w:pPr>
              <w:spacing w:after="0"/>
              <w:rPr>
                <w:sz w:val="22"/>
                <w:szCs w:val="22"/>
                <w:color w:val="auto"/>
              </w:rPr>
            </w:pPr>
          </w:p>
        </w:tc>
        <w:tc>
          <w:tcPr>
            <w:tcW w:w="100" w:type="dxa"/>
            <w:vAlign w:val="bottom"/>
            <w:tcBorders>
              <w:bottom w:val="single" w:sz="8" w:color="CCEEFF"/>
            </w:tcBorders>
          </w:tcPr>
          <w:p>
            <w:pPr>
              <w:spacing w:after="0"/>
              <w:rPr>
                <w:sz w:val="22"/>
                <w:szCs w:val="22"/>
                <w:color w:val="auto"/>
              </w:rPr>
            </w:pPr>
          </w:p>
        </w:tc>
        <w:tc>
          <w:tcPr>
            <w:tcW w:w="360" w:type="dxa"/>
            <w:vAlign w:val="bottom"/>
            <w:tcBorders>
              <w:bottom w:val="single" w:sz="8" w:color="auto"/>
            </w:tcBorders>
          </w:tcPr>
          <w:p>
            <w:pPr>
              <w:spacing w:after="0"/>
              <w:rPr>
                <w:sz w:val="22"/>
                <w:szCs w:val="22"/>
                <w:color w:val="auto"/>
              </w:rPr>
            </w:pPr>
          </w:p>
        </w:tc>
        <w:tc>
          <w:tcPr>
            <w:tcW w:w="1120" w:type="dxa"/>
            <w:vAlign w:val="bottom"/>
            <w:tcBorders>
              <w:bottom w:val="single" w:sz="8" w:color="auto"/>
            </w:tcBorders>
          </w:tcPr>
          <w:p>
            <w:pPr>
              <w:jc w:val="right"/>
              <w:ind w:right="491"/>
              <w:spacing w:after="0"/>
              <w:rPr>
                <w:sz w:val="20"/>
                <w:szCs w:val="20"/>
                <w:color w:val="auto"/>
              </w:rPr>
            </w:pPr>
            <w:r>
              <w:rPr>
                <w:rFonts w:ascii="Arial" w:cs="Arial" w:eastAsia="Arial" w:hAnsi="Arial"/>
                <w:sz w:val="14"/>
                <w:szCs w:val="14"/>
                <w:b w:val="1"/>
                <w:bCs w:val="1"/>
                <w:color w:val="auto"/>
              </w:rPr>
              <w:t>2018</w:t>
            </w:r>
          </w:p>
        </w:tc>
        <w:tc>
          <w:tcPr>
            <w:tcW w:w="120" w:type="dxa"/>
            <w:vAlign w:val="bottom"/>
            <w:tcBorders>
              <w:bottom w:val="single" w:sz="8" w:color="CCEEFF"/>
            </w:tcBorders>
          </w:tcPr>
          <w:p>
            <w:pPr>
              <w:spacing w:after="0"/>
              <w:rPr>
                <w:sz w:val="22"/>
                <w:szCs w:val="22"/>
                <w:color w:val="auto"/>
              </w:rPr>
            </w:pPr>
          </w:p>
        </w:tc>
        <w:tc>
          <w:tcPr>
            <w:tcW w:w="380" w:type="dxa"/>
            <w:vAlign w:val="bottom"/>
            <w:tcBorders>
              <w:bottom w:val="single" w:sz="8" w:color="auto"/>
            </w:tcBorders>
          </w:tcPr>
          <w:p>
            <w:pPr>
              <w:spacing w:after="0"/>
              <w:rPr>
                <w:sz w:val="22"/>
                <w:szCs w:val="22"/>
                <w:color w:val="auto"/>
              </w:rPr>
            </w:pPr>
          </w:p>
        </w:tc>
        <w:tc>
          <w:tcPr>
            <w:tcW w:w="1220" w:type="dxa"/>
            <w:vAlign w:val="bottom"/>
            <w:tcBorders>
              <w:bottom w:val="single" w:sz="8" w:color="auto"/>
            </w:tcBorders>
          </w:tcPr>
          <w:p>
            <w:pPr>
              <w:jc w:val="right"/>
              <w:ind w:right="551"/>
              <w:spacing w:after="0"/>
              <w:rPr>
                <w:sz w:val="20"/>
                <w:szCs w:val="20"/>
                <w:color w:val="auto"/>
              </w:rPr>
            </w:pPr>
            <w:r>
              <w:rPr>
                <w:rFonts w:ascii="Arial" w:cs="Arial" w:eastAsia="Arial" w:hAnsi="Arial"/>
                <w:sz w:val="14"/>
                <w:szCs w:val="14"/>
                <w:b w:val="1"/>
                <w:bCs w:val="1"/>
                <w:color w:val="auto"/>
              </w:rPr>
              <w:t>2017</w:t>
            </w:r>
          </w:p>
        </w:tc>
      </w:tr>
      <w:tr>
        <w:trPr>
          <w:trHeight w:val="256"/>
        </w:trPr>
        <w:tc>
          <w:tcPr>
            <w:tcW w:w="6620" w:type="dxa"/>
            <w:vAlign w:val="bottom"/>
            <w:shd w:val="clear" w:color="auto" w:fill="CCEEFF"/>
          </w:tcPr>
          <w:p>
            <w:pPr>
              <w:ind w:left="40"/>
              <w:spacing w:after="0"/>
              <w:rPr>
                <w:sz w:val="20"/>
                <w:szCs w:val="20"/>
                <w:color w:val="auto"/>
              </w:rPr>
            </w:pPr>
            <w:r>
              <w:rPr>
                <w:rFonts w:ascii="Arial" w:cs="Arial" w:eastAsia="Arial" w:hAnsi="Arial"/>
                <w:sz w:val="18"/>
                <w:szCs w:val="18"/>
                <w:color w:val="auto"/>
              </w:rPr>
              <w:t>Aircraft fuel and related taxes</w:t>
            </w:r>
          </w:p>
        </w:tc>
        <w:tc>
          <w:tcPr>
            <w:tcW w:w="920" w:type="dxa"/>
            <w:vAlign w:val="bottom"/>
            <w:shd w:val="clear" w:color="auto" w:fill="CCEEFF"/>
          </w:tcPr>
          <w:p>
            <w:pPr>
              <w:jc w:val="right"/>
              <w:ind w:right="696"/>
              <w:spacing w:after="0"/>
              <w:rPr>
                <w:sz w:val="20"/>
                <w:szCs w:val="20"/>
                <w:color w:val="auto"/>
              </w:rPr>
            </w:pPr>
            <w:r>
              <w:rPr>
                <w:rFonts w:ascii="Arial" w:cs="Arial" w:eastAsia="Arial" w:hAnsi="Arial"/>
                <w:sz w:val="18"/>
                <w:szCs w:val="18"/>
                <w:color w:val="auto"/>
              </w:rPr>
              <w:t>$</w:t>
            </w:r>
          </w:p>
        </w:tc>
        <w:tc>
          <w:tcPr>
            <w:tcW w:w="58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97"/>
              </w:rPr>
              <w:t>1,869</w:t>
            </w:r>
          </w:p>
        </w:tc>
        <w:tc>
          <w:tcPr>
            <w:tcW w:w="46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112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1,843</w:t>
            </w:r>
          </w:p>
        </w:tc>
        <w:tc>
          <w:tcPr>
            <w:tcW w:w="120" w:type="dxa"/>
            <w:vAlign w:val="bottom"/>
            <w:shd w:val="clear" w:color="auto" w:fill="CCEEFF"/>
          </w:tcPr>
          <w:p>
            <w:pPr>
              <w:spacing w:after="0"/>
              <w:rPr>
                <w:sz w:val="22"/>
                <w:szCs w:val="22"/>
                <w:color w:val="auto"/>
              </w:rPr>
            </w:pPr>
          </w:p>
        </w:tc>
        <w:tc>
          <w:tcPr>
            <w:tcW w:w="380" w:type="dxa"/>
            <w:vAlign w:val="bottom"/>
            <w:shd w:val="clear" w:color="auto" w:fill="CCEEFF"/>
          </w:tcPr>
          <w:p>
            <w:pPr>
              <w:jc w:val="right"/>
              <w:ind w:right="170"/>
              <w:spacing w:after="0"/>
              <w:rPr>
                <w:sz w:val="20"/>
                <w:szCs w:val="20"/>
                <w:color w:val="auto"/>
              </w:rPr>
            </w:pPr>
            <w:r>
              <w:rPr>
                <w:rFonts w:ascii="Arial" w:cs="Arial" w:eastAsia="Arial" w:hAnsi="Arial"/>
                <w:sz w:val="18"/>
                <w:szCs w:val="18"/>
                <w:color w:val="auto"/>
                <w:w w:val="99"/>
              </w:rPr>
              <w:t>$</w:t>
            </w:r>
          </w:p>
        </w:tc>
        <w:tc>
          <w:tcPr>
            <w:tcW w:w="122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1,382</w:t>
            </w:r>
          </w:p>
        </w:tc>
      </w:tr>
      <w:tr>
        <w:trPr>
          <w:trHeight w:val="263"/>
        </w:trPr>
        <w:tc>
          <w:tcPr>
            <w:tcW w:w="6620" w:type="dxa"/>
            <w:vAlign w:val="bottom"/>
          </w:tcPr>
          <w:p>
            <w:pPr>
              <w:ind w:left="40"/>
              <w:spacing w:after="0"/>
              <w:rPr>
                <w:sz w:val="20"/>
                <w:szCs w:val="20"/>
                <w:color w:val="auto"/>
              </w:rPr>
            </w:pPr>
            <w:r>
              <w:rPr>
                <w:rFonts w:ascii="Arial" w:cs="Arial" w:eastAsia="Arial" w:hAnsi="Arial"/>
                <w:sz w:val="18"/>
                <w:szCs w:val="18"/>
                <w:color w:val="auto"/>
              </w:rPr>
              <w:t>Salaries, wages and benefits</w:t>
            </w:r>
          </w:p>
        </w:tc>
        <w:tc>
          <w:tcPr>
            <w:tcW w:w="920" w:type="dxa"/>
            <w:vAlign w:val="bottom"/>
          </w:tcPr>
          <w:p>
            <w:pPr>
              <w:spacing w:after="0"/>
              <w:rPr>
                <w:sz w:val="22"/>
                <w:szCs w:val="22"/>
                <w:color w:val="auto"/>
              </w:rPr>
            </w:pPr>
          </w:p>
        </w:tc>
        <w:tc>
          <w:tcPr>
            <w:tcW w:w="580" w:type="dxa"/>
            <w:vAlign w:val="bottom"/>
          </w:tcPr>
          <w:p>
            <w:pPr>
              <w:jc w:val="right"/>
              <w:ind w:right="30"/>
              <w:spacing w:after="0"/>
              <w:rPr>
                <w:sz w:val="20"/>
                <w:szCs w:val="20"/>
                <w:color w:val="auto"/>
              </w:rPr>
            </w:pPr>
            <w:r>
              <w:rPr>
                <w:rFonts w:ascii="Arial" w:cs="Arial" w:eastAsia="Arial" w:hAnsi="Arial"/>
                <w:sz w:val="18"/>
                <w:szCs w:val="18"/>
                <w:color w:val="auto"/>
              </w:rPr>
              <w:t>325</w:t>
            </w:r>
          </w:p>
        </w:tc>
        <w:tc>
          <w:tcPr>
            <w:tcW w:w="10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1120" w:type="dxa"/>
            <w:vAlign w:val="bottom"/>
          </w:tcPr>
          <w:p>
            <w:pPr>
              <w:jc w:val="right"/>
              <w:ind w:right="11"/>
              <w:spacing w:after="0"/>
              <w:rPr>
                <w:sz w:val="20"/>
                <w:szCs w:val="20"/>
                <w:color w:val="auto"/>
              </w:rPr>
            </w:pPr>
            <w:r>
              <w:rPr>
                <w:rFonts w:ascii="Arial" w:cs="Arial" w:eastAsia="Arial" w:hAnsi="Arial"/>
                <w:sz w:val="18"/>
                <w:szCs w:val="18"/>
                <w:color w:val="auto"/>
              </w:rPr>
              <w:t>338</w:t>
            </w:r>
          </w:p>
        </w:tc>
        <w:tc>
          <w:tcPr>
            <w:tcW w:w="120" w:type="dxa"/>
            <w:vAlign w:val="bottom"/>
          </w:tcPr>
          <w:p>
            <w:pPr>
              <w:spacing w:after="0"/>
              <w:rPr>
                <w:sz w:val="22"/>
                <w:szCs w:val="22"/>
                <w:color w:val="auto"/>
              </w:rPr>
            </w:pPr>
          </w:p>
        </w:tc>
        <w:tc>
          <w:tcPr>
            <w:tcW w:w="380" w:type="dxa"/>
            <w:vAlign w:val="bottom"/>
          </w:tcPr>
          <w:p>
            <w:pPr>
              <w:spacing w:after="0"/>
              <w:rPr>
                <w:sz w:val="22"/>
                <w:szCs w:val="22"/>
                <w:color w:val="auto"/>
              </w:rPr>
            </w:pPr>
          </w:p>
        </w:tc>
        <w:tc>
          <w:tcPr>
            <w:tcW w:w="1220" w:type="dxa"/>
            <w:vAlign w:val="bottom"/>
          </w:tcPr>
          <w:p>
            <w:pPr>
              <w:jc w:val="right"/>
              <w:ind w:right="11"/>
              <w:spacing w:after="0"/>
              <w:rPr>
                <w:sz w:val="20"/>
                <w:szCs w:val="20"/>
                <w:color w:val="auto"/>
              </w:rPr>
            </w:pPr>
            <w:r>
              <w:rPr>
                <w:rFonts w:ascii="Arial" w:cs="Arial" w:eastAsia="Arial" w:hAnsi="Arial"/>
                <w:sz w:val="18"/>
                <w:szCs w:val="18"/>
                <w:color w:val="auto"/>
              </w:rPr>
              <w:t>356</w:t>
            </w:r>
          </w:p>
        </w:tc>
      </w:tr>
      <w:tr>
        <w:trPr>
          <w:trHeight w:val="277"/>
        </w:trPr>
        <w:tc>
          <w:tcPr>
            <w:tcW w:w="6620" w:type="dxa"/>
            <w:vAlign w:val="bottom"/>
            <w:shd w:val="clear" w:color="auto" w:fill="CCEEFF"/>
          </w:tcPr>
          <w:p>
            <w:pPr>
              <w:ind w:left="40"/>
              <w:spacing w:after="0"/>
              <w:rPr>
                <w:sz w:val="20"/>
                <w:szCs w:val="20"/>
                <w:color w:val="auto"/>
              </w:rPr>
            </w:pPr>
            <w:r>
              <w:rPr>
                <w:rFonts w:ascii="Arial" w:cs="Arial" w:eastAsia="Arial" w:hAnsi="Arial"/>
                <w:sz w:val="18"/>
                <w:szCs w:val="18"/>
                <w:color w:val="auto"/>
              </w:rPr>
              <w:t xml:space="preserve">Capacity purchases from third-party regional carriers </w:t>
            </w:r>
            <w:r>
              <w:rPr>
                <w:rFonts w:ascii="Arial" w:cs="Arial" w:eastAsia="Arial" w:hAnsi="Arial"/>
                <w:sz w:val="21"/>
                <w:szCs w:val="21"/>
                <w:color w:val="auto"/>
                <w:vertAlign w:val="superscript"/>
              </w:rPr>
              <w:t>(1)</w:t>
            </w:r>
          </w:p>
        </w:tc>
        <w:tc>
          <w:tcPr>
            <w:tcW w:w="920" w:type="dxa"/>
            <w:vAlign w:val="bottom"/>
            <w:shd w:val="clear" w:color="auto" w:fill="CCEEFF"/>
          </w:tcPr>
          <w:p>
            <w:pPr>
              <w:spacing w:after="0"/>
              <w:rPr>
                <w:sz w:val="24"/>
                <w:szCs w:val="24"/>
                <w:color w:val="auto"/>
              </w:rPr>
            </w:pPr>
          </w:p>
        </w:tc>
        <w:tc>
          <w:tcPr>
            <w:tcW w:w="58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97"/>
              </w:rPr>
              <w:t>3,562</w:t>
            </w:r>
          </w:p>
        </w:tc>
        <w:tc>
          <w:tcPr>
            <w:tcW w:w="100" w:type="dxa"/>
            <w:vAlign w:val="bottom"/>
            <w:shd w:val="clear" w:color="auto" w:fill="CCEEFF"/>
          </w:tcPr>
          <w:p>
            <w:pPr>
              <w:spacing w:after="0"/>
              <w:rPr>
                <w:sz w:val="24"/>
                <w:szCs w:val="24"/>
                <w:color w:val="auto"/>
              </w:rPr>
            </w:pPr>
          </w:p>
        </w:tc>
        <w:tc>
          <w:tcPr>
            <w:tcW w:w="360" w:type="dxa"/>
            <w:vAlign w:val="bottom"/>
            <w:shd w:val="clear" w:color="auto" w:fill="CCEEFF"/>
          </w:tcPr>
          <w:p>
            <w:pPr>
              <w:spacing w:after="0"/>
              <w:rPr>
                <w:sz w:val="24"/>
                <w:szCs w:val="24"/>
                <w:color w:val="auto"/>
              </w:rPr>
            </w:pPr>
          </w:p>
        </w:tc>
        <w:tc>
          <w:tcPr>
            <w:tcW w:w="112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3,267</w:t>
            </w:r>
          </w:p>
        </w:tc>
        <w:tc>
          <w:tcPr>
            <w:tcW w:w="120" w:type="dxa"/>
            <w:vAlign w:val="bottom"/>
            <w:shd w:val="clear" w:color="auto" w:fill="CCEEFF"/>
          </w:tcPr>
          <w:p>
            <w:pPr>
              <w:spacing w:after="0"/>
              <w:rPr>
                <w:sz w:val="24"/>
                <w:szCs w:val="24"/>
                <w:color w:val="auto"/>
              </w:rPr>
            </w:pPr>
          </w:p>
        </w:tc>
        <w:tc>
          <w:tcPr>
            <w:tcW w:w="380" w:type="dxa"/>
            <w:vAlign w:val="bottom"/>
            <w:shd w:val="clear" w:color="auto" w:fill="CCEEFF"/>
          </w:tcPr>
          <w:p>
            <w:pPr>
              <w:spacing w:after="0"/>
              <w:rPr>
                <w:sz w:val="24"/>
                <w:szCs w:val="24"/>
                <w:color w:val="auto"/>
              </w:rPr>
            </w:pPr>
          </w:p>
        </w:tc>
        <w:tc>
          <w:tcPr>
            <w:tcW w:w="122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3,283</w:t>
            </w:r>
          </w:p>
        </w:tc>
      </w:tr>
      <w:tr>
        <w:trPr>
          <w:trHeight w:val="263"/>
        </w:trPr>
        <w:tc>
          <w:tcPr>
            <w:tcW w:w="6620" w:type="dxa"/>
            <w:vAlign w:val="bottom"/>
          </w:tcPr>
          <w:p>
            <w:pPr>
              <w:ind w:left="40"/>
              <w:spacing w:after="0"/>
              <w:rPr>
                <w:sz w:val="20"/>
                <w:szCs w:val="20"/>
                <w:color w:val="auto"/>
              </w:rPr>
            </w:pPr>
            <w:r>
              <w:rPr>
                <w:rFonts w:ascii="Arial" w:cs="Arial" w:eastAsia="Arial" w:hAnsi="Arial"/>
                <w:sz w:val="18"/>
                <w:szCs w:val="18"/>
                <w:color w:val="auto"/>
              </w:rPr>
              <w:t>Maintenance, materials and repairs</w:t>
            </w:r>
          </w:p>
        </w:tc>
        <w:tc>
          <w:tcPr>
            <w:tcW w:w="920" w:type="dxa"/>
            <w:vAlign w:val="bottom"/>
          </w:tcPr>
          <w:p>
            <w:pPr>
              <w:spacing w:after="0"/>
              <w:rPr>
                <w:sz w:val="22"/>
                <w:szCs w:val="22"/>
                <w:color w:val="auto"/>
              </w:rPr>
            </w:pPr>
          </w:p>
        </w:tc>
        <w:tc>
          <w:tcPr>
            <w:tcW w:w="580" w:type="dxa"/>
            <w:vAlign w:val="bottom"/>
          </w:tcPr>
          <w:p>
            <w:pPr>
              <w:jc w:val="right"/>
              <w:ind w:right="30"/>
              <w:spacing w:after="0"/>
              <w:rPr>
                <w:sz w:val="20"/>
                <w:szCs w:val="20"/>
                <w:color w:val="auto"/>
              </w:rPr>
            </w:pPr>
            <w:r>
              <w:rPr>
                <w:rFonts w:ascii="Arial" w:cs="Arial" w:eastAsia="Arial" w:hAnsi="Arial"/>
                <w:sz w:val="18"/>
                <w:szCs w:val="18"/>
                <w:color w:val="auto"/>
              </w:rPr>
              <w:t>30</w:t>
            </w:r>
          </w:p>
        </w:tc>
        <w:tc>
          <w:tcPr>
            <w:tcW w:w="10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1120" w:type="dxa"/>
            <w:vAlign w:val="bottom"/>
          </w:tcPr>
          <w:p>
            <w:pPr>
              <w:jc w:val="right"/>
              <w:ind w:right="11"/>
              <w:spacing w:after="0"/>
              <w:rPr>
                <w:sz w:val="20"/>
                <w:szCs w:val="20"/>
                <w:color w:val="auto"/>
              </w:rPr>
            </w:pPr>
            <w:r>
              <w:rPr>
                <w:rFonts w:ascii="Arial" w:cs="Arial" w:eastAsia="Arial" w:hAnsi="Arial"/>
                <w:sz w:val="18"/>
                <w:szCs w:val="18"/>
                <w:color w:val="auto"/>
              </w:rPr>
              <w:t>8</w:t>
            </w:r>
          </w:p>
        </w:tc>
        <w:tc>
          <w:tcPr>
            <w:tcW w:w="120" w:type="dxa"/>
            <w:vAlign w:val="bottom"/>
          </w:tcPr>
          <w:p>
            <w:pPr>
              <w:spacing w:after="0"/>
              <w:rPr>
                <w:sz w:val="22"/>
                <w:szCs w:val="22"/>
                <w:color w:val="auto"/>
              </w:rPr>
            </w:pPr>
          </w:p>
        </w:tc>
        <w:tc>
          <w:tcPr>
            <w:tcW w:w="380" w:type="dxa"/>
            <w:vAlign w:val="bottom"/>
          </w:tcPr>
          <w:p>
            <w:pPr>
              <w:spacing w:after="0"/>
              <w:rPr>
                <w:sz w:val="22"/>
                <w:szCs w:val="22"/>
                <w:color w:val="auto"/>
              </w:rPr>
            </w:pPr>
          </w:p>
        </w:tc>
        <w:tc>
          <w:tcPr>
            <w:tcW w:w="1220" w:type="dxa"/>
            <w:vAlign w:val="bottom"/>
          </w:tcPr>
          <w:p>
            <w:pPr>
              <w:jc w:val="right"/>
              <w:ind w:right="11"/>
              <w:spacing w:after="0"/>
              <w:rPr>
                <w:sz w:val="20"/>
                <w:szCs w:val="20"/>
                <w:color w:val="auto"/>
              </w:rPr>
            </w:pPr>
            <w:r>
              <w:rPr>
                <w:rFonts w:ascii="Arial" w:cs="Arial" w:eastAsia="Arial" w:hAnsi="Arial"/>
                <w:sz w:val="18"/>
                <w:szCs w:val="18"/>
                <w:color w:val="auto"/>
              </w:rPr>
              <w:t>7</w:t>
            </w:r>
          </w:p>
        </w:tc>
      </w:tr>
      <w:tr>
        <w:trPr>
          <w:trHeight w:val="277"/>
        </w:trPr>
        <w:tc>
          <w:tcPr>
            <w:tcW w:w="6620" w:type="dxa"/>
            <w:vAlign w:val="bottom"/>
            <w:shd w:val="clear" w:color="auto" w:fill="CCEEFF"/>
          </w:tcPr>
          <w:p>
            <w:pPr>
              <w:ind w:left="40"/>
              <w:spacing w:after="0"/>
              <w:rPr>
                <w:sz w:val="20"/>
                <w:szCs w:val="20"/>
                <w:color w:val="auto"/>
              </w:rPr>
            </w:pPr>
            <w:r>
              <w:rPr>
                <w:rFonts w:ascii="Arial" w:cs="Arial" w:eastAsia="Arial" w:hAnsi="Arial"/>
                <w:sz w:val="18"/>
                <w:szCs w:val="18"/>
                <w:color w:val="auto"/>
              </w:rPr>
              <w:t>Other rent and landing fees</w:t>
            </w:r>
          </w:p>
        </w:tc>
        <w:tc>
          <w:tcPr>
            <w:tcW w:w="920" w:type="dxa"/>
            <w:vAlign w:val="bottom"/>
            <w:shd w:val="clear" w:color="auto" w:fill="CCEEFF"/>
          </w:tcPr>
          <w:p>
            <w:pPr>
              <w:spacing w:after="0"/>
              <w:rPr>
                <w:sz w:val="24"/>
                <w:szCs w:val="24"/>
                <w:color w:val="auto"/>
              </w:rPr>
            </w:pPr>
          </w:p>
        </w:tc>
        <w:tc>
          <w:tcPr>
            <w:tcW w:w="58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621</w:t>
            </w:r>
          </w:p>
        </w:tc>
        <w:tc>
          <w:tcPr>
            <w:tcW w:w="100" w:type="dxa"/>
            <w:vAlign w:val="bottom"/>
            <w:shd w:val="clear" w:color="auto" w:fill="CCEEFF"/>
          </w:tcPr>
          <w:p>
            <w:pPr>
              <w:spacing w:after="0"/>
              <w:rPr>
                <w:sz w:val="24"/>
                <w:szCs w:val="24"/>
                <w:color w:val="auto"/>
              </w:rPr>
            </w:pPr>
          </w:p>
        </w:tc>
        <w:tc>
          <w:tcPr>
            <w:tcW w:w="360" w:type="dxa"/>
            <w:vAlign w:val="bottom"/>
            <w:shd w:val="clear" w:color="auto" w:fill="CCEEFF"/>
          </w:tcPr>
          <w:p>
            <w:pPr>
              <w:spacing w:after="0"/>
              <w:rPr>
                <w:sz w:val="24"/>
                <w:szCs w:val="24"/>
                <w:color w:val="auto"/>
              </w:rPr>
            </w:pPr>
          </w:p>
        </w:tc>
        <w:tc>
          <w:tcPr>
            <w:tcW w:w="112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583</w:t>
            </w:r>
          </w:p>
        </w:tc>
        <w:tc>
          <w:tcPr>
            <w:tcW w:w="120" w:type="dxa"/>
            <w:vAlign w:val="bottom"/>
            <w:shd w:val="clear" w:color="auto" w:fill="CCEEFF"/>
          </w:tcPr>
          <w:p>
            <w:pPr>
              <w:spacing w:after="0"/>
              <w:rPr>
                <w:sz w:val="24"/>
                <w:szCs w:val="24"/>
                <w:color w:val="auto"/>
              </w:rPr>
            </w:pPr>
          </w:p>
        </w:tc>
        <w:tc>
          <w:tcPr>
            <w:tcW w:w="380" w:type="dxa"/>
            <w:vAlign w:val="bottom"/>
            <w:shd w:val="clear" w:color="auto" w:fill="CCEEFF"/>
          </w:tcPr>
          <w:p>
            <w:pPr>
              <w:spacing w:after="0"/>
              <w:rPr>
                <w:sz w:val="24"/>
                <w:szCs w:val="24"/>
                <w:color w:val="auto"/>
              </w:rPr>
            </w:pPr>
          </w:p>
        </w:tc>
        <w:tc>
          <w:tcPr>
            <w:tcW w:w="122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602</w:t>
            </w:r>
          </w:p>
        </w:tc>
      </w:tr>
      <w:tr>
        <w:trPr>
          <w:trHeight w:val="263"/>
        </w:trPr>
        <w:tc>
          <w:tcPr>
            <w:tcW w:w="6620" w:type="dxa"/>
            <w:vAlign w:val="bottom"/>
          </w:tcPr>
          <w:p>
            <w:pPr>
              <w:ind w:left="40"/>
              <w:spacing w:after="0"/>
              <w:rPr>
                <w:sz w:val="20"/>
                <w:szCs w:val="20"/>
                <w:color w:val="auto"/>
              </w:rPr>
            </w:pPr>
            <w:r>
              <w:rPr>
                <w:rFonts w:ascii="Arial" w:cs="Arial" w:eastAsia="Arial" w:hAnsi="Arial"/>
                <w:sz w:val="18"/>
                <w:szCs w:val="18"/>
                <w:color w:val="auto"/>
              </w:rPr>
              <w:t>Aircraft rent</w:t>
            </w:r>
          </w:p>
        </w:tc>
        <w:tc>
          <w:tcPr>
            <w:tcW w:w="920" w:type="dxa"/>
            <w:vAlign w:val="bottom"/>
          </w:tcPr>
          <w:p>
            <w:pPr>
              <w:spacing w:after="0"/>
              <w:rPr>
                <w:sz w:val="22"/>
                <w:szCs w:val="22"/>
                <w:color w:val="auto"/>
              </w:rPr>
            </w:pPr>
          </w:p>
        </w:tc>
        <w:tc>
          <w:tcPr>
            <w:tcW w:w="580" w:type="dxa"/>
            <w:vAlign w:val="bottom"/>
          </w:tcPr>
          <w:p>
            <w:pPr>
              <w:jc w:val="right"/>
              <w:ind w:right="30"/>
              <w:spacing w:after="0"/>
              <w:rPr>
                <w:sz w:val="20"/>
                <w:szCs w:val="20"/>
                <w:color w:val="auto"/>
              </w:rPr>
            </w:pPr>
            <w:r>
              <w:rPr>
                <w:rFonts w:ascii="Arial" w:cs="Arial" w:eastAsia="Arial" w:hAnsi="Arial"/>
                <w:sz w:val="18"/>
                <w:szCs w:val="18"/>
                <w:color w:val="auto"/>
              </w:rPr>
              <w:t>29</w:t>
            </w:r>
          </w:p>
        </w:tc>
        <w:tc>
          <w:tcPr>
            <w:tcW w:w="10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1120" w:type="dxa"/>
            <w:vAlign w:val="bottom"/>
          </w:tcPr>
          <w:p>
            <w:pPr>
              <w:jc w:val="right"/>
              <w:ind w:right="11"/>
              <w:spacing w:after="0"/>
              <w:rPr>
                <w:sz w:val="20"/>
                <w:szCs w:val="20"/>
                <w:color w:val="auto"/>
              </w:rPr>
            </w:pPr>
            <w:r>
              <w:rPr>
                <w:rFonts w:ascii="Arial" w:cs="Arial" w:eastAsia="Arial" w:hAnsi="Arial"/>
                <w:sz w:val="18"/>
                <w:szCs w:val="18"/>
                <w:color w:val="auto"/>
              </w:rPr>
              <w:t>27</w:t>
            </w:r>
          </w:p>
        </w:tc>
        <w:tc>
          <w:tcPr>
            <w:tcW w:w="120" w:type="dxa"/>
            <w:vAlign w:val="bottom"/>
          </w:tcPr>
          <w:p>
            <w:pPr>
              <w:spacing w:after="0"/>
              <w:rPr>
                <w:sz w:val="22"/>
                <w:szCs w:val="22"/>
                <w:color w:val="auto"/>
              </w:rPr>
            </w:pPr>
          </w:p>
        </w:tc>
        <w:tc>
          <w:tcPr>
            <w:tcW w:w="380" w:type="dxa"/>
            <w:vAlign w:val="bottom"/>
          </w:tcPr>
          <w:p>
            <w:pPr>
              <w:spacing w:after="0"/>
              <w:rPr>
                <w:sz w:val="22"/>
                <w:szCs w:val="22"/>
                <w:color w:val="auto"/>
              </w:rPr>
            </w:pPr>
          </w:p>
        </w:tc>
        <w:tc>
          <w:tcPr>
            <w:tcW w:w="1220" w:type="dxa"/>
            <w:vAlign w:val="bottom"/>
          </w:tcPr>
          <w:p>
            <w:pPr>
              <w:jc w:val="right"/>
              <w:ind w:right="11"/>
              <w:spacing w:after="0"/>
              <w:rPr>
                <w:sz w:val="20"/>
                <w:szCs w:val="20"/>
                <w:color w:val="auto"/>
              </w:rPr>
            </w:pPr>
            <w:r>
              <w:rPr>
                <w:rFonts w:ascii="Arial" w:cs="Arial" w:eastAsia="Arial" w:hAnsi="Arial"/>
                <w:sz w:val="18"/>
                <w:szCs w:val="18"/>
                <w:color w:val="auto"/>
              </w:rPr>
              <w:t>27</w:t>
            </w:r>
          </w:p>
        </w:tc>
      </w:tr>
      <w:tr>
        <w:trPr>
          <w:trHeight w:val="277"/>
        </w:trPr>
        <w:tc>
          <w:tcPr>
            <w:tcW w:w="6620" w:type="dxa"/>
            <w:vAlign w:val="bottom"/>
            <w:shd w:val="clear" w:color="auto" w:fill="CCEEFF"/>
          </w:tcPr>
          <w:p>
            <w:pPr>
              <w:ind w:left="40"/>
              <w:spacing w:after="0"/>
              <w:rPr>
                <w:sz w:val="20"/>
                <w:szCs w:val="20"/>
                <w:color w:val="auto"/>
              </w:rPr>
            </w:pPr>
            <w:r>
              <w:rPr>
                <w:rFonts w:ascii="Arial" w:cs="Arial" w:eastAsia="Arial" w:hAnsi="Arial"/>
                <w:sz w:val="18"/>
                <w:szCs w:val="18"/>
                <w:color w:val="auto"/>
              </w:rPr>
              <w:t>Selling expenses</w:t>
            </w:r>
          </w:p>
        </w:tc>
        <w:tc>
          <w:tcPr>
            <w:tcW w:w="920" w:type="dxa"/>
            <w:vAlign w:val="bottom"/>
            <w:shd w:val="clear" w:color="auto" w:fill="CCEEFF"/>
          </w:tcPr>
          <w:p>
            <w:pPr>
              <w:spacing w:after="0"/>
              <w:rPr>
                <w:sz w:val="24"/>
                <w:szCs w:val="24"/>
                <w:color w:val="auto"/>
              </w:rPr>
            </w:pPr>
          </w:p>
        </w:tc>
        <w:tc>
          <w:tcPr>
            <w:tcW w:w="58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402</w:t>
            </w:r>
          </w:p>
        </w:tc>
        <w:tc>
          <w:tcPr>
            <w:tcW w:w="100" w:type="dxa"/>
            <w:vAlign w:val="bottom"/>
            <w:shd w:val="clear" w:color="auto" w:fill="CCEEFF"/>
          </w:tcPr>
          <w:p>
            <w:pPr>
              <w:spacing w:after="0"/>
              <w:rPr>
                <w:sz w:val="24"/>
                <w:szCs w:val="24"/>
                <w:color w:val="auto"/>
              </w:rPr>
            </w:pPr>
          </w:p>
        </w:tc>
        <w:tc>
          <w:tcPr>
            <w:tcW w:w="360" w:type="dxa"/>
            <w:vAlign w:val="bottom"/>
            <w:shd w:val="clear" w:color="auto" w:fill="CCEEFF"/>
          </w:tcPr>
          <w:p>
            <w:pPr>
              <w:spacing w:after="0"/>
              <w:rPr>
                <w:sz w:val="24"/>
                <w:szCs w:val="24"/>
                <w:color w:val="auto"/>
              </w:rPr>
            </w:pPr>
          </w:p>
        </w:tc>
        <w:tc>
          <w:tcPr>
            <w:tcW w:w="112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369</w:t>
            </w:r>
          </w:p>
        </w:tc>
        <w:tc>
          <w:tcPr>
            <w:tcW w:w="120" w:type="dxa"/>
            <w:vAlign w:val="bottom"/>
            <w:shd w:val="clear" w:color="auto" w:fill="CCEEFF"/>
          </w:tcPr>
          <w:p>
            <w:pPr>
              <w:spacing w:after="0"/>
              <w:rPr>
                <w:sz w:val="24"/>
                <w:szCs w:val="24"/>
                <w:color w:val="auto"/>
              </w:rPr>
            </w:pPr>
          </w:p>
        </w:tc>
        <w:tc>
          <w:tcPr>
            <w:tcW w:w="380" w:type="dxa"/>
            <w:vAlign w:val="bottom"/>
            <w:shd w:val="clear" w:color="auto" w:fill="CCEEFF"/>
          </w:tcPr>
          <w:p>
            <w:pPr>
              <w:spacing w:after="0"/>
              <w:rPr>
                <w:sz w:val="24"/>
                <w:szCs w:val="24"/>
                <w:color w:val="auto"/>
              </w:rPr>
            </w:pPr>
          </w:p>
        </w:tc>
        <w:tc>
          <w:tcPr>
            <w:tcW w:w="122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361</w:t>
            </w:r>
          </w:p>
        </w:tc>
      </w:tr>
      <w:tr>
        <w:trPr>
          <w:trHeight w:val="263"/>
        </w:trPr>
        <w:tc>
          <w:tcPr>
            <w:tcW w:w="6620" w:type="dxa"/>
            <w:vAlign w:val="bottom"/>
          </w:tcPr>
          <w:p>
            <w:pPr>
              <w:ind w:left="40"/>
              <w:spacing w:after="0"/>
              <w:rPr>
                <w:sz w:val="20"/>
                <w:szCs w:val="20"/>
                <w:color w:val="auto"/>
              </w:rPr>
            </w:pPr>
            <w:r>
              <w:rPr>
                <w:rFonts w:ascii="Arial" w:cs="Arial" w:eastAsia="Arial" w:hAnsi="Arial"/>
                <w:sz w:val="18"/>
                <w:szCs w:val="18"/>
                <w:color w:val="auto"/>
              </w:rPr>
              <w:t>Depreciation and amortization</w:t>
            </w:r>
          </w:p>
        </w:tc>
        <w:tc>
          <w:tcPr>
            <w:tcW w:w="920" w:type="dxa"/>
            <w:vAlign w:val="bottom"/>
          </w:tcPr>
          <w:p>
            <w:pPr>
              <w:spacing w:after="0"/>
              <w:rPr>
                <w:sz w:val="22"/>
                <w:szCs w:val="22"/>
                <w:color w:val="auto"/>
              </w:rPr>
            </w:pPr>
          </w:p>
        </w:tc>
        <w:tc>
          <w:tcPr>
            <w:tcW w:w="580" w:type="dxa"/>
            <w:vAlign w:val="bottom"/>
          </w:tcPr>
          <w:p>
            <w:pPr>
              <w:jc w:val="right"/>
              <w:ind w:right="30"/>
              <w:spacing w:after="0"/>
              <w:rPr>
                <w:sz w:val="20"/>
                <w:szCs w:val="20"/>
                <w:color w:val="auto"/>
              </w:rPr>
            </w:pPr>
            <w:r>
              <w:rPr>
                <w:rFonts w:ascii="Arial" w:cs="Arial" w:eastAsia="Arial" w:hAnsi="Arial"/>
                <w:sz w:val="18"/>
                <w:szCs w:val="18"/>
                <w:color w:val="auto"/>
              </w:rPr>
              <w:t>286</w:t>
            </w:r>
          </w:p>
        </w:tc>
        <w:tc>
          <w:tcPr>
            <w:tcW w:w="10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1120" w:type="dxa"/>
            <w:vAlign w:val="bottom"/>
          </w:tcPr>
          <w:p>
            <w:pPr>
              <w:jc w:val="right"/>
              <w:ind w:right="11"/>
              <w:spacing w:after="0"/>
              <w:rPr>
                <w:sz w:val="20"/>
                <w:szCs w:val="20"/>
                <w:color w:val="auto"/>
              </w:rPr>
            </w:pPr>
            <w:r>
              <w:rPr>
                <w:rFonts w:ascii="Arial" w:cs="Arial" w:eastAsia="Arial" w:hAnsi="Arial"/>
                <w:sz w:val="18"/>
                <w:szCs w:val="18"/>
                <w:color w:val="auto"/>
              </w:rPr>
              <w:t>267</w:t>
            </w:r>
          </w:p>
        </w:tc>
        <w:tc>
          <w:tcPr>
            <w:tcW w:w="120" w:type="dxa"/>
            <w:vAlign w:val="bottom"/>
          </w:tcPr>
          <w:p>
            <w:pPr>
              <w:spacing w:after="0"/>
              <w:rPr>
                <w:sz w:val="22"/>
                <w:szCs w:val="22"/>
                <w:color w:val="auto"/>
              </w:rPr>
            </w:pPr>
          </w:p>
        </w:tc>
        <w:tc>
          <w:tcPr>
            <w:tcW w:w="380" w:type="dxa"/>
            <w:vAlign w:val="bottom"/>
          </w:tcPr>
          <w:p>
            <w:pPr>
              <w:spacing w:after="0"/>
              <w:rPr>
                <w:sz w:val="22"/>
                <w:szCs w:val="22"/>
                <w:color w:val="auto"/>
              </w:rPr>
            </w:pPr>
          </w:p>
        </w:tc>
        <w:tc>
          <w:tcPr>
            <w:tcW w:w="1220" w:type="dxa"/>
            <w:vAlign w:val="bottom"/>
          </w:tcPr>
          <w:p>
            <w:pPr>
              <w:jc w:val="right"/>
              <w:ind w:right="11"/>
              <w:spacing w:after="0"/>
              <w:rPr>
                <w:sz w:val="20"/>
                <w:szCs w:val="20"/>
                <w:color w:val="auto"/>
              </w:rPr>
            </w:pPr>
            <w:r>
              <w:rPr>
                <w:rFonts w:ascii="Arial" w:cs="Arial" w:eastAsia="Arial" w:hAnsi="Arial"/>
                <w:sz w:val="18"/>
                <w:szCs w:val="18"/>
                <w:color w:val="auto"/>
              </w:rPr>
              <w:t>262</w:t>
            </w:r>
          </w:p>
        </w:tc>
      </w:tr>
      <w:tr>
        <w:trPr>
          <w:trHeight w:val="277"/>
        </w:trPr>
        <w:tc>
          <w:tcPr>
            <w:tcW w:w="6620" w:type="dxa"/>
            <w:vAlign w:val="bottom"/>
            <w:shd w:val="clear" w:color="auto" w:fill="CCEEFF"/>
          </w:tcPr>
          <w:p>
            <w:pPr>
              <w:ind w:left="40"/>
              <w:spacing w:after="0"/>
              <w:rPr>
                <w:sz w:val="20"/>
                <w:szCs w:val="20"/>
                <w:color w:val="auto"/>
              </w:rPr>
            </w:pPr>
            <w:r>
              <w:rPr>
                <w:rFonts w:ascii="Arial" w:cs="Arial" w:eastAsia="Arial" w:hAnsi="Arial"/>
                <w:sz w:val="18"/>
                <w:szCs w:val="18"/>
                <w:color w:val="auto"/>
              </w:rPr>
              <w:t>Special items, net</w:t>
            </w:r>
          </w:p>
        </w:tc>
        <w:tc>
          <w:tcPr>
            <w:tcW w:w="920" w:type="dxa"/>
            <w:vAlign w:val="bottom"/>
            <w:shd w:val="clear" w:color="auto" w:fill="CCEEFF"/>
          </w:tcPr>
          <w:p>
            <w:pPr>
              <w:spacing w:after="0"/>
              <w:rPr>
                <w:sz w:val="24"/>
                <w:szCs w:val="24"/>
                <w:color w:val="auto"/>
              </w:rPr>
            </w:pPr>
          </w:p>
        </w:tc>
        <w:tc>
          <w:tcPr>
            <w:tcW w:w="58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24"/>
                <w:szCs w:val="24"/>
                <w:color w:val="auto"/>
              </w:rPr>
            </w:pPr>
          </w:p>
        </w:tc>
        <w:tc>
          <w:tcPr>
            <w:tcW w:w="360" w:type="dxa"/>
            <w:vAlign w:val="bottom"/>
            <w:shd w:val="clear" w:color="auto" w:fill="CCEEFF"/>
          </w:tcPr>
          <w:p>
            <w:pPr>
              <w:spacing w:after="0"/>
              <w:rPr>
                <w:sz w:val="24"/>
                <w:szCs w:val="24"/>
                <w:color w:val="auto"/>
              </w:rPr>
            </w:pPr>
          </w:p>
        </w:tc>
        <w:tc>
          <w:tcPr>
            <w:tcW w:w="12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380" w:type="dxa"/>
            <w:vAlign w:val="bottom"/>
            <w:shd w:val="clear" w:color="auto" w:fill="CCEEFF"/>
          </w:tcPr>
          <w:p>
            <w:pPr>
              <w:spacing w:after="0"/>
              <w:rPr>
                <w:sz w:val="24"/>
                <w:szCs w:val="24"/>
                <w:color w:val="auto"/>
              </w:rPr>
            </w:pPr>
          </w:p>
        </w:tc>
        <w:tc>
          <w:tcPr>
            <w:tcW w:w="122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3</w:t>
            </w:r>
          </w:p>
        </w:tc>
      </w:tr>
      <w:tr>
        <w:trPr>
          <w:trHeight w:val="264"/>
        </w:trPr>
        <w:tc>
          <w:tcPr>
            <w:tcW w:w="6620" w:type="dxa"/>
            <w:vAlign w:val="bottom"/>
            <w:tcBorders>
              <w:bottom w:val="single" w:sz="8" w:color="CCEEFF"/>
            </w:tcBorders>
          </w:tcPr>
          <w:p>
            <w:pPr>
              <w:ind w:left="40"/>
              <w:spacing w:after="0"/>
              <w:rPr>
                <w:sz w:val="20"/>
                <w:szCs w:val="20"/>
                <w:color w:val="auto"/>
              </w:rPr>
            </w:pPr>
            <w:r>
              <w:rPr>
                <w:rFonts w:ascii="Arial" w:cs="Arial" w:eastAsia="Arial" w:hAnsi="Arial"/>
                <w:sz w:val="18"/>
                <w:szCs w:val="18"/>
                <w:color w:val="auto"/>
              </w:rPr>
              <w:t>Other</w:t>
            </w:r>
          </w:p>
        </w:tc>
        <w:tc>
          <w:tcPr>
            <w:tcW w:w="920" w:type="dxa"/>
            <w:vAlign w:val="bottom"/>
            <w:tcBorders>
              <w:bottom w:val="single" w:sz="8" w:color="auto"/>
            </w:tcBorders>
          </w:tcPr>
          <w:p>
            <w:pPr>
              <w:spacing w:after="0"/>
              <w:rPr>
                <w:sz w:val="22"/>
                <w:szCs w:val="22"/>
                <w:color w:val="auto"/>
              </w:rPr>
            </w:pPr>
          </w:p>
        </w:tc>
        <w:tc>
          <w:tcPr>
            <w:tcW w:w="58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394</w:t>
            </w:r>
          </w:p>
        </w:tc>
        <w:tc>
          <w:tcPr>
            <w:tcW w:w="100" w:type="dxa"/>
            <w:vAlign w:val="bottom"/>
            <w:tcBorders>
              <w:bottom w:val="single" w:sz="8" w:color="CCEEFF"/>
            </w:tcBorders>
          </w:tcPr>
          <w:p>
            <w:pPr>
              <w:spacing w:after="0"/>
              <w:rPr>
                <w:sz w:val="22"/>
                <w:szCs w:val="22"/>
                <w:color w:val="auto"/>
              </w:rPr>
            </w:pPr>
          </w:p>
        </w:tc>
        <w:tc>
          <w:tcPr>
            <w:tcW w:w="360" w:type="dxa"/>
            <w:vAlign w:val="bottom"/>
            <w:tcBorders>
              <w:bottom w:val="single" w:sz="8" w:color="auto"/>
            </w:tcBorders>
          </w:tcPr>
          <w:p>
            <w:pPr>
              <w:spacing w:after="0"/>
              <w:rPr>
                <w:sz w:val="22"/>
                <w:szCs w:val="22"/>
                <w:color w:val="auto"/>
              </w:rPr>
            </w:pPr>
          </w:p>
        </w:tc>
        <w:tc>
          <w:tcPr>
            <w:tcW w:w="1120" w:type="dxa"/>
            <w:vAlign w:val="bottom"/>
            <w:tcBorders>
              <w:bottom w:val="single" w:sz="8" w:color="auto"/>
            </w:tcBorders>
          </w:tcPr>
          <w:p>
            <w:pPr>
              <w:jc w:val="right"/>
              <w:ind w:right="11"/>
              <w:spacing w:after="0"/>
              <w:rPr>
                <w:sz w:val="20"/>
                <w:szCs w:val="20"/>
                <w:color w:val="auto"/>
              </w:rPr>
            </w:pPr>
            <w:r>
              <w:rPr>
                <w:rFonts w:ascii="Arial" w:cs="Arial" w:eastAsia="Arial" w:hAnsi="Arial"/>
                <w:sz w:val="18"/>
                <w:szCs w:val="18"/>
                <w:color w:val="auto"/>
              </w:rPr>
              <w:t>362</w:t>
            </w:r>
          </w:p>
        </w:tc>
        <w:tc>
          <w:tcPr>
            <w:tcW w:w="120" w:type="dxa"/>
            <w:vAlign w:val="bottom"/>
            <w:tcBorders>
              <w:bottom w:val="single" w:sz="8" w:color="CCEEFF"/>
            </w:tcBorders>
          </w:tcPr>
          <w:p>
            <w:pPr>
              <w:spacing w:after="0"/>
              <w:rPr>
                <w:sz w:val="22"/>
                <w:szCs w:val="22"/>
                <w:color w:val="auto"/>
              </w:rPr>
            </w:pPr>
          </w:p>
        </w:tc>
        <w:tc>
          <w:tcPr>
            <w:tcW w:w="380" w:type="dxa"/>
            <w:vAlign w:val="bottom"/>
            <w:tcBorders>
              <w:bottom w:val="single" w:sz="8" w:color="auto"/>
            </w:tcBorders>
          </w:tcPr>
          <w:p>
            <w:pPr>
              <w:spacing w:after="0"/>
              <w:rPr>
                <w:sz w:val="22"/>
                <w:szCs w:val="22"/>
                <w:color w:val="auto"/>
              </w:rPr>
            </w:pPr>
          </w:p>
        </w:tc>
        <w:tc>
          <w:tcPr>
            <w:tcW w:w="1220" w:type="dxa"/>
            <w:vAlign w:val="bottom"/>
            <w:tcBorders>
              <w:bottom w:val="single" w:sz="8" w:color="auto"/>
            </w:tcBorders>
          </w:tcPr>
          <w:p>
            <w:pPr>
              <w:jc w:val="right"/>
              <w:ind w:right="11"/>
              <w:spacing w:after="0"/>
              <w:rPr>
                <w:sz w:val="20"/>
                <w:szCs w:val="20"/>
                <w:color w:val="auto"/>
              </w:rPr>
            </w:pPr>
            <w:r>
              <w:rPr>
                <w:rFonts w:ascii="Arial" w:cs="Arial" w:eastAsia="Arial" w:hAnsi="Arial"/>
                <w:sz w:val="18"/>
                <w:szCs w:val="18"/>
                <w:color w:val="auto"/>
              </w:rPr>
              <w:t>289</w:t>
            </w:r>
          </w:p>
        </w:tc>
      </w:tr>
      <w:tr>
        <w:trPr>
          <w:trHeight w:val="250"/>
        </w:trPr>
        <w:tc>
          <w:tcPr>
            <w:tcW w:w="6620" w:type="dxa"/>
            <w:vAlign w:val="bottom"/>
            <w:shd w:val="clear" w:color="auto" w:fill="CCEEFF"/>
          </w:tcPr>
          <w:p>
            <w:pPr>
              <w:ind w:left="280"/>
              <w:spacing w:after="0"/>
              <w:rPr>
                <w:sz w:val="20"/>
                <w:szCs w:val="20"/>
                <w:color w:val="auto"/>
              </w:rPr>
            </w:pPr>
            <w:r>
              <w:rPr>
                <w:rFonts w:ascii="Arial" w:cs="Arial" w:eastAsia="Arial" w:hAnsi="Arial"/>
                <w:sz w:val="18"/>
                <w:szCs w:val="18"/>
                <w:color w:val="auto"/>
              </w:rPr>
              <w:t>Total regional expenses</w:t>
            </w:r>
          </w:p>
        </w:tc>
        <w:tc>
          <w:tcPr>
            <w:tcW w:w="920" w:type="dxa"/>
            <w:vAlign w:val="bottom"/>
            <w:shd w:val="clear" w:color="auto" w:fill="CCEEFF"/>
          </w:tcPr>
          <w:p>
            <w:pPr>
              <w:jc w:val="right"/>
              <w:ind w:right="696"/>
              <w:spacing w:after="0"/>
              <w:rPr>
                <w:sz w:val="20"/>
                <w:szCs w:val="20"/>
                <w:color w:val="auto"/>
              </w:rPr>
            </w:pPr>
            <w:r>
              <w:rPr>
                <w:rFonts w:ascii="Arial" w:cs="Arial" w:eastAsia="Arial" w:hAnsi="Arial"/>
                <w:sz w:val="18"/>
                <w:szCs w:val="18"/>
                <w:color w:val="auto"/>
              </w:rPr>
              <w:t>$</w:t>
            </w:r>
          </w:p>
        </w:tc>
        <w:tc>
          <w:tcPr>
            <w:tcW w:w="58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97"/>
              </w:rPr>
              <w:t>7,518</w:t>
            </w:r>
          </w:p>
        </w:tc>
        <w:tc>
          <w:tcPr>
            <w:tcW w:w="46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112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7,064</w:t>
            </w:r>
          </w:p>
        </w:tc>
        <w:tc>
          <w:tcPr>
            <w:tcW w:w="120" w:type="dxa"/>
            <w:vAlign w:val="bottom"/>
            <w:shd w:val="clear" w:color="auto" w:fill="CCEEFF"/>
          </w:tcPr>
          <w:p>
            <w:pPr>
              <w:spacing w:after="0"/>
              <w:rPr>
                <w:sz w:val="21"/>
                <w:szCs w:val="21"/>
                <w:color w:val="auto"/>
              </w:rPr>
            </w:pPr>
          </w:p>
        </w:tc>
        <w:tc>
          <w:tcPr>
            <w:tcW w:w="380" w:type="dxa"/>
            <w:vAlign w:val="bottom"/>
            <w:shd w:val="clear" w:color="auto" w:fill="CCEEFF"/>
          </w:tcPr>
          <w:p>
            <w:pPr>
              <w:jc w:val="right"/>
              <w:ind w:right="170"/>
              <w:spacing w:after="0"/>
              <w:rPr>
                <w:sz w:val="20"/>
                <w:szCs w:val="20"/>
                <w:color w:val="auto"/>
              </w:rPr>
            </w:pPr>
            <w:r>
              <w:rPr>
                <w:rFonts w:ascii="Arial" w:cs="Arial" w:eastAsia="Arial" w:hAnsi="Arial"/>
                <w:sz w:val="18"/>
                <w:szCs w:val="18"/>
                <w:color w:val="auto"/>
                <w:w w:val="99"/>
              </w:rPr>
              <w:t>$</w:t>
            </w:r>
          </w:p>
        </w:tc>
        <w:tc>
          <w:tcPr>
            <w:tcW w:w="122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6,572</w:t>
            </w:r>
          </w:p>
        </w:tc>
      </w:tr>
      <w:tr>
        <w:trPr>
          <w:trHeight w:val="20"/>
        </w:trPr>
        <w:tc>
          <w:tcPr>
            <w:tcW w:w="6620" w:type="dxa"/>
            <w:vAlign w:val="bottom"/>
            <w:tcBorders>
              <w:top w:val="single" w:sz="8" w:color="CCEEFF"/>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1220" w:type="dxa"/>
            <w:vAlign w:val="bottom"/>
            <w:tcBorders>
              <w:top w:val="single" w:sz="8" w:color="auto"/>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300355</wp:posOffset>
            </wp:positionV>
            <wp:extent cx="1337945" cy="8890"/>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1337945" cy="8890"/>
                    </a:xfrm>
                    <a:prstGeom prst="rect">
                      <a:avLst/>
                    </a:prstGeom>
                    <a:noFill/>
                  </pic:spPr>
                </pic:pic>
              </a:graphicData>
            </a:graphic>
          </wp:anchor>
        </w:drawing>
      </w:r>
    </w:p>
    <w:p>
      <w:pPr>
        <w:spacing w:after="0" w:line="200" w:lineRule="exact"/>
        <w:rPr>
          <w:sz w:val="20"/>
          <w:szCs w:val="20"/>
          <w:color w:val="auto"/>
        </w:rPr>
      </w:pPr>
    </w:p>
    <w:p>
      <w:pPr>
        <w:spacing w:after="0" w:line="346" w:lineRule="exact"/>
        <w:rPr>
          <w:sz w:val="20"/>
          <w:szCs w:val="20"/>
          <w:color w:val="auto"/>
        </w:rPr>
      </w:pPr>
    </w:p>
    <w:p>
      <w:pPr>
        <w:jc w:val="both"/>
        <w:ind w:left="540" w:hanging="532"/>
        <w:spacing w:after="0" w:line="233" w:lineRule="auto"/>
        <w:tabs>
          <w:tab w:leader="none" w:pos="540" w:val="left"/>
        </w:tabs>
        <w:numPr>
          <w:ilvl w:val="0"/>
          <w:numId w:val="56"/>
        </w:numPr>
        <w:rPr>
          <w:rFonts w:ascii="Arial" w:cs="Arial" w:eastAsia="Arial" w:hAnsi="Arial"/>
          <w:sz w:val="22"/>
          <w:szCs w:val="22"/>
          <w:color w:val="auto"/>
          <w:vertAlign w:val="superscript"/>
        </w:rPr>
      </w:pPr>
      <w:r>
        <w:rPr>
          <w:rFonts w:ascii="Arial" w:cs="Arial" w:eastAsia="Arial" w:hAnsi="Arial"/>
          <w:sz w:val="18"/>
          <w:szCs w:val="18"/>
          <w:color w:val="auto"/>
        </w:rPr>
        <w:t>In 2019, 2018, and 2017, American recognized $590 million, $565 million and $544 million, respectively, of expense under its capacity purchase agreement with Republic Airline Inc. (Republic). American holds a 25% equity interest in Republic Airways Holdings Inc. (Republic Holdings), the parent company of Republic.</w:t>
      </w:r>
    </w:p>
    <w:p>
      <w:pPr>
        <w:spacing w:after="0" w:line="21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129</w:t>
      </w:r>
    </w:p>
    <w:p>
      <w:pPr>
        <w:sectPr>
          <w:pgSz w:w="11900" w:h="16838" w:orient="portrait"/>
          <w:cols w:equalWidth="0" w:num="1">
            <w:col w:w="11420"/>
          </w:cols>
          <w:pgMar w:left="240" w:top="549" w:right="239" w:bottom="1440" w:gutter="0" w:footer="0" w:header="0"/>
        </w:sectPr>
      </w:pPr>
    </w:p>
    <w:bookmarkStart w:id="129" w:name="page130"/>
    <w:bookmarkEnd w:id="129"/>
    <w:p>
      <w:pPr>
        <w:jc w:val="center"/>
        <w:spacing w:after="0"/>
        <w:rPr>
          <w:sz w:val="20"/>
          <w:szCs w:val="20"/>
          <w:color w:val="auto"/>
        </w:rPr>
      </w:pPr>
      <w:r>
        <w:rPr>
          <w:rFonts w:ascii="Arial" w:cs="Arial" w:eastAsia="Arial" w:hAnsi="Arial"/>
          <w:sz w:val="18"/>
          <w:szCs w:val="18"/>
          <w:b w:val="1"/>
          <w:bCs w:val="1"/>
          <w:color w:val="auto"/>
        </w:rPr>
        <w:t>NOTES TO CONSOLIDATED FINANCIAL STATEMENTS OF AMERICAN AIRLINES, INC.</w:t>
      </w:r>
    </w:p>
    <w:p>
      <w:pPr>
        <w:spacing w:after="0" w:line="200" w:lineRule="exact"/>
        <w:rPr>
          <w:sz w:val="20"/>
          <w:szCs w:val="20"/>
          <w:color w:val="auto"/>
        </w:rPr>
      </w:pPr>
    </w:p>
    <w:p>
      <w:pPr>
        <w:spacing w:after="0" w:line="26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2. Special Items, Net</w:t>
      </w:r>
    </w:p>
    <w:p>
      <w:pPr>
        <w:spacing w:after="0" w:line="112" w:lineRule="exact"/>
        <w:rPr>
          <w:sz w:val="20"/>
          <w:szCs w:val="20"/>
          <w:color w:val="auto"/>
        </w:rPr>
      </w:pPr>
    </w:p>
    <w:p>
      <w:pPr>
        <w:ind w:left="220"/>
        <w:spacing w:after="0"/>
        <w:rPr>
          <w:sz w:val="20"/>
          <w:szCs w:val="20"/>
          <w:color w:val="auto"/>
        </w:rPr>
      </w:pPr>
      <w:r>
        <w:rPr>
          <w:rFonts w:ascii="Arial" w:cs="Arial" w:eastAsia="Arial" w:hAnsi="Arial"/>
          <w:sz w:val="18"/>
          <w:szCs w:val="18"/>
          <w:color w:val="auto"/>
        </w:rPr>
        <w:t>Special items, net on American’s consolidated statements of operations consisted of the following (in millions):</w:t>
      </w:r>
    </w:p>
    <w:p>
      <w:pPr>
        <w:spacing w:after="0" w:line="321" w:lineRule="exact"/>
        <w:rPr>
          <w:sz w:val="20"/>
          <w:szCs w:val="20"/>
          <w:color w:val="auto"/>
        </w:rPr>
      </w:pPr>
    </w:p>
    <w:tbl>
      <w:tblPr>
        <w:tblLayout w:type="fixed"/>
        <w:tblInd w:w="0" w:type="dxa"/>
        <w:tblCellMar>
          <w:top w:w="0" w:type="dxa"/>
          <w:left w:w="0" w:type="dxa"/>
          <w:bottom w:w="0" w:type="dxa"/>
          <w:right w:w="0" w:type="dxa"/>
        </w:tblCellMar>
      </w:tblPr>
      <w:tr>
        <w:trPr>
          <w:trHeight w:val="196"/>
        </w:trPr>
        <w:tc>
          <w:tcPr>
            <w:tcW w:w="2160" w:type="dxa"/>
            <w:vAlign w:val="bottom"/>
          </w:tcPr>
          <w:p>
            <w:pPr>
              <w:spacing w:after="0"/>
              <w:rPr>
                <w:sz w:val="17"/>
                <w:szCs w:val="17"/>
                <w:color w:val="auto"/>
              </w:rPr>
            </w:pPr>
          </w:p>
        </w:tc>
        <w:tc>
          <w:tcPr>
            <w:tcW w:w="4580" w:type="dxa"/>
            <w:vAlign w:val="bottom"/>
          </w:tcPr>
          <w:p>
            <w:pPr>
              <w:spacing w:after="0"/>
              <w:rPr>
                <w:sz w:val="17"/>
                <w:szCs w:val="17"/>
                <w:color w:val="auto"/>
              </w:rPr>
            </w:pPr>
          </w:p>
        </w:tc>
        <w:tc>
          <w:tcPr>
            <w:tcW w:w="1000" w:type="dxa"/>
            <w:vAlign w:val="bottom"/>
            <w:tcBorders>
              <w:bottom w:val="single" w:sz="8" w:color="auto"/>
            </w:tcBorders>
          </w:tcPr>
          <w:p>
            <w:pPr>
              <w:spacing w:after="0"/>
              <w:rPr>
                <w:sz w:val="17"/>
                <w:szCs w:val="17"/>
                <w:color w:val="auto"/>
              </w:rPr>
            </w:pPr>
          </w:p>
        </w:tc>
        <w:tc>
          <w:tcPr>
            <w:tcW w:w="460" w:type="dxa"/>
            <w:vAlign w:val="bottom"/>
            <w:tcBorders>
              <w:bottom w:val="single" w:sz="8" w:color="auto"/>
            </w:tcBorders>
          </w:tcPr>
          <w:p>
            <w:pPr>
              <w:spacing w:after="0"/>
              <w:rPr>
                <w:sz w:val="17"/>
                <w:szCs w:val="17"/>
                <w:color w:val="auto"/>
              </w:rPr>
            </w:pPr>
          </w:p>
        </w:tc>
        <w:tc>
          <w:tcPr>
            <w:tcW w:w="2080" w:type="dxa"/>
            <w:vAlign w:val="bottom"/>
            <w:tcBorders>
              <w:bottom w:val="single" w:sz="8" w:color="auto"/>
            </w:tcBorders>
            <w:gridSpan w:val="6"/>
          </w:tcPr>
          <w:p>
            <w:pPr>
              <w:jc w:val="right"/>
              <w:ind w:right="210"/>
              <w:spacing w:after="0"/>
              <w:rPr>
                <w:sz w:val="20"/>
                <w:szCs w:val="20"/>
                <w:color w:val="auto"/>
              </w:rPr>
            </w:pPr>
            <w:r>
              <w:rPr>
                <w:rFonts w:ascii="Arial" w:cs="Arial" w:eastAsia="Arial" w:hAnsi="Arial"/>
                <w:sz w:val="14"/>
                <w:szCs w:val="14"/>
                <w:b w:val="1"/>
                <w:bCs w:val="1"/>
                <w:color w:val="auto"/>
              </w:rPr>
              <w:t>Year Ended December 31,</w:t>
            </w:r>
          </w:p>
        </w:tc>
        <w:tc>
          <w:tcPr>
            <w:tcW w:w="1140" w:type="dxa"/>
            <w:vAlign w:val="bottom"/>
            <w:tcBorders>
              <w:bottom w:val="single" w:sz="8" w:color="auto"/>
            </w:tcBorders>
          </w:tcPr>
          <w:p>
            <w:pPr>
              <w:spacing w:after="0"/>
              <w:rPr>
                <w:sz w:val="17"/>
                <w:szCs w:val="17"/>
                <w:color w:val="auto"/>
              </w:rPr>
            </w:pPr>
          </w:p>
        </w:tc>
      </w:tr>
      <w:tr>
        <w:trPr>
          <w:trHeight w:val="264"/>
        </w:trPr>
        <w:tc>
          <w:tcPr>
            <w:tcW w:w="2160" w:type="dxa"/>
            <w:vAlign w:val="bottom"/>
            <w:tcBorders>
              <w:bottom w:val="single" w:sz="8" w:color="CCEEFF"/>
            </w:tcBorders>
          </w:tcPr>
          <w:p>
            <w:pPr>
              <w:spacing w:after="0"/>
              <w:rPr>
                <w:sz w:val="22"/>
                <w:szCs w:val="22"/>
                <w:color w:val="auto"/>
              </w:rPr>
            </w:pPr>
          </w:p>
        </w:tc>
        <w:tc>
          <w:tcPr>
            <w:tcW w:w="4580" w:type="dxa"/>
            <w:vAlign w:val="bottom"/>
            <w:tcBorders>
              <w:bottom w:val="single" w:sz="8" w:color="CCEEFF"/>
            </w:tcBorders>
          </w:tcPr>
          <w:p>
            <w:pPr>
              <w:spacing w:after="0"/>
              <w:rPr>
                <w:sz w:val="22"/>
                <w:szCs w:val="22"/>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2019</w:t>
            </w:r>
          </w:p>
        </w:tc>
        <w:tc>
          <w:tcPr>
            <w:tcW w:w="460" w:type="dxa"/>
            <w:vAlign w:val="bottom"/>
            <w:tcBorders>
              <w:bottom w:val="single" w:sz="8" w:color="auto"/>
            </w:tcBorders>
          </w:tcPr>
          <w:p>
            <w:pPr>
              <w:spacing w:after="0"/>
              <w:rPr>
                <w:sz w:val="22"/>
                <w:szCs w:val="22"/>
                <w:color w:val="auto"/>
              </w:rPr>
            </w:pPr>
          </w:p>
        </w:tc>
        <w:tc>
          <w:tcPr>
            <w:tcW w:w="40" w:type="dxa"/>
            <w:vAlign w:val="bottom"/>
            <w:tcBorders>
              <w:bottom w:val="single" w:sz="8" w:color="auto"/>
            </w:tcBorders>
          </w:tcPr>
          <w:p>
            <w:pPr>
              <w:spacing w:after="0"/>
              <w:rPr>
                <w:sz w:val="22"/>
                <w:szCs w:val="22"/>
                <w:color w:val="auto"/>
              </w:rPr>
            </w:pPr>
          </w:p>
        </w:tc>
        <w:tc>
          <w:tcPr>
            <w:tcW w:w="100" w:type="dxa"/>
            <w:vAlign w:val="bottom"/>
            <w:tcBorders>
              <w:bottom w:val="single" w:sz="8" w:color="CCEEFF"/>
            </w:tcBorders>
          </w:tcPr>
          <w:p>
            <w:pPr>
              <w:spacing w:after="0"/>
              <w:rPr>
                <w:sz w:val="22"/>
                <w:szCs w:val="22"/>
                <w:color w:val="auto"/>
              </w:rPr>
            </w:pPr>
          </w:p>
        </w:tc>
        <w:tc>
          <w:tcPr>
            <w:tcW w:w="360" w:type="dxa"/>
            <w:vAlign w:val="bottom"/>
            <w:tcBorders>
              <w:bottom w:val="single" w:sz="8" w:color="auto"/>
            </w:tcBorders>
          </w:tcPr>
          <w:p>
            <w:pPr>
              <w:spacing w:after="0"/>
              <w:rPr>
                <w:sz w:val="22"/>
                <w:szCs w:val="22"/>
                <w:color w:val="auto"/>
              </w:rPr>
            </w:pPr>
          </w:p>
        </w:tc>
        <w:tc>
          <w:tcPr>
            <w:tcW w:w="1120" w:type="dxa"/>
            <w:vAlign w:val="bottom"/>
            <w:tcBorders>
              <w:bottom w:val="single" w:sz="8" w:color="auto"/>
            </w:tcBorders>
          </w:tcPr>
          <w:p>
            <w:pPr>
              <w:jc w:val="right"/>
              <w:ind w:right="491"/>
              <w:spacing w:after="0"/>
              <w:rPr>
                <w:sz w:val="20"/>
                <w:szCs w:val="20"/>
                <w:color w:val="auto"/>
              </w:rPr>
            </w:pPr>
            <w:r>
              <w:rPr>
                <w:rFonts w:ascii="Arial" w:cs="Arial" w:eastAsia="Arial" w:hAnsi="Arial"/>
                <w:sz w:val="14"/>
                <w:szCs w:val="14"/>
                <w:b w:val="1"/>
                <w:bCs w:val="1"/>
                <w:color w:val="auto"/>
              </w:rPr>
              <w:t>2018</w:t>
            </w:r>
          </w:p>
        </w:tc>
        <w:tc>
          <w:tcPr>
            <w:tcW w:w="120" w:type="dxa"/>
            <w:vAlign w:val="bottom"/>
            <w:tcBorders>
              <w:bottom w:val="single" w:sz="8" w:color="CCEEFF"/>
            </w:tcBorders>
          </w:tcPr>
          <w:p>
            <w:pPr>
              <w:spacing w:after="0"/>
              <w:rPr>
                <w:sz w:val="22"/>
                <w:szCs w:val="22"/>
                <w:color w:val="auto"/>
              </w:rPr>
            </w:pPr>
          </w:p>
        </w:tc>
        <w:tc>
          <w:tcPr>
            <w:tcW w:w="340" w:type="dxa"/>
            <w:vAlign w:val="bottom"/>
            <w:tcBorders>
              <w:bottom w:val="single" w:sz="8" w:color="auto"/>
            </w:tcBorders>
          </w:tcPr>
          <w:p>
            <w:pPr>
              <w:spacing w:after="0"/>
              <w:rPr>
                <w:sz w:val="22"/>
                <w:szCs w:val="22"/>
                <w:color w:val="auto"/>
              </w:rPr>
            </w:pPr>
          </w:p>
        </w:tc>
        <w:tc>
          <w:tcPr>
            <w:tcW w:w="1140" w:type="dxa"/>
            <w:vAlign w:val="bottom"/>
            <w:tcBorders>
              <w:bottom w:val="single" w:sz="8" w:color="auto"/>
            </w:tcBorders>
          </w:tcPr>
          <w:p>
            <w:pPr>
              <w:jc w:val="right"/>
              <w:ind w:right="491"/>
              <w:spacing w:after="0"/>
              <w:rPr>
                <w:sz w:val="20"/>
                <w:szCs w:val="20"/>
                <w:color w:val="auto"/>
              </w:rPr>
            </w:pPr>
            <w:r>
              <w:rPr>
                <w:rFonts w:ascii="Arial" w:cs="Arial" w:eastAsia="Arial" w:hAnsi="Arial"/>
                <w:sz w:val="14"/>
                <w:szCs w:val="14"/>
                <w:b w:val="1"/>
                <w:bCs w:val="1"/>
                <w:color w:val="auto"/>
              </w:rPr>
              <w:t>2017</w:t>
            </w:r>
          </w:p>
        </w:tc>
      </w:tr>
      <w:tr>
        <w:trPr>
          <w:trHeight w:val="256"/>
        </w:trPr>
        <w:tc>
          <w:tcPr>
            <w:tcW w:w="6740" w:type="dxa"/>
            <w:vAlign w:val="bottom"/>
            <w:gridSpan w:val="2"/>
            <w:shd w:val="clear" w:color="auto" w:fill="CCEEFF"/>
          </w:tcPr>
          <w:p>
            <w:pPr>
              <w:ind w:left="40"/>
              <w:spacing w:after="0"/>
              <w:rPr>
                <w:sz w:val="20"/>
                <w:szCs w:val="20"/>
                <w:color w:val="auto"/>
              </w:rPr>
            </w:pPr>
            <w:r>
              <w:rPr>
                <w:rFonts w:ascii="Arial" w:cs="Arial" w:eastAsia="Arial" w:hAnsi="Arial"/>
                <w:sz w:val="18"/>
                <w:szCs w:val="18"/>
                <w:color w:val="auto"/>
              </w:rPr>
              <w:t xml:space="preserve">Fleet restructuring expenses </w:t>
            </w:r>
            <w:r>
              <w:rPr>
                <w:rFonts w:ascii="Arial" w:cs="Arial" w:eastAsia="Arial" w:hAnsi="Arial"/>
                <w:sz w:val="21"/>
                <w:szCs w:val="21"/>
                <w:color w:val="auto"/>
                <w:vertAlign w:val="superscript"/>
              </w:rPr>
              <w:t>(1)</w:t>
            </w:r>
          </w:p>
        </w:tc>
        <w:tc>
          <w:tcPr>
            <w:tcW w:w="1000" w:type="dxa"/>
            <w:vAlign w:val="bottom"/>
            <w:shd w:val="clear" w:color="auto" w:fill="CCEEFF"/>
          </w:tcPr>
          <w:p>
            <w:pPr>
              <w:jc w:val="right"/>
              <w:ind w:right="779"/>
              <w:spacing w:after="0"/>
              <w:rPr>
                <w:sz w:val="20"/>
                <w:szCs w:val="20"/>
                <w:color w:val="auto"/>
              </w:rPr>
            </w:pPr>
            <w:r>
              <w:rPr>
                <w:rFonts w:ascii="Arial" w:cs="Arial" w:eastAsia="Arial" w:hAnsi="Arial"/>
                <w:sz w:val="18"/>
                <w:szCs w:val="18"/>
                <w:color w:val="auto"/>
              </w:rPr>
              <w:t>$</w:t>
            </w: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271</w:t>
            </w:r>
          </w:p>
        </w:tc>
        <w:tc>
          <w:tcPr>
            <w:tcW w:w="500" w:type="dxa"/>
            <w:vAlign w:val="bottom"/>
            <w:gridSpan w:val="3"/>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112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422</w:t>
            </w:r>
          </w:p>
        </w:tc>
        <w:tc>
          <w:tcPr>
            <w:tcW w:w="120" w:type="dxa"/>
            <w:vAlign w:val="bottom"/>
            <w:shd w:val="clear" w:color="auto" w:fill="CCEEFF"/>
          </w:tcPr>
          <w:p>
            <w:pPr>
              <w:spacing w:after="0"/>
              <w:rPr>
                <w:sz w:val="22"/>
                <w:szCs w:val="22"/>
                <w:color w:val="auto"/>
              </w:rPr>
            </w:pPr>
          </w:p>
        </w:tc>
        <w:tc>
          <w:tcPr>
            <w:tcW w:w="34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14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232</w:t>
            </w:r>
          </w:p>
        </w:tc>
      </w:tr>
      <w:tr>
        <w:trPr>
          <w:trHeight w:val="270"/>
        </w:trPr>
        <w:tc>
          <w:tcPr>
            <w:tcW w:w="6740" w:type="dxa"/>
            <w:vAlign w:val="bottom"/>
            <w:gridSpan w:val="2"/>
          </w:tcPr>
          <w:p>
            <w:pPr>
              <w:ind w:left="40"/>
              <w:spacing w:after="0"/>
              <w:rPr>
                <w:sz w:val="20"/>
                <w:szCs w:val="20"/>
                <w:color w:val="auto"/>
              </w:rPr>
            </w:pPr>
            <w:r>
              <w:rPr>
                <w:rFonts w:ascii="Arial" w:cs="Arial" w:eastAsia="Arial" w:hAnsi="Arial"/>
                <w:sz w:val="18"/>
                <w:szCs w:val="18"/>
                <w:color w:val="auto"/>
              </w:rPr>
              <w:t xml:space="preserve">Fleet impairment </w:t>
            </w:r>
            <w:r>
              <w:rPr>
                <w:rFonts w:ascii="Arial" w:cs="Arial" w:eastAsia="Arial" w:hAnsi="Arial"/>
                <w:sz w:val="21"/>
                <w:szCs w:val="21"/>
                <w:color w:val="auto"/>
                <w:vertAlign w:val="superscript"/>
              </w:rPr>
              <w:t>(2)</w:t>
            </w:r>
          </w:p>
        </w:tc>
        <w:tc>
          <w:tcPr>
            <w:tcW w:w="1000" w:type="dxa"/>
            <w:vAlign w:val="bottom"/>
          </w:tcPr>
          <w:p>
            <w:pPr>
              <w:spacing w:after="0"/>
              <w:rPr>
                <w:sz w:val="23"/>
                <w:szCs w:val="23"/>
                <w:color w:val="auto"/>
              </w:rPr>
            </w:pPr>
          </w:p>
        </w:tc>
        <w:tc>
          <w:tcPr>
            <w:tcW w:w="460" w:type="dxa"/>
            <w:vAlign w:val="bottom"/>
          </w:tcPr>
          <w:p>
            <w:pPr>
              <w:jc w:val="right"/>
              <w:spacing w:after="0"/>
              <w:rPr>
                <w:sz w:val="20"/>
                <w:szCs w:val="20"/>
                <w:color w:val="auto"/>
              </w:rPr>
            </w:pPr>
            <w:r>
              <w:rPr>
                <w:rFonts w:ascii="Arial" w:cs="Arial" w:eastAsia="Arial" w:hAnsi="Arial"/>
                <w:sz w:val="18"/>
                <w:szCs w:val="18"/>
                <w:color w:val="auto"/>
              </w:rPr>
              <w:t>213</w:t>
            </w:r>
          </w:p>
        </w:tc>
        <w:tc>
          <w:tcPr>
            <w:tcW w:w="4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360" w:type="dxa"/>
            <w:vAlign w:val="bottom"/>
          </w:tcPr>
          <w:p>
            <w:pPr>
              <w:spacing w:after="0"/>
              <w:rPr>
                <w:sz w:val="23"/>
                <w:szCs w:val="23"/>
                <w:color w:val="auto"/>
              </w:rPr>
            </w:pPr>
          </w:p>
        </w:tc>
        <w:tc>
          <w:tcPr>
            <w:tcW w:w="12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340" w:type="dxa"/>
            <w:vAlign w:val="bottom"/>
          </w:tcPr>
          <w:p>
            <w:pPr>
              <w:spacing w:after="0"/>
              <w:rPr>
                <w:sz w:val="23"/>
                <w:szCs w:val="23"/>
                <w:color w:val="auto"/>
              </w:rPr>
            </w:pPr>
          </w:p>
        </w:tc>
        <w:tc>
          <w:tcPr>
            <w:tcW w:w="1140" w:type="dxa"/>
            <w:vAlign w:val="bottom"/>
          </w:tcPr>
          <w:p>
            <w:pPr>
              <w:jc w:val="right"/>
              <w:ind w:right="11"/>
              <w:spacing w:after="0"/>
              <w:rPr>
                <w:sz w:val="20"/>
                <w:szCs w:val="20"/>
                <w:color w:val="auto"/>
              </w:rPr>
            </w:pPr>
            <w:r>
              <w:rPr>
                <w:rFonts w:ascii="Arial" w:cs="Arial" w:eastAsia="Arial" w:hAnsi="Arial"/>
                <w:sz w:val="18"/>
                <w:szCs w:val="18"/>
                <w:color w:val="auto"/>
              </w:rPr>
              <w:t>—</w:t>
            </w:r>
          </w:p>
        </w:tc>
      </w:tr>
      <w:tr>
        <w:trPr>
          <w:trHeight w:val="270"/>
        </w:trPr>
        <w:tc>
          <w:tcPr>
            <w:tcW w:w="6740" w:type="dxa"/>
            <w:vAlign w:val="bottom"/>
            <w:gridSpan w:val="2"/>
            <w:shd w:val="clear" w:color="auto" w:fill="CCEEFF"/>
          </w:tcPr>
          <w:p>
            <w:pPr>
              <w:ind w:left="40"/>
              <w:spacing w:after="0"/>
              <w:rPr>
                <w:sz w:val="20"/>
                <w:szCs w:val="20"/>
                <w:color w:val="auto"/>
              </w:rPr>
            </w:pPr>
            <w:r>
              <w:rPr>
                <w:rFonts w:ascii="Arial" w:cs="Arial" w:eastAsia="Arial" w:hAnsi="Arial"/>
                <w:sz w:val="18"/>
                <w:szCs w:val="18"/>
                <w:color w:val="auto"/>
              </w:rPr>
              <w:t xml:space="preserve">Merger integration expenses </w:t>
            </w:r>
            <w:r>
              <w:rPr>
                <w:rFonts w:ascii="Arial" w:cs="Arial" w:eastAsia="Arial" w:hAnsi="Arial"/>
                <w:sz w:val="21"/>
                <w:szCs w:val="21"/>
                <w:color w:val="auto"/>
                <w:vertAlign w:val="superscript"/>
              </w:rPr>
              <w:t>(3)</w:t>
            </w:r>
          </w:p>
        </w:tc>
        <w:tc>
          <w:tcPr>
            <w:tcW w:w="1000" w:type="dxa"/>
            <w:vAlign w:val="bottom"/>
            <w:shd w:val="clear" w:color="auto" w:fill="CCEEFF"/>
          </w:tcPr>
          <w:p>
            <w:pPr>
              <w:spacing w:after="0"/>
              <w:rPr>
                <w:sz w:val="23"/>
                <w:szCs w:val="23"/>
                <w:color w:val="auto"/>
              </w:rPr>
            </w:pP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191</w:t>
            </w:r>
          </w:p>
        </w:tc>
        <w:tc>
          <w:tcPr>
            <w:tcW w:w="4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360" w:type="dxa"/>
            <w:vAlign w:val="bottom"/>
            <w:shd w:val="clear" w:color="auto" w:fill="CCEEFF"/>
          </w:tcPr>
          <w:p>
            <w:pPr>
              <w:spacing w:after="0"/>
              <w:rPr>
                <w:sz w:val="23"/>
                <w:szCs w:val="23"/>
                <w:color w:val="auto"/>
              </w:rPr>
            </w:pPr>
          </w:p>
        </w:tc>
        <w:tc>
          <w:tcPr>
            <w:tcW w:w="112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268</w:t>
            </w:r>
          </w:p>
        </w:tc>
        <w:tc>
          <w:tcPr>
            <w:tcW w:w="120" w:type="dxa"/>
            <w:vAlign w:val="bottom"/>
            <w:shd w:val="clear" w:color="auto" w:fill="CCEEFF"/>
          </w:tcPr>
          <w:p>
            <w:pPr>
              <w:spacing w:after="0"/>
              <w:rPr>
                <w:sz w:val="23"/>
                <w:szCs w:val="23"/>
                <w:color w:val="auto"/>
              </w:rPr>
            </w:pPr>
          </w:p>
        </w:tc>
        <w:tc>
          <w:tcPr>
            <w:tcW w:w="340" w:type="dxa"/>
            <w:vAlign w:val="bottom"/>
            <w:shd w:val="clear" w:color="auto" w:fill="CCEEFF"/>
          </w:tcPr>
          <w:p>
            <w:pPr>
              <w:spacing w:after="0"/>
              <w:rPr>
                <w:sz w:val="23"/>
                <w:szCs w:val="23"/>
                <w:color w:val="auto"/>
              </w:rPr>
            </w:pPr>
          </w:p>
        </w:tc>
        <w:tc>
          <w:tcPr>
            <w:tcW w:w="114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273</w:t>
            </w:r>
          </w:p>
        </w:tc>
      </w:tr>
      <w:tr>
        <w:trPr>
          <w:trHeight w:val="263"/>
        </w:trPr>
        <w:tc>
          <w:tcPr>
            <w:tcW w:w="6740" w:type="dxa"/>
            <w:vAlign w:val="bottom"/>
            <w:gridSpan w:val="2"/>
          </w:tcPr>
          <w:p>
            <w:pPr>
              <w:ind w:left="40"/>
              <w:spacing w:after="0"/>
              <w:rPr>
                <w:sz w:val="20"/>
                <w:szCs w:val="20"/>
                <w:color w:val="auto"/>
              </w:rPr>
            </w:pPr>
            <w:r>
              <w:rPr>
                <w:rFonts w:ascii="Arial" w:cs="Arial" w:eastAsia="Arial" w:hAnsi="Arial"/>
                <w:sz w:val="18"/>
                <w:szCs w:val="18"/>
                <w:color w:val="auto"/>
              </w:rPr>
              <w:t>Litigation reserve adjustments</w:t>
            </w:r>
          </w:p>
        </w:tc>
        <w:tc>
          <w:tcPr>
            <w:tcW w:w="1000" w:type="dxa"/>
            <w:vAlign w:val="bottom"/>
          </w:tcPr>
          <w:p>
            <w:pPr>
              <w:spacing w:after="0"/>
              <w:rPr>
                <w:sz w:val="22"/>
                <w:szCs w:val="22"/>
                <w:color w:val="auto"/>
              </w:rPr>
            </w:pPr>
          </w:p>
        </w:tc>
        <w:tc>
          <w:tcPr>
            <w:tcW w:w="460" w:type="dxa"/>
            <w:vAlign w:val="bottom"/>
          </w:tcPr>
          <w:p>
            <w:pPr>
              <w:jc w:val="right"/>
              <w:spacing w:after="0"/>
              <w:rPr>
                <w:sz w:val="20"/>
                <w:szCs w:val="20"/>
                <w:color w:val="auto"/>
              </w:rPr>
            </w:pPr>
            <w:r>
              <w:rPr>
                <w:rFonts w:ascii="Arial" w:cs="Arial" w:eastAsia="Arial" w:hAnsi="Arial"/>
                <w:sz w:val="18"/>
                <w:szCs w:val="18"/>
                <w:color w:val="auto"/>
              </w:rPr>
              <w:t>(53)</w:t>
            </w:r>
          </w:p>
        </w:tc>
        <w:tc>
          <w:tcPr>
            <w:tcW w:w="4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1120" w:type="dxa"/>
            <w:vAlign w:val="bottom"/>
          </w:tcPr>
          <w:p>
            <w:pPr>
              <w:jc w:val="right"/>
              <w:ind w:right="11"/>
              <w:spacing w:after="0"/>
              <w:rPr>
                <w:sz w:val="20"/>
                <w:szCs w:val="20"/>
                <w:color w:val="auto"/>
              </w:rPr>
            </w:pPr>
            <w:r>
              <w:rPr>
                <w:rFonts w:ascii="Arial" w:cs="Arial" w:eastAsia="Arial" w:hAnsi="Arial"/>
                <w:sz w:val="18"/>
                <w:szCs w:val="18"/>
                <w:color w:val="auto"/>
              </w:rPr>
              <w:t>45</w:t>
            </w:r>
          </w:p>
        </w:tc>
        <w:tc>
          <w:tcPr>
            <w:tcW w:w="12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1140" w:type="dxa"/>
            <w:vAlign w:val="bottom"/>
          </w:tcPr>
          <w:p>
            <w:pPr>
              <w:jc w:val="right"/>
              <w:ind w:right="11"/>
              <w:spacing w:after="0"/>
              <w:rPr>
                <w:sz w:val="20"/>
                <w:szCs w:val="20"/>
                <w:color w:val="auto"/>
              </w:rPr>
            </w:pPr>
            <w:r>
              <w:rPr>
                <w:rFonts w:ascii="Arial" w:cs="Arial" w:eastAsia="Arial" w:hAnsi="Arial"/>
                <w:sz w:val="18"/>
                <w:szCs w:val="18"/>
                <w:color w:val="auto"/>
              </w:rPr>
              <w:t>—</w:t>
            </w:r>
          </w:p>
        </w:tc>
      </w:tr>
      <w:tr>
        <w:trPr>
          <w:trHeight w:val="277"/>
        </w:trPr>
        <w:tc>
          <w:tcPr>
            <w:tcW w:w="6740" w:type="dxa"/>
            <w:vAlign w:val="bottom"/>
            <w:gridSpan w:val="2"/>
            <w:shd w:val="clear" w:color="auto" w:fill="CCEEFF"/>
          </w:tcPr>
          <w:p>
            <w:pPr>
              <w:ind w:left="40"/>
              <w:spacing w:after="0"/>
              <w:rPr>
                <w:sz w:val="20"/>
                <w:szCs w:val="20"/>
                <w:color w:val="auto"/>
              </w:rPr>
            </w:pPr>
            <w:r>
              <w:rPr>
                <w:rFonts w:ascii="Arial" w:cs="Arial" w:eastAsia="Arial" w:hAnsi="Arial"/>
                <w:sz w:val="18"/>
                <w:szCs w:val="18"/>
                <w:color w:val="auto"/>
              </w:rPr>
              <w:t xml:space="preserve">Mark-to-market adjustments on bankruptcy obligations, net </w:t>
            </w:r>
            <w:r>
              <w:rPr>
                <w:rFonts w:ascii="Arial" w:cs="Arial" w:eastAsia="Arial" w:hAnsi="Arial"/>
                <w:sz w:val="21"/>
                <w:szCs w:val="21"/>
                <w:color w:val="auto"/>
                <w:vertAlign w:val="superscript"/>
              </w:rPr>
              <w:t>(4)</w:t>
            </w:r>
          </w:p>
        </w:tc>
        <w:tc>
          <w:tcPr>
            <w:tcW w:w="1000" w:type="dxa"/>
            <w:vAlign w:val="bottom"/>
            <w:shd w:val="clear" w:color="auto" w:fill="CCEEFF"/>
          </w:tcPr>
          <w:p>
            <w:pPr>
              <w:spacing w:after="0"/>
              <w:rPr>
                <w:sz w:val="24"/>
                <w:szCs w:val="24"/>
                <w:color w:val="auto"/>
              </w:rPr>
            </w:pP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w:t>
            </w:r>
          </w:p>
        </w:tc>
        <w:tc>
          <w:tcPr>
            <w:tcW w:w="4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360" w:type="dxa"/>
            <w:vAlign w:val="bottom"/>
            <w:shd w:val="clear" w:color="auto" w:fill="CCEEFF"/>
          </w:tcPr>
          <w:p>
            <w:pPr>
              <w:spacing w:after="0"/>
              <w:rPr>
                <w:sz w:val="24"/>
                <w:szCs w:val="24"/>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(76)</w:t>
            </w:r>
          </w:p>
        </w:tc>
        <w:tc>
          <w:tcPr>
            <w:tcW w:w="120" w:type="dxa"/>
            <w:vAlign w:val="bottom"/>
            <w:shd w:val="clear" w:color="auto" w:fill="CCEEFF"/>
          </w:tcPr>
          <w:p>
            <w:pPr>
              <w:spacing w:after="0"/>
              <w:rPr>
                <w:sz w:val="24"/>
                <w:szCs w:val="24"/>
                <w:color w:val="auto"/>
              </w:rPr>
            </w:pPr>
          </w:p>
        </w:tc>
        <w:tc>
          <w:tcPr>
            <w:tcW w:w="340" w:type="dxa"/>
            <w:vAlign w:val="bottom"/>
            <w:shd w:val="clear" w:color="auto" w:fill="CCEEFF"/>
          </w:tcPr>
          <w:p>
            <w:pPr>
              <w:spacing w:after="0"/>
              <w:rPr>
                <w:sz w:val="24"/>
                <w:szCs w:val="24"/>
                <w:color w:val="auto"/>
              </w:rPr>
            </w:pPr>
          </w:p>
        </w:tc>
        <w:tc>
          <w:tcPr>
            <w:tcW w:w="114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27</w:t>
            </w:r>
          </w:p>
        </w:tc>
      </w:tr>
      <w:tr>
        <w:trPr>
          <w:trHeight w:val="270"/>
        </w:trPr>
        <w:tc>
          <w:tcPr>
            <w:tcW w:w="6740" w:type="dxa"/>
            <w:vAlign w:val="bottom"/>
            <w:gridSpan w:val="2"/>
          </w:tcPr>
          <w:p>
            <w:pPr>
              <w:ind w:left="40"/>
              <w:spacing w:after="0"/>
              <w:rPr>
                <w:sz w:val="20"/>
                <w:szCs w:val="20"/>
                <w:color w:val="auto"/>
              </w:rPr>
            </w:pPr>
            <w:r>
              <w:rPr>
                <w:rFonts w:ascii="Arial" w:cs="Arial" w:eastAsia="Arial" w:hAnsi="Arial"/>
                <w:sz w:val="18"/>
                <w:szCs w:val="18"/>
                <w:color w:val="auto"/>
              </w:rPr>
              <w:t xml:space="preserve">Severance expenses </w:t>
            </w:r>
            <w:r>
              <w:rPr>
                <w:rFonts w:ascii="Arial" w:cs="Arial" w:eastAsia="Arial" w:hAnsi="Arial"/>
                <w:sz w:val="21"/>
                <w:szCs w:val="21"/>
                <w:color w:val="auto"/>
                <w:vertAlign w:val="superscript"/>
              </w:rPr>
              <w:t>(5)</w:t>
            </w:r>
          </w:p>
        </w:tc>
        <w:tc>
          <w:tcPr>
            <w:tcW w:w="1000" w:type="dxa"/>
            <w:vAlign w:val="bottom"/>
          </w:tcPr>
          <w:p>
            <w:pPr>
              <w:spacing w:after="0"/>
              <w:rPr>
                <w:sz w:val="23"/>
                <w:szCs w:val="23"/>
                <w:color w:val="auto"/>
              </w:rPr>
            </w:pPr>
          </w:p>
        </w:tc>
        <w:tc>
          <w:tcPr>
            <w:tcW w:w="460" w:type="dxa"/>
            <w:vAlign w:val="bottom"/>
          </w:tcPr>
          <w:p>
            <w:pPr>
              <w:jc w:val="right"/>
              <w:spacing w:after="0"/>
              <w:rPr>
                <w:sz w:val="20"/>
                <w:szCs w:val="20"/>
                <w:color w:val="auto"/>
              </w:rPr>
            </w:pPr>
            <w:r>
              <w:rPr>
                <w:rFonts w:ascii="Arial" w:cs="Arial" w:eastAsia="Arial" w:hAnsi="Arial"/>
                <w:sz w:val="18"/>
                <w:szCs w:val="18"/>
                <w:color w:val="auto"/>
              </w:rPr>
              <w:t>11</w:t>
            </w:r>
          </w:p>
        </w:tc>
        <w:tc>
          <w:tcPr>
            <w:tcW w:w="4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360" w:type="dxa"/>
            <w:vAlign w:val="bottom"/>
          </w:tcPr>
          <w:p>
            <w:pPr>
              <w:spacing w:after="0"/>
              <w:rPr>
                <w:sz w:val="23"/>
                <w:szCs w:val="23"/>
                <w:color w:val="auto"/>
              </w:rPr>
            </w:pPr>
          </w:p>
        </w:tc>
        <w:tc>
          <w:tcPr>
            <w:tcW w:w="1120" w:type="dxa"/>
            <w:vAlign w:val="bottom"/>
          </w:tcPr>
          <w:p>
            <w:pPr>
              <w:jc w:val="right"/>
              <w:ind w:right="11"/>
              <w:spacing w:after="0"/>
              <w:rPr>
                <w:sz w:val="20"/>
                <w:szCs w:val="20"/>
                <w:color w:val="auto"/>
              </w:rPr>
            </w:pPr>
            <w:r>
              <w:rPr>
                <w:rFonts w:ascii="Arial" w:cs="Arial" w:eastAsia="Arial" w:hAnsi="Arial"/>
                <w:sz w:val="18"/>
                <w:szCs w:val="18"/>
                <w:color w:val="auto"/>
              </w:rPr>
              <w:t>58</w:t>
            </w:r>
          </w:p>
        </w:tc>
        <w:tc>
          <w:tcPr>
            <w:tcW w:w="12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1140" w:type="dxa"/>
            <w:vAlign w:val="bottom"/>
          </w:tcPr>
          <w:p>
            <w:pPr>
              <w:jc w:val="right"/>
              <w:ind w:right="11"/>
              <w:spacing w:after="0"/>
              <w:rPr>
                <w:sz w:val="20"/>
                <w:szCs w:val="20"/>
                <w:color w:val="auto"/>
              </w:rPr>
            </w:pPr>
            <w:r>
              <w:rPr>
                <w:rFonts w:ascii="Arial" w:cs="Arial" w:eastAsia="Arial" w:hAnsi="Arial"/>
                <w:sz w:val="18"/>
                <w:szCs w:val="18"/>
                <w:color w:val="auto"/>
              </w:rPr>
              <w:t>—</w:t>
            </w:r>
          </w:p>
        </w:tc>
      </w:tr>
      <w:tr>
        <w:trPr>
          <w:trHeight w:val="270"/>
        </w:trPr>
        <w:tc>
          <w:tcPr>
            <w:tcW w:w="6740" w:type="dxa"/>
            <w:vAlign w:val="bottom"/>
            <w:gridSpan w:val="2"/>
            <w:shd w:val="clear" w:color="auto" w:fill="CCEEFF"/>
          </w:tcPr>
          <w:p>
            <w:pPr>
              <w:ind w:left="40"/>
              <w:spacing w:after="0"/>
              <w:rPr>
                <w:sz w:val="20"/>
                <w:szCs w:val="20"/>
                <w:color w:val="auto"/>
              </w:rPr>
            </w:pPr>
            <w:r>
              <w:rPr>
                <w:rFonts w:ascii="Arial" w:cs="Arial" w:eastAsia="Arial" w:hAnsi="Arial"/>
                <w:sz w:val="18"/>
                <w:szCs w:val="18"/>
                <w:color w:val="auto"/>
              </w:rPr>
              <w:t xml:space="preserve">Intangible asset impairment </w:t>
            </w:r>
            <w:r>
              <w:rPr>
                <w:rFonts w:ascii="Arial" w:cs="Arial" w:eastAsia="Arial" w:hAnsi="Arial"/>
                <w:sz w:val="21"/>
                <w:szCs w:val="21"/>
                <w:color w:val="auto"/>
                <w:vertAlign w:val="superscript"/>
              </w:rPr>
              <w:t>(6)</w:t>
            </w:r>
          </w:p>
        </w:tc>
        <w:tc>
          <w:tcPr>
            <w:tcW w:w="1000" w:type="dxa"/>
            <w:vAlign w:val="bottom"/>
            <w:shd w:val="clear" w:color="auto" w:fill="CCEEFF"/>
          </w:tcPr>
          <w:p>
            <w:pPr>
              <w:spacing w:after="0"/>
              <w:rPr>
                <w:sz w:val="23"/>
                <w:szCs w:val="23"/>
                <w:color w:val="auto"/>
              </w:rPr>
            </w:pP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4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360" w:type="dxa"/>
            <w:vAlign w:val="bottom"/>
            <w:shd w:val="clear" w:color="auto" w:fill="CCEEFF"/>
          </w:tcPr>
          <w:p>
            <w:pPr>
              <w:spacing w:after="0"/>
              <w:rPr>
                <w:sz w:val="23"/>
                <w:szCs w:val="23"/>
                <w:color w:val="auto"/>
              </w:rPr>
            </w:pPr>
          </w:p>
        </w:tc>
        <w:tc>
          <w:tcPr>
            <w:tcW w:w="112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26</w:t>
            </w:r>
          </w:p>
        </w:tc>
        <w:tc>
          <w:tcPr>
            <w:tcW w:w="120" w:type="dxa"/>
            <w:vAlign w:val="bottom"/>
            <w:shd w:val="clear" w:color="auto" w:fill="CCEEFF"/>
          </w:tcPr>
          <w:p>
            <w:pPr>
              <w:spacing w:after="0"/>
              <w:rPr>
                <w:sz w:val="23"/>
                <w:szCs w:val="23"/>
                <w:color w:val="auto"/>
              </w:rPr>
            </w:pPr>
          </w:p>
        </w:tc>
        <w:tc>
          <w:tcPr>
            <w:tcW w:w="340" w:type="dxa"/>
            <w:vAlign w:val="bottom"/>
            <w:shd w:val="clear" w:color="auto" w:fill="CCEEFF"/>
          </w:tcPr>
          <w:p>
            <w:pPr>
              <w:spacing w:after="0"/>
              <w:rPr>
                <w:sz w:val="23"/>
                <w:szCs w:val="23"/>
                <w:color w:val="auto"/>
              </w:rPr>
            </w:pPr>
          </w:p>
        </w:tc>
        <w:tc>
          <w:tcPr>
            <w:tcW w:w="114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w:t>
            </w:r>
          </w:p>
        </w:tc>
      </w:tr>
      <w:tr>
        <w:trPr>
          <w:trHeight w:val="263"/>
        </w:trPr>
        <w:tc>
          <w:tcPr>
            <w:tcW w:w="6740" w:type="dxa"/>
            <w:vAlign w:val="bottom"/>
            <w:gridSpan w:val="2"/>
          </w:tcPr>
          <w:p>
            <w:pPr>
              <w:ind w:left="40"/>
              <w:spacing w:after="0"/>
              <w:rPr>
                <w:sz w:val="20"/>
                <w:szCs w:val="20"/>
                <w:color w:val="auto"/>
              </w:rPr>
            </w:pPr>
            <w:r>
              <w:rPr>
                <w:rFonts w:ascii="Arial" w:cs="Arial" w:eastAsia="Arial" w:hAnsi="Arial"/>
                <w:sz w:val="18"/>
                <w:szCs w:val="18"/>
                <w:color w:val="auto"/>
              </w:rPr>
              <w:t>Labor contract expenses</w:t>
            </w:r>
          </w:p>
        </w:tc>
        <w:tc>
          <w:tcPr>
            <w:tcW w:w="1000" w:type="dxa"/>
            <w:vAlign w:val="bottom"/>
          </w:tcPr>
          <w:p>
            <w:pPr>
              <w:spacing w:after="0"/>
              <w:rPr>
                <w:sz w:val="22"/>
                <w:szCs w:val="22"/>
                <w:color w:val="auto"/>
              </w:rPr>
            </w:pPr>
          </w:p>
        </w:tc>
        <w:tc>
          <w:tcPr>
            <w:tcW w:w="460" w:type="dxa"/>
            <w:vAlign w:val="bottom"/>
          </w:tcPr>
          <w:p>
            <w:pPr>
              <w:jc w:val="right"/>
              <w:spacing w:after="0"/>
              <w:rPr>
                <w:sz w:val="20"/>
                <w:szCs w:val="20"/>
                <w:color w:val="auto"/>
              </w:rPr>
            </w:pPr>
            <w:r>
              <w:rPr>
                <w:rFonts w:ascii="Arial" w:cs="Arial" w:eastAsia="Arial" w:hAnsi="Arial"/>
                <w:sz w:val="18"/>
                <w:szCs w:val="18"/>
                <w:color w:val="auto"/>
              </w:rPr>
              <w:t>—</w:t>
            </w:r>
          </w:p>
        </w:tc>
        <w:tc>
          <w:tcPr>
            <w:tcW w:w="4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1120" w:type="dxa"/>
            <w:vAlign w:val="bottom"/>
          </w:tcPr>
          <w:p>
            <w:pPr>
              <w:jc w:val="right"/>
              <w:ind w:right="11"/>
              <w:spacing w:after="0"/>
              <w:rPr>
                <w:sz w:val="20"/>
                <w:szCs w:val="20"/>
                <w:color w:val="auto"/>
              </w:rPr>
            </w:pPr>
            <w:r>
              <w:rPr>
                <w:rFonts w:ascii="Arial" w:cs="Arial" w:eastAsia="Arial" w:hAnsi="Arial"/>
                <w:sz w:val="18"/>
                <w:szCs w:val="18"/>
                <w:color w:val="auto"/>
              </w:rPr>
              <w:t>13</w:t>
            </w:r>
          </w:p>
        </w:tc>
        <w:tc>
          <w:tcPr>
            <w:tcW w:w="12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1140" w:type="dxa"/>
            <w:vAlign w:val="bottom"/>
          </w:tcPr>
          <w:p>
            <w:pPr>
              <w:jc w:val="right"/>
              <w:ind w:right="11"/>
              <w:spacing w:after="0"/>
              <w:rPr>
                <w:sz w:val="20"/>
                <w:szCs w:val="20"/>
                <w:color w:val="auto"/>
              </w:rPr>
            </w:pPr>
            <w:r>
              <w:rPr>
                <w:rFonts w:ascii="Arial" w:cs="Arial" w:eastAsia="Arial" w:hAnsi="Arial"/>
                <w:sz w:val="18"/>
                <w:szCs w:val="18"/>
                <w:color w:val="auto"/>
              </w:rPr>
              <w:t>46</w:t>
            </w:r>
          </w:p>
        </w:tc>
      </w:tr>
      <w:tr>
        <w:trPr>
          <w:trHeight w:val="277"/>
        </w:trPr>
        <w:tc>
          <w:tcPr>
            <w:tcW w:w="6740" w:type="dxa"/>
            <w:vAlign w:val="bottom"/>
            <w:gridSpan w:val="2"/>
            <w:shd w:val="clear" w:color="auto" w:fill="CCEEFF"/>
          </w:tcPr>
          <w:p>
            <w:pPr>
              <w:ind w:left="40"/>
              <w:spacing w:after="0"/>
              <w:rPr>
                <w:sz w:val="20"/>
                <w:szCs w:val="20"/>
                <w:color w:val="auto"/>
              </w:rPr>
            </w:pPr>
            <w:r>
              <w:rPr>
                <w:rFonts w:ascii="Arial" w:cs="Arial" w:eastAsia="Arial" w:hAnsi="Arial"/>
                <w:sz w:val="18"/>
                <w:szCs w:val="18"/>
                <w:color w:val="auto"/>
              </w:rPr>
              <w:t xml:space="preserve">Employee 2017 Tax Act bonus expense </w:t>
            </w:r>
            <w:r>
              <w:rPr>
                <w:rFonts w:ascii="Arial" w:cs="Arial" w:eastAsia="Arial" w:hAnsi="Arial"/>
                <w:sz w:val="21"/>
                <w:szCs w:val="21"/>
                <w:color w:val="auto"/>
                <w:vertAlign w:val="superscript"/>
              </w:rPr>
              <w:t>(7)</w:t>
            </w:r>
          </w:p>
        </w:tc>
        <w:tc>
          <w:tcPr>
            <w:tcW w:w="1000" w:type="dxa"/>
            <w:vAlign w:val="bottom"/>
            <w:shd w:val="clear" w:color="auto" w:fill="CCEEFF"/>
          </w:tcPr>
          <w:p>
            <w:pPr>
              <w:spacing w:after="0"/>
              <w:rPr>
                <w:sz w:val="24"/>
                <w:szCs w:val="24"/>
                <w:color w:val="auto"/>
              </w:rPr>
            </w:pP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4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360" w:type="dxa"/>
            <w:vAlign w:val="bottom"/>
            <w:shd w:val="clear" w:color="auto" w:fill="CCEEFF"/>
          </w:tcPr>
          <w:p>
            <w:pPr>
              <w:spacing w:after="0"/>
              <w:rPr>
                <w:sz w:val="24"/>
                <w:szCs w:val="24"/>
                <w:color w:val="auto"/>
              </w:rPr>
            </w:pPr>
          </w:p>
        </w:tc>
        <w:tc>
          <w:tcPr>
            <w:tcW w:w="12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340" w:type="dxa"/>
            <w:vAlign w:val="bottom"/>
            <w:shd w:val="clear" w:color="auto" w:fill="CCEEFF"/>
          </w:tcPr>
          <w:p>
            <w:pPr>
              <w:spacing w:after="0"/>
              <w:rPr>
                <w:sz w:val="24"/>
                <w:szCs w:val="24"/>
                <w:color w:val="auto"/>
              </w:rPr>
            </w:pPr>
          </w:p>
        </w:tc>
        <w:tc>
          <w:tcPr>
            <w:tcW w:w="114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123</w:t>
            </w:r>
          </w:p>
        </w:tc>
      </w:tr>
      <w:tr>
        <w:trPr>
          <w:trHeight w:val="264"/>
        </w:trPr>
        <w:tc>
          <w:tcPr>
            <w:tcW w:w="6740" w:type="dxa"/>
            <w:vAlign w:val="bottom"/>
            <w:tcBorders>
              <w:bottom w:val="single" w:sz="8" w:color="CCEEFF"/>
            </w:tcBorders>
            <w:gridSpan w:val="2"/>
          </w:tcPr>
          <w:p>
            <w:pPr>
              <w:ind w:left="40"/>
              <w:spacing w:after="0"/>
              <w:rPr>
                <w:sz w:val="20"/>
                <w:szCs w:val="20"/>
                <w:color w:val="auto"/>
              </w:rPr>
            </w:pPr>
            <w:r>
              <w:rPr>
                <w:rFonts w:ascii="Arial" w:cs="Arial" w:eastAsia="Arial" w:hAnsi="Arial"/>
                <w:sz w:val="18"/>
                <w:szCs w:val="18"/>
                <w:color w:val="auto"/>
              </w:rPr>
              <w:t>Other operating charges, net</w:t>
            </w:r>
          </w:p>
        </w:tc>
        <w:tc>
          <w:tcPr>
            <w:tcW w:w="1000" w:type="dxa"/>
            <w:vAlign w:val="bottom"/>
            <w:tcBorders>
              <w:bottom w:val="single" w:sz="8" w:color="auto"/>
            </w:tcBorders>
          </w:tcPr>
          <w:p>
            <w:pPr>
              <w:spacing w:after="0"/>
              <w:rPr>
                <w:sz w:val="22"/>
                <w:szCs w:val="22"/>
                <w:color w:val="auto"/>
              </w:rPr>
            </w:pPr>
          </w:p>
        </w:tc>
        <w:tc>
          <w:tcPr>
            <w:tcW w:w="4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w:t>
            </w:r>
          </w:p>
        </w:tc>
        <w:tc>
          <w:tcPr>
            <w:tcW w:w="40" w:type="dxa"/>
            <w:vAlign w:val="bottom"/>
            <w:tcBorders>
              <w:bottom w:val="single" w:sz="8" w:color="auto"/>
            </w:tcBorders>
          </w:tcPr>
          <w:p>
            <w:pPr>
              <w:spacing w:after="0"/>
              <w:rPr>
                <w:sz w:val="22"/>
                <w:szCs w:val="22"/>
                <w:color w:val="auto"/>
              </w:rPr>
            </w:pPr>
          </w:p>
        </w:tc>
        <w:tc>
          <w:tcPr>
            <w:tcW w:w="100" w:type="dxa"/>
            <w:vAlign w:val="bottom"/>
            <w:tcBorders>
              <w:bottom w:val="single" w:sz="8" w:color="CCEEFF"/>
            </w:tcBorders>
          </w:tcPr>
          <w:p>
            <w:pPr>
              <w:spacing w:after="0"/>
              <w:rPr>
                <w:sz w:val="22"/>
                <w:szCs w:val="22"/>
                <w:color w:val="auto"/>
              </w:rPr>
            </w:pPr>
          </w:p>
        </w:tc>
        <w:tc>
          <w:tcPr>
            <w:tcW w:w="360" w:type="dxa"/>
            <w:vAlign w:val="bottom"/>
            <w:tcBorders>
              <w:bottom w:val="single" w:sz="8" w:color="auto"/>
            </w:tcBorders>
          </w:tcPr>
          <w:p>
            <w:pPr>
              <w:spacing w:after="0"/>
              <w:rPr>
                <w:sz w:val="22"/>
                <w:szCs w:val="22"/>
                <w:color w:val="auto"/>
              </w:rPr>
            </w:pPr>
          </w:p>
        </w:tc>
        <w:tc>
          <w:tcPr>
            <w:tcW w:w="1120" w:type="dxa"/>
            <w:vAlign w:val="bottom"/>
            <w:tcBorders>
              <w:bottom w:val="single" w:sz="8" w:color="auto"/>
            </w:tcBorders>
          </w:tcPr>
          <w:p>
            <w:pPr>
              <w:jc w:val="right"/>
              <w:ind w:right="11"/>
              <w:spacing w:after="0"/>
              <w:rPr>
                <w:sz w:val="20"/>
                <w:szCs w:val="20"/>
                <w:color w:val="auto"/>
              </w:rPr>
            </w:pPr>
            <w:r>
              <w:rPr>
                <w:rFonts w:ascii="Arial" w:cs="Arial" w:eastAsia="Arial" w:hAnsi="Arial"/>
                <w:sz w:val="18"/>
                <w:szCs w:val="18"/>
                <w:color w:val="auto"/>
              </w:rPr>
              <w:t>31</w:t>
            </w:r>
          </w:p>
        </w:tc>
        <w:tc>
          <w:tcPr>
            <w:tcW w:w="120" w:type="dxa"/>
            <w:vAlign w:val="bottom"/>
            <w:tcBorders>
              <w:bottom w:val="single" w:sz="8" w:color="CCEEFF"/>
            </w:tcBorders>
          </w:tcPr>
          <w:p>
            <w:pPr>
              <w:spacing w:after="0"/>
              <w:rPr>
                <w:sz w:val="22"/>
                <w:szCs w:val="22"/>
                <w:color w:val="auto"/>
              </w:rPr>
            </w:pPr>
          </w:p>
        </w:tc>
        <w:tc>
          <w:tcPr>
            <w:tcW w:w="340" w:type="dxa"/>
            <w:vAlign w:val="bottom"/>
            <w:tcBorders>
              <w:bottom w:val="single" w:sz="8" w:color="auto"/>
            </w:tcBorders>
          </w:tcPr>
          <w:p>
            <w:pPr>
              <w:spacing w:after="0"/>
              <w:rPr>
                <w:sz w:val="22"/>
                <w:szCs w:val="22"/>
                <w:color w:val="auto"/>
              </w:rPr>
            </w:pPr>
          </w:p>
        </w:tc>
        <w:tc>
          <w:tcPr>
            <w:tcW w:w="1140" w:type="dxa"/>
            <w:vAlign w:val="bottom"/>
            <w:tcBorders>
              <w:bottom w:val="single" w:sz="8" w:color="auto"/>
            </w:tcBorders>
          </w:tcPr>
          <w:p>
            <w:pPr>
              <w:jc w:val="right"/>
              <w:ind w:right="11"/>
              <w:spacing w:after="0"/>
              <w:rPr>
                <w:sz w:val="20"/>
                <w:szCs w:val="20"/>
                <w:color w:val="auto"/>
              </w:rPr>
            </w:pPr>
            <w:r>
              <w:rPr>
                <w:rFonts w:ascii="Arial" w:cs="Arial" w:eastAsia="Arial" w:hAnsi="Arial"/>
                <w:sz w:val="18"/>
                <w:szCs w:val="18"/>
                <w:color w:val="auto"/>
              </w:rPr>
              <w:t>11</w:t>
            </w:r>
          </w:p>
        </w:tc>
      </w:tr>
      <w:tr>
        <w:trPr>
          <w:trHeight w:val="257"/>
        </w:trPr>
        <w:tc>
          <w:tcPr>
            <w:tcW w:w="6740" w:type="dxa"/>
            <w:vAlign w:val="bottom"/>
            <w:gridSpan w:val="2"/>
            <w:shd w:val="clear" w:color="auto" w:fill="CCEEFF"/>
          </w:tcPr>
          <w:p>
            <w:pPr>
              <w:ind w:left="280"/>
              <w:spacing w:after="0"/>
              <w:rPr>
                <w:sz w:val="20"/>
                <w:szCs w:val="20"/>
                <w:color w:val="auto"/>
              </w:rPr>
            </w:pPr>
            <w:r>
              <w:rPr>
                <w:rFonts w:ascii="Arial" w:cs="Arial" w:eastAsia="Arial" w:hAnsi="Arial"/>
                <w:sz w:val="18"/>
                <w:szCs w:val="18"/>
                <w:color w:val="auto"/>
              </w:rPr>
              <w:t>Mainline operating special items, net</w:t>
            </w:r>
          </w:p>
        </w:tc>
        <w:tc>
          <w:tcPr>
            <w:tcW w:w="1000" w:type="dxa"/>
            <w:vAlign w:val="bottom"/>
            <w:shd w:val="clear" w:color="auto" w:fill="CCEEFF"/>
          </w:tcPr>
          <w:p>
            <w:pPr>
              <w:spacing w:after="0"/>
              <w:rPr>
                <w:sz w:val="22"/>
                <w:szCs w:val="22"/>
                <w:color w:val="auto"/>
              </w:rPr>
            </w:pP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635</w:t>
            </w:r>
          </w:p>
        </w:tc>
        <w:tc>
          <w:tcPr>
            <w:tcW w:w="4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360" w:type="dxa"/>
            <w:vAlign w:val="bottom"/>
            <w:shd w:val="clear" w:color="auto" w:fill="CCEEFF"/>
          </w:tcPr>
          <w:p>
            <w:pPr>
              <w:spacing w:after="0"/>
              <w:rPr>
                <w:sz w:val="22"/>
                <w:szCs w:val="22"/>
                <w:color w:val="auto"/>
              </w:rPr>
            </w:pPr>
          </w:p>
        </w:tc>
        <w:tc>
          <w:tcPr>
            <w:tcW w:w="112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787</w:t>
            </w:r>
          </w:p>
        </w:tc>
        <w:tc>
          <w:tcPr>
            <w:tcW w:w="120" w:type="dxa"/>
            <w:vAlign w:val="bottom"/>
            <w:shd w:val="clear" w:color="auto" w:fill="CCEEFF"/>
          </w:tcPr>
          <w:p>
            <w:pPr>
              <w:spacing w:after="0"/>
              <w:rPr>
                <w:sz w:val="22"/>
                <w:szCs w:val="22"/>
                <w:color w:val="auto"/>
              </w:rPr>
            </w:pPr>
          </w:p>
        </w:tc>
        <w:tc>
          <w:tcPr>
            <w:tcW w:w="340" w:type="dxa"/>
            <w:vAlign w:val="bottom"/>
            <w:shd w:val="clear" w:color="auto" w:fill="CCEEFF"/>
          </w:tcPr>
          <w:p>
            <w:pPr>
              <w:spacing w:after="0"/>
              <w:rPr>
                <w:sz w:val="22"/>
                <w:szCs w:val="22"/>
                <w:color w:val="auto"/>
              </w:rPr>
            </w:pPr>
          </w:p>
        </w:tc>
        <w:tc>
          <w:tcPr>
            <w:tcW w:w="114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712</w:t>
            </w:r>
          </w:p>
        </w:tc>
      </w:tr>
      <w:tr>
        <w:trPr>
          <w:trHeight w:val="264"/>
        </w:trPr>
        <w:tc>
          <w:tcPr>
            <w:tcW w:w="6740" w:type="dxa"/>
            <w:vAlign w:val="bottom"/>
            <w:gridSpan w:val="2"/>
          </w:tcPr>
          <w:p>
            <w:pPr>
              <w:ind w:left="280"/>
              <w:spacing w:after="0"/>
              <w:rPr>
                <w:sz w:val="20"/>
                <w:szCs w:val="20"/>
                <w:color w:val="auto"/>
              </w:rPr>
            </w:pPr>
            <w:r>
              <w:rPr>
                <w:rFonts w:ascii="Arial" w:cs="Arial" w:eastAsia="Arial" w:hAnsi="Arial"/>
                <w:sz w:val="18"/>
                <w:szCs w:val="18"/>
                <w:color w:val="auto"/>
              </w:rPr>
              <w:t>Regional operating special items, net</w:t>
            </w:r>
          </w:p>
        </w:tc>
        <w:tc>
          <w:tcPr>
            <w:tcW w:w="1000" w:type="dxa"/>
            <w:vAlign w:val="bottom"/>
          </w:tcPr>
          <w:p>
            <w:pPr>
              <w:spacing w:after="0"/>
              <w:rPr>
                <w:sz w:val="22"/>
                <w:szCs w:val="22"/>
                <w:color w:val="auto"/>
              </w:rPr>
            </w:pPr>
          </w:p>
        </w:tc>
        <w:tc>
          <w:tcPr>
            <w:tcW w:w="460" w:type="dxa"/>
            <w:vAlign w:val="bottom"/>
          </w:tcPr>
          <w:p>
            <w:pPr>
              <w:jc w:val="right"/>
              <w:spacing w:after="0"/>
              <w:rPr>
                <w:sz w:val="20"/>
                <w:szCs w:val="20"/>
                <w:color w:val="auto"/>
              </w:rPr>
            </w:pPr>
            <w:r>
              <w:rPr>
                <w:rFonts w:ascii="Arial" w:cs="Arial" w:eastAsia="Arial" w:hAnsi="Arial"/>
                <w:sz w:val="18"/>
                <w:szCs w:val="18"/>
                <w:color w:val="auto"/>
              </w:rPr>
              <w:t>—</w:t>
            </w:r>
          </w:p>
        </w:tc>
        <w:tc>
          <w:tcPr>
            <w:tcW w:w="4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12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340" w:type="dxa"/>
            <w:vAlign w:val="bottom"/>
          </w:tcPr>
          <w:p>
            <w:pPr>
              <w:spacing w:after="0"/>
              <w:rPr>
                <w:sz w:val="22"/>
                <w:szCs w:val="22"/>
                <w:color w:val="auto"/>
              </w:rPr>
            </w:pPr>
          </w:p>
        </w:tc>
        <w:tc>
          <w:tcPr>
            <w:tcW w:w="1140" w:type="dxa"/>
            <w:vAlign w:val="bottom"/>
          </w:tcPr>
          <w:p>
            <w:pPr>
              <w:jc w:val="right"/>
              <w:ind w:right="11"/>
              <w:spacing w:after="0"/>
              <w:rPr>
                <w:sz w:val="20"/>
                <w:szCs w:val="20"/>
                <w:color w:val="auto"/>
              </w:rPr>
            </w:pPr>
            <w:r>
              <w:rPr>
                <w:rFonts w:ascii="Arial" w:cs="Arial" w:eastAsia="Arial" w:hAnsi="Arial"/>
                <w:sz w:val="18"/>
                <w:szCs w:val="18"/>
                <w:color w:val="auto"/>
              </w:rPr>
              <w:t>3</w:t>
            </w:r>
          </w:p>
        </w:tc>
      </w:tr>
      <w:tr>
        <w:trPr>
          <w:trHeight w:val="257"/>
        </w:trPr>
        <w:tc>
          <w:tcPr>
            <w:tcW w:w="6740" w:type="dxa"/>
            <w:vAlign w:val="bottom"/>
            <w:tcBorders>
              <w:top w:val="single" w:sz="8" w:color="CCEEFF"/>
            </w:tcBorders>
            <w:gridSpan w:val="2"/>
            <w:shd w:val="clear" w:color="auto" w:fill="CCEEFF"/>
          </w:tcPr>
          <w:p>
            <w:pPr>
              <w:ind w:left="500"/>
              <w:spacing w:after="0"/>
              <w:rPr>
                <w:sz w:val="20"/>
                <w:szCs w:val="20"/>
                <w:color w:val="auto"/>
              </w:rPr>
            </w:pPr>
            <w:r>
              <w:rPr>
                <w:rFonts w:ascii="Arial" w:cs="Arial" w:eastAsia="Arial" w:hAnsi="Arial"/>
                <w:sz w:val="18"/>
                <w:szCs w:val="18"/>
                <w:color w:val="auto"/>
              </w:rPr>
              <w:t>Operating special items, net</w:t>
            </w:r>
          </w:p>
        </w:tc>
        <w:tc>
          <w:tcPr>
            <w:tcW w:w="1000" w:type="dxa"/>
            <w:vAlign w:val="bottom"/>
            <w:tcBorders>
              <w:top w:val="single" w:sz="8" w:color="auto"/>
            </w:tcBorders>
            <w:shd w:val="clear" w:color="auto" w:fill="CCEEFF"/>
          </w:tcPr>
          <w:p>
            <w:pPr>
              <w:spacing w:after="0"/>
              <w:rPr>
                <w:sz w:val="22"/>
                <w:szCs w:val="22"/>
                <w:color w:val="auto"/>
              </w:rPr>
            </w:pPr>
          </w:p>
        </w:tc>
        <w:tc>
          <w:tcPr>
            <w:tcW w:w="4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635</w:t>
            </w:r>
          </w:p>
        </w:tc>
        <w:tc>
          <w:tcPr>
            <w:tcW w:w="40" w:type="dxa"/>
            <w:vAlign w:val="bottom"/>
            <w:tcBorders>
              <w:top w:val="single" w:sz="8" w:color="auto"/>
            </w:tcBorders>
            <w:shd w:val="clear" w:color="auto" w:fill="CCEEFF"/>
          </w:tcPr>
          <w:p>
            <w:pPr>
              <w:spacing w:after="0"/>
              <w:rPr>
                <w:sz w:val="22"/>
                <w:szCs w:val="22"/>
                <w:color w:val="auto"/>
              </w:rPr>
            </w:pPr>
          </w:p>
        </w:tc>
        <w:tc>
          <w:tcPr>
            <w:tcW w:w="100" w:type="dxa"/>
            <w:vAlign w:val="bottom"/>
            <w:tcBorders>
              <w:top w:val="single" w:sz="8" w:color="CCEEFF"/>
            </w:tcBorders>
            <w:shd w:val="clear" w:color="auto" w:fill="CCEEFF"/>
          </w:tcPr>
          <w:p>
            <w:pPr>
              <w:spacing w:after="0"/>
              <w:rPr>
                <w:sz w:val="22"/>
                <w:szCs w:val="22"/>
                <w:color w:val="auto"/>
              </w:rPr>
            </w:pPr>
          </w:p>
        </w:tc>
        <w:tc>
          <w:tcPr>
            <w:tcW w:w="360" w:type="dxa"/>
            <w:vAlign w:val="bottom"/>
            <w:tcBorders>
              <w:top w:val="single" w:sz="8" w:color="auto"/>
            </w:tcBorders>
            <w:shd w:val="clear" w:color="auto" w:fill="CCEEFF"/>
          </w:tcPr>
          <w:p>
            <w:pPr>
              <w:spacing w:after="0"/>
              <w:rPr>
                <w:sz w:val="22"/>
                <w:szCs w:val="22"/>
                <w:color w:val="auto"/>
              </w:rPr>
            </w:pPr>
          </w:p>
        </w:tc>
        <w:tc>
          <w:tcPr>
            <w:tcW w:w="1120" w:type="dxa"/>
            <w:vAlign w:val="bottom"/>
            <w:tcBorders>
              <w:top w:val="single" w:sz="8" w:color="auto"/>
            </w:tcBorders>
            <w:shd w:val="clear" w:color="auto" w:fill="CCEEFF"/>
          </w:tcPr>
          <w:p>
            <w:pPr>
              <w:jc w:val="right"/>
              <w:ind w:right="11"/>
              <w:spacing w:after="0"/>
              <w:rPr>
                <w:sz w:val="20"/>
                <w:szCs w:val="20"/>
                <w:color w:val="auto"/>
              </w:rPr>
            </w:pPr>
            <w:r>
              <w:rPr>
                <w:rFonts w:ascii="Arial" w:cs="Arial" w:eastAsia="Arial" w:hAnsi="Arial"/>
                <w:sz w:val="18"/>
                <w:szCs w:val="18"/>
                <w:color w:val="auto"/>
              </w:rPr>
              <w:t>787</w:t>
            </w:r>
          </w:p>
        </w:tc>
        <w:tc>
          <w:tcPr>
            <w:tcW w:w="120" w:type="dxa"/>
            <w:vAlign w:val="bottom"/>
            <w:tcBorders>
              <w:top w:val="single" w:sz="8" w:color="CCEEFF"/>
            </w:tcBorders>
            <w:shd w:val="clear" w:color="auto" w:fill="CCEEFF"/>
          </w:tcPr>
          <w:p>
            <w:pPr>
              <w:spacing w:after="0"/>
              <w:rPr>
                <w:sz w:val="22"/>
                <w:szCs w:val="22"/>
                <w:color w:val="auto"/>
              </w:rPr>
            </w:pPr>
          </w:p>
        </w:tc>
        <w:tc>
          <w:tcPr>
            <w:tcW w:w="340" w:type="dxa"/>
            <w:vAlign w:val="bottom"/>
            <w:tcBorders>
              <w:top w:val="single" w:sz="8" w:color="auto"/>
            </w:tcBorders>
            <w:shd w:val="clear" w:color="auto" w:fill="CCEEFF"/>
          </w:tcPr>
          <w:p>
            <w:pPr>
              <w:spacing w:after="0"/>
              <w:rPr>
                <w:sz w:val="22"/>
                <w:szCs w:val="22"/>
                <w:color w:val="auto"/>
              </w:rPr>
            </w:pPr>
          </w:p>
        </w:tc>
        <w:tc>
          <w:tcPr>
            <w:tcW w:w="1140" w:type="dxa"/>
            <w:vAlign w:val="bottom"/>
            <w:tcBorders>
              <w:top w:val="single" w:sz="8" w:color="auto"/>
            </w:tcBorders>
            <w:shd w:val="clear" w:color="auto" w:fill="CCEEFF"/>
          </w:tcPr>
          <w:p>
            <w:pPr>
              <w:jc w:val="right"/>
              <w:ind w:right="11"/>
              <w:spacing w:after="0"/>
              <w:rPr>
                <w:sz w:val="20"/>
                <w:szCs w:val="20"/>
                <w:color w:val="auto"/>
              </w:rPr>
            </w:pPr>
            <w:r>
              <w:rPr>
                <w:rFonts w:ascii="Arial" w:cs="Arial" w:eastAsia="Arial" w:hAnsi="Arial"/>
                <w:sz w:val="18"/>
                <w:szCs w:val="18"/>
                <w:color w:val="auto"/>
              </w:rPr>
              <w:t>715</w:t>
            </w:r>
          </w:p>
        </w:tc>
      </w:tr>
      <w:tr>
        <w:trPr>
          <w:trHeight w:val="297"/>
        </w:trPr>
        <w:tc>
          <w:tcPr>
            <w:tcW w:w="2160" w:type="dxa"/>
            <w:vAlign w:val="bottom"/>
          </w:tcPr>
          <w:p>
            <w:pPr>
              <w:spacing w:after="0"/>
              <w:rPr>
                <w:sz w:val="24"/>
                <w:szCs w:val="24"/>
                <w:color w:val="auto"/>
              </w:rPr>
            </w:pPr>
          </w:p>
        </w:tc>
        <w:tc>
          <w:tcPr>
            <w:tcW w:w="458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140" w:type="dxa"/>
            <w:vAlign w:val="bottom"/>
          </w:tcPr>
          <w:p>
            <w:pPr>
              <w:spacing w:after="0"/>
              <w:rPr>
                <w:sz w:val="24"/>
                <w:szCs w:val="24"/>
                <w:color w:val="auto"/>
              </w:rPr>
            </w:pPr>
          </w:p>
        </w:tc>
      </w:tr>
      <w:tr>
        <w:trPr>
          <w:trHeight w:val="270"/>
        </w:trPr>
        <w:tc>
          <w:tcPr>
            <w:tcW w:w="6740" w:type="dxa"/>
            <w:vAlign w:val="bottom"/>
            <w:gridSpan w:val="2"/>
            <w:shd w:val="clear" w:color="auto" w:fill="CCEEFF"/>
          </w:tcPr>
          <w:p>
            <w:pPr>
              <w:ind w:left="40"/>
              <w:spacing w:after="0"/>
              <w:rPr>
                <w:sz w:val="20"/>
                <w:szCs w:val="20"/>
                <w:color w:val="auto"/>
              </w:rPr>
            </w:pPr>
            <w:r>
              <w:rPr>
                <w:rFonts w:ascii="Arial" w:cs="Arial" w:eastAsia="Arial" w:hAnsi="Arial"/>
                <w:sz w:val="18"/>
                <w:szCs w:val="18"/>
                <w:color w:val="auto"/>
              </w:rPr>
              <w:t>Debt refinancing and extinguishment charges</w:t>
            </w:r>
          </w:p>
        </w:tc>
        <w:tc>
          <w:tcPr>
            <w:tcW w:w="1000" w:type="dxa"/>
            <w:vAlign w:val="bottom"/>
            <w:shd w:val="clear" w:color="auto" w:fill="CCEEFF"/>
          </w:tcPr>
          <w:p>
            <w:pPr>
              <w:spacing w:after="0"/>
              <w:rPr>
                <w:sz w:val="23"/>
                <w:szCs w:val="23"/>
                <w:color w:val="auto"/>
              </w:rPr>
            </w:pP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w:t>
            </w:r>
          </w:p>
        </w:tc>
        <w:tc>
          <w:tcPr>
            <w:tcW w:w="4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360" w:type="dxa"/>
            <w:vAlign w:val="bottom"/>
            <w:shd w:val="clear" w:color="auto" w:fill="CCEEFF"/>
          </w:tcPr>
          <w:p>
            <w:pPr>
              <w:spacing w:after="0"/>
              <w:rPr>
                <w:sz w:val="23"/>
                <w:szCs w:val="23"/>
                <w:color w:val="auto"/>
              </w:rPr>
            </w:pPr>
          </w:p>
        </w:tc>
        <w:tc>
          <w:tcPr>
            <w:tcW w:w="112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13</w:t>
            </w:r>
          </w:p>
        </w:tc>
        <w:tc>
          <w:tcPr>
            <w:tcW w:w="120" w:type="dxa"/>
            <w:vAlign w:val="bottom"/>
            <w:shd w:val="clear" w:color="auto" w:fill="CCEEFF"/>
          </w:tcPr>
          <w:p>
            <w:pPr>
              <w:spacing w:after="0"/>
              <w:rPr>
                <w:sz w:val="23"/>
                <w:szCs w:val="23"/>
                <w:color w:val="auto"/>
              </w:rPr>
            </w:pPr>
          </w:p>
        </w:tc>
        <w:tc>
          <w:tcPr>
            <w:tcW w:w="340" w:type="dxa"/>
            <w:vAlign w:val="bottom"/>
            <w:shd w:val="clear" w:color="auto" w:fill="CCEEFF"/>
          </w:tcPr>
          <w:p>
            <w:pPr>
              <w:spacing w:after="0"/>
              <w:rPr>
                <w:sz w:val="23"/>
                <w:szCs w:val="23"/>
                <w:color w:val="auto"/>
              </w:rPr>
            </w:pPr>
          </w:p>
        </w:tc>
        <w:tc>
          <w:tcPr>
            <w:tcW w:w="114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22</w:t>
            </w:r>
          </w:p>
        </w:tc>
      </w:tr>
      <w:tr>
        <w:trPr>
          <w:trHeight w:val="270"/>
        </w:trPr>
        <w:tc>
          <w:tcPr>
            <w:tcW w:w="6740" w:type="dxa"/>
            <w:vAlign w:val="bottom"/>
            <w:gridSpan w:val="2"/>
          </w:tcPr>
          <w:p>
            <w:pPr>
              <w:ind w:left="40"/>
              <w:spacing w:after="0"/>
              <w:rPr>
                <w:sz w:val="20"/>
                <w:szCs w:val="20"/>
                <w:color w:val="auto"/>
              </w:rPr>
            </w:pPr>
            <w:r>
              <w:rPr>
                <w:rFonts w:ascii="Arial" w:cs="Arial" w:eastAsia="Arial" w:hAnsi="Arial"/>
                <w:sz w:val="18"/>
                <w:szCs w:val="18"/>
                <w:color w:val="auto"/>
              </w:rPr>
              <w:t xml:space="preserve">Mark-to-market adjustments on equity and other investments, net </w:t>
            </w:r>
            <w:r>
              <w:rPr>
                <w:rFonts w:ascii="Arial" w:cs="Arial" w:eastAsia="Arial" w:hAnsi="Arial"/>
                <w:sz w:val="21"/>
                <w:szCs w:val="21"/>
                <w:color w:val="auto"/>
                <w:vertAlign w:val="superscript"/>
              </w:rPr>
              <w:t>(8)</w:t>
            </w:r>
          </w:p>
        </w:tc>
        <w:tc>
          <w:tcPr>
            <w:tcW w:w="1000" w:type="dxa"/>
            <w:vAlign w:val="bottom"/>
          </w:tcPr>
          <w:p>
            <w:pPr>
              <w:spacing w:after="0"/>
              <w:rPr>
                <w:sz w:val="23"/>
                <w:szCs w:val="23"/>
                <w:color w:val="auto"/>
              </w:rPr>
            </w:pPr>
          </w:p>
        </w:tc>
        <w:tc>
          <w:tcPr>
            <w:tcW w:w="460" w:type="dxa"/>
            <w:vAlign w:val="bottom"/>
          </w:tcPr>
          <w:p>
            <w:pPr>
              <w:jc w:val="right"/>
              <w:spacing w:after="0"/>
              <w:rPr>
                <w:sz w:val="20"/>
                <w:szCs w:val="20"/>
                <w:color w:val="auto"/>
              </w:rPr>
            </w:pPr>
            <w:r>
              <w:rPr>
                <w:rFonts w:ascii="Arial" w:cs="Arial" w:eastAsia="Arial" w:hAnsi="Arial"/>
                <w:sz w:val="18"/>
                <w:szCs w:val="18"/>
                <w:color w:val="auto"/>
              </w:rPr>
              <w:t>(5)</w:t>
            </w:r>
          </w:p>
        </w:tc>
        <w:tc>
          <w:tcPr>
            <w:tcW w:w="4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360" w:type="dxa"/>
            <w:vAlign w:val="bottom"/>
          </w:tcPr>
          <w:p>
            <w:pPr>
              <w:spacing w:after="0"/>
              <w:rPr>
                <w:sz w:val="23"/>
                <w:szCs w:val="23"/>
                <w:color w:val="auto"/>
              </w:rPr>
            </w:pPr>
          </w:p>
        </w:tc>
        <w:tc>
          <w:tcPr>
            <w:tcW w:w="1120" w:type="dxa"/>
            <w:vAlign w:val="bottom"/>
          </w:tcPr>
          <w:p>
            <w:pPr>
              <w:jc w:val="right"/>
              <w:ind w:right="11"/>
              <w:spacing w:after="0"/>
              <w:rPr>
                <w:sz w:val="20"/>
                <w:szCs w:val="20"/>
                <w:color w:val="auto"/>
              </w:rPr>
            </w:pPr>
            <w:r>
              <w:rPr>
                <w:rFonts w:ascii="Arial" w:cs="Arial" w:eastAsia="Arial" w:hAnsi="Arial"/>
                <w:sz w:val="18"/>
                <w:szCs w:val="18"/>
                <w:color w:val="auto"/>
              </w:rPr>
              <w:t>104</w:t>
            </w:r>
          </w:p>
        </w:tc>
        <w:tc>
          <w:tcPr>
            <w:tcW w:w="12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1140" w:type="dxa"/>
            <w:vAlign w:val="bottom"/>
          </w:tcPr>
          <w:p>
            <w:pPr>
              <w:jc w:val="right"/>
              <w:ind w:right="11"/>
              <w:spacing w:after="0"/>
              <w:rPr>
                <w:sz w:val="20"/>
                <w:szCs w:val="20"/>
                <w:color w:val="auto"/>
              </w:rPr>
            </w:pPr>
            <w:r>
              <w:rPr>
                <w:rFonts w:ascii="Arial" w:cs="Arial" w:eastAsia="Arial" w:hAnsi="Arial"/>
                <w:sz w:val="18"/>
                <w:szCs w:val="18"/>
                <w:color w:val="auto"/>
              </w:rPr>
              <w:t>—</w:t>
            </w:r>
          </w:p>
        </w:tc>
      </w:tr>
      <w:tr>
        <w:trPr>
          <w:trHeight w:val="264"/>
        </w:trPr>
        <w:tc>
          <w:tcPr>
            <w:tcW w:w="6740" w:type="dxa"/>
            <w:vAlign w:val="bottom"/>
            <w:gridSpan w:val="2"/>
            <w:shd w:val="clear" w:color="auto" w:fill="CCEEFF"/>
          </w:tcPr>
          <w:p>
            <w:pPr>
              <w:ind w:left="40"/>
              <w:spacing w:after="0"/>
              <w:rPr>
                <w:sz w:val="20"/>
                <w:szCs w:val="20"/>
                <w:color w:val="auto"/>
              </w:rPr>
            </w:pPr>
            <w:r>
              <w:rPr>
                <w:rFonts w:ascii="Arial" w:cs="Arial" w:eastAsia="Arial" w:hAnsi="Arial"/>
                <w:sz w:val="18"/>
                <w:szCs w:val="18"/>
                <w:color w:val="auto"/>
              </w:rPr>
              <w:t>Other nonoperating income, net</w:t>
            </w:r>
          </w:p>
        </w:tc>
        <w:tc>
          <w:tcPr>
            <w:tcW w:w="1000" w:type="dxa"/>
            <w:vAlign w:val="bottom"/>
            <w:tcBorders>
              <w:bottom w:val="single" w:sz="8" w:color="auto"/>
            </w:tcBorders>
            <w:shd w:val="clear" w:color="auto" w:fill="CCEEFF"/>
          </w:tcPr>
          <w:p>
            <w:pPr>
              <w:spacing w:after="0"/>
              <w:rPr>
                <w:sz w:val="22"/>
                <w:szCs w:val="22"/>
                <w:color w:val="auto"/>
              </w:rPr>
            </w:pPr>
          </w:p>
        </w:tc>
        <w:tc>
          <w:tcPr>
            <w:tcW w:w="4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40" w:type="dxa"/>
            <w:vAlign w:val="bottom"/>
            <w:tcBorders>
              <w:bottom w:val="single" w:sz="8" w:color="auto"/>
            </w:tcBorders>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360" w:type="dxa"/>
            <w:vAlign w:val="bottom"/>
            <w:tcBorders>
              <w:bottom w:val="single" w:sz="8" w:color="auto"/>
            </w:tcBorders>
            <w:shd w:val="clear" w:color="auto" w:fill="CCEEFF"/>
          </w:tcPr>
          <w:p>
            <w:pPr>
              <w:spacing w:after="0"/>
              <w:rPr>
                <w:sz w:val="22"/>
                <w:szCs w:val="22"/>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w:t>
            </w:r>
          </w:p>
        </w:tc>
        <w:tc>
          <w:tcPr>
            <w:tcW w:w="120" w:type="dxa"/>
            <w:vAlign w:val="bottom"/>
            <w:shd w:val="clear" w:color="auto" w:fill="CCEEFF"/>
          </w:tcPr>
          <w:p>
            <w:pPr>
              <w:spacing w:after="0"/>
              <w:rPr>
                <w:sz w:val="22"/>
                <w:szCs w:val="22"/>
                <w:color w:val="auto"/>
              </w:rPr>
            </w:pPr>
          </w:p>
        </w:tc>
        <w:tc>
          <w:tcPr>
            <w:tcW w:w="340" w:type="dxa"/>
            <w:vAlign w:val="bottom"/>
            <w:tcBorders>
              <w:bottom w:val="single" w:sz="8" w:color="auto"/>
            </w:tcBorders>
            <w:shd w:val="clear" w:color="auto" w:fill="CCEEFF"/>
          </w:tcPr>
          <w:p>
            <w:pPr>
              <w:spacing w:after="0"/>
              <w:rPr>
                <w:sz w:val="22"/>
                <w:szCs w:val="22"/>
                <w:color w:val="auto"/>
              </w:rPr>
            </w:pPr>
          </w:p>
        </w:tc>
        <w:tc>
          <w:tcPr>
            <w:tcW w:w="1140" w:type="dxa"/>
            <w:vAlign w:val="bottom"/>
            <w:tcBorders>
              <w:bottom w:val="single" w:sz="8" w:color="auto"/>
            </w:tcBorders>
            <w:shd w:val="clear" w:color="auto" w:fill="CCEEFF"/>
          </w:tcPr>
          <w:p>
            <w:pPr>
              <w:jc w:val="right"/>
              <w:ind w:right="11"/>
              <w:spacing w:after="0"/>
              <w:rPr>
                <w:sz w:val="20"/>
                <w:szCs w:val="20"/>
                <w:color w:val="auto"/>
              </w:rPr>
            </w:pPr>
            <w:r>
              <w:rPr>
                <w:rFonts w:ascii="Arial" w:cs="Arial" w:eastAsia="Arial" w:hAnsi="Arial"/>
                <w:sz w:val="18"/>
                <w:szCs w:val="18"/>
                <w:color w:val="auto"/>
              </w:rPr>
              <w:t>—</w:t>
            </w:r>
          </w:p>
        </w:tc>
      </w:tr>
      <w:tr>
        <w:trPr>
          <w:trHeight w:val="250"/>
        </w:trPr>
        <w:tc>
          <w:tcPr>
            <w:tcW w:w="6740" w:type="dxa"/>
            <w:vAlign w:val="bottom"/>
            <w:gridSpan w:val="2"/>
          </w:tcPr>
          <w:p>
            <w:pPr>
              <w:ind w:left="500"/>
              <w:spacing w:after="0"/>
              <w:rPr>
                <w:sz w:val="20"/>
                <w:szCs w:val="20"/>
                <w:color w:val="auto"/>
              </w:rPr>
            </w:pPr>
            <w:r>
              <w:rPr>
                <w:rFonts w:ascii="Arial" w:cs="Arial" w:eastAsia="Arial" w:hAnsi="Arial"/>
                <w:sz w:val="18"/>
                <w:szCs w:val="18"/>
                <w:color w:val="auto"/>
              </w:rPr>
              <w:t>Nonoperating special items, net</w:t>
            </w:r>
          </w:p>
        </w:tc>
        <w:tc>
          <w:tcPr>
            <w:tcW w:w="1000" w:type="dxa"/>
            <w:vAlign w:val="bottom"/>
          </w:tcPr>
          <w:p>
            <w:pPr>
              <w:spacing w:after="0"/>
              <w:rPr>
                <w:sz w:val="21"/>
                <w:szCs w:val="21"/>
                <w:color w:val="auto"/>
              </w:rPr>
            </w:pPr>
          </w:p>
        </w:tc>
        <w:tc>
          <w:tcPr>
            <w:tcW w:w="460" w:type="dxa"/>
            <w:vAlign w:val="bottom"/>
          </w:tcPr>
          <w:p>
            <w:pPr>
              <w:jc w:val="right"/>
              <w:spacing w:after="0"/>
              <w:rPr>
                <w:sz w:val="20"/>
                <w:szCs w:val="20"/>
                <w:color w:val="auto"/>
              </w:rPr>
            </w:pPr>
            <w:r>
              <w:rPr>
                <w:rFonts w:ascii="Arial" w:cs="Arial" w:eastAsia="Arial" w:hAnsi="Arial"/>
                <w:sz w:val="18"/>
                <w:szCs w:val="18"/>
                <w:color w:val="auto"/>
              </w:rPr>
              <w:t>11</w:t>
            </w:r>
          </w:p>
        </w:tc>
        <w:tc>
          <w:tcPr>
            <w:tcW w:w="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jc w:val="right"/>
              <w:ind w:right="11"/>
              <w:spacing w:after="0"/>
              <w:rPr>
                <w:sz w:val="20"/>
                <w:szCs w:val="20"/>
                <w:color w:val="auto"/>
              </w:rPr>
            </w:pPr>
            <w:r>
              <w:rPr>
                <w:rFonts w:ascii="Arial" w:cs="Arial" w:eastAsia="Arial" w:hAnsi="Arial"/>
                <w:sz w:val="18"/>
                <w:szCs w:val="18"/>
                <w:color w:val="auto"/>
              </w:rPr>
              <w:t>113</w:t>
            </w:r>
          </w:p>
        </w:tc>
        <w:tc>
          <w:tcPr>
            <w:tcW w:w="12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40" w:type="dxa"/>
            <w:vAlign w:val="bottom"/>
          </w:tcPr>
          <w:p>
            <w:pPr>
              <w:jc w:val="right"/>
              <w:ind w:right="11"/>
              <w:spacing w:after="0"/>
              <w:rPr>
                <w:sz w:val="20"/>
                <w:szCs w:val="20"/>
                <w:color w:val="auto"/>
              </w:rPr>
            </w:pPr>
            <w:r>
              <w:rPr>
                <w:rFonts w:ascii="Arial" w:cs="Arial" w:eastAsia="Arial" w:hAnsi="Arial"/>
                <w:sz w:val="18"/>
                <w:szCs w:val="18"/>
                <w:color w:val="auto"/>
              </w:rPr>
              <w:t>22</w:t>
            </w:r>
          </w:p>
        </w:tc>
      </w:tr>
      <w:tr>
        <w:trPr>
          <w:trHeight w:val="304"/>
        </w:trPr>
        <w:tc>
          <w:tcPr>
            <w:tcW w:w="2160" w:type="dxa"/>
            <w:vAlign w:val="bottom"/>
            <w:shd w:val="clear" w:color="auto" w:fill="CCEEFF"/>
          </w:tcPr>
          <w:p>
            <w:pPr>
              <w:spacing w:after="0"/>
              <w:rPr>
                <w:sz w:val="24"/>
                <w:szCs w:val="24"/>
                <w:color w:val="auto"/>
              </w:rPr>
            </w:pPr>
          </w:p>
        </w:tc>
        <w:tc>
          <w:tcPr>
            <w:tcW w:w="4580" w:type="dxa"/>
            <w:vAlign w:val="bottom"/>
            <w:shd w:val="clear" w:color="auto" w:fill="CCEEFF"/>
          </w:tcPr>
          <w:p>
            <w:pPr>
              <w:spacing w:after="0"/>
              <w:rPr>
                <w:sz w:val="24"/>
                <w:szCs w:val="24"/>
                <w:color w:val="auto"/>
              </w:rPr>
            </w:pPr>
          </w:p>
        </w:tc>
        <w:tc>
          <w:tcPr>
            <w:tcW w:w="1000" w:type="dxa"/>
            <w:vAlign w:val="bottom"/>
            <w:shd w:val="clear" w:color="auto" w:fill="CCEEFF"/>
          </w:tcPr>
          <w:p>
            <w:pPr>
              <w:spacing w:after="0"/>
              <w:rPr>
                <w:sz w:val="24"/>
                <w:szCs w:val="24"/>
                <w:color w:val="auto"/>
              </w:rPr>
            </w:pPr>
          </w:p>
        </w:tc>
        <w:tc>
          <w:tcPr>
            <w:tcW w:w="460" w:type="dxa"/>
            <w:vAlign w:val="bottom"/>
            <w:shd w:val="clear" w:color="auto" w:fill="CCEEFF"/>
          </w:tcPr>
          <w:p>
            <w:pPr>
              <w:spacing w:after="0"/>
              <w:rPr>
                <w:sz w:val="24"/>
                <w:szCs w:val="24"/>
                <w:color w:val="auto"/>
              </w:rPr>
            </w:pPr>
          </w:p>
        </w:tc>
        <w:tc>
          <w:tcPr>
            <w:tcW w:w="4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360" w:type="dxa"/>
            <w:vAlign w:val="bottom"/>
            <w:shd w:val="clear" w:color="auto" w:fill="CCEEFF"/>
          </w:tcPr>
          <w:p>
            <w:pPr>
              <w:spacing w:after="0"/>
              <w:rPr>
                <w:sz w:val="24"/>
                <w:szCs w:val="24"/>
                <w:color w:val="auto"/>
              </w:rPr>
            </w:pPr>
          </w:p>
        </w:tc>
        <w:tc>
          <w:tcPr>
            <w:tcW w:w="112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340" w:type="dxa"/>
            <w:vAlign w:val="bottom"/>
            <w:shd w:val="clear" w:color="auto" w:fill="CCEEFF"/>
          </w:tcPr>
          <w:p>
            <w:pPr>
              <w:spacing w:after="0"/>
              <w:rPr>
                <w:sz w:val="24"/>
                <w:szCs w:val="24"/>
                <w:color w:val="auto"/>
              </w:rPr>
            </w:pPr>
          </w:p>
        </w:tc>
        <w:tc>
          <w:tcPr>
            <w:tcW w:w="1140" w:type="dxa"/>
            <w:vAlign w:val="bottom"/>
            <w:shd w:val="clear" w:color="auto" w:fill="CCEEFF"/>
          </w:tcPr>
          <w:p>
            <w:pPr>
              <w:spacing w:after="0"/>
              <w:rPr>
                <w:sz w:val="24"/>
                <w:szCs w:val="24"/>
                <w:color w:val="auto"/>
              </w:rPr>
            </w:pPr>
          </w:p>
        </w:tc>
      </w:tr>
      <w:tr>
        <w:trPr>
          <w:trHeight w:val="270"/>
        </w:trPr>
        <w:tc>
          <w:tcPr>
            <w:tcW w:w="6740" w:type="dxa"/>
            <w:vAlign w:val="bottom"/>
            <w:gridSpan w:val="2"/>
          </w:tcPr>
          <w:p>
            <w:pPr>
              <w:ind w:left="40"/>
              <w:spacing w:after="0"/>
              <w:rPr>
                <w:sz w:val="20"/>
                <w:szCs w:val="20"/>
                <w:color w:val="auto"/>
              </w:rPr>
            </w:pPr>
            <w:r>
              <w:rPr>
                <w:rFonts w:ascii="Arial" w:cs="Arial" w:eastAsia="Arial" w:hAnsi="Arial"/>
                <w:sz w:val="18"/>
                <w:szCs w:val="18"/>
                <w:color w:val="auto"/>
              </w:rPr>
              <w:t xml:space="preserve">Income tax special items </w:t>
            </w:r>
            <w:r>
              <w:rPr>
                <w:rFonts w:ascii="Arial" w:cs="Arial" w:eastAsia="Arial" w:hAnsi="Arial"/>
                <w:sz w:val="21"/>
                <w:szCs w:val="21"/>
                <w:color w:val="auto"/>
                <w:vertAlign w:val="superscript"/>
              </w:rPr>
              <w:t>(9)</w:t>
            </w:r>
          </w:p>
        </w:tc>
        <w:tc>
          <w:tcPr>
            <w:tcW w:w="1000" w:type="dxa"/>
            <w:vAlign w:val="bottom"/>
          </w:tcPr>
          <w:p>
            <w:pPr>
              <w:spacing w:after="0"/>
              <w:rPr>
                <w:sz w:val="23"/>
                <w:szCs w:val="23"/>
                <w:color w:val="auto"/>
              </w:rPr>
            </w:pPr>
          </w:p>
        </w:tc>
        <w:tc>
          <w:tcPr>
            <w:tcW w:w="460" w:type="dxa"/>
            <w:vAlign w:val="bottom"/>
          </w:tcPr>
          <w:p>
            <w:pPr>
              <w:jc w:val="right"/>
              <w:spacing w:after="0"/>
              <w:rPr>
                <w:sz w:val="20"/>
                <w:szCs w:val="20"/>
                <w:color w:val="auto"/>
              </w:rPr>
            </w:pPr>
            <w:r>
              <w:rPr>
                <w:rFonts w:ascii="Arial" w:cs="Arial" w:eastAsia="Arial" w:hAnsi="Arial"/>
                <w:sz w:val="18"/>
                <w:szCs w:val="18"/>
                <w:color w:val="auto"/>
              </w:rPr>
              <w:t>—</w:t>
            </w:r>
          </w:p>
        </w:tc>
        <w:tc>
          <w:tcPr>
            <w:tcW w:w="4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360" w:type="dxa"/>
            <w:vAlign w:val="bottom"/>
          </w:tcPr>
          <w:p>
            <w:pPr>
              <w:spacing w:after="0"/>
              <w:rPr>
                <w:sz w:val="23"/>
                <w:szCs w:val="23"/>
                <w:color w:val="auto"/>
              </w:rPr>
            </w:pPr>
          </w:p>
        </w:tc>
        <w:tc>
          <w:tcPr>
            <w:tcW w:w="1120" w:type="dxa"/>
            <w:vAlign w:val="bottom"/>
          </w:tcPr>
          <w:p>
            <w:pPr>
              <w:jc w:val="right"/>
              <w:ind w:right="11"/>
              <w:spacing w:after="0"/>
              <w:rPr>
                <w:sz w:val="20"/>
                <w:szCs w:val="20"/>
                <w:color w:val="auto"/>
              </w:rPr>
            </w:pPr>
            <w:r>
              <w:rPr>
                <w:rFonts w:ascii="Arial" w:cs="Arial" w:eastAsia="Arial" w:hAnsi="Arial"/>
                <w:sz w:val="18"/>
                <w:szCs w:val="18"/>
                <w:color w:val="auto"/>
              </w:rPr>
              <w:t>18</w:t>
            </w:r>
          </w:p>
        </w:tc>
        <w:tc>
          <w:tcPr>
            <w:tcW w:w="12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1140" w:type="dxa"/>
            <w:vAlign w:val="bottom"/>
          </w:tcPr>
          <w:p>
            <w:pPr>
              <w:jc w:val="right"/>
              <w:ind w:right="11"/>
              <w:spacing w:after="0"/>
              <w:rPr>
                <w:sz w:val="20"/>
                <w:szCs w:val="20"/>
                <w:color w:val="auto"/>
              </w:rPr>
            </w:pPr>
            <w:r>
              <w:rPr>
                <w:rFonts w:ascii="Arial" w:cs="Arial" w:eastAsia="Arial" w:hAnsi="Arial"/>
                <w:sz w:val="18"/>
                <w:szCs w:val="18"/>
                <w:color w:val="auto"/>
              </w:rPr>
              <w:t>—</w:t>
            </w:r>
          </w:p>
        </w:tc>
      </w:tr>
      <w:tr>
        <w:trPr>
          <w:trHeight w:val="270"/>
        </w:trPr>
        <w:tc>
          <w:tcPr>
            <w:tcW w:w="6740" w:type="dxa"/>
            <w:vAlign w:val="bottom"/>
            <w:gridSpan w:val="2"/>
            <w:shd w:val="clear" w:color="auto" w:fill="CCEEFF"/>
          </w:tcPr>
          <w:p>
            <w:pPr>
              <w:ind w:left="40"/>
              <w:spacing w:after="0"/>
              <w:rPr>
                <w:sz w:val="20"/>
                <w:szCs w:val="20"/>
                <w:color w:val="auto"/>
              </w:rPr>
            </w:pPr>
            <w:r>
              <w:rPr>
                <w:rFonts w:ascii="Arial" w:cs="Arial" w:eastAsia="Arial" w:hAnsi="Arial"/>
                <w:sz w:val="18"/>
                <w:szCs w:val="18"/>
                <w:color w:val="auto"/>
              </w:rPr>
              <w:t xml:space="preserve">Impact of the 2017 Tax Act </w:t>
            </w:r>
            <w:r>
              <w:rPr>
                <w:rFonts w:ascii="Arial" w:cs="Arial" w:eastAsia="Arial" w:hAnsi="Arial"/>
                <w:sz w:val="21"/>
                <w:szCs w:val="21"/>
                <w:color w:val="auto"/>
                <w:vertAlign w:val="superscript"/>
              </w:rPr>
              <w:t>(10)</w:t>
            </w:r>
          </w:p>
        </w:tc>
        <w:tc>
          <w:tcPr>
            <w:tcW w:w="1000" w:type="dxa"/>
            <w:vAlign w:val="bottom"/>
            <w:shd w:val="clear" w:color="auto" w:fill="CCEEFF"/>
          </w:tcPr>
          <w:p>
            <w:pPr>
              <w:spacing w:after="0"/>
              <w:rPr>
                <w:sz w:val="23"/>
                <w:szCs w:val="23"/>
                <w:color w:val="auto"/>
              </w:rPr>
            </w:pP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4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360" w:type="dxa"/>
            <w:vAlign w:val="bottom"/>
            <w:shd w:val="clear" w:color="auto" w:fill="CCEEFF"/>
          </w:tcPr>
          <w:p>
            <w:pPr>
              <w:spacing w:after="0"/>
              <w:rPr>
                <w:sz w:val="23"/>
                <w:szCs w:val="23"/>
                <w:color w:val="auto"/>
              </w:rPr>
            </w:pPr>
          </w:p>
        </w:tc>
        <w:tc>
          <w:tcPr>
            <w:tcW w:w="12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340" w:type="dxa"/>
            <w:vAlign w:val="bottom"/>
            <w:shd w:val="clear" w:color="auto" w:fill="CCEEFF"/>
          </w:tcPr>
          <w:p>
            <w:pPr>
              <w:spacing w:after="0"/>
              <w:rPr>
                <w:sz w:val="23"/>
                <w:szCs w:val="23"/>
                <w:color w:val="auto"/>
              </w:rPr>
            </w:pPr>
          </w:p>
        </w:tc>
        <w:tc>
          <w:tcPr>
            <w:tcW w:w="114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924</w:t>
            </w:r>
          </w:p>
        </w:tc>
      </w:tr>
      <w:tr>
        <w:trPr>
          <w:trHeight w:val="237"/>
        </w:trPr>
        <w:tc>
          <w:tcPr>
            <w:tcW w:w="6740" w:type="dxa"/>
            <w:vAlign w:val="bottom"/>
            <w:gridSpan w:val="2"/>
          </w:tcPr>
          <w:p>
            <w:pPr>
              <w:ind w:left="500"/>
              <w:spacing w:after="0"/>
              <w:rPr>
                <w:sz w:val="20"/>
                <w:szCs w:val="20"/>
                <w:color w:val="auto"/>
              </w:rPr>
            </w:pPr>
            <w:r>
              <w:rPr>
                <w:rFonts w:ascii="Arial" w:cs="Arial" w:eastAsia="Arial" w:hAnsi="Arial"/>
                <w:sz w:val="18"/>
                <w:szCs w:val="18"/>
                <w:color w:val="auto"/>
              </w:rPr>
              <w:t>Income tax special items, net</w:t>
            </w:r>
          </w:p>
        </w:tc>
        <w:tc>
          <w:tcPr>
            <w:tcW w:w="1000" w:type="dxa"/>
            <w:vAlign w:val="bottom"/>
            <w:tcBorders>
              <w:top w:val="single" w:sz="8" w:color="auto"/>
            </w:tcBorders>
          </w:tcPr>
          <w:p>
            <w:pPr>
              <w:spacing w:after="0"/>
              <w:rPr>
                <w:sz w:val="20"/>
                <w:szCs w:val="20"/>
                <w:color w:val="auto"/>
              </w:rPr>
            </w:pPr>
          </w:p>
        </w:tc>
        <w:tc>
          <w:tcPr>
            <w:tcW w:w="4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40" w:type="dxa"/>
            <w:vAlign w:val="bottom"/>
            <w:tcBorders>
              <w:top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360" w:type="dxa"/>
            <w:vAlign w:val="bottom"/>
            <w:tcBorders>
              <w:top w:val="single" w:sz="8" w:color="auto"/>
            </w:tcBorders>
          </w:tcPr>
          <w:p>
            <w:pPr>
              <w:spacing w:after="0"/>
              <w:rPr>
                <w:sz w:val="20"/>
                <w:szCs w:val="20"/>
                <w:color w:val="auto"/>
              </w:rPr>
            </w:pPr>
          </w:p>
        </w:tc>
        <w:tc>
          <w:tcPr>
            <w:tcW w:w="112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18</w:t>
            </w:r>
          </w:p>
        </w:tc>
        <w:tc>
          <w:tcPr>
            <w:tcW w:w="120" w:type="dxa"/>
            <w:vAlign w:val="bottom"/>
          </w:tcPr>
          <w:p>
            <w:pPr>
              <w:spacing w:after="0"/>
              <w:rPr>
                <w:sz w:val="20"/>
                <w:szCs w:val="20"/>
                <w:color w:val="auto"/>
              </w:rPr>
            </w:pPr>
          </w:p>
        </w:tc>
        <w:tc>
          <w:tcPr>
            <w:tcW w:w="340" w:type="dxa"/>
            <w:vAlign w:val="bottom"/>
            <w:tcBorders>
              <w:top w:val="single" w:sz="8" w:color="auto"/>
            </w:tcBorders>
          </w:tcPr>
          <w:p>
            <w:pPr>
              <w:spacing w:after="0"/>
              <w:rPr>
                <w:sz w:val="20"/>
                <w:szCs w:val="20"/>
                <w:color w:val="auto"/>
              </w:rPr>
            </w:pPr>
          </w:p>
        </w:tc>
        <w:tc>
          <w:tcPr>
            <w:tcW w:w="114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924</w:t>
            </w:r>
          </w:p>
        </w:tc>
      </w:tr>
      <w:tr>
        <w:trPr>
          <w:trHeight w:val="270"/>
        </w:trPr>
        <w:tc>
          <w:tcPr>
            <w:tcW w:w="2160" w:type="dxa"/>
            <w:vAlign w:val="bottom"/>
            <w:tcBorders>
              <w:bottom w:val="single" w:sz="8" w:color="auto"/>
            </w:tcBorders>
          </w:tcPr>
          <w:p>
            <w:pPr>
              <w:spacing w:after="0"/>
              <w:rPr>
                <w:sz w:val="23"/>
                <w:szCs w:val="23"/>
                <w:color w:val="auto"/>
              </w:rPr>
            </w:pPr>
          </w:p>
        </w:tc>
        <w:tc>
          <w:tcPr>
            <w:tcW w:w="4580" w:type="dxa"/>
            <w:vAlign w:val="bottom"/>
          </w:tcPr>
          <w:p>
            <w:pPr>
              <w:spacing w:after="0"/>
              <w:rPr>
                <w:sz w:val="23"/>
                <w:szCs w:val="23"/>
                <w:color w:val="auto"/>
              </w:rPr>
            </w:pPr>
          </w:p>
        </w:tc>
        <w:tc>
          <w:tcPr>
            <w:tcW w:w="1000" w:type="dxa"/>
            <w:vAlign w:val="bottom"/>
          </w:tcPr>
          <w:p>
            <w:pPr>
              <w:spacing w:after="0"/>
              <w:rPr>
                <w:sz w:val="23"/>
                <w:szCs w:val="23"/>
                <w:color w:val="auto"/>
              </w:rPr>
            </w:pPr>
          </w:p>
        </w:tc>
        <w:tc>
          <w:tcPr>
            <w:tcW w:w="46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360" w:type="dxa"/>
            <w:vAlign w:val="bottom"/>
          </w:tcPr>
          <w:p>
            <w:pPr>
              <w:spacing w:after="0"/>
              <w:rPr>
                <w:sz w:val="23"/>
                <w:szCs w:val="23"/>
                <w:color w:val="auto"/>
              </w:rPr>
            </w:pPr>
          </w:p>
        </w:tc>
        <w:tc>
          <w:tcPr>
            <w:tcW w:w="11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1140" w:type="dxa"/>
            <w:vAlign w:val="bottom"/>
          </w:tcPr>
          <w:p>
            <w:pPr>
              <w:spacing w:after="0"/>
              <w:rPr>
                <w:sz w:val="23"/>
                <w:szCs w:val="23"/>
                <w:color w:val="auto"/>
              </w:rPr>
            </w:pPr>
          </w:p>
        </w:tc>
      </w:tr>
    </w:tbl>
    <w:p>
      <w:pPr>
        <w:spacing w:after="0" w:line="377" w:lineRule="exact"/>
        <w:rPr>
          <w:sz w:val="20"/>
          <w:szCs w:val="20"/>
          <w:color w:val="auto"/>
        </w:rPr>
      </w:pPr>
    </w:p>
    <w:p>
      <w:pPr>
        <w:ind w:left="500" w:right="20" w:hanging="492"/>
        <w:spacing w:after="0" w:line="225" w:lineRule="auto"/>
        <w:tabs>
          <w:tab w:leader="none" w:pos="500" w:val="left"/>
        </w:tabs>
        <w:numPr>
          <w:ilvl w:val="0"/>
          <w:numId w:val="57"/>
        </w:numPr>
        <w:rPr>
          <w:rFonts w:ascii="Arial" w:cs="Arial" w:eastAsia="Arial" w:hAnsi="Arial"/>
          <w:sz w:val="22"/>
          <w:szCs w:val="22"/>
          <w:color w:val="auto"/>
          <w:vertAlign w:val="superscript"/>
        </w:rPr>
      </w:pPr>
      <w:r>
        <w:rPr>
          <w:rFonts w:ascii="Arial" w:cs="Arial" w:eastAsia="Arial" w:hAnsi="Arial"/>
          <w:sz w:val="18"/>
          <w:szCs w:val="18"/>
          <w:color w:val="auto"/>
        </w:rPr>
        <w:t>Fleet restructuring expenses principally included accelerated depreciation and rent expense for aircraft and related equipment grounded or expected to be grounded earlier than planned.</w:t>
      </w:r>
    </w:p>
    <w:p>
      <w:pPr>
        <w:spacing w:after="0" w:line="163" w:lineRule="exact"/>
        <w:rPr>
          <w:rFonts w:ascii="Arial" w:cs="Arial" w:eastAsia="Arial" w:hAnsi="Arial"/>
          <w:sz w:val="22"/>
          <w:szCs w:val="22"/>
          <w:color w:val="auto"/>
          <w:vertAlign w:val="superscript"/>
        </w:rPr>
      </w:pPr>
    </w:p>
    <w:p>
      <w:pPr>
        <w:ind w:left="980" w:right="20" w:hanging="972"/>
        <w:spacing w:after="0" w:line="225" w:lineRule="auto"/>
        <w:tabs>
          <w:tab w:leader="none" w:pos="494" w:val="left"/>
        </w:tabs>
        <w:numPr>
          <w:ilvl w:val="0"/>
          <w:numId w:val="57"/>
        </w:numPr>
        <w:rPr>
          <w:rFonts w:ascii="Arial" w:cs="Arial" w:eastAsia="Arial" w:hAnsi="Arial"/>
          <w:sz w:val="22"/>
          <w:szCs w:val="22"/>
          <w:color w:val="auto"/>
          <w:vertAlign w:val="superscript"/>
        </w:rPr>
      </w:pPr>
      <w:r>
        <w:rPr>
          <w:rFonts w:ascii="Arial" w:cs="Arial" w:eastAsia="Arial" w:hAnsi="Arial"/>
          <w:sz w:val="18"/>
          <w:szCs w:val="18"/>
          <w:color w:val="auto"/>
        </w:rPr>
        <w:t>Fleet impairment principally includes a non-cash write-down of aircraft related to the planned retirement of American’s Embraer E190 fleet.</w:t>
      </w:r>
    </w:p>
    <w:p>
      <w:pPr>
        <w:spacing w:after="0" w:line="163" w:lineRule="exact"/>
        <w:rPr>
          <w:rFonts w:ascii="Arial" w:cs="Arial" w:eastAsia="Arial" w:hAnsi="Arial"/>
          <w:sz w:val="22"/>
          <w:szCs w:val="22"/>
          <w:color w:val="auto"/>
          <w:vertAlign w:val="superscript"/>
        </w:rPr>
      </w:pPr>
    </w:p>
    <w:p>
      <w:pPr>
        <w:ind w:left="980" w:hanging="972"/>
        <w:spacing w:after="0" w:line="225" w:lineRule="auto"/>
        <w:tabs>
          <w:tab w:leader="none" w:pos="494" w:val="left"/>
        </w:tabs>
        <w:numPr>
          <w:ilvl w:val="0"/>
          <w:numId w:val="57"/>
        </w:numPr>
        <w:rPr>
          <w:rFonts w:ascii="Arial" w:cs="Arial" w:eastAsia="Arial" w:hAnsi="Arial"/>
          <w:sz w:val="22"/>
          <w:szCs w:val="22"/>
          <w:color w:val="auto"/>
          <w:vertAlign w:val="superscript"/>
        </w:rPr>
      </w:pPr>
      <w:r>
        <w:rPr>
          <w:rFonts w:ascii="Arial" w:cs="Arial" w:eastAsia="Arial" w:hAnsi="Arial"/>
          <w:sz w:val="18"/>
          <w:szCs w:val="18"/>
          <w:color w:val="auto"/>
        </w:rPr>
        <w:t>Merger integration expenses included costs associated with integration projects, principally American's technical operations, flight attendant, human resources and payroll systems.</w:t>
      </w:r>
    </w:p>
    <w:p>
      <w:pPr>
        <w:sectPr>
          <w:pgSz w:w="11900" w:h="16838" w:orient="portrait"/>
          <w:cols w:equalWidth="0" w:num="1">
            <w:col w:w="11420"/>
          </w:cols>
          <w:pgMar w:left="240" w:top="549" w:right="239" w:bottom="1440" w:gutter="0" w:footer="0" w:header="0"/>
        </w:sectPr>
      </w:pPr>
    </w:p>
    <w:p>
      <w:pPr>
        <w:spacing w:after="0" w:line="161" w:lineRule="exact"/>
        <w:rPr>
          <w:sz w:val="20"/>
          <w:szCs w:val="20"/>
          <w:color w:val="auto"/>
        </w:rPr>
      </w:pPr>
    </w:p>
    <w:p>
      <w:pPr>
        <w:spacing w:after="0"/>
        <w:rPr>
          <w:sz w:val="20"/>
          <w:szCs w:val="20"/>
          <w:color w:val="auto"/>
        </w:rPr>
      </w:pPr>
      <w:r>
        <w:rPr>
          <w:rFonts w:ascii="Arial" w:cs="Arial" w:eastAsia="Arial" w:hAnsi="Arial"/>
          <w:sz w:val="11"/>
          <w:szCs w:val="11"/>
          <w:color w:val="auto"/>
        </w:rPr>
        <w:t>(4)</w:t>
      </w:r>
    </w:p>
    <w:p>
      <w:pPr>
        <w:spacing w:after="0" w:line="252" w:lineRule="exact"/>
        <w:rPr>
          <w:sz w:val="20"/>
          <w:szCs w:val="20"/>
          <w:color w:val="auto"/>
        </w:rPr>
      </w:pPr>
    </w:p>
    <w:p>
      <w:pPr>
        <w:spacing w:after="0"/>
        <w:rPr>
          <w:sz w:val="20"/>
          <w:szCs w:val="20"/>
          <w:color w:val="auto"/>
        </w:rPr>
      </w:pPr>
      <w:r>
        <w:rPr>
          <w:rFonts w:ascii="Arial" w:cs="Arial" w:eastAsia="Arial" w:hAnsi="Arial"/>
          <w:sz w:val="11"/>
          <w:szCs w:val="11"/>
          <w:color w:val="auto"/>
        </w:rPr>
        <w:t>(5)</w:t>
      </w:r>
    </w:p>
    <w:p>
      <w:pPr>
        <w:spacing w:after="0" w:line="20" w:lineRule="exact"/>
        <w:rPr>
          <w:sz w:val="20"/>
          <w:szCs w:val="20"/>
          <w:color w:val="auto"/>
        </w:rPr>
      </w:pPr>
      <w:r>
        <w:rPr>
          <w:sz w:val="20"/>
          <w:szCs w:val="20"/>
          <w:color w:val="auto"/>
        </w:rPr>
        <w:br w:type="column"/>
      </w:r>
    </w:p>
    <w:p>
      <w:pPr>
        <w:spacing w:after="0" w:line="143" w:lineRule="exact"/>
        <w:rPr>
          <w:sz w:val="20"/>
          <w:szCs w:val="20"/>
          <w:color w:val="auto"/>
        </w:rPr>
      </w:pPr>
    </w:p>
    <w:p>
      <w:pPr>
        <w:spacing w:after="0"/>
        <w:rPr>
          <w:sz w:val="20"/>
          <w:szCs w:val="20"/>
          <w:color w:val="auto"/>
        </w:rPr>
      </w:pPr>
      <w:r>
        <w:rPr>
          <w:rFonts w:ascii="Arial" w:cs="Arial" w:eastAsia="Arial" w:hAnsi="Arial"/>
          <w:sz w:val="17"/>
          <w:szCs w:val="17"/>
          <w:color w:val="auto"/>
        </w:rPr>
        <w:t>Bankruptcy obligations that will be settled in shares of AAG common stock are marked-to-market based on AAG’s stock price.</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color w:val="auto"/>
        </w:rPr>
        <w:t>Severance expenses primarily included costs associated with reductions of management and support staff team members.</w:t>
      </w:r>
    </w:p>
    <w:p>
      <w:pPr>
        <w:spacing w:after="0" w:line="171" w:lineRule="exact"/>
        <w:rPr>
          <w:sz w:val="20"/>
          <w:szCs w:val="20"/>
          <w:color w:val="auto"/>
        </w:rPr>
      </w:pPr>
    </w:p>
    <w:p>
      <w:pPr>
        <w:sectPr>
          <w:pgSz w:w="11900" w:h="16838" w:orient="portrait"/>
          <w:cols w:equalWidth="0" w:num="2">
            <w:col w:w="140" w:space="360"/>
            <w:col w:w="10920"/>
          </w:cols>
          <w:pgMar w:left="240" w:top="549" w:right="239" w:bottom="1440" w:gutter="0" w:footer="0" w:header="0"/>
          <w:type w:val="continuous"/>
        </w:sectPr>
      </w:pPr>
    </w:p>
    <w:p>
      <w:pPr>
        <w:ind w:left="980" w:hanging="972"/>
        <w:spacing w:after="0" w:line="225" w:lineRule="auto"/>
        <w:tabs>
          <w:tab w:leader="none" w:pos="494" w:val="left"/>
        </w:tabs>
        <w:numPr>
          <w:ilvl w:val="0"/>
          <w:numId w:val="58"/>
        </w:numPr>
        <w:rPr>
          <w:rFonts w:ascii="Arial" w:cs="Arial" w:eastAsia="Arial" w:hAnsi="Arial"/>
          <w:sz w:val="22"/>
          <w:szCs w:val="22"/>
          <w:color w:val="auto"/>
          <w:vertAlign w:val="superscript"/>
        </w:rPr>
      </w:pPr>
      <w:r>
        <w:rPr>
          <w:rFonts w:ascii="Arial" w:cs="Arial" w:eastAsia="Arial" w:hAnsi="Arial"/>
          <w:sz w:val="18"/>
          <w:szCs w:val="18"/>
          <w:color w:val="auto"/>
        </w:rPr>
        <w:t>Intangible asset impairment includes a non-cash charge to write-off American’s Brazil route authority as a result of the U.S.-Brazil open skies agreement.</w:t>
      </w:r>
    </w:p>
    <w:p>
      <w:pPr>
        <w:spacing w:after="0" w:line="163" w:lineRule="exact"/>
        <w:rPr>
          <w:rFonts w:ascii="Arial" w:cs="Arial" w:eastAsia="Arial" w:hAnsi="Arial"/>
          <w:sz w:val="22"/>
          <w:szCs w:val="22"/>
          <w:color w:val="auto"/>
          <w:vertAlign w:val="superscript"/>
        </w:rPr>
      </w:pPr>
    </w:p>
    <w:p>
      <w:pPr>
        <w:ind w:left="980" w:hanging="972"/>
        <w:spacing w:after="0" w:line="225" w:lineRule="auto"/>
        <w:tabs>
          <w:tab w:leader="none" w:pos="494" w:val="left"/>
        </w:tabs>
        <w:numPr>
          <w:ilvl w:val="0"/>
          <w:numId w:val="58"/>
        </w:numPr>
        <w:rPr>
          <w:rFonts w:ascii="Arial" w:cs="Arial" w:eastAsia="Arial" w:hAnsi="Arial"/>
          <w:sz w:val="22"/>
          <w:szCs w:val="22"/>
          <w:color w:val="auto"/>
          <w:vertAlign w:val="superscript"/>
        </w:rPr>
      </w:pPr>
      <w:r>
        <w:rPr>
          <w:rFonts w:ascii="Arial" w:cs="Arial" w:eastAsia="Arial" w:hAnsi="Arial"/>
          <w:sz w:val="18"/>
          <w:szCs w:val="18"/>
          <w:color w:val="auto"/>
        </w:rPr>
        <w:t>Employee bonus expense included costs related to the $1,000 cash bonus and associated payroll taxes granted to mainline employees in recognition of the 2017 Tax Act.</w:t>
      </w:r>
    </w:p>
    <w:p>
      <w:pPr>
        <w:spacing w:after="0" w:line="163" w:lineRule="exact"/>
        <w:rPr>
          <w:rFonts w:ascii="Arial" w:cs="Arial" w:eastAsia="Arial" w:hAnsi="Arial"/>
          <w:sz w:val="22"/>
          <w:szCs w:val="22"/>
          <w:color w:val="auto"/>
          <w:vertAlign w:val="superscript"/>
        </w:rPr>
      </w:pPr>
    </w:p>
    <w:p>
      <w:pPr>
        <w:ind w:left="980" w:hanging="972"/>
        <w:spacing w:after="0" w:line="225" w:lineRule="auto"/>
        <w:tabs>
          <w:tab w:leader="none" w:pos="494" w:val="left"/>
        </w:tabs>
        <w:numPr>
          <w:ilvl w:val="0"/>
          <w:numId w:val="58"/>
        </w:numPr>
        <w:rPr>
          <w:rFonts w:ascii="Arial" w:cs="Arial" w:eastAsia="Arial" w:hAnsi="Arial"/>
          <w:sz w:val="22"/>
          <w:szCs w:val="22"/>
          <w:color w:val="auto"/>
          <w:vertAlign w:val="superscript"/>
        </w:rPr>
      </w:pPr>
      <w:r>
        <w:rPr>
          <w:rFonts w:ascii="Arial" w:cs="Arial" w:eastAsia="Arial" w:hAnsi="Arial"/>
          <w:sz w:val="18"/>
          <w:szCs w:val="18"/>
          <w:color w:val="auto"/>
        </w:rPr>
        <w:t>Mark-to-market adjustments on equity and other investments, net primarily relates to net unrealized gains and losses associated with American’s equity investment in China Southern Airlines Company Limited (China Southern Airlines).</w:t>
      </w:r>
    </w:p>
    <w:p>
      <w:pPr>
        <w:spacing w:after="0" w:line="126" w:lineRule="exact"/>
        <w:rPr>
          <w:rFonts w:ascii="Arial" w:cs="Arial" w:eastAsia="Arial" w:hAnsi="Arial"/>
          <w:sz w:val="22"/>
          <w:szCs w:val="22"/>
          <w:color w:val="auto"/>
          <w:vertAlign w:val="superscript"/>
        </w:rPr>
      </w:pPr>
    </w:p>
    <w:p>
      <w:pPr>
        <w:ind w:left="500" w:hanging="492"/>
        <w:spacing w:after="0"/>
        <w:tabs>
          <w:tab w:leader="none" w:pos="500" w:val="left"/>
        </w:tabs>
        <w:numPr>
          <w:ilvl w:val="0"/>
          <w:numId w:val="58"/>
        </w:numPr>
        <w:rPr>
          <w:rFonts w:ascii="Arial" w:cs="Arial" w:eastAsia="Arial" w:hAnsi="Arial"/>
          <w:sz w:val="22"/>
          <w:szCs w:val="22"/>
          <w:color w:val="auto"/>
          <w:vertAlign w:val="superscript"/>
        </w:rPr>
      </w:pPr>
      <w:r>
        <w:rPr>
          <w:rFonts w:ascii="Arial" w:cs="Arial" w:eastAsia="Arial" w:hAnsi="Arial"/>
          <w:sz w:val="18"/>
          <w:szCs w:val="18"/>
          <w:color w:val="auto"/>
        </w:rPr>
        <w:t>Income tax special items for 2018 included an $18 million charge related to an international income tax matter.</w:t>
      </w:r>
    </w:p>
    <w:p>
      <w:pPr>
        <w:sectPr>
          <w:pgSz w:w="11900" w:h="16838" w:orient="portrait"/>
          <w:cols w:equalWidth="0" w:num="1">
            <w:col w:w="11420"/>
          </w:cols>
          <w:pgMar w:left="240" w:top="549" w:right="239" w:bottom="1440" w:gutter="0" w:footer="0" w:header="0"/>
          <w:type w:val="continuous"/>
        </w:sectPr>
      </w:pPr>
    </w:p>
    <w:p>
      <w:pPr>
        <w:spacing w:after="0" w:line="215"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130</w:t>
      </w:r>
    </w:p>
    <w:p>
      <w:pPr>
        <w:sectPr>
          <w:pgSz w:w="11900" w:h="16838" w:orient="portrait"/>
          <w:cols w:equalWidth="0" w:num="1">
            <w:col w:w="11420"/>
          </w:cols>
          <w:pgMar w:left="240" w:top="549" w:right="239" w:bottom="1440" w:gutter="0" w:footer="0" w:header="0"/>
          <w:type w:val="continuous"/>
        </w:sectPr>
      </w:pPr>
    </w:p>
    <w:bookmarkStart w:id="130" w:name="page131"/>
    <w:bookmarkEnd w:id="130"/>
    <w:p>
      <w:pPr>
        <w:jc w:val="center"/>
        <w:spacing w:after="0"/>
        <w:rPr>
          <w:sz w:val="20"/>
          <w:szCs w:val="20"/>
          <w:color w:val="auto"/>
        </w:rPr>
      </w:pPr>
      <w:r>
        <w:rPr>
          <w:rFonts w:ascii="Arial" w:cs="Arial" w:eastAsia="Arial" w:hAnsi="Arial"/>
          <w:sz w:val="18"/>
          <w:szCs w:val="18"/>
          <w:b w:val="1"/>
          <w:bCs w:val="1"/>
          <w:color w:val="auto"/>
        </w:rPr>
        <w:t>NOTES TO CONSOLIDATED FINANCIAL STATEMENTS OF AMERICAN AIRLINES, INC.</w:t>
      </w:r>
    </w:p>
    <w:p>
      <w:pPr>
        <w:spacing w:after="0" w:line="200" w:lineRule="exact"/>
        <w:rPr>
          <w:sz w:val="20"/>
          <w:szCs w:val="20"/>
          <w:color w:val="auto"/>
        </w:rPr>
      </w:pPr>
    </w:p>
    <w:p>
      <w:pPr>
        <w:spacing w:after="0" w:line="209" w:lineRule="exact"/>
        <w:rPr>
          <w:sz w:val="20"/>
          <w:szCs w:val="20"/>
          <w:color w:val="auto"/>
        </w:rPr>
      </w:pPr>
    </w:p>
    <w:p>
      <w:pPr>
        <w:jc w:val="both"/>
        <w:ind w:left="500" w:hanging="492"/>
        <w:spacing w:after="0" w:line="233" w:lineRule="auto"/>
        <w:tabs>
          <w:tab w:leader="none" w:pos="500" w:val="left"/>
        </w:tabs>
        <w:numPr>
          <w:ilvl w:val="0"/>
          <w:numId w:val="59"/>
        </w:numPr>
        <w:rPr>
          <w:rFonts w:ascii="Arial" w:cs="Arial" w:eastAsia="Arial" w:hAnsi="Arial"/>
          <w:sz w:val="22"/>
          <w:szCs w:val="22"/>
          <w:color w:val="auto"/>
          <w:vertAlign w:val="superscript"/>
        </w:rPr>
      </w:pPr>
      <w:r>
        <w:rPr>
          <w:rFonts w:ascii="Arial" w:cs="Arial" w:eastAsia="Arial" w:hAnsi="Arial"/>
          <w:sz w:val="18"/>
          <w:szCs w:val="18"/>
          <w:color w:val="auto"/>
        </w:rPr>
        <w:t>Impact of the 2017 Tax Act includes a $924 million non-cash charge to income tax expense to reflect the impact of lower corporate income tax rates on the Company’s deferred tax asset and liabilities resulting from the 2017 Tax Act, which reduced the federal corporate income tax rate from 35% to 21%.</w:t>
      </w:r>
    </w:p>
    <w:p>
      <w:pPr>
        <w:spacing w:after="0" w:line="22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3. Debt</w:t>
      </w:r>
    </w:p>
    <w:p>
      <w:pPr>
        <w:spacing w:after="0" w:line="112" w:lineRule="exact"/>
        <w:rPr>
          <w:sz w:val="20"/>
          <w:szCs w:val="20"/>
          <w:color w:val="auto"/>
        </w:rPr>
      </w:pPr>
    </w:p>
    <w:p>
      <w:pPr>
        <w:ind w:left="220"/>
        <w:spacing w:after="0"/>
        <w:rPr>
          <w:sz w:val="20"/>
          <w:szCs w:val="20"/>
          <w:color w:val="auto"/>
        </w:rPr>
      </w:pPr>
      <w:r>
        <w:rPr>
          <w:rFonts w:ascii="Arial" w:cs="Arial" w:eastAsia="Arial" w:hAnsi="Arial"/>
          <w:sz w:val="18"/>
          <w:szCs w:val="18"/>
          <w:color w:val="auto"/>
        </w:rPr>
        <w:t>Long-term debt included on American’s consolidated balance sheets consisted of (in millions):</w:t>
      </w:r>
    </w:p>
    <w:p>
      <w:pPr>
        <w:spacing w:after="0" w:line="321" w:lineRule="exact"/>
        <w:rPr>
          <w:sz w:val="20"/>
          <w:szCs w:val="20"/>
          <w:color w:val="auto"/>
        </w:rPr>
      </w:pPr>
    </w:p>
    <w:tbl>
      <w:tblPr>
        <w:tblLayout w:type="fixed"/>
        <w:tblInd w:w="0" w:type="dxa"/>
        <w:tblCellMar>
          <w:top w:w="0" w:type="dxa"/>
          <w:left w:w="0" w:type="dxa"/>
          <w:bottom w:w="0" w:type="dxa"/>
          <w:right w:w="0" w:type="dxa"/>
        </w:tblCellMar>
      </w:tblPr>
      <w:tr>
        <w:trPr>
          <w:trHeight w:val="196"/>
        </w:trPr>
        <w:tc>
          <w:tcPr>
            <w:tcW w:w="8560" w:type="dxa"/>
            <w:vAlign w:val="bottom"/>
          </w:tcPr>
          <w:p>
            <w:pPr>
              <w:spacing w:after="0"/>
              <w:rPr>
                <w:sz w:val="17"/>
                <w:szCs w:val="17"/>
                <w:color w:val="auto"/>
              </w:rPr>
            </w:pPr>
          </w:p>
        </w:tc>
        <w:tc>
          <w:tcPr>
            <w:tcW w:w="320" w:type="dxa"/>
            <w:vAlign w:val="bottom"/>
            <w:tcBorders>
              <w:bottom w:val="single" w:sz="8" w:color="auto"/>
            </w:tcBorders>
          </w:tcPr>
          <w:p>
            <w:pPr>
              <w:spacing w:after="0"/>
              <w:rPr>
                <w:sz w:val="17"/>
                <w:szCs w:val="17"/>
                <w:color w:val="auto"/>
              </w:rPr>
            </w:pPr>
          </w:p>
        </w:tc>
        <w:tc>
          <w:tcPr>
            <w:tcW w:w="1640" w:type="dxa"/>
            <w:vAlign w:val="bottom"/>
            <w:tcBorders>
              <w:bottom w:val="single" w:sz="8" w:color="auto"/>
            </w:tcBorders>
            <w:gridSpan w:val="3"/>
          </w:tcPr>
          <w:p>
            <w:pPr>
              <w:jc w:val="right"/>
              <w:spacing w:after="0"/>
              <w:rPr>
                <w:sz w:val="20"/>
                <w:szCs w:val="20"/>
                <w:color w:val="auto"/>
              </w:rPr>
            </w:pPr>
            <w:r>
              <w:rPr>
                <w:rFonts w:ascii="Arial" w:cs="Arial" w:eastAsia="Arial" w:hAnsi="Arial"/>
                <w:sz w:val="14"/>
                <w:szCs w:val="14"/>
                <w:b w:val="1"/>
                <w:bCs w:val="1"/>
                <w:color w:val="auto"/>
              </w:rPr>
              <w:t>December 31,</w:t>
            </w:r>
          </w:p>
        </w:tc>
        <w:tc>
          <w:tcPr>
            <w:tcW w:w="900" w:type="dxa"/>
            <w:vAlign w:val="bottom"/>
            <w:tcBorders>
              <w:bottom w:val="single" w:sz="8" w:color="auto"/>
            </w:tcBorders>
          </w:tcPr>
          <w:p>
            <w:pPr>
              <w:spacing w:after="0"/>
              <w:rPr>
                <w:sz w:val="17"/>
                <w:szCs w:val="17"/>
                <w:color w:val="auto"/>
              </w:rPr>
            </w:pPr>
          </w:p>
        </w:tc>
      </w:tr>
      <w:tr>
        <w:trPr>
          <w:trHeight w:val="264"/>
        </w:trPr>
        <w:tc>
          <w:tcPr>
            <w:tcW w:w="8560" w:type="dxa"/>
            <w:vAlign w:val="bottom"/>
            <w:tcBorders>
              <w:bottom w:val="single" w:sz="8" w:color="CCEEFF"/>
            </w:tcBorders>
          </w:tcPr>
          <w:p>
            <w:pPr>
              <w:spacing w:after="0"/>
              <w:rPr>
                <w:sz w:val="22"/>
                <w:szCs w:val="22"/>
                <w:color w:val="auto"/>
              </w:rPr>
            </w:pPr>
          </w:p>
        </w:tc>
        <w:tc>
          <w:tcPr>
            <w:tcW w:w="320" w:type="dxa"/>
            <w:vAlign w:val="bottom"/>
            <w:tcBorders>
              <w:bottom w:val="single" w:sz="8" w:color="auto"/>
            </w:tcBorders>
          </w:tcPr>
          <w:p>
            <w:pPr>
              <w:spacing w:after="0"/>
              <w:rPr>
                <w:sz w:val="22"/>
                <w:szCs w:val="22"/>
                <w:color w:val="auto"/>
              </w:rPr>
            </w:pPr>
          </w:p>
        </w:tc>
        <w:tc>
          <w:tcPr>
            <w:tcW w:w="1060" w:type="dxa"/>
            <w:vAlign w:val="bottom"/>
            <w:tcBorders>
              <w:bottom w:val="single" w:sz="8" w:color="auto"/>
            </w:tcBorders>
          </w:tcPr>
          <w:p>
            <w:pPr>
              <w:jc w:val="right"/>
              <w:ind w:right="453"/>
              <w:spacing w:after="0"/>
              <w:rPr>
                <w:sz w:val="20"/>
                <w:szCs w:val="20"/>
                <w:color w:val="auto"/>
              </w:rPr>
            </w:pPr>
            <w:r>
              <w:rPr>
                <w:rFonts w:ascii="Arial" w:cs="Arial" w:eastAsia="Arial" w:hAnsi="Arial"/>
                <w:sz w:val="14"/>
                <w:szCs w:val="14"/>
                <w:b w:val="1"/>
                <w:bCs w:val="1"/>
                <w:color w:val="auto"/>
              </w:rPr>
              <w:t>2019</w:t>
            </w:r>
          </w:p>
        </w:tc>
        <w:tc>
          <w:tcPr>
            <w:tcW w:w="100" w:type="dxa"/>
            <w:vAlign w:val="bottom"/>
            <w:tcBorders>
              <w:bottom w:val="single" w:sz="8" w:color="CCEEFF"/>
            </w:tcBorders>
          </w:tcPr>
          <w:p>
            <w:pPr>
              <w:spacing w:after="0"/>
              <w:rPr>
                <w:sz w:val="22"/>
                <w:szCs w:val="22"/>
                <w:color w:val="auto"/>
              </w:rPr>
            </w:pPr>
          </w:p>
        </w:tc>
        <w:tc>
          <w:tcPr>
            <w:tcW w:w="480" w:type="dxa"/>
            <w:vAlign w:val="bottom"/>
            <w:tcBorders>
              <w:bottom w:val="single" w:sz="8" w:color="auto"/>
            </w:tcBorders>
          </w:tcPr>
          <w:p>
            <w:pPr>
              <w:spacing w:after="0"/>
              <w:rPr>
                <w:sz w:val="22"/>
                <w:szCs w:val="22"/>
                <w:color w:val="auto"/>
              </w:rPr>
            </w:pPr>
          </w:p>
        </w:tc>
        <w:tc>
          <w:tcPr>
            <w:tcW w:w="900" w:type="dxa"/>
            <w:vAlign w:val="bottom"/>
            <w:tcBorders>
              <w:bottom w:val="single" w:sz="8" w:color="auto"/>
            </w:tcBorders>
          </w:tcPr>
          <w:p>
            <w:pPr>
              <w:jc w:val="right"/>
              <w:ind w:right="431"/>
              <w:spacing w:after="0"/>
              <w:rPr>
                <w:sz w:val="20"/>
                <w:szCs w:val="20"/>
                <w:color w:val="auto"/>
              </w:rPr>
            </w:pPr>
            <w:r>
              <w:rPr>
                <w:rFonts w:ascii="Arial" w:cs="Arial" w:eastAsia="Arial" w:hAnsi="Arial"/>
                <w:sz w:val="14"/>
                <w:szCs w:val="14"/>
                <w:b w:val="1"/>
                <w:bCs w:val="1"/>
                <w:color w:val="auto"/>
              </w:rPr>
              <w:t>2018</w:t>
            </w:r>
          </w:p>
        </w:tc>
      </w:tr>
      <w:tr>
        <w:trPr>
          <w:trHeight w:val="250"/>
        </w:trPr>
        <w:tc>
          <w:tcPr>
            <w:tcW w:w="85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i w:val="1"/>
                <w:iCs w:val="1"/>
                <w:color w:val="auto"/>
              </w:rPr>
              <w:t>Secured</w:t>
            </w:r>
          </w:p>
        </w:tc>
        <w:tc>
          <w:tcPr>
            <w:tcW w:w="32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48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spacing w:after="0"/>
              <w:rPr>
                <w:sz w:val="21"/>
                <w:szCs w:val="21"/>
                <w:color w:val="auto"/>
              </w:rPr>
            </w:pPr>
          </w:p>
        </w:tc>
      </w:tr>
      <w:tr>
        <w:trPr>
          <w:trHeight w:val="270"/>
        </w:trPr>
        <w:tc>
          <w:tcPr>
            <w:tcW w:w="8560" w:type="dxa"/>
            <w:vAlign w:val="bottom"/>
          </w:tcPr>
          <w:p>
            <w:pPr>
              <w:ind w:left="280"/>
              <w:spacing w:after="0"/>
              <w:rPr>
                <w:sz w:val="20"/>
                <w:szCs w:val="20"/>
                <w:color w:val="auto"/>
              </w:rPr>
            </w:pPr>
            <w:r>
              <w:rPr>
                <w:rFonts w:ascii="Arial" w:cs="Arial" w:eastAsia="Arial" w:hAnsi="Arial"/>
                <w:sz w:val="18"/>
                <w:szCs w:val="18"/>
                <w:color w:val="auto"/>
              </w:rPr>
              <w:t xml:space="preserve">2013 Credit Facilities, variable interest rate of 3.54%, installments through 2025 </w:t>
            </w:r>
            <w:r>
              <w:rPr>
                <w:rFonts w:ascii="Arial" w:cs="Arial" w:eastAsia="Arial" w:hAnsi="Arial"/>
                <w:sz w:val="21"/>
                <w:szCs w:val="21"/>
                <w:color w:val="auto"/>
                <w:vertAlign w:val="superscript"/>
              </w:rPr>
              <w:t>(a)</w:t>
            </w:r>
          </w:p>
        </w:tc>
        <w:tc>
          <w:tcPr>
            <w:tcW w:w="320" w:type="dxa"/>
            <w:vAlign w:val="bottom"/>
          </w:tcPr>
          <w:p>
            <w:pPr>
              <w:jc w:val="right"/>
              <w:ind w:right="110"/>
              <w:spacing w:after="0"/>
              <w:rPr>
                <w:sz w:val="20"/>
                <w:szCs w:val="20"/>
                <w:color w:val="auto"/>
              </w:rPr>
            </w:pPr>
            <w:r>
              <w:rPr>
                <w:rFonts w:ascii="Arial" w:cs="Arial" w:eastAsia="Arial" w:hAnsi="Arial"/>
                <w:sz w:val="18"/>
                <w:szCs w:val="18"/>
                <w:color w:val="auto"/>
                <w:w w:val="99"/>
              </w:rPr>
              <w:t>$</w:t>
            </w:r>
          </w:p>
        </w:tc>
        <w:tc>
          <w:tcPr>
            <w:tcW w:w="1060" w:type="dxa"/>
            <w:vAlign w:val="bottom"/>
          </w:tcPr>
          <w:p>
            <w:pPr>
              <w:jc w:val="right"/>
              <w:ind w:right="33"/>
              <w:spacing w:after="0"/>
              <w:rPr>
                <w:sz w:val="20"/>
                <w:szCs w:val="20"/>
                <w:color w:val="auto"/>
              </w:rPr>
            </w:pPr>
            <w:r>
              <w:rPr>
                <w:rFonts w:ascii="Arial" w:cs="Arial" w:eastAsia="Arial" w:hAnsi="Arial"/>
                <w:sz w:val="18"/>
                <w:szCs w:val="18"/>
                <w:color w:val="auto"/>
              </w:rPr>
              <w:t>1,807</w:t>
            </w:r>
          </w:p>
        </w:tc>
        <w:tc>
          <w:tcPr>
            <w:tcW w:w="100" w:type="dxa"/>
            <w:vAlign w:val="bottom"/>
          </w:tcPr>
          <w:p>
            <w:pPr>
              <w:spacing w:after="0"/>
              <w:rPr>
                <w:sz w:val="23"/>
                <w:szCs w:val="23"/>
                <w:color w:val="auto"/>
              </w:rPr>
            </w:pPr>
          </w:p>
        </w:tc>
        <w:tc>
          <w:tcPr>
            <w:tcW w:w="480" w:type="dxa"/>
            <w:vAlign w:val="bottom"/>
          </w:tcPr>
          <w:p>
            <w:pPr>
              <w:jc w:val="right"/>
              <w:ind w:right="270"/>
              <w:spacing w:after="0"/>
              <w:rPr>
                <w:sz w:val="20"/>
                <w:szCs w:val="20"/>
                <w:color w:val="auto"/>
              </w:rPr>
            </w:pPr>
            <w:r>
              <w:rPr>
                <w:rFonts w:ascii="Arial" w:cs="Arial" w:eastAsia="Arial" w:hAnsi="Arial"/>
                <w:sz w:val="18"/>
                <w:szCs w:val="18"/>
                <w:color w:val="auto"/>
                <w:w w:val="99"/>
              </w:rPr>
              <w:t>$</w:t>
            </w:r>
          </w:p>
        </w:tc>
        <w:tc>
          <w:tcPr>
            <w:tcW w:w="900" w:type="dxa"/>
            <w:vAlign w:val="bottom"/>
          </w:tcPr>
          <w:p>
            <w:pPr>
              <w:jc w:val="right"/>
              <w:ind w:right="11"/>
              <w:spacing w:after="0"/>
              <w:rPr>
                <w:sz w:val="20"/>
                <w:szCs w:val="20"/>
                <w:color w:val="auto"/>
              </w:rPr>
            </w:pPr>
            <w:r>
              <w:rPr>
                <w:rFonts w:ascii="Arial" w:cs="Arial" w:eastAsia="Arial" w:hAnsi="Arial"/>
                <w:sz w:val="18"/>
                <w:szCs w:val="18"/>
                <w:color w:val="auto"/>
              </w:rPr>
              <w:t>1,825</w:t>
            </w:r>
          </w:p>
        </w:tc>
      </w:tr>
      <w:tr>
        <w:trPr>
          <w:trHeight w:val="270"/>
        </w:trPr>
        <w:tc>
          <w:tcPr>
            <w:tcW w:w="8560" w:type="dxa"/>
            <w:vAlign w:val="bottom"/>
            <w:shd w:val="clear" w:color="auto" w:fill="CCEEFF"/>
          </w:tcPr>
          <w:p>
            <w:pPr>
              <w:ind w:left="280"/>
              <w:spacing w:after="0"/>
              <w:rPr>
                <w:sz w:val="20"/>
                <w:szCs w:val="20"/>
                <w:color w:val="auto"/>
              </w:rPr>
            </w:pPr>
            <w:r>
              <w:rPr>
                <w:rFonts w:ascii="Arial" w:cs="Arial" w:eastAsia="Arial" w:hAnsi="Arial"/>
                <w:sz w:val="18"/>
                <w:szCs w:val="18"/>
                <w:color w:val="auto"/>
              </w:rPr>
              <w:t xml:space="preserve">2014 Credit Facilities, variable interest rate of 3.72%, installments through 2021 </w:t>
            </w:r>
            <w:r>
              <w:rPr>
                <w:rFonts w:ascii="Arial" w:cs="Arial" w:eastAsia="Arial" w:hAnsi="Arial"/>
                <w:sz w:val="21"/>
                <w:szCs w:val="21"/>
                <w:color w:val="auto"/>
                <w:vertAlign w:val="superscript"/>
              </w:rPr>
              <w:t>(a)</w:t>
            </w:r>
          </w:p>
        </w:tc>
        <w:tc>
          <w:tcPr>
            <w:tcW w:w="320" w:type="dxa"/>
            <w:vAlign w:val="bottom"/>
            <w:shd w:val="clear" w:color="auto" w:fill="CCEEFF"/>
          </w:tcPr>
          <w:p>
            <w:pPr>
              <w:spacing w:after="0"/>
              <w:rPr>
                <w:sz w:val="23"/>
                <w:szCs w:val="23"/>
                <w:color w:val="auto"/>
              </w:rPr>
            </w:pPr>
          </w:p>
        </w:tc>
        <w:tc>
          <w:tcPr>
            <w:tcW w:w="1060" w:type="dxa"/>
            <w:vAlign w:val="bottom"/>
            <w:shd w:val="clear" w:color="auto" w:fill="CCEEFF"/>
          </w:tcPr>
          <w:p>
            <w:pPr>
              <w:jc w:val="right"/>
              <w:ind w:right="33"/>
              <w:spacing w:after="0"/>
              <w:rPr>
                <w:sz w:val="20"/>
                <w:szCs w:val="20"/>
                <w:color w:val="auto"/>
              </w:rPr>
            </w:pPr>
            <w:r>
              <w:rPr>
                <w:rFonts w:ascii="Arial" w:cs="Arial" w:eastAsia="Arial" w:hAnsi="Arial"/>
                <w:sz w:val="18"/>
                <w:szCs w:val="18"/>
                <w:color w:val="auto"/>
              </w:rPr>
              <w:t>1,202</w:t>
            </w:r>
          </w:p>
        </w:tc>
        <w:tc>
          <w:tcPr>
            <w:tcW w:w="100" w:type="dxa"/>
            <w:vAlign w:val="bottom"/>
            <w:shd w:val="clear" w:color="auto" w:fill="CCEEFF"/>
          </w:tcPr>
          <w:p>
            <w:pPr>
              <w:spacing w:after="0"/>
              <w:rPr>
                <w:sz w:val="23"/>
                <w:szCs w:val="23"/>
                <w:color w:val="auto"/>
              </w:rPr>
            </w:pPr>
          </w:p>
        </w:tc>
        <w:tc>
          <w:tcPr>
            <w:tcW w:w="480" w:type="dxa"/>
            <w:vAlign w:val="bottom"/>
            <w:shd w:val="clear" w:color="auto" w:fill="CCEEFF"/>
          </w:tcPr>
          <w:p>
            <w:pPr>
              <w:spacing w:after="0"/>
              <w:rPr>
                <w:sz w:val="23"/>
                <w:szCs w:val="23"/>
                <w:color w:val="auto"/>
              </w:rPr>
            </w:pPr>
          </w:p>
        </w:tc>
        <w:tc>
          <w:tcPr>
            <w:tcW w:w="90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1,215</w:t>
            </w:r>
          </w:p>
        </w:tc>
      </w:tr>
      <w:tr>
        <w:trPr>
          <w:trHeight w:val="270"/>
        </w:trPr>
        <w:tc>
          <w:tcPr>
            <w:tcW w:w="8560" w:type="dxa"/>
            <w:vAlign w:val="bottom"/>
          </w:tcPr>
          <w:p>
            <w:pPr>
              <w:ind w:left="280"/>
              <w:spacing w:after="0"/>
              <w:rPr>
                <w:sz w:val="20"/>
                <w:szCs w:val="20"/>
                <w:color w:val="auto"/>
              </w:rPr>
            </w:pPr>
            <w:r>
              <w:rPr>
                <w:rFonts w:ascii="Arial" w:cs="Arial" w:eastAsia="Arial" w:hAnsi="Arial"/>
                <w:sz w:val="18"/>
                <w:szCs w:val="18"/>
                <w:color w:val="auto"/>
              </w:rPr>
              <w:t xml:space="preserve">April 2016 Credit Facilities, variable interest rate of 3.80%, installments through 2023 </w:t>
            </w:r>
            <w:r>
              <w:rPr>
                <w:rFonts w:ascii="Arial" w:cs="Arial" w:eastAsia="Arial" w:hAnsi="Arial"/>
                <w:sz w:val="21"/>
                <w:szCs w:val="21"/>
                <w:color w:val="auto"/>
                <w:vertAlign w:val="superscript"/>
              </w:rPr>
              <w:t>(a)</w:t>
            </w:r>
          </w:p>
        </w:tc>
        <w:tc>
          <w:tcPr>
            <w:tcW w:w="320" w:type="dxa"/>
            <w:vAlign w:val="bottom"/>
          </w:tcPr>
          <w:p>
            <w:pPr>
              <w:spacing w:after="0"/>
              <w:rPr>
                <w:sz w:val="23"/>
                <w:szCs w:val="23"/>
                <w:color w:val="auto"/>
              </w:rPr>
            </w:pPr>
          </w:p>
        </w:tc>
        <w:tc>
          <w:tcPr>
            <w:tcW w:w="1060" w:type="dxa"/>
            <w:vAlign w:val="bottom"/>
          </w:tcPr>
          <w:p>
            <w:pPr>
              <w:jc w:val="right"/>
              <w:ind w:right="33"/>
              <w:spacing w:after="0"/>
              <w:rPr>
                <w:sz w:val="20"/>
                <w:szCs w:val="20"/>
                <w:color w:val="auto"/>
              </w:rPr>
            </w:pPr>
            <w:r>
              <w:rPr>
                <w:rFonts w:ascii="Arial" w:cs="Arial" w:eastAsia="Arial" w:hAnsi="Arial"/>
                <w:sz w:val="18"/>
                <w:szCs w:val="18"/>
                <w:color w:val="auto"/>
              </w:rPr>
              <w:t>970</w:t>
            </w:r>
          </w:p>
        </w:tc>
        <w:tc>
          <w:tcPr>
            <w:tcW w:w="100" w:type="dxa"/>
            <w:vAlign w:val="bottom"/>
          </w:tcPr>
          <w:p>
            <w:pPr>
              <w:spacing w:after="0"/>
              <w:rPr>
                <w:sz w:val="23"/>
                <w:szCs w:val="23"/>
                <w:color w:val="auto"/>
              </w:rPr>
            </w:pPr>
          </w:p>
        </w:tc>
        <w:tc>
          <w:tcPr>
            <w:tcW w:w="480" w:type="dxa"/>
            <w:vAlign w:val="bottom"/>
          </w:tcPr>
          <w:p>
            <w:pPr>
              <w:spacing w:after="0"/>
              <w:rPr>
                <w:sz w:val="23"/>
                <w:szCs w:val="23"/>
                <w:color w:val="auto"/>
              </w:rPr>
            </w:pPr>
          </w:p>
        </w:tc>
        <w:tc>
          <w:tcPr>
            <w:tcW w:w="900" w:type="dxa"/>
            <w:vAlign w:val="bottom"/>
          </w:tcPr>
          <w:p>
            <w:pPr>
              <w:jc w:val="right"/>
              <w:ind w:right="11"/>
              <w:spacing w:after="0"/>
              <w:rPr>
                <w:sz w:val="20"/>
                <w:szCs w:val="20"/>
                <w:color w:val="auto"/>
              </w:rPr>
            </w:pPr>
            <w:r>
              <w:rPr>
                <w:rFonts w:ascii="Arial" w:cs="Arial" w:eastAsia="Arial" w:hAnsi="Arial"/>
                <w:sz w:val="18"/>
                <w:szCs w:val="18"/>
                <w:color w:val="auto"/>
              </w:rPr>
              <w:t>980</w:t>
            </w:r>
          </w:p>
        </w:tc>
      </w:tr>
      <w:tr>
        <w:trPr>
          <w:trHeight w:val="270"/>
        </w:trPr>
        <w:tc>
          <w:tcPr>
            <w:tcW w:w="8560" w:type="dxa"/>
            <w:vAlign w:val="bottom"/>
            <w:shd w:val="clear" w:color="auto" w:fill="CCEEFF"/>
          </w:tcPr>
          <w:p>
            <w:pPr>
              <w:ind w:left="280"/>
              <w:spacing w:after="0"/>
              <w:rPr>
                <w:sz w:val="20"/>
                <w:szCs w:val="20"/>
                <w:color w:val="auto"/>
              </w:rPr>
            </w:pPr>
            <w:r>
              <w:rPr>
                <w:rFonts w:ascii="Arial" w:cs="Arial" w:eastAsia="Arial" w:hAnsi="Arial"/>
                <w:sz w:val="18"/>
                <w:szCs w:val="18"/>
                <w:color w:val="auto"/>
              </w:rPr>
              <w:t xml:space="preserve">December 2016 Credit Facilities, variable interest rate of 3.74%, installments through 2023 </w:t>
            </w:r>
            <w:r>
              <w:rPr>
                <w:rFonts w:ascii="Arial" w:cs="Arial" w:eastAsia="Arial" w:hAnsi="Arial"/>
                <w:sz w:val="21"/>
                <w:szCs w:val="21"/>
                <w:color w:val="auto"/>
                <w:vertAlign w:val="superscript"/>
              </w:rPr>
              <w:t>(a)</w:t>
            </w:r>
          </w:p>
        </w:tc>
        <w:tc>
          <w:tcPr>
            <w:tcW w:w="320" w:type="dxa"/>
            <w:vAlign w:val="bottom"/>
            <w:shd w:val="clear" w:color="auto" w:fill="CCEEFF"/>
          </w:tcPr>
          <w:p>
            <w:pPr>
              <w:spacing w:after="0"/>
              <w:rPr>
                <w:sz w:val="23"/>
                <w:szCs w:val="23"/>
                <w:color w:val="auto"/>
              </w:rPr>
            </w:pPr>
          </w:p>
        </w:tc>
        <w:tc>
          <w:tcPr>
            <w:tcW w:w="1060" w:type="dxa"/>
            <w:vAlign w:val="bottom"/>
            <w:shd w:val="clear" w:color="auto" w:fill="CCEEFF"/>
          </w:tcPr>
          <w:p>
            <w:pPr>
              <w:jc w:val="right"/>
              <w:ind w:right="33"/>
              <w:spacing w:after="0"/>
              <w:rPr>
                <w:sz w:val="20"/>
                <w:szCs w:val="20"/>
                <w:color w:val="auto"/>
              </w:rPr>
            </w:pPr>
            <w:r>
              <w:rPr>
                <w:rFonts w:ascii="Arial" w:cs="Arial" w:eastAsia="Arial" w:hAnsi="Arial"/>
                <w:sz w:val="18"/>
                <w:szCs w:val="18"/>
                <w:color w:val="auto"/>
              </w:rPr>
              <w:t>1,213</w:t>
            </w:r>
          </w:p>
        </w:tc>
        <w:tc>
          <w:tcPr>
            <w:tcW w:w="100" w:type="dxa"/>
            <w:vAlign w:val="bottom"/>
            <w:shd w:val="clear" w:color="auto" w:fill="CCEEFF"/>
          </w:tcPr>
          <w:p>
            <w:pPr>
              <w:spacing w:after="0"/>
              <w:rPr>
                <w:sz w:val="23"/>
                <w:szCs w:val="23"/>
                <w:color w:val="auto"/>
              </w:rPr>
            </w:pPr>
          </w:p>
        </w:tc>
        <w:tc>
          <w:tcPr>
            <w:tcW w:w="480" w:type="dxa"/>
            <w:vAlign w:val="bottom"/>
            <w:shd w:val="clear" w:color="auto" w:fill="CCEEFF"/>
          </w:tcPr>
          <w:p>
            <w:pPr>
              <w:spacing w:after="0"/>
              <w:rPr>
                <w:sz w:val="23"/>
                <w:szCs w:val="23"/>
                <w:color w:val="auto"/>
              </w:rPr>
            </w:pPr>
          </w:p>
        </w:tc>
        <w:tc>
          <w:tcPr>
            <w:tcW w:w="90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1,225</w:t>
            </w:r>
          </w:p>
        </w:tc>
      </w:tr>
      <w:tr>
        <w:trPr>
          <w:trHeight w:val="226"/>
        </w:trPr>
        <w:tc>
          <w:tcPr>
            <w:tcW w:w="8560" w:type="dxa"/>
            <w:vAlign w:val="bottom"/>
          </w:tcPr>
          <w:p>
            <w:pPr>
              <w:ind w:left="280"/>
              <w:spacing w:after="0"/>
              <w:rPr>
                <w:sz w:val="20"/>
                <w:szCs w:val="20"/>
                <w:color w:val="auto"/>
              </w:rPr>
            </w:pPr>
            <w:r>
              <w:rPr>
                <w:rFonts w:ascii="Arial" w:cs="Arial" w:eastAsia="Arial" w:hAnsi="Arial"/>
                <w:sz w:val="18"/>
                <w:szCs w:val="18"/>
                <w:color w:val="auto"/>
              </w:rPr>
              <w:t>Enhanced equipment trust certificates (EETCs), fixed interest rates ranging from 3.00% to 8.39%,</w:t>
            </w:r>
          </w:p>
        </w:tc>
        <w:tc>
          <w:tcPr>
            <w:tcW w:w="32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900" w:type="dxa"/>
            <w:vAlign w:val="bottom"/>
          </w:tcPr>
          <w:p>
            <w:pPr>
              <w:spacing w:after="0"/>
              <w:rPr>
                <w:sz w:val="19"/>
                <w:szCs w:val="19"/>
                <w:color w:val="auto"/>
              </w:rPr>
            </w:pPr>
          </w:p>
        </w:tc>
      </w:tr>
      <w:tr>
        <w:trPr>
          <w:trHeight w:val="233"/>
        </w:trPr>
        <w:tc>
          <w:tcPr>
            <w:tcW w:w="8560" w:type="dxa"/>
            <w:vAlign w:val="bottom"/>
          </w:tcPr>
          <w:p>
            <w:pPr>
              <w:ind w:left="440"/>
              <w:spacing w:after="0" w:line="233" w:lineRule="exact"/>
              <w:rPr>
                <w:sz w:val="20"/>
                <w:szCs w:val="20"/>
                <w:color w:val="auto"/>
              </w:rPr>
            </w:pPr>
            <w:r>
              <w:rPr>
                <w:rFonts w:ascii="Arial" w:cs="Arial" w:eastAsia="Arial" w:hAnsi="Arial"/>
                <w:sz w:val="18"/>
                <w:szCs w:val="18"/>
                <w:color w:val="auto"/>
              </w:rPr>
              <w:t xml:space="preserve">averaging 4.05%, maturing from 2020 to 2032 </w:t>
            </w:r>
            <w:r>
              <w:rPr>
                <w:rFonts w:ascii="Arial" w:cs="Arial" w:eastAsia="Arial" w:hAnsi="Arial"/>
                <w:sz w:val="21"/>
                <w:szCs w:val="21"/>
                <w:color w:val="auto"/>
                <w:vertAlign w:val="superscript"/>
              </w:rPr>
              <w:t>(b)</w:t>
            </w:r>
          </w:p>
        </w:tc>
        <w:tc>
          <w:tcPr>
            <w:tcW w:w="320" w:type="dxa"/>
            <w:vAlign w:val="bottom"/>
          </w:tcPr>
          <w:p>
            <w:pPr>
              <w:spacing w:after="0"/>
              <w:rPr>
                <w:sz w:val="20"/>
                <w:szCs w:val="20"/>
                <w:color w:val="auto"/>
              </w:rPr>
            </w:pPr>
          </w:p>
        </w:tc>
        <w:tc>
          <w:tcPr>
            <w:tcW w:w="1060" w:type="dxa"/>
            <w:vAlign w:val="bottom"/>
          </w:tcPr>
          <w:p>
            <w:pPr>
              <w:jc w:val="right"/>
              <w:ind w:right="33"/>
              <w:spacing w:after="0"/>
              <w:rPr>
                <w:sz w:val="20"/>
                <w:szCs w:val="20"/>
                <w:color w:val="auto"/>
              </w:rPr>
            </w:pPr>
            <w:r>
              <w:rPr>
                <w:rFonts w:ascii="Arial" w:cs="Arial" w:eastAsia="Arial" w:hAnsi="Arial"/>
                <w:sz w:val="18"/>
                <w:szCs w:val="18"/>
                <w:color w:val="auto"/>
              </w:rPr>
              <w:t>11,933</w:t>
            </w:r>
          </w:p>
        </w:tc>
        <w:tc>
          <w:tcPr>
            <w:tcW w:w="10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900" w:type="dxa"/>
            <w:vAlign w:val="bottom"/>
          </w:tcPr>
          <w:p>
            <w:pPr>
              <w:jc w:val="right"/>
              <w:ind w:right="11"/>
              <w:spacing w:after="0"/>
              <w:rPr>
                <w:sz w:val="20"/>
                <w:szCs w:val="20"/>
                <w:color w:val="auto"/>
              </w:rPr>
            </w:pPr>
            <w:r>
              <w:rPr>
                <w:rFonts w:ascii="Arial" w:cs="Arial" w:eastAsia="Arial" w:hAnsi="Arial"/>
                <w:sz w:val="18"/>
                <w:szCs w:val="18"/>
                <w:color w:val="auto"/>
              </w:rPr>
              <w:t>11,648</w:t>
            </w:r>
          </w:p>
        </w:tc>
      </w:tr>
      <w:tr>
        <w:trPr>
          <w:trHeight w:val="226"/>
        </w:trPr>
        <w:tc>
          <w:tcPr>
            <w:tcW w:w="8560" w:type="dxa"/>
            <w:vAlign w:val="bottom"/>
            <w:shd w:val="clear" w:color="auto" w:fill="CCEEFF"/>
          </w:tcPr>
          <w:p>
            <w:pPr>
              <w:ind w:left="280"/>
              <w:spacing w:after="0"/>
              <w:rPr>
                <w:sz w:val="20"/>
                <w:szCs w:val="20"/>
                <w:color w:val="auto"/>
              </w:rPr>
            </w:pPr>
            <w:r>
              <w:rPr>
                <w:rFonts w:ascii="Arial" w:cs="Arial" w:eastAsia="Arial" w:hAnsi="Arial"/>
                <w:sz w:val="18"/>
                <w:szCs w:val="18"/>
                <w:color w:val="auto"/>
              </w:rPr>
              <w:t>Equipment loans and other notes payable, fixed and variable interest rates ranging from 2.99% to</w:t>
            </w:r>
          </w:p>
        </w:tc>
        <w:tc>
          <w:tcPr>
            <w:tcW w:w="320" w:type="dxa"/>
            <w:vAlign w:val="bottom"/>
            <w:shd w:val="clear" w:color="auto" w:fill="CCEEFF"/>
          </w:tcPr>
          <w:p>
            <w:pPr>
              <w:spacing w:after="0"/>
              <w:rPr>
                <w:sz w:val="19"/>
                <w:szCs w:val="19"/>
                <w:color w:val="auto"/>
              </w:rPr>
            </w:pPr>
          </w:p>
        </w:tc>
        <w:tc>
          <w:tcPr>
            <w:tcW w:w="10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480" w:type="dxa"/>
            <w:vAlign w:val="bottom"/>
            <w:shd w:val="clear" w:color="auto" w:fill="CCEEFF"/>
          </w:tcPr>
          <w:p>
            <w:pPr>
              <w:spacing w:after="0"/>
              <w:rPr>
                <w:sz w:val="19"/>
                <w:szCs w:val="19"/>
                <w:color w:val="auto"/>
              </w:rPr>
            </w:pPr>
          </w:p>
        </w:tc>
        <w:tc>
          <w:tcPr>
            <w:tcW w:w="900" w:type="dxa"/>
            <w:vAlign w:val="bottom"/>
            <w:shd w:val="clear" w:color="auto" w:fill="CCEEFF"/>
          </w:tcPr>
          <w:p>
            <w:pPr>
              <w:spacing w:after="0"/>
              <w:rPr>
                <w:sz w:val="19"/>
                <w:szCs w:val="19"/>
                <w:color w:val="auto"/>
              </w:rPr>
            </w:pPr>
          </w:p>
        </w:tc>
      </w:tr>
      <w:tr>
        <w:trPr>
          <w:trHeight w:val="233"/>
        </w:trPr>
        <w:tc>
          <w:tcPr>
            <w:tcW w:w="8560" w:type="dxa"/>
            <w:vAlign w:val="bottom"/>
            <w:shd w:val="clear" w:color="auto" w:fill="CCEEFF"/>
          </w:tcPr>
          <w:p>
            <w:pPr>
              <w:ind w:left="440"/>
              <w:spacing w:after="0" w:line="233" w:lineRule="exact"/>
              <w:rPr>
                <w:sz w:val="20"/>
                <w:szCs w:val="20"/>
                <w:color w:val="auto"/>
              </w:rPr>
            </w:pPr>
            <w:r>
              <w:rPr>
                <w:rFonts w:ascii="Arial" w:cs="Arial" w:eastAsia="Arial" w:hAnsi="Arial"/>
                <w:sz w:val="18"/>
                <w:szCs w:val="18"/>
                <w:color w:val="auto"/>
              </w:rPr>
              <w:t xml:space="preserve">7.31%, averaging 3.45%, maturing from 2020 to 2031 </w:t>
            </w:r>
            <w:r>
              <w:rPr>
                <w:rFonts w:ascii="Arial" w:cs="Arial" w:eastAsia="Arial" w:hAnsi="Arial"/>
                <w:sz w:val="21"/>
                <w:szCs w:val="21"/>
                <w:color w:val="auto"/>
                <w:vertAlign w:val="superscript"/>
              </w:rPr>
              <w:t>(c)</w:t>
            </w:r>
          </w:p>
        </w:tc>
        <w:tc>
          <w:tcPr>
            <w:tcW w:w="320" w:type="dxa"/>
            <w:vAlign w:val="bottom"/>
            <w:shd w:val="clear" w:color="auto" w:fill="CCEEFF"/>
          </w:tcPr>
          <w:p>
            <w:pPr>
              <w:spacing w:after="0"/>
              <w:rPr>
                <w:sz w:val="20"/>
                <w:szCs w:val="20"/>
                <w:color w:val="auto"/>
              </w:rPr>
            </w:pPr>
          </w:p>
        </w:tc>
        <w:tc>
          <w:tcPr>
            <w:tcW w:w="1060" w:type="dxa"/>
            <w:vAlign w:val="bottom"/>
            <w:shd w:val="clear" w:color="auto" w:fill="CCEEFF"/>
          </w:tcPr>
          <w:p>
            <w:pPr>
              <w:jc w:val="right"/>
              <w:ind w:right="33"/>
              <w:spacing w:after="0"/>
              <w:rPr>
                <w:sz w:val="20"/>
                <w:szCs w:val="20"/>
                <w:color w:val="auto"/>
              </w:rPr>
            </w:pPr>
            <w:r>
              <w:rPr>
                <w:rFonts w:ascii="Arial" w:cs="Arial" w:eastAsia="Arial" w:hAnsi="Arial"/>
                <w:sz w:val="18"/>
                <w:szCs w:val="18"/>
                <w:color w:val="auto"/>
              </w:rPr>
              <w:t>4,727</w:t>
            </w:r>
          </w:p>
        </w:tc>
        <w:tc>
          <w:tcPr>
            <w:tcW w:w="100" w:type="dxa"/>
            <w:vAlign w:val="bottom"/>
            <w:shd w:val="clear" w:color="auto" w:fill="CCEEFF"/>
          </w:tcPr>
          <w:p>
            <w:pPr>
              <w:spacing w:after="0"/>
              <w:rPr>
                <w:sz w:val="20"/>
                <w:szCs w:val="20"/>
                <w:color w:val="auto"/>
              </w:rPr>
            </w:pPr>
          </w:p>
        </w:tc>
        <w:tc>
          <w:tcPr>
            <w:tcW w:w="480" w:type="dxa"/>
            <w:vAlign w:val="bottom"/>
            <w:shd w:val="clear" w:color="auto" w:fill="CCEEFF"/>
          </w:tcPr>
          <w:p>
            <w:pPr>
              <w:spacing w:after="0"/>
              <w:rPr>
                <w:sz w:val="20"/>
                <w:szCs w:val="20"/>
                <w:color w:val="auto"/>
              </w:rPr>
            </w:pPr>
          </w:p>
        </w:tc>
        <w:tc>
          <w:tcPr>
            <w:tcW w:w="90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5,060</w:t>
            </w:r>
          </w:p>
        </w:tc>
      </w:tr>
      <w:tr>
        <w:trPr>
          <w:trHeight w:val="264"/>
        </w:trPr>
        <w:tc>
          <w:tcPr>
            <w:tcW w:w="8560" w:type="dxa"/>
            <w:vAlign w:val="bottom"/>
            <w:tcBorders>
              <w:bottom w:val="single" w:sz="8" w:color="CCEEFF"/>
            </w:tcBorders>
          </w:tcPr>
          <w:p>
            <w:pPr>
              <w:ind w:left="280"/>
              <w:spacing w:after="0"/>
              <w:rPr>
                <w:sz w:val="20"/>
                <w:szCs w:val="20"/>
                <w:color w:val="auto"/>
              </w:rPr>
            </w:pPr>
            <w:r>
              <w:rPr>
                <w:rFonts w:ascii="Arial" w:cs="Arial" w:eastAsia="Arial" w:hAnsi="Arial"/>
                <w:sz w:val="18"/>
                <w:szCs w:val="18"/>
                <w:color w:val="auto"/>
              </w:rPr>
              <w:t>Special facility revenue bonds, fixed interest rates of 5.00%, maturing from 2020 to 2031</w:t>
            </w:r>
          </w:p>
        </w:tc>
        <w:tc>
          <w:tcPr>
            <w:tcW w:w="320" w:type="dxa"/>
            <w:vAlign w:val="bottom"/>
            <w:tcBorders>
              <w:bottom w:val="single" w:sz="8" w:color="auto"/>
            </w:tcBorders>
          </w:tcPr>
          <w:p>
            <w:pPr>
              <w:spacing w:after="0"/>
              <w:rPr>
                <w:sz w:val="22"/>
                <w:szCs w:val="22"/>
                <w:color w:val="auto"/>
              </w:rPr>
            </w:pPr>
          </w:p>
        </w:tc>
        <w:tc>
          <w:tcPr>
            <w:tcW w:w="1060" w:type="dxa"/>
            <w:vAlign w:val="bottom"/>
            <w:tcBorders>
              <w:bottom w:val="single" w:sz="8" w:color="auto"/>
            </w:tcBorders>
          </w:tcPr>
          <w:p>
            <w:pPr>
              <w:jc w:val="right"/>
              <w:ind w:right="33"/>
              <w:spacing w:after="0"/>
              <w:rPr>
                <w:sz w:val="20"/>
                <w:szCs w:val="20"/>
                <w:color w:val="auto"/>
              </w:rPr>
            </w:pPr>
            <w:r>
              <w:rPr>
                <w:rFonts w:ascii="Arial" w:cs="Arial" w:eastAsia="Arial" w:hAnsi="Arial"/>
                <w:sz w:val="18"/>
                <w:szCs w:val="18"/>
                <w:color w:val="auto"/>
              </w:rPr>
              <w:t>725</w:t>
            </w:r>
          </w:p>
        </w:tc>
        <w:tc>
          <w:tcPr>
            <w:tcW w:w="100" w:type="dxa"/>
            <w:vAlign w:val="bottom"/>
            <w:tcBorders>
              <w:bottom w:val="single" w:sz="8" w:color="CCEEFF"/>
            </w:tcBorders>
          </w:tcPr>
          <w:p>
            <w:pPr>
              <w:spacing w:after="0"/>
              <w:rPr>
                <w:sz w:val="22"/>
                <w:szCs w:val="22"/>
                <w:color w:val="auto"/>
              </w:rPr>
            </w:pPr>
          </w:p>
        </w:tc>
        <w:tc>
          <w:tcPr>
            <w:tcW w:w="480" w:type="dxa"/>
            <w:vAlign w:val="bottom"/>
            <w:tcBorders>
              <w:bottom w:val="single" w:sz="8" w:color="auto"/>
            </w:tcBorders>
          </w:tcPr>
          <w:p>
            <w:pPr>
              <w:spacing w:after="0"/>
              <w:rPr>
                <w:sz w:val="22"/>
                <w:szCs w:val="22"/>
                <w:color w:val="auto"/>
              </w:rPr>
            </w:pPr>
          </w:p>
        </w:tc>
        <w:tc>
          <w:tcPr>
            <w:tcW w:w="900" w:type="dxa"/>
            <w:vAlign w:val="bottom"/>
            <w:tcBorders>
              <w:bottom w:val="single" w:sz="8" w:color="auto"/>
            </w:tcBorders>
          </w:tcPr>
          <w:p>
            <w:pPr>
              <w:jc w:val="right"/>
              <w:ind w:right="11"/>
              <w:spacing w:after="0"/>
              <w:rPr>
                <w:sz w:val="20"/>
                <w:szCs w:val="20"/>
                <w:color w:val="auto"/>
              </w:rPr>
            </w:pPr>
            <w:r>
              <w:rPr>
                <w:rFonts w:ascii="Arial" w:cs="Arial" w:eastAsia="Arial" w:hAnsi="Arial"/>
                <w:sz w:val="18"/>
                <w:szCs w:val="18"/>
                <w:color w:val="auto"/>
              </w:rPr>
              <w:t>769</w:t>
            </w:r>
          </w:p>
        </w:tc>
      </w:tr>
      <w:tr>
        <w:trPr>
          <w:trHeight w:val="257"/>
        </w:trPr>
        <w:tc>
          <w:tcPr>
            <w:tcW w:w="8560" w:type="dxa"/>
            <w:vAlign w:val="bottom"/>
            <w:shd w:val="clear" w:color="auto" w:fill="CCEEFF"/>
          </w:tcPr>
          <w:p>
            <w:pPr>
              <w:ind w:left="40"/>
              <w:spacing w:after="0"/>
              <w:rPr>
                <w:sz w:val="20"/>
                <w:szCs w:val="20"/>
                <w:color w:val="auto"/>
              </w:rPr>
            </w:pPr>
            <w:r>
              <w:rPr>
                <w:rFonts w:ascii="Arial" w:cs="Arial" w:eastAsia="Arial" w:hAnsi="Arial"/>
                <w:sz w:val="18"/>
                <w:szCs w:val="18"/>
                <w:color w:val="auto"/>
              </w:rPr>
              <w:t>Total long-term debt</w:t>
            </w:r>
          </w:p>
        </w:tc>
        <w:tc>
          <w:tcPr>
            <w:tcW w:w="320" w:type="dxa"/>
            <w:vAlign w:val="bottom"/>
            <w:tcBorders>
              <w:bottom w:val="single" w:sz="8" w:color="auto"/>
            </w:tcBorders>
            <w:shd w:val="clear" w:color="auto" w:fill="CCEEFF"/>
          </w:tcPr>
          <w:p>
            <w:pPr>
              <w:spacing w:after="0"/>
              <w:rPr>
                <w:sz w:val="22"/>
                <w:szCs w:val="22"/>
                <w:color w:val="auto"/>
              </w:rPr>
            </w:pPr>
          </w:p>
        </w:tc>
        <w:tc>
          <w:tcPr>
            <w:tcW w:w="1060" w:type="dxa"/>
            <w:vAlign w:val="bottom"/>
            <w:tcBorders>
              <w:bottom w:val="single" w:sz="8" w:color="auto"/>
            </w:tcBorders>
            <w:shd w:val="clear" w:color="auto" w:fill="CCEEFF"/>
          </w:tcPr>
          <w:p>
            <w:pPr>
              <w:jc w:val="right"/>
              <w:ind w:right="33"/>
              <w:spacing w:after="0"/>
              <w:rPr>
                <w:sz w:val="20"/>
                <w:szCs w:val="20"/>
                <w:color w:val="auto"/>
              </w:rPr>
            </w:pPr>
            <w:r>
              <w:rPr>
                <w:rFonts w:ascii="Arial" w:cs="Arial" w:eastAsia="Arial" w:hAnsi="Arial"/>
                <w:sz w:val="18"/>
                <w:szCs w:val="18"/>
                <w:color w:val="auto"/>
              </w:rPr>
              <w:t>22,577</w:t>
            </w:r>
          </w:p>
        </w:tc>
        <w:tc>
          <w:tcPr>
            <w:tcW w:w="100" w:type="dxa"/>
            <w:vAlign w:val="bottom"/>
            <w:shd w:val="clear" w:color="auto" w:fill="CCEEFF"/>
          </w:tcPr>
          <w:p>
            <w:pPr>
              <w:spacing w:after="0"/>
              <w:rPr>
                <w:sz w:val="22"/>
                <w:szCs w:val="22"/>
                <w:color w:val="auto"/>
              </w:rPr>
            </w:pPr>
          </w:p>
        </w:tc>
        <w:tc>
          <w:tcPr>
            <w:tcW w:w="480" w:type="dxa"/>
            <w:vAlign w:val="bottom"/>
            <w:tcBorders>
              <w:bottom w:val="single" w:sz="8" w:color="auto"/>
            </w:tcBorders>
            <w:shd w:val="clear" w:color="auto" w:fill="CCEEFF"/>
          </w:tcPr>
          <w:p>
            <w:pPr>
              <w:spacing w:after="0"/>
              <w:rPr>
                <w:sz w:val="22"/>
                <w:szCs w:val="22"/>
                <w:color w:val="auto"/>
              </w:rPr>
            </w:pPr>
          </w:p>
        </w:tc>
        <w:tc>
          <w:tcPr>
            <w:tcW w:w="900" w:type="dxa"/>
            <w:vAlign w:val="bottom"/>
            <w:tcBorders>
              <w:bottom w:val="single" w:sz="8" w:color="auto"/>
            </w:tcBorders>
            <w:shd w:val="clear" w:color="auto" w:fill="CCEEFF"/>
          </w:tcPr>
          <w:p>
            <w:pPr>
              <w:jc w:val="right"/>
              <w:ind w:right="11"/>
              <w:spacing w:after="0"/>
              <w:rPr>
                <w:sz w:val="20"/>
                <w:szCs w:val="20"/>
                <w:color w:val="auto"/>
              </w:rPr>
            </w:pPr>
            <w:r>
              <w:rPr>
                <w:rFonts w:ascii="Arial" w:cs="Arial" w:eastAsia="Arial" w:hAnsi="Arial"/>
                <w:sz w:val="18"/>
                <w:szCs w:val="18"/>
                <w:color w:val="auto"/>
              </w:rPr>
              <w:t>22,722</w:t>
            </w:r>
          </w:p>
        </w:tc>
      </w:tr>
      <w:tr>
        <w:trPr>
          <w:trHeight w:val="243"/>
        </w:trPr>
        <w:tc>
          <w:tcPr>
            <w:tcW w:w="8560" w:type="dxa"/>
            <w:vAlign w:val="bottom"/>
          </w:tcPr>
          <w:p>
            <w:pPr>
              <w:ind w:left="280"/>
              <w:spacing w:after="0"/>
              <w:rPr>
                <w:sz w:val="20"/>
                <w:szCs w:val="20"/>
                <w:color w:val="auto"/>
              </w:rPr>
            </w:pPr>
            <w:r>
              <w:rPr>
                <w:rFonts w:ascii="Arial" w:cs="Arial" w:eastAsia="Arial" w:hAnsi="Arial"/>
                <w:sz w:val="18"/>
                <w:szCs w:val="18"/>
                <w:color w:val="auto"/>
              </w:rPr>
              <w:t>Less: Total unamortized debt discount, premium and issuance costs</w:t>
            </w:r>
          </w:p>
        </w:tc>
        <w:tc>
          <w:tcPr>
            <w:tcW w:w="320" w:type="dxa"/>
            <w:vAlign w:val="bottom"/>
          </w:tcPr>
          <w:p>
            <w:pPr>
              <w:spacing w:after="0"/>
              <w:rPr>
                <w:sz w:val="21"/>
                <w:szCs w:val="21"/>
                <w:color w:val="auto"/>
              </w:rPr>
            </w:pPr>
          </w:p>
        </w:tc>
        <w:tc>
          <w:tcPr>
            <w:tcW w:w="1060" w:type="dxa"/>
            <w:vAlign w:val="bottom"/>
          </w:tcPr>
          <w:p>
            <w:pPr>
              <w:jc w:val="right"/>
              <w:ind w:right="33"/>
              <w:spacing w:after="0"/>
              <w:rPr>
                <w:sz w:val="20"/>
                <w:szCs w:val="20"/>
                <w:color w:val="auto"/>
              </w:rPr>
            </w:pPr>
            <w:r>
              <w:rPr>
                <w:rFonts w:ascii="Arial" w:cs="Arial" w:eastAsia="Arial" w:hAnsi="Arial"/>
                <w:sz w:val="18"/>
                <w:szCs w:val="18"/>
                <w:color w:val="auto"/>
              </w:rPr>
              <w:t>205</w:t>
            </w:r>
          </w:p>
        </w:tc>
        <w:tc>
          <w:tcPr>
            <w:tcW w:w="10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900" w:type="dxa"/>
            <w:vAlign w:val="bottom"/>
          </w:tcPr>
          <w:p>
            <w:pPr>
              <w:jc w:val="right"/>
              <w:ind w:right="11"/>
              <w:spacing w:after="0"/>
              <w:rPr>
                <w:sz w:val="20"/>
                <w:szCs w:val="20"/>
                <w:color w:val="auto"/>
              </w:rPr>
            </w:pPr>
            <w:r>
              <w:rPr>
                <w:rFonts w:ascii="Arial" w:cs="Arial" w:eastAsia="Arial" w:hAnsi="Arial"/>
                <w:sz w:val="18"/>
                <w:szCs w:val="18"/>
                <w:color w:val="auto"/>
              </w:rPr>
              <w:t>219</w:t>
            </w:r>
          </w:p>
        </w:tc>
      </w:tr>
      <w:tr>
        <w:trPr>
          <w:trHeight w:val="277"/>
        </w:trPr>
        <w:tc>
          <w:tcPr>
            <w:tcW w:w="8560" w:type="dxa"/>
            <w:vAlign w:val="bottom"/>
            <w:shd w:val="clear" w:color="auto" w:fill="CCEEFF"/>
          </w:tcPr>
          <w:p>
            <w:pPr>
              <w:ind w:left="280"/>
              <w:spacing w:after="0"/>
              <w:rPr>
                <w:sz w:val="20"/>
                <w:szCs w:val="20"/>
                <w:color w:val="auto"/>
              </w:rPr>
            </w:pPr>
            <w:r>
              <w:rPr>
                <w:rFonts w:ascii="Arial" w:cs="Arial" w:eastAsia="Arial" w:hAnsi="Arial"/>
                <w:sz w:val="18"/>
                <w:szCs w:val="18"/>
                <w:color w:val="auto"/>
              </w:rPr>
              <w:t>Less: Current maturities</w:t>
            </w:r>
          </w:p>
        </w:tc>
        <w:tc>
          <w:tcPr>
            <w:tcW w:w="320" w:type="dxa"/>
            <w:vAlign w:val="bottom"/>
            <w:tcBorders>
              <w:bottom w:val="single" w:sz="8" w:color="auto"/>
            </w:tcBorders>
            <w:shd w:val="clear" w:color="auto" w:fill="CCEEFF"/>
          </w:tcPr>
          <w:p>
            <w:pPr>
              <w:spacing w:after="0"/>
              <w:rPr>
                <w:sz w:val="24"/>
                <w:szCs w:val="24"/>
                <w:color w:val="auto"/>
              </w:rPr>
            </w:pPr>
          </w:p>
        </w:tc>
        <w:tc>
          <w:tcPr>
            <w:tcW w:w="1060" w:type="dxa"/>
            <w:vAlign w:val="bottom"/>
            <w:tcBorders>
              <w:bottom w:val="single" w:sz="8" w:color="auto"/>
            </w:tcBorders>
            <w:shd w:val="clear" w:color="auto" w:fill="CCEEFF"/>
          </w:tcPr>
          <w:p>
            <w:pPr>
              <w:jc w:val="right"/>
              <w:ind w:right="33"/>
              <w:spacing w:after="0"/>
              <w:rPr>
                <w:sz w:val="20"/>
                <w:szCs w:val="20"/>
                <w:color w:val="auto"/>
              </w:rPr>
            </w:pPr>
            <w:r>
              <w:rPr>
                <w:rFonts w:ascii="Arial" w:cs="Arial" w:eastAsia="Arial" w:hAnsi="Arial"/>
                <w:sz w:val="18"/>
                <w:szCs w:val="18"/>
                <w:color w:val="auto"/>
              </w:rPr>
              <w:t>2,246</w:t>
            </w:r>
          </w:p>
        </w:tc>
        <w:tc>
          <w:tcPr>
            <w:tcW w:w="100" w:type="dxa"/>
            <w:vAlign w:val="bottom"/>
            <w:shd w:val="clear" w:color="auto" w:fill="CCEEFF"/>
          </w:tcPr>
          <w:p>
            <w:pPr>
              <w:spacing w:after="0"/>
              <w:rPr>
                <w:sz w:val="24"/>
                <w:szCs w:val="24"/>
                <w:color w:val="auto"/>
              </w:rPr>
            </w:pPr>
          </w:p>
        </w:tc>
        <w:tc>
          <w:tcPr>
            <w:tcW w:w="480" w:type="dxa"/>
            <w:vAlign w:val="bottom"/>
            <w:tcBorders>
              <w:bottom w:val="single" w:sz="8" w:color="auto"/>
            </w:tcBorders>
            <w:shd w:val="clear" w:color="auto" w:fill="CCEEFF"/>
          </w:tcPr>
          <w:p>
            <w:pPr>
              <w:spacing w:after="0"/>
              <w:rPr>
                <w:sz w:val="24"/>
                <w:szCs w:val="24"/>
                <w:color w:val="auto"/>
              </w:rPr>
            </w:pPr>
          </w:p>
        </w:tc>
        <w:tc>
          <w:tcPr>
            <w:tcW w:w="900" w:type="dxa"/>
            <w:vAlign w:val="bottom"/>
            <w:tcBorders>
              <w:bottom w:val="single" w:sz="8" w:color="auto"/>
            </w:tcBorders>
            <w:shd w:val="clear" w:color="auto" w:fill="CCEEFF"/>
          </w:tcPr>
          <w:p>
            <w:pPr>
              <w:jc w:val="right"/>
              <w:ind w:right="11"/>
              <w:spacing w:after="0"/>
              <w:rPr>
                <w:sz w:val="20"/>
                <w:szCs w:val="20"/>
                <w:color w:val="auto"/>
              </w:rPr>
            </w:pPr>
            <w:r>
              <w:rPr>
                <w:rFonts w:ascii="Arial" w:cs="Arial" w:eastAsia="Arial" w:hAnsi="Arial"/>
                <w:sz w:val="18"/>
                <w:szCs w:val="18"/>
                <w:color w:val="auto"/>
              </w:rPr>
              <w:t>2,466</w:t>
            </w:r>
          </w:p>
        </w:tc>
      </w:tr>
      <w:tr>
        <w:trPr>
          <w:trHeight w:val="244"/>
        </w:trPr>
        <w:tc>
          <w:tcPr>
            <w:tcW w:w="8560" w:type="dxa"/>
            <w:vAlign w:val="bottom"/>
          </w:tcPr>
          <w:p>
            <w:pPr>
              <w:ind w:left="500"/>
              <w:spacing w:after="0"/>
              <w:rPr>
                <w:sz w:val="20"/>
                <w:szCs w:val="20"/>
                <w:color w:val="auto"/>
              </w:rPr>
            </w:pPr>
            <w:r>
              <w:rPr>
                <w:rFonts w:ascii="Arial" w:cs="Arial" w:eastAsia="Arial" w:hAnsi="Arial"/>
                <w:sz w:val="18"/>
                <w:szCs w:val="18"/>
                <w:color w:val="auto"/>
              </w:rPr>
              <w:t>Long-term debt, net of current maturities</w:t>
            </w:r>
          </w:p>
        </w:tc>
        <w:tc>
          <w:tcPr>
            <w:tcW w:w="320" w:type="dxa"/>
            <w:vAlign w:val="bottom"/>
            <w:tcBorders>
              <w:bottom w:val="single" w:sz="8" w:color="auto"/>
            </w:tcBorders>
          </w:tcPr>
          <w:p>
            <w:pPr>
              <w:jc w:val="right"/>
              <w:ind w:right="110"/>
              <w:spacing w:after="0"/>
              <w:rPr>
                <w:sz w:val="20"/>
                <w:szCs w:val="20"/>
                <w:color w:val="auto"/>
              </w:rPr>
            </w:pPr>
            <w:r>
              <w:rPr>
                <w:rFonts w:ascii="Arial" w:cs="Arial" w:eastAsia="Arial" w:hAnsi="Arial"/>
                <w:sz w:val="18"/>
                <w:szCs w:val="18"/>
                <w:color w:val="auto"/>
                <w:w w:val="99"/>
              </w:rPr>
              <w:t>$</w:t>
            </w:r>
          </w:p>
        </w:tc>
        <w:tc>
          <w:tcPr>
            <w:tcW w:w="1060" w:type="dxa"/>
            <w:vAlign w:val="bottom"/>
            <w:tcBorders>
              <w:bottom w:val="single" w:sz="8" w:color="auto"/>
            </w:tcBorders>
          </w:tcPr>
          <w:p>
            <w:pPr>
              <w:jc w:val="right"/>
              <w:ind w:right="33"/>
              <w:spacing w:after="0"/>
              <w:rPr>
                <w:sz w:val="20"/>
                <w:szCs w:val="20"/>
                <w:color w:val="auto"/>
              </w:rPr>
            </w:pPr>
            <w:r>
              <w:rPr>
                <w:rFonts w:ascii="Arial" w:cs="Arial" w:eastAsia="Arial" w:hAnsi="Arial"/>
                <w:sz w:val="18"/>
                <w:szCs w:val="18"/>
                <w:color w:val="auto"/>
              </w:rPr>
              <w:t>20,126</w:t>
            </w:r>
          </w:p>
        </w:tc>
        <w:tc>
          <w:tcPr>
            <w:tcW w:w="100" w:type="dxa"/>
            <w:vAlign w:val="bottom"/>
          </w:tcPr>
          <w:p>
            <w:pPr>
              <w:spacing w:after="0"/>
              <w:rPr>
                <w:sz w:val="21"/>
                <w:szCs w:val="21"/>
                <w:color w:val="auto"/>
              </w:rPr>
            </w:pPr>
          </w:p>
        </w:tc>
        <w:tc>
          <w:tcPr>
            <w:tcW w:w="480" w:type="dxa"/>
            <w:vAlign w:val="bottom"/>
            <w:tcBorders>
              <w:bottom w:val="single" w:sz="8" w:color="auto"/>
            </w:tcBorders>
          </w:tcPr>
          <w:p>
            <w:pPr>
              <w:jc w:val="right"/>
              <w:ind w:right="270"/>
              <w:spacing w:after="0"/>
              <w:rPr>
                <w:sz w:val="20"/>
                <w:szCs w:val="20"/>
                <w:color w:val="auto"/>
              </w:rPr>
            </w:pPr>
            <w:r>
              <w:rPr>
                <w:rFonts w:ascii="Arial" w:cs="Arial" w:eastAsia="Arial" w:hAnsi="Arial"/>
                <w:sz w:val="18"/>
                <w:szCs w:val="18"/>
                <w:color w:val="auto"/>
                <w:w w:val="99"/>
              </w:rPr>
              <w:t>$</w:t>
            </w:r>
          </w:p>
        </w:tc>
        <w:tc>
          <w:tcPr>
            <w:tcW w:w="900" w:type="dxa"/>
            <w:vAlign w:val="bottom"/>
            <w:tcBorders>
              <w:bottom w:val="single" w:sz="8" w:color="auto"/>
            </w:tcBorders>
          </w:tcPr>
          <w:p>
            <w:pPr>
              <w:jc w:val="right"/>
              <w:ind w:right="11"/>
              <w:spacing w:after="0"/>
              <w:rPr>
                <w:sz w:val="20"/>
                <w:szCs w:val="20"/>
                <w:color w:val="auto"/>
              </w:rPr>
            </w:pPr>
            <w:r>
              <w:rPr>
                <w:rFonts w:ascii="Arial" w:cs="Arial" w:eastAsia="Arial" w:hAnsi="Arial"/>
                <w:sz w:val="18"/>
                <w:szCs w:val="18"/>
                <w:color w:val="auto"/>
              </w:rPr>
              <w:t>20,037</w:t>
            </w:r>
          </w:p>
        </w:tc>
      </w:tr>
      <w:tr>
        <w:trPr>
          <w:trHeight w:val="20"/>
        </w:trPr>
        <w:tc>
          <w:tcPr>
            <w:tcW w:w="856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r>
    </w:tbl>
    <w:p>
      <w:pPr>
        <w:spacing w:after="0" w:line="377" w:lineRule="exact"/>
        <w:rPr>
          <w:sz w:val="20"/>
          <w:szCs w:val="20"/>
          <w:color w:val="auto"/>
        </w:rPr>
      </w:pPr>
    </w:p>
    <w:p>
      <w:pPr>
        <w:jc w:val="both"/>
        <w:ind w:right="20" w:firstLine="216"/>
        <w:spacing w:after="0" w:line="262" w:lineRule="auto"/>
        <w:rPr>
          <w:sz w:val="20"/>
          <w:szCs w:val="20"/>
          <w:color w:val="auto"/>
        </w:rPr>
      </w:pPr>
      <w:r>
        <w:rPr>
          <w:rFonts w:ascii="Arial" w:cs="Arial" w:eastAsia="Arial" w:hAnsi="Arial"/>
          <w:sz w:val="18"/>
          <w:szCs w:val="18"/>
          <w:color w:val="auto"/>
        </w:rPr>
        <w:t>The table below shows the maximum availability under revolving credit facilities, all of which were undrawn, as of December 31, 2019 (in millions):</w:t>
      </w:r>
    </w:p>
    <w:p>
      <w:pPr>
        <w:spacing w:after="0" w:line="278" w:lineRule="exact"/>
        <w:rPr>
          <w:sz w:val="20"/>
          <w:szCs w:val="20"/>
          <w:color w:val="auto"/>
        </w:rPr>
      </w:pPr>
    </w:p>
    <w:tbl>
      <w:tblPr>
        <w:tblLayout w:type="fixed"/>
        <w:tblInd w:w="0" w:type="dxa"/>
        <w:tblCellMar>
          <w:top w:w="0" w:type="dxa"/>
          <w:left w:w="0" w:type="dxa"/>
          <w:bottom w:w="0" w:type="dxa"/>
          <w:right w:w="0" w:type="dxa"/>
        </w:tblCellMar>
      </w:tblPr>
      <w:tr>
        <w:trPr>
          <w:trHeight w:val="257"/>
        </w:trPr>
        <w:tc>
          <w:tcPr>
            <w:tcW w:w="10040" w:type="dxa"/>
            <w:vAlign w:val="bottom"/>
            <w:shd w:val="clear" w:color="auto" w:fill="CCEEFF"/>
          </w:tcPr>
          <w:p>
            <w:pPr>
              <w:ind w:left="40"/>
              <w:spacing w:after="0"/>
              <w:rPr>
                <w:sz w:val="20"/>
                <w:szCs w:val="20"/>
                <w:color w:val="auto"/>
              </w:rPr>
            </w:pPr>
            <w:r>
              <w:rPr>
                <w:rFonts w:ascii="Arial" w:cs="Arial" w:eastAsia="Arial" w:hAnsi="Arial"/>
                <w:sz w:val="18"/>
                <w:szCs w:val="18"/>
                <w:color w:val="auto"/>
              </w:rPr>
              <w:t>2013 Revolving Facility</w:t>
            </w:r>
          </w:p>
        </w:tc>
        <w:tc>
          <w:tcPr>
            <w:tcW w:w="480" w:type="dxa"/>
            <w:vAlign w:val="bottom"/>
            <w:shd w:val="clear" w:color="auto" w:fill="CCEEFF"/>
          </w:tcPr>
          <w:p>
            <w:pPr>
              <w:jc w:val="right"/>
              <w:ind w:right="270"/>
              <w:spacing w:after="0"/>
              <w:rPr>
                <w:sz w:val="20"/>
                <w:szCs w:val="20"/>
                <w:color w:val="auto"/>
              </w:rPr>
            </w:pPr>
            <w:r>
              <w:rPr>
                <w:rFonts w:ascii="Arial" w:cs="Arial" w:eastAsia="Arial" w:hAnsi="Arial"/>
                <w:sz w:val="18"/>
                <w:szCs w:val="18"/>
                <w:color w:val="auto"/>
                <w:w w:val="99"/>
              </w:rPr>
              <w:t>$</w:t>
            </w:r>
          </w:p>
        </w:tc>
        <w:tc>
          <w:tcPr>
            <w:tcW w:w="9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750</w:t>
            </w:r>
          </w:p>
        </w:tc>
      </w:tr>
      <w:tr>
        <w:trPr>
          <w:trHeight w:val="250"/>
        </w:trPr>
        <w:tc>
          <w:tcPr>
            <w:tcW w:w="10040" w:type="dxa"/>
            <w:vAlign w:val="bottom"/>
          </w:tcPr>
          <w:p>
            <w:pPr>
              <w:ind w:left="40"/>
              <w:spacing w:after="0"/>
              <w:rPr>
                <w:sz w:val="20"/>
                <w:szCs w:val="20"/>
                <w:color w:val="auto"/>
              </w:rPr>
            </w:pPr>
            <w:r>
              <w:rPr>
                <w:rFonts w:ascii="Arial" w:cs="Arial" w:eastAsia="Arial" w:hAnsi="Arial"/>
                <w:sz w:val="18"/>
                <w:szCs w:val="18"/>
                <w:color w:val="auto"/>
              </w:rPr>
              <w:t>2014 Revolving Facility</w:t>
            </w:r>
          </w:p>
        </w:tc>
        <w:tc>
          <w:tcPr>
            <w:tcW w:w="480" w:type="dxa"/>
            <w:vAlign w:val="bottom"/>
          </w:tcPr>
          <w:p>
            <w:pPr>
              <w:spacing w:after="0"/>
              <w:rPr>
                <w:sz w:val="21"/>
                <w:szCs w:val="21"/>
                <w:color w:val="auto"/>
              </w:rPr>
            </w:pPr>
          </w:p>
        </w:tc>
        <w:tc>
          <w:tcPr>
            <w:tcW w:w="900" w:type="dxa"/>
            <w:vAlign w:val="bottom"/>
          </w:tcPr>
          <w:p>
            <w:pPr>
              <w:jc w:val="right"/>
              <w:ind w:right="10"/>
              <w:spacing w:after="0"/>
              <w:rPr>
                <w:sz w:val="20"/>
                <w:szCs w:val="20"/>
                <w:color w:val="auto"/>
              </w:rPr>
            </w:pPr>
            <w:r>
              <w:rPr>
                <w:rFonts w:ascii="Arial" w:cs="Arial" w:eastAsia="Arial" w:hAnsi="Arial"/>
                <w:sz w:val="18"/>
                <w:szCs w:val="18"/>
                <w:color w:val="auto"/>
              </w:rPr>
              <w:t>1,643</w:t>
            </w:r>
          </w:p>
        </w:tc>
      </w:tr>
      <w:tr>
        <w:trPr>
          <w:trHeight w:val="263"/>
        </w:trPr>
        <w:tc>
          <w:tcPr>
            <w:tcW w:w="10040" w:type="dxa"/>
            <w:vAlign w:val="bottom"/>
            <w:shd w:val="clear" w:color="auto" w:fill="CCEEFF"/>
          </w:tcPr>
          <w:p>
            <w:pPr>
              <w:ind w:left="40"/>
              <w:spacing w:after="0"/>
              <w:rPr>
                <w:sz w:val="20"/>
                <w:szCs w:val="20"/>
                <w:color w:val="auto"/>
              </w:rPr>
            </w:pPr>
            <w:r>
              <w:rPr>
                <w:rFonts w:ascii="Arial" w:cs="Arial" w:eastAsia="Arial" w:hAnsi="Arial"/>
                <w:sz w:val="18"/>
                <w:szCs w:val="18"/>
                <w:color w:val="auto"/>
              </w:rPr>
              <w:t>April 2016 Revolving Facility</w:t>
            </w:r>
          </w:p>
        </w:tc>
        <w:tc>
          <w:tcPr>
            <w:tcW w:w="480" w:type="dxa"/>
            <w:vAlign w:val="bottom"/>
            <w:shd w:val="clear" w:color="auto" w:fill="CCEEFF"/>
          </w:tcPr>
          <w:p>
            <w:pPr>
              <w:spacing w:after="0"/>
              <w:rPr>
                <w:sz w:val="22"/>
                <w:szCs w:val="22"/>
                <w:color w:val="auto"/>
              </w:rPr>
            </w:pPr>
          </w:p>
        </w:tc>
        <w:tc>
          <w:tcPr>
            <w:tcW w:w="9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450</w:t>
            </w:r>
          </w:p>
        </w:tc>
      </w:tr>
      <w:tr>
        <w:trPr>
          <w:trHeight w:val="250"/>
        </w:trPr>
        <w:tc>
          <w:tcPr>
            <w:tcW w:w="10040" w:type="dxa"/>
            <w:vAlign w:val="bottom"/>
            <w:tcBorders>
              <w:bottom w:val="single" w:sz="8" w:color="CCEEFF"/>
            </w:tcBorders>
          </w:tcPr>
          <w:p>
            <w:pPr>
              <w:ind w:left="40"/>
              <w:spacing w:after="0"/>
              <w:rPr>
                <w:sz w:val="20"/>
                <w:szCs w:val="20"/>
                <w:color w:val="auto"/>
              </w:rPr>
            </w:pPr>
            <w:r>
              <w:rPr>
                <w:rFonts w:ascii="Arial" w:cs="Arial" w:eastAsia="Arial" w:hAnsi="Arial"/>
                <w:sz w:val="18"/>
                <w:szCs w:val="18"/>
                <w:color w:val="auto"/>
              </w:rPr>
              <w:t>Other Short-term Revolving Facility</w:t>
            </w:r>
          </w:p>
        </w:tc>
        <w:tc>
          <w:tcPr>
            <w:tcW w:w="480" w:type="dxa"/>
            <w:vAlign w:val="bottom"/>
            <w:tcBorders>
              <w:bottom w:val="single" w:sz="8" w:color="auto"/>
            </w:tcBorders>
          </w:tcPr>
          <w:p>
            <w:pPr>
              <w:spacing w:after="0"/>
              <w:rPr>
                <w:sz w:val="21"/>
                <w:szCs w:val="21"/>
                <w:color w:val="auto"/>
              </w:rPr>
            </w:pPr>
          </w:p>
        </w:tc>
        <w:tc>
          <w:tcPr>
            <w:tcW w:w="90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400</w:t>
            </w:r>
          </w:p>
        </w:tc>
      </w:tr>
      <w:tr>
        <w:trPr>
          <w:trHeight w:val="250"/>
        </w:trPr>
        <w:tc>
          <w:tcPr>
            <w:tcW w:w="1004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Total</w:t>
            </w:r>
          </w:p>
        </w:tc>
        <w:tc>
          <w:tcPr>
            <w:tcW w:w="480" w:type="dxa"/>
            <w:vAlign w:val="bottom"/>
            <w:tcBorders>
              <w:bottom w:val="single" w:sz="8" w:color="auto"/>
            </w:tcBorders>
            <w:shd w:val="clear" w:color="auto" w:fill="CCEEFF"/>
          </w:tcPr>
          <w:p>
            <w:pPr>
              <w:jc w:val="right"/>
              <w:ind w:right="270"/>
              <w:spacing w:after="0"/>
              <w:rPr>
                <w:sz w:val="20"/>
                <w:szCs w:val="20"/>
                <w:color w:val="auto"/>
              </w:rPr>
            </w:pPr>
            <w:r>
              <w:rPr>
                <w:rFonts w:ascii="Arial" w:cs="Arial" w:eastAsia="Arial" w:hAnsi="Arial"/>
                <w:sz w:val="18"/>
                <w:szCs w:val="18"/>
                <w:color w:val="auto"/>
                <w:w w:val="99"/>
              </w:rPr>
              <w:t>$</w:t>
            </w:r>
          </w:p>
        </w:tc>
        <w:tc>
          <w:tcPr>
            <w:tcW w:w="90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3,243</w:t>
            </w:r>
          </w:p>
        </w:tc>
      </w:tr>
      <w:tr>
        <w:trPr>
          <w:trHeight w:val="20"/>
        </w:trPr>
        <w:tc>
          <w:tcPr>
            <w:tcW w:w="10040" w:type="dxa"/>
            <w:vAlign w:val="bottom"/>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r>
    </w:tbl>
    <w:p>
      <w:pPr>
        <w:spacing w:after="0" w:line="377" w:lineRule="exact"/>
        <w:rPr>
          <w:sz w:val="20"/>
          <w:szCs w:val="20"/>
          <w:color w:val="auto"/>
        </w:rPr>
      </w:pPr>
    </w:p>
    <w:p>
      <w:pPr>
        <w:jc w:val="both"/>
        <w:ind w:firstLine="216"/>
        <w:spacing w:after="0" w:line="262" w:lineRule="auto"/>
        <w:rPr>
          <w:sz w:val="20"/>
          <w:szCs w:val="20"/>
          <w:color w:val="auto"/>
        </w:rPr>
      </w:pPr>
      <w:r>
        <w:rPr>
          <w:rFonts w:ascii="Arial" w:cs="Arial" w:eastAsia="Arial" w:hAnsi="Arial"/>
          <w:sz w:val="18"/>
          <w:szCs w:val="18"/>
          <w:color w:val="auto"/>
        </w:rPr>
        <w:t>Secured financings are collateralized by assets, primarily aircraft, engines, simulators, aircraft spare parts, airport gate leasehold rights, route authorities, airport slots and certain pre-delivery payments.</w:t>
      </w:r>
    </w:p>
    <w:p>
      <w:pPr>
        <w:spacing w:after="0" w:line="142" w:lineRule="exact"/>
        <w:rPr>
          <w:sz w:val="20"/>
          <w:szCs w:val="20"/>
          <w:color w:val="auto"/>
        </w:rPr>
      </w:pPr>
    </w:p>
    <w:p>
      <w:pPr>
        <w:ind w:left="220"/>
        <w:spacing w:after="0"/>
        <w:rPr>
          <w:sz w:val="20"/>
          <w:szCs w:val="20"/>
          <w:color w:val="auto"/>
        </w:rPr>
      </w:pPr>
      <w:r>
        <w:rPr>
          <w:rFonts w:ascii="Arial" w:cs="Arial" w:eastAsia="Arial" w:hAnsi="Arial"/>
          <w:sz w:val="18"/>
          <w:szCs w:val="18"/>
          <w:color w:val="auto"/>
        </w:rPr>
        <w:t>At December 31, 2019, the maturities of long-term debt are as follows (in millions):</w:t>
      </w:r>
    </w:p>
    <w:p>
      <w:pPr>
        <w:spacing w:after="0" w:line="307" w:lineRule="exact"/>
        <w:rPr>
          <w:sz w:val="20"/>
          <w:szCs w:val="20"/>
          <w:color w:val="auto"/>
        </w:rPr>
      </w:pPr>
    </w:p>
    <w:tbl>
      <w:tblPr>
        <w:tblLayout w:type="fixed"/>
        <w:tblInd w:w="0" w:type="dxa"/>
        <w:tblCellMar>
          <w:top w:w="0" w:type="dxa"/>
          <w:left w:w="0" w:type="dxa"/>
          <w:bottom w:w="0" w:type="dxa"/>
          <w:right w:w="0" w:type="dxa"/>
        </w:tblCellMar>
      </w:tblPr>
      <w:tr>
        <w:trPr>
          <w:trHeight w:val="257"/>
        </w:trPr>
        <w:tc>
          <w:tcPr>
            <w:tcW w:w="3580" w:type="dxa"/>
            <w:vAlign w:val="bottom"/>
            <w:shd w:val="clear" w:color="auto" w:fill="CCEEFF"/>
          </w:tcPr>
          <w:p>
            <w:pPr>
              <w:ind w:left="40"/>
              <w:spacing w:after="0"/>
              <w:rPr>
                <w:sz w:val="20"/>
                <w:szCs w:val="20"/>
                <w:color w:val="auto"/>
              </w:rPr>
            </w:pPr>
            <w:r>
              <w:rPr>
                <w:rFonts w:ascii="Arial" w:cs="Arial" w:eastAsia="Arial" w:hAnsi="Arial"/>
                <w:sz w:val="18"/>
                <w:szCs w:val="18"/>
                <w:color w:val="auto"/>
              </w:rPr>
              <w:t>2020</w:t>
            </w:r>
          </w:p>
        </w:tc>
        <w:tc>
          <w:tcPr>
            <w:tcW w:w="688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w:t>
            </w:r>
          </w:p>
        </w:tc>
        <w:tc>
          <w:tcPr>
            <w:tcW w:w="96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2,293</w:t>
            </w:r>
          </w:p>
        </w:tc>
        <w:tc>
          <w:tcPr>
            <w:tcW w:w="0" w:type="dxa"/>
            <w:vAlign w:val="bottom"/>
          </w:tcPr>
          <w:p>
            <w:pPr>
              <w:spacing w:after="0"/>
              <w:rPr>
                <w:sz w:val="1"/>
                <w:szCs w:val="1"/>
                <w:color w:val="auto"/>
              </w:rPr>
            </w:pPr>
          </w:p>
        </w:tc>
      </w:tr>
      <w:tr>
        <w:trPr>
          <w:trHeight w:val="250"/>
        </w:trPr>
        <w:tc>
          <w:tcPr>
            <w:tcW w:w="3580" w:type="dxa"/>
            <w:vAlign w:val="bottom"/>
          </w:tcPr>
          <w:p>
            <w:pPr>
              <w:ind w:left="40"/>
              <w:spacing w:after="0"/>
              <w:rPr>
                <w:sz w:val="20"/>
                <w:szCs w:val="20"/>
                <w:color w:val="auto"/>
              </w:rPr>
            </w:pPr>
            <w:r>
              <w:rPr>
                <w:rFonts w:ascii="Arial" w:cs="Arial" w:eastAsia="Arial" w:hAnsi="Arial"/>
                <w:sz w:val="18"/>
                <w:szCs w:val="18"/>
                <w:color w:val="auto"/>
              </w:rPr>
              <w:t>2021</w:t>
            </w:r>
          </w:p>
        </w:tc>
        <w:tc>
          <w:tcPr>
            <w:tcW w:w="646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960" w:type="dxa"/>
            <w:vAlign w:val="bottom"/>
          </w:tcPr>
          <w:p>
            <w:pPr>
              <w:jc w:val="right"/>
              <w:ind w:right="10"/>
              <w:spacing w:after="0"/>
              <w:rPr>
                <w:sz w:val="20"/>
                <w:szCs w:val="20"/>
                <w:color w:val="auto"/>
              </w:rPr>
            </w:pPr>
            <w:r>
              <w:rPr>
                <w:rFonts w:ascii="Arial" w:cs="Arial" w:eastAsia="Arial" w:hAnsi="Arial"/>
                <w:sz w:val="18"/>
                <w:szCs w:val="18"/>
                <w:color w:val="auto"/>
              </w:rPr>
              <w:t>3,508</w:t>
            </w:r>
          </w:p>
        </w:tc>
        <w:tc>
          <w:tcPr>
            <w:tcW w:w="0" w:type="dxa"/>
            <w:vAlign w:val="bottom"/>
          </w:tcPr>
          <w:p>
            <w:pPr>
              <w:spacing w:after="0"/>
              <w:rPr>
                <w:sz w:val="1"/>
                <w:szCs w:val="1"/>
                <w:color w:val="auto"/>
              </w:rPr>
            </w:pPr>
          </w:p>
        </w:tc>
      </w:tr>
      <w:tr>
        <w:trPr>
          <w:trHeight w:val="263"/>
        </w:trPr>
        <w:tc>
          <w:tcPr>
            <w:tcW w:w="3580" w:type="dxa"/>
            <w:vAlign w:val="bottom"/>
            <w:shd w:val="clear" w:color="auto" w:fill="CCEEFF"/>
          </w:tcPr>
          <w:p>
            <w:pPr>
              <w:ind w:left="40"/>
              <w:spacing w:after="0"/>
              <w:rPr>
                <w:sz w:val="20"/>
                <w:szCs w:val="20"/>
                <w:color w:val="auto"/>
              </w:rPr>
            </w:pPr>
            <w:r>
              <w:rPr>
                <w:rFonts w:ascii="Arial" w:cs="Arial" w:eastAsia="Arial" w:hAnsi="Arial"/>
                <w:sz w:val="18"/>
                <w:szCs w:val="18"/>
                <w:color w:val="auto"/>
              </w:rPr>
              <w:t>2022</w:t>
            </w:r>
          </w:p>
        </w:tc>
        <w:tc>
          <w:tcPr>
            <w:tcW w:w="6460" w:type="dxa"/>
            <w:vAlign w:val="bottom"/>
            <w:shd w:val="clear" w:color="auto" w:fill="CCEEFF"/>
          </w:tcPr>
          <w:p>
            <w:pPr>
              <w:spacing w:after="0"/>
              <w:rPr>
                <w:sz w:val="22"/>
                <w:szCs w:val="22"/>
                <w:color w:val="auto"/>
              </w:rPr>
            </w:pPr>
          </w:p>
        </w:tc>
        <w:tc>
          <w:tcPr>
            <w:tcW w:w="420" w:type="dxa"/>
            <w:vAlign w:val="bottom"/>
            <w:shd w:val="clear" w:color="auto" w:fill="CCEEFF"/>
          </w:tcPr>
          <w:p>
            <w:pPr>
              <w:spacing w:after="0"/>
              <w:rPr>
                <w:sz w:val="22"/>
                <w:szCs w:val="22"/>
                <w:color w:val="auto"/>
              </w:rPr>
            </w:pPr>
          </w:p>
        </w:tc>
        <w:tc>
          <w:tcPr>
            <w:tcW w:w="96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1,551</w:t>
            </w:r>
          </w:p>
        </w:tc>
        <w:tc>
          <w:tcPr>
            <w:tcW w:w="0" w:type="dxa"/>
            <w:vAlign w:val="bottom"/>
          </w:tcPr>
          <w:p>
            <w:pPr>
              <w:spacing w:after="0"/>
              <w:rPr>
                <w:sz w:val="1"/>
                <w:szCs w:val="1"/>
                <w:color w:val="auto"/>
              </w:rPr>
            </w:pPr>
          </w:p>
        </w:tc>
      </w:tr>
      <w:tr>
        <w:trPr>
          <w:trHeight w:val="250"/>
        </w:trPr>
        <w:tc>
          <w:tcPr>
            <w:tcW w:w="3580" w:type="dxa"/>
            <w:vAlign w:val="bottom"/>
          </w:tcPr>
          <w:p>
            <w:pPr>
              <w:ind w:left="40"/>
              <w:spacing w:after="0"/>
              <w:rPr>
                <w:sz w:val="20"/>
                <w:szCs w:val="20"/>
                <w:color w:val="auto"/>
              </w:rPr>
            </w:pPr>
            <w:r>
              <w:rPr>
                <w:rFonts w:ascii="Arial" w:cs="Arial" w:eastAsia="Arial" w:hAnsi="Arial"/>
                <w:sz w:val="18"/>
                <w:szCs w:val="18"/>
                <w:color w:val="auto"/>
              </w:rPr>
              <w:t>2023</w:t>
            </w:r>
          </w:p>
        </w:tc>
        <w:tc>
          <w:tcPr>
            <w:tcW w:w="646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960" w:type="dxa"/>
            <w:vAlign w:val="bottom"/>
          </w:tcPr>
          <w:p>
            <w:pPr>
              <w:jc w:val="right"/>
              <w:ind w:right="10"/>
              <w:spacing w:after="0"/>
              <w:rPr>
                <w:sz w:val="20"/>
                <w:szCs w:val="20"/>
                <w:color w:val="auto"/>
              </w:rPr>
            </w:pPr>
            <w:r>
              <w:rPr>
                <w:rFonts w:ascii="Arial" w:cs="Arial" w:eastAsia="Arial" w:hAnsi="Arial"/>
                <w:sz w:val="18"/>
                <w:szCs w:val="18"/>
                <w:color w:val="auto"/>
              </w:rPr>
              <w:t>4,072</w:t>
            </w:r>
          </w:p>
        </w:tc>
        <w:tc>
          <w:tcPr>
            <w:tcW w:w="0" w:type="dxa"/>
            <w:vAlign w:val="bottom"/>
          </w:tcPr>
          <w:p>
            <w:pPr>
              <w:spacing w:after="0"/>
              <w:rPr>
                <w:sz w:val="1"/>
                <w:szCs w:val="1"/>
                <w:color w:val="auto"/>
              </w:rPr>
            </w:pPr>
          </w:p>
        </w:tc>
      </w:tr>
      <w:tr>
        <w:trPr>
          <w:trHeight w:val="263"/>
        </w:trPr>
        <w:tc>
          <w:tcPr>
            <w:tcW w:w="3580" w:type="dxa"/>
            <w:vAlign w:val="bottom"/>
            <w:shd w:val="clear" w:color="auto" w:fill="CCEEFF"/>
          </w:tcPr>
          <w:p>
            <w:pPr>
              <w:ind w:left="40"/>
              <w:spacing w:after="0"/>
              <w:rPr>
                <w:sz w:val="20"/>
                <w:szCs w:val="20"/>
                <w:color w:val="auto"/>
              </w:rPr>
            </w:pPr>
            <w:r>
              <w:rPr>
                <w:rFonts w:ascii="Arial" w:cs="Arial" w:eastAsia="Arial" w:hAnsi="Arial"/>
                <w:sz w:val="18"/>
                <w:szCs w:val="18"/>
                <w:color w:val="auto"/>
              </w:rPr>
              <w:t>2024</w:t>
            </w:r>
          </w:p>
        </w:tc>
        <w:tc>
          <w:tcPr>
            <w:tcW w:w="6460" w:type="dxa"/>
            <w:vAlign w:val="bottom"/>
            <w:shd w:val="clear" w:color="auto" w:fill="CCEEFF"/>
          </w:tcPr>
          <w:p>
            <w:pPr>
              <w:spacing w:after="0"/>
              <w:rPr>
                <w:sz w:val="22"/>
                <w:szCs w:val="22"/>
                <w:color w:val="auto"/>
              </w:rPr>
            </w:pPr>
          </w:p>
        </w:tc>
        <w:tc>
          <w:tcPr>
            <w:tcW w:w="420" w:type="dxa"/>
            <w:vAlign w:val="bottom"/>
            <w:shd w:val="clear" w:color="auto" w:fill="CCEEFF"/>
          </w:tcPr>
          <w:p>
            <w:pPr>
              <w:spacing w:after="0"/>
              <w:rPr>
                <w:sz w:val="22"/>
                <w:szCs w:val="22"/>
                <w:color w:val="auto"/>
              </w:rPr>
            </w:pPr>
          </w:p>
        </w:tc>
        <w:tc>
          <w:tcPr>
            <w:tcW w:w="96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1,521</w:t>
            </w:r>
          </w:p>
        </w:tc>
        <w:tc>
          <w:tcPr>
            <w:tcW w:w="0" w:type="dxa"/>
            <w:vAlign w:val="bottom"/>
          </w:tcPr>
          <w:p>
            <w:pPr>
              <w:spacing w:after="0"/>
              <w:rPr>
                <w:sz w:val="1"/>
                <w:szCs w:val="1"/>
                <w:color w:val="auto"/>
              </w:rPr>
            </w:pPr>
          </w:p>
        </w:tc>
      </w:tr>
      <w:tr>
        <w:trPr>
          <w:trHeight w:val="250"/>
        </w:trPr>
        <w:tc>
          <w:tcPr>
            <w:tcW w:w="3580" w:type="dxa"/>
            <w:vAlign w:val="bottom"/>
            <w:tcBorders>
              <w:bottom w:val="single" w:sz="8" w:color="CCEEFF"/>
            </w:tcBorders>
          </w:tcPr>
          <w:p>
            <w:pPr>
              <w:ind w:left="40"/>
              <w:spacing w:after="0"/>
              <w:rPr>
                <w:sz w:val="20"/>
                <w:szCs w:val="20"/>
                <w:color w:val="auto"/>
              </w:rPr>
            </w:pPr>
            <w:r>
              <w:rPr>
                <w:rFonts w:ascii="Arial" w:cs="Arial" w:eastAsia="Arial" w:hAnsi="Arial"/>
                <w:sz w:val="18"/>
                <w:szCs w:val="18"/>
                <w:color w:val="auto"/>
              </w:rPr>
              <w:t>2025 and thereafter</w:t>
            </w:r>
          </w:p>
        </w:tc>
        <w:tc>
          <w:tcPr>
            <w:tcW w:w="6460" w:type="dxa"/>
            <w:vAlign w:val="bottom"/>
            <w:tcBorders>
              <w:bottom w:val="single" w:sz="8" w:color="CCEEFF"/>
            </w:tcBorders>
          </w:tcPr>
          <w:p>
            <w:pPr>
              <w:spacing w:after="0"/>
              <w:rPr>
                <w:sz w:val="21"/>
                <w:szCs w:val="21"/>
                <w:color w:val="auto"/>
              </w:rPr>
            </w:pPr>
          </w:p>
        </w:tc>
        <w:tc>
          <w:tcPr>
            <w:tcW w:w="420" w:type="dxa"/>
            <w:vAlign w:val="bottom"/>
            <w:tcBorders>
              <w:bottom w:val="single" w:sz="8" w:color="auto"/>
            </w:tcBorders>
          </w:tcPr>
          <w:p>
            <w:pPr>
              <w:spacing w:after="0"/>
              <w:rPr>
                <w:sz w:val="21"/>
                <w:szCs w:val="21"/>
                <w:color w:val="auto"/>
              </w:rPr>
            </w:pPr>
          </w:p>
        </w:tc>
        <w:tc>
          <w:tcPr>
            <w:tcW w:w="96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9,632</w:t>
            </w:r>
          </w:p>
        </w:tc>
        <w:tc>
          <w:tcPr>
            <w:tcW w:w="0" w:type="dxa"/>
            <w:vAlign w:val="bottom"/>
          </w:tcPr>
          <w:p>
            <w:pPr>
              <w:spacing w:after="0"/>
              <w:rPr>
                <w:sz w:val="1"/>
                <w:szCs w:val="1"/>
                <w:color w:val="auto"/>
              </w:rPr>
            </w:pPr>
          </w:p>
        </w:tc>
      </w:tr>
      <w:tr>
        <w:trPr>
          <w:trHeight w:val="250"/>
        </w:trPr>
        <w:tc>
          <w:tcPr>
            <w:tcW w:w="3580" w:type="dxa"/>
            <w:vAlign w:val="bottom"/>
            <w:shd w:val="clear" w:color="auto" w:fill="CCEEFF"/>
          </w:tcPr>
          <w:p>
            <w:pPr>
              <w:ind w:left="280"/>
              <w:spacing w:after="0"/>
              <w:rPr>
                <w:sz w:val="20"/>
                <w:szCs w:val="20"/>
                <w:color w:val="auto"/>
              </w:rPr>
            </w:pPr>
            <w:r>
              <w:rPr>
                <w:rFonts w:ascii="Arial" w:cs="Arial" w:eastAsia="Arial" w:hAnsi="Arial"/>
                <w:sz w:val="18"/>
                <w:szCs w:val="18"/>
                <w:color w:val="auto"/>
              </w:rPr>
              <w:t>Total</w:t>
            </w:r>
          </w:p>
        </w:tc>
        <w:tc>
          <w:tcPr>
            <w:tcW w:w="688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w:t>
            </w:r>
          </w:p>
        </w:tc>
        <w:tc>
          <w:tcPr>
            <w:tcW w:w="96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22,577</w:t>
            </w:r>
          </w:p>
        </w:tc>
        <w:tc>
          <w:tcPr>
            <w:tcW w:w="0" w:type="dxa"/>
            <w:vAlign w:val="bottom"/>
          </w:tcPr>
          <w:p>
            <w:pPr>
              <w:spacing w:after="0"/>
              <w:rPr>
                <w:sz w:val="1"/>
                <w:szCs w:val="1"/>
                <w:color w:val="auto"/>
              </w:rPr>
            </w:pPr>
          </w:p>
        </w:tc>
      </w:tr>
      <w:tr>
        <w:trPr>
          <w:trHeight w:val="20"/>
        </w:trPr>
        <w:tc>
          <w:tcPr>
            <w:tcW w:w="3580" w:type="dxa"/>
            <w:vAlign w:val="bottom"/>
            <w:tcBorders>
              <w:top w:val="single" w:sz="8" w:color="CCEEFF"/>
            </w:tcBorders>
          </w:tcPr>
          <w:p>
            <w:pPr>
              <w:spacing w:after="0" w:line="20" w:lineRule="exact"/>
              <w:rPr>
                <w:sz w:val="1"/>
                <w:szCs w:val="1"/>
                <w:color w:val="auto"/>
              </w:rPr>
            </w:pPr>
          </w:p>
        </w:tc>
        <w:tc>
          <w:tcPr>
            <w:tcW w:w="6460" w:type="dxa"/>
            <w:vAlign w:val="bottom"/>
            <w:tcBorders>
              <w:top w:val="single" w:sz="8" w:color="CCEEFF"/>
              <w:bottom w:val="single" w:sz="8" w:color="CCEEFF"/>
            </w:tcBorders>
            <w:vMerge w:val="restart"/>
          </w:tcPr>
          <w:p>
            <w:pPr>
              <w:jc w:val="right"/>
              <w:ind w:right="4090"/>
              <w:spacing w:after="0"/>
              <w:rPr>
                <w:sz w:val="20"/>
                <w:szCs w:val="20"/>
                <w:color w:val="auto"/>
              </w:rPr>
            </w:pPr>
            <w:r>
              <w:rPr>
                <w:rFonts w:ascii="Arial" w:cs="Arial" w:eastAsia="Arial" w:hAnsi="Arial"/>
                <w:sz w:val="18"/>
                <w:szCs w:val="18"/>
                <w:color w:val="auto"/>
              </w:rPr>
              <w:t>131</w:t>
            </w:r>
          </w:p>
        </w:tc>
        <w:tc>
          <w:tcPr>
            <w:tcW w:w="42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35"/>
        </w:trPr>
        <w:tc>
          <w:tcPr>
            <w:tcW w:w="3580" w:type="dxa"/>
            <w:vAlign w:val="bottom"/>
          </w:tcPr>
          <w:p>
            <w:pPr>
              <w:spacing w:after="0"/>
              <w:rPr>
                <w:sz w:val="24"/>
                <w:szCs w:val="24"/>
                <w:color w:val="auto"/>
              </w:rPr>
            </w:pPr>
          </w:p>
        </w:tc>
        <w:tc>
          <w:tcPr>
            <w:tcW w:w="6460" w:type="dxa"/>
            <w:vAlign w:val="bottom"/>
            <w:vMerge w:val="continue"/>
          </w:tcPr>
          <w:p>
            <w:pPr>
              <w:spacing w:after="0"/>
              <w:rPr>
                <w:sz w:val="24"/>
                <w:szCs w:val="24"/>
                <w:color w:val="auto"/>
              </w:rPr>
            </w:pPr>
          </w:p>
        </w:tc>
        <w:tc>
          <w:tcPr>
            <w:tcW w:w="42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549" w:right="239" w:bottom="1440" w:gutter="0" w:footer="0" w:header="0"/>
        </w:sectPr>
      </w:pPr>
    </w:p>
    <w:bookmarkStart w:id="131" w:name="page132"/>
    <w:bookmarkEnd w:id="131"/>
    <w:p>
      <w:pPr>
        <w:jc w:val="center"/>
        <w:spacing w:after="0"/>
        <w:rPr>
          <w:sz w:val="20"/>
          <w:szCs w:val="20"/>
          <w:color w:val="auto"/>
        </w:rPr>
      </w:pPr>
      <w:r>
        <w:rPr>
          <w:rFonts w:ascii="Arial" w:cs="Arial" w:eastAsia="Arial" w:hAnsi="Arial"/>
          <w:sz w:val="18"/>
          <w:szCs w:val="18"/>
          <w:b w:val="1"/>
          <w:bCs w:val="1"/>
          <w:color w:val="auto"/>
        </w:rPr>
        <w:t>NOTES TO CONSOLIDATED FINANCIAL STATEMENTS OF AMERICAN AIRLINES, INC.</w:t>
      </w:r>
    </w:p>
    <w:p>
      <w:pPr>
        <w:spacing w:after="0" w:line="200" w:lineRule="exact"/>
        <w:rPr>
          <w:sz w:val="20"/>
          <w:szCs w:val="20"/>
          <w:color w:val="auto"/>
        </w:rPr>
      </w:pPr>
    </w:p>
    <w:p>
      <w:pPr>
        <w:spacing w:after="0" w:line="268" w:lineRule="exact"/>
        <w:rPr>
          <w:sz w:val="20"/>
          <w:szCs w:val="20"/>
          <w:color w:val="auto"/>
        </w:rPr>
      </w:pPr>
    </w:p>
    <w:p>
      <w:pPr>
        <w:ind w:left="240" w:right="5940" w:hanging="16"/>
        <w:spacing w:after="0" w:line="357" w:lineRule="auto"/>
        <w:tabs>
          <w:tab w:leader="none" w:pos="497" w:val="left"/>
        </w:tabs>
        <w:numPr>
          <w:ilvl w:val="0"/>
          <w:numId w:val="60"/>
        </w:numPr>
        <w:rPr>
          <w:rFonts w:ascii="Arial" w:cs="Arial" w:eastAsia="Arial" w:hAnsi="Arial"/>
          <w:sz w:val="18"/>
          <w:szCs w:val="18"/>
          <w:b w:val="1"/>
          <w:bCs w:val="1"/>
          <w:i w:val="1"/>
          <w:iCs w:val="1"/>
          <w:color w:val="auto"/>
        </w:rPr>
      </w:pPr>
      <w:r>
        <w:rPr>
          <w:rFonts w:ascii="Arial" w:cs="Arial" w:eastAsia="Arial" w:hAnsi="Arial"/>
          <w:sz w:val="18"/>
          <w:szCs w:val="18"/>
          <w:b w:val="1"/>
          <w:bCs w:val="1"/>
          <w:i w:val="1"/>
          <w:iCs w:val="1"/>
          <w:color w:val="auto"/>
        </w:rPr>
        <w:t xml:space="preserve">2013, 2014, April 2016 and December 2016 Credit Facilities </w:t>
      </w:r>
      <w:r>
        <w:rPr>
          <w:rFonts w:ascii="Arial" w:cs="Arial" w:eastAsia="Arial" w:hAnsi="Arial"/>
          <w:sz w:val="18"/>
          <w:szCs w:val="18"/>
          <w:i w:val="1"/>
          <w:iCs w:val="1"/>
          <w:u w:val="single" w:color="auto"/>
          <w:color w:val="auto"/>
        </w:rPr>
        <w:t>2013 Credit Facilities</w:t>
      </w:r>
    </w:p>
    <w:p>
      <w:pPr>
        <w:jc w:val="both"/>
        <w:ind w:firstLine="230"/>
        <w:spacing w:after="0" w:line="252" w:lineRule="auto"/>
        <w:rPr>
          <w:sz w:val="20"/>
          <w:szCs w:val="20"/>
          <w:color w:val="auto"/>
        </w:rPr>
      </w:pPr>
      <w:r>
        <w:rPr>
          <w:rFonts w:ascii="Arial" w:cs="Arial" w:eastAsia="Arial" w:hAnsi="Arial"/>
          <w:sz w:val="18"/>
          <w:szCs w:val="18"/>
          <w:color w:val="auto"/>
        </w:rPr>
        <w:t>In November 2019, American and AAG entered into the Sixth Amendment to Amended and Restated Credit and Guaranty Agreement, amending the Amended and Restated Credit and Guaranty Agreement dated as of May 21, 2015 (as previously amended, the 2013 Credit Agreement; the revolving credit facility established thereunder, the 2013 Revolving Facility; the term loan facility established thereunder, the 2013 Term Loan Facility; and the 2013 Revolving Facility together with the 2013 Term Loan Facility, the 2013 Credit Facilities), which reduced the total aggregate commitments under the 2013 Revolving Facility to $750 million from $1.0 billion. In addition, certain lenders party to the 2013 Credit Agreement extended the maturity date of their commitments under the 2013 Revolving Facility to October 2024 from October 2023.</w:t>
      </w:r>
    </w:p>
    <w:p>
      <w:pPr>
        <w:spacing w:after="0" w:line="200" w:lineRule="exact"/>
        <w:rPr>
          <w:sz w:val="20"/>
          <w:szCs w:val="20"/>
          <w:color w:val="auto"/>
        </w:rPr>
      </w:pPr>
    </w:p>
    <w:p>
      <w:pPr>
        <w:spacing w:after="0" w:line="234" w:lineRule="exact"/>
        <w:rPr>
          <w:sz w:val="20"/>
          <w:szCs w:val="20"/>
          <w:color w:val="auto"/>
        </w:rPr>
      </w:pPr>
    </w:p>
    <w:p>
      <w:pPr>
        <w:ind w:left="240"/>
        <w:spacing w:after="0"/>
        <w:rPr>
          <w:sz w:val="20"/>
          <w:szCs w:val="20"/>
          <w:color w:val="auto"/>
        </w:rPr>
      </w:pPr>
      <w:r>
        <w:rPr>
          <w:rFonts w:ascii="Arial" w:cs="Arial" w:eastAsia="Arial" w:hAnsi="Arial"/>
          <w:sz w:val="18"/>
          <w:szCs w:val="18"/>
          <w:i w:val="1"/>
          <w:iCs w:val="1"/>
          <w:u w:val="single" w:color="auto"/>
          <w:color w:val="auto"/>
        </w:rPr>
        <w:t>2014 Credit Facilities</w:t>
      </w:r>
    </w:p>
    <w:p>
      <w:pPr>
        <w:spacing w:after="0" w:line="108" w:lineRule="exact"/>
        <w:rPr>
          <w:sz w:val="20"/>
          <w:szCs w:val="20"/>
          <w:color w:val="auto"/>
        </w:rPr>
      </w:pPr>
    </w:p>
    <w:p>
      <w:pPr>
        <w:jc w:val="both"/>
        <w:ind w:firstLine="216"/>
        <w:spacing w:after="0" w:line="270" w:lineRule="auto"/>
        <w:rPr>
          <w:sz w:val="20"/>
          <w:szCs w:val="20"/>
          <w:color w:val="auto"/>
        </w:rPr>
      </w:pPr>
      <w:r>
        <w:rPr>
          <w:rFonts w:ascii="Arial" w:cs="Arial" w:eastAsia="Arial" w:hAnsi="Arial"/>
          <w:sz w:val="17"/>
          <w:szCs w:val="17"/>
          <w:color w:val="auto"/>
        </w:rPr>
        <w:t>In November 2019, American and AAG entered into the Seventh Amendment to Amended and Restated Credit and Guaranty Agreement, amending the Amended and Restated Credit and Guaranty Agreement dated as of April 20, 2015 (as previously amended, the 2014 Credit Agreement; the revolving credit facility established thereunder, the 2014 Revolving Facility; the term loan facility established thereunder, the 2014 Term Loan Facility; and the 2014 Revolving Facility together with the 2014 Term Loan Facility, the 2014 Credit Facilities), which increased the total aggregate commitments under the 2014 Revolving Facility to $1.6 billion from $1.5 billion. In addition, certain lenders party to the 2014 Credit Agreement extended the maturity date of their commitments under the 2014 Revolving Facility to October 2024 from October 2023.</w:t>
      </w:r>
    </w:p>
    <w:p>
      <w:pPr>
        <w:spacing w:after="0" w:line="202" w:lineRule="exact"/>
        <w:rPr>
          <w:sz w:val="20"/>
          <w:szCs w:val="20"/>
          <w:color w:val="auto"/>
        </w:rPr>
      </w:pPr>
    </w:p>
    <w:p>
      <w:pPr>
        <w:ind w:left="220"/>
        <w:spacing w:after="0"/>
        <w:rPr>
          <w:sz w:val="20"/>
          <w:szCs w:val="20"/>
          <w:color w:val="auto"/>
        </w:rPr>
      </w:pPr>
      <w:r>
        <w:rPr>
          <w:rFonts w:ascii="Arial" w:cs="Arial" w:eastAsia="Arial" w:hAnsi="Arial"/>
          <w:sz w:val="18"/>
          <w:szCs w:val="18"/>
          <w:i w:val="1"/>
          <w:iCs w:val="1"/>
          <w:u w:val="single" w:color="auto"/>
          <w:color w:val="auto"/>
        </w:rPr>
        <w:t>April 2016 Credit Facilities</w:t>
      </w:r>
    </w:p>
    <w:p>
      <w:pPr>
        <w:spacing w:after="0" w:line="108" w:lineRule="exact"/>
        <w:rPr>
          <w:sz w:val="20"/>
          <w:szCs w:val="20"/>
          <w:color w:val="auto"/>
        </w:rPr>
      </w:pPr>
    </w:p>
    <w:p>
      <w:pPr>
        <w:jc w:val="both"/>
        <w:ind w:firstLine="216"/>
        <w:spacing w:after="0" w:line="252" w:lineRule="auto"/>
        <w:rPr>
          <w:sz w:val="20"/>
          <w:szCs w:val="20"/>
          <w:color w:val="auto"/>
        </w:rPr>
      </w:pPr>
      <w:r>
        <w:rPr>
          <w:rFonts w:ascii="Arial" w:cs="Arial" w:eastAsia="Arial" w:hAnsi="Arial"/>
          <w:sz w:val="18"/>
          <w:szCs w:val="18"/>
          <w:color w:val="auto"/>
        </w:rPr>
        <w:t>In November 2019, American and AAG entered into the Fifth Amendment to Credit and Guaranty Agreement, amending the Credit and Guaranty Agreement dated as of April 29, 2016 (as previously amended, April 2016 Credit Agreement; the revolving credit facility established thereunder, the April 2016 Revolving Facility; the term loan facility established thereunder, the 2016 Term Loan Facility; and the April 2016 Revolving Facility together with the 2016 Term Loan Facility, the April 2016 Credit Facilities), which increased the total aggregate commitments under the April 2016 Revolving Facility to $450 million from $300 million. In addition, certain lenders party to the April 2016 Credit Agreement extended the maturity date of their commitments under the April 2016 Revolving Facility to October 2024 from October 2023.</w:t>
      </w:r>
    </w:p>
    <w:p>
      <w:pPr>
        <w:spacing w:after="0" w:line="218" w:lineRule="exact"/>
        <w:rPr>
          <w:sz w:val="20"/>
          <w:szCs w:val="20"/>
          <w:color w:val="auto"/>
        </w:rPr>
      </w:pPr>
    </w:p>
    <w:p>
      <w:pPr>
        <w:ind w:left="240"/>
        <w:spacing w:after="0"/>
        <w:rPr>
          <w:sz w:val="20"/>
          <w:szCs w:val="20"/>
          <w:color w:val="auto"/>
        </w:rPr>
      </w:pPr>
      <w:r>
        <w:rPr>
          <w:rFonts w:ascii="Arial" w:cs="Arial" w:eastAsia="Arial" w:hAnsi="Arial"/>
          <w:sz w:val="18"/>
          <w:szCs w:val="18"/>
          <w:i w:val="1"/>
          <w:iCs w:val="1"/>
          <w:u w:val="single" w:color="auto"/>
          <w:color w:val="auto"/>
        </w:rPr>
        <w:t>December 2016 Credit Facilities</w:t>
      </w:r>
    </w:p>
    <w:p>
      <w:pPr>
        <w:spacing w:after="0" w:line="108" w:lineRule="exact"/>
        <w:rPr>
          <w:sz w:val="20"/>
          <w:szCs w:val="20"/>
          <w:color w:val="auto"/>
        </w:rPr>
      </w:pPr>
    </w:p>
    <w:p>
      <w:pPr>
        <w:jc w:val="both"/>
        <w:ind w:firstLine="216"/>
        <w:spacing w:after="0" w:line="256" w:lineRule="auto"/>
        <w:rPr>
          <w:sz w:val="20"/>
          <w:szCs w:val="20"/>
          <w:color w:val="auto"/>
        </w:rPr>
      </w:pPr>
      <w:r>
        <w:rPr>
          <w:rFonts w:ascii="Arial" w:cs="Arial" w:eastAsia="Arial" w:hAnsi="Arial"/>
          <w:sz w:val="18"/>
          <w:szCs w:val="18"/>
          <w:color w:val="auto"/>
        </w:rPr>
        <w:t>In December 2016, American and AAG entered into the Amended and Restated Credit and Guaranty Agreement, dated as of December 15, 2016 (as amended, the December 2016 Credit Agreement; the term loan facility established thereunder, the December 2016 Term Loan Facility; and together with the revolving credit facility that may be established thereunder in the future, the December 2016 Credit Facilities).</w:t>
      </w:r>
    </w:p>
    <w:p>
      <w:pPr>
        <w:spacing w:after="0" w:line="148" w:lineRule="exact"/>
        <w:rPr>
          <w:sz w:val="20"/>
          <w:szCs w:val="20"/>
          <w:color w:val="auto"/>
        </w:rPr>
      </w:pPr>
    </w:p>
    <w:p>
      <w:pPr>
        <w:jc w:val="both"/>
        <w:ind w:firstLine="216"/>
        <w:spacing w:after="0" w:line="262" w:lineRule="auto"/>
        <w:rPr>
          <w:sz w:val="20"/>
          <w:szCs w:val="20"/>
          <w:color w:val="auto"/>
        </w:rPr>
      </w:pPr>
      <w:r>
        <w:rPr>
          <w:rFonts w:ascii="Arial" w:cs="Arial" w:eastAsia="Arial" w:hAnsi="Arial"/>
          <w:sz w:val="18"/>
          <w:szCs w:val="18"/>
          <w:color w:val="auto"/>
        </w:rPr>
        <w:t>Certain details of American’s 2013 Credit Facilities, 2014 Credit Facilities, April 2016 Credit Facilities and December 2016 Credit Facilities (collectively referred to as the Credit Facilities) are shown in the table below as of December 31, 2019:</w:t>
      </w:r>
    </w:p>
    <w:p>
      <w:pPr>
        <w:sectPr>
          <w:pgSz w:w="11900" w:h="16838" w:orient="portrait"/>
          <w:cols w:equalWidth="0" w:num="1">
            <w:col w:w="11420"/>
          </w:cols>
          <w:pgMar w:left="240" w:top="549" w:right="2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6" w:lineRule="exact"/>
        <w:rPr>
          <w:sz w:val="20"/>
          <w:szCs w:val="20"/>
          <w:color w:val="auto"/>
        </w:rPr>
      </w:pPr>
    </w:p>
    <w:p>
      <w:pPr>
        <w:ind w:left="180" w:hanging="149"/>
        <w:spacing w:after="0"/>
        <w:rPr>
          <w:sz w:val="20"/>
          <w:szCs w:val="20"/>
          <w:color w:val="auto"/>
        </w:rPr>
      </w:pPr>
      <w:r>
        <w:rPr>
          <w:rFonts w:ascii="Arial" w:cs="Arial" w:eastAsia="Arial" w:hAnsi="Arial"/>
          <w:sz w:val="18"/>
          <w:szCs w:val="18"/>
          <w:color w:val="auto"/>
        </w:rPr>
        <w:t>Aggregate principal issued or credit facility availability (in millions)</w:t>
      </w:r>
    </w:p>
    <w:p>
      <w:pPr>
        <w:spacing w:after="0" w:line="41" w:lineRule="exact"/>
        <w:rPr>
          <w:sz w:val="20"/>
          <w:szCs w:val="20"/>
          <w:color w:val="auto"/>
        </w:rPr>
      </w:pPr>
    </w:p>
    <w:p>
      <w:pPr>
        <w:ind w:left="180" w:right="340" w:hanging="149"/>
        <w:spacing w:after="0" w:line="246" w:lineRule="auto"/>
        <w:rPr>
          <w:sz w:val="20"/>
          <w:szCs w:val="20"/>
          <w:color w:val="auto"/>
        </w:rPr>
      </w:pPr>
      <w:r>
        <w:rPr>
          <w:rFonts w:ascii="Arial" w:cs="Arial" w:eastAsia="Arial" w:hAnsi="Arial"/>
          <w:sz w:val="18"/>
          <w:szCs w:val="18"/>
          <w:color w:val="auto"/>
        </w:rPr>
        <w:t>Principal outstanding or drawn (in millions)</w:t>
      </w:r>
    </w:p>
    <w:p>
      <w:pPr>
        <w:spacing w:after="0" w:line="129" w:lineRule="exact"/>
        <w:rPr>
          <w:sz w:val="20"/>
          <w:szCs w:val="20"/>
          <w:color w:val="auto"/>
        </w:rPr>
      </w:pPr>
    </w:p>
    <w:p>
      <w:pPr>
        <w:ind w:left="40"/>
        <w:spacing w:after="0"/>
        <w:rPr>
          <w:sz w:val="20"/>
          <w:szCs w:val="20"/>
          <w:color w:val="auto"/>
        </w:rPr>
      </w:pPr>
      <w:r>
        <w:rPr>
          <w:rFonts w:ascii="Arial" w:cs="Arial" w:eastAsia="Arial" w:hAnsi="Arial"/>
          <w:sz w:val="18"/>
          <w:szCs w:val="18"/>
          <w:color w:val="auto"/>
        </w:rPr>
        <w:t>Maturity date</w:t>
      </w:r>
    </w:p>
    <w:p>
      <w:pPr>
        <w:spacing w:after="0" w:line="158" w:lineRule="exact"/>
        <w:rPr>
          <w:sz w:val="20"/>
          <w:szCs w:val="20"/>
          <w:color w:val="auto"/>
        </w:rPr>
      </w:pPr>
    </w:p>
    <w:p>
      <w:pPr>
        <w:ind w:left="40"/>
        <w:spacing w:after="0"/>
        <w:rPr>
          <w:sz w:val="20"/>
          <w:szCs w:val="20"/>
          <w:color w:val="auto"/>
        </w:rPr>
      </w:pPr>
      <w:r>
        <w:rPr>
          <w:rFonts w:ascii="Arial" w:cs="Arial" w:eastAsia="Arial" w:hAnsi="Arial"/>
          <w:sz w:val="18"/>
          <w:szCs w:val="18"/>
          <w:color w:val="auto"/>
        </w:rPr>
        <w:t>LIBOR margin</w:t>
      </w:r>
    </w:p>
    <w:p>
      <w:pPr>
        <w:spacing w:after="0" w:line="20" w:lineRule="exact"/>
        <w:rPr>
          <w:sz w:val="20"/>
          <w:szCs w:val="20"/>
          <w:color w:val="auto"/>
        </w:rPr>
      </w:pPr>
      <w:r>
        <w:rPr>
          <w:sz w:val="20"/>
          <w:szCs w:val="20"/>
          <w:color w:val="auto"/>
        </w:rPr>
        <w:br w:type="column"/>
      </w:r>
    </w:p>
    <w:p>
      <w:pPr>
        <w:spacing w:after="0" w:line="272"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62"/>
        </w:trPr>
        <w:tc>
          <w:tcPr>
            <w:tcW w:w="12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140" w:type="dxa"/>
            <w:vAlign w:val="bottom"/>
          </w:tcPr>
          <w:p>
            <w:pPr>
              <w:jc w:val="center"/>
              <w:spacing w:after="0"/>
              <w:rPr>
                <w:sz w:val="20"/>
                <w:szCs w:val="20"/>
                <w:color w:val="auto"/>
              </w:rPr>
            </w:pPr>
            <w:r>
              <w:rPr>
                <w:rFonts w:ascii="Arial" w:cs="Arial" w:eastAsia="Arial" w:hAnsi="Arial"/>
                <w:sz w:val="14"/>
                <w:szCs w:val="14"/>
                <w:b w:val="1"/>
                <w:bCs w:val="1"/>
                <w:color w:val="auto"/>
              </w:rPr>
              <w:t>December 2016</w:t>
            </w:r>
          </w:p>
        </w:tc>
        <w:tc>
          <w:tcPr>
            <w:tcW w:w="0" w:type="dxa"/>
            <w:vAlign w:val="bottom"/>
          </w:tcPr>
          <w:p>
            <w:pPr>
              <w:spacing w:after="0"/>
              <w:rPr>
                <w:sz w:val="1"/>
                <w:szCs w:val="1"/>
                <w:color w:val="auto"/>
              </w:rPr>
            </w:pPr>
          </w:p>
        </w:tc>
      </w:tr>
      <w:tr>
        <w:trPr>
          <w:trHeight w:val="196"/>
        </w:trPr>
        <w:tc>
          <w:tcPr>
            <w:tcW w:w="2520" w:type="dxa"/>
            <w:vAlign w:val="bottom"/>
            <w:tcBorders>
              <w:bottom w:val="single" w:sz="8" w:color="auto"/>
            </w:tcBorders>
            <w:gridSpan w:val="3"/>
          </w:tcPr>
          <w:p>
            <w:pPr>
              <w:ind w:left="540"/>
              <w:spacing w:after="0"/>
              <w:rPr>
                <w:sz w:val="20"/>
                <w:szCs w:val="20"/>
                <w:color w:val="auto"/>
              </w:rPr>
            </w:pPr>
            <w:r>
              <w:rPr>
                <w:rFonts w:ascii="Arial" w:cs="Arial" w:eastAsia="Arial" w:hAnsi="Arial"/>
                <w:sz w:val="14"/>
                <w:szCs w:val="14"/>
                <w:b w:val="1"/>
                <w:bCs w:val="1"/>
                <w:color w:val="auto"/>
              </w:rPr>
              <w:t>2013 Credit Facilities</w:t>
            </w:r>
          </w:p>
        </w:tc>
        <w:tc>
          <w:tcPr>
            <w:tcW w:w="120" w:type="dxa"/>
            <w:vAlign w:val="bottom"/>
          </w:tcPr>
          <w:p>
            <w:pPr>
              <w:spacing w:after="0"/>
              <w:rPr>
                <w:sz w:val="17"/>
                <w:szCs w:val="17"/>
                <w:color w:val="auto"/>
              </w:rPr>
            </w:pPr>
          </w:p>
        </w:tc>
        <w:tc>
          <w:tcPr>
            <w:tcW w:w="2420" w:type="dxa"/>
            <w:vAlign w:val="bottom"/>
            <w:tcBorders>
              <w:bottom w:val="single" w:sz="8" w:color="auto"/>
            </w:tcBorders>
            <w:gridSpan w:val="3"/>
          </w:tcPr>
          <w:p>
            <w:pPr>
              <w:ind w:left="500"/>
              <w:spacing w:after="0"/>
              <w:rPr>
                <w:sz w:val="20"/>
                <w:szCs w:val="20"/>
                <w:color w:val="auto"/>
              </w:rPr>
            </w:pPr>
            <w:r>
              <w:rPr>
                <w:rFonts w:ascii="Arial" w:cs="Arial" w:eastAsia="Arial" w:hAnsi="Arial"/>
                <w:sz w:val="14"/>
                <w:szCs w:val="14"/>
                <w:b w:val="1"/>
                <w:bCs w:val="1"/>
                <w:color w:val="auto"/>
              </w:rPr>
              <w:t>2014 Credit Facilities</w:t>
            </w:r>
          </w:p>
        </w:tc>
        <w:tc>
          <w:tcPr>
            <w:tcW w:w="100" w:type="dxa"/>
            <w:vAlign w:val="bottom"/>
          </w:tcPr>
          <w:p>
            <w:pPr>
              <w:spacing w:after="0"/>
              <w:rPr>
                <w:sz w:val="17"/>
                <w:szCs w:val="17"/>
                <w:color w:val="auto"/>
              </w:rPr>
            </w:pPr>
          </w:p>
        </w:tc>
        <w:tc>
          <w:tcPr>
            <w:tcW w:w="2380" w:type="dxa"/>
            <w:vAlign w:val="bottom"/>
            <w:tcBorders>
              <w:bottom w:val="single" w:sz="8" w:color="auto"/>
            </w:tcBorders>
            <w:gridSpan w:val="3"/>
          </w:tcPr>
          <w:p>
            <w:pPr>
              <w:ind w:left="280"/>
              <w:spacing w:after="0"/>
              <w:rPr>
                <w:sz w:val="20"/>
                <w:szCs w:val="20"/>
                <w:color w:val="auto"/>
              </w:rPr>
            </w:pPr>
            <w:r>
              <w:rPr>
                <w:rFonts w:ascii="Arial" w:cs="Arial" w:eastAsia="Arial" w:hAnsi="Arial"/>
                <w:sz w:val="14"/>
                <w:szCs w:val="14"/>
                <w:b w:val="1"/>
                <w:bCs w:val="1"/>
                <w:color w:val="auto"/>
              </w:rPr>
              <w:t>April 2016 Credit Facilities</w:t>
            </w:r>
          </w:p>
        </w:tc>
        <w:tc>
          <w:tcPr>
            <w:tcW w:w="100" w:type="dxa"/>
            <w:vAlign w:val="bottom"/>
          </w:tcPr>
          <w:p>
            <w:pPr>
              <w:spacing w:after="0"/>
              <w:rPr>
                <w:sz w:val="17"/>
                <w:szCs w:val="17"/>
                <w:color w:val="auto"/>
              </w:rPr>
            </w:pPr>
          </w:p>
        </w:tc>
        <w:tc>
          <w:tcPr>
            <w:tcW w:w="114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rPr>
              <w:t>Credit Facilities</w:t>
            </w:r>
          </w:p>
        </w:tc>
        <w:tc>
          <w:tcPr>
            <w:tcW w:w="0" w:type="dxa"/>
            <w:vAlign w:val="bottom"/>
          </w:tcPr>
          <w:p>
            <w:pPr>
              <w:spacing w:after="0"/>
              <w:rPr>
                <w:sz w:val="1"/>
                <w:szCs w:val="1"/>
                <w:color w:val="auto"/>
              </w:rPr>
            </w:pPr>
          </w:p>
        </w:tc>
      </w:tr>
      <w:tr>
        <w:trPr>
          <w:trHeight w:val="175"/>
        </w:trPr>
        <w:tc>
          <w:tcPr>
            <w:tcW w:w="1260" w:type="dxa"/>
            <w:vAlign w:val="bottom"/>
          </w:tcPr>
          <w:p>
            <w:pPr>
              <w:jc w:val="center"/>
              <w:spacing w:after="0"/>
              <w:rPr>
                <w:sz w:val="20"/>
                <w:szCs w:val="20"/>
                <w:color w:val="auto"/>
              </w:rPr>
            </w:pPr>
            <w:r>
              <w:rPr>
                <w:rFonts w:ascii="Arial" w:cs="Arial" w:eastAsia="Arial" w:hAnsi="Arial"/>
                <w:sz w:val="14"/>
                <w:szCs w:val="14"/>
                <w:b w:val="1"/>
                <w:bCs w:val="1"/>
                <w:color w:val="auto"/>
              </w:rPr>
              <w:t>2013</w:t>
            </w:r>
          </w:p>
        </w:tc>
        <w:tc>
          <w:tcPr>
            <w:tcW w:w="120" w:type="dxa"/>
            <w:vAlign w:val="bottom"/>
          </w:tcPr>
          <w:p>
            <w:pPr>
              <w:spacing w:after="0"/>
              <w:rPr>
                <w:sz w:val="15"/>
                <w:szCs w:val="15"/>
                <w:color w:val="auto"/>
              </w:rPr>
            </w:pPr>
          </w:p>
        </w:tc>
        <w:tc>
          <w:tcPr>
            <w:tcW w:w="1140" w:type="dxa"/>
            <w:vAlign w:val="bottom"/>
          </w:tcPr>
          <w:p>
            <w:pPr>
              <w:jc w:val="center"/>
              <w:spacing w:after="0"/>
              <w:rPr>
                <w:sz w:val="20"/>
                <w:szCs w:val="20"/>
                <w:color w:val="auto"/>
              </w:rPr>
            </w:pPr>
            <w:r>
              <w:rPr>
                <w:rFonts w:ascii="Arial" w:cs="Arial" w:eastAsia="Arial" w:hAnsi="Arial"/>
                <w:sz w:val="14"/>
                <w:szCs w:val="14"/>
                <w:b w:val="1"/>
                <w:bCs w:val="1"/>
                <w:color w:val="auto"/>
              </w:rPr>
              <w:t>2013</w:t>
            </w:r>
          </w:p>
        </w:tc>
        <w:tc>
          <w:tcPr>
            <w:tcW w:w="120" w:type="dxa"/>
            <w:vAlign w:val="bottom"/>
          </w:tcPr>
          <w:p>
            <w:pPr>
              <w:spacing w:after="0"/>
              <w:rPr>
                <w:sz w:val="15"/>
                <w:szCs w:val="15"/>
                <w:color w:val="auto"/>
              </w:rPr>
            </w:pPr>
          </w:p>
        </w:tc>
        <w:tc>
          <w:tcPr>
            <w:tcW w:w="11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140" w:type="dxa"/>
            <w:vAlign w:val="bottom"/>
          </w:tcPr>
          <w:p>
            <w:pPr>
              <w:jc w:val="center"/>
              <w:spacing w:after="0"/>
              <w:rPr>
                <w:sz w:val="20"/>
                <w:szCs w:val="20"/>
                <w:color w:val="auto"/>
              </w:rPr>
            </w:pPr>
            <w:r>
              <w:rPr>
                <w:rFonts w:ascii="Arial" w:cs="Arial" w:eastAsia="Arial" w:hAnsi="Arial"/>
                <w:sz w:val="14"/>
                <w:szCs w:val="14"/>
                <w:b w:val="1"/>
                <w:bCs w:val="1"/>
                <w:color w:val="auto"/>
              </w:rPr>
              <w:t>2014</w:t>
            </w:r>
          </w:p>
        </w:tc>
        <w:tc>
          <w:tcPr>
            <w:tcW w:w="10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4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rPr>
              <w:t>April 2016</w:t>
            </w:r>
          </w:p>
        </w:tc>
        <w:tc>
          <w:tcPr>
            <w:tcW w:w="11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62"/>
        </w:trPr>
        <w:tc>
          <w:tcPr>
            <w:tcW w:w="1380" w:type="dxa"/>
            <w:vAlign w:val="bottom"/>
            <w:gridSpan w:val="2"/>
          </w:tcPr>
          <w:p>
            <w:pPr>
              <w:jc w:val="center"/>
              <w:ind w:right="120"/>
              <w:spacing w:after="0"/>
              <w:rPr>
                <w:sz w:val="20"/>
                <w:szCs w:val="20"/>
                <w:color w:val="auto"/>
              </w:rPr>
            </w:pPr>
            <w:r>
              <w:rPr>
                <w:rFonts w:ascii="Arial" w:cs="Arial" w:eastAsia="Arial" w:hAnsi="Arial"/>
                <w:sz w:val="14"/>
                <w:szCs w:val="14"/>
                <w:b w:val="1"/>
                <w:bCs w:val="1"/>
                <w:color w:val="auto"/>
              </w:rPr>
              <w:t>Replacement</w:t>
            </w:r>
          </w:p>
        </w:tc>
        <w:tc>
          <w:tcPr>
            <w:tcW w:w="1260" w:type="dxa"/>
            <w:vAlign w:val="bottom"/>
            <w:gridSpan w:val="2"/>
          </w:tcPr>
          <w:p>
            <w:pPr>
              <w:jc w:val="center"/>
              <w:ind w:right="120"/>
              <w:spacing w:after="0"/>
              <w:rPr>
                <w:sz w:val="20"/>
                <w:szCs w:val="20"/>
                <w:color w:val="auto"/>
              </w:rPr>
            </w:pPr>
            <w:r>
              <w:rPr>
                <w:rFonts w:ascii="Arial" w:cs="Arial" w:eastAsia="Arial" w:hAnsi="Arial"/>
                <w:sz w:val="14"/>
                <w:szCs w:val="14"/>
                <w:b w:val="1"/>
                <w:bCs w:val="1"/>
                <w:color w:val="auto"/>
              </w:rPr>
              <w:t>Revolving</w:t>
            </w:r>
          </w:p>
        </w:tc>
        <w:tc>
          <w:tcPr>
            <w:tcW w:w="128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rPr>
              <w:t>2014 Term</w:t>
            </w:r>
          </w:p>
        </w:tc>
        <w:tc>
          <w:tcPr>
            <w:tcW w:w="1240" w:type="dxa"/>
            <w:vAlign w:val="bottom"/>
            <w:gridSpan w:val="2"/>
          </w:tcPr>
          <w:p>
            <w:pPr>
              <w:jc w:val="center"/>
              <w:ind w:right="120"/>
              <w:spacing w:after="0"/>
              <w:rPr>
                <w:sz w:val="20"/>
                <w:szCs w:val="20"/>
                <w:color w:val="auto"/>
              </w:rPr>
            </w:pPr>
            <w:r>
              <w:rPr>
                <w:rFonts w:ascii="Arial" w:cs="Arial" w:eastAsia="Arial" w:hAnsi="Arial"/>
                <w:sz w:val="14"/>
                <w:szCs w:val="14"/>
                <w:b w:val="1"/>
                <w:bCs w:val="1"/>
                <w:color w:val="auto"/>
              </w:rPr>
              <w:t>Revolving</w:t>
            </w:r>
          </w:p>
        </w:tc>
        <w:tc>
          <w:tcPr>
            <w:tcW w:w="124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rPr>
              <w:t>April 2016</w:t>
            </w:r>
          </w:p>
        </w:tc>
        <w:tc>
          <w:tcPr>
            <w:tcW w:w="124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rPr>
              <w:t>Revolving</w:t>
            </w:r>
          </w:p>
        </w:tc>
        <w:tc>
          <w:tcPr>
            <w:tcW w:w="1140" w:type="dxa"/>
            <w:vAlign w:val="bottom"/>
          </w:tcPr>
          <w:p>
            <w:pPr>
              <w:jc w:val="center"/>
              <w:spacing w:after="0"/>
              <w:rPr>
                <w:sz w:val="20"/>
                <w:szCs w:val="20"/>
                <w:color w:val="auto"/>
              </w:rPr>
            </w:pPr>
            <w:r>
              <w:rPr>
                <w:rFonts w:ascii="Arial" w:cs="Arial" w:eastAsia="Arial" w:hAnsi="Arial"/>
                <w:sz w:val="14"/>
                <w:szCs w:val="14"/>
                <w:b w:val="1"/>
                <w:bCs w:val="1"/>
                <w:color w:val="auto"/>
              </w:rPr>
              <w:t>December 2016</w:t>
            </w:r>
          </w:p>
        </w:tc>
        <w:tc>
          <w:tcPr>
            <w:tcW w:w="0" w:type="dxa"/>
            <w:vAlign w:val="bottom"/>
          </w:tcPr>
          <w:p>
            <w:pPr>
              <w:spacing w:after="0"/>
              <w:rPr>
                <w:sz w:val="1"/>
                <w:szCs w:val="1"/>
                <w:color w:val="auto"/>
              </w:rPr>
            </w:pPr>
          </w:p>
        </w:tc>
      </w:tr>
      <w:tr>
        <w:trPr>
          <w:trHeight w:val="196"/>
        </w:trPr>
        <w:tc>
          <w:tcPr>
            <w:tcW w:w="1380" w:type="dxa"/>
            <w:vAlign w:val="bottom"/>
            <w:gridSpan w:val="2"/>
          </w:tcPr>
          <w:p>
            <w:pPr>
              <w:jc w:val="center"/>
              <w:ind w:right="120"/>
              <w:spacing w:after="0"/>
              <w:rPr>
                <w:sz w:val="20"/>
                <w:szCs w:val="20"/>
                <w:color w:val="auto"/>
              </w:rPr>
            </w:pPr>
            <w:r>
              <w:rPr>
                <w:rFonts w:ascii="Arial" w:cs="Arial" w:eastAsia="Arial" w:hAnsi="Arial"/>
                <w:sz w:val="14"/>
                <w:szCs w:val="14"/>
                <w:b w:val="1"/>
                <w:bCs w:val="1"/>
                <w:color w:val="auto"/>
              </w:rPr>
              <w:t>Term Loan</w:t>
            </w:r>
          </w:p>
        </w:tc>
        <w:tc>
          <w:tcPr>
            <w:tcW w:w="1260" w:type="dxa"/>
            <w:vAlign w:val="bottom"/>
            <w:gridSpan w:val="2"/>
          </w:tcPr>
          <w:p>
            <w:pPr>
              <w:jc w:val="center"/>
              <w:ind w:right="120"/>
              <w:spacing w:after="0"/>
              <w:rPr>
                <w:sz w:val="20"/>
                <w:szCs w:val="20"/>
                <w:color w:val="auto"/>
              </w:rPr>
            </w:pPr>
            <w:r>
              <w:rPr>
                <w:rFonts w:ascii="Arial" w:cs="Arial" w:eastAsia="Arial" w:hAnsi="Arial"/>
                <w:sz w:val="14"/>
                <w:szCs w:val="14"/>
                <w:b w:val="1"/>
                <w:bCs w:val="1"/>
                <w:color w:val="auto"/>
              </w:rPr>
              <w:t>Facility</w:t>
            </w:r>
          </w:p>
        </w:tc>
        <w:tc>
          <w:tcPr>
            <w:tcW w:w="128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rPr>
              <w:t>Loan</w:t>
            </w:r>
          </w:p>
        </w:tc>
        <w:tc>
          <w:tcPr>
            <w:tcW w:w="124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rPr>
              <w:t>Facility</w:t>
            </w:r>
          </w:p>
        </w:tc>
        <w:tc>
          <w:tcPr>
            <w:tcW w:w="124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rPr>
              <w:t>Term Loan</w:t>
            </w:r>
          </w:p>
        </w:tc>
        <w:tc>
          <w:tcPr>
            <w:tcW w:w="124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rPr>
              <w:t>Facility</w:t>
            </w:r>
          </w:p>
        </w:tc>
        <w:tc>
          <w:tcPr>
            <w:tcW w:w="1140" w:type="dxa"/>
            <w:vAlign w:val="bottom"/>
          </w:tcPr>
          <w:p>
            <w:pPr>
              <w:jc w:val="center"/>
              <w:spacing w:after="0"/>
              <w:rPr>
                <w:sz w:val="20"/>
                <w:szCs w:val="20"/>
                <w:color w:val="auto"/>
              </w:rPr>
            </w:pPr>
            <w:r>
              <w:rPr>
                <w:rFonts w:ascii="Arial" w:cs="Arial" w:eastAsia="Arial" w:hAnsi="Arial"/>
                <w:sz w:val="14"/>
                <w:szCs w:val="14"/>
                <w:b w:val="1"/>
                <w:bCs w:val="1"/>
                <w:color w:val="auto"/>
              </w:rPr>
              <w:t>Term Loan</w:t>
            </w:r>
          </w:p>
        </w:tc>
        <w:tc>
          <w:tcPr>
            <w:tcW w:w="0" w:type="dxa"/>
            <w:vAlign w:val="bottom"/>
          </w:tcPr>
          <w:p>
            <w:pPr>
              <w:spacing w:after="0"/>
              <w:rPr>
                <w:sz w:val="1"/>
                <w:szCs w:val="1"/>
                <w:color w:val="auto"/>
              </w:rPr>
            </w:pPr>
          </w:p>
        </w:tc>
      </w:tr>
      <w:tr>
        <w:trPr>
          <w:trHeight w:val="432"/>
        </w:trPr>
        <w:tc>
          <w:tcPr>
            <w:tcW w:w="1260" w:type="dxa"/>
            <w:vAlign w:val="bottom"/>
            <w:tcBorders>
              <w:top w:val="single" w:sz="8" w:color="auto"/>
            </w:tcBorders>
          </w:tcPr>
          <w:p>
            <w:pPr>
              <w:jc w:val="center"/>
              <w:spacing w:after="0"/>
              <w:rPr>
                <w:sz w:val="20"/>
                <w:szCs w:val="20"/>
                <w:color w:val="auto"/>
              </w:rPr>
            </w:pPr>
            <w:r>
              <w:rPr>
                <w:rFonts w:ascii="Arial" w:cs="Arial" w:eastAsia="Arial" w:hAnsi="Arial"/>
                <w:sz w:val="18"/>
                <w:szCs w:val="18"/>
                <w:color w:val="auto"/>
                <w:w w:val="98"/>
              </w:rPr>
              <w:t>$1,919</w:t>
            </w:r>
          </w:p>
        </w:tc>
        <w:tc>
          <w:tcPr>
            <w:tcW w:w="120" w:type="dxa"/>
            <w:vAlign w:val="bottom"/>
          </w:tcPr>
          <w:p>
            <w:pPr>
              <w:spacing w:after="0"/>
              <w:rPr>
                <w:sz w:val="24"/>
                <w:szCs w:val="24"/>
                <w:color w:val="auto"/>
              </w:rPr>
            </w:pPr>
          </w:p>
        </w:tc>
        <w:tc>
          <w:tcPr>
            <w:tcW w:w="1140" w:type="dxa"/>
            <w:vAlign w:val="bottom"/>
            <w:tcBorders>
              <w:top w:val="single" w:sz="8" w:color="auto"/>
            </w:tcBorders>
          </w:tcPr>
          <w:p>
            <w:pPr>
              <w:jc w:val="center"/>
              <w:spacing w:after="0"/>
              <w:rPr>
                <w:sz w:val="20"/>
                <w:szCs w:val="20"/>
                <w:color w:val="auto"/>
              </w:rPr>
            </w:pPr>
            <w:r>
              <w:rPr>
                <w:rFonts w:ascii="Arial" w:cs="Arial" w:eastAsia="Arial" w:hAnsi="Arial"/>
                <w:sz w:val="18"/>
                <w:szCs w:val="18"/>
                <w:color w:val="auto"/>
                <w:w w:val="99"/>
              </w:rPr>
              <w:t>$750</w:t>
            </w:r>
          </w:p>
        </w:tc>
        <w:tc>
          <w:tcPr>
            <w:tcW w:w="120" w:type="dxa"/>
            <w:vAlign w:val="bottom"/>
          </w:tcPr>
          <w:p>
            <w:pPr>
              <w:spacing w:after="0"/>
              <w:rPr>
                <w:sz w:val="24"/>
                <w:szCs w:val="24"/>
                <w:color w:val="auto"/>
              </w:rPr>
            </w:pPr>
          </w:p>
        </w:tc>
        <w:tc>
          <w:tcPr>
            <w:tcW w:w="1160" w:type="dxa"/>
            <w:vAlign w:val="bottom"/>
            <w:tcBorders>
              <w:top w:val="single" w:sz="8" w:color="auto"/>
            </w:tcBorders>
          </w:tcPr>
          <w:p>
            <w:pPr>
              <w:jc w:val="center"/>
              <w:spacing w:after="0"/>
              <w:rPr>
                <w:sz w:val="20"/>
                <w:szCs w:val="20"/>
                <w:color w:val="auto"/>
              </w:rPr>
            </w:pPr>
            <w:r>
              <w:rPr>
                <w:rFonts w:ascii="Arial" w:cs="Arial" w:eastAsia="Arial" w:hAnsi="Arial"/>
                <w:sz w:val="18"/>
                <w:szCs w:val="18"/>
                <w:color w:val="auto"/>
              </w:rPr>
              <w:t>$1,250</w:t>
            </w:r>
          </w:p>
        </w:tc>
        <w:tc>
          <w:tcPr>
            <w:tcW w:w="120" w:type="dxa"/>
            <w:vAlign w:val="bottom"/>
          </w:tcPr>
          <w:p>
            <w:pPr>
              <w:spacing w:after="0"/>
              <w:rPr>
                <w:sz w:val="24"/>
                <w:szCs w:val="24"/>
                <w:color w:val="auto"/>
              </w:rPr>
            </w:pPr>
          </w:p>
        </w:tc>
        <w:tc>
          <w:tcPr>
            <w:tcW w:w="1140" w:type="dxa"/>
            <w:vAlign w:val="bottom"/>
            <w:tcBorders>
              <w:top w:val="single" w:sz="8" w:color="auto"/>
            </w:tcBorders>
          </w:tcPr>
          <w:p>
            <w:pPr>
              <w:jc w:val="center"/>
              <w:spacing w:after="0"/>
              <w:rPr>
                <w:sz w:val="20"/>
                <w:szCs w:val="20"/>
                <w:color w:val="auto"/>
              </w:rPr>
            </w:pPr>
            <w:r>
              <w:rPr>
                <w:rFonts w:ascii="Arial" w:cs="Arial" w:eastAsia="Arial" w:hAnsi="Arial"/>
                <w:sz w:val="18"/>
                <w:szCs w:val="18"/>
                <w:color w:val="auto"/>
                <w:w w:val="98"/>
              </w:rPr>
              <w:t>$1,643</w:t>
            </w:r>
          </w:p>
        </w:tc>
        <w:tc>
          <w:tcPr>
            <w:tcW w:w="100" w:type="dxa"/>
            <w:vAlign w:val="bottom"/>
          </w:tcPr>
          <w:p>
            <w:pPr>
              <w:spacing w:after="0"/>
              <w:rPr>
                <w:sz w:val="24"/>
                <w:szCs w:val="24"/>
                <w:color w:val="auto"/>
              </w:rPr>
            </w:pPr>
          </w:p>
        </w:tc>
        <w:tc>
          <w:tcPr>
            <w:tcW w:w="1140" w:type="dxa"/>
            <w:vAlign w:val="bottom"/>
            <w:tcBorders>
              <w:top w:val="single" w:sz="8" w:color="auto"/>
            </w:tcBorders>
          </w:tcPr>
          <w:p>
            <w:pPr>
              <w:jc w:val="center"/>
              <w:spacing w:after="0"/>
              <w:rPr>
                <w:sz w:val="20"/>
                <w:szCs w:val="20"/>
                <w:color w:val="auto"/>
              </w:rPr>
            </w:pPr>
            <w:r>
              <w:rPr>
                <w:rFonts w:ascii="Arial" w:cs="Arial" w:eastAsia="Arial" w:hAnsi="Arial"/>
                <w:sz w:val="18"/>
                <w:szCs w:val="18"/>
                <w:color w:val="auto"/>
                <w:w w:val="98"/>
              </w:rPr>
              <w:t>$1,000</w:t>
            </w:r>
          </w:p>
        </w:tc>
        <w:tc>
          <w:tcPr>
            <w:tcW w:w="100" w:type="dxa"/>
            <w:vAlign w:val="bottom"/>
          </w:tcPr>
          <w:p>
            <w:pPr>
              <w:spacing w:after="0"/>
              <w:rPr>
                <w:sz w:val="24"/>
                <w:szCs w:val="24"/>
                <w:color w:val="auto"/>
              </w:rPr>
            </w:pPr>
          </w:p>
        </w:tc>
        <w:tc>
          <w:tcPr>
            <w:tcW w:w="1140" w:type="dxa"/>
            <w:vAlign w:val="bottom"/>
            <w:tcBorders>
              <w:top w:val="single" w:sz="8" w:color="auto"/>
            </w:tcBorders>
          </w:tcPr>
          <w:p>
            <w:pPr>
              <w:jc w:val="center"/>
              <w:spacing w:after="0"/>
              <w:rPr>
                <w:sz w:val="20"/>
                <w:szCs w:val="20"/>
                <w:color w:val="auto"/>
              </w:rPr>
            </w:pPr>
            <w:r>
              <w:rPr>
                <w:rFonts w:ascii="Arial" w:cs="Arial" w:eastAsia="Arial" w:hAnsi="Arial"/>
                <w:sz w:val="18"/>
                <w:szCs w:val="18"/>
                <w:color w:val="auto"/>
                <w:w w:val="99"/>
              </w:rPr>
              <w:t>$450</w:t>
            </w:r>
          </w:p>
        </w:tc>
        <w:tc>
          <w:tcPr>
            <w:tcW w:w="100" w:type="dxa"/>
            <w:vAlign w:val="bottom"/>
          </w:tcPr>
          <w:p>
            <w:pPr>
              <w:spacing w:after="0"/>
              <w:rPr>
                <w:sz w:val="24"/>
                <w:szCs w:val="24"/>
                <w:color w:val="auto"/>
              </w:rPr>
            </w:pPr>
          </w:p>
        </w:tc>
        <w:tc>
          <w:tcPr>
            <w:tcW w:w="1140" w:type="dxa"/>
            <w:vAlign w:val="bottom"/>
            <w:tcBorders>
              <w:top w:val="single" w:sz="8" w:color="auto"/>
            </w:tcBorders>
          </w:tcPr>
          <w:p>
            <w:pPr>
              <w:jc w:val="center"/>
              <w:spacing w:after="0"/>
              <w:rPr>
                <w:sz w:val="20"/>
                <w:szCs w:val="20"/>
                <w:color w:val="auto"/>
              </w:rPr>
            </w:pPr>
            <w:r>
              <w:rPr>
                <w:rFonts w:ascii="Arial" w:cs="Arial" w:eastAsia="Arial" w:hAnsi="Arial"/>
                <w:sz w:val="18"/>
                <w:szCs w:val="18"/>
                <w:color w:val="auto"/>
                <w:w w:val="98"/>
              </w:rPr>
              <w:t>$1,250</w:t>
            </w:r>
          </w:p>
        </w:tc>
        <w:tc>
          <w:tcPr>
            <w:tcW w:w="0" w:type="dxa"/>
            <w:vAlign w:val="bottom"/>
          </w:tcPr>
          <w:p>
            <w:pPr>
              <w:spacing w:after="0"/>
              <w:rPr>
                <w:sz w:val="1"/>
                <w:szCs w:val="1"/>
                <w:color w:val="auto"/>
              </w:rPr>
            </w:pPr>
          </w:p>
        </w:tc>
      </w:tr>
      <w:tr>
        <w:trPr>
          <w:trHeight w:val="554"/>
        </w:trPr>
        <w:tc>
          <w:tcPr>
            <w:tcW w:w="1260" w:type="dxa"/>
            <w:vAlign w:val="bottom"/>
          </w:tcPr>
          <w:p>
            <w:pPr>
              <w:jc w:val="center"/>
              <w:spacing w:after="0"/>
              <w:rPr>
                <w:sz w:val="20"/>
                <w:szCs w:val="20"/>
                <w:color w:val="auto"/>
              </w:rPr>
            </w:pPr>
            <w:r>
              <w:rPr>
                <w:rFonts w:ascii="Arial" w:cs="Arial" w:eastAsia="Arial" w:hAnsi="Arial"/>
                <w:sz w:val="18"/>
                <w:szCs w:val="18"/>
                <w:color w:val="auto"/>
                <w:w w:val="98"/>
              </w:rPr>
              <w:t>$1,807</w:t>
            </w:r>
          </w:p>
        </w:tc>
        <w:tc>
          <w:tcPr>
            <w:tcW w:w="120" w:type="dxa"/>
            <w:vAlign w:val="bottom"/>
          </w:tcPr>
          <w:p>
            <w:pPr>
              <w:spacing w:after="0"/>
              <w:rPr>
                <w:sz w:val="24"/>
                <w:szCs w:val="24"/>
                <w:color w:val="auto"/>
              </w:rPr>
            </w:pPr>
          </w:p>
        </w:tc>
        <w:tc>
          <w:tcPr>
            <w:tcW w:w="1260" w:type="dxa"/>
            <w:vAlign w:val="bottom"/>
            <w:gridSpan w:val="2"/>
          </w:tcPr>
          <w:p>
            <w:pPr>
              <w:jc w:val="center"/>
              <w:ind w:right="100"/>
              <w:spacing w:after="0"/>
              <w:rPr>
                <w:sz w:val="20"/>
                <w:szCs w:val="20"/>
                <w:color w:val="auto"/>
              </w:rPr>
            </w:pPr>
            <w:r>
              <w:rPr>
                <w:rFonts w:ascii="Arial" w:cs="Arial" w:eastAsia="Arial" w:hAnsi="Arial"/>
                <w:sz w:val="18"/>
                <w:szCs w:val="18"/>
                <w:color w:val="auto"/>
                <w:w w:val="99"/>
              </w:rPr>
              <w:t>$—</w:t>
            </w:r>
          </w:p>
        </w:tc>
        <w:tc>
          <w:tcPr>
            <w:tcW w:w="1160" w:type="dxa"/>
            <w:vAlign w:val="bottom"/>
          </w:tcPr>
          <w:p>
            <w:pPr>
              <w:jc w:val="center"/>
              <w:spacing w:after="0"/>
              <w:rPr>
                <w:sz w:val="20"/>
                <w:szCs w:val="20"/>
                <w:color w:val="auto"/>
              </w:rPr>
            </w:pPr>
            <w:r>
              <w:rPr>
                <w:rFonts w:ascii="Arial" w:cs="Arial" w:eastAsia="Arial" w:hAnsi="Arial"/>
                <w:sz w:val="18"/>
                <w:szCs w:val="18"/>
                <w:color w:val="auto"/>
              </w:rPr>
              <w:t>$1,202</w:t>
            </w:r>
          </w:p>
        </w:tc>
        <w:tc>
          <w:tcPr>
            <w:tcW w:w="120" w:type="dxa"/>
            <w:vAlign w:val="bottom"/>
          </w:tcPr>
          <w:p>
            <w:pPr>
              <w:spacing w:after="0"/>
              <w:rPr>
                <w:sz w:val="24"/>
                <w:szCs w:val="24"/>
                <w:color w:val="auto"/>
              </w:rPr>
            </w:pPr>
          </w:p>
        </w:tc>
        <w:tc>
          <w:tcPr>
            <w:tcW w:w="1240" w:type="dxa"/>
            <w:vAlign w:val="bottom"/>
            <w:gridSpan w:val="2"/>
          </w:tcPr>
          <w:p>
            <w:pPr>
              <w:jc w:val="center"/>
              <w:ind w:right="120"/>
              <w:spacing w:after="0"/>
              <w:rPr>
                <w:sz w:val="20"/>
                <w:szCs w:val="20"/>
                <w:color w:val="auto"/>
              </w:rPr>
            </w:pPr>
            <w:r>
              <w:rPr>
                <w:rFonts w:ascii="Arial" w:cs="Arial" w:eastAsia="Arial" w:hAnsi="Arial"/>
                <w:sz w:val="18"/>
                <w:szCs w:val="18"/>
                <w:color w:val="auto"/>
                <w:w w:val="99"/>
              </w:rPr>
              <w:t>$—</w:t>
            </w:r>
          </w:p>
        </w:tc>
        <w:tc>
          <w:tcPr>
            <w:tcW w:w="1140" w:type="dxa"/>
            <w:vAlign w:val="bottom"/>
          </w:tcPr>
          <w:p>
            <w:pPr>
              <w:jc w:val="center"/>
              <w:spacing w:after="0"/>
              <w:rPr>
                <w:sz w:val="20"/>
                <w:szCs w:val="20"/>
                <w:color w:val="auto"/>
              </w:rPr>
            </w:pPr>
            <w:r>
              <w:rPr>
                <w:rFonts w:ascii="Arial" w:cs="Arial" w:eastAsia="Arial" w:hAnsi="Arial"/>
                <w:sz w:val="18"/>
                <w:szCs w:val="18"/>
                <w:color w:val="auto"/>
                <w:w w:val="99"/>
              </w:rPr>
              <w:t>$970</w:t>
            </w:r>
          </w:p>
        </w:tc>
        <w:tc>
          <w:tcPr>
            <w:tcW w:w="100" w:type="dxa"/>
            <w:vAlign w:val="bottom"/>
          </w:tcPr>
          <w:p>
            <w:pPr>
              <w:spacing w:after="0"/>
              <w:rPr>
                <w:sz w:val="24"/>
                <w:szCs w:val="24"/>
                <w:color w:val="auto"/>
              </w:rPr>
            </w:pPr>
          </w:p>
        </w:tc>
        <w:tc>
          <w:tcPr>
            <w:tcW w:w="1240" w:type="dxa"/>
            <w:vAlign w:val="bottom"/>
            <w:gridSpan w:val="2"/>
          </w:tcPr>
          <w:p>
            <w:pPr>
              <w:jc w:val="center"/>
              <w:ind w:right="80"/>
              <w:spacing w:after="0"/>
              <w:rPr>
                <w:sz w:val="20"/>
                <w:szCs w:val="20"/>
                <w:color w:val="auto"/>
              </w:rPr>
            </w:pPr>
            <w:r>
              <w:rPr>
                <w:rFonts w:ascii="Arial" w:cs="Arial" w:eastAsia="Arial" w:hAnsi="Arial"/>
                <w:sz w:val="18"/>
                <w:szCs w:val="18"/>
                <w:color w:val="auto"/>
                <w:w w:val="99"/>
              </w:rPr>
              <w:t>$—</w:t>
            </w:r>
          </w:p>
        </w:tc>
        <w:tc>
          <w:tcPr>
            <w:tcW w:w="1140" w:type="dxa"/>
            <w:vAlign w:val="bottom"/>
          </w:tcPr>
          <w:p>
            <w:pPr>
              <w:jc w:val="center"/>
              <w:spacing w:after="0"/>
              <w:rPr>
                <w:sz w:val="20"/>
                <w:szCs w:val="20"/>
                <w:color w:val="auto"/>
              </w:rPr>
            </w:pPr>
            <w:r>
              <w:rPr>
                <w:rFonts w:ascii="Arial" w:cs="Arial" w:eastAsia="Arial" w:hAnsi="Arial"/>
                <w:sz w:val="18"/>
                <w:szCs w:val="18"/>
                <w:color w:val="auto"/>
                <w:w w:val="98"/>
              </w:rPr>
              <w:t>$1,213</w:t>
            </w:r>
          </w:p>
        </w:tc>
        <w:tc>
          <w:tcPr>
            <w:tcW w:w="0" w:type="dxa"/>
            <w:vAlign w:val="bottom"/>
          </w:tcPr>
          <w:p>
            <w:pPr>
              <w:spacing w:after="0"/>
              <w:rPr>
                <w:sz w:val="1"/>
                <w:szCs w:val="1"/>
                <w:color w:val="auto"/>
              </w:rPr>
            </w:pPr>
          </w:p>
        </w:tc>
      </w:tr>
      <w:tr>
        <w:trPr>
          <w:trHeight w:val="350"/>
        </w:trPr>
        <w:tc>
          <w:tcPr>
            <w:tcW w:w="1380" w:type="dxa"/>
            <w:vAlign w:val="bottom"/>
            <w:gridSpan w:val="2"/>
            <w:vMerge w:val="restart"/>
          </w:tcPr>
          <w:p>
            <w:pPr>
              <w:jc w:val="center"/>
              <w:ind w:right="120"/>
              <w:spacing w:after="0"/>
              <w:rPr>
                <w:sz w:val="20"/>
                <w:szCs w:val="20"/>
                <w:color w:val="auto"/>
              </w:rPr>
            </w:pPr>
            <w:r>
              <w:rPr>
                <w:rFonts w:ascii="Arial" w:cs="Arial" w:eastAsia="Arial" w:hAnsi="Arial"/>
                <w:sz w:val="18"/>
                <w:szCs w:val="18"/>
                <w:color w:val="auto"/>
              </w:rPr>
              <w:t>June 2025</w:t>
            </w:r>
          </w:p>
        </w:tc>
        <w:tc>
          <w:tcPr>
            <w:tcW w:w="1260" w:type="dxa"/>
            <w:vAlign w:val="bottom"/>
            <w:gridSpan w:val="2"/>
            <w:vMerge w:val="restart"/>
          </w:tcPr>
          <w:p>
            <w:pPr>
              <w:jc w:val="center"/>
              <w:ind w:right="120"/>
              <w:spacing w:after="0"/>
              <w:rPr>
                <w:sz w:val="20"/>
                <w:szCs w:val="20"/>
                <w:color w:val="auto"/>
              </w:rPr>
            </w:pPr>
            <w:r>
              <w:rPr>
                <w:rFonts w:ascii="Arial" w:cs="Arial" w:eastAsia="Arial" w:hAnsi="Arial"/>
                <w:sz w:val="18"/>
                <w:szCs w:val="18"/>
                <w:color w:val="auto"/>
              </w:rPr>
              <w:t>October 2024</w:t>
            </w:r>
          </w:p>
        </w:tc>
        <w:tc>
          <w:tcPr>
            <w:tcW w:w="1280" w:type="dxa"/>
            <w:vAlign w:val="bottom"/>
            <w:gridSpan w:val="2"/>
            <w:vMerge w:val="restart"/>
          </w:tcPr>
          <w:p>
            <w:pPr>
              <w:jc w:val="center"/>
              <w:ind w:right="120"/>
              <w:spacing w:after="0"/>
              <w:rPr>
                <w:sz w:val="20"/>
                <w:szCs w:val="20"/>
                <w:color w:val="auto"/>
              </w:rPr>
            </w:pPr>
            <w:r>
              <w:rPr>
                <w:rFonts w:ascii="Arial" w:cs="Arial" w:eastAsia="Arial" w:hAnsi="Arial"/>
                <w:sz w:val="18"/>
                <w:szCs w:val="18"/>
                <w:color w:val="auto"/>
                <w:w w:val="98"/>
              </w:rPr>
              <w:t>October 2021</w:t>
            </w:r>
          </w:p>
        </w:tc>
        <w:tc>
          <w:tcPr>
            <w:tcW w:w="1240" w:type="dxa"/>
            <w:vAlign w:val="bottom"/>
            <w:gridSpan w:val="2"/>
          </w:tcPr>
          <w:p>
            <w:pPr>
              <w:jc w:val="center"/>
              <w:ind w:right="120"/>
              <w:spacing w:after="0"/>
              <w:rPr>
                <w:sz w:val="20"/>
                <w:szCs w:val="20"/>
                <w:color w:val="auto"/>
              </w:rPr>
            </w:pPr>
            <w:r>
              <w:rPr>
                <w:rFonts w:ascii="Arial" w:cs="Arial" w:eastAsia="Arial" w:hAnsi="Arial"/>
                <w:sz w:val="18"/>
                <w:szCs w:val="18"/>
                <w:color w:val="auto"/>
                <w:w w:val="99"/>
              </w:rPr>
              <w:t>October</w:t>
            </w:r>
          </w:p>
        </w:tc>
        <w:tc>
          <w:tcPr>
            <w:tcW w:w="1240" w:type="dxa"/>
            <w:vAlign w:val="bottom"/>
            <w:gridSpan w:val="2"/>
            <w:vMerge w:val="restart"/>
          </w:tcPr>
          <w:p>
            <w:pPr>
              <w:jc w:val="center"/>
              <w:ind w:right="100"/>
              <w:spacing w:after="0"/>
              <w:rPr>
                <w:sz w:val="20"/>
                <w:szCs w:val="20"/>
                <w:color w:val="auto"/>
              </w:rPr>
            </w:pPr>
            <w:r>
              <w:rPr>
                <w:rFonts w:ascii="Arial" w:cs="Arial" w:eastAsia="Arial" w:hAnsi="Arial"/>
                <w:sz w:val="18"/>
                <w:szCs w:val="18"/>
                <w:color w:val="auto"/>
              </w:rPr>
              <w:t>April 2023</w:t>
            </w:r>
          </w:p>
        </w:tc>
        <w:tc>
          <w:tcPr>
            <w:tcW w:w="1240" w:type="dxa"/>
            <w:vAlign w:val="bottom"/>
            <w:gridSpan w:val="2"/>
          </w:tcPr>
          <w:p>
            <w:pPr>
              <w:jc w:val="center"/>
              <w:ind w:right="80"/>
              <w:spacing w:after="0"/>
              <w:rPr>
                <w:sz w:val="20"/>
                <w:szCs w:val="20"/>
                <w:color w:val="auto"/>
              </w:rPr>
            </w:pPr>
            <w:r>
              <w:rPr>
                <w:rFonts w:ascii="Arial" w:cs="Arial" w:eastAsia="Arial" w:hAnsi="Arial"/>
                <w:sz w:val="18"/>
                <w:szCs w:val="18"/>
                <w:color w:val="auto"/>
                <w:w w:val="99"/>
              </w:rPr>
              <w:t>October</w:t>
            </w:r>
          </w:p>
        </w:tc>
        <w:tc>
          <w:tcPr>
            <w:tcW w:w="1140" w:type="dxa"/>
            <w:vAlign w:val="bottom"/>
          </w:tcPr>
          <w:p>
            <w:pPr>
              <w:jc w:val="center"/>
              <w:spacing w:after="0"/>
              <w:rPr>
                <w:sz w:val="20"/>
                <w:szCs w:val="20"/>
                <w:color w:val="auto"/>
              </w:rPr>
            </w:pPr>
            <w:r>
              <w:rPr>
                <w:rFonts w:ascii="Arial" w:cs="Arial" w:eastAsia="Arial" w:hAnsi="Arial"/>
                <w:sz w:val="18"/>
                <w:szCs w:val="18"/>
                <w:color w:val="auto"/>
                <w:w w:val="98"/>
              </w:rPr>
              <w:t>December</w:t>
            </w:r>
          </w:p>
        </w:tc>
        <w:tc>
          <w:tcPr>
            <w:tcW w:w="0" w:type="dxa"/>
            <w:vAlign w:val="bottom"/>
          </w:tcPr>
          <w:p>
            <w:pPr>
              <w:spacing w:after="0"/>
              <w:rPr>
                <w:sz w:val="1"/>
                <w:szCs w:val="1"/>
                <w:color w:val="auto"/>
              </w:rPr>
            </w:pPr>
          </w:p>
        </w:tc>
      </w:tr>
      <w:tr>
        <w:trPr>
          <w:trHeight w:val="109"/>
        </w:trPr>
        <w:tc>
          <w:tcPr>
            <w:tcW w:w="1380" w:type="dxa"/>
            <w:vAlign w:val="bottom"/>
            <w:gridSpan w:val="2"/>
            <w:vMerge w:val="continue"/>
          </w:tcPr>
          <w:p>
            <w:pPr>
              <w:spacing w:after="0"/>
              <w:rPr>
                <w:sz w:val="9"/>
                <w:szCs w:val="9"/>
                <w:color w:val="auto"/>
              </w:rPr>
            </w:pPr>
          </w:p>
        </w:tc>
        <w:tc>
          <w:tcPr>
            <w:tcW w:w="1260" w:type="dxa"/>
            <w:vAlign w:val="bottom"/>
            <w:gridSpan w:val="2"/>
            <w:vMerge w:val="continue"/>
          </w:tcPr>
          <w:p>
            <w:pPr>
              <w:spacing w:after="0"/>
              <w:rPr>
                <w:sz w:val="9"/>
                <w:szCs w:val="9"/>
                <w:color w:val="auto"/>
              </w:rPr>
            </w:pPr>
          </w:p>
        </w:tc>
        <w:tc>
          <w:tcPr>
            <w:tcW w:w="1280" w:type="dxa"/>
            <w:vAlign w:val="bottom"/>
            <w:gridSpan w:val="2"/>
            <w:vMerge w:val="continue"/>
          </w:tcPr>
          <w:p>
            <w:pPr>
              <w:spacing w:after="0"/>
              <w:rPr>
                <w:sz w:val="9"/>
                <w:szCs w:val="9"/>
                <w:color w:val="auto"/>
              </w:rPr>
            </w:pPr>
          </w:p>
        </w:tc>
        <w:tc>
          <w:tcPr>
            <w:tcW w:w="1140" w:type="dxa"/>
            <w:vAlign w:val="bottom"/>
            <w:vMerge w:val="restart"/>
          </w:tcPr>
          <w:p>
            <w:pPr>
              <w:jc w:val="center"/>
              <w:spacing w:after="0"/>
              <w:rPr>
                <w:sz w:val="20"/>
                <w:szCs w:val="20"/>
                <w:color w:val="auto"/>
              </w:rPr>
            </w:pPr>
            <w:r>
              <w:rPr>
                <w:rFonts w:ascii="Arial" w:cs="Arial" w:eastAsia="Arial" w:hAnsi="Arial"/>
                <w:sz w:val="18"/>
                <w:szCs w:val="18"/>
                <w:color w:val="auto"/>
                <w:w w:val="99"/>
              </w:rPr>
              <w:t>2024</w:t>
            </w:r>
          </w:p>
        </w:tc>
        <w:tc>
          <w:tcPr>
            <w:tcW w:w="100" w:type="dxa"/>
            <w:vAlign w:val="bottom"/>
          </w:tcPr>
          <w:p>
            <w:pPr>
              <w:spacing w:after="0"/>
              <w:rPr>
                <w:sz w:val="9"/>
                <w:szCs w:val="9"/>
                <w:color w:val="auto"/>
              </w:rPr>
            </w:pPr>
          </w:p>
        </w:tc>
        <w:tc>
          <w:tcPr>
            <w:tcW w:w="1240" w:type="dxa"/>
            <w:vAlign w:val="bottom"/>
            <w:gridSpan w:val="2"/>
            <w:vMerge w:val="continue"/>
          </w:tcPr>
          <w:p>
            <w:pPr>
              <w:spacing w:after="0"/>
              <w:rPr>
                <w:sz w:val="9"/>
                <w:szCs w:val="9"/>
                <w:color w:val="auto"/>
              </w:rPr>
            </w:pPr>
          </w:p>
        </w:tc>
        <w:tc>
          <w:tcPr>
            <w:tcW w:w="1140" w:type="dxa"/>
            <w:vAlign w:val="bottom"/>
            <w:vMerge w:val="restart"/>
          </w:tcPr>
          <w:p>
            <w:pPr>
              <w:jc w:val="center"/>
              <w:spacing w:after="0"/>
              <w:rPr>
                <w:sz w:val="20"/>
                <w:szCs w:val="20"/>
                <w:color w:val="auto"/>
              </w:rPr>
            </w:pPr>
            <w:r>
              <w:rPr>
                <w:rFonts w:ascii="Arial" w:cs="Arial" w:eastAsia="Arial" w:hAnsi="Arial"/>
                <w:sz w:val="18"/>
                <w:szCs w:val="18"/>
                <w:color w:val="auto"/>
                <w:w w:val="99"/>
              </w:rPr>
              <w:t>2024</w:t>
            </w:r>
          </w:p>
        </w:tc>
        <w:tc>
          <w:tcPr>
            <w:tcW w:w="100" w:type="dxa"/>
            <w:vAlign w:val="bottom"/>
          </w:tcPr>
          <w:p>
            <w:pPr>
              <w:spacing w:after="0"/>
              <w:rPr>
                <w:sz w:val="9"/>
                <w:szCs w:val="9"/>
                <w:color w:val="auto"/>
              </w:rPr>
            </w:pPr>
          </w:p>
        </w:tc>
        <w:tc>
          <w:tcPr>
            <w:tcW w:w="1140" w:type="dxa"/>
            <w:vAlign w:val="bottom"/>
            <w:vMerge w:val="restart"/>
          </w:tcPr>
          <w:p>
            <w:pPr>
              <w:jc w:val="center"/>
              <w:spacing w:after="0"/>
              <w:rPr>
                <w:sz w:val="20"/>
                <w:szCs w:val="20"/>
                <w:color w:val="auto"/>
              </w:rPr>
            </w:pPr>
            <w:r>
              <w:rPr>
                <w:rFonts w:ascii="Arial" w:cs="Arial" w:eastAsia="Arial" w:hAnsi="Arial"/>
                <w:sz w:val="18"/>
                <w:szCs w:val="18"/>
                <w:color w:val="auto"/>
                <w:w w:val="99"/>
              </w:rPr>
              <w:t>2023</w:t>
            </w:r>
          </w:p>
        </w:tc>
        <w:tc>
          <w:tcPr>
            <w:tcW w:w="0" w:type="dxa"/>
            <w:vAlign w:val="bottom"/>
          </w:tcPr>
          <w:p>
            <w:pPr>
              <w:spacing w:after="0"/>
              <w:rPr>
                <w:sz w:val="1"/>
                <w:szCs w:val="1"/>
                <w:color w:val="auto"/>
              </w:rPr>
            </w:pPr>
          </w:p>
        </w:tc>
      </w:tr>
      <w:tr>
        <w:trPr>
          <w:trHeight w:val="108"/>
        </w:trPr>
        <w:tc>
          <w:tcPr>
            <w:tcW w:w="1260" w:type="dxa"/>
            <w:vAlign w:val="bottom"/>
          </w:tcPr>
          <w:p>
            <w:pPr>
              <w:spacing w:after="0"/>
              <w:rPr>
                <w:sz w:val="9"/>
                <w:szCs w:val="9"/>
                <w:color w:val="auto"/>
              </w:rPr>
            </w:pPr>
          </w:p>
        </w:tc>
        <w:tc>
          <w:tcPr>
            <w:tcW w:w="120" w:type="dxa"/>
            <w:vAlign w:val="bottom"/>
          </w:tcPr>
          <w:p>
            <w:pPr>
              <w:spacing w:after="0"/>
              <w:rPr>
                <w:sz w:val="9"/>
                <w:szCs w:val="9"/>
                <w:color w:val="auto"/>
              </w:rPr>
            </w:pPr>
          </w:p>
        </w:tc>
        <w:tc>
          <w:tcPr>
            <w:tcW w:w="1140" w:type="dxa"/>
            <w:vAlign w:val="bottom"/>
          </w:tcPr>
          <w:p>
            <w:pPr>
              <w:spacing w:after="0"/>
              <w:rPr>
                <w:sz w:val="9"/>
                <w:szCs w:val="9"/>
                <w:color w:val="auto"/>
              </w:rPr>
            </w:pPr>
          </w:p>
        </w:tc>
        <w:tc>
          <w:tcPr>
            <w:tcW w:w="120" w:type="dxa"/>
            <w:vAlign w:val="bottom"/>
          </w:tcPr>
          <w:p>
            <w:pPr>
              <w:spacing w:after="0"/>
              <w:rPr>
                <w:sz w:val="9"/>
                <w:szCs w:val="9"/>
                <w:color w:val="auto"/>
              </w:rPr>
            </w:pPr>
          </w:p>
        </w:tc>
        <w:tc>
          <w:tcPr>
            <w:tcW w:w="1160" w:type="dxa"/>
            <w:vAlign w:val="bottom"/>
          </w:tcPr>
          <w:p>
            <w:pPr>
              <w:spacing w:after="0"/>
              <w:rPr>
                <w:sz w:val="9"/>
                <w:szCs w:val="9"/>
                <w:color w:val="auto"/>
              </w:rPr>
            </w:pPr>
          </w:p>
        </w:tc>
        <w:tc>
          <w:tcPr>
            <w:tcW w:w="120" w:type="dxa"/>
            <w:vAlign w:val="bottom"/>
          </w:tcPr>
          <w:p>
            <w:pPr>
              <w:spacing w:after="0"/>
              <w:rPr>
                <w:sz w:val="9"/>
                <w:szCs w:val="9"/>
                <w:color w:val="auto"/>
              </w:rPr>
            </w:pPr>
          </w:p>
        </w:tc>
        <w:tc>
          <w:tcPr>
            <w:tcW w:w="1140" w:type="dxa"/>
            <w:vAlign w:val="bottom"/>
            <w:vMerge w:val="continue"/>
          </w:tcPr>
          <w:p>
            <w:pPr>
              <w:spacing w:after="0"/>
              <w:rPr>
                <w:sz w:val="9"/>
                <w:szCs w:val="9"/>
                <w:color w:val="auto"/>
              </w:rPr>
            </w:pPr>
          </w:p>
        </w:tc>
        <w:tc>
          <w:tcPr>
            <w:tcW w:w="100" w:type="dxa"/>
            <w:vAlign w:val="bottom"/>
          </w:tcPr>
          <w:p>
            <w:pPr>
              <w:spacing w:after="0"/>
              <w:rPr>
                <w:sz w:val="9"/>
                <w:szCs w:val="9"/>
                <w:color w:val="auto"/>
              </w:rPr>
            </w:pPr>
          </w:p>
        </w:tc>
        <w:tc>
          <w:tcPr>
            <w:tcW w:w="1140" w:type="dxa"/>
            <w:vAlign w:val="bottom"/>
          </w:tcPr>
          <w:p>
            <w:pPr>
              <w:spacing w:after="0"/>
              <w:rPr>
                <w:sz w:val="9"/>
                <w:szCs w:val="9"/>
                <w:color w:val="auto"/>
              </w:rPr>
            </w:pPr>
          </w:p>
        </w:tc>
        <w:tc>
          <w:tcPr>
            <w:tcW w:w="100" w:type="dxa"/>
            <w:vAlign w:val="bottom"/>
          </w:tcPr>
          <w:p>
            <w:pPr>
              <w:spacing w:after="0"/>
              <w:rPr>
                <w:sz w:val="9"/>
                <w:szCs w:val="9"/>
                <w:color w:val="auto"/>
              </w:rPr>
            </w:pPr>
          </w:p>
        </w:tc>
        <w:tc>
          <w:tcPr>
            <w:tcW w:w="1140" w:type="dxa"/>
            <w:vAlign w:val="bottom"/>
            <w:vMerge w:val="continue"/>
          </w:tcPr>
          <w:p>
            <w:pPr>
              <w:spacing w:after="0"/>
              <w:rPr>
                <w:sz w:val="9"/>
                <w:szCs w:val="9"/>
                <w:color w:val="auto"/>
              </w:rPr>
            </w:pPr>
          </w:p>
        </w:tc>
        <w:tc>
          <w:tcPr>
            <w:tcW w:w="100" w:type="dxa"/>
            <w:vAlign w:val="bottom"/>
          </w:tcPr>
          <w:p>
            <w:pPr>
              <w:spacing w:after="0"/>
              <w:rPr>
                <w:sz w:val="9"/>
                <w:szCs w:val="9"/>
                <w:color w:val="auto"/>
              </w:rPr>
            </w:pPr>
          </w:p>
        </w:tc>
        <w:tc>
          <w:tcPr>
            <w:tcW w:w="114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257"/>
        </w:trPr>
        <w:tc>
          <w:tcPr>
            <w:tcW w:w="1260" w:type="dxa"/>
            <w:vAlign w:val="bottom"/>
          </w:tcPr>
          <w:p>
            <w:pPr>
              <w:jc w:val="center"/>
              <w:spacing w:after="0"/>
              <w:rPr>
                <w:sz w:val="20"/>
                <w:szCs w:val="20"/>
                <w:color w:val="auto"/>
              </w:rPr>
            </w:pPr>
            <w:r>
              <w:rPr>
                <w:rFonts w:ascii="Arial" w:cs="Arial" w:eastAsia="Arial" w:hAnsi="Arial"/>
                <w:sz w:val="18"/>
                <w:szCs w:val="18"/>
                <w:color w:val="auto"/>
                <w:w w:val="97"/>
              </w:rPr>
              <w:t>1.75%</w:t>
            </w:r>
          </w:p>
        </w:tc>
        <w:tc>
          <w:tcPr>
            <w:tcW w:w="120" w:type="dxa"/>
            <w:vAlign w:val="bottom"/>
          </w:tcPr>
          <w:p>
            <w:pPr>
              <w:spacing w:after="0"/>
              <w:rPr>
                <w:sz w:val="22"/>
                <w:szCs w:val="22"/>
                <w:color w:val="auto"/>
              </w:rPr>
            </w:pPr>
          </w:p>
        </w:tc>
        <w:tc>
          <w:tcPr>
            <w:tcW w:w="1140" w:type="dxa"/>
            <w:vAlign w:val="bottom"/>
          </w:tcPr>
          <w:p>
            <w:pPr>
              <w:jc w:val="center"/>
              <w:spacing w:after="0"/>
              <w:rPr>
                <w:sz w:val="20"/>
                <w:szCs w:val="20"/>
                <w:color w:val="auto"/>
              </w:rPr>
            </w:pPr>
            <w:r>
              <w:rPr>
                <w:rFonts w:ascii="Arial" w:cs="Arial" w:eastAsia="Arial" w:hAnsi="Arial"/>
                <w:sz w:val="18"/>
                <w:szCs w:val="18"/>
                <w:color w:val="auto"/>
                <w:w w:val="97"/>
              </w:rPr>
              <w:t>2.00%</w:t>
            </w:r>
          </w:p>
        </w:tc>
        <w:tc>
          <w:tcPr>
            <w:tcW w:w="120" w:type="dxa"/>
            <w:vAlign w:val="bottom"/>
          </w:tcPr>
          <w:p>
            <w:pPr>
              <w:spacing w:after="0"/>
              <w:rPr>
                <w:sz w:val="22"/>
                <w:szCs w:val="22"/>
                <w:color w:val="auto"/>
              </w:rPr>
            </w:pPr>
          </w:p>
        </w:tc>
        <w:tc>
          <w:tcPr>
            <w:tcW w:w="1160" w:type="dxa"/>
            <w:vAlign w:val="bottom"/>
          </w:tcPr>
          <w:p>
            <w:pPr>
              <w:jc w:val="center"/>
              <w:spacing w:after="0"/>
              <w:rPr>
                <w:sz w:val="20"/>
                <w:szCs w:val="20"/>
                <w:color w:val="auto"/>
              </w:rPr>
            </w:pPr>
            <w:r>
              <w:rPr>
                <w:rFonts w:ascii="Arial" w:cs="Arial" w:eastAsia="Arial" w:hAnsi="Arial"/>
                <w:sz w:val="18"/>
                <w:szCs w:val="18"/>
                <w:color w:val="auto"/>
              </w:rPr>
              <w:t>2.00%</w:t>
            </w:r>
          </w:p>
        </w:tc>
        <w:tc>
          <w:tcPr>
            <w:tcW w:w="120" w:type="dxa"/>
            <w:vAlign w:val="bottom"/>
          </w:tcPr>
          <w:p>
            <w:pPr>
              <w:spacing w:after="0"/>
              <w:rPr>
                <w:sz w:val="22"/>
                <w:szCs w:val="22"/>
                <w:color w:val="auto"/>
              </w:rPr>
            </w:pPr>
          </w:p>
        </w:tc>
        <w:tc>
          <w:tcPr>
            <w:tcW w:w="1140" w:type="dxa"/>
            <w:vAlign w:val="bottom"/>
          </w:tcPr>
          <w:p>
            <w:pPr>
              <w:jc w:val="center"/>
              <w:spacing w:after="0"/>
              <w:rPr>
                <w:sz w:val="20"/>
                <w:szCs w:val="20"/>
                <w:color w:val="auto"/>
              </w:rPr>
            </w:pPr>
            <w:r>
              <w:rPr>
                <w:rFonts w:ascii="Arial" w:cs="Arial" w:eastAsia="Arial" w:hAnsi="Arial"/>
                <w:sz w:val="18"/>
                <w:szCs w:val="18"/>
                <w:color w:val="auto"/>
                <w:w w:val="97"/>
              </w:rPr>
              <w:t>2.00%</w:t>
            </w:r>
          </w:p>
        </w:tc>
        <w:tc>
          <w:tcPr>
            <w:tcW w:w="100" w:type="dxa"/>
            <w:vAlign w:val="bottom"/>
          </w:tcPr>
          <w:p>
            <w:pPr>
              <w:spacing w:after="0"/>
              <w:rPr>
                <w:sz w:val="22"/>
                <w:szCs w:val="22"/>
                <w:color w:val="auto"/>
              </w:rPr>
            </w:pPr>
          </w:p>
        </w:tc>
        <w:tc>
          <w:tcPr>
            <w:tcW w:w="1140" w:type="dxa"/>
            <w:vAlign w:val="bottom"/>
          </w:tcPr>
          <w:p>
            <w:pPr>
              <w:jc w:val="center"/>
              <w:spacing w:after="0"/>
              <w:rPr>
                <w:sz w:val="20"/>
                <w:szCs w:val="20"/>
                <w:color w:val="auto"/>
              </w:rPr>
            </w:pPr>
            <w:r>
              <w:rPr>
                <w:rFonts w:ascii="Arial" w:cs="Arial" w:eastAsia="Arial" w:hAnsi="Arial"/>
                <w:sz w:val="18"/>
                <w:szCs w:val="18"/>
                <w:color w:val="auto"/>
                <w:w w:val="97"/>
              </w:rPr>
              <w:t>2.00%</w:t>
            </w:r>
          </w:p>
        </w:tc>
        <w:tc>
          <w:tcPr>
            <w:tcW w:w="100" w:type="dxa"/>
            <w:vAlign w:val="bottom"/>
          </w:tcPr>
          <w:p>
            <w:pPr>
              <w:spacing w:after="0"/>
              <w:rPr>
                <w:sz w:val="22"/>
                <w:szCs w:val="22"/>
                <w:color w:val="auto"/>
              </w:rPr>
            </w:pPr>
          </w:p>
        </w:tc>
        <w:tc>
          <w:tcPr>
            <w:tcW w:w="1140" w:type="dxa"/>
            <w:vAlign w:val="bottom"/>
          </w:tcPr>
          <w:p>
            <w:pPr>
              <w:jc w:val="center"/>
              <w:spacing w:after="0"/>
              <w:rPr>
                <w:sz w:val="20"/>
                <w:szCs w:val="20"/>
                <w:color w:val="auto"/>
              </w:rPr>
            </w:pPr>
            <w:r>
              <w:rPr>
                <w:rFonts w:ascii="Arial" w:cs="Arial" w:eastAsia="Arial" w:hAnsi="Arial"/>
                <w:sz w:val="18"/>
                <w:szCs w:val="18"/>
                <w:color w:val="auto"/>
                <w:w w:val="97"/>
              </w:rPr>
              <w:t>2.00%</w:t>
            </w:r>
          </w:p>
        </w:tc>
        <w:tc>
          <w:tcPr>
            <w:tcW w:w="100" w:type="dxa"/>
            <w:vAlign w:val="bottom"/>
          </w:tcPr>
          <w:p>
            <w:pPr>
              <w:spacing w:after="0"/>
              <w:rPr>
                <w:sz w:val="22"/>
                <w:szCs w:val="22"/>
                <w:color w:val="auto"/>
              </w:rPr>
            </w:pPr>
          </w:p>
        </w:tc>
        <w:tc>
          <w:tcPr>
            <w:tcW w:w="1140" w:type="dxa"/>
            <w:vAlign w:val="bottom"/>
          </w:tcPr>
          <w:p>
            <w:pPr>
              <w:jc w:val="center"/>
              <w:spacing w:after="0"/>
              <w:rPr>
                <w:sz w:val="20"/>
                <w:szCs w:val="20"/>
                <w:color w:val="auto"/>
              </w:rPr>
            </w:pPr>
            <w:r>
              <w:rPr>
                <w:rFonts w:ascii="Arial" w:cs="Arial" w:eastAsia="Arial" w:hAnsi="Arial"/>
                <w:sz w:val="18"/>
                <w:szCs w:val="18"/>
                <w:color w:val="auto"/>
                <w:w w:val="97"/>
              </w:rPr>
              <w:t>2.00%</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-1670685</wp:posOffset>
            </wp:positionH>
            <wp:positionV relativeFrom="paragraph">
              <wp:posOffset>-1156970</wp:posOffset>
            </wp:positionV>
            <wp:extent cx="7246620" cy="420370"/>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7246620" cy="420370"/>
                    </a:xfrm>
                    <a:prstGeom prst="rect">
                      <a:avLst/>
                    </a:prstGeom>
                    <a:noFill/>
                  </pic:spPr>
                </pic:pic>
              </a:graphicData>
            </a:graphic>
          </wp:anchor>
        </w:drawing>
        <w:drawing>
          <wp:anchor simplePos="0" relativeHeight="251657728" behindDoc="1" locked="0" layoutInCell="0" allowOverlap="1">
            <wp:simplePos x="0" y="0"/>
            <wp:positionH relativeFrom="column">
              <wp:posOffset>-1670685</wp:posOffset>
            </wp:positionH>
            <wp:positionV relativeFrom="paragraph">
              <wp:posOffset>-445135</wp:posOffset>
            </wp:positionV>
            <wp:extent cx="7246620" cy="29146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7246620" cy="291465"/>
                    </a:xfrm>
                    <a:prstGeom prst="rect">
                      <a:avLst/>
                    </a:prstGeom>
                    <a:noFill/>
                  </pic:spPr>
                </pic:pic>
              </a:graphicData>
            </a:graphic>
          </wp:anchor>
        </w:drawing>
      </w:r>
    </w:p>
    <w:p>
      <w:pPr>
        <w:spacing w:after="0" w:line="200" w:lineRule="exact"/>
        <w:rPr>
          <w:sz w:val="20"/>
          <w:szCs w:val="20"/>
          <w:color w:val="auto"/>
        </w:rPr>
      </w:pPr>
    </w:p>
    <w:p>
      <w:pPr>
        <w:sectPr>
          <w:pgSz w:w="11900" w:h="16838" w:orient="portrait"/>
          <w:cols w:equalWidth="0" w:num="2">
            <w:col w:w="2260" w:space="380"/>
            <w:col w:w="8780"/>
          </w:cols>
          <w:pgMar w:left="240" w:top="549" w:right="239" w:bottom="1440" w:gutter="0" w:footer="0" w:header="0"/>
          <w:type w:val="continuous"/>
        </w:sectPr>
      </w:pPr>
    </w:p>
    <w:p>
      <w:pPr>
        <w:spacing w:after="0" w:line="204" w:lineRule="exact"/>
        <w:rPr>
          <w:sz w:val="20"/>
          <w:szCs w:val="20"/>
          <w:color w:val="auto"/>
        </w:rPr>
      </w:pPr>
    </w:p>
    <w:p>
      <w:pPr>
        <w:jc w:val="both"/>
        <w:ind w:firstLine="216"/>
        <w:spacing w:after="0" w:line="256" w:lineRule="auto"/>
        <w:rPr>
          <w:sz w:val="20"/>
          <w:szCs w:val="20"/>
          <w:color w:val="auto"/>
        </w:rPr>
      </w:pPr>
      <w:r>
        <w:rPr>
          <w:rFonts w:ascii="Arial" w:cs="Arial" w:eastAsia="Arial" w:hAnsi="Arial"/>
          <w:sz w:val="18"/>
          <w:szCs w:val="18"/>
          <w:color w:val="auto"/>
        </w:rPr>
        <w:t>The term loans under each of the Credit Facilities are repayable in annual installments in an amount equal to 1.00% of the aggregate principal amount issued, with any unpaid balance due on the respective maturity dates. Voluntary prepayments may be made by American at any time.</w:t>
      </w:r>
    </w:p>
    <w:p>
      <w:pPr>
        <w:spacing w:after="0" w:line="20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132</w:t>
      </w:r>
    </w:p>
    <w:p>
      <w:pPr>
        <w:sectPr>
          <w:pgSz w:w="11900" w:h="16838" w:orient="portrait"/>
          <w:cols w:equalWidth="0" w:num="1">
            <w:col w:w="11420"/>
          </w:cols>
          <w:pgMar w:left="240" w:top="549" w:right="239" w:bottom="1440" w:gutter="0" w:footer="0" w:header="0"/>
          <w:type w:val="continuous"/>
        </w:sectPr>
      </w:pPr>
    </w:p>
    <w:bookmarkStart w:id="132" w:name="page133"/>
    <w:bookmarkEnd w:id="132"/>
    <w:p>
      <w:pPr>
        <w:jc w:val="center"/>
        <w:spacing w:after="0"/>
        <w:rPr>
          <w:sz w:val="20"/>
          <w:szCs w:val="20"/>
          <w:color w:val="auto"/>
        </w:rPr>
      </w:pPr>
      <w:r>
        <w:rPr>
          <w:rFonts w:ascii="Arial" w:cs="Arial" w:eastAsia="Arial" w:hAnsi="Arial"/>
          <w:sz w:val="18"/>
          <w:szCs w:val="18"/>
          <w:b w:val="1"/>
          <w:bCs w:val="1"/>
          <w:color w:val="auto"/>
        </w:rPr>
        <w:t>NOTES TO CONSOLIDATED FINANCIAL STATEMENTS OF AMERICAN AIRLINES, INC.</w:t>
      </w:r>
    </w:p>
    <w:p>
      <w:pPr>
        <w:spacing w:after="0" w:line="200" w:lineRule="exact"/>
        <w:rPr>
          <w:sz w:val="20"/>
          <w:szCs w:val="20"/>
          <w:color w:val="auto"/>
        </w:rPr>
      </w:pPr>
    </w:p>
    <w:p>
      <w:pPr>
        <w:spacing w:after="0" w:line="209" w:lineRule="exact"/>
        <w:rPr>
          <w:sz w:val="20"/>
          <w:szCs w:val="20"/>
          <w:color w:val="auto"/>
        </w:rPr>
      </w:pPr>
    </w:p>
    <w:p>
      <w:pPr>
        <w:jc w:val="both"/>
        <w:ind w:firstLine="216"/>
        <w:spacing w:after="0" w:line="252" w:lineRule="auto"/>
        <w:rPr>
          <w:sz w:val="20"/>
          <w:szCs w:val="20"/>
          <w:color w:val="auto"/>
        </w:rPr>
      </w:pPr>
      <w:r>
        <w:rPr>
          <w:rFonts w:ascii="Arial" w:cs="Arial" w:eastAsia="Arial" w:hAnsi="Arial"/>
          <w:sz w:val="18"/>
          <w:szCs w:val="18"/>
          <w:color w:val="auto"/>
        </w:rPr>
        <w:t>The 2013 Revolving Facility, 2014 Revolving Facility and April 2016 Revolving Facility provide that American may from time to time borrow, repay and reborrow loans thereunder. The 2013 Revolving Facility and 2014 Revolving Facility have the ability to issue letters of credit thereunder in an aggregate amount outstanding at any time up to $100 million and $200 million, respectively. The 2013 Revolving Facility, 2014 Revolving Facility and April 2016 Revolving Facility are each subject to an undrawn annual fee of 0.63%. As of December 31, 2019, there were no borrowings or letters of credit outstanding under the 2013 Revolving Facility, 2014 Revolving Facility or April 2016 Revolving Facility. The December 2016 Credit Facilities provide for a revolving credit facility that may be established thereunder in the future.</w:t>
      </w:r>
    </w:p>
    <w:p>
      <w:pPr>
        <w:spacing w:after="0" w:line="155" w:lineRule="exact"/>
        <w:rPr>
          <w:sz w:val="20"/>
          <w:szCs w:val="20"/>
          <w:color w:val="auto"/>
        </w:rPr>
      </w:pPr>
    </w:p>
    <w:p>
      <w:pPr>
        <w:jc w:val="both"/>
        <w:ind w:firstLine="216"/>
        <w:spacing w:after="0" w:line="254" w:lineRule="auto"/>
        <w:rPr>
          <w:sz w:val="20"/>
          <w:szCs w:val="20"/>
          <w:color w:val="auto"/>
        </w:rPr>
      </w:pPr>
      <w:r>
        <w:rPr>
          <w:rFonts w:ascii="Arial" w:cs="Arial" w:eastAsia="Arial" w:hAnsi="Arial"/>
          <w:sz w:val="18"/>
          <w:szCs w:val="18"/>
          <w:color w:val="auto"/>
        </w:rPr>
        <w:t xml:space="preserve">Subject to certain limitations and exceptions, the Credit Facilities are secured by collateral, including certain spare parts, slots, route authorities, simulators and leasehold rights. American has the ability to make future modifications to the collateral pledged, subject to certain restrictions. American’s obligations under the Credit Facilities are guaranteed by AAG. American is required to maintain a certain minimum ratio of appraised value of the collateral to the outstanding loans as further described below in </w:t>
      </w:r>
      <w:r>
        <w:rPr>
          <w:rFonts w:ascii="Arial" w:cs="Arial" w:eastAsia="Arial" w:hAnsi="Arial"/>
          <w:sz w:val="18"/>
          <w:szCs w:val="18"/>
          <w:i w:val="1"/>
          <w:iCs w:val="1"/>
          <w:color w:val="auto"/>
        </w:rPr>
        <w:t>“Collateral-Related Covenants.”</w:t>
      </w:r>
    </w:p>
    <w:p>
      <w:pPr>
        <w:spacing w:after="0" w:line="150" w:lineRule="exact"/>
        <w:rPr>
          <w:sz w:val="20"/>
          <w:szCs w:val="20"/>
          <w:color w:val="auto"/>
        </w:rPr>
      </w:pPr>
    </w:p>
    <w:p>
      <w:pPr>
        <w:jc w:val="both"/>
        <w:ind w:firstLine="216"/>
        <w:spacing w:after="0" w:line="251" w:lineRule="auto"/>
        <w:rPr>
          <w:sz w:val="20"/>
          <w:szCs w:val="20"/>
          <w:color w:val="auto"/>
        </w:rPr>
      </w:pPr>
      <w:r>
        <w:rPr>
          <w:rFonts w:ascii="Arial" w:cs="Arial" w:eastAsia="Arial" w:hAnsi="Arial"/>
          <w:sz w:val="18"/>
          <w:szCs w:val="18"/>
          <w:color w:val="auto"/>
        </w:rPr>
        <w:t>The Credit Facilities contain events of default customary for similar financings, including cross default to other material indebtedness. Upon the occurrence of an event of default, the outstanding obligations may be accelerated and become due and payable immediately. In addition, if a “change of control” occurs, American will (absent an amendment or waiver) be required to repay at par the loans outstanding under the Credit Facilities and terminate the 2013 Revolving Facility, 2014 Revolving Facility and April 2016 Revolving Facility and any revolving credit facility established under the December 2016 Credit Facilities. The Credit Facilities also include covenants that, among other things, require AAG to maintain a minimum aggregate liquidity (as defined in the Credit Facilities) of not less than $2.0 billion and limit the ability of AAG and its restricted subsidiaries to pay dividends and make certain other payments, make certain investments, incur additional indebtedness, incur liens on the collateral, dispose of the collateral, enter into certain affiliate transactions and engage in certain business activities, in each case subject to certain exceptions.</w:t>
      </w:r>
    </w:p>
    <w:p>
      <w:pPr>
        <w:spacing w:after="0" w:line="159" w:lineRule="exact"/>
        <w:rPr>
          <w:sz w:val="20"/>
          <w:szCs w:val="20"/>
          <w:color w:val="auto"/>
        </w:rPr>
      </w:pPr>
    </w:p>
    <w:p>
      <w:pPr>
        <w:jc w:val="both"/>
        <w:ind w:firstLine="216"/>
        <w:spacing w:after="0" w:line="256" w:lineRule="auto"/>
        <w:rPr>
          <w:sz w:val="20"/>
          <w:szCs w:val="20"/>
          <w:color w:val="auto"/>
        </w:rPr>
      </w:pPr>
      <w:r>
        <w:rPr>
          <w:rFonts w:ascii="Arial" w:cs="Arial" w:eastAsia="Arial" w:hAnsi="Arial"/>
          <w:sz w:val="18"/>
          <w:szCs w:val="18"/>
          <w:color w:val="auto"/>
        </w:rPr>
        <w:t>In December 2019, due to uncertainty surrounding the timing of the Boeing 737 MAX aircraft return to service, American entered into an additional short-term revolving line of credit to provide us with incremental borrowing capacity of up to $400 million. We have no present intention to borrow any amounts under this facility, which matures in September 2020 with an optional extension to December 2020.</w:t>
      </w:r>
    </w:p>
    <w:p>
      <w:pPr>
        <w:spacing w:after="0" w:line="207" w:lineRule="exact"/>
        <w:rPr>
          <w:sz w:val="20"/>
          <w:szCs w:val="20"/>
          <w:color w:val="auto"/>
        </w:rPr>
      </w:pPr>
    </w:p>
    <w:p>
      <w:pPr>
        <w:ind w:left="220"/>
        <w:spacing w:after="0"/>
        <w:rPr>
          <w:sz w:val="20"/>
          <w:szCs w:val="20"/>
          <w:color w:val="auto"/>
        </w:rPr>
      </w:pPr>
      <w:r>
        <w:rPr>
          <w:rFonts w:ascii="Arial" w:cs="Arial" w:eastAsia="Arial" w:hAnsi="Arial"/>
          <w:sz w:val="18"/>
          <w:szCs w:val="18"/>
          <w:b w:val="1"/>
          <w:bCs w:val="1"/>
          <w:i w:val="1"/>
          <w:iCs w:val="1"/>
          <w:color w:val="auto"/>
        </w:rPr>
        <w:t>(b) EETCs</w:t>
      </w:r>
    </w:p>
    <w:p>
      <w:pPr>
        <w:spacing w:after="0" w:line="94" w:lineRule="exact"/>
        <w:rPr>
          <w:sz w:val="20"/>
          <w:szCs w:val="20"/>
          <w:color w:val="auto"/>
        </w:rPr>
      </w:pPr>
    </w:p>
    <w:p>
      <w:pPr>
        <w:ind w:left="220"/>
        <w:spacing w:after="0"/>
        <w:rPr>
          <w:sz w:val="20"/>
          <w:szCs w:val="20"/>
          <w:color w:val="auto"/>
        </w:rPr>
      </w:pPr>
      <w:r>
        <w:rPr>
          <w:rFonts w:ascii="Arial" w:cs="Arial" w:eastAsia="Arial" w:hAnsi="Arial"/>
          <w:sz w:val="18"/>
          <w:szCs w:val="18"/>
          <w:i w:val="1"/>
          <w:iCs w:val="1"/>
          <w:u w:val="single" w:color="auto"/>
          <w:color w:val="auto"/>
        </w:rPr>
        <w:t>2019-1 Aircraft EETCs</w:t>
      </w:r>
    </w:p>
    <w:p>
      <w:pPr>
        <w:spacing w:after="0" w:line="108" w:lineRule="exact"/>
        <w:rPr>
          <w:sz w:val="20"/>
          <w:szCs w:val="20"/>
          <w:color w:val="auto"/>
        </w:rPr>
      </w:pPr>
    </w:p>
    <w:p>
      <w:pPr>
        <w:jc w:val="both"/>
        <w:ind w:firstLine="243"/>
        <w:spacing w:after="0" w:line="251" w:lineRule="auto"/>
        <w:rPr>
          <w:sz w:val="20"/>
          <w:szCs w:val="20"/>
          <w:color w:val="auto"/>
        </w:rPr>
      </w:pPr>
      <w:r>
        <w:rPr>
          <w:rFonts w:ascii="Arial" w:cs="Arial" w:eastAsia="Arial" w:hAnsi="Arial"/>
          <w:sz w:val="18"/>
          <w:szCs w:val="18"/>
          <w:color w:val="auto"/>
        </w:rPr>
        <w:t>In August 2019, American created three pass-through trusts which issued approximately $1.1 billion aggregate face amount of Series 2019-1 Class AA, Class A and Class B EETCs (the 2019-1 Aircraft EETCs) in connection with the financing of 35 aircraft previously delivered or to be delivered to American through September 2020 (the 2019-1 Aircraft). As of December 31, 2019, approximately $804 million of the proceeds had been used to purchase equipment notes issued by American in connection with financing 28 aircraft under the 2019-1 Aircraft EETCs, of which $ 608 million was used to repay existing indebtedness. Interest and principal payments on equipment notes issued in connection with the 2019-1 Aircraft EETCs are payable semi-annually in February and August of each year, with interest payments scheduled to begin in February 2020 and with principal payments scheduled to begin (i) in the case of equipment notes with respect to any 2019-1 Aircraft owned by American at the time of issuance of the 2019-1 Aircraft EETCs, in February 2020 and (ii) in the case of equipment notes with respect to the Embraer E175 aircraft and the Airbus A321neo aircraft scheduled to be delivered after the issuance of the 2019-1 Aircraft EETCs, in August 2020 and August 2021, respectively. The remaining proceeds of approximately $293 million as of December 31, 2019 were being held in escrow with a depositary for the benefit of the holders of the 2019-1 Aircraft EETCs until such time as American issues additional equipment notes with respect to the remaining 2019-1 Aircraft to the pass-through trusts, which will purchase such additional equipment notes with the escrowed funds. These escrowed funds are not guaranteed by American and are not reported as debt on its condensed consolidated balance sheet because the proceeds held by the depositary for the benefit of the holders of the 2019-1 Aircraft EETCs are not American’s assets.</w:t>
      </w:r>
    </w:p>
    <w:p>
      <w:pPr>
        <w:spacing w:after="0" w:line="21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133</w:t>
      </w:r>
    </w:p>
    <w:p>
      <w:pPr>
        <w:sectPr>
          <w:pgSz w:w="11900" w:h="16838" w:orient="portrait"/>
          <w:cols w:equalWidth="0" w:num="1">
            <w:col w:w="11420"/>
          </w:cols>
          <w:pgMar w:left="240" w:top="549" w:right="239" w:bottom="1440" w:gutter="0" w:footer="0" w:header="0"/>
        </w:sectPr>
      </w:pPr>
    </w:p>
    <w:bookmarkStart w:id="133" w:name="page134"/>
    <w:bookmarkEnd w:id="133"/>
    <w:p>
      <w:pPr>
        <w:jc w:val="center"/>
        <w:spacing w:after="0"/>
        <w:rPr>
          <w:sz w:val="20"/>
          <w:szCs w:val="20"/>
          <w:color w:val="auto"/>
        </w:rPr>
      </w:pPr>
      <w:r>
        <w:rPr>
          <w:rFonts w:ascii="Arial" w:cs="Arial" w:eastAsia="Arial" w:hAnsi="Arial"/>
          <w:sz w:val="18"/>
          <w:szCs w:val="18"/>
          <w:b w:val="1"/>
          <w:bCs w:val="1"/>
          <w:color w:val="auto"/>
        </w:rPr>
        <w:t>NOTES TO CONSOLIDATED FINANCIAL STATEMENTS OF AMERICAN AIRLINES, INC.</w:t>
      </w:r>
    </w:p>
    <w:p>
      <w:pPr>
        <w:spacing w:after="0" w:line="200" w:lineRule="exact"/>
        <w:rPr>
          <w:sz w:val="20"/>
          <w:szCs w:val="20"/>
          <w:color w:val="auto"/>
        </w:rPr>
      </w:pPr>
    </w:p>
    <w:p>
      <w:pPr>
        <w:spacing w:after="0" w:line="209" w:lineRule="exact"/>
        <w:rPr>
          <w:sz w:val="20"/>
          <w:szCs w:val="20"/>
          <w:color w:val="auto"/>
        </w:rPr>
      </w:pPr>
    </w:p>
    <w:p>
      <w:pPr>
        <w:jc w:val="both"/>
        <w:ind w:firstLine="216"/>
        <w:spacing w:after="0" w:line="262" w:lineRule="auto"/>
        <w:rPr>
          <w:sz w:val="20"/>
          <w:szCs w:val="20"/>
          <w:color w:val="auto"/>
        </w:rPr>
      </w:pPr>
      <w:r>
        <w:rPr>
          <w:rFonts w:ascii="Arial" w:cs="Arial" w:eastAsia="Arial" w:hAnsi="Arial"/>
          <w:sz w:val="18"/>
          <w:szCs w:val="18"/>
          <w:color w:val="auto"/>
        </w:rPr>
        <w:t>Certain information regarding the 2019-1 Aircraft EETC equipment notes and remaining escrowed proceeds, as of December 31, 2019, is set forth in the table below.</w:t>
      </w:r>
    </w:p>
    <w:p>
      <w:pPr>
        <w:spacing w:after="0" w:line="292" w:lineRule="exact"/>
        <w:rPr>
          <w:sz w:val="20"/>
          <w:szCs w:val="20"/>
          <w:color w:val="auto"/>
        </w:rPr>
      </w:pPr>
    </w:p>
    <w:tbl>
      <w:tblPr>
        <w:tblLayout w:type="fixed"/>
        <w:tblInd w:w="0" w:type="dxa"/>
        <w:tblCellMar>
          <w:top w:w="0" w:type="dxa"/>
          <w:left w:w="0" w:type="dxa"/>
          <w:bottom w:w="0" w:type="dxa"/>
          <w:right w:w="0" w:type="dxa"/>
        </w:tblCellMar>
      </w:tblPr>
      <w:tr>
        <w:trPr>
          <w:trHeight w:val="196"/>
        </w:trPr>
        <w:tc>
          <w:tcPr>
            <w:tcW w:w="6400" w:type="dxa"/>
            <w:vAlign w:val="bottom"/>
          </w:tcPr>
          <w:p>
            <w:pPr>
              <w:spacing w:after="0"/>
              <w:rPr>
                <w:sz w:val="17"/>
                <w:szCs w:val="17"/>
                <w:color w:val="auto"/>
              </w:rPr>
            </w:pPr>
          </w:p>
        </w:tc>
        <w:tc>
          <w:tcPr>
            <w:tcW w:w="1620" w:type="dxa"/>
            <w:vAlign w:val="bottom"/>
            <w:tcBorders>
              <w:bottom w:val="single" w:sz="8" w:color="auto"/>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1700" w:type="dxa"/>
            <w:vAlign w:val="bottom"/>
            <w:tcBorders>
              <w:bottom w:val="single" w:sz="8" w:color="auto"/>
            </w:tcBorders>
            <w:gridSpan w:val="2"/>
          </w:tcPr>
          <w:p>
            <w:pPr>
              <w:jc w:val="center"/>
              <w:ind w:right="120"/>
              <w:spacing w:after="0"/>
              <w:rPr>
                <w:sz w:val="20"/>
                <w:szCs w:val="20"/>
                <w:color w:val="auto"/>
              </w:rPr>
            </w:pPr>
            <w:r>
              <w:rPr>
                <w:rFonts w:ascii="Arial" w:cs="Arial" w:eastAsia="Arial" w:hAnsi="Arial"/>
                <w:sz w:val="14"/>
                <w:szCs w:val="14"/>
                <w:b w:val="1"/>
                <w:bCs w:val="1"/>
                <w:color w:val="auto"/>
              </w:rPr>
              <w:t>2019-1 Aircraft EETCs</w:t>
            </w:r>
          </w:p>
        </w:tc>
        <w:tc>
          <w:tcPr>
            <w:tcW w:w="1600" w:type="dxa"/>
            <w:vAlign w:val="bottom"/>
            <w:tcBorders>
              <w:bottom w:val="single" w:sz="8" w:color="auto"/>
            </w:tcBorders>
          </w:tcPr>
          <w:p>
            <w:pPr>
              <w:spacing w:after="0"/>
              <w:rPr>
                <w:sz w:val="17"/>
                <w:szCs w:val="17"/>
                <w:color w:val="auto"/>
              </w:rPr>
            </w:pPr>
          </w:p>
        </w:tc>
      </w:tr>
      <w:tr>
        <w:trPr>
          <w:trHeight w:val="264"/>
        </w:trPr>
        <w:tc>
          <w:tcPr>
            <w:tcW w:w="6400" w:type="dxa"/>
            <w:vAlign w:val="bottom"/>
            <w:tcBorders>
              <w:bottom w:val="single" w:sz="8" w:color="CCEEFF"/>
            </w:tcBorders>
          </w:tcPr>
          <w:p>
            <w:pPr>
              <w:spacing w:after="0"/>
              <w:rPr>
                <w:sz w:val="22"/>
                <w:szCs w:val="22"/>
                <w:color w:val="auto"/>
              </w:rPr>
            </w:pPr>
          </w:p>
        </w:tc>
        <w:tc>
          <w:tcPr>
            <w:tcW w:w="162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rPr>
              <w:t>Series AA</w:t>
            </w:r>
          </w:p>
        </w:tc>
        <w:tc>
          <w:tcPr>
            <w:tcW w:w="100" w:type="dxa"/>
            <w:vAlign w:val="bottom"/>
            <w:tcBorders>
              <w:bottom w:val="single" w:sz="8" w:color="CCEEFF"/>
            </w:tcBorders>
          </w:tcPr>
          <w:p>
            <w:pPr>
              <w:spacing w:after="0"/>
              <w:rPr>
                <w:sz w:val="22"/>
                <w:szCs w:val="22"/>
                <w:color w:val="auto"/>
              </w:rPr>
            </w:pPr>
          </w:p>
        </w:tc>
        <w:tc>
          <w:tcPr>
            <w:tcW w:w="160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9"/>
              </w:rPr>
              <w:t>Series A</w:t>
            </w:r>
          </w:p>
        </w:tc>
        <w:tc>
          <w:tcPr>
            <w:tcW w:w="100" w:type="dxa"/>
            <w:vAlign w:val="bottom"/>
            <w:tcBorders>
              <w:bottom w:val="single" w:sz="8" w:color="CCEEFF"/>
            </w:tcBorders>
          </w:tcPr>
          <w:p>
            <w:pPr>
              <w:spacing w:after="0"/>
              <w:rPr>
                <w:sz w:val="22"/>
                <w:szCs w:val="22"/>
                <w:color w:val="auto"/>
              </w:rPr>
            </w:pPr>
          </w:p>
        </w:tc>
        <w:tc>
          <w:tcPr>
            <w:tcW w:w="160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rPr>
              <w:t>Series B</w:t>
            </w:r>
          </w:p>
        </w:tc>
      </w:tr>
      <w:tr>
        <w:trPr>
          <w:trHeight w:val="256"/>
        </w:trPr>
        <w:tc>
          <w:tcPr>
            <w:tcW w:w="6400" w:type="dxa"/>
            <w:vAlign w:val="bottom"/>
            <w:shd w:val="clear" w:color="auto" w:fill="CCEEFF"/>
          </w:tcPr>
          <w:p>
            <w:pPr>
              <w:ind w:left="40"/>
              <w:spacing w:after="0"/>
              <w:rPr>
                <w:sz w:val="20"/>
                <w:szCs w:val="20"/>
                <w:color w:val="auto"/>
              </w:rPr>
            </w:pPr>
            <w:r>
              <w:rPr>
                <w:rFonts w:ascii="Arial" w:cs="Arial" w:eastAsia="Arial" w:hAnsi="Arial"/>
                <w:sz w:val="18"/>
                <w:szCs w:val="18"/>
                <w:color w:val="auto"/>
              </w:rPr>
              <w:t>Aggregate principal issued</w:t>
            </w:r>
          </w:p>
        </w:tc>
        <w:tc>
          <w:tcPr>
            <w:tcW w:w="1720" w:type="dxa"/>
            <w:vAlign w:val="bottom"/>
            <w:gridSpan w:val="2"/>
            <w:shd w:val="clear" w:color="auto" w:fill="CCEEFF"/>
          </w:tcPr>
          <w:p>
            <w:pPr>
              <w:jc w:val="center"/>
              <w:ind w:right="80"/>
              <w:spacing w:after="0"/>
              <w:rPr>
                <w:sz w:val="20"/>
                <w:szCs w:val="20"/>
                <w:color w:val="auto"/>
              </w:rPr>
            </w:pPr>
            <w:r>
              <w:rPr>
                <w:rFonts w:ascii="Arial" w:cs="Arial" w:eastAsia="Arial" w:hAnsi="Arial"/>
                <w:sz w:val="18"/>
                <w:szCs w:val="18"/>
                <w:color w:val="auto"/>
                <w:w w:val="99"/>
              </w:rPr>
              <w:t>$579 million</w:t>
            </w:r>
          </w:p>
        </w:tc>
        <w:tc>
          <w:tcPr>
            <w:tcW w:w="1700" w:type="dxa"/>
            <w:vAlign w:val="bottom"/>
            <w:gridSpan w:val="2"/>
            <w:shd w:val="clear" w:color="auto" w:fill="CCEEFF"/>
          </w:tcPr>
          <w:p>
            <w:pPr>
              <w:jc w:val="center"/>
              <w:ind w:right="100"/>
              <w:spacing w:after="0"/>
              <w:rPr>
                <w:sz w:val="20"/>
                <w:szCs w:val="20"/>
                <w:color w:val="auto"/>
              </w:rPr>
            </w:pPr>
            <w:r>
              <w:rPr>
                <w:rFonts w:ascii="Arial" w:cs="Arial" w:eastAsia="Arial" w:hAnsi="Arial"/>
                <w:sz w:val="18"/>
                <w:szCs w:val="18"/>
                <w:color w:val="auto"/>
                <w:w w:val="99"/>
              </w:rPr>
              <w:t>$289 million</w:t>
            </w:r>
          </w:p>
        </w:tc>
        <w:tc>
          <w:tcPr>
            <w:tcW w:w="160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9"/>
              </w:rPr>
              <w:t>$229 million</w:t>
            </w:r>
          </w:p>
        </w:tc>
      </w:tr>
      <w:tr>
        <w:trPr>
          <w:trHeight w:val="243"/>
        </w:trPr>
        <w:tc>
          <w:tcPr>
            <w:tcW w:w="6400" w:type="dxa"/>
            <w:vAlign w:val="bottom"/>
          </w:tcPr>
          <w:p>
            <w:pPr>
              <w:ind w:left="40"/>
              <w:spacing w:after="0"/>
              <w:rPr>
                <w:sz w:val="20"/>
                <w:szCs w:val="20"/>
                <w:color w:val="auto"/>
              </w:rPr>
            </w:pPr>
            <w:r>
              <w:rPr>
                <w:rFonts w:ascii="Arial" w:cs="Arial" w:eastAsia="Arial" w:hAnsi="Arial"/>
                <w:sz w:val="18"/>
                <w:szCs w:val="18"/>
                <w:color w:val="auto"/>
              </w:rPr>
              <w:t>Remaining escrowed proceeds</w:t>
            </w:r>
          </w:p>
        </w:tc>
        <w:tc>
          <w:tcPr>
            <w:tcW w:w="1720" w:type="dxa"/>
            <w:vAlign w:val="bottom"/>
            <w:gridSpan w:val="2"/>
          </w:tcPr>
          <w:p>
            <w:pPr>
              <w:jc w:val="center"/>
              <w:ind w:right="80"/>
              <w:spacing w:after="0"/>
              <w:rPr>
                <w:sz w:val="20"/>
                <w:szCs w:val="20"/>
                <w:color w:val="auto"/>
              </w:rPr>
            </w:pPr>
            <w:r>
              <w:rPr>
                <w:rFonts w:ascii="Arial" w:cs="Arial" w:eastAsia="Arial" w:hAnsi="Arial"/>
                <w:sz w:val="18"/>
                <w:szCs w:val="18"/>
                <w:color w:val="auto"/>
                <w:w w:val="99"/>
              </w:rPr>
              <w:t>$155 million</w:t>
            </w:r>
          </w:p>
        </w:tc>
        <w:tc>
          <w:tcPr>
            <w:tcW w:w="1700" w:type="dxa"/>
            <w:vAlign w:val="bottom"/>
            <w:gridSpan w:val="2"/>
          </w:tcPr>
          <w:p>
            <w:pPr>
              <w:jc w:val="center"/>
              <w:ind w:right="80"/>
              <w:spacing w:after="0"/>
              <w:rPr>
                <w:sz w:val="20"/>
                <w:szCs w:val="20"/>
                <w:color w:val="auto"/>
              </w:rPr>
            </w:pPr>
            <w:r>
              <w:rPr>
                <w:rFonts w:ascii="Arial" w:cs="Arial" w:eastAsia="Arial" w:hAnsi="Arial"/>
                <w:sz w:val="18"/>
                <w:szCs w:val="18"/>
                <w:color w:val="auto"/>
                <w:w w:val="99"/>
              </w:rPr>
              <w:t>$77 million</w:t>
            </w:r>
          </w:p>
        </w:tc>
        <w:tc>
          <w:tcPr>
            <w:tcW w:w="1600" w:type="dxa"/>
            <w:vAlign w:val="bottom"/>
          </w:tcPr>
          <w:p>
            <w:pPr>
              <w:jc w:val="center"/>
              <w:spacing w:after="0"/>
              <w:rPr>
                <w:sz w:val="20"/>
                <w:szCs w:val="20"/>
                <w:color w:val="auto"/>
              </w:rPr>
            </w:pPr>
            <w:r>
              <w:rPr>
                <w:rFonts w:ascii="Arial" w:cs="Arial" w:eastAsia="Arial" w:hAnsi="Arial"/>
                <w:sz w:val="18"/>
                <w:szCs w:val="18"/>
                <w:color w:val="auto"/>
                <w:w w:val="99"/>
              </w:rPr>
              <w:t>$61 million</w:t>
            </w:r>
          </w:p>
        </w:tc>
      </w:tr>
      <w:tr>
        <w:trPr>
          <w:trHeight w:val="27"/>
        </w:trPr>
        <w:tc>
          <w:tcPr>
            <w:tcW w:w="6400" w:type="dxa"/>
            <w:vAlign w:val="bottom"/>
          </w:tcPr>
          <w:p>
            <w:pPr>
              <w:spacing w:after="0"/>
              <w:rPr>
                <w:sz w:val="2"/>
                <w:szCs w:val="2"/>
                <w:color w:val="auto"/>
              </w:rPr>
            </w:pPr>
          </w:p>
        </w:tc>
        <w:tc>
          <w:tcPr>
            <w:tcW w:w="16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0" w:type="dxa"/>
            <w:vAlign w:val="bottom"/>
          </w:tcPr>
          <w:p>
            <w:pPr>
              <w:spacing w:after="0"/>
              <w:rPr>
                <w:sz w:val="2"/>
                <w:szCs w:val="2"/>
                <w:color w:val="auto"/>
              </w:rPr>
            </w:pPr>
          </w:p>
        </w:tc>
      </w:tr>
      <w:tr>
        <w:trPr>
          <w:trHeight w:val="250"/>
        </w:trPr>
        <w:tc>
          <w:tcPr>
            <w:tcW w:w="64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Fixed interest rate per annum</w:t>
            </w:r>
          </w:p>
        </w:tc>
        <w:tc>
          <w:tcPr>
            <w:tcW w:w="162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97"/>
              </w:rPr>
              <w:t>3.15%</w:t>
            </w:r>
          </w:p>
        </w:tc>
        <w:tc>
          <w:tcPr>
            <w:tcW w:w="100" w:type="dxa"/>
            <w:vAlign w:val="bottom"/>
            <w:tcBorders>
              <w:bottom w:val="single" w:sz="8" w:color="CCEEFF"/>
            </w:tcBorders>
            <w:shd w:val="clear" w:color="auto" w:fill="CCEEFF"/>
          </w:tcPr>
          <w:p>
            <w:pPr>
              <w:spacing w:after="0"/>
              <w:rPr>
                <w:sz w:val="21"/>
                <w:szCs w:val="21"/>
                <w:color w:val="auto"/>
              </w:rPr>
            </w:pPr>
          </w:p>
        </w:tc>
        <w:tc>
          <w:tcPr>
            <w:tcW w:w="160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rPr>
              <w:t>3.50%</w:t>
            </w:r>
          </w:p>
        </w:tc>
        <w:tc>
          <w:tcPr>
            <w:tcW w:w="100" w:type="dxa"/>
            <w:vAlign w:val="bottom"/>
            <w:tcBorders>
              <w:bottom w:val="single" w:sz="8" w:color="CCEEFF"/>
            </w:tcBorders>
            <w:shd w:val="clear" w:color="auto" w:fill="CCEEFF"/>
          </w:tcPr>
          <w:p>
            <w:pPr>
              <w:spacing w:after="0"/>
              <w:rPr>
                <w:sz w:val="21"/>
                <w:szCs w:val="21"/>
                <w:color w:val="auto"/>
              </w:rPr>
            </w:pPr>
          </w:p>
        </w:tc>
        <w:tc>
          <w:tcPr>
            <w:tcW w:w="160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rPr>
              <w:t>3.85%</w:t>
            </w:r>
          </w:p>
        </w:tc>
      </w:tr>
      <w:tr>
        <w:trPr>
          <w:trHeight w:val="243"/>
        </w:trPr>
        <w:tc>
          <w:tcPr>
            <w:tcW w:w="6400" w:type="dxa"/>
            <w:vAlign w:val="bottom"/>
          </w:tcPr>
          <w:p>
            <w:pPr>
              <w:ind w:left="40"/>
              <w:spacing w:after="0"/>
              <w:rPr>
                <w:sz w:val="20"/>
                <w:szCs w:val="20"/>
                <w:color w:val="auto"/>
              </w:rPr>
            </w:pPr>
            <w:r>
              <w:rPr>
                <w:rFonts w:ascii="Arial" w:cs="Arial" w:eastAsia="Arial" w:hAnsi="Arial"/>
                <w:sz w:val="18"/>
                <w:szCs w:val="18"/>
                <w:color w:val="auto"/>
              </w:rPr>
              <w:t>Maturity date</w:t>
            </w:r>
          </w:p>
        </w:tc>
        <w:tc>
          <w:tcPr>
            <w:tcW w:w="1720" w:type="dxa"/>
            <w:vAlign w:val="bottom"/>
            <w:gridSpan w:val="2"/>
          </w:tcPr>
          <w:p>
            <w:pPr>
              <w:jc w:val="center"/>
              <w:ind w:right="100"/>
              <w:spacing w:after="0"/>
              <w:rPr>
                <w:sz w:val="20"/>
                <w:szCs w:val="20"/>
                <w:color w:val="auto"/>
              </w:rPr>
            </w:pPr>
            <w:r>
              <w:rPr>
                <w:rFonts w:ascii="Arial" w:cs="Arial" w:eastAsia="Arial" w:hAnsi="Arial"/>
                <w:sz w:val="18"/>
                <w:szCs w:val="18"/>
                <w:color w:val="auto"/>
              </w:rPr>
              <w:t>February 2032</w:t>
            </w:r>
          </w:p>
        </w:tc>
        <w:tc>
          <w:tcPr>
            <w:tcW w:w="1700" w:type="dxa"/>
            <w:vAlign w:val="bottom"/>
            <w:gridSpan w:val="2"/>
          </w:tcPr>
          <w:p>
            <w:pPr>
              <w:jc w:val="center"/>
              <w:ind w:right="100"/>
              <w:spacing w:after="0"/>
              <w:rPr>
                <w:sz w:val="20"/>
                <w:szCs w:val="20"/>
                <w:color w:val="auto"/>
              </w:rPr>
            </w:pPr>
            <w:r>
              <w:rPr>
                <w:rFonts w:ascii="Arial" w:cs="Arial" w:eastAsia="Arial" w:hAnsi="Arial"/>
                <w:sz w:val="18"/>
                <w:szCs w:val="18"/>
                <w:color w:val="auto"/>
                <w:w w:val="99"/>
              </w:rPr>
              <w:t>February 2032</w:t>
            </w:r>
          </w:p>
        </w:tc>
        <w:tc>
          <w:tcPr>
            <w:tcW w:w="1600" w:type="dxa"/>
            <w:vAlign w:val="bottom"/>
          </w:tcPr>
          <w:p>
            <w:pPr>
              <w:jc w:val="center"/>
              <w:spacing w:after="0"/>
              <w:rPr>
                <w:sz w:val="20"/>
                <w:szCs w:val="20"/>
                <w:color w:val="auto"/>
              </w:rPr>
            </w:pPr>
            <w:r>
              <w:rPr>
                <w:rFonts w:ascii="Arial" w:cs="Arial" w:eastAsia="Arial" w:hAnsi="Arial"/>
                <w:sz w:val="18"/>
                <w:szCs w:val="18"/>
                <w:color w:val="auto"/>
                <w:w w:val="99"/>
              </w:rPr>
              <w:t>February 2028</w:t>
            </w:r>
          </w:p>
        </w:tc>
      </w:tr>
    </w:tbl>
    <w:p>
      <w:pPr>
        <w:spacing w:after="0" w:line="200" w:lineRule="exact"/>
        <w:rPr>
          <w:sz w:val="20"/>
          <w:szCs w:val="20"/>
          <w:color w:val="auto"/>
        </w:rPr>
      </w:pPr>
    </w:p>
    <w:p>
      <w:pPr>
        <w:spacing w:after="0" w:line="267" w:lineRule="exact"/>
        <w:rPr>
          <w:sz w:val="20"/>
          <w:szCs w:val="20"/>
          <w:color w:val="auto"/>
        </w:rPr>
      </w:pPr>
    </w:p>
    <w:p>
      <w:pPr>
        <w:ind w:left="240"/>
        <w:spacing w:after="0"/>
        <w:rPr>
          <w:sz w:val="20"/>
          <w:szCs w:val="20"/>
          <w:color w:val="auto"/>
        </w:rPr>
      </w:pPr>
      <w:r>
        <w:rPr>
          <w:rFonts w:ascii="Arial" w:cs="Arial" w:eastAsia="Arial" w:hAnsi="Arial"/>
          <w:sz w:val="18"/>
          <w:szCs w:val="18"/>
          <w:i w:val="1"/>
          <w:iCs w:val="1"/>
          <w:u w:val="single" w:color="auto"/>
          <w:color w:val="auto"/>
        </w:rPr>
        <w:t>2019-1 Engine EETCs</w:t>
      </w:r>
    </w:p>
    <w:p>
      <w:pPr>
        <w:spacing w:after="0" w:line="108" w:lineRule="exact"/>
        <w:rPr>
          <w:sz w:val="20"/>
          <w:szCs w:val="20"/>
          <w:color w:val="auto"/>
        </w:rPr>
      </w:pPr>
    </w:p>
    <w:p>
      <w:pPr>
        <w:jc w:val="both"/>
        <w:ind w:firstLine="230"/>
        <w:spacing w:after="0" w:line="253" w:lineRule="auto"/>
        <w:rPr>
          <w:sz w:val="20"/>
          <w:szCs w:val="20"/>
          <w:color w:val="auto"/>
        </w:rPr>
      </w:pPr>
      <w:r>
        <w:rPr>
          <w:rFonts w:ascii="Arial" w:cs="Arial" w:eastAsia="Arial" w:hAnsi="Arial"/>
          <w:sz w:val="18"/>
          <w:szCs w:val="18"/>
          <w:color w:val="auto"/>
        </w:rPr>
        <w:t>In June 2019, American created pass-through trusts which issued $650 million in aggregate face amount of 2019-1 Engine EETCs (the 2019-1 Engine EETCs), with maturities from June 2022 to June 2026. All of the proceeds received by such pass-through trusts from the sale of the 2019-1 Engine EETCs have been used to acquire equipment notes issued by American to the pass-through trusts. The pass-through trust certificates represent the right to payment under the equipment notes that are full-recourse obligations of American and such equipment notes are secured by spare aircraft engines currently owned and operated by American.</w:t>
      </w:r>
    </w:p>
    <w:p>
      <w:pPr>
        <w:spacing w:after="0" w:line="211" w:lineRule="exact"/>
        <w:rPr>
          <w:sz w:val="20"/>
          <w:szCs w:val="20"/>
          <w:color w:val="auto"/>
        </w:rPr>
      </w:pPr>
    </w:p>
    <w:p>
      <w:pPr>
        <w:ind w:left="220"/>
        <w:spacing w:after="0"/>
        <w:rPr>
          <w:sz w:val="20"/>
          <w:szCs w:val="20"/>
          <w:color w:val="auto"/>
        </w:rPr>
      </w:pPr>
      <w:r>
        <w:rPr>
          <w:rFonts w:ascii="Arial" w:cs="Arial" w:eastAsia="Arial" w:hAnsi="Arial"/>
          <w:sz w:val="18"/>
          <w:szCs w:val="18"/>
          <w:b w:val="1"/>
          <w:bCs w:val="1"/>
          <w:i w:val="1"/>
          <w:iCs w:val="1"/>
          <w:color w:val="auto"/>
        </w:rPr>
        <w:t>(c) Equipment Loans and Other Notes Payable Issued in 2019</w:t>
      </w:r>
    </w:p>
    <w:p>
      <w:pPr>
        <w:spacing w:after="0" w:line="112" w:lineRule="exact"/>
        <w:rPr>
          <w:sz w:val="20"/>
          <w:szCs w:val="20"/>
          <w:color w:val="auto"/>
        </w:rPr>
      </w:pPr>
    </w:p>
    <w:p>
      <w:pPr>
        <w:jc w:val="both"/>
        <w:ind w:firstLine="216"/>
        <w:spacing w:after="0" w:line="254" w:lineRule="auto"/>
        <w:rPr>
          <w:sz w:val="20"/>
          <w:szCs w:val="20"/>
          <w:color w:val="auto"/>
        </w:rPr>
      </w:pPr>
      <w:r>
        <w:rPr>
          <w:rFonts w:ascii="Arial" w:cs="Arial" w:eastAsia="Arial" w:hAnsi="Arial"/>
          <w:sz w:val="18"/>
          <w:szCs w:val="18"/>
          <w:color w:val="auto"/>
        </w:rPr>
        <w:t>In 2019, American entered into agreements under which it borrowed $1.7 billion in connection with the financing or refinancing, as the case may be, of certain aircraft and other flight equipment, of which $643 million was used to repay existing indebtedness. Debt incurred under these agreements matures in 2023 through 2031 and bears interest at variable rates (comprised of LIBOR plus an applicable margin) averaging 3.37% at December 31, 2019.</w:t>
      </w:r>
    </w:p>
    <w:p>
      <w:pPr>
        <w:spacing w:after="0" w:line="209" w:lineRule="exact"/>
        <w:rPr>
          <w:sz w:val="20"/>
          <w:szCs w:val="20"/>
          <w:color w:val="auto"/>
        </w:rPr>
      </w:pPr>
    </w:p>
    <w:p>
      <w:pPr>
        <w:ind w:left="220"/>
        <w:spacing w:after="0"/>
        <w:rPr>
          <w:sz w:val="20"/>
          <w:szCs w:val="20"/>
          <w:color w:val="auto"/>
        </w:rPr>
      </w:pPr>
      <w:r>
        <w:rPr>
          <w:rFonts w:ascii="Arial" w:cs="Arial" w:eastAsia="Arial" w:hAnsi="Arial"/>
          <w:sz w:val="18"/>
          <w:szCs w:val="18"/>
          <w:b w:val="1"/>
          <w:bCs w:val="1"/>
          <w:i w:val="1"/>
          <w:iCs w:val="1"/>
          <w:color w:val="auto"/>
        </w:rPr>
        <w:t>Guarantees</w:t>
      </w:r>
    </w:p>
    <w:p>
      <w:pPr>
        <w:spacing w:after="0" w:line="112" w:lineRule="exact"/>
        <w:rPr>
          <w:sz w:val="20"/>
          <w:szCs w:val="20"/>
          <w:color w:val="auto"/>
        </w:rPr>
      </w:pPr>
    </w:p>
    <w:p>
      <w:pPr>
        <w:jc w:val="both"/>
        <w:ind w:firstLine="216"/>
        <w:spacing w:after="0" w:line="262" w:lineRule="auto"/>
        <w:rPr>
          <w:sz w:val="20"/>
          <w:szCs w:val="20"/>
          <w:color w:val="auto"/>
        </w:rPr>
      </w:pPr>
      <w:r>
        <w:rPr>
          <w:rFonts w:ascii="Arial" w:cs="Arial" w:eastAsia="Arial" w:hAnsi="Arial"/>
          <w:sz w:val="18"/>
          <w:szCs w:val="18"/>
          <w:color w:val="auto"/>
        </w:rPr>
        <w:t>As of December 31, 2019, American had issued guarantees covering AAG’s $500 million aggregate principal amount of 4.625% senior notes due March 2020 and $750 million aggregate principal amount of 5.000% senior notes due June 2022.</w:t>
      </w:r>
    </w:p>
    <w:p>
      <w:pPr>
        <w:spacing w:after="0" w:line="201" w:lineRule="exact"/>
        <w:rPr>
          <w:sz w:val="20"/>
          <w:szCs w:val="20"/>
          <w:color w:val="auto"/>
        </w:rPr>
      </w:pPr>
    </w:p>
    <w:p>
      <w:pPr>
        <w:ind w:left="220"/>
        <w:spacing w:after="0"/>
        <w:rPr>
          <w:sz w:val="20"/>
          <w:szCs w:val="20"/>
          <w:color w:val="auto"/>
        </w:rPr>
      </w:pPr>
      <w:r>
        <w:rPr>
          <w:rFonts w:ascii="Arial" w:cs="Arial" w:eastAsia="Arial" w:hAnsi="Arial"/>
          <w:sz w:val="18"/>
          <w:szCs w:val="18"/>
          <w:b w:val="1"/>
          <w:bCs w:val="1"/>
          <w:i w:val="1"/>
          <w:iCs w:val="1"/>
          <w:color w:val="auto"/>
        </w:rPr>
        <w:t>Collateral-Related Covenants</w:t>
      </w:r>
    </w:p>
    <w:p>
      <w:pPr>
        <w:spacing w:after="0" w:line="112" w:lineRule="exact"/>
        <w:rPr>
          <w:sz w:val="20"/>
          <w:szCs w:val="20"/>
          <w:color w:val="auto"/>
        </w:rPr>
      </w:pPr>
    </w:p>
    <w:p>
      <w:pPr>
        <w:jc w:val="both"/>
        <w:ind w:firstLine="216"/>
        <w:spacing w:after="0" w:line="253" w:lineRule="auto"/>
        <w:rPr>
          <w:sz w:val="20"/>
          <w:szCs w:val="20"/>
          <w:color w:val="auto"/>
        </w:rPr>
      </w:pPr>
      <w:r>
        <w:rPr>
          <w:rFonts w:ascii="Arial" w:cs="Arial" w:eastAsia="Arial" w:hAnsi="Arial"/>
          <w:sz w:val="18"/>
          <w:szCs w:val="18"/>
          <w:color w:val="auto"/>
        </w:rPr>
        <w:t>Certain of American’s debt financing agreements (including its term loans, revolving credit facilities and spare engine EETCs) contain loan to value (LTV) ratio covenants and require American to appraise the related collateral annually. Pursuant to such agreements, if the LTV ratio exceeds a specified threshold or if the value of the appraised collateral fails to meet a specified threshold, as the case may be, American is required, as applicable, to pledge additional qualifying collateral (which in some cases may include cash or investment securities), or pay down such financing, in whole or in part.</w:t>
      </w:r>
    </w:p>
    <w:p>
      <w:pPr>
        <w:spacing w:after="0" w:line="200" w:lineRule="exact"/>
        <w:rPr>
          <w:sz w:val="20"/>
          <w:szCs w:val="20"/>
          <w:color w:val="auto"/>
        </w:rPr>
      </w:pPr>
    </w:p>
    <w:p>
      <w:pPr>
        <w:spacing w:after="0" w:line="30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134</w:t>
      </w:r>
    </w:p>
    <w:p>
      <w:pPr>
        <w:sectPr>
          <w:pgSz w:w="11900" w:h="16838" w:orient="portrait"/>
          <w:cols w:equalWidth="0" w:num="1">
            <w:col w:w="11420"/>
          </w:cols>
          <w:pgMar w:left="240" w:top="549" w:right="239" w:bottom="1440" w:gutter="0" w:footer="0" w:header="0"/>
        </w:sectPr>
      </w:pPr>
    </w:p>
    <w:bookmarkStart w:id="134" w:name="page135"/>
    <w:bookmarkEnd w:id="134"/>
    <w:p>
      <w:pPr>
        <w:jc w:val="center"/>
        <w:spacing w:after="0"/>
        <w:rPr>
          <w:sz w:val="20"/>
          <w:szCs w:val="20"/>
          <w:color w:val="auto"/>
        </w:rPr>
      </w:pPr>
      <w:r>
        <w:rPr>
          <w:rFonts w:ascii="Arial" w:cs="Arial" w:eastAsia="Arial" w:hAnsi="Arial"/>
          <w:sz w:val="18"/>
          <w:szCs w:val="18"/>
          <w:b w:val="1"/>
          <w:bCs w:val="1"/>
          <w:color w:val="auto"/>
        </w:rPr>
        <w:t>NOTES TO CONSOLIDATED FINANCIAL STATEMENTS OF AMERICAN AIRLINES, INC.</w:t>
      </w:r>
    </w:p>
    <w:p>
      <w:pPr>
        <w:spacing w:after="0" w:line="200" w:lineRule="exact"/>
        <w:rPr>
          <w:sz w:val="20"/>
          <w:szCs w:val="20"/>
          <w:color w:val="auto"/>
        </w:rPr>
      </w:pPr>
    </w:p>
    <w:p>
      <w:pPr>
        <w:spacing w:after="0" w:line="209" w:lineRule="exact"/>
        <w:rPr>
          <w:sz w:val="20"/>
          <w:szCs w:val="20"/>
          <w:color w:val="auto"/>
        </w:rPr>
      </w:pPr>
    </w:p>
    <w:p>
      <w:pPr>
        <w:ind w:left="220"/>
        <w:spacing w:after="0"/>
        <w:rPr>
          <w:sz w:val="20"/>
          <w:szCs w:val="20"/>
          <w:color w:val="auto"/>
        </w:rPr>
      </w:pPr>
      <w:r>
        <w:rPr>
          <w:rFonts w:ascii="Arial" w:cs="Arial" w:eastAsia="Arial" w:hAnsi="Arial"/>
          <w:sz w:val="18"/>
          <w:szCs w:val="18"/>
          <w:color w:val="auto"/>
        </w:rPr>
        <w:t>Specifically, American is required to meet certain collateral coverage tests on an annual basis for its Credit Facilities, as described below:</w:t>
      </w:r>
    </w:p>
    <w:p>
      <w:pPr>
        <w:spacing w:after="0" w:line="321"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2880" w:type="dxa"/>
            <w:vAlign w:val="bottom"/>
          </w:tcPr>
          <w:p>
            <w:pPr>
              <w:spacing w:after="0"/>
              <w:rPr>
                <w:sz w:val="14"/>
                <w:szCs w:val="14"/>
                <w:color w:val="auto"/>
              </w:rPr>
            </w:pPr>
          </w:p>
        </w:tc>
        <w:tc>
          <w:tcPr>
            <w:tcW w:w="20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16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rPr>
              <w:t>April 2016 Credit</w:t>
            </w:r>
          </w:p>
        </w:tc>
        <w:tc>
          <w:tcPr>
            <w:tcW w:w="2060" w:type="dxa"/>
            <w:vAlign w:val="bottom"/>
          </w:tcPr>
          <w:p>
            <w:pPr>
              <w:jc w:val="center"/>
              <w:spacing w:after="0"/>
              <w:rPr>
                <w:sz w:val="20"/>
                <w:szCs w:val="20"/>
                <w:color w:val="auto"/>
              </w:rPr>
            </w:pPr>
            <w:r>
              <w:rPr>
                <w:rFonts w:ascii="Arial" w:cs="Arial" w:eastAsia="Arial" w:hAnsi="Arial"/>
                <w:sz w:val="14"/>
                <w:szCs w:val="14"/>
                <w:b w:val="1"/>
                <w:bCs w:val="1"/>
                <w:color w:val="auto"/>
              </w:rPr>
              <w:t>December 2016</w:t>
            </w:r>
          </w:p>
        </w:tc>
        <w:tc>
          <w:tcPr>
            <w:tcW w:w="0" w:type="dxa"/>
            <w:vAlign w:val="bottom"/>
          </w:tcPr>
          <w:p>
            <w:pPr>
              <w:spacing w:after="0"/>
              <w:rPr>
                <w:sz w:val="1"/>
                <w:szCs w:val="1"/>
                <w:color w:val="auto"/>
              </w:rPr>
            </w:pPr>
          </w:p>
        </w:tc>
      </w:tr>
      <w:tr>
        <w:trPr>
          <w:trHeight w:val="196"/>
        </w:trPr>
        <w:tc>
          <w:tcPr>
            <w:tcW w:w="2880" w:type="dxa"/>
            <w:vAlign w:val="bottom"/>
            <w:tcBorders>
              <w:bottom w:val="single" w:sz="8" w:color="CCEEFF"/>
            </w:tcBorders>
          </w:tcPr>
          <w:p>
            <w:pPr>
              <w:spacing w:after="0"/>
              <w:rPr>
                <w:sz w:val="17"/>
                <w:szCs w:val="17"/>
                <w:color w:val="auto"/>
              </w:rPr>
            </w:pPr>
          </w:p>
        </w:tc>
        <w:tc>
          <w:tcPr>
            <w:tcW w:w="206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rPr>
              <w:t>2013 Credit Facilities</w:t>
            </w:r>
          </w:p>
        </w:tc>
        <w:tc>
          <w:tcPr>
            <w:tcW w:w="100" w:type="dxa"/>
            <w:vAlign w:val="bottom"/>
            <w:tcBorders>
              <w:bottom w:val="single" w:sz="8" w:color="CCEEFF"/>
            </w:tcBorders>
          </w:tcPr>
          <w:p>
            <w:pPr>
              <w:spacing w:after="0"/>
              <w:rPr>
                <w:sz w:val="17"/>
                <w:szCs w:val="17"/>
                <w:color w:val="auto"/>
              </w:rPr>
            </w:pPr>
          </w:p>
        </w:tc>
        <w:tc>
          <w:tcPr>
            <w:tcW w:w="206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rPr>
              <w:t>2014 Credit Facilities</w:t>
            </w:r>
          </w:p>
        </w:tc>
        <w:tc>
          <w:tcPr>
            <w:tcW w:w="100" w:type="dxa"/>
            <w:vAlign w:val="bottom"/>
            <w:tcBorders>
              <w:bottom w:val="single" w:sz="8" w:color="CCEEFF"/>
            </w:tcBorders>
          </w:tcPr>
          <w:p>
            <w:pPr>
              <w:spacing w:after="0"/>
              <w:rPr>
                <w:sz w:val="17"/>
                <w:szCs w:val="17"/>
                <w:color w:val="auto"/>
              </w:rPr>
            </w:pPr>
          </w:p>
        </w:tc>
        <w:tc>
          <w:tcPr>
            <w:tcW w:w="206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rPr>
              <w:t>Facilities</w:t>
            </w:r>
          </w:p>
        </w:tc>
        <w:tc>
          <w:tcPr>
            <w:tcW w:w="100" w:type="dxa"/>
            <w:vAlign w:val="bottom"/>
            <w:tcBorders>
              <w:bottom w:val="single" w:sz="8" w:color="CCEEFF"/>
            </w:tcBorders>
          </w:tcPr>
          <w:p>
            <w:pPr>
              <w:spacing w:after="0"/>
              <w:rPr>
                <w:sz w:val="17"/>
                <w:szCs w:val="17"/>
                <w:color w:val="auto"/>
              </w:rPr>
            </w:pPr>
          </w:p>
        </w:tc>
        <w:tc>
          <w:tcPr>
            <w:tcW w:w="206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rPr>
              <w:t>Credit Facilities</w:t>
            </w:r>
          </w:p>
        </w:tc>
        <w:tc>
          <w:tcPr>
            <w:tcW w:w="0" w:type="dxa"/>
            <w:vAlign w:val="bottom"/>
          </w:tcPr>
          <w:p>
            <w:pPr>
              <w:spacing w:after="0"/>
              <w:rPr>
                <w:sz w:val="1"/>
                <w:szCs w:val="1"/>
                <w:color w:val="auto"/>
              </w:rPr>
            </w:pPr>
          </w:p>
        </w:tc>
      </w:tr>
      <w:tr>
        <w:trPr>
          <w:trHeight w:val="215"/>
        </w:trPr>
        <w:tc>
          <w:tcPr>
            <w:tcW w:w="2880" w:type="dxa"/>
            <w:vAlign w:val="bottom"/>
            <w:shd w:val="clear" w:color="auto" w:fill="CCEEFF"/>
          </w:tcPr>
          <w:p>
            <w:pPr>
              <w:ind w:left="40"/>
              <w:spacing w:after="0"/>
              <w:rPr>
                <w:sz w:val="20"/>
                <w:szCs w:val="20"/>
                <w:color w:val="auto"/>
              </w:rPr>
            </w:pPr>
            <w:r>
              <w:rPr>
                <w:rFonts w:ascii="Arial" w:cs="Arial" w:eastAsia="Arial" w:hAnsi="Arial"/>
                <w:sz w:val="18"/>
                <w:szCs w:val="18"/>
                <w:color w:val="auto"/>
              </w:rPr>
              <w:t>Frequency of Appraisals of</w:t>
            </w:r>
          </w:p>
        </w:tc>
        <w:tc>
          <w:tcPr>
            <w:tcW w:w="2160" w:type="dxa"/>
            <w:vAlign w:val="bottom"/>
            <w:gridSpan w:val="2"/>
            <w:vMerge w:val="restart"/>
            <w:shd w:val="clear" w:color="auto" w:fill="CCEEFF"/>
          </w:tcPr>
          <w:p>
            <w:pPr>
              <w:jc w:val="center"/>
              <w:ind w:right="120"/>
              <w:spacing w:after="0"/>
              <w:rPr>
                <w:sz w:val="20"/>
                <w:szCs w:val="20"/>
                <w:color w:val="auto"/>
              </w:rPr>
            </w:pPr>
            <w:r>
              <w:rPr>
                <w:rFonts w:ascii="Arial" w:cs="Arial" w:eastAsia="Arial" w:hAnsi="Arial"/>
                <w:sz w:val="18"/>
                <w:szCs w:val="18"/>
                <w:color w:val="auto"/>
                <w:w w:val="99"/>
              </w:rPr>
              <w:t>Annual</w:t>
            </w:r>
          </w:p>
        </w:tc>
        <w:tc>
          <w:tcPr>
            <w:tcW w:w="2160" w:type="dxa"/>
            <w:vAlign w:val="bottom"/>
            <w:gridSpan w:val="2"/>
            <w:vMerge w:val="restart"/>
            <w:shd w:val="clear" w:color="auto" w:fill="CCEEFF"/>
          </w:tcPr>
          <w:p>
            <w:pPr>
              <w:jc w:val="center"/>
              <w:ind w:right="80"/>
              <w:spacing w:after="0"/>
              <w:rPr>
                <w:sz w:val="20"/>
                <w:szCs w:val="20"/>
                <w:color w:val="auto"/>
              </w:rPr>
            </w:pPr>
            <w:r>
              <w:rPr>
                <w:rFonts w:ascii="Arial" w:cs="Arial" w:eastAsia="Arial" w:hAnsi="Arial"/>
                <w:sz w:val="18"/>
                <w:szCs w:val="18"/>
                <w:color w:val="auto"/>
                <w:w w:val="99"/>
              </w:rPr>
              <w:t>Annual</w:t>
            </w:r>
          </w:p>
        </w:tc>
        <w:tc>
          <w:tcPr>
            <w:tcW w:w="2160" w:type="dxa"/>
            <w:vAlign w:val="bottom"/>
            <w:gridSpan w:val="2"/>
            <w:vMerge w:val="restart"/>
            <w:shd w:val="clear" w:color="auto" w:fill="CCEEFF"/>
          </w:tcPr>
          <w:p>
            <w:pPr>
              <w:jc w:val="center"/>
              <w:ind w:right="80"/>
              <w:spacing w:after="0"/>
              <w:rPr>
                <w:sz w:val="20"/>
                <w:szCs w:val="20"/>
                <w:color w:val="auto"/>
              </w:rPr>
            </w:pPr>
            <w:r>
              <w:rPr>
                <w:rFonts w:ascii="Arial" w:cs="Arial" w:eastAsia="Arial" w:hAnsi="Arial"/>
                <w:sz w:val="18"/>
                <w:szCs w:val="18"/>
                <w:color w:val="auto"/>
                <w:w w:val="99"/>
              </w:rPr>
              <w:t>Annual</w:t>
            </w:r>
          </w:p>
        </w:tc>
        <w:tc>
          <w:tcPr>
            <w:tcW w:w="2060" w:type="dxa"/>
            <w:vAlign w:val="bottom"/>
            <w:vMerge w:val="restart"/>
            <w:shd w:val="clear" w:color="auto" w:fill="CCEEFF"/>
          </w:tcPr>
          <w:p>
            <w:pPr>
              <w:jc w:val="center"/>
              <w:spacing w:after="0"/>
              <w:rPr>
                <w:sz w:val="20"/>
                <w:szCs w:val="20"/>
                <w:color w:val="auto"/>
              </w:rPr>
            </w:pPr>
            <w:r>
              <w:rPr>
                <w:rFonts w:ascii="Arial" w:cs="Arial" w:eastAsia="Arial" w:hAnsi="Arial"/>
                <w:sz w:val="18"/>
                <w:szCs w:val="18"/>
                <w:color w:val="auto"/>
                <w:w w:val="99"/>
              </w:rPr>
              <w:t>Annual</w:t>
            </w:r>
          </w:p>
        </w:tc>
        <w:tc>
          <w:tcPr>
            <w:tcW w:w="0" w:type="dxa"/>
            <w:vAlign w:val="bottom"/>
          </w:tcPr>
          <w:p>
            <w:pPr>
              <w:spacing w:after="0"/>
              <w:rPr>
                <w:sz w:val="1"/>
                <w:szCs w:val="1"/>
                <w:color w:val="auto"/>
              </w:rPr>
            </w:pPr>
          </w:p>
        </w:tc>
      </w:tr>
      <w:tr>
        <w:trPr>
          <w:trHeight w:val="122"/>
        </w:trPr>
        <w:tc>
          <w:tcPr>
            <w:tcW w:w="2880" w:type="dxa"/>
            <w:vAlign w:val="bottom"/>
            <w:vMerge w:val="restart"/>
            <w:shd w:val="clear" w:color="auto" w:fill="CCEEFF"/>
          </w:tcPr>
          <w:p>
            <w:pPr>
              <w:ind w:left="180"/>
              <w:spacing w:after="0"/>
              <w:rPr>
                <w:sz w:val="20"/>
                <w:szCs w:val="20"/>
                <w:color w:val="auto"/>
              </w:rPr>
            </w:pPr>
            <w:r>
              <w:rPr>
                <w:rFonts w:ascii="Arial" w:cs="Arial" w:eastAsia="Arial" w:hAnsi="Arial"/>
                <w:sz w:val="18"/>
                <w:szCs w:val="18"/>
                <w:color w:val="auto"/>
              </w:rPr>
              <w:t>Appraised Collateral</w:t>
            </w:r>
          </w:p>
        </w:tc>
        <w:tc>
          <w:tcPr>
            <w:tcW w:w="2160" w:type="dxa"/>
            <w:vAlign w:val="bottom"/>
            <w:gridSpan w:val="2"/>
            <w:vMerge w:val="continue"/>
            <w:shd w:val="clear" w:color="auto" w:fill="CCEEFF"/>
          </w:tcPr>
          <w:p>
            <w:pPr>
              <w:spacing w:after="0"/>
              <w:rPr>
                <w:sz w:val="10"/>
                <w:szCs w:val="10"/>
                <w:color w:val="auto"/>
              </w:rPr>
            </w:pPr>
          </w:p>
        </w:tc>
        <w:tc>
          <w:tcPr>
            <w:tcW w:w="2160" w:type="dxa"/>
            <w:vAlign w:val="bottom"/>
            <w:gridSpan w:val="2"/>
            <w:vMerge w:val="continue"/>
            <w:shd w:val="clear" w:color="auto" w:fill="CCEEFF"/>
          </w:tcPr>
          <w:p>
            <w:pPr>
              <w:spacing w:after="0"/>
              <w:rPr>
                <w:sz w:val="10"/>
                <w:szCs w:val="10"/>
                <w:color w:val="auto"/>
              </w:rPr>
            </w:pPr>
          </w:p>
        </w:tc>
        <w:tc>
          <w:tcPr>
            <w:tcW w:w="2160" w:type="dxa"/>
            <w:vAlign w:val="bottom"/>
            <w:gridSpan w:val="2"/>
            <w:vMerge w:val="continue"/>
            <w:shd w:val="clear" w:color="auto" w:fill="CCEEFF"/>
          </w:tcPr>
          <w:p>
            <w:pPr>
              <w:spacing w:after="0"/>
              <w:rPr>
                <w:sz w:val="10"/>
                <w:szCs w:val="10"/>
                <w:color w:val="auto"/>
              </w:rPr>
            </w:pPr>
          </w:p>
        </w:tc>
        <w:tc>
          <w:tcPr>
            <w:tcW w:w="2060" w:type="dxa"/>
            <w:vAlign w:val="bottom"/>
            <w:vMerge w:val="continue"/>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08"/>
        </w:trPr>
        <w:tc>
          <w:tcPr>
            <w:tcW w:w="2880" w:type="dxa"/>
            <w:vAlign w:val="bottom"/>
            <w:vMerge w:val="continue"/>
            <w:shd w:val="clear" w:color="auto" w:fill="CCEEFF"/>
          </w:tcPr>
          <w:p>
            <w:pPr>
              <w:spacing w:after="0"/>
              <w:rPr>
                <w:sz w:val="9"/>
                <w:szCs w:val="9"/>
                <w:color w:val="auto"/>
              </w:rPr>
            </w:pPr>
          </w:p>
        </w:tc>
        <w:tc>
          <w:tcPr>
            <w:tcW w:w="206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206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206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2060" w:type="dxa"/>
            <w:vAlign w:val="bottom"/>
            <w:shd w:val="clear" w:color="auto" w:fill="CCEEFF"/>
          </w:tcPr>
          <w:p>
            <w:pPr>
              <w:spacing w:after="0"/>
              <w:rPr>
                <w:sz w:val="9"/>
                <w:szCs w:val="9"/>
                <w:color w:val="auto"/>
              </w:rPr>
            </w:pPr>
          </w:p>
        </w:tc>
        <w:tc>
          <w:tcPr>
            <w:tcW w:w="0" w:type="dxa"/>
            <w:vAlign w:val="bottom"/>
          </w:tcPr>
          <w:p>
            <w:pPr>
              <w:spacing w:after="0"/>
              <w:rPr>
                <w:sz w:val="1"/>
                <w:szCs w:val="1"/>
                <w:color w:val="auto"/>
              </w:rPr>
            </w:pPr>
          </w:p>
        </w:tc>
      </w:tr>
      <w:tr>
        <w:trPr>
          <w:trHeight w:val="229"/>
        </w:trPr>
        <w:tc>
          <w:tcPr>
            <w:tcW w:w="2880" w:type="dxa"/>
            <w:vAlign w:val="bottom"/>
          </w:tcPr>
          <w:p>
            <w:pPr>
              <w:spacing w:after="0"/>
              <w:rPr>
                <w:sz w:val="19"/>
                <w:szCs w:val="19"/>
                <w:color w:val="auto"/>
              </w:rPr>
            </w:pPr>
          </w:p>
        </w:tc>
        <w:tc>
          <w:tcPr>
            <w:tcW w:w="2160" w:type="dxa"/>
            <w:vAlign w:val="bottom"/>
            <w:gridSpan w:val="2"/>
          </w:tcPr>
          <w:p>
            <w:pPr>
              <w:jc w:val="center"/>
              <w:ind w:right="120"/>
              <w:spacing w:after="0"/>
              <w:rPr>
                <w:sz w:val="20"/>
                <w:szCs w:val="20"/>
                <w:color w:val="auto"/>
              </w:rPr>
            </w:pPr>
            <w:r>
              <w:rPr>
                <w:rFonts w:ascii="Arial" w:cs="Arial" w:eastAsia="Arial" w:hAnsi="Arial"/>
                <w:sz w:val="18"/>
                <w:szCs w:val="18"/>
                <w:color w:val="auto"/>
                <w:w w:val="99"/>
              </w:rPr>
              <w:t>1.6x Collateral valuation</w:t>
            </w:r>
          </w:p>
        </w:tc>
        <w:tc>
          <w:tcPr>
            <w:tcW w:w="2160" w:type="dxa"/>
            <w:vAlign w:val="bottom"/>
            <w:gridSpan w:val="2"/>
          </w:tcPr>
          <w:p>
            <w:pPr>
              <w:jc w:val="center"/>
              <w:ind w:right="80"/>
              <w:spacing w:after="0"/>
              <w:rPr>
                <w:sz w:val="20"/>
                <w:szCs w:val="20"/>
                <w:color w:val="auto"/>
              </w:rPr>
            </w:pPr>
            <w:r>
              <w:rPr>
                <w:rFonts w:ascii="Arial" w:cs="Arial" w:eastAsia="Arial" w:hAnsi="Arial"/>
                <w:sz w:val="18"/>
                <w:szCs w:val="18"/>
                <w:color w:val="auto"/>
                <w:w w:val="99"/>
              </w:rPr>
              <w:t>1.6x Collateral valuation</w:t>
            </w:r>
          </w:p>
        </w:tc>
        <w:tc>
          <w:tcPr>
            <w:tcW w:w="2160" w:type="dxa"/>
            <w:vAlign w:val="bottom"/>
            <w:gridSpan w:val="2"/>
          </w:tcPr>
          <w:p>
            <w:pPr>
              <w:jc w:val="center"/>
              <w:ind w:right="80"/>
              <w:spacing w:after="0"/>
              <w:rPr>
                <w:sz w:val="20"/>
                <w:szCs w:val="20"/>
                <w:color w:val="auto"/>
              </w:rPr>
            </w:pPr>
            <w:r>
              <w:rPr>
                <w:rFonts w:ascii="Arial" w:cs="Arial" w:eastAsia="Arial" w:hAnsi="Arial"/>
                <w:sz w:val="18"/>
                <w:szCs w:val="18"/>
                <w:color w:val="auto"/>
                <w:w w:val="99"/>
              </w:rPr>
              <w:t>1.6x Collateral valuation</w:t>
            </w:r>
          </w:p>
        </w:tc>
        <w:tc>
          <w:tcPr>
            <w:tcW w:w="2060" w:type="dxa"/>
            <w:vAlign w:val="bottom"/>
          </w:tcPr>
          <w:p>
            <w:pPr>
              <w:jc w:val="center"/>
              <w:spacing w:after="0"/>
              <w:rPr>
                <w:sz w:val="20"/>
                <w:szCs w:val="20"/>
                <w:color w:val="auto"/>
              </w:rPr>
            </w:pPr>
            <w:r>
              <w:rPr>
                <w:rFonts w:ascii="Arial" w:cs="Arial" w:eastAsia="Arial" w:hAnsi="Arial"/>
                <w:sz w:val="18"/>
                <w:szCs w:val="18"/>
                <w:color w:val="auto"/>
                <w:w w:val="99"/>
              </w:rPr>
              <w:t>1.6x Collateral valuation</w:t>
            </w:r>
          </w:p>
        </w:tc>
        <w:tc>
          <w:tcPr>
            <w:tcW w:w="0" w:type="dxa"/>
            <w:vAlign w:val="bottom"/>
          </w:tcPr>
          <w:p>
            <w:pPr>
              <w:spacing w:after="0"/>
              <w:rPr>
                <w:sz w:val="1"/>
                <w:szCs w:val="1"/>
                <w:color w:val="auto"/>
              </w:rPr>
            </w:pPr>
          </w:p>
        </w:tc>
      </w:tr>
      <w:tr>
        <w:trPr>
          <w:trHeight w:val="203"/>
        </w:trPr>
        <w:tc>
          <w:tcPr>
            <w:tcW w:w="2880" w:type="dxa"/>
            <w:vAlign w:val="bottom"/>
          </w:tcPr>
          <w:p>
            <w:pPr>
              <w:ind w:left="40"/>
              <w:spacing w:after="0" w:line="202" w:lineRule="exact"/>
              <w:rPr>
                <w:sz w:val="20"/>
                <w:szCs w:val="20"/>
                <w:color w:val="auto"/>
              </w:rPr>
            </w:pPr>
            <w:r>
              <w:rPr>
                <w:rFonts w:ascii="Arial" w:cs="Arial" w:eastAsia="Arial" w:hAnsi="Arial"/>
                <w:sz w:val="18"/>
                <w:szCs w:val="18"/>
                <w:color w:val="auto"/>
              </w:rPr>
              <w:t>LTV Requirement</w:t>
            </w:r>
          </w:p>
        </w:tc>
        <w:tc>
          <w:tcPr>
            <w:tcW w:w="2160" w:type="dxa"/>
            <w:vAlign w:val="bottom"/>
            <w:gridSpan w:val="2"/>
          </w:tcPr>
          <w:p>
            <w:pPr>
              <w:jc w:val="center"/>
              <w:ind w:right="120"/>
              <w:spacing w:after="0" w:line="202" w:lineRule="exact"/>
              <w:rPr>
                <w:sz w:val="20"/>
                <w:szCs w:val="20"/>
                <w:color w:val="auto"/>
              </w:rPr>
            </w:pPr>
            <w:r>
              <w:rPr>
                <w:rFonts w:ascii="Arial" w:cs="Arial" w:eastAsia="Arial" w:hAnsi="Arial"/>
                <w:sz w:val="18"/>
                <w:szCs w:val="18"/>
                <w:color w:val="auto"/>
                <w:w w:val="99"/>
              </w:rPr>
              <w:t>to amount of debt</w:t>
            </w:r>
          </w:p>
        </w:tc>
        <w:tc>
          <w:tcPr>
            <w:tcW w:w="2160" w:type="dxa"/>
            <w:vAlign w:val="bottom"/>
            <w:gridSpan w:val="2"/>
          </w:tcPr>
          <w:p>
            <w:pPr>
              <w:jc w:val="center"/>
              <w:ind w:right="80"/>
              <w:spacing w:after="0" w:line="202" w:lineRule="exact"/>
              <w:rPr>
                <w:sz w:val="20"/>
                <w:szCs w:val="20"/>
                <w:color w:val="auto"/>
              </w:rPr>
            </w:pPr>
            <w:r>
              <w:rPr>
                <w:rFonts w:ascii="Arial" w:cs="Arial" w:eastAsia="Arial" w:hAnsi="Arial"/>
                <w:sz w:val="18"/>
                <w:szCs w:val="18"/>
                <w:color w:val="auto"/>
                <w:w w:val="99"/>
              </w:rPr>
              <w:t>to amount of debt</w:t>
            </w:r>
          </w:p>
        </w:tc>
        <w:tc>
          <w:tcPr>
            <w:tcW w:w="2160" w:type="dxa"/>
            <w:vAlign w:val="bottom"/>
            <w:gridSpan w:val="2"/>
          </w:tcPr>
          <w:p>
            <w:pPr>
              <w:jc w:val="center"/>
              <w:ind w:right="80"/>
              <w:spacing w:after="0" w:line="202" w:lineRule="exact"/>
              <w:rPr>
                <w:sz w:val="20"/>
                <w:szCs w:val="20"/>
                <w:color w:val="auto"/>
              </w:rPr>
            </w:pPr>
            <w:r>
              <w:rPr>
                <w:rFonts w:ascii="Arial" w:cs="Arial" w:eastAsia="Arial" w:hAnsi="Arial"/>
                <w:sz w:val="18"/>
                <w:szCs w:val="18"/>
                <w:color w:val="auto"/>
                <w:w w:val="99"/>
              </w:rPr>
              <w:t>to amount of debt</w:t>
            </w:r>
          </w:p>
        </w:tc>
        <w:tc>
          <w:tcPr>
            <w:tcW w:w="2060" w:type="dxa"/>
            <w:vAlign w:val="bottom"/>
          </w:tcPr>
          <w:p>
            <w:pPr>
              <w:jc w:val="center"/>
              <w:spacing w:after="0" w:line="202" w:lineRule="exact"/>
              <w:rPr>
                <w:sz w:val="20"/>
                <w:szCs w:val="20"/>
                <w:color w:val="auto"/>
              </w:rPr>
            </w:pPr>
            <w:r>
              <w:rPr>
                <w:rFonts w:ascii="Arial" w:cs="Arial" w:eastAsia="Arial" w:hAnsi="Arial"/>
                <w:sz w:val="18"/>
                <w:szCs w:val="18"/>
                <w:color w:val="auto"/>
                <w:w w:val="99"/>
              </w:rPr>
              <w:t>to amount of debt</w:t>
            </w:r>
          </w:p>
        </w:tc>
        <w:tc>
          <w:tcPr>
            <w:tcW w:w="0" w:type="dxa"/>
            <w:vAlign w:val="bottom"/>
          </w:tcPr>
          <w:p>
            <w:pPr>
              <w:spacing w:after="0"/>
              <w:rPr>
                <w:sz w:val="1"/>
                <w:szCs w:val="1"/>
                <w:color w:val="auto"/>
              </w:rPr>
            </w:pPr>
          </w:p>
        </w:tc>
      </w:tr>
      <w:tr>
        <w:trPr>
          <w:trHeight w:val="224"/>
        </w:trPr>
        <w:tc>
          <w:tcPr>
            <w:tcW w:w="2880" w:type="dxa"/>
            <w:vAlign w:val="bottom"/>
          </w:tcPr>
          <w:p>
            <w:pPr>
              <w:spacing w:after="0"/>
              <w:rPr>
                <w:sz w:val="19"/>
                <w:szCs w:val="19"/>
                <w:color w:val="auto"/>
              </w:rPr>
            </w:pPr>
          </w:p>
        </w:tc>
        <w:tc>
          <w:tcPr>
            <w:tcW w:w="2160" w:type="dxa"/>
            <w:vAlign w:val="bottom"/>
            <w:gridSpan w:val="2"/>
          </w:tcPr>
          <w:p>
            <w:pPr>
              <w:jc w:val="center"/>
              <w:ind w:right="100"/>
              <w:spacing w:after="0"/>
              <w:rPr>
                <w:sz w:val="20"/>
                <w:szCs w:val="20"/>
                <w:color w:val="auto"/>
              </w:rPr>
            </w:pPr>
            <w:r>
              <w:rPr>
                <w:rFonts w:ascii="Arial" w:cs="Arial" w:eastAsia="Arial" w:hAnsi="Arial"/>
                <w:sz w:val="18"/>
                <w:szCs w:val="18"/>
                <w:color w:val="auto"/>
                <w:w w:val="99"/>
              </w:rPr>
              <w:t>outstanding (62.5% LTV)</w:t>
            </w:r>
          </w:p>
        </w:tc>
        <w:tc>
          <w:tcPr>
            <w:tcW w:w="2160" w:type="dxa"/>
            <w:vAlign w:val="bottom"/>
            <w:gridSpan w:val="2"/>
          </w:tcPr>
          <w:p>
            <w:pPr>
              <w:jc w:val="center"/>
              <w:ind w:right="100"/>
              <w:spacing w:after="0"/>
              <w:rPr>
                <w:sz w:val="20"/>
                <w:szCs w:val="20"/>
                <w:color w:val="auto"/>
              </w:rPr>
            </w:pPr>
            <w:r>
              <w:rPr>
                <w:rFonts w:ascii="Arial" w:cs="Arial" w:eastAsia="Arial" w:hAnsi="Arial"/>
                <w:sz w:val="18"/>
                <w:szCs w:val="18"/>
                <w:color w:val="auto"/>
                <w:w w:val="99"/>
              </w:rPr>
              <w:t>outstanding (62.5% LTV)</w:t>
            </w:r>
          </w:p>
        </w:tc>
        <w:tc>
          <w:tcPr>
            <w:tcW w:w="2160" w:type="dxa"/>
            <w:vAlign w:val="bottom"/>
            <w:gridSpan w:val="2"/>
          </w:tcPr>
          <w:p>
            <w:pPr>
              <w:jc w:val="center"/>
              <w:ind w:right="100"/>
              <w:spacing w:after="0"/>
              <w:rPr>
                <w:sz w:val="20"/>
                <w:szCs w:val="20"/>
                <w:color w:val="auto"/>
              </w:rPr>
            </w:pPr>
            <w:r>
              <w:rPr>
                <w:rFonts w:ascii="Arial" w:cs="Arial" w:eastAsia="Arial" w:hAnsi="Arial"/>
                <w:sz w:val="18"/>
                <w:szCs w:val="18"/>
                <w:color w:val="auto"/>
                <w:w w:val="99"/>
              </w:rPr>
              <w:t>outstanding (62.5% LTV)</w:t>
            </w:r>
          </w:p>
        </w:tc>
        <w:tc>
          <w:tcPr>
            <w:tcW w:w="2060" w:type="dxa"/>
            <w:vAlign w:val="bottom"/>
          </w:tcPr>
          <w:p>
            <w:pPr>
              <w:jc w:val="center"/>
              <w:spacing w:after="0"/>
              <w:rPr>
                <w:sz w:val="20"/>
                <w:szCs w:val="20"/>
                <w:color w:val="auto"/>
              </w:rPr>
            </w:pPr>
            <w:r>
              <w:rPr>
                <w:rFonts w:ascii="Arial" w:cs="Arial" w:eastAsia="Arial" w:hAnsi="Arial"/>
                <w:sz w:val="18"/>
                <w:szCs w:val="18"/>
                <w:color w:val="auto"/>
                <w:w w:val="99"/>
              </w:rPr>
              <w:t>outstanding (62.5% LTV)</w:t>
            </w:r>
          </w:p>
        </w:tc>
        <w:tc>
          <w:tcPr>
            <w:tcW w:w="0" w:type="dxa"/>
            <w:vAlign w:val="bottom"/>
          </w:tcPr>
          <w:p>
            <w:pPr>
              <w:spacing w:after="0"/>
              <w:rPr>
                <w:sz w:val="1"/>
                <w:szCs w:val="1"/>
                <w:color w:val="auto"/>
              </w:rPr>
            </w:pPr>
          </w:p>
        </w:tc>
      </w:tr>
      <w:tr>
        <w:trPr>
          <w:trHeight w:val="235"/>
        </w:trPr>
        <w:tc>
          <w:tcPr>
            <w:tcW w:w="2880" w:type="dxa"/>
            <w:vAlign w:val="bottom"/>
            <w:shd w:val="clear" w:color="auto" w:fill="CCEEFF"/>
          </w:tcPr>
          <w:p>
            <w:pPr>
              <w:ind w:left="40"/>
              <w:spacing w:after="0"/>
              <w:rPr>
                <w:sz w:val="20"/>
                <w:szCs w:val="20"/>
                <w:color w:val="auto"/>
              </w:rPr>
            </w:pPr>
            <w:r>
              <w:rPr>
                <w:rFonts w:ascii="Arial" w:cs="Arial" w:eastAsia="Arial" w:hAnsi="Arial"/>
                <w:sz w:val="18"/>
                <w:szCs w:val="18"/>
                <w:color w:val="auto"/>
              </w:rPr>
              <w:t>LTV as of Last Measurement</w:t>
            </w:r>
          </w:p>
        </w:tc>
        <w:tc>
          <w:tcPr>
            <w:tcW w:w="2060" w:type="dxa"/>
            <w:vAlign w:val="bottom"/>
            <w:vMerge w:val="restart"/>
            <w:shd w:val="clear" w:color="auto" w:fill="CCEEFF"/>
          </w:tcPr>
          <w:p>
            <w:pPr>
              <w:jc w:val="center"/>
              <w:spacing w:after="0"/>
              <w:rPr>
                <w:sz w:val="20"/>
                <w:szCs w:val="20"/>
                <w:color w:val="auto"/>
              </w:rPr>
            </w:pPr>
            <w:r>
              <w:rPr>
                <w:rFonts w:ascii="Arial" w:cs="Arial" w:eastAsia="Arial" w:hAnsi="Arial"/>
                <w:sz w:val="18"/>
                <w:szCs w:val="18"/>
                <w:color w:val="auto"/>
              </w:rPr>
              <w:t>36.2%</w:t>
            </w:r>
          </w:p>
        </w:tc>
        <w:tc>
          <w:tcPr>
            <w:tcW w:w="100" w:type="dxa"/>
            <w:vAlign w:val="bottom"/>
            <w:shd w:val="clear" w:color="auto" w:fill="CCEEFF"/>
          </w:tcPr>
          <w:p>
            <w:pPr>
              <w:spacing w:after="0"/>
              <w:rPr>
                <w:sz w:val="20"/>
                <w:szCs w:val="20"/>
                <w:color w:val="auto"/>
              </w:rPr>
            </w:pPr>
          </w:p>
        </w:tc>
        <w:tc>
          <w:tcPr>
            <w:tcW w:w="2060" w:type="dxa"/>
            <w:vAlign w:val="bottom"/>
            <w:vMerge w:val="restart"/>
            <w:shd w:val="clear" w:color="auto" w:fill="CCEEFF"/>
          </w:tcPr>
          <w:p>
            <w:pPr>
              <w:jc w:val="center"/>
              <w:spacing w:after="0"/>
              <w:rPr>
                <w:sz w:val="20"/>
                <w:szCs w:val="20"/>
                <w:color w:val="auto"/>
              </w:rPr>
            </w:pPr>
            <w:r>
              <w:rPr>
                <w:rFonts w:ascii="Arial" w:cs="Arial" w:eastAsia="Arial" w:hAnsi="Arial"/>
                <w:sz w:val="18"/>
                <w:szCs w:val="18"/>
                <w:color w:val="auto"/>
                <w:w w:val="97"/>
              </w:rPr>
              <w:t>17.7%</w:t>
            </w:r>
          </w:p>
        </w:tc>
        <w:tc>
          <w:tcPr>
            <w:tcW w:w="100" w:type="dxa"/>
            <w:vAlign w:val="bottom"/>
            <w:shd w:val="clear" w:color="auto" w:fill="CCEEFF"/>
          </w:tcPr>
          <w:p>
            <w:pPr>
              <w:spacing w:after="0"/>
              <w:rPr>
                <w:sz w:val="20"/>
                <w:szCs w:val="20"/>
                <w:color w:val="auto"/>
              </w:rPr>
            </w:pPr>
          </w:p>
        </w:tc>
        <w:tc>
          <w:tcPr>
            <w:tcW w:w="2060" w:type="dxa"/>
            <w:vAlign w:val="bottom"/>
            <w:vMerge w:val="restart"/>
            <w:shd w:val="clear" w:color="auto" w:fill="CCEEFF"/>
          </w:tcPr>
          <w:p>
            <w:pPr>
              <w:jc w:val="center"/>
              <w:spacing w:after="0"/>
              <w:rPr>
                <w:sz w:val="20"/>
                <w:szCs w:val="20"/>
                <w:color w:val="auto"/>
              </w:rPr>
            </w:pPr>
            <w:r>
              <w:rPr>
                <w:rFonts w:ascii="Arial" w:cs="Arial" w:eastAsia="Arial" w:hAnsi="Arial"/>
                <w:sz w:val="18"/>
                <w:szCs w:val="18"/>
                <w:color w:val="auto"/>
                <w:w w:val="97"/>
              </w:rPr>
              <w:t>36.2%</w:t>
            </w:r>
          </w:p>
        </w:tc>
        <w:tc>
          <w:tcPr>
            <w:tcW w:w="100" w:type="dxa"/>
            <w:vAlign w:val="bottom"/>
            <w:shd w:val="clear" w:color="auto" w:fill="CCEEFF"/>
          </w:tcPr>
          <w:p>
            <w:pPr>
              <w:spacing w:after="0"/>
              <w:rPr>
                <w:sz w:val="20"/>
                <w:szCs w:val="20"/>
                <w:color w:val="auto"/>
              </w:rPr>
            </w:pPr>
          </w:p>
        </w:tc>
        <w:tc>
          <w:tcPr>
            <w:tcW w:w="2060" w:type="dxa"/>
            <w:vAlign w:val="bottom"/>
            <w:vMerge w:val="restart"/>
            <w:shd w:val="clear" w:color="auto" w:fill="CCEEFF"/>
          </w:tcPr>
          <w:p>
            <w:pPr>
              <w:jc w:val="center"/>
              <w:spacing w:after="0"/>
              <w:rPr>
                <w:sz w:val="20"/>
                <w:szCs w:val="20"/>
                <w:color w:val="auto"/>
              </w:rPr>
            </w:pPr>
            <w:r>
              <w:rPr>
                <w:rFonts w:ascii="Arial" w:cs="Arial" w:eastAsia="Arial" w:hAnsi="Arial"/>
                <w:sz w:val="18"/>
                <w:szCs w:val="18"/>
                <w:color w:val="auto"/>
                <w:w w:val="97"/>
              </w:rPr>
              <w:t>53.6%</w:t>
            </w:r>
          </w:p>
        </w:tc>
        <w:tc>
          <w:tcPr>
            <w:tcW w:w="0" w:type="dxa"/>
            <w:vAlign w:val="bottom"/>
          </w:tcPr>
          <w:p>
            <w:pPr>
              <w:spacing w:after="0"/>
              <w:rPr>
                <w:sz w:val="1"/>
                <w:szCs w:val="1"/>
                <w:color w:val="auto"/>
              </w:rPr>
            </w:pPr>
          </w:p>
        </w:tc>
      </w:tr>
      <w:tr>
        <w:trPr>
          <w:trHeight w:val="109"/>
        </w:trPr>
        <w:tc>
          <w:tcPr>
            <w:tcW w:w="2880" w:type="dxa"/>
            <w:vAlign w:val="bottom"/>
            <w:vMerge w:val="restart"/>
            <w:shd w:val="clear" w:color="auto" w:fill="CCEEFF"/>
          </w:tcPr>
          <w:p>
            <w:pPr>
              <w:ind w:left="180"/>
              <w:spacing w:after="0"/>
              <w:rPr>
                <w:sz w:val="20"/>
                <w:szCs w:val="20"/>
                <w:color w:val="auto"/>
              </w:rPr>
            </w:pPr>
            <w:r>
              <w:rPr>
                <w:rFonts w:ascii="Arial" w:cs="Arial" w:eastAsia="Arial" w:hAnsi="Arial"/>
                <w:sz w:val="18"/>
                <w:szCs w:val="18"/>
                <w:color w:val="auto"/>
              </w:rPr>
              <w:t>Date</w:t>
            </w:r>
          </w:p>
        </w:tc>
        <w:tc>
          <w:tcPr>
            <w:tcW w:w="2060" w:type="dxa"/>
            <w:vAlign w:val="bottom"/>
            <w:vMerge w:val="continue"/>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2060" w:type="dxa"/>
            <w:vAlign w:val="bottom"/>
            <w:vMerge w:val="continue"/>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2060" w:type="dxa"/>
            <w:vAlign w:val="bottom"/>
            <w:vMerge w:val="continue"/>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2060" w:type="dxa"/>
            <w:vAlign w:val="bottom"/>
            <w:vMerge w:val="continue"/>
            <w:shd w:val="clear" w:color="auto" w:fill="CCEEFF"/>
          </w:tcPr>
          <w:p>
            <w:pPr>
              <w:spacing w:after="0"/>
              <w:rPr>
                <w:sz w:val="9"/>
                <w:szCs w:val="9"/>
                <w:color w:val="auto"/>
              </w:rPr>
            </w:pPr>
          </w:p>
        </w:tc>
        <w:tc>
          <w:tcPr>
            <w:tcW w:w="0" w:type="dxa"/>
            <w:vAlign w:val="bottom"/>
          </w:tcPr>
          <w:p>
            <w:pPr>
              <w:spacing w:after="0"/>
              <w:rPr>
                <w:sz w:val="1"/>
                <w:szCs w:val="1"/>
                <w:color w:val="auto"/>
              </w:rPr>
            </w:pPr>
          </w:p>
        </w:tc>
      </w:tr>
      <w:tr>
        <w:trPr>
          <w:trHeight w:val="122"/>
        </w:trPr>
        <w:tc>
          <w:tcPr>
            <w:tcW w:w="2880" w:type="dxa"/>
            <w:vAlign w:val="bottom"/>
            <w:vMerge w:val="continue"/>
            <w:shd w:val="clear" w:color="auto" w:fill="CCEEFF"/>
          </w:tcPr>
          <w:p>
            <w:pPr>
              <w:spacing w:after="0"/>
              <w:rPr>
                <w:sz w:val="10"/>
                <w:szCs w:val="10"/>
                <w:color w:val="auto"/>
              </w:rPr>
            </w:pPr>
          </w:p>
        </w:tc>
        <w:tc>
          <w:tcPr>
            <w:tcW w:w="206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206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206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2060" w:type="dxa"/>
            <w:vAlign w:val="bottom"/>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229"/>
        </w:trPr>
        <w:tc>
          <w:tcPr>
            <w:tcW w:w="2880" w:type="dxa"/>
            <w:vAlign w:val="bottom"/>
          </w:tcPr>
          <w:p>
            <w:pPr>
              <w:spacing w:after="0"/>
              <w:rPr>
                <w:sz w:val="19"/>
                <w:szCs w:val="19"/>
                <w:color w:val="auto"/>
              </w:rPr>
            </w:pPr>
          </w:p>
        </w:tc>
        <w:tc>
          <w:tcPr>
            <w:tcW w:w="20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160" w:type="dxa"/>
            <w:vAlign w:val="bottom"/>
            <w:gridSpan w:val="2"/>
          </w:tcPr>
          <w:p>
            <w:pPr>
              <w:jc w:val="center"/>
              <w:ind w:right="100"/>
              <w:spacing w:after="0"/>
              <w:rPr>
                <w:sz w:val="20"/>
                <w:szCs w:val="20"/>
                <w:color w:val="auto"/>
              </w:rPr>
            </w:pPr>
            <w:r>
              <w:rPr>
                <w:rFonts w:ascii="Arial" w:cs="Arial" w:eastAsia="Arial" w:hAnsi="Arial"/>
                <w:sz w:val="18"/>
                <w:szCs w:val="18"/>
                <w:color w:val="auto"/>
                <w:w w:val="98"/>
              </w:rPr>
              <w:t>Generally, certain slots,</w:t>
            </w:r>
          </w:p>
        </w:tc>
        <w:tc>
          <w:tcPr>
            <w:tcW w:w="20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60" w:type="dxa"/>
            <w:vAlign w:val="bottom"/>
            <w:vMerge w:val="restart"/>
          </w:tcPr>
          <w:p>
            <w:pPr>
              <w:jc w:val="center"/>
              <w:spacing w:after="0"/>
              <w:rPr>
                <w:sz w:val="20"/>
                <w:szCs w:val="20"/>
                <w:color w:val="auto"/>
              </w:rPr>
            </w:pPr>
            <w:r>
              <w:rPr>
                <w:rFonts w:ascii="Arial" w:cs="Arial" w:eastAsia="Arial" w:hAnsi="Arial"/>
                <w:sz w:val="18"/>
                <w:szCs w:val="18"/>
                <w:color w:val="auto"/>
                <w:w w:val="99"/>
              </w:rPr>
              <w:t>Generally, certain</w:t>
            </w:r>
          </w:p>
        </w:tc>
        <w:tc>
          <w:tcPr>
            <w:tcW w:w="0" w:type="dxa"/>
            <w:vAlign w:val="bottom"/>
          </w:tcPr>
          <w:p>
            <w:pPr>
              <w:spacing w:after="0"/>
              <w:rPr>
                <w:sz w:val="1"/>
                <w:szCs w:val="1"/>
                <w:color w:val="auto"/>
              </w:rPr>
            </w:pPr>
          </w:p>
        </w:tc>
      </w:tr>
      <w:tr>
        <w:trPr>
          <w:trHeight w:val="95"/>
        </w:trPr>
        <w:tc>
          <w:tcPr>
            <w:tcW w:w="2880" w:type="dxa"/>
            <w:vAlign w:val="bottom"/>
          </w:tcPr>
          <w:p>
            <w:pPr>
              <w:spacing w:after="0"/>
              <w:rPr>
                <w:sz w:val="8"/>
                <w:szCs w:val="8"/>
                <w:color w:val="auto"/>
              </w:rPr>
            </w:pPr>
          </w:p>
        </w:tc>
        <w:tc>
          <w:tcPr>
            <w:tcW w:w="2160" w:type="dxa"/>
            <w:vAlign w:val="bottom"/>
            <w:gridSpan w:val="2"/>
            <w:vMerge w:val="restart"/>
          </w:tcPr>
          <w:p>
            <w:pPr>
              <w:jc w:val="center"/>
              <w:ind w:right="100"/>
              <w:spacing w:after="0" w:line="202" w:lineRule="exact"/>
              <w:rPr>
                <w:sz w:val="20"/>
                <w:szCs w:val="20"/>
                <w:color w:val="auto"/>
              </w:rPr>
            </w:pPr>
            <w:r>
              <w:rPr>
                <w:rFonts w:ascii="Arial" w:cs="Arial" w:eastAsia="Arial" w:hAnsi="Arial"/>
                <w:sz w:val="18"/>
                <w:szCs w:val="18"/>
                <w:color w:val="auto"/>
                <w:w w:val="98"/>
              </w:rPr>
              <w:t>Generally, certain slots,</w:t>
            </w:r>
          </w:p>
        </w:tc>
        <w:tc>
          <w:tcPr>
            <w:tcW w:w="2160" w:type="dxa"/>
            <w:vAlign w:val="bottom"/>
            <w:gridSpan w:val="2"/>
            <w:vMerge w:val="restart"/>
          </w:tcPr>
          <w:p>
            <w:pPr>
              <w:jc w:val="center"/>
              <w:ind w:right="80"/>
              <w:spacing w:after="0" w:line="202" w:lineRule="exact"/>
              <w:rPr>
                <w:sz w:val="20"/>
                <w:szCs w:val="20"/>
                <w:color w:val="auto"/>
              </w:rPr>
            </w:pPr>
            <w:r>
              <w:rPr>
                <w:rFonts w:ascii="Arial" w:cs="Arial" w:eastAsia="Arial" w:hAnsi="Arial"/>
                <w:sz w:val="18"/>
                <w:szCs w:val="18"/>
                <w:color w:val="auto"/>
                <w:w w:val="99"/>
              </w:rPr>
              <w:t>route authorities and</w:t>
            </w:r>
          </w:p>
        </w:tc>
        <w:tc>
          <w:tcPr>
            <w:tcW w:w="2060" w:type="dxa"/>
            <w:vAlign w:val="bottom"/>
          </w:tcPr>
          <w:p>
            <w:pPr>
              <w:spacing w:after="0"/>
              <w:rPr>
                <w:sz w:val="8"/>
                <w:szCs w:val="8"/>
                <w:color w:val="auto"/>
              </w:rPr>
            </w:pPr>
          </w:p>
        </w:tc>
        <w:tc>
          <w:tcPr>
            <w:tcW w:w="100" w:type="dxa"/>
            <w:vAlign w:val="bottom"/>
          </w:tcPr>
          <w:p>
            <w:pPr>
              <w:spacing w:after="0"/>
              <w:rPr>
                <w:sz w:val="8"/>
                <w:szCs w:val="8"/>
                <w:color w:val="auto"/>
              </w:rPr>
            </w:pPr>
          </w:p>
        </w:tc>
        <w:tc>
          <w:tcPr>
            <w:tcW w:w="2060" w:type="dxa"/>
            <w:vAlign w:val="bottom"/>
            <w:vMerge w:val="continue"/>
          </w:tcPr>
          <w:p>
            <w:pPr>
              <w:spacing w:after="0"/>
              <w:rPr>
                <w:sz w:val="8"/>
                <w:szCs w:val="8"/>
                <w:color w:val="auto"/>
              </w:rPr>
            </w:pPr>
          </w:p>
        </w:tc>
        <w:tc>
          <w:tcPr>
            <w:tcW w:w="0" w:type="dxa"/>
            <w:vAlign w:val="bottom"/>
          </w:tcPr>
          <w:p>
            <w:pPr>
              <w:spacing w:after="0"/>
              <w:rPr>
                <w:sz w:val="1"/>
                <w:szCs w:val="1"/>
                <w:color w:val="auto"/>
              </w:rPr>
            </w:pPr>
          </w:p>
        </w:tc>
      </w:tr>
      <w:tr>
        <w:trPr>
          <w:trHeight w:val="108"/>
        </w:trPr>
        <w:tc>
          <w:tcPr>
            <w:tcW w:w="2880" w:type="dxa"/>
            <w:vAlign w:val="bottom"/>
          </w:tcPr>
          <w:p>
            <w:pPr>
              <w:spacing w:after="0"/>
              <w:rPr>
                <w:sz w:val="9"/>
                <w:szCs w:val="9"/>
                <w:color w:val="auto"/>
              </w:rPr>
            </w:pPr>
          </w:p>
        </w:tc>
        <w:tc>
          <w:tcPr>
            <w:tcW w:w="2160" w:type="dxa"/>
            <w:vAlign w:val="bottom"/>
            <w:gridSpan w:val="2"/>
            <w:vMerge w:val="continue"/>
          </w:tcPr>
          <w:p>
            <w:pPr>
              <w:spacing w:after="0"/>
              <w:rPr>
                <w:sz w:val="9"/>
                <w:szCs w:val="9"/>
                <w:color w:val="auto"/>
              </w:rPr>
            </w:pPr>
          </w:p>
        </w:tc>
        <w:tc>
          <w:tcPr>
            <w:tcW w:w="2160" w:type="dxa"/>
            <w:vAlign w:val="bottom"/>
            <w:gridSpan w:val="2"/>
            <w:vMerge w:val="continue"/>
          </w:tcPr>
          <w:p>
            <w:pPr>
              <w:spacing w:after="0"/>
              <w:rPr>
                <w:sz w:val="9"/>
                <w:szCs w:val="9"/>
                <w:color w:val="auto"/>
              </w:rPr>
            </w:pPr>
          </w:p>
        </w:tc>
        <w:tc>
          <w:tcPr>
            <w:tcW w:w="2060" w:type="dxa"/>
            <w:vAlign w:val="bottom"/>
          </w:tcPr>
          <w:p>
            <w:pPr>
              <w:spacing w:after="0"/>
              <w:rPr>
                <w:sz w:val="9"/>
                <w:szCs w:val="9"/>
                <w:color w:val="auto"/>
              </w:rPr>
            </w:pPr>
          </w:p>
        </w:tc>
        <w:tc>
          <w:tcPr>
            <w:tcW w:w="100" w:type="dxa"/>
            <w:vAlign w:val="bottom"/>
          </w:tcPr>
          <w:p>
            <w:pPr>
              <w:spacing w:after="0"/>
              <w:rPr>
                <w:sz w:val="9"/>
                <w:szCs w:val="9"/>
                <w:color w:val="auto"/>
              </w:rPr>
            </w:pPr>
          </w:p>
        </w:tc>
        <w:tc>
          <w:tcPr>
            <w:tcW w:w="2060" w:type="dxa"/>
            <w:vAlign w:val="bottom"/>
            <w:vMerge w:val="restart"/>
          </w:tcPr>
          <w:p>
            <w:pPr>
              <w:jc w:val="center"/>
              <w:spacing w:after="0" w:line="202" w:lineRule="exact"/>
              <w:rPr>
                <w:sz w:val="20"/>
                <w:szCs w:val="20"/>
                <w:color w:val="auto"/>
              </w:rPr>
            </w:pPr>
            <w:r>
              <w:rPr>
                <w:rFonts w:ascii="Arial" w:cs="Arial" w:eastAsia="Arial" w:hAnsi="Arial"/>
                <w:sz w:val="18"/>
                <w:szCs w:val="18"/>
                <w:color w:val="auto"/>
              </w:rPr>
              <w:t>Ronald Reagan</w:t>
            </w:r>
          </w:p>
        </w:tc>
        <w:tc>
          <w:tcPr>
            <w:tcW w:w="0" w:type="dxa"/>
            <w:vAlign w:val="bottom"/>
          </w:tcPr>
          <w:p>
            <w:pPr>
              <w:spacing w:after="0"/>
              <w:rPr>
                <w:sz w:val="1"/>
                <w:szCs w:val="1"/>
                <w:color w:val="auto"/>
              </w:rPr>
            </w:pPr>
          </w:p>
        </w:tc>
      </w:tr>
      <w:tr>
        <w:trPr>
          <w:trHeight w:val="95"/>
        </w:trPr>
        <w:tc>
          <w:tcPr>
            <w:tcW w:w="2880" w:type="dxa"/>
            <w:vAlign w:val="bottom"/>
          </w:tcPr>
          <w:p>
            <w:pPr>
              <w:spacing w:after="0"/>
              <w:rPr>
                <w:sz w:val="8"/>
                <w:szCs w:val="8"/>
                <w:color w:val="auto"/>
              </w:rPr>
            </w:pPr>
          </w:p>
        </w:tc>
        <w:tc>
          <w:tcPr>
            <w:tcW w:w="2160" w:type="dxa"/>
            <w:vAlign w:val="bottom"/>
            <w:gridSpan w:val="2"/>
            <w:vMerge w:val="restart"/>
          </w:tcPr>
          <w:p>
            <w:pPr>
              <w:jc w:val="center"/>
              <w:ind w:right="120"/>
              <w:spacing w:after="0" w:line="202" w:lineRule="exact"/>
              <w:rPr>
                <w:sz w:val="20"/>
                <w:szCs w:val="20"/>
                <w:color w:val="auto"/>
              </w:rPr>
            </w:pPr>
            <w:r>
              <w:rPr>
                <w:rFonts w:ascii="Arial" w:cs="Arial" w:eastAsia="Arial" w:hAnsi="Arial"/>
                <w:sz w:val="18"/>
                <w:szCs w:val="18"/>
                <w:color w:val="auto"/>
                <w:w w:val="99"/>
              </w:rPr>
              <w:t>route authorities and</w:t>
            </w:r>
          </w:p>
        </w:tc>
        <w:tc>
          <w:tcPr>
            <w:tcW w:w="2160" w:type="dxa"/>
            <w:vAlign w:val="bottom"/>
            <w:gridSpan w:val="2"/>
            <w:vMerge w:val="restart"/>
          </w:tcPr>
          <w:p>
            <w:pPr>
              <w:jc w:val="center"/>
              <w:ind w:right="100"/>
              <w:spacing w:after="0" w:line="202" w:lineRule="exact"/>
              <w:rPr>
                <w:sz w:val="20"/>
                <w:szCs w:val="20"/>
                <w:color w:val="auto"/>
              </w:rPr>
            </w:pPr>
            <w:r>
              <w:rPr>
                <w:rFonts w:ascii="Arial" w:cs="Arial" w:eastAsia="Arial" w:hAnsi="Arial"/>
                <w:sz w:val="18"/>
                <w:szCs w:val="18"/>
                <w:color w:val="auto"/>
              </w:rPr>
              <w:t>airport gate leasehold</w:t>
            </w:r>
          </w:p>
        </w:tc>
        <w:tc>
          <w:tcPr>
            <w:tcW w:w="2060" w:type="dxa"/>
            <w:vAlign w:val="bottom"/>
          </w:tcPr>
          <w:p>
            <w:pPr>
              <w:spacing w:after="0"/>
              <w:rPr>
                <w:sz w:val="8"/>
                <w:szCs w:val="8"/>
                <w:color w:val="auto"/>
              </w:rPr>
            </w:pPr>
          </w:p>
        </w:tc>
        <w:tc>
          <w:tcPr>
            <w:tcW w:w="100" w:type="dxa"/>
            <w:vAlign w:val="bottom"/>
          </w:tcPr>
          <w:p>
            <w:pPr>
              <w:spacing w:after="0"/>
              <w:rPr>
                <w:sz w:val="8"/>
                <w:szCs w:val="8"/>
                <w:color w:val="auto"/>
              </w:rPr>
            </w:pPr>
          </w:p>
        </w:tc>
        <w:tc>
          <w:tcPr>
            <w:tcW w:w="2060" w:type="dxa"/>
            <w:vAlign w:val="bottom"/>
            <w:vMerge w:val="continue"/>
          </w:tcPr>
          <w:p>
            <w:pPr>
              <w:spacing w:after="0"/>
              <w:rPr>
                <w:sz w:val="8"/>
                <w:szCs w:val="8"/>
                <w:color w:val="auto"/>
              </w:rPr>
            </w:pPr>
          </w:p>
        </w:tc>
        <w:tc>
          <w:tcPr>
            <w:tcW w:w="0" w:type="dxa"/>
            <w:vAlign w:val="bottom"/>
          </w:tcPr>
          <w:p>
            <w:pPr>
              <w:spacing w:after="0"/>
              <w:rPr>
                <w:sz w:val="1"/>
                <w:szCs w:val="1"/>
                <w:color w:val="auto"/>
              </w:rPr>
            </w:pPr>
          </w:p>
        </w:tc>
      </w:tr>
      <w:tr>
        <w:trPr>
          <w:trHeight w:val="108"/>
        </w:trPr>
        <w:tc>
          <w:tcPr>
            <w:tcW w:w="2880" w:type="dxa"/>
            <w:vAlign w:val="bottom"/>
          </w:tcPr>
          <w:p>
            <w:pPr>
              <w:spacing w:after="0"/>
              <w:rPr>
                <w:sz w:val="9"/>
                <w:szCs w:val="9"/>
                <w:color w:val="auto"/>
              </w:rPr>
            </w:pPr>
          </w:p>
        </w:tc>
        <w:tc>
          <w:tcPr>
            <w:tcW w:w="2160" w:type="dxa"/>
            <w:vAlign w:val="bottom"/>
            <w:gridSpan w:val="2"/>
            <w:vMerge w:val="continue"/>
          </w:tcPr>
          <w:p>
            <w:pPr>
              <w:spacing w:after="0"/>
              <w:rPr>
                <w:sz w:val="9"/>
                <w:szCs w:val="9"/>
                <w:color w:val="auto"/>
              </w:rPr>
            </w:pPr>
          </w:p>
        </w:tc>
        <w:tc>
          <w:tcPr>
            <w:tcW w:w="2160" w:type="dxa"/>
            <w:vAlign w:val="bottom"/>
            <w:gridSpan w:val="2"/>
            <w:vMerge w:val="continue"/>
          </w:tcPr>
          <w:p>
            <w:pPr>
              <w:spacing w:after="0"/>
              <w:rPr>
                <w:sz w:val="9"/>
                <w:szCs w:val="9"/>
                <w:color w:val="auto"/>
              </w:rPr>
            </w:pPr>
          </w:p>
        </w:tc>
        <w:tc>
          <w:tcPr>
            <w:tcW w:w="2060" w:type="dxa"/>
            <w:vAlign w:val="bottom"/>
          </w:tcPr>
          <w:p>
            <w:pPr>
              <w:spacing w:after="0"/>
              <w:rPr>
                <w:sz w:val="9"/>
                <w:szCs w:val="9"/>
                <w:color w:val="auto"/>
              </w:rPr>
            </w:pPr>
          </w:p>
        </w:tc>
        <w:tc>
          <w:tcPr>
            <w:tcW w:w="100" w:type="dxa"/>
            <w:vAlign w:val="bottom"/>
          </w:tcPr>
          <w:p>
            <w:pPr>
              <w:spacing w:after="0"/>
              <w:rPr>
                <w:sz w:val="9"/>
                <w:szCs w:val="9"/>
                <w:color w:val="auto"/>
              </w:rPr>
            </w:pPr>
          </w:p>
        </w:tc>
        <w:tc>
          <w:tcPr>
            <w:tcW w:w="2060" w:type="dxa"/>
            <w:vAlign w:val="bottom"/>
            <w:vMerge w:val="restart"/>
          </w:tcPr>
          <w:p>
            <w:pPr>
              <w:jc w:val="center"/>
              <w:spacing w:after="0" w:line="202" w:lineRule="exact"/>
              <w:rPr>
                <w:sz w:val="20"/>
                <w:szCs w:val="20"/>
                <w:color w:val="auto"/>
              </w:rPr>
            </w:pPr>
            <w:r>
              <w:rPr>
                <w:rFonts w:ascii="Arial" w:cs="Arial" w:eastAsia="Arial" w:hAnsi="Arial"/>
                <w:sz w:val="18"/>
                <w:szCs w:val="18"/>
                <w:color w:val="auto"/>
                <w:w w:val="99"/>
              </w:rPr>
              <w:t>Washington National</w:t>
            </w:r>
          </w:p>
        </w:tc>
        <w:tc>
          <w:tcPr>
            <w:tcW w:w="0" w:type="dxa"/>
            <w:vAlign w:val="bottom"/>
          </w:tcPr>
          <w:p>
            <w:pPr>
              <w:spacing w:after="0"/>
              <w:rPr>
                <w:sz w:val="1"/>
                <w:szCs w:val="1"/>
                <w:color w:val="auto"/>
              </w:rPr>
            </w:pPr>
          </w:p>
        </w:tc>
      </w:tr>
      <w:tr>
        <w:trPr>
          <w:trHeight w:val="95"/>
        </w:trPr>
        <w:tc>
          <w:tcPr>
            <w:tcW w:w="2880" w:type="dxa"/>
            <w:vAlign w:val="bottom"/>
          </w:tcPr>
          <w:p>
            <w:pPr>
              <w:spacing w:after="0"/>
              <w:rPr>
                <w:sz w:val="8"/>
                <w:szCs w:val="8"/>
                <w:color w:val="auto"/>
              </w:rPr>
            </w:pPr>
          </w:p>
        </w:tc>
        <w:tc>
          <w:tcPr>
            <w:tcW w:w="2160" w:type="dxa"/>
            <w:vAlign w:val="bottom"/>
            <w:gridSpan w:val="2"/>
            <w:vMerge w:val="restart"/>
          </w:tcPr>
          <w:p>
            <w:pPr>
              <w:jc w:val="center"/>
              <w:ind w:right="120"/>
              <w:spacing w:after="0" w:line="202" w:lineRule="exact"/>
              <w:rPr>
                <w:sz w:val="20"/>
                <w:szCs w:val="20"/>
                <w:color w:val="auto"/>
              </w:rPr>
            </w:pPr>
            <w:r>
              <w:rPr>
                <w:rFonts w:ascii="Arial" w:cs="Arial" w:eastAsia="Arial" w:hAnsi="Arial"/>
                <w:sz w:val="18"/>
                <w:szCs w:val="18"/>
                <w:color w:val="auto"/>
                <w:w w:val="99"/>
              </w:rPr>
              <w:t>airport gate leasehold</w:t>
            </w:r>
          </w:p>
        </w:tc>
        <w:tc>
          <w:tcPr>
            <w:tcW w:w="2160" w:type="dxa"/>
            <w:vAlign w:val="bottom"/>
            <w:gridSpan w:val="2"/>
            <w:vMerge w:val="restart"/>
          </w:tcPr>
          <w:p>
            <w:pPr>
              <w:jc w:val="center"/>
              <w:ind w:right="100"/>
              <w:spacing w:after="0" w:line="202" w:lineRule="exact"/>
              <w:rPr>
                <w:sz w:val="20"/>
                <w:szCs w:val="20"/>
                <w:color w:val="auto"/>
              </w:rPr>
            </w:pPr>
            <w:r>
              <w:rPr>
                <w:rFonts w:ascii="Arial" w:cs="Arial" w:eastAsia="Arial" w:hAnsi="Arial"/>
                <w:sz w:val="18"/>
                <w:szCs w:val="18"/>
                <w:color w:val="auto"/>
              </w:rPr>
              <w:t>rights used by American</w:t>
            </w:r>
          </w:p>
        </w:tc>
        <w:tc>
          <w:tcPr>
            <w:tcW w:w="2060" w:type="dxa"/>
            <w:vAlign w:val="bottom"/>
          </w:tcPr>
          <w:p>
            <w:pPr>
              <w:spacing w:after="0"/>
              <w:rPr>
                <w:sz w:val="8"/>
                <w:szCs w:val="8"/>
                <w:color w:val="auto"/>
              </w:rPr>
            </w:pPr>
          </w:p>
        </w:tc>
        <w:tc>
          <w:tcPr>
            <w:tcW w:w="100" w:type="dxa"/>
            <w:vAlign w:val="bottom"/>
          </w:tcPr>
          <w:p>
            <w:pPr>
              <w:spacing w:after="0"/>
              <w:rPr>
                <w:sz w:val="8"/>
                <w:szCs w:val="8"/>
                <w:color w:val="auto"/>
              </w:rPr>
            </w:pPr>
          </w:p>
        </w:tc>
        <w:tc>
          <w:tcPr>
            <w:tcW w:w="2060" w:type="dxa"/>
            <w:vAlign w:val="bottom"/>
            <w:vMerge w:val="continue"/>
          </w:tcPr>
          <w:p>
            <w:pPr>
              <w:spacing w:after="0"/>
              <w:rPr>
                <w:sz w:val="8"/>
                <w:szCs w:val="8"/>
                <w:color w:val="auto"/>
              </w:rPr>
            </w:pPr>
          </w:p>
        </w:tc>
        <w:tc>
          <w:tcPr>
            <w:tcW w:w="0" w:type="dxa"/>
            <w:vAlign w:val="bottom"/>
          </w:tcPr>
          <w:p>
            <w:pPr>
              <w:spacing w:after="0"/>
              <w:rPr>
                <w:sz w:val="1"/>
                <w:szCs w:val="1"/>
                <w:color w:val="auto"/>
              </w:rPr>
            </w:pPr>
          </w:p>
        </w:tc>
      </w:tr>
      <w:tr>
        <w:trPr>
          <w:trHeight w:val="108"/>
        </w:trPr>
        <w:tc>
          <w:tcPr>
            <w:tcW w:w="2880" w:type="dxa"/>
            <w:vAlign w:val="bottom"/>
          </w:tcPr>
          <w:p>
            <w:pPr>
              <w:spacing w:after="0"/>
              <w:rPr>
                <w:sz w:val="9"/>
                <w:szCs w:val="9"/>
                <w:color w:val="auto"/>
              </w:rPr>
            </w:pPr>
          </w:p>
        </w:tc>
        <w:tc>
          <w:tcPr>
            <w:tcW w:w="2160" w:type="dxa"/>
            <w:vAlign w:val="bottom"/>
            <w:gridSpan w:val="2"/>
            <w:vMerge w:val="continue"/>
          </w:tcPr>
          <w:p>
            <w:pPr>
              <w:spacing w:after="0"/>
              <w:rPr>
                <w:sz w:val="9"/>
                <w:szCs w:val="9"/>
                <w:color w:val="auto"/>
              </w:rPr>
            </w:pPr>
          </w:p>
        </w:tc>
        <w:tc>
          <w:tcPr>
            <w:tcW w:w="2160" w:type="dxa"/>
            <w:vAlign w:val="bottom"/>
            <w:gridSpan w:val="2"/>
            <w:vMerge w:val="continue"/>
          </w:tcPr>
          <w:p>
            <w:pPr>
              <w:spacing w:after="0"/>
              <w:rPr>
                <w:sz w:val="9"/>
                <w:szCs w:val="9"/>
                <w:color w:val="auto"/>
              </w:rPr>
            </w:pPr>
          </w:p>
        </w:tc>
        <w:tc>
          <w:tcPr>
            <w:tcW w:w="2160" w:type="dxa"/>
            <w:vAlign w:val="bottom"/>
            <w:gridSpan w:val="2"/>
            <w:vMerge w:val="restart"/>
          </w:tcPr>
          <w:p>
            <w:pPr>
              <w:jc w:val="center"/>
              <w:ind w:right="100"/>
              <w:spacing w:after="0" w:line="202" w:lineRule="exact"/>
              <w:rPr>
                <w:sz w:val="20"/>
                <w:szCs w:val="20"/>
                <w:color w:val="auto"/>
              </w:rPr>
            </w:pPr>
            <w:r>
              <w:rPr>
                <w:rFonts w:ascii="Arial" w:cs="Arial" w:eastAsia="Arial" w:hAnsi="Arial"/>
                <w:sz w:val="18"/>
                <w:szCs w:val="18"/>
                <w:color w:val="auto"/>
                <w:w w:val="99"/>
              </w:rPr>
              <w:t>Generally, certain spare</w:t>
            </w:r>
          </w:p>
        </w:tc>
        <w:tc>
          <w:tcPr>
            <w:tcW w:w="2060" w:type="dxa"/>
            <w:vAlign w:val="bottom"/>
            <w:vMerge w:val="restart"/>
          </w:tcPr>
          <w:p>
            <w:pPr>
              <w:jc w:val="center"/>
              <w:spacing w:after="0" w:line="202" w:lineRule="exact"/>
              <w:rPr>
                <w:sz w:val="20"/>
                <w:szCs w:val="20"/>
                <w:color w:val="auto"/>
              </w:rPr>
            </w:pPr>
            <w:r>
              <w:rPr>
                <w:rFonts w:ascii="Arial" w:cs="Arial" w:eastAsia="Arial" w:hAnsi="Arial"/>
                <w:sz w:val="18"/>
                <w:szCs w:val="18"/>
                <w:color w:val="auto"/>
                <w:w w:val="99"/>
              </w:rPr>
              <w:t>Airport (DCA) slots,</w:t>
            </w:r>
          </w:p>
        </w:tc>
        <w:tc>
          <w:tcPr>
            <w:tcW w:w="0" w:type="dxa"/>
            <w:vAlign w:val="bottom"/>
          </w:tcPr>
          <w:p>
            <w:pPr>
              <w:spacing w:after="0"/>
              <w:rPr>
                <w:sz w:val="1"/>
                <w:szCs w:val="1"/>
                <w:color w:val="auto"/>
              </w:rPr>
            </w:pPr>
          </w:p>
        </w:tc>
      </w:tr>
      <w:tr>
        <w:trPr>
          <w:trHeight w:val="95"/>
        </w:trPr>
        <w:tc>
          <w:tcPr>
            <w:tcW w:w="2880" w:type="dxa"/>
            <w:vAlign w:val="bottom"/>
            <w:vMerge w:val="restart"/>
          </w:tcPr>
          <w:p>
            <w:pPr>
              <w:ind w:left="40"/>
              <w:spacing w:after="0" w:line="202" w:lineRule="exact"/>
              <w:rPr>
                <w:sz w:val="20"/>
                <w:szCs w:val="20"/>
                <w:color w:val="auto"/>
              </w:rPr>
            </w:pPr>
            <w:r>
              <w:rPr>
                <w:rFonts w:ascii="Arial" w:cs="Arial" w:eastAsia="Arial" w:hAnsi="Arial"/>
                <w:sz w:val="18"/>
                <w:szCs w:val="18"/>
                <w:color w:val="auto"/>
              </w:rPr>
              <w:t>Collateral Description</w:t>
            </w:r>
          </w:p>
        </w:tc>
        <w:tc>
          <w:tcPr>
            <w:tcW w:w="2160" w:type="dxa"/>
            <w:vAlign w:val="bottom"/>
            <w:gridSpan w:val="2"/>
            <w:vMerge w:val="restart"/>
          </w:tcPr>
          <w:p>
            <w:pPr>
              <w:jc w:val="center"/>
              <w:ind w:right="120"/>
              <w:spacing w:after="0" w:line="202" w:lineRule="exact"/>
              <w:rPr>
                <w:sz w:val="20"/>
                <w:szCs w:val="20"/>
                <w:color w:val="auto"/>
              </w:rPr>
            </w:pPr>
            <w:r>
              <w:rPr>
                <w:rFonts w:ascii="Arial" w:cs="Arial" w:eastAsia="Arial" w:hAnsi="Arial"/>
                <w:sz w:val="18"/>
                <w:szCs w:val="18"/>
                <w:color w:val="auto"/>
                <w:w w:val="99"/>
              </w:rPr>
              <w:t>rights used by American</w:t>
            </w:r>
          </w:p>
        </w:tc>
        <w:tc>
          <w:tcPr>
            <w:tcW w:w="2160" w:type="dxa"/>
            <w:vAlign w:val="bottom"/>
            <w:gridSpan w:val="2"/>
            <w:vMerge w:val="restart"/>
          </w:tcPr>
          <w:p>
            <w:pPr>
              <w:jc w:val="center"/>
              <w:ind w:right="80"/>
              <w:spacing w:after="0" w:line="202" w:lineRule="exact"/>
              <w:rPr>
                <w:sz w:val="20"/>
                <w:szCs w:val="20"/>
                <w:color w:val="auto"/>
              </w:rPr>
            </w:pPr>
            <w:r>
              <w:rPr>
                <w:rFonts w:ascii="Arial" w:cs="Arial" w:eastAsia="Arial" w:hAnsi="Arial"/>
                <w:sz w:val="18"/>
                <w:szCs w:val="18"/>
                <w:color w:val="auto"/>
                <w:w w:val="99"/>
              </w:rPr>
              <w:t>to operate certain</w:t>
            </w:r>
          </w:p>
        </w:tc>
        <w:tc>
          <w:tcPr>
            <w:tcW w:w="2160" w:type="dxa"/>
            <w:vAlign w:val="bottom"/>
            <w:gridSpan w:val="2"/>
            <w:vMerge w:val="continue"/>
          </w:tcPr>
          <w:p>
            <w:pPr>
              <w:spacing w:after="0"/>
              <w:rPr>
                <w:sz w:val="8"/>
                <w:szCs w:val="8"/>
                <w:color w:val="auto"/>
              </w:rPr>
            </w:pPr>
          </w:p>
        </w:tc>
        <w:tc>
          <w:tcPr>
            <w:tcW w:w="2060" w:type="dxa"/>
            <w:vAlign w:val="bottom"/>
            <w:vMerge w:val="continue"/>
          </w:tcPr>
          <w:p>
            <w:pPr>
              <w:spacing w:after="0"/>
              <w:rPr>
                <w:sz w:val="8"/>
                <w:szCs w:val="8"/>
                <w:color w:val="auto"/>
              </w:rPr>
            </w:pPr>
          </w:p>
        </w:tc>
        <w:tc>
          <w:tcPr>
            <w:tcW w:w="0" w:type="dxa"/>
            <w:vAlign w:val="bottom"/>
          </w:tcPr>
          <w:p>
            <w:pPr>
              <w:spacing w:after="0"/>
              <w:rPr>
                <w:sz w:val="1"/>
                <w:szCs w:val="1"/>
                <w:color w:val="auto"/>
              </w:rPr>
            </w:pPr>
          </w:p>
        </w:tc>
      </w:tr>
      <w:tr>
        <w:trPr>
          <w:trHeight w:val="108"/>
        </w:trPr>
        <w:tc>
          <w:tcPr>
            <w:tcW w:w="2880" w:type="dxa"/>
            <w:vAlign w:val="bottom"/>
            <w:vMerge w:val="continue"/>
          </w:tcPr>
          <w:p>
            <w:pPr>
              <w:spacing w:after="0"/>
              <w:rPr>
                <w:sz w:val="9"/>
                <w:szCs w:val="9"/>
                <w:color w:val="auto"/>
              </w:rPr>
            </w:pPr>
          </w:p>
        </w:tc>
        <w:tc>
          <w:tcPr>
            <w:tcW w:w="2160" w:type="dxa"/>
            <w:vAlign w:val="bottom"/>
            <w:gridSpan w:val="2"/>
            <w:vMerge w:val="continue"/>
          </w:tcPr>
          <w:p>
            <w:pPr>
              <w:spacing w:after="0"/>
              <w:rPr>
                <w:sz w:val="9"/>
                <w:szCs w:val="9"/>
                <w:color w:val="auto"/>
              </w:rPr>
            </w:pPr>
          </w:p>
        </w:tc>
        <w:tc>
          <w:tcPr>
            <w:tcW w:w="2160" w:type="dxa"/>
            <w:vAlign w:val="bottom"/>
            <w:gridSpan w:val="2"/>
            <w:vMerge w:val="continue"/>
          </w:tcPr>
          <w:p>
            <w:pPr>
              <w:spacing w:after="0"/>
              <w:rPr>
                <w:sz w:val="9"/>
                <w:szCs w:val="9"/>
                <w:color w:val="auto"/>
              </w:rPr>
            </w:pPr>
          </w:p>
        </w:tc>
        <w:tc>
          <w:tcPr>
            <w:tcW w:w="2160" w:type="dxa"/>
            <w:vAlign w:val="bottom"/>
            <w:gridSpan w:val="2"/>
            <w:vMerge w:val="restart"/>
          </w:tcPr>
          <w:p>
            <w:pPr>
              <w:jc w:val="center"/>
              <w:ind w:right="80"/>
              <w:spacing w:after="0" w:line="202" w:lineRule="exact"/>
              <w:rPr>
                <w:sz w:val="20"/>
                <w:szCs w:val="20"/>
                <w:color w:val="auto"/>
              </w:rPr>
            </w:pPr>
            <w:r>
              <w:rPr>
                <w:rFonts w:ascii="Arial" w:cs="Arial" w:eastAsia="Arial" w:hAnsi="Arial"/>
                <w:sz w:val="18"/>
                <w:szCs w:val="18"/>
                <w:color w:val="auto"/>
                <w:w w:val="99"/>
              </w:rPr>
              <w:t>parts</w:t>
            </w:r>
          </w:p>
        </w:tc>
        <w:tc>
          <w:tcPr>
            <w:tcW w:w="2060" w:type="dxa"/>
            <w:vAlign w:val="bottom"/>
            <w:vMerge w:val="restart"/>
          </w:tcPr>
          <w:p>
            <w:pPr>
              <w:jc w:val="center"/>
              <w:spacing w:after="0" w:line="202" w:lineRule="exact"/>
              <w:rPr>
                <w:sz w:val="20"/>
                <w:szCs w:val="20"/>
                <w:color w:val="auto"/>
              </w:rPr>
            </w:pPr>
            <w:r>
              <w:rPr>
                <w:rFonts w:ascii="Arial" w:cs="Arial" w:eastAsia="Arial" w:hAnsi="Arial"/>
                <w:sz w:val="18"/>
                <w:szCs w:val="18"/>
                <w:color w:val="auto"/>
                <w:w w:val="99"/>
              </w:rPr>
              <w:t>certain La Guardia</w:t>
            </w:r>
          </w:p>
        </w:tc>
        <w:tc>
          <w:tcPr>
            <w:tcW w:w="0" w:type="dxa"/>
            <w:vAlign w:val="bottom"/>
          </w:tcPr>
          <w:p>
            <w:pPr>
              <w:spacing w:after="0"/>
              <w:rPr>
                <w:sz w:val="1"/>
                <w:szCs w:val="1"/>
                <w:color w:val="auto"/>
              </w:rPr>
            </w:pPr>
          </w:p>
        </w:tc>
      </w:tr>
      <w:tr>
        <w:trPr>
          <w:trHeight w:val="95"/>
        </w:trPr>
        <w:tc>
          <w:tcPr>
            <w:tcW w:w="2880" w:type="dxa"/>
            <w:vAlign w:val="bottom"/>
          </w:tcPr>
          <w:p>
            <w:pPr>
              <w:spacing w:after="0"/>
              <w:rPr>
                <w:sz w:val="8"/>
                <w:szCs w:val="8"/>
                <w:color w:val="auto"/>
              </w:rPr>
            </w:pPr>
          </w:p>
        </w:tc>
        <w:tc>
          <w:tcPr>
            <w:tcW w:w="2160" w:type="dxa"/>
            <w:vAlign w:val="bottom"/>
            <w:gridSpan w:val="2"/>
            <w:vMerge w:val="restart"/>
          </w:tcPr>
          <w:p>
            <w:pPr>
              <w:jc w:val="center"/>
              <w:ind w:right="120"/>
              <w:spacing w:after="0" w:line="202" w:lineRule="exact"/>
              <w:rPr>
                <w:sz w:val="20"/>
                <w:szCs w:val="20"/>
                <w:color w:val="auto"/>
              </w:rPr>
            </w:pPr>
            <w:r>
              <w:rPr>
                <w:rFonts w:ascii="Arial" w:cs="Arial" w:eastAsia="Arial" w:hAnsi="Arial"/>
                <w:sz w:val="18"/>
                <w:szCs w:val="18"/>
                <w:color w:val="auto"/>
              </w:rPr>
              <w:t>to operate all services</w:t>
            </w:r>
          </w:p>
        </w:tc>
        <w:tc>
          <w:tcPr>
            <w:tcW w:w="2160" w:type="dxa"/>
            <w:vAlign w:val="bottom"/>
            <w:gridSpan w:val="2"/>
            <w:vMerge w:val="restart"/>
          </w:tcPr>
          <w:p>
            <w:pPr>
              <w:jc w:val="center"/>
              <w:ind w:right="100"/>
              <w:spacing w:after="0" w:line="202" w:lineRule="exact"/>
              <w:rPr>
                <w:sz w:val="20"/>
                <w:szCs w:val="20"/>
                <w:color w:val="auto"/>
              </w:rPr>
            </w:pPr>
            <w:r>
              <w:rPr>
                <w:rFonts w:ascii="Arial" w:cs="Arial" w:eastAsia="Arial" w:hAnsi="Arial"/>
                <w:sz w:val="18"/>
                <w:szCs w:val="18"/>
                <w:color w:val="auto"/>
              </w:rPr>
              <w:t>services between the</w:t>
            </w:r>
          </w:p>
        </w:tc>
        <w:tc>
          <w:tcPr>
            <w:tcW w:w="2160" w:type="dxa"/>
            <w:vAlign w:val="bottom"/>
            <w:gridSpan w:val="2"/>
            <w:vMerge w:val="continue"/>
          </w:tcPr>
          <w:p>
            <w:pPr>
              <w:spacing w:after="0"/>
              <w:rPr>
                <w:sz w:val="8"/>
                <w:szCs w:val="8"/>
                <w:color w:val="auto"/>
              </w:rPr>
            </w:pPr>
          </w:p>
        </w:tc>
        <w:tc>
          <w:tcPr>
            <w:tcW w:w="2060" w:type="dxa"/>
            <w:vAlign w:val="bottom"/>
            <w:vMerge w:val="continue"/>
          </w:tcPr>
          <w:p>
            <w:pPr>
              <w:spacing w:after="0"/>
              <w:rPr>
                <w:sz w:val="8"/>
                <w:szCs w:val="8"/>
                <w:color w:val="auto"/>
              </w:rPr>
            </w:pPr>
          </w:p>
        </w:tc>
        <w:tc>
          <w:tcPr>
            <w:tcW w:w="0" w:type="dxa"/>
            <w:vAlign w:val="bottom"/>
          </w:tcPr>
          <w:p>
            <w:pPr>
              <w:spacing w:after="0"/>
              <w:rPr>
                <w:sz w:val="1"/>
                <w:szCs w:val="1"/>
                <w:color w:val="auto"/>
              </w:rPr>
            </w:pPr>
          </w:p>
        </w:tc>
      </w:tr>
      <w:tr>
        <w:trPr>
          <w:trHeight w:val="108"/>
        </w:trPr>
        <w:tc>
          <w:tcPr>
            <w:tcW w:w="2880" w:type="dxa"/>
            <w:vAlign w:val="bottom"/>
          </w:tcPr>
          <w:p>
            <w:pPr>
              <w:spacing w:after="0"/>
              <w:rPr>
                <w:sz w:val="9"/>
                <w:szCs w:val="9"/>
                <w:color w:val="auto"/>
              </w:rPr>
            </w:pPr>
          </w:p>
        </w:tc>
        <w:tc>
          <w:tcPr>
            <w:tcW w:w="2160" w:type="dxa"/>
            <w:vAlign w:val="bottom"/>
            <w:gridSpan w:val="2"/>
            <w:vMerge w:val="continue"/>
          </w:tcPr>
          <w:p>
            <w:pPr>
              <w:spacing w:after="0"/>
              <w:rPr>
                <w:sz w:val="9"/>
                <w:szCs w:val="9"/>
                <w:color w:val="auto"/>
              </w:rPr>
            </w:pPr>
          </w:p>
        </w:tc>
        <w:tc>
          <w:tcPr>
            <w:tcW w:w="2160" w:type="dxa"/>
            <w:vAlign w:val="bottom"/>
            <w:gridSpan w:val="2"/>
            <w:vMerge w:val="continue"/>
          </w:tcPr>
          <w:p>
            <w:pPr>
              <w:spacing w:after="0"/>
              <w:rPr>
                <w:sz w:val="9"/>
                <w:szCs w:val="9"/>
                <w:color w:val="auto"/>
              </w:rPr>
            </w:pPr>
          </w:p>
        </w:tc>
        <w:tc>
          <w:tcPr>
            <w:tcW w:w="2060" w:type="dxa"/>
            <w:vAlign w:val="bottom"/>
          </w:tcPr>
          <w:p>
            <w:pPr>
              <w:spacing w:after="0"/>
              <w:rPr>
                <w:sz w:val="9"/>
                <w:szCs w:val="9"/>
                <w:color w:val="auto"/>
              </w:rPr>
            </w:pPr>
          </w:p>
        </w:tc>
        <w:tc>
          <w:tcPr>
            <w:tcW w:w="100" w:type="dxa"/>
            <w:vAlign w:val="bottom"/>
          </w:tcPr>
          <w:p>
            <w:pPr>
              <w:spacing w:after="0"/>
              <w:rPr>
                <w:sz w:val="9"/>
                <w:szCs w:val="9"/>
                <w:color w:val="auto"/>
              </w:rPr>
            </w:pPr>
          </w:p>
        </w:tc>
        <w:tc>
          <w:tcPr>
            <w:tcW w:w="2060" w:type="dxa"/>
            <w:vAlign w:val="bottom"/>
            <w:vMerge w:val="restart"/>
          </w:tcPr>
          <w:p>
            <w:pPr>
              <w:jc w:val="center"/>
              <w:spacing w:after="0" w:line="202" w:lineRule="exact"/>
              <w:rPr>
                <w:sz w:val="20"/>
                <w:szCs w:val="20"/>
                <w:color w:val="auto"/>
              </w:rPr>
            </w:pPr>
            <w:r>
              <w:rPr>
                <w:rFonts w:ascii="Arial" w:cs="Arial" w:eastAsia="Arial" w:hAnsi="Arial"/>
                <w:sz w:val="18"/>
                <w:szCs w:val="18"/>
                <w:color w:val="auto"/>
              </w:rPr>
              <w:t>Airport (LGA) slots,</w:t>
            </w:r>
          </w:p>
        </w:tc>
        <w:tc>
          <w:tcPr>
            <w:tcW w:w="0" w:type="dxa"/>
            <w:vAlign w:val="bottom"/>
          </w:tcPr>
          <w:p>
            <w:pPr>
              <w:spacing w:after="0"/>
              <w:rPr>
                <w:sz w:val="1"/>
                <w:szCs w:val="1"/>
                <w:color w:val="auto"/>
              </w:rPr>
            </w:pPr>
          </w:p>
        </w:tc>
      </w:tr>
      <w:tr>
        <w:trPr>
          <w:trHeight w:val="95"/>
        </w:trPr>
        <w:tc>
          <w:tcPr>
            <w:tcW w:w="2880" w:type="dxa"/>
            <w:vAlign w:val="bottom"/>
          </w:tcPr>
          <w:p>
            <w:pPr>
              <w:spacing w:after="0"/>
              <w:rPr>
                <w:sz w:val="8"/>
                <w:szCs w:val="8"/>
                <w:color w:val="auto"/>
              </w:rPr>
            </w:pPr>
          </w:p>
        </w:tc>
        <w:tc>
          <w:tcPr>
            <w:tcW w:w="2160" w:type="dxa"/>
            <w:vAlign w:val="bottom"/>
            <w:gridSpan w:val="2"/>
            <w:vMerge w:val="restart"/>
          </w:tcPr>
          <w:p>
            <w:pPr>
              <w:jc w:val="center"/>
              <w:ind w:right="120"/>
              <w:spacing w:after="0" w:line="202" w:lineRule="exact"/>
              <w:rPr>
                <w:sz w:val="20"/>
                <w:szCs w:val="20"/>
                <w:color w:val="auto"/>
              </w:rPr>
            </w:pPr>
            <w:r>
              <w:rPr>
                <w:rFonts w:ascii="Arial" w:cs="Arial" w:eastAsia="Arial" w:hAnsi="Arial"/>
                <w:sz w:val="18"/>
                <w:szCs w:val="18"/>
                <w:color w:val="auto"/>
                <w:w w:val="99"/>
              </w:rPr>
              <w:t>between the U.S. and</w:t>
            </w:r>
          </w:p>
        </w:tc>
        <w:tc>
          <w:tcPr>
            <w:tcW w:w="2160" w:type="dxa"/>
            <w:vAlign w:val="bottom"/>
            <w:gridSpan w:val="2"/>
            <w:vMerge w:val="restart"/>
          </w:tcPr>
          <w:p>
            <w:pPr>
              <w:jc w:val="center"/>
              <w:ind w:right="100"/>
              <w:spacing w:after="0" w:line="202" w:lineRule="exact"/>
              <w:rPr>
                <w:sz w:val="20"/>
                <w:szCs w:val="20"/>
                <w:color w:val="auto"/>
              </w:rPr>
            </w:pPr>
            <w:r>
              <w:rPr>
                <w:rFonts w:ascii="Arial" w:cs="Arial" w:eastAsia="Arial" w:hAnsi="Arial"/>
                <w:sz w:val="18"/>
                <w:szCs w:val="18"/>
                <w:color w:val="auto"/>
              </w:rPr>
              <w:t>U.S. and European</w:t>
            </w:r>
          </w:p>
        </w:tc>
        <w:tc>
          <w:tcPr>
            <w:tcW w:w="2060" w:type="dxa"/>
            <w:vAlign w:val="bottom"/>
          </w:tcPr>
          <w:p>
            <w:pPr>
              <w:spacing w:after="0"/>
              <w:rPr>
                <w:sz w:val="8"/>
                <w:szCs w:val="8"/>
                <w:color w:val="auto"/>
              </w:rPr>
            </w:pPr>
          </w:p>
        </w:tc>
        <w:tc>
          <w:tcPr>
            <w:tcW w:w="100" w:type="dxa"/>
            <w:vAlign w:val="bottom"/>
          </w:tcPr>
          <w:p>
            <w:pPr>
              <w:spacing w:after="0"/>
              <w:rPr>
                <w:sz w:val="8"/>
                <w:szCs w:val="8"/>
                <w:color w:val="auto"/>
              </w:rPr>
            </w:pPr>
          </w:p>
        </w:tc>
        <w:tc>
          <w:tcPr>
            <w:tcW w:w="2060" w:type="dxa"/>
            <w:vAlign w:val="bottom"/>
            <w:vMerge w:val="continue"/>
          </w:tcPr>
          <w:p>
            <w:pPr>
              <w:spacing w:after="0"/>
              <w:rPr>
                <w:sz w:val="8"/>
                <w:szCs w:val="8"/>
                <w:color w:val="auto"/>
              </w:rPr>
            </w:pPr>
          </w:p>
        </w:tc>
        <w:tc>
          <w:tcPr>
            <w:tcW w:w="0" w:type="dxa"/>
            <w:vAlign w:val="bottom"/>
          </w:tcPr>
          <w:p>
            <w:pPr>
              <w:spacing w:after="0"/>
              <w:rPr>
                <w:sz w:val="1"/>
                <w:szCs w:val="1"/>
                <w:color w:val="auto"/>
              </w:rPr>
            </w:pPr>
          </w:p>
        </w:tc>
      </w:tr>
      <w:tr>
        <w:trPr>
          <w:trHeight w:val="108"/>
        </w:trPr>
        <w:tc>
          <w:tcPr>
            <w:tcW w:w="2880" w:type="dxa"/>
            <w:vAlign w:val="bottom"/>
          </w:tcPr>
          <w:p>
            <w:pPr>
              <w:spacing w:after="0"/>
              <w:rPr>
                <w:sz w:val="9"/>
                <w:szCs w:val="9"/>
                <w:color w:val="auto"/>
              </w:rPr>
            </w:pPr>
          </w:p>
        </w:tc>
        <w:tc>
          <w:tcPr>
            <w:tcW w:w="2160" w:type="dxa"/>
            <w:vAlign w:val="bottom"/>
            <w:gridSpan w:val="2"/>
            <w:vMerge w:val="continue"/>
          </w:tcPr>
          <w:p>
            <w:pPr>
              <w:spacing w:after="0"/>
              <w:rPr>
                <w:sz w:val="9"/>
                <w:szCs w:val="9"/>
                <w:color w:val="auto"/>
              </w:rPr>
            </w:pPr>
          </w:p>
        </w:tc>
        <w:tc>
          <w:tcPr>
            <w:tcW w:w="2160" w:type="dxa"/>
            <w:vAlign w:val="bottom"/>
            <w:gridSpan w:val="2"/>
            <w:vMerge w:val="continue"/>
          </w:tcPr>
          <w:p>
            <w:pPr>
              <w:spacing w:after="0"/>
              <w:rPr>
                <w:sz w:val="9"/>
                <w:szCs w:val="9"/>
                <w:color w:val="auto"/>
              </w:rPr>
            </w:pPr>
          </w:p>
        </w:tc>
        <w:tc>
          <w:tcPr>
            <w:tcW w:w="2060" w:type="dxa"/>
            <w:vAlign w:val="bottom"/>
          </w:tcPr>
          <w:p>
            <w:pPr>
              <w:spacing w:after="0"/>
              <w:rPr>
                <w:sz w:val="9"/>
                <w:szCs w:val="9"/>
                <w:color w:val="auto"/>
              </w:rPr>
            </w:pPr>
          </w:p>
        </w:tc>
        <w:tc>
          <w:tcPr>
            <w:tcW w:w="100" w:type="dxa"/>
            <w:vAlign w:val="bottom"/>
          </w:tcPr>
          <w:p>
            <w:pPr>
              <w:spacing w:after="0"/>
              <w:rPr>
                <w:sz w:val="9"/>
                <w:szCs w:val="9"/>
                <w:color w:val="auto"/>
              </w:rPr>
            </w:pPr>
          </w:p>
        </w:tc>
        <w:tc>
          <w:tcPr>
            <w:tcW w:w="2060" w:type="dxa"/>
            <w:vAlign w:val="bottom"/>
            <w:vMerge w:val="restart"/>
          </w:tcPr>
          <w:p>
            <w:pPr>
              <w:jc w:val="center"/>
              <w:spacing w:after="0" w:line="202" w:lineRule="exact"/>
              <w:rPr>
                <w:sz w:val="20"/>
                <w:szCs w:val="20"/>
                <w:color w:val="auto"/>
              </w:rPr>
            </w:pPr>
            <w:r>
              <w:rPr>
                <w:rFonts w:ascii="Arial" w:cs="Arial" w:eastAsia="Arial" w:hAnsi="Arial"/>
                <w:sz w:val="18"/>
                <w:szCs w:val="18"/>
                <w:color w:val="auto"/>
                <w:w w:val="99"/>
              </w:rPr>
              <w:t>certain simulators and</w:t>
            </w:r>
          </w:p>
        </w:tc>
        <w:tc>
          <w:tcPr>
            <w:tcW w:w="0" w:type="dxa"/>
            <w:vAlign w:val="bottom"/>
          </w:tcPr>
          <w:p>
            <w:pPr>
              <w:spacing w:after="0"/>
              <w:rPr>
                <w:sz w:val="1"/>
                <w:szCs w:val="1"/>
                <w:color w:val="auto"/>
              </w:rPr>
            </w:pPr>
          </w:p>
        </w:tc>
      </w:tr>
      <w:tr>
        <w:trPr>
          <w:trHeight w:val="95"/>
        </w:trPr>
        <w:tc>
          <w:tcPr>
            <w:tcW w:w="2880" w:type="dxa"/>
            <w:vAlign w:val="bottom"/>
          </w:tcPr>
          <w:p>
            <w:pPr>
              <w:spacing w:after="0"/>
              <w:rPr>
                <w:sz w:val="8"/>
                <w:szCs w:val="8"/>
                <w:color w:val="auto"/>
              </w:rPr>
            </w:pPr>
          </w:p>
        </w:tc>
        <w:tc>
          <w:tcPr>
            <w:tcW w:w="2160" w:type="dxa"/>
            <w:vAlign w:val="bottom"/>
            <w:gridSpan w:val="2"/>
            <w:vMerge w:val="restart"/>
          </w:tcPr>
          <w:p>
            <w:pPr>
              <w:jc w:val="center"/>
              <w:ind w:right="100"/>
              <w:spacing w:after="0" w:line="202" w:lineRule="exact"/>
              <w:rPr>
                <w:sz w:val="20"/>
                <w:szCs w:val="20"/>
                <w:color w:val="auto"/>
              </w:rPr>
            </w:pPr>
            <w:r>
              <w:rPr>
                <w:rFonts w:ascii="Arial" w:cs="Arial" w:eastAsia="Arial" w:hAnsi="Arial"/>
                <w:sz w:val="18"/>
                <w:szCs w:val="18"/>
                <w:color w:val="auto"/>
                <w:w w:val="99"/>
              </w:rPr>
              <w:t>South America</w:t>
            </w:r>
          </w:p>
        </w:tc>
        <w:tc>
          <w:tcPr>
            <w:tcW w:w="2160" w:type="dxa"/>
            <w:vAlign w:val="bottom"/>
            <w:gridSpan w:val="2"/>
            <w:vMerge w:val="restart"/>
          </w:tcPr>
          <w:p>
            <w:pPr>
              <w:jc w:val="center"/>
              <w:ind w:right="100"/>
              <w:spacing w:after="0" w:line="202" w:lineRule="exact"/>
              <w:rPr>
                <w:sz w:val="20"/>
                <w:szCs w:val="20"/>
                <w:color w:val="auto"/>
              </w:rPr>
            </w:pPr>
            <w:r>
              <w:rPr>
                <w:rFonts w:ascii="Arial" w:cs="Arial" w:eastAsia="Arial" w:hAnsi="Arial"/>
                <w:sz w:val="18"/>
                <w:szCs w:val="18"/>
                <w:color w:val="auto"/>
                <w:w w:val="99"/>
              </w:rPr>
              <w:t>Union (including London</w:t>
            </w:r>
          </w:p>
        </w:tc>
        <w:tc>
          <w:tcPr>
            <w:tcW w:w="2060" w:type="dxa"/>
            <w:vAlign w:val="bottom"/>
          </w:tcPr>
          <w:p>
            <w:pPr>
              <w:spacing w:after="0"/>
              <w:rPr>
                <w:sz w:val="8"/>
                <w:szCs w:val="8"/>
                <w:color w:val="auto"/>
              </w:rPr>
            </w:pPr>
          </w:p>
        </w:tc>
        <w:tc>
          <w:tcPr>
            <w:tcW w:w="100" w:type="dxa"/>
            <w:vAlign w:val="bottom"/>
          </w:tcPr>
          <w:p>
            <w:pPr>
              <w:spacing w:after="0"/>
              <w:rPr>
                <w:sz w:val="8"/>
                <w:szCs w:val="8"/>
                <w:color w:val="auto"/>
              </w:rPr>
            </w:pPr>
          </w:p>
        </w:tc>
        <w:tc>
          <w:tcPr>
            <w:tcW w:w="2060" w:type="dxa"/>
            <w:vAlign w:val="bottom"/>
            <w:vMerge w:val="continue"/>
          </w:tcPr>
          <w:p>
            <w:pPr>
              <w:spacing w:after="0"/>
              <w:rPr>
                <w:sz w:val="8"/>
                <w:szCs w:val="8"/>
                <w:color w:val="auto"/>
              </w:rPr>
            </w:pPr>
          </w:p>
        </w:tc>
        <w:tc>
          <w:tcPr>
            <w:tcW w:w="0" w:type="dxa"/>
            <w:vAlign w:val="bottom"/>
          </w:tcPr>
          <w:p>
            <w:pPr>
              <w:spacing w:after="0"/>
              <w:rPr>
                <w:sz w:val="1"/>
                <w:szCs w:val="1"/>
                <w:color w:val="auto"/>
              </w:rPr>
            </w:pPr>
          </w:p>
        </w:tc>
      </w:tr>
      <w:tr>
        <w:trPr>
          <w:trHeight w:val="108"/>
        </w:trPr>
        <w:tc>
          <w:tcPr>
            <w:tcW w:w="2880" w:type="dxa"/>
            <w:vAlign w:val="bottom"/>
          </w:tcPr>
          <w:p>
            <w:pPr>
              <w:spacing w:after="0"/>
              <w:rPr>
                <w:sz w:val="9"/>
                <w:szCs w:val="9"/>
                <w:color w:val="auto"/>
              </w:rPr>
            </w:pPr>
          </w:p>
        </w:tc>
        <w:tc>
          <w:tcPr>
            <w:tcW w:w="2160" w:type="dxa"/>
            <w:vAlign w:val="bottom"/>
            <w:gridSpan w:val="2"/>
            <w:vMerge w:val="continue"/>
          </w:tcPr>
          <w:p>
            <w:pPr>
              <w:spacing w:after="0"/>
              <w:rPr>
                <w:sz w:val="9"/>
                <w:szCs w:val="9"/>
                <w:color w:val="auto"/>
              </w:rPr>
            </w:pPr>
          </w:p>
        </w:tc>
        <w:tc>
          <w:tcPr>
            <w:tcW w:w="2160" w:type="dxa"/>
            <w:vAlign w:val="bottom"/>
            <w:gridSpan w:val="2"/>
            <w:vMerge w:val="continue"/>
          </w:tcPr>
          <w:p>
            <w:pPr>
              <w:spacing w:after="0"/>
              <w:rPr>
                <w:sz w:val="9"/>
                <w:szCs w:val="9"/>
                <w:color w:val="auto"/>
              </w:rPr>
            </w:pPr>
          </w:p>
        </w:tc>
        <w:tc>
          <w:tcPr>
            <w:tcW w:w="2060" w:type="dxa"/>
            <w:vAlign w:val="bottom"/>
          </w:tcPr>
          <w:p>
            <w:pPr>
              <w:spacing w:after="0"/>
              <w:rPr>
                <w:sz w:val="9"/>
                <w:szCs w:val="9"/>
                <w:color w:val="auto"/>
              </w:rPr>
            </w:pPr>
          </w:p>
        </w:tc>
        <w:tc>
          <w:tcPr>
            <w:tcW w:w="100" w:type="dxa"/>
            <w:vAlign w:val="bottom"/>
          </w:tcPr>
          <w:p>
            <w:pPr>
              <w:spacing w:after="0"/>
              <w:rPr>
                <w:sz w:val="9"/>
                <w:szCs w:val="9"/>
                <w:color w:val="auto"/>
              </w:rPr>
            </w:pPr>
          </w:p>
        </w:tc>
        <w:tc>
          <w:tcPr>
            <w:tcW w:w="2060" w:type="dxa"/>
            <w:vAlign w:val="bottom"/>
            <w:vMerge w:val="restart"/>
          </w:tcPr>
          <w:p>
            <w:pPr>
              <w:jc w:val="center"/>
              <w:spacing w:after="0"/>
              <w:rPr>
                <w:sz w:val="20"/>
                <w:szCs w:val="20"/>
                <w:color w:val="auto"/>
              </w:rPr>
            </w:pPr>
            <w:r>
              <w:rPr>
                <w:rFonts w:ascii="Arial" w:cs="Arial" w:eastAsia="Arial" w:hAnsi="Arial"/>
                <w:sz w:val="18"/>
                <w:szCs w:val="18"/>
                <w:color w:val="auto"/>
              </w:rPr>
              <w:t>certain leasehold rights</w:t>
            </w:r>
          </w:p>
        </w:tc>
        <w:tc>
          <w:tcPr>
            <w:tcW w:w="0" w:type="dxa"/>
            <w:vAlign w:val="bottom"/>
          </w:tcPr>
          <w:p>
            <w:pPr>
              <w:spacing w:after="0"/>
              <w:rPr>
                <w:sz w:val="1"/>
                <w:szCs w:val="1"/>
                <w:color w:val="auto"/>
              </w:rPr>
            </w:pPr>
          </w:p>
        </w:tc>
      </w:tr>
      <w:tr>
        <w:trPr>
          <w:trHeight w:val="109"/>
        </w:trPr>
        <w:tc>
          <w:tcPr>
            <w:tcW w:w="2880" w:type="dxa"/>
            <w:vAlign w:val="bottom"/>
          </w:tcPr>
          <w:p>
            <w:pPr>
              <w:spacing w:after="0"/>
              <w:rPr>
                <w:sz w:val="9"/>
                <w:szCs w:val="9"/>
                <w:color w:val="auto"/>
              </w:rPr>
            </w:pPr>
          </w:p>
        </w:tc>
        <w:tc>
          <w:tcPr>
            <w:tcW w:w="2060" w:type="dxa"/>
            <w:vAlign w:val="bottom"/>
          </w:tcPr>
          <w:p>
            <w:pPr>
              <w:spacing w:after="0"/>
              <w:rPr>
                <w:sz w:val="9"/>
                <w:szCs w:val="9"/>
                <w:color w:val="auto"/>
              </w:rPr>
            </w:pPr>
          </w:p>
        </w:tc>
        <w:tc>
          <w:tcPr>
            <w:tcW w:w="100" w:type="dxa"/>
            <w:vAlign w:val="bottom"/>
          </w:tcPr>
          <w:p>
            <w:pPr>
              <w:spacing w:after="0"/>
              <w:rPr>
                <w:sz w:val="9"/>
                <w:szCs w:val="9"/>
                <w:color w:val="auto"/>
              </w:rPr>
            </w:pPr>
          </w:p>
        </w:tc>
        <w:tc>
          <w:tcPr>
            <w:tcW w:w="2160" w:type="dxa"/>
            <w:vAlign w:val="bottom"/>
            <w:gridSpan w:val="2"/>
            <w:vMerge w:val="restart"/>
          </w:tcPr>
          <w:p>
            <w:pPr>
              <w:jc w:val="center"/>
              <w:ind w:right="100"/>
              <w:spacing w:after="0"/>
              <w:rPr>
                <w:sz w:val="20"/>
                <w:szCs w:val="20"/>
                <w:color w:val="auto"/>
              </w:rPr>
            </w:pPr>
            <w:r>
              <w:rPr>
                <w:rFonts w:ascii="Arial" w:cs="Arial" w:eastAsia="Arial" w:hAnsi="Arial"/>
                <w:sz w:val="18"/>
                <w:szCs w:val="18"/>
                <w:color w:val="auto"/>
                <w:w w:val="98"/>
              </w:rPr>
              <w:t>Heathrow)</w:t>
            </w:r>
          </w:p>
        </w:tc>
        <w:tc>
          <w:tcPr>
            <w:tcW w:w="2060" w:type="dxa"/>
            <w:vAlign w:val="bottom"/>
          </w:tcPr>
          <w:p>
            <w:pPr>
              <w:spacing w:after="0"/>
              <w:rPr>
                <w:sz w:val="9"/>
                <w:szCs w:val="9"/>
                <w:color w:val="auto"/>
              </w:rPr>
            </w:pPr>
          </w:p>
        </w:tc>
        <w:tc>
          <w:tcPr>
            <w:tcW w:w="100" w:type="dxa"/>
            <w:vAlign w:val="bottom"/>
          </w:tcPr>
          <w:p>
            <w:pPr>
              <w:spacing w:after="0"/>
              <w:rPr>
                <w:sz w:val="9"/>
                <w:szCs w:val="9"/>
                <w:color w:val="auto"/>
              </w:rPr>
            </w:pPr>
          </w:p>
        </w:tc>
        <w:tc>
          <w:tcPr>
            <w:tcW w:w="206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08"/>
        </w:trPr>
        <w:tc>
          <w:tcPr>
            <w:tcW w:w="2880" w:type="dxa"/>
            <w:vAlign w:val="bottom"/>
          </w:tcPr>
          <w:p>
            <w:pPr>
              <w:spacing w:after="0"/>
              <w:rPr>
                <w:sz w:val="9"/>
                <w:szCs w:val="9"/>
                <w:color w:val="auto"/>
              </w:rPr>
            </w:pPr>
          </w:p>
        </w:tc>
        <w:tc>
          <w:tcPr>
            <w:tcW w:w="2060" w:type="dxa"/>
            <w:vAlign w:val="bottom"/>
          </w:tcPr>
          <w:p>
            <w:pPr>
              <w:spacing w:after="0"/>
              <w:rPr>
                <w:sz w:val="9"/>
                <w:szCs w:val="9"/>
                <w:color w:val="auto"/>
              </w:rPr>
            </w:pPr>
          </w:p>
        </w:tc>
        <w:tc>
          <w:tcPr>
            <w:tcW w:w="100" w:type="dxa"/>
            <w:vAlign w:val="bottom"/>
          </w:tcPr>
          <w:p>
            <w:pPr>
              <w:spacing w:after="0"/>
              <w:rPr>
                <w:sz w:val="9"/>
                <w:szCs w:val="9"/>
                <w:color w:val="auto"/>
              </w:rPr>
            </w:pPr>
          </w:p>
        </w:tc>
        <w:tc>
          <w:tcPr>
            <w:tcW w:w="2160" w:type="dxa"/>
            <w:vAlign w:val="bottom"/>
            <w:gridSpan w:val="2"/>
            <w:vMerge w:val="continue"/>
          </w:tcPr>
          <w:p>
            <w:pPr>
              <w:spacing w:after="0"/>
              <w:rPr>
                <w:sz w:val="9"/>
                <w:szCs w:val="9"/>
                <w:color w:val="auto"/>
              </w:rPr>
            </w:pPr>
          </w:p>
        </w:tc>
        <w:tc>
          <w:tcPr>
            <w:tcW w:w="2060" w:type="dxa"/>
            <w:vAlign w:val="bottom"/>
          </w:tcPr>
          <w:p>
            <w:pPr>
              <w:spacing w:after="0"/>
              <w:rPr>
                <w:sz w:val="9"/>
                <w:szCs w:val="9"/>
                <w:color w:val="auto"/>
              </w:rPr>
            </w:pPr>
          </w:p>
        </w:tc>
        <w:tc>
          <w:tcPr>
            <w:tcW w:w="100" w:type="dxa"/>
            <w:vAlign w:val="bottom"/>
          </w:tcPr>
          <w:p>
            <w:pPr>
              <w:spacing w:after="0"/>
              <w:rPr>
                <w:sz w:val="9"/>
                <w:szCs w:val="9"/>
                <w:color w:val="auto"/>
              </w:rPr>
            </w:pPr>
          </w:p>
        </w:tc>
        <w:tc>
          <w:tcPr>
            <w:tcW w:w="2060" w:type="dxa"/>
            <w:vAlign w:val="bottom"/>
          </w:tcPr>
          <w:p>
            <w:pPr>
              <w:spacing w:after="0"/>
              <w:rPr>
                <w:sz w:val="9"/>
                <w:szCs w:val="9"/>
                <w:color w:val="auto"/>
              </w:rPr>
            </w:pPr>
          </w:p>
        </w:tc>
        <w:tc>
          <w:tcPr>
            <w:tcW w:w="0" w:type="dxa"/>
            <w:vAlign w:val="bottom"/>
          </w:tcPr>
          <w:p>
            <w:pPr>
              <w:spacing w:after="0"/>
              <w:rPr>
                <w:sz w:val="1"/>
                <w:szCs w:val="1"/>
                <w:color w:val="auto"/>
              </w:rPr>
            </w:pPr>
          </w:p>
        </w:tc>
      </w:tr>
    </w:tbl>
    <w:p>
      <w:pPr>
        <w:spacing w:after="0" w:line="175" w:lineRule="exact"/>
        <w:rPr>
          <w:sz w:val="20"/>
          <w:szCs w:val="20"/>
          <w:color w:val="auto"/>
        </w:rPr>
      </w:pPr>
    </w:p>
    <w:p>
      <w:pPr>
        <w:ind w:left="220"/>
        <w:spacing w:after="0"/>
        <w:rPr>
          <w:sz w:val="20"/>
          <w:szCs w:val="20"/>
          <w:color w:val="auto"/>
        </w:rPr>
      </w:pPr>
      <w:r>
        <w:rPr>
          <w:rFonts w:ascii="Arial" w:cs="Arial" w:eastAsia="Arial" w:hAnsi="Arial"/>
          <w:sz w:val="18"/>
          <w:szCs w:val="18"/>
          <w:color w:val="auto"/>
        </w:rPr>
        <w:t>At December 31, 2019, American was in compliance with the applicable collateral coverage tests as of the most recent measurement dates.</w:t>
      </w:r>
    </w:p>
    <w:p>
      <w:pPr>
        <w:spacing w:after="0" w:line="23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4. Leases</w:t>
      </w:r>
    </w:p>
    <w:p>
      <w:pPr>
        <w:spacing w:after="0" w:line="112" w:lineRule="exact"/>
        <w:rPr>
          <w:sz w:val="20"/>
          <w:szCs w:val="20"/>
          <w:color w:val="auto"/>
        </w:rPr>
      </w:pPr>
    </w:p>
    <w:p>
      <w:pPr>
        <w:jc w:val="both"/>
        <w:ind w:firstLine="243"/>
        <w:spacing w:after="0" w:line="262" w:lineRule="auto"/>
        <w:rPr>
          <w:sz w:val="20"/>
          <w:szCs w:val="20"/>
          <w:color w:val="auto"/>
        </w:rPr>
      </w:pPr>
      <w:r>
        <w:rPr>
          <w:rFonts w:ascii="Arial" w:cs="Arial" w:eastAsia="Arial" w:hAnsi="Arial"/>
          <w:sz w:val="18"/>
          <w:szCs w:val="18"/>
          <w:color w:val="auto"/>
        </w:rPr>
        <w:t>American leases certain aircraft and engines, including aircraft under capacity purchase agreements. As of December 31, 2019, American had 636 leased aircraft, with remaining terms ranging from less than one year to 12 years.</w:t>
      </w:r>
    </w:p>
    <w:p>
      <w:pPr>
        <w:spacing w:after="0" w:line="142" w:lineRule="exact"/>
        <w:rPr>
          <w:sz w:val="20"/>
          <w:szCs w:val="20"/>
          <w:color w:val="auto"/>
        </w:rPr>
      </w:pPr>
    </w:p>
    <w:p>
      <w:pPr>
        <w:jc w:val="both"/>
        <w:ind w:firstLine="243"/>
        <w:spacing w:after="0" w:line="252" w:lineRule="auto"/>
        <w:rPr>
          <w:sz w:val="20"/>
          <w:szCs w:val="20"/>
          <w:color w:val="auto"/>
        </w:rPr>
      </w:pPr>
      <w:r>
        <w:rPr>
          <w:rFonts w:ascii="Arial" w:cs="Arial" w:eastAsia="Arial" w:hAnsi="Arial"/>
          <w:sz w:val="18"/>
          <w:szCs w:val="18"/>
          <w:color w:val="auto"/>
        </w:rPr>
        <w:t>At each airport where American conducts flight operations, American has agreements, generally with a governmental unit or authority, for the use of passenger, operations and baggage handling space as well as runways and taxiways. These agreements, particularly in the U.S., often contain provisions for periodic adjustments to rates and charges applicable under such agreements. These rates and charges also vary with American’s level of operations and the operations of the airport. Because of the variable nature of these rates, these leases are not recorded on American’s balance sheet as a ROU asset or a lease liability. Additionally, at American’s hub locations and in certain other cities it serves, American leases administrative offices, catering, cargo, training, maintenance and other facilities.</w:t>
      </w:r>
    </w:p>
    <w:p>
      <w:pPr>
        <w:spacing w:after="0" w:line="155" w:lineRule="exact"/>
        <w:rPr>
          <w:sz w:val="20"/>
          <w:szCs w:val="20"/>
          <w:color w:val="auto"/>
        </w:rPr>
      </w:pPr>
    </w:p>
    <w:p>
      <w:pPr>
        <w:ind w:left="260"/>
        <w:spacing w:after="0"/>
        <w:rPr>
          <w:sz w:val="20"/>
          <w:szCs w:val="20"/>
          <w:color w:val="auto"/>
        </w:rPr>
      </w:pPr>
      <w:r>
        <w:rPr>
          <w:rFonts w:ascii="Arial" w:cs="Arial" w:eastAsia="Arial" w:hAnsi="Arial"/>
          <w:sz w:val="18"/>
          <w:szCs w:val="18"/>
          <w:color w:val="auto"/>
        </w:rPr>
        <w:t>The components of lease expense were as follows (in millions):</w:t>
      </w:r>
    </w:p>
    <w:p>
      <w:pPr>
        <w:spacing w:after="0" w:line="375" w:lineRule="exact"/>
        <w:rPr>
          <w:sz w:val="20"/>
          <w:szCs w:val="20"/>
          <w:color w:val="auto"/>
        </w:rPr>
      </w:pPr>
    </w:p>
    <w:tbl>
      <w:tblPr>
        <w:tblLayout w:type="fixed"/>
        <w:tblInd w:w="0" w:type="dxa"/>
        <w:tblCellMar>
          <w:top w:w="0" w:type="dxa"/>
          <w:left w:w="0" w:type="dxa"/>
          <w:bottom w:w="0" w:type="dxa"/>
          <w:right w:w="0" w:type="dxa"/>
        </w:tblCellMar>
      </w:tblPr>
      <w:tr>
        <w:trPr>
          <w:trHeight w:val="196"/>
        </w:trPr>
        <w:tc>
          <w:tcPr>
            <w:tcW w:w="7640" w:type="dxa"/>
            <w:vAlign w:val="bottom"/>
          </w:tcPr>
          <w:p>
            <w:pPr>
              <w:spacing w:after="0"/>
              <w:rPr>
                <w:sz w:val="17"/>
                <w:szCs w:val="17"/>
                <w:color w:val="auto"/>
              </w:rPr>
            </w:pPr>
          </w:p>
        </w:tc>
        <w:tc>
          <w:tcPr>
            <w:tcW w:w="3120" w:type="dxa"/>
            <w:vAlign w:val="bottom"/>
            <w:tcBorders>
              <w:bottom w:val="single" w:sz="8" w:color="auto"/>
            </w:tcBorders>
            <w:gridSpan w:val="4"/>
          </w:tcPr>
          <w:p>
            <w:pPr>
              <w:jc w:val="right"/>
              <w:ind w:right="256"/>
              <w:spacing w:after="0"/>
              <w:rPr>
                <w:sz w:val="20"/>
                <w:szCs w:val="20"/>
                <w:color w:val="auto"/>
              </w:rPr>
            </w:pPr>
            <w:r>
              <w:rPr>
                <w:rFonts w:ascii="Arial" w:cs="Arial" w:eastAsia="Arial" w:hAnsi="Arial"/>
                <w:sz w:val="14"/>
                <w:szCs w:val="14"/>
                <w:b w:val="1"/>
                <w:bCs w:val="1"/>
                <w:color w:val="auto"/>
              </w:rPr>
              <w:t>Year Ended December 31,</w:t>
            </w:r>
          </w:p>
        </w:tc>
        <w:tc>
          <w:tcPr>
            <w:tcW w:w="660" w:type="dxa"/>
            <w:vAlign w:val="bottom"/>
            <w:tcBorders>
              <w:bottom w:val="single" w:sz="8" w:color="auto"/>
            </w:tcBorders>
          </w:tcPr>
          <w:p>
            <w:pPr>
              <w:spacing w:after="0"/>
              <w:rPr>
                <w:sz w:val="17"/>
                <w:szCs w:val="17"/>
                <w:color w:val="auto"/>
              </w:rPr>
            </w:pPr>
          </w:p>
        </w:tc>
      </w:tr>
      <w:tr>
        <w:trPr>
          <w:trHeight w:val="250"/>
        </w:trPr>
        <w:tc>
          <w:tcPr>
            <w:tcW w:w="7640" w:type="dxa"/>
            <w:vAlign w:val="bottom"/>
          </w:tcPr>
          <w:p>
            <w:pPr>
              <w:spacing w:after="0"/>
              <w:rPr>
                <w:sz w:val="21"/>
                <w:szCs w:val="21"/>
                <w:color w:val="auto"/>
              </w:rPr>
            </w:pPr>
          </w:p>
        </w:tc>
        <w:tc>
          <w:tcPr>
            <w:tcW w:w="1180" w:type="dxa"/>
            <w:vAlign w:val="bottom"/>
            <w:tcBorders>
              <w:bottom w:val="single" w:sz="8" w:color="auto"/>
            </w:tcBorders>
          </w:tcPr>
          <w:p>
            <w:pPr>
              <w:jc w:val="right"/>
              <w:ind w:right="19"/>
              <w:spacing w:after="0"/>
              <w:rPr>
                <w:sz w:val="20"/>
                <w:szCs w:val="20"/>
                <w:color w:val="auto"/>
              </w:rPr>
            </w:pPr>
            <w:r>
              <w:rPr>
                <w:rFonts w:ascii="Arial" w:cs="Arial" w:eastAsia="Arial" w:hAnsi="Arial"/>
                <w:sz w:val="14"/>
                <w:szCs w:val="14"/>
                <w:b w:val="1"/>
                <w:bCs w:val="1"/>
                <w:color w:val="auto"/>
              </w:rPr>
              <w:t>2019</w:t>
            </w:r>
          </w:p>
        </w:tc>
        <w:tc>
          <w:tcPr>
            <w:tcW w:w="660" w:type="dxa"/>
            <w:vAlign w:val="bottom"/>
            <w:tcBorders>
              <w:bottom w:val="single" w:sz="8" w:color="auto"/>
            </w:tcBorders>
          </w:tcPr>
          <w:p>
            <w:pPr>
              <w:spacing w:after="0"/>
              <w:rPr>
                <w:sz w:val="21"/>
                <w:szCs w:val="21"/>
                <w:color w:val="auto"/>
              </w:rPr>
            </w:pPr>
          </w:p>
        </w:tc>
        <w:tc>
          <w:tcPr>
            <w:tcW w:w="100" w:type="dxa"/>
            <w:vAlign w:val="bottom"/>
          </w:tcPr>
          <w:p>
            <w:pPr>
              <w:spacing w:after="0"/>
              <w:rPr>
                <w:sz w:val="21"/>
                <w:szCs w:val="21"/>
                <w:color w:val="auto"/>
              </w:rPr>
            </w:pPr>
          </w:p>
        </w:tc>
        <w:tc>
          <w:tcPr>
            <w:tcW w:w="1180" w:type="dxa"/>
            <w:vAlign w:val="bottom"/>
            <w:tcBorders>
              <w:bottom w:val="single" w:sz="8" w:color="auto"/>
            </w:tcBorders>
          </w:tcPr>
          <w:p>
            <w:pPr>
              <w:jc w:val="right"/>
              <w:ind w:right="16"/>
              <w:spacing w:after="0"/>
              <w:rPr>
                <w:sz w:val="20"/>
                <w:szCs w:val="20"/>
                <w:color w:val="auto"/>
              </w:rPr>
            </w:pPr>
            <w:r>
              <w:rPr>
                <w:rFonts w:ascii="Arial" w:cs="Arial" w:eastAsia="Arial" w:hAnsi="Arial"/>
                <w:sz w:val="14"/>
                <w:szCs w:val="14"/>
                <w:b w:val="1"/>
                <w:bCs w:val="1"/>
                <w:color w:val="auto"/>
              </w:rPr>
              <w:t>2018</w:t>
            </w:r>
          </w:p>
        </w:tc>
        <w:tc>
          <w:tcPr>
            <w:tcW w:w="660" w:type="dxa"/>
            <w:vAlign w:val="bottom"/>
            <w:tcBorders>
              <w:bottom w:val="single" w:sz="8" w:color="auto"/>
            </w:tcBorders>
          </w:tcPr>
          <w:p>
            <w:pPr>
              <w:spacing w:after="0"/>
              <w:rPr>
                <w:sz w:val="21"/>
                <w:szCs w:val="21"/>
                <w:color w:val="auto"/>
              </w:rPr>
            </w:pPr>
          </w:p>
        </w:tc>
      </w:tr>
      <w:tr>
        <w:trPr>
          <w:trHeight w:val="249"/>
        </w:trPr>
        <w:tc>
          <w:tcPr>
            <w:tcW w:w="7640" w:type="dxa"/>
            <w:vAlign w:val="bottom"/>
          </w:tcPr>
          <w:p>
            <w:pPr>
              <w:ind w:left="40"/>
              <w:spacing w:after="0"/>
              <w:rPr>
                <w:sz w:val="20"/>
                <w:szCs w:val="20"/>
                <w:color w:val="auto"/>
              </w:rPr>
            </w:pPr>
            <w:r>
              <w:rPr>
                <w:rFonts w:ascii="Arial" w:cs="Arial" w:eastAsia="Arial" w:hAnsi="Arial"/>
                <w:sz w:val="18"/>
                <w:szCs w:val="18"/>
                <w:color w:val="auto"/>
              </w:rPr>
              <w:t>Operating lease cost</w:t>
            </w:r>
          </w:p>
        </w:tc>
        <w:tc>
          <w:tcPr>
            <w:tcW w:w="1180" w:type="dxa"/>
            <w:vAlign w:val="bottom"/>
          </w:tcPr>
          <w:p>
            <w:pPr>
              <w:jc w:val="right"/>
              <w:ind w:right="979"/>
              <w:spacing w:after="0"/>
              <w:rPr>
                <w:sz w:val="20"/>
                <w:szCs w:val="20"/>
                <w:color w:val="auto"/>
              </w:rPr>
            </w:pPr>
            <w:r>
              <w:rPr>
                <w:rFonts w:ascii="Arial" w:cs="Arial" w:eastAsia="Arial" w:hAnsi="Arial"/>
                <w:sz w:val="18"/>
                <w:szCs w:val="18"/>
                <w:color w:val="auto"/>
                <w:w w:val="99"/>
              </w:rPr>
              <w:t>$</w:t>
            </w:r>
          </w:p>
        </w:tc>
        <w:tc>
          <w:tcPr>
            <w:tcW w:w="660" w:type="dxa"/>
            <w:vAlign w:val="bottom"/>
          </w:tcPr>
          <w:p>
            <w:pPr>
              <w:jc w:val="right"/>
              <w:ind w:right="30"/>
              <w:spacing w:after="0"/>
              <w:rPr>
                <w:sz w:val="20"/>
                <w:szCs w:val="20"/>
                <w:color w:val="auto"/>
              </w:rPr>
            </w:pPr>
            <w:r>
              <w:rPr>
                <w:rFonts w:ascii="Arial" w:cs="Arial" w:eastAsia="Arial" w:hAnsi="Arial"/>
                <w:sz w:val="18"/>
                <w:szCs w:val="18"/>
                <w:color w:val="auto"/>
              </w:rPr>
              <w:t>2,012</w:t>
            </w:r>
          </w:p>
        </w:tc>
        <w:tc>
          <w:tcPr>
            <w:tcW w:w="100" w:type="dxa"/>
            <w:vAlign w:val="bottom"/>
          </w:tcPr>
          <w:p>
            <w:pPr>
              <w:spacing w:after="0"/>
              <w:rPr>
                <w:sz w:val="21"/>
                <w:szCs w:val="21"/>
                <w:color w:val="auto"/>
              </w:rPr>
            </w:pPr>
          </w:p>
        </w:tc>
        <w:tc>
          <w:tcPr>
            <w:tcW w:w="1180" w:type="dxa"/>
            <w:vAlign w:val="bottom"/>
          </w:tcPr>
          <w:p>
            <w:pPr>
              <w:jc w:val="right"/>
              <w:ind w:right="956"/>
              <w:spacing w:after="0"/>
              <w:rPr>
                <w:sz w:val="20"/>
                <w:szCs w:val="20"/>
                <w:color w:val="auto"/>
              </w:rPr>
            </w:pPr>
            <w:r>
              <w:rPr>
                <w:rFonts w:ascii="Arial" w:cs="Arial" w:eastAsia="Arial" w:hAnsi="Arial"/>
                <w:sz w:val="18"/>
                <w:szCs w:val="18"/>
                <w:color w:val="auto"/>
              </w:rPr>
              <w:t>$</w:t>
            </w:r>
          </w:p>
        </w:tc>
        <w:tc>
          <w:tcPr>
            <w:tcW w:w="660" w:type="dxa"/>
            <w:vAlign w:val="bottom"/>
          </w:tcPr>
          <w:p>
            <w:pPr>
              <w:jc w:val="right"/>
              <w:ind w:right="10"/>
              <w:spacing w:after="0"/>
              <w:rPr>
                <w:sz w:val="20"/>
                <w:szCs w:val="20"/>
                <w:color w:val="auto"/>
              </w:rPr>
            </w:pPr>
            <w:r>
              <w:rPr>
                <w:rFonts w:ascii="Arial" w:cs="Arial" w:eastAsia="Arial" w:hAnsi="Arial"/>
                <w:sz w:val="18"/>
                <w:szCs w:val="18"/>
                <w:color w:val="auto"/>
              </w:rPr>
              <w:t>1,889</w:t>
            </w:r>
          </w:p>
        </w:tc>
      </w:tr>
      <w:tr>
        <w:trPr>
          <w:trHeight w:val="277"/>
        </w:trPr>
        <w:tc>
          <w:tcPr>
            <w:tcW w:w="7640" w:type="dxa"/>
            <w:vAlign w:val="bottom"/>
            <w:shd w:val="clear" w:color="auto" w:fill="CCEEFF"/>
          </w:tcPr>
          <w:p>
            <w:pPr>
              <w:ind w:left="40"/>
              <w:spacing w:after="0"/>
              <w:rPr>
                <w:sz w:val="20"/>
                <w:szCs w:val="20"/>
                <w:color w:val="auto"/>
              </w:rPr>
            </w:pPr>
            <w:r>
              <w:rPr>
                <w:rFonts w:ascii="Arial" w:cs="Arial" w:eastAsia="Arial" w:hAnsi="Arial"/>
                <w:sz w:val="18"/>
                <w:szCs w:val="18"/>
                <w:color w:val="auto"/>
              </w:rPr>
              <w:t>Finance lease cost:</w:t>
            </w:r>
          </w:p>
        </w:tc>
        <w:tc>
          <w:tcPr>
            <w:tcW w:w="1180" w:type="dxa"/>
            <w:vAlign w:val="bottom"/>
            <w:shd w:val="clear" w:color="auto" w:fill="CCEEFF"/>
          </w:tcPr>
          <w:p>
            <w:pPr>
              <w:spacing w:after="0"/>
              <w:rPr>
                <w:sz w:val="24"/>
                <w:szCs w:val="24"/>
                <w:color w:val="auto"/>
              </w:rPr>
            </w:pPr>
          </w:p>
        </w:tc>
        <w:tc>
          <w:tcPr>
            <w:tcW w:w="66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180" w:type="dxa"/>
            <w:vAlign w:val="bottom"/>
            <w:shd w:val="clear" w:color="auto" w:fill="CCEEFF"/>
          </w:tcPr>
          <w:p>
            <w:pPr>
              <w:spacing w:after="0"/>
              <w:rPr>
                <w:sz w:val="24"/>
                <w:szCs w:val="24"/>
                <w:color w:val="auto"/>
              </w:rPr>
            </w:pPr>
          </w:p>
        </w:tc>
        <w:tc>
          <w:tcPr>
            <w:tcW w:w="660" w:type="dxa"/>
            <w:vAlign w:val="bottom"/>
            <w:shd w:val="clear" w:color="auto" w:fill="CCEEFF"/>
          </w:tcPr>
          <w:p>
            <w:pPr>
              <w:spacing w:after="0"/>
              <w:rPr>
                <w:sz w:val="24"/>
                <w:szCs w:val="24"/>
                <w:color w:val="auto"/>
              </w:rPr>
            </w:pPr>
          </w:p>
        </w:tc>
      </w:tr>
      <w:tr>
        <w:trPr>
          <w:trHeight w:val="263"/>
        </w:trPr>
        <w:tc>
          <w:tcPr>
            <w:tcW w:w="7640" w:type="dxa"/>
            <w:vAlign w:val="bottom"/>
          </w:tcPr>
          <w:p>
            <w:pPr>
              <w:ind w:left="180"/>
              <w:spacing w:after="0"/>
              <w:rPr>
                <w:sz w:val="20"/>
                <w:szCs w:val="20"/>
                <w:color w:val="auto"/>
              </w:rPr>
            </w:pPr>
            <w:r>
              <w:rPr>
                <w:rFonts w:ascii="Arial" w:cs="Arial" w:eastAsia="Arial" w:hAnsi="Arial"/>
                <w:sz w:val="18"/>
                <w:szCs w:val="18"/>
                <w:color w:val="auto"/>
              </w:rPr>
              <w:t>Amortization of assets</w:t>
            </w:r>
          </w:p>
        </w:tc>
        <w:tc>
          <w:tcPr>
            <w:tcW w:w="1180" w:type="dxa"/>
            <w:vAlign w:val="bottom"/>
          </w:tcPr>
          <w:p>
            <w:pPr>
              <w:spacing w:after="0"/>
              <w:rPr>
                <w:sz w:val="22"/>
                <w:szCs w:val="22"/>
                <w:color w:val="auto"/>
              </w:rPr>
            </w:pPr>
          </w:p>
        </w:tc>
        <w:tc>
          <w:tcPr>
            <w:tcW w:w="660" w:type="dxa"/>
            <w:vAlign w:val="bottom"/>
          </w:tcPr>
          <w:p>
            <w:pPr>
              <w:jc w:val="right"/>
              <w:ind w:right="30"/>
              <w:spacing w:after="0"/>
              <w:rPr>
                <w:sz w:val="20"/>
                <w:szCs w:val="20"/>
                <w:color w:val="auto"/>
              </w:rPr>
            </w:pPr>
            <w:r>
              <w:rPr>
                <w:rFonts w:ascii="Arial" w:cs="Arial" w:eastAsia="Arial" w:hAnsi="Arial"/>
                <w:sz w:val="18"/>
                <w:szCs w:val="18"/>
                <w:color w:val="auto"/>
              </w:rPr>
              <w:t>79</w:t>
            </w:r>
          </w:p>
        </w:tc>
        <w:tc>
          <w:tcPr>
            <w:tcW w:w="100" w:type="dxa"/>
            <w:vAlign w:val="bottom"/>
          </w:tcPr>
          <w:p>
            <w:pPr>
              <w:spacing w:after="0"/>
              <w:rPr>
                <w:sz w:val="22"/>
                <w:szCs w:val="22"/>
                <w:color w:val="auto"/>
              </w:rPr>
            </w:pPr>
          </w:p>
        </w:tc>
        <w:tc>
          <w:tcPr>
            <w:tcW w:w="1180" w:type="dxa"/>
            <w:vAlign w:val="bottom"/>
          </w:tcPr>
          <w:p>
            <w:pPr>
              <w:spacing w:after="0"/>
              <w:rPr>
                <w:sz w:val="22"/>
                <w:szCs w:val="22"/>
                <w:color w:val="auto"/>
              </w:rPr>
            </w:pPr>
          </w:p>
        </w:tc>
        <w:tc>
          <w:tcPr>
            <w:tcW w:w="660" w:type="dxa"/>
            <w:vAlign w:val="bottom"/>
          </w:tcPr>
          <w:p>
            <w:pPr>
              <w:jc w:val="right"/>
              <w:ind w:right="10"/>
              <w:spacing w:after="0"/>
              <w:rPr>
                <w:sz w:val="20"/>
                <w:szCs w:val="20"/>
                <w:color w:val="auto"/>
              </w:rPr>
            </w:pPr>
            <w:r>
              <w:rPr>
                <w:rFonts w:ascii="Arial" w:cs="Arial" w:eastAsia="Arial" w:hAnsi="Arial"/>
                <w:sz w:val="18"/>
                <w:szCs w:val="18"/>
                <w:color w:val="auto"/>
              </w:rPr>
              <w:t>78</w:t>
            </w:r>
          </w:p>
        </w:tc>
      </w:tr>
      <w:tr>
        <w:trPr>
          <w:trHeight w:val="277"/>
        </w:trPr>
        <w:tc>
          <w:tcPr>
            <w:tcW w:w="7640" w:type="dxa"/>
            <w:vAlign w:val="bottom"/>
            <w:shd w:val="clear" w:color="auto" w:fill="CCEEFF"/>
          </w:tcPr>
          <w:p>
            <w:pPr>
              <w:ind w:left="180"/>
              <w:spacing w:after="0"/>
              <w:rPr>
                <w:sz w:val="20"/>
                <w:szCs w:val="20"/>
                <w:color w:val="auto"/>
              </w:rPr>
            </w:pPr>
            <w:r>
              <w:rPr>
                <w:rFonts w:ascii="Arial" w:cs="Arial" w:eastAsia="Arial" w:hAnsi="Arial"/>
                <w:sz w:val="18"/>
                <w:szCs w:val="18"/>
                <w:color w:val="auto"/>
              </w:rPr>
              <w:t>Interest on lease liabilities</w:t>
            </w:r>
          </w:p>
        </w:tc>
        <w:tc>
          <w:tcPr>
            <w:tcW w:w="1180" w:type="dxa"/>
            <w:vAlign w:val="bottom"/>
            <w:shd w:val="clear" w:color="auto" w:fill="CCEEFF"/>
          </w:tcPr>
          <w:p>
            <w:pPr>
              <w:spacing w:after="0"/>
              <w:rPr>
                <w:sz w:val="24"/>
                <w:szCs w:val="24"/>
                <w:color w:val="auto"/>
              </w:rPr>
            </w:pPr>
          </w:p>
        </w:tc>
        <w:tc>
          <w:tcPr>
            <w:tcW w:w="66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43</w:t>
            </w:r>
          </w:p>
        </w:tc>
        <w:tc>
          <w:tcPr>
            <w:tcW w:w="100" w:type="dxa"/>
            <w:vAlign w:val="bottom"/>
            <w:shd w:val="clear" w:color="auto" w:fill="CCEEFF"/>
          </w:tcPr>
          <w:p>
            <w:pPr>
              <w:spacing w:after="0"/>
              <w:rPr>
                <w:sz w:val="24"/>
                <w:szCs w:val="24"/>
                <w:color w:val="auto"/>
              </w:rPr>
            </w:pPr>
          </w:p>
        </w:tc>
        <w:tc>
          <w:tcPr>
            <w:tcW w:w="1180" w:type="dxa"/>
            <w:vAlign w:val="bottom"/>
            <w:shd w:val="clear" w:color="auto" w:fill="CCEEFF"/>
          </w:tcPr>
          <w:p>
            <w:pPr>
              <w:spacing w:after="0"/>
              <w:rPr>
                <w:sz w:val="24"/>
                <w:szCs w:val="24"/>
                <w:color w:val="auto"/>
              </w:rPr>
            </w:pPr>
          </w:p>
        </w:tc>
        <w:tc>
          <w:tcPr>
            <w:tcW w:w="66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48</w:t>
            </w:r>
          </w:p>
        </w:tc>
      </w:tr>
      <w:tr>
        <w:trPr>
          <w:trHeight w:val="264"/>
        </w:trPr>
        <w:tc>
          <w:tcPr>
            <w:tcW w:w="7640" w:type="dxa"/>
            <w:vAlign w:val="bottom"/>
            <w:tcBorders>
              <w:bottom w:val="single" w:sz="8" w:color="CCEEFF"/>
            </w:tcBorders>
          </w:tcPr>
          <w:p>
            <w:pPr>
              <w:ind w:left="40"/>
              <w:spacing w:after="0"/>
              <w:rPr>
                <w:sz w:val="20"/>
                <w:szCs w:val="20"/>
                <w:color w:val="auto"/>
              </w:rPr>
            </w:pPr>
            <w:r>
              <w:rPr>
                <w:rFonts w:ascii="Arial" w:cs="Arial" w:eastAsia="Arial" w:hAnsi="Arial"/>
                <w:sz w:val="18"/>
                <w:szCs w:val="18"/>
                <w:color w:val="auto"/>
              </w:rPr>
              <w:t>Variable lease cost</w:t>
            </w:r>
          </w:p>
        </w:tc>
        <w:tc>
          <w:tcPr>
            <w:tcW w:w="1180" w:type="dxa"/>
            <w:vAlign w:val="bottom"/>
            <w:tcBorders>
              <w:bottom w:val="single" w:sz="8" w:color="auto"/>
            </w:tcBorders>
          </w:tcPr>
          <w:p>
            <w:pPr>
              <w:spacing w:after="0"/>
              <w:rPr>
                <w:sz w:val="22"/>
                <w:szCs w:val="22"/>
                <w:color w:val="auto"/>
              </w:rPr>
            </w:pPr>
          </w:p>
        </w:tc>
        <w:tc>
          <w:tcPr>
            <w:tcW w:w="66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2,542</w:t>
            </w:r>
          </w:p>
        </w:tc>
        <w:tc>
          <w:tcPr>
            <w:tcW w:w="100" w:type="dxa"/>
            <w:vAlign w:val="bottom"/>
            <w:tcBorders>
              <w:bottom w:val="single" w:sz="8" w:color="CCEEFF"/>
            </w:tcBorders>
          </w:tcPr>
          <w:p>
            <w:pPr>
              <w:spacing w:after="0"/>
              <w:rPr>
                <w:sz w:val="22"/>
                <w:szCs w:val="22"/>
                <w:color w:val="auto"/>
              </w:rPr>
            </w:pPr>
          </w:p>
        </w:tc>
        <w:tc>
          <w:tcPr>
            <w:tcW w:w="1180" w:type="dxa"/>
            <w:vAlign w:val="bottom"/>
            <w:tcBorders>
              <w:bottom w:val="single" w:sz="8" w:color="auto"/>
            </w:tcBorders>
          </w:tcPr>
          <w:p>
            <w:pPr>
              <w:spacing w:after="0"/>
              <w:rPr>
                <w:sz w:val="22"/>
                <w:szCs w:val="22"/>
                <w:color w:val="auto"/>
              </w:rPr>
            </w:pPr>
          </w:p>
        </w:tc>
        <w:tc>
          <w:tcPr>
            <w:tcW w:w="66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2,353</w:t>
            </w:r>
          </w:p>
        </w:tc>
      </w:tr>
      <w:tr>
        <w:trPr>
          <w:trHeight w:val="257"/>
        </w:trPr>
        <w:tc>
          <w:tcPr>
            <w:tcW w:w="76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Total net lease cost</w:t>
            </w:r>
          </w:p>
        </w:tc>
        <w:tc>
          <w:tcPr>
            <w:tcW w:w="1180" w:type="dxa"/>
            <w:vAlign w:val="bottom"/>
            <w:tcBorders>
              <w:bottom w:val="single" w:sz="8" w:color="auto"/>
            </w:tcBorders>
            <w:shd w:val="clear" w:color="auto" w:fill="CCEEFF"/>
          </w:tcPr>
          <w:p>
            <w:pPr>
              <w:jc w:val="right"/>
              <w:ind w:right="979"/>
              <w:spacing w:after="0"/>
              <w:rPr>
                <w:sz w:val="20"/>
                <w:szCs w:val="20"/>
                <w:color w:val="auto"/>
              </w:rPr>
            </w:pPr>
            <w:r>
              <w:rPr>
                <w:rFonts w:ascii="Arial" w:cs="Arial" w:eastAsia="Arial" w:hAnsi="Arial"/>
                <w:sz w:val="18"/>
                <w:szCs w:val="18"/>
                <w:color w:val="auto"/>
                <w:w w:val="99"/>
              </w:rPr>
              <w:t>$</w:t>
            </w:r>
          </w:p>
        </w:tc>
        <w:tc>
          <w:tcPr>
            <w:tcW w:w="66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4,676</w:t>
            </w:r>
          </w:p>
        </w:tc>
        <w:tc>
          <w:tcPr>
            <w:tcW w:w="100" w:type="dxa"/>
            <w:vAlign w:val="bottom"/>
            <w:tcBorders>
              <w:bottom w:val="single" w:sz="8" w:color="CCEEFF"/>
            </w:tcBorders>
            <w:shd w:val="clear" w:color="auto" w:fill="CCEEFF"/>
          </w:tcPr>
          <w:p>
            <w:pPr>
              <w:spacing w:after="0"/>
              <w:rPr>
                <w:sz w:val="22"/>
                <w:szCs w:val="22"/>
                <w:color w:val="auto"/>
              </w:rPr>
            </w:pPr>
          </w:p>
        </w:tc>
        <w:tc>
          <w:tcPr>
            <w:tcW w:w="1180" w:type="dxa"/>
            <w:vAlign w:val="bottom"/>
            <w:tcBorders>
              <w:bottom w:val="single" w:sz="8" w:color="auto"/>
            </w:tcBorders>
            <w:shd w:val="clear" w:color="auto" w:fill="CCEEFF"/>
          </w:tcPr>
          <w:p>
            <w:pPr>
              <w:jc w:val="right"/>
              <w:ind w:right="956"/>
              <w:spacing w:after="0"/>
              <w:rPr>
                <w:sz w:val="20"/>
                <w:szCs w:val="20"/>
                <w:color w:val="auto"/>
              </w:rPr>
            </w:pPr>
            <w:r>
              <w:rPr>
                <w:rFonts w:ascii="Arial" w:cs="Arial" w:eastAsia="Arial" w:hAnsi="Arial"/>
                <w:sz w:val="18"/>
                <w:szCs w:val="18"/>
                <w:color w:val="auto"/>
              </w:rPr>
              <w:t>$</w:t>
            </w:r>
          </w:p>
        </w:tc>
        <w:tc>
          <w:tcPr>
            <w:tcW w:w="66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4,368</w:t>
            </w:r>
          </w:p>
        </w:tc>
      </w:tr>
      <w:tr>
        <w:trPr>
          <w:trHeight w:val="20"/>
        </w:trPr>
        <w:tc>
          <w:tcPr>
            <w:tcW w:w="7640" w:type="dxa"/>
            <w:vAlign w:val="bottom"/>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r>
    </w:tbl>
    <w:p>
      <w:pPr>
        <w:spacing w:after="0" w:line="377" w:lineRule="exact"/>
        <w:rPr>
          <w:sz w:val="20"/>
          <w:szCs w:val="20"/>
          <w:color w:val="auto"/>
        </w:rPr>
      </w:pPr>
    </w:p>
    <w:p>
      <w:pPr>
        <w:jc w:val="both"/>
        <w:ind w:firstLine="243"/>
        <w:spacing w:after="0" w:line="256" w:lineRule="auto"/>
        <w:rPr>
          <w:sz w:val="20"/>
          <w:szCs w:val="20"/>
          <w:color w:val="auto"/>
        </w:rPr>
      </w:pPr>
      <w:r>
        <w:rPr>
          <w:rFonts w:ascii="Arial" w:cs="Arial" w:eastAsia="Arial" w:hAnsi="Arial"/>
          <w:sz w:val="18"/>
          <w:szCs w:val="18"/>
          <w:color w:val="auto"/>
        </w:rPr>
        <w:t>Included in the table above is $236 million and $226 million of operating lease cost under American’s capacity purchase agreement with Republic for the years ended December 31, 2019 and 2018, respectively. American holds a 25% equity interest in Republic Holdings, the parent company of Republic.</w:t>
      </w:r>
    </w:p>
    <w:p>
      <w:pPr>
        <w:spacing w:after="0" w:line="20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135</w:t>
      </w:r>
    </w:p>
    <w:p>
      <w:pPr>
        <w:sectPr>
          <w:pgSz w:w="11900" w:h="16838" w:orient="portrait"/>
          <w:cols w:equalWidth="0" w:num="1">
            <w:col w:w="11420"/>
          </w:cols>
          <w:pgMar w:left="240" w:top="549" w:right="239" w:bottom="1440" w:gutter="0" w:footer="0" w:header="0"/>
        </w:sectPr>
      </w:pPr>
    </w:p>
    <w:bookmarkStart w:id="135" w:name="page136"/>
    <w:bookmarkEnd w:id="135"/>
    <w:p>
      <w:pPr>
        <w:jc w:val="center"/>
        <w:spacing w:after="0"/>
        <w:rPr>
          <w:sz w:val="20"/>
          <w:szCs w:val="20"/>
          <w:color w:val="auto"/>
        </w:rPr>
      </w:pPr>
      <w:r>
        <w:rPr>
          <w:rFonts w:ascii="Arial" w:cs="Arial" w:eastAsia="Arial" w:hAnsi="Arial"/>
          <w:sz w:val="18"/>
          <w:szCs w:val="18"/>
          <w:b w:val="1"/>
          <w:bCs w:val="1"/>
          <w:color w:val="auto"/>
        </w:rPr>
        <w:t>NOTES TO CONSOLIDATED FINANCIAL STATEMENTS OF AMERICAN AIRLINES, INC.</w:t>
      </w:r>
    </w:p>
    <w:p>
      <w:pPr>
        <w:spacing w:after="0" w:line="200" w:lineRule="exact"/>
        <w:rPr>
          <w:sz w:val="20"/>
          <w:szCs w:val="20"/>
          <w:color w:val="auto"/>
        </w:rPr>
      </w:pPr>
    </w:p>
    <w:p>
      <w:pPr>
        <w:spacing w:after="0" w:line="209" w:lineRule="exact"/>
        <w:rPr>
          <w:sz w:val="20"/>
          <w:szCs w:val="20"/>
          <w:color w:val="auto"/>
        </w:rPr>
      </w:pPr>
    </w:p>
    <w:p>
      <w:pPr>
        <w:ind w:left="260"/>
        <w:spacing w:after="0"/>
        <w:rPr>
          <w:sz w:val="20"/>
          <w:szCs w:val="20"/>
          <w:color w:val="auto"/>
        </w:rPr>
      </w:pPr>
      <w:r>
        <w:rPr>
          <w:rFonts w:ascii="Arial" w:cs="Arial" w:eastAsia="Arial" w:hAnsi="Arial"/>
          <w:sz w:val="18"/>
          <w:szCs w:val="18"/>
          <w:color w:val="auto"/>
        </w:rPr>
        <w:t>Supplemental balance sheet information related to leases was as follows (in millions, except lease term and discount rate):</w:t>
      </w:r>
    </w:p>
    <w:p>
      <w:pPr>
        <w:spacing w:after="0" w:line="375" w:lineRule="exact"/>
        <w:rPr>
          <w:sz w:val="20"/>
          <w:szCs w:val="20"/>
          <w:color w:val="auto"/>
        </w:rPr>
      </w:pPr>
    </w:p>
    <w:tbl>
      <w:tblPr>
        <w:tblLayout w:type="fixed"/>
        <w:tblInd w:w="0" w:type="dxa"/>
        <w:tblCellMar>
          <w:top w:w="0" w:type="dxa"/>
          <w:left w:w="0" w:type="dxa"/>
          <w:bottom w:w="0" w:type="dxa"/>
          <w:right w:w="0" w:type="dxa"/>
        </w:tblCellMar>
      </w:tblPr>
      <w:tr>
        <w:trPr>
          <w:trHeight w:val="196"/>
        </w:trPr>
        <w:tc>
          <w:tcPr>
            <w:tcW w:w="7500" w:type="dxa"/>
            <w:vAlign w:val="bottom"/>
          </w:tcPr>
          <w:p>
            <w:pPr>
              <w:spacing w:after="0"/>
              <w:rPr>
                <w:sz w:val="17"/>
                <w:szCs w:val="17"/>
                <w:color w:val="auto"/>
              </w:rPr>
            </w:pPr>
          </w:p>
        </w:tc>
        <w:tc>
          <w:tcPr>
            <w:tcW w:w="1200" w:type="dxa"/>
            <w:vAlign w:val="bottom"/>
            <w:tcBorders>
              <w:bottom w:val="single" w:sz="8" w:color="auto"/>
            </w:tcBorders>
          </w:tcPr>
          <w:p>
            <w:pPr>
              <w:spacing w:after="0"/>
              <w:rPr>
                <w:sz w:val="17"/>
                <w:szCs w:val="17"/>
                <w:color w:val="auto"/>
              </w:rPr>
            </w:pPr>
          </w:p>
        </w:tc>
        <w:tc>
          <w:tcPr>
            <w:tcW w:w="1420" w:type="dxa"/>
            <w:vAlign w:val="bottom"/>
            <w:tcBorders>
              <w:bottom w:val="single" w:sz="8" w:color="auto"/>
            </w:tcBorders>
            <w:gridSpan w:val="3"/>
          </w:tcPr>
          <w:p>
            <w:pPr>
              <w:jc w:val="right"/>
              <w:ind w:right="90"/>
              <w:spacing w:after="0"/>
              <w:rPr>
                <w:sz w:val="20"/>
                <w:szCs w:val="20"/>
                <w:color w:val="auto"/>
              </w:rPr>
            </w:pPr>
            <w:r>
              <w:rPr>
                <w:rFonts w:ascii="Arial" w:cs="Arial" w:eastAsia="Arial" w:hAnsi="Arial"/>
                <w:sz w:val="14"/>
                <w:szCs w:val="14"/>
                <w:b w:val="1"/>
                <w:bCs w:val="1"/>
                <w:color w:val="auto"/>
              </w:rPr>
              <w:t>December 31,</w:t>
            </w:r>
          </w:p>
        </w:tc>
        <w:tc>
          <w:tcPr>
            <w:tcW w:w="1300" w:type="dxa"/>
            <w:vAlign w:val="bottom"/>
            <w:tcBorders>
              <w:bottom w:val="single" w:sz="8" w:color="auto"/>
            </w:tcBorders>
          </w:tcPr>
          <w:p>
            <w:pPr>
              <w:spacing w:after="0"/>
              <w:rPr>
                <w:sz w:val="17"/>
                <w:szCs w:val="17"/>
                <w:color w:val="auto"/>
              </w:rPr>
            </w:pPr>
          </w:p>
        </w:tc>
      </w:tr>
      <w:tr>
        <w:trPr>
          <w:trHeight w:val="263"/>
        </w:trPr>
        <w:tc>
          <w:tcPr>
            <w:tcW w:w="7500" w:type="dxa"/>
            <w:vAlign w:val="bottom"/>
          </w:tcPr>
          <w:p>
            <w:pPr>
              <w:spacing w:after="0"/>
              <w:rPr>
                <w:sz w:val="22"/>
                <w:szCs w:val="22"/>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2019</w:t>
            </w:r>
          </w:p>
        </w:tc>
        <w:tc>
          <w:tcPr>
            <w:tcW w:w="700" w:type="dxa"/>
            <w:vAlign w:val="bottom"/>
            <w:tcBorders>
              <w:bottom w:val="single" w:sz="8" w:color="auto"/>
            </w:tcBorders>
          </w:tcPr>
          <w:p>
            <w:pPr>
              <w:spacing w:after="0"/>
              <w:rPr>
                <w:sz w:val="22"/>
                <w:szCs w:val="22"/>
                <w:color w:val="auto"/>
              </w:rPr>
            </w:pPr>
          </w:p>
        </w:tc>
        <w:tc>
          <w:tcPr>
            <w:tcW w:w="120" w:type="dxa"/>
            <w:vAlign w:val="bottom"/>
          </w:tcPr>
          <w:p>
            <w:pPr>
              <w:spacing w:after="0"/>
              <w:rPr>
                <w:sz w:val="22"/>
                <w:szCs w:val="22"/>
                <w:color w:val="auto"/>
              </w:rPr>
            </w:pPr>
          </w:p>
        </w:tc>
        <w:tc>
          <w:tcPr>
            <w:tcW w:w="600" w:type="dxa"/>
            <w:vAlign w:val="bottom"/>
            <w:tcBorders>
              <w:bottom w:val="single" w:sz="8" w:color="auto"/>
            </w:tcBorders>
          </w:tcPr>
          <w:p>
            <w:pPr>
              <w:spacing w:after="0"/>
              <w:rPr>
                <w:sz w:val="22"/>
                <w:szCs w:val="22"/>
                <w:color w:val="auto"/>
              </w:rPr>
            </w:pPr>
          </w:p>
        </w:tc>
        <w:tc>
          <w:tcPr>
            <w:tcW w:w="1300" w:type="dxa"/>
            <w:vAlign w:val="bottom"/>
            <w:tcBorders>
              <w:bottom w:val="single" w:sz="8" w:color="auto"/>
            </w:tcBorders>
          </w:tcPr>
          <w:p>
            <w:pPr>
              <w:jc w:val="right"/>
              <w:ind w:right="711"/>
              <w:spacing w:after="0"/>
              <w:rPr>
                <w:sz w:val="20"/>
                <w:szCs w:val="20"/>
                <w:color w:val="auto"/>
              </w:rPr>
            </w:pPr>
            <w:r>
              <w:rPr>
                <w:rFonts w:ascii="Arial" w:cs="Arial" w:eastAsia="Arial" w:hAnsi="Arial"/>
                <w:sz w:val="14"/>
                <w:szCs w:val="14"/>
                <w:b w:val="1"/>
                <w:bCs w:val="1"/>
                <w:color w:val="auto"/>
              </w:rPr>
              <w:t>2018</w:t>
            </w:r>
          </w:p>
        </w:tc>
      </w:tr>
      <w:tr>
        <w:trPr>
          <w:trHeight w:val="263"/>
        </w:trPr>
        <w:tc>
          <w:tcPr>
            <w:tcW w:w="7500" w:type="dxa"/>
            <w:vAlign w:val="bottom"/>
          </w:tcPr>
          <w:p>
            <w:pPr>
              <w:ind w:left="40"/>
              <w:spacing w:after="0"/>
              <w:rPr>
                <w:sz w:val="20"/>
                <w:szCs w:val="20"/>
                <w:color w:val="auto"/>
              </w:rPr>
            </w:pPr>
            <w:r>
              <w:rPr>
                <w:rFonts w:ascii="Arial" w:cs="Arial" w:eastAsia="Arial" w:hAnsi="Arial"/>
                <w:sz w:val="18"/>
                <w:szCs w:val="18"/>
                <w:color w:val="auto"/>
              </w:rPr>
              <w:t>Operating leases:</w:t>
            </w:r>
          </w:p>
        </w:tc>
        <w:tc>
          <w:tcPr>
            <w:tcW w:w="1200" w:type="dxa"/>
            <w:vAlign w:val="bottom"/>
          </w:tcPr>
          <w:p>
            <w:pPr>
              <w:spacing w:after="0"/>
              <w:rPr>
                <w:sz w:val="22"/>
                <w:szCs w:val="22"/>
                <w:color w:val="auto"/>
              </w:rPr>
            </w:pPr>
          </w:p>
        </w:tc>
        <w:tc>
          <w:tcPr>
            <w:tcW w:w="7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600" w:type="dxa"/>
            <w:vAlign w:val="bottom"/>
          </w:tcPr>
          <w:p>
            <w:pPr>
              <w:spacing w:after="0"/>
              <w:rPr>
                <w:sz w:val="22"/>
                <w:szCs w:val="22"/>
                <w:color w:val="auto"/>
              </w:rPr>
            </w:pPr>
          </w:p>
        </w:tc>
        <w:tc>
          <w:tcPr>
            <w:tcW w:w="1300" w:type="dxa"/>
            <w:vAlign w:val="bottom"/>
          </w:tcPr>
          <w:p>
            <w:pPr>
              <w:spacing w:after="0"/>
              <w:rPr>
                <w:sz w:val="22"/>
                <w:szCs w:val="22"/>
                <w:color w:val="auto"/>
              </w:rPr>
            </w:pPr>
          </w:p>
        </w:tc>
      </w:tr>
      <w:tr>
        <w:trPr>
          <w:trHeight w:val="277"/>
        </w:trPr>
        <w:tc>
          <w:tcPr>
            <w:tcW w:w="7500" w:type="dxa"/>
            <w:vAlign w:val="bottom"/>
            <w:shd w:val="clear" w:color="auto" w:fill="CCEEFF"/>
          </w:tcPr>
          <w:p>
            <w:pPr>
              <w:ind w:left="180"/>
              <w:spacing w:after="0"/>
              <w:rPr>
                <w:sz w:val="20"/>
                <w:szCs w:val="20"/>
                <w:color w:val="auto"/>
              </w:rPr>
            </w:pPr>
            <w:r>
              <w:rPr>
                <w:rFonts w:ascii="Arial" w:cs="Arial" w:eastAsia="Arial" w:hAnsi="Arial"/>
                <w:sz w:val="18"/>
                <w:szCs w:val="18"/>
                <w:color w:val="auto"/>
              </w:rPr>
              <w:t>Operating lease ROU assets</w:t>
            </w:r>
          </w:p>
        </w:tc>
        <w:tc>
          <w:tcPr>
            <w:tcW w:w="1200" w:type="dxa"/>
            <w:vAlign w:val="bottom"/>
            <w:shd w:val="clear" w:color="auto" w:fill="CCEEFF"/>
          </w:tcPr>
          <w:p>
            <w:pPr>
              <w:jc w:val="right"/>
              <w:ind w:right="972"/>
              <w:spacing w:after="0"/>
              <w:rPr>
                <w:sz w:val="20"/>
                <w:szCs w:val="20"/>
                <w:color w:val="auto"/>
              </w:rPr>
            </w:pPr>
            <w:r>
              <w:rPr>
                <w:rFonts w:ascii="Arial" w:cs="Arial" w:eastAsia="Arial" w:hAnsi="Arial"/>
                <w:sz w:val="18"/>
                <w:szCs w:val="18"/>
                <w:color w:val="auto"/>
              </w:rPr>
              <w:t>$</w:t>
            </w:r>
          </w:p>
        </w:tc>
        <w:tc>
          <w:tcPr>
            <w:tcW w:w="700" w:type="dxa"/>
            <w:vAlign w:val="bottom"/>
            <w:shd w:val="clear" w:color="auto" w:fill="CCEEFF"/>
          </w:tcPr>
          <w:p>
            <w:pPr>
              <w:jc w:val="right"/>
              <w:ind w:right="91"/>
              <w:spacing w:after="0"/>
              <w:rPr>
                <w:sz w:val="20"/>
                <w:szCs w:val="20"/>
                <w:color w:val="auto"/>
              </w:rPr>
            </w:pPr>
            <w:r>
              <w:rPr>
                <w:rFonts w:ascii="Arial" w:cs="Arial" w:eastAsia="Arial" w:hAnsi="Arial"/>
                <w:sz w:val="18"/>
                <w:szCs w:val="18"/>
                <w:color w:val="auto"/>
              </w:rPr>
              <w:t>8,694</w:t>
            </w:r>
          </w:p>
        </w:tc>
        <w:tc>
          <w:tcPr>
            <w:tcW w:w="120" w:type="dxa"/>
            <w:vAlign w:val="bottom"/>
            <w:shd w:val="clear" w:color="auto" w:fill="CCEEFF"/>
          </w:tcPr>
          <w:p>
            <w:pPr>
              <w:spacing w:after="0"/>
              <w:rPr>
                <w:sz w:val="24"/>
                <w:szCs w:val="24"/>
                <w:color w:val="auto"/>
              </w:rPr>
            </w:pPr>
          </w:p>
        </w:tc>
        <w:tc>
          <w:tcPr>
            <w:tcW w:w="600" w:type="dxa"/>
            <w:vAlign w:val="bottom"/>
            <w:shd w:val="clear" w:color="auto" w:fill="CCEEFF"/>
          </w:tcPr>
          <w:p>
            <w:pPr>
              <w:jc w:val="right"/>
              <w:ind w:right="390"/>
              <w:spacing w:after="0"/>
              <w:rPr>
                <w:sz w:val="20"/>
                <w:szCs w:val="20"/>
                <w:color w:val="auto"/>
              </w:rPr>
            </w:pPr>
            <w:r>
              <w:rPr>
                <w:rFonts w:ascii="Arial" w:cs="Arial" w:eastAsia="Arial" w:hAnsi="Arial"/>
                <w:sz w:val="18"/>
                <w:szCs w:val="18"/>
                <w:color w:val="auto"/>
                <w:w w:val="99"/>
              </w:rPr>
              <w:t>$</w:t>
            </w:r>
          </w:p>
        </w:tc>
        <w:tc>
          <w:tcPr>
            <w:tcW w:w="1300" w:type="dxa"/>
            <w:vAlign w:val="bottom"/>
            <w:shd w:val="clear" w:color="auto" w:fill="CCEEFF"/>
          </w:tcPr>
          <w:p>
            <w:pPr>
              <w:jc w:val="right"/>
              <w:ind w:right="91"/>
              <w:spacing w:after="0"/>
              <w:rPr>
                <w:sz w:val="20"/>
                <w:szCs w:val="20"/>
                <w:color w:val="auto"/>
              </w:rPr>
            </w:pPr>
            <w:r>
              <w:rPr>
                <w:rFonts w:ascii="Arial" w:cs="Arial" w:eastAsia="Arial" w:hAnsi="Arial"/>
                <w:sz w:val="18"/>
                <w:szCs w:val="18"/>
                <w:color w:val="auto"/>
              </w:rPr>
              <w:t>9,094</w:t>
            </w:r>
          </w:p>
        </w:tc>
      </w:tr>
      <w:tr>
        <w:trPr>
          <w:trHeight w:val="324"/>
        </w:trPr>
        <w:tc>
          <w:tcPr>
            <w:tcW w:w="750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1300" w:type="dxa"/>
            <w:vAlign w:val="bottom"/>
          </w:tcPr>
          <w:p>
            <w:pPr>
              <w:spacing w:after="0"/>
              <w:rPr>
                <w:sz w:val="24"/>
                <w:szCs w:val="24"/>
                <w:color w:val="auto"/>
              </w:rPr>
            </w:pPr>
          </w:p>
        </w:tc>
      </w:tr>
      <w:tr>
        <w:trPr>
          <w:trHeight w:val="270"/>
        </w:trPr>
        <w:tc>
          <w:tcPr>
            <w:tcW w:w="7500" w:type="dxa"/>
            <w:vAlign w:val="bottom"/>
            <w:shd w:val="clear" w:color="auto" w:fill="CCEEFF"/>
          </w:tcPr>
          <w:p>
            <w:pPr>
              <w:ind w:left="180"/>
              <w:spacing w:after="0"/>
              <w:rPr>
                <w:sz w:val="20"/>
                <w:szCs w:val="20"/>
                <w:color w:val="auto"/>
              </w:rPr>
            </w:pPr>
            <w:r>
              <w:rPr>
                <w:rFonts w:ascii="Arial" w:cs="Arial" w:eastAsia="Arial" w:hAnsi="Arial"/>
                <w:sz w:val="18"/>
                <w:szCs w:val="18"/>
                <w:color w:val="auto"/>
              </w:rPr>
              <w:t>Current operating lease liabilities</w:t>
            </w:r>
          </w:p>
        </w:tc>
        <w:tc>
          <w:tcPr>
            <w:tcW w:w="1200" w:type="dxa"/>
            <w:vAlign w:val="bottom"/>
            <w:shd w:val="clear" w:color="auto" w:fill="CCEEFF"/>
          </w:tcPr>
          <w:p>
            <w:pPr>
              <w:jc w:val="right"/>
              <w:ind w:right="972"/>
              <w:spacing w:after="0"/>
              <w:rPr>
                <w:sz w:val="20"/>
                <w:szCs w:val="20"/>
                <w:color w:val="auto"/>
              </w:rPr>
            </w:pPr>
            <w:r>
              <w:rPr>
                <w:rFonts w:ascii="Arial" w:cs="Arial" w:eastAsia="Arial" w:hAnsi="Arial"/>
                <w:sz w:val="18"/>
                <w:szCs w:val="18"/>
                <w:color w:val="auto"/>
              </w:rPr>
              <w:t>$</w:t>
            </w:r>
          </w:p>
        </w:tc>
        <w:tc>
          <w:tcPr>
            <w:tcW w:w="700" w:type="dxa"/>
            <w:vAlign w:val="bottom"/>
            <w:shd w:val="clear" w:color="auto" w:fill="CCEEFF"/>
          </w:tcPr>
          <w:p>
            <w:pPr>
              <w:jc w:val="right"/>
              <w:ind w:right="91"/>
              <w:spacing w:after="0"/>
              <w:rPr>
                <w:sz w:val="20"/>
                <w:szCs w:val="20"/>
                <w:color w:val="auto"/>
              </w:rPr>
            </w:pPr>
            <w:r>
              <w:rPr>
                <w:rFonts w:ascii="Arial" w:cs="Arial" w:eastAsia="Arial" w:hAnsi="Arial"/>
                <w:sz w:val="18"/>
                <w:szCs w:val="18"/>
                <w:color w:val="auto"/>
              </w:rPr>
              <w:t>1,695</w:t>
            </w:r>
          </w:p>
        </w:tc>
        <w:tc>
          <w:tcPr>
            <w:tcW w:w="120" w:type="dxa"/>
            <w:vAlign w:val="bottom"/>
            <w:shd w:val="clear" w:color="auto" w:fill="CCEEFF"/>
          </w:tcPr>
          <w:p>
            <w:pPr>
              <w:spacing w:after="0"/>
              <w:rPr>
                <w:sz w:val="23"/>
                <w:szCs w:val="23"/>
                <w:color w:val="auto"/>
              </w:rPr>
            </w:pPr>
          </w:p>
        </w:tc>
        <w:tc>
          <w:tcPr>
            <w:tcW w:w="600" w:type="dxa"/>
            <w:vAlign w:val="bottom"/>
            <w:shd w:val="clear" w:color="auto" w:fill="CCEEFF"/>
          </w:tcPr>
          <w:p>
            <w:pPr>
              <w:jc w:val="right"/>
              <w:ind w:right="390"/>
              <w:spacing w:after="0"/>
              <w:rPr>
                <w:sz w:val="20"/>
                <w:szCs w:val="20"/>
                <w:color w:val="auto"/>
              </w:rPr>
            </w:pPr>
            <w:r>
              <w:rPr>
                <w:rFonts w:ascii="Arial" w:cs="Arial" w:eastAsia="Arial" w:hAnsi="Arial"/>
                <w:sz w:val="18"/>
                <w:szCs w:val="18"/>
                <w:color w:val="auto"/>
                <w:w w:val="99"/>
              </w:rPr>
              <w:t>$</w:t>
            </w:r>
          </w:p>
        </w:tc>
        <w:tc>
          <w:tcPr>
            <w:tcW w:w="1300" w:type="dxa"/>
            <w:vAlign w:val="bottom"/>
            <w:shd w:val="clear" w:color="auto" w:fill="CCEEFF"/>
          </w:tcPr>
          <w:p>
            <w:pPr>
              <w:jc w:val="right"/>
              <w:ind w:right="91"/>
              <w:spacing w:after="0"/>
              <w:rPr>
                <w:sz w:val="20"/>
                <w:szCs w:val="20"/>
                <w:color w:val="auto"/>
              </w:rPr>
            </w:pPr>
            <w:r>
              <w:rPr>
                <w:rFonts w:ascii="Arial" w:cs="Arial" w:eastAsia="Arial" w:hAnsi="Arial"/>
                <w:sz w:val="18"/>
                <w:szCs w:val="18"/>
                <w:color w:val="auto"/>
              </w:rPr>
              <w:t>1,639</w:t>
            </w:r>
          </w:p>
        </w:tc>
      </w:tr>
      <w:tr>
        <w:trPr>
          <w:trHeight w:val="264"/>
        </w:trPr>
        <w:tc>
          <w:tcPr>
            <w:tcW w:w="7500" w:type="dxa"/>
            <w:vAlign w:val="bottom"/>
            <w:tcBorders>
              <w:bottom w:val="single" w:sz="8" w:color="CCEEFF"/>
            </w:tcBorders>
          </w:tcPr>
          <w:p>
            <w:pPr>
              <w:ind w:left="180"/>
              <w:spacing w:after="0"/>
              <w:rPr>
                <w:sz w:val="20"/>
                <w:szCs w:val="20"/>
                <w:color w:val="auto"/>
              </w:rPr>
            </w:pPr>
            <w:r>
              <w:rPr>
                <w:rFonts w:ascii="Arial" w:cs="Arial" w:eastAsia="Arial" w:hAnsi="Arial"/>
                <w:sz w:val="18"/>
                <w:szCs w:val="18"/>
                <w:color w:val="auto"/>
              </w:rPr>
              <w:t>Noncurrent operating lease liabilities</w:t>
            </w:r>
          </w:p>
        </w:tc>
        <w:tc>
          <w:tcPr>
            <w:tcW w:w="1200" w:type="dxa"/>
            <w:vAlign w:val="bottom"/>
            <w:tcBorders>
              <w:bottom w:val="single" w:sz="8" w:color="auto"/>
            </w:tcBorders>
          </w:tcPr>
          <w:p>
            <w:pPr>
              <w:spacing w:after="0"/>
              <w:rPr>
                <w:sz w:val="22"/>
                <w:szCs w:val="22"/>
                <w:color w:val="auto"/>
              </w:rPr>
            </w:pPr>
          </w:p>
        </w:tc>
        <w:tc>
          <w:tcPr>
            <w:tcW w:w="700" w:type="dxa"/>
            <w:vAlign w:val="bottom"/>
            <w:tcBorders>
              <w:bottom w:val="single" w:sz="8" w:color="auto"/>
            </w:tcBorders>
          </w:tcPr>
          <w:p>
            <w:pPr>
              <w:jc w:val="right"/>
              <w:ind w:right="91"/>
              <w:spacing w:after="0"/>
              <w:rPr>
                <w:sz w:val="20"/>
                <w:szCs w:val="20"/>
                <w:color w:val="auto"/>
              </w:rPr>
            </w:pPr>
            <w:r>
              <w:rPr>
                <w:rFonts w:ascii="Arial" w:cs="Arial" w:eastAsia="Arial" w:hAnsi="Arial"/>
                <w:sz w:val="18"/>
                <w:szCs w:val="18"/>
                <w:color w:val="auto"/>
              </w:rPr>
              <w:t>7,388</w:t>
            </w:r>
          </w:p>
        </w:tc>
        <w:tc>
          <w:tcPr>
            <w:tcW w:w="120" w:type="dxa"/>
            <w:vAlign w:val="bottom"/>
            <w:tcBorders>
              <w:bottom w:val="single" w:sz="8" w:color="CCEEFF"/>
            </w:tcBorders>
          </w:tcPr>
          <w:p>
            <w:pPr>
              <w:spacing w:after="0"/>
              <w:rPr>
                <w:sz w:val="22"/>
                <w:szCs w:val="22"/>
                <w:color w:val="auto"/>
              </w:rPr>
            </w:pPr>
          </w:p>
        </w:tc>
        <w:tc>
          <w:tcPr>
            <w:tcW w:w="600" w:type="dxa"/>
            <w:vAlign w:val="bottom"/>
            <w:tcBorders>
              <w:bottom w:val="single" w:sz="8" w:color="auto"/>
            </w:tcBorders>
          </w:tcPr>
          <w:p>
            <w:pPr>
              <w:spacing w:after="0"/>
              <w:rPr>
                <w:sz w:val="22"/>
                <w:szCs w:val="22"/>
                <w:color w:val="auto"/>
              </w:rPr>
            </w:pPr>
          </w:p>
        </w:tc>
        <w:tc>
          <w:tcPr>
            <w:tcW w:w="1300" w:type="dxa"/>
            <w:vAlign w:val="bottom"/>
            <w:tcBorders>
              <w:bottom w:val="single" w:sz="8" w:color="auto"/>
            </w:tcBorders>
          </w:tcPr>
          <w:p>
            <w:pPr>
              <w:jc w:val="right"/>
              <w:ind w:right="91"/>
              <w:spacing w:after="0"/>
              <w:rPr>
                <w:sz w:val="20"/>
                <w:szCs w:val="20"/>
                <w:color w:val="auto"/>
              </w:rPr>
            </w:pPr>
            <w:r>
              <w:rPr>
                <w:rFonts w:ascii="Arial" w:cs="Arial" w:eastAsia="Arial" w:hAnsi="Arial"/>
                <w:sz w:val="18"/>
                <w:szCs w:val="18"/>
                <w:color w:val="auto"/>
              </w:rPr>
              <w:t>7,857</w:t>
            </w:r>
          </w:p>
        </w:tc>
      </w:tr>
      <w:tr>
        <w:trPr>
          <w:trHeight w:val="257"/>
        </w:trPr>
        <w:tc>
          <w:tcPr>
            <w:tcW w:w="750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Total operating lease liabilities</w:t>
            </w:r>
          </w:p>
        </w:tc>
        <w:tc>
          <w:tcPr>
            <w:tcW w:w="1200" w:type="dxa"/>
            <w:vAlign w:val="bottom"/>
            <w:tcBorders>
              <w:bottom w:val="single" w:sz="8" w:color="auto"/>
            </w:tcBorders>
            <w:shd w:val="clear" w:color="auto" w:fill="CCEEFF"/>
          </w:tcPr>
          <w:p>
            <w:pPr>
              <w:jc w:val="right"/>
              <w:ind w:right="972"/>
              <w:spacing w:after="0"/>
              <w:rPr>
                <w:sz w:val="20"/>
                <w:szCs w:val="20"/>
                <w:color w:val="auto"/>
              </w:rPr>
            </w:pPr>
            <w:r>
              <w:rPr>
                <w:rFonts w:ascii="Arial" w:cs="Arial" w:eastAsia="Arial" w:hAnsi="Arial"/>
                <w:sz w:val="18"/>
                <w:szCs w:val="18"/>
                <w:color w:val="auto"/>
              </w:rPr>
              <w:t>$</w:t>
            </w:r>
          </w:p>
        </w:tc>
        <w:tc>
          <w:tcPr>
            <w:tcW w:w="700" w:type="dxa"/>
            <w:vAlign w:val="bottom"/>
            <w:tcBorders>
              <w:bottom w:val="single" w:sz="8" w:color="auto"/>
            </w:tcBorders>
            <w:shd w:val="clear" w:color="auto" w:fill="CCEEFF"/>
          </w:tcPr>
          <w:p>
            <w:pPr>
              <w:jc w:val="right"/>
              <w:ind w:right="91"/>
              <w:spacing w:after="0"/>
              <w:rPr>
                <w:sz w:val="20"/>
                <w:szCs w:val="20"/>
                <w:color w:val="auto"/>
              </w:rPr>
            </w:pPr>
            <w:r>
              <w:rPr>
                <w:rFonts w:ascii="Arial" w:cs="Arial" w:eastAsia="Arial" w:hAnsi="Arial"/>
                <w:sz w:val="18"/>
                <w:szCs w:val="18"/>
                <w:color w:val="auto"/>
              </w:rPr>
              <w:t>9,083</w:t>
            </w:r>
          </w:p>
        </w:tc>
        <w:tc>
          <w:tcPr>
            <w:tcW w:w="120" w:type="dxa"/>
            <w:vAlign w:val="bottom"/>
            <w:tcBorders>
              <w:bottom w:val="single" w:sz="8" w:color="CCEEFF"/>
            </w:tcBorders>
            <w:shd w:val="clear" w:color="auto" w:fill="CCEEFF"/>
          </w:tcPr>
          <w:p>
            <w:pPr>
              <w:spacing w:after="0"/>
              <w:rPr>
                <w:sz w:val="22"/>
                <w:szCs w:val="22"/>
                <w:color w:val="auto"/>
              </w:rPr>
            </w:pPr>
          </w:p>
        </w:tc>
        <w:tc>
          <w:tcPr>
            <w:tcW w:w="600" w:type="dxa"/>
            <w:vAlign w:val="bottom"/>
            <w:tcBorders>
              <w:bottom w:val="single" w:sz="8" w:color="auto"/>
            </w:tcBorders>
            <w:shd w:val="clear" w:color="auto" w:fill="CCEEFF"/>
          </w:tcPr>
          <w:p>
            <w:pPr>
              <w:jc w:val="right"/>
              <w:ind w:right="390"/>
              <w:spacing w:after="0"/>
              <w:rPr>
                <w:sz w:val="20"/>
                <w:szCs w:val="20"/>
                <w:color w:val="auto"/>
              </w:rPr>
            </w:pPr>
            <w:r>
              <w:rPr>
                <w:rFonts w:ascii="Arial" w:cs="Arial" w:eastAsia="Arial" w:hAnsi="Arial"/>
                <w:sz w:val="18"/>
                <w:szCs w:val="18"/>
                <w:color w:val="auto"/>
                <w:w w:val="99"/>
              </w:rPr>
              <w:t>$</w:t>
            </w:r>
          </w:p>
        </w:tc>
        <w:tc>
          <w:tcPr>
            <w:tcW w:w="1300" w:type="dxa"/>
            <w:vAlign w:val="bottom"/>
            <w:tcBorders>
              <w:bottom w:val="single" w:sz="8" w:color="auto"/>
            </w:tcBorders>
            <w:shd w:val="clear" w:color="auto" w:fill="CCEEFF"/>
          </w:tcPr>
          <w:p>
            <w:pPr>
              <w:jc w:val="right"/>
              <w:ind w:right="91"/>
              <w:spacing w:after="0"/>
              <w:rPr>
                <w:sz w:val="20"/>
                <w:szCs w:val="20"/>
                <w:color w:val="auto"/>
              </w:rPr>
            </w:pPr>
            <w:r>
              <w:rPr>
                <w:rFonts w:ascii="Arial" w:cs="Arial" w:eastAsia="Arial" w:hAnsi="Arial"/>
                <w:sz w:val="18"/>
                <w:szCs w:val="18"/>
                <w:color w:val="auto"/>
              </w:rPr>
              <w:t>9,496</w:t>
            </w:r>
          </w:p>
        </w:tc>
      </w:tr>
      <w:tr>
        <w:trPr>
          <w:trHeight w:val="20"/>
        </w:trPr>
        <w:tc>
          <w:tcPr>
            <w:tcW w:w="7500" w:type="dxa"/>
            <w:vAlign w:val="bottom"/>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r>
      <w:tr>
        <w:trPr>
          <w:trHeight w:val="305"/>
        </w:trPr>
        <w:tc>
          <w:tcPr>
            <w:tcW w:w="750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1300" w:type="dxa"/>
            <w:vAlign w:val="bottom"/>
          </w:tcPr>
          <w:p>
            <w:pPr>
              <w:spacing w:after="0"/>
              <w:rPr>
                <w:sz w:val="24"/>
                <w:szCs w:val="24"/>
                <w:color w:val="auto"/>
              </w:rPr>
            </w:pPr>
          </w:p>
        </w:tc>
      </w:tr>
      <w:tr>
        <w:trPr>
          <w:trHeight w:val="270"/>
        </w:trPr>
        <w:tc>
          <w:tcPr>
            <w:tcW w:w="7500" w:type="dxa"/>
            <w:vAlign w:val="bottom"/>
            <w:shd w:val="clear" w:color="auto" w:fill="CCEEFF"/>
          </w:tcPr>
          <w:p>
            <w:pPr>
              <w:ind w:left="40"/>
              <w:spacing w:after="0"/>
              <w:rPr>
                <w:sz w:val="20"/>
                <w:szCs w:val="20"/>
                <w:color w:val="auto"/>
              </w:rPr>
            </w:pPr>
            <w:r>
              <w:rPr>
                <w:rFonts w:ascii="Arial" w:cs="Arial" w:eastAsia="Arial" w:hAnsi="Arial"/>
                <w:sz w:val="18"/>
                <w:szCs w:val="18"/>
                <w:color w:val="auto"/>
              </w:rPr>
              <w:t>Finance leases:</w:t>
            </w:r>
          </w:p>
        </w:tc>
        <w:tc>
          <w:tcPr>
            <w:tcW w:w="1200" w:type="dxa"/>
            <w:vAlign w:val="bottom"/>
            <w:shd w:val="clear" w:color="auto" w:fill="CCEEFF"/>
          </w:tcPr>
          <w:p>
            <w:pPr>
              <w:spacing w:after="0"/>
              <w:rPr>
                <w:sz w:val="23"/>
                <w:szCs w:val="23"/>
                <w:color w:val="auto"/>
              </w:rPr>
            </w:pPr>
          </w:p>
        </w:tc>
        <w:tc>
          <w:tcPr>
            <w:tcW w:w="70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600" w:type="dxa"/>
            <w:vAlign w:val="bottom"/>
            <w:shd w:val="clear" w:color="auto" w:fill="CCEEFF"/>
          </w:tcPr>
          <w:p>
            <w:pPr>
              <w:spacing w:after="0"/>
              <w:rPr>
                <w:sz w:val="23"/>
                <w:szCs w:val="23"/>
                <w:color w:val="auto"/>
              </w:rPr>
            </w:pPr>
          </w:p>
        </w:tc>
        <w:tc>
          <w:tcPr>
            <w:tcW w:w="1300" w:type="dxa"/>
            <w:vAlign w:val="bottom"/>
            <w:shd w:val="clear" w:color="auto" w:fill="CCEEFF"/>
          </w:tcPr>
          <w:p>
            <w:pPr>
              <w:spacing w:after="0"/>
              <w:rPr>
                <w:sz w:val="23"/>
                <w:szCs w:val="23"/>
                <w:color w:val="auto"/>
              </w:rPr>
            </w:pPr>
          </w:p>
        </w:tc>
      </w:tr>
      <w:tr>
        <w:trPr>
          <w:trHeight w:val="263"/>
        </w:trPr>
        <w:tc>
          <w:tcPr>
            <w:tcW w:w="7500" w:type="dxa"/>
            <w:vAlign w:val="bottom"/>
          </w:tcPr>
          <w:p>
            <w:pPr>
              <w:ind w:left="180"/>
              <w:spacing w:after="0"/>
              <w:rPr>
                <w:sz w:val="20"/>
                <w:szCs w:val="20"/>
                <w:color w:val="auto"/>
              </w:rPr>
            </w:pPr>
            <w:r>
              <w:rPr>
                <w:rFonts w:ascii="Arial" w:cs="Arial" w:eastAsia="Arial" w:hAnsi="Arial"/>
                <w:sz w:val="18"/>
                <w:szCs w:val="18"/>
                <w:color w:val="auto"/>
              </w:rPr>
              <w:t>Property and equipment, at cost</w:t>
            </w:r>
          </w:p>
        </w:tc>
        <w:tc>
          <w:tcPr>
            <w:tcW w:w="1200" w:type="dxa"/>
            <w:vAlign w:val="bottom"/>
          </w:tcPr>
          <w:p>
            <w:pPr>
              <w:jc w:val="right"/>
              <w:ind w:right="972"/>
              <w:spacing w:after="0"/>
              <w:rPr>
                <w:sz w:val="20"/>
                <w:szCs w:val="20"/>
                <w:color w:val="auto"/>
              </w:rPr>
            </w:pPr>
            <w:r>
              <w:rPr>
                <w:rFonts w:ascii="Arial" w:cs="Arial" w:eastAsia="Arial" w:hAnsi="Arial"/>
                <w:sz w:val="18"/>
                <w:szCs w:val="18"/>
                <w:color w:val="auto"/>
              </w:rPr>
              <w:t>$</w:t>
            </w:r>
          </w:p>
        </w:tc>
        <w:tc>
          <w:tcPr>
            <w:tcW w:w="700" w:type="dxa"/>
            <w:vAlign w:val="bottom"/>
          </w:tcPr>
          <w:p>
            <w:pPr>
              <w:jc w:val="right"/>
              <w:ind w:right="91"/>
              <w:spacing w:after="0"/>
              <w:rPr>
                <w:sz w:val="20"/>
                <w:szCs w:val="20"/>
                <w:color w:val="auto"/>
              </w:rPr>
            </w:pPr>
            <w:r>
              <w:rPr>
                <w:rFonts w:ascii="Arial" w:cs="Arial" w:eastAsia="Arial" w:hAnsi="Arial"/>
                <w:sz w:val="18"/>
                <w:szCs w:val="18"/>
                <w:color w:val="auto"/>
              </w:rPr>
              <w:t>954</w:t>
            </w:r>
          </w:p>
        </w:tc>
        <w:tc>
          <w:tcPr>
            <w:tcW w:w="120" w:type="dxa"/>
            <w:vAlign w:val="bottom"/>
          </w:tcPr>
          <w:p>
            <w:pPr>
              <w:spacing w:after="0"/>
              <w:rPr>
                <w:sz w:val="22"/>
                <w:szCs w:val="22"/>
                <w:color w:val="auto"/>
              </w:rPr>
            </w:pPr>
          </w:p>
        </w:tc>
        <w:tc>
          <w:tcPr>
            <w:tcW w:w="600" w:type="dxa"/>
            <w:vAlign w:val="bottom"/>
          </w:tcPr>
          <w:p>
            <w:pPr>
              <w:jc w:val="right"/>
              <w:ind w:right="390"/>
              <w:spacing w:after="0"/>
              <w:rPr>
                <w:sz w:val="20"/>
                <w:szCs w:val="20"/>
                <w:color w:val="auto"/>
              </w:rPr>
            </w:pPr>
            <w:r>
              <w:rPr>
                <w:rFonts w:ascii="Arial" w:cs="Arial" w:eastAsia="Arial" w:hAnsi="Arial"/>
                <w:sz w:val="18"/>
                <w:szCs w:val="18"/>
                <w:color w:val="auto"/>
                <w:w w:val="99"/>
              </w:rPr>
              <w:t>$</w:t>
            </w:r>
          </w:p>
        </w:tc>
        <w:tc>
          <w:tcPr>
            <w:tcW w:w="1300" w:type="dxa"/>
            <w:vAlign w:val="bottom"/>
          </w:tcPr>
          <w:p>
            <w:pPr>
              <w:jc w:val="right"/>
              <w:ind w:right="91"/>
              <w:spacing w:after="0"/>
              <w:rPr>
                <w:sz w:val="20"/>
                <w:szCs w:val="20"/>
                <w:color w:val="auto"/>
              </w:rPr>
            </w:pPr>
            <w:r>
              <w:rPr>
                <w:rFonts w:ascii="Arial" w:cs="Arial" w:eastAsia="Arial" w:hAnsi="Arial"/>
                <w:sz w:val="18"/>
                <w:szCs w:val="18"/>
                <w:color w:val="auto"/>
              </w:rPr>
              <w:t>936</w:t>
            </w:r>
          </w:p>
        </w:tc>
      </w:tr>
      <w:tr>
        <w:trPr>
          <w:trHeight w:val="270"/>
        </w:trPr>
        <w:tc>
          <w:tcPr>
            <w:tcW w:w="7500" w:type="dxa"/>
            <w:vAlign w:val="bottom"/>
            <w:shd w:val="clear" w:color="auto" w:fill="CCEEFF"/>
          </w:tcPr>
          <w:p>
            <w:pPr>
              <w:ind w:left="180"/>
              <w:spacing w:after="0"/>
              <w:rPr>
                <w:sz w:val="20"/>
                <w:szCs w:val="20"/>
                <w:color w:val="auto"/>
              </w:rPr>
            </w:pPr>
            <w:r>
              <w:rPr>
                <w:rFonts w:ascii="Arial" w:cs="Arial" w:eastAsia="Arial" w:hAnsi="Arial"/>
                <w:sz w:val="18"/>
                <w:szCs w:val="18"/>
                <w:color w:val="auto"/>
              </w:rPr>
              <w:t>Accumulated amortization</w:t>
            </w:r>
          </w:p>
        </w:tc>
        <w:tc>
          <w:tcPr>
            <w:tcW w:w="1200" w:type="dxa"/>
            <w:vAlign w:val="bottom"/>
            <w:tcBorders>
              <w:bottom w:val="single" w:sz="8" w:color="auto"/>
            </w:tcBorders>
            <w:shd w:val="clear" w:color="auto" w:fill="CCEEFF"/>
          </w:tcPr>
          <w:p>
            <w:pPr>
              <w:spacing w:after="0"/>
              <w:rPr>
                <w:sz w:val="23"/>
                <w:szCs w:val="23"/>
                <w:color w:val="auto"/>
              </w:rPr>
            </w:pPr>
          </w:p>
        </w:tc>
        <w:tc>
          <w:tcPr>
            <w:tcW w:w="700" w:type="dxa"/>
            <w:vAlign w:val="bottom"/>
            <w:tcBorders>
              <w:bottom w:val="single" w:sz="8" w:color="auto"/>
            </w:tcBorders>
            <w:shd w:val="clear" w:color="auto" w:fill="CCEEFF"/>
          </w:tcPr>
          <w:p>
            <w:pPr>
              <w:jc w:val="right"/>
              <w:ind w:right="31"/>
              <w:spacing w:after="0"/>
              <w:rPr>
                <w:sz w:val="20"/>
                <w:szCs w:val="20"/>
                <w:color w:val="auto"/>
              </w:rPr>
            </w:pPr>
            <w:r>
              <w:rPr>
                <w:rFonts w:ascii="Arial" w:cs="Arial" w:eastAsia="Arial" w:hAnsi="Arial"/>
                <w:sz w:val="18"/>
                <w:szCs w:val="18"/>
                <w:color w:val="auto"/>
              </w:rPr>
              <w:t>(447)</w:t>
            </w:r>
          </w:p>
        </w:tc>
        <w:tc>
          <w:tcPr>
            <w:tcW w:w="120" w:type="dxa"/>
            <w:vAlign w:val="bottom"/>
            <w:shd w:val="clear" w:color="auto" w:fill="CCEEFF"/>
          </w:tcPr>
          <w:p>
            <w:pPr>
              <w:spacing w:after="0"/>
              <w:rPr>
                <w:sz w:val="23"/>
                <w:szCs w:val="23"/>
                <w:color w:val="auto"/>
              </w:rPr>
            </w:pPr>
          </w:p>
        </w:tc>
        <w:tc>
          <w:tcPr>
            <w:tcW w:w="600" w:type="dxa"/>
            <w:vAlign w:val="bottom"/>
            <w:tcBorders>
              <w:bottom w:val="single" w:sz="8" w:color="auto"/>
            </w:tcBorders>
            <w:shd w:val="clear" w:color="auto" w:fill="CCEEFF"/>
          </w:tcPr>
          <w:p>
            <w:pPr>
              <w:spacing w:after="0"/>
              <w:rPr>
                <w:sz w:val="23"/>
                <w:szCs w:val="23"/>
                <w:color w:val="auto"/>
              </w:rPr>
            </w:pPr>
          </w:p>
        </w:tc>
        <w:tc>
          <w:tcPr>
            <w:tcW w:w="1300" w:type="dxa"/>
            <w:vAlign w:val="bottom"/>
            <w:tcBorders>
              <w:bottom w:val="single" w:sz="8" w:color="auto"/>
            </w:tcBorders>
            <w:shd w:val="clear" w:color="auto" w:fill="CCEEFF"/>
          </w:tcPr>
          <w:p>
            <w:pPr>
              <w:jc w:val="right"/>
              <w:ind w:right="31"/>
              <w:spacing w:after="0"/>
              <w:rPr>
                <w:sz w:val="20"/>
                <w:szCs w:val="20"/>
                <w:color w:val="auto"/>
              </w:rPr>
            </w:pPr>
            <w:r>
              <w:rPr>
                <w:rFonts w:ascii="Arial" w:cs="Arial" w:eastAsia="Arial" w:hAnsi="Arial"/>
                <w:sz w:val="18"/>
                <w:szCs w:val="18"/>
                <w:color w:val="auto"/>
              </w:rPr>
              <w:t>(391)</w:t>
            </w:r>
          </w:p>
        </w:tc>
      </w:tr>
      <w:tr>
        <w:trPr>
          <w:trHeight w:val="297"/>
        </w:trPr>
        <w:tc>
          <w:tcPr>
            <w:tcW w:w="7500" w:type="dxa"/>
            <w:vAlign w:val="bottom"/>
            <w:tcBorders>
              <w:bottom w:val="single" w:sz="8" w:color="CCEEFF"/>
            </w:tcBorders>
          </w:tcPr>
          <w:p>
            <w:pPr>
              <w:ind w:left="280"/>
              <w:spacing w:after="0"/>
              <w:rPr>
                <w:sz w:val="20"/>
                <w:szCs w:val="20"/>
                <w:color w:val="auto"/>
              </w:rPr>
            </w:pPr>
            <w:r>
              <w:rPr>
                <w:rFonts w:ascii="Arial" w:cs="Arial" w:eastAsia="Arial" w:hAnsi="Arial"/>
                <w:sz w:val="18"/>
                <w:szCs w:val="18"/>
                <w:color w:val="auto"/>
              </w:rPr>
              <w:t>Property and equipment, net</w:t>
            </w:r>
          </w:p>
        </w:tc>
        <w:tc>
          <w:tcPr>
            <w:tcW w:w="1200" w:type="dxa"/>
            <w:vAlign w:val="bottom"/>
            <w:tcBorders>
              <w:bottom w:val="single" w:sz="8" w:color="auto"/>
            </w:tcBorders>
          </w:tcPr>
          <w:p>
            <w:pPr>
              <w:jc w:val="right"/>
              <w:ind w:right="972"/>
              <w:spacing w:after="0"/>
              <w:rPr>
                <w:sz w:val="20"/>
                <w:szCs w:val="20"/>
                <w:color w:val="auto"/>
              </w:rPr>
            </w:pPr>
            <w:r>
              <w:rPr>
                <w:rFonts w:ascii="Arial" w:cs="Arial" w:eastAsia="Arial" w:hAnsi="Arial"/>
                <w:sz w:val="18"/>
                <w:szCs w:val="18"/>
                <w:color w:val="auto"/>
              </w:rPr>
              <w:t>$</w:t>
            </w:r>
          </w:p>
        </w:tc>
        <w:tc>
          <w:tcPr>
            <w:tcW w:w="700" w:type="dxa"/>
            <w:vAlign w:val="bottom"/>
            <w:tcBorders>
              <w:bottom w:val="single" w:sz="8" w:color="auto"/>
            </w:tcBorders>
          </w:tcPr>
          <w:p>
            <w:pPr>
              <w:jc w:val="right"/>
              <w:ind w:right="91"/>
              <w:spacing w:after="0"/>
              <w:rPr>
                <w:sz w:val="20"/>
                <w:szCs w:val="20"/>
                <w:color w:val="auto"/>
              </w:rPr>
            </w:pPr>
            <w:r>
              <w:rPr>
                <w:rFonts w:ascii="Arial" w:cs="Arial" w:eastAsia="Arial" w:hAnsi="Arial"/>
                <w:sz w:val="18"/>
                <w:szCs w:val="18"/>
                <w:color w:val="auto"/>
              </w:rPr>
              <w:t>507</w:t>
            </w:r>
          </w:p>
        </w:tc>
        <w:tc>
          <w:tcPr>
            <w:tcW w:w="120" w:type="dxa"/>
            <w:vAlign w:val="bottom"/>
            <w:tcBorders>
              <w:bottom w:val="single" w:sz="8" w:color="CCEEFF"/>
            </w:tcBorders>
          </w:tcPr>
          <w:p>
            <w:pPr>
              <w:spacing w:after="0"/>
              <w:rPr>
                <w:sz w:val="24"/>
                <w:szCs w:val="24"/>
                <w:color w:val="auto"/>
              </w:rPr>
            </w:pPr>
          </w:p>
        </w:tc>
        <w:tc>
          <w:tcPr>
            <w:tcW w:w="600" w:type="dxa"/>
            <w:vAlign w:val="bottom"/>
            <w:tcBorders>
              <w:bottom w:val="single" w:sz="8" w:color="auto"/>
            </w:tcBorders>
          </w:tcPr>
          <w:p>
            <w:pPr>
              <w:jc w:val="right"/>
              <w:ind w:right="390"/>
              <w:spacing w:after="0"/>
              <w:rPr>
                <w:sz w:val="20"/>
                <w:szCs w:val="20"/>
                <w:color w:val="auto"/>
              </w:rPr>
            </w:pPr>
            <w:r>
              <w:rPr>
                <w:rFonts w:ascii="Arial" w:cs="Arial" w:eastAsia="Arial" w:hAnsi="Arial"/>
                <w:sz w:val="18"/>
                <w:szCs w:val="18"/>
                <w:color w:val="auto"/>
                <w:w w:val="99"/>
              </w:rPr>
              <w:t>$</w:t>
            </w:r>
          </w:p>
        </w:tc>
        <w:tc>
          <w:tcPr>
            <w:tcW w:w="1300" w:type="dxa"/>
            <w:vAlign w:val="bottom"/>
            <w:tcBorders>
              <w:bottom w:val="single" w:sz="8" w:color="auto"/>
            </w:tcBorders>
          </w:tcPr>
          <w:p>
            <w:pPr>
              <w:jc w:val="right"/>
              <w:ind w:right="91"/>
              <w:spacing w:after="0"/>
              <w:rPr>
                <w:sz w:val="20"/>
                <w:szCs w:val="20"/>
                <w:color w:val="auto"/>
              </w:rPr>
            </w:pPr>
            <w:r>
              <w:rPr>
                <w:rFonts w:ascii="Arial" w:cs="Arial" w:eastAsia="Arial" w:hAnsi="Arial"/>
                <w:sz w:val="18"/>
                <w:szCs w:val="18"/>
                <w:color w:val="auto"/>
              </w:rPr>
              <w:t>545</w:t>
            </w:r>
          </w:p>
        </w:tc>
      </w:tr>
      <w:tr>
        <w:trPr>
          <w:trHeight w:val="305"/>
        </w:trPr>
        <w:tc>
          <w:tcPr>
            <w:tcW w:w="7500" w:type="dxa"/>
            <w:vAlign w:val="bottom"/>
            <w:shd w:val="clear" w:color="auto" w:fill="CCEEFF"/>
          </w:tcPr>
          <w:p>
            <w:pPr>
              <w:spacing w:after="0"/>
              <w:rPr>
                <w:sz w:val="24"/>
                <w:szCs w:val="24"/>
                <w:color w:val="auto"/>
              </w:rPr>
            </w:pPr>
          </w:p>
        </w:tc>
        <w:tc>
          <w:tcPr>
            <w:tcW w:w="1200" w:type="dxa"/>
            <w:vAlign w:val="bottom"/>
            <w:shd w:val="clear" w:color="auto" w:fill="CCEEFF"/>
          </w:tcPr>
          <w:p>
            <w:pPr>
              <w:spacing w:after="0"/>
              <w:rPr>
                <w:sz w:val="24"/>
                <w:szCs w:val="24"/>
                <w:color w:val="auto"/>
              </w:rPr>
            </w:pPr>
          </w:p>
        </w:tc>
        <w:tc>
          <w:tcPr>
            <w:tcW w:w="70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600" w:type="dxa"/>
            <w:vAlign w:val="bottom"/>
            <w:shd w:val="clear" w:color="auto" w:fill="CCEEFF"/>
          </w:tcPr>
          <w:p>
            <w:pPr>
              <w:spacing w:after="0"/>
              <w:rPr>
                <w:sz w:val="24"/>
                <w:szCs w:val="24"/>
                <w:color w:val="auto"/>
              </w:rPr>
            </w:pPr>
          </w:p>
        </w:tc>
        <w:tc>
          <w:tcPr>
            <w:tcW w:w="1300" w:type="dxa"/>
            <w:vAlign w:val="bottom"/>
            <w:shd w:val="clear" w:color="auto" w:fill="CCEEFF"/>
          </w:tcPr>
          <w:p>
            <w:pPr>
              <w:spacing w:after="0"/>
              <w:rPr>
                <w:sz w:val="24"/>
                <w:szCs w:val="24"/>
                <w:color w:val="auto"/>
              </w:rPr>
            </w:pPr>
          </w:p>
        </w:tc>
      </w:tr>
      <w:tr>
        <w:trPr>
          <w:trHeight w:val="263"/>
        </w:trPr>
        <w:tc>
          <w:tcPr>
            <w:tcW w:w="7500" w:type="dxa"/>
            <w:vAlign w:val="bottom"/>
          </w:tcPr>
          <w:p>
            <w:pPr>
              <w:ind w:left="180"/>
              <w:spacing w:after="0"/>
              <w:rPr>
                <w:sz w:val="20"/>
                <w:szCs w:val="20"/>
                <w:color w:val="auto"/>
              </w:rPr>
            </w:pPr>
            <w:r>
              <w:rPr>
                <w:rFonts w:ascii="Arial" w:cs="Arial" w:eastAsia="Arial" w:hAnsi="Arial"/>
                <w:sz w:val="18"/>
                <w:szCs w:val="18"/>
                <w:color w:val="auto"/>
              </w:rPr>
              <w:t>Current finance lease liabilities</w:t>
            </w:r>
          </w:p>
        </w:tc>
        <w:tc>
          <w:tcPr>
            <w:tcW w:w="1200" w:type="dxa"/>
            <w:vAlign w:val="bottom"/>
          </w:tcPr>
          <w:p>
            <w:pPr>
              <w:jc w:val="right"/>
              <w:ind w:right="972"/>
              <w:spacing w:after="0"/>
              <w:rPr>
                <w:sz w:val="20"/>
                <w:szCs w:val="20"/>
                <w:color w:val="auto"/>
              </w:rPr>
            </w:pPr>
            <w:r>
              <w:rPr>
                <w:rFonts w:ascii="Arial" w:cs="Arial" w:eastAsia="Arial" w:hAnsi="Arial"/>
                <w:sz w:val="18"/>
                <w:szCs w:val="18"/>
                <w:color w:val="auto"/>
              </w:rPr>
              <w:t>$</w:t>
            </w:r>
          </w:p>
        </w:tc>
        <w:tc>
          <w:tcPr>
            <w:tcW w:w="700" w:type="dxa"/>
            <w:vAlign w:val="bottom"/>
          </w:tcPr>
          <w:p>
            <w:pPr>
              <w:jc w:val="right"/>
              <w:ind w:right="91"/>
              <w:spacing w:after="0"/>
              <w:rPr>
                <w:sz w:val="20"/>
                <w:szCs w:val="20"/>
                <w:color w:val="auto"/>
              </w:rPr>
            </w:pPr>
            <w:r>
              <w:rPr>
                <w:rFonts w:ascii="Arial" w:cs="Arial" w:eastAsia="Arial" w:hAnsi="Arial"/>
                <w:sz w:val="18"/>
                <w:szCs w:val="18"/>
                <w:color w:val="auto"/>
              </w:rPr>
              <w:t>112</w:t>
            </w:r>
          </w:p>
        </w:tc>
        <w:tc>
          <w:tcPr>
            <w:tcW w:w="120" w:type="dxa"/>
            <w:vAlign w:val="bottom"/>
          </w:tcPr>
          <w:p>
            <w:pPr>
              <w:spacing w:after="0"/>
              <w:rPr>
                <w:sz w:val="22"/>
                <w:szCs w:val="22"/>
                <w:color w:val="auto"/>
              </w:rPr>
            </w:pPr>
          </w:p>
        </w:tc>
        <w:tc>
          <w:tcPr>
            <w:tcW w:w="600" w:type="dxa"/>
            <w:vAlign w:val="bottom"/>
          </w:tcPr>
          <w:p>
            <w:pPr>
              <w:jc w:val="right"/>
              <w:ind w:right="390"/>
              <w:spacing w:after="0"/>
              <w:rPr>
                <w:sz w:val="20"/>
                <w:szCs w:val="20"/>
                <w:color w:val="auto"/>
              </w:rPr>
            </w:pPr>
            <w:r>
              <w:rPr>
                <w:rFonts w:ascii="Arial" w:cs="Arial" w:eastAsia="Arial" w:hAnsi="Arial"/>
                <w:sz w:val="18"/>
                <w:szCs w:val="18"/>
                <w:color w:val="auto"/>
                <w:w w:val="99"/>
              </w:rPr>
              <w:t>$</w:t>
            </w:r>
          </w:p>
        </w:tc>
        <w:tc>
          <w:tcPr>
            <w:tcW w:w="1300" w:type="dxa"/>
            <w:vAlign w:val="bottom"/>
          </w:tcPr>
          <w:p>
            <w:pPr>
              <w:jc w:val="right"/>
              <w:ind w:right="91"/>
              <w:spacing w:after="0"/>
              <w:rPr>
                <w:sz w:val="20"/>
                <w:szCs w:val="20"/>
                <w:color w:val="auto"/>
              </w:rPr>
            </w:pPr>
            <w:r>
              <w:rPr>
                <w:rFonts w:ascii="Arial" w:cs="Arial" w:eastAsia="Arial" w:hAnsi="Arial"/>
                <w:sz w:val="18"/>
                <w:szCs w:val="18"/>
                <w:color w:val="auto"/>
              </w:rPr>
              <w:t>81</w:t>
            </w:r>
          </w:p>
        </w:tc>
      </w:tr>
      <w:tr>
        <w:trPr>
          <w:trHeight w:val="270"/>
        </w:trPr>
        <w:tc>
          <w:tcPr>
            <w:tcW w:w="7500" w:type="dxa"/>
            <w:vAlign w:val="bottom"/>
            <w:shd w:val="clear" w:color="auto" w:fill="CCEEFF"/>
          </w:tcPr>
          <w:p>
            <w:pPr>
              <w:ind w:left="180"/>
              <w:spacing w:after="0"/>
              <w:rPr>
                <w:sz w:val="20"/>
                <w:szCs w:val="20"/>
                <w:color w:val="auto"/>
              </w:rPr>
            </w:pPr>
            <w:r>
              <w:rPr>
                <w:rFonts w:ascii="Arial" w:cs="Arial" w:eastAsia="Arial" w:hAnsi="Arial"/>
                <w:sz w:val="18"/>
                <w:szCs w:val="18"/>
                <w:color w:val="auto"/>
              </w:rPr>
              <w:t>Noncurrent finance lease liabilities</w:t>
            </w:r>
          </w:p>
        </w:tc>
        <w:tc>
          <w:tcPr>
            <w:tcW w:w="1200" w:type="dxa"/>
            <w:vAlign w:val="bottom"/>
            <w:tcBorders>
              <w:bottom w:val="single" w:sz="8" w:color="auto"/>
            </w:tcBorders>
            <w:shd w:val="clear" w:color="auto" w:fill="CCEEFF"/>
          </w:tcPr>
          <w:p>
            <w:pPr>
              <w:spacing w:after="0"/>
              <w:rPr>
                <w:sz w:val="23"/>
                <w:szCs w:val="23"/>
                <w:color w:val="auto"/>
              </w:rPr>
            </w:pPr>
          </w:p>
        </w:tc>
        <w:tc>
          <w:tcPr>
            <w:tcW w:w="700" w:type="dxa"/>
            <w:vAlign w:val="bottom"/>
            <w:tcBorders>
              <w:bottom w:val="single" w:sz="8" w:color="auto"/>
            </w:tcBorders>
            <w:shd w:val="clear" w:color="auto" w:fill="CCEEFF"/>
          </w:tcPr>
          <w:p>
            <w:pPr>
              <w:jc w:val="right"/>
              <w:ind w:right="91"/>
              <w:spacing w:after="0"/>
              <w:rPr>
                <w:sz w:val="20"/>
                <w:szCs w:val="20"/>
                <w:color w:val="auto"/>
              </w:rPr>
            </w:pPr>
            <w:r>
              <w:rPr>
                <w:rFonts w:ascii="Arial" w:cs="Arial" w:eastAsia="Arial" w:hAnsi="Arial"/>
                <w:sz w:val="18"/>
                <w:szCs w:val="18"/>
                <w:color w:val="auto"/>
              </w:rPr>
              <w:t>558</w:t>
            </w:r>
          </w:p>
        </w:tc>
        <w:tc>
          <w:tcPr>
            <w:tcW w:w="120" w:type="dxa"/>
            <w:vAlign w:val="bottom"/>
            <w:shd w:val="clear" w:color="auto" w:fill="CCEEFF"/>
          </w:tcPr>
          <w:p>
            <w:pPr>
              <w:spacing w:after="0"/>
              <w:rPr>
                <w:sz w:val="23"/>
                <w:szCs w:val="23"/>
                <w:color w:val="auto"/>
              </w:rPr>
            </w:pPr>
          </w:p>
        </w:tc>
        <w:tc>
          <w:tcPr>
            <w:tcW w:w="600" w:type="dxa"/>
            <w:vAlign w:val="bottom"/>
            <w:tcBorders>
              <w:bottom w:val="single" w:sz="8" w:color="auto"/>
            </w:tcBorders>
            <w:shd w:val="clear" w:color="auto" w:fill="CCEEFF"/>
          </w:tcPr>
          <w:p>
            <w:pPr>
              <w:spacing w:after="0"/>
              <w:rPr>
                <w:sz w:val="23"/>
                <w:szCs w:val="23"/>
                <w:color w:val="auto"/>
              </w:rPr>
            </w:pPr>
          </w:p>
        </w:tc>
        <w:tc>
          <w:tcPr>
            <w:tcW w:w="1300" w:type="dxa"/>
            <w:vAlign w:val="bottom"/>
            <w:tcBorders>
              <w:bottom w:val="single" w:sz="8" w:color="auto"/>
            </w:tcBorders>
            <w:shd w:val="clear" w:color="auto" w:fill="CCEEFF"/>
          </w:tcPr>
          <w:p>
            <w:pPr>
              <w:jc w:val="right"/>
              <w:ind w:right="91"/>
              <w:spacing w:after="0"/>
              <w:rPr>
                <w:sz w:val="20"/>
                <w:szCs w:val="20"/>
                <w:color w:val="auto"/>
              </w:rPr>
            </w:pPr>
            <w:r>
              <w:rPr>
                <w:rFonts w:ascii="Arial" w:cs="Arial" w:eastAsia="Arial" w:hAnsi="Arial"/>
                <w:sz w:val="18"/>
                <w:szCs w:val="18"/>
                <w:color w:val="auto"/>
              </w:rPr>
              <w:t>613</w:t>
            </w:r>
          </w:p>
        </w:tc>
      </w:tr>
      <w:tr>
        <w:trPr>
          <w:trHeight w:val="297"/>
        </w:trPr>
        <w:tc>
          <w:tcPr>
            <w:tcW w:w="7500" w:type="dxa"/>
            <w:vAlign w:val="bottom"/>
            <w:tcBorders>
              <w:bottom w:val="single" w:sz="8" w:color="CCEEFF"/>
            </w:tcBorders>
          </w:tcPr>
          <w:p>
            <w:pPr>
              <w:ind w:left="280"/>
              <w:spacing w:after="0"/>
              <w:rPr>
                <w:sz w:val="20"/>
                <w:szCs w:val="20"/>
                <w:color w:val="auto"/>
              </w:rPr>
            </w:pPr>
            <w:r>
              <w:rPr>
                <w:rFonts w:ascii="Arial" w:cs="Arial" w:eastAsia="Arial" w:hAnsi="Arial"/>
                <w:sz w:val="18"/>
                <w:szCs w:val="18"/>
                <w:color w:val="auto"/>
              </w:rPr>
              <w:t>Total finance lease liabilities</w:t>
            </w:r>
          </w:p>
        </w:tc>
        <w:tc>
          <w:tcPr>
            <w:tcW w:w="1200" w:type="dxa"/>
            <w:vAlign w:val="bottom"/>
            <w:tcBorders>
              <w:bottom w:val="single" w:sz="8" w:color="auto"/>
            </w:tcBorders>
          </w:tcPr>
          <w:p>
            <w:pPr>
              <w:jc w:val="right"/>
              <w:ind w:right="972"/>
              <w:spacing w:after="0"/>
              <w:rPr>
                <w:sz w:val="20"/>
                <w:szCs w:val="20"/>
                <w:color w:val="auto"/>
              </w:rPr>
            </w:pPr>
            <w:r>
              <w:rPr>
                <w:rFonts w:ascii="Arial" w:cs="Arial" w:eastAsia="Arial" w:hAnsi="Arial"/>
                <w:sz w:val="18"/>
                <w:szCs w:val="18"/>
                <w:color w:val="auto"/>
              </w:rPr>
              <w:t>$</w:t>
            </w:r>
          </w:p>
        </w:tc>
        <w:tc>
          <w:tcPr>
            <w:tcW w:w="700" w:type="dxa"/>
            <w:vAlign w:val="bottom"/>
            <w:tcBorders>
              <w:bottom w:val="single" w:sz="8" w:color="auto"/>
            </w:tcBorders>
          </w:tcPr>
          <w:p>
            <w:pPr>
              <w:jc w:val="right"/>
              <w:ind w:right="91"/>
              <w:spacing w:after="0"/>
              <w:rPr>
                <w:sz w:val="20"/>
                <w:szCs w:val="20"/>
                <w:color w:val="auto"/>
              </w:rPr>
            </w:pPr>
            <w:r>
              <w:rPr>
                <w:rFonts w:ascii="Arial" w:cs="Arial" w:eastAsia="Arial" w:hAnsi="Arial"/>
                <w:sz w:val="18"/>
                <w:szCs w:val="18"/>
                <w:color w:val="auto"/>
              </w:rPr>
              <w:t>670</w:t>
            </w:r>
          </w:p>
        </w:tc>
        <w:tc>
          <w:tcPr>
            <w:tcW w:w="120" w:type="dxa"/>
            <w:vAlign w:val="bottom"/>
            <w:tcBorders>
              <w:bottom w:val="single" w:sz="8" w:color="CCEEFF"/>
            </w:tcBorders>
          </w:tcPr>
          <w:p>
            <w:pPr>
              <w:spacing w:after="0"/>
              <w:rPr>
                <w:sz w:val="24"/>
                <w:szCs w:val="24"/>
                <w:color w:val="auto"/>
              </w:rPr>
            </w:pPr>
          </w:p>
        </w:tc>
        <w:tc>
          <w:tcPr>
            <w:tcW w:w="600" w:type="dxa"/>
            <w:vAlign w:val="bottom"/>
            <w:tcBorders>
              <w:bottom w:val="single" w:sz="8" w:color="auto"/>
            </w:tcBorders>
          </w:tcPr>
          <w:p>
            <w:pPr>
              <w:jc w:val="right"/>
              <w:ind w:right="390"/>
              <w:spacing w:after="0"/>
              <w:rPr>
                <w:sz w:val="20"/>
                <w:szCs w:val="20"/>
                <w:color w:val="auto"/>
              </w:rPr>
            </w:pPr>
            <w:r>
              <w:rPr>
                <w:rFonts w:ascii="Arial" w:cs="Arial" w:eastAsia="Arial" w:hAnsi="Arial"/>
                <w:sz w:val="18"/>
                <w:szCs w:val="18"/>
                <w:color w:val="auto"/>
                <w:w w:val="99"/>
              </w:rPr>
              <w:t>$</w:t>
            </w:r>
          </w:p>
        </w:tc>
        <w:tc>
          <w:tcPr>
            <w:tcW w:w="1300" w:type="dxa"/>
            <w:vAlign w:val="bottom"/>
            <w:tcBorders>
              <w:bottom w:val="single" w:sz="8" w:color="auto"/>
            </w:tcBorders>
          </w:tcPr>
          <w:p>
            <w:pPr>
              <w:jc w:val="right"/>
              <w:ind w:right="91"/>
              <w:spacing w:after="0"/>
              <w:rPr>
                <w:sz w:val="20"/>
                <w:szCs w:val="20"/>
                <w:color w:val="auto"/>
              </w:rPr>
            </w:pPr>
            <w:r>
              <w:rPr>
                <w:rFonts w:ascii="Arial" w:cs="Arial" w:eastAsia="Arial" w:hAnsi="Arial"/>
                <w:sz w:val="18"/>
                <w:szCs w:val="18"/>
                <w:color w:val="auto"/>
              </w:rPr>
              <w:t>694</w:t>
            </w:r>
          </w:p>
        </w:tc>
      </w:tr>
      <w:tr>
        <w:trPr>
          <w:trHeight w:val="305"/>
        </w:trPr>
        <w:tc>
          <w:tcPr>
            <w:tcW w:w="7500" w:type="dxa"/>
            <w:vAlign w:val="bottom"/>
            <w:shd w:val="clear" w:color="auto" w:fill="CCEEFF"/>
          </w:tcPr>
          <w:p>
            <w:pPr>
              <w:spacing w:after="0"/>
              <w:rPr>
                <w:sz w:val="24"/>
                <w:szCs w:val="24"/>
                <w:color w:val="auto"/>
              </w:rPr>
            </w:pPr>
          </w:p>
        </w:tc>
        <w:tc>
          <w:tcPr>
            <w:tcW w:w="1200" w:type="dxa"/>
            <w:vAlign w:val="bottom"/>
            <w:shd w:val="clear" w:color="auto" w:fill="CCEEFF"/>
          </w:tcPr>
          <w:p>
            <w:pPr>
              <w:spacing w:after="0"/>
              <w:rPr>
                <w:sz w:val="24"/>
                <w:szCs w:val="24"/>
                <w:color w:val="auto"/>
              </w:rPr>
            </w:pPr>
          </w:p>
        </w:tc>
        <w:tc>
          <w:tcPr>
            <w:tcW w:w="70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600" w:type="dxa"/>
            <w:vAlign w:val="bottom"/>
            <w:shd w:val="clear" w:color="auto" w:fill="CCEEFF"/>
          </w:tcPr>
          <w:p>
            <w:pPr>
              <w:spacing w:after="0"/>
              <w:rPr>
                <w:sz w:val="24"/>
                <w:szCs w:val="24"/>
                <w:color w:val="auto"/>
              </w:rPr>
            </w:pPr>
          </w:p>
        </w:tc>
        <w:tc>
          <w:tcPr>
            <w:tcW w:w="1300" w:type="dxa"/>
            <w:vAlign w:val="bottom"/>
            <w:shd w:val="clear" w:color="auto" w:fill="CCEEFF"/>
          </w:tcPr>
          <w:p>
            <w:pPr>
              <w:spacing w:after="0"/>
              <w:rPr>
                <w:sz w:val="24"/>
                <w:szCs w:val="24"/>
                <w:color w:val="auto"/>
              </w:rPr>
            </w:pPr>
          </w:p>
        </w:tc>
      </w:tr>
      <w:tr>
        <w:trPr>
          <w:trHeight w:val="263"/>
        </w:trPr>
        <w:tc>
          <w:tcPr>
            <w:tcW w:w="7500" w:type="dxa"/>
            <w:vAlign w:val="bottom"/>
          </w:tcPr>
          <w:p>
            <w:pPr>
              <w:ind w:left="40"/>
              <w:spacing w:after="0"/>
              <w:rPr>
                <w:sz w:val="20"/>
                <w:szCs w:val="20"/>
                <w:color w:val="auto"/>
              </w:rPr>
            </w:pPr>
            <w:r>
              <w:rPr>
                <w:rFonts w:ascii="Arial" w:cs="Arial" w:eastAsia="Arial" w:hAnsi="Arial"/>
                <w:sz w:val="18"/>
                <w:szCs w:val="18"/>
                <w:color w:val="auto"/>
              </w:rPr>
              <w:t>Weighted average remaining lease term (in years):</w:t>
            </w:r>
          </w:p>
        </w:tc>
        <w:tc>
          <w:tcPr>
            <w:tcW w:w="1200" w:type="dxa"/>
            <w:vAlign w:val="bottom"/>
          </w:tcPr>
          <w:p>
            <w:pPr>
              <w:spacing w:after="0"/>
              <w:rPr>
                <w:sz w:val="22"/>
                <w:szCs w:val="22"/>
                <w:color w:val="auto"/>
              </w:rPr>
            </w:pPr>
          </w:p>
        </w:tc>
        <w:tc>
          <w:tcPr>
            <w:tcW w:w="7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600" w:type="dxa"/>
            <w:vAlign w:val="bottom"/>
          </w:tcPr>
          <w:p>
            <w:pPr>
              <w:spacing w:after="0"/>
              <w:rPr>
                <w:sz w:val="22"/>
                <w:szCs w:val="22"/>
                <w:color w:val="auto"/>
              </w:rPr>
            </w:pPr>
          </w:p>
        </w:tc>
        <w:tc>
          <w:tcPr>
            <w:tcW w:w="1300" w:type="dxa"/>
            <w:vAlign w:val="bottom"/>
          </w:tcPr>
          <w:p>
            <w:pPr>
              <w:spacing w:after="0"/>
              <w:rPr>
                <w:sz w:val="22"/>
                <w:szCs w:val="22"/>
                <w:color w:val="auto"/>
              </w:rPr>
            </w:pPr>
          </w:p>
        </w:tc>
      </w:tr>
      <w:tr>
        <w:trPr>
          <w:trHeight w:val="277"/>
        </w:trPr>
        <w:tc>
          <w:tcPr>
            <w:tcW w:w="7500" w:type="dxa"/>
            <w:vAlign w:val="bottom"/>
            <w:shd w:val="clear" w:color="auto" w:fill="CCEEFF"/>
          </w:tcPr>
          <w:p>
            <w:pPr>
              <w:ind w:left="180"/>
              <w:spacing w:after="0"/>
              <w:rPr>
                <w:sz w:val="20"/>
                <w:szCs w:val="20"/>
                <w:color w:val="auto"/>
              </w:rPr>
            </w:pPr>
            <w:r>
              <w:rPr>
                <w:rFonts w:ascii="Arial" w:cs="Arial" w:eastAsia="Arial" w:hAnsi="Arial"/>
                <w:sz w:val="18"/>
                <w:szCs w:val="18"/>
                <w:color w:val="auto"/>
              </w:rPr>
              <w:t>Operating leases</w:t>
            </w:r>
          </w:p>
        </w:tc>
        <w:tc>
          <w:tcPr>
            <w:tcW w:w="1200" w:type="dxa"/>
            <w:vAlign w:val="bottom"/>
            <w:shd w:val="clear" w:color="auto" w:fill="CCEEFF"/>
          </w:tcPr>
          <w:p>
            <w:pPr>
              <w:spacing w:after="0"/>
              <w:rPr>
                <w:sz w:val="24"/>
                <w:szCs w:val="24"/>
                <w:color w:val="auto"/>
              </w:rPr>
            </w:pPr>
          </w:p>
        </w:tc>
        <w:tc>
          <w:tcPr>
            <w:tcW w:w="700" w:type="dxa"/>
            <w:vAlign w:val="bottom"/>
            <w:shd w:val="clear" w:color="auto" w:fill="CCEEFF"/>
          </w:tcPr>
          <w:p>
            <w:pPr>
              <w:jc w:val="right"/>
              <w:ind w:right="91"/>
              <w:spacing w:after="0"/>
              <w:rPr>
                <w:sz w:val="20"/>
                <w:szCs w:val="20"/>
                <w:color w:val="auto"/>
              </w:rPr>
            </w:pPr>
            <w:r>
              <w:rPr>
                <w:rFonts w:ascii="Arial" w:cs="Arial" w:eastAsia="Arial" w:hAnsi="Arial"/>
                <w:sz w:val="18"/>
                <w:szCs w:val="18"/>
                <w:color w:val="auto"/>
              </w:rPr>
              <w:t>7.4</w:t>
            </w:r>
          </w:p>
        </w:tc>
        <w:tc>
          <w:tcPr>
            <w:tcW w:w="120" w:type="dxa"/>
            <w:vAlign w:val="bottom"/>
            <w:shd w:val="clear" w:color="auto" w:fill="CCEEFF"/>
          </w:tcPr>
          <w:p>
            <w:pPr>
              <w:spacing w:after="0"/>
              <w:rPr>
                <w:sz w:val="24"/>
                <w:szCs w:val="24"/>
                <w:color w:val="auto"/>
              </w:rPr>
            </w:pPr>
          </w:p>
        </w:tc>
        <w:tc>
          <w:tcPr>
            <w:tcW w:w="600" w:type="dxa"/>
            <w:vAlign w:val="bottom"/>
            <w:shd w:val="clear" w:color="auto" w:fill="CCEEFF"/>
          </w:tcPr>
          <w:p>
            <w:pPr>
              <w:spacing w:after="0"/>
              <w:rPr>
                <w:sz w:val="24"/>
                <w:szCs w:val="24"/>
                <w:color w:val="auto"/>
              </w:rPr>
            </w:pPr>
          </w:p>
        </w:tc>
        <w:tc>
          <w:tcPr>
            <w:tcW w:w="1300" w:type="dxa"/>
            <w:vAlign w:val="bottom"/>
            <w:shd w:val="clear" w:color="auto" w:fill="CCEEFF"/>
          </w:tcPr>
          <w:p>
            <w:pPr>
              <w:jc w:val="right"/>
              <w:ind w:right="91"/>
              <w:spacing w:after="0"/>
              <w:rPr>
                <w:sz w:val="20"/>
                <w:szCs w:val="20"/>
                <w:color w:val="auto"/>
              </w:rPr>
            </w:pPr>
            <w:r>
              <w:rPr>
                <w:rFonts w:ascii="Arial" w:cs="Arial" w:eastAsia="Arial" w:hAnsi="Arial"/>
                <w:sz w:val="18"/>
                <w:szCs w:val="18"/>
                <w:color w:val="auto"/>
              </w:rPr>
              <w:t>7.6</w:t>
            </w:r>
          </w:p>
        </w:tc>
      </w:tr>
      <w:tr>
        <w:trPr>
          <w:trHeight w:val="263"/>
        </w:trPr>
        <w:tc>
          <w:tcPr>
            <w:tcW w:w="7500" w:type="dxa"/>
            <w:vAlign w:val="bottom"/>
          </w:tcPr>
          <w:p>
            <w:pPr>
              <w:ind w:left="180"/>
              <w:spacing w:after="0"/>
              <w:rPr>
                <w:sz w:val="20"/>
                <w:szCs w:val="20"/>
                <w:color w:val="auto"/>
              </w:rPr>
            </w:pPr>
            <w:r>
              <w:rPr>
                <w:rFonts w:ascii="Arial" w:cs="Arial" w:eastAsia="Arial" w:hAnsi="Arial"/>
                <w:sz w:val="18"/>
                <w:szCs w:val="18"/>
                <w:color w:val="auto"/>
              </w:rPr>
              <w:t>Finance leases</w:t>
            </w:r>
          </w:p>
        </w:tc>
        <w:tc>
          <w:tcPr>
            <w:tcW w:w="1200" w:type="dxa"/>
            <w:vAlign w:val="bottom"/>
          </w:tcPr>
          <w:p>
            <w:pPr>
              <w:spacing w:after="0"/>
              <w:rPr>
                <w:sz w:val="22"/>
                <w:szCs w:val="22"/>
                <w:color w:val="auto"/>
              </w:rPr>
            </w:pPr>
          </w:p>
        </w:tc>
        <w:tc>
          <w:tcPr>
            <w:tcW w:w="700" w:type="dxa"/>
            <w:vAlign w:val="bottom"/>
          </w:tcPr>
          <w:p>
            <w:pPr>
              <w:jc w:val="right"/>
              <w:ind w:right="91"/>
              <w:spacing w:after="0"/>
              <w:rPr>
                <w:sz w:val="20"/>
                <w:szCs w:val="20"/>
                <w:color w:val="auto"/>
              </w:rPr>
            </w:pPr>
            <w:r>
              <w:rPr>
                <w:rFonts w:ascii="Arial" w:cs="Arial" w:eastAsia="Arial" w:hAnsi="Arial"/>
                <w:sz w:val="18"/>
                <w:szCs w:val="18"/>
                <w:color w:val="auto"/>
              </w:rPr>
              <w:t>6.2</w:t>
            </w:r>
          </w:p>
        </w:tc>
        <w:tc>
          <w:tcPr>
            <w:tcW w:w="120" w:type="dxa"/>
            <w:vAlign w:val="bottom"/>
          </w:tcPr>
          <w:p>
            <w:pPr>
              <w:spacing w:after="0"/>
              <w:rPr>
                <w:sz w:val="22"/>
                <w:szCs w:val="22"/>
                <w:color w:val="auto"/>
              </w:rPr>
            </w:pPr>
          </w:p>
        </w:tc>
        <w:tc>
          <w:tcPr>
            <w:tcW w:w="600" w:type="dxa"/>
            <w:vAlign w:val="bottom"/>
          </w:tcPr>
          <w:p>
            <w:pPr>
              <w:spacing w:after="0"/>
              <w:rPr>
                <w:sz w:val="22"/>
                <w:szCs w:val="22"/>
                <w:color w:val="auto"/>
              </w:rPr>
            </w:pPr>
          </w:p>
        </w:tc>
        <w:tc>
          <w:tcPr>
            <w:tcW w:w="1300" w:type="dxa"/>
            <w:vAlign w:val="bottom"/>
          </w:tcPr>
          <w:p>
            <w:pPr>
              <w:jc w:val="right"/>
              <w:ind w:right="91"/>
              <w:spacing w:after="0"/>
              <w:rPr>
                <w:sz w:val="20"/>
                <w:szCs w:val="20"/>
                <w:color w:val="auto"/>
              </w:rPr>
            </w:pPr>
            <w:r>
              <w:rPr>
                <w:rFonts w:ascii="Arial" w:cs="Arial" w:eastAsia="Arial" w:hAnsi="Arial"/>
                <w:sz w:val="18"/>
                <w:szCs w:val="18"/>
                <w:color w:val="auto"/>
              </w:rPr>
              <w:t>7.4</w:t>
            </w:r>
          </w:p>
        </w:tc>
      </w:tr>
      <w:tr>
        <w:trPr>
          <w:trHeight w:val="331"/>
        </w:trPr>
        <w:tc>
          <w:tcPr>
            <w:tcW w:w="7500" w:type="dxa"/>
            <w:vAlign w:val="bottom"/>
            <w:shd w:val="clear" w:color="auto" w:fill="CCEEFF"/>
          </w:tcPr>
          <w:p>
            <w:pPr>
              <w:spacing w:after="0"/>
              <w:rPr>
                <w:sz w:val="24"/>
                <w:szCs w:val="24"/>
                <w:color w:val="auto"/>
              </w:rPr>
            </w:pPr>
          </w:p>
        </w:tc>
        <w:tc>
          <w:tcPr>
            <w:tcW w:w="1200" w:type="dxa"/>
            <w:vAlign w:val="bottom"/>
            <w:shd w:val="clear" w:color="auto" w:fill="CCEEFF"/>
          </w:tcPr>
          <w:p>
            <w:pPr>
              <w:spacing w:after="0"/>
              <w:rPr>
                <w:sz w:val="24"/>
                <w:szCs w:val="24"/>
                <w:color w:val="auto"/>
              </w:rPr>
            </w:pPr>
          </w:p>
        </w:tc>
        <w:tc>
          <w:tcPr>
            <w:tcW w:w="70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600" w:type="dxa"/>
            <w:vAlign w:val="bottom"/>
            <w:shd w:val="clear" w:color="auto" w:fill="CCEEFF"/>
          </w:tcPr>
          <w:p>
            <w:pPr>
              <w:spacing w:after="0"/>
              <w:rPr>
                <w:sz w:val="24"/>
                <w:szCs w:val="24"/>
                <w:color w:val="auto"/>
              </w:rPr>
            </w:pPr>
          </w:p>
        </w:tc>
        <w:tc>
          <w:tcPr>
            <w:tcW w:w="1300" w:type="dxa"/>
            <w:vAlign w:val="bottom"/>
            <w:shd w:val="clear" w:color="auto" w:fill="CCEEFF"/>
          </w:tcPr>
          <w:p>
            <w:pPr>
              <w:spacing w:after="0"/>
              <w:rPr>
                <w:sz w:val="24"/>
                <w:szCs w:val="24"/>
                <w:color w:val="auto"/>
              </w:rPr>
            </w:pPr>
          </w:p>
        </w:tc>
      </w:tr>
      <w:tr>
        <w:trPr>
          <w:trHeight w:val="263"/>
        </w:trPr>
        <w:tc>
          <w:tcPr>
            <w:tcW w:w="7500" w:type="dxa"/>
            <w:vAlign w:val="bottom"/>
          </w:tcPr>
          <w:p>
            <w:pPr>
              <w:ind w:left="40"/>
              <w:spacing w:after="0"/>
              <w:rPr>
                <w:sz w:val="20"/>
                <w:szCs w:val="20"/>
                <w:color w:val="auto"/>
              </w:rPr>
            </w:pPr>
            <w:r>
              <w:rPr>
                <w:rFonts w:ascii="Arial" w:cs="Arial" w:eastAsia="Arial" w:hAnsi="Arial"/>
                <w:sz w:val="18"/>
                <w:szCs w:val="18"/>
                <w:color w:val="auto"/>
              </w:rPr>
              <w:t>Weighted average discount rate:</w:t>
            </w:r>
          </w:p>
        </w:tc>
        <w:tc>
          <w:tcPr>
            <w:tcW w:w="1200" w:type="dxa"/>
            <w:vAlign w:val="bottom"/>
          </w:tcPr>
          <w:p>
            <w:pPr>
              <w:spacing w:after="0"/>
              <w:rPr>
                <w:sz w:val="22"/>
                <w:szCs w:val="22"/>
                <w:color w:val="auto"/>
              </w:rPr>
            </w:pPr>
          </w:p>
        </w:tc>
        <w:tc>
          <w:tcPr>
            <w:tcW w:w="7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600" w:type="dxa"/>
            <w:vAlign w:val="bottom"/>
          </w:tcPr>
          <w:p>
            <w:pPr>
              <w:spacing w:after="0"/>
              <w:rPr>
                <w:sz w:val="22"/>
                <w:szCs w:val="22"/>
                <w:color w:val="auto"/>
              </w:rPr>
            </w:pPr>
          </w:p>
        </w:tc>
        <w:tc>
          <w:tcPr>
            <w:tcW w:w="1300" w:type="dxa"/>
            <w:vAlign w:val="bottom"/>
          </w:tcPr>
          <w:p>
            <w:pPr>
              <w:spacing w:after="0"/>
              <w:rPr>
                <w:sz w:val="22"/>
                <w:szCs w:val="22"/>
                <w:color w:val="auto"/>
              </w:rPr>
            </w:pPr>
          </w:p>
        </w:tc>
      </w:tr>
      <w:tr>
        <w:trPr>
          <w:trHeight w:val="277"/>
        </w:trPr>
        <w:tc>
          <w:tcPr>
            <w:tcW w:w="7500" w:type="dxa"/>
            <w:vAlign w:val="bottom"/>
            <w:shd w:val="clear" w:color="auto" w:fill="CCEEFF"/>
          </w:tcPr>
          <w:p>
            <w:pPr>
              <w:ind w:left="180"/>
              <w:spacing w:after="0"/>
              <w:rPr>
                <w:sz w:val="20"/>
                <w:szCs w:val="20"/>
                <w:color w:val="auto"/>
              </w:rPr>
            </w:pPr>
            <w:r>
              <w:rPr>
                <w:rFonts w:ascii="Arial" w:cs="Arial" w:eastAsia="Arial" w:hAnsi="Arial"/>
                <w:sz w:val="18"/>
                <w:szCs w:val="18"/>
                <w:color w:val="auto"/>
              </w:rPr>
              <w:t>Operating leases</w:t>
            </w:r>
          </w:p>
        </w:tc>
        <w:tc>
          <w:tcPr>
            <w:tcW w:w="1200" w:type="dxa"/>
            <w:vAlign w:val="bottom"/>
            <w:shd w:val="clear" w:color="auto" w:fill="CCEEFF"/>
          </w:tcPr>
          <w:p>
            <w:pPr>
              <w:spacing w:after="0"/>
              <w:rPr>
                <w:sz w:val="24"/>
                <w:szCs w:val="24"/>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4.7%</w:t>
            </w:r>
          </w:p>
        </w:tc>
        <w:tc>
          <w:tcPr>
            <w:tcW w:w="120" w:type="dxa"/>
            <w:vAlign w:val="bottom"/>
            <w:shd w:val="clear" w:color="auto" w:fill="CCEEFF"/>
          </w:tcPr>
          <w:p>
            <w:pPr>
              <w:spacing w:after="0"/>
              <w:rPr>
                <w:sz w:val="24"/>
                <w:szCs w:val="24"/>
                <w:color w:val="auto"/>
              </w:rPr>
            </w:pPr>
          </w:p>
        </w:tc>
        <w:tc>
          <w:tcPr>
            <w:tcW w:w="600" w:type="dxa"/>
            <w:vAlign w:val="bottom"/>
            <w:shd w:val="clear" w:color="auto" w:fill="CCEEFF"/>
          </w:tcPr>
          <w:p>
            <w:pPr>
              <w:spacing w:after="0"/>
              <w:rPr>
                <w:sz w:val="24"/>
                <w:szCs w:val="24"/>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4.6%</w:t>
            </w:r>
          </w:p>
        </w:tc>
      </w:tr>
      <w:tr>
        <w:trPr>
          <w:trHeight w:val="257"/>
        </w:trPr>
        <w:tc>
          <w:tcPr>
            <w:tcW w:w="7500" w:type="dxa"/>
            <w:vAlign w:val="bottom"/>
          </w:tcPr>
          <w:p>
            <w:pPr>
              <w:ind w:left="180"/>
              <w:spacing w:after="0"/>
              <w:rPr>
                <w:sz w:val="20"/>
                <w:szCs w:val="20"/>
                <w:color w:val="auto"/>
              </w:rPr>
            </w:pPr>
            <w:r>
              <w:rPr>
                <w:rFonts w:ascii="Arial" w:cs="Arial" w:eastAsia="Arial" w:hAnsi="Arial"/>
                <w:sz w:val="18"/>
                <w:szCs w:val="18"/>
                <w:color w:val="auto"/>
              </w:rPr>
              <w:t>Finance leases</w:t>
            </w:r>
          </w:p>
        </w:tc>
        <w:tc>
          <w:tcPr>
            <w:tcW w:w="1200" w:type="dxa"/>
            <w:vAlign w:val="bottom"/>
          </w:tcPr>
          <w:p>
            <w:pPr>
              <w:spacing w:after="0"/>
              <w:rPr>
                <w:sz w:val="22"/>
                <w:szCs w:val="22"/>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6.2%</w:t>
            </w:r>
          </w:p>
        </w:tc>
        <w:tc>
          <w:tcPr>
            <w:tcW w:w="120" w:type="dxa"/>
            <w:vAlign w:val="bottom"/>
          </w:tcPr>
          <w:p>
            <w:pPr>
              <w:spacing w:after="0"/>
              <w:rPr>
                <w:sz w:val="22"/>
                <w:szCs w:val="22"/>
                <w:color w:val="auto"/>
              </w:rPr>
            </w:pPr>
          </w:p>
        </w:tc>
        <w:tc>
          <w:tcPr>
            <w:tcW w:w="600" w:type="dxa"/>
            <w:vAlign w:val="bottom"/>
          </w:tcPr>
          <w:p>
            <w:pPr>
              <w:spacing w:after="0"/>
              <w:rPr>
                <w:sz w:val="22"/>
                <w:szCs w:val="22"/>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6.5%</w:t>
            </w:r>
          </w:p>
        </w:tc>
      </w:tr>
    </w:tbl>
    <w:p>
      <w:pPr>
        <w:spacing w:after="0" w:line="391" w:lineRule="exact"/>
        <w:rPr>
          <w:sz w:val="20"/>
          <w:szCs w:val="20"/>
          <w:color w:val="auto"/>
        </w:rPr>
      </w:pPr>
    </w:p>
    <w:p>
      <w:pPr>
        <w:ind w:left="260"/>
        <w:spacing w:after="0"/>
        <w:rPr>
          <w:sz w:val="20"/>
          <w:szCs w:val="20"/>
          <w:color w:val="auto"/>
        </w:rPr>
      </w:pPr>
      <w:r>
        <w:rPr>
          <w:rFonts w:ascii="Arial" w:cs="Arial" w:eastAsia="Arial" w:hAnsi="Arial"/>
          <w:sz w:val="18"/>
          <w:szCs w:val="18"/>
          <w:color w:val="auto"/>
        </w:rPr>
        <w:t>Supplemental cash flow and other information related to leases was as follows (in millions):</w:t>
      </w:r>
    </w:p>
    <w:p>
      <w:pPr>
        <w:spacing w:after="0" w:line="200" w:lineRule="exact"/>
        <w:rPr>
          <w:sz w:val="20"/>
          <w:szCs w:val="20"/>
          <w:color w:val="auto"/>
        </w:rPr>
      </w:pPr>
    </w:p>
    <w:p>
      <w:pPr>
        <w:spacing w:after="0" w:line="337" w:lineRule="exact"/>
        <w:rPr>
          <w:sz w:val="20"/>
          <w:szCs w:val="20"/>
          <w:color w:val="auto"/>
        </w:rPr>
      </w:pPr>
    </w:p>
    <w:tbl>
      <w:tblPr>
        <w:tblLayout w:type="fixed"/>
        <w:tblInd w:w="0" w:type="dxa"/>
        <w:tblCellMar>
          <w:top w:w="0" w:type="dxa"/>
          <w:left w:w="0" w:type="dxa"/>
          <w:bottom w:w="0" w:type="dxa"/>
          <w:right w:w="0" w:type="dxa"/>
        </w:tblCellMar>
      </w:tblPr>
      <w:tr>
        <w:trPr>
          <w:trHeight w:val="196"/>
        </w:trPr>
        <w:tc>
          <w:tcPr>
            <w:tcW w:w="7640" w:type="dxa"/>
            <w:vAlign w:val="bottom"/>
          </w:tcPr>
          <w:p>
            <w:pPr>
              <w:spacing w:after="0"/>
              <w:rPr>
                <w:sz w:val="17"/>
                <w:szCs w:val="17"/>
                <w:color w:val="auto"/>
              </w:rPr>
            </w:pPr>
          </w:p>
        </w:tc>
        <w:tc>
          <w:tcPr>
            <w:tcW w:w="3120" w:type="dxa"/>
            <w:vAlign w:val="bottom"/>
            <w:tcBorders>
              <w:bottom w:val="single" w:sz="8" w:color="auto"/>
            </w:tcBorders>
            <w:gridSpan w:val="4"/>
          </w:tcPr>
          <w:p>
            <w:pPr>
              <w:jc w:val="right"/>
              <w:ind w:right="259"/>
              <w:spacing w:after="0"/>
              <w:rPr>
                <w:sz w:val="20"/>
                <w:szCs w:val="20"/>
                <w:color w:val="auto"/>
              </w:rPr>
            </w:pPr>
            <w:r>
              <w:rPr>
                <w:rFonts w:ascii="Arial" w:cs="Arial" w:eastAsia="Arial" w:hAnsi="Arial"/>
                <w:sz w:val="14"/>
                <w:szCs w:val="14"/>
                <w:b w:val="1"/>
                <w:bCs w:val="1"/>
                <w:color w:val="auto"/>
              </w:rPr>
              <w:t>Year Ended December 31,</w:t>
            </w:r>
          </w:p>
        </w:tc>
        <w:tc>
          <w:tcPr>
            <w:tcW w:w="660" w:type="dxa"/>
            <w:vAlign w:val="bottom"/>
            <w:tcBorders>
              <w:bottom w:val="single" w:sz="8" w:color="auto"/>
            </w:tcBorders>
          </w:tcPr>
          <w:p>
            <w:pPr>
              <w:spacing w:after="0"/>
              <w:rPr>
                <w:sz w:val="17"/>
                <w:szCs w:val="17"/>
                <w:color w:val="auto"/>
              </w:rPr>
            </w:pPr>
          </w:p>
        </w:tc>
      </w:tr>
      <w:tr>
        <w:trPr>
          <w:trHeight w:val="263"/>
        </w:trPr>
        <w:tc>
          <w:tcPr>
            <w:tcW w:w="7640" w:type="dxa"/>
            <w:vAlign w:val="bottom"/>
          </w:tcPr>
          <w:p>
            <w:pPr>
              <w:spacing w:after="0"/>
              <w:rPr>
                <w:sz w:val="22"/>
                <w:szCs w:val="22"/>
                <w:color w:val="auto"/>
              </w:rPr>
            </w:pPr>
          </w:p>
        </w:tc>
        <w:tc>
          <w:tcPr>
            <w:tcW w:w="1180" w:type="dxa"/>
            <w:vAlign w:val="bottom"/>
            <w:tcBorders>
              <w:bottom w:val="single" w:sz="8" w:color="auto"/>
            </w:tcBorders>
          </w:tcPr>
          <w:p>
            <w:pPr>
              <w:jc w:val="right"/>
              <w:ind w:right="22"/>
              <w:spacing w:after="0"/>
              <w:rPr>
                <w:sz w:val="20"/>
                <w:szCs w:val="20"/>
                <w:color w:val="auto"/>
              </w:rPr>
            </w:pPr>
            <w:r>
              <w:rPr>
                <w:rFonts w:ascii="Arial" w:cs="Arial" w:eastAsia="Arial" w:hAnsi="Arial"/>
                <w:sz w:val="14"/>
                <w:szCs w:val="14"/>
                <w:b w:val="1"/>
                <w:bCs w:val="1"/>
                <w:color w:val="auto"/>
              </w:rPr>
              <w:t>2019</w:t>
            </w:r>
          </w:p>
        </w:tc>
        <w:tc>
          <w:tcPr>
            <w:tcW w:w="660" w:type="dxa"/>
            <w:vAlign w:val="bottom"/>
            <w:tcBorders>
              <w:bottom w:val="single" w:sz="8" w:color="auto"/>
            </w:tcBorders>
          </w:tcPr>
          <w:p>
            <w:pPr>
              <w:spacing w:after="0"/>
              <w:rPr>
                <w:sz w:val="22"/>
                <w:szCs w:val="22"/>
                <w:color w:val="auto"/>
              </w:rPr>
            </w:pPr>
          </w:p>
        </w:tc>
        <w:tc>
          <w:tcPr>
            <w:tcW w:w="100" w:type="dxa"/>
            <w:vAlign w:val="bottom"/>
          </w:tcPr>
          <w:p>
            <w:pPr>
              <w:spacing w:after="0"/>
              <w:rPr>
                <w:sz w:val="22"/>
                <w:szCs w:val="22"/>
                <w:color w:val="auto"/>
              </w:rPr>
            </w:pPr>
          </w:p>
        </w:tc>
        <w:tc>
          <w:tcPr>
            <w:tcW w:w="1180" w:type="dxa"/>
            <w:vAlign w:val="bottom"/>
            <w:tcBorders>
              <w:bottom w:val="single" w:sz="8" w:color="auto"/>
            </w:tcBorders>
          </w:tcPr>
          <w:p>
            <w:pPr>
              <w:jc w:val="right"/>
              <w:ind w:right="19"/>
              <w:spacing w:after="0"/>
              <w:rPr>
                <w:sz w:val="20"/>
                <w:szCs w:val="20"/>
                <w:color w:val="auto"/>
              </w:rPr>
            </w:pPr>
            <w:r>
              <w:rPr>
                <w:rFonts w:ascii="Arial" w:cs="Arial" w:eastAsia="Arial" w:hAnsi="Arial"/>
                <w:sz w:val="14"/>
                <w:szCs w:val="14"/>
                <w:b w:val="1"/>
                <w:bCs w:val="1"/>
                <w:color w:val="auto"/>
              </w:rPr>
              <w:t>2018</w:t>
            </w:r>
          </w:p>
        </w:tc>
        <w:tc>
          <w:tcPr>
            <w:tcW w:w="660" w:type="dxa"/>
            <w:vAlign w:val="bottom"/>
            <w:tcBorders>
              <w:bottom w:val="single" w:sz="8" w:color="auto"/>
            </w:tcBorders>
          </w:tcPr>
          <w:p>
            <w:pPr>
              <w:spacing w:after="0"/>
              <w:rPr>
                <w:sz w:val="22"/>
                <w:szCs w:val="22"/>
                <w:color w:val="auto"/>
              </w:rPr>
            </w:pPr>
          </w:p>
        </w:tc>
      </w:tr>
      <w:tr>
        <w:trPr>
          <w:trHeight w:val="263"/>
        </w:trPr>
        <w:tc>
          <w:tcPr>
            <w:tcW w:w="7640" w:type="dxa"/>
            <w:vAlign w:val="bottom"/>
          </w:tcPr>
          <w:p>
            <w:pPr>
              <w:ind w:left="40"/>
              <w:spacing w:after="0"/>
              <w:rPr>
                <w:sz w:val="20"/>
                <w:szCs w:val="20"/>
                <w:color w:val="auto"/>
              </w:rPr>
            </w:pPr>
            <w:r>
              <w:rPr>
                <w:rFonts w:ascii="Arial" w:cs="Arial" w:eastAsia="Arial" w:hAnsi="Arial"/>
                <w:sz w:val="18"/>
                <w:szCs w:val="18"/>
                <w:color w:val="auto"/>
              </w:rPr>
              <w:t>Cash paid for amounts included in the measurement of lease liabilities:</w:t>
            </w:r>
          </w:p>
        </w:tc>
        <w:tc>
          <w:tcPr>
            <w:tcW w:w="1180" w:type="dxa"/>
            <w:vAlign w:val="bottom"/>
          </w:tcPr>
          <w:p>
            <w:pPr>
              <w:spacing w:after="0"/>
              <w:rPr>
                <w:sz w:val="22"/>
                <w:szCs w:val="22"/>
                <w:color w:val="auto"/>
              </w:rPr>
            </w:pPr>
          </w:p>
        </w:tc>
        <w:tc>
          <w:tcPr>
            <w:tcW w:w="66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180" w:type="dxa"/>
            <w:vAlign w:val="bottom"/>
          </w:tcPr>
          <w:p>
            <w:pPr>
              <w:spacing w:after="0"/>
              <w:rPr>
                <w:sz w:val="22"/>
                <w:szCs w:val="22"/>
                <w:color w:val="auto"/>
              </w:rPr>
            </w:pPr>
          </w:p>
        </w:tc>
        <w:tc>
          <w:tcPr>
            <w:tcW w:w="660" w:type="dxa"/>
            <w:vAlign w:val="bottom"/>
          </w:tcPr>
          <w:p>
            <w:pPr>
              <w:spacing w:after="0"/>
              <w:rPr>
                <w:sz w:val="22"/>
                <w:szCs w:val="22"/>
                <w:color w:val="auto"/>
              </w:rPr>
            </w:pPr>
          </w:p>
        </w:tc>
      </w:tr>
      <w:tr>
        <w:trPr>
          <w:trHeight w:val="277"/>
        </w:trPr>
        <w:tc>
          <w:tcPr>
            <w:tcW w:w="7640" w:type="dxa"/>
            <w:vAlign w:val="bottom"/>
            <w:shd w:val="clear" w:color="auto" w:fill="CCEEFF"/>
          </w:tcPr>
          <w:p>
            <w:pPr>
              <w:ind w:left="180"/>
              <w:spacing w:after="0"/>
              <w:rPr>
                <w:sz w:val="20"/>
                <w:szCs w:val="20"/>
                <w:color w:val="auto"/>
              </w:rPr>
            </w:pPr>
            <w:r>
              <w:rPr>
                <w:rFonts w:ascii="Arial" w:cs="Arial" w:eastAsia="Arial" w:hAnsi="Arial"/>
                <w:sz w:val="18"/>
                <w:szCs w:val="18"/>
                <w:color w:val="auto"/>
              </w:rPr>
              <w:t>Operating cash flows from operating leases</w:t>
            </w:r>
          </w:p>
        </w:tc>
        <w:tc>
          <w:tcPr>
            <w:tcW w:w="1180" w:type="dxa"/>
            <w:vAlign w:val="bottom"/>
            <w:shd w:val="clear" w:color="auto" w:fill="CCEEFF"/>
          </w:tcPr>
          <w:p>
            <w:pPr>
              <w:jc w:val="right"/>
              <w:ind w:right="982"/>
              <w:spacing w:after="0"/>
              <w:rPr>
                <w:sz w:val="20"/>
                <w:szCs w:val="20"/>
                <w:color w:val="auto"/>
              </w:rPr>
            </w:pPr>
            <w:r>
              <w:rPr>
                <w:rFonts w:ascii="Arial" w:cs="Arial" w:eastAsia="Arial" w:hAnsi="Arial"/>
                <w:sz w:val="18"/>
                <w:szCs w:val="18"/>
                <w:color w:val="auto"/>
                <w:w w:val="99"/>
              </w:rPr>
              <w:t>$</w:t>
            </w:r>
          </w:p>
        </w:tc>
        <w:tc>
          <w:tcPr>
            <w:tcW w:w="66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1,996</w:t>
            </w:r>
          </w:p>
        </w:tc>
        <w:tc>
          <w:tcPr>
            <w:tcW w:w="100" w:type="dxa"/>
            <w:vAlign w:val="bottom"/>
            <w:shd w:val="clear" w:color="auto" w:fill="CCEEFF"/>
          </w:tcPr>
          <w:p>
            <w:pPr>
              <w:spacing w:after="0"/>
              <w:rPr>
                <w:sz w:val="24"/>
                <w:szCs w:val="24"/>
                <w:color w:val="auto"/>
              </w:rPr>
            </w:pPr>
          </w:p>
        </w:tc>
        <w:tc>
          <w:tcPr>
            <w:tcW w:w="1180" w:type="dxa"/>
            <w:vAlign w:val="bottom"/>
            <w:shd w:val="clear" w:color="auto" w:fill="CCEEFF"/>
          </w:tcPr>
          <w:p>
            <w:pPr>
              <w:jc w:val="right"/>
              <w:ind w:right="959"/>
              <w:spacing w:after="0"/>
              <w:rPr>
                <w:sz w:val="20"/>
                <w:szCs w:val="20"/>
                <w:color w:val="auto"/>
              </w:rPr>
            </w:pPr>
            <w:r>
              <w:rPr>
                <w:rFonts w:ascii="Arial" w:cs="Arial" w:eastAsia="Arial" w:hAnsi="Arial"/>
                <w:sz w:val="18"/>
                <w:szCs w:val="18"/>
                <w:color w:val="auto"/>
              </w:rPr>
              <w:t>$</w:t>
            </w:r>
          </w:p>
        </w:tc>
        <w:tc>
          <w:tcPr>
            <w:tcW w:w="66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1,914</w:t>
            </w:r>
          </w:p>
        </w:tc>
      </w:tr>
      <w:tr>
        <w:trPr>
          <w:trHeight w:val="263"/>
        </w:trPr>
        <w:tc>
          <w:tcPr>
            <w:tcW w:w="7640" w:type="dxa"/>
            <w:vAlign w:val="bottom"/>
          </w:tcPr>
          <w:p>
            <w:pPr>
              <w:ind w:left="180"/>
              <w:spacing w:after="0"/>
              <w:rPr>
                <w:sz w:val="20"/>
                <w:szCs w:val="20"/>
                <w:color w:val="auto"/>
              </w:rPr>
            </w:pPr>
            <w:r>
              <w:rPr>
                <w:rFonts w:ascii="Arial" w:cs="Arial" w:eastAsia="Arial" w:hAnsi="Arial"/>
                <w:sz w:val="18"/>
                <w:szCs w:val="18"/>
                <w:color w:val="auto"/>
              </w:rPr>
              <w:t>Operating cash flows from finance leases</w:t>
            </w:r>
          </w:p>
        </w:tc>
        <w:tc>
          <w:tcPr>
            <w:tcW w:w="1180" w:type="dxa"/>
            <w:vAlign w:val="bottom"/>
          </w:tcPr>
          <w:p>
            <w:pPr>
              <w:spacing w:after="0"/>
              <w:rPr>
                <w:sz w:val="22"/>
                <w:szCs w:val="22"/>
                <w:color w:val="auto"/>
              </w:rPr>
            </w:pPr>
          </w:p>
        </w:tc>
        <w:tc>
          <w:tcPr>
            <w:tcW w:w="660" w:type="dxa"/>
            <w:vAlign w:val="bottom"/>
          </w:tcPr>
          <w:p>
            <w:pPr>
              <w:jc w:val="right"/>
              <w:ind w:right="30"/>
              <w:spacing w:after="0"/>
              <w:rPr>
                <w:sz w:val="20"/>
                <w:szCs w:val="20"/>
                <w:color w:val="auto"/>
              </w:rPr>
            </w:pPr>
            <w:r>
              <w:rPr>
                <w:rFonts w:ascii="Arial" w:cs="Arial" w:eastAsia="Arial" w:hAnsi="Arial"/>
                <w:sz w:val="18"/>
                <w:szCs w:val="18"/>
                <w:color w:val="auto"/>
              </w:rPr>
              <w:t>43</w:t>
            </w:r>
          </w:p>
        </w:tc>
        <w:tc>
          <w:tcPr>
            <w:tcW w:w="100" w:type="dxa"/>
            <w:vAlign w:val="bottom"/>
          </w:tcPr>
          <w:p>
            <w:pPr>
              <w:spacing w:after="0"/>
              <w:rPr>
                <w:sz w:val="22"/>
                <w:szCs w:val="22"/>
                <w:color w:val="auto"/>
              </w:rPr>
            </w:pPr>
          </w:p>
        </w:tc>
        <w:tc>
          <w:tcPr>
            <w:tcW w:w="1180" w:type="dxa"/>
            <w:vAlign w:val="bottom"/>
          </w:tcPr>
          <w:p>
            <w:pPr>
              <w:spacing w:after="0"/>
              <w:rPr>
                <w:sz w:val="22"/>
                <w:szCs w:val="22"/>
                <w:color w:val="auto"/>
              </w:rPr>
            </w:pPr>
          </w:p>
        </w:tc>
        <w:tc>
          <w:tcPr>
            <w:tcW w:w="660" w:type="dxa"/>
            <w:vAlign w:val="bottom"/>
          </w:tcPr>
          <w:p>
            <w:pPr>
              <w:jc w:val="right"/>
              <w:ind w:right="10"/>
              <w:spacing w:after="0"/>
              <w:rPr>
                <w:sz w:val="20"/>
                <w:szCs w:val="20"/>
                <w:color w:val="auto"/>
              </w:rPr>
            </w:pPr>
            <w:r>
              <w:rPr>
                <w:rFonts w:ascii="Arial" w:cs="Arial" w:eastAsia="Arial" w:hAnsi="Arial"/>
                <w:sz w:val="18"/>
                <w:szCs w:val="18"/>
                <w:color w:val="auto"/>
              </w:rPr>
              <w:t>48</w:t>
            </w:r>
          </w:p>
        </w:tc>
      </w:tr>
      <w:tr>
        <w:trPr>
          <w:trHeight w:val="277"/>
        </w:trPr>
        <w:tc>
          <w:tcPr>
            <w:tcW w:w="7640" w:type="dxa"/>
            <w:vAlign w:val="bottom"/>
            <w:shd w:val="clear" w:color="auto" w:fill="CCEEFF"/>
          </w:tcPr>
          <w:p>
            <w:pPr>
              <w:ind w:left="180"/>
              <w:spacing w:after="0"/>
              <w:rPr>
                <w:sz w:val="20"/>
                <w:szCs w:val="20"/>
                <w:color w:val="auto"/>
              </w:rPr>
            </w:pPr>
            <w:r>
              <w:rPr>
                <w:rFonts w:ascii="Arial" w:cs="Arial" w:eastAsia="Arial" w:hAnsi="Arial"/>
                <w:sz w:val="18"/>
                <w:szCs w:val="18"/>
                <w:color w:val="auto"/>
              </w:rPr>
              <w:t>Financing cash flows from finance leases</w:t>
            </w:r>
          </w:p>
        </w:tc>
        <w:tc>
          <w:tcPr>
            <w:tcW w:w="1180" w:type="dxa"/>
            <w:vAlign w:val="bottom"/>
            <w:shd w:val="clear" w:color="auto" w:fill="CCEEFF"/>
          </w:tcPr>
          <w:p>
            <w:pPr>
              <w:spacing w:after="0"/>
              <w:rPr>
                <w:sz w:val="24"/>
                <w:szCs w:val="24"/>
                <w:color w:val="auto"/>
              </w:rPr>
            </w:pPr>
          </w:p>
        </w:tc>
        <w:tc>
          <w:tcPr>
            <w:tcW w:w="66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83</w:t>
            </w:r>
          </w:p>
        </w:tc>
        <w:tc>
          <w:tcPr>
            <w:tcW w:w="100" w:type="dxa"/>
            <w:vAlign w:val="bottom"/>
            <w:shd w:val="clear" w:color="auto" w:fill="CCEEFF"/>
          </w:tcPr>
          <w:p>
            <w:pPr>
              <w:spacing w:after="0"/>
              <w:rPr>
                <w:sz w:val="24"/>
                <w:szCs w:val="24"/>
                <w:color w:val="auto"/>
              </w:rPr>
            </w:pPr>
          </w:p>
        </w:tc>
        <w:tc>
          <w:tcPr>
            <w:tcW w:w="1180" w:type="dxa"/>
            <w:vAlign w:val="bottom"/>
            <w:shd w:val="clear" w:color="auto" w:fill="CCEEFF"/>
          </w:tcPr>
          <w:p>
            <w:pPr>
              <w:spacing w:after="0"/>
              <w:rPr>
                <w:sz w:val="24"/>
                <w:szCs w:val="24"/>
                <w:color w:val="auto"/>
              </w:rPr>
            </w:pPr>
          </w:p>
        </w:tc>
        <w:tc>
          <w:tcPr>
            <w:tcW w:w="66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78</w:t>
            </w:r>
          </w:p>
        </w:tc>
      </w:tr>
      <w:tr>
        <w:trPr>
          <w:trHeight w:val="324"/>
        </w:trPr>
        <w:tc>
          <w:tcPr>
            <w:tcW w:w="764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660" w:type="dxa"/>
            <w:vAlign w:val="bottom"/>
          </w:tcPr>
          <w:p>
            <w:pPr>
              <w:spacing w:after="0"/>
              <w:rPr>
                <w:sz w:val="24"/>
                <w:szCs w:val="24"/>
                <w:color w:val="auto"/>
              </w:rPr>
            </w:pPr>
          </w:p>
        </w:tc>
      </w:tr>
      <w:tr>
        <w:trPr>
          <w:trHeight w:val="270"/>
        </w:trPr>
        <w:tc>
          <w:tcPr>
            <w:tcW w:w="7640" w:type="dxa"/>
            <w:vAlign w:val="bottom"/>
            <w:shd w:val="clear" w:color="auto" w:fill="CCEEFF"/>
          </w:tcPr>
          <w:p>
            <w:pPr>
              <w:ind w:left="40"/>
              <w:spacing w:after="0"/>
              <w:rPr>
                <w:sz w:val="20"/>
                <w:szCs w:val="20"/>
                <w:color w:val="auto"/>
              </w:rPr>
            </w:pPr>
            <w:r>
              <w:rPr>
                <w:rFonts w:ascii="Arial" w:cs="Arial" w:eastAsia="Arial" w:hAnsi="Arial"/>
                <w:sz w:val="18"/>
                <w:szCs w:val="18"/>
                <w:color w:val="auto"/>
              </w:rPr>
              <w:t>Non-cash transactions:</w:t>
            </w:r>
          </w:p>
        </w:tc>
        <w:tc>
          <w:tcPr>
            <w:tcW w:w="1180" w:type="dxa"/>
            <w:vAlign w:val="bottom"/>
            <w:shd w:val="clear" w:color="auto" w:fill="CCEEFF"/>
          </w:tcPr>
          <w:p>
            <w:pPr>
              <w:spacing w:after="0"/>
              <w:rPr>
                <w:sz w:val="23"/>
                <w:szCs w:val="23"/>
                <w:color w:val="auto"/>
              </w:rPr>
            </w:pPr>
          </w:p>
        </w:tc>
        <w:tc>
          <w:tcPr>
            <w:tcW w:w="66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1180" w:type="dxa"/>
            <w:vAlign w:val="bottom"/>
            <w:shd w:val="clear" w:color="auto" w:fill="CCEEFF"/>
          </w:tcPr>
          <w:p>
            <w:pPr>
              <w:spacing w:after="0"/>
              <w:rPr>
                <w:sz w:val="23"/>
                <w:szCs w:val="23"/>
                <w:color w:val="auto"/>
              </w:rPr>
            </w:pPr>
          </w:p>
        </w:tc>
        <w:tc>
          <w:tcPr>
            <w:tcW w:w="660" w:type="dxa"/>
            <w:vAlign w:val="bottom"/>
            <w:shd w:val="clear" w:color="auto" w:fill="CCEEFF"/>
          </w:tcPr>
          <w:p>
            <w:pPr>
              <w:spacing w:after="0"/>
              <w:rPr>
                <w:sz w:val="23"/>
                <w:szCs w:val="23"/>
                <w:color w:val="auto"/>
              </w:rPr>
            </w:pPr>
          </w:p>
        </w:tc>
      </w:tr>
      <w:tr>
        <w:trPr>
          <w:trHeight w:val="263"/>
        </w:trPr>
        <w:tc>
          <w:tcPr>
            <w:tcW w:w="7640" w:type="dxa"/>
            <w:vAlign w:val="bottom"/>
          </w:tcPr>
          <w:p>
            <w:pPr>
              <w:ind w:left="180"/>
              <w:spacing w:after="0"/>
              <w:rPr>
                <w:sz w:val="20"/>
                <w:szCs w:val="20"/>
                <w:color w:val="auto"/>
              </w:rPr>
            </w:pPr>
            <w:r>
              <w:rPr>
                <w:rFonts w:ascii="Arial" w:cs="Arial" w:eastAsia="Arial" w:hAnsi="Arial"/>
                <w:sz w:val="18"/>
                <w:szCs w:val="18"/>
                <w:color w:val="auto"/>
              </w:rPr>
              <w:t>ROU assets acquired through operating leases</w:t>
            </w:r>
          </w:p>
        </w:tc>
        <w:tc>
          <w:tcPr>
            <w:tcW w:w="1180" w:type="dxa"/>
            <w:vAlign w:val="bottom"/>
          </w:tcPr>
          <w:p>
            <w:pPr>
              <w:spacing w:after="0"/>
              <w:rPr>
                <w:sz w:val="22"/>
                <w:szCs w:val="22"/>
                <w:color w:val="auto"/>
              </w:rPr>
            </w:pPr>
          </w:p>
        </w:tc>
        <w:tc>
          <w:tcPr>
            <w:tcW w:w="660" w:type="dxa"/>
            <w:vAlign w:val="bottom"/>
          </w:tcPr>
          <w:p>
            <w:pPr>
              <w:jc w:val="right"/>
              <w:ind w:right="30"/>
              <w:spacing w:after="0"/>
              <w:rPr>
                <w:sz w:val="20"/>
                <w:szCs w:val="20"/>
                <w:color w:val="auto"/>
              </w:rPr>
            </w:pPr>
            <w:r>
              <w:rPr>
                <w:rFonts w:ascii="Arial" w:cs="Arial" w:eastAsia="Arial" w:hAnsi="Arial"/>
                <w:sz w:val="18"/>
                <w:szCs w:val="18"/>
                <w:color w:val="auto"/>
              </w:rPr>
              <w:t>1,144</w:t>
            </w:r>
          </w:p>
        </w:tc>
        <w:tc>
          <w:tcPr>
            <w:tcW w:w="100" w:type="dxa"/>
            <w:vAlign w:val="bottom"/>
          </w:tcPr>
          <w:p>
            <w:pPr>
              <w:spacing w:after="0"/>
              <w:rPr>
                <w:sz w:val="22"/>
                <w:szCs w:val="22"/>
                <w:color w:val="auto"/>
              </w:rPr>
            </w:pPr>
          </w:p>
        </w:tc>
        <w:tc>
          <w:tcPr>
            <w:tcW w:w="1180" w:type="dxa"/>
            <w:vAlign w:val="bottom"/>
          </w:tcPr>
          <w:p>
            <w:pPr>
              <w:spacing w:after="0"/>
              <w:rPr>
                <w:sz w:val="22"/>
                <w:szCs w:val="22"/>
                <w:color w:val="auto"/>
              </w:rPr>
            </w:pPr>
          </w:p>
        </w:tc>
        <w:tc>
          <w:tcPr>
            <w:tcW w:w="660" w:type="dxa"/>
            <w:vAlign w:val="bottom"/>
          </w:tcPr>
          <w:p>
            <w:pPr>
              <w:jc w:val="right"/>
              <w:ind w:right="10"/>
              <w:spacing w:after="0"/>
              <w:rPr>
                <w:sz w:val="20"/>
                <w:szCs w:val="20"/>
                <w:color w:val="auto"/>
              </w:rPr>
            </w:pPr>
            <w:r>
              <w:rPr>
                <w:rFonts w:ascii="Arial" w:cs="Arial" w:eastAsia="Arial" w:hAnsi="Arial"/>
                <w:sz w:val="18"/>
                <w:szCs w:val="18"/>
                <w:color w:val="auto"/>
              </w:rPr>
              <w:t>1,258</w:t>
            </w:r>
          </w:p>
        </w:tc>
      </w:tr>
      <w:tr>
        <w:trPr>
          <w:trHeight w:val="277"/>
        </w:trPr>
        <w:tc>
          <w:tcPr>
            <w:tcW w:w="7640" w:type="dxa"/>
            <w:vAlign w:val="bottom"/>
            <w:shd w:val="clear" w:color="auto" w:fill="CCEEFF"/>
          </w:tcPr>
          <w:p>
            <w:pPr>
              <w:ind w:left="180"/>
              <w:spacing w:after="0"/>
              <w:rPr>
                <w:sz w:val="20"/>
                <w:szCs w:val="20"/>
                <w:color w:val="auto"/>
              </w:rPr>
            </w:pPr>
            <w:r>
              <w:rPr>
                <w:rFonts w:ascii="Arial" w:cs="Arial" w:eastAsia="Arial" w:hAnsi="Arial"/>
                <w:sz w:val="18"/>
                <w:szCs w:val="18"/>
                <w:color w:val="auto"/>
              </w:rPr>
              <w:t>Operating lease conversion to finance lease</w:t>
            </w:r>
          </w:p>
        </w:tc>
        <w:tc>
          <w:tcPr>
            <w:tcW w:w="1180" w:type="dxa"/>
            <w:vAlign w:val="bottom"/>
            <w:shd w:val="clear" w:color="auto" w:fill="CCEEFF"/>
          </w:tcPr>
          <w:p>
            <w:pPr>
              <w:spacing w:after="0"/>
              <w:rPr>
                <w:sz w:val="24"/>
                <w:szCs w:val="24"/>
                <w:color w:val="auto"/>
              </w:rPr>
            </w:pPr>
          </w:p>
        </w:tc>
        <w:tc>
          <w:tcPr>
            <w:tcW w:w="66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41</w:t>
            </w:r>
          </w:p>
        </w:tc>
        <w:tc>
          <w:tcPr>
            <w:tcW w:w="100" w:type="dxa"/>
            <w:vAlign w:val="bottom"/>
            <w:shd w:val="clear" w:color="auto" w:fill="CCEEFF"/>
          </w:tcPr>
          <w:p>
            <w:pPr>
              <w:spacing w:after="0"/>
              <w:rPr>
                <w:sz w:val="24"/>
                <w:szCs w:val="24"/>
                <w:color w:val="auto"/>
              </w:rPr>
            </w:pPr>
          </w:p>
        </w:tc>
        <w:tc>
          <w:tcPr>
            <w:tcW w:w="1180" w:type="dxa"/>
            <w:vAlign w:val="bottom"/>
            <w:shd w:val="clear" w:color="auto" w:fill="CCEEFF"/>
          </w:tcPr>
          <w:p>
            <w:pPr>
              <w:spacing w:after="0"/>
              <w:rPr>
                <w:sz w:val="24"/>
                <w:szCs w:val="24"/>
                <w:color w:val="auto"/>
              </w:rPr>
            </w:pPr>
          </w:p>
        </w:tc>
        <w:tc>
          <w:tcPr>
            <w:tcW w:w="66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w:t>
            </w:r>
          </w:p>
        </w:tc>
      </w:tr>
      <w:tr>
        <w:trPr>
          <w:trHeight w:val="263"/>
        </w:trPr>
        <w:tc>
          <w:tcPr>
            <w:tcW w:w="7640" w:type="dxa"/>
            <w:vAlign w:val="bottom"/>
          </w:tcPr>
          <w:p>
            <w:pPr>
              <w:ind w:left="180"/>
              <w:spacing w:after="0"/>
              <w:rPr>
                <w:sz w:val="20"/>
                <w:szCs w:val="20"/>
                <w:color w:val="auto"/>
              </w:rPr>
            </w:pPr>
            <w:r>
              <w:rPr>
                <w:rFonts w:ascii="Arial" w:cs="Arial" w:eastAsia="Arial" w:hAnsi="Arial"/>
                <w:sz w:val="18"/>
                <w:szCs w:val="18"/>
                <w:color w:val="auto"/>
              </w:rPr>
              <w:t>Property and equipment acquired through finance leases</w:t>
            </w:r>
          </w:p>
        </w:tc>
        <w:tc>
          <w:tcPr>
            <w:tcW w:w="1180" w:type="dxa"/>
            <w:vAlign w:val="bottom"/>
          </w:tcPr>
          <w:p>
            <w:pPr>
              <w:spacing w:after="0"/>
              <w:rPr>
                <w:sz w:val="22"/>
                <w:szCs w:val="22"/>
                <w:color w:val="auto"/>
              </w:rPr>
            </w:pPr>
          </w:p>
        </w:tc>
        <w:tc>
          <w:tcPr>
            <w:tcW w:w="660" w:type="dxa"/>
            <w:vAlign w:val="bottom"/>
          </w:tcPr>
          <w:p>
            <w:pPr>
              <w:jc w:val="right"/>
              <w:ind w:right="30"/>
              <w:spacing w:after="0"/>
              <w:rPr>
                <w:sz w:val="20"/>
                <w:szCs w:val="20"/>
                <w:color w:val="auto"/>
              </w:rPr>
            </w:pPr>
            <w:r>
              <w:rPr>
                <w:rFonts w:ascii="Arial" w:cs="Arial" w:eastAsia="Arial" w:hAnsi="Arial"/>
                <w:sz w:val="18"/>
                <w:szCs w:val="18"/>
                <w:color w:val="auto"/>
              </w:rPr>
              <w:t>20</w:t>
            </w:r>
          </w:p>
        </w:tc>
        <w:tc>
          <w:tcPr>
            <w:tcW w:w="100" w:type="dxa"/>
            <w:vAlign w:val="bottom"/>
          </w:tcPr>
          <w:p>
            <w:pPr>
              <w:spacing w:after="0"/>
              <w:rPr>
                <w:sz w:val="22"/>
                <w:szCs w:val="22"/>
                <w:color w:val="auto"/>
              </w:rPr>
            </w:pPr>
          </w:p>
        </w:tc>
        <w:tc>
          <w:tcPr>
            <w:tcW w:w="1180" w:type="dxa"/>
            <w:vAlign w:val="bottom"/>
          </w:tcPr>
          <w:p>
            <w:pPr>
              <w:spacing w:after="0"/>
              <w:rPr>
                <w:sz w:val="22"/>
                <w:szCs w:val="22"/>
                <w:color w:val="auto"/>
              </w:rPr>
            </w:pPr>
          </w:p>
        </w:tc>
        <w:tc>
          <w:tcPr>
            <w:tcW w:w="660" w:type="dxa"/>
            <w:vAlign w:val="bottom"/>
          </w:tcPr>
          <w:p>
            <w:pPr>
              <w:jc w:val="right"/>
              <w:ind w:right="10"/>
              <w:spacing w:after="0"/>
              <w:rPr>
                <w:sz w:val="20"/>
                <w:szCs w:val="20"/>
                <w:color w:val="auto"/>
              </w:rPr>
            </w:pPr>
            <w:r>
              <w:rPr>
                <w:rFonts w:ascii="Arial" w:cs="Arial" w:eastAsia="Arial" w:hAnsi="Arial"/>
                <w:sz w:val="18"/>
                <w:szCs w:val="18"/>
                <w:color w:val="auto"/>
              </w:rPr>
              <w:t>—</w:t>
            </w:r>
          </w:p>
        </w:tc>
      </w:tr>
      <w:tr>
        <w:trPr>
          <w:trHeight w:val="331"/>
        </w:trPr>
        <w:tc>
          <w:tcPr>
            <w:tcW w:w="7640" w:type="dxa"/>
            <w:vAlign w:val="bottom"/>
            <w:shd w:val="clear" w:color="auto" w:fill="CCEEFF"/>
          </w:tcPr>
          <w:p>
            <w:pPr>
              <w:spacing w:after="0"/>
              <w:rPr>
                <w:sz w:val="24"/>
                <w:szCs w:val="24"/>
                <w:color w:val="auto"/>
              </w:rPr>
            </w:pPr>
          </w:p>
        </w:tc>
        <w:tc>
          <w:tcPr>
            <w:tcW w:w="1180" w:type="dxa"/>
            <w:vAlign w:val="bottom"/>
            <w:shd w:val="clear" w:color="auto" w:fill="CCEEFF"/>
          </w:tcPr>
          <w:p>
            <w:pPr>
              <w:spacing w:after="0"/>
              <w:rPr>
                <w:sz w:val="24"/>
                <w:szCs w:val="24"/>
                <w:color w:val="auto"/>
              </w:rPr>
            </w:pPr>
          </w:p>
        </w:tc>
        <w:tc>
          <w:tcPr>
            <w:tcW w:w="66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180" w:type="dxa"/>
            <w:vAlign w:val="bottom"/>
            <w:shd w:val="clear" w:color="auto" w:fill="CCEEFF"/>
          </w:tcPr>
          <w:p>
            <w:pPr>
              <w:spacing w:after="0"/>
              <w:rPr>
                <w:sz w:val="24"/>
                <w:szCs w:val="24"/>
                <w:color w:val="auto"/>
              </w:rPr>
            </w:pPr>
          </w:p>
        </w:tc>
        <w:tc>
          <w:tcPr>
            <w:tcW w:w="660" w:type="dxa"/>
            <w:vAlign w:val="bottom"/>
            <w:shd w:val="clear" w:color="auto" w:fill="CCEEFF"/>
          </w:tcPr>
          <w:p>
            <w:pPr>
              <w:spacing w:after="0"/>
              <w:rPr>
                <w:sz w:val="24"/>
                <w:szCs w:val="24"/>
                <w:color w:val="auto"/>
              </w:rPr>
            </w:pPr>
          </w:p>
        </w:tc>
      </w:tr>
      <w:tr>
        <w:trPr>
          <w:trHeight w:val="257"/>
        </w:trPr>
        <w:tc>
          <w:tcPr>
            <w:tcW w:w="7640" w:type="dxa"/>
            <w:vAlign w:val="bottom"/>
          </w:tcPr>
          <w:p>
            <w:pPr>
              <w:ind w:left="40"/>
              <w:spacing w:after="0"/>
              <w:rPr>
                <w:sz w:val="20"/>
                <w:szCs w:val="20"/>
                <w:color w:val="auto"/>
              </w:rPr>
            </w:pPr>
            <w:r>
              <w:rPr>
                <w:rFonts w:ascii="Arial" w:cs="Arial" w:eastAsia="Arial" w:hAnsi="Arial"/>
                <w:sz w:val="18"/>
                <w:szCs w:val="18"/>
                <w:color w:val="auto"/>
              </w:rPr>
              <w:t>Gain on sale leaseback transactions, net</w:t>
            </w:r>
          </w:p>
        </w:tc>
        <w:tc>
          <w:tcPr>
            <w:tcW w:w="1180" w:type="dxa"/>
            <w:vAlign w:val="bottom"/>
          </w:tcPr>
          <w:p>
            <w:pPr>
              <w:spacing w:after="0"/>
              <w:rPr>
                <w:sz w:val="22"/>
                <w:szCs w:val="22"/>
                <w:color w:val="auto"/>
              </w:rPr>
            </w:pPr>
          </w:p>
        </w:tc>
        <w:tc>
          <w:tcPr>
            <w:tcW w:w="660" w:type="dxa"/>
            <w:vAlign w:val="bottom"/>
          </w:tcPr>
          <w:p>
            <w:pPr>
              <w:jc w:val="right"/>
              <w:ind w:right="30"/>
              <w:spacing w:after="0"/>
              <w:rPr>
                <w:sz w:val="20"/>
                <w:szCs w:val="20"/>
                <w:color w:val="auto"/>
              </w:rPr>
            </w:pPr>
            <w:r>
              <w:rPr>
                <w:rFonts w:ascii="Arial" w:cs="Arial" w:eastAsia="Arial" w:hAnsi="Arial"/>
                <w:sz w:val="18"/>
                <w:szCs w:val="18"/>
                <w:color w:val="auto"/>
              </w:rPr>
              <w:t>107</w:t>
            </w:r>
          </w:p>
        </w:tc>
        <w:tc>
          <w:tcPr>
            <w:tcW w:w="100" w:type="dxa"/>
            <w:vAlign w:val="bottom"/>
          </w:tcPr>
          <w:p>
            <w:pPr>
              <w:spacing w:after="0"/>
              <w:rPr>
                <w:sz w:val="22"/>
                <w:szCs w:val="22"/>
                <w:color w:val="auto"/>
              </w:rPr>
            </w:pPr>
          </w:p>
        </w:tc>
        <w:tc>
          <w:tcPr>
            <w:tcW w:w="1180" w:type="dxa"/>
            <w:vAlign w:val="bottom"/>
          </w:tcPr>
          <w:p>
            <w:pPr>
              <w:spacing w:after="0"/>
              <w:rPr>
                <w:sz w:val="22"/>
                <w:szCs w:val="22"/>
                <w:color w:val="auto"/>
              </w:rPr>
            </w:pPr>
          </w:p>
        </w:tc>
        <w:tc>
          <w:tcPr>
            <w:tcW w:w="660" w:type="dxa"/>
            <w:vAlign w:val="bottom"/>
          </w:tcPr>
          <w:p>
            <w:pPr>
              <w:jc w:val="right"/>
              <w:ind w:right="10"/>
              <w:spacing w:after="0"/>
              <w:rPr>
                <w:sz w:val="20"/>
                <w:szCs w:val="20"/>
                <w:color w:val="auto"/>
              </w:rPr>
            </w:pPr>
            <w:r>
              <w:rPr>
                <w:rFonts w:ascii="Arial" w:cs="Arial" w:eastAsia="Arial" w:hAnsi="Arial"/>
                <w:sz w:val="18"/>
                <w:szCs w:val="18"/>
                <w:color w:val="auto"/>
              </w:rPr>
              <w:t>59</w:t>
            </w:r>
          </w:p>
        </w:tc>
      </w:tr>
    </w:tbl>
    <w:p>
      <w:pPr>
        <w:spacing w:after="0" w:line="200" w:lineRule="exact"/>
        <w:rPr>
          <w:sz w:val="20"/>
          <w:szCs w:val="20"/>
          <w:color w:val="auto"/>
        </w:rPr>
      </w:pPr>
    </w:p>
    <w:p>
      <w:pPr>
        <w:sectPr>
          <w:pgSz w:w="11900" w:h="16838" w:orient="portrait"/>
          <w:cols w:equalWidth="0" w:num="1">
            <w:col w:w="11420"/>
          </w:cols>
          <w:pgMar w:left="240" w:top="549" w:right="239" w:bottom="1440" w:gutter="0" w:footer="0" w:header="0"/>
        </w:sectPr>
      </w:pPr>
    </w:p>
    <w:p>
      <w:pPr>
        <w:spacing w:after="0" w:line="245"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136</w:t>
      </w:r>
    </w:p>
    <w:p>
      <w:pPr>
        <w:sectPr>
          <w:pgSz w:w="11900" w:h="16838" w:orient="portrait"/>
          <w:cols w:equalWidth="0" w:num="1">
            <w:col w:w="11420"/>
          </w:cols>
          <w:pgMar w:left="240" w:top="549" w:right="239" w:bottom="1440" w:gutter="0" w:footer="0" w:header="0"/>
          <w:type w:val="continuous"/>
        </w:sectPr>
      </w:pPr>
    </w:p>
    <w:bookmarkStart w:id="136" w:name="page137"/>
    <w:bookmarkEnd w:id="136"/>
    <w:p>
      <w:pPr>
        <w:jc w:val="center"/>
        <w:spacing w:after="0"/>
        <w:rPr>
          <w:sz w:val="20"/>
          <w:szCs w:val="20"/>
          <w:color w:val="auto"/>
        </w:rPr>
      </w:pPr>
      <w:r>
        <w:rPr>
          <w:rFonts w:ascii="Arial" w:cs="Arial" w:eastAsia="Arial" w:hAnsi="Arial"/>
          <w:sz w:val="18"/>
          <w:szCs w:val="18"/>
          <w:b w:val="1"/>
          <w:bCs w:val="1"/>
          <w:color w:val="auto"/>
        </w:rPr>
        <w:t>NOTES TO CONSOLIDATED FINANCIAL STATEMENTS OF AMERICAN AIRLINES, INC.</w:t>
      </w:r>
    </w:p>
    <w:p>
      <w:pPr>
        <w:spacing w:after="0" w:line="200" w:lineRule="exact"/>
        <w:rPr>
          <w:sz w:val="20"/>
          <w:szCs w:val="20"/>
          <w:color w:val="auto"/>
        </w:rPr>
      </w:pPr>
    </w:p>
    <w:p>
      <w:pPr>
        <w:spacing w:after="0" w:line="209" w:lineRule="exact"/>
        <w:rPr>
          <w:sz w:val="20"/>
          <w:szCs w:val="20"/>
          <w:color w:val="auto"/>
        </w:rPr>
      </w:pPr>
    </w:p>
    <w:p>
      <w:pPr>
        <w:ind w:left="260"/>
        <w:spacing w:after="0"/>
        <w:rPr>
          <w:sz w:val="20"/>
          <w:szCs w:val="20"/>
          <w:color w:val="auto"/>
        </w:rPr>
      </w:pPr>
      <w:r>
        <w:rPr>
          <w:rFonts w:ascii="Arial" w:cs="Arial" w:eastAsia="Arial" w:hAnsi="Arial"/>
          <w:sz w:val="18"/>
          <w:szCs w:val="18"/>
          <w:color w:val="auto"/>
        </w:rPr>
        <w:t>Maturities of lease liabilities were as follows (in millions):</w:t>
      </w:r>
    </w:p>
    <w:p>
      <w:pPr>
        <w:spacing w:after="0" w:line="200" w:lineRule="exact"/>
        <w:rPr>
          <w:sz w:val="20"/>
          <w:szCs w:val="20"/>
          <w:color w:val="auto"/>
        </w:rPr>
      </w:pPr>
    </w:p>
    <w:p>
      <w:pPr>
        <w:spacing w:after="0" w:line="337" w:lineRule="exact"/>
        <w:rPr>
          <w:sz w:val="20"/>
          <w:szCs w:val="20"/>
          <w:color w:val="auto"/>
        </w:rPr>
      </w:pPr>
    </w:p>
    <w:tbl>
      <w:tblPr>
        <w:tblLayout w:type="fixed"/>
        <w:tblInd w:w="0" w:type="dxa"/>
        <w:tblCellMar>
          <w:top w:w="0" w:type="dxa"/>
          <w:left w:w="0" w:type="dxa"/>
          <w:bottom w:w="0" w:type="dxa"/>
          <w:right w:w="0" w:type="dxa"/>
        </w:tblCellMar>
      </w:tblPr>
      <w:tr>
        <w:trPr>
          <w:trHeight w:val="196"/>
        </w:trPr>
        <w:tc>
          <w:tcPr>
            <w:tcW w:w="7640" w:type="dxa"/>
            <w:vAlign w:val="bottom"/>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3560" w:type="dxa"/>
            <w:vAlign w:val="bottom"/>
            <w:tcBorders>
              <w:bottom w:val="single" w:sz="8" w:color="auto"/>
            </w:tcBorders>
            <w:gridSpan w:val="4"/>
          </w:tcPr>
          <w:p>
            <w:pPr>
              <w:jc w:val="right"/>
              <w:ind w:right="1131"/>
              <w:spacing w:after="0"/>
              <w:rPr>
                <w:sz w:val="20"/>
                <w:szCs w:val="20"/>
                <w:color w:val="auto"/>
              </w:rPr>
            </w:pPr>
            <w:r>
              <w:rPr>
                <w:rFonts w:ascii="Arial" w:cs="Arial" w:eastAsia="Arial" w:hAnsi="Arial"/>
                <w:sz w:val="14"/>
                <w:szCs w:val="14"/>
                <w:b w:val="1"/>
                <w:bCs w:val="1"/>
                <w:color w:val="auto"/>
              </w:rPr>
              <w:t>December 31, 2019</w:t>
            </w:r>
          </w:p>
        </w:tc>
      </w:tr>
      <w:tr>
        <w:trPr>
          <w:trHeight w:val="264"/>
        </w:trPr>
        <w:tc>
          <w:tcPr>
            <w:tcW w:w="764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1720" w:type="dxa"/>
            <w:vAlign w:val="bottom"/>
            <w:gridSpan w:val="2"/>
          </w:tcPr>
          <w:p>
            <w:pPr>
              <w:ind w:left="100"/>
              <w:spacing w:after="0"/>
              <w:rPr>
                <w:sz w:val="20"/>
                <w:szCs w:val="20"/>
                <w:color w:val="auto"/>
              </w:rPr>
            </w:pPr>
            <w:r>
              <w:rPr>
                <w:rFonts w:ascii="Arial" w:cs="Arial" w:eastAsia="Arial" w:hAnsi="Arial"/>
                <w:sz w:val="14"/>
                <w:szCs w:val="14"/>
                <w:b w:val="1"/>
                <w:bCs w:val="1"/>
                <w:color w:val="auto"/>
              </w:rPr>
              <w:t>Operating Leases</w:t>
            </w:r>
          </w:p>
        </w:tc>
        <w:tc>
          <w:tcPr>
            <w:tcW w:w="260" w:type="dxa"/>
            <w:vAlign w:val="bottom"/>
          </w:tcPr>
          <w:p>
            <w:pPr>
              <w:spacing w:after="0"/>
              <w:rPr>
                <w:sz w:val="22"/>
                <w:szCs w:val="22"/>
                <w:color w:val="auto"/>
              </w:rPr>
            </w:pPr>
          </w:p>
        </w:tc>
        <w:tc>
          <w:tcPr>
            <w:tcW w:w="1580" w:type="dxa"/>
            <w:vAlign w:val="bottom"/>
          </w:tcPr>
          <w:p>
            <w:pPr>
              <w:jc w:val="right"/>
              <w:ind w:right="291"/>
              <w:spacing w:after="0"/>
              <w:rPr>
                <w:sz w:val="20"/>
                <w:szCs w:val="20"/>
                <w:color w:val="auto"/>
              </w:rPr>
            </w:pPr>
            <w:r>
              <w:rPr>
                <w:rFonts w:ascii="Arial" w:cs="Arial" w:eastAsia="Arial" w:hAnsi="Arial"/>
                <w:sz w:val="14"/>
                <w:szCs w:val="14"/>
                <w:b w:val="1"/>
                <w:bCs w:val="1"/>
                <w:color w:val="auto"/>
              </w:rPr>
              <w:t>Finance Leases</w:t>
            </w:r>
          </w:p>
        </w:tc>
      </w:tr>
      <w:tr>
        <w:trPr>
          <w:trHeight w:val="256"/>
        </w:trPr>
        <w:tc>
          <w:tcPr>
            <w:tcW w:w="7640" w:type="dxa"/>
            <w:vAlign w:val="bottom"/>
            <w:tcBorders>
              <w:top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2020</w:t>
            </w:r>
          </w:p>
        </w:tc>
        <w:tc>
          <w:tcPr>
            <w:tcW w:w="220" w:type="dxa"/>
            <w:vAlign w:val="bottom"/>
            <w:tcBorders>
              <w:top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620" w:type="dxa"/>
            <w:vAlign w:val="bottom"/>
            <w:tcBorders>
              <w:top w:val="single" w:sz="8" w:color="auto"/>
            </w:tcBorders>
            <w:shd w:val="clear" w:color="auto" w:fill="CCEEFF"/>
          </w:tcPr>
          <w:p>
            <w:pPr>
              <w:jc w:val="right"/>
              <w:ind w:right="33"/>
              <w:spacing w:after="0"/>
              <w:rPr>
                <w:sz w:val="20"/>
                <w:szCs w:val="20"/>
                <w:color w:val="auto"/>
              </w:rPr>
            </w:pPr>
            <w:r>
              <w:rPr>
                <w:rFonts w:ascii="Arial" w:cs="Arial" w:eastAsia="Arial" w:hAnsi="Arial"/>
                <w:sz w:val="18"/>
                <w:szCs w:val="18"/>
                <w:color w:val="auto"/>
              </w:rPr>
              <w:t>1,974</w:t>
            </w:r>
          </w:p>
        </w:tc>
        <w:tc>
          <w:tcPr>
            <w:tcW w:w="100" w:type="dxa"/>
            <w:vAlign w:val="bottom"/>
            <w:tcBorders>
              <w:top w:val="single" w:sz="8" w:color="CCEEFF"/>
            </w:tcBorders>
            <w:shd w:val="clear" w:color="auto" w:fill="CCEEFF"/>
          </w:tcPr>
          <w:p>
            <w:pPr>
              <w:spacing w:after="0"/>
              <w:rPr>
                <w:sz w:val="22"/>
                <w:szCs w:val="22"/>
                <w:color w:val="auto"/>
              </w:rPr>
            </w:pPr>
          </w:p>
        </w:tc>
        <w:tc>
          <w:tcPr>
            <w:tcW w:w="260" w:type="dxa"/>
            <w:vAlign w:val="bottom"/>
            <w:tcBorders>
              <w:top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1580" w:type="dxa"/>
            <w:vAlign w:val="bottom"/>
            <w:tcBorders>
              <w:top w:val="single" w:sz="8" w:color="auto"/>
            </w:tcBorders>
            <w:shd w:val="clear" w:color="auto" w:fill="CCEEFF"/>
          </w:tcPr>
          <w:p>
            <w:pPr>
              <w:jc w:val="right"/>
              <w:ind w:right="11"/>
              <w:spacing w:after="0"/>
              <w:rPr>
                <w:sz w:val="20"/>
                <w:szCs w:val="20"/>
                <w:color w:val="auto"/>
              </w:rPr>
            </w:pPr>
            <w:r>
              <w:rPr>
                <w:rFonts w:ascii="Arial" w:cs="Arial" w:eastAsia="Arial" w:hAnsi="Arial"/>
                <w:sz w:val="18"/>
                <w:szCs w:val="18"/>
                <w:color w:val="auto"/>
              </w:rPr>
              <w:t>153</w:t>
            </w:r>
          </w:p>
        </w:tc>
      </w:tr>
      <w:tr>
        <w:trPr>
          <w:trHeight w:val="263"/>
        </w:trPr>
        <w:tc>
          <w:tcPr>
            <w:tcW w:w="7640" w:type="dxa"/>
            <w:vAlign w:val="bottom"/>
          </w:tcPr>
          <w:p>
            <w:pPr>
              <w:ind w:left="40"/>
              <w:spacing w:after="0"/>
              <w:rPr>
                <w:sz w:val="20"/>
                <w:szCs w:val="20"/>
                <w:color w:val="auto"/>
              </w:rPr>
            </w:pPr>
            <w:r>
              <w:rPr>
                <w:rFonts w:ascii="Arial" w:cs="Arial" w:eastAsia="Arial" w:hAnsi="Arial"/>
                <w:sz w:val="18"/>
                <w:szCs w:val="18"/>
                <w:color w:val="auto"/>
              </w:rPr>
              <w:t>2021</w:t>
            </w:r>
          </w:p>
        </w:tc>
        <w:tc>
          <w:tcPr>
            <w:tcW w:w="220" w:type="dxa"/>
            <w:vAlign w:val="bottom"/>
          </w:tcPr>
          <w:p>
            <w:pPr>
              <w:spacing w:after="0"/>
              <w:rPr>
                <w:sz w:val="22"/>
                <w:szCs w:val="22"/>
                <w:color w:val="auto"/>
              </w:rPr>
            </w:pPr>
          </w:p>
        </w:tc>
        <w:tc>
          <w:tcPr>
            <w:tcW w:w="1620" w:type="dxa"/>
            <w:vAlign w:val="bottom"/>
          </w:tcPr>
          <w:p>
            <w:pPr>
              <w:jc w:val="right"/>
              <w:ind w:right="33"/>
              <w:spacing w:after="0"/>
              <w:rPr>
                <w:sz w:val="20"/>
                <w:szCs w:val="20"/>
                <w:color w:val="auto"/>
              </w:rPr>
            </w:pPr>
            <w:r>
              <w:rPr>
                <w:rFonts w:ascii="Arial" w:cs="Arial" w:eastAsia="Arial" w:hAnsi="Arial"/>
                <w:sz w:val="18"/>
                <w:szCs w:val="18"/>
                <w:color w:val="auto"/>
              </w:rPr>
              <w:t>1,804</w:t>
            </w:r>
          </w:p>
        </w:tc>
        <w:tc>
          <w:tcPr>
            <w:tcW w:w="10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1580" w:type="dxa"/>
            <w:vAlign w:val="bottom"/>
          </w:tcPr>
          <w:p>
            <w:pPr>
              <w:jc w:val="right"/>
              <w:ind w:right="11"/>
              <w:spacing w:after="0"/>
              <w:rPr>
                <w:sz w:val="20"/>
                <w:szCs w:val="20"/>
                <w:color w:val="auto"/>
              </w:rPr>
            </w:pPr>
            <w:r>
              <w:rPr>
                <w:rFonts w:ascii="Arial" w:cs="Arial" w:eastAsia="Arial" w:hAnsi="Arial"/>
                <w:sz w:val="18"/>
                <w:szCs w:val="18"/>
                <w:color w:val="auto"/>
              </w:rPr>
              <w:t>128</w:t>
            </w:r>
          </w:p>
        </w:tc>
      </w:tr>
      <w:tr>
        <w:trPr>
          <w:trHeight w:val="277"/>
        </w:trPr>
        <w:tc>
          <w:tcPr>
            <w:tcW w:w="7640" w:type="dxa"/>
            <w:vAlign w:val="bottom"/>
            <w:shd w:val="clear" w:color="auto" w:fill="CCEEFF"/>
          </w:tcPr>
          <w:p>
            <w:pPr>
              <w:ind w:left="40"/>
              <w:spacing w:after="0"/>
              <w:rPr>
                <w:sz w:val="20"/>
                <w:szCs w:val="20"/>
                <w:color w:val="auto"/>
              </w:rPr>
            </w:pPr>
            <w:r>
              <w:rPr>
                <w:rFonts w:ascii="Arial" w:cs="Arial" w:eastAsia="Arial" w:hAnsi="Arial"/>
                <w:sz w:val="18"/>
                <w:szCs w:val="18"/>
                <w:color w:val="auto"/>
              </w:rPr>
              <w:t>2022</w:t>
            </w:r>
          </w:p>
        </w:tc>
        <w:tc>
          <w:tcPr>
            <w:tcW w:w="220" w:type="dxa"/>
            <w:vAlign w:val="bottom"/>
            <w:shd w:val="clear" w:color="auto" w:fill="CCEEFF"/>
          </w:tcPr>
          <w:p>
            <w:pPr>
              <w:spacing w:after="0"/>
              <w:rPr>
                <w:sz w:val="24"/>
                <w:szCs w:val="24"/>
                <w:color w:val="auto"/>
              </w:rPr>
            </w:pPr>
          </w:p>
        </w:tc>
        <w:tc>
          <w:tcPr>
            <w:tcW w:w="1620" w:type="dxa"/>
            <w:vAlign w:val="bottom"/>
            <w:shd w:val="clear" w:color="auto" w:fill="CCEEFF"/>
          </w:tcPr>
          <w:p>
            <w:pPr>
              <w:jc w:val="right"/>
              <w:ind w:right="33"/>
              <w:spacing w:after="0"/>
              <w:rPr>
                <w:sz w:val="20"/>
                <w:szCs w:val="20"/>
                <w:color w:val="auto"/>
              </w:rPr>
            </w:pPr>
            <w:r>
              <w:rPr>
                <w:rFonts w:ascii="Arial" w:cs="Arial" w:eastAsia="Arial" w:hAnsi="Arial"/>
                <w:sz w:val="18"/>
                <w:szCs w:val="18"/>
                <w:color w:val="auto"/>
              </w:rPr>
              <w:t>1,608</w:t>
            </w:r>
          </w:p>
        </w:tc>
        <w:tc>
          <w:tcPr>
            <w:tcW w:w="100" w:type="dxa"/>
            <w:vAlign w:val="bottom"/>
            <w:shd w:val="clear" w:color="auto" w:fill="CCEEFF"/>
          </w:tcPr>
          <w:p>
            <w:pPr>
              <w:spacing w:after="0"/>
              <w:rPr>
                <w:sz w:val="24"/>
                <w:szCs w:val="24"/>
                <w:color w:val="auto"/>
              </w:rPr>
            </w:pPr>
          </w:p>
        </w:tc>
        <w:tc>
          <w:tcPr>
            <w:tcW w:w="260" w:type="dxa"/>
            <w:vAlign w:val="bottom"/>
            <w:shd w:val="clear" w:color="auto" w:fill="CCEEFF"/>
          </w:tcPr>
          <w:p>
            <w:pPr>
              <w:spacing w:after="0"/>
              <w:rPr>
                <w:sz w:val="24"/>
                <w:szCs w:val="24"/>
                <w:color w:val="auto"/>
              </w:rPr>
            </w:pPr>
          </w:p>
        </w:tc>
        <w:tc>
          <w:tcPr>
            <w:tcW w:w="158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132</w:t>
            </w:r>
          </w:p>
        </w:tc>
      </w:tr>
      <w:tr>
        <w:trPr>
          <w:trHeight w:val="263"/>
        </w:trPr>
        <w:tc>
          <w:tcPr>
            <w:tcW w:w="7640" w:type="dxa"/>
            <w:vAlign w:val="bottom"/>
          </w:tcPr>
          <w:p>
            <w:pPr>
              <w:ind w:left="40"/>
              <w:spacing w:after="0"/>
              <w:rPr>
                <w:sz w:val="20"/>
                <w:szCs w:val="20"/>
                <w:color w:val="auto"/>
              </w:rPr>
            </w:pPr>
            <w:r>
              <w:rPr>
                <w:rFonts w:ascii="Arial" w:cs="Arial" w:eastAsia="Arial" w:hAnsi="Arial"/>
                <w:sz w:val="18"/>
                <w:szCs w:val="18"/>
                <w:color w:val="auto"/>
              </w:rPr>
              <w:t>2023</w:t>
            </w:r>
          </w:p>
        </w:tc>
        <w:tc>
          <w:tcPr>
            <w:tcW w:w="220" w:type="dxa"/>
            <w:vAlign w:val="bottom"/>
          </w:tcPr>
          <w:p>
            <w:pPr>
              <w:spacing w:after="0"/>
              <w:rPr>
                <w:sz w:val="22"/>
                <w:szCs w:val="22"/>
                <w:color w:val="auto"/>
              </w:rPr>
            </w:pPr>
          </w:p>
        </w:tc>
        <w:tc>
          <w:tcPr>
            <w:tcW w:w="1620" w:type="dxa"/>
            <w:vAlign w:val="bottom"/>
          </w:tcPr>
          <w:p>
            <w:pPr>
              <w:jc w:val="right"/>
              <w:ind w:right="33"/>
              <w:spacing w:after="0"/>
              <w:rPr>
                <w:sz w:val="20"/>
                <w:szCs w:val="20"/>
                <w:color w:val="auto"/>
              </w:rPr>
            </w:pPr>
            <w:r>
              <w:rPr>
                <w:rFonts w:ascii="Arial" w:cs="Arial" w:eastAsia="Arial" w:hAnsi="Arial"/>
                <w:sz w:val="18"/>
                <w:szCs w:val="18"/>
                <w:color w:val="auto"/>
              </w:rPr>
              <w:t>1,423</w:t>
            </w:r>
          </w:p>
        </w:tc>
        <w:tc>
          <w:tcPr>
            <w:tcW w:w="10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1580" w:type="dxa"/>
            <w:vAlign w:val="bottom"/>
          </w:tcPr>
          <w:p>
            <w:pPr>
              <w:jc w:val="right"/>
              <w:ind w:right="11"/>
              <w:spacing w:after="0"/>
              <w:rPr>
                <w:sz w:val="20"/>
                <w:szCs w:val="20"/>
                <w:color w:val="auto"/>
              </w:rPr>
            </w:pPr>
            <w:r>
              <w:rPr>
                <w:rFonts w:ascii="Arial" w:cs="Arial" w:eastAsia="Arial" w:hAnsi="Arial"/>
                <w:sz w:val="18"/>
                <w:szCs w:val="18"/>
                <w:color w:val="auto"/>
              </w:rPr>
              <w:t>110</w:t>
            </w:r>
          </w:p>
        </w:tc>
      </w:tr>
      <w:tr>
        <w:trPr>
          <w:trHeight w:val="277"/>
        </w:trPr>
        <w:tc>
          <w:tcPr>
            <w:tcW w:w="7640" w:type="dxa"/>
            <w:vAlign w:val="bottom"/>
            <w:shd w:val="clear" w:color="auto" w:fill="CCEEFF"/>
          </w:tcPr>
          <w:p>
            <w:pPr>
              <w:ind w:left="40"/>
              <w:spacing w:after="0"/>
              <w:rPr>
                <w:sz w:val="20"/>
                <w:szCs w:val="20"/>
                <w:color w:val="auto"/>
              </w:rPr>
            </w:pPr>
            <w:r>
              <w:rPr>
                <w:rFonts w:ascii="Arial" w:cs="Arial" w:eastAsia="Arial" w:hAnsi="Arial"/>
                <w:sz w:val="18"/>
                <w:szCs w:val="18"/>
                <w:color w:val="auto"/>
              </w:rPr>
              <w:t>2024</w:t>
            </w:r>
          </w:p>
        </w:tc>
        <w:tc>
          <w:tcPr>
            <w:tcW w:w="220" w:type="dxa"/>
            <w:vAlign w:val="bottom"/>
            <w:shd w:val="clear" w:color="auto" w:fill="CCEEFF"/>
          </w:tcPr>
          <w:p>
            <w:pPr>
              <w:spacing w:after="0"/>
              <w:rPr>
                <w:sz w:val="24"/>
                <w:szCs w:val="24"/>
                <w:color w:val="auto"/>
              </w:rPr>
            </w:pPr>
          </w:p>
        </w:tc>
        <w:tc>
          <w:tcPr>
            <w:tcW w:w="1620" w:type="dxa"/>
            <w:vAlign w:val="bottom"/>
            <w:shd w:val="clear" w:color="auto" w:fill="CCEEFF"/>
          </w:tcPr>
          <w:p>
            <w:pPr>
              <w:jc w:val="right"/>
              <w:ind w:right="33"/>
              <w:spacing w:after="0"/>
              <w:rPr>
                <w:sz w:val="20"/>
                <w:szCs w:val="20"/>
                <w:color w:val="auto"/>
              </w:rPr>
            </w:pPr>
            <w:r>
              <w:rPr>
                <w:rFonts w:ascii="Arial" w:cs="Arial" w:eastAsia="Arial" w:hAnsi="Arial"/>
                <w:sz w:val="18"/>
                <w:szCs w:val="18"/>
                <w:color w:val="auto"/>
              </w:rPr>
              <w:t>1,028</w:t>
            </w:r>
          </w:p>
        </w:tc>
        <w:tc>
          <w:tcPr>
            <w:tcW w:w="100" w:type="dxa"/>
            <w:vAlign w:val="bottom"/>
            <w:shd w:val="clear" w:color="auto" w:fill="CCEEFF"/>
          </w:tcPr>
          <w:p>
            <w:pPr>
              <w:spacing w:after="0"/>
              <w:rPr>
                <w:sz w:val="24"/>
                <w:szCs w:val="24"/>
                <w:color w:val="auto"/>
              </w:rPr>
            </w:pPr>
          </w:p>
        </w:tc>
        <w:tc>
          <w:tcPr>
            <w:tcW w:w="260" w:type="dxa"/>
            <w:vAlign w:val="bottom"/>
            <w:shd w:val="clear" w:color="auto" w:fill="CCEEFF"/>
          </w:tcPr>
          <w:p>
            <w:pPr>
              <w:spacing w:after="0"/>
              <w:rPr>
                <w:sz w:val="24"/>
                <w:szCs w:val="24"/>
                <w:color w:val="auto"/>
              </w:rPr>
            </w:pPr>
          </w:p>
        </w:tc>
        <w:tc>
          <w:tcPr>
            <w:tcW w:w="158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116</w:t>
            </w:r>
          </w:p>
        </w:tc>
      </w:tr>
      <w:tr>
        <w:trPr>
          <w:trHeight w:val="264"/>
        </w:trPr>
        <w:tc>
          <w:tcPr>
            <w:tcW w:w="7640" w:type="dxa"/>
            <w:vAlign w:val="bottom"/>
            <w:tcBorders>
              <w:bottom w:val="single" w:sz="8" w:color="CCEEFF"/>
            </w:tcBorders>
          </w:tcPr>
          <w:p>
            <w:pPr>
              <w:ind w:left="40"/>
              <w:spacing w:after="0"/>
              <w:rPr>
                <w:sz w:val="20"/>
                <w:szCs w:val="20"/>
                <w:color w:val="auto"/>
              </w:rPr>
            </w:pPr>
            <w:r>
              <w:rPr>
                <w:rFonts w:ascii="Arial" w:cs="Arial" w:eastAsia="Arial" w:hAnsi="Arial"/>
                <w:sz w:val="18"/>
                <w:szCs w:val="18"/>
                <w:color w:val="auto"/>
              </w:rPr>
              <w:t>2025 and thereafter</w:t>
            </w:r>
          </w:p>
        </w:tc>
        <w:tc>
          <w:tcPr>
            <w:tcW w:w="220" w:type="dxa"/>
            <w:vAlign w:val="bottom"/>
            <w:tcBorders>
              <w:bottom w:val="single" w:sz="8" w:color="auto"/>
            </w:tcBorders>
          </w:tcPr>
          <w:p>
            <w:pPr>
              <w:spacing w:after="0"/>
              <w:rPr>
                <w:sz w:val="22"/>
                <w:szCs w:val="22"/>
                <w:color w:val="auto"/>
              </w:rPr>
            </w:pPr>
          </w:p>
        </w:tc>
        <w:tc>
          <w:tcPr>
            <w:tcW w:w="1620" w:type="dxa"/>
            <w:vAlign w:val="bottom"/>
            <w:tcBorders>
              <w:bottom w:val="single" w:sz="8" w:color="auto"/>
            </w:tcBorders>
          </w:tcPr>
          <w:p>
            <w:pPr>
              <w:jc w:val="right"/>
              <w:ind w:right="33"/>
              <w:spacing w:after="0"/>
              <w:rPr>
                <w:sz w:val="20"/>
                <w:szCs w:val="20"/>
                <w:color w:val="auto"/>
              </w:rPr>
            </w:pPr>
            <w:r>
              <w:rPr>
                <w:rFonts w:ascii="Arial" w:cs="Arial" w:eastAsia="Arial" w:hAnsi="Arial"/>
                <w:sz w:val="18"/>
                <w:szCs w:val="18"/>
                <w:color w:val="auto"/>
              </w:rPr>
              <w:t>3,268</w:t>
            </w:r>
          </w:p>
        </w:tc>
        <w:tc>
          <w:tcPr>
            <w:tcW w:w="100" w:type="dxa"/>
            <w:vAlign w:val="bottom"/>
            <w:tcBorders>
              <w:bottom w:val="single" w:sz="8" w:color="CCEEFF"/>
            </w:tcBorders>
          </w:tcPr>
          <w:p>
            <w:pPr>
              <w:spacing w:after="0"/>
              <w:rPr>
                <w:sz w:val="22"/>
                <w:szCs w:val="22"/>
                <w:color w:val="auto"/>
              </w:rPr>
            </w:pPr>
          </w:p>
        </w:tc>
        <w:tc>
          <w:tcPr>
            <w:tcW w:w="260" w:type="dxa"/>
            <w:vAlign w:val="bottom"/>
            <w:tcBorders>
              <w:bottom w:val="single" w:sz="8" w:color="auto"/>
            </w:tcBorders>
          </w:tcPr>
          <w:p>
            <w:pPr>
              <w:spacing w:after="0"/>
              <w:rPr>
                <w:sz w:val="22"/>
                <w:szCs w:val="22"/>
                <w:color w:val="auto"/>
              </w:rPr>
            </w:pPr>
          </w:p>
        </w:tc>
        <w:tc>
          <w:tcPr>
            <w:tcW w:w="1580" w:type="dxa"/>
            <w:vAlign w:val="bottom"/>
            <w:tcBorders>
              <w:bottom w:val="single" w:sz="8" w:color="auto"/>
            </w:tcBorders>
          </w:tcPr>
          <w:p>
            <w:pPr>
              <w:jc w:val="right"/>
              <w:ind w:right="11"/>
              <w:spacing w:after="0"/>
              <w:rPr>
                <w:sz w:val="20"/>
                <w:szCs w:val="20"/>
                <w:color w:val="auto"/>
              </w:rPr>
            </w:pPr>
            <w:r>
              <w:rPr>
                <w:rFonts w:ascii="Arial" w:cs="Arial" w:eastAsia="Arial" w:hAnsi="Arial"/>
                <w:sz w:val="18"/>
                <w:szCs w:val="18"/>
                <w:color w:val="auto"/>
              </w:rPr>
              <w:t>171</w:t>
            </w:r>
          </w:p>
        </w:tc>
      </w:tr>
      <w:tr>
        <w:trPr>
          <w:trHeight w:val="257"/>
        </w:trPr>
        <w:tc>
          <w:tcPr>
            <w:tcW w:w="7640" w:type="dxa"/>
            <w:vAlign w:val="bottom"/>
            <w:shd w:val="clear" w:color="auto" w:fill="CCEEFF"/>
          </w:tcPr>
          <w:p>
            <w:pPr>
              <w:ind w:left="180"/>
              <w:spacing w:after="0"/>
              <w:rPr>
                <w:sz w:val="20"/>
                <w:szCs w:val="20"/>
                <w:color w:val="auto"/>
              </w:rPr>
            </w:pPr>
            <w:r>
              <w:rPr>
                <w:rFonts w:ascii="Arial" w:cs="Arial" w:eastAsia="Arial" w:hAnsi="Arial"/>
                <w:sz w:val="18"/>
                <w:szCs w:val="18"/>
                <w:color w:val="auto"/>
              </w:rPr>
              <w:t>Total lease payments</w:t>
            </w:r>
          </w:p>
        </w:tc>
        <w:tc>
          <w:tcPr>
            <w:tcW w:w="220" w:type="dxa"/>
            <w:vAlign w:val="bottom"/>
            <w:shd w:val="clear" w:color="auto" w:fill="CCEEFF"/>
          </w:tcPr>
          <w:p>
            <w:pPr>
              <w:spacing w:after="0"/>
              <w:rPr>
                <w:sz w:val="22"/>
                <w:szCs w:val="22"/>
                <w:color w:val="auto"/>
              </w:rPr>
            </w:pPr>
          </w:p>
        </w:tc>
        <w:tc>
          <w:tcPr>
            <w:tcW w:w="1620" w:type="dxa"/>
            <w:vAlign w:val="bottom"/>
            <w:shd w:val="clear" w:color="auto" w:fill="CCEEFF"/>
          </w:tcPr>
          <w:p>
            <w:pPr>
              <w:jc w:val="right"/>
              <w:ind w:right="33"/>
              <w:spacing w:after="0"/>
              <w:rPr>
                <w:sz w:val="20"/>
                <w:szCs w:val="20"/>
                <w:color w:val="auto"/>
              </w:rPr>
            </w:pPr>
            <w:r>
              <w:rPr>
                <w:rFonts w:ascii="Arial" w:cs="Arial" w:eastAsia="Arial" w:hAnsi="Arial"/>
                <w:sz w:val="18"/>
                <w:szCs w:val="18"/>
                <w:color w:val="auto"/>
              </w:rPr>
              <w:t>11,105</w:t>
            </w:r>
          </w:p>
        </w:tc>
        <w:tc>
          <w:tcPr>
            <w:tcW w:w="100" w:type="dxa"/>
            <w:vAlign w:val="bottom"/>
            <w:shd w:val="clear" w:color="auto" w:fill="CCEEFF"/>
          </w:tcPr>
          <w:p>
            <w:pPr>
              <w:spacing w:after="0"/>
              <w:rPr>
                <w:sz w:val="22"/>
                <w:szCs w:val="22"/>
                <w:color w:val="auto"/>
              </w:rPr>
            </w:pPr>
          </w:p>
        </w:tc>
        <w:tc>
          <w:tcPr>
            <w:tcW w:w="260" w:type="dxa"/>
            <w:vAlign w:val="bottom"/>
            <w:shd w:val="clear" w:color="auto" w:fill="CCEEFF"/>
          </w:tcPr>
          <w:p>
            <w:pPr>
              <w:spacing w:after="0"/>
              <w:rPr>
                <w:sz w:val="22"/>
                <w:szCs w:val="22"/>
                <w:color w:val="auto"/>
              </w:rPr>
            </w:pPr>
          </w:p>
        </w:tc>
        <w:tc>
          <w:tcPr>
            <w:tcW w:w="158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810</w:t>
            </w:r>
          </w:p>
        </w:tc>
      </w:tr>
      <w:tr>
        <w:trPr>
          <w:trHeight w:val="264"/>
        </w:trPr>
        <w:tc>
          <w:tcPr>
            <w:tcW w:w="7640" w:type="dxa"/>
            <w:vAlign w:val="bottom"/>
            <w:tcBorders>
              <w:bottom w:val="single" w:sz="8" w:color="CCEEFF"/>
            </w:tcBorders>
          </w:tcPr>
          <w:p>
            <w:pPr>
              <w:ind w:left="40"/>
              <w:spacing w:after="0"/>
              <w:rPr>
                <w:sz w:val="20"/>
                <w:szCs w:val="20"/>
                <w:color w:val="auto"/>
              </w:rPr>
            </w:pPr>
            <w:r>
              <w:rPr>
                <w:rFonts w:ascii="Arial" w:cs="Arial" w:eastAsia="Arial" w:hAnsi="Arial"/>
                <w:sz w:val="18"/>
                <w:szCs w:val="18"/>
                <w:color w:val="auto"/>
              </w:rPr>
              <w:t>Less: Imputed interest</w:t>
            </w:r>
          </w:p>
        </w:tc>
        <w:tc>
          <w:tcPr>
            <w:tcW w:w="220" w:type="dxa"/>
            <w:vAlign w:val="bottom"/>
            <w:tcBorders>
              <w:bottom w:val="single" w:sz="8" w:color="auto"/>
            </w:tcBorders>
          </w:tcPr>
          <w:p>
            <w:pPr>
              <w:spacing w:after="0"/>
              <w:rPr>
                <w:sz w:val="22"/>
                <w:szCs w:val="22"/>
                <w:color w:val="auto"/>
              </w:rPr>
            </w:pPr>
          </w:p>
        </w:tc>
        <w:tc>
          <w:tcPr>
            <w:tcW w:w="16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(2,022)</w:t>
            </w:r>
          </w:p>
        </w:tc>
        <w:tc>
          <w:tcPr>
            <w:tcW w:w="100" w:type="dxa"/>
            <w:vAlign w:val="bottom"/>
            <w:tcBorders>
              <w:bottom w:val="single" w:sz="8" w:color="CCEEFF"/>
            </w:tcBorders>
          </w:tcPr>
          <w:p>
            <w:pPr>
              <w:spacing w:after="0"/>
              <w:rPr>
                <w:sz w:val="22"/>
                <w:szCs w:val="22"/>
                <w:color w:val="auto"/>
              </w:rPr>
            </w:pPr>
          </w:p>
        </w:tc>
        <w:tc>
          <w:tcPr>
            <w:tcW w:w="260" w:type="dxa"/>
            <w:vAlign w:val="bottom"/>
            <w:tcBorders>
              <w:bottom w:val="single" w:sz="8" w:color="auto"/>
            </w:tcBorders>
          </w:tcPr>
          <w:p>
            <w:pPr>
              <w:spacing w:after="0"/>
              <w:rPr>
                <w:sz w:val="22"/>
                <w:szCs w:val="22"/>
                <w:color w:val="auto"/>
              </w:rPr>
            </w:pPr>
          </w:p>
        </w:tc>
        <w:tc>
          <w:tcPr>
            <w:tcW w:w="15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(140)</w:t>
            </w:r>
          </w:p>
        </w:tc>
      </w:tr>
      <w:tr>
        <w:trPr>
          <w:trHeight w:val="257"/>
        </w:trPr>
        <w:tc>
          <w:tcPr>
            <w:tcW w:w="7640" w:type="dxa"/>
            <w:vAlign w:val="bottom"/>
            <w:shd w:val="clear" w:color="auto" w:fill="CCEEFF"/>
          </w:tcPr>
          <w:p>
            <w:pPr>
              <w:ind w:left="180"/>
              <w:spacing w:after="0"/>
              <w:rPr>
                <w:sz w:val="20"/>
                <w:szCs w:val="20"/>
                <w:color w:val="auto"/>
              </w:rPr>
            </w:pPr>
            <w:r>
              <w:rPr>
                <w:rFonts w:ascii="Arial" w:cs="Arial" w:eastAsia="Arial" w:hAnsi="Arial"/>
                <w:sz w:val="18"/>
                <w:szCs w:val="18"/>
                <w:color w:val="auto"/>
              </w:rPr>
              <w:t>Total lease obligations</w:t>
            </w:r>
          </w:p>
        </w:tc>
        <w:tc>
          <w:tcPr>
            <w:tcW w:w="220" w:type="dxa"/>
            <w:vAlign w:val="bottom"/>
            <w:shd w:val="clear" w:color="auto" w:fill="CCEEFF"/>
          </w:tcPr>
          <w:p>
            <w:pPr>
              <w:spacing w:after="0"/>
              <w:rPr>
                <w:sz w:val="22"/>
                <w:szCs w:val="22"/>
                <w:color w:val="auto"/>
              </w:rPr>
            </w:pPr>
          </w:p>
        </w:tc>
        <w:tc>
          <w:tcPr>
            <w:tcW w:w="1620" w:type="dxa"/>
            <w:vAlign w:val="bottom"/>
            <w:shd w:val="clear" w:color="auto" w:fill="CCEEFF"/>
          </w:tcPr>
          <w:p>
            <w:pPr>
              <w:jc w:val="right"/>
              <w:ind w:right="33"/>
              <w:spacing w:after="0"/>
              <w:rPr>
                <w:sz w:val="20"/>
                <w:szCs w:val="20"/>
                <w:color w:val="auto"/>
              </w:rPr>
            </w:pPr>
            <w:r>
              <w:rPr>
                <w:rFonts w:ascii="Arial" w:cs="Arial" w:eastAsia="Arial" w:hAnsi="Arial"/>
                <w:sz w:val="18"/>
                <w:szCs w:val="18"/>
                <w:color w:val="auto"/>
              </w:rPr>
              <w:t>9,083</w:t>
            </w:r>
          </w:p>
        </w:tc>
        <w:tc>
          <w:tcPr>
            <w:tcW w:w="100" w:type="dxa"/>
            <w:vAlign w:val="bottom"/>
            <w:shd w:val="clear" w:color="auto" w:fill="CCEEFF"/>
          </w:tcPr>
          <w:p>
            <w:pPr>
              <w:spacing w:after="0"/>
              <w:rPr>
                <w:sz w:val="22"/>
                <w:szCs w:val="22"/>
                <w:color w:val="auto"/>
              </w:rPr>
            </w:pPr>
          </w:p>
        </w:tc>
        <w:tc>
          <w:tcPr>
            <w:tcW w:w="260" w:type="dxa"/>
            <w:vAlign w:val="bottom"/>
            <w:shd w:val="clear" w:color="auto" w:fill="CCEEFF"/>
          </w:tcPr>
          <w:p>
            <w:pPr>
              <w:spacing w:after="0"/>
              <w:rPr>
                <w:sz w:val="22"/>
                <w:szCs w:val="22"/>
                <w:color w:val="auto"/>
              </w:rPr>
            </w:pPr>
          </w:p>
        </w:tc>
        <w:tc>
          <w:tcPr>
            <w:tcW w:w="158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670</w:t>
            </w:r>
          </w:p>
        </w:tc>
      </w:tr>
      <w:tr>
        <w:trPr>
          <w:trHeight w:val="264"/>
        </w:trPr>
        <w:tc>
          <w:tcPr>
            <w:tcW w:w="7640" w:type="dxa"/>
            <w:vAlign w:val="bottom"/>
            <w:tcBorders>
              <w:bottom w:val="single" w:sz="8" w:color="CCEEFF"/>
            </w:tcBorders>
          </w:tcPr>
          <w:p>
            <w:pPr>
              <w:ind w:left="40"/>
              <w:spacing w:after="0"/>
              <w:rPr>
                <w:sz w:val="20"/>
                <w:szCs w:val="20"/>
                <w:color w:val="auto"/>
              </w:rPr>
            </w:pPr>
            <w:r>
              <w:rPr>
                <w:rFonts w:ascii="Arial" w:cs="Arial" w:eastAsia="Arial" w:hAnsi="Arial"/>
                <w:sz w:val="18"/>
                <w:szCs w:val="18"/>
                <w:color w:val="auto"/>
              </w:rPr>
              <w:t>Less: Current obligations</w:t>
            </w:r>
          </w:p>
        </w:tc>
        <w:tc>
          <w:tcPr>
            <w:tcW w:w="220" w:type="dxa"/>
            <w:vAlign w:val="bottom"/>
            <w:tcBorders>
              <w:bottom w:val="single" w:sz="8" w:color="auto"/>
            </w:tcBorders>
          </w:tcPr>
          <w:p>
            <w:pPr>
              <w:spacing w:after="0"/>
              <w:rPr>
                <w:sz w:val="22"/>
                <w:szCs w:val="22"/>
                <w:color w:val="auto"/>
              </w:rPr>
            </w:pPr>
          </w:p>
        </w:tc>
        <w:tc>
          <w:tcPr>
            <w:tcW w:w="16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(1,695)</w:t>
            </w:r>
          </w:p>
        </w:tc>
        <w:tc>
          <w:tcPr>
            <w:tcW w:w="100" w:type="dxa"/>
            <w:vAlign w:val="bottom"/>
            <w:tcBorders>
              <w:bottom w:val="single" w:sz="8" w:color="CCEEFF"/>
            </w:tcBorders>
          </w:tcPr>
          <w:p>
            <w:pPr>
              <w:spacing w:after="0"/>
              <w:rPr>
                <w:sz w:val="22"/>
                <w:szCs w:val="22"/>
                <w:color w:val="auto"/>
              </w:rPr>
            </w:pPr>
          </w:p>
        </w:tc>
        <w:tc>
          <w:tcPr>
            <w:tcW w:w="260" w:type="dxa"/>
            <w:vAlign w:val="bottom"/>
            <w:tcBorders>
              <w:bottom w:val="single" w:sz="8" w:color="auto"/>
            </w:tcBorders>
          </w:tcPr>
          <w:p>
            <w:pPr>
              <w:spacing w:after="0"/>
              <w:rPr>
                <w:sz w:val="22"/>
                <w:szCs w:val="22"/>
                <w:color w:val="auto"/>
              </w:rPr>
            </w:pPr>
          </w:p>
        </w:tc>
        <w:tc>
          <w:tcPr>
            <w:tcW w:w="15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(112)</w:t>
            </w:r>
          </w:p>
        </w:tc>
      </w:tr>
      <w:tr>
        <w:trPr>
          <w:trHeight w:val="257"/>
        </w:trPr>
        <w:tc>
          <w:tcPr>
            <w:tcW w:w="764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Long-term lease obligations</w:t>
            </w:r>
          </w:p>
        </w:tc>
        <w:tc>
          <w:tcPr>
            <w:tcW w:w="22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620" w:type="dxa"/>
            <w:vAlign w:val="bottom"/>
            <w:tcBorders>
              <w:bottom w:val="single" w:sz="8" w:color="auto"/>
            </w:tcBorders>
            <w:shd w:val="clear" w:color="auto" w:fill="CCEEFF"/>
          </w:tcPr>
          <w:p>
            <w:pPr>
              <w:jc w:val="right"/>
              <w:ind w:right="33"/>
              <w:spacing w:after="0"/>
              <w:rPr>
                <w:sz w:val="20"/>
                <w:szCs w:val="20"/>
                <w:color w:val="auto"/>
              </w:rPr>
            </w:pPr>
            <w:r>
              <w:rPr>
                <w:rFonts w:ascii="Arial" w:cs="Arial" w:eastAsia="Arial" w:hAnsi="Arial"/>
                <w:sz w:val="18"/>
                <w:szCs w:val="18"/>
                <w:color w:val="auto"/>
              </w:rPr>
              <w:t>7,388</w:t>
            </w:r>
          </w:p>
        </w:tc>
        <w:tc>
          <w:tcPr>
            <w:tcW w:w="100" w:type="dxa"/>
            <w:vAlign w:val="bottom"/>
            <w:tcBorders>
              <w:bottom w:val="single" w:sz="8" w:color="CCEEFF"/>
            </w:tcBorders>
            <w:shd w:val="clear" w:color="auto" w:fill="CCEEFF"/>
          </w:tcPr>
          <w:p>
            <w:pPr>
              <w:spacing w:after="0"/>
              <w:rPr>
                <w:sz w:val="22"/>
                <w:szCs w:val="22"/>
                <w:color w:val="auto"/>
              </w:rPr>
            </w:pPr>
          </w:p>
        </w:tc>
        <w:tc>
          <w:tcPr>
            <w:tcW w:w="26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1580" w:type="dxa"/>
            <w:vAlign w:val="bottom"/>
            <w:tcBorders>
              <w:bottom w:val="single" w:sz="8" w:color="auto"/>
            </w:tcBorders>
            <w:shd w:val="clear" w:color="auto" w:fill="CCEEFF"/>
          </w:tcPr>
          <w:p>
            <w:pPr>
              <w:jc w:val="right"/>
              <w:ind w:right="11"/>
              <w:spacing w:after="0"/>
              <w:rPr>
                <w:sz w:val="20"/>
                <w:szCs w:val="20"/>
                <w:color w:val="auto"/>
              </w:rPr>
            </w:pPr>
            <w:r>
              <w:rPr>
                <w:rFonts w:ascii="Arial" w:cs="Arial" w:eastAsia="Arial" w:hAnsi="Arial"/>
                <w:sz w:val="18"/>
                <w:szCs w:val="18"/>
                <w:color w:val="auto"/>
              </w:rPr>
              <w:t>558</w:t>
            </w:r>
          </w:p>
        </w:tc>
      </w:tr>
      <w:tr>
        <w:trPr>
          <w:trHeight w:val="20"/>
        </w:trPr>
        <w:tc>
          <w:tcPr>
            <w:tcW w:w="764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6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580" w:type="dxa"/>
            <w:vAlign w:val="bottom"/>
            <w:tcBorders>
              <w:bottom w:val="single" w:sz="8" w:color="auto"/>
            </w:tcBorders>
          </w:tcPr>
          <w:p>
            <w:pPr>
              <w:spacing w:after="0" w:line="20" w:lineRule="exact"/>
              <w:rPr>
                <w:sz w:val="1"/>
                <w:szCs w:val="1"/>
                <w:color w:val="auto"/>
              </w:rPr>
            </w:pPr>
          </w:p>
        </w:tc>
      </w:tr>
    </w:tbl>
    <w:p>
      <w:pPr>
        <w:spacing w:after="0" w:line="377" w:lineRule="exact"/>
        <w:rPr>
          <w:sz w:val="20"/>
          <w:szCs w:val="20"/>
          <w:color w:val="auto"/>
        </w:rPr>
      </w:pPr>
    </w:p>
    <w:p>
      <w:pPr>
        <w:jc w:val="both"/>
        <w:ind w:right="20" w:firstLine="243"/>
        <w:spacing w:after="0" w:line="262" w:lineRule="auto"/>
        <w:rPr>
          <w:sz w:val="20"/>
          <w:szCs w:val="20"/>
          <w:color w:val="auto"/>
        </w:rPr>
      </w:pPr>
      <w:r>
        <w:rPr>
          <w:rFonts w:ascii="Arial" w:cs="Arial" w:eastAsia="Arial" w:hAnsi="Arial"/>
          <w:sz w:val="18"/>
          <w:szCs w:val="18"/>
          <w:color w:val="auto"/>
        </w:rPr>
        <w:t>As of December 31, 2019, American has additional operating lease commitments that have not yet commenced of approximately $2.0 billion for 22 787-8 aircraft to be delivered in 2020 and 2021 with lease terms of 10 years.</w:t>
      </w:r>
    </w:p>
    <w:p>
      <w:pPr>
        <w:spacing w:after="0" w:line="20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5. Income Taxes</w:t>
      </w:r>
    </w:p>
    <w:p>
      <w:pPr>
        <w:spacing w:after="0" w:line="112" w:lineRule="exact"/>
        <w:rPr>
          <w:sz w:val="20"/>
          <w:szCs w:val="20"/>
          <w:color w:val="auto"/>
        </w:rPr>
      </w:pPr>
    </w:p>
    <w:p>
      <w:pPr>
        <w:ind w:left="220"/>
        <w:spacing w:after="0"/>
        <w:rPr>
          <w:sz w:val="20"/>
          <w:szCs w:val="20"/>
          <w:color w:val="auto"/>
        </w:rPr>
      </w:pPr>
      <w:r>
        <w:rPr>
          <w:rFonts w:ascii="Arial" w:cs="Arial" w:eastAsia="Arial" w:hAnsi="Arial"/>
          <w:sz w:val="18"/>
          <w:szCs w:val="18"/>
          <w:color w:val="auto"/>
        </w:rPr>
        <w:t>The significant components of the income tax provision were (in millions):</w:t>
      </w:r>
    </w:p>
    <w:p>
      <w:pPr>
        <w:spacing w:after="0" w:line="321" w:lineRule="exact"/>
        <w:rPr>
          <w:sz w:val="20"/>
          <w:szCs w:val="20"/>
          <w:color w:val="auto"/>
        </w:rPr>
      </w:pPr>
    </w:p>
    <w:tbl>
      <w:tblPr>
        <w:tblLayout w:type="fixed"/>
        <w:tblInd w:w="0" w:type="dxa"/>
        <w:tblCellMar>
          <w:top w:w="0" w:type="dxa"/>
          <w:left w:w="0" w:type="dxa"/>
          <w:bottom w:w="0" w:type="dxa"/>
          <w:right w:w="0" w:type="dxa"/>
        </w:tblCellMar>
      </w:tblPr>
      <w:tr>
        <w:trPr>
          <w:trHeight w:val="196"/>
        </w:trPr>
        <w:tc>
          <w:tcPr>
            <w:tcW w:w="6740" w:type="dxa"/>
            <w:vAlign w:val="bottom"/>
          </w:tcPr>
          <w:p>
            <w:pPr>
              <w:spacing w:after="0"/>
              <w:rPr>
                <w:sz w:val="17"/>
                <w:szCs w:val="17"/>
                <w:color w:val="auto"/>
              </w:rPr>
            </w:pPr>
          </w:p>
        </w:tc>
        <w:tc>
          <w:tcPr>
            <w:tcW w:w="1000" w:type="dxa"/>
            <w:vAlign w:val="bottom"/>
            <w:tcBorders>
              <w:bottom w:val="single" w:sz="8" w:color="auto"/>
            </w:tcBorders>
          </w:tcPr>
          <w:p>
            <w:pPr>
              <w:spacing w:after="0"/>
              <w:rPr>
                <w:sz w:val="17"/>
                <w:szCs w:val="17"/>
                <w:color w:val="auto"/>
              </w:rPr>
            </w:pPr>
          </w:p>
        </w:tc>
        <w:tc>
          <w:tcPr>
            <w:tcW w:w="440" w:type="dxa"/>
            <w:vAlign w:val="bottom"/>
            <w:tcBorders>
              <w:bottom w:val="single" w:sz="8" w:color="auto"/>
            </w:tcBorders>
          </w:tcPr>
          <w:p>
            <w:pPr>
              <w:spacing w:after="0"/>
              <w:rPr>
                <w:sz w:val="17"/>
                <w:szCs w:val="17"/>
                <w:color w:val="auto"/>
              </w:rPr>
            </w:pPr>
          </w:p>
        </w:tc>
        <w:tc>
          <w:tcPr>
            <w:tcW w:w="2100" w:type="dxa"/>
            <w:vAlign w:val="bottom"/>
            <w:tcBorders>
              <w:bottom w:val="single" w:sz="8" w:color="auto"/>
            </w:tcBorders>
            <w:gridSpan w:val="6"/>
          </w:tcPr>
          <w:p>
            <w:pPr>
              <w:jc w:val="right"/>
              <w:ind w:right="210"/>
              <w:spacing w:after="0"/>
              <w:rPr>
                <w:sz w:val="20"/>
                <w:szCs w:val="20"/>
                <w:color w:val="auto"/>
              </w:rPr>
            </w:pPr>
            <w:r>
              <w:rPr>
                <w:rFonts w:ascii="Arial" w:cs="Arial" w:eastAsia="Arial" w:hAnsi="Arial"/>
                <w:sz w:val="14"/>
                <w:szCs w:val="14"/>
                <w:b w:val="1"/>
                <w:bCs w:val="1"/>
                <w:color w:val="auto"/>
              </w:rPr>
              <w:t>Year Ended December 31,</w:t>
            </w:r>
          </w:p>
        </w:tc>
        <w:tc>
          <w:tcPr>
            <w:tcW w:w="1140" w:type="dxa"/>
            <w:vAlign w:val="bottom"/>
            <w:tcBorders>
              <w:bottom w:val="single" w:sz="8" w:color="auto"/>
            </w:tcBorders>
          </w:tcPr>
          <w:p>
            <w:pPr>
              <w:spacing w:after="0"/>
              <w:rPr>
                <w:sz w:val="17"/>
                <w:szCs w:val="17"/>
                <w:color w:val="auto"/>
              </w:rPr>
            </w:pPr>
          </w:p>
        </w:tc>
      </w:tr>
      <w:tr>
        <w:trPr>
          <w:trHeight w:val="264"/>
        </w:trPr>
        <w:tc>
          <w:tcPr>
            <w:tcW w:w="6740" w:type="dxa"/>
            <w:vAlign w:val="bottom"/>
            <w:tcBorders>
              <w:bottom w:val="single" w:sz="8" w:color="CCEEFF"/>
            </w:tcBorders>
          </w:tcPr>
          <w:p>
            <w:pPr>
              <w:spacing w:after="0"/>
              <w:rPr>
                <w:sz w:val="22"/>
                <w:szCs w:val="22"/>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2019</w:t>
            </w:r>
          </w:p>
        </w:tc>
        <w:tc>
          <w:tcPr>
            <w:tcW w:w="440" w:type="dxa"/>
            <w:vAlign w:val="bottom"/>
            <w:tcBorders>
              <w:bottom w:val="single" w:sz="8" w:color="auto"/>
            </w:tcBorders>
          </w:tcPr>
          <w:p>
            <w:pPr>
              <w:spacing w:after="0"/>
              <w:rPr>
                <w:sz w:val="22"/>
                <w:szCs w:val="22"/>
                <w:color w:val="auto"/>
              </w:rPr>
            </w:pPr>
          </w:p>
        </w:tc>
        <w:tc>
          <w:tcPr>
            <w:tcW w:w="60" w:type="dxa"/>
            <w:vAlign w:val="bottom"/>
            <w:tcBorders>
              <w:bottom w:val="single" w:sz="8" w:color="auto"/>
            </w:tcBorders>
          </w:tcPr>
          <w:p>
            <w:pPr>
              <w:spacing w:after="0"/>
              <w:rPr>
                <w:sz w:val="22"/>
                <w:szCs w:val="22"/>
                <w:color w:val="auto"/>
              </w:rPr>
            </w:pPr>
          </w:p>
        </w:tc>
        <w:tc>
          <w:tcPr>
            <w:tcW w:w="100" w:type="dxa"/>
            <w:vAlign w:val="bottom"/>
            <w:tcBorders>
              <w:bottom w:val="single" w:sz="8" w:color="CCEEFF"/>
            </w:tcBorders>
          </w:tcPr>
          <w:p>
            <w:pPr>
              <w:spacing w:after="0"/>
              <w:rPr>
                <w:sz w:val="22"/>
                <w:szCs w:val="22"/>
                <w:color w:val="auto"/>
              </w:rPr>
            </w:pPr>
          </w:p>
        </w:tc>
        <w:tc>
          <w:tcPr>
            <w:tcW w:w="360" w:type="dxa"/>
            <w:vAlign w:val="bottom"/>
            <w:tcBorders>
              <w:bottom w:val="single" w:sz="8" w:color="auto"/>
            </w:tcBorders>
          </w:tcPr>
          <w:p>
            <w:pPr>
              <w:spacing w:after="0"/>
              <w:rPr>
                <w:sz w:val="22"/>
                <w:szCs w:val="22"/>
                <w:color w:val="auto"/>
              </w:rPr>
            </w:pPr>
          </w:p>
        </w:tc>
        <w:tc>
          <w:tcPr>
            <w:tcW w:w="1120" w:type="dxa"/>
            <w:vAlign w:val="bottom"/>
            <w:tcBorders>
              <w:bottom w:val="single" w:sz="8" w:color="auto"/>
            </w:tcBorders>
          </w:tcPr>
          <w:p>
            <w:pPr>
              <w:jc w:val="right"/>
              <w:ind w:right="492"/>
              <w:spacing w:after="0"/>
              <w:rPr>
                <w:sz w:val="20"/>
                <w:szCs w:val="20"/>
                <w:color w:val="auto"/>
              </w:rPr>
            </w:pPr>
            <w:r>
              <w:rPr>
                <w:rFonts w:ascii="Arial" w:cs="Arial" w:eastAsia="Arial" w:hAnsi="Arial"/>
                <w:sz w:val="14"/>
                <w:szCs w:val="14"/>
                <w:b w:val="1"/>
                <w:bCs w:val="1"/>
                <w:color w:val="auto"/>
              </w:rPr>
              <w:t>2018</w:t>
            </w:r>
          </w:p>
        </w:tc>
        <w:tc>
          <w:tcPr>
            <w:tcW w:w="120" w:type="dxa"/>
            <w:vAlign w:val="bottom"/>
            <w:tcBorders>
              <w:bottom w:val="single" w:sz="8" w:color="CCEEFF"/>
            </w:tcBorders>
          </w:tcPr>
          <w:p>
            <w:pPr>
              <w:spacing w:after="0"/>
              <w:rPr>
                <w:sz w:val="22"/>
                <w:szCs w:val="22"/>
                <w:color w:val="auto"/>
              </w:rPr>
            </w:pPr>
          </w:p>
        </w:tc>
        <w:tc>
          <w:tcPr>
            <w:tcW w:w="340" w:type="dxa"/>
            <w:vAlign w:val="bottom"/>
            <w:tcBorders>
              <w:bottom w:val="single" w:sz="8" w:color="auto"/>
            </w:tcBorders>
          </w:tcPr>
          <w:p>
            <w:pPr>
              <w:spacing w:after="0"/>
              <w:rPr>
                <w:sz w:val="22"/>
                <w:szCs w:val="22"/>
                <w:color w:val="auto"/>
              </w:rPr>
            </w:pPr>
          </w:p>
        </w:tc>
        <w:tc>
          <w:tcPr>
            <w:tcW w:w="1140" w:type="dxa"/>
            <w:vAlign w:val="bottom"/>
            <w:tcBorders>
              <w:bottom w:val="single" w:sz="8" w:color="auto"/>
            </w:tcBorders>
          </w:tcPr>
          <w:p>
            <w:pPr>
              <w:jc w:val="right"/>
              <w:ind w:right="492"/>
              <w:spacing w:after="0"/>
              <w:rPr>
                <w:sz w:val="20"/>
                <w:szCs w:val="20"/>
                <w:color w:val="auto"/>
              </w:rPr>
            </w:pPr>
            <w:r>
              <w:rPr>
                <w:rFonts w:ascii="Arial" w:cs="Arial" w:eastAsia="Arial" w:hAnsi="Arial"/>
                <w:sz w:val="14"/>
                <w:szCs w:val="14"/>
                <w:b w:val="1"/>
                <w:bCs w:val="1"/>
                <w:color w:val="auto"/>
              </w:rPr>
              <w:t>2017</w:t>
            </w:r>
          </w:p>
        </w:tc>
      </w:tr>
      <w:tr>
        <w:trPr>
          <w:trHeight w:val="250"/>
        </w:trPr>
        <w:tc>
          <w:tcPr>
            <w:tcW w:w="67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Current income tax provision:</w:t>
            </w:r>
          </w:p>
        </w:tc>
        <w:tc>
          <w:tcPr>
            <w:tcW w:w="100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spacing w:after="0"/>
              <w:rPr>
                <w:sz w:val="21"/>
                <w:szCs w:val="21"/>
                <w:color w:val="auto"/>
              </w:rPr>
            </w:pPr>
          </w:p>
        </w:tc>
        <w:tc>
          <w:tcPr>
            <w:tcW w:w="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spacing w:after="0"/>
              <w:rPr>
                <w:sz w:val="21"/>
                <w:szCs w:val="21"/>
                <w:color w:val="auto"/>
              </w:rPr>
            </w:pPr>
          </w:p>
        </w:tc>
      </w:tr>
      <w:tr>
        <w:trPr>
          <w:trHeight w:val="263"/>
        </w:trPr>
        <w:tc>
          <w:tcPr>
            <w:tcW w:w="6740" w:type="dxa"/>
            <w:vAlign w:val="bottom"/>
          </w:tcPr>
          <w:p>
            <w:pPr>
              <w:ind w:left="180"/>
              <w:spacing w:after="0"/>
              <w:rPr>
                <w:sz w:val="20"/>
                <w:szCs w:val="20"/>
                <w:color w:val="auto"/>
              </w:rPr>
            </w:pPr>
            <w:r>
              <w:rPr>
                <w:rFonts w:ascii="Arial" w:cs="Arial" w:eastAsia="Arial" w:hAnsi="Arial"/>
                <w:sz w:val="18"/>
                <w:szCs w:val="18"/>
                <w:color w:val="auto"/>
              </w:rPr>
              <w:t>State and Local</w:t>
            </w:r>
          </w:p>
        </w:tc>
        <w:tc>
          <w:tcPr>
            <w:tcW w:w="1000" w:type="dxa"/>
            <w:vAlign w:val="bottom"/>
          </w:tcPr>
          <w:p>
            <w:pPr>
              <w:jc w:val="right"/>
              <w:ind w:right="776"/>
              <w:spacing w:after="0"/>
              <w:rPr>
                <w:sz w:val="20"/>
                <w:szCs w:val="20"/>
                <w:color w:val="auto"/>
              </w:rPr>
            </w:pPr>
            <w:r>
              <w:rPr>
                <w:rFonts w:ascii="Arial" w:cs="Arial" w:eastAsia="Arial" w:hAnsi="Arial"/>
                <w:sz w:val="18"/>
                <w:szCs w:val="18"/>
                <w:color w:val="auto"/>
              </w:rPr>
              <w:t>$</w:t>
            </w:r>
          </w:p>
        </w:tc>
        <w:tc>
          <w:tcPr>
            <w:tcW w:w="440" w:type="dxa"/>
            <w:vAlign w:val="bottom"/>
          </w:tcPr>
          <w:p>
            <w:pPr>
              <w:jc w:val="right"/>
              <w:spacing w:after="0"/>
              <w:rPr>
                <w:sz w:val="20"/>
                <w:szCs w:val="20"/>
                <w:color w:val="auto"/>
              </w:rPr>
            </w:pPr>
            <w:r>
              <w:rPr>
                <w:rFonts w:ascii="Arial" w:cs="Arial" w:eastAsia="Arial" w:hAnsi="Arial"/>
                <w:sz w:val="18"/>
                <w:szCs w:val="18"/>
                <w:color w:val="auto"/>
              </w:rPr>
              <w:t>2</w:t>
            </w:r>
          </w:p>
        </w:tc>
        <w:tc>
          <w:tcPr>
            <w:tcW w:w="520" w:type="dxa"/>
            <w:vAlign w:val="bottom"/>
            <w:gridSpan w:val="3"/>
          </w:tcPr>
          <w:p>
            <w:pPr>
              <w:jc w:val="right"/>
              <w:ind w:right="240"/>
              <w:spacing w:after="0"/>
              <w:rPr>
                <w:sz w:val="20"/>
                <w:szCs w:val="20"/>
                <w:color w:val="auto"/>
              </w:rPr>
            </w:pPr>
            <w:r>
              <w:rPr>
                <w:rFonts w:ascii="Arial" w:cs="Arial" w:eastAsia="Arial" w:hAnsi="Arial"/>
                <w:sz w:val="18"/>
                <w:szCs w:val="18"/>
                <w:color w:val="auto"/>
              </w:rPr>
              <w:t>$</w:t>
            </w:r>
          </w:p>
        </w:tc>
        <w:tc>
          <w:tcPr>
            <w:tcW w:w="1120" w:type="dxa"/>
            <w:vAlign w:val="bottom"/>
          </w:tcPr>
          <w:p>
            <w:pPr>
              <w:jc w:val="right"/>
              <w:ind w:right="12"/>
              <w:spacing w:after="0"/>
              <w:rPr>
                <w:sz w:val="20"/>
                <w:szCs w:val="20"/>
                <w:color w:val="auto"/>
              </w:rPr>
            </w:pPr>
            <w:r>
              <w:rPr>
                <w:rFonts w:ascii="Arial" w:cs="Arial" w:eastAsia="Arial" w:hAnsi="Arial"/>
                <w:sz w:val="18"/>
                <w:szCs w:val="18"/>
                <w:color w:val="auto"/>
              </w:rPr>
              <w:t>3</w:t>
            </w:r>
          </w:p>
        </w:tc>
        <w:tc>
          <w:tcPr>
            <w:tcW w:w="120" w:type="dxa"/>
            <w:vAlign w:val="bottom"/>
          </w:tcPr>
          <w:p>
            <w:pPr>
              <w:spacing w:after="0"/>
              <w:rPr>
                <w:sz w:val="22"/>
                <w:szCs w:val="22"/>
                <w:color w:val="auto"/>
              </w:rPr>
            </w:pPr>
          </w:p>
        </w:tc>
        <w:tc>
          <w:tcPr>
            <w:tcW w:w="340" w:type="dxa"/>
            <w:vAlign w:val="bottom"/>
          </w:tcPr>
          <w:p>
            <w:pPr>
              <w:jc w:val="right"/>
              <w:ind w:right="130"/>
              <w:spacing w:after="0"/>
              <w:rPr>
                <w:sz w:val="20"/>
                <w:szCs w:val="20"/>
                <w:color w:val="auto"/>
              </w:rPr>
            </w:pPr>
            <w:r>
              <w:rPr>
                <w:rFonts w:ascii="Arial" w:cs="Arial" w:eastAsia="Arial" w:hAnsi="Arial"/>
                <w:sz w:val="18"/>
                <w:szCs w:val="18"/>
                <w:color w:val="auto"/>
                <w:w w:val="99"/>
              </w:rPr>
              <w:t>$</w:t>
            </w:r>
          </w:p>
        </w:tc>
        <w:tc>
          <w:tcPr>
            <w:tcW w:w="1140" w:type="dxa"/>
            <w:vAlign w:val="bottom"/>
          </w:tcPr>
          <w:p>
            <w:pPr>
              <w:jc w:val="right"/>
              <w:ind w:right="12"/>
              <w:spacing w:after="0"/>
              <w:rPr>
                <w:sz w:val="20"/>
                <w:szCs w:val="20"/>
                <w:color w:val="auto"/>
              </w:rPr>
            </w:pPr>
            <w:r>
              <w:rPr>
                <w:rFonts w:ascii="Arial" w:cs="Arial" w:eastAsia="Arial" w:hAnsi="Arial"/>
                <w:sz w:val="18"/>
                <w:szCs w:val="18"/>
                <w:color w:val="auto"/>
              </w:rPr>
              <w:t>14</w:t>
            </w:r>
          </w:p>
        </w:tc>
      </w:tr>
      <w:tr>
        <w:trPr>
          <w:trHeight w:val="277"/>
        </w:trPr>
        <w:tc>
          <w:tcPr>
            <w:tcW w:w="6740" w:type="dxa"/>
            <w:vAlign w:val="bottom"/>
            <w:shd w:val="clear" w:color="auto" w:fill="CCEEFF"/>
          </w:tcPr>
          <w:p>
            <w:pPr>
              <w:ind w:left="180"/>
              <w:spacing w:after="0"/>
              <w:rPr>
                <w:sz w:val="20"/>
                <w:szCs w:val="20"/>
                <w:color w:val="auto"/>
              </w:rPr>
            </w:pPr>
            <w:r>
              <w:rPr>
                <w:rFonts w:ascii="Arial" w:cs="Arial" w:eastAsia="Arial" w:hAnsi="Arial"/>
                <w:sz w:val="18"/>
                <w:szCs w:val="18"/>
                <w:color w:val="auto"/>
              </w:rPr>
              <w:t>Foreign</w:t>
            </w:r>
          </w:p>
        </w:tc>
        <w:tc>
          <w:tcPr>
            <w:tcW w:w="1000" w:type="dxa"/>
            <w:vAlign w:val="bottom"/>
            <w:tcBorders>
              <w:bottom w:val="single" w:sz="8" w:color="auto"/>
            </w:tcBorders>
            <w:shd w:val="clear" w:color="auto" w:fill="CCEEFF"/>
          </w:tcPr>
          <w:p>
            <w:pPr>
              <w:spacing w:after="0"/>
              <w:rPr>
                <w:sz w:val="24"/>
                <w:szCs w:val="24"/>
                <w:color w:val="auto"/>
              </w:rPr>
            </w:pPr>
          </w:p>
        </w:tc>
        <w:tc>
          <w:tcPr>
            <w:tcW w:w="4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w:t>
            </w:r>
          </w:p>
        </w:tc>
        <w:tc>
          <w:tcPr>
            <w:tcW w:w="60" w:type="dxa"/>
            <w:vAlign w:val="bottom"/>
            <w:tcBorders>
              <w:bottom w:val="single" w:sz="8" w:color="auto"/>
            </w:tcBorders>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360" w:type="dxa"/>
            <w:vAlign w:val="bottom"/>
            <w:tcBorders>
              <w:bottom w:val="single" w:sz="8" w:color="auto"/>
            </w:tcBorders>
            <w:shd w:val="clear" w:color="auto" w:fill="CCEEFF"/>
          </w:tcPr>
          <w:p>
            <w:pPr>
              <w:spacing w:after="0"/>
              <w:rPr>
                <w:sz w:val="24"/>
                <w:szCs w:val="24"/>
                <w:color w:val="auto"/>
              </w:rPr>
            </w:pPr>
          </w:p>
        </w:tc>
        <w:tc>
          <w:tcPr>
            <w:tcW w:w="1120" w:type="dxa"/>
            <w:vAlign w:val="bottom"/>
            <w:tcBorders>
              <w:bottom w:val="single" w:sz="8" w:color="auto"/>
            </w:tcBorders>
            <w:shd w:val="clear" w:color="auto" w:fill="CCEEFF"/>
          </w:tcPr>
          <w:p>
            <w:pPr>
              <w:jc w:val="right"/>
              <w:ind w:right="12"/>
              <w:spacing w:after="0"/>
              <w:rPr>
                <w:sz w:val="20"/>
                <w:szCs w:val="20"/>
                <w:color w:val="auto"/>
              </w:rPr>
            </w:pPr>
            <w:r>
              <w:rPr>
                <w:rFonts w:ascii="Arial" w:cs="Arial" w:eastAsia="Arial" w:hAnsi="Arial"/>
                <w:sz w:val="18"/>
                <w:szCs w:val="18"/>
                <w:color w:val="auto"/>
              </w:rPr>
              <w:t>28</w:t>
            </w:r>
          </w:p>
        </w:tc>
        <w:tc>
          <w:tcPr>
            <w:tcW w:w="120" w:type="dxa"/>
            <w:vAlign w:val="bottom"/>
            <w:shd w:val="clear" w:color="auto" w:fill="CCEEFF"/>
          </w:tcPr>
          <w:p>
            <w:pPr>
              <w:spacing w:after="0"/>
              <w:rPr>
                <w:sz w:val="24"/>
                <w:szCs w:val="24"/>
                <w:color w:val="auto"/>
              </w:rPr>
            </w:pPr>
          </w:p>
        </w:tc>
        <w:tc>
          <w:tcPr>
            <w:tcW w:w="340" w:type="dxa"/>
            <w:vAlign w:val="bottom"/>
            <w:tcBorders>
              <w:bottom w:val="single" w:sz="8" w:color="auto"/>
            </w:tcBorders>
            <w:shd w:val="clear" w:color="auto" w:fill="CCEEFF"/>
          </w:tcPr>
          <w:p>
            <w:pPr>
              <w:spacing w:after="0"/>
              <w:rPr>
                <w:sz w:val="24"/>
                <w:szCs w:val="24"/>
                <w:color w:val="auto"/>
              </w:rPr>
            </w:pPr>
          </w:p>
        </w:tc>
        <w:tc>
          <w:tcPr>
            <w:tcW w:w="1140" w:type="dxa"/>
            <w:vAlign w:val="bottom"/>
            <w:tcBorders>
              <w:bottom w:val="single" w:sz="8" w:color="auto"/>
            </w:tcBorders>
            <w:shd w:val="clear" w:color="auto" w:fill="CCEEFF"/>
          </w:tcPr>
          <w:p>
            <w:pPr>
              <w:jc w:val="right"/>
              <w:ind w:right="12"/>
              <w:spacing w:after="0"/>
              <w:rPr>
                <w:sz w:val="20"/>
                <w:szCs w:val="20"/>
                <w:color w:val="auto"/>
              </w:rPr>
            </w:pPr>
            <w:r>
              <w:rPr>
                <w:rFonts w:ascii="Arial" w:cs="Arial" w:eastAsia="Arial" w:hAnsi="Arial"/>
                <w:sz w:val="18"/>
                <w:szCs w:val="18"/>
                <w:color w:val="auto"/>
              </w:rPr>
              <w:t>10</w:t>
            </w:r>
          </w:p>
        </w:tc>
      </w:tr>
      <w:tr>
        <w:trPr>
          <w:trHeight w:val="244"/>
        </w:trPr>
        <w:tc>
          <w:tcPr>
            <w:tcW w:w="6740" w:type="dxa"/>
            <w:vAlign w:val="bottom"/>
            <w:tcBorders>
              <w:bottom w:val="single" w:sz="8" w:color="CCEEFF"/>
            </w:tcBorders>
          </w:tcPr>
          <w:p>
            <w:pPr>
              <w:ind w:left="380"/>
              <w:spacing w:after="0"/>
              <w:rPr>
                <w:sz w:val="20"/>
                <w:szCs w:val="20"/>
                <w:color w:val="auto"/>
              </w:rPr>
            </w:pPr>
            <w:r>
              <w:rPr>
                <w:rFonts w:ascii="Arial" w:cs="Arial" w:eastAsia="Arial" w:hAnsi="Arial"/>
                <w:sz w:val="18"/>
                <w:szCs w:val="18"/>
                <w:color w:val="auto"/>
              </w:rPr>
              <w:t>Current income tax provision</w:t>
            </w:r>
          </w:p>
        </w:tc>
        <w:tc>
          <w:tcPr>
            <w:tcW w:w="1000" w:type="dxa"/>
            <w:vAlign w:val="bottom"/>
            <w:tcBorders>
              <w:bottom w:val="single" w:sz="8" w:color="auto"/>
            </w:tcBorders>
          </w:tcPr>
          <w:p>
            <w:pPr>
              <w:spacing w:after="0"/>
              <w:rPr>
                <w:sz w:val="21"/>
                <w:szCs w:val="21"/>
                <w:color w:val="auto"/>
              </w:rPr>
            </w:pPr>
          </w:p>
        </w:tc>
        <w:tc>
          <w:tcPr>
            <w:tcW w:w="4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w:t>
            </w:r>
          </w:p>
        </w:tc>
        <w:tc>
          <w:tcPr>
            <w:tcW w:w="60" w:type="dxa"/>
            <w:vAlign w:val="bottom"/>
            <w:tcBorders>
              <w:bottom w:val="single" w:sz="8" w:color="auto"/>
            </w:tcBorders>
          </w:tcPr>
          <w:p>
            <w:pPr>
              <w:spacing w:after="0"/>
              <w:rPr>
                <w:sz w:val="21"/>
                <w:szCs w:val="21"/>
                <w:color w:val="auto"/>
              </w:rPr>
            </w:pPr>
          </w:p>
        </w:tc>
        <w:tc>
          <w:tcPr>
            <w:tcW w:w="100" w:type="dxa"/>
            <w:vAlign w:val="bottom"/>
            <w:tcBorders>
              <w:bottom w:val="single" w:sz="8" w:color="CCEEFF"/>
            </w:tcBorders>
          </w:tcPr>
          <w:p>
            <w:pPr>
              <w:spacing w:after="0"/>
              <w:rPr>
                <w:sz w:val="21"/>
                <w:szCs w:val="21"/>
                <w:color w:val="auto"/>
              </w:rPr>
            </w:pPr>
          </w:p>
        </w:tc>
        <w:tc>
          <w:tcPr>
            <w:tcW w:w="360" w:type="dxa"/>
            <w:vAlign w:val="bottom"/>
            <w:tcBorders>
              <w:bottom w:val="single" w:sz="8" w:color="auto"/>
            </w:tcBorders>
          </w:tcPr>
          <w:p>
            <w:pPr>
              <w:spacing w:after="0"/>
              <w:rPr>
                <w:sz w:val="21"/>
                <w:szCs w:val="21"/>
                <w:color w:val="auto"/>
              </w:rPr>
            </w:pPr>
          </w:p>
        </w:tc>
        <w:tc>
          <w:tcPr>
            <w:tcW w:w="1120" w:type="dxa"/>
            <w:vAlign w:val="bottom"/>
            <w:tcBorders>
              <w:bottom w:val="single" w:sz="8" w:color="auto"/>
            </w:tcBorders>
          </w:tcPr>
          <w:p>
            <w:pPr>
              <w:jc w:val="right"/>
              <w:ind w:right="12"/>
              <w:spacing w:after="0"/>
              <w:rPr>
                <w:sz w:val="20"/>
                <w:szCs w:val="20"/>
                <w:color w:val="auto"/>
              </w:rPr>
            </w:pPr>
            <w:r>
              <w:rPr>
                <w:rFonts w:ascii="Arial" w:cs="Arial" w:eastAsia="Arial" w:hAnsi="Arial"/>
                <w:sz w:val="18"/>
                <w:szCs w:val="18"/>
                <w:color w:val="auto"/>
              </w:rPr>
              <w:t>31</w:t>
            </w:r>
          </w:p>
        </w:tc>
        <w:tc>
          <w:tcPr>
            <w:tcW w:w="120" w:type="dxa"/>
            <w:vAlign w:val="bottom"/>
            <w:tcBorders>
              <w:bottom w:val="single" w:sz="8" w:color="CCEEFF"/>
            </w:tcBorders>
          </w:tcPr>
          <w:p>
            <w:pPr>
              <w:spacing w:after="0"/>
              <w:rPr>
                <w:sz w:val="21"/>
                <w:szCs w:val="21"/>
                <w:color w:val="auto"/>
              </w:rPr>
            </w:pPr>
          </w:p>
        </w:tc>
        <w:tc>
          <w:tcPr>
            <w:tcW w:w="340" w:type="dxa"/>
            <w:vAlign w:val="bottom"/>
            <w:tcBorders>
              <w:bottom w:val="single" w:sz="8" w:color="auto"/>
            </w:tcBorders>
          </w:tcPr>
          <w:p>
            <w:pPr>
              <w:spacing w:after="0"/>
              <w:rPr>
                <w:sz w:val="21"/>
                <w:szCs w:val="21"/>
                <w:color w:val="auto"/>
              </w:rPr>
            </w:pPr>
          </w:p>
        </w:tc>
        <w:tc>
          <w:tcPr>
            <w:tcW w:w="1140" w:type="dxa"/>
            <w:vAlign w:val="bottom"/>
            <w:tcBorders>
              <w:bottom w:val="single" w:sz="8" w:color="auto"/>
            </w:tcBorders>
          </w:tcPr>
          <w:p>
            <w:pPr>
              <w:jc w:val="right"/>
              <w:ind w:right="12"/>
              <w:spacing w:after="0"/>
              <w:rPr>
                <w:sz w:val="20"/>
                <w:szCs w:val="20"/>
                <w:color w:val="auto"/>
              </w:rPr>
            </w:pPr>
            <w:r>
              <w:rPr>
                <w:rFonts w:ascii="Arial" w:cs="Arial" w:eastAsia="Arial" w:hAnsi="Arial"/>
                <w:sz w:val="18"/>
                <w:szCs w:val="18"/>
                <w:color w:val="auto"/>
              </w:rPr>
              <w:t>24</w:t>
            </w:r>
          </w:p>
        </w:tc>
      </w:tr>
      <w:tr>
        <w:trPr>
          <w:trHeight w:val="250"/>
        </w:trPr>
        <w:tc>
          <w:tcPr>
            <w:tcW w:w="67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Deferred income tax provision:</w:t>
            </w:r>
          </w:p>
        </w:tc>
        <w:tc>
          <w:tcPr>
            <w:tcW w:w="100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spacing w:after="0"/>
              <w:rPr>
                <w:sz w:val="21"/>
                <w:szCs w:val="21"/>
                <w:color w:val="auto"/>
              </w:rPr>
            </w:pPr>
          </w:p>
        </w:tc>
        <w:tc>
          <w:tcPr>
            <w:tcW w:w="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spacing w:after="0"/>
              <w:rPr>
                <w:sz w:val="21"/>
                <w:szCs w:val="21"/>
                <w:color w:val="auto"/>
              </w:rPr>
            </w:pPr>
          </w:p>
        </w:tc>
      </w:tr>
      <w:tr>
        <w:trPr>
          <w:trHeight w:val="263"/>
        </w:trPr>
        <w:tc>
          <w:tcPr>
            <w:tcW w:w="6740" w:type="dxa"/>
            <w:vAlign w:val="bottom"/>
          </w:tcPr>
          <w:p>
            <w:pPr>
              <w:ind w:left="180"/>
              <w:spacing w:after="0"/>
              <w:rPr>
                <w:sz w:val="20"/>
                <w:szCs w:val="20"/>
                <w:color w:val="auto"/>
              </w:rPr>
            </w:pPr>
            <w:r>
              <w:rPr>
                <w:rFonts w:ascii="Arial" w:cs="Arial" w:eastAsia="Arial" w:hAnsi="Arial"/>
                <w:sz w:val="18"/>
                <w:szCs w:val="18"/>
                <w:color w:val="auto"/>
              </w:rPr>
              <w:t>Federal</w:t>
            </w:r>
          </w:p>
        </w:tc>
        <w:tc>
          <w:tcPr>
            <w:tcW w:w="1000" w:type="dxa"/>
            <w:vAlign w:val="bottom"/>
          </w:tcPr>
          <w:p>
            <w:pPr>
              <w:spacing w:after="0"/>
              <w:rPr>
                <w:sz w:val="22"/>
                <w:szCs w:val="22"/>
                <w:color w:val="auto"/>
              </w:rPr>
            </w:pPr>
          </w:p>
        </w:tc>
        <w:tc>
          <w:tcPr>
            <w:tcW w:w="440" w:type="dxa"/>
            <w:vAlign w:val="bottom"/>
          </w:tcPr>
          <w:p>
            <w:pPr>
              <w:jc w:val="right"/>
              <w:spacing w:after="0"/>
              <w:rPr>
                <w:sz w:val="20"/>
                <w:szCs w:val="20"/>
                <w:color w:val="auto"/>
              </w:rPr>
            </w:pPr>
            <w:r>
              <w:rPr>
                <w:rFonts w:ascii="Arial" w:cs="Arial" w:eastAsia="Arial" w:hAnsi="Arial"/>
                <w:sz w:val="18"/>
                <w:szCs w:val="18"/>
                <w:color w:val="auto"/>
              </w:rPr>
              <w:t>567</w:t>
            </w:r>
          </w:p>
        </w:tc>
        <w:tc>
          <w:tcPr>
            <w:tcW w:w="6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1120" w:type="dxa"/>
            <w:vAlign w:val="bottom"/>
          </w:tcPr>
          <w:p>
            <w:pPr>
              <w:jc w:val="right"/>
              <w:ind w:right="12"/>
              <w:spacing w:after="0"/>
              <w:rPr>
                <w:sz w:val="20"/>
                <w:szCs w:val="20"/>
                <w:color w:val="auto"/>
              </w:rPr>
            </w:pPr>
            <w:r>
              <w:rPr>
                <w:rFonts w:ascii="Arial" w:cs="Arial" w:eastAsia="Arial" w:hAnsi="Arial"/>
                <w:sz w:val="18"/>
                <w:szCs w:val="18"/>
                <w:color w:val="auto"/>
              </w:rPr>
              <w:t>453</w:t>
            </w:r>
          </w:p>
        </w:tc>
        <w:tc>
          <w:tcPr>
            <w:tcW w:w="12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1140" w:type="dxa"/>
            <w:vAlign w:val="bottom"/>
          </w:tcPr>
          <w:p>
            <w:pPr>
              <w:jc w:val="right"/>
              <w:ind w:right="12"/>
              <w:spacing w:after="0"/>
              <w:rPr>
                <w:sz w:val="20"/>
                <w:szCs w:val="20"/>
                <w:color w:val="auto"/>
              </w:rPr>
            </w:pPr>
            <w:r>
              <w:rPr>
                <w:rFonts w:ascii="Arial" w:cs="Arial" w:eastAsia="Arial" w:hAnsi="Arial"/>
                <w:sz w:val="18"/>
                <w:szCs w:val="18"/>
                <w:color w:val="auto"/>
              </w:rPr>
              <w:t>2,176</w:t>
            </w:r>
          </w:p>
        </w:tc>
      </w:tr>
      <w:tr>
        <w:trPr>
          <w:trHeight w:val="277"/>
        </w:trPr>
        <w:tc>
          <w:tcPr>
            <w:tcW w:w="6740" w:type="dxa"/>
            <w:vAlign w:val="bottom"/>
            <w:shd w:val="clear" w:color="auto" w:fill="CCEEFF"/>
          </w:tcPr>
          <w:p>
            <w:pPr>
              <w:ind w:left="180"/>
              <w:spacing w:after="0"/>
              <w:rPr>
                <w:sz w:val="20"/>
                <w:szCs w:val="20"/>
                <w:color w:val="auto"/>
              </w:rPr>
            </w:pPr>
            <w:r>
              <w:rPr>
                <w:rFonts w:ascii="Arial" w:cs="Arial" w:eastAsia="Arial" w:hAnsi="Arial"/>
                <w:sz w:val="18"/>
                <w:szCs w:val="18"/>
                <w:color w:val="auto"/>
              </w:rPr>
              <w:t>State and Local</w:t>
            </w:r>
          </w:p>
        </w:tc>
        <w:tc>
          <w:tcPr>
            <w:tcW w:w="1000" w:type="dxa"/>
            <w:vAlign w:val="bottom"/>
            <w:tcBorders>
              <w:bottom w:val="single" w:sz="8" w:color="auto"/>
            </w:tcBorders>
            <w:shd w:val="clear" w:color="auto" w:fill="CCEEFF"/>
          </w:tcPr>
          <w:p>
            <w:pPr>
              <w:spacing w:after="0"/>
              <w:rPr>
                <w:sz w:val="24"/>
                <w:szCs w:val="24"/>
                <w:color w:val="auto"/>
              </w:rPr>
            </w:pPr>
          </w:p>
        </w:tc>
        <w:tc>
          <w:tcPr>
            <w:tcW w:w="4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56</w:t>
            </w:r>
          </w:p>
        </w:tc>
        <w:tc>
          <w:tcPr>
            <w:tcW w:w="60" w:type="dxa"/>
            <w:vAlign w:val="bottom"/>
            <w:tcBorders>
              <w:bottom w:val="single" w:sz="8" w:color="auto"/>
            </w:tcBorders>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360" w:type="dxa"/>
            <w:vAlign w:val="bottom"/>
            <w:tcBorders>
              <w:bottom w:val="single" w:sz="8" w:color="auto"/>
            </w:tcBorders>
            <w:shd w:val="clear" w:color="auto" w:fill="CCEEFF"/>
          </w:tcPr>
          <w:p>
            <w:pPr>
              <w:spacing w:after="0"/>
              <w:rPr>
                <w:sz w:val="24"/>
                <w:szCs w:val="24"/>
                <w:color w:val="auto"/>
              </w:rPr>
            </w:pPr>
          </w:p>
        </w:tc>
        <w:tc>
          <w:tcPr>
            <w:tcW w:w="1120" w:type="dxa"/>
            <w:vAlign w:val="bottom"/>
            <w:tcBorders>
              <w:bottom w:val="single" w:sz="8" w:color="auto"/>
            </w:tcBorders>
            <w:shd w:val="clear" w:color="auto" w:fill="CCEEFF"/>
          </w:tcPr>
          <w:p>
            <w:pPr>
              <w:jc w:val="right"/>
              <w:ind w:right="12"/>
              <w:spacing w:after="0"/>
              <w:rPr>
                <w:sz w:val="20"/>
                <w:szCs w:val="20"/>
                <w:color w:val="auto"/>
              </w:rPr>
            </w:pPr>
            <w:r>
              <w:rPr>
                <w:rFonts w:ascii="Arial" w:cs="Arial" w:eastAsia="Arial" w:hAnsi="Arial"/>
                <w:sz w:val="18"/>
                <w:szCs w:val="18"/>
                <w:color w:val="auto"/>
              </w:rPr>
              <w:t>50</w:t>
            </w:r>
          </w:p>
        </w:tc>
        <w:tc>
          <w:tcPr>
            <w:tcW w:w="120" w:type="dxa"/>
            <w:vAlign w:val="bottom"/>
            <w:shd w:val="clear" w:color="auto" w:fill="CCEEFF"/>
          </w:tcPr>
          <w:p>
            <w:pPr>
              <w:spacing w:after="0"/>
              <w:rPr>
                <w:sz w:val="24"/>
                <w:szCs w:val="24"/>
                <w:color w:val="auto"/>
              </w:rPr>
            </w:pPr>
          </w:p>
        </w:tc>
        <w:tc>
          <w:tcPr>
            <w:tcW w:w="340" w:type="dxa"/>
            <w:vAlign w:val="bottom"/>
            <w:tcBorders>
              <w:bottom w:val="single" w:sz="8" w:color="auto"/>
            </w:tcBorders>
            <w:shd w:val="clear" w:color="auto" w:fill="CCEEFF"/>
          </w:tcPr>
          <w:p>
            <w:pPr>
              <w:spacing w:after="0"/>
              <w:rPr>
                <w:sz w:val="24"/>
                <w:szCs w:val="24"/>
                <w:color w:val="auto"/>
              </w:rPr>
            </w:pPr>
          </w:p>
        </w:tc>
        <w:tc>
          <w:tcPr>
            <w:tcW w:w="1140" w:type="dxa"/>
            <w:vAlign w:val="bottom"/>
            <w:tcBorders>
              <w:bottom w:val="single" w:sz="8" w:color="auto"/>
            </w:tcBorders>
            <w:shd w:val="clear" w:color="auto" w:fill="CCEEFF"/>
          </w:tcPr>
          <w:p>
            <w:pPr>
              <w:jc w:val="right"/>
              <w:ind w:right="12"/>
              <w:spacing w:after="0"/>
              <w:rPr>
                <w:sz w:val="20"/>
                <w:szCs w:val="20"/>
                <w:color w:val="auto"/>
              </w:rPr>
            </w:pPr>
            <w:r>
              <w:rPr>
                <w:rFonts w:ascii="Arial" w:cs="Arial" w:eastAsia="Arial" w:hAnsi="Arial"/>
                <w:sz w:val="18"/>
                <w:szCs w:val="18"/>
                <w:color w:val="auto"/>
              </w:rPr>
              <w:t>70</w:t>
            </w:r>
          </w:p>
        </w:tc>
      </w:tr>
      <w:tr>
        <w:trPr>
          <w:trHeight w:val="244"/>
        </w:trPr>
        <w:tc>
          <w:tcPr>
            <w:tcW w:w="6740" w:type="dxa"/>
            <w:vAlign w:val="bottom"/>
            <w:tcBorders>
              <w:bottom w:val="single" w:sz="8" w:color="CCEEFF"/>
            </w:tcBorders>
          </w:tcPr>
          <w:p>
            <w:pPr>
              <w:ind w:left="380"/>
              <w:spacing w:after="0"/>
              <w:rPr>
                <w:sz w:val="20"/>
                <w:szCs w:val="20"/>
                <w:color w:val="auto"/>
              </w:rPr>
            </w:pPr>
            <w:r>
              <w:rPr>
                <w:rFonts w:ascii="Arial" w:cs="Arial" w:eastAsia="Arial" w:hAnsi="Arial"/>
                <w:sz w:val="18"/>
                <w:szCs w:val="18"/>
                <w:color w:val="auto"/>
              </w:rPr>
              <w:t>Deferred income tax provision</w:t>
            </w:r>
          </w:p>
        </w:tc>
        <w:tc>
          <w:tcPr>
            <w:tcW w:w="1000" w:type="dxa"/>
            <w:vAlign w:val="bottom"/>
            <w:tcBorders>
              <w:bottom w:val="single" w:sz="8" w:color="auto"/>
            </w:tcBorders>
          </w:tcPr>
          <w:p>
            <w:pPr>
              <w:spacing w:after="0"/>
              <w:rPr>
                <w:sz w:val="21"/>
                <w:szCs w:val="21"/>
                <w:color w:val="auto"/>
              </w:rPr>
            </w:pPr>
          </w:p>
        </w:tc>
        <w:tc>
          <w:tcPr>
            <w:tcW w:w="4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623</w:t>
            </w:r>
          </w:p>
        </w:tc>
        <w:tc>
          <w:tcPr>
            <w:tcW w:w="60" w:type="dxa"/>
            <w:vAlign w:val="bottom"/>
            <w:tcBorders>
              <w:bottom w:val="single" w:sz="8" w:color="auto"/>
            </w:tcBorders>
          </w:tcPr>
          <w:p>
            <w:pPr>
              <w:spacing w:after="0"/>
              <w:rPr>
                <w:sz w:val="21"/>
                <w:szCs w:val="21"/>
                <w:color w:val="auto"/>
              </w:rPr>
            </w:pPr>
          </w:p>
        </w:tc>
        <w:tc>
          <w:tcPr>
            <w:tcW w:w="100" w:type="dxa"/>
            <w:vAlign w:val="bottom"/>
            <w:tcBorders>
              <w:bottom w:val="single" w:sz="8" w:color="CCEEFF"/>
            </w:tcBorders>
          </w:tcPr>
          <w:p>
            <w:pPr>
              <w:spacing w:after="0"/>
              <w:rPr>
                <w:sz w:val="21"/>
                <w:szCs w:val="21"/>
                <w:color w:val="auto"/>
              </w:rPr>
            </w:pPr>
          </w:p>
        </w:tc>
        <w:tc>
          <w:tcPr>
            <w:tcW w:w="360" w:type="dxa"/>
            <w:vAlign w:val="bottom"/>
            <w:tcBorders>
              <w:bottom w:val="single" w:sz="8" w:color="auto"/>
            </w:tcBorders>
          </w:tcPr>
          <w:p>
            <w:pPr>
              <w:spacing w:after="0"/>
              <w:rPr>
                <w:sz w:val="21"/>
                <w:szCs w:val="21"/>
                <w:color w:val="auto"/>
              </w:rPr>
            </w:pPr>
          </w:p>
        </w:tc>
        <w:tc>
          <w:tcPr>
            <w:tcW w:w="1120" w:type="dxa"/>
            <w:vAlign w:val="bottom"/>
            <w:tcBorders>
              <w:bottom w:val="single" w:sz="8" w:color="auto"/>
            </w:tcBorders>
          </w:tcPr>
          <w:p>
            <w:pPr>
              <w:jc w:val="right"/>
              <w:ind w:right="12"/>
              <w:spacing w:after="0"/>
              <w:rPr>
                <w:sz w:val="20"/>
                <w:szCs w:val="20"/>
                <w:color w:val="auto"/>
              </w:rPr>
            </w:pPr>
            <w:r>
              <w:rPr>
                <w:rFonts w:ascii="Arial" w:cs="Arial" w:eastAsia="Arial" w:hAnsi="Arial"/>
                <w:sz w:val="18"/>
                <w:szCs w:val="18"/>
                <w:color w:val="auto"/>
              </w:rPr>
              <w:t>503</w:t>
            </w:r>
          </w:p>
        </w:tc>
        <w:tc>
          <w:tcPr>
            <w:tcW w:w="120" w:type="dxa"/>
            <w:vAlign w:val="bottom"/>
            <w:tcBorders>
              <w:bottom w:val="single" w:sz="8" w:color="CCEEFF"/>
            </w:tcBorders>
          </w:tcPr>
          <w:p>
            <w:pPr>
              <w:spacing w:after="0"/>
              <w:rPr>
                <w:sz w:val="21"/>
                <w:szCs w:val="21"/>
                <w:color w:val="auto"/>
              </w:rPr>
            </w:pPr>
          </w:p>
        </w:tc>
        <w:tc>
          <w:tcPr>
            <w:tcW w:w="340" w:type="dxa"/>
            <w:vAlign w:val="bottom"/>
            <w:tcBorders>
              <w:bottom w:val="single" w:sz="8" w:color="auto"/>
            </w:tcBorders>
          </w:tcPr>
          <w:p>
            <w:pPr>
              <w:spacing w:after="0"/>
              <w:rPr>
                <w:sz w:val="21"/>
                <w:szCs w:val="21"/>
                <w:color w:val="auto"/>
              </w:rPr>
            </w:pPr>
          </w:p>
        </w:tc>
        <w:tc>
          <w:tcPr>
            <w:tcW w:w="1140" w:type="dxa"/>
            <w:vAlign w:val="bottom"/>
            <w:tcBorders>
              <w:bottom w:val="single" w:sz="8" w:color="auto"/>
            </w:tcBorders>
          </w:tcPr>
          <w:p>
            <w:pPr>
              <w:jc w:val="right"/>
              <w:ind w:right="12"/>
              <w:spacing w:after="0"/>
              <w:rPr>
                <w:sz w:val="20"/>
                <w:szCs w:val="20"/>
                <w:color w:val="auto"/>
              </w:rPr>
            </w:pPr>
            <w:r>
              <w:rPr>
                <w:rFonts w:ascii="Arial" w:cs="Arial" w:eastAsia="Arial" w:hAnsi="Arial"/>
                <w:sz w:val="18"/>
                <w:szCs w:val="18"/>
                <w:color w:val="auto"/>
              </w:rPr>
              <w:t>2,246</w:t>
            </w:r>
          </w:p>
        </w:tc>
      </w:tr>
      <w:tr>
        <w:trPr>
          <w:trHeight w:val="250"/>
        </w:trPr>
        <w:tc>
          <w:tcPr>
            <w:tcW w:w="6740" w:type="dxa"/>
            <w:vAlign w:val="bottom"/>
            <w:shd w:val="clear" w:color="auto" w:fill="CCEEFF"/>
          </w:tcPr>
          <w:p>
            <w:pPr>
              <w:ind w:left="40"/>
              <w:spacing w:after="0"/>
              <w:rPr>
                <w:sz w:val="20"/>
                <w:szCs w:val="20"/>
                <w:color w:val="auto"/>
              </w:rPr>
            </w:pPr>
            <w:r>
              <w:rPr>
                <w:rFonts w:ascii="Arial" w:cs="Arial" w:eastAsia="Arial" w:hAnsi="Arial"/>
                <w:sz w:val="18"/>
                <w:szCs w:val="18"/>
                <w:color w:val="auto"/>
              </w:rPr>
              <w:t>Total income tax provision</w:t>
            </w:r>
          </w:p>
        </w:tc>
        <w:tc>
          <w:tcPr>
            <w:tcW w:w="1000" w:type="dxa"/>
            <w:vAlign w:val="bottom"/>
            <w:shd w:val="clear" w:color="auto" w:fill="CCEEFF"/>
          </w:tcPr>
          <w:p>
            <w:pPr>
              <w:jc w:val="right"/>
              <w:ind w:right="776"/>
              <w:spacing w:after="0"/>
              <w:rPr>
                <w:sz w:val="20"/>
                <w:szCs w:val="20"/>
                <w:color w:val="auto"/>
              </w:rPr>
            </w:pPr>
            <w:r>
              <w:rPr>
                <w:rFonts w:ascii="Arial" w:cs="Arial" w:eastAsia="Arial" w:hAnsi="Arial"/>
                <w:sz w:val="18"/>
                <w:szCs w:val="18"/>
                <w:color w:val="auto"/>
              </w:rPr>
              <w:t>$</w:t>
            </w:r>
          </w:p>
        </w:tc>
        <w:tc>
          <w:tcPr>
            <w:tcW w:w="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633</w:t>
            </w:r>
          </w:p>
        </w:tc>
        <w:tc>
          <w:tcPr>
            <w:tcW w:w="520" w:type="dxa"/>
            <w:vAlign w:val="bottom"/>
            <w:gridSpan w:val="3"/>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112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534</w:t>
            </w:r>
          </w:p>
        </w:tc>
        <w:tc>
          <w:tcPr>
            <w:tcW w:w="120" w:type="dxa"/>
            <w:vAlign w:val="bottom"/>
            <w:shd w:val="clear" w:color="auto" w:fill="CCEEFF"/>
          </w:tcPr>
          <w:p>
            <w:pPr>
              <w:spacing w:after="0"/>
              <w:rPr>
                <w:sz w:val="21"/>
                <w:szCs w:val="21"/>
                <w:color w:val="auto"/>
              </w:rPr>
            </w:pPr>
          </w:p>
        </w:tc>
        <w:tc>
          <w:tcPr>
            <w:tcW w:w="34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14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2,270</w:t>
            </w:r>
          </w:p>
        </w:tc>
      </w:tr>
      <w:tr>
        <w:trPr>
          <w:trHeight w:val="20"/>
        </w:trPr>
        <w:tc>
          <w:tcPr>
            <w:tcW w:w="6740" w:type="dxa"/>
            <w:vAlign w:val="bottom"/>
            <w:tcBorders>
              <w:top w:val="single" w:sz="8" w:color="CCEEFF"/>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r>
    </w:tbl>
    <w:p>
      <w:pPr>
        <w:spacing w:after="0" w:line="377" w:lineRule="exact"/>
        <w:rPr>
          <w:sz w:val="20"/>
          <w:szCs w:val="20"/>
          <w:color w:val="auto"/>
        </w:rPr>
      </w:pPr>
    </w:p>
    <w:p>
      <w:pPr>
        <w:ind w:left="220"/>
        <w:spacing w:after="0"/>
        <w:rPr>
          <w:sz w:val="20"/>
          <w:szCs w:val="20"/>
          <w:color w:val="auto"/>
        </w:rPr>
      </w:pPr>
      <w:r>
        <w:rPr>
          <w:rFonts w:ascii="Arial" w:cs="Arial" w:eastAsia="Arial" w:hAnsi="Arial"/>
          <w:sz w:val="18"/>
          <w:szCs w:val="18"/>
          <w:color w:val="auto"/>
        </w:rPr>
        <w:t>The income tax provision differed from amounts computed at the statutory federal income tax rate as follows (in millions):</w:t>
      </w:r>
    </w:p>
    <w:p>
      <w:pPr>
        <w:spacing w:after="0" w:line="321" w:lineRule="exact"/>
        <w:rPr>
          <w:sz w:val="20"/>
          <w:szCs w:val="20"/>
          <w:color w:val="auto"/>
        </w:rPr>
      </w:pPr>
    </w:p>
    <w:tbl>
      <w:tblPr>
        <w:tblLayout w:type="fixed"/>
        <w:tblInd w:w="0" w:type="dxa"/>
        <w:tblCellMar>
          <w:top w:w="0" w:type="dxa"/>
          <w:left w:w="0" w:type="dxa"/>
          <w:bottom w:w="0" w:type="dxa"/>
          <w:right w:w="0" w:type="dxa"/>
        </w:tblCellMar>
      </w:tblPr>
      <w:tr>
        <w:trPr>
          <w:trHeight w:val="196"/>
        </w:trPr>
        <w:tc>
          <w:tcPr>
            <w:tcW w:w="6500" w:type="dxa"/>
            <w:vAlign w:val="bottom"/>
          </w:tcPr>
          <w:p>
            <w:pPr>
              <w:spacing w:after="0"/>
              <w:rPr>
                <w:sz w:val="17"/>
                <w:szCs w:val="17"/>
                <w:color w:val="auto"/>
              </w:rPr>
            </w:pPr>
          </w:p>
        </w:tc>
        <w:tc>
          <w:tcPr>
            <w:tcW w:w="1000" w:type="dxa"/>
            <w:vAlign w:val="bottom"/>
            <w:tcBorders>
              <w:bottom w:val="single" w:sz="8" w:color="auto"/>
            </w:tcBorders>
          </w:tcPr>
          <w:p>
            <w:pPr>
              <w:spacing w:after="0"/>
              <w:rPr>
                <w:sz w:val="17"/>
                <w:szCs w:val="17"/>
                <w:color w:val="auto"/>
              </w:rPr>
            </w:pPr>
          </w:p>
        </w:tc>
        <w:tc>
          <w:tcPr>
            <w:tcW w:w="480" w:type="dxa"/>
            <w:vAlign w:val="bottom"/>
            <w:tcBorders>
              <w:bottom w:val="single" w:sz="8" w:color="auto"/>
            </w:tcBorders>
          </w:tcPr>
          <w:p>
            <w:pPr>
              <w:spacing w:after="0"/>
              <w:rPr>
                <w:sz w:val="17"/>
                <w:szCs w:val="17"/>
                <w:color w:val="auto"/>
              </w:rPr>
            </w:pPr>
          </w:p>
        </w:tc>
        <w:tc>
          <w:tcPr>
            <w:tcW w:w="2220" w:type="dxa"/>
            <w:vAlign w:val="bottom"/>
            <w:tcBorders>
              <w:bottom w:val="single" w:sz="8" w:color="auto"/>
            </w:tcBorders>
            <w:gridSpan w:val="5"/>
          </w:tcPr>
          <w:p>
            <w:pPr>
              <w:jc w:val="right"/>
              <w:ind w:right="250"/>
              <w:spacing w:after="0"/>
              <w:rPr>
                <w:sz w:val="20"/>
                <w:szCs w:val="20"/>
                <w:color w:val="auto"/>
              </w:rPr>
            </w:pPr>
            <w:r>
              <w:rPr>
                <w:rFonts w:ascii="Arial" w:cs="Arial" w:eastAsia="Arial" w:hAnsi="Arial"/>
                <w:sz w:val="14"/>
                <w:szCs w:val="14"/>
                <w:b w:val="1"/>
                <w:bCs w:val="1"/>
                <w:color w:val="auto"/>
              </w:rPr>
              <w:t>Year Ended December 31,</w:t>
            </w:r>
          </w:p>
        </w:tc>
        <w:tc>
          <w:tcPr>
            <w:tcW w:w="1220" w:type="dxa"/>
            <w:vAlign w:val="bottom"/>
            <w:tcBorders>
              <w:bottom w:val="single" w:sz="8" w:color="auto"/>
            </w:tcBorders>
          </w:tcPr>
          <w:p>
            <w:pPr>
              <w:spacing w:after="0"/>
              <w:rPr>
                <w:sz w:val="17"/>
                <w:szCs w:val="17"/>
                <w:color w:val="auto"/>
              </w:rPr>
            </w:pPr>
          </w:p>
        </w:tc>
      </w:tr>
      <w:tr>
        <w:trPr>
          <w:trHeight w:val="264"/>
        </w:trPr>
        <w:tc>
          <w:tcPr>
            <w:tcW w:w="6500" w:type="dxa"/>
            <w:vAlign w:val="bottom"/>
            <w:tcBorders>
              <w:bottom w:val="single" w:sz="8" w:color="CCEEFF"/>
            </w:tcBorders>
          </w:tcPr>
          <w:p>
            <w:pPr>
              <w:spacing w:after="0"/>
              <w:rPr>
                <w:sz w:val="22"/>
                <w:szCs w:val="22"/>
                <w:color w:val="auto"/>
              </w:rPr>
            </w:pPr>
          </w:p>
        </w:tc>
        <w:tc>
          <w:tcPr>
            <w:tcW w:w="1000" w:type="dxa"/>
            <w:vAlign w:val="bottom"/>
            <w:tcBorders>
              <w:bottom w:val="single" w:sz="8" w:color="auto"/>
            </w:tcBorders>
          </w:tcPr>
          <w:p>
            <w:pPr>
              <w:jc w:val="right"/>
              <w:ind w:right="16"/>
              <w:spacing w:after="0"/>
              <w:rPr>
                <w:sz w:val="20"/>
                <w:szCs w:val="20"/>
                <w:color w:val="auto"/>
              </w:rPr>
            </w:pPr>
            <w:r>
              <w:rPr>
                <w:rFonts w:ascii="Arial" w:cs="Arial" w:eastAsia="Arial" w:hAnsi="Arial"/>
                <w:sz w:val="14"/>
                <w:szCs w:val="14"/>
                <w:b w:val="1"/>
                <w:bCs w:val="1"/>
                <w:color w:val="auto"/>
              </w:rPr>
              <w:t>2019</w:t>
            </w:r>
          </w:p>
        </w:tc>
        <w:tc>
          <w:tcPr>
            <w:tcW w:w="480" w:type="dxa"/>
            <w:vAlign w:val="bottom"/>
            <w:tcBorders>
              <w:bottom w:val="single" w:sz="8" w:color="auto"/>
            </w:tcBorders>
          </w:tcPr>
          <w:p>
            <w:pPr>
              <w:spacing w:after="0"/>
              <w:rPr>
                <w:sz w:val="22"/>
                <w:szCs w:val="22"/>
                <w:color w:val="auto"/>
              </w:rPr>
            </w:pPr>
          </w:p>
        </w:tc>
        <w:tc>
          <w:tcPr>
            <w:tcW w:w="120" w:type="dxa"/>
            <w:vAlign w:val="bottom"/>
            <w:tcBorders>
              <w:bottom w:val="single" w:sz="8" w:color="CCEEFF"/>
            </w:tcBorders>
          </w:tcPr>
          <w:p>
            <w:pPr>
              <w:spacing w:after="0"/>
              <w:rPr>
                <w:sz w:val="22"/>
                <w:szCs w:val="22"/>
                <w:color w:val="auto"/>
              </w:rPr>
            </w:pPr>
          </w:p>
        </w:tc>
        <w:tc>
          <w:tcPr>
            <w:tcW w:w="380" w:type="dxa"/>
            <w:vAlign w:val="bottom"/>
            <w:tcBorders>
              <w:bottom w:val="single" w:sz="8" w:color="auto"/>
            </w:tcBorders>
          </w:tcPr>
          <w:p>
            <w:pPr>
              <w:spacing w:after="0"/>
              <w:rPr>
                <w:sz w:val="22"/>
                <w:szCs w:val="22"/>
                <w:color w:val="auto"/>
              </w:rPr>
            </w:pPr>
          </w:p>
        </w:tc>
        <w:tc>
          <w:tcPr>
            <w:tcW w:w="1220" w:type="dxa"/>
            <w:vAlign w:val="bottom"/>
            <w:tcBorders>
              <w:bottom w:val="single" w:sz="8" w:color="auto"/>
            </w:tcBorders>
          </w:tcPr>
          <w:p>
            <w:pPr>
              <w:jc w:val="right"/>
              <w:ind w:right="552"/>
              <w:spacing w:after="0"/>
              <w:rPr>
                <w:sz w:val="20"/>
                <w:szCs w:val="20"/>
                <w:color w:val="auto"/>
              </w:rPr>
            </w:pPr>
            <w:r>
              <w:rPr>
                <w:rFonts w:ascii="Arial" w:cs="Arial" w:eastAsia="Arial" w:hAnsi="Arial"/>
                <w:sz w:val="14"/>
                <w:szCs w:val="14"/>
                <w:b w:val="1"/>
                <w:bCs w:val="1"/>
                <w:color w:val="auto"/>
              </w:rPr>
              <w:t>2018</w:t>
            </w:r>
          </w:p>
        </w:tc>
        <w:tc>
          <w:tcPr>
            <w:tcW w:w="120" w:type="dxa"/>
            <w:vAlign w:val="bottom"/>
            <w:tcBorders>
              <w:bottom w:val="single" w:sz="8" w:color="CCEEFF"/>
            </w:tcBorders>
          </w:tcPr>
          <w:p>
            <w:pPr>
              <w:spacing w:after="0"/>
              <w:rPr>
                <w:sz w:val="22"/>
                <w:szCs w:val="22"/>
                <w:color w:val="auto"/>
              </w:rPr>
            </w:pPr>
          </w:p>
        </w:tc>
        <w:tc>
          <w:tcPr>
            <w:tcW w:w="380" w:type="dxa"/>
            <w:vAlign w:val="bottom"/>
            <w:tcBorders>
              <w:bottom w:val="single" w:sz="8" w:color="auto"/>
            </w:tcBorders>
          </w:tcPr>
          <w:p>
            <w:pPr>
              <w:spacing w:after="0"/>
              <w:rPr>
                <w:sz w:val="22"/>
                <w:szCs w:val="22"/>
                <w:color w:val="auto"/>
              </w:rPr>
            </w:pPr>
          </w:p>
        </w:tc>
        <w:tc>
          <w:tcPr>
            <w:tcW w:w="1220" w:type="dxa"/>
            <w:vAlign w:val="bottom"/>
            <w:tcBorders>
              <w:bottom w:val="single" w:sz="8" w:color="auto"/>
            </w:tcBorders>
          </w:tcPr>
          <w:p>
            <w:pPr>
              <w:jc w:val="right"/>
              <w:ind w:right="552"/>
              <w:spacing w:after="0"/>
              <w:rPr>
                <w:sz w:val="20"/>
                <w:szCs w:val="20"/>
                <w:color w:val="auto"/>
              </w:rPr>
            </w:pPr>
            <w:r>
              <w:rPr>
                <w:rFonts w:ascii="Arial" w:cs="Arial" w:eastAsia="Arial" w:hAnsi="Arial"/>
                <w:sz w:val="14"/>
                <w:szCs w:val="14"/>
                <w:b w:val="1"/>
                <w:bCs w:val="1"/>
                <w:color w:val="auto"/>
              </w:rPr>
              <w:t>2017</w:t>
            </w:r>
          </w:p>
        </w:tc>
      </w:tr>
      <w:tr>
        <w:trPr>
          <w:trHeight w:val="256"/>
        </w:trPr>
        <w:tc>
          <w:tcPr>
            <w:tcW w:w="6500" w:type="dxa"/>
            <w:vAlign w:val="bottom"/>
            <w:shd w:val="clear" w:color="auto" w:fill="CCEEFF"/>
          </w:tcPr>
          <w:p>
            <w:pPr>
              <w:ind w:left="40"/>
              <w:spacing w:after="0"/>
              <w:rPr>
                <w:sz w:val="20"/>
                <w:szCs w:val="20"/>
                <w:color w:val="auto"/>
              </w:rPr>
            </w:pPr>
            <w:r>
              <w:rPr>
                <w:rFonts w:ascii="Arial" w:cs="Arial" w:eastAsia="Arial" w:hAnsi="Arial"/>
                <w:sz w:val="18"/>
                <w:szCs w:val="18"/>
                <w:color w:val="auto"/>
              </w:rPr>
              <w:t>Statutory income tax provision</w:t>
            </w:r>
          </w:p>
        </w:tc>
        <w:tc>
          <w:tcPr>
            <w:tcW w:w="1000" w:type="dxa"/>
            <w:vAlign w:val="bottom"/>
            <w:shd w:val="clear" w:color="auto" w:fill="CCEEFF"/>
          </w:tcPr>
          <w:p>
            <w:pPr>
              <w:jc w:val="right"/>
              <w:ind w:right="776"/>
              <w:spacing w:after="0"/>
              <w:rPr>
                <w:sz w:val="20"/>
                <w:szCs w:val="20"/>
                <w:color w:val="auto"/>
              </w:rPr>
            </w:pPr>
            <w:r>
              <w:rPr>
                <w:rFonts w:ascii="Arial" w:cs="Arial" w:eastAsia="Arial" w:hAnsi="Arial"/>
                <w:sz w:val="18"/>
                <w:szCs w:val="18"/>
                <w:color w:val="auto"/>
              </w:rPr>
              <w:t>$</w:t>
            </w:r>
          </w:p>
        </w:tc>
        <w:tc>
          <w:tcPr>
            <w:tcW w:w="48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547</w:t>
            </w:r>
          </w:p>
        </w:tc>
        <w:tc>
          <w:tcPr>
            <w:tcW w:w="50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122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460</w:t>
            </w:r>
          </w:p>
        </w:tc>
        <w:tc>
          <w:tcPr>
            <w:tcW w:w="120" w:type="dxa"/>
            <w:vAlign w:val="bottom"/>
            <w:shd w:val="clear" w:color="auto" w:fill="CCEEFF"/>
          </w:tcPr>
          <w:p>
            <w:pPr>
              <w:spacing w:after="0"/>
              <w:rPr>
                <w:sz w:val="22"/>
                <w:szCs w:val="22"/>
                <w:color w:val="auto"/>
              </w:rPr>
            </w:pPr>
          </w:p>
        </w:tc>
        <w:tc>
          <w:tcPr>
            <w:tcW w:w="380" w:type="dxa"/>
            <w:vAlign w:val="bottom"/>
            <w:shd w:val="clear" w:color="auto" w:fill="CCEEFF"/>
          </w:tcPr>
          <w:p>
            <w:pPr>
              <w:jc w:val="right"/>
              <w:ind w:right="170"/>
              <w:spacing w:after="0"/>
              <w:rPr>
                <w:sz w:val="20"/>
                <w:szCs w:val="20"/>
                <w:color w:val="auto"/>
              </w:rPr>
            </w:pPr>
            <w:r>
              <w:rPr>
                <w:rFonts w:ascii="Arial" w:cs="Arial" w:eastAsia="Arial" w:hAnsi="Arial"/>
                <w:sz w:val="18"/>
                <w:szCs w:val="18"/>
                <w:color w:val="auto"/>
                <w:w w:val="99"/>
              </w:rPr>
              <w:t>$</w:t>
            </w:r>
          </w:p>
        </w:tc>
        <w:tc>
          <w:tcPr>
            <w:tcW w:w="122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1,244</w:t>
            </w:r>
          </w:p>
        </w:tc>
      </w:tr>
      <w:tr>
        <w:trPr>
          <w:trHeight w:val="263"/>
        </w:trPr>
        <w:tc>
          <w:tcPr>
            <w:tcW w:w="6500" w:type="dxa"/>
            <w:vAlign w:val="bottom"/>
          </w:tcPr>
          <w:p>
            <w:pPr>
              <w:ind w:left="40"/>
              <w:spacing w:after="0"/>
              <w:rPr>
                <w:sz w:val="20"/>
                <w:szCs w:val="20"/>
                <w:color w:val="auto"/>
              </w:rPr>
            </w:pPr>
            <w:r>
              <w:rPr>
                <w:rFonts w:ascii="Arial" w:cs="Arial" w:eastAsia="Arial" w:hAnsi="Arial"/>
                <w:sz w:val="18"/>
                <w:szCs w:val="18"/>
                <w:color w:val="auto"/>
              </w:rPr>
              <w:t>State income tax provision, net of federal tax effect</w:t>
            </w:r>
          </w:p>
        </w:tc>
        <w:tc>
          <w:tcPr>
            <w:tcW w:w="1000" w:type="dxa"/>
            <w:vAlign w:val="bottom"/>
          </w:tcPr>
          <w:p>
            <w:pPr>
              <w:spacing w:after="0"/>
              <w:rPr>
                <w:sz w:val="22"/>
                <w:szCs w:val="22"/>
                <w:color w:val="auto"/>
              </w:rPr>
            </w:pPr>
          </w:p>
        </w:tc>
        <w:tc>
          <w:tcPr>
            <w:tcW w:w="480" w:type="dxa"/>
            <w:vAlign w:val="bottom"/>
          </w:tcPr>
          <w:p>
            <w:pPr>
              <w:jc w:val="right"/>
              <w:ind w:right="10"/>
              <w:spacing w:after="0"/>
              <w:rPr>
                <w:sz w:val="20"/>
                <w:szCs w:val="20"/>
                <w:color w:val="auto"/>
              </w:rPr>
            </w:pPr>
            <w:r>
              <w:rPr>
                <w:rFonts w:ascii="Arial" w:cs="Arial" w:eastAsia="Arial" w:hAnsi="Arial"/>
                <w:sz w:val="18"/>
                <w:szCs w:val="18"/>
                <w:color w:val="auto"/>
              </w:rPr>
              <w:t>41</w:t>
            </w:r>
          </w:p>
        </w:tc>
        <w:tc>
          <w:tcPr>
            <w:tcW w:w="120" w:type="dxa"/>
            <w:vAlign w:val="bottom"/>
          </w:tcPr>
          <w:p>
            <w:pPr>
              <w:spacing w:after="0"/>
              <w:rPr>
                <w:sz w:val="22"/>
                <w:szCs w:val="22"/>
                <w:color w:val="auto"/>
              </w:rPr>
            </w:pPr>
          </w:p>
        </w:tc>
        <w:tc>
          <w:tcPr>
            <w:tcW w:w="380" w:type="dxa"/>
            <w:vAlign w:val="bottom"/>
          </w:tcPr>
          <w:p>
            <w:pPr>
              <w:spacing w:after="0"/>
              <w:rPr>
                <w:sz w:val="22"/>
                <w:szCs w:val="22"/>
                <w:color w:val="auto"/>
              </w:rPr>
            </w:pPr>
          </w:p>
        </w:tc>
        <w:tc>
          <w:tcPr>
            <w:tcW w:w="1220" w:type="dxa"/>
            <w:vAlign w:val="bottom"/>
          </w:tcPr>
          <w:p>
            <w:pPr>
              <w:jc w:val="right"/>
              <w:ind w:right="12"/>
              <w:spacing w:after="0"/>
              <w:rPr>
                <w:sz w:val="20"/>
                <w:szCs w:val="20"/>
                <w:color w:val="auto"/>
              </w:rPr>
            </w:pPr>
            <w:r>
              <w:rPr>
                <w:rFonts w:ascii="Arial" w:cs="Arial" w:eastAsia="Arial" w:hAnsi="Arial"/>
                <w:sz w:val="18"/>
                <w:szCs w:val="18"/>
                <w:color w:val="auto"/>
              </w:rPr>
              <w:t>46</w:t>
            </w:r>
          </w:p>
        </w:tc>
        <w:tc>
          <w:tcPr>
            <w:tcW w:w="120" w:type="dxa"/>
            <w:vAlign w:val="bottom"/>
          </w:tcPr>
          <w:p>
            <w:pPr>
              <w:spacing w:after="0"/>
              <w:rPr>
                <w:sz w:val="22"/>
                <w:szCs w:val="22"/>
                <w:color w:val="auto"/>
              </w:rPr>
            </w:pPr>
          </w:p>
        </w:tc>
        <w:tc>
          <w:tcPr>
            <w:tcW w:w="380" w:type="dxa"/>
            <w:vAlign w:val="bottom"/>
          </w:tcPr>
          <w:p>
            <w:pPr>
              <w:spacing w:after="0"/>
              <w:rPr>
                <w:sz w:val="22"/>
                <w:szCs w:val="22"/>
                <w:color w:val="auto"/>
              </w:rPr>
            </w:pPr>
          </w:p>
        </w:tc>
        <w:tc>
          <w:tcPr>
            <w:tcW w:w="1220" w:type="dxa"/>
            <w:vAlign w:val="bottom"/>
          </w:tcPr>
          <w:p>
            <w:pPr>
              <w:jc w:val="right"/>
              <w:ind w:right="12"/>
              <w:spacing w:after="0"/>
              <w:rPr>
                <w:sz w:val="20"/>
                <w:szCs w:val="20"/>
                <w:color w:val="auto"/>
              </w:rPr>
            </w:pPr>
            <w:r>
              <w:rPr>
                <w:rFonts w:ascii="Arial" w:cs="Arial" w:eastAsia="Arial" w:hAnsi="Arial"/>
                <w:sz w:val="18"/>
                <w:szCs w:val="18"/>
                <w:color w:val="auto"/>
              </w:rPr>
              <w:t>53</w:t>
            </w:r>
          </w:p>
        </w:tc>
      </w:tr>
      <w:tr>
        <w:trPr>
          <w:trHeight w:val="277"/>
        </w:trPr>
        <w:tc>
          <w:tcPr>
            <w:tcW w:w="6500" w:type="dxa"/>
            <w:vAlign w:val="bottom"/>
            <w:shd w:val="clear" w:color="auto" w:fill="CCEEFF"/>
          </w:tcPr>
          <w:p>
            <w:pPr>
              <w:ind w:left="40"/>
              <w:spacing w:after="0"/>
              <w:rPr>
                <w:sz w:val="20"/>
                <w:szCs w:val="20"/>
                <w:color w:val="auto"/>
              </w:rPr>
            </w:pPr>
            <w:r>
              <w:rPr>
                <w:rFonts w:ascii="Arial" w:cs="Arial" w:eastAsia="Arial" w:hAnsi="Arial"/>
                <w:sz w:val="18"/>
                <w:szCs w:val="18"/>
                <w:color w:val="auto"/>
              </w:rPr>
              <w:t>Book expenses not deductible for tax purposes</w:t>
            </w:r>
          </w:p>
        </w:tc>
        <w:tc>
          <w:tcPr>
            <w:tcW w:w="1000" w:type="dxa"/>
            <w:vAlign w:val="bottom"/>
            <w:shd w:val="clear" w:color="auto" w:fill="CCEEFF"/>
          </w:tcPr>
          <w:p>
            <w:pPr>
              <w:spacing w:after="0"/>
              <w:rPr>
                <w:sz w:val="24"/>
                <w:szCs w:val="24"/>
                <w:color w:val="auto"/>
              </w:rPr>
            </w:pPr>
          </w:p>
        </w:tc>
        <w:tc>
          <w:tcPr>
            <w:tcW w:w="48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29</w:t>
            </w:r>
          </w:p>
        </w:tc>
        <w:tc>
          <w:tcPr>
            <w:tcW w:w="120" w:type="dxa"/>
            <w:vAlign w:val="bottom"/>
            <w:shd w:val="clear" w:color="auto" w:fill="CCEEFF"/>
          </w:tcPr>
          <w:p>
            <w:pPr>
              <w:spacing w:after="0"/>
              <w:rPr>
                <w:sz w:val="24"/>
                <w:szCs w:val="24"/>
                <w:color w:val="auto"/>
              </w:rPr>
            </w:pPr>
          </w:p>
        </w:tc>
        <w:tc>
          <w:tcPr>
            <w:tcW w:w="380" w:type="dxa"/>
            <w:vAlign w:val="bottom"/>
            <w:shd w:val="clear" w:color="auto" w:fill="CCEEFF"/>
          </w:tcPr>
          <w:p>
            <w:pPr>
              <w:spacing w:after="0"/>
              <w:rPr>
                <w:sz w:val="24"/>
                <w:szCs w:val="24"/>
                <w:color w:val="auto"/>
              </w:rPr>
            </w:pPr>
          </w:p>
        </w:tc>
        <w:tc>
          <w:tcPr>
            <w:tcW w:w="122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10</w:t>
            </w:r>
          </w:p>
        </w:tc>
        <w:tc>
          <w:tcPr>
            <w:tcW w:w="120" w:type="dxa"/>
            <w:vAlign w:val="bottom"/>
            <w:shd w:val="clear" w:color="auto" w:fill="CCEEFF"/>
          </w:tcPr>
          <w:p>
            <w:pPr>
              <w:spacing w:after="0"/>
              <w:rPr>
                <w:sz w:val="24"/>
                <w:szCs w:val="24"/>
                <w:color w:val="auto"/>
              </w:rPr>
            </w:pPr>
          </w:p>
        </w:tc>
        <w:tc>
          <w:tcPr>
            <w:tcW w:w="380" w:type="dxa"/>
            <w:vAlign w:val="bottom"/>
            <w:shd w:val="clear" w:color="auto" w:fill="CCEEFF"/>
          </w:tcPr>
          <w:p>
            <w:pPr>
              <w:spacing w:after="0"/>
              <w:rPr>
                <w:sz w:val="24"/>
                <w:szCs w:val="24"/>
                <w:color w:val="auto"/>
              </w:rPr>
            </w:pPr>
          </w:p>
        </w:tc>
        <w:tc>
          <w:tcPr>
            <w:tcW w:w="122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30</w:t>
            </w:r>
          </w:p>
        </w:tc>
      </w:tr>
      <w:tr>
        <w:trPr>
          <w:trHeight w:val="263"/>
        </w:trPr>
        <w:tc>
          <w:tcPr>
            <w:tcW w:w="6500" w:type="dxa"/>
            <w:vAlign w:val="bottom"/>
          </w:tcPr>
          <w:p>
            <w:pPr>
              <w:ind w:left="40"/>
              <w:spacing w:after="0"/>
              <w:rPr>
                <w:sz w:val="20"/>
                <w:szCs w:val="20"/>
                <w:color w:val="auto"/>
              </w:rPr>
            </w:pPr>
            <w:r>
              <w:rPr>
                <w:rFonts w:ascii="Arial" w:cs="Arial" w:eastAsia="Arial" w:hAnsi="Arial"/>
                <w:sz w:val="18"/>
                <w:szCs w:val="18"/>
                <w:color w:val="auto"/>
              </w:rPr>
              <w:t>Foreign income taxes, net of federal tax effect</w:t>
            </w:r>
          </w:p>
        </w:tc>
        <w:tc>
          <w:tcPr>
            <w:tcW w:w="1000" w:type="dxa"/>
            <w:vAlign w:val="bottom"/>
          </w:tcPr>
          <w:p>
            <w:pPr>
              <w:spacing w:after="0"/>
              <w:rPr>
                <w:sz w:val="22"/>
                <w:szCs w:val="22"/>
                <w:color w:val="auto"/>
              </w:rPr>
            </w:pPr>
          </w:p>
        </w:tc>
        <w:tc>
          <w:tcPr>
            <w:tcW w:w="480" w:type="dxa"/>
            <w:vAlign w:val="bottom"/>
          </w:tcPr>
          <w:p>
            <w:pPr>
              <w:jc w:val="right"/>
              <w:ind w:right="10"/>
              <w:spacing w:after="0"/>
              <w:rPr>
                <w:sz w:val="20"/>
                <w:szCs w:val="20"/>
                <w:color w:val="auto"/>
              </w:rPr>
            </w:pPr>
            <w:r>
              <w:rPr>
                <w:rFonts w:ascii="Arial" w:cs="Arial" w:eastAsia="Arial" w:hAnsi="Arial"/>
                <w:sz w:val="18"/>
                <w:szCs w:val="18"/>
                <w:color w:val="auto"/>
              </w:rPr>
              <w:t>8</w:t>
            </w:r>
          </w:p>
        </w:tc>
        <w:tc>
          <w:tcPr>
            <w:tcW w:w="120" w:type="dxa"/>
            <w:vAlign w:val="bottom"/>
          </w:tcPr>
          <w:p>
            <w:pPr>
              <w:spacing w:after="0"/>
              <w:rPr>
                <w:sz w:val="22"/>
                <w:szCs w:val="22"/>
                <w:color w:val="auto"/>
              </w:rPr>
            </w:pPr>
          </w:p>
        </w:tc>
        <w:tc>
          <w:tcPr>
            <w:tcW w:w="380" w:type="dxa"/>
            <w:vAlign w:val="bottom"/>
          </w:tcPr>
          <w:p>
            <w:pPr>
              <w:spacing w:after="0"/>
              <w:rPr>
                <w:sz w:val="22"/>
                <w:szCs w:val="22"/>
                <w:color w:val="auto"/>
              </w:rPr>
            </w:pPr>
          </w:p>
        </w:tc>
        <w:tc>
          <w:tcPr>
            <w:tcW w:w="1220" w:type="dxa"/>
            <w:vAlign w:val="bottom"/>
          </w:tcPr>
          <w:p>
            <w:pPr>
              <w:jc w:val="right"/>
              <w:ind w:right="12"/>
              <w:spacing w:after="0"/>
              <w:rPr>
                <w:sz w:val="20"/>
                <w:szCs w:val="20"/>
                <w:color w:val="auto"/>
              </w:rPr>
            </w:pPr>
            <w:r>
              <w:rPr>
                <w:rFonts w:ascii="Arial" w:cs="Arial" w:eastAsia="Arial" w:hAnsi="Arial"/>
                <w:sz w:val="18"/>
                <w:szCs w:val="18"/>
                <w:color w:val="auto"/>
              </w:rPr>
              <w:t>22</w:t>
            </w:r>
          </w:p>
        </w:tc>
        <w:tc>
          <w:tcPr>
            <w:tcW w:w="120" w:type="dxa"/>
            <w:vAlign w:val="bottom"/>
          </w:tcPr>
          <w:p>
            <w:pPr>
              <w:spacing w:after="0"/>
              <w:rPr>
                <w:sz w:val="22"/>
                <w:szCs w:val="22"/>
                <w:color w:val="auto"/>
              </w:rPr>
            </w:pPr>
          </w:p>
        </w:tc>
        <w:tc>
          <w:tcPr>
            <w:tcW w:w="380" w:type="dxa"/>
            <w:vAlign w:val="bottom"/>
          </w:tcPr>
          <w:p>
            <w:pPr>
              <w:spacing w:after="0"/>
              <w:rPr>
                <w:sz w:val="22"/>
                <w:szCs w:val="22"/>
                <w:color w:val="auto"/>
              </w:rPr>
            </w:pPr>
          </w:p>
        </w:tc>
        <w:tc>
          <w:tcPr>
            <w:tcW w:w="1220" w:type="dxa"/>
            <w:vAlign w:val="bottom"/>
          </w:tcPr>
          <w:p>
            <w:pPr>
              <w:jc w:val="right"/>
              <w:ind w:right="12"/>
              <w:spacing w:after="0"/>
              <w:rPr>
                <w:sz w:val="20"/>
                <w:szCs w:val="20"/>
                <w:color w:val="auto"/>
              </w:rPr>
            </w:pPr>
            <w:r>
              <w:rPr>
                <w:rFonts w:ascii="Arial" w:cs="Arial" w:eastAsia="Arial" w:hAnsi="Arial"/>
                <w:sz w:val="18"/>
                <w:szCs w:val="18"/>
                <w:color w:val="auto"/>
              </w:rPr>
              <w:t>6</w:t>
            </w:r>
          </w:p>
        </w:tc>
      </w:tr>
      <w:tr>
        <w:trPr>
          <w:trHeight w:val="277"/>
        </w:trPr>
        <w:tc>
          <w:tcPr>
            <w:tcW w:w="6500" w:type="dxa"/>
            <w:vAlign w:val="bottom"/>
            <w:shd w:val="clear" w:color="auto" w:fill="CCEEFF"/>
          </w:tcPr>
          <w:p>
            <w:pPr>
              <w:ind w:left="40"/>
              <w:spacing w:after="0"/>
              <w:rPr>
                <w:sz w:val="20"/>
                <w:szCs w:val="20"/>
                <w:color w:val="auto"/>
              </w:rPr>
            </w:pPr>
            <w:r>
              <w:rPr>
                <w:rFonts w:ascii="Arial" w:cs="Arial" w:eastAsia="Arial" w:hAnsi="Arial"/>
                <w:sz w:val="18"/>
                <w:szCs w:val="18"/>
                <w:color w:val="auto"/>
              </w:rPr>
              <w:t>Change in valuation allowance</w:t>
            </w:r>
          </w:p>
        </w:tc>
        <w:tc>
          <w:tcPr>
            <w:tcW w:w="1000" w:type="dxa"/>
            <w:vAlign w:val="bottom"/>
            <w:shd w:val="clear" w:color="auto" w:fill="CCEEFF"/>
          </w:tcPr>
          <w:p>
            <w:pPr>
              <w:spacing w:after="0"/>
              <w:rPr>
                <w:sz w:val="24"/>
                <w:szCs w:val="24"/>
                <w:color w:val="auto"/>
              </w:rPr>
            </w:pPr>
          </w:p>
        </w:tc>
        <w:tc>
          <w:tcPr>
            <w:tcW w:w="48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5</w:t>
            </w:r>
          </w:p>
        </w:tc>
        <w:tc>
          <w:tcPr>
            <w:tcW w:w="120" w:type="dxa"/>
            <w:vAlign w:val="bottom"/>
            <w:shd w:val="clear" w:color="auto" w:fill="CCEEFF"/>
          </w:tcPr>
          <w:p>
            <w:pPr>
              <w:spacing w:after="0"/>
              <w:rPr>
                <w:sz w:val="24"/>
                <w:szCs w:val="24"/>
                <w:color w:val="auto"/>
              </w:rPr>
            </w:pPr>
          </w:p>
        </w:tc>
        <w:tc>
          <w:tcPr>
            <w:tcW w:w="380" w:type="dxa"/>
            <w:vAlign w:val="bottom"/>
            <w:shd w:val="clear" w:color="auto" w:fill="CCEEFF"/>
          </w:tcPr>
          <w:p>
            <w:pPr>
              <w:spacing w:after="0"/>
              <w:rPr>
                <w:sz w:val="24"/>
                <w:szCs w:val="24"/>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w:t>
            </w:r>
          </w:p>
        </w:tc>
        <w:tc>
          <w:tcPr>
            <w:tcW w:w="120" w:type="dxa"/>
            <w:vAlign w:val="bottom"/>
            <w:shd w:val="clear" w:color="auto" w:fill="CCEEFF"/>
          </w:tcPr>
          <w:p>
            <w:pPr>
              <w:spacing w:after="0"/>
              <w:rPr>
                <w:sz w:val="24"/>
                <w:szCs w:val="24"/>
                <w:color w:val="auto"/>
              </w:rPr>
            </w:pPr>
          </w:p>
        </w:tc>
        <w:tc>
          <w:tcPr>
            <w:tcW w:w="380" w:type="dxa"/>
            <w:vAlign w:val="bottom"/>
            <w:shd w:val="clear" w:color="auto" w:fill="CCEEFF"/>
          </w:tcPr>
          <w:p>
            <w:pPr>
              <w:spacing w:after="0"/>
              <w:rPr>
                <w:sz w:val="24"/>
                <w:szCs w:val="24"/>
                <w:color w:val="auto"/>
              </w:rPr>
            </w:pPr>
          </w:p>
        </w:tc>
        <w:tc>
          <w:tcPr>
            <w:tcW w:w="122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4</w:t>
            </w:r>
          </w:p>
        </w:tc>
      </w:tr>
      <w:tr>
        <w:trPr>
          <w:trHeight w:val="263"/>
        </w:trPr>
        <w:tc>
          <w:tcPr>
            <w:tcW w:w="6500" w:type="dxa"/>
            <w:vAlign w:val="bottom"/>
          </w:tcPr>
          <w:p>
            <w:pPr>
              <w:ind w:left="40"/>
              <w:spacing w:after="0"/>
              <w:rPr>
                <w:sz w:val="20"/>
                <w:szCs w:val="20"/>
                <w:color w:val="auto"/>
              </w:rPr>
            </w:pPr>
            <w:r>
              <w:rPr>
                <w:rFonts w:ascii="Arial" w:cs="Arial" w:eastAsia="Arial" w:hAnsi="Arial"/>
                <w:sz w:val="18"/>
                <w:szCs w:val="18"/>
                <w:color w:val="auto"/>
              </w:rPr>
              <w:t>2017 Tax Act</w:t>
            </w:r>
          </w:p>
        </w:tc>
        <w:tc>
          <w:tcPr>
            <w:tcW w:w="1000" w:type="dxa"/>
            <w:vAlign w:val="bottom"/>
          </w:tcPr>
          <w:p>
            <w:pPr>
              <w:spacing w:after="0"/>
              <w:rPr>
                <w:sz w:val="22"/>
                <w:szCs w:val="22"/>
                <w:color w:val="auto"/>
              </w:rPr>
            </w:pPr>
          </w:p>
        </w:tc>
        <w:tc>
          <w:tcPr>
            <w:tcW w:w="48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2"/>
                <w:szCs w:val="22"/>
                <w:color w:val="auto"/>
              </w:rPr>
            </w:pPr>
          </w:p>
        </w:tc>
        <w:tc>
          <w:tcPr>
            <w:tcW w:w="380" w:type="dxa"/>
            <w:vAlign w:val="bottom"/>
          </w:tcPr>
          <w:p>
            <w:pPr>
              <w:spacing w:after="0"/>
              <w:rPr>
                <w:sz w:val="22"/>
                <w:szCs w:val="22"/>
                <w:color w:val="auto"/>
              </w:rPr>
            </w:pPr>
          </w:p>
        </w:tc>
        <w:tc>
          <w:tcPr>
            <w:tcW w:w="13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380" w:type="dxa"/>
            <w:vAlign w:val="bottom"/>
          </w:tcPr>
          <w:p>
            <w:pPr>
              <w:spacing w:after="0"/>
              <w:rPr>
                <w:sz w:val="22"/>
                <w:szCs w:val="22"/>
                <w:color w:val="auto"/>
              </w:rPr>
            </w:pPr>
          </w:p>
        </w:tc>
        <w:tc>
          <w:tcPr>
            <w:tcW w:w="1220" w:type="dxa"/>
            <w:vAlign w:val="bottom"/>
          </w:tcPr>
          <w:p>
            <w:pPr>
              <w:jc w:val="right"/>
              <w:ind w:right="12"/>
              <w:spacing w:after="0"/>
              <w:rPr>
                <w:sz w:val="20"/>
                <w:szCs w:val="20"/>
                <w:color w:val="auto"/>
              </w:rPr>
            </w:pPr>
            <w:r>
              <w:rPr>
                <w:rFonts w:ascii="Arial" w:cs="Arial" w:eastAsia="Arial" w:hAnsi="Arial"/>
                <w:sz w:val="18"/>
                <w:szCs w:val="18"/>
                <w:color w:val="auto"/>
              </w:rPr>
              <w:t>924</w:t>
            </w:r>
          </w:p>
        </w:tc>
      </w:tr>
      <w:tr>
        <w:trPr>
          <w:trHeight w:val="277"/>
        </w:trPr>
        <w:tc>
          <w:tcPr>
            <w:tcW w:w="6500" w:type="dxa"/>
            <w:vAlign w:val="bottom"/>
            <w:shd w:val="clear" w:color="auto" w:fill="CCEEFF"/>
          </w:tcPr>
          <w:p>
            <w:pPr>
              <w:ind w:left="40"/>
              <w:spacing w:after="0"/>
              <w:rPr>
                <w:sz w:val="20"/>
                <w:szCs w:val="20"/>
                <w:color w:val="auto"/>
              </w:rPr>
            </w:pPr>
            <w:r>
              <w:rPr>
                <w:rFonts w:ascii="Arial" w:cs="Arial" w:eastAsia="Arial" w:hAnsi="Arial"/>
                <w:sz w:val="18"/>
                <w:szCs w:val="18"/>
                <w:color w:val="auto"/>
              </w:rPr>
              <w:t>Other, net</w:t>
            </w:r>
          </w:p>
        </w:tc>
        <w:tc>
          <w:tcPr>
            <w:tcW w:w="1000" w:type="dxa"/>
            <w:vAlign w:val="bottom"/>
            <w:tcBorders>
              <w:bottom w:val="single" w:sz="8" w:color="auto"/>
            </w:tcBorders>
            <w:shd w:val="clear" w:color="auto" w:fill="CCEEFF"/>
          </w:tcPr>
          <w:p>
            <w:pPr>
              <w:spacing w:after="0"/>
              <w:rPr>
                <w:sz w:val="24"/>
                <w:szCs w:val="24"/>
                <w:color w:val="auto"/>
              </w:rPr>
            </w:pPr>
          </w:p>
        </w:tc>
        <w:tc>
          <w:tcPr>
            <w:tcW w:w="48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3</w:t>
            </w:r>
          </w:p>
        </w:tc>
        <w:tc>
          <w:tcPr>
            <w:tcW w:w="120" w:type="dxa"/>
            <w:vAlign w:val="bottom"/>
            <w:shd w:val="clear" w:color="auto" w:fill="CCEEFF"/>
          </w:tcPr>
          <w:p>
            <w:pPr>
              <w:spacing w:after="0"/>
              <w:rPr>
                <w:sz w:val="24"/>
                <w:szCs w:val="24"/>
                <w:color w:val="auto"/>
              </w:rPr>
            </w:pPr>
          </w:p>
        </w:tc>
        <w:tc>
          <w:tcPr>
            <w:tcW w:w="380" w:type="dxa"/>
            <w:vAlign w:val="bottom"/>
            <w:tcBorders>
              <w:bottom w:val="single" w:sz="8" w:color="auto"/>
            </w:tcBorders>
            <w:shd w:val="clear" w:color="auto" w:fill="CCEEFF"/>
          </w:tcPr>
          <w:p>
            <w:pPr>
              <w:spacing w:after="0"/>
              <w:rPr>
                <w:sz w:val="24"/>
                <w:szCs w:val="24"/>
                <w:color w:val="auto"/>
              </w:rPr>
            </w:pPr>
          </w:p>
        </w:tc>
        <w:tc>
          <w:tcPr>
            <w:tcW w:w="1220" w:type="dxa"/>
            <w:vAlign w:val="bottom"/>
            <w:tcBorders>
              <w:bottom w:val="single" w:sz="8" w:color="auto"/>
            </w:tcBorders>
            <w:shd w:val="clear" w:color="auto" w:fill="CCEEFF"/>
          </w:tcPr>
          <w:p>
            <w:pPr>
              <w:jc w:val="right"/>
              <w:ind w:right="12"/>
              <w:spacing w:after="0"/>
              <w:rPr>
                <w:sz w:val="20"/>
                <w:szCs w:val="20"/>
                <w:color w:val="auto"/>
              </w:rPr>
            </w:pPr>
            <w:r>
              <w:rPr>
                <w:rFonts w:ascii="Arial" w:cs="Arial" w:eastAsia="Arial" w:hAnsi="Arial"/>
                <w:sz w:val="18"/>
                <w:szCs w:val="18"/>
                <w:color w:val="auto"/>
              </w:rPr>
              <w:t>2</w:t>
            </w:r>
          </w:p>
        </w:tc>
        <w:tc>
          <w:tcPr>
            <w:tcW w:w="120" w:type="dxa"/>
            <w:vAlign w:val="bottom"/>
            <w:shd w:val="clear" w:color="auto" w:fill="CCEEFF"/>
          </w:tcPr>
          <w:p>
            <w:pPr>
              <w:spacing w:after="0"/>
              <w:rPr>
                <w:sz w:val="24"/>
                <w:szCs w:val="24"/>
                <w:color w:val="auto"/>
              </w:rPr>
            </w:pPr>
          </w:p>
        </w:tc>
        <w:tc>
          <w:tcPr>
            <w:tcW w:w="380" w:type="dxa"/>
            <w:vAlign w:val="bottom"/>
            <w:tcBorders>
              <w:bottom w:val="single" w:sz="8" w:color="auto"/>
            </w:tcBorders>
            <w:shd w:val="clear" w:color="auto" w:fill="CCEEFF"/>
          </w:tcPr>
          <w:p>
            <w:pPr>
              <w:spacing w:after="0"/>
              <w:rPr>
                <w:sz w:val="24"/>
                <w:szCs w:val="24"/>
                <w:color w:val="auto"/>
              </w:rPr>
            </w:pPr>
          </w:p>
        </w:tc>
        <w:tc>
          <w:tcPr>
            <w:tcW w:w="1220" w:type="dxa"/>
            <w:vAlign w:val="bottom"/>
            <w:tcBorders>
              <w:bottom w:val="single" w:sz="8" w:color="auto"/>
            </w:tcBorders>
            <w:shd w:val="clear" w:color="auto" w:fill="CCEEFF"/>
          </w:tcPr>
          <w:p>
            <w:pPr>
              <w:jc w:val="right"/>
              <w:ind w:right="12"/>
              <w:spacing w:after="0"/>
              <w:rPr>
                <w:sz w:val="20"/>
                <w:szCs w:val="20"/>
                <w:color w:val="auto"/>
              </w:rPr>
            </w:pPr>
            <w:r>
              <w:rPr>
                <w:rFonts w:ascii="Arial" w:cs="Arial" w:eastAsia="Arial" w:hAnsi="Arial"/>
                <w:sz w:val="18"/>
                <w:szCs w:val="18"/>
                <w:color w:val="auto"/>
              </w:rPr>
              <w:t>9</w:t>
            </w:r>
          </w:p>
        </w:tc>
      </w:tr>
      <w:tr>
        <w:trPr>
          <w:trHeight w:val="244"/>
        </w:trPr>
        <w:tc>
          <w:tcPr>
            <w:tcW w:w="6500" w:type="dxa"/>
            <w:vAlign w:val="bottom"/>
          </w:tcPr>
          <w:p>
            <w:pPr>
              <w:ind w:left="180"/>
              <w:spacing w:after="0"/>
              <w:rPr>
                <w:sz w:val="20"/>
                <w:szCs w:val="20"/>
                <w:color w:val="auto"/>
              </w:rPr>
            </w:pPr>
            <w:r>
              <w:rPr>
                <w:rFonts w:ascii="Arial" w:cs="Arial" w:eastAsia="Arial" w:hAnsi="Arial"/>
                <w:sz w:val="18"/>
                <w:szCs w:val="18"/>
                <w:color w:val="auto"/>
              </w:rPr>
              <w:t>Income tax provision</w:t>
            </w:r>
          </w:p>
        </w:tc>
        <w:tc>
          <w:tcPr>
            <w:tcW w:w="1000" w:type="dxa"/>
            <w:vAlign w:val="bottom"/>
          </w:tcPr>
          <w:p>
            <w:pPr>
              <w:jc w:val="right"/>
              <w:ind w:right="776"/>
              <w:spacing w:after="0"/>
              <w:rPr>
                <w:sz w:val="20"/>
                <w:szCs w:val="20"/>
                <w:color w:val="auto"/>
              </w:rPr>
            </w:pPr>
            <w:r>
              <w:rPr>
                <w:rFonts w:ascii="Arial" w:cs="Arial" w:eastAsia="Arial" w:hAnsi="Arial"/>
                <w:sz w:val="18"/>
                <w:szCs w:val="18"/>
                <w:color w:val="auto"/>
              </w:rPr>
              <w:t>$</w:t>
            </w:r>
          </w:p>
        </w:tc>
        <w:tc>
          <w:tcPr>
            <w:tcW w:w="480" w:type="dxa"/>
            <w:vAlign w:val="bottom"/>
          </w:tcPr>
          <w:p>
            <w:pPr>
              <w:jc w:val="right"/>
              <w:ind w:right="10"/>
              <w:spacing w:after="0"/>
              <w:rPr>
                <w:sz w:val="20"/>
                <w:szCs w:val="20"/>
                <w:color w:val="auto"/>
              </w:rPr>
            </w:pPr>
            <w:r>
              <w:rPr>
                <w:rFonts w:ascii="Arial" w:cs="Arial" w:eastAsia="Arial" w:hAnsi="Arial"/>
                <w:sz w:val="18"/>
                <w:szCs w:val="18"/>
                <w:color w:val="auto"/>
              </w:rPr>
              <w:t>633</w:t>
            </w:r>
          </w:p>
        </w:tc>
        <w:tc>
          <w:tcPr>
            <w:tcW w:w="50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1220" w:type="dxa"/>
            <w:vAlign w:val="bottom"/>
          </w:tcPr>
          <w:p>
            <w:pPr>
              <w:jc w:val="right"/>
              <w:ind w:right="12"/>
              <w:spacing w:after="0"/>
              <w:rPr>
                <w:sz w:val="20"/>
                <w:szCs w:val="20"/>
                <w:color w:val="auto"/>
              </w:rPr>
            </w:pPr>
            <w:r>
              <w:rPr>
                <w:rFonts w:ascii="Arial" w:cs="Arial" w:eastAsia="Arial" w:hAnsi="Arial"/>
                <w:sz w:val="18"/>
                <w:szCs w:val="18"/>
                <w:color w:val="auto"/>
              </w:rPr>
              <w:t>534</w:t>
            </w:r>
          </w:p>
        </w:tc>
        <w:tc>
          <w:tcPr>
            <w:tcW w:w="120" w:type="dxa"/>
            <w:vAlign w:val="bottom"/>
          </w:tcPr>
          <w:p>
            <w:pPr>
              <w:spacing w:after="0"/>
              <w:rPr>
                <w:sz w:val="21"/>
                <w:szCs w:val="21"/>
                <w:color w:val="auto"/>
              </w:rPr>
            </w:pPr>
          </w:p>
        </w:tc>
        <w:tc>
          <w:tcPr>
            <w:tcW w:w="380" w:type="dxa"/>
            <w:vAlign w:val="bottom"/>
          </w:tcPr>
          <w:p>
            <w:pPr>
              <w:jc w:val="right"/>
              <w:ind w:right="170"/>
              <w:spacing w:after="0"/>
              <w:rPr>
                <w:sz w:val="20"/>
                <w:szCs w:val="20"/>
                <w:color w:val="auto"/>
              </w:rPr>
            </w:pPr>
            <w:r>
              <w:rPr>
                <w:rFonts w:ascii="Arial" w:cs="Arial" w:eastAsia="Arial" w:hAnsi="Arial"/>
                <w:sz w:val="18"/>
                <w:szCs w:val="18"/>
                <w:color w:val="auto"/>
                <w:w w:val="99"/>
              </w:rPr>
              <w:t>$</w:t>
            </w:r>
          </w:p>
        </w:tc>
        <w:tc>
          <w:tcPr>
            <w:tcW w:w="1220" w:type="dxa"/>
            <w:vAlign w:val="bottom"/>
          </w:tcPr>
          <w:p>
            <w:pPr>
              <w:jc w:val="right"/>
              <w:ind w:right="12"/>
              <w:spacing w:after="0"/>
              <w:rPr>
                <w:sz w:val="20"/>
                <w:szCs w:val="20"/>
                <w:color w:val="auto"/>
              </w:rPr>
            </w:pPr>
            <w:r>
              <w:rPr>
                <w:rFonts w:ascii="Arial" w:cs="Arial" w:eastAsia="Arial" w:hAnsi="Arial"/>
                <w:sz w:val="18"/>
                <w:szCs w:val="18"/>
                <w:color w:val="auto"/>
              </w:rPr>
              <w:t>2,270</w:t>
            </w:r>
          </w:p>
        </w:tc>
      </w:tr>
      <w:tr>
        <w:trPr>
          <w:trHeight w:val="20"/>
        </w:trPr>
        <w:tc>
          <w:tcPr>
            <w:tcW w:w="6500" w:type="dxa"/>
            <w:vAlign w:val="bottom"/>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12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1220" w:type="dxa"/>
            <w:vAlign w:val="bottom"/>
            <w:tcBorders>
              <w:top w:val="single" w:sz="8" w:color="auto"/>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ectPr>
          <w:pgSz w:w="11900" w:h="16838" w:orient="portrait"/>
          <w:cols w:equalWidth="0" w:num="1">
            <w:col w:w="11420"/>
          </w:cols>
          <w:pgMar w:left="240" w:top="549" w:right="239" w:bottom="1440" w:gutter="0" w:footer="0" w:header="0"/>
        </w:sectPr>
      </w:pPr>
    </w:p>
    <w:p>
      <w:pPr>
        <w:spacing w:after="0" w:line="231"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137</w:t>
      </w:r>
    </w:p>
    <w:p>
      <w:pPr>
        <w:sectPr>
          <w:pgSz w:w="11900" w:h="16838" w:orient="portrait"/>
          <w:cols w:equalWidth="0" w:num="1">
            <w:col w:w="11420"/>
          </w:cols>
          <w:pgMar w:left="240" w:top="549" w:right="239" w:bottom="1440" w:gutter="0" w:footer="0" w:header="0"/>
          <w:type w:val="continuous"/>
        </w:sectPr>
      </w:pPr>
    </w:p>
    <w:bookmarkStart w:id="137" w:name="page138"/>
    <w:bookmarkEnd w:id="137"/>
    <w:p>
      <w:pPr>
        <w:jc w:val="center"/>
        <w:spacing w:after="0"/>
        <w:rPr>
          <w:sz w:val="20"/>
          <w:szCs w:val="20"/>
          <w:color w:val="auto"/>
        </w:rPr>
      </w:pPr>
      <w:r>
        <w:rPr>
          <w:rFonts w:ascii="Arial" w:cs="Arial" w:eastAsia="Arial" w:hAnsi="Arial"/>
          <w:sz w:val="18"/>
          <w:szCs w:val="18"/>
          <w:b w:val="1"/>
          <w:bCs w:val="1"/>
          <w:color w:val="auto"/>
        </w:rPr>
        <w:t>NOTES TO CONSOLIDATED FINANCIAL STATEMENTS OF AMERICAN AIRLINES, INC.</w:t>
      </w:r>
    </w:p>
    <w:p>
      <w:pPr>
        <w:spacing w:after="0" w:line="200" w:lineRule="exact"/>
        <w:rPr>
          <w:sz w:val="20"/>
          <w:szCs w:val="20"/>
          <w:color w:val="auto"/>
        </w:rPr>
      </w:pPr>
    </w:p>
    <w:p>
      <w:pPr>
        <w:spacing w:after="0" w:line="209" w:lineRule="exact"/>
        <w:rPr>
          <w:sz w:val="20"/>
          <w:szCs w:val="20"/>
          <w:color w:val="auto"/>
        </w:rPr>
      </w:pPr>
    </w:p>
    <w:p>
      <w:pPr>
        <w:jc w:val="both"/>
        <w:ind w:firstLine="216"/>
        <w:spacing w:after="0" w:line="252" w:lineRule="auto"/>
        <w:rPr>
          <w:sz w:val="20"/>
          <w:szCs w:val="20"/>
          <w:color w:val="auto"/>
        </w:rPr>
      </w:pPr>
      <w:r>
        <w:rPr>
          <w:rFonts w:ascii="Arial" w:cs="Arial" w:eastAsia="Arial" w:hAnsi="Arial"/>
          <w:sz w:val="18"/>
          <w:szCs w:val="18"/>
          <w:color w:val="auto"/>
        </w:rPr>
        <w:t>American provides a valuation allowance for its deferred tax assets, which include the net operating losses (NOLs), when it is more likely than not that some portion, or all of its deferred tax assets, will not be realized. The ultimate realization of deferred tax assets is dependent upon the generation of future taxable income. American considers all available positive and negative evidence and makes certain assumptions in evaluating the realizability of its deferred tax assets. Many factors are considered that impact American’s assessment of future profitability, including conditions which are beyond its control, such as the health of the economy, the availability and price volatility of aircraft fuel and travel demand.</w:t>
      </w:r>
    </w:p>
    <w:p>
      <w:pPr>
        <w:spacing w:after="0" w:line="155" w:lineRule="exact"/>
        <w:rPr>
          <w:sz w:val="20"/>
          <w:szCs w:val="20"/>
          <w:color w:val="auto"/>
        </w:rPr>
      </w:pPr>
    </w:p>
    <w:p>
      <w:pPr>
        <w:ind w:left="220"/>
        <w:spacing w:after="0"/>
        <w:rPr>
          <w:sz w:val="20"/>
          <w:szCs w:val="20"/>
          <w:color w:val="auto"/>
        </w:rPr>
      </w:pPr>
      <w:r>
        <w:rPr>
          <w:rFonts w:ascii="Arial" w:cs="Arial" w:eastAsia="Arial" w:hAnsi="Arial"/>
          <w:sz w:val="18"/>
          <w:szCs w:val="18"/>
          <w:color w:val="auto"/>
        </w:rPr>
        <w:t>The components of American’s deferred tax assets and liabilities were (in millions):</w:t>
      </w:r>
    </w:p>
    <w:p>
      <w:pPr>
        <w:spacing w:after="0" w:line="321" w:lineRule="exact"/>
        <w:rPr>
          <w:sz w:val="20"/>
          <w:szCs w:val="20"/>
          <w:color w:val="auto"/>
        </w:rPr>
      </w:pPr>
    </w:p>
    <w:tbl>
      <w:tblPr>
        <w:tblLayout w:type="fixed"/>
        <w:tblInd w:w="0" w:type="dxa"/>
        <w:tblCellMar>
          <w:top w:w="0" w:type="dxa"/>
          <w:left w:w="0" w:type="dxa"/>
          <w:bottom w:w="0" w:type="dxa"/>
          <w:right w:w="0" w:type="dxa"/>
        </w:tblCellMar>
      </w:tblPr>
      <w:tr>
        <w:trPr>
          <w:trHeight w:val="196"/>
        </w:trPr>
        <w:tc>
          <w:tcPr>
            <w:tcW w:w="8560" w:type="dxa"/>
            <w:vAlign w:val="bottom"/>
          </w:tcPr>
          <w:p>
            <w:pPr>
              <w:spacing w:after="0"/>
              <w:rPr>
                <w:sz w:val="17"/>
                <w:szCs w:val="17"/>
                <w:color w:val="auto"/>
              </w:rPr>
            </w:pPr>
          </w:p>
        </w:tc>
        <w:tc>
          <w:tcPr>
            <w:tcW w:w="320" w:type="dxa"/>
            <w:vAlign w:val="bottom"/>
            <w:tcBorders>
              <w:bottom w:val="single" w:sz="8" w:color="auto"/>
            </w:tcBorders>
          </w:tcPr>
          <w:p>
            <w:pPr>
              <w:spacing w:after="0"/>
              <w:rPr>
                <w:sz w:val="17"/>
                <w:szCs w:val="17"/>
                <w:color w:val="auto"/>
              </w:rPr>
            </w:pPr>
          </w:p>
        </w:tc>
        <w:tc>
          <w:tcPr>
            <w:tcW w:w="1640" w:type="dxa"/>
            <w:vAlign w:val="bottom"/>
            <w:tcBorders>
              <w:bottom w:val="single" w:sz="8" w:color="auto"/>
            </w:tcBorders>
            <w:gridSpan w:val="3"/>
          </w:tcPr>
          <w:p>
            <w:pPr>
              <w:jc w:val="right"/>
              <w:spacing w:after="0"/>
              <w:rPr>
                <w:sz w:val="20"/>
                <w:szCs w:val="20"/>
                <w:color w:val="auto"/>
              </w:rPr>
            </w:pPr>
            <w:r>
              <w:rPr>
                <w:rFonts w:ascii="Arial" w:cs="Arial" w:eastAsia="Arial" w:hAnsi="Arial"/>
                <w:sz w:val="14"/>
                <w:szCs w:val="14"/>
                <w:b w:val="1"/>
                <w:bCs w:val="1"/>
                <w:color w:val="auto"/>
              </w:rPr>
              <w:t>December 31,</w:t>
            </w:r>
          </w:p>
        </w:tc>
        <w:tc>
          <w:tcPr>
            <w:tcW w:w="900" w:type="dxa"/>
            <w:vAlign w:val="bottom"/>
            <w:tcBorders>
              <w:bottom w:val="single" w:sz="8" w:color="auto"/>
            </w:tcBorders>
          </w:tcPr>
          <w:p>
            <w:pPr>
              <w:spacing w:after="0"/>
              <w:rPr>
                <w:sz w:val="17"/>
                <w:szCs w:val="17"/>
                <w:color w:val="auto"/>
              </w:rPr>
            </w:pPr>
          </w:p>
        </w:tc>
      </w:tr>
      <w:tr>
        <w:trPr>
          <w:trHeight w:val="264"/>
        </w:trPr>
        <w:tc>
          <w:tcPr>
            <w:tcW w:w="8560" w:type="dxa"/>
            <w:vAlign w:val="bottom"/>
            <w:tcBorders>
              <w:bottom w:val="single" w:sz="8" w:color="CCEEFF"/>
            </w:tcBorders>
          </w:tcPr>
          <w:p>
            <w:pPr>
              <w:spacing w:after="0"/>
              <w:rPr>
                <w:sz w:val="22"/>
                <w:szCs w:val="22"/>
                <w:color w:val="auto"/>
              </w:rPr>
            </w:pPr>
          </w:p>
        </w:tc>
        <w:tc>
          <w:tcPr>
            <w:tcW w:w="320" w:type="dxa"/>
            <w:vAlign w:val="bottom"/>
            <w:tcBorders>
              <w:bottom w:val="single" w:sz="8" w:color="auto"/>
            </w:tcBorders>
          </w:tcPr>
          <w:p>
            <w:pPr>
              <w:spacing w:after="0"/>
              <w:rPr>
                <w:sz w:val="22"/>
                <w:szCs w:val="22"/>
                <w:color w:val="auto"/>
              </w:rPr>
            </w:pPr>
          </w:p>
        </w:tc>
        <w:tc>
          <w:tcPr>
            <w:tcW w:w="1060" w:type="dxa"/>
            <w:vAlign w:val="bottom"/>
            <w:tcBorders>
              <w:bottom w:val="single" w:sz="8" w:color="auto"/>
            </w:tcBorders>
          </w:tcPr>
          <w:p>
            <w:pPr>
              <w:jc w:val="right"/>
              <w:ind w:right="452"/>
              <w:spacing w:after="0"/>
              <w:rPr>
                <w:sz w:val="20"/>
                <w:szCs w:val="20"/>
                <w:color w:val="auto"/>
              </w:rPr>
            </w:pPr>
            <w:r>
              <w:rPr>
                <w:rFonts w:ascii="Arial" w:cs="Arial" w:eastAsia="Arial" w:hAnsi="Arial"/>
                <w:sz w:val="14"/>
                <w:szCs w:val="14"/>
                <w:b w:val="1"/>
                <w:bCs w:val="1"/>
                <w:color w:val="auto"/>
              </w:rPr>
              <w:t>2019</w:t>
            </w:r>
          </w:p>
        </w:tc>
        <w:tc>
          <w:tcPr>
            <w:tcW w:w="100" w:type="dxa"/>
            <w:vAlign w:val="bottom"/>
            <w:tcBorders>
              <w:bottom w:val="single" w:sz="8" w:color="CCEEFF"/>
            </w:tcBorders>
          </w:tcPr>
          <w:p>
            <w:pPr>
              <w:spacing w:after="0"/>
              <w:rPr>
                <w:sz w:val="22"/>
                <w:szCs w:val="22"/>
                <w:color w:val="auto"/>
              </w:rPr>
            </w:pPr>
          </w:p>
        </w:tc>
        <w:tc>
          <w:tcPr>
            <w:tcW w:w="480" w:type="dxa"/>
            <w:vAlign w:val="bottom"/>
            <w:tcBorders>
              <w:bottom w:val="single" w:sz="8" w:color="auto"/>
            </w:tcBorders>
          </w:tcPr>
          <w:p>
            <w:pPr>
              <w:spacing w:after="0"/>
              <w:rPr>
                <w:sz w:val="22"/>
                <w:szCs w:val="22"/>
                <w:color w:val="auto"/>
              </w:rPr>
            </w:pPr>
          </w:p>
        </w:tc>
        <w:tc>
          <w:tcPr>
            <w:tcW w:w="900" w:type="dxa"/>
            <w:vAlign w:val="bottom"/>
            <w:tcBorders>
              <w:bottom w:val="single" w:sz="8" w:color="auto"/>
            </w:tcBorders>
          </w:tcPr>
          <w:p>
            <w:pPr>
              <w:jc w:val="right"/>
              <w:ind w:right="431"/>
              <w:spacing w:after="0"/>
              <w:rPr>
                <w:sz w:val="20"/>
                <w:szCs w:val="20"/>
                <w:color w:val="auto"/>
              </w:rPr>
            </w:pPr>
            <w:r>
              <w:rPr>
                <w:rFonts w:ascii="Arial" w:cs="Arial" w:eastAsia="Arial" w:hAnsi="Arial"/>
                <w:sz w:val="14"/>
                <w:szCs w:val="14"/>
                <w:b w:val="1"/>
                <w:bCs w:val="1"/>
                <w:color w:val="auto"/>
              </w:rPr>
              <w:t>2018</w:t>
            </w:r>
          </w:p>
        </w:tc>
      </w:tr>
      <w:tr>
        <w:trPr>
          <w:trHeight w:val="250"/>
        </w:trPr>
        <w:tc>
          <w:tcPr>
            <w:tcW w:w="85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Deferred tax assets:</w:t>
            </w:r>
          </w:p>
        </w:tc>
        <w:tc>
          <w:tcPr>
            <w:tcW w:w="32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48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spacing w:after="0"/>
              <w:rPr>
                <w:sz w:val="21"/>
                <w:szCs w:val="21"/>
                <w:color w:val="auto"/>
              </w:rPr>
            </w:pPr>
          </w:p>
        </w:tc>
      </w:tr>
      <w:tr>
        <w:trPr>
          <w:trHeight w:val="263"/>
        </w:trPr>
        <w:tc>
          <w:tcPr>
            <w:tcW w:w="8560" w:type="dxa"/>
            <w:vAlign w:val="bottom"/>
          </w:tcPr>
          <w:p>
            <w:pPr>
              <w:ind w:left="180"/>
              <w:spacing w:after="0"/>
              <w:rPr>
                <w:sz w:val="20"/>
                <w:szCs w:val="20"/>
                <w:color w:val="auto"/>
              </w:rPr>
            </w:pPr>
            <w:r>
              <w:rPr>
                <w:rFonts w:ascii="Arial" w:cs="Arial" w:eastAsia="Arial" w:hAnsi="Arial"/>
                <w:sz w:val="18"/>
                <w:szCs w:val="18"/>
                <w:color w:val="auto"/>
              </w:rPr>
              <w:t>Operating loss carryforwards</w:t>
            </w:r>
          </w:p>
        </w:tc>
        <w:tc>
          <w:tcPr>
            <w:tcW w:w="320" w:type="dxa"/>
            <w:vAlign w:val="bottom"/>
          </w:tcPr>
          <w:p>
            <w:pPr>
              <w:jc w:val="right"/>
              <w:ind w:right="110"/>
              <w:spacing w:after="0"/>
              <w:rPr>
                <w:sz w:val="20"/>
                <w:szCs w:val="20"/>
                <w:color w:val="auto"/>
              </w:rPr>
            </w:pPr>
            <w:r>
              <w:rPr>
                <w:rFonts w:ascii="Arial" w:cs="Arial" w:eastAsia="Arial" w:hAnsi="Arial"/>
                <w:sz w:val="18"/>
                <w:szCs w:val="18"/>
                <w:color w:val="auto"/>
                <w:w w:val="99"/>
              </w:rPr>
              <w:t>$</w:t>
            </w:r>
          </w:p>
        </w:tc>
        <w:tc>
          <w:tcPr>
            <w:tcW w:w="1060" w:type="dxa"/>
            <w:vAlign w:val="bottom"/>
          </w:tcPr>
          <w:p>
            <w:pPr>
              <w:jc w:val="right"/>
              <w:ind w:right="32"/>
              <w:spacing w:after="0"/>
              <w:rPr>
                <w:sz w:val="20"/>
                <w:szCs w:val="20"/>
                <w:color w:val="auto"/>
              </w:rPr>
            </w:pPr>
            <w:r>
              <w:rPr>
                <w:rFonts w:ascii="Arial" w:cs="Arial" w:eastAsia="Arial" w:hAnsi="Arial"/>
                <w:sz w:val="18"/>
                <w:szCs w:val="18"/>
                <w:color w:val="auto"/>
              </w:rPr>
              <w:t>2,115</w:t>
            </w:r>
          </w:p>
        </w:tc>
        <w:tc>
          <w:tcPr>
            <w:tcW w:w="100" w:type="dxa"/>
            <w:vAlign w:val="bottom"/>
          </w:tcPr>
          <w:p>
            <w:pPr>
              <w:spacing w:after="0"/>
              <w:rPr>
                <w:sz w:val="22"/>
                <w:szCs w:val="22"/>
                <w:color w:val="auto"/>
              </w:rPr>
            </w:pPr>
          </w:p>
        </w:tc>
        <w:tc>
          <w:tcPr>
            <w:tcW w:w="480" w:type="dxa"/>
            <w:vAlign w:val="bottom"/>
          </w:tcPr>
          <w:p>
            <w:pPr>
              <w:jc w:val="right"/>
              <w:ind w:right="270"/>
              <w:spacing w:after="0"/>
              <w:rPr>
                <w:sz w:val="20"/>
                <w:szCs w:val="20"/>
                <w:color w:val="auto"/>
              </w:rPr>
            </w:pPr>
            <w:r>
              <w:rPr>
                <w:rFonts w:ascii="Arial" w:cs="Arial" w:eastAsia="Arial" w:hAnsi="Arial"/>
                <w:sz w:val="18"/>
                <w:szCs w:val="18"/>
                <w:color w:val="auto"/>
                <w:w w:val="99"/>
              </w:rPr>
              <w:t>$</w:t>
            </w:r>
          </w:p>
        </w:tc>
        <w:tc>
          <w:tcPr>
            <w:tcW w:w="900" w:type="dxa"/>
            <w:vAlign w:val="bottom"/>
          </w:tcPr>
          <w:p>
            <w:pPr>
              <w:jc w:val="right"/>
              <w:ind w:right="11"/>
              <w:spacing w:after="0"/>
              <w:rPr>
                <w:sz w:val="20"/>
                <w:szCs w:val="20"/>
                <w:color w:val="auto"/>
              </w:rPr>
            </w:pPr>
            <w:r>
              <w:rPr>
                <w:rFonts w:ascii="Arial" w:cs="Arial" w:eastAsia="Arial" w:hAnsi="Arial"/>
                <w:sz w:val="18"/>
                <w:szCs w:val="18"/>
                <w:color w:val="auto"/>
              </w:rPr>
              <w:t>2,420</w:t>
            </w:r>
          </w:p>
        </w:tc>
      </w:tr>
      <w:tr>
        <w:trPr>
          <w:trHeight w:val="277"/>
        </w:trPr>
        <w:tc>
          <w:tcPr>
            <w:tcW w:w="8560" w:type="dxa"/>
            <w:vAlign w:val="bottom"/>
            <w:shd w:val="clear" w:color="auto" w:fill="CCEEFF"/>
          </w:tcPr>
          <w:p>
            <w:pPr>
              <w:ind w:left="180"/>
              <w:spacing w:after="0"/>
              <w:rPr>
                <w:sz w:val="20"/>
                <w:szCs w:val="20"/>
                <w:color w:val="auto"/>
              </w:rPr>
            </w:pPr>
            <w:r>
              <w:rPr>
                <w:rFonts w:ascii="Arial" w:cs="Arial" w:eastAsia="Arial" w:hAnsi="Arial"/>
                <w:sz w:val="18"/>
                <w:szCs w:val="18"/>
                <w:color w:val="auto"/>
              </w:rPr>
              <w:t>Leases</w:t>
            </w:r>
          </w:p>
        </w:tc>
        <w:tc>
          <w:tcPr>
            <w:tcW w:w="320" w:type="dxa"/>
            <w:vAlign w:val="bottom"/>
            <w:shd w:val="clear" w:color="auto" w:fill="CCEEFF"/>
          </w:tcPr>
          <w:p>
            <w:pPr>
              <w:spacing w:after="0"/>
              <w:rPr>
                <w:sz w:val="24"/>
                <w:szCs w:val="24"/>
                <w:color w:val="auto"/>
              </w:rPr>
            </w:pPr>
          </w:p>
        </w:tc>
        <w:tc>
          <w:tcPr>
            <w:tcW w:w="1060" w:type="dxa"/>
            <w:vAlign w:val="bottom"/>
            <w:shd w:val="clear" w:color="auto" w:fill="CCEEFF"/>
          </w:tcPr>
          <w:p>
            <w:pPr>
              <w:jc w:val="right"/>
              <w:ind w:right="32"/>
              <w:spacing w:after="0"/>
              <w:rPr>
                <w:sz w:val="20"/>
                <w:szCs w:val="20"/>
                <w:color w:val="auto"/>
              </w:rPr>
            </w:pPr>
            <w:r>
              <w:rPr>
                <w:rFonts w:ascii="Arial" w:cs="Arial" w:eastAsia="Arial" w:hAnsi="Arial"/>
                <w:sz w:val="18"/>
                <w:szCs w:val="18"/>
                <w:color w:val="auto"/>
              </w:rPr>
              <w:t>2,067</w:t>
            </w:r>
          </w:p>
        </w:tc>
        <w:tc>
          <w:tcPr>
            <w:tcW w:w="100" w:type="dxa"/>
            <w:vAlign w:val="bottom"/>
            <w:shd w:val="clear" w:color="auto" w:fill="CCEEFF"/>
          </w:tcPr>
          <w:p>
            <w:pPr>
              <w:spacing w:after="0"/>
              <w:rPr>
                <w:sz w:val="24"/>
                <w:szCs w:val="24"/>
                <w:color w:val="auto"/>
              </w:rPr>
            </w:pPr>
          </w:p>
        </w:tc>
        <w:tc>
          <w:tcPr>
            <w:tcW w:w="480" w:type="dxa"/>
            <w:vAlign w:val="bottom"/>
            <w:shd w:val="clear" w:color="auto" w:fill="CCEEFF"/>
          </w:tcPr>
          <w:p>
            <w:pPr>
              <w:spacing w:after="0"/>
              <w:rPr>
                <w:sz w:val="24"/>
                <w:szCs w:val="24"/>
                <w:color w:val="auto"/>
              </w:rPr>
            </w:pPr>
          </w:p>
        </w:tc>
        <w:tc>
          <w:tcPr>
            <w:tcW w:w="90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2,176</w:t>
            </w:r>
          </w:p>
        </w:tc>
      </w:tr>
      <w:tr>
        <w:trPr>
          <w:trHeight w:val="263"/>
        </w:trPr>
        <w:tc>
          <w:tcPr>
            <w:tcW w:w="8560" w:type="dxa"/>
            <w:vAlign w:val="bottom"/>
          </w:tcPr>
          <w:p>
            <w:pPr>
              <w:ind w:left="180"/>
              <w:spacing w:after="0"/>
              <w:rPr>
                <w:sz w:val="20"/>
                <w:szCs w:val="20"/>
                <w:color w:val="auto"/>
              </w:rPr>
            </w:pPr>
            <w:r>
              <w:rPr>
                <w:rFonts w:ascii="Arial" w:cs="Arial" w:eastAsia="Arial" w:hAnsi="Arial"/>
                <w:sz w:val="18"/>
                <w:szCs w:val="18"/>
                <w:color w:val="auto"/>
              </w:rPr>
              <w:t>Loyalty program liability</w:t>
            </w:r>
          </w:p>
        </w:tc>
        <w:tc>
          <w:tcPr>
            <w:tcW w:w="320" w:type="dxa"/>
            <w:vAlign w:val="bottom"/>
          </w:tcPr>
          <w:p>
            <w:pPr>
              <w:spacing w:after="0"/>
              <w:rPr>
                <w:sz w:val="22"/>
                <w:szCs w:val="22"/>
                <w:color w:val="auto"/>
              </w:rPr>
            </w:pPr>
          </w:p>
        </w:tc>
        <w:tc>
          <w:tcPr>
            <w:tcW w:w="1060" w:type="dxa"/>
            <w:vAlign w:val="bottom"/>
          </w:tcPr>
          <w:p>
            <w:pPr>
              <w:jc w:val="right"/>
              <w:ind w:right="32"/>
              <w:spacing w:after="0"/>
              <w:rPr>
                <w:sz w:val="20"/>
                <w:szCs w:val="20"/>
                <w:color w:val="auto"/>
              </w:rPr>
            </w:pPr>
            <w:r>
              <w:rPr>
                <w:rFonts w:ascii="Arial" w:cs="Arial" w:eastAsia="Arial" w:hAnsi="Arial"/>
                <w:sz w:val="18"/>
                <w:szCs w:val="18"/>
                <w:color w:val="auto"/>
              </w:rPr>
              <w:t>1,755</w:t>
            </w:r>
          </w:p>
        </w:tc>
        <w:tc>
          <w:tcPr>
            <w:tcW w:w="100" w:type="dxa"/>
            <w:vAlign w:val="bottom"/>
          </w:tcPr>
          <w:p>
            <w:pPr>
              <w:spacing w:after="0"/>
              <w:rPr>
                <w:sz w:val="22"/>
                <w:szCs w:val="22"/>
                <w:color w:val="auto"/>
              </w:rPr>
            </w:pPr>
          </w:p>
        </w:tc>
        <w:tc>
          <w:tcPr>
            <w:tcW w:w="480" w:type="dxa"/>
            <w:vAlign w:val="bottom"/>
          </w:tcPr>
          <w:p>
            <w:pPr>
              <w:spacing w:after="0"/>
              <w:rPr>
                <w:sz w:val="22"/>
                <w:szCs w:val="22"/>
                <w:color w:val="auto"/>
              </w:rPr>
            </w:pPr>
          </w:p>
        </w:tc>
        <w:tc>
          <w:tcPr>
            <w:tcW w:w="900" w:type="dxa"/>
            <w:vAlign w:val="bottom"/>
          </w:tcPr>
          <w:p>
            <w:pPr>
              <w:jc w:val="right"/>
              <w:ind w:right="11"/>
              <w:spacing w:after="0"/>
              <w:rPr>
                <w:sz w:val="20"/>
                <w:szCs w:val="20"/>
                <w:color w:val="auto"/>
              </w:rPr>
            </w:pPr>
            <w:r>
              <w:rPr>
                <w:rFonts w:ascii="Arial" w:cs="Arial" w:eastAsia="Arial" w:hAnsi="Arial"/>
                <w:sz w:val="18"/>
                <w:szCs w:val="18"/>
                <w:color w:val="auto"/>
              </w:rPr>
              <w:t>1,770</w:t>
            </w:r>
          </w:p>
        </w:tc>
      </w:tr>
      <w:tr>
        <w:trPr>
          <w:trHeight w:val="277"/>
        </w:trPr>
        <w:tc>
          <w:tcPr>
            <w:tcW w:w="8560" w:type="dxa"/>
            <w:vAlign w:val="bottom"/>
            <w:shd w:val="clear" w:color="auto" w:fill="CCEEFF"/>
          </w:tcPr>
          <w:p>
            <w:pPr>
              <w:ind w:left="180"/>
              <w:spacing w:after="0"/>
              <w:rPr>
                <w:sz w:val="20"/>
                <w:szCs w:val="20"/>
                <w:color w:val="auto"/>
              </w:rPr>
            </w:pPr>
            <w:r>
              <w:rPr>
                <w:rFonts w:ascii="Arial" w:cs="Arial" w:eastAsia="Arial" w:hAnsi="Arial"/>
                <w:sz w:val="18"/>
                <w:szCs w:val="18"/>
                <w:color w:val="auto"/>
              </w:rPr>
              <w:t>Pensions</w:t>
            </w:r>
          </w:p>
        </w:tc>
        <w:tc>
          <w:tcPr>
            <w:tcW w:w="320" w:type="dxa"/>
            <w:vAlign w:val="bottom"/>
            <w:shd w:val="clear" w:color="auto" w:fill="CCEEFF"/>
          </w:tcPr>
          <w:p>
            <w:pPr>
              <w:spacing w:after="0"/>
              <w:rPr>
                <w:sz w:val="24"/>
                <w:szCs w:val="24"/>
                <w:color w:val="auto"/>
              </w:rPr>
            </w:pPr>
          </w:p>
        </w:tc>
        <w:tc>
          <w:tcPr>
            <w:tcW w:w="1060" w:type="dxa"/>
            <w:vAlign w:val="bottom"/>
            <w:shd w:val="clear" w:color="auto" w:fill="CCEEFF"/>
          </w:tcPr>
          <w:p>
            <w:pPr>
              <w:jc w:val="right"/>
              <w:ind w:right="32"/>
              <w:spacing w:after="0"/>
              <w:rPr>
                <w:sz w:val="20"/>
                <w:szCs w:val="20"/>
                <w:color w:val="auto"/>
              </w:rPr>
            </w:pPr>
            <w:r>
              <w:rPr>
                <w:rFonts w:ascii="Arial" w:cs="Arial" w:eastAsia="Arial" w:hAnsi="Arial"/>
                <w:sz w:val="18"/>
                <w:szCs w:val="18"/>
                <w:color w:val="auto"/>
              </w:rPr>
              <w:t>1,219</w:t>
            </w:r>
          </w:p>
        </w:tc>
        <w:tc>
          <w:tcPr>
            <w:tcW w:w="100" w:type="dxa"/>
            <w:vAlign w:val="bottom"/>
            <w:shd w:val="clear" w:color="auto" w:fill="CCEEFF"/>
          </w:tcPr>
          <w:p>
            <w:pPr>
              <w:spacing w:after="0"/>
              <w:rPr>
                <w:sz w:val="24"/>
                <w:szCs w:val="24"/>
                <w:color w:val="auto"/>
              </w:rPr>
            </w:pPr>
          </w:p>
        </w:tc>
        <w:tc>
          <w:tcPr>
            <w:tcW w:w="480" w:type="dxa"/>
            <w:vAlign w:val="bottom"/>
            <w:shd w:val="clear" w:color="auto" w:fill="CCEEFF"/>
          </w:tcPr>
          <w:p>
            <w:pPr>
              <w:spacing w:after="0"/>
              <w:rPr>
                <w:sz w:val="24"/>
                <w:szCs w:val="24"/>
                <w:color w:val="auto"/>
              </w:rPr>
            </w:pPr>
          </w:p>
        </w:tc>
        <w:tc>
          <w:tcPr>
            <w:tcW w:w="90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1,421</w:t>
            </w:r>
          </w:p>
        </w:tc>
      </w:tr>
      <w:tr>
        <w:trPr>
          <w:trHeight w:val="263"/>
        </w:trPr>
        <w:tc>
          <w:tcPr>
            <w:tcW w:w="8560" w:type="dxa"/>
            <w:vAlign w:val="bottom"/>
          </w:tcPr>
          <w:p>
            <w:pPr>
              <w:ind w:left="180"/>
              <w:spacing w:after="0"/>
              <w:rPr>
                <w:sz w:val="20"/>
                <w:szCs w:val="20"/>
                <w:color w:val="auto"/>
              </w:rPr>
            </w:pPr>
            <w:r>
              <w:rPr>
                <w:rFonts w:ascii="Arial" w:cs="Arial" w:eastAsia="Arial" w:hAnsi="Arial"/>
                <w:sz w:val="18"/>
                <w:szCs w:val="18"/>
                <w:color w:val="auto"/>
              </w:rPr>
              <w:t>Postretirement benefits other than pensions</w:t>
            </w:r>
          </w:p>
        </w:tc>
        <w:tc>
          <w:tcPr>
            <w:tcW w:w="320" w:type="dxa"/>
            <w:vAlign w:val="bottom"/>
          </w:tcPr>
          <w:p>
            <w:pPr>
              <w:spacing w:after="0"/>
              <w:rPr>
                <w:sz w:val="22"/>
                <w:szCs w:val="22"/>
                <w:color w:val="auto"/>
              </w:rPr>
            </w:pPr>
          </w:p>
        </w:tc>
        <w:tc>
          <w:tcPr>
            <w:tcW w:w="1060" w:type="dxa"/>
            <w:vAlign w:val="bottom"/>
          </w:tcPr>
          <w:p>
            <w:pPr>
              <w:jc w:val="right"/>
              <w:ind w:right="32"/>
              <w:spacing w:after="0"/>
              <w:rPr>
                <w:sz w:val="20"/>
                <w:szCs w:val="20"/>
                <w:color w:val="auto"/>
              </w:rPr>
            </w:pPr>
            <w:r>
              <w:rPr>
                <w:rFonts w:ascii="Arial" w:cs="Arial" w:eastAsia="Arial" w:hAnsi="Arial"/>
                <w:sz w:val="18"/>
                <w:szCs w:val="18"/>
                <w:color w:val="auto"/>
              </w:rPr>
              <w:t>145</w:t>
            </w:r>
          </w:p>
        </w:tc>
        <w:tc>
          <w:tcPr>
            <w:tcW w:w="100" w:type="dxa"/>
            <w:vAlign w:val="bottom"/>
          </w:tcPr>
          <w:p>
            <w:pPr>
              <w:spacing w:after="0"/>
              <w:rPr>
                <w:sz w:val="22"/>
                <w:szCs w:val="22"/>
                <w:color w:val="auto"/>
              </w:rPr>
            </w:pPr>
          </w:p>
        </w:tc>
        <w:tc>
          <w:tcPr>
            <w:tcW w:w="480" w:type="dxa"/>
            <w:vAlign w:val="bottom"/>
          </w:tcPr>
          <w:p>
            <w:pPr>
              <w:spacing w:after="0"/>
              <w:rPr>
                <w:sz w:val="22"/>
                <w:szCs w:val="22"/>
                <w:color w:val="auto"/>
              </w:rPr>
            </w:pPr>
          </w:p>
        </w:tc>
        <w:tc>
          <w:tcPr>
            <w:tcW w:w="900" w:type="dxa"/>
            <w:vAlign w:val="bottom"/>
          </w:tcPr>
          <w:p>
            <w:pPr>
              <w:jc w:val="right"/>
              <w:ind w:right="11"/>
              <w:spacing w:after="0"/>
              <w:rPr>
                <w:sz w:val="20"/>
                <w:szCs w:val="20"/>
                <w:color w:val="auto"/>
              </w:rPr>
            </w:pPr>
            <w:r>
              <w:rPr>
                <w:rFonts w:ascii="Arial" w:cs="Arial" w:eastAsia="Arial" w:hAnsi="Arial"/>
                <w:sz w:val="18"/>
                <w:szCs w:val="18"/>
                <w:color w:val="auto"/>
              </w:rPr>
              <w:t>145</w:t>
            </w:r>
          </w:p>
        </w:tc>
      </w:tr>
      <w:tr>
        <w:trPr>
          <w:trHeight w:val="277"/>
        </w:trPr>
        <w:tc>
          <w:tcPr>
            <w:tcW w:w="8560" w:type="dxa"/>
            <w:vAlign w:val="bottom"/>
            <w:shd w:val="clear" w:color="auto" w:fill="CCEEFF"/>
          </w:tcPr>
          <w:p>
            <w:pPr>
              <w:ind w:left="180"/>
              <w:spacing w:after="0"/>
              <w:rPr>
                <w:sz w:val="20"/>
                <w:szCs w:val="20"/>
                <w:color w:val="auto"/>
              </w:rPr>
            </w:pPr>
            <w:r>
              <w:rPr>
                <w:rFonts w:ascii="Arial" w:cs="Arial" w:eastAsia="Arial" w:hAnsi="Arial"/>
                <w:sz w:val="18"/>
                <w:szCs w:val="18"/>
                <w:color w:val="auto"/>
              </w:rPr>
              <w:t>Rent expense</w:t>
            </w:r>
          </w:p>
        </w:tc>
        <w:tc>
          <w:tcPr>
            <w:tcW w:w="320" w:type="dxa"/>
            <w:vAlign w:val="bottom"/>
            <w:shd w:val="clear" w:color="auto" w:fill="CCEEFF"/>
          </w:tcPr>
          <w:p>
            <w:pPr>
              <w:spacing w:after="0"/>
              <w:rPr>
                <w:sz w:val="24"/>
                <w:szCs w:val="24"/>
                <w:color w:val="auto"/>
              </w:rPr>
            </w:pPr>
          </w:p>
        </w:tc>
        <w:tc>
          <w:tcPr>
            <w:tcW w:w="1060" w:type="dxa"/>
            <w:vAlign w:val="bottom"/>
            <w:shd w:val="clear" w:color="auto" w:fill="CCEEFF"/>
          </w:tcPr>
          <w:p>
            <w:pPr>
              <w:jc w:val="right"/>
              <w:ind w:right="32"/>
              <w:spacing w:after="0"/>
              <w:rPr>
                <w:sz w:val="20"/>
                <w:szCs w:val="20"/>
                <w:color w:val="auto"/>
              </w:rPr>
            </w:pPr>
            <w:r>
              <w:rPr>
                <w:rFonts w:ascii="Arial" w:cs="Arial" w:eastAsia="Arial" w:hAnsi="Arial"/>
                <w:sz w:val="18"/>
                <w:szCs w:val="18"/>
                <w:color w:val="auto"/>
              </w:rPr>
              <w:t>126</w:t>
            </w:r>
          </w:p>
        </w:tc>
        <w:tc>
          <w:tcPr>
            <w:tcW w:w="100" w:type="dxa"/>
            <w:vAlign w:val="bottom"/>
            <w:shd w:val="clear" w:color="auto" w:fill="CCEEFF"/>
          </w:tcPr>
          <w:p>
            <w:pPr>
              <w:spacing w:after="0"/>
              <w:rPr>
                <w:sz w:val="24"/>
                <w:szCs w:val="24"/>
                <w:color w:val="auto"/>
              </w:rPr>
            </w:pPr>
          </w:p>
        </w:tc>
        <w:tc>
          <w:tcPr>
            <w:tcW w:w="480" w:type="dxa"/>
            <w:vAlign w:val="bottom"/>
            <w:shd w:val="clear" w:color="auto" w:fill="CCEEFF"/>
          </w:tcPr>
          <w:p>
            <w:pPr>
              <w:spacing w:after="0"/>
              <w:rPr>
                <w:sz w:val="24"/>
                <w:szCs w:val="24"/>
                <w:color w:val="auto"/>
              </w:rPr>
            </w:pPr>
          </w:p>
        </w:tc>
        <w:tc>
          <w:tcPr>
            <w:tcW w:w="90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136</w:t>
            </w:r>
          </w:p>
        </w:tc>
      </w:tr>
      <w:tr>
        <w:trPr>
          <w:trHeight w:val="263"/>
        </w:trPr>
        <w:tc>
          <w:tcPr>
            <w:tcW w:w="8560" w:type="dxa"/>
            <w:vAlign w:val="bottom"/>
          </w:tcPr>
          <w:p>
            <w:pPr>
              <w:ind w:left="180"/>
              <w:spacing w:after="0"/>
              <w:rPr>
                <w:sz w:val="20"/>
                <w:szCs w:val="20"/>
                <w:color w:val="auto"/>
              </w:rPr>
            </w:pPr>
            <w:r>
              <w:rPr>
                <w:rFonts w:ascii="Arial" w:cs="Arial" w:eastAsia="Arial" w:hAnsi="Arial"/>
                <w:sz w:val="18"/>
                <w:szCs w:val="18"/>
                <w:color w:val="auto"/>
              </w:rPr>
              <w:t>Alternative minimum tax (AMT) credit carryforwards</w:t>
            </w:r>
          </w:p>
        </w:tc>
        <w:tc>
          <w:tcPr>
            <w:tcW w:w="320" w:type="dxa"/>
            <w:vAlign w:val="bottom"/>
          </w:tcPr>
          <w:p>
            <w:pPr>
              <w:spacing w:after="0"/>
              <w:rPr>
                <w:sz w:val="22"/>
                <w:szCs w:val="22"/>
                <w:color w:val="auto"/>
              </w:rPr>
            </w:pPr>
          </w:p>
        </w:tc>
        <w:tc>
          <w:tcPr>
            <w:tcW w:w="1060" w:type="dxa"/>
            <w:vAlign w:val="bottom"/>
          </w:tcPr>
          <w:p>
            <w:pPr>
              <w:jc w:val="right"/>
              <w:ind w:right="32"/>
              <w:spacing w:after="0"/>
              <w:rPr>
                <w:sz w:val="20"/>
                <w:szCs w:val="20"/>
                <w:color w:val="auto"/>
              </w:rPr>
            </w:pPr>
            <w:r>
              <w:rPr>
                <w:rFonts w:ascii="Arial" w:cs="Arial" w:eastAsia="Arial" w:hAnsi="Arial"/>
                <w:sz w:val="18"/>
                <w:szCs w:val="18"/>
                <w:color w:val="auto"/>
              </w:rPr>
              <w:t>118</w:t>
            </w:r>
          </w:p>
        </w:tc>
        <w:tc>
          <w:tcPr>
            <w:tcW w:w="100" w:type="dxa"/>
            <w:vAlign w:val="bottom"/>
          </w:tcPr>
          <w:p>
            <w:pPr>
              <w:spacing w:after="0"/>
              <w:rPr>
                <w:sz w:val="22"/>
                <w:szCs w:val="22"/>
                <w:color w:val="auto"/>
              </w:rPr>
            </w:pPr>
          </w:p>
        </w:tc>
        <w:tc>
          <w:tcPr>
            <w:tcW w:w="480" w:type="dxa"/>
            <w:vAlign w:val="bottom"/>
          </w:tcPr>
          <w:p>
            <w:pPr>
              <w:spacing w:after="0"/>
              <w:rPr>
                <w:sz w:val="22"/>
                <w:szCs w:val="22"/>
                <w:color w:val="auto"/>
              </w:rPr>
            </w:pPr>
          </w:p>
        </w:tc>
        <w:tc>
          <w:tcPr>
            <w:tcW w:w="900" w:type="dxa"/>
            <w:vAlign w:val="bottom"/>
          </w:tcPr>
          <w:p>
            <w:pPr>
              <w:jc w:val="right"/>
              <w:ind w:right="11"/>
              <w:spacing w:after="0"/>
              <w:rPr>
                <w:sz w:val="20"/>
                <w:szCs w:val="20"/>
                <w:color w:val="auto"/>
              </w:rPr>
            </w:pPr>
            <w:r>
              <w:rPr>
                <w:rFonts w:ascii="Arial" w:cs="Arial" w:eastAsia="Arial" w:hAnsi="Arial"/>
                <w:sz w:val="18"/>
                <w:szCs w:val="18"/>
                <w:color w:val="auto"/>
              </w:rPr>
              <w:t>231</w:t>
            </w:r>
          </w:p>
        </w:tc>
      </w:tr>
      <w:tr>
        <w:trPr>
          <w:trHeight w:val="277"/>
        </w:trPr>
        <w:tc>
          <w:tcPr>
            <w:tcW w:w="8560" w:type="dxa"/>
            <w:vAlign w:val="bottom"/>
            <w:shd w:val="clear" w:color="auto" w:fill="CCEEFF"/>
          </w:tcPr>
          <w:p>
            <w:pPr>
              <w:ind w:left="180"/>
              <w:spacing w:after="0"/>
              <w:rPr>
                <w:sz w:val="20"/>
                <w:szCs w:val="20"/>
                <w:color w:val="auto"/>
              </w:rPr>
            </w:pPr>
            <w:r>
              <w:rPr>
                <w:rFonts w:ascii="Arial" w:cs="Arial" w:eastAsia="Arial" w:hAnsi="Arial"/>
                <w:sz w:val="18"/>
                <w:szCs w:val="18"/>
                <w:color w:val="auto"/>
              </w:rPr>
              <w:t>Reorganization items</w:t>
            </w:r>
          </w:p>
        </w:tc>
        <w:tc>
          <w:tcPr>
            <w:tcW w:w="320" w:type="dxa"/>
            <w:vAlign w:val="bottom"/>
            <w:shd w:val="clear" w:color="auto" w:fill="CCEEFF"/>
          </w:tcPr>
          <w:p>
            <w:pPr>
              <w:spacing w:after="0"/>
              <w:rPr>
                <w:sz w:val="24"/>
                <w:szCs w:val="24"/>
                <w:color w:val="auto"/>
              </w:rPr>
            </w:pPr>
          </w:p>
        </w:tc>
        <w:tc>
          <w:tcPr>
            <w:tcW w:w="1060" w:type="dxa"/>
            <w:vAlign w:val="bottom"/>
            <w:shd w:val="clear" w:color="auto" w:fill="CCEEFF"/>
          </w:tcPr>
          <w:p>
            <w:pPr>
              <w:jc w:val="right"/>
              <w:ind w:right="32"/>
              <w:spacing w:after="0"/>
              <w:rPr>
                <w:sz w:val="20"/>
                <w:szCs w:val="20"/>
                <w:color w:val="auto"/>
              </w:rPr>
            </w:pPr>
            <w:r>
              <w:rPr>
                <w:rFonts w:ascii="Arial" w:cs="Arial" w:eastAsia="Arial" w:hAnsi="Arial"/>
                <w:sz w:val="18"/>
                <w:szCs w:val="18"/>
                <w:color w:val="auto"/>
              </w:rPr>
              <w:t>30</w:t>
            </w:r>
          </w:p>
        </w:tc>
        <w:tc>
          <w:tcPr>
            <w:tcW w:w="100" w:type="dxa"/>
            <w:vAlign w:val="bottom"/>
            <w:shd w:val="clear" w:color="auto" w:fill="CCEEFF"/>
          </w:tcPr>
          <w:p>
            <w:pPr>
              <w:spacing w:after="0"/>
              <w:rPr>
                <w:sz w:val="24"/>
                <w:szCs w:val="24"/>
                <w:color w:val="auto"/>
              </w:rPr>
            </w:pPr>
          </w:p>
        </w:tc>
        <w:tc>
          <w:tcPr>
            <w:tcW w:w="480" w:type="dxa"/>
            <w:vAlign w:val="bottom"/>
            <w:shd w:val="clear" w:color="auto" w:fill="CCEEFF"/>
          </w:tcPr>
          <w:p>
            <w:pPr>
              <w:spacing w:after="0"/>
              <w:rPr>
                <w:sz w:val="24"/>
                <w:szCs w:val="24"/>
                <w:color w:val="auto"/>
              </w:rPr>
            </w:pPr>
          </w:p>
        </w:tc>
        <w:tc>
          <w:tcPr>
            <w:tcW w:w="90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33</w:t>
            </w:r>
          </w:p>
        </w:tc>
      </w:tr>
      <w:tr>
        <w:trPr>
          <w:trHeight w:val="264"/>
        </w:trPr>
        <w:tc>
          <w:tcPr>
            <w:tcW w:w="8560" w:type="dxa"/>
            <w:vAlign w:val="bottom"/>
            <w:tcBorders>
              <w:bottom w:val="single" w:sz="8" w:color="CCEEFF"/>
            </w:tcBorders>
          </w:tcPr>
          <w:p>
            <w:pPr>
              <w:ind w:left="180"/>
              <w:spacing w:after="0"/>
              <w:rPr>
                <w:sz w:val="20"/>
                <w:szCs w:val="20"/>
                <w:color w:val="auto"/>
              </w:rPr>
            </w:pPr>
            <w:r>
              <w:rPr>
                <w:rFonts w:ascii="Arial" w:cs="Arial" w:eastAsia="Arial" w:hAnsi="Arial"/>
                <w:sz w:val="18"/>
                <w:szCs w:val="18"/>
                <w:color w:val="auto"/>
              </w:rPr>
              <w:t>Other</w:t>
            </w:r>
          </w:p>
        </w:tc>
        <w:tc>
          <w:tcPr>
            <w:tcW w:w="320" w:type="dxa"/>
            <w:vAlign w:val="bottom"/>
            <w:tcBorders>
              <w:bottom w:val="single" w:sz="8" w:color="auto"/>
            </w:tcBorders>
          </w:tcPr>
          <w:p>
            <w:pPr>
              <w:spacing w:after="0"/>
              <w:rPr>
                <w:sz w:val="22"/>
                <w:szCs w:val="22"/>
                <w:color w:val="auto"/>
              </w:rPr>
            </w:pPr>
          </w:p>
        </w:tc>
        <w:tc>
          <w:tcPr>
            <w:tcW w:w="1060" w:type="dxa"/>
            <w:vAlign w:val="bottom"/>
            <w:tcBorders>
              <w:bottom w:val="single" w:sz="8" w:color="auto"/>
            </w:tcBorders>
          </w:tcPr>
          <w:p>
            <w:pPr>
              <w:jc w:val="right"/>
              <w:ind w:right="32"/>
              <w:spacing w:after="0"/>
              <w:rPr>
                <w:sz w:val="20"/>
                <w:szCs w:val="20"/>
                <w:color w:val="auto"/>
              </w:rPr>
            </w:pPr>
            <w:r>
              <w:rPr>
                <w:rFonts w:ascii="Arial" w:cs="Arial" w:eastAsia="Arial" w:hAnsi="Arial"/>
                <w:sz w:val="18"/>
                <w:szCs w:val="18"/>
                <w:color w:val="auto"/>
              </w:rPr>
              <w:t>569</w:t>
            </w:r>
          </w:p>
        </w:tc>
        <w:tc>
          <w:tcPr>
            <w:tcW w:w="100" w:type="dxa"/>
            <w:vAlign w:val="bottom"/>
            <w:tcBorders>
              <w:bottom w:val="single" w:sz="8" w:color="CCEEFF"/>
            </w:tcBorders>
          </w:tcPr>
          <w:p>
            <w:pPr>
              <w:spacing w:after="0"/>
              <w:rPr>
                <w:sz w:val="22"/>
                <w:szCs w:val="22"/>
                <w:color w:val="auto"/>
              </w:rPr>
            </w:pPr>
          </w:p>
        </w:tc>
        <w:tc>
          <w:tcPr>
            <w:tcW w:w="480" w:type="dxa"/>
            <w:vAlign w:val="bottom"/>
            <w:tcBorders>
              <w:bottom w:val="single" w:sz="8" w:color="auto"/>
            </w:tcBorders>
          </w:tcPr>
          <w:p>
            <w:pPr>
              <w:spacing w:after="0"/>
              <w:rPr>
                <w:sz w:val="22"/>
                <w:szCs w:val="22"/>
                <w:color w:val="auto"/>
              </w:rPr>
            </w:pPr>
          </w:p>
        </w:tc>
        <w:tc>
          <w:tcPr>
            <w:tcW w:w="900" w:type="dxa"/>
            <w:vAlign w:val="bottom"/>
            <w:tcBorders>
              <w:bottom w:val="single" w:sz="8" w:color="auto"/>
            </w:tcBorders>
          </w:tcPr>
          <w:p>
            <w:pPr>
              <w:jc w:val="right"/>
              <w:ind w:right="11"/>
              <w:spacing w:after="0"/>
              <w:rPr>
                <w:sz w:val="20"/>
                <w:szCs w:val="20"/>
                <w:color w:val="auto"/>
              </w:rPr>
            </w:pPr>
            <w:r>
              <w:rPr>
                <w:rFonts w:ascii="Arial" w:cs="Arial" w:eastAsia="Arial" w:hAnsi="Arial"/>
                <w:sz w:val="18"/>
                <w:szCs w:val="18"/>
                <w:color w:val="auto"/>
              </w:rPr>
              <w:t>588</w:t>
            </w:r>
          </w:p>
        </w:tc>
      </w:tr>
      <w:tr>
        <w:trPr>
          <w:trHeight w:val="257"/>
        </w:trPr>
        <w:tc>
          <w:tcPr>
            <w:tcW w:w="8560" w:type="dxa"/>
            <w:vAlign w:val="bottom"/>
            <w:shd w:val="clear" w:color="auto" w:fill="CCEEFF"/>
          </w:tcPr>
          <w:p>
            <w:pPr>
              <w:ind w:left="380"/>
              <w:spacing w:after="0"/>
              <w:rPr>
                <w:sz w:val="20"/>
                <w:szCs w:val="20"/>
                <w:color w:val="auto"/>
              </w:rPr>
            </w:pPr>
            <w:r>
              <w:rPr>
                <w:rFonts w:ascii="Arial" w:cs="Arial" w:eastAsia="Arial" w:hAnsi="Arial"/>
                <w:sz w:val="18"/>
                <w:szCs w:val="18"/>
                <w:color w:val="auto"/>
              </w:rPr>
              <w:t>Total deferred tax assets</w:t>
            </w:r>
          </w:p>
        </w:tc>
        <w:tc>
          <w:tcPr>
            <w:tcW w:w="320" w:type="dxa"/>
            <w:vAlign w:val="bottom"/>
            <w:shd w:val="clear" w:color="auto" w:fill="CCEEFF"/>
          </w:tcPr>
          <w:p>
            <w:pPr>
              <w:spacing w:after="0"/>
              <w:rPr>
                <w:sz w:val="22"/>
                <w:szCs w:val="22"/>
                <w:color w:val="auto"/>
              </w:rPr>
            </w:pPr>
          </w:p>
        </w:tc>
        <w:tc>
          <w:tcPr>
            <w:tcW w:w="1060" w:type="dxa"/>
            <w:vAlign w:val="bottom"/>
            <w:shd w:val="clear" w:color="auto" w:fill="CCEEFF"/>
          </w:tcPr>
          <w:p>
            <w:pPr>
              <w:jc w:val="right"/>
              <w:ind w:right="32"/>
              <w:spacing w:after="0"/>
              <w:rPr>
                <w:sz w:val="20"/>
                <w:szCs w:val="20"/>
                <w:color w:val="auto"/>
              </w:rPr>
            </w:pPr>
            <w:r>
              <w:rPr>
                <w:rFonts w:ascii="Arial" w:cs="Arial" w:eastAsia="Arial" w:hAnsi="Arial"/>
                <w:sz w:val="18"/>
                <w:szCs w:val="18"/>
                <w:color w:val="auto"/>
              </w:rPr>
              <w:t>8,144</w:t>
            </w:r>
          </w:p>
        </w:tc>
        <w:tc>
          <w:tcPr>
            <w:tcW w:w="100" w:type="dxa"/>
            <w:vAlign w:val="bottom"/>
            <w:shd w:val="clear" w:color="auto" w:fill="CCEEFF"/>
          </w:tcPr>
          <w:p>
            <w:pPr>
              <w:spacing w:after="0"/>
              <w:rPr>
                <w:sz w:val="22"/>
                <w:szCs w:val="22"/>
                <w:color w:val="auto"/>
              </w:rPr>
            </w:pPr>
          </w:p>
        </w:tc>
        <w:tc>
          <w:tcPr>
            <w:tcW w:w="480" w:type="dxa"/>
            <w:vAlign w:val="bottom"/>
            <w:shd w:val="clear" w:color="auto" w:fill="CCEEFF"/>
          </w:tcPr>
          <w:p>
            <w:pPr>
              <w:spacing w:after="0"/>
              <w:rPr>
                <w:sz w:val="22"/>
                <w:szCs w:val="22"/>
                <w:color w:val="auto"/>
              </w:rPr>
            </w:pPr>
          </w:p>
        </w:tc>
        <w:tc>
          <w:tcPr>
            <w:tcW w:w="90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8,920</w:t>
            </w:r>
          </w:p>
        </w:tc>
      </w:tr>
      <w:tr>
        <w:trPr>
          <w:trHeight w:val="264"/>
        </w:trPr>
        <w:tc>
          <w:tcPr>
            <w:tcW w:w="8560" w:type="dxa"/>
            <w:vAlign w:val="bottom"/>
            <w:tcBorders>
              <w:bottom w:val="single" w:sz="8" w:color="CCEEFF"/>
            </w:tcBorders>
          </w:tcPr>
          <w:p>
            <w:pPr>
              <w:ind w:left="380"/>
              <w:spacing w:after="0"/>
              <w:rPr>
                <w:sz w:val="20"/>
                <w:szCs w:val="20"/>
                <w:color w:val="auto"/>
              </w:rPr>
            </w:pPr>
            <w:r>
              <w:rPr>
                <w:rFonts w:ascii="Arial" w:cs="Arial" w:eastAsia="Arial" w:hAnsi="Arial"/>
                <w:sz w:val="18"/>
                <w:szCs w:val="18"/>
                <w:color w:val="auto"/>
              </w:rPr>
              <w:t>Valuation allowance</w:t>
            </w:r>
          </w:p>
        </w:tc>
        <w:tc>
          <w:tcPr>
            <w:tcW w:w="320" w:type="dxa"/>
            <w:vAlign w:val="bottom"/>
            <w:tcBorders>
              <w:bottom w:val="single" w:sz="8" w:color="auto"/>
            </w:tcBorders>
          </w:tcPr>
          <w:p>
            <w:pPr>
              <w:spacing w:after="0"/>
              <w:rPr>
                <w:sz w:val="22"/>
                <w:szCs w:val="22"/>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(24)</w:t>
            </w:r>
          </w:p>
        </w:tc>
        <w:tc>
          <w:tcPr>
            <w:tcW w:w="100" w:type="dxa"/>
            <w:vAlign w:val="bottom"/>
            <w:tcBorders>
              <w:bottom w:val="single" w:sz="8" w:color="CCEEFF"/>
            </w:tcBorders>
          </w:tcPr>
          <w:p>
            <w:pPr>
              <w:spacing w:after="0"/>
              <w:rPr>
                <w:sz w:val="22"/>
                <w:szCs w:val="22"/>
                <w:color w:val="auto"/>
              </w:rPr>
            </w:pPr>
          </w:p>
        </w:tc>
        <w:tc>
          <w:tcPr>
            <w:tcW w:w="480" w:type="dxa"/>
            <w:vAlign w:val="bottom"/>
            <w:tcBorders>
              <w:bottom w:val="single" w:sz="8" w:color="auto"/>
            </w:tcBorders>
          </w:tcPr>
          <w:p>
            <w:pPr>
              <w:spacing w:after="0"/>
              <w:rPr>
                <w:sz w:val="22"/>
                <w:szCs w:val="22"/>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(19)</w:t>
            </w:r>
          </w:p>
        </w:tc>
      </w:tr>
      <w:tr>
        <w:trPr>
          <w:trHeight w:val="257"/>
        </w:trPr>
        <w:tc>
          <w:tcPr>
            <w:tcW w:w="8560" w:type="dxa"/>
            <w:vAlign w:val="bottom"/>
            <w:shd w:val="clear" w:color="auto" w:fill="CCEEFF"/>
          </w:tcPr>
          <w:p>
            <w:pPr>
              <w:ind w:left="600"/>
              <w:spacing w:after="0"/>
              <w:rPr>
                <w:sz w:val="20"/>
                <w:szCs w:val="20"/>
                <w:color w:val="auto"/>
              </w:rPr>
            </w:pPr>
            <w:r>
              <w:rPr>
                <w:rFonts w:ascii="Arial" w:cs="Arial" w:eastAsia="Arial" w:hAnsi="Arial"/>
                <w:sz w:val="18"/>
                <w:szCs w:val="18"/>
                <w:color w:val="auto"/>
              </w:rPr>
              <w:t>Net deferred tax assets</w:t>
            </w:r>
          </w:p>
        </w:tc>
        <w:tc>
          <w:tcPr>
            <w:tcW w:w="320" w:type="dxa"/>
            <w:vAlign w:val="bottom"/>
            <w:tcBorders>
              <w:bottom w:val="single" w:sz="8" w:color="auto"/>
            </w:tcBorders>
            <w:shd w:val="clear" w:color="auto" w:fill="CCEEFF"/>
          </w:tcPr>
          <w:p>
            <w:pPr>
              <w:spacing w:after="0"/>
              <w:rPr>
                <w:sz w:val="22"/>
                <w:szCs w:val="22"/>
                <w:color w:val="auto"/>
              </w:rPr>
            </w:pPr>
          </w:p>
        </w:tc>
        <w:tc>
          <w:tcPr>
            <w:tcW w:w="1060" w:type="dxa"/>
            <w:vAlign w:val="bottom"/>
            <w:tcBorders>
              <w:bottom w:val="single" w:sz="8" w:color="auto"/>
            </w:tcBorders>
            <w:shd w:val="clear" w:color="auto" w:fill="CCEEFF"/>
          </w:tcPr>
          <w:p>
            <w:pPr>
              <w:jc w:val="right"/>
              <w:ind w:right="32"/>
              <w:spacing w:after="0"/>
              <w:rPr>
                <w:sz w:val="20"/>
                <w:szCs w:val="20"/>
                <w:color w:val="auto"/>
              </w:rPr>
            </w:pPr>
            <w:r>
              <w:rPr>
                <w:rFonts w:ascii="Arial" w:cs="Arial" w:eastAsia="Arial" w:hAnsi="Arial"/>
                <w:sz w:val="18"/>
                <w:szCs w:val="18"/>
                <w:color w:val="auto"/>
              </w:rPr>
              <w:t>8,120</w:t>
            </w:r>
          </w:p>
        </w:tc>
        <w:tc>
          <w:tcPr>
            <w:tcW w:w="100" w:type="dxa"/>
            <w:vAlign w:val="bottom"/>
            <w:shd w:val="clear" w:color="auto" w:fill="CCEEFF"/>
          </w:tcPr>
          <w:p>
            <w:pPr>
              <w:spacing w:after="0"/>
              <w:rPr>
                <w:sz w:val="22"/>
                <w:szCs w:val="22"/>
                <w:color w:val="auto"/>
              </w:rPr>
            </w:pPr>
          </w:p>
        </w:tc>
        <w:tc>
          <w:tcPr>
            <w:tcW w:w="480" w:type="dxa"/>
            <w:vAlign w:val="bottom"/>
            <w:tcBorders>
              <w:bottom w:val="single" w:sz="8" w:color="auto"/>
            </w:tcBorders>
            <w:shd w:val="clear" w:color="auto" w:fill="CCEEFF"/>
          </w:tcPr>
          <w:p>
            <w:pPr>
              <w:spacing w:after="0"/>
              <w:rPr>
                <w:sz w:val="22"/>
                <w:szCs w:val="22"/>
                <w:color w:val="auto"/>
              </w:rPr>
            </w:pPr>
          </w:p>
        </w:tc>
        <w:tc>
          <w:tcPr>
            <w:tcW w:w="900" w:type="dxa"/>
            <w:vAlign w:val="bottom"/>
            <w:tcBorders>
              <w:bottom w:val="single" w:sz="8" w:color="auto"/>
            </w:tcBorders>
            <w:shd w:val="clear" w:color="auto" w:fill="CCEEFF"/>
          </w:tcPr>
          <w:p>
            <w:pPr>
              <w:jc w:val="right"/>
              <w:ind w:right="11"/>
              <w:spacing w:after="0"/>
              <w:rPr>
                <w:sz w:val="20"/>
                <w:szCs w:val="20"/>
                <w:color w:val="auto"/>
              </w:rPr>
            </w:pPr>
            <w:r>
              <w:rPr>
                <w:rFonts w:ascii="Arial" w:cs="Arial" w:eastAsia="Arial" w:hAnsi="Arial"/>
                <w:sz w:val="18"/>
                <w:szCs w:val="18"/>
                <w:color w:val="auto"/>
              </w:rPr>
              <w:t>8,901</w:t>
            </w:r>
          </w:p>
        </w:tc>
      </w:tr>
      <w:tr>
        <w:trPr>
          <w:trHeight w:val="257"/>
        </w:trPr>
        <w:tc>
          <w:tcPr>
            <w:tcW w:w="8560" w:type="dxa"/>
            <w:vAlign w:val="bottom"/>
          </w:tcPr>
          <w:p>
            <w:pPr>
              <w:ind w:left="40"/>
              <w:spacing w:after="0"/>
              <w:rPr>
                <w:sz w:val="20"/>
                <w:szCs w:val="20"/>
                <w:color w:val="auto"/>
              </w:rPr>
            </w:pPr>
            <w:r>
              <w:rPr>
                <w:rFonts w:ascii="Arial" w:cs="Arial" w:eastAsia="Arial" w:hAnsi="Arial"/>
                <w:sz w:val="18"/>
                <w:szCs w:val="18"/>
                <w:color w:val="auto"/>
              </w:rPr>
              <w:t>Deferred tax liabilities:</w:t>
            </w:r>
          </w:p>
        </w:tc>
        <w:tc>
          <w:tcPr>
            <w:tcW w:w="320" w:type="dxa"/>
            <w:vAlign w:val="bottom"/>
          </w:tcPr>
          <w:p>
            <w:pPr>
              <w:spacing w:after="0"/>
              <w:rPr>
                <w:sz w:val="22"/>
                <w:szCs w:val="22"/>
                <w:color w:val="auto"/>
              </w:rPr>
            </w:pPr>
          </w:p>
        </w:tc>
        <w:tc>
          <w:tcPr>
            <w:tcW w:w="106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480" w:type="dxa"/>
            <w:vAlign w:val="bottom"/>
          </w:tcPr>
          <w:p>
            <w:pPr>
              <w:spacing w:after="0"/>
              <w:rPr>
                <w:sz w:val="22"/>
                <w:szCs w:val="22"/>
                <w:color w:val="auto"/>
              </w:rPr>
            </w:pPr>
          </w:p>
        </w:tc>
        <w:tc>
          <w:tcPr>
            <w:tcW w:w="900" w:type="dxa"/>
            <w:vAlign w:val="bottom"/>
          </w:tcPr>
          <w:p>
            <w:pPr>
              <w:spacing w:after="0"/>
              <w:rPr>
                <w:sz w:val="22"/>
                <w:szCs w:val="22"/>
                <w:color w:val="auto"/>
              </w:rPr>
            </w:pPr>
          </w:p>
        </w:tc>
      </w:tr>
      <w:tr>
        <w:trPr>
          <w:trHeight w:val="277"/>
        </w:trPr>
        <w:tc>
          <w:tcPr>
            <w:tcW w:w="8560" w:type="dxa"/>
            <w:vAlign w:val="bottom"/>
            <w:shd w:val="clear" w:color="auto" w:fill="CCEEFF"/>
          </w:tcPr>
          <w:p>
            <w:pPr>
              <w:ind w:left="180"/>
              <w:spacing w:after="0"/>
              <w:rPr>
                <w:sz w:val="20"/>
                <w:szCs w:val="20"/>
                <w:color w:val="auto"/>
              </w:rPr>
            </w:pPr>
            <w:r>
              <w:rPr>
                <w:rFonts w:ascii="Arial" w:cs="Arial" w:eastAsia="Arial" w:hAnsi="Arial"/>
                <w:sz w:val="18"/>
                <w:szCs w:val="18"/>
                <w:color w:val="auto"/>
              </w:rPr>
              <w:t>Accelerated depreciation and amortization</w:t>
            </w:r>
          </w:p>
        </w:tc>
        <w:tc>
          <w:tcPr>
            <w:tcW w:w="320" w:type="dxa"/>
            <w:vAlign w:val="bottom"/>
            <w:shd w:val="clear" w:color="auto" w:fill="CCEEFF"/>
          </w:tcPr>
          <w:p>
            <w:pPr>
              <w:spacing w:after="0"/>
              <w:rPr>
                <w:sz w:val="24"/>
                <w:szCs w:val="24"/>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(5,153)</w:t>
            </w:r>
          </w:p>
        </w:tc>
        <w:tc>
          <w:tcPr>
            <w:tcW w:w="100" w:type="dxa"/>
            <w:vAlign w:val="bottom"/>
            <w:shd w:val="clear" w:color="auto" w:fill="CCEEFF"/>
          </w:tcPr>
          <w:p>
            <w:pPr>
              <w:spacing w:after="0"/>
              <w:rPr>
                <w:sz w:val="24"/>
                <w:szCs w:val="24"/>
                <w:color w:val="auto"/>
              </w:rPr>
            </w:pPr>
          </w:p>
        </w:tc>
        <w:tc>
          <w:tcPr>
            <w:tcW w:w="480" w:type="dxa"/>
            <w:vAlign w:val="bottom"/>
            <w:shd w:val="clear" w:color="auto" w:fill="CCEEFF"/>
          </w:tcPr>
          <w:p>
            <w:pPr>
              <w:spacing w:after="0"/>
              <w:rPr>
                <w:sz w:val="24"/>
                <w:szCs w:val="24"/>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(5,243)</w:t>
            </w:r>
          </w:p>
        </w:tc>
      </w:tr>
      <w:tr>
        <w:trPr>
          <w:trHeight w:val="263"/>
        </w:trPr>
        <w:tc>
          <w:tcPr>
            <w:tcW w:w="8560" w:type="dxa"/>
            <w:vAlign w:val="bottom"/>
          </w:tcPr>
          <w:p>
            <w:pPr>
              <w:ind w:left="180"/>
              <w:spacing w:after="0"/>
              <w:rPr>
                <w:sz w:val="20"/>
                <w:szCs w:val="20"/>
                <w:color w:val="auto"/>
              </w:rPr>
            </w:pPr>
            <w:r>
              <w:rPr>
                <w:rFonts w:ascii="Arial" w:cs="Arial" w:eastAsia="Arial" w:hAnsi="Arial"/>
                <w:sz w:val="18"/>
                <w:szCs w:val="18"/>
                <w:color w:val="auto"/>
              </w:rPr>
              <w:t>Leases</w:t>
            </w:r>
          </w:p>
        </w:tc>
        <w:tc>
          <w:tcPr>
            <w:tcW w:w="320" w:type="dxa"/>
            <w:vAlign w:val="bottom"/>
          </w:tcPr>
          <w:p>
            <w:pPr>
              <w:spacing w:after="0"/>
              <w:rPr>
                <w:sz w:val="22"/>
                <w:szCs w:val="22"/>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(1,968)</w:t>
            </w:r>
          </w:p>
        </w:tc>
        <w:tc>
          <w:tcPr>
            <w:tcW w:w="100" w:type="dxa"/>
            <w:vAlign w:val="bottom"/>
          </w:tcPr>
          <w:p>
            <w:pPr>
              <w:spacing w:after="0"/>
              <w:rPr>
                <w:sz w:val="22"/>
                <w:szCs w:val="22"/>
                <w:color w:val="auto"/>
              </w:rPr>
            </w:pPr>
          </w:p>
        </w:tc>
        <w:tc>
          <w:tcPr>
            <w:tcW w:w="480" w:type="dxa"/>
            <w:vAlign w:val="bottom"/>
          </w:tcPr>
          <w:p>
            <w:pPr>
              <w:spacing w:after="0"/>
              <w:rPr>
                <w:sz w:val="22"/>
                <w:szCs w:val="22"/>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(2,068)</w:t>
            </w:r>
          </w:p>
        </w:tc>
      </w:tr>
      <w:tr>
        <w:trPr>
          <w:trHeight w:val="277"/>
        </w:trPr>
        <w:tc>
          <w:tcPr>
            <w:tcW w:w="8560" w:type="dxa"/>
            <w:vAlign w:val="bottom"/>
            <w:shd w:val="clear" w:color="auto" w:fill="CCEEFF"/>
          </w:tcPr>
          <w:p>
            <w:pPr>
              <w:ind w:left="180"/>
              <w:spacing w:after="0"/>
              <w:rPr>
                <w:sz w:val="20"/>
                <w:szCs w:val="20"/>
                <w:color w:val="auto"/>
              </w:rPr>
            </w:pPr>
            <w:r>
              <w:rPr>
                <w:rFonts w:ascii="Arial" w:cs="Arial" w:eastAsia="Arial" w:hAnsi="Arial"/>
                <w:sz w:val="18"/>
                <w:szCs w:val="18"/>
                <w:color w:val="auto"/>
              </w:rPr>
              <w:t>Other</w:t>
            </w:r>
          </w:p>
        </w:tc>
        <w:tc>
          <w:tcPr>
            <w:tcW w:w="320" w:type="dxa"/>
            <w:vAlign w:val="bottom"/>
            <w:tcBorders>
              <w:bottom w:val="single" w:sz="8" w:color="auto"/>
            </w:tcBorders>
            <w:shd w:val="clear" w:color="auto" w:fill="CCEEFF"/>
          </w:tcPr>
          <w:p>
            <w:pPr>
              <w:spacing w:after="0"/>
              <w:rPr>
                <w:sz w:val="24"/>
                <w:szCs w:val="24"/>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(340)</w:t>
            </w:r>
          </w:p>
        </w:tc>
        <w:tc>
          <w:tcPr>
            <w:tcW w:w="100" w:type="dxa"/>
            <w:vAlign w:val="bottom"/>
            <w:shd w:val="clear" w:color="auto" w:fill="CCEEFF"/>
          </w:tcPr>
          <w:p>
            <w:pPr>
              <w:spacing w:after="0"/>
              <w:rPr>
                <w:sz w:val="24"/>
                <w:szCs w:val="24"/>
                <w:color w:val="auto"/>
              </w:rPr>
            </w:pPr>
          </w:p>
        </w:tc>
        <w:tc>
          <w:tcPr>
            <w:tcW w:w="480" w:type="dxa"/>
            <w:vAlign w:val="bottom"/>
            <w:tcBorders>
              <w:bottom w:val="single" w:sz="8" w:color="auto"/>
            </w:tcBorders>
            <w:shd w:val="clear" w:color="auto" w:fill="CCEEFF"/>
          </w:tcPr>
          <w:p>
            <w:pPr>
              <w:spacing w:after="0"/>
              <w:rPr>
                <w:sz w:val="24"/>
                <w:szCs w:val="24"/>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(321)</w:t>
            </w:r>
          </w:p>
        </w:tc>
      </w:tr>
      <w:tr>
        <w:trPr>
          <w:trHeight w:val="244"/>
        </w:trPr>
        <w:tc>
          <w:tcPr>
            <w:tcW w:w="8560" w:type="dxa"/>
            <w:vAlign w:val="bottom"/>
            <w:tcBorders>
              <w:bottom w:val="single" w:sz="8" w:color="CCEEFF"/>
            </w:tcBorders>
          </w:tcPr>
          <w:p>
            <w:pPr>
              <w:ind w:left="380"/>
              <w:spacing w:after="0"/>
              <w:rPr>
                <w:sz w:val="20"/>
                <w:szCs w:val="20"/>
                <w:color w:val="auto"/>
              </w:rPr>
            </w:pPr>
            <w:r>
              <w:rPr>
                <w:rFonts w:ascii="Arial" w:cs="Arial" w:eastAsia="Arial" w:hAnsi="Arial"/>
                <w:sz w:val="18"/>
                <w:szCs w:val="18"/>
                <w:color w:val="auto"/>
              </w:rPr>
              <w:t>Total deferred tax liabilities</w:t>
            </w:r>
          </w:p>
        </w:tc>
        <w:tc>
          <w:tcPr>
            <w:tcW w:w="320" w:type="dxa"/>
            <w:vAlign w:val="bottom"/>
            <w:tcBorders>
              <w:bottom w:val="single" w:sz="8" w:color="auto"/>
            </w:tcBorders>
          </w:tcPr>
          <w:p>
            <w:pPr>
              <w:spacing w:after="0"/>
              <w:rPr>
                <w:sz w:val="21"/>
                <w:szCs w:val="21"/>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(7,461)</w:t>
            </w:r>
          </w:p>
        </w:tc>
        <w:tc>
          <w:tcPr>
            <w:tcW w:w="100" w:type="dxa"/>
            <w:vAlign w:val="bottom"/>
            <w:tcBorders>
              <w:bottom w:val="single" w:sz="8" w:color="CCEEFF"/>
            </w:tcBorders>
          </w:tcPr>
          <w:p>
            <w:pPr>
              <w:spacing w:after="0"/>
              <w:rPr>
                <w:sz w:val="21"/>
                <w:szCs w:val="21"/>
                <w:color w:val="auto"/>
              </w:rPr>
            </w:pPr>
          </w:p>
        </w:tc>
        <w:tc>
          <w:tcPr>
            <w:tcW w:w="480" w:type="dxa"/>
            <w:vAlign w:val="bottom"/>
            <w:tcBorders>
              <w:bottom w:val="single" w:sz="8" w:color="auto"/>
            </w:tcBorders>
          </w:tcPr>
          <w:p>
            <w:pPr>
              <w:spacing w:after="0"/>
              <w:rPr>
                <w:sz w:val="21"/>
                <w:szCs w:val="21"/>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(7,632)</w:t>
            </w:r>
          </w:p>
        </w:tc>
      </w:tr>
      <w:tr>
        <w:trPr>
          <w:trHeight w:val="250"/>
        </w:trPr>
        <w:tc>
          <w:tcPr>
            <w:tcW w:w="85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Net deferred tax asset</w:t>
            </w:r>
          </w:p>
        </w:tc>
        <w:tc>
          <w:tcPr>
            <w:tcW w:w="320" w:type="dxa"/>
            <w:vAlign w:val="bottom"/>
            <w:tcBorders>
              <w:bottom w:val="single" w:sz="8" w:color="auto"/>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060" w:type="dxa"/>
            <w:vAlign w:val="bottom"/>
            <w:tcBorders>
              <w:bottom w:val="single" w:sz="8" w:color="auto"/>
            </w:tcBorders>
            <w:shd w:val="clear" w:color="auto" w:fill="CCEEFF"/>
          </w:tcPr>
          <w:p>
            <w:pPr>
              <w:jc w:val="right"/>
              <w:ind w:right="32"/>
              <w:spacing w:after="0"/>
              <w:rPr>
                <w:sz w:val="20"/>
                <w:szCs w:val="20"/>
                <w:color w:val="auto"/>
              </w:rPr>
            </w:pPr>
            <w:r>
              <w:rPr>
                <w:rFonts w:ascii="Arial" w:cs="Arial" w:eastAsia="Arial" w:hAnsi="Arial"/>
                <w:sz w:val="18"/>
                <w:szCs w:val="18"/>
                <w:color w:val="auto"/>
              </w:rPr>
              <w:t>659</w:t>
            </w:r>
          </w:p>
        </w:tc>
        <w:tc>
          <w:tcPr>
            <w:tcW w:w="100" w:type="dxa"/>
            <w:vAlign w:val="bottom"/>
            <w:tcBorders>
              <w:bottom w:val="single" w:sz="8" w:color="CCEEFF"/>
            </w:tcBorders>
            <w:shd w:val="clear" w:color="auto" w:fill="CCEEFF"/>
          </w:tcPr>
          <w:p>
            <w:pPr>
              <w:spacing w:after="0"/>
              <w:rPr>
                <w:sz w:val="21"/>
                <w:szCs w:val="21"/>
                <w:color w:val="auto"/>
              </w:rPr>
            </w:pPr>
          </w:p>
        </w:tc>
        <w:tc>
          <w:tcPr>
            <w:tcW w:w="480" w:type="dxa"/>
            <w:vAlign w:val="bottom"/>
            <w:tcBorders>
              <w:bottom w:val="single" w:sz="8" w:color="auto"/>
            </w:tcBorders>
            <w:shd w:val="clear" w:color="auto" w:fill="CCEEFF"/>
          </w:tcPr>
          <w:p>
            <w:pPr>
              <w:jc w:val="right"/>
              <w:ind w:right="270"/>
              <w:spacing w:after="0"/>
              <w:rPr>
                <w:sz w:val="20"/>
                <w:szCs w:val="20"/>
                <w:color w:val="auto"/>
              </w:rPr>
            </w:pPr>
            <w:r>
              <w:rPr>
                <w:rFonts w:ascii="Arial" w:cs="Arial" w:eastAsia="Arial" w:hAnsi="Arial"/>
                <w:sz w:val="18"/>
                <w:szCs w:val="18"/>
                <w:color w:val="auto"/>
                <w:w w:val="99"/>
              </w:rPr>
              <w:t>$</w:t>
            </w:r>
          </w:p>
        </w:tc>
        <w:tc>
          <w:tcPr>
            <w:tcW w:w="900" w:type="dxa"/>
            <w:vAlign w:val="bottom"/>
            <w:tcBorders>
              <w:bottom w:val="single" w:sz="8" w:color="auto"/>
            </w:tcBorders>
            <w:shd w:val="clear" w:color="auto" w:fill="CCEEFF"/>
          </w:tcPr>
          <w:p>
            <w:pPr>
              <w:jc w:val="right"/>
              <w:ind w:right="11"/>
              <w:spacing w:after="0"/>
              <w:rPr>
                <w:sz w:val="20"/>
                <w:szCs w:val="20"/>
                <w:color w:val="auto"/>
              </w:rPr>
            </w:pPr>
            <w:r>
              <w:rPr>
                <w:rFonts w:ascii="Arial" w:cs="Arial" w:eastAsia="Arial" w:hAnsi="Arial"/>
                <w:sz w:val="18"/>
                <w:szCs w:val="18"/>
                <w:color w:val="auto"/>
              </w:rPr>
              <w:t>1,269</w:t>
            </w:r>
          </w:p>
        </w:tc>
      </w:tr>
      <w:tr>
        <w:trPr>
          <w:trHeight w:val="20"/>
        </w:trPr>
        <w:tc>
          <w:tcPr>
            <w:tcW w:w="856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r>
    </w:tbl>
    <w:p>
      <w:pPr>
        <w:spacing w:after="0" w:line="377" w:lineRule="exact"/>
        <w:rPr>
          <w:sz w:val="20"/>
          <w:szCs w:val="20"/>
          <w:color w:val="auto"/>
        </w:rPr>
      </w:pPr>
    </w:p>
    <w:p>
      <w:pPr>
        <w:jc w:val="both"/>
        <w:ind w:firstLine="216"/>
        <w:spacing w:after="0" w:line="251" w:lineRule="auto"/>
        <w:rPr>
          <w:sz w:val="20"/>
          <w:szCs w:val="20"/>
          <w:color w:val="auto"/>
        </w:rPr>
      </w:pPr>
      <w:r>
        <w:rPr>
          <w:rFonts w:ascii="Arial" w:cs="Arial" w:eastAsia="Arial" w:hAnsi="Arial"/>
          <w:sz w:val="18"/>
          <w:szCs w:val="18"/>
          <w:color w:val="auto"/>
        </w:rPr>
        <w:t>At December 31, 2019, American had approximately $9.2 billion of federal NOLs carried over from prior taxable years (NOL Carryforwards) to reduce future federal taxable income, substantially all of which American expects to be available for use in 2020. American is a member of AAG’s consolidated federal and certain state income tax returns. The amount of federal NOL Carryforwards available in those returns is $9.1 billion, substantially all of which is expected to be available for use in 2020. The federal NOL Carryforwards will expire beginning in 2023 if unused. American also had approximately $ 2.9 billion of NOL Carryforwards to reduce future state taxable income at December 31, 2019, which will expire in years 2020 through 2039 if unused. American’s ability to deduct its NOL Carryforwards and to utilize certain other available tax attributes can be substantially constrained under the general annual limitation rules of Section 382 where an “ownership change” has occurred. Substantially all of American’s remaining federal NOL Carryforwards attributable to US Airways Group are subject to limitation under Section 382; however, American’s ability to utilize such NOL Carryforwards is not anticipated to be effectively constrained as a result of such limitation. American elected to be covered by certain special rules for federal income tax purposes that permitted approximately $9.5 billion (with $7.2 billion of unlimited NOL still remaining at December 31, 2019) of its federal NOL Carryforwards to be utilized without regard to the annual limitation generally imposed by Section 382. Similar limitations may apply for state income tax purposes. American’s ability to utilize any new NOL Carryforwards arising after the ownership changes is not affected by the annual limitation rules imposed by Section 382 unless another future ownership change occurs. Under the Section 382 limitation, cumulative stock ownership changes among material stockholders exceeding 50% during a rolling three-year period can potentially limit a company’s future use of NOLs and tax credits.</w:t>
      </w:r>
    </w:p>
    <w:p>
      <w:pPr>
        <w:spacing w:after="0" w:line="156" w:lineRule="exact"/>
        <w:rPr>
          <w:sz w:val="20"/>
          <w:szCs w:val="20"/>
          <w:color w:val="auto"/>
        </w:rPr>
      </w:pPr>
    </w:p>
    <w:p>
      <w:pPr>
        <w:jc w:val="both"/>
        <w:ind w:right="20" w:firstLine="216"/>
        <w:spacing w:after="0" w:line="256" w:lineRule="auto"/>
        <w:rPr>
          <w:sz w:val="20"/>
          <w:szCs w:val="20"/>
          <w:color w:val="auto"/>
        </w:rPr>
      </w:pPr>
      <w:r>
        <w:rPr>
          <w:rFonts w:ascii="Arial" w:cs="Arial" w:eastAsia="Arial" w:hAnsi="Arial"/>
          <w:sz w:val="18"/>
          <w:szCs w:val="18"/>
          <w:color w:val="auto"/>
        </w:rPr>
        <w:t>At December 31, 2019, American had an AMT credit carryforward of approximately $226 million available for federal income tax purposes, which is presently expected to be fully refundable over the next several years as a result of the repeal of corporate AMT as part of the 2017 Tax Act.</w:t>
      </w:r>
    </w:p>
    <w:p>
      <w:pPr>
        <w:sectPr>
          <w:pgSz w:w="11900" w:h="16838" w:orient="portrait"/>
          <w:cols w:equalWidth="0" w:num="1">
            <w:col w:w="11420"/>
          </w:cols>
          <w:pgMar w:left="240" w:top="549" w:right="239" w:bottom="1440" w:gutter="0" w:footer="0" w:header="0"/>
        </w:sectPr>
      </w:pPr>
    </w:p>
    <w:p>
      <w:pPr>
        <w:spacing w:after="0" w:line="202"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138</w:t>
      </w:r>
    </w:p>
    <w:p>
      <w:pPr>
        <w:sectPr>
          <w:pgSz w:w="11900" w:h="16838" w:orient="portrait"/>
          <w:cols w:equalWidth="0" w:num="1">
            <w:col w:w="11420"/>
          </w:cols>
          <w:pgMar w:left="240" w:top="549" w:right="239" w:bottom="1440" w:gutter="0" w:footer="0" w:header="0"/>
          <w:type w:val="continuous"/>
        </w:sectPr>
      </w:pPr>
    </w:p>
    <w:bookmarkStart w:id="138" w:name="page139"/>
    <w:bookmarkEnd w:id="138"/>
    <w:p>
      <w:pPr>
        <w:jc w:val="center"/>
        <w:spacing w:after="0"/>
        <w:rPr>
          <w:sz w:val="20"/>
          <w:szCs w:val="20"/>
          <w:color w:val="auto"/>
        </w:rPr>
      </w:pPr>
      <w:r>
        <w:rPr>
          <w:rFonts w:ascii="Arial" w:cs="Arial" w:eastAsia="Arial" w:hAnsi="Arial"/>
          <w:sz w:val="18"/>
          <w:szCs w:val="18"/>
          <w:b w:val="1"/>
          <w:bCs w:val="1"/>
          <w:color w:val="auto"/>
        </w:rPr>
        <w:t>NOTES TO CONSOLIDATED FINANCIAL STATEMENTS OF AMERICAN AIRLINES, INC.</w:t>
      </w:r>
    </w:p>
    <w:p>
      <w:pPr>
        <w:spacing w:after="0" w:line="200" w:lineRule="exact"/>
        <w:rPr>
          <w:sz w:val="20"/>
          <w:szCs w:val="20"/>
          <w:color w:val="auto"/>
        </w:rPr>
      </w:pPr>
    </w:p>
    <w:p>
      <w:pPr>
        <w:spacing w:after="0" w:line="209" w:lineRule="exact"/>
        <w:rPr>
          <w:sz w:val="20"/>
          <w:szCs w:val="20"/>
          <w:color w:val="auto"/>
        </w:rPr>
      </w:pPr>
    </w:p>
    <w:p>
      <w:pPr>
        <w:jc w:val="both"/>
        <w:ind w:firstLine="216"/>
        <w:spacing w:after="0" w:line="256" w:lineRule="auto"/>
        <w:rPr>
          <w:sz w:val="20"/>
          <w:szCs w:val="20"/>
          <w:color w:val="auto"/>
        </w:rPr>
      </w:pPr>
      <w:r>
        <w:rPr>
          <w:rFonts w:ascii="Arial" w:cs="Arial" w:eastAsia="Arial" w:hAnsi="Arial"/>
          <w:sz w:val="18"/>
          <w:szCs w:val="18"/>
          <w:color w:val="auto"/>
        </w:rPr>
        <w:t>In 2019, American recorded an income tax provision of $633 million, with an effective rate of approximately 24%, which was substantially non-cash as American utilized its NOLs as described above. Substantially all of American’s income before income taxes is attributable to the United States.</w:t>
      </w:r>
    </w:p>
    <w:p>
      <w:pPr>
        <w:spacing w:after="0" w:line="148" w:lineRule="exact"/>
        <w:rPr>
          <w:sz w:val="20"/>
          <w:szCs w:val="20"/>
          <w:color w:val="auto"/>
        </w:rPr>
      </w:pPr>
    </w:p>
    <w:p>
      <w:pPr>
        <w:jc w:val="both"/>
        <w:ind w:firstLine="216"/>
        <w:spacing w:after="0" w:line="253" w:lineRule="auto"/>
        <w:rPr>
          <w:sz w:val="20"/>
          <w:szCs w:val="20"/>
          <w:color w:val="auto"/>
        </w:rPr>
      </w:pPr>
      <w:r>
        <w:rPr>
          <w:rFonts w:ascii="Arial" w:cs="Arial" w:eastAsia="Arial" w:hAnsi="Arial"/>
          <w:sz w:val="18"/>
          <w:szCs w:val="18"/>
          <w:color w:val="auto"/>
        </w:rPr>
        <w:t>American is part of the AAG consolidated income tax return. American files its tax returns as prescribed by the tax laws of the jurisdictions in which it operates. American’s 2016 through 2018 tax years are still subject to examination by the Internal Revenue Service. Various state and foreign jurisdiction tax years remain open to examination and American is under examination, in administrative appeals, or engaged in tax litigation in certain jurisdictions. American believes that the effect of any assessments will not be material to its consolidated financial statements.</w:t>
      </w:r>
    </w:p>
    <w:p>
      <w:pPr>
        <w:spacing w:after="0" w:line="152" w:lineRule="exact"/>
        <w:rPr>
          <w:sz w:val="20"/>
          <w:szCs w:val="20"/>
          <w:color w:val="auto"/>
        </w:rPr>
      </w:pPr>
    </w:p>
    <w:p>
      <w:pPr>
        <w:jc w:val="both"/>
        <w:ind w:firstLine="216"/>
        <w:spacing w:after="0" w:line="262" w:lineRule="auto"/>
        <w:rPr>
          <w:sz w:val="20"/>
          <w:szCs w:val="20"/>
          <w:color w:val="auto"/>
        </w:rPr>
      </w:pPr>
      <w:r>
        <w:rPr>
          <w:rFonts w:ascii="Arial" w:cs="Arial" w:eastAsia="Arial" w:hAnsi="Arial"/>
          <w:sz w:val="18"/>
          <w:szCs w:val="18"/>
          <w:color w:val="auto"/>
        </w:rPr>
        <w:t>The amount of, and changes to, American’s uncertain tax positions were not material in any of the years presented. American accrues interest and penalties related to unrecognized tax benefits in interest expense and operating expense, respectively.</w:t>
      </w:r>
    </w:p>
    <w:p>
      <w:pPr>
        <w:spacing w:after="0" w:line="142" w:lineRule="exact"/>
        <w:rPr>
          <w:sz w:val="20"/>
          <w:szCs w:val="20"/>
          <w:color w:val="auto"/>
        </w:rPr>
      </w:pPr>
    </w:p>
    <w:p>
      <w:pPr>
        <w:jc w:val="both"/>
        <w:ind w:firstLine="216"/>
        <w:spacing w:after="0" w:line="253" w:lineRule="auto"/>
        <w:rPr>
          <w:sz w:val="20"/>
          <w:szCs w:val="20"/>
          <w:color w:val="auto"/>
        </w:rPr>
      </w:pPr>
      <w:r>
        <w:rPr>
          <w:rFonts w:ascii="Arial" w:cs="Arial" w:eastAsia="Arial" w:hAnsi="Arial"/>
          <w:sz w:val="18"/>
          <w:szCs w:val="18"/>
          <w:color w:val="auto"/>
        </w:rPr>
        <w:t>The 2017 Tax Act was enacted on December 22, 2017 and is the most comprehensive tax change in more than 30 years. American completed its evaluation of the 2017 Tax Act and American reflected the impact of its effects, including the impact of a lower corporate income tax rate (21% vs. 35%) on its deferred tax assets and liabilities and the one-time transition tax on earnings of certain foreign subsidiaries that were previously tax deferred. For the year ended December 31 2017, American recognized a special income tax provision of $924 million to reflect these impacts of the 2017 Tax Act.</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6. Risk Management</w:t>
      </w:r>
    </w:p>
    <w:p>
      <w:pPr>
        <w:spacing w:after="0" w:line="112" w:lineRule="exact"/>
        <w:rPr>
          <w:sz w:val="20"/>
          <w:szCs w:val="20"/>
          <w:color w:val="auto"/>
        </w:rPr>
      </w:pPr>
    </w:p>
    <w:p>
      <w:pPr>
        <w:ind w:left="220"/>
        <w:spacing w:after="0"/>
        <w:rPr>
          <w:sz w:val="20"/>
          <w:szCs w:val="20"/>
          <w:color w:val="auto"/>
        </w:rPr>
      </w:pPr>
      <w:r>
        <w:rPr>
          <w:rFonts w:ascii="Arial" w:cs="Arial" w:eastAsia="Arial" w:hAnsi="Arial"/>
          <w:sz w:val="18"/>
          <w:szCs w:val="18"/>
          <w:color w:val="auto"/>
        </w:rPr>
        <w:t>American’s economic prospects are heavily dependent upon two variables it cannot control: the health of the economy and the price of fuel.</w:t>
      </w:r>
    </w:p>
    <w:p>
      <w:pPr>
        <w:spacing w:after="0" w:line="171" w:lineRule="exact"/>
        <w:rPr>
          <w:sz w:val="20"/>
          <w:szCs w:val="20"/>
          <w:color w:val="auto"/>
        </w:rPr>
      </w:pPr>
    </w:p>
    <w:p>
      <w:pPr>
        <w:jc w:val="both"/>
        <w:ind w:firstLine="216"/>
        <w:spacing w:after="0" w:line="252" w:lineRule="auto"/>
        <w:rPr>
          <w:sz w:val="20"/>
          <w:szCs w:val="20"/>
          <w:color w:val="auto"/>
        </w:rPr>
      </w:pPr>
      <w:r>
        <w:rPr>
          <w:rFonts w:ascii="Arial" w:cs="Arial" w:eastAsia="Arial" w:hAnsi="Arial"/>
          <w:sz w:val="18"/>
          <w:szCs w:val="18"/>
          <w:color w:val="auto"/>
        </w:rPr>
        <w:t>Due to the discretionary nature of business and leisure travel spending and the highly competitive nature of the airline industry, American’s revenues are heavily influenced by the condition of the U.S. economy and economies in other regions of the world. Unfavorable conditions in these broader economies have resulted, and may result in the future, in decreased passenger demand for air travel, changes in booking practices and related reactions by American’s competitors, all of which in turn have had, and may have in the future, a negative effect on American’s business. In addition, during challenging economic times, actions by its competitors to increase their revenues can have an adverse impact on American’s revenues.</w:t>
      </w:r>
    </w:p>
    <w:p>
      <w:pPr>
        <w:spacing w:after="0" w:line="155" w:lineRule="exact"/>
        <w:rPr>
          <w:sz w:val="20"/>
          <w:szCs w:val="20"/>
          <w:color w:val="auto"/>
        </w:rPr>
      </w:pPr>
    </w:p>
    <w:p>
      <w:pPr>
        <w:jc w:val="both"/>
        <w:ind w:firstLine="216"/>
        <w:spacing w:after="0" w:line="254" w:lineRule="auto"/>
        <w:rPr>
          <w:sz w:val="20"/>
          <w:szCs w:val="20"/>
          <w:color w:val="auto"/>
        </w:rPr>
      </w:pPr>
      <w:r>
        <w:rPr>
          <w:rFonts w:ascii="Arial" w:cs="Arial" w:eastAsia="Arial" w:hAnsi="Arial"/>
          <w:sz w:val="18"/>
          <w:szCs w:val="18"/>
          <w:color w:val="auto"/>
        </w:rPr>
        <w:t>American’s operating results are materially impacted by changes in the availability, price volatility and cost of aircraft fuel, which represents one of the largest single cost items in American’s business. Aircraft fuel prices have in the past, and may in the future, experience substantial volatility. Because of the amount of fuel needed to operate American’s business, even a relatively small increase or decrease in the price of aircraft fuel can have a material effect on American’s operating results and liquidity.</w:t>
      </w:r>
    </w:p>
    <w:p>
      <w:pPr>
        <w:spacing w:after="0" w:line="150" w:lineRule="exact"/>
        <w:rPr>
          <w:sz w:val="20"/>
          <w:szCs w:val="20"/>
          <w:color w:val="auto"/>
        </w:rPr>
      </w:pPr>
    </w:p>
    <w:p>
      <w:pPr>
        <w:ind w:left="220"/>
        <w:spacing w:after="0"/>
        <w:rPr>
          <w:sz w:val="20"/>
          <w:szCs w:val="20"/>
          <w:color w:val="auto"/>
        </w:rPr>
      </w:pPr>
      <w:r>
        <w:rPr>
          <w:rFonts w:ascii="Arial" w:cs="Arial" w:eastAsia="Arial" w:hAnsi="Arial"/>
          <w:sz w:val="18"/>
          <w:szCs w:val="18"/>
          <w:color w:val="auto"/>
        </w:rPr>
        <w:t>These additional factors could impact American’s results of operations, financial performance and liquidity:</w:t>
      </w:r>
    </w:p>
    <w:p>
      <w:pPr>
        <w:spacing w:after="0" w:line="230" w:lineRule="exact"/>
        <w:rPr>
          <w:sz w:val="20"/>
          <w:szCs w:val="20"/>
          <w:color w:val="auto"/>
        </w:rPr>
      </w:pPr>
    </w:p>
    <w:p>
      <w:pPr>
        <w:ind w:left="220"/>
        <w:spacing w:after="0"/>
        <w:rPr>
          <w:sz w:val="20"/>
          <w:szCs w:val="20"/>
          <w:color w:val="auto"/>
        </w:rPr>
      </w:pPr>
      <w:r>
        <w:rPr>
          <w:rFonts w:ascii="Arial" w:cs="Arial" w:eastAsia="Arial" w:hAnsi="Arial"/>
          <w:sz w:val="18"/>
          <w:szCs w:val="18"/>
          <w:b w:val="1"/>
          <w:bCs w:val="1"/>
          <w:i w:val="1"/>
          <w:iCs w:val="1"/>
          <w:color w:val="auto"/>
        </w:rPr>
        <w:t>(a) Credit Risk</w:t>
      </w:r>
    </w:p>
    <w:p>
      <w:pPr>
        <w:spacing w:after="0" w:line="112" w:lineRule="exact"/>
        <w:rPr>
          <w:sz w:val="20"/>
          <w:szCs w:val="20"/>
          <w:color w:val="auto"/>
        </w:rPr>
      </w:pPr>
    </w:p>
    <w:p>
      <w:pPr>
        <w:jc w:val="both"/>
        <w:ind w:firstLine="216"/>
        <w:spacing w:after="0" w:line="254" w:lineRule="auto"/>
        <w:rPr>
          <w:sz w:val="20"/>
          <w:szCs w:val="20"/>
          <w:color w:val="auto"/>
        </w:rPr>
      </w:pPr>
      <w:r>
        <w:rPr>
          <w:rFonts w:ascii="Arial" w:cs="Arial" w:eastAsia="Arial" w:hAnsi="Arial"/>
          <w:sz w:val="18"/>
          <w:szCs w:val="18"/>
          <w:color w:val="auto"/>
        </w:rPr>
        <w:t>Most of American’s receivables relate to tickets sold to individual passengers through the use of major credit cards or to tickets sold by other airlines and used by passengers on American. These receivables are short-term, mostly settled within seven days after sale. Bad debt losses, which have been minimal in the past, have been considered in establishing allowances for doubtful accounts. American does not believe it is subject to any significant concentration of credit risk.</w:t>
      </w:r>
    </w:p>
    <w:p>
      <w:pPr>
        <w:spacing w:after="0" w:line="209" w:lineRule="exact"/>
        <w:rPr>
          <w:sz w:val="20"/>
          <w:szCs w:val="20"/>
          <w:color w:val="auto"/>
        </w:rPr>
      </w:pPr>
    </w:p>
    <w:p>
      <w:pPr>
        <w:ind w:left="220"/>
        <w:spacing w:after="0"/>
        <w:rPr>
          <w:sz w:val="20"/>
          <w:szCs w:val="20"/>
          <w:color w:val="auto"/>
        </w:rPr>
      </w:pPr>
      <w:r>
        <w:rPr>
          <w:rFonts w:ascii="Arial" w:cs="Arial" w:eastAsia="Arial" w:hAnsi="Arial"/>
          <w:sz w:val="18"/>
          <w:szCs w:val="18"/>
          <w:b w:val="1"/>
          <w:bCs w:val="1"/>
          <w:i w:val="1"/>
          <w:iCs w:val="1"/>
          <w:color w:val="auto"/>
        </w:rPr>
        <w:t>(b) Interest Rate Risk</w:t>
      </w:r>
    </w:p>
    <w:p>
      <w:pPr>
        <w:spacing w:after="0" w:line="112" w:lineRule="exact"/>
        <w:rPr>
          <w:sz w:val="20"/>
          <w:szCs w:val="20"/>
          <w:color w:val="auto"/>
        </w:rPr>
      </w:pPr>
    </w:p>
    <w:p>
      <w:pPr>
        <w:jc w:val="both"/>
        <w:ind w:firstLine="216"/>
        <w:spacing w:after="0" w:line="254" w:lineRule="auto"/>
        <w:rPr>
          <w:sz w:val="20"/>
          <w:szCs w:val="20"/>
          <w:color w:val="auto"/>
        </w:rPr>
      </w:pPr>
      <w:r>
        <w:rPr>
          <w:rFonts w:ascii="Arial" w:cs="Arial" w:eastAsia="Arial" w:hAnsi="Arial"/>
          <w:sz w:val="18"/>
          <w:szCs w:val="18"/>
          <w:color w:val="auto"/>
        </w:rPr>
        <w:t>American has exposure to market risk associated with changes in interest rates related primarily to its variable-rate debt obligations. Interest rates on $9.6 billion principal amount of long-term debt as of December 31, 2019 are subject to adjustment to reflect changes in floating interest rates. The weighted average effective interest rate on American’s variable-rate debt was 3.6% at December 31, 2019. American currently does not have an interest rate hedge program to hedge its exposure to floating interest rates on its variable-rate debt obligations.</w:t>
      </w:r>
    </w:p>
    <w:p>
      <w:pPr>
        <w:spacing w:after="0" w:line="209" w:lineRule="exact"/>
        <w:rPr>
          <w:sz w:val="20"/>
          <w:szCs w:val="20"/>
          <w:color w:val="auto"/>
        </w:rPr>
      </w:pPr>
    </w:p>
    <w:p>
      <w:pPr>
        <w:ind w:left="220"/>
        <w:spacing w:after="0"/>
        <w:rPr>
          <w:sz w:val="20"/>
          <w:szCs w:val="20"/>
          <w:color w:val="auto"/>
        </w:rPr>
      </w:pPr>
      <w:r>
        <w:rPr>
          <w:rFonts w:ascii="Arial" w:cs="Arial" w:eastAsia="Arial" w:hAnsi="Arial"/>
          <w:sz w:val="18"/>
          <w:szCs w:val="18"/>
          <w:b w:val="1"/>
          <w:bCs w:val="1"/>
          <w:i w:val="1"/>
          <w:iCs w:val="1"/>
          <w:color w:val="auto"/>
        </w:rPr>
        <w:t>(c) Foreign Currency Risk</w:t>
      </w:r>
    </w:p>
    <w:p>
      <w:pPr>
        <w:spacing w:after="0" w:line="112" w:lineRule="exact"/>
        <w:rPr>
          <w:sz w:val="20"/>
          <w:szCs w:val="20"/>
          <w:color w:val="auto"/>
        </w:rPr>
      </w:pPr>
    </w:p>
    <w:p>
      <w:pPr>
        <w:jc w:val="both"/>
        <w:ind w:firstLine="216"/>
        <w:spacing w:after="0" w:line="256" w:lineRule="auto"/>
        <w:rPr>
          <w:sz w:val="20"/>
          <w:szCs w:val="20"/>
          <w:color w:val="auto"/>
        </w:rPr>
      </w:pPr>
      <w:r>
        <w:rPr>
          <w:rFonts w:ascii="Arial" w:cs="Arial" w:eastAsia="Arial" w:hAnsi="Arial"/>
          <w:sz w:val="18"/>
          <w:szCs w:val="18"/>
          <w:color w:val="auto"/>
        </w:rPr>
        <w:t>American is exposed to the effect of foreign exchange rate fluctuations on the U.S. dollar value of foreign currency-denominated transactions. American’s largest exposure comes from the British pound, Euro, Canadian dollar and various Latin American currencies, primarily the Brazilian real. American does not currently have a foreign currency hedge program.</w:t>
      </w:r>
    </w:p>
    <w:p>
      <w:pPr>
        <w:spacing w:after="0" w:line="20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139</w:t>
      </w:r>
    </w:p>
    <w:p>
      <w:pPr>
        <w:sectPr>
          <w:pgSz w:w="11900" w:h="16838" w:orient="portrait"/>
          <w:cols w:equalWidth="0" w:num="1">
            <w:col w:w="11420"/>
          </w:cols>
          <w:pgMar w:left="240" w:top="549" w:right="239" w:bottom="1440" w:gutter="0" w:footer="0" w:header="0"/>
        </w:sectPr>
      </w:pPr>
    </w:p>
    <w:bookmarkStart w:id="139" w:name="page140"/>
    <w:bookmarkEnd w:id="139"/>
    <w:p>
      <w:pPr>
        <w:jc w:val="center"/>
        <w:spacing w:after="0"/>
        <w:rPr>
          <w:sz w:val="20"/>
          <w:szCs w:val="20"/>
          <w:color w:val="auto"/>
        </w:rPr>
      </w:pPr>
      <w:r>
        <w:rPr>
          <w:rFonts w:ascii="Arial" w:cs="Arial" w:eastAsia="Arial" w:hAnsi="Arial"/>
          <w:sz w:val="18"/>
          <w:szCs w:val="18"/>
          <w:b w:val="1"/>
          <w:bCs w:val="1"/>
          <w:color w:val="auto"/>
        </w:rPr>
        <w:t>NOTES TO CONSOLIDATED FINANCIAL STATEMENTS OF AMERICAN AIRLINES, INC.</w:t>
      </w:r>
    </w:p>
    <w:p>
      <w:pPr>
        <w:spacing w:after="0" w:line="200" w:lineRule="exact"/>
        <w:rPr>
          <w:sz w:val="20"/>
          <w:szCs w:val="20"/>
          <w:color w:val="auto"/>
        </w:rPr>
      </w:pPr>
    </w:p>
    <w:p>
      <w:pPr>
        <w:spacing w:after="0" w:line="268" w:lineRule="exact"/>
        <w:rPr>
          <w:sz w:val="20"/>
          <w:szCs w:val="20"/>
          <w:color w:val="auto"/>
        </w:rPr>
      </w:pPr>
    </w:p>
    <w:p>
      <w:pPr>
        <w:ind w:left="220" w:right="6760" w:hanging="212"/>
        <w:spacing w:after="0" w:line="378" w:lineRule="auto"/>
        <w:tabs>
          <w:tab w:leader="none" w:pos="254" w:val="left"/>
        </w:tabs>
        <w:numPr>
          <w:ilvl w:val="0"/>
          <w:numId w:val="61"/>
        </w:numPr>
        <w:rPr>
          <w:rFonts w:ascii="Arial" w:cs="Arial" w:eastAsia="Arial" w:hAnsi="Arial"/>
          <w:sz w:val="17"/>
          <w:szCs w:val="17"/>
          <w:b w:val="1"/>
          <w:bCs w:val="1"/>
          <w:color w:val="auto"/>
        </w:rPr>
      </w:pPr>
      <w:r>
        <w:rPr>
          <w:rFonts w:ascii="Arial" w:cs="Arial" w:eastAsia="Arial" w:hAnsi="Arial"/>
          <w:sz w:val="17"/>
          <w:szCs w:val="17"/>
          <w:b w:val="1"/>
          <w:bCs w:val="1"/>
          <w:color w:val="auto"/>
        </w:rPr>
        <w:t xml:space="preserve">Fair Value Measurements and Other Investments </w:t>
      </w:r>
      <w:r>
        <w:rPr>
          <w:rFonts w:ascii="Arial" w:cs="Arial" w:eastAsia="Arial" w:hAnsi="Arial"/>
          <w:sz w:val="17"/>
          <w:szCs w:val="17"/>
          <w:b w:val="1"/>
          <w:bCs w:val="1"/>
          <w:i w:val="1"/>
          <w:iCs w:val="1"/>
          <w:u w:val="single" w:color="auto"/>
          <w:color w:val="auto"/>
        </w:rPr>
        <w:t>Assets Measured at Fair Value on a Recurring Basis</w:t>
      </w:r>
    </w:p>
    <w:p>
      <w:pPr>
        <w:jc w:val="both"/>
        <w:ind w:firstLine="216"/>
        <w:spacing w:after="0" w:line="253" w:lineRule="auto"/>
        <w:rPr>
          <w:sz w:val="20"/>
          <w:szCs w:val="20"/>
          <w:color w:val="auto"/>
        </w:rPr>
      </w:pPr>
      <w:r>
        <w:rPr>
          <w:rFonts w:ascii="Arial" w:cs="Arial" w:eastAsia="Arial" w:hAnsi="Arial"/>
          <w:sz w:val="18"/>
          <w:szCs w:val="18"/>
          <w:color w:val="auto"/>
        </w:rPr>
        <w:t>Fair value is defined as the price that would be received from the sale of an asset or paid to transfer a liability (i.e. an exit price) on the measurement date in an orderly transaction between market participants in the principal or most advantageous market for the asset or liability. Accounting standards include disclosure requirements around fair values used for certain financial instruments and establish a fair value hierarchy. The hierarchy prioritizes valuation inputs into three levels based on the extent to which inputs used in measuring fair value are observable in the market. Each fair value measurement is reported in one of three levels:</w:t>
      </w:r>
    </w:p>
    <w:p>
      <w:pPr>
        <w:spacing w:after="0" w:line="97" w:lineRule="exact"/>
        <w:rPr>
          <w:sz w:val="20"/>
          <w:szCs w:val="20"/>
          <w:color w:val="auto"/>
        </w:rPr>
      </w:pPr>
    </w:p>
    <w:p>
      <w:pPr>
        <w:ind w:left="1300" w:hanging="644"/>
        <w:spacing w:after="0"/>
        <w:tabs>
          <w:tab w:leader="none" w:pos="1300" w:val="left"/>
        </w:tabs>
        <w:numPr>
          <w:ilvl w:val="0"/>
          <w:numId w:val="62"/>
        </w:numPr>
        <w:rPr>
          <w:rFonts w:ascii="Arial" w:cs="Arial" w:eastAsia="Arial" w:hAnsi="Arial"/>
          <w:sz w:val="18"/>
          <w:szCs w:val="18"/>
          <w:color w:val="auto"/>
        </w:rPr>
      </w:pPr>
      <w:r>
        <w:rPr>
          <w:rFonts w:ascii="Arial" w:cs="Arial" w:eastAsia="Arial" w:hAnsi="Arial"/>
          <w:sz w:val="18"/>
          <w:szCs w:val="18"/>
          <w:color w:val="auto"/>
        </w:rPr>
        <w:t>Level 1 – Observable inputs such as quoted prices in active markets;</w:t>
      </w:r>
    </w:p>
    <w:p>
      <w:pPr>
        <w:spacing w:after="0" w:line="117" w:lineRule="exact"/>
        <w:rPr>
          <w:rFonts w:ascii="Arial" w:cs="Arial" w:eastAsia="Arial" w:hAnsi="Arial"/>
          <w:sz w:val="18"/>
          <w:szCs w:val="18"/>
          <w:color w:val="auto"/>
        </w:rPr>
      </w:pPr>
    </w:p>
    <w:p>
      <w:pPr>
        <w:ind w:left="1300" w:hanging="644"/>
        <w:spacing w:after="0"/>
        <w:tabs>
          <w:tab w:leader="none" w:pos="1300" w:val="left"/>
        </w:tabs>
        <w:numPr>
          <w:ilvl w:val="0"/>
          <w:numId w:val="62"/>
        </w:numPr>
        <w:rPr>
          <w:rFonts w:ascii="Arial" w:cs="Arial" w:eastAsia="Arial" w:hAnsi="Arial"/>
          <w:sz w:val="18"/>
          <w:szCs w:val="18"/>
          <w:color w:val="auto"/>
        </w:rPr>
      </w:pPr>
      <w:r>
        <w:rPr>
          <w:rFonts w:ascii="Arial" w:cs="Arial" w:eastAsia="Arial" w:hAnsi="Arial"/>
          <w:sz w:val="18"/>
          <w:szCs w:val="18"/>
          <w:color w:val="auto"/>
        </w:rPr>
        <w:t>Level 2 – Inputs, other than quoted prices in active markets, that are observable either directly or indirectly; and</w:t>
      </w:r>
    </w:p>
    <w:p>
      <w:pPr>
        <w:spacing w:after="0" w:line="117" w:lineRule="exact"/>
        <w:rPr>
          <w:rFonts w:ascii="Arial" w:cs="Arial" w:eastAsia="Arial" w:hAnsi="Arial"/>
          <w:sz w:val="18"/>
          <w:szCs w:val="18"/>
          <w:color w:val="auto"/>
        </w:rPr>
      </w:pPr>
    </w:p>
    <w:p>
      <w:pPr>
        <w:ind w:left="1300" w:hanging="644"/>
        <w:spacing w:after="0" w:line="262" w:lineRule="auto"/>
        <w:tabs>
          <w:tab w:leader="none" w:pos="1300" w:val="left"/>
        </w:tabs>
        <w:numPr>
          <w:ilvl w:val="0"/>
          <w:numId w:val="62"/>
        </w:numPr>
        <w:rPr>
          <w:rFonts w:ascii="Arial" w:cs="Arial" w:eastAsia="Arial" w:hAnsi="Arial"/>
          <w:sz w:val="18"/>
          <w:szCs w:val="18"/>
          <w:color w:val="auto"/>
        </w:rPr>
      </w:pPr>
      <w:r>
        <w:rPr>
          <w:rFonts w:ascii="Arial" w:cs="Arial" w:eastAsia="Arial" w:hAnsi="Arial"/>
          <w:sz w:val="18"/>
          <w:szCs w:val="18"/>
          <w:color w:val="auto"/>
        </w:rPr>
        <w:t>Level 3 – Unobservable inputs in which there is little or no market data, which require the reporting entity to develop its own assumptions.</w:t>
      </w:r>
    </w:p>
    <w:p>
      <w:pPr>
        <w:spacing w:after="0" w:line="142" w:lineRule="exact"/>
        <w:rPr>
          <w:sz w:val="20"/>
          <w:szCs w:val="20"/>
          <w:color w:val="auto"/>
        </w:rPr>
      </w:pPr>
    </w:p>
    <w:p>
      <w:pPr>
        <w:jc w:val="both"/>
        <w:ind w:firstLine="216"/>
        <w:spacing w:after="0" w:line="256" w:lineRule="auto"/>
        <w:rPr>
          <w:sz w:val="20"/>
          <w:szCs w:val="20"/>
          <w:color w:val="auto"/>
        </w:rPr>
      </w:pPr>
      <w:r>
        <w:rPr>
          <w:rFonts w:ascii="Arial" w:cs="Arial" w:eastAsia="Arial" w:hAnsi="Arial"/>
          <w:sz w:val="18"/>
          <w:szCs w:val="18"/>
          <w:color w:val="auto"/>
        </w:rPr>
        <w:t>When available, American uses quoted market prices to determine the fair value of its financial assets. If quoted market prices are not available, American measures fair value using valuation techniques that use, when possible, current market-based or independently-sourced market parameters, such as interest rates and currency rates.</w:t>
      </w:r>
    </w:p>
    <w:p>
      <w:pPr>
        <w:spacing w:after="0" w:line="148" w:lineRule="exact"/>
        <w:rPr>
          <w:sz w:val="20"/>
          <w:szCs w:val="20"/>
          <w:color w:val="auto"/>
        </w:rPr>
      </w:pPr>
    </w:p>
    <w:p>
      <w:pPr>
        <w:jc w:val="both"/>
        <w:ind w:firstLine="216"/>
        <w:spacing w:after="0" w:line="254" w:lineRule="auto"/>
        <w:rPr>
          <w:sz w:val="20"/>
          <w:szCs w:val="20"/>
          <w:color w:val="auto"/>
        </w:rPr>
      </w:pPr>
      <w:r>
        <w:rPr>
          <w:rFonts w:ascii="Arial" w:cs="Arial" w:eastAsia="Arial" w:hAnsi="Arial"/>
          <w:sz w:val="18"/>
          <w:szCs w:val="18"/>
          <w:color w:val="auto"/>
        </w:rPr>
        <w:t>American utilizes the market approach to measure the fair value of its financial assets. The market approach uses prices and other relevant information generated by market transactions involving identical or comparable assets. American’s short-term investments classified as Level 2 primarily utilize broker quotes in a non-active market for valuation of these securities. No changes in valuation techniques or inputs occurred during the year ended December 31, 2019.</w:t>
      </w:r>
    </w:p>
    <w:p>
      <w:pPr>
        <w:spacing w:after="0" w:line="150" w:lineRule="exact"/>
        <w:rPr>
          <w:sz w:val="20"/>
          <w:szCs w:val="20"/>
          <w:color w:val="auto"/>
        </w:rPr>
      </w:pPr>
    </w:p>
    <w:p>
      <w:pPr>
        <w:ind w:left="220"/>
        <w:spacing w:after="0"/>
        <w:rPr>
          <w:sz w:val="20"/>
          <w:szCs w:val="20"/>
          <w:color w:val="auto"/>
        </w:rPr>
      </w:pPr>
      <w:r>
        <w:rPr>
          <w:rFonts w:ascii="Arial" w:cs="Arial" w:eastAsia="Arial" w:hAnsi="Arial"/>
          <w:sz w:val="18"/>
          <w:szCs w:val="18"/>
          <w:color w:val="auto"/>
        </w:rPr>
        <w:t>Assets measured at fair value on a recurring basis are summarized below (in millions):</w:t>
      </w:r>
    </w:p>
    <w:p>
      <w:pPr>
        <w:spacing w:after="0" w:line="321" w:lineRule="exact"/>
        <w:rPr>
          <w:sz w:val="20"/>
          <w:szCs w:val="20"/>
          <w:color w:val="auto"/>
        </w:rPr>
      </w:pPr>
    </w:p>
    <w:p>
      <w:pPr>
        <w:ind w:left="6580"/>
        <w:spacing w:after="0"/>
        <w:rPr>
          <w:sz w:val="20"/>
          <w:szCs w:val="20"/>
          <w:color w:val="auto"/>
        </w:rPr>
      </w:pPr>
      <w:r>
        <w:rPr>
          <w:rFonts w:ascii="Arial" w:cs="Arial" w:eastAsia="Arial" w:hAnsi="Arial"/>
          <w:sz w:val="14"/>
          <w:szCs w:val="14"/>
          <w:b w:val="1"/>
          <w:bCs w:val="1"/>
          <w:color w:val="auto"/>
        </w:rPr>
        <w:t>Fair Value Measurements as of December 31, 2019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3272790</wp:posOffset>
            </wp:positionH>
            <wp:positionV relativeFrom="paragraph">
              <wp:posOffset>26035</wp:posOffset>
            </wp:positionV>
            <wp:extent cx="3978910" cy="8890"/>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3978910" cy="8890"/>
                    </a:xfrm>
                    <a:prstGeom prst="rect">
                      <a:avLst/>
                    </a:prstGeom>
                    <a:noFill/>
                  </pic:spPr>
                </pic:pic>
              </a:graphicData>
            </a:graphic>
          </wp:anchor>
        </w:drawing>
      </w:r>
    </w:p>
    <w:p>
      <w:pPr>
        <w:spacing w:after="0" w:line="103" w:lineRule="exact"/>
        <w:rPr>
          <w:sz w:val="20"/>
          <w:szCs w:val="20"/>
          <w:color w:val="auto"/>
        </w:rPr>
      </w:pPr>
    </w:p>
    <w:tbl>
      <w:tblPr>
        <w:tblLayout w:type="fixed"/>
        <w:tblInd w:w="0" w:type="dxa"/>
        <w:tblCellMar>
          <w:top w:w="0" w:type="dxa"/>
          <w:left w:w="0" w:type="dxa"/>
          <w:bottom w:w="0" w:type="dxa"/>
          <w:right w:w="0" w:type="dxa"/>
        </w:tblCellMar>
      </w:tblPr>
      <w:tr>
        <w:trPr>
          <w:trHeight w:val="196"/>
        </w:trPr>
        <w:tc>
          <w:tcPr>
            <w:tcW w:w="2120" w:type="dxa"/>
            <w:vAlign w:val="bottom"/>
          </w:tcPr>
          <w:p>
            <w:pPr>
              <w:spacing w:after="0"/>
              <w:rPr>
                <w:sz w:val="17"/>
                <w:szCs w:val="17"/>
                <w:color w:val="auto"/>
              </w:rPr>
            </w:pPr>
          </w:p>
        </w:tc>
        <w:tc>
          <w:tcPr>
            <w:tcW w:w="304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060" w:type="dxa"/>
            <w:vAlign w:val="bottom"/>
          </w:tcPr>
          <w:p>
            <w:pPr>
              <w:jc w:val="right"/>
              <w:ind w:right="412"/>
              <w:spacing w:after="0"/>
              <w:rPr>
                <w:sz w:val="20"/>
                <w:szCs w:val="20"/>
                <w:color w:val="auto"/>
              </w:rPr>
            </w:pPr>
            <w:r>
              <w:rPr>
                <w:rFonts w:ascii="Arial" w:cs="Arial" w:eastAsia="Arial" w:hAnsi="Arial"/>
                <w:sz w:val="14"/>
                <w:szCs w:val="14"/>
                <w:b w:val="1"/>
                <w:bCs w:val="1"/>
                <w:color w:val="auto"/>
              </w:rPr>
              <w:t>Total</w:t>
            </w: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280" w:type="dxa"/>
            <w:vAlign w:val="bottom"/>
            <w:gridSpan w:val="2"/>
          </w:tcPr>
          <w:p>
            <w:pPr>
              <w:ind w:left="180"/>
              <w:spacing w:after="0"/>
              <w:rPr>
                <w:sz w:val="20"/>
                <w:szCs w:val="20"/>
                <w:color w:val="auto"/>
              </w:rPr>
            </w:pPr>
            <w:r>
              <w:rPr>
                <w:rFonts w:ascii="Arial" w:cs="Arial" w:eastAsia="Arial" w:hAnsi="Arial"/>
                <w:sz w:val="14"/>
                <w:szCs w:val="14"/>
                <w:b w:val="1"/>
                <w:bCs w:val="1"/>
                <w:color w:val="auto"/>
              </w:rPr>
              <w:t>Level 1</w:t>
            </w:r>
          </w:p>
        </w:tc>
        <w:tc>
          <w:tcPr>
            <w:tcW w:w="320" w:type="dxa"/>
            <w:vAlign w:val="bottom"/>
          </w:tcPr>
          <w:p>
            <w:pPr>
              <w:spacing w:after="0"/>
              <w:rPr>
                <w:sz w:val="17"/>
                <w:szCs w:val="17"/>
                <w:color w:val="auto"/>
              </w:rPr>
            </w:pPr>
          </w:p>
        </w:tc>
        <w:tc>
          <w:tcPr>
            <w:tcW w:w="1280" w:type="dxa"/>
            <w:vAlign w:val="bottom"/>
            <w:gridSpan w:val="2"/>
          </w:tcPr>
          <w:p>
            <w:pPr>
              <w:ind w:left="180"/>
              <w:spacing w:after="0"/>
              <w:rPr>
                <w:sz w:val="20"/>
                <w:szCs w:val="20"/>
                <w:color w:val="auto"/>
              </w:rPr>
            </w:pPr>
            <w:r>
              <w:rPr>
                <w:rFonts w:ascii="Arial" w:cs="Arial" w:eastAsia="Arial" w:hAnsi="Arial"/>
                <w:sz w:val="14"/>
                <w:szCs w:val="14"/>
                <w:b w:val="1"/>
                <w:bCs w:val="1"/>
                <w:color w:val="auto"/>
              </w:rPr>
              <w:t>Level 2</w:t>
            </w:r>
          </w:p>
        </w:tc>
        <w:tc>
          <w:tcPr>
            <w:tcW w:w="300" w:type="dxa"/>
            <w:vAlign w:val="bottom"/>
          </w:tcPr>
          <w:p>
            <w:pPr>
              <w:spacing w:after="0"/>
              <w:rPr>
                <w:sz w:val="17"/>
                <w:szCs w:val="17"/>
                <w:color w:val="auto"/>
              </w:rPr>
            </w:pPr>
          </w:p>
        </w:tc>
        <w:tc>
          <w:tcPr>
            <w:tcW w:w="1180" w:type="dxa"/>
            <w:vAlign w:val="bottom"/>
          </w:tcPr>
          <w:p>
            <w:pPr>
              <w:ind w:left="200"/>
              <w:spacing w:after="0"/>
              <w:rPr>
                <w:sz w:val="20"/>
                <w:szCs w:val="20"/>
                <w:color w:val="auto"/>
              </w:rPr>
            </w:pPr>
            <w:r>
              <w:rPr>
                <w:rFonts w:ascii="Arial" w:cs="Arial" w:eastAsia="Arial" w:hAnsi="Arial"/>
                <w:sz w:val="14"/>
                <w:szCs w:val="14"/>
                <w:b w:val="1"/>
                <w:bCs w:val="1"/>
                <w:color w:val="auto"/>
              </w:rPr>
              <w:t>Level 3</w:t>
            </w:r>
          </w:p>
        </w:tc>
      </w:tr>
      <w:tr>
        <w:trPr>
          <w:trHeight w:val="270"/>
        </w:trPr>
        <w:tc>
          <w:tcPr>
            <w:tcW w:w="5160" w:type="dxa"/>
            <w:vAlign w:val="bottom"/>
            <w:tcBorders>
              <w:top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 xml:space="preserve">Short-term investments </w:t>
            </w:r>
            <w:r>
              <w:rPr>
                <w:rFonts w:ascii="Arial" w:cs="Arial" w:eastAsia="Arial" w:hAnsi="Arial"/>
                <w:sz w:val="21"/>
                <w:szCs w:val="21"/>
                <w:color w:val="auto"/>
                <w:vertAlign w:val="superscript"/>
              </w:rPr>
              <w:t>(1), (2)</w:t>
            </w:r>
            <w:r>
              <w:rPr>
                <w:rFonts w:ascii="Arial" w:cs="Arial" w:eastAsia="Arial" w:hAnsi="Arial"/>
                <w:sz w:val="18"/>
                <w:szCs w:val="18"/>
                <w:color w:val="auto"/>
              </w:rPr>
              <w:t>:</w:t>
            </w:r>
          </w:p>
        </w:tc>
        <w:tc>
          <w:tcPr>
            <w:tcW w:w="340" w:type="dxa"/>
            <w:vAlign w:val="bottom"/>
            <w:tcBorders>
              <w:top w:val="single" w:sz="8" w:color="auto"/>
            </w:tcBorders>
            <w:shd w:val="clear" w:color="auto" w:fill="CCEEFF"/>
          </w:tcPr>
          <w:p>
            <w:pPr>
              <w:spacing w:after="0"/>
              <w:rPr>
                <w:sz w:val="23"/>
                <w:szCs w:val="23"/>
                <w:color w:val="auto"/>
              </w:rPr>
            </w:pPr>
          </w:p>
        </w:tc>
        <w:tc>
          <w:tcPr>
            <w:tcW w:w="1060" w:type="dxa"/>
            <w:vAlign w:val="bottom"/>
            <w:tcBorders>
              <w:top w:val="single" w:sz="8" w:color="auto"/>
            </w:tcBorders>
            <w:shd w:val="clear" w:color="auto" w:fill="CCEEFF"/>
          </w:tcPr>
          <w:p>
            <w:pPr>
              <w:spacing w:after="0"/>
              <w:rPr>
                <w:sz w:val="23"/>
                <w:szCs w:val="23"/>
                <w:color w:val="auto"/>
              </w:rPr>
            </w:pPr>
          </w:p>
        </w:tc>
        <w:tc>
          <w:tcPr>
            <w:tcW w:w="80" w:type="dxa"/>
            <w:vAlign w:val="bottom"/>
            <w:tcBorders>
              <w:top w:val="single" w:sz="8" w:color="auto"/>
            </w:tcBorders>
            <w:shd w:val="clear" w:color="auto" w:fill="CCEEFF"/>
          </w:tcPr>
          <w:p>
            <w:pPr>
              <w:spacing w:after="0"/>
              <w:rPr>
                <w:sz w:val="23"/>
                <w:szCs w:val="23"/>
                <w:color w:val="auto"/>
              </w:rPr>
            </w:pPr>
          </w:p>
        </w:tc>
        <w:tc>
          <w:tcPr>
            <w:tcW w:w="100" w:type="dxa"/>
            <w:vAlign w:val="bottom"/>
            <w:tcBorders>
              <w:top w:val="single" w:sz="8" w:color="CCEEFF"/>
            </w:tcBorders>
            <w:shd w:val="clear" w:color="auto" w:fill="CCEEFF"/>
          </w:tcPr>
          <w:p>
            <w:pPr>
              <w:spacing w:after="0"/>
              <w:rPr>
                <w:sz w:val="23"/>
                <w:szCs w:val="23"/>
                <w:color w:val="auto"/>
              </w:rPr>
            </w:pPr>
          </w:p>
        </w:tc>
        <w:tc>
          <w:tcPr>
            <w:tcW w:w="320" w:type="dxa"/>
            <w:vAlign w:val="bottom"/>
            <w:tcBorders>
              <w:top w:val="single" w:sz="8" w:color="auto"/>
            </w:tcBorders>
            <w:shd w:val="clear" w:color="auto" w:fill="CCEEFF"/>
          </w:tcPr>
          <w:p>
            <w:pPr>
              <w:spacing w:after="0"/>
              <w:rPr>
                <w:sz w:val="23"/>
                <w:szCs w:val="23"/>
                <w:color w:val="auto"/>
              </w:rPr>
            </w:pPr>
          </w:p>
        </w:tc>
        <w:tc>
          <w:tcPr>
            <w:tcW w:w="1180" w:type="dxa"/>
            <w:vAlign w:val="bottom"/>
            <w:tcBorders>
              <w:top w:val="single" w:sz="8" w:color="auto"/>
            </w:tcBorders>
            <w:shd w:val="clear" w:color="auto" w:fill="CCEEFF"/>
          </w:tcPr>
          <w:p>
            <w:pPr>
              <w:spacing w:after="0"/>
              <w:rPr>
                <w:sz w:val="23"/>
                <w:szCs w:val="23"/>
                <w:color w:val="auto"/>
              </w:rPr>
            </w:pPr>
          </w:p>
        </w:tc>
        <w:tc>
          <w:tcPr>
            <w:tcW w:w="100" w:type="dxa"/>
            <w:vAlign w:val="bottom"/>
            <w:tcBorders>
              <w:top w:val="single" w:sz="8" w:color="CCEEFF"/>
            </w:tcBorders>
            <w:shd w:val="clear" w:color="auto" w:fill="CCEEFF"/>
          </w:tcPr>
          <w:p>
            <w:pPr>
              <w:spacing w:after="0"/>
              <w:rPr>
                <w:sz w:val="23"/>
                <w:szCs w:val="23"/>
                <w:color w:val="auto"/>
              </w:rPr>
            </w:pPr>
          </w:p>
        </w:tc>
        <w:tc>
          <w:tcPr>
            <w:tcW w:w="320" w:type="dxa"/>
            <w:vAlign w:val="bottom"/>
            <w:tcBorders>
              <w:top w:val="single" w:sz="8" w:color="auto"/>
            </w:tcBorders>
            <w:shd w:val="clear" w:color="auto" w:fill="CCEEFF"/>
          </w:tcPr>
          <w:p>
            <w:pPr>
              <w:spacing w:after="0"/>
              <w:rPr>
                <w:sz w:val="23"/>
                <w:szCs w:val="23"/>
                <w:color w:val="auto"/>
              </w:rPr>
            </w:pPr>
          </w:p>
        </w:tc>
        <w:tc>
          <w:tcPr>
            <w:tcW w:w="1160" w:type="dxa"/>
            <w:vAlign w:val="bottom"/>
            <w:tcBorders>
              <w:top w:val="single" w:sz="8" w:color="auto"/>
            </w:tcBorders>
            <w:shd w:val="clear" w:color="auto" w:fill="CCEEFF"/>
          </w:tcPr>
          <w:p>
            <w:pPr>
              <w:spacing w:after="0"/>
              <w:rPr>
                <w:sz w:val="23"/>
                <w:szCs w:val="23"/>
                <w:color w:val="auto"/>
              </w:rPr>
            </w:pPr>
          </w:p>
        </w:tc>
        <w:tc>
          <w:tcPr>
            <w:tcW w:w="120" w:type="dxa"/>
            <w:vAlign w:val="bottom"/>
            <w:tcBorders>
              <w:top w:val="single" w:sz="8" w:color="CCEEFF"/>
            </w:tcBorders>
            <w:shd w:val="clear" w:color="auto" w:fill="CCEEFF"/>
          </w:tcPr>
          <w:p>
            <w:pPr>
              <w:spacing w:after="0"/>
              <w:rPr>
                <w:sz w:val="23"/>
                <w:szCs w:val="23"/>
                <w:color w:val="auto"/>
              </w:rPr>
            </w:pPr>
          </w:p>
        </w:tc>
        <w:tc>
          <w:tcPr>
            <w:tcW w:w="300" w:type="dxa"/>
            <w:vAlign w:val="bottom"/>
            <w:tcBorders>
              <w:top w:val="single" w:sz="8" w:color="auto"/>
            </w:tcBorders>
            <w:shd w:val="clear" w:color="auto" w:fill="CCEEFF"/>
          </w:tcPr>
          <w:p>
            <w:pPr>
              <w:spacing w:after="0"/>
              <w:rPr>
                <w:sz w:val="23"/>
                <w:szCs w:val="23"/>
                <w:color w:val="auto"/>
              </w:rPr>
            </w:pPr>
          </w:p>
        </w:tc>
        <w:tc>
          <w:tcPr>
            <w:tcW w:w="1180" w:type="dxa"/>
            <w:vAlign w:val="bottom"/>
            <w:tcBorders>
              <w:top w:val="single" w:sz="8" w:color="auto"/>
            </w:tcBorders>
            <w:shd w:val="clear" w:color="auto" w:fill="CCEEFF"/>
          </w:tcPr>
          <w:p>
            <w:pPr>
              <w:spacing w:after="0"/>
              <w:rPr>
                <w:sz w:val="23"/>
                <w:szCs w:val="23"/>
                <w:color w:val="auto"/>
              </w:rPr>
            </w:pPr>
          </w:p>
        </w:tc>
      </w:tr>
      <w:tr>
        <w:trPr>
          <w:trHeight w:val="263"/>
        </w:trPr>
        <w:tc>
          <w:tcPr>
            <w:tcW w:w="5160" w:type="dxa"/>
            <w:vAlign w:val="bottom"/>
            <w:gridSpan w:val="2"/>
          </w:tcPr>
          <w:p>
            <w:pPr>
              <w:ind w:left="180"/>
              <w:spacing w:after="0"/>
              <w:rPr>
                <w:sz w:val="20"/>
                <w:szCs w:val="20"/>
                <w:color w:val="auto"/>
              </w:rPr>
            </w:pPr>
            <w:r>
              <w:rPr>
                <w:rFonts w:ascii="Arial" w:cs="Arial" w:eastAsia="Arial" w:hAnsi="Arial"/>
                <w:sz w:val="18"/>
                <w:szCs w:val="18"/>
                <w:color w:val="auto"/>
              </w:rPr>
              <w:t>Money market funds</w:t>
            </w:r>
          </w:p>
        </w:tc>
        <w:tc>
          <w:tcPr>
            <w:tcW w:w="340" w:type="dxa"/>
            <w:vAlign w:val="bottom"/>
          </w:tcPr>
          <w:p>
            <w:pPr>
              <w:jc w:val="right"/>
              <w:ind w:right="130"/>
              <w:spacing w:after="0"/>
              <w:rPr>
                <w:sz w:val="20"/>
                <w:szCs w:val="20"/>
                <w:color w:val="auto"/>
              </w:rPr>
            </w:pPr>
            <w:r>
              <w:rPr>
                <w:rFonts w:ascii="Arial" w:cs="Arial" w:eastAsia="Arial" w:hAnsi="Arial"/>
                <w:sz w:val="18"/>
                <w:szCs w:val="18"/>
                <w:color w:val="auto"/>
                <w:w w:val="99"/>
              </w:rPr>
              <w:t>$</w:t>
            </w:r>
          </w:p>
        </w:tc>
        <w:tc>
          <w:tcPr>
            <w:tcW w:w="1060" w:type="dxa"/>
            <w:vAlign w:val="bottom"/>
          </w:tcPr>
          <w:p>
            <w:pPr>
              <w:jc w:val="right"/>
              <w:spacing w:after="0"/>
              <w:rPr>
                <w:sz w:val="20"/>
                <w:szCs w:val="20"/>
                <w:color w:val="auto"/>
              </w:rPr>
            </w:pPr>
            <w:r>
              <w:rPr>
                <w:rFonts w:ascii="Arial" w:cs="Arial" w:eastAsia="Arial" w:hAnsi="Arial"/>
                <w:sz w:val="18"/>
                <w:szCs w:val="18"/>
                <w:color w:val="auto"/>
              </w:rPr>
              <w:t>331</w:t>
            </w:r>
          </w:p>
        </w:tc>
        <w:tc>
          <w:tcPr>
            <w:tcW w:w="500" w:type="dxa"/>
            <w:vAlign w:val="bottom"/>
            <w:gridSpan w:val="3"/>
          </w:tcPr>
          <w:p>
            <w:pPr>
              <w:jc w:val="right"/>
              <w:ind w:right="90"/>
              <w:spacing w:after="0"/>
              <w:rPr>
                <w:sz w:val="20"/>
                <w:szCs w:val="20"/>
                <w:color w:val="auto"/>
              </w:rPr>
            </w:pPr>
            <w:r>
              <w:rPr>
                <w:rFonts w:ascii="Arial" w:cs="Arial" w:eastAsia="Arial" w:hAnsi="Arial"/>
                <w:sz w:val="18"/>
                <w:szCs w:val="18"/>
                <w:color w:val="auto"/>
              </w:rPr>
              <w:t>$</w:t>
            </w:r>
          </w:p>
        </w:tc>
        <w:tc>
          <w:tcPr>
            <w:tcW w:w="1180" w:type="dxa"/>
            <w:vAlign w:val="bottom"/>
          </w:tcPr>
          <w:p>
            <w:pPr>
              <w:jc w:val="right"/>
              <w:ind w:right="32"/>
              <w:spacing w:after="0"/>
              <w:rPr>
                <w:sz w:val="20"/>
                <w:szCs w:val="20"/>
                <w:color w:val="auto"/>
              </w:rPr>
            </w:pPr>
            <w:r>
              <w:rPr>
                <w:rFonts w:ascii="Arial" w:cs="Arial" w:eastAsia="Arial" w:hAnsi="Arial"/>
                <w:sz w:val="18"/>
                <w:szCs w:val="18"/>
                <w:color w:val="auto"/>
              </w:rPr>
              <w:t>331</w:t>
            </w:r>
          </w:p>
        </w:tc>
        <w:tc>
          <w:tcPr>
            <w:tcW w:w="100" w:type="dxa"/>
            <w:vAlign w:val="bottom"/>
          </w:tcPr>
          <w:p>
            <w:pPr>
              <w:spacing w:after="0"/>
              <w:rPr>
                <w:sz w:val="22"/>
                <w:szCs w:val="22"/>
                <w:color w:val="auto"/>
              </w:rPr>
            </w:pPr>
          </w:p>
        </w:tc>
        <w:tc>
          <w:tcPr>
            <w:tcW w:w="320" w:type="dxa"/>
            <w:vAlign w:val="bottom"/>
          </w:tcPr>
          <w:p>
            <w:pPr>
              <w:jc w:val="right"/>
              <w:ind w:right="110"/>
              <w:spacing w:after="0"/>
              <w:rPr>
                <w:sz w:val="20"/>
                <w:szCs w:val="20"/>
                <w:color w:val="auto"/>
              </w:rPr>
            </w:pPr>
            <w:r>
              <w:rPr>
                <w:rFonts w:ascii="Arial" w:cs="Arial" w:eastAsia="Arial" w:hAnsi="Arial"/>
                <w:sz w:val="18"/>
                <w:szCs w:val="18"/>
                <w:color w:val="auto"/>
                <w:w w:val="99"/>
              </w:rPr>
              <w:t>$</w:t>
            </w:r>
          </w:p>
        </w:tc>
        <w:tc>
          <w:tcPr>
            <w:tcW w:w="12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300" w:type="dxa"/>
            <w:vAlign w:val="bottom"/>
          </w:tcPr>
          <w:p>
            <w:pPr>
              <w:jc w:val="right"/>
              <w:ind w:right="90"/>
              <w:spacing w:after="0"/>
              <w:rPr>
                <w:sz w:val="20"/>
                <w:szCs w:val="20"/>
                <w:color w:val="auto"/>
              </w:rPr>
            </w:pPr>
            <w:r>
              <w:rPr>
                <w:rFonts w:ascii="Arial" w:cs="Arial" w:eastAsia="Arial" w:hAnsi="Arial"/>
                <w:sz w:val="18"/>
                <w:szCs w:val="18"/>
                <w:color w:val="auto"/>
                <w:w w:val="99"/>
              </w:rPr>
              <w:t>$</w:t>
            </w:r>
          </w:p>
        </w:tc>
        <w:tc>
          <w:tcPr>
            <w:tcW w:w="1180" w:type="dxa"/>
            <w:vAlign w:val="bottom"/>
          </w:tcPr>
          <w:p>
            <w:pPr>
              <w:ind w:left="900"/>
              <w:spacing w:after="0"/>
              <w:rPr>
                <w:sz w:val="20"/>
                <w:szCs w:val="20"/>
                <w:color w:val="auto"/>
              </w:rPr>
            </w:pPr>
            <w:r>
              <w:rPr>
                <w:rFonts w:ascii="Arial" w:cs="Arial" w:eastAsia="Arial" w:hAnsi="Arial"/>
                <w:sz w:val="18"/>
                <w:szCs w:val="18"/>
                <w:color w:val="auto"/>
              </w:rPr>
              <w:t>—</w:t>
            </w:r>
          </w:p>
        </w:tc>
      </w:tr>
      <w:tr>
        <w:trPr>
          <w:trHeight w:val="277"/>
        </w:trPr>
        <w:tc>
          <w:tcPr>
            <w:tcW w:w="516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Bank notes/certificates of deposit/time deposits</w:t>
            </w:r>
          </w:p>
        </w:tc>
        <w:tc>
          <w:tcPr>
            <w:tcW w:w="340" w:type="dxa"/>
            <w:vAlign w:val="bottom"/>
            <w:shd w:val="clear" w:color="auto" w:fill="CCEEFF"/>
          </w:tcPr>
          <w:p>
            <w:pPr>
              <w:spacing w:after="0"/>
              <w:rPr>
                <w:sz w:val="24"/>
                <w:szCs w:val="24"/>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2,106</w:t>
            </w:r>
          </w:p>
        </w:tc>
        <w:tc>
          <w:tcPr>
            <w:tcW w:w="8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320" w:type="dxa"/>
            <w:vAlign w:val="bottom"/>
            <w:shd w:val="clear" w:color="auto" w:fill="CCEEFF"/>
          </w:tcPr>
          <w:p>
            <w:pPr>
              <w:spacing w:after="0"/>
              <w:rPr>
                <w:sz w:val="24"/>
                <w:szCs w:val="24"/>
                <w:color w:val="auto"/>
              </w:rPr>
            </w:pPr>
          </w:p>
        </w:tc>
        <w:tc>
          <w:tcPr>
            <w:tcW w:w="12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320" w:type="dxa"/>
            <w:vAlign w:val="bottom"/>
            <w:shd w:val="clear" w:color="auto" w:fill="CCEEFF"/>
          </w:tcPr>
          <w:p>
            <w:pPr>
              <w:spacing w:after="0"/>
              <w:rPr>
                <w:sz w:val="24"/>
                <w:szCs w:val="24"/>
                <w:color w:val="auto"/>
              </w:rPr>
            </w:pPr>
          </w:p>
        </w:tc>
        <w:tc>
          <w:tcPr>
            <w:tcW w:w="116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2,106</w:t>
            </w:r>
          </w:p>
        </w:tc>
        <w:tc>
          <w:tcPr>
            <w:tcW w:w="120" w:type="dxa"/>
            <w:vAlign w:val="bottom"/>
            <w:shd w:val="clear" w:color="auto" w:fill="CCEEFF"/>
          </w:tcPr>
          <w:p>
            <w:pPr>
              <w:spacing w:after="0"/>
              <w:rPr>
                <w:sz w:val="24"/>
                <w:szCs w:val="24"/>
                <w:color w:val="auto"/>
              </w:rPr>
            </w:pPr>
          </w:p>
        </w:tc>
        <w:tc>
          <w:tcPr>
            <w:tcW w:w="300" w:type="dxa"/>
            <w:vAlign w:val="bottom"/>
            <w:shd w:val="clear" w:color="auto" w:fill="CCEEFF"/>
          </w:tcPr>
          <w:p>
            <w:pPr>
              <w:spacing w:after="0"/>
              <w:rPr>
                <w:sz w:val="24"/>
                <w:szCs w:val="24"/>
                <w:color w:val="auto"/>
              </w:rPr>
            </w:pPr>
          </w:p>
        </w:tc>
        <w:tc>
          <w:tcPr>
            <w:tcW w:w="1180" w:type="dxa"/>
            <w:vAlign w:val="bottom"/>
            <w:shd w:val="clear" w:color="auto" w:fill="CCEEFF"/>
          </w:tcPr>
          <w:p>
            <w:pPr>
              <w:ind w:left="900"/>
              <w:spacing w:after="0"/>
              <w:rPr>
                <w:sz w:val="20"/>
                <w:szCs w:val="20"/>
                <w:color w:val="auto"/>
              </w:rPr>
            </w:pPr>
            <w:r>
              <w:rPr>
                <w:rFonts w:ascii="Arial" w:cs="Arial" w:eastAsia="Arial" w:hAnsi="Arial"/>
                <w:sz w:val="18"/>
                <w:szCs w:val="18"/>
                <w:color w:val="auto"/>
              </w:rPr>
              <w:t>—</w:t>
            </w:r>
          </w:p>
        </w:tc>
      </w:tr>
      <w:tr>
        <w:trPr>
          <w:trHeight w:val="263"/>
        </w:trPr>
        <w:tc>
          <w:tcPr>
            <w:tcW w:w="5160" w:type="dxa"/>
            <w:vAlign w:val="bottom"/>
            <w:gridSpan w:val="2"/>
          </w:tcPr>
          <w:p>
            <w:pPr>
              <w:ind w:left="180"/>
              <w:spacing w:after="0"/>
              <w:rPr>
                <w:sz w:val="20"/>
                <w:szCs w:val="20"/>
                <w:color w:val="auto"/>
              </w:rPr>
            </w:pPr>
            <w:r>
              <w:rPr>
                <w:rFonts w:ascii="Arial" w:cs="Arial" w:eastAsia="Arial" w:hAnsi="Arial"/>
                <w:sz w:val="18"/>
                <w:szCs w:val="18"/>
                <w:color w:val="auto"/>
              </w:rPr>
              <w:t>Corporate obligations</w:t>
            </w:r>
          </w:p>
        </w:tc>
        <w:tc>
          <w:tcPr>
            <w:tcW w:w="340" w:type="dxa"/>
            <w:vAlign w:val="bottom"/>
          </w:tcPr>
          <w:p>
            <w:pPr>
              <w:spacing w:after="0"/>
              <w:rPr>
                <w:sz w:val="22"/>
                <w:szCs w:val="22"/>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1,021</w:t>
            </w:r>
          </w:p>
        </w:tc>
        <w:tc>
          <w:tcPr>
            <w:tcW w:w="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12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22"/>
                <w:szCs w:val="22"/>
                <w:color w:val="auto"/>
              </w:rPr>
            </w:pPr>
          </w:p>
        </w:tc>
        <w:tc>
          <w:tcPr>
            <w:tcW w:w="1160" w:type="dxa"/>
            <w:vAlign w:val="bottom"/>
          </w:tcPr>
          <w:p>
            <w:pPr>
              <w:jc w:val="right"/>
              <w:ind w:right="12"/>
              <w:spacing w:after="0"/>
              <w:rPr>
                <w:sz w:val="20"/>
                <w:szCs w:val="20"/>
                <w:color w:val="auto"/>
              </w:rPr>
            </w:pPr>
            <w:r>
              <w:rPr>
                <w:rFonts w:ascii="Arial" w:cs="Arial" w:eastAsia="Arial" w:hAnsi="Arial"/>
                <w:sz w:val="18"/>
                <w:szCs w:val="18"/>
                <w:color w:val="auto"/>
              </w:rPr>
              <w:t>1,021</w:t>
            </w:r>
          </w:p>
        </w:tc>
        <w:tc>
          <w:tcPr>
            <w:tcW w:w="12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1180" w:type="dxa"/>
            <w:vAlign w:val="bottom"/>
          </w:tcPr>
          <w:p>
            <w:pPr>
              <w:ind w:left="900"/>
              <w:spacing w:after="0"/>
              <w:rPr>
                <w:sz w:val="20"/>
                <w:szCs w:val="20"/>
                <w:color w:val="auto"/>
              </w:rPr>
            </w:pPr>
            <w:r>
              <w:rPr>
                <w:rFonts w:ascii="Arial" w:cs="Arial" w:eastAsia="Arial" w:hAnsi="Arial"/>
                <w:sz w:val="18"/>
                <w:szCs w:val="18"/>
                <w:color w:val="auto"/>
              </w:rPr>
              <w:t>—</w:t>
            </w:r>
          </w:p>
        </w:tc>
      </w:tr>
      <w:tr>
        <w:trPr>
          <w:trHeight w:val="270"/>
        </w:trPr>
        <w:tc>
          <w:tcPr>
            <w:tcW w:w="516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Repurchase agreements</w:t>
            </w:r>
          </w:p>
        </w:tc>
        <w:tc>
          <w:tcPr>
            <w:tcW w:w="340" w:type="dxa"/>
            <w:vAlign w:val="bottom"/>
            <w:shd w:val="clear" w:color="auto" w:fill="CCEEFF"/>
          </w:tcPr>
          <w:p>
            <w:pPr>
              <w:spacing w:after="0"/>
              <w:rPr>
                <w:sz w:val="23"/>
                <w:szCs w:val="23"/>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85</w:t>
            </w:r>
          </w:p>
        </w:tc>
        <w:tc>
          <w:tcPr>
            <w:tcW w:w="8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320" w:type="dxa"/>
            <w:vAlign w:val="bottom"/>
            <w:shd w:val="clear" w:color="auto" w:fill="CCEEFF"/>
          </w:tcPr>
          <w:p>
            <w:pPr>
              <w:spacing w:after="0"/>
              <w:rPr>
                <w:sz w:val="23"/>
                <w:szCs w:val="23"/>
                <w:color w:val="auto"/>
              </w:rPr>
            </w:pPr>
          </w:p>
        </w:tc>
        <w:tc>
          <w:tcPr>
            <w:tcW w:w="12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320" w:type="dxa"/>
            <w:vAlign w:val="bottom"/>
            <w:shd w:val="clear" w:color="auto" w:fill="CCEEFF"/>
          </w:tcPr>
          <w:p>
            <w:pPr>
              <w:spacing w:after="0"/>
              <w:rPr>
                <w:sz w:val="23"/>
                <w:szCs w:val="23"/>
                <w:color w:val="auto"/>
              </w:rPr>
            </w:pPr>
          </w:p>
        </w:tc>
        <w:tc>
          <w:tcPr>
            <w:tcW w:w="116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85</w:t>
            </w:r>
          </w:p>
        </w:tc>
        <w:tc>
          <w:tcPr>
            <w:tcW w:w="120" w:type="dxa"/>
            <w:vAlign w:val="bottom"/>
            <w:shd w:val="clear" w:color="auto" w:fill="CCEEFF"/>
          </w:tcPr>
          <w:p>
            <w:pPr>
              <w:spacing w:after="0"/>
              <w:rPr>
                <w:sz w:val="23"/>
                <w:szCs w:val="23"/>
                <w:color w:val="auto"/>
              </w:rPr>
            </w:pPr>
          </w:p>
        </w:tc>
        <w:tc>
          <w:tcPr>
            <w:tcW w:w="300" w:type="dxa"/>
            <w:vAlign w:val="bottom"/>
            <w:shd w:val="clear" w:color="auto" w:fill="CCEEFF"/>
          </w:tcPr>
          <w:p>
            <w:pPr>
              <w:spacing w:after="0"/>
              <w:rPr>
                <w:sz w:val="23"/>
                <w:szCs w:val="23"/>
                <w:color w:val="auto"/>
              </w:rPr>
            </w:pPr>
          </w:p>
        </w:tc>
        <w:tc>
          <w:tcPr>
            <w:tcW w:w="1180" w:type="dxa"/>
            <w:vAlign w:val="bottom"/>
            <w:shd w:val="clear" w:color="auto" w:fill="CCEEFF"/>
          </w:tcPr>
          <w:p>
            <w:pPr>
              <w:ind w:left="900"/>
              <w:spacing w:after="0"/>
              <w:rPr>
                <w:sz w:val="20"/>
                <w:szCs w:val="20"/>
                <w:color w:val="auto"/>
              </w:rPr>
            </w:pPr>
            <w:r>
              <w:rPr>
                <w:rFonts w:ascii="Arial" w:cs="Arial" w:eastAsia="Arial" w:hAnsi="Arial"/>
                <w:sz w:val="18"/>
                <w:szCs w:val="18"/>
                <w:color w:val="auto"/>
              </w:rPr>
              <w:t>—</w:t>
            </w:r>
          </w:p>
        </w:tc>
      </w:tr>
      <w:tr>
        <w:trPr>
          <w:trHeight w:val="250"/>
        </w:trPr>
        <w:tc>
          <w:tcPr>
            <w:tcW w:w="2120" w:type="dxa"/>
            <w:vAlign w:val="bottom"/>
          </w:tcPr>
          <w:p>
            <w:pPr>
              <w:spacing w:after="0"/>
              <w:rPr>
                <w:sz w:val="21"/>
                <w:szCs w:val="21"/>
                <w:color w:val="auto"/>
              </w:rPr>
            </w:pPr>
          </w:p>
        </w:tc>
        <w:tc>
          <w:tcPr>
            <w:tcW w:w="3040" w:type="dxa"/>
            <w:vAlign w:val="bottom"/>
          </w:tcPr>
          <w:p>
            <w:pPr>
              <w:spacing w:after="0"/>
              <w:rPr>
                <w:sz w:val="21"/>
                <w:szCs w:val="21"/>
                <w:color w:val="auto"/>
              </w:rPr>
            </w:pPr>
          </w:p>
        </w:tc>
        <w:tc>
          <w:tcPr>
            <w:tcW w:w="340" w:type="dxa"/>
            <w:vAlign w:val="bottom"/>
            <w:tcBorders>
              <w:top w:val="single" w:sz="8" w:color="auto"/>
            </w:tcBorders>
          </w:tcPr>
          <w:p>
            <w:pPr>
              <w:spacing w:after="0"/>
              <w:rPr>
                <w:sz w:val="21"/>
                <w:szCs w:val="21"/>
                <w:color w:val="auto"/>
              </w:rPr>
            </w:pPr>
          </w:p>
        </w:tc>
        <w:tc>
          <w:tcPr>
            <w:tcW w:w="10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3,543</w:t>
            </w:r>
          </w:p>
        </w:tc>
        <w:tc>
          <w:tcPr>
            <w:tcW w:w="80" w:type="dxa"/>
            <w:vAlign w:val="bottom"/>
            <w:tcBorders>
              <w:top w:val="single" w:sz="8" w:color="auto"/>
            </w:tcBorders>
          </w:tcPr>
          <w:p>
            <w:pPr>
              <w:spacing w:after="0"/>
              <w:rPr>
                <w:sz w:val="21"/>
                <w:szCs w:val="21"/>
                <w:color w:val="auto"/>
              </w:rPr>
            </w:pPr>
          </w:p>
        </w:tc>
        <w:tc>
          <w:tcPr>
            <w:tcW w:w="100" w:type="dxa"/>
            <w:vAlign w:val="bottom"/>
          </w:tcPr>
          <w:p>
            <w:pPr>
              <w:spacing w:after="0"/>
              <w:rPr>
                <w:sz w:val="21"/>
                <w:szCs w:val="21"/>
                <w:color w:val="auto"/>
              </w:rPr>
            </w:pPr>
          </w:p>
        </w:tc>
        <w:tc>
          <w:tcPr>
            <w:tcW w:w="320" w:type="dxa"/>
            <w:vAlign w:val="bottom"/>
            <w:tcBorders>
              <w:top w:val="single" w:sz="8" w:color="auto"/>
            </w:tcBorders>
          </w:tcPr>
          <w:p>
            <w:pPr>
              <w:spacing w:after="0"/>
              <w:rPr>
                <w:sz w:val="21"/>
                <w:szCs w:val="21"/>
                <w:color w:val="auto"/>
              </w:rPr>
            </w:pPr>
          </w:p>
        </w:tc>
        <w:tc>
          <w:tcPr>
            <w:tcW w:w="1180" w:type="dxa"/>
            <w:vAlign w:val="bottom"/>
            <w:tcBorders>
              <w:top w:val="single" w:sz="8" w:color="auto"/>
            </w:tcBorders>
          </w:tcPr>
          <w:p>
            <w:pPr>
              <w:jc w:val="right"/>
              <w:ind w:right="32"/>
              <w:spacing w:after="0"/>
              <w:rPr>
                <w:sz w:val="20"/>
                <w:szCs w:val="20"/>
                <w:color w:val="auto"/>
              </w:rPr>
            </w:pPr>
            <w:r>
              <w:rPr>
                <w:rFonts w:ascii="Arial" w:cs="Arial" w:eastAsia="Arial" w:hAnsi="Arial"/>
                <w:sz w:val="18"/>
                <w:szCs w:val="18"/>
                <w:color w:val="auto"/>
              </w:rPr>
              <w:t>331</w:t>
            </w:r>
          </w:p>
        </w:tc>
        <w:tc>
          <w:tcPr>
            <w:tcW w:w="100" w:type="dxa"/>
            <w:vAlign w:val="bottom"/>
          </w:tcPr>
          <w:p>
            <w:pPr>
              <w:spacing w:after="0"/>
              <w:rPr>
                <w:sz w:val="21"/>
                <w:szCs w:val="21"/>
                <w:color w:val="auto"/>
              </w:rPr>
            </w:pPr>
          </w:p>
        </w:tc>
        <w:tc>
          <w:tcPr>
            <w:tcW w:w="320" w:type="dxa"/>
            <w:vAlign w:val="bottom"/>
            <w:tcBorders>
              <w:top w:val="single" w:sz="8" w:color="auto"/>
            </w:tcBorders>
          </w:tcPr>
          <w:p>
            <w:pPr>
              <w:spacing w:after="0"/>
              <w:rPr>
                <w:sz w:val="21"/>
                <w:szCs w:val="21"/>
                <w:color w:val="auto"/>
              </w:rPr>
            </w:pPr>
          </w:p>
        </w:tc>
        <w:tc>
          <w:tcPr>
            <w:tcW w:w="1160" w:type="dxa"/>
            <w:vAlign w:val="bottom"/>
            <w:tcBorders>
              <w:top w:val="single" w:sz="8" w:color="auto"/>
            </w:tcBorders>
          </w:tcPr>
          <w:p>
            <w:pPr>
              <w:jc w:val="right"/>
              <w:ind w:right="12"/>
              <w:spacing w:after="0"/>
              <w:rPr>
                <w:sz w:val="20"/>
                <w:szCs w:val="20"/>
                <w:color w:val="auto"/>
              </w:rPr>
            </w:pPr>
            <w:r>
              <w:rPr>
                <w:rFonts w:ascii="Arial" w:cs="Arial" w:eastAsia="Arial" w:hAnsi="Arial"/>
                <w:sz w:val="18"/>
                <w:szCs w:val="18"/>
                <w:color w:val="auto"/>
              </w:rPr>
              <w:t>3,212</w:t>
            </w:r>
          </w:p>
        </w:tc>
        <w:tc>
          <w:tcPr>
            <w:tcW w:w="120" w:type="dxa"/>
            <w:vAlign w:val="bottom"/>
          </w:tcPr>
          <w:p>
            <w:pPr>
              <w:spacing w:after="0"/>
              <w:rPr>
                <w:sz w:val="21"/>
                <w:szCs w:val="21"/>
                <w:color w:val="auto"/>
              </w:rPr>
            </w:pPr>
          </w:p>
        </w:tc>
        <w:tc>
          <w:tcPr>
            <w:tcW w:w="300" w:type="dxa"/>
            <w:vAlign w:val="bottom"/>
            <w:tcBorders>
              <w:top w:val="single" w:sz="8" w:color="auto"/>
            </w:tcBorders>
          </w:tcPr>
          <w:p>
            <w:pPr>
              <w:spacing w:after="0"/>
              <w:rPr>
                <w:sz w:val="21"/>
                <w:szCs w:val="21"/>
                <w:color w:val="auto"/>
              </w:rPr>
            </w:pPr>
          </w:p>
        </w:tc>
        <w:tc>
          <w:tcPr>
            <w:tcW w:w="1180" w:type="dxa"/>
            <w:vAlign w:val="bottom"/>
            <w:tcBorders>
              <w:top w:val="single" w:sz="8" w:color="auto"/>
            </w:tcBorders>
          </w:tcPr>
          <w:p>
            <w:pPr>
              <w:ind w:left="900"/>
              <w:spacing w:after="0"/>
              <w:rPr>
                <w:sz w:val="20"/>
                <w:szCs w:val="20"/>
                <w:color w:val="auto"/>
              </w:rPr>
            </w:pPr>
            <w:r>
              <w:rPr>
                <w:rFonts w:ascii="Arial" w:cs="Arial" w:eastAsia="Arial" w:hAnsi="Arial"/>
                <w:sz w:val="18"/>
                <w:szCs w:val="18"/>
                <w:color w:val="auto"/>
              </w:rPr>
              <w:t>—</w:t>
            </w:r>
          </w:p>
        </w:tc>
      </w:tr>
      <w:tr>
        <w:trPr>
          <w:trHeight w:val="277"/>
        </w:trPr>
        <w:tc>
          <w:tcPr>
            <w:tcW w:w="5160" w:type="dxa"/>
            <w:vAlign w:val="bottom"/>
            <w:gridSpan w:val="2"/>
            <w:shd w:val="clear" w:color="auto" w:fill="CCEEFF"/>
          </w:tcPr>
          <w:p>
            <w:pPr>
              <w:ind w:left="40"/>
              <w:spacing w:after="0"/>
              <w:rPr>
                <w:sz w:val="20"/>
                <w:szCs w:val="20"/>
                <w:color w:val="auto"/>
              </w:rPr>
            </w:pPr>
            <w:r>
              <w:rPr>
                <w:rFonts w:ascii="Arial" w:cs="Arial" w:eastAsia="Arial" w:hAnsi="Arial"/>
                <w:sz w:val="18"/>
                <w:szCs w:val="18"/>
                <w:color w:val="auto"/>
              </w:rPr>
              <w:t xml:space="preserve">Restricted cash and short-term investments </w:t>
            </w:r>
            <w:r>
              <w:rPr>
                <w:rFonts w:ascii="Arial" w:cs="Arial" w:eastAsia="Arial" w:hAnsi="Arial"/>
                <w:sz w:val="21"/>
                <w:szCs w:val="21"/>
                <w:color w:val="auto"/>
                <w:vertAlign w:val="superscript"/>
              </w:rPr>
              <w:t>(1)</w:t>
            </w:r>
          </w:p>
        </w:tc>
        <w:tc>
          <w:tcPr>
            <w:tcW w:w="340" w:type="dxa"/>
            <w:vAlign w:val="bottom"/>
            <w:shd w:val="clear" w:color="auto" w:fill="CCEEFF"/>
          </w:tcPr>
          <w:p>
            <w:pPr>
              <w:spacing w:after="0"/>
              <w:rPr>
                <w:sz w:val="24"/>
                <w:szCs w:val="24"/>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158</w:t>
            </w:r>
          </w:p>
        </w:tc>
        <w:tc>
          <w:tcPr>
            <w:tcW w:w="8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320" w:type="dxa"/>
            <w:vAlign w:val="bottom"/>
            <w:shd w:val="clear" w:color="auto" w:fill="CCEEFF"/>
          </w:tcPr>
          <w:p>
            <w:pPr>
              <w:spacing w:after="0"/>
              <w:rPr>
                <w:sz w:val="24"/>
                <w:szCs w:val="24"/>
                <w:color w:val="auto"/>
              </w:rPr>
            </w:pPr>
          </w:p>
        </w:tc>
        <w:tc>
          <w:tcPr>
            <w:tcW w:w="1180" w:type="dxa"/>
            <w:vAlign w:val="bottom"/>
            <w:shd w:val="clear" w:color="auto" w:fill="CCEEFF"/>
          </w:tcPr>
          <w:p>
            <w:pPr>
              <w:jc w:val="right"/>
              <w:ind w:right="32"/>
              <w:spacing w:after="0"/>
              <w:rPr>
                <w:sz w:val="20"/>
                <w:szCs w:val="20"/>
                <w:color w:val="auto"/>
              </w:rPr>
            </w:pPr>
            <w:r>
              <w:rPr>
                <w:rFonts w:ascii="Arial" w:cs="Arial" w:eastAsia="Arial" w:hAnsi="Arial"/>
                <w:sz w:val="18"/>
                <w:szCs w:val="18"/>
                <w:color w:val="auto"/>
              </w:rPr>
              <w:t>10</w:t>
            </w:r>
          </w:p>
        </w:tc>
        <w:tc>
          <w:tcPr>
            <w:tcW w:w="100" w:type="dxa"/>
            <w:vAlign w:val="bottom"/>
            <w:shd w:val="clear" w:color="auto" w:fill="CCEEFF"/>
          </w:tcPr>
          <w:p>
            <w:pPr>
              <w:spacing w:after="0"/>
              <w:rPr>
                <w:sz w:val="24"/>
                <w:szCs w:val="24"/>
                <w:color w:val="auto"/>
              </w:rPr>
            </w:pPr>
          </w:p>
        </w:tc>
        <w:tc>
          <w:tcPr>
            <w:tcW w:w="320" w:type="dxa"/>
            <w:vAlign w:val="bottom"/>
            <w:shd w:val="clear" w:color="auto" w:fill="CCEEFF"/>
          </w:tcPr>
          <w:p>
            <w:pPr>
              <w:spacing w:after="0"/>
              <w:rPr>
                <w:sz w:val="24"/>
                <w:szCs w:val="24"/>
                <w:color w:val="auto"/>
              </w:rPr>
            </w:pPr>
          </w:p>
        </w:tc>
        <w:tc>
          <w:tcPr>
            <w:tcW w:w="116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148</w:t>
            </w:r>
          </w:p>
        </w:tc>
        <w:tc>
          <w:tcPr>
            <w:tcW w:w="120" w:type="dxa"/>
            <w:vAlign w:val="bottom"/>
            <w:shd w:val="clear" w:color="auto" w:fill="CCEEFF"/>
          </w:tcPr>
          <w:p>
            <w:pPr>
              <w:spacing w:after="0"/>
              <w:rPr>
                <w:sz w:val="24"/>
                <w:szCs w:val="24"/>
                <w:color w:val="auto"/>
              </w:rPr>
            </w:pPr>
          </w:p>
        </w:tc>
        <w:tc>
          <w:tcPr>
            <w:tcW w:w="300" w:type="dxa"/>
            <w:vAlign w:val="bottom"/>
            <w:shd w:val="clear" w:color="auto" w:fill="CCEEFF"/>
          </w:tcPr>
          <w:p>
            <w:pPr>
              <w:spacing w:after="0"/>
              <w:rPr>
                <w:sz w:val="24"/>
                <w:szCs w:val="24"/>
                <w:color w:val="auto"/>
              </w:rPr>
            </w:pPr>
          </w:p>
        </w:tc>
        <w:tc>
          <w:tcPr>
            <w:tcW w:w="1180" w:type="dxa"/>
            <w:vAlign w:val="bottom"/>
            <w:shd w:val="clear" w:color="auto" w:fill="CCEEFF"/>
          </w:tcPr>
          <w:p>
            <w:pPr>
              <w:ind w:left="900"/>
              <w:spacing w:after="0"/>
              <w:rPr>
                <w:sz w:val="20"/>
                <w:szCs w:val="20"/>
                <w:color w:val="auto"/>
              </w:rPr>
            </w:pPr>
            <w:r>
              <w:rPr>
                <w:rFonts w:ascii="Arial" w:cs="Arial" w:eastAsia="Arial" w:hAnsi="Arial"/>
                <w:sz w:val="18"/>
                <w:szCs w:val="18"/>
                <w:color w:val="auto"/>
              </w:rPr>
              <w:t>—</w:t>
            </w:r>
          </w:p>
        </w:tc>
      </w:tr>
      <w:tr>
        <w:trPr>
          <w:trHeight w:val="270"/>
        </w:trPr>
        <w:tc>
          <w:tcPr>
            <w:tcW w:w="5160" w:type="dxa"/>
            <w:vAlign w:val="bottom"/>
            <w:tcBorders>
              <w:bottom w:val="single" w:sz="8" w:color="CCEEFF"/>
            </w:tcBorders>
            <w:gridSpan w:val="2"/>
          </w:tcPr>
          <w:p>
            <w:pPr>
              <w:ind w:left="40"/>
              <w:spacing w:after="0"/>
              <w:rPr>
                <w:sz w:val="20"/>
                <w:szCs w:val="20"/>
                <w:color w:val="auto"/>
              </w:rPr>
            </w:pPr>
            <w:r>
              <w:rPr>
                <w:rFonts w:ascii="Arial" w:cs="Arial" w:eastAsia="Arial" w:hAnsi="Arial"/>
                <w:sz w:val="18"/>
                <w:szCs w:val="18"/>
                <w:color w:val="auto"/>
              </w:rPr>
              <w:t xml:space="preserve">Long-term investments </w:t>
            </w:r>
            <w:r>
              <w:rPr>
                <w:rFonts w:ascii="Arial" w:cs="Arial" w:eastAsia="Arial" w:hAnsi="Arial"/>
                <w:sz w:val="21"/>
                <w:szCs w:val="21"/>
                <w:color w:val="auto"/>
                <w:vertAlign w:val="superscript"/>
              </w:rPr>
              <w:t>(3)</w:t>
            </w:r>
          </w:p>
        </w:tc>
        <w:tc>
          <w:tcPr>
            <w:tcW w:w="340" w:type="dxa"/>
            <w:vAlign w:val="bottom"/>
            <w:tcBorders>
              <w:bottom w:val="single" w:sz="8" w:color="auto"/>
            </w:tcBorders>
          </w:tcPr>
          <w:p>
            <w:pPr>
              <w:spacing w:after="0"/>
              <w:rPr>
                <w:sz w:val="23"/>
                <w:szCs w:val="23"/>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204</w:t>
            </w:r>
          </w:p>
        </w:tc>
        <w:tc>
          <w:tcPr>
            <w:tcW w:w="80" w:type="dxa"/>
            <w:vAlign w:val="bottom"/>
            <w:tcBorders>
              <w:bottom w:val="single" w:sz="8" w:color="auto"/>
            </w:tcBorders>
          </w:tcPr>
          <w:p>
            <w:pPr>
              <w:spacing w:after="0"/>
              <w:rPr>
                <w:sz w:val="23"/>
                <w:szCs w:val="23"/>
                <w:color w:val="auto"/>
              </w:rPr>
            </w:pPr>
          </w:p>
        </w:tc>
        <w:tc>
          <w:tcPr>
            <w:tcW w:w="100" w:type="dxa"/>
            <w:vAlign w:val="bottom"/>
            <w:tcBorders>
              <w:bottom w:val="single" w:sz="8" w:color="CCEEFF"/>
            </w:tcBorders>
          </w:tcPr>
          <w:p>
            <w:pPr>
              <w:spacing w:after="0"/>
              <w:rPr>
                <w:sz w:val="23"/>
                <w:szCs w:val="23"/>
                <w:color w:val="auto"/>
              </w:rPr>
            </w:pPr>
          </w:p>
        </w:tc>
        <w:tc>
          <w:tcPr>
            <w:tcW w:w="320" w:type="dxa"/>
            <w:vAlign w:val="bottom"/>
            <w:tcBorders>
              <w:bottom w:val="single" w:sz="8" w:color="auto"/>
            </w:tcBorders>
          </w:tcPr>
          <w:p>
            <w:pPr>
              <w:spacing w:after="0"/>
              <w:rPr>
                <w:sz w:val="23"/>
                <w:szCs w:val="23"/>
                <w:color w:val="auto"/>
              </w:rPr>
            </w:pPr>
          </w:p>
        </w:tc>
        <w:tc>
          <w:tcPr>
            <w:tcW w:w="1180" w:type="dxa"/>
            <w:vAlign w:val="bottom"/>
            <w:tcBorders>
              <w:bottom w:val="single" w:sz="8" w:color="auto"/>
            </w:tcBorders>
          </w:tcPr>
          <w:p>
            <w:pPr>
              <w:jc w:val="right"/>
              <w:ind w:right="32"/>
              <w:spacing w:after="0"/>
              <w:rPr>
                <w:sz w:val="20"/>
                <w:szCs w:val="20"/>
                <w:color w:val="auto"/>
              </w:rPr>
            </w:pPr>
            <w:r>
              <w:rPr>
                <w:rFonts w:ascii="Arial" w:cs="Arial" w:eastAsia="Arial" w:hAnsi="Arial"/>
                <w:sz w:val="18"/>
                <w:szCs w:val="18"/>
                <w:color w:val="auto"/>
              </w:rPr>
              <w:t>204</w:t>
            </w:r>
          </w:p>
        </w:tc>
        <w:tc>
          <w:tcPr>
            <w:tcW w:w="100" w:type="dxa"/>
            <w:vAlign w:val="bottom"/>
            <w:tcBorders>
              <w:bottom w:val="single" w:sz="8" w:color="CCEEFF"/>
            </w:tcBorders>
          </w:tcPr>
          <w:p>
            <w:pPr>
              <w:spacing w:after="0"/>
              <w:rPr>
                <w:sz w:val="23"/>
                <w:szCs w:val="23"/>
                <w:color w:val="auto"/>
              </w:rPr>
            </w:pPr>
          </w:p>
        </w:tc>
        <w:tc>
          <w:tcPr>
            <w:tcW w:w="320" w:type="dxa"/>
            <w:vAlign w:val="bottom"/>
            <w:tcBorders>
              <w:bottom w:val="single" w:sz="8" w:color="auto"/>
            </w:tcBorders>
          </w:tcPr>
          <w:p>
            <w:pPr>
              <w:spacing w:after="0"/>
              <w:rPr>
                <w:sz w:val="23"/>
                <w:szCs w:val="23"/>
                <w:color w:val="auto"/>
              </w:rPr>
            </w:pPr>
          </w:p>
        </w:tc>
        <w:tc>
          <w:tcPr>
            <w:tcW w:w="1160" w:type="dxa"/>
            <w:vAlign w:val="bottom"/>
            <w:tcBorders>
              <w:bottom w:val="single" w:sz="8" w:color="auto"/>
            </w:tcBorders>
          </w:tcPr>
          <w:p>
            <w:pPr>
              <w:jc w:val="right"/>
              <w:ind w:right="12"/>
              <w:spacing w:after="0"/>
              <w:rPr>
                <w:sz w:val="20"/>
                <w:szCs w:val="20"/>
                <w:color w:val="auto"/>
              </w:rPr>
            </w:pPr>
            <w:r>
              <w:rPr>
                <w:rFonts w:ascii="Arial" w:cs="Arial" w:eastAsia="Arial" w:hAnsi="Arial"/>
                <w:sz w:val="18"/>
                <w:szCs w:val="18"/>
                <w:color w:val="auto"/>
              </w:rPr>
              <w:t>—</w:t>
            </w:r>
          </w:p>
        </w:tc>
        <w:tc>
          <w:tcPr>
            <w:tcW w:w="120" w:type="dxa"/>
            <w:vAlign w:val="bottom"/>
            <w:tcBorders>
              <w:bottom w:val="single" w:sz="8" w:color="CCEEFF"/>
            </w:tcBorders>
          </w:tcPr>
          <w:p>
            <w:pPr>
              <w:spacing w:after="0"/>
              <w:rPr>
                <w:sz w:val="23"/>
                <w:szCs w:val="23"/>
                <w:color w:val="auto"/>
              </w:rPr>
            </w:pPr>
          </w:p>
        </w:tc>
        <w:tc>
          <w:tcPr>
            <w:tcW w:w="300" w:type="dxa"/>
            <w:vAlign w:val="bottom"/>
            <w:tcBorders>
              <w:bottom w:val="single" w:sz="8" w:color="auto"/>
            </w:tcBorders>
          </w:tcPr>
          <w:p>
            <w:pPr>
              <w:spacing w:after="0"/>
              <w:rPr>
                <w:sz w:val="23"/>
                <w:szCs w:val="23"/>
                <w:color w:val="auto"/>
              </w:rPr>
            </w:pPr>
          </w:p>
        </w:tc>
        <w:tc>
          <w:tcPr>
            <w:tcW w:w="1180" w:type="dxa"/>
            <w:vAlign w:val="bottom"/>
            <w:tcBorders>
              <w:bottom w:val="single" w:sz="8" w:color="auto"/>
            </w:tcBorders>
          </w:tcPr>
          <w:p>
            <w:pPr>
              <w:ind w:left="900"/>
              <w:spacing w:after="0"/>
              <w:rPr>
                <w:sz w:val="20"/>
                <w:szCs w:val="20"/>
                <w:color w:val="auto"/>
              </w:rPr>
            </w:pPr>
            <w:r>
              <w:rPr>
                <w:rFonts w:ascii="Arial" w:cs="Arial" w:eastAsia="Arial" w:hAnsi="Arial"/>
                <w:sz w:val="18"/>
                <w:szCs w:val="18"/>
                <w:color w:val="auto"/>
              </w:rPr>
              <w:t>—</w:t>
            </w:r>
          </w:p>
        </w:tc>
      </w:tr>
      <w:tr>
        <w:trPr>
          <w:trHeight w:val="244"/>
        </w:trPr>
        <w:tc>
          <w:tcPr>
            <w:tcW w:w="516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Total</w:t>
            </w:r>
          </w:p>
        </w:tc>
        <w:tc>
          <w:tcPr>
            <w:tcW w:w="340" w:type="dxa"/>
            <w:vAlign w:val="bottom"/>
            <w:tcBorders>
              <w:bottom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3,905</w:t>
            </w:r>
          </w:p>
        </w:tc>
        <w:tc>
          <w:tcPr>
            <w:tcW w:w="80" w:type="dxa"/>
            <w:vAlign w:val="bottom"/>
            <w:tcBorders>
              <w:bottom w:val="single" w:sz="8" w:color="auto"/>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rPr>
              <w:t>$</w:t>
            </w:r>
          </w:p>
        </w:tc>
        <w:tc>
          <w:tcPr>
            <w:tcW w:w="1180" w:type="dxa"/>
            <w:vAlign w:val="bottom"/>
            <w:tcBorders>
              <w:bottom w:val="single" w:sz="8" w:color="auto"/>
            </w:tcBorders>
            <w:shd w:val="clear" w:color="auto" w:fill="CCEEFF"/>
          </w:tcPr>
          <w:p>
            <w:pPr>
              <w:jc w:val="right"/>
              <w:ind w:right="32"/>
              <w:spacing w:after="0"/>
              <w:rPr>
                <w:sz w:val="20"/>
                <w:szCs w:val="20"/>
                <w:color w:val="auto"/>
              </w:rPr>
            </w:pPr>
            <w:r>
              <w:rPr>
                <w:rFonts w:ascii="Arial" w:cs="Arial" w:eastAsia="Arial" w:hAnsi="Arial"/>
                <w:sz w:val="18"/>
                <w:szCs w:val="18"/>
                <w:color w:val="auto"/>
              </w:rPr>
              <w:t>545</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auto"/>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160" w:type="dxa"/>
            <w:vAlign w:val="bottom"/>
            <w:tcBorders>
              <w:bottom w:val="single" w:sz="8" w:color="auto"/>
            </w:tcBorders>
            <w:shd w:val="clear" w:color="auto" w:fill="CCEEFF"/>
          </w:tcPr>
          <w:p>
            <w:pPr>
              <w:jc w:val="right"/>
              <w:ind w:right="12"/>
              <w:spacing w:after="0"/>
              <w:rPr>
                <w:sz w:val="20"/>
                <w:szCs w:val="20"/>
                <w:color w:val="auto"/>
              </w:rPr>
            </w:pPr>
            <w:r>
              <w:rPr>
                <w:rFonts w:ascii="Arial" w:cs="Arial" w:eastAsia="Arial" w:hAnsi="Arial"/>
                <w:sz w:val="18"/>
                <w:szCs w:val="18"/>
                <w:color w:val="auto"/>
              </w:rPr>
              <w:t>3,360</w:t>
            </w: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180" w:type="dxa"/>
            <w:vAlign w:val="bottom"/>
            <w:tcBorders>
              <w:bottom w:val="single" w:sz="8" w:color="auto"/>
            </w:tcBorders>
            <w:shd w:val="clear" w:color="auto" w:fill="CCEEFF"/>
          </w:tcPr>
          <w:p>
            <w:pPr>
              <w:ind w:left="900"/>
              <w:spacing w:after="0"/>
              <w:rPr>
                <w:sz w:val="20"/>
                <w:szCs w:val="20"/>
                <w:color w:val="auto"/>
              </w:rPr>
            </w:pPr>
            <w:r>
              <w:rPr>
                <w:rFonts w:ascii="Arial" w:cs="Arial" w:eastAsia="Arial" w:hAnsi="Arial"/>
                <w:sz w:val="18"/>
                <w:szCs w:val="18"/>
                <w:color w:val="auto"/>
              </w:rPr>
              <w:t>—</w:t>
            </w:r>
          </w:p>
        </w:tc>
      </w:tr>
      <w:tr>
        <w:trPr>
          <w:trHeight w:val="20"/>
        </w:trPr>
        <w:tc>
          <w:tcPr>
            <w:tcW w:w="2120" w:type="dxa"/>
            <w:vAlign w:val="bottom"/>
          </w:tcPr>
          <w:p>
            <w:pPr>
              <w:spacing w:after="0" w:line="20" w:lineRule="exact"/>
              <w:rPr>
                <w:sz w:val="1"/>
                <w:szCs w:val="1"/>
                <w:color w:val="auto"/>
              </w:rPr>
            </w:pPr>
          </w:p>
        </w:tc>
        <w:tc>
          <w:tcPr>
            <w:tcW w:w="304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500" w:type="dxa"/>
            <w:vAlign w:val="bottom"/>
            <w:tcBorders>
              <w:bottom w:val="single" w:sz="8" w:color="auto"/>
            </w:tcBorders>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80" w:type="dxa"/>
            <w:vAlign w:val="bottom"/>
            <w:tcBorders>
              <w:bottom w:val="single" w:sz="8" w:color="auto"/>
            </w:tcBorders>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r>
      <w:tr>
        <w:trPr>
          <w:trHeight w:val="494"/>
        </w:trPr>
        <w:tc>
          <w:tcPr>
            <w:tcW w:w="2120" w:type="dxa"/>
            <w:vAlign w:val="bottom"/>
          </w:tcPr>
          <w:p>
            <w:pPr>
              <w:spacing w:after="0"/>
              <w:rPr>
                <w:sz w:val="24"/>
                <w:szCs w:val="24"/>
                <w:color w:val="auto"/>
              </w:rPr>
            </w:pPr>
          </w:p>
        </w:tc>
        <w:tc>
          <w:tcPr>
            <w:tcW w:w="3040" w:type="dxa"/>
            <w:vAlign w:val="bottom"/>
          </w:tcPr>
          <w:p>
            <w:pPr>
              <w:spacing w:after="0"/>
              <w:rPr>
                <w:sz w:val="24"/>
                <w:szCs w:val="24"/>
                <w:color w:val="auto"/>
              </w:rPr>
            </w:pPr>
          </w:p>
        </w:tc>
        <w:tc>
          <w:tcPr>
            <w:tcW w:w="340" w:type="dxa"/>
            <w:vAlign w:val="bottom"/>
            <w:tcBorders>
              <w:bottom w:val="single" w:sz="8" w:color="auto"/>
            </w:tcBorders>
          </w:tcPr>
          <w:p>
            <w:pPr>
              <w:spacing w:after="0"/>
              <w:rPr>
                <w:sz w:val="24"/>
                <w:szCs w:val="24"/>
                <w:color w:val="auto"/>
              </w:rPr>
            </w:pPr>
          </w:p>
        </w:tc>
        <w:tc>
          <w:tcPr>
            <w:tcW w:w="1060" w:type="dxa"/>
            <w:vAlign w:val="bottom"/>
            <w:tcBorders>
              <w:bottom w:val="single" w:sz="8" w:color="auto"/>
            </w:tcBorders>
          </w:tcPr>
          <w:p>
            <w:pPr>
              <w:spacing w:after="0"/>
              <w:rPr>
                <w:sz w:val="24"/>
                <w:szCs w:val="24"/>
                <w:color w:val="auto"/>
              </w:rPr>
            </w:pPr>
          </w:p>
        </w:tc>
        <w:tc>
          <w:tcPr>
            <w:tcW w:w="3680" w:type="dxa"/>
            <w:vAlign w:val="bottom"/>
            <w:tcBorders>
              <w:bottom w:val="single" w:sz="8" w:color="auto"/>
            </w:tcBorders>
            <w:gridSpan w:val="9"/>
          </w:tcPr>
          <w:p>
            <w:pPr>
              <w:jc w:val="right"/>
              <w:ind w:right="130"/>
              <w:spacing w:after="0"/>
              <w:rPr>
                <w:sz w:val="20"/>
                <w:szCs w:val="20"/>
                <w:color w:val="auto"/>
              </w:rPr>
            </w:pPr>
            <w:r>
              <w:rPr>
                <w:rFonts w:ascii="Arial" w:cs="Arial" w:eastAsia="Arial" w:hAnsi="Arial"/>
                <w:sz w:val="14"/>
                <w:szCs w:val="14"/>
                <w:b w:val="1"/>
                <w:bCs w:val="1"/>
                <w:color w:val="auto"/>
              </w:rPr>
              <w:t>Fair Value Measurements as of December 31, 2018</w:t>
            </w:r>
          </w:p>
        </w:tc>
        <w:tc>
          <w:tcPr>
            <w:tcW w:w="1180" w:type="dxa"/>
            <w:vAlign w:val="bottom"/>
            <w:tcBorders>
              <w:bottom w:val="single" w:sz="8" w:color="auto"/>
            </w:tcBorders>
          </w:tcPr>
          <w:p>
            <w:pPr>
              <w:spacing w:after="0"/>
              <w:rPr>
                <w:sz w:val="24"/>
                <w:szCs w:val="24"/>
                <w:color w:val="auto"/>
              </w:rPr>
            </w:pPr>
          </w:p>
        </w:tc>
      </w:tr>
      <w:tr>
        <w:trPr>
          <w:trHeight w:val="264"/>
        </w:trPr>
        <w:tc>
          <w:tcPr>
            <w:tcW w:w="2120" w:type="dxa"/>
            <w:vAlign w:val="bottom"/>
          </w:tcPr>
          <w:p>
            <w:pPr>
              <w:spacing w:after="0"/>
              <w:rPr>
                <w:sz w:val="22"/>
                <w:szCs w:val="22"/>
                <w:color w:val="auto"/>
              </w:rPr>
            </w:pPr>
          </w:p>
        </w:tc>
        <w:tc>
          <w:tcPr>
            <w:tcW w:w="304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1060" w:type="dxa"/>
            <w:vAlign w:val="bottom"/>
          </w:tcPr>
          <w:p>
            <w:pPr>
              <w:jc w:val="right"/>
              <w:ind w:right="412"/>
              <w:spacing w:after="0"/>
              <w:rPr>
                <w:sz w:val="20"/>
                <w:szCs w:val="20"/>
                <w:color w:val="auto"/>
              </w:rPr>
            </w:pPr>
            <w:r>
              <w:rPr>
                <w:rFonts w:ascii="Arial" w:cs="Arial" w:eastAsia="Arial" w:hAnsi="Arial"/>
                <w:sz w:val="14"/>
                <w:szCs w:val="14"/>
                <w:b w:val="1"/>
                <w:bCs w:val="1"/>
                <w:color w:val="auto"/>
              </w:rPr>
              <w:t>Total</w:t>
            </w:r>
          </w:p>
        </w:tc>
        <w:tc>
          <w:tcPr>
            <w:tcW w:w="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1280" w:type="dxa"/>
            <w:vAlign w:val="bottom"/>
            <w:gridSpan w:val="2"/>
          </w:tcPr>
          <w:p>
            <w:pPr>
              <w:ind w:left="180"/>
              <w:spacing w:after="0"/>
              <w:rPr>
                <w:sz w:val="20"/>
                <w:szCs w:val="20"/>
                <w:color w:val="auto"/>
              </w:rPr>
            </w:pPr>
            <w:r>
              <w:rPr>
                <w:rFonts w:ascii="Arial" w:cs="Arial" w:eastAsia="Arial" w:hAnsi="Arial"/>
                <w:sz w:val="14"/>
                <w:szCs w:val="14"/>
                <w:b w:val="1"/>
                <w:bCs w:val="1"/>
                <w:color w:val="auto"/>
              </w:rPr>
              <w:t>Level 1</w:t>
            </w:r>
          </w:p>
        </w:tc>
        <w:tc>
          <w:tcPr>
            <w:tcW w:w="320" w:type="dxa"/>
            <w:vAlign w:val="bottom"/>
          </w:tcPr>
          <w:p>
            <w:pPr>
              <w:spacing w:after="0"/>
              <w:rPr>
                <w:sz w:val="22"/>
                <w:szCs w:val="22"/>
                <w:color w:val="auto"/>
              </w:rPr>
            </w:pPr>
          </w:p>
        </w:tc>
        <w:tc>
          <w:tcPr>
            <w:tcW w:w="1280" w:type="dxa"/>
            <w:vAlign w:val="bottom"/>
            <w:gridSpan w:val="2"/>
          </w:tcPr>
          <w:p>
            <w:pPr>
              <w:ind w:left="180"/>
              <w:spacing w:after="0"/>
              <w:rPr>
                <w:sz w:val="20"/>
                <w:szCs w:val="20"/>
                <w:color w:val="auto"/>
              </w:rPr>
            </w:pPr>
            <w:r>
              <w:rPr>
                <w:rFonts w:ascii="Arial" w:cs="Arial" w:eastAsia="Arial" w:hAnsi="Arial"/>
                <w:sz w:val="14"/>
                <w:szCs w:val="14"/>
                <w:b w:val="1"/>
                <w:bCs w:val="1"/>
                <w:color w:val="auto"/>
              </w:rPr>
              <w:t>Level 2</w:t>
            </w:r>
          </w:p>
        </w:tc>
        <w:tc>
          <w:tcPr>
            <w:tcW w:w="300" w:type="dxa"/>
            <w:vAlign w:val="bottom"/>
          </w:tcPr>
          <w:p>
            <w:pPr>
              <w:spacing w:after="0"/>
              <w:rPr>
                <w:sz w:val="22"/>
                <w:szCs w:val="22"/>
                <w:color w:val="auto"/>
              </w:rPr>
            </w:pPr>
          </w:p>
        </w:tc>
        <w:tc>
          <w:tcPr>
            <w:tcW w:w="1180" w:type="dxa"/>
            <w:vAlign w:val="bottom"/>
          </w:tcPr>
          <w:p>
            <w:pPr>
              <w:ind w:left="200"/>
              <w:spacing w:after="0"/>
              <w:rPr>
                <w:sz w:val="20"/>
                <w:szCs w:val="20"/>
                <w:color w:val="auto"/>
              </w:rPr>
            </w:pPr>
            <w:r>
              <w:rPr>
                <w:rFonts w:ascii="Arial" w:cs="Arial" w:eastAsia="Arial" w:hAnsi="Arial"/>
                <w:sz w:val="14"/>
                <w:szCs w:val="14"/>
                <w:b w:val="1"/>
                <w:bCs w:val="1"/>
                <w:color w:val="auto"/>
              </w:rPr>
              <w:t>Level 3</w:t>
            </w:r>
          </w:p>
        </w:tc>
      </w:tr>
      <w:tr>
        <w:trPr>
          <w:trHeight w:val="270"/>
        </w:trPr>
        <w:tc>
          <w:tcPr>
            <w:tcW w:w="5160" w:type="dxa"/>
            <w:vAlign w:val="bottom"/>
            <w:tcBorders>
              <w:top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 xml:space="preserve">Short-term investments </w:t>
            </w:r>
            <w:r>
              <w:rPr>
                <w:rFonts w:ascii="Arial" w:cs="Arial" w:eastAsia="Arial" w:hAnsi="Arial"/>
                <w:sz w:val="21"/>
                <w:szCs w:val="21"/>
                <w:color w:val="auto"/>
                <w:vertAlign w:val="superscript"/>
              </w:rPr>
              <w:t>(1)</w:t>
            </w:r>
            <w:r>
              <w:rPr>
                <w:rFonts w:ascii="Arial" w:cs="Arial" w:eastAsia="Arial" w:hAnsi="Arial"/>
                <w:sz w:val="18"/>
                <w:szCs w:val="18"/>
                <w:color w:val="auto"/>
              </w:rPr>
              <w:t>:</w:t>
            </w:r>
          </w:p>
        </w:tc>
        <w:tc>
          <w:tcPr>
            <w:tcW w:w="340" w:type="dxa"/>
            <w:vAlign w:val="bottom"/>
            <w:tcBorders>
              <w:top w:val="single" w:sz="8" w:color="auto"/>
            </w:tcBorders>
            <w:shd w:val="clear" w:color="auto" w:fill="CCEEFF"/>
          </w:tcPr>
          <w:p>
            <w:pPr>
              <w:spacing w:after="0"/>
              <w:rPr>
                <w:sz w:val="23"/>
                <w:szCs w:val="23"/>
                <w:color w:val="auto"/>
              </w:rPr>
            </w:pPr>
          </w:p>
        </w:tc>
        <w:tc>
          <w:tcPr>
            <w:tcW w:w="1060" w:type="dxa"/>
            <w:vAlign w:val="bottom"/>
            <w:tcBorders>
              <w:top w:val="single" w:sz="8" w:color="auto"/>
            </w:tcBorders>
            <w:shd w:val="clear" w:color="auto" w:fill="CCEEFF"/>
          </w:tcPr>
          <w:p>
            <w:pPr>
              <w:spacing w:after="0"/>
              <w:rPr>
                <w:sz w:val="23"/>
                <w:szCs w:val="23"/>
                <w:color w:val="auto"/>
              </w:rPr>
            </w:pPr>
          </w:p>
        </w:tc>
        <w:tc>
          <w:tcPr>
            <w:tcW w:w="80" w:type="dxa"/>
            <w:vAlign w:val="bottom"/>
            <w:tcBorders>
              <w:top w:val="single" w:sz="8" w:color="auto"/>
            </w:tcBorders>
            <w:shd w:val="clear" w:color="auto" w:fill="CCEEFF"/>
          </w:tcPr>
          <w:p>
            <w:pPr>
              <w:spacing w:after="0"/>
              <w:rPr>
                <w:sz w:val="23"/>
                <w:szCs w:val="23"/>
                <w:color w:val="auto"/>
              </w:rPr>
            </w:pPr>
          </w:p>
        </w:tc>
        <w:tc>
          <w:tcPr>
            <w:tcW w:w="100" w:type="dxa"/>
            <w:vAlign w:val="bottom"/>
            <w:tcBorders>
              <w:top w:val="single" w:sz="8" w:color="CCEEFF"/>
            </w:tcBorders>
            <w:shd w:val="clear" w:color="auto" w:fill="CCEEFF"/>
          </w:tcPr>
          <w:p>
            <w:pPr>
              <w:spacing w:after="0"/>
              <w:rPr>
                <w:sz w:val="23"/>
                <w:szCs w:val="23"/>
                <w:color w:val="auto"/>
              </w:rPr>
            </w:pPr>
          </w:p>
        </w:tc>
        <w:tc>
          <w:tcPr>
            <w:tcW w:w="320" w:type="dxa"/>
            <w:vAlign w:val="bottom"/>
            <w:tcBorders>
              <w:top w:val="single" w:sz="8" w:color="auto"/>
            </w:tcBorders>
            <w:shd w:val="clear" w:color="auto" w:fill="CCEEFF"/>
          </w:tcPr>
          <w:p>
            <w:pPr>
              <w:spacing w:after="0"/>
              <w:rPr>
                <w:sz w:val="23"/>
                <w:szCs w:val="23"/>
                <w:color w:val="auto"/>
              </w:rPr>
            </w:pPr>
          </w:p>
        </w:tc>
        <w:tc>
          <w:tcPr>
            <w:tcW w:w="1180" w:type="dxa"/>
            <w:vAlign w:val="bottom"/>
            <w:tcBorders>
              <w:top w:val="single" w:sz="8" w:color="auto"/>
            </w:tcBorders>
            <w:shd w:val="clear" w:color="auto" w:fill="CCEEFF"/>
          </w:tcPr>
          <w:p>
            <w:pPr>
              <w:spacing w:after="0"/>
              <w:rPr>
                <w:sz w:val="23"/>
                <w:szCs w:val="23"/>
                <w:color w:val="auto"/>
              </w:rPr>
            </w:pPr>
          </w:p>
        </w:tc>
        <w:tc>
          <w:tcPr>
            <w:tcW w:w="100" w:type="dxa"/>
            <w:vAlign w:val="bottom"/>
            <w:tcBorders>
              <w:top w:val="single" w:sz="8" w:color="CCEEFF"/>
            </w:tcBorders>
            <w:shd w:val="clear" w:color="auto" w:fill="CCEEFF"/>
          </w:tcPr>
          <w:p>
            <w:pPr>
              <w:spacing w:after="0"/>
              <w:rPr>
                <w:sz w:val="23"/>
                <w:szCs w:val="23"/>
                <w:color w:val="auto"/>
              </w:rPr>
            </w:pPr>
          </w:p>
        </w:tc>
        <w:tc>
          <w:tcPr>
            <w:tcW w:w="320" w:type="dxa"/>
            <w:vAlign w:val="bottom"/>
            <w:tcBorders>
              <w:top w:val="single" w:sz="8" w:color="auto"/>
            </w:tcBorders>
            <w:shd w:val="clear" w:color="auto" w:fill="CCEEFF"/>
          </w:tcPr>
          <w:p>
            <w:pPr>
              <w:spacing w:after="0"/>
              <w:rPr>
                <w:sz w:val="23"/>
                <w:szCs w:val="23"/>
                <w:color w:val="auto"/>
              </w:rPr>
            </w:pPr>
          </w:p>
        </w:tc>
        <w:tc>
          <w:tcPr>
            <w:tcW w:w="1160" w:type="dxa"/>
            <w:vAlign w:val="bottom"/>
            <w:tcBorders>
              <w:top w:val="single" w:sz="8" w:color="auto"/>
            </w:tcBorders>
            <w:shd w:val="clear" w:color="auto" w:fill="CCEEFF"/>
          </w:tcPr>
          <w:p>
            <w:pPr>
              <w:spacing w:after="0"/>
              <w:rPr>
                <w:sz w:val="23"/>
                <w:szCs w:val="23"/>
                <w:color w:val="auto"/>
              </w:rPr>
            </w:pPr>
          </w:p>
        </w:tc>
        <w:tc>
          <w:tcPr>
            <w:tcW w:w="120" w:type="dxa"/>
            <w:vAlign w:val="bottom"/>
            <w:tcBorders>
              <w:top w:val="single" w:sz="8" w:color="CCEEFF"/>
            </w:tcBorders>
            <w:shd w:val="clear" w:color="auto" w:fill="CCEEFF"/>
          </w:tcPr>
          <w:p>
            <w:pPr>
              <w:spacing w:after="0"/>
              <w:rPr>
                <w:sz w:val="23"/>
                <w:szCs w:val="23"/>
                <w:color w:val="auto"/>
              </w:rPr>
            </w:pPr>
          </w:p>
        </w:tc>
        <w:tc>
          <w:tcPr>
            <w:tcW w:w="300" w:type="dxa"/>
            <w:vAlign w:val="bottom"/>
            <w:tcBorders>
              <w:top w:val="single" w:sz="8" w:color="auto"/>
            </w:tcBorders>
            <w:shd w:val="clear" w:color="auto" w:fill="CCEEFF"/>
          </w:tcPr>
          <w:p>
            <w:pPr>
              <w:spacing w:after="0"/>
              <w:rPr>
                <w:sz w:val="23"/>
                <w:szCs w:val="23"/>
                <w:color w:val="auto"/>
              </w:rPr>
            </w:pPr>
          </w:p>
        </w:tc>
        <w:tc>
          <w:tcPr>
            <w:tcW w:w="1180" w:type="dxa"/>
            <w:vAlign w:val="bottom"/>
            <w:tcBorders>
              <w:top w:val="single" w:sz="8" w:color="auto"/>
            </w:tcBorders>
            <w:shd w:val="clear" w:color="auto" w:fill="CCEEFF"/>
          </w:tcPr>
          <w:p>
            <w:pPr>
              <w:spacing w:after="0"/>
              <w:rPr>
                <w:sz w:val="23"/>
                <w:szCs w:val="23"/>
                <w:color w:val="auto"/>
              </w:rPr>
            </w:pPr>
          </w:p>
        </w:tc>
      </w:tr>
      <w:tr>
        <w:trPr>
          <w:trHeight w:val="263"/>
        </w:trPr>
        <w:tc>
          <w:tcPr>
            <w:tcW w:w="5160" w:type="dxa"/>
            <w:vAlign w:val="bottom"/>
            <w:gridSpan w:val="2"/>
          </w:tcPr>
          <w:p>
            <w:pPr>
              <w:ind w:left="180"/>
              <w:spacing w:after="0"/>
              <w:rPr>
                <w:sz w:val="20"/>
                <w:szCs w:val="20"/>
                <w:color w:val="auto"/>
              </w:rPr>
            </w:pPr>
            <w:r>
              <w:rPr>
                <w:rFonts w:ascii="Arial" w:cs="Arial" w:eastAsia="Arial" w:hAnsi="Arial"/>
                <w:sz w:val="18"/>
                <w:szCs w:val="18"/>
                <w:color w:val="auto"/>
              </w:rPr>
              <w:t>Money market funds</w:t>
            </w:r>
          </w:p>
        </w:tc>
        <w:tc>
          <w:tcPr>
            <w:tcW w:w="340" w:type="dxa"/>
            <w:vAlign w:val="bottom"/>
          </w:tcPr>
          <w:p>
            <w:pPr>
              <w:jc w:val="right"/>
              <w:ind w:right="130"/>
              <w:spacing w:after="0"/>
              <w:rPr>
                <w:sz w:val="20"/>
                <w:szCs w:val="20"/>
                <w:color w:val="auto"/>
              </w:rPr>
            </w:pPr>
            <w:r>
              <w:rPr>
                <w:rFonts w:ascii="Arial" w:cs="Arial" w:eastAsia="Arial" w:hAnsi="Arial"/>
                <w:sz w:val="18"/>
                <w:szCs w:val="18"/>
                <w:color w:val="auto"/>
                <w:w w:val="99"/>
              </w:rPr>
              <w:t>$</w:t>
            </w:r>
          </w:p>
        </w:tc>
        <w:tc>
          <w:tcPr>
            <w:tcW w:w="1060" w:type="dxa"/>
            <w:vAlign w:val="bottom"/>
          </w:tcPr>
          <w:p>
            <w:pPr>
              <w:jc w:val="right"/>
              <w:spacing w:after="0"/>
              <w:rPr>
                <w:sz w:val="20"/>
                <w:szCs w:val="20"/>
                <w:color w:val="auto"/>
              </w:rPr>
            </w:pPr>
            <w:r>
              <w:rPr>
                <w:rFonts w:ascii="Arial" w:cs="Arial" w:eastAsia="Arial" w:hAnsi="Arial"/>
                <w:sz w:val="18"/>
                <w:szCs w:val="18"/>
                <w:color w:val="auto"/>
              </w:rPr>
              <w:t>14</w:t>
            </w:r>
          </w:p>
        </w:tc>
        <w:tc>
          <w:tcPr>
            <w:tcW w:w="500" w:type="dxa"/>
            <w:vAlign w:val="bottom"/>
            <w:gridSpan w:val="3"/>
          </w:tcPr>
          <w:p>
            <w:pPr>
              <w:jc w:val="right"/>
              <w:ind w:right="90"/>
              <w:spacing w:after="0"/>
              <w:rPr>
                <w:sz w:val="20"/>
                <w:szCs w:val="20"/>
                <w:color w:val="auto"/>
              </w:rPr>
            </w:pPr>
            <w:r>
              <w:rPr>
                <w:rFonts w:ascii="Arial" w:cs="Arial" w:eastAsia="Arial" w:hAnsi="Arial"/>
                <w:sz w:val="18"/>
                <w:szCs w:val="18"/>
                <w:color w:val="auto"/>
              </w:rPr>
              <w:t>$</w:t>
            </w:r>
          </w:p>
        </w:tc>
        <w:tc>
          <w:tcPr>
            <w:tcW w:w="1180" w:type="dxa"/>
            <w:vAlign w:val="bottom"/>
          </w:tcPr>
          <w:p>
            <w:pPr>
              <w:jc w:val="right"/>
              <w:ind w:right="32"/>
              <w:spacing w:after="0"/>
              <w:rPr>
                <w:sz w:val="20"/>
                <w:szCs w:val="20"/>
                <w:color w:val="auto"/>
              </w:rPr>
            </w:pPr>
            <w:r>
              <w:rPr>
                <w:rFonts w:ascii="Arial" w:cs="Arial" w:eastAsia="Arial" w:hAnsi="Arial"/>
                <w:sz w:val="18"/>
                <w:szCs w:val="18"/>
                <w:color w:val="auto"/>
              </w:rPr>
              <w:t>14</w:t>
            </w:r>
          </w:p>
        </w:tc>
        <w:tc>
          <w:tcPr>
            <w:tcW w:w="100" w:type="dxa"/>
            <w:vAlign w:val="bottom"/>
          </w:tcPr>
          <w:p>
            <w:pPr>
              <w:spacing w:after="0"/>
              <w:rPr>
                <w:sz w:val="22"/>
                <w:szCs w:val="22"/>
                <w:color w:val="auto"/>
              </w:rPr>
            </w:pPr>
          </w:p>
        </w:tc>
        <w:tc>
          <w:tcPr>
            <w:tcW w:w="320" w:type="dxa"/>
            <w:vAlign w:val="bottom"/>
          </w:tcPr>
          <w:p>
            <w:pPr>
              <w:jc w:val="right"/>
              <w:ind w:right="110"/>
              <w:spacing w:after="0"/>
              <w:rPr>
                <w:sz w:val="20"/>
                <w:szCs w:val="20"/>
                <w:color w:val="auto"/>
              </w:rPr>
            </w:pPr>
            <w:r>
              <w:rPr>
                <w:rFonts w:ascii="Arial" w:cs="Arial" w:eastAsia="Arial" w:hAnsi="Arial"/>
                <w:sz w:val="18"/>
                <w:szCs w:val="18"/>
                <w:color w:val="auto"/>
                <w:w w:val="99"/>
              </w:rPr>
              <w:t>$</w:t>
            </w:r>
          </w:p>
        </w:tc>
        <w:tc>
          <w:tcPr>
            <w:tcW w:w="12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300" w:type="dxa"/>
            <w:vAlign w:val="bottom"/>
          </w:tcPr>
          <w:p>
            <w:pPr>
              <w:jc w:val="right"/>
              <w:ind w:right="90"/>
              <w:spacing w:after="0"/>
              <w:rPr>
                <w:sz w:val="20"/>
                <w:szCs w:val="20"/>
                <w:color w:val="auto"/>
              </w:rPr>
            </w:pPr>
            <w:r>
              <w:rPr>
                <w:rFonts w:ascii="Arial" w:cs="Arial" w:eastAsia="Arial" w:hAnsi="Arial"/>
                <w:sz w:val="18"/>
                <w:szCs w:val="18"/>
                <w:color w:val="auto"/>
                <w:w w:val="99"/>
              </w:rPr>
              <w:t>$</w:t>
            </w:r>
          </w:p>
        </w:tc>
        <w:tc>
          <w:tcPr>
            <w:tcW w:w="1180" w:type="dxa"/>
            <w:vAlign w:val="bottom"/>
          </w:tcPr>
          <w:p>
            <w:pPr>
              <w:ind w:left="900"/>
              <w:spacing w:after="0"/>
              <w:rPr>
                <w:sz w:val="20"/>
                <w:szCs w:val="20"/>
                <w:color w:val="auto"/>
              </w:rPr>
            </w:pPr>
            <w:r>
              <w:rPr>
                <w:rFonts w:ascii="Arial" w:cs="Arial" w:eastAsia="Arial" w:hAnsi="Arial"/>
                <w:sz w:val="18"/>
                <w:szCs w:val="18"/>
                <w:color w:val="auto"/>
              </w:rPr>
              <w:t>—</w:t>
            </w:r>
          </w:p>
        </w:tc>
      </w:tr>
      <w:tr>
        <w:trPr>
          <w:trHeight w:val="277"/>
        </w:trPr>
        <w:tc>
          <w:tcPr>
            <w:tcW w:w="516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Bank notes/certificates of deposit/time deposits</w:t>
            </w:r>
          </w:p>
        </w:tc>
        <w:tc>
          <w:tcPr>
            <w:tcW w:w="340" w:type="dxa"/>
            <w:vAlign w:val="bottom"/>
            <w:shd w:val="clear" w:color="auto" w:fill="CCEEFF"/>
          </w:tcPr>
          <w:p>
            <w:pPr>
              <w:spacing w:after="0"/>
              <w:rPr>
                <w:sz w:val="24"/>
                <w:szCs w:val="24"/>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2,435</w:t>
            </w:r>
          </w:p>
        </w:tc>
        <w:tc>
          <w:tcPr>
            <w:tcW w:w="8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320" w:type="dxa"/>
            <w:vAlign w:val="bottom"/>
            <w:shd w:val="clear" w:color="auto" w:fill="CCEEFF"/>
          </w:tcPr>
          <w:p>
            <w:pPr>
              <w:spacing w:after="0"/>
              <w:rPr>
                <w:sz w:val="24"/>
                <w:szCs w:val="24"/>
                <w:color w:val="auto"/>
              </w:rPr>
            </w:pPr>
          </w:p>
        </w:tc>
        <w:tc>
          <w:tcPr>
            <w:tcW w:w="12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320" w:type="dxa"/>
            <w:vAlign w:val="bottom"/>
            <w:shd w:val="clear" w:color="auto" w:fill="CCEEFF"/>
          </w:tcPr>
          <w:p>
            <w:pPr>
              <w:spacing w:after="0"/>
              <w:rPr>
                <w:sz w:val="24"/>
                <w:szCs w:val="24"/>
                <w:color w:val="auto"/>
              </w:rPr>
            </w:pPr>
          </w:p>
        </w:tc>
        <w:tc>
          <w:tcPr>
            <w:tcW w:w="116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2,435</w:t>
            </w:r>
          </w:p>
        </w:tc>
        <w:tc>
          <w:tcPr>
            <w:tcW w:w="120" w:type="dxa"/>
            <w:vAlign w:val="bottom"/>
            <w:shd w:val="clear" w:color="auto" w:fill="CCEEFF"/>
          </w:tcPr>
          <w:p>
            <w:pPr>
              <w:spacing w:after="0"/>
              <w:rPr>
                <w:sz w:val="24"/>
                <w:szCs w:val="24"/>
                <w:color w:val="auto"/>
              </w:rPr>
            </w:pPr>
          </w:p>
        </w:tc>
        <w:tc>
          <w:tcPr>
            <w:tcW w:w="300" w:type="dxa"/>
            <w:vAlign w:val="bottom"/>
            <w:shd w:val="clear" w:color="auto" w:fill="CCEEFF"/>
          </w:tcPr>
          <w:p>
            <w:pPr>
              <w:spacing w:after="0"/>
              <w:rPr>
                <w:sz w:val="24"/>
                <w:szCs w:val="24"/>
                <w:color w:val="auto"/>
              </w:rPr>
            </w:pPr>
          </w:p>
        </w:tc>
        <w:tc>
          <w:tcPr>
            <w:tcW w:w="1180" w:type="dxa"/>
            <w:vAlign w:val="bottom"/>
            <w:shd w:val="clear" w:color="auto" w:fill="CCEEFF"/>
          </w:tcPr>
          <w:p>
            <w:pPr>
              <w:ind w:left="900"/>
              <w:spacing w:after="0"/>
              <w:rPr>
                <w:sz w:val="20"/>
                <w:szCs w:val="20"/>
                <w:color w:val="auto"/>
              </w:rPr>
            </w:pPr>
            <w:r>
              <w:rPr>
                <w:rFonts w:ascii="Arial" w:cs="Arial" w:eastAsia="Arial" w:hAnsi="Arial"/>
                <w:sz w:val="18"/>
                <w:szCs w:val="18"/>
                <w:color w:val="auto"/>
              </w:rPr>
              <w:t>—</w:t>
            </w:r>
          </w:p>
        </w:tc>
      </w:tr>
      <w:tr>
        <w:trPr>
          <w:trHeight w:val="263"/>
        </w:trPr>
        <w:tc>
          <w:tcPr>
            <w:tcW w:w="5160" w:type="dxa"/>
            <w:vAlign w:val="bottom"/>
            <w:gridSpan w:val="2"/>
          </w:tcPr>
          <w:p>
            <w:pPr>
              <w:ind w:left="180"/>
              <w:spacing w:after="0"/>
              <w:rPr>
                <w:sz w:val="20"/>
                <w:szCs w:val="20"/>
                <w:color w:val="auto"/>
              </w:rPr>
            </w:pPr>
            <w:r>
              <w:rPr>
                <w:rFonts w:ascii="Arial" w:cs="Arial" w:eastAsia="Arial" w:hAnsi="Arial"/>
                <w:sz w:val="18"/>
                <w:szCs w:val="18"/>
                <w:color w:val="auto"/>
              </w:rPr>
              <w:t>Corporate obligations</w:t>
            </w:r>
          </w:p>
        </w:tc>
        <w:tc>
          <w:tcPr>
            <w:tcW w:w="340" w:type="dxa"/>
            <w:vAlign w:val="bottom"/>
          </w:tcPr>
          <w:p>
            <w:pPr>
              <w:spacing w:after="0"/>
              <w:rPr>
                <w:sz w:val="22"/>
                <w:szCs w:val="22"/>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1,658</w:t>
            </w:r>
          </w:p>
        </w:tc>
        <w:tc>
          <w:tcPr>
            <w:tcW w:w="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12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22"/>
                <w:szCs w:val="22"/>
                <w:color w:val="auto"/>
              </w:rPr>
            </w:pPr>
          </w:p>
        </w:tc>
        <w:tc>
          <w:tcPr>
            <w:tcW w:w="1160" w:type="dxa"/>
            <w:vAlign w:val="bottom"/>
          </w:tcPr>
          <w:p>
            <w:pPr>
              <w:jc w:val="right"/>
              <w:ind w:right="12"/>
              <w:spacing w:after="0"/>
              <w:rPr>
                <w:sz w:val="20"/>
                <w:szCs w:val="20"/>
                <w:color w:val="auto"/>
              </w:rPr>
            </w:pPr>
            <w:r>
              <w:rPr>
                <w:rFonts w:ascii="Arial" w:cs="Arial" w:eastAsia="Arial" w:hAnsi="Arial"/>
                <w:sz w:val="18"/>
                <w:szCs w:val="18"/>
                <w:color w:val="auto"/>
              </w:rPr>
              <w:t>1,658</w:t>
            </w:r>
          </w:p>
        </w:tc>
        <w:tc>
          <w:tcPr>
            <w:tcW w:w="12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1180" w:type="dxa"/>
            <w:vAlign w:val="bottom"/>
          </w:tcPr>
          <w:p>
            <w:pPr>
              <w:ind w:left="900"/>
              <w:spacing w:after="0"/>
              <w:rPr>
                <w:sz w:val="20"/>
                <w:szCs w:val="20"/>
                <w:color w:val="auto"/>
              </w:rPr>
            </w:pPr>
            <w:r>
              <w:rPr>
                <w:rFonts w:ascii="Arial" w:cs="Arial" w:eastAsia="Arial" w:hAnsi="Arial"/>
                <w:sz w:val="18"/>
                <w:szCs w:val="18"/>
                <w:color w:val="auto"/>
              </w:rPr>
              <w:t>—</w:t>
            </w:r>
          </w:p>
        </w:tc>
      </w:tr>
      <w:tr>
        <w:trPr>
          <w:trHeight w:val="270"/>
        </w:trPr>
        <w:tc>
          <w:tcPr>
            <w:tcW w:w="516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Repurchase agreements</w:t>
            </w:r>
          </w:p>
        </w:tc>
        <w:tc>
          <w:tcPr>
            <w:tcW w:w="340" w:type="dxa"/>
            <w:vAlign w:val="bottom"/>
            <w:shd w:val="clear" w:color="auto" w:fill="CCEEFF"/>
          </w:tcPr>
          <w:p>
            <w:pPr>
              <w:spacing w:after="0"/>
              <w:rPr>
                <w:sz w:val="23"/>
                <w:szCs w:val="23"/>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375</w:t>
            </w:r>
          </w:p>
        </w:tc>
        <w:tc>
          <w:tcPr>
            <w:tcW w:w="8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320" w:type="dxa"/>
            <w:vAlign w:val="bottom"/>
            <w:shd w:val="clear" w:color="auto" w:fill="CCEEFF"/>
          </w:tcPr>
          <w:p>
            <w:pPr>
              <w:spacing w:after="0"/>
              <w:rPr>
                <w:sz w:val="23"/>
                <w:szCs w:val="23"/>
                <w:color w:val="auto"/>
              </w:rPr>
            </w:pPr>
          </w:p>
        </w:tc>
        <w:tc>
          <w:tcPr>
            <w:tcW w:w="12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320" w:type="dxa"/>
            <w:vAlign w:val="bottom"/>
            <w:shd w:val="clear" w:color="auto" w:fill="CCEEFF"/>
          </w:tcPr>
          <w:p>
            <w:pPr>
              <w:spacing w:after="0"/>
              <w:rPr>
                <w:sz w:val="23"/>
                <w:szCs w:val="23"/>
                <w:color w:val="auto"/>
              </w:rPr>
            </w:pPr>
          </w:p>
        </w:tc>
        <w:tc>
          <w:tcPr>
            <w:tcW w:w="116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375</w:t>
            </w:r>
          </w:p>
        </w:tc>
        <w:tc>
          <w:tcPr>
            <w:tcW w:w="120" w:type="dxa"/>
            <w:vAlign w:val="bottom"/>
            <w:shd w:val="clear" w:color="auto" w:fill="CCEEFF"/>
          </w:tcPr>
          <w:p>
            <w:pPr>
              <w:spacing w:after="0"/>
              <w:rPr>
                <w:sz w:val="23"/>
                <w:szCs w:val="23"/>
                <w:color w:val="auto"/>
              </w:rPr>
            </w:pPr>
          </w:p>
        </w:tc>
        <w:tc>
          <w:tcPr>
            <w:tcW w:w="300" w:type="dxa"/>
            <w:vAlign w:val="bottom"/>
            <w:shd w:val="clear" w:color="auto" w:fill="CCEEFF"/>
          </w:tcPr>
          <w:p>
            <w:pPr>
              <w:spacing w:after="0"/>
              <w:rPr>
                <w:sz w:val="23"/>
                <w:szCs w:val="23"/>
                <w:color w:val="auto"/>
              </w:rPr>
            </w:pPr>
          </w:p>
        </w:tc>
        <w:tc>
          <w:tcPr>
            <w:tcW w:w="1180" w:type="dxa"/>
            <w:vAlign w:val="bottom"/>
            <w:shd w:val="clear" w:color="auto" w:fill="CCEEFF"/>
          </w:tcPr>
          <w:p>
            <w:pPr>
              <w:ind w:left="900"/>
              <w:spacing w:after="0"/>
              <w:rPr>
                <w:sz w:val="20"/>
                <w:szCs w:val="20"/>
                <w:color w:val="auto"/>
              </w:rPr>
            </w:pPr>
            <w:r>
              <w:rPr>
                <w:rFonts w:ascii="Arial" w:cs="Arial" w:eastAsia="Arial" w:hAnsi="Arial"/>
                <w:sz w:val="18"/>
                <w:szCs w:val="18"/>
                <w:color w:val="auto"/>
              </w:rPr>
              <w:t>—</w:t>
            </w:r>
          </w:p>
        </w:tc>
      </w:tr>
      <w:tr>
        <w:trPr>
          <w:trHeight w:val="250"/>
        </w:trPr>
        <w:tc>
          <w:tcPr>
            <w:tcW w:w="2120" w:type="dxa"/>
            <w:vAlign w:val="bottom"/>
          </w:tcPr>
          <w:p>
            <w:pPr>
              <w:spacing w:after="0"/>
              <w:rPr>
                <w:sz w:val="21"/>
                <w:szCs w:val="21"/>
                <w:color w:val="auto"/>
              </w:rPr>
            </w:pPr>
          </w:p>
        </w:tc>
        <w:tc>
          <w:tcPr>
            <w:tcW w:w="3040" w:type="dxa"/>
            <w:vAlign w:val="bottom"/>
          </w:tcPr>
          <w:p>
            <w:pPr>
              <w:spacing w:after="0"/>
              <w:rPr>
                <w:sz w:val="21"/>
                <w:szCs w:val="21"/>
                <w:color w:val="auto"/>
              </w:rPr>
            </w:pPr>
          </w:p>
        </w:tc>
        <w:tc>
          <w:tcPr>
            <w:tcW w:w="340" w:type="dxa"/>
            <w:vAlign w:val="bottom"/>
            <w:tcBorders>
              <w:top w:val="single" w:sz="8" w:color="auto"/>
            </w:tcBorders>
          </w:tcPr>
          <w:p>
            <w:pPr>
              <w:spacing w:after="0"/>
              <w:rPr>
                <w:sz w:val="21"/>
                <w:szCs w:val="21"/>
                <w:color w:val="auto"/>
              </w:rPr>
            </w:pPr>
          </w:p>
        </w:tc>
        <w:tc>
          <w:tcPr>
            <w:tcW w:w="10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4,482</w:t>
            </w:r>
          </w:p>
        </w:tc>
        <w:tc>
          <w:tcPr>
            <w:tcW w:w="80" w:type="dxa"/>
            <w:vAlign w:val="bottom"/>
            <w:tcBorders>
              <w:top w:val="single" w:sz="8" w:color="auto"/>
            </w:tcBorders>
          </w:tcPr>
          <w:p>
            <w:pPr>
              <w:spacing w:after="0"/>
              <w:rPr>
                <w:sz w:val="21"/>
                <w:szCs w:val="21"/>
                <w:color w:val="auto"/>
              </w:rPr>
            </w:pPr>
          </w:p>
        </w:tc>
        <w:tc>
          <w:tcPr>
            <w:tcW w:w="100" w:type="dxa"/>
            <w:vAlign w:val="bottom"/>
          </w:tcPr>
          <w:p>
            <w:pPr>
              <w:spacing w:after="0"/>
              <w:rPr>
                <w:sz w:val="21"/>
                <w:szCs w:val="21"/>
                <w:color w:val="auto"/>
              </w:rPr>
            </w:pPr>
          </w:p>
        </w:tc>
        <w:tc>
          <w:tcPr>
            <w:tcW w:w="320" w:type="dxa"/>
            <w:vAlign w:val="bottom"/>
            <w:tcBorders>
              <w:top w:val="single" w:sz="8" w:color="auto"/>
            </w:tcBorders>
          </w:tcPr>
          <w:p>
            <w:pPr>
              <w:spacing w:after="0"/>
              <w:rPr>
                <w:sz w:val="21"/>
                <w:szCs w:val="21"/>
                <w:color w:val="auto"/>
              </w:rPr>
            </w:pPr>
          </w:p>
        </w:tc>
        <w:tc>
          <w:tcPr>
            <w:tcW w:w="1180" w:type="dxa"/>
            <w:vAlign w:val="bottom"/>
            <w:tcBorders>
              <w:top w:val="single" w:sz="8" w:color="auto"/>
            </w:tcBorders>
          </w:tcPr>
          <w:p>
            <w:pPr>
              <w:jc w:val="right"/>
              <w:ind w:right="32"/>
              <w:spacing w:after="0"/>
              <w:rPr>
                <w:sz w:val="20"/>
                <w:szCs w:val="20"/>
                <w:color w:val="auto"/>
              </w:rPr>
            </w:pPr>
            <w:r>
              <w:rPr>
                <w:rFonts w:ascii="Arial" w:cs="Arial" w:eastAsia="Arial" w:hAnsi="Arial"/>
                <w:sz w:val="18"/>
                <w:szCs w:val="18"/>
                <w:color w:val="auto"/>
              </w:rPr>
              <w:t>14</w:t>
            </w:r>
          </w:p>
        </w:tc>
        <w:tc>
          <w:tcPr>
            <w:tcW w:w="100" w:type="dxa"/>
            <w:vAlign w:val="bottom"/>
          </w:tcPr>
          <w:p>
            <w:pPr>
              <w:spacing w:after="0"/>
              <w:rPr>
                <w:sz w:val="21"/>
                <w:szCs w:val="21"/>
                <w:color w:val="auto"/>
              </w:rPr>
            </w:pPr>
          </w:p>
        </w:tc>
        <w:tc>
          <w:tcPr>
            <w:tcW w:w="320" w:type="dxa"/>
            <w:vAlign w:val="bottom"/>
            <w:tcBorders>
              <w:top w:val="single" w:sz="8" w:color="auto"/>
            </w:tcBorders>
          </w:tcPr>
          <w:p>
            <w:pPr>
              <w:spacing w:after="0"/>
              <w:rPr>
                <w:sz w:val="21"/>
                <w:szCs w:val="21"/>
                <w:color w:val="auto"/>
              </w:rPr>
            </w:pPr>
          </w:p>
        </w:tc>
        <w:tc>
          <w:tcPr>
            <w:tcW w:w="1160" w:type="dxa"/>
            <w:vAlign w:val="bottom"/>
            <w:tcBorders>
              <w:top w:val="single" w:sz="8" w:color="auto"/>
            </w:tcBorders>
          </w:tcPr>
          <w:p>
            <w:pPr>
              <w:jc w:val="right"/>
              <w:ind w:right="12"/>
              <w:spacing w:after="0"/>
              <w:rPr>
                <w:sz w:val="20"/>
                <w:szCs w:val="20"/>
                <w:color w:val="auto"/>
              </w:rPr>
            </w:pPr>
            <w:r>
              <w:rPr>
                <w:rFonts w:ascii="Arial" w:cs="Arial" w:eastAsia="Arial" w:hAnsi="Arial"/>
                <w:sz w:val="18"/>
                <w:szCs w:val="18"/>
                <w:color w:val="auto"/>
              </w:rPr>
              <w:t>4,468</w:t>
            </w:r>
          </w:p>
        </w:tc>
        <w:tc>
          <w:tcPr>
            <w:tcW w:w="120" w:type="dxa"/>
            <w:vAlign w:val="bottom"/>
          </w:tcPr>
          <w:p>
            <w:pPr>
              <w:spacing w:after="0"/>
              <w:rPr>
                <w:sz w:val="21"/>
                <w:szCs w:val="21"/>
                <w:color w:val="auto"/>
              </w:rPr>
            </w:pPr>
          </w:p>
        </w:tc>
        <w:tc>
          <w:tcPr>
            <w:tcW w:w="300" w:type="dxa"/>
            <w:vAlign w:val="bottom"/>
            <w:tcBorders>
              <w:top w:val="single" w:sz="8" w:color="auto"/>
            </w:tcBorders>
          </w:tcPr>
          <w:p>
            <w:pPr>
              <w:spacing w:after="0"/>
              <w:rPr>
                <w:sz w:val="21"/>
                <w:szCs w:val="21"/>
                <w:color w:val="auto"/>
              </w:rPr>
            </w:pPr>
          </w:p>
        </w:tc>
        <w:tc>
          <w:tcPr>
            <w:tcW w:w="1180" w:type="dxa"/>
            <w:vAlign w:val="bottom"/>
            <w:tcBorders>
              <w:top w:val="single" w:sz="8" w:color="auto"/>
            </w:tcBorders>
          </w:tcPr>
          <w:p>
            <w:pPr>
              <w:ind w:left="900"/>
              <w:spacing w:after="0"/>
              <w:rPr>
                <w:sz w:val="20"/>
                <w:szCs w:val="20"/>
                <w:color w:val="auto"/>
              </w:rPr>
            </w:pPr>
            <w:r>
              <w:rPr>
                <w:rFonts w:ascii="Arial" w:cs="Arial" w:eastAsia="Arial" w:hAnsi="Arial"/>
                <w:sz w:val="18"/>
                <w:szCs w:val="18"/>
                <w:color w:val="auto"/>
              </w:rPr>
              <w:t>—</w:t>
            </w:r>
          </w:p>
        </w:tc>
      </w:tr>
      <w:tr>
        <w:trPr>
          <w:trHeight w:val="277"/>
        </w:trPr>
        <w:tc>
          <w:tcPr>
            <w:tcW w:w="5160" w:type="dxa"/>
            <w:vAlign w:val="bottom"/>
            <w:gridSpan w:val="2"/>
            <w:shd w:val="clear" w:color="auto" w:fill="CCEEFF"/>
          </w:tcPr>
          <w:p>
            <w:pPr>
              <w:ind w:left="40"/>
              <w:spacing w:after="0"/>
              <w:rPr>
                <w:sz w:val="20"/>
                <w:szCs w:val="20"/>
                <w:color w:val="auto"/>
              </w:rPr>
            </w:pPr>
            <w:r>
              <w:rPr>
                <w:rFonts w:ascii="Arial" w:cs="Arial" w:eastAsia="Arial" w:hAnsi="Arial"/>
                <w:sz w:val="18"/>
                <w:szCs w:val="18"/>
                <w:color w:val="auto"/>
              </w:rPr>
              <w:t xml:space="preserve">Restricted cash and short-term investments </w:t>
            </w:r>
            <w:r>
              <w:rPr>
                <w:rFonts w:ascii="Arial" w:cs="Arial" w:eastAsia="Arial" w:hAnsi="Arial"/>
                <w:sz w:val="21"/>
                <w:szCs w:val="21"/>
                <w:color w:val="auto"/>
                <w:vertAlign w:val="superscript"/>
              </w:rPr>
              <w:t>(1)</w:t>
            </w:r>
          </w:p>
        </w:tc>
        <w:tc>
          <w:tcPr>
            <w:tcW w:w="340" w:type="dxa"/>
            <w:vAlign w:val="bottom"/>
            <w:shd w:val="clear" w:color="auto" w:fill="CCEEFF"/>
          </w:tcPr>
          <w:p>
            <w:pPr>
              <w:spacing w:after="0"/>
              <w:rPr>
                <w:sz w:val="24"/>
                <w:szCs w:val="24"/>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154</w:t>
            </w:r>
          </w:p>
        </w:tc>
        <w:tc>
          <w:tcPr>
            <w:tcW w:w="8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320" w:type="dxa"/>
            <w:vAlign w:val="bottom"/>
            <w:shd w:val="clear" w:color="auto" w:fill="CCEEFF"/>
          </w:tcPr>
          <w:p>
            <w:pPr>
              <w:spacing w:after="0"/>
              <w:rPr>
                <w:sz w:val="24"/>
                <w:szCs w:val="24"/>
                <w:color w:val="auto"/>
              </w:rPr>
            </w:pPr>
          </w:p>
        </w:tc>
        <w:tc>
          <w:tcPr>
            <w:tcW w:w="1180" w:type="dxa"/>
            <w:vAlign w:val="bottom"/>
            <w:shd w:val="clear" w:color="auto" w:fill="CCEEFF"/>
          </w:tcPr>
          <w:p>
            <w:pPr>
              <w:jc w:val="right"/>
              <w:ind w:right="32"/>
              <w:spacing w:after="0"/>
              <w:rPr>
                <w:sz w:val="20"/>
                <w:szCs w:val="20"/>
                <w:color w:val="auto"/>
              </w:rPr>
            </w:pPr>
            <w:r>
              <w:rPr>
                <w:rFonts w:ascii="Arial" w:cs="Arial" w:eastAsia="Arial" w:hAnsi="Arial"/>
                <w:sz w:val="18"/>
                <w:szCs w:val="18"/>
                <w:color w:val="auto"/>
              </w:rPr>
              <w:t>12</w:t>
            </w:r>
          </w:p>
        </w:tc>
        <w:tc>
          <w:tcPr>
            <w:tcW w:w="100" w:type="dxa"/>
            <w:vAlign w:val="bottom"/>
            <w:shd w:val="clear" w:color="auto" w:fill="CCEEFF"/>
          </w:tcPr>
          <w:p>
            <w:pPr>
              <w:spacing w:after="0"/>
              <w:rPr>
                <w:sz w:val="24"/>
                <w:szCs w:val="24"/>
                <w:color w:val="auto"/>
              </w:rPr>
            </w:pPr>
          </w:p>
        </w:tc>
        <w:tc>
          <w:tcPr>
            <w:tcW w:w="320" w:type="dxa"/>
            <w:vAlign w:val="bottom"/>
            <w:shd w:val="clear" w:color="auto" w:fill="CCEEFF"/>
          </w:tcPr>
          <w:p>
            <w:pPr>
              <w:spacing w:after="0"/>
              <w:rPr>
                <w:sz w:val="24"/>
                <w:szCs w:val="24"/>
                <w:color w:val="auto"/>
              </w:rPr>
            </w:pPr>
          </w:p>
        </w:tc>
        <w:tc>
          <w:tcPr>
            <w:tcW w:w="116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142</w:t>
            </w:r>
          </w:p>
        </w:tc>
        <w:tc>
          <w:tcPr>
            <w:tcW w:w="120" w:type="dxa"/>
            <w:vAlign w:val="bottom"/>
            <w:shd w:val="clear" w:color="auto" w:fill="CCEEFF"/>
          </w:tcPr>
          <w:p>
            <w:pPr>
              <w:spacing w:after="0"/>
              <w:rPr>
                <w:sz w:val="24"/>
                <w:szCs w:val="24"/>
                <w:color w:val="auto"/>
              </w:rPr>
            </w:pPr>
          </w:p>
        </w:tc>
        <w:tc>
          <w:tcPr>
            <w:tcW w:w="300" w:type="dxa"/>
            <w:vAlign w:val="bottom"/>
            <w:shd w:val="clear" w:color="auto" w:fill="CCEEFF"/>
          </w:tcPr>
          <w:p>
            <w:pPr>
              <w:spacing w:after="0"/>
              <w:rPr>
                <w:sz w:val="24"/>
                <w:szCs w:val="24"/>
                <w:color w:val="auto"/>
              </w:rPr>
            </w:pPr>
          </w:p>
        </w:tc>
        <w:tc>
          <w:tcPr>
            <w:tcW w:w="1180" w:type="dxa"/>
            <w:vAlign w:val="bottom"/>
            <w:shd w:val="clear" w:color="auto" w:fill="CCEEFF"/>
          </w:tcPr>
          <w:p>
            <w:pPr>
              <w:ind w:left="900"/>
              <w:spacing w:after="0"/>
              <w:rPr>
                <w:sz w:val="20"/>
                <w:szCs w:val="20"/>
                <w:color w:val="auto"/>
              </w:rPr>
            </w:pPr>
            <w:r>
              <w:rPr>
                <w:rFonts w:ascii="Arial" w:cs="Arial" w:eastAsia="Arial" w:hAnsi="Arial"/>
                <w:sz w:val="18"/>
                <w:szCs w:val="18"/>
                <w:color w:val="auto"/>
              </w:rPr>
              <w:t>—</w:t>
            </w:r>
          </w:p>
        </w:tc>
      </w:tr>
      <w:tr>
        <w:trPr>
          <w:trHeight w:val="270"/>
        </w:trPr>
        <w:tc>
          <w:tcPr>
            <w:tcW w:w="5160" w:type="dxa"/>
            <w:vAlign w:val="bottom"/>
            <w:tcBorders>
              <w:bottom w:val="single" w:sz="8" w:color="CCEEFF"/>
            </w:tcBorders>
            <w:gridSpan w:val="2"/>
          </w:tcPr>
          <w:p>
            <w:pPr>
              <w:ind w:left="40"/>
              <w:spacing w:after="0"/>
              <w:rPr>
                <w:sz w:val="20"/>
                <w:szCs w:val="20"/>
                <w:color w:val="auto"/>
              </w:rPr>
            </w:pPr>
            <w:r>
              <w:rPr>
                <w:rFonts w:ascii="Arial" w:cs="Arial" w:eastAsia="Arial" w:hAnsi="Arial"/>
                <w:sz w:val="18"/>
                <w:szCs w:val="18"/>
                <w:color w:val="auto"/>
              </w:rPr>
              <w:t xml:space="preserve">Long-term investments </w:t>
            </w:r>
            <w:r>
              <w:rPr>
                <w:rFonts w:ascii="Arial" w:cs="Arial" w:eastAsia="Arial" w:hAnsi="Arial"/>
                <w:sz w:val="21"/>
                <w:szCs w:val="21"/>
                <w:color w:val="auto"/>
                <w:vertAlign w:val="superscript"/>
              </w:rPr>
              <w:t>(3)</w:t>
            </w:r>
          </w:p>
        </w:tc>
        <w:tc>
          <w:tcPr>
            <w:tcW w:w="340" w:type="dxa"/>
            <w:vAlign w:val="bottom"/>
            <w:tcBorders>
              <w:bottom w:val="single" w:sz="8" w:color="auto"/>
            </w:tcBorders>
          </w:tcPr>
          <w:p>
            <w:pPr>
              <w:spacing w:after="0"/>
              <w:rPr>
                <w:sz w:val="23"/>
                <w:szCs w:val="23"/>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189</w:t>
            </w:r>
          </w:p>
        </w:tc>
        <w:tc>
          <w:tcPr>
            <w:tcW w:w="80" w:type="dxa"/>
            <w:vAlign w:val="bottom"/>
            <w:tcBorders>
              <w:bottom w:val="single" w:sz="8" w:color="auto"/>
            </w:tcBorders>
          </w:tcPr>
          <w:p>
            <w:pPr>
              <w:spacing w:after="0"/>
              <w:rPr>
                <w:sz w:val="23"/>
                <w:szCs w:val="23"/>
                <w:color w:val="auto"/>
              </w:rPr>
            </w:pPr>
          </w:p>
        </w:tc>
        <w:tc>
          <w:tcPr>
            <w:tcW w:w="100" w:type="dxa"/>
            <w:vAlign w:val="bottom"/>
            <w:tcBorders>
              <w:bottom w:val="single" w:sz="8" w:color="CCEEFF"/>
            </w:tcBorders>
          </w:tcPr>
          <w:p>
            <w:pPr>
              <w:spacing w:after="0"/>
              <w:rPr>
                <w:sz w:val="23"/>
                <w:szCs w:val="23"/>
                <w:color w:val="auto"/>
              </w:rPr>
            </w:pPr>
          </w:p>
        </w:tc>
        <w:tc>
          <w:tcPr>
            <w:tcW w:w="320" w:type="dxa"/>
            <w:vAlign w:val="bottom"/>
            <w:tcBorders>
              <w:bottom w:val="single" w:sz="8" w:color="auto"/>
            </w:tcBorders>
          </w:tcPr>
          <w:p>
            <w:pPr>
              <w:spacing w:after="0"/>
              <w:rPr>
                <w:sz w:val="23"/>
                <w:szCs w:val="23"/>
                <w:color w:val="auto"/>
              </w:rPr>
            </w:pPr>
          </w:p>
        </w:tc>
        <w:tc>
          <w:tcPr>
            <w:tcW w:w="1180" w:type="dxa"/>
            <w:vAlign w:val="bottom"/>
            <w:tcBorders>
              <w:bottom w:val="single" w:sz="8" w:color="auto"/>
            </w:tcBorders>
          </w:tcPr>
          <w:p>
            <w:pPr>
              <w:jc w:val="right"/>
              <w:ind w:right="32"/>
              <w:spacing w:after="0"/>
              <w:rPr>
                <w:sz w:val="20"/>
                <w:szCs w:val="20"/>
                <w:color w:val="auto"/>
              </w:rPr>
            </w:pPr>
            <w:r>
              <w:rPr>
                <w:rFonts w:ascii="Arial" w:cs="Arial" w:eastAsia="Arial" w:hAnsi="Arial"/>
                <w:sz w:val="18"/>
                <w:szCs w:val="18"/>
                <w:color w:val="auto"/>
              </w:rPr>
              <w:t>189</w:t>
            </w:r>
          </w:p>
        </w:tc>
        <w:tc>
          <w:tcPr>
            <w:tcW w:w="100" w:type="dxa"/>
            <w:vAlign w:val="bottom"/>
            <w:tcBorders>
              <w:bottom w:val="single" w:sz="8" w:color="CCEEFF"/>
            </w:tcBorders>
          </w:tcPr>
          <w:p>
            <w:pPr>
              <w:spacing w:after="0"/>
              <w:rPr>
                <w:sz w:val="23"/>
                <w:szCs w:val="23"/>
                <w:color w:val="auto"/>
              </w:rPr>
            </w:pPr>
          </w:p>
        </w:tc>
        <w:tc>
          <w:tcPr>
            <w:tcW w:w="320" w:type="dxa"/>
            <w:vAlign w:val="bottom"/>
            <w:tcBorders>
              <w:bottom w:val="single" w:sz="8" w:color="auto"/>
            </w:tcBorders>
          </w:tcPr>
          <w:p>
            <w:pPr>
              <w:spacing w:after="0"/>
              <w:rPr>
                <w:sz w:val="23"/>
                <w:szCs w:val="23"/>
                <w:color w:val="auto"/>
              </w:rPr>
            </w:pPr>
          </w:p>
        </w:tc>
        <w:tc>
          <w:tcPr>
            <w:tcW w:w="1160" w:type="dxa"/>
            <w:vAlign w:val="bottom"/>
            <w:tcBorders>
              <w:bottom w:val="single" w:sz="8" w:color="auto"/>
            </w:tcBorders>
          </w:tcPr>
          <w:p>
            <w:pPr>
              <w:jc w:val="right"/>
              <w:ind w:right="12"/>
              <w:spacing w:after="0"/>
              <w:rPr>
                <w:sz w:val="20"/>
                <w:szCs w:val="20"/>
                <w:color w:val="auto"/>
              </w:rPr>
            </w:pPr>
            <w:r>
              <w:rPr>
                <w:rFonts w:ascii="Arial" w:cs="Arial" w:eastAsia="Arial" w:hAnsi="Arial"/>
                <w:sz w:val="18"/>
                <w:szCs w:val="18"/>
                <w:color w:val="auto"/>
              </w:rPr>
              <w:t>—</w:t>
            </w:r>
          </w:p>
        </w:tc>
        <w:tc>
          <w:tcPr>
            <w:tcW w:w="120" w:type="dxa"/>
            <w:vAlign w:val="bottom"/>
            <w:tcBorders>
              <w:bottom w:val="single" w:sz="8" w:color="CCEEFF"/>
            </w:tcBorders>
          </w:tcPr>
          <w:p>
            <w:pPr>
              <w:spacing w:after="0"/>
              <w:rPr>
                <w:sz w:val="23"/>
                <w:szCs w:val="23"/>
                <w:color w:val="auto"/>
              </w:rPr>
            </w:pPr>
          </w:p>
        </w:tc>
        <w:tc>
          <w:tcPr>
            <w:tcW w:w="300" w:type="dxa"/>
            <w:vAlign w:val="bottom"/>
            <w:tcBorders>
              <w:bottom w:val="single" w:sz="8" w:color="auto"/>
            </w:tcBorders>
          </w:tcPr>
          <w:p>
            <w:pPr>
              <w:spacing w:after="0"/>
              <w:rPr>
                <w:sz w:val="23"/>
                <w:szCs w:val="23"/>
                <w:color w:val="auto"/>
              </w:rPr>
            </w:pPr>
          </w:p>
        </w:tc>
        <w:tc>
          <w:tcPr>
            <w:tcW w:w="1180" w:type="dxa"/>
            <w:vAlign w:val="bottom"/>
            <w:tcBorders>
              <w:bottom w:val="single" w:sz="8" w:color="auto"/>
            </w:tcBorders>
          </w:tcPr>
          <w:p>
            <w:pPr>
              <w:ind w:left="900"/>
              <w:spacing w:after="0"/>
              <w:rPr>
                <w:sz w:val="20"/>
                <w:szCs w:val="20"/>
                <w:color w:val="auto"/>
              </w:rPr>
            </w:pPr>
            <w:r>
              <w:rPr>
                <w:rFonts w:ascii="Arial" w:cs="Arial" w:eastAsia="Arial" w:hAnsi="Arial"/>
                <w:sz w:val="18"/>
                <w:szCs w:val="18"/>
                <w:color w:val="auto"/>
              </w:rPr>
              <w:t>—</w:t>
            </w:r>
          </w:p>
        </w:tc>
      </w:tr>
      <w:tr>
        <w:trPr>
          <w:trHeight w:val="244"/>
        </w:trPr>
        <w:tc>
          <w:tcPr>
            <w:tcW w:w="5160" w:type="dxa"/>
            <w:vAlign w:val="bottom"/>
            <w:gridSpan w:val="2"/>
            <w:shd w:val="clear" w:color="auto" w:fill="CCEEFF"/>
          </w:tcPr>
          <w:p>
            <w:pPr>
              <w:ind w:left="40"/>
              <w:spacing w:after="0"/>
              <w:rPr>
                <w:sz w:val="20"/>
                <w:szCs w:val="20"/>
                <w:color w:val="auto"/>
              </w:rPr>
            </w:pPr>
            <w:r>
              <w:rPr>
                <w:rFonts w:ascii="Arial" w:cs="Arial" w:eastAsia="Arial" w:hAnsi="Arial"/>
                <w:sz w:val="18"/>
                <w:szCs w:val="18"/>
                <w:color w:val="auto"/>
              </w:rPr>
              <w:t>Total</w:t>
            </w:r>
          </w:p>
        </w:tc>
        <w:tc>
          <w:tcPr>
            <w:tcW w:w="34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4,825</w:t>
            </w:r>
          </w:p>
        </w:tc>
        <w:tc>
          <w:tcPr>
            <w:tcW w:w="500" w:type="dxa"/>
            <w:vAlign w:val="bottom"/>
            <w:gridSpan w:val="3"/>
            <w:shd w:val="clear" w:color="auto" w:fill="CCEEFF"/>
          </w:tcPr>
          <w:p>
            <w:pPr>
              <w:jc w:val="right"/>
              <w:ind w:right="90"/>
              <w:spacing w:after="0"/>
              <w:rPr>
                <w:sz w:val="20"/>
                <w:szCs w:val="20"/>
                <w:color w:val="auto"/>
              </w:rPr>
            </w:pPr>
            <w:r>
              <w:rPr>
                <w:rFonts w:ascii="Arial" w:cs="Arial" w:eastAsia="Arial" w:hAnsi="Arial"/>
                <w:sz w:val="18"/>
                <w:szCs w:val="18"/>
                <w:color w:val="auto"/>
              </w:rPr>
              <w:t>$</w:t>
            </w:r>
          </w:p>
        </w:tc>
        <w:tc>
          <w:tcPr>
            <w:tcW w:w="1180" w:type="dxa"/>
            <w:vAlign w:val="bottom"/>
            <w:shd w:val="clear" w:color="auto" w:fill="CCEEFF"/>
          </w:tcPr>
          <w:p>
            <w:pPr>
              <w:jc w:val="right"/>
              <w:ind w:right="32"/>
              <w:spacing w:after="0"/>
              <w:rPr>
                <w:sz w:val="20"/>
                <w:szCs w:val="20"/>
                <w:color w:val="auto"/>
              </w:rPr>
            </w:pPr>
            <w:r>
              <w:rPr>
                <w:rFonts w:ascii="Arial" w:cs="Arial" w:eastAsia="Arial" w:hAnsi="Arial"/>
                <w:sz w:val="18"/>
                <w:szCs w:val="18"/>
                <w:color w:val="auto"/>
              </w:rPr>
              <w:t>215</w:t>
            </w:r>
          </w:p>
        </w:tc>
        <w:tc>
          <w:tcPr>
            <w:tcW w:w="100" w:type="dxa"/>
            <w:vAlign w:val="bottom"/>
            <w:shd w:val="clear" w:color="auto" w:fill="CCEEFF"/>
          </w:tcPr>
          <w:p>
            <w:pPr>
              <w:spacing w:after="0"/>
              <w:rPr>
                <w:sz w:val="21"/>
                <w:szCs w:val="21"/>
                <w:color w:val="auto"/>
              </w:rPr>
            </w:pPr>
          </w:p>
        </w:tc>
        <w:tc>
          <w:tcPr>
            <w:tcW w:w="32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16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4,610</w:t>
            </w:r>
          </w:p>
        </w:tc>
        <w:tc>
          <w:tcPr>
            <w:tcW w:w="120" w:type="dxa"/>
            <w:vAlign w:val="bottom"/>
            <w:shd w:val="clear" w:color="auto" w:fill="CCEEFF"/>
          </w:tcPr>
          <w:p>
            <w:pPr>
              <w:spacing w:after="0"/>
              <w:rPr>
                <w:sz w:val="21"/>
                <w:szCs w:val="21"/>
                <w:color w:val="auto"/>
              </w:rPr>
            </w:pPr>
          </w:p>
        </w:tc>
        <w:tc>
          <w:tcPr>
            <w:tcW w:w="30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180" w:type="dxa"/>
            <w:vAlign w:val="bottom"/>
            <w:shd w:val="clear" w:color="auto" w:fill="CCEEFF"/>
          </w:tcPr>
          <w:p>
            <w:pPr>
              <w:ind w:left="900"/>
              <w:spacing w:after="0"/>
              <w:rPr>
                <w:sz w:val="20"/>
                <w:szCs w:val="20"/>
                <w:color w:val="auto"/>
              </w:rPr>
            </w:pPr>
            <w:r>
              <w:rPr>
                <w:rFonts w:ascii="Arial" w:cs="Arial" w:eastAsia="Arial" w:hAnsi="Arial"/>
                <w:sz w:val="18"/>
                <w:szCs w:val="18"/>
                <w:color w:val="auto"/>
              </w:rPr>
              <w:t>—</w:t>
            </w:r>
          </w:p>
        </w:tc>
      </w:tr>
      <w:tr>
        <w:trPr>
          <w:trHeight w:val="20"/>
        </w:trPr>
        <w:tc>
          <w:tcPr>
            <w:tcW w:w="2120" w:type="dxa"/>
            <w:vAlign w:val="bottom"/>
            <w:tcBorders>
              <w:top w:val="single" w:sz="8" w:color="CCEEFF"/>
            </w:tcBorders>
          </w:tcPr>
          <w:p>
            <w:pPr>
              <w:spacing w:after="0" w:line="20" w:lineRule="exact"/>
              <w:rPr>
                <w:sz w:val="1"/>
                <w:szCs w:val="1"/>
                <w:color w:val="auto"/>
              </w:rPr>
            </w:pPr>
          </w:p>
        </w:tc>
        <w:tc>
          <w:tcPr>
            <w:tcW w:w="304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1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180" w:type="dxa"/>
            <w:vAlign w:val="bottom"/>
            <w:tcBorders>
              <w:top w:val="single" w:sz="8" w:color="auto"/>
              <w:bottom w:val="single" w:sz="8" w:color="auto"/>
            </w:tcBorders>
          </w:tcPr>
          <w:p>
            <w:pPr>
              <w:spacing w:after="0" w:line="20" w:lineRule="exact"/>
              <w:rPr>
                <w:sz w:val="1"/>
                <w:szCs w:val="1"/>
                <w:color w:val="auto"/>
              </w:rPr>
            </w:pPr>
          </w:p>
        </w:tc>
      </w:tr>
      <w:tr>
        <w:trPr>
          <w:trHeight w:val="298"/>
        </w:trPr>
        <w:tc>
          <w:tcPr>
            <w:tcW w:w="2120" w:type="dxa"/>
            <w:vAlign w:val="bottom"/>
            <w:tcBorders>
              <w:bottom w:val="single" w:sz="8" w:color="auto"/>
            </w:tcBorders>
          </w:tcPr>
          <w:p>
            <w:pPr>
              <w:spacing w:after="0"/>
              <w:rPr>
                <w:sz w:val="24"/>
                <w:szCs w:val="24"/>
                <w:color w:val="auto"/>
              </w:rPr>
            </w:pPr>
          </w:p>
        </w:tc>
        <w:tc>
          <w:tcPr>
            <w:tcW w:w="30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180" w:type="dxa"/>
            <w:vAlign w:val="bottom"/>
          </w:tcPr>
          <w:p>
            <w:pPr>
              <w:spacing w:after="0"/>
              <w:rPr>
                <w:sz w:val="24"/>
                <w:szCs w:val="24"/>
                <w:color w:val="auto"/>
              </w:rPr>
            </w:pPr>
          </w:p>
        </w:tc>
      </w:tr>
    </w:tbl>
    <w:p>
      <w:pPr>
        <w:spacing w:after="0" w:line="200" w:lineRule="exact"/>
        <w:rPr>
          <w:sz w:val="20"/>
          <w:szCs w:val="20"/>
          <w:color w:val="auto"/>
        </w:rPr>
      </w:pPr>
    </w:p>
    <w:p>
      <w:pPr>
        <w:sectPr>
          <w:pgSz w:w="11900" w:h="16838" w:orient="portrait"/>
          <w:cols w:equalWidth="0" w:num="1">
            <w:col w:w="11420"/>
          </w:cols>
          <w:pgMar w:left="240" w:top="549" w:right="239" w:bottom="1440" w:gutter="0" w:footer="0" w:header="0"/>
        </w:sectPr>
      </w:pPr>
    </w:p>
    <w:p>
      <w:pPr>
        <w:spacing w:after="0" w:line="200" w:lineRule="exact"/>
        <w:rPr>
          <w:sz w:val="20"/>
          <w:szCs w:val="20"/>
          <w:color w:val="auto"/>
        </w:rPr>
      </w:pPr>
    </w:p>
    <w:p>
      <w:pPr>
        <w:spacing w:after="0" w:line="247"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140</w:t>
      </w:r>
    </w:p>
    <w:p>
      <w:pPr>
        <w:sectPr>
          <w:pgSz w:w="11900" w:h="16838" w:orient="portrait"/>
          <w:cols w:equalWidth="0" w:num="1">
            <w:col w:w="11420"/>
          </w:cols>
          <w:pgMar w:left="240" w:top="549" w:right="239" w:bottom="1440" w:gutter="0" w:footer="0" w:header="0"/>
          <w:type w:val="continuous"/>
        </w:sectPr>
      </w:pPr>
    </w:p>
    <w:bookmarkStart w:id="140" w:name="page141"/>
    <w:bookmarkEnd w:id="140"/>
    <w:p>
      <w:pPr>
        <w:spacing w:after="0" w:line="200" w:lineRule="exact"/>
        <w:rPr>
          <w:sz w:val="20"/>
          <w:szCs w:val="20"/>
          <w:color w:val="auto"/>
        </w:rPr>
      </w:pPr>
    </w:p>
    <w:p>
      <w:pPr>
        <w:spacing w:after="0" w:line="200" w:lineRule="exact"/>
        <w:rPr>
          <w:sz w:val="20"/>
          <w:szCs w:val="20"/>
          <w:color w:val="auto"/>
        </w:rPr>
      </w:pPr>
    </w:p>
    <w:p>
      <w:pPr>
        <w:spacing w:after="0" w:line="214" w:lineRule="exact"/>
        <w:rPr>
          <w:sz w:val="20"/>
          <w:szCs w:val="20"/>
          <w:color w:val="auto"/>
        </w:rPr>
      </w:pPr>
    </w:p>
    <w:p>
      <w:pPr>
        <w:spacing w:after="0"/>
        <w:rPr>
          <w:sz w:val="20"/>
          <w:szCs w:val="20"/>
          <w:color w:val="auto"/>
        </w:rPr>
      </w:pPr>
      <w:r>
        <w:rPr>
          <w:rFonts w:ascii="Arial" w:cs="Arial" w:eastAsia="Arial" w:hAnsi="Arial"/>
          <w:sz w:val="11"/>
          <w:szCs w:val="11"/>
          <w:color w:val="auto"/>
        </w:rPr>
        <w:t>(1)</w:t>
      </w:r>
    </w:p>
    <w:p>
      <w:pPr>
        <w:spacing w:after="0" w:line="200" w:lineRule="exact"/>
        <w:rPr>
          <w:sz w:val="20"/>
          <w:szCs w:val="20"/>
          <w:color w:val="auto"/>
        </w:rPr>
      </w:pPr>
    </w:p>
    <w:p>
      <w:pPr>
        <w:spacing w:after="0" w:line="268" w:lineRule="exact"/>
        <w:rPr>
          <w:sz w:val="20"/>
          <w:szCs w:val="20"/>
          <w:color w:val="auto"/>
        </w:rPr>
      </w:pPr>
    </w:p>
    <w:p>
      <w:pPr>
        <w:spacing w:after="0"/>
        <w:rPr>
          <w:sz w:val="20"/>
          <w:szCs w:val="20"/>
          <w:color w:val="auto"/>
        </w:rPr>
      </w:pPr>
      <w:r>
        <w:rPr>
          <w:rFonts w:ascii="Arial" w:cs="Arial" w:eastAsia="Arial" w:hAnsi="Arial"/>
          <w:sz w:val="11"/>
          <w:szCs w:val="11"/>
          <w:color w:val="auto"/>
        </w:rPr>
        <w:t>(2)</w:t>
      </w:r>
    </w:p>
    <w:p>
      <w:pPr>
        <w:spacing w:after="0" w:line="20" w:lineRule="exact"/>
        <w:rPr>
          <w:sz w:val="20"/>
          <w:szCs w:val="20"/>
          <w:color w:val="auto"/>
        </w:rPr>
      </w:pPr>
      <w:r>
        <w:rPr>
          <w:sz w:val="20"/>
          <w:szCs w:val="20"/>
          <w:color w:val="auto"/>
        </w:rPr>
        <w:br w:type="column"/>
      </w:r>
    </w:p>
    <w:p>
      <w:pPr>
        <w:jc w:val="center"/>
        <w:ind w:right="540"/>
        <w:spacing w:after="0"/>
        <w:rPr>
          <w:sz w:val="20"/>
          <w:szCs w:val="20"/>
          <w:color w:val="auto"/>
        </w:rPr>
      </w:pPr>
      <w:r>
        <w:rPr>
          <w:rFonts w:ascii="Arial" w:cs="Arial" w:eastAsia="Arial" w:hAnsi="Arial"/>
          <w:sz w:val="18"/>
          <w:szCs w:val="18"/>
          <w:b w:val="1"/>
          <w:bCs w:val="1"/>
          <w:color w:val="auto"/>
        </w:rPr>
        <w:t>NOTES TO CONSOLIDATED FINANCIAL STATEMENTS OF AMERICAN AIRLINES, INC.</w:t>
      </w:r>
    </w:p>
    <w:p>
      <w:pPr>
        <w:spacing w:after="0" w:line="200" w:lineRule="exact"/>
        <w:rPr>
          <w:sz w:val="20"/>
          <w:szCs w:val="20"/>
          <w:color w:val="auto"/>
        </w:rPr>
      </w:pPr>
    </w:p>
    <w:p>
      <w:pPr>
        <w:spacing w:after="0" w:line="209" w:lineRule="exact"/>
        <w:rPr>
          <w:sz w:val="20"/>
          <w:szCs w:val="20"/>
          <w:color w:val="auto"/>
        </w:rPr>
      </w:pPr>
    </w:p>
    <w:p>
      <w:pPr>
        <w:jc w:val="both"/>
        <w:spacing w:after="0" w:line="262" w:lineRule="auto"/>
        <w:rPr>
          <w:sz w:val="20"/>
          <w:szCs w:val="20"/>
          <w:color w:val="auto"/>
        </w:rPr>
      </w:pPr>
      <w:r>
        <w:rPr>
          <w:rFonts w:ascii="Arial" w:cs="Arial" w:eastAsia="Arial" w:hAnsi="Arial"/>
          <w:sz w:val="18"/>
          <w:szCs w:val="18"/>
          <w:color w:val="auto"/>
        </w:rPr>
        <w:t>Unrealized gains and losses on short-term investments are recorded in accumulated other comprehensive loss at each measurement date.</w:t>
      </w:r>
    </w:p>
    <w:p>
      <w:pPr>
        <w:spacing w:after="0" w:line="142" w:lineRule="exact"/>
        <w:rPr>
          <w:sz w:val="20"/>
          <w:szCs w:val="20"/>
          <w:color w:val="auto"/>
        </w:rPr>
      </w:pPr>
    </w:p>
    <w:p>
      <w:pPr>
        <w:jc w:val="both"/>
        <w:spacing w:after="0" w:line="256" w:lineRule="auto"/>
        <w:rPr>
          <w:sz w:val="20"/>
          <w:szCs w:val="20"/>
          <w:color w:val="auto"/>
        </w:rPr>
      </w:pPr>
      <w:r>
        <w:rPr>
          <w:rFonts w:ascii="Arial" w:cs="Arial" w:eastAsia="Arial" w:hAnsi="Arial"/>
          <w:sz w:val="18"/>
          <w:szCs w:val="18"/>
          <w:color w:val="auto"/>
        </w:rPr>
        <w:t>All short-term investments are classified as available-for-sale and stated at fair value. American’s short-term investments as of December 31, 2019 mature in one year or less except for $1.1 billion of bank notes/certificates of deposit/time deposits and $95 million of corporate obligations.</w:t>
      </w:r>
    </w:p>
    <w:p>
      <w:pPr>
        <w:spacing w:after="0" w:line="148" w:lineRule="exact"/>
        <w:rPr>
          <w:sz w:val="20"/>
          <w:szCs w:val="20"/>
          <w:color w:val="auto"/>
        </w:rPr>
      </w:pPr>
    </w:p>
    <w:p>
      <w:pPr>
        <w:sectPr>
          <w:pgSz w:w="11900" w:h="16838" w:orient="portrait"/>
          <w:cols w:equalWidth="0" w:num="2">
            <w:col w:w="140" w:space="400"/>
            <w:col w:w="10880"/>
          </w:cols>
          <w:pgMar w:left="240" w:top="549" w:right="239" w:bottom="1440" w:gutter="0" w:footer="0" w:header="0"/>
        </w:sectPr>
      </w:pPr>
    </w:p>
    <w:p>
      <w:pPr>
        <w:ind w:left="540" w:right="20" w:hanging="532"/>
        <w:spacing w:after="0" w:line="225" w:lineRule="auto"/>
        <w:tabs>
          <w:tab w:leader="none" w:pos="540" w:val="left"/>
        </w:tabs>
        <w:numPr>
          <w:ilvl w:val="0"/>
          <w:numId w:val="63"/>
        </w:numPr>
        <w:rPr>
          <w:rFonts w:ascii="Arial" w:cs="Arial" w:eastAsia="Arial" w:hAnsi="Arial"/>
          <w:sz w:val="22"/>
          <w:szCs w:val="22"/>
          <w:color w:val="auto"/>
          <w:vertAlign w:val="superscript"/>
        </w:rPr>
      </w:pPr>
      <w:r>
        <w:rPr>
          <w:rFonts w:ascii="Arial" w:cs="Arial" w:eastAsia="Arial" w:hAnsi="Arial"/>
          <w:sz w:val="18"/>
          <w:szCs w:val="18"/>
          <w:color w:val="auto"/>
        </w:rPr>
        <w:t>Long-term investments primarily include American's equity investment in China Southern Airlines, in which American presently owns a 2.2% equity interest, and are classified in other assets on the consolidated balance sheets.</w:t>
      </w:r>
    </w:p>
    <w:p>
      <w:pPr>
        <w:spacing w:after="0" w:line="222" w:lineRule="exact"/>
        <w:rPr>
          <w:sz w:val="20"/>
          <w:szCs w:val="20"/>
          <w:color w:val="auto"/>
        </w:rPr>
      </w:pPr>
    </w:p>
    <w:p>
      <w:pPr>
        <w:ind w:left="220"/>
        <w:spacing w:after="0"/>
        <w:rPr>
          <w:sz w:val="20"/>
          <w:szCs w:val="20"/>
          <w:color w:val="auto"/>
        </w:rPr>
      </w:pPr>
      <w:r>
        <w:rPr>
          <w:rFonts w:ascii="Arial" w:cs="Arial" w:eastAsia="Arial" w:hAnsi="Arial"/>
          <w:sz w:val="18"/>
          <w:szCs w:val="18"/>
          <w:b w:val="1"/>
          <w:bCs w:val="1"/>
          <w:i w:val="1"/>
          <w:iCs w:val="1"/>
          <w:u w:val="single" w:color="auto"/>
          <w:color w:val="auto"/>
        </w:rPr>
        <w:t>Fair Value of Debt</w:t>
      </w:r>
    </w:p>
    <w:p>
      <w:pPr>
        <w:spacing w:after="0" w:line="112" w:lineRule="exact"/>
        <w:rPr>
          <w:sz w:val="20"/>
          <w:szCs w:val="20"/>
          <w:color w:val="auto"/>
        </w:rPr>
      </w:pPr>
    </w:p>
    <w:p>
      <w:pPr>
        <w:jc w:val="both"/>
        <w:ind w:firstLine="216"/>
        <w:spacing w:after="0" w:line="256" w:lineRule="auto"/>
        <w:rPr>
          <w:sz w:val="20"/>
          <w:szCs w:val="20"/>
          <w:color w:val="auto"/>
        </w:rPr>
      </w:pPr>
      <w:r>
        <w:rPr>
          <w:rFonts w:ascii="Arial" w:cs="Arial" w:eastAsia="Arial" w:hAnsi="Arial"/>
          <w:sz w:val="18"/>
          <w:szCs w:val="18"/>
          <w:color w:val="auto"/>
        </w:rPr>
        <w:t>The fair value of American’s long-term debt was estimated using quoted market prices or discounted cash flow analyses, based on American’s current estimated incremental borrowing rates for similar types of borrowing arrangements. If American’s long-term debt was measured at fair value, it would have been classified as Level 2 in the fair value hierarchy.</w:t>
      </w:r>
    </w:p>
    <w:p>
      <w:pPr>
        <w:spacing w:after="0" w:line="148" w:lineRule="exact"/>
        <w:rPr>
          <w:sz w:val="20"/>
          <w:szCs w:val="20"/>
          <w:color w:val="auto"/>
        </w:rPr>
      </w:pPr>
    </w:p>
    <w:p>
      <w:pPr>
        <w:ind w:left="220"/>
        <w:spacing w:after="0"/>
        <w:rPr>
          <w:sz w:val="20"/>
          <w:szCs w:val="20"/>
          <w:color w:val="auto"/>
        </w:rPr>
      </w:pPr>
      <w:r>
        <w:rPr>
          <w:rFonts w:ascii="Arial" w:cs="Arial" w:eastAsia="Arial" w:hAnsi="Arial"/>
          <w:sz w:val="18"/>
          <w:szCs w:val="18"/>
          <w:color w:val="auto"/>
        </w:rPr>
        <w:t>The carrying value and estimated fair value of American’s long-term debt, including current maturities, were as follows (in millions):</w:t>
      </w:r>
    </w:p>
    <w:p>
      <w:pPr>
        <w:spacing w:after="0" w:line="375" w:lineRule="exact"/>
        <w:rPr>
          <w:sz w:val="20"/>
          <w:szCs w:val="20"/>
          <w:color w:val="auto"/>
        </w:rPr>
      </w:pPr>
    </w:p>
    <w:tbl>
      <w:tblPr>
        <w:tblLayout w:type="fixed"/>
        <w:tblInd w:w="0" w:type="dxa"/>
        <w:tblCellMar>
          <w:top w:w="0" w:type="dxa"/>
          <w:left w:w="0" w:type="dxa"/>
          <w:bottom w:w="0" w:type="dxa"/>
          <w:right w:w="0" w:type="dxa"/>
        </w:tblCellMar>
      </w:tblPr>
      <w:tr>
        <w:trPr>
          <w:trHeight w:val="196"/>
        </w:trPr>
        <w:tc>
          <w:tcPr>
            <w:tcW w:w="5260" w:type="dxa"/>
            <w:vAlign w:val="bottom"/>
          </w:tcPr>
          <w:p>
            <w:pPr>
              <w:spacing w:after="0"/>
              <w:rPr>
                <w:sz w:val="17"/>
                <w:szCs w:val="17"/>
                <w:color w:val="auto"/>
              </w:rPr>
            </w:pPr>
          </w:p>
        </w:tc>
        <w:tc>
          <w:tcPr>
            <w:tcW w:w="260" w:type="dxa"/>
            <w:vAlign w:val="bottom"/>
            <w:tcBorders>
              <w:bottom w:val="single" w:sz="8" w:color="auto"/>
            </w:tcBorders>
          </w:tcPr>
          <w:p>
            <w:pPr>
              <w:spacing w:after="0"/>
              <w:rPr>
                <w:sz w:val="17"/>
                <w:szCs w:val="17"/>
                <w:color w:val="auto"/>
              </w:rPr>
            </w:pPr>
          </w:p>
        </w:tc>
        <w:tc>
          <w:tcPr>
            <w:tcW w:w="2720" w:type="dxa"/>
            <w:vAlign w:val="bottom"/>
            <w:tcBorders>
              <w:bottom w:val="single" w:sz="8" w:color="auto"/>
            </w:tcBorders>
            <w:gridSpan w:val="4"/>
          </w:tcPr>
          <w:p>
            <w:pPr>
              <w:jc w:val="right"/>
              <w:ind w:right="762"/>
              <w:spacing w:after="0"/>
              <w:rPr>
                <w:sz w:val="20"/>
                <w:szCs w:val="20"/>
                <w:color w:val="auto"/>
              </w:rPr>
            </w:pPr>
            <w:r>
              <w:rPr>
                <w:rFonts w:ascii="Arial" w:cs="Arial" w:eastAsia="Arial" w:hAnsi="Arial"/>
                <w:sz w:val="14"/>
                <w:szCs w:val="14"/>
                <w:b w:val="1"/>
                <w:bCs w:val="1"/>
                <w:color w:val="auto"/>
              </w:rPr>
              <w:t>December 31, 2019</w:t>
            </w:r>
          </w:p>
        </w:tc>
        <w:tc>
          <w:tcPr>
            <w:tcW w:w="100" w:type="dxa"/>
            <w:vAlign w:val="bottom"/>
          </w:tcPr>
          <w:p>
            <w:pPr>
              <w:spacing w:after="0"/>
              <w:rPr>
                <w:sz w:val="17"/>
                <w:szCs w:val="17"/>
                <w:color w:val="auto"/>
              </w:rPr>
            </w:pPr>
          </w:p>
        </w:tc>
        <w:tc>
          <w:tcPr>
            <w:tcW w:w="280" w:type="dxa"/>
            <w:vAlign w:val="bottom"/>
            <w:tcBorders>
              <w:bottom w:val="single" w:sz="8" w:color="auto"/>
            </w:tcBorders>
          </w:tcPr>
          <w:p>
            <w:pPr>
              <w:spacing w:after="0"/>
              <w:rPr>
                <w:sz w:val="17"/>
                <w:szCs w:val="17"/>
                <w:color w:val="auto"/>
              </w:rPr>
            </w:pPr>
          </w:p>
        </w:tc>
        <w:tc>
          <w:tcPr>
            <w:tcW w:w="2800" w:type="dxa"/>
            <w:vAlign w:val="bottom"/>
            <w:tcBorders>
              <w:bottom w:val="single" w:sz="8" w:color="auto"/>
            </w:tcBorders>
            <w:gridSpan w:val="4"/>
          </w:tcPr>
          <w:p>
            <w:pPr>
              <w:jc w:val="right"/>
              <w:ind w:right="802"/>
              <w:spacing w:after="0"/>
              <w:rPr>
                <w:sz w:val="20"/>
                <w:szCs w:val="20"/>
                <w:color w:val="auto"/>
              </w:rPr>
            </w:pPr>
            <w:r>
              <w:rPr>
                <w:rFonts w:ascii="Arial" w:cs="Arial" w:eastAsia="Arial" w:hAnsi="Arial"/>
                <w:sz w:val="14"/>
                <w:szCs w:val="14"/>
                <w:b w:val="1"/>
                <w:bCs w:val="1"/>
                <w:color w:val="auto"/>
              </w:rPr>
              <w:t>December 31, 2018</w:t>
            </w:r>
          </w:p>
        </w:tc>
      </w:tr>
      <w:tr>
        <w:trPr>
          <w:trHeight w:val="175"/>
        </w:trPr>
        <w:tc>
          <w:tcPr>
            <w:tcW w:w="526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220" w:type="dxa"/>
            <w:vAlign w:val="bottom"/>
            <w:gridSpan w:val="2"/>
          </w:tcPr>
          <w:p>
            <w:pPr>
              <w:jc w:val="center"/>
              <w:ind w:right="360"/>
              <w:spacing w:after="0"/>
              <w:rPr>
                <w:sz w:val="20"/>
                <w:szCs w:val="20"/>
                <w:color w:val="auto"/>
              </w:rPr>
            </w:pPr>
            <w:r>
              <w:rPr>
                <w:rFonts w:ascii="Arial" w:cs="Arial" w:eastAsia="Arial" w:hAnsi="Arial"/>
                <w:sz w:val="14"/>
                <w:szCs w:val="14"/>
                <w:b w:val="1"/>
                <w:bCs w:val="1"/>
                <w:color w:val="auto"/>
              </w:rPr>
              <w:t>Carrying</w:t>
            </w:r>
          </w:p>
        </w:tc>
        <w:tc>
          <w:tcPr>
            <w:tcW w:w="340" w:type="dxa"/>
            <w:vAlign w:val="bottom"/>
          </w:tcPr>
          <w:p>
            <w:pPr>
              <w:spacing w:after="0"/>
              <w:rPr>
                <w:sz w:val="15"/>
                <w:szCs w:val="15"/>
                <w:color w:val="auto"/>
              </w:rPr>
            </w:pPr>
          </w:p>
        </w:tc>
        <w:tc>
          <w:tcPr>
            <w:tcW w:w="1260" w:type="dxa"/>
            <w:vAlign w:val="bottom"/>
            <w:gridSpan w:val="2"/>
          </w:tcPr>
          <w:p>
            <w:pPr>
              <w:jc w:val="center"/>
              <w:ind w:right="440"/>
              <w:spacing w:after="0"/>
              <w:rPr>
                <w:sz w:val="20"/>
                <w:szCs w:val="20"/>
                <w:color w:val="auto"/>
              </w:rPr>
            </w:pPr>
            <w:r>
              <w:rPr>
                <w:rFonts w:ascii="Arial" w:cs="Arial" w:eastAsia="Arial" w:hAnsi="Arial"/>
                <w:sz w:val="14"/>
                <w:szCs w:val="14"/>
                <w:b w:val="1"/>
                <w:bCs w:val="1"/>
                <w:color w:val="auto"/>
              </w:rPr>
              <w:t>Fair</w:t>
            </w:r>
          </w:p>
        </w:tc>
        <w:tc>
          <w:tcPr>
            <w:tcW w:w="280" w:type="dxa"/>
            <w:vAlign w:val="bottom"/>
          </w:tcPr>
          <w:p>
            <w:pPr>
              <w:spacing w:after="0"/>
              <w:rPr>
                <w:sz w:val="15"/>
                <w:szCs w:val="15"/>
                <w:color w:val="auto"/>
              </w:rPr>
            </w:pPr>
          </w:p>
        </w:tc>
        <w:tc>
          <w:tcPr>
            <w:tcW w:w="1320" w:type="dxa"/>
            <w:vAlign w:val="bottom"/>
            <w:gridSpan w:val="2"/>
          </w:tcPr>
          <w:p>
            <w:pPr>
              <w:jc w:val="center"/>
              <w:ind w:right="400"/>
              <w:spacing w:after="0"/>
              <w:rPr>
                <w:sz w:val="20"/>
                <w:szCs w:val="20"/>
                <w:color w:val="auto"/>
              </w:rPr>
            </w:pPr>
            <w:r>
              <w:rPr>
                <w:rFonts w:ascii="Arial" w:cs="Arial" w:eastAsia="Arial" w:hAnsi="Arial"/>
                <w:sz w:val="14"/>
                <w:szCs w:val="14"/>
                <w:b w:val="1"/>
                <w:bCs w:val="1"/>
                <w:color w:val="auto"/>
              </w:rPr>
              <w:t>Carrying</w:t>
            </w:r>
          </w:p>
        </w:tc>
        <w:tc>
          <w:tcPr>
            <w:tcW w:w="340" w:type="dxa"/>
            <w:vAlign w:val="bottom"/>
          </w:tcPr>
          <w:p>
            <w:pPr>
              <w:spacing w:after="0"/>
              <w:rPr>
                <w:sz w:val="15"/>
                <w:szCs w:val="15"/>
                <w:color w:val="auto"/>
              </w:rPr>
            </w:pPr>
          </w:p>
        </w:tc>
        <w:tc>
          <w:tcPr>
            <w:tcW w:w="1140" w:type="dxa"/>
            <w:vAlign w:val="bottom"/>
          </w:tcPr>
          <w:p>
            <w:pPr>
              <w:jc w:val="center"/>
              <w:ind w:right="282"/>
              <w:spacing w:after="0"/>
              <w:rPr>
                <w:sz w:val="20"/>
                <w:szCs w:val="20"/>
                <w:color w:val="auto"/>
              </w:rPr>
            </w:pPr>
            <w:r>
              <w:rPr>
                <w:rFonts w:ascii="Arial" w:cs="Arial" w:eastAsia="Arial" w:hAnsi="Arial"/>
                <w:sz w:val="14"/>
                <w:szCs w:val="14"/>
                <w:b w:val="1"/>
                <w:bCs w:val="1"/>
                <w:color w:val="auto"/>
              </w:rPr>
              <w:t>Fair</w:t>
            </w:r>
          </w:p>
        </w:tc>
      </w:tr>
      <w:tr>
        <w:trPr>
          <w:trHeight w:val="196"/>
        </w:trPr>
        <w:tc>
          <w:tcPr>
            <w:tcW w:w="526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220" w:type="dxa"/>
            <w:vAlign w:val="bottom"/>
            <w:gridSpan w:val="2"/>
          </w:tcPr>
          <w:p>
            <w:pPr>
              <w:jc w:val="center"/>
              <w:ind w:right="360"/>
              <w:spacing w:after="0"/>
              <w:rPr>
                <w:sz w:val="20"/>
                <w:szCs w:val="20"/>
                <w:color w:val="auto"/>
              </w:rPr>
            </w:pPr>
            <w:r>
              <w:rPr>
                <w:rFonts w:ascii="Arial" w:cs="Arial" w:eastAsia="Arial" w:hAnsi="Arial"/>
                <w:sz w:val="14"/>
                <w:szCs w:val="14"/>
                <w:b w:val="1"/>
                <w:bCs w:val="1"/>
                <w:color w:val="auto"/>
              </w:rPr>
              <w:t>Value</w:t>
            </w:r>
          </w:p>
        </w:tc>
        <w:tc>
          <w:tcPr>
            <w:tcW w:w="340" w:type="dxa"/>
            <w:vAlign w:val="bottom"/>
          </w:tcPr>
          <w:p>
            <w:pPr>
              <w:spacing w:after="0"/>
              <w:rPr>
                <w:sz w:val="17"/>
                <w:szCs w:val="17"/>
                <w:color w:val="auto"/>
              </w:rPr>
            </w:pPr>
          </w:p>
        </w:tc>
        <w:tc>
          <w:tcPr>
            <w:tcW w:w="1260" w:type="dxa"/>
            <w:vAlign w:val="bottom"/>
            <w:gridSpan w:val="2"/>
          </w:tcPr>
          <w:p>
            <w:pPr>
              <w:jc w:val="center"/>
              <w:ind w:right="440"/>
              <w:spacing w:after="0"/>
              <w:rPr>
                <w:sz w:val="20"/>
                <w:szCs w:val="20"/>
                <w:color w:val="auto"/>
              </w:rPr>
            </w:pPr>
            <w:r>
              <w:rPr>
                <w:rFonts w:ascii="Arial" w:cs="Arial" w:eastAsia="Arial" w:hAnsi="Arial"/>
                <w:sz w:val="14"/>
                <w:szCs w:val="14"/>
                <w:b w:val="1"/>
                <w:bCs w:val="1"/>
                <w:color w:val="auto"/>
              </w:rPr>
              <w:t>Value</w:t>
            </w:r>
          </w:p>
        </w:tc>
        <w:tc>
          <w:tcPr>
            <w:tcW w:w="280" w:type="dxa"/>
            <w:vAlign w:val="bottom"/>
          </w:tcPr>
          <w:p>
            <w:pPr>
              <w:spacing w:after="0"/>
              <w:rPr>
                <w:sz w:val="17"/>
                <w:szCs w:val="17"/>
                <w:color w:val="auto"/>
              </w:rPr>
            </w:pPr>
          </w:p>
        </w:tc>
        <w:tc>
          <w:tcPr>
            <w:tcW w:w="1320" w:type="dxa"/>
            <w:vAlign w:val="bottom"/>
            <w:gridSpan w:val="2"/>
          </w:tcPr>
          <w:p>
            <w:pPr>
              <w:jc w:val="center"/>
              <w:ind w:right="380"/>
              <w:spacing w:after="0"/>
              <w:rPr>
                <w:sz w:val="20"/>
                <w:szCs w:val="20"/>
                <w:color w:val="auto"/>
              </w:rPr>
            </w:pPr>
            <w:r>
              <w:rPr>
                <w:rFonts w:ascii="Arial" w:cs="Arial" w:eastAsia="Arial" w:hAnsi="Arial"/>
                <w:sz w:val="14"/>
                <w:szCs w:val="14"/>
                <w:b w:val="1"/>
                <w:bCs w:val="1"/>
                <w:color w:val="auto"/>
              </w:rPr>
              <w:t>Value</w:t>
            </w:r>
          </w:p>
        </w:tc>
        <w:tc>
          <w:tcPr>
            <w:tcW w:w="340" w:type="dxa"/>
            <w:vAlign w:val="bottom"/>
          </w:tcPr>
          <w:p>
            <w:pPr>
              <w:spacing w:after="0"/>
              <w:rPr>
                <w:sz w:val="17"/>
                <w:szCs w:val="17"/>
                <w:color w:val="auto"/>
              </w:rPr>
            </w:pPr>
          </w:p>
        </w:tc>
        <w:tc>
          <w:tcPr>
            <w:tcW w:w="1140" w:type="dxa"/>
            <w:vAlign w:val="bottom"/>
          </w:tcPr>
          <w:p>
            <w:pPr>
              <w:jc w:val="center"/>
              <w:ind w:right="282"/>
              <w:spacing w:after="0"/>
              <w:rPr>
                <w:sz w:val="20"/>
                <w:szCs w:val="20"/>
                <w:color w:val="auto"/>
              </w:rPr>
            </w:pPr>
            <w:r>
              <w:rPr>
                <w:rFonts w:ascii="Arial" w:cs="Arial" w:eastAsia="Arial" w:hAnsi="Arial"/>
                <w:sz w:val="14"/>
                <w:szCs w:val="14"/>
                <w:b w:val="1"/>
                <w:bCs w:val="1"/>
                <w:color w:val="auto"/>
              </w:rPr>
              <w:t>Value</w:t>
            </w:r>
          </w:p>
        </w:tc>
      </w:tr>
      <w:tr>
        <w:trPr>
          <w:trHeight w:val="250"/>
        </w:trPr>
        <w:tc>
          <w:tcPr>
            <w:tcW w:w="5260" w:type="dxa"/>
            <w:vAlign w:val="bottom"/>
            <w:tcBorders>
              <w:top w:val="single" w:sz="8" w:color="CCEEFF"/>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Long-term debt, including current maturities</w:t>
            </w:r>
          </w:p>
        </w:tc>
        <w:tc>
          <w:tcPr>
            <w:tcW w:w="260" w:type="dxa"/>
            <w:vAlign w:val="bottom"/>
            <w:tcBorders>
              <w:top w:val="single" w:sz="8" w:color="auto"/>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120" w:type="dxa"/>
            <w:vAlign w:val="bottom"/>
            <w:tcBorders>
              <w:top w:val="single" w:sz="8" w:color="auto"/>
              <w:bottom w:val="single" w:sz="8" w:color="auto"/>
            </w:tcBorders>
            <w:shd w:val="clear" w:color="auto" w:fill="CCEEFF"/>
          </w:tcPr>
          <w:p>
            <w:pPr>
              <w:jc w:val="right"/>
              <w:ind w:right="24"/>
              <w:spacing w:after="0"/>
              <w:rPr>
                <w:sz w:val="20"/>
                <w:szCs w:val="20"/>
                <w:color w:val="auto"/>
              </w:rPr>
            </w:pPr>
            <w:r>
              <w:rPr>
                <w:rFonts w:ascii="Arial" w:cs="Arial" w:eastAsia="Arial" w:hAnsi="Arial"/>
                <w:sz w:val="18"/>
                <w:szCs w:val="18"/>
                <w:color w:val="auto"/>
              </w:rPr>
              <w:t>22,372</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340" w:type="dxa"/>
            <w:vAlign w:val="bottom"/>
            <w:tcBorders>
              <w:top w:val="single" w:sz="8" w:color="auto"/>
              <w:bottom w:val="single" w:sz="8" w:color="auto"/>
            </w:tcBorders>
            <w:shd w:val="clear" w:color="auto" w:fill="CCEEFF"/>
          </w:tcPr>
          <w:p>
            <w:pPr>
              <w:jc w:val="right"/>
              <w:ind w:right="110"/>
              <w:spacing w:after="0"/>
              <w:rPr>
                <w:sz w:val="20"/>
                <w:szCs w:val="20"/>
                <w:color w:val="auto"/>
              </w:rPr>
            </w:pPr>
            <w:r>
              <w:rPr>
                <w:rFonts w:ascii="Arial" w:cs="Arial" w:eastAsia="Arial" w:hAnsi="Arial"/>
                <w:sz w:val="18"/>
                <w:szCs w:val="18"/>
                <w:color w:val="auto"/>
              </w:rPr>
              <w:t>$</w:t>
            </w:r>
          </w:p>
        </w:tc>
        <w:tc>
          <w:tcPr>
            <w:tcW w:w="1160" w:type="dxa"/>
            <w:vAlign w:val="bottom"/>
            <w:tcBorders>
              <w:top w:val="single" w:sz="8" w:color="auto"/>
              <w:bottom w:val="single" w:sz="8" w:color="auto"/>
            </w:tcBorders>
            <w:shd w:val="clear" w:color="auto" w:fill="CCEEFF"/>
          </w:tcPr>
          <w:p>
            <w:pPr>
              <w:jc w:val="right"/>
              <w:ind w:right="42"/>
              <w:spacing w:after="0"/>
              <w:rPr>
                <w:sz w:val="20"/>
                <w:szCs w:val="20"/>
                <w:color w:val="auto"/>
              </w:rPr>
            </w:pPr>
            <w:r>
              <w:rPr>
                <w:rFonts w:ascii="Arial" w:cs="Arial" w:eastAsia="Arial" w:hAnsi="Arial"/>
                <w:sz w:val="18"/>
                <w:szCs w:val="18"/>
                <w:color w:val="auto"/>
              </w:rPr>
              <w:t>23,196</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280" w:type="dxa"/>
            <w:vAlign w:val="bottom"/>
            <w:tcBorders>
              <w:top w:val="single" w:sz="8" w:color="auto"/>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200" w:type="dxa"/>
            <w:vAlign w:val="bottom"/>
            <w:tcBorders>
              <w:top w:val="single" w:sz="8" w:color="auto"/>
              <w:bottom w:val="single" w:sz="8" w:color="auto"/>
            </w:tcBorders>
            <w:shd w:val="clear" w:color="auto" w:fill="CCEEFF"/>
          </w:tcPr>
          <w:p>
            <w:pPr>
              <w:jc w:val="right"/>
              <w:ind w:right="24"/>
              <w:spacing w:after="0"/>
              <w:rPr>
                <w:sz w:val="20"/>
                <w:szCs w:val="20"/>
                <w:color w:val="auto"/>
              </w:rPr>
            </w:pPr>
            <w:r>
              <w:rPr>
                <w:rFonts w:ascii="Arial" w:cs="Arial" w:eastAsia="Arial" w:hAnsi="Arial"/>
                <w:sz w:val="18"/>
                <w:szCs w:val="18"/>
                <w:color w:val="auto"/>
              </w:rPr>
              <w:t>22,503</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340" w:type="dxa"/>
            <w:vAlign w:val="bottom"/>
            <w:tcBorders>
              <w:top w:val="single" w:sz="8" w:color="auto"/>
              <w:bottom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140" w:type="dxa"/>
            <w:vAlign w:val="bottom"/>
            <w:tcBorders>
              <w:top w:val="single" w:sz="8" w:color="auto"/>
              <w:bottom w:val="single" w:sz="8" w:color="auto"/>
            </w:tcBorders>
            <w:shd w:val="clear" w:color="auto" w:fill="CCEEFF"/>
          </w:tcPr>
          <w:p>
            <w:pPr>
              <w:jc w:val="right"/>
              <w:ind w:right="22"/>
              <w:spacing w:after="0"/>
              <w:rPr>
                <w:sz w:val="20"/>
                <w:szCs w:val="20"/>
                <w:color w:val="auto"/>
              </w:rPr>
            </w:pPr>
            <w:r>
              <w:rPr>
                <w:rFonts w:ascii="Arial" w:cs="Arial" w:eastAsia="Arial" w:hAnsi="Arial"/>
                <w:sz w:val="18"/>
                <w:szCs w:val="18"/>
                <w:color w:val="auto"/>
              </w:rPr>
              <w:t>22,497</w:t>
            </w:r>
          </w:p>
        </w:tc>
      </w:tr>
      <w:tr>
        <w:trPr>
          <w:trHeight w:val="20"/>
        </w:trPr>
        <w:tc>
          <w:tcPr>
            <w:tcW w:w="526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3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8. Employee Benefit Plans</w:t>
      </w:r>
    </w:p>
    <w:p>
      <w:pPr>
        <w:spacing w:after="0" w:line="112" w:lineRule="exact"/>
        <w:rPr>
          <w:sz w:val="20"/>
          <w:szCs w:val="20"/>
          <w:color w:val="auto"/>
        </w:rPr>
      </w:pPr>
    </w:p>
    <w:p>
      <w:pPr>
        <w:jc w:val="both"/>
        <w:ind w:firstLine="216"/>
        <w:spacing w:after="0" w:line="251" w:lineRule="auto"/>
        <w:rPr>
          <w:sz w:val="20"/>
          <w:szCs w:val="20"/>
          <w:color w:val="auto"/>
        </w:rPr>
      </w:pPr>
      <w:r>
        <w:rPr>
          <w:rFonts w:ascii="Arial" w:cs="Arial" w:eastAsia="Arial" w:hAnsi="Arial"/>
          <w:sz w:val="18"/>
          <w:szCs w:val="18"/>
          <w:color w:val="auto"/>
        </w:rPr>
        <w:t>American sponsors defined benefit and defined contribution pension plans for eligible employees. The defined benefit pension plans provide benefits for participating employees based on years of service and average compensation for a specified period of time before retirement. Effective November 1, 2012, substantially all of American’s defined benefit pension plans were frozen and American began providing enhanced benefits under its defined contribution pension plans for certain employee groups. American uses a December 31 measurement date for all of its defined benefit pension plans. American also provides certain retiree medical and other postretirement benefits, including health care and life insurance benefits, to retired employees. Effective November 1, 2012, American modified its retiree medical and other postretirement benefits plans to eliminate the company subsidy for employees who retire on or after November 1, 2012. As a result of modifications to its retiree medical and other postretirement benefits plans in 2012, American recognized a negative plan amendment of $ 1.9 billion, which is included as a component of prior service benefit in accumulated other comprehensive income (loss) (AOCI) and will be amortized over the future service life of the active plan participants for whom the benefit was eliminated, or approximately eight years. As of December 31, 2019, $150 million of prior service benefit remains, which will be fully amortized in 2020.</w:t>
      </w:r>
    </w:p>
    <w:p>
      <w:pPr>
        <w:spacing w:after="0" w:line="21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141</w:t>
      </w:r>
    </w:p>
    <w:p>
      <w:pPr>
        <w:sectPr>
          <w:pgSz w:w="11900" w:h="16838" w:orient="portrait"/>
          <w:cols w:equalWidth="0" w:num="1">
            <w:col w:w="11420"/>
          </w:cols>
          <w:pgMar w:left="240" w:top="549" w:right="239" w:bottom="1440" w:gutter="0" w:footer="0" w:header="0"/>
          <w:type w:val="continuous"/>
        </w:sectPr>
      </w:pPr>
    </w:p>
    <w:bookmarkStart w:id="141" w:name="page142"/>
    <w:bookmarkEnd w:id="141"/>
    <w:p>
      <w:pPr>
        <w:jc w:val="center"/>
        <w:spacing w:after="0"/>
        <w:rPr>
          <w:sz w:val="20"/>
          <w:szCs w:val="20"/>
          <w:color w:val="auto"/>
        </w:rPr>
      </w:pPr>
      <w:r>
        <w:rPr>
          <w:rFonts w:ascii="Arial" w:cs="Arial" w:eastAsia="Arial" w:hAnsi="Arial"/>
          <w:sz w:val="18"/>
          <w:szCs w:val="18"/>
          <w:b w:val="1"/>
          <w:bCs w:val="1"/>
          <w:color w:val="auto"/>
        </w:rPr>
        <w:t>NOTES TO CONSOLIDATED FINANCIAL STATEMENTS OF AMERICAN AIRLINES, INC.</w:t>
      </w:r>
    </w:p>
    <w:p>
      <w:pPr>
        <w:spacing w:after="0" w:line="200" w:lineRule="exact"/>
        <w:rPr>
          <w:sz w:val="20"/>
          <w:szCs w:val="20"/>
          <w:color w:val="auto"/>
        </w:rPr>
      </w:pPr>
    </w:p>
    <w:p>
      <w:pPr>
        <w:spacing w:after="0" w:line="268" w:lineRule="exact"/>
        <w:rPr>
          <w:sz w:val="20"/>
          <w:szCs w:val="20"/>
          <w:color w:val="auto"/>
        </w:rPr>
      </w:pPr>
    </w:p>
    <w:p>
      <w:pPr>
        <w:ind w:left="220"/>
        <w:spacing w:after="0"/>
        <w:rPr>
          <w:sz w:val="20"/>
          <w:szCs w:val="20"/>
          <w:color w:val="auto"/>
        </w:rPr>
      </w:pPr>
      <w:r>
        <w:rPr>
          <w:rFonts w:ascii="Arial" w:cs="Arial" w:eastAsia="Arial" w:hAnsi="Arial"/>
          <w:sz w:val="18"/>
          <w:szCs w:val="18"/>
          <w:b w:val="1"/>
          <w:bCs w:val="1"/>
          <w:i w:val="1"/>
          <w:iCs w:val="1"/>
          <w:color w:val="auto"/>
        </w:rPr>
        <w:t>Benefit Obligations, Fair Value of Plan Assets and Funded Status</w:t>
      </w:r>
    </w:p>
    <w:p>
      <w:pPr>
        <w:spacing w:after="0" w:line="112" w:lineRule="exact"/>
        <w:rPr>
          <w:sz w:val="20"/>
          <w:szCs w:val="20"/>
          <w:color w:val="auto"/>
        </w:rPr>
      </w:pPr>
    </w:p>
    <w:p>
      <w:pPr>
        <w:ind w:right="20" w:firstLine="216"/>
        <w:spacing w:after="0" w:line="262" w:lineRule="auto"/>
        <w:rPr>
          <w:sz w:val="20"/>
          <w:szCs w:val="20"/>
          <w:color w:val="auto"/>
        </w:rPr>
      </w:pPr>
      <w:r>
        <w:rPr>
          <w:rFonts w:ascii="Arial" w:cs="Arial" w:eastAsia="Arial" w:hAnsi="Arial"/>
          <w:sz w:val="18"/>
          <w:szCs w:val="18"/>
          <w:color w:val="auto"/>
        </w:rPr>
        <w:t>The following tables provide a reconciliation of the changes in the pension and retiree medical and other postretirement benefits obligations, fair value of plan assets and a statement of funded status as of December 31, 2019 and 2018:</w:t>
      </w:r>
    </w:p>
    <w:p>
      <w:pPr>
        <w:spacing w:after="0" w:line="346"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516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2640" w:type="dxa"/>
            <w:vAlign w:val="bottom"/>
            <w:gridSpan w:val="4"/>
          </w:tcPr>
          <w:p>
            <w:pPr>
              <w:jc w:val="center"/>
              <w:ind w:right="332"/>
              <w:spacing w:after="0"/>
              <w:rPr>
                <w:sz w:val="20"/>
                <w:szCs w:val="20"/>
                <w:color w:val="auto"/>
              </w:rPr>
            </w:pPr>
            <w:r>
              <w:rPr>
                <w:rFonts w:ascii="Arial" w:cs="Arial" w:eastAsia="Arial" w:hAnsi="Arial"/>
                <w:sz w:val="14"/>
                <w:szCs w:val="14"/>
                <w:b w:val="1"/>
                <w:bCs w:val="1"/>
                <w:color w:val="auto"/>
              </w:rPr>
              <w:t>Retiree Medical and</w:t>
            </w:r>
          </w:p>
        </w:tc>
      </w:tr>
      <w:tr>
        <w:trPr>
          <w:trHeight w:val="196"/>
        </w:trPr>
        <w:tc>
          <w:tcPr>
            <w:tcW w:w="5160" w:type="dxa"/>
            <w:vAlign w:val="bottom"/>
          </w:tcPr>
          <w:p>
            <w:pPr>
              <w:spacing w:after="0"/>
              <w:rPr>
                <w:sz w:val="17"/>
                <w:szCs w:val="17"/>
                <w:color w:val="auto"/>
              </w:rPr>
            </w:pPr>
          </w:p>
        </w:tc>
        <w:tc>
          <w:tcPr>
            <w:tcW w:w="340" w:type="dxa"/>
            <w:vAlign w:val="bottom"/>
            <w:tcBorders>
              <w:bottom w:val="single" w:sz="8" w:color="auto"/>
            </w:tcBorders>
          </w:tcPr>
          <w:p>
            <w:pPr>
              <w:spacing w:after="0"/>
              <w:rPr>
                <w:sz w:val="17"/>
                <w:szCs w:val="17"/>
                <w:color w:val="auto"/>
              </w:rPr>
            </w:pPr>
          </w:p>
        </w:tc>
        <w:tc>
          <w:tcPr>
            <w:tcW w:w="1820" w:type="dxa"/>
            <w:vAlign w:val="bottom"/>
            <w:tcBorders>
              <w:bottom w:val="single" w:sz="8" w:color="auto"/>
            </w:tcBorders>
            <w:gridSpan w:val="3"/>
          </w:tcPr>
          <w:p>
            <w:pPr>
              <w:jc w:val="right"/>
              <w:spacing w:after="0"/>
              <w:rPr>
                <w:sz w:val="20"/>
                <w:szCs w:val="20"/>
                <w:color w:val="auto"/>
              </w:rPr>
            </w:pPr>
            <w:r>
              <w:rPr>
                <w:rFonts w:ascii="Arial" w:cs="Arial" w:eastAsia="Arial" w:hAnsi="Arial"/>
                <w:sz w:val="14"/>
                <w:szCs w:val="14"/>
                <w:b w:val="1"/>
                <w:bCs w:val="1"/>
                <w:color w:val="auto"/>
              </w:rPr>
              <w:t>Pension Benefits</w:t>
            </w:r>
          </w:p>
        </w:tc>
        <w:tc>
          <w:tcPr>
            <w:tcW w:w="920" w:type="dxa"/>
            <w:vAlign w:val="bottom"/>
            <w:tcBorders>
              <w:bottom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440" w:type="dxa"/>
            <w:vAlign w:val="bottom"/>
            <w:tcBorders>
              <w:bottom w:val="single" w:sz="8" w:color="auto"/>
            </w:tcBorders>
          </w:tcPr>
          <w:p>
            <w:pPr>
              <w:spacing w:after="0"/>
              <w:rPr>
                <w:sz w:val="17"/>
                <w:szCs w:val="17"/>
                <w:color w:val="auto"/>
              </w:rPr>
            </w:pPr>
          </w:p>
        </w:tc>
        <w:tc>
          <w:tcPr>
            <w:tcW w:w="2640" w:type="dxa"/>
            <w:vAlign w:val="bottom"/>
            <w:tcBorders>
              <w:bottom w:val="single" w:sz="8" w:color="auto"/>
            </w:tcBorders>
            <w:gridSpan w:val="4"/>
          </w:tcPr>
          <w:p>
            <w:pPr>
              <w:jc w:val="center"/>
              <w:ind w:right="312"/>
              <w:spacing w:after="0"/>
              <w:rPr>
                <w:sz w:val="20"/>
                <w:szCs w:val="20"/>
                <w:color w:val="auto"/>
              </w:rPr>
            </w:pPr>
            <w:r>
              <w:rPr>
                <w:rFonts w:ascii="Arial" w:cs="Arial" w:eastAsia="Arial" w:hAnsi="Arial"/>
                <w:sz w:val="14"/>
                <w:szCs w:val="14"/>
                <w:b w:val="1"/>
                <w:bCs w:val="1"/>
                <w:color w:val="auto"/>
              </w:rPr>
              <w:t>Other Postretirement Benefits</w:t>
            </w:r>
          </w:p>
        </w:tc>
      </w:tr>
      <w:tr>
        <w:trPr>
          <w:trHeight w:val="264"/>
        </w:trPr>
        <w:tc>
          <w:tcPr>
            <w:tcW w:w="5160" w:type="dxa"/>
            <w:vAlign w:val="bottom"/>
          </w:tcPr>
          <w:p>
            <w:pPr>
              <w:spacing w:after="0"/>
              <w:rPr>
                <w:sz w:val="22"/>
                <w:szCs w:val="22"/>
                <w:color w:val="auto"/>
              </w:rPr>
            </w:pPr>
          </w:p>
        </w:tc>
        <w:tc>
          <w:tcPr>
            <w:tcW w:w="340" w:type="dxa"/>
            <w:vAlign w:val="bottom"/>
            <w:tcBorders>
              <w:bottom w:val="single" w:sz="8" w:color="auto"/>
            </w:tcBorders>
          </w:tcPr>
          <w:p>
            <w:pPr>
              <w:spacing w:after="0"/>
              <w:rPr>
                <w:sz w:val="22"/>
                <w:szCs w:val="22"/>
                <w:color w:val="auto"/>
              </w:rPr>
            </w:pPr>
          </w:p>
        </w:tc>
        <w:tc>
          <w:tcPr>
            <w:tcW w:w="1140" w:type="dxa"/>
            <w:vAlign w:val="bottom"/>
            <w:tcBorders>
              <w:bottom w:val="single" w:sz="8" w:color="auto"/>
            </w:tcBorders>
          </w:tcPr>
          <w:p>
            <w:pPr>
              <w:jc w:val="right"/>
              <w:ind w:right="494"/>
              <w:spacing w:after="0"/>
              <w:rPr>
                <w:sz w:val="20"/>
                <w:szCs w:val="20"/>
                <w:color w:val="auto"/>
              </w:rPr>
            </w:pPr>
            <w:r>
              <w:rPr>
                <w:rFonts w:ascii="Arial" w:cs="Arial" w:eastAsia="Arial" w:hAnsi="Arial"/>
                <w:sz w:val="14"/>
                <w:szCs w:val="14"/>
                <w:b w:val="1"/>
                <w:bCs w:val="1"/>
                <w:color w:val="auto"/>
              </w:rPr>
              <w:t>2019</w:t>
            </w:r>
          </w:p>
        </w:tc>
        <w:tc>
          <w:tcPr>
            <w:tcW w:w="100" w:type="dxa"/>
            <w:vAlign w:val="bottom"/>
          </w:tcPr>
          <w:p>
            <w:pPr>
              <w:spacing w:after="0"/>
              <w:rPr>
                <w:sz w:val="22"/>
                <w:szCs w:val="22"/>
                <w:color w:val="auto"/>
              </w:rPr>
            </w:pPr>
          </w:p>
        </w:tc>
        <w:tc>
          <w:tcPr>
            <w:tcW w:w="580" w:type="dxa"/>
            <w:vAlign w:val="bottom"/>
            <w:tcBorders>
              <w:bottom w:val="single" w:sz="8" w:color="auto"/>
            </w:tcBorders>
          </w:tcPr>
          <w:p>
            <w:pPr>
              <w:spacing w:after="0"/>
              <w:rPr>
                <w:sz w:val="22"/>
                <w:szCs w:val="22"/>
                <w:color w:val="auto"/>
              </w:rPr>
            </w:pPr>
          </w:p>
        </w:tc>
        <w:tc>
          <w:tcPr>
            <w:tcW w:w="920" w:type="dxa"/>
            <w:vAlign w:val="bottom"/>
            <w:tcBorders>
              <w:bottom w:val="single" w:sz="8" w:color="auto"/>
            </w:tcBorders>
          </w:tcPr>
          <w:p>
            <w:pPr>
              <w:jc w:val="right"/>
              <w:ind w:right="494"/>
              <w:spacing w:after="0"/>
              <w:rPr>
                <w:sz w:val="20"/>
                <w:szCs w:val="20"/>
                <w:color w:val="auto"/>
              </w:rPr>
            </w:pPr>
            <w:r>
              <w:rPr>
                <w:rFonts w:ascii="Arial" w:cs="Arial" w:eastAsia="Arial" w:hAnsi="Arial"/>
                <w:sz w:val="14"/>
                <w:szCs w:val="14"/>
                <w:b w:val="1"/>
                <w:bCs w:val="1"/>
                <w:color w:val="auto"/>
              </w:rPr>
              <w:t>2018</w:t>
            </w:r>
          </w:p>
        </w:tc>
        <w:tc>
          <w:tcPr>
            <w:tcW w:w="100" w:type="dxa"/>
            <w:vAlign w:val="bottom"/>
          </w:tcPr>
          <w:p>
            <w:pPr>
              <w:spacing w:after="0"/>
              <w:rPr>
                <w:sz w:val="22"/>
                <w:szCs w:val="22"/>
                <w:color w:val="auto"/>
              </w:rPr>
            </w:pPr>
          </w:p>
        </w:tc>
        <w:tc>
          <w:tcPr>
            <w:tcW w:w="440" w:type="dxa"/>
            <w:vAlign w:val="bottom"/>
            <w:tcBorders>
              <w:bottom w:val="single" w:sz="8" w:color="auto"/>
            </w:tcBorders>
          </w:tcPr>
          <w:p>
            <w:pPr>
              <w:spacing w:after="0"/>
              <w:rPr>
                <w:sz w:val="22"/>
                <w:szCs w:val="22"/>
                <w:color w:val="auto"/>
              </w:rPr>
            </w:pPr>
          </w:p>
        </w:tc>
        <w:tc>
          <w:tcPr>
            <w:tcW w:w="1040" w:type="dxa"/>
            <w:vAlign w:val="bottom"/>
            <w:tcBorders>
              <w:bottom w:val="single" w:sz="8" w:color="auto"/>
            </w:tcBorders>
          </w:tcPr>
          <w:p>
            <w:pPr>
              <w:jc w:val="right"/>
              <w:ind w:right="495"/>
              <w:spacing w:after="0"/>
              <w:rPr>
                <w:sz w:val="20"/>
                <w:szCs w:val="20"/>
                <w:color w:val="auto"/>
              </w:rPr>
            </w:pPr>
            <w:r>
              <w:rPr>
                <w:rFonts w:ascii="Arial" w:cs="Arial" w:eastAsia="Arial" w:hAnsi="Arial"/>
                <w:sz w:val="14"/>
                <w:szCs w:val="14"/>
                <w:b w:val="1"/>
                <w:bCs w:val="1"/>
                <w:color w:val="auto"/>
              </w:rPr>
              <w:t>2019</w:t>
            </w:r>
          </w:p>
        </w:tc>
        <w:tc>
          <w:tcPr>
            <w:tcW w:w="120" w:type="dxa"/>
            <w:vAlign w:val="bottom"/>
          </w:tcPr>
          <w:p>
            <w:pPr>
              <w:spacing w:after="0"/>
              <w:rPr>
                <w:sz w:val="22"/>
                <w:szCs w:val="22"/>
                <w:color w:val="auto"/>
              </w:rPr>
            </w:pPr>
          </w:p>
        </w:tc>
        <w:tc>
          <w:tcPr>
            <w:tcW w:w="340" w:type="dxa"/>
            <w:vAlign w:val="bottom"/>
            <w:tcBorders>
              <w:bottom w:val="single" w:sz="8" w:color="auto"/>
            </w:tcBorders>
          </w:tcPr>
          <w:p>
            <w:pPr>
              <w:spacing w:after="0"/>
              <w:rPr>
                <w:sz w:val="22"/>
                <w:szCs w:val="22"/>
                <w:color w:val="auto"/>
              </w:rPr>
            </w:pPr>
          </w:p>
        </w:tc>
        <w:tc>
          <w:tcPr>
            <w:tcW w:w="1140" w:type="dxa"/>
            <w:vAlign w:val="bottom"/>
            <w:tcBorders>
              <w:bottom w:val="single" w:sz="8" w:color="auto"/>
            </w:tcBorders>
          </w:tcPr>
          <w:p>
            <w:pPr>
              <w:jc w:val="right"/>
              <w:ind w:right="492"/>
              <w:spacing w:after="0"/>
              <w:rPr>
                <w:sz w:val="20"/>
                <w:szCs w:val="20"/>
                <w:color w:val="auto"/>
              </w:rPr>
            </w:pPr>
            <w:r>
              <w:rPr>
                <w:rFonts w:ascii="Arial" w:cs="Arial" w:eastAsia="Arial" w:hAnsi="Arial"/>
                <w:sz w:val="14"/>
                <w:szCs w:val="14"/>
                <w:b w:val="1"/>
                <w:bCs w:val="1"/>
                <w:color w:val="auto"/>
              </w:rPr>
              <w:t>2018</w:t>
            </w:r>
          </w:p>
        </w:tc>
      </w:tr>
      <w:tr>
        <w:trPr>
          <w:trHeight w:val="331"/>
        </w:trPr>
        <w:tc>
          <w:tcPr>
            <w:tcW w:w="51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460" w:type="dxa"/>
            <w:vAlign w:val="bottom"/>
            <w:gridSpan w:val="3"/>
          </w:tcPr>
          <w:p>
            <w:pPr>
              <w:jc w:val="right"/>
              <w:spacing w:after="0"/>
              <w:rPr>
                <w:sz w:val="20"/>
                <w:szCs w:val="20"/>
                <w:color w:val="auto"/>
              </w:rPr>
            </w:pPr>
            <w:r>
              <w:rPr>
                <w:rFonts w:ascii="Arial" w:cs="Arial" w:eastAsia="Arial" w:hAnsi="Arial"/>
                <w:sz w:val="14"/>
                <w:szCs w:val="14"/>
                <w:b w:val="1"/>
                <w:bCs w:val="1"/>
                <w:color w:val="auto"/>
              </w:rPr>
              <w:t>(In millions)</w:t>
            </w:r>
          </w:p>
        </w:tc>
        <w:tc>
          <w:tcPr>
            <w:tcW w:w="10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140" w:type="dxa"/>
            <w:vAlign w:val="bottom"/>
          </w:tcPr>
          <w:p>
            <w:pPr>
              <w:spacing w:after="0"/>
              <w:rPr>
                <w:sz w:val="24"/>
                <w:szCs w:val="24"/>
                <w:color w:val="auto"/>
              </w:rPr>
            </w:pPr>
          </w:p>
        </w:tc>
      </w:tr>
      <w:tr>
        <w:trPr>
          <w:trHeight w:val="276"/>
        </w:trPr>
        <w:tc>
          <w:tcPr>
            <w:tcW w:w="5160" w:type="dxa"/>
            <w:vAlign w:val="bottom"/>
            <w:shd w:val="clear" w:color="auto" w:fill="CCEEFF"/>
          </w:tcPr>
          <w:p>
            <w:pPr>
              <w:ind w:left="40"/>
              <w:spacing w:after="0"/>
              <w:rPr>
                <w:sz w:val="20"/>
                <w:szCs w:val="20"/>
                <w:color w:val="auto"/>
              </w:rPr>
            </w:pPr>
            <w:r>
              <w:rPr>
                <w:rFonts w:ascii="Arial" w:cs="Arial" w:eastAsia="Arial" w:hAnsi="Arial"/>
                <w:sz w:val="18"/>
                <w:szCs w:val="18"/>
                <w:color w:val="auto"/>
              </w:rPr>
              <w:t>Benefit obligation at beginning of period</w:t>
            </w:r>
          </w:p>
        </w:tc>
        <w:tc>
          <w:tcPr>
            <w:tcW w:w="34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140" w:type="dxa"/>
            <w:vAlign w:val="bottom"/>
            <w:shd w:val="clear" w:color="auto" w:fill="CCEEFF"/>
          </w:tcPr>
          <w:p>
            <w:pPr>
              <w:jc w:val="right"/>
              <w:ind w:right="14"/>
              <w:spacing w:after="0"/>
              <w:rPr>
                <w:sz w:val="20"/>
                <w:szCs w:val="20"/>
                <w:color w:val="auto"/>
              </w:rPr>
            </w:pPr>
            <w:r>
              <w:rPr>
                <w:rFonts w:ascii="Arial" w:cs="Arial" w:eastAsia="Arial" w:hAnsi="Arial"/>
                <w:sz w:val="18"/>
                <w:szCs w:val="18"/>
                <w:color w:val="auto"/>
              </w:rPr>
              <w:t>16,282</w:t>
            </w:r>
          </w:p>
        </w:tc>
        <w:tc>
          <w:tcPr>
            <w:tcW w:w="100" w:type="dxa"/>
            <w:vAlign w:val="bottom"/>
            <w:shd w:val="clear" w:color="auto" w:fill="CCEEFF"/>
          </w:tcPr>
          <w:p>
            <w:pPr>
              <w:spacing w:after="0"/>
              <w:rPr>
                <w:sz w:val="24"/>
                <w:szCs w:val="24"/>
                <w:color w:val="auto"/>
              </w:rPr>
            </w:pPr>
          </w:p>
        </w:tc>
        <w:tc>
          <w:tcPr>
            <w:tcW w:w="580" w:type="dxa"/>
            <w:vAlign w:val="bottom"/>
            <w:shd w:val="clear" w:color="auto" w:fill="CCEEFF"/>
          </w:tcPr>
          <w:p>
            <w:pPr>
              <w:jc w:val="right"/>
              <w:ind w:right="350"/>
              <w:spacing w:after="0"/>
              <w:rPr>
                <w:sz w:val="20"/>
                <w:szCs w:val="20"/>
                <w:color w:val="auto"/>
              </w:rPr>
            </w:pPr>
            <w:r>
              <w:rPr>
                <w:rFonts w:ascii="Arial" w:cs="Arial" w:eastAsia="Arial" w:hAnsi="Arial"/>
                <w:sz w:val="18"/>
                <w:szCs w:val="18"/>
                <w:color w:val="auto"/>
              </w:rPr>
              <w:t>$</w:t>
            </w:r>
          </w:p>
        </w:tc>
        <w:tc>
          <w:tcPr>
            <w:tcW w:w="920" w:type="dxa"/>
            <w:vAlign w:val="bottom"/>
            <w:shd w:val="clear" w:color="auto" w:fill="CCEEFF"/>
          </w:tcPr>
          <w:p>
            <w:pPr>
              <w:jc w:val="right"/>
              <w:ind w:right="34"/>
              <w:spacing w:after="0"/>
              <w:rPr>
                <w:sz w:val="20"/>
                <w:szCs w:val="20"/>
                <w:color w:val="auto"/>
              </w:rPr>
            </w:pPr>
            <w:r>
              <w:rPr>
                <w:rFonts w:ascii="Arial" w:cs="Arial" w:eastAsia="Arial" w:hAnsi="Arial"/>
                <w:sz w:val="18"/>
                <w:szCs w:val="18"/>
                <w:color w:val="auto"/>
              </w:rPr>
              <w:t>18,175</w:t>
            </w:r>
          </w:p>
        </w:tc>
        <w:tc>
          <w:tcPr>
            <w:tcW w:w="100" w:type="dxa"/>
            <w:vAlign w:val="bottom"/>
            <w:shd w:val="clear" w:color="auto" w:fill="CCEEFF"/>
          </w:tcPr>
          <w:p>
            <w:pPr>
              <w:spacing w:after="0"/>
              <w:rPr>
                <w:sz w:val="24"/>
                <w:szCs w:val="24"/>
                <w:color w:val="auto"/>
              </w:rPr>
            </w:pPr>
          </w:p>
        </w:tc>
        <w:tc>
          <w:tcPr>
            <w:tcW w:w="440" w:type="dxa"/>
            <w:vAlign w:val="bottom"/>
            <w:shd w:val="clear" w:color="auto" w:fill="CCEEFF"/>
          </w:tcPr>
          <w:p>
            <w:pPr>
              <w:jc w:val="right"/>
              <w:ind w:right="230"/>
              <w:spacing w:after="0"/>
              <w:rPr>
                <w:sz w:val="20"/>
                <w:szCs w:val="20"/>
                <w:color w:val="auto"/>
              </w:rPr>
            </w:pPr>
            <w:r>
              <w:rPr>
                <w:rFonts w:ascii="Arial" w:cs="Arial" w:eastAsia="Arial" w:hAnsi="Arial"/>
                <w:sz w:val="18"/>
                <w:szCs w:val="18"/>
                <w:color w:val="auto"/>
                <w:w w:val="99"/>
              </w:rPr>
              <w:t>$</w:t>
            </w:r>
          </w:p>
        </w:tc>
        <w:tc>
          <w:tcPr>
            <w:tcW w:w="1040" w:type="dxa"/>
            <w:vAlign w:val="bottom"/>
            <w:shd w:val="clear" w:color="auto" w:fill="CCEEFF"/>
          </w:tcPr>
          <w:p>
            <w:pPr>
              <w:jc w:val="right"/>
              <w:ind w:right="15"/>
              <w:spacing w:after="0"/>
              <w:rPr>
                <w:sz w:val="20"/>
                <w:szCs w:val="20"/>
                <w:color w:val="auto"/>
              </w:rPr>
            </w:pPr>
            <w:r>
              <w:rPr>
                <w:rFonts w:ascii="Arial" w:cs="Arial" w:eastAsia="Arial" w:hAnsi="Arial"/>
                <w:sz w:val="18"/>
                <w:szCs w:val="18"/>
                <w:color w:val="auto"/>
              </w:rPr>
              <w:t>837</w:t>
            </w:r>
          </w:p>
        </w:tc>
        <w:tc>
          <w:tcPr>
            <w:tcW w:w="120" w:type="dxa"/>
            <w:vAlign w:val="bottom"/>
            <w:shd w:val="clear" w:color="auto" w:fill="CCEEFF"/>
          </w:tcPr>
          <w:p>
            <w:pPr>
              <w:spacing w:after="0"/>
              <w:rPr>
                <w:sz w:val="24"/>
                <w:szCs w:val="24"/>
                <w:color w:val="auto"/>
              </w:rPr>
            </w:pPr>
          </w:p>
        </w:tc>
        <w:tc>
          <w:tcPr>
            <w:tcW w:w="34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14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1,010</w:t>
            </w:r>
          </w:p>
        </w:tc>
      </w:tr>
      <w:tr>
        <w:trPr>
          <w:trHeight w:val="263"/>
        </w:trPr>
        <w:tc>
          <w:tcPr>
            <w:tcW w:w="5160" w:type="dxa"/>
            <w:vAlign w:val="bottom"/>
          </w:tcPr>
          <w:p>
            <w:pPr>
              <w:ind w:left="280"/>
              <w:spacing w:after="0"/>
              <w:rPr>
                <w:sz w:val="20"/>
                <w:szCs w:val="20"/>
                <w:color w:val="auto"/>
              </w:rPr>
            </w:pPr>
            <w:r>
              <w:rPr>
                <w:rFonts w:ascii="Arial" w:cs="Arial" w:eastAsia="Arial" w:hAnsi="Arial"/>
                <w:sz w:val="18"/>
                <w:szCs w:val="18"/>
                <w:color w:val="auto"/>
              </w:rPr>
              <w:t>Service cost</w:t>
            </w:r>
          </w:p>
        </w:tc>
        <w:tc>
          <w:tcPr>
            <w:tcW w:w="340" w:type="dxa"/>
            <w:vAlign w:val="bottom"/>
          </w:tcPr>
          <w:p>
            <w:pPr>
              <w:spacing w:after="0"/>
              <w:rPr>
                <w:sz w:val="22"/>
                <w:szCs w:val="22"/>
                <w:color w:val="auto"/>
              </w:rPr>
            </w:pPr>
          </w:p>
        </w:tc>
        <w:tc>
          <w:tcPr>
            <w:tcW w:w="1140" w:type="dxa"/>
            <w:vAlign w:val="bottom"/>
          </w:tcPr>
          <w:p>
            <w:pPr>
              <w:jc w:val="right"/>
              <w:ind w:right="14"/>
              <w:spacing w:after="0"/>
              <w:rPr>
                <w:sz w:val="20"/>
                <w:szCs w:val="20"/>
                <w:color w:val="auto"/>
              </w:rPr>
            </w:pPr>
            <w:r>
              <w:rPr>
                <w:rFonts w:ascii="Arial" w:cs="Arial" w:eastAsia="Arial" w:hAnsi="Arial"/>
                <w:sz w:val="18"/>
                <w:szCs w:val="18"/>
                <w:color w:val="auto"/>
              </w:rPr>
              <w:t>2</w:t>
            </w:r>
          </w:p>
        </w:tc>
        <w:tc>
          <w:tcPr>
            <w:tcW w:w="100" w:type="dxa"/>
            <w:vAlign w:val="bottom"/>
          </w:tcPr>
          <w:p>
            <w:pPr>
              <w:spacing w:after="0"/>
              <w:rPr>
                <w:sz w:val="22"/>
                <w:szCs w:val="22"/>
                <w:color w:val="auto"/>
              </w:rPr>
            </w:pPr>
          </w:p>
        </w:tc>
        <w:tc>
          <w:tcPr>
            <w:tcW w:w="580" w:type="dxa"/>
            <w:vAlign w:val="bottom"/>
          </w:tcPr>
          <w:p>
            <w:pPr>
              <w:spacing w:after="0"/>
              <w:rPr>
                <w:sz w:val="22"/>
                <w:szCs w:val="22"/>
                <w:color w:val="auto"/>
              </w:rPr>
            </w:pPr>
          </w:p>
        </w:tc>
        <w:tc>
          <w:tcPr>
            <w:tcW w:w="920" w:type="dxa"/>
            <w:vAlign w:val="bottom"/>
          </w:tcPr>
          <w:p>
            <w:pPr>
              <w:jc w:val="right"/>
              <w:ind w:right="34"/>
              <w:spacing w:after="0"/>
              <w:rPr>
                <w:sz w:val="20"/>
                <w:szCs w:val="20"/>
                <w:color w:val="auto"/>
              </w:rPr>
            </w:pPr>
            <w:r>
              <w:rPr>
                <w:rFonts w:ascii="Arial" w:cs="Arial" w:eastAsia="Arial" w:hAnsi="Arial"/>
                <w:sz w:val="18"/>
                <w:szCs w:val="18"/>
                <w:color w:val="auto"/>
              </w:rPr>
              <w:t>2</w:t>
            </w:r>
          </w:p>
        </w:tc>
        <w:tc>
          <w:tcPr>
            <w:tcW w:w="100" w:type="dxa"/>
            <w:vAlign w:val="bottom"/>
          </w:tcPr>
          <w:p>
            <w:pPr>
              <w:spacing w:after="0"/>
              <w:rPr>
                <w:sz w:val="22"/>
                <w:szCs w:val="22"/>
                <w:color w:val="auto"/>
              </w:rPr>
            </w:pPr>
          </w:p>
        </w:tc>
        <w:tc>
          <w:tcPr>
            <w:tcW w:w="440" w:type="dxa"/>
            <w:vAlign w:val="bottom"/>
          </w:tcPr>
          <w:p>
            <w:pPr>
              <w:spacing w:after="0"/>
              <w:rPr>
                <w:sz w:val="22"/>
                <w:szCs w:val="22"/>
                <w:color w:val="auto"/>
              </w:rPr>
            </w:pPr>
          </w:p>
        </w:tc>
        <w:tc>
          <w:tcPr>
            <w:tcW w:w="1040" w:type="dxa"/>
            <w:vAlign w:val="bottom"/>
          </w:tcPr>
          <w:p>
            <w:pPr>
              <w:jc w:val="right"/>
              <w:ind w:right="15"/>
              <w:spacing w:after="0"/>
              <w:rPr>
                <w:sz w:val="20"/>
                <w:szCs w:val="20"/>
                <w:color w:val="auto"/>
              </w:rPr>
            </w:pPr>
            <w:r>
              <w:rPr>
                <w:rFonts w:ascii="Arial" w:cs="Arial" w:eastAsia="Arial" w:hAnsi="Arial"/>
                <w:sz w:val="18"/>
                <w:szCs w:val="18"/>
                <w:color w:val="auto"/>
              </w:rPr>
              <w:t>3</w:t>
            </w:r>
          </w:p>
        </w:tc>
        <w:tc>
          <w:tcPr>
            <w:tcW w:w="12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1140" w:type="dxa"/>
            <w:vAlign w:val="bottom"/>
          </w:tcPr>
          <w:p>
            <w:pPr>
              <w:jc w:val="right"/>
              <w:ind w:right="12"/>
              <w:spacing w:after="0"/>
              <w:rPr>
                <w:sz w:val="20"/>
                <w:szCs w:val="20"/>
                <w:color w:val="auto"/>
              </w:rPr>
            </w:pPr>
            <w:r>
              <w:rPr>
                <w:rFonts w:ascii="Arial" w:cs="Arial" w:eastAsia="Arial" w:hAnsi="Arial"/>
                <w:sz w:val="18"/>
                <w:szCs w:val="18"/>
                <w:color w:val="auto"/>
              </w:rPr>
              <w:t>5</w:t>
            </w:r>
          </w:p>
        </w:tc>
      </w:tr>
      <w:tr>
        <w:trPr>
          <w:trHeight w:val="277"/>
        </w:trPr>
        <w:tc>
          <w:tcPr>
            <w:tcW w:w="5160" w:type="dxa"/>
            <w:vAlign w:val="bottom"/>
            <w:shd w:val="clear" w:color="auto" w:fill="CCEEFF"/>
          </w:tcPr>
          <w:p>
            <w:pPr>
              <w:ind w:left="280"/>
              <w:spacing w:after="0"/>
              <w:rPr>
                <w:sz w:val="20"/>
                <w:szCs w:val="20"/>
                <w:color w:val="auto"/>
              </w:rPr>
            </w:pPr>
            <w:r>
              <w:rPr>
                <w:rFonts w:ascii="Arial" w:cs="Arial" w:eastAsia="Arial" w:hAnsi="Arial"/>
                <w:sz w:val="18"/>
                <w:szCs w:val="18"/>
                <w:color w:val="auto"/>
              </w:rPr>
              <w:t>Interest cost</w:t>
            </w:r>
          </w:p>
        </w:tc>
        <w:tc>
          <w:tcPr>
            <w:tcW w:w="340" w:type="dxa"/>
            <w:vAlign w:val="bottom"/>
            <w:shd w:val="clear" w:color="auto" w:fill="CCEEFF"/>
          </w:tcPr>
          <w:p>
            <w:pPr>
              <w:spacing w:after="0"/>
              <w:rPr>
                <w:sz w:val="24"/>
                <w:szCs w:val="24"/>
                <w:color w:val="auto"/>
              </w:rPr>
            </w:pPr>
          </w:p>
        </w:tc>
        <w:tc>
          <w:tcPr>
            <w:tcW w:w="1140" w:type="dxa"/>
            <w:vAlign w:val="bottom"/>
            <w:shd w:val="clear" w:color="auto" w:fill="CCEEFF"/>
          </w:tcPr>
          <w:p>
            <w:pPr>
              <w:jc w:val="right"/>
              <w:ind w:right="14"/>
              <w:spacing w:after="0"/>
              <w:rPr>
                <w:sz w:val="20"/>
                <w:szCs w:val="20"/>
                <w:color w:val="auto"/>
              </w:rPr>
            </w:pPr>
            <w:r>
              <w:rPr>
                <w:rFonts w:ascii="Arial" w:cs="Arial" w:eastAsia="Arial" w:hAnsi="Arial"/>
                <w:sz w:val="18"/>
                <w:szCs w:val="18"/>
                <w:color w:val="auto"/>
              </w:rPr>
              <w:t>699</w:t>
            </w:r>
          </w:p>
        </w:tc>
        <w:tc>
          <w:tcPr>
            <w:tcW w:w="100" w:type="dxa"/>
            <w:vAlign w:val="bottom"/>
            <w:shd w:val="clear" w:color="auto" w:fill="CCEEFF"/>
          </w:tcPr>
          <w:p>
            <w:pPr>
              <w:spacing w:after="0"/>
              <w:rPr>
                <w:sz w:val="24"/>
                <w:szCs w:val="24"/>
                <w:color w:val="auto"/>
              </w:rPr>
            </w:pPr>
          </w:p>
        </w:tc>
        <w:tc>
          <w:tcPr>
            <w:tcW w:w="580" w:type="dxa"/>
            <w:vAlign w:val="bottom"/>
            <w:shd w:val="clear" w:color="auto" w:fill="CCEEFF"/>
          </w:tcPr>
          <w:p>
            <w:pPr>
              <w:spacing w:after="0"/>
              <w:rPr>
                <w:sz w:val="24"/>
                <w:szCs w:val="24"/>
                <w:color w:val="auto"/>
              </w:rPr>
            </w:pPr>
          </w:p>
        </w:tc>
        <w:tc>
          <w:tcPr>
            <w:tcW w:w="920" w:type="dxa"/>
            <w:vAlign w:val="bottom"/>
            <w:shd w:val="clear" w:color="auto" w:fill="CCEEFF"/>
          </w:tcPr>
          <w:p>
            <w:pPr>
              <w:jc w:val="right"/>
              <w:ind w:right="34"/>
              <w:spacing w:after="0"/>
              <w:rPr>
                <w:sz w:val="20"/>
                <w:szCs w:val="20"/>
                <w:color w:val="auto"/>
              </w:rPr>
            </w:pPr>
            <w:r>
              <w:rPr>
                <w:rFonts w:ascii="Arial" w:cs="Arial" w:eastAsia="Arial" w:hAnsi="Arial"/>
                <w:sz w:val="18"/>
                <w:szCs w:val="18"/>
                <w:color w:val="auto"/>
              </w:rPr>
              <w:t>670</w:t>
            </w:r>
          </w:p>
        </w:tc>
        <w:tc>
          <w:tcPr>
            <w:tcW w:w="100" w:type="dxa"/>
            <w:vAlign w:val="bottom"/>
            <w:shd w:val="clear" w:color="auto" w:fill="CCEEFF"/>
          </w:tcPr>
          <w:p>
            <w:pPr>
              <w:spacing w:after="0"/>
              <w:rPr>
                <w:sz w:val="24"/>
                <w:szCs w:val="24"/>
                <w:color w:val="auto"/>
              </w:rPr>
            </w:pPr>
          </w:p>
        </w:tc>
        <w:tc>
          <w:tcPr>
            <w:tcW w:w="440" w:type="dxa"/>
            <w:vAlign w:val="bottom"/>
            <w:shd w:val="clear" w:color="auto" w:fill="CCEEFF"/>
          </w:tcPr>
          <w:p>
            <w:pPr>
              <w:spacing w:after="0"/>
              <w:rPr>
                <w:sz w:val="24"/>
                <w:szCs w:val="24"/>
                <w:color w:val="auto"/>
              </w:rPr>
            </w:pPr>
          </w:p>
        </w:tc>
        <w:tc>
          <w:tcPr>
            <w:tcW w:w="1040" w:type="dxa"/>
            <w:vAlign w:val="bottom"/>
            <w:shd w:val="clear" w:color="auto" w:fill="CCEEFF"/>
          </w:tcPr>
          <w:p>
            <w:pPr>
              <w:jc w:val="right"/>
              <w:ind w:right="15"/>
              <w:spacing w:after="0"/>
              <w:rPr>
                <w:sz w:val="20"/>
                <w:szCs w:val="20"/>
                <w:color w:val="auto"/>
              </w:rPr>
            </w:pPr>
            <w:r>
              <w:rPr>
                <w:rFonts w:ascii="Arial" w:cs="Arial" w:eastAsia="Arial" w:hAnsi="Arial"/>
                <w:sz w:val="18"/>
                <w:szCs w:val="18"/>
                <w:color w:val="auto"/>
              </w:rPr>
              <w:t>33</w:t>
            </w:r>
          </w:p>
        </w:tc>
        <w:tc>
          <w:tcPr>
            <w:tcW w:w="120" w:type="dxa"/>
            <w:vAlign w:val="bottom"/>
            <w:shd w:val="clear" w:color="auto" w:fill="CCEEFF"/>
          </w:tcPr>
          <w:p>
            <w:pPr>
              <w:spacing w:after="0"/>
              <w:rPr>
                <w:sz w:val="24"/>
                <w:szCs w:val="24"/>
                <w:color w:val="auto"/>
              </w:rPr>
            </w:pPr>
          </w:p>
        </w:tc>
        <w:tc>
          <w:tcPr>
            <w:tcW w:w="340" w:type="dxa"/>
            <w:vAlign w:val="bottom"/>
            <w:shd w:val="clear" w:color="auto" w:fill="CCEEFF"/>
          </w:tcPr>
          <w:p>
            <w:pPr>
              <w:spacing w:after="0"/>
              <w:rPr>
                <w:sz w:val="24"/>
                <w:szCs w:val="24"/>
                <w:color w:val="auto"/>
              </w:rPr>
            </w:pPr>
          </w:p>
        </w:tc>
        <w:tc>
          <w:tcPr>
            <w:tcW w:w="114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35</w:t>
            </w:r>
          </w:p>
        </w:tc>
      </w:tr>
      <w:tr>
        <w:trPr>
          <w:trHeight w:val="270"/>
        </w:trPr>
        <w:tc>
          <w:tcPr>
            <w:tcW w:w="5160" w:type="dxa"/>
            <w:vAlign w:val="bottom"/>
          </w:tcPr>
          <w:p>
            <w:pPr>
              <w:ind w:left="280"/>
              <w:spacing w:after="0"/>
              <w:rPr>
                <w:sz w:val="20"/>
                <w:szCs w:val="20"/>
                <w:color w:val="auto"/>
              </w:rPr>
            </w:pPr>
            <w:r>
              <w:rPr>
                <w:rFonts w:ascii="Arial" w:cs="Arial" w:eastAsia="Arial" w:hAnsi="Arial"/>
                <w:sz w:val="18"/>
                <w:szCs w:val="18"/>
                <w:color w:val="auto"/>
              </w:rPr>
              <w:t xml:space="preserve">Actuarial (gain) loss </w:t>
            </w:r>
            <w:r>
              <w:rPr>
                <w:rFonts w:ascii="Arial" w:cs="Arial" w:eastAsia="Arial" w:hAnsi="Arial"/>
                <w:sz w:val="21"/>
                <w:szCs w:val="21"/>
                <w:color w:val="auto"/>
                <w:vertAlign w:val="superscript"/>
              </w:rPr>
              <w:t>(1), (2)</w:t>
            </w:r>
          </w:p>
        </w:tc>
        <w:tc>
          <w:tcPr>
            <w:tcW w:w="340" w:type="dxa"/>
            <w:vAlign w:val="bottom"/>
          </w:tcPr>
          <w:p>
            <w:pPr>
              <w:spacing w:after="0"/>
              <w:rPr>
                <w:sz w:val="23"/>
                <w:szCs w:val="23"/>
                <w:color w:val="auto"/>
              </w:rPr>
            </w:pPr>
          </w:p>
        </w:tc>
        <w:tc>
          <w:tcPr>
            <w:tcW w:w="1140" w:type="dxa"/>
            <w:vAlign w:val="bottom"/>
          </w:tcPr>
          <w:p>
            <w:pPr>
              <w:jc w:val="right"/>
              <w:ind w:right="14"/>
              <w:spacing w:after="0"/>
              <w:rPr>
                <w:sz w:val="20"/>
                <w:szCs w:val="20"/>
                <w:color w:val="auto"/>
              </w:rPr>
            </w:pPr>
            <w:r>
              <w:rPr>
                <w:rFonts w:ascii="Arial" w:cs="Arial" w:eastAsia="Arial" w:hAnsi="Arial"/>
                <w:sz w:val="18"/>
                <w:szCs w:val="18"/>
                <w:color w:val="auto"/>
              </w:rPr>
              <w:t>1,951</w:t>
            </w:r>
          </w:p>
        </w:tc>
        <w:tc>
          <w:tcPr>
            <w:tcW w:w="100" w:type="dxa"/>
            <w:vAlign w:val="bottom"/>
          </w:tcPr>
          <w:p>
            <w:pPr>
              <w:spacing w:after="0"/>
              <w:rPr>
                <w:sz w:val="23"/>
                <w:szCs w:val="23"/>
                <w:color w:val="auto"/>
              </w:rPr>
            </w:pPr>
          </w:p>
        </w:tc>
        <w:tc>
          <w:tcPr>
            <w:tcW w:w="580" w:type="dxa"/>
            <w:vAlign w:val="bottom"/>
          </w:tcPr>
          <w:p>
            <w:pPr>
              <w:spacing w:after="0"/>
              <w:rPr>
                <w:sz w:val="23"/>
                <w:szCs w:val="23"/>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(1,905)</w:t>
            </w:r>
          </w:p>
        </w:tc>
        <w:tc>
          <w:tcPr>
            <w:tcW w:w="100" w:type="dxa"/>
            <w:vAlign w:val="bottom"/>
          </w:tcPr>
          <w:p>
            <w:pPr>
              <w:spacing w:after="0"/>
              <w:rPr>
                <w:sz w:val="23"/>
                <w:szCs w:val="23"/>
                <w:color w:val="auto"/>
              </w:rPr>
            </w:pPr>
          </w:p>
        </w:tc>
        <w:tc>
          <w:tcPr>
            <w:tcW w:w="440" w:type="dxa"/>
            <w:vAlign w:val="bottom"/>
          </w:tcPr>
          <w:p>
            <w:pPr>
              <w:spacing w:after="0"/>
              <w:rPr>
                <w:sz w:val="23"/>
                <w:szCs w:val="23"/>
                <w:color w:val="auto"/>
              </w:rPr>
            </w:pPr>
          </w:p>
        </w:tc>
        <w:tc>
          <w:tcPr>
            <w:tcW w:w="1040" w:type="dxa"/>
            <w:vAlign w:val="bottom"/>
          </w:tcPr>
          <w:p>
            <w:pPr>
              <w:jc w:val="right"/>
              <w:ind w:right="15"/>
              <w:spacing w:after="0"/>
              <w:rPr>
                <w:sz w:val="20"/>
                <w:szCs w:val="20"/>
                <w:color w:val="auto"/>
              </w:rPr>
            </w:pPr>
            <w:r>
              <w:rPr>
                <w:rFonts w:ascii="Arial" w:cs="Arial" w:eastAsia="Arial" w:hAnsi="Arial"/>
                <w:sz w:val="18"/>
                <w:szCs w:val="18"/>
                <w:color w:val="auto"/>
              </w:rPr>
              <w:t>20</w:t>
            </w:r>
          </w:p>
        </w:tc>
        <w:tc>
          <w:tcPr>
            <w:tcW w:w="12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(132)</w:t>
            </w:r>
          </w:p>
        </w:tc>
      </w:tr>
      <w:tr>
        <w:trPr>
          <w:trHeight w:val="270"/>
        </w:trPr>
        <w:tc>
          <w:tcPr>
            <w:tcW w:w="5160" w:type="dxa"/>
            <w:vAlign w:val="bottom"/>
            <w:shd w:val="clear" w:color="auto" w:fill="CCEEFF"/>
          </w:tcPr>
          <w:p>
            <w:pPr>
              <w:ind w:left="280"/>
              <w:spacing w:after="0"/>
              <w:rPr>
                <w:sz w:val="20"/>
                <w:szCs w:val="20"/>
                <w:color w:val="auto"/>
              </w:rPr>
            </w:pPr>
            <w:r>
              <w:rPr>
                <w:rFonts w:ascii="Arial" w:cs="Arial" w:eastAsia="Arial" w:hAnsi="Arial"/>
                <w:sz w:val="18"/>
                <w:szCs w:val="18"/>
                <w:color w:val="auto"/>
              </w:rPr>
              <w:t>Settlements</w:t>
            </w:r>
          </w:p>
        </w:tc>
        <w:tc>
          <w:tcPr>
            <w:tcW w:w="340" w:type="dxa"/>
            <w:vAlign w:val="bottom"/>
            <w:shd w:val="clear" w:color="auto" w:fill="CCEEFF"/>
          </w:tcPr>
          <w:p>
            <w:pPr>
              <w:spacing w:after="0"/>
              <w:rPr>
                <w:sz w:val="23"/>
                <w:szCs w:val="23"/>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w:t>
            </w:r>
          </w:p>
        </w:tc>
        <w:tc>
          <w:tcPr>
            <w:tcW w:w="100" w:type="dxa"/>
            <w:vAlign w:val="bottom"/>
            <w:shd w:val="clear" w:color="auto" w:fill="CCEEFF"/>
          </w:tcPr>
          <w:p>
            <w:pPr>
              <w:spacing w:after="0"/>
              <w:rPr>
                <w:sz w:val="23"/>
                <w:szCs w:val="23"/>
                <w:color w:val="auto"/>
              </w:rPr>
            </w:pPr>
          </w:p>
        </w:tc>
        <w:tc>
          <w:tcPr>
            <w:tcW w:w="580" w:type="dxa"/>
            <w:vAlign w:val="bottom"/>
            <w:shd w:val="clear" w:color="auto" w:fill="CCEEFF"/>
          </w:tcPr>
          <w:p>
            <w:pPr>
              <w:spacing w:after="0"/>
              <w:rPr>
                <w:sz w:val="23"/>
                <w:szCs w:val="23"/>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w:t>
            </w:r>
          </w:p>
        </w:tc>
        <w:tc>
          <w:tcPr>
            <w:tcW w:w="100" w:type="dxa"/>
            <w:vAlign w:val="bottom"/>
            <w:shd w:val="clear" w:color="auto" w:fill="CCEEFF"/>
          </w:tcPr>
          <w:p>
            <w:pPr>
              <w:spacing w:after="0"/>
              <w:rPr>
                <w:sz w:val="23"/>
                <w:szCs w:val="23"/>
                <w:color w:val="auto"/>
              </w:rPr>
            </w:pPr>
          </w:p>
        </w:tc>
        <w:tc>
          <w:tcPr>
            <w:tcW w:w="440" w:type="dxa"/>
            <w:vAlign w:val="bottom"/>
            <w:shd w:val="clear" w:color="auto" w:fill="CCEEFF"/>
          </w:tcPr>
          <w:p>
            <w:pPr>
              <w:spacing w:after="0"/>
              <w:rPr>
                <w:sz w:val="23"/>
                <w:szCs w:val="23"/>
                <w:color w:val="auto"/>
              </w:rPr>
            </w:pPr>
          </w:p>
        </w:tc>
        <w:tc>
          <w:tcPr>
            <w:tcW w:w="11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340" w:type="dxa"/>
            <w:vAlign w:val="bottom"/>
            <w:shd w:val="clear" w:color="auto" w:fill="CCEEFF"/>
          </w:tcPr>
          <w:p>
            <w:pPr>
              <w:spacing w:after="0"/>
              <w:rPr>
                <w:sz w:val="23"/>
                <w:szCs w:val="23"/>
                <w:color w:val="auto"/>
              </w:rPr>
            </w:pPr>
          </w:p>
        </w:tc>
        <w:tc>
          <w:tcPr>
            <w:tcW w:w="114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w:t>
            </w:r>
          </w:p>
        </w:tc>
      </w:tr>
      <w:tr>
        <w:trPr>
          <w:trHeight w:val="263"/>
        </w:trPr>
        <w:tc>
          <w:tcPr>
            <w:tcW w:w="5160" w:type="dxa"/>
            <w:vAlign w:val="bottom"/>
          </w:tcPr>
          <w:p>
            <w:pPr>
              <w:ind w:left="280"/>
              <w:spacing w:after="0"/>
              <w:rPr>
                <w:sz w:val="20"/>
                <w:szCs w:val="20"/>
                <w:color w:val="auto"/>
              </w:rPr>
            </w:pPr>
            <w:r>
              <w:rPr>
                <w:rFonts w:ascii="Arial" w:cs="Arial" w:eastAsia="Arial" w:hAnsi="Arial"/>
                <w:sz w:val="18"/>
                <w:szCs w:val="18"/>
                <w:color w:val="auto"/>
              </w:rPr>
              <w:t>Benefit payments</w:t>
            </w:r>
          </w:p>
        </w:tc>
        <w:tc>
          <w:tcPr>
            <w:tcW w:w="340" w:type="dxa"/>
            <w:vAlign w:val="bottom"/>
          </w:tcPr>
          <w:p>
            <w:pPr>
              <w:spacing w:after="0"/>
              <w:rPr>
                <w:sz w:val="22"/>
                <w:szCs w:val="22"/>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(686)</w:t>
            </w:r>
          </w:p>
        </w:tc>
        <w:tc>
          <w:tcPr>
            <w:tcW w:w="100" w:type="dxa"/>
            <w:vAlign w:val="bottom"/>
          </w:tcPr>
          <w:p>
            <w:pPr>
              <w:spacing w:after="0"/>
              <w:rPr>
                <w:sz w:val="22"/>
                <w:szCs w:val="22"/>
                <w:color w:val="auto"/>
              </w:rPr>
            </w:pPr>
          </w:p>
        </w:tc>
        <w:tc>
          <w:tcPr>
            <w:tcW w:w="580" w:type="dxa"/>
            <w:vAlign w:val="bottom"/>
          </w:tcPr>
          <w:p>
            <w:pPr>
              <w:spacing w:after="0"/>
              <w:rPr>
                <w:sz w:val="22"/>
                <w:szCs w:val="22"/>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(659)</w:t>
            </w:r>
          </w:p>
        </w:tc>
        <w:tc>
          <w:tcPr>
            <w:tcW w:w="100" w:type="dxa"/>
            <w:vAlign w:val="bottom"/>
          </w:tcPr>
          <w:p>
            <w:pPr>
              <w:spacing w:after="0"/>
              <w:rPr>
                <w:sz w:val="22"/>
                <w:szCs w:val="22"/>
                <w:color w:val="auto"/>
              </w:rPr>
            </w:pPr>
          </w:p>
        </w:tc>
        <w:tc>
          <w:tcPr>
            <w:tcW w:w="440" w:type="dxa"/>
            <w:vAlign w:val="bottom"/>
          </w:tcPr>
          <w:p>
            <w:pPr>
              <w:spacing w:after="0"/>
              <w:rPr>
                <w:sz w:val="22"/>
                <w:szCs w:val="22"/>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(74)</w:t>
            </w:r>
          </w:p>
        </w:tc>
        <w:tc>
          <w:tcPr>
            <w:tcW w:w="12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(81)</w:t>
            </w:r>
          </w:p>
        </w:tc>
      </w:tr>
      <w:tr>
        <w:trPr>
          <w:trHeight w:val="277"/>
        </w:trPr>
        <w:tc>
          <w:tcPr>
            <w:tcW w:w="5160" w:type="dxa"/>
            <w:vAlign w:val="bottom"/>
            <w:shd w:val="clear" w:color="auto" w:fill="CCEEFF"/>
          </w:tcPr>
          <w:p>
            <w:pPr>
              <w:ind w:left="280"/>
              <w:spacing w:after="0"/>
              <w:rPr>
                <w:sz w:val="20"/>
                <w:szCs w:val="20"/>
                <w:color w:val="auto"/>
              </w:rPr>
            </w:pPr>
            <w:r>
              <w:rPr>
                <w:rFonts w:ascii="Arial" w:cs="Arial" w:eastAsia="Arial" w:hAnsi="Arial"/>
                <w:sz w:val="18"/>
                <w:szCs w:val="18"/>
                <w:color w:val="auto"/>
              </w:rPr>
              <w:t>Other</w:t>
            </w:r>
          </w:p>
        </w:tc>
        <w:tc>
          <w:tcPr>
            <w:tcW w:w="340" w:type="dxa"/>
            <w:vAlign w:val="bottom"/>
            <w:shd w:val="clear" w:color="auto" w:fill="CCEEFF"/>
          </w:tcPr>
          <w:p>
            <w:pPr>
              <w:spacing w:after="0"/>
              <w:rPr>
                <w:sz w:val="24"/>
                <w:szCs w:val="24"/>
                <w:color w:val="auto"/>
              </w:rPr>
            </w:pPr>
          </w:p>
        </w:tc>
        <w:tc>
          <w:tcPr>
            <w:tcW w:w="12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580" w:type="dxa"/>
            <w:vAlign w:val="bottom"/>
            <w:shd w:val="clear" w:color="auto" w:fill="CCEEFF"/>
          </w:tcPr>
          <w:p>
            <w:pPr>
              <w:spacing w:after="0"/>
              <w:rPr>
                <w:sz w:val="24"/>
                <w:szCs w:val="24"/>
                <w:color w:val="auto"/>
              </w:rPr>
            </w:pPr>
          </w:p>
        </w:tc>
        <w:tc>
          <w:tcPr>
            <w:tcW w:w="920" w:type="dxa"/>
            <w:vAlign w:val="bottom"/>
            <w:shd w:val="clear" w:color="auto" w:fill="CCEEFF"/>
          </w:tcPr>
          <w:p>
            <w:pPr>
              <w:jc w:val="right"/>
              <w:ind w:right="34"/>
              <w:spacing w:after="0"/>
              <w:rPr>
                <w:sz w:val="20"/>
                <w:szCs w:val="20"/>
                <w:color w:val="auto"/>
              </w:rPr>
            </w:pPr>
            <w:r>
              <w:rPr>
                <w:rFonts w:ascii="Arial" w:cs="Arial" w:eastAsia="Arial" w:hAnsi="Arial"/>
                <w:sz w:val="18"/>
                <w:szCs w:val="18"/>
                <w:color w:val="auto"/>
              </w:rPr>
              <w:t>3</w:t>
            </w:r>
          </w:p>
        </w:tc>
        <w:tc>
          <w:tcPr>
            <w:tcW w:w="100" w:type="dxa"/>
            <w:vAlign w:val="bottom"/>
            <w:shd w:val="clear" w:color="auto" w:fill="CCEEFF"/>
          </w:tcPr>
          <w:p>
            <w:pPr>
              <w:spacing w:after="0"/>
              <w:rPr>
                <w:sz w:val="24"/>
                <w:szCs w:val="24"/>
                <w:color w:val="auto"/>
              </w:rPr>
            </w:pPr>
          </w:p>
        </w:tc>
        <w:tc>
          <w:tcPr>
            <w:tcW w:w="440" w:type="dxa"/>
            <w:vAlign w:val="bottom"/>
            <w:shd w:val="clear" w:color="auto" w:fill="CCEEFF"/>
          </w:tcPr>
          <w:p>
            <w:pPr>
              <w:spacing w:after="0"/>
              <w:rPr>
                <w:sz w:val="24"/>
                <w:szCs w:val="24"/>
                <w:color w:val="auto"/>
              </w:rPr>
            </w:pPr>
          </w:p>
        </w:tc>
        <w:tc>
          <w:tcPr>
            <w:tcW w:w="1040" w:type="dxa"/>
            <w:vAlign w:val="bottom"/>
            <w:shd w:val="clear" w:color="auto" w:fill="CCEEFF"/>
          </w:tcPr>
          <w:p>
            <w:pPr>
              <w:jc w:val="right"/>
              <w:ind w:right="15"/>
              <w:spacing w:after="0"/>
              <w:rPr>
                <w:sz w:val="20"/>
                <w:szCs w:val="20"/>
                <w:color w:val="auto"/>
              </w:rPr>
            </w:pPr>
            <w:r>
              <w:rPr>
                <w:rFonts w:ascii="Arial" w:cs="Arial" w:eastAsia="Arial" w:hAnsi="Arial"/>
                <w:sz w:val="18"/>
                <w:szCs w:val="18"/>
                <w:color w:val="auto"/>
              </w:rPr>
              <w:t>5</w:t>
            </w:r>
          </w:p>
        </w:tc>
        <w:tc>
          <w:tcPr>
            <w:tcW w:w="120" w:type="dxa"/>
            <w:vAlign w:val="bottom"/>
            <w:shd w:val="clear" w:color="auto" w:fill="CCEEFF"/>
          </w:tcPr>
          <w:p>
            <w:pPr>
              <w:spacing w:after="0"/>
              <w:rPr>
                <w:sz w:val="24"/>
                <w:szCs w:val="24"/>
                <w:color w:val="auto"/>
              </w:rPr>
            </w:pPr>
          </w:p>
        </w:tc>
        <w:tc>
          <w:tcPr>
            <w:tcW w:w="340" w:type="dxa"/>
            <w:vAlign w:val="bottom"/>
            <w:shd w:val="clear" w:color="auto" w:fill="CCEEFF"/>
          </w:tcPr>
          <w:p>
            <w:pPr>
              <w:spacing w:after="0"/>
              <w:rPr>
                <w:sz w:val="24"/>
                <w:szCs w:val="24"/>
                <w:color w:val="auto"/>
              </w:rPr>
            </w:pPr>
          </w:p>
        </w:tc>
        <w:tc>
          <w:tcPr>
            <w:tcW w:w="114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w:t>
            </w:r>
          </w:p>
        </w:tc>
      </w:tr>
      <w:tr>
        <w:trPr>
          <w:trHeight w:val="244"/>
        </w:trPr>
        <w:tc>
          <w:tcPr>
            <w:tcW w:w="5160" w:type="dxa"/>
            <w:vAlign w:val="bottom"/>
          </w:tcPr>
          <w:p>
            <w:pPr>
              <w:ind w:left="40"/>
              <w:spacing w:after="0"/>
              <w:rPr>
                <w:sz w:val="20"/>
                <w:szCs w:val="20"/>
                <w:color w:val="auto"/>
              </w:rPr>
            </w:pPr>
            <w:r>
              <w:rPr>
                <w:rFonts w:ascii="Arial" w:cs="Arial" w:eastAsia="Arial" w:hAnsi="Arial"/>
                <w:sz w:val="18"/>
                <w:szCs w:val="18"/>
                <w:color w:val="auto"/>
              </w:rPr>
              <w:t>Benefit obligation at end of period</w:t>
            </w:r>
          </w:p>
        </w:tc>
        <w:tc>
          <w:tcPr>
            <w:tcW w:w="340" w:type="dxa"/>
            <w:vAlign w:val="bottom"/>
            <w:tcBorders>
              <w:top w:val="single" w:sz="8" w:color="auto"/>
              <w:bottom w:val="single" w:sz="8" w:color="auto"/>
            </w:tcBorders>
          </w:tcPr>
          <w:p>
            <w:pPr>
              <w:jc w:val="right"/>
              <w:ind w:right="130"/>
              <w:spacing w:after="0"/>
              <w:rPr>
                <w:sz w:val="20"/>
                <w:szCs w:val="20"/>
                <w:color w:val="auto"/>
              </w:rPr>
            </w:pPr>
            <w:r>
              <w:rPr>
                <w:rFonts w:ascii="Arial" w:cs="Arial" w:eastAsia="Arial" w:hAnsi="Arial"/>
                <w:sz w:val="18"/>
                <w:szCs w:val="18"/>
                <w:color w:val="auto"/>
                <w:w w:val="99"/>
              </w:rPr>
              <w:t>$</w:t>
            </w:r>
          </w:p>
        </w:tc>
        <w:tc>
          <w:tcPr>
            <w:tcW w:w="1140" w:type="dxa"/>
            <w:vAlign w:val="bottom"/>
            <w:tcBorders>
              <w:top w:val="single" w:sz="8" w:color="auto"/>
              <w:bottom w:val="single" w:sz="8" w:color="auto"/>
            </w:tcBorders>
          </w:tcPr>
          <w:p>
            <w:pPr>
              <w:jc w:val="right"/>
              <w:ind w:right="14"/>
              <w:spacing w:after="0"/>
              <w:rPr>
                <w:sz w:val="20"/>
                <w:szCs w:val="20"/>
                <w:color w:val="auto"/>
              </w:rPr>
            </w:pPr>
            <w:r>
              <w:rPr>
                <w:rFonts w:ascii="Arial" w:cs="Arial" w:eastAsia="Arial" w:hAnsi="Arial"/>
                <w:sz w:val="18"/>
                <w:szCs w:val="18"/>
                <w:color w:val="auto"/>
              </w:rPr>
              <w:t>18,246</w:t>
            </w:r>
          </w:p>
        </w:tc>
        <w:tc>
          <w:tcPr>
            <w:tcW w:w="100" w:type="dxa"/>
            <w:vAlign w:val="bottom"/>
          </w:tcPr>
          <w:p>
            <w:pPr>
              <w:spacing w:after="0"/>
              <w:rPr>
                <w:sz w:val="21"/>
                <w:szCs w:val="21"/>
                <w:color w:val="auto"/>
              </w:rPr>
            </w:pPr>
          </w:p>
        </w:tc>
        <w:tc>
          <w:tcPr>
            <w:tcW w:w="580" w:type="dxa"/>
            <w:vAlign w:val="bottom"/>
            <w:tcBorders>
              <w:top w:val="single" w:sz="8" w:color="auto"/>
              <w:bottom w:val="single" w:sz="8" w:color="auto"/>
            </w:tcBorders>
          </w:tcPr>
          <w:p>
            <w:pPr>
              <w:jc w:val="right"/>
              <w:ind w:right="350"/>
              <w:spacing w:after="0"/>
              <w:rPr>
                <w:sz w:val="20"/>
                <w:szCs w:val="20"/>
                <w:color w:val="auto"/>
              </w:rPr>
            </w:pPr>
            <w:r>
              <w:rPr>
                <w:rFonts w:ascii="Arial" w:cs="Arial" w:eastAsia="Arial" w:hAnsi="Arial"/>
                <w:sz w:val="18"/>
                <w:szCs w:val="18"/>
                <w:color w:val="auto"/>
              </w:rPr>
              <w:t>$</w:t>
            </w:r>
          </w:p>
        </w:tc>
        <w:tc>
          <w:tcPr>
            <w:tcW w:w="920" w:type="dxa"/>
            <w:vAlign w:val="bottom"/>
            <w:tcBorders>
              <w:top w:val="single" w:sz="8" w:color="auto"/>
              <w:bottom w:val="single" w:sz="8" w:color="auto"/>
            </w:tcBorders>
          </w:tcPr>
          <w:p>
            <w:pPr>
              <w:jc w:val="right"/>
              <w:ind w:right="34"/>
              <w:spacing w:after="0"/>
              <w:rPr>
                <w:sz w:val="20"/>
                <w:szCs w:val="20"/>
                <w:color w:val="auto"/>
              </w:rPr>
            </w:pPr>
            <w:r>
              <w:rPr>
                <w:rFonts w:ascii="Arial" w:cs="Arial" w:eastAsia="Arial" w:hAnsi="Arial"/>
                <w:sz w:val="18"/>
                <w:szCs w:val="18"/>
                <w:color w:val="auto"/>
              </w:rPr>
              <w:t>16,282</w:t>
            </w:r>
          </w:p>
        </w:tc>
        <w:tc>
          <w:tcPr>
            <w:tcW w:w="100" w:type="dxa"/>
            <w:vAlign w:val="bottom"/>
          </w:tcPr>
          <w:p>
            <w:pPr>
              <w:spacing w:after="0"/>
              <w:rPr>
                <w:sz w:val="21"/>
                <w:szCs w:val="21"/>
                <w:color w:val="auto"/>
              </w:rPr>
            </w:pPr>
          </w:p>
        </w:tc>
        <w:tc>
          <w:tcPr>
            <w:tcW w:w="440" w:type="dxa"/>
            <w:vAlign w:val="bottom"/>
            <w:tcBorders>
              <w:top w:val="single" w:sz="8" w:color="auto"/>
              <w:bottom w:val="single" w:sz="8" w:color="auto"/>
            </w:tcBorders>
          </w:tcPr>
          <w:p>
            <w:pPr>
              <w:jc w:val="right"/>
              <w:ind w:right="230"/>
              <w:spacing w:after="0"/>
              <w:rPr>
                <w:sz w:val="20"/>
                <w:szCs w:val="20"/>
                <w:color w:val="auto"/>
              </w:rPr>
            </w:pPr>
            <w:r>
              <w:rPr>
                <w:rFonts w:ascii="Arial" w:cs="Arial" w:eastAsia="Arial" w:hAnsi="Arial"/>
                <w:sz w:val="18"/>
                <w:szCs w:val="18"/>
                <w:color w:val="auto"/>
                <w:w w:val="99"/>
              </w:rPr>
              <w:t>$</w:t>
            </w:r>
          </w:p>
        </w:tc>
        <w:tc>
          <w:tcPr>
            <w:tcW w:w="1040" w:type="dxa"/>
            <w:vAlign w:val="bottom"/>
            <w:tcBorders>
              <w:top w:val="single" w:sz="8" w:color="auto"/>
              <w:bottom w:val="single" w:sz="8" w:color="auto"/>
            </w:tcBorders>
          </w:tcPr>
          <w:p>
            <w:pPr>
              <w:jc w:val="right"/>
              <w:ind w:right="15"/>
              <w:spacing w:after="0"/>
              <w:rPr>
                <w:sz w:val="20"/>
                <w:szCs w:val="20"/>
                <w:color w:val="auto"/>
              </w:rPr>
            </w:pPr>
            <w:r>
              <w:rPr>
                <w:rFonts w:ascii="Arial" w:cs="Arial" w:eastAsia="Arial" w:hAnsi="Arial"/>
                <w:sz w:val="18"/>
                <w:szCs w:val="18"/>
                <w:color w:val="auto"/>
              </w:rPr>
              <w:t>824</w:t>
            </w:r>
          </w:p>
        </w:tc>
        <w:tc>
          <w:tcPr>
            <w:tcW w:w="120" w:type="dxa"/>
            <w:vAlign w:val="bottom"/>
          </w:tcPr>
          <w:p>
            <w:pPr>
              <w:spacing w:after="0"/>
              <w:rPr>
                <w:sz w:val="21"/>
                <w:szCs w:val="21"/>
                <w:color w:val="auto"/>
              </w:rPr>
            </w:pPr>
          </w:p>
        </w:tc>
        <w:tc>
          <w:tcPr>
            <w:tcW w:w="340" w:type="dxa"/>
            <w:vAlign w:val="bottom"/>
            <w:tcBorders>
              <w:top w:val="single" w:sz="8" w:color="auto"/>
              <w:bottom w:val="single" w:sz="8" w:color="auto"/>
            </w:tcBorders>
          </w:tcPr>
          <w:p>
            <w:pPr>
              <w:jc w:val="right"/>
              <w:ind w:right="130"/>
              <w:spacing w:after="0"/>
              <w:rPr>
                <w:sz w:val="20"/>
                <w:szCs w:val="20"/>
                <w:color w:val="auto"/>
              </w:rPr>
            </w:pPr>
            <w:r>
              <w:rPr>
                <w:rFonts w:ascii="Arial" w:cs="Arial" w:eastAsia="Arial" w:hAnsi="Arial"/>
                <w:sz w:val="18"/>
                <w:szCs w:val="18"/>
                <w:color w:val="auto"/>
                <w:w w:val="99"/>
              </w:rPr>
              <w:t>$</w:t>
            </w:r>
          </w:p>
        </w:tc>
        <w:tc>
          <w:tcPr>
            <w:tcW w:w="1140" w:type="dxa"/>
            <w:vAlign w:val="bottom"/>
            <w:tcBorders>
              <w:top w:val="single" w:sz="8" w:color="auto"/>
              <w:bottom w:val="single" w:sz="8" w:color="auto"/>
            </w:tcBorders>
          </w:tcPr>
          <w:p>
            <w:pPr>
              <w:jc w:val="right"/>
              <w:ind w:right="12"/>
              <w:spacing w:after="0"/>
              <w:rPr>
                <w:sz w:val="20"/>
                <w:szCs w:val="20"/>
                <w:color w:val="auto"/>
              </w:rPr>
            </w:pPr>
            <w:r>
              <w:rPr>
                <w:rFonts w:ascii="Arial" w:cs="Arial" w:eastAsia="Arial" w:hAnsi="Arial"/>
                <w:sz w:val="18"/>
                <w:szCs w:val="18"/>
                <w:color w:val="auto"/>
              </w:rPr>
              <w:t>837</w:t>
            </w:r>
          </w:p>
        </w:tc>
      </w:tr>
      <w:tr>
        <w:trPr>
          <w:trHeight w:val="20"/>
        </w:trPr>
        <w:tc>
          <w:tcPr>
            <w:tcW w:w="516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80" w:type="dxa"/>
            <w:vAlign w:val="bottom"/>
            <w:tcBorders>
              <w:bottom w:val="single" w:sz="8" w:color="auto"/>
            </w:tcBorders>
            <w:gridSpan w:val="2"/>
          </w:tcPr>
          <w:p>
            <w:pPr>
              <w:spacing w:after="0" w:line="20" w:lineRule="exact"/>
              <w:rPr>
                <w:sz w:val="1"/>
                <w:szCs w:val="1"/>
                <w:color w:val="auto"/>
              </w:rPr>
            </w:pPr>
          </w:p>
        </w:tc>
      </w:tr>
      <w:tr>
        <w:trPr>
          <w:trHeight w:val="298"/>
        </w:trPr>
        <w:tc>
          <w:tcPr>
            <w:tcW w:w="51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2640" w:type="dxa"/>
            <w:vAlign w:val="bottom"/>
            <w:gridSpan w:val="4"/>
          </w:tcPr>
          <w:p>
            <w:pPr>
              <w:jc w:val="center"/>
              <w:ind w:right="332"/>
              <w:spacing w:after="0"/>
              <w:rPr>
                <w:sz w:val="20"/>
                <w:szCs w:val="20"/>
                <w:color w:val="auto"/>
              </w:rPr>
            </w:pPr>
            <w:r>
              <w:rPr>
                <w:rFonts w:ascii="Arial" w:cs="Arial" w:eastAsia="Arial" w:hAnsi="Arial"/>
                <w:sz w:val="14"/>
                <w:szCs w:val="14"/>
                <w:b w:val="1"/>
                <w:bCs w:val="1"/>
                <w:color w:val="auto"/>
              </w:rPr>
              <w:t>Retiree Medical and</w:t>
            </w:r>
          </w:p>
        </w:tc>
      </w:tr>
      <w:tr>
        <w:trPr>
          <w:trHeight w:val="196"/>
        </w:trPr>
        <w:tc>
          <w:tcPr>
            <w:tcW w:w="5160" w:type="dxa"/>
            <w:vAlign w:val="bottom"/>
          </w:tcPr>
          <w:p>
            <w:pPr>
              <w:spacing w:after="0"/>
              <w:rPr>
                <w:sz w:val="17"/>
                <w:szCs w:val="17"/>
                <w:color w:val="auto"/>
              </w:rPr>
            </w:pPr>
          </w:p>
        </w:tc>
        <w:tc>
          <w:tcPr>
            <w:tcW w:w="340" w:type="dxa"/>
            <w:vAlign w:val="bottom"/>
            <w:tcBorders>
              <w:bottom w:val="single" w:sz="8" w:color="auto"/>
            </w:tcBorders>
          </w:tcPr>
          <w:p>
            <w:pPr>
              <w:spacing w:after="0"/>
              <w:rPr>
                <w:sz w:val="17"/>
                <w:szCs w:val="17"/>
                <w:color w:val="auto"/>
              </w:rPr>
            </w:pPr>
          </w:p>
        </w:tc>
        <w:tc>
          <w:tcPr>
            <w:tcW w:w="1820" w:type="dxa"/>
            <w:vAlign w:val="bottom"/>
            <w:tcBorders>
              <w:bottom w:val="single" w:sz="8" w:color="auto"/>
            </w:tcBorders>
            <w:gridSpan w:val="3"/>
          </w:tcPr>
          <w:p>
            <w:pPr>
              <w:jc w:val="right"/>
              <w:spacing w:after="0"/>
              <w:rPr>
                <w:sz w:val="20"/>
                <w:szCs w:val="20"/>
                <w:color w:val="auto"/>
              </w:rPr>
            </w:pPr>
            <w:r>
              <w:rPr>
                <w:rFonts w:ascii="Arial" w:cs="Arial" w:eastAsia="Arial" w:hAnsi="Arial"/>
                <w:sz w:val="14"/>
                <w:szCs w:val="14"/>
                <w:b w:val="1"/>
                <w:bCs w:val="1"/>
                <w:color w:val="auto"/>
              </w:rPr>
              <w:t>Pension Benefits</w:t>
            </w:r>
          </w:p>
        </w:tc>
        <w:tc>
          <w:tcPr>
            <w:tcW w:w="920" w:type="dxa"/>
            <w:vAlign w:val="bottom"/>
            <w:tcBorders>
              <w:bottom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440" w:type="dxa"/>
            <w:vAlign w:val="bottom"/>
            <w:tcBorders>
              <w:bottom w:val="single" w:sz="8" w:color="auto"/>
            </w:tcBorders>
          </w:tcPr>
          <w:p>
            <w:pPr>
              <w:spacing w:after="0"/>
              <w:rPr>
                <w:sz w:val="17"/>
                <w:szCs w:val="17"/>
                <w:color w:val="auto"/>
              </w:rPr>
            </w:pPr>
          </w:p>
        </w:tc>
        <w:tc>
          <w:tcPr>
            <w:tcW w:w="2640" w:type="dxa"/>
            <w:vAlign w:val="bottom"/>
            <w:tcBorders>
              <w:bottom w:val="single" w:sz="8" w:color="auto"/>
            </w:tcBorders>
            <w:gridSpan w:val="4"/>
          </w:tcPr>
          <w:p>
            <w:pPr>
              <w:jc w:val="center"/>
              <w:ind w:right="312"/>
              <w:spacing w:after="0"/>
              <w:rPr>
                <w:sz w:val="20"/>
                <w:szCs w:val="20"/>
                <w:color w:val="auto"/>
              </w:rPr>
            </w:pPr>
            <w:r>
              <w:rPr>
                <w:rFonts w:ascii="Arial" w:cs="Arial" w:eastAsia="Arial" w:hAnsi="Arial"/>
                <w:sz w:val="14"/>
                <w:szCs w:val="14"/>
                <w:b w:val="1"/>
                <w:bCs w:val="1"/>
                <w:color w:val="auto"/>
              </w:rPr>
              <w:t>Other Postretirement Benefits</w:t>
            </w:r>
          </w:p>
        </w:tc>
      </w:tr>
      <w:tr>
        <w:trPr>
          <w:trHeight w:val="264"/>
        </w:trPr>
        <w:tc>
          <w:tcPr>
            <w:tcW w:w="5160" w:type="dxa"/>
            <w:vAlign w:val="bottom"/>
          </w:tcPr>
          <w:p>
            <w:pPr>
              <w:spacing w:after="0"/>
              <w:rPr>
                <w:sz w:val="22"/>
                <w:szCs w:val="22"/>
                <w:color w:val="auto"/>
              </w:rPr>
            </w:pPr>
          </w:p>
        </w:tc>
        <w:tc>
          <w:tcPr>
            <w:tcW w:w="340" w:type="dxa"/>
            <w:vAlign w:val="bottom"/>
            <w:tcBorders>
              <w:bottom w:val="single" w:sz="8" w:color="auto"/>
            </w:tcBorders>
          </w:tcPr>
          <w:p>
            <w:pPr>
              <w:spacing w:after="0"/>
              <w:rPr>
                <w:sz w:val="22"/>
                <w:szCs w:val="22"/>
                <w:color w:val="auto"/>
              </w:rPr>
            </w:pPr>
          </w:p>
        </w:tc>
        <w:tc>
          <w:tcPr>
            <w:tcW w:w="1140" w:type="dxa"/>
            <w:vAlign w:val="bottom"/>
            <w:tcBorders>
              <w:bottom w:val="single" w:sz="8" w:color="auto"/>
            </w:tcBorders>
          </w:tcPr>
          <w:p>
            <w:pPr>
              <w:jc w:val="right"/>
              <w:ind w:right="494"/>
              <w:spacing w:after="0"/>
              <w:rPr>
                <w:sz w:val="20"/>
                <w:szCs w:val="20"/>
                <w:color w:val="auto"/>
              </w:rPr>
            </w:pPr>
            <w:r>
              <w:rPr>
                <w:rFonts w:ascii="Arial" w:cs="Arial" w:eastAsia="Arial" w:hAnsi="Arial"/>
                <w:sz w:val="14"/>
                <w:szCs w:val="14"/>
                <w:b w:val="1"/>
                <w:bCs w:val="1"/>
                <w:color w:val="auto"/>
              </w:rPr>
              <w:t>2019</w:t>
            </w:r>
          </w:p>
        </w:tc>
        <w:tc>
          <w:tcPr>
            <w:tcW w:w="100" w:type="dxa"/>
            <w:vAlign w:val="bottom"/>
          </w:tcPr>
          <w:p>
            <w:pPr>
              <w:spacing w:after="0"/>
              <w:rPr>
                <w:sz w:val="22"/>
                <w:szCs w:val="22"/>
                <w:color w:val="auto"/>
              </w:rPr>
            </w:pPr>
          </w:p>
        </w:tc>
        <w:tc>
          <w:tcPr>
            <w:tcW w:w="580" w:type="dxa"/>
            <w:vAlign w:val="bottom"/>
            <w:tcBorders>
              <w:bottom w:val="single" w:sz="8" w:color="auto"/>
            </w:tcBorders>
          </w:tcPr>
          <w:p>
            <w:pPr>
              <w:spacing w:after="0"/>
              <w:rPr>
                <w:sz w:val="22"/>
                <w:szCs w:val="22"/>
                <w:color w:val="auto"/>
              </w:rPr>
            </w:pPr>
          </w:p>
        </w:tc>
        <w:tc>
          <w:tcPr>
            <w:tcW w:w="920" w:type="dxa"/>
            <w:vAlign w:val="bottom"/>
            <w:tcBorders>
              <w:bottom w:val="single" w:sz="8" w:color="auto"/>
            </w:tcBorders>
          </w:tcPr>
          <w:p>
            <w:pPr>
              <w:jc w:val="right"/>
              <w:ind w:right="494"/>
              <w:spacing w:after="0"/>
              <w:rPr>
                <w:sz w:val="20"/>
                <w:szCs w:val="20"/>
                <w:color w:val="auto"/>
              </w:rPr>
            </w:pPr>
            <w:r>
              <w:rPr>
                <w:rFonts w:ascii="Arial" w:cs="Arial" w:eastAsia="Arial" w:hAnsi="Arial"/>
                <w:sz w:val="14"/>
                <w:szCs w:val="14"/>
                <w:b w:val="1"/>
                <w:bCs w:val="1"/>
                <w:color w:val="auto"/>
              </w:rPr>
              <w:t>2018</w:t>
            </w:r>
          </w:p>
        </w:tc>
        <w:tc>
          <w:tcPr>
            <w:tcW w:w="100" w:type="dxa"/>
            <w:vAlign w:val="bottom"/>
          </w:tcPr>
          <w:p>
            <w:pPr>
              <w:spacing w:after="0"/>
              <w:rPr>
                <w:sz w:val="22"/>
                <w:szCs w:val="22"/>
                <w:color w:val="auto"/>
              </w:rPr>
            </w:pPr>
          </w:p>
        </w:tc>
        <w:tc>
          <w:tcPr>
            <w:tcW w:w="440" w:type="dxa"/>
            <w:vAlign w:val="bottom"/>
            <w:tcBorders>
              <w:bottom w:val="single" w:sz="8" w:color="auto"/>
            </w:tcBorders>
          </w:tcPr>
          <w:p>
            <w:pPr>
              <w:spacing w:after="0"/>
              <w:rPr>
                <w:sz w:val="22"/>
                <w:szCs w:val="22"/>
                <w:color w:val="auto"/>
              </w:rPr>
            </w:pPr>
          </w:p>
        </w:tc>
        <w:tc>
          <w:tcPr>
            <w:tcW w:w="1040" w:type="dxa"/>
            <w:vAlign w:val="bottom"/>
            <w:tcBorders>
              <w:bottom w:val="single" w:sz="8" w:color="auto"/>
            </w:tcBorders>
          </w:tcPr>
          <w:p>
            <w:pPr>
              <w:jc w:val="right"/>
              <w:ind w:right="495"/>
              <w:spacing w:after="0"/>
              <w:rPr>
                <w:sz w:val="20"/>
                <w:szCs w:val="20"/>
                <w:color w:val="auto"/>
              </w:rPr>
            </w:pPr>
            <w:r>
              <w:rPr>
                <w:rFonts w:ascii="Arial" w:cs="Arial" w:eastAsia="Arial" w:hAnsi="Arial"/>
                <w:sz w:val="14"/>
                <w:szCs w:val="14"/>
                <w:b w:val="1"/>
                <w:bCs w:val="1"/>
                <w:color w:val="auto"/>
              </w:rPr>
              <w:t>2019</w:t>
            </w:r>
          </w:p>
        </w:tc>
        <w:tc>
          <w:tcPr>
            <w:tcW w:w="120" w:type="dxa"/>
            <w:vAlign w:val="bottom"/>
          </w:tcPr>
          <w:p>
            <w:pPr>
              <w:spacing w:after="0"/>
              <w:rPr>
                <w:sz w:val="22"/>
                <w:szCs w:val="22"/>
                <w:color w:val="auto"/>
              </w:rPr>
            </w:pPr>
          </w:p>
        </w:tc>
        <w:tc>
          <w:tcPr>
            <w:tcW w:w="340" w:type="dxa"/>
            <w:vAlign w:val="bottom"/>
            <w:tcBorders>
              <w:bottom w:val="single" w:sz="8" w:color="auto"/>
            </w:tcBorders>
          </w:tcPr>
          <w:p>
            <w:pPr>
              <w:spacing w:after="0"/>
              <w:rPr>
                <w:sz w:val="22"/>
                <w:szCs w:val="22"/>
                <w:color w:val="auto"/>
              </w:rPr>
            </w:pPr>
          </w:p>
        </w:tc>
        <w:tc>
          <w:tcPr>
            <w:tcW w:w="1140" w:type="dxa"/>
            <w:vAlign w:val="bottom"/>
            <w:tcBorders>
              <w:bottom w:val="single" w:sz="8" w:color="auto"/>
            </w:tcBorders>
          </w:tcPr>
          <w:p>
            <w:pPr>
              <w:jc w:val="right"/>
              <w:ind w:right="492"/>
              <w:spacing w:after="0"/>
              <w:rPr>
                <w:sz w:val="20"/>
                <w:szCs w:val="20"/>
                <w:color w:val="auto"/>
              </w:rPr>
            </w:pPr>
            <w:r>
              <w:rPr>
                <w:rFonts w:ascii="Arial" w:cs="Arial" w:eastAsia="Arial" w:hAnsi="Arial"/>
                <w:sz w:val="14"/>
                <w:szCs w:val="14"/>
                <w:b w:val="1"/>
                <w:bCs w:val="1"/>
                <w:color w:val="auto"/>
              </w:rPr>
              <w:t>2018</w:t>
            </w:r>
          </w:p>
        </w:tc>
      </w:tr>
      <w:tr>
        <w:trPr>
          <w:trHeight w:val="331"/>
        </w:trPr>
        <w:tc>
          <w:tcPr>
            <w:tcW w:w="51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460" w:type="dxa"/>
            <w:vAlign w:val="bottom"/>
            <w:gridSpan w:val="3"/>
          </w:tcPr>
          <w:p>
            <w:pPr>
              <w:jc w:val="right"/>
              <w:spacing w:after="0"/>
              <w:rPr>
                <w:sz w:val="20"/>
                <w:szCs w:val="20"/>
                <w:color w:val="auto"/>
              </w:rPr>
            </w:pPr>
            <w:r>
              <w:rPr>
                <w:rFonts w:ascii="Arial" w:cs="Arial" w:eastAsia="Arial" w:hAnsi="Arial"/>
                <w:sz w:val="14"/>
                <w:szCs w:val="14"/>
                <w:b w:val="1"/>
                <w:bCs w:val="1"/>
                <w:color w:val="auto"/>
              </w:rPr>
              <w:t>(In millions)</w:t>
            </w:r>
          </w:p>
        </w:tc>
        <w:tc>
          <w:tcPr>
            <w:tcW w:w="10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140" w:type="dxa"/>
            <w:vAlign w:val="bottom"/>
          </w:tcPr>
          <w:p>
            <w:pPr>
              <w:spacing w:after="0"/>
              <w:rPr>
                <w:sz w:val="24"/>
                <w:szCs w:val="24"/>
                <w:color w:val="auto"/>
              </w:rPr>
            </w:pPr>
          </w:p>
        </w:tc>
      </w:tr>
      <w:tr>
        <w:trPr>
          <w:trHeight w:val="276"/>
        </w:trPr>
        <w:tc>
          <w:tcPr>
            <w:tcW w:w="5160" w:type="dxa"/>
            <w:vAlign w:val="bottom"/>
            <w:shd w:val="clear" w:color="auto" w:fill="CCEEFF"/>
          </w:tcPr>
          <w:p>
            <w:pPr>
              <w:ind w:left="40"/>
              <w:spacing w:after="0"/>
              <w:rPr>
                <w:sz w:val="20"/>
                <w:szCs w:val="20"/>
                <w:color w:val="auto"/>
              </w:rPr>
            </w:pPr>
            <w:r>
              <w:rPr>
                <w:rFonts w:ascii="Arial" w:cs="Arial" w:eastAsia="Arial" w:hAnsi="Arial"/>
                <w:sz w:val="18"/>
                <w:szCs w:val="18"/>
                <w:color w:val="auto"/>
              </w:rPr>
              <w:t>Fair value of plan assets at beginning of period</w:t>
            </w:r>
          </w:p>
        </w:tc>
        <w:tc>
          <w:tcPr>
            <w:tcW w:w="34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140" w:type="dxa"/>
            <w:vAlign w:val="bottom"/>
            <w:shd w:val="clear" w:color="auto" w:fill="CCEEFF"/>
          </w:tcPr>
          <w:p>
            <w:pPr>
              <w:jc w:val="right"/>
              <w:ind w:right="14"/>
              <w:spacing w:after="0"/>
              <w:rPr>
                <w:sz w:val="20"/>
                <w:szCs w:val="20"/>
                <w:color w:val="auto"/>
              </w:rPr>
            </w:pPr>
            <w:r>
              <w:rPr>
                <w:rFonts w:ascii="Arial" w:cs="Arial" w:eastAsia="Arial" w:hAnsi="Arial"/>
                <w:sz w:val="18"/>
                <w:szCs w:val="18"/>
                <w:color w:val="auto"/>
              </w:rPr>
              <w:t>10,001</w:t>
            </w:r>
          </w:p>
        </w:tc>
        <w:tc>
          <w:tcPr>
            <w:tcW w:w="100" w:type="dxa"/>
            <w:vAlign w:val="bottom"/>
            <w:shd w:val="clear" w:color="auto" w:fill="CCEEFF"/>
          </w:tcPr>
          <w:p>
            <w:pPr>
              <w:spacing w:after="0"/>
              <w:rPr>
                <w:sz w:val="24"/>
                <w:szCs w:val="24"/>
                <w:color w:val="auto"/>
              </w:rPr>
            </w:pPr>
          </w:p>
        </w:tc>
        <w:tc>
          <w:tcPr>
            <w:tcW w:w="580" w:type="dxa"/>
            <w:vAlign w:val="bottom"/>
            <w:shd w:val="clear" w:color="auto" w:fill="CCEEFF"/>
          </w:tcPr>
          <w:p>
            <w:pPr>
              <w:jc w:val="right"/>
              <w:ind w:right="350"/>
              <w:spacing w:after="0"/>
              <w:rPr>
                <w:sz w:val="20"/>
                <w:szCs w:val="20"/>
                <w:color w:val="auto"/>
              </w:rPr>
            </w:pPr>
            <w:r>
              <w:rPr>
                <w:rFonts w:ascii="Arial" w:cs="Arial" w:eastAsia="Arial" w:hAnsi="Arial"/>
                <w:sz w:val="18"/>
                <w:szCs w:val="18"/>
                <w:color w:val="auto"/>
              </w:rPr>
              <w:t>$</w:t>
            </w:r>
          </w:p>
        </w:tc>
        <w:tc>
          <w:tcPr>
            <w:tcW w:w="920" w:type="dxa"/>
            <w:vAlign w:val="bottom"/>
            <w:shd w:val="clear" w:color="auto" w:fill="CCEEFF"/>
          </w:tcPr>
          <w:p>
            <w:pPr>
              <w:jc w:val="right"/>
              <w:ind w:right="34"/>
              <w:spacing w:after="0"/>
              <w:rPr>
                <w:sz w:val="20"/>
                <w:szCs w:val="20"/>
                <w:color w:val="auto"/>
              </w:rPr>
            </w:pPr>
            <w:r>
              <w:rPr>
                <w:rFonts w:ascii="Arial" w:cs="Arial" w:eastAsia="Arial" w:hAnsi="Arial"/>
                <w:sz w:val="18"/>
                <w:szCs w:val="18"/>
                <w:color w:val="auto"/>
              </w:rPr>
              <w:t>11,340</w:t>
            </w:r>
          </w:p>
        </w:tc>
        <w:tc>
          <w:tcPr>
            <w:tcW w:w="100" w:type="dxa"/>
            <w:vAlign w:val="bottom"/>
            <w:shd w:val="clear" w:color="auto" w:fill="CCEEFF"/>
          </w:tcPr>
          <w:p>
            <w:pPr>
              <w:spacing w:after="0"/>
              <w:rPr>
                <w:sz w:val="24"/>
                <w:szCs w:val="24"/>
                <w:color w:val="auto"/>
              </w:rPr>
            </w:pPr>
          </w:p>
        </w:tc>
        <w:tc>
          <w:tcPr>
            <w:tcW w:w="440" w:type="dxa"/>
            <w:vAlign w:val="bottom"/>
            <w:shd w:val="clear" w:color="auto" w:fill="CCEEFF"/>
          </w:tcPr>
          <w:p>
            <w:pPr>
              <w:jc w:val="right"/>
              <w:ind w:right="230"/>
              <w:spacing w:after="0"/>
              <w:rPr>
                <w:sz w:val="20"/>
                <w:szCs w:val="20"/>
                <w:color w:val="auto"/>
              </w:rPr>
            </w:pPr>
            <w:r>
              <w:rPr>
                <w:rFonts w:ascii="Arial" w:cs="Arial" w:eastAsia="Arial" w:hAnsi="Arial"/>
                <w:sz w:val="18"/>
                <w:szCs w:val="18"/>
                <w:color w:val="auto"/>
                <w:w w:val="99"/>
              </w:rPr>
              <w:t>$</w:t>
            </w:r>
          </w:p>
        </w:tc>
        <w:tc>
          <w:tcPr>
            <w:tcW w:w="1040" w:type="dxa"/>
            <w:vAlign w:val="bottom"/>
            <w:shd w:val="clear" w:color="auto" w:fill="CCEEFF"/>
          </w:tcPr>
          <w:p>
            <w:pPr>
              <w:jc w:val="right"/>
              <w:ind w:right="15"/>
              <w:spacing w:after="0"/>
              <w:rPr>
                <w:sz w:val="20"/>
                <w:szCs w:val="20"/>
                <w:color w:val="auto"/>
              </w:rPr>
            </w:pPr>
            <w:r>
              <w:rPr>
                <w:rFonts w:ascii="Arial" w:cs="Arial" w:eastAsia="Arial" w:hAnsi="Arial"/>
                <w:sz w:val="18"/>
                <w:szCs w:val="18"/>
                <w:color w:val="auto"/>
              </w:rPr>
              <w:t>225</w:t>
            </w:r>
          </w:p>
        </w:tc>
        <w:tc>
          <w:tcPr>
            <w:tcW w:w="120" w:type="dxa"/>
            <w:vAlign w:val="bottom"/>
            <w:shd w:val="clear" w:color="auto" w:fill="CCEEFF"/>
          </w:tcPr>
          <w:p>
            <w:pPr>
              <w:spacing w:after="0"/>
              <w:rPr>
                <w:sz w:val="24"/>
                <w:szCs w:val="24"/>
                <w:color w:val="auto"/>
              </w:rPr>
            </w:pPr>
          </w:p>
        </w:tc>
        <w:tc>
          <w:tcPr>
            <w:tcW w:w="34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14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295</w:t>
            </w:r>
          </w:p>
        </w:tc>
      </w:tr>
      <w:tr>
        <w:trPr>
          <w:trHeight w:val="263"/>
        </w:trPr>
        <w:tc>
          <w:tcPr>
            <w:tcW w:w="5160" w:type="dxa"/>
            <w:vAlign w:val="bottom"/>
          </w:tcPr>
          <w:p>
            <w:pPr>
              <w:ind w:left="280"/>
              <w:spacing w:after="0"/>
              <w:rPr>
                <w:sz w:val="20"/>
                <w:szCs w:val="20"/>
                <w:color w:val="auto"/>
              </w:rPr>
            </w:pPr>
            <w:r>
              <w:rPr>
                <w:rFonts w:ascii="Arial" w:cs="Arial" w:eastAsia="Arial" w:hAnsi="Arial"/>
                <w:sz w:val="18"/>
                <w:szCs w:val="18"/>
                <w:color w:val="auto"/>
              </w:rPr>
              <w:t>Actual return (loss) on plan assets</w:t>
            </w:r>
          </w:p>
        </w:tc>
        <w:tc>
          <w:tcPr>
            <w:tcW w:w="340" w:type="dxa"/>
            <w:vAlign w:val="bottom"/>
          </w:tcPr>
          <w:p>
            <w:pPr>
              <w:spacing w:after="0"/>
              <w:rPr>
                <w:sz w:val="22"/>
                <w:szCs w:val="22"/>
                <w:color w:val="auto"/>
              </w:rPr>
            </w:pPr>
          </w:p>
        </w:tc>
        <w:tc>
          <w:tcPr>
            <w:tcW w:w="1140" w:type="dxa"/>
            <w:vAlign w:val="bottom"/>
          </w:tcPr>
          <w:p>
            <w:pPr>
              <w:jc w:val="right"/>
              <w:ind w:right="14"/>
              <w:spacing w:after="0"/>
              <w:rPr>
                <w:sz w:val="20"/>
                <w:szCs w:val="20"/>
                <w:color w:val="auto"/>
              </w:rPr>
            </w:pPr>
            <w:r>
              <w:rPr>
                <w:rFonts w:ascii="Arial" w:cs="Arial" w:eastAsia="Arial" w:hAnsi="Arial"/>
                <w:sz w:val="18"/>
                <w:szCs w:val="18"/>
                <w:color w:val="auto"/>
              </w:rPr>
              <w:t>2,292</w:t>
            </w:r>
          </w:p>
        </w:tc>
        <w:tc>
          <w:tcPr>
            <w:tcW w:w="100" w:type="dxa"/>
            <w:vAlign w:val="bottom"/>
          </w:tcPr>
          <w:p>
            <w:pPr>
              <w:spacing w:after="0"/>
              <w:rPr>
                <w:sz w:val="22"/>
                <w:szCs w:val="22"/>
                <w:color w:val="auto"/>
              </w:rPr>
            </w:pPr>
          </w:p>
        </w:tc>
        <w:tc>
          <w:tcPr>
            <w:tcW w:w="580" w:type="dxa"/>
            <w:vAlign w:val="bottom"/>
          </w:tcPr>
          <w:p>
            <w:pPr>
              <w:spacing w:after="0"/>
              <w:rPr>
                <w:sz w:val="22"/>
                <w:szCs w:val="22"/>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(1,148)</w:t>
            </w:r>
          </w:p>
        </w:tc>
        <w:tc>
          <w:tcPr>
            <w:tcW w:w="100" w:type="dxa"/>
            <w:vAlign w:val="bottom"/>
          </w:tcPr>
          <w:p>
            <w:pPr>
              <w:spacing w:after="0"/>
              <w:rPr>
                <w:sz w:val="22"/>
                <w:szCs w:val="22"/>
                <w:color w:val="auto"/>
              </w:rPr>
            </w:pPr>
          </w:p>
        </w:tc>
        <w:tc>
          <w:tcPr>
            <w:tcW w:w="440" w:type="dxa"/>
            <w:vAlign w:val="bottom"/>
          </w:tcPr>
          <w:p>
            <w:pPr>
              <w:spacing w:after="0"/>
              <w:rPr>
                <w:sz w:val="22"/>
                <w:szCs w:val="22"/>
                <w:color w:val="auto"/>
              </w:rPr>
            </w:pPr>
          </w:p>
        </w:tc>
        <w:tc>
          <w:tcPr>
            <w:tcW w:w="1040" w:type="dxa"/>
            <w:vAlign w:val="bottom"/>
          </w:tcPr>
          <w:p>
            <w:pPr>
              <w:jc w:val="right"/>
              <w:ind w:right="15"/>
              <w:spacing w:after="0"/>
              <w:rPr>
                <w:sz w:val="20"/>
                <w:szCs w:val="20"/>
                <w:color w:val="auto"/>
              </w:rPr>
            </w:pPr>
            <w:r>
              <w:rPr>
                <w:rFonts w:ascii="Arial" w:cs="Arial" w:eastAsia="Arial" w:hAnsi="Arial"/>
                <w:sz w:val="18"/>
                <w:szCs w:val="18"/>
                <w:color w:val="auto"/>
              </w:rPr>
              <w:t>41</w:t>
            </w:r>
          </w:p>
        </w:tc>
        <w:tc>
          <w:tcPr>
            <w:tcW w:w="12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(24)</w:t>
            </w:r>
          </w:p>
        </w:tc>
      </w:tr>
      <w:tr>
        <w:trPr>
          <w:trHeight w:val="277"/>
        </w:trPr>
        <w:tc>
          <w:tcPr>
            <w:tcW w:w="5160" w:type="dxa"/>
            <w:vAlign w:val="bottom"/>
            <w:shd w:val="clear" w:color="auto" w:fill="CCEEFF"/>
          </w:tcPr>
          <w:p>
            <w:pPr>
              <w:ind w:left="280"/>
              <w:spacing w:after="0"/>
              <w:rPr>
                <w:sz w:val="20"/>
                <w:szCs w:val="20"/>
                <w:color w:val="auto"/>
              </w:rPr>
            </w:pPr>
            <w:r>
              <w:rPr>
                <w:rFonts w:ascii="Arial" w:cs="Arial" w:eastAsia="Arial" w:hAnsi="Arial"/>
                <w:sz w:val="18"/>
                <w:szCs w:val="18"/>
                <w:color w:val="auto"/>
              </w:rPr>
              <w:t xml:space="preserve">Employer contributions </w:t>
            </w:r>
            <w:r>
              <w:rPr>
                <w:rFonts w:ascii="Arial" w:cs="Arial" w:eastAsia="Arial" w:hAnsi="Arial"/>
                <w:sz w:val="21"/>
                <w:szCs w:val="21"/>
                <w:color w:val="auto"/>
                <w:vertAlign w:val="superscript"/>
              </w:rPr>
              <w:t>(3)</w:t>
            </w:r>
          </w:p>
        </w:tc>
        <w:tc>
          <w:tcPr>
            <w:tcW w:w="340" w:type="dxa"/>
            <w:vAlign w:val="bottom"/>
            <w:shd w:val="clear" w:color="auto" w:fill="CCEEFF"/>
          </w:tcPr>
          <w:p>
            <w:pPr>
              <w:spacing w:after="0"/>
              <w:rPr>
                <w:sz w:val="24"/>
                <w:szCs w:val="24"/>
                <w:color w:val="auto"/>
              </w:rPr>
            </w:pPr>
          </w:p>
        </w:tc>
        <w:tc>
          <w:tcPr>
            <w:tcW w:w="1140" w:type="dxa"/>
            <w:vAlign w:val="bottom"/>
            <w:shd w:val="clear" w:color="auto" w:fill="CCEEFF"/>
          </w:tcPr>
          <w:p>
            <w:pPr>
              <w:jc w:val="right"/>
              <w:ind w:right="14"/>
              <w:spacing w:after="0"/>
              <w:rPr>
                <w:sz w:val="20"/>
                <w:szCs w:val="20"/>
                <w:color w:val="auto"/>
              </w:rPr>
            </w:pPr>
            <w:r>
              <w:rPr>
                <w:rFonts w:ascii="Arial" w:cs="Arial" w:eastAsia="Arial" w:hAnsi="Arial"/>
                <w:sz w:val="18"/>
                <w:szCs w:val="18"/>
                <w:color w:val="auto"/>
              </w:rPr>
              <w:t>1,224</w:t>
            </w:r>
          </w:p>
        </w:tc>
        <w:tc>
          <w:tcPr>
            <w:tcW w:w="100" w:type="dxa"/>
            <w:vAlign w:val="bottom"/>
            <w:shd w:val="clear" w:color="auto" w:fill="CCEEFF"/>
          </w:tcPr>
          <w:p>
            <w:pPr>
              <w:spacing w:after="0"/>
              <w:rPr>
                <w:sz w:val="24"/>
                <w:szCs w:val="24"/>
                <w:color w:val="auto"/>
              </w:rPr>
            </w:pPr>
          </w:p>
        </w:tc>
        <w:tc>
          <w:tcPr>
            <w:tcW w:w="580" w:type="dxa"/>
            <w:vAlign w:val="bottom"/>
            <w:shd w:val="clear" w:color="auto" w:fill="CCEEFF"/>
          </w:tcPr>
          <w:p>
            <w:pPr>
              <w:spacing w:after="0"/>
              <w:rPr>
                <w:sz w:val="24"/>
                <w:szCs w:val="24"/>
                <w:color w:val="auto"/>
              </w:rPr>
            </w:pPr>
          </w:p>
        </w:tc>
        <w:tc>
          <w:tcPr>
            <w:tcW w:w="920" w:type="dxa"/>
            <w:vAlign w:val="bottom"/>
            <w:shd w:val="clear" w:color="auto" w:fill="CCEEFF"/>
          </w:tcPr>
          <w:p>
            <w:pPr>
              <w:jc w:val="right"/>
              <w:ind w:right="34"/>
              <w:spacing w:after="0"/>
              <w:rPr>
                <w:sz w:val="20"/>
                <w:szCs w:val="20"/>
                <w:color w:val="auto"/>
              </w:rPr>
            </w:pPr>
            <w:r>
              <w:rPr>
                <w:rFonts w:ascii="Arial" w:cs="Arial" w:eastAsia="Arial" w:hAnsi="Arial"/>
                <w:sz w:val="18"/>
                <w:szCs w:val="18"/>
                <w:color w:val="auto"/>
              </w:rPr>
              <w:t>472</w:t>
            </w:r>
          </w:p>
        </w:tc>
        <w:tc>
          <w:tcPr>
            <w:tcW w:w="100" w:type="dxa"/>
            <w:vAlign w:val="bottom"/>
            <w:shd w:val="clear" w:color="auto" w:fill="CCEEFF"/>
          </w:tcPr>
          <w:p>
            <w:pPr>
              <w:spacing w:after="0"/>
              <w:rPr>
                <w:sz w:val="24"/>
                <w:szCs w:val="24"/>
                <w:color w:val="auto"/>
              </w:rPr>
            </w:pPr>
          </w:p>
        </w:tc>
        <w:tc>
          <w:tcPr>
            <w:tcW w:w="440" w:type="dxa"/>
            <w:vAlign w:val="bottom"/>
            <w:shd w:val="clear" w:color="auto" w:fill="CCEEFF"/>
          </w:tcPr>
          <w:p>
            <w:pPr>
              <w:spacing w:after="0"/>
              <w:rPr>
                <w:sz w:val="24"/>
                <w:szCs w:val="24"/>
                <w:color w:val="auto"/>
              </w:rPr>
            </w:pPr>
          </w:p>
        </w:tc>
        <w:tc>
          <w:tcPr>
            <w:tcW w:w="1040" w:type="dxa"/>
            <w:vAlign w:val="bottom"/>
            <w:shd w:val="clear" w:color="auto" w:fill="CCEEFF"/>
          </w:tcPr>
          <w:p>
            <w:pPr>
              <w:jc w:val="right"/>
              <w:ind w:right="15"/>
              <w:spacing w:after="0"/>
              <w:rPr>
                <w:sz w:val="20"/>
                <w:szCs w:val="20"/>
                <w:color w:val="auto"/>
              </w:rPr>
            </w:pPr>
            <w:r>
              <w:rPr>
                <w:rFonts w:ascii="Arial" w:cs="Arial" w:eastAsia="Arial" w:hAnsi="Arial"/>
                <w:sz w:val="18"/>
                <w:szCs w:val="18"/>
                <w:color w:val="auto"/>
              </w:rPr>
              <w:t>12</w:t>
            </w:r>
          </w:p>
        </w:tc>
        <w:tc>
          <w:tcPr>
            <w:tcW w:w="120" w:type="dxa"/>
            <w:vAlign w:val="bottom"/>
            <w:shd w:val="clear" w:color="auto" w:fill="CCEEFF"/>
          </w:tcPr>
          <w:p>
            <w:pPr>
              <w:spacing w:after="0"/>
              <w:rPr>
                <w:sz w:val="24"/>
                <w:szCs w:val="24"/>
                <w:color w:val="auto"/>
              </w:rPr>
            </w:pPr>
          </w:p>
        </w:tc>
        <w:tc>
          <w:tcPr>
            <w:tcW w:w="340" w:type="dxa"/>
            <w:vAlign w:val="bottom"/>
            <w:shd w:val="clear" w:color="auto" w:fill="CCEEFF"/>
          </w:tcPr>
          <w:p>
            <w:pPr>
              <w:spacing w:after="0"/>
              <w:rPr>
                <w:sz w:val="24"/>
                <w:szCs w:val="24"/>
                <w:color w:val="auto"/>
              </w:rPr>
            </w:pPr>
          </w:p>
        </w:tc>
        <w:tc>
          <w:tcPr>
            <w:tcW w:w="114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35</w:t>
            </w:r>
          </w:p>
        </w:tc>
      </w:tr>
      <w:tr>
        <w:trPr>
          <w:trHeight w:val="263"/>
        </w:trPr>
        <w:tc>
          <w:tcPr>
            <w:tcW w:w="5160" w:type="dxa"/>
            <w:vAlign w:val="bottom"/>
          </w:tcPr>
          <w:p>
            <w:pPr>
              <w:ind w:left="280"/>
              <w:spacing w:after="0"/>
              <w:rPr>
                <w:sz w:val="20"/>
                <w:szCs w:val="20"/>
                <w:color w:val="auto"/>
              </w:rPr>
            </w:pPr>
            <w:r>
              <w:rPr>
                <w:rFonts w:ascii="Arial" w:cs="Arial" w:eastAsia="Arial" w:hAnsi="Arial"/>
                <w:sz w:val="18"/>
                <w:szCs w:val="18"/>
                <w:color w:val="auto"/>
              </w:rPr>
              <w:t>Settlements</w:t>
            </w:r>
          </w:p>
        </w:tc>
        <w:tc>
          <w:tcPr>
            <w:tcW w:w="340" w:type="dxa"/>
            <w:vAlign w:val="bottom"/>
          </w:tcPr>
          <w:p>
            <w:pPr>
              <w:spacing w:after="0"/>
              <w:rPr>
                <w:sz w:val="22"/>
                <w:szCs w:val="22"/>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(2)</w:t>
            </w:r>
          </w:p>
        </w:tc>
        <w:tc>
          <w:tcPr>
            <w:tcW w:w="100" w:type="dxa"/>
            <w:vAlign w:val="bottom"/>
          </w:tcPr>
          <w:p>
            <w:pPr>
              <w:spacing w:after="0"/>
              <w:rPr>
                <w:sz w:val="22"/>
                <w:szCs w:val="22"/>
                <w:color w:val="auto"/>
              </w:rPr>
            </w:pPr>
          </w:p>
        </w:tc>
        <w:tc>
          <w:tcPr>
            <w:tcW w:w="580" w:type="dxa"/>
            <w:vAlign w:val="bottom"/>
          </w:tcPr>
          <w:p>
            <w:pPr>
              <w:spacing w:after="0"/>
              <w:rPr>
                <w:sz w:val="22"/>
                <w:szCs w:val="22"/>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(4)</w:t>
            </w:r>
          </w:p>
        </w:tc>
        <w:tc>
          <w:tcPr>
            <w:tcW w:w="100" w:type="dxa"/>
            <w:vAlign w:val="bottom"/>
          </w:tcPr>
          <w:p>
            <w:pPr>
              <w:spacing w:after="0"/>
              <w:rPr>
                <w:sz w:val="22"/>
                <w:szCs w:val="22"/>
                <w:color w:val="auto"/>
              </w:rPr>
            </w:pPr>
          </w:p>
        </w:tc>
        <w:tc>
          <w:tcPr>
            <w:tcW w:w="440" w:type="dxa"/>
            <w:vAlign w:val="bottom"/>
          </w:tcPr>
          <w:p>
            <w:pPr>
              <w:spacing w:after="0"/>
              <w:rPr>
                <w:sz w:val="22"/>
                <w:szCs w:val="22"/>
                <w:color w:val="auto"/>
              </w:rPr>
            </w:pPr>
          </w:p>
        </w:tc>
        <w:tc>
          <w:tcPr>
            <w:tcW w:w="11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340" w:type="dxa"/>
            <w:vAlign w:val="bottom"/>
          </w:tcPr>
          <w:p>
            <w:pPr>
              <w:spacing w:after="0"/>
              <w:rPr>
                <w:sz w:val="22"/>
                <w:szCs w:val="22"/>
                <w:color w:val="auto"/>
              </w:rPr>
            </w:pPr>
          </w:p>
        </w:tc>
        <w:tc>
          <w:tcPr>
            <w:tcW w:w="1140" w:type="dxa"/>
            <w:vAlign w:val="bottom"/>
          </w:tcPr>
          <w:p>
            <w:pPr>
              <w:jc w:val="right"/>
              <w:ind w:right="12"/>
              <w:spacing w:after="0"/>
              <w:rPr>
                <w:sz w:val="20"/>
                <w:szCs w:val="20"/>
                <w:color w:val="auto"/>
              </w:rPr>
            </w:pPr>
            <w:r>
              <w:rPr>
                <w:rFonts w:ascii="Arial" w:cs="Arial" w:eastAsia="Arial" w:hAnsi="Arial"/>
                <w:sz w:val="18"/>
                <w:szCs w:val="18"/>
                <w:color w:val="auto"/>
              </w:rPr>
              <w:t>—</w:t>
            </w:r>
          </w:p>
        </w:tc>
      </w:tr>
      <w:tr>
        <w:trPr>
          <w:trHeight w:val="277"/>
        </w:trPr>
        <w:tc>
          <w:tcPr>
            <w:tcW w:w="5160" w:type="dxa"/>
            <w:vAlign w:val="bottom"/>
            <w:shd w:val="clear" w:color="auto" w:fill="CCEEFF"/>
          </w:tcPr>
          <w:p>
            <w:pPr>
              <w:ind w:left="280"/>
              <w:spacing w:after="0"/>
              <w:rPr>
                <w:sz w:val="20"/>
                <w:szCs w:val="20"/>
                <w:color w:val="auto"/>
              </w:rPr>
            </w:pPr>
            <w:r>
              <w:rPr>
                <w:rFonts w:ascii="Arial" w:cs="Arial" w:eastAsia="Arial" w:hAnsi="Arial"/>
                <w:sz w:val="18"/>
                <w:szCs w:val="18"/>
                <w:color w:val="auto"/>
              </w:rPr>
              <w:t>Benefit payments</w:t>
            </w:r>
          </w:p>
        </w:tc>
        <w:tc>
          <w:tcPr>
            <w:tcW w:w="340" w:type="dxa"/>
            <w:vAlign w:val="bottom"/>
            <w:tcBorders>
              <w:bottom w:val="single" w:sz="8" w:color="auto"/>
            </w:tcBorders>
            <w:shd w:val="clear" w:color="auto" w:fill="CCEEFF"/>
          </w:tcPr>
          <w:p>
            <w:pPr>
              <w:spacing w:after="0"/>
              <w:rPr>
                <w:sz w:val="24"/>
                <w:szCs w:val="24"/>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(686)</w:t>
            </w:r>
          </w:p>
        </w:tc>
        <w:tc>
          <w:tcPr>
            <w:tcW w:w="100" w:type="dxa"/>
            <w:vAlign w:val="bottom"/>
            <w:shd w:val="clear" w:color="auto" w:fill="CCEEFF"/>
          </w:tcPr>
          <w:p>
            <w:pPr>
              <w:spacing w:after="0"/>
              <w:rPr>
                <w:sz w:val="24"/>
                <w:szCs w:val="24"/>
                <w:color w:val="auto"/>
              </w:rPr>
            </w:pPr>
          </w:p>
        </w:tc>
        <w:tc>
          <w:tcPr>
            <w:tcW w:w="580" w:type="dxa"/>
            <w:vAlign w:val="bottom"/>
            <w:tcBorders>
              <w:bottom w:val="single" w:sz="8" w:color="auto"/>
            </w:tcBorders>
            <w:shd w:val="clear" w:color="auto" w:fill="CCEEFF"/>
          </w:tcPr>
          <w:p>
            <w:pPr>
              <w:spacing w:after="0"/>
              <w:rPr>
                <w:sz w:val="24"/>
                <w:szCs w:val="24"/>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(659)</w:t>
            </w:r>
          </w:p>
        </w:tc>
        <w:tc>
          <w:tcPr>
            <w:tcW w:w="100" w:type="dxa"/>
            <w:vAlign w:val="bottom"/>
            <w:shd w:val="clear" w:color="auto" w:fill="CCEEFF"/>
          </w:tcPr>
          <w:p>
            <w:pPr>
              <w:spacing w:after="0"/>
              <w:rPr>
                <w:sz w:val="24"/>
                <w:szCs w:val="24"/>
                <w:color w:val="auto"/>
              </w:rPr>
            </w:pPr>
          </w:p>
        </w:tc>
        <w:tc>
          <w:tcPr>
            <w:tcW w:w="440" w:type="dxa"/>
            <w:vAlign w:val="bottom"/>
            <w:tcBorders>
              <w:bottom w:val="single" w:sz="8" w:color="auto"/>
            </w:tcBorders>
            <w:shd w:val="clear" w:color="auto" w:fill="CCEEFF"/>
          </w:tcPr>
          <w:p>
            <w:pPr>
              <w:spacing w:after="0"/>
              <w:rPr>
                <w:sz w:val="24"/>
                <w:szCs w:val="24"/>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(74)</w:t>
            </w:r>
          </w:p>
        </w:tc>
        <w:tc>
          <w:tcPr>
            <w:tcW w:w="120" w:type="dxa"/>
            <w:vAlign w:val="bottom"/>
            <w:shd w:val="clear" w:color="auto" w:fill="CCEEFF"/>
          </w:tcPr>
          <w:p>
            <w:pPr>
              <w:spacing w:after="0"/>
              <w:rPr>
                <w:sz w:val="24"/>
                <w:szCs w:val="24"/>
                <w:color w:val="auto"/>
              </w:rPr>
            </w:pPr>
          </w:p>
        </w:tc>
        <w:tc>
          <w:tcPr>
            <w:tcW w:w="340" w:type="dxa"/>
            <w:vAlign w:val="bottom"/>
            <w:tcBorders>
              <w:bottom w:val="single" w:sz="8" w:color="auto"/>
            </w:tcBorders>
            <w:shd w:val="clear" w:color="auto" w:fill="CCEEFF"/>
          </w:tcPr>
          <w:p>
            <w:pPr>
              <w:spacing w:after="0"/>
              <w:rPr>
                <w:sz w:val="24"/>
                <w:szCs w:val="24"/>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(81)</w:t>
            </w:r>
          </w:p>
        </w:tc>
      </w:tr>
      <w:tr>
        <w:trPr>
          <w:trHeight w:val="284"/>
        </w:trPr>
        <w:tc>
          <w:tcPr>
            <w:tcW w:w="5160" w:type="dxa"/>
            <w:vAlign w:val="bottom"/>
            <w:tcBorders>
              <w:bottom w:val="single" w:sz="8" w:color="CCEEFF"/>
            </w:tcBorders>
          </w:tcPr>
          <w:p>
            <w:pPr>
              <w:ind w:left="40"/>
              <w:spacing w:after="0"/>
              <w:rPr>
                <w:sz w:val="20"/>
                <w:szCs w:val="20"/>
                <w:color w:val="auto"/>
              </w:rPr>
            </w:pPr>
            <w:r>
              <w:rPr>
                <w:rFonts w:ascii="Arial" w:cs="Arial" w:eastAsia="Arial" w:hAnsi="Arial"/>
                <w:sz w:val="18"/>
                <w:szCs w:val="18"/>
                <w:color w:val="auto"/>
              </w:rPr>
              <w:t>Fair value of plan assets at end of period</w:t>
            </w:r>
          </w:p>
        </w:tc>
        <w:tc>
          <w:tcPr>
            <w:tcW w:w="340" w:type="dxa"/>
            <w:vAlign w:val="bottom"/>
            <w:tcBorders>
              <w:bottom w:val="single" w:sz="8" w:color="auto"/>
            </w:tcBorders>
          </w:tcPr>
          <w:p>
            <w:pPr>
              <w:jc w:val="right"/>
              <w:ind w:right="130"/>
              <w:spacing w:after="0"/>
              <w:rPr>
                <w:sz w:val="20"/>
                <w:szCs w:val="20"/>
                <w:color w:val="auto"/>
              </w:rPr>
            </w:pPr>
            <w:r>
              <w:rPr>
                <w:rFonts w:ascii="Arial" w:cs="Arial" w:eastAsia="Arial" w:hAnsi="Arial"/>
                <w:sz w:val="18"/>
                <w:szCs w:val="18"/>
                <w:color w:val="auto"/>
                <w:w w:val="99"/>
              </w:rPr>
              <w:t>$</w:t>
            </w:r>
          </w:p>
        </w:tc>
        <w:tc>
          <w:tcPr>
            <w:tcW w:w="1140" w:type="dxa"/>
            <w:vAlign w:val="bottom"/>
            <w:tcBorders>
              <w:bottom w:val="single" w:sz="8" w:color="auto"/>
            </w:tcBorders>
          </w:tcPr>
          <w:p>
            <w:pPr>
              <w:jc w:val="right"/>
              <w:ind w:right="14"/>
              <w:spacing w:after="0"/>
              <w:rPr>
                <w:sz w:val="20"/>
                <w:szCs w:val="20"/>
                <w:color w:val="auto"/>
              </w:rPr>
            </w:pPr>
            <w:r>
              <w:rPr>
                <w:rFonts w:ascii="Arial" w:cs="Arial" w:eastAsia="Arial" w:hAnsi="Arial"/>
                <w:sz w:val="18"/>
                <w:szCs w:val="18"/>
                <w:color w:val="auto"/>
              </w:rPr>
              <w:t>12,829</w:t>
            </w:r>
          </w:p>
        </w:tc>
        <w:tc>
          <w:tcPr>
            <w:tcW w:w="100" w:type="dxa"/>
            <w:vAlign w:val="bottom"/>
            <w:tcBorders>
              <w:bottom w:val="single" w:sz="8" w:color="CCEEFF"/>
            </w:tcBorders>
          </w:tcPr>
          <w:p>
            <w:pPr>
              <w:spacing w:after="0"/>
              <w:rPr>
                <w:sz w:val="24"/>
                <w:szCs w:val="24"/>
                <w:color w:val="auto"/>
              </w:rPr>
            </w:pPr>
          </w:p>
        </w:tc>
        <w:tc>
          <w:tcPr>
            <w:tcW w:w="580" w:type="dxa"/>
            <w:vAlign w:val="bottom"/>
            <w:tcBorders>
              <w:bottom w:val="single" w:sz="8" w:color="auto"/>
            </w:tcBorders>
          </w:tcPr>
          <w:p>
            <w:pPr>
              <w:jc w:val="right"/>
              <w:ind w:right="350"/>
              <w:spacing w:after="0"/>
              <w:rPr>
                <w:sz w:val="20"/>
                <w:szCs w:val="20"/>
                <w:color w:val="auto"/>
              </w:rPr>
            </w:pPr>
            <w:r>
              <w:rPr>
                <w:rFonts w:ascii="Arial" w:cs="Arial" w:eastAsia="Arial" w:hAnsi="Arial"/>
                <w:sz w:val="18"/>
                <w:szCs w:val="18"/>
                <w:color w:val="auto"/>
              </w:rPr>
              <w:t>$</w:t>
            </w:r>
          </w:p>
        </w:tc>
        <w:tc>
          <w:tcPr>
            <w:tcW w:w="920" w:type="dxa"/>
            <w:vAlign w:val="bottom"/>
            <w:tcBorders>
              <w:bottom w:val="single" w:sz="8" w:color="auto"/>
            </w:tcBorders>
          </w:tcPr>
          <w:p>
            <w:pPr>
              <w:jc w:val="right"/>
              <w:ind w:right="34"/>
              <w:spacing w:after="0"/>
              <w:rPr>
                <w:sz w:val="20"/>
                <w:szCs w:val="20"/>
                <w:color w:val="auto"/>
              </w:rPr>
            </w:pPr>
            <w:r>
              <w:rPr>
                <w:rFonts w:ascii="Arial" w:cs="Arial" w:eastAsia="Arial" w:hAnsi="Arial"/>
                <w:sz w:val="18"/>
                <w:szCs w:val="18"/>
                <w:color w:val="auto"/>
              </w:rPr>
              <w:t>10,001</w:t>
            </w:r>
          </w:p>
        </w:tc>
        <w:tc>
          <w:tcPr>
            <w:tcW w:w="100" w:type="dxa"/>
            <w:vAlign w:val="bottom"/>
            <w:tcBorders>
              <w:bottom w:val="single" w:sz="8" w:color="CCEEFF"/>
            </w:tcBorders>
          </w:tcPr>
          <w:p>
            <w:pPr>
              <w:spacing w:after="0"/>
              <w:rPr>
                <w:sz w:val="24"/>
                <w:szCs w:val="24"/>
                <w:color w:val="auto"/>
              </w:rPr>
            </w:pPr>
          </w:p>
        </w:tc>
        <w:tc>
          <w:tcPr>
            <w:tcW w:w="440" w:type="dxa"/>
            <w:vAlign w:val="bottom"/>
            <w:tcBorders>
              <w:bottom w:val="single" w:sz="8" w:color="auto"/>
            </w:tcBorders>
          </w:tcPr>
          <w:p>
            <w:pPr>
              <w:jc w:val="right"/>
              <w:ind w:right="230"/>
              <w:spacing w:after="0"/>
              <w:rPr>
                <w:sz w:val="20"/>
                <w:szCs w:val="20"/>
                <w:color w:val="auto"/>
              </w:rPr>
            </w:pPr>
            <w:r>
              <w:rPr>
                <w:rFonts w:ascii="Arial" w:cs="Arial" w:eastAsia="Arial" w:hAnsi="Arial"/>
                <w:sz w:val="18"/>
                <w:szCs w:val="18"/>
                <w:color w:val="auto"/>
                <w:w w:val="99"/>
              </w:rPr>
              <w:t>$</w:t>
            </w:r>
          </w:p>
        </w:tc>
        <w:tc>
          <w:tcPr>
            <w:tcW w:w="1040" w:type="dxa"/>
            <w:vAlign w:val="bottom"/>
            <w:tcBorders>
              <w:bottom w:val="single" w:sz="8" w:color="auto"/>
            </w:tcBorders>
          </w:tcPr>
          <w:p>
            <w:pPr>
              <w:jc w:val="right"/>
              <w:ind w:right="15"/>
              <w:spacing w:after="0"/>
              <w:rPr>
                <w:sz w:val="20"/>
                <w:szCs w:val="20"/>
                <w:color w:val="auto"/>
              </w:rPr>
            </w:pPr>
            <w:r>
              <w:rPr>
                <w:rFonts w:ascii="Arial" w:cs="Arial" w:eastAsia="Arial" w:hAnsi="Arial"/>
                <w:sz w:val="18"/>
                <w:szCs w:val="18"/>
                <w:color w:val="auto"/>
              </w:rPr>
              <w:t>204</w:t>
            </w:r>
          </w:p>
        </w:tc>
        <w:tc>
          <w:tcPr>
            <w:tcW w:w="120" w:type="dxa"/>
            <w:vAlign w:val="bottom"/>
            <w:tcBorders>
              <w:bottom w:val="single" w:sz="8" w:color="CCEEFF"/>
            </w:tcBorders>
          </w:tcPr>
          <w:p>
            <w:pPr>
              <w:spacing w:after="0"/>
              <w:rPr>
                <w:sz w:val="24"/>
                <w:szCs w:val="24"/>
                <w:color w:val="auto"/>
              </w:rPr>
            </w:pPr>
          </w:p>
        </w:tc>
        <w:tc>
          <w:tcPr>
            <w:tcW w:w="340" w:type="dxa"/>
            <w:vAlign w:val="bottom"/>
            <w:tcBorders>
              <w:bottom w:val="single" w:sz="8" w:color="auto"/>
            </w:tcBorders>
          </w:tcPr>
          <w:p>
            <w:pPr>
              <w:jc w:val="right"/>
              <w:ind w:right="130"/>
              <w:spacing w:after="0"/>
              <w:rPr>
                <w:sz w:val="20"/>
                <w:szCs w:val="20"/>
                <w:color w:val="auto"/>
              </w:rPr>
            </w:pPr>
            <w:r>
              <w:rPr>
                <w:rFonts w:ascii="Arial" w:cs="Arial" w:eastAsia="Arial" w:hAnsi="Arial"/>
                <w:sz w:val="18"/>
                <w:szCs w:val="18"/>
                <w:color w:val="auto"/>
                <w:w w:val="99"/>
              </w:rPr>
              <w:t>$</w:t>
            </w:r>
          </w:p>
        </w:tc>
        <w:tc>
          <w:tcPr>
            <w:tcW w:w="1140" w:type="dxa"/>
            <w:vAlign w:val="bottom"/>
            <w:tcBorders>
              <w:bottom w:val="single" w:sz="8" w:color="auto"/>
            </w:tcBorders>
          </w:tcPr>
          <w:p>
            <w:pPr>
              <w:jc w:val="right"/>
              <w:ind w:right="12"/>
              <w:spacing w:after="0"/>
              <w:rPr>
                <w:sz w:val="20"/>
                <w:szCs w:val="20"/>
                <w:color w:val="auto"/>
              </w:rPr>
            </w:pPr>
            <w:r>
              <w:rPr>
                <w:rFonts w:ascii="Arial" w:cs="Arial" w:eastAsia="Arial" w:hAnsi="Arial"/>
                <w:sz w:val="18"/>
                <w:szCs w:val="18"/>
                <w:color w:val="auto"/>
              </w:rPr>
              <w:t>225</w:t>
            </w:r>
          </w:p>
        </w:tc>
      </w:tr>
      <w:tr>
        <w:trPr>
          <w:trHeight w:val="237"/>
        </w:trPr>
        <w:tc>
          <w:tcPr>
            <w:tcW w:w="5160" w:type="dxa"/>
            <w:vAlign w:val="bottom"/>
            <w:tcBorders>
              <w:bottom w:val="single" w:sz="8" w:color="CCEEFF"/>
            </w:tcBorders>
            <w:shd w:val="clear" w:color="auto" w:fill="CCEEFF"/>
          </w:tcPr>
          <w:p>
            <w:pPr>
              <w:ind w:left="40"/>
              <w:spacing w:after="0" w:line="203" w:lineRule="exact"/>
              <w:rPr>
                <w:sz w:val="20"/>
                <w:szCs w:val="20"/>
                <w:color w:val="auto"/>
              </w:rPr>
            </w:pPr>
            <w:r>
              <w:rPr>
                <w:rFonts w:ascii="Arial" w:cs="Arial" w:eastAsia="Arial" w:hAnsi="Arial"/>
                <w:sz w:val="18"/>
                <w:szCs w:val="18"/>
                <w:color w:val="auto"/>
              </w:rPr>
              <w:t>Funded status at end of period</w:t>
            </w:r>
          </w:p>
        </w:tc>
        <w:tc>
          <w:tcPr>
            <w:tcW w:w="340" w:type="dxa"/>
            <w:vAlign w:val="bottom"/>
            <w:tcBorders>
              <w:bottom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(5,417)</w:t>
            </w:r>
          </w:p>
        </w:tc>
        <w:tc>
          <w:tcPr>
            <w:tcW w:w="100" w:type="dxa"/>
            <w:vAlign w:val="bottom"/>
            <w:tcBorders>
              <w:bottom w:val="single" w:sz="8" w:color="CCEEFF"/>
            </w:tcBorders>
            <w:shd w:val="clear" w:color="auto" w:fill="CCEEFF"/>
          </w:tcPr>
          <w:p>
            <w:pPr>
              <w:spacing w:after="0"/>
              <w:rPr>
                <w:sz w:val="20"/>
                <w:szCs w:val="20"/>
                <w:color w:val="auto"/>
              </w:rPr>
            </w:pPr>
          </w:p>
        </w:tc>
        <w:tc>
          <w:tcPr>
            <w:tcW w:w="580" w:type="dxa"/>
            <w:vAlign w:val="bottom"/>
            <w:tcBorders>
              <w:bottom w:val="single" w:sz="8" w:color="auto"/>
            </w:tcBorders>
            <w:shd w:val="clear" w:color="auto" w:fill="CCEEFF"/>
          </w:tcPr>
          <w:p>
            <w:pPr>
              <w:jc w:val="right"/>
              <w:ind w:right="350"/>
              <w:spacing w:after="0"/>
              <w:rPr>
                <w:sz w:val="20"/>
                <w:szCs w:val="20"/>
                <w:color w:val="auto"/>
              </w:rPr>
            </w:pPr>
            <w:r>
              <w:rPr>
                <w:rFonts w:ascii="Arial" w:cs="Arial" w:eastAsia="Arial" w:hAnsi="Arial"/>
                <w:sz w:val="18"/>
                <w:szCs w:val="18"/>
                <w:color w:val="auto"/>
              </w:rPr>
              <w:t>$</w:t>
            </w: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(6,281)</w:t>
            </w:r>
          </w:p>
        </w:tc>
        <w:tc>
          <w:tcPr>
            <w:tcW w:w="100" w:type="dxa"/>
            <w:vAlign w:val="bottom"/>
            <w:tcBorders>
              <w:bottom w:val="single" w:sz="8" w:color="CCEEFF"/>
            </w:tcBorders>
            <w:shd w:val="clear" w:color="auto" w:fill="CCEEFF"/>
          </w:tcPr>
          <w:p>
            <w:pPr>
              <w:spacing w:after="0"/>
              <w:rPr>
                <w:sz w:val="20"/>
                <w:szCs w:val="20"/>
                <w:color w:val="auto"/>
              </w:rPr>
            </w:pPr>
          </w:p>
        </w:tc>
        <w:tc>
          <w:tcPr>
            <w:tcW w:w="440" w:type="dxa"/>
            <w:vAlign w:val="bottom"/>
            <w:tcBorders>
              <w:bottom w:val="single" w:sz="8" w:color="auto"/>
            </w:tcBorders>
            <w:shd w:val="clear" w:color="auto" w:fill="CCEEFF"/>
          </w:tcPr>
          <w:p>
            <w:pPr>
              <w:jc w:val="right"/>
              <w:ind w:right="230"/>
              <w:spacing w:after="0"/>
              <w:rPr>
                <w:sz w:val="20"/>
                <w:szCs w:val="20"/>
                <w:color w:val="auto"/>
              </w:rPr>
            </w:pPr>
            <w:r>
              <w:rPr>
                <w:rFonts w:ascii="Arial" w:cs="Arial" w:eastAsia="Arial" w:hAnsi="Arial"/>
                <w:sz w:val="18"/>
                <w:szCs w:val="18"/>
                <w:color w:val="auto"/>
                <w:w w:val="99"/>
              </w:rPr>
              <w:t>$</w:t>
            </w: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(620)</w:t>
            </w:r>
          </w:p>
        </w:tc>
        <w:tc>
          <w:tcPr>
            <w:tcW w:w="120" w:type="dxa"/>
            <w:vAlign w:val="bottom"/>
            <w:tcBorders>
              <w:bottom w:val="single" w:sz="8" w:color="CCEEFF"/>
            </w:tcBorders>
            <w:shd w:val="clear" w:color="auto" w:fill="CCEEFF"/>
          </w:tcPr>
          <w:p>
            <w:pPr>
              <w:spacing w:after="0"/>
              <w:rPr>
                <w:sz w:val="20"/>
                <w:szCs w:val="20"/>
                <w:color w:val="auto"/>
              </w:rPr>
            </w:pPr>
          </w:p>
        </w:tc>
        <w:tc>
          <w:tcPr>
            <w:tcW w:w="340" w:type="dxa"/>
            <w:vAlign w:val="bottom"/>
            <w:tcBorders>
              <w:bottom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(612)</w:t>
            </w:r>
          </w:p>
        </w:tc>
      </w:tr>
      <w:tr>
        <w:trPr>
          <w:trHeight w:val="20"/>
        </w:trPr>
        <w:tc>
          <w:tcPr>
            <w:tcW w:w="516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334645</wp:posOffset>
            </wp:positionV>
            <wp:extent cx="1337945" cy="8890"/>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1337945" cy="8890"/>
                    </a:xfrm>
                    <a:prstGeom prst="rect">
                      <a:avLst/>
                    </a:prstGeom>
                    <a:noFill/>
                  </pic:spPr>
                </pic:pic>
              </a:graphicData>
            </a:graphic>
          </wp:anchor>
        </w:drawing>
      </w:r>
    </w:p>
    <w:p>
      <w:pPr>
        <w:sectPr>
          <w:pgSz w:w="11900" w:h="16838" w:orient="portrait"/>
          <w:cols w:equalWidth="0" w:num="1">
            <w:col w:w="11420"/>
          </w:cols>
          <w:pgMar w:left="240" w:top="549" w:right="2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4" w:lineRule="exact"/>
        <w:rPr>
          <w:sz w:val="20"/>
          <w:szCs w:val="20"/>
          <w:color w:val="auto"/>
        </w:rPr>
      </w:pPr>
    </w:p>
    <w:p>
      <w:pPr>
        <w:spacing w:after="0"/>
        <w:rPr>
          <w:sz w:val="20"/>
          <w:szCs w:val="20"/>
          <w:color w:val="auto"/>
        </w:rPr>
      </w:pPr>
      <w:r>
        <w:rPr>
          <w:rFonts w:ascii="Arial" w:cs="Arial" w:eastAsia="Arial" w:hAnsi="Arial"/>
          <w:sz w:val="11"/>
          <w:szCs w:val="11"/>
          <w:color w:val="auto"/>
        </w:rPr>
        <w:t>(1)</w:t>
      </w:r>
    </w:p>
    <w:p>
      <w:pPr>
        <w:spacing w:after="0" w:line="200" w:lineRule="exact"/>
        <w:rPr>
          <w:sz w:val="20"/>
          <w:szCs w:val="20"/>
          <w:color w:val="auto"/>
        </w:rPr>
      </w:pPr>
    </w:p>
    <w:p>
      <w:pPr>
        <w:spacing w:after="0" w:line="268" w:lineRule="exact"/>
        <w:rPr>
          <w:sz w:val="20"/>
          <w:szCs w:val="20"/>
          <w:color w:val="auto"/>
        </w:rPr>
      </w:pPr>
    </w:p>
    <w:p>
      <w:pPr>
        <w:spacing w:after="0"/>
        <w:rPr>
          <w:sz w:val="20"/>
          <w:szCs w:val="20"/>
          <w:color w:val="auto"/>
        </w:rPr>
      </w:pPr>
      <w:r>
        <w:rPr>
          <w:rFonts w:ascii="Arial" w:cs="Arial" w:eastAsia="Arial" w:hAnsi="Arial"/>
          <w:sz w:val="11"/>
          <w:szCs w:val="11"/>
          <w:color w:val="auto"/>
        </w:rPr>
        <w:t>(2)</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2" w:lineRule="exact"/>
        <w:rPr>
          <w:sz w:val="20"/>
          <w:szCs w:val="20"/>
          <w:color w:val="auto"/>
        </w:rPr>
      </w:pPr>
    </w:p>
    <w:p>
      <w:pPr>
        <w:spacing w:after="0"/>
        <w:rPr>
          <w:sz w:val="20"/>
          <w:szCs w:val="20"/>
          <w:color w:val="auto"/>
        </w:rPr>
      </w:pPr>
      <w:r>
        <w:rPr>
          <w:rFonts w:ascii="Arial" w:cs="Arial" w:eastAsia="Arial" w:hAnsi="Arial"/>
          <w:sz w:val="11"/>
          <w:szCs w:val="11"/>
          <w:color w:val="auto"/>
        </w:rPr>
        <w:t>(3)</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p>
      <w:pPr>
        <w:jc w:val="both"/>
        <w:spacing w:after="0" w:line="262" w:lineRule="auto"/>
        <w:rPr>
          <w:sz w:val="20"/>
          <w:szCs w:val="20"/>
          <w:color w:val="auto"/>
        </w:rPr>
      </w:pPr>
      <w:r>
        <w:rPr>
          <w:rFonts w:ascii="Arial" w:cs="Arial" w:eastAsia="Arial" w:hAnsi="Arial"/>
          <w:sz w:val="18"/>
          <w:szCs w:val="18"/>
          <w:color w:val="auto"/>
        </w:rPr>
        <w:t>The 2019 and 2018 pension actuarial (gain) loss primarily relates to changes in American’s weighted average discount rate and mortality assumption and, in 2018, changes to American’s retirement rate assumptions.</w:t>
      </w:r>
    </w:p>
    <w:p>
      <w:pPr>
        <w:spacing w:after="0" w:line="142" w:lineRule="exact"/>
        <w:rPr>
          <w:sz w:val="20"/>
          <w:szCs w:val="20"/>
          <w:color w:val="auto"/>
        </w:rPr>
      </w:pPr>
    </w:p>
    <w:p>
      <w:pPr>
        <w:jc w:val="both"/>
        <w:ind w:right="20"/>
        <w:spacing w:after="0" w:line="262" w:lineRule="auto"/>
        <w:rPr>
          <w:sz w:val="20"/>
          <w:szCs w:val="20"/>
          <w:color w:val="auto"/>
        </w:rPr>
      </w:pPr>
      <w:r>
        <w:rPr>
          <w:rFonts w:ascii="Arial" w:cs="Arial" w:eastAsia="Arial" w:hAnsi="Arial"/>
          <w:sz w:val="18"/>
          <w:szCs w:val="18"/>
          <w:color w:val="auto"/>
        </w:rPr>
        <w:t>The 2019 retiree medical and other postretirement benefits actuarial loss primarily relates to changes in American’s weighted average discount rate assumption and plan experience adjustments.</w:t>
      </w:r>
    </w:p>
    <w:p>
      <w:pPr>
        <w:spacing w:after="0" w:line="142" w:lineRule="exact"/>
        <w:rPr>
          <w:sz w:val="20"/>
          <w:szCs w:val="20"/>
          <w:color w:val="auto"/>
        </w:rPr>
      </w:pPr>
    </w:p>
    <w:p>
      <w:pPr>
        <w:jc w:val="both"/>
        <w:spacing w:after="0" w:line="262" w:lineRule="auto"/>
        <w:rPr>
          <w:sz w:val="20"/>
          <w:szCs w:val="20"/>
          <w:color w:val="auto"/>
        </w:rPr>
      </w:pPr>
      <w:r>
        <w:rPr>
          <w:rFonts w:ascii="Arial" w:cs="Arial" w:eastAsia="Arial" w:hAnsi="Arial"/>
          <w:sz w:val="18"/>
          <w:szCs w:val="18"/>
          <w:color w:val="auto"/>
        </w:rPr>
        <w:t>The 2018 retiree medical and other postretirement benefits actuarial gain primarily relates to changes in American’s weighted average discount rate, medical trend and per capita claims assumptions.</w:t>
      </w:r>
    </w:p>
    <w:p>
      <w:pPr>
        <w:spacing w:after="0" w:line="142" w:lineRule="exact"/>
        <w:rPr>
          <w:sz w:val="20"/>
          <w:szCs w:val="20"/>
          <w:color w:val="auto"/>
        </w:rPr>
      </w:pPr>
    </w:p>
    <w:p>
      <w:pPr>
        <w:jc w:val="both"/>
        <w:spacing w:after="0" w:line="256" w:lineRule="auto"/>
        <w:rPr>
          <w:sz w:val="20"/>
          <w:szCs w:val="20"/>
          <w:color w:val="auto"/>
        </w:rPr>
      </w:pPr>
      <w:r>
        <w:rPr>
          <w:rFonts w:ascii="Arial" w:cs="Arial" w:eastAsia="Arial" w:hAnsi="Arial"/>
          <w:sz w:val="18"/>
          <w:szCs w:val="18"/>
          <w:color w:val="auto"/>
        </w:rPr>
        <w:t>During 2019, American contributed $1.2 billion to its defined benefit pension plans, including supplemental contributions of $444 million and a $780 million minimum required contribution. During 2018, American contributed $ 472 million to its defined benefit pension plans, including supplemental contributions of $433 million and a $39 million minimum required contribution.</w:t>
      </w:r>
    </w:p>
    <w:p>
      <w:pPr>
        <w:spacing w:after="0" w:line="202" w:lineRule="exact"/>
        <w:rPr>
          <w:sz w:val="20"/>
          <w:szCs w:val="20"/>
          <w:color w:val="auto"/>
        </w:rPr>
      </w:pPr>
    </w:p>
    <w:p>
      <w:pPr>
        <w:jc w:val="center"/>
        <w:ind w:right="540"/>
        <w:spacing w:after="0"/>
        <w:rPr>
          <w:sz w:val="20"/>
          <w:szCs w:val="20"/>
          <w:color w:val="auto"/>
        </w:rPr>
      </w:pPr>
      <w:r>
        <w:rPr>
          <w:rFonts w:ascii="Arial" w:cs="Arial" w:eastAsia="Arial" w:hAnsi="Arial"/>
          <w:sz w:val="18"/>
          <w:szCs w:val="18"/>
          <w:color w:val="auto"/>
        </w:rPr>
        <w:t>142</w:t>
      </w:r>
    </w:p>
    <w:p>
      <w:pPr>
        <w:sectPr>
          <w:pgSz w:w="11900" w:h="16838" w:orient="portrait"/>
          <w:cols w:equalWidth="0" w:num="2">
            <w:col w:w="140" w:space="400"/>
            <w:col w:w="10880"/>
          </w:cols>
          <w:pgMar w:left="240" w:top="549" w:right="239" w:bottom="1440" w:gutter="0" w:footer="0" w:header="0"/>
          <w:type w:val="continuous"/>
        </w:sectPr>
      </w:pPr>
    </w:p>
    <w:bookmarkStart w:id="142" w:name="page143"/>
    <w:bookmarkEnd w:id="142"/>
    <w:p>
      <w:pPr>
        <w:jc w:val="center"/>
        <w:ind w:right="-19"/>
        <w:spacing w:after="0"/>
        <w:rPr>
          <w:sz w:val="20"/>
          <w:szCs w:val="20"/>
          <w:color w:val="auto"/>
        </w:rPr>
      </w:pPr>
      <w:r>
        <w:rPr>
          <w:rFonts w:ascii="Arial" w:cs="Arial" w:eastAsia="Arial" w:hAnsi="Arial"/>
          <w:sz w:val="18"/>
          <w:szCs w:val="18"/>
          <w:b w:val="1"/>
          <w:bCs w:val="1"/>
          <w:color w:val="auto"/>
        </w:rPr>
        <w:t>NOTES TO CONSOLIDATED FINANCIAL STATEMENTS OF AMERICAN AIRLINES, INC.</w:t>
      </w:r>
    </w:p>
    <w:p>
      <w:pPr>
        <w:spacing w:after="0" w:line="200" w:lineRule="exact"/>
        <w:rPr>
          <w:sz w:val="20"/>
          <w:szCs w:val="20"/>
          <w:color w:val="auto"/>
        </w:rPr>
      </w:pPr>
    </w:p>
    <w:p>
      <w:pPr>
        <w:spacing w:after="0" w:line="268" w:lineRule="exact"/>
        <w:rPr>
          <w:sz w:val="20"/>
          <w:szCs w:val="20"/>
          <w:color w:val="auto"/>
        </w:rPr>
      </w:pPr>
    </w:p>
    <w:p>
      <w:pPr>
        <w:ind w:left="220"/>
        <w:spacing w:after="0"/>
        <w:rPr>
          <w:sz w:val="20"/>
          <w:szCs w:val="20"/>
          <w:color w:val="auto"/>
        </w:rPr>
      </w:pPr>
      <w:r>
        <w:rPr>
          <w:rFonts w:ascii="Arial" w:cs="Arial" w:eastAsia="Arial" w:hAnsi="Arial"/>
          <w:sz w:val="18"/>
          <w:szCs w:val="18"/>
          <w:b w:val="1"/>
          <w:bCs w:val="1"/>
          <w:i w:val="1"/>
          <w:iCs w:val="1"/>
          <w:color w:val="auto"/>
        </w:rPr>
        <w:t>Balance Sheet Position</w:t>
      </w:r>
    </w:p>
    <w:p>
      <w:pPr>
        <w:spacing w:after="0" w:line="181"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40" w:type="dxa"/>
            <w:vAlign w:val="bottom"/>
          </w:tcPr>
          <w:p>
            <w:pPr>
              <w:spacing w:after="0"/>
              <w:rPr>
                <w:sz w:val="14"/>
                <w:szCs w:val="14"/>
                <w:color w:val="auto"/>
              </w:rPr>
            </w:pPr>
          </w:p>
        </w:tc>
        <w:tc>
          <w:tcPr>
            <w:tcW w:w="1580" w:type="dxa"/>
            <w:vAlign w:val="bottom"/>
          </w:tcPr>
          <w:p>
            <w:pPr>
              <w:spacing w:after="0"/>
              <w:rPr>
                <w:sz w:val="14"/>
                <w:szCs w:val="14"/>
                <w:color w:val="auto"/>
              </w:rPr>
            </w:pPr>
          </w:p>
        </w:tc>
        <w:tc>
          <w:tcPr>
            <w:tcW w:w="22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2200" w:type="dxa"/>
            <w:vAlign w:val="bottom"/>
            <w:gridSpan w:val="8"/>
          </w:tcPr>
          <w:p>
            <w:pPr>
              <w:jc w:val="center"/>
              <w:ind w:right="713"/>
              <w:spacing w:after="0"/>
              <w:rPr>
                <w:sz w:val="20"/>
                <w:szCs w:val="20"/>
                <w:color w:val="auto"/>
              </w:rPr>
            </w:pPr>
            <w:r>
              <w:rPr>
                <w:rFonts w:ascii="Arial" w:cs="Arial" w:eastAsia="Arial" w:hAnsi="Arial"/>
                <w:sz w:val="14"/>
                <w:szCs w:val="14"/>
                <w:b w:val="1"/>
                <w:bCs w:val="1"/>
                <w:color w:val="auto"/>
              </w:rPr>
              <w:t>Retiree Medical and</w:t>
            </w:r>
          </w:p>
        </w:tc>
        <w:tc>
          <w:tcPr>
            <w:tcW w:w="0" w:type="dxa"/>
            <w:vAlign w:val="bottom"/>
          </w:tcPr>
          <w:p>
            <w:pPr>
              <w:spacing w:after="0"/>
              <w:rPr>
                <w:sz w:val="1"/>
                <w:szCs w:val="1"/>
                <w:color w:val="auto"/>
              </w:rPr>
            </w:pPr>
          </w:p>
        </w:tc>
      </w:tr>
      <w:tr>
        <w:trPr>
          <w:trHeight w:val="196"/>
        </w:trPr>
        <w:tc>
          <w:tcPr>
            <w:tcW w:w="40" w:type="dxa"/>
            <w:vAlign w:val="bottom"/>
          </w:tcPr>
          <w:p>
            <w:pPr>
              <w:spacing w:after="0"/>
              <w:rPr>
                <w:sz w:val="17"/>
                <w:szCs w:val="17"/>
                <w:color w:val="auto"/>
              </w:rPr>
            </w:pPr>
          </w:p>
        </w:tc>
        <w:tc>
          <w:tcPr>
            <w:tcW w:w="1580" w:type="dxa"/>
            <w:vAlign w:val="bottom"/>
          </w:tcPr>
          <w:p>
            <w:pPr>
              <w:spacing w:after="0"/>
              <w:rPr>
                <w:sz w:val="17"/>
                <w:szCs w:val="17"/>
                <w:color w:val="auto"/>
              </w:rPr>
            </w:pPr>
          </w:p>
        </w:tc>
        <w:tc>
          <w:tcPr>
            <w:tcW w:w="22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80" w:type="dxa"/>
            <w:vAlign w:val="bottom"/>
            <w:tcBorders>
              <w:bottom w:val="single" w:sz="8" w:color="auto"/>
            </w:tcBorders>
          </w:tcPr>
          <w:p>
            <w:pPr>
              <w:spacing w:after="0"/>
              <w:rPr>
                <w:sz w:val="17"/>
                <w:szCs w:val="17"/>
                <w:color w:val="auto"/>
              </w:rPr>
            </w:pPr>
          </w:p>
        </w:tc>
        <w:tc>
          <w:tcPr>
            <w:tcW w:w="260" w:type="dxa"/>
            <w:vAlign w:val="bottom"/>
            <w:tcBorders>
              <w:bottom w:val="single" w:sz="8" w:color="auto"/>
            </w:tcBorders>
          </w:tcPr>
          <w:p>
            <w:pPr>
              <w:spacing w:after="0"/>
              <w:rPr>
                <w:sz w:val="17"/>
                <w:szCs w:val="17"/>
                <w:color w:val="auto"/>
              </w:rPr>
            </w:pPr>
          </w:p>
        </w:tc>
        <w:tc>
          <w:tcPr>
            <w:tcW w:w="2120" w:type="dxa"/>
            <w:vAlign w:val="bottom"/>
            <w:tcBorders>
              <w:bottom w:val="single" w:sz="8" w:color="auto"/>
            </w:tcBorders>
            <w:gridSpan w:val="8"/>
          </w:tcPr>
          <w:p>
            <w:pPr>
              <w:jc w:val="right"/>
              <w:ind w:right="340"/>
              <w:spacing w:after="0"/>
              <w:rPr>
                <w:sz w:val="20"/>
                <w:szCs w:val="20"/>
                <w:color w:val="auto"/>
              </w:rPr>
            </w:pPr>
            <w:r>
              <w:rPr>
                <w:rFonts w:ascii="Arial" w:cs="Arial" w:eastAsia="Arial" w:hAnsi="Arial"/>
                <w:sz w:val="14"/>
                <w:szCs w:val="14"/>
                <w:b w:val="1"/>
                <w:bCs w:val="1"/>
                <w:color w:val="auto"/>
              </w:rPr>
              <w:t>Pension Benefits</w:t>
            </w:r>
          </w:p>
        </w:tc>
        <w:tc>
          <w:tcPr>
            <w:tcW w:w="80" w:type="dxa"/>
            <w:vAlign w:val="bottom"/>
            <w:tcBorders>
              <w:bottom w:val="single" w:sz="8" w:color="auto"/>
            </w:tcBorders>
          </w:tcPr>
          <w:p>
            <w:pPr>
              <w:spacing w:after="0"/>
              <w:rPr>
                <w:sz w:val="17"/>
                <w:szCs w:val="17"/>
                <w:color w:val="auto"/>
              </w:rPr>
            </w:pPr>
          </w:p>
        </w:tc>
        <w:tc>
          <w:tcPr>
            <w:tcW w:w="400" w:type="dxa"/>
            <w:vAlign w:val="bottom"/>
            <w:tcBorders>
              <w:bottom w:val="single" w:sz="8" w:color="auto"/>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500" w:type="dxa"/>
            <w:vAlign w:val="bottom"/>
            <w:tcBorders>
              <w:bottom w:val="single" w:sz="8" w:color="auto"/>
            </w:tcBorders>
          </w:tcPr>
          <w:p>
            <w:pPr>
              <w:spacing w:after="0"/>
              <w:rPr>
                <w:sz w:val="17"/>
                <w:szCs w:val="17"/>
                <w:color w:val="auto"/>
              </w:rPr>
            </w:pPr>
          </w:p>
        </w:tc>
        <w:tc>
          <w:tcPr>
            <w:tcW w:w="2520" w:type="dxa"/>
            <w:vAlign w:val="bottom"/>
            <w:tcBorders>
              <w:bottom w:val="single" w:sz="8" w:color="auto"/>
            </w:tcBorders>
            <w:gridSpan w:val="11"/>
          </w:tcPr>
          <w:p>
            <w:pPr>
              <w:jc w:val="center"/>
              <w:ind w:right="393"/>
              <w:spacing w:after="0"/>
              <w:rPr>
                <w:sz w:val="20"/>
                <w:szCs w:val="20"/>
                <w:color w:val="auto"/>
              </w:rPr>
            </w:pPr>
            <w:r>
              <w:rPr>
                <w:rFonts w:ascii="Arial" w:cs="Arial" w:eastAsia="Arial" w:hAnsi="Arial"/>
                <w:sz w:val="14"/>
                <w:szCs w:val="14"/>
                <w:b w:val="1"/>
                <w:bCs w:val="1"/>
                <w:color w:val="auto"/>
              </w:rPr>
              <w:t>Other Postretirement Benefits</w:t>
            </w:r>
          </w:p>
        </w:tc>
        <w:tc>
          <w:tcPr>
            <w:tcW w:w="0" w:type="dxa"/>
            <w:vAlign w:val="bottom"/>
          </w:tcPr>
          <w:p>
            <w:pPr>
              <w:spacing w:after="0"/>
              <w:rPr>
                <w:sz w:val="1"/>
                <w:szCs w:val="1"/>
                <w:color w:val="auto"/>
              </w:rPr>
            </w:pPr>
          </w:p>
        </w:tc>
      </w:tr>
      <w:tr>
        <w:trPr>
          <w:trHeight w:val="264"/>
        </w:trPr>
        <w:tc>
          <w:tcPr>
            <w:tcW w:w="40" w:type="dxa"/>
            <w:vAlign w:val="bottom"/>
          </w:tcPr>
          <w:p>
            <w:pPr>
              <w:spacing w:after="0"/>
              <w:rPr>
                <w:sz w:val="22"/>
                <w:szCs w:val="22"/>
                <w:color w:val="auto"/>
              </w:rPr>
            </w:pPr>
          </w:p>
        </w:tc>
        <w:tc>
          <w:tcPr>
            <w:tcW w:w="1580" w:type="dxa"/>
            <w:vAlign w:val="bottom"/>
          </w:tcPr>
          <w:p>
            <w:pPr>
              <w:spacing w:after="0"/>
              <w:rPr>
                <w:sz w:val="22"/>
                <w:szCs w:val="22"/>
                <w:color w:val="auto"/>
              </w:rPr>
            </w:pPr>
          </w:p>
        </w:tc>
        <w:tc>
          <w:tcPr>
            <w:tcW w:w="222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86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80" w:type="dxa"/>
            <w:vAlign w:val="bottom"/>
            <w:tcBorders>
              <w:bottom w:val="single" w:sz="8" w:color="auto"/>
            </w:tcBorders>
          </w:tcPr>
          <w:p>
            <w:pPr>
              <w:spacing w:after="0"/>
              <w:rPr>
                <w:sz w:val="22"/>
                <w:szCs w:val="22"/>
                <w:color w:val="auto"/>
              </w:rPr>
            </w:pPr>
          </w:p>
        </w:tc>
        <w:tc>
          <w:tcPr>
            <w:tcW w:w="260" w:type="dxa"/>
            <w:vAlign w:val="bottom"/>
            <w:tcBorders>
              <w:bottom w:val="single" w:sz="8" w:color="auto"/>
            </w:tcBorders>
          </w:tcPr>
          <w:p>
            <w:pPr>
              <w:spacing w:after="0"/>
              <w:rPr>
                <w:sz w:val="22"/>
                <w:szCs w:val="22"/>
                <w:color w:val="auto"/>
              </w:rPr>
            </w:pPr>
          </w:p>
        </w:tc>
        <w:tc>
          <w:tcPr>
            <w:tcW w:w="820" w:type="dxa"/>
            <w:vAlign w:val="bottom"/>
            <w:tcBorders>
              <w:bottom w:val="single" w:sz="8" w:color="auto"/>
            </w:tcBorders>
          </w:tcPr>
          <w:p>
            <w:pPr>
              <w:jc w:val="right"/>
              <w:ind w:right="174"/>
              <w:spacing w:after="0"/>
              <w:rPr>
                <w:sz w:val="20"/>
                <w:szCs w:val="20"/>
                <w:color w:val="auto"/>
              </w:rPr>
            </w:pPr>
            <w:r>
              <w:rPr>
                <w:rFonts w:ascii="Arial" w:cs="Arial" w:eastAsia="Arial" w:hAnsi="Arial"/>
                <w:sz w:val="14"/>
                <w:szCs w:val="14"/>
                <w:b w:val="1"/>
                <w:bCs w:val="1"/>
                <w:color w:val="auto"/>
              </w:rPr>
              <w:t>2019</w:t>
            </w:r>
          </w:p>
        </w:tc>
        <w:tc>
          <w:tcPr>
            <w:tcW w:w="40" w:type="dxa"/>
            <w:vAlign w:val="bottom"/>
            <w:tcBorders>
              <w:bottom w:val="single" w:sz="8" w:color="auto"/>
            </w:tcBorders>
          </w:tcPr>
          <w:p>
            <w:pPr>
              <w:spacing w:after="0"/>
              <w:rPr>
                <w:sz w:val="22"/>
                <w:szCs w:val="22"/>
                <w:color w:val="auto"/>
              </w:rPr>
            </w:pPr>
          </w:p>
        </w:tc>
        <w:tc>
          <w:tcPr>
            <w:tcW w:w="100" w:type="dxa"/>
            <w:vAlign w:val="bottom"/>
            <w:tcBorders>
              <w:bottom w:val="single" w:sz="8" w:color="auto"/>
            </w:tcBorders>
          </w:tcPr>
          <w:p>
            <w:pPr>
              <w:spacing w:after="0"/>
              <w:rPr>
                <w:sz w:val="22"/>
                <w:szCs w:val="22"/>
                <w:color w:val="auto"/>
              </w:rPr>
            </w:pPr>
          </w:p>
        </w:tc>
        <w:tc>
          <w:tcPr>
            <w:tcW w:w="160" w:type="dxa"/>
            <w:vAlign w:val="bottom"/>
            <w:tcBorders>
              <w:bottom w:val="single" w:sz="8" w:color="auto"/>
            </w:tcBorders>
          </w:tcPr>
          <w:p>
            <w:pPr>
              <w:spacing w:after="0"/>
              <w:rPr>
                <w:sz w:val="22"/>
                <w:szCs w:val="22"/>
                <w:color w:val="auto"/>
              </w:rPr>
            </w:pPr>
          </w:p>
        </w:tc>
        <w:tc>
          <w:tcPr>
            <w:tcW w:w="120" w:type="dxa"/>
            <w:vAlign w:val="bottom"/>
          </w:tcPr>
          <w:p>
            <w:pPr>
              <w:spacing w:after="0"/>
              <w:rPr>
                <w:sz w:val="22"/>
                <w:szCs w:val="22"/>
                <w:color w:val="auto"/>
              </w:rPr>
            </w:pPr>
          </w:p>
        </w:tc>
        <w:tc>
          <w:tcPr>
            <w:tcW w:w="120" w:type="dxa"/>
            <w:vAlign w:val="bottom"/>
            <w:tcBorders>
              <w:bottom w:val="single" w:sz="8" w:color="auto"/>
            </w:tcBorders>
          </w:tcPr>
          <w:p>
            <w:pPr>
              <w:spacing w:after="0"/>
              <w:rPr>
                <w:sz w:val="22"/>
                <w:szCs w:val="22"/>
                <w:color w:val="auto"/>
              </w:rPr>
            </w:pPr>
          </w:p>
        </w:tc>
        <w:tc>
          <w:tcPr>
            <w:tcW w:w="760" w:type="dxa"/>
            <w:vAlign w:val="bottom"/>
            <w:tcBorders>
              <w:bottom w:val="single" w:sz="8" w:color="auto"/>
            </w:tcBorders>
            <w:gridSpan w:val="2"/>
          </w:tcPr>
          <w:p>
            <w:pPr>
              <w:jc w:val="right"/>
              <w:spacing w:after="0"/>
              <w:rPr>
                <w:sz w:val="20"/>
                <w:szCs w:val="20"/>
                <w:color w:val="auto"/>
              </w:rPr>
            </w:pPr>
            <w:r>
              <w:rPr>
                <w:rFonts w:ascii="Arial" w:cs="Arial" w:eastAsia="Arial" w:hAnsi="Arial"/>
                <w:sz w:val="14"/>
                <w:szCs w:val="14"/>
                <w:b w:val="1"/>
                <w:bCs w:val="1"/>
                <w:color w:val="auto"/>
              </w:rPr>
              <w:t>2018</w:t>
            </w:r>
          </w:p>
        </w:tc>
        <w:tc>
          <w:tcPr>
            <w:tcW w:w="80" w:type="dxa"/>
            <w:vAlign w:val="bottom"/>
            <w:tcBorders>
              <w:bottom w:val="single" w:sz="8" w:color="auto"/>
            </w:tcBorders>
          </w:tcPr>
          <w:p>
            <w:pPr>
              <w:spacing w:after="0"/>
              <w:rPr>
                <w:sz w:val="22"/>
                <w:szCs w:val="22"/>
                <w:color w:val="auto"/>
              </w:rPr>
            </w:pPr>
          </w:p>
        </w:tc>
        <w:tc>
          <w:tcPr>
            <w:tcW w:w="400" w:type="dxa"/>
            <w:vAlign w:val="bottom"/>
            <w:tcBorders>
              <w:bottom w:val="single" w:sz="8" w:color="auto"/>
            </w:tcBorders>
          </w:tcPr>
          <w:p>
            <w:pPr>
              <w:spacing w:after="0"/>
              <w:rPr>
                <w:sz w:val="22"/>
                <w:szCs w:val="22"/>
                <w:color w:val="auto"/>
              </w:rPr>
            </w:pPr>
          </w:p>
        </w:tc>
        <w:tc>
          <w:tcPr>
            <w:tcW w:w="100" w:type="dxa"/>
            <w:vAlign w:val="bottom"/>
            <w:tcBorders>
              <w:bottom w:val="single" w:sz="8" w:color="auto"/>
            </w:tcBorders>
          </w:tcPr>
          <w:p>
            <w:pPr>
              <w:spacing w:after="0"/>
              <w:rPr>
                <w:sz w:val="22"/>
                <w:szCs w:val="22"/>
                <w:color w:val="auto"/>
              </w:rPr>
            </w:pPr>
          </w:p>
        </w:tc>
        <w:tc>
          <w:tcPr>
            <w:tcW w:w="100" w:type="dxa"/>
            <w:vAlign w:val="bottom"/>
          </w:tcPr>
          <w:p>
            <w:pPr>
              <w:spacing w:after="0"/>
              <w:rPr>
                <w:sz w:val="22"/>
                <w:szCs w:val="22"/>
                <w:color w:val="auto"/>
              </w:rPr>
            </w:pPr>
          </w:p>
        </w:tc>
        <w:tc>
          <w:tcPr>
            <w:tcW w:w="500" w:type="dxa"/>
            <w:vAlign w:val="bottom"/>
            <w:tcBorders>
              <w:bottom w:val="single" w:sz="8" w:color="auto"/>
            </w:tcBorders>
          </w:tcPr>
          <w:p>
            <w:pPr>
              <w:spacing w:after="0"/>
              <w:rPr>
                <w:sz w:val="22"/>
                <w:szCs w:val="22"/>
                <w:color w:val="auto"/>
              </w:rPr>
            </w:pPr>
          </w:p>
        </w:tc>
        <w:tc>
          <w:tcPr>
            <w:tcW w:w="920" w:type="dxa"/>
            <w:vAlign w:val="bottom"/>
            <w:tcBorders>
              <w:bottom w:val="single" w:sz="8" w:color="auto"/>
            </w:tcBorders>
            <w:gridSpan w:val="4"/>
          </w:tcPr>
          <w:p>
            <w:pPr>
              <w:jc w:val="center"/>
              <w:ind w:right="393"/>
              <w:spacing w:after="0"/>
              <w:rPr>
                <w:sz w:val="20"/>
                <w:szCs w:val="20"/>
                <w:color w:val="auto"/>
              </w:rPr>
            </w:pPr>
            <w:r>
              <w:rPr>
                <w:rFonts w:ascii="Arial" w:cs="Arial" w:eastAsia="Arial" w:hAnsi="Arial"/>
                <w:sz w:val="14"/>
                <w:szCs w:val="14"/>
                <w:b w:val="1"/>
                <w:bCs w:val="1"/>
                <w:color w:val="auto"/>
              </w:rPr>
              <w:t>2019</w:t>
            </w:r>
          </w:p>
        </w:tc>
        <w:tc>
          <w:tcPr>
            <w:tcW w:w="40" w:type="dxa"/>
            <w:vAlign w:val="bottom"/>
            <w:tcBorders>
              <w:bottom w:val="single" w:sz="8" w:color="auto"/>
            </w:tcBorders>
          </w:tcPr>
          <w:p>
            <w:pPr>
              <w:spacing w:after="0"/>
              <w:rPr>
                <w:sz w:val="22"/>
                <w:szCs w:val="22"/>
                <w:color w:val="auto"/>
              </w:rPr>
            </w:pPr>
          </w:p>
        </w:tc>
        <w:tc>
          <w:tcPr>
            <w:tcW w:w="100" w:type="dxa"/>
            <w:vAlign w:val="bottom"/>
          </w:tcPr>
          <w:p>
            <w:pPr>
              <w:spacing w:after="0"/>
              <w:rPr>
                <w:sz w:val="22"/>
                <w:szCs w:val="22"/>
                <w:color w:val="auto"/>
              </w:rPr>
            </w:pPr>
          </w:p>
        </w:tc>
        <w:tc>
          <w:tcPr>
            <w:tcW w:w="220" w:type="dxa"/>
            <w:vAlign w:val="bottom"/>
            <w:tcBorders>
              <w:bottom w:val="single" w:sz="8" w:color="auto"/>
            </w:tcBorders>
          </w:tcPr>
          <w:p>
            <w:pPr>
              <w:spacing w:after="0"/>
              <w:rPr>
                <w:sz w:val="22"/>
                <w:szCs w:val="22"/>
                <w:color w:val="auto"/>
              </w:rPr>
            </w:pPr>
          </w:p>
        </w:tc>
        <w:tc>
          <w:tcPr>
            <w:tcW w:w="100" w:type="dxa"/>
            <w:vAlign w:val="bottom"/>
            <w:tcBorders>
              <w:bottom w:val="single" w:sz="8" w:color="auto"/>
            </w:tcBorders>
          </w:tcPr>
          <w:p>
            <w:pPr>
              <w:spacing w:after="0"/>
              <w:rPr>
                <w:sz w:val="22"/>
                <w:szCs w:val="22"/>
                <w:color w:val="auto"/>
              </w:rPr>
            </w:pPr>
          </w:p>
        </w:tc>
        <w:tc>
          <w:tcPr>
            <w:tcW w:w="20" w:type="dxa"/>
            <w:vAlign w:val="bottom"/>
            <w:tcBorders>
              <w:bottom w:val="single" w:sz="8" w:color="auto"/>
            </w:tcBorders>
          </w:tcPr>
          <w:p>
            <w:pPr>
              <w:spacing w:after="0"/>
              <w:rPr>
                <w:sz w:val="22"/>
                <w:szCs w:val="22"/>
                <w:color w:val="auto"/>
              </w:rPr>
            </w:pPr>
          </w:p>
        </w:tc>
        <w:tc>
          <w:tcPr>
            <w:tcW w:w="180" w:type="dxa"/>
            <w:vAlign w:val="bottom"/>
            <w:tcBorders>
              <w:bottom w:val="single" w:sz="8" w:color="auto"/>
            </w:tcBorders>
          </w:tcPr>
          <w:p>
            <w:pPr>
              <w:spacing w:after="0"/>
              <w:rPr>
                <w:sz w:val="22"/>
                <w:szCs w:val="22"/>
                <w:color w:val="auto"/>
              </w:rPr>
            </w:pPr>
          </w:p>
        </w:tc>
        <w:tc>
          <w:tcPr>
            <w:tcW w:w="940" w:type="dxa"/>
            <w:vAlign w:val="bottom"/>
            <w:tcBorders>
              <w:bottom w:val="single" w:sz="8" w:color="auto"/>
            </w:tcBorders>
          </w:tcPr>
          <w:p>
            <w:pPr>
              <w:jc w:val="right"/>
              <w:ind w:right="473"/>
              <w:spacing w:after="0"/>
              <w:rPr>
                <w:sz w:val="20"/>
                <w:szCs w:val="20"/>
                <w:color w:val="auto"/>
              </w:rPr>
            </w:pPr>
            <w:r>
              <w:rPr>
                <w:rFonts w:ascii="Arial" w:cs="Arial" w:eastAsia="Arial" w:hAnsi="Arial"/>
                <w:sz w:val="14"/>
                <w:szCs w:val="14"/>
                <w:b w:val="1"/>
                <w:bCs w:val="1"/>
                <w:color w:val="auto"/>
              </w:rPr>
              <w:t>2018</w:t>
            </w:r>
          </w:p>
        </w:tc>
        <w:tc>
          <w:tcPr>
            <w:tcW w:w="0" w:type="dxa"/>
            <w:vAlign w:val="bottom"/>
          </w:tcPr>
          <w:p>
            <w:pPr>
              <w:spacing w:after="0"/>
              <w:rPr>
                <w:sz w:val="1"/>
                <w:szCs w:val="1"/>
                <w:color w:val="auto"/>
              </w:rPr>
            </w:pPr>
          </w:p>
        </w:tc>
      </w:tr>
      <w:tr>
        <w:trPr>
          <w:trHeight w:val="331"/>
        </w:trPr>
        <w:tc>
          <w:tcPr>
            <w:tcW w:w="4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22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100" w:type="dxa"/>
            <w:vAlign w:val="bottom"/>
            <w:gridSpan w:val="4"/>
          </w:tcPr>
          <w:p>
            <w:pPr>
              <w:jc w:val="right"/>
              <w:ind w:right="54"/>
              <w:spacing w:after="0"/>
              <w:rPr>
                <w:sz w:val="20"/>
                <w:szCs w:val="20"/>
                <w:color w:val="auto"/>
              </w:rPr>
            </w:pPr>
            <w:r>
              <w:rPr>
                <w:rFonts w:ascii="Arial" w:cs="Arial" w:eastAsia="Arial" w:hAnsi="Arial"/>
                <w:sz w:val="14"/>
                <w:szCs w:val="14"/>
                <w:b w:val="1"/>
                <w:bCs w:val="1"/>
                <w:color w:val="auto"/>
              </w:rPr>
              <w:t>(In millions)</w:t>
            </w:r>
          </w:p>
        </w:tc>
        <w:tc>
          <w:tcPr>
            <w:tcW w:w="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9"/>
        </w:trPr>
        <w:tc>
          <w:tcPr>
            <w:tcW w:w="3840" w:type="dxa"/>
            <w:vAlign w:val="bottom"/>
            <w:gridSpan w:val="3"/>
            <w:shd w:val="clear" w:color="auto" w:fill="CCEEFF"/>
          </w:tcPr>
          <w:p>
            <w:pPr>
              <w:ind w:left="40"/>
              <w:spacing w:after="0"/>
              <w:rPr>
                <w:sz w:val="20"/>
                <w:szCs w:val="20"/>
                <w:color w:val="auto"/>
              </w:rPr>
            </w:pPr>
            <w:r>
              <w:rPr>
                <w:rFonts w:ascii="Arial" w:cs="Arial" w:eastAsia="Arial" w:hAnsi="Arial"/>
                <w:sz w:val="18"/>
                <w:szCs w:val="18"/>
                <w:color w:val="auto"/>
              </w:rPr>
              <w:t>As of December 31,</w:t>
            </w:r>
          </w:p>
        </w:tc>
        <w:tc>
          <w:tcPr>
            <w:tcW w:w="26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48"/>
        </w:trPr>
        <w:tc>
          <w:tcPr>
            <w:tcW w:w="40" w:type="dxa"/>
            <w:vAlign w:val="bottom"/>
            <w:tcBorders>
              <w:top w:val="single" w:sz="8" w:color="CCEEFF"/>
            </w:tcBorders>
            <w:shd w:val="clear" w:color="auto" w:fill="CCEEFF"/>
          </w:tcPr>
          <w:p>
            <w:pPr>
              <w:spacing w:after="0"/>
              <w:rPr>
                <w:sz w:val="4"/>
                <w:szCs w:val="4"/>
                <w:color w:val="auto"/>
              </w:rPr>
            </w:pPr>
          </w:p>
        </w:tc>
        <w:tc>
          <w:tcPr>
            <w:tcW w:w="1580" w:type="dxa"/>
            <w:vAlign w:val="bottom"/>
            <w:tcBorders>
              <w:top w:val="single" w:sz="8" w:color="auto"/>
            </w:tcBorders>
            <w:shd w:val="clear" w:color="auto" w:fill="CCEEFF"/>
          </w:tcPr>
          <w:p>
            <w:pPr>
              <w:spacing w:after="0"/>
              <w:rPr>
                <w:sz w:val="4"/>
                <w:szCs w:val="4"/>
                <w:color w:val="auto"/>
              </w:rPr>
            </w:pPr>
          </w:p>
        </w:tc>
        <w:tc>
          <w:tcPr>
            <w:tcW w:w="2220" w:type="dxa"/>
            <w:vAlign w:val="bottom"/>
            <w:tcBorders>
              <w:top w:val="single" w:sz="8" w:color="CCEEFF"/>
            </w:tcBorders>
            <w:shd w:val="clear" w:color="auto" w:fill="CCEEFF"/>
          </w:tcPr>
          <w:p>
            <w:pPr>
              <w:spacing w:after="0"/>
              <w:rPr>
                <w:sz w:val="4"/>
                <w:szCs w:val="4"/>
                <w:color w:val="auto"/>
              </w:rPr>
            </w:pPr>
          </w:p>
        </w:tc>
        <w:tc>
          <w:tcPr>
            <w:tcW w:w="260" w:type="dxa"/>
            <w:vAlign w:val="bottom"/>
            <w:tcBorders>
              <w:top w:val="single" w:sz="8" w:color="CCEEFF"/>
            </w:tcBorders>
            <w:shd w:val="clear" w:color="auto" w:fill="CCEEFF"/>
          </w:tcPr>
          <w:p>
            <w:pPr>
              <w:spacing w:after="0"/>
              <w:rPr>
                <w:sz w:val="4"/>
                <w:szCs w:val="4"/>
                <w:color w:val="auto"/>
              </w:rPr>
            </w:pPr>
          </w:p>
        </w:tc>
        <w:tc>
          <w:tcPr>
            <w:tcW w:w="860" w:type="dxa"/>
            <w:vAlign w:val="bottom"/>
            <w:tcBorders>
              <w:top w:val="single" w:sz="8" w:color="CCEEFF"/>
            </w:tcBorders>
            <w:shd w:val="clear" w:color="auto" w:fill="CCEEFF"/>
          </w:tcPr>
          <w:p>
            <w:pPr>
              <w:spacing w:after="0"/>
              <w:rPr>
                <w:sz w:val="4"/>
                <w:szCs w:val="4"/>
                <w:color w:val="auto"/>
              </w:rPr>
            </w:pPr>
          </w:p>
        </w:tc>
        <w:tc>
          <w:tcPr>
            <w:tcW w:w="40" w:type="dxa"/>
            <w:vAlign w:val="bottom"/>
            <w:tcBorders>
              <w:top w:val="single" w:sz="8" w:color="CCEEFF"/>
            </w:tcBorders>
            <w:shd w:val="clear" w:color="auto" w:fill="CCEEFF"/>
          </w:tcPr>
          <w:p>
            <w:pPr>
              <w:spacing w:after="0"/>
              <w:rPr>
                <w:sz w:val="4"/>
                <w:szCs w:val="4"/>
                <w:color w:val="auto"/>
              </w:rPr>
            </w:pPr>
          </w:p>
        </w:tc>
        <w:tc>
          <w:tcPr>
            <w:tcW w:w="80" w:type="dxa"/>
            <w:vAlign w:val="bottom"/>
            <w:tcBorders>
              <w:top w:val="single" w:sz="8" w:color="CCEEFF"/>
            </w:tcBorders>
            <w:shd w:val="clear" w:color="auto" w:fill="CCEEFF"/>
          </w:tcPr>
          <w:p>
            <w:pPr>
              <w:spacing w:after="0"/>
              <w:rPr>
                <w:sz w:val="4"/>
                <w:szCs w:val="4"/>
                <w:color w:val="auto"/>
              </w:rPr>
            </w:pPr>
          </w:p>
        </w:tc>
        <w:tc>
          <w:tcPr>
            <w:tcW w:w="260" w:type="dxa"/>
            <w:vAlign w:val="bottom"/>
            <w:tcBorders>
              <w:top w:val="single" w:sz="8" w:color="CCEEFF"/>
            </w:tcBorders>
            <w:shd w:val="clear" w:color="auto" w:fill="CCEEFF"/>
          </w:tcPr>
          <w:p>
            <w:pPr>
              <w:spacing w:after="0"/>
              <w:rPr>
                <w:sz w:val="4"/>
                <w:szCs w:val="4"/>
                <w:color w:val="auto"/>
              </w:rPr>
            </w:pPr>
          </w:p>
        </w:tc>
        <w:tc>
          <w:tcPr>
            <w:tcW w:w="820" w:type="dxa"/>
            <w:vAlign w:val="bottom"/>
            <w:tcBorders>
              <w:top w:val="single" w:sz="8" w:color="CCEEFF"/>
            </w:tcBorders>
            <w:shd w:val="clear" w:color="auto" w:fill="CCEEFF"/>
          </w:tcPr>
          <w:p>
            <w:pPr>
              <w:spacing w:after="0"/>
              <w:rPr>
                <w:sz w:val="4"/>
                <w:szCs w:val="4"/>
                <w:color w:val="auto"/>
              </w:rPr>
            </w:pPr>
          </w:p>
        </w:tc>
        <w:tc>
          <w:tcPr>
            <w:tcW w:w="40" w:type="dxa"/>
            <w:vAlign w:val="bottom"/>
            <w:tcBorders>
              <w:top w:val="single" w:sz="8" w:color="CCEEFF"/>
            </w:tcBorders>
            <w:shd w:val="clear" w:color="auto" w:fill="CCEEFF"/>
          </w:tcPr>
          <w:p>
            <w:pPr>
              <w:spacing w:after="0"/>
              <w:rPr>
                <w:sz w:val="4"/>
                <w:szCs w:val="4"/>
                <w:color w:val="auto"/>
              </w:rPr>
            </w:pPr>
          </w:p>
        </w:tc>
        <w:tc>
          <w:tcPr>
            <w:tcW w:w="100" w:type="dxa"/>
            <w:vAlign w:val="bottom"/>
            <w:tcBorders>
              <w:top w:val="single" w:sz="8" w:color="CCEEFF"/>
            </w:tcBorders>
            <w:shd w:val="clear" w:color="auto" w:fill="CCEEFF"/>
          </w:tcPr>
          <w:p>
            <w:pPr>
              <w:spacing w:after="0"/>
              <w:rPr>
                <w:sz w:val="4"/>
                <w:szCs w:val="4"/>
                <w:color w:val="auto"/>
              </w:rPr>
            </w:pPr>
          </w:p>
        </w:tc>
        <w:tc>
          <w:tcPr>
            <w:tcW w:w="160" w:type="dxa"/>
            <w:vAlign w:val="bottom"/>
            <w:tcBorders>
              <w:top w:val="single" w:sz="8" w:color="CCEEFF"/>
            </w:tcBorders>
            <w:shd w:val="clear" w:color="auto" w:fill="CCEEFF"/>
          </w:tcPr>
          <w:p>
            <w:pPr>
              <w:spacing w:after="0"/>
              <w:rPr>
                <w:sz w:val="4"/>
                <w:szCs w:val="4"/>
                <w:color w:val="auto"/>
              </w:rPr>
            </w:pPr>
          </w:p>
        </w:tc>
        <w:tc>
          <w:tcPr>
            <w:tcW w:w="120" w:type="dxa"/>
            <w:vAlign w:val="bottom"/>
            <w:tcBorders>
              <w:top w:val="single" w:sz="8" w:color="CCEEFF"/>
            </w:tcBorders>
            <w:shd w:val="clear" w:color="auto" w:fill="CCEEFF"/>
          </w:tcPr>
          <w:p>
            <w:pPr>
              <w:spacing w:after="0"/>
              <w:rPr>
                <w:sz w:val="4"/>
                <w:szCs w:val="4"/>
                <w:color w:val="auto"/>
              </w:rPr>
            </w:pPr>
          </w:p>
        </w:tc>
        <w:tc>
          <w:tcPr>
            <w:tcW w:w="120" w:type="dxa"/>
            <w:vAlign w:val="bottom"/>
            <w:tcBorders>
              <w:top w:val="single" w:sz="8" w:color="CCEEFF"/>
            </w:tcBorders>
            <w:shd w:val="clear" w:color="auto" w:fill="CCEEFF"/>
          </w:tcPr>
          <w:p>
            <w:pPr>
              <w:spacing w:after="0"/>
              <w:rPr>
                <w:sz w:val="4"/>
                <w:szCs w:val="4"/>
                <w:color w:val="auto"/>
              </w:rPr>
            </w:pPr>
          </w:p>
        </w:tc>
        <w:tc>
          <w:tcPr>
            <w:tcW w:w="740" w:type="dxa"/>
            <w:vAlign w:val="bottom"/>
            <w:tcBorders>
              <w:top w:val="single" w:sz="8" w:color="CCEEFF"/>
            </w:tcBorders>
            <w:shd w:val="clear" w:color="auto" w:fill="CCEEFF"/>
          </w:tcPr>
          <w:p>
            <w:pPr>
              <w:spacing w:after="0"/>
              <w:rPr>
                <w:sz w:val="4"/>
                <w:szCs w:val="4"/>
                <w:color w:val="auto"/>
              </w:rPr>
            </w:pPr>
          </w:p>
        </w:tc>
        <w:tc>
          <w:tcPr>
            <w:tcW w:w="20" w:type="dxa"/>
            <w:vAlign w:val="bottom"/>
            <w:tcBorders>
              <w:top w:val="single" w:sz="8" w:color="CCEEFF"/>
            </w:tcBorders>
            <w:shd w:val="clear" w:color="auto" w:fill="CCEEFF"/>
          </w:tcPr>
          <w:p>
            <w:pPr>
              <w:spacing w:after="0"/>
              <w:rPr>
                <w:sz w:val="4"/>
                <w:szCs w:val="4"/>
                <w:color w:val="auto"/>
              </w:rPr>
            </w:pPr>
          </w:p>
        </w:tc>
        <w:tc>
          <w:tcPr>
            <w:tcW w:w="80" w:type="dxa"/>
            <w:vAlign w:val="bottom"/>
            <w:tcBorders>
              <w:top w:val="single" w:sz="8" w:color="CCEEFF"/>
            </w:tcBorders>
            <w:shd w:val="clear" w:color="auto" w:fill="CCEEFF"/>
          </w:tcPr>
          <w:p>
            <w:pPr>
              <w:spacing w:after="0"/>
              <w:rPr>
                <w:sz w:val="4"/>
                <w:szCs w:val="4"/>
                <w:color w:val="auto"/>
              </w:rPr>
            </w:pPr>
          </w:p>
        </w:tc>
        <w:tc>
          <w:tcPr>
            <w:tcW w:w="400" w:type="dxa"/>
            <w:vAlign w:val="bottom"/>
            <w:tcBorders>
              <w:top w:val="single" w:sz="8" w:color="CCEEFF"/>
            </w:tcBorders>
            <w:shd w:val="clear" w:color="auto" w:fill="CCEEFF"/>
          </w:tcPr>
          <w:p>
            <w:pPr>
              <w:spacing w:after="0"/>
              <w:rPr>
                <w:sz w:val="4"/>
                <w:szCs w:val="4"/>
                <w:color w:val="auto"/>
              </w:rPr>
            </w:pPr>
          </w:p>
        </w:tc>
        <w:tc>
          <w:tcPr>
            <w:tcW w:w="100" w:type="dxa"/>
            <w:vAlign w:val="bottom"/>
            <w:tcBorders>
              <w:top w:val="single" w:sz="8" w:color="CCEEFF"/>
            </w:tcBorders>
            <w:shd w:val="clear" w:color="auto" w:fill="CCEEFF"/>
          </w:tcPr>
          <w:p>
            <w:pPr>
              <w:spacing w:after="0"/>
              <w:rPr>
                <w:sz w:val="4"/>
                <w:szCs w:val="4"/>
                <w:color w:val="auto"/>
              </w:rPr>
            </w:pPr>
          </w:p>
        </w:tc>
        <w:tc>
          <w:tcPr>
            <w:tcW w:w="100" w:type="dxa"/>
            <w:vAlign w:val="bottom"/>
            <w:tcBorders>
              <w:top w:val="single" w:sz="8" w:color="CCEEFF"/>
            </w:tcBorders>
            <w:shd w:val="clear" w:color="auto" w:fill="CCEEFF"/>
          </w:tcPr>
          <w:p>
            <w:pPr>
              <w:spacing w:after="0"/>
              <w:rPr>
                <w:sz w:val="4"/>
                <w:szCs w:val="4"/>
                <w:color w:val="auto"/>
              </w:rPr>
            </w:pPr>
          </w:p>
        </w:tc>
        <w:tc>
          <w:tcPr>
            <w:tcW w:w="500" w:type="dxa"/>
            <w:vAlign w:val="bottom"/>
            <w:tcBorders>
              <w:top w:val="single" w:sz="8" w:color="CCEEFF"/>
            </w:tcBorders>
            <w:shd w:val="clear" w:color="auto" w:fill="CCEEFF"/>
          </w:tcPr>
          <w:p>
            <w:pPr>
              <w:spacing w:after="0"/>
              <w:rPr>
                <w:sz w:val="4"/>
                <w:szCs w:val="4"/>
                <w:color w:val="auto"/>
              </w:rPr>
            </w:pPr>
          </w:p>
        </w:tc>
        <w:tc>
          <w:tcPr>
            <w:tcW w:w="40" w:type="dxa"/>
            <w:vAlign w:val="bottom"/>
            <w:tcBorders>
              <w:top w:val="single" w:sz="8" w:color="CCEEFF"/>
            </w:tcBorders>
            <w:shd w:val="clear" w:color="auto" w:fill="CCEEFF"/>
          </w:tcPr>
          <w:p>
            <w:pPr>
              <w:spacing w:after="0"/>
              <w:rPr>
                <w:sz w:val="4"/>
                <w:szCs w:val="4"/>
                <w:color w:val="auto"/>
              </w:rPr>
            </w:pPr>
          </w:p>
        </w:tc>
        <w:tc>
          <w:tcPr>
            <w:tcW w:w="100" w:type="dxa"/>
            <w:vAlign w:val="bottom"/>
            <w:tcBorders>
              <w:top w:val="single" w:sz="8" w:color="CCEEFF"/>
            </w:tcBorders>
            <w:shd w:val="clear" w:color="auto" w:fill="CCEEFF"/>
          </w:tcPr>
          <w:p>
            <w:pPr>
              <w:spacing w:after="0"/>
              <w:rPr>
                <w:sz w:val="4"/>
                <w:szCs w:val="4"/>
                <w:color w:val="auto"/>
              </w:rPr>
            </w:pPr>
          </w:p>
        </w:tc>
        <w:tc>
          <w:tcPr>
            <w:tcW w:w="180" w:type="dxa"/>
            <w:vAlign w:val="bottom"/>
            <w:tcBorders>
              <w:top w:val="single" w:sz="8" w:color="CCEEFF"/>
            </w:tcBorders>
            <w:shd w:val="clear" w:color="auto" w:fill="CCEEFF"/>
          </w:tcPr>
          <w:p>
            <w:pPr>
              <w:spacing w:after="0"/>
              <w:rPr>
                <w:sz w:val="4"/>
                <w:szCs w:val="4"/>
                <w:color w:val="auto"/>
              </w:rPr>
            </w:pPr>
          </w:p>
        </w:tc>
        <w:tc>
          <w:tcPr>
            <w:tcW w:w="600" w:type="dxa"/>
            <w:vAlign w:val="bottom"/>
            <w:tcBorders>
              <w:top w:val="single" w:sz="8" w:color="CCEEFF"/>
            </w:tcBorders>
            <w:shd w:val="clear" w:color="auto" w:fill="CCEEFF"/>
          </w:tcPr>
          <w:p>
            <w:pPr>
              <w:spacing w:after="0"/>
              <w:rPr>
                <w:sz w:val="4"/>
                <w:szCs w:val="4"/>
                <w:color w:val="auto"/>
              </w:rPr>
            </w:pPr>
          </w:p>
        </w:tc>
        <w:tc>
          <w:tcPr>
            <w:tcW w:w="40" w:type="dxa"/>
            <w:vAlign w:val="bottom"/>
            <w:tcBorders>
              <w:top w:val="single" w:sz="8" w:color="CCEEFF"/>
            </w:tcBorders>
            <w:shd w:val="clear" w:color="auto" w:fill="CCEEFF"/>
          </w:tcPr>
          <w:p>
            <w:pPr>
              <w:spacing w:after="0"/>
              <w:rPr>
                <w:sz w:val="4"/>
                <w:szCs w:val="4"/>
                <w:color w:val="auto"/>
              </w:rPr>
            </w:pPr>
          </w:p>
        </w:tc>
        <w:tc>
          <w:tcPr>
            <w:tcW w:w="100" w:type="dxa"/>
            <w:vAlign w:val="bottom"/>
            <w:tcBorders>
              <w:top w:val="single" w:sz="8" w:color="CCEEFF"/>
            </w:tcBorders>
            <w:shd w:val="clear" w:color="auto" w:fill="CCEEFF"/>
          </w:tcPr>
          <w:p>
            <w:pPr>
              <w:spacing w:after="0"/>
              <w:rPr>
                <w:sz w:val="4"/>
                <w:szCs w:val="4"/>
                <w:color w:val="auto"/>
              </w:rPr>
            </w:pPr>
          </w:p>
        </w:tc>
        <w:tc>
          <w:tcPr>
            <w:tcW w:w="220" w:type="dxa"/>
            <w:vAlign w:val="bottom"/>
            <w:tcBorders>
              <w:top w:val="single" w:sz="8" w:color="CCEEFF"/>
            </w:tcBorders>
            <w:shd w:val="clear" w:color="auto" w:fill="CCEEFF"/>
          </w:tcPr>
          <w:p>
            <w:pPr>
              <w:spacing w:after="0"/>
              <w:rPr>
                <w:sz w:val="4"/>
                <w:szCs w:val="4"/>
                <w:color w:val="auto"/>
              </w:rPr>
            </w:pPr>
          </w:p>
        </w:tc>
        <w:tc>
          <w:tcPr>
            <w:tcW w:w="100" w:type="dxa"/>
            <w:vAlign w:val="bottom"/>
            <w:tcBorders>
              <w:top w:val="single" w:sz="8" w:color="CCEEFF"/>
            </w:tcBorders>
            <w:shd w:val="clear" w:color="auto" w:fill="CCEEFF"/>
          </w:tcPr>
          <w:p>
            <w:pPr>
              <w:spacing w:after="0"/>
              <w:rPr>
                <w:sz w:val="4"/>
                <w:szCs w:val="4"/>
                <w:color w:val="auto"/>
              </w:rPr>
            </w:pPr>
          </w:p>
        </w:tc>
        <w:tc>
          <w:tcPr>
            <w:tcW w:w="20" w:type="dxa"/>
            <w:vAlign w:val="bottom"/>
            <w:tcBorders>
              <w:top w:val="single" w:sz="8" w:color="CCEEFF"/>
            </w:tcBorders>
            <w:shd w:val="clear" w:color="auto" w:fill="CCEEFF"/>
          </w:tcPr>
          <w:p>
            <w:pPr>
              <w:spacing w:after="0"/>
              <w:rPr>
                <w:sz w:val="4"/>
                <w:szCs w:val="4"/>
                <w:color w:val="auto"/>
              </w:rPr>
            </w:pPr>
          </w:p>
        </w:tc>
        <w:tc>
          <w:tcPr>
            <w:tcW w:w="180" w:type="dxa"/>
            <w:vAlign w:val="bottom"/>
            <w:tcBorders>
              <w:top w:val="single" w:sz="8" w:color="CCEEFF"/>
            </w:tcBorders>
            <w:shd w:val="clear" w:color="auto" w:fill="CCEEFF"/>
          </w:tcPr>
          <w:p>
            <w:pPr>
              <w:spacing w:after="0"/>
              <w:rPr>
                <w:sz w:val="4"/>
                <w:szCs w:val="4"/>
                <w:color w:val="auto"/>
              </w:rPr>
            </w:pPr>
          </w:p>
        </w:tc>
        <w:tc>
          <w:tcPr>
            <w:tcW w:w="940" w:type="dxa"/>
            <w:vAlign w:val="bottom"/>
            <w:tcBorders>
              <w:top w:val="single" w:sz="8" w:color="CCEEFF"/>
            </w:tcBorders>
            <w:shd w:val="clear" w:color="auto" w:fill="CCEEFF"/>
          </w:tcPr>
          <w:p>
            <w:pPr>
              <w:spacing w:after="0"/>
              <w:rPr>
                <w:sz w:val="4"/>
                <w:szCs w:val="4"/>
                <w:color w:val="auto"/>
              </w:rPr>
            </w:pPr>
          </w:p>
        </w:tc>
        <w:tc>
          <w:tcPr>
            <w:tcW w:w="0" w:type="dxa"/>
            <w:vAlign w:val="bottom"/>
          </w:tcPr>
          <w:p>
            <w:pPr>
              <w:spacing w:after="0"/>
              <w:rPr>
                <w:sz w:val="1"/>
                <w:szCs w:val="1"/>
                <w:color w:val="auto"/>
              </w:rPr>
            </w:pPr>
          </w:p>
        </w:tc>
      </w:tr>
      <w:tr>
        <w:trPr>
          <w:trHeight w:val="263"/>
        </w:trPr>
        <w:tc>
          <w:tcPr>
            <w:tcW w:w="3840" w:type="dxa"/>
            <w:vAlign w:val="bottom"/>
            <w:gridSpan w:val="3"/>
          </w:tcPr>
          <w:p>
            <w:pPr>
              <w:ind w:left="40"/>
              <w:spacing w:after="0"/>
              <w:rPr>
                <w:sz w:val="20"/>
                <w:szCs w:val="20"/>
                <w:color w:val="auto"/>
              </w:rPr>
            </w:pPr>
            <w:r>
              <w:rPr>
                <w:rFonts w:ascii="Arial" w:cs="Arial" w:eastAsia="Arial" w:hAnsi="Arial"/>
                <w:sz w:val="18"/>
                <w:szCs w:val="18"/>
                <w:color w:val="auto"/>
              </w:rPr>
              <w:t>Current liability</w:t>
            </w:r>
          </w:p>
        </w:tc>
        <w:tc>
          <w:tcPr>
            <w:tcW w:w="260" w:type="dxa"/>
            <w:vAlign w:val="bottom"/>
          </w:tcPr>
          <w:p>
            <w:pPr>
              <w:spacing w:after="0"/>
              <w:rPr>
                <w:sz w:val="22"/>
                <w:szCs w:val="22"/>
                <w:color w:val="auto"/>
              </w:rPr>
            </w:pPr>
          </w:p>
        </w:tc>
        <w:tc>
          <w:tcPr>
            <w:tcW w:w="86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34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820" w:type="dxa"/>
            <w:vAlign w:val="bottom"/>
          </w:tcPr>
          <w:p>
            <w:pPr>
              <w:spacing w:after="0"/>
              <w:rPr>
                <w:sz w:val="22"/>
                <w:szCs w:val="22"/>
                <w:color w:val="auto"/>
              </w:rPr>
            </w:pPr>
          </w:p>
        </w:tc>
        <w:tc>
          <w:tcPr>
            <w:tcW w:w="300" w:type="dxa"/>
            <w:vAlign w:val="bottom"/>
            <w:gridSpan w:val="3"/>
          </w:tcPr>
          <w:p>
            <w:pPr>
              <w:jc w:val="right"/>
              <w:ind w:right="100"/>
              <w:spacing w:after="0"/>
              <w:rPr>
                <w:sz w:val="20"/>
                <w:szCs w:val="20"/>
                <w:color w:val="auto"/>
              </w:rPr>
            </w:pPr>
            <w:r>
              <w:rPr>
                <w:rFonts w:ascii="Arial" w:cs="Arial" w:eastAsia="Arial" w:hAnsi="Arial"/>
                <w:sz w:val="18"/>
                <w:szCs w:val="18"/>
                <w:color w:val="auto"/>
              </w:rPr>
              <w:t>5</w:t>
            </w:r>
          </w:p>
        </w:tc>
        <w:tc>
          <w:tcPr>
            <w:tcW w:w="120" w:type="dxa"/>
            <w:vAlign w:val="bottom"/>
          </w:tcPr>
          <w:p>
            <w:pPr>
              <w:spacing w:after="0"/>
              <w:rPr>
                <w:sz w:val="22"/>
                <w:szCs w:val="22"/>
                <w:color w:val="auto"/>
              </w:rPr>
            </w:pPr>
          </w:p>
        </w:tc>
        <w:tc>
          <w:tcPr>
            <w:tcW w:w="12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74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480" w:type="dxa"/>
            <w:vAlign w:val="bottom"/>
            <w:gridSpan w:val="2"/>
          </w:tcPr>
          <w:p>
            <w:pPr>
              <w:jc w:val="right"/>
              <w:spacing w:after="0"/>
              <w:rPr>
                <w:sz w:val="20"/>
                <w:szCs w:val="20"/>
                <w:color w:val="auto"/>
              </w:rPr>
            </w:pPr>
            <w:r>
              <w:rPr>
                <w:rFonts w:ascii="Arial" w:cs="Arial" w:eastAsia="Arial" w:hAnsi="Arial"/>
                <w:sz w:val="18"/>
                <w:szCs w:val="18"/>
                <w:color w:val="auto"/>
              </w:rPr>
              <w:t>7</w:t>
            </w:r>
          </w:p>
        </w:tc>
        <w:tc>
          <w:tcPr>
            <w:tcW w:w="700" w:type="dxa"/>
            <w:vAlign w:val="bottom"/>
            <w:gridSpan w:val="3"/>
          </w:tcPr>
          <w:p>
            <w:pPr>
              <w:jc w:val="right"/>
              <w:ind w:right="294"/>
              <w:spacing w:after="0"/>
              <w:rPr>
                <w:sz w:val="20"/>
                <w:szCs w:val="20"/>
                <w:color w:val="auto"/>
              </w:rPr>
            </w:pPr>
            <w:r>
              <w:rPr>
                <w:rFonts w:ascii="Arial" w:cs="Arial" w:eastAsia="Arial" w:hAnsi="Arial"/>
                <w:sz w:val="18"/>
                <w:szCs w:val="18"/>
                <w:color w:val="auto"/>
              </w:rPr>
              <w:t>$</w:t>
            </w:r>
          </w:p>
        </w:tc>
        <w:tc>
          <w:tcPr>
            <w:tcW w:w="4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24</w:t>
            </w:r>
          </w:p>
        </w:tc>
        <w:tc>
          <w:tcPr>
            <w:tcW w:w="360" w:type="dxa"/>
            <w:vAlign w:val="bottom"/>
            <w:gridSpan w:val="3"/>
          </w:tcPr>
          <w:p>
            <w:pPr>
              <w:jc w:val="right"/>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940" w:type="dxa"/>
            <w:vAlign w:val="bottom"/>
          </w:tcPr>
          <w:p>
            <w:pPr>
              <w:jc w:val="right"/>
              <w:ind w:right="13"/>
              <w:spacing w:after="0"/>
              <w:rPr>
                <w:sz w:val="20"/>
                <w:szCs w:val="20"/>
                <w:color w:val="auto"/>
              </w:rPr>
            </w:pPr>
            <w:r>
              <w:rPr>
                <w:rFonts w:ascii="Arial" w:cs="Arial" w:eastAsia="Arial" w:hAnsi="Arial"/>
                <w:sz w:val="18"/>
                <w:szCs w:val="18"/>
                <w:color w:val="auto"/>
              </w:rPr>
              <w:t>23</w:t>
            </w:r>
          </w:p>
        </w:tc>
        <w:tc>
          <w:tcPr>
            <w:tcW w:w="0" w:type="dxa"/>
            <w:vAlign w:val="bottom"/>
          </w:tcPr>
          <w:p>
            <w:pPr>
              <w:spacing w:after="0"/>
              <w:rPr>
                <w:sz w:val="1"/>
                <w:szCs w:val="1"/>
                <w:color w:val="auto"/>
              </w:rPr>
            </w:pPr>
          </w:p>
        </w:tc>
      </w:tr>
      <w:tr>
        <w:trPr>
          <w:trHeight w:val="277"/>
        </w:trPr>
        <w:tc>
          <w:tcPr>
            <w:tcW w:w="3840" w:type="dxa"/>
            <w:vAlign w:val="bottom"/>
            <w:gridSpan w:val="3"/>
            <w:shd w:val="clear" w:color="auto" w:fill="CCEEFF"/>
          </w:tcPr>
          <w:p>
            <w:pPr>
              <w:ind w:left="40"/>
              <w:spacing w:after="0"/>
              <w:rPr>
                <w:sz w:val="20"/>
                <w:szCs w:val="20"/>
                <w:color w:val="auto"/>
              </w:rPr>
            </w:pPr>
            <w:r>
              <w:rPr>
                <w:rFonts w:ascii="Arial" w:cs="Arial" w:eastAsia="Arial" w:hAnsi="Arial"/>
                <w:sz w:val="18"/>
                <w:szCs w:val="18"/>
                <w:color w:val="auto"/>
              </w:rPr>
              <w:t>Noncurrent liability</w:t>
            </w:r>
          </w:p>
        </w:tc>
        <w:tc>
          <w:tcPr>
            <w:tcW w:w="260" w:type="dxa"/>
            <w:vAlign w:val="bottom"/>
            <w:shd w:val="clear" w:color="auto" w:fill="CCEEFF"/>
          </w:tcPr>
          <w:p>
            <w:pPr>
              <w:spacing w:after="0"/>
              <w:rPr>
                <w:sz w:val="24"/>
                <w:szCs w:val="24"/>
                <w:color w:val="auto"/>
              </w:rPr>
            </w:pPr>
          </w:p>
        </w:tc>
        <w:tc>
          <w:tcPr>
            <w:tcW w:w="860" w:type="dxa"/>
            <w:vAlign w:val="bottom"/>
            <w:shd w:val="clear" w:color="auto" w:fill="CCEEFF"/>
          </w:tcPr>
          <w:p>
            <w:pPr>
              <w:spacing w:after="0"/>
              <w:rPr>
                <w:sz w:val="24"/>
                <w:szCs w:val="24"/>
                <w:color w:val="auto"/>
              </w:rPr>
            </w:pPr>
          </w:p>
        </w:tc>
        <w:tc>
          <w:tcPr>
            <w:tcW w:w="40" w:type="dxa"/>
            <w:vAlign w:val="bottom"/>
            <w:shd w:val="clear" w:color="auto" w:fill="CCEEFF"/>
          </w:tcPr>
          <w:p>
            <w:pPr>
              <w:spacing w:after="0"/>
              <w:rPr>
                <w:sz w:val="24"/>
                <w:szCs w:val="24"/>
                <w:color w:val="auto"/>
              </w:rPr>
            </w:pPr>
          </w:p>
        </w:tc>
        <w:tc>
          <w:tcPr>
            <w:tcW w:w="80" w:type="dxa"/>
            <w:vAlign w:val="bottom"/>
            <w:tcBorders>
              <w:bottom w:val="single" w:sz="8" w:color="auto"/>
            </w:tcBorders>
            <w:shd w:val="clear" w:color="auto" w:fill="CCEEFF"/>
          </w:tcPr>
          <w:p>
            <w:pPr>
              <w:spacing w:after="0"/>
              <w:rPr>
                <w:sz w:val="24"/>
                <w:szCs w:val="24"/>
                <w:color w:val="auto"/>
              </w:rPr>
            </w:pPr>
          </w:p>
        </w:tc>
        <w:tc>
          <w:tcPr>
            <w:tcW w:w="260" w:type="dxa"/>
            <w:vAlign w:val="bottom"/>
            <w:tcBorders>
              <w:bottom w:val="single" w:sz="8" w:color="auto"/>
            </w:tcBorders>
            <w:shd w:val="clear" w:color="auto" w:fill="CCEEFF"/>
          </w:tcPr>
          <w:p>
            <w:pPr>
              <w:spacing w:after="0"/>
              <w:rPr>
                <w:sz w:val="24"/>
                <w:szCs w:val="24"/>
                <w:color w:val="auto"/>
              </w:rPr>
            </w:pPr>
          </w:p>
        </w:tc>
        <w:tc>
          <w:tcPr>
            <w:tcW w:w="1120" w:type="dxa"/>
            <w:vAlign w:val="bottom"/>
            <w:tcBorders>
              <w:bottom w:val="single" w:sz="8" w:color="auto"/>
            </w:tcBorders>
            <w:gridSpan w:val="4"/>
            <w:shd w:val="clear" w:color="auto" w:fill="CCEEFF"/>
          </w:tcPr>
          <w:p>
            <w:pPr>
              <w:jc w:val="right"/>
              <w:ind w:right="100"/>
              <w:spacing w:after="0"/>
              <w:rPr>
                <w:sz w:val="20"/>
                <w:szCs w:val="20"/>
                <w:color w:val="auto"/>
              </w:rPr>
            </w:pPr>
            <w:r>
              <w:rPr>
                <w:rFonts w:ascii="Arial" w:cs="Arial" w:eastAsia="Arial" w:hAnsi="Arial"/>
                <w:sz w:val="18"/>
                <w:szCs w:val="18"/>
                <w:color w:val="auto"/>
              </w:rPr>
              <w:t>5,412</w:t>
            </w:r>
          </w:p>
        </w:tc>
        <w:tc>
          <w:tcPr>
            <w:tcW w:w="120" w:type="dxa"/>
            <w:vAlign w:val="bottom"/>
            <w:shd w:val="clear" w:color="auto" w:fill="CCEEFF"/>
          </w:tcPr>
          <w:p>
            <w:pPr>
              <w:spacing w:after="0"/>
              <w:rPr>
                <w:sz w:val="24"/>
                <w:szCs w:val="24"/>
                <w:color w:val="auto"/>
              </w:rPr>
            </w:pPr>
          </w:p>
        </w:tc>
        <w:tc>
          <w:tcPr>
            <w:tcW w:w="120" w:type="dxa"/>
            <w:vAlign w:val="bottom"/>
            <w:tcBorders>
              <w:bottom w:val="single" w:sz="8" w:color="auto"/>
            </w:tcBorders>
            <w:shd w:val="clear" w:color="auto" w:fill="CCEEFF"/>
          </w:tcPr>
          <w:p>
            <w:pPr>
              <w:spacing w:after="0"/>
              <w:rPr>
                <w:sz w:val="24"/>
                <w:szCs w:val="24"/>
                <w:color w:val="auto"/>
              </w:rPr>
            </w:pPr>
          </w:p>
        </w:tc>
        <w:tc>
          <w:tcPr>
            <w:tcW w:w="740" w:type="dxa"/>
            <w:vAlign w:val="bottom"/>
            <w:tcBorders>
              <w:bottom w:val="single" w:sz="8" w:color="auto"/>
            </w:tcBorders>
            <w:shd w:val="clear" w:color="auto" w:fill="CCEEFF"/>
          </w:tcPr>
          <w:p>
            <w:pPr>
              <w:spacing w:after="0"/>
              <w:rPr>
                <w:sz w:val="24"/>
                <w:szCs w:val="24"/>
                <w:color w:val="auto"/>
              </w:rPr>
            </w:pPr>
          </w:p>
        </w:tc>
        <w:tc>
          <w:tcPr>
            <w:tcW w:w="20" w:type="dxa"/>
            <w:vAlign w:val="bottom"/>
            <w:tcBorders>
              <w:bottom w:val="single" w:sz="8" w:color="auto"/>
            </w:tcBorders>
            <w:shd w:val="clear" w:color="auto" w:fill="CCEEFF"/>
          </w:tcPr>
          <w:p>
            <w:pPr>
              <w:spacing w:after="0"/>
              <w:rPr>
                <w:sz w:val="24"/>
                <w:szCs w:val="24"/>
                <w:color w:val="auto"/>
              </w:rPr>
            </w:pPr>
          </w:p>
        </w:tc>
        <w:tc>
          <w:tcPr>
            <w:tcW w:w="480" w:type="dxa"/>
            <w:vAlign w:val="bottom"/>
            <w:tcBorders>
              <w:bottom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color w:val="auto"/>
                <w:w w:val="97"/>
              </w:rPr>
              <w:t>6,274</w:t>
            </w:r>
          </w:p>
        </w:tc>
        <w:tc>
          <w:tcPr>
            <w:tcW w:w="100" w:type="dxa"/>
            <w:vAlign w:val="bottom"/>
            <w:tcBorders>
              <w:bottom w:val="single" w:sz="8" w:color="auto"/>
            </w:tcBorders>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500" w:type="dxa"/>
            <w:vAlign w:val="bottom"/>
            <w:tcBorders>
              <w:bottom w:val="single" w:sz="8" w:color="auto"/>
            </w:tcBorders>
            <w:shd w:val="clear" w:color="auto" w:fill="CCEEFF"/>
          </w:tcPr>
          <w:p>
            <w:pPr>
              <w:spacing w:after="0"/>
              <w:rPr>
                <w:sz w:val="24"/>
                <w:szCs w:val="24"/>
                <w:color w:val="auto"/>
              </w:rPr>
            </w:pPr>
          </w:p>
        </w:tc>
        <w:tc>
          <w:tcPr>
            <w:tcW w:w="40" w:type="dxa"/>
            <w:vAlign w:val="bottom"/>
            <w:tcBorders>
              <w:bottom w:val="single" w:sz="8" w:color="auto"/>
            </w:tcBorders>
            <w:shd w:val="clear" w:color="auto" w:fill="CCEEFF"/>
          </w:tcPr>
          <w:p>
            <w:pPr>
              <w:spacing w:after="0"/>
              <w:rPr>
                <w:sz w:val="24"/>
                <w:szCs w:val="24"/>
                <w:color w:val="auto"/>
              </w:rPr>
            </w:pPr>
          </w:p>
        </w:tc>
        <w:tc>
          <w:tcPr>
            <w:tcW w:w="100" w:type="dxa"/>
            <w:vAlign w:val="bottom"/>
            <w:tcBorders>
              <w:bottom w:val="single" w:sz="8" w:color="auto"/>
            </w:tcBorders>
            <w:shd w:val="clear" w:color="auto" w:fill="CCEEFF"/>
          </w:tcPr>
          <w:p>
            <w:pPr>
              <w:spacing w:after="0"/>
              <w:rPr>
                <w:sz w:val="24"/>
                <w:szCs w:val="24"/>
                <w:color w:val="auto"/>
              </w:rPr>
            </w:pPr>
          </w:p>
        </w:tc>
        <w:tc>
          <w:tcPr>
            <w:tcW w:w="180" w:type="dxa"/>
            <w:vAlign w:val="bottom"/>
            <w:tcBorders>
              <w:bottom w:val="single" w:sz="8" w:color="auto"/>
            </w:tcBorders>
            <w:shd w:val="clear" w:color="auto" w:fill="CCEEFF"/>
          </w:tcPr>
          <w:p>
            <w:pPr>
              <w:spacing w:after="0"/>
              <w:rPr>
                <w:sz w:val="24"/>
                <w:szCs w:val="24"/>
                <w:color w:val="auto"/>
              </w:rPr>
            </w:pPr>
          </w:p>
        </w:tc>
        <w:tc>
          <w:tcPr>
            <w:tcW w:w="6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596</w:t>
            </w:r>
          </w:p>
        </w:tc>
        <w:tc>
          <w:tcPr>
            <w:tcW w:w="40" w:type="dxa"/>
            <w:vAlign w:val="bottom"/>
            <w:tcBorders>
              <w:bottom w:val="single" w:sz="8" w:color="auto"/>
            </w:tcBorders>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220" w:type="dxa"/>
            <w:vAlign w:val="bottom"/>
            <w:tcBorders>
              <w:bottom w:val="single" w:sz="8" w:color="auto"/>
            </w:tcBorders>
            <w:shd w:val="clear" w:color="auto" w:fill="CCEEFF"/>
          </w:tcPr>
          <w:p>
            <w:pPr>
              <w:spacing w:after="0"/>
              <w:rPr>
                <w:sz w:val="24"/>
                <w:szCs w:val="24"/>
                <w:color w:val="auto"/>
              </w:rPr>
            </w:pPr>
          </w:p>
        </w:tc>
        <w:tc>
          <w:tcPr>
            <w:tcW w:w="100" w:type="dxa"/>
            <w:vAlign w:val="bottom"/>
            <w:tcBorders>
              <w:bottom w:val="single" w:sz="8" w:color="auto"/>
            </w:tcBorders>
            <w:shd w:val="clear" w:color="auto" w:fill="CCEEFF"/>
          </w:tcPr>
          <w:p>
            <w:pPr>
              <w:spacing w:after="0"/>
              <w:rPr>
                <w:sz w:val="24"/>
                <w:szCs w:val="24"/>
                <w:color w:val="auto"/>
              </w:rPr>
            </w:pPr>
          </w:p>
        </w:tc>
        <w:tc>
          <w:tcPr>
            <w:tcW w:w="20" w:type="dxa"/>
            <w:vAlign w:val="bottom"/>
            <w:tcBorders>
              <w:bottom w:val="single" w:sz="8" w:color="auto"/>
            </w:tcBorders>
            <w:shd w:val="clear" w:color="auto" w:fill="CCEEFF"/>
          </w:tcPr>
          <w:p>
            <w:pPr>
              <w:spacing w:after="0"/>
              <w:rPr>
                <w:sz w:val="24"/>
                <w:szCs w:val="24"/>
                <w:color w:val="auto"/>
              </w:rPr>
            </w:pPr>
          </w:p>
        </w:tc>
        <w:tc>
          <w:tcPr>
            <w:tcW w:w="180" w:type="dxa"/>
            <w:vAlign w:val="bottom"/>
            <w:tcBorders>
              <w:bottom w:val="single" w:sz="8" w:color="auto"/>
            </w:tcBorders>
            <w:shd w:val="clear" w:color="auto" w:fill="CCEEFF"/>
          </w:tcPr>
          <w:p>
            <w:pPr>
              <w:spacing w:after="0"/>
              <w:rPr>
                <w:sz w:val="24"/>
                <w:szCs w:val="24"/>
                <w:color w:val="auto"/>
              </w:rPr>
            </w:pPr>
          </w:p>
        </w:tc>
        <w:tc>
          <w:tcPr>
            <w:tcW w:w="940" w:type="dxa"/>
            <w:vAlign w:val="bottom"/>
            <w:tcBorders>
              <w:bottom w:val="single" w:sz="8" w:color="auto"/>
            </w:tcBorders>
            <w:shd w:val="clear" w:color="auto" w:fill="CCEEFF"/>
          </w:tcPr>
          <w:p>
            <w:pPr>
              <w:jc w:val="right"/>
              <w:ind w:right="13"/>
              <w:spacing w:after="0"/>
              <w:rPr>
                <w:sz w:val="20"/>
                <w:szCs w:val="20"/>
                <w:color w:val="auto"/>
              </w:rPr>
            </w:pPr>
            <w:r>
              <w:rPr>
                <w:rFonts w:ascii="Arial" w:cs="Arial" w:eastAsia="Arial" w:hAnsi="Arial"/>
                <w:sz w:val="18"/>
                <w:szCs w:val="18"/>
                <w:color w:val="auto"/>
              </w:rPr>
              <w:t>589</w:t>
            </w:r>
          </w:p>
        </w:tc>
        <w:tc>
          <w:tcPr>
            <w:tcW w:w="0" w:type="dxa"/>
            <w:vAlign w:val="bottom"/>
          </w:tcPr>
          <w:p>
            <w:pPr>
              <w:spacing w:after="0"/>
              <w:rPr>
                <w:sz w:val="1"/>
                <w:szCs w:val="1"/>
                <w:color w:val="auto"/>
              </w:rPr>
            </w:pPr>
          </w:p>
        </w:tc>
      </w:tr>
      <w:tr>
        <w:trPr>
          <w:trHeight w:val="244"/>
        </w:trPr>
        <w:tc>
          <w:tcPr>
            <w:tcW w:w="3840" w:type="dxa"/>
            <w:vAlign w:val="bottom"/>
            <w:gridSpan w:val="3"/>
          </w:tcPr>
          <w:p>
            <w:pPr>
              <w:ind w:left="40"/>
              <w:spacing w:after="0"/>
              <w:rPr>
                <w:sz w:val="20"/>
                <w:szCs w:val="20"/>
                <w:color w:val="auto"/>
              </w:rPr>
            </w:pPr>
            <w:r>
              <w:rPr>
                <w:rFonts w:ascii="Arial" w:cs="Arial" w:eastAsia="Arial" w:hAnsi="Arial"/>
                <w:sz w:val="18"/>
                <w:szCs w:val="18"/>
                <w:color w:val="auto"/>
              </w:rPr>
              <w:t>Total liabilities</w:t>
            </w:r>
          </w:p>
        </w:tc>
        <w:tc>
          <w:tcPr>
            <w:tcW w:w="260" w:type="dxa"/>
            <w:vAlign w:val="bottom"/>
          </w:tcPr>
          <w:p>
            <w:pPr>
              <w:spacing w:after="0"/>
              <w:rPr>
                <w:sz w:val="21"/>
                <w:szCs w:val="21"/>
                <w:color w:val="auto"/>
              </w:rPr>
            </w:pPr>
          </w:p>
        </w:tc>
        <w:tc>
          <w:tcPr>
            <w:tcW w:w="86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340" w:type="dxa"/>
            <w:vAlign w:val="bottom"/>
            <w:tcBorders>
              <w:bottom w:val="single" w:sz="8" w:color="auto"/>
            </w:tcBorders>
            <w:gridSpan w:val="2"/>
          </w:tcPr>
          <w:p>
            <w:pPr>
              <w:jc w:val="right"/>
              <w:ind w:right="200"/>
              <w:spacing w:after="0"/>
              <w:rPr>
                <w:sz w:val="20"/>
                <w:szCs w:val="20"/>
                <w:color w:val="auto"/>
              </w:rPr>
            </w:pPr>
            <w:r>
              <w:rPr>
                <w:rFonts w:ascii="Arial" w:cs="Arial" w:eastAsia="Arial" w:hAnsi="Arial"/>
                <w:sz w:val="18"/>
                <w:szCs w:val="18"/>
                <w:color w:val="auto"/>
              </w:rPr>
              <w:t>$</w:t>
            </w:r>
          </w:p>
        </w:tc>
        <w:tc>
          <w:tcPr>
            <w:tcW w:w="1120" w:type="dxa"/>
            <w:vAlign w:val="bottom"/>
            <w:tcBorders>
              <w:bottom w:val="single" w:sz="8" w:color="auto"/>
            </w:tcBorders>
            <w:gridSpan w:val="4"/>
          </w:tcPr>
          <w:p>
            <w:pPr>
              <w:jc w:val="right"/>
              <w:ind w:right="100"/>
              <w:spacing w:after="0"/>
              <w:rPr>
                <w:sz w:val="20"/>
                <w:szCs w:val="20"/>
                <w:color w:val="auto"/>
              </w:rPr>
            </w:pPr>
            <w:r>
              <w:rPr>
                <w:rFonts w:ascii="Arial" w:cs="Arial" w:eastAsia="Arial" w:hAnsi="Arial"/>
                <w:sz w:val="18"/>
                <w:szCs w:val="18"/>
                <w:color w:val="auto"/>
              </w:rPr>
              <w:t>5,417</w:t>
            </w:r>
          </w:p>
        </w:tc>
        <w:tc>
          <w:tcPr>
            <w:tcW w:w="120" w:type="dxa"/>
            <w:vAlign w:val="bottom"/>
          </w:tcPr>
          <w:p>
            <w:pPr>
              <w:spacing w:after="0"/>
              <w:rPr>
                <w:sz w:val="21"/>
                <w:szCs w:val="21"/>
                <w:color w:val="auto"/>
              </w:rPr>
            </w:pP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740" w:type="dxa"/>
            <w:vAlign w:val="bottom"/>
            <w:tcBorders>
              <w:bottom w:val="single" w:sz="8" w:color="auto"/>
            </w:tcBorders>
          </w:tcPr>
          <w:p>
            <w:pPr>
              <w:spacing w:after="0"/>
              <w:rPr>
                <w:sz w:val="21"/>
                <w:szCs w:val="21"/>
                <w:color w:val="auto"/>
              </w:rPr>
            </w:pPr>
          </w:p>
        </w:tc>
        <w:tc>
          <w:tcPr>
            <w:tcW w:w="20" w:type="dxa"/>
            <w:vAlign w:val="bottom"/>
            <w:tcBorders>
              <w:bottom w:val="single" w:sz="8" w:color="auto"/>
            </w:tcBorders>
          </w:tcPr>
          <w:p>
            <w:pPr>
              <w:spacing w:after="0"/>
              <w:rPr>
                <w:sz w:val="21"/>
                <w:szCs w:val="21"/>
                <w:color w:val="auto"/>
              </w:rPr>
            </w:pPr>
          </w:p>
        </w:tc>
        <w:tc>
          <w:tcPr>
            <w:tcW w:w="480" w:type="dxa"/>
            <w:vAlign w:val="bottom"/>
            <w:tcBorders>
              <w:bottom w:val="single" w:sz="8" w:color="auto"/>
            </w:tcBorders>
            <w:gridSpan w:val="2"/>
          </w:tcPr>
          <w:p>
            <w:pPr>
              <w:jc w:val="right"/>
              <w:spacing w:after="0"/>
              <w:rPr>
                <w:sz w:val="20"/>
                <w:szCs w:val="20"/>
                <w:color w:val="auto"/>
              </w:rPr>
            </w:pPr>
            <w:r>
              <w:rPr>
                <w:rFonts w:ascii="Arial" w:cs="Arial" w:eastAsia="Arial" w:hAnsi="Arial"/>
                <w:sz w:val="18"/>
                <w:szCs w:val="18"/>
                <w:color w:val="auto"/>
                <w:w w:val="97"/>
              </w:rPr>
              <w:t>6,281</w:t>
            </w:r>
          </w:p>
        </w:tc>
        <w:tc>
          <w:tcPr>
            <w:tcW w:w="100" w:type="dxa"/>
            <w:vAlign w:val="bottom"/>
            <w:tcBorders>
              <w:bottom w:val="single" w:sz="8" w:color="auto"/>
            </w:tcBorders>
          </w:tcPr>
          <w:p>
            <w:pPr>
              <w:spacing w:after="0"/>
              <w:rPr>
                <w:sz w:val="21"/>
                <w:szCs w:val="21"/>
                <w:color w:val="auto"/>
              </w:rPr>
            </w:pPr>
          </w:p>
        </w:tc>
        <w:tc>
          <w:tcPr>
            <w:tcW w:w="100" w:type="dxa"/>
            <w:vAlign w:val="bottom"/>
          </w:tcPr>
          <w:p>
            <w:pPr>
              <w:spacing w:after="0"/>
              <w:rPr>
                <w:sz w:val="21"/>
                <w:szCs w:val="21"/>
                <w:color w:val="auto"/>
              </w:rPr>
            </w:pPr>
          </w:p>
        </w:tc>
        <w:tc>
          <w:tcPr>
            <w:tcW w:w="500" w:type="dxa"/>
            <w:vAlign w:val="bottom"/>
            <w:tcBorders>
              <w:bottom w:val="single" w:sz="8" w:color="auto"/>
            </w:tcBorders>
          </w:tcPr>
          <w:p>
            <w:pPr>
              <w:jc w:val="right"/>
              <w:ind w:right="294"/>
              <w:spacing w:after="0"/>
              <w:rPr>
                <w:sz w:val="20"/>
                <w:szCs w:val="20"/>
                <w:color w:val="auto"/>
              </w:rPr>
            </w:pPr>
            <w:r>
              <w:rPr>
                <w:rFonts w:ascii="Arial" w:cs="Arial" w:eastAsia="Arial" w:hAnsi="Arial"/>
                <w:sz w:val="18"/>
                <w:szCs w:val="18"/>
                <w:color w:val="auto"/>
                <w:w w:val="99"/>
              </w:rPr>
              <w:t>$</w:t>
            </w:r>
          </w:p>
        </w:tc>
        <w:tc>
          <w:tcPr>
            <w:tcW w:w="40" w:type="dxa"/>
            <w:vAlign w:val="bottom"/>
            <w:tcBorders>
              <w:bottom w:val="single" w:sz="8" w:color="auto"/>
            </w:tcBorders>
          </w:tcPr>
          <w:p>
            <w:pPr>
              <w:spacing w:after="0"/>
              <w:rPr>
                <w:sz w:val="21"/>
                <w:szCs w:val="21"/>
                <w:color w:val="auto"/>
              </w:rPr>
            </w:pPr>
          </w:p>
        </w:tc>
        <w:tc>
          <w:tcPr>
            <w:tcW w:w="100" w:type="dxa"/>
            <w:vAlign w:val="bottom"/>
            <w:tcBorders>
              <w:bottom w:val="single" w:sz="8" w:color="auto"/>
            </w:tcBorders>
          </w:tcPr>
          <w:p>
            <w:pPr>
              <w:spacing w:after="0"/>
              <w:rPr>
                <w:sz w:val="21"/>
                <w:szCs w:val="21"/>
                <w:color w:val="auto"/>
              </w:rPr>
            </w:pPr>
          </w:p>
        </w:tc>
        <w:tc>
          <w:tcPr>
            <w:tcW w:w="180" w:type="dxa"/>
            <w:vAlign w:val="bottom"/>
            <w:tcBorders>
              <w:bottom w:val="single" w:sz="8" w:color="auto"/>
            </w:tcBorders>
          </w:tcPr>
          <w:p>
            <w:pPr>
              <w:spacing w:after="0"/>
              <w:rPr>
                <w:sz w:val="21"/>
                <w:szCs w:val="21"/>
                <w:color w:val="auto"/>
              </w:rPr>
            </w:pP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620</w:t>
            </w:r>
          </w:p>
        </w:tc>
        <w:tc>
          <w:tcPr>
            <w:tcW w:w="40" w:type="dxa"/>
            <w:vAlign w:val="bottom"/>
            <w:tcBorders>
              <w:bottom w:val="single" w:sz="8" w:color="auto"/>
            </w:tcBorders>
          </w:tcPr>
          <w:p>
            <w:pPr>
              <w:spacing w:after="0"/>
              <w:rPr>
                <w:sz w:val="21"/>
                <w:szCs w:val="21"/>
                <w:color w:val="auto"/>
              </w:rPr>
            </w:pPr>
          </w:p>
        </w:tc>
        <w:tc>
          <w:tcPr>
            <w:tcW w:w="100" w:type="dxa"/>
            <w:vAlign w:val="bottom"/>
          </w:tcPr>
          <w:p>
            <w:pPr>
              <w:spacing w:after="0"/>
              <w:rPr>
                <w:sz w:val="21"/>
                <w:szCs w:val="21"/>
                <w:color w:val="auto"/>
              </w:rPr>
            </w:pPr>
          </w:p>
        </w:tc>
        <w:tc>
          <w:tcPr>
            <w:tcW w:w="2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00" w:type="dxa"/>
            <w:vAlign w:val="bottom"/>
            <w:tcBorders>
              <w:bottom w:val="single" w:sz="8" w:color="auto"/>
            </w:tcBorders>
          </w:tcPr>
          <w:p>
            <w:pPr>
              <w:spacing w:after="0"/>
              <w:rPr>
                <w:sz w:val="21"/>
                <w:szCs w:val="21"/>
                <w:color w:val="auto"/>
              </w:rPr>
            </w:pPr>
          </w:p>
        </w:tc>
        <w:tc>
          <w:tcPr>
            <w:tcW w:w="20" w:type="dxa"/>
            <w:vAlign w:val="bottom"/>
            <w:tcBorders>
              <w:bottom w:val="single" w:sz="8" w:color="auto"/>
            </w:tcBorders>
          </w:tcPr>
          <w:p>
            <w:pPr>
              <w:spacing w:after="0"/>
              <w:rPr>
                <w:sz w:val="21"/>
                <w:szCs w:val="21"/>
                <w:color w:val="auto"/>
              </w:rPr>
            </w:pPr>
          </w:p>
        </w:tc>
        <w:tc>
          <w:tcPr>
            <w:tcW w:w="180" w:type="dxa"/>
            <w:vAlign w:val="bottom"/>
            <w:tcBorders>
              <w:bottom w:val="single" w:sz="8" w:color="auto"/>
            </w:tcBorders>
          </w:tcPr>
          <w:p>
            <w:pPr>
              <w:spacing w:after="0"/>
              <w:rPr>
                <w:sz w:val="21"/>
                <w:szCs w:val="21"/>
                <w:color w:val="auto"/>
              </w:rPr>
            </w:pPr>
          </w:p>
        </w:tc>
        <w:tc>
          <w:tcPr>
            <w:tcW w:w="940" w:type="dxa"/>
            <w:vAlign w:val="bottom"/>
            <w:tcBorders>
              <w:bottom w:val="single" w:sz="8" w:color="auto"/>
            </w:tcBorders>
          </w:tcPr>
          <w:p>
            <w:pPr>
              <w:jc w:val="right"/>
              <w:ind w:right="13"/>
              <w:spacing w:after="0"/>
              <w:rPr>
                <w:sz w:val="20"/>
                <w:szCs w:val="20"/>
                <w:color w:val="auto"/>
              </w:rPr>
            </w:pPr>
            <w:r>
              <w:rPr>
                <w:rFonts w:ascii="Arial" w:cs="Arial" w:eastAsia="Arial" w:hAnsi="Arial"/>
                <w:sz w:val="18"/>
                <w:szCs w:val="18"/>
                <w:color w:val="auto"/>
              </w:rPr>
              <w:t>612</w:t>
            </w:r>
          </w:p>
        </w:tc>
        <w:tc>
          <w:tcPr>
            <w:tcW w:w="0" w:type="dxa"/>
            <w:vAlign w:val="bottom"/>
          </w:tcPr>
          <w:p>
            <w:pPr>
              <w:spacing w:after="0"/>
              <w:rPr>
                <w:sz w:val="1"/>
                <w:szCs w:val="1"/>
                <w:color w:val="auto"/>
              </w:rPr>
            </w:pPr>
          </w:p>
        </w:tc>
      </w:tr>
      <w:tr>
        <w:trPr>
          <w:trHeight w:val="20"/>
        </w:trPr>
        <w:tc>
          <w:tcPr>
            <w:tcW w:w="40" w:type="dxa"/>
            <w:vAlign w:val="bottom"/>
          </w:tcPr>
          <w:p>
            <w:pPr>
              <w:spacing w:after="0" w:line="20" w:lineRule="exact"/>
              <w:rPr>
                <w:sz w:val="1"/>
                <w:szCs w:val="1"/>
                <w:color w:val="auto"/>
              </w:rPr>
            </w:pPr>
          </w:p>
        </w:tc>
        <w:tc>
          <w:tcPr>
            <w:tcW w:w="1580" w:type="dxa"/>
            <w:vAlign w:val="bottom"/>
          </w:tcPr>
          <w:p>
            <w:pPr>
              <w:spacing w:after="0" w:line="20" w:lineRule="exact"/>
              <w:rPr>
                <w:sz w:val="1"/>
                <w:szCs w:val="1"/>
                <w:color w:val="auto"/>
              </w:rPr>
            </w:pPr>
          </w:p>
        </w:tc>
        <w:tc>
          <w:tcPr>
            <w:tcW w:w="22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gridSpan w:val="2"/>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22"/>
        </w:trPr>
        <w:tc>
          <w:tcPr>
            <w:tcW w:w="40" w:type="dxa"/>
            <w:vAlign w:val="bottom"/>
          </w:tcPr>
          <w:p>
            <w:pPr>
              <w:spacing w:after="0"/>
              <w:rPr>
                <w:sz w:val="10"/>
                <w:szCs w:val="10"/>
                <w:color w:val="auto"/>
              </w:rPr>
            </w:pPr>
          </w:p>
        </w:tc>
        <w:tc>
          <w:tcPr>
            <w:tcW w:w="1580" w:type="dxa"/>
            <w:vAlign w:val="bottom"/>
          </w:tcPr>
          <w:p>
            <w:pPr>
              <w:spacing w:after="0"/>
              <w:rPr>
                <w:sz w:val="10"/>
                <w:szCs w:val="10"/>
                <w:color w:val="auto"/>
              </w:rPr>
            </w:pPr>
          </w:p>
        </w:tc>
        <w:tc>
          <w:tcPr>
            <w:tcW w:w="222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86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860" w:type="dxa"/>
            <w:vAlign w:val="bottom"/>
            <w:gridSpan w:val="2"/>
          </w:tcPr>
          <w:p>
            <w:pPr>
              <w:spacing w:after="0"/>
              <w:rPr>
                <w:sz w:val="10"/>
                <w:szCs w:val="10"/>
                <w:color w:val="auto"/>
              </w:rPr>
            </w:pPr>
          </w:p>
        </w:tc>
        <w:tc>
          <w:tcPr>
            <w:tcW w:w="10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400" w:type="dxa"/>
            <w:vAlign w:val="bottom"/>
          </w:tcPr>
          <w:p>
            <w:pPr>
              <w:spacing w:after="0"/>
              <w:rPr>
                <w:sz w:val="10"/>
                <w:szCs w:val="10"/>
                <w:color w:val="auto"/>
              </w:rPr>
            </w:pPr>
          </w:p>
        </w:tc>
        <w:tc>
          <w:tcPr>
            <w:tcW w:w="700" w:type="dxa"/>
            <w:vAlign w:val="bottom"/>
            <w:gridSpan w:val="3"/>
          </w:tcPr>
          <w:p>
            <w:pPr>
              <w:spacing w:after="0"/>
              <w:rPr>
                <w:sz w:val="10"/>
                <w:szCs w:val="10"/>
                <w:color w:val="auto"/>
              </w:rPr>
            </w:pPr>
          </w:p>
        </w:tc>
        <w:tc>
          <w:tcPr>
            <w:tcW w:w="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360" w:type="dxa"/>
            <w:vAlign w:val="bottom"/>
            <w:gridSpan w:val="3"/>
          </w:tcPr>
          <w:p>
            <w:pPr>
              <w:spacing w:after="0"/>
              <w:rPr>
                <w:sz w:val="10"/>
                <w:szCs w:val="10"/>
                <w:color w:val="auto"/>
              </w:rPr>
            </w:pPr>
          </w:p>
        </w:tc>
        <w:tc>
          <w:tcPr>
            <w:tcW w:w="1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9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70"/>
        </w:trPr>
        <w:tc>
          <w:tcPr>
            <w:tcW w:w="3840" w:type="dxa"/>
            <w:vAlign w:val="bottom"/>
            <w:gridSpan w:val="3"/>
            <w:shd w:val="clear" w:color="auto" w:fill="CCEEFF"/>
          </w:tcPr>
          <w:p>
            <w:pPr>
              <w:ind w:left="40"/>
              <w:spacing w:after="0"/>
              <w:rPr>
                <w:sz w:val="20"/>
                <w:szCs w:val="20"/>
                <w:color w:val="auto"/>
              </w:rPr>
            </w:pPr>
            <w:r>
              <w:rPr>
                <w:rFonts w:ascii="Arial" w:cs="Arial" w:eastAsia="Arial" w:hAnsi="Arial"/>
                <w:sz w:val="18"/>
                <w:szCs w:val="18"/>
                <w:color w:val="auto"/>
              </w:rPr>
              <w:t>Net actuarial loss (gain)</w:t>
            </w:r>
          </w:p>
        </w:tc>
        <w:tc>
          <w:tcPr>
            <w:tcW w:w="260" w:type="dxa"/>
            <w:vAlign w:val="bottom"/>
            <w:shd w:val="clear" w:color="auto" w:fill="CCEEFF"/>
          </w:tcPr>
          <w:p>
            <w:pPr>
              <w:spacing w:after="0"/>
              <w:rPr>
                <w:sz w:val="23"/>
                <w:szCs w:val="23"/>
                <w:color w:val="auto"/>
              </w:rPr>
            </w:pPr>
          </w:p>
        </w:tc>
        <w:tc>
          <w:tcPr>
            <w:tcW w:w="860" w:type="dxa"/>
            <w:vAlign w:val="bottom"/>
            <w:shd w:val="clear" w:color="auto" w:fill="CCEEFF"/>
          </w:tcPr>
          <w:p>
            <w:pPr>
              <w:spacing w:after="0"/>
              <w:rPr>
                <w:sz w:val="23"/>
                <w:szCs w:val="23"/>
                <w:color w:val="auto"/>
              </w:rPr>
            </w:pPr>
          </w:p>
        </w:tc>
        <w:tc>
          <w:tcPr>
            <w:tcW w:w="40" w:type="dxa"/>
            <w:vAlign w:val="bottom"/>
            <w:shd w:val="clear" w:color="auto" w:fill="CCEEFF"/>
          </w:tcPr>
          <w:p>
            <w:pPr>
              <w:spacing w:after="0"/>
              <w:rPr>
                <w:sz w:val="23"/>
                <w:szCs w:val="23"/>
                <w:color w:val="auto"/>
              </w:rPr>
            </w:pPr>
          </w:p>
        </w:tc>
        <w:tc>
          <w:tcPr>
            <w:tcW w:w="3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120" w:type="dxa"/>
            <w:vAlign w:val="bottom"/>
            <w:gridSpan w:val="4"/>
            <w:shd w:val="clear" w:color="auto" w:fill="CCEEFF"/>
          </w:tcPr>
          <w:p>
            <w:pPr>
              <w:jc w:val="right"/>
              <w:ind w:right="100"/>
              <w:spacing w:after="0"/>
              <w:rPr>
                <w:sz w:val="20"/>
                <w:szCs w:val="20"/>
                <w:color w:val="auto"/>
              </w:rPr>
            </w:pPr>
            <w:r>
              <w:rPr>
                <w:rFonts w:ascii="Arial" w:cs="Arial" w:eastAsia="Arial" w:hAnsi="Arial"/>
                <w:sz w:val="18"/>
                <w:szCs w:val="18"/>
                <w:color w:val="auto"/>
              </w:rPr>
              <w:t>5,662</w:t>
            </w:r>
          </w:p>
        </w:tc>
        <w:tc>
          <w:tcPr>
            <w:tcW w:w="120" w:type="dxa"/>
            <w:vAlign w:val="bottom"/>
            <w:shd w:val="clear" w:color="auto" w:fill="CCEEFF"/>
          </w:tcPr>
          <w:p>
            <w:pPr>
              <w:spacing w:after="0"/>
              <w:rPr>
                <w:sz w:val="23"/>
                <w:szCs w:val="23"/>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740" w:type="dxa"/>
            <w:vAlign w:val="bottom"/>
            <w:shd w:val="clear" w:color="auto" w:fill="CCEEFF"/>
          </w:tcPr>
          <w:p>
            <w:pPr>
              <w:spacing w:after="0"/>
              <w:rPr>
                <w:sz w:val="23"/>
                <w:szCs w:val="23"/>
                <w:color w:val="auto"/>
              </w:rPr>
            </w:pPr>
          </w:p>
        </w:tc>
        <w:tc>
          <w:tcPr>
            <w:tcW w:w="20" w:type="dxa"/>
            <w:vAlign w:val="bottom"/>
            <w:shd w:val="clear" w:color="auto" w:fill="CCEEFF"/>
          </w:tcPr>
          <w:p>
            <w:pPr>
              <w:spacing w:after="0"/>
              <w:rPr>
                <w:sz w:val="23"/>
                <w:szCs w:val="23"/>
                <w:color w:val="auto"/>
              </w:rPr>
            </w:pPr>
          </w:p>
        </w:tc>
        <w:tc>
          <w:tcPr>
            <w:tcW w:w="4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97"/>
              </w:rPr>
              <w:t>5,341</w:t>
            </w:r>
          </w:p>
        </w:tc>
        <w:tc>
          <w:tcPr>
            <w:tcW w:w="700" w:type="dxa"/>
            <w:vAlign w:val="bottom"/>
            <w:gridSpan w:val="3"/>
            <w:shd w:val="clear" w:color="auto" w:fill="CCEEFF"/>
          </w:tcPr>
          <w:p>
            <w:pPr>
              <w:jc w:val="right"/>
              <w:ind w:right="294"/>
              <w:spacing w:after="0"/>
              <w:rPr>
                <w:sz w:val="20"/>
                <w:szCs w:val="20"/>
                <w:color w:val="auto"/>
              </w:rPr>
            </w:pPr>
            <w:r>
              <w:rPr>
                <w:rFonts w:ascii="Arial" w:cs="Arial" w:eastAsia="Arial" w:hAnsi="Arial"/>
                <w:sz w:val="18"/>
                <w:szCs w:val="18"/>
                <w:color w:val="auto"/>
              </w:rPr>
              <w:t>$</w:t>
            </w:r>
          </w:p>
        </w:tc>
        <w:tc>
          <w:tcPr>
            <w:tcW w:w="4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180" w:type="dxa"/>
            <w:vAlign w:val="bottom"/>
            <w:shd w:val="clear" w:color="auto" w:fill="CCEEFF"/>
          </w:tcPr>
          <w:p>
            <w:pPr>
              <w:spacing w:after="0"/>
              <w:rPr>
                <w:sz w:val="23"/>
                <w:szCs w:val="23"/>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(426)</w:t>
            </w:r>
          </w:p>
        </w:tc>
        <w:tc>
          <w:tcPr>
            <w:tcW w:w="36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23"/>
                <w:szCs w:val="23"/>
                <w:color w:val="auto"/>
              </w:rPr>
            </w:pPr>
          </w:p>
        </w:tc>
        <w:tc>
          <w:tcPr>
            <w:tcW w:w="20" w:type="dxa"/>
            <w:vAlign w:val="bottom"/>
            <w:shd w:val="clear" w:color="auto" w:fill="CCEEFF"/>
          </w:tcPr>
          <w:p>
            <w:pPr>
              <w:spacing w:after="0"/>
              <w:rPr>
                <w:sz w:val="23"/>
                <w:szCs w:val="23"/>
                <w:color w:val="auto"/>
              </w:rPr>
            </w:pPr>
          </w:p>
        </w:tc>
        <w:tc>
          <w:tcPr>
            <w:tcW w:w="180" w:type="dxa"/>
            <w:vAlign w:val="bottom"/>
            <w:shd w:val="clear" w:color="auto" w:fill="CCEEFF"/>
          </w:tcPr>
          <w:p>
            <w:pPr>
              <w:spacing w:after="0"/>
              <w:rPr>
                <w:sz w:val="23"/>
                <w:szCs w:val="23"/>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(452)</w:t>
            </w:r>
          </w:p>
        </w:tc>
        <w:tc>
          <w:tcPr>
            <w:tcW w:w="0" w:type="dxa"/>
            <w:vAlign w:val="bottom"/>
          </w:tcPr>
          <w:p>
            <w:pPr>
              <w:spacing w:after="0"/>
              <w:rPr>
                <w:sz w:val="1"/>
                <w:szCs w:val="1"/>
                <w:color w:val="auto"/>
              </w:rPr>
            </w:pPr>
          </w:p>
        </w:tc>
      </w:tr>
      <w:tr>
        <w:trPr>
          <w:trHeight w:val="264"/>
        </w:trPr>
        <w:tc>
          <w:tcPr>
            <w:tcW w:w="3840" w:type="dxa"/>
            <w:vAlign w:val="bottom"/>
            <w:tcBorders>
              <w:bottom w:val="single" w:sz="8" w:color="CCEEFF"/>
            </w:tcBorders>
            <w:gridSpan w:val="3"/>
          </w:tcPr>
          <w:p>
            <w:pPr>
              <w:ind w:left="40"/>
              <w:spacing w:after="0"/>
              <w:rPr>
                <w:sz w:val="20"/>
                <w:szCs w:val="20"/>
                <w:color w:val="auto"/>
              </w:rPr>
            </w:pPr>
            <w:r>
              <w:rPr>
                <w:rFonts w:ascii="Arial" w:cs="Arial" w:eastAsia="Arial" w:hAnsi="Arial"/>
                <w:sz w:val="18"/>
                <w:szCs w:val="18"/>
                <w:color w:val="auto"/>
              </w:rPr>
              <w:t>Prior service cost (benefit)</w:t>
            </w:r>
          </w:p>
        </w:tc>
        <w:tc>
          <w:tcPr>
            <w:tcW w:w="260" w:type="dxa"/>
            <w:vAlign w:val="bottom"/>
            <w:tcBorders>
              <w:bottom w:val="single" w:sz="8" w:color="CCEEFF"/>
            </w:tcBorders>
          </w:tcPr>
          <w:p>
            <w:pPr>
              <w:spacing w:after="0"/>
              <w:rPr>
                <w:sz w:val="22"/>
                <w:szCs w:val="22"/>
                <w:color w:val="auto"/>
              </w:rPr>
            </w:pPr>
          </w:p>
        </w:tc>
        <w:tc>
          <w:tcPr>
            <w:tcW w:w="860" w:type="dxa"/>
            <w:vAlign w:val="bottom"/>
            <w:tcBorders>
              <w:bottom w:val="single" w:sz="8" w:color="CCEEFF"/>
            </w:tcBorders>
          </w:tcPr>
          <w:p>
            <w:pPr>
              <w:spacing w:after="0"/>
              <w:rPr>
                <w:sz w:val="22"/>
                <w:szCs w:val="22"/>
                <w:color w:val="auto"/>
              </w:rPr>
            </w:pPr>
          </w:p>
        </w:tc>
        <w:tc>
          <w:tcPr>
            <w:tcW w:w="40" w:type="dxa"/>
            <w:vAlign w:val="bottom"/>
            <w:tcBorders>
              <w:bottom w:val="single" w:sz="8" w:color="CCEEFF"/>
            </w:tcBorders>
          </w:tcPr>
          <w:p>
            <w:pPr>
              <w:spacing w:after="0"/>
              <w:rPr>
                <w:sz w:val="22"/>
                <w:szCs w:val="22"/>
                <w:color w:val="auto"/>
              </w:rPr>
            </w:pPr>
          </w:p>
        </w:tc>
        <w:tc>
          <w:tcPr>
            <w:tcW w:w="80" w:type="dxa"/>
            <w:vAlign w:val="bottom"/>
            <w:tcBorders>
              <w:bottom w:val="single" w:sz="8" w:color="auto"/>
            </w:tcBorders>
          </w:tcPr>
          <w:p>
            <w:pPr>
              <w:spacing w:after="0"/>
              <w:rPr>
                <w:sz w:val="22"/>
                <w:szCs w:val="22"/>
                <w:color w:val="auto"/>
              </w:rPr>
            </w:pPr>
          </w:p>
        </w:tc>
        <w:tc>
          <w:tcPr>
            <w:tcW w:w="260" w:type="dxa"/>
            <w:vAlign w:val="bottom"/>
            <w:tcBorders>
              <w:bottom w:val="single" w:sz="8" w:color="auto"/>
            </w:tcBorders>
          </w:tcPr>
          <w:p>
            <w:pPr>
              <w:spacing w:after="0"/>
              <w:rPr>
                <w:sz w:val="22"/>
                <w:szCs w:val="22"/>
                <w:color w:val="auto"/>
              </w:rPr>
            </w:pPr>
          </w:p>
        </w:tc>
        <w:tc>
          <w:tcPr>
            <w:tcW w:w="1120" w:type="dxa"/>
            <w:vAlign w:val="bottom"/>
            <w:tcBorders>
              <w:bottom w:val="single" w:sz="8" w:color="auto"/>
            </w:tcBorders>
            <w:gridSpan w:val="4"/>
          </w:tcPr>
          <w:p>
            <w:pPr>
              <w:jc w:val="right"/>
              <w:ind w:right="100"/>
              <w:spacing w:after="0"/>
              <w:rPr>
                <w:sz w:val="20"/>
                <w:szCs w:val="20"/>
                <w:color w:val="auto"/>
              </w:rPr>
            </w:pPr>
            <w:r>
              <w:rPr>
                <w:rFonts w:ascii="Arial" w:cs="Arial" w:eastAsia="Arial" w:hAnsi="Arial"/>
                <w:sz w:val="18"/>
                <w:szCs w:val="18"/>
                <w:color w:val="auto"/>
              </w:rPr>
              <w:t>102</w:t>
            </w:r>
          </w:p>
        </w:tc>
        <w:tc>
          <w:tcPr>
            <w:tcW w:w="120" w:type="dxa"/>
            <w:vAlign w:val="bottom"/>
            <w:tcBorders>
              <w:bottom w:val="single" w:sz="8" w:color="CCEEFF"/>
            </w:tcBorders>
          </w:tcPr>
          <w:p>
            <w:pPr>
              <w:spacing w:after="0"/>
              <w:rPr>
                <w:sz w:val="22"/>
                <w:szCs w:val="22"/>
                <w:color w:val="auto"/>
              </w:rPr>
            </w:pPr>
          </w:p>
        </w:tc>
        <w:tc>
          <w:tcPr>
            <w:tcW w:w="120" w:type="dxa"/>
            <w:vAlign w:val="bottom"/>
            <w:tcBorders>
              <w:bottom w:val="single" w:sz="8" w:color="auto"/>
            </w:tcBorders>
          </w:tcPr>
          <w:p>
            <w:pPr>
              <w:spacing w:after="0"/>
              <w:rPr>
                <w:sz w:val="22"/>
                <w:szCs w:val="22"/>
                <w:color w:val="auto"/>
              </w:rPr>
            </w:pPr>
          </w:p>
        </w:tc>
        <w:tc>
          <w:tcPr>
            <w:tcW w:w="740" w:type="dxa"/>
            <w:vAlign w:val="bottom"/>
            <w:tcBorders>
              <w:bottom w:val="single" w:sz="8" w:color="auto"/>
            </w:tcBorders>
          </w:tcPr>
          <w:p>
            <w:pPr>
              <w:spacing w:after="0"/>
              <w:rPr>
                <w:sz w:val="22"/>
                <w:szCs w:val="22"/>
                <w:color w:val="auto"/>
              </w:rPr>
            </w:pPr>
          </w:p>
        </w:tc>
        <w:tc>
          <w:tcPr>
            <w:tcW w:w="20" w:type="dxa"/>
            <w:vAlign w:val="bottom"/>
            <w:tcBorders>
              <w:bottom w:val="single" w:sz="8" w:color="auto"/>
            </w:tcBorders>
          </w:tcPr>
          <w:p>
            <w:pPr>
              <w:spacing w:after="0"/>
              <w:rPr>
                <w:sz w:val="22"/>
                <w:szCs w:val="22"/>
                <w:color w:val="auto"/>
              </w:rPr>
            </w:pPr>
          </w:p>
        </w:tc>
        <w:tc>
          <w:tcPr>
            <w:tcW w:w="480" w:type="dxa"/>
            <w:vAlign w:val="bottom"/>
            <w:tcBorders>
              <w:bottom w:val="single" w:sz="8" w:color="auto"/>
            </w:tcBorders>
            <w:gridSpan w:val="2"/>
          </w:tcPr>
          <w:p>
            <w:pPr>
              <w:jc w:val="right"/>
              <w:spacing w:after="0"/>
              <w:rPr>
                <w:sz w:val="20"/>
                <w:szCs w:val="20"/>
                <w:color w:val="auto"/>
              </w:rPr>
            </w:pPr>
            <w:r>
              <w:rPr>
                <w:rFonts w:ascii="Arial" w:cs="Arial" w:eastAsia="Arial" w:hAnsi="Arial"/>
                <w:sz w:val="18"/>
                <w:szCs w:val="18"/>
                <w:color w:val="auto"/>
              </w:rPr>
              <w:t>131</w:t>
            </w:r>
          </w:p>
        </w:tc>
        <w:tc>
          <w:tcPr>
            <w:tcW w:w="100" w:type="dxa"/>
            <w:vAlign w:val="bottom"/>
            <w:tcBorders>
              <w:bottom w:val="single" w:sz="8" w:color="auto"/>
            </w:tcBorders>
          </w:tcPr>
          <w:p>
            <w:pPr>
              <w:spacing w:after="0"/>
              <w:rPr>
                <w:sz w:val="22"/>
                <w:szCs w:val="22"/>
                <w:color w:val="auto"/>
              </w:rPr>
            </w:pPr>
          </w:p>
        </w:tc>
        <w:tc>
          <w:tcPr>
            <w:tcW w:w="100" w:type="dxa"/>
            <w:vAlign w:val="bottom"/>
            <w:tcBorders>
              <w:bottom w:val="single" w:sz="8" w:color="CCEEFF"/>
            </w:tcBorders>
          </w:tcPr>
          <w:p>
            <w:pPr>
              <w:spacing w:after="0"/>
              <w:rPr>
                <w:sz w:val="22"/>
                <w:szCs w:val="22"/>
                <w:color w:val="auto"/>
              </w:rPr>
            </w:pPr>
          </w:p>
        </w:tc>
        <w:tc>
          <w:tcPr>
            <w:tcW w:w="500" w:type="dxa"/>
            <w:vAlign w:val="bottom"/>
            <w:tcBorders>
              <w:bottom w:val="single" w:sz="8" w:color="auto"/>
            </w:tcBorders>
          </w:tcPr>
          <w:p>
            <w:pPr>
              <w:spacing w:after="0"/>
              <w:rPr>
                <w:sz w:val="22"/>
                <w:szCs w:val="22"/>
                <w:color w:val="auto"/>
              </w:rPr>
            </w:pPr>
          </w:p>
        </w:tc>
        <w:tc>
          <w:tcPr>
            <w:tcW w:w="40" w:type="dxa"/>
            <w:vAlign w:val="bottom"/>
            <w:tcBorders>
              <w:bottom w:val="single" w:sz="8" w:color="auto"/>
            </w:tcBorders>
          </w:tcPr>
          <w:p>
            <w:pPr>
              <w:spacing w:after="0"/>
              <w:rPr>
                <w:sz w:val="22"/>
                <w:szCs w:val="22"/>
                <w:color w:val="auto"/>
              </w:rPr>
            </w:pPr>
          </w:p>
        </w:tc>
        <w:tc>
          <w:tcPr>
            <w:tcW w:w="100" w:type="dxa"/>
            <w:vAlign w:val="bottom"/>
            <w:tcBorders>
              <w:bottom w:val="single" w:sz="8" w:color="auto"/>
            </w:tcBorders>
          </w:tcPr>
          <w:p>
            <w:pPr>
              <w:spacing w:after="0"/>
              <w:rPr>
                <w:sz w:val="22"/>
                <w:szCs w:val="22"/>
                <w:color w:val="auto"/>
              </w:rPr>
            </w:pPr>
          </w:p>
        </w:tc>
        <w:tc>
          <w:tcPr>
            <w:tcW w:w="180" w:type="dxa"/>
            <w:vAlign w:val="bottom"/>
            <w:tcBorders>
              <w:bottom w:val="single" w:sz="8" w:color="auto"/>
            </w:tcBorders>
          </w:tcPr>
          <w:p>
            <w:pPr>
              <w:spacing w:after="0"/>
              <w:rPr>
                <w:sz w:val="22"/>
                <w:szCs w:val="22"/>
                <w:color w:val="auto"/>
              </w:rPr>
            </w:pP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(120)</w:t>
            </w:r>
          </w:p>
        </w:tc>
        <w:tc>
          <w:tcPr>
            <w:tcW w:w="40" w:type="dxa"/>
            <w:vAlign w:val="bottom"/>
            <w:tcBorders>
              <w:bottom w:val="single" w:sz="8" w:color="auto"/>
            </w:tcBorders>
          </w:tcPr>
          <w:p>
            <w:pPr>
              <w:spacing w:after="0"/>
              <w:rPr>
                <w:sz w:val="22"/>
                <w:szCs w:val="22"/>
                <w:color w:val="auto"/>
              </w:rPr>
            </w:pPr>
          </w:p>
        </w:tc>
        <w:tc>
          <w:tcPr>
            <w:tcW w:w="100" w:type="dxa"/>
            <w:vAlign w:val="bottom"/>
            <w:tcBorders>
              <w:bottom w:val="single" w:sz="8" w:color="CCEEFF"/>
            </w:tcBorders>
          </w:tcPr>
          <w:p>
            <w:pPr>
              <w:spacing w:after="0"/>
              <w:rPr>
                <w:sz w:val="22"/>
                <w:szCs w:val="22"/>
                <w:color w:val="auto"/>
              </w:rPr>
            </w:pPr>
          </w:p>
        </w:tc>
        <w:tc>
          <w:tcPr>
            <w:tcW w:w="220" w:type="dxa"/>
            <w:vAlign w:val="bottom"/>
            <w:tcBorders>
              <w:bottom w:val="single" w:sz="8" w:color="auto"/>
            </w:tcBorders>
          </w:tcPr>
          <w:p>
            <w:pPr>
              <w:spacing w:after="0"/>
              <w:rPr>
                <w:sz w:val="22"/>
                <w:szCs w:val="22"/>
                <w:color w:val="auto"/>
              </w:rPr>
            </w:pPr>
          </w:p>
        </w:tc>
        <w:tc>
          <w:tcPr>
            <w:tcW w:w="100" w:type="dxa"/>
            <w:vAlign w:val="bottom"/>
            <w:tcBorders>
              <w:bottom w:val="single" w:sz="8" w:color="auto"/>
            </w:tcBorders>
          </w:tcPr>
          <w:p>
            <w:pPr>
              <w:spacing w:after="0"/>
              <w:rPr>
                <w:sz w:val="22"/>
                <w:szCs w:val="22"/>
                <w:color w:val="auto"/>
              </w:rPr>
            </w:pPr>
          </w:p>
        </w:tc>
        <w:tc>
          <w:tcPr>
            <w:tcW w:w="20" w:type="dxa"/>
            <w:vAlign w:val="bottom"/>
            <w:tcBorders>
              <w:bottom w:val="single" w:sz="8" w:color="auto"/>
            </w:tcBorders>
          </w:tcPr>
          <w:p>
            <w:pPr>
              <w:spacing w:after="0"/>
              <w:rPr>
                <w:sz w:val="22"/>
                <w:szCs w:val="22"/>
                <w:color w:val="auto"/>
              </w:rPr>
            </w:pPr>
          </w:p>
        </w:tc>
        <w:tc>
          <w:tcPr>
            <w:tcW w:w="180" w:type="dxa"/>
            <w:vAlign w:val="bottom"/>
            <w:tcBorders>
              <w:bottom w:val="single" w:sz="8" w:color="auto"/>
            </w:tcBorders>
          </w:tcPr>
          <w:p>
            <w:pPr>
              <w:spacing w:after="0"/>
              <w:rPr>
                <w:sz w:val="22"/>
                <w:szCs w:val="22"/>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(362)</w:t>
            </w:r>
          </w:p>
        </w:tc>
        <w:tc>
          <w:tcPr>
            <w:tcW w:w="0" w:type="dxa"/>
            <w:vAlign w:val="bottom"/>
          </w:tcPr>
          <w:p>
            <w:pPr>
              <w:spacing w:after="0"/>
              <w:rPr>
                <w:sz w:val="1"/>
                <w:szCs w:val="1"/>
                <w:color w:val="auto"/>
              </w:rPr>
            </w:pPr>
          </w:p>
        </w:tc>
      </w:tr>
      <w:tr>
        <w:trPr>
          <w:trHeight w:val="215"/>
        </w:trPr>
        <w:tc>
          <w:tcPr>
            <w:tcW w:w="5000" w:type="dxa"/>
            <w:vAlign w:val="bottom"/>
            <w:gridSpan w:val="6"/>
            <w:shd w:val="clear" w:color="auto" w:fill="CCEEFF"/>
          </w:tcPr>
          <w:p>
            <w:pPr>
              <w:ind w:left="40"/>
              <w:spacing w:after="0"/>
              <w:rPr>
                <w:sz w:val="20"/>
                <w:szCs w:val="20"/>
                <w:color w:val="auto"/>
              </w:rPr>
            </w:pPr>
            <w:r>
              <w:rPr>
                <w:rFonts w:ascii="Arial" w:cs="Arial" w:eastAsia="Arial" w:hAnsi="Arial"/>
                <w:sz w:val="18"/>
                <w:szCs w:val="18"/>
                <w:color w:val="auto"/>
              </w:rPr>
              <w:t>Total accumulated other comprehensive loss (income), pre-</w:t>
            </w:r>
          </w:p>
        </w:tc>
        <w:tc>
          <w:tcPr>
            <w:tcW w:w="340" w:type="dxa"/>
            <w:vAlign w:val="bottom"/>
            <w:gridSpan w:val="2"/>
            <w:vMerge w:val="restart"/>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120" w:type="dxa"/>
            <w:vAlign w:val="bottom"/>
            <w:gridSpan w:val="4"/>
            <w:vMerge w:val="restart"/>
            <w:shd w:val="clear" w:color="auto" w:fill="CCEEFF"/>
          </w:tcPr>
          <w:p>
            <w:pPr>
              <w:jc w:val="right"/>
              <w:ind w:right="100"/>
              <w:spacing w:after="0"/>
              <w:rPr>
                <w:sz w:val="20"/>
                <w:szCs w:val="20"/>
                <w:color w:val="auto"/>
              </w:rPr>
            </w:pPr>
            <w:r>
              <w:rPr>
                <w:rFonts w:ascii="Arial" w:cs="Arial" w:eastAsia="Arial" w:hAnsi="Arial"/>
                <w:sz w:val="18"/>
                <w:szCs w:val="18"/>
                <w:color w:val="auto"/>
              </w:rPr>
              <w:t>5,764</w:t>
            </w:r>
          </w:p>
        </w:tc>
        <w:tc>
          <w:tcPr>
            <w:tcW w:w="120" w:type="dxa"/>
            <w:vAlign w:val="bottom"/>
            <w:shd w:val="clear" w:color="auto" w:fill="CCEEFF"/>
          </w:tcPr>
          <w:p>
            <w:pPr>
              <w:spacing w:after="0"/>
              <w:rPr>
                <w:sz w:val="18"/>
                <w:szCs w:val="18"/>
                <w:color w:val="auto"/>
              </w:rPr>
            </w:pPr>
          </w:p>
        </w:tc>
        <w:tc>
          <w:tcPr>
            <w:tcW w:w="12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7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480" w:type="dxa"/>
            <w:vAlign w:val="bottom"/>
            <w:gridSpan w:val="2"/>
            <w:vMerge w:val="restart"/>
            <w:shd w:val="clear" w:color="auto" w:fill="CCEEFF"/>
          </w:tcPr>
          <w:p>
            <w:pPr>
              <w:jc w:val="right"/>
              <w:spacing w:after="0"/>
              <w:rPr>
                <w:sz w:val="20"/>
                <w:szCs w:val="20"/>
                <w:color w:val="auto"/>
              </w:rPr>
            </w:pPr>
            <w:r>
              <w:rPr>
                <w:rFonts w:ascii="Arial" w:cs="Arial" w:eastAsia="Arial" w:hAnsi="Arial"/>
                <w:sz w:val="18"/>
                <w:szCs w:val="18"/>
                <w:color w:val="auto"/>
                <w:w w:val="97"/>
              </w:rPr>
              <w:t>5,472</w:t>
            </w:r>
          </w:p>
        </w:tc>
        <w:tc>
          <w:tcPr>
            <w:tcW w:w="100" w:type="dxa"/>
            <w:vAlign w:val="bottom"/>
            <w:vMerge w:val="restart"/>
            <w:shd w:val="clear" w:color="auto" w:fill="CCEEFF"/>
          </w:tcPr>
          <w:p>
            <w:pPr>
              <w:spacing w:after="0"/>
              <w:rPr>
                <w:sz w:val="18"/>
                <w:szCs w:val="18"/>
                <w:color w:val="auto"/>
              </w:rPr>
            </w:pPr>
          </w:p>
        </w:tc>
        <w:tc>
          <w:tcPr>
            <w:tcW w:w="100" w:type="dxa"/>
            <w:vAlign w:val="bottom"/>
            <w:vMerge w:val="restart"/>
            <w:shd w:val="clear" w:color="auto" w:fill="CCEEFF"/>
          </w:tcPr>
          <w:p>
            <w:pPr>
              <w:spacing w:after="0"/>
              <w:rPr>
                <w:sz w:val="18"/>
                <w:szCs w:val="18"/>
                <w:color w:val="auto"/>
              </w:rPr>
            </w:pPr>
          </w:p>
        </w:tc>
        <w:tc>
          <w:tcPr>
            <w:tcW w:w="500" w:type="dxa"/>
            <w:vAlign w:val="bottom"/>
            <w:vMerge w:val="restart"/>
            <w:shd w:val="clear" w:color="auto" w:fill="CCEEFF"/>
          </w:tcPr>
          <w:p>
            <w:pPr>
              <w:jc w:val="right"/>
              <w:ind w:right="294"/>
              <w:spacing w:after="0"/>
              <w:rPr>
                <w:sz w:val="20"/>
                <w:szCs w:val="20"/>
                <w:color w:val="auto"/>
              </w:rPr>
            </w:pPr>
            <w:r>
              <w:rPr>
                <w:rFonts w:ascii="Arial" w:cs="Arial" w:eastAsia="Arial" w:hAnsi="Arial"/>
                <w:sz w:val="18"/>
                <w:szCs w:val="18"/>
                <w:color w:val="auto"/>
                <w:w w:val="99"/>
              </w:rPr>
              <w:t>$</w:t>
            </w:r>
          </w:p>
        </w:tc>
        <w:tc>
          <w:tcPr>
            <w:tcW w:w="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0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(546)</w:t>
            </w:r>
          </w:p>
        </w:tc>
        <w:tc>
          <w:tcPr>
            <w:tcW w:w="40" w:type="dxa"/>
            <w:vAlign w:val="bottom"/>
            <w:vMerge w:val="restart"/>
            <w:shd w:val="clear" w:color="auto" w:fill="CCEEFF"/>
          </w:tcPr>
          <w:p>
            <w:pPr>
              <w:spacing w:after="0"/>
              <w:rPr>
                <w:sz w:val="18"/>
                <w:szCs w:val="18"/>
                <w:color w:val="auto"/>
              </w:rPr>
            </w:pPr>
          </w:p>
        </w:tc>
        <w:tc>
          <w:tcPr>
            <w:tcW w:w="100" w:type="dxa"/>
            <w:vAlign w:val="bottom"/>
            <w:vMerge w:val="restart"/>
            <w:shd w:val="clear" w:color="auto" w:fill="CCEEFF"/>
          </w:tcPr>
          <w:p>
            <w:pPr>
              <w:spacing w:after="0"/>
              <w:rPr>
                <w:sz w:val="18"/>
                <w:szCs w:val="18"/>
                <w:color w:val="auto"/>
              </w:rPr>
            </w:pPr>
          </w:p>
        </w:tc>
        <w:tc>
          <w:tcPr>
            <w:tcW w:w="22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4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(814)</w:t>
            </w:r>
          </w:p>
        </w:tc>
        <w:tc>
          <w:tcPr>
            <w:tcW w:w="0" w:type="dxa"/>
            <w:vAlign w:val="bottom"/>
          </w:tcPr>
          <w:p>
            <w:pPr>
              <w:spacing w:after="0"/>
              <w:rPr>
                <w:sz w:val="1"/>
                <w:szCs w:val="1"/>
                <w:color w:val="auto"/>
              </w:rPr>
            </w:pPr>
          </w:p>
        </w:tc>
      </w:tr>
      <w:tr>
        <w:trPr>
          <w:trHeight w:val="217"/>
        </w:trPr>
        <w:tc>
          <w:tcPr>
            <w:tcW w:w="40" w:type="dxa"/>
            <w:vAlign w:val="bottom"/>
            <w:tcBorders>
              <w:bottom w:val="single" w:sz="8" w:color="CCEEFF"/>
            </w:tcBorders>
            <w:shd w:val="clear" w:color="auto" w:fill="CCEEFF"/>
          </w:tcPr>
          <w:p>
            <w:pPr>
              <w:spacing w:after="0"/>
              <w:rPr>
                <w:sz w:val="18"/>
                <w:szCs w:val="18"/>
                <w:color w:val="auto"/>
              </w:rPr>
            </w:pPr>
          </w:p>
        </w:tc>
        <w:tc>
          <w:tcPr>
            <w:tcW w:w="3800" w:type="dxa"/>
            <w:vAlign w:val="bottom"/>
            <w:tcBorders>
              <w:bottom w:val="single" w:sz="8" w:color="CCEEFF"/>
            </w:tcBorders>
            <w:gridSpan w:val="2"/>
            <w:shd w:val="clear" w:color="auto" w:fill="CCEEFF"/>
          </w:tcPr>
          <w:p>
            <w:pPr>
              <w:ind w:left="160"/>
              <w:spacing w:after="0"/>
              <w:rPr>
                <w:sz w:val="20"/>
                <w:szCs w:val="20"/>
                <w:color w:val="auto"/>
              </w:rPr>
            </w:pPr>
            <w:r>
              <w:rPr>
                <w:rFonts w:ascii="Arial" w:cs="Arial" w:eastAsia="Arial" w:hAnsi="Arial"/>
                <w:sz w:val="18"/>
                <w:szCs w:val="18"/>
                <w:color w:val="auto"/>
              </w:rPr>
              <w:t>tax</w:t>
            </w:r>
          </w:p>
        </w:tc>
        <w:tc>
          <w:tcPr>
            <w:tcW w:w="260" w:type="dxa"/>
            <w:vAlign w:val="bottom"/>
            <w:tcBorders>
              <w:bottom w:val="single" w:sz="8" w:color="CCEEFF"/>
            </w:tcBorders>
            <w:shd w:val="clear" w:color="auto" w:fill="CCEEFF"/>
          </w:tcPr>
          <w:p>
            <w:pPr>
              <w:spacing w:after="0"/>
              <w:rPr>
                <w:sz w:val="18"/>
                <w:szCs w:val="18"/>
                <w:color w:val="auto"/>
              </w:rPr>
            </w:pPr>
          </w:p>
        </w:tc>
        <w:tc>
          <w:tcPr>
            <w:tcW w:w="860" w:type="dxa"/>
            <w:vAlign w:val="bottom"/>
            <w:tcBorders>
              <w:bottom w:val="single" w:sz="8" w:color="CCEEFF"/>
            </w:tcBorders>
            <w:shd w:val="clear" w:color="auto" w:fill="CCEEFF"/>
          </w:tcPr>
          <w:p>
            <w:pPr>
              <w:spacing w:after="0"/>
              <w:rPr>
                <w:sz w:val="18"/>
                <w:szCs w:val="18"/>
                <w:color w:val="auto"/>
              </w:rPr>
            </w:pPr>
          </w:p>
        </w:tc>
        <w:tc>
          <w:tcPr>
            <w:tcW w:w="40" w:type="dxa"/>
            <w:vAlign w:val="bottom"/>
            <w:tcBorders>
              <w:bottom w:val="single" w:sz="8" w:color="CCEEFF"/>
            </w:tcBorders>
            <w:shd w:val="clear" w:color="auto" w:fill="CCEEFF"/>
          </w:tcPr>
          <w:p>
            <w:pPr>
              <w:spacing w:after="0"/>
              <w:rPr>
                <w:sz w:val="18"/>
                <w:szCs w:val="18"/>
                <w:color w:val="auto"/>
              </w:rPr>
            </w:pPr>
          </w:p>
        </w:tc>
        <w:tc>
          <w:tcPr>
            <w:tcW w:w="340" w:type="dxa"/>
            <w:vAlign w:val="bottom"/>
            <w:tcBorders>
              <w:bottom w:val="single" w:sz="8" w:color="auto"/>
            </w:tcBorders>
            <w:gridSpan w:val="2"/>
            <w:vMerge w:val="continue"/>
            <w:shd w:val="clear" w:color="auto" w:fill="CCEEFF"/>
          </w:tcPr>
          <w:p>
            <w:pPr>
              <w:spacing w:after="0"/>
              <w:rPr>
                <w:sz w:val="18"/>
                <w:szCs w:val="18"/>
                <w:color w:val="auto"/>
              </w:rPr>
            </w:pPr>
          </w:p>
        </w:tc>
        <w:tc>
          <w:tcPr>
            <w:tcW w:w="1120" w:type="dxa"/>
            <w:vAlign w:val="bottom"/>
            <w:tcBorders>
              <w:bottom w:val="single" w:sz="8" w:color="auto"/>
            </w:tcBorders>
            <w:gridSpan w:val="4"/>
            <w:vMerge w:val="continue"/>
            <w:shd w:val="clear" w:color="auto" w:fill="CCEEFF"/>
          </w:tcPr>
          <w:p>
            <w:pPr>
              <w:spacing w:after="0"/>
              <w:rPr>
                <w:sz w:val="18"/>
                <w:szCs w:val="18"/>
                <w:color w:val="auto"/>
              </w:rPr>
            </w:pPr>
          </w:p>
        </w:tc>
        <w:tc>
          <w:tcPr>
            <w:tcW w:w="12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auto"/>
            </w:tcBorders>
            <w:vMerge w:val="continue"/>
            <w:shd w:val="clear" w:color="auto" w:fill="CCEEFF"/>
          </w:tcPr>
          <w:p>
            <w:pPr>
              <w:spacing w:after="0"/>
              <w:rPr>
                <w:sz w:val="18"/>
                <w:szCs w:val="18"/>
                <w:color w:val="auto"/>
              </w:rPr>
            </w:pPr>
          </w:p>
        </w:tc>
        <w:tc>
          <w:tcPr>
            <w:tcW w:w="740" w:type="dxa"/>
            <w:vAlign w:val="bottom"/>
            <w:tcBorders>
              <w:bottom w:val="single" w:sz="8" w:color="auto"/>
            </w:tcBorders>
            <w:shd w:val="clear" w:color="auto" w:fill="CCEEFF"/>
          </w:tcPr>
          <w:p>
            <w:pPr>
              <w:spacing w:after="0"/>
              <w:rPr>
                <w:sz w:val="18"/>
                <w:szCs w:val="18"/>
                <w:color w:val="auto"/>
              </w:rPr>
            </w:pPr>
          </w:p>
        </w:tc>
        <w:tc>
          <w:tcPr>
            <w:tcW w:w="20" w:type="dxa"/>
            <w:vAlign w:val="bottom"/>
            <w:tcBorders>
              <w:bottom w:val="single" w:sz="8" w:color="auto"/>
            </w:tcBorders>
            <w:shd w:val="clear" w:color="auto" w:fill="CCEEFF"/>
          </w:tcPr>
          <w:p>
            <w:pPr>
              <w:spacing w:after="0"/>
              <w:rPr>
                <w:sz w:val="18"/>
                <w:szCs w:val="18"/>
                <w:color w:val="auto"/>
              </w:rPr>
            </w:pPr>
          </w:p>
        </w:tc>
        <w:tc>
          <w:tcPr>
            <w:tcW w:w="480" w:type="dxa"/>
            <w:vAlign w:val="bottom"/>
            <w:tcBorders>
              <w:bottom w:val="single" w:sz="8" w:color="auto"/>
            </w:tcBorders>
            <w:gridSpan w:val="2"/>
            <w:vMerge w:val="continue"/>
            <w:shd w:val="clear" w:color="auto" w:fill="CCEEFF"/>
          </w:tcPr>
          <w:p>
            <w:pPr>
              <w:spacing w:after="0"/>
              <w:rPr>
                <w:sz w:val="18"/>
                <w:szCs w:val="18"/>
                <w:color w:val="auto"/>
              </w:rPr>
            </w:pPr>
          </w:p>
        </w:tc>
        <w:tc>
          <w:tcPr>
            <w:tcW w:w="100" w:type="dxa"/>
            <w:vAlign w:val="bottom"/>
            <w:tcBorders>
              <w:bottom w:val="single" w:sz="8" w:color="auto"/>
            </w:tcBorders>
            <w:vMerge w:val="continue"/>
            <w:shd w:val="clear" w:color="auto" w:fill="CCEEFF"/>
          </w:tcPr>
          <w:p>
            <w:pPr>
              <w:spacing w:after="0"/>
              <w:rPr>
                <w:sz w:val="18"/>
                <w:szCs w:val="18"/>
                <w:color w:val="auto"/>
              </w:rPr>
            </w:pPr>
          </w:p>
        </w:tc>
        <w:tc>
          <w:tcPr>
            <w:tcW w:w="100" w:type="dxa"/>
            <w:vAlign w:val="bottom"/>
            <w:tcBorders>
              <w:bottom w:val="single" w:sz="8" w:color="CCEEFF"/>
            </w:tcBorders>
            <w:vMerge w:val="continue"/>
            <w:shd w:val="clear" w:color="auto" w:fill="CCEEFF"/>
          </w:tcPr>
          <w:p>
            <w:pPr>
              <w:spacing w:after="0"/>
              <w:rPr>
                <w:sz w:val="18"/>
                <w:szCs w:val="18"/>
                <w:color w:val="auto"/>
              </w:rPr>
            </w:pPr>
          </w:p>
        </w:tc>
        <w:tc>
          <w:tcPr>
            <w:tcW w:w="500" w:type="dxa"/>
            <w:vAlign w:val="bottom"/>
            <w:tcBorders>
              <w:bottom w:val="single" w:sz="8" w:color="auto"/>
            </w:tcBorders>
            <w:vMerge w:val="continue"/>
            <w:shd w:val="clear" w:color="auto" w:fill="CCEEFF"/>
          </w:tcPr>
          <w:p>
            <w:pPr>
              <w:spacing w:after="0"/>
              <w:rPr>
                <w:sz w:val="18"/>
                <w:szCs w:val="18"/>
                <w:color w:val="auto"/>
              </w:rPr>
            </w:pPr>
          </w:p>
        </w:tc>
        <w:tc>
          <w:tcPr>
            <w:tcW w:w="40" w:type="dxa"/>
            <w:vAlign w:val="bottom"/>
            <w:tcBorders>
              <w:bottom w:val="single" w:sz="8" w:color="auto"/>
            </w:tcBorders>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spacing w:after="0"/>
              <w:rPr>
                <w:sz w:val="18"/>
                <w:szCs w:val="18"/>
                <w:color w:val="auto"/>
              </w:rPr>
            </w:pPr>
          </w:p>
        </w:tc>
        <w:tc>
          <w:tcPr>
            <w:tcW w:w="600" w:type="dxa"/>
            <w:vAlign w:val="bottom"/>
            <w:tcBorders>
              <w:bottom w:val="single" w:sz="8" w:color="auto"/>
            </w:tcBorders>
            <w:vMerge w:val="continue"/>
            <w:shd w:val="clear" w:color="auto" w:fill="CCEEFF"/>
          </w:tcPr>
          <w:p>
            <w:pPr>
              <w:spacing w:after="0"/>
              <w:rPr>
                <w:sz w:val="18"/>
                <w:szCs w:val="18"/>
                <w:color w:val="auto"/>
              </w:rPr>
            </w:pPr>
          </w:p>
        </w:tc>
        <w:tc>
          <w:tcPr>
            <w:tcW w:w="40" w:type="dxa"/>
            <w:vAlign w:val="bottom"/>
            <w:tcBorders>
              <w:bottom w:val="single" w:sz="8" w:color="auto"/>
            </w:tcBorders>
            <w:vMerge w:val="continue"/>
            <w:shd w:val="clear" w:color="auto" w:fill="CCEEFF"/>
          </w:tcPr>
          <w:p>
            <w:pPr>
              <w:spacing w:after="0"/>
              <w:rPr>
                <w:sz w:val="18"/>
                <w:szCs w:val="18"/>
                <w:color w:val="auto"/>
              </w:rPr>
            </w:pPr>
          </w:p>
        </w:tc>
        <w:tc>
          <w:tcPr>
            <w:tcW w:w="100" w:type="dxa"/>
            <w:vAlign w:val="bottom"/>
            <w:tcBorders>
              <w:bottom w:val="single" w:sz="8" w:color="CCEEFF"/>
            </w:tcBorders>
            <w:vMerge w:val="continue"/>
            <w:shd w:val="clear" w:color="auto" w:fill="CCEEFF"/>
          </w:tcPr>
          <w:p>
            <w:pPr>
              <w:spacing w:after="0"/>
              <w:rPr>
                <w:sz w:val="18"/>
                <w:szCs w:val="18"/>
                <w:color w:val="auto"/>
              </w:rPr>
            </w:pPr>
          </w:p>
        </w:tc>
        <w:tc>
          <w:tcPr>
            <w:tcW w:w="220" w:type="dxa"/>
            <w:vAlign w:val="bottom"/>
            <w:tcBorders>
              <w:bottom w:val="single" w:sz="8" w:color="auto"/>
            </w:tcBorders>
            <w:vMerge w:val="continue"/>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20" w:type="dxa"/>
            <w:vAlign w:val="bottom"/>
            <w:tcBorders>
              <w:bottom w:val="single" w:sz="8" w:color="auto"/>
            </w:tcBorders>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spacing w:after="0"/>
              <w:rPr>
                <w:sz w:val="18"/>
                <w:szCs w:val="18"/>
                <w:color w:val="auto"/>
              </w:rPr>
            </w:pPr>
          </w:p>
        </w:tc>
        <w:tc>
          <w:tcPr>
            <w:tcW w:w="940" w:type="dxa"/>
            <w:vAlign w:val="bottom"/>
            <w:tcBorders>
              <w:bottom w:val="single" w:sz="8" w:color="auto"/>
            </w:tcBorders>
            <w:vMerge w:val="continue"/>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40" w:type="dxa"/>
            <w:vAlign w:val="bottom"/>
          </w:tcPr>
          <w:p>
            <w:pPr>
              <w:spacing w:after="0" w:line="20" w:lineRule="exact"/>
              <w:rPr>
                <w:sz w:val="1"/>
                <w:szCs w:val="1"/>
                <w:color w:val="auto"/>
              </w:rPr>
            </w:pPr>
          </w:p>
        </w:tc>
        <w:tc>
          <w:tcPr>
            <w:tcW w:w="1580" w:type="dxa"/>
            <w:vAlign w:val="bottom"/>
          </w:tcPr>
          <w:p>
            <w:pPr>
              <w:spacing w:after="0" w:line="20" w:lineRule="exact"/>
              <w:rPr>
                <w:sz w:val="1"/>
                <w:szCs w:val="1"/>
                <w:color w:val="auto"/>
              </w:rPr>
            </w:pPr>
          </w:p>
        </w:tc>
        <w:tc>
          <w:tcPr>
            <w:tcW w:w="3340" w:type="dxa"/>
            <w:vAlign w:val="bottom"/>
            <w:gridSpan w:val="3"/>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gridSpan w:val="3"/>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60" w:type="dxa"/>
            <w:vAlign w:val="bottom"/>
            <w:tcBorders>
              <w:bottom w:val="single" w:sz="8" w:color="auto"/>
            </w:tcBorders>
            <w:gridSpan w:val="2"/>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818"/>
        </w:trPr>
        <w:tc>
          <w:tcPr>
            <w:tcW w:w="40" w:type="dxa"/>
            <w:vAlign w:val="bottom"/>
          </w:tcPr>
          <w:p>
            <w:pPr>
              <w:spacing w:after="0"/>
              <w:rPr>
                <w:sz w:val="24"/>
                <w:szCs w:val="24"/>
                <w:color w:val="auto"/>
              </w:rPr>
            </w:pPr>
          </w:p>
        </w:tc>
        <w:tc>
          <w:tcPr>
            <w:tcW w:w="7420" w:type="dxa"/>
            <w:vAlign w:val="bottom"/>
            <w:gridSpan w:val="15"/>
          </w:tcPr>
          <w:p>
            <w:pPr>
              <w:ind w:left="180"/>
              <w:spacing w:after="0"/>
              <w:rPr>
                <w:sz w:val="20"/>
                <w:szCs w:val="20"/>
                <w:color w:val="auto"/>
              </w:rPr>
            </w:pPr>
            <w:r>
              <w:rPr>
                <w:rFonts w:ascii="Arial" w:cs="Arial" w:eastAsia="Arial" w:hAnsi="Arial"/>
                <w:sz w:val="18"/>
                <w:szCs w:val="18"/>
                <w:b w:val="1"/>
                <w:bCs w:val="1"/>
                <w:i w:val="1"/>
                <w:iCs w:val="1"/>
                <w:color w:val="auto"/>
              </w:rPr>
              <w:t>Plans with Accumulated Benefit Obligations Exceeding Fair Value of Plan Assets</w:t>
            </w:r>
          </w:p>
        </w:tc>
        <w:tc>
          <w:tcPr>
            <w:tcW w:w="8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11"/>
        </w:trPr>
        <w:tc>
          <w:tcPr>
            <w:tcW w:w="4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22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200" w:type="dxa"/>
            <w:vAlign w:val="bottom"/>
            <w:gridSpan w:val="8"/>
          </w:tcPr>
          <w:p>
            <w:pPr>
              <w:jc w:val="center"/>
              <w:ind w:right="713"/>
              <w:spacing w:after="0"/>
              <w:rPr>
                <w:sz w:val="20"/>
                <w:szCs w:val="20"/>
                <w:color w:val="auto"/>
              </w:rPr>
            </w:pPr>
            <w:r>
              <w:rPr>
                <w:rFonts w:ascii="Arial" w:cs="Arial" w:eastAsia="Arial" w:hAnsi="Arial"/>
                <w:sz w:val="14"/>
                <w:szCs w:val="14"/>
                <w:b w:val="1"/>
                <w:bCs w:val="1"/>
                <w:color w:val="auto"/>
              </w:rPr>
              <w:t>Retiree Medical and</w:t>
            </w:r>
          </w:p>
        </w:tc>
        <w:tc>
          <w:tcPr>
            <w:tcW w:w="0" w:type="dxa"/>
            <w:vAlign w:val="bottom"/>
          </w:tcPr>
          <w:p>
            <w:pPr>
              <w:spacing w:after="0"/>
              <w:rPr>
                <w:sz w:val="1"/>
                <w:szCs w:val="1"/>
                <w:color w:val="auto"/>
              </w:rPr>
            </w:pPr>
          </w:p>
        </w:tc>
      </w:tr>
      <w:tr>
        <w:trPr>
          <w:trHeight w:val="196"/>
        </w:trPr>
        <w:tc>
          <w:tcPr>
            <w:tcW w:w="40" w:type="dxa"/>
            <w:vAlign w:val="bottom"/>
          </w:tcPr>
          <w:p>
            <w:pPr>
              <w:spacing w:after="0"/>
              <w:rPr>
                <w:sz w:val="17"/>
                <w:szCs w:val="17"/>
                <w:color w:val="auto"/>
              </w:rPr>
            </w:pPr>
          </w:p>
        </w:tc>
        <w:tc>
          <w:tcPr>
            <w:tcW w:w="1580" w:type="dxa"/>
            <w:vAlign w:val="bottom"/>
          </w:tcPr>
          <w:p>
            <w:pPr>
              <w:spacing w:after="0"/>
              <w:rPr>
                <w:sz w:val="17"/>
                <w:szCs w:val="17"/>
                <w:color w:val="auto"/>
              </w:rPr>
            </w:pPr>
          </w:p>
        </w:tc>
        <w:tc>
          <w:tcPr>
            <w:tcW w:w="22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80" w:type="dxa"/>
            <w:vAlign w:val="bottom"/>
            <w:tcBorders>
              <w:bottom w:val="single" w:sz="8" w:color="auto"/>
            </w:tcBorders>
          </w:tcPr>
          <w:p>
            <w:pPr>
              <w:spacing w:after="0"/>
              <w:rPr>
                <w:sz w:val="17"/>
                <w:szCs w:val="17"/>
                <w:color w:val="auto"/>
              </w:rPr>
            </w:pPr>
          </w:p>
        </w:tc>
        <w:tc>
          <w:tcPr>
            <w:tcW w:w="260" w:type="dxa"/>
            <w:vAlign w:val="bottom"/>
            <w:tcBorders>
              <w:bottom w:val="single" w:sz="8" w:color="auto"/>
            </w:tcBorders>
          </w:tcPr>
          <w:p>
            <w:pPr>
              <w:spacing w:after="0"/>
              <w:rPr>
                <w:sz w:val="17"/>
                <w:szCs w:val="17"/>
                <w:color w:val="auto"/>
              </w:rPr>
            </w:pPr>
          </w:p>
        </w:tc>
        <w:tc>
          <w:tcPr>
            <w:tcW w:w="2120" w:type="dxa"/>
            <w:vAlign w:val="bottom"/>
            <w:tcBorders>
              <w:bottom w:val="single" w:sz="8" w:color="auto"/>
            </w:tcBorders>
            <w:gridSpan w:val="8"/>
          </w:tcPr>
          <w:p>
            <w:pPr>
              <w:jc w:val="right"/>
              <w:ind w:right="340"/>
              <w:spacing w:after="0"/>
              <w:rPr>
                <w:sz w:val="20"/>
                <w:szCs w:val="20"/>
                <w:color w:val="auto"/>
              </w:rPr>
            </w:pPr>
            <w:r>
              <w:rPr>
                <w:rFonts w:ascii="Arial" w:cs="Arial" w:eastAsia="Arial" w:hAnsi="Arial"/>
                <w:sz w:val="14"/>
                <w:szCs w:val="14"/>
                <w:b w:val="1"/>
                <w:bCs w:val="1"/>
                <w:color w:val="auto"/>
              </w:rPr>
              <w:t>Pension Benefits</w:t>
            </w:r>
          </w:p>
        </w:tc>
        <w:tc>
          <w:tcPr>
            <w:tcW w:w="80" w:type="dxa"/>
            <w:vAlign w:val="bottom"/>
            <w:tcBorders>
              <w:bottom w:val="single" w:sz="8" w:color="auto"/>
            </w:tcBorders>
          </w:tcPr>
          <w:p>
            <w:pPr>
              <w:spacing w:after="0"/>
              <w:rPr>
                <w:sz w:val="17"/>
                <w:szCs w:val="17"/>
                <w:color w:val="auto"/>
              </w:rPr>
            </w:pPr>
          </w:p>
        </w:tc>
        <w:tc>
          <w:tcPr>
            <w:tcW w:w="400" w:type="dxa"/>
            <w:vAlign w:val="bottom"/>
            <w:tcBorders>
              <w:bottom w:val="single" w:sz="8" w:color="auto"/>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500" w:type="dxa"/>
            <w:vAlign w:val="bottom"/>
            <w:tcBorders>
              <w:bottom w:val="single" w:sz="8" w:color="auto"/>
            </w:tcBorders>
          </w:tcPr>
          <w:p>
            <w:pPr>
              <w:spacing w:after="0"/>
              <w:rPr>
                <w:sz w:val="17"/>
                <w:szCs w:val="17"/>
                <w:color w:val="auto"/>
              </w:rPr>
            </w:pPr>
          </w:p>
        </w:tc>
        <w:tc>
          <w:tcPr>
            <w:tcW w:w="2520" w:type="dxa"/>
            <w:vAlign w:val="bottom"/>
            <w:tcBorders>
              <w:bottom w:val="single" w:sz="8" w:color="auto"/>
            </w:tcBorders>
            <w:gridSpan w:val="11"/>
          </w:tcPr>
          <w:p>
            <w:pPr>
              <w:jc w:val="center"/>
              <w:ind w:right="393"/>
              <w:spacing w:after="0"/>
              <w:rPr>
                <w:sz w:val="20"/>
                <w:szCs w:val="20"/>
                <w:color w:val="auto"/>
              </w:rPr>
            </w:pPr>
            <w:r>
              <w:rPr>
                <w:rFonts w:ascii="Arial" w:cs="Arial" w:eastAsia="Arial" w:hAnsi="Arial"/>
                <w:sz w:val="14"/>
                <w:szCs w:val="14"/>
                <w:b w:val="1"/>
                <w:bCs w:val="1"/>
                <w:color w:val="auto"/>
              </w:rPr>
              <w:t>Other Postretirement Benefits</w:t>
            </w:r>
          </w:p>
        </w:tc>
        <w:tc>
          <w:tcPr>
            <w:tcW w:w="0" w:type="dxa"/>
            <w:vAlign w:val="bottom"/>
          </w:tcPr>
          <w:p>
            <w:pPr>
              <w:spacing w:after="0"/>
              <w:rPr>
                <w:sz w:val="1"/>
                <w:szCs w:val="1"/>
                <w:color w:val="auto"/>
              </w:rPr>
            </w:pPr>
          </w:p>
        </w:tc>
      </w:tr>
      <w:tr>
        <w:trPr>
          <w:trHeight w:val="264"/>
        </w:trPr>
        <w:tc>
          <w:tcPr>
            <w:tcW w:w="40" w:type="dxa"/>
            <w:vAlign w:val="bottom"/>
          </w:tcPr>
          <w:p>
            <w:pPr>
              <w:spacing w:after="0"/>
              <w:rPr>
                <w:sz w:val="22"/>
                <w:szCs w:val="22"/>
                <w:color w:val="auto"/>
              </w:rPr>
            </w:pPr>
          </w:p>
        </w:tc>
        <w:tc>
          <w:tcPr>
            <w:tcW w:w="1580" w:type="dxa"/>
            <w:vAlign w:val="bottom"/>
          </w:tcPr>
          <w:p>
            <w:pPr>
              <w:spacing w:after="0"/>
              <w:rPr>
                <w:sz w:val="22"/>
                <w:szCs w:val="22"/>
                <w:color w:val="auto"/>
              </w:rPr>
            </w:pPr>
          </w:p>
        </w:tc>
        <w:tc>
          <w:tcPr>
            <w:tcW w:w="222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86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80" w:type="dxa"/>
            <w:vAlign w:val="bottom"/>
            <w:tcBorders>
              <w:bottom w:val="single" w:sz="8" w:color="auto"/>
            </w:tcBorders>
          </w:tcPr>
          <w:p>
            <w:pPr>
              <w:spacing w:after="0"/>
              <w:rPr>
                <w:sz w:val="22"/>
                <w:szCs w:val="22"/>
                <w:color w:val="auto"/>
              </w:rPr>
            </w:pPr>
          </w:p>
        </w:tc>
        <w:tc>
          <w:tcPr>
            <w:tcW w:w="260" w:type="dxa"/>
            <w:vAlign w:val="bottom"/>
            <w:tcBorders>
              <w:bottom w:val="single" w:sz="8" w:color="auto"/>
            </w:tcBorders>
          </w:tcPr>
          <w:p>
            <w:pPr>
              <w:spacing w:after="0"/>
              <w:rPr>
                <w:sz w:val="22"/>
                <w:szCs w:val="22"/>
                <w:color w:val="auto"/>
              </w:rPr>
            </w:pPr>
          </w:p>
        </w:tc>
        <w:tc>
          <w:tcPr>
            <w:tcW w:w="820" w:type="dxa"/>
            <w:vAlign w:val="bottom"/>
            <w:tcBorders>
              <w:bottom w:val="single" w:sz="8" w:color="auto"/>
            </w:tcBorders>
          </w:tcPr>
          <w:p>
            <w:pPr>
              <w:jc w:val="right"/>
              <w:ind w:right="174"/>
              <w:spacing w:after="0"/>
              <w:rPr>
                <w:sz w:val="20"/>
                <w:szCs w:val="20"/>
                <w:color w:val="auto"/>
              </w:rPr>
            </w:pPr>
            <w:r>
              <w:rPr>
                <w:rFonts w:ascii="Arial" w:cs="Arial" w:eastAsia="Arial" w:hAnsi="Arial"/>
                <w:sz w:val="14"/>
                <w:szCs w:val="14"/>
                <w:b w:val="1"/>
                <w:bCs w:val="1"/>
                <w:color w:val="auto"/>
              </w:rPr>
              <w:t>2019</w:t>
            </w:r>
          </w:p>
        </w:tc>
        <w:tc>
          <w:tcPr>
            <w:tcW w:w="40" w:type="dxa"/>
            <w:vAlign w:val="bottom"/>
            <w:tcBorders>
              <w:bottom w:val="single" w:sz="8" w:color="auto"/>
            </w:tcBorders>
          </w:tcPr>
          <w:p>
            <w:pPr>
              <w:spacing w:after="0"/>
              <w:rPr>
                <w:sz w:val="22"/>
                <w:szCs w:val="22"/>
                <w:color w:val="auto"/>
              </w:rPr>
            </w:pPr>
          </w:p>
        </w:tc>
        <w:tc>
          <w:tcPr>
            <w:tcW w:w="100" w:type="dxa"/>
            <w:vAlign w:val="bottom"/>
            <w:tcBorders>
              <w:bottom w:val="single" w:sz="8" w:color="auto"/>
            </w:tcBorders>
          </w:tcPr>
          <w:p>
            <w:pPr>
              <w:spacing w:after="0"/>
              <w:rPr>
                <w:sz w:val="22"/>
                <w:szCs w:val="22"/>
                <w:color w:val="auto"/>
              </w:rPr>
            </w:pPr>
          </w:p>
        </w:tc>
        <w:tc>
          <w:tcPr>
            <w:tcW w:w="160" w:type="dxa"/>
            <w:vAlign w:val="bottom"/>
            <w:tcBorders>
              <w:bottom w:val="single" w:sz="8" w:color="auto"/>
            </w:tcBorders>
          </w:tcPr>
          <w:p>
            <w:pPr>
              <w:spacing w:after="0"/>
              <w:rPr>
                <w:sz w:val="22"/>
                <w:szCs w:val="22"/>
                <w:color w:val="auto"/>
              </w:rPr>
            </w:pPr>
          </w:p>
        </w:tc>
        <w:tc>
          <w:tcPr>
            <w:tcW w:w="120" w:type="dxa"/>
            <w:vAlign w:val="bottom"/>
          </w:tcPr>
          <w:p>
            <w:pPr>
              <w:spacing w:after="0"/>
              <w:rPr>
                <w:sz w:val="22"/>
                <w:szCs w:val="22"/>
                <w:color w:val="auto"/>
              </w:rPr>
            </w:pPr>
          </w:p>
        </w:tc>
        <w:tc>
          <w:tcPr>
            <w:tcW w:w="120" w:type="dxa"/>
            <w:vAlign w:val="bottom"/>
            <w:tcBorders>
              <w:bottom w:val="single" w:sz="8" w:color="auto"/>
            </w:tcBorders>
          </w:tcPr>
          <w:p>
            <w:pPr>
              <w:spacing w:after="0"/>
              <w:rPr>
                <w:sz w:val="22"/>
                <w:szCs w:val="22"/>
                <w:color w:val="auto"/>
              </w:rPr>
            </w:pPr>
          </w:p>
        </w:tc>
        <w:tc>
          <w:tcPr>
            <w:tcW w:w="760" w:type="dxa"/>
            <w:vAlign w:val="bottom"/>
            <w:tcBorders>
              <w:bottom w:val="single" w:sz="8" w:color="auto"/>
            </w:tcBorders>
            <w:gridSpan w:val="2"/>
          </w:tcPr>
          <w:p>
            <w:pPr>
              <w:jc w:val="right"/>
              <w:spacing w:after="0"/>
              <w:rPr>
                <w:sz w:val="20"/>
                <w:szCs w:val="20"/>
                <w:color w:val="auto"/>
              </w:rPr>
            </w:pPr>
            <w:r>
              <w:rPr>
                <w:rFonts w:ascii="Arial" w:cs="Arial" w:eastAsia="Arial" w:hAnsi="Arial"/>
                <w:sz w:val="14"/>
                <w:szCs w:val="14"/>
                <w:b w:val="1"/>
                <w:bCs w:val="1"/>
                <w:color w:val="auto"/>
              </w:rPr>
              <w:t>2018</w:t>
            </w:r>
          </w:p>
        </w:tc>
        <w:tc>
          <w:tcPr>
            <w:tcW w:w="80" w:type="dxa"/>
            <w:vAlign w:val="bottom"/>
            <w:tcBorders>
              <w:bottom w:val="single" w:sz="8" w:color="auto"/>
            </w:tcBorders>
          </w:tcPr>
          <w:p>
            <w:pPr>
              <w:spacing w:after="0"/>
              <w:rPr>
                <w:sz w:val="22"/>
                <w:szCs w:val="22"/>
                <w:color w:val="auto"/>
              </w:rPr>
            </w:pPr>
          </w:p>
        </w:tc>
        <w:tc>
          <w:tcPr>
            <w:tcW w:w="400" w:type="dxa"/>
            <w:vAlign w:val="bottom"/>
            <w:tcBorders>
              <w:bottom w:val="single" w:sz="8" w:color="auto"/>
            </w:tcBorders>
          </w:tcPr>
          <w:p>
            <w:pPr>
              <w:spacing w:after="0"/>
              <w:rPr>
                <w:sz w:val="22"/>
                <w:szCs w:val="22"/>
                <w:color w:val="auto"/>
              </w:rPr>
            </w:pPr>
          </w:p>
        </w:tc>
        <w:tc>
          <w:tcPr>
            <w:tcW w:w="100" w:type="dxa"/>
            <w:vAlign w:val="bottom"/>
            <w:tcBorders>
              <w:bottom w:val="single" w:sz="8" w:color="auto"/>
            </w:tcBorders>
          </w:tcPr>
          <w:p>
            <w:pPr>
              <w:spacing w:after="0"/>
              <w:rPr>
                <w:sz w:val="22"/>
                <w:szCs w:val="22"/>
                <w:color w:val="auto"/>
              </w:rPr>
            </w:pPr>
          </w:p>
        </w:tc>
        <w:tc>
          <w:tcPr>
            <w:tcW w:w="100" w:type="dxa"/>
            <w:vAlign w:val="bottom"/>
          </w:tcPr>
          <w:p>
            <w:pPr>
              <w:spacing w:after="0"/>
              <w:rPr>
                <w:sz w:val="22"/>
                <w:szCs w:val="22"/>
                <w:color w:val="auto"/>
              </w:rPr>
            </w:pPr>
          </w:p>
        </w:tc>
        <w:tc>
          <w:tcPr>
            <w:tcW w:w="500" w:type="dxa"/>
            <w:vAlign w:val="bottom"/>
            <w:tcBorders>
              <w:bottom w:val="single" w:sz="8" w:color="auto"/>
            </w:tcBorders>
          </w:tcPr>
          <w:p>
            <w:pPr>
              <w:spacing w:after="0"/>
              <w:rPr>
                <w:sz w:val="22"/>
                <w:szCs w:val="22"/>
                <w:color w:val="auto"/>
              </w:rPr>
            </w:pPr>
          </w:p>
        </w:tc>
        <w:tc>
          <w:tcPr>
            <w:tcW w:w="920" w:type="dxa"/>
            <w:vAlign w:val="bottom"/>
            <w:tcBorders>
              <w:bottom w:val="single" w:sz="8" w:color="auto"/>
            </w:tcBorders>
            <w:gridSpan w:val="4"/>
          </w:tcPr>
          <w:p>
            <w:pPr>
              <w:jc w:val="center"/>
              <w:ind w:right="393"/>
              <w:spacing w:after="0"/>
              <w:rPr>
                <w:sz w:val="20"/>
                <w:szCs w:val="20"/>
                <w:color w:val="auto"/>
              </w:rPr>
            </w:pPr>
            <w:r>
              <w:rPr>
                <w:rFonts w:ascii="Arial" w:cs="Arial" w:eastAsia="Arial" w:hAnsi="Arial"/>
                <w:sz w:val="14"/>
                <w:szCs w:val="14"/>
                <w:b w:val="1"/>
                <w:bCs w:val="1"/>
                <w:color w:val="auto"/>
              </w:rPr>
              <w:t>2019</w:t>
            </w:r>
          </w:p>
        </w:tc>
        <w:tc>
          <w:tcPr>
            <w:tcW w:w="40" w:type="dxa"/>
            <w:vAlign w:val="bottom"/>
            <w:tcBorders>
              <w:bottom w:val="single" w:sz="8" w:color="auto"/>
            </w:tcBorders>
          </w:tcPr>
          <w:p>
            <w:pPr>
              <w:spacing w:after="0"/>
              <w:rPr>
                <w:sz w:val="22"/>
                <w:szCs w:val="22"/>
                <w:color w:val="auto"/>
              </w:rPr>
            </w:pPr>
          </w:p>
        </w:tc>
        <w:tc>
          <w:tcPr>
            <w:tcW w:w="100" w:type="dxa"/>
            <w:vAlign w:val="bottom"/>
          </w:tcPr>
          <w:p>
            <w:pPr>
              <w:spacing w:after="0"/>
              <w:rPr>
                <w:sz w:val="22"/>
                <w:szCs w:val="22"/>
                <w:color w:val="auto"/>
              </w:rPr>
            </w:pPr>
          </w:p>
        </w:tc>
        <w:tc>
          <w:tcPr>
            <w:tcW w:w="220" w:type="dxa"/>
            <w:vAlign w:val="bottom"/>
            <w:tcBorders>
              <w:bottom w:val="single" w:sz="8" w:color="auto"/>
            </w:tcBorders>
          </w:tcPr>
          <w:p>
            <w:pPr>
              <w:spacing w:after="0"/>
              <w:rPr>
                <w:sz w:val="22"/>
                <w:szCs w:val="22"/>
                <w:color w:val="auto"/>
              </w:rPr>
            </w:pPr>
          </w:p>
        </w:tc>
        <w:tc>
          <w:tcPr>
            <w:tcW w:w="100" w:type="dxa"/>
            <w:vAlign w:val="bottom"/>
            <w:tcBorders>
              <w:bottom w:val="single" w:sz="8" w:color="auto"/>
            </w:tcBorders>
          </w:tcPr>
          <w:p>
            <w:pPr>
              <w:spacing w:after="0"/>
              <w:rPr>
                <w:sz w:val="22"/>
                <w:szCs w:val="22"/>
                <w:color w:val="auto"/>
              </w:rPr>
            </w:pPr>
          </w:p>
        </w:tc>
        <w:tc>
          <w:tcPr>
            <w:tcW w:w="20" w:type="dxa"/>
            <w:vAlign w:val="bottom"/>
            <w:tcBorders>
              <w:bottom w:val="single" w:sz="8" w:color="auto"/>
            </w:tcBorders>
          </w:tcPr>
          <w:p>
            <w:pPr>
              <w:spacing w:after="0"/>
              <w:rPr>
                <w:sz w:val="22"/>
                <w:szCs w:val="22"/>
                <w:color w:val="auto"/>
              </w:rPr>
            </w:pPr>
          </w:p>
        </w:tc>
        <w:tc>
          <w:tcPr>
            <w:tcW w:w="180" w:type="dxa"/>
            <w:vAlign w:val="bottom"/>
            <w:tcBorders>
              <w:bottom w:val="single" w:sz="8" w:color="auto"/>
            </w:tcBorders>
          </w:tcPr>
          <w:p>
            <w:pPr>
              <w:spacing w:after="0"/>
              <w:rPr>
                <w:sz w:val="22"/>
                <w:szCs w:val="22"/>
                <w:color w:val="auto"/>
              </w:rPr>
            </w:pPr>
          </w:p>
        </w:tc>
        <w:tc>
          <w:tcPr>
            <w:tcW w:w="940" w:type="dxa"/>
            <w:vAlign w:val="bottom"/>
            <w:tcBorders>
              <w:bottom w:val="single" w:sz="8" w:color="auto"/>
            </w:tcBorders>
          </w:tcPr>
          <w:p>
            <w:pPr>
              <w:jc w:val="right"/>
              <w:ind w:right="473"/>
              <w:spacing w:after="0"/>
              <w:rPr>
                <w:sz w:val="20"/>
                <w:szCs w:val="20"/>
                <w:color w:val="auto"/>
              </w:rPr>
            </w:pPr>
            <w:r>
              <w:rPr>
                <w:rFonts w:ascii="Arial" w:cs="Arial" w:eastAsia="Arial" w:hAnsi="Arial"/>
                <w:sz w:val="14"/>
                <w:szCs w:val="14"/>
                <w:b w:val="1"/>
                <w:bCs w:val="1"/>
                <w:color w:val="auto"/>
              </w:rPr>
              <w:t>2018</w:t>
            </w:r>
          </w:p>
        </w:tc>
        <w:tc>
          <w:tcPr>
            <w:tcW w:w="0" w:type="dxa"/>
            <w:vAlign w:val="bottom"/>
          </w:tcPr>
          <w:p>
            <w:pPr>
              <w:spacing w:after="0"/>
              <w:rPr>
                <w:sz w:val="1"/>
                <w:szCs w:val="1"/>
                <w:color w:val="auto"/>
              </w:rPr>
            </w:pPr>
          </w:p>
        </w:tc>
      </w:tr>
      <w:tr>
        <w:trPr>
          <w:trHeight w:val="331"/>
        </w:trPr>
        <w:tc>
          <w:tcPr>
            <w:tcW w:w="4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22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100" w:type="dxa"/>
            <w:vAlign w:val="bottom"/>
            <w:gridSpan w:val="4"/>
          </w:tcPr>
          <w:p>
            <w:pPr>
              <w:jc w:val="right"/>
              <w:ind w:right="54"/>
              <w:spacing w:after="0"/>
              <w:rPr>
                <w:sz w:val="20"/>
                <w:szCs w:val="20"/>
                <w:color w:val="auto"/>
              </w:rPr>
            </w:pPr>
            <w:r>
              <w:rPr>
                <w:rFonts w:ascii="Arial" w:cs="Arial" w:eastAsia="Arial" w:hAnsi="Arial"/>
                <w:sz w:val="14"/>
                <w:szCs w:val="14"/>
                <w:b w:val="1"/>
                <w:bCs w:val="1"/>
                <w:color w:val="auto"/>
              </w:rPr>
              <w:t>(In millions)</w:t>
            </w:r>
          </w:p>
        </w:tc>
        <w:tc>
          <w:tcPr>
            <w:tcW w:w="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6"/>
        </w:trPr>
        <w:tc>
          <w:tcPr>
            <w:tcW w:w="3840" w:type="dxa"/>
            <w:vAlign w:val="bottom"/>
            <w:gridSpan w:val="3"/>
            <w:shd w:val="clear" w:color="auto" w:fill="CCEEFF"/>
          </w:tcPr>
          <w:p>
            <w:pPr>
              <w:ind w:left="40"/>
              <w:spacing w:after="0"/>
              <w:rPr>
                <w:sz w:val="20"/>
                <w:szCs w:val="20"/>
                <w:color w:val="auto"/>
              </w:rPr>
            </w:pPr>
            <w:r>
              <w:rPr>
                <w:rFonts w:ascii="Arial" w:cs="Arial" w:eastAsia="Arial" w:hAnsi="Arial"/>
                <w:sz w:val="18"/>
                <w:szCs w:val="18"/>
                <w:color w:val="auto"/>
              </w:rPr>
              <w:t>Projected benefit obligation</w:t>
            </w:r>
          </w:p>
        </w:tc>
        <w:tc>
          <w:tcPr>
            <w:tcW w:w="260" w:type="dxa"/>
            <w:vAlign w:val="bottom"/>
            <w:shd w:val="clear" w:color="auto" w:fill="CCEEFF"/>
          </w:tcPr>
          <w:p>
            <w:pPr>
              <w:spacing w:after="0"/>
              <w:rPr>
                <w:sz w:val="24"/>
                <w:szCs w:val="24"/>
                <w:color w:val="auto"/>
              </w:rPr>
            </w:pPr>
          </w:p>
        </w:tc>
        <w:tc>
          <w:tcPr>
            <w:tcW w:w="860" w:type="dxa"/>
            <w:vAlign w:val="bottom"/>
            <w:shd w:val="clear" w:color="auto" w:fill="CCEEFF"/>
          </w:tcPr>
          <w:p>
            <w:pPr>
              <w:spacing w:after="0"/>
              <w:rPr>
                <w:sz w:val="24"/>
                <w:szCs w:val="24"/>
                <w:color w:val="auto"/>
              </w:rPr>
            </w:pPr>
          </w:p>
        </w:tc>
        <w:tc>
          <w:tcPr>
            <w:tcW w:w="40" w:type="dxa"/>
            <w:vAlign w:val="bottom"/>
            <w:shd w:val="clear" w:color="auto" w:fill="CCEEFF"/>
          </w:tcPr>
          <w:p>
            <w:pPr>
              <w:spacing w:after="0"/>
              <w:rPr>
                <w:sz w:val="24"/>
                <w:szCs w:val="24"/>
                <w:color w:val="auto"/>
              </w:rPr>
            </w:pPr>
          </w:p>
        </w:tc>
        <w:tc>
          <w:tcPr>
            <w:tcW w:w="3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120" w:type="dxa"/>
            <w:vAlign w:val="bottom"/>
            <w:gridSpan w:val="4"/>
            <w:shd w:val="clear" w:color="auto" w:fill="CCEEFF"/>
          </w:tcPr>
          <w:p>
            <w:pPr>
              <w:jc w:val="right"/>
              <w:ind w:right="100"/>
              <w:spacing w:after="0"/>
              <w:rPr>
                <w:sz w:val="20"/>
                <w:szCs w:val="20"/>
                <w:color w:val="auto"/>
              </w:rPr>
            </w:pPr>
            <w:r>
              <w:rPr>
                <w:rFonts w:ascii="Arial" w:cs="Arial" w:eastAsia="Arial" w:hAnsi="Arial"/>
                <w:sz w:val="18"/>
                <w:szCs w:val="18"/>
                <w:color w:val="auto"/>
              </w:rPr>
              <w:t>18,215</w:t>
            </w:r>
          </w:p>
        </w:tc>
        <w:tc>
          <w:tcPr>
            <w:tcW w:w="120" w:type="dxa"/>
            <w:vAlign w:val="bottom"/>
            <w:shd w:val="clear" w:color="auto" w:fill="CCEEFF"/>
          </w:tcPr>
          <w:p>
            <w:pPr>
              <w:spacing w:after="0"/>
              <w:rPr>
                <w:sz w:val="24"/>
                <w:szCs w:val="24"/>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40" w:type="dxa"/>
            <w:vAlign w:val="bottom"/>
            <w:gridSpan w:val="4"/>
            <w:shd w:val="clear" w:color="auto" w:fill="CCEEFF"/>
          </w:tcPr>
          <w:p>
            <w:pPr>
              <w:jc w:val="right"/>
              <w:spacing w:after="0"/>
              <w:rPr>
                <w:sz w:val="20"/>
                <w:szCs w:val="20"/>
                <w:color w:val="auto"/>
              </w:rPr>
            </w:pPr>
            <w:r>
              <w:rPr>
                <w:rFonts w:ascii="Arial" w:cs="Arial" w:eastAsia="Arial" w:hAnsi="Arial"/>
                <w:sz w:val="18"/>
                <w:szCs w:val="18"/>
                <w:color w:val="auto"/>
              </w:rPr>
              <w:t>16,254</w:t>
            </w:r>
          </w:p>
        </w:tc>
        <w:tc>
          <w:tcPr>
            <w:tcW w:w="700" w:type="dxa"/>
            <w:vAlign w:val="bottom"/>
            <w:gridSpan w:val="3"/>
            <w:shd w:val="clear" w:color="auto" w:fill="CCEEFF"/>
          </w:tcPr>
          <w:p>
            <w:pPr>
              <w:jc w:val="right"/>
              <w:ind w:right="294"/>
              <w:spacing w:after="0"/>
              <w:rPr>
                <w:sz w:val="20"/>
                <w:szCs w:val="20"/>
                <w:color w:val="auto"/>
              </w:rPr>
            </w:pPr>
            <w:r>
              <w:rPr>
                <w:rFonts w:ascii="Arial" w:cs="Arial" w:eastAsia="Arial" w:hAnsi="Arial"/>
                <w:sz w:val="18"/>
                <w:szCs w:val="18"/>
                <w:color w:val="auto"/>
              </w:rPr>
              <w:t>$</w:t>
            </w:r>
          </w:p>
        </w:tc>
        <w:tc>
          <w:tcPr>
            <w:tcW w:w="4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36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24"/>
                <w:szCs w:val="24"/>
                <w:color w:val="auto"/>
              </w:rPr>
            </w:pPr>
          </w:p>
        </w:tc>
        <w:tc>
          <w:tcPr>
            <w:tcW w:w="2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940" w:type="dxa"/>
            <w:vAlign w:val="bottom"/>
            <w:shd w:val="clear" w:color="auto" w:fill="CCEEFF"/>
          </w:tcPr>
          <w:p>
            <w:pPr>
              <w:jc w:val="right"/>
              <w:ind w:right="13"/>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63"/>
        </w:trPr>
        <w:tc>
          <w:tcPr>
            <w:tcW w:w="3840" w:type="dxa"/>
            <w:vAlign w:val="bottom"/>
            <w:gridSpan w:val="3"/>
          </w:tcPr>
          <w:p>
            <w:pPr>
              <w:ind w:left="40"/>
              <w:spacing w:after="0"/>
              <w:rPr>
                <w:sz w:val="20"/>
                <w:szCs w:val="20"/>
                <w:color w:val="auto"/>
              </w:rPr>
            </w:pPr>
            <w:r>
              <w:rPr>
                <w:rFonts w:ascii="Arial" w:cs="Arial" w:eastAsia="Arial" w:hAnsi="Arial"/>
                <w:sz w:val="18"/>
                <w:szCs w:val="18"/>
                <w:color w:val="auto"/>
              </w:rPr>
              <w:t>Accumulated benefit obligation (ABO)</w:t>
            </w:r>
          </w:p>
        </w:tc>
        <w:tc>
          <w:tcPr>
            <w:tcW w:w="260" w:type="dxa"/>
            <w:vAlign w:val="bottom"/>
          </w:tcPr>
          <w:p>
            <w:pPr>
              <w:spacing w:after="0"/>
              <w:rPr>
                <w:sz w:val="22"/>
                <w:szCs w:val="22"/>
                <w:color w:val="auto"/>
              </w:rPr>
            </w:pPr>
          </w:p>
        </w:tc>
        <w:tc>
          <w:tcPr>
            <w:tcW w:w="86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1120" w:type="dxa"/>
            <w:vAlign w:val="bottom"/>
            <w:gridSpan w:val="4"/>
          </w:tcPr>
          <w:p>
            <w:pPr>
              <w:jc w:val="right"/>
              <w:ind w:right="100"/>
              <w:spacing w:after="0"/>
              <w:rPr>
                <w:sz w:val="20"/>
                <w:szCs w:val="20"/>
                <w:color w:val="auto"/>
              </w:rPr>
            </w:pPr>
            <w:r>
              <w:rPr>
                <w:rFonts w:ascii="Arial" w:cs="Arial" w:eastAsia="Arial" w:hAnsi="Arial"/>
                <w:sz w:val="18"/>
                <w:szCs w:val="18"/>
                <w:color w:val="auto"/>
              </w:rPr>
              <w:t>18,204</w:t>
            </w:r>
          </w:p>
        </w:tc>
        <w:tc>
          <w:tcPr>
            <w:tcW w:w="1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240" w:type="dxa"/>
            <w:vAlign w:val="bottom"/>
            <w:gridSpan w:val="4"/>
          </w:tcPr>
          <w:p>
            <w:pPr>
              <w:jc w:val="right"/>
              <w:spacing w:after="0"/>
              <w:rPr>
                <w:sz w:val="20"/>
                <w:szCs w:val="20"/>
                <w:color w:val="auto"/>
              </w:rPr>
            </w:pPr>
            <w:r>
              <w:rPr>
                <w:rFonts w:ascii="Arial" w:cs="Arial" w:eastAsia="Arial" w:hAnsi="Arial"/>
                <w:sz w:val="18"/>
                <w:szCs w:val="18"/>
                <w:color w:val="auto"/>
              </w:rPr>
              <w:t>16,246</w:t>
            </w:r>
          </w:p>
        </w:tc>
        <w:tc>
          <w:tcPr>
            <w:tcW w:w="1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50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w:t>
            </w:r>
          </w:p>
        </w:tc>
        <w:tc>
          <w:tcPr>
            <w:tcW w:w="4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940" w:type="dxa"/>
            <w:vAlign w:val="bottom"/>
          </w:tcPr>
          <w:p>
            <w:pPr>
              <w:jc w:val="right"/>
              <w:ind w:right="13"/>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7"/>
        </w:trPr>
        <w:tc>
          <w:tcPr>
            <w:tcW w:w="3840" w:type="dxa"/>
            <w:vAlign w:val="bottom"/>
            <w:gridSpan w:val="3"/>
            <w:shd w:val="clear" w:color="auto" w:fill="CCEEFF"/>
          </w:tcPr>
          <w:p>
            <w:pPr>
              <w:ind w:left="40"/>
              <w:spacing w:after="0"/>
              <w:rPr>
                <w:sz w:val="20"/>
                <w:szCs w:val="20"/>
                <w:color w:val="auto"/>
              </w:rPr>
            </w:pPr>
            <w:r>
              <w:rPr>
                <w:rFonts w:ascii="Arial" w:cs="Arial" w:eastAsia="Arial" w:hAnsi="Arial"/>
                <w:sz w:val="18"/>
                <w:szCs w:val="18"/>
                <w:color w:val="auto"/>
              </w:rPr>
              <w:t>Accumulated postretirement benefit obligation</w:t>
            </w:r>
          </w:p>
        </w:tc>
        <w:tc>
          <w:tcPr>
            <w:tcW w:w="260" w:type="dxa"/>
            <w:vAlign w:val="bottom"/>
            <w:shd w:val="clear" w:color="auto" w:fill="CCEEFF"/>
          </w:tcPr>
          <w:p>
            <w:pPr>
              <w:spacing w:after="0"/>
              <w:rPr>
                <w:sz w:val="24"/>
                <w:szCs w:val="24"/>
                <w:color w:val="auto"/>
              </w:rPr>
            </w:pPr>
          </w:p>
        </w:tc>
        <w:tc>
          <w:tcPr>
            <w:tcW w:w="860" w:type="dxa"/>
            <w:vAlign w:val="bottom"/>
            <w:shd w:val="clear" w:color="auto" w:fill="CCEEFF"/>
          </w:tcPr>
          <w:p>
            <w:pPr>
              <w:spacing w:after="0"/>
              <w:rPr>
                <w:sz w:val="24"/>
                <w:szCs w:val="24"/>
                <w:color w:val="auto"/>
              </w:rPr>
            </w:pPr>
          </w:p>
        </w:tc>
        <w:tc>
          <w:tcPr>
            <w:tcW w:w="40" w:type="dxa"/>
            <w:vAlign w:val="bottom"/>
            <w:shd w:val="clear" w:color="auto" w:fill="CCEEFF"/>
          </w:tcPr>
          <w:p>
            <w:pPr>
              <w:spacing w:after="0"/>
              <w:rPr>
                <w:sz w:val="24"/>
                <w:szCs w:val="24"/>
                <w:color w:val="auto"/>
              </w:rPr>
            </w:pPr>
          </w:p>
        </w:tc>
        <w:tc>
          <w:tcPr>
            <w:tcW w:w="80" w:type="dxa"/>
            <w:vAlign w:val="bottom"/>
            <w:shd w:val="clear" w:color="auto" w:fill="CCEEFF"/>
          </w:tcPr>
          <w:p>
            <w:pPr>
              <w:spacing w:after="0"/>
              <w:rPr>
                <w:sz w:val="24"/>
                <w:szCs w:val="24"/>
                <w:color w:val="auto"/>
              </w:rPr>
            </w:pPr>
          </w:p>
        </w:tc>
        <w:tc>
          <w:tcPr>
            <w:tcW w:w="260" w:type="dxa"/>
            <w:vAlign w:val="bottom"/>
            <w:shd w:val="clear" w:color="auto" w:fill="CCEEFF"/>
          </w:tcPr>
          <w:p>
            <w:pPr>
              <w:spacing w:after="0"/>
              <w:rPr>
                <w:sz w:val="24"/>
                <w:szCs w:val="24"/>
                <w:color w:val="auto"/>
              </w:rPr>
            </w:pPr>
          </w:p>
        </w:tc>
        <w:tc>
          <w:tcPr>
            <w:tcW w:w="820" w:type="dxa"/>
            <w:vAlign w:val="bottom"/>
            <w:shd w:val="clear" w:color="auto" w:fill="CCEEFF"/>
          </w:tcPr>
          <w:p>
            <w:pPr>
              <w:spacing w:after="0"/>
              <w:rPr>
                <w:sz w:val="24"/>
                <w:szCs w:val="24"/>
                <w:color w:val="auto"/>
              </w:rPr>
            </w:pPr>
          </w:p>
        </w:tc>
        <w:tc>
          <w:tcPr>
            <w:tcW w:w="420" w:type="dxa"/>
            <w:vAlign w:val="bottom"/>
            <w:gridSpan w:val="4"/>
            <w:shd w:val="clear" w:color="auto" w:fill="CCEEFF"/>
          </w:tcPr>
          <w:p>
            <w:pPr>
              <w:jc w:val="right"/>
              <w:ind w:right="220"/>
              <w:spacing w:after="0"/>
              <w:rPr>
                <w:sz w:val="20"/>
                <w:szCs w:val="20"/>
                <w:color w:val="auto"/>
              </w:rPr>
            </w:pPr>
            <w:r>
              <w:rPr>
                <w:rFonts w:ascii="Arial" w:cs="Arial" w:eastAsia="Arial" w:hAnsi="Arial"/>
                <w:sz w:val="18"/>
                <w:szCs w:val="18"/>
                <w:color w:val="auto"/>
                <w:w w:val="99"/>
              </w:rPr>
              <w:t>—</w:t>
            </w:r>
          </w:p>
        </w:tc>
        <w:tc>
          <w:tcPr>
            <w:tcW w:w="120" w:type="dxa"/>
            <w:vAlign w:val="bottom"/>
            <w:shd w:val="clear" w:color="auto" w:fill="CCEEFF"/>
          </w:tcPr>
          <w:p>
            <w:pPr>
              <w:spacing w:after="0"/>
              <w:rPr>
                <w:sz w:val="24"/>
                <w:szCs w:val="24"/>
                <w:color w:val="auto"/>
              </w:rPr>
            </w:pPr>
          </w:p>
        </w:tc>
        <w:tc>
          <w:tcPr>
            <w:tcW w:w="740" w:type="dxa"/>
            <w:vAlign w:val="bottom"/>
            <w:shd w:val="clear" w:color="auto" w:fill="CCEEFF"/>
          </w:tcPr>
          <w:p>
            <w:pPr>
              <w:spacing w:after="0"/>
              <w:rPr>
                <w:sz w:val="24"/>
                <w:szCs w:val="24"/>
                <w:color w:val="auto"/>
              </w:rPr>
            </w:pPr>
          </w:p>
        </w:tc>
        <w:tc>
          <w:tcPr>
            <w:tcW w:w="20" w:type="dxa"/>
            <w:vAlign w:val="bottom"/>
            <w:shd w:val="clear" w:color="auto" w:fill="CCEEFF"/>
          </w:tcPr>
          <w:p>
            <w:pPr>
              <w:spacing w:after="0"/>
              <w:rPr>
                <w:sz w:val="24"/>
                <w:szCs w:val="24"/>
                <w:color w:val="auto"/>
              </w:rPr>
            </w:pPr>
          </w:p>
        </w:tc>
        <w:tc>
          <w:tcPr>
            <w:tcW w:w="80" w:type="dxa"/>
            <w:vAlign w:val="bottom"/>
            <w:shd w:val="clear" w:color="auto" w:fill="CCEEFF"/>
          </w:tcPr>
          <w:p>
            <w:pPr>
              <w:spacing w:after="0"/>
              <w:rPr>
                <w:sz w:val="24"/>
                <w:szCs w:val="24"/>
                <w:color w:val="auto"/>
              </w:rPr>
            </w:pP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500" w:type="dxa"/>
            <w:vAlign w:val="bottom"/>
            <w:shd w:val="clear" w:color="auto" w:fill="CCEEFF"/>
          </w:tcPr>
          <w:p>
            <w:pPr>
              <w:spacing w:after="0"/>
              <w:rPr>
                <w:sz w:val="24"/>
                <w:szCs w:val="24"/>
                <w:color w:val="auto"/>
              </w:rPr>
            </w:pPr>
          </w:p>
        </w:tc>
        <w:tc>
          <w:tcPr>
            <w:tcW w:w="4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824</w:t>
            </w:r>
          </w:p>
        </w:tc>
        <w:tc>
          <w:tcPr>
            <w:tcW w:w="4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22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2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940" w:type="dxa"/>
            <w:vAlign w:val="bottom"/>
            <w:shd w:val="clear" w:color="auto" w:fill="CCEEFF"/>
          </w:tcPr>
          <w:p>
            <w:pPr>
              <w:jc w:val="right"/>
              <w:ind w:right="13"/>
              <w:spacing w:after="0"/>
              <w:rPr>
                <w:sz w:val="20"/>
                <w:szCs w:val="20"/>
                <w:color w:val="auto"/>
              </w:rPr>
            </w:pPr>
            <w:r>
              <w:rPr>
                <w:rFonts w:ascii="Arial" w:cs="Arial" w:eastAsia="Arial" w:hAnsi="Arial"/>
                <w:sz w:val="18"/>
                <w:szCs w:val="18"/>
                <w:color w:val="auto"/>
              </w:rPr>
              <w:t>837</w:t>
            </w:r>
          </w:p>
        </w:tc>
        <w:tc>
          <w:tcPr>
            <w:tcW w:w="0" w:type="dxa"/>
            <w:vAlign w:val="bottom"/>
          </w:tcPr>
          <w:p>
            <w:pPr>
              <w:spacing w:after="0"/>
              <w:rPr>
                <w:sz w:val="1"/>
                <w:szCs w:val="1"/>
                <w:color w:val="auto"/>
              </w:rPr>
            </w:pPr>
          </w:p>
        </w:tc>
      </w:tr>
      <w:tr>
        <w:trPr>
          <w:trHeight w:val="263"/>
        </w:trPr>
        <w:tc>
          <w:tcPr>
            <w:tcW w:w="3840" w:type="dxa"/>
            <w:vAlign w:val="bottom"/>
            <w:gridSpan w:val="3"/>
          </w:tcPr>
          <w:p>
            <w:pPr>
              <w:ind w:left="40"/>
              <w:spacing w:after="0"/>
              <w:rPr>
                <w:sz w:val="20"/>
                <w:szCs w:val="20"/>
                <w:color w:val="auto"/>
              </w:rPr>
            </w:pPr>
            <w:r>
              <w:rPr>
                <w:rFonts w:ascii="Arial" w:cs="Arial" w:eastAsia="Arial" w:hAnsi="Arial"/>
                <w:sz w:val="18"/>
                <w:szCs w:val="18"/>
                <w:color w:val="auto"/>
              </w:rPr>
              <w:t>Fair value of plan assets</w:t>
            </w:r>
          </w:p>
        </w:tc>
        <w:tc>
          <w:tcPr>
            <w:tcW w:w="260" w:type="dxa"/>
            <w:vAlign w:val="bottom"/>
          </w:tcPr>
          <w:p>
            <w:pPr>
              <w:spacing w:after="0"/>
              <w:rPr>
                <w:sz w:val="22"/>
                <w:szCs w:val="22"/>
                <w:color w:val="auto"/>
              </w:rPr>
            </w:pPr>
          </w:p>
        </w:tc>
        <w:tc>
          <w:tcPr>
            <w:tcW w:w="86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1120" w:type="dxa"/>
            <w:vAlign w:val="bottom"/>
            <w:gridSpan w:val="4"/>
          </w:tcPr>
          <w:p>
            <w:pPr>
              <w:jc w:val="right"/>
              <w:ind w:right="100"/>
              <w:spacing w:after="0"/>
              <w:rPr>
                <w:sz w:val="20"/>
                <w:szCs w:val="20"/>
                <w:color w:val="auto"/>
              </w:rPr>
            </w:pPr>
            <w:r>
              <w:rPr>
                <w:rFonts w:ascii="Arial" w:cs="Arial" w:eastAsia="Arial" w:hAnsi="Arial"/>
                <w:sz w:val="18"/>
                <w:szCs w:val="18"/>
                <w:color w:val="auto"/>
              </w:rPr>
              <w:t>12,794</w:t>
            </w:r>
          </w:p>
        </w:tc>
        <w:tc>
          <w:tcPr>
            <w:tcW w:w="1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74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480" w:type="dxa"/>
            <w:vAlign w:val="bottom"/>
            <w:gridSpan w:val="2"/>
          </w:tcPr>
          <w:p>
            <w:pPr>
              <w:jc w:val="right"/>
              <w:spacing w:after="0"/>
              <w:rPr>
                <w:sz w:val="20"/>
                <w:szCs w:val="20"/>
                <w:color w:val="auto"/>
              </w:rPr>
            </w:pPr>
            <w:r>
              <w:rPr>
                <w:rFonts w:ascii="Arial" w:cs="Arial" w:eastAsia="Arial" w:hAnsi="Arial"/>
                <w:sz w:val="18"/>
                <w:szCs w:val="18"/>
                <w:color w:val="auto"/>
                <w:w w:val="97"/>
              </w:rPr>
              <w:t>9,971</w:t>
            </w:r>
          </w:p>
        </w:tc>
        <w:tc>
          <w:tcPr>
            <w:tcW w:w="1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50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204</w:t>
            </w:r>
          </w:p>
        </w:tc>
        <w:tc>
          <w:tcPr>
            <w:tcW w:w="4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940" w:type="dxa"/>
            <w:vAlign w:val="bottom"/>
          </w:tcPr>
          <w:p>
            <w:pPr>
              <w:jc w:val="right"/>
              <w:ind w:right="13"/>
              <w:spacing w:after="0"/>
              <w:rPr>
                <w:sz w:val="20"/>
                <w:szCs w:val="20"/>
                <w:color w:val="auto"/>
              </w:rPr>
            </w:pPr>
            <w:r>
              <w:rPr>
                <w:rFonts w:ascii="Arial" w:cs="Arial" w:eastAsia="Arial" w:hAnsi="Arial"/>
                <w:sz w:val="18"/>
                <w:szCs w:val="18"/>
                <w:color w:val="auto"/>
              </w:rPr>
              <w:t>225</w:t>
            </w:r>
          </w:p>
        </w:tc>
        <w:tc>
          <w:tcPr>
            <w:tcW w:w="0" w:type="dxa"/>
            <w:vAlign w:val="bottom"/>
          </w:tcPr>
          <w:p>
            <w:pPr>
              <w:spacing w:after="0"/>
              <w:rPr>
                <w:sz w:val="1"/>
                <w:szCs w:val="1"/>
                <w:color w:val="auto"/>
              </w:rPr>
            </w:pPr>
          </w:p>
        </w:tc>
      </w:tr>
      <w:tr>
        <w:trPr>
          <w:trHeight w:val="277"/>
        </w:trPr>
        <w:tc>
          <w:tcPr>
            <w:tcW w:w="3840" w:type="dxa"/>
            <w:vAlign w:val="bottom"/>
            <w:gridSpan w:val="3"/>
            <w:shd w:val="clear" w:color="auto" w:fill="CCEEFF"/>
          </w:tcPr>
          <w:p>
            <w:pPr>
              <w:ind w:left="40"/>
              <w:spacing w:after="0"/>
              <w:rPr>
                <w:sz w:val="20"/>
                <w:szCs w:val="20"/>
                <w:color w:val="auto"/>
              </w:rPr>
            </w:pPr>
            <w:r>
              <w:rPr>
                <w:rFonts w:ascii="Arial" w:cs="Arial" w:eastAsia="Arial" w:hAnsi="Arial"/>
                <w:sz w:val="18"/>
                <w:szCs w:val="18"/>
                <w:color w:val="auto"/>
              </w:rPr>
              <w:t>ABO less fair value of plan assets</w:t>
            </w:r>
          </w:p>
        </w:tc>
        <w:tc>
          <w:tcPr>
            <w:tcW w:w="260" w:type="dxa"/>
            <w:vAlign w:val="bottom"/>
            <w:shd w:val="clear" w:color="auto" w:fill="CCEEFF"/>
          </w:tcPr>
          <w:p>
            <w:pPr>
              <w:spacing w:after="0"/>
              <w:rPr>
                <w:sz w:val="24"/>
                <w:szCs w:val="24"/>
                <w:color w:val="auto"/>
              </w:rPr>
            </w:pPr>
          </w:p>
        </w:tc>
        <w:tc>
          <w:tcPr>
            <w:tcW w:w="860" w:type="dxa"/>
            <w:vAlign w:val="bottom"/>
            <w:shd w:val="clear" w:color="auto" w:fill="CCEEFF"/>
          </w:tcPr>
          <w:p>
            <w:pPr>
              <w:spacing w:after="0"/>
              <w:rPr>
                <w:sz w:val="24"/>
                <w:szCs w:val="24"/>
                <w:color w:val="auto"/>
              </w:rPr>
            </w:pPr>
          </w:p>
        </w:tc>
        <w:tc>
          <w:tcPr>
            <w:tcW w:w="40" w:type="dxa"/>
            <w:vAlign w:val="bottom"/>
            <w:shd w:val="clear" w:color="auto" w:fill="CCEEFF"/>
          </w:tcPr>
          <w:p>
            <w:pPr>
              <w:spacing w:after="0"/>
              <w:rPr>
                <w:sz w:val="24"/>
                <w:szCs w:val="24"/>
                <w:color w:val="auto"/>
              </w:rPr>
            </w:pPr>
          </w:p>
        </w:tc>
        <w:tc>
          <w:tcPr>
            <w:tcW w:w="80" w:type="dxa"/>
            <w:vAlign w:val="bottom"/>
            <w:shd w:val="clear" w:color="auto" w:fill="CCEEFF"/>
          </w:tcPr>
          <w:p>
            <w:pPr>
              <w:spacing w:after="0"/>
              <w:rPr>
                <w:sz w:val="24"/>
                <w:szCs w:val="24"/>
                <w:color w:val="auto"/>
              </w:rPr>
            </w:pPr>
          </w:p>
        </w:tc>
        <w:tc>
          <w:tcPr>
            <w:tcW w:w="260" w:type="dxa"/>
            <w:vAlign w:val="bottom"/>
            <w:shd w:val="clear" w:color="auto" w:fill="CCEEFF"/>
          </w:tcPr>
          <w:p>
            <w:pPr>
              <w:spacing w:after="0"/>
              <w:rPr>
                <w:sz w:val="24"/>
                <w:szCs w:val="24"/>
                <w:color w:val="auto"/>
              </w:rPr>
            </w:pPr>
          </w:p>
        </w:tc>
        <w:tc>
          <w:tcPr>
            <w:tcW w:w="1120" w:type="dxa"/>
            <w:vAlign w:val="bottom"/>
            <w:gridSpan w:val="4"/>
            <w:shd w:val="clear" w:color="auto" w:fill="CCEEFF"/>
          </w:tcPr>
          <w:p>
            <w:pPr>
              <w:jc w:val="right"/>
              <w:ind w:right="100"/>
              <w:spacing w:after="0"/>
              <w:rPr>
                <w:sz w:val="20"/>
                <w:szCs w:val="20"/>
                <w:color w:val="auto"/>
              </w:rPr>
            </w:pPr>
            <w:r>
              <w:rPr>
                <w:rFonts w:ascii="Arial" w:cs="Arial" w:eastAsia="Arial" w:hAnsi="Arial"/>
                <w:sz w:val="18"/>
                <w:szCs w:val="18"/>
                <w:color w:val="auto"/>
              </w:rPr>
              <w:t>5,410</w:t>
            </w:r>
          </w:p>
        </w:tc>
        <w:tc>
          <w:tcPr>
            <w:tcW w:w="12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740" w:type="dxa"/>
            <w:vAlign w:val="bottom"/>
            <w:shd w:val="clear" w:color="auto" w:fill="CCEEFF"/>
          </w:tcPr>
          <w:p>
            <w:pPr>
              <w:spacing w:after="0"/>
              <w:rPr>
                <w:sz w:val="24"/>
                <w:szCs w:val="24"/>
                <w:color w:val="auto"/>
              </w:rPr>
            </w:pPr>
          </w:p>
        </w:tc>
        <w:tc>
          <w:tcPr>
            <w:tcW w:w="20" w:type="dxa"/>
            <w:vAlign w:val="bottom"/>
            <w:shd w:val="clear" w:color="auto" w:fill="CCEEFF"/>
          </w:tcPr>
          <w:p>
            <w:pPr>
              <w:spacing w:after="0"/>
              <w:rPr>
                <w:sz w:val="24"/>
                <w:szCs w:val="24"/>
                <w:color w:val="auto"/>
              </w:rPr>
            </w:pPr>
          </w:p>
        </w:tc>
        <w:tc>
          <w:tcPr>
            <w:tcW w:w="4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97"/>
              </w:rPr>
              <w:t>6,275</w:t>
            </w:r>
          </w:p>
        </w:tc>
        <w:tc>
          <w:tcPr>
            <w:tcW w:w="10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500" w:type="dxa"/>
            <w:vAlign w:val="bottom"/>
            <w:shd w:val="clear" w:color="auto" w:fill="CCEEFF"/>
          </w:tcPr>
          <w:p>
            <w:pPr>
              <w:spacing w:after="0"/>
              <w:rPr>
                <w:sz w:val="24"/>
                <w:szCs w:val="24"/>
                <w:color w:val="auto"/>
              </w:rPr>
            </w:pPr>
          </w:p>
        </w:tc>
        <w:tc>
          <w:tcPr>
            <w:tcW w:w="4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4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22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2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940" w:type="dxa"/>
            <w:vAlign w:val="bottom"/>
            <w:shd w:val="clear" w:color="auto" w:fill="CCEEFF"/>
          </w:tcPr>
          <w:p>
            <w:pPr>
              <w:jc w:val="right"/>
              <w:ind w:right="13"/>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837"/>
        </w:trPr>
        <w:tc>
          <w:tcPr>
            <w:tcW w:w="40" w:type="dxa"/>
            <w:vAlign w:val="bottom"/>
          </w:tcPr>
          <w:p>
            <w:pPr>
              <w:spacing w:after="0"/>
              <w:rPr>
                <w:sz w:val="24"/>
                <w:szCs w:val="24"/>
                <w:color w:val="auto"/>
              </w:rPr>
            </w:pPr>
          </w:p>
        </w:tc>
        <w:tc>
          <w:tcPr>
            <w:tcW w:w="3800" w:type="dxa"/>
            <w:vAlign w:val="bottom"/>
            <w:gridSpan w:val="2"/>
          </w:tcPr>
          <w:p>
            <w:pPr>
              <w:ind w:left="180"/>
              <w:spacing w:after="0"/>
              <w:rPr>
                <w:sz w:val="20"/>
                <w:szCs w:val="20"/>
                <w:color w:val="auto"/>
              </w:rPr>
            </w:pPr>
            <w:r>
              <w:rPr>
                <w:rFonts w:ascii="Arial" w:cs="Arial" w:eastAsia="Arial" w:hAnsi="Arial"/>
                <w:sz w:val="18"/>
                <w:szCs w:val="18"/>
                <w:b w:val="1"/>
                <w:bCs w:val="1"/>
                <w:i w:val="1"/>
                <w:iCs w:val="1"/>
                <w:color w:val="auto"/>
              </w:rPr>
              <w:t>Net Periodic Benefit Cost (Income)</w:t>
            </w:r>
          </w:p>
        </w:tc>
        <w:tc>
          <w:tcPr>
            <w:tcW w:w="26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11"/>
        </w:trPr>
        <w:tc>
          <w:tcPr>
            <w:tcW w:w="4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22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360" w:type="dxa"/>
            <w:vAlign w:val="bottom"/>
            <w:gridSpan w:val="8"/>
          </w:tcPr>
          <w:p>
            <w:pPr>
              <w:jc w:val="center"/>
              <w:spacing w:after="0"/>
              <w:rPr>
                <w:sz w:val="20"/>
                <w:szCs w:val="20"/>
                <w:color w:val="auto"/>
              </w:rPr>
            </w:pPr>
            <w:r>
              <w:rPr>
                <w:rFonts w:ascii="Arial" w:cs="Arial" w:eastAsia="Arial" w:hAnsi="Arial"/>
                <w:sz w:val="14"/>
                <w:szCs w:val="14"/>
                <w:b w:val="1"/>
                <w:bCs w:val="1"/>
                <w:color w:val="auto"/>
              </w:rPr>
              <w:t>Retiree Medical and</w:t>
            </w:r>
          </w:p>
        </w:tc>
        <w:tc>
          <w:tcPr>
            <w:tcW w:w="18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40" w:type="dxa"/>
            <w:vAlign w:val="bottom"/>
          </w:tcPr>
          <w:p>
            <w:pPr>
              <w:spacing w:after="0"/>
              <w:rPr>
                <w:sz w:val="17"/>
                <w:szCs w:val="17"/>
                <w:color w:val="auto"/>
              </w:rPr>
            </w:pPr>
          </w:p>
        </w:tc>
        <w:tc>
          <w:tcPr>
            <w:tcW w:w="1580" w:type="dxa"/>
            <w:vAlign w:val="bottom"/>
          </w:tcPr>
          <w:p>
            <w:pPr>
              <w:spacing w:after="0"/>
              <w:rPr>
                <w:sz w:val="17"/>
                <w:szCs w:val="17"/>
                <w:color w:val="auto"/>
              </w:rPr>
            </w:pPr>
          </w:p>
        </w:tc>
        <w:tc>
          <w:tcPr>
            <w:tcW w:w="2220" w:type="dxa"/>
            <w:vAlign w:val="bottom"/>
          </w:tcPr>
          <w:p>
            <w:pPr>
              <w:spacing w:after="0"/>
              <w:rPr>
                <w:sz w:val="17"/>
                <w:szCs w:val="17"/>
                <w:color w:val="auto"/>
              </w:rPr>
            </w:pPr>
          </w:p>
        </w:tc>
        <w:tc>
          <w:tcPr>
            <w:tcW w:w="260" w:type="dxa"/>
            <w:vAlign w:val="bottom"/>
            <w:tcBorders>
              <w:bottom w:val="single" w:sz="8" w:color="auto"/>
            </w:tcBorders>
          </w:tcPr>
          <w:p>
            <w:pPr>
              <w:spacing w:after="0"/>
              <w:rPr>
                <w:sz w:val="17"/>
                <w:szCs w:val="17"/>
                <w:color w:val="auto"/>
              </w:rPr>
            </w:pPr>
          </w:p>
        </w:tc>
        <w:tc>
          <w:tcPr>
            <w:tcW w:w="860" w:type="dxa"/>
            <w:vAlign w:val="bottom"/>
            <w:tcBorders>
              <w:bottom w:val="single" w:sz="8" w:color="auto"/>
            </w:tcBorders>
          </w:tcPr>
          <w:p>
            <w:pPr>
              <w:spacing w:after="0"/>
              <w:rPr>
                <w:sz w:val="17"/>
                <w:szCs w:val="17"/>
                <w:color w:val="auto"/>
              </w:rPr>
            </w:pPr>
          </w:p>
        </w:tc>
        <w:tc>
          <w:tcPr>
            <w:tcW w:w="40" w:type="dxa"/>
            <w:vAlign w:val="bottom"/>
            <w:tcBorders>
              <w:bottom w:val="single" w:sz="8" w:color="auto"/>
            </w:tcBorders>
          </w:tcPr>
          <w:p>
            <w:pPr>
              <w:spacing w:after="0"/>
              <w:rPr>
                <w:sz w:val="17"/>
                <w:szCs w:val="17"/>
                <w:color w:val="auto"/>
              </w:rPr>
            </w:pPr>
          </w:p>
        </w:tc>
        <w:tc>
          <w:tcPr>
            <w:tcW w:w="1580" w:type="dxa"/>
            <w:vAlign w:val="bottom"/>
            <w:tcBorders>
              <w:bottom w:val="single" w:sz="8" w:color="auto"/>
            </w:tcBorders>
            <w:gridSpan w:val="7"/>
          </w:tcPr>
          <w:p>
            <w:pPr>
              <w:ind w:left="60"/>
              <w:spacing w:after="0"/>
              <w:rPr>
                <w:sz w:val="20"/>
                <w:szCs w:val="20"/>
                <w:color w:val="auto"/>
              </w:rPr>
            </w:pPr>
            <w:r>
              <w:rPr>
                <w:rFonts w:ascii="Arial" w:cs="Arial" w:eastAsia="Arial" w:hAnsi="Arial"/>
                <w:sz w:val="14"/>
                <w:szCs w:val="14"/>
                <w:b w:val="1"/>
                <w:bCs w:val="1"/>
                <w:color w:val="auto"/>
              </w:rPr>
              <w:t>Pension Benefits</w:t>
            </w:r>
          </w:p>
        </w:tc>
        <w:tc>
          <w:tcPr>
            <w:tcW w:w="120" w:type="dxa"/>
            <w:vAlign w:val="bottom"/>
            <w:tcBorders>
              <w:bottom w:val="single" w:sz="8" w:color="auto"/>
            </w:tcBorders>
          </w:tcPr>
          <w:p>
            <w:pPr>
              <w:spacing w:after="0"/>
              <w:rPr>
                <w:sz w:val="17"/>
                <w:szCs w:val="17"/>
                <w:color w:val="auto"/>
              </w:rPr>
            </w:pPr>
          </w:p>
        </w:tc>
        <w:tc>
          <w:tcPr>
            <w:tcW w:w="740" w:type="dxa"/>
            <w:vAlign w:val="bottom"/>
            <w:tcBorders>
              <w:bottom w:val="single" w:sz="8" w:color="auto"/>
            </w:tcBorders>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400" w:type="dxa"/>
            <w:vAlign w:val="bottom"/>
            <w:tcBorders>
              <w:bottom w:val="single" w:sz="8" w:color="auto"/>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3020" w:type="dxa"/>
            <w:vAlign w:val="bottom"/>
            <w:tcBorders>
              <w:bottom w:val="single" w:sz="8" w:color="auto"/>
            </w:tcBorders>
            <w:gridSpan w:val="12"/>
          </w:tcPr>
          <w:p>
            <w:pPr>
              <w:jc w:val="center"/>
              <w:ind w:right="473"/>
              <w:spacing w:after="0"/>
              <w:rPr>
                <w:sz w:val="20"/>
                <w:szCs w:val="20"/>
                <w:color w:val="auto"/>
              </w:rPr>
            </w:pPr>
            <w:r>
              <w:rPr>
                <w:rFonts w:ascii="Arial" w:cs="Arial" w:eastAsia="Arial" w:hAnsi="Arial"/>
                <w:sz w:val="14"/>
                <w:szCs w:val="14"/>
                <w:b w:val="1"/>
                <w:bCs w:val="1"/>
                <w:color w:val="auto"/>
              </w:rPr>
              <w:t>Other Postretirement Benefits</w:t>
            </w:r>
          </w:p>
        </w:tc>
        <w:tc>
          <w:tcPr>
            <w:tcW w:w="0" w:type="dxa"/>
            <w:vAlign w:val="bottom"/>
          </w:tcPr>
          <w:p>
            <w:pPr>
              <w:spacing w:after="0"/>
              <w:rPr>
                <w:sz w:val="1"/>
                <w:szCs w:val="1"/>
                <w:color w:val="auto"/>
              </w:rPr>
            </w:pPr>
          </w:p>
        </w:tc>
      </w:tr>
      <w:tr>
        <w:trPr>
          <w:trHeight w:val="264"/>
        </w:trPr>
        <w:tc>
          <w:tcPr>
            <w:tcW w:w="40" w:type="dxa"/>
            <w:vAlign w:val="bottom"/>
          </w:tcPr>
          <w:p>
            <w:pPr>
              <w:spacing w:after="0"/>
              <w:rPr>
                <w:sz w:val="22"/>
                <w:szCs w:val="22"/>
                <w:color w:val="auto"/>
              </w:rPr>
            </w:pPr>
          </w:p>
        </w:tc>
        <w:tc>
          <w:tcPr>
            <w:tcW w:w="1580" w:type="dxa"/>
            <w:vAlign w:val="bottom"/>
          </w:tcPr>
          <w:p>
            <w:pPr>
              <w:spacing w:after="0"/>
              <w:rPr>
                <w:sz w:val="22"/>
                <w:szCs w:val="22"/>
                <w:color w:val="auto"/>
              </w:rPr>
            </w:pPr>
          </w:p>
        </w:tc>
        <w:tc>
          <w:tcPr>
            <w:tcW w:w="2220" w:type="dxa"/>
            <w:vAlign w:val="bottom"/>
          </w:tcPr>
          <w:p>
            <w:pPr>
              <w:spacing w:after="0"/>
              <w:rPr>
                <w:sz w:val="22"/>
                <w:szCs w:val="22"/>
                <w:color w:val="auto"/>
              </w:rPr>
            </w:pPr>
          </w:p>
        </w:tc>
        <w:tc>
          <w:tcPr>
            <w:tcW w:w="260" w:type="dxa"/>
            <w:vAlign w:val="bottom"/>
            <w:tcBorders>
              <w:bottom w:val="single" w:sz="8" w:color="auto"/>
            </w:tcBorders>
          </w:tcPr>
          <w:p>
            <w:pPr>
              <w:spacing w:after="0"/>
              <w:rPr>
                <w:sz w:val="22"/>
                <w:szCs w:val="22"/>
                <w:color w:val="auto"/>
              </w:rPr>
            </w:pPr>
          </w:p>
        </w:tc>
        <w:tc>
          <w:tcPr>
            <w:tcW w:w="860" w:type="dxa"/>
            <w:vAlign w:val="bottom"/>
            <w:tcBorders>
              <w:bottom w:val="single" w:sz="8" w:color="auto"/>
            </w:tcBorders>
          </w:tcPr>
          <w:p>
            <w:pPr>
              <w:jc w:val="right"/>
              <w:ind w:right="312"/>
              <w:spacing w:after="0"/>
              <w:rPr>
                <w:sz w:val="20"/>
                <w:szCs w:val="20"/>
                <w:color w:val="auto"/>
              </w:rPr>
            </w:pPr>
            <w:r>
              <w:rPr>
                <w:rFonts w:ascii="Arial" w:cs="Arial" w:eastAsia="Arial" w:hAnsi="Arial"/>
                <w:sz w:val="14"/>
                <w:szCs w:val="14"/>
                <w:b w:val="1"/>
                <w:bCs w:val="1"/>
                <w:color w:val="auto"/>
              </w:rPr>
              <w:t>2019</w:t>
            </w:r>
          </w:p>
        </w:tc>
        <w:tc>
          <w:tcPr>
            <w:tcW w:w="4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260" w:type="dxa"/>
            <w:vAlign w:val="bottom"/>
            <w:tcBorders>
              <w:bottom w:val="single" w:sz="8" w:color="auto"/>
            </w:tcBorders>
          </w:tcPr>
          <w:p>
            <w:pPr>
              <w:spacing w:after="0"/>
              <w:rPr>
                <w:sz w:val="22"/>
                <w:szCs w:val="22"/>
                <w:color w:val="auto"/>
              </w:rPr>
            </w:pPr>
          </w:p>
        </w:tc>
        <w:tc>
          <w:tcPr>
            <w:tcW w:w="820" w:type="dxa"/>
            <w:vAlign w:val="bottom"/>
            <w:tcBorders>
              <w:bottom w:val="single" w:sz="8" w:color="auto"/>
            </w:tcBorders>
          </w:tcPr>
          <w:p>
            <w:pPr>
              <w:jc w:val="right"/>
              <w:ind w:right="274"/>
              <w:spacing w:after="0"/>
              <w:rPr>
                <w:sz w:val="20"/>
                <w:szCs w:val="20"/>
                <w:color w:val="auto"/>
              </w:rPr>
            </w:pPr>
            <w:r>
              <w:rPr>
                <w:rFonts w:ascii="Arial" w:cs="Arial" w:eastAsia="Arial" w:hAnsi="Arial"/>
                <w:sz w:val="14"/>
                <w:szCs w:val="14"/>
                <w:b w:val="1"/>
                <w:bCs w:val="1"/>
                <w:color w:val="auto"/>
              </w:rPr>
              <w:t>2018</w:t>
            </w:r>
          </w:p>
        </w:tc>
        <w:tc>
          <w:tcPr>
            <w:tcW w:w="40" w:type="dxa"/>
            <w:vAlign w:val="bottom"/>
            <w:tcBorders>
              <w:bottom w:val="single" w:sz="8" w:color="auto"/>
            </w:tcBorders>
          </w:tcPr>
          <w:p>
            <w:pPr>
              <w:spacing w:after="0"/>
              <w:rPr>
                <w:sz w:val="22"/>
                <w:szCs w:val="22"/>
                <w:color w:val="auto"/>
              </w:rPr>
            </w:pPr>
          </w:p>
        </w:tc>
        <w:tc>
          <w:tcPr>
            <w:tcW w:w="100" w:type="dxa"/>
            <w:vAlign w:val="bottom"/>
          </w:tcPr>
          <w:p>
            <w:pPr>
              <w:spacing w:after="0"/>
              <w:rPr>
                <w:sz w:val="22"/>
                <w:szCs w:val="22"/>
                <w:color w:val="auto"/>
              </w:rPr>
            </w:pPr>
          </w:p>
        </w:tc>
        <w:tc>
          <w:tcPr>
            <w:tcW w:w="160" w:type="dxa"/>
            <w:vAlign w:val="bottom"/>
            <w:tcBorders>
              <w:bottom w:val="single" w:sz="8" w:color="auto"/>
            </w:tcBorders>
          </w:tcPr>
          <w:p>
            <w:pPr>
              <w:spacing w:after="0"/>
              <w:rPr>
                <w:sz w:val="22"/>
                <w:szCs w:val="22"/>
                <w:color w:val="auto"/>
              </w:rPr>
            </w:pPr>
          </w:p>
        </w:tc>
        <w:tc>
          <w:tcPr>
            <w:tcW w:w="120" w:type="dxa"/>
            <w:vAlign w:val="bottom"/>
            <w:tcBorders>
              <w:bottom w:val="single" w:sz="8" w:color="auto"/>
            </w:tcBorders>
          </w:tcPr>
          <w:p>
            <w:pPr>
              <w:spacing w:after="0"/>
              <w:rPr>
                <w:sz w:val="22"/>
                <w:szCs w:val="22"/>
                <w:color w:val="auto"/>
              </w:rPr>
            </w:pPr>
          </w:p>
        </w:tc>
        <w:tc>
          <w:tcPr>
            <w:tcW w:w="120" w:type="dxa"/>
            <w:vAlign w:val="bottom"/>
            <w:tcBorders>
              <w:bottom w:val="single" w:sz="8" w:color="auto"/>
            </w:tcBorders>
          </w:tcPr>
          <w:p>
            <w:pPr>
              <w:spacing w:after="0"/>
              <w:rPr>
                <w:sz w:val="22"/>
                <w:szCs w:val="22"/>
                <w:color w:val="auto"/>
              </w:rPr>
            </w:pPr>
          </w:p>
        </w:tc>
        <w:tc>
          <w:tcPr>
            <w:tcW w:w="740" w:type="dxa"/>
            <w:vAlign w:val="bottom"/>
            <w:tcBorders>
              <w:bottom w:val="single" w:sz="8" w:color="auto"/>
            </w:tcBorders>
          </w:tcPr>
          <w:p>
            <w:pPr>
              <w:jc w:val="right"/>
              <w:ind w:right="336"/>
              <w:spacing w:after="0"/>
              <w:rPr>
                <w:sz w:val="20"/>
                <w:szCs w:val="20"/>
                <w:color w:val="auto"/>
              </w:rPr>
            </w:pPr>
            <w:r>
              <w:rPr>
                <w:rFonts w:ascii="Arial" w:cs="Arial" w:eastAsia="Arial" w:hAnsi="Arial"/>
                <w:sz w:val="14"/>
                <w:szCs w:val="14"/>
                <w:b w:val="1"/>
                <w:bCs w:val="1"/>
                <w:color w:val="auto"/>
                <w:w w:val="96"/>
              </w:rPr>
              <w:t>2017</w:t>
            </w:r>
          </w:p>
        </w:tc>
        <w:tc>
          <w:tcPr>
            <w:tcW w:w="2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400" w:type="dxa"/>
            <w:vAlign w:val="bottom"/>
            <w:tcBorders>
              <w:bottom w:val="single" w:sz="8" w:color="auto"/>
            </w:tcBorders>
          </w:tcPr>
          <w:p>
            <w:pPr>
              <w:spacing w:after="0"/>
              <w:rPr>
                <w:sz w:val="22"/>
                <w:szCs w:val="22"/>
                <w:color w:val="auto"/>
              </w:rPr>
            </w:pPr>
          </w:p>
        </w:tc>
        <w:tc>
          <w:tcPr>
            <w:tcW w:w="700" w:type="dxa"/>
            <w:vAlign w:val="bottom"/>
            <w:tcBorders>
              <w:bottom w:val="single" w:sz="8" w:color="auto"/>
            </w:tcBorders>
            <w:gridSpan w:val="3"/>
          </w:tcPr>
          <w:p>
            <w:pPr>
              <w:jc w:val="right"/>
              <w:ind w:right="274"/>
              <w:spacing w:after="0"/>
              <w:rPr>
                <w:sz w:val="20"/>
                <w:szCs w:val="20"/>
                <w:color w:val="auto"/>
              </w:rPr>
            </w:pPr>
            <w:r>
              <w:rPr>
                <w:rFonts w:ascii="Arial" w:cs="Arial" w:eastAsia="Arial" w:hAnsi="Arial"/>
                <w:sz w:val="14"/>
                <w:szCs w:val="14"/>
                <w:b w:val="1"/>
                <w:bCs w:val="1"/>
                <w:color w:val="auto"/>
              </w:rPr>
              <w:t>2019</w:t>
            </w:r>
          </w:p>
        </w:tc>
        <w:tc>
          <w:tcPr>
            <w:tcW w:w="40" w:type="dxa"/>
            <w:vAlign w:val="bottom"/>
            <w:tcBorders>
              <w:bottom w:val="single" w:sz="8" w:color="auto"/>
            </w:tcBorders>
          </w:tcPr>
          <w:p>
            <w:pPr>
              <w:spacing w:after="0"/>
              <w:rPr>
                <w:sz w:val="22"/>
                <w:szCs w:val="22"/>
                <w:color w:val="auto"/>
              </w:rPr>
            </w:pPr>
          </w:p>
        </w:tc>
        <w:tc>
          <w:tcPr>
            <w:tcW w:w="100" w:type="dxa"/>
            <w:vAlign w:val="bottom"/>
          </w:tcPr>
          <w:p>
            <w:pPr>
              <w:spacing w:after="0"/>
              <w:rPr>
                <w:sz w:val="22"/>
                <w:szCs w:val="22"/>
                <w:color w:val="auto"/>
              </w:rPr>
            </w:pPr>
          </w:p>
        </w:tc>
        <w:tc>
          <w:tcPr>
            <w:tcW w:w="180" w:type="dxa"/>
            <w:vAlign w:val="bottom"/>
            <w:tcBorders>
              <w:bottom w:val="single" w:sz="8" w:color="auto"/>
            </w:tcBorders>
          </w:tcPr>
          <w:p>
            <w:pPr>
              <w:spacing w:after="0"/>
              <w:rPr>
                <w:sz w:val="22"/>
                <w:szCs w:val="22"/>
                <w:color w:val="auto"/>
              </w:rPr>
            </w:pPr>
          </w:p>
        </w:tc>
        <w:tc>
          <w:tcPr>
            <w:tcW w:w="600" w:type="dxa"/>
            <w:vAlign w:val="bottom"/>
            <w:tcBorders>
              <w:bottom w:val="single" w:sz="8" w:color="auto"/>
            </w:tcBorders>
          </w:tcPr>
          <w:p>
            <w:pPr>
              <w:jc w:val="center"/>
              <w:ind w:left="113"/>
              <w:spacing w:after="0"/>
              <w:rPr>
                <w:sz w:val="20"/>
                <w:szCs w:val="20"/>
                <w:color w:val="auto"/>
              </w:rPr>
            </w:pPr>
            <w:r>
              <w:rPr>
                <w:rFonts w:ascii="Arial" w:cs="Arial" w:eastAsia="Arial" w:hAnsi="Arial"/>
                <w:sz w:val="14"/>
                <w:szCs w:val="14"/>
                <w:b w:val="1"/>
                <w:bCs w:val="1"/>
                <w:color w:val="auto"/>
              </w:rPr>
              <w:t>2018</w:t>
            </w:r>
          </w:p>
        </w:tc>
        <w:tc>
          <w:tcPr>
            <w:tcW w:w="40" w:type="dxa"/>
            <w:vAlign w:val="bottom"/>
            <w:tcBorders>
              <w:bottom w:val="single" w:sz="8" w:color="auto"/>
            </w:tcBorders>
          </w:tcPr>
          <w:p>
            <w:pPr>
              <w:spacing w:after="0"/>
              <w:rPr>
                <w:sz w:val="22"/>
                <w:szCs w:val="22"/>
                <w:color w:val="auto"/>
              </w:rPr>
            </w:pPr>
          </w:p>
        </w:tc>
        <w:tc>
          <w:tcPr>
            <w:tcW w:w="100" w:type="dxa"/>
            <w:vAlign w:val="bottom"/>
            <w:tcBorders>
              <w:bottom w:val="single" w:sz="8" w:color="auto"/>
            </w:tcBorders>
          </w:tcPr>
          <w:p>
            <w:pPr>
              <w:spacing w:after="0"/>
              <w:rPr>
                <w:sz w:val="22"/>
                <w:szCs w:val="22"/>
                <w:color w:val="auto"/>
              </w:rPr>
            </w:pPr>
          </w:p>
        </w:tc>
        <w:tc>
          <w:tcPr>
            <w:tcW w:w="220" w:type="dxa"/>
            <w:vAlign w:val="bottom"/>
            <w:tcBorders>
              <w:bottom w:val="single" w:sz="8" w:color="auto"/>
            </w:tcBorders>
          </w:tcPr>
          <w:p>
            <w:pPr>
              <w:spacing w:after="0"/>
              <w:rPr>
                <w:sz w:val="22"/>
                <w:szCs w:val="22"/>
                <w:color w:val="auto"/>
              </w:rPr>
            </w:pPr>
          </w:p>
        </w:tc>
        <w:tc>
          <w:tcPr>
            <w:tcW w:w="100" w:type="dxa"/>
            <w:vAlign w:val="bottom"/>
          </w:tcPr>
          <w:p>
            <w:pPr>
              <w:spacing w:after="0"/>
              <w:rPr>
                <w:sz w:val="22"/>
                <w:szCs w:val="22"/>
                <w:color w:val="auto"/>
              </w:rPr>
            </w:pPr>
          </w:p>
        </w:tc>
        <w:tc>
          <w:tcPr>
            <w:tcW w:w="20" w:type="dxa"/>
            <w:vAlign w:val="bottom"/>
            <w:tcBorders>
              <w:bottom w:val="single" w:sz="8" w:color="auto"/>
            </w:tcBorders>
          </w:tcPr>
          <w:p>
            <w:pPr>
              <w:spacing w:after="0"/>
              <w:rPr>
                <w:sz w:val="22"/>
                <w:szCs w:val="22"/>
                <w:color w:val="auto"/>
              </w:rPr>
            </w:pPr>
          </w:p>
        </w:tc>
        <w:tc>
          <w:tcPr>
            <w:tcW w:w="180" w:type="dxa"/>
            <w:vAlign w:val="bottom"/>
            <w:tcBorders>
              <w:bottom w:val="single" w:sz="8" w:color="auto"/>
            </w:tcBorders>
          </w:tcPr>
          <w:p>
            <w:pPr>
              <w:spacing w:after="0"/>
              <w:rPr>
                <w:sz w:val="22"/>
                <w:szCs w:val="22"/>
                <w:color w:val="auto"/>
              </w:rPr>
            </w:pPr>
          </w:p>
        </w:tc>
        <w:tc>
          <w:tcPr>
            <w:tcW w:w="940" w:type="dxa"/>
            <w:vAlign w:val="bottom"/>
            <w:tcBorders>
              <w:bottom w:val="single" w:sz="8" w:color="auto"/>
            </w:tcBorders>
          </w:tcPr>
          <w:p>
            <w:pPr>
              <w:jc w:val="right"/>
              <w:ind w:right="313"/>
              <w:spacing w:after="0"/>
              <w:rPr>
                <w:sz w:val="20"/>
                <w:szCs w:val="20"/>
                <w:color w:val="auto"/>
              </w:rPr>
            </w:pPr>
            <w:r>
              <w:rPr>
                <w:rFonts w:ascii="Arial" w:cs="Arial" w:eastAsia="Arial" w:hAnsi="Arial"/>
                <w:sz w:val="14"/>
                <w:szCs w:val="14"/>
                <w:b w:val="1"/>
                <w:bCs w:val="1"/>
                <w:color w:val="auto"/>
              </w:rPr>
              <w:t>2017</w:t>
            </w:r>
          </w:p>
        </w:tc>
        <w:tc>
          <w:tcPr>
            <w:tcW w:w="0" w:type="dxa"/>
            <w:vAlign w:val="bottom"/>
          </w:tcPr>
          <w:p>
            <w:pPr>
              <w:spacing w:after="0"/>
              <w:rPr>
                <w:sz w:val="1"/>
                <w:szCs w:val="1"/>
                <w:color w:val="auto"/>
              </w:rPr>
            </w:pPr>
          </w:p>
        </w:tc>
      </w:tr>
      <w:tr>
        <w:trPr>
          <w:trHeight w:val="331"/>
        </w:trPr>
        <w:tc>
          <w:tcPr>
            <w:tcW w:w="4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22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40" w:type="dxa"/>
            <w:vAlign w:val="bottom"/>
            <w:gridSpan w:val="4"/>
          </w:tcPr>
          <w:p>
            <w:pPr>
              <w:jc w:val="right"/>
              <w:spacing w:after="0"/>
              <w:rPr>
                <w:sz w:val="20"/>
                <w:szCs w:val="20"/>
                <w:color w:val="auto"/>
              </w:rPr>
            </w:pPr>
            <w:r>
              <w:rPr>
                <w:rFonts w:ascii="Arial" w:cs="Arial" w:eastAsia="Arial" w:hAnsi="Arial"/>
                <w:sz w:val="14"/>
                <w:szCs w:val="14"/>
                <w:b w:val="1"/>
                <w:bCs w:val="1"/>
                <w:color w:val="auto"/>
              </w:rPr>
              <w:t>(In millions)</w:t>
            </w: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6"/>
        </w:trPr>
        <w:tc>
          <w:tcPr>
            <w:tcW w:w="384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8"/>
                <w:szCs w:val="18"/>
                <w:color w:val="auto"/>
              </w:rPr>
              <w:t>Defined benefit plans:</w:t>
            </w:r>
          </w:p>
        </w:tc>
        <w:tc>
          <w:tcPr>
            <w:tcW w:w="260" w:type="dxa"/>
            <w:vAlign w:val="bottom"/>
            <w:tcBorders>
              <w:bottom w:val="single" w:sz="8" w:color="CCEEFF"/>
            </w:tcBorders>
            <w:shd w:val="clear" w:color="auto" w:fill="CCEEFF"/>
          </w:tcPr>
          <w:p>
            <w:pPr>
              <w:spacing w:after="0"/>
              <w:rPr>
                <w:sz w:val="22"/>
                <w:szCs w:val="22"/>
                <w:color w:val="auto"/>
              </w:rPr>
            </w:pPr>
          </w:p>
        </w:tc>
        <w:tc>
          <w:tcPr>
            <w:tcW w:w="860" w:type="dxa"/>
            <w:vAlign w:val="bottom"/>
            <w:tcBorders>
              <w:bottom w:val="single" w:sz="8" w:color="CCEEFF"/>
            </w:tcBorders>
            <w:shd w:val="clear" w:color="auto" w:fill="CCEEFF"/>
          </w:tcPr>
          <w:p>
            <w:pPr>
              <w:spacing w:after="0"/>
              <w:rPr>
                <w:sz w:val="22"/>
                <w:szCs w:val="22"/>
                <w:color w:val="auto"/>
              </w:rPr>
            </w:pPr>
          </w:p>
        </w:tc>
        <w:tc>
          <w:tcPr>
            <w:tcW w:w="40" w:type="dxa"/>
            <w:vAlign w:val="bottom"/>
            <w:tcBorders>
              <w:bottom w:val="single" w:sz="8" w:color="CCEEFF"/>
            </w:tcBorders>
            <w:shd w:val="clear" w:color="auto" w:fill="CCEEFF"/>
          </w:tcPr>
          <w:p>
            <w:pPr>
              <w:spacing w:after="0"/>
              <w:rPr>
                <w:sz w:val="22"/>
                <w:szCs w:val="22"/>
                <w:color w:val="auto"/>
              </w:rPr>
            </w:pPr>
          </w:p>
        </w:tc>
        <w:tc>
          <w:tcPr>
            <w:tcW w:w="80" w:type="dxa"/>
            <w:vAlign w:val="bottom"/>
            <w:tcBorders>
              <w:bottom w:val="single" w:sz="8" w:color="CCEEFF"/>
            </w:tcBorders>
            <w:shd w:val="clear" w:color="auto" w:fill="CCEEFF"/>
          </w:tcPr>
          <w:p>
            <w:pPr>
              <w:spacing w:after="0"/>
              <w:rPr>
                <w:sz w:val="22"/>
                <w:szCs w:val="22"/>
                <w:color w:val="auto"/>
              </w:rPr>
            </w:pPr>
          </w:p>
        </w:tc>
        <w:tc>
          <w:tcPr>
            <w:tcW w:w="260" w:type="dxa"/>
            <w:vAlign w:val="bottom"/>
            <w:tcBorders>
              <w:bottom w:val="single" w:sz="8" w:color="CCEEFF"/>
            </w:tcBorders>
            <w:shd w:val="clear" w:color="auto" w:fill="CCEEFF"/>
          </w:tcPr>
          <w:p>
            <w:pPr>
              <w:spacing w:after="0"/>
              <w:rPr>
                <w:sz w:val="22"/>
                <w:szCs w:val="22"/>
                <w:color w:val="auto"/>
              </w:rPr>
            </w:pPr>
          </w:p>
        </w:tc>
        <w:tc>
          <w:tcPr>
            <w:tcW w:w="820" w:type="dxa"/>
            <w:vAlign w:val="bottom"/>
            <w:tcBorders>
              <w:bottom w:val="single" w:sz="8" w:color="CCEEFF"/>
            </w:tcBorders>
            <w:shd w:val="clear" w:color="auto" w:fill="CCEEFF"/>
          </w:tcPr>
          <w:p>
            <w:pPr>
              <w:spacing w:after="0"/>
              <w:rPr>
                <w:sz w:val="22"/>
                <w:szCs w:val="22"/>
                <w:color w:val="auto"/>
              </w:rPr>
            </w:pPr>
          </w:p>
        </w:tc>
        <w:tc>
          <w:tcPr>
            <w:tcW w:w="4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740" w:type="dxa"/>
            <w:vAlign w:val="bottom"/>
            <w:tcBorders>
              <w:bottom w:val="single" w:sz="8" w:color="CCEEFF"/>
            </w:tcBorders>
            <w:shd w:val="clear" w:color="auto" w:fill="CCEEFF"/>
          </w:tcPr>
          <w:p>
            <w:pPr>
              <w:spacing w:after="0"/>
              <w:rPr>
                <w:sz w:val="22"/>
                <w:szCs w:val="22"/>
                <w:color w:val="auto"/>
              </w:rPr>
            </w:pPr>
          </w:p>
        </w:tc>
        <w:tc>
          <w:tcPr>
            <w:tcW w:w="20" w:type="dxa"/>
            <w:vAlign w:val="bottom"/>
            <w:tcBorders>
              <w:bottom w:val="single" w:sz="8" w:color="CCEEFF"/>
            </w:tcBorders>
            <w:shd w:val="clear" w:color="auto" w:fill="CCEEFF"/>
          </w:tcPr>
          <w:p>
            <w:pPr>
              <w:spacing w:after="0"/>
              <w:rPr>
                <w:sz w:val="22"/>
                <w:szCs w:val="22"/>
                <w:color w:val="auto"/>
              </w:rPr>
            </w:pPr>
          </w:p>
        </w:tc>
        <w:tc>
          <w:tcPr>
            <w:tcW w:w="80" w:type="dxa"/>
            <w:vAlign w:val="bottom"/>
            <w:tcBorders>
              <w:bottom w:val="single" w:sz="8" w:color="CCEEFF"/>
            </w:tcBorders>
            <w:shd w:val="clear" w:color="auto" w:fill="CCEEFF"/>
          </w:tcPr>
          <w:p>
            <w:pPr>
              <w:spacing w:after="0"/>
              <w:rPr>
                <w:sz w:val="22"/>
                <w:szCs w:val="22"/>
                <w:color w:val="auto"/>
              </w:rPr>
            </w:pPr>
          </w:p>
        </w:tc>
        <w:tc>
          <w:tcPr>
            <w:tcW w:w="40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500" w:type="dxa"/>
            <w:vAlign w:val="bottom"/>
            <w:tcBorders>
              <w:bottom w:val="single" w:sz="8" w:color="CCEEFF"/>
            </w:tcBorders>
            <w:shd w:val="clear" w:color="auto" w:fill="CCEEFF"/>
          </w:tcPr>
          <w:p>
            <w:pPr>
              <w:spacing w:after="0"/>
              <w:rPr>
                <w:sz w:val="22"/>
                <w:szCs w:val="22"/>
                <w:color w:val="auto"/>
              </w:rPr>
            </w:pPr>
          </w:p>
        </w:tc>
        <w:tc>
          <w:tcPr>
            <w:tcW w:w="4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CCEEFF"/>
            </w:tcBorders>
            <w:shd w:val="clear" w:color="auto" w:fill="CCEEFF"/>
          </w:tcPr>
          <w:p>
            <w:pPr>
              <w:spacing w:after="0"/>
              <w:rPr>
                <w:sz w:val="22"/>
                <w:szCs w:val="22"/>
                <w:color w:val="auto"/>
              </w:rPr>
            </w:pPr>
          </w:p>
        </w:tc>
        <w:tc>
          <w:tcPr>
            <w:tcW w:w="600" w:type="dxa"/>
            <w:vAlign w:val="bottom"/>
            <w:tcBorders>
              <w:bottom w:val="single" w:sz="8" w:color="CCEEFF"/>
            </w:tcBorders>
            <w:shd w:val="clear" w:color="auto" w:fill="CCEEFF"/>
          </w:tcPr>
          <w:p>
            <w:pPr>
              <w:spacing w:after="0"/>
              <w:rPr>
                <w:sz w:val="22"/>
                <w:szCs w:val="22"/>
                <w:color w:val="auto"/>
              </w:rPr>
            </w:pPr>
          </w:p>
        </w:tc>
        <w:tc>
          <w:tcPr>
            <w:tcW w:w="4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2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CCEEFF"/>
            </w:tcBorders>
            <w:shd w:val="clear" w:color="auto" w:fill="CCEEFF"/>
          </w:tcPr>
          <w:p>
            <w:pPr>
              <w:spacing w:after="0"/>
              <w:rPr>
                <w:sz w:val="22"/>
                <w:szCs w:val="22"/>
                <w:color w:val="auto"/>
              </w:rPr>
            </w:pPr>
          </w:p>
        </w:tc>
        <w:tc>
          <w:tcPr>
            <w:tcW w:w="940" w:type="dxa"/>
            <w:vAlign w:val="bottom"/>
            <w:tcBorders>
              <w:bottom w:val="single" w:sz="8" w:color="CCEEFF"/>
            </w:tcBorders>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63"/>
        </w:trPr>
        <w:tc>
          <w:tcPr>
            <w:tcW w:w="40" w:type="dxa"/>
            <w:vAlign w:val="bottom"/>
          </w:tcPr>
          <w:p>
            <w:pPr>
              <w:spacing w:after="0"/>
              <w:rPr>
                <w:sz w:val="22"/>
                <w:szCs w:val="22"/>
                <w:color w:val="auto"/>
              </w:rPr>
            </w:pPr>
          </w:p>
        </w:tc>
        <w:tc>
          <w:tcPr>
            <w:tcW w:w="3800" w:type="dxa"/>
            <w:vAlign w:val="bottom"/>
            <w:gridSpan w:val="2"/>
          </w:tcPr>
          <w:p>
            <w:pPr>
              <w:ind w:left="240"/>
              <w:spacing w:after="0"/>
              <w:rPr>
                <w:sz w:val="20"/>
                <w:szCs w:val="20"/>
                <w:color w:val="auto"/>
              </w:rPr>
            </w:pPr>
            <w:r>
              <w:rPr>
                <w:rFonts w:ascii="Arial" w:cs="Arial" w:eastAsia="Arial" w:hAnsi="Arial"/>
                <w:sz w:val="18"/>
                <w:szCs w:val="18"/>
                <w:color w:val="auto"/>
              </w:rPr>
              <w:t>Service cost</w:t>
            </w:r>
          </w:p>
        </w:tc>
        <w:tc>
          <w:tcPr>
            <w:tcW w:w="260" w:type="dxa"/>
            <w:vAlign w:val="bottom"/>
          </w:tcPr>
          <w:p>
            <w:pPr>
              <w:jc w:val="right"/>
              <w:ind w:right="30"/>
              <w:spacing w:after="0"/>
              <w:rPr>
                <w:sz w:val="20"/>
                <w:szCs w:val="20"/>
                <w:color w:val="auto"/>
              </w:rPr>
            </w:pPr>
            <w:r>
              <w:rPr>
                <w:rFonts w:ascii="Arial" w:cs="Arial" w:eastAsia="Arial" w:hAnsi="Arial"/>
                <w:sz w:val="18"/>
                <w:szCs w:val="18"/>
                <w:color w:val="auto"/>
              </w:rPr>
              <w:t>$</w:t>
            </w:r>
          </w:p>
        </w:tc>
        <w:tc>
          <w:tcPr>
            <w:tcW w:w="860" w:type="dxa"/>
            <w:vAlign w:val="bottom"/>
          </w:tcPr>
          <w:p>
            <w:pPr>
              <w:jc w:val="right"/>
              <w:ind w:right="12"/>
              <w:spacing w:after="0"/>
              <w:rPr>
                <w:sz w:val="20"/>
                <w:szCs w:val="20"/>
                <w:color w:val="auto"/>
              </w:rPr>
            </w:pPr>
            <w:r>
              <w:rPr>
                <w:rFonts w:ascii="Arial" w:cs="Arial" w:eastAsia="Arial" w:hAnsi="Arial"/>
                <w:sz w:val="18"/>
                <w:szCs w:val="18"/>
                <w:color w:val="auto"/>
              </w:rPr>
              <w:t>2</w:t>
            </w:r>
          </w:p>
        </w:tc>
        <w:tc>
          <w:tcPr>
            <w:tcW w:w="40" w:type="dxa"/>
            <w:vAlign w:val="bottom"/>
          </w:tcPr>
          <w:p>
            <w:pPr>
              <w:spacing w:after="0"/>
              <w:rPr>
                <w:sz w:val="22"/>
                <w:szCs w:val="22"/>
                <w:color w:val="auto"/>
              </w:rPr>
            </w:pPr>
          </w:p>
        </w:tc>
        <w:tc>
          <w:tcPr>
            <w:tcW w:w="34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820" w:type="dxa"/>
            <w:vAlign w:val="bottom"/>
          </w:tcPr>
          <w:p>
            <w:pPr>
              <w:jc w:val="right"/>
              <w:spacing w:after="0"/>
              <w:rPr>
                <w:sz w:val="20"/>
                <w:szCs w:val="20"/>
                <w:color w:val="auto"/>
              </w:rPr>
            </w:pPr>
            <w:r>
              <w:rPr>
                <w:rFonts w:ascii="Arial" w:cs="Arial" w:eastAsia="Arial" w:hAnsi="Arial"/>
                <w:sz w:val="18"/>
                <w:szCs w:val="18"/>
                <w:color w:val="auto"/>
              </w:rPr>
              <w:t>2</w:t>
            </w:r>
          </w:p>
        </w:tc>
        <w:tc>
          <w:tcPr>
            <w:tcW w:w="300" w:type="dxa"/>
            <w:vAlign w:val="bottom"/>
            <w:gridSpan w:val="3"/>
          </w:tcPr>
          <w:p>
            <w:pPr>
              <w:jc w:val="right"/>
              <w:ind w:right="4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740" w:type="dxa"/>
            <w:vAlign w:val="bottom"/>
          </w:tcPr>
          <w:p>
            <w:pPr>
              <w:jc w:val="right"/>
              <w:ind w:right="36"/>
              <w:spacing w:after="0"/>
              <w:rPr>
                <w:sz w:val="20"/>
                <w:szCs w:val="20"/>
                <w:color w:val="auto"/>
              </w:rPr>
            </w:pPr>
            <w:r>
              <w:rPr>
                <w:rFonts w:ascii="Arial" w:cs="Arial" w:eastAsia="Arial" w:hAnsi="Arial"/>
                <w:sz w:val="18"/>
                <w:szCs w:val="18"/>
                <w:color w:val="auto"/>
              </w:rPr>
              <w:t>2</w:t>
            </w:r>
          </w:p>
        </w:tc>
        <w:tc>
          <w:tcPr>
            <w:tcW w:w="20" w:type="dxa"/>
            <w:vAlign w:val="bottom"/>
          </w:tcPr>
          <w:p>
            <w:pPr>
              <w:spacing w:after="0"/>
              <w:rPr>
                <w:sz w:val="22"/>
                <w:szCs w:val="22"/>
                <w:color w:val="auto"/>
              </w:rPr>
            </w:pPr>
          </w:p>
        </w:tc>
        <w:tc>
          <w:tcPr>
            <w:tcW w:w="480" w:type="dxa"/>
            <w:vAlign w:val="bottom"/>
            <w:gridSpan w:val="2"/>
          </w:tcPr>
          <w:p>
            <w:pPr>
              <w:jc w:val="right"/>
              <w:ind w:right="182"/>
              <w:spacing w:after="0"/>
              <w:rPr>
                <w:sz w:val="20"/>
                <w:szCs w:val="20"/>
                <w:color w:val="auto"/>
              </w:rPr>
            </w:pPr>
            <w:r>
              <w:rPr>
                <w:rFonts w:ascii="Arial" w:cs="Arial" w:eastAsia="Arial" w:hAnsi="Arial"/>
                <w:sz w:val="18"/>
                <w:szCs w:val="18"/>
                <w:color w:val="auto"/>
              </w:rPr>
              <w:t>$</w:t>
            </w:r>
          </w:p>
        </w:tc>
        <w:tc>
          <w:tcPr>
            <w:tcW w:w="700" w:type="dxa"/>
            <w:vAlign w:val="bottom"/>
            <w:gridSpan w:val="3"/>
          </w:tcPr>
          <w:p>
            <w:pPr>
              <w:jc w:val="right"/>
              <w:spacing w:after="0"/>
              <w:rPr>
                <w:sz w:val="20"/>
                <w:szCs w:val="20"/>
                <w:color w:val="auto"/>
              </w:rPr>
            </w:pPr>
            <w:r>
              <w:rPr>
                <w:rFonts w:ascii="Arial" w:cs="Arial" w:eastAsia="Arial" w:hAnsi="Arial"/>
                <w:sz w:val="18"/>
                <w:szCs w:val="18"/>
                <w:color w:val="auto"/>
              </w:rPr>
              <w:t>3</w:t>
            </w:r>
          </w:p>
        </w:tc>
        <w:tc>
          <w:tcPr>
            <w:tcW w:w="320" w:type="dxa"/>
            <w:vAlign w:val="bottom"/>
            <w:gridSpan w:val="3"/>
          </w:tcPr>
          <w:p>
            <w:pPr>
              <w:jc w:val="center"/>
              <w:ind w:left="62"/>
              <w:spacing w:after="0"/>
              <w:rPr>
                <w:sz w:val="20"/>
                <w:szCs w:val="20"/>
                <w:color w:val="auto"/>
              </w:rPr>
            </w:pPr>
            <w:r>
              <w:rPr>
                <w:rFonts w:ascii="Arial" w:cs="Arial" w:eastAsia="Arial" w:hAnsi="Arial"/>
                <w:sz w:val="18"/>
                <w:szCs w:val="18"/>
                <w:color w:val="auto"/>
                <w:w w:val="99"/>
              </w:rPr>
              <w:t>$</w:t>
            </w:r>
          </w:p>
        </w:tc>
        <w:tc>
          <w:tcPr>
            <w:tcW w:w="600" w:type="dxa"/>
            <w:vAlign w:val="bottom"/>
          </w:tcPr>
          <w:p>
            <w:pPr>
              <w:spacing w:after="0"/>
              <w:rPr>
                <w:sz w:val="22"/>
                <w:szCs w:val="22"/>
                <w:color w:val="auto"/>
              </w:rPr>
            </w:pPr>
          </w:p>
        </w:tc>
        <w:tc>
          <w:tcPr>
            <w:tcW w:w="360" w:type="dxa"/>
            <w:vAlign w:val="bottom"/>
            <w:gridSpan w:val="3"/>
          </w:tcPr>
          <w:p>
            <w:pPr>
              <w:jc w:val="right"/>
              <w:ind w:right="10"/>
              <w:spacing w:after="0"/>
              <w:rPr>
                <w:sz w:val="20"/>
                <w:szCs w:val="20"/>
                <w:color w:val="auto"/>
              </w:rPr>
            </w:pPr>
            <w:r>
              <w:rPr>
                <w:rFonts w:ascii="Arial" w:cs="Arial" w:eastAsia="Arial" w:hAnsi="Arial"/>
                <w:sz w:val="18"/>
                <w:szCs w:val="18"/>
                <w:color w:val="auto"/>
              </w:rPr>
              <w:t>5</w:t>
            </w:r>
          </w:p>
        </w:tc>
        <w:tc>
          <w:tcPr>
            <w:tcW w:w="10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940" w:type="dxa"/>
            <w:vAlign w:val="bottom"/>
          </w:tcPr>
          <w:p>
            <w:pPr>
              <w:jc w:val="right"/>
              <w:ind w:right="13"/>
              <w:spacing w:after="0"/>
              <w:rPr>
                <w:sz w:val="20"/>
                <w:szCs w:val="20"/>
                <w:color w:val="auto"/>
              </w:rPr>
            </w:pPr>
            <w:r>
              <w:rPr>
                <w:rFonts w:ascii="Arial" w:cs="Arial" w:eastAsia="Arial" w:hAnsi="Arial"/>
                <w:sz w:val="18"/>
                <w:szCs w:val="18"/>
                <w:color w:val="auto"/>
              </w:rPr>
              <w:t>4</w:t>
            </w:r>
          </w:p>
        </w:tc>
        <w:tc>
          <w:tcPr>
            <w:tcW w:w="0" w:type="dxa"/>
            <w:vAlign w:val="bottom"/>
          </w:tcPr>
          <w:p>
            <w:pPr>
              <w:spacing w:after="0"/>
              <w:rPr>
                <w:sz w:val="1"/>
                <w:szCs w:val="1"/>
                <w:color w:val="auto"/>
              </w:rPr>
            </w:pPr>
          </w:p>
        </w:tc>
      </w:tr>
      <w:tr>
        <w:trPr>
          <w:trHeight w:val="277"/>
        </w:trPr>
        <w:tc>
          <w:tcPr>
            <w:tcW w:w="40" w:type="dxa"/>
            <w:vAlign w:val="bottom"/>
            <w:shd w:val="clear" w:color="auto" w:fill="CCEEFF"/>
          </w:tcPr>
          <w:p>
            <w:pPr>
              <w:spacing w:after="0"/>
              <w:rPr>
                <w:sz w:val="24"/>
                <w:szCs w:val="24"/>
                <w:color w:val="auto"/>
              </w:rPr>
            </w:pPr>
          </w:p>
        </w:tc>
        <w:tc>
          <w:tcPr>
            <w:tcW w:w="3800" w:type="dxa"/>
            <w:vAlign w:val="bottom"/>
            <w:gridSpan w:val="2"/>
            <w:shd w:val="clear" w:color="auto" w:fill="CCEEFF"/>
          </w:tcPr>
          <w:p>
            <w:pPr>
              <w:ind w:left="240"/>
              <w:spacing w:after="0"/>
              <w:rPr>
                <w:sz w:val="20"/>
                <w:szCs w:val="20"/>
                <w:color w:val="auto"/>
              </w:rPr>
            </w:pPr>
            <w:r>
              <w:rPr>
                <w:rFonts w:ascii="Arial" w:cs="Arial" w:eastAsia="Arial" w:hAnsi="Arial"/>
                <w:sz w:val="18"/>
                <w:szCs w:val="18"/>
                <w:color w:val="auto"/>
              </w:rPr>
              <w:t>Interest cost</w:t>
            </w:r>
          </w:p>
        </w:tc>
        <w:tc>
          <w:tcPr>
            <w:tcW w:w="260" w:type="dxa"/>
            <w:vAlign w:val="bottom"/>
            <w:shd w:val="clear" w:color="auto" w:fill="CCEEFF"/>
          </w:tcPr>
          <w:p>
            <w:pPr>
              <w:spacing w:after="0"/>
              <w:rPr>
                <w:sz w:val="24"/>
                <w:szCs w:val="24"/>
                <w:color w:val="auto"/>
              </w:rPr>
            </w:pPr>
          </w:p>
        </w:tc>
        <w:tc>
          <w:tcPr>
            <w:tcW w:w="86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699</w:t>
            </w:r>
          </w:p>
        </w:tc>
        <w:tc>
          <w:tcPr>
            <w:tcW w:w="40" w:type="dxa"/>
            <w:vAlign w:val="bottom"/>
            <w:shd w:val="clear" w:color="auto" w:fill="CCEEFF"/>
          </w:tcPr>
          <w:p>
            <w:pPr>
              <w:spacing w:after="0"/>
              <w:rPr>
                <w:sz w:val="24"/>
                <w:szCs w:val="24"/>
                <w:color w:val="auto"/>
              </w:rPr>
            </w:pPr>
          </w:p>
        </w:tc>
        <w:tc>
          <w:tcPr>
            <w:tcW w:w="80" w:type="dxa"/>
            <w:vAlign w:val="bottom"/>
            <w:shd w:val="clear" w:color="auto" w:fill="CCEEFF"/>
          </w:tcPr>
          <w:p>
            <w:pPr>
              <w:spacing w:after="0"/>
              <w:rPr>
                <w:sz w:val="24"/>
                <w:szCs w:val="24"/>
                <w:color w:val="auto"/>
              </w:rPr>
            </w:pPr>
          </w:p>
        </w:tc>
        <w:tc>
          <w:tcPr>
            <w:tcW w:w="260" w:type="dxa"/>
            <w:vAlign w:val="bottom"/>
            <w:shd w:val="clear" w:color="auto" w:fill="CCEEFF"/>
          </w:tcPr>
          <w:p>
            <w:pPr>
              <w:spacing w:after="0"/>
              <w:rPr>
                <w:sz w:val="24"/>
                <w:szCs w:val="24"/>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670</w:t>
            </w:r>
          </w:p>
        </w:tc>
        <w:tc>
          <w:tcPr>
            <w:tcW w:w="4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740" w:type="dxa"/>
            <w:vAlign w:val="bottom"/>
            <w:shd w:val="clear" w:color="auto" w:fill="CCEEFF"/>
          </w:tcPr>
          <w:p>
            <w:pPr>
              <w:jc w:val="right"/>
              <w:ind w:right="36"/>
              <w:spacing w:after="0"/>
              <w:rPr>
                <w:sz w:val="20"/>
                <w:szCs w:val="20"/>
                <w:color w:val="auto"/>
              </w:rPr>
            </w:pPr>
            <w:r>
              <w:rPr>
                <w:rFonts w:ascii="Arial" w:cs="Arial" w:eastAsia="Arial" w:hAnsi="Arial"/>
                <w:sz w:val="18"/>
                <w:szCs w:val="18"/>
                <w:color w:val="auto"/>
              </w:rPr>
              <w:t>717</w:t>
            </w:r>
          </w:p>
        </w:tc>
        <w:tc>
          <w:tcPr>
            <w:tcW w:w="20" w:type="dxa"/>
            <w:vAlign w:val="bottom"/>
            <w:shd w:val="clear" w:color="auto" w:fill="CCEEFF"/>
          </w:tcPr>
          <w:p>
            <w:pPr>
              <w:spacing w:after="0"/>
              <w:rPr>
                <w:sz w:val="24"/>
                <w:szCs w:val="24"/>
                <w:color w:val="auto"/>
              </w:rPr>
            </w:pPr>
          </w:p>
        </w:tc>
        <w:tc>
          <w:tcPr>
            <w:tcW w:w="80" w:type="dxa"/>
            <w:vAlign w:val="bottom"/>
            <w:shd w:val="clear" w:color="auto" w:fill="CCEEFF"/>
          </w:tcPr>
          <w:p>
            <w:pPr>
              <w:spacing w:after="0"/>
              <w:rPr>
                <w:sz w:val="24"/>
                <w:szCs w:val="24"/>
                <w:color w:val="auto"/>
              </w:rPr>
            </w:pPr>
          </w:p>
        </w:tc>
        <w:tc>
          <w:tcPr>
            <w:tcW w:w="400" w:type="dxa"/>
            <w:vAlign w:val="bottom"/>
            <w:shd w:val="clear" w:color="auto" w:fill="CCEEFF"/>
          </w:tcPr>
          <w:p>
            <w:pPr>
              <w:spacing w:after="0"/>
              <w:rPr>
                <w:sz w:val="24"/>
                <w:szCs w:val="24"/>
                <w:color w:val="auto"/>
              </w:rPr>
            </w:pPr>
          </w:p>
        </w:tc>
        <w:tc>
          <w:tcPr>
            <w:tcW w:w="70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33</w:t>
            </w:r>
          </w:p>
        </w:tc>
        <w:tc>
          <w:tcPr>
            <w:tcW w:w="4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600" w:type="dxa"/>
            <w:vAlign w:val="bottom"/>
            <w:shd w:val="clear" w:color="auto" w:fill="CCEEFF"/>
          </w:tcPr>
          <w:p>
            <w:pPr>
              <w:spacing w:after="0"/>
              <w:rPr>
                <w:sz w:val="24"/>
                <w:szCs w:val="24"/>
                <w:color w:val="auto"/>
              </w:rPr>
            </w:pPr>
          </w:p>
        </w:tc>
        <w:tc>
          <w:tcPr>
            <w:tcW w:w="360" w:type="dxa"/>
            <w:vAlign w:val="bottom"/>
            <w:gridSpan w:val="3"/>
            <w:shd w:val="clear" w:color="auto" w:fill="CCEEFF"/>
          </w:tcPr>
          <w:p>
            <w:pPr>
              <w:jc w:val="right"/>
              <w:ind w:right="10"/>
              <w:spacing w:after="0"/>
              <w:rPr>
                <w:sz w:val="20"/>
                <w:szCs w:val="20"/>
                <w:color w:val="auto"/>
              </w:rPr>
            </w:pPr>
            <w:r>
              <w:rPr>
                <w:rFonts w:ascii="Arial" w:cs="Arial" w:eastAsia="Arial" w:hAnsi="Arial"/>
                <w:sz w:val="18"/>
                <w:szCs w:val="18"/>
                <w:color w:val="auto"/>
              </w:rPr>
              <w:t>35</w:t>
            </w:r>
          </w:p>
        </w:tc>
        <w:tc>
          <w:tcPr>
            <w:tcW w:w="100" w:type="dxa"/>
            <w:vAlign w:val="bottom"/>
            <w:shd w:val="clear" w:color="auto" w:fill="CCEEFF"/>
          </w:tcPr>
          <w:p>
            <w:pPr>
              <w:spacing w:after="0"/>
              <w:rPr>
                <w:sz w:val="24"/>
                <w:szCs w:val="24"/>
                <w:color w:val="auto"/>
              </w:rPr>
            </w:pPr>
          </w:p>
        </w:tc>
        <w:tc>
          <w:tcPr>
            <w:tcW w:w="2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940" w:type="dxa"/>
            <w:vAlign w:val="bottom"/>
            <w:shd w:val="clear" w:color="auto" w:fill="CCEEFF"/>
          </w:tcPr>
          <w:p>
            <w:pPr>
              <w:jc w:val="right"/>
              <w:ind w:right="13"/>
              <w:spacing w:after="0"/>
              <w:rPr>
                <w:sz w:val="20"/>
                <w:szCs w:val="20"/>
                <w:color w:val="auto"/>
              </w:rPr>
            </w:pPr>
            <w:r>
              <w:rPr>
                <w:rFonts w:ascii="Arial" w:cs="Arial" w:eastAsia="Arial" w:hAnsi="Arial"/>
                <w:sz w:val="18"/>
                <w:szCs w:val="18"/>
                <w:color w:val="auto"/>
              </w:rPr>
              <w:t>39</w:t>
            </w:r>
          </w:p>
        </w:tc>
        <w:tc>
          <w:tcPr>
            <w:tcW w:w="0" w:type="dxa"/>
            <w:vAlign w:val="bottom"/>
          </w:tcPr>
          <w:p>
            <w:pPr>
              <w:spacing w:after="0"/>
              <w:rPr>
                <w:sz w:val="1"/>
                <w:szCs w:val="1"/>
                <w:color w:val="auto"/>
              </w:rPr>
            </w:pPr>
          </w:p>
        </w:tc>
      </w:tr>
      <w:tr>
        <w:trPr>
          <w:trHeight w:val="263"/>
        </w:trPr>
        <w:tc>
          <w:tcPr>
            <w:tcW w:w="40" w:type="dxa"/>
            <w:vAlign w:val="bottom"/>
          </w:tcPr>
          <w:p>
            <w:pPr>
              <w:spacing w:after="0"/>
              <w:rPr>
                <w:sz w:val="22"/>
                <w:szCs w:val="22"/>
                <w:color w:val="auto"/>
              </w:rPr>
            </w:pPr>
          </w:p>
        </w:tc>
        <w:tc>
          <w:tcPr>
            <w:tcW w:w="3800" w:type="dxa"/>
            <w:vAlign w:val="bottom"/>
            <w:gridSpan w:val="2"/>
          </w:tcPr>
          <w:p>
            <w:pPr>
              <w:ind w:left="240"/>
              <w:spacing w:after="0"/>
              <w:rPr>
                <w:sz w:val="20"/>
                <w:szCs w:val="20"/>
                <w:color w:val="auto"/>
              </w:rPr>
            </w:pPr>
            <w:r>
              <w:rPr>
                <w:rFonts w:ascii="Arial" w:cs="Arial" w:eastAsia="Arial" w:hAnsi="Arial"/>
                <w:sz w:val="18"/>
                <w:szCs w:val="18"/>
                <w:color w:val="auto"/>
              </w:rPr>
              <w:t>Expected return on assets</w:t>
            </w:r>
          </w:p>
        </w:tc>
        <w:tc>
          <w:tcPr>
            <w:tcW w:w="260" w:type="dxa"/>
            <w:vAlign w:val="bottom"/>
          </w:tcPr>
          <w:p>
            <w:pPr>
              <w:spacing w:after="0"/>
              <w:rPr>
                <w:sz w:val="22"/>
                <w:szCs w:val="22"/>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(811)</w:t>
            </w:r>
          </w:p>
        </w:tc>
        <w:tc>
          <w:tcPr>
            <w:tcW w:w="4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(901)</w:t>
            </w:r>
          </w:p>
        </w:tc>
        <w:tc>
          <w:tcPr>
            <w:tcW w:w="4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(786)</w:t>
            </w:r>
          </w:p>
        </w:tc>
        <w:tc>
          <w:tcPr>
            <w:tcW w:w="2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400" w:type="dxa"/>
            <w:vAlign w:val="bottom"/>
          </w:tcPr>
          <w:p>
            <w:pPr>
              <w:spacing w:after="0"/>
              <w:rPr>
                <w:sz w:val="22"/>
                <w:szCs w:val="22"/>
                <w:color w:val="auto"/>
              </w:rPr>
            </w:pPr>
          </w:p>
        </w:tc>
        <w:tc>
          <w:tcPr>
            <w:tcW w:w="700" w:type="dxa"/>
            <w:vAlign w:val="bottom"/>
            <w:gridSpan w:val="3"/>
          </w:tcPr>
          <w:p>
            <w:pPr>
              <w:jc w:val="right"/>
              <w:spacing w:after="0"/>
              <w:rPr>
                <w:sz w:val="20"/>
                <w:szCs w:val="20"/>
                <w:color w:val="auto"/>
              </w:rPr>
            </w:pPr>
            <w:r>
              <w:rPr>
                <w:rFonts w:ascii="Arial" w:cs="Arial" w:eastAsia="Arial" w:hAnsi="Arial"/>
                <w:sz w:val="18"/>
                <w:szCs w:val="18"/>
                <w:color w:val="auto"/>
              </w:rPr>
              <w:t>(15)</w:t>
            </w:r>
          </w:p>
        </w:tc>
        <w:tc>
          <w:tcPr>
            <w:tcW w:w="4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600" w:type="dxa"/>
            <w:vAlign w:val="bottom"/>
          </w:tcPr>
          <w:p>
            <w:pPr>
              <w:spacing w:after="0"/>
              <w:rPr>
                <w:sz w:val="22"/>
                <w:szCs w:val="22"/>
                <w:color w:val="auto"/>
              </w:rPr>
            </w:pPr>
          </w:p>
        </w:tc>
        <w:tc>
          <w:tcPr>
            <w:tcW w:w="360" w:type="dxa"/>
            <w:vAlign w:val="bottom"/>
            <w:gridSpan w:val="3"/>
          </w:tcPr>
          <w:p>
            <w:pPr>
              <w:jc w:val="right"/>
              <w:spacing w:after="0"/>
              <w:rPr>
                <w:sz w:val="20"/>
                <w:szCs w:val="20"/>
                <w:color w:val="auto"/>
              </w:rPr>
            </w:pPr>
            <w:r>
              <w:rPr>
                <w:rFonts w:ascii="Arial" w:cs="Arial" w:eastAsia="Arial" w:hAnsi="Arial"/>
                <w:sz w:val="18"/>
                <w:szCs w:val="18"/>
                <w:color w:val="auto"/>
                <w:w w:val="93"/>
              </w:rPr>
              <w:t>(24)</w:t>
            </w:r>
          </w:p>
        </w:tc>
        <w:tc>
          <w:tcPr>
            <w:tcW w:w="10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(21)</w:t>
            </w:r>
          </w:p>
        </w:tc>
        <w:tc>
          <w:tcPr>
            <w:tcW w:w="0" w:type="dxa"/>
            <w:vAlign w:val="bottom"/>
          </w:tcPr>
          <w:p>
            <w:pPr>
              <w:spacing w:after="0"/>
              <w:rPr>
                <w:sz w:val="1"/>
                <w:szCs w:val="1"/>
                <w:color w:val="auto"/>
              </w:rPr>
            </w:pPr>
          </w:p>
        </w:tc>
      </w:tr>
      <w:tr>
        <w:trPr>
          <w:trHeight w:val="277"/>
        </w:trPr>
        <w:tc>
          <w:tcPr>
            <w:tcW w:w="40" w:type="dxa"/>
            <w:vAlign w:val="bottom"/>
            <w:shd w:val="clear" w:color="auto" w:fill="CCEEFF"/>
          </w:tcPr>
          <w:p>
            <w:pPr>
              <w:spacing w:after="0"/>
              <w:rPr>
                <w:sz w:val="24"/>
                <w:szCs w:val="24"/>
                <w:color w:val="auto"/>
              </w:rPr>
            </w:pPr>
          </w:p>
        </w:tc>
        <w:tc>
          <w:tcPr>
            <w:tcW w:w="3800" w:type="dxa"/>
            <w:vAlign w:val="bottom"/>
            <w:gridSpan w:val="2"/>
            <w:shd w:val="clear" w:color="auto" w:fill="CCEEFF"/>
          </w:tcPr>
          <w:p>
            <w:pPr>
              <w:ind w:left="240"/>
              <w:spacing w:after="0"/>
              <w:rPr>
                <w:sz w:val="20"/>
                <w:szCs w:val="20"/>
                <w:color w:val="auto"/>
              </w:rPr>
            </w:pPr>
            <w:r>
              <w:rPr>
                <w:rFonts w:ascii="Arial" w:cs="Arial" w:eastAsia="Arial" w:hAnsi="Arial"/>
                <w:sz w:val="18"/>
                <w:szCs w:val="18"/>
                <w:color w:val="auto"/>
              </w:rPr>
              <w:t>Settlements</w:t>
            </w:r>
          </w:p>
        </w:tc>
        <w:tc>
          <w:tcPr>
            <w:tcW w:w="260" w:type="dxa"/>
            <w:vAlign w:val="bottom"/>
            <w:shd w:val="clear" w:color="auto" w:fill="CCEEFF"/>
          </w:tcPr>
          <w:p>
            <w:pPr>
              <w:spacing w:after="0"/>
              <w:rPr>
                <w:sz w:val="24"/>
                <w:szCs w:val="24"/>
                <w:color w:val="auto"/>
              </w:rPr>
            </w:pPr>
          </w:p>
        </w:tc>
        <w:tc>
          <w:tcPr>
            <w:tcW w:w="9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24"/>
                <w:szCs w:val="24"/>
                <w:color w:val="auto"/>
              </w:rPr>
            </w:pPr>
          </w:p>
        </w:tc>
        <w:tc>
          <w:tcPr>
            <w:tcW w:w="260" w:type="dxa"/>
            <w:vAlign w:val="bottom"/>
            <w:shd w:val="clear" w:color="auto" w:fill="CCEEFF"/>
          </w:tcPr>
          <w:p>
            <w:pPr>
              <w:spacing w:after="0"/>
              <w:rPr>
                <w:sz w:val="24"/>
                <w:szCs w:val="24"/>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4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740" w:type="dxa"/>
            <w:vAlign w:val="bottom"/>
            <w:shd w:val="clear" w:color="auto" w:fill="CCEEFF"/>
          </w:tcPr>
          <w:p>
            <w:pPr>
              <w:jc w:val="right"/>
              <w:ind w:right="36"/>
              <w:spacing w:after="0"/>
              <w:rPr>
                <w:sz w:val="20"/>
                <w:szCs w:val="20"/>
                <w:color w:val="auto"/>
              </w:rPr>
            </w:pPr>
            <w:r>
              <w:rPr>
                <w:rFonts w:ascii="Arial" w:cs="Arial" w:eastAsia="Arial" w:hAnsi="Arial"/>
                <w:sz w:val="18"/>
                <w:szCs w:val="18"/>
                <w:color w:val="auto"/>
              </w:rPr>
              <w:t>1</w:t>
            </w:r>
          </w:p>
        </w:tc>
        <w:tc>
          <w:tcPr>
            <w:tcW w:w="20" w:type="dxa"/>
            <w:vAlign w:val="bottom"/>
            <w:shd w:val="clear" w:color="auto" w:fill="CCEEFF"/>
          </w:tcPr>
          <w:p>
            <w:pPr>
              <w:spacing w:after="0"/>
              <w:rPr>
                <w:sz w:val="24"/>
                <w:szCs w:val="24"/>
                <w:color w:val="auto"/>
              </w:rPr>
            </w:pPr>
          </w:p>
        </w:tc>
        <w:tc>
          <w:tcPr>
            <w:tcW w:w="80" w:type="dxa"/>
            <w:vAlign w:val="bottom"/>
            <w:shd w:val="clear" w:color="auto" w:fill="CCEEFF"/>
          </w:tcPr>
          <w:p>
            <w:pPr>
              <w:spacing w:after="0"/>
              <w:rPr>
                <w:sz w:val="24"/>
                <w:szCs w:val="24"/>
                <w:color w:val="auto"/>
              </w:rPr>
            </w:pPr>
          </w:p>
        </w:tc>
        <w:tc>
          <w:tcPr>
            <w:tcW w:w="40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4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600" w:type="dxa"/>
            <w:vAlign w:val="bottom"/>
            <w:shd w:val="clear" w:color="auto" w:fill="CCEEFF"/>
          </w:tcPr>
          <w:p>
            <w:pPr>
              <w:spacing w:after="0"/>
              <w:rPr>
                <w:sz w:val="24"/>
                <w:szCs w:val="24"/>
                <w:color w:val="auto"/>
              </w:rPr>
            </w:pPr>
          </w:p>
        </w:tc>
        <w:tc>
          <w:tcPr>
            <w:tcW w:w="40" w:type="dxa"/>
            <w:vAlign w:val="bottom"/>
            <w:shd w:val="clear" w:color="auto" w:fill="CCEEFF"/>
          </w:tcPr>
          <w:p>
            <w:pPr>
              <w:spacing w:after="0"/>
              <w:rPr>
                <w:sz w:val="24"/>
                <w:szCs w:val="24"/>
                <w:color w:val="auto"/>
              </w:rPr>
            </w:pPr>
          </w:p>
        </w:tc>
        <w:tc>
          <w:tcPr>
            <w:tcW w:w="440" w:type="dxa"/>
            <w:vAlign w:val="bottom"/>
            <w:gridSpan w:val="4"/>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24"/>
                <w:szCs w:val="24"/>
                <w:color w:val="auto"/>
              </w:rPr>
            </w:pPr>
          </w:p>
        </w:tc>
        <w:tc>
          <w:tcPr>
            <w:tcW w:w="940" w:type="dxa"/>
            <w:vAlign w:val="bottom"/>
            <w:shd w:val="clear" w:color="auto" w:fill="CCEEFF"/>
          </w:tcPr>
          <w:p>
            <w:pPr>
              <w:jc w:val="right"/>
              <w:ind w:right="13"/>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43"/>
        </w:trPr>
        <w:tc>
          <w:tcPr>
            <w:tcW w:w="3840" w:type="dxa"/>
            <w:vAlign w:val="bottom"/>
            <w:gridSpan w:val="3"/>
          </w:tcPr>
          <w:p>
            <w:pPr>
              <w:ind w:left="40"/>
              <w:spacing w:after="0"/>
              <w:rPr>
                <w:sz w:val="20"/>
                <w:szCs w:val="20"/>
                <w:color w:val="auto"/>
              </w:rPr>
            </w:pPr>
            <w:r>
              <w:rPr>
                <w:rFonts w:ascii="Arial" w:cs="Arial" w:eastAsia="Arial" w:hAnsi="Arial"/>
                <w:sz w:val="18"/>
                <w:szCs w:val="18"/>
                <w:color w:val="auto"/>
              </w:rPr>
              <w:t>Amortization of:</w:t>
            </w:r>
          </w:p>
        </w:tc>
        <w:tc>
          <w:tcPr>
            <w:tcW w:w="260" w:type="dxa"/>
            <w:vAlign w:val="bottom"/>
          </w:tcPr>
          <w:p>
            <w:pPr>
              <w:spacing w:after="0"/>
              <w:rPr>
                <w:sz w:val="21"/>
                <w:szCs w:val="21"/>
                <w:color w:val="auto"/>
              </w:rPr>
            </w:pPr>
          </w:p>
        </w:tc>
        <w:tc>
          <w:tcPr>
            <w:tcW w:w="86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82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60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9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40" w:type="dxa"/>
            <w:vAlign w:val="bottom"/>
          </w:tcPr>
          <w:p>
            <w:pPr>
              <w:spacing w:after="0"/>
              <w:rPr>
                <w:sz w:val="2"/>
                <w:szCs w:val="2"/>
                <w:color w:val="auto"/>
              </w:rPr>
            </w:pPr>
          </w:p>
        </w:tc>
        <w:tc>
          <w:tcPr>
            <w:tcW w:w="1580" w:type="dxa"/>
            <w:vAlign w:val="bottom"/>
          </w:tcPr>
          <w:p>
            <w:pPr>
              <w:spacing w:after="0"/>
              <w:rPr>
                <w:sz w:val="2"/>
                <w:szCs w:val="2"/>
                <w:color w:val="auto"/>
              </w:rPr>
            </w:pPr>
          </w:p>
        </w:tc>
        <w:tc>
          <w:tcPr>
            <w:tcW w:w="2220" w:type="dxa"/>
            <w:vAlign w:val="bottom"/>
          </w:tcPr>
          <w:p>
            <w:pPr>
              <w:spacing w:after="0"/>
              <w:rPr>
                <w:sz w:val="2"/>
                <w:szCs w:val="2"/>
                <w:color w:val="auto"/>
              </w:rPr>
            </w:pPr>
          </w:p>
        </w:tc>
        <w:tc>
          <w:tcPr>
            <w:tcW w:w="260" w:type="dxa"/>
            <w:vAlign w:val="bottom"/>
          </w:tcPr>
          <w:p>
            <w:pPr>
              <w:spacing w:after="0"/>
              <w:rPr>
                <w:sz w:val="2"/>
                <w:szCs w:val="2"/>
                <w:color w:val="auto"/>
              </w:rPr>
            </w:pPr>
          </w:p>
        </w:tc>
        <w:tc>
          <w:tcPr>
            <w:tcW w:w="860" w:type="dxa"/>
            <w:vAlign w:val="bottom"/>
          </w:tcPr>
          <w:p>
            <w:pPr>
              <w:spacing w:after="0"/>
              <w:rPr>
                <w:sz w:val="2"/>
                <w:szCs w:val="2"/>
                <w:color w:val="auto"/>
              </w:rPr>
            </w:pPr>
          </w:p>
        </w:tc>
        <w:tc>
          <w:tcPr>
            <w:tcW w:w="40" w:type="dxa"/>
            <w:vAlign w:val="bottom"/>
          </w:tcPr>
          <w:p>
            <w:pPr>
              <w:spacing w:after="0"/>
              <w:rPr>
                <w:sz w:val="2"/>
                <w:szCs w:val="2"/>
                <w:color w:val="auto"/>
              </w:rPr>
            </w:pPr>
          </w:p>
        </w:tc>
        <w:tc>
          <w:tcPr>
            <w:tcW w:w="80" w:type="dxa"/>
            <w:vAlign w:val="bottom"/>
          </w:tcPr>
          <w:p>
            <w:pPr>
              <w:spacing w:after="0"/>
              <w:rPr>
                <w:sz w:val="2"/>
                <w:szCs w:val="2"/>
                <w:color w:val="auto"/>
              </w:rPr>
            </w:pPr>
          </w:p>
        </w:tc>
        <w:tc>
          <w:tcPr>
            <w:tcW w:w="260" w:type="dxa"/>
            <w:vAlign w:val="bottom"/>
          </w:tcPr>
          <w:p>
            <w:pPr>
              <w:spacing w:after="0"/>
              <w:rPr>
                <w:sz w:val="2"/>
                <w:szCs w:val="2"/>
                <w:color w:val="auto"/>
              </w:rPr>
            </w:pPr>
          </w:p>
        </w:tc>
        <w:tc>
          <w:tcPr>
            <w:tcW w:w="820" w:type="dxa"/>
            <w:vAlign w:val="bottom"/>
          </w:tcPr>
          <w:p>
            <w:pPr>
              <w:spacing w:after="0"/>
              <w:rPr>
                <w:sz w:val="2"/>
                <w:szCs w:val="2"/>
                <w:color w:val="auto"/>
              </w:rPr>
            </w:pPr>
          </w:p>
        </w:tc>
        <w:tc>
          <w:tcPr>
            <w:tcW w:w="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740" w:type="dxa"/>
            <w:vAlign w:val="bottom"/>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400" w:type="dxa"/>
            <w:vAlign w:val="bottom"/>
          </w:tcPr>
          <w:p>
            <w:pPr>
              <w:spacing w:after="0"/>
              <w:rPr>
                <w:sz w:val="2"/>
                <w:szCs w:val="2"/>
                <w:color w:val="auto"/>
              </w:rPr>
            </w:pPr>
          </w:p>
        </w:tc>
        <w:tc>
          <w:tcPr>
            <w:tcW w:w="700" w:type="dxa"/>
            <w:vAlign w:val="bottom"/>
            <w:gridSpan w:val="3"/>
          </w:tcPr>
          <w:p>
            <w:pPr>
              <w:spacing w:after="0"/>
              <w:rPr>
                <w:sz w:val="2"/>
                <w:szCs w:val="2"/>
                <w:color w:val="auto"/>
              </w:rPr>
            </w:pPr>
          </w:p>
        </w:tc>
        <w:tc>
          <w:tcPr>
            <w:tcW w:w="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960" w:type="dxa"/>
            <w:vAlign w:val="bottom"/>
            <w:gridSpan w:val="4"/>
          </w:tcPr>
          <w:p>
            <w:pPr>
              <w:spacing w:after="0"/>
              <w:rPr>
                <w:sz w:val="2"/>
                <w:szCs w:val="2"/>
                <w:color w:val="auto"/>
              </w:rPr>
            </w:pPr>
          </w:p>
        </w:tc>
        <w:tc>
          <w:tcPr>
            <w:tcW w:w="100" w:type="dxa"/>
            <w:vAlign w:val="bottom"/>
          </w:tcPr>
          <w:p>
            <w:pPr>
              <w:spacing w:after="0"/>
              <w:rPr>
                <w:sz w:val="2"/>
                <w:szCs w:val="2"/>
                <w:color w:val="auto"/>
              </w:rPr>
            </w:pPr>
          </w:p>
        </w:tc>
        <w:tc>
          <w:tcPr>
            <w:tcW w:w="20" w:type="dxa"/>
            <w:vAlign w:val="bottom"/>
          </w:tcPr>
          <w:p>
            <w:pPr>
              <w:spacing w:after="0"/>
              <w:rPr>
                <w:sz w:val="2"/>
                <w:szCs w:val="2"/>
                <w:color w:val="auto"/>
              </w:rPr>
            </w:pPr>
          </w:p>
        </w:tc>
        <w:tc>
          <w:tcPr>
            <w:tcW w:w="180" w:type="dxa"/>
            <w:vAlign w:val="bottom"/>
          </w:tcPr>
          <w:p>
            <w:pPr>
              <w:spacing w:after="0"/>
              <w:rPr>
                <w:sz w:val="2"/>
                <w:szCs w:val="2"/>
                <w:color w:val="auto"/>
              </w:rPr>
            </w:pPr>
          </w:p>
        </w:tc>
        <w:tc>
          <w:tcPr>
            <w:tcW w:w="9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40" w:type="dxa"/>
            <w:vAlign w:val="bottom"/>
            <w:shd w:val="clear" w:color="auto" w:fill="CCEEFF"/>
          </w:tcPr>
          <w:p>
            <w:pPr>
              <w:spacing w:after="0"/>
              <w:rPr>
                <w:sz w:val="23"/>
                <w:szCs w:val="23"/>
                <w:color w:val="auto"/>
              </w:rPr>
            </w:pPr>
          </w:p>
        </w:tc>
        <w:tc>
          <w:tcPr>
            <w:tcW w:w="3800" w:type="dxa"/>
            <w:vAlign w:val="bottom"/>
            <w:gridSpan w:val="2"/>
            <w:shd w:val="clear" w:color="auto" w:fill="CCEEFF"/>
          </w:tcPr>
          <w:p>
            <w:pPr>
              <w:ind w:left="240"/>
              <w:spacing w:after="0"/>
              <w:rPr>
                <w:sz w:val="20"/>
                <w:szCs w:val="20"/>
                <w:color w:val="auto"/>
              </w:rPr>
            </w:pPr>
            <w:r>
              <w:rPr>
                <w:rFonts w:ascii="Arial" w:cs="Arial" w:eastAsia="Arial" w:hAnsi="Arial"/>
                <w:sz w:val="18"/>
                <w:szCs w:val="18"/>
                <w:color w:val="auto"/>
              </w:rPr>
              <w:t>Prior service cost (benefit)</w:t>
            </w:r>
          </w:p>
        </w:tc>
        <w:tc>
          <w:tcPr>
            <w:tcW w:w="260" w:type="dxa"/>
            <w:vAlign w:val="bottom"/>
            <w:shd w:val="clear" w:color="auto" w:fill="CCEEFF"/>
          </w:tcPr>
          <w:p>
            <w:pPr>
              <w:spacing w:after="0"/>
              <w:rPr>
                <w:sz w:val="23"/>
                <w:szCs w:val="23"/>
                <w:color w:val="auto"/>
              </w:rPr>
            </w:pPr>
          </w:p>
        </w:tc>
        <w:tc>
          <w:tcPr>
            <w:tcW w:w="86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28</w:t>
            </w:r>
          </w:p>
        </w:tc>
        <w:tc>
          <w:tcPr>
            <w:tcW w:w="40" w:type="dxa"/>
            <w:vAlign w:val="bottom"/>
            <w:shd w:val="clear" w:color="auto" w:fill="CCEEFF"/>
          </w:tcPr>
          <w:p>
            <w:pPr>
              <w:spacing w:after="0"/>
              <w:rPr>
                <w:sz w:val="23"/>
                <w:szCs w:val="23"/>
                <w:color w:val="auto"/>
              </w:rPr>
            </w:pPr>
          </w:p>
        </w:tc>
        <w:tc>
          <w:tcPr>
            <w:tcW w:w="80" w:type="dxa"/>
            <w:vAlign w:val="bottom"/>
            <w:shd w:val="clear" w:color="auto" w:fill="CCEEFF"/>
          </w:tcPr>
          <w:p>
            <w:pPr>
              <w:spacing w:after="0"/>
              <w:rPr>
                <w:sz w:val="23"/>
                <w:szCs w:val="23"/>
                <w:color w:val="auto"/>
              </w:rPr>
            </w:pPr>
          </w:p>
        </w:tc>
        <w:tc>
          <w:tcPr>
            <w:tcW w:w="260" w:type="dxa"/>
            <w:vAlign w:val="bottom"/>
            <w:shd w:val="clear" w:color="auto" w:fill="CCEEFF"/>
          </w:tcPr>
          <w:p>
            <w:pPr>
              <w:spacing w:after="0"/>
              <w:rPr>
                <w:sz w:val="23"/>
                <w:szCs w:val="23"/>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w:t>
            </w:r>
          </w:p>
        </w:tc>
        <w:tc>
          <w:tcPr>
            <w:tcW w:w="4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16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740" w:type="dxa"/>
            <w:vAlign w:val="bottom"/>
            <w:shd w:val="clear" w:color="auto" w:fill="CCEEFF"/>
          </w:tcPr>
          <w:p>
            <w:pPr>
              <w:jc w:val="right"/>
              <w:ind w:right="36"/>
              <w:spacing w:after="0"/>
              <w:rPr>
                <w:sz w:val="20"/>
                <w:szCs w:val="20"/>
                <w:color w:val="auto"/>
              </w:rPr>
            </w:pPr>
            <w:r>
              <w:rPr>
                <w:rFonts w:ascii="Arial" w:cs="Arial" w:eastAsia="Arial" w:hAnsi="Arial"/>
                <w:sz w:val="18"/>
                <w:szCs w:val="18"/>
                <w:color w:val="auto"/>
              </w:rPr>
              <w:t>28</w:t>
            </w:r>
          </w:p>
        </w:tc>
        <w:tc>
          <w:tcPr>
            <w:tcW w:w="20" w:type="dxa"/>
            <w:vAlign w:val="bottom"/>
            <w:shd w:val="clear" w:color="auto" w:fill="CCEEFF"/>
          </w:tcPr>
          <w:p>
            <w:pPr>
              <w:spacing w:after="0"/>
              <w:rPr>
                <w:sz w:val="23"/>
                <w:szCs w:val="23"/>
                <w:color w:val="auto"/>
              </w:rPr>
            </w:pPr>
          </w:p>
        </w:tc>
        <w:tc>
          <w:tcPr>
            <w:tcW w:w="80" w:type="dxa"/>
            <w:vAlign w:val="bottom"/>
            <w:shd w:val="clear" w:color="auto" w:fill="CCEEFF"/>
          </w:tcPr>
          <w:p>
            <w:pPr>
              <w:spacing w:after="0"/>
              <w:rPr>
                <w:sz w:val="23"/>
                <w:szCs w:val="23"/>
                <w:color w:val="auto"/>
              </w:rPr>
            </w:pPr>
          </w:p>
        </w:tc>
        <w:tc>
          <w:tcPr>
            <w:tcW w:w="400" w:type="dxa"/>
            <w:vAlign w:val="bottom"/>
            <w:shd w:val="clear" w:color="auto" w:fill="CCEEFF"/>
          </w:tcPr>
          <w:p>
            <w:pPr>
              <w:spacing w:after="0"/>
              <w:rPr>
                <w:sz w:val="23"/>
                <w:szCs w:val="23"/>
                <w:color w:val="auto"/>
              </w:rPr>
            </w:pPr>
          </w:p>
        </w:tc>
        <w:tc>
          <w:tcPr>
            <w:tcW w:w="70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(236)</w:t>
            </w:r>
          </w:p>
        </w:tc>
        <w:tc>
          <w:tcPr>
            <w:tcW w:w="4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180" w:type="dxa"/>
            <w:vAlign w:val="bottom"/>
            <w:shd w:val="clear" w:color="auto" w:fill="CCEEFF"/>
          </w:tcPr>
          <w:p>
            <w:pPr>
              <w:spacing w:after="0"/>
              <w:rPr>
                <w:sz w:val="23"/>
                <w:szCs w:val="23"/>
                <w:color w:val="auto"/>
              </w:rPr>
            </w:pPr>
          </w:p>
        </w:tc>
        <w:tc>
          <w:tcPr>
            <w:tcW w:w="960" w:type="dxa"/>
            <w:vAlign w:val="bottom"/>
            <w:gridSpan w:val="4"/>
            <w:shd w:val="clear" w:color="auto" w:fill="CCEEFF"/>
          </w:tcPr>
          <w:p>
            <w:pPr>
              <w:jc w:val="right"/>
              <w:spacing w:after="0"/>
              <w:rPr>
                <w:sz w:val="20"/>
                <w:szCs w:val="20"/>
                <w:color w:val="auto"/>
              </w:rPr>
            </w:pPr>
            <w:r>
              <w:rPr>
                <w:rFonts w:ascii="Arial" w:cs="Arial" w:eastAsia="Arial" w:hAnsi="Arial"/>
                <w:sz w:val="18"/>
                <w:szCs w:val="18"/>
                <w:color w:val="auto"/>
              </w:rPr>
              <w:t>(236)</w:t>
            </w:r>
          </w:p>
        </w:tc>
        <w:tc>
          <w:tcPr>
            <w:tcW w:w="100" w:type="dxa"/>
            <w:vAlign w:val="bottom"/>
            <w:shd w:val="clear" w:color="auto" w:fill="CCEEFF"/>
          </w:tcPr>
          <w:p>
            <w:pPr>
              <w:spacing w:after="0"/>
              <w:rPr>
                <w:sz w:val="23"/>
                <w:szCs w:val="23"/>
                <w:color w:val="auto"/>
              </w:rPr>
            </w:pPr>
          </w:p>
        </w:tc>
        <w:tc>
          <w:tcPr>
            <w:tcW w:w="20" w:type="dxa"/>
            <w:vAlign w:val="bottom"/>
            <w:shd w:val="clear" w:color="auto" w:fill="CCEEFF"/>
          </w:tcPr>
          <w:p>
            <w:pPr>
              <w:spacing w:after="0"/>
              <w:rPr>
                <w:sz w:val="23"/>
                <w:szCs w:val="23"/>
                <w:color w:val="auto"/>
              </w:rPr>
            </w:pPr>
          </w:p>
        </w:tc>
        <w:tc>
          <w:tcPr>
            <w:tcW w:w="180" w:type="dxa"/>
            <w:vAlign w:val="bottom"/>
            <w:shd w:val="clear" w:color="auto" w:fill="CCEEFF"/>
          </w:tcPr>
          <w:p>
            <w:pPr>
              <w:spacing w:after="0"/>
              <w:rPr>
                <w:sz w:val="23"/>
                <w:szCs w:val="23"/>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(237)</w:t>
            </w:r>
          </w:p>
        </w:tc>
        <w:tc>
          <w:tcPr>
            <w:tcW w:w="0" w:type="dxa"/>
            <w:vAlign w:val="bottom"/>
          </w:tcPr>
          <w:p>
            <w:pPr>
              <w:spacing w:after="0"/>
              <w:rPr>
                <w:sz w:val="1"/>
                <w:szCs w:val="1"/>
                <w:color w:val="auto"/>
              </w:rPr>
            </w:pPr>
          </w:p>
        </w:tc>
      </w:tr>
      <w:tr>
        <w:trPr>
          <w:trHeight w:val="264"/>
        </w:trPr>
        <w:tc>
          <w:tcPr>
            <w:tcW w:w="40" w:type="dxa"/>
            <w:vAlign w:val="bottom"/>
            <w:tcBorders>
              <w:bottom w:val="single" w:sz="8" w:color="CCEEFF"/>
            </w:tcBorders>
          </w:tcPr>
          <w:p>
            <w:pPr>
              <w:spacing w:after="0"/>
              <w:rPr>
                <w:sz w:val="22"/>
                <w:szCs w:val="22"/>
                <w:color w:val="auto"/>
              </w:rPr>
            </w:pPr>
          </w:p>
        </w:tc>
        <w:tc>
          <w:tcPr>
            <w:tcW w:w="3800" w:type="dxa"/>
            <w:vAlign w:val="bottom"/>
            <w:tcBorders>
              <w:bottom w:val="single" w:sz="8" w:color="CCEEFF"/>
            </w:tcBorders>
            <w:gridSpan w:val="2"/>
          </w:tcPr>
          <w:p>
            <w:pPr>
              <w:ind w:left="240"/>
              <w:spacing w:after="0"/>
              <w:rPr>
                <w:sz w:val="20"/>
                <w:szCs w:val="20"/>
                <w:color w:val="auto"/>
              </w:rPr>
            </w:pPr>
            <w:r>
              <w:rPr>
                <w:rFonts w:ascii="Arial" w:cs="Arial" w:eastAsia="Arial" w:hAnsi="Arial"/>
                <w:sz w:val="18"/>
                <w:szCs w:val="18"/>
                <w:color w:val="auto"/>
              </w:rPr>
              <w:t>Unrecognized net loss (gain)</w:t>
            </w:r>
          </w:p>
        </w:tc>
        <w:tc>
          <w:tcPr>
            <w:tcW w:w="260" w:type="dxa"/>
            <w:vAlign w:val="bottom"/>
            <w:tcBorders>
              <w:bottom w:val="single" w:sz="8" w:color="auto"/>
            </w:tcBorders>
          </w:tcPr>
          <w:p>
            <w:pPr>
              <w:spacing w:after="0"/>
              <w:rPr>
                <w:sz w:val="22"/>
                <w:szCs w:val="22"/>
                <w:color w:val="auto"/>
              </w:rPr>
            </w:pPr>
          </w:p>
        </w:tc>
        <w:tc>
          <w:tcPr>
            <w:tcW w:w="860" w:type="dxa"/>
            <w:vAlign w:val="bottom"/>
            <w:tcBorders>
              <w:bottom w:val="single" w:sz="8" w:color="auto"/>
            </w:tcBorders>
          </w:tcPr>
          <w:p>
            <w:pPr>
              <w:jc w:val="right"/>
              <w:ind w:right="12"/>
              <w:spacing w:after="0"/>
              <w:rPr>
                <w:sz w:val="20"/>
                <w:szCs w:val="20"/>
                <w:color w:val="auto"/>
              </w:rPr>
            </w:pPr>
            <w:r>
              <w:rPr>
                <w:rFonts w:ascii="Arial" w:cs="Arial" w:eastAsia="Arial" w:hAnsi="Arial"/>
                <w:sz w:val="18"/>
                <w:szCs w:val="18"/>
                <w:color w:val="auto"/>
              </w:rPr>
              <w:t>150</w:t>
            </w:r>
          </w:p>
        </w:tc>
        <w:tc>
          <w:tcPr>
            <w:tcW w:w="40" w:type="dxa"/>
            <w:vAlign w:val="bottom"/>
            <w:tcBorders>
              <w:bottom w:val="single" w:sz="8" w:color="CCEEFF"/>
            </w:tcBorders>
          </w:tcPr>
          <w:p>
            <w:pPr>
              <w:spacing w:after="0"/>
              <w:rPr>
                <w:sz w:val="22"/>
                <w:szCs w:val="22"/>
                <w:color w:val="auto"/>
              </w:rPr>
            </w:pPr>
          </w:p>
        </w:tc>
        <w:tc>
          <w:tcPr>
            <w:tcW w:w="80" w:type="dxa"/>
            <w:vAlign w:val="bottom"/>
            <w:tcBorders>
              <w:bottom w:val="single" w:sz="8" w:color="CCEEFF"/>
            </w:tcBorders>
          </w:tcPr>
          <w:p>
            <w:pPr>
              <w:spacing w:after="0"/>
              <w:rPr>
                <w:sz w:val="22"/>
                <w:szCs w:val="22"/>
                <w:color w:val="auto"/>
              </w:rPr>
            </w:pPr>
          </w:p>
        </w:tc>
        <w:tc>
          <w:tcPr>
            <w:tcW w:w="260" w:type="dxa"/>
            <w:vAlign w:val="bottom"/>
            <w:tcBorders>
              <w:bottom w:val="single" w:sz="8" w:color="auto"/>
            </w:tcBorders>
          </w:tcPr>
          <w:p>
            <w:pPr>
              <w:spacing w:after="0"/>
              <w:rPr>
                <w:sz w:val="22"/>
                <w:szCs w:val="22"/>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140</w:t>
            </w:r>
          </w:p>
        </w:tc>
        <w:tc>
          <w:tcPr>
            <w:tcW w:w="40" w:type="dxa"/>
            <w:vAlign w:val="bottom"/>
            <w:tcBorders>
              <w:bottom w:val="single" w:sz="8" w:color="auto"/>
            </w:tcBorders>
          </w:tcPr>
          <w:p>
            <w:pPr>
              <w:spacing w:after="0"/>
              <w:rPr>
                <w:sz w:val="22"/>
                <w:szCs w:val="22"/>
                <w:color w:val="auto"/>
              </w:rPr>
            </w:pPr>
          </w:p>
        </w:tc>
        <w:tc>
          <w:tcPr>
            <w:tcW w:w="100" w:type="dxa"/>
            <w:vAlign w:val="bottom"/>
            <w:tcBorders>
              <w:bottom w:val="single" w:sz="8" w:color="CCEEFF"/>
            </w:tcBorders>
          </w:tcPr>
          <w:p>
            <w:pPr>
              <w:spacing w:after="0"/>
              <w:rPr>
                <w:sz w:val="22"/>
                <w:szCs w:val="22"/>
                <w:color w:val="auto"/>
              </w:rPr>
            </w:pPr>
          </w:p>
        </w:tc>
        <w:tc>
          <w:tcPr>
            <w:tcW w:w="160" w:type="dxa"/>
            <w:vAlign w:val="bottom"/>
            <w:tcBorders>
              <w:bottom w:val="single" w:sz="8" w:color="auto"/>
            </w:tcBorders>
          </w:tcPr>
          <w:p>
            <w:pPr>
              <w:spacing w:after="0"/>
              <w:rPr>
                <w:sz w:val="22"/>
                <w:szCs w:val="22"/>
                <w:color w:val="auto"/>
              </w:rPr>
            </w:pPr>
          </w:p>
        </w:tc>
        <w:tc>
          <w:tcPr>
            <w:tcW w:w="120" w:type="dxa"/>
            <w:vAlign w:val="bottom"/>
            <w:tcBorders>
              <w:bottom w:val="single" w:sz="8" w:color="auto"/>
            </w:tcBorders>
          </w:tcPr>
          <w:p>
            <w:pPr>
              <w:spacing w:after="0"/>
              <w:rPr>
                <w:sz w:val="22"/>
                <w:szCs w:val="22"/>
                <w:color w:val="auto"/>
              </w:rPr>
            </w:pPr>
          </w:p>
        </w:tc>
        <w:tc>
          <w:tcPr>
            <w:tcW w:w="120" w:type="dxa"/>
            <w:vAlign w:val="bottom"/>
            <w:tcBorders>
              <w:bottom w:val="single" w:sz="8" w:color="auto"/>
            </w:tcBorders>
          </w:tcPr>
          <w:p>
            <w:pPr>
              <w:spacing w:after="0"/>
              <w:rPr>
                <w:sz w:val="22"/>
                <w:szCs w:val="22"/>
                <w:color w:val="auto"/>
              </w:rPr>
            </w:pPr>
          </w:p>
        </w:tc>
        <w:tc>
          <w:tcPr>
            <w:tcW w:w="740" w:type="dxa"/>
            <w:vAlign w:val="bottom"/>
            <w:tcBorders>
              <w:bottom w:val="single" w:sz="8" w:color="auto"/>
            </w:tcBorders>
          </w:tcPr>
          <w:p>
            <w:pPr>
              <w:jc w:val="right"/>
              <w:ind w:right="36"/>
              <w:spacing w:after="0"/>
              <w:rPr>
                <w:sz w:val="20"/>
                <w:szCs w:val="20"/>
                <w:color w:val="auto"/>
              </w:rPr>
            </w:pPr>
            <w:r>
              <w:rPr>
                <w:rFonts w:ascii="Arial" w:cs="Arial" w:eastAsia="Arial" w:hAnsi="Arial"/>
                <w:sz w:val="18"/>
                <w:szCs w:val="18"/>
                <w:color w:val="auto"/>
              </w:rPr>
              <w:t>144</w:t>
            </w:r>
          </w:p>
        </w:tc>
        <w:tc>
          <w:tcPr>
            <w:tcW w:w="20" w:type="dxa"/>
            <w:vAlign w:val="bottom"/>
            <w:tcBorders>
              <w:bottom w:val="single" w:sz="8" w:color="CCEEFF"/>
            </w:tcBorders>
          </w:tcPr>
          <w:p>
            <w:pPr>
              <w:spacing w:after="0"/>
              <w:rPr>
                <w:sz w:val="22"/>
                <w:szCs w:val="22"/>
                <w:color w:val="auto"/>
              </w:rPr>
            </w:pPr>
          </w:p>
        </w:tc>
        <w:tc>
          <w:tcPr>
            <w:tcW w:w="80" w:type="dxa"/>
            <w:vAlign w:val="bottom"/>
            <w:tcBorders>
              <w:bottom w:val="single" w:sz="8" w:color="CCEEFF"/>
            </w:tcBorders>
          </w:tcPr>
          <w:p>
            <w:pPr>
              <w:spacing w:after="0"/>
              <w:rPr>
                <w:sz w:val="22"/>
                <w:szCs w:val="22"/>
                <w:color w:val="auto"/>
              </w:rPr>
            </w:pPr>
          </w:p>
        </w:tc>
        <w:tc>
          <w:tcPr>
            <w:tcW w:w="400" w:type="dxa"/>
            <w:vAlign w:val="bottom"/>
            <w:tcBorders>
              <w:bottom w:val="single" w:sz="8" w:color="auto"/>
            </w:tcBorders>
          </w:tcPr>
          <w:p>
            <w:pPr>
              <w:spacing w:after="0"/>
              <w:rPr>
                <w:sz w:val="22"/>
                <w:szCs w:val="22"/>
                <w:color w:val="auto"/>
              </w:rPr>
            </w:pPr>
          </w:p>
        </w:tc>
        <w:tc>
          <w:tcPr>
            <w:tcW w:w="700" w:type="dxa"/>
            <w:vAlign w:val="bottom"/>
            <w:tcBorders>
              <w:bottom w:val="single" w:sz="8" w:color="auto"/>
            </w:tcBorders>
            <w:gridSpan w:val="3"/>
          </w:tcPr>
          <w:p>
            <w:pPr>
              <w:jc w:val="right"/>
              <w:spacing w:after="0"/>
              <w:rPr>
                <w:sz w:val="20"/>
                <w:szCs w:val="20"/>
                <w:color w:val="auto"/>
              </w:rPr>
            </w:pPr>
            <w:r>
              <w:rPr>
                <w:rFonts w:ascii="Arial" w:cs="Arial" w:eastAsia="Arial" w:hAnsi="Arial"/>
                <w:sz w:val="18"/>
                <w:szCs w:val="18"/>
                <w:color w:val="auto"/>
              </w:rPr>
              <w:t>(31)</w:t>
            </w:r>
          </w:p>
        </w:tc>
        <w:tc>
          <w:tcPr>
            <w:tcW w:w="40" w:type="dxa"/>
            <w:vAlign w:val="bottom"/>
            <w:tcBorders>
              <w:bottom w:val="single" w:sz="8" w:color="auto"/>
            </w:tcBorders>
          </w:tcPr>
          <w:p>
            <w:pPr>
              <w:spacing w:after="0"/>
              <w:rPr>
                <w:sz w:val="22"/>
                <w:szCs w:val="22"/>
                <w:color w:val="auto"/>
              </w:rPr>
            </w:pPr>
          </w:p>
        </w:tc>
        <w:tc>
          <w:tcPr>
            <w:tcW w:w="100" w:type="dxa"/>
            <w:vAlign w:val="bottom"/>
            <w:tcBorders>
              <w:bottom w:val="single" w:sz="8" w:color="CCEEFF"/>
            </w:tcBorders>
          </w:tcPr>
          <w:p>
            <w:pPr>
              <w:spacing w:after="0"/>
              <w:rPr>
                <w:sz w:val="22"/>
                <w:szCs w:val="22"/>
                <w:color w:val="auto"/>
              </w:rPr>
            </w:pPr>
          </w:p>
        </w:tc>
        <w:tc>
          <w:tcPr>
            <w:tcW w:w="180" w:type="dxa"/>
            <w:vAlign w:val="bottom"/>
            <w:tcBorders>
              <w:bottom w:val="single" w:sz="8" w:color="auto"/>
            </w:tcBorders>
          </w:tcPr>
          <w:p>
            <w:pPr>
              <w:spacing w:after="0"/>
              <w:rPr>
                <w:sz w:val="22"/>
                <w:szCs w:val="22"/>
                <w:color w:val="auto"/>
              </w:rPr>
            </w:pPr>
          </w:p>
        </w:tc>
        <w:tc>
          <w:tcPr>
            <w:tcW w:w="600" w:type="dxa"/>
            <w:vAlign w:val="bottom"/>
            <w:tcBorders>
              <w:bottom w:val="single" w:sz="8" w:color="auto"/>
            </w:tcBorders>
          </w:tcPr>
          <w:p>
            <w:pPr>
              <w:spacing w:after="0"/>
              <w:rPr>
                <w:sz w:val="22"/>
                <w:szCs w:val="22"/>
                <w:color w:val="auto"/>
              </w:rPr>
            </w:pPr>
          </w:p>
        </w:tc>
        <w:tc>
          <w:tcPr>
            <w:tcW w:w="360" w:type="dxa"/>
            <w:vAlign w:val="bottom"/>
            <w:tcBorders>
              <w:bottom w:val="single" w:sz="8" w:color="auto"/>
            </w:tcBorders>
            <w:gridSpan w:val="3"/>
          </w:tcPr>
          <w:p>
            <w:pPr>
              <w:jc w:val="right"/>
              <w:spacing w:after="0"/>
              <w:rPr>
                <w:sz w:val="20"/>
                <w:szCs w:val="20"/>
                <w:color w:val="auto"/>
              </w:rPr>
            </w:pPr>
            <w:r>
              <w:rPr>
                <w:rFonts w:ascii="Arial" w:cs="Arial" w:eastAsia="Arial" w:hAnsi="Arial"/>
                <w:sz w:val="18"/>
                <w:szCs w:val="18"/>
                <w:color w:val="auto"/>
                <w:w w:val="93"/>
              </w:rPr>
              <w:t>(21)</w:t>
            </w:r>
          </w:p>
        </w:tc>
        <w:tc>
          <w:tcPr>
            <w:tcW w:w="100" w:type="dxa"/>
            <w:vAlign w:val="bottom"/>
            <w:tcBorders>
              <w:bottom w:val="single" w:sz="8" w:color="CCEEFF"/>
            </w:tcBorders>
          </w:tcPr>
          <w:p>
            <w:pPr>
              <w:spacing w:after="0"/>
              <w:rPr>
                <w:sz w:val="22"/>
                <w:szCs w:val="22"/>
                <w:color w:val="auto"/>
              </w:rPr>
            </w:pPr>
          </w:p>
        </w:tc>
        <w:tc>
          <w:tcPr>
            <w:tcW w:w="20" w:type="dxa"/>
            <w:vAlign w:val="bottom"/>
            <w:tcBorders>
              <w:bottom w:val="single" w:sz="8" w:color="auto"/>
            </w:tcBorders>
          </w:tcPr>
          <w:p>
            <w:pPr>
              <w:spacing w:after="0"/>
              <w:rPr>
                <w:sz w:val="22"/>
                <w:szCs w:val="22"/>
                <w:color w:val="auto"/>
              </w:rPr>
            </w:pPr>
          </w:p>
        </w:tc>
        <w:tc>
          <w:tcPr>
            <w:tcW w:w="180" w:type="dxa"/>
            <w:vAlign w:val="bottom"/>
            <w:tcBorders>
              <w:bottom w:val="single" w:sz="8" w:color="auto"/>
            </w:tcBorders>
          </w:tcPr>
          <w:p>
            <w:pPr>
              <w:spacing w:after="0"/>
              <w:rPr>
                <w:sz w:val="22"/>
                <w:szCs w:val="22"/>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(23)</w:t>
            </w:r>
          </w:p>
        </w:tc>
        <w:tc>
          <w:tcPr>
            <w:tcW w:w="0" w:type="dxa"/>
            <w:vAlign w:val="bottom"/>
          </w:tcPr>
          <w:p>
            <w:pPr>
              <w:spacing w:after="0"/>
              <w:rPr>
                <w:sz w:val="1"/>
                <w:szCs w:val="1"/>
                <w:color w:val="auto"/>
              </w:rPr>
            </w:pPr>
          </w:p>
        </w:tc>
      </w:tr>
      <w:tr>
        <w:trPr>
          <w:trHeight w:val="250"/>
        </w:trPr>
        <w:tc>
          <w:tcPr>
            <w:tcW w:w="3840" w:type="dxa"/>
            <w:vAlign w:val="bottom"/>
            <w:gridSpan w:val="3"/>
            <w:shd w:val="clear" w:color="auto" w:fill="CCEEFF"/>
          </w:tcPr>
          <w:p>
            <w:pPr>
              <w:ind w:left="40"/>
              <w:spacing w:after="0"/>
              <w:rPr>
                <w:sz w:val="20"/>
                <w:szCs w:val="20"/>
                <w:color w:val="auto"/>
              </w:rPr>
            </w:pPr>
            <w:r>
              <w:rPr>
                <w:rFonts w:ascii="Arial" w:cs="Arial" w:eastAsia="Arial" w:hAnsi="Arial"/>
                <w:sz w:val="18"/>
                <w:szCs w:val="18"/>
                <w:color w:val="auto"/>
              </w:rPr>
              <w:t>Net periodic benefit cost (income)</w:t>
            </w:r>
          </w:p>
        </w:tc>
        <w:tc>
          <w:tcPr>
            <w:tcW w:w="26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86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68</w:t>
            </w:r>
          </w:p>
        </w:tc>
        <w:tc>
          <w:tcPr>
            <w:tcW w:w="40" w:type="dxa"/>
            <w:vAlign w:val="bottom"/>
            <w:shd w:val="clear" w:color="auto" w:fill="CCEEFF"/>
          </w:tcPr>
          <w:p>
            <w:pPr>
              <w:spacing w:after="0"/>
              <w:rPr>
                <w:sz w:val="21"/>
                <w:szCs w:val="21"/>
                <w:color w:val="auto"/>
              </w:rPr>
            </w:pPr>
          </w:p>
        </w:tc>
        <w:tc>
          <w:tcPr>
            <w:tcW w:w="3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(61)</w:t>
            </w:r>
          </w:p>
        </w:tc>
        <w:tc>
          <w:tcPr>
            <w:tcW w:w="30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740" w:type="dxa"/>
            <w:vAlign w:val="bottom"/>
            <w:shd w:val="clear" w:color="auto" w:fill="CCEEFF"/>
          </w:tcPr>
          <w:p>
            <w:pPr>
              <w:jc w:val="right"/>
              <w:ind w:right="36"/>
              <w:spacing w:after="0"/>
              <w:rPr>
                <w:sz w:val="20"/>
                <w:szCs w:val="20"/>
                <w:color w:val="auto"/>
              </w:rPr>
            </w:pPr>
            <w:r>
              <w:rPr>
                <w:rFonts w:ascii="Arial" w:cs="Arial" w:eastAsia="Arial" w:hAnsi="Arial"/>
                <w:sz w:val="18"/>
                <w:szCs w:val="18"/>
                <w:color w:val="auto"/>
              </w:rPr>
              <w:t>106</w:t>
            </w:r>
          </w:p>
        </w:tc>
        <w:tc>
          <w:tcPr>
            <w:tcW w:w="20" w:type="dxa"/>
            <w:vAlign w:val="bottom"/>
            <w:shd w:val="clear" w:color="auto" w:fill="CCEEFF"/>
          </w:tcPr>
          <w:p>
            <w:pPr>
              <w:spacing w:after="0"/>
              <w:rPr>
                <w:sz w:val="21"/>
                <w:szCs w:val="21"/>
                <w:color w:val="auto"/>
              </w:rPr>
            </w:pPr>
          </w:p>
        </w:tc>
        <w:tc>
          <w:tcPr>
            <w:tcW w:w="480" w:type="dxa"/>
            <w:vAlign w:val="bottom"/>
            <w:gridSpan w:val="2"/>
            <w:shd w:val="clear" w:color="auto" w:fill="CCEEFF"/>
          </w:tcPr>
          <w:p>
            <w:pPr>
              <w:jc w:val="right"/>
              <w:ind w:right="182"/>
              <w:spacing w:after="0"/>
              <w:rPr>
                <w:sz w:val="20"/>
                <w:szCs w:val="20"/>
                <w:color w:val="auto"/>
              </w:rPr>
            </w:pPr>
            <w:r>
              <w:rPr>
                <w:rFonts w:ascii="Arial" w:cs="Arial" w:eastAsia="Arial" w:hAnsi="Arial"/>
                <w:sz w:val="18"/>
                <w:szCs w:val="18"/>
                <w:color w:val="auto"/>
              </w:rPr>
              <w:t>$</w:t>
            </w:r>
          </w:p>
        </w:tc>
        <w:tc>
          <w:tcPr>
            <w:tcW w:w="70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(246)</w:t>
            </w:r>
          </w:p>
        </w:tc>
        <w:tc>
          <w:tcPr>
            <w:tcW w:w="320" w:type="dxa"/>
            <w:vAlign w:val="bottom"/>
            <w:gridSpan w:val="3"/>
            <w:shd w:val="clear" w:color="auto" w:fill="CCEEFF"/>
          </w:tcPr>
          <w:p>
            <w:pPr>
              <w:jc w:val="center"/>
              <w:ind w:left="62"/>
              <w:spacing w:after="0"/>
              <w:rPr>
                <w:sz w:val="20"/>
                <w:szCs w:val="20"/>
                <w:color w:val="auto"/>
              </w:rPr>
            </w:pPr>
            <w:r>
              <w:rPr>
                <w:rFonts w:ascii="Arial" w:cs="Arial" w:eastAsia="Arial" w:hAnsi="Arial"/>
                <w:sz w:val="18"/>
                <w:szCs w:val="18"/>
                <w:color w:val="auto"/>
                <w:w w:val="99"/>
              </w:rPr>
              <w:t>$</w:t>
            </w:r>
          </w:p>
        </w:tc>
        <w:tc>
          <w:tcPr>
            <w:tcW w:w="960" w:type="dxa"/>
            <w:vAlign w:val="bottom"/>
            <w:gridSpan w:val="4"/>
            <w:shd w:val="clear" w:color="auto" w:fill="CCEEFF"/>
          </w:tcPr>
          <w:p>
            <w:pPr>
              <w:jc w:val="right"/>
              <w:spacing w:after="0"/>
              <w:rPr>
                <w:sz w:val="20"/>
                <w:szCs w:val="20"/>
                <w:color w:val="auto"/>
              </w:rPr>
            </w:pPr>
            <w:r>
              <w:rPr>
                <w:rFonts w:ascii="Arial" w:cs="Arial" w:eastAsia="Arial" w:hAnsi="Arial"/>
                <w:sz w:val="18"/>
                <w:szCs w:val="18"/>
                <w:color w:val="auto"/>
              </w:rPr>
              <w:t>(241)</w:t>
            </w:r>
          </w:p>
        </w:tc>
        <w:tc>
          <w:tcPr>
            <w:tcW w:w="100" w:type="dxa"/>
            <w:vAlign w:val="bottom"/>
            <w:shd w:val="clear" w:color="auto" w:fill="CCEEFF"/>
          </w:tcPr>
          <w:p>
            <w:pPr>
              <w:spacing w:after="0"/>
              <w:rPr>
                <w:sz w:val="21"/>
                <w:szCs w:val="21"/>
                <w:color w:val="auto"/>
              </w:rPr>
            </w:pPr>
          </w:p>
        </w:tc>
        <w:tc>
          <w:tcPr>
            <w:tcW w:w="20" w:type="dxa"/>
            <w:vAlign w:val="bottom"/>
            <w:shd w:val="clear" w:color="auto" w:fill="CCEEFF"/>
          </w:tcPr>
          <w:p>
            <w:pPr>
              <w:spacing w:after="0"/>
              <w:rPr>
                <w:sz w:val="21"/>
                <w:szCs w:val="21"/>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(238)</w:t>
            </w:r>
          </w:p>
        </w:tc>
        <w:tc>
          <w:tcPr>
            <w:tcW w:w="0" w:type="dxa"/>
            <w:vAlign w:val="bottom"/>
          </w:tcPr>
          <w:p>
            <w:pPr>
              <w:spacing w:after="0"/>
              <w:rPr>
                <w:sz w:val="1"/>
                <w:szCs w:val="1"/>
                <w:color w:val="auto"/>
              </w:rPr>
            </w:pPr>
          </w:p>
        </w:tc>
      </w:tr>
      <w:tr>
        <w:trPr>
          <w:trHeight w:val="20"/>
        </w:trPr>
        <w:tc>
          <w:tcPr>
            <w:tcW w:w="40" w:type="dxa"/>
            <w:vAlign w:val="bottom"/>
            <w:tcBorders>
              <w:top w:val="single" w:sz="8" w:color="CCEEFF"/>
            </w:tcBorders>
          </w:tcPr>
          <w:p>
            <w:pPr>
              <w:spacing w:after="0" w:line="20" w:lineRule="exact"/>
              <w:rPr>
                <w:sz w:val="1"/>
                <w:szCs w:val="1"/>
                <w:color w:val="auto"/>
              </w:rPr>
            </w:pPr>
          </w:p>
        </w:tc>
        <w:tc>
          <w:tcPr>
            <w:tcW w:w="1580" w:type="dxa"/>
            <w:vAlign w:val="bottom"/>
            <w:tcBorders>
              <w:top w:val="single" w:sz="8" w:color="CCEEFF"/>
            </w:tcBorders>
          </w:tcPr>
          <w:p>
            <w:pPr>
              <w:spacing w:after="0" w:line="20" w:lineRule="exact"/>
              <w:rPr>
                <w:sz w:val="1"/>
                <w:szCs w:val="1"/>
                <w:color w:val="auto"/>
              </w:rPr>
            </w:pPr>
          </w:p>
        </w:tc>
        <w:tc>
          <w:tcPr>
            <w:tcW w:w="222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339" w:lineRule="exact"/>
        <w:rPr>
          <w:sz w:val="20"/>
          <w:szCs w:val="20"/>
          <w:color w:val="auto"/>
        </w:rPr>
      </w:pPr>
    </w:p>
    <w:p>
      <w:pPr>
        <w:ind w:firstLine="243"/>
        <w:spacing w:after="0" w:line="262" w:lineRule="auto"/>
        <w:rPr>
          <w:sz w:val="20"/>
          <w:szCs w:val="20"/>
          <w:color w:val="auto"/>
        </w:rPr>
      </w:pPr>
      <w:r>
        <w:rPr>
          <w:rFonts w:ascii="Arial" w:cs="Arial" w:eastAsia="Arial" w:hAnsi="Arial"/>
          <w:sz w:val="18"/>
          <w:szCs w:val="18"/>
          <w:color w:val="auto"/>
        </w:rPr>
        <w:t>The components of net periodic benefit cost (income) other than the service cost component are included in nonoperating other income, net in American’s consolidated statements of operations.</w:t>
      </w:r>
    </w:p>
    <w:p>
      <w:pPr>
        <w:spacing w:after="0" w:line="142" w:lineRule="exact"/>
        <w:rPr>
          <w:sz w:val="20"/>
          <w:szCs w:val="20"/>
          <w:color w:val="auto"/>
        </w:rPr>
      </w:pPr>
    </w:p>
    <w:p>
      <w:pPr>
        <w:ind w:firstLine="216"/>
        <w:spacing w:after="0" w:line="262" w:lineRule="auto"/>
        <w:rPr>
          <w:sz w:val="20"/>
          <w:szCs w:val="20"/>
          <w:color w:val="auto"/>
        </w:rPr>
      </w:pPr>
      <w:r>
        <w:rPr>
          <w:rFonts w:ascii="Arial" w:cs="Arial" w:eastAsia="Arial" w:hAnsi="Arial"/>
          <w:sz w:val="18"/>
          <w:szCs w:val="18"/>
          <w:color w:val="auto"/>
        </w:rPr>
        <w:t>The estimated amount of unrecognized actuarial net loss and prior service cost for the defined benefit pension plans that will be amortized from AOCI into net periodic benefit cost over the next fiscal year is $193 million.</w:t>
      </w:r>
    </w:p>
    <w:p>
      <w:pPr>
        <w:spacing w:after="0" w:line="142" w:lineRule="exact"/>
        <w:rPr>
          <w:sz w:val="20"/>
          <w:szCs w:val="20"/>
          <w:color w:val="auto"/>
        </w:rPr>
      </w:pPr>
    </w:p>
    <w:p>
      <w:pPr>
        <w:ind w:right="20" w:firstLine="216"/>
        <w:spacing w:after="0" w:line="262" w:lineRule="auto"/>
        <w:rPr>
          <w:sz w:val="20"/>
          <w:szCs w:val="20"/>
          <w:color w:val="auto"/>
        </w:rPr>
      </w:pPr>
      <w:r>
        <w:rPr>
          <w:rFonts w:ascii="Arial" w:cs="Arial" w:eastAsia="Arial" w:hAnsi="Arial"/>
          <w:sz w:val="18"/>
          <w:szCs w:val="18"/>
          <w:color w:val="auto"/>
        </w:rPr>
        <w:t>The estimated amount of unrecognized actuarial net gain and prior service benefit for the retiree medical and other postretirement benefits plans that will be amortized from AOCI into net periodic benefit cost over the next fiscal year is $167 million.</w:t>
      </w:r>
    </w:p>
    <w:p>
      <w:pPr>
        <w:sectPr>
          <w:pgSz w:w="11900" w:h="16838" w:orient="portrait"/>
          <w:cols w:equalWidth="0" w:num="1">
            <w:col w:w="11420"/>
          </w:cols>
          <w:pgMar w:left="240" w:top="549" w:right="239" w:bottom="1016" w:gutter="0" w:footer="0" w:header="0"/>
        </w:sectPr>
      </w:pPr>
    </w:p>
    <w:p>
      <w:pPr>
        <w:spacing w:after="0" w:line="196"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143</w:t>
      </w:r>
    </w:p>
    <w:p>
      <w:pPr>
        <w:sectPr>
          <w:pgSz w:w="11900" w:h="16838" w:orient="portrait"/>
          <w:cols w:equalWidth="0" w:num="1">
            <w:col w:w="11420"/>
          </w:cols>
          <w:pgMar w:left="240" w:top="549" w:right="239" w:bottom="1016" w:gutter="0" w:footer="0" w:header="0"/>
          <w:type w:val="continuous"/>
        </w:sectPr>
      </w:pPr>
    </w:p>
    <w:bookmarkStart w:id="143" w:name="page144"/>
    <w:bookmarkEnd w:id="143"/>
    <w:p>
      <w:pPr>
        <w:jc w:val="center"/>
        <w:spacing w:after="0"/>
        <w:rPr>
          <w:sz w:val="20"/>
          <w:szCs w:val="20"/>
          <w:color w:val="auto"/>
        </w:rPr>
      </w:pPr>
      <w:r>
        <w:rPr>
          <w:rFonts w:ascii="Arial" w:cs="Arial" w:eastAsia="Arial" w:hAnsi="Arial"/>
          <w:sz w:val="18"/>
          <w:szCs w:val="18"/>
          <w:b w:val="1"/>
          <w:bCs w:val="1"/>
          <w:color w:val="auto"/>
        </w:rPr>
        <w:t>NOTES TO CONSOLIDATED FINANCIAL STATEMENTS OF AMERICAN AIRLINES, INC.</w:t>
      </w:r>
    </w:p>
    <w:p>
      <w:pPr>
        <w:spacing w:after="0" w:line="200" w:lineRule="exact"/>
        <w:rPr>
          <w:sz w:val="20"/>
          <w:szCs w:val="20"/>
          <w:color w:val="auto"/>
        </w:rPr>
      </w:pPr>
    </w:p>
    <w:p>
      <w:pPr>
        <w:spacing w:after="0" w:line="268" w:lineRule="exact"/>
        <w:rPr>
          <w:sz w:val="20"/>
          <w:szCs w:val="20"/>
          <w:color w:val="auto"/>
        </w:rPr>
      </w:pPr>
    </w:p>
    <w:p>
      <w:pPr>
        <w:ind w:left="220"/>
        <w:spacing w:after="0"/>
        <w:rPr>
          <w:sz w:val="20"/>
          <w:szCs w:val="20"/>
          <w:color w:val="auto"/>
        </w:rPr>
      </w:pPr>
      <w:r>
        <w:rPr>
          <w:rFonts w:ascii="Arial" w:cs="Arial" w:eastAsia="Arial" w:hAnsi="Arial"/>
          <w:sz w:val="18"/>
          <w:szCs w:val="18"/>
          <w:b w:val="1"/>
          <w:bCs w:val="1"/>
          <w:i w:val="1"/>
          <w:iCs w:val="1"/>
          <w:color w:val="auto"/>
        </w:rPr>
        <w:t>Assumptions</w:t>
      </w:r>
    </w:p>
    <w:p>
      <w:pPr>
        <w:spacing w:after="0" w:line="112" w:lineRule="exact"/>
        <w:rPr>
          <w:sz w:val="20"/>
          <w:szCs w:val="20"/>
          <w:color w:val="auto"/>
        </w:rPr>
      </w:pPr>
    </w:p>
    <w:p>
      <w:pPr>
        <w:ind w:right="20" w:firstLine="216"/>
        <w:spacing w:after="0" w:line="262" w:lineRule="auto"/>
        <w:rPr>
          <w:sz w:val="20"/>
          <w:szCs w:val="20"/>
          <w:color w:val="auto"/>
        </w:rPr>
      </w:pPr>
      <w:r>
        <w:rPr>
          <w:rFonts w:ascii="Arial" w:cs="Arial" w:eastAsia="Arial" w:hAnsi="Arial"/>
          <w:sz w:val="18"/>
          <w:szCs w:val="18"/>
          <w:color w:val="auto"/>
        </w:rPr>
        <w:t>The following actuarial assumptions were used to determine American’s benefit obligations and net periodic benefit cost (income) for the periods presented:</w:t>
      </w:r>
    </w:p>
    <w:p>
      <w:pPr>
        <w:sectPr>
          <w:pgSz w:w="11900" w:h="16838" w:orient="portrait"/>
          <w:cols w:equalWidth="0" w:num="1">
            <w:col w:w="11420"/>
          </w:cols>
          <w:pgMar w:left="240" w:top="549" w:right="2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6" w:lineRule="exact"/>
        <w:rPr>
          <w:sz w:val="20"/>
          <w:szCs w:val="20"/>
          <w:color w:val="auto"/>
        </w:rPr>
      </w:pPr>
    </w:p>
    <w:p>
      <w:pPr>
        <w:ind w:left="40"/>
        <w:spacing w:after="0"/>
        <w:rPr>
          <w:sz w:val="20"/>
          <w:szCs w:val="20"/>
          <w:color w:val="auto"/>
        </w:rPr>
      </w:pPr>
      <w:r>
        <w:rPr>
          <w:rFonts w:ascii="Arial" w:cs="Arial" w:eastAsia="Arial" w:hAnsi="Arial"/>
          <w:sz w:val="18"/>
          <w:szCs w:val="18"/>
          <w:u w:val="single" w:color="auto"/>
          <w:color w:val="auto"/>
        </w:rPr>
        <w:t>Benefit obligations:</w:t>
      </w:r>
    </w:p>
    <w:p>
      <w:pPr>
        <w:spacing w:after="0" w:line="77" w:lineRule="exact"/>
        <w:rPr>
          <w:sz w:val="20"/>
          <w:szCs w:val="20"/>
          <w:color w:val="auto"/>
        </w:rPr>
      </w:pPr>
    </w:p>
    <w:p>
      <w:pPr>
        <w:ind w:left="40"/>
        <w:spacing w:after="0"/>
        <w:rPr>
          <w:sz w:val="20"/>
          <w:szCs w:val="20"/>
          <w:color w:val="auto"/>
        </w:rPr>
      </w:pPr>
      <w:r>
        <w:rPr>
          <w:rFonts w:ascii="Arial" w:cs="Arial" w:eastAsia="Arial" w:hAnsi="Arial"/>
          <w:sz w:val="18"/>
          <w:szCs w:val="18"/>
          <w:color w:val="auto"/>
        </w:rPr>
        <w:t>Weighted average discount rate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0" w:lineRule="exact"/>
        <w:rPr>
          <w:sz w:val="20"/>
          <w:szCs w:val="20"/>
          <w:color w:val="auto"/>
        </w:rPr>
      </w:pPr>
    </w:p>
    <w:p>
      <w:pPr>
        <w:ind w:left="40"/>
        <w:spacing w:after="0"/>
        <w:rPr>
          <w:sz w:val="20"/>
          <w:szCs w:val="20"/>
          <w:color w:val="auto"/>
        </w:rPr>
      </w:pPr>
      <w:r>
        <w:rPr>
          <w:rFonts w:ascii="Arial" w:cs="Arial" w:eastAsia="Arial" w:hAnsi="Arial"/>
          <w:sz w:val="18"/>
          <w:szCs w:val="18"/>
          <w:u w:val="single" w:color="auto"/>
          <w:color w:val="auto"/>
        </w:rPr>
        <w:t>Net periodic benefit cost (income):</w:t>
      </w:r>
    </w:p>
    <w:p>
      <w:pPr>
        <w:spacing w:after="0" w:line="77" w:lineRule="exact"/>
        <w:rPr>
          <w:sz w:val="20"/>
          <w:szCs w:val="20"/>
          <w:color w:val="auto"/>
        </w:rPr>
      </w:pPr>
    </w:p>
    <w:p>
      <w:pPr>
        <w:ind w:left="40"/>
        <w:spacing w:after="0"/>
        <w:rPr>
          <w:sz w:val="20"/>
          <w:szCs w:val="20"/>
          <w:color w:val="auto"/>
        </w:rPr>
      </w:pPr>
      <w:r>
        <w:rPr>
          <w:rFonts w:ascii="Arial" w:cs="Arial" w:eastAsia="Arial" w:hAnsi="Arial"/>
          <w:sz w:val="18"/>
          <w:szCs w:val="18"/>
          <w:color w:val="auto"/>
        </w:rPr>
        <w:t>Weighted average discount rate</w:t>
      </w:r>
    </w:p>
    <w:p>
      <w:pPr>
        <w:spacing w:after="0" w:line="63" w:lineRule="exact"/>
        <w:rPr>
          <w:sz w:val="20"/>
          <w:szCs w:val="20"/>
          <w:color w:val="auto"/>
        </w:rPr>
      </w:pPr>
    </w:p>
    <w:p>
      <w:pPr>
        <w:ind w:left="40"/>
        <w:spacing w:after="0"/>
        <w:rPr>
          <w:sz w:val="20"/>
          <w:szCs w:val="20"/>
          <w:color w:val="auto"/>
        </w:rPr>
      </w:pPr>
      <w:r>
        <w:rPr>
          <w:rFonts w:ascii="Arial" w:cs="Arial" w:eastAsia="Arial" w:hAnsi="Arial"/>
          <w:sz w:val="17"/>
          <w:szCs w:val="17"/>
          <w:color w:val="auto"/>
        </w:rPr>
        <w:t>Weighted average expected rate of return on plan assets</w:t>
      </w:r>
    </w:p>
    <w:p>
      <w:pPr>
        <w:spacing w:after="0" w:line="75" w:lineRule="exact"/>
        <w:rPr>
          <w:sz w:val="20"/>
          <w:szCs w:val="20"/>
          <w:color w:val="auto"/>
        </w:rPr>
      </w:pPr>
    </w:p>
    <w:p>
      <w:pPr>
        <w:ind w:left="200" w:right="140" w:hanging="161"/>
        <w:spacing w:after="0" w:line="267" w:lineRule="auto"/>
        <w:rPr>
          <w:sz w:val="20"/>
          <w:szCs w:val="20"/>
          <w:color w:val="auto"/>
        </w:rPr>
      </w:pPr>
      <w:r>
        <w:rPr>
          <w:rFonts w:ascii="Arial" w:cs="Arial" w:eastAsia="Arial" w:hAnsi="Arial"/>
          <w:sz w:val="18"/>
          <w:szCs w:val="18"/>
          <w:color w:val="auto"/>
        </w:rPr>
        <w:t xml:space="preserve">Weighted average health care cost trend rate assumed for next year </w:t>
      </w:r>
      <w:r>
        <w:rPr>
          <w:rFonts w:ascii="Arial" w:cs="Arial" w:eastAsia="Arial" w:hAnsi="Arial"/>
          <w:sz w:val="21"/>
          <w:szCs w:val="21"/>
          <w:color w:val="auto"/>
          <w:vertAlign w:val="superscript"/>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155575</wp:posOffset>
            </wp:positionV>
            <wp:extent cx="1337945" cy="8890"/>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1337945" cy="889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34" w:lineRule="exact"/>
        <w:rPr>
          <w:sz w:val="20"/>
          <w:szCs w:val="20"/>
          <w:color w:val="auto"/>
        </w:rPr>
      </w:pPr>
    </w:p>
    <w:p>
      <w:pPr>
        <w:jc w:val="center"/>
        <w:ind w:right="20"/>
        <w:spacing w:after="0"/>
        <w:rPr>
          <w:sz w:val="20"/>
          <w:szCs w:val="20"/>
          <w:color w:val="auto"/>
        </w:rPr>
      </w:pPr>
      <w:r>
        <w:rPr>
          <w:rFonts w:ascii="Arial" w:cs="Arial" w:eastAsia="Arial" w:hAnsi="Arial"/>
          <w:sz w:val="14"/>
          <w:szCs w:val="14"/>
          <w:b w:val="1"/>
          <w:bCs w:val="1"/>
          <w:color w:val="auto"/>
        </w:rPr>
        <w:t>Pension Benefits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-193675</wp:posOffset>
            </wp:positionH>
            <wp:positionV relativeFrom="paragraph">
              <wp:posOffset>26035</wp:posOffset>
            </wp:positionV>
            <wp:extent cx="2109470" cy="8890"/>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2109470" cy="8890"/>
                    </a:xfrm>
                    <a:prstGeom prst="rect">
                      <a:avLst/>
                    </a:prstGeom>
                    <a:noFill/>
                  </pic:spPr>
                </pic:pic>
              </a:graphicData>
            </a:graphic>
          </wp:anchor>
        </w:drawing>
      </w:r>
    </w:p>
    <w:p>
      <w:pPr>
        <w:spacing w:after="0" w:line="103" w:lineRule="exact"/>
        <w:rPr>
          <w:sz w:val="20"/>
          <w:szCs w:val="20"/>
          <w:color w:val="auto"/>
        </w:rPr>
      </w:pPr>
    </w:p>
    <w:p>
      <w:pPr>
        <w:ind w:left="340"/>
        <w:spacing w:after="0"/>
        <w:tabs>
          <w:tab w:leader="none" w:pos="2040" w:val="left"/>
        </w:tabs>
        <w:rPr>
          <w:sz w:val="20"/>
          <w:szCs w:val="20"/>
          <w:color w:val="auto"/>
        </w:rPr>
      </w:pPr>
      <w:r>
        <w:rPr>
          <w:rFonts w:ascii="Arial" w:cs="Arial" w:eastAsia="Arial" w:hAnsi="Arial"/>
          <w:sz w:val="14"/>
          <w:szCs w:val="14"/>
          <w:b w:val="1"/>
          <w:bCs w:val="1"/>
          <w:color w:val="auto"/>
        </w:rPr>
        <w:t>2019</w:t>
      </w:r>
      <w:r>
        <w:rPr>
          <w:sz w:val="20"/>
          <w:szCs w:val="20"/>
          <w:color w:val="auto"/>
        </w:rPr>
        <w:tab/>
      </w:r>
      <w:r>
        <w:rPr>
          <w:rFonts w:ascii="Arial" w:cs="Arial" w:eastAsia="Arial" w:hAnsi="Arial"/>
          <w:sz w:val="14"/>
          <w:szCs w:val="14"/>
          <w:b w:val="1"/>
          <w:bCs w:val="1"/>
          <w:color w:val="auto"/>
        </w:rPr>
        <w:t>2018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-3169285</wp:posOffset>
            </wp:positionH>
            <wp:positionV relativeFrom="paragraph">
              <wp:posOffset>26035</wp:posOffset>
            </wp:positionV>
            <wp:extent cx="7246620" cy="180340"/>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7246620" cy="180340"/>
                    </a:xfrm>
                    <a:prstGeom prst="rect">
                      <a:avLst/>
                    </a:prstGeom>
                    <a:noFill/>
                  </pic:spPr>
                </pic:pic>
              </a:graphicData>
            </a:graphic>
          </wp:anchor>
        </w:drawing>
      </w:r>
    </w:p>
    <w:p>
      <w:pPr>
        <w:spacing w:after="0" w:line="345" w:lineRule="exact"/>
        <w:rPr>
          <w:sz w:val="20"/>
          <w:szCs w:val="20"/>
          <w:color w:val="auto"/>
        </w:rPr>
      </w:pPr>
    </w:p>
    <w:p>
      <w:pPr>
        <w:ind w:left="300"/>
        <w:spacing w:after="0"/>
        <w:tabs>
          <w:tab w:leader="none" w:pos="2000" w:val="left"/>
        </w:tabs>
        <w:rPr>
          <w:sz w:val="20"/>
          <w:szCs w:val="20"/>
          <w:color w:val="auto"/>
        </w:rPr>
      </w:pPr>
      <w:r>
        <w:rPr>
          <w:rFonts w:ascii="Arial" w:cs="Arial" w:eastAsia="Arial" w:hAnsi="Arial"/>
          <w:sz w:val="18"/>
          <w:szCs w:val="18"/>
          <w:color w:val="auto"/>
        </w:rPr>
        <w:t>3.4%</w:t>
      </w:r>
      <w:r>
        <w:rPr>
          <w:sz w:val="20"/>
          <w:szCs w:val="20"/>
          <w:color w:val="auto"/>
        </w:rPr>
        <w:tab/>
      </w:r>
      <w:r>
        <w:rPr>
          <w:rFonts w:ascii="Arial" w:cs="Arial" w:eastAsia="Arial" w:hAnsi="Arial"/>
          <w:sz w:val="17"/>
          <w:szCs w:val="17"/>
          <w:color w:val="auto"/>
        </w:rPr>
        <w:t>4.4%</w:t>
      </w:r>
    </w:p>
    <w:p>
      <w:pPr>
        <w:spacing w:after="0" w:line="334" w:lineRule="exact"/>
        <w:rPr>
          <w:sz w:val="20"/>
          <w:szCs w:val="20"/>
          <w:color w:val="auto"/>
        </w:rPr>
      </w:pPr>
    </w:p>
    <w:p>
      <w:pPr>
        <w:jc w:val="center"/>
        <w:ind w:right="20"/>
        <w:spacing w:after="0"/>
        <w:rPr>
          <w:sz w:val="20"/>
          <w:szCs w:val="20"/>
          <w:color w:val="auto"/>
        </w:rPr>
      </w:pPr>
      <w:r>
        <w:rPr>
          <w:rFonts w:ascii="Arial" w:cs="Arial" w:eastAsia="Arial" w:hAnsi="Arial"/>
          <w:sz w:val="14"/>
          <w:szCs w:val="14"/>
          <w:b w:val="1"/>
          <w:bCs w:val="1"/>
          <w:color w:val="auto"/>
        </w:rPr>
        <w:t>Pension Benefits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-193675</wp:posOffset>
            </wp:positionH>
            <wp:positionV relativeFrom="paragraph">
              <wp:posOffset>26035</wp:posOffset>
            </wp:positionV>
            <wp:extent cx="2109470" cy="8890"/>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2109470" cy="8890"/>
                    </a:xfrm>
                    <a:prstGeom prst="rect">
                      <a:avLst/>
                    </a:prstGeom>
                    <a:noFill/>
                  </pic:spPr>
                </pic:pic>
              </a:graphicData>
            </a:graphic>
          </wp:anchor>
        </w:drawing>
      </w:r>
    </w:p>
    <w:p>
      <w:pPr>
        <w:spacing w:after="0" w:line="103" w:lineRule="exact"/>
        <w:rPr>
          <w:sz w:val="20"/>
          <w:szCs w:val="20"/>
          <w:color w:val="auto"/>
        </w:rPr>
      </w:pPr>
    </w:p>
    <w:p>
      <w:pPr>
        <w:ind w:left="60"/>
        <w:spacing w:after="0"/>
        <w:tabs>
          <w:tab w:leader="none" w:pos="1180" w:val="left"/>
          <w:tab w:leader="none" w:pos="2320" w:val="left"/>
        </w:tabs>
        <w:rPr>
          <w:sz w:val="20"/>
          <w:szCs w:val="20"/>
          <w:color w:val="auto"/>
        </w:rPr>
      </w:pPr>
      <w:r>
        <w:rPr>
          <w:rFonts w:ascii="Arial" w:cs="Arial" w:eastAsia="Arial" w:hAnsi="Arial"/>
          <w:sz w:val="14"/>
          <w:szCs w:val="14"/>
          <w:b w:val="1"/>
          <w:bCs w:val="1"/>
          <w:color w:val="auto"/>
        </w:rPr>
        <w:t>2019</w:t>
      </w:r>
      <w:r>
        <w:rPr>
          <w:sz w:val="20"/>
          <w:szCs w:val="20"/>
          <w:color w:val="auto"/>
        </w:rPr>
        <w:tab/>
      </w:r>
      <w:r>
        <w:rPr>
          <w:rFonts w:ascii="Arial" w:cs="Arial" w:eastAsia="Arial" w:hAnsi="Arial"/>
          <w:sz w:val="14"/>
          <w:szCs w:val="14"/>
          <w:b w:val="1"/>
          <w:bCs w:val="1"/>
          <w:color w:val="auto"/>
        </w:rPr>
        <w:t>2018</w:t>
      </w:r>
      <w:r>
        <w:rPr>
          <w:sz w:val="20"/>
          <w:szCs w:val="20"/>
          <w:color w:val="auto"/>
        </w:rPr>
        <w:tab/>
      </w:r>
      <w:r>
        <w:rPr>
          <w:rFonts w:ascii="Arial" w:cs="Arial" w:eastAsia="Arial" w:hAnsi="Arial"/>
          <w:sz w:val="14"/>
          <w:szCs w:val="14"/>
          <w:b w:val="1"/>
          <w:bCs w:val="1"/>
          <w:color w:val="auto"/>
        </w:rPr>
        <w:t>2017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-3169285</wp:posOffset>
            </wp:positionH>
            <wp:positionV relativeFrom="paragraph">
              <wp:posOffset>26035</wp:posOffset>
            </wp:positionV>
            <wp:extent cx="7246620" cy="180340"/>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7246620" cy="180340"/>
                    </a:xfrm>
                    <a:prstGeom prst="rect">
                      <a:avLst/>
                    </a:prstGeom>
                    <a:noFill/>
                  </pic:spPr>
                </pic:pic>
              </a:graphicData>
            </a:graphic>
          </wp:anchor>
        </w:drawing>
      </w:r>
    </w:p>
    <w:p>
      <w:pPr>
        <w:spacing w:after="0" w:line="345" w:lineRule="exact"/>
        <w:rPr>
          <w:sz w:val="20"/>
          <w:szCs w:val="20"/>
          <w:color w:val="auto"/>
        </w:rPr>
      </w:pPr>
    </w:p>
    <w:p>
      <w:pPr>
        <w:spacing w:after="0"/>
        <w:tabs>
          <w:tab w:leader="none" w:pos="1140" w:val="left"/>
          <w:tab w:leader="none" w:pos="2280" w:val="left"/>
        </w:tabs>
        <w:rPr>
          <w:sz w:val="20"/>
          <w:szCs w:val="20"/>
          <w:color w:val="auto"/>
        </w:rPr>
      </w:pPr>
      <w:r>
        <w:rPr>
          <w:rFonts w:ascii="Arial" w:cs="Arial" w:eastAsia="Arial" w:hAnsi="Arial"/>
          <w:sz w:val="18"/>
          <w:szCs w:val="18"/>
          <w:color w:val="auto"/>
        </w:rPr>
        <w:t>4.4%</w:t>
      </w:r>
      <w:r>
        <w:rPr>
          <w:sz w:val="20"/>
          <w:szCs w:val="20"/>
          <w:color w:val="auto"/>
        </w:rPr>
        <w:tab/>
      </w:r>
      <w:r>
        <w:rPr>
          <w:rFonts w:ascii="Arial" w:cs="Arial" w:eastAsia="Arial" w:hAnsi="Arial"/>
          <w:sz w:val="18"/>
          <w:szCs w:val="18"/>
          <w:color w:val="auto"/>
        </w:rPr>
        <w:t>3.8%</w:t>
      </w:r>
      <w:r>
        <w:rPr>
          <w:sz w:val="20"/>
          <w:szCs w:val="20"/>
          <w:color w:val="auto"/>
        </w:rPr>
        <w:tab/>
      </w:r>
      <w:r>
        <w:rPr>
          <w:rFonts w:ascii="Arial" w:cs="Arial" w:eastAsia="Arial" w:hAnsi="Arial"/>
          <w:sz w:val="17"/>
          <w:szCs w:val="17"/>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-3169285</wp:posOffset>
            </wp:positionH>
            <wp:positionV relativeFrom="paragraph">
              <wp:posOffset>14605</wp:posOffset>
            </wp:positionV>
            <wp:extent cx="7246620" cy="171450"/>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7246620" cy="171450"/>
                    </a:xfrm>
                    <a:prstGeom prst="rect">
                      <a:avLst/>
                    </a:prstGeom>
                    <a:noFill/>
                  </pic:spPr>
                </pic:pic>
              </a:graphicData>
            </a:graphic>
          </wp:anchor>
        </w:drawing>
      </w:r>
    </w:p>
    <w:p>
      <w:pPr>
        <w:spacing w:after="0" w:line="43" w:lineRule="exact"/>
        <w:rPr>
          <w:sz w:val="20"/>
          <w:szCs w:val="20"/>
          <w:color w:val="auto"/>
        </w:rPr>
      </w:pPr>
    </w:p>
    <w:p>
      <w:pPr>
        <w:spacing w:after="0"/>
        <w:tabs>
          <w:tab w:leader="none" w:pos="1140" w:val="left"/>
          <w:tab w:leader="none" w:pos="2280" w:val="left"/>
        </w:tabs>
        <w:rPr>
          <w:sz w:val="20"/>
          <w:szCs w:val="20"/>
          <w:color w:val="auto"/>
        </w:rPr>
      </w:pPr>
      <w:r>
        <w:rPr>
          <w:rFonts w:ascii="Arial" w:cs="Arial" w:eastAsia="Arial" w:hAnsi="Arial"/>
          <w:sz w:val="18"/>
          <w:szCs w:val="18"/>
          <w:color w:val="auto"/>
        </w:rPr>
        <w:t>8.0%</w:t>
      </w:r>
      <w:r>
        <w:rPr>
          <w:sz w:val="20"/>
          <w:szCs w:val="20"/>
          <w:color w:val="auto"/>
        </w:rPr>
        <w:tab/>
      </w:r>
      <w:r>
        <w:rPr>
          <w:rFonts w:ascii="Arial" w:cs="Arial" w:eastAsia="Arial" w:hAnsi="Arial"/>
          <w:sz w:val="18"/>
          <w:szCs w:val="18"/>
          <w:color w:val="auto"/>
        </w:rPr>
        <w:t>8.0%</w:t>
      </w:r>
      <w:r>
        <w:rPr>
          <w:sz w:val="20"/>
          <w:szCs w:val="20"/>
          <w:color w:val="auto"/>
        </w:rPr>
        <w:tab/>
      </w:r>
      <w:r>
        <w:rPr>
          <w:rFonts w:ascii="Arial" w:cs="Arial" w:eastAsia="Arial" w:hAnsi="Arial"/>
          <w:sz w:val="17"/>
          <w:szCs w:val="17"/>
          <w:color w:val="auto"/>
        </w:rPr>
        <w:t>8.0%</w:t>
      </w:r>
    </w:p>
    <w:p>
      <w:pPr>
        <w:spacing w:after="0" w:line="252" w:lineRule="exact"/>
        <w:rPr>
          <w:sz w:val="20"/>
          <w:szCs w:val="20"/>
          <w:color w:val="auto"/>
        </w:rPr>
      </w:pPr>
    </w:p>
    <w:p>
      <w:pPr>
        <w:ind w:left="60"/>
        <w:spacing w:after="0"/>
        <w:tabs>
          <w:tab w:leader="none" w:pos="1200" w:val="left"/>
          <w:tab w:leader="none" w:pos="2340" w:val="left"/>
        </w:tabs>
        <w:rPr>
          <w:sz w:val="20"/>
          <w:szCs w:val="20"/>
          <w:color w:val="auto"/>
        </w:rPr>
      </w:pPr>
      <w:r>
        <w:rPr>
          <w:rFonts w:ascii="Arial" w:cs="Arial" w:eastAsia="Arial" w:hAnsi="Arial"/>
          <w:sz w:val="18"/>
          <w:szCs w:val="18"/>
          <w:color w:val="auto"/>
        </w:rPr>
        <w:t>N/A</w:t>
      </w:r>
      <w:r>
        <w:rPr>
          <w:sz w:val="20"/>
          <w:szCs w:val="20"/>
          <w:color w:val="auto"/>
        </w:rPr>
        <w:tab/>
      </w:r>
      <w:r>
        <w:rPr>
          <w:rFonts w:ascii="Arial" w:cs="Arial" w:eastAsia="Arial" w:hAnsi="Arial"/>
          <w:sz w:val="18"/>
          <w:szCs w:val="18"/>
          <w:color w:val="auto"/>
        </w:rPr>
        <w:t>N/A</w:t>
      </w:r>
      <w:r>
        <w:rPr>
          <w:sz w:val="20"/>
          <w:szCs w:val="20"/>
          <w:color w:val="auto"/>
        </w:rPr>
        <w:tab/>
      </w:r>
      <w:r>
        <w:rPr>
          <w:rFonts w:ascii="Arial" w:cs="Arial" w:eastAsia="Arial" w:hAnsi="Arial"/>
          <w:sz w:val="17"/>
          <w:szCs w:val="17"/>
          <w:color w:val="auto"/>
        </w:rPr>
        <w:t>N/A</w:t>
      </w:r>
    </w:p>
    <w:p>
      <w:pPr>
        <w:spacing w:after="0" w:line="20" w:lineRule="exact"/>
        <w:rPr>
          <w:sz w:val="20"/>
          <w:szCs w:val="20"/>
          <w:color w:val="auto"/>
        </w:rPr>
      </w:pPr>
      <w:r>
        <w:rPr>
          <w:sz w:val="20"/>
          <w:szCs w:val="20"/>
          <w:color w:val="auto"/>
        </w:rPr>
        <w:br w:type="column"/>
      </w:r>
    </w:p>
    <w:p>
      <w:pPr>
        <w:spacing w:after="0" w:line="272" w:lineRule="exact"/>
        <w:rPr>
          <w:sz w:val="20"/>
          <w:szCs w:val="20"/>
          <w:color w:val="auto"/>
        </w:rPr>
      </w:pPr>
    </w:p>
    <w:p>
      <w:pPr>
        <w:jc w:val="center"/>
        <w:ind w:right="300"/>
        <w:spacing w:after="0"/>
        <w:rPr>
          <w:sz w:val="20"/>
          <w:szCs w:val="20"/>
          <w:color w:val="auto"/>
        </w:rPr>
      </w:pPr>
      <w:r>
        <w:rPr>
          <w:rFonts w:ascii="Arial" w:cs="Arial" w:eastAsia="Arial" w:hAnsi="Arial"/>
          <w:sz w:val="14"/>
          <w:szCs w:val="14"/>
          <w:b w:val="1"/>
          <w:bCs w:val="1"/>
          <w:color w:val="auto"/>
        </w:rPr>
        <w:t>Retiree Medical and</w:t>
      </w:r>
    </w:p>
    <w:p>
      <w:pPr>
        <w:spacing w:after="0" w:line="19" w:lineRule="exact"/>
        <w:rPr>
          <w:sz w:val="20"/>
          <w:szCs w:val="20"/>
          <w:color w:val="auto"/>
        </w:rPr>
      </w:pPr>
    </w:p>
    <w:p>
      <w:pPr>
        <w:jc w:val="center"/>
        <w:ind w:right="300"/>
        <w:spacing w:after="0"/>
        <w:rPr>
          <w:sz w:val="20"/>
          <w:szCs w:val="20"/>
          <w:color w:val="auto"/>
        </w:rPr>
      </w:pPr>
      <w:r>
        <w:rPr>
          <w:rFonts w:ascii="Arial" w:cs="Arial" w:eastAsia="Arial" w:hAnsi="Arial"/>
          <w:sz w:val="14"/>
          <w:szCs w:val="14"/>
          <w:b w:val="1"/>
          <w:bCs w:val="1"/>
          <w:color w:val="auto"/>
        </w:rPr>
        <w:t>Other Postretirement Benefits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-199390</wp:posOffset>
            </wp:positionH>
            <wp:positionV relativeFrom="paragraph">
              <wp:posOffset>14605</wp:posOffset>
            </wp:positionV>
            <wp:extent cx="2092325" cy="8890"/>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2092325" cy="8890"/>
                    </a:xfrm>
                    <a:prstGeom prst="rect">
                      <a:avLst/>
                    </a:prstGeom>
                    <a:noFill/>
                  </pic:spPr>
                </pic:pic>
              </a:graphicData>
            </a:graphic>
          </wp:anchor>
        </w:drawing>
      </w:r>
    </w:p>
    <w:p>
      <w:pPr>
        <w:spacing w:after="0" w:line="85" w:lineRule="exact"/>
        <w:rPr>
          <w:sz w:val="20"/>
          <w:szCs w:val="20"/>
          <w:color w:val="auto"/>
        </w:rPr>
      </w:pPr>
    </w:p>
    <w:p>
      <w:pPr>
        <w:ind w:left="320"/>
        <w:spacing w:after="0"/>
        <w:tabs>
          <w:tab w:leader="none" w:pos="2000" w:val="left"/>
        </w:tabs>
        <w:rPr>
          <w:sz w:val="20"/>
          <w:szCs w:val="20"/>
          <w:color w:val="auto"/>
        </w:rPr>
      </w:pPr>
      <w:r>
        <w:rPr>
          <w:rFonts w:ascii="Arial" w:cs="Arial" w:eastAsia="Arial" w:hAnsi="Arial"/>
          <w:sz w:val="14"/>
          <w:szCs w:val="14"/>
          <w:b w:val="1"/>
          <w:bCs w:val="1"/>
          <w:color w:val="auto"/>
        </w:rPr>
        <w:t>2019</w:t>
      </w:r>
      <w:r>
        <w:rPr>
          <w:sz w:val="20"/>
          <w:szCs w:val="20"/>
          <w:color w:val="auto"/>
        </w:rPr>
        <w:tab/>
      </w:r>
      <w:r>
        <w:rPr>
          <w:rFonts w:ascii="Arial" w:cs="Arial" w:eastAsia="Arial" w:hAnsi="Arial"/>
          <w:sz w:val="14"/>
          <w:szCs w:val="14"/>
          <w:b w:val="1"/>
          <w:bCs w:val="1"/>
          <w:color w:val="auto"/>
        </w:rPr>
        <w:t>2018</w:t>
      </w:r>
    </w:p>
    <w:p>
      <w:pPr>
        <w:spacing w:after="0" w:line="365" w:lineRule="exact"/>
        <w:rPr>
          <w:sz w:val="20"/>
          <w:szCs w:val="20"/>
          <w:color w:val="auto"/>
        </w:rPr>
      </w:pPr>
    </w:p>
    <w:p>
      <w:pPr>
        <w:ind w:left="280"/>
        <w:spacing w:after="0"/>
        <w:tabs>
          <w:tab w:leader="none" w:pos="1960" w:val="left"/>
        </w:tabs>
        <w:rPr>
          <w:sz w:val="20"/>
          <w:szCs w:val="20"/>
          <w:color w:val="auto"/>
        </w:rPr>
      </w:pPr>
      <w:r>
        <w:rPr>
          <w:rFonts w:ascii="Arial" w:cs="Arial" w:eastAsia="Arial" w:hAnsi="Arial"/>
          <w:sz w:val="18"/>
          <w:szCs w:val="18"/>
          <w:color w:val="auto"/>
        </w:rPr>
        <w:t>3.3%</w:t>
      </w:r>
      <w:r>
        <w:rPr>
          <w:sz w:val="20"/>
          <w:szCs w:val="20"/>
          <w:color w:val="auto"/>
        </w:rPr>
        <w:tab/>
      </w:r>
      <w:r>
        <w:rPr>
          <w:rFonts w:ascii="Arial" w:cs="Arial" w:eastAsia="Arial" w:hAnsi="Arial"/>
          <w:sz w:val="17"/>
          <w:szCs w:val="17"/>
          <w:color w:val="auto"/>
        </w:rPr>
        <w:t>4.3%</w:t>
      </w:r>
    </w:p>
    <w:p>
      <w:pPr>
        <w:spacing w:after="0" w:line="172" w:lineRule="exact"/>
        <w:rPr>
          <w:sz w:val="20"/>
          <w:szCs w:val="20"/>
          <w:color w:val="auto"/>
        </w:rPr>
      </w:pPr>
    </w:p>
    <w:p>
      <w:pPr>
        <w:jc w:val="center"/>
        <w:ind w:right="300"/>
        <w:spacing w:after="0"/>
        <w:rPr>
          <w:sz w:val="20"/>
          <w:szCs w:val="20"/>
          <w:color w:val="auto"/>
        </w:rPr>
      </w:pPr>
      <w:r>
        <w:rPr>
          <w:rFonts w:ascii="Arial" w:cs="Arial" w:eastAsia="Arial" w:hAnsi="Arial"/>
          <w:sz w:val="14"/>
          <w:szCs w:val="14"/>
          <w:b w:val="1"/>
          <w:bCs w:val="1"/>
          <w:color w:val="auto"/>
        </w:rPr>
        <w:t>Retiree Medical and</w:t>
      </w:r>
    </w:p>
    <w:p>
      <w:pPr>
        <w:spacing w:after="0" w:line="19" w:lineRule="exact"/>
        <w:rPr>
          <w:sz w:val="20"/>
          <w:szCs w:val="20"/>
          <w:color w:val="auto"/>
        </w:rPr>
      </w:pPr>
    </w:p>
    <w:p>
      <w:pPr>
        <w:jc w:val="center"/>
        <w:ind w:right="300"/>
        <w:spacing w:after="0"/>
        <w:rPr>
          <w:sz w:val="20"/>
          <w:szCs w:val="20"/>
          <w:color w:val="auto"/>
        </w:rPr>
      </w:pPr>
      <w:r>
        <w:rPr>
          <w:rFonts w:ascii="Arial" w:cs="Arial" w:eastAsia="Arial" w:hAnsi="Arial"/>
          <w:sz w:val="14"/>
          <w:szCs w:val="14"/>
          <w:b w:val="1"/>
          <w:bCs w:val="1"/>
          <w:color w:val="auto"/>
        </w:rPr>
        <w:t>Other Postretirement Benefits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-199390</wp:posOffset>
            </wp:positionH>
            <wp:positionV relativeFrom="paragraph">
              <wp:posOffset>14605</wp:posOffset>
            </wp:positionV>
            <wp:extent cx="2092325" cy="8890"/>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2092325" cy="8890"/>
                    </a:xfrm>
                    <a:prstGeom prst="rect">
                      <a:avLst/>
                    </a:prstGeom>
                    <a:noFill/>
                  </pic:spPr>
                </pic:pic>
              </a:graphicData>
            </a:graphic>
          </wp:anchor>
        </w:drawing>
      </w:r>
    </w:p>
    <w:p>
      <w:pPr>
        <w:spacing w:after="0" w:line="85" w:lineRule="exact"/>
        <w:rPr>
          <w:sz w:val="20"/>
          <w:szCs w:val="20"/>
          <w:color w:val="auto"/>
        </w:rPr>
      </w:pPr>
    </w:p>
    <w:p>
      <w:pPr>
        <w:ind w:left="40"/>
        <w:spacing w:after="0"/>
        <w:tabs>
          <w:tab w:leader="none" w:pos="1160" w:val="left"/>
          <w:tab w:leader="none" w:pos="2280" w:val="left"/>
        </w:tabs>
        <w:rPr>
          <w:sz w:val="20"/>
          <w:szCs w:val="20"/>
          <w:color w:val="auto"/>
        </w:rPr>
      </w:pPr>
      <w:r>
        <w:rPr>
          <w:rFonts w:ascii="Arial" w:cs="Arial" w:eastAsia="Arial" w:hAnsi="Arial"/>
          <w:sz w:val="14"/>
          <w:szCs w:val="14"/>
          <w:b w:val="1"/>
          <w:bCs w:val="1"/>
          <w:color w:val="auto"/>
        </w:rPr>
        <w:t>2019</w:t>
      </w:r>
      <w:r>
        <w:rPr>
          <w:sz w:val="20"/>
          <w:szCs w:val="20"/>
          <w:color w:val="auto"/>
        </w:rPr>
        <w:tab/>
      </w:r>
      <w:r>
        <w:rPr>
          <w:rFonts w:ascii="Arial" w:cs="Arial" w:eastAsia="Arial" w:hAnsi="Arial"/>
          <w:sz w:val="14"/>
          <w:szCs w:val="14"/>
          <w:b w:val="1"/>
          <w:bCs w:val="1"/>
          <w:color w:val="auto"/>
        </w:rPr>
        <w:t>2018</w:t>
      </w:r>
      <w:r>
        <w:rPr>
          <w:sz w:val="20"/>
          <w:szCs w:val="20"/>
          <w:color w:val="auto"/>
        </w:rPr>
        <w:tab/>
      </w:r>
      <w:r>
        <w:rPr>
          <w:rFonts w:ascii="Arial" w:cs="Arial" w:eastAsia="Arial" w:hAnsi="Arial"/>
          <w:sz w:val="14"/>
          <w:szCs w:val="14"/>
          <w:b w:val="1"/>
          <w:bCs w:val="1"/>
          <w:color w:val="auto"/>
        </w:rPr>
        <w:t>2017</w:t>
      </w:r>
    </w:p>
    <w:p>
      <w:pPr>
        <w:spacing w:after="0" w:line="365" w:lineRule="exact"/>
        <w:rPr>
          <w:sz w:val="20"/>
          <w:szCs w:val="20"/>
          <w:color w:val="auto"/>
        </w:rPr>
      </w:pPr>
    </w:p>
    <w:p>
      <w:pPr>
        <w:spacing w:after="0"/>
        <w:tabs>
          <w:tab w:leader="none" w:pos="1100" w:val="left"/>
          <w:tab w:leader="none" w:pos="2240" w:val="left"/>
        </w:tabs>
        <w:rPr>
          <w:sz w:val="20"/>
          <w:szCs w:val="20"/>
          <w:color w:val="auto"/>
        </w:rPr>
      </w:pPr>
      <w:r>
        <w:rPr>
          <w:rFonts w:ascii="Arial" w:cs="Arial" w:eastAsia="Arial" w:hAnsi="Arial"/>
          <w:sz w:val="18"/>
          <w:szCs w:val="18"/>
          <w:color w:val="auto"/>
        </w:rPr>
        <w:t>4.3%</w:t>
      </w:r>
      <w:r>
        <w:rPr>
          <w:sz w:val="20"/>
          <w:szCs w:val="20"/>
          <w:color w:val="auto"/>
        </w:rPr>
        <w:tab/>
      </w:r>
      <w:r>
        <w:rPr>
          <w:rFonts w:ascii="Arial" w:cs="Arial" w:eastAsia="Arial" w:hAnsi="Arial"/>
          <w:sz w:val="18"/>
          <w:szCs w:val="18"/>
          <w:color w:val="auto"/>
        </w:rPr>
        <w:t>3.6%</w:t>
      </w:r>
      <w:r>
        <w:rPr>
          <w:sz w:val="20"/>
          <w:szCs w:val="20"/>
          <w:color w:val="auto"/>
        </w:rPr>
        <w:tab/>
      </w:r>
      <w:r>
        <w:rPr>
          <w:rFonts w:ascii="Arial" w:cs="Arial" w:eastAsia="Arial" w:hAnsi="Arial"/>
          <w:sz w:val="18"/>
          <w:szCs w:val="18"/>
          <w:color w:val="auto"/>
        </w:rPr>
        <w:t>4.1%</w:t>
      </w:r>
    </w:p>
    <w:p>
      <w:pPr>
        <w:spacing w:after="0" w:line="63" w:lineRule="exact"/>
        <w:rPr>
          <w:sz w:val="20"/>
          <w:szCs w:val="20"/>
          <w:color w:val="auto"/>
        </w:rPr>
      </w:pPr>
    </w:p>
    <w:p>
      <w:pPr>
        <w:spacing w:after="0"/>
        <w:tabs>
          <w:tab w:leader="none" w:pos="1100" w:val="left"/>
          <w:tab w:leader="none" w:pos="2240" w:val="left"/>
        </w:tabs>
        <w:rPr>
          <w:sz w:val="20"/>
          <w:szCs w:val="20"/>
          <w:color w:val="auto"/>
        </w:rPr>
      </w:pPr>
      <w:r>
        <w:rPr>
          <w:rFonts w:ascii="Arial" w:cs="Arial" w:eastAsia="Arial" w:hAnsi="Arial"/>
          <w:sz w:val="18"/>
          <w:szCs w:val="18"/>
          <w:color w:val="auto"/>
        </w:rPr>
        <w:t>8.0%</w:t>
      </w:r>
      <w:r>
        <w:rPr>
          <w:sz w:val="20"/>
          <w:szCs w:val="20"/>
          <w:color w:val="auto"/>
        </w:rPr>
        <w:tab/>
      </w:r>
      <w:r>
        <w:rPr>
          <w:rFonts w:ascii="Arial" w:cs="Arial" w:eastAsia="Arial" w:hAnsi="Arial"/>
          <w:sz w:val="18"/>
          <w:szCs w:val="18"/>
          <w:color w:val="auto"/>
        </w:rPr>
        <w:t>8.0%</w:t>
      </w:r>
      <w:r>
        <w:rPr>
          <w:sz w:val="20"/>
          <w:szCs w:val="20"/>
          <w:color w:val="auto"/>
        </w:rPr>
        <w:tab/>
      </w:r>
      <w:r>
        <w:rPr>
          <w:rFonts w:ascii="Arial" w:cs="Arial" w:eastAsia="Arial" w:hAnsi="Arial"/>
          <w:sz w:val="18"/>
          <w:szCs w:val="18"/>
          <w:color w:val="auto"/>
        </w:rPr>
        <w:t>8.0%</w:t>
      </w:r>
    </w:p>
    <w:p>
      <w:pPr>
        <w:spacing w:after="0" w:line="252" w:lineRule="exact"/>
        <w:rPr>
          <w:sz w:val="20"/>
          <w:szCs w:val="20"/>
          <w:color w:val="auto"/>
        </w:rPr>
      </w:pPr>
    </w:p>
    <w:p>
      <w:pPr>
        <w:spacing w:after="0"/>
        <w:tabs>
          <w:tab w:leader="none" w:pos="1100" w:val="left"/>
          <w:tab w:leader="none" w:pos="2240" w:val="left"/>
        </w:tabs>
        <w:rPr>
          <w:sz w:val="20"/>
          <w:szCs w:val="20"/>
          <w:color w:val="auto"/>
        </w:rPr>
      </w:pPr>
      <w:r>
        <w:rPr>
          <w:rFonts w:ascii="Arial" w:cs="Arial" w:eastAsia="Arial" w:hAnsi="Arial"/>
          <w:sz w:val="18"/>
          <w:szCs w:val="18"/>
          <w:color w:val="auto"/>
        </w:rPr>
        <w:t>3.7%</w:t>
      </w:r>
      <w:r>
        <w:rPr>
          <w:sz w:val="20"/>
          <w:szCs w:val="20"/>
          <w:color w:val="auto"/>
        </w:rPr>
        <w:tab/>
      </w:r>
      <w:r>
        <w:rPr>
          <w:rFonts w:ascii="Arial" w:cs="Arial" w:eastAsia="Arial" w:hAnsi="Arial"/>
          <w:sz w:val="18"/>
          <w:szCs w:val="18"/>
          <w:color w:val="auto"/>
        </w:rPr>
        <w:t>3.9%</w:t>
      </w:r>
      <w:r>
        <w:rPr>
          <w:sz w:val="20"/>
          <w:szCs w:val="20"/>
          <w:color w:val="auto"/>
        </w:rPr>
        <w:tab/>
      </w:r>
      <w:r>
        <w:rPr>
          <w:rFonts w:ascii="Arial" w:cs="Arial" w:eastAsia="Arial" w:hAnsi="Arial"/>
          <w:sz w:val="18"/>
          <w:szCs w:val="18"/>
          <w:color w:val="auto"/>
        </w:rPr>
        <w:t>4.2%</w:t>
      </w:r>
    </w:p>
    <w:p>
      <w:pPr>
        <w:spacing w:after="0" w:line="289" w:lineRule="exact"/>
        <w:rPr>
          <w:sz w:val="20"/>
          <w:szCs w:val="20"/>
          <w:color w:val="auto"/>
        </w:rPr>
      </w:pPr>
    </w:p>
    <w:p>
      <w:pPr>
        <w:sectPr>
          <w:pgSz w:w="11900" w:h="16838" w:orient="portrait"/>
          <w:cols w:equalWidth="0" w:num="3">
            <w:col w:w="4560" w:space="440"/>
            <w:col w:w="2720" w:space="720"/>
            <w:col w:w="2980"/>
          </w:cols>
          <w:pgMar w:left="240" w:top="549" w:right="239" w:bottom="1440" w:gutter="0" w:footer="0" w:header="0"/>
          <w:type w:val="continuous"/>
        </w:sectPr>
      </w:pPr>
    </w:p>
    <w:p>
      <w:pPr>
        <w:spacing w:after="0" w:line="138" w:lineRule="exact"/>
        <w:rPr>
          <w:sz w:val="20"/>
          <w:szCs w:val="20"/>
          <w:color w:val="auto"/>
        </w:rPr>
      </w:pPr>
    </w:p>
    <w:p>
      <w:pPr>
        <w:ind w:left="660" w:right="20" w:hanging="652"/>
        <w:spacing w:after="0" w:line="225" w:lineRule="auto"/>
        <w:tabs>
          <w:tab w:leader="none" w:pos="660" w:val="left"/>
        </w:tabs>
        <w:numPr>
          <w:ilvl w:val="0"/>
          <w:numId w:val="64"/>
        </w:numPr>
        <w:rPr>
          <w:rFonts w:ascii="Arial" w:cs="Arial" w:eastAsia="Arial" w:hAnsi="Arial"/>
          <w:sz w:val="22"/>
          <w:szCs w:val="22"/>
          <w:color w:val="auto"/>
          <w:vertAlign w:val="superscript"/>
        </w:rPr>
      </w:pPr>
      <w:r>
        <w:rPr>
          <w:rFonts w:ascii="Arial" w:cs="Arial" w:eastAsia="Arial" w:hAnsi="Arial"/>
          <w:sz w:val="18"/>
          <w:szCs w:val="18"/>
          <w:color w:val="auto"/>
        </w:rPr>
        <w:t>The weighted average health care cost trend rate at December 31, 2019 is assumed to decline gradually to 3.3% by 2027 and remain level thereafter.</w:t>
      </w:r>
    </w:p>
    <w:p>
      <w:pPr>
        <w:spacing w:after="0" w:line="163" w:lineRule="exact"/>
        <w:rPr>
          <w:sz w:val="20"/>
          <w:szCs w:val="20"/>
          <w:color w:val="auto"/>
        </w:rPr>
      </w:pPr>
    </w:p>
    <w:p>
      <w:pPr>
        <w:jc w:val="both"/>
        <w:ind w:firstLine="216"/>
        <w:spacing w:after="0" w:line="254" w:lineRule="auto"/>
        <w:rPr>
          <w:sz w:val="20"/>
          <w:szCs w:val="20"/>
          <w:color w:val="auto"/>
        </w:rPr>
      </w:pPr>
      <w:r>
        <w:rPr>
          <w:rFonts w:ascii="Arial" w:cs="Arial" w:eastAsia="Arial" w:hAnsi="Arial"/>
          <w:sz w:val="18"/>
          <w:szCs w:val="18"/>
          <w:color w:val="auto"/>
        </w:rPr>
        <w:t>As of December 31, 2019, American’s estimate of the long-term rate of return on plan assets was 8.0% based on the target asset allocation. Expected returns on long duration bonds are based on yields to maturity of the bonds held at year-end. Expected returns on other assets are based on a combination of long-term historical returns, actual returns on plan assets achieved over the last ten years, current and expected market conditions, and expected value to be generated through active management and securities lending programs.</w:t>
      </w:r>
    </w:p>
    <w:p>
      <w:pPr>
        <w:spacing w:after="0" w:line="150" w:lineRule="exact"/>
        <w:rPr>
          <w:sz w:val="20"/>
          <w:szCs w:val="20"/>
          <w:color w:val="auto"/>
        </w:rPr>
      </w:pPr>
    </w:p>
    <w:p>
      <w:pPr>
        <w:jc w:val="both"/>
        <w:ind w:right="20" w:firstLine="216"/>
        <w:spacing w:after="0" w:line="262" w:lineRule="auto"/>
        <w:rPr>
          <w:sz w:val="20"/>
          <w:szCs w:val="20"/>
          <w:color w:val="auto"/>
        </w:rPr>
      </w:pPr>
      <w:r>
        <w:rPr>
          <w:rFonts w:ascii="Arial" w:cs="Arial" w:eastAsia="Arial" w:hAnsi="Arial"/>
          <w:sz w:val="18"/>
          <w:szCs w:val="18"/>
          <w:color w:val="auto"/>
        </w:rPr>
        <w:t>A one percentage point change in the assumed health care cost trend rates would have the following approximate effects on American’s retiree medical and other postretirement benefits plans (in millions):</w:t>
      </w:r>
    </w:p>
    <w:p>
      <w:pPr>
        <w:spacing w:after="0" w:line="346" w:lineRule="exact"/>
        <w:rPr>
          <w:sz w:val="20"/>
          <w:szCs w:val="20"/>
          <w:color w:val="auto"/>
        </w:rPr>
      </w:pPr>
    </w:p>
    <w:tbl>
      <w:tblPr>
        <w:tblLayout w:type="fixed"/>
        <w:tblInd w:w="0" w:type="dxa"/>
        <w:tblCellMar>
          <w:top w:w="0" w:type="dxa"/>
          <w:left w:w="0" w:type="dxa"/>
          <w:bottom w:w="0" w:type="dxa"/>
          <w:right w:w="0" w:type="dxa"/>
        </w:tblCellMar>
      </w:tblPr>
      <w:tr>
        <w:trPr>
          <w:trHeight w:val="196"/>
        </w:trPr>
        <w:tc>
          <w:tcPr>
            <w:tcW w:w="85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280" w:type="dxa"/>
            <w:vAlign w:val="bottom"/>
            <w:gridSpan w:val="2"/>
          </w:tcPr>
          <w:p>
            <w:pPr>
              <w:ind w:left="60"/>
              <w:spacing w:after="0"/>
              <w:rPr>
                <w:sz w:val="20"/>
                <w:szCs w:val="20"/>
                <w:color w:val="auto"/>
              </w:rPr>
            </w:pPr>
            <w:r>
              <w:rPr>
                <w:rFonts w:ascii="Arial" w:cs="Arial" w:eastAsia="Arial" w:hAnsi="Arial"/>
                <w:sz w:val="14"/>
                <w:szCs w:val="14"/>
                <w:b w:val="1"/>
                <w:bCs w:val="1"/>
                <w:color w:val="auto"/>
              </w:rPr>
              <w:t>1% Increase</w:t>
            </w:r>
          </w:p>
        </w:tc>
        <w:tc>
          <w:tcPr>
            <w:tcW w:w="180" w:type="dxa"/>
            <w:vAlign w:val="bottom"/>
          </w:tcPr>
          <w:p>
            <w:pPr>
              <w:spacing w:after="0"/>
              <w:rPr>
                <w:sz w:val="17"/>
                <w:szCs w:val="17"/>
                <w:color w:val="auto"/>
              </w:rPr>
            </w:pPr>
          </w:p>
        </w:tc>
        <w:tc>
          <w:tcPr>
            <w:tcW w:w="1200" w:type="dxa"/>
            <w:vAlign w:val="bottom"/>
          </w:tcPr>
          <w:p>
            <w:pPr>
              <w:jc w:val="right"/>
              <w:ind w:right="156"/>
              <w:spacing w:after="0"/>
              <w:rPr>
                <w:sz w:val="20"/>
                <w:szCs w:val="20"/>
                <w:color w:val="auto"/>
              </w:rPr>
            </w:pPr>
            <w:r>
              <w:rPr>
                <w:rFonts w:ascii="Arial" w:cs="Arial" w:eastAsia="Arial" w:hAnsi="Arial"/>
                <w:sz w:val="14"/>
                <w:szCs w:val="14"/>
                <w:b w:val="1"/>
                <w:bCs w:val="1"/>
                <w:color w:val="auto"/>
              </w:rPr>
              <w:t>1% Decrease</w:t>
            </w:r>
          </w:p>
        </w:tc>
      </w:tr>
      <w:tr>
        <w:trPr>
          <w:trHeight w:val="256"/>
        </w:trPr>
        <w:tc>
          <w:tcPr>
            <w:tcW w:w="8560" w:type="dxa"/>
            <w:vAlign w:val="bottom"/>
            <w:tcBorders>
              <w:top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Increase (decrease) on 2019 service and interest cost</w:t>
            </w:r>
          </w:p>
        </w:tc>
        <w:tc>
          <w:tcPr>
            <w:tcW w:w="2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80" w:type="dxa"/>
            <w:vAlign w:val="bottom"/>
            <w:tcBorders>
              <w:top w:val="single" w:sz="8" w:color="auto"/>
            </w:tcBorders>
            <w:shd w:val="clear" w:color="auto" w:fill="CCEEFF"/>
          </w:tcPr>
          <w:p>
            <w:pPr>
              <w:jc w:val="right"/>
              <w:ind w:right="36"/>
              <w:spacing w:after="0"/>
              <w:rPr>
                <w:sz w:val="20"/>
                <w:szCs w:val="20"/>
                <w:color w:val="auto"/>
              </w:rPr>
            </w:pPr>
            <w:r>
              <w:rPr>
                <w:rFonts w:ascii="Arial" w:cs="Arial" w:eastAsia="Arial" w:hAnsi="Arial"/>
                <w:sz w:val="18"/>
                <w:szCs w:val="18"/>
                <w:color w:val="auto"/>
              </w:rPr>
              <w:t>1</w:t>
            </w:r>
          </w:p>
        </w:tc>
        <w:tc>
          <w:tcPr>
            <w:tcW w:w="100" w:type="dxa"/>
            <w:vAlign w:val="bottom"/>
            <w:tcBorders>
              <w:top w:val="single" w:sz="8" w:color="CCEEFF"/>
            </w:tcBorders>
            <w:shd w:val="clear" w:color="auto" w:fill="CCEEFF"/>
          </w:tcPr>
          <w:p>
            <w:pPr>
              <w:spacing w:after="0"/>
              <w:rPr>
                <w:sz w:val="22"/>
                <w:szCs w:val="22"/>
                <w:color w:val="auto"/>
              </w:rPr>
            </w:pPr>
          </w:p>
        </w:tc>
        <w:tc>
          <w:tcPr>
            <w:tcW w:w="1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w:t>
            </w:r>
          </w:p>
        </w:tc>
      </w:tr>
      <w:tr>
        <w:trPr>
          <w:trHeight w:val="257"/>
        </w:trPr>
        <w:tc>
          <w:tcPr>
            <w:tcW w:w="8560" w:type="dxa"/>
            <w:vAlign w:val="bottom"/>
          </w:tcPr>
          <w:p>
            <w:pPr>
              <w:ind w:left="40"/>
              <w:spacing w:after="0"/>
              <w:rPr>
                <w:sz w:val="20"/>
                <w:szCs w:val="20"/>
                <w:color w:val="auto"/>
              </w:rPr>
            </w:pPr>
            <w:r>
              <w:rPr>
                <w:rFonts w:ascii="Arial" w:cs="Arial" w:eastAsia="Arial" w:hAnsi="Arial"/>
                <w:sz w:val="18"/>
                <w:szCs w:val="18"/>
                <w:color w:val="auto"/>
              </w:rPr>
              <w:t>Increase (decrease) on benefit obligation as of December 31, 2019</w:t>
            </w:r>
          </w:p>
        </w:tc>
        <w:tc>
          <w:tcPr>
            <w:tcW w:w="200" w:type="dxa"/>
            <w:vAlign w:val="bottom"/>
          </w:tcPr>
          <w:p>
            <w:pPr>
              <w:spacing w:after="0"/>
              <w:rPr>
                <w:sz w:val="22"/>
                <w:szCs w:val="22"/>
                <w:color w:val="auto"/>
              </w:rPr>
            </w:pPr>
          </w:p>
        </w:tc>
        <w:tc>
          <w:tcPr>
            <w:tcW w:w="1180" w:type="dxa"/>
            <w:vAlign w:val="bottom"/>
          </w:tcPr>
          <w:p>
            <w:pPr>
              <w:jc w:val="right"/>
              <w:ind w:right="36"/>
              <w:spacing w:after="0"/>
              <w:rPr>
                <w:sz w:val="20"/>
                <w:szCs w:val="20"/>
                <w:color w:val="auto"/>
              </w:rPr>
            </w:pPr>
            <w:r>
              <w:rPr>
                <w:rFonts w:ascii="Arial" w:cs="Arial" w:eastAsia="Arial" w:hAnsi="Arial"/>
                <w:sz w:val="18"/>
                <w:szCs w:val="18"/>
                <w:color w:val="auto"/>
              </w:rPr>
              <w:t>40</w:t>
            </w:r>
          </w:p>
        </w:tc>
        <w:tc>
          <w:tcPr>
            <w:tcW w:w="10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(40)</w:t>
            </w:r>
          </w:p>
        </w:tc>
      </w:tr>
    </w:tbl>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ind w:left="220"/>
        <w:spacing w:after="0"/>
        <w:rPr>
          <w:sz w:val="20"/>
          <w:szCs w:val="20"/>
          <w:color w:val="auto"/>
        </w:rPr>
      </w:pPr>
      <w:r>
        <w:rPr>
          <w:rFonts w:ascii="Arial" w:cs="Arial" w:eastAsia="Arial" w:hAnsi="Arial"/>
          <w:sz w:val="18"/>
          <w:szCs w:val="18"/>
          <w:b w:val="1"/>
          <w:bCs w:val="1"/>
          <w:i w:val="1"/>
          <w:iCs w:val="1"/>
          <w:color w:val="auto"/>
        </w:rPr>
        <w:t>Minimum Contributions</w:t>
      </w:r>
    </w:p>
    <w:p>
      <w:pPr>
        <w:spacing w:after="0" w:line="112" w:lineRule="exact"/>
        <w:rPr>
          <w:sz w:val="20"/>
          <w:szCs w:val="20"/>
          <w:color w:val="auto"/>
        </w:rPr>
      </w:pPr>
    </w:p>
    <w:p>
      <w:pPr>
        <w:jc w:val="both"/>
        <w:ind w:firstLine="216"/>
        <w:spacing w:after="0" w:line="252" w:lineRule="auto"/>
        <w:rPr>
          <w:sz w:val="20"/>
          <w:szCs w:val="20"/>
          <w:color w:val="auto"/>
        </w:rPr>
      </w:pPr>
      <w:r>
        <w:rPr>
          <w:rFonts w:ascii="Arial" w:cs="Arial" w:eastAsia="Arial" w:hAnsi="Arial"/>
          <w:sz w:val="18"/>
          <w:szCs w:val="18"/>
          <w:color w:val="auto"/>
        </w:rPr>
        <w:t>American is required to make minimum contributions to its defined benefit pension plans under the minimum funding requirements of the Employee Retirement Income Security Act of 1974 (ERISA) and various other laws for U.S. based plans as well as underfunding rules specific to countries where American maintains defined benefit plans. Based on current funding assumptions, American has minimum required contributions of $193 million for 2020. American’s funding obligations will depend on the performance of American’s investments held in trust by the pension plans, interest rates for determining liabilities, the amount of and timing of any supplemental contributions and American’s actuarial experience.</w:t>
      </w:r>
    </w:p>
    <w:p>
      <w:pPr>
        <w:spacing w:after="0" w:line="214" w:lineRule="exact"/>
        <w:rPr>
          <w:sz w:val="20"/>
          <w:szCs w:val="20"/>
          <w:color w:val="auto"/>
        </w:rPr>
      </w:pPr>
    </w:p>
    <w:p>
      <w:pPr>
        <w:ind w:left="220"/>
        <w:spacing w:after="0"/>
        <w:rPr>
          <w:sz w:val="20"/>
          <w:szCs w:val="20"/>
          <w:color w:val="auto"/>
        </w:rPr>
      </w:pPr>
      <w:r>
        <w:rPr>
          <w:rFonts w:ascii="Arial" w:cs="Arial" w:eastAsia="Arial" w:hAnsi="Arial"/>
          <w:sz w:val="18"/>
          <w:szCs w:val="18"/>
          <w:b w:val="1"/>
          <w:bCs w:val="1"/>
          <w:i w:val="1"/>
          <w:iCs w:val="1"/>
          <w:color w:val="auto"/>
        </w:rPr>
        <w:t>Benefit Payments</w:t>
      </w:r>
    </w:p>
    <w:p>
      <w:pPr>
        <w:spacing w:after="0" w:line="112" w:lineRule="exact"/>
        <w:rPr>
          <w:sz w:val="20"/>
          <w:szCs w:val="20"/>
          <w:color w:val="auto"/>
        </w:rPr>
      </w:pPr>
    </w:p>
    <w:p>
      <w:pPr>
        <w:ind w:left="220"/>
        <w:spacing w:after="0"/>
        <w:rPr>
          <w:sz w:val="20"/>
          <w:szCs w:val="20"/>
          <w:color w:val="auto"/>
        </w:rPr>
      </w:pPr>
      <w:r>
        <w:rPr>
          <w:rFonts w:ascii="Arial" w:cs="Arial" w:eastAsia="Arial" w:hAnsi="Arial"/>
          <w:sz w:val="18"/>
          <w:szCs w:val="18"/>
          <w:color w:val="auto"/>
        </w:rPr>
        <w:t>The following benefit payments, which reflect expected future service as appropriate, are expected to be paid (approximately, in millions):</w:t>
      </w:r>
    </w:p>
    <w:p>
      <w:pPr>
        <w:spacing w:after="0" w:line="375" w:lineRule="exact"/>
        <w:rPr>
          <w:sz w:val="20"/>
          <w:szCs w:val="20"/>
          <w:color w:val="auto"/>
        </w:rPr>
      </w:pPr>
    </w:p>
    <w:tbl>
      <w:tblPr>
        <w:tblLayout w:type="fixed"/>
        <w:tblInd w:w="0" w:type="dxa"/>
        <w:tblCellMar>
          <w:top w:w="0" w:type="dxa"/>
          <w:left w:w="0" w:type="dxa"/>
          <w:bottom w:w="0" w:type="dxa"/>
          <w:right w:w="0" w:type="dxa"/>
        </w:tblCellMar>
      </w:tblPr>
      <w:tr>
        <w:trPr>
          <w:trHeight w:val="196"/>
        </w:trPr>
        <w:tc>
          <w:tcPr>
            <w:tcW w:w="5240" w:type="dxa"/>
            <w:vAlign w:val="bottom"/>
            <w:tcBorders>
              <w:bottom w:val="single" w:sz="8" w:color="CCEEFF"/>
            </w:tcBorders>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700" w:type="dxa"/>
            <w:vAlign w:val="bottom"/>
            <w:tcBorders>
              <w:bottom w:val="single" w:sz="8" w:color="auto"/>
            </w:tcBorders>
          </w:tcPr>
          <w:p>
            <w:pPr>
              <w:jc w:val="right"/>
              <w:ind w:right="216"/>
              <w:spacing w:after="0"/>
              <w:rPr>
                <w:sz w:val="20"/>
                <w:szCs w:val="20"/>
                <w:color w:val="auto"/>
              </w:rPr>
            </w:pPr>
            <w:r>
              <w:rPr>
                <w:rFonts w:ascii="Arial" w:cs="Arial" w:eastAsia="Arial" w:hAnsi="Arial"/>
                <w:sz w:val="14"/>
                <w:szCs w:val="14"/>
                <w:b w:val="1"/>
                <w:bCs w:val="1"/>
                <w:color w:val="auto"/>
              </w:rPr>
              <w:t>2020</w:t>
            </w:r>
          </w:p>
        </w:tc>
        <w:tc>
          <w:tcPr>
            <w:tcW w:w="120" w:type="dxa"/>
            <w:vAlign w:val="bottom"/>
            <w:tcBorders>
              <w:bottom w:val="single" w:sz="8" w:color="CCEEFF"/>
            </w:tcBorders>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720" w:type="dxa"/>
            <w:vAlign w:val="bottom"/>
            <w:tcBorders>
              <w:bottom w:val="single" w:sz="8" w:color="auto"/>
            </w:tcBorders>
          </w:tcPr>
          <w:p>
            <w:pPr>
              <w:jc w:val="right"/>
              <w:ind w:right="216"/>
              <w:spacing w:after="0"/>
              <w:rPr>
                <w:sz w:val="20"/>
                <w:szCs w:val="20"/>
                <w:color w:val="auto"/>
              </w:rPr>
            </w:pPr>
            <w:r>
              <w:rPr>
                <w:rFonts w:ascii="Arial" w:cs="Arial" w:eastAsia="Arial" w:hAnsi="Arial"/>
                <w:sz w:val="14"/>
                <w:szCs w:val="14"/>
                <w:b w:val="1"/>
                <w:bCs w:val="1"/>
                <w:color w:val="auto"/>
              </w:rPr>
              <w:t>2021</w:t>
            </w:r>
          </w:p>
        </w:tc>
        <w:tc>
          <w:tcPr>
            <w:tcW w:w="100" w:type="dxa"/>
            <w:vAlign w:val="bottom"/>
            <w:tcBorders>
              <w:bottom w:val="single" w:sz="8" w:color="CCEEFF"/>
            </w:tcBorders>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700" w:type="dxa"/>
            <w:vAlign w:val="bottom"/>
            <w:tcBorders>
              <w:bottom w:val="single" w:sz="8" w:color="auto"/>
            </w:tcBorders>
          </w:tcPr>
          <w:p>
            <w:pPr>
              <w:jc w:val="right"/>
              <w:ind w:right="216"/>
              <w:spacing w:after="0"/>
              <w:rPr>
                <w:sz w:val="20"/>
                <w:szCs w:val="20"/>
                <w:color w:val="auto"/>
              </w:rPr>
            </w:pPr>
            <w:r>
              <w:rPr>
                <w:rFonts w:ascii="Arial" w:cs="Arial" w:eastAsia="Arial" w:hAnsi="Arial"/>
                <w:sz w:val="14"/>
                <w:szCs w:val="14"/>
                <w:b w:val="1"/>
                <w:bCs w:val="1"/>
                <w:color w:val="auto"/>
              </w:rPr>
              <w:t>2022</w:t>
            </w:r>
          </w:p>
        </w:tc>
        <w:tc>
          <w:tcPr>
            <w:tcW w:w="100" w:type="dxa"/>
            <w:vAlign w:val="bottom"/>
            <w:tcBorders>
              <w:bottom w:val="single" w:sz="8" w:color="CCEEFF"/>
            </w:tcBorders>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700" w:type="dxa"/>
            <w:vAlign w:val="bottom"/>
            <w:tcBorders>
              <w:bottom w:val="single" w:sz="8" w:color="auto"/>
            </w:tcBorders>
          </w:tcPr>
          <w:p>
            <w:pPr>
              <w:jc w:val="right"/>
              <w:ind w:right="216"/>
              <w:spacing w:after="0"/>
              <w:rPr>
                <w:sz w:val="20"/>
                <w:szCs w:val="20"/>
                <w:color w:val="auto"/>
              </w:rPr>
            </w:pPr>
            <w:r>
              <w:rPr>
                <w:rFonts w:ascii="Arial" w:cs="Arial" w:eastAsia="Arial" w:hAnsi="Arial"/>
                <w:sz w:val="14"/>
                <w:szCs w:val="14"/>
                <w:b w:val="1"/>
                <w:bCs w:val="1"/>
                <w:color w:val="auto"/>
              </w:rPr>
              <w:t>2023</w:t>
            </w:r>
          </w:p>
        </w:tc>
        <w:tc>
          <w:tcPr>
            <w:tcW w:w="120" w:type="dxa"/>
            <w:vAlign w:val="bottom"/>
            <w:tcBorders>
              <w:bottom w:val="single" w:sz="8" w:color="CCEEFF"/>
            </w:tcBorders>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720" w:type="dxa"/>
            <w:vAlign w:val="bottom"/>
            <w:tcBorders>
              <w:bottom w:val="single" w:sz="8" w:color="auto"/>
            </w:tcBorders>
          </w:tcPr>
          <w:p>
            <w:pPr>
              <w:jc w:val="right"/>
              <w:ind w:right="216"/>
              <w:spacing w:after="0"/>
              <w:rPr>
                <w:sz w:val="20"/>
                <w:szCs w:val="20"/>
                <w:color w:val="auto"/>
              </w:rPr>
            </w:pPr>
            <w:r>
              <w:rPr>
                <w:rFonts w:ascii="Arial" w:cs="Arial" w:eastAsia="Arial" w:hAnsi="Arial"/>
                <w:sz w:val="14"/>
                <w:szCs w:val="14"/>
                <w:b w:val="1"/>
                <w:bCs w:val="1"/>
                <w:color w:val="auto"/>
              </w:rPr>
              <w:t>2024</w:t>
            </w:r>
          </w:p>
        </w:tc>
        <w:tc>
          <w:tcPr>
            <w:tcW w:w="100" w:type="dxa"/>
            <w:vAlign w:val="bottom"/>
            <w:tcBorders>
              <w:bottom w:val="single" w:sz="8" w:color="CCEEFF"/>
            </w:tcBorders>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880" w:type="dxa"/>
            <w:vAlign w:val="bottom"/>
            <w:tcBorders>
              <w:bottom w:val="single" w:sz="8" w:color="auto"/>
            </w:tcBorders>
          </w:tcPr>
          <w:p>
            <w:pPr>
              <w:jc w:val="right"/>
              <w:ind w:right="96"/>
              <w:spacing w:after="0"/>
              <w:rPr>
                <w:sz w:val="20"/>
                <w:szCs w:val="20"/>
                <w:color w:val="auto"/>
              </w:rPr>
            </w:pPr>
            <w:r>
              <w:rPr>
                <w:rFonts w:ascii="Arial" w:cs="Arial" w:eastAsia="Arial" w:hAnsi="Arial"/>
                <w:sz w:val="14"/>
                <w:szCs w:val="14"/>
                <w:b w:val="1"/>
                <w:bCs w:val="1"/>
                <w:color w:val="auto"/>
              </w:rPr>
              <w:t>2025-2029</w:t>
            </w:r>
          </w:p>
        </w:tc>
      </w:tr>
      <w:tr>
        <w:trPr>
          <w:trHeight w:val="256"/>
        </w:trPr>
        <w:tc>
          <w:tcPr>
            <w:tcW w:w="5240" w:type="dxa"/>
            <w:vAlign w:val="bottom"/>
            <w:shd w:val="clear" w:color="auto" w:fill="CCEEFF"/>
          </w:tcPr>
          <w:p>
            <w:pPr>
              <w:ind w:left="40"/>
              <w:spacing w:after="0"/>
              <w:rPr>
                <w:sz w:val="20"/>
                <w:szCs w:val="20"/>
                <w:color w:val="auto"/>
              </w:rPr>
            </w:pPr>
            <w:r>
              <w:rPr>
                <w:rFonts w:ascii="Arial" w:cs="Arial" w:eastAsia="Arial" w:hAnsi="Arial"/>
                <w:sz w:val="18"/>
                <w:szCs w:val="18"/>
                <w:color w:val="auto"/>
              </w:rPr>
              <w:t>Pension benefits</w:t>
            </w:r>
          </w:p>
        </w:tc>
        <w:tc>
          <w:tcPr>
            <w:tcW w:w="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00" w:type="dxa"/>
            <w:vAlign w:val="bottom"/>
            <w:shd w:val="clear" w:color="auto" w:fill="CCEEFF"/>
          </w:tcPr>
          <w:p>
            <w:pPr>
              <w:jc w:val="right"/>
              <w:ind w:right="16"/>
              <w:spacing w:after="0"/>
              <w:rPr>
                <w:sz w:val="20"/>
                <w:szCs w:val="20"/>
                <w:color w:val="auto"/>
              </w:rPr>
            </w:pPr>
            <w:r>
              <w:rPr>
                <w:rFonts w:ascii="Arial" w:cs="Arial" w:eastAsia="Arial" w:hAnsi="Arial"/>
                <w:sz w:val="18"/>
                <w:szCs w:val="18"/>
                <w:color w:val="auto"/>
              </w:rPr>
              <w:t>749</w:t>
            </w:r>
          </w:p>
        </w:tc>
        <w:tc>
          <w:tcPr>
            <w:tcW w:w="120" w:type="dxa"/>
            <w:vAlign w:val="bottom"/>
            <w:shd w:val="clear" w:color="auto" w:fill="CCEEFF"/>
          </w:tcPr>
          <w:p>
            <w:pPr>
              <w:spacing w:after="0"/>
              <w:rPr>
                <w:sz w:val="22"/>
                <w:szCs w:val="22"/>
                <w:color w:val="auto"/>
              </w:rPr>
            </w:pPr>
          </w:p>
        </w:tc>
        <w:tc>
          <w:tcPr>
            <w:tcW w:w="2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720" w:type="dxa"/>
            <w:vAlign w:val="bottom"/>
            <w:shd w:val="clear" w:color="auto" w:fill="CCEEFF"/>
          </w:tcPr>
          <w:p>
            <w:pPr>
              <w:jc w:val="right"/>
              <w:ind w:right="36"/>
              <w:spacing w:after="0"/>
              <w:rPr>
                <w:sz w:val="20"/>
                <w:szCs w:val="20"/>
                <w:color w:val="auto"/>
              </w:rPr>
            </w:pPr>
            <w:r>
              <w:rPr>
                <w:rFonts w:ascii="Arial" w:cs="Arial" w:eastAsia="Arial" w:hAnsi="Arial"/>
                <w:sz w:val="18"/>
                <w:szCs w:val="18"/>
                <w:color w:val="auto"/>
              </w:rPr>
              <w:t>788</w:t>
            </w:r>
          </w:p>
        </w:tc>
        <w:tc>
          <w:tcPr>
            <w:tcW w:w="100" w:type="dxa"/>
            <w:vAlign w:val="bottom"/>
            <w:shd w:val="clear" w:color="auto" w:fill="CCEEFF"/>
          </w:tcPr>
          <w:p>
            <w:pPr>
              <w:spacing w:after="0"/>
              <w:rPr>
                <w:sz w:val="22"/>
                <w:szCs w:val="22"/>
                <w:color w:val="auto"/>
              </w:rPr>
            </w:pPr>
          </w:p>
        </w:tc>
        <w:tc>
          <w:tcPr>
            <w:tcW w:w="2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700" w:type="dxa"/>
            <w:vAlign w:val="bottom"/>
            <w:shd w:val="clear" w:color="auto" w:fill="CCEEFF"/>
          </w:tcPr>
          <w:p>
            <w:pPr>
              <w:jc w:val="right"/>
              <w:ind w:right="16"/>
              <w:spacing w:after="0"/>
              <w:rPr>
                <w:sz w:val="20"/>
                <w:szCs w:val="20"/>
                <w:color w:val="auto"/>
              </w:rPr>
            </w:pPr>
            <w:r>
              <w:rPr>
                <w:rFonts w:ascii="Arial" w:cs="Arial" w:eastAsia="Arial" w:hAnsi="Arial"/>
                <w:sz w:val="18"/>
                <w:szCs w:val="18"/>
                <w:color w:val="auto"/>
              </w:rPr>
              <w:t>827</w:t>
            </w:r>
          </w:p>
        </w:tc>
        <w:tc>
          <w:tcPr>
            <w:tcW w:w="100" w:type="dxa"/>
            <w:vAlign w:val="bottom"/>
            <w:shd w:val="clear" w:color="auto" w:fill="CCEEFF"/>
          </w:tcPr>
          <w:p>
            <w:pPr>
              <w:spacing w:after="0"/>
              <w:rPr>
                <w:sz w:val="22"/>
                <w:szCs w:val="22"/>
                <w:color w:val="auto"/>
              </w:rPr>
            </w:pPr>
          </w:p>
        </w:tc>
        <w:tc>
          <w:tcPr>
            <w:tcW w:w="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00" w:type="dxa"/>
            <w:vAlign w:val="bottom"/>
            <w:shd w:val="clear" w:color="auto" w:fill="CCEEFF"/>
          </w:tcPr>
          <w:p>
            <w:pPr>
              <w:jc w:val="right"/>
              <w:ind w:right="16"/>
              <w:spacing w:after="0"/>
              <w:rPr>
                <w:sz w:val="20"/>
                <w:szCs w:val="20"/>
                <w:color w:val="auto"/>
              </w:rPr>
            </w:pPr>
            <w:r>
              <w:rPr>
                <w:rFonts w:ascii="Arial" w:cs="Arial" w:eastAsia="Arial" w:hAnsi="Arial"/>
                <w:sz w:val="18"/>
                <w:szCs w:val="18"/>
                <w:color w:val="auto"/>
              </w:rPr>
              <w:t>869</w:t>
            </w:r>
          </w:p>
        </w:tc>
        <w:tc>
          <w:tcPr>
            <w:tcW w:w="120" w:type="dxa"/>
            <w:vAlign w:val="bottom"/>
            <w:shd w:val="clear" w:color="auto" w:fill="CCEEFF"/>
          </w:tcPr>
          <w:p>
            <w:pPr>
              <w:spacing w:after="0"/>
              <w:rPr>
                <w:sz w:val="22"/>
                <w:szCs w:val="22"/>
                <w:color w:val="auto"/>
              </w:rPr>
            </w:pPr>
          </w:p>
        </w:tc>
        <w:tc>
          <w:tcPr>
            <w:tcW w:w="2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720" w:type="dxa"/>
            <w:vAlign w:val="bottom"/>
            <w:shd w:val="clear" w:color="auto" w:fill="CCEEFF"/>
          </w:tcPr>
          <w:p>
            <w:pPr>
              <w:jc w:val="right"/>
              <w:ind w:right="36"/>
              <w:spacing w:after="0"/>
              <w:rPr>
                <w:sz w:val="20"/>
                <w:szCs w:val="20"/>
                <w:color w:val="auto"/>
              </w:rPr>
            </w:pPr>
            <w:r>
              <w:rPr>
                <w:rFonts w:ascii="Arial" w:cs="Arial" w:eastAsia="Arial" w:hAnsi="Arial"/>
                <w:sz w:val="18"/>
                <w:szCs w:val="18"/>
                <w:color w:val="auto"/>
              </w:rPr>
              <w:t>910</w:t>
            </w:r>
          </w:p>
        </w:tc>
        <w:tc>
          <w:tcPr>
            <w:tcW w:w="100" w:type="dxa"/>
            <w:vAlign w:val="bottom"/>
            <w:shd w:val="clear" w:color="auto" w:fill="CCEEFF"/>
          </w:tcPr>
          <w:p>
            <w:pPr>
              <w:spacing w:after="0"/>
              <w:rPr>
                <w:sz w:val="22"/>
                <w:szCs w:val="22"/>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880" w:type="dxa"/>
            <w:vAlign w:val="bottom"/>
            <w:shd w:val="clear" w:color="auto" w:fill="CCEEFF"/>
          </w:tcPr>
          <w:p>
            <w:pPr>
              <w:jc w:val="right"/>
              <w:ind w:right="16"/>
              <w:spacing w:after="0"/>
              <w:rPr>
                <w:sz w:val="20"/>
                <w:szCs w:val="20"/>
                <w:color w:val="auto"/>
              </w:rPr>
            </w:pPr>
            <w:r>
              <w:rPr>
                <w:rFonts w:ascii="Arial" w:cs="Arial" w:eastAsia="Arial" w:hAnsi="Arial"/>
                <w:sz w:val="18"/>
                <w:szCs w:val="18"/>
                <w:color w:val="auto"/>
              </w:rPr>
              <w:t>5,017</w:t>
            </w:r>
          </w:p>
        </w:tc>
      </w:tr>
      <w:tr>
        <w:trPr>
          <w:trHeight w:val="257"/>
        </w:trPr>
        <w:tc>
          <w:tcPr>
            <w:tcW w:w="5240" w:type="dxa"/>
            <w:vAlign w:val="bottom"/>
          </w:tcPr>
          <w:p>
            <w:pPr>
              <w:ind w:left="40"/>
              <w:spacing w:after="0"/>
              <w:rPr>
                <w:sz w:val="20"/>
                <w:szCs w:val="20"/>
                <w:color w:val="auto"/>
              </w:rPr>
            </w:pPr>
            <w:r>
              <w:rPr>
                <w:rFonts w:ascii="Arial" w:cs="Arial" w:eastAsia="Arial" w:hAnsi="Arial"/>
                <w:sz w:val="18"/>
                <w:szCs w:val="18"/>
                <w:color w:val="auto"/>
              </w:rPr>
              <w:t>Retiree medical and other postretirement benefits</w:t>
            </w:r>
          </w:p>
        </w:tc>
        <w:tc>
          <w:tcPr>
            <w:tcW w:w="220" w:type="dxa"/>
            <w:vAlign w:val="bottom"/>
          </w:tcPr>
          <w:p>
            <w:pPr>
              <w:spacing w:after="0"/>
              <w:rPr>
                <w:sz w:val="22"/>
                <w:szCs w:val="22"/>
                <w:color w:val="auto"/>
              </w:rPr>
            </w:pPr>
          </w:p>
        </w:tc>
        <w:tc>
          <w:tcPr>
            <w:tcW w:w="700" w:type="dxa"/>
            <w:vAlign w:val="bottom"/>
          </w:tcPr>
          <w:p>
            <w:pPr>
              <w:jc w:val="right"/>
              <w:ind w:right="16"/>
              <w:spacing w:after="0"/>
              <w:rPr>
                <w:sz w:val="20"/>
                <w:szCs w:val="20"/>
                <w:color w:val="auto"/>
              </w:rPr>
            </w:pPr>
            <w:r>
              <w:rPr>
                <w:rFonts w:ascii="Arial" w:cs="Arial" w:eastAsia="Arial" w:hAnsi="Arial"/>
                <w:sz w:val="18"/>
                <w:szCs w:val="18"/>
                <w:color w:val="auto"/>
              </w:rPr>
              <w:t>80</w:t>
            </w:r>
          </w:p>
        </w:tc>
        <w:tc>
          <w:tcPr>
            <w:tcW w:w="12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720" w:type="dxa"/>
            <w:vAlign w:val="bottom"/>
          </w:tcPr>
          <w:p>
            <w:pPr>
              <w:jc w:val="right"/>
              <w:ind w:right="36"/>
              <w:spacing w:after="0"/>
              <w:rPr>
                <w:sz w:val="20"/>
                <w:szCs w:val="20"/>
                <w:color w:val="auto"/>
              </w:rPr>
            </w:pPr>
            <w:r>
              <w:rPr>
                <w:rFonts w:ascii="Arial" w:cs="Arial" w:eastAsia="Arial" w:hAnsi="Arial"/>
                <w:sz w:val="18"/>
                <w:szCs w:val="18"/>
                <w:color w:val="auto"/>
              </w:rPr>
              <w:t>71</w:t>
            </w:r>
          </w:p>
        </w:tc>
        <w:tc>
          <w:tcPr>
            <w:tcW w:w="10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700" w:type="dxa"/>
            <w:vAlign w:val="bottom"/>
          </w:tcPr>
          <w:p>
            <w:pPr>
              <w:jc w:val="right"/>
              <w:ind w:right="16"/>
              <w:spacing w:after="0"/>
              <w:rPr>
                <w:sz w:val="20"/>
                <w:szCs w:val="20"/>
                <w:color w:val="auto"/>
              </w:rPr>
            </w:pPr>
            <w:r>
              <w:rPr>
                <w:rFonts w:ascii="Arial" w:cs="Arial" w:eastAsia="Arial" w:hAnsi="Arial"/>
                <w:sz w:val="18"/>
                <w:szCs w:val="18"/>
                <w:color w:val="auto"/>
              </w:rPr>
              <w:t>66</w:t>
            </w:r>
          </w:p>
        </w:tc>
        <w:tc>
          <w:tcPr>
            <w:tcW w:w="10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700" w:type="dxa"/>
            <w:vAlign w:val="bottom"/>
          </w:tcPr>
          <w:p>
            <w:pPr>
              <w:jc w:val="right"/>
              <w:ind w:right="16"/>
              <w:spacing w:after="0"/>
              <w:rPr>
                <w:sz w:val="20"/>
                <w:szCs w:val="20"/>
                <w:color w:val="auto"/>
              </w:rPr>
            </w:pPr>
            <w:r>
              <w:rPr>
                <w:rFonts w:ascii="Arial" w:cs="Arial" w:eastAsia="Arial" w:hAnsi="Arial"/>
                <w:sz w:val="18"/>
                <w:szCs w:val="18"/>
                <w:color w:val="auto"/>
              </w:rPr>
              <w:t>64</w:t>
            </w:r>
          </w:p>
        </w:tc>
        <w:tc>
          <w:tcPr>
            <w:tcW w:w="12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720" w:type="dxa"/>
            <w:vAlign w:val="bottom"/>
          </w:tcPr>
          <w:p>
            <w:pPr>
              <w:jc w:val="right"/>
              <w:ind w:right="36"/>
              <w:spacing w:after="0"/>
              <w:rPr>
                <w:sz w:val="20"/>
                <w:szCs w:val="20"/>
                <w:color w:val="auto"/>
              </w:rPr>
            </w:pPr>
            <w:r>
              <w:rPr>
                <w:rFonts w:ascii="Arial" w:cs="Arial" w:eastAsia="Arial" w:hAnsi="Arial"/>
                <w:sz w:val="18"/>
                <w:szCs w:val="18"/>
                <w:color w:val="auto"/>
              </w:rPr>
              <w:t>61</w:t>
            </w:r>
          </w:p>
        </w:tc>
        <w:tc>
          <w:tcPr>
            <w:tcW w:w="10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880" w:type="dxa"/>
            <w:vAlign w:val="bottom"/>
          </w:tcPr>
          <w:p>
            <w:pPr>
              <w:jc w:val="right"/>
              <w:ind w:right="16"/>
              <w:spacing w:after="0"/>
              <w:rPr>
                <w:sz w:val="20"/>
                <w:szCs w:val="20"/>
                <w:color w:val="auto"/>
              </w:rPr>
            </w:pPr>
            <w:r>
              <w:rPr>
                <w:rFonts w:ascii="Arial" w:cs="Arial" w:eastAsia="Arial" w:hAnsi="Arial"/>
                <w:sz w:val="18"/>
                <w:szCs w:val="18"/>
                <w:color w:val="auto"/>
              </w:rPr>
              <w:t>265</w:t>
            </w:r>
          </w:p>
        </w:tc>
      </w:tr>
    </w:tbl>
    <w:p>
      <w:pPr>
        <w:spacing w:after="0" w:line="200" w:lineRule="exact"/>
        <w:rPr>
          <w:sz w:val="20"/>
          <w:szCs w:val="20"/>
          <w:color w:val="auto"/>
        </w:rPr>
      </w:pPr>
    </w:p>
    <w:p>
      <w:pPr>
        <w:sectPr>
          <w:pgSz w:w="11900" w:h="16838" w:orient="portrait"/>
          <w:cols w:equalWidth="0" w:num="1">
            <w:col w:w="11420"/>
          </w:cols>
          <w:pgMar w:left="240" w:top="549" w:right="239" w:bottom="1440" w:gutter="0" w:footer="0" w:header="0"/>
          <w:type w:val="continuous"/>
        </w:sectPr>
      </w:pPr>
    </w:p>
    <w:p>
      <w:pPr>
        <w:spacing w:after="0" w:line="245"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144</w:t>
      </w:r>
    </w:p>
    <w:p>
      <w:pPr>
        <w:sectPr>
          <w:pgSz w:w="11900" w:h="16838" w:orient="portrait"/>
          <w:cols w:equalWidth="0" w:num="1">
            <w:col w:w="11420"/>
          </w:cols>
          <w:pgMar w:left="240" w:top="549" w:right="239" w:bottom="1440" w:gutter="0" w:footer="0" w:header="0"/>
          <w:type w:val="continuous"/>
        </w:sectPr>
      </w:pPr>
    </w:p>
    <w:bookmarkStart w:id="144" w:name="page145"/>
    <w:bookmarkEnd w:id="144"/>
    <w:p>
      <w:pPr>
        <w:jc w:val="center"/>
        <w:spacing w:after="0"/>
        <w:rPr>
          <w:sz w:val="20"/>
          <w:szCs w:val="20"/>
          <w:color w:val="auto"/>
        </w:rPr>
      </w:pPr>
      <w:r>
        <w:rPr>
          <w:rFonts w:ascii="Arial" w:cs="Arial" w:eastAsia="Arial" w:hAnsi="Arial"/>
          <w:sz w:val="18"/>
          <w:szCs w:val="18"/>
          <w:b w:val="1"/>
          <w:bCs w:val="1"/>
          <w:color w:val="auto"/>
        </w:rPr>
        <w:t>NOTES TO CONSOLIDATED FINANCIAL STATEMENTS OF AMERICAN AIRLINES, INC.</w:t>
      </w:r>
    </w:p>
    <w:p>
      <w:pPr>
        <w:spacing w:after="0" w:line="200" w:lineRule="exact"/>
        <w:rPr>
          <w:sz w:val="20"/>
          <w:szCs w:val="20"/>
          <w:color w:val="auto"/>
        </w:rPr>
      </w:pPr>
    </w:p>
    <w:p>
      <w:pPr>
        <w:spacing w:after="0" w:line="268" w:lineRule="exact"/>
        <w:rPr>
          <w:sz w:val="20"/>
          <w:szCs w:val="20"/>
          <w:color w:val="auto"/>
        </w:rPr>
      </w:pPr>
    </w:p>
    <w:p>
      <w:pPr>
        <w:ind w:left="220"/>
        <w:spacing w:after="0"/>
        <w:rPr>
          <w:sz w:val="20"/>
          <w:szCs w:val="20"/>
          <w:color w:val="auto"/>
        </w:rPr>
      </w:pPr>
      <w:r>
        <w:rPr>
          <w:rFonts w:ascii="Arial" w:cs="Arial" w:eastAsia="Arial" w:hAnsi="Arial"/>
          <w:sz w:val="18"/>
          <w:szCs w:val="18"/>
          <w:b w:val="1"/>
          <w:bCs w:val="1"/>
          <w:i w:val="1"/>
          <w:iCs w:val="1"/>
          <w:color w:val="auto"/>
        </w:rPr>
        <w:t>Plan Assets</w:t>
      </w:r>
    </w:p>
    <w:p>
      <w:pPr>
        <w:spacing w:after="0" w:line="112" w:lineRule="exact"/>
        <w:rPr>
          <w:sz w:val="20"/>
          <w:szCs w:val="20"/>
          <w:color w:val="auto"/>
        </w:rPr>
      </w:pPr>
    </w:p>
    <w:p>
      <w:pPr>
        <w:jc w:val="both"/>
        <w:ind w:firstLine="216"/>
        <w:spacing w:after="0" w:line="256" w:lineRule="auto"/>
        <w:rPr>
          <w:sz w:val="20"/>
          <w:szCs w:val="20"/>
          <w:color w:val="auto"/>
        </w:rPr>
      </w:pPr>
      <w:r>
        <w:rPr>
          <w:rFonts w:ascii="Arial" w:cs="Arial" w:eastAsia="Arial" w:hAnsi="Arial"/>
          <w:sz w:val="18"/>
          <w:szCs w:val="18"/>
          <w:color w:val="auto"/>
        </w:rPr>
        <w:t>The objectives of American’s investment policies are to: maintain sufficient income and liquidity to pay retirement benefits; produce a long-term rate of return that meets or exceeds the assumed rate of return for plan assets; limit the volatility of asset performance and funded status; and diversify assets among asset classes and investment managers.</w:t>
      </w:r>
    </w:p>
    <w:p>
      <w:pPr>
        <w:spacing w:after="0" w:line="148" w:lineRule="exact"/>
        <w:rPr>
          <w:sz w:val="20"/>
          <w:szCs w:val="20"/>
          <w:color w:val="auto"/>
        </w:rPr>
      </w:pPr>
    </w:p>
    <w:p>
      <w:pPr>
        <w:jc w:val="both"/>
        <w:ind w:firstLine="216"/>
        <w:spacing w:after="0" w:line="256" w:lineRule="auto"/>
        <w:rPr>
          <w:sz w:val="20"/>
          <w:szCs w:val="20"/>
          <w:color w:val="auto"/>
        </w:rPr>
      </w:pPr>
      <w:r>
        <w:rPr>
          <w:rFonts w:ascii="Arial" w:cs="Arial" w:eastAsia="Arial" w:hAnsi="Arial"/>
          <w:sz w:val="18"/>
          <w:szCs w:val="18"/>
          <w:color w:val="auto"/>
        </w:rPr>
        <w:t>Based on these investment objectives, a long-term strategic asset allocation has been established. This strategic allocation seeks to balance the potential benefit of improving the funded position with the potential risk that the funded position would decline. The current strategic target asset allocation is as follows:</w:t>
      </w:r>
    </w:p>
    <w:p>
      <w:pPr>
        <w:spacing w:after="0" w:line="298"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9480" w:type="dxa"/>
            <w:vAlign w:val="bottom"/>
            <w:gridSpan w:val="3"/>
          </w:tcPr>
          <w:p>
            <w:pPr>
              <w:ind w:left="40"/>
              <w:spacing w:after="0"/>
              <w:rPr>
                <w:sz w:val="20"/>
                <w:szCs w:val="20"/>
                <w:color w:val="auto"/>
              </w:rPr>
            </w:pPr>
            <w:r>
              <w:rPr>
                <w:rFonts w:ascii="Arial" w:cs="Arial" w:eastAsia="Arial" w:hAnsi="Arial"/>
                <w:sz w:val="14"/>
                <w:szCs w:val="14"/>
                <w:b w:val="1"/>
                <w:bCs w:val="1"/>
                <w:color w:val="auto"/>
              </w:rPr>
              <w:t>Asset Class/Sub-Class</w:t>
            </w:r>
          </w:p>
        </w:tc>
        <w:tc>
          <w:tcPr>
            <w:tcW w:w="1940" w:type="dxa"/>
            <w:vAlign w:val="bottom"/>
            <w:gridSpan w:val="2"/>
          </w:tcPr>
          <w:p>
            <w:pPr>
              <w:jc w:val="right"/>
              <w:ind w:right="350"/>
              <w:spacing w:after="0"/>
              <w:rPr>
                <w:sz w:val="20"/>
                <w:szCs w:val="20"/>
                <w:color w:val="auto"/>
              </w:rPr>
            </w:pPr>
            <w:r>
              <w:rPr>
                <w:rFonts w:ascii="Arial" w:cs="Arial" w:eastAsia="Arial" w:hAnsi="Arial"/>
                <w:sz w:val="14"/>
                <w:szCs w:val="14"/>
                <w:b w:val="1"/>
                <w:bCs w:val="1"/>
                <w:color w:val="auto"/>
              </w:rPr>
              <w:t>Allowed Range</w:t>
            </w:r>
          </w:p>
        </w:tc>
      </w:tr>
      <w:tr>
        <w:trPr>
          <w:trHeight w:val="21"/>
        </w:trPr>
        <w:tc>
          <w:tcPr>
            <w:tcW w:w="40" w:type="dxa"/>
            <w:vAlign w:val="bottom"/>
            <w:tcBorders>
              <w:bottom w:val="single" w:sz="8" w:color="CCEEFF"/>
            </w:tcBorders>
          </w:tcPr>
          <w:p>
            <w:pPr>
              <w:spacing w:after="0" w:line="20" w:lineRule="exact"/>
              <w:rPr>
                <w:sz w:val="1"/>
                <w:szCs w:val="1"/>
                <w:color w:val="auto"/>
              </w:rPr>
            </w:pPr>
          </w:p>
        </w:tc>
        <w:tc>
          <w:tcPr>
            <w:tcW w:w="1560" w:type="dxa"/>
            <w:vAlign w:val="bottom"/>
            <w:tcBorders>
              <w:top w:val="single" w:sz="8" w:color="auto"/>
              <w:bottom w:val="single" w:sz="8" w:color="CCEEFF"/>
            </w:tcBorders>
          </w:tcPr>
          <w:p>
            <w:pPr>
              <w:spacing w:after="0" w:line="20" w:lineRule="exact"/>
              <w:rPr>
                <w:sz w:val="1"/>
                <w:szCs w:val="1"/>
                <w:color w:val="auto"/>
              </w:rPr>
            </w:pPr>
          </w:p>
        </w:tc>
        <w:tc>
          <w:tcPr>
            <w:tcW w:w="7880" w:type="dxa"/>
            <w:vAlign w:val="bottom"/>
            <w:tcBorders>
              <w:bottom w:val="single" w:sz="8" w:color="CCEEFF"/>
            </w:tcBorders>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r>
      <w:tr>
        <w:trPr>
          <w:trHeight w:val="250"/>
        </w:trPr>
        <w:tc>
          <w:tcPr>
            <w:tcW w:w="9480" w:type="dxa"/>
            <w:vAlign w:val="bottom"/>
            <w:gridSpan w:val="3"/>
            <w:shd w:val="clear" w:color="auto" w:fill="CCEEFF"/>
          </w:tcPr>
          <w:p>
            <w:pPr>
              <w:ind w:left="40"/>
              <w:spacing w:after="0"/>
              <w:rPr>
                <w:sz w:val="20"/>
                <w:szCs w:val="20"/>
                <w:color w:val="auto"/>
              </w:rPr>
            </w:pPr>
            <w:r>
              <w:rPr>
                <w:rFonts w:ascii="Arial" w:cs="Arial" w:eastAsia="Arial" w:hAnsi="Arial"/>
                <w:sz w:val="18"/>
                <w:szCs w:val="18"/>
                <w:color w:val="auto"/>
              </w:rPr>
              <w:t>Equity</w:t>
            </w:r>
          </w:p>
        </w:tc>
        <w:tc>
          <w:tcPr>
            <w:tcW w:w="1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45%</w:t>
            </w: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- 80%</w:t>
            </w:r>
          </w:p>
        </w:tc>
      </w:tr>
      <w:tr>
        <w:trPr>
          <w:trHeight w:val="243"/>
        </w:trPr>
        <w:tc>
          <w:tcPr>
            <w:tcW w:w="40" w:type="dxa"/>
            <w:vAlign w:val="bottom"/>
          </w:tcPr>
          <w:p>
            <w:pPr>
              <w:spacing w:after="0"/>
              <w:rPr>
                <w:sz w:val="21"/>
                <w:szCs w:val="21"/>
                <w:color w:val="auto"/>
              </w:rPr>
            </w:pPr>
          </w:p>
        </w:tc>
        <w:tc>
          <w:tcPr>
            <w:tcW w:w="9440" w:type="dxa"/>
            <w:vAlign w:val="bottom"/>
            <w:gridSpan w:val="2"/>
          </w:tcPr>
          <w:p>
            <w:pPr>
              <w:ind w:left="140"/>
              <w:spacing w:after="0"/>
              <w:rPr>
                <w:sz w:val="20"/>
                <w:szCs w:val="20"/>
                <w:color w:val="auto"/>
              </w:rPr>
            </w:pPr>
            <w:r>
              <w:rPr>
                <w:rFonts w:ascii="Arial" w:cs="Arial" w:eastAsia="Arial" w:hAnsi="Arial"/>
                <w:sz w:val="18"/>
                <w:szCs w:val="18"/>
                <w:color w:val="auto"/>
              </w:rPr>
              <w:t>Public:</w:t>
            </w:r>
          </w:p>
        </w:tc>
        <w:tc>
          <w:tcPr>
            <w:tcW w:w="1420" w:type="dxa"/>
            <w:vAlign w:val="bottom"/>
          </w:tcPr>
          <w:p>
            <w:pPr>
              <w:spacing w:after="0"/>
              <w:rPr>
                <w:sz w:val="21"/>
                <w:szCs w:val="21"/>
                <w:color w:val="auto"/>
              </w:rPr>
            </w:pPr>
          </w:p>
        </w:tc>
        <w:tc>
          <w:tcPr>
            <w:tcW w:w="520" w:type="dxa"/>
            <w:vAlign w:val="bottom"/>
          </w:tcPr>
          <w:p>
            <w:pPr>
              <w:spacing w:after="0"/>
              <w:rPr>
                <w:sz w:val="21"/>
                <w:szCs w:val="21"/>
                <w:color w:val="auto"/>
              </w:rPr>
            </w:pPr>
          </w:p>
        </w:tc>
      </w:tr>
      <w:tr>
        <w:trPr>
          <w:trHeight w:val="27"/>
        </w:trPr>
        <w:tc>
          <w:tcPr>
            <w:tcW w:w="40" w:type="dxa"/>
            <w:vAlign w:val="bottom"/>
          </w:tcPr>
          <w:p>
            <w:pPr>
              <w:spacing w:after="0"/>
              <w:rPr>
                <w:sz w:val="2"/>
                <w:szCs w:val="2"/>
                <w:color w:val="auto"/>
              </w:rPr>
            </w:pPr>
          </w:p>
        </w:tc>
        <w:tc>
          <w:tcPr>
            <w:tcW w:w="1560" w:type="dxa"/>
            <w:vAlign w:val="bottom"/>
          </w:tcPr>
          <w:p>
            <w:pPr>
              <w:spacing w:after="0"/>
              <w:rPr>
                <w:sz w:val="2"/>
                <w:szCs w:val="2"/>
                <w:color w:val="auto"/>
              </w:rPr>
            </w:pPr>
          </w:p>
        </w:tc>
        <w:tc>
          <w:tcPr>
            <w:tcW w:w="7880" w:type="dxa"/>
            <w:vAlign w:val="bottom"/>
          </w:tcPr>
          <w:p>
            <w:pPr>
              <w:spacing w:after="0"/>
              <w:rPr>
                <w:sz w:val="2"/>
                <w:szCs w:val="2"/>
                <w:color w:val="auto"/>
              </w:rPr>
            </w:pPr>
          </w:p>
        </w:tc>
        <w:tc>
          <w:tcPr>
            <w:tcW w:w="1420" w:type="dxa"/>
            <w:vAlign w:val="bottom"/>
          </w:tcPr>
          <w:p>
            <w:pPr>
              <w:spacing w:after="0"/>
              <w:rPr>
                <w:sz w:val="2"/>
                <w:szCs w:val="2"/>
                <w:color w:val="auto"/>
              </w:rPr>
            </w:pPr>
          </w:p>
        </w:tc>
        <w:tc>
          <w:tcPr>
            <w:tcW w:w="520" w:type="dxa"/>
            <w:vAlign w:val="bottom"/>
          </w:tcPr>
          <w:p>
            <w:pPr>
              <w:spacing w:after="0"/>
              <w:rPr>
                <w:sz w:val="2"/>
                <w:szCs w:val="2"/>
                <w:color w:val="auto"/>
              </w:rPr>
            </w:pPr>
          </w:p>
        </w:tc>
      </w:tr>
      <w:tr>
        <w:trPr>
          <w:trHeight w:val="257"/>
        </w:trPr>
        <w:tc>
          <w:tcPr>
            <w:tcW w:w="40" w:type="dxa"/>
            <w:vAlign w:val="bottom"/>
            <w:shd w:val="clear" w:color="auto" w:fill="CCEEFF"/>
          </w:tcPr>
          <w:p>
            <w:pPr>
              <w:spacing w:after="0"/>
              <w:rPr>
                <w:sz w:val="22"/>
                <w:szCs w:val="22"/>
                <w:color w:val="auto"/>
              </w:rPr>
            </w:pPr>
          </w:p>
        </w:tc>
        <w:tc>
          <w:tcPr>
            <w:tcW w:w="9440" w:type="dxa"/>
            <w:vAlign w:val="bottom"/>
            <w:gridSpan w:val="2"/>
            <w:shd w:val="clear" w:color="auto" w:fill="CCEEFF"/>
          </w:tcPr>
          <w:p>
            <w:pPr>
              <w:ind w:left="240"/>
              <w:spacing w:after="0"/>
              <w:rPr>
                <w:sz w:val="20"/>
                <w:szCs w:val="20"/>
                <w:color w:val="auto"/>
              </w:rPr>
            </w:pPr>
            <w:r>
              <w:rPr>
                <w:rFonts w:ascii="Arial" w:cs="Arial" w:eastAsia="Arial" w:hAnsi="Arial"/>
                <w:sz w:val="18"/>
                <w:szCs w:val="18"/>
                <w:color w:val="auto"/>
              </w:rPr>
              <w:t>U.S. Large</w:t>
            </w:r>
          </w:p>
        </w:tc>
        <w:tc>
          <w:tcPr>
            <w:tcW w:w="1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w:t>
            </w: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- 40%</w:t>
            </w:r>
          </w:p>
        </w:tc>
      </w:tr>
      <w:tr>
        <w:trPr>
          <w:trHeight w:val="250"/>
        </w:trPr>
        <w:tc>
          <w:tcPr>
            <w:tcW w:w="40" w:type="dxa"/>
            <w:vAlign w:val="bottom"/>
          </w:tcPr>
          <w:p>
            <w:pPr>
              <w:spacing w:after="0"/>
              <w:rPr>
                <w:sz w:val="21"/>
                <w:szCs w:val="21"/>
                <w:color w:val="auto"/>
              </w:rPr>
            </w:pPr>
          </w:p>
        </w:tc>
        <w:tc>
          <w:tcPr>
            <w:tcW w:w="9440" w:type="dxa"/>
            <w:vAlign w:val="bottom"/>
            <w:gridSpan w:val="2"/>
          </w:tcPr>
          <w:p>
            <w:pPr>
              <w:ind w:left="240"/>
              <w:spacing w:after="0"/>
              <w:rPr>
                <w:sz w:val="20"/>
                <w:szCs w:val="20"/>
                <w:color w:val="auto"/>
              </w:rPr>
            </w:pPr>
            <w:r>
              <w:rPr>
                <w:rFonts w:ascii="Arial" w:cs="Arial" w:eastAsia="Arial" w:hAnsi="Arial"/>
                <w:sz w:val="18"/>
                <w:szCs w:val="18"/>
                <w:color w:val="auto"/>
              </w:rPr>
              <w:t>U.S. Small/Mid</w:t>
            </w:r>
          </w:p>
        </w:tc>
        <w:tc>
          <w:tcPr>
            <w:tcW w:w="1420" w:type="dxa"/>
            <w:vAlign w:val="bottom"/>
          </w:tcPr>
          <w:p>
            <w:pPr>
              <w:jc w:val="right"/>
              <w:spacing w:after="0"/>
              <w:rPr>
                <w:sz w:val="20"/>
                <w:szCs w:val="20"/>
                <w:color w:val="auto"/>
              </w:rPr>
            </w:pPr>
            <w:r>
              <w:rPr>
                <w:rFonts w:ascii="Arial" w:cs="Arial" w:eastAsia="Arial" w:hAnsi="Arial"/>
                <w:sz w:val="18"/>
                <w:szCs w:val="18"/>
                <w:color w:val="auto"/>
              </w:rPr>
              <w:t>2%</w:t>
            </w:r>
          </w:p>
        </w:tc>
        <w:tc>
          <w:tcPr>
            <w:tcW w:w="520" w:type="dxa"/>
            <w:vAlign w:val="bottom"/>
          </w:tcPr>
          <w:p>
            <w:pPr>
              <w:jc w:val="right"/>
              <w:spacing w:after="0"/>
              <w:rPr>
                <w:sz w:val="20"/>
                <w:szCs w:val="20"/>
                <w:color w:val="auto"/>
              </w:rPr>
            </w:pPr>
            <w:r>
              <w:rPr>
                <w:rFonts w:ascii="Arial" w:cs="Arial" w:eastAsia="Arial" w:hAnsi="Arial"/>
                <w:sz w:val="18"/>
                <w:szCs w:val="18"/>
                <w:color w:val="auto"/>
              </w:rPr>
              <w:t>- 10%</w:t>
            </w:r>
          </w:p>
        </w:tc>
      </w:tr>
      <w:tr>
        <w:trPr>
          <w:trHeight w:val="263"/>
        </w:trPr>
        <w:tc>
          <w:tcPr>
            <w:tcW w:w="40" w:type="dxa"/>
            <w:vAlign w:val="bottom"/>
            <w:shd w:val="clear" w:color="auto" w:fill="CCEEFF"/>
          </w:tcPr>
          <w:p>
            <w:pPr>
              <w:spacing w:after="0"/>
              <w:rPr>
                <w:sz w:val="22"/>
                <w:szCs w:val="22"/>
                <w:color w:val="auto"/>
              </w:rPr>
            </w:pPr>
          </w:p>
        </w:tc>
        <w:tc>
          <w:tcPr>
            <w:tcW w:w="9440" w:type="dxa"/>
            <w:vAlign w:val="bottom"/>
            <w:gridSpan w:val="2"/>
            <w:shd w:val="clear" w:color="auto" w:fill="CCEEFF"/>
          </w:tcPr>
          <w:p>
            <w:pPr>
              <w:ind w:left="240"/>
              <w:spacing w:after="0"/>
              <w:rPr>
                <w:sz w:val="20"/>
                <w:szCs w:val="20"/>
                <w:color w:val="auto"/>
              </w:rPr>
            </w:pPr>
            <w:r>
              <w:rPr>
                <w:rFonts w:ascii="Arial" w:cs="Arial" w:eastAsia="Arial" w:hAnsi="Arial"/>
                <w:sz w:val="18"/>
                <w:szCs w:val="18"/>
                <w:color w:val="auto"/>
              </w:rPr>
              <w:t>International</w:t>
            </w:r>
          </w:p>
        </w:tc>
        <w:tc>
          <w:tcPr>
            <w:tcW w:w="1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w:t>
            </w: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- 25%</w:t>
            </w:r>
          </w:p>
        </w:tc>
      </w:tr>
      <w:tr>
        <w:trPr>
          <w:trHeight w:val="250"/>
        </w:trPr>
        <w:tc>
          <w:tcPr>
            <w:tcW w:w="40" w:type="dxa"/>
            <w:vAlign w:val="bottom"/>
          </w:tcPr>
          <w:p>
            <w:pPr>
              <w:spacing w:after="0"/>
              <w:rPr>
                <w:sz w:val="21"/>
                <w:szCs w:val="21"/>
                <w:color w:val="auto"/>
              </w:rPr>
            </w:pPr>
          </w:p>
        </w:tc>
        <w:tc>
          <w:tcPr>
            <w:tcW w:w="9440" w:type="dxa"/>
            <w:vAlign w:val="bottom"/>
            <w:gridSpan w:val="2"/>
          </w:tcPr>
          <w:p>
            <w:pPr>
              <w:ind w:left="240"/>
              <w:spacing w:after="0"/>
              <w:rPr>
                <w:sz w:val="20"/>
                <w:szCs w:val="20"/>
                <w:color w:val="auto"/>
              </w:rPr>
            </w:pPr>
            <w:r>
              <w:rPr>
                <w:rFonts w:ascii="Arial" w:cs="Arial" w:eastAsia="Arial" w:hAnsi="Arial"/>
                <w:sz w:val="18"/>
                <w:szCs w:val="18"/>
                <w:color w:val="auto"/>
              </w:rPr>
              <w:t>Emerging Markets</w:t>
            </w:r>
          </w:p>
        </w:tc>
        <w:tc>
          <w:tcPr>
            <w:tcW w:w="1420" w:type="dxa"/>
            <w:vAlign w:val="bottom"/>
          </w:tcPr>
          <w:p>
            <w:pPr>
              <w:jc w:val="right"/>
              <w:spacing w:after="0"/>
              <w:rPr>
                <w:sz w:val="20"/>
                <w:szCs w:val="20"/>
                <w:color w:val="auto"/>
              </w:rPr>
            </w:pPr>
            <w:r>
              <w:rPr>
                <w:rFonts w:ascii="Arial" w:cs="Arial" w:eastAsia="Arial" w:hAnsi="Arial"/>
                <w:sz w:val="18"/>
                <w:szCs w:val="18"/>
                <w:color w:val="auto"/>
              </w:rPr>
              <w:t>2%</w:t>
            </w:r>
          </w:p>
        </w:tc>
        <w:tc>
          <w:tcPr>
            <w:tcW w:w="520" w:type="dxa"/>
            <w:vAlign w:val="bottom"/>
          </w:tcPr>
          <w:p>
            <w:pPr>
              <w:jc w:val="right"/>
              <w:spacing w:after="0"/>
              <w:rPr>
                <w:sz w:val="20"/>
                <w:szCs w:val="20"/>
                <w:color w:val="auto"/>
              </w:rPr>
            </w:pPr>
            <w:r>
              <w:rPr>
                <w:rFonts w:ascii="Arial" w:cs="Arial" w:eastAsia="Arial" w:hAnsi="Arial"/>
                <w:sz w:val="18"/>
                <w:szCs w:val="18"/>
                <w:color w:val="auto"/>
              </w:rPr>
              <w:t>- 15%</w:t>
            </w:r>
          </w:p>
        </w:tc>
      </w:tr>
      <w:tr>
        <w:trPr>
          <w:trHeight w:val="263"/>
        </w:trPr>
        <w:tc>
          <w:tcPr>
            <w:tcW w:w="40" w:type="dxa"/>
            <w:vAlign w:val="bottom"/>
            <w:shd w:val="clear" w:color="auto" w:fill="CCEEFF"/>
          </w:tcPr>
          <w:p>
            <w:pPr>
              <w:spacing w:after="0"/>
              <w:rPr>
                <w:sz w:val="22"/>
                <w:szCs w:val="22"/>
                <w:color w:val="auto"/>
              </w:rPr>
            </w:pPr>
          </w:p>
        </w:tc>
        <w:tc>
          <w:tcPr>
            <w:tcW w:w="9440" w:type="dxa"/>
            <w:vAlign w:val="bottom"/>
            <w:gridSpan w:val="2"/>
            <w:shd w:val="clear" w:color="auto" w:fill="CCEEFF"/>
          </w:tcPr>
          <w:p>
            <w:pPr>
              <w:ind w:left="140"/>
              <w:spacing w:after="0"/>
              <w:rPr>
                <w:sz w:val="20"/>
                <w:szCs w:val="20"/>
                <w:color w:val="auto"/>
              </w:rPr>
            </w:pPr>
            <w:r>
              <w:rPr>
                <w:rFonts w:ascii="Arial" w:cs="Arial" w:eastAsia="Arial" w:hAnsi="Arial"/>
                <w:sz w:val="18"/>
                <w:szCs w:val="18"/>
                <w:color w:val="auto"/>
              </w:rPr>
              <w:t>Alternative Investments</w:t>
            </w:r>
          </w:p>
        </w:tc>
        <w:tc>
          <w:tcPr>
            <w:tcW w:w="1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w:t>
            </w: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- 30%</w:t>
            </w:r>
          </w:p>
        </w:tc>
      </w:tr>
      <w:tr>
        <w:trPr>
          <w:trHeight w:val="250"/>
        </w:trPr>
        <w:tc>
          <w:tcPr>
            <w:tcW w:w="9480" w:type="dxa"/>
            <w:vAlign w:val="bottom"/>
            <w:gridSpan w:val="3"/>
          </w:tcPr>
          <w:p>
            <w:pPr>
              <w:ind w:left="40"/>
              <w:spacing w:after="0"/>
              <w:rPr>
                <w:sz w:val="20"/>
                <w:szCs w:val="20"/>
                <w:color w:val="auto"/>
              </w:rPr>
            </w:pPr>
            <w:r>
              <w:rPr>
                <w:rFonts w:ascii="Arial" w:cs="Arial" w:eastAsia="Arial" w:hAnsi="Arial"/>
                <w:sz w:val="18"/>
                <w:szCs w:val="18"/>
                <w:color w:val="auto"/>
              </w:rPr>
              <w:t>Fixed Income</w:t>
            </w:r>
          </w:p>
        </w:tc>
        <w:tc>
          <w:tcPr>
            <w:tcW w:w="1420" w:type="dxa"/>
            <w:vAlign w:val="bottom"/>
          </w:tcPr>
          <w:p>
            <w:pPr>
              <w:jc w:val="right"/>
              <w:spacing w:after="0"/>
              <w:rPr>
                <w:sz w:val="20"/>
                <w:szCs w:val="20"/>
                <w:color w:val="auto"/>
              </w:rPr>
            </w:pPr>
            <w:r>
              <w:rPr>
                <w:rFonts w:ascii="Arial" w:cs="Arial" w:eastAsia="Arial" w:hAnsi="Arial"/>
                <w:sz w:val="18"/>
                <w:szCs w:val="18"/>
                <w:color w:val="auto"/>
              </w:rPr>
              <w:t>20%</w:t>
            </w:r>
          </w:p>
        </w:tc>
        <w:tc>
          <w:tcPr>
            <w:tcW w:w="520" w:type="dxa"/>
            <w:vAlign w:val="bottom"/>
          </w:tcPr>
          <w:p>
            <w:pPr>
              <w:jc w:val="right"/>
              <w:spacing w:after="0"/>
              <w:rPr>
                <w:sz w:val="20"/>
                <w:szCs w:val="20"/>
                <w:color w:val="auto"/>
              </w:rPr>
            </w:pPr>
            <w:r>
              <w:rPr>
                <w:rFonts w:ascii="Arial" w:cs="Arial" w:eastAsia="Arial" w:hAnsi="Arial"/>
                <w:sz w:val="18"/>
                <w:szCs w:val="18"/>
                <w:color w:val="auto"/>
              </w:rPr>
              <w:t>- 55%</w:t>
            </w:r>
          </w:p>
        </w:tc>
      </w:tr>
      <w:tr>
        <w:trPr>
          <w:trHeight w:val="257"/>
        </w:trPr>
        <w:tc>
          <w:tcPr>
            <w:tcW w:w="40" w:type="dxa"/>
            <w:vAlign w:val="bottom"/>
            <w:tcBorders>
              <w:bottom w:val="single" w:sz="8" w:color="CCEEFF"/>
            </w:tcBorders>
            <w:shd w:val="clear" w:color="auto" w:fill="CCEEFF"/>
          </w:tcPr>
          <w:p>
            <w:pPr>
              <w:spacing w:after="0"/>
              <w:rPr>
                <w:sz w:val="22"/>
                <w:szCs w:val="22"/>
                <w:color w:val="auto"/>
              </w:rPr>
            </w:pPr>
          </w:p>
        </w:tc>
        <w:tc>
          <w:tcPr>
            <w:tcW w:w="9440" w:type="dxa"/>
            <w:vAlign w:val="bottom"/>
            <w:tcBorders>
              <w:bottom w:val="single" w:sz="8" w:color="CCEEFF"/>
            </w:tcBorders>
            <w:gridSpan w:val="2"/>
            <w:shd w:val="clear" w:color="auto" w:fill="CCEEFF"/>
          </w:tcPr>
          <w:p>
            <w:pPr>
              <w:ind w:left="140"/>
              <w:spacing w:after="0"/>
              <w:rPr>
                <w:sz w:val="20"/>
                <w:szCs w:val="20"/>
                <w:color w:val="auto"/>
              </w:rPr>
            </w:pPr>
            <w:r>
              <w:rPr>
                <w:rFonts w:ascii="Arial" w:cs="Arial" w:eastAsia="Arial" w:hAnsi="Arial"/>
                <w:sz w:val="18"/>
                <w:szCs w:val="18"/>
                <w:color w:val="auto"/>
              </w:rPr>
              <w:t>Public:</w:t>
            </w:r>
          </w:p>
        </w:tc>
        <w:tc>
          <w:tcPr>
            <w:tcW w:w="1420" w:type="dxa"/>
            <w:vAlign w:val="bottom"/>
            <w:tcBorders>
              <w:bottom w:val="single" w:sz="8" w:color="CCEEFF"/>
            </w:tcBorders>
            <w:shd w:val="clear" w:color="auto" w:fill="CCEEFF"/>
          </w:tcPr>
          <w:p>
            <w:pPr>
              <w:spacing w:after="0"/>
              <w:rPr>
                <w:sz w:val="22"/>
                <w:szCs w:val="22"/>
                <w:color w:val="auto"/>
              </w:rPr>
            </w:pPr>
          </w:p>
        </w:tc>
        <w:tc>
          <w:tcPr>
            <w:tcW w:w="520" w:type="dxa"/>
            <w:vAlign w:val="bottom"/>
            <w:tcBorders>
              <w:bottom w:val="single" w:sz="8" w:color="CCEEFF"/>
            </w:tcBorders>
            <w:shd w:val="clear" w:color="auto" w:fill="CCEEFF"/>
          </w:tcPr>
          <w:p>
            <w:pPr>
              <w:spacing w:after="0"/>
              <w:rPr>
                <w:sz w:val="22"/>
                <w:szCs w:val="22"/>
                <w:color w:val="auto"/>
              </w:rPr>
            </w:pPr>
          </w:p>
        </w:tc>
      </w:tr>
      <w:tr>
        <w:trPr>
          <w:trHeight w:val="250"/>
        </w:trPr>
        <w:tc>
          <w:tcPr>
            <w:tcW w:w="40" w:type="dxa"/>
            <w:vAlign w:val="bottom"/>
          </w:tcPr>
          <w:p>
            <w:pPr>
              <w:spacing w:after="0"/>
              <w:rPr>
                <w:sz w:val="21"/>
                <w:szCs w:val="21"/>
                <w:color w:val="auto"/>
              </w:rPr>
            </w:pPr>
          </w:p>
        </w:tc>
        <w:tc>
          <w:tcPr>
            <w:tcW w:w="9440" w:type="dxa"/>
            <w:vAlign w:val="bottom"/>
            <w:gridSpan w:val="2"/>
          </w:tcPr>
          <w:p>
            <w:pPr>
              <w:ind w:left="240"/>
              <w:spacing w:after="0"/>
              <w:rPr>
                <w:sz w:val="20"/>
                <w:szCs w:val="20"/>
                <w:color w:val="auto"/>
              </w:rPr>
            </w:pPr>
            <w:r>
              <w:rPr>
                <w:rFonts w:ascii="Arial" w:cs="Arial" w:eastAsia="Arial" w:hAnsi="Arial"/>
                <w:sz w:val="18"/>
                <w:szCs w:val="18"/>
                <w:color w:val="auto"/>
              </w:rPr>
              <w:t>U.S. Long Duration</w:t>
            </w:r>
          </w:p>
        </w:tc>
        <w:tc>
          <w:tcPr>
            <w:tcW w:w="1420" w:type="dxa"/>
            <w:vAlign w:val="bottom"/>
          </w:tcPr>
          <w:p>
            <w:pPr>
              <w:jc w:val="right"/>
              <w:spacing w:after="0"/>
              <w:rPr>
                <w:sz w:val="20"/>
                <w:szCs w:val="20"/>
                <w:color w:val="auto"/>
              </w:rPr>
            </w:pPr>
            <w:r>
              <w:rPr>
                <w:rFonts w:ascii="Arial" w:cs="Arial" w:eastAsia="Arial" w:hAnsi="Arial"/>
                <w:sz w:val="18"/>
                <w:szCs w:val="18"/>
                <w:color w:val="auto"/>
              </w:rPr>
              <w:t>15%</w:t>
            </w:r>
          </w:p>
        </w:tc>
        <w:tc>
          <w:tcPr>
            <w:tcW w:w="520" w:type="dxa"/>
            <w:vAlign w:val="bottom"/>
          </w:tcPr>
          <w:p>
            <w:pPr>
              <w:jc w:val="right"/>
              <w:spacing w:after="0"/>
              <w:rPr>
                <w:sz w:val="20"/>
                <w:szCs w:val="20"/>
                <w:color w:val="auto"/>
              </w:rPr>
            </w:pPr>
            <w:r>
              <w:rPr>
                <w:rFonts w:ascii="Arial" w:cs="Arial" w:eastAsia="Arial" w:hAnsi="Arial"/>
                <w:sz w:val="18"/>
                <w:szCs w:val="18"/>
                <w:color w:val="auto"/>
              </w:rPr>
              <w:t>- 45%</w:t>
            </w:r>
          </w:p>
        </w:tc>
      </w:tr>
      <w:tr>
        <w:trPr>
          <w:trHeight w:val="263"/>
        </w:trPr>
        <w:tc>
          <w:tcPr>
            <w:tcW w:w="40" w:type="dxa"/>
            <w:vAlign w:val="bottom"/>
            <w:shd w:val="clear" w:color="auto" w:fill="CCEEFF"/>
          </w:tcPr>
          <w:p>
            <w:pPr>
              <w:spacing w:after="0"/>
              <w:rPr>
                <w:sz w:val="22"/>
                <w:szCs w:val="22"/>
                <w:color w:val="auto"/>
              </w:rPr>
            </w:pPr>
          </w:p>
        </w:tc>
        <w:tc>
          <w:tcPr>
            <w:tcW w:w="9440" w:type="dxa"/>
            <w:vAlign w:val="bottom"/>
            <w:gridSpan w:val="2"/>
            <w:shd w:val="clear" w:color="auto" w:fill="CCEEFF"/>
          </w:tcPr>
          <w:p>
            <w:pPr>
              <w:ind w:left="240"/>
              <w:spacing w:after="0"/>
              <w:rPr>
                <w:sz w:val="20"/>
                <w:szCs w:val="20"/>
                <w:color w:val="auto"/>
              </w:rPr>
            </w:pPr>
            <w:r>
              <w:rPr>
                <w:rFonts w:ascii="Arial" w:cs="Arial" w:eastAsia="Arial" w:hAnsi="Arial"/>
                <w:sz w:val="18"/>
                <w:szCs w:val="18"/>
                <w:color w:val="auto"/>
              </w:rPr>
              <w:t>High Yield and Emerging Markets</w:t>
            </w:r>
          </w:p>
        </w:tc>
        <w:tc>
          <w:tcPr>
            <w:tcW w:w="1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w:t>
            </w: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- 10%</w:t>
            </w:r>
          </w:p>
        </w:tc>
      </w:tr>
      <w:tr>
        <w:trPr>
          <w:trHeight w:val="250"/>
        </w:trPr>
        <w:tc>
          <w:tcPr>
            <w:tcW w:w="40" w:type="dxa"/>
            <w:vAlign w:val="bottom"/>
          </w:tcPr>
          <w:p>
            <w:pPr>
              <w:spacing w:after="0"/>
              <w:rPr>
                <w:sz w:val="21"/>
                <w:szCs w:val="21"/>
                <w:color w:val="auto"/>
              </w:rPr>
            </w:pPr>
          </w:p>
        </w:tc>
        <w:tc>
          <w:tcPr>
            <w:tcW w:w="9440" w:type="dxa"/>
            <w:vAlign w:val="bottom"/>
            <w:gridSpan w:val="2"/>
          </w:tcPr>
          <w:p>
            <w:pPr>
              <w:ind w:left="140"/>
              <w:spacing w:after="0"/>
              <w:rPr>
                <w:sz w:val="20"/>
                <w:szCs w:val="20"/>
                <w:color w:val="auto"/>
              </w:rPr>
            </w:pPr>
            <w:r>
              <w:rPr>
                <w:rFonts w:ascii="Arial" w:cs="Arial" w:eastAsia="Arial" w:hAnsi="Arial"/>
                <w:sz w:val="18"/>
                <w:szCs w:val="18"/>
                <w:color w:val="auto"/>
              </w:rPr>
              <w:t>Private Income</w:t>
            </w:r>
          </w:p>
        </w:tc>
        <w:tc>
          <w:tcPr>
            <w:tcW w:w="1420" w:type="dxa"/>
            <w:vAlign w:val="bottom"/>
          </w:tcPr>
          <w:p>
            <w:pPr>
              <w:jc w:val="right"/>
              <w:spacing w:after="0"/>
              <w:rPr>
                <w:sz w:val="20"/>
                <w:szCs w:val="20"/>
                <w:color w:val="auto"/>
              </w:rPr>
            </w:pPr>
            <w:r>
              <w:rPr>
                <w:rFonts w:ascii="Arial" w:cs="Arial" w:eastAsia="Arial" w:hAnsi="Arial"/>
                <w:sz w:val="18"/>
                <w:szCs w:val="18"/>
                <w:color w:val="auto"/>
              </w:rPr>
              <w:t>0%</w:t>
            </w:r>
          </w:p>
        </w:tc>
        <w:tc>
          <w:tcPr>
            <w:tcW w:w="520" w:type="dxa"/>
            <w:vAlign w:val="bottom"/>
          </w:tcPr>
          <w:p>
            <w:pPr>
              <w:jc w:val="right"/>
              <w:spacing w:after="0"/>
              <w:rPr>
                <w:sz w:val="20"/>
                <w:szCs w:val="20"/>
                <w:color w:val="auto"/>
              </w:rPr>
            </w:pPr>
            <w:r>
              <w:rPr>
                <w:rFonts w:ascii="Arial" w:cs="Arial" w:eastAsia="Arial" w:hAnsi="Arial"/>
                <w:sz w:val="18"/>
                <w:szCs w:val="18"/>
                <w:color w:val="auto"/>
              </w:rPr>
              <w:t>- 10%</w:t>
            </w:r>
          </w:p>
        </w:tc>
      </w:tr>
      <w:tr>
        <w:trPr>
          <w:trHeight w:val="263"/>
        </w:trPr>
        <w:tc>
          <w:tcPr>
            <w:tcW w:w="9480" w:type="dxa"/>
            <w:vAlign w:val="bottom"/>
            <w:gridSpan w:val="3"/>
            <w:shd w:val="clear" w:color="auto" w:fill="CCEEFF"/>
          </w:tcPr>
          <w:p>
            <w:pPr>
              <w:ind w:left="40"/>
              <w:spacing w:after="0"/>
              <w:rPr>
                <w:sz w:val="20"/>
                <w:szCs w:val="20"/>
                <w:color w:val="auto"/>
              </w:rPr>
            </w:pPr>
            <w:r>
              <w:rPr>
                <w:rFonts w:ascii="Arial" w:cs="Arial" w:eastAsia="Arial" w:hAnsi="Arial"/>
                <w:sz w:val="18"/>
                <w:szCs w:val="18"/>
                <w:color w:val="auto"/>
              </w:rPr>
              <w:t>Other</w:t>
            </w:r>
          </w:p>
        </w:tc>
        <w:tc>
          <w:tcPr>
            <w:tcW w:w="19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0% - 5%</w:t>
            </w:r>
          </w:p>
        </w:tc>
      </w:tr>
      <w:tr>
        <w:trPr>
          <w:trHeight w:val="243"/>
        </w:trPr>
        <w:tc>
          <w:tcPr>
            <w:tcW w:w="9480" w:type="dxa"/>
            <w:vAlign w:val="bottom"/>
            <w:gridSpan w:val="3"/>
          </w:tcPr>
          <w:p>
            <w:pPr>
              <w:ind w:left="40"/>
              <w:spacing w:after="0"/>
              <w:rPr>
                <w:sz w:val="20"/>
                <w:szCs w:val="20"/>
                <w:color w:val="auto"/>
              </w:rPr>
            </w:pPr>
            <w:r>
              <w:rPr>
                <w:rFonts w:ascii="Arial" w:cs="Arial" w:eastAsia="Arial" w:hAnsi="Arial"/>
                <w:sz w:val="18"/>
                <w:szCs w:val="18"/>
                <w:color w:val="auto"/>
              </w:rPr>
              <w:t>Cash Equivalents</w:t>
            </w:r>
          </w:p>
        </w:tc>
        <w:tc>
          <w:tcPr>
            <w:tcW w:w="1420" w:type="dxa"/>
            <w:vAlign w:val="bottom"/>
          </w:tcPr>
          <w:p>
            <w:pPr>
              <w:jc w:val="right"/>
              <w:spacing w:after="0"/>
              <w:rPr>
                <w:sz w:val="20"/>
                <w:szCs w:val="20"/>
                <w:color w:val="auto"/>
              </w:rPr>
            </w:pPr>
            <w:r>
              <w:rPr>
                <w:rFonts w:ascii="Arial" w:cs="Arial" w:eastAsia="Arial" w:hAnsi="Arial"/>
                <w:sz w:val="18"/>
                <w:szCs w:val="18"/>
                <w:color w:val="auto"/>
              </w:rPr>
              <w:t>0%</w:t>
            </w:r>
          </w:p>
        </w:tc>
        <w:tc>
          <w:tcPr>
            <w:tcW w:w="520" w:type="dxa"/>
            <w:vAlign w:val="bottom"/>
          </w:tcPr>
          <w:p>
            <w:pPr>
              <w:jc w:val="right"/>
              <w:spacing w:after="0"/>
              <w:rPr>
                <w:sz w:val="20"/>
                <w:szCs w:val="20"/>
                <w:color w:val="auto"/>
              </w:rPr>
            </w:pPr>
            <w:r>
              <w:rPr>
                <w:rFonts w:ascii="Arial" w:cs="Arial" w:eastAsia="Arial" w:hAnsi="Arial"/>
                <w:sz w:val="18"/>
                <w:szCs w:val="18"/>
                <w:color w:val="auto"/>
              </w:rPr>
              <w:t>- 20%</w:t>
            </w:r>
          </w:p>
        </w:tc>
      </w:tr>
    </w:tbl>
    <w:p>
      <w:pPr>
        <w:spacing w:after="0" w:line="200" w:lineRule="exact"/>
        <w:rPr>
          <w:sz w:val="20"/>
          <w:szCs w:val="20"/>
          <w:color w:val="auto"/>
        </w:rPr>
      </w:pPr>
    </w:p>
    <w:p>
      <w:pPr>
        <w:spacing w:after="0" w:line="353" w:lineRule="exact"/>
        <w:rPr>
          <w:sz w:val="20"/>
          <w:szCs w:val="20"/>
          <w:color w:val="auto"/>
        </w:rPr>
      </w:pPr>
    </w:p>
    <w:p>
      <w:pPr>
        <w:jc w:val="both"/>
        <w:ind w:firstLine="216"/>
        <w:spacing w:after="0" w:line="252" w:lineRule="auto"/>
        <w:rPr>
          <w:sz w:val="20"/>
          <w:szCs w:val="20"/>
          <w:color w:val="auto"/>
        </w:rPr>
      </w:pPr>
      <w:r>
        <w:rPr>
          <w:rFonts w:ascii="Arial" w:cs="Arial" w:eastAsia="Arial" w:hAnsi="Arial"/>
          <w:sz w:val="18"/>
          <w:szCs w:val="18"/>
          <w:color w:val="auto"/>
        </w:rPr>
        <w:t>Public equity as well as high yield and emerging market fixed income securities are used to provide diversification and are expected to generate higher returns over the long-term than U.S. long duration bonds. Public stocks are managed using a value investment approach in order to participate in the returns generated by stocks in the long-term, while reducing year-over-year volatility. U.S. long duration bonds are used to partially hedge the assets from declines in interest rates. Alternative (private) investments are used to provide expected returns in excess of the public markets over the long-term. The pension plan’s master trust also participates in securities lending programs to generate additional income by loaning plan assets to borrowers on a fully collateralized basis. These programs are subject to market risk.</w:t>
      </w:r>
    </w:p>
    <w:p>
      <w:pPr>
        <w:spacing w:after="0" w:line="155" w:lineRule="exact"/>
        <w:rPr>
          <w:sz w:val="20"/>
          <w:szCs w:val="20"/>
          <w:color w:val="auto"/>
        </w:rPr>
      </w:pPr>
    </w:p>
    <w:p>
      <w:pPr>
        <w:jc w:val="both"/>
        <w:ind w:firstLine="216"/>
        <w:spacing w:after="0" w:line="251" w:lineRule="auto"/>
        <w:rPr>
          <w:sz w:val="20"/>
          <w:szCs w:val="20"/>
          <w:color w:val="auto"/>
        </w:rPr>
      </w:pPr>
      <w:r>
        <w:rPr>
          <w:rFonts w:ascii="Arial" w:cs="Arial" w:eastAsia="Arial" w:hAnsi="Arial"/>
          <w:sz w:val="18"/>
          <w:szCs w:val="18"/>
          <w:color w:val="auto"/>
        </w:rPr>
        <w:t>Investments in securities traded on recognized securities exchanges are valued at the last reported sales price on the last business day of the year. Securities traded in the over-the-counter market are valued at the last bid price. The money market fund is valued at fair value which represents the net asset value of the shares of such fund as of the close of business at the end of the period. Investments in limited partnerships are carried at estimated net asset value as determined by and reported by the general partners of the partnerships and represent the proportionate share of the estimated fair value of the underlying assets of the limited partnerships. Common/collective trusts are valued at net asset value based on the fair values of the underlying investments of the trusts as determined by the sponsor of the trusts. The pension plan’s master trust also invests in a 103-12 investment entity (the 103-12 Investment Trust) which is designed to invest plan assets of more than one unrelated employer. The 103-12 Investment Trust is valued at net asset value which is determined by the issuer daily and is based on the aggregate fair value of trust assets less liabilities, divided by the number of units outstanding. No changes in valuation techniques or inputs occurred during the year.</w:t>
      </w:r>
    </w:p>
    <w:p>
      <w:pPr>
        <w:spacing w:after="0" w:line="21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145</w:t>
      </w:r>
    </w:p>
    <w:p>
      <w:pPr>
        <w:sectPr>
          <w:pgSz w:w="11900" w:h="16838" w:orient="portrait"/>
          <w:cols w:equalWidth="0" w:num="1">
            <w:col w:w="11420"/>
          </w:cols>
          <w:pgMar w:left="240" w:top="549" w:right="239" w:bottom="1440" w:gutter="0" w:footer="0" w:header="0"/>
        </w:sectPr>
      </w:pPr>
    </w:p>
    <w:bookmarkStart w:id="145" w:name="page146"/>
    <w:bookmarkEnd w:id="145"/>
    <w:p>
      <w:pPr>
        <w:jc w:val="center"/>
        <w:spacing w:after="0"/>
        <w:rPr>
          <w:sz w:val="20"/>
          <w:szCs w:val="20"/>
          <w:color w:val="auto"/>
        </w:rPr>
      </w:pPr>
      <w:r>
        <w:rPr>
          <w:rFonts w:ascii="Arial" w:cs="Arial" w:eastAsia="Arial" w:hAnsi="Arial"/>
          <w:sz w:val="18"/>
          <w:szCs w:val="18"/>
          <w:b w:val="1"/>
          <w:bCs w:val="1"/>
          <w:color w:val="auto"/>
        </w:rPr>
        <w:t>NOTES TO CONSOLIDATED FINANCIAL STATEMENTS OF AMERICAN AIRLINES, INC.</w:t>
      </w:r>
    </w:p>
    <w:p>
      <w:pPr>
        <w:spacing w:after="0" w:line="200" w:lineRule="exact"/>
        <w:rPr>
          <w:sz w:val="20"/>
          <w:szCs w:val="20"/>
          <w:color w:val="auto"/>
        </w:rPr>
      </w:pPr>
    </w:p>
    <w:p>
      <w:pPr>
        <w:spacing w:after="0" w:line="268" w:lineRule="exact"/>
        <w:rPr>
          <w:sz w:val="20"/>
          <w:szCs w:val="20"/>
          <w:color w:val="auto"/>
        </w:rPr>
      </w:pPr>
    </w:p>
    <w:p>
      <w:pPr>
        <w:ind w:left="220"/>
        <w:spacing w:after="0"/>
        <w:rPr>
          <w:sz w:val="20"/>
          <w:szCs w:val="20"/>
          <w:color w:val="auto"/>
        </w:rPr>
      </w:pPr>
      <w:r>
        <w:rPr>
          <w:rFonts w:ascii="Arial" w:cs="Arial" w:eastAsia="Arial" w:hAnsi="Arial"/>
          <w:sz w:val="18"/>
          <w:szCs w:val="18"/>
          <w:b w:val="1"/>
          <w:bCs w:val="1"/>
          <w:i w:val="1"/>
          <w:iCs w:val="1"/>
          <w:color w:val="auto"/>
        </w:rPr>
        <w:t>Benefit Plan Assets Measured at Fair Value on a Recurring Basis</w:t>
      </w:r>
    </w:p>
    <w:p>
      <w:pPr>
        <w:spacing w:after="0" w:line="112" w:lineRule="exact"/>
        <w:rPr>
          <w:sz w:val="20"/>
          <w:szCs w:val="20"/>
          <w:color w:val="auto"/>
        </w:rPr>
      </w:pPr>
    </w:p>
    <w:p>
      <w:pPr>
        <w:ind w:left="220"/>
        <w:spacing w:after="0"/>
        <w:rPr>
          <w:sz w:val="20"/>
          <w:szCs w:val="20"/>
          <w:color w:val="auto"/>
        </w:rPr>
      </w:pPr>
      <w:r>
        <w:rPr>
          <w:rFonts w:ascii="Arial" w:cs="Arial" w:eastAsia="Arial" w:hAnsi="Arial"/>
          <w:sz w:val="18"/>
          <w:szCs w:val="18"/>
          <w:color w:val="auto"/>
        </w:rPr>
        <w:t>The fair value of American’s pension plan assets at December 31, 2019 and 2018, by asset category, were as follows (in millions):</w:t>
      </w:r>
    </w:p>
    <w:p>
      <w:pPr>
        <w:spacing w:after="0" w:line="321" w:lineRule="exact"/>
        <w:rPr>
          <w:sz w:val="20"/>
          <w:szCs w:val="20"/>
          <w:color w:val="auto"/>
        </w:rPr>
      </w:pPr>
    </w:p>
    <w:tbl>
      <w:tblPr>
        <w:tblLayout w:type="fixed"/>
        <w:tblInd w:w="0" w:type="dxa"/>
        <w:tblCellMar>
          <w:top w:w="0" w:type="dxa"/>
          <w:left w:w="0" w:type="dxa"/>
          <w:bottom w:w="0" w:type="dxa"/>
          <w:right w:w="0" w:type="dxa"/>
        </w:tblCellMar>
      </w:tblPr>
      <w:tr>
        <w:trPr>
          <w:trHeight w:val="196"/>
        </w:trPr>
        <w:tc>
          <w:tcPr>
            <w:tcW w:w="4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4360" w:type="dxa"/>
            <w:vAlign w:val="bottom"/>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4580" w:type="dxa"/>
            <w:vAlign w:val="bottom"/>
            <w:tcBorders>
              <w:bottom w:val="single" w:sz="8" w:color="auto"/>
            </w:tcBorders>
            <w:gridSpan w:val="9"/>
          </w:tcPr>
          <w:p>
            <w:pPr>
              <w:ind w:left="1140"/>
              <w:spacing w:after="0"/>
              <w:rPr>
                <w:sz w:val="20"/>
                <w:szCs w:val="20"/>
                <w:color w:val="auto"/>
              </w:rPr>
            </w:pPr>
            <w:r>
              <w:rPr>
                <w:rFonts w:ascii="Arial" w:cs="Arial" w:eastAsia="Arial" w:hAnsi="Arial"/>
                <w:sz w:val="14"/>
                <w:szCs w:val="14"/>
                <w:b w:val="1"/>
                <w:bCs w:val="1"/>
                <w:color w:val="auto"/>
              </w:rPr>
              <w:t>Fair Value Measurements as of December 31, 2019</w:t>
            </w:r>
          </w:p>
        </w:tc>
        <w:tc>
          <w:tcPr>
            <w:tcW w:w="260" w:type="dxa"/>
            <w:vAlign w:val="bottom"/>
            <w:tcBorders>
              <w:bottom w:val="single" w:sz="8" w:color="auto"/>
            </w:tcBorders>
          </w:tcPr>
          <w:p>
            <w:pPr>
              <w:spacing w:after="0"/>
              <w:rPr>
                <w:sz w:val="17"/>
                <w:szCs w:val="17"/>
                <w:color w:val="auto"/>
              </w:rPr>
            </w:pPr>
          </w:p>
        </w:tc>
        <w:tc>
          <w:tcPr>
            <w:tcW w:w="980" w:type="dxa"/>
            <w:vAlign w:val="bottom"/>
            <w:tcBorders>
              <w:bottom w:val="single" w:sz="8" w:color="auto"/>
            </w:tcBorders>
          </w:tcPr>
          <w:p>
            <w:pPr>
              <w:spacing w:after="0"/>
              <w:rPr>
                <w:sz w:val="17"/>
                <w:szCs w:val="17"/>
                <w:color w:val="auto"/>
              </w:rPr>
            </w:pPr>
          </w:p>
        </w:tc>
      </w:tr>
      <w:tr>
        <w:trPr>
          <w:trHeight w:val="175"/>
        </w:trPr>
        <w:tc>
          <w:tcPr>
            <w:tcW w:w="4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43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58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rPr>
              <w:t>Quoted Prices in</w:t>
            </w:r>
          </w:p>
        </w:tc>
        <w:tc>
          <w:tcPr>
            <w:tcW w:w="220" w:type="dxa"/>
            <w:vAlign w:val="bottom"/>
          </w:tcPr>
          <w:p>
            <w:pPr>
              <w:spacing w:after="0"/>
              <w:rPr>
                <w:sz w:val="15"/>
                <w:szCs w:val="15"/>
                <w:color w:val="auto"/>
              </w:rPr>
            </w:pPr>
          </w:p>
        </w:tc>
        <w:tc>
          <w:tcPr>
            <w:tcW w:w="1260" w:type="dxa"/>
            <w:vAlign w:val="bottom"/>
            <w:gridSpan w:val="2"/>
          </w:tcPr>
          <w:p>
            <w:pPr>
              <w:jc w:val="center"/>
              <w:ind w:right="320"/>
              <w:spacing w:after="0"/>
              <w:rPr>
                <w:sz w:val="20"/>
                <w:szCs w:val="20"/>
                <w:color w:val="auto"/>
              </w:rPr>
            </w:pPr>
            <w:r>
              <w:rPr>
                <w:rFonts w:ascii="Arial" w:cs="Arial" w:eastAsia="Arial" w:hAnsi="Arial"/>
                <w:sz w:val="14"/>
                <w:szCs w:val="14"/>
                <w:b w:val="1"/>
                <w:bCs w:val="1"/>
                <w:color w:val="auto"/>
              </w:rPr>
              <w:t>Significant</w:t>
            </w:r>
          </w:p>
        </w:tc>
        <w:tc>
          <w:tcPr>
            <w:tcW w:w="180" w:type="dxa"/>
            <w:vAlign w:val="bottom"/>
          </w:tcPr>
          <w:p>
            <w:pPr>
              <w:spacing w:after="0"/>
              <w:rPr>
                <w:sz w:val="15"/>
                <w:szCs w:val="15"/>
                <w:color w:val="auto"/>
              </w:rPr>
            </w:pPr>
          </w:p>
        </w:tc>
        <w:tc>
          <w:tcPr>
            <w:tcW w:w="1340" w:type="dxa"/>
            <w:vAlign w:val="bottom"/>
            <w:gridSpan w:val="3"/>
          </w:tcPr>
          <w:p>
            <w:pPr>
              <w:jc w:val="center"/>
              <w:ind w:right="320"/>
              <w:spacing w:after="0"/>
              <w:rPr>
                <w:sz w:val="20"/>
                <w:szCs w:val="20"/>
                <w:color w:val="auto"/>
              </w:rPr>
            </w:pPr>
            <w:r>
              <w:rPr>
                <w:rFonts w:ascii="Arial" w:cs="Arial" w:eastAsia="Arial" w:hAnsi="Arial"/>
                <w:sz w:val="14"/>
                <w:szCs w:val="14"/>
                <w:b w:val="1"/>
                <w:bCs w:val="1"/>
                <w:color w:val="auto"/>
              </w:rPr>
              <w:t>Significant</w:t>
            </w:r>
          </w:p>
        </w:tc>
        <w:tc>
          <w:tcPr>
            <w:tcW w:w="260" w:type="dxa"/>
            <w:vAlign w:val="bottom"/>
          </w:tcPr>
          <w:p>
            <w:pPr>
              <w:spacing w:after="0"/>
              <w:rPr>
                <w:sz w:val="15"/>
                <w:szCs w:val="15"/>
                <w:color w:val="auto"/>
              </w:rPr>
            </w:pPr>
          </w:p>
        </w:tc>
        <w:tc>
          <w:tcPr>
            <w:tcW w:w="980" w:type="dxa"/>
            <w:vAlign w:val="bottom"/>
          </w:tcPr>
          <w:p>
            <w:pPr>
              <w:spacing w:after="0"/>
              <w:rPr>
                <w:sz w:val="15"/>
                <w:szCs w:val="15"/>
                <w:color w:val="auto"/>
              </w:rPr>
            </w:pPr>
          </w:p>
        </w:tc>
      </w:tr>
      <w:tr>
        <w:trPr>
          <w:trHeight w:val="162"/>
        </w:trPr>
        <w:tc>
          <w:tcPr>
            <w:tcW w:w="4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43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58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rPr>
              <w:t>Active Markets</w:t>
            </w:r>
          </w:p>
        </w:tc>
        <w:tc>
          <w:tcPr>
            <w:tcW w:w="220" w:type="dxa"/>
            <w:vAlign w:val="bottom"/>
          </w:tcPr>
          <w:p>
            <w:pPr>
              <w:spacing w:after="0"/>
              <w:rPr>
                <w:sz w:val="14"/>
                <w:szCs w:val="14"/>
                <w:color w:val="auto"/>
              </w:rPr>
            </w:pPr>
          </w:p>
        </w:tc>
        <w:tc>
          <w:tcPr>
            <w:tcW w:w="1260" w:type="dxa"/>
            <w:vAlign w:val="bottom"/>
            <w:gridSpan w:val="2"/>
          </w:tcPr>
          <w:p>
            <w:pPr>
              <w:jc w:val="center"/>
              <w:ind w:right="320"/>
              <w:spacing w:after="0"/>
              <w:rPr>
                <w:sz w:val="20"/>
                <w:szCs w:val="20"/>
                <w:color w:val="auto"/>
              </w:rPr>
            </w:pPr>
            <w:r>
              <w:rPr>
                <w:rFonts w:ascii="Arial" w:cs="Arial" w:eastAsia="Arial" w:hAnsi="Arial"/>
                <w:sz w:val="14"/>
                <w:szCs w:val="14"/>
                <w:b w:val="1"/>
                <w:bCs w:val="1"/>
                <w:color w:val="auto"/>
              </w:rPr>
              <w:t>Observable</w:t>
            </w:r>
          </w:p>
        </w:tc>
        <w:tc>
          <w:tcPr>
            <w:tcW w:w="180" w:type="dxa"/>
            <w:vAlign w:val="bottom"/>
          </w:tcPr>
          <w:p>
            <w:pPr>
              <w:spacing w:after="0"/>
              <w:rPr>
                <w:sz w:val="14"/>
                <w:szCs w:val="14"/>
                <w:color w:val="auto"/>
              </w:rPr>
            </w:pPr>
          </w:p>
        </w:tc>
        <w:tc>
          <w:tcPr>
            <w:tcW w:w="1340" w:type="dxa"/>
            <w:vAlign w:val="bottom"/>
            <w:gridSpan w:val="3"/>
          </w:tcPr>
          <w:p>
            <w:pPr>
              <w:jc w:val="center"/>
              <w:ind w:right="320"/>
              <w:spacing w:after="0"/>
              <w:rPr>
                <w:sz w:val="20"/>
                <w:szCs w:val="20"/>
                <w:color w:val="auto"/>
              </w:rPr>
            </w:pPr>
            <w:r>
              <w:rPr>
                <w:rFonts w:ascii="Arial" w:cs="Arial" w:eastAsia="Arial" w:hAnsi="Arial"/>
                <w:sz w:val="14"/>
                <w:szCs w:val="14"/>
                <w:b w:val="1"/>
                <w:bCs w:val="1"/>
                <w:color w:val="auto"/>
              </w:rPr>
              <w:t>Unobservable</w:t>
            </w:r>
          </w:p>
        </w:tc>
        <w:tc>
          <w:tcPr>
            <w:tcW w:w="260" w:type="dxa"/>
            <w:vAlign w:val="bottom"/>
          </w:tcPr>
          <w:p>
            <w:pPr>
              <w:spacing w:after="0"/>
              <w:rPr>
                <w:sz w:val="14"/>
                <w:szCs w:val="14"/>
                <w:color w:val="auto"/>
              </w:rPr>
            </w:pPr>
          </w:p>
        </w:tc>
        <w:tc>
          <w:tcPr>
            <w:tcW w:w="980" w:type="dxa"/>
            <w:vAlign w:val="bottom"/>
          </w:tcPr>
          <w:p>
            <w:pPr>
              <w:spacing w:after="0"/>
              <w:rPr>
                <w:sz w:val="14"/>
                <w:szCs w:val="14"/>
                <w:color w:val="auto"/>
              </w:rPr>
            </w:pPr>
          </w:p>
        </w:tc>
      </w:tr>
      <w:tr>
        <w:trPr>
          <w:trHeight w:val="162"/>
        </w:trPr>
        <w:tc>
          <w:tcPr>
            <w:tcW w:w="4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43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58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rPr>
              <w:t>for Identical Assets</w:t>
            </w:r>
          </w:p>
        </w:tc>
        <w:tc>
          <w:tcPr>
            <w:tcW w:w="220" w:type="dxa"/>
            <w:vAlign w:val="bottom"/>
          </w:tcPr>
          <w:p>
            <w:pPr>
              <w:spacing w:after="0"/>
              <w:rPr>
                <w:sz w:val="14"/>
                <w:szCs w:val="14"/>
                <w:color w:val="auto"/>
              </w:rPr>
            </w:pPr>
          </w:p>
        </w:tc>
        <w:tc>
          <w:tcPr>
            <w:tcW w:w="1260" w:type="dxa"/>
            <w:vAlign w:val="bottom"/>
            <w:gridSpan w:val="2"/>
          </w:tcPr>
          <w:p>
            <w:pPr>
              <w:jc w:val="center"/>
              <w:ind w:right="320"/>
              <w:spacing w:after="0"/>
              <w:rPr>
                <w:sz w:val="20"/>
                <w:szCs w:val="20"/>
                <w:color w:val="auto"/>
              </w:rPr>
            </w:pPr>
            <w:r>
              <w:rPr>
                <w:rFonts w:ascii="Arial" w:cs="Arial" w:eastAsia="Arial" w:hAnsi="Arial"/>
                <w:sz w:val="14"/>
                <w:szCs w:val="14"/>
                <w:b w:val="1"/>
                <w:bCs w:val="1"/>
                <w:color w:val="auto"/>
                <w:w w:val="99"/>
              </w:rPr>
              <w:t>Inputs</w:t>
            </w:r>
          </w:p>
        </w:tc>
        <w:tc>
          <w:tcPr>
            <w:tcW w:w="180" w:type="dxa"/>
            <w:vAlign w:val="bottom"/>
          </w:tcPr>
          <w:p>
            <w:pPr>
              <w:spacing w:after="0"/>
              <w:rPr>
                <w:sz w:val="14"/>
                <w:szCs w:val="14"/>
                <w:color w:val="auto"/>
              </w:rPr>
            </w:pPr>
          </w:p>
        </w:tc>
        <w:tc>
          <w:tcPr>
            <w:tcW w:w="1340" w:type="dxa"/>
            <w:vAlign w:val="bottom"/>
            <w:gridSpan w:val="3"/>
          </w:tcPr>
          <w:p>
            <w:pPr>
              <w:jc w:val="center"/>
              <w:ind w:right="320"/>
              <w:spacing w:after="0"/>
              <w:rPr>
                <w:sz w:val="20"/>
                <w:szCs w:val="20"/>
                <w:color w:val="auto"/>
              </w:rPr>
            </w:pPr>
            <w:r>
              <w:rPr>
                <w:rFonts w:ascii="Arial" w:cs="Arial" w:eastAsia="Arial" w:hAnsi="Arial"/>
                <w:sz w:val="14"/>
                <w:szCs w:val="14"/>
                <w:b w:val="1"/>
                <w:bCs w:val="1"/>
                <w:color w:val="auto"/>
                <w:w w:val="99"/>
              </w:rPr>
              <w:t>Inputs</w:t>
            </w:r>
          </w:p>
        </w:tc>
        <w:tc>
          <w:tcPr>
            <w:tcW w:w="260" w:type="dxa"/>
            <w:vAlign w:val="bottom"/>
          </w:tcPr>
          <w:p>
            <w:pPr>
              <w:spacing w:after="0"/>
              <w:rPr>
                <w:sz w:val="14"/>
                <w:szCs w:val="14"/>
                <w:color w:val="auto"/>
              </w:rPr>
            </w:pPr>
          </w:p>
        </w:tc>
        <w:tc>
          <w:tcPr>
            <w:tcW w:w="980" w:type="dxa"/>
            <w:vAlign w:val="bottom"/>
          </w:tcPr>
          <w:p>
            <w:pPr>
              <w:spacing w:after="0"/>
              <w:rPr>
                <w:sz w:val="14"/>
                <w:szCs w:val="14"/>
                <w:color w:val="auto"/>
              </w:rPr>
            </w:pPr>
          </w:p>
        </w:tc>
      </w:tr>
      <w:tr>
        <w:trPr>
          <w:trHeight w:val="162"/>
        </w:trPr>
        <w:tc>
          <w:tcPr>
            <w:tcW w:w="5460" w:type="dxa"/>
            <w:vAlign w:val="bottom"/>
            <w:gridSpan w:val="3"/>
          </w:tcPr>
          <w:p>
            <w:pPr>
              <w:ind w:left="40"/>
              <w:spacing w:after="0"/>
              <w:rPr>
                <w:sz w:val="20"/>
                <w:szCs w:val="20"/>
                <w:color w:val="auto"/>
              </w:rPr>
            </w:pPr>
            <w:r>
              <w:rPr>
                <w:rFonts w:ascii="Arial" w:cs="Arial" w:eastAsia="Arial" w:hAnsi="Arial"/>
                <w:sz w:val="14"/>
                <w:szCs w:val="14"/>
                <w:b w:val="1"/>
                <w:bCs w:val="1"/>
                <w:color w:val="auto"/>
              </w:rPr>
              <w:t>Asset Category</w:t>
            </w:r>
          </w:p>
        </w:tc>
        <w:tc>
          <w:tcPr>
            <w:tcW w:w="140" w:type="dxa"/>
            <w:vAlign w:val="bottom"/>
          </w:tcPr>
          <w:p>
            <w:pPr>
              <w:spacing w:after="0"/>
              <w:rPr>
                <w:sz w:val="14"/>
                <w:szCs w:val="14"/>
                <w:color w:val="auto"/>
              </w:rPr>
            </w:pPr>
          </w:p>
        </w:tc>
        <w:tc>
          <w:tcPr>
            <w:tcW w:w="158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rPr>
              <w:t>(Level 1)</w:t>
            </w:r>
          </w:p>
        </w:tc>
        <w:tc>
          <w:tcPr>
            <w:tcW w:w="220" w:type="dxa"/>
            <w:vAlign w:val="bottom"/>
          </w:tcPr>
          <w:p>
            <w:pPr>
              <w:spacing w:after="0"/>
              <w:rPr>
                <w:sz w:val="14"/>
                <w:szCs w:val="14"/>
                <w:color w:val="auto"/>
              </w:rPr>
            </w:pPr>
          </w:p>
        </w:tc>
        <w:tc>
          <w:tcPr>
            <w:tcW w:w="1260" w:type="dxa"/>
            <w:vAlign w:val="bottom"/>
            <w:gridSpan w:val="2"/>
          </w:tcPr>
          <w:p>
            <w:pPr>
              <w:jc w:val="center"/>
              <w:ind w:right="320"/>
              <w:spacing w:after="0"/>
              <w:rPr>
                <w:sz w:val="20"/>
                <w:szCs w:val="20"/>
                <w:color w:val="auto"/>
              </w:rPr>
            </w:pPr>
            <w:r>
              <w:rPr>
                <w:rFonts w:ascii="Arial" w:cs="Arial" w:eastAsia="Arial" w:hAnsi="Arial"/>
                <w:sz w:val="14"/>
                <w:szCs w:val="14"/>
                <w:b w:val="1"/>
                <w:bCs w:val="1"/>
                <w:color w:val="auto"/>
              </w:rPr>
              <w:t>(Level 2)</w:t>
            </w:r>
          </w:p>
        </w:tc>
        <w:tc>
          <w:tcPr>
            <w:tcW w:w="180" w:type="dxa"/>
            <w:vAlign w:val="bottom"/>
          </w:tcPr>
          <w:p>
            <w:pPr>
              <w:spacing w:after="0"/>
              <w:rPr>
                <w:sz w:val="14"/>
                <w:szCs w:val="14"/>
                <w:color w:val="auto"/>
              </w:rPr>
            </w:pPr>
          </w:p>
        </w:tc>
        <w:tc>
          <w:tcPr>
            <w:tcW w:w="1340" w:type="dxa"/>
            <w:vAlign w:val="bottom"/>
            <w:gridSpan w:val="3"/>
          </w:tcPr>
          <w:p>
            <w:pPr>
              <w:jc w:val="center"/>
              <w:ind w:right="320"/>
              <w:spacing w:after="0"/>
              <w:rPr>
                <w:sz w:val="20"/>
                <w:szCs w:val="20"/>
                <w:color w:val="auto"/>
              </w:rPr>
            </w:pPr>
            <w:r>
              <w:rPr>
                <w:rFonts w:ascii="Arial" w:cs="Arial" w:eastAsia="Arial" w:hAnsi="Arial"/>
                <w:sz w:val="14"/>
                <w:szCs w:val="14"/>
                <w:b w:val="1"/>
                <w:bCs w:val="1"/>
                <w:color w:val="auto"/>
              </w:rPr>
              <w:t>(Level 3)</w:t>
            </w:r>
          </w:p>
        </w:tc>
        <w:tc>
          <w:tcPr>
            <w:tcW w:w="260" w:type="dxa"/>
            <w:vAlign w:val="bottom"/>
          </w:tcPr>
          <w:p>
            <w:pPr>
              <w:spacing w:after="0"/>
              <w:rPr>
                <w:sz w:val="14"/>
                <w:szCs w:val="14"/>
                <w:color w:val="auto"/>
              </w:rPr>
            </w:pPr>
          </w:p>
        </w:tc>
        <w:tc>
          <w:tcPr>
            <w:tcW w:w="980" w:type="dxa"/>
            <w:vAlign w:val="bottom"/>
          </w:tcPr>
          <w:p>
            <w:pPr>
              <w:jc w:val="right"/>
              <w:ind w:right="371"/>
              <w:spacing w:after="0"/>
              <w:rPr>
                <w:sz w:val="20"/>
                <w:szCs w:val="20"/>
                <w:color w:val="auto"/>
              </w:rPr>
            </w:pPr>
            <w:r>
              <w:rPr>
                <w:rFonts w:ascii="Arial" w:cs="Arial" w:eastAsia="Arial" w:hAnsi="Arial"/>
                <w:sz w:val="14"/>
                <w:szCs w:val="14"/>
                <w:b w:val="1"/>
                <w:bCs w:val="1"/>
                <w:color w:val="auto"/>
              </w:rPr>
              <w:t>Total</w:t>
            </w:r>
          </w:p>
        </w:tc>
      </w:tr>
      <w:tr>
        <w:trPr>
          <w:trHeight w:val="21"/>
        </w:trPr>
        <w:tc>
          <w:tcPr>
            <w:tcW w:w="40" w:type="dxa"/>
            <w:vAlign w:val="bottom"/>
            <w:tcBorders>
              <w:bottom w:val="single" w:sz="8" w:color="CCEEFF"/>
            </w:tcBorders>
          </w:tcPr>
          <w:p>
            <w:pPr>
              <w:spacing w:after="0" w:line="20" w:lineRule="exact"/>
              <w:rPr>
                <w:sz w:val="1"/>
                <w:szCs w:val="1"/>
                <w:color w:val="auto"/>
              </w:rPr>
            </w:pPr>
          </w:p>
        </w:tc>
        <w:tc>
          <w:tcPr>
            <w:tcW w:w="1060" w:type="dxa"/>
            <w:vAlign w:val="bottom"/>
            <w:tcBorders>
              <w:top w:val="single" w:sz="8" w:color="auto"/>
              <w:bottom w:val="single" w:sz="8" w:color="CCEEFF"/>
            </w:tcBorders>
          </w:tcPr>
          <w:p>
            <w:pPr>
              <w:spacing w:after="0" w:line="20" w:lineRule="exact"/>
              <w:rPr>
                <w:sz w:val="1"/>
                <w:szCs w:val="1"/>
                <w:color w:val="auto"/>
              </w:rPr>
            </w:pPr>
          </w:p>
        </w:tc>
        <w:tc>
          <w:tcPr>
            <w:tcW w:w="436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4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r>
      <w:tr>
        <w:trPr>
          <w:trHeight w:val="250"/>
        </w:trPr>
        <w:tc>
          <w:tcPr>
            <w:tcW w:w="5460" w:type="dxa"/>
            <w:vAlign w:val="bottom"/>
            <w:gridSpan w:val="3"/>
            <w:shd w:val="clear" w:color="auto" w:fill="CCEEFF"/>
          </w:tcPr>
          <w:p>
            <w:pPr>
              <w:ind w:left="40"/>
              <w:spacing w:after="0"/>
              <w:rPr>
                <w:sz w:val="20"/>
                <w:szCs w:val="20"/>
                <w:color w:val="auto"/>
              </w:rPr>
            </w:pPr>
            <w:r>
              <w:rPr>
                <w:rFonts w:ascii="Arial" w:cs="Arial" w:eastAsia="Arial" w:hAnsi="Arial"/>
                <w:sz w:val="18"/>
                <w:szCs w:val="18"/>
                <w:color w:val="auto"/>
              </w:rPr>
              <w:t>Cash and cash equivalents</w:t>
            </w: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480" w:type="dxa"/>
            <w:vAlign w:val="bottom"/>
            <w:shd w:val="clear" w:color="auto" w:fill="CCEEFF"/>
          </w:tcPr>
          <w:p>
            <w:pPr>
              <w:jc w:val="right"/>
              <w:ind w:right="34"/>
              <w:spacing w:after="0"/>
              <w:rPr>
                <w:sz w:val="20"/>
                <w:szCs w:val="20"/>
                <w:color w:val="auto"/>
              </w:rPr>
            </w:pPr>
            <w:r>
              <w:rPr>
                <w:rFonts w:ascii="Arial" w:cs="Arial" w:eastAsia="Arial" w:hAnsi="Arial"/>
                <w:sz w:val="18"/>
                <w:szCs w:val="18"/>
                <w:color w:val="auto"/>
              </w:rPr>
              <w:t>20</w:t>
            </w:r>
          </w:p>
        </w:tc>
        <w:tc>
          <w:tcPr>
            <w:tcW w:w="100" w:type="dxa"/>
            <w:vAlign w:val="bottom"/>
            <w:shd w:val="clear" w:color="auto" w:fill="CCEEFF"/>
          </w:tcPr>
          <w:p>
            <w:pPr>
              <w:spacing w:after="0"/>
              <w:rPr>
                <w:sz w:val="21"/>
                <w:szCs w:val="21"/>
                <w:color w:val="auto"/>
              </w:rPr>
            </w:pPr>
          </w:p>
        </w:tc>
        <w:tc>
          <w:tcPr>
            <w:tcW w:w="2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2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340" w:type="dxa"/>
            <w:vAlign w:val="bottom"/>
            <w:gridSpan w:val="3"/>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26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98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20</w:t>
            </w:r>
          </w:p>
        </w:tc>
      </w:tr>
      <w:tr>
        <w:trPr>
          <w:trHeight w:val="243"/>
        </w:trPr>
        <w:tc>
          <w:tcPr>
            <w:tcW w:w="5460" w:type="dxa"/>
            <w:vAlign w:val="bottom"/>
            <w:gridSpan w:val="3"/>
          </w:tcPr>
          <w:p>
            <w:pPr>
              <w:ind w:left="40"/>
              <w:spacing w:after="0"/>
              <w:rPr>
                <w:sz w:val="20"/>
                <w:szCs w:val="20"/>
                <w:color w:val="auto"/>
              </w:rPr>
            </w:pPr>
            <w:r>
              <w:rPr>
                <w:rFonts w:ascii="Arial" w:cs="Arial" w:eastAsia="Arial" w:hAnsi="Arial"/>
                <w:sz w:val="18"/>
                <w:szCs w:val="18"/>
                <w:color w:val="auto"/>
              </w:rPr>
              <w:t>Equity securities:</w:t>
            </w:r>
          </w:p>
        </w:tc>
        <w:tc>
          <w:tcPr>
            <w:tcW w:w="140" w:type="dxa"/>
            <w:vAlign w:val="bottom"/>
          </w:tcPr>
          <w:p>
            <w:pPr>
              <w:spacing w:after="0"/>
              <w:rPr>
                <w:sz w:val="21"/>
                <w:szCs w:val="21"/>
                <w:color w:val="auto"/>
              </w:rPr>
            </w:pPr>
          </w:p>
        </w:tc>
        <w:tc>
          <w:tcPr>
            <w:tcW w:w="14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1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2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980" w:type="dxa"/>
            <w:vAlign w:val="bottom"/>
          </w:tcPr>
          <w:p>
            <w:pPr>
              <w:spacing w:after="0"/>
              <w:rPr>
                <w:sz w:val="21"/>
                <w:szCs w:val="21"/>
                <w:color w:val="auto"/>
              </w:rPr>
            </w:pPr>
          </w:p>
        </w:tc>
      </w:tr>
      <w:tr>
        <w:trPr>
          <w:trHeight w:val="27"/>
        </w:trPr>
        <w:tc>
          <w:tcPr>
            <w:tcW w:w="40" w:type="dxa"/>
            <w:vAlign w:val="bottom"/>
          </w:tcPr>
          <w:p>
            <w:pPr>
              <w:spacing w:after="0"/>
              <w:rPr>
                <w:sz w:val="2"/>
                <w:szCs w:val="2"/>
                <w:color w:val="auto"/>
              </w:rPr>
            </w:pPr>
          </w:p>
        </w:tc>
        <w:tc>
          <w:tcPr>
            <w:tcW w:w="1060" w:type="dxa"/>
            <w:vAlign w:val="bottom"/>
          </w:tcPr>
          <w:p>
            <w:pPr>
              <w:spacing w:after="0"/>
              <w:rPr>
                <w:sz w:val="2"/>
                <w:szCs w:val="2"/>
                <w:color w:val="auto"/>
              </w:rPr>
            </w:pPr>
          </w:p>
        </w:tc>
        <w:tc>
          <w:tcPr>
            <w:tcW w:w="4360" w:type="dxa"/>
            <w:vAlign w:val="bottom"/>
          </w:tcPr>
          <w:p>
            <w:pPr>
              <w:spacing w:after="0"/>
              <w:rPr>
                <w:sz w:val="2"/>
                <w:szCs w:val="2"/>
                <w:color w:val="auto"/>
              </w:rPr>
            </w:pPr>
          </w:p>
        </w:tc>
        <w:tc>
          <w:tcPr>
            <w:tcW w:w="140" w:type="dxa"/>
            <w:vAlign w:val="bottom"/>
          </w:tcPr>
          <w:p>
            <w:pPr>
              <w:spacing w:after="0"/>
              <w:rPr>
                <w:sz w:val="2"/>
                <w:szCs w:val="2"/>
                <w:color w:val="auto"/>
              </w:rPr>
            </w:pPr>
          </w:p>
        </w:tc>
        <w:tc>
          <w:tcPr>
            <w:tcW w:w="14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 w:type="dxa"/>
            <w:vAlign w:val="bottom"/>
          </w:tcPr>
          <w:p>
            <w:pPr>
              <w:spacing w:after="0"/>
              <w:rPr>
                <w:sz w:val="2"/>
                <w:szCs w:val="2"/>
                <w:color w:val="auto"/>
              </w:rPr>
            </w:pPr>
          </w:p>
        </w:tc>
        <w:tc>
          <w:tcPr>
            <w:tcW w:w="260" w:type="dxa"/>
            <w:vAlign w:val="bottom"/>
          </w:tcPr>
          <w:p>
            <w:pPr>
              <w:spacing w:after="0"/>
              <w:rPr>
                <w:sz w:val="2"/>
                <w:szCs w:val="2"/>
                <w:color w:val="auto"/>
              </w:rPr>
            </w:pPr>
          </w:p>
        </w:tc>
        <w:tc>
          <w:tcPr>
            <w:tcW w:w="980" w:type="dxa"/>
            <w:vAlign w:val="bottom"/>
          </w:tcPr>
          <w:p>
            <w:pPr>
              <w:spacing w:after="0"/>
              <w:rPr>
                <w:sz w:val="2"/>
                <w:szCs w:val="2"/>
                <w:color w:val="auto"/>
              </w:rPr>
            </w:pPr>
          </w:p>
        </w:tc>
      </w:tr>
      <w:tr>
        <w:trPr>
          <w:trHeight w:val="270"/>
        </w:trPr>
        <w:tc>
          <w:tcPr>
            <w:tcW w:w="40" w:type="dxa"/>
            <w:vAlign w:val="bottom"/>
            <w:shd w:val="clear" w:color="auto" w:fill="CCEEFF"/>
          </w:tcPr>
          <w:p>
            <w:pPr>
              <w:spacing w:after="0"/>
              <w:rPr>
                <w:sz w:val="23"/>
                <w:szCs w:val="23"/>
                <w:color w:val="auto"/>
              </w:rPr>
            </w:pPr>
          </w:p>
        </w:tc>
        <w:tc>
          <w:tcPr>
            <w:tcW w:w="5420" w:type="dxa"/>
            <w:vAlign w:val="bottom"/>
            <w:gridSpan w:val="2"/>
            <w:shd w:val="clear" w:color="auto" w:fill="CCEEFF"/>
          </w:tcPr>
          <w:p>
            <w:pPr>
              <w:ind w:left="340"/>
              <w:spacing w:after="0"/>
              <w:rPr>
                <w:sz w:val="20"/>
                <w:szCs w:val="20"/>
                <w:color w:val="auto"/>
              </w:rPr>
            </w:pPr>
            <w:r>
              <w:rPr>
                <w:rFonts w:ascii="Arial" w:cs="Arial" w:eastAsia="Arial" w:hAnsi="Arial"/>
                <w:sz w:val="18"/>
                <w:szCs w:val="18"/>
                <w:color w:val="auto"/>
              </w:rPr>
              <w:t xml:space="preserve">International markets </w:t>
            </w:r>
            <w:r>
              <w:rPr>
                <w:rFonts w:ascii="Arial" w:cs="Arial" w:eastAsia="Arial" w:hAnsi="Arial"/>
                <w:sz w:val="21"/>
                <w:szCs w:val="21"/>
                <w:color w:val="auto"/>
                <w:vertAlign w:val="superscript"/>
              </w:rPr>
              <w:t>(a), (b)</w:t>
            </w:r>
          </w:p>
        </w:tc>
        <w:tc>
          <w:tcPr>
            <w:tcW w:w="140" w:type="dxa"/>
            <w:vAlign w:val="bottom"/>
            <w:shd w:val="clear" w:color="auto" w:fill="CCEEFF"/>
          </w:tcPr>
          <w:p>
            <w:pPr>
              <w:spacing w:after="0"/>
              <w:rPr>
                <w:sz w:val="23"/>
                <w:szCs w:val="23"/>
                <w:color w:val="auto"/>
              </w:rPr>
            </w:pPr>
          </w:p>
        </w:tc>
        <w:tc>
          <w:tcPr>
            <w:tcW w:w="1480" w:type="dxa"/>
            <w:vAlign w:val="bottom"/>
            <w:shd w:val="clear" w:color="auto" w:fill="CCEEFF"/>
          </w:tcPr>
          <w:p>
            <w:pPr>
              <w:jc w:val="right"/>
              <w:ind w:right="34"/>
              <w:spacing w:after="0"/>
              <w:rPr>
                <w:sz w:val="20"/>
                <w:szCs w:val="20"/>
                <w:color w:val="auto"/>
              </w:rPr>
            </w:pPr>
            <w:r>
              <w:rPr>
                <w:rFonts w:ascii="Arial" w:cs="Arial" w:eastAsia="Arial" w:hAnsi="Arial"/>
                <w:sz w:val="18"/>
                <w:szCs w:val="18"/>
                <w:color w:val="auto"/>
              </w:rPr>
              <w:t>2,769</w:t>
            </w:r>
          </w:p>
        </w:tc>
        <w:tc>
          <w:tcPr>
            <w:tcW w:w="100" w:type="dxa"/>
            <w:vAlign w:val="bottom"/>
            <w:shd w:val="clear" w:color="auto" w:fill="CCEEFF"/>
          </w:tcPr>
          <w:p>
            <w:pPr>
              <w:spacing w:after="0"/>
              <w:rPr>
                <w:sz w:val="23"/>
                <w:szCs w:val="23"/>
                <w:color w:val="auto"/>
              </w:rPr>
            </w:pPr>
          </w:p>
        </w:tc>
        <w:tc>
          <w:tcPr>
            <w:tcW w:w="220" w:type="dxa"/>
            <w:vAlign w:val="bottom"/>
            <w:shd w:val="clear" w:color="auto" w:fill="CCEEFF"/>
          </w:tcPr>
          <w:p>
            <w:pPr>
              <w:spacing w:after="0"/>
              <w:rPr>
                <w:sz w:val="23"/>
                <w:szCs w:val="23"/>
                <w:color w:val="auto"/>
              </w:rPr>
            </w:pPr>
          </w:p>
        </w:tc>
        <w:tc>
          <w:tcPr>
            <w:tcW w:w="12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23"/>
                <w:szCs w:val="23"/>
                <w:color w:val="auto"/>
              </w:rPr>
            </w:pPr>
          </w:p>
        </w:tc>
        <w:tc>
          <w:tcPr>
            <w:tcW w:w="1340" w:type="dxa"/>
            <w:vAlign w:val="bottom"/>
            <w:gridSpan w:val="3"/>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260" w:type="dxa"/>
            <w:vAlign w:val="bottom"/>
            <w:shd w:val="clear" w:color="auto" w:fill="CCEEFF"/>
          </w:tcPr>
          <w:p>
            <w:pPr>
              <w:spacing w:after="0"/>
              <w:rPr>
                <w:sz w:val="23"/>
                <w:szCs w:val="23"/>
                <w:color w:val="auto"/>
              </w:rPr>
            </w:pPr>
          </w:p>
        </w:tc>
        <w:tc>
          <w:tcPr>
            <w:tcW w:w="98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2,769</w:t>
            </w:r>
          </w:p>
        </w:tc>
      </w:tr>
      <w:tr>
        <w:trPr>
          <w:trHeight w:val="270"/>
        </w:trPr>
        <w:tc>
          <w:tcPr>
            <w:tcW w:w="40" w:type="dxa"/>
            <w:vAlign w:val="bottom"/>
          </w:tcPr>
          <w:p>
            <w:pPr>
              <w:spacing w:after="0"/>
              <w:rPr>
                <w:sz w:val="23"/>
                <w:szCs w:val="23"/>
                <w:color w:val="auto"/>
              </w:rPr>
            </w:pPr>
          </w:p>
        </w:tc>
        <w:tc>
          <w:tcPr>
            <w:tcW w:w="5420" w:type="dxa"/>
            <w:vAlign w:val="bottom"/>
            <w:gridSpan w:val="2"/>
          </w:tcPr>
          <w:p>
            <w:pPr>
              <w:ind w:left="340"/>
              <w:spacing w:after="0"/>
              <w:rPr>
                <w:sz w:val="20"/>
                <w:szCs w:val="20"/>
                <w:color w:val="auto"/>
              </w:rPr>
            </w:pPr>
            <w:r>
              <w:rPr>
                <w:rFonts w:ascii="Arial" w:cs="Arial" w:eastAsia="Arial" w:hAnsi="Arial"/>
                <w:sz w:val="18"/>
                <w:szCs w:val="18"/>
                <w:color w:val="auto"/>
              </w:rPr>
              <w:t xml:space="preserve">Large-cap companies </w:t>
            </w:r>
            <w:r>
              <w:rPr>
                <w:rFonts w:ascii="Arial" w:cs="Arial" w:eastAsia="Arial" w:hAnsi="Arial"/>
                <w:sz w:val="21"/>
                <w:szCs w:val="21"/>
                <w:color w:val="auto"/>
                <w:vertAlign w:val="superscript"/>
              </w:rPr>
              <w:t>(b)</w:t>
            </w:r>
          </w:p>
        </w:tc>
        <w:tc>
          <w:tcPr>
            <w:tcW w:w="140" w:type="dxa"/>
            <w:vAlign w:val="bottom"/>
          </w:tcPr>
          <w:p>
            <w:pPr>
              <w:spacing w:after="0"/>
              <w:rPr>
                <w:sz w:val="23"/>
                <w:szCs w:val="23"/>
                <w:color w:val="auto"/>
              </w:rPr>
            </w:pPr>
          </w:p>
        </w:tc>
        <w:tc>
          <w:tcPr>
            <w:tcW w:w="1480" w:type="dxa"/>
            <w:vAlign w:val="bottom"/>
          </w:tcPr>
          <w:p>
            <w:pPr>
              <w:jc w:val="right"/>
              <w:ind w:right="34"/>
              <w:spacing w:after="0"/>
              <w:rPr>
                <w:sz w:val="20"/>
                <w:szCs w:val="20"/>
                <w:color w:val="auto"/>
              </w:rPr>
            </w:pPr>
            <w:r>
              <w:rPr>
                <w:rFonts w:ascii="Arial" w:cs="Arial" w:eastAsia="Arial" w:hAnsi="Arial"/>
                <w:sz w:val="18"/>
                <w:szCs w:val="18"/>
                <w:color w:val="auto"/>
              </w:rPr>
              <w:t>2,312</w:t>
            </w:r>
          </w:p>
        </w:tc>
        <w:tc>
          <w:tcPr>
            <w:tcW w:w="10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12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3"/>
                <w:szCs w:val="23"/>
                <w:color w:val="auto"/>
              </w:rPr>
            </w:pPr>
          </w:p>
        </w:tc>
        <w:tc>
          <w:tcPr>
            <w:tcW w:w="1340" w:type="dxa"/>
            <w:vAlign w:val="bottom"/>
            <w:gridSpan w:val="3"/>
          </w:tcPr>
          <w:p>
            <w:pPr>
              <w:jc w:val="right"/>
              <w:ind w:right="240"/>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23"/>
                <w:szCs w:val="23"/>
                <w:color w:val="auto"/>
              </w:rPr>
            </w:pPr>
          </w:p>
        </w:tc>
        <w:tc>
          <w:tcPr>
            <w:tcW w:w="980" w:type="dxa"/>
            <w:vAlign w:val="bottom"/>
          </w:tcPr>
          <w:p>
            <w:pPr>
              <w:jc w:val="right"/>
              <w:ind w:right="11"/>
              <w:spacing w:after="0"/>
              <w:rPr>
                <w:sz w:val="20"/>
                <w:szCs w:val="20"/>
                <w:color w:val="auto"/>
              </w:rPr>
            </w:pPr>
            <w:r>
              <w:rPr>
                <w:rFonts w:ascii="Arial" w:cs="Arial" w:eastAsia="Arial" w:hAnsi="Arial"/>
                <w:sz w:val="18"/>
                <w:szCs w:val="18"/>
                <w:color w:val="auto"/>
              </w:rPr>
              <w:t>2,312</w:t>
            </w:r>
          </w:p>
        </w:tc>
      </w:tr>
      <w:tr>
        <w:trPr>
          <w:trHeight w:val="270"/>
        </w:trPr>
        <w:tc>
          <w:tcPr>
            <w:tcW w:w="40" w:type="dxa"/>
            <w:vAlign w:val="bottom"/>
            <w:shd w:val="clear" w:color="auto" w:fill="CCEEFF"/>
          </w:tcPr>
          <w:p>
            <w:pPr>
              <w:spacing w:after="0"/>
              <w:rPr>
                <w:sz w:val="23"/>
                <w:szCs w:val="23"/>
                <w:color w:val="auto"/>
              </w:rPr>
            </w:pPr>
          </w:p>
        </w:tc>
        <w:tc>
          <w:tcPr>
            <w:tcW w:w="5420" w:type="dxa"/>
            <w:vAlign w:val="bottom"/>
            <w:gridSpan w:val="2"/>
            <w:shd w:val="clear" w:color="auto" w:fill="CCEEFF"/>
          </w:tcPr>
          <w:p>
            <w:pPr>
              <w:ind w:left="340"/>
              <w:spacing w:after="0"/>
              <w:rPr>
                <w:sz w:val="20"/>
                <w:szCs w:val="20"/>
                <w:color w:val="auto"/>
              </w:rPr>
            </w:pPr>
            <w:r>
              <w:rPr>
                <w:rFonts w:ascii="Arial" w:cs="Arial" w:eastAsia="Arial" w:hAnsi="Arial"/>
                <w:sz w:val="18"/>
                <w:szCs w:val="18"/>
                <w:color w:val="auto"/>
              </w:rPr>
              <w:t xml:space="preserve">Mid-cap companies </w:t>
            </w:r>
            <w:r>
              <w:rPr>
                <w:rFonts w:ascii="Arial" w:cs="Arial" w:eastAsia="Arial" w:hAnsi="Arial"/>
                <w:sz w:val="21"/>
                <w:szCs w:val="21"/>
                <w:color w:val="auto"/>
                <w:vertAlign w:val="superscript"/>
              </w:rPr>
              <w:t>(b)</w:t>
            </w:r>
          </w:p>
        </w:tc>
        <w:tc>
          <w:tcPr>
            <w:tcW w:w="140" w:type="dxa"/>
            <w:vAlign w:val="bottom"/>
            <w:shd w:val="clear" w:color="auto" w:fill="CCEEFF"/>
          </w:tcPr>
          <w:p>
            <w:pPr>
              <w:spacing w:after="0"/>
              <w:rPr>
                <w:sz w:val="23"/>
                <w:szCs w:val="23"/>
                <w:color w:val="auto"/>
              </w:rPr>
            </w:pPr>
          </w:p>
        </w:tc>
        <w:tc>
          <w:tcPr>
            <w:tcW w:w="1480" w:type="dxa"/>
            <w:vAlign w:val="bottom"/>
            <w:shd w:val="clear" w:color="auto" w:fill="CCEEFF"/>
          </w:tcPr>
          <w:p>
            <w:pPr>
              <w:jc w:val="right"/>
              <w:ind w:right="34"/>
              <w:spacing w:after="0"/>
              <w:rPr>
                <w:sz w:val="20"/>
                <w:szCs w:val="20"/>
                <w:color w:val="auto"/>
              </w:rPr>
            </w:pPr>
            <w:r>
              <w:rPr>
                <w:rFonts w:ascii="Arial" w:cs="Arial" w:eastAsia="Arial" w:hAnsi="Arial"/>
                <w:sz w:val="18"/>
                <w:szCs w:val="18"/>
                <w:color w:val="auto"/>
              </w:rPr>
              <w:t>543</w:t>
            </w:r>
          </w:p>
        </w:tc>
        <w:tc>
          <w:tcPr>
            <w:tcW w:w="100" w:type="dxa"/>
            <w:vAlign w:val="bottom"/>
            <w:shd w:val="clear" w:color="auto" w:fill="CCEEFF"/>
          </w:tcPr>
          <w:p>
            <w:pPr>
              <w:spacing w:after="0"/>
              <w:rPr>
                <w:sz w:val="23"/>
                <w:szCs w:val="23"/>
                <w:color w:val="auto"/>
              </w:rPr>
            </w:pPr>
          </w:p>
        </w:tc>
        <w:tc>
          <w:tcPr>
            <w:tcW w:w="220" w:type="dxa"/>
            <w:vAlign w:val="bottom"/>
            <w:shd w:val="clear" w:color="auto" w:fill="CCEEFF"/>
          </w:tcPr>
          <w:p>
            <w:pPr>
              <w:spacing w:after="0"/>
              <w:rPr>
                <w:sz w:val="23"/>
                <w:szCs w:val="23"/>
                <w:color w:val="auto"/>
              </w:rPr>
            </w:pPr>
          </w:p>
        </w:tc>
        <w:tc>
          <w:tcPr>
            <w:tcW w:w="12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23"/>
                <w:szCs w:val="23"/>
                <w:color w:val="auto"/>
              </w:rPr>
            </w:pPr>
          </w:p>
        </w:tc>
        <w:tc>
          <w:tcPr>
            <w:tcW w:w="1340" w:type="dxa"/>
            <w:vAlign w:val="bottom"/>
            <w:gridSpan w:val="3"/>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260" w:type="dxa"/>
            <w:vAlign w:val="bottom"/>
            <w:shd w:val="clear" w:color="auto" w:fill="CCEEFF"/>
          </w:tcPr>
          <w:p>
            <w:pPr>
              <w:spacing w:after="0"/>
              <w:rPr>
                <w:sz w:val="23"/>
                <w:szCs w:val="23"/>
                <w:color w:val="auto"/>
              </w:rPr>
            </w:pPr>
          </w:p>
        </w:tc>
        <w:tc>
          <w:tcPr>
            <w:tcW w:w="98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543</w:t>
            </w:r>
          </w:p>
        </w:tc>
      </w:tr>
      <w:tr>
        <w:trPr>
          <w:trHeight w:val="270"/>
        </w:trPr>
        <w:tc>
          <w:tcPr>
            <w:tcW w:w="40" w:type="dxa"/>
            <w:vAlign w:val="bottom"/>
          </w:tcPr>
          <w:p>
            <w:pPr>
              <w:spacing w:after="0"/>
              <w:rPr>
                <w:sz w:val="23"/>
                <w:szCs w:val="23"/>
                <w:color w:val="auto"/>
              </w:rPr>
            </w:pPr>
          </w:p>
        </w:tc>
        <w:tc>
          <w:tcPr>
            <w:tcW w:w="5420" w:type="dxa"/>
            <w:vAlign w:val="bottom"/>
            <w:gridSpan w:val="2"/>
          </w:tcPr>
          <w:p>
            <w:pPr>
              <w:ind w:left="340"/>
              <w:spacing w:after="0"/>
              <w:rPr>
                <w:sz w:val="20"/>
                <w:szCs w:val="20"/>
                <w:color w:val="auto"/>
              </w:rPr>
            </w:pPr>
            <w:r>
              <w:rPr>
                <w:rFonts w:ascii="Arial" w:cs="Arial" w:eastAsia="Arial" w:hAnsi="Arial"/>
                <w:sz w:val="18"/>
                <w:szCs w:val="18"/>
                <w:color w:val="auto"/>
              </w:rPr>
              <w:t xml:space="preserve">Small-cap companies </w:t>
            </w:r>
            <w:r>
              <w:rPr>
                <w:rFonts w:ascii="Arial" w:cs="Arial" w:eastAsia="Arial" w:hAnsi="Arial"/>
                <w:sz w:val="21"/>
                <w:szCs w:val="21"/>
                <w:color w:val="auto"/>
                <w:vertAlign w:val="superscript"/>
              </w:rPr>
              <w:t>(b)</w:t>
            </w:r>
          </w:p>
        </w:tc>
        <w:tc>
          <w:tcPr>
            <w:tcW w:w="140" w:type="dxa"/>
            <w:vAlign w:val="bottom"/>
          </w:tcPr>
          <w:p>
            <w:pPr>
              <w:spacing w:after="0"/>
              <w:rPr>
                <w:sz w:val="23"/>
                <w:szCs w:val="23"/>
                <w:color w:val="auto"/>
              </w:rPr>
            </w:pPr>
          </w:p>
        </w:tc>
        <w:tc>
          <w:tcPr>
            <w:tcW w:w="1480" w:type="dxa"/>
            <w:vAlign w:val="bottom"/>
          </w:tcPr>
          <w:p>
            <w:pPr>
              <w:jc w:val="right"/>
              <w:ind w:right="34"/>
              <w:spacing w:after="0"/>
              <w:rPr>
                <w:sz w:val="20"/>
                <w:szCs w:val="20"/>
                <w:color w:val="auto"/>
              </w:rPr>
            </w:pPr>
            <w:r>
              <w:rPr>
                <w:rFonts w:ascii="Arial" w:cs="Arial" w:eastAsia="Arial" w:hAnsi="Arial"/>
                <w:sz w:val="18"/>
                <w:szCs w:val="18"/>
                <w:color w:val="auto"/>
              </w:rPr>
              <w:t>97</w:t>
            </w:r>
          </w:p>
        </w:tc>
        <w:tc>
          <w:tcPr>
            <w:tcW w:w="10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12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3"/>
                <w:szCs w:val="23"/>
                <w:color w:val="auto"/>
              </w:rPr>
            </w:pPr>
          </w:p>
        </w:tc>
        <w:tc>
          <w:tcPr>
            <w:tcW w:w="1340" w:type="dxa"/>
            <w:vAlign w:val="bottom"/>
            <w:gridSpan w:val="3"/>
          </w:tcPr>
          <w:p>
            <w:pPr>
              <w:jc w:val="right"/>
              <w:ind w:right="240"/>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23"/>
                <w:szCs w:val="23"/>
                <w:color w:val="auto"/>
              </w:rPr>
            </w:pPr>
          </w:p>
        </w:tc>
        <w:tc>
          <w:tcPr>
            <w:tcW w:w="980" w:type="dxa"/>
            <w:vAlign w:val="bottom"/>
          </w:tcPr>
          <w:p>
            <w:pPr>
              <w:jc w:val="right"/>
              <w:ind w:right="11"/>
              <w:spacing w:after="0"/>
              <w:rPr>
                <w:sz w:val="20"/>
                <w:szCs w:val="20"/>
                <w:color w:val="auto"/>
              </w:rPr>
            </w:pPr>
            <w:r>
              <w:rPr>
                <w:rFonts w:ascii="Arial" w:cs="Arial" w:eastAsia="Arial" w:hAnsi="Arial"/>
                <w:sz w:val="18"/>
                <w:szCs w:val="18"/>
                <w:color w:val="auto"/>
              </w:rPr>
              <w:t>97</w:t>
            </w:r>
          </w:p>
        </w:tc>
      </w:tr>
      <w:tr>
        <w:trPr>
          <w:trHeight w:val="250"/>
        </w:trPr>
        <w:tc>
          <w:tcPr>
            <w:tcW w:w="546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8"/>
                <w:szCs w:val="18"/>
                <w:color w:val="auto"/>
              </w:rPr>
              <w:t>Fixed income:</w:t>
            </w:r>
          </w:p>
        </w:tc>
        <w:tc>
          <w:tcPr>
            <w:tcW w:w="140" w:type="dxa"/>
            <w:vAlign w:val="bottom"/>
            <w:tcBorders>
              <w:bottom w:val="single" w:sz="8" w:color="CCEEFF"/>
            </w:tcBorders>
            <w:shd w:val="clear" w:color="auto" w:fill="CCEEFF"/>
          </w:tcPr>
          <w:p>
            <w:pPr>
              <w:spacing w:after="0"/>
              <w:rPr>
                <w:sz w:val="21"/>
                <w:szCs w:val="21"/>
                <w:color w:val="auto"/>
              </w:rPr>
            </w:pPr>
          </w:p>
        </w:tc>
        <w:tc>
          <w:tcPr>
            <w:tcW w:w="14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spacing w:after="0"/>
              <w:rPr>
                <w:sz w:val="21"/>
                <w:szCs w:val="21"/>
                <w:color w:val="auto"/>
              </w:rPr>
            </w:pPr>
          </w:p>
        </w:tc>
      </w:tr>
      <w:tr>
        <w:trPr>
          <w:trHeight w:val="270"/>
        </w:trPr>
        <w:tc>
          <w:tcPr>
            <w:tcW w:w="40" w:type="dxa"/>
            <w:vAlign w:val="bottom"/>
          </w:tcPr>
          <w:p>
            <w:pPr>
              <w:spacing w:after="0"/>
              <w:rPr>
                <w:sz w:val="23"/>
                <w:szCs w:val="23"/>
                <w:color w:val="auto"/>
              </w:rPr>
            </w:pPr>
          </w:p>
        </w:tc>
        <w:tc>
          <w:tcPr>
            <w:tcW w:w="5420" w:type="dxa"/>
            <w:vAlign w:val="bottom"/>
            <w:gridSpan w:val="2"/>
          </w:tcPr>
          <w:p>
            <w:pPr>
              <w:ind w:left="340"/>
              <w:spacing w:after="0"/>
              <w:rPr>
                <w:sz w:val="20"/>
                <w:szCs w:val="20"/>
                <w:color w:val="auto"/>
              </w:rPr>
            </w:pPr>
            <w:r>
              <w:rPr>
                <w:rFonts w:ascii="Arial" w:cs="Arial" w:eastAsia="Arial" w:hAnsi="Arial"/>
                <w:sz w:val="18"/>
                <w:szCs w:val="18"/>
                <w:color w:val="auto"/>
              </w:rPr>
              <w:t xml:space="preserve">Corporate debt </w:t>
            </w:r>
            <w:r>
              <w:rPr>
                <w:rFonts w:ascii="Arial" w:cs="Arial" w:eastAsia="Arial" w:hAnsi="Arial"/>
                <w:sz w:val="21"/>
                <w:szCs w:val="21"/>
                <w:color w:val="auto"/>
                <w:vertAlign w:val="superscript"/>
              </w:rPr>
              <w:t>(c)</w:t>
            </w:r>
          </w:p>
        </w:tc>
        <w:tc>
          <w:tcPr>
            <w:tcW w:w="140" w:type="dxa"/>
            <w:vAlign w:val="bottom"/>
          </w:tcPr>
          <w:p>
            <w:pPr>
              <w:spacing w:after="0"/>
              <w:rPr>
                <w:sz w:val="23"/>
                <w:szCs w:val="23"/>
                <w:color w:val="auto"/>
              </w:rPr>
            </w:pPr>
          </w:p>
        </w:tc>
        <w:tc>
          <w:tcPr>
            <w:tcW w:w="15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23"/>
                <w:szCs w:val="23"/>
                <w:color w:val="auto"/>
              </w:rPr>
            </w:pPr>
          </w:p>
        </w:tc>
        <w:tc>
          <w:tcPr>
            <w:tcW w:w="1160" w:type="dxa"/>
            <w:vAlign w:val="bottom"/>
          </w:tcPr>
          <w:p>
            <w:pPr>
              <w:jc w:val="right"/>
              <w:ind w:right="33"/>
              <w:spacing w:after="0"/>
              <w:rPr>
                <w:sz w:val="20"/>
                <w:szCs w:val="20"/>
                <w:color w:val="auto"/>
              </w:rPr>
            </w:pPr>
            <w:r>
              <w:rPr>
                <w:rFonts w:ascii="Arial" w:cs="Arial" w:eastAsia="Arial" w:hAnsi="Arial"/>
                <w:sz w:val="18"/>
                <w:szCs w:val="18"/>
                <w:color w:val="auto"/>
              </w:rPr>
              <w:t>2,804</w:t>
            </w:r>
          </w:p>
        </w:tc>
        <w:tc>
          <w:tcPr>
            <w:tcW w:w="10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1340" w:type="dxa"/>
            <w:vAlign w:val="bottom"/>
            <w:gridSpan w:val="3"/>
          </w:tcPr>
          <w:p>
            <w:pPr>
              <w:jc w:val="right"/>
              <w:ind w:right="240"/>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23"/>
                <w:szCs w:val="23"/>
                <w:color w:val="auto"/>
              </w:rPr>
            </w:pPr>
          </w:p>
        </w:tc>
        <w:tc>
          <w:tcPr>
            <w:tcW w:w="980" w:type="dxa"/>
            <w:vAlign w:val="bottom"/>
          </w:tcPr>
          <w:p>
            <w:pPr>
              <w:jc w:val="right"/>
              <w:ind w:right="11"/>
              <w:spacing w:after="0"/>
              <w:rPr>
                <w:sz w:val="20"/>
                <w:szCs w:val="20"/>
                <w:color w:val="auto"/>
              </w:rPr>
            </w:pPr>
            <w:r>
              <w:rPr>
                <w:rFonts w:ascii="Arial" w:cs="Arial" w:eastAsia="Arial" w:hAnsi="Arial"/>
                <w:sz w:val="18"/>
                <w:szCs w:val="18"/>
                <w:color w:val="auto"/>
              </w:rPr>
              <w:t>2,804</w:t>
            </w:r>
          </w:p>
        </w:tc>
      </w:tr>
      <w:tr>
        <w:trPr>
          <w:trHeight w:val="270"/>
        </w:trPr>
        <w:tc>
          <w:tcPr>
            <w:tcW w:w="40" w:type="dxa"/>
            <w:vAlign w:val="bottom"/>
            <w:shd w:val="clear" w:color="auto" w:fill="CCEEFF"/>
          </w:tcPr>
          <w:p>
            <w:pPr>
              <w:spacing w:after="0"/>
              <w:rPr>
                <w:sz w:val="23"/>
                <w:szCs w:val="23"/>
                <w:color w:val="auto"/>
              </w:rPr>
            </w:pPr>
          </w:p>
        </w:tc>
        <w:tc>
          <w:tcPr>
            <w:tcW w:w="5420" w:type="dxa"/>
            <w:vAlign w:val="bottom"/>
            <w:gridSpan w:val="2"/>
            <w:shd w:val="clear" w:color="auto" w:fill="CCEEFF"/>
          </w:tcPr>
          <w:p>
            <w:pPr>
              <w:ind w:left="340"/>
              <w:spacing w:after="0"/>
              <w:rPr>
                <w:sz w:val="20"/>
                <w:szCs w:val="20"/>
                <w:color w:val="auto"/>
              </w:rPr>
            </w:pPr>
            <w:r>
              <w:rPr>
                <w:rFonts w:ascii="Arial" w:cs="Arial" w:eastAsia="Arial" w:hAnsi="Arial"/>
                <w:sz w:val="18"/>
                <w:szCs w:val="18"/>
                <w:color w:val="auto"/>
              </w:rPr>
              <w:t xml:space="preserve">Government securities </w:t>
            </w:r>
            <w:r>
              <w:rPr>
                <w:rFonts w:ascii="Arial" w:cs="Arial" w:eastAsia="Arial" w:hAnsi="Arial"/>
                <w:sz w:val="21"/>
                <w:szCs w:val="21"/>
                <w:color w:val="auto"/>
                <w:vertAlign w:val="superscript"/>
              </w:rPr>
              <w:t>(d)</w:t>
            </w:r>
          </w:p>
        </w:tc>
        <w:tc>
          <w:tcPr>
            <w:tcW w:w="140" w:type="dxa"/>
            <w:vAlign w:val="bottom"/>
            <w:shd w:val="clear" w:color="auto" w:fill="CCEEFF"/>
          </w:tcPr>
          <w:p>
            <w:pPr>
              <w:spacing w:after="0"/>
              <w:rPr>
                <w:sz w:val="23"/>
                <w:szCs w:val="23"/>
                <w:color w:val="auto"/>
              </w:rPr>
            </w:pPr>
          </w:p>
        </w:tc>
        <w:tc>
          <w:tcPr>
            <w:tcW w:w="15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23"/>
                <w:szCs w:val="23"/>
                <w:color w:val="auto"/>
              </w:rPr>
            </w:pPr>
          </w:p>
        </w:tc>
        <w:tc>
          <w:tcPr>
            <w:tcW w:w="1160" w:type="dxa"/>
            <w:vAlign w:val="bottom"/>
            <w:shd w:val="clear" w:color="auto" w:fill="CCEEFF"/>
          </w:tcPr>
          <w:p>
            <w:pPr>
              <w:jc w:val="right"/>
              <w:ind w:right="33"/>
              <w:spacing w:after="0"/>
              <w:rPr>
                <w:sz w:val="20"/>
                <w:szCs w:val="20"/>
                <w:color w:val="auto"/>
              </w:rPr>
            </w:pPr>
            <w:r>
              <w:rPr>
                <w:rFonts w:ascii="Arial" w:cs="Arial" w:eastAsia="Arial" w:hAnsi="Arial"/>
                <w:sz w:val="18"/>
                <w:szCs w:val="18"/>
                <w:color w:val="auto"/>
              </w:rPr>
              <w:t>923</w:t>
            </w:r>
          </w:p>
        </w:tc>
        <w:tc>
          <w:tcPr>
            <w:tcW w:w="100" w:type="dxa"/>
            <w:vAlign w:val="bottom"/>
            <w:shd w:val="clear" w:color="auto" w:fill="CCEEFF"/>
          </w:tcPr>
          <w:p>
            <w:pPr>
              <w:spacing w:after="0"/>
              <w:rPr>
                <w:sz w:val="23"/>
                <w:szCs w:val="23"/>
                <w:color w:val="auto"/>
              </w:rPr>
            </w:pPr>
          </w:p>
        </w:tc>
        <w:tc>
          <w:tcPr>
            <w:tcW w:w="180" w:type="dxa"/>
            <w:vAlign w:val="bottom"/>
            <w:shd w:val="clear" w:color="auto" w:fill="CCEEFF"/>
          </w:tcPr>
          <w:p>
            <w:pPr>
              <w:spacing w:after="0"/>
              <w:rPr>
                <w:sz w:val="23"/>
                <w:szCs w:val="23"/>
                <w:color w:val="auto"/>
              </w:rPr>
            </w:pPr>
          </w:p>
        </w:tc>
        <w:tc>
          <w:tcPr>
            <w:tcW w:w="1340" w:type="dxa"/>
            <w:vAlign w:val="bottom"/>
            <w:gridSpan w:val="3"/>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260" w:type="dxa"/>
            <w:vAlign w:val="bottom"/>
            <w:shd w:val="clear" w:color="auto" w:fill="CCEEFF"/>
          </w:tcPr>
          <w:p>
            <w:pPr>
              <w:spacing w:after="0"/>
              <w:rPr>
                <w:sz w:val="23"/>
                <w:szCs w:val="23"/>
                <w:color w:val="auto"/>
              </w:rPr>
            </w:pPr>
          </w:p>
        </w:tc>
        <w:tc>
          <w:tcPr>
            <w:tcW w:w="98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923</w:t>
            </w:r>
          </w:p>
        </w:tc>
      </w:tr>
      <w:tr>
        <w:trPr>
          <w:trHeight w:val="263"/>
        </w:trPr>
        <w:tc>
          <w:tcPr>
            <w:tcW w:w="40" w:type="dxa"/>
            <w:vAlign w:val="bottom"/>
          </w:tcPr>
          <w:p>
            <w:pPr>
              <w:spacing w:after="0"/>
              <w:rPr>
                <w:sz w:val="22"/>
                <w:szCs w:val="22"/>
                <w:color w:val="auto"/>
              </w:rPr>
            </w:pPr>
          </w:p>
        </w:tc>
        <w:tc>
          <w:tcPr>
            <w:tcW w:w="5420" w:type="dxa"/>
            <w:vAlign w:val="bottom"/>
            <w:gridSpan w:val="2"/>
          </w:tcPr>
          <w:p>
            <w:pPr>
              <w:ind w:left="340"/>
              <w:spacing w:after="0"/>
              <w:rPr>
                <w:sz w:val="20"/>
                <w:szCs w:val="20"/>
                <w:color w:val="auto"/>
              </w:rPr>
            </w:pPr>
            <w:r>
              <w:rPr>
                <w:rFonts w:ascii="Arial" w:cs="Arial" w:eastAsia="Arial" w:hAnsi="Arial"/>
                <w:sz w:val="18"/>
                <w:szCs w:val="18"/>
                <w:color w:val="auto"/>
              </w:rPr>
              <w:t>U.S. municipal securities</w:t>
            </w:r>
          </w:p>
        </w:tc>
        <w:tc>
          <w:tcPr>
            <w:tcW w:w="140" w:type="dxa"/>
            <w:vAlign w:val="bottom"/>
          </w:tcPr>
          <w:p>
            <w:pPr>
              <w:spacing w:after="0"/>
              <w:rPr>
                <w:sz w:val="22"/>
                <w:szCs w:val="22"/>
                <w:color w:val="auto"/>
              </w:rPr>
            </w:pPr>
          </w:p>
        </w:tc>
        <w:tc>
          <w:tcPr>
            <w:tcW w:w="15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22"/>
                <w:szCs w:val="22"/>
                <w:color w:val="auto"/>
              </w:rPr>
            </w:pPr>
          </w:p>
        </w:tc>
        <w:tc>
          <w:tcPr>
            <w:tcW w:w="1160" w:type="dxa"/>
            <w:vAlign w:val="bottom"/>
          </w:tcPr>
          <w:p>
            <w:pPr>
              <w:jc w:val="right"/>
              <w:ind w:right="33"/>
              <w:spacing w:after="0"/>
              <w:rPr>
                <w:sz w:val="20"/>
                <w:szCs w:val="20"/>
                <w:color w:val="auto"/>
              </w:rPr>
            </w:pPr>
            <w:r>
              <w:rPr>
                <w:rFonts w:ascii="Arial" w:cs="Arial" w:eastAsia="Arial" w:hAnsi="Arial"/>
                <w:sz w:val="18"/>
                <w:szCs w:val="18"/>
                <w:color w:val="auto"/>
              </w:rPr>
              <w:t>51</w:t>
            </w:r>
          </w:p>
        </w:tc>
        <w:tc>
          <w:tcPr>
            <w:tcW w:w="10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340" w:type="dxa"/>
            <w:vAlign w:val="bottom"/>
            <w:gridSpan w:val="3"/>
          </w:tcPr>
          <w:p>
            <w:pPr>
              <w:jc w:val="right"/>
              <w:ind w:right="240"/>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22"/>
                <w:szCs w:val="22"/>
                <w:color w:val="auto"/>
              </w:rPr>
            </w:pPr>
          </w:p>
        </w:tc>
        <w:tc>
          <w:tcPr>
            <w:tcW w:w="980" w:type="dxa"/>
            <w:vAlign w:val="bottom"/>
          </w:tcPr>
          <w:p>
            <w:pPr>
              <w:jc w:val="right"/>
              <w:ind w:right="11"/>
              <w:spacing w:after="0"/>
              <w:rPr>
                <w:sz w:val="20"/>
                <w:szCs w:val="20"/>
                <w:color w:val="auto"/>
              </w:rPr>
            </w:pPr>
            <w:r>
              <w:rPr>
                <w:rFonts w:ascii="Arial" w:cs="Arial" w:eastAsia="Arial" w:hAnsi="Arial"/>
                <w:sz w:val="18"/>
                <w:szCs w:val="18"/>
                <w:color w:val="auto"/>
              </w:rPr>
              <w:t>51</w:t>
            </w:r>
          </w:p>
        </w:tc>
      </w:tr>
      <w:tr>
        <w:trPr>
          <w:trHeight w:val="277"/>
        </w:trPr>
        <w:tc>
          <w:tcPr>
            <w:tcW w:w="40" w:type="dxa"/>
            <w:vAlign w:val="bottom"/>
            <w:shd w:val="clear" w:color="auto" w:fill="CCEEFF"/>
          </w:tcPr>
          <w:p>
            <w:pPr>
              <w:spacing w:after="0"/>
              <w:rPr>
                <w:sz w:val="24"/>
                <w:szCs w:val="24"/>
                <w:color w:val="auto"/>
              </w:rPr>
            </w:pPr>
          </w:p>
        </w:tc>
        <w:tc>
          <w:tcPr>
            <w:tcW w:w="5420" w:type="dxa"/>
            <w:vAlign w:val="bottom"/>
            <w:gridSpan w:val="2"/>
            <w:shd w:val="clear" w:color="auto" w:fill="CCEEFF"/>
          </w:tcPr>
          <w:p>
            <w:pPr>
              <w:ind w:left="340"/>
              <w:spacing w:after="0"/>
              <w:rPr>
                <w:sz w:val="20"/>
                <w:szCs w:val="20"/>
                <w:color w:val="auto"/>
              </w:rPr>
            </w:pPr>
            <w:r>
              <w:rPr>
                <w:rFonts w:ascii="Arial" w:cs="Arial" w:eastAsia="Arial" w:hAnsi="Arial"/>
                <w:sz w:val="18"/>
                <w:szCs w:val="18"/>
                <w:color w:val="auto"/>
              </w:rPr>
              <w:t>Mortgage backed securities</w:t>
            </w:r>
          </w:p>
        </w:tc>
        <w:tc>
          <w:tcPr>
            <w:tcW w:w="140" w:type="dxa"/>
            <w:vAlign w:val="bottom"/>
            <w:shd w:val="clear" w:color="auto" w:fill="CCEEFF"/>
          </w:tcPr>
          <w:p>
            <w:pPr>
              <w:spacing w:after="0"/>
              <w:rPr>
                <w:sz w:val="24"/>
                <w:szCs w:val="24"/>
                <w:color w:val="auto"/>
              </w:rPr>
            </w:pPr>
          </w:p>
        </w:tc>
        <w:tc>
          <w:tcPr>
            <w:tcW w:w="15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24"/>
                <w:szCs w:val="24"/>
                <w:color w:val="auto"/>
              </w:rPr>
            </w:pPr>
          </w:p>
        </w:tc>
        <w:tc>
          <w:tcPr>
            <w:tcW w:w="1160" w:type="dxa"/>
            <w:vAlign w:val="bottom"/>
            <w:shd w:val="clear" w:color="auto" w:fill="CCEEFF"/>
          </w:tcPr>
          <w:p>
            <w:pPr>
              <w:jc w:val="right"/>
              <w:ind w:right="33"/>
              <w:spacing w:after="0"/>
              <w:rPr>
                <w:sz w:val="20"/>
                <w:szCs w:val="20"/>
                <w:color w:val="auto"/>
              </w:rPr>
            </w:pPr>
            <w:r>
              <w:rPr>
                <w:rFonts w:ascii="Arial" w:cs="Arial" w:eastAsia="Arial" w:hAnsi="Arial"/>
                <w:sz w:val="18"/>
                <w:szCs w:val="18"/>
                <w:color w:val="auto"/>
              </w:rPr>
              <w:t>4</w:t>
            </w:r>
          </w:p>
        </w:tc>
        <w:tc>
          <w:tcPr>
            <w:tcW w:w="10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1340" w:type="dxa"/>
            <w:vAlign w:val="bottom"/>
            <w:gridSpan w:val="3"/>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260" w:type="dxa"/>
            <w:vAlign w:val="bottom"/>
            <w:shd w:val="clear" w:color="auto" w:fill="CCEEFF"/>
          </w:tcPr>
          <w:p>
            <w:pPr>
              <w:spacing w:after="0"/>
              <w:rPr>
                <w:sz w:val="24"/>
                <w:szCs w:val="24"/>
                <w:color w:val="auto"/>
              </w:rPr>
            </w:pPr>
          </w:p>
        </w:tc>
        <w:tc>
          <w:tcPr>
            <w:tcW w:w="98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4</w:t>
            </w:r>
          </w:p>
        </w:tc>
      </w:tr>
      <w:tr>
        <w:trPr>
          <w:trHeight w:val="243"/>
        </w:trPr>
        <w:tc>
          <w:tcPr>
            <w:tcW w:w="5460" w:type="dxa"/>
            <w:vAlign w:val="bottom"/>
            <w:gridSpan w:val="3"/>
          </w:tcPr>
          <w:p>
            <w:pPr>
              <w:ind w:left="40"/>
              <w:spacing w:after="0"/>
              <w:rPr>
                <w:sz w:val="20"/>
                <w:szCs w:val="20"/>
                <w:color w:val="auto"/>
              </w:rPr>
            </w:pPr>
            <w:r>
              <w:rPr>
                <w:rFonts w:ascii="Arial" w:cs="Arial" w:eastAsia="Arial" w:hAnsi="Arial"/>
                <w:sz w:val="18"/>
                <w:szCs w:val="18"/>
                <w:color w:val="auto"/>
              </w:rPr>
              <w:t>Alternative instruments:</w:t>
            </w:r>
          </w:p>
        </w:tc>
        <w:tc>
          <w:tcPr>
            <w:tcW w:w="140" w:type="dxa"/>
            <w:vAlign w:val="bottom"/>
          </w:tcPr>
          <w:p>
            <w:pPr>
              <w:spacing w:after="0"/>
              <w:rPr>
                <w:sz w:val="21"/>
                <w:szCs w:val="21"/>
                <w:color w:val="auto"/>
              </w:rPr>
            </w:pPr>
          </w:p>
        </w:tc>
        <w:tc>
          <w:tcPr>
            <w:tcW w:w="14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1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2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980" w:type="dxa"/>
            <w:vAlign w:val="bottom"/>
          </w:tcPr>
          <w:p>
            <w:pPr>
              <w:spacing w:after="0"/>
              <w:rPr>
                <w:sz w:val="21"/>
                <w:szCs w:val="21"/>
                <w:color w:val="auto"/>
              </w:rPr>
            </w:pPr>
          </w:p>
        </w:tc>
      </w:tr>
      <w:tr>
        <w:trPr>
          <w:trHeight w:val="27"/>
        </w:trPr>
        <w:tc>
          <w:tcPr>
            <w:tcW w:w="40" w:type="dxa"/>
            <w:vAlign w:val="bottom"/>
          </w:tcPr>
          <w:p>
            <w:pPr>
              <w:spacing w:after="0"/>
              <w:rPr>
                <w:sz w:val="2"/>
                <w:szCs w:val="2"/>
                <w:color w:val="auto"/>
              </w:rPr>
            </w:pPr>
          </w:p>
        </w:tc>
        <w:tc>
          <w:tcPr>
            <w:tcW w:w="1060" w:type="dxa"/>
            <w:vAlign w:val="bottom"/>
          </w:tcPr>
          <w:p>
            <w:pPr>
              <w:spacing w:after="0"/>
              <w:rPr>
                <w:sz w:val="2"/>
                <w:szCs w:val="2"/>
                <w:color w:val="auto"/>
              </w:rPr>
            </w:pPr>
          </w:p>
        </w:tc>
        <w:tc>
          <w:tcPr>
            <w:tcW w:w="4360" w:type="dxa"/>
            <w:vAlign w:val="bottom"/>
          </w:tcPr>
          <w:p>
            <w:pPr>
              <w:spacing w:after="0"/>
              <w:rPr>
                <w:sz w:val="2"/>
                <w:szCs w:val="2"/>
                <w:color w:val="auto"/>
              </w:rPr>
            </w:pPr>
          </w:p>
        </w:tc>
        <w:tc>
          <w:tcPr>
            <w:tcW w:w="140" w:type="dxa"/>
            <w:vAlign w:val="bottom"/>
          </w:tcPr>
          <w:p>
            <w:pPr>
              <w:spacing w:after="0"/>
              <w:rPr>
                <w:sz w:val="2"/>
                <w:szCs w:val="2"/>
                <w:color w:val="auto"/>
              </w:rPr>
            </w:pPr>
          </w:p>
        </w:tc>
        <w:tc>
          <w:tcPr>
            <w:tcW w:w="14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 w:type="dxa"/>
            <w:vAlign w:val="bottom"/>
          </w:tcPr>
          <w:p>
            <w:pPr>
              <w:spacing w:after="0"/>
              <w:rPr>
                <w:sz w:val="2"/>
                <w:szCs w:val="2"/>
                <w:color w:val="auto"/>
              </w:rPr>
            </w:pPr>
          </w:p>
        </w:tc>
        <w:tc>
          <w:tcPr>
            <w:tcW w:w="260" w:type="dxa"/>
            <w:vAlign w:val="bottom"/>
          </w:tcPr>
          <w:p>
            <w:pPr>
              <w:spacing w:after="0"/>
              <w:rPr>
                <w:sz w:val="2"/>
                <w:szCs w:val="2"/>
                <w:color w:val="auto"/>
              </w:rPr>
            </w:pPr>
          </w:p>
        </w:tc>
        <w:tc>
          <w:tcPr>
            <w:tcW w:w="980" w:type="dxa"/>
            <w:vAlign w:val="bottom"/>
          </w:tcPr>
          <w:p>
            <w:pPr>
              <w:spacing w:after="0"/>
              <w:rPr>
                <w:sz w:val="2"/>
                <w:szCs w:val="2"/>
                <w:color w:val="auto"/>
              </w:rPr>
            </w:pPr>
          </w:p>
        </w:tc>
      </w:tr>
      <w:tr>
        <w:trPr>
          <w:trHeight w:val="270"/>
        </w:trPr>
        <w:tc>
          <w:tcPr>
            <w:tcW w:w="40" w:type="dxa"/>
            <w:vAlign w:val="bottom"/>
            <w:shd w:val="clear" w:color="auto" w:fill="CCEEFF"/>
          </w:tcPr>
          <w:p>
            <w:pPr>
              <w:spacing w:after="0"/>
              <w:rPr>
                <w:sz w:val="23"/>
                <w:szCs w:val="23"/>
                <w:color w:val="auto"/>
              </w:rPr>
            </w:pPr>
          </w:p>
        </w:tc>
        <w:tc>
          <w:tcPr>
            <w:tcW w:w="5420" w:type="dxa"/>
            <w:vAlign w:val="bottom"/>
            <w:gridSpan w:val="2"/>
            <w:shd w:val="clear" w:color="auto" w:fill="CCEEFF"/>
          </w:tcPr>
          <w:p>
            <w:pPr>
              <w:ind w:left="340"/>
              <w:spacing w:after="0"/>
              <w:rPr>
                <w:sz w:val="20"/>
                <w:szCs w:val="20"/>
                <w:color w:val="auto"/>
              </w:rPr>
            </w:pPr>
            <w:r>
              <w:rPr>
                <w:rFonts w:ascii="Arial" w:cs="Arial" w:eastAsia="Arial" w:hAnsi="Arial"/>
                <w:sz w:val="18"/>
                <w:szCs w:val="18"/>
                <w:color w:val="auto"/>
              </w:rPr>
              <w:t xml:space="preserve">Private market partnerships </w:t>
            </w:r>
            <w:r>
              <w:rPr>
                <w:rFonts w:ascii="Arial" w:cs="Arial" w:eastAsia="Arial" w:hAnsi="Arial"/>
                <w:sz w:val="21"/>
                <w:szCs w:val="21"/>
                <w:color w:val="auto"/>
                <w:vertAlign w:val="superscript"/>
              </w:rPr>
              <w:t>(e)</w:t>
            </w:r>
          </w:p>
        </w:tc>
        <w:tc>
          <w:tcPr>
            <w:tcW w:w="140" w:type="dxa"/>
            <w:vAlign w:val="bottom"/>
            <w:shd w:val="clear" w:color="auto" w:fill="CCEEFF"/>
          </w:tcPr>
          <w:p>
            <w:pPr>
              <w:spacing w:after="0"/>
              <w:rPr>
                <w:sz w:val="23"/>
                <w:szCs w:val="23"/>
                <w:color w:val="auto"/>
              </w:rPr>
            </w:pPr>
          </w:p>
        </w:tc>
        <w:tc>
          <w:tcPr>
            <w:tcW w:w="15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23"/>
                <w:szCs w:val="23"/>
                <w:color w:val="auto"/>
              </w:rPr>
            </w:pPr>
          </w:p>
        </w:tc>
        <w:tc>
          <w:tcPr>
            <w:tcW w:w="12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23"/>
                <w:szCs w:val="23"/>
                <w:color w:val="auto"/>
              </w:rPr>
            </w:pPr>
          </w:p>
        </w:tc>
        <w:tc>
          <w:tcPr>
            <w:tcW w:w="1200" w:type="dxa"/>
            <w:vAlign w:val="bottom"/>
            <w:shd w:val="clear" w:color="auto" w:fill="CCEEFF"/>
          </w:tcPr>
          <w:p>
            <w:pPr>
              <w:jc w:val="right"/>
              <w:ind w:right="13"/>
              <w:spacing w:after="0"/>
              <w:rPr>
                <w:sz w:val="20"/>
                <w:szCs w:val="20"/>
                <w:color w:val="auto"/>
              </w:rPr>
            </w:pPr>
            <w:r>
              <w:rPr>
                <w:rFonts w:ascii="Arial" w:cs="Arial" w:eastAsia="Arial" w:hAnsi="Arial"/>
                <w:sz w:val="18"/>
                <w:szCs w:val="18"/>
                <w:color w:val="auto"/>
              </w:rPr>
              <w:t>10</w:t>
            </w:r>
          </w:p>
        </w:tc>
        <w:tc>
          <w:tcPr>
            <w:tcW w:w="120" w:type="dxa"/>
            <w:vAlign w:val="bottom"/>
            <w:shd w:val="clear" w:color="auto" w:fill="CCEEFF"/>
          </w:tcPr>
          <w:p>
            <w:pPr>
              <w:spacing w:after="0"/>
              <w:rPr>
                <w:sz w:val="23"/>
                <w:szCs w:val="23"/>
                <w:color w:val="auto"/>
              </w:rPr>
            </w:pPr>
          </w:p>
        </w:tc>
        <w:tc>
          <w:tcPr>
            <w:tcW w:w="20" w:type="dxa"/>
            <w:vAlign w:val="bottom"/>
            <w:shd w:val="clear" w:color="auto" w:fill="CCEEFF"/>
          </w:tcPr>
          <w:p>
            <w:pPr>
              <w:spacing w:after="0"/>
              <w:rPr>
                <w:sz w:val="23"/>
                <w:szCs w:val="23"/>
                <w:color w:val="auto"/>
              </w:rPr>
            </w:pPr>
          </w:p>
        </w:tc>
        <w:tc>
          <w:tcPr>
            <w:tcW w:w="260" w:type="dxa"/>
            <w:vAlign w:val="bottom"/>
            <w:shd w:val="clear" w:color="auto" w:fill="CCEEFF"/>
          </w:tcPr>
          <w:p>
            <w:pPr>
              <w:spacing w:after="0"/>
              <w:rPr>
                <w:sz w:val="23"/>
                <w:szCs w:val="23"/>
                <w:color w:val="auto"/>
              </w:rPr>
            </w:pPr>
          </w:p>
        </w:tc>
        <w:tc>
          <w:tcPr>
            <w:tcW w:w="98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10</w:t>
            </w:r>
          </w:p>
        </w:tc>
      </w:tr>
      <w:tr>
        <w:trPr>
          <w:trHeight w:val="270"/>
        </w:trPr>
        <w:tc>
          <w:tcPr>
            <w:tcW w:w="40" w:type="dxa"/>
            <w:vAlign w:val="bottom"/>
          </w:tcPr>
          <w:p>
            <w:pPr>
              <w:spacing w:after="0"/>
              <w:rPr>
                <w:sz w:val="23"/>
                <w:szCs w:val="23"/>
                <w:color w:val="auto"/>
              </w:rPr>
            </w:pPr>
          </w:p>
        </w:tc>
        <w:tc>
          <w:tcPr>
            <w:tcW w:w="5420" w:type="dxa"/>
            <w:vAlign w:val="bottom"/>
            <w:gridSpan w:val="2"/>
          </w:tcPr>
          <w:p>
            <w:pPr>
              <w:ind w:left="340"/>
              <w:spacing w:after="0"/>
              <w:rPr>
                <w:sz w:val="20"/>
                <w:szCs w:val="20"/>
                <w:color w:val="auto"/>
              </w:rPr>
            </w:pPr>
            <w:r>
              <w:rPr>
                <w:rFonts w:ascii="Arial" w:cs="Arial" w:eastAsia="Arial" w:hAnsi="Arial"/>
                <w:sz w:val="18"/>
                <w:szCs w:val="18"/>
                <w:color w:val="auto"/>
              </w:rPr>
              <w:t xml:space="preserve">Private market partnerships measured at net asset value </w:t>
            </w:r>
            <w:r>
              <w:rPr>
                <w:rFonts w:ascii="Arial" w:cs="Arial" w:eastAsia="Arial" w:hAnsi="Arial"/>
                <w:sz w:val="21"/>
                <w:szCs w:val="21"/>
                <w:color w:val="auto"/>
                <w:vertAlign w:val="superscript"/>
              </w:rPr>
              <w:t>(e), (f)</w:t>
            </w:r>
          </w:p>
        </w:tc>
        <w:tc>
          <w:tcPr>
            <w:tcW w:w="140" w:type="dxa"/>
            <w:vAlign w:val="bottom"/>
          </w:tcPr>
          <w:p>
            <w:pPr>
              <w:spacing w:after="0"/>
              <w:rPr>
                <w:sz w:val="23"/>
                <w:szCs w:val="23"/>
                <w:color w:val="auto"/>
              </w:rPr>
            </w:pPr>
          </w:p>
        </w:tc>
        <w:tc>
          <w:tcPr>
            <w:tcW w:w="15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23"/>
                <w:szCs w:val="23"/>
                <w:color w:val="auto"/>
              </w:rPr>
            </w:pPr>
          </w:p>
        </w:tc>
        <w:tc>
          <w:tcPr>
            <w:tcW w:w="12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3"/>
                <w:szCs w:val="23"/>
                <w:color w:val="auto"/>
              </w:rPr>
            </w:pPr>
          </w:p>
        </w:tc>
        <w:tc>
          <w:tcPr>
            <w:tcW w:w="1340" w:type="dxa"/>
            <w:vAlign w:val="bottom"/>
            <w:gridSpan w:val="3"/>
          </w:tcPr>
          <w:p>
            <w:pPr>
              <w:jc w:val="right"/>
              <w:ind w:right="240"/>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23"/>
                <w:szCs w:val="23"/>
                <w:color w:val="auto"/>
              </w:rPr>
            </w:pPr>
          </w:p>
        </w:tc>
        <w:tc>
          <w:tcPr>
            <w:tcW w:w="980" w:type="dxa"/>
            <w:vAlign w:val="bottom"/>
          </w:tcPr>
          <w:p>
            <w:pPr>
              <w:jc w:val="right"/>
              <w:ind w:right="11"/>
              <w:spacing w:after="0"/>
              <w:rPr>
                <w:sz w:val="20"/>
                <w:szCs w:val="20"/>
                <w:color w:val="auto"/>
              </w:rPr>
            </w:pPr>
            <w:r>
              <w:rPr>
                <w:rFonts w:ascii="Arial" w:cs="Arial" w:eastAsia="Arial" w:hAnsi="Arial"/>
                <w:sz w:val="18"/>
                <w:szCs w:val="18"/>
                <w:color w:val="auto"/>
              </w:rPr>
              <w:t>1,464</w:t>
            </w:r>
          </w:p>
        </w:tc>
      </w:tr>
      <w:tr>
        <w:trPr>
          <w:trHeight w:val="270"/>
        </w:trPr>
        <w:tc>
          <w:tcPr>
            <w:tcW w:w="40" w:type="dxa"/>
            <w:vAlign w:val="bottom"/>
            <w:shd w:val="clear" w:color="auto" w:fill="CCEEFF"/>
          </w:tcPr>
          <w:p>
            <w:pPr>
              <w:spacing w:after="0"/>
              <w:rPr>
                <w:sz w:val="23"/>
                <w:szCs w:val="23"/>
                <w:color w:val="auto"/>
              </w:rPr>
            </w:pPr>
          </w:p>
        </w:tc>
        <w:tc>
          <w:tcPr>
            <w:tcW w:w="5420" w:type="dxa"/>
            <w:vAlign w:val="bottom"/>
            <w:gridSpan w:val="2"/>
            <w:shd w:val="clear" w:color="auto" w:fill="CCEEFF"/>
          </w:tcPr>
          <w:p>
            <w:pPr>
              <w:ind w:left="340"/>
              <w:spacing w:after="0"/>
              <w:rPr>
                <w:sz w:val="20"/>
                <w:szCs w:val="20"/>
                <w:color w:val="auto"/>
              </w:rPr>
            </w:pPr>
            <w:r>
              <w:rPr>
                <w:rFonts w:ascii="Arial" w:cs="Arial" w:eastAsia="Arial" w:hAnsi="Arial"/>
                <w:sz w:val="18"/>
                <w:szCs w:val="18"/>
                <w:color w:val="auto"/>
              </w:rPr>
              <w:t xml:space="preserve">Common/collective trusts </w:t>
            </w:r>
            <w:r>
              <w:rPr>
                <w:rFonts w:ascii="Arial" w:cs="Arial" w:eastAsia="Arial" w:hAnsi="Arial"/>
                <w:sz w:val="21"/>
                <w:szCs w:val="21"/>
                <w:color w:val="auto"/>
                <w:vertAlign w:val="superscript"/>
              </w:rPr>
              <w:t>(g)</w:t>
            </w:r>
          </w:p>
        </w:tc>
        <w:tc>
          <w:tcPr>
            <w:tcW w:w="140" w:type="dxa"/>
            <w:vAlign w:val="bottom"/>
            <w:shd w:val="clear" w:color="auto" w:fill="CCEEFF"/>
          </w:tcPr>
          <w:p>
            <w:pPr>
              <w:spacing w:after="0"/>
              <w:rPr>
                <w:sz w:val="23"/>
                <w:szCs w:val="23"/>
                <w:color w:val="auto"/>
              </w:rPr>
            </w:pPr>
          </w:p>
        </w:tc>
        <w:tc>
          <w:tcPr>
            <w:tcW w:w="15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23"/>
                <w:szCs w:val="23"/>
                <w:color w:val="auto"/>
              </w:rPr>
            </w:pPr>
          </w:p>
        </w:tc>
        <w:tc>
          <w:tcPr>
            <w:tcW w:w="1160" w:type="dxa"/>
            <w:vAlign w:val="bottom"/>
            <w:shd w:val="clear" w:color="auto" w:fill="CCEEFF"/>
          </w:tcPr>
          <w:p>
            <w:pPr>
              <w:jc w:val="right"/>
              <w:ind w:right="33"/>
              <w:spacing w:after="0"/>
              <w:rPr>
                <w:sz w:val="20"/>
                <w:szCs w:val="20"/>
                <w:color w:val="auto"/>
              </w:rPr>
            </w:pPr>
            <w:r>
              <w:rPr>
                <w:rFonts w:ascii="Arial" w:cs="Arial" w:eastAsia="Arial" w:hAnsi="Arial"/>
                <w:sz w:val="18"/>
                <w:szCs w:val="18"/>
                <w:color w:val="auto"/>
              </w:rPr>
              <w:t>358</w:t>
            </w:r>
          </w:p>
        </w:tc>
        <w:tc>
          <w:tcPr>
            <w:tcW w:w="100" w:type="dxa"/>
            <w:vAlign w:val="bottom"/>
            <w:shd w:val="clear" w:color="auto" w:fill="CCEEFF"/>
          </w:tcPr>
          <w:p>
            <w:pPr>
              <w:spacing w:after="0"/>
              <w:rPr>
                <w:sz w:val="23"/>
                <w:szCs w:val="23"/>
                <w:color w:val="auto"/>
              </w:rPr>
            </w:pPr>
          </w:p>
        </w:tc>
        <w:tc>
          <w:tcPr>
            <w:tcW w:w="180" w:type="dxa"/>
            <w:vAlign w:val="bottom"/>
            <w:shd w:val="clear" w:color="auto" w:fill="CCEEFF"/>
          </w:tcPr>
          <w:p>
            <w:pPr>
              <w:spacing w:after="0"/>
              <w:rPr>
                <w:sz w:val="23"/>
                <w:szCs w:val="23"/>
                <w:color w:val="auto"/>
              </w:rPr>
            </w:pPr>
          </w:p>
        </w:tc>
        <w:tc>
          <w:tcPr>
            <w:tcW w:w="1340" w:type="dxa"/>
            <w:vAlign w:val="bottom"/>
            <w:gridSpan w:val="3"/>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260" w:type="dxa"/>
            <w:vAlign w:val="bottom"/>
            <w:shd w:val="clear" w:color="auto" w:fill="CCEEFF"/>
          </w:tcPr>
          <w:p>
            <w:pPr>
              <w:spacing w:after="0"/>
              <w:rPr>
                <w:sz w:val="23"/>
                <w:szCs w:val="23"/>
                <w:color w:val="auto"/>
              </w:rPr>
            </w:pPr>
          </w:p>
        </w:tc>
        <w:tc>
          <w:tcPr>
            <w:tcW w:w="98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358</w:t>
            </w:r>
          </w:p>
        </w:tc>
      </w:tr>
      <w:tr>
        <w:trPr>
          <w:trHeight w:val="226"/>
        </w:trPr>
        <w:tc>
          <w:tcPr>
            <w:tcW w:w="40" w:type="dxa"/>
            <w:vAlign w:val="bottom"/>
          </w:tcPr>
          <w:p>
            <w:pPr>
              <w:spacing w:after="0"/>
              <w:rPr>
                <w:sz w:val="19"/>
                <w:szCs w:val="19"/>
                <w:color w:val="auto"/>
              </w:rPr>
            </w:pPr>
          </w:p>
        </w:tc>
        <w:tc>
          <w:tcPr>
            <w:tcW w:w="5420" w:type="dxa"/>
            <w:vAlign w:val="bottom"/>
            <w:gridSpan w:val="2"/>
          </w:tcPr>
          <w:p>
            <w:pPr>
              <w:ind w:left="340"/>
              <w:spacing w:after="0"/>
              <w:rPr>
                <w:sz w:val="20"/>
                <w:szCs w:val="20"/>
                <w:color w:val="auto"/>
              </w:rPr>
            </w:pPr>
            <w:r>
              <w:rPr>
                <w:rFonts w:ascii="Arial" w:cs="Arial" w:eastAsia="Arial" w:hAnsi="Arial"/>
                <w:sz w:val="18"/>
                <w:szCs w:val="18"/>
                <w:color w:val="auto"/>
              </w:rPr>
              <w:t>Common/collective trusts and 103-12 Investment Trust</w:t>
            </w:r>
          </w:p>
        </w:tc>
        <w:tc>
          <w:tcPr>
            <w:tcW w:w="140" w:type="dxa"/>
            <w:vAlign w:val="bottom"/>
          </w:tcPr>
          <w:p>
            <w:pPr>
              <w:spacing w:after="0"/>
              <w:rPr>
                <w:sz w:val="19"/>
                <w:szCs w:val="19"/>
                <w:color w:val="auto"/>
              </w:rPr>
            </w:pPr>
          </w:p>
        </w:tc>
        <w:tc>
          <w:tcPr>
            <w:tcW w:w="14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80" w:type="dxa"/>
            <w:vAlign w:val="bottom"/>
          </w:tcPr>
          <w:p>
            <w:pPr>
              <w:spacing w:after="0"/>
              <w:rPr>
                <w:sz w:val="19"/>
                <w:szCs w:val="19"/>
                <w:color w:val="auto"/>
              </w:rPr>
            </w:pPr>
          </w:p>
        </w:tc>
      </w:tr>
      <w:tr>
        <w:trPr>
          <w:trHeight w:val="233"/>
        </w:trPr>
        <w:tc>
          <w:tcPr>
            <w:tcW w:w="40" w:type="dxa"/>
            <w:vAlign w:val="bottom"/>
          </w:tcPr>
          <w:p>
            <w:pPr>
              <w:spacing w:after="0"/>
              <w:rPr>
                <w:sz w:val="20"/>
                <w:szCs w:val="20"/>
                <w:color w:val="auto"/>
              </w:rPr>
            </w:pPr>
          </w:p>
        </w:tc>
        <w:tc>
          <w:tcPr>
            <w:tcW w:w="5420" w:type="dxa"/>
            <w:vAlign w:val="bottom"/>
            <w:gridSpan w:val="2"/>
          </w:tcPr>
          <w:p>
            <w:pPr>
              <w:ind w:left="500"/>
              <w:spacing w:after="0" w:line="233" w:lineRule="exact"/>
              <w:rPr>
                <w:sz w:val="20"/>
                <w:szCs w:val="20"/>
                <w:color w:val="auto"/>
              </w:rPr>
            </w:pPr>
            <w:r>
              <w:rPr>
                <w:rFonts w:ascii="Arial" w:cs="Arial" w:eastAsia="Arial" w:hAnsi="Arial"/>
                <w:sz w:val="18"/>
                <w:szCs w:val="18"/>
                <w:color w:val="auto"/>
              </w:rPr>
              <w:t xml:space="preserve">measured at net asset value </w:t>
            </w:r>
            <w:r>
              <w:rPr>
                <w:rFonts w:ascii="Arial" w:cs="Arial" w:eastAsia="Arial" w:hAnsi="Arial"/>
                <w:sz w:val="21"/>
                <w:szCs w:val="21"/>
                <w:color w:val="auto"/>
                <w:vertAlign w:val="superscript"/>
              </w:rPr>
              <w:t>(f), (g)</w:t>
            </w:r>
          </w:p>
        </w:tc>
        <w:tc>
          <w:tcPr>
            <w:tcW w:w="140" w:type="dxa"/>
            <w:vAlign w:val="bottom"/>
          </w:tcPr>
          <w:p>
            <w:pPr>
              <w:spacing w:after="0"/>
              <w:rPr>
                <w:sz w:val="20"/>
                <w:szCs w:val="20"/>
                <w:color w:val="auto"/>
              </w:rPr>
            </w:pPr>
          </w:p>
        </w:tc>
        <w:tc>
          <w:tcPr>
            <w:tcW w:w="15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20"/>
                <w:szCs w:val="20"/>
                <w:color w:val="auto"/>
              </w:rPr>
            </w:pPr>
          </w:p>
        </w:tc>
        <w:tc>
          <w:tcPr>
            <w:tcW w:w="12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0"/>
                <w:szCs w:val="20"/>
                <w:color w:val="auto"/>
              </w:rPr>
            </w:pPr>
          </w:p>
        </w:tc>
        <w:tc>
          <w:tcPr>
            <w:tcW w:w="1340" w:type="dxa"/>
            <w:vAlign w:val="bottom"/>
            <w:gridSpan w:val="3"/>
          </w:tcPr>
          <w:p>
            <w:pPr>
              <w:jc w:val="right"/>
              <w:ind w:right="240"/>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20"/>
                <w:szCs w:val="20"/>
                <w:color w:val="auto"/>
              </w:rPr>
            </w:pPr>
          </w:p>
        </w:tc>
        <w:tc>
          <w:tcPr>
            <w:tcW w:w="980" w:type="dxa"/>
            <w:vAlign w:val="bottom"/>
          </w:tcPr>
          <w:p>
            <w:pPr>
              <w:jc w:val="right"/>
              <w:ind w:right="11"/>
              <w:spacing w:after="0"/>
              <w:rPr>
                <w:sz w:val="20"/>
                <w:szCs w:val="20"/>
                <w:color w:val="auto"/>
              </w:rPr>
            </w:pPr>
            <w:r>
              <w:rPr>
                <w:rFonts w:ascii="Arial" w:cs="Arial" w:eastAsia="Arial" w:hAnsi="Arial"/>
                <w:sz w:val="18"/>
                <w:szCs w:val="18"/>
                <w:color w:val="auto"/>
              </w:rPr>
              <w:t>1,423</w:t>
            </w:r>
          </w:p>
        </w:tc>
      </w:tr>
      <w:tr>
        <w:trPr>
          <w:trHeight w:val="270"/>
        </w:trPr>
        <w:tc>
          <w:tcPr>
            <w:tcW w:w="40" w:type="dxa"/>
            <w:vAlign w:val="bottom"/>
            <w:shd w:val="clear" w:color="auto" w:fill="CCEEFF"/>
          </w:tcPr>
          <w:p>
            <w:pPr>
              <w:spacing w:after="0"/>
              <w:rPr>
                <w:sz w:val="23"/>
                <w:szCs w:val="23"/>
                <w:color w:val="auto"/>
              </w:rPr>
            </w:pPr>
          </w:p>
        </w:tc>
        <w:tc>
          <w:tcPr>
            <w:tcW w:w="5420" w:type="dxa"/>
            <w:vAlign w:val="bottom"/>
            <w:gridSpan w:val="2"/>
            <w:shd w:val="clear" w:color="auto" w:fill="CCEEFF"/>
          </w:tcPr>
          <w:p>
            <w:pPr>
              <w:ind w:left="340"/>
              <w:spacing w:after="0"/>
              <w:rPr>
                <w:sz w:val="20"/>
                <w:szCs w:val="20"/>
                <w:color w:val="auto"/>
              </w:rPr>
            </w:pPr>
            <w:r>
              <w:rPr>
                <w:rFonts w:ascii="Arial" w:cs="Arial" w:eastAsia="Arial" w:hAnsi="Arial"/>
                <w:sz w:val="18"/>
                <w:szCs w:val="18"/>
                <w:color w:val="auto"/>
              </w:rPr>
              <w:t>Insurance group annuity contracts</w:t>
            </w:r>
          </w:p>
        </w:tc>
        <w:tc>
          <w:tcPr>
            <w:tcW w:w="140" w:type="dxa"/>
            <w:vAlign w:val="bottom"/>
            <w:shd w:val="clear" w:color="auto" w:fill="CCEEFF"/>
          </w:tcPr>
          <w:p>
            <w:pPr>
              <w:spacing w:after="0"/>
              <w:rPr>
                <w:sz w:val="23"/>
                <w:szCs w:val="23"/>
                <w:color w:val="auto"/>
              </w:rPr>
            </w:pPr>
          </w:p>
        </w:tc>
        <w:tc>
          <w:tcPr>
            <w:tcW w:w="15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23"/>
                <w:szCs w:val="23"/>
                <w:color w:val="auto"/>
              </w:rPr>
            </w:pPr>
          </w:p>
        </w:tc>
        <w:tc>
          <w:tcPr>
            <w:tcW w:w="12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23"/>
                <w:szCs w:val="23"/>
                <w:color w:val="auto"/>
              </w:rPr>
            </w:pPr>
          </w:p>
        </w:tc>
        <w:tc>
          <w:tcPr>
            <w:tcW w:w="1200" w:type="dxa"/>
            <w:vAlign w:val="bottom"/>
            <w:shd w:val="clear" w:color="auto" w:fill="CCEEFF"/>
          </w:tcPr>
          <w:p>
            <w:pPr>
              <w:jc w:val="right"/>
              <w:ind w:right="13"/>
              <w:spacing w:after="0"/>
              <w:rPr>
                <w:sz w:val="20"/>
                <w:szCs w:val="20"/>
                <w:color w:val="auto"/>
              </w:rPr>
            </w:pPr>
            <w:r>
              <w:rPr>
                <w:rFonts w:ascii="Arial" w:cs="Arial" w:eastAsia="Arial" w:hAnsi="Arial"/>
                <w:sz w:val="18"/>
                <w:szCs w:val="18"/>
                <w:color w:val="auto"/>
              </w:rPr>
              <w:t>2</w:t>
            </w:r>
          </w:p>
        </w:tc>
        <w:tc>
          <w:tcPr>
            <w:tcW w:w="120" w:type="dxa"/>
            <w:vAlign w:val="bottom"/>
            <w:shd w:val="clear" w:color="auto" w:fill="CCEEFF"/>
          </w:tcPr>
          <w:p>
            <w:pPr>
              <w:spacing w:after="0"/>
              <w:rPr>
                <w:sz w:val="23"/>
                <w:szCs w:val="23"/>
                <w:color w:val="auto"/>
              </w:rPr>
            </w:pPr>
          </w:p>
        </w:tc>
        <w:tc>
          <w:tcPr>
            <w:tcW w:w="20" w:type="dxa"/>
            <w:vAlign w:val="bottom"/>
            <w:shd w:val="clear" w:color="auto" w:fill="CCEEFF"/>
          </w:tcPr>
          <w:p>
            <w:pPr>
              <w:spacing w:after="0"/>
              <w:rPr>
                <w:sz w:val="23"/>
                <w:szCs w:val="23"/>
                <w:color w:val="auto"/>
              </w:rPr>
            </w:pPr>
          </w:p>
        </w:tc>
        <w:tc>
          <w:tcPr>
            <w:tcW w:w="260" w:type="dxa"/>
            <w:vAlign w:val="bottom"/>
            <w:shd w:val="clear" w:color="auto" w:fill="CCEEFF"/>
          </w:tcPr>
          <w:p>
            <w:pPr>
              <w:spacing w:after="0"/>
              <w:rPr>
                <w:sz w:val="23"/>
                <w:szCs w:val="23"/>
                <w:color w:val="auto"/>
              </w:rPr>
            </w:pPr>
          </w:p>
        </w:tc>
        <w:tc>
          <w:tcPr>
            <w:tcW w:w="98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2</w:t>
            </w:r>
          </w:p>
        </w:tc>
      </w:tr>
      <w:tr>
        <w:trPr>
          <w:trHeight w:val="263"/>
        </w:trPr>
        <w:tc>
          <w:tcPr>
            <w:tcW w:w="5460" w:type="dxa"/>
            <w:vAlign w:val="bottom"/>
            <w:gridSpan w:val="3"/>
          </w:tcPr>
          <w:p>
            <w:pPr>
              <w:ind w:left="40"/>
              <w:spacing w:after="0"/>
              <w:rPr>
                <w:sz w:val="20"/>
                <w:szCs w:val="20"/>
                <w:color w:val="auto"/>
              </w:rPr>
            </w:pPr>
            <w:r>
              <w:rPr>
                <w:rFonts w:ascii="Arial" w:cs="Arial" w:eastAsia="Arial" w:hAnsi="Arial"/>
                <w:sz w:val="18"/>
                <w:szCs w:val="18"/>
                <w:color w:val="auto"/>
              </w:rPr>
              <w:t>Dividend and interest receivable</w:t>
            </w:r>
          </w:p>
        </w:tc>
        <w:tc>
          <w:tcPr>
            <w:tcW w:w="140" w:type="dxa"/>
            <w:vAlign w:val="bottom"/>
          </w:tcPr>
          <w:p>
            <w:pPr>
              <w:spacing w:after="0"/>
              <w:rPr>
                <w:sz w:val="22"/>
                <w:szCs w:val="22"/>
                <w:color w:val="auto"/>
              </w:rPr>
            </w:pPr>
          </w:p>
        </w:tc>
        <w:tc>
          <w:tcPr>
            <w:tcW w:w="1480" w:type="dxa"/>
            <w:vAlign w:val="bottom"/>
          </w:tcPr>
          <w:p>
            <w:pPr>
              <w:jc w:val="right"/>
              <w:ind w:right="34"/>
              <w:spacing w:after="0"/>
              <w:rPr>
                <w:sz w:val="20"/>
                <w:szCs w:val="20"/>
                <w:color w:val="auto"/>
              </w:rPr>
            </w:pPr>
            <w:r>
              <w:rPr>
                <w:rFonts w:ascii="Arial" w:cs="Arial" w:eastAsia="Arial" w:hAnsi="Arial"/>
                <w:sz w:val="18"/>
                <w:szCs w:val="18"/>
                <w:color w:val="auto"/>
              </w:rPr>
              <w:t>53</w:t>
            </w:r>
          </w:p>
        </w:tc>
        <w:tc>
          <w:tcPr>
            <w:tcW w:w="10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12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2"/>
                <w:szCs w:val="22"/>
                <w:color w:val="auto"/>
              </w:rPr>
            </w:pPr>
          </w:p>
        </w:tc>
        <w:tc>
          <w:tcPr>
            <w:tcW w:w="1340" w:type="dxa"/>
            <w:vAlign w:val="bottom"/>
            <w:gridSpan w:val="3"/>
          </w:tcPr>
          <w:p>
            <w:pPr>
              <w:jc w:val="right"/>
              <w:ind w:right="240"/>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22"/>
                <w:szCs w:val="22"/>
                <w:color w:val="auto"/>
              </w:rPr>
            </w:pPr>
          </w:p>
        </w:tc>
        <w:tc>
          <w:tcPr>
            <w:tcW w:w="980" w:type="dxa"/>
            <w:vAlign w:val="bottom"/>
          </w:tcPr>
          <w:p>
            <w:pPr>
              <w:jc w:val="right"/>
              <w:ind w:right="11"/>
              <w:spacing w:after="0"/>
              <w:rPr>
                <w:sz w:val="20"/>
                <w:szCs w:val="20"/>
                <w:color w:val="auto"/>
              </w:rPr>
            </w:pPr>
            <w:r>
              <w:rPr>
                <w:rFonts w:ascii="Arial" w:cs="Arial" w:eastAsia="Arial" w:hAnsi="Arial"/>
                <w:sz w:val="18"/>
                <w:szCs w:val="18"/>
                <w:color w:val="auto"/>
              </w:rPr>
              <w:t>53</w:t>
            </w:r>
          </w:p>
        </w:tc>
      </w:tr>
      <w:tr>
        <w:trPr>
          <w:trHeight w:val="277"/>
        </w:trPr>
        <w:tc>
          <w:tcPr>
            <w:tcW w:w="5460" w:type="dxa"/>
            <w:vAlign w:val="bottom"/>
            <w:gridSpan w:val="3"/>
            <w:shd w:val="clear" w:color="auto" w:fill="CCEEFF"/>
          </w:tcPr>
          <w:p>
            <w:pPr>
              <w:ind w:left="40"/>
              <w:spacing w:after="0"/>
              <w:rPr>
                <w:sz w:val="20"/>
                <w:szCs w:val="20"/>
                <w:color w:val="auto"/>
              </w:rPr>
            </w:pPr>
            <w:r>
              <w:rPr>
                <w:rFonts w:ascii="Arial" w:cs="Arial" w:eastAsia="Arial" w:hAnsi="Arial"/>
                <w:sz w:val="18"/>
                <w:szCs w:val="18"/>
                <w:color w:val="auto"/>
              </w:rPr>
              <w:t>Due to/from brokers for sale of securities – net</w:t>
            </w:r>
          </w:p>
        </w:tc>
        <w:tc>
          <w:tcPr>
            <w:tcW w:w="140" w:type="dxa"/>
            <w:vAlign w:val="bottom"/>
            <w:shd w:val="clear" w:color="auto" w:fill="CCEEFF"/>
          </w:tcPr>
          <w:p>
            <w:pPr>
              <w:spacing w:after="0"/>
              <w:rPr>
                <w:sz w:val="24"/>
                <w:szCs w:val="24"/>
                <w:color w:val="auto"/>
              </w:rPr>
            </w:pPr>
          </w:p>
        </w:tc>
        <w:tc>
          <w:tcPr>
            <w:tcW w:w="1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w:t>
            </w:r>
          </w:p>
        </w:tc>
        <w:tc>
          <w:tcPr>
            <w:tcW w:w="100" w:type="dxa"/>
            <w:vAlign w:val="bottom"/>
            <w:shd w:val="clear" w:color="auto" w:fill="CCEEFF"/>
          </w:tcPr>
          <w:p>
            <w:pPr>
              <w:spacing w:after="0"/>
              <w:rPr>
                <w:sz w:val="24"/>
                <w:szCs w:val="24"/>
                <w:color w:val="auto"/>
              </w:rPr>
            </w:pPr>
          </w:p>
        </w:tc>
        <w:tc>
          <w:tcPr>
            <w:tcW w:w="220" w:type="dxa"/>
            <w:vAlign w:val="bottom"/>
            <w:shd w:val="clear" w:color="auto" w:fill="CCEEFF"/>
          </w:tcPr>
          <w:p>
            <w:pPr>
              <w:spacing w:after="0"/>
              <w:rPr>
                <w:sz w:val="24"/>
                <w:szCs w:val="24"/>
                <w:color w:val="auto"/>
              </w:rPr>
            </w:pPr>
          </w:p>
        </w:tc>
        <w:tc>
          <w:tcPr>
            <w:tcW w:w="12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24"/>
                <w:szCs w:val="24"/>
                <w:color w:val="auto"/>
              </w:rPr>
            </w:pPr>
          </w:p>
        </w:tc>
        <w:tc>
          <w:tcPr>
            <w:tcW w:w="1340" w:type="dxa"/>
            <w:vAlign w:val="bottom"/>
            <w:gridSpan w:val="3"/>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260" w:type="dxa"/>
            <w:vAlign w:val="bottom"/>
            <w:shd w:val="clear" w:color="auto" w:fill="CCEEFF"/>
          </w:tcPr>
          <w:p>
            <w:pPr>
              <w:spacing w:after="0"/>
              <w:rPr>
                <w:sz w:val="24"/>
                <w:szCs w:val="24"/>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w:t>
            </w:r>
          </w:p>
        </w:tc>
      </w:tr>
      <w:tr>
        <w:trPr>
          <w:trHeight w:val="244"/>
        </w:trPr>
        <w:tc>
          <w:tcPr>
            <w:tcW w:w="40" w:type="dxa"/>
            <w:vAlign w:val="bottom"/>
          </w:tcPr>
          <w:p>
            <w:pPr>
              <w:spacing w:after="0"/>
              <w:rPr>
                <w:sz w:val="21"/>
                <w:szCs w:val="21"/>
                <w:color w:val="auto"/>
              </w:rPr>
            </w:pPr>
          </w:p>
        </w:tc>
        <w:tc>
          <w:tcPr>
            <w:tcW w:w="5420" w:type="dxa"/>
            <w:vAlign w:val="bottom"/>
            <w:gridSpan w:val="2"/>
          </w:tcPr>
          <w:p>
            <w:pPr>
              <w:ind w:left="140"/>
              <w:spacing w:after="0"/>
              <w:rPr>
                <w:sz w:val="20"/>
                <w:szCs w:val="20"/>
                <w:color w:val="auto"/>
              </w:rPr>
            </w:pPr>
            <w:r>
              <w:rPr>
                <w:rFonts w:ascii="Arial" w:cs="Arial" w:eastAsia="Arial" w:hAnsi="Arial"/>
                <w:sz w:val="18"/>
                <w:szCs w:val="18"/>
                <w:color w:val="auto"/>
              </w:rPr>
              <w:t>Total</w:t>
            </w: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480" w:type="dxa"/>
            <w:vAlign w:val="bottom"/>
            <w:tcBorders>
              <w:top w:val="single" w:sz="8" w:color="auto"/>
              <w:bottom w:val="single" w:sz="8" w:color="auto"/>
            </w:tcBorders>
          </w:tcPr>
          <w:p>
            <w:pPr>
              <w:jc w:val="right"/>
              <w:ind w:right="34"/>
              <w:spacing w:after="0"/>
              <w:rPr>
                <w:sz w:val="20"/>
                <w:szCs w:val="20"/>
                <w:color w:val="auto"/>
              </w:rPr>
            </w:pPr>
            <w:r>
              <w:rPr>
                <w:rFonts w:ascii="Arial" w:cs="Arial" w:eastAsia="Arial" w:hAnsi="Arial"/>
                <w:sz w:val="18"/>
                <w:szCs w:val="18"/>
                <w:color w:val="auto"/>
              </w:rPr>
              <w:t>5,790</w:t>
            </w:r>
          </w:p>
        </w:tc>
        <w:tc>
          <w:tcPr>
            <w:tcW w:w="100" w:type="dxa"/>
            <w:vAlign w:val="bottom"/>
          </w:tcPr>
          <w:p>
            <w:pPr>
              <w:spacing w:after="0"/>
              <w:rPr>
                <w:sz w:val="21"/>
                <w:szCs w:val="21"/>
                <w:color w:val="auto"/>
              </w:rPr>
            </w:pPr>
          </w:p>
        </w:tc>
        <w:tc>
          <w:tcPr>
            <w:tcW w:w="22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w w:val="99"/>
              </w:rPr>
              <w:t>$</w:t>
            </w:r>
          </w:p>
        </w:tc>
        <w:tc>
          <w:tcPr>
            <w:tcW w:w="1160" w:type="dxa"/>
            <w:vAlign w:val="bottom"/>
            <w:tcBorders>
              <w:top w:val="single" w:sz="8" w:color="auto"/>
              <w:bottom w:val="single" w:sz="8" w:color="auto"/>
            </w:tcBorders>
          </w:tcPr>
          <w:p>
            <w:pPr>
              <w:jc w:val="right"/>
              <w:ind w:right="33"/>
              <w:spacing w:after="0"/>
              <w:rPr>
                <w:sz w:val="20"/>
                <w:szCs w:val="20"/>
                <w:color w:val="auto"/>
              </w:rPr>
            </w:pPr>
            <w:r>
              <w:rPr>
                <w:rFonts w:ascii="Arial" w:cs="Arial" w:eastAsia="Arial" w:hAnsi="Arial"/>
                <w:sz w:val="18"/>
                <w:szCs w:val="18"/>
                <w:color w:val="auto"/>
              </w:rPr>
              <w:t>4,140</w:t>
            </w:r>
          </w:p>
        </w:tc>
        <w:tc>
          <w:tcPr>
            <w:tcW w:w="100" w:type="dxa"/>
            <w:vAlign w:val="bottom"/>
          </w:tcPr>
          <w:p>
            <w:pPr>
              <w:spacing w:after="0"/>
              <w:rPr>
                <w:sz w:val="21"/>
                <w:szCs w:val="21"/>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200" w:type="dxa"/>
            <w:vAlign w:val="bottom"/>
            <w:tcBorders>
              <w:top w:val="single" w:sz="8" w:color="auto"/>
              <w:bottom w:val="single" w:sz="8" w:color="auto"/>
            </w:tcBorders>
          </w:tcPr>
          <w:p>
            <w:pPr>
              <w:jc w:val="right"/>
              <w:ind w:right="13"/>
              <w:spacing w:after="0"/>
              <w:rPr>
                <w:sz w:val="20"/>
                <w:szCs w:val="20"/>
                <w:color w:val="auto"/>
              </w:rPr>
            </w:pPr>
            <w:r>
              <w:rPr>
                <w:rFonts w:ascii="Arial" w:cs="Arial" w:eastAsia="Arial" w:hAnsi="Arial"/>
                <w:sz w:val="18"/>
                <w:szCs w:val="18"/>
                <w:color w:val="auto"/>
              </w:rPr>
              <w:t>12</w:t>
            </w:r>
          </w:p>
        </w:tc>
        <w:tc>
          <w:tcPr>
            <w:tcW w:w="120" w:type="dxa"/>
            <w:vAlign w:val="bottom"/>
          </w:tcPr>
          <w:p>
            <w:pPr>
              <w:spacing w:after="0"/>
              <w:rPr>
                <w:sz w:val="21"/>
                <w:szCs w:val="21"/>
                <w:color w:val="auto"/>
              </w:rPr>
            </w:pPr>
          </w:p>
        </w:tc>
        <w:tc>
          <w:tcPr>
            <w:tcW w:w="20" w:type="dxa"/>
            <w:vAlign w:val="bottom"/>
            <w:tcBorders>
              <w:top w:val="single" w:sz="8" w:color="auto"/>
              <w:bottom w:val="single" w:sz="8" w:color="auto"/>
            </w:tcBorders>
          </w:tcPr>
          <w:p>
            <w:pPr>
              <w:spacing w:after="0"/>
              <w:rPr>
                <w:sz w:val="21"/>
                <w:szCs w:val="21"/>
                <w:color w:val="auto"/>
              </w:rPr>
            </w:pPr>
          </w:p>
        </w:tc>
        <w:tc>
          <w:tcPr>
            <w:tcW w:w="260" w:type="dxa"/>
            <w:vAlign w:val="bottom"/>
            <w:tcBorders>
              <w:top w:val="single" w:sz="8" w:color="auto"/>
              <w:bottom w:val="single" w:sz="8" w:color="auto"/>
            </w:tcBorders>
          </w:tcPr>
          <w:p>
            <w:pPr>
              <w:jc w:val="right"/>
              <w:ind w:right="70"/>
              <w:spacing w:after="0"/>
              <w:rPr>
                <w:sz w:val="20"/>
                <w:szCs w:val="20"/>
                <w:color w:val="auto"/>
              </w:rPr>
            </w:pPr>
            <w:r>
              <w:rPr>
                <w:rFonts w:ascii="Arial" w:cs="Arial" w:eastAsia="Arial" w:hAnsi="Arial"/>
                <w:sz w:val="18"/>
                <w:szCs w:val="18"/>
                <w:color w:val="auto"/>
                <w:w w:val="79"/>
              </w:rPr>
              <w:t>$</w:t>
            </w:r>
          </w:p>
        </w:tc>
        <w:tc>
          <w:tcPr>
            <w:tcW w:w="980" w:type="dxa"/>
            <w:vAlign w:val="bottom"/>
            <w:tcBorders>
              <w:top w:val="single" w:sz="8" w:color="auto"/>
              <w:bottom w:val="single" w:sz="8" w:color="auto"/>
            </w:tcBorders>
          </w:tcPr>
          <w:p>
            <w:pPr>
              <w:jc w:val="right"/>
              <w:ind w:right="11"/>
              <w:spacing w:after="0"/>
              <w:rPr>
                <w:sz w:val="20"/>
                <w:szCs w:val="20"/>
                <w:color w:val="auto"/>
              </w:rPr>
            </w:pPr>
            <w:r>
              <w:rPr>
                <w:rFonts w:ascii="Arial" w:cs="Arial" w:eastAsia="Arial" w:hAnsi="Arial"/>
                <w:sz w:val="18"/>
                <w:szCs w:val="18"/>
                <w:color w:val="auto"/>
              </w:rPr>
              <w:t>12,829</w:t>
            </w:r>
          </w:p>
        </w:tc>
      </w:tr>
      <w:tr>
        <w:trPr>
          <w:trHeight w:val="20"/>
        </w:trPr>
        <w:tc>
          <w:tcPr>
            <w:tcW w:w="4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436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4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197485</wp:posOffset>
            </wp:positionV>
            <wp:extent cx="1337945" cy="8890"/>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1337945" cy="8890"/>
                    </a:xfrm>
                    <a:prstGeom prst="rect">
                      <a:avLst/>
                    </a:prstGeom>
                    <a:noFill/>
                  </pic:spPr>
                </pic:pic>
              </a:graphicData>
            </a:graphic>
          </wp:anchor>
        </w:drawing>
      </w:r>
    </w:p>
    <w:p>
      <w:pPr>
        <w:sectPr>
          <w:pgSz w:w="11900" w:h="16838" w:orient="portrait"/>
          <w:cols w:equalWidth="0" w:num="1">
            <w:col w:w="11420"/>
          </w:cols>
          <w:pgMar w:left="240" w:top="549" w:right="239" w:bottom="1440" w:gutter="0" w:footer="0" w:header="0"/>
        </w:sectPr>
      </w:pPr>
    </w:p>
    <w:p>
      <w:pPr>
        <w:spacing w:after="0" w:line="200" w:lineRule="exact"/>
        <w:rPr>
          <w:sz w:val="20"/>
          <w:szCs w:val="20"/>
          <w:color w:val="auto"/>
        </w:rPr>
      </w:pPr>
    </w:p>
    <w:p>
      <w:pPr>
        <w:spacing w:after="0" w:line="202" w:lineRule="exact"/>
        <w:rPr>
          <w:sz w:val="20"/>
          <w:szCs w:val="20"/>
          <w:color w:val="auto"/>
        </w:rPr>
      </w:pPr>
    </w:p>
    <w:p>
      <w:pPr>
        <w:spacing w:after="0"/>
        <w:rPr>
          <w:sz w:val="20"/>
          <w:szCs w:val="20"/>
          <w:color w:val="auto"/>
        </w:rPr>
      </w:pPr>
      <w:r>
        <w:rPr>
          <w:rFonts w:ascii="Arial" w:cs="Arial" w:eastAsia="Arial" w:hAnsi="Arial"/>
          <w:sz w:val="11"/>
          <w:szCs w:val="11"/>
          <w:color w:val="auto"/>
        </w:rPr>
        <w:t>(a)</w:t>
      </w:r>
    </w:p>
    <w:p>
      <w:pPr>
        <w:spacing w:after="0" w:line="200" w:lineRule="exact"/>
        <w:rPr>
          <w:sz w:val="20"/>
          <w:szCs w:val="20"/>
          <w:color w:val="auto"/>
        </w:rPr>
      </w:pPr>
    </w:p>
    <w:p>
      <w:pPr>
        <w:spacing w:after="0" w:line="268" w:lineRule="exact"/>
        <w:rPr>
          <w:sz w:val="20"/>
          <w:szCs w:val="20"/>
          <w:color w:val="auto"/>
        </w:rPr>
      </w:pPr>
    </w:p>
    <w:p>
      <w:pPr>
        <w:spacing w:after="0"/>
        <w:rPr>
          <w:sz w:val="20"/>
          <w:szCs w:val="20"/>
          <w:color w:val="auto"/>
        </w:rPr>
      </w:pPr>
      <w:r>
        <w:rPr>
          <w:rFonts w:ascii="Arial" w:cs="Arial" w:eastAsia="Arial" w:hAnsi="Arial"/>
          <w:sz w:val="11"/>
          <w:szCs w:val="11"/>
          <w:color w:val="auto"/>
        </w:rPr>
        <w:t>(b)</w:t>
      </w:r>
    </w:p>
    <w:p>
      <w:pPr>
        <w:spacing w:after="0" w:line="252" w:lineRule="exact"/>
        <w:rPr>
          <w:sz w:val="20"/>
          <w:szCs w:val="20"/>
          <w:color w:val="auto"/>
        </w:rPr>
      </w:pPr>
    </w:p>
    <w:p>
      <w:pPr>
        <w:spacing w:after="0"/>
        <w:rPr>
          <w:sz w:val="20"/>
          <w:szCs w:val="20"/>
          <w:color w:val="auto"/>
        </w:rPr>
      </w:pPr>
      <w:r>
        <w:rPr>
          <w:rFonts w:ascii="Arial" w:cs="Arial" w:eastAsia="Arial" w:hAnsi="Arial"/>
          <w:sz w:val="11"/>
          <w:szCs w:val="11"/>
          <w:color w:val="auto"/>
        </w:rPr>
        <w:t>(c)</w:t>
      </w:r>
    </w:p>
    <w:p>
      <w:pPr>
        <w:spacing w:after="0" w:line="200" w:lineRule="exact"/>
        <w:rPr>
          <w:sz w:val="20"/>
          <w:szCs w:val="20"/>
          <w:color w:val="auto"/>
        </w:rPr>
      </w:pPr>
    </w:p>
    <w:p>
      <w:pPr>
        <w:spacing w:after="0" w:line="268" w:lineRule="exact"/>
        <w:rPr>
          <w:sz w:val="20"/>
          <w:szCs w:val="20"/>
          <w:color w:val="auto"/>
        </w:rPr>
      </w:pPr>
    </w:p>
    <w:p>
      <w:pPr>
        <w:spacing w:after="0"/>
        <w:rPr>
          <w:sz w:val="20"/>
          <w:szCs w:val="20"/>
          <w:color w:val="auto"/>
        </w:rPr>
      </w:pPr>
      <w:r>
        <w:rPr>
          <w:rFonts w:ascii="Arial" w:cs="Arial" w:eastAsia="Arial" w:hAnsi="Arial"/>
          <w:sz w:val="11"/>
          <w:szCs w:val="11"/>
          <w:color w:val="auto"/>
        </w:rPr>
        <w:t>(d)</w:t>
      </w:r>
    </w:p>
    <w:p>
      <w:pPr>
        <w:spacing w:after="0" w:line="200" w:lineRule="exact"/>
        <w:rPr>
          <w:sz w:val="20"/>
          <w:szCs w:val="20"/>
          <w:color w:val="auto"/>
        </w:rPr>
      </w:pPr>
    </w:p>
    <w:p>
      <w:pPr>
        <w:spacing w:after="0" w:line="268" w:lineRule="exact"/>
        <w:rPr>
          <w:sz w:val="20"/>
          <w:szCs w:val="20"/>
          <w:color w:val="auto"/>
        </w:rPr>
      </w:pPr>
    </w:p>
    <w:p>
      <w:pPr>
        <w:spacing w:after="0"/>
        <w:rPr>
          <w:sz w:val="20"/>
          <w:szCs w:val="20"/>
          <w:color w:val="auto"/>
        </w:rPr>
      </w:pPr>
      <w:r>
        <w:rPr>
          <w:rFonts w:ascii="Arial" w:cs="Arial" w:eastAsia="Arial" w:hAnsi="Arial"/>
          <w:sz w:val="11"/>
          <w:szCs w:val="11"/>
          <w:color w:val="auto"/>
        </w:rPr>
        <w:t>(e)</w:t>
      </w:r>
    </w:p>
    <w:p>
      <w:pPr>
        <w:spacing w:after="0" w:line="20" w:lineRule="exact"/>
        <w:rPr>
          <w:sz w:val="20"/>
          <w:szCs w:val="20"/>
          <w:color w:val="auto"/>
        </w:rPr>
      </w:pPr>
      <w:r>
        <w:rPr>
          <w:sz w:val="20"/>
          <w:szCs w:val="20"/>
          <w:color w:val="auto"/>
        </w:rPr>
        <w:br w:type="column"/>
      </w:r>
    </w:p>
    <w:p>
      <w:pPr>
        <w:spacing w:after="0" w:line="384" w:lineRule="exact"/>
        <w:rPr>
          <w:sz w:val="20"/>
          <w:szCs w:val="20"/>
          <w:color w:val="auto"/>
        </w:rPr>
      </w:pPr>
    </w:p>
    <w:p>
      <w:pPr>
        <w:jc w:val="both"/>
        <w:spacing w:after="0" w:line="262" w:lineRule="auto"/>
        <w:rPr>
          <w:sz w:val="20"/>
          <w:szCs w:val="20"/>
          <w:color w:val="auto"/>
        </w:rPr>
      </w:pPr>
      <w:r>
        <w:rPr>
          <w:rFonts w:ascii="Arial" w:cs="Arial" w:eastAsia="Arial" w:hAnsi="Arial"/>
          <w:sz w:val="18"/>
          <w:szCs w:val="18"/>
          <w:color w:val="auto"/>
        </w:rPr>
        <w:t>Holdings are diversified as follows: 14% United Kingdom, 8% Switzerland, 8% Ireland, 7% Japan, 7% France, 6% South Korea, 6% Canada, 18% emerging markets and the remaining 26% with no concentration greater than 5% in any one country.</w:t>
      </w:r>
    </w:p>
    <w:p>
      <w:pPr>
        <w:spacing w:after="0" w:line="142" w:lineRule="exact"/>
        <w:rPr>
          <w:sz w:val="20"/>
          <w:szCs w:val="20"/>
          <w:color w:val="auto"/>
        </w:rPr>
      </w:pPr>
    </w:p>
    <w:p>
      <w:pPr>
        <w:spacing w:after="0"/>
        <w:rPr>
          <w:sz w:val="20"/>
          <w:szCs w:val="20"/>
          <w:color w:val="auto"/>
        </w:rPr>
      </w:pPr>
      <w:r>
        <w:rPr>
          <w:rFonts w:ascii="Arial" w:cs="Arial" w:eastAsia="Arial" w:hAnsi="Arial"/>
          <w:sz w:val="18"/>
          <w:szCs w:val="18"/>
          <w:color w:val="auto"/>
        </w:rPr>
        <w:t>There are no significant concentrations of holdings by company or industry.</w:t>
      </w:r>
    </w:p>
    <w:p>
      <w:pPr>
        <w:spacing w:after="0" w:line="171" w:lineRule="exact"/>
        <w:rPr>
          <w:sz w:val="20"/>
          <w:szCs w:val="20"/>
          <w:color w:val="auto"/>
        </w:rPr>
      </w:pPr>
    </w:p>
    <w:p>
      <w:pPr>
        <w:jc w:val="both"/>
        <w:ind w:right="20"/>
        <w:spacing w:after="0" w:line="262" w:lineRule="auto"/>
        <w:rPr>
          <w:sz w:val="20"/>
          <w:szCs w:val="20"/>
          <w:color w:val="auto"/>
        </w:rPr>
      </w:pPr>
      <w:r>
        <w:rPr>
          <w:rFonts w:ascii="Arial" w:cs="Arial" w:eastAsia="Arial" w:hAnsi="Arial"/>
          <w:sz w:val="18"/>
          <w:szCs w:val="18"/>
          <w:color w:val="auto"/>
        </w:rPr>
        <w:t>Includes approximately 76% investments in corporate debt with a S&amp;P rating lower than A and 24% investments in corporate debt with a S&amp;P rating A or higher. Holdings include 86% U.S. companies, 11% international companies and 3% emerging market companies.</w:t>
      </w:r>
    </w:p>
    <w:p>
      <w:pPr>
        <w:spacing w:after="0" w:line="142" w:lineRule="exact"/>
        <w:rPr>
          <w:sz w:val="20"/>
          <w:szCs w:val="20"/>
          <w:color w:val="auto"/>
        </w:rPr>
      </w:pPr>
    </w:p>
    <w:p>
      <w:pPr>
        <w:jc w:val="both"/>
        <w:ind w:right="20"/>
        <w:spacing w:after="0" w:line="262" w:lineRule="auto"/>
        <w:rPr>
          <w:sz w:val="20"/>
          <w:szCs w:val="20"/>
          <w:color w:val="auto"/>
        </w:rPr>
      </w:pPr>
      <w:r>
        <w:rPr>
          <w:rFonts w:ascii="Arial" w:cs="Arial" w:eastAsia="Arial" w:hAnsi="Arial"/>
          <w:sz w:val="18"/>
          <w:szCs w:val="18"/>
          <w:color w:val="auto"/>
        </w:rPr>
        <w:t>Includes approximately 79% investments in U.S. domestic government securities, 13% in emerging market government securities and 8% in international government securities. There are no significant foreign currency risks within this classification.</w:t>
      </w:r>
    </w:p>
    <w:p>
      <w:pPr>
        <w:spacing w:after="0" w:line="142"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auto"/>
        </w:rPr>
        <w:t>Includes limited partnerships that invest primarily in domestic private equity and private income opportunities. The pension plan’s master trust does not have the right to redeem its limited partnership investment at its net asset value, but rather receives distributions as the underlying assets are liquidated. It is estimated that the underlying assets of these funds will be gradually liquidated over the next one to ten years. Additionally, the pension plan’s master trust has future funding commitments of approximately $1.4 billion over the next ten years.</w:t>
      </w:r>
    </w:p>
    <w:p>
      <w:pPr>
        <w:spacing w:after="0" w:line="206" w:lineRule="exact"/>
        <w:rPr>
          <w:sz w:val="20"/>
          <w:szCs w:val="20"/>
          <w:color w:val="auto"/>
        </w:rPr>
      </w:pPr>
    </w:p>
    <w:p>
      <w:pPr>
        <w:jc w:val="center"/>
        <w:ind w:right="640"/>
        <w:spacing w:after="0"/>
        <w:rPr>
          <w:sz w:val="20"/>
          <w:szCs w:val="20"/>
          <w:color w:val="auto"/>
        </w:rPr>
      </w:pPr>
      <w:r>
        <w:rPr>
          <w:rFonts w:ascii="Arial" w:cs="Arial" w:eastAsia="Arial" w:hAnsi="Arial"/>
          <w:sz w:val="18"/>
          <w:szCs w:val="18"/>
          <w:color w:val="auto"/>
        </w:rPr>
        <w:t>146</w:t>
      </w:r>
    </w:p>
    <w:p>
      <w:pPr>
        <w:sectPr>
          <w:pgSz w:w="11900" w:h="16838" w:orient="portrait"/>
          <w:cols w:equalWidth="0" w:num="2">
            <w:col w:w="140" w:space="520"/>
            <w:col w:w="10760"/>
          </w:cols>
          <w:pgMar w:left="240" w:top="549" w:right="239" w:bottom="1440" w:gutter="0" w:footer="0" w:header="0"/>
          <w:type w:val="continuous"/>
        </w:sectPr>
      </w:pPr>
    </w:p>
    <w:bookmarkStart w:id="146" w:name="page147"/>
    <w:bookmarkEnd w:id="146"/>
    <w:p>
      <w:pPr>
        <w:spacing w:after="0" w:line="200" w:lineRule="exact"/>
        <w:rPr>
          <w:sz w:val="20"/>
          <w:szCs w:val="20"/>
          <w:color w:val="auto"/>
        </w:rPr>
      </w:pPr>
    </w:p>
    <w:p>
      <w:pPr>
        <w:spacing w:after="0" w:line="200" w:lineRule="exact"/>
        <w:rPr>
          <w:sz w:val="20"/>
          <w:szCs w:val="20"/>
          <w:color w:val="auto"/>
        </w:rPr>
      </w:pPr>
    </w:p>
    <w:p>
      <w:pPr>
        <w:spacing w:after="0" w:line="214" w:lineRule="exact"/>
        <w:rPr>
          <w:sz w:val="20"/>
          <w:szCs w:val="20"/>
          <w:color w:val="auto"/>
        </w:rPr>
      </w:pPr>
    </w:p>
    <w:p>
      <w:pPr>
        <w:spacing w:after="0"/>
        <w:rPr>
          <w:sz w:val="20"/>
          <w:szCs w:val="20"/>
          <w:color w:val="auto"/>
        </w:rPr>
      </w:pPr>
      <w:r>
        <w:rPr>
          <w:rFonts w:ascii="Arial" w:cs="Arial" w:eastAsia="Arial" w:hAnsi="Arial"/>
          <w:sz w:val="11"/>
          <w:szCs w:val="11"/>
          <w:color w:val="auto"/>
        </w:rPr>
        <w:t>(f)</w:t>
      </w:r>
    </w:p>
    <w:p>
      <w:pPr>
        <w:spacing w:after="0" w:line="200" w:lineRule="exact"/>
        <w:rPr>
          <w:sz w:val="20"/>
          <w:szCs w:val="20"/>
          <w:color w:val="auto"/>
        </w:rPr>
      </w:pPr>
    </w:p>
    <w:p>
      <w:pPr>
        <w:spacing w:after="0" w:line="200" w:lineRule="exact"/>
        <w:rPr>
          <w:sz w:val="20"/>
          <w:szCs w:val="20"/>
          <w:color w:val="auto"/>
        </w:rPr>
      </w:pPr>
    </w:p>
    <w:p>
      <w:pPr>
        <w:spacing w:after="0" w:line="284" w:lineRule="exact"/>
        <w:rPr>
          <w:sz w:val="20"/>
          <w:szCs w:val="20"/>
          <w:color w:val="auto"/>
        </w:rPr>
      </w:pPr>
    </w:p>
    <w:p>
      <w:pPr>
        <w:spacing w:after="0"/>
        <w:rPr>
          <w:sz w:val="20"/>
          <w:szCs w:val="20"/>
          <w:color w:val="auto"/>
        </w:rPr>
      </w:pPr>
      <w:r>
        <w:rPr>
          <w:rFonts w:ascii="Arial" w:cs="Arial" w:eastAsia="Arial" w:hAnsi="Arial"/>
          <w:sz w:val="11"/>
          <w:szCs w:val="11"/>
          <w:color w:val="auto"/>
        </w:rPr>
        <w:t>(g)</w:t>
      </w:r>
    </w:p>
    <w:p>
      <w:pPr>
        <w:spacing w:after="0" w:line="20" w:lineRule="exact"/>
        <w:rPr>
          <w:sz w:val="20"/>
          <w:szCs w:val="20"/>
          <w:color w:val="auto"/>
        </w:rPr>
      </w:pPr>
      <w:r>
        <w:rPr>
          <w:sz w:val="20"/>
          <w:szCs w:val="20"/>
          <w:color w:val="auto"/>
        </w:rPr>
        <w:br w:type="column"/>
      </w:r>
    </w:p>
    <w:p>
      <w:pPr>
        <w:jc w:val="center"/>
        <w:ind w:right="640"/>
        <w:spacing w:after="0"/>
        <w:rPr>
          <w:sz w:val="20"/>
          <w:szCs w:val="20"/>
          <w:color w:val="auto"/>
        </w:rPr>
      </w:pPr>
      <w:r>
        <w:rPr>
          <w:rFonts w:ascii="Arial" w:cs="Arial" w:eastAsia="Arial" w:hAnsi="Arial"/>
          <w:sz w:val="18"/>
          <w:szCs w:val="18"/>
          <w:b w:val="1"/>
          <w:bCs w:val="1"/>
          <w:color w:val="auto"/>
        </w:rPr>
        <w:t>NOTES TO CONSOLIDATED FINANCIAL STATEMENTS OF AMERICAN AIRLINES, INC.</w:t>
      </w:r>
    </w:p>
    <w:p>
      <w:pPr>
        <w:spacing w:after="0" w:line="200" w:lineRule="exact"/>
        <w:rPr>
          <w:sz w:val="20"/>
          <w:szCs w:val="20"/>
          <w:color w:val="auto"/>
        </w:rPr>
      </w:pPr>
    </w:p>
    <w:p>
      <w:pPr>
        <w:spacing w:after="0" w:line="209" w:lineRule="exact"/>
        <w:rPr>
          <w:sz w:val="20"/>
          <w:szCs w:val="20"/>
          <w:color w:val="auto"/>
        </w:rPr>
      </w:pPr>
    </w:p>
    <w:p>
      <w:pPr>
        <w:jc w:val="both"/>
        <w:spacing w:after="0" w:line="256" w:lineRule="auto"/>
        <w:rPr>
          <w:sz w:val="20"/>
          <w:szCs w:val="20"/>
          <w:color w:val="auto"/>
        </w:rPr>
      </w:pPr>
      <w:r>
        <w:rPr>
          <w:rFonts w:ascii="Arial" w:cs="Arial" w:eastAsia="Arial" w:hAnsi="Arial"/>
          <w:sz w:val="18"/>
          <w:szCs w:val="18"/>
          <w:color w:val="auto"/>
        </w:rPr>
        <w:t>Certain investments that are measured using net asset value per share (or its equivalent) as a practical expedient for fair value have not been classified in the fair value hierarchy. The fair value amounts presented in this table are intended to permit reconciliation of the fair value hierarchy to the amounts presented in the notes to the consolidated financial statements.</w:t>
      </w:r>
    </w:p>
    <w:p>
      <w:pPr>
        <w:spacing w:after="0" w:line="148"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auto"/>
        </w:rPr>
        <w:t>Investment includes 36% in a common/collective trust investing in securities of larger companies within the U.S., 29% in a common/collective trust investing in securities of smaller companies located outside the U.S., 16% in a collective interest trust investing primarily in short-term securities, 15% in an emerging market 103-12 Investment Trust with investments in emerging country equity securities and 4% in Canadian segregated balanced value, income growth and diversified pooled funds. For some trusts, requests for withdrawals must meet specific requirements with advance notice of redemption preferred.</w:t>
      </w:r>
    </w:p>
    <w:p>
      <w:pPr>
        <w:spacing w:after="0" w:line="139" w:lineRule="exact"/>
        <w:rPr>
          <w:sz w:val="20"/>
          <w:szCs w:val="20"/>
          <w:color w:val="auto"/>
        </w:rPr>
      </w:pPr>
    </w:p>
    <w:p>
      <w:pPr>
        <w:sectPr>
          <w:pgSz w:w="11900" w:h="16838" w:orient="portrait"/>
          <w:cols w:equalWidth="0" w:num="2">
            <w:col w:w="140" w:space="520"/>
            <w:col w:w="10760"/>
          </w:cols>
          <w:pgMar w:left="240" w:top="549" w:right="239" w:bottom="1440" w:gutter="0" w:footer="0" w:header="0"/>
        </w:sectPr>
      </w:pPr>
    </w:p>
    <w:tbl>
      <w:tblPr>
        <w:tblLayout w:type="fixed"/>
        <w:tblInd w:w="0" w:type="dxa"/>
        <w:tblCellMar>
          <w:top w:w="0" w:type="dxa"/>
          <w:left w:w="0" w:type="dxa"/>
          <w:bottom w:w="0" w:type="dxa"/>
          <w:right w:w="0" w:type="dxa"/>
        </w:tblCellMar>
      </w:tblPr>
      <w:tr>
        <w:trPr>
          <w:trHeight w:val="196"/>
        </w:trPr>
        <w:tc>
          <w:tcPr>
            <w:tcW w:w="4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4360" w:type="dxa"/>
            <w:vAlign w:val="bottom"/>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4580" w:type="dxa"/>
            <w:vAlign w:val="bottom"/>
            <w:tcBorders>
              <w:bottom w:val="single" w:sz="8" w:color="auto"/>
            </w:tcBorders>
            <w:gridSpan w:val="9"/>
          </w:tcPr>
          <w:p>
            <w:pPr>
              <w:ind w:left="1140"/>
              <w:spacing w:after="0"/>
              <w:rPr>
                <w:sz w:val="20"/>
                <w:szCs w:val="20"/>
                <w:color w:val="auto"/>
              </w:rPr>
            </w:pPr>
            <w:r>
              <w:rPr>
                <w:rFonts w:ascii="Arial" w:cs="Arial" w:eastAsia="Arial" w:hAnsi="Arial"/>
                <w:sz w:val="14"/>
                <w:szCs w:val="14"/>
                <w:b w:val="1"/>
                <w:bCs w:val="1"/>
                <w:color w:val="auto"/>
              </w:rPr>
              <w:t>Fair Value Measurements as of December 31, 2018</w:t>
            </w:r>
          </w:p>
        </w:tc>
        <w:tc>
          <w:tcPr>
            <w:tcW w:w="260" w:type="dxa"/>
            <w:vAlign w:val="bottom"/>
            <w:tcBorders>
              <w:bottom w:val="single" w:sz="8" w:color="auto"/>
            </w:tcBorders>
          </w:tcPr>
          <w:p>
            <w:pPr>
              <w:spacing w:after="0"/>
              <w:rPr>
                <w:sz w:val="17"/>
                <w:szCs w:val="17"/>
                <w:color w:val="auto"/>
              </w:rPr>
            </w:pPr>
          </w:p>
        </w:tc>
        <w:tc>
          <w:tcPr>
            <w:tcW w:w="980" w:type="dxa"/>
            <w:vAlign w:val="bottom"/>
            <w:tcBorders>
              <w:bottom w:val="single" w:sz="8" w:color="auto"/>
            </w:tcBorders>
          </w:tcPr>
          <w:p>
            <w:pPr>
              <w:spacing w:after="0"/>
              <w:rPr>
                <w:sz w:val="17"/>
                <w:szCs w:val="17"/>
                <w:color w:val="auto"/>
              </w:rPr>
            </w:pPr>
          </w:p>
        </w:tc>
      </w:tr>
      <w:tr>
        <w:trPr>
          <w:trHeight w:val="175"/>
        </w:trPr>
        <w:tc>
          <w:tcPr>
            <w:tcW w:w="4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43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58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rPr>
              <w:t>Quoted Prices in</w:t>
            </w:r>
          </w:p>
        </w:tc>
        <w:tc>
          <w:tcPr>
            <w:tcW w:w="220" w:type="dxa"/>
            <w:vAlign w:val="bottom"/>
          </w:tcPr>
          <w:p>
            <w:pPr>
              <w:spacing w:after="0"/>
              <w:rPr>
                <w:sz w:val="15"/>
                <w:szCs w:val="15"/>
                <w:color w:val="auto"/>
              </w:rPr>
            </w:pPr>
          </w:p>
        </w:tc>
        <w:tc>
          <w:tcPr>
            <w:tcW w:w="1260" w:type="dxa"/>
            <w:vAlign w:val="bottom"/>
            <w:gridSpan w:val="2"/>
          </w:tcPr>
          <w:p>
            <w:pPr>
              <w:jc w:val="center"/>
              <w:ind w:right="320"/>
              <w:spacing w:after="0"/>
              <w:rPr>
                <w:sz w:val="20"/>
                <w:szCs w:val="20"/>
                <w:color w:val="auto"/>
              </w:rPr>
            </w:pPr>
            <w:r>
              <w:rPr>
                <w:rFonts w:ascii="Arial" w:cs="Arial" w:eastAsia="Arial" w:hAnsi="Arial"/>
                <w:sz w:val="14"/>
                <w:szCs w:val="14"/>
                <w:b w:val="1"/>
                <w:bCs w:val="1"/>
                <w:color w:val="auto"/>
              </w:rPr>
              <w:t>Significant</w:t>
            </w:r>
          </w:p>
        </w:tc>
        <w:tc>
          <w:tcPr>
            <w:tcW w:w="180" w:type="dxa"/>
            <w:vAlign w:val="bottom"/>
          </w:tcPr>
          <w:p>
            <w:pPr>
              <w:spacing w:after="0"/>
              <w:rPr>
                <w:sz w:val="15"/>
                <w:szCs w:val="15"/>
                <w:color w:val="auto"/>
              </w:rPr>
            </w:pPr>
          </w:p>
        </w:tc>
        <w:tc>
          <w:tcPr>
            <w:tcW w:w="1340" w:type="dxa"/>
            <w:vAlign w:val="bottom"/>
            <w:gridSpan w:val="3"/>
          </w:tcPr>
          <w:p>
            <w:pPr>
              <w:jc w:val="center"/>
              <w:ind w:right="320"/>
              <w:spacing w:after="0"/>
              <w:rPr>
                <w:sz w:val="20"/>
                <w:szCs w:val="20"/>
                <w:color w:val="auto"/>
              </w:rPr>
            </w:pPr>
            <w:r>
              <w:rPr>
                <w:rFonts w:ascii="Arial" w:cs="Arial" w:eastAsia="Arial" w:hAnsi="Arial"/>
                <w:sz w:val="14"/>
                <w:szCs w:val="14"/>
                <w:b w:val="1"/>
                <w:bCs w:val="1"/>
                <w:color w:val="auto"/>
              </w:rPr>
              <w:t>Significant</w:t>
            </w:r>
          </w:p>
        </w:tc>
        <w:tc>
          <w:tcPr>
            <w:tcW w:w="260" w:type="dxa"/>
            <w:vAlign w:val="bottom"/>
          </w:tcPr>
          <w:p>
            <w:pPr>
              <w:spacing w:after="0"/>
              <w:rPr>
                <w:sz w:val="15"/>
                <w:szCs w:val="15"/>
                <w:color w:val="auto"/>
              </w:rPr>
            </w:pPr>
          </w:p>
        </w:tc>
        <w:tc>
          <w:tcPr>
            <w:tcW w:w="980" w:type="dxa"/>
            <w:vAlign w:val="bottom"/>
          </w:tcPr>
          <w:p>
            <w:pPr>
              <w:spacing w:after="0"/>
              <w:rPr>
                <w:sz w:val="15"/>
                <w:szCs w:val="15"/>
                <w:color w:val="auto"/>
              </w:rPr>
            </w:pPr>
          </w:p>
        </w:tc>
      </w:tr>
      <w:tr>
        <w:trPr>
          <w:trHeight w:val="162"/>
        </w:trPr>
        <w:tc>
          <w:tcPr>
            <w:tcW w:w="4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43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58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rPr>
              <w:t>Active Markets</w:t>
            </w:r>
          </w:p>
        </w:tc>
        <w:tc>
          <w:tcPr>
            <w:tcW w:w="220" w:type="dxa"/>
            <w:vAlign w:val="bottom"/>
          </w:tcPr>
          <w:p>
            <w:pPr>
              <w:spacing w:after="0"/>
              <w:rPr>
                <w:sz w:val="14"/>
                <w:szCs w:val="14"/>
                <w:color w:val="auto"/>
              </w:rPr>
            </w:pPr>
          </w:p>
        </w:tc>
        <w:tc>
          <w:tcPr>
            <w:tcW w:w="1260" w:type="dxa"/>
            <w:vAlign w:val="bottom"/>
            <w:gridSpan w:val="2"/>
          </w:tcPr>
          <w:p>
            <w:pPr>
              <w:jc w:val="center"/>
              <w:ind w:right="320"/>
              <w:spacing w:after="0"/>
              <w:rPr>
                <w:sz w:val="20"/>
                <w:szCs w:val="20"/>
                <w:color w:val="auto"/>
              </w:rPr>
            </w:pPr>
            <w:r>
              <w:rPr>
                <w:rFonts w:ascii="Arial" w:cs="Arial" w:eastAsia="Arial" w:hAnsi="Arial"/>
                <w:sz w:val="14"/>
                <w:szCs w:val="14"/>
                <w:b w:val="1"/>
                <w:bCs w:val="1"/>
                <w:color w:val="auto"/>
              </w:rPr>
              <w:t>Observable</w:t>
            </w:r>
          </w:p>
        </w:tc>
        <w:tc>
          <w:tcPr>
            <w:tcW w:w="180" w:type="dxa"/>
            <w:vAlign w:val="bottom"/>
          </w:tcPr>
          <w:p>
            <w:pPr>
              <w:spacing w:after="0"/>
              <w:rPr>
                <w:sz w:val="14"/>
                <w:szCs w:val="14"/>
                <w:color w:val="auto"/>
              </w:rPr>
            </w:pPr>
          </w:p>
        </w:tc>
        <w:tc>
          <w:tcPr>
            <w:tcW w:w="1340" w:type="dxa"/>
            <w:vAlign w:val="bottom"/>
            <w:gridSpan w:val="3"/>
          </w:tcPr>
          <w:p>
            <w:pPr>
              <w:jc w:val="center"/>
              <w:ind w:right="320"/>
              <w:spacing w:after="0"/>
              <w:rPr>
                <w:sz w:val="20"/>
                <w:szCs w:val="20"/>
                <w:color w:val="auto"/>
              </w:rPr>
            </w:pPr>
            <w:r>
              <w:rPr>
                <w:rFonts w:ascii="Arial" w:cs="Arial" w:eastAsia="Arial" w:hAnsi="Arial"/>
                <w:sz w:val="14"/>
                <w:szCs w:val="14"/>
                <w:b w:val="1"/>
                <w:bCs w:val="1"/>
                <w:color w:val="auto"/>
              </w:rPr>
              <w:t>Unobservable</w:t>
            </w:r>
          </w:p>
        </w:tc>
        <w:tc>
          <w:tcPr>
            <w:tcW w:w="260" w:type="dxa"/>
            <w:vAlign w:val="bottom"/>
          </w:tcPr>
          <w:p>
            <w:pPr>
              <w:spacing w:after="0"/>
              <w:rPr>
                <w:sz w:val="14"/>
                <w:szCs w:val="14"/>
                <w:color w:val="auto"/>
              </w:rPr>
            </w:pPr>
          </w:p>
        </w:tc>
        <w:tc>
          <w:tcPr>
            <w:tcW w:w="980" w:type="dxa"/>
            <w:vAlign w:val="bottom"/>
          </w:tcPr>
          <w:p>
            <w:pPr>
              <w:spacing w:after="0"/>
              <w:rPr>
                <w:sz w:val="14"/>
                <w:szCs w:val="14"/>
                <w:color w:val="auto"/>
              </w:rPr>
            </w:pPr>
          </w:p>
        </w:tc>
      </w:tr>
      <w:tr>
        <w:trPr>
          <w:trHeight w:val="162"/>
        </w:trPr>
        <w:tc>
          <w:tcPr>
            <w:tcW w:w="4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43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58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rPr>
              <w:t>for Identical Assets</w:t>
            </w:r>
          </w:p>
        </w:tc>
        <w:tc>
          <w:tcPr>
            <w:tcW w:w="220" w:type="dxa"/>
            <w:vAlign w:val="bottom"/>
          </w:tcPr>
          <w:p>
            <w:pPr>
              <w:spacing w:after="0"/>
              <w:rPr>
                <w:sz w:val="14"/>
                <w:szCs w:val="14"/>
                <w:color w:val="auto"/>
              </w:rPr>
            </w:pPr>
          </w:p>
        </w:tc>
        <w:tc>
          <w:tcPr>
            <w:tcW w:w="1260" w:type="dxa"/>
            <w:vAlign w:val="bottom"/>
            <w:gridSpan w:val="2"/>
          </w:tcPr>
          <w:p>
            <w:pPr>
              <w:jc w:val="center"/>
              <w:ind w:right="320"/>
              <w:spacing w:after="0"/>
              <w:rPr>
                <w:sz w:val="20"/>
                <w:szCs w:val="20"/>
                <w:color w:val="auto"/>
              </w:rPr>
            </w:pPr>
            <w:r>
              <w:rPr>
                <w:rFonts w:ascii="Arial" w:cs="Arial" w:eastAsia="Arial" w:hAnsi="Arial"/>
                <w:sz w:val="14"/>
                <w:szCs w:val="14"/>
                <w:b w:val="1"/>
                <w:bCs w:val="1"/>
                <w:color w:val="auto"/>
                <w:w w:val="99"/>
              </w:rPr>
              <w:t>Inputs</w:t>
            </w:r>
          </w:p>
        </w:tc>
        <w:tc>
          <w:tcPr>
            <w:tcW w:w="180" w:type="dxa"/>
            <w:vAlign w:val="bottom"/>
          </w:tcPr>
          <w:p>
            <w:pPr>
              <w:spacing w:after="0"/>
              <w:rPr>
                <w:sz w:val="14"/>
                <w:szCs w:val="14"/>
                <w:color w:val="auto"/>
              </w:rPr>
            </w:pPr>
          </w:p>
        </w:tc>
        <w:tc>
          <w:tcPr>
            <w:tcW w:w="1340" w:type="dxa"/>
            <w:vAlign w:val="bottom"/>
            <w:gridSpan w:val="3"/>
          </w:tcPr>
          <w:p>
            <w:pPr>
              <w:jc w:val="center"/>
              <w:ind w:right="320"/>
              <w:spacing w:after="0"/>
              <w:rPr>
                <w:sz w:val="20"/>
                <w:szCs w:val="20"/>
                <w:color w:val="auto"/>
              </w:rPr>
            </w:pPr>
            <w:r>
              <w:rPr>
                <w:rFonts w:ascii="Arial" w:cs="Arial" w:eastAsia="Arial" w:hAnsi="Arial"/>
                <w:sz w:val="14"/>
                <w:szCs w:val="14"/>
                <w:b w:val="1"/>
                <w:bCs w:val="1"/>
                <w:color w:val="auto"/>
                <w:w w:val="99"/>
              </w:rPr>
              <w:t>Inputs</w:t>
            </w:r>
          </w:p>
        </w:tc>
        <w:tc>
          <w:tcPr>
            <w:tcW w:w="260" w:type="dxa"/>
            <w:vAlign w:val="bottom"/>
          </w:tcPr>
          <w:p>
            <w:pPr>
              <w:spacing w:after="0"/>
              <w:rPr>
                <w:sz w:val="14"/>
                <w:szCs w:val="14"/>
                <w:color w:val="auto"/>
              </w:rPr>
            </w:pPr>
          </w:p>
        </w:tc>
        <w:tc>
          <w:tcPr>
            <w:tcW w:w="980" w:type="dxa"/>
            <w:vAlign w:val="bottom"/>
          </w:tcPr>
          <w:p>
            <w:pPr>
              <w:spacing w:after="0"/>
              <w:rPr>
                <w:sz w:val="14"/>
                <w:szCs w:val="14"/>
                <w:color w:val="auto"/>
              </w:rPr>
            </w:pPr>
          </w:p>
        </w:tc>
      </w:tr>
      <w:tr>
        <w:trPr>
          <w:trHeight w:val="162"/>
        </w:trPr>
        <w:tc>
          <w:tcPr>
            <w:tcW w:w="5460" w:type="dxa"/>
            <w:vAlign w:val="bottom"/>
            <w:gridSpan w:val="3"/>
          </w:tcPr>
          <w:p>
            <w:pPr>
              <w:ind w:left="40"/>
              <w:spacing w:after="0"/>
              <w:rPr>
                <w:sz w:val="20"/>
                <w:szCs w:val="20"/>
                <w:color w:val="auto"/>
              </w:rPr>
            </w:pPr>
            <w:r>
              <w:rPr>
                <w:rFonts w:ascii="Arial" w:cs="Arial" w:eastAsia="Arial" w:hAnsi="Arial"/>
                <w:sz w:val="14"/>
                <w:szCs w:val="14"/>
                <w:b w:val="1"/>
                <w:bCs w:val="1"/>
                <w:color w:val="auto"/>
              </w:rPr>
              <w:t>Asset Category</w:t>
            </w:r>
          </w:p>
        </w:tc>
        <w:tc>
          <w:tcPr>
            <w:tcW w:w="140" w:type="dxa"/>
            <w:vAlign w:val="bottom"/>
          </w:tcPr>
          <w:p>
            <w:pPr>
              <w:spacing w:after="0"/>
              <w:rPr>
                <w:sz w:val="14"/>
                <w:szCs w:val="14"/>
                <w:color w:val="auto"/>
              </w:rPr>
            </w:pPr>
          </w:p>
        </w:tc>
        <w:tc>
          <w:tcPr>
            <w:tcW w:w="158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rPr>
              <w:t>(Level 1)</w:t>
            </w:r>
          </w:p>
        </w:tc>
        <w:tc>
          <w:tcPr>
            <w:tcW w:w="220" w:type="dxa"/>
            <w:vAlign w:val="bottom"/>
          </w:tcPr>
          <w:p>
            <w:pPr>
              <w:spacing w:after="0"/>
              <w:rPr>
                <w:sz w:val="14"/>
                <w:szCs w:val="14"/>
                <w:color w:val="auto"/>
              </w:rPr>
            </w:pPr>
          </w:p>
        </w:tc>
        <w:tc>
          <w:tcPr>
            <w:tcW w:w="1260" w:type="dxa"/>
            <w:vAlign w:val="bottom"/>
            <w:gridSpan w:val="2"/>
          </w:tcPr>
          <w:p>
            <w:pPr>
              <w:jc w:val="center"/>
              <w:ind w:right="320"/>
              <w:spacing w:after="0"/>
              <w:rPr>
                <w:sz w:val="20"/>
                <w:szCs w:val="20"/>
                <w:color w:val="auto"/>
              </w:rPr>
            </w:pPr>
            <w:r>
              <w:rPr>
                <w:rFonts w:ascii="Arial" w:cs="Arial" w:eastAsia="Arial" w:hAnsi="Arial"/>
                <w:sz w:val="14"/>
                <w:szCs w:val="14"/>
                <w:b w:val="1"/>
                <w:bCs w:val="1"/>
                <w:color w:val="auto"/>
              </w:rPr>
              <w:t>(Level 2)</w:t>
            </w:r>
          </w:p>
        </w:tc>
        <w:tc>
          <w:tcPr>
            <w:tcW w:w="180" w:type="dxa"/>
            <w:vAlign w:val="bottom"/>
          </w:tcPr>
          <w:p>
            <w:pPr>
              <w:spacing w:after="0"/>
              <w:rPr>
                <w:sz w:val="14"/>
                <w:szCs w:val="14"/>
                <w:color w:val="auto"/>
              </w:rPr>
            </w:pPr>
          </w:p>
        </w:tc>
        <w:tc>
          <w:tcPr>
            <w:tcW w:w="1340" w:type="dxa"/>
            <w:vAlign w:val="bottom"/>
            <w:gridSpan w:val="3"/>
          </w:tcPr>
          <w:p>
            <w:pPr>
              <w:jc w:val="center"/>
              <w:ind w:right="320"/>
              <w:spacing w:after="0"/>
              <w:rPr>
                <w:sz w:val="20"/>
                <w:szCs w:val="20"/>
                <w:color w:val="auto"/>
              </w:rPr>
            </w:pPr>
            <w:r>
              <w:rPr>
                <w:rFonts w:ascii="Arial" w:cs="Arial" w:eastAsia="Arial" w:hAnsi="Arial"/>
                <w:sz w:val="14"/>
                <w:szCs w:val="14"/>
                <w:b w:val="1"/>
                <w:bCs w:val="1"/>
                <w:color w:val="auto"/>
              </w:rPr>
              <w:t>(Level 3)</w:t>
            </w:r>
          </w:p>
        </w:tc>
        <w:tc>
          <w:tcPr>
            <w:tcW w:w="260" w:type="dxa"/>
            <w:vAlign w:val="bottom"/>
          </w:tcPr>
          <w:p>
            <w:pPr>
              <w:spacing w:after="0"/>
              <w:rPr>
                <w:sz w:val="14"/>
                <w:szCs w:val="14"/>
                <w:color w:val="auto"/>
              </w:rPr>
            </w:pPr>
          </w:p>
        </w:tc>
        <w:tc>
          <w:tcPr>
            <w:tcW w:w="980" w:type="dxa"/>
            <w:vAlign w:val="bottom"/>
          </w:tcPr>
          <w:p>
            <w:pPr>
              <w:jc w:val="right"/>
              <w:ind w:right="371"/>
              <w:spacing w:after="0"/>
              <w:rPr>
                <w:sz w:val="20"/>
                <w:szCs w:val="20"/>
                <w:color w:val="auto"/>
              </w:rPr>
            </w:pPr>
            <w:r>
              <w:rPr>
                <w:rFonts w:ascii="Arial" w:cs="Arial" w:eastAsia="Arial" w:hAnsi="Arial"/>
                <w:sz w:val="14"/>
                <w:szCs w:val="14"/>
                <w:b w:val="1"/>
                <w:bCs w:val="1"/>
                <w:color w:val="auto"/>
              </w:rPr>
              <w:t>Total</w:t>
            </w:r>
          </w:p>
        </w:tc>
      </w:tr>
      <w:tr>
        <w:trPr>
          <w:trHeight w:val="21"/>
        </w:trPr>
        <w:tc>
          <w:tcPr>
            <w:tcW w:w="40" w:type="dxa"/>
            <w:vAlign w:val="bottom"/>
            <w:tcBorders>
              <w:bottom w:val="single" w:sz="8" w:color="CCEEFF"/>
            </w:tcBorders>
          </w:tcPr>
          <w:p>
            <w:pPr>
              <w:spacing w:after="0" w:line="20" w:lineRule="exact"/>
              <w:rPr>
                <w:sz w:val="1"/>
                <w:szCs w:val="1"/>
                <w:color w:val="auto"/>
              </w:rPr>
            </w:pPr>
          </w:p>
        </w:tc>
        <w:tc>
          <w:tcPr>
            <w:tcW w:w="1060" w:type="dxa"/>
            <w:vAlign w:val="bottom"/>
            <w:tcBorders>
              <w:top w:val="single" w:sz="8" w:color="auto"/>
              <w:bottom w:val="single" w:sz="8" w:color="CCEEFF"/>
            </w:tcBorders>
          </w:tcPr>
          <w:p>
            <w:pPr>
              <w:spacing w:after="0" w:line="20" w:lineRule="exact"/>
              <w:rPr>
                <w:sz w:val="1"/>
                <w:szCs w:val="1"/>
                <w:color w:val="auto"/>
              </w:rPr>
            </w:pPr>
          </w:p>
        </w:tc>
        <w:tc>
          <w:tcPr>
            <w:tcW w:w="436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4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r>
      <w:tr>
        <w:trPr>
          <w:trHeight w:val="250"/>
        </w:trPr>
        <w:tc>
          <w:tcPr>
            <w:tcW w:w="5460" w:type="dxa"/>
            <w:vAlign w:val="bottom"/>
            <w:gridSpan w:val="3"/>
            <w:shd w:val="clear" w:color="auto" w:fill="CCEEFF"/>
          </w:tcPr>
          <w:p>
            <w:pPr>
              <w:ind w:left="40"/>
              <w:spacing w:after="0"/>
              <w:rPr>
                <w:sz w:val="20"/>
                <w:szCs w:val="20"/>
                <w:color w:val="auto"/>
              </w:rPr>
            </w:pPr>
            <w:r>
              <w:rPr>
                <w:rFonts w:ascii="Arial" w:cs="Arial" w:eastAsia="Arial" w:hAnsi="Arial"/>
                <w:sz w:val="18"/>
                <w:szCs w:val="18"/>
                <w:color w:val="auto"/>
              </w:rPr>
              <w:t>Cash and cash equivalents</w:t>
            </w: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480" w:type="dxa"/>
            <w:vAlign w:val="bottom"/>
            <w:shd w:val="clear" w:color="auto" w:fill="CCEEFF"/>
          </w:tcPr>
          <w:p>
            <w:pPr>
              <w:jc w:val="right"/>
              <w:ind w:right="34"/>
              <w:spacing w:after="0"/>
              <w:rPr>
                <w:sz w:val="20"/>
                <w:szCs w:val="20"/>
                <w:color w:val="auto"/>
              </w:rPr>
            </w:pPr>
            <w:r>
              <w:rPr>
                <w:rFonts w:ascii="Arial" w:cs="Arial" w:eastAsia="Arial" w:hAnsi="Arial"/>
                <w:sz w:val="18"/>
                <w:szCs w:val="18"/>
                <w:color w:val="auto"/>
              </w:rPr>
              <w:t>23</w:t>
            </w:r>
          </w:p>
        </w:tc>
        <w:tc>
          <w:tcPr>
            <w:tcW w:w="100" w:type="dxa"/>
            <w:vAlign w:val="bottom"/>
            <w:shd w:val="clear" w:color="auto" w:fill="CCEEFF"/>
          </w:tcPr>
          <w:p>
            <w:pPr>
              <w:spacing w:after="0"/>
              <w:rPr>
                <w:sz w:val="21"/>
                <w:szCs w:val="21"/>
                <w:color w:val="auto"/>
              </w:rPr>
            </w:pPr>
          </w:p>
        </w:tc>
        <w:tc>
          <w:tcPr>
            <w:tcW w:w="2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2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340" w:type="dxa"/>
            <w:vAlign w:val="bottom"/>
            <w:gridSpan w:val="3"/>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26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98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23</w:t>
            </w:r>
          </w:p>
        </w:tc>
      </w:tr>
      <w:tr>
        <w:trPr>
          <w:trHeight w:val="243"/>
        </w:trPr>
        <w:tc>
          <w:tcPr>
            <w:tcW w:w="5460" w:type="dxa"/>
            <w:vAlign w:val="bottom"/>
            <w:gridSpan w:val="3"/>
          </w:tcPr>
          <w:p>
            <w:pPr>
              <w:ind w:left="40"/>
              <w:spacing w:after="0"/>
              <w:rPr>
                <w:sz w:val="20"/>
                <w:szCs w:val="20"/>
                <w:color w:val="auto"/>
              </w:rPr>
            </w:pPr>
            <w:r>
              <w:rPr>
                <w:rFonts w:ascii="Arial" w:cs="Arial" w:eastAsia="Arial" w:hAnsi="Arial"/>
                <w:sz w:val="18"/>
                <w:szCs w:val="18"/>
                <w:color w:val="auto"/>
              </w:rPr>
              <w:t>Equity securities:</w:t>
            </w:r>
          </w:p>
        </w:tc>
        <w:tc>
          <w:tcPr>
            <w:tcW w:w="140" w:type="dxa"/>
            <w:vAlign w:val="bottom"/>
          </w:tcPr>
          <w:p>
            <w:pPr>
              <w:spacing w:after="0"/>
              <w:rPr>
                <w:sz w:val="21"/>
                <w:szCs w:val="21"/>
                <w:color w:val="auto"/>
              </w:rPr>
            </w:pPr>
          </w:p>
        </w:tc>
        <w:tc>
          <w:tcPr>
            <w:tcW w:w="14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1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2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980" w:type="dxa"/>
            <w:vAlign w:val="bottom"/>
          </w:tcPr>
          <w:p>
            <w:pPr>
              <w:spacing w:after="0"/>
              <w:rPr>
                <w:sz w:val="21"/>
                <w:szCs w:val="21"/>
                <w:color w:val="auto"/>
              </w:rPr>
            </w:pPr>
          </w:p>
        </w:tc>
      </w:tr>
      <w:tr>
        <w:trPr>
          <w:trHeight w:val="27"/>
        </w:trPr>
        <w:tc>
          <w:tcPr>
            <w:tcW w:w="40" w:type="dxa"/>
            <w:vAlign w:val="bottom"/>
          </w:tcPr>
          <w:p>
            <w:pPr>
              <w:spacing w:after="0"/>
              <w:rPr>
                <w:sz w:val="2"/>
                <w:szCs w:val="2"/>
                <w:color w:val="auto"/>
              </w:rPr>
            </w:pPr>
          </w:p>
        </w:tc>
        <w:tc>
          <w:tcPr>
            <w:tcW w:w="1060" w:type="dxa"/>
            <w:vAlign w:val="bottom"/>
          </w:tcPr>
          <w:p>
            <w:pPr>
              <w:spacing w:after="0"/>
              <w:rPr>
                <w:sz w:val="2"/>
                <w:szCs w:val="2"/>
                <w:color w:val="auto"/>
              </w:rPr>
            </w:pPr>
          </w:p>
        </w:tc>
        <w:tc>
          <w:tcPr>
            <w:tcW w:w="4360" w:type="dxa"/>
            <w:vAlign w:val="bottom"/>
          </w:tcPr>
          <w:p>
            <w:pPr>
              <w:spacing w:after="0"/>
              <w:rPr>
                <w:sz w:val="2"/>
                <w:szCs w:val="2"/>
                <w:color w:val="auto"/>
              </w:rPr>
            </w:pPr>
          </w:p>
        </w:tc>
        <w:tc>
          <w:tcPr>
            <w:tcW w:w="140" w:type="dxa"/>
            <w:vAlign w:val="bottom"/>
          </w:tcPr>
          <w:p>
            <w:pPr>
              <w:spacing w:after="0"/>
              <w:rPr>
                <w:sz w:val="2"/>
                <w:szCs w:val="2"/>
                <w:color w:val="auto"/>
              </w:rPr>
            </w:pPr>
          </w:p>
        </w:tc>
        <w:tc>
          <w:tcPr>
            <w:tcW w:w="14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 w:type="dxa"/>
            <w:vAlign w:val="bottom"/>
          </w:tcPr>
          <w:p>
            <w:pPr>
              <w:spacing w:after="0"/>
              <w:rPr>
                <w:sz w:val="2"/>
                <w:szCs w:val="2"/>
                <w:color w:val="auto"/>
              </w:rPr>
            </w:pPr>
          </w:p>
        </w:tc>
        <w:tc>
          <w:tcPr>
            <w:tcW w:w="260" w:type="dxa"/>
            <w:vAlign w:val="bottom"/>
          </w:tcPr>
          <w:p>
            <w:pPr>
              <w:spacing w:after="0"/>
              <w:rPr>
                <w:sz w:val="2"/>
                <w:szCs w:val="2"/>
                <w:color w:val="auto"/>
              </w:rPr>
            </w:pPr>
          </w:p>
        </w:tc>
        <w:tc>
          <w:tcPr>
            <w:tcW w:w="980" w:type="dxa"/>
            <w:vAlign w:val="bottom"/>
          </w:tcPr>
          <w:p>
            <w:pPr>
              <w:spacing w:after="0"/>
              <w:rPr>
                <w:sz w:val="2"/>
                <w:szCs w:val="2"/>
                <w:color w:val="auto"/>
              </w:rPr>
            </w:pPr>
          </w:p>
        </w:tc>
      </w:tr>
      <w:tr>
        <w:trPr>
          <w:trHeight w:val="270"/>
        </w:trPr>
        <w:tc>
          <w:tcPr>
            <w:tcW w:w="40" w:type="dxa"/>
            <w:vAlign w:val="bottom"/>
            <w:shd w:val="clear" w:color="auto" w:fill="CCEEFF"/>
          </w:tcPr>
          <w:p>
            <w:pPr>
              <w:spacing w:after="0"/>
              <w:rPr>
                <w:sz w:val="23"/>
                <w:szCs w:val="23"/>
                <w:color w:val="auto"/>
              </w:rPr>
            </w:pPr>
          </w:p>
        </w:tc>
        <w:tc>
          <w:tcPr>
            <w:tcW w:w="5420" w:type="dxa"/>
            <w:vAlign w:val="bottom"/>
            <w:gridSpan w:val="2"/>
            <w:shd w:val="clear" w:color="auto" w:fill="CCEEFF"/>
          </w:tcPr>
          <w:p>
            <w:pPr>
              <w:ind w:left="340"/>
              <w:spacing w:after="0"/>
              <w:rPr>
                <w:sz w:val="20"/>
                <w:szCs w:val="20"/>
                <w:color w:val="auto"/>
              </w:rPr>
            </w:pPr>
            <w:r>
              <w:rPr>
                <w:rFonts w:ascii="Arial" w:cs="Arial" w:eastAsia="Arial" w:hAnsi="Arial"/>
                <w:sz w:val="18"/>
                <w:szCs w:val="18"/>
                <w:color w:val="auto"/>
              </w:rPr>
              <w:t xml:space="preserve">International markets </w:t>
            </w:r>
            <w:r>
              <w:rPr>
                <w:rFonts w:ascii="Arial" w:cs="Arial" w:eastAsia="Arial" w:hAnsi="Arial"/>
                <w:sz w:val="21"/>
                <w:szCs w:val="21"/>
                <w:color w:val="auto"/>
                <w:vertAlign w:val="superscript"/>
              </w:rPr>
              <w:t>(a), (b)</w:t>
            </w:r>
          </w:p>
        </w:tc>
        <w:tc>
          <w:tcPr>
            <w:tcW w:w="140" w:type="dxa"/>
            <w:vAlign w:val="bottom"/>
            <w:shd w:val="clear" w:color="auto" w:fill="CCEEFF"/>
          </w:tcPr>
          <w:p>
            <w:pPr>
              <w:spacing w:after="0"/>
              <w:rPr>
                <w:sz w:val="23"/>
                <w:szCs w:val="23"/>
                <w:color w:val="auto"/>
              </w:rPr>
            </w:pPr>
          </w:p>
        </w:tc>
        <w:tc>
          <w:tcPr>
            <w:tcW w:w="1480" w:type="dxa"/>
            <w:vAlign w:val="bottom"/>
            <w:shd w:val="clear" w:color="auto" w:fill="CCEEFF"/>
          </w:tcPr>
          <w:p>
            <w:pPr>
              <w:jc w:val="right"/>
              <w:ind w:right="34"/>
              <w:spacing w:after="0"/>
              <w:rPr>
                <w:sz w:val="20"/>
                <w:szCs w:val="20"/>
                <w:color w:val="auto"/>
              </w:rPr>
            </w:pPr>
            <w:r>
              <w:rPr>
                <w:rFonts w:ascii="Arial" w:cs="Arial" w:eastAsia="Arial" w:hAnsi="Arial"/>
                <w:sz w:val="18"/>
                <w:szCs w:val="18"/>
                <w:color w:val="auto"/>
              </w:rPr>
              <w:t>3,181</w:t>
            </w:r>
          </w:p>
        </w:tc>
        <w:tc>
          <w:tcPr>
            <w:tcW w:w="100" w:type="dxa"/>
            <w:vAlign w:val="bottom"/>
            <w:shd w:val="clear" w:color="auto" w:fill="CCEEFF"/>
          </w:tcPr>
          <w:p>
            <w:pPr>
              <w:spacing w:after="0"/>
              <w:rPr>
                <w:sz w:val="23"/>
                <w:szCs w:val="23"/>
                <w:color w:val="auto"/>
              </w:rPr>
            </w:pPr>
          </w:p>
        </w:tc>
        <w:tc>
          <w:tcPr>
            <w:tcW w:w="220" w:type="dxa"/>
            <w:vAlign w:val="bottom"/>
            <w:shd w:val="clear" w:color="auto" w:fill="CCEEFF"/>
          </w:tcPr>
          <w:p>
            <w:pPr>
              <w:spacing w:after="0"/>
              <w:rPr>
                <w:sz w:val="23"/>
                <w:szCs w:val="23"/>
                <w:color w:val="auto"/>
              </w:rPr>
            </w:pPr>
          </w:p>
        </w:tc>
        <w:tc>
          <w:tcPr>
            <w:tcW w:w="12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23"/>
                <w:szCs w:val="23"/>
                <w:color w:val="auto"/>
              </w:rPr>
            </w:pPr>
          </w:p>
        </w:tc>
        <w:tc>
          <w:tcPr>
            <w:tcW w:w="1340" w:type="dxa"/>
            <w:vAlign w:val="bottom"/>
            <w:gridSpan w:val="3"/>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260" w:type="dxa"/>
            <w:vAlign w:val="bottom"/>
            <w:shd w:val="clear" w:color="auto" w:fill="CCEEFF"/>
          </w:tcPr>
          <w:p>
            <w:pPr>
              <w:spacing w:after="0"/>
              <w:rPr>
                <w:sz w:val="23"/>
                <w:szCs w:val="23"/>
                <w:color w:val="auto"/>
              </w:rPr>
            </w:pPr>
          </w:p>
        </w:tc>
        <w:tc>
          <w:tcPr>
            <w:tcW w:w="98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3,181</w:t>
            </w:r>
          </w:p>
        </w:tc>
      </w:tr>
      <w:tr>
        <w:trPr>
          <w:trHeight w:val="270"/>
        </w:trPr>
        <w:tc>
          <w:tcPr>
            <w:tcW w:w="40" w:type="dxa"/>
            <w:vAlign w:val="bottom"/>
          </w:tcPr>
          <w:p>
            <w:pPr>
              <w:spacing w:after="0"/>
              <w:rPr>
                <w:sz w:val="23"/>
                <w:szCs w:val="23"/>
                <w:color w:val="auto"/>
              </w:rPr>
            </w:pPr>
          </w:p>
        </w:tc>
        <w:tc>
          <w:tcPr>
            <w:tcW w:w="5420" w:type="dxa"/>
            <w:vAlign w:val="bottom"/>
            <w:gridSpan w:val="2"/>
          </w:tcPr>
          <w:p>
            <w:pPr>
              <w:ind w:left="340"/>
              <w:spacing w:after="0"/>
              <w:rPr>
                <w:sz w:val="20"/>
                <w:szCs w:val="20"/>
                <w:color w:val="auto"/>
              </w:rPr>
            </w:pPr>
            <w:r>
              <w:rPr>
                <w:rFonts w:ascii="Arial" w:cs="Arial" w:eastAsia="Arial" w:hAnsi="Arial"/>
                <w:sz w:val="18"/>
                <w:szCs w:val="18"/>
                <w:color w:val="auto"/>
              </w:rPr>
              <w:t xml:space="preserve">Large-cap companies </w:t>
            </w:r>
            <w:r>
              <w:rPr>
                <w:rFonts w:ascii="Arial" w:cs="Arial" w:eastAsia="Arial" w:hAnsi="Arial"/>
                <w:sz w:val="21"/>
                <w:szCs w:val="21"/>
                <w:color w:val="auto"/>
                <w:vertAlign w:val="superscript"/>
              </w:rPr>
              <w:t>(b)</w:t>
            </w:r>
          </w:p>
        </w:tc>
        <w:tc>
          <w:tcPr>
            <w:tcW w:w="140" w:type="dxa"/>
            <w:vAlign w:val="bottom"/>
          </w:tcPr>
          <w:p>
            <w:pPr>
              <w:spacing w:after="0"/>
              <w:rPr>
                <w:sz w:val="23"/>
                <w:szCs w:val="23"/>
                <w:color w:val="auto"/>
              </w:rPr>
            </w:pPr>
          </w:p>
        </w:tc>
        <w:tc>
          <w:tcPr>
            <w:tcW w:w="1480" w:type="dxa"/>
            <w:vAlign w:val="bottom"/>
          </w:tcPr>
          <w:p>
            <w:pPr>
              <w:jc w:val="right"/>
              <w:ind w:right="34"/>
              <w:spacing w:after="0"/>
              <w:rPr>
                <w:sz w:val="20"/>
                <w:szCs w:val="20"/>
                <w:color w:val="auto"/>
              </w:rPr>
            </w:pPr>
            <w:r>
              <w:rPr>
                <w:rFonts w:ascii="Arial" w:cs="Arial" w:eastAsia="Arial" w:hAnsi="Arial"/>
                <w:sz w:val="18"/>
                <w:szCs w:val="18"/>
                <w:color w:val="auto"/>
              </w:rPr>
              <w:t>2,021</w:t>
            </w:r>
          </w:p>
        </w:tc>
        <w:tc>
          <w:tcPr>
            <w:tcW w:w="10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12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3"/>
                <w:szCs w:val="23"/>
                <w:color w:val="auto"/>
              </w:rPr>
            </w:pPr>
          </w:p>
        </w:tc>
        <w:tc>
          <w:tcPr>
            <w:tcW w:w="1340" w:type="dxa"/>
            <w:vAlign w:val="bottom"/>
            <w:gridSpan w:val="3"/>
          </w:tcPr>
          <w:p>
            <w:pPr>
              <w:jc w:val="right"/>
              <w:ind w:right="240"/>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23"/>
                <w:szCs w:val="23"/>
                <w:color w:val="auto"/>
              </w:rPr>
            </w:pPr>
          </w:p>
        </w:tc>
        <w:tc>
          <w:tcPr>
            <w:tcW w:w="980" w:type="dxa"/>
            <w:vAlign w:val="bottom"/>
          </w:tcPr>
          <w:p>
            <w:pPr>
              <w:jc w:val="right"/>
              <w:ind w:right="11"/>
              <w:spacing w:after="0"/>
              <w:rPr>
                <w:sz w:val="20"/>
                <w:szCs w:val="20"/>
                <w:color w:val="auto"/>
              </w:rPr>
            </w:pPr>
            <w:r>
              <w:rPr>
                <w:rFonts w:ascii="Arial" w:cs="Arial" w:eastAsia="Arial" w:hAnsi="Arial"/>
                <w:sz w:val="18"/>
                <w:szCs w:val="18"/>
                <w:color w:val="auto"/>
              </w:rPr>
              <w:t>2,021</w:t>
            </w:r>
          </w:p>
        </w:tc>
      </w:tr>
      <w:tr>
        <w:trPr>
          <w:trHeight w:val="270"/>
        </w:trPr>
        <w:tc>
          <w:tcPr>
            <w:tcW w:w="40" w:type="dxa"/>
            <w:vAlign w:val="bottom"/>
            <w:shd w:val="clear" w:color="auto" w:fill="CCEEFF"/>
          </w:tcPr>
          <w:p>
            <w:pPr>
              <w:spacing w:after="0"/>
              <w:rPr>
                <w:sz w:val="23"/>
                <w:szCs w:val="23"/>
                <w:color w:val="auto"/>
              </w:rPr>
            </w:pPr>
          </w:p>
        </w:tc>
        <w:tc>
          <w:tcPr>
            <w:tcW w:w="5420" w:type="dxa"/>
            <w:vAlign w:val="bottom"/>
            <w:gridSpan w:val="2"/>
            <w:shd w:val="clear" w:color="auto" w:fill="CCEEFF"/>
          </w:tcPr>
          <w:p>
            <w:pPr>
              <w:ind w:left="340"/>
              <w:spacing w:after="0"/>
              <w:rPr>
                <w:sz w:val="20"/>
                <w:szCs w:val="20"/>
                <w:color w:val="auto"/>
              </w:rPr>
            </w:pPr>
            <w:r>
              <w:rPr>
                <w:rFonts w:ascii="Arial" w:cs="Arial" w:eastAsia="Arial" w:hAnsi="Arial"/>
                <w:sz w:val="18"/>
                <w:szCs w:val="18"/>
                <w:color w:val="auto"/>
              </w:rPr>
              <w:t xml:space="preserve">Mid-cap companies </w:t>
            </w:r>
            <w:r>
              <w:rPr>
                <w:rFonts w:ascii="Arial" w:cs="Arial" w:eastAsia="Arial" w:hAnsi="Arial"/>
                <w:sz w:val="21"/>
                <w:szCs w:val="21"/>
                <w:color w:val="auto"/>
                <w:vertAlign w:val="superscript"/>
              </w:rPr>
              <w:t>(b)</w:t>
            </w:r>
          </w:p>
        </w:tc>
        <w:tc>
          <w:tcPr>
            <w:tcW w:w="140" w:type="dxa"/>
            <w:vAlign w:val="bottom"/>
            <w:shd w:val="clear" w:color="auto" w:fill="CCEEFF"/>
          </w:tcPr>
          <w:p>
            <w:pPr>
              <w:spacing w:after="0"/>
              <w:rPr>
                <w:sz w:val="23"/>
                <w:szCs w:val="23"/>
                <w:color w:val="auto"/>
              </w:rPr>
            </w:pPr>
          </w:p>
        </w:tc>
        <w:tc>
          <w:tcPr>
            <w:tcW w:w="1480" w:type="dxa"/>
            <w:vAlign w:val="bottom"/>
            <w:shd w:val="clear" w:color="auto" w:fill="CCEEFF"/>
          </w:tcPr>
          <w:p>
            <w:pPr>
              <w:jc w:val="right"/>
              <w:ind w:right="34"/>
              <w:spacing w:after="0"/>
              <w:rPr>
                <w:sz w:val="20"/>
                <w:szCs w:val="20"/>
                <w:color w:val="auto"/>
              </w:rPr>
            </w:pPr>
            <w:r>
              <w:rPr>
                <w:rFonts w:ascii="Arial" w:cs="Arial" w:eastAsia="Arial" w:hAnsi="Arial"/>
                <w:sz w:val="18"/>
                <w:szCs w:val="18"/>
                <w:color w:val="auto"/>
              </w:rPr>
              <w:t>583</w:t>
            </w:r>
          </w:p>
        </w:tc>
        <w:tc>
          <w:tcPr>
            <w:tcW w:w="100" w:type="dxa"/>
            <w:vAlign w:val="bottom"/>
            <w:shd w:val="clear" w:color="auto" w:fill="CCEEFF"/>
          </w:tcPr>
          <w:p>
            <w:pPr>
              <w:spacing w:after="0"/>
              <w:rPr>
                <w:sz w:val="23"/>
                <w:szCs w:val="23"/>
                <w:color w:val="auto"/>
              </w:rPr>
            </w:pPr>
          </w:p>
        </w:tc>
        <w:tc>
          <w:tcPr>
            <w:tcW w:w="220" w:type="dxa"/>
            <w:vAlign w:val="bottom"/>
            <w:shd w:val="clear" w:color="auto" w:fill="CCEEFF"/>
          </w:tcPr>
          <w:p>
            <w:pPr>
              <w:spacing w:after="0"/>
              <w:rPr>
                <w:sz w:val="23"/>
                <w:szCs w:val="23"/>
                <w:color w:val="auto"/>
              </w:rPr>
            </w:pPr>
          </w:p>
        </w:tc>
        <w:tc>
          <w:tcPr>
            <w:tcW w:w="12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23"/>
                <w:szCs w:val="23"/>
                <w:color w:val="auto"/>
              </w:rPr>
            </w:pPr>
          </w:p>
        </w:tc>
        <w:tc>
          <w:tcPr>
            <w:tcW w:w="1340" w:type="dxa"/>
            <w:vAlign w:val="bottom"/>
            <w:gridSpan w:val="3"/>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260" w:type="dxa"/>
            <w:vAlign w:val="bottom"/>
            <w:shd w:val="clear" w:color="auto" w:fill="CCEEFF"/>
          </w:tcPr>
          <w:p>
            <w:pPr>
              <w:spacing w:after="0"/>
              <w:rPr>
                <w:sz w:val="23"/>
                <w:szCs w:val="23"/>
                <w:color w:val="auto"/>
              </w:rPr>
            </w:pPr>
          </w:p>
        </w:tc>
        <w:tc>
          <w:tcPr>
            <w:tcW w:w="98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583</w:t>
            </w:r>
          </w:p>
        </w:tc>
      </w:tr>
      <w:tr>
        <w:trPr>
          <w:trHeight w:val="270"/>
        </w:trPr>
        <w:tc>
          <w:tcPr>
            <w:tcW w:w="40" w:type="dxa"/>
            <w:vAlign w:val="bottom"/>
          </w:tcPr>
          <w:p>
            <w:pPr>
              <w:spacing w:after="0"/>
              <w:rPr>
                <w:sz w:val="23"/>
                <w:szCs w:val="23"/>
                <w:color w:val="auto"/>
              </w:rPr>
            </w:pPr>
          </w:p>
        </w:tc>
        <w:tc>
          <w:tcPr>
            <w:tcW w:w="5420" w:type="dxa"/>
            <w:vAlign w:val="bottom"/>
            <w:gridSpan w:val="2"/>
          </w:tcPr>
          <w:p>
            <w:pPr>
              <w:ind w:left="340"/>
              <w:spacing w:after="0"/>
              <w:rPr>
                <w:sz w:val="20"/>
                <w:szCs w:val="20"/>
                <w:color w:val="auto"/>
              </w:rPr>
            </w:pPr>
            <w:r>
              <w:rPr>
                <w:rFonts w:ascii="Arial" w:cs="Arial" w:eastAsia="Arial" w:hAnsi="Arial"/>
                <w:sz w:val="18"/>
                <w:szCs w:val="18"/>
                <w:color w:val="auto"/>
              </w:rPr>
              <w:t xml:space="preserve">Small-cap companies </w:t>
            </w:r>
            <w:r>
              <w:rPr>
                <w:rFonts w:ascii="Arial" w:cs="Arial" w:eastAsia="Arial" w:hAnsi="Arial"/>
                <w:sz w:val="21"/>
                <w:szCs w:val="21"/>
                <w:color w:val="auto"/>
                <w:vertAlign w:val="superscript"/>
              </w:rPr>
              <w:t>(b)</w:t>
            </w:r>
          </w:p>
        </w:tc>
        <w:tc>
          <w:tcPr>
            <w:tcW w:w="140" w:type="dxa"/>
            <w:vAlign w:val="bottom"/>
          </w:tcPr>
          <w:p>
            <w:pPr>
              <w:spacing w:after="0"/>
              <w:rPr>
                <w:sz w:val="23"/>
                <w:szCs w:val="23"/>
                <w:color w:val="auto"/>
              </w:rPr>
            </w:pPr>
          </w:p>
        </w:tc>
        <w:tc>
          <w:tcPr>
            <w:tcW w:w="1480" w:type="dxa"/>
            <w:vAlign w:val="bottom"/>
          </w:tcPr>
          <w:p>
            <w:pPr>
              <w:jc w:val="right"/>
              <w:ind w:right="34"/>
              <w:spacing w:after="0"/>
              <w:rPr>
                <w:sz w:val="20"/>
                <w:szCs w:val="20"/>
                <w:color w:val="auto"/>
              </w:rPr>
            </w:pPr>
            <w:r>
              <w:rPr>
                <w:rFonts w:ascii="Arial" w:cs="Arial" w:eastAsia="Arial" w:hAnsi="Arial"/>
                <w:sz w:val="18"/>
                <w:szCs w:val="18"/>
                <w:color w:val="auto"/>
              </w:rPr>
              <w:t>122</w:t>
            </w:r>
          </w:p>
        </w:tc>
        <w:tc>
          <w:tcPr>
            <w:tcW w:w="10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12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3"/>
                <w:szCs w:val="23"/>
                <w:color w:val="auto"/>
              </w:rPr>
            </w:pPr>
          </w:p>
        </w:tc>
        <w:tc>
          <w:tcPr>
            <w:tcW w:w="1340" w:type="dxa"/>
            <w:vAlign w:val="bottom"/>
            <w:gridSpan w:val="3"/>
          </w:tcPr>
          <w:p>
            <w:pPr>
              <w:jc w:val="right"/>
              <w:ind w:right="240"/>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23"/>
                <w:szCs w:val="23"/>
                <w:color w:val="auto"/>
              </w:rPr>
            </w:pPr>
          </w:p>
        </w:tc>
        <w:tc>
          <w:tcPr>
            <w:tcW w:w="980" w:type="dxa"/>
            <w:vAlign w:val="bottom"/>
          </w:tcPr>
          <w:p>
            <w:pPr>
              <w:jc w:val="right"/>
              <w:ind w:right="11"/>
              <w:spacing w:after="0"/>
              <w:rPr>
                <w:sz w:val="20"/>
                <w:szCs w:val="20"/>
                <w:color w:val="auto"/>
              </w:rPr>
            </w:pPr>
            <w:r>
              <w:rPr>
                <w:rFonts w:ascii="Arial" w:cs="Arial" w:eastAsia="Arial" w:hAnsi="Arial"/>
                <w:sz w:val="18"/>
                <w:szCs w:val="18"/>
                <w:color w:val="auto"/>
              </w:rPr>
              <w:t>122</w:t>
            </w:r>
          </w:p>
        </w:tc>
      </w:tr>
      <w:tr>
        <w:trPr>
          <w:trHeight w:val="250"/>
        </w:trPr>
        <w:tc>
          <w:tcPr>
            <w:tcW w:w="546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8"/>
                <w:szCs w:val="18"/>
                <w:color w:val="auto"/>
              </w:rPr>
              <w:t>Fixed income:</w:t>
            </w:r>
          </w:p>
        </w:tc>
        <w:tc>
          <w:tcPr>
            <w:tcW w:w="140" w:type="dxa"/>
            <w:vAlign w:val="bottom"/>
            <w:tcBorders>
              <w:bottom w:val="single" w:sz="8" w:color="CCEEFF"/>
            </w:tcBorders>
            <w:shd w:val="clear" w:color="auto" w:fill="CCEEFF"/>
          </w:tcPr>
          <w:p>
            <w:pPr>
              <w:spacing w:after="0"/>
              <w:rPr>
                <w:sz w:val="21"/>
                <w:szCs w:val="21"/>
                <w:color w:val="auto"/>
              </w:rPr>
            </w:pPr>
          </w:p>
        </w:tc>
        <w:tc>
          <w:tcPr>
            <w:tcW w:w="14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spacing w:after="0"/>
              <w:rPr>
                <w:sz w:val="21"/>
                <w:szCs w:val="21"/>
                <w:color w:val="auto"/>
              </w:rPr>
            </w:pPr>
          </w:p>
        </w:tc>
      </w:tr>
      <w:tr>
        <w:trPr>
          <w:trHeight w:val="270"/>
        </w:trPr>
        <w:tc>
          <w:tcPr>
            <w:tcW w:w="40" w:type="dxa"/>
            <w:vAlign w:val="bottom"/>
          </w:tcPr>
          <w:p>
            <w:pPr>
              <w:spacing w:after="0"/>
              <w:rPr>
                <w:sz w:val="23"/>
                <w:szCs w:val="23"/>
                <w:color w:val="auto"/>
              </w:rPr>
            </w:pPr>
          </w:p>
        </w:tc>
        <w:tc>
          <w:tcPr>
            <w:tcW w:w="5420" w:type="dxa"/>
            <w:vAlign w:val="bottom"/>
            <w:gridSpan w:val="2"/>
          </w:tcPr>
          <w:p>
            <w:pPr>
              <w:ind w:left="340"/>
              <w:spacing w:after="0"/>
              <w:rPr>
                <w:sz w:val="20"/>
                <w:szCs w:val="20"/>
                <w:color w:val="auto"/>
              </w:rPr>
            </w:pPr>
            <w:r>
              <w:rPr>
                <w:rFonts w:ascii="Arial" w:cs="Arial" w:eastAsia="Arial" w:hAnsi="Arial"/>
                <w:sz w:val="18"/>
                <w:szCs w:val="18"/>
                <w:color w:val="auto"/>
              </w:rPr>
              <w:t xml:space="preserve">Corporate debt </w:t>
            </w:r>
            <w:r>
              <w:rPr>
                <w:rFonts w:ascii="Arial" w:cs="Arial" w:eastAsia="Arial" w:hAnsi="Arial"/>
                <w:sz w:val="21"/>
                <w:szCs w:val="21"/>
                <w:color w:val="auto"/>
                <w:vertAlign w:val="superscript"/>
              </w:rPr>
              <w:t>(c)</w:t>
            </w:r>
          </w:p>
        </w:tc>
        <w:tc>
          <w:tcPr>
            <w:tcW w:w="140" w:type="dxa"/>
            <w:vAlign w:val="bottom"/>
          </w:tcPr>
          <w:p>
            <w:pPr>
              <w:spacing w:after="0"/>
              <w:rPr>
                <w:sz w:val="23"/>
                <w:szCs w:val="23"/>
                <w:color w:val="auto"/>
              </w:rPr>
            </w:pPr>
          </w:p>
        </w:tc>
        <w:tc>
          <w:tcPr>
            <w:tcW w:w="15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23"/>
                <w:szCs w:val="23"/>
                <w:color w:val="auto"/>
              </w:rPr>
            </w:pPr>
          </w:p>
        </w:tc>
        <w:tc>
          <w:tcPr>
            <w:tcW w:w="1160" w:type="dxa"/>
            <w:vAlign w:val="bottom"/>
          </w:tcPr>
          <w:p>
            <w:pPr>
              <w:jc w:val="right"/>
              <w:ind w:right="33"/>
              <w:spacing w:after="0"/>
              <w:rPr>
                <w:sz w:val="20"/>
                <w:szCs w:val="20"/>
                <w:color w:val="auto"/>
              </w:rPr>
            </w:pPr>
            <w:r>
              <w:rPr>
                <w:rFonts w:ascii="Arial" w:cs="Arial" w:eastAsia="Arial" w:hAnsi="Arial"/>
                <w:sz w:val="18"/>
                <w:szCs w:val="18"/>
                <w:color w:val="auto"/>
              </w:rPr>
              <w:t>2,116</w:t>
            </w:r>
          </w:p>
        </w:tc>
        <w:tc>
          <w:tcPr>
            <w:tcW w:w="10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1340" w:type="dxa"/>
            <w:vAlign w:val="bottom"/>
            <w:gridSpan w:val="3"/>
          </w:tcPr>
          <w:p>
            <w:pPr>
              <w:jc w:val="right"/>
              <w:ind w:right="240"/>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23"/>
                <w:szCs w:val="23"/>
                <w:color w:val="auto"/>
              </w:rPr>
            </w:pPr>
          </w:p>
        </w:tc>
        <w:tc>
          <w:tcPr>
            <w:tcW w:w="980" w:type="dxa"/>
            <w:vAlign w:val="bottom"/>
          </w:tcPr>
          <w:p>
            <w:pPr>
              <w:jc w:val="right"/>
              <w:ind w:right="11"/>
              <w:spacing w:after="0"/>
              <w:rPr>
                <w:sz w:val="20"/>
                <w:szCs w:val="20"/>
                <w:color w:val="auto"/>
              </w:rPr>
            </w:pPr>
            <w:r>
              <w:rPr>
                <w:rFonts w:ascii="Arial" w:cs="Arial" w:eastAsia="Arial" w:hAnsi="Arial"/>
                <w:sz w:val="18"/>
                <w:szCs w:val="18"/>
                <w:color w:val="auto"/>
              </w:rPr>
              <w:t>2,116</w:t>
            </w:r>
          </w:p>
        </w:tc>
      </w:tr>
      <w:tr>
        <w:trPr>
          <w:trHeight w:val="270"/>
        </w:trPr>
        <w:tc>
          <w:tcPr>
            <w:tcW w:w="40" w:type="dxa"/>
            <w:vAlign w:val="bottom"/>
            <w:shd w:val="clear" w:color="auto" w:fill="CCEEFF"/>
          </w:tcPr>
          <w:p>
            <w:pPr>
              <w:spacing w:after="0"/>
              <w:rPr>
                <w:sz w:val="23"/>
                <w:szCs w:val="23"/>
                <w:color w:val="auto"/>
              </w:rPr>
            </w:pPr>
          </w:p>
        </w:tc>
        <w:tc>
          <w:tcPr>
            <w:tcW w:w="5420" w:type="dxa"/>
            <w:vAlign w:val="bottom"/>
            <w:gridSpan w:val="2"/>
            <w:shd w:val="clear" w:color="auto" w:fill="CCEEFF"/>
          </w:tcPr>
          <w:p>
            <w:pPr>
              <w:ind w:left="340"/>
              <w:spacing w:after="0"/>
              <w:rPr>
                <w:sz w:val="20"/>
                <w:szCs w:val="20"/>
                <w:color w:val="auto"/>
              </w:rPr>
            </w:pPr>
            <w:r>
              <w:rPr>
                <w:rFonts w:ascii="Arial" w:cs="Arial" w:eastAsia="Arial" w:hAnsi="Arial"/>
                <w:sz w:val="18"/>
                <w:szCs w:val="18"/>
                <w:color w:val="auto"/>
              </w:rPr>
              <w:t xml:space="preserve">Government securities </w:t>
            </w:r>
            <w:r>
              <w:rPr>
                <w:rFonts w:ascii="Arial" w:cs="Arial" w:eastAsia="Arial" w:hAnsi="Arial"/>
                <w:sz w:val="21"/>
                <w:szCs w:val="21"/>
                <w:color w:val="auto"/>
                <w:vertAlign w:val="superscript"/>
              </w:rPr>
              <w:t>(d)</w:t>
            </w:r>
          </w:p>
        </w:tc>
        <w:tc>
          <w:tcPr>
            <w:tcW w:w="140" w:type="dxa"/>
            <w:vAlign w:val="bottom"/>
            <w:shd w:val="clear" w:color="auto" w:fill="CCEEFF"/>
          </w:tcPr>
          <w:p>
            <w:pPr>
              <w:spacing w:after="0"/>
              <w:rPr>
                <w:sz w:val="23"/>
                <w:szCs w:val="23"/>
                <w:color w:val="auto"/>
              </w:rPr>
            </w:pPr>
          </w:p>
        </w:tc>
        <w:tc>
          <w:tcPr>
            <w:tcW w:w="15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23"/>
                <w:szCs w:val="23"/>
                <w:color w:val="auto"/>
              </w:rPr>
            </w:pPr>
          </w:p>
        </w:tc>
        <w:tc>
          <w:tcPr>
            <w:tcW w:w="1160" w:type="dxa"/>
            <w:vAlign w:val="bottom"/>
            <w:shd w:val="clear" w:color="auto" w:fill="CCEEFF"/>
          </w:tcPr>
          <w:p>
            <w:pPr>
              <w:jc w:val="right"/>
              <w:ind w:right="33"/>
              <w:spacing w:after="0"/>
              <w:rPr>
                <w:sz w:val="20"/>
                <w:szCs w:val="20"/>
                <w:color w:val="auto"/>
              </w:rPr>
            </w:pPr>
            <w:r>
              <w:rPr>
                <w:rFonts w:ascii="Arial" w:cs="Arial" w:eastAsia="Arial" w:hAnsi="Arial"/>
                <w:sz w:val="18"/>
                <w:szCs w:val="18"/>
                <w:color w:val="auto"/>
              </w:rPr>
              <w:t>228</w:t>
            </w:r>
          </w:p>
        </w:tc>
        <w:tc>
          <w:tcPr>
            <w:tcW w:w="100" w:type="dxa"/>
            <w:vAlign w:val="bottom"/>
            <w:shd w:val="clear" w:color="auto" w:fill="CCEEFF"/>
          </w:tcPr>
          <w:p>
            <w:pPr>
              <w:spacing w:after="0"/>
              <w:rPr>
                <w:sz w:val="23"/>
                <w:szCs w:val="23"/>
                <w:color w:val="auto"/>
              </w:rPr>
            </w:pPr>
          </w:p>
        </w:tc>
        <w:tc>
          <w:tcPr>
            <w:tcW w:w="180" w:type="dxa"/>
            <w:vAlign w:val="bottom"/>
            <w:shd w:val="clear" w:color="auto" w:fill="CCEEFF"/>
          </w:tcPr>
          <w:p>
            <w:pPr>
              <w:spacing w:after="0"/>
              <w:rPr>
                <w:sz w:val="23"/>
                <w:szCs w:val="23"/>
                <w:color w:val="auto"/>
              </w:rPr>
            </w:pPr>
          </w:p>
        </w:tc>
        <w:tc>
          <w:tcPr>
            <w:tcW w:w="1340" w:type="dxa"/>
            <w:vAlign w:val="bottom"/>
            <w:gridSpan w:val="3"/>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260" w:type="dxa"/>
            <w:vAlign w:val="bottom"/>
            <w:shd w:val="clear" w:color="auto" w:fill="CCEEFF"/>
          </w:tcPr>
          <w:p>
            <w:pPr>
              <w:spacing w:after="0"/>
              <w:rPr>
                <w:sz w:val="23"/>
                <w:szCs w:val="23"/>
                <w:color w:val="auto"/>
              </w:rPr>
            </w:pPr>
          </w:p>
        </w:tc>
        <w:tc>
          <w:tcPr>
            <w:tcW w:w="98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228</w:t>
            </w:r>
          </w:p>
        </w:tc>
      </w:tr>
      <w:tr>
        <w:trPr>
          <w:trHeight w:val="263"/>
        </w:trPr>
        <w:tc>
          <w:tcPr>
            <w:tcW w:w="40" w:type="dxa"/>
            <w:vAlign w:val="bottom"/>
          </w:tcPr>
          <w:p>
            <w:pPr>
              <w:spacing w:after="0"/>
              <w:rPr>
                <w:sz w:val="22"/>
                <w:szCs w:val="22"/>
                <w:color w:val="auto"/>
              </w:rPr>
            </w:pPr>
          </w:p>
        </w:tc>
        <w:tc>
          <w:tcPr>
            <w:tcW w:w="5420" w:type="dxa"/>
            <w:vAlign w:val="bottom"/>
            <w:gridSpan w:val="2"/>
          </w:tcPr>
          <w:p>
            <w:pPr>
              <w:ind w:left="340"/>
              <w:spacing w:after="0"/>
              <w:rPr>
                <w:sz w:val="20"/>
                <w:szCs w:val="20"/>
                <w:color w:val="auto"/>
              </w:rPr>
            </w:pPr>
            <w:r>
              <w:rPr>
                <w:rFonts w:ascii="Arial" w:cs="Arial" w:eastAsia="Arial" w:hAnsi="Arial"/>
                <w:sz w:val="18"/>
                <w:szCs w:val="18"/>
                <w:color w:val="auto"/>
              </w:rPr>
              <w:t>U.S. municipal securities</w:t>
            </w:r>
          </w:p>
        </w:tc>
        <w:tc>
          <w:tcPr>
            <w:tcW w:w="140" w:type="dxa"/>
            <w:vAlign w:val="bottom"/>
          </w:tcPr>
          <w:p>
            <w:pPr>
              <w:spacing w:after="0"/>
              <w:rPr>
                <w:sz w:val="22"/>
                <w:szCs w:val="22"/>
                <w:color w:val="auto"/>
              </w:rPr>
            </w:pPr>
          </w:p>
        </w:tc>
        <w:tc>
          <w:tcPr>
            <w:tcW w:w="15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22"/>
                <w:szCs w:val="22"/>
                <w:color w:val="auto"/>
              </w:rPr>
            </w:pPr>
          </w:p>
        </w:tc>
        <w:tc>
          <w:tcPr>
            <w:tcW w:w="1160" w:type="dxa"/>
            <w:vAlign w:val="bottom"/>
          </w:tcPr>
          <w:p>
            <w:pPr>
              <w:jc w:val="right"/>
              <w:ind w:right="33"/>
              <w:spacing w:after="0"/>
              <w:rPr>
                <w:sz w:val="20"/>
                <w:szCs w:val="20"/>
                <w:color w:val="auto"/>
              </w:rPr>
            </w:pPr>
            <w:r>
              <w:rPr>
                <w:rFonts w:ascii="Arial" w:cs="Arial" w:eastAsia="Arial" w:hAnsi="Arial"/>
                <w:sz w:val="18"/>
                <w:szCs w:val="18"/>
                <w:color w:val="auto"/>
              </w:rPr>
              <w:t>40</w:t>
            </w:r>
          </w:p>
        </w:tc>
        <w:tc>
          <w:tcPr>
            <w:tcW w:w="10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340" w:type="dxa"/>
            <w:vAlign w:val="bottom"/>
            <w:gridSpan w:val="3"/>
          </w:tcPr>
          <w:p>
            <w:pPr>
              <w:jc w:val="right"/>
              <w:ind w:right="240"/>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22"/>
                <w:szCs w:val="22"/>
                <w:color w:val="auto"/>
              </w:rPr>
            </w:pPr>
          </w:p>
        </w:tc>
        <w:tc>
          <w:tcPr>
            <w:tcW w:w="980" w:type="dxa"/>
            <w:vAlign w:val="bottom"/>
          </w:tcPr>
          <w:p>
            <w:pPr>
              <w:jc w:val="right"/>
              <w:ind w:right="11"/>
              <w:spacing w:after="0"/>
              <w:rPr>
                <w:sz w:val="20"/>
                <w:szCs w:val="20"/>
                <w:color w:val="auto"/>
              </w:rPr>
            </w:pPr>
            <w:r>
              <w:rPr>
                <w:rFonts w:ascii="Arial" w:cs="Arial" w:eastAsia="Arial" w:hAnsi="Arial"/>
                <w:sz w:val="18"/>
                <w:szCs w:val="18"/>
                <w:color w:val="auto"/>
              </w:rPr>
              <w:t>40</w:t>
            </w:r>
          </w:p>
        </w:tc>
      </w:tr>
      <w:tr>
        <w:trPr>
          <w:trHeight w:val="257"/>
        </w:trPr>
        <w:tc>
          <w:tcPr>
            <w:tcW w:w="546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8"/>
                <w:szCs w:val="18"/>
                <w:color w:val="auto"/>
              </w:rPr>
              <w:t>Alternative instruments:</w:t>
            </w:r>
          </w:p>
        </w:tc>
        <w:tc>
          <w:tcPr>
            <w:tcW w:w="140" w:type="dxa"/>
            <w:vAlign w:val="bottom"/>
            <w:tcBorders>
              <w:bottom w:val="single" w:sz="8" w:color="CCEEFF"/>
            </w:tcBorders>
            <w:shd w:val="clear" w:color="auto" w:fill="CCEEFF"/>
          </w:tcPr>
          <w:p>
            <w:pPr>
              <w:spacing w:after="0"/>
              <w:rPr>
                <w:sz w:val="22"/>
                <w:szCs w:val="22"/>
                <w:color w:val="auto"/>
              </w:rPr>
            </w:pPr>
          </w:p>
        </w:tc>
        <w:tc>
          <w:tcPr>
            <w:tcW w:w="148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CCEEFF"/>
            </w:tcBorders>
            <w:shd w:val="clear" w:color="auto" w:fill="CCEEFF"/>
          </w:tcPr>
          <w:p>
            <w:pPr>
              <w:spacing w:after="0"/>
              <w:rPr>
                <w:sz w:val="22"/>
                <w:szCs w:val="22"/>
                <w:color w:val="auto"/>
              </w:rPr>
            </w:pPr>
          </w:p>
        </w:tc>
        <w:tc>
          <w:tcPr>
            <w:tcW w:w="116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CCEEFF"/>
            </w:tcBorders>
            <w:shd w:val="clear" w:color="auto" w:fill="CCEEFF"/>
          </w:tcPr>
          <w:p>
            <w:pPr>
              <w:spacing w:after="0"/>
              <w:rPr>
                <w:sz w:val="22"/>
                <w:szCs w:val="22"/>
                <w:color w:val="auto"/>
              </w:rPr>
            </w:pPr>
          </w:p>
        </w:tc>
        <w:tc>
          <w:tcPr>
            <w:tcW w:w="120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20" w:type="dxa"/>
            <w:vAlign w:val="bottom"/>
            <w:tcBorders>
              <w:bottom w:val="single" w:sz="8" w:color="CCEEFF"/>
            </w:tcBorders>
            <w:shd w:val="clear" w:color="auto" w:fill="CCEEFF"/>
          </w:tcPr>
          <w:p>
            <w:pPr>
              <w:spacing w:after="0"/>
              <w:rPr>
                <w:sz w:val="22"/>
                <w:szCs w:val="22"/>
                <w:color w:val="auto"/>
              </w:rPr>
            </w:pPr>
          </w:p>
        </w:tc>
        <w:tc>
          <w:tcPr>
            <w:tcW w:w="260" w:type="dxa"/>
            <w:vAlign w:val="bottom"/>
            <w:tcBorders>
              <w:bottom w:val="single" w:sz="8" w:color="CCEEFF"/>
            </w:tcBorders>
            <w:shd w:val="clear" w:color="auto" w:fill="CCEEFF"/>
          </w:tcPr>
          <w:p>
            <w:pPr>
              <w:spacing w:after="0"/>
              <w:rPr>
                <w:sz w:val="22"/>
                <w:szCs w:val="22"/>
                <w:color w:val="auto"/>
              </w:rPr>
            </w:pPr>
          </w:p>
        </w:tc>
        <w:tc>
          <w:tcPr>
            <w:tcW w:w="980" w:type="dxa"/>
            <w:vAlign w:val="bottom"/>
            <w:tcBorders>
              <w:bottom w:val="single" w:sz="8" w:color="CCEEFF"/>
            </w:tcBorders>
            <w:shd w:val="clear" w:color="auto" w:fill="CCEEFF"/>
          </w:tcPr>
          <w:p>
            <w:pPr>
              <w:spacing w:after="0"/>
              <w:rPr>
                <w:sz w:val="22"/>
                <w:szCs w:val="22"/>
                <w:color w:val="auto"/>
              </w:rPr>
            </w:pPr>
          </w:p>
        </w:tc>
      </w:tr>
      <w:tr>
        <w:trPr>
          <w:trHeight w:val="270"/>
        </w:trPr>
        <w:tc>
          <w:tcPr>
            <w:tcW w:w="40" w:type="dxa"/>
            <w:vAlign w:val="bottom"/>
          </w:tcPr>
          <w:p>
            <w:pPr>
              <w:spacing w:after="0"/>
              <w:rPr>
                <w:sz w:val="23"/>
                <w:szCs w:val="23"/>
                <w:color w:val="auto"/>
              </w:rPr>
            </w:pPr>
          </w:p>
        </w:tc>
        <w:tc>
          <w:tcPr>
            <w:tcW w:w="5420" w:type="dxa"/>
            <w:vAlign w:val="bottom"/>
            <w:gridSpan w:val="2"/>
          </w:tcPr>
          <w:p>
            <w:pPr>
              <w:ind w:left="340"/>
              <w:spacing w:after="0"/>
              <w:rPr>
                <w:sz w:val="20"/>
                <w:szCs w:val="20"/>
                <w:color w:val="auto"/>
              </w:rPr>
            </w:pPr>
            <w:r>
              <w:rPr>
                <w:rFonts w:ascii="Arial" w:cs="Arial" w:eastAsia="Arial" w:hAnsi="Arial"/>
                <w:sz w:val="18"/>
                <w:szCs w:val="18"/>
                <w:color w:val="auto"/>
              </w:rPr>
              <w:t xml:space="preserve">Private market partnerships </w:t>
            </w:r>
            <w:r>
              <w:rPr>
                <w:rFonts w:ascii="Arial" w:cs="Arial" w:eastAsia="Arial" w:hAnsi="Arial"/>
                <w:sz w:val="21"/>
                <w:szCs w:val="21"/>
                <w:color w:val="auto"/>
                <w:vertAlign w:val="superscript"/>
              </w:rPr>
              <w:t>(e)</w:t>
            </w:r>
          </w:p>
        </w:tc>
        <w:tc>
          <w:tcPr>
            <w:tcW w:w="140" w:type="dxa"/>
            <w:vAlign w:val="bottom"/>
          </w:tcPr>
          <w:p>
            <w:pPr>
              <w:spacing w:after="0"/>
              <w:rPr>
                <w:sz w:val="23"/>
                <w:szCs w:val="23"/>
                <w:color w:val="auto"/>
              </w:rPr>
            </w:pPr>
          </w:p>
        </w:tc>
        <w:tc>
          <w:tcPr>
            <w:tcW w:w="15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23"/>
                <w:szCs w:val="23"/>
                <w:color w:val="auto"/>
              </w:rPr>
            </w:pPr>
          </w:p>
        </w:tc>
        <w:tc>
          <w:tcPr>
            <w:tcW w:w="12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3"/>
                <w:szCs w:val="23"/>
                <w:color w:val="auto"/>
              </w:rPr>
            </w:pPr>
          </w:p>
        </w:tc>
        <w:tc>
          <w:tcPr>
            <w:tcW w:w="1200" w:type="dxa"/>
            <w:vAlign w:val="bottom"/>
          </w:tcPr>
          <w:p>
            <w:pPr>
              <w:jc w:val="right"/>
              <w:ind w:right="13"/>
              <w:spacing w:after="0"/>
              <w:rPr>
                <w:sz w:val="20"/>
                <w:szCs w:val="20"/>
                <w:color w:val="auto"/>
              </w:rPr>
            </w:pPr>
            <w:r>
              <w:rPr>
                <w:rFonts w:ascii="Arial" w:cs="Arial" w:eastAsia="Arial" w:hAnsi="Arial"/>
                <w:sz w:val="18"/>
                <w:szCs w:val="18"/>
                <w:color w:val="auto"/>
              </w:rPr>
              <w:t>7</w:t>
            </w:r>
          </w:p>
        </w:tc>
        <w:tc>
          <w:tcPr>
            <w:tcW w:w="12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980" w:type="dxa"/>
            <w:vAlign w:val="bottom"/>
          </w:tcPr>
          <w:p>
            <w:pPr>
              <w:jc w:val="right"/>
              <w:ind w:right="11"/>
              <w:spacing w:after="0"/>
              <w:rPr>
                <w:sz w:val="20"/>
                <w:szCs w:val="20"/>
                <w:color w:val="auto"/>
              </w:rPr>
            </w:pPr>
            <w:r>
              <w:rPr>
                <w:rFonts w:ascii="Arial" w:cs="Arial" w:eastAsia="Arial" w:hAnsi="Arial"/>
                <w:sz w:val="18"/>
                <w:szCs w:val="18"/>
                <w:color w:val="auto"/>
              </w:rPr>
              <w:t>7</w:t>
            </w:r>
          </w:p>
        </w:tc>
      </w:tr>
      <w:tr>
        <w:trPr>
          <w:trHeight w:val="270"/>
        </w:trPr>
        <w:tc>
          <w:tcPr>
            <w:tcW w:w="40" w:type="dxa"/>
            <w:vAlign w:val="bottom"/>
            <w:shd w:val="clear" w:color="auto" w:fill="CCEEFF"/>
          </w:tcPr>
          <w:p>
            <w:pPr>
              <w:spacing w:after="0"/>
              <w:rPr>
                <w:sz w:val="23"/>
                <w:szCs w:val="23"/>
                <w:color w:val="auto"/>
              </w:rPr>
            </w:pPr>
          </w:p>
        </w:tc>
        <w:tc>
          <w:tcPr>
            <w:tcW w:w="5420" w:type="dxa"/>
            <w:vAlign w:val="bottom"/>
            <w:gridSpan w:val="2"/>
            <w:shd w:val="clear" w:color="auto" w:fill="CCEEFF"/>
          </w:tcPr>
          <w:p>
            <w:pPr>
              <w:ind w:left="340"/>
              <w:spacing w:after="0"/>
              <w:rPr>
                <w:sz w:val="20"/>
                <w:szCs w:val="20"/>
                <w:color w:val="auto"/>
              </w:rPr>
            </w:pPr>
            <w:r>
              <w:rPr>
                <w:rFonts w:ascii="Arial" w:cs="Arial" w:eastAsia="Arial" w:hAnsi="Arial"/>
                <w:sz w:val="18"/>
                <w:szCs w:val="18"/>
                <w:color w:val="auto"/>
              </w:rPr>
              <w:t xml:space="preserve">Private market partnerships measured at net asset value </w:t>
            </w:r>
            <w:r>
              <w:rPr>
                <w:rFonts w:ascii="Arial" w:cs="Arial" w:eastAsia="Arial" w:hAnsi="Arial"/>
                <w:sz w:val="21"/>
                <w:szCs w:val="21"/>
                <w:color w:val="auto"/>
                <w:vertAlign w:val="superscript"/>
              </w:rPr>
              <w:t>(e), (f)</w:t>
            </w:r>
          </w:p>
        </w:tc>
        <w:tc>
          <w:tcPr>
            <w:tcW w:w="140" w:type="dxa"/>
            <w:vAlign w:val="bottom"/>
            <w:shd w:val="clear" w:color="auto" w:fill="CCEEFF"/>
          </w:tcPr>
          <w:p>
            <w:pPr>
              <w:spacing w:after="0"/>
              <w:rPr>
                <w:sz w:val="23"/>
                <w:szCs w:val="23"/>
                <w:color w:val="auto"/>
              </w:rPr>
            </w:pPr>
          </w:p>
        </w:tc>
        <w:tc>
          <w:tcPr>
            <w:tcW w:w="15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23"/>
                <w:szCs w:val="23"/>
                <w:color w:val="auto"/>
              </w:rPr>
            </w:pPr>
          </w:p>
        </w:tc>
        <w:tc>
          <w:tcPr>
            <w:tcW w:w="12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23"/>
                <w:szCs w:val="23"/>
                <w:color w:val="auto"/>
              </w:rPr>
            </w:pPr>
          </w:p>
        </w:tc>
        <w:tc>
          <w:tcPr>
            <w:tcW w:w="1340" w:type="dxa"/>
            <w:vAlign w:val="bottom"/>
            <w:gridSpan w:val="3"/>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260" w:type="dxa"/>
            <w:vAlign w:val="bottom"/>
            <w:shd w:val="clear" w:color="auto" w:fill="CCEEFF"/>
          </w:tcPr>
          <w:p>
            <w:pPr>
              <w:spacing w:after="0"/>
              <w:rPr>
                <w:sz w:val="23"/>
                <w:szCs w:val="23"/>
                <w:color w:val="auto"/>
              </w:rPr>
            </w:pPr>
          </w:p>
        </w:tc>
        <w:tc>
          <w:tcPr>
            <w:tcW w:w="98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1,188</w:t>
            </w:r>
          </w:p>
        </w:tc>
      </w:tr>
      <w:tr>
        <w:trPr>
          <w:trHeight w:val="270"/>
        </w:trPr>
        <w:tc>
          <w:tcPr>
            <w:tcW w:w="40" w:type="dxa"/>
            <w:vAlign w:val="bottom"/>
          </w:tcPr>
          <w:p>
            <w:pPr>
              <w:spacing w:after="0"/>
              <w:rPr>
                <w:sz w:val="23"/>
                <w:szCs w:val="23"/>
                <w:color w:val="auto"/>
              </w:rPr>
            </w:pPr>
          </w:p>
        </w:tc>
        <w:tc>
          <w:tcPr>
            <w:tcW w:w="5420" w:type="dxa"/>
            <w:vAlign w:val="bottom"/>
            <w:gridSpan w:val="2"/>
          </w:tcPr>
          <w:p>
            <w:pPr>
              <w:ind w:left="340"/>
              <w:spacing w:after="0"/>
              <w:rPr>
                <w:sz w:val="20"/>
                <w:szCs w:val="20"/>
                <w:color w:val="auto"/>
              </w:rPr>
            </w:pPr>
            <w:r>
              <w:rPr>
                <w:rFonts w:ascii="Arial" w:cs="Arial" w:eastAsia="Arial" w:hAnsi="Arial"/>
                <w:sz w:val="18"/>
                <w:szCs w:val="18"/>
                <w:color w:val="auto"/>
              </w:rPr>
              <w:t xml:space="preserve">Common/collective trusts </w:t>
            </w:r>
            <w:r>
              <w:rPr>
                <w:rFonts w:ascii="Arial" w:cs="Arial" w:eastAsia="Arial" w:hAnsi="Arial"/>
                <w:sz w:val="21"/>
                <w:szCs w:val="21"/>
                <w:color w:val="auto"/>
                <w:vertAlign w:val="superscript"/>
              </w:rPr>
              <w:t>(g)</w:t>
            </w:r>
          </w:p>
        </w:tc>
        <w:tc>
          <w:tcPr>
            <w:tcW w:w="140" w:type="dxa"/>
            <w:vAlign w:val="bottom"/>
          </w:tcPr>
          <w:p>
            <w:pPr>
              <w:spacing w:after="0"/>
              <w:rPr>
                <w:sz w:val="23"/>
                <w:szCs w:val="23"/>
                <w:color w:val="auto"/>
              </w:rPr>
            </w:pPr>
          </w:p>
        </w:tc>
        <w:tc>
          <w:tcPr>
            <w:tcW w:w="15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23"/>
                <w:szCs w:val="23"/>
                <w:color w:val="auto"/>
              </w:rPr>
            </w:pPr>
          </w:p>
        </w:tc>
        <w:tc>
          <w:tcPr>
            <w:tcW w:w="1160" w:type="dxa"/>
            <w:vAlign w:val="bottom"/>
          </w:tcPr>
          <w:p>
            <w:pPr>
              <w:jc w:val="right"/>
              <w:ind w:right="33"/>
              <w:spacing w:after="0"/>
              <w:rPr>
                <w:sz w:val="20"/>
                <w:szCs w:val="20"/>
                <w:color w:val="auto"/>
              </w:rPr>
            </w:pPr>
            <w:r>
              <w:rPr>
                <w:rFonts w:ascii="Arial" w:cs="Arial" w:eastAsia="Arial" w:hAnsi="Arial"/>
                <w:sz w:val="18"/>
                <w:szCs w:val="18"/>
                <w:color w:val="auto"/>
              </w:rPr>
              <w:t>218</w:t>
            </w:r>
          </w:p>
        </w:tc>
        <w:tc>
          <w:tcPr>
            <w:tcW w:w="10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1340" w:type="dxa"/>
            <w:vAlign w:val="bottom"/>
            <w:gridSpan w:val="3"/>
          </w:tcPr>
          <w:p>
            <w:pPr>
              <w:jc w:val="right"/>
              <w:ind w:right="240"/>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23"/>
                <w:szCs w:val="23"/>
                <w:color w:val="auto"/>
              </w:rPr>
            </w:pPr>
          </w:p>
        </w:tc>
        <w:tc>
          <w:tcPr>
            <w:tcW w:w="980" w:type="dxa"/>
            <w:vAlign w:val="bottom"/>
          </w:tcPr>
          <w:p>
            <w:pPr>
              <w:jc w:val="right"/>
              <w:ind w:right="11"/>
              <w:spacing w:after="0"/>
              <w:rPr>
                <w:sz w:val="20"/>
                <w:szCs w:val="20"/>
                <w:color w:val="auto"/>
              </w:rPr>
            </w:pPr>
            <w:r>
              <w:rPr>
                <w:rFonts w:ascii="Arial" w:cs="Arial" w:eastAsia="Arial" w:hAnsi="Arial"/>
                <w:sz w:val="18"/>
                <w:szCs w:val="18"/>
                <w:color w:val="auto"/>
              </w:rPr>
              <w:t>218</w:t>
            </w:r>
          </w:p>
        </w:tc>
      </w:tr>
      <w:tr>
        <w:trPr>
          <w:trHeight w:val="226"/>
        </w:trPr>
        <w:tc>
          <w:tcPr>
            <w:tcW w:w="40" w:type="dxa"/>
            <w:vAlign w:val="bottom"/>
            <w:shd w:val="clear" w:color="auto" w:fill="CCEEFF"/>
          </w:tcPr>
          <w:p>
            <w:pPr>
              <w:spacing w:after="0"/>
              <w:rPr>
                <w:sz w:val="19"/>
                <w:szCs w:val="19"/>
                <w:color w:val="auto"/>
              </w:rPr>
            </w:pPr>
          </w:p>
        </w:tc>
        <w:tc>
          <w:tcPr>
            <w:tcW w:w="5420" w:type="dxa"/>
            <w:vAlign w:val="bottom"/>
            <w:gridSpan w:val="2"/>
            <w:shd w:val="clear" w:color="auto" w:fill="CCEEFF"/>
          </w:tcPr>
          <w:p>
            <w:pPr>
              <w:ind w:left="340"/>
              <w:spacing w:after="0"/>
              <w:rPr>
                <w:sz w:val="20"/>
                <w:szCs w:val="20"/>
                <w:color w:val="auto"/>
              </w:rPr>
            </w:pPr>
            <w:r>
              <w:rPr>
                <w:rFonts w:ascii="Arial" w:cs="Arial" w:eastAsia="Arial" w:hAnsi="Arial"/>
                <w:sz w:val="18"/>
                <w:szCs w:val="18"/>
                <w:color w:val="auto"/>
              </w:rPr>
              <w:t>Common/collective trusts and 103-12 Investment Trust</w:t>
            </w:r>
          </w:p>
        </w:tc>
        <w:tc>
          <w:tcPr>
            <w:tcW w:w="140" w:type="dxa"/>
            <w:vAlign w:val="bottom"/>
            <w:shd w:val="clear" w:color="auto" w:fill="CCEEFF"/>
          </w:tcPr>
          <w:p>
            <w:pPr>
              <w:spacing w:after="0"/>
              <w:rPr>
                <w:sz w:val="19"/>
                <w:szCs w:val="19"/>
                <w:color w:val="auto"/>
              </w:rPr>
            </w:pPr>
          </w:p>
        </w:tc>
        <w:tc>
          <w:tcPr>
            <w:tcW w:w="14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1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2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980" w:type="dxa"/>
            <w:vAlign w:val="bottom"/>
            <w:shd w:val="clear" w:color="auto" w:fill="CCEEFF"/>
          </w:tcPr>
          <w:p>
            <w:pPr>
              <w:spacing w:after="0"/>
              <w:rPr>
                <w:sz w:val="19"/>
                <w:szCs w:val="19"/>
                <w:color w:val="auto"/>
              </w:rPr>
            </w:pPr>
          </w:p>
        </w:tc>
      </w:tr>
      <w:tr>
        <w:trPr>
          <w:trHeight w:val="233"/>
        </w:trPr>
        <w:tc>
          <w:tcPr>
            <w:tcW w:w="40" w:type="dxa"/>
            <w:vAlign w:val="bottom"/>
            <w:shd w:val="clear" w:color="auto" w:fill="CCEEFF"/>
          </w:tcPr>
          <w:p>
            <w:pPr>
              <w:spacing w:after="0"/>
              <w:rPr>
                <w:sz w:val="20"/>
                <w:szCs w:val="20"/>
                <w:color w:val="auto"/>
              </w:rPr>
            </w:pPr>
          </w:p>
        </w:tc>
        <w:tc>
          <w:tcPr>
            <w:tcW w:w="5420" w:type="dxa"/>
            <w:vAlign w:val="bottom"/>
            <w:gridSpan w:val="2"/>
            <w:shd w:val="clear" w:color="auto" w:fill="CCEEFF"/>
          </w:tcPr>
          <w:p>
            <w:pPr>
              <w:ind w:left="500"/>
              <w:spacing w:after="0" w:line="233" w:lineRule="exact"/>
              <w:rPr>
                <w:sz w:val="20"/>
                <w:szCs w:val="20"/>
                <w:color w:val="auto"/>
              </w:rPr>
            </w:pPr>
            <w:r>
              <w:rPr>
                <w:rFonts w:ascii="Arial" w:cs="Arial" w:eastAsia="Arial" w:hAnsi="Arial"/>
                <w:sz w:val="18"/>
                <w:szCs w:val="18"/>
                <w:color w:val="auto"/>
              </w:rPr>
              <w:t xml:space="preserve">measured at net asset value </w:t>
            </w:r>
            <w:r>
              <w:rPr>
                <w:rFonts w:ascii="Arial" w:cs="Arial" w:eastAsia="Arial" w:hAnsi="Arial"/>
                <w:sz w:val="21"/>
                <w:szCs w:val="21"/>
                <w:color w:val="auto"/>
                <w:vertAlign w:val="superscript"/>
              </w:rPr>
              <w:t>(f), (g)</w:t>
            </w:r>
          </w:p>
        </w:tc>
        <w:tc>
          <w:tcPr>
            <w:tcW w:w="140" w:type="dxa"/>
            <w:vAlign w:val="bottom"/>
            <w:shd w:val="clear" w:color="auto" w:fill="CCEEFF"/>
          </w:tcPr>
          <w:p>
            <w:pPr>
              <w:spacing w:after="0"/>
              <w:rPr>
                <w:sz w:val="20"/>
                <w:szCs w:val="20"/>
                <w:color w:val="auto"/>
              </w:rPr>
            </w:pPr>
          </w:p>
        </w:tc>
        <w:tc>
          <w:tcPr>
            <w:tcW w:w="15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20"/>
                <w:szCs w:val="20"/>
                <w:color w:val="auto"/>
              </w:rPr>
            </w:pPr>
          </w:p>
        </w:tc>
        <w:tc>
          <w:tcPr>
            <w:tcW w:w="12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20"/>
                <w:szCs w:val="20"/>
                <w:color w:val="auto"/>
              </w:rPr>
            </w:pPr>
          </w:p>
        </w:tc>
        <w:tc>
          <w:tcPr>
            <w:tcW w:w="1340" w:type="dxa"/>
            <w:vAlign w:val="bottom"/>
            <w:gridSpan w:val="3"/>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260" w:type="dxa"/>
            <w:vAlign w:val="bottom"/>
            <w:shd w:val="clear" w:color="auto" w:fill="CCEEFF"/>
          </w:tcPr>
          <w:p>
            <w:pPr>
              <w:spacing w:after="0"/>
              <w:rPr>
                <w:sz w:val="20"/>
                <w:szCs w:val="20"/>
                <w:color w:val="auto"/>
              </w:rPr>
            </w:pPr>
          </w:p>
        </w:tc>
        <w:tc>
          <w:tcPr>
            <w:tcW w:w="98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227</w:t>
            </w:r>
          </w:p>
        </w:tc>
      </w:tr>
      <w:tr>
        <w:trPr>
          <w:trHeight w:val="263"/>
        </w:trPr>
        <w:tc>
          <w:tcPr>
            <w:tcW w:w="40" w:type="dxa"/>
            <w:vAlign w:val="bottom"/>
          </w:tcPr>
          <w:p>
            <w:pPr>
              <w:spacing w:after="0"/>
              <w:rPr>
                <w:sz w:val="22"/>
                <w:szCs w:val="22"/>
                <w:color w:val="auto"/>
              </w:rPr>
            </w:pPr>
          </w:p>
        </w:tc>
        <w:tc>
          <w:tcPr>
            <w:tcW w:w="5420" w:type="dxa"/>
            <w:vAlign w:val="bottom"/>
            <w:gridSpan w:val="2"/>
          </w:tcPr>
          <w:p>
            <w:pPr>
              <w:ind w:left="340"/>
              <w:spacing w:after="0"/>
              <w:rPr>
                <w:sz w:val="20"/>
                <w:szCs w:val="20"/>
                <w:color w:val="auto"/>
              </w:rPr>
            </w:pPr>
            <w:r>
              <w:rPr>
                <w:rFonts w:ascii="Arial" w:cs="Arial" w:eastAsia="Arial" w:hAnsi="Arial"/>
                <w:sz w:val="18"/>
                <w:szCs w:val="18"/>
                <w:color w:val="auto"/>
              </w:rPr>
              <w:t>Insurance group annuity contracts</w:t>
            </w:r>
          </w:p>
        </w:tc>
        <w:tc>
          <w:tcPr>
            <w:tcW w:w="140" w:type="dxa"/>
            <w:vAlign w:val="bottom"/>
          </w:tcPr>
          <w:p>
            <w:pPr>
              <w:spacing w:after="0"/>
              <w:rPr>
                <w:sz w:val="22"/>
                <w:szCs w:val="22"/>
                <w:color w:val="auto"/>
              </w:rPr>
            </w:pPr>
          </w:p>
        </w:tc>
        <w:tc>
          <w:tcPr>
            <w:tcW w:w="15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22"/>
                <w:szCs w:val="22"/>
                <w:color w:val="auto"/>
              </w:rPr>
            </w:pPr>
          </w:p>
        </w:tc>
        <w:tc>
          <w:tcPr>
            <w:tcW w:w="12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2"/>
                <w:szCs w:val="22"/>
                <w:color w:val="auto"/>
              </w:rPr>
            </w:pPr>
          </w:p>
        </w:tc>
        <w:tc>
          <w:tcPr>
            <w:tcW w:w="1200" w:type="dxa"/>
            <w:vAlign w:val="bottom"/>
          </w:tcPr>
          <w:p>
            <w:pPr>
              <w:jc w:val="right"/>
              <w:ind w:right="13"/>
              <w:spacing w:after="0"/>
              <w:rPr>
                <w:sz w:val="20"/>
                <w:szCs w:val="20"/>
                <w:color w:val="auto"/>
              </w:rPr>
            </w:pPr>
            <w:r>
              <w:rPr>
                <w:rFonts w:ascii="Arial" w:cs="Arial" w:eastAsia="Arial" w:hAnsi="Arial"/>
                <w:sz w:val="18"/>
                <w:szCs w:val="18"/>
                <w:color w:val="auto"/>
              </w:rPr>
              <w:t>2</w:t>
            </w:r>
          </w:p>
        </w:tc>
        <w:tc>
          <w:tcPr>
            <w:tcW w:w="12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980" w:type="dxa"/>
            <w:vAlign w:val="bottom"/>
          </w:tcPr>
          <w:p>
            <w:pPr>
              <w:jc w:val="right"/>
              <w:ind w:right="11"/>
              <w:spacing w:after="0"/>
              <w:rPr>
                <w:sz w:val="20"/>
                <w:szCs w:val="20"/>
                <w:color w:val="auto"/>
              </w:rPr>
            </w:pPr>
            <w:r>
              <w:rPr>
                <w:rFonts w:ascii="Arial" w:cs="Arial" w:eastAsia="Arial" w:hAnsi="Arial"/>
                <w:sz w:val="18"/>
                <w:szCs w:val="18"/>
                <w:color w:val="auto"/>
              </w:rPr>
              <w:t>2</w:t>
            </w:r>
          </w:p>
        </w:tc>
      </w:tr>
      <w:tr>
        <w:trPr>
          <w:trHeight w:val="277"/>
        </w:trPr>
        <w:tc>
          <w:tcPr>
            <w:tcW w:w="5460" w:type="dxa"/>
            <w:vAlign w:val="bottom"/>
            <w:gridSpan w:val="3"/>
            <w:shd w:val="clear" w:color="auto" w:fill="CCEEFF"/>
          </w:tcPr>
          <w:p>
            <w:pPr>
              <w:ind w:left="40"/>
              <w:spacing w:after="0"/>
              <w:rPr>
                <w:sz w:val="20"/>
                <w:szCs w:val="20"/>
                <w:color w:val="auto"/>
              </w:rPr>
            </w:pPr>
            <w:r>
              <w:rPr>
                <w:rFonts w:ascii="Arial" w:cs="Arial" w:eastAsia="Arial" w:hAnsi="Arial"/>
                <w:sz w:val="18"/>
                <w:szCs w:val="18"/>
                <w:color w:val="auto"/>
              </w:rPr>
              <w:t>Dividend and interest receivable</w:t>
            </w:r>
          </w:p>
        </w:tc>
        <w:tc>
          <w:tcPr>
            <w:tcW w:w="140" w:type="dxa"/>
            <w:vAlign w:val="bottom"/>
            <w:shd w:val="clear" w:color="auto" w:fill="CCEEFF"/>
          </w:tcPr>
          <w:p>
            <w:pPr>
              <w:spacing w:after="0"/>
              <w:rPr>
                <w:sz w:val="24"/>
                <w:szCs w:val="24"/>
                <w:color w:val="auto"/>
              </w:rPr>
            </w:pPr>
          </w:p>
        </w:tc>
        <w:tc>
          <w:tcPr>
            <w:tcW w:w="1480" w:type="dxa"/>
            <w:vAlign w:val="bottom"/>
            <w:shd w:val="clear" w:color="auto" w:fill="CCEEFF"/>
          </w:tcPr>
          <w:p>
            <w:pPr>
              <w:jc w:val="right"/>
              <w:ind w:right="34"/>
              <w:spacing w:after="0"/>
              <w:rPr>
                <w:sz w:val="20"/>
                <w:szCs w:val="20"/>
                <w:color w:val="auto"/>
              </w:rPr>
            </w:pPr>
            <w:r>
              <w:rPr>
                <w:rFonts w:ascii="Arial" w:cs="Arial" w:eastAsia="Arial" w:hAnsi="Arial"/>
                <w:sz w:val="18"/>
                <w:szCs w:val="18"/>
                <w:color w:val="auto"/>
              </w:rPr>
              <w:t>47</w:t>
            </w:r>
          </w:p>
        </w:tc>
        <w:tc>
          <w:tcPr>
            <w:tcW w:w="100" w:type="dxa"/>
            <w:vAlign w:val="bottom"/>
            <w:shd w:val="clear" w:color="auto" w:fill="CCEEFF"/>
          </w:tcPr>
          <w:p>
            <w:pPr>
              <w:spacing w:after="0"/>
              <w:rPr>
                <w:sz w:val="24"/>
                <w:szCs w:val="24"/>
                <w:color w:val="auto"/>
              </w:rPr>
            </w:pPr>
          </w:p>
        </w:tc>
        <w:tc>
          <w:tcPr>
            <w:tcW w:w="220" w:type="dxa"/>
            <w:vAlign w:val="bottom"/>
            <w:shd w:val="clear" w:color="auto" w:fill="CCEEFF"/>
          </w:tcPr>
          <w:p>
            <w:pPr>
              <w:spacing w:after="0"/>
              <w:rPr>
                <w:sz w:val="24"/>
                <w:szCs w:val="24"/>
                <w:color w:val="auto"/>
              </w:rPr>
            </w:pPr>
          </w:p>
        </w:tc>
        <w:tc>
          <w:tcPr>
            <w:tcW w:w="12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24"/>
                <w:szCs w:val="24"/>
                <w:color w:val="auto"/>
              </w:rPr>
            </w:pPr>
          </w:p>
        </w:tc>
        <w:tc>
          <w:tcPr>
            <w:tcW w:w="1340" w:type="dxa"/>
            <w:vAlign w:val="bottom"/>
            <w:gridSpan w:val="3"/>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260" w:type="dxa"/>
            <w:vAlign w:val="bottom"/>
            <w:shd w:val="clear" w:color="auto" w:fill="CCEEFF"/>
          </w:tcPr>
          <w:p>
            <w:pPr>
              <w:spacing w:after="0"/>
              <w:rPr>
                <w:sz w:val="24"/>
                <w:szCs w:val="24"/>
                <w:color w:val="auto"/>
              </w:rPr>
            </w:pPr>
          </w:p>
        </w:tc>
        <w:tc>
          <w:tcPr>
            <w:tcW w:w="98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47</w:t>
            </w:r>
          </w:p>
        </w:tc>
      </w:tr>
      <w:tr>
        <w:trPr>
          <w:trHeight w:val="263"/>
        </w:trPr>
        <w:tc>
          <w:tcPr>
            <w:tcW w:w="5460" w:type="dxa"/>
            <w:vAlign w:val="bottom"/>
            <w:gridSpan w:val="3"/>
          </w:tcPr>
          <w:p>
            <w:pPr>
              <w:ind w:left="40"/>
              <w:spacing w:after="0"/>
              <w:rPr>
                <w:sz w:val="20"/>
                <w:szCs w:val="20"/>
                <w:color w:val="auto"/>
              </w:rPr>
            </w:pPr>
            <w:r>
              <w:rPr>
                <w:rFonts w:ascii="Arial" w:cs="Arial" w:eastAsia="Arial" w:hAnsi="Arial"/>
                <w:sz w:val="18"/>
                <w:szCs w:val="18"/>
                <w:color w:val="auto"/>
              </w:rPr>
              <w:t>Due to/from brokers for sale of securities – net</w:t>
            </w:r>
          </w:p>
        </w:tc>
        <w:tc>
          <w:tcPr>
            <w:tcW w:w="140" w:type="dxa"/>
            <w:vAlign w:val="bottom"/>
          </w:tcPr>
          <w:p>
            <w:pPr>
              <w:spacing w:after="0"/>
              <w:rPr>
                <w:sz w:val="22"/>
                <w:szCs w:val="22"/>
                <w:color w:val="auto"/>
              </w:rPr>
            </w:pPr>
          </w:p>
        </w:tc>
        <w:tc>
          <w:tcPr>
            <w:tcW w:w="1480" w:type="dxa"/>
            <w:vAlign w:val="bottom"/>
          </w:tcPr>
          <w:p>
            <w:pPr>
              <w:jc w:val="right"/>
              <w:ind w:right="34"/>
              <w:spacing w:after="0"/>
              <w:rPr>
                <w:sz w:val="20"/>
                <w:szCs w:val="20"/>
                <w:color w:val="auto"/>
              </w:rPr>
            </w:pPr>
            <w:r>
              <w:rPr>
                <w:rFonts w:ascii="Arial" w:cs="Arial" w:eastAsia="Arial" w:hAnsi="Arial"/>
                <w:sz w:val="18"/>
                <w:szCs w:val="18"/>
                <w:color w:val="auto"/>
              </w:rPr>
              <w:t>5</w:t>
            </w:r>
          </w:p>
        </w:tc>
        <w:tc>
          <w:tcPr>
            <w:tcW w:w="10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12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2"/>
                <w:szCs w:val="22"/>
                <w:color w:val="auto"/>
              </w:rPr>
            </w:pPr>
          </w:p>
        </w:tc>
        <w:tc>
          <w:tcPr>
            <w:tcW w:w="1340" w:type="dxa"/>
            <w:vAlign w:val="bottom"/>
            <w:gridSpan w:val="3"/>
          </w:tcPr>
          <w:p>
            <w:pPr>
              <w:jc w:val="right"/>
              <w:ind w:right="240"/>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22"/>
                <w:szCs w:val="22"/>
                <w:color w:val="auto"/>
              </w:rPr>
            </w:pPr>
          </w:p>
        </w:tc>
        <w:tc>
          <w:tcPr>
            <w:tcW w:w="980" w:type="dxa"/>
            <w:vAlign w:val="bottom"/>
          </w:tcPr>
          <w:p>
            <w:pPr>
              <w:jc w:val="right"/>
              <w:ind w:right="11"/>
              <w:spacing w:after="0"/>
              <w:rPr>
                <w:sz w:val="20"/>
                <w:szCs w:val="20"/>
                <w:color w:val="auto"/>
              </w:rPr>
            </w:pPr>
            <w:r>
              <w:rPr>
                <w:rFonts w:ascii="Arial" w:cs="Arial" w:eastAsia="Arial" w:hAnsi="Arial"/>
                <w:sz w:val="18"/>
                <w:szCs w:val="18"/>
                <w:color w:val="auto"/>
              </w:rPr>
              <w:t>5</w:t>
            </w:r>
          </w:p>
        </w:tc>
      </w:tr>
      <w:tr>
        <w:trPr>
          <w:trHeight w:val="277"/>
        </w:trPr>
        <w:tc>
          <w:tcPr>
            <w:tcW w:w="5460" w:type="dxa"/>
            <w:vAlign w:val="bottom"/>
            <w:gridSpan w:val="3"/>
            <w:shd w:val="clear" w:color="auto" w:fill="CCEEFF"/>
          </w:tcPr>
          <w:p>
            <w:pPr>
              <w:ind w:left="40"/>
              <w:spacing w:after="0"/>
              <w:rPr>
                <w:sz w:val="20"/>
                <w:szCs w:val="20"/>
                <w:color w:val="auto"/>
              </w:rPr>
            </w:pPr>
            <w:r>
              <w:rPr>
                <w:rFonts w:ascii="Arial" w:cs="Arial" w:eastAsia="Arial" w:hAnsi="Arial"/>
                <w:sz w:val="18"/>
                <w:szCs w:val="18"/>
                <w:color w:val="auto"/>
              </w:rPr>
              <w:t>Other liabilities – net</w:t>
            </w:r>
          </w:p>
        </w:tc>
        <w:tc>
          <w:tcPr>
            <w:tcW w:w="140" w:type="dxa"/>
            <w:vAlign w:val="bottom"/>
            <w:shd w:val="clear" w:color="auto" w:fill="CCEEFF"/>
          </w:tcPr>
          <w:p>
            <w:pPr>
              <w:spacing w:after="0"/>
              <w:rPr>
                <w:sz w:val="24"/>
                <w:szCs w:val="24"/>
                <w:color w:val="auto"/>
              </w:rPr>
            </w:pPr>
          </w:p>
        </w:tc>
        <w:tc>
          <w:tcPr>
            <w:tcW w:w="1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w:t>
            </w:r>
          </w:p>
        </w:tc>
        <w:tc>
          <w:tcPr>
            <w:tcW w:w="100" w:type="dxa"/>
            <w:vAlign w:val="bottom"/>
            <w:shd w:val="clear" w:color="auto" w:fill="CCEEFF"/>
          </w:tcPr>
          <w:p>
            <w:pPr>
              <w:spacing w:after="0"/>
              <w:rPr>
                <w:sz w:val="24"/>
                <w:szCs w:val="24"/>
                <w:color w:val="auto"/>
              </w:rPr>
            </w:pPr>
          </w:p>
        </w:tc>
        <w:tc>
          <w:tcPr>
            <w:tcW w:w="220" w:type="dxa"/>
            <w:vAlign w:val="bottom"/>
            <w:shd w:val="clear" w:color="auto" w:fill="CCEEFF"/>
          </w:tcPr>
          <w:p>
            <w:pPr>
              <w:spacing w:after="0"/>
              <w:rPr>
                <w:sz w:val="24"/>
                <w:szCs w:val="24"/>
                <w:color w:val="auto"/>
              </w:rPr>
            </w:pPr>
          </w:p>
        </w:tc>
        <w:tc>
          <w:tcPr>
            <w:tcW w:w="12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24"/>
                <w:szCs w:val="24"/>
                <w:color w:val="auto"/>
              </w:rPr>
            </w:pPr>
          </w:p>
        </w:tc>
        <w:tc>
          <w:tcPr>
            <w:tcW w:w="1340" w:type="dxa"/>
            <w:vAlign w:val="bottom"/>
            <w:gridSpan w:val="3"/>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260" w:type="dxa"/>
            <w:vAlign w:val="bottom"/>
            <w:shd w:val="clear" w:color="auto" w:fill="CCEEFF"/>
          </w:tcPr>
          <w:p>
            <w:pPr>
              <w:spacing w:after="0"/>
              <w:rPr>
                <w:sz w:val="24"/>
                <w:szCs w:val="24"/>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w:t>
            </w:r>
          </w:p>
        </w:tc>
      </w:tr>
      <w:tr>
        <w:trPr>
          <w:trHeight w:val="244"/>
        </w:trPr>
        <w:tc>
          <w:tcPr>
            <w:tcW w:w="40" w:type="dxa"/>
            <w:vAlign w:val="bottom"/>
          </w:tcPr>
          <w:p>
            <w:pPr>
              <w:spacing w:after="0"/>
              <w:rPr>
                <w:sz w:val="21"/>
                <w:szCs w:val="21"/>
                <w:color w:val="auto"/>
              </w:rPr>
            </w:pPr>
          </w:p>
        </w:tc>
        <w:tc>
          <w:tcPr>
            <w:tcW w:w="5420" w:type="dxa"/>
            <w:vAlign w:val="bottom"/>
            <w:gridSpan w:val="2"/>
          </w:tcPr>
          <w:p>
            <w:pPr>
              <w:ind w:left="140"/>
              <w:spacing w:after="0"/>
              <w:rPr>
                <w:sz w:val="20"/>
                <w:szCs w:val="20"/>
                <w:color w:val="auto"/>
              </w:rPr>
            </w:pPr>
            <w:r>
              <w:rPr>
                <w:rFonts w:ascii="Arial" w:cs="Arial" w:eastAsia="Arial" w:hAnsi="Arial"/>
                <w:sz w:val="18"/>
                <w:szCs w:val="18"/>
                <w:color w:val="auto"/>
              </w:rPr>
              <w:t>Total</w:t>
            </w: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480" w:type="dxa"/>
            <w:vAlign w:val="bottom"/>
            <w:tcBorders>
              <w:top w:val="single" w:sz="8" w:color="auto"/>
              <w:bottom w:val="single" w:sz="8" w:color="auto"/>
            </w:tcBorders>
          </w:tcPr>
          <w:p>
            <w:pPr>
              <w:jc w:val="right"/>
              <w:ind w:right="34"/>
              <w:spacing w:after="0"/>
              <w:rPr>
                <w:sz w:val="20"/>
                <w:szCs w:val="20"/>
                <w:color w:val="auto"/>
              </w:rPr>
            </w:pPr>
            <w:r>
              <w:rPr>
                <w:rFonts w:ascii="Arial" w:cs="Arial" w:eastAsia="Arial" w:hAnsi="Arial"/>
                <w:sz w:val="18"/>
                <w:szCs w:val="18"/>
                <w:color w:val="auto"/>
              </w:rPr>
              <w:t>5,975</w:t>
            </w:r>
          </w:p>
        </w:tc>
        <w:tc>
          <w:tcPr>
            <w:tcW w:w="100" w:type="dxa"/>
            <w:vAlign w:val="bottom"/>
          </w:tcPr>
          <w:p>
            <w:pPr>
              <w:spacing w:after="0"/>
              <w:rPr>
                <w:sz w:val="21"/>
                <w:szCs w:val="21"/>
                <w:color w:val="auto"/>
              </w:rPr>
            </w:pPr>
          </w:p>
        </w:tc>
        <w:tc>
          <w:tcPr>
            <w:tcW w:w="22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w w:val="99"/>
              </w:rPr>
              <w:t>$</w:t>
            </w:r>
          </w:p>
        </w:tc>
        <w:tc>
          <w:tcPr>
            <w:tcW w:w="1160" w:type="dxa"/>
            <w:vAlign w:val="bottom"/>
            <w:tcBorders>
              <w:top w:val="single" w:sz="8" w:color="auto"/>
              <w:bottom w:val="single" w:sz="8" w:color="auto"/>
            </w:tcBorders>
          </w:tcPr>
          <w:p>
            <w:pPr>
              <w:jc w:val="right"/>
              <w:ind w:right="33"/>
              <w:spacing w:after="0"/>
              <w:rPr>
                <w:sz w:val="20"/>
                <w:szCs w:val="20"/>
                <w:color w:val="auto"/>
              </w:rPr>
            </w:pPr>
            <w:r>
              <w:rPr>
                <w:rFonts w:ascii="Arial" w:cs="Arial" w:eastAsia="Arial" w:hAnsi="Arial"/>
                <w:sz w:val="18"/>
                <w:szCs w:val="18"/>
                <w:color w:val="auto"/>
              </w:rPr>
              <w:t>2,602</w:t>
            </w:r>
          </w:p>
        </w:tc>
        <w:tc>
          <w:tcPr>
            <w:tcW w:w="100" w:type="dxa"/>
            <w:vAlign w:val="bottom"/>
          </w:tcPr>
          <w:p>
            <w:pPr>
              <w:spacing w:after="0"/>
              <w:rPr>
                <w:sz w:val="21"/>
                <w:szCs w:val="21"/>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200" w:type="dxa"/>
            <w:vAlign w:val="bottom"/>
            <w:tcBorders>
              <w:top w:val="single" w:sz="8" w:color="auto"/>
              <w:bottom w:val="single" w:sz="8" w:color="auto"/>
            </w:tcBorders>
          </w:tcPr>
          <w:p>
            <w:pPr>
              <w:jc w:val="right"/>
              <w:ind w:right="13"/>
              <w:spacing w:after="0"/>
              <w:rPr>
                <w:sz w:val="20"/>
                <w:szCs w:val="20"/>
                <w:color w:val="auto"/>
              </w:rPr>
            </w:pPr>
            <w:r>
              <w:rPr>
                <w:rFonts w:ascii="Arial" w:cs="Arial" w:eastAsia="Arial" w:hAnsi="Arial"/>
                <w:sz w:val="18"/>
                <w:szCs w:val="18"/>
                <w:color w:val="auto"/>
              </w:rPr>
              <w:t>9</w:t>
            </w:r>
          </w:p>
        </w:tc>
        <w:tc>
          <w:tcPr>
            <w:tcW w:w="120" w:type="dxa"/>
            <w:vAlign w:val="bottom"/>
          </w:tcPr>
          <w:p>
            <w:pPr>
              <w:spacing w:after="0"/>
              <w:rPr>
                <w:sz w:val="21"/>
                <w:szCs w:val="21"/>
                <w:color w:val="auto"/>
              </w:rPr>
            </w:pPr>
          </w:p>
        </w:tc>
        <w:tc>
          <w:tcPr>
            <w:tcW w:w="20" w:type="dxa"/>
            <w:vAlign w:val="bottom"/>
            <w:tcBorders>
              <w:top w:val="single" w:sz="8" w:color="auto"/>
              <w:bottom w:val="single" w:sz="8" w:color="auto"/>
            </w:tcBorders>
          </w:tcPr>
          <w:p>
            <w:pPr>
              <w:spacing w:after="0"/>
              <w:rPr>
                <w:sz w:val="21"/>
                <w:szCs w:val="21"/>
                <w:color w:val="auto"/>
              </w:rPr>
            </w:pPr>
          </w:p>
        </w:tc>
        <w:tc>
          <w:tcPr>
            <w:tcW w:w="260" w:type="dxa"/>
            <w:vAlign w:val="bottom"/>
            <w:tcBorders>
              <w:top w:val="single" w:sz="8" w:color="auto"/>
              <w:bottom w:val="single" w:sz="8" w:color="auto"/>
            </w:tcBorders>
          </w:tcPr>
          <w:p>
            <w:pPr>
              <w:jc w:val="right"/>
              <w:ind w:right="70"/>
              <w:spacing w:after="0"/>
              <w:rPr>
                <w:sz w:val="20"/>
                <w:szCs w:val="20"/>
                <w:color w:val="auto"/>
              </w:rPr>
            </w:pPr>
            <w:r>
              <w:rPr>
                <w:rFonts w:ascii="Arial" w:cs="Arial" w:eastAsia="Arial" w:hAnsi="Arial"/>
                <w:sz w:val="18"/>
                <w:szCs w:val="18"/>
                <w:color w:val="auto"/>
                <w:w w:val="79"/>
              </w:rPr>
              <w:t>$</w:t>
            </w:r>
          </w:p>
        </w:tc>
        <w:tc>
          <w:tcPr>
            <w:tcW w:w="980" w:type="dxa"/>
            <w:vAlign w:val="bottom"/>
            <w:tcBorders>
              <w:top w:val="single" w:sz="8" w:color="auto"/>
              <w:bottom w:val="single" w:sz="8" w:color="auto"/>
            </w:tcBorders>
          </w:tcPr>
          <w:p>
            <w:pPr>
              <w:jc w:val="right"/>
              <w:ind w:right="11"/>
              <w:spacing w:after="0"/>
              <w:rPr>
                <w:sz w:val="20"/>
                <w:szCs w:val="20"/>
                <w:color w:val="auto"/>
              </w:rPr>
            </w:pPr>
            <w:r>
              <w:rPr>
                <w:rFonts w:ascii="Arial" w:cs="Arial" w:eastAsia="Arial" w:hAnsi="Arial"/>
                <w:sz w:val="18"/>
                <w:szCs w:val="18"/>
                <w:color w:val="auto"/>
              </w:rPr>
              <w:t>10,001</w:t>
            </w:r>
          </w:p>
        </w:tc>
      </w:tr>
      <w:tr>
        <w:trPr>
          <w:trHeight w:val="20"/>
        </w:trPr>
        <w:tc>
          <w:tcPr>
            <w:tcW w:w="4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436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4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197485</wp:posOffset>
            </wp:positionV>
            <wp:extent cx="1337945" cy="8890"/>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1337945" cy="8890"/>
                    </a:xfrm>
                    <a:prstGeom prst="rect">
                      <a:avLst/>
                    </a:prstGeom>
                    <a:noFill/>
                  </pic:spPr>
                </pic:pic>
              </a:graphicData>
            </a:graphic>
          </wp:anchor>
        </w:drawing>
      </w:r>
    </w:p>
    <w:p>
      <w:pPr>
        <w:sectPr>
          <w:pgSz w:w="11900" w:h="16838" w:orient="portrait"/>
          <w:cols w:equalWidth="0" w:num="1">
            <w:col w:w="11420"/>
          </w:cols>
          <w:pgMar w:left="240" w:top="549" w:right="239" w:bottom="1440" w:gutter="0" w:footer="0" w:header="0"/>
          <w:type w:val="continuous"/>
        </w:sectPr>
      </w:pPr>
    </w:p>
    <w:p>
      <w:pPr>
        <w:spacing w:after="0" w:line="200" w:lineRule="exact"/>
        <w:rPr>
          <w:sz w:val="20"/>
          <w:szCs w:val="20"/>
          <w:color w:val="auto"/>
        </w:rPr>
      </w:pPr>
    </w:p>
    <w:p>
      <w:pPr>
        <w:spacing w:after="0" w:line="202" w:lineRule="exact"/>
        <w:rPr>
          <w:sz w:val="20"/>
          <w:szCs w:val="20"/>
          <w:color w:val="auto"/>
        </w:rPr>
      </w:pPr>
    </w:p>
    <w:p>
      <w:pPr>
        <w:spacing w:after="0"/>
        <w:rPr>
          <w:sz w:val="20"/>
          <w:szCs w:val="20"/>
          <w:color w:val="auto"/>
        </w:rPr>
      </w:pPr>
      <w:r>
        <w:rPr>
          <w:rFonts w:ascii="Arial" w:cs="Arial" w:eastAsia="Arial" w:hAnsi="Arial"/>
          <w:sz w:val="11"/>
          <w:szCs w:val="11"/>
          <w:color w:val="auto"/>
        </w:rPr>
        <w:t>(a)</w:t>
      </w:r>
    </w:p>
    <w:p>
      <w:pPr>
        <w:spacing w:after="0" w:line="200" w:lineRule="exact"/>
        <w:rPr>
          <w:sz w:val="20"/>
          <w:szCs w:val="20"/>
          <w:color w:val="auto"/>
        </w:rPr>
      </w:pPr>
    </w:p>
    <w:p>
      <w:pPr>
        <w:spacing w:after="0" w:line="268" w:lineRule="exact"/>
        <w:rPr>
          <w:sz w:val="20"/>
          <w:szCs w:val="20"/>
          <w:color w:val="auto"/>
        </w:rPr>
      </w:pPr>
    </w:p>
    <w:p>
      <w:pPr>
        <w:spacing w:after="0"/>
        <w:rPr>
          <w:sz w:val="20"/>
          <w:szCs w:val="20"/>
          <w:color w:val="auto"/>
        </w:rPr>
      </w:pPr>
      <w:r>
        <w:rPr>
          <w:rFonts w:ascii="Arial" w:cs="Arial" w:eastAsia="Arial" w:hAnsi="Arial"/>
          <w:sz w:val="11"/>
          <w:szCs w:val="11"/>
          <w:color w:val="auto"/>
        </w:rPr>
        <w:t>(b)</w:t>
      </w:r>
    </w:p>
    <w:p>
      <w:pPr>
        <w:spacing w:after="0" w:line="252" w:lineRule="exact"/>
        <w:rPr>
          <w:sz w:val="20"/>
          <w:szCs w:val="20"/>
          <w:color w:val="auto"/>
        </w:rPr>
      </w:pPr>
    </w:p>
    <w:p>
      <w:pPr>
        <w:spacing w:after="0"/>
        <w:rPr>
          <w:sz w:val="20"/>
          <w:szCs w:val="20"/>
          <w:color w:val="auto"/>
        </w:rPr>
      </w:pPr>
      <w:r>
        <w:rPr>
          <w:rFonts w:ascii="Arial" w:cs="Arial" w:eastAsia="Arial" w:hAnsi="Arial"/>
          <w:sz w:val="11"/>
          <w:szCs w:val="11"/>
          <w:color w:val="auto"/>
        </w:rPr>
        <w:t>(c)</w:t>
      </w:r>
    </w:p>
    <w:p>
      <w:pPr>
        <w:spacing w:after="0" w:line="200" w:lineRule="exact"/>
        <w:rPr>
          <w:sz w:val="20"/>
          <w:szCs w:val="20"/>
          <w:color w:val="auto"/>
        </w:rPr>
      </w:pPr>
    </w:p>
    <w:p>
      <w:pPr>
        <w:spacing w:after="0" w:line="268" w:lineRule="exact"/>
        <w:rPr>
          <w:sz w:val="20"/>
          <w:szCs w:val="20"/>
          <w:color w:val="auto"/>
        </w:rPr>
      </w:pPr>
    </w:p>
    <w:p>
      <w:pPr>
        <w:spacing w:after="0"/>
        <w:rPr>
          <w:sz w:val="20"/>
          <w:szCs w:val="20"/>
          <w:color w:val="auto"/>
        </w:rPr>
      </w:pPr>
      <w:r>
        <w:rPr>
          <w:rFonts w:ascii="Arial" w:cs="Arial" w:eastAsia="Arial" w:hAnsi="Arial"/>
          <w:sz w:val="11"/>
          <w:szCs w:val="11"/>
          <w:color w:val="auto"/>
        </w:rPr>
        <w:t>(d)</w:t>
      </w:r>
    </w:p>
    <w:p>
      <w:pPr>
        <w:spacing w:after="0" w:line="20" w:lineRule="exact"/>
        <w:rPr>
          <w:sz w:val="20"/>
          <w:szCs w:val="20"/>
          <w:color w:val="auto"/>
        </w:rPr>
      </w:pPr>
      <w:r>
        <w:rPr>
          <w:sz w:val="20"/>
          <w:szCs w:val="20"/>
          <w:color w:val="auto"/>
        </w:rPr>
        <w:br w:type="column"/>
      </w:r>
    </w:p>
    <w:p>
      <w:pPr>
        <w:spacing w:after="0" w:line="384" w:lineRule="exact"/>
        <w:rPr>
          <w:sz w:val="20"/>
          <w:szCs w:val="20"/>
          <w:color w:val="auto"/>
        </w:rPr>
      </w:pPr>
    </w:p>
    <w:p>
      <w:pPr>
        <w:ind w:right="20"/>
        <w:spacing w:after="0" w:line="262" w:lineRule="auto"/>
        <w:rPr>
          <w:sz w:val="20"/>
          <w:szCs w:val="20"/>
          <w:color w:val="auto"/>
        </w:rPr>
      </w:pPr>
      <w:r>
        <w:rPr>
          <w:rFonts w:ascii="Arial" w:cs="Arial" w:eastAsia="Arial" w:hAnsi="Arial"/>
          <w:sz w:val="18"/>
          <w:szCs w:val="18"/>
          <w:color w:val="auto"/>
        </w:rPr>
        <w:t>Holdings are diversified as follows: 17% United Kingdom, 10% Japan, 8% France, 7% Switzerland, 6% Ireland, 17% emerging markets and the remaining 35% with no concentration greater than 5% in any one country.</w:t>
      </w:r>
    </w:p>
    <w:p>
      <w:pPr>
        <w:spacing w:after="0" w:line="142" w:lineRule="exact"/>
        <w:rPr>
          <w:sz w:val="20"/>
          <w:szCs w:val="20"/>
          <w:color w:val="auto"/>
        </w:rPr>
      </w:pPr>
    </w:p>
    <w:p>
      <w:pPr>
        <w:spacing w:after="0"/>
        <w:rPr>
          <w:sz w:val="20"/>
          <w:szCs w:val="20"/>
          <w:color w:val="auto"/>
        </w:rPr>
      </w:pPr>
      <w:r>
        <w:rPr>
          <w:rFonts w:ascii="Arial" w:cs="Arial" w:eastAsia="Arial" w:hAnsi="Arial"/>
          <w:sz w:val="18"/>
          <w:szCs w:val="18"/>
          <w:color w:val="auto"/>
        </w:rPr>
        <w:t>There are no significant concentrations of holdings by company or industry.</w:t>
      </w:r>
    </w:p>
    <w:p>
      <w:pPr>
        <w:spacing w:after="0" w:line="171" w:lineRule="exact"/>
        <w:rPr>
          <w:sz w:val="20"/>
          <w:szCs w:val="20"/>
          <w:color w:val="auto"/>
        </w:rPr>
      </w:pPr>
    </w:p>
    <w:p>
      <w:pPr>
        <w:ind w:right="20"/>
        <w:spacing w:after="0" w:line="262" w:lineRule="auto"/>
        <w:rPr>
          <w:sz w:val="20"/>
          <w:szCs w:val="20"/>
          <w:color w:val="auto"/>
        </w:rPr>
      </w:pPr>
      <w:r>
        <w:rPr>
          <w:rFonts w:ascii="Arial" w:cs="Arial" w:eastAsia="Arial" w:hAnsi="Arial"/>
          <w:sz w:val="18"/>
          <w:szCs w:val="18"/>
          <w:color w:val="auto"/>
        </w:rPr>
        <w:t>Includes approximately 77% investments in corporate debt with a S&amp;P rating lower than A and 23% investments in corporate debt with a S&amp;P rating A or higher. Holdings include 85% U.S. companies, 12% international companies and 3% emerging market companies.</w:t>
      </w:r>
    </w:p>
    <w:p>
      <w:pPr>
        <w:spacing w:after="0" w:line="142" w:lineRule="exact"/>
        <w:rPr>
          <w:sz w:val="20"/>
          <w:szCs w:val="20"/>
          <w:color w:val="auto"/>
        </w:rPr>
      </w:pPr>
    </w:p>
    <w:p>
      <w:pPr>
        <w:ind w:right="20"/>
        <w:spacing w:after="0" w:line="262" w:lineRule="auto"/>
        <w:rPr>
          <w:sz w:val="20"/>
          <w:szCs w:val="20"/>
          <w:color w:val="auto"/>
        </w:rPr>
      </w:pPr>
      <w:r>
        <w:rPr>
          <w:rFonts w:ascii="Arial" w:cs="Arial" w:eastAsia="Arial" w:hAnsi="Arial"/>
          <w:sz w:val="18"/>
          <w:szCs w:val="18"/>
          <w:color w:val="auto"/>
        </w:rPr>
        <w:t>Includes approximately 32% investments in U.S. domestic government securities, 37% in emerging market government securities and 31% in international government securities. There are no significant foreign currency risks within this classification.</w:t>
      </w:r>
    </w:p>
    <w:p>
      <w:pPr>
        <w:spacing w:after="0" w:line="196" w:lineRule="exact"/>
        <w:rPr>
          <w:sz w:val="20"/>
          <w:szCs w:val="20"/>
          <w:color w:val="auto"/>
        </w:rPr>
      </w:pPr>
    </w:p>
    <w:p>
      <w:pPr>
        <w:jc w:val="center"/>
        <w:ind w:right="640"/>
        <w:spacing w:after="0"/>
        <w:rPr>
          <w:sz w:val="20"/>
          <w:szCs w:val="20"/>
          <w:color w:val="auto"/>
        </w:rPr>
      </w:pPr>
      <w:r>
        <w:rPr>
          <w:rFonts w:ascii="Arial" w:cs="Arial" w:eastAsia="Arial" w:hAnsi="Arial"/>
          <w:sz w:val="18"/>
          <w:szCs w:val="18"/>
          <w:color w:val="auto"/>
        </w:rPr>
        <w:t>147</w:t>
      </w:r>
    </w:p>
    <w:p>
      <w:pPr>
        <w:sectPr>
          <w:pgSz w:w="11900" w:h="16838" w:orient="portrait"/>
          <w:cols w:equalWidth="0" w:num="2">
            <w:col w:w="140" w:space="520"/>
            <w:col w:w="10760"/>
          </w:cols>
          <w:pgMar w:left="240" w:top="549" w:right="239" w:bottom="1440" w:gutter="0" w:footer="0" w:header="0"/>
          <w:type w:val="continuous"/>
        </w:sectPr>
      </w:pPr>
    </w:p>
    <w:bookmarkStart w:id="147" w:name="page148"/>
    <w:bookmarkEnd w:id="147"/>
    <w:p>
      <w:pPr>
        <w:jc w:val="center"/>
        <w:spacing w:after="0"/>
        <w:rPr>
          <w:sz w:val="20"/>
          <w:szCs w:val="20"/>
          <w:color w:val="auto"/>
        </w:rPr>
      </w:pPr>
      <w:r>
        <w:rPr>
          <w:rFonts w:ascii="Arial" w:cs="Arial" w:eastAsia="Arial" w:hAnsi="Arial"/>
          <w:sz w:val="18"/>
          <w:szCs w:val="18"/>
          <w:b w:val="1"/>
          <w:bCs w:val="1"/>
          <w:color w:val="auto"/>
        </w:rPr>
        <w:t>NOTES TO CONSOLIDATED FINANCIAL STATEMENTS OF AMERICAN AIRLINES, INC.</w:t>
      </w:r>
    </w:p>
    <w:p>
      <w:pPr>
        <w:spacing w:after="0" w:line="200" w:lineRule="exact"/>
        <w:rPr>
          <w:sz w:val="20"/>
          <w:szCs w:val="20"/>
          <w:color w:val="auto"/>
        </w:rPr>
      </w:pPr>
    </w:p>
    <w:p>
      <w:pPr>
        <w:spacing w:after="0" w:line="209" w:lineRule="exact"/>
        <w:rPr>
          <w:sz w:val="20"/>
          <w:szCs w:val="20"/>
          <w:color w:val="auto"/>
        </w:rPr>
      </w:pPr>
    </w:p>
    <w:p>
      <w:pPr>
        <w:jc w:val="both"/>
        <w:ind w:left="660" w:hanging="652"/>
        <w:spacing w:after="0"/>
        <w:tabs>
          <w:tab w:leader="none" w:pos="660" w:val="left"/>
        </w:tabs>
        <w:numPr>
          <w:ilvl w:val="0"/>
          <w:numId w:val="65"/>
        </w:numPr>
        <w:rPr>
          <w:rFonts w:ascii="Arial" w:cs="Arial" w:eastAsia="Arial" w:hAnsi="Arial"/>
          <w:sz w:val="22"/>
          <w:szCs w:val="22"/>
          <w:color w:val="auto"/>
          <w:vertAlign w:val="superscript"/>
        </w:rPr>
      </w:pPr>
      <w:r>
        <w:rPr>
          <w:rFonts w:ascii="Arial" w:cs="Arial" w:eastAsia="Arial" w:hAnsi="Arial"/>
          <w:sz w:val="18"/>
          <w:szCs w:val="18"/>
          <w:color w:val="auto"/>
        </w:rPr>
        <w:t>Includes limited partnerships that invest primarily in U.S. (94%) and European (6%) buyout opportunities of a range of privately held companies. The pension plan’s master trust does not have the right to redeem its limited partnership investment at its net asset value, but rather receives distributions as the underlying assets are liquidated. It is estimated that the underlying assets of these funds will be gradually liquidated over the next one to ten years. Additionally, the pension plan’s master trust has future funding commitments of approximately $1.0 billion over the next ten years.</w:t>
      </w:r>
    </w:p>
    <w:p>
      <w:pPr>
        <w:spacing w:after="0" w:line="161" w:lineRule="exact"/>
        <w:rPr>
          <w:rFonts w:ascii="Arial" w:cs="Arial" w:eastAsia="Arial" w:hAnsi="Arial"/>
          <w:sz w:val="22"/>
          <w:szCs w:val="22"/>
          <w:color w:val="auto"/>
          <w:vertAlign w:val="superscript"/>
        </w:rPr>
      </w:pPr>
    </w:p>
    <w:p>
      <w:pPr>
        <w:jc w:val="both"/>
        <w:ind w:left="660" w:hanging="652"/>
        <w:spacing w:after="0" w:line="233" w:lineRule="auto"/>
        <w:tabs>
          <w:tab w:leader="none" w:pos="660" w:val="left"/>
        </w:tabs>
        <w:numPr>
          <w:ilvl w:val="0"/>
          <w:numId w:val="65"/>
        </w:numPr>
        <w:rPr>
          <w:rFonts w:ascii="Arial" w:cs="Arial" w:eastAsia="Arial" w:hAnsi="Arial"/>
          <w:sz w:val="22"/>
          <w:szCs w:val="22"/>
          <w:color w:val="auto"/>
          <w:vertAlign w:val="superscript"/>
        </w:rPr>
      </w:pPr>
      <w:r>
        <w:rPr>
          <w:rFonts w:ascii="Arial" w:cs="Arial" w:eastAsia="Arial" w:hAnsi="Arial"/>
          <w:sz w:val="18"/>
          <w:szCs w:val="18"/>
          <w:color w:val="auto"/>
        </w:rPr>
        <w:t>Certain investments that are measured using net asset value per share (or its equivalent) as a practical expedient for fair value have not been classified in the fair value hierarchy. The fair value amounts presented in this table are intended to permit reconciliation of the fair value hierarchy to the amounts presented in the notes to the consolidated financial statements.</w:t>
      </w:r>
    </w:p>
    <w:p>
      <w:pPr>
        <w:spacing w:after="0" w:line="162" w:lineRule="exact"/>
        <w:rPr>
          <w:rFonts w:ascii="Arial" w:cs="Arial" w:eastAsia="Arial" w:hAnsi="Arial"/>
          <w:sz w:val="22"/>
          <w:szCs w:val="22"/>
          <w:color w:val="auto"/>
          <w:vertAlign w:val="superscript"/>
        </w:rPr>
      </w:pPr>
    </w:p>
    <w:p>
      <w:pPr>
        <w:jc w:val="both"/>
        <w:ind w:left="660" w:hanging="652"/>
        <w:spacing w:after="0"/>
        <w:tabs>
          <w:tab w:leader="none" w:pos="660" w:val="left"/>
        </w:tabs>
        <w:numPr>
          <w:ilvl w:val="0"/>
          <w:numId w:val="65"/>
        </w:numPr>
        <w:rPr>
          <w:rFonts w:ascii="Arial" w:cs="Arial" w:eastAsia="Arial" w:hAnsi="Arial"/>
          <w:sz w:val="22"/>
          <w:szCs w:val="22"/>
          <w:color w:val="auto"/>
          <w:vertAlign w:val="superscript"/>
        </w:rPr>
      </w:pPr>
      <w:r>
        <w:rPr>
          <w:rFonts w:ascii="Arial" w:cs="Arial" w:eastAsia="Arial" w:hAnsi="Arial"/>
          <w:sz w:val="18"/>
          <w:szCs w:val="18"/>
          <w:color w:val="auto"/>
        </w:rPr>
        <w:t>Investment includes 45% in an emerging market 103-12 Investment Trust with investments in emerging country equity securities, 37% in a collective interest trust investing primarily in short-term securities, 12% in Canadian segregated balanced value, income growth and diversified pooled funds and 6% in a common/collective trust investing in securities of smaller companies located outside the U.S., including developing markets. For some trusts, requests for withdrawals must meet specific requirements with advance notice of redemption preferred.</w:t>
      </w:r>
    </w:p>
    <w:p>
      <w:pPr>
        <w:spacing w:after="0" w:line="162" w:lineRule="exact"/>
        <w:rPr>
          <w:sz w:val="20"/>
          <w:szCs w:val="20"/>
          <w:color w:val="auto"/>
        </w:rPr>
      </w:pPr>
    </w:p>
    <w:p>
      <w:pPr>
        <w:ind w:left="220"/>
        <w:spacing w:after="0"/>
        <w:rPr>
          <w:sz w:val="20"/>
          <w:szCs w:val="20"/>
          <w:color w:val="auto"/>
        </w:rPr>
      </w:pPr>
      <w:r>
        <w:rPr>
          <w:rFonts w:ascii="Arial" w:cs="Arial" w:eastAsia="Arial" w:hAnsi="Arial"/>
          <w:sz w:val="18"/>
          <w:szCs w:val="18"/>
          <w:color w:val="auto"/>
        </w:rPr>
        <w:t>Changes in fair value measurements of Level 3 investments during the year ended December 31, 2019, were as follows (in millions):</w:t>
      </w:r>
    </w:p>
    <w:p>
      <w:pPr>
        <w:spacing w:after="0" w:line="321"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7640" w:type="dxa"/>
            <w:vAlign w:val="bottom"/>
          </w:tcPr>
          <w:p>
            <w:pPr>
              <w:spacing w:after="0"/>
              <w:rPr>
                <w:sz w:val="14"/>
                <w:szCs w:val="14"/>
                <w:color w:val="auto"/>
              </w:rPr>
            </w:pPr>
          </w:p>
        </w:tc>
        <w:tc>
          <w:tcPr>
            <w:tcW w:w="1460" w:type="dxa"/>
            <w:vAlign w:val="bottom"/>
          </w:tcPr>
          <w:p>
            <w:pPr>
              <w:jc w:val="right"/>
              <w:spacing w:after="0"/>
              <w:rPr>
                <w:sz w:val="20"/>
                <w:szCs w:val="20"/>
                <w:color w:val="auto"/>
              </w:rPr>
            </w:pPr>
            <w:r>
              <w:rPr>
                <w:rFonts w:ascii="Arial" w:cs="Arial" w:eastAsia="Arial" w:hAnsi="Arial"/>
                <w:sz w:val="14"/>
                <w:szCs w:val="14"/>
                <w:b w:val="1"/>
                <w:bCs w:val="1"/>
                <w:color w:val="auto"/>
              </w:rPr>
              <w:t>Private Market</w:t>
            </w:r>
          </w:p>
        </w:tc>
        <w:tc>
          <w:tcPr>
            <w:tcW w:w="3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620" w:type="dxa"/>
            <w:vAlign w:val="bottom"/>
          </w:tcPr>
          <w:p>
            <w:pPr>
              <w:jc w:val="right"/>
              <w:ind w:right="257"/>
              <w:spacing w:after="0"/>
              <w:rPr>
                <w:sz w:val="20"/>
                <w:szCs w:val="20"/>
                <w:color w:val="auto"/>
              </w:rPr>
            </w:pPr>
            <w:r>
              <w:rPr>
                <w:rFonts w:ascii="Arial" w:cs="Arial" w:eastAsia="Arial" w:hAnsi="Arial"/>
                <w:sz w:val="14"/>
                <w:szCs w:val="14"/>
                <w:b w:val="1"/>
                <w:bCs w:val="1"/>
                <w:color w:val="auto"/>
              </w:rPr>
              <w:t>Insurance Group</w:t>
            </w:r>
          </w:p>
        </w:tc>
      </w:tr>
      <w:tr>
        <w:trPr>
          <w:trHeight w:val="196"/>
        </w:trPr>
        <w:tc>
          <w:tcPr>
            <w:tcW w:w="7640" w:type="dxa"/>
            <w:vAlign w:val="bottom"/>
            <w:tcBorders>
              <w:bottom w:val="single" w:sz="8" w:color="CCEEFF"/>
            </w:tcBorders>
          </w:tcPr>
          <w:p>
            <w:pPr>
              <w:spacing w:after="0"/>
              <w:rPr>
                <w:sz w:val="17"/>
                <w:szCs w:val="17"/>
                <w:color w:val="auto"/>
              </w:rPr>
            </w:pPr>
          </w:p>
        </w:tc>
        <w:tc>
          <w:tcPr>
            <w:tcW w:w="1460" w:type="dxa"/>
            <w:vAlign w:val="bottom"/>
            <w:tcBorders>
              <w:bottom w:val="single" w:sz="8" w:color="auto"/>
            </w:tcBorders>
          </w:tcPr>
          <w:p>
            <w:pPr>
              <w:jc w:val="right"/>
              <w:ind w:right="19"/>
              <w:spacing w:after="0"/>
              <w:rPr>
                <w:sz w:val="20"/>
                <w:szCs w:val="20"/>
                <w:color w:val="auto"/>
              </w:rPr>
            </w:pPr>
            <w:r>
              <w:rPr>
                <w:rFonts w:ascii="Arial" w:cs="Arial" w:eastAsia="Arial" w:hAnsi="Arial"/>
                <w:sz w:val="14"/>
                <w:szCs w:val="14"/>
                <w:b w:val="1"/>
                <w:bCs w:val="1"/>
                <w:color w:val="auto"/>
              </w:rPr>
              <w:t>Partnerships</w:t>
            </w:r>
          </w:p>
        </w:tc>
        <w:tc>
          <w:tcPr>
            <w:tcW w:w="380" w:type="dxa"/>
            <w:vAlign w:val="bottom"/>
            <w:tcBorders>
              <w:bottom w:val="single" w:sz="8" w:color="auto"/>
            </w:tcBorders>
          </w:tcPr>
          <w:p>
            <w:pPr>
              <w:spacing w:after="0"/>
              <w:rPr>
                <w:sz w:val="17"/>
                <w:szCs w:val="17"/>
                <w:color w:val="auto"/>
              </w:rPr>
            </w:pPr>
          </w:p>
        </w:tc>
        <w:tc>
          <w:tcPr>
            <w:tcW w:w="100" w:type="dxa"/>
            <w:vAlign w:val="bottom"/>
            <w:tcBorders>
              <w:bottom w:val="single" w:sz="8" w:color="CCEEFF"/>
            </w:tcBorders>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1620" w:type="dxa"/>
            <w:vAlign w:val="bottom"/>
            <w:tcBorders>
              <w:bottom w:val="single" w:sz="8" w:color="auto"/>
            </w:tcBorders>
          </w:tcPr>
          <w:p>
            <w:pPr>
              <w:jc w:val="right"/>
              <w:ind w:right="217"/>
              <w:spacing w:after="0"/>
              <w:rPr>
                <w:sz w:val="20"/>
                <w:szCs w:val="20"/>
                <w:color w:val="auto"/>
              </w:rPr>
            </w:pPr>
            <w:r>
              <w:rPr>
                <w:rFonts w:ascii="Arial" w:cs="Arial" w:eastAsia="Arial" w:hAnsi="Arial"/>
                <w:sz w:val="14"/>
                <w:szCs w:val="14"/>
                <w:b w:val="1"/>
                <w:bCs w:val="1"/>
                <w:color w:val="auto"/>
              </w:rPr>
              <w:t>Annuity Contracts</w:t>
            </w:r>
          </w:p>
        </w:tc>
      </w:tr>
      <w:tr>
        <w:trPr>
          <w:trHeight w:val="256"/>
        </w:trPr>
        <w:tc>
          <w:tcPr>
            <w:tcW w:w="7640" w:type="dxa"/>
            <w:vAlign w:val="bottom"/>
            <w:shd w:val="clear" w:color="auto" w:fill="CCEEFF"/>
          </w:tcPr>
          <w:p>
            <w:pPr>
              <w:ind w:left="40"/>
              <w:spacing w:after="0"/>
              <w:rPr>
                <w:sz w:val="20"/>
                <w:szCs w:val="20"/>
                <w:color w:val="auto"/>
              </w:rPr>
            </w:pPr>
            <w:r>
              <w:rPr>
                <w:rFonts w:ascii="Arial" w:cs="Arial" w:eastAsia="Arial" w:hAnsi="Arial"/>
                <w:sz w:val="18"/>
                <w:szCs w:val="18"/>
                <w:color w:val="auto"/>
              </w:rPr>
              <w:t>Beginning balance at December 31, 2018</w:t>
            </w:r>
          </w:p>
        </w:tc>
        <w:tc>
          <w:tcPr>
            <w:tcW w:w="1460" w:type="dxa"/>
            <w:vAlign w:val="bottom"/>
            <w:shd w:val="clear" w:color="auto" w:fill="CCEEFF"/>
          </w:tcPr>
          <w:p>
            <w:pPr>
              <w:jc w:val="right"/>
              <w:ind w:right="1259"/>
              <w:spacing w:after="0"/>
              <w:rPr>
                <w:sz w:val="20"/>
                <w:szCs w:val="20"/>
                <w:color w:val="auto"/>
              </w:rPr>
            </w:pPr>
            <w:r>
              <w:rPr>
                <w:rFonts w:ascii="Arial" w:cs="Arial" w:eastAsia="Arial" w:hAnsi="Arial"/>
                <w:sz w:val="18"/>
                <w:szCs w:val="18"/>
                <w:color w:val="auto"/>
                <w:w w:val="99"/>
              </w:rPr>
              <w:t>$</w:t>
            </w:r>
          </w:p>
        </w:tc>
        <w:tc>
          <w:tcPr>
            <w:tcW w:w="38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7</w:t>
            </w:r>
          </w:p>
        </w:tc>
        <w:tc>
          <w:tcPr>
            <w:tcW w:w="100" w:type="dxa"/>
            <w:vAlign w:val="bottom"/>
            <w:shd w:val="clear" w:color="auto" w:fill="CCEEFF"/>
          </w:tcPr>
          <w:p>
            <w:pPr>
              <w:spacing w:after="0"/>
              <w:rPr>
                <w:sz w:val="22"/>
                <w:szCs w:val="22"/>
                <w:color w:val="auto"/>
              </w:rPr>
            </w:pPr>
          </w:p>
        </w:tc>
        <w:tc>
          <w:tcPr>
            <w:tcW w:w="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620" w:type="dxa"/>
            <w:vAlign w:val="bottom"/>
            <w:shd w:val="clear" w:color="auto" w:fill="CCEEFF"/>
          </w:tcPr>
          <w:p>
            <w:pPr>
              <w:jc w:val="right"/>
              <w:ind w:right="17"/>
              <w:spacing w:after="0"/>
              <w:rPr>
                <w:sz w:val="20"/>
                <w:szCs w:val="20"/>
                <w:color w:val="auto"/>
              </w:rPr>
            </w:pPr>
            <w:r>
              <w:rPr>
                <w:rFonts w:ascii="Arial" w:cs="Arial" w:eastAsia="Arial" w:hAnsi="Arial"/>
                <w:sz w:val="18"/>
                <w:szCs w:val="18"/>
                <w:color w:val="auto"/>
              </w:rPr>
              <w:t>2</w:t>
            </w:r>
          </w:p>
        </w:tc>
      </w:tr>
      <w:tr>
        <w:trPr>
          <w:trHeight w:val="264"/>
        </w:trPr>
        <w:tc>
          <w:tcPr>
            <w:tcW w:w="7640" w:type="dxa"/>
            <w:vAlign w:val="bottom"/>
            <w:tcBorders>
              <w:bottom w:val="single" w:sz="8" w:color="CCEEFF"/>
            </w:tcBorders>
          </w:tcPr>
          <w:p>
            <w:pPr>
              <w:ind w:left="40"/>
              <w:spacing w:after="0"/>
              <w:rPr>
                <w:sz w:val="20"/>
                <w:szCs w:val="20"/>
                <w:color w:val="auto"/>
              </w:rPr>
            </w:pPr>
            <w:r>
              <w:rPr>
                <w:rFonts w:ascii="Arial" w:cs="Arial" w:eastAsia="Arial" w:hAnsi="Arial"/>
                <w:sz w:val="18"/>
                <w:szCs w:val="18"/>
                <w:color w:val="auto"/>
              </w:rPr>
              <w:t>Purchases</w:t>
            </w:r>
          </w:p>
        </w:tc>
        <w:tc>
          <w:tcPr>
            <w:tcW w:w="1460" w:type="dxa"/>
            <w:vAlign w:val="bottom"/>
            <w:tcBorders>
              <w:bottom w:val="single" w:sz="8" w:color="auto"/>
            </w:tcBorders>
          </w:tcPr>
          <w:p>
            <w:pPr>
              <w:spacing w:after="0"/>
              <w:rPr>
                <w:sz w:val="22"/>
                <w:szCs w:val="22"/>
                <w:color w:val="auto"/>
              </w:rPr>
            </w:pPr>
          </w:p>
        </w:tc>
        <w:tc>
          <w:tcPr>
            <w:tcW w:w="38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3</w:t>
            </w:r>
          </w:p>
        </w:tc>
        <w:tc>
          <w:tcPr>
            <w:tcW w:w="100" w:type="dxa"/>
            <w:vAlign w:val="bottom"/>
            <w:tcBorders>
              <w:bottom w:val="single" w:sz="8" w:color="CCEEFF"/>
            </w:tcBorders>
          </w:tcPr>
          <w:p>
            <w:pPr>
              <w:spacing w:after="0"/>
              <w:rPr>
                <w:sz w:val="22"/>
                <w:szCs w:val="22"/>
                <w:color w:val="auto"/>
              </w:rPr>
            </w:pPr>
          </w:p>
        </w:tc>
        <w:tc>
          <w:tcPr>
            <w:tcW w:w="220" w:type="dxa"/>
            <w:vAlign w:val="bottom"/>
            <w:tcBorders>
              <w:bottom w:val="single" w:sz="8" w:color="auto"/>
            </w:tcBorders>
          </w:tcPr>
          <w:p>
            <w:pPr>
              <w:spacing w:after="0"/>
              <w:rPr>
                <w:sz w:val="22"/>
                <w:szCs w:val="22"/>
                <w:color w:val="auto"/>
              </w:rPr>
            </w:pPr>
          </w:p>
        </w:tc>
        <w:tc>
          <w:tcPr>
            <w:tcW w:w="1620" w:type="dxa"/>
            <w:vAlign w:val="bottom"/>
            <w:tcBorders>
              <w:bottom w:val="single" w:sz="8" w:color="auto"/>
            </w:tcBorders>
          </w:tcPr>
          <w:p>
            <w:pPr>
              <w:jc w:val="right"/>
              <w:ind w:right="17"/>
              <w:spacing w:after="0"/>
              <w:rPr>
                <w:sz w:val="20"/>
                <w:szCs w:val="20"/>
                <w:color w:val="auto"/>
              </w:rPr>
            </w:pPr>
            <w:r>
              <w:rPr>
                <w:rFonts w:ascii="Arial" w:cs="Arial" w:eastAsia="Arial" w:hAnsi="Arial"/>
                <w:sz w:val="18"/>
                <w:szCs w:val="18"/>
                <w:color w:val="auto"/>
              </w:rPr>
              <w:t>—</w:t>
            </w:r>
          </w:p>
        </w:tc>
      </w:tr>
      <w:tr>
        <w:trPr>
          <w:trHeight w:val="250"/>
        </w:trPr>
        <w:tc>
          <w:tcPr>
            <w:tcW w:w="76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Ending balance at December 31, 2019</w:t>
            </w:r>
          </w:p>
        </w:tc>
        <w:tc>
          <w:tcPr>
            <w:tcW w:w="1460" w:type="dxa"/>
            <w:vAlign w:val="bottom"/>
            <w:tcBorders>
              <w:bottom w:val="single" w:sz="8" w:color="auto"/>
            </w:tcBorders>
            <w:shd w:val="clear" w:color="auto" w:fill="CCEEFF"/>
          </w:tcPr>
          <w:p>
            <w:pPr>
              <w:jc w:val="right"/>
              <w:ind w:right="1259"/>
              <w:spacing w:after="0"/>
              <w:rPr>
                <w:sz w:val="20"/>
                <w:szCs w:val="20"/>
                <w:color w:val="auto"/>
              </w:rPr>
            </w:pPr>
            <w:r>
              <w:rPr>
                <w:rFonts w:ascii="Arial" w:cs="Arial" w:eastAsia="Arial" w:hAnsi="Arial"/>
                <w:sz w:val="18"/>
                <w:szCs w:val="18"/>
                <w:color w:val="auto"/>
                <w:w w:val="99"/>
              </w:rPr>
              <w:t>$</w:t>
            </w:r>
          </w:p>
        </w:tc>
        <w:tc>
          <w:tcPr>
            <w:tcW w:w="38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10</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620" w:type="dxa"/>
            <w:vAlign w:val="bottom"/>
            <w:tcBorders>
              <w:bottom w:val="single" w:sz="8" w:color="auto"/>
            </w:tcBorders>
            <w:shd w:val="clear" w:color="auto" w:fill="CCEEFF"/>
          </w:tcPr>
          <w:p>
            <w:pPr>
              <w:jc w:val="right"/>
              <w:ind w:right="17"/>
              <w:spacing w:after="0"/>
              <w:rPr>
                <w:sz w:val="20"/>
                <w:szCs w:val="20"/>
                <w:color w:val="auto"/>
              </w:rPr>
            </w:pPr>
            <w:r>
              <w:rPr>
                <w:rFonts w:ascii="Arial" w:cs="Arial" w:eastAsia="Arial" w:hAnsi="Arial"/>
                <w:sz w:val="18"/>
                <w:szCs w:val="18"/>
                <w:color w:val="auto"/>
              </w:rPr>
              <w:t>2</w:t>
            </w:r>
          </w:p>
        </w:tc>
      </w:tr>
      <w:tr>
        <w:trPr>
          <w:trHeight w:val="20"/>
        </w:trPr>
        <w:tc>
          <w:tcPr>
            <w:tcW w:w="7640" w:type="dxa"/>
            <w:vAlign w:val="bottom"/>
          </w:tcPr>
          <w:p>
            <w:pPr>
              <w:spacing w:after="0" w:line="20" w:lineRule="exact"/>
              <w:rPr>
                <w:sz w:val="1"/>
                <w:szCs w:val="1"/>
                <w:color w:val="auto"/>
              </w:rPr>
            </w:pPr>
          </w:p>
        </w:tc>
        <w:tc>
          <w:tcPr>
            <w:tcW w:w="1460" w:type="dxa"/>
            <w:vAlign w:val="bottom"/>
            <w:tcBorders>
              <w:bottom w:val="single" w:sz="8" w:color="auto"/>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620" w:type="dxa"/>
            <w:vAlign w:val="bottom"/>
            <w:tcBorders>
              <w:bottom w:val="single" w:sz="8" w:color="auto"/>
            </w:tcBorders>
          </w:tcPr>
          <w:p>
            <w:pPr>
              <w:spacing w:after="0" w:line="20" w:lineRule="exact"/>
              <w:rPr>
                <w:sz w:val="1"/>
                <w:szCs w:val="1"/>
                <w:color w:val="auto"/>
              </w:rPr>
            </w:pPr>
          </w:p>
        </w:tc>
      </w:tr>
    </w:tbl>
    <w:p>
      <w:pPr>
        <w:spacing w:after="0" w:line="161" w:lineRule="exact"/>
        <w:rPr>
          <w:sz w:val="20"/>
          <w:szCs w:val="20"/>
          <w:color w:val="auto"/>
        </w:rPr>
      </w:pPr>
    </w:p>
    <w:p>
      <w:pPr>
        <w:ind w:left="220"/>
        <w:spacing w:after="0"/>
        <w:rPr>
          <w:sz w:val="20"/>
          <w:szCs w:val="20"/>
          <w:color w:val="auto"/>
        </w:rPr>
      </w:pPr>
      <w:r>
        <w:rPr>
          <w:rFonts w:ascii="Arial" w:cs="Arial" w:eastAsia="Arial" w:hAnsi="Arial"/>
          <w:sz w:val="18"/>
          <w:szCs w:val="18"/>
          <w:color w:val="auto"/>
        </w:rPr>
        <w:t>Changes in fair value measurements of Level 3 investments during the year ended December 31, 2018, were as follows (in millions):</w:t>
      </w:r>
    </w:p>
    <w:p>
      <w:pPr>
        <w:spacing w:after="0" w:line="321"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7640" w:type="dxa"/>
            <w:vAlign w:val="bottom"/>
          </w:tcPr>
          <w:p>
            <w:pPr>
              <w:spacing w:after="0"/>
              <w:rPr>
                <w:sz w:val="14"/>
                <w:szCs w:val="14"/>
                <w:color w:val="auto"/>
              </w:rPr>
            </w:pPr>
          </w:p>
        </w:tc>
        <w:tc>
          <w:tcPr>
            <w:tcW w:w="1460" w:type="dxa"/>
            <w:vAlign w:val="bottom"/>
          </w:tcPr>
          <w:p>
            <w:pPr>
              <w:jc w:val="right"/>
              <w:spacing w:after="0"/>
              <w:rPr>
                <w:sz w:val="20"/>
                <w:szCs w:val="20"/>
                <w:color w:val="auto"/>
              </w:rPr>
            </w:pPr>
            <w:r>
              <w:rPr>
                <w:rFonts w:ascii="Arial" w:cs="Arial" w:eastAsia="Arial" w:hAnsi="Arial"/>
                <w:sz w:val="14"/>
                <w:szCs w:val="14"/>
                <w:b w:val="1"/>
                <w:bCs w:val="1"/>
                <w:color w:val="auto"/>
              </w:rPr>
              <w:t>Private Market</w:t>
            </w:r>
          </w:p>
        </w:tc>
        <w:tc>
          <w:tcPr>
            <w:tcW w:w="3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620" w:type="dxa"/>
            <w:vAlign w:val="bottom"/>
          </w:tcPr>
          <w:p>
            <w:pPr>
              <w:jc w:val="right"/>
              <w:ind w:right="255"/>
              <w:spacing w:after="0"/>
              <w:rPr>
                <w:sz w:val="20"/>
                <w:szCs w:val="20"/>
                <w:color w:val="auto"/>
              </w:rPr>
            </w:pPr>
            <w:r>
              <w:rPr>
                <w:rFonts w:ascii="Arial" w:cs="Arial" w:eastAsia="Arial" w:hAnsi="Arial"/>
                <w:sz w:val="14"/>
                <w:szCs w:val="14"/>
                <w:b w:val="1"/>
                <w:bCs w:val="1"/>
                <w:color w:val="auto"/>
              </w:rPr>
              <w:t>Insurance Group</w:t>
            </w:r>
          </w:p>
        </w:tc>
      </w:tr>
      <w:tr>
        <w:trPr>
          <w:trHeight w:val="196"/>
        </w:trPr>
        <w:tc>
          <w:tcPr>
            <w:tcW w:w="7640" w:type="dxa"/>
            <w:vAlign w:val="bottom"/>
            <w:tcBorders>
              <w:bottom w:val="single" w:sz="8" w:color="CCEEFF"/>
            </w:tcBorders>
          </w:tcPr>
          <w:p>
            <w:pPr>
              <w:spacing w:after="0"/>
              <w:rPr>
                <w:sz w:val="17"/>
                <w:szCs w:val="17"/>
                <w:color w:val="auto"/>
              </w:rPr>
            </w:pPr>
          </w:p>
        </w:tc>
        <w:tc>
          <w:tcPr>
            <w:tcW w:w="1460" w:type="dxa"/>
            <w:vAlign w:val="bottom"/>
            <w:tcBorders>
              <w:bottom w:val="single" w:sz="8" w:color="auto"/>
            </w:tcBorders>
          </w:tcPr>
          <w:p>
            <w:pPr>
              <w:jc w:val="right"/>
              <w:ind w:right="19"/>
              <w:spacing w:after="0"/>
              <w:rPr>
                <w:sz w:val="20"/>
                <w:szCs w:val="20"/>
                <w:color w:val="auto"/>
              </w:rPr>
            </w:pPr>
            <w:r>
              <w:rPr>
                <w:rFonts w:ascii="Arial" w:cs="Arial" w:eastAsia="Arial" w:hAnsi="Arial"/>
                <w:sz w:val="14"/>
                <w:szCs w:val="14"/>
                <w:b w:val="1"/>
                <w:bCs w:val="1"/>
                <w:color w:val="auto"/>
              </w:rPr>
              <w:t>Partnerships</w:t>
            </w:r>
          </w:p>
        </w:tc>
        <w:tc>
          <w:tcPr>
            <w:tcW w:w="380" w:type="dxa"/>
            <w:vAlign w:val="bottom"/>
            <w:tcBorders>
              <w:bottom w:val="single" w:sz="8" w:color="auto"/>
            </w:tcBorders>
          </w:tcPr>
          <w:p>
            <w:pPr>
              <w:spacing w:after="0"/>
              <w:rPr>
                <w:sz w:val="17"/>
                <w:szCs w:val="17"/>
                <w:color w:val="auto"/>
              </w:rPr>
            </w:pPr>
          </w:p>
        </w:tc>
        <w:tc>
          <w:tcPr>
            <w:tcW w:w="100" w:type="dxa"/>
            <w:vAlign w:val="bottom"/>
            <w:tcBorders>
              <w:bottom w:val="single" w:sz="8" w:color="CCEEFF"/>
            </w:tcBorders>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1620" w:type="dxa"/>
            <w:vAlign w:val="bottom"/>
            <w:tcBorders>
              <w:bottom w:val="single" w:sz="8" w:color="auto"/>
            </w:tcBorders>
          </w:tcPr>
          <w:p>
            <w:pPr>
              <w:jc w:val="right"/>
              <w:ind w:right="215"/>
              <w:spacing w:after="0"/>
              <w:rPr>
                <w:sz w:val="20"/>
                <w:szCs w:val="20"/>
                <w:color w:val="auto"/>
              </w:rPr>
            </w:pPr>
            <w:r>
              <w:rPr>
                <w:rFonts w:ascii="Arial" w:cs="Arial" w:eastAsia="Arial" w:hAnsi="Arial"/>
                <w:sz w:val="14"/>
                <w:szCs w:val="14"/>
                <w:b w:val="1"/>
                <w:bCs w:val="1"/>
                <w:color w:val="auto"/>
              </w:rPr>
              <w:t>Annuity Contracts</w:t>
            </w:r>
          </w:p>
        </w:tc>
      </w:tr>
      <w:tr>
        <w:trPr>
          <w:trHeight w:val="256"/>
        </w:trPr>
        <w:tc>
          <w:tcPr>
            <w:tcW w:w="7640" w:type="dxa"/>
            <w:vAlign w:val="bottom"/>
            <w:shd w:val="clear" w:color="auto" w:fill="CCEEFF"/>
          </w:tcPr>
          <w:p>
            <w:pPr>
              <w:ind w:left="40"/>
              <w:spacing w:after="0"/>
              <w:rPr>
                <w:sz w:val="20"/>
                <w:szCs w:val="20"/>
                <w:color w:val="auto"/>
              </w:rPr>
            </w:pPr>
            <w:r>
              <w:rPr>
                <w:rFonts w:ascii="Arial" w:cs="Arial" w:eastAsia="Arial" w:hAnsi="Arial"/>
                <w:sz w:val="18"/>
                <w:szCs w:val="18"/>
                <w:color w:val="auto"/>
              </w:rPr>
              <w:t>Beginning balance at December 31, 2017</w:t>
            </w:r>
          </w:p>
        </w:tc>
        <w:tc>
          <w:tcPr>
            <w:tcW w:w="1460" w:type="dxa"/>
            <w:vAlign w:val="bottom"/>
            <w:shd w:val="clear" w:color="auto" w:fill="CCEEFF"/>
          </w:tcPr>
          <w:p>
            <w:pPr>
              <w:jc w:val="right"/>
              <w:ind w:right="1259"/>
              <w:spacing w:after="0"/>
              <w:rPr>
                <w:sz w:val="20"/>
                <w:szCs w:val="20"/>
                <w:color w:val="auto"/>
              </w:rPr>
            </w:pPr>
            <w:r>
              <w:rPr>
                <w:rFonts w:ascii="Arial" w:cs="Arial" w:eastAsia="Arial" w:hAnsi="Arial"/>
                <w:sz w:val="18"/>
                <w:szCs w:val="18"/>
                <w:color w:val="auto"/>
                <w:w w:val="99"/>
              </w:rPr>
              <w:t>$</w:t>
            </w:r>
          </w:p>
        </w:tc>
        <w:tc>
          <w:tcPr>
            <w:tcW w:w="38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14</w:t>
            </w:r>
          </w:p>
        </w:tc>
        <w:tc>
          <w:tcPr>
            <w:tcW w:w="100" w:type="dxa"/>
            <w:vAlign w:val="bottom"/>
            <w:shd w:val="clear" w:color="auto" w:fill="CCEEFF"/>
          </w:tcPr>
          <w:p>
            <w:pPr>
              <w:spacing w:after="0"/>
              <w:rPr>
                <w:sz w:val="22"/>
                <w:szCs w:val="22"/>
                <w:color w:val="auto"/>
              </w:rPr>
            </w:pPr>
          </w:p>
        </w:tc>
        <w:tc>
          <w:tcPr>
            <w:tcW w:w="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620" w:type="dxa"/>
            <w:vAlign w:val="bottom"/>
            <w:shd w:val="clear" w:color="auto" w:fill="CCEEFF"/>
          </w:tcPr>
          <w:p>
            <w:pPr>
              <w:jc w:val="right"/>
              <w:ind w:right="15"/>
              <w:spacing w:after="0"/>
              <w:rPr>
                <w:sz w:val="20"/>
                <w:szCs w:val="20"/>
                <w:color w:val="auto"/>
              </w:rPr>
            </w:pPr>
            <w:r>
              <w:rPr>
                <w:rFonts w:ascii="Arial" w:cs="Arial" w:eastAsia="Arial" w:hAnsi="Arial"/>
                <w:sz w:val="18"/>
                <w:szCs w:val="18"/>
                <w:color w:val="auto"/>
              </w:rPr>
              <w:t>2</w:t>
            </w:r>
          </w:p>
        </w:tc>
      </w:tr>
      <w:tr>
        <w:trPr>
          <w:trHeight w:val="243"/>
        </w:trPr>
        <w:tc>
          <w:tcPr>
            <w:tcW w:w="7640" w:type="dxa"/>
            <w:vAlign w:val="bottom"/>
          </w:tcPr>
          <w:p>
            <w:pPr>
              <w:ind w:left="40"/>
              <w:spacing w:after="0"/>
              <w:rPr>
                <w:sz w:val="20"/>
                <w:szCs w:val="20"/>
                <w:color w:val="auto"/>
              </w:rPr>
            </w:pPr>
            <w:r>
              <w:rPr>
                <w:rFonts w:ascii="Arial" w:cs="Arial" w:eastAsia="Arial" w:hAnsi="Arial"/>
                <w:sz w:val="18"/>
                <w:szCs w:val="18"/>
                <w:color w:val="auto"/>
              </w:rPr>
              <w:t>Actual loss on plan assets:</w:t>
            </w:r>
          </w:p>
        </w:tc>
        <w:tc>
          <w:tcPr>
            <w:tcW w:w="146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620" w:type="dxa"/>
            <w:vAlign w:val="bottom"/>
          </w:tcPr>
          <w:p>
            <w:pPr>
              <w:spacing w:after="0"/>
              <w:rPr>
                <w:sz w:val="21"/>
                <w:szCs w:val="21"/>
                <w:color w:val="auto"/>
              </w:rPr>
            </w:pPr>
          </w:p>
        </w:tc>
      </w:tr>
      <w:tr>
        <w:trPr>
          <w:trHeight w:val="27"/>
        </w:trPr>
        <w:tc>
          <w:tcPr>
            <w:tcW w:w="7640" w:type="dxa"/>
            <w:vAlign w:val="bottom"/>
          </w:tcPr>
          <w:p>
            <w:pPr>
              <w:spacing w:after="0"/>
              <w:rPr>
                <w:sz w:val="2"/>
                <w:szCs w:val="2"/>
                <w:color w:val="auto"/>
              </w:rPr>
            </w:pPr>
          </w:p>
        </w:tc>
        <w:tc>
          <w:tcPr>
            <w:tcW w:w="1460" w:type="dxa"/>
            <w:vAlign w:val="bottom"/>
          </w:tcPr>
          <w:p>
            <w:pPr>
              <w:spacing w:after="0"/>
              <w:rPr>
                <w:sz w:val="2"/>
                <w:szCs w:val="2"/>
                <w:color w:val="auto"/>
              </w:rPr>
            </w:pPr>
          </w:p>
        </w:tc>
        <w:tc>
          <w:tcPr>
            <w:tcW w:w="3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620" w:type="dxa"/>
            <w:vAlign w:val="bottom"/>
          </w:tcPr>
          <w:p>
            <w:pPr>
              <w:spacing w:after="0"/>
              <w:rPr>
                <w:sz w:val="2"/>
                <w:szCs w:val="2"/>
                <w:color w:val="auto"/>
              </w:rPr>
            </w:pPr>
          </w:p>
        </w:tc>
      </w:tr>
      <w:tr>
        <w:trPr>
          <w:trHeight w:val="270"/>
        </w:trPr>
        <w:tc>
          <w:tcPr>
            <w:tcW w:w="7640" w:type="dxa"/>
            <w:vAlign w:val="bottom"/>
            <w:shd w:val="clear" w:color="auto" w:fill="CCEEFF"/>
          </w:tcPr>
          <w:p>
            <w:pPr>
              <w:ind w:left="280"/>
              <w:spacing w:after="0"/>
              <w:rPr>
                <w:sz w:val="20"/>
                <w:szCs w:val="20"/>
                <w:color w:val="auto"/>
              </w:rPr>
            </w:pPr>
            <w:r>
              <w:rPr>
                <w:rFonts w:ascii="Arial" w:cs="Arial" w:eastAsia="Arial" w:hAnsi="Arial"/>
                <w:sz w:val="18"/>
                <w:szCs w:val="18"/>
                <w:color w:val="auto"/>
              </w:rPr>
              <w:t>Relating to assets still held at the reporting date</w:t>
            </w:r>
          </w:p>
        </w:tc>
        <w:tc>
          <w:tcPr>
            <w:tcW w:w="1460" w:type="dxa"/>
            <w:vAlign w:val="bottom"/>
            <w:shd w:val="clear" w:color="auto" w:fill="CCEEFF"/>
          </w:tcPr>
          <w:p>
            <w:pPr>
              <w:spacing w:after="0"/>
              <w:rPr>
                <w:sz w:val="23"/>
                <w:szCs w:val="23"/>
                <w:color w:val="auto"/>
              </w:rPr>
            </w:pPr>
          </w:p>
        </w:tc>
        <w:tc>
          <w:tcPr>
            <w:tcW w:w="3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w:t>
            </w:r>
          </w:p>
        </w:tc>
        <w:tc>
          <w:tcPr>
            <w:tcW w:w="100" w:type="dxa"/>
            <w:vAlign w:val="bottom"/>
            <w:shd w:val="clear" w:color="auto" w:fill="CCEEFF"/>
          </w:tcPr>
          <w:p>
            <w:pPr>
              <w:spacing w:after="0"/>
              <w:rPr>
                <w:sz w:val="23"/>
                <w:szCs w:val="23"/>
                <w:color w:val="auto"/>
              </w:rPr>
            </w:pPr>
          </w:p>
        </w:tc>
        <w:tc>
          <w:tcPr>
            <w:tcW w:w="220" w:type="dxa"/>
            <w:vAlign w:val="bottom"/>
            <w:shd w:val="clear" w:color="auto" w:fill="CCEEFF"/>
          </w:tcPr>
          <w:p>
            <w:pPr>
              <w:spacing w:after="0"/>
              <w:rPr>
                <w:sz w:val="23"/>
                <w:szCs w:val="23"/>
                <w:color w:val="auto"/>
              </w:rPr>
            </w:pPr>
          </w:p>
        </w:tc>
        <w:tc>
          <w:tcPr>
            <w:tcW w:w="1620" w:type="dxa"/>
            <w:vAlign w:val="bottom"/>
            <w:shd w:val="clear" w:color="auto" w:fill="CCEEFF"/>
          </w:tcPr>
          <w:p>
            <w:pPr>
              <w:jc w:val="right"/>
              <w:ind w:right="15"/>
              <w:spacing w:after="0"/>
              <w:rPr>
                <w:sz w:val="20"/>
                <w:szCs w:val="20"/>
                <w:color w:val="auto"/>
              </w:rPr>
            </w:pPr>
            <w:r>
              <w:rPr>
                <w:rFonts w:ascii="Arial" w:cs="Arial" w:eastAsia="Arial" w:hAnsi="Arial"/>
                <w:sz w:val="18"/>
                <w:szCs w:val="18"/>
                <w:color w:val="auto"/>
              </w:rPr>
              <w:t>—</w:t>
            </w:r>
          </w:p>
        </w:tc>
      </w:tr>
      <w:tr>
        <w:trPr>
          <w:trHeight w:val="263"/>
        </w:trPr>
        <w:tc>
          <w:tcPr>
            <w:tcW w:w="7640" w:type="dxa"/>
            <w:vAlign w:val="bottom"/>
          </w:tcPr>
          <w:p>
            <w:pPr>
              <w:ind w:left="40"/>
              <w:spacing w:after="0"/>
              <w:rPr>
                <w:sz w:val="20"/>
                <w:szCs w:val="20"/>
                <w:color w:val="auto"/>
              </w:rPr>
            </w:pPr>
            <w:r>
              <w:rPr>
                <w:rFonts w:ascii="Arial" w:cs="Arial" w:eastAsia="Arial" w:hAnsi="Arial"/>
                <w:sz w:val="18"/>
                <w:szCs w:val="18"/>
                <w:color w:val="auto"/>
              </w:rPr>
              <w:t>Purchases</w:t>
            </w:r>
          </w:p>
        </w:tc>
        <w:tc>
          <w:tcPr>
            <w:tcW w:w="1460" w:type="dxa"/>
            <w:vAlign w:val="bottom"/>
          </w:tcPr>
          <w:p>
            <w:pPr>
              <w:spacing w:after="0"/>
              <w:rPr>
                <w:sz w:val="22"/>
                <w:szCs w:val="22"/>
                <w:color w:val="auto"/>
              </w:rPr>
            </w:pPr>
          </w:p>
        </w:tc>
        <w:tc>
          <w:tcPr>
            <w:tcW w:w="380" w:type="dxa"/>
            <w:vAlign w:val="bottom"/>
          </w:tcPr>
          <w:p>
            <w:pPr>
              <w:jc w:val="right"/>
              <w:ind w:right="30"/>
              <w:spacing w:after="0"/>
              <w:rPr>
                <w:sz w:val="20"/>
                <w:szCs w:val="20"/>
                <w:color w:val="auto"/>
              </w:rPr>
            </w:pPr>
            <w:r>
              <w:rPr>
                <w:rFonts w:ascii="Arial" w:cs="Arial" w:eastAsia="Arial" w:hAnsi="Arial"/>
                <w:sz w:val="18"/>
                <w:szCs w:val="18"/>
                <w:color w:val="auto"/>
              </w:rPr>
              <w:t>1</w:t>
            </w:r>
          </w:p>
        </w:tc>
        <w:tc>
          <w:tcPr>
            <w:tcW w:w="10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1620" w:type="dxa"/>
            <w:vAlign w:val="bottom"/>
          </w:tcPr>
          <w:p>
            <w:pPr>
              <w:jc w:val="right"/>
              <w:ind w:right="15"/>
              <w:spacing w:after="0"/>
              <w:rPr>
                <w:sz w:val="20"/>
                <w:szCs w:val="20"/>
                <w:color w:val="auto"/>
              </w:rPr>
            </w:pPr>
            <w:r>
              <w:rPr>
                <w:rFonts w:ascii="Arial" w:cs="Arial" w:eastAsia="Arial" w:hAnsi="Arial"/>
                <w:sz w:val="18"/>
                <w:szCs w:val="18"/>
                <w:color w:val="auto"/>
              </w:rPr>
              <w:t>—</w:t>
            </w:r>
          </w:p>
        </w:tc>
      </w:tr>
      <w:tr>
        <w:trPr>
          <w:trHeight w:val="277"/>
        </w:trPr>
        <w:tc>
          <w:tcPr>
            <w:tcW w:w="7640" w:type="dxa"/>
            <w:vAlign w:val="bottom"/>
            <w:shd w:val="clear" w:color="auto" w:fill="CCEEFF"/>
          </w:tcPr>
          <w:p>
            <w:pPr>
              <w:ind w:left="40"/>
              <w:spacing w:after="0"/>
              <w:rPr>
                <w:sz w:val="20"/>
                <w:szCs w:val="20"/>
                <w:color w:val="auto"/>
              </w:rPr>
            </w:pPr>
            <w:r>
              <w:rPr>
                <w:rFonts w:ascii="Arial" w:cs="Arial" w:eastAsia="Arial" w:hAnsi="Arial"/>
                <w:sz w:val="18"/>
                <w:szCs w:val="18"/>
                <w:color w:val="auto"/>
              </w:rPr>
              <w:t>Sales</w:t>
            </w:r>
          </w:p>
        </w:tc>
        <w:tc>
          <w:tcPr>
            <w:tcW w:w="1460" w:type="dxa"/>
            <w:vAlign w:val="bottom"/>
            <w:tcBorders>
              <w:bottom w:val="single" w:sz="8" w:color="auto"/>
            </w:tcBorders>
            <w:shd w:val="clear" w:color="auto" w:fill="CCEEFF"/>
          </w:tcPr>
          <w:p>
            <w:pPr>
              <w:spacing w:after="0"/>
              <w:rPr>
                <w:sz w:val="24"/>
                <w:szCs w:val="24"/>
                <w:color w:val="auto"/>
              </w:rPr>
            </w:pPr>
          </w:p>
        </w:tc>
        <w:tc>
          <w:tcPr>
            <w:tcW w:w="3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w:t>
            </w:r>
          </w:p>
        </w:tc>
        <w:tc>
          <w:tcPr>
            <w:tcW w:w="100" w:type="dxa"/>
            <w:vAlign w:val="bottom"/>
            <w:shd w:val="clear" w:color="auto" w:fill="CCEEFF"/>
          </w:tcPr>
          <w:p>
            <w:pPr>
              <w:spacing w:after="0"/>
              <w:rPr>
                <w:sz w:val="24"/>
                <w:szCs w:val="24"/>
                <w:color w:val="auto"/>
              </w:rPr>
            </w:pPr>
          </w:p>
        </w:tc>
        <w:tc>
          <w:tcPr>
            <w:tcW w:w="220" w:type="dxa"/>
            <w:vAlign w:val="bottom"/>
            <w:tcBorders>
              <w:bottom w:val="single" w:sz="8" w:color="auto"/>
            </w:tcBorders>
            <w:shd w:val="clear" w:color="auto" w:fill="CCEEFF"/>
          </w:tcPr>
          <w:p>
            <w:pPr>
              <w:spacing w:after="0"/>
              <w:rPr>
                <w:sz w:val="24"/>
                <w:szCs w:val="24"/>
                <w:color w:val="auto"/>
              </w:rPr>
            </w:pPr>
          </w:p>
        </w:tc>
        <w:tc>
          <w:tcPr>
            <w:tcW w:w="1620" w:type="dxa"/>
            <w:vAlign w:val="bottom"/>
            <w:tcBorders>
              <w:bottom w:val="single" w:sz="8" w:color="auto"/>
            </w:tcBorders>
            <w:shd w:val="clear" w:color="auto" w:fill="CCEEFF"/>
          </w:tcPr>
          <w:p>
            <w:pPr>
              <w:jc w:val="right"/>
              <w:ind w:right="15"/>
              <w:spacing w:after="0"/>
              <w:rPr>
                <w:sz w:val="20"/>
                <w:szCs w:val="20"/>
                <w:color w:val="auto"/>
              </w:rPr>
            </w:pPr>
            <w:r>
              <w:rPr>
                <w:rFonts w:ascii="Arial" w:cs="Arial" w:eastAsia="Arial" w:hAnsi="Arial"/>
                <w:sz w:val="18"/>
                <w:szCs w:val="18"/>
                <w:color w:val="auto"/>
              </w:rPr>
              <w:t>—</w:t>
            </w:r>
          </w:p>
        </w:tc>
      </w:tr>
      <w:tr>
        <w:trPr>
          <w:trHeight w:val="244"/>
        </w:trPr>
        <w:tc>
          <w:tcPr>
            <w:tcW w:w="7640" w:type="dxa"/>
            <w:vAlign w:val="bottom"/>
          </w:tcPr>
          <w:p>
            <w:pPr>
              <w:ind w:left="40"/>
              <w:spacing w:after="0"/>
              <w:rPr>
                <w:sz w:val="20"/>
                <w:szCs w:val="20"/>
                <w:color w:val="auto"/>
              </w:rPr>
            </w:pPr>
            <w:r>
              <w:rPr>
                <w:rFonts w:ascii="Arial" w:cs="Arial" w:eastAsia="Arial" w:hAnsi="Arial"/>
                <w:sz w:val="18"/>
                <w:szCs w:val="18"/>
                <w:color w:val="auto"/>
              </w:rPr>
              <w:t>Ending balance at December 31, 2018</w:t>
            </w:r>
          </w:p>
        </w:tc>
        <w:tc>
          <w:tcPr>
            <w:tcW w:w="1460" w:type="dxa"/>
            <w:vAlign w:val="bottom"/>
            <w:tcBorders>
              <w:bottom w:val="single" w:sz="8" w:color="auto"/>
            </w:tcBorders>
          </w:tcPr>
          <w:p>
            <w:pPr>
              <w:jc w:val="right"/>
              <w:ind w:right="1259"/>
              <w:spacing w:after="0"/>
              <w:rPr>
                <w:sz w:val="20"/>
                <w:szCs w:val="20"/>
                <w:color w:val="auto"/>
              </w:rPr>
            </w:pPr>
            <w:r>
              <w:rPr>
                <w:rFonts w:ascii="Arial" w:cs="Arial" w:eastAsia="Arial" w:hAnsi="Arial"/>
                <w:sz w:val="18"/>
                <w:szCs w:val="18"/>
                <w:color w:val="auto"/>
                <w:w w:val="99"/>
              </w:rPr>
              <w:t>$</w:t>
            </w:r>
          </w:p>
        </w:tc>
        <w:tc>
          <w:tcPr>
            <w:tcW w:w="38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7</w:t>
            </w:r>
          </w:p>
        </w:tc>
        <w:tc>
          <w:tcPr>
            <w:tcW w:w="100" w:type="dxa"/>
            <w:vAlign w:val="bottom"/>
          </w:tcPr>
          <w:p>
            <w:pPr>
              <w:spacing w:after="0"/>
              <w:rPr>
                <w:sz w:val="21"/>
                <w:szCs w:val="21"/>
                <w:color w:val="auto"/>
              </w:rPr>
            </w:pPr>
          </w:p>
        </w:tc>
        <w:tc>
          <w:tcPr>
            <w:tcW w:w="2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620" w:type="dxa"/>
            <w:vAlign w:val="bottom"/>
            <w:tcBorders>
              <w:bottom w:val="single" w:sz="8" w:color="auto"/>
            </w:tcBorders>
          </w:tcPr>
          <w:p>
            <w:pPr>
              <w:jc w:val="right"/>
              <w:ind w:right="15"/>
              <w:spacing w:after="0"/>
              <w:rPr>
                <w:sz w:val="20"/>
                <w:szCs w:val="20"/>
                <w:color w:val="auto"/>
              </w:rPr>
            </w:pPr>
            <w:r>
              <w:rPr>
                <w:rFonts w:ascii="Arial" w:cs="Arial" w:eastAsia="Arial" w:hAnsi="Arial"/>
                <w:sz w:val="18"/>
                <w:szCs w:val="18"/>
                <w:color w:val="auto"/>
              </w:rPr>
              <w:t>2</w:t>
            </w:r>
          </w:p>
        </w:tc>
      </w:tr>
      <w:tr>
        <w:trPr>
          <w:trHeight w:val="20"/>
        </w:trPr>
        <w:tc>
          <w:tcPr>
            <w:tcW w:w="7640" w:type="dxa"/>
            <w:vAlign w:val="bottom"/>
          </w:tcPr>
          <w:p>
            <w:pPr>
              <w:spacing w:after="0" w:line="20" w:lineRule="exact"/>
              <w:rPr>
                <w:sz w:val="1"/>
                <w:szCs w:val="1"/>
                <w:color w:val="auto"/>
              </w:rPr>
            </w:pPr>
          </w:p>
        </w:tc>
        <w:tc>
          <w:tcPr>
            <w:tcW w:w="1460" w:type="dxa"/>
            <w:vAlign w:val="bottom"/>
            <w:tcBorders>
              <w:bottom w:val="single" w:sz="8" w:color="auto"/>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62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33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The fair value of American’s retiree medical and other postretirement benefits plans assets by asset category, were as follows (in millions):</w:t>
      </w:r>
    </w:p>
    <w:p>
      <w:pPr>
        <w:spacing w:after="0" w:line="321" w:lineRule="exact"/>
        <w:rPr>
          <w:sz w:val="20"/>
          <w:szCs w:val="20"/>
          <w:color w:val="auto"/>
        </w:rPr>
      </w:pPr>
    </w:p>
    <w:tbl>
      <w:tblPr>
        <w:tblLayout w:type="fixed"/>
        <w:tblInd w:w="0" w:type="dxa"/>
        <w:tblCellMar>
          <w:top w:w="0" w:type="dxa"/>
          <w:left w:w="0" w:type="dxa"/>
          <w:bottom w:w="0" w:type="dxa"/>
          <w:right w:w="0" w:type="dxa"/>
        </w:tblCellMar>
      </w:tblPr>
      <w:tr>
        <w:trPr>
          <w:trHeight w:val="196"/>
        </w:trPr>
        <w:tc>
          <w:tcPr>
            <w:tcW w:w="4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3940" w:type="dxa"/>
            <w:vAlign w:val="bottom"/>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4780" w:type="dxa"/>
            <w:vAlign w:val="bottom"/>
            <w:tcBorders>
              <w:bottom w:val="single" w:sz="8" w:color="auto"/>
            </w:tcBorders>
            <w:gridSpan w:val="9"/>
          </w:tcPr>
          <w:p>
            <w:pPr>
              <w:ind w:left="1340"/>
              <w:spacing w:after="0"/>
              <w:rPr>
                <w:sz w:val="20"/>
                <w:szCs w:val="20"/>
                <w:color w:val="auto"/>
              </w:rPr>
            </w:pPr>
            <w:r>
              <w:rPr>
                <w:rFonts w:ascii="Arial" w:cs="Arial" w:eastAsia="Arial" w:hAnsi="Arial"/>
                <w:sz w:val="14"/>
                <w:szCs w:val="14"/>
                <w:b w:val="1"/>
                <w:bCs w:val="1"/>
                <w:color w:val="auto"/>
              </w:rPr>
              <w:t>Fair Value Measurements as of December 31, 2019</w:t>
            </w:r>
          </w:p>
        </w:tc>
        <w:tc>
          <w:tcPr>
            <w:tcW w:w="320" w:type="dxa"/>
            <w:vAlign w:val="bottom"/>
            <w:tcBorders>
              <w:bottom w:val="single" w:sz="8" w:color="auto"/>
            </w:tcBorders>
          </w:tcPr>
          <w:p>
            <w:pPr>
              <w:spacing w:after="0"/>
              <w:rPr>
                <w:sz w:val="17"/>
                <w:szCs w:val="17"/>
                <w:color w:val="auto"/>
              </w:rPr>
            </w:pPr>
          </w:p>
        </w:tc>
        <w:tc>
          <w:tcPr>
            <w:tcW w:w="1140" w:type="dxa"/>
            <w:vAlign w:val="bottom"/>
            <w:tcBorders>
              <w:bottom w:val="single" w:sz="8" w:color="auto"/>
            </w:tcBorders>
          </w:tcPr>
          <w:p>
            <w:pPr>
              <w:spacing w:after="0"/>
              <w:rPr>
                <w:sz w:val="17"/>
                <w:szCs w:val="17"/>
                <w:color w:val="auto"/>
              </w:rPr>
            </w:pPr>
          </w:p>
        </w:tc>
      </w:tr>
      <w:tr>
        <w:trPr>
          <w:trHeight w:val="175"/>
        </w:trPr>
        <w:tc>
          <w:tcPr>
            <w:tcW w:w="4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39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56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rPr>
              <w:t>Quoted Prices in</w:t>
            </w:r>
          </w:p>
        </w:tc>
        <w:tc>
          <w:tcPr>
            <w:tcW w:w="240" w:type="dxa"/>
            <w:vAlign w:val="bottom"/>
          </w:tcPr>
          <w:p>
            <w:pPr>
              <w:spacing w:after="0"/>
              <w:rPr>
                <w:sz w:val="15"/>
                <w:szCs w:val="15"/>
                <w:color w:val="auto"/>
              </w:rPr>
            </w:pPr>
          </w:p>
        </w:tc>
        <w:tc>
          <w:tcPr>
            <w:tcW w:w="1360" w:type="dxa"/>
            <w:vAlign w:val="bottom"/>
            <w:gridSpan w:val="2"/>
          </w:tcPr>
          <w:p>
            <w:pPr>
              <w:jc w:val="center"/>
              <w:ind w:right="340"/>
              <w:spacing w:after="0"/>
              <w:rPr>
                <w:sz w:val="20"/>
                <w:szCs w:val="20"/>
                <w:color w:val="auto"/>
              </w:rPr>
            </w:pPr>
            <w:r>
              <w:rPr>
                <w:rFonts w:ascii="Arial" w:cs="Arial" w:eastAsia="Arial" w:hAnsi="Arial"/>
                <w:sz w:val="14"/>
                <w:szCs w:val="14"/>
                <w:b w:val="1"/>
                <w:bCs w:val="1"/>
                <w:color w:val="auto"/>
              </w:rPr>
              <w:t>Significant</w:t>
            </w:r>
          </w:p>
        </w:tc>
        <w:tc>
          <w:tcPr>
            <w:tcW w:w="200" w:type="dxa"/>
            <w:vAlign w:val="bottom"/>
          </w:tcPr>
          <w:p>
            <w:pPr>
              <w:spacing w:after="0"/>
              <w:rPr>
                <w:sz w:val="15"/>
                <w:szCs w:val="15"/>
                <w:color w:val="auto"/>
              </w:rPr>
            </w:pPr>
          </w:p>
        </w:tc>
        <w:tc>
          <w:tcPr>
            <w:tcW w:w="1420" w:type="dxa"/>
            <w:vAlign w:val="bottom"/>
            <w:gridSpan w:val="3"/>
          </w:tcPr>
          <w:p>
            <w:pPr>
              <w:jc w:val="center"/>
              <w:ind w:right="320"/>
              <w:spacing w:after="0"/>
              <w:rPr>
                <w:sz w:val="20"/>
                <w:szCs w:val="20"/>
                <w:color w:val="auto"/>
              </w:rPr>
            </w:pPr>
            <w:r>
              <w:rPr>
                <w:rFonts w:ascii="Arial" w:cs="Arial" w:eastAsia="Arial" w:hAnsi="Arial"/>
                <w:sz w:val="14"/>
                <w:szCs w:val="14"/>
                <w:b w:val="1"/>
                <w:bCs w:val="1"/>
                <w:color w:val="auto"/>
              </w:rPr>
              <w:t>Significant</w:t>
            </w:r>
          </w:p>
        </w:tc>
        <w:tc>
          <w:tcPr>
            <w:tcW w:w="320" w:type="dxa"/>
            <w:vAlign w:val="bottom"/>
          </w:tcPr>
          <w:p>
            <w:pPr>
              <w:spacing w:after="0"/>
              <w:rPr>
                <w:sz w:val="15"/>
                <w:szCs w:val="15"/>
                <w:color w:val="auto"/>
              </w:rPr>
            </w:pPr>
          </w:p>
        </w:tc>
        <w:tc>
          <w:tcPr>
            <w:tcW w:w="1140" w:type="dxa"/>
            <w:vAlign w:val="bottom"/>
          </w:tcPr>
          <w:p>
            <w:pPr>
              <w:spacing w:after="0"/>
              <w:rPr>
                <w:sz w:val="15"/>
                <w:szCs w:val="15"/>
                <w:color w:val="auto"/>
              </w:rPr>
            </w:pPr>
          </w:p>
        </w:tc>
      </w:tr>
      <w:tr>
        <w:trPr>
          <w:trHeight w:val="162"/>
        </w:trPr>
        <w:tc>
          <w:tcPr>
            <w:tcW w:w="4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39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56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rPr>
              <w:t>Active Markets for</w:t>
            </w:r>
          </w:p>
        </w:tc>
        <w:tc>
          <w:tcPr>
            <w:tcW w:w="240" w:type="dxa"/>
            <w:vAlign w:val="bottom"/>
          </w:tcPr>
          <w:p>
            <w:pPr>
              <w:spacing w:after="0"/>
              <w:rPr>
                <w:sz w:val="14"/>
                <w:szCs w:val="14"/>
                <w:color w:val="auto"/>
              </w:rPr>
            </w:pPr>
          </w:p>
        </w:tc>
        <w:tc>
          <w:tcPr>
            <w:tcW w:w="1360" w:type="dxa"/>
            <w:vAlign w:val="bottom"/>
            <w:gridSpan w:val="2"/>
          </w:tcPr>
          <w:p>
            <w:pPr>
              <w:jc w:val="center"/>
              <w:ind w:right="340"/>
              <w:spacing w:after="0"/>
              <w:rPr>
                <w:sz w:val="20"/>
                <w:szCs w:val="20"/>
                <w:color w:val="auto"/>
              </w:rPr>
            </w:pPr>
            <w:r>
              <w:rPr>
                <w:rFonts w:ascii="Arial" w:cs="Arial" w:eastAsia="Arial" w:hAnsi="Arial"/>
                <w:sz w:val="14"/>
                <w:szCs w:val="14"/>
                <w:b w:val="1"/>
                <w:bCs w:val="1"/>
                <w:color w:val="auto"/>
              </w:rPr>
              <w:t>Observable</w:t>
            </w:r>
          </w:p>
        </w:tc>
        <w:tc>
          <w:tcPr>
            <w:tcW w:w="200" w:type="dxa"/>
            <w:vAlign w:val="bottom"/>
          </w:tcPr>
          <w:p>
            <w:pPr>
              <w:spacing w:after="0"/>
              <w:rPr>
                <w:sz w:val="14"/>
                <w:szCs w:val="14"/>
                <w:color w:val="auto"/>
              </w:rPr>
            </w:pPr>
          </w:p>
        </w:tc>
        <w:tc>
          <w:tcPr>
            <w:tcW w:w="1420" w:type="dxa"/>
            <w:vAlign w:val="bottom"/>
            <w:gridSpan w:val="3"/>
          </w:tcPr>
          <w:p>
            <w:pPr>
              <w:jc w:val="center"/>
              <w:ind w:right="340"/>
              <w:spacing w:after="0"/>
              <w:rPr>
                <w:sz w:val="20"/>
                <w:szCs w:val="20"/>
                <w:color w:val="auto"/>
              </w:rPr>
            </w:pPr>
            <w:r>
              <w:rPr>
                <w:rFonts w:ascii="Arial" w:cs="Arial" w:eastAsia="Arial" w:hAnsi="Arial"/>
                <w:sz w:val="14"/>
                <w:szCs w:val="14"/>
                <w:b w:val="1"/>
                <w:bCs w:val="1"/>
                <w:color w:val="auto"/>
              </w:rPr>
              <w:t>Unobservable</w:t>
            </w:r>
          </w:p>
        </w:tc>
        <w:tc>
          <w:tcPr>
            <w:tcW w:w="320" w:type="dxa"/>
            <w:vAlign w:val="bottom"/>
          </w:tcPr>
          <w:p>
            <w:pPr>
              <w:spacing w:after="0"/>
              <w:rPr>
                <w:sz w:val="14"/>
                <w:szCs w:val="14"/>
                <w:color w:val="auto"/>
              </w:rPr>
            </w:pPr>
          </w:p>
        </w:tc>
        <w:tc>
          <w:tcPr>
            <w:tcW w:w="1140" w:type="dxa"/>
            <w:vAlign w:val="bottom"/>
          </w:tcPr>
          <w:p>
            <w:pPr>
              <w:spacing w:after="0"/>
              <w:rPr>
                <w:sz w:val="14"/>
                <w:szCs w:val="14"/>
                <w:color w:val="auto"/>
              </w:rPr>
            </w:pPr>
          </w:p>
        </w:tc>
      </w:tr>
      <w:tr>
        <w:trPr>
          <w:trHeight w:val="162"/>
        </w:trPr>
        <w:tc>
          <w:tcPr>
            <w:tcW w:w="4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39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56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rPr>
              <w:t>Identical Assets</w:t>
            </w:r>
          </w:p>
        </w:tc>
        <w:tc>
          <w:tcPr>
            <w:tcW w:w="240" w:type="dxa"/>
            <w:vAlign w:val="bottom"/>
          </w:tcPr>
          <w:p>
            <w:pPr>
              <w:spacing w:after="0"/>
              <w:rPr>
                <w:sz w:val="14"/>
                <w:szCs w:val="14"/>
                <w:color w:val="auto"/>
              </w:rPr>
            </w:pPr>
          </w:p>
        </w:tc>
        <w:tc>
          <w:tcPr>
            <w:tcW w:w="1360" w:type="dxa"/>
            <w:vAlign w:val="bottom"/>
            <w:gridSpan w:val="2"/>
          </w:tcPr>
          <w:p>
            <w:pPr>
              <w:jc w:val="center"/>
              <w:ind w:right="340"/>
              <w:spacing w:after="0"/>
              <w:rPr>
                <w:sz w:val="20"/>
                <w:szCs w:val="20"/>
                <w:color w:val="auto"/>
              </w:rPr>
            </w:pPr>
            <w:r>
              <w:rPr>
                <w:rFonts w:ascii="Arial" w:cs="Arial" w:eastAsia="Arial" w:hAnsi="Arial"/>
                <w:sz w:val="14"/>
                <w:szCs w:val="14"/>
                <w:b w:val="1"/>
                <w:bCs w:val="1"/>
                <w:color w:val="auto"/>
                <w:w w:val="99"/>
              </w:rPr>
              <w:t>Inputs</w:t>
            </w:r>
          </w:p>
        </w:tc>
        <w:tc>
          <w:tcPr>
            <w:tcW w:w="200" w:type="dxa"/>
            <w:vAlign w:val="bottom"/>
          </w:tcPr>
          <w:p>
            <w:pPr>
              <w:spacing w:after="0"/>
              <w:rPr>
                <w:sz w:val="14"/>
                <w:szCs w:val="14"/>
                <w:color w:val="auto"/>
              </w:rPr>
            </w:pPr>
          </w:p>
        </w:tc>
        <w:tc>
          <w:tcPr>
            <w:tcW w:w="1420" w:type="dxa"/>
            <w:vAlign w:val="bottom"/>
            <w:gridSpan w:val="3"/>
          </w:tcPr>
          <w:p>
            <w:pPr>
              <w:jc w:val="center"/>
              <w:ind w:right="340"/>
              <w:spacing w:after="0"/>
              <w:rPr>
                <w:sz w:val="20"/>
                <w:szCs w:val="20"/>
                <w:color w:val="auto"/>
              </w:rPr>
            </w:pPr>
            <w:r>
              <w:rPr>
                <w:rFonts w:ascii="Arial" w:cs="Arial" w:eastAsia="Arial" w:hAnsi="Arial"/>
                <w:sz w:val="14"/>
                <w:szCs w:val="14"/>
                <w:b w:val="1"/>
                <w:bCs w:val="1"/>
                <w:color w:val="auto"/>
              </w:rPr>
              <w:t>Inputs</w:t>
            </w:r>
          </w:p>
        </w:tc>
        <w:tc>
          <w:tcPr>
            <w:tcW w:w="320" w:type="dxa"/>
            <w:vAlign w:val="bottom"/>
          </w:tcPr>
          <w:p>
            <w:pPr>
              <w:spacing w:after="0"/>
              <w:rPr>
                <w:sz w:val="14"/>
                <w:szCs w:val="14"/>
                <w:color w:val="auto"/>
              </w:rPr>
            </w:pPr>
          </w:p>
        </w:tc>
        <w:tc>
          <w:tcPr>
            <w:tcW w:w="1140" w:type="dxa"/>
            <w:vAlign w:val="bottom"/>
          </w:tcPr>
          <w:p>
            <w:pPr>
              <w:spacing w:after="0"/>
              <w:rPr>
                <w:sz w:val="14"/>
                <w:szCs w:val="14"/>
                <w:color w:val="auto"/>
              </w:rPr>
            </w:pPr>
          </w:p>
        </w:tc>
      </w:tr>
      <w:tr>
        <w:trPr>
          <w:trHeight w:val="162"/>
        </w:trPr>
        <w:tc>
          <w:tcPr>
            <w:tcW w:w="5040" w:type="dxa"/>
            <w:vAlign w:val="bottom"/>
            <w:gridSpan w:val="3"/>
          </w:tcPr>
          <w:p>
            <w:pPr>
              <w:ind w:left="40"/>
              <w:spacing w:after="0"/>
              <w:rPr>
                <w:sz w:val="20"/>
                <w:szCs w:val="20"/>
                <w:color w:val="auto"/>
              </w:rPr>
            </w:pPr>
            <w:r>
              <w:rPr>
                <w:rFonts w:ascii="Arial" w:cs="Arial" w:eastAsia="Arial" w:hAnsi="Arial"/>
                <w:sz w:val="14"/>
                <w:szCs w:val="14"/>
                <w:b w:val="1"/>
                <w:bCs w:val="1"/>
                <w:color w:val="auto"/>
              </w:rPr>
              <w:t>Asset Category</w:t>
            </w:r>
          </w:p>
        </w:tc>
        <w:tc>
          <w:tcPr>
            <w:tcW w:w="140" w:type="dxa"/>
            <w:vAlign w:val="bottom"/>
          </w:tcPr>
          <w:p>
            <w:pPr>
              <w:spacing w:after="0"/>
              <w:rPr>
                <w:sz w:val="14"/>
                <w:szCs w:val="14"/>
                <w:color w:val="auto"/>
              </w:rPr>
            </w:pPr>
          </w:p>
        </w:tc>
        <w:tc>
          <w:tcPr>
            <w:tcW w:w="156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rPr>
              <w:t>(Level 1)</w:t>
            </w:r>
          </w:p>
        </w:tc>
        <w:tc>
          <w:tcPr>
            <w:tcW w:w="240" w:type="dxa"/>
            <w:vAlign w:val="bottom"/>
          </w:tcPr>
          <w:p>
            <w:pPr>
              <w:spacing w:after="0"/>
              <w:rPr>
                <w:sz w:val="14"/>
                <w:szCs w:val="14"/>
                <w:color w:val="auto"/>
              </w:rPr>
            </w:pPr>
          </w:p>
        </w:tc>
        <w:tc>
          <w:tcPr>
            <w:tcW w:w="1360" w:type="dxa"/>
            <w:vAlign w:val="bottom"/>
            <w:gridSpan w:val="2"/>
          </w:tcPr>
          <w:p>
            <w:pPr>
              <w:jc w:val="center"/>
              <w:ind w:right="340"/>
              <w:spacing w:after="0"/>
              <w:rPr>
                <w:sz w:val="20"/>
                <w:szCs w:val="20"/>
                <w:color w:val="auto"/>
              </w:rPr>
            </w:pPr>
            <w:r>
              <w:rPr>
                <w:rFonts w:ascii="Arial" w:cs="Arial" w:eastAsia="Arial" w:hAnsi="Arial"/>
                <w:sz w:val="14"/>
                <w:szCs w:val="14"/>
                <w:b w:val="1"/>
                <w:bCs w:val="1"/>
                <w:color w:val="auto"/>
              </w:rPr>
              <w:t>(Level 2)</w:t>
            </w:r>
          </w:p>
        </w:tc>
        <w:tc>
          <w:tcPr>
            <w:tcW w:w="200" w:type="dxa"/>
            <w:vAlign w:val="bottom"/>
          </w:tcPr>
          <w:p>
            <w:pPr>
              <w:spacing w:after="0"/>
              <w:rPr>
                <w:sz w:val="14"/>
                <w:szCs w:val="14"/>
                <w:color w:val="auto"/>
              </w:rPr>
            </w:pPr>
          </w:p>
        </w:tc>
        <w:tc>
          <w:tcPr>
            <w:tcW w:w="1420" w:type="dxa"/>
            <w:vAlign w:val="bottom"/>
            <w:gridSpan w:val="3"/>
          </w:tcPr>
          <w:p>
            <w:pPr>
              <w:jc w:val="center"/>
              <w:ind w:right="320"/>
              <w:spacing w:after="0"/>
              <w:rPr>
                <w:sz w:val="20"/>
                <w:szCs w:val="20"/>
                <w:color w:val="auto"/>
              </w:rPr>
            </w:pPr>
            <w:r>
              <w:rPr>
                <w:rFonts w:ascii="Arial" w:cs="Arial" w:eastAsia="Arial" w:hAnsi="Arial"/>
                <w:sz w:val="14"/>
                <w:szCs w:val="14"/>
                <w:b w:val="1"/>
                <w:bCs w:val="1"/>
                <w:color w:val="auto"/>
              </w:rPr>
              <w:t>(Level 3)</w:t>
            </w:r>
          </w:p>
        </w:tc>
        <w:tc>
          <w:tcPr>
            <w:tcW w:w="320" w:type="dxa"/>
            <w:vAlign w:val="bottom"/>
          </w:tcPr>
          <w:p>
            <w:pPr>
              <w:spacing w:after="0"/>
              <w:rPr>
                <w:sz w:val="14"/>
                <w:szCs w:val="14"/>
                <w:color w:val="auto"/>
              </w:rPr>
            </w:pPr>
          </w:p>
        </w:tc>
        <w:tc>
          <w:tcPr>
            <w:tcW w:w="1140" w:type="dxa"/>
            <w:vAlign w:val="bottom"/>
          </w:tcPr>
          <w:p>
            <w:pPr>
              <w:jc w:val="right"/>
              <w:ind w:right="494"/>
              <w:spacing w:after="0"/>
              <w:rPr>
                <w:sz w:val="20"/>
                <w:szCs w:val="20"/>
                <w:color w:val="auto"/>
              </w:rPr>
            </w:pPr>
            <w:r>
              <w:rPr>
                <w:rFonts w:ascii="Arial" w:cs="Arial" w:eastAsia="Arial" w:hAnsi="Arial"/>
                <w:sz w:val="14"/>
                <w:szCs w:val="14"/>
                <w:b w:val="1"/>
                <w:bCs w:val="1"/>
                <w:color w:val="auto"/>
              </w:rPr>
              <w:t>Total</w:t>
            </w:r>
          </w:p>
        </w:tc>
      </w:tr>
      <w:tr>
        <w:trPr>
          <w:trHeight w:val="21"/>
        </w:trPr>
        <w:tc>
          <w:tcPr>
            <w:tcW w:w="40" w:type="dxa"/>
            <w:vAlign w:val="bottom"/>
            <w:tcBorders>
              <w:bottom w:val="single" w:sz="8" w:color="CCEEFF"/>
            </w:tcBorders>
          </w:tcPr>
          <w:p>
            <w:pPr>
              <w:spacing w:after="0" w:line="20" w:lineRule="exact"/>
              <w:rPr>
                <w:sz w:val="1"/>
                <w:szCs w:val="1"/>
                <w:color w:val="auto"/>
              </w:rPr>
            </w:pPr>
          </w:p>
        </w:tc>
        <w:tc>
          <w:tcPr>
            <w:tcW w:w="1060" w:type="dxa"/>
            <w:vAlign w:val="bottom"/>
            <w:tcBorders>
              <w:top w:val="single" w:sz="8" w:color="auto"/>
              <w:bottom w:val="single" w:sz="8" w:color="CCEEFF"/>
            </w:tcBorders>
          </w:tcPr>
          <w:p>
            <w:pPr>
              <w:spacing w:after="0" w:line="20" w:lineRule="exact"/>
              <w:rPr>
                <w:sz w:val="1"/>
                <w:szCs w:val="1"/>
                <w:color w:val="auto"/>
              </w:rPr>
            </w:pPr>
          </w:p>
        </w:tc>
        <w:tc>
          <w:tcPr>
            <w:tcW w:w="394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4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r>
      <w:tr>
        <w:trPr>
          <w:trHeight w:val="250"/>
        </w:trPr>
        <w:tc>
          <w:tcPr>
            <w:tcW w:w="5040" w:type="dxa"/>
            <w:vAlign w:val="bottom"/>
            <w:gridSpan w:val="3"/>
            <w:shd w:val="clear" w:color="auto" w:fill="CCEEFF"/>
          </w:tcPr>
          <w:p>
            <w:pPr>
              <w:ind w:left="40"/>
              <w:spacing w:after="0"/>
              <w:rPr>
                <w:sz w:val="20"/>
                <w:szCs w:val="20"/>
                <w:color w:val="auto"/>
              </w:rPr>
            </w:pPr>
            <w:r>
              <w:rPr>
                <w:rFonts w:ascii="Arial" w:cs="Arial" w:eastAsia="Arial" w:hAnsi="Arial"/>
                <w:sz w:val="18"/>
                <w:szCs w:val="18"/>
                <w:color w:val="auto"/>
              </w:rPr>
              <w:t>Money market fund</w:t>
            </w: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460" w:type="dxa"/>
            <w:vAlign w:val="bottom"/>
            <w:shd w:val="clear" w:color="auto" w:fill="CCEEFF"/>
          </w:tcPr>
          <w:p>
            <w:pPr>
              <w:jc w:val="right"/>
              <w:ind w:right="20"/>
              <w:spacing w:after="0"/>
              <w:rPr>
                <w:sz w:val="20"/>
                <w:szCs w:val="20"/>
                <w:color w:val="auto"/>
              </w:rPr>
            </w:pPr>
            <w:r>
              <w:rPr>
                <w:rFonts w:ascii="Arial" w:cs="Arial" w:eastAsia="Arial" w:hAnsi="Arial"/>
                <w:sz w:val="18"/>
                <w:szCs w:val="18"/>
                <w:color w:val="auto"/>
              </w:rPr>
              <w:t>4</w:t>
            </w:r>
          </w:p>
        </w:tc>
        <w:tc>
          <w:tcPr>
            <w:tcW w:w="100" w:type="dxa"/>
            <w:vAlign w:val="bottom"/>
            <w:shd w:val="clear" w:color="auto" w:fill="CCEEFF"/>
          </w:tcPr>
          <w:p>
            <w:pPr>
              <w:spacing w:after="0"/>
              <w:rPr>
                <w:sz w:val="21"/>
                <w:szCs w:val="21"/>
                <w:color w:val="auto"/>
              </w:rPr>
            </w:pPr>
          </w:p>
        </w:tc>
        <w:tc>
          <w:tcPr>
            <w:tcW w:w="24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13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420" w:type="dxa"/>
            <w:vAlign w:val="bottom"/>
            <w:gridSpan w:val="3"/>
            <w:shd w:val="clear" w:color="auto" w:fill="CCEEFF"/>
          </w:tcPr>
          <w:p>
            <w:pPr>
              <w:ind w:left="1000"/>
              <w:spacing w:after="0"/>
              <w:rPr>
                <w:sz w:val="20"/>
                <w:szCs w:val="20"/>
                <w:color w:val="auto"/>
              </w:rPr>
            </w:pPr>
            <w:r>
              <w:rPr>
                <w:rFonts w:ascii="Arial" w:cs="Arial" w:eastAsia="Arial" w:hAnsi="Arial"/>
                <w:sz w:val="18"/>
                <w:szCs w:val="18"/>
                <w:color w:val="auto"/>
              </w:rPr>
              <w:t>—</w:t>
            </w:r>
          </w:p>
        </w:tc>
        <w:tc>
          <w:tcPr>
            <w:tcW w:w="32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w w:val="79"/>
              </w:rPr>
              <w:t>$</w:t>
            </w:r>
          </w:p>
        </w:tc>
        <w:tc>
          <w:tcPr>
            <w:tcW w:w="1140" w:type="dxa"/>
            <w:vAlign w:val="bottom"/>
            <w:shd w:val="clear" w:color="auto" w:fill="CCEEFF"/>
          </w:tcPr>
          <w:p>
            <w:pPr>
              <w:jc w:val="right"/>
              <w:ind w:right="14"/>
              <w:spacing w:after="0"/>
              <w:rPr>
                <w:sz w:val="20"/>
                <w:szCs w:val="20"/>
                <w:color w:val="auto"/>
              </w:rPr>
            </w:pPr>
            <w:r>
              <w:rPr>
                <w:rFonts w:ascii="Arial" w:cs="Arial" w:eastAsia="Arial" w:hAnsi="Arial"/>
                <w:sz w:val="18"/>
                <w:szCs w:val="18"/>
                <w:color w:val="auto"/>
              </w:rPr>
              <w:t>4</w:t>
            </w:r>
          </w:p>
        </w:tc>
      </w:tr>
      <w:tr>
        <w:trPr>
          <w:trHeight w:val="264"/>
        </w:trPr>
        <w:tc>
          <w:tcPr>
            <w:tcW w:w="5040" w:type="dxa"/>
            <w:vAlign w:val="bottom"/>
            <w:tcBorders>
              <w:bottom w:val="single" w:sz="8" w:color="CCEEFF"/>
            </w:tcBorders>
            <w:gridSpan w:val="3"/>
          </w:tcPr>
          <w:p>
            <w:pPr>
              <w:ind w:left="40"/>
              <w:spacing w:after="0"/>
              <w:rPr>
                <w:sz w:val="20"/>
                <w:szCs w:val="20"/>
                <w:color w:val="auto"/>
              </w:rPr>
            </w:pPr>
            <w:r>
              <w:rPr>
                <w:rFonts w:ascii="Arial" w:cs="Arial" w:eastAsia="Arial" w:hAnsi="Arial"/>
                <w:sz w:val="18"/>
                <w:szCs w:val="18"/>
                <w:color w:val="auto"/>
              </w:rPr>
              <w:t>Mutual funds – AAL Class</w:t>
            </w:r>
          </w:p>
        </w:tc>
        <w:tc>
          <w:tcPr>
            <w:tcW w:w="140" w:type="dxa"/>
            <w:vAlign w:val="bottom"/>
            <w:tcBorders>
              <w:bottom w:val="single" w:sz="8" w:color="auto"/>
            </w:tcBorders>
          </w:tcPr>
          <w:p>
            <w:pPr>
              <w:spacing w:after="0"/>
              <w:rPr>
                <w:sz w:val="22"/>
                <w:szCs w:val="22"/>
                <w:color w:val="auto"/>
              </w:rPr>
            </w:pPr>
          </w:p>
        </w:tc>
        <w:tc>
          <w:tcPr>
            <w:tcW w:w="1460" w:type="dxa"/>
            <w:vAlign w:val="bottom"/>
            <w:tcBorders>
              <w:bottom w:val="single" w:sz="8" w:color="auto"/>
            </w:tcBorders>
          </w:tcPr>
          <w:p>
            <w:pPr>
              <w:jc w:val="right"/>
              <w:ind w:right="20"/>
              <w:spacing w:after="0"/>
              <w:rPr>
                <w:sz w:val="20"/>
                <w:szCs w:val="20"/>
                <w:color w:val="auto"/>
              </w:rPr>
            </w:pPr>
            <w:r>
              <w:rPr>
                <w:rFonts w:ascii="Arial" w:cs="Arial" w:eastAsia="Arial" w:hAnsi="Arial"/>
                <w:sz w:val="18"/>
                <w:szCs w:val="18"/>
                <w:color w:val="auto"/>
              </w:rPr>
              <w:t>—</w:t>
            </w:r>
          </w:p>
        </w:tc>
        <w:tc>
          <w:tcPr>
            <w:tcW w:w="100" w:type="dxa"/>
            <w:vAlign w:val="bottom"/>
            <w:tcBorders>
              <w:bottom w:val="single" w:sz="8" w:color="CCEEFF"/>
            </w:tcBorders>
          </w:tcPr>
          <w:p>
            <w:pPr>
              <w:spacing w:after="0"/>
              <w:rPr>
                <w:sz w:val="22"/>
                <w:szCs w:val="22"/>
                <w:color w:val="auto"/>
              </w:rPr>
            </w:pPr>
          </w:p>
        </w:tc>
        <w:tc>
          <w:tcPr>
            <w:tcW w:w="240" w:type="dxa"/>
            <w:vAlign w:val="bottom"/>
            <w:tcBorders>
              <w:bottom w:val="single" w:sz="8" w:color="auto"/>
            </w:tcBorders>
          </w:tcPr>
          <w:p>
            <w:pPr>
              <w:spacing w:after="0"/>
              <w:rPr>
                <w:sz w:val="22"/>
                <w:szCs w:val="22"/>
                <w:color w:val="auto"/>
              </w:rPr>
            </w:pPr>
          </w:p>
        </w:tc>
        <w:tc>
          <w:tcPr>
            <w:tcW w:w="1260" w:type="dxa"/>
            <w:vAlign w:val="bottom"/>
            <w:tcBorders>
              <w:bottom w:val="single" w:sz="8" w:color="auto"/>
            </w:tcBorders>
          </w:tcPr>
          <w:p>
            <w:pPr>
              <w:jc w:val="right"/>
              <w:ind w:right="40"/>
              <w:spacing w:after="0"/>
              <w:rPr>
                <w:sz w:val="20"/>
                <w:szCs w:val="20"/>
                <w:color w:val="auto"/>
              </w:rPr>
            </w:pPr>
            <w:r>
              <w:rPr>
                <w:rFonts w:ascii="Arial" w:cs="Arial" w:eastAsia="Arial" w:hAnsi="Arial"/>
                <w:sz w:val="18"/>
                <w:szCs w:val="18"/>
                <w:color w:val="auto"/>
              </w:rPr>
              <w:t>200</w:t>
            </w:r>
          </w:p>
        </w:tc>
        <w:tc>
          <w:tcPr>
            <w:tcW w:w="100" w:type="dxa"/>
            <w:vAlign w:val="bottom"/>
            <w:tcBorders>
              <w:bottom w:val="single" w:sz="8" w:color="CCEEFF"/>
            </w:tcBorders>
          </w:tcPr>
          <w:p>
            <w:pPr>
              <w:spacing w:after="0"/>
              <w:rPr>
                <w:sz w:val="22"/>
                <w:szCs w:val="22"/>
                <w:color w:val="auto"/>
              </w:rPr>
            </w:pPr>
          </w:p>
        </w:tc>
        <w:tc>
          <w:tcPr>
            <w:tcW w:w="200" w:type="dxa"/>
            <w:vAlign w:val="bottom"/>
            <w:tcBorders>
              <w:bottom w:val="single" w:sz="8" w:color="auto"/>
            </w:tcBorders>
          </w:tcPr>
          <w:p>
            <w:pPr>
              <w:spacing w:after="0"/>
              <w:rPr>
                <w:sz w:val="22"/>
                <w:szCs w:val="22"/>
                <w:color w:val="auto"/>
              </w:rPr>
            </w:pPr>
          </w:p>
        </w:tc>
        <w:tc>
          <w:tcPr>
            <w:tcW w:w="1280" w:type="dxa"/>
            <w:vAlign w:val="bottom"/>
            <w:tcBorders>
              <w:bottom w:val="single" w:sz="8" w:color="auto"/>
            </w:tcBorders>
          </w:tcPr>
          <w:p>
            <w:pPr>
              <w:ind w:left="1000"/>
              <w:spacing w:after="0"/>
              <w:rPr>
                <w:sz w:val="20"/>
                <w:szCs w:val="20"/>
                <w:color w:val="auto"/>
              </w:rPr>
            </w:pPr>
            <w:r>
              <w:rPr>
                <w:rFonts w:ascii="Arial" w:cs="Arial" w:eastAsia="Arial" w:hAnsi="Arial"/>
                <w:sz w:val="18"/>
                <w:szCs w:val="18"/>
                <w:color w:val="auto"/>
              </w:rPr>
              <w:t>—</w:t>
            </w:r>
          </w:p>
        </w:tc>
        <w:tc>
          <w:tcPr>
            <w:tcW w:w="120" w:type="dxa"/>
            <w:vAlign w:val="bottom"/>
            <w:tcBorders>
              <w:bottom w:val="single" w:sz="8" w:color="CCEEFF"/>
            </w:tcBorders>
          </w:tcPr>
          <w:p>
            <w:pPr>
              <w:spacing w:after="0"/>
              <w:rPr>
                <w:sz w:val="22"/>
                <w:szCs w:val="22"/>
                <w:color w:val="auto"/>
              </w:rPr>
            </w:pPr>
          </w:p>
        </w:tc>
        <w:tc>
          <w:tcPr>
            <w:tcW w:w="20" w:type="dxa"/>
            <w:vAlign w:val="bottom"/>
            <w:tcBorders>
              <w:bottom w:val="single" w:sz="8" w:color="auto"/>
            </w:tcBorders>
          </w:tcPr>
          <w:p>
            <w:pPr>
              <w:spacing w:after="0"/>
              <w:rPr>
                <w:sz w:val="22"/>
                <w:szCs w:val="22"/>
                <w:color w:val="auto"/>
              </w:rPr>
            </w:pPr>
          </w:p>
        </w:tc>
        <w:tc>
          <w:tcPr>
            <w:tcW w:w="320" w:type="dxa"/>
            <w:vAlign w:val="bottom"/>
            <w:tcBorders>
              <w:bottom w:val="single" w:sz="8" w:color="auto"/>
            </w:tcBorders>
          </w:tcPr>
          <w:p>
            <w:pPr>
              <w:spacing w:after="0"/>
              <w:rPr>
                <w:sz w:val="22"/>
                <w:szCs w:val="22"/>
                <w:color w:val="auto"/>
              </w:rPr>
            </w:pPr>
          </w:p>
        </w:tc>
        <w:tc>
          <w:tcPr>
            <w:tcW w:w="1140" w:type="dxa"/>
            <w:vAlign w:val="bottom"/>
            <w:tcBorders>
              <w:bottom w:val="single" w:sz="8" w:color="auto"/>
            </w:tcBorders>
          </w:tcPr>
          <w:p>
            <w:pPr>
              <w:jc w:val="right"/>
              <w:ind w:right="14"/>
              <w:spacing w:after="0"/>
              <w:rPr>
                <w:sz w:val="20"/>
                <w:szCs w:val="20"/>
                <w:color w:val="auto"/>
              </w:rPr>
            </w:pPr>
            <w:r>
              <w:rPr>
                <w:rFonts w:ascii="Arial" w:cs="Arial" w:eastAsia="Arial" w:hAnsi="Arial"/>
                <w:sz w:val="18"/>
                <w:szCs w:val="18"/>
                <w:color w:val="auto"/>
              </w:rPr>
              <w:t>200</w:t>
            </w:r>
          </w:p>
        </w:tc>
      </w:tr>
      <w:tr>
        <w:trPr>
          <w:trHeight w:val="250"/>
        </w:trPr>
        <w:tc>
          <w:tcPr>
            <w:tcW w:w="40" w:type="dxa"/>
            <w:vAlign w:val="bottom"/>
            <w:shd w:val="clear" w:color="auto" w:fill="CCEEFF"/>
          </w:tcPr>
          <w:p>
            <w:pPr>
              <w:spacing w:after="0"/>
              <w:rPr>
                <w:sz w:val="21"/>
                <w:szCs w:val="21"/>
                <w:color w:val="auto"/>
              </w:rPr>
            </w:pPr>
          </w:p>
        </w:tc>
        <w:tc>
          <w:tcPr>
            <w:tcW w:w="5000" w:type="dxa"/>
            <w:vAlign w:val="bottom"/>
            <w:gridSpan w:val="2"/>
            <w:shd w:val="clear" w:color="auto" w:fill="CCEEFF"/>
          </w:tcPr>
          <w:p>
            <w:pPr>
              <w:ind w:left="240"/>
              <w:spacing w:after="0"/>
              <w:rPr>
                <w:sz w:val="20"/>
                <w:szCs w:val="20"/>
                <w:color w:val="auto"/>
              </w:rPr>
            </w:pPr>
            <w:r>
              <w:rPr>
                <w:rFonts w:ascii="Arial" w:cs="Arial" w:eastAsia="Arial" w:hAnsi="Arial"/>
                <w:sz w:val="18"/>
                <w:szCs w:val="18"/>
                <w:color w:val="auto"/>
              </w:rPr>
              <w:t>Total</w:t>
            </w: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460" w:type="dxa"/>
            <w:vAlign w:val="bottom"/>
            <w:shd w:val="clear" w:color="auto" w:fill="CCEEFF"/>
          </w:tcPr>
          <w:p>
            <w:pPr>
              <w:jc w:val="right"/>
              <w:ind w:right="20"/>
              <w:spacing w:after="0"/>
              <w:rPr>
                <w:sz w:val="20"/>
                <w:szCs w:val="20"/>
                <w:color w:val="auto"/>
              </w:rPr>
            </w:pPr>
            <w:r>
              <w:rPr>
                <w:rFonts w:ascii="Arial" w:cs="Arial" w:eastAsia="Arial" w:hAnsi="Arial"/>
                <w:sz w:val="18"/>
                <w:szCs w:val="18"/>
                <w:color w:val="auto"/>
              </w:rPr>
              <w:t>4</w:t>
            </w:r>
          </w:p>
        </w:tc>
        <w:tc>
          <w:tcPr>
            <w:tcW w:w="100" w:type="dxa"/>
            <w:vAlign w:val="bottom"/>
            <w:shd w:val="clear" w:color="auto" w:fill="CCEEFF"/>
          </w:tcPr>
          <w:p>
            <w:pPr>
              <w:spacing w:after="0"/>
              <w:rPr>
                <w:sz w:val="21"/>
                <w:szCs w:val="21"/>
                <w:color w:val="auto"/>
              </w:rPr>
            </w:pPr>
          </w:p>
        </w:tc>
        <w:tc>
          <w:tcPr>
            <w:tcW w:w="24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1260" w:type="dxa"/>
            <w:vAlign w:val="bottom"/>
            <w:shd w:val="clear" w:color="auto" w:fill="CCEEFF"/>
          </w:tcPr>
          <w:p>
            <w:pPr>
              <w:jc w:val="right"/>
              <w:ind w:right="40"/>
              <w:spacing w:after="0"/>
              <w:rPr>
                <w:sz w:val="20"/>
                <w:szCs w:val="20"/>
                <w:color w:val="auto"/>
              </w:rPr>
            </w:pPr>
            <w:r>
              <w:rPr>
                <w:rFonts w:ascii="Arial" w:cs="Arial" w:eastAsia="Arial" w:hAnsi="Arial"/>
                <w:sz w:val="18"/>
                <w:szCs w:val="18"/>
                <w:color w:val="auto"/>
              </w:rPr>
              <w:t>200</w:t>
            </w:r>
          </w:p>
        </w:tc>
        <w:tc>
          <w:tcPr>
            <w:tcW w:w="100" w:type="dxa"/>
            <w:vAlign w:val="bottom"/>
            <w:shd w:val="clear" w:color="auto" w:fill="CCEEFF"/>
          </w:tcPr>
          <w:p>
            <w:pPr>
              <w:spacing w:after="0"/>
              <w:rPr>
                <w:sz w:val="21"/>
                <w:szCs w:val="21"/>
                <w:color w:val="auto"/>
              </w:rPr>
            </w:pPr>
          </w:p>
        </w:tc>
        <w:tc>
          <w:tcPr>
            <w:tcW w:w="2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420" w:type="dxa"/>
            <w:vAlign w:val="bottom"/>
            <w:gridSpan w:val="3"/>
            <w:shd w:val="clear" w:color="auto" w:fill="CCEEFF"/>
          </w:tcPr>
          <w:p>
            <w:pPr>
              <w:ind w:left="1000"/>
              <w:spacing w:after="0"/>
              <w:rPr>
                <w:sz w:val="20"/>
                <w:szCs w:val="20"/>
                <w:color w:val="auto"/>
              </w:rPr>
            </w:pPr>
            <w:r>
              <w:rPr>
                <w:rFonts w:ascii="Arial" w:cs="Arial" w:eastAsia="Arial" w:hAnsi="Arial"/>
                <w:sz w:val="18"/>
                <w:szCs w:val="18"/>
                <w:color w:val="auto"/>
              </w:rPr>
              <w:t>—</w:t>
            </w:r>
          </w:p>
        </w:tc>
        <w:tc>
          <w:tcPr>
            <w:tcW w:w="32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w w:val="79"/>
              </w:rPr>
              <w:t>$</w:t>
            </w:r>
          </w:p>
        </w:tc>
        <w:tc>
          <w:tcPr>
            <w:tcW w:w="1140" w:type="dxa"/>
            <w:vAlign w:val="bottom"/>
            <w:shd w:val="clear" w:color="auto" w:fill="CCEEFF"/>
          </w:tcPr>
          <w:p>
            <w:pPr>
              <w:jc w:val="right"/>
              <w:ind w:right="14"/>
              <w:spacing w:after="0"/>
              <w:rPr>
                <w:sz w:val="20"/>
                <w:szCs w:val="20"/>
                <w:color w:val="auto"/>
              </w:rPr>
            </w:pPr>
            <w:r>
              <w:rPr>
                <w:rFonts w:ascii="Arial" w:cs="Arial" w:eastAsia="Arial" w:hAnsi="Arial"/>
                <w:sz w:val="18"/>
                <w:szCs w:val="18"/>
                <w:color w:val="auto"/>
              </w:rPr>
              <w:t>204</w:t>
            </w:r>
          </w:p>
        </w:tc>
      </w:tr>
      <w:tr>
        <w:trPr>
          <w:trHeight w:val="20"/>
        </w:trPr>
        <w:tc>
          <w:tcPr>
            <w:tcW w:w="40" w:type="dxa"/>
            <w:vAlign w:val="bottom"/>
            <w:tcBorders>
              <w:top w:val="single" w:sz="8" w:color="CCEEFF"/>
            </w:tcBorders>
          </w:tcPr>
          <w:p>
            <w:pPr>
              <w:spacing w:after="0" w:line="20" w:lineRule="exact"/>
              <w:rPr>
                <w:sz w:val="1"/>
                <w:szCs w:val="1"/>
                <w:color w:val="auto"/>
              </w:rPr>
            </w:pPr>
          </w:p>
        </w:tc>
        <w:tc>
          <w:tcPr>
            <w:tcW w:w="1060" w:type="dxa"/>
            <w:vAlign w:val="bottom"/>
            <w:tcBorders>
              <w:top w:val="single" w:sz="8" w:color="CCEEFF"/>
            </w:tcBorders>
          </w:tcPr>
          <w:p>
            <w:pPr>
              <w:spacing w:after="0" w:line="20" w:lineRule="exact"/>
              <w:rPr>
                <w:sz w:val="1"/>
                <w:szCs w:val="1"/>
                <w:color w:val="auto"/>
              </w:rPr>
            </w:pPr>
          </w:p>
        </w:tc>
        <w:tc>
          <w:tcPr>
            <w:tcW w:w="394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4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2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2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r>
      <w:tr>
        <w:trPr>
          <w:trHeight w:val="419"/>
        </w:trPr>
        <w:tc>
          <w:tcPr>
            <w:tcW w:w="4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39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460" w:type="dxa"/>
            <w:vAlign w:val="bottom"/>
          </w:tcPr>
          <w:p>
            <w:pPr>
              <w:jc w:val="right"/>
              <w:ind w:right="700"/>
              <w:spacing w:after="0"/>
              <w:rPr>
                <w:sz w:val="20"/>
                <w:szCs w:val="20"/>
                <w:color w:val="auto"/>
              </w:rPr>
            </w:pPr>
            <w:r>
              <w:rPr>
                <w:rFonts w:ascii="Arial" w:cs="Arial" w:eastAsia="Arial" w:hAnsi="Arial"/>
                <w:sz w:val="18"/>
                <w:szCs w:val="18"/>
                <w:color w:val="auto"/>
              </w:rPr>
              <w:t>148</w:t>
            </w:r>
          </w:p>
        </w:tc>
        <w:tc>
          <w:tcPr>
            <w:tcW w:w="1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140" w:type="dxa"/>
            <w:vAlign w:val="bottom"/>
          </w:tcPr>
          <w:p>
            <w:pPr>
              <w:spacing w:after="0"/>
              <w:rPr>
                <w:sz w:val="24"/>
                <w:szCs w:val="24"/>
                <w:color w:val="auto"/>
              </w:rPr>
            </w:pPr>
          </w:p>
        </w:tc>
      </w:tr>
    </w:tbl>
    <w:p>
      <w:pPr>
        <w:sectPr>
          <w:pgSz w:w="11900" w:h="16838" w:orient="portrait"/>
          <w:cols w:equalWidth="0" w:num="1">
            <w:col w:w="11420"/>
          </w:cols>
          <w:pgMar w:left="240" w:top="549" w:right="239" w:bottom="1440" w:gutter="0" w:footer="0" w:header="0"/>
        </w:sectPr>
      </w:pPr>
    </w:p>
    <w:bookmarkStart w:id="148" w:name="page149"/>
    <w:bookmarkEnd w:id="148"/>
    <w:p>
      <w:pPr>
        <w:jc w:val="center"/>
        <w:spacing w:after="0"/>
        <w:rPr>
          <w:sz w:val="20"/>
          <w:szCs w:val="20"/>
          <w:color w:val="auto"/>
        </w:rPr>
      </w:pPr>
      <w:r>
        <w:rPr>
          <w:rFonts w:ascii="Arial" w:cs="Arial" w:eastAsia="Arial" w:hAnsi="Arial"/>
          <w:sz w:val="18"/>
          <w:szCs w:val="18"/>
          <w:b w:val="1"/>
          <w:bCs w:val="1"/>
          <w:color w:val="auto"/>
        </w:rPr>
        <w:t>NOTES TO CONSOLIDATED FINANCIAL STATEMENTS OF AMERICAN AIRLINES, INC.</w:t>
      </w:r>
    </w:p>
    <w:p>
      <w:pPr>
        <w:spacing w:after="0" w:line="397" w:lineRule="exact"/>
        <w:rPr>
          <w:sz w:val="20"/>
          <w:szCs w:val="20"/>
          <w:color w:val="auto"/>
        </w:rPr>
      </w:pPr>
    </w:p>
    <w:tbl>
      <w:tblPr>
        <w:tblLayout w:type="fixed"/>
        <w:tblInd w:w="0" w:type="dxa"/>
        <w:tblCellMar>
          <w:top w:w="0" w:type="dxa"/>
          <w:left w:w="0" w:type="dxa"/>
          <w:bottom w:w="0" w:type="dxa"/>
          <w:right w:w="0" w:type="dxa"/>
        </w:tblCellMar>
      </w:tblPr>
      <w:tr>
        <w:trPr>
          <w:trHeight w:val="196"/>
        </w:trPr>
        <w:tc>
          <w:tcPr>
            <w:tcW w:w="4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3940" w:type="dxa"/>
            <w:vAlign w:val="bottom"/>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4780" w:type="dxa"/>
            <w:vAlign w:val="bottom"/>
            <w:tcBorders>
              <w:bottom w:val="single" w:sz="8" w:color="auto"/>
            </w:tcBorders>
            <w:gridSpan w:val="9"/>
          </w:tcPr>
          <w:p>
            <w:pPr>
              <w:ind w:left="1340"/>
              <w:spacing w:after="0"/>
              <w:rPr>
                <w:sz w:val="20"/>
                <w:szCs w:val="20"/>
                <w:color w:val="auto"/>
              </w:rPr>
            </w:pPr>
            <w:r>
              <w:rPr>
                <w:rFonts w:ascii="Arial" w:cs="Arial" w:eastAsia="Arial" w:hAnsi="Arial"/>
                <w:sz w:val="14"/>
                <w:szCs w:val="14"/>
                <w:b w:val="1"/>
                <w:bCs w:val="1"/>
                <w:color w:val="auto"/>
              </w:rPr>
              <w:t>Fair Value Measurements as of December 31, 2018</w:t>
            </w:r>
          </w:p>
        </w:tc>
        <w:tc>
          <w:tcPr>
            <w:tcW w:w="320" w:type="dxa"/>
            <w:vAlign w:val="bottom"/>
            <w:tcBorders>
              <w:bottom w:val="single" w:sz="8" w:color="auto"/>
            </w:tcBorders>
          </w:tcPr>
          <w:p>
            <w:pPr>
              <w:spacing w:after="0"/>
              <w:rPr>
                <w:sz w:val="17"/>
                <w:szCs w:val="17"/>
                <w:color w:val="auto"/>
              </w:rPr>
            </w:pPr>
          </w:p>
        </w:tc>
        <w:tc>
          <w:tcPr>
            <w:tcW w:w="1140" w:type="dxa"/>
            <w:vAlign w:val="bottom"/>
            <w:tcBorders>
              <w:bottom w:val="single" w:sz="8" w:color="auto"/>
            </w:tcBorders>
          </w:tcPr>
          <w:p>
            <w:pPr>
              <w:spacing w:after="0"/>
              <w:rPr>
                <w:sz w:val="17"/>
                <w:szCs w:val="17"/>
                <w:color w:val="auto"/>
              </w:rPr>
            </w:pPr>
          </w:p>
        </w:tc>
      </w:tr>
      <w:tr>
        <w:trPr>
          <w:trHeight w:val="175"/>
        </w:trPr>
        <w:tc>
          <w:tcPr>
            <w:tcW w:w="4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39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56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rPr>
              <w:t>Quoted Prices in</w:t>
            </w:r>
          </w:p>
        </w:tc>
        <w:tc>
          <w:tcPr>
            <w:tcW w:w="240" w:type="dxa"/>
            <w:vAlign w:val="bottom"/>
          </w:tcPr>
          <w:p>
            <w:pPr>
              <w:spacing w:after="0"/>
              <w:rPr>
                <w:sz w:val="15"/>
                <w:szCs w:val="15"/>
                <w:color w:val="auto"/>
              </w:rPr>
            </w:pPr>
          </w:p>
        </w:tc>
        <w:tc>
          <w:tcPr>
            <w:tcW w:w="1360" w:type="dxa"/>
            <w:vAlign w:val="bottom"/>
            <w:gridSpan w:val="2"/>
          </w:tcPr>
          <w:p>
            <w:pPr>
              <w:jc w:val="center"/>
              <w:ind w:right="340"/>
              <w:spacing w:after="0"/>
              <w:rPr>
                <w:sz w:val="20"/>
                <w:szCs w:val="20"/>
                <w:color w:val="auto"/>
              </w:rPr>
            </w:pPr>
            <w:r>
              <w:rPr>
                <w:rFonts w:ascii="Arial" w:cs="Arial" w:eastAsia="Arial" w:hAnsi="Arial"/>
                <w:sz w:val="14"/>
                <w:szCs w:val="14"/>
                <w:b w:val="1"/>
                <w:bCs w:val="1"/>
                <w:color w:val="auto"/>
              </w:rPr>
              <w:t>Significant</w:t>
            </w:r>
          </w:p>
        </w:tc>
        <w:tc>
          <w:tcPr>
            <w:tcW w:w="200" w:type="dxa"/>
            <w:vAlign w:val="bottom"/>
          </w:tcPr>
          <w:p>
            <w:pPr>
              <w:spacing w:after="0"/>
              <w:rPr>
                <w:sz w:val="15"/>
                <w:szCs w:val="15"/>
                <w:color w:val="auto"/>
              </w:rPr>
            </w:pPr>
          </w:p>
        </w:tc>
        <w:tc>
          <w:tcPr>
            <w:tcW w:w="1420" w:type="dxa"/>
            <w:vAlign w:val="bottom"/>
            <w:gridSpan w:val="3"/>
          </w:tcPr>
          <w:p>
            <w:pPr>
              <w:jc w:val="center"/>
              <w:ind w:right="320"/>
              <w:spacing w:after="0"/>
              <w:rPr>
                <w:sz w:val="20"/>
                <w:szCs w:val="20"/>
                <w:color w:val="auto"/>
              </w:rPr>
            </w:pPr>
            <w:r>
              <w:rPr>
                <w:rFonts w:ascii="Arial" w:cs="Arial" w:eastAsia="Arial" w:hAnsi="Arial"/>
                <w:sz w:val="14"/>
                <w:szCs w:val="14"/>
                <w:b w:val="1"/>
                <w:bCs w:val="1"/>
                <w:color w:val="auto"/>
              </w:rPr>
              <w:t>Significant</w:t>
            </w:r>
          </w:p>
        </w:tc>
        <w:tc>
          <w:tcPr>
            <w:tcW w:w="320" w:type="dxa"/>
            <w:vAlign w:val="bottom"/>
          </w:tcPr>
          <w:p>
            <w:pPr>
              <w:spacing w:after="0"/>
              <w:rPr>
                <w:sz w:val="15"/>
                <w:szCs w:val="15"/>
                <w:color w:val="auto"/>
              </w:rPr>
            </w:pPr>
          </w:p>
        </w:tc>
        <w:tc>
          <w:tcPr>
            <w:tcW w:w="1140" w:type="dxa"/>
            <w:vAlign w:val="bottom"/>
          </w:tcPr>
          <w:p>
            <w:pPr>
              <w:spacing w:after="0"/>
              <w:rPr>
                <w:sz w:val="15"/>
                <w:szCs w:val="15"/>
                <w:color w:val="auto"/>
              </w:rPr>
            </w:pPr>
          </w:p>
        </w:tc>
      </w:tr>
      <w:tr>
        <w:trPr>
          <w:trHeight w:val="162"/>
        </w:trPr>
        <w:tc>
          <w:tcPr>
            <w:tcW w:w="4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39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56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rPr>
              <w:t>Active Markets for</w:t>
            </w:r>
          </w:p>
        </w:tc>
        <w:tc>
          <w:tcPr>
            <w:tcW w:w="240" w:type="dxa"/>
            <w:vAlign w:val="bottom"/>
          </w:tcPr>
          <w:p>
            <w:pPr>
              <w:spacing w:after="0"/>
              <w:rPr>
                <w:sz w:val="14"/>
                <w:szCs w:val="14"/>
                <w:color w:val="auto"/>
              </w:rPr>
            </w:pPr>
          </w:p>
        </w:tc>
        <w:tc>
          <w:tcPr>
            <w:tcW w:w="1360" w:type="dxa"/>
            <w:vAlign w:val="bottom"/>
            <w:gridSpan w:val="2"/>
          </w:tcPr>
          <w:p>
            <w:pPr>
              <w:jc w:val="center"/>
              <w:ind w:right="340"/>
              <w:spacing w:after="0"/>
              <w:rPr>
                <w:sz w:val="20"/>
                <w:szCs w:val="20"/>
                <w:color w:val="auto"/>
              </w:rPr>
            </w:pPr>
            <w:r>
              <w:rPr>
                <w:rFonts w:ascii="Arial" w:cs="Arial" w:eastAsia="Arial" w:hAnsi="Arial"/>
                <w:sz w:val="14"/>
                <w:szCs w:val="14"/>
                <w:b w:val="1"/>
                <w:bCs w:val="1"/>
                <w:color w:val="auto"/>
              </w:rPr>
              <w:t>Observable</w:t>
            </w:r>
          </w:p>
        </w:tc>
        <w:tc>
          <w:tcPr>
            <w:tcW w:w="200" w:type="dxa"/>
            <w:vAlign w:val="bottom"/>
          </w:tcPr>
          <w:p>
            <w:pPr>
              <w:spacing w:after="0"/>
              <w:rPr>
                <w:sz w:val="14"/>
                <w:szCs w:val="14"/>
                <w:color w:val="auto"/>
              </w:rPr>
            </w:pPr>
          </w:p>
        </w:tc>
        <w:tc>
          <w:tcPr>
            <w:tcW w:w="1420" w:type="dxa"/>
            <w:vAlign w:val="bottom"/>
            <w:gridSpan w:val="3"/>
          </w:tcPr>
          <w:p>
            <w:pPr>
              <w:jc w:val="center"/>
              <w:ind w:right="340"/>
              <w:spacing w:after="0"/>
              <w:rPr>
                <w:sz w:val="20"/>
                <w:szCs w:val="20"/>
                <w:color w:val="auto"/>
              </w:rPr>
            </w:pPr>
            <w:r>
              <w:rPr>
                <w:rFonts w:ascii="Arial" w:cs="Arial" w:eastAsia="Arial" w:hAnsi="Arial"/>
                <w:sz w:val="14"/>
                <w:szCs w:val="14"/>
                <w:b w:val="1"/>
                <w:bCs w:val="1"/>
                <w:color w:val="auto"/>
              </w:rPr>
              <w:t>Unobservable</w:t>
            </w:r>
          </w:p>
        </w:tc>
        <w:tc>
          <w:tcPr>
            <w:tcW w:w="320" w:type="dxa"/>
            <w:vAlign w:val="bottom"/>
          </w:tcPr>
          <w:p>
            <w:pPr>
              <w:spacing w:after="0"/>
              <w:rPr>
                <w:sz w:val="14"/>
                <w:szCs w:val="14"/>
                <w:color w:val="auto"/>
              </w:rPr>
            </w:pPr>
          </w:p>
        </w:tc>
        <w:tc>
          <w:tcPr>
            <w:tcW w:w="1140" w:type="dxa"/>
            <w:vAlign w:val="bottom"/>
          </w:tcPr>
          <w:p>
            <w:pPr>
              <w:spacing w:after="0"/>
              <w:rPr>
                <w:sz w:val="14"/>
                <w:szCs w:val="14"/>
                <w:color w:val="auto"/>
              </w:rPr>
            </w:pPr>
          </w:p>
        </w:tc>
      </w:tr>
      <w:tr>
        <w:trPr>
          <w:trHeight w:val="162"/>
        </w:trPr>
        <w:tc>
          <w:tcPr>
            <w:tcW w:w="4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39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56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rPr>
              <w:t>Identical Assets</w:t>
            </w:r>
          </w:p>
        </w:tc>
        <w:tc>
          <w:tcPr>
            <w:tcW w:w="240" w:type="dxa"/>
            <w:vAlign w:val="bottom"/>
          </w:tcPr>
          <w:p>
            <w:pPr>
              <w:spacing w:after="0"/>
              <w:rPr>
                <w:sz w:val="14"/>
                <w:szCs w:val="14"/>
                <w:color w:val="auto"/>
              </w:rPr>
            </w:pPr>
          </w:p>
        </w:tc>
        <w:tc>
          <w:tcPr>
            <w:tcW w:w="1360" w:type="dxa"/>
            <w:vAlign w:val="bottom"/>
            <w:gridSpan w:val="2"/>
          </w:tcPr>
          <w:p>
            <w:pPr>
              <w:jc w:val="center"/>
              <w:ind w:right="340"/>
              <w:spacing w:after="0"/>
              <w:rPr>
                <w:sz w:val="20"/>
                <w:szCs w:val="20"/>
                <w:color w:val="auto"/>
              </w:rPr>
            </w:pPr>
            <w:r>
              <w:rPr>
                <w:rFonts w:ascii="Arial" w:cs="Arial" w:eastAsia="Arial" w:hAnsi="Arial"/>
                <w:sz w:val="14"/>
                <w:szCs w:val="14"/>
                <w:b w:val="1"/>
                <w:bCs w:val="1"/>
                <w:color w:val="auto"/>
                <w:w w:val="99"/>
              </w:rPr>
              <w:t>Inputs</w:t>
            </w:r>
          </w:p>
        </w:tc>
        <w:tc>
          <w:tcPr>
            <w:tcW w:w="200" w:type="dxa"/>
            <w:vAlign w:val="bottom"/>
          </w:tcPr>
          <w:p>
            <w:pPr>
              <w:spacing w:after="0"/>
              <w:rPr>
                <w:sz w:val="14"/>
                <w:szCs w:val="14"/>
                <w:color w:val="auto"/>
              </w:rPr>
            </w:pPr>
          </w:p>
        </w:tc>
        <w:tc>
          <w:tcPr>
            <w:tcW w:w="1420" w:type="dxa"/>
            <w:vAlign w:val="bottom"/>
            <w:gridSpan w:val="3"/>
          </w:tcPr>
          <w:p>
            <w:pPr>
              <w:jc w:val="center"/>
              <w:ind w:right="340"/>
              <w:spacing w:after="0"/>
              <w:rPr>
                <w:sz w:val="20"/>
                <w:szCs w:val="20"/>
                <w:color w:val="auto"/>
              </w:rPr>
            </w:pPr>
            <w:r>
              <w:rPr>
                <w:rFonts w:ascii="Arial" w:cs="Arial" w:eastAsia="Arial" w:hAnsi="Arial"/>
                <w:sz w:val="14"/>
                <w:szCs w:val="14"/>
                <w:b w:val="1"/>
                <w:bCs w:val="1"/>
                <w:color w:val="auto"/>
              </w:rPr>
              <w:t>Inputs</w:t>
            </w:r>
          </w:p>
        </w:tc>
        <w:tc>
          <w:tcPr>
            <w:tcW w:w="320" w:type="dxa"/>
            <w:vAlign w:val="bottom"/>
          </w:tcPr>
          <w:p>
            <w:pPr>
              <w:spacing w:after="0"/>
              <w:rPr>
                <w:sz w:val="14"/>
                <w:szCs w:val="14"/>
                <w:color w:val="auto"/>
              </w:rPr>
            </w:pPr>
          </w:p>
        </w:tc>
        <w:tc>
          <w:tcPr>
            <w:tcW w:w="1140" w:type="dxa"/>
            <w:vAlign w:val="bottom"/>
          </w:tcPr>
          <w:p>
            <w:pPr>
              <w:spacing w:after="0"/>
              <w:rPr>
                <w:sz w:val="14"/>
                <w:szCs w:val="14"/>
                <w:color w:val="auto"/>
              </w:rPr>
            </w:pPr>
          </w:p>
        </w:tc>
      </w:tr>
      <w:tr>
        <w:trPr>
          <w:trHeight w:val="162"/>
        </w:trPr>
        <w:tc>
          <w:tcPr>
            <w:tcW w:w="5040" w:type="dxa"/>
            <w:vAlign w:val="bottom"/>
            <w:gridSpan w:val="3"/>
          </w:tcPr>
          <w:p>
            <w:pPr>
              <w:ind w:left="40"/>
              <w:spacing w:after="0"/>
              <w:rPr>
                <w:sz w:val="20"/>
                <w:szCs w:val="20"/>
                <w:color w:val="auto"/>
              </w:rPr>
            </w:pPr>
            <w:r>
              <w:rPr>
                <w:rFonts w:ascii="Arial" w:cs="Arial" w:eastAsia="Arial" w:hAnsi="Arial"/>
                <w:sz w:val="14"/>
                <w:szCs w:val="14"/>
                <w:b w:val="1"/>
                <w:bCs w:val="1"/>
                <w:color w:val="auto"/>
              </w:rPr>
              <w:t>Asset Category</w:t>
            </w:r>
          </w:p>
        </w:tc>
        <w:tc>
          <w:tcPr>
            <w:tcW w:w="140" w:type="dxa"/>
            <w:vAlign w:val="bottom"/>
          </w:tcPr>
          <w:p>
            <w:pPr>
              <w:spacing w:after="0"/>
              <w:rPr>
                <w:sz w:val="14"/>
                <w:szCs w:val="14"/>
                <w:color w:val="auto"/>
              </w:rPr>
            </w:pPr>
          </w:p>
        </w:tc>
        <w:tc>
          <w:tcPr>
            <w:tcW w:w="156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rPr>
              <w:t>(Level 1)</w:t>
            </w:r>
          </w:p>
        </w:tc>
        <w:tc>
          <w:tcPr>
            <w:tcW w:w="240" w:type="dxa"/>
            <w:vAlign w:val="bottom"/>
          </w:tcPr>
          <w:p>
            <w:pPr>
              <w:spacing w:after="0"/>
              <w:rPr>
                <w:sz w:val="14"/>
                <w:szCs w:val="14"/>
                <w:color w:val="auto"/>
              </w:rPr>
            </w:pPr>
          </w:p>
        </w:tc>
        <w:tc>
          <w:tcPr>
            <w:tcW w:w="1360" w:type="dxa"/>
            <w:vAlign w:val="bottom"/>
            <w:gridSpan w:val="2"/>
          </w:tcPr>
          <w:p>
            <w:pPr>
              <w:jc w:val="center"/>
              <w:ind w:right="340"/>
              <w:spacing w:after="0"/>
              <w:rPr>
                <w:sz w:val="20"/>
                <w:szCs w:val="20"/>
                <w:color w:val="auto"/>
              </w:rPr>
            </w:pPr>
            <w:r>
              <w:rPr>
                <w:rFonts w:ascii="Arial" w:cs="Arial" w:eastAsia="Arial" w:hAnsi="Arial"/>
                <w:sz w:val="14"/>
                <w:szCs w:val="14"/>
                <w:b w:val="1"/>
                <w:bCs w:val="1"/>
                <w:color w:val="auto"/>
              </w:rPr>
              <w:t>(Level 2)</w:t>
            </w:r>
          </w:p>
        </w:tc>
        <w:tc>
          <w:tcPr>
            <w:tcW w:w="200" w:type="dxa"/>
            <w:vAlign w:val="bottom"/>
          </w:tcPr>
          <w:p>
            <w:pPr>
              <w:spacing w:after="0"/>
              <w:rPr>
                <w:sz w:val="14"/>
                <w:szCs w:val="14"/>
                <w:color w:val="auto"/>
              </w:rPr>
            </w:pPr>
          </w:p>
        </w:tc>
        <w:tc>
          <w:tcPr>
            <w:tcW w:w="1420" w:type="dxa"/>
            <w:vAlign w:val="bottom"/>
            <w:gridSpan w:val="3"/>
          </w:tcPr>
          <w:p>
            <w:pPr>
              <w:jc w:val="center"/>
              <w:ind w:right="320"/>
              <w:spacing w:after="0"/>
              <w:rPr>
                <w:sz w:val="20"/>
                <w:szCs w:val="20"/>
                <w:color w:val="auto"/>
              </w:rPr>
            </w:pPr>
            <w:r>
              <w:rPr>
                <w:rFonts w:ascii="Arial" w:cs="Arial" w:eastAsia="Arial" w:hAnsi="Arial"/>
                <w:sz w:val="14"/>
                <w:szCs w:val="14"/>
                <w:b w:val="1"/>
                <w:bCs w:val="1"/>
                <w:color w:val="auto"/>
              </w:rPr>
              <w:t>(Level 3)</w:t>
            </w:r>
          </w:p>
        </w:tc>
        <w:tc>
          <w:tcPr>
            <w:tcW w:w="320" w:type="dxa"/>
            <w:vAlign w:val="bottom"/>
          </w:tcPr>
          <w:p>
            <w:pPr>
              <w:spacing w:after="0"/>
              <w:rPr>
                <w:sz w:val="14"/>
                <w:szCs w:val="14"/>
                <w:color w:val="auto"/>
              </w:rPr>
            </w:pPr>
          </w:p>
        </w:tc>
        <w:tc>
          <w:tcPr>
            <w:tcW w:w="1140" w:type="dxa"/>
            <w:vAlign w:val="bottom"/>
          </w:tcPr>
          <w:p>
            <w:pPr>
              <w:jc w:val="right"/>
              <w:ind w:right="494"/>
              <w:spacing w:after="0"/>
              <w:rPr>
                <w:sz w:val="20"/>
                <w:szCs w:val="20"/>
                <w:color w:val="auto"/>
              </w:rPr>
            </w:pPr>
            <w:r>
              <w:rPr>
                <w:rFonts w:ascii="Arial" w:cs="Arial" w:eastAsia="Arial" w:hAnsi="Arial"/>
                <w:sz w:val="14"/>
                <w:szCs w:val="14"/>
                <w:b w:val="1"/>
                <w:bCs w:val="1"/>
                <w:color w:val="auto"/>
              </w:rPr>
              <w:t>Total</w:t>
            </w:r>
          </w:p>
        </w:tc>
      </w:tr>
      <w:tr>
        <w:trPr>
          <w:trHeight w:val="21"/>
        </w:trPr>
        <w:tc>
          <w:tcPr>
            <w:tcW w:w="40" w:type="dxa"/>
            <w:vAlign w:val="bottom"/>
            <w:tcBorders>
              <w:bottom w:val="single" w:sz="8" w:color="CCEEFF"/>
            </w:tcBorders>
          </w:tcPr>
          <w:p>
            <w:pPr>
              <w:spacing w:after="0" w:line="20" w:lineRule="exact"/>
              <w:rPr>
                <w:sz w:val="1"/>
                <w:szCs w:val="1"/>
                <w:color w:val="auto"/>
              </w:rPr>
            </w:pPr>
          </w:p>
        </w:tc>
        <w:tc>
          <w:tcPr>
            <w:tcW w:w="1060" w:type="dxa"/>
            <w:vAlign w:val="bottom"/>
            <w:tcBorders>
              <w:top w:val="single" w:sz="8" w:color="auto"/>
              <w:bottom w:val="single" w:sz="8" w:color="CCEEFF"/>
            </w:tcBorders>
          </w:tcPr>
          <w:p>
            <w:pPr>
              <w:spacing w:after="0" w:line="20" w:lineRule="exact"/>
              <w:rPr>
                <w:sz w:val="1"/>
                <w:szCs w:val="1"/>
                <w:color w:val="auto"/>
              </w:rPr>
            </w:pPr>
          </w:p>
        </w:tc>
        <w:tc>
          <w:tcPr>
            <w:tcW w:w="394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4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r>
      <w:tr>
        <w:trPr>
          <w:trHeight w:val="250"/>
        </w:trPr>
        <w:tc>
          <w:tcPr>
            <w:tcW w:w="5040" w:type="dxa"/>
            <w:vAlign w:val="bottom"/>
            <w:gridSpan w:val="3"/>
            <w:shd w:val="clear" w:color="auto" w:fill="CCEEFF"/>
          </w:tcPr>
          <w:p>
            <w:pPr>
              <w:ind w:left="40"/>
              <w:spacing w:after="0"/>
              <w:rPr>
                <w:sz w:val="20"/>
                <w:szCs w:val="20"/>
                <w:color w:val="auto"/>
              </w:rPr>
            </w:pPr>
            <w:r>
              <w:rPr>
                <w:rFonts w:ascii="Arial" w:cs="Arial" w:eastAsia="Arial" w:hAnsi="Arial"/>
                <w:sz w:val="18"/>
                <w:szCs w:val="18"/>
                <w:color w:val="auto"/>
              </w:rPr>
              <w:t>Money market fund</w:t>
            </w: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460" w:type="dxa"/>
            <w:vAlign w:val="bottom"/>
            <w:shd w:val="clear" w:color="auto" w:fill="CCEEFF"/>
          </w:tcPr>
          <w:p>
            <w:pPr>
              <w:jc w:val="right"/>
              <w:ind w:right="21"/>
              <w:spacing w:after="0"/>
              <w:rPr>
                <w:sz w:val="20"/>
                <w:szCs w:val="20"/>
                <w:color w:val="auto"/>
              </w:rPr>
            </w:pPr>
            <w:r>
              <w:rPr>
                <w:rFonts w:ascii="Arial" w:cs="Arial" w:eastAsia="Arial" w:hAnsi="Arial"/>
                <w:sz w:val="18"/>
                <w:szCs w:val="18"/>
                <w:color w:val="auto"/>
              </w:rPr>
              <w:t>4</w:t>
            </w:r>
          </w:p>
        </w:tc>
        <w:tc>
          <w:tcPr>
            <w:tcW w:w="100" w:type="dxa"/>
            <w:vAlign w:val="bottom"/>
            <w:shd w:val="clear" w:color="auto" w:fill="CCEEFF"/>
          </w:tcPr>
          <w:p>
            <w:pPr>
              <w:spacing w:after="0"/>
              <w:rPr>
                <w:sz w:val="21"/>
                <w:szCs w:val="21"/>
                <w:color w:val="auto"/>
              </w:rPr>
            </w:pPr>
          </w:p>
        </w:tc>
        <w:tc>
          <w:tcPr>
            <w:tcW w:w="24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13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420" w:type="dxa"/>
            <w:vAlign w:val="bottom"/>
            <w:gridSpan w:val="3"/>
            <w:shd w:val="clear" w:color="auto" w:fill="CCEEFF"/>
          </w:tcPr>
          <w:p>
            <w:pPr>
              <w:ind w:left="1000"/>
              <w:spacing w:after="0"/>
              <w:rPr>
                <w:sz w:val="20"/>
                <w:szCs w:val="20"/>
                <w:color w:val="auto"/>
              </w:rPr>
            </w:pPr>
            <w:r>
              <w:rPr>
                <w:rFonts w:ascii="Arial" w:cs="Arial" w:eastAsia="Arial" w:hAnsi="Arial"/>
                <w:sz w:val="18"/>
                <w:szCs w:val="18"/>
                <w:color w:val="auto"/>
              </w:rPr>
              <w:t>—</w:t>
            </w:r>
          </w:p>
        </w:tc>
        <w:tc>
          <w:tcPr>
            <w:tcW w:w="32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w w:val="79"/>
              </w:rPr>
              <w:t>$</w:t>
            </w:r>
          </w:p>
        </w:tc>
        <w:tc>
          <w:tcPr>
            <w:tcW w:w="1140" w:type="dxa"/>
            <w:vAlign w:val="bottom"/>
            <w:shd w:val="clear" w:color="auto" w:fill="CCEEFF"/>
          </w:tcPr>
          <w:p>
            <w:pPr>
              <w:jc w:val="right"/>
              <w:ind w:right="14"/>
              <w:spacing w:after="0"/>
              <w:rPr>
                <w:sz w:val="20"/>
                <w:szCs w:val="20"/>
                <w:color w:val="auto"/>
              </w:rPr>
            </w:pPr>
            <w:r>
              <w:rPr>
                <w:rFonts w:ascii="Arial" w:cs="Arial" w:eastAsia="Arial" w:hAnsi="Arial"/>
                <w:sz w:val="18"/>
                <w:szCs w:val="18"/>
                <w:color w:val="auto"/>
              </w:rPr>
              <w:t>4</w:t>
            </w:r>
          </w:p>
        </w:tc>
      </w:tr>
      <w:tr>
        <w:trPr>
          <w:trHeight w:val="264"/>
        </w:trPr>
        <w:tc>
          <w:tcPr>
            <w:tcW w:w="5040" w:type="dxa"/>
            <w:vAlign w:val="bottom"/>
            <w:tcBorders>
              <w:bottom w:val="single" w:sz="8" w:color="CCEEFF"/>
            </w:tcBorders>
            <w:gridSpan w:val="3"/>
          </w:tcPr>
          <w:p>
            <w:pPr>
              <w:ind w:left="40"/>
              <w:spacing w:after="0"/>
              <w:rPr>
                <w:sz w:val="20"/>
                <w:szCs w:val="20"/>
                <w:color w:val="auto"/>
              </w:rPr>
            </w:pPr>
            <w:r>
              <w:rPr>
                <w:rFonts w:ascii="Arial" w:cs="Arial" w:eastAsia="Arial" w:hAnsi="Arial"/>
                <w:sz w:val="18"/>
                <w:szCs w:val="18"/>
                <w:color w:val="auto"/>
              </w:rPr>
              <w:t>Mutual funds – AAL Class</w:t>
            </w:r>
          </w:p>
        </w:tc>
        <w:tc>
          <w:tcPr>
            <w:tcW w:w="140" w:type="dxa"/>
            <w:vAlign w:val="bottom"/>
            <w:tcBorders>
              <w:bottom w:val="single" w:sz="8" w:color="auto"/>
            </w:tcBorders>
          </w:tcPr>
          <w:p>
            <w:pPr>
              <w:spacing w:after="0"/>
              <w:rPr>
                <w:sz w:val="22"/>
                <w:szCs w:val="22"/>
                <w:color w:val="auto"/>
              </w:rPr>
            </w:pPr>
          </w:p>
        </w:tc>
        <w:tc>
          <w:tcPr>
            <w:tcW w:w="1460" w:type="dxa"/>
            <w:vAlign w:val="bottom"/>
            <w:tcBorders>
              <w:bottom w:val="single" w:sz="8" w:color="auto"/>
            </w:tcBorders>
          </w:tcPr>
          <w:p>
            <w:pPr>
              <w:jc w:val="right"/>
              <w:ind w:right="21"/>
              <w:spacing w:after="0"/>
              <w:rPr>
                <w:sz w:val="20"/>
                <w:szCs w:val="20"/>
                <w:color w:val="auto"/>
              </w:rPr>
            </w:pPr>
            <w:r>
              <w:rPr>
                <w:rFonts w:ascii="Arial" w:cs="Arial" w:eastAsia="Arial" w:hAnsi="Arial"/>
                <w:sz w:val="18"/>
                <w:szCs w:val="18"/>
                <w:color w:val="auto"/>
              </w:rPr>
              <w:t>—</w:t>
            </w:r>
          </w:p>
        </w:tc>
        <w:tc>
          <w:tcPr>
            <w:tcW w:w="100" w:type="dxa"/>
            <w:vAlign w:val="bottom"/>
            <w:tcBorders>
              <w:bottom w:val="single" w:sz="8" w:color="CCEEFF"/>
            </w:tcBorders>
          </w:tcPr>
          <w:p>
            <w:pPr>
              <w:spacing w:after="0"/>
              <w:rPr>
                <w:sz w:val="22"/>
                <w:szCs w:val="22"/>
                <w:color w:val="auto"/>
              </w:rPr>
            </w:pPr>
          </w:p>
        </w:tc>
        <w:tc>
          <w:tcPr>
            <w:tcW w:w="240" w:type="dxa"/>
            <w:vAlign w:val="bottom"/>
            <w:tcBorders>
              <w:bottom w:val="single" w:sz="8" w:color="auto"/>
            </w:tcBorders>
          </w:tcPr>
          <w:p>
            <w:pPr>
              <w:spacing w:after="0"/>
              <w:rPr>
                <w:sz w:val="22"/>
                <w:szCs w:val="22"/>
                <w:color w:val="auto"/>
              </w:rPr>
            </w:pPr>
          </w:p>
        </w:tc>
        <w:tc>
          <w:tcPr>
            <w:tcW w:w="1260" w:type="dxa"/>
            <w:vAlign w:val="bottom"/>
            <w:tcBorders>
              <w:bottom w:val="single" w:sz="8" w:color="auto"/>
            </w:tcBorders>
          </w:tcPr>
          <w:p>
            <w:pPr>
              <w:jc w:val="right"/>
              <w:ind w:right="40"/>
              <w:spacing w:after="0"/>
              <w:rPr>
                <w:sz w:val="20"/>
                <w:szCs w:val="20"/>
                <w:color w:val="auto"/>
              </w:rPr>
            </w:pPr>
            <w:r>
              <w:rPr>
                <w:rFonts w:ascii="Arial" w:cs="Arial" w:eastAsia="Arial" w:hAnsi="Arial"/>
                <w:sz w:val="18"/>
                <w:szCs w:val="18"/>
                <w:color w:val="auto"/>
              </w:rPr>
              <w:t>221</w:t>
            </w:r>
          </w:p>
        </w:tc>
        <w:tc>
          <w:tcPr>
            <w:tcW w:w="100" w:type="dxa"/>
            <w:vAlign w:val="bottom"/>
            <w:tcBorders>
              <w:bottom w:val="single" w:sz="8" w:color="CCEEFF"/>
            </w:tcBorders>
          </w:tcPr>
          <w:p>
            <w:pPr>
              <w:spacing w:after="0"/>
              <w:rPr>
                <w:sz w:val="22"/>
                <w:szCs w:val="22"/>
                <w:color w:val="auto"/>
              </w:rPr>
            </w:pPr>
          </w:p>
        </w:tc>
        <w:tc>
          <w:tcPr>
            <w:tcW w:w="200" w:type="dxa"/>
            <w:vAlign w:val="bottom"/>
            <w:tcBorders>
              <w:bottom w:val="single" w:sz="8" w:color="auto"/>
            </w:tcBorders>
          </w:tcPr>
          <w:p>
            <w:pPr>
              <w:spacing w:after="0"/>
              <w:rPr>
                <w:sz w:val="22"/>
                <w:szCs w:val="22"/>
                <w:color w:val="auto"/>
              </w:rPr>
            </w:pPr>
          </w:p>
        </w:tc>
        <w:tc>
          <w:tcPr>
            <w:tcW w:w="1280" w:type="dxa"/>
            <w:vAlign w:val="bottom"/>
            <w:tcBorders>
              <w:bottom w:val="single" w:sz="8" w:color="auto"/>
            </w:tcBorders>
          </w:tcPr>
          <w:p>
            <w:pPr>
              <w:ind w:left="1000"/>
              <w:spacing w:after="0"/>
              <w:rPr>
                <w:sz w:val="20"/>
                <w:szCs w:val="20"/>
                <w:color w:val="auto"/>
              </w:rPr>
            </w:pPr>
            <w:r>
              <w:rPr>
                <w:rFonts w:ascii="Arial" w:cs="Arial" w:eastAsia="Arial" w:hAnsi="Arial"/>
                <w:sz w:val="18"/>
                <w:szCs w:val="18"/>
                <w:color w:val="auto"/>
              </w:rPr>
              <w:t>—</w:t>
            </w:r>
          </w:p>
        </w:tc>
        <w:tc>
          <w:tcPr>
            <w:tcW w:w="120" w:type="dxa"/>
            <w:vAlign w:val="bottom"/>
            <w:tcBorders>
              <w:bottom w:val="single" w:sz="8" w:color="CCEEFF"/>
            </w:tcBorders>
          </w:tcPr>
          <w:p>
            <w:pPr>
              <w:spacing w:after="0"/>
              <w:rPr>
                <w:sz w:val="22"/>
                <w:szCs w:val="22"/>
                <w:color w:val="auto"/>
              </w:rPr>
            </w:pPr>
          </w:p>
        </w:tc>
        <w:tc>
          <w:tcPr>
            <w:tcW w:w="20" w:type="dxa"/>
            <w:vAlign w:val="bottom"/>
            <w:tcBorders>
              <w:bottom w:val="single" w:sz="8" w:color="auto"/>
            </w:tcBorders>
          </w:tcPr>
          <w:p>
            <w:pPr>
              <w:spacing w:after="0"/>
              <w:rPr>
                <w:sz w:val="22"/>
                <w:szCs w:val="22"/>
                <w:color w:val="auto"/>
              </w:rPr>
            </w:pPr>
          </w:p>
        </w:tc>
        <w:tc>
          <w:tcPr>
            <w:tcW w:w="320" w:type="dxa"/>
            <w:vAlign w:val="bottom"/>
            <w:tcBorders>
              <w:bottom w:val="single" w:sz="8" w:color="auto"/>
            </w:tcBorders>
          </w:tcPr>
          <w:p>
            <w:pPr>
              <w:spacing w:after="0"/>
              <w:rPr>
                <w:sz w:val="22"/>
                <w:szCs w:val="22"/>
                <w:color w:val="auto"/>
              </w:rPr>
            </w:pPr>
          </w:p>
        </w:tc>
        <w:tc>
          <w:tcPr>
            <w:tcW w:w="1140" w:type="dxa"/>
            <w:vAlign w:val="bottom"/>
            <w:tcBorders>
              <w:bottom w:val="single" w:sz="8" w:color="auto"/>
            </w:tcBorders>
          </w:tcPr>
          <w:p>
            <w:pPr>
              <w:jc w:val="right"/>
              <w:ind w:right="14"/>
              <w:spacing w:after="0"/>
              <w:rPr>
                <w:sz w:val="20"/>
                <w:szCs w:val="20"/>
                <w:color w:val="auto"/>
              </w:rPr>
            </w:pPr>
            <w:r>
              <w:rPr>
                <w:rFonts w:ascii="Arial" w:cs="Arial" w:eastAsia="Arial" w:hAnsi="Arial"/>
                <w:sz w:val="18"/>
                <w:szCs w:val="18"/>
                <w:color w:val="auto"/>
              </w:rPr>
              <w:t>221</w:t>
            </w:r>
          </w:p>
        </w:tc>
      </w:tr>
      <w:tr>
        <w:trPr>
          <w:trHeight w:val="250"/>
        </w:trPr>
        <w:tc>
          <w:tcPr>
            <w:tcW w:w="40" w:type="dxa"/>
            <w:vAlign w:val="bottom"/>
            <w:shd w:val="clear" w:color="auto" w:fill="CCEEFF"/>
          </w:tcPr>
          <w:p>
            <w:pPr>
              <w:spacing w:after="0"/>
              <w:rPr>
                <w:sz w:val="21"/>
                <w:szCs w:val="21"/>
                <w:color w:val="auto"/>
              </w:rPr>
            </w:pPr>
          </w:p>
        </w:tc>
        <w:tc>
          <w:tcPr>
            <w:tcW w:w="5000" w:type="dxa"/>
            <w:vAlign w:val="bottom"/>
            <w:gridSpan w:val="2"/>
            <w:shd w:val="clear" w:color="auto" w:fill="CCEEFF"/>
          </w:tcPr>
          <w:p>
            <w:pPr>
              <w:ind w:left="240"/>
              <w:spacing w:after="0"/>
              <w:rPr>
                <w:sz w:val="20"/>
                <w:szCs w:val="20"/>
                <w:color w:val="auto"/>
              </w:rPr>
            </w:pPr>
            <w:r>
              <w:rPr>
                <w:rFonts w:ascii="Arial" w:cs="Arial" w:eastAsia="Arial" w:hAnsi="Arial"/>
                <w:sz w:val="18"/>
                <w:szCs w:val="18"/>
                <w:color w:val="auto"/>
              </w:rPr>
              <w:t>Total</w:t>
            </w: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460" w:type="dxa"/>
            <w:vAlign w:val="bottom"/>
            <w:shd w:val="clear" w:color="auto" w:fill="CCEEFF"/>
          </w:tcPr>
          <w:p>
            <w:pPr>
              <w:jc w:val="right"/>
              <w:ind w:right="21"/>
              <w:spacing w:after="0"/>
              <w:rPr>
                <w:sz w:val="20"/>
                <w:szCs w:val="20"/>
                <w:color w:val="auto"/>
              </w:rPr>
            </w:pPr>
            <w:r>
              <w:rPr>
                <w:rFonts w:ascii="Arial" w:cs="Arial" w:eastAsia="Arial" w:hAnsi="Arial"/>
                <w:sz w:val="18"/>
                <w:szCs w:val="18"/>
                <w:color w:val="auto"/>
              </w:rPr>
              <w:t>4</w:t>
            </w:r>
          </w:p>
        </w:tc>
        <w:tc>
          <w:tcPr>
            <w:tcW w:w="100" w:type="dxa"/>
            <w:vAlign w:val="bottom"/>
            <w:shd w:val="clear" w:color="auto" w:fill="CCEEFF"/>
          </w:tcPr>
          <w:p>
            <w:pPr>
              <w:spacing w:after="0"/>
              <w:rPr>
                <w:sz w:val="21"/>
                <w:szCs w:val="21"/>
                <w:color w:val="auto"/>
              </w:rPr>
            </w:pPr>
          </w:p>
        </w:tc>
        <w:tc>
          <w:tcPr>
            <w:tcW w:w="24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1260" w:type="dxa"/>
            <w:vAlign w:val="bottom"/>
            <w:shd w:val="clear" w:color="auto" w:fill="CCEEFF"/>
          </w:tcPr>
          <w:p>
            <w:pPr>
              <w:jc w:val="right"/>
              <w:ind w:right="40"/>
              <w:spacing w:after="0"/>
              <w:rPr>
                <w:sz w:val="20"/>
                <w:szCs w:val="20"/>
                <w:color w:val="auto"/>
              </w:rPr>
            </w:pPr>
            <w:r>
              <w:rPr>
                <w:rFonts w:ascii="Arial" w:cs="Arial" w:eastAsia="Arial" w:hAnsi="Arial"/>
                <w:sz w:val="18"/>
                <w:szCs w:val="18"/>
                <w:color w:val="auto"/>
              </w:rPr>
              <w:t>221</w:t>
            </w:r>
          </w:p>
        </w:tc>
        <w:tc>
          <w:tcPr>
            <w:tcW w:w="100" w:type="dxa"/>
            <w:vAlign w:val="bottom"/>
            <w:shd w:val="clear" w:color="auto" w:fill="CCEEFF"/>
          </w:tcPr>
          <w:p>
            <w:pPr>
              <w:spacing w:after="0"/>
              <w:rPr>
                <w:sz w:val="21"/>
                <w:szCs w:val="21"/>
                <w:color w:val="auto"/>
              </w:rPr>
            </w:pPr>
          </w:p>
        </w:tc>
        <w:tc>
          <w:tcPr>
            <w:tcW w:w="2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420" w:type="dxa"/>
            <w:vAlign w:val="bottom"/>
            <w:gridSpan w:val="3"/>
            <w:shd w:val="clear" w:color="auto" w:fill="CCEEFF"/>
          </w:tcPr>
          <w:p>
            <w:pPr>
              <w:ind w:left="1000"/>
              <w:spacing w:after="0"/>
              <w:rPr>
                <w:sz w:val="20"/>
                <w:szCs w:val="20"/>
                <w:color w:val="auto"/>
              </w:rPr>
            </w:pPr>
            <w:r>
              <w:rPr>
                <w:rFonts w:ascii="Arial" w:cs="Arial" w:eastAsia="Arial" w:hAnsi="Arial"/>
                <w:sz w:val="18"/>
                <w:szCs w:val="18"/>
                <w:color w:val="auto"/>
              </w:rPr>
              <w:t>—</w:t>
            </w:r>
          </w:p>
        </w:tc>
        <w:tc>
          <w:tcPr>
            <w:tcW w:w="32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w w:val="79"/>
              </w:rPr>
              <w:t>$</w:t>
            </w:r>
          </w:p>
        </w:tc>
        <w:tc>
          <w:tcPr>
            <w:tcW w:w="1140" w:type="dxa"/>
            <w:vAlign w:val="bottom"/>
            <w:shd w:val="clear" w:color="auto" w:fill="CCEEFF"/>
          </w:tcPr>
          <w:p>
            <w:pPr>
              <w:jc w:val="right"/>
              <w:ind w:right="14"/>
              <w:spacing w:after="0"/>
              <w:rPr>
                <w:sz w:val="20"/>
                <w:szCs w:val="20"/>
                <w:color w:val="auto"/>
              </w:rPr>
            </w:pPr>
            <w:r>
              <w:rPr>
                <w:rFonts w:ascii="Arial" w:cs="Arial" w:eastAsia="Arial" w:hAnsi="Arial"/>
                <w:sz w:val="18"/>
                <w:szCs w:val="18"/>
                <w:color w:val="auto"/>
              </w:rPr>
              <w:t>225</w:t>
            </w:r>
          </w:p>
        </w:tc>
      </w:tr>
      <w:tr>
        <w:trPr>
          <w:trHeight w:val="20"/>
        </w:trPr>
        <w:tc>
          <w:tcPr>
            <w:tcW w:w="40" w:type="dxa"/>
            <w:vAlign w:val="bottom"/>
            <w:tcBorders>
              <w:top w:val="single" w:sz="8" w:color="CCEEFF"/>
            </w:tcBorders>
          </w:tcPr>
          <w:p>
            <w:pPr>
              <w:spacing w:after="0" w:line="20" w:lineRule="exact"/>
              <w:rPr>
                <w:sz w:val="1"/>
                <w:szCs w:val="1"/>
                <w:color w:val="auto"/>
              </w:rPr>
            </w:pPr>
          </w:p>
        </w:tc>
        <w:tc>
          <w:tcPr>
            <w:tcW w:w="1060" w:type="dxa"/>
            <w:vAlign w:val="bottom"/>
            <w:tcBorders>
              <w:top w:val="single" w:sz="8" w:color="CCEEFF"/>
            </w:tcBorders>
          </w:tcPr>
          <w:p>
            <w:pPr>
              <w:spacing w:after="0" w:line="20" w:lineRule="exact"/>
              <w:rPr>
                <w:sz w:val="1"/>
                <w:szCs w:val="1"/>
                <w:color w:val="auto"/>
              </w:rPr>
            </w:pPr>
          </w:p>
        </w:tc>
        <w:tc>
          <w:tcPr>
            <w:tcW w:w="394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4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2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2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r>
    </w:tbl>
    <w:p>
      <w:pPr>
        <w:spacing w:after="0" w:line="377" w:lineRule="exact"/>
        <w:rPr>
          <w:sz w:val="20"/>
          <w:szCs w:val="20"/>
          <w:color w:val="auto"/>
        </w:rPr>
      </w:pPr>
    </w:p>
    <w:p>
      <w:pPr>
        <w:jc w:val="both"/>
        <w:ind w:firstLine="216"/>
        <w:spacing w:after="0" w:line="253" w:lineRule="auto"/>
        <w:rPr>
          <w:sz w:val="20"/>
          <w:szCs w:val="20"/>
          <w:color w:val="auto"/>
        </w:rPr>
      </w:pPr>
      <w:r>
        <w:rPr>
          <w:rFonts w:ascii="Arial" w:cs="Arial" w:eastAsia="Arial" w:hAnsi="Arial"/>
          <w:sz w:val="18"/>
          <w:szCs w:val="18"/>
          <w:color w:val="auto"/>
        </w:rPr>
        <w:t>Investments in the retiree medical and other postretirement benefits plans’ mutual funds are valued by quoted prices on the active market, which is fair value, and represents the net asset value of the shares of such funds as of the close of business at the end of the period. The AAL Class mutual funds are offered only to benefit plans of American, therefore, trading is restricted only to American, resulting in a fair value classification of Level 2. Investments included approximately 24% and 30% of investments in non-U.S. common stocks in 2019 and 2018, respectively. Net asset value is based on the fair market value of the funds’ underlying assets and liabilities at the date of determination.</w:t>
      </w:r>
    </w:p>
    <w:p>
      <w:pPr>
        <w:spacing w:after="0" w:line="211" w:lineRule="exact"/>
        <w:rPr>
          <w:sz w:val="20"/>
          <w:szCs w:val="20"/>
          <w:color w:val="auto"/>
        </w:rPr>
      </w:pPr>
    </w:p>
    <w:p>
      <w:pPr>
        <w:ind w:left="260"/>
        <w:spacing w:after="0"/>
        <w:rPr>
          <w:sz w:val="20"/>
          <w:szCs w:val="20"/>
          <w:color w:val="auto"/>
        </w:rPr>
      </w:pPr>
      <w:r>
        <w:rPr>
          <w:rFonts w:ascii="Arial" w:cs="Arial" w:eastAsia="Arial" w:hAnsi="Arial"/>
          <w:sz w:val="18"/>
          <w:szCs w:val="18"/>
          <w:b w:val="1"/>
          <w:bCs w:val="1"/>
          <w:i w:val="1"/>
          <w:iCs w:val="1"/>
          <w:color w:val="auto"/>
        </w:rPr>
        <w:t>Defined Contribution and Multiemployer Plans</w:t>
      </w:r>
    </w:p>
    <w:p>
      <w:pPr>
        <w:spacing w:after="0" w:line="112" w:lineRule="exact"/>
        <w:rPr>
          <w:sz w:val="20"/>
          <w:szCs w:val="20"/>
          <w:color w:val="auto"/>
        </w:rPr>
      </w:pPr>
    </w:p>
    <w:p>
      <w:pPr>
        <w:jc w:val="both"/>
        <w:ind w:firstLine="243"/>
        <w:spacing w:after="0" w:line="262" w:lineRule="auto"/>
        <w:rPr>
          <w:sz w:val="20"/>
          <w:szCs w:val="20"/>
          <w:color w:val="auto"/>
        </w:rPr>
      </w:pPr>
      <w:r>
        <w:rPr>
          <w:rFonts w:ascii="Arial" w:cs="Arial" w:eastAsia="Arial" w:hAnsi="Arial"/>
          <w:sz w:val="18"/>
          <w:szCs w:val="18"/>
          <w:color w:val="auto"/>
        </w:rPr>
        <w:t>The costs associated with American’s defined contribution plans were $836 million, $825 million and $813 million for the years ended December 31, 2019, 2018 and 2017, respectively.</w:t>
      </w:r>
    </w:p>
    <w:p>
      <w:pPr>
        <w:spacing w:after="0" w:line="304" w:lineRule="exact"/>
        <w:rPr>
          <w:sz w:val="20"/>
          <w:szCs w:val="20"/>
          <w:color w:val="auto"/>
        </w:rPr>
      </w:pPr>
    </w:p>
    <w:p>
      <w:pPr>
        <w:jc w:val="both"/>
        <w:ind w:firstLine="243"/>
        <w:spacing w:after="0" w:line="253" w:lineRule="auto"/>
        <w:rPr>
          <w:sz w:val="20"/>
          <w:szCs w:val="20"/>
          <w:color w:val="auto"/>
        </w:rPr>
      </w:pPr>
      <w:r>
        <w:rPr>
          <w:rFonts w:ascii="Arial" w:cs="Arial" w:eastAsia="Arial" w:hAnsi="Arial"/>
          <w:sz w:val="18"/>
          <w:szCs w:val="18"/>
          <w:color w:val="auto"/>
        </w:rPr>
        <w:t>American participates in the International Association of Machinists &amp; Aerospace Workers (IAM) National Pension Fund, Employer Identification No. 51-6031295 and Plan No. 002 (the IAM Pension Fund). American’s contributions to the IAM Pension Fund were $32 million, $31 million and $31 million for the years ended December 31, 2019, 2018 and 2017, respectively. The IAM Pension Fund reported $467 million in employers’ contributions for the year ended December 31, 2018, which is the most recent year for which such information is available. For 2018, American’s contributions represented more than 5% of total contributions to the IAM Pension Fund.</w:t>
      </w:r>
    </w:p>
    <w:p>
      <w:pPr>
        <w:spacing w:after="0" w:line="152" w:lineRule="exact"/>
        <w:rPr>
          <w:sz w:val="20"/>
          <w:szCs w:val="20"/>
          <w:color w:val="auto"/>
        </w:rPr>
      </w:pPr>
    </w:p>
    <w:p>
      <w:pPr>
        <w:jc w:val="both"/>
        <w:ind w:firstLine="243"/>
        <w:spacing w:after="0" w:line="252" w:lineRule="auto"/>
        <w:rPr>
          <w:sz w:val="20"/>
          <w:szCs w:val="20"/>
          <w:color w:val="auto"/>
        </w:rPr>
      </w:pPr>
      <w:r>
        <w:rPr>
          <w:rFonts w:ascii="Arial" w:cs="Arial" w:eastAsia="Arial" w:hAnsi="Arial"/>
          <w:sz w:val="18"/>
          <w:szCs w:val="18"/>
          <w:color w:val="auto"/>
        </w:rPr>
        <w:t>On March 29, 2019, the actuary for the IAM Pension Fund certified that the fund was in endangered status despite reporting a funded status of over 80%. Additionally, the IAM Pension Fund’s Board voluntarily elected to enter into critical status on April 17, 2019. In connection with the entry into critical status, the IAM Pension Fund adopted a rehabilitation plan on April 17, 2019 (the Rehabilitation Plan). Under the Rehabilitation Plan, American was subject to an immaterial contribution surcharge, which ceased to apply June 14, 2019 upon American’s adoption of a contribution schedule under the Rehabilitation Plan. The contribution schedule American adopted provides for 2.5% annual increases to its contribution rate. This contribution schedule will remain in effect through the earlier of December 31, 2031 or the date the IAM Pension Fund emerges from critical status.</w:t>
      </w:r>
    </w:p>
    <w:p>
      <w:pPr>
        <w:spacing w:after="0" w:line="212" w:lineRule="exact"/>
        <w:rPr>
          <w:sz w:val="20"/>
          <w:szCs w:val="20"/>
          <w:color w:val="auto"/>
        </w:rPr>
      </w:pPr>
    </w:p>
    <w:p>
      <w:pPr>
        <w:ind w:left="220"/>
        <w:spacing w:after="0"/>
        <w:rPr>
          <w:sz w:val="20"/>
          <w:szCs w:val="20"/>
          <w:color w:val="auto"/>
        </w:rPr>
      </w:pPr>
      <w:r>
        <w:rPr>
          <w:rFonts w:ascii="Arial" w:cs="Arial" w:eastAsia="Arial" w:hAnsi="Arial"/>
          <w:sz w:val="18"/>
          <w:szCs w:val="18"/>
          <w:b w:val="1"/>
          <w:bCs w:val="1"/>
          <w:i w:val="1"/>
          <w:iCs w:val="1"/>
          <w:color w:val="auto"/>
        </w:rPr>
        <w:t>Profit Sharing Program</w:t>
      </w:r>
    </w:p>
    <w:p>
      <w:pPr>
        <w:spacing w:after="0" w:line="112" w:lineRule="exact"/>
        <w:rPr>
          <w:sz w:val="20"/>
          <w:szCs w:val="20"/>
          <w:color w:val="auto"/>
        </w:rPr>
      </w:pPr>
    </w:p>
    <w:p>
      <w:pPr>
        <w:jc w:val="both"/>
        <w:ind w:right="20" w:firstLine="216"/>
        <w:spacing w:after="0" w:line="262" w:lineRule="auto"/>
        <w:rPr>
          <w:sz w:val="20"/>
          <w:szCs w:val="20"/>
          <w:color w:val="auto"/>
        </w:rPr>
      </w:pPr>
      <w:r>
        <w:rPr>
          <w:rFonts w:ascii="Arial" w:cs="Arial" w:eastAsia="Arial" w:hAnsi="Arial"/>
          <w:sz w:val="18"/>
          <w:szCs w:val="18"/>
          <w:color w:val="auto"/>
        </w:rPr>
        <w:t>American accrues 5% of its pre-tax income excluding net special items for its profit sharing program. For the year ended December 31, 2019, American accrued $213 million for this program, which will be distributed to employees in the first quarter of 2020.</w:t>
      </w:r>
    </w:p>
    <w:p>
      <w:pPr>
        <w:spacing w:after="0" w:line="19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149</w:t>
      </w:r>
    </w:p>
    <w:p>
      <w:pPr>
        <w:sectPr>
          <w:pgSz w:w="11900" w:h="16838" w:orient="portrait"/>
          <w:cols w:equalWidth="0" w:num="1">
            <w:col w:w="11420"/>
          </w:cols>
          <w:pgMar w:left="240" w:top="549" w:right="239" w:bottom="1440" w:gutter="0" w:footer="0" w:header="0"/>
        </w:sectPr>
      </w:pPr>
    </w:p>
    <w:bookmarkStart w:id="149" w:name="page150"/>
    <w:bookmarkEnd w:id="149"/>
    <w:p>
      <w:pPr>
        <w:jc w:val="center"/>
        <w:spacing w:after="0"/>
        <w:rPr>
          <w:sz w:val="20"/>
          <w:szCs w:val="20"/>
          <w:color w:val="auto"/>
        </w:rPr>
      </w:pPr>
      <w:r>
        <w:rPr>
          <w:rFonts w:ascii="Arial" w:cs="Arial" w:eastAsia="Arial" w:hAnsi="Arial"/>
          <w:sz w:val="18"/>
          <w:szCs w:val="18"/>
          <w:b w:val="1"/>
          <w:bCs w:val="1"/>
          <w:color w:val="auto"/>
        </w:rPr>
        <w:t>NOTES TO CONSOLIDATED FINANCIAL STATEMENTS OF AMERICAN AIRLINES, INC.</w:t>
      </w:r>
    </w:p>
    <w:p>
      <w:pPr>
        <w:spacing w:after="0" w:line="200" w:lineRule="exact"/>
        <w:rPr>
          <w:sz w:val="20"/>
          <w:szCs w:val="20"/>
          <w:color w:val="auto"/>
        </w:rPr>
      </w:pPr>
    </w:p>
    <w:p>
      <w:pPr>
        <w:spacing w:after="0" w:line="26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9. Accumulated Other Comprehensive Loss</w:t>
      </w:r>
    </w:p>
    <w:p>
      <w:pPr>
        <w:spacing w:after="0" w:line="112" w:lineRule="exact"/>
        <w:rPr>
          <w:sz w:val="20"/>
          <w:szCs w:val="20"/>
          <w:color w:val="auto"/>
        </w:rPr>
      </w:pPr>
    </w:p>
    <w:p>
      <w:pPr>
        <w:ind w:left="220"/>
        <w:spacing w:after="0"/>
        <w:rPr>
          <w:sz w:val="20"/>
          <w:szCs w:val="20"/>
          <w:color w:val="auto"/>
        </w:rPr>
      </w:pPr>
      <w:r>
        <w:rPr>
          <w:rFonts w:ascii="Arial" w:cs="Arial" w:eastAsia="Arial" w:hAnsi="Arial"/>
          <w:sz w:val="18"/>
          <w:szCs w:val="18"/>
          <w:color w:val="auto"/>
        </w:rPr>
        <w:t>The components of AOCI are as follows (in millions):</w:t>
      </w:r>
    </w:p>
    <w:p>
      <w:pPr>
        <w:spacing w:after="0" w:line="321"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58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32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rPr>
              <w:t>Pension,</w:t>
            </w:r>
          </w:p>
        </w:tc>
        <w:tc>
          <w:tcPr>
            <w:tcW w:w="18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880" w:type="dxa"/>
            <w:vAlign w:val="bottom"/>
          </w:tcPr>
          <w:p>
            <w:pPr>
              <w:spacing w:after="0"/>
              <w:rPr>
                <w:sz w:val="14"/>
                <w:szCs w:val="14"/>
                <w:color w:val="auto"/>
              </w:rPr>
            </w:pPr>
          </w:p>
        </w:tc>
      </w:tr>
      <w:tr>
        <w:trPr>
          <w:trHeight w:val="162"/>
        </w:trPr>
        <w:tc>
          <w:tcPr>
            <w:tcW w:w="58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32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rPr>
              <w:t>Retiree</w:t>
            </w:r>
          </w:p>
        </w:tc>
        <w:tc>
          <w:tcPr>
            <w:tcW w:w="18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880" w:type="dxa"/>
            <w:vAlign w:val="bottom"/>
          </w:tcPr>
          <w:p>
            <w:pPr>
              <w:spacing w:after="0"/>
              <w:rPr>
                <w:sz w:val="14"/>
                <w:szCs w:val="14"/>
                <w:color w:val="auto"/>
              </w:rPr>
            </w:pPr>
          </w:p>
        </w:tc>
      </w:tr>
      <w:tr>
        <w:trPr>
          <w:trHeight w:val="162"/>
        </w:trPr>
        <w:tc>
          <w:tcPr>
            <w:tcW w:w="58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32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rPr>
              <w:t>Medical and</w:t>
            </w:r>
          </w:p>
        </w:tc>
        <w:tc>
          <w:tcPr>
            <w:tcW w:w="18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880" w:type="dxa"/>
            <w:vAlign w:val="bottom"/>
          </w:tcPr>
          <w:p>
            <w:pPr>
              <w:spacing w:after="0"/>
              <w:rPr>
                <w:sz w:val="14"/>
                <w:szCs w:val="14"/>
                <w:color w:val="auto"/>
              </w:rPr>
            </w:pPr>
          </w:p>
        </w:tc>
      </w:tr>
      <w:tr>
        <w:trPr>
          <w:trHeight w:val="162"/>
        </w:trPr>
        <w:tc>
          <w:tcPr>
            <w:tcW w:w="58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32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rPr>
              <w:t>Other</w:t>
            </w:r>
          </w:p>
        </w:tc>
        <w:tc>
          <w:tcPr>
            <w:tcW w:w="1380" w:type="dxa"/>
            <w:vAlign w:val="bottom"/>
            <w:gridSpan w:val="3"/>
          </w:tcPr>
          <w:p>
            <w:pPr>
              <w:jc w:val="center"/>
              <w:ind w:right="100"/>
              <w:spacing w:after="0"/>
              <w:rPr>
                <w:sz w:val="20"/>
                <w:szCs w:val="20"/>
                <w:color w:val="auto"/>
              </w:rPr>
            </w:pPr>
            <w:r>
              <w:rPr>
                <w:rFonts w:ascii="Arial" w:cs="Arial" w:eastAsia="Arial" w:hAnsi="Arial"/>
                <w:sz w:val="14"/>
                <w:szCs w:val="14"/>
                <w:b w:val="1"/>
                <w:bCs w:val="1"/>
                <w:color w:val="auto"/>
              </w:rPr>
              <w:t>Unrealized Gain</w:t>
            </w:r>
          </w:p>
        </w:tc>
        <w:tc>
          <w:tcPr>
            <w:tcW w:w="160" w:type="dxa"/>
            <w:vAlign w:val="bottom"/>
          </w:tcPr>
          <w:p>
            <w:pPr>
              <w:spacing w:after="0"/>
              <w:rPr>
                <w:sz w:val="14"/>
                <w:szCs w:val="14"/>
                <w:color w:val="auto"/>
              </w:rPr>
            </w:pPr>
          </w:p>
        </w:tc>
        <w:tc>
          <w:tcPr>
            <w:tcW w:w="1120" w:type="dxa"/>
            <w:vAlign w:val="bottom"/>
          </w:tcPr>
          <w:p>
            <w:pPr>
              <w:jc w:val="center"/>
              <w:ind w:right="114"/>
              <w:spacing w:after="0"/>
              <w:rPr>
                <w:sz w:val="20"/>
                <w:szCs w:val="20"/>
                <w:color w:val="auto"/>
              </w:rPr>
            </w:pPr>
            <w:r>
              <w:rPr>
                <w:rFonts w:ascii="Arial" w:cs="Arial" w:eastAsia="Arial" w:hAnsi="Arial"/>
                <w:sz w:val="14"/>
                <w:szCs w:val="14"/>
                <w:b w:val="1"/>
                <w:bCs w:val="1"/>
                <w:color w:val="auto"/>
              </w:rPr>
              <w:t>Income Tax</w:t>
            </w:r>
          </w:p>
        </w:tc>
        <w:tc>
          <w:tcPr>
            <w:tcW w:w="3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880" w:type="dxa"/>
            <w:vAlign w:val="bottom"/>
          </w:tcPr>
          <w:p>
            <w:pPr>
              <w:spacing w:after="0"/>
              <w:rPr>
                <w:sz w:val="14"/>
                <w:szCs w:val="14"/>
                <w:color w:val="auto"/>
              </w:rPr>
            </w:pPr>
          </w:p>
        </w:tc>
      </w:tr>
      <w:tr>
        <w:trPr>
          <w:trHeight w:val="162"/>
        </w:trPr>
        <w:tc>
          <w:tcPr>
            <w:tcW w:w="58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32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rPr>
              <w:t>Postretirement</w:t>
            </w:r>
          </w:p>
        </w:tc>
        <w:tc>
          <w:tcPr>
            <w:tcW w:w="180" w:type="dxa"/>
            <w:vAlign w:val="bottom"/>
          </w:tcPr>
          <w:p>
            <w:pPr>
              <w:spacing w:after="0"/>
              <w:rPr>
                <w:sz w:val="14"/>
                <w:szCs w:val="14"/>
                <w:color w:val="auto"/>
              </w:rPr>
            </w:pPr>
          </w:p>
        </w:tc>
        <w:tc>
          <w:tcPr>
            <w:tcW w:w="120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rPr>
              <w:t>(Loss) on</w:t>
            </w:r>
          </w:p>
        </w:tc>
        <w:tc>
          <w:tcPr>
            <w:tcW w:w="160" w:type="dxa"/>
            <w:vAlign w:val="bottom"/>
          </w:tcPr>
          <w:p>
            <w:pPr>
              <w:spacing w:after="0"/>
              <w:rPr>
                <w:sz w:val="14"/>
                <w:szCs w:val="14"/>
                <w:color w:val="auto"/>
              </w:rPr>
            </w:pPr>
          </w:p>
        </w:tc>
        <w:tc>
          <w:tcPr>
            <w:tcW w:w="1120" w:type="dxa"/>
            <w:vAlign w:val="bottom"/>
          </w:tcPr>
          <w:p>
            <w:pPr>
              <w:jc w:val="center"/>
              <w:ind w:right="74"/>
              <w:spacing w:after="0"/>
              <w:rPr>
                <w:sz w:val="20"/>
                <w:szCs w:val="20"/>
                <w:color w:val="auto"/>
              </w:rPr>
            </w:pPr>
            <w:r>
              <w:rPr>
                <w:rFonts w:ascii="Arial" w:cs="Arial" w:eastAsia="Arial" w:hAnsi="Arial"/>
                <w:sz w:val="14"/>
                <w:szCs w:val="14"/>
                <w:b w:val="1"/>
                <w:bCs w:val="1"/>
                <w:color w:val="auto"/>
              </w:rPr>
              <w:t>Benefit</w:t>
            </w:r>
          </w:p>
        </w:tc>
        <w:tc>
          <w:tcPr>
            <w:tcW w:w="3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880" w:type="dxa"/>
            <w:vAlign w:val="bottom"/>
          </w:tcPr>
          <w:p>
            <w:pPr>
              <w:spacing w:after="0"/>
              <w:rPr>
                <w:sz w:val="14"/>
                <w:szCs w:val="14"/>
                <w:color w:val="auto"/>
              </w:rPr>
            </w:pPr>
          </w:p>
        </w:tc>
      </w:tr>
      <w:tr>
        <w:trPr>
          <w:trHeight w:val="202"/>
        </w:trPr>
        <w:tc>
          <w:tcPr>
            <w:tcW w:w="5800" w:type="dxa"/>
            <w:vAlign w:val="bottom"/>
            <w:tcBorders>
              <w:bottom w:val="single" w:sz="8" w:color="CCEEFF"/>
            </w:tcBorders>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1220" w:type="dxa"/>
            <w:vAlign w:val="bottom"/>
            <w:tcBorders>
              <w:bottom w:val="single" w:sz="8" w:color="auto"/>
            </w:tcBorders>
          </w:tcPr>
          <w:p>
            <w:pPr>
              <w:jc w:val="center"/>
              <w:ind w:right="77"/>
              <w:spacing w:after="0"/>
              <w:rPr>
                <w:sz w:val="20"/>
                <w:szCs w:val="20"/>
                <w:color w:val="auto"/>
              </w:rPr>
            </w:pPr>
            <w:r>
              <w:rPr>
                <w:rFonts w:ascii="Arial" w:cs="Arial" w:eastAsia="Arial" w:hAnsi="Arial"/>
                <w:sz w:val="14"/>
                <w:szCs w:val="14"/>
                <w:b w:val="1"/>
                <w:bCs w:val="1"/>
                <w:color w:val="auto"/>
              </w:rPr>
              <w:t>Benefits</w:t>
            </w:r>
          </w:p>
        </w:tc>
        <w:tc>
          <w:tcPr>
            <w:tcW w:w="100" w:type="dxa"/>
            <w:vAlign w:val="bottom"/>
            <w:tcBorders>
              <w:bottom w:val="single" w:sz="8" w:color="CCEEFF"/>
            </w:tcBorders>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1100" w:type="dxa"/>
            <w:vAlign w:val="bottom"/>
            <w:tcBorders>
              <w:bottom w:val="single" w:sz="8" w:color="auto"/>
            </w:tcBorders>
          </w:tcPr>
          <w:p>
            <w:pPr>
              <w:jc w:val="center"/>
              <w:ind w:right="93"/>
              <w:spacing w:after="0"/>
              <w:rPr>
                <w:sz w:val="20"/>
                <w:szCs w:val="20"/>
                <w:color w:val="auto"/>
              </w:rPr>
            </w:pPr>
            <w:r>
              <w:rPr>
                <w:rFonts w:ascii="Arial" w:cs="Arial" w:eastAsia="Arial" w:hAnsi="Arial"/>
                <w:sz w:val="14"/>
                <w:szCs w:val="14"/>
                <w:b w:val="1"/>
                <w:bCs w:val="1"/>
                <w:color w:val="auto"/>
              </w:rPr>
              <w:t>Investments</w:t>
            </w:r>
          </w:p>
        </w:tc>
        <w:tc>
          <w:tcPr>
            <w:tcW w:w="100" w:type="dxa"/>
            <w:vAlign w:val="bottom"/>
            <w:tcBorders>
              <w:bottom w:val="single" w:sz="8" w:color="CCEEFF"/>
            </w:tcBorders>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1120" w:type="dxa"/>
            <w:vAlign w:val="bottom"/>
            <w:tcBorders>
              <w:bottom w:val="single" w:sz="8" w:color="auto"/>
            </w:tcBorders>
          </w:tcPr>
          <w:p>
            <w:pPr>
              <w:jc w:val="center"/>
              <w:ind w:right="74"/>
              <w:spacing w:after="0"/>
              <w:rPr>
                <w:sz w:val="20"/>
                <w:szCs w:val="20"/>
                <w:color w:val="auto"/>
              </w:rPr>
            </w:pPr>
            <w:r>
              <w:rPr>
                <w:rFonts w:ascii="Arial" w:cs="Arial" w:eastAsia="Arial" w:hAnsi="Arial"/>
                <w:sz w:val="14"/>
                <w:szCs w:val="14"/>
                <w:b w:val="1"/>
                <w:bCs w:val="1"/>
                <w:color w:val="auto"/>
                <w:w w:val="96"/>
              </w:rPr>
              <w:t xml:space="preserve">(Provision) </w:t>
            </w:r>
            <w:r>
              <w:rPr>
                <w:rFonts w:ascii="Arial" w:cs="Arial" w:eastAsia="Arial" w:hAnsi="Arial"/>
                <w:sz w:val="17"/>
                <w:szCs w:val="17"/>
                <w:b w:val="1"/>
                <w:bCs w:val="1"/>
                <w:color w:val="auto"/>
                <w:w w:val="96"/>
                <w:vertAlign w:val="superscript"/>
              </w:rPr>
              <w:t>(1)</w:t>
            </w:r>
          </w:p>
        </w:tc>
        <w:tc>
          <w:tcPr>
            <w:tcW w:w="340" w:type="dxa"/>
            <w:vAlign w:val="bottom"/>
            <w:tcBorders>
              <w:bottom w:val="single" w:sz="8" w:color="CCEEFF"/>
            </w:tcBorders>
          </w:tcPr>
          <w:p>
            <w:pPr>
              <w:spacing w:after="0"/>
              <w:rPr>
                <w:sz w:val="17"/>
                <w:szCs w:val="17"/>
                <w:color w:val="auto"/>
              </w:rPr>
            </w:pPr>
          </w:p>
        </w:tc>
        <w:tc>
          <w:tcPr>
            <w:tcW w:w="260" w:type="dxa"/>
            <w:vAlign w:val="bottom"/>
            <w:tcBorders>
              <w:bottom w:val="single" w:sz="8" w:color="auto"/>
            </w:tcBorders>
          </w:tcPr>
          <w:p>
            <w:pPr>
              <w:spacing w:after="0"/>
              <w:rPr>
                <w:sz w:val="17"/>
                <w:szCs w:val="17"/>
                <w:color w:val="auto"/>
              </w:rPr>
            </w:pPr>
          </w:p>
        </w:tc>
        <w:tc>
          <w:tcPr>
            <w:tcW w:w="880" w:type="dxa"/>
            <w:vAlign w:val="bottom"/>
            <w:tcBorders>
              <w:bottom w:val="single" w:sz="8" w:color="auto"/>
            </w:tcBorders>
          </w:tcPr>
          <w:p>
            <w:pPr>
              <w:jc w:val="right"/>
              <w:ind w:right="312"/>
              <w:spacing w:after="0"/>
              <w:rPr>
                <w:sz w:val="20"/>
                <w:szCs w:val="20"/>
                <w:color w:val="auto"/>
              </w:rPr>
            </w:pPr>
            <w:r>
              <w:rPr>
                <w:rFonts w:ascii="Arial" w:cs="Arial" w:eastAsia="Arial" w:hAnsi="Arial"/>
                <w:sz w:val="14"/>
                <w:szCs w:val="14"/>
                <w:b w:val="1"/>
                <w:bCs w:val="1"/>
                <w:color w:val="auto"/>
              </w:rPr>
              <w:t>Total</w:t>
            </w:r>
          </w:p>
        </w:tc>
      </w:tr>
      <w:tr>
        <w:trPr>
          <w:trHeight w:val="250"/>
        </w:trPr>
        <w:tc>
          <w:tcPr>
            <w:tcW w:w="5800" w:type="dxa"/>
            <w:vAlign w:val="bottom"/>
            <w:shd w:val="clear" w:color="auto" w:fill="CCEEFF"/>
          </w:tcPr>
          <w:p>
            <w:pPr>
              <w:ind w:left="40"/>
              <w:spacing w:after="0"/>
              <w:rPr>
                <w:sz w:val="20"/>
                <w:szCs w:val="20"/>
                <w:color w:val="auto"/>
              </w:rPr>
            </w:pPr>
            <w:r>
              <w:rPr>
                <w:rFonts w:ascii="Arial" w:cs="Arial" w:eastAsia="Arial" w:hAnsi="Arial"/>
                <w:sz w:val="18"/>
                <w:szCs w:val="18"/>
                <w:color w:val="auto"/>
              </w:rPr>
              <w:t>Balance at December 31, 2017</w:t>
            </w: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(4,508)</w:t>
            </w:r>
          </w:p>
        </w:tc>
        <w:tc>
          <w:tcPr>
            <w:tcW w:w="100" w:type="dxa"/>
            <w:vAlign w:val="bottom"/>
            <w:shd w:val="clear" w:color="auto" w:fill="CCEEFF"/>
          </w:tcPr>
          <w:p>
            <w:pPr>
              <w:spacing w:after="0"/>
              <w:rPr>
                <w:sz w:val="21"/>
                <w:szCs w:val="21"/>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100" w:type="dxa"/>
            <w:vAlign w:val="bottom"/>
            <w:shd w:val="clear" w:color="auto" w:fill="CCEEFF"/>
          </w:tcPr>
          <w:p>
            <w:pPr>
              <w:spacing w:after="0"/>
              <w:rPr>
                <w:sz w:val="21"/>
                <w:szCs w:val="21"/>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(1,364)</w:t>
            </w:r>
          </w:p>
        </w:tc>
        <w:tc>
          <w:tcPr>
            <w:tcW w:w="6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(5,873)</w:t>
            </w:r>
          </w:p>
        </w:tc>
      </w:tr>
      <w:tr>
        <w:trPr>
          <w:trHeight w:val="263"/>
        </w:trPr>
        <w:tc>
          <w:tcPr>
            <w:tcW w:w="5800" w:type="dxa"/>
            <w:vAlign w:val="bottom"/>
          </w:tcPr>
          <w:p>
            <w:pPr>
              <w:ind w:left="180"/>
              <w:spacing w:after="0"/>
              <w:rPr>
                <w:sz w:val="20"/>
                <w:szCs w:val="20"/>
                <w:color w:val="auto"/>
              </w:rPr>
            </w:pPr>
            <w:r>
              <w:rPr>
                <w:rFonts w:ascii="Arial" w:cs="Arial" w:eastAsia="Arial" w:hAnsi="Arial"/>
                <w:sz w:val="18"/>
                <w:szCs w:val="18"/>
                <w:color w:val="auto"/>
              </w:rPr>
              <w:t>Other comprehensive income (loss) before reclassifications</w:t>
            </w:r>
          </w:p>
        </w:tc>
        <w:tc>
          <w:tcPr>
            <w:tcW w:w="160" w:type="dxa"/>
            <w:vAlign w:val="bottom"/>
          </w:tcPr>
          <w:p>
            <w:pPr>
              <w:spacing w:after="0"/>
              <w:rPr>
                <w:sz w:val="22"/>
                <w:szCs w:val="22"/>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(61)</w:t>
            </w:r>
          </w:p>
        </w:tc>
        <w:tc>
          <w:tcPr>
            <w:tcW w:w="10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(4)</w:t>
            </w:r>
          </w:p>
        </w:tc>
        <w:tc>
          <w:tcPr>
            <w:tcW w:w="10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120" w:type="dxa"/>
            <w:vAlign w:val="bottom"/>
          </w:tcPr>
          <w:p>
            <w:pPr>
              <w:jc w:val="right"/>
              <w:ind w:right="34"/>
              <w:spacing w:after="0"/>
              <w:rPr>
                <w:sz w:val="20"/>
                <w:szCs w:val="20"/>
                <w:color w:val="auto"/>
              </w:rPr>
            </w:pPr>
            <w:r>
              <w:rPr>
                <w:rFonts w:ascii="Arial" w:cs="Arial" w:eastAsia="Arial" w:hAnsi="Arial"/>
                <w:sz w:val="18"/>
                <w:szCs w:val="18"/>
                <w:color w:val="auto"/>
              </w:rPr>
              <w:t>15</w:t>
            </w:r>
          </w:p>
        </w:tc>
        <w:tc>
          <w:tcPr>
            <w:tcW w:w="34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(50)</w:t>
            </w:r>
          </w:p>
        </w:tc>
      </w:tr>
      <w:tr>
        <w:trPr>
          <w:trHeight w:val="277"/>
        </w:trPr>
        <w:tc>
          <w:tcPr>
            <w:tcW w:w="5800" w:type="dxa"/>
            <w:vAlign w:val="bottom"/>
            <w:shd w:val="clear" w:color="auto" w:fill="CCEEFF"/>
          </w:tcPr>
          <w:p>
            <w:pPr>
              <w:ind w:left="180"/>
              <w:spacing w:after="0"/>
              <w:rPr>
                <w:sz w:val="20"/>
                <w:szCs w:val="20"/>
                <w:color w:val="auto"/>
              </w:rPr>
            </w:pPr>
            <w:r>
              <w:rPr>
                <w:rFonts w:ascii="Arial" w:cs="Arial" w:eastAsia="Arial" w:hAnsi="Arial"/>
                <w:sz w:val="18"/>
                <w:szCs w:val="18"/>
                <w:color w:val="auto"/>
              </w:rPr>
              <w:t>Amounts reclassified from AOCI</w:t>
            </w:r>
          </w:p>
        </w:tc>
        <w:tc>
          <w:tcPr>
            <w:tcW w:w="160" w:type="dxa"/>
            <w:vAlign w:val="bottom"/>
            <w:shd w:val="clear" w:color="auto" w:fill="CCEEFF"/>
          </w:tcPr>
          <w:p>
            <w:pPr>
              <w:spacing w:after="0"/>
              <w:rPr>
                <w:sz w:val="24"/>
                <w:szCs w:val="24"/>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(89)</w:t>
            </w:r>
          </w:p>
        </w:tc>
        <w:tc>
          <w:tcPr>
            <w:tcW w:w="10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12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24"/>
                <w:szCs w:val="24"/>
                <w:color w:val="auto"/>
              </w:rPr>
            </w:pPr>
          </w:p>
        </w:tc>
        <w:tc>
          <w:tcPr>
            <w:tcW w:w="1120" w:type="dxa"/>
            <w:vAlign w:val="bottom"/>
            <w:shd w:val="clear" w:color="auto" w:fill="CCEEFF"/>
          </w:tcPr>
          <w:p>
            <w:pPr>
              <w:jc w:val="right"/>
              <w:ind w:right="34"/>
              <w:spacing w:after="0"/>
              <w:rPr>
                <w:sz w:val="20"/>
                <w:szCs w:val="20"/>
                <w:color w:val="auto"/>
              </w:rPr>
            </w:pPr>
            <w:r>
              <w:rPr>
                <w:rFonts w:ascii="Arial" w:cs="Arial" w:eastAsia="Arial" w:hAnsi="Arial"/>
                <w:sz w:val="18"/>
                <w:szCs w:val="18"/>
                <w:color w:val="auto"/>
              </w:rPr>
              <w:t>20</w:t>
            </w:r>
          </w:p>
        </w:tc>
        <w:tc>
          <w:tcPr>
            <w:tcW w:w="340" w:type="dxa"/>
            <w:vAlign w:val="bottom"/>
            <w:shd w:val="clear" w:color="auto" w:fill="CCEEFF"/>
          </w:tcPr>
          <w:p>
            <w:pPr>
              <w:jc w:val="right"/>
              <w:ind w:right="108"/>
              <w:spacing w:after="0"/>
              <w:rPr>
                <w:sz w:val="20"/>
                <w:szCs w:val="20"/>
                <w:color w:val="auto"/>
              </w:rPr>
            </w:pPr>
            <w:r>
              <w:rPr>
                <w:rFonts w:ascii="Arial" w:cs="Arial" w:eastAsia="Arial" w:hAnsi="Arial"/>
                <w:sz w:val="11"/>
                <w:szCs w:val="11"/>
                <w:color w:val="auto"/>
              </w:rPr>
              <w:t>(2)</w:t>
            </w:r>
          </w:p>
        </w:tc>
        <w:tc>
          <w:tcPr>
            <w:tcW w:w="260" w:type="dxa"/>
            <w:vAlign w:val="bottom"/>
            <w:shd w:val="clear" w:color="auto" w:fill="CCEEFF"/>
          </w:tcPr>
          <w:p>
            <w:pPr>
              <w:spacing w:after="0"/>
              <w:rPr>
                <w:sz w:val="24"/>
                <w:szCs w:val="24"/>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(69)</w:t>
            </w:r>
          </w:p>
        </w:tc>
      </w:tr>
      <w:tr>
        <w:trPr>
          <w:trHeight w:val="244"/>
        </w:trPr>
        <w:tc>
          <w:tcPr>
            <w:tcW w:w="5800" w:type="dxa"/>
            <w:vAlign w:val="bottom"/>
            <w:tcBorders>
              <w:bottom w:val="single" w:sz="8" w:color="CCEEFF"/>
            </w:tcBorders>
          </w:tcPr>
          <w:p>
            <w:pPr>
              <w:ind w:left="380"/>
              <w:spacing w:after="0"/>
              <w:rPr>
                <w:sz w:val="20"/>
                <w:szCs w:val="20"/>
                <w:color w:val="auto"/>
              </w:rPr>
            </w:pPr>
            <w:r>
              <w:rPr>
                <w:rFonts w:ascii="Arial" w:cs="Arial" w:eastAsia="Arial" w:hAnsi="Arial"/>
                <w:sz w:val="18"/>
                <w:szCs w:val="18"/>
                <w:color w:val="auto"/>
              </w:rPr>
              <w:t>Net current-period other comprehensive income (loss)</w:t>
            </w:r>
          </w:p>
        </w:tc>
        <w:tc>
          <w:tcPr>
            <w:tcW w:w="160" w:type="dxa"/>
            <w:vAlign w:val="bottom"/>
            <w:tcBorders>
              <w:top w:val="single" w:sz="8" w:color="auto"/>
              <w:bottom w:val="single" w:sz="8" w:color="auto"/>
            </w:tcBorders>
          </w:tcPr>
          <w:p>
            <w:pPr>
              <w:spacing w:after="0"/>
              <w:rPr>
                <w:sz w:val="21"/>
                <w:szCs w:val="21"/>
                <w:color w:val="auto"/>
              </w:rPr>
            </w:pPr>
          </w:p>
        </w:tc>
        <w:tc>
          <w:tcPr>
            <w:tcW w:w="12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(150)</w:t>
            </w:r>
          </w:p>
        </w:tc>
        <w:tc>
          <w:tcPr>
            <w:tcW w:w="100" w:type="dxa"/>
            <w:vAlign w:val="bottom"/>
            <w:tcBorders>
              <w:bottom w:val="single" w:sz="8" w:color="CCEEFF"/>
            </w:tcBorders>
          </w:tcPr>
          <w:p>
            <w:pPr>
              <w:spacing w:after="0"/>
              <w:rPr>
                <w:sz w:val="21"/>
                <w:szCs w:val="21"/>
                <w:color w:val="auto"/>
              </w:rPr>
            </w:pPr>
          </w:p>
        </w:tc>
        <w:tc>
          <w:tcPr>
            <w:tcW w:w="180" w:type="dxa"/>
            <w:vAlign w:val="bottom"/>
            <w:tcBorders>
              <w:top w:val="single" w:sz="8" w:color="auto"/>
              <w:bottom w:val="single" w:sz="8" w:color="auto"/>
            </w:tcBorders>
          </w:tcPr>
          <w:p>
            <w:pPr>
              <w:spacing w:after="0"/>
              <w:rPr>
                <w:sz w:val="21"/>
                <w:szCs w:val="21"/>
                <w:color w:val="auto"/>
              </w:rPr>
            </w:pPr>
          </w:p>
        </w:tc>
        <w:tc>
          <w:tcPr>
            <w:tcW w:w="1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w:t>
            </w:r>
          </w:p>
        </w:tc>
        <w:tc>
          <w:tcPr>
            <w:tcW w:w="100" w:type="dxa"/>
            <w:vAlign w:val="bottom"/>
            <w:tcBorders>
              <w:bottom w:val="single" w:sz="8" w:color="CCEEFF"/>
            </w:tcBorders>
          </w:tcPr>
          <w:p>
            <w:pPr>
              <w:spacing w:after="0"/>
              <w:rPr>
                <w:sz w:val="21"/>
                <w:szCs w:val="21"/>
                <w:color w:val="auto"/>
              </w:rPr>
            </w:pPr>
          </w:p>
        </w:tc>
        <w:tc>
          <w:tcPr>
            <w:tcW w:w="160" w:type="dxa"/>
            <w:vAlign w:val="bottom"/>
            <w:tcBorders>
              <w:top w:val="single" w:sz="8" w:color="auto"/>
              <w:bottom w:val="single" w:sz="8" w:color="auto"/>
            </w:tcBorders>
          </w:tcPr>
          <w:p>
            <w:pPr>
              <w:spacing w:after="0"/>
              <w:rPr>
                <w:sz w:val="21"/>
                <w:szCs w:val="21"/>
                <w:color w:val="auto"/>
              </w:rPr>
            </w:pPr>
          </w:p>
        </w:tc>
        <w:tc>
          <w:tcPr>
            <w:tcW w:w="1120" w:type="dxa"/>
            <w:vAlign w:val="bottom"/>
            <w:tcBorders>
              <w:top w:val="single" w:sz="8" w:color="auto"/>
              <w:bottom w:val="single" w:sz="8" w:color="auto"/>
            </w:tcBorders>
          </w:tcPr>
          <w:p>
            <w:pPr>
              <w:jc w:val="right"/>
              <w:ind w:right="34"/>
              <w:spacing w:after="0"/>
              <w:rPr>
                <w:sz w:val="20"/>
                <w:szCs w:val="20"/>
                <w:color w:val="auto"/>
              </w:rPr>
            </w:pPr>
            <w:r>
              <w:rPr>
                <w:rFonts w:ascii="Arial" w:cs="Arial" w:eastAsia="Arial" w:hAnsi="Arial"/>
                <w:sz w:val="18"/>
                <w:szCs w:val="18"/>
                <w:color w:val="auto"/>
              </w:rPr>
              <w:t>35</w:t>
            </w:r>
          </w:p>
        </w:tc>
        <w:tc>
          <w:tcPr>
            <w:tcW w:w="340" w:type="dxa"/>
            <w:vAlign w:val="bottom"/>
            <w:tcBorders>
              <w:bottom w:val="single" w:sz="8" w:color="CCEEFF"/>
            </w:tcBorders>
          </w:tcPr>
          <w:p>
            <w:pPr>
              <w:spacing w:after="0"/>
              <w:rPr>
                <w:sz w:val="21"/>
                <w:szCs w:val="21"/>
                <w:color w:val="auto"/>
              </w:rPr>
            </w:pPr>
          </w:p>
        </w:tc>
        <w:tc>
          <w:tcPr>
            <w:tcW w:w="260" w:type="dxa"/>
            <w:vAlign w:val="bottom"/>
            <w:tcBorders>
              <w:top w:val="single" w:sz="8" w:color="auto"/>
              <w:bottom w:val="single" w:sz="8" w:color="auto"/>
            </w:tcBorders>
          </w:tcPr>
          <w:p>
            <w:pPr>
              <w:spacing w:after="0"/>
              <w:rPr>
                <w:sz w:val="21"/>
                <w:szCs w:val="21"/>
                <w:color w:val="auto"/>
              </w:rPr>
            </w:pPr>
          </w:p>
        </w:tc>
        <w:tc>
          <w:tcPr>
            <w:tcW w:w="8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(119)</w:t>
            </w:r>
          </w:p>
        </w:tc>
      </w:tr>
      <w:tr>
        <w:trPr>
          <w:trHeight w:val="257"/>
        </w:trPr>
        <w:tc>
          <w:tcPr>
            <w:tcW w:w="5800" w:type="dxa"/>
            <w:vAlign w:val="bottom"/>
            <w:shd w:val="clear" w:color="auto" w:fill="CCEEFF"/>
          </w:tcPr>
          <w:p>
            <w:pPr>
              <w:ind w:left="40"/>
              <w:spacing w:after="0"/>
              <w:rPr>
                <w:sz w:val="20"/>
                <w:szCs w:val="20"/>
                <w:color w:val="auto"/>
              </w:rPr>
            </w:pPr>
            <w:r>
              <w:rPr>
                <w:rFonts w:ascii="Arial" w:cs="Arial" w:eastAsia="Arial" w:hAnsi="Arial"/>
                <w:sz w:val="18"/>
                <w:szCs w:val="18"/>
                <w:color w:val="auto"/>
              </w:rPr>
              <w:t>Balance at December 31, 2018</w:t>
            </w:r>
          </w:p>
        </w:tc>
        <w:tc>
          <w:tcPr>
            <w:tcW w:w="160" w:type="dxa"/>
            <w:vAlign w:val="bottom"/>
            <w:shd w:val="clear" w:color="auto" w:fill="CCEEFF"/>
          </w:tcPr>
          <w:p>
            <w:pPr>
              <w:spacing w:after="0"/>
              <w:rPr>
                <w:sz w:val="22"/>
                <w:szCs w:val="22"/>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(4,658)</w:t>
            </w:r>
          </w:p>
        </w:tc>
        <w:tc>
          <w:tcPr>
            <w:tcW w:w="100" w:type="dxa"/>
            <w:vAlign w:val="bottom"/>
            <w:shd w:val="clear" w:color="auto" w:fill="CCEEFF"/>
          </w:tcPr>
          <w:p>
            <w:pPr>
              <w:spacing w:after="0"/>
              <w:rPr>
                <w:sz w:val="22"/>
                <w:szCs w:val="22"/>
                <w:color w:val="auto"/>
              </w:rPr>
            </w:pPr>
          </w:p>
        </w:tc>
        <w:tc>
          <w:tcPr>
            <w:tcW w:w="180" w:type="dxa"/>
            <w:vAlign w:val="bottom"/>
            <w:shd w:val="clear" w:color="auto" w:fill="CCEEFF"/>
          </w:tcPr>
          <w:p>
            <w:pPr>
              <w:spacing w:after="0"/>
              <w:rPr>
                <w:sz w:val="22"/>
                <w:szCs w:val="22"/>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w:t>
            </w:r>
          </w:p>
        </w:tc>
        <w:tc>
          <w:tcPr>
            <w:tcW w:w="100" w:type="dxa"/>
            <w:vAlign w:val="bottom"/>
            <w:shd w:val="clear" w:color="auto" w:fill="CCEEFF"/>
          </w:tcPr>
          <w:p>
            <w:pPr>
              <w:spacing w:after="0"/>
              <w:rPr>
                <w:sz w:val="22"/>
                <w:szCs w:val="22"/>
                <w:color w:val="auto"/>
              </w:rPr>
            </w:pPr>
          </w:p>
        </w:tc>
        <w:tc>
          <w:tcPr>
            <w:tcW w:w="160" w:type="dxa"/>
            <w:vAlign w:val="bottom"/>
            <w:shd w:val="clear" w:color="auto" w:fill="CCEEFF"/>
          </w:tcPr>
          <w:p>
            <w:pPr>
              <w:spacing w:after="0"/>
              <w:rPr>
                <w:sz w:val="22"/>
                <w:szCs w:val="22"/>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(1,329)</w:t>
            </w:r>
          </w:p>
        </w:tc>
        <w:tc>
          <w:tcPr>
            <w:tcW w:w="340" w:type="dxa"/>
            <w:vAlign w:val="bottom"/>
            <w:shd w:val="clear" w:color="auto" w:fill="CCEEFF"/>
          </w:tcPr>
          <w:p>
            <w:pPr>
              <w:spacing w:after="0"/>
              <w:rPr>
                <w:sz w:val="22"/>
                <w:szCs w:val="22"/>
                <w:color w:val="auto"/>
              </w:rPr>
            </w:pPr>
          </w:p>
        </w:tc>
        <w:tc>
          <w:tcPr>
            <w:tcW w:w="260" w:type="dxa"/>
            <w:vAlign w:val="bottom"/>
            <w:shd w:val="clear" w:color="auto" w:fill="CCEEFF"/>
          </w:tcPr>
          <w:p>
            <w:pPr>
              <w:spacing w:after="0"/>
              <w:rPr>
                <w:sz w:val="22"/>
                <w:szCs w:val="22"/>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(5,992)</w:t>
            </w:r>
          </w:p>
        </w:tc>
      </w:tr>
      <w:tr>
        <w:trPr>
          <w:trHeight w:val="263"/>
        </w:trPr>
        <w:tc>
          <w:tcPr>
            <w:tcW w:w="5800" w:type="dxa"/>
            <w:vAlign w:val="bottom"/>
          </w:tcPr>
          <w:p>
            <w:pPr>
              <w:ind w:left="180"/>
              <w:spacing w:after="0"/>
              <w:rPr>
                <w:sz w:val="20"/>
                <w:szCs w:val="20"/>
                <w:color w:val="auto"/>
              </w:rPr>
            </w:pPr>
            <w:r>
              <w:rPr>
                <w:rFonts w:ascii="Arial" w:cs="Arial" w:eastAsia="Arial" w:hAnsi="Arial"/>
                <w:sz w:val="18"/>
                <w:szCs w:val="18"/>
                <w:color w:val="auto"/>
              </w:rPr>
              <w:t>Other comprehensive income (loss) before reclassifications</w:t>
            </w:r>
          </w:p>
        </w:tc>
        <w:tc>
          <w:tcPr>
            <w:tcW w:w="160" w:type="dxa"/>
            <w:vAlign w:val="bottom"/>
          </w:tcPr>
          <w:p>
            <w:pPr>
              <w:spacing w:after="0"/>
              <w:rPr>
                <w:sz w:val="22"/>
                <w:szCs w:val="22"/>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(471)</w:t>
            </w:r>
          </w:p>
        </w:tc>
        <w:tc>
          <w:tcPr>
            <w:tcW w:w="10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100" w:type="dxa"/>
            <w:vAlign w:val="bottom"/>
          </w:tcPr>
          <w:p>
            <w:pPr>
              <w:jc w:val="right"/>
              <w:ind w:right="33"/>
              <w:spacing w:after="0"/>
              <w:rPr>
                <w:sz w:val="20"/>
                <w:szCs w:val="20"/>
                <w:color w:val="auto"/>
              </w:rPr>
            </w:pPr>
            <w:r>
              <w:rPr>
                <w:rFonts w:ascii="Arial" w:cs="Arial" w:eastAsia="Arial" w:hAnsi="Arial"/>
                <w:sz w:val="18"/>
                <w:szCs w:val="18"/>
                <w:color w:val="auto"/>
              </w:rPr>
              <w:t>3</w:t>
            </w:r>
          </w:p>
        </w:tc>
        <w:tc>
          <w:tcPr>
            <w:tcW w:w="10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120" w:type="dxa"/>
            <w:vAlign w:val="bottom"/>
          </w:tcPr>
          <w:p>
            <w:pPr>
              <w:jc w:val="right"/>
              <w:ind w:right="34"/>
              <w:spacing w:after="0"/>
              <w:rPr>
                <w:sz w:val="20"/>
                <w:szCs w:val="20"/>
                <w:color w:val="auto"/>
              </w:rPr>
            </w:pPr>
            <w:r>
              <w:rPr>
                <w:rFonts w:ascii="Arial" w:cs="Arial" w:eastAsia="Arial" w:hAnsi="Arial"/>
                <w:sz w:val="18"/>
                <w:szCs w:val="18"/>
                <w:color w:val="auto"/>
              </w:rPr>
              <w:t>106</w:t>
            </w:r>
          </w:p>
        </w:tc>
        <w:tc>
          <w:tcPr>
            <w:tcW w:w="34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(362)</w:t>
            </w:r>
          </w:p>
        </w:tc>
      </w:tr>
      <w:tr>
        <w:trPr>
          <w:trHeight w:val="277"/>
        </w:trPr>
        <w:tc>
          <w:tcPr>
            <w:tcW w:w="5800" w:type="dxa"/>
            <w:vAlign w:val="bottom"/>
            <w:shd w:val="clear" w:color="auto" w:fill="CCEEFF"/>
          </w:tcPr>
          <w:p>
            <w:pPr>
              <w:ind w:left="180"/>
              <w:spacing w:after="0"/>
              <w:rPr>
                <w:sz w:val="20"/>
                <w:szCs w:val="20"/>
                <w:color w:val="auto"/>
              </w:rPr>
            </w:pPr>
            <w:r>
              <w:rPr>
                <w:rFonts w:ascii="Arial" w:cs="Arial" w:eastAsia="Arial" w:hAnsi="Arial"/>
                <w:sz w:val="18"/>
                <w:szCs w:val="18"/>
                <w:color w:val="auto"/>
              </w:rPr>
              <w:t>Amounts reclassified from AOCI</w:t>
            </w:r>
          </w:p>
        </w:tc>
        <w:tc>
          <w:tcPr>
            <w:tcW w:w="160" w:type="dxa"/>
            <w:vAlign w:val="bottom"/>
            <w:shd w:val="clear" w:color="auto" w:fill="CCEEFF"/>
          </w:tcPr>
          <w:p>
            <w:pPr>
              <w:spacing w:after="0"/>
              <w:rPr>
                <w:sz w:val="24"/>
                <w:szCs w:val="24"/>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(89)</w:t>
            </w:r>
          </w:p>
        </w:tc>
        <w:tc>
          <w:tcPr>
            <w:tcW w:w="10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12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24"/>
                <w:szCs w:val="24"/>
                <w:color w:val="auto"/>
              </w:rPr>
            </w:pPr>
          </w:p>
        </w:tc>
        <w:tc>
          <w:tcPr>
            <w:tcW w:w="1120" w:type="dxa"/>
            <w:vAlign w:val="bottom"/>
            <w:shd w:val="clear" w:color="auto" w:fill="CCEEFF"/>
          </w:tcPr>
          <w:p>
            <w:pPr>
              <w:jc w:val="right"/>
              <w:ind w:right="34"/>
              <w:spacing w:after="0"/>
              <w:rPr>
                <w:sz w:val="20"/>
                <w:szCs w:val="20"/>
                <w:color w:val="auto"/>
              </w:rPr>
            </w:pPr>
            <w:r>
              <w:rPr>
                <w:rFonts w:ascii="Arial" w:cs="Arial" w:eastAsia="Arial" w:hAnsi="Arial"/>
                <w:sz w:val="18"/>
                <w:szCs w:val="18"/>
                <w:color w:val="auto"/>
              </w:rPr>
              <w:t>20</w:t>
            </w:r>
          </w:p>
        </w:tc>
        <w:tc>
          <w:tcPr>
            <w:tcW w:w="340" w:type="dxa"/>
            <w:vAlign w:val="bottom"/>
            <w:shd w:val="clear" w:color="auto" w:fill="CCEEFF"/>
          </w:tcPr>
          <w:p>
            <w:pPr>
              <w:jc w:val="right"/>
              <w:ind w:right="108"/>
              <w:spacing w:after="0"/>
              <w:rPr>
                <w:sz w:val="20"/>
                <w:szCs w:val="20"/>
                <w:color w:val="auto"/>
              </w:rPr>
            </w:pPr>
            <w:r>
              <w:rPr>
                <w:rFonts w:ascii="Arial" w:cs="Arial" w:eastAsia="Arial" w:hAnsi="Arial"/>
                <w:sz w:val="11"/>
                <w:szCs w:val="11"/>
                <w:color w:val="auto"/>
              </w:rPr>
              <w:t>(2)</w:t>
            </w:r>
          </w:p>
        </w:tc>
        <w:tc>
          <w:tcPr>
            <w:tcW w:w="260" w:type="dxa"/>
            <w:vAlign w:val="bottom"/>
            <w:shd w:val="clear" w:color="auto" w:fill="CCEEFF"/>
          </w:tcPr>
          <w:p>
            <w:pPr>
              <w:spacing w:after="0"/>
              <w:rPr>
                <w:sz w:val="24"/>
                <w:szCs w:val="24"/>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(69)</w:t>
            </w:r>
          </w:p>
        </w:tc>
      </w:tr>
      <w:tr>
        <w:trPr>
          <w:trHeight w:val="244"/>
        </w:trPr>
        <w:tc>
          <w:tcPr>
            <w:tcW w:w="5800" w:type="dxa"/>
            <w:vAlign w:val="bottom"/>
            <w:tcBorders>
              <w:bottom w:val="single" w:sz="8" w:color="CCEEFF"/>
            </w:tcBorders>
          </w:tcPr>
          <w:p>
            <w:pPr>
              <w:ind w:left="380"/>
              <w:spacing w:after="0"/>
              <w:rPr>
                <w:sz w:val="20"/>
                <w:szCs w:val="20"/>
                <w:color w:val="auto"/>
              </w:rPr>
            </w:pPr>
            <w:r>
              <w:rPr>
                <w:rFonts w:ascii="Arial" w:cs="Arial" w:eastAsia="Arial" w:hAnsi="Arial"/>
                <w:sz w:val="18"/>
                <w:szCs w:val="18"/>
                <w:color w:val="auto"/>
              </w:rPr>
              <w:t>Net current-period other comprehensive income (loss)</w:t>
            </w:r>
          </w:p>
        </w:tc>
        <w:tc>
          <w:tcPr>
            <w:tcW w:w="160" w:type="dxa"/>
            <w:vAlign w:val="bottom"/>
            <w:tcBorders>
              <w:top w:val="single" w:sz="8" w:color="auto"/>
              <w:bottom w:val="single" w:sz="8" w:color="auto"/>
            </w:tcBorders>
          </w:tcPr>
          <w:p>
            <w:pPr>
              <w:spacing w:after="0"/>
              <w:rPr>
                <w:sz w:val="21"/>
                <w:szCs w:val="21"/>
                <w:color w:val="auto"/>
              </w:rPr>
            </w:pPr>
          </w:p>
        </w:tc>
        <w:tc>
          <w:tcPr>
            <w:tcW w:w="12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(560)</w:t>
            </w:r>
          </w:p>
        </w:tc>
        <w:tc>
          <w:tcPr>
            <w:tcW w:w="100" w:type="dxa"/>
            <w:vAlign w:val="bottom"/>
            <w:tcBorders>
              <w:bottom w:val="single" w:sz="8" w:color="CCEEFF"/>
            </w:tcBorders>
          </w:tcPr>
          <w:p>
            <w:pPr>
              <w:spacing w:after="0"/>
              <w:rPr>
                <w:sz w:val="21"/>
                <w:szCs w:val="21"/>
                <w:color w:val="auto"/>
              </w:rPr>
            </w:pPr>
          </w:p>
        </w:tc>
        <w:tc>
          <w:tcPr>
            <w:tcW w:w="180" w:type="dxa"/>
            <w:vAlign w:val="bottom"/>
            <w:tcBorders>
              <w:top w:val="single" w:sz="8" w:color="auto"/>
              <w:bottom w:val="single" w:sz="8" w:color="auto"/>
            </w:tcBorders>
          </w:tcPr>
          <w:p>
            <w:pPr>
              <w:spacing w:after="0"/>
              <w:rPr>
                <w:sz w:val="21"/>
                <w:szCs w:val="21"/>
                <w:color w:val="auto"/>
              </w:rPr>
            </w:pPr>
          </w:p>
        </w:tc>
        <w:tc>
          <w:tcPr>
            <w:tcW w:w="1100" w:type="dxa"/>
            <w:vAlign w:val="bottom"/>
            <w:tcBorders>
              <w:top w:val="single" w:sz="8" w:color="auto"/>
              <w:bottom w:val="single" w:sz="8" w:color="auto"/>
            </w:tcBorders>
          </w:tcPr>
          <w:p>
            <w:pPr>
              <w:jc w:val="right"/>
              <w:ind w:right="33"/>
              <w:spacing w:after="0"/>
              <w:rPr>
                <w:sz w:val="20"/>
                <w:szCs w:val="20"/>
                <w:color w:val="auto"/>
              </w:rPr>
            </w:pPr>
            <w:r>
              <w:rPr>
                <w:rFonts w:ascii="Arial" w:cs="Arial" w:eastAsia="Arial" w:hAnsi="Arial"/>
                <w:sz w:val="18"/>
                <w:szCs w:val="18"/>
                <w:color w:val="auto"/>
              </w:rPr>
              <w:t>3</w:t>
            </w:r>
          </w:p>
        </w:tc>
        <w:tc>
          <w:tcPr>
            <w:tcW w:w="100" w:type="dxa"/>
            <w:vAlign w:val="bottom"/>
            <w:tcBorders>
              <w:bottom w:val="single" w:sz="8" w:color="CCEEFF"/>
            </w:tcBorders>
          </w:tcPr>
          <w:p>
            <w:pPr>
              <w:spacing w:after="0"/>
              <w:rPr>
                <w:sz w:val="21"/>
                <w:szCs w:val="21"/>
                <w:color w:val="auto"/>
              </w:rPr>
            </w:pPr>
          </w:p>
        </w:tc>
        <w:tc>
          <w:tcPr>
            <w:tcW w:w="160" w:type="dxa"/>
            <w:vAlign w:val="bottom"/>
            <w:tcBorders>
              <w:top w:val="single" w:sz="8" w:color="auto"/>
              <w:bottom w:val="single" w:sz="8" w:color="auto"/>
            </w:tcBorders>
          </w:tcPr>
          <w:p>
            <w:pPr>
              <w:spacing w:after="0"/>
              <w:rPr>
                <w:sz w:val="21"/>
                <w:szCs w:val="21"/>
                <w:color w:val="auto"/>
              </w:rPr>
            </w:pPr>
          </w:p>
        </w:tc>
        <w:tc>
          <w:tcPr>
            <w:tcW w:w="1120" w:type="dxa"/>
            <w:vAlign w:val="bottom"/>
            <w:tcBorders>
              <w:top w:val="single" w:sz="8" w:color="auto"/>
              <w:bottom w:val="single" w:sz="8" w:color="auto"/>
            </w:tcBorders>
          </w:tcPr>
          <w:p>
            <w:pPr>
              <w:jc w:val="right"/>
              <w:ind w:right="34"/>
              <w:spacing w:after="0"/>
              <w:rPr>
                <w:sz w:val="20"/>
                <w:szCs w:val="20"/>
                <w:color w:val="auto"/>
              </w:rPr>
            </w:pPr>
            <w:r>
              <w:rPr>
                <w:rFonts w:ascii="Arial" w:cs="Arial" w:eastAsia="Arial" w:hAnsi="Arial"/>
                <w:sz w:val="18"/>
                <w:szCs w:val="18"/>
                <w:color w:val="auto"/>
              </w:rPr>
              <w:t>126</w:t>
            </w:r>
          </w:p>
        </w:tc>
        <w:tc>
          <w:tcPr>
            <w:tcW w:w="340" w:type="dxa"/>
            <w:vAlign w:val="bottom"/>
            <w:tcBorders>
              <w:bottom w:val="single" w:sz="8" w:color="CCEEFF"/>
            </w:tcBorders>
          </w:tcPr>
          <w:p>
            <w:pPr>
              <w:spacing w:after="0"/>
              <w:rPr>
                <w:sz w:val="21"/>
                <w:szCs w:val="21"/>
                <w:color w:val="auto"/>
              </w:rPr>
            </w:pPr>
          </w:p>
        </w:tc>
        <w:tc>
          <w:tcPr>
            <w:tcW w:w="260" w:type="dxa"/>
            <w:vAlign w:val="bottom"/>
            <w:tcBorders>
              <w:top w:val="single" w:sz="8" w:color="auto"/>
              <w:bottom w:val="single" w:sz="8" w:color="auto"/>
            </w:tcBorders>
          </w:tcPr>
          <w:p>
            <w:pPr>
              <w:spacing w:after="0"/>
              <w:rPr>
                <w:sz w:val="21"/>
                <w:szCs w:val="21"/>
                <w:color w:val="auto"/>
              </w:rPr>
            </w:pPr>
          </w:p>
        </w:tc>
        <w:tc>
          <w:tcPr>
            <w:tcW w:w="8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(431)</w:t>
            </w:r>
          </w:p>
        </w:tc>
      </w:tr>
      <w:tr>
        <w:trPr>
          <w:trHeight w:val="250"/>
        </w:trPr>
        <w:tc>
          <w:tcPr>
            <w:tcW w:w="5800" w:type="dxa"/>
            <w:vAlign w:val="bottom"/>
            <w:shd w:val="clear" w:color="auto" w:fill="CCEEFF"/>
          </w:tcPr>
          <w:p>
            <w:pPr>
              <w:ind w:left="40"/>
              <w:spacing w:after="0"/>
              <w:rPr>
                <w:sz w:val="20"/>
                <w:szCs w:val="20"/>
                <w:color w:val="auto"/>
              </w:rPr>
            </w:pPr>
            <w:r>
              <w:rPr>
                <w:rFonts w:ascii="Arial" w:cs="Arial" w:eastAsia="Arial" w:hAnsi="Arial"/>
                <w:sz w:val="18"/>
                <w:szCs w:val="18"/>
                <w:color w:val="auto"/>
              </w:rPr>
              <w:t>Balance at December 31, 2019</w:t>
            </w: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(5,218)</w:t>
            </w:r>
          </w:p>
        </w:tc>
        <w:tc>
          <w:tcPr>
            <w:tcW w:w="100" w:type="dxa"/>
            <w:vAlign w:val="bottom"/>
            <w:shd w:val="clear" w:color="auto" w:fill="CCEEFF"/>
          </w:tcPr>
          <w:p>
            <w:pPr>
              <w:spacing w:after="0"/>
              <w:rPr>
                <w:sz w:val="21"/>
                <w:szCs w:val="21"/>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w:t>
            </w:r>
          </w:p>
        </w:tc>
        <w:tc>
          <w:tcPr>
            <w:tcW w:w="100" w:type="dxa"/>
            <w:vAlign w:val="bottom"/>
            <w:shd w:val="clear" w:color="auto" w:fill="CCEEFF"/>
          </w:tcPr>
          <w:p>
            <w:pPr>
              <w:spacing w:after="0"/>
              <w:rPr>
                <w:sz w:val="21"/>
                <w:szCs w:val="21"/>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(1,203)</w:t>
            </w:r>
          </w:p>
        </w:tc>
        <w:tc>
          <w:tcPr>
            <w:tcW w:w="6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(6,423)</w:t>
            </w:r>
          </w:p>
        </w:tc>
      </w:tr>
      <w:tr>
        <w:trPr>
          <w:trHeight w:val="20"/>
        </w:trPr>
        <w:tc>
          <w:tcPr>
            <w:tcW w:w="58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2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197485</wp:posOffset>
            </wp:positionV>
            <wp:extent cx="1337945" cy="8890"/>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1337945" cy="8890"/>
                    </a:xfrm>
                    <a:prstGeom prst="rect">
                      <a:avLst/>
                    </a:prstGeom>
                    <a:noFill/>
                  </pic:spPr>
                </pic:pic>
              </a:graphicData>
            </a:graphic>
          </wp:anchor>
        </w:drawing>
      </w:r>
    </w:p>
    <w:p>
      <w:pPr>
        <w:spacing w:after="0" w:line="384" w:lineRule="exact"/>
        <w:rPr>
          <w:sz w:val="20"/>
          <w:szCs w:val="20"/>
          <w:color w:val="auto"/>
        </w:rPr>
      </w:pPr>
    </w:p>
    <w:p>
      <w:pPr>
        <w:ind w:left="660" w:hanging="652"/>
        <w:spacing w:after="0" w:line="225" w:lineRule="auto"/>
        <w:tabs>
          <w:tab w:leader="none" w:pos="660" w:val="left"/>
        </w:tabs>
        <w:numPr>
          <w:ilvl w:val="0"/>
          <w:numId w:val="66"/>
        </w:numPr>
        <w:rPr>
          <w:rFonts w:ascii="Arial" w:cs="Arial" w:eastAsia="Arial" w:hAnsi="Arial"/>
          <w:sz w:val="22"/>
          <w:szCs w:val="22"/>
          <w:color w:val="auto"/>
          <w:vertAlign w:val="superscript"/>
        </w:rPr>
      </w:pPr>
      <w:r>
        <w:rPr>
          <w:rFonts w:ascii="Arial" w:cs="Arial" w:eastAsia="Arial" w:hAnsi="Arial"/>
          <w:sz w:val="18"/>
          <w:szCs w:val="18"/>
          <w:color w:val="auto"/>
        </w:rPr>
        <w:t>Relates principally to pension, retiree medical and other postretirement benefits obligations that will not be recognized in net income until the obligations are fully extinguished.</w:t>
      </w:r>
    </w:p>
    <w:p>
      <w:pPr>
        <w:spacing w:after="0" w:line="163" w:lineRule="exact"/>
        <w:rPr>
          <w:rFonts w:ascii="Arial" w:cs="Arial" w:eastAsia="Arial" w:hAnsi="Arial"/>
          <w:sz w:val="22"/>
          <w:szCs w:val="22"/>
          <w:color w:val="auto"/>
          <w:vertAlign w:val="superscript"/>
        </w:rPr>
      </w:pPr>
    </w:p>
    <w:p>
      <w:pPr>
        <w:ind w:left="660" w:hanging="652"/>
        <w:spacing w:after="0" w:line="225" w:lineRule="auto"/>
        <w:tabs>
          <w:tab w:leader="none" w:pos="660" w:val="left"/>
        </w:tabs>
        <w:numPr>
          <w:ilvl w:val="0"/>
          <w:numId w:val="66"/>
        </w:numPr>
        <w:rPr>
          <w:rFonts w:ascii="Arial" w:cs="Arial" w:eastAsia="Arial" w:hAnsi="Arial"/>
          <w:sz w:val="22"/>
          <w:szCs w:val="22"/>
          <w:color w:val="auto"/>
          <w:vertAlign w:val="superscript"/>
        </w:rPr>
      </w:pPr>
      <w:r>
        <w:rPr>
          <w:rFonts w:ascii="Arial" w:cs="Arial" w:eastAsia="Arial" w:hAnsi="Arial"/>
          <w:sz w:val="18"/>
          <w:szCs w:val="18"/>
          <w:color w:val="auto"/>
        </w:rPr>
        <w:t>Relates to pension, retiree medical and other postretirement benefits obligations and is recognized within the income tax provision on American’s consolidated statements of operations.</w:t>
      </w:r>
    </w:p>
    <w:p>
      <w:pPr>
        <w:spacing w:after="0" w:line="163" w:lineRule="exact"/>
        <w:rPr>
          <w:sz w:val="20"/>
          <w:szCs w:val="20"/>
          <w:color w:val="auto"/>
        </w:rPr>
      </w:pPr>
    </w:p>
    <w:p>
      <w:pPr>
        <w:ind w:left="220"/>
        <w:spacing w:after="0"/>
        <w:rPr>
          <w:sz w:val="20"/>
          <w:szCs w:val="20"/>
          <w:color w:val="auto"/>
        </w:rPr>
      </w:pPr>
      <w:r>
        <w:rPr>
          <w:rFonts w:ascii="Arial" w:cs="Arial" w:eastAsia="Arial" w:hAnsi="Arial"/>
          <w:sz w:val="18"/>
          <w:szCs w:val="18"/>
          <w:color w:val="auto"/>
        </w:rPr>
        <w:t>Reclassifications out of AOCI for the years ended December 31, 2019 and 2018 are as follows (in millions):</w:t>
      </w:r>
    </w:p>
    <w:p>
      <w:pPr>
        <w:spacing w:after="0" w:line="375" w:lineRule="exact"/>
        <w:rPr>
          <w:sz w:val="20"/>
          <w:szCs w:val="20"/>
          <w:color w:val="auto"/>
        </w:rPr>
      </w:pPr>
    </w:p>
    <w:tbl>
      <w:tblPr>
        <w:tblLayout w:type="fixed"/>
        <w:tblInd w:w="0" w:type="dxa"/>
        <w:tblCellMar>
          <w:top w:w="0" w:type="dxa"/>
          <w:left w:w="0" w:type="dxa"/>
          <w:bottom w:w="0" w:type="dxa"/>
          <w:right w:w="0" w:type="dxa"/>
        </w:tblCellMar>
      </w:tblPr>
      <w:tr>
        <w:trPr>
          <w:trHeight w:val="196"/>
        </w:trPr>
        <w:tc>
          <w:tcPr>
            <w:tcW w:w="40" w:type="dxa"/>
            <w:vAlign w:val="bottom"/>
          </w:tcPr>
          <w:p>
            <w:pPr>
              <w:spacing w:after="0"/>
              <w:rPr>
                <w:sz w:val="17"/>
                <w:szCs w:val="17"/>
                <w:color w:val="auto"/>
              </w:rPr>
            </w:pPr>
          </w:p>
        </w:tc>
        <w:tc>
          <w:tcPr>
            <w:tcW w:w="1280" w:type="dxa"/>
            <w:vAlign w:val="bottom"/>
          </w:tcPr>
          <w:p>
            <w:pPr>
              <w:spacing w:after="0"/>
              <w:rPr>
                <w:sz w:val="17"/>
                <w:szCs w:val="17"/>
                <w:color w:val="auto"/>
              </w:rPr>
            </w:pPr>
          </w:p>
        </w:tc>
        <w:tc>
          <w:tcPr>
            <w:tcW w:w="4040" w:type="dxa"/>
            <w:vAlign w:val="bottom"/>
          </w:tcPr>
          <w:p>
            <w:pPr>
              <w:spacing w:after="0"/>
              <w:rPr>
                <w:sz w:val="17"/>
                <w:szCs w:val="17"/>
                <w:color w:val="auto"/>
              </w:rPr>
            </w:pPr>
          </w:p>
        </w:tc>
        <w:tc>
          <w:tcPr>
            <w:tcW w:w="2880" w:type="dxa"/>
            <w:vAlign w:val="bottom"/>
            <w:tcBorders>
              <w:bottom w:val="single" w:sz="8" w:color="auto"/>
            </w:tcBorders>
            <w:gridSpan w:val="5"/>
          </w:tcPr>
          <w:p>
            <w:pPr>
              <w:jc w:val="right"/>
              <w:ind w:right="230"/>
              <w:spacing w:after="0"/>
              <w:rPr>
                <w:sz w:val="20"/>
                <w:szCs w:val="20"/>
                <w:color w:val="auto"/>
              </w:rPr>
            </w:pPr>
            <w:r>
              <w:rPr>
                <w:rFonts w:ascii="Arial" w:cs="Arial" w:eastAsia="Arial" w:hAnsi="Arial"/>
                <w:sz w:val="14"/>
                <w:szCs w:val="14"/>
                <w:b w:val="1"/>
                <w:bCs w:val="1"/>
                <w:color w:val="auto"/>
              </w:rPr>
              <w:t>Amounts reclassified from AOCI</w:t>
            </w:r>
          </w:p>
        </w:tc>
        <w:tc>
          <w:tcPr>
            <w:tcW w:w="100" w:type="dxa"/>
            <w:vAlign w:val="bottom"/>
          </w:tcPr>
          <w:p>
            <w:pPr>
              <w:spacing w:after="0"/>
              <w:rPr>
                <w:sz w:val="17"/>
                <w:szCs w:val="17"/>
                <w:color w:val="auto"/>
              </w:rPr>
            </w:pPr>
          </w:p>
        </w:tc>
        <w:tc>
          <w:tcPr>
            <w:tcW w:w="30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40" w:type="dxa"/>
            <w:vAlign w:val="bottom"/>
          </w:tcPr>
          <w:p>
            <w:pPr>
              <w:spacing w:after="0"/>
              <w:rPr>
                <w:sz w:val="17"/>
                <w:szCs w:val="17"/>
                <w:color w:val="auto"/>
              </w:rPr>
            </w:pPr>
          </w:p>
        </w:tc>
        <w:tc>
          <w:tcPr>
            <w:tcW w:w="1280" w:type="dxa"/>
            <w:vAlign w:val="bottom"/>
          </w:tcPr>
          <w:p>
            <w:pPr>
              <w:spacing w:after="0"/>
              <w:rPr>
                <w:sz w:val="17"/>
                <w:szCs w:val="17"/>
                <w:color w:val="auto"/>
              </w:rPr>
            </w:pPr>
          </w:p>
        </w:tc>
        <w:tc>
          <w:tcPr>
            <w:tcW w:w="4040" w:type="dxa"/>
            <w:vAlign w:val="bottom"/>
          </w:tcPr>
          <w:p>
            <w:pPr>
              <w:spacing w:after="0"/>
              <w:rPr>
                <w:sz w:val="17"/>
                <w:szCs w:val="17"/>
                <w:color w:val="auto"/>
              </w:rPr>
            </w:pPr>
          </w:p>
        </w:tc>
        <w:tc>
          <w:tcPr>
            <w:tcW w:w="2380" w:type="dxa"/>
            <w:vAlign w:val="bottom"/>
            <w:gridSpan w:val="4"/>
          </w:tcPr>
          <w:p>
            <w:pPr>
              <w:jc w:val="right"/>
              <w:spacing w:after="0"/>
              <w:rPr>
                <w:sz w:val="20"/>
                <w:szCs w:val="20"/>
                <w:color w:val="auto"/>
              </w:rPr>
            </w:pPr>
            <w:r>
              <w:rPr>
                <w:rFonts w:ascii="Arial" w:cs="Arial" w:eastAsia="Arial" w:hAnsi="Arial"/>
                <w:sz w:val="14"/>
                <w:szCs w:val="14"/>
                <w:b w:val="1"/>
                <w:bCs w:val="1"/>
                <w:color w:val="auto"/>
              </w:rPr>
              <w:t>Year Ended December 31,</w:t>
            </w:r>
          </w:p>
        </w:tc>
        <w:tc>
          <w:tcPr>
            <w:tcW w:w="5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080" w:type="dxa"/>
            <w:vAlign w:val="bottom"/>
          </w:tcPr>
          <w:p>
            <w:pPr>
              <w:jc w:val="center"/>
              <w:spacing w:after="0"/>
              <w:rPr>
                <w:sz w:val="20"/>
                <w:szCs w:val="20"/>
                <w:color w:val="auto"/>
              </w:rPr>
            </w:pPr>
            <w:r>
              <w:rPr>
                <w:rFonts w:ascii="Arial" w:cs="Arial" w:eastAsia="Arial" w:hAnsi="Arial"/>
                <w:sz w:val="14"/>
                <w:szCs w:val="14"/>
                <w:b w:val="1"/>
                <w:bCs w:val="1"/>
                <w:color w:val="auto"/>
              </w:rPr>
              <w:t>Affected line items on the</w:t>
            </w:r>
          </w:p>
        </w:tc>
        <w:tc>
          <w:tcPr>
            <w:tcW w:w="0" w:type="dxa"/>
            <w:vAlign w:val="bottom"/>
          </w:tcPr>
          <w:p>
            <w:pPr>
              <w:spacing w:after="0"/>
              <w:rPr>
                <w:sz w:val="1"/>
                <w:szCs w:val="1"/>
                <w:color w:val="auto"/>
              </w:rPr>
            </w:pPr>
          </w:p>
        </w:tc>
      </w:tr>
      <w:tr>
        <w:trPr>
          <w:trHeight w:val="54"/>
        </w:trPr>
        <w:tc>
          <w:tcPr>
            <w:tcW w:w="40" w:type="dxa"/>
            <w:vAlign w:val="bottom"/>
          </w:tcPr>
          <w:p>
            <w:pPr>
              <w:spacing w:after="0"/>
              <w:rPr>
                <w:sz w:val="4"/>
                <w:szCs w:val="4"/>
                <w:color w:val="auto"/>
              </w:rPr>
            </w:pPr>
          </w:p>
        </w:tc>
        <w:tc>
          <w:tcPr>
            <w:tcW w:w="1280" w:type="dxa"/>
            <w:vAlign w:val="bottom"/>
          </w:tcPr>
          <w:p>
            <w:pPr>
              <w:spacing w:after="0"/>
              <w:rPr>
                <w:sz w:val="4"/>
                <w:szCs w:val="4"/>
                <w:color w:val="auto"/>
              </w:rPr>
            </w:pPr>
          </w:p>
        </w:tc>
        <w:tc>
          <w:tcPr>
            <w:tcW w:w="4040" w:type="dxa"/>
            <w:vAlign w:val="bottom"/>
          </w:tcPr>
          <w:p>
            <w:pPr>
              <w:spacing w:after="0"/>
              <w:rPr>
                <w:sz w:val="4"/>
                <w:szCs w:val="4"/>
                <w:color w:val="auto"/>
              </w:rPr>
            </w:pPr>
          </w:p>
        </w:tc>
        <w:tc>
          <w:tcPr>
            <w:tcW w:w="880" w:type="dxa"/>
            <w:vAlign w:val="bottom"/>
            <w:tcBorders>
              <w:bottom w:val="single" w:sz="8" w:color="auto"/>
            </w:tcBorders>
          </w:tcPr>
          <w:p>
            <w:pPr>
              <w:spacing w:after="0"/>
              <w:rPr>
                <w:sz w:val="4"/>
                <w:szCs w:val="4"/>
                <w:color w:val="auto"/>
              </w:rPr>
            </w:pPr>
          </w:p>
        </w:tc>
        <w:tc>
          <w:tcPr>
            <w:tcW w:w="500" w:type="dxa"/>
            <w:vAlign w:val="bottom"/>
            <w:tcBorders>
              <w:bottom w:val="single" w:sz="8" w:color="auto"/>
            </w:tcBorders>
          </w:tcPr>
          <w:p>
            <w:pPr>
              <w:spacing w:after="0"/>
              <w:rPr>
                <w:sz w:val="4"/>
                <w:szCs w:val="4"/>
                <w:color w:val="auto"/>
              </w:rPr>
            </w:pPr>
          </w:p>
        </w:tc>
        <w:tc>
          <w:tcPr>
            <w:tcW w:w="120" w:type="dxa"/>
            <w:vAlign w:val="bottom"/>
            <w:tcBorders>
              <w:bottom w:val="single" w:sz="8" w:color="auto"/>
            </w:tcBorders>
          </w:tcPr>
          <w:p>
            <w:pPr>
              <w:spacing w:after="0"/>
              <w:rPr>
                <w:sz w:val="4"/>
                <w:szCs w:val="4"/>
                <w:color w:val="auto"/>
              </w:rPr>
            </w:pPr>
          </w:p>
        </w:tc>
        <w:tc>
          <w:tcPr>
            <w:tcW w:w="880" w:type="dxa"/>
            <w:vAlign w:val="bottom"/>
            <w:tcBorders>
              <w:bottom w:val="single" w:sz="8" w:color="auto"/>
            </w:tcBorders>
          </w:tcPr>
          <w:p>
            <w:pPr>
              <w:spacing w:after="0"/>
              <w:rPr>
                <w:sz w:val="4"/>
                <w:szCs w:val="4"/>
                <w:color w:val="auto"/>
              </w:rPr>
            </w:pPr>
          </w:p>
        </w:tc>
        <w:tc>
          <w:tcPr>
            <w:tcW w:w="500" w:type="dxa"/>
            <w:vAlign w:val="bottom"/>
            <w:tcBorders>
              <w:bottom w:val="single" w:sz="8" w:color="auto"/>
            </w:tcBorders>
          </w:tcPr>
          <w:p>
            <w:pPr>
              <w:spacing w:after="0"/>
              <w:rPr>
                <w:sz w:val="4"/>
                <w:szCs w:val="4"/>
                <w:color w:val="auto"/>
              </w:rPr>
            </w:pPr>
          </w:p>
        </w:tc>
        <w:tc>
          <w:tcPr>
            <w:tcW w:w="100" w:type="dxa"/>
            <w:vAlign w:val="bottom"/>
            <w:vMerge w:val="restart"/>
          </w:tcPr>
          <w:p>
            <w:pPr>
              <w:spacing w:after="0"/>
              <w:rPr>
                <w:sz w:val="4"/>
                <w:szCs w:val="4"/>
                <w:color w:val="auto"/>
              </w:rPr>
            </w:pPr>
          </w:p>
        </w:tc>
        <w:tc>
          <w:tcPr>
            <w:tcW w:w="3080" w:type="dxa"/>
            <w:vAlign w:val="bottom"/>
            <w:vMerge w:val="restart"/>
          </w:tcPr>
          <w:p>
            <w:pPr>
              <w:jc w:val="center"/>
              <w:spacing w:after="0" w:line="135" w:lineRule="exact"/>
              <w:rPr>
                <w:sz w:val="20"/>
                <w:szCs w:val="20"/>
                <w:color w:val="auto"/>
              </w:rPr>
            </w:pPr>
            <w:r>
              <w:rPr>
                <w:rFonts w:ascii="Arial" w:cs="Arial" w:eastAsia="Arial" w:hAnsi="Arial"/>
                <w:sz w:val="14"/>
                <w:szCs w:val="14"/>
                <w:b w:val="1"/>
                <w:bCs w:val="1"/>
                <w:color w:val="auto"/>
              </w:rPr>
              <w:t>consolidated statements of</w:t>
            </w:r>
          </w:p>
        </w:tc>
        <w:tc>
          <w:tcPr>
            <w:tcW w:w="0" w:type="dxa"/>
            <w:vAlign w:val="bottom"/>
          </w:tcPr>
          <w:p>
            <w:pPr>
              <w:spacing w:after="0"/>
              <w:rPr>
                <w:sz w:val="1"/>
                <w:szCs w:val="1"/>
                <w:color w:val="auto"/>
              </w:rPr>
            </w:pPr>
          </w:p>
        </w:tc>
      </w:tr>
      <w:tr>
        <w:trPr>
          <w:trHeight w:val="61"/>
        </w:trPr>
        <w:tc>
          <w:tcPr>
            <w:tcW w:w="40" w:type="dxa"/>
            <w:vAlign w:val="bottom"/>
          </w:tcPr>
          <w:p>
            <w:pPr>
              <w:spacing w:after="0"/>
              <w:rPr>
                <w:sz w:val="5"/>
                <w:szCs w:val="5"/>
                <w:color w:val="auto"/>
              </w:rPr>
            </w:pPr>
          </w:p>
        </w:tc>
        <w:tc>
          <w:tcPr>
            <w:tcW w:w="1280" w:type="dxa"/>
            <w:vAlign w:val="bottom"/>
          </w:tcPr>
          <w:p>
            <w:pPr>
              <w:spacing w:after="0"/>
              <w:rPr>
                <w:sz w:val="5"/>
                <w:szCs w:val="5"/>
                <w:color w:val="auto"/>
              </w:rPr>
            </w:pPr>
          </w:p>
        </w:tc>
        <w:tc>
          <w:tcPr>
            <w:tcW w:w="4040" w:type="dxa"/>
            <w:vAlign w:val="bottom"/>
          </w:tcPr>
          <w:p>
            <w:pPr>
              <w:spacing w:after="0"/>
              <w:rPr>
                <w:sz w:val="5"/>
                <w:szCs w:val="5"/>
                <w:color w:val="auto"/>
              </w:rPr>
            </w:pPr>
          </w:p>
        </w:tc>
        <w:tc>
          <w:tcPr>
            <w:tcW w:w="880" w:type="dxa"/>
            <w:vAlign w:val="bottom"/>
          </w:tcPr>
          <w:p>
            <w:pPr>
              <w:spacing w:after="0"/>
              <w:rPr>
                <w:sz w:val="5"/>
                <w:szCs w:val="5"/>
                <w:color w:val="auto"/>
              </w:rPr>
            </w:pPr>
          </w:p>
        </w:tc>
        <w:tc>
          <w:tcPr>
            <w:tcW w:w="500" w:type="dxa"/>
            <w:vAlign w:val="bottom"/>
          </w:tcPr>
          <w:p>
            <w:pPr>
              <w:spacing w:after="0"/>
              <w:rPr>
                <w:sz w:val="5"/>
                <w:szCs w:val="5"/>
                <w:color w:val="auto"/>
              </w:rPr>
            </w:pPr>
          </w:p>
        </w:tc>
        <w:tc>
          <w:tcPr>
            <w:tcW w:w="120" w:type="dxa"/>
            <w:vAlign w:val="bottom"/>
          </w:tcPr>
          <w:p>
            <w:pPr>
              <w:spacing w:after="0"/>
              <w:rPr>
                <w:sz w:val="5"/>
                <w:szCs w:val="5"/>
                <w:color w:val="auto"/>
              </w:rPr>
            </w:pPr>
          </w:p>
        </w:tc>
        <w:tc>
          <w:tcPr>
            <w:tcW w:w="880" w:type="dxa"/>
            <w:vAlign w:val="bottom"/>
          </w:tcPr>
          <w:p>
            <w:pPr>
              <w:spacing w:after="0"/>
              <w:rPr>
                <w:sz w:val="5"/>
                <w:szCs w:val="5"/>
                <w:color w:val="auto"/>
              </w:rPr>
            </w:pPr>
          </w:p>
        </w:tc>
        <w:tc>
          <w:tcPr>
            <w:tcW w:w="500" w:type="dxa"/>
            <w:vAlign w:val="bottom"/>
          </w:tcPr>
          <w:p>
            <w:pPr>
              <w:spacing w:after="0"/>
              <w:rPr>
                <w:sz w:val="5"/>
                <w:szCs w:val="5"/>
                <w:color w:val="auto"/>
              </w:rPr>
            </w:pPr>
          </w:p>
        </w:tc>
        <w:tc>
          <w:tcPr>
            <w:tcW w:w="100" w:type="dxa"/>
            <w:vAlign w:val="bottom"/>
            <w:vMerge w:val="continue"/>
          </w:tcPr>
          <w:p>
            <w:pPr>
              <w:spacing w:after="0"/>
              <w:rPr>
                <w:sz w:val="5"/>
                <w:szCs w:val="5"/>
                <w:color w:val="auto"/>
              </w:rPr>
            </w:pPr>
          </w:p>
        </w:tc>
        <w:tc>
          <w:tcPr>
            <w:tcW w:w="308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62"/>
        </w:trPr>
        <w:tc>
          <w:tcPr>
            <w:tcW w:w="5360" w:type="dxa"/>
            <w:vAlign w:val="bottom"/>
            <w:gridSpan w:val="3"/>
          </w:tcPr>
          <w:p>
            <w:pPr>
              <w:ind w:left="40"/>
              <w:spacing w:after="0"/>
              <w:rPr>
                <w:sz w:val="20"/>
                <w:szCs w:val="20"/>
                <w:color w:val="auto"/>
              </w:rPr>
            </w:pPr>
            <w:r>
              <w:rPr>
                <w:rFonts w:ascii="Arial" w:cs="Arial" w:eastAsia="Arial" w:hAnsi="Arial"/>
                <w:sz w:val="14"/>
                <w:szCs w:val="14"/>
                <w:b w:val="1"/>
                <w:bCs w:val="1"/>
                <w:color w:val="auto"/>
              </w:rPr>
              <w:t>AOCI Components</w:t>
            </w:r>
          </w:p>
        </w:tc>
        <w:tc>
          <w:tcPr>
            <w:tcW w:w="880" w:type="dxa"/>
            <w:vAlign w:val="bottom"/>
          </w:tcPr>
          <w:p>
            <w:pPr>
              <w:jc w:val="right"/>
              <w:spacing w:after="0"/>
              <w:rPr>
                <w:sz w:val="20"/>
                <w:szCs w:val="20"/>
                <w:color w:val="auto"/>
              </w:rPr>
            </w:pPr>
            <w:r>
              <w:rPr>
                <w:rFonts w:ascii="Arial" w:cs="Arial" w:eastAsia="Arial" w:hAnsi="Arial"/>
                <w:sz w:val="14"/>
                <w:szCs w:val="14"/>
                <w:b w:val="1"/>
                <w:bCs w:val="1"/>
                <w:color w:val="auto"/>
              </w:rPr>
              <w:t>2019</w:t>
            </w:r>
          </w:p>
        </w:tc>
        <w:tc>
          <w:tcPr>
            <w:tcW w:w="5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80" w:type="dxa"/>
            <w:vAlign w:val="bottom"/>
          </w:tcPr>
          <w:p>
            <w:pPr>
              <w:jc w:val="right"/>
              <w:spacing w:after="0"/>
              <w:rPr>
                <w:sz w:val="20"/>
                <w:szCs w:val="20"/>
                <w:color w:val="auto"/>
              </w:rPr>
            </w:pPr>
            <w:r>
              <w:rPr>
                <w:rFonts w:ascii="Arial" w:cs="Arial" w:eastAsia="Arial" w:hAnsi="Arial"/>
                <w:sz w:val="14"/>
                <w:szCs w:val="14"/>
                <w:b w:val="1"/>
                <w:bCs w:val="1"/>
                <w:color w:val="auto"/>
              </w:rPr>
              <w:t>2018</w:t>
            </w:r>
          </w:p>
        </w:tc>
        <w:tc>
          <w:tcPr>
            <w:tcW w:w="5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080" w:type="dxa"/>
            <w:vAlign w:val="bottom"/>
          </w:tcPr>
          <w:p>
            <w:pPr>
              <w:jc w:val="center"/>
              <w:spacing w:after="0"/>
              <w:rPr>
                <w:sz w:val="20"/>
                <w:szCs w:val="20"/>
                <w:color w:val="auto"/>
              </w:rPr>
            </w:pPr>
            <w:r>
              <w:rPr>
                <w:rFonts w:ascii="Arial" w:cs="Arial" w:eastAsia="Arial" w:hAnsi="Arial"/>
                <w:sz w:val="14"/>
                <w:szCs w:val="14"/>
                <w:b w:val="1"/>
                <w:bCs w:val="1"/>
                <w:color w:val="auto"/>
              </w:rPr>
              <w:t>operations</w:t>
            </w:r>
          </w:p>
        </w:tc>
        <w:tc>
          <w:tcPr>
            <w:tcW w:w="0" w:type="dxa"/>
            <w:vAlign w:val="bottom"/>
          </w:tcPr>
          <w:p>
            <w:pPr>
              <w:spacing w:after="0"/>
              <w:rPr>
                <w:sz w:val="1"/>
                <w:szCs w:val="1"/>
                <w:color w:val="auto"/>
              </w:rPr>
            </w:pPr>
          </w:p>
        </w:tc>
      </w:tr>
      <w:tr>
        <w:trPr>
          <w:trHeight w:val="21"/>
        </w:trPr>
        <w:tc>
          <w:tcPr>
            <w:tcW w:w="40" w:type="dxa"/>
            <w:vAlign w:val="bottom"/>
            <w:tcBorders>
              <w:bottom w:val="single" w:sz="8" w:color="CCEEFF"/>
            </w:tcBorders>
          </w:tcPr>
          <w:p>
            <w:pPr>
              <w:spacing w:after="0" w:line="20" w:lineRule="exact"/>
              <w:rPr>
                <w:sz w:val="1"/>
                <w:szCs w:val="1"/>
                <w:color w:val="auto"/>
              </w:rPr>
            </w:pPr>
          </w:p>
        </w:tc>
        <w:tc>
          <w:tcPr>
            <w:tcW w:w="1280" w:type="dxa"/>
            <w:vAlign w:val="bottom"/>
            <w:tcBorders>
              <w:top w:val="single" w:sz="8" w:color="auto"/>
              <w:bottom w:val="single" w:sz="8" w:color="CCEEFF"/>
            </w:tcBorders>
          </w:tcPr>
          <w:p>
            <w:pPr>
              <w:spacing w:after="0" w:line="20" w:lineRule="exact"/>
              <w:rPr>
                <w:sz w:val="1"/>
                <w:szCs w:val="1"/>
                <w:color w:val="auto"/>
              </w:rPr>
            </w:pPr>
          </w:p>
        </w:tc>
        <w:tc>
          <w:tcPr>
            <w:tcW w:w="4040" w:type="dxa"/>
            <w:vAlign w:val="bottom"/>
            <w:tcBorders>
              <w:bottom w:val="single" w:sz="8" w:color="CCEEFF"/>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0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09"/>
        </w:trPr>
        <w:tc>
          <w:tcPr>
            <w:tcW w:w="5360" w:type="dxa"/>
            <w:vAlign w:val="bottom"/>
            <w:gridSpan w:val="3"/>
            <w:shd w:val="clear" w:color="auto" w:fill="CCEEFF"/>
          </w:tcPr>
          <w:p>
            <w:pPr>
              <w:ind w:left="40"/>
              <w:spacing w:after="0"/>
              <w:rPr>
                <w:sz w:val="20"/>
                <w:szCs w:val="20"/>
                <w:color w:val="auto"/>
              </w:rPr>
            </w:pPr>
            <w:r>
              <w:rPr>
                <w:rFonts w:ascii="Arial" w:cs="Arial" w:eastAsia="Arial" w:hAnsi="Arial"/>
                <w:sz w:val="18"/>
                <w:szCs w:val="18"/>
                <w:color w:val="auto"/>
              </w:rPr>
              <w:t>Amortization of pension, retiree medical and other postretirement</w:t>
            </w:r>
          </w:p>
        </w:tc>
        <w:tc>
          <w:tcPr>
            <w:tcW w:w="88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0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40" w:type="dxa"/>
            <w:vAlign w:val="bottom"/>
            <w:shd w:val="clear" w:color="auto" w:fill="CCEEFF"/>
          </w:tcPr>
          <w:p>
            <w:pPr>
              <w:spacing w:after="0"/>
              <w:rPr>
                <w:sz w:val="20"/>
                <w:szCs w:val="20"/>
                <w:color w:val="auto"/>
              </w:rPr>
            </w:pPr>
          </w:p>
        </w:tc>
        <w:tc>
          <w:tcPr>
            <w:tcW w:w="5320" w:type="dxa"/>
            <w:vAlign w:val="bottom"/>
            <w:gridSpan w:val="2"/>
            <w:shd w:val="clear" w:color="auto" w:fill="CCEEFF"/>
          </w:tcPr>
          <w:p>
            <w:pPr>
              <w:ind w:left="160"/>
              <w:spacing w:after="0"/>
              <w:rPr>
                <w:sz w:val="20"/>
                <w:szCs w:val="20"/>
                <w:color w:val="auto"/>
              </w:rPr>
            </w:pPr>
            <w:r>
              <w:rPr>
                <w:rFonts w:ascii="Arial" w:cs="Arial" w:eastAsia="Arial" w:hAnsi="Arial"/>
                <w:sz w:val="18"/>
                <w:szCs w:val="18"/>
                <w:color w:val="auto"/>
              </w:rPr>
              <w:t>benefits:</w:t>
            </w:r>
          </w:p>
        </w:tc>
        <w:tc>
          <w:tcPr>
            <w:tcW w:w="880" w:type="dxa"/>
            <w:vAlign w:val="bottom"/>
            <w:shd w:val="clear" w:color="auto" w:fill="CCEEFF"/>
          </w:tcPr>
          <w:p>
            <w:pPr>
              <w:spacing w:after="0"/>
              <w:rPr>
                <w:sz w:val="20"/>
                <w:szCs w:val="20"/>
                <w:color w:val="auto"/>
              </w:rPr>
            </w:pPr>
          </w:p>
        </w:tc>
        <w:tc>
          <w:tcPr>
            <w:tcW w:w="50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880" w:type="dxa"/>
            <w:vAlign w:val="bottom"/>
            <w:shd w:val="clear" w:color="auto" w:fill="CCEEFF"/>
          </w:tcPr>
          <w:p>
            <w:pPr>
              <w:spacing w:after="0"/>
              <w:rPr>
                <w:sz w:val="20"/>
                <w:szCs w:val="20"/>
                <w:color w:val="auto"/>
              </w:rPr>
            </w:pPr>
          </w:p>
        </w:tc>
        <w:tc>
          <w:tcPr>
            <w:tcW w:w="50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308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63"/>
        </w:trPr>
        <w:tc>
          <w:tcPr>
            <w:tcW w:w="40" w:type="dxa"/>
            <w:vAlign w:val="bottom"/>
          </w:tcPr>
          <w:p>
            <w:pPr>
              <w:spacing w:after="0"/>
              <w:rPr>
                <w:sz w:val="22"/>
                <w:szCs w:val="22"/>
                <w:color w:val="auto"/>
              </w:rPr>
            </w:pPr>
          </w:p>
        </w:tc>
        <w:tc>
          <w:tcPr>
            <w:tcW w:w="5320" w:type="dxa"/>
            <w:vAlign w:val="bottom"/>
            <w:gridSpan w:val="2"/>
          </w:tcPr>
          <w:p>
            <w:pPr>
              <w:ind w:left="240"/>
              <w:spacing w:after="0"/>
              <w:rPr>
                <w:sz w:val="20"/>
                <w:szCs w:val="20"/>
                <w:color w:val="auto"/>
              </w:rPr>
            </w:pPr>
            <w:r>
              <w:rPr>
                <w:rFonts w:ascii="Arial" w:cs="Arial" w:eastAsia="Arial" w:hAnsi="Arial"/>
                <w:sz w:val="18"/>
                <w:szCs w:val="18"/>
                <w:color w:val="auto"/>
              </w:rPr>
              <w:t>Prior service benefit</w:t>
            </w:r>
          </w:p>
        </w:tc>
        <w:tc>
          <w:tcPr>
            <w:tcW w:w="880" w:type="dxa"/>
            <w:vAlign w:val="bottom"/>
          </w:tcPr>
          <w:p>
            <w:pPr>
              <w:jc w:val="right"/>
              <w:ind w:right="661"/>
              <w:spacing w:after="0"/>
              <w:rPr>
                <w:sz w:val="20"/>
                <w:szCs w:val="20"/>
                <w:color w:val="auto"/>
              </w:rPr>
            </w:pPr>
            <w:r>
              <w:rPr>
                <w:rFonts w:ascii="Arial" w:cs="Arial" w:eastAsia="Arial" w:hAnsi="Arial"/>
                <w:sz w:val="18"/>
                <w:szCs w:val="18"/>
                <w:color w:val="auto"/>
              </w:rPr>
              <w:t>$</w:t>
            </w:r>
          </w:p>
        </w:tc>
        <w:tc>
          <w:tcPr>
            <w:tcW w:w="500" w:type="dxa"/>
            <w:vAlign w:val="bottom"/>
          </w:tcPr>
          <w:p>
            <w:pPr>
              <w:jc w:val="right"/>
              <w:spacing w:after="0"/>
              <w:rPr>
                <w:sz w:val="20"/>
                <w:szCs w:val="20"/>
                <w:color w:val="auto"/>
              </w:rPr>
            </w:pPr>
            <w:r>
              <w:rPr>
                <w:rFonts w:ascii="Arial" w:cs="Arial" w:eastAsia="Arial" w:hAnsi="Arial"/>
                <w:sz w:val="18"/>
                <w:szCs w:val="18"/>
                <w:color w:val="auto"/>
              </w:rPr>
              <w:t>(162)</w:t>
            </w:r>
          </w:p>
        </w:tc>
        <w:tc>
          <w:tcPr>
            <w:tcW w:w="120" w:type="dxa"/>
            <w:vAlign w:val="bottom"/>
          </w:tcPr>
          <w:p>
            <w:pPr>
              <w:spacing w:after="0"/>
              <w:rPr>
                <w:sz w:val="22"/>
                <w:szCs w:val="22"/>
                <w:color w:val="auto"/>
              </w:rPr>
            </w:pPr>
          </w:p>
        </w:tc>
        <w:tc>
          <w:tcPr>
            <w:tcW w:w="880" w:type="dxa"/>
            <w:vAlign w:val="bottom"/>
          </w:tcPr>
          <w:p>
            <w:pPr>
              <w:jc w:val="right"/>
              <w:ind w:right="676"/>
              <w:spacing w:after="0"/>
              <w:rPr>
                <w:sz w:val="20"/>
                <w:szCs w:val="20"/>
                <w:color w:val="auto"/>
              </w:rPr>
            </w:pPr>
            <w:r>
              <w:rPr>
                <w:rFonts w:ascii="Arial" w:cs="Arial" w:eastAsia="Arial" w:hAnsi="Arial"/>
                <w:sz w:val="18"/>
                <w:szCs w:val="18"/>
                <w:color w:val="auto"/>
                <w:w w:val="99"/>
              </w:rPr>
              <w:t>$</w:t>
            </w:r>
          </w:p>
        </w:tc>
        <w:tc>
          <w:tcPr>
            <w:tcW w:w="500" w:type="dxa"/>
            <w:vAlign w:val="bottom"/>
          </w:tcPr>
          <w:p>
            <w:pPr>
              <w:jc w:val="right"/>
              <w:spacing w:after="0"/>
              <w:rPr>
                <w:sz w:val="20"/>
                <w:szCs w:val="20"/>
                <w:color w:val="auto"/>
              </w:rPr>
            </w:pPr>
            <w:r>
              <w:rPr>
                <w:rFonts w:ascii="Arial" w:cs="Arial" w:eastAsia="Arial" w:hAnsi="Arial"/>
                <w:sz w:val="18"/>
                <w:szCs w:val="18"/>
                <w:color w:val="auto"/>
                <w:w w:val="99"/>
              </w:rPr>
              <w:t>(161)</w:t>
            </w:r>
          </w:p>
        </w:tc>
        <w:tc>
          <w:tcPr>
            <w:tcW w:w="100" w:type="dxa"/>
            <w:vAlign w:val="bottom"/>
          </w:tcPr>
          <w:p>
            <w:pPr>
              <w:spacing w:after="0"/>
              <w:rPr>
                <w:sz w:val="22"/>
                <w:szCs w:val="22"/>
                <w:color w:val="auto"/>
              </w:rPr>
            </w:pPr>
          </w:p>
        </w:tc>
        <w:tc>
          <w:tcPr>
            <w:tcW w:w="3080" w:type="dxa"/>
            <w:vAlign w:val="bottom"/>
          </w:tcPr>
          <w:p>
            <w:pPr>
              <w:jc w:val="right"/>
              <w:ind w:right="464"/>
              <w:spacing w:after="0"/>
              <w:rPr>
                <w:sz w:val="20"/>
                <w:szCs w:val="20"/>
                <w:color w:val="auto"/>
              </w:rPr>
            </w:pPr>
            <w:r>
              <w:rPr>
                <w:rFonts w:ascii="Arial" w:cs="Arial" w:eastAsia="Arial" w:hAnsi="Arial"/>
                <w:sz w:val="18"/>
                <w:szCs w:val="18"/>
                <w:color w:val="auto"/>
                <w:w w:val="99"/>
              </w:rPr>
              <w:t>Nonoperating other income, net</w:t>
            </w:r>
          </w:p>
        </w:tc>
        <w:tc>
          <w:tcPr>
            <w:tcW w:w="0" w:type="dxa"/>
            <w:vAlign w:val="bottom"/>
          </w:tcPr>
          <w:p>
            <w:pPr>
              <w:spacing w:after="0"/>
              <w:rPr>
                <w:sz w:val="1"/>
                <w:szCs w:val="1"/>
                <w:color w:val="auto"/>
              </w:rPr>
            </w:pPr>
          </w:p>
        </w:tc>
      </w:tr>
      <w:tr>
        <w:trPr>
          <w:trHeight w:val="277"/>
        </w:trPr>
        <w:tc>
          <w:tcPr>
            <w:tcW w:w="40" w:type="dxa"/>
            <w:vAlign w:val="bottom"/>
            <w:shd w:val="clear" w:color="auto" w:fill="CCEEFF"/>
          </w:tcPr>
          <w:p>
            <w:pPr>
              <w:spacing w:after="0"/>
              <w:rPr>
                <w:sz w:val="24"/>
                <w:szCs w:val="24"/>
                <w:color w:val="auto"/>
              </w:rPr>
            </w:pPr>
          </w:p>
        </w:tc>
        <w:tc>
          <w:tcPr>
            <w:tcW w:w="5320" w:type="dxa"/>
            <w:vAlign w:val="bottom"/>
            <w:gridSpan w:val="2"/>
            <w:shd w:val="clear" w:color="auto" w:fill="CCEEFF"/>
          </w:tcPr>
          <w:p>
            <w:pPr>
              <w:ind w:left="240"/>
              <w:spacing w:after="0"/>
              <w:rPr>
                <w:sz w:val="20"/>
                <w:szCs w:val="20"/>
                <w:color w:val="auto"/>
              </w:rPr>
            </w:pPr>
            <w:r>
              <w:rPr>
                <w:rFonts w:ascii="Arial" w:cs="Arial" w:eastAsia="Arial" w:hAnsi="Arial"/>
                <w:sz w:val="18"/>
                <w:szCs w:val="18"/>
                <w:color w:val="auto"/>
              </w:rPr>
              <w:t>Actuarial loss</w:t>
            </w:r>
          </w:p>
        </w:tc>
        <w:tc>
          <w:tcPr>
            <w:tcW w:w="880" w:type="dxa"/>
            <w:vAlign w:val="bottom"/>
            <w:shd w:val="clear" w:color="auto" w:fill="CCEEFF"/>
          </w:tcPr>
          <w:p>
            <w:pPr>
              <w:spacing w:after="0"/>
              <w:rPr>
                <w:sz w:val="24"/>
                <w:szCs w:val="24"/>
                <w:color w:val="auto"/>
              </w:rPr>
            </w:pPr>
          </w:p>
        </w:tc>
        <w:tc>
          <w:tcPr>
            <w:tcW w:w="5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93</w:t>
            </w:r>
          </w:p>
        </w:tc>
        <w:tc>
          <w:tcPr>
            <w:tcW w:w="120" w:type="dxa"/>
            <w:vAlign w:val="bottom"/>
            <w:shd w:val="clear" w:color="auto" w:fill="CCEEFF"/>
          </w:tcPr>
          <w:p>
            <w:pPr>
              <w:spacing w:after="0"/>
              <w:rPr>
                <w:sz w:val="24"/>
                <w:szCs w:val="24"/>
                <w:color w:val="auto"/>
              </w:rPr>
            </w:pPr>
          </w:p>
        </w:tc>
        <w:tc>
          <w:tcPr>
            <w:tcW w:w="880" w:type="dxa"/>
            <w:vAlign w:val="bottom"/>
            <w:shd w:val="clear" w:color="auto" w:fill="CCEEFF"/>
          </w:tcPr>
          <w:p>
            <w:pPr>
              <w:spacing w:after="0"/>
              <w:rPr>
                <w:sz w:val="24"/>
                <w:szCs w:val="24"/>
                <w:color w:val="auto"/>
              </w:rPr>
            </w:pPr>
          </w:p>
        </w:tc>
        <w:tc>
          <w:tcPr>
            <w:tcW w:w="3680" w:type="dxa"/>
            <w:vAlign w:val="bottom"/>
            <w:gridSpan w:val="3"/>
            <w:shd w:val="clear" w:color="auto" w:fill="CCEEFF"/>
          </w:tcPr>
          <w:p>
            <w:pPr>
              <w:jc w:val="right"/>
              <w:ind w:right="464"/>
              <w:spacing w:after="0"/>
              <w:rPr>
                <w:sz w:val="20"/>
                <w:szCs w:val="20"/>
                <w:color w:val="auto"/>
              </w:rPr>
            </w:pPr>
            <w:r>
              <w:rPr>
                <w:rFonts w:ascii="Arial" w:cs="Arial" w:eastAsia="Arial" w:hAnsi="Arial"/>
                <w:sz w:val="18"/>
                <w:szCs w:val="18"/>
                <w:color w:val="auto"/>
              </w:rPr>
              <w:t>92   Nonoperating other income, net</w:t>
            </w:r>
          </w:p>
        </w:tc>
        <w:tc>
          <w:tcPr>
            <w:tcW w:w="0" w:type="dxa"/>
            <w:vAlign w:val="bottom"/>
          </w:tcPr>
          <w:p>
            <w:pPr>
              <w:spacing w:after="0"/>
              <w:rPr>
                <w:sz w:val="1"/>
                <w:szCs w:val="1"/>
                <w:color w:val="auto"/>
              </w:rPr>
            </w:pPr>
          </w:p>
        </w:tc>
      </w:tr>
      <w:tr>
        <w:trPr>
          <w:trHeight w:val="244"/>
        </w:trPr>
        <w:tc>
          <w:tcPr>
            <w:tcW w:w="5360" w:type="dxa"/>
            <w:vAlign w:val="bottom"/>
            <w:gridSpan w:val="3"/>
          </w:tcPr>
          <w:p>
            <w:pPr>
              <w:ind w:left="40"/>
              <w:spacing w:after="0"/>
              <w:rPr>
                <w:sz w:val="20"/>
                <w:szCs w:val="20"/>
                <w:color w:val="auto"/>
              </w:rPr>
            </w:pPr>
            <w:r>
              <w:rPr>
                <w:rFonts w:ascii="Arial" w:cs="Arial" w:eastAsia="Arial" w:hAnsi="Arial"/>
                <w:sz w:val="18"/>
                <w:szCs w:val="18"/>
                <w:color w:val="auto"/>
              </w:rPr>
              <w:t>Total reclassifications for the period, net of tax</w:t>
            </w:r>
          </w:p>
        </w:tc>
        <w:tc>
          <w:tcPr>
            <w:tcW w:w="880" w:type="dxa"/>
            <w:vAlign w:val="bottom"/>
            <w:tcBorders>
              <w:top w:val="single" w:sz="8" w:color="auto"/>
              <w:bottom w:val="single" w:sz="8" w:color="auto"/>
            </w:tcBorders>
          </w:tcPr>
          <w:p>
            <w:pPr>
              <w:jc w:val="right"/>
              <w:ind w:right="661"/>
              <w:spacing w:after="0"/>
              <w:rPr>
                <w:sz w:val="20"/>
                <w:szCs w:val="20"/>
                <w:color w:val="auto"/>
              </w:rPr>
            </w:pPr>
            <w:r>
              <w:rPr>
                <w:rFonts w:ascii="Arial" w:cs="Arial" w:eastAsia="Arial" w:hAnsi="Arial"/>
                <w:sz w:val="18"/>
                <w:szCs w:val="18"/>
                <w:color w:val="auto"/>
              </w:rPr>
              <w:t>$</w:t>
            </w:r>
          </w:p>
        </w:tc>
        <w:tc>
          <w:tcPr>
            <w:tcW w:w="5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(69)</w:t>
            </w:r>
          </w:p>
        </w:tc>
        <w:tc>
          <w:tcPr>
            <w:tcW w:w="120" w:type="dxa"/>
            <w:vAlign w:val="bottom"/>
          </w:tcPr>
          <w:p>
            <w:pPr>
              <w:spacing w:after="0"/>
              <w:rPr>
                <w:sz w:val="21"/>
                <w:szCs w:val="21"/>
                <w:color w:val="auto"/>
              </w:rPr>
            </w:pPr>
          </w:p>
        </w:tc>
        <w:tc>
          <w:tcPr>
            <w:tcW w:w="880" w:type="dxa"/>
            <w:vAlign w:val="bottom"/>
            <w:tcBorders>
              <w:top w:val="single" w:sz="8" w:color="auto"/>
              <w:bottom w:val="single" w:sz="8" w:color="auto"/>
            </w:tcBorders>
          </w:tcPr>
          <w:p>
            <w:pPr>
              <w:jc w:val="right"/>
              <w:ind w:right="676"/>
              <w:spacing w:after="0"/>
              <w:rPr>
                <w:sz w:val="20"/>
                <w:szCs w:val="20"/>
                <w:color w:val="auto"/>
              </w:rPr>
            </w:pPr>
            <w:r>
              <w:rPr>
                <w:rFonts w:ascii="Arial" w:cs="Arial" w:eastAsia="Arial" w:hAnsi="Arial"/>
                <w:sz w:val="18"/>
                <w:szCs w:val="18"/>
                <w:color w:val="auto"/>
                <w:w w:val="99"/>
              </w:rPr>
              <w:t>$</w:t>
            </w:r>
          </w:p>
        </w:tc>
        <w:tc>
          <w:tcPr>
            <w:tcW w:w="5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(69)</w:t>
            </w:r>
          </w:p>
        </w:tc>
        <w:tc>
          <w:tcPr>
            <w:tcW w:w="100" w:type="dxa"/>
            <w:vAlign w:val="bottom"/>
          </w:tcPr>
          <w:p>
            <w:pPr>
              <w:spacing w:after="0"/>
              <w:rPr>
                <w:sz w:val="21"/>
                <w:szCs w:val="21"/>
                <w:color w:val="auto"/>
              </w:rPr>
            </w:pPr>
          </w:p>
        </w:tc>
        <w:tc>
          <w:tcPr>
            <w:tcW w:w="30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40" w:type="dxa"/>
            <w:vAlign w:val="bottom"/>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4040" w:type="dxa"/>
            <w:vAlign w:val="bottom"/>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77" w:lineRule="exact"/>
        <w:rPr>
          <w:sz w:val="20"/>
          <w:szCs w:val="20"/>
          <w:color w:val="auto"/>
        </w:rPr>
      </w:pPr>
    </w:p>
    <w:p>
      <w:pPr>
        <w:jc w:val="both"/>
        <w:ind w:firstLine="216"/>
        <w:spacing w:after="0" w:line="262" w:lineRule="auto"/>
        <w:rPr>
          <w:sz w:val="20"/>
          <w:szCs w:val="20"/>
          <w:color w:val="auto"/>
        </w:rPr>
      </w:pPr>
      <w:r>
        <w:rPr>
          <w:rFonts w:ascii="Arial" w:cs="Arial" w:eastAsia="Arial" w:hAnsi="Arial"/>
          <w:sz w:val="18"/>
          <w:szCs w:val="18"/>
          <w:color w:val="auto"/>
        </w:rPr>
        <w:t>Amounts allocated to other comprehensive income for income taxes as further described in Note 5 will remain in AOCI until American ceases all related activities, such as termination of the pension plan.</w:t>
      </w:r>
    </w:p>
    <w:p>
      <w:pPr>
        <w:spacing w:after="0" w:line="201" w:lineRule="exact"/>
        <w:rPr>
          <w:sz w:val="20"/>
          <w:szCs w:val="20"/>
          <w:color w:val="auto"/>
        </w:rPr>
      </w:pPr>
    </w:p>
    <w:p>
      <w:pPr>
        <w:ind w:left="360" w:hanging="352"/>
        <w:spacing w:after="0"/>
        <w:tabs>
          <w:tab w:leader="none" w:pos="360" w:val="left"/>
        </w:tabs>
        <w:numPr>
          <w:ilvl w:val="0"/>
          <w:numId w:val="67"/>
        </w:numPr>
        <w:rPr>
          <w:rFonts w:ascii="Arial" w:cs="Arial" w:eastAsia="Arial" w:hAnsi="Arial"/>
          <w:sz w:val="18"/>
          <w:szCs w:val="18"/>
          <w:b w:val="1"/>
          <w:bCs w:val="1"/>
          <w:color w:val="auto"/>
        </w:rPr>
      </w:pPr>
      <w:r>
        <w:rPr>
          <w:rFonts w:ascii="Arial" w:cs="Arial" w:eastAsia="Arial" w:hAnsi="Arial"/>
          <w:sz w:val="18"/>
          <w:szCs w:val="18"/>
          <w:b w:val="1"/>
          <w:bCs w:val="1"/>
          <w:color w:val="auto"/>
        </w:rPr>
        <w:t>Commitments, Contingencies and Guarantees</w:t>
      </w:r>
    </w:p>
    <w:p>
      <w:pPr>
        <w:spacing w:after="0" w:line="90" w:lineRule="exact"/>
        <w:rPr>
          <w:rFonts w:ascii="Arial" w:cs="Arial" w:eastAsia="Arial" w:hAnsi="Arial"/>
          <w:sz w:val="18"/>
          <w:szCs w:val="18"/>
          <w:b w:val="1"/>
          <w:bCs w:val="1"/>
          <w:color w:val="auto"/>
        </w:rPr>
      </w:pPr>
    </w:p>
    <w:p>
      <w:pPr>
        <w:ind w:left="500" w:hanging="276"/>
        <w:spacing w:after="0"/>
        <w:tabs>
          <w:tab w:leader="none" w:pos="500" w:val="left"/>
        </w:tabs>
        <w:numPr>
          <w:ilvl w:val="1"/>
          <w:numId w:val="67"/>
        </w:numPr>
        <w:rPr>
          <w:rFonts w:ascii="Arial" w:cs="Arial" w:eastAsia="Arial" w:hAnsi="Arial"/>
          <w:sz w:val="18"/>
          <w:szCs w:val="18"/>
          <w:b w:val="1"/>
          <w:bCs w:val="1"/>
          <w:i w:val="1"/>
          <w:iCs w:val="1"/>
          <w:color w:val="auto"/>
        </w:rPr>
      </w:pPr>
      <w:r>
        <w:rPr>
          <w:rFonts w:ascii="Arial" w:cs="Arial" w:eastAsia="Arial" w:hAnsi="Arial"/>
          <w:sz w:val="18"/>
          <w:szCs w:val="18"/>
          <w:b w:val="1"/>
          <w:bCs w:val="1"/>
          <w:i w:val="1"/>
          <w:iCs w:val="1"/>
          <w:color w:val="auto"/>
        </w:rPr>
        <w:t>Aircraft, Engine and Other Purchase Commitments</w:t>
      </w:r>
    </w:p>
    <w:p>
      <w:pPr>
        <w:spacing w:after="0" w:line="112" w:lineRule="exact"/>
        <w:rPr>
          <w:sz w:val="20"/>
          <w:szCs w:val="20"/>
          <w:color w:val="auto"/>
        </w:rPr>
      </w:pPr>
    </w:p>
    <w:p>
      <w:pPr>
        <w:ind w:right="20" w:firstLine="216"/>
        <w:spacing w:after="0" w:line="262" w:lineRule="auto"/>
        <w:rPr>
          <w:sz w:val="20"/>
          <w:szCs w:val="20"/>
          <w:color w:val="auto"/>
        </w:rPr>
      </w:pPr>
      <w:r>
        <w:rPr>
          <w:rFonts w:ascii="Arial" w:cs="Arial" w:eastAsia="Arial" w:hAnsi="Arial"/>
          <w:sz w:val="18"/>
          <w:szCs w:val="18"/>
          <w:color w:val="auto"/>
        </w:rPr>
        <w:t>Under all of American’s aircraft and engine purchase agreements, its total future commitments as of December 31, 2019 are expected to be as follows (approximately, in millions):</w:t>
      </w:r>
    </w:p>
    <w:p>
      <w:pPr>
        <w:spacing w:after="0" w:line="292"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35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0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rPr>
              <w:t>2025 and</w:t>
            </w:r>
          </w:p>
        </w:tc>
        <w:tc>
          <w:tcPr>
            <w:tcW w:w="240" w:type="dxa"/>
            <w:vAlign w:val="bottom"/>
          </w:tcPr>
          <w:p>
            <w:pPr>
              <w:spacing w:after="0"/>
              <w:rPr>
                <w:sz w:val="14"/>
                <w:szCs w:val="14"/>
                <w:color w:val="auto"/>
              </w:rPr>
            </w:pPr>
          </w:p>
        </w:tc>
        <w:tc>
          <w:tcPr>
            <w:tcW w:w="800" w:type="dxa"/>
            <w:vAlign w:val="bottom"/>
          </w:tcPr>
          <w:p>
            <w:pPr>
              <w:spacing w:after="0"/>
              <w:rPr>
                <w:sz w:val="14"/>
                <w:szCs w:val="14"/>
                <w:color w:val="auto"/>
              </w:rPr>
            </w:pPr>
          </w:p>
        </w:tc>
      </w:tr>
      <w:tr>
        <w:trPr>
          <w:trHeight w:val="196"/>
        </w:trPr>
        <w:tc>
          <w:tcPr>
            <w:tcW w:w="35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00" w:type="dxa"/>
            <w:vAlign w:val="bottom"/>
          </w:tcPr>
          <w:p>
            <w:pPr>
              <w:jc w:val="right"/>
              <w:ind w:right="279"/>
              <w:spacing w:after="0"/>
              <w:rPr>
                <w:sz w:val="20"/>
                <w:szCs w:val="20"/>
                <w:color w:val="auto"/>
              </w:rPr>
            </w:pPr>
            <w:r>
              <w:rPr>
                <w:rFonts w:ascii="Arial" w:cs="Arial" w:eastAsia="Arial" w:hAnsi="Arial"/>
                <w:sz w:val="14"/>
                <w:szCs w:val="14"/>
                <w:b w:val="1"/>
                <w:bCs w:val="1"/>
                <w:color w:val="auto"/>
              </w:rPr>
              <w:t>2020</w:t>
            </w:r>
          </w:p>
        </w:tc>
        <w:tc>
          <w:tcPr>
            <w:tcW w:w="1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00" w:type="dxa"/>
            <w:vAlign w:val="bottom"/>
          </w:tcPr>
          <w:p>
            <w:pPr>
              <w:jc w:val="right"/>
              <w:ind w:right="279"/>
              <w:spacing w:after="0"/>
              <w:rPr>
                <w:sz w:val="20"/>
                <w:szCs w:val="20"/>
                <w:color w:val="auto"/>
              </w:rPr>
            </w:pPr>
            <w:r>
              <w:rPr>
                <w:rFonts w:ascii="Arial" w:cs="Arial" w:eastAsia="Arial" w:hAnsi="Arial"/>
                <w:sz w:val="14"/>
                <w:szCs w:val="14"/>
                <w:b w:val="1"/>
                <w:bCs w:val="1"/>
                <w:color w:val="auto"/>
              </w:rPr>
              <w:t>2021</w:t>
            </w:r>
          </w:p>
        </w:tc>
        <w:tc>
          <w:tcPr>
            <w:tcW w:w="1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780" w:type="dxa"/>
            <w:vAlign w:val="bottom"/>
          </w:tcPr>
          <w:p>
            <w:pPr>
              <w:jc w:val="right"/>
              <w:ind w:right="279"/>
              <w:spacing w:after="0"/>
              <w:rPr>
                <w:sz w:val="20"/>
                <w:szCs w:val="20"/>
                <w:color w:val="auto"/>
              </w:rPr>
            </w:pPr>
            <w:r>
              <w:rPr>
                <w:rFonts w:ascii="Arial" w:cs="Arial" w:eastAsia="Arial" w:hAnsi="Arial"/>
                <w:sz w:val="14"/>
                <w:szCs w:val="14"/>
                <w:b w:val="1"/>
                <w:bCs w:val="1"/>
                <w:color w:val="auto"/>
              </w:rPr>
              <w:t>2022</w:t>
            </w:r>
          </w:p>
        </w:tc>
        <w:tc>
          <w:tcPr>
            <w:tcW w:w="1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00" w:type="dxa"/>
            <w:vAlign w:val="bottom"/>
          </w:tcPr>
          <w:p>
            <w:pPr>
              <w:jc w:val="right"/>
              <w:ind w:right="279"/>
              <w:spacing w:after="0"/>
              <w:rPr>
                <w:sz w:val="20"/>
                <w:szCs w:val="20"/>
                <w:color w:val="auto"/>
              </w:rPr>
            </w:pPr>
            <w:r>
              <w:rPr>
                <w:rFonts w:ascii="Arial" w:cs="Arial" w:eastAsia="Arial" w:hAnsi="Arial"/>
                <w:sz w:val="14"/>
                <w:szCs w:val="14"/>
                <w:b w:val="1"/>
                <w:bCs w:val="1"/>
                <w:color w:val="auto"/>
              </w:rPr>
              <w:t>2023</w:t>
            </w:r>
          </w:p>
        </w:tc>
        <w:tc>
          <w:tcPr>
            <w:tcW w:w="1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00" w:type="dxa"/>
            <w:vAlign w:val="bottom"/>
          </w:tcPr>
          <w:p>
            <w:pPr>
              <w:jc w:val="right"/>
              <w:ind w:right="279"/>
              <w:spacing w:after="0"/>
              <w:rPr>
                <w:sz w:val="20"/>
                <w:szCs w:val="20"/>
                <w:color w:val="auto"/>
              </w:rPr>
            </w:pPr>
            <w:r>
              <w:rPr>
                <w:rFonts w:ascii="Arial" w:cs="Arial" w:eastAsia="Arial" w:hAnsi="Arial"/>
                <w:sz w:val="14"/>
                <w:szCs w:val="14"/>
                <w:b w:val="1"/>
                <w:bCs w:val="1"/>
                <w:color w:val="auto"/>
              </w:rPr>
              <w:t>2024</w:t>
            </w: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0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rPr>
              <w:t>Thereafter</w:t>
            </w:r>
          </w:p>
        </w:tc>
        <w:tc>
          <w:tcPr>
            <w:tcW w:w="240" w:type="dxa"/>
            <w:vAlign w:val="bottom"/>
          </w:tcPr>
          <w:p>
            <w:pPr>
              <w:spacing w:after="0"/>
              <w:rPr>
                <w:sz w:val="17"/>
                <w:szCs w:val="17"/>
                <w:color w:val="auto"/>
              </w:rPr>
            </w:pPr>
          </w:p>
        </w:tc>
        <w:tc>
          <w:tcPr>
            <w:tcW w:w="800" w:type="dxa"/>
            <w:vAlign w:val="bottom"/>
          </w:tcPr>
          <w:p>
            <w:pPr>
              <w:jc w:val="right"/>
              <w:ind w:right="279"/>
              <w:spacing w:after="0"/>
              <w:rPr>
                <w:sz w:val="20"/>
                <w:szCs w:val="20"/>
                <w:color w:val="auto"/>
              </w:rPr>
            </w:pPr>
            <w:r>
              <w:rPr>
                <w:rFonts w:ascii="Arial" w:cs="Arial" w:eastAsia="Arial" w:hAnsi="Arial"/>
                <w:sz w:val="14"/>
                <w:szCs w:val="14"/>
                <w:b w:val="1"/>
                <w:bCs w:val="1"/>
                <w:color w:val="auto"/>
              </w:rPr>
              <w:t>Total</w:t>
            </w:r>
          </w:p>
        </w:tc>
      </w:tr>
      <w:tr>
        <w:trPr>
          <w:trHeight w:val="212"/>
        </w:trPr>
        <w:tc>
          <w:tcPr>
            <w:tcW w:w="3500" w:type="dxa"/>
            <w:vAlign w:val="bottom"/>
            <w:tcBorders>
              <w:top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Payments for aircraft commitments and</w:t>
            </w:r>
          </w:p>
        </w:tc>
        <w:tc>
          <w:tcPr>
            <w:tcW w:w="240" w:type="dxa"/>
            <w:vAlign w:val="bottom"/>
            <w:tcBorders>
              <w:top w:val="single" w:sz="8" w:color="auto"/>
            </w:tcBorders>
            <w:shd w:val="clear" w:color="auto" w:fill="CCEEFF"/>
          </w:tcPr>
          <w:p>
            <w:pPr>
              <w:spacing w:after="0"/>
              <w:rPr>
                <w:sz w:val="18"/>
                <w:szCs w:val="18"/>
                <w:color w:val="auto"/>
              </w:rPr>
            </w:pPr>
          </w:p>
        </w:tc>
        <w:tc>
          <w:tcPr>
            <w:tcW w:w="80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spacing w:after="0"/>
              <w:rPr>
                <w:sz w:val="18"/>
                <w:szCs w:val="18"/>
                <w:color w:val="auto"/>
              </w:rPr>
            </w:pPr>
          </w:p>
        </w:tc>
        <w:tc>
          <w:tcPr>
            <w:tcW w:w="80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260" w:type="dxa"/>
            <w:vAlign w:val="bottom"/>
            <w:tcBorders>
              <w:top w:val="single" w:sz="8" w:color="auto"/>
            </w:tcBorders>
            <w:shd w:val="clear" w:color="auto" w:fill="CCEEFF"/>
          </w:tcPr>
          <w:p>
            <w:pPr>
              <w:spacing w:after="0"/>
              <w:rPr>
                <w:sz w:val="18"/>
                <w:szCs w:val="18"/>
                <w:color w:val="auto"/>
              </w:rPr>
            </w:pPr>
          </w:p>
        </w:tc>
        <w:tc>
          <w:tcPr>
            <w:tcW w:w="780" w:type="dxa"/>
            <w:vAlign w:val="bottom"/>
            <w:tcBorders>
              <w:top w:val="single" w:sz="8" w:color="auto"/>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spacing w:after="0"/>
              <w:rPr>
                <w:sz w:val="18"/>
                <w:szCs w:val="18"/>
                <w:color w:val="auto"/>
              </w:rPr>
            </w:pPr>
          </w:p>
        </w:tc>
        <w:tc>
          <w:tcPr>
            <w:tcW w:w="80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spacing w:after="0"/>
              <w:rPr>
                <w:sz w:val="18"/>
                <w:szCs w:val="18"/>
                <w:color w:val="auto"/>
              </w:rPr>
            </w:pPr>
          </w:p>
        </w:tc>
        <w:tc>
          <w:tcPr>
            <w:tcW w:w="800" w:type="dxa"/>
            <w:vAlign w:val="bottom"/>
            <w:tcBorders>
              <w:top w:val="single" w:sz="8" w:color="auto"/>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90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spacing w:after="0"/>
              <w:rPr>
                <w:sz w:val="18"/>
                <w:szCs w:val="18"/>
                <w:color w:val="auto"/>
              </w:rPr>
            </w:pPr>
          </w:p>
        </w:tc>
        <w:tc>
          <w:tcPr>
            <w:tcW w:w="800" w:type="dxa"/>
            <w:vAlign w:val="bottom"/>
            <w:tcBorders>
              <w:top w:val="single" w:sz="8" w:color="auto"/>
            </w:tcBorders>
            <w:shd w:val="clear" w:color="auto" w:fill="CCEEFF"/>
          </w:tcPr>
          <w:p>
            <w:pPr>
              <w:spacing w:after="0"/>
              <w:rPr>
                <w:sz w:val="18"/>
                <w:szCs w:val="18"/>
                <w:color w:val="auto"/>
              </w:rPr>
            </w:pPr>
          </w:p>
        </w:tc>
      </w:tr>
      <w:tr>
        <w:trPr>
          <w:trHeight w:val="233"/>
        </w:trPr>
        <w:tc>
          <w:tcPr>
            <w:tcW w:w="3500" w:type="dxa"/>
            <w:vAlign w:val="bottom"/>
            <w:shd w:val="clear" w:color="auto" w:fill="CCEEFF"/>
          </w:tcPr>
          <w:p>
            <w:pPr>
              <w:ind w:left="200"/>
              <w:spacing w:after="0" w:line="233" w:lineRule="exact"/>
              <w:rPr>
                <w:sz w:val="20"/>
                <w:szCs w:val="20"/>
                <w:color w:val="auto"/>
              </w:rPr>
            </w:pPr>
            <w:r>
              <w:rPr>
                <w:rFonts w:ascii="Arial" w:cs="Arial" w:eastAsia="Arial" w:hAnsi="Arial"/>
                <w:sz w:val="18"/>
                <w:szCs w:val="18"/>
                <w:color w:val="auto"/>
              </w:rPr>
              <w:t xml:space="preserve">certain engines </w:t>
            </w:r>
            <w:r>
              <w:rPr>
                <w:rFonts w:ascii="Arial" w:cs="Arial" w:eastAsia="Arial" w:hAnsi="Arial"/>
                <w:sz w:val="21"/>
                <w:szCs w:val="21"/>
                <w:color w:val="auto"/>
                <w:vertAlign w:val="superscript"/>
              </w:rPr>
              <w:t>(1)</w:t>
            </w:r>
          </w:p>
        </w:tc>
        <w:tc>
          <w:tcPr>
            <w:tcW w:w="24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800" w:type="dxa"/>
            <w:vAlign w:val="bottom"/>
            <w:shd w:val="clear" w:color="auto" w:fill="CCEEFF"/>
          </w:tcPr>
          <w:p>
            <w:pPr>
              <w:jc w:val="right"/>
              <w:ind w:right="39"/>
              <w:spacing w:after="0"/>
              <w:rPr>
                <w:sz w:val="20"/>
                <w:szCs w:val="20"/>
                <w:color w:val="auto"/>
              </w:rPr>
            </w:pPr>
            <w:r>
              <w:rPr>
                <w:rFonts w:ascii="Arial" w:cs="Arial" w:eastAsia="Arial" w:hAnsi="Arial"/>
                <w:sz w:val="18"/>
                <w:szCs w:val="18"/>
                <w:color w:val="auto"/>
              </w:rPr>
              <w:t>1,629</w:t>
            </w:r>
          </w:p>
        </w:tc>
        <w:tc>
          <w:tcPr>
            <w:tcW w:w="100" w:type="dxa"/>
            <w:vAlign w:val="bottom"/>
            <w:shd w:val="clear" w:color="auto" w:fill="CCEEFF"/>
          </w:tcPr>
          <w:p>
            <w:pPr>
              <w:spacing w:after="0"/>
              <w:rPr>
                <w:sz w:val="20"/>
                <w:szCs w:val="20"/>
                <w:color w:val="auto"/>
              </w:rPr>
            </w:pPr>
          </w:p>
        </w:tc>
        <w:tc>
          <w:tcPr>
            <w:tcW w:w="24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800" w:type="dxa"/>
            <w:vAlign w:val="bottom"/>
            <w:shd w:val="clear" w:color="auto" w:fill="CCEEFF"/>
          </w:tcPr>
          <w:p>
            <w:pPr>
              <w:jc w:val="right"/>
              <w:ind w:right="19"/>
              <w:spacing w:after="0"/>
              <w:rPr>
                <w:sz w:val="20"/>
                <w:szCs w:val="20"/>
                <w:color w:val="auto"/>
              </w:rPr>
            </w:pPr>
            <w:r>
              <w:rPr>
                <w:rFonts w:ascii="Arial" w:cs="Arial" w:eastAsia="Arial" w:hAnsi="Arial"/>
                <w:sz w:val="18"/>
                <w:szCs w:val="18"/>
                <w:color w:val="auto"/>
              </w:rPr>
              <w:t>750</w:t>
            </w:r>
          </w:p>
        </w:tc>
        <w:tc>
          <w:tcPr>
            <w:tcW w:w="100" w:type="dxa"/>
            <w:vAlign w:val="bottom"/>
            <w:shd w:val="clear" w:color="auto" w:fill="CCEEFF"/>
          </w:tcPr>
          <w:p>
            <w:pPr>
              <w:spacing w:after="0"/>
              <w:rPr>
                <w:sz w:val="20"/>
                <w:szCs w:val="20"/>
                <w:color w:val="auto"/>
              </w:rPr>
            </w:pPr>
          </w:p>
        </w:tc>
        <w:tc>
          <w:tcPr>
            <w:tcW w:w="26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780" w:type="dxa"/>
            <w:vAlign w:val="bottom"/>
            <w:shd w:val="clear" w:color="auto" w:fill="CCEEFF"/>
          </w:tcPr>
          <w:p>
            <w:pPr>
              <w:jc w:val="right"/>
              <w:ind w:right="19"/>
              <w:spacing w:after="0"/>
              <w:rPr>
                <w:sz w:val="20"/>
                <w:szCs w:val="20"/>
                <w:color w:val="auto"/>
              </w:rPr>
            </w:pPr>
            <w:r>
              <w:rPr>
                <w:rFonts w:ascii="Arial" w:cs="Arial" w:eastAsia="Arial" w:hAnsi="Arial"/>
                <w:sz w:val="18"/>
                <w:szCs w:val="18"/>
                <w:color w:val="auto"/>
              </w:rPr>
              <w:t>1,599</w:t>
            </w:r>
          </w:p>
        </w:tc>
        <w:tc>
          <w:tcPr>
            <w:tcW w:w="120" w:type="dxa"/>
            <w:vAlign w:val="bottom"/>
            <w:shd w:val="clear" w:color="auto" w:fill="CCEEFF"/>
          </w:tcPr>
          <w:p>
            <w:pPr>
              <w:spacing w:after="0"/>
              <w:rPr>
                <w:sz w:val="20"/>
                <w:szCs w:val="20"/>
                <w:color w:val="auto"/>
              </w:rPr>
            </w:pPr>
          </w:p>
        </w:tc>
        <w:tc>
          <w:tcPr>
            <w:tcW w:w="24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800" w:type="dxa"/>
            <w:vAlign w:val="bottom"/>
            <w:shd w:val="clear" w:color="auto" w:fill="CCEEFF"/>
          </w:tcPr>
          <w:p>
            <w:pPr>
              <w:jc w:val="right"/>
              <w:ind w:right="39"/>
              <w:spacing w:after="0"/>
              <w:rPr>
                <w:sz w:val="20"/>
                <w:szCs w:val="20"/>
                <w:color w:val="auto"/>
              </w:rPr>
            </w:pPr>
            <w:r>
              <w:rPr>
                <w:rFonts w:ascii="Arial" w:cs="Arial" w:eastAsia="Arial" w:hAnsi="Arial"/>
                <w:sz w:val="18"/>
                <w:szCs w:val="18"/>
                <w:color w:val="auto"/>
              </w:rPr>
              <w:t>1,543</w:t>
            </w:r>
          </w:p>
        </w:tc>
        <w:tc>
          <w:tcPr>
            <w:tcW w:w="100" w:type="dxa"/>
            <w:vAlign w:val="bottom"/>
            <w:shd w:val="clear" w:color="auto" w:fill="CCEEFF"/>
          </w:tcPr>
          <w:p>
            <w:pPr>
              <w:spacing w:after="0"/>
              <w:rPr>
                <w:sz w:val="20"/>
                <w:szCs w:val="20"/>
                <w:color w:val="auto"/>
              </w:rPr>
            </w:pPr>
          </w:p>
        </w:tc>
        <w:tc>
          <w:tcPr>
            <w:tcW w:w="24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800" w:type="dxa"/>
            <w:vAlign w:val="bottom"/>
            <w:shd w:val="clear" w:color="auto" w:fill="CCEEFF"/>
          </w:tcPr>
          <w:p>
            <w:pPr>
              <w:jc w:val="right"/>
              <w:ind w:right="19"/>
              <w:spacing w:after="0"/>
              <w:rPr>
                <w:sz w:val="20"/>
                <w:szCs w:val="20"/>
                <w:color w:val="auto"/>
              </w:rPr>
            </w:pPr>
            <w:r>
              <w:rPr>
                <w:rFonts w:ascii="Arial" w:cs="Arial" w:eastAsia="Arial" w:hAnsi="Arial"/>
                <w:sz w:val="18"/>
                <w:szCs w:val="18"/>
                <w:color w:val="auto"/>
              </w:rPr>
              <w:t>2,574</w:t>
            </w:r>
          </w:p>
        </w:tc>
        <w:tc>
          <w:tcPr>
            <w:tcW w:w="120" w:type="dxa"/>
            <w:vAlign w:val="bottom"/>
            <w:shd w:val="clear" w:color="auto" w:fill="CCEEFF"/>
          </w:tcPr>
          <w:p>
            <w:pPr>
              <w:spacing w:after="0"/>
              <w:rPr>
                <w:sz w:val="20"/>
                <w:szCs w:val="20"/>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900" w:type="dxa"/>
            <w:vAlign w:val="bottom"/>
            <w:shd w:val="clear" w:color="auto" w:fill="CCEEFF"/>
          </w:tcPr>
          <w:p>
            <w:pPr>
              <w:jc w:val="right"/>
              <w:ind w:right="42"/>
              <w:spacing w:after="0"/>
              <w:rPr>
                <w:sz w:val="20"/>
                <w:szCs w:val="20"/>
                <w:color w:val="auto"/>
              </w:rPr>
            </w:pPr>
            <w:r>
              <w:rPr>
                <w:rFonts w:ascii="Arial" w:cs="Arial" w:eastAsia="Arial" w:hAnsi="Arial"/>
                <w:sz w:val="18"/>
                <w:szCs w:val="18"/>
                <w:color w:val="auto"/>
              </w:rPr>
              <w:t>4,855</w:t>
            </w:r>
          </w:p>
        </w:tc>
        <w:tc>
          <w:tcPr>
            <w:tcW w:w="100" w:type="dxa"/>
            <w:vAlign w:val="bottom"/>
            <w:shd w:val="clear" w:color="auto" w:fill="CCEEFF"/>
          </w:tcPr>
          <w:p>
            <w:pPr>
              <w:spacing w:after="0"/>
              <w:rPr>
                <w:sz w:val="20"/>
                <w:szCs w:val="20"/>
                <w:color w:val="auto"/>
              </w:rPr>
            </w:pPr>
          </w:p>
        </w:tc>
        <w:tc>
          <w:tcPr>
            <w:tcW w:w="24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800" w:type="dxa"/>
            <w:vAlign w:val="bottom"/>
            <w:shd w:val="clear" w:color="auto" w:fill="CCEEFF"/>
          </w:tcPr>
          <w:p>
            <w:pPr>
              <w:jc w:val="right"/>
              <w:ind w:right="19"/>
              <w:spacing w:after="0"/>
              <w:rPr>
                <w:sz w:val="20"/>
                <w:szCs w:val="20"/>
                <w:color w:val="auto"/>
              </w:rPr>
            </w:pPr>
            <w:r>
              <w:rPr>
                <w:rFonts w:ascii="Arial" w:cs="Arial" w:eastAsia="Arial" w:hAnsi="Arial"/>
                <w:sz w:val="18"/>
                <w:szCs w:val="18"/>
                <w:color w:val="auto"/>
              </w:rPr>
              <w:t>12,950</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197485</wp:posOffset>
            </wp:positionV>
            <wp:extent cx="1337945" cy="8890"/>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1337945" cy="8890"/>
                    </a:xfrm>
                    <a:prstGeom prst="rect">
                      <a:avLst/>
                    </a:prstGeom>
                    <a:noFill/>
                  </pic:spPr>
                </pic:pic>
              </a:graphicData>
            </a:graphic>
          </wp:anchor>
        </w:drawing>
      </w:r>
    </w:p>
    <w:p>
      <w:pPr>
        <w:spacing w:after="0" w:line="384" w:lineRule="exact"/>
        <w:rPr>
          <w:sz w:val="20"/>
          <w:szCs w:val="20"/>
          <w:color w:val="auto"/>
        </w:rPr>
      </w:pPr>
    </w:p>
    <w:p>
      <w:pPr>
        <w:jc w:val="both"/>
        <w:ind w:left="660" w:hanging="652"/>
        <w:spacing w:after="0" w:line="233" w:lineRule="auto"/>
        <w:tabs>
          <w:tab w:leader="none" w:pos="660" w:val="left"/>
        </w:tabs>
        <w:numPr>
          <w:ilvl w:val="0"/>
          <w:numId w:val="68"/>
        </w:numPr>
        <w:rPr>
          <w:rFonts w:ascii="Arial" w:cs="Arial" w:eastAsia="Arial" w:hAnsi="Arial"/>
          <w:sz w:val="22"/>
          <w:szCs w:val="22"/>
          <w:color w:val="auto"/>
          <w:vertAlign w:val="superscript"/>
        </w:rPr>
      </w:pPr>
      <w:r>
        <w:rPr>
          <w:rFonts w:ascii="Arial" w:cs="Arial" w:eastAsia="Arial" w:hAnsi="Arial"/>
          <w:sz w:val="18"/>
          <w:szCs w:val="18"/>
          <w:color w:val="auto"/>
        </w:rPr>
        <w:t>These amounts are net of purchase deposits currently held by the manufacturers. American has granted a security interest in certain of its purchase deposits with Boeing. American’s purchase deposits held by all manufacturers totaled $1.7 billion as of December 31, 2019.</w:t>
      </w:r>
    </w:p>
    <w:p>
      <w:pPr>
        <w:sectPr>
          <w:pgSz w:w="11900" w:h="16838" w:orient="portrait"/>
          <w:cols w:equalWidth="0" w:num="1">
            <w:col w:w="11420"/>
          </w:cols>
          <w:pgMar w:left="240" w:top="549" w:right="239" w:bottom="1440" w:gutter="0" w:footer="0" w:header="0"/>
        </w:sectPr>
      </w:pPr>
    </w:p>
    <w:p>
      <w:pPr>
        <w:spacing w:after="0" w:line="217"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150</w:t>
      </w:r>
    </w:p>
    <w:p>
      <w:pPr>
        <w:sectPr>
          <w:pgSz w:w="11900" w:h="16838" w:orient="portrait"/>
          <w:cols w:equalWidth="0" w:num="1">
            <w:col w:w="11420"/>
          </w:cols>
          <w:pgMar w:left="240" w:top="549" w:right="239" w:bottom="1440" w:gutter="0" w:footer="0" w:header="0"/>
          <w:type w:val="continuous"/>
        </w:sectPr>
      </w:pPr>
    </w:p>
    <w:bookmarkStart w:id="150" w:name="page151"/>
    <w:bookmarkEnd w:id="150"/>
    <w:p>
      <w:pPr>
        <w:jc w:val="center"/>
        <w:spacing w:after="0"/>
        <w:rPr>
          <w:sz w:val="20"/>
          <w:szCs w:val="20"/>
          <w:color w:val="auto"/>
        </w:rPr>
      </w:pPr>
      <w:r>
        <w:rPr>
          <w:rFonts w:ascii="Arial" w:cs="Arial" w:eastAsia="Arial" w:hAnsi="Arial"/>
          <w:sz w:val="18"/>
          <w:szCs w:val="18"/>
          <w:b w:val="1"/>
          <w:bCs w:val="1"/>
          <w:color w:val="auto"/>
        </w:rPr>
        <w:t>NOTES TO CONSOLIDATED FINANCIAL STATEMENTS OF AMERICAN AIRLINES, INC.</w:t>
      </w:r>
    </w:p>
    <w:p>
      <w:pPr>
        <w:spacing w:after="0" w:line="200" w:lineRule="exact"/>
        <w:rPr>
          <w:sz w:val="20"/>
          <w:szCs w:val="20"/>
          <w:color w:val="auto"/>
        </w:rPr>
      </w:pPr>
    </w:p>
    <w:p>
      <w:pPr>
        <w:spacing w:after="0" w:line="209" w:lineRule="exact"/>
        <w:rPr>
          <w:sz w:val="20"/>
          <w:szCs w:val="20"/>
          <w:color w:val="auto"/>
        </w:rPr>
      </w:pPr>
    </w:p>
    <w:p>
      <w:pPr>
        <w:jc w:val="both"/>
        <w:ind w:left="660"/>
        <w:spacing w:after="0" w:line="252" w:lineRule="auto"/>
        <w:rPr>
          <w:sz w:val="20"/>
          <w:szCs w:val="20"/>
          <w:color w:val="auto"/>
        </w:rPr>
      </w:pPr>
      <w:r>
        <w:rPr>
          <w:rFonts w:ascii="Arial" w:cs="Arial" w:eastAsia="Arial" w:hAnsi="Arial"/>
          <w:sz w:val="18"/>
          <w:szCs w:val="18"/>
          <w:color w:val="auto"/>
        </w:rPr>
        <w:t>On March 13, 2019, a directive from the Federal Aviation Administration (FAA) grounded all U.S.-registered Boeing 737 MAX aircraft. American currently has 76 Boeing 737 MAX Family aircraft on order and American has not taken delivery of any Boeing 737 MAX Family aircraft since the grounding. The extent of the delay to the scheduled deliveries of the Boeing 737 MAX aircraft is expected to be impacted by the length of time the FAA order remains in place, Boeing's production rate and the pace at which Boeing can deliver aircraft following the lifting of the FAA order, among other factors. Due to uncertainty surrounding the timing of delivery of certain aircraft, the amounts in the table represent American’s current best estimate, including with respect to the delivery of Boeing 737 MAX aircraft; however, the actual delivery schedule may differ from the table above, potentially materially.</w:t>
      </w:r>
    </w:p>
    <w:p>
      <w:pPr>
        <w:spacing w:after="0" w:line="153" w:lineRule="exact"/>
        <w:rPr>
          <w:sz w:val="20"/>
          <w:szCs w:val="20"/>
          <w:color w:val="auto"/>
        </w:rPr>
      </w:pPr>
    </w:p>
    <w:p>
      <w:pPr>
        <w:jc w:val="both"/>
        <w:ind w:left="660"/>
        <w:spacing w:after="0" w:line="262" w:lineRule="auto"/>
        <w:rPr>
          <w:sz w:val="20"/>
          <w:szCs w:val="20"/>
          <w:color w:val="auto"/>
        </w:rPr>
      </w:pPr>
      <w:r>
        <w:rPr>
          <w:rFonts w:ascii="Arial" w:cs="Arial" w:eastAsia="Arial" w:hAnsi="Arial"/>
          <w:sz w:val="18"/>
          <w:szCs w:val="18"/>
          <w:color w:val="auto"/>
        </w:rPr>
        <w:t>The amounts in the table exclude 22 787-8 aircraft to be delivered in 2020 and 2021 for which Boeing has committed to provide sale-leaseback financing (in the form of operating leases). See Note 4 for information regarding this operating lease commitment.</w:t>
      </w:r>
    </w:p>
    <w:p>
      <w:pPr>
        <w:spacing w:after="0" w:line="142" w:lineRule="exact"/>
        <w:rPr>
          <w:sz w:val="20"/>
          <w:szCs w:val="20"/>
          <w:color w:val="auto"/>
        </w:rPr>
      </w:pPr>
    </w:p>
    <w:p>
      <w:pPr>
        <w:jc w:val="both"/>
        <w:ind w:firstLine="216"/>
        <w:spacing w:after="0" w:line="256" w:lineRule="auto"/>
        <w:rPr>
          <w:sz w:val="20"/>
          <w:szCs w:val="20"/>
          <w:color w:val="auto"/>
        </w:rPr>
      </w:pPr>
      <w:r>
        <w:rPr>
          <w:rFonts w:ascii="Arial" w:cs="Arial" w:eastAsia="Arial" w:hAnsi="Arial"/>
          <w:sz w:val="18"/>
          <w:szCs w:val="18"/>
          <w:color w:val="auto"/>
        </w:rPr>
        <w:t>Additionally, American has purchase commitments related to aircraft fuel, construction projects and information technology support as follows (approximately): $3.5 billion in 2020, $3.5 billion in 2021, $1.3 billion in 2022, $130 million in 2023, $81 million in 2024 and $77 million in 2025 and thereafter.</w:t>
      </w:r>
    </w:p>
    <w:p>
      <w:pPr>
        <w:spacing w:after="0" w:line="207" w:lineRule="exact"/>
        <w:rPr>
          <w:sz w:val="20"/>
          <w:szCs w:val="20"/>
          <w:color w:val="auto"/>
        </w:rPr>
      </w:pPr>
    </w:p>
    <w:p>
      <w:pPr>
        <w:ind w:left="220"/>
        <w:spacing w:after="0"/>
        <w:rPr>
          <w:sz w:val="20"/>
          <w:szCs w:val="20"/>
          <w:color w:val="auto"/>
        </w:rPr>
      </w:pPr>
      <w:r>
        <w:rPr>
          <w:rFonts w:ascii="Arial" w:cs="Arial" w:eastAsia="Arial" w:hAnsi="Arial"/>
          <w:sz w:val="18"/>
          <w:szCs w:val="18"/>
          <w:b w:val="1"/>
          <w:bCs w:val="1"/>
          <w:i w:val="1"/>
          <w:iCs w:val="1"/>
          <w:color w:val="auto"/>
        </w:rPr>
        <w:t>(b) Capacity Purchase Agreements with Third-Party Regional Carriers</w:t>
      </w:r>
    </w:p>
    <w:p>
      <w:pPr>
        <w:spacing w:after="0" w:line="112" w:lineRule="exact"/>
        <w:rPr>
          <w:sz w:val="20"/>
          <w:szCs w:val="20"/>
          <w:color w:val="auto"/>
        </w:rPr>
      </w:pPr>
    </w:p>
    <w:p>
      <w:pPr>
        <w:jc w:val="both"/>
        <w:ind w:firstLine="216"/>
        <w:spacing w:after="0" w:line="253" w:lineRule="auto"/>
        <w:rPr>
          <w:sz w:val="20"/>
          <w:szCs w:val="20"/>
          <w:color w:val="auto"/>
        </w:rPr>
      </w:pPr>
      <w:r>
        <w:rPr>
          <w:rFonts w:ascii="Arial" w:cs="Arial" w:eastAsia="Arial" w:hAnsi="Arial"/>
          <w:sz w:val="18"/>
          <w:szCs w:val="18"/>
          <w:color w:val="auto"/>
        </w:rPr>
        <w:t>American has capacity purchase agreements with third-party regional carriers. The capacity purchase agreements provide that all revenues, including passenger, in-flight, ancillary, mail and freight revenues, go to American. American controls marketing, scheduling, ticketing, pricing and seat inventories. In return, American agrees to pay predetermined fees to these airlines for operating an agreed-upon number of aircraft, without regard to the number of passengers on board. In addition, these agreements provide that American either reimburses or pays 100% of certain variable costs, such as airport landing fees, fuel and passenger liability insurance.</w:t>
      </w:r>
    </w:p>
    <w:p>
      <w:pPr>
        <w:spacing w:after="0" w:line="152" w:lineRule="exact"/>
        <w:rPr>
          <w:sz w:val="20"/>
          <w:szCs w:val="20"/>
          <w:color w:val="auto"/>
        </w:rPr>
      </w:pPr>
    </w:p>
    <w:p>
      <w:pPr>
        <w:jc w:val="both"/>
        <w:ind w:right="20" w:firstLine="216"/>
        <w:spacing w:after="0" w:line="262" w:lineRule="auto"/>
        <w:rPr>
          <w:sz w:val="20"/>
          <w:szCs w:val="20"/>
          <w:color w:val="auto"/>
        </w:rPr>
      </w:pPr>
      <w:r>
        <w:rPr>
          <w:rFonts w:ascii="Arial" w:cs="Arial" w:eastAsia="Arial" w:hAnsi="Arial"/>
          <w:sz w:val="18"/>
          <w:szCs w:val="18"/>
          <w:color w:val="auto"/>
        </w:rPr>
        <w:t>As of December 31, 2019, American’s capacity purchase agreements with third-party regional carriers had expiration dates ranging from 2020 to 2032, with rights of American to extend the respective terms of certain agreements.</w:t>
      </w:r>
    </w:p>
    <w:p>
      <w:pPr>
        <w:spacing w:after="0" w:line="142" w:lineRule="exact"/>
        <w:rPr>
          <w:sz w:val="20"/>
          <w:szCs w:val="20"/>
          <w:color w:val="auto"/>
        </w:rPr>
      </w:pPr>
    </w:p>
    <w:p>
      <w:pPr>
        <w:jc w:val="both"/>
        <w:ind w:firstLine="216"/>
        <w:spacing w:after="0" w:line="262" w:lineRule="auto"/>
        <w:rPr>
          <w:sz w:val="20"/>
          <w:szCs w:val="20"/>
          <w:color w:val="auto"/>
        </w:rPr>
      </w:pPr>
      <w:r>
        <w:rPr>
          <w:rFonts w:ascii="Arial" w:cs="Arial" w:eastAsia="Arial" w:hAnsi="Arial"/>
          <w:sz w:val="18"/>
          <w:szCs w:val="18"/>
          <w:color w:val="auto"/>
        </w:rPr>
        <w:t>As of December 31, 2019, American’s minimum obligations under its capacity purchase agreements with third-party regional carriers are as follows (approximately, in millions):</w:t>
      </w:r>
    </w:p>
    <w:p>
      <w:pPr>
        <w:spacing w:after="0" w:line="292"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422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0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rPr>
              <w:t>2025 and</w:t>
            </w:r>
          </w:p>
        </w:tc>
        <w:tc>
          <w:tcPr>
            <w:tcW w:w="920" w:type="dxa"/>
            <w:vAlign w:val="bottom"/>
          </w:tcPr>
          <w:p>
            <w:pPr>
              <w:spacing w:after="0"/>
              <w:rPr>
                <w:sz w:val="14"/>
                <w:szCs w:val="14"/>
                <w:color w:val="auto"/>
              </w:rPr>
            </w:pPr>
          </w:p>
        </w:tc>
      </w:tr>
      <w:tr>
        <w:trPr>
          <w:trHeight w:val="196"/>
        </w:trPr>
        <w:tc>
          <w:tcPr>
            <w:tcW w:w="4220" w:type="dxa"/>
            <w:vAlign w:val="bottom"/>
          </w:tcPr>
          <w:p>
            <w:pPr>
              <w:spacing w:after="0"/>
              <w:rPr>
                <w:sz w:val="17"/>
                <w:szCs w:val="17"/>
                <w:color w:val="auto"/>
              </w:rPr>
            </w:pPr>
          </w:p>
        </w:tc>
        <w:tc>
          <w:tcPr>
            <w:tcW w:w="920" w:type="dxa"/>
            <w:vAlign w:val="bottom"/>
          </w:tcPr>
          <w:p>
            <w:pPr>
              <w:jc w:val="right"/>
              <w:ind w:right="219"/>
              <w:spacing w:after="0"/>
              <w:rPr>
                <w:sz w:val="20"/>
                <w:szCs w:val="20"/>
                <w:color w:val="auto"/>
              </w:rPr>
            </w:pPr>
            <w:r>
              <w:rPr>
                <w:rFonts w:ascii="Arial" w:cs="Arial" w:eastAsia="Arial" w:hAnsi="Arial"/>
                <w:sz w:val="14"/>
                <w:szCs w:val="14"/>
                <w:b w:val="1"/>
                <w:bCs w:val="1"/>
                <w:color w:val="auto"/>
              </w:rPr>
              <w:t>2020</w:t>
            </w:r>
          </w:p>
        </w:tc>
        <w:tc>
          <w:tcPr>
            <w:tcW w:w="100" w:type="dxa"/>
            <w:vAlign w:val="bottom"/>
          </w:tcPr>
          <w:p>
            <w:pPr>
              <w:spacing w:after="0"/>
              <w:rPr>
                <w:sz w:val="17"/>
                <w:szCs w:val="17"/>
                <w:color w:val="auto"/>
              </w:rPr>
            </w:pPr>
          </w:p>
        </w:tc>
        <w:tc>
          <w:tcPr>
            <w:tcW w:w="920" w:type="dxa"/>
            <w:vAlign w:val="bottom"/>
          </w:tcPr>
          <w:p>
            <w:pPr>
              <w:jc w:val="right"/>
              <w:ind w:right="219"/>
              <w:spacing w:after="0"/>
              <w:rPr>
                <w:sz w:val="20"/>
                <w:szCs w:val="20"/>
                <w:color w:val="auto"/>
              </w:rPr>
            </w:pPr>
            <w:r>
              <w:rPr>
                <w:rFonts w:ascii="Arial" w:cs="Arial" w:eastAsia="Arial" w:hAnsi="Arial"/>
                <w:sz w:val="14"/>
                <w:szCs w:val="14"/>
                <w:b w:val="1"/>
                <w:bCs w:val="1"/>
                <w:color w:val="auto"/>
              </w:rPr>
              <w:t>2021</w:t>
            </w:r>
          </w:p>
        </w:tc>
        <w:tc>
          <w:tcPr>
            <w:tcW w:w="120" w:type="dxa"/>
            <w:vAlign w:val="bottom"/>
          </w:tcPr>
          <w:p>
            <w:pPr>
              <w:spacing w:after="0"/>
              <w:rPr>
                <w:sz w:val="17"/>
                <w:szCs w:val="17"/>
                <w:color w:val="auto"/>
              </w:rPr>
            </w:pPr>
          </w:p>
        </w:tc>
        <w:tc>
          <w:tcPr>
            <w:tcW w:w="920" w:type="dxa"/>
            <w:vAlign w:val="bottom"/>
          </w:tcPr>
          <w:p>
            <w:pPr>
              <w:jc w:val="right"/>
              <w:ind w:right="219"/>
              <w:spacing w:after="0"/>
              <w:rPr>
                <w:sz w:val="20"/>
                <w:szCs w:val="20"/>
                <w:color w:val="auto"/>
              </w:rPr>
            </w:pPr>
            <w:r>
              <w:rPr>
                <w:rFonts w:ascii="Arial" w:cs="Arial" w:eastAsia="Arial" w:hAnsi="Arial"/>
                <w:sz w:val="14"/>
                <w:szCs w:val="14"/>
                <w:b w:val="1"/>
                <w:bCs w:val="1"/>
                <w:color w:val="auto"/>
              </w:rPr>
              <w:t>2022</w:t>
            </w:r>
          </w:p>
        </w:tc>
        <w:tc>
          <w:tcPr>
            <w:tcW w:w="100" w:type="dxa"/>
            <w:vAlign w:val="bottom"/>
          </w:tcPr>
          <w:p>
            <w:pPr>
              <w:spacing w:after="0"/>
              <w:rPr>
                <w:sz w:val="17"/>
                <w:szCs w:val="17"/>
                <w:color w:val="auto"/>
              </w:rPr>
            </w:pPr>
          </w:p>
        </w:tc>
        <w:tc>
          <w:tcPr>
            <w:tcW w:w="920" w:type="dxa"/>
            <w:vAlign w:val="bottom"/>
          </w:tcPr>
          <w:p>
            <w:pPr>
              <w:jc w:val="right"/>
              <w:ind w:right="219"/>
              <w:spacing w:after="0"/>
              <w:rPr>
                <w:sz w:val="20"/>
                <w:szCs w:val="20"/>
                <w:color w:val="auto"/>
              </w:rPr>
            </w:pPr>
            <w:r>
              <w:rPr>
                <w:rFonts w:ascii="Arial" w:cs="Arial" w:eastAsia="Arial" w:hAnsi="Arial"/>
                <w:sz w:val="14"/>
                <w:szCs w:val="14"/>
                <w:b w:val="1"/>
                <w:bCs w:val="1"/>
                <w:color w:val="auto"/>
              </w:rPr>
              <w:t>2023</w:t>
            </w:r>
          </w:p>
        </w:tc>
        <w:tc>
          <w:tcPr>
            <w:tcW w:w="100" w:type="dxa"/>
            <w:vAlign w:val="bottom"/>
          </w:tcPr>
          <w:p>
            <w:pPr>
              <w:spacing w:after="0"/>
              <w:rPr>
                <w:sz w:val="17"/>
                <w:szCs w:val="17"/>
                <w:color w:val="auto"/>
              </w:rPr>
            </w:pPr>
          </w:p>
        </w:tc>
        <w:tc>
          <w:tcPr>
            <w:tcW w:w="920" w:type="dxa"/>
            <w:vAlign w:val="bottom"/>
          </w:tcPr>
          <w:p>
            <w:pPr>
              <w:jc w:val="right"/>
              <w:ind w:right="219"/>
              <w:spacing w:after="0"/>
              <w:rPr>
                <w:sz w:val="20"/>
                <w:szCs w:val="20"/>
                <w:color w:val="auto"/>
              </w:rPr>
            </w:pPr>
            <w:r>
              <w:rPr>
                <w:rFonts w:ascii="Arial" w:cs="Arial" w:eastAsia="Arial" w:hAnsi="Arial"/>
                <w:sz w:val="14"/>
                <w:szCs w:val="14"/>
                <w:b w:val="1"/>
                <w:bCs w:val="1"/>
                <w:color w:val="auto"/>
              </w:rPr>
              <w:t>2024</w:t>
            </w: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0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rPr>
              <w:t>Thereafter</w:t>
            </w:r>
          </w:p>
        </w:tc>
        <w:tc>
          <w:tcPr>
            <w:tcW w:w="920" w:type="dxa"/>
            <w:vAlign w:val="bottom"/>
          </w:tcPr>
          <w:p>
            <w:pPr>
              <w:jc w:val="right"/>
              <w:ind w:right="219"/>
              <w:spacing w:after="0"/>
              <w:rPr>
                <w:sz w:val="20"/>
                <w:szCs w:val="20"/>
                <w:color w:val="auto"/>
              </w:rPr>
            </w:pPr>
            <w:r>
              <w:rPr>
                <w:rFonts w:ascii="Arial" w:cs="Arial" w:eastAsia="Arial" w:hAnsi="Arial"/>
                <w:sz w:val="14"/>
                <w:szCs w:val="14"/>
                <w:b w:val="1"/>
                <w:bCs w:val="1"/>
                <w:color w:val="auto"/>
              </w:rPr>
              <w:t>Total</w:t>
            </w:r>
          </w:p>
        </w:tc>
      </w:tr>
      <w:tr>
        <w:trPr>
          <w:trHeight w:val="212"/>
        </w:trPr>
        <w:tc>
          <w:tcPr>
            <w:tcW w:w="4220" w:type="dxa"/>
            <w:vAlign w:val="bottom"/>
            <w:tcBorders>
              <w:top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Minimum obligations under capacity purchase</w:t>
            </w:r>
          </w:p>
        </w:tc>
        <w:tc>
          <w:tcPr>
            <w:tcW w:w="92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920" w:type="dxa"/>
            <w:vAlign w:val="bottom"/>
            <w:tcBorders>
              <w:top w:val="single" w:sz="8" w:color="auto"/>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92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92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920" w:type="dxa"/>
            <w:vAlign w:val="bottom"/>
            <w:tcBorders>
              <w:top w:val="single" w:sz="8" w:color="auto"/>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90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920" w:type="dxa"/>
            <w:vAlign w:val="bottom"/>
            <w:tcBorders>
              <w:top w:val="single" w:sz="8" w:color="auto"/>
            </w:tcBorders>
            <w:shd w:val="clear" w:color="auto" w:fill="CCEEFF"/>
          </w:tcPr>
          <w:p>
            <w:pPr>
              <w:spacing w:after="0"/>
              <w:rPr>
                <w:sz w:val="18"/>
                <w:szCs w:val="18"/>
                <w:color w:val="auto"/>
              </w:rPr>
            </w:pPr>
          </w:p>
        </w:tc>
      </w:tr>
      <w:tr>
        <w:trPr>
          <w:trHeight w:val="233"/>
        </w:trPr>
        <w:tc>
          <w:tcPr>
            <w:tcW w:w="4220" w:type="dxa"/>
            <w:vAlign w:val="bottom"/>
            <w:shd w:val="clear" w:color="auto" w:fill="CCEEFF"/>
          </w:tcPr>
          <w:p>
            <w:pPr>
              <w:ind w:left="200"/>
              <w:spacing w:after="0" w:line="233" w:lineRule="exact"/>
              <w:rPr>
                <w:sz w:val="20"/>
                <w:szCs w:val="20"/>
                <w:color w:val="auto"/>
              </w:rPr>
            </w:pPr>
            <w:r>
              <w:rPr>
                <w:rFonts w:ascii="Arial" w:cs="Arial" w:eastAsia="Arial" w:hAnsi="Arial"/>
                <w:sz w:val="18"/>
                <w:szCs w:val="18"/>
                <w:color w:val="auto"/>
              </w:rPr>
              <w:t xml:space="preserve">agreements with third-party regional carriers </w:t>
            </w:r>
            <w:r>
              <w:rPr>
                <w:rFonts w:ascii="Arial" w:cs="Arial" w:eastAsia="Arial" w:hAnsi="Arial"/>
                <w:sz w:val="21"/>
                <w:szCs w:val="21"/>
                <w:color w:val="auto"/>
                <w:vertAlign w:val="superscript"/>
              </w:rPr>
              <w:t>(1)</w:t>
            </w:r>
          </w:p>
        </w:tc>
        <w:tc>
          <w:tcPr>
            <w:tcW w:w="920" w:type="dxa"/>
            <w:vAlign w:val="bottom"/>
            <w:shd w:val="clear" w:color="auto" w:fill="CCEEFF"/>
          </w:tcPr>
          <w:p>
            <w:pPr>
              <w:jc w:val="right"/>
              <w:ind w:right="19"/>
              <w:spacing w:after="0"/>
              <w:rPr>
                <w:sz w:val="20"/>
                <w:szCs w:val="20"/>
                <w:color w:val="auto"/>
              </w:rPr>
            </w:pPr>
            <w:r>
              <w:rPr>
                <w:rFonts w:ascii="Arial" w:cs="Arial" w:eastAsia="Arial" w:hAnsi="Arial"/>
                <w:sz w:val="18"/>
                <w:szCs w:val="18"/>
                <w:color w:val="auto"/>
              </w:rPr>
              <w:t>$   1,115</w:t>
            </w:r>
          </w:p>
        </w:tc>
        <w:tc>
          <w:tcPr>
            <w:tcW w:w="100" w:type="dxa"/>
            <w:vAlign w:val="bottom"/>
            <w:shd w:val="clear" w:color="auto" w:fill="CCEEFF"/>
          </w:tcPr>
          <w:p>
            <w:pPr>
              <w:spacing w:after="0"/>
              <w:rPr>
                <w:sz w:val="20"/>
                <w:szCs w:val="20"/>
                <w:color w:val="auto"/>
              </w:rPr>
            </w:pPr>
          </w:p>
        </w:tc>
        <w:tc>
          <w:tcPr>
            <w:tcW w:w="920" w:type="dxa"/>
            <w:vAlign w:val="bottom"/>
            <w:shd w:val="clear" w:color="auto" w:fill="CCEEFF"/>
          </w:tcPr>
          <w:p>
            <w:pPr>
              <w:jc w:val="right"/>
              <w:ind w:right="19"/>
              <w:spacing w:after="0"/>
              <w:rPr>
                <w:sz w:val="20"/>
                <w:szCs w:val="20"/>
                <w:color w:val="auto"/>
              </w:rPr>
            </w:pPr>
            <w:r>
              <w:rPr>
                <w:rFonts w:ascii="Arial" w:cs="Arial" w:eastAsia="Arial" w:hAnsi="Arial"/>
                <w:sz w:val="18"/>
                <w:szCs w:val="18"/>
                <w:color w:val="auto"/>
              </w:rPr>
              <w:t>$   1,185</w:t>
            </w:r>
          </w:p>
        </w:tc>
        <w:tc>
          <w:tcPr>
            <w:tcW w:w="120" w:type="dxa"/>
            <w:vAlign w:val="bottom"/>
            <w:shd w:val="clear" w:color="auto" w:fill="CCEEFF"/>
          </w:tcPr>
          <w:p>
            <w:pPr>
              <w:spacing w:after="0"/>
              <w:rPr>
                <w:sz w:val="20"/>
                <w:szCs w:val="20"/>
                <w:color w:val="auto"/>
              </w:rPr>
            </w:pPr>
          </w:p>
        </w:tc>
        <w:tc>
          <w:tcPr>
            <w:tcW w:w="920" w:type="dxa"/>
            <w:vAlign w:val="bottom"/>
            <w:shd w:val="clear" w:color="auto" w:fill="CCEEFF"/>
          </w:tcPr>
          <w:p>
            <w:pPr>
              <w:jc w:val="right"/>
              <w:ind w:right="39"/>
              <w:spacing w:after="0"/>
              <w:rPr>
                <w:sz w:val="20"/>
                <w:szCs w:val="20"/>
                <w:color w:val="auto"/>
              </w:rPr>
            </w:pPr>
            <w:r>
              <w:rPr>
                <w:rFonts w:ascii="Arial" w:cs="Arial" w:eastAsia="Arial" w:hAnsi="Arial"/>
                <w:sz w:val="18"/>
                <w:szCs w:val="18"/>
                <w:color w:val="auto"/>
              </w:rPr>
              <w:t>$   1,126</w:t>
            </w:r>
          </w:p>
        </w:tc>
        <w:tc>
          <w:tcPr>
            <w:tcW w:w="100" w:type="dxa"/>
            <w:vAlign w:val="bottom"/>
            <w:shd w:val="clear" w:color="auto" w:fill="CCEEFF"/>
          </w:tcPr>
          <w:p>
            <w:pPr>
              <w:spacing w:after="0"/>
              <w:rPr>
                <w:sz w:val="20"/>
                <w:szCs w:val="20"/>
                <w:color w:val="auto"/>
              </w:rPr>
            </w:pPr>
          </w:p>
        </w:tc>
        <w:tc>
          <w:tcPr>
            <w:tcW w:w="920" w:type="dxa"/>
            <w:vAlign w:val="bottom"/>
            <w:shd w:val="clear" w:color="auto" w:fill="CCEEFF"/>
          </w:tcPr>
          <w:p>
            <w:pPr>
              <w:jc w:val="right"/>
              <w:ind w:right="19"/>
              <w:spacing w:after="0"/>
              <w:rPr>
                <w:sz w:val="20"/>
                <w:szCs w:val="20"/>
                <w:color w:val="auto"/>
              </w:rPr>
            </w:pPr>
            <w:r>
              <w:rPr>
                <w:rFonts w:ascii="Arial" w:cs="Arial" w:eastAsia="Arial" w:hAnsi="Arial"/>
                <w:sz w:val="18"/>
                <w:szCs w:val="18"/>
                <w:color w:val="auto"/>
              </w:rPr>
              <w:t>$   1,077</w:t>
            </w:r>
          </w:p>
        </w:tc>
        <w:tc>
          <w:tcPr>
            <w:tcW w:w="100" w:type="dxa"/>
            <w:vAlign w:val="bottom"/>
            <w:shd w:val="clear" w:color="auto" w:fill="CCEEFF"/>
          </w:tcPr>
          <w:p>
            <w:pPr>
              <w:spacing w:after="0"/>
              <w:rPr>
                <w:sz w:val="20"/>
                <w:szCs w:val="20"/>
                <w:color w:val="auto"/>
              </w:rPr>
            </w:pPr>
          </w:p>
        </w:tc>
        <w:tc>
          <w:tcPr>
            <w:tcW w:w="920" w:type="dxa"/>
            <w:vAlign w:val="bottom"/>
            <w:shd w:val="clear" w:color="auto" w:fill="CCEEFF"/>
          </w:tcPr>
          <w:p>
            <w:pPr>
              <w:jc w:val="right"/>
              <w:ind w:right="19"/>
              <w:spacing w:after="0"/>
              <w:rPr>
                <w:sz w:val="20"/>
                <w:szCs w:val="20"/>
                <w:color w:val="auto"/>
              </w:rPr>
            </w:pPr>
            <w:r>
              <w:rPr>
                <w:rFonts w:ascii="Arial" w:cs="Arial" w:eastAsia="Arial" w:hAnsi="Arial"/>
                <w:sz w:val="18"/>
                <w:szCs w:val="18"/>
                <w:color w:val="auto"/>
              </w:rPr>
              <w:t>$   1,077</w:t>
            </w:r>
          </w:p>
        </w:tc>
        <w:tc>
          <w:tcPr>
            <w:tcW w:w="120" w:type="dxa"/>
            <w:vAlign w:val="bottom"/>
            <w:shd w:val="clear" w:color="auto" w:fill="CCEEFF"/>
          </w:tcPr>
          <w:p>
            <w:pPr>
              <w:spacing w:after="0"/>
              <w:rPr>
                <w:sz w:val="20"/>
                <w:szCs w:val="20"/>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900" w:type="dxa"/>
            <w:vAlign w:val="bottom"/>
            <w:shd w:val="clear" w:color="auto" w:fill="CCEEFF"/>
          </w:tcPr>
          <w:p>
            <w:pPr>
              <w:jc w:val="right"/>
              <w:ind w:right="42"/>
              <w:spacing w:after="0"/>
              <w:rPr>
                <w:sz w:val="20"/>
                <w:szCs w:val="20"/>
                <w:color w:val="auto"/>
              </w:rPr>
            </w:pPr>
            <w:r>
              <w:rPr>
                <w:rFonts w:ascii="Arial" w:cs="Arial" w:eastAsia="Arial" w:hAnsi="Arial"/>
                <w:sz w:val="18"/>
                <w:szCs w:val="18"/>
                <w:color w:val="auto"/>
              </w:rPr>
              <w:t>3,402</w:t>
            </w:r>
          </w:p>
        </w:tc>
        <w:tc>
          <w:tcPr>
            <w:tcW w:w="100" w:type="dxa"/>
            <w:vAlign w:val="bottom"/>
            <w:shd w:val="clear" w:color="auto" w:fill="CCEEFF"/>
          </w:tcPr>
          <w:p>
            <w:pPr>
              <w:spacing w:after="0"/>
              <w:rPr>
                <w:sz w:val="20"/>
                <w:szCs w:val="20"/>
                <w:color w:val="auto"/>
              </w:rPr>
            </w:pPr>
          </w:p>
        </w:tc>
        <w:tc>
          <w:tcPr>
            <w:tcW w:w="920" w:type="dxa"/>
            <w:vAlign w:val="bottom"/>
            <w:shd w:val="clear" w:color="auto" w:fill="CCEEFF"/>
          </w:tcPr>
          <w:p>
            <w:pPr>
              <w:jc w:val="right"/>
              <w:ind w:right="19"/>
              <w:spacing w:after="0"/>
              <w:rPr>
                <w:sz w:val="20"/>
                <w:szCs w:val="20"/>
                <w:color w:val="auto"/>
              </w:rPr>
            </w:pPr>
            <w:r>
              <w:rPr>
                <w:rFonts w:ascii="Arial" w:cs="Arial" w:eastAsia="Arial" w:hAnsi="Arial"/>
                <w:sz w:val="18"/>
                <w:szCs w:val="18"/>
                <w:color w:val="auto"/>
              </w:rPr>
              <w:t>$   8,982</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197485</wp:posOffset>
            </wp:positionV>
            <wp:extent cx="1337945" cy="8890"/>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1337945" cy="8890"/>
                    </a:xfrm>
                    <a:prstGeom prst="rect">
                      <a:avLst/>
                    </a:prstGeom>
                    <a:noFill/>
                  </pic:spPr>
                </pic:pic>
              </a:graphicData>
            </a:graphic>
          </wp:anchor>
        </w:drawing>
      </w:r>
    </w:p>
    <w:p>
      <w:pPr>
        <w:spacing w:after="0" w:line="384" w:lineRule="exact"/>
        <w:rPr>
          <w:sz w:val="20"/>
          <w:szCs w:val="20"/>
          <w:color w:val="auto"/>
        </w:rPr>
      </w:pPr>
    </w:p>
    <w:p>
      <w:pPr>
        <w:jc w:val="both"/>
        <w:ind w:left="660" w:hanging="652"/>
        <w:spacing w:after="0" w:line="237" w:lineRule="auto"/>
        <w:tabs>
          <w:tab w:leader="none" w:pos="660" w:val="left"/>
        </w:tabs>
        <w:numPr>
          <w:ilvl w:val="0"/>
          <w:numId w:val="69"/>
        </w:numPr>
        <w:rPr>
          <w:rFonts w:ascii="Arial" w:cs="Arial" w:eastAsia="Arial" w:hAnsi="Arial"/>
          <w:sz w:val="22"/>
          <w:szCs w:val="22"/>
          <w:color w:val="auto"/>
          <w:vertAlign w:val="superscript"/>
        </w:rPr>
      </w:pPr>
      <w:r>
        <w:rPr>
          <w:rFonts w:ascii="Arial" w:cs="Arial" w:eastAsia="Arial" w:hAnsi="Arial"/>
          <w:sz w:val="18"/>
          <w:szCs w:val="18"/>
          <w:color w:val="auto"/>
        </w:rPr>
        <w:t>Represents minimum payments under capacity purchase agreements with third-party regional carriers, which are estimates of costs based on assumed minimum levels of flying under the capacity purchase agreements and American’s actual payments could differ materially. Excludes payments for the lease of certain aircraft under capacity purchase agreements, which are reflected in the operating lease obligations in Note 4.</w:t>
      </w:r>
    </w:p>
    <w:p>
      <w:pPr>
        <w:spacing w:after="0" w:line="222" w:lineRule="exact"/>
        <w:rPr>
          <w:sz w:val="20"/>
          <w:szCs w:val="20"/>
          <w:color w:val="auto"/>
        </w:rPr>
      </w:pPr>
    </w:p>
    <w:p>
      <w:pPr>
        <w:ind w:left="220"/>
        <w:spacing w:after="0"/>
        <w:rPr>
          <w:sz w:val="20"/>
          <w:szCs w:val="20"/>
          <w:color w:val="auto"/>
        </w:rPr>
      </w:pPr>
      <w:r>
        <w:rPr>
          <w:rFonts w:ascii="Arial" w:cs="Arial" w:eastAsia="Arial" w:hAnsi="Arial"/>
          <w:sz w:val="18"/>
          <w:szCs w:val="18"/>
          <w:b w:val="1"/>
          <w:bCs w:val="1"/>
          <w:i w:val="1"/>
          <w:iCs w:val="1"/>
          <w:color w:val="auto"/>
        </w:rPr>
        <w:t>(c) Airport Redevelopment</w:t>
      </w:r>
    </w:p>
    <w:p>
      <w:pPr>
        <w:spacing w:after="0" w:line="94" w:lineRule="exact"/>
        <w:rPr>
          <w:sz w:val="20"/>
          <w:szCs w:val="20"/>
          <w:color w:val="auto"/>
        </w:rPr>
      </w:pPr>
    </w:p>
    <w:p>
      <w:pPr>
        <w:ind w:left="220"/>
        <w:spacing w:after="0"/>
        <w:rPr>
          <w:sz w:val="20"/>
          <w:szCs w:val="20"/>
          <w:color w:val="auto"/>
        </w:rPr>
      </w:pPr>
      <w:r>
        <w:rPr>
          <w:rFonts w:ascii="Arial" w:cs="Arial" w:eastAsia="Arial" w:hAnsi="Arial"/>
          <w:sz w:val="18"/>
          <w:szCs w:val="18"/>
          <w:i w:val="1"/>
          <w:iCs w:val="1"/>
          <w:u w:val="single" w:color="auto"/>
          <w:color w:val="auto"/>
        </w:rPr>
        <w:t>Los Angeles International Airport (LAX)</w:t>
      </w:r>
    </w:p>
    <w:p>
      <w:pPr>
        <w:spacing w:after="0" w:line="108" w:lineRule="exact"/>
        <w:rPr>
          <w:sz w:val="20"/>
          <w:szCs w:val="20"/>
          <w:color w:val="auto"/>
        </w:rPr>
      </w:pPr>
    </w:p>
    <w:p>
      <w:pPr>
        <w:jc w:val="both"/>
        <w:ind w:firstLine="243"/>
        <w:spacing w:after="0" w:line="252" w:lineRule="auto"/>
        <w:rPr>
          <w:sz w:val="20"/>
          <w:szCs w:val="20"/>
          <w:color w:val="auto"/>
        </w:rPr>
      </w:pPr>
      <w:r>
        <w:rPr>
          <w:rFonts w:ascii="Arial" w:cs="Arial" w:eastAsia="Arial" w:hAnsi="Arial"/>
          <w:sz w:val="18"/>
          <w:szCs w:val="18"/>
          <w:color w:val="auto"/>
        </w:rPr>
        <w:t>In 2018, American executed a lease agreement with Los Angeles World Airports (LAWA), which owns and operates LAX, in connection with a $1.6 billion modernization project related to LAX Terminals 4 and 5. Construction will occur in a phased approach, which started in October 2018 and is expected to be completed in 2028. The modernization project will include a unified departure hall to combine the entranceway of Terminals 4 and 5, reconfigured ticket counter and check-in areas with seamless access to security screening areas, 16 security screening lanes with automated technology and upgraded amenities at gate areas. The project will also include renovated break rooms, multi-use meeting rooms and team gathering spaces throughout the terminals to support American’s team members at LAX.</w:t>
      </w:r>
    </w:p>
    <w:p>
      <w:pPr>
        <w:spacing w:after="0" w:line="155" w:lineRule="exact"/>
        <w:rPr>
          <w:sz w:val="20"/>
          <w:szCs w:val="20"/>
          <w:color w:val="auto"/>
        </w:rPr>
      </w:pPr>
    </w:p>
    <w:p>
      <w:pPr>
        <w:jc w:val="both"/>
        <w:ind w:firstLine="243"/>
        <w:spacing w:after="0" w:line="253" w:lineRule="auto"/>
        <w:rPr>
          <w:sz w:val="20"/>
          <w:szCs w:val="20"/>
          <w:color w:val="auto"/>
        </w:rPr>
      </w:pPr>
      <w:r>
        <w:rPr>
          <w:rFonts w:ascii="Arial" w:cs="Arial" w:eastAsia="Arial" w:hAnsi="Arial"/>
          <w:sz w:val="18"/>
          <w:szCs w:val="18"/>
          <w:color w:val="auto"/>
        </w:rPr>
        <w:t>American is managing this project and has legal title to the assets during their construction. As each phase is completed, the assets will be sold and transferred to LAWA, including the site improvements and non-proprietary improvements. As American controls the assets during construction, they are recognized on its balance sheet until legal title has transferred. For 2019, American incurred approximately $98 million in costs relating to the LAX modernization project, which are included within operating property and equipment on its consolidated balance sheet as of December 31, 2019.</w:t>
      </w:r>
    </w:p>
    <w:p>
      <w:pPr>
        <w:spacing w:after="0" w:line="20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151</w:t>
      </w:r>
    </w:p>
    <w:p>
      <w:pPr>
        <w:sectPr>
          <w:pgSz w:w="11900" w:h="16838" w:orient="portrait"/>
          <w:cols w:equalWidth="0" w:num="1">
            <w:col w:w="11420"/>
          </w:cols>
          <w:pgMar w:left="240" w:top="549" w:right="239" w:bottom="1440" w:gutter="0" w:footer="0" w:header="0"/>
        </w:sectPr>
      </w:pPr>
    </w:p>
    <w:bookmarkStart w:id="151" w:name="page152"/>
    <w:bookmarkEnd w:id="151"/>
    <w:p>
      <w:pPr>
        <w:jc w:val="center"/>
        <w:spacing w:after="0"/>
        <w:rPr>
          <w:sz w:val="20"/>
          <w:szCs w:val="20"/>
          <w:color w:val="auto"/>
        </w:rPr>
      </w:pPr>
      <w:r>
        <w:rPr>
          <w:rFonts w:ascii="Arial" w:cs="Arial" w:eastAsia="Arial" w:hAnsi="Arial"/>
          <w:sz w:val="18"/>
          <w:szCs w:val="18"/>
          <w:b w:val="1"/>
          <w:bCs w:val="1"/>
          <w:color w:val="auto"/>
        </w:rPr>
        <w:t>NOTES TO CONSOLIDATED FINANCIAL STATEMENTS OF AMERICAN AIRLINES, INC.</w:t>
      </w:r>
    </w:p>
    <w:p>
      <w:pPr>
        <w:spacing w:after="0" w:line="200" w:lineRule="exact"/>
        <w:rPr>
          <w:sz w:val="20"/>
          <w:szCs w:val="20"/>
          <w:color w:val="auto"/>
        </w:rPr>
      </w:pPr>
    </w:p>
    <w:p>
      <w:pPr>
        <w:spacing w:after="0" w:line="268" w:lineRule="exact"/>
        <w:rPr>
          <w:sz w:val="20"/>
          <w:szCs w:val="20"/>
          <w:color w:val="auto"/>
        </w:rPr>
      </w:pPr>
    </w:p>
    <w:p>
      <w:pPr>
        <w:ind w:left="220" w:right="8100" w:firstLine="4"/>
        <w:spacing w:after="0" w:line="357" w:lineRule="auto"/>
        <w:tabs>
          <w:tab w:leader="none" w:pos="500" w:val="left"/>
        </w:tabs>
        <w:numPr>
          <w:ilvl w:val="0"/>
          <w:numId w:val="70"/>
        </w:numPr>
        <w:rPr>
          <w:rFonts w:ascii="Arial" w:cs="Arial" w:eastAsia="Arial" w:hAnsi="Arial"/>
          <w:sz w:val="18"/>
          <w:szCs w:val="18"/>
          <w:b w:val="1"/>
          <w:bCs w:val="1"/>
          <w:i w:val="1"/>
          <w:iCs w:val="1"/>
          <w:color w:val="auto"/>
        </w:rPr>
      </w:pPr>
      <w:r>
        <w:rPr>
          <w:rFonts w:ascii="Arial" w:cs="Arial" w:eastAsia="Arial" w:hAnsi="Arial"/>
          <w:sz w:val="18"/>
          <w:szCs w:val="18"/>
          <w:b w:val="1"/>
          <w:bCs w:val="1"/>
          <w:i w:val="1"/>
          <w:iCs w:val="1"/>
          <w:color w:val="auto"/>
        </w:rPr>
        <w:t xml:space="preserve">Off-Balance Sheet Arrangements </w:t>
      </w:r>
      <w:r>
        <w:rPr>
          <w:rFonts w:ascii="Arial" w:cs="Arial" w:eastAsia="Arial" w:hAnsi="Arial"/>
          <w:sz w:val="18"/>
          <w:szCs w:val="18"/>
          <w:i w:val="1"/>
          <w:iCs w:val="1"/>
          <w:u w:val="single" w:color="auto"/>
          <w:color w:val="auto"/>
        </w:rPr>
        <w:t>Aircraft and Engines</w:t>
      </w:r>
    </w:p>
    <w:p>
      <w:pPr>
        <w:jc w:val="both"/>
        <w:ind w:firstLine="216"/>
        <w:spacing w:after="0" w:line="251" w:lineRule="auto"/>
        <w:rPr>
          <w:sz w:val="20"/>
          <w:szCs w:val="20"/>
          <w:color w:val="auto"/>
        </w:rPr>
      </w:pPr>
      <w:r>
        <w:rPr>
          <w:rFonts w:ascii="Arial" w:cs="Arial" w:eastAsia="Arial" w:hAnsi="Arial"/>
          <w:sz w:val="18"/>
          <w:szCs w:val="18"/>
          <w:color w:val="auto"/>
        </w:rPr>
        <w:t>American currently operates 382 owned aircraft and 69 leased aircraft, and owns 79 spare aircraft engines, which in each case were financed with EETCs issued by pass-through trusts. These trusts are off-balance sheet entities, the primary purpose of which is to finance the acquisition of flight equipment or to permit issuance of debt backed by existing flight equipment. In the case of aircraft EETCs, rather than finance each aircraft separately when such aircraft is purchased, delivered or refinanced, these trusts allow American to raise the financing for a number of aircraft at one time and, if applicable, place such funds in escrow pending a future purchase, delivery or refinancing of the relevant aircraft. Similarly, in the case of the spare engine EETCs, the trust allows American to use its existing pool of spare engines to raise financing under a single facility. The trusts have also been structured to provide for certain credit enhancements, such as liquidity facilities to cover certain interest payments, that reduce the risks to the purchasers of the trust certificates and, as a result, reduce the cost of aircraft financing to American.</w:t>
      </w:r>
    </w:p>
    <w:p>
      <w:pPr>
        <w:spacing w:after="0" w:line="159" w:lineRule="exact"/>
        <w:rPr>
          <w:sz w:val="20"/>
          <w:szCs w:val="20"/>
          <w:color w:val="auto"/>
        </w:rPr>
      </w:pPr>
    </w:p>
    <w:p>
      <w:pPr>
        <w:jc w:val="both"/>
        <w:ind w:firstLine="216"/>
        <w:spacing w:after="0" w:line="251" w:lineRule="auto"/>
        <w:rPr>
          <w:sz w:val="20"/>
          <w:szCs w:val="20"/>
          <w:color w:val="auto"/>
        </w:rPr>
      </w:pPr>
      <w:r>
        <w:rPr>
          <w:rFonts w:ascii="Arial" w:cs="Arial" w:eastAsia="Arial" w:hAnsi="Arial"/>
          <w:sz w:val="18"/>
          <w:szCs w:val="18"/>
          <w:color w:val="auto"/>
        </w:rPr>
        <w:t>Each trust covers a set number of aircraft or spare engines scheduled to be delivered, financed or refinanced upon the issuance of the EETC or within a specific period of time thereafter. At the time of each covered aircraft or spare engine financing, the relevant trust used the proceeds of the issuance of the EETC (which may have been available at the time of issuance thereof or held in escrow until financing of the applicable aircraft following its delivery) to purchase equipment notes relating to the financed aircraft or engines. The equipment notes are issued, at American’s election, in connection with a mortgage financing of the aircraft or spare engines or, in certain cases, by a separate owner trust in connection with a leveraged lease financing of the aircraft. In the case of a leveraged lease financing, the owner trust then leases the aircraft to American. In both cases, the equipment notes are secured by a security interest in the aircraft or engines, as applicable. The pass-through trust certificates are not direct obligations of, nor are they guaranteed by, AAG or American. However, in the case of mortgage financings, the equipment notes issued to the trusts are direct obligations of American and, in certain instances, have been guaranteed by AAG. As of December 31, 2019, $11.9 billion associated with these mortgage financings is reflected as debt in the accompanying consolidated balance sheet.</w:t>
      </w:r>
    </w:p>
    <w:p>
      <w:pPr>
        <w:spacing w:after="0" w:line="158" w:lineRule="exact"/>
        <w:rPr>
          <w:sz w:val="20"/>
          <w:szCs w:val="20"/>
          <w:color w:val="auto"/>
        </w:rPr>
      </w:pPr>
    </w:p>
    <w:p>
      <w:pPr>
        <w:jc w:val="both"/>
        <w:ind w:firstLine="216"/>
        <w:spacing w:after="0" w:line="253" w:lineRule="auto"/>
        <w:rPr>
          <w:sz w:val="20"/>
          <w:szCs w:val="20"/>
          <w:color w:val="auto"/>
        </w:rPr>
      </w:pPr>
      <w:r>
        <w:rPr>
          <w:rFonts w:ascii="Arial" w:cs="Arial" w:eastAsia="Arial" w:hAnsi="Arial"/>
          <w:sz w:val="18"/>
          <w:szCs w:val="18"/>
          <w:color w:val="auto"/>
        </w:rPr>
        <w:t>With respect to leveraged leases, American evaluated whether the leases had characteristics of a variable interest entity. American concluded the leasing entities met the criteria for variable interest entities; however, American concluded it is not the primary beneficiary under these leasing arrangements and accounts for the majority of its EETC leveraged lease financings as operating leases. American’s total future payments to the trusts of each of the relevant EETCs under these leveraged lease financings are $177 million as of December 31, 2019, which are reflected in the operating lease obligations in Note 4.</w:t>
      </w:r>
    </w:p>
    <w:p>
      <w:pPr>
        <w:spacing w:after="0" w:line="215" w:lineRule="exact"/>
        <w:rPr>
          <w:sz w:val="20"/>
          <w:szCs w:val="20"/>
          <w:color w:val="auto"/>
        </w:rPr>
      </w:pPr>
    </w:p>
    <w:p>
      <w:pPr>
        <w:ind w:left="220"/>
        <w:spacing w:after="0"/>
        <w:rPr>
          <w:sz w:val="20"/>
          <w:szCs w:val="20"/>
          <w:color w:val="auto"/>
        </w:rPr>
      </w:pPr>
      <w:r>
        <w:rPr>
          <w:rFonts w:ascii="Arial" w:cs="Arial" w:eastAsia="Arial" w:hAnsi="Arial"/>
          <w:sz w:val="18"/>
          <w:szCs w:val="18"/>
          <w:i w:val="1"/>
          <w:iCs w:val="1"/>
          <w:u w:val="single" w:color="auto"/>
          <w:color w:val="auto"/>
        </w:rPr>
        <w:t>Letters of Credit and Other</w:t>
      </w:r>
    </w:p>
    <w:p>
      <w:pPr>
        <w:spacing w:after="0" w:line="108" w:lineRule="exact"/>
        <w:rPr>
          <w:sz w:val="20"/>
          <w:szCs w:val="20"/>
          <w:color w:val="auto"/>
        </w:rPr>
      </w:pPr>
    </w:p>
    <w:p>
      <w:pPr>
        <w:jc w:val="both"/>
        <w:ind w:firstLine="243"/>
        <w:spacing w:after="0" w:line="254" w:lineRule="auto"/>
        <w:rPr>
          <w:sz w:val="20"/>
          <w:szCs w:val="20"/>
          <w:color w:val="auto"/>
        </w:rPr>
      </w:pPr>
      <w:r>
        <w:rPr>
          <w:rFonts w:ascii="Arial" w:cs="Arial" w:eastAsia="Arial" w:hAnsi="Arial"/>
          <w:sz w:val="18"/>
          <w:szCs w:val="18"/>
          <w:color w:val="auto"/>
        </w:rPr>
        <w:t>American provides financial assurance, such as letters of credit, surety bonds or restricted cash and investments, primarily to support projected workers’ compensation obligations and airport commitments. As of December 31, 2019, American had $572 million of letters of credit and surety bonds securing various obligations. The letters of credit and surety bonds that are subject to expiration will expire on various dates through 2022.</w:t>
      </w:r>
    </w:p>
    <w:p>
      <w:pPr>
        <w:spacing w:after="0" w:line="209" w:lineRule="exact"/>
        <w:rPr>
          <w:sz w:val="20"/>
          <w:szCs w:val="20"/>
          <w:color w:val="auto"/>
        </w:rPr>
      </w:pPr>
    </w:p>
    <w:p>
      <w:pPr>
        <w:ind w:left="220"/>
        <w:spacing w:after="0"/>
        <w:rPr>
          <w:sz w:val="20"/>
          <w:szCs w:val="20"/>
          <w:color w:val="auto"/>
        </w:rPr>
      </w:pPr>
      <w:r>
        <w:rPr>
          <w:rFonts w:ascii="Arial" w:cs="Arial" w:eastAsia="Arial" w:hAnsi="Arial"/>
          <w:sz w:val="18"/>
          <w:szCs w:val="18"/>
          <w:b w:val="1"/>
          <w:bCs w:val="1"/>
          <w:i w:val="1"/>
          <w:iCs w:val="1"/>
          <w:color w:val="auto"/>
        </w:rPr>
        <w:t>(e) Legal Proceedings</w:t>
      </w:r>
    </w:p>
    <w:p>
      <w:pPr>
        <w:spacing w:after="0" w:line="94" w:lineRule="exact"/>
        <w:rPr>
          <w:sz w:val="20"/>
          <w:szCs w:val="20"/>
          <w:color w:val="auto"/>
        </w:rPr>
      </w:pPr>
    </w:p>
    <w:p>
      <w:pPr>
        <w:jc w:val="both"/>
        <w:ind w:firstLine="216"/>
        <w:spacing w:after="0" w:line="258" w:lineRule="auto"/>
        <w:rPr>
          <w:sz w:val="20"/>
          <w:szCs w:val="20"/>
          <w:color w:val="auto"/>
        </w:rPr>
      </w:pPr>
      <w:r>
        <w:rPr>
          <w:rFonts w:ascii="Arial" w:cs="Arial" w:eastAsia="Arial" w:hAnsi="Arial"/>
          <w:sz w:val="18"/>
          <w:szCs w:val="18"/>
          <w:i w:val="1"/>
          <w:iCs w:val="1"/>
          <w:color w:val="auto"/>
        </w:rPr>
        <w:t>Chapter 11 Cases</w:t>
      </w:r>
      <w:r>
        <w:rPr>
          <w:rFonts w:ascii="Arial" w:cs="Arial" w:eastAsia="Arial" w:hAnsi="Arial"/>
          <w:sz w:val="18"/>
          <w:szCs w:val="18"/>
          <w:color w:val="auto"/>
        </w:rPr>
        <w:t>. On November 29, 2011, AMR, American, and certain of AMR’s other direct and indirect domestic subsidiaries (the</w:t>
      </w:r>
      <w:r>
        <w:rPr>
          <w:rFonts w:ascii="Arial" w:cs="Arial" w:eastAsia="Arial" w:hAnsi="Arial"/>
          <w:sz w:val="18"/>
          <w:szCs w:val="18"/>
          <w:i w:val="1"/>
          <w:iCs w:val="1"/>
          <w:color w:val="auto"/>
        </w:rPr>
        <w:t xml:space="preserve"> </w:t>
      </w:r>
      <w:r>
        <w:rPr>
          <w:rFonts w:ascii="Arial" w:cs="Arial" w:eastAsia="Arial" w:hAnsi="Arial"/>
          <w:sz w:val="18"/>
          <w:szCs w:val="18"/>
          <w:color w:val="auto"/>
        </w:rPr>
        <w:t>Debtors) filed voluntary petitions for relief under Chapter 11 of the United States Bankruptcy Code in the United States Bankruptcy Court for the Southern District of New York (the Bankruptcy Court). On October 21, 2013, the Bankruptcy Court entered an order approving and confirming the Debtors’ fourth amended joint plan of reorganization (as amended, the Plan). On the Effective Date, December 9, 2013, the Debtors consummated their reorganization pursuant to the Plan and completed the Merger.</w:t>
      </w:r>
    </w:p>
    <w:p>
      <w:pPr>
        <w:spacing w:after="0" w:line="148" w:lineRule="exact"/>
        <w:rPr>
          <w:sz w:val="20"/>
          <w:szCs w:val="20"/>
          <w:color w:val="auto"/>
        </w:rPr>
      </w:pPr>
    </w:p>
    <w:p>
      <w:pPr>
        <w:jc w:val="both"/>
        <w:ind w:firstLine="216"/>
        <w:spacing w:after="0" w:line="251" w:lineRule="auto"/>
        <w:rPr>
          <w:sz w:val="20"/>
          <w:szCs w:val="20"/>
          <w:color w:val="auto"/>
        </w:rPr>
      </w:pPr>
      <w:r>
        <w:rPr>
          <w:rFonts w:ascii="Arial" w:cs="Arial" w:eastAsia="Arial" w:hAnsi="Arial"/>
          <w:sz w:val="18"/>
          <w:szCs w:val="18"/>
          <w:color w:val="auto"/>
        </w:rPr>
        <w:t>Pursuant to rulings of the Bankruptcy Court, the Plan established the Disputed Claims Reserve to hold shares of AAG common stock reserved for issuance to disputed claimholders at the Effective Date that ultimately become holders of allowed claims. The shares of AAG common stock issued to the Disputed Claims Reserve were originally issued on December 13, 2013 and have at all times since been included in the number of shares issued and outstanding as reported by AAG from time to time in its quarterly and annual reports, including for purposes of calculating earnings per common share. As disputed claims are resolved, the claimants receive distributions of shares from the Disputed Claims Reserve. However, American is not required to distribute additional shares above the limits contemplated by the Plan, even if the shares remaining for distribution in the Disputed Claims Reserve are not sufficient to fully pay any additional allowed unsecured claims. To the extent that any of the reserved shares remain undistributed upon resolution of all remaining disputed claims, such shares will not be returned to AAG but rather will be distributed to former AMR stockholders and former convertible noteholders</w:t>
      </w:r>
    </w:p>
    <w:p>
      <w:pPr>
        <w:spacing w:after="0" w:line="21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152</w:t>
      </w:r>
    </w:p>
    <w:p>
      <w:pPr>
        <w:sectPr>
          <w:pgSz w:w="11900" w:h="16838" w:orient="portrait"/>
          <w:cols w:equalWidth="0" w:num="1">
            <w:col w:w="11420"/>
          </w:cols>
          <w:pgMar w:left="240" w:top="549" w:right="239" w:bottom="1440" w:gutter="0" w:footer="0" w:header="0"/>
        </w:sectPr>
      </w:pPr>
    </w:p>
    <w:bookmarkStart w:id="152" w:name="page153"/>
    <w:bookmarkEnd w:id="152"/>
    <w:p>
      <w:pPr>
        <w:jc w:val="center"/>
        <w:spacing w:after="0"/>
        <w:rPr>
          <w:sz w:val="20"/>
          <w:szCs w:val="20"/>
          <w:color w:val="auto"/>
        </w:rPr>
      </w:pPr>
      <w:r>
        <w:rPr>
          <w:rFonts w:ascii="Arial" w:cs="Arial" w:eastAsia="Arial" w:hAnsi="Arial"/>
          <w:sz w:val="18"/>
          <w:szCs w:val="18"/>
          <w:b w:val="1"/>
          <w:bCs w:val="1"/>
          <w:color w:val="auto"/>
        </w:rPr>
        <w:t>NOTES TO CONSOLIDATED FINANCIAL STATEMENTS OF AMERICAN AIRLINES, INC.</w:t>
      </w:r>
    </w:p>
    <w:p>
      <w:pPr>
        <w:spacing w:after="0" w:line="200" w:lineRule="exact"/>
        <w:rPr>
          <w:sz w:val="20"/>
          <w:szCs w:val="20"/>
          <w:color w:val="auto"/>
        </w:rPr>
      </w:pPr>
    </w:p>
    <w:p>
      <w:pPr>
        <w:spacing w:after="0" w:line="209" w:lineRule="exact"/>
        <w:rPr>
          <w:sz w:val="20"/>
          <w:szCs w:val="20"/>
          <w:color w:val="auto"/>
        </w:rPr>
      </w:pPr>
    </w:p>
    <w:p>
      <w:pPr>
        <w:jc w:val="both"/>
        <w:ind w:right="20"/>
        <w:spacing w:after="0" w:line="262" w:lineRule="auto"/>
        <w:rPr>
          <w:sz w:val="20"/>
          <w:szCs w:val="20"/>
          <w:color w:val="auto"/>
        </w:rPr>
      </w:pPr>
      <w:r>
        <w:rPr>
          <w:rFonts w:ascii="Arial" w:cs="Arial" w:eastAsia="Arial" w:hAnsi="Arial"/>
          <w:sz w:val="18"/>
          <w:szCs w:val="18"/>
          <w:color w:val="auto"/>
        </w:rPr>
        <w:t>treated as stockholders under the Plan. As of December 31, 2019, the Disputed Claims Reserve held approximately 7 million shares of AAG common stock.</w:t>
      </w:r>
    </w:p>
    <w:p>
      <w:pPr>
        <w:spacing w:after="0" w:line="124" w:lineRule="exact"/>
        <w:rPr>
          <w:sz w:val="20"/>
          <w:szCs w:val="20"/>
          <w:color w:val="auto"/>
        </w:rPr>
      </w:pPr>
    </w:p>
    <w:p>
      <w:pPr>
        <w:jc w:val="both"/>
        <w:ind w:firstLine="216"/>
        <w:spacing w:after="0" w:line="255" w:lineRule="auto"/>
        <w:rPr>
          <w:sz w:val="20"/>
          <w:szCs w:val="20"/>
          <w:color w:val="auto"/>
        </w:rPr>
      </w:pPr>
      <w:r>
        <w:rPr>
          <w:rFonts w:ascii="Arial" w:cs="Arial" w:eastAsia="Arial" w:hAnsi="Arial"/>
          <w:sz w:val="18"/>
          <w:szCs w:val="18"/>
          <w:i w:val="1"/>
          <w:iCs w:val="1"/>
          <w:color w:val="auto"/>
        </w:rPr>
        <w:t xml:space="preserve">Private Party Antitrust Action Related to Passenger Capacity. </w:t>
      </w:r>
      <w:r>
        <w:rPr>
          <w:rFonts w:ascii="Arial" w:cs="Arial" w:eastAsia="Arial" w:hAnsi="Arial"/>
          <w:sz w:val="18"/>
          <w:szCs w:val="18"/>
          <w:color w:val="auto"/>
        </w:rPr>
        <w:t>American, along with Delta Air Lines, Inc., Southwest Airlines Co., United</w:t>
      </w:r>
      <w:r>
        <w:rPr>
          <w:rFonts w:ascii="Arial" w:cs="Arial" w:eastAsia="Arial" w:hAnsi="Arial"/>
          <w:sz w:val="18"/>
          <w:szCs w:val="18"/>
          <w:i w:val="1"/>
          <w:iCs w:val="1"/>
          <w:color w:val="auto"/>
        </w:rPr>
        <w:t xml:space="preserve"> </w:t>
      </w:r>
      <w:r>
        <w:rPr>
          <w:rFonts w:ascii="Arial" w:cs="Arial" w:eastAsia="Arial" w:hAnsi="Arial"/>
          <w:sz w:val="18"/>
          <w:szCs w:val="18"/>
          <w:color w:val="auto"/>
        </w:rPr>
        <w:t>Airlines, Inc. and, in the case of litigation filed in Canada, Air Canada, were named as defendants in approximately 100 putative class action lawsuits alleging unlawful agreements with respect to air passenger capacity. The U.S. lawsuits were consolidated in the Federal District Court for the District of Columbia (the DC Court). On June 15, 2018, American reached a settlement agreement with the plaintiffs in the amount of $45 million to resolve all class claims in the U.S. lawsuits. That settlement was approved by the DC Court on May 13, 2019. Three parties who objected to the settlement have appealed that decision to the United States Court of Appeals for the District of Columbia. American believes these appeals are without merit and intends to vigorously defend against them.</w:t>
      </w:r>
    </w:p>
    <w:p>
      <w:pPr>
        <w:spacing w:after="0" w:line="135" w:lineRule="exact"/>
        <w:rPr>
          <w:sz w:val="20"/>
          <w:szCs w:val="20"/>
          <w:color w:val="auto"/>
        </w:rPr>
      </w:pPr>
    </w:p>
    <w:p>
      <w:pPr>
        <w:jc w:val="both"/>
        <w:ind w:firstLine="216"/>
        <w:spacing w:after="0" w:line="255" w:lineRule="auto"/>
        <w:rPr>
          <w:sz w:val="20"/>
          <w:szCs w:val="20"/>
          <w:color w:val="auto"/>
        </w:rPr>
      </w:pPr>
      <w:r>
        <w:rPr>
          <w:rFonts w:ascii="Arial" w:cs="Arial" w:eastAsia="Arial" w:hAnsi="Arial"/>
          <w:sz w:val="18"/>
          <w:szCs w:val="18"/>
          <w:i w:val="1"/>
          <w:iCs w:val="1"/>
          <w:color w:val="auto"/>
        </w:rPr>
        <w:t>Private Party Antitrust Action Related to the Merger</w:t>
      </w:r>
      <w:r>
        <w:rPr>
          <w:rFonts w:ascii="Arial" w:cs="Arial" w:eastAsia="Arial" w:hAnsi="Arial"/>
          <w:sz w:val="18"/>
          <w:szCs w:val="18"/>
          <w:color w:val="auto"/>
        </w:rPr>
        <w:t>. On August 6, 2013, a lawsuit captioned Carolyn Fjord, et al., v. AMR Corporation, et al.,</w:t>
      </w:r>
      <w:r>
        <w:rPr>
          <w:rFonts w:ascii="Arial" w:cs="Arial" w:eastAsia="Arial" w:hAnsi="Arial"/>
          <w:sz w:val="18"/>
          <w:szCs w:val="18"/>
          <w:i w:val="1"/>
          <w:iCs w:val="1"/>
          <w:color w:val="auto"/>
        </w:rPr>
        <w:t xml:space="preserve"> </w:t>
      </w:r>
      <w:r>
        <w:rPr>
          <w:rFonts w:ascii="Arial" w:cs="Arial" w:eastAsia="Arial" w:hAnsi="Arial"/>
          <w:sz w:val="18"/>
          <w:szCs w:val="18"/>
          <w:color w:val="auto"/>
        </w:rPr>
        <w:t>was filed in the Bankruptcy Court. The complaint named as defendants US Airways Group, US Airways, AMR and American, alleged that the effect of the Merger may be to create a monopoly in violation of Section 7 of the Clayton Antitrust Act, and sought injunctive relief and/or divestiture. On November 27, 2013, the Bankruptcy Court denied plaintiffs’ motion to preliminarily enjoin the Merger. On August 29, 2018, the Bankruptcy Court denied in part defendants' motion for summary judgment, and fully denied plaintiffs' cross-motion for summary judgment. The parties' evidentiary cases were presented before the Bankruptcy Court in a bench trial in March 2019. The parties submitted proposed findings of fact and conclusions of law and made closing arguments in April 2019, and they are awaiting the Bankruptcy Court's decision. American believes this lawsuit is without merit and intends to vigorously defend against the allegations.</w:t>
      </w:r>
    </w:p>
    <w:p>
      <w:pPr>
        <w:spacing w:after="0" w:line="131" w:lineRule="exact"/>
        <w:rPr>
          <w:sz w:val="20"/>
          <w:szCs w:val="20"/>
          <w:color w:val="auto"/>
        </w:rPr>
      </w:pPr>
    </w:p>
    <w:p>
      <w:pPr>
        <w:jc w:val="both"/>
        <w:ind w:firstLine="162"/>
        <w:spacing w:after="0" w:line="254" w:lineRule="auto"/>
        <w:rPr>
          <w:sz w:val="20"/>
          <w:szCs w:val="20"/>
          <w:color w:val="auto"/>
        </w:rPr>
      </w:pPr>
      <w:r>
        <w:rPr>
          <w:rFonts w:ascii="Arial" w:cs="Arial" w:eastAsia="Arial" w:hAnsi="Arial"/>
          <w:sz w:val="18"/>
          <w:szCs w:val="18"/>
          <w:i w:val="1"/>
          <w:iCs w:val="1"/>
          <w:color w:val="auto"/>
        </w:rPr>
        <w:t xml:space="preserve">Pension Benefits Action. </w:t>
      </w:r>
      <w:r>
        <w:rPr>
          <w:rFonts w:ascii="Arial" w:cs="Arial" w:eastAsia="Arial" w:hAnsi="Arial"/>
          <w:sz w:val="18"/>
          <w:szCs w:val="18"/>
          <w:color w:val="auto"/>
        </w:rPr>
        <w:t>On December 11, 2018, a lawsuit captioned Torres, et al. v. American Airlines, Inc., The Employee Benefits</w:t>
      </w:r>
      <w:r>
        <w:rPr>
          <w:rFonts w:ascii="Arial" w:cs="Arial" w:eastAsia="Arial" w:hAnsi="Arial"/>
          <w:sz w:val="18"/>
          <w:szCs w:val="18"/>
          <w:i w:val="1"/>
          <w:iCs w:val="1"/>
          <w:color w:val="auto"/>
        </w:rPr>
        <w:t xml:space="preserve"> </w:t>
      </w:r>
      <w:r>
        <w:rPr>
          <w:rFonts w:ascii="Arial" w:cs="Arial" w:eastAsia="Arial" w:hAnsi="Arial"/>
          <w:sz w:val="18"/>
          <w:szCs w:val="18"/>
          <w:color w:val="auto"/>
        </w:rPr>
        <w:t>Committee and John/Jane Does 1-5, was filed in the United States District Court for the Northern District of Texas. The plaintiffs in this lawsuit purport to represent a class consisting of all participants in and beneficiaries under any of the four American defined benefit pension plans who elected to receive an optional form of benefit other than a lump sum distribution of a participant’s vested benefit. Under ERISA, participants covered by defined benefit plans accrue retirement benefits in the form of a single life annuity payable upon retirement on a monthly basis until the employee’s death, and may elect certain alternative forms of benefit payments. Plaintiffs contend that the mortality tables used by American for purposes of calculations related to these alternative forms of benefits are outdated and that more recent mortality tables would have provided more generous benefits and should have been used to make those calculations. The court has denied American’s motion to dismiss the complaint. American believes this lawsuit is without merit and intend to vigorously defend against the allegations.</w:t>
      </w:r>
    </w:p>
    <w:p>
      <w:pPr>
        <w:spacing w:after="0" w:line="135" w:lineRule="exact"/>
        <w:rPr>
          <w:sz w:val="20"/>
          <w:szCs w:val="20"/>
          <w:color w:val="auto"/>
        </w:rPr>
      </w:pPr>
    </w:p>
    <w:p>
      <w:pPr>
        <w:jc w:val="both"/>
        <w:ind w:firstLine="216"/>
        <w:spacing w:after="0" w:line="258" w:lineRule="auto"/>
        <w:rPr>
          <w:sz w:val="20"/>
          <w:szCs w:val="20"/>
          <w:color w:val="auto"/>
        </w:rPr>
      </w:pPr>
      <w:r>
        <w:rPr>
          <w:rFonts w:ascii="Arial" w:cs="Arial" w:eastAsia="Arial" w:hAnsi="Arial"/>
          <w:sz w:val="18"/>
          <w:szCs w:val="18"/>
          <w:i w:val="1"/>
          <w:iCs w:val="1"/>
          <w:color w:val="auto"/>
        </w:rPr>
        <w:t>General</w:t>
      </w:r>
      <w:r>
        <w:rPr>
          <w:rFonts w:ascii="Arial" w:cs="Arial" w:eastAsia="Arial" w:hAnsi="Arial"/>
          <w:sz w:val="18"/>
          <w:szCs w:val="18"/>
          <w:color w:val="auto"/>
        </w:rPr>
        <w:t>. In addition to the specifically identified legal proceedings, American and its subsidiaries are also engaged in other legal</w:t>
      </w:r>
      <w:r>
        <w:rPr>
          <w:rFonts w:ascii="Arial" w:cs="Arial" w:eastAsia="Arial" w:hAnsi="Arial"/>
          <w:sz w:val="18"/>
          <w:szCs w:val="18"/>
          <w:i w:val="1"/>
          <w:iCs w:val="1"/>
          <w:color w:val="auto"/>
        </w:rPr>
        <w:t xml:space="preserve"> </w:t>
      </w:r>
      <w:r>
        <w:rPr>
          <w:rFonts w:ascii="Arial" w:cs="Arial" w:eastAsia="Arial" w:hAnsi="Arial"/>
          <w:sz w:val="18"/>
          <w:szCs w:val="18"/>
          <w:color w:val="auto"/>
        </w:rPr>
        <w:t>proceedings from time to time. Legal proceedings can be complex and take many months, or even years, to reach resolution, with the final outcome depending on a number of variables, some of which are not within American’s control. Therefore, although American will vigorously defend itself in each of the actions described above and such other legal proceedings, their ultimate resolution and potential financial and other impacts on American are uncertain but could be material.</w:t>
      </w:r>
    </w:p>
    <w:p>
      <w:pPr>
        <w:spacing w:after="0" w:line="207" w:lineRule="exact"/>
        <w:rPr>
          <w:sz w:val="20"/>
          <w:szCs w:val="20"/>
          <w:color w:val="auto"/>
        </w:rPr>
      </w:pPr>
    </w:p>
    <w:p>
      <w:pPr>
        <w:ind w:left="220"/>
        <w:spacing w:after="0"/>
        <w:rPr>
          <w:sz w:val="20"/>
          <w:szCs w:val="20"/>
          <w:color w:val="auto"/>
        </w:rPr>
      </w:pPr>
      <w:r>
        <w:rPr>
          <w:rFonts w:ascii="Arial" w:cs="Arial" w:eastAsia="Arial" w:hAnsi="Arial"/>
          <w:sz w:val="18"/>
          <w:szCs w:val="18"/>
          <w:b w:val="1"/>
          <w:bCs w:val="1"/>
          <w:i w:val="1"/>
          <w:iCs w:val="1"/>
          <w:color w:val="auto"/>
        </w:rPr>
        <w:t>(f) Guarantees and Indemnifications</w:t>
      </w:r>
    </w:p>
    <w:p>
      <w:pPr>
        <w:spacing w:after="0" w:line="112" w:lineRule="exact"/>
        <w:rPr>
          <w:sz w:val="20"/>
          <w:szCs w:val="20"/>
          <w:color w:val="auto"/>
        </w:rPr>
      </w:pPr>
    </w:p>
    <w:p>
      <w:pPr>
        <w:jc w:val="both"/>
        <w:ind w:firstLine="216"/>
        <w:spacing w:after="0" w:line="256" w:lineRule="auto"/>
        <w:rPr>
          <w:sz w:val="20"/>
          <w:szCs w:val="20"/>
          <w:color w:val="auto"/>
        </w:rPr>
      </w:pPr>
      <w:r>
        <w:rPr>
          <w:rFonts w:ascii="Arial" w:cs="Arial" w:eastAsia="Arial" w:hAnsi="Arial"/>
          <w:sz w:val="18"/>
          <w:szCs w:val="18"/>
          <w:color w:val="auto"/>
        </w:rPr>
        <w:t>American is a party to many routine contracts in which it provides general indemnities in the normal course of business to third parties for various risks. American is not able to estimate the potential amount of any liability resulting from the indemnities. These indemnities are discussed in the following paragraphs.</w:t>
      </w:r>
    </w:p>
    <w:p>
      <w:pPr>
        <w:spacing w:after="0" w:line="148" w:lineRule="exact"/>
        <w:rPr>
          <w:sz w:val="20"/>
          <w:szCs w:val="20"/>
          <w:color w:val="auto"/>
        </w:rPr>
      </w:pPr>
    </w:p>
    <w:p>
      <w:pPr>
        <w:jc w:val="both"/>
        <w:ind w:firstLine="216"/>
        <w:spacing w:after="0" w:line="256" w:lineRule="auto"/>
        <w:rPr>
          <w:sz w:val="20"/>
          <w:szCs w:val="20"/>
          <w:color w:val="auto"/>
        </w:rPr>
      </w:pPr>
      <w:r>
        <w:rPr>
          <w:rFonts w:ascii="Arial" w:cs="Arial" w:eastAsia="Arial" w:hAnsi="Arial"/>
          <w:sz w:val="18"/>
          <w:szCs w:val="18"/>
          <w:color w:val="auto"/>
        </w:rPr>
        <w:t>In its aircraft financing agreements, American generally indemnifies the financing parties, trustees acting on their behalf and other relevant parties against liabilities (including certain taxes) resulting from the financing, manufacture, design, ownership, operation and maintenance of the aircraft regardless of whether these liabilities (including certain taxes) relate to the negligence of the indemnified parties.</w:t>
      </w:r>
    </w:p>
    <w:p>
      <w:pPr>
        <w:spacing w:after="0" w:line="148" w:lineRule="exact"/>
        <w:rPr>
          <w:sz w:val="20"/>
          <w:szCs w:val="20"/>
          <w:color w:val="auto"/>
        </w:rPr>
      </w:pPr>
    </w:p>
    <w:p>
      <w:pPr>
        <w:jc w:val="both"/>
        <w:ind w:firstLine="216"/>
        <w:spacing w:after="0" w:line="252" w:lineRule="auto"/>
        <w:rPr>
          <w:sz w:val="20"/>
          <w:szCs w:val="20"/>
          <w:color w:val="auto"/>
        </w:rPr>
      </w:pPr>
      <w:r>
        <w:rPr>
          <w:rFonts w:ascii="Arial" w:cs="Arial" w:eastAsia="Arial" w:hAnsi="Arial"/>
          <w:sz w:val="18"/>
          <w:szCs w:val="18"/>
          <w:color w:val="auto"/>
        </w:rPr>
        <w:t>American’s loan agreements and other LIBOR-based financing transactions (including certain leveraged aircraft leases) generally obligate American to reimburse the applicable lender for incremental costs due to a change in law that imposes (i) any reserve or special deposit requirement against assets of, deposits with or credit extended by such lender related to the loan, (ii) any tax, duty or other charge with respect to the loan (except standard income tax) or (iii) capital adequacy requirements. In addition, American’s loan agreements and other financing arrangements typically contain a withholding tax provision that requires American to pay additional amounts to the applicable lender or other financing party, generally if withholding taxes are imposed on such lender or other financing party as a result of a change in the applicable tax law.</w:t>
      </w:r>
    </w:p>
    <w:p>
      <w:pPr>
        <w:spacing w:after="0" w:line="20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153</w:t>
      </w:r>
    </w:p>
    <w:p>
      <w:pPr>
        <w:sectPr>
          <w:pgSz w:w="11900" w:h="16838" w:orient="portrait"/>
          <w:cols w:equalWidth="0" w:num="1">
            <w:col w:w="11420"/>
          </w:cols>
          <w:pgMar w:left="240" w:top="549" w:right="239" w:bottom="1440" w:gutter="0" w:footer="0" w:header="0"/>
        </w:sectPr>
      </w:pPr>
    </w:p>
    <w:bookmarkStart w:id="153" w:name="page154"/>
    <w:bookmarkEnd w:id="153"/>
    <w:p>
      <w:pPr>
        <w:jc w:val="center"/>
        <w:spacing w:after="0"/>
        <w:rPr>
          <w:sz w:val="20"/>
          <w:szCs w:val="20"/>
          <w:color w:val="auto"/>
        </w:rPr>
      </w:pPr>
      <w:r>
        <w:rPr>
          <w:rFonts w:ascii="Arial" w:cs="Arial" w:eastAsia="Arial" w:hAnsi="Arial"/>
          <w:sz w:val="18"/>
          <w:szCs w:val="18"/>
          <w:b w:val="1"/>
          <w:bCs w:val="1"/>
          <w:color w:val="auto"/>
        </w:rPr>
        <w:t>NOTES TO CONSOLIDATED FINANCIAL STATEMENTS OF AMERICAN AIRLINES, INC.</w:t>
      </w:r>
    </w:p>
    <w:p>
      <w:pPr>
        <w:spacing w:after="0" w:line="200" w:lineRule="exact"/>
        <w:rPr>
          <w:sz w:val="20"/>
          <w:szCs w:val="20"/>
          <w:color w:val="auto"/>
        </w:rPr>
      </w:pPr>
    </w:p>
    <w:p>
      <w:pPr>
        <w:spacing w:after="0" w:line="209" w:lineRule="exact"/>
        <w:rPr>
          <w:sz w:val="20"/>
          <w:szCs w:val="20"/>
          <w:color w:val="auto"/>
        </w:rPr>
      </w:pPr>
    </w:p>
    <w:p>
      <w:pPr>
        <w:jc w:val="both"/>
        <w:ind w:firstLine="216"/>
        <w:spacing w:after="0" w:line="256" w:lineRule="auto"/>
        <w:rPr>
          <w:sz w:val="20"/>
          <w:szCs w:val="20"/>
          <w:color w:val="auto"/>
        </w:rPr>
      </w:pPr>
      <w:r>
        <w:rPr>
          <w:rFonts w:ascii="Arial" w:cs="Arial" w:eastAsia="Arial" w:hAnsi="Arial"/>
          <w:sz w:val="18"/>
          <w:szCs w:val="18"/>
          <w:color w:val="auto"/>
        </w:rPr>
        <w:t>In certain transactions, including certain aircraft financing leases and loans, the lessors, lenders and/or other parties have rights to terminate the transaction based on changes in foreign tax law, illegality or certain other events or circumstances. In such a case, American may be required to make a lump sum payment to terminate the relevant transaction.</w:t>
      </w:r>
    </w:p>
    <w:p>
      <w:pPr>
        <w:spacing w:after="0" w:line="148" w:lineRule="exact"/>
        <w:rPr>
          <w:sz w:val="20"/>
          <w:szCs w:val="20"/>
          <w:color w:val="auto"/>
        </w:rPr>
      </w:pPr>
    </w:p>
    <w:p>
      <w:pPr>
        <w:jc w:val="both"/>
        <w:ind w:firstLine="216"/>
        <w:spacing w:after="0" w:line="253" w:lineRule="auto"/>
        <w:rPr>
          <w:sz w:val="20"/>
          <w:szCs w:val="20"/>
          <w:color w:val="auto"/>
        </w:rPr>
      </w:pPr>
      <w:r>
        <w:rPr>
          <w:rFonts w:ascii="Arial" w:cs="Arial" w:eastAsia="Arial" w:hAnsi="Arial"/>
          <w:sz w:val="18"/>
          <w:szCs w:val="18"/>
          <w:color w:val="auto"/>
        </w:rPr>
        <w:t>American has general indemnity clauses in many of its airport and other real estate leases where American as lessee indemnifies the lessor (and related parties) against liabilities related to American’s use of the leased property. Generally, these indemnifications cover liabilities resulting from the negligence of the indemnified parties, but not liabilities resulting from the gross negligence or willful misconduct of the indemnified parties. In addition, American provides environmental indemnities in many of these leases for contamination related to American’s use of the leased property.</w:t>
      </w:r>
    </w:p>
    <w:p>
      <w:pPr>
        <w:spacing w:after="0" w:line="152" w:lineRule="exact"/>
        <w:rPr>
          <w:sz w:val="20"/>
          <w:szCs w:val="20"/>
          <w:color w:val="auto"/>
        </w:rPr>
      </w:pPr>
    </w:p>
    <w:p>
      <w:pPr>
        <w:jc w:val="both"/>
        <w:ind w:firstLine="216"/>
        <w:spacing w:after="0" w:line="256" w:lineRule="auto"/>
        <w:rPr>
          <w:sz w:val="20"/>
          <w:szCs w:val="20"/>
          <w:color w:val="auto"/>
        </w:rPr>
      </w:pPr>
      <w:r>
        <w:rPr>
          <w:rFonts w:ascii="Arial" w:cs="Arial" w:eastAsia="Arial" w:hAnsi="Arial"/>
          <w:sz w:val="18"/>
          <w:szCs w:val="18"/>
          <w:color w:val="auto"/>
        </w:rPr>
        <w:t>Under certain contracts with third parties, American indemnifies the third-party against legal liability arising out of an action by the third-party, or certain other parties. The terms of these contracts vary and the potential exposure under these indemnities cannot be determined. American has liability insurance protecting American for some of the obligations it has undertaken under these indemnities.</w:t>
      </w:r>
    </w:p>
    <w:p>
      <w:pPr>
        <w:spacing w:after="0" w:line="148" w:lineRule="exact"/>
        <w:rPr>
          <w:sz w:val="20"/>
          <w:szCs w:val="20"/>
          <w:color w:val="auto"/>
        </w:rPr>
      </w:pPr>
    </w:p>
    <w:p>
      <w:pPr>
        <w:jc w:val="both"/>
        <w:ind w:firstLine="162"/>
        <w:spacing w:after="0" w:line="253" w:lineRule="auto"/>
        <w:rPr>
          <w:sz w:val="20"/>
          <w:szCs w:val="20"/>
          <w:color w:val="auto"/>
        </w:rPr>
      </w:pPr>
      <w:r>
        <w:rPr>
          <w:rFonts w:ascii="Arial" w:cs="Arial" w:eastAsia="Arial" w:hAnsi="Arial"/>
          <w:sz w:val="18"/>
          <w:szCs w:val="18"/>
          <w:color w:val="auto"/>
        </w:rPr>
        <w:t>American is required to make principal and interest payments for certain special facility revenue bonds issued by municipalities primarily to build or improve airport facilities and purchase equipment, which are leased to American. The payment of principal and interest of certain special facility revenue bonds is guaranteed by American. As of December 31, 2019, the remaining lease payments through 2035 guaranteeing the principal and interest on these bonds are $589 million and the current carrying amount of the associated operating lease liability in the accompanying consolidated balance sheet is $321 million.</w:t>
      </w:r>
    </w:p>
    <w:p>
      <w:pPr>
        <w:spacing w:after="0" w:line="152" w:lineRule="exact"/>
        <w:rPr>
          <w:sz w:val="20"/>
          <w:szCs w:val="20"/>
          <w:color w:val="auto"/>
        </w:rPr>
      </w:pPr>
    </w:p>
    <w:p>
      <w:pPr>
        <w:jc w:val="both"/>
        <w:ind w:firstLine="216"/>
        <w:spacing w:after="0" w:line="262" w:lineRule="auto"/>
        <w:rPr>
          <w:sz w:val="20"/>
          <w:szCs w:val="20"/>
          <w:color w:val="auto"/>
        </w:rPr>
      </w:pPr>
      <w:r>
        <w:rPr>
          <w:rFonts w:ascii="Arial" w:cs="Arial" w:eastAsia="Arial" w:hAnsi="Arial"/>
          <w:sz w:val="18"/>
          <w:szCs w:val="18"/>
          <w:color w:val="auto"/>
        </w:rPr>
        <w:t>As of December 31, 2019, American had issued guarantees covering AAG’s $500 million aggregate principal amount of 4.625% senior notes due March 2020 and $750 million aggregate principal amount of 5.000% senior notes due June 2022.</w:t>
      </w:r>
    </w:p>
    <w:p>
      <w:pPr>
        <w:spacing w:after="0" w:line="201" w:lineRule="exact"/>
        <w:rPr>
          <w:sz w:val="20"/>
          <w:szCs w:val="20"/>
          <w:color w:val="auto"/>
        </w:rPr>
      </w:pPr>
    </w:p>
    <w:p>
      <w:pPr>
        <w:ind w:left="220"/>
        <w:spacing w:after="0"/>
        <w:rPr>
          <w:sz w:val="20"/>
          <w:szCs w:val="20"/>
          <w:color w:val="auto"/>
        </w:rPr>
      </w:pPr>
      <w:r>
        <w:rPr>
          <w:rFonts w:ascii="Arial" w:cs="Arial" w:eastAsia="Arial" w:hAnsi="Arial"/>
          <w:sz w:val="18"/>
          <w:szCs w:val="18"/>
          <w:b w:val="1"/>
          <w:bCs w:val="1"/>
          <w:i w:val="1"/>
          <w:iCs w:val="1"/>
          <w:color w:val="auto"/>
        </w:rPr>
        <w:t>(g) Credit Card Processing Agreements</w:t>
      </w:r>
    </w:p>
    <w:p>
      <w:pPr>
        <w:spacing w:after="0" w:line="112" w:lineRule="exact"/>
        <w:rPr>
          <w:sz w:val="20"/>
          <w:szCs w:val="20"/>
          <w:color w:val="auto"/>
        </w:rPr>
      </w:pPr>
    </w:p>
    <w:p>
      <w:pPr>
        <w:jc w:val="both"/>
        <w:ind w:firstLine="216"/>
        <w:spacing w:after="0" w:line="252" w:lineRule="auto"/>
        <w:rPr>
          <w:sz w:val="20"/>
          <w:szCs w:val="20"/>
          <w:color w:val="auto"/>
        </w:rPr>
      </w:pPr>
      <w:r>
        <w:rPr>
          <w:rFonts w:ascii="Arial" w:cs="Arial" w:eastAsia="Arial" w:hAnsi="Arial"/>
          <w:sz w:val="18"/>
          <w:szCs w:val="18"/>
          <w:color w:val="auto"/>
        </w:rPr>
        <w:t>American has agreements with companies that process customer credit card transactions for the sale of air travel and other services. American’s agreements allow these credit card processing companies, under certain conditions, to hold an amount of its cash (referred to as a holdback) equal to a portion of advance ticket sales that have been processed by that company, but for which American has not yet provided the air transportation. Additional holdback requirements in the event of material adverse changes in American’s financial condition will reduce its liquidity in the form of unrestricted cash by the amount of the holdbacks. These credit card processing companies are not currently entitled to maintain any holdbacks pursuant to these requirements.</w:t>
      </w:r>
    </w:p>
    <w:p>
      <w:pPr>
        <w:spacing w:after="0" w:line="214" w:lineRule="exact"/>
        <w:rPr>
          <w:sz w:val="20"/>
          <w:szCs w:val="20"/>
          <w:color w:val="auto"/>
        </w:rPr>
      </w:pPr>
    </w:p>
    <w:p>
      <w:pPr>
        <w:ind w:left="220"/>
        <w:spacing w:after="0"/>
        <w:rPr>
          <w:sz w:val="20"/>
          <w:szCs w:val="20"/>
          <w:color w:val="auto"/>
        </w:rPr>
      </w:pPr>
      <w:r>
        <w:rPr>
          <w:rFonts w:ascii="Arial" w:cs="Arial" w:eastAsia="Arial" w:hAnsi="Arial"/>
          <w:sz w:val="18"/>
          <w:szCs w:val="18"/>
          <w:b w:val="1"/>
          <w:bCs w:val="1"/>
          <w:i w:val="1"/>
          <w:iCs w:val="1"/>
          <w:color w:val="auto"/>
        </w:rPr>
        <w:t>(h) Labor Negotiations</w:t>
      </w:r>
    </w:p>
    <w:p>
      <w:pPr>
        <w:spacing w:after="0" w:line="112" w:lineRule="exact"/>
        <w:rPr>
          <w:sz w:val="20"/>
          <w:szCs w:val="20"/>
          <w:color w:val="auto"/>
        </w:rPr>
      </w:pPr>
    </w:p>
    <w:p>
      <w:pPr>
        <w:jc w:val="both"/>
        <w:ind w:firstLine="216"/>
        <w:spacing w:after="0" w:line="252" w:lineRule="auto"/>
        <w:rPr>
          <w:sz w:val="20"/>
          <w:szCs w:val="20"/>
          <w:color w:val="auto"/>
        </w:rPr>
      </w:pPr>
      <w:r>
        <w:rPr>
          <w:rFonts w:ascii="Arial" w:cs="Arial" w:eastAsia="Arial" w:hAnsi="Arial"/>
          <w:sz w:val="18"/>
          <w:szCs w:val="18"/>
          <w:color w:val="auto"/>
        </w:rPr>
        <w:t>As of December 31, 2019, American employed approximately 104,200 active full-time equivalent employees. Approximately 84% of employees are covered by collective bargaining agreements (CBAs) with various labor unions and approximately 25% of employees are covered by CBAs that will become amendable within one year. Agreements in principle were reached on January 30, 2020 for joint collective bargaining agreements (JCBAs) covering American’s maintenance, fleet service, stock clerks, maintenance control technicians and maintenance training instructors. Those agreements are subject to membership ratification vote. Additionally, the post-Merger JCBAs covering American’s pilots and flight attendants became amendable in January 2020 and December 2019, respectively. Negotiations continue for new agreements.</w:t>
      </w:r>
    </w:p>
    <w:p>
      <w:pPr>
        <w:spacing w:after="0" w:line="21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11. Supplemental Cash Flow Information</w:t>
      </w:r>
    </w:p>
    <w:p>
      <w:pPr>
        <w:spacing w:after="0" w:line="112" w:lineRule="exact"/>
        <w:rPr>
          <w:sz w:val="20"/>
          <w:szCs w:val="20"/>
          <w:color w:val="auto"/>
        </w:rPr>
      </w:pPr>
    </w:p>
    <w:p>
      <w:pPr>
        <w:ind w:left="220"/>
        <w:spacing w:after="0"/>
        <w:rPr>
          <w:sz w:val="20"/>
          <w:szCs w:val="20"/>
          <w:color w:val="auto"/>
        </w:rPr>
      </w:pPr>
      <w:r>
        <w:rPr>
          <w:rFonts w:ascii="Arial" w:cs="Arial" w:eastAsia="Arial" w:hAnsi="Arial"/>
          <w:sz w:val="18"/>
          <w:szCs w:val="18"/>
          <w:color w:val="auto"/>
        </w:rPr>
        <w:t>Supplemental disclosure of cash flow information and non-cash investing and financing activities are as follows (in millions):</w:t>
      </w:r>
    </w:p>
    <w:p>
      <w:pPr>
        <w:spacing w:after="0" w:line="321" w:lineRule="exact"/>
        <w:rPr>
          <w:sz w:val="20"/>
          <w:szCs w:val="20"/>
          <w:color w:val="auto"/>
        </w:rPr>
      </w:pPr>
    </w:p>
    <w:p>
      <w:pPr>
        <w:ind w:left="8040"/>
        <w:spacing w:after="0"/>
        <w:rPr>
          <w:sz w:val="20"/>
          <w:szCs w:val="20"/>
          <w:color w:val="auto"/>
        </w:rPr>
      </w:pPr>
      <w:r>
        <w:rPr>
          <w:rFonts w:ascii="Arial" w:cs="Arial" w:eastAsia="Arial" w:hAnsi="Arial"/>
          <w:sz w:val="14"/>
          <w:szCs w:val="14"/>
          <w:b w:val="1"/>
          <w:bCs w:val="1"/>
          <w:color w:val="auto"/>
        </w:rPr>
        <w:t>Year Ended December 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4053205</wp:posOffset>
            </wp:positionH>
            <wp:positionV relativeFrom="paragraph">
              <wp:posOffset>26035</wp:posOffset>
            </wp:positionV>
            <wp:extent cx="3198495" cy="8890"/>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3198495" cy="8890"/>
                    </a:xfrm>
                    <a:prstGeom prst="rect">
                      <a:avLst/>
                    </a:prstGeom>
                    <a:noFill/>
                  </pic:spPr>
                </pic:pic>
              </a:graphicData>
            </a:graphic>
          </wp:anchor>
        </w:drawing>
      </w:r>
    </w:p>
    <w:p>
      <w:pPr>
        <w:spacing w:after="0" w:line="103" w:lineRule="exact"/>
        <w:rPr>
          <w:sz w:val="20"/>
          <w:szCs w:val="20"/>
          <w:color w:val="auto"/>
        </w:rPr>
      </w:pPr>
    </w:p>
    <w:tbl>
      <w:tblPr>
        <w:tblLayout w:type="fixed"/>
        <w:tblInd w:w="0" w:type="dxa"/>
        <w:tblCellMar>
          <w:top w:w="0" w:type="dxa"/>
          <w:left w:w="0" w:type="dxa"/>
          <w:bottom w:w="0" w:type="dxa"/>
          <w:right w:w="0" w:type="dxa"/>
        </w:tblCellMar>
      </w:tblPr>
      <w:tr>
        <w:trPr>
          <w:trHeight w:val="196"/>
        </w:trPr>
        <w:tc>
          <w:tcPr>
            <w:tcW w:w="4520" w:type="dxa"/>
            <w:vAlign w:val="bottom"/>
          </w:tcPr>
          <w:p>
            <w:pPr>
              <w:spacing w:after="0"/>
              <w:rPr>
                <w:sz w:val="17"/>
                <w:szCs w:val="17"/>
                <w:color w:val="auto"/>
              </w:rPr>
            </w:pPr>
          </w:p>
        </w:tc>
        <w:tc>
          <w:tcPr>
            <w:tcW w:w="2860" w:type="dxa"/>
            <w:vAlign w:val="bottom"/>
            <w:gridSpan w:val="2"/>
          </w:tcPr>
          <w:p>
            <w:pPr>
              <w:jc w:val="right"/>
              <w:ind w:right="40"/>
              <w:spacing w:after="0"/>
              <w:rPr>
                <w:sz w:val="20"/>
                <w:szCs w:val="20"/>
                <w:color w:val="auto"/>
              </w:rPr>
            </w:pPr>
            <w:r>
              <w:rPr>
                <w:rFonts w:ascii="Arial" w:cs="Arial" w:eastAsia="Arial" w:hAnsi="Arial"/>
                <w:sz w:val="14"/>
                <w:szCs w:val="14"/>
                <w:b w:val="1"/>
                <w:bCs w:val="1"/>
                <w:color w:val="auto"/>
              </w:rPr>
              <w:t>2019</w:t>
            </w:r>
          </w:p>
        </w:tc>
        <w:tc>
          <w:tcPr>
            <w:tcW w:w="6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220" w:type="dxa"/>
            <w:vAlign w:val="bottom"/>
          </w:tcPr>
          <w:p>
            <w:pPr>
              <w:jc w:val="right"/>
              <w:ind w:right="554"/>
              <w:spacing w:after="0"/>
              <w:rPr>
                <w:sz w:val="20"/>
                <w:szCs w:val="20"/>
                <w:color w:val="auto"/>
              </w:rPr>
            </w:pPr>
            <w:r>
              <w:rPr>
                <w:rFonts w:ascii="Arial" w:cs="Arial" w:eastAsia="Arial" w:hAnsi="Arial"/>
                <w:sz w:val="14"/>
                <w:szCs w:val="14"/>
                <w:b w:val="1"/>
                <w:bCs w:val="1"/>
                <w:color w:val="auto"/>
              </w:rPr>
              <w:t>2018</w:t>
            </w:r>
          </w:p>
        </w:tc>
        <w:tc>
          <w:tcPr>
            <w:tcW w:w="12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220" w:type="dxa"/>
            <w:vAlign w:val="bottom"/>
          </w:tcPr>
          <w:p>
            <w:pPr>
              <w:jc w:val="right"/>
              <w:ind w:right="554"/>
              <w:spacing w:after="0"/>
              <w:rPr>
                <w:sz w:val="20"/>
                <w:szCs w:val="20"/>
                <w:color w:val="auto"/>
              </w:rPr>
            </w:pPr>
            <w:r>
              <w:rPr>
                <w:rFonts w:ascii="Arial" w:cs="Arial" w:eastAsia="Arial" w:hAnsi="Arial"/>
                <w:sz w:val="14"/>
                <w:szCs w:val="14"/>
                <w:b w:val="1"/>
                <w:bCs w:val="1"/>
                <w:color w:val="auto"/>
              </w:rPr>
              <w:t>2017</w:t>
            </w:r>
          </w:p>
        </w:tc>
      </w:tr>
      <w:tr>
        <w:trPr>
          <w:trHeight w:val="270"/>
        </w:trPr>
        <w:tc>
          <w:tcPr>
            <w:tcW w:w="4520" w:type="dxa"/>
            <w:vAlign w:val="bottom"/>
            <w:tcBorders>
              <w:top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Non-cash investing and financing activities:</w:t>
            </w:r>
          </w:p>
        </w:tc>
        <w:tc>
          <w:tcPr>
            <w:tcW w:w="1860" w:type="dxa"/>
            <w:vAlign w:val="bottom"/>
            <w:tcBorders>
              <w:top w:val="single" w:sz="8" w:color="CCEEFF"/>
            </w:tcBorders>
            <w:shd w:val="clear" w:color="auto" w:fill="CCEEFF"/>
          </w:tcPr>
          <w:p>
            <w:pPr>
              <w:spacing w:after="0"/>
              <w:rPr>
                <w:sz w:val="23"/>
                <w:szCs w:val="23"/>
                <w:color w:val="auto"/>
              </w:rPr>
            </w:pPr>
          </w:p>
        </w:tc>
        <w:tc>
          <w:tcPr>
            <w:tcW w:w="1000" w:type="dxa"/>
            <w:vAlign w:val="bottom"/>
            <w:tcBorders>
              <w:top w:val="single" w:sz="8" w:color="auto"/>
            </w:tcBorders>
            <w:shd w:val="clear" w:color="auto" w:fill="CCEEFF"/>
          </w:tcPr>
          <w:p>
            <w:pPr>
              <w:spacing w:after="0"/>
              <w:rPr>
                <w:sz w:val="23"/>
                <w:szCs w:val="23"/>
                <w:color w:val="auto"/>
              </w:rPr>
            </w:pPr>
          </w:p>
        </w:tc>
        <w:tc>
          <w:tcPr>
            <w:tcW w:w="600" w:type="dxa"/>
            <w:vAlign w:val="bottom"/>
            <w:tcBorders>
              <w:top w:val="single" w:sz="8" w:color="auto"/>
            </w:tcBorders>
            <w:shd w:val="clear" w:color="auto" w:fill="CCEEFF"/>
          </w:tcPr>
          <w:p>
            <w:pPr>
              <w:spacing w:after="0"/>
              <w:rPr>
                <w:sz w:val="23"/>
                <w:szCs w:val="23"/>
                <w:color w:val="auto"/>
              </w:rPr>
            </w:pPr>
          </w:p>
        </w:tc>
        <w:tc>
          <w:tcPr>
            <w:tcW w:w="120" w:type="dxa"/>
            <w:vAlign w:val="bottom"/>
            <w:tcBorders>
              <w:top w:val="single" w:sz="8" w:color="CCEEFF"/>
            </w:tcBorders>
            <w:shd w:val="clear" w:color="auto" w:fill="CCEEFF"/>
          </w:tcPr>
          <w:p>
            <w:pPr>
              <w:spacing w:after="0"/>
              <w:rPr>
                <w:sz w:val="23"/>
                <w:szCs w:val="23"/>
                <w:color w:val="auto"/>
              </w:rPr>
            </w:pPr>
          </w:p>
        </w:tc>
        <w:tc>
          <w:tcPr>
            <w:tcW w:w="380" w:type="dxa"/>
            <w:vAlign w:val="bottom"/>
            <w:tcBorders>
              <w:top w:val="single" w:sz="8" w:color="auto"/>
            </w:tcBorders>
            <w:shd w:val="clear" w:color="auto" w:fill="CCEEFF"/>
          </w:tcPr>
          <w:p>
            <w:pPr>
              <w:spacing w:after="0"/>
              <w:rPr>
                <w:sz w:val="23"/>
                <w:szCs w:val="23"/>
                <w:color w:val="auto"/>
              </w:rPr>
            </w:pPr>
          </w:p>
        </w:tc>
        <w:tc>
          <w:tcPr>
            <w:tcW w:w="1220" w:type="dxa"/>
            <w:vAlign w:val="bottom"/>
            <w:tcBorders>
              <w:top w:val="single" w:sz="8" w:color="auto"/>
            </w:tcBorders>
            <w:shd w:val="clear" w:color="auto" w:fill="CCEEFF"/>
          </w:tcPr>
          <w:p>
            <w:pPr>
              <w:spacing w:after="0"/>
              <w:rPr>
                <w:sz w:val="23"/>
                <w:szCs w:val="23"/>
                <w:color w:val="auto"/>
              </w:rPr>
            </w:pPr>
          </w:p>
        </w:tc>
        <w:tc>
          <w:tcPr>
            <w:tcW w:w="120" w:type="dxa"/>
            <w:vAlign w:val="bottom"/>
            <w:tcBorders>
              <w:top w:val="single" w:sz="8" w:color="CCEEFF"/>
            </w:tcBorders>
            <w:shd w:val="clear" w:color="auto" w:fill="CCEEFF"/>
          </w:tcPr>
          <w:p>
            <w:pPr>
              <w:spacing w:after="0"/>
              <w:rPr>
                <w:sz w:val="23"/>
                <w:szCs w:val="23"/>
                <w:color w:val="auto"/>
              </w:rPr>
            </w:pPr>
          </w:p>
        </w:tc>
        <w:tc>
          <w:tcPr>
            <w:tcW w:w="380" w:type="dxa"/>
            <w:vAlign w:val="bottom"/>
            <w:tcBorders>
              <w:top w:val="single" w:sz="8" w:color="auto"/>
            </w:tcBorders>
            <w:shd w:val="clear" w:color="auto" w:fill="CCEEFF"/>
          </w:tcPr>
          <w:p>
            <w:pPr>
              <w:spacing w:after="0"/>
              <w:rPr>
                <w:sz w:val="23"/>
                <w:szCs w:val="23"/>
                <w:color w:val="auto"/>
              </w:rPr>
            </w:pPr>
          </w:p>
        </w:tc>
        <w:tc>
          <w:tcPr>
            <w:tcW w:w="1220" w:type="dxa"/>
            <w:vAlign w:val="bottom"/>
            <w:tcBorders>
              <w:top w:val="single" w:sz="8" w:color="auto"/>
            </w:tcBorders>
            <w:shd w:val="clear" w:color="auto" w:fill="CCEEFF"/>
          </w:tcPr>
          <w:p>
            <w:pPr>
              <w:spacing w:after="0"/>
              <w:rPr>
                <w:sz w:val="23"/>
                <w:szCs w:val="23"/>
                <w:color w:val="auto"/>
              </w:rPr>
            </w:pPr>
          </w:p>
        </w:tc>
      </w:tr>
      <w:tr>
        <w:trPr>
          <w:trHeight w:val="263"/>
        </w:trPr>
        <w:tc>
          <w:tcPr>
            <w:tcW w:w="4520" w:type="dxa"/>
            <w:vAlign w:val="bottom"/>
          </w:tcPr>
          <w:p>
            <w:pPr>
              <w:ind w:left="280"/>
              <w:spacing w:after="0"/>
              <w:rPr>
                <w:sz w:val="20"/>
                <w:szCs w:val="20"/>
                <w:color w:val="auto"/>
              </w:rPr>
            </w:pPr>
            <w:r>
              <w:rPr>
                <w:rFonts w:ascii="Arial" w:cs="Arial" w:eastAsia="Arial" w:hAnsi="Arial"/>
                <w:sz w:val="18"/>
                <w:szCs w:val="18"/>
                <w:color w:val="auto"/>
              </w:rPr>
              <w:t>Settlement of bankruptcy obligations</w:t>
            </w:r>
          </w:p>
        </w:tc>
        <w:tc>
          <w:tcPr>
            <w:tcW w:w="2860" w:type="dxa"/>
            <w:vAlign w:val="bottom"/>
            <w:gridSpan w:val="2"/>
          </w:tcPr>
          <w:p>
            <w:pPr>
              <w:jc w:val="right"/>
              <w:ind w:right="880"/>
              <w:spacing w:after="0"/>
              <w:rPr>
                <w:sz w:val="20"/>
                <w:szCs w:val="20"/>
                <w:color w:val="auto"/>
              </w:rPr>
            </w:pPr>
            <w:r>
              <w:rPr>
                <w:rFonts w:ascii="Arial" w:cs="Arial" w:eastAsia="Arial" w:hAnsi="Arial"/>
                <w:sz w:val="18"/>
                <w:szCs w:val="18"/>
                <w:color w:val="auto"/>
              </w:rPr>
              <w:t>$</w:t>
            </w:r>
          </w:p>
        </w:tc>
        <w:tc>
          <w:tcPr>
            <w:tcW w:w="600" w:type="dxa"/>
            <w:vAlign w:val="bottom"/>
          </w:tcPr>
          <w:p>
            <w:pPr>
              <w:jc w:val="right"/>
              <w:ind w:right="10"/>
              <w:spacing w:after="0"/>
              <w:rPr>
                <w:sz w:val="20"/>
                <w:szCs w:val="20"/>
                <w:color w:val="auto"/>
              </w:rPr>
            </w:pPr>
            <w:r>
              <w:rPr>
                <w:rFonts w:ascii="Arial" w:cs="Arial" w:eastAsia="Arial" w:hAnsi="Arial"/>
                <w:sz w:val="18"/>
                <w:szCs w:val="18"/>
                <w:color w:val="auto"/>
              </w:rPr>
              <w:t>7</w:t>
            </w:r>
          </w:p>
        </w:tc>
        <w:tc>
          <w:tcPr>
            <w:tcW w:w="120" w:type="dxa"/>
            <w:vAlign w:val="bottom"/>
          </w:tcPr>
          <w:p>
            <w:pPr>
              <w:spacing w:after="0"/>
              <w:rPr>
                <w:sz w:val="22"/>
                <w:szCs w:val="22"/>
                <w:color w:val="auto"/>
              </w:rPr>
            </w:pPr>
          </w:p>
        </w:tc>
        <w:tc>
          <w:tcPr>
            <w:tcW w:w="380" w:type="dxa"/>
            <w:vAlign w:val="bottom"/>
          </w:tcPr>
          <w:p>
            <w:pPr>
              <w:jc w:val="right"/>
              <w:ind w:right="170"/>
              <w:spacing w:after="0"/>
              <w:rPr>
                <w:sz w:val="20"/>
                <w:szCs w:val="20"/>
                <w:color w:val="auto"/>
              </w:rPr>
            </w:pPr>
            <w:r>
              <w:rPr>
                <w:rFonts w:ascii="Arial" w:cs="Arial" w:eastAsia="Arial" w:hAnsi="Arial"/>
                <w:sz w:val="18"/>
                <w:szCs w:val="18"/>
                <w:color w:val="auto"/>
                <w:w w:val="99"/>
              </w:rPr>
              <w:t>$</w:t>
            </w:r>
          </w:p>
        </w:tc>
        <w:tc>
          <w:tcPr>
            <w:tcW w:w="1720" w:type="dxa"/>
            <w:vAlign w:val="bottom"/>
            <w:gridSpan w:val="3"/>
          </w:tcPr>
          <w:p>
            <w:pPr>
              <w:ind w:left="940"/>
              <w:spacing w:after="0"/>
              <w:rPr>
                <w:sz w:val="20"/>
                <w:szCs w:val="20"/>
                <w:color w:val="auto"/>
              </w:rPr>
            </w:pPr>
            <w:r>
              <w:rPr>
                <w:rFonts w:ascii="Arial" w:cs="Arial" w:eastAsia="Arial" w:hAnsi="Arial"/>
                <w:sz w:val="18"/>
                <w:szCs w:val="18"/>
                <w:color w:val="auto"/>
              </w:rPr>
              <w:t>—   $</w:t>
            </w:r>
          </w:p>
        </w:tc>
        <w:tc>
          <w:tcPr>
            <w:tcW w:w="1220" w:type="dxa"/>
            <w:vAlign w:val="bottom"/>
          </w:tcPr>
          <w:p>
            <w:pPr>
              <w:jc w:val="right"/>
              <w:ind w:right="14"/>
              <w:spacing w:after="0"/>
              <w:rPr>
                <w:sz w:val="20"/>
                <w:szCs w:val="20"/>
                <w:color w:val="auto"/>
              </w:rPr>
            </w:pPr>
            <w:r>
              <w:rPr>
                <w:rFonts w:ascii="Arial" w:cs="Arial" w:eastAsia="Arial" w:hAnsi="Arial"/>
                <w:sz w:val="18"/>
                <w:szCs w:val="18"/>
                <w:color w:val="auto"/>
              </w:rPr>
              <w:t>15</w:t>
            </w:r>
          </w:p>
        </w:tc>
      </w:tr>
      <w:tr>
        <w:trPr>
          <w:trHeight w:val="277"/>
        </w:trPr>
        <w:tc>
          <w:tcPr>
            <w:tcW w:w="4520" w:type="dxa"/>
            <w:vAlign w:val="bottom"/>
            <w:shd w:val="clear" w:color="auto" w:fill="CCEEFF"/>
          </w:tcPr>
          <w:p>
            <w:pPr>
              <w:ind w:left="280"/>
              <w:spacing w:after="0"/>
              <w:rPr>
                <w:sz w:val="20"/>
                <w:szCs w:val="20"/>
                <w:color w:val="auto"/>
              </w:rPr>
            </w:pPr>
            <w:r>
              <w:rPr>
                <w:rFonts w:ascii="Arial" w:cs="Arial" w:eastAsia="Arial" w:hAnsi="Arial"/>
                <w:sz w:val="18"/>
                <w:szCs w:val="18"/>
                <w:color w:val="auto"/>
              </w:rPr>
              <w:t>Equity Investment</w:t>
            </w:r>
          </w:p>
        </w:tc>
        <w:tc>
          <w:tcPr>
            <w:tcW w:w="1860" w:type="dxa"/>
            <w:vAlign w:val="bottom"/>
            <w:shd w:val="clear" w:color="auto" w:fill="CCEEFF"/>
          </w:tcPr>
          <w:p>
            <w:pPr>
              <w:spacing w:after="0"/>
              <w:rPr>
                <w:sz w:val="24"/>
                <w:szCs w:val="24"/>
                <w:color w:val="auto"/>
              </w:rPr>
            </w:pPr>
          </w:p>
        </w:tc>
        <w:tc>
          <w:tcPr>
            <w:tcW w:w="1000" w:type="dxa"/>
            <w:vAlign w:val="bottom"/>
            <w:shd w:val="clear" w:color="auto" w:fill="CCEEFF"/>
          </w:tcPr>
          <w:p>
            <w:pPr>
              <w:spacing w:after="0"/>
              <w:rPr>
                <w:sz w:val="24"/>
                <w:szCs w:val="24"/>
                <w:color w:val="auto"/>
              </w:rPr>
            </w:pPr>
          </w:p>
        </w:tc>
        <w:tc>
          <w:tcPr>
            <w:tcW w:w="7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380" w:type="dxa"/>
            <w:vAlign w:val="bottom"/>
            <w:shd w:val="clear" w:color="auto" w:fill="CCEEFF"/>
          </w:tcPr>
          <w:p>
            <w:pPr>
              <w:spacing w:after="0"/>
              <w:rPr>
                <w:sz w:val="24"/>
                <w:szCs w:val="24"/>
                <w:color w:val="auto"/>
              </w:rPr>
            </w:pPr>
          </w:p>
        </w:tc>
        <w:tc>
          <w:tcPr>
            <w:tcW w:w="1720" w:type="dxa"/>
            <w:vAlign w:val="bottom"/>
            <w:gridSpan w:val="3"/>
            <w:shd w:val="clear" w:color="auto" w:fill="CCEEFF"/>
          </w:tcPr>
          <w:p>
            <w:pPr>
              <w:jc w:val="right"/>
              <w:ind w:right="600"/>
              <w:spacing w:after="0"/>
              <w:rPr>
                <w:sz w:val="20"/>
                <w:szCs w:val="20"/>
                <w:color w:val="auto"/>
              </w:rPr>
            </w:pPr>
            <w:r>
              <w:rPr>
                <w:rFonts w:ascii="Arial" w:cs="Arial" w:eastAsia="Arial" w:hAnsi="Arial"/>
                <w:sz w:val="18"/>
                <w:szCs w:val="18"/>
                <w:color w:val="auto"/>
              </w:rPr>
              <w:t>—</w:t>
            </w:r>
          </w:p>
        </w:tc>
        <w:tc>
          <w:tcPr>
            <w:tcW w:w="1220" w:type="dxa"/>
            <w:vAlign w:val="bottom"/>
            <w:shd w:val="clear" w:color="auto" w:fill="CCEEFF"/>
          </w:tcPr>
          <w:p>
            <w:pPr>
              <w:jc w:val="right"/>
              <w:ind w:right="14"/>
              <w:spacing w:after="0"/>
              <w:rPr>
                <w:sz w:val="20"/>
                <w:szCs w:val="20"/>
                <w:color w:val="auto"/>
              </w:rPr>
            </w:pPr>
            <w:r>
              <w:rPr>
                <w:rFonts w:ascii="Arial" w:cs="Arial" w:eastAsia="Arial" w:hAnsi="Arial"/>
                <w:sz w:val="18"/>
                <w:szCs w:val="18"/>
                <w:color w:val="auto"/>
              </w:rPr>
              <w:t>120</w:t>
            </w:r>
          </w:p>
        </w:tc>
      </w:tr>
      <w:tr>
        <w:trPr>
          <w:trHeight w:val="243"/>
        </w:trPr>
        <w:tc>
          <w:tcPr>
            <w:tcW w:w="4520" w:type="dxa"/>
            <w:vAlign w:val="bottom"/>
          </w:tcPr>
          <w:p>
            <w:pPr>
              <w:ind w:left="40"/>
              <w:spacing w:after="0"/>
              <w:rPr>
                <w:sz w:val="20"/>
                <w:szCs w:val="20"/>
                <w:color w:val="auto"/>
              </w:rPr>
            </w:pPr>
            <w:r>
              <w:rPr>
                <w:rFonts w:ascii="Arial" w:cs="Arial" w:eastAsia="Arial" w:hAnsi="Arial"/>
                <w:sz w:val="18"/>
                <w:szCs w:val="18"/>
                <w:color w:val="auto"/>
              </w:rPr>
              <w:t>Supplemental information:</w:t>
            </w:r>
          </w:p>
        </w:tc>
        <w:tc>
          <w:tcPr>
            <w:tcW w:w="1860" w:type="dxa"/>
            <w:vAlign w:val="bottom"/>
          </w:tcPr>
          <w:p>
            <w:pPr>
              <w:spacing w:after="0"/>
              <w:rPr>
                <w:sz w:val="21"/>
                <w:szCs w:val="21"/>
                <w:color w:val="auto"/>
              </w:rPr>
            </w:pPr>
          </w:p>
        </w:tc>
        <w:tc>
          <w:tcPr>
            <w:tcW w:w="1000" w:type="dxa"/>
            <w:vAlign w:val="bottom"/>
          </w:tcPr>
          <w:p>
            <w:pPr>
              <w:spacing w:after="0"/>
              <w:rPr>
                <w:sz w:val="21"/>
                <w:szCs w:val="21"/>
                <w:color w:val="auto"/>
              </w:rPr>
            </w:pPr>
          </w:p>
        </w:tc>
        <w:tc>
          <w:tcPr>
            <w:tcW w:w="6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2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220" w:type="dxa"/>
            <w:vAlign w:val="bottom"/>
          </w:tcPr>
          <w:p>
            <w:pPr>
              <w:spacing w:after="0"/>
              <w:rPr>
                <w:sz w:val="21"/>
                <w:szCs w:val="21"/>
                <w:color w:val="auto"/>
              </w:rPr>
            </w:pPr>
          </w:p>
        </w:tc>
      </w:tr>
      <w:tr>
        <w:trPr>
          <w:trHeight w:val="27"/>
        </w:trPr>
        <w:tc>
          <w:tcPr>
            <w:tcW w:w="4520" w:type="dxa"/>
            <w:vAlign w:val="bottom"/>
          </w:tcPr>
          <w:p>
            <w:pPr>
              <w:spacing w:after="0"/>
              <w:rPr>
                <w:sz w:val="2"/>
                <w:szCs w:val="2"/>
                <w:color w:val="auto"/>
              </w:rPr>
            </w:pPr>
          </w:p>
        </w:tc>
        <w:tc>
          <w:tcPr>
            <w:tcW w:w="1860" w:type="dxa"/>
            <w:vAlign w:val="bottom"/>
          </w:tcPr>
          <w:p>
            <w:pPr>
              <w:spacing w:after="0"/>
              <w:rPr>
                <w:sz w:val="2"/>
                <w:szCs w:val="2"/>
                <w:color w:val="auto"/>
              </w:rPr>
            </w:pPr>
          </w:p>
        </w:tc>
        <w:tc>
          <w:tcPr>
            <w:tcW w:w="1000" w:type="dxa"/>
            <w:vAlign w:val="bottom"/>
          </w:tcPr>
          <w:p>
            <w:pPr>
              <w:spacing w:after="0"/>
              <w:rPr>
                <w:sz w:val="2"/>
                <w:szCs w:val="2"/>
                <w:color w:val="auto"/>
              </w:rPr>
            </w:pPr>
          </w:p>
        </w:tc>
        <w:tc>
          <w:tcPr>
            <w:tcW w:w="600" w:type="dxa"/>
            <w:vAlign w:val="bottom"/>
          </w:tcPr>
          <w:p>
            <w:pPr>
              <w:spacing w:after="0"/>
              <w:rPr>
                <w:sz w:val="2"/>
                <w:szCs w:val="2"/>
                <w:color w:val="auto"/>
              </w:rPr>
            </w:pPr>
          </w:p>
        </w:tc>
        <w:tc>
          <w:tcPr>
            <w:tcW w:w="12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20" w:type="dxa"/>
            <w:vAlign w:val="bottom"/>
          </w:tcPr>
          <w:p>
            <w:pPr>
              <w:spacing w:after="0"/>
              <w:rPr>
                <w:sz w:val="2"/>
                <w:szCs w:val="2"/>
                <w:color w:val="auto"/>
              </w:rPr>
            </w:pPr>
          </w:p>
        </w:tc>
      </w:tr>
      <w:tr>
        <w:trPr>
          <w:trHeight w:val="270"/>
        </w:trPr>
        <w:tc>
          <w:tcPr>
            <w:tcW w:w="4520" w:type="dxa"/>
            <w:vAlign w:val="bottom"/>
            <w:shd w:val="clear" w:color="auto" w:fill="CCEEFF"/>
          </w:tcPr>
          <w:p>
            <w:pPr>
              <w:ind w:left="280"/>
              <w:spacing w:after="0"/>
              <w:rPr>
                <w:sz w:val="20"/>
                <w:szCs w:val="20"/>
                <w:color w:val="auto"/>
              </w:rPr>
            </w:pPr>
            <w:r>
              <w:rPr>
                <w:rFonts w:ascii="Arial" w:cs="Arial" w:eastAsia="Arial" w:hAnsi="Arial"/>
                <w:sz w:val="18"/>
                <w:szCs w:val="18"/>
                <w:color w:val="auto"/>
              </w:rPr>
              <w:t>Interest paid, net</w:t>
            </w:r>
          </w:p>
        </w:tc>
        <w:tc>
          <w:tcPr>
            <w:tcW w:w="1860" w:type="dxa"/>
            <w:vAlign w:val="bottom"/>
            <w:shd w:val="clear" w:color="auto" w:fill="CCEEFF"/>
          </w:tcPr>
          <w:p>
            <w:pPr>
              <w:spacing w:after="0"/>
              <w:rPr>
                <w:sz w:val="23"/>
                <w:szCs w:val="23"/>
                <w:color w:val="auto"/>
              </w:rPr>
            </w:pPr>
          </w:p>
        </w:tc>
        <w:tc>
          <w:tcPr>
            <w:tcW w:w="1000" w:type="dxa"/>
            <w:vAlign w:val="bottom"/>
            <w:shd w:val="clear" w:color="auto" w:fill="CCEEFF"/>
          </w:tcPr>
          <w:p>
            <w:pPr>
              <w:spacing w:after="0"/>
              <w:rPr>
                <w:sz w:val="23"/>
                <w:szCs w:val="23"/>
                <w:color w:val="auto"/>
              </w:rPr>
            </w:pPr>
          </w:p>
        </w:tc>
        <w:tc>
          <w:tcPr>
            <w:tcW w:w="6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1,025</w:t>
            </w:r>
          </w:p>
        </w:tc>
        <w:tc>
          <w:tcPr>
            <w:tcW w:w="120" w:type="dxa"/>
            <w:vAlign w:val="bottom"/>
            <w:shd w:val="clear" w:color="auto" w:fill="CCEEFF"/>
          </w:tcPr>
          <w:p>
            <w:pPr>
              <w:spacing w:after="0"/>
              <w:rPr>
                <w:sz w:val="23"/>
                <w:szCs w:val="23"/>
                <w:color w:val="auto"/>
              </w:rPr>
            </w:pPr>
          </w:p>
        </w:tc>
        <w:tc>
          <w:tcPr>
            <w:tcW w:w="380" w:type="dxa"/>
            <w:vAlign w:val="bottom"/>
            <w:shd w:val="clear" w:color="auto" w:fill="CCEEFF"/>
          </w:tcPr>
          <w:p>
            <w:pPr>
              <w:spacing w:after="0"/>
              <w:rPr>
                <w:sz w:val="23"/>
                <w:szCs w:val="23"/>
                <w:color w:val="auto"/>
              </w:rPr>
            </w:pPr>
          </w:p>
        </w:tc>
        <w:tc>
          <w:tcPr>
            <w:tcW w:w="1220" w:type="dxa"/>
            <w:vAlign w:val="bottom"/>
            <w:shd w:val="clear" w:color="auto" w:fill="CCEEFF"/>
          </w:tcPr>
          <w:p>
            <w:pPr>
              <w:jc w:val="right"/>
              <w:ind w:right="14"/>
              <w:spacing w:after="0"/>
              <w:rPr>
                <w:sz w:val="20"/>
                <w:szCs w:val="20"/>
                <w:color w:val="auto"/>
              </w:rPr>
            </w:pPr>
            <w:r>
              <w:rPr>
                <w:rFonts w:ascii="Arial" w:cs="Arial" w:eastAsia="Arial" w:hAnsi="Arial"/>
                <w:sz w:val="18"/>
                <w:szCs w:val="18"/>
                <w:color w:val="auto"/>
              </w:rPr>
              <w:t>1,009</w:t>
            </w:r>
          </w:p>
        </w:tc>
        <w:tc>
          <w:tcPr>
            <w:tcW w:w="120" w:type="dxa"/>
            <w:vAlign w:val="bottom"/>
            <w:shd w:val="clear" w:color="auto" w:fill="CCEEFF"/>
          </w:tcPr>
          <w:p>
            <w:pPr>
              <w:spacing w:after="0"/>
              <w:rPr>
                <w:sz w:val="23"/>
                <w:szCs w:val="23"/>
                <w:color w:val="auto"/>
              </w:rPr>
            </w:pPr>
          </w:p>
        </w:tc>
        <w:tc>
          <w:tcPr>
            <w:tcW w:w="380" w:type="dxa"/>
            <w:vAlign w:val="bottom"/>
            <w:shd w:val="clear" w:color="auto" w:fill="CCEEFF"/>
          </w:tcPr>
          <w:p>
            <w:pPr>
              <w:spacing w:after="0"/>
              <w:rPr>
                <w:sz w:val="23"/>
                <w:szCs w:val="23"/>
                <w:color w:val="auto"/>
              </w:rPr>
            </w:pPr>
          </w:p>
        </w:tc>
        <w:tc>
          <w:tcPr>
            <w:tcW w:w="1220" w:type="dxa"/>
            <w:vAlign w:val="bottom"/>
            <w:shd w:val="clear" w:color="auto" w:fill="CCEEFF"/>
          </w:tcPr>
          <w:p>
            <w:pPr>
              <w:jc w:val="right"/>
              <w:ind w:right="14"/>
              <w:spacing w:after="0"/>
              <w:rPr>
                <w:sz w:val="20"/>
                <w:szCs w:val="20"/>
                <w:color w:val="auto"/>
              </w:rPr>
            </w:pPr>
            <w:r>
              <w:rPr>
                <w:rFonts w:ascii="Arial" w:cs="Arial" w:eastAsia="Arial" w:hAnsi="Arial"/>
                <w:sz w:val="18"/>
                <w:szCs w:val="18"/>
                <w:color w:val="auto"/>
              </w:rPr>
              <w:t>942</w:t>
            </w:r>
          </w:p>
        </w:tc>
      </w:tr>
      <w:tr>
        <w:trPr>
          <w:trHeight w:val="257"/>
        </w:trPr>
        <w:tc>
          <w:tcPr>
            <w:tcW w:w="4520" w:type="dxa"/>
            <w:vAlign w:val="bottom"/>
          </w:tcPr>
          <w:p>
            <w:pPr>
              <w:ind w:left="280"/>
              <w:spacing w:after="0"/>
              <w:rPr>
                <w:sz w:val="20"/>
                <w:szCs w:val="20"/>
                <w:color w:val="auto"/>
              </w:rPr>
            </w:pPr>
            <w:r>
              <w:rPr>
                <w:rFonts w:ascii="Arial" w:cs="Arial" w:eastAsia="Arial" w:hAnsi="Arial"/>
                <w:sz w:val="18"/>
                <w:szCs w:val="18"/>
                <w:color w:val="auto"/>
              </w:rPr>
              <w:t>Income taxes paid</w:t>
            </w:r>
          </w:p>
        </w:tc>
        <w:tc>
          <w:tcPr>
            <w:tcW w:w="1860" w:type="dxa"/>
            <w:vAlign w:val="bottom"/>
          </w:tcPr>
          <w:p>
            <w:pPr>
              <w:spacing w:after="0"/>
              <w:rPr>
                <w:sz w:val="22"/>
                <w:szCs w:val="22"/>
                <w:color w:val="auto"/>
              </w:rPr>
            </w:pPr>
          </w:p>
        </w:tc>
        <w:tc>
          <w:tcPr>
            <w:tcW w:w="1000" w:type="dxa"/>
            <w:vAlign w:val="bottom"/>
          </w:tcPr>
          <w:p>
            <w:pPr>
              <w:spacing w:after="0"/>
              <w:rPr>
                <w:sz w:val="22"/>
                <w:szCs w:val="22"/>
                <w:color w:val="auto"/>
              </w:rPr>
            </w:pPr>
          </w:p>
        </w:tc>
        <w:tc>
          <w:tcPr>
            <w:tcW w:w="600" w:type="dxa"/>
            <w:vAlign w:val="bottom"/>
          </w:tcPr>
          <w:p>
            <w:pPr>
              <w:jc w:val="right"/>
              <w:ind w:right="10"/>
              <w:spacing w:after="0"/>
              <w:rPr>
                <w:sz w:val="20"/>
                <w:szCs w:val="20"/>
                <w:color w:val="auto"/>
              </w:rPr>
            </w:pPr>
            <w:r>
              <w:rPr>
                <w:rFonts w:ascii="Arial" w:cs="Arial" w:eastAsia="Arial" w:hAnsi="Arial"/>
                <w:sz w:val="18"/>
                <w:szCs w:val="18"/>
                <w:color w:val="auto"/>
              </w:rPr>
              <w:t>8</w:t>
            </w:r>
          </w:p>
        </w:tc>
        <w:tc>
          <w:tcPr>
            <w:tcW w:w="120" w:type="dxa"/>
            <w:vAlign w:val="bottom"/>
          </w:tcPr>
          <w:p>
            <w:pPr>
              <w:spacing w:after="0"/>
              <w:rPr>
                <w:sz w:val="22"/>
                <w:szCs w:val="22"/>
                <w:color w:val="auto"/>
              </w:rPr>
            </w:pPr>
          </w:p>
        </w:tc>
        <w:tc>
          <w:tcPr>
            <w:tcW w:w="380" w:type="dxa"/>
            <w:vAlign w:val="bottom"/>
          </w:tcPr>
          <w:p>
            <w:pPr>
              <w:spacing w:after="0"/>
              <w:rPr>
                <w:sz w:val="22"/>
                <w:szCs w:val="22"/>
                <w:color w:val="auto"/>
              </w:rPr>
            </w:pPr>
          </w:p>
        </w:tc>
        <w:tc>
          <w:tcPr>
            <w:tcW w:w="1220" w:type="dxa"/>
            <w:vAlign w:val="bottom"/>
          </w:tcPr>
          <w:p>
            <w:pPr>
              <w:jc w:val="right"/>
              <w:ind w:right="14"/>
              <w:spacing w:after="0"/>
              <w:rPr>
                <w:sz w:val="20"/>
                <w:szCs w:val="20"/>
                <w:color w:val="auto"/>
              </w:rPr>
            </w:pPr>
            <w:r>
              <w:rPr>
                <w:rFonts w:ascii="Arial" w:cs="Arial" w:eastAsia="Arial" w:hAnsi="Arial"/>
                <w:sz w:val="18"/>
                <w:szCs w:val="18"/>
                <w:color w:val="auto"/>
              </w:rPr>
              <w:t>16</w:t>
            </w:r>
          </w:p>
        </w:tc>
        <w:tc>
          <w:tcPr>
            <w:tcW w:w="120" w:type="dxa"/>
            <w:vAlign w:val="bottom"/>
          </w:tcPr>
          <w:p>
            <w:pPr>
              <w:spacing w:after="0"/>
              <w:rPr>
                <w:sz w:val="22"/>
                <w:szCs w:val="22"/>
                <w:color w:val="auto"/>
              </w:rPr>
            </w:pPr>
          </w:p>
        </w:tc>
        <w:tc>
          <w:tcPr>
            <w:tcW w:w="380" w:type="dxa"/>
            <w:vAlign w:val="bottom"/>
          </w:tcPr>
          <w:p>
            <w:pPr>
              <w:spacing w:after="0"/>
              <w:rPr>
                <w:sz w:val="22"/>
                <w:szCs w:val="22"/>
                <w:color w:val="auto"/>
              </w:rPr>
            </w:pPr>
          </w:p>
        </w:tc>
        <w:tc>
          <w:tcPr>
            <w:tcW w:w="1220" w:type="dxa"/>
            <w:vAlign w:val="bottom"/>
          </w:tcPr>
          <w:p>
            <w:pPr>
              <w:jc w:val="right"/>
              <w:ind w:right="14"/>
              <w:spacing w:after="0"/>
              <w:rPr>
                <w:sz w:val="20"/>
                <w:szCs w:val="20"/>
                <w:color w:val="auto"/>
              </w:rPr>
            </w:pPr>
            <w:r>
              <w:rPr>
                <w:rFonts w:ascii="Arial" w:cs="Arial" w:eastAsia="Arial" w:hAnsi="Arial"/>
                <w:sz w:val="18"/>
                <w:szCs w:val="18"/>
                <w:color w:val="auto"/>
              </w:rPr>
              <w:t>18</w:t>
            </w:r>
          </w:p>
        </w:tc>
      </w:tr>
      <w:tr>
        <w:trPr>
          <w:trHeight w:val="662"/>
        </w:trPr>
        <w:tc>
          <w:tcPr>
            <w:tcW w:w="4520" w:type="dxa"/>
            <w:vAlign w:val="bottom"/>
          </w:tcPr>
          <w:p>
            <w:pPr>
              <w:spacing w:after="0"/>
              <w:rPr>
                <w:sz w:val="24"/>
                <w:szCs w:val="24"/>
                <w:color w:val="auto"/>
              </w:rPr>
            </w:pPr>
          </w:p>
        </w:tc>
        <w:tc>
          <w:tcPr>
            <w:tcW w:w="1860" w:type="dxa"/>
            <w:vAlign w:val="bottom"/>
          </w:tcPr>
          <w:p>
            <w:pPr>
              <w:jc w:val="right"/>
              <w:ind w:right="436"/>
              <w:spacing w:after="0"/>
              <w:rPr>
                <w:sz w:val="20"/>
                <w:szCs w:val="20"/>
                <w:color w:val="auto"/>
              </w:rPr>
            </w:pPr>
            <w:r>
              <w:rPr>
                <w:rFonts w:ascii="Arial" w:cs="Arial" w:eastAsia="Arial" w:hAnsi="Arial"/>
                <w:sz w:val="18"/>
                <w:szCs w:val="18"/>
                <w:color w:val="auto"/>
              </w:rPr>
              <w:t>154</w:t>
            </w:r>
          </w:p>
        </w:tc>
        <w:tc>
          <w:tcPr>
            <w:tcW w:w="100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220" w:type="dxa"/>
            <w:vAlign w:val="bottom"/>
          </w:tcPr>
          <w:p>
            <w:pPr>
              <w:spacing w:after="0"/>
              <w:rPr>
                <w:sz w:val="24"/>
                <w:szCs w:val="24"/>
                <w:color w:val="auto"/>
              </w:rPr>
            </w:pPr>
          </w:p>
        </w:tc>
      </w:tr>
    </w:tbl>
    <w:p>
      <w:pPr>
        <w:sectPr>
          <w:pgSz w:w="11900" w:h="16838" w:orient="portrait"/>
          <w:cols w:equalWidth="0" w:num="1">
            <w:col w:w="11420"/>
          </w:cols>
          <w:pgMar w:left="240" w:top="549" w:right="239" w:bottom="1440" w:gutter="0" w:footer="0" w:header="0"/>
        </w:sectPr>
      </w:pPr>
    </w:p>
    <w:bookmarkStart w:id="154" w:name="page155"/>
    <w:bookmarkEnd w:id="154"/>
    <w:p>
      <w:pPr>
        <w:jc w:val="center"/>
        <w:spacing w:after="0"/>
        <w:rPr>
          <w:sz w:val="20"/>
          <w:szCs w:val="20"/>
          <w:color w:val="auto"/>
        </w:rPr>
      </w:pPr>
      <w:r>
        <w:rPr>
          <w:rFonts w:ascii="Arial" w:cs="Arial" w:eastAsia="Arial" w:hAnsi="Arial"/>
          <w:sz w:val="18"/>
          <w:szCs w:val="18"/>
          <w:b w:val="1"/>
          <w:bCs w:val="1"/>
          <w:color w:val="auto"/>
        </w:rPr>
        <w:t>NOTES TO CONSOLIDATED FINANCIAL STATEMENTS OF AMERICAN AIRLINES, INC.</w:t>
      </w:r>
    </w:p>
    <w:p>
      <w:pPr>
        <w:spacing w:after="0" w:line="200" w:lineRule="exact"/>
        <w:rPr>
          <w:sz w:val="20"/>
          <w:szCs w:val="20"/>
          <w:color w:val="auto"/>
        </w:rPr>
      </w:pPr>
    </w:p>
    <w:p>
      <w:pPr>
        <w:spacing w:after="0" w:line="26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12. Operating Segments and Related Disclosures</w:t>
      </w:r>
    </w:p>
    <w:p>
      <w:pPr>
        <w:spacing w:after="0" w:line="112" w:lineRule="exact"/>
        <w:rPr>
          <w:sz w:val="20"/>
          <w:szCs w:val="20"/>
          <w:color w:val="auto"/>
        </w:rPr>
      </w:pPr>
    </w:p>
    <w:p>
      <w:pPr>
        <w:jc w:val="both"/>
        <w:ind w:firstLine="216"/>
        <w:spacing w:after="0" w:line="252" w:lineRule="auto"/>
        <w:rPr>
          <w:sz w:val="20"/>
          <w:szCs w:val="20"/>
          <w:color w:val="auto"/>
        </w:rPr>
      </w:pPr>
      <w:r>
        <w:rPr>
          <w:rFonts w:ascii="Arial" w:cs="Arial" w:eastAsia="Arial" w:hAnsi="Arial"/>
          <w:sz w:val="18"/>
          <w:szCs w:val="18"/>
          <w:color w:val="auto"/>
        </w:rPr>
        <w:t>American is managed as a single business unit that provides air transportation for passengers and cargo. This allows it to benefit from an integrated revenue pricing and route network that includes American and AAG’s wholly-owned and third-party regional carriers that fly under capacity purchase agreements operating as American Eagle. The flight equipment of all these carriers is combined to form one fleet that is deployed through a single route scheduling system. Financial information and annual operational plans and forecasts are prepared and reviewed by the chief operating decision maker at the consolidated level. When making operational decisions, the chief operating decision maker evaluates flight profitability data, which considers aircraft type and route economics, but is indifferent to the results of the individual regional carriers. The objective in making operational decisions is to maximize consolidated financial results, not the individual results of American or American Eagle.</w:t>
      </w:r>
    </w:p>
    <w:p>
      <w:pPr>
        <w:spacing w:after="0" w:line="152" w:lineRule="exact"/>
        <w:rPr>
          <w:sz w:val="20"/>
          <w:szCs w:val="20"/>
          <w:color w:val="auto"/>
        </w:rPr>
      </w:pPr>
    </w:p>
    <w:p>
      <w:pPr>
        <w:jc w:val="both"/>
        <w:ind w:right="20" w:firstLine="216"/>
        <w:spacing w:after="0" w:line="262" w:lineRule="auto"/>
        <w:rPr>
          <w:sz w:val="20"/>
          <w:szCs w:val="20"/>
          <w:color w:val="auto"/>
        </w:rPr>
      </w:pPr>
      <w:r>
        <w:rPr>
          <w:rFonts w:ascii="Arial" w:cs="Arial" w:eastAsia="Arial" w:hAnsi="Arial"/>
          <w:sz w:val="18"/>
          <w:szCs w:val="18"/>
          <w:color w:val="auto"/>
        </w:rPr>
        <w:t>See Note 1(k) for American’s passenger revenue by geographic region. American’s tangible assets consist primarily of flight equipment, which are mobile across geographic markets and, therefore, have not been allocated.</w:t>
      </w:r>
    </w:p>
    <w:p>
      <w:pPr>
        <w:spacing w:after="0" w:line="20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13. Share-based Compensation</w:t>
      </w:r>
    </w:p>
    <w:p>
      <w:pPr>
        <w:spacing w:after="0" w:line="112" w:lineRule="exact"/>
        <w:rPr>
          <w:sz w:val="20"/>
          <w:szCs w:val="20"/>
          <w:color w:val="auto"/>
        </w:rPr>
      </w:pPr>
    </w:p>
    <w:p>
      <w:pPr>
        <w:jc w:val="both"/>
        <w:ind w:firstLine="216"/>
        <w:spacing w:after="0" w:line="253" w:lineRule="auto"/>
        <w:rPr>
          <w:sz w:val="20"/>
          <w:szCs w:val="20"/>
          <w:color w:val="auto"/>
        </w:rPr>
      </w:pPr>
      <w:r>
        <w:rPr>
          <w:rFonts w:ascii="Arial" w:cs="Arial" w:eastAsia="Arial" w:hAnsi="Arial"/>
          <w:sz w:val="18"/>
          <w:szCs w:val="18"/>
          <w:color w:val="auto"/>
        </w:rPr>
        <w:t>The 2013 AAG Incentive Award Plan (the 2013 Plan) provides that awards may be in the form of an option, restricted stock award, restricted stock unit award, performance award, dividend equivalent award, deferred stock award, deferred stock unit award, stock payment award or stock appreciation right. The 2013 Plan initially authorized the grant of awards for the issuance of up to 40 million shares. Any shares underlying awards granted under the 2013 Plan that are forfeited, terminate or are settled in cash (in whole or in part) without the delivery of shares will again be available for grant.</w:t>
      </w:r>
    </w:p>
    <w:p>
      <w:pPr>
        <w:spacing w:after="0" w:line="152" w:lineRule="exact"/>
        <w:rPr>
          <w:sz w:val="20"/>
          <w:szCs w:val="20"/>
          <w:color w:val="auto"/>
        </w:rPr>
      </w:pPr>
    </w:p>
    <w:p>
      <w:pPr>
        <w:jc w:val="both"/>
        <w:ind w:right="20" w:firstLine="216"/>
        <w:spacing w:after="0" w:line="262" w:lineRule="auto"/>
        <w:rPr>
          <w:sz w:val="20"/>
          <w:szCs w:val="20"/>
          <w:color w:val="auto"/>
        </w:rPr>
      </w:pPr>
      <w:r>
        <w:rPr>
          <w:rFonts w:ascii="Arial" w:cs="Arial" w:eastAsia="Arial" w:hAnsi="Arial"/>
          <w:sz w:val="18"/>
          <w:szCs w:val="18"/>
          <w:color w:val="auto"/>
        </w:rPr>
        <w:t>American’s salaries, wages and benefits expense for the years ended December 31, 2019, 2018 and 2017 included $95 million, $88 million and $90 million, respectively, of share-based compensation costs.</w:t>
      </w:r>
    </w:p>
    <w:p>
      <w:pPr>
        <w:spacing w:after="0" w:line="142" w:lineRule="exact"/>
        <w:rPr>
          <w:sz w:val="20"/>
          <w:szCs w:val="20"/>
          <w:color w:val="auto"/>
        </w:rPr>
      </w:pPr>
    </w:p>
    <w:p>
      <w:pPr>
        <w:jc w:val="both"/>
        <w:ind w:firstLine="216"/>
        <w:spacing w:after="0" w:line="256" w:lineRule="auto"/>
        <w:rPr>
          <w:sz w:val="20"/>
          <w:szCs w:val="20"/>
          <w:color w:val="auto"/>
        </w:rPr>
      </w:pPr>
      <w:r>
        <w:rPr>
          <w:rFonts w:ascii="Arial" w:cs="Arial" w:eastAsia="Arial" w:hAnsi="Arial"/>
          <w:sz w:val="18"/>
          <w:szCs w:val="18"/>
          <w:color w:val="auto"/>
        </w:rPr>
        <w:t>During 2019, 2018 and 2017, AAG withheld approximately 0.8 million, 0.8 million and 1.1 million shares of AAG common stock, respectively, and paid approximately $25 million, $37 million and $51 million, respectively, in satisfaction of certain tax withholding obligations associated with employee equity awards.</w:t>
      </w:r>
    </w:p>
    <w:p>
      <w:pPr>
        <w:spacing w:after="0" w:line="207" w:lineRule="exact"/>
        <w:rPr>
          <w:sz w:val="20"/>
          <w:szCs w:val="20"/>
          <w:color w:val="auto"/>
        </w:rPr>
      </w:pPr>
    </w:p>
    <w:p>
      <w:pPr>
        <w:ind w:left="220"/>
        <w:spacing w:after="0"/>
        <w:rPr>
          <w:sz w:val="20"/>
          <w:szCs w:val="20"/>
          <w:color w:val="auto"/>
        </w:rPr>
      </w:pPr>
      <w:r>
        <w:rPr>
          <w:rFonts w:ascii="Arial" w:cs="Arial" w:eastAsia="Arial" w:hAnsi="Arial"/>
          <w:sz w:val="18"/>
          <w:szCs w:val="18"/>
          <w:b w:val="1"/>
          <w:bCs w:val="1"/>
          <w:i w:val="1"/>
          <w:iCs w:val="1"/>
          <w:color w:val="auto"/>
        </w:rPr>
        <w:t>Restricted Stock Unit Awards (RSUs)</w:t>
      </w:r>
    </w:p>
    <w:p>
      <w:pPr>
        <w:spacing w:after="0" w:line="112" w:lineRule="exact"/>
        <w:rPr>
          <w:sz w:val="20"/>
          <w:szCs w:val="20"/>
          <w:color w:val="auto"/>
        </w:rPr>
      </w:pPr>
    </w:p>
    <w:p>
      <w:pPr>
        <w:jc w:val="both"/>
        <w:ind w:firstLine="216"/>
        <w:spacing w:after="0" w:line="254" w:lineRule="auto"/>
        <w:rPr>
          <w:sz w:val="20"/>
          <w:szCs w:val="20"/>
          <w:color w:val="auto"/>
        </w:rPr>
      </w:pPr>
      <w:r>
        <w:rPr>
          <w:rFonts w:ascii="Arial" w:cs="Arial" w:eastAsia="Arial" w:hAnsi="Arial"/>
          <w:sz w:val="18"/>
          <w:szCs w:val="18"/>
          <w:color w:val="auto"/>
        </w:rPr>
        <w:t>The majority of American’s RSUs have service conditions (time vested primarily over three years). The grant-date fair value of these RSUs is equal to the market price of the underlying shares of AAG common stock on the date of grant. The expense for these RSUs is recognized on a straight-line basis over the vesting period for the entire award. RSUs are classified as equity awards as the vesting results in the issuance of shares of AAG common stock.</w:t>
      </w:r>
    </w:p>
    <w:p>
      <w:pPr>
        <w:spacing w:after="0" w:line="150" w:lineRule="exact"/>
        <w:rPr>
          <w:sz w:val="20"/>
          <w:szCs w:val="20"/>
          <w:color w:val="auto"/>
        </w:rPr>
      </w:pPr>
    </w:p>
    <w:p>
      <w:pPr>
        <w:ind w:left="220"/>
        <w:spacing w:after="0"/>
        <w:rPr>
          <w:sz w:val="20"/>
          <w:szCs w:val="20"/>
          <w:color w:val="auto"/>
        </w:rPr>
      </w:pPr>
      <w:r>
        <w:rPr>
          <w:rFonts w:ascii="Arial" w:cs="Arial" w:eastAsia="Arial" w:hAnsi="Arial"/>
          <w:sz w:val="18"/>
          <w:szCs w:val="18"/>
          <w:color w:val="auto"/>
        </w:rPr>
        <w:t>RSU award activity for all plans for the years ended December 31, 2019, 2018 and 2017 is as follows:</w:t>
      </w:r>
    </w:p>
    <w:p>
      <w:pPr>
        <w:spacing w:after="0" w:line="159"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7200" w:type="dxa"/>
            <w:vAlign w:val="bottom"/>
          </w:tcPr>
          <w:p>
            <w:pPr>
              <w:spacing w:after="0"/>
              <w:rPr>
                <w:sz w:val="14"/>
                <w:szCs w:val="14"/>
                <w:color w:val="auto"/>
              </w:rPr>
            </w:pPr>
          </w:p>
        </w:tc>
        <w:tc>
          <w:tcPr>
            <w:tcW w:w="20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900" w:type="dxa"/>
            <w:vAlign w:val="bottom"/>
          </w:tcPr>
          <w:p>
            <w:pPr>
              <w:jc w:val="right"/>
              <w:ind w:right="112"/>
              <w:spacing w:after="0"/>
              <w:rPr>
                <w:sz w:val="20"/>
                <w:szCs w:val="20"/>
                <w:color w:val="auto"/>
              </w:rPr>
            </w:pPr>
            <w:r>
              <w:rPr>
                <w:rFonts w:ascii="Arial" w:cs="Arial" w:eastAsia="Arial" w:hAnsi="Arial"/>
                <w:sz w:val="14"/>
                <w:szCs w:val="14"/>
                <w:b w:val="1"/>
                <w:bCs w:val="1"/>
                <w:color w:val="auto"/>
              </w:rPr>
              <w:t>Weighted Average Grant</w:t>
            </w:r>
          </w:p>
        </w:tc>
      </w:tr>
      <w:tr>
        <w:trPr>
          <w:trHeight w:val="196"/>
        </w:trPr>
        <w:tc>
          <w:tcPr>
            <w:tcW w:w="7200" w:type="dxa"/>
            <w:vAlign w:val="bottom"/>
          </w:tcPr>
          <w:p>
            <w:pPr>
              <w:spacing w:after="0"/>
              <w:rPr>
                <w:sz w:val="17"/>
                <w:szCs w:val="17"/>
                <w:color w:val="auto"/>
              </w:rPr>
            </w:pPr>
          </w:p>
        </w:tc>
        <w:tc>
          <w:tcPr>
            <w:tcW w:w="2040" w:type="dxa"/>
            <w:vAlign w:val="bottom"/>
            <w:tcBorders>
              <w:bottom w:val="single" w:sz="8" w:color="auto"/>
            </w:tcBorders>
          </w:tcPr>
          <w:p>
            <w:pPr>
              <w:jc w:val="right"/>
              <w:ind w:right="312"/>
              <w:spacing w:after="0"/>
              <w:rPr>
                <w:sz w:val="20"/>
                <w:szCs w:val="20"/>
                <w:color w:val="auto"/>
              </w:rPr>
            </w:pPr>
            <w:r>
              <w:rPr>
                <w:rFonts w:ascii="Arial" w:cs="Arial" w:eastAsia="Arial" w:hAnsi="Arial"/>
                <w:sz w:val="14"/>
                <w:szCs w:val="14"/>
                <w:b w:val="1"/>
                <w:bCs w:val="1"/>
                <w:color w:val="auto"/>
              </w:rPr>
              <w:t>Number of Shares</w:t>
            </w:r>
          </w:p>
        </w:tc>
        <w:tc>
          <w:tcPr>
            <w:tcW w:w="120" w:type="dxa"/>
            <w:vAlign w:val="bottom"/>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1900" w:type="dxa"/>
            <w:vAlign w:val="bottom"/>
            <w:tcBorders>
              <w:bottom w:val="single" w:sz="8" w:color="auto"/>
            </w:tcBorders>
          </w:tcPr>
          <w:p>
            <w:pPr>
              <w:jc w:val="right"/>
              <w:ind w:right="432"/>
              <w:spacing w:after="0"/>
              <w:rPr>
                <w:sz w:val="20"/>
                <w:szCs w:val="20"/>
                <w:color w:val="auto"/>
              </w:rPr>
            </w:pPr>
            <w:r>
              <w:rPr>
                <w:rFonts w:ascii="Arial" w:cs="Arial" w:eastAsia="Arial" w:hAnsi="Arial"/>
                <w:sz w:val="14"/>
                <w:szCs w:val="14"/>
                <w:b w:val="1"/>
                <w:bCs w:val="1"/>
                <w:color w:val="auto"/>
              </w:rPr>
              <w:t>Date Fair Value</w:t>
            </w:r>
          </w:p>
        </w:tc>
      </w:tr>
      <w:tr>
        <w:trPr>
          <w:trHeight w:val="250"/>
        </w:trPr>
        <w:tc>
          <w:tcPr>
            <w:tcW w:w="7200" w:type="dxa"/>
            <w:vAlign w:val="bottom"/>
          </w:tcPr>
          <w:p>
            <w:pPr>
              <w:spacing w:after="0"/>
              <w:rPr>
                <w:sz w:val="21"/>
                <w:szCs w:val="21"/>
                <w:color w:val="auto"/>
              </w:rPr>
            </w:pPr>
          </w:p>
        </w:tc>
        <w:tc>
          <w:tcPr>
            <w:tcW w:w="2040" w:type="dxa"/>
            <w:vAlign w:val="bottom"/>
          </w:tcPr>
          <w:p>
            <w:pPr>
              <w:jc w:val="right"/>
              <w:ind w:right="432"/>
              <w:spacing w:after="0"/>
              <w:rPr>
                <w:sz w:val="20"/>
                <w:szCs w:val="20"/>
                <w:color w:val="auto"/>
              </w:rPr>
            </w:pPr>
            <w:r>
              <w:rPr>
                <w:rFonts w:ascii="Arial" w:cs="Arial" w:eastAsia="Arial" w:hAnsi="Arial"/>
                <w:sz w:val="14"/>
                <w:szCs w:val="14"/>
                <w:b w:val="1"/>
                <w:bCs w:val="1"/>
                <w:color w:val="auto"/>
              </w:rPr>
              <w:t>(In thousands)</w:t>
            </w: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900" w:type="dxa"/>
            <w:vAlign w:val="bottom"/>
          </w:tcPr>
          <w:p>
            <w:pPr>
              <w:spacing w:after="0"/>
              <w:rPr>
                <w:sz w:val="21"/>
                <w:szCs w:val="21"/>
                <w:color w:val="auto"/>
              </w:rPr>
            </w:pPr>
          </w:p>
        </w:tc>
      </w:tr>
      <w:tr>
        <w:trPr>
          <w:trHeight w:val="276"/>
        </w:trPr>
        <w:tc>
          <w:tcPr>
            <w:tcW w:w="7200" w:type="dxa"/>
            <w:vAlign w:val="bottom"/>
            <w:shd w:val="clear" w:color="auto" w:fill="CCEEFF"/>
          </w:tcPr>
          <w:p>
            <w:pPr>
              <w:ind w:left="40"/>
              <w:spacing w:after="0"/>
              <w:rPr>
                <w:sz w:val="20"/>
                <w:szCs w:val="20"/>
                <w:color w:val="auto"/>
              </w:rPr>
            </w:pPr>
            <w:r>
              <w:rPr>
                <w:rFonts w:ascii="Arial" w:cs="Arial" w:eastAsia="Arial" w:hAnsi="Arial"/>
                <w:sz w:val="18"/>
                <w:szCs w:val="18"/>
                <w:color w:val="auto"/>
              </w:rPr>
              <w:t>Outstanding at December 31, 2016</w:t>
            </w:r>
          </w:p>
        </w:tc>
        <w:tc>
          <w:tcPr>
            <w:tcW w:w="204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5,187</w:t>
            </w:r>
          </w:p>
        </w:tc>
        <w:tc>
          <w:tcPr>
            <w:tcW w:w="2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190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41.48</w:t>
            </w:r>
          </w:p>
        </w:tc>
      </w:tr>
      <w:tr>
        <w:trPr>
          <w:trHeight w:val="263"/>
        </w:trPr>
        <w:tc>
          <w:tcPr>
            <w:tcW w:w="7200" w:type="dxa"/>
            <w:vAlign w:val="bottom"/>
          </w:tcPr>
          <w:p>
            <w:pPr>
              <w:ind w:left="280"/>
              <w:spacing w:after="0"/>
              <w:rPr>
                <w:sz w:val="20"/>
                <w:szCs w:val="20"/>
                <w:color w:val="auto"/>
              </w:rPr>
            </w:pPr>
            <w:r>
              <w:rPr>
                <w:rFonts w:ascii="Arial" w:cs="Arial" w:eastAsia="Arial" w:hAnsi="Arial"/>
                <w:sz w:val="18"/>
                <w:szCs w:val="18"/>
                <w:color w:val="auto"/>
              </w:rPr>
              <w:t>Granted</w:t>
            </w:r>
          </w:p>
        </w:tc>
        <w:tc>
          <w:tcPr>
            <w:tcW w:w="2040" w:type="dxa"/>
            <w:vAlign w:val="bottom"/>
          </w:tcPr>
          <w:p>
            <w:pPr>
              <w:jc w:val="right"/>
              <w:ind w:right="12"/>
              <w:spacing w:after="0"/>
              <w:rPr>
                <w:sz w:val="20"/>
                <w:szCs w:val="20"/>
                <w:color w:val="auto"/>
              </w:rPr>
            </w:pPr>
            <w:r>
              <w:rPr>
                <w:rFonts w:ascii="Arial" w:cs="Arial" w:eastAsia="Arial" w:hAnsi="Arial"/>
                <w:sz w:val="18"/>
                <w:szCs w:val="18"/>
                <w:color w:val="auto"/>
              </w:rPr>
              <w:t>2,309</w:t>
            </w:r>
          </w:p>
        </w:tc>
        <w:tc>
          <w:tcPr>
            <w:tcW w:w="12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900" w:type="dxa"/>
            <w:vAlign w:val="bottom"/>
          </w:tcPr>
          <w:p>
            <w:pPr>
              <w:jc w:val="right"/>
              <w:ind w:right="12"/>
              <w:spacing w:after="0"/>
              <w:rPr>
                <w:sz w:val="20"/>
                <w:szCs w:val="20"/>
                <w:color w:val="auto"/>
              </w:rPr>
            </w:pPr>
            <w:r>
              <w:rPr>
                <w:rFonts w:ascii="Arial" w:cs="Arial" w:eastAsia="Arial" w:hAnsi="Arial"/>
                <w:sz w:val="18"/>
                <w:szCs w:val="18"/>
                <w:color w:val="auto"/>
              </w:rPr>
              <w:t>48.58</w:t>
            </w:r>
          </w:p>
        </w:tc>
      </w:tr>
      <w:tr>
        <w:trPr>
          <w:trHeight w:val="277"/>
        </w:trPr>
        <w:tc>
          <w:tcPr>
            <w:tcW w:w="7200" w:type="dxa"/>
            <w:vAlign w:val="bottom"/>
            <w:shd w:val="clear" w:color="auto" w:fill="CCEEFF"/>
          </w:tcPr>
          <w:p>
            <w:pPr>
              <w:ind w:left="280"/>
              <w:spacing w:after="0"/>
              <w:rPr>
                <w:sz w:val="20"/>
                <w:szCs w:val="20"/>
                <w:color w:val="auto"/>
              </w:rPr>
            </w:pPr>
            <w:r>
              <w:rPr>
                <w:rFonts w:ascii="Arial" w:cs="Arial" w:eastAsia="Arial" w:hAnsi="Arial"/>
                <w:sz w:val="18"/>
                <w:szCs w:val="18"/>
                <w:color w:val="auto"/>
              </w:rPr>
              <w:t>Vested and released</w:t>
            </w:r>
          </w:p>
        </w:tc>
        <w:tc>
          <w:tcPr>
            <w:tcW w:w="2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(2,708)</w:t>
            </w:r>
          </w:p>
        </w:tc>
        <w:tc>
          <w:tcPr>
            <w:tcW w:w="12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190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39.63</w:t>
            </w:r>
          </w:p>
        </w:tc>
      </w:tr>
      <w:tr>
        <w:trPr>
          <w:trHeight w:val="264"/>
        </w:trPr>
        <w:tc>
          <w:tcPr>
            <w:tcW w:w="7200" w:type="dxa"/>
            <w:vAlign w:val="bottom"/>
            <w:tcBorders>
              <w:bottom w:val="single" w:sz="8" w:color="CCEEFF"/>
            </w:tcBorders>
          </w:tcPr>
          <w:p>
            <w:pPr>
              <w:ind w:left="280"/>
              <w:spacing w:after="0"/>
              <w:rPr>
                <w:sz w:val="20"/>
                <w:szCs w:val="20"/>
                <w:color w:val="auto"/>
              </w:rPr>
            </w:pPr>
            <w:r>
              <w:rPr>
                <w:rFonts w:ascii="Arial" w:cs="Arial" w:eastAsia="Arial" w:hAnsi="Arial"/>
                <w:sz w:val="18"/>
                <w:szCs w:val="18"/>
                <w:color w:val="auto"/>
              </w:rPr>
              <w:t>Forfeited</w:t>
            </w:r>
          </w:p>
        </w:tc>
        <w:tc>
          <w:tcPr>
            <w:tcW w:w="2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(464)</w:t>
            </w:r>
          </w:p>
        </w:tc>
        <w:tc>
          <w:tcPr>
            <w:tcW w:w="120" w:type="dxa"/>
            <w:vAlign w:val="bottom"/>
            <w:tcBorders>
              <w:bottom w:val="single" w:sz="8" w:color="CCEEFF"/>
            </w:tcBorders>
          </w:tcPr>
          <w:p>
            <w:pPr>
              <w:spacing w:after="0"/>
              <w:rPr>
                <w:sz w:val="22"/>
                <w:szCs w:val="22"/>
                <w:color w:val="auto"/>
              </w:rPr>
            </w:pPr>
          </w:p>
        </w:tc>
        <w:tc>
          <w:tcPr>
            <w:tcW w:w="160" w:type="dxa"/>
            <w:vAlign w:val="bottom"/>
            <w:tcBorders>
              <w:bottom w:val="single" w:sz="8" w:color="CCEEFF"/>
            </w:tcBorders>
          </w:tcPr>
          <w:p>
            <w:pPr>
              <w:spacing w:after="0"/>
              <w:rPr>
                <w:sz w:val="22"/>
                <w:szCs w:val="22"/>
                <w:color w:val="auto"/>
              </w:rPr>
            </w:pPr>
          </w:p>
        </w:tc>
        <w:tc>
          <w:tcPr>
            <w:tcW w:w="1900" w:type="dxa"/>
            <w:vAlign w:val="bottom"/>
            <w:tcBorders>
              <w:bottom w:val="single" w:sz="8" w:color="CCEEFF"/>
            </w:tcBorders>
          </w:tcPr>
          <w:p>
            <w:pPr>
              <w:jc w:val="right"/>
              <w:ind w:right="12"/>
              <w:spacing w:after="0"/>
              <w:rPr>
                <w:sz w:val="20"/>
                <w:szCs w:val="20"/>
                <w:color w:val="auto"/>
              </w:rPr>
            </w:pPr>
            <w:r>
              <w:rPr>
                <w:rFonts w:ascii="Arial" w:cs="Arial" w:eastAsia="Arial" w:hAnsi="Arial"/>
                <w:sz w:val="18"/>
                <w:szCs w:val="18"/>
                <w:color w:val="auto"/>
              </w:rPr>
              <w:t>44.48</w:t>
            </w:r>
          </w:p>
        </w:tc>
      </w:tr>
      <w:tr>
        <w:trPr>
          <w:trHeight w:val="257"/>
        </w:trPr>
        <w:tc>
          <w:tcPr>
            <w:tcW w:w="7200" w:type="dxa"/>
            <w:vAlign w:val="bottom"/>
            <w:shd w:val="clear" w:color="auto" w:fill="CCEEFF"/>
          </w:tcPr>
          <w:p>
            <w:pPr>
              <w:ind w:left="40"/>
              <w:spacing w:after="0"/>
              <w:rPr>
                <w:sz w:val="20"/>
                <w:szCs w:val="20"/>
                <w:color w:val="auto"/>
              </w:rPr>
            </w:pPr>
            <w:r>
              <w:rPr>
                <w:rFonts w:ascii="Arial" w:cs="Arial" w:eastAsia="Arial" w:hAnsi="Arial"/>
                <w:sz w:val="18"/>
                <w:szCs w:val="18"/>
                <w:color w:val="auto"/>
              </w:rPr>
              <w:t>Outstanding at December 31, 2017</w:t>
            </w:r>
          </w:p>
        </w:tc>
        <w:tc>
          <w:tcPr>
            <w:tcW w:w="204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4,324</w:t>
            </w:r>
          </w:p>
        </w:tc>
        <w:tc>
          <w:tcPr>
            <w:tcW w:w="2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190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46.94</w:t>
            </w:r>
          </w:p>
        </w:tc>
      </w:tr>
      <w:tr>
        <w:trPr>
          <w:trHeight w:val="263"/>
        </w:trPr>
        <w:tc>
          <w:tcPr>
            <w:tcW w:w="7200" w:type="dxa"/>
            <w:vAlign w:val="bottom"/>
          </w:tcPr>
          <w:p>
            <w:pPr>
              <w:ind w:left="280"/>
              <w:spacing w:after="0"/>
              <w:rPr>
                <w:sz w:val="20"/>
                <w:szCs w:val="20"/>
                <w:color w:val="auto"/>
              </w:rPr>
            </w:pPr>
            <w:r>
              <w:rPr>
                <w:rFonts w:ascii="Arial" w:cs="Arial" w:eastAsia="Arial" w:hAnsi="Arial"/>
                <w:sz w:val="18"/>
                <w:szCs w:val="18"/>
                <w:color w:val="auto"/>
              </w:rPr>
              <w:t>Granted</w:t>
            </w:r>
          </w:p>
        </w:tc>
        <w:tc>
          <w:tcPr>
            <w:tcW w:w="2040" w:type="dxa"/>
            <w:vAlign w:val="bottom"/>
          </w:tcPr>
          <w:p>
            <w:pPr>
              <w:jc w:val="right"/>
              <w:ind w:right="12"/>
              <w:spacing w:after="0"/>
              <w:rPr>
                <w:sz w:val="20"/>
                <w:szCs w:val="20"/>
                <w:color w:val="auto"/>
              </w:rPr>
            </w:pPr>
            <w:r>
              <w:rPr>
                <w:rFonts w:ascii="Arial" w:cs="Arial" w:eastAsia="Arial" w:hAnsi="Arial"/>
                <w:sz w:val="18"/>
                <w:szCs w:val="18"/>
                <w:color w:val="auto"/>
              </w:rPr>
              <w:t>2,194</w:t>
            </w:r>
          </w:p>
        </w:tc>
        <w:tc>
          <w:tcPr>
            <w:tcW w:w="12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900" w:type="dxa"/>
            <w:vAlign w:val="bottom"/>
          </w:tcPr>
          <w:p>
            <w:pPr>
              <w:jc w:val="right"/>
              <w:ind w:right="12"/>
              <w:spacing w:after="0"/>
              <w:rPr>
                <w:sz w:val="20"/>
                <w:szCs w:val="20"/>
                <w:color w:val="auto"/>
              </w:rPr>
            </w:pPr>
            <w:r>
              <w:rPr>
                <w:rFonts w:ascii="Arial" w:cs="Arial" w:eastAsia="Arial" w:hAnsi="Arial"/>
                <w:sz w:val="18"/>
                <w:szCs w:val="18"/>
                <w:color w:val="auto"/>
              </w:rPr>
              <w:t>47.65</w:t>
            </w:r>
          </w:p>
        </w:tc>
      </w:tr>
      <w:tr>
        <w:trPr>
          <w:trHeight w:val="277"/>
        </w:trPr>
        <w:tc>
          <w:tcPr>
            <w:tcW w:w="7200" w:type="dxa"/>
            <w:vAlign w:val="bottom"/>
            <w:shd w:val="clear" w:color="auto" w:fill="CCEEFF"/>
          </w:tcPr>
          <w:p>
            <w:pPr>
              <w:ind w:left="280"/>
              <w:spacing w:after="0"/>
              <w:rPr>
                <w:sz w:val="20"/>
                <w:szCs w:val="20"/>
                <w:color w:val="auto"/>
              </w:rPr>
            </w:pPr>
            <w:r>
              <w:rPr>
                <w:rFonts w:ascii="Arial" w:cs="Arial" w:eastAsia="Arial" w:hAnsi="Arial"/>
                <w:sz w:val="18"/>
                <w:szCs w:val="18"/>
                <w:color w:val="auto"/>
              </w:rPr>
              <w:t>Vested and released</w:t>
            </w:r>
          </w:p>
        </w:tc>
        <w:tc>
          <w:tcPr>
            <w:tcW w:w="2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(1,999)</w:t>
            </w:r>
          </w:p>
        </w:tc>
        <w:tc>
          <w:tcPr>
            <w:tcW w:w="12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190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44.99</w:t>
            </w:r>
          </w:p>
        </w:tc>
      </w:tr>
      <w:tr>
        <w:trPr>
          <w:trHeight w:val="264"/>
        </w:trPr>
        <w:tc>
          <w:tcPr>
            <w:tcW w:w="7200" w:type="dxa"/>
            <w:vAlign w:val="bottom"/>
            <w:tcBorders>
              <w:bottom w:val="single" w:sz="8" w:color="CCEEFF"/>
            </w:tcBorders>
          </w:tcPr>
          <w:p>
            <w:pPr>
              <w:ind w:left="280"/>
              <w:spacing w:after="0"/>
              <w:rPr>
                <w:sz w:val="20"/>
                <w:szCs w:val="20"/>
                <w:color w:val="auto"/>
              </w:rPr>
            </w:pPr>
            <w:r>
              <w:rPr>
                <w:rFonts w:ascii="Arial" w:cs="Arial" w:eastAsia="Arial" w:hAnsi="Arial"/>
                <w:sz w:val="18"/>
                <w:szCs w:val="18"/>
                <w:color w:val="auto"/>
              </w:rPr>
              <w:t>Forfeited</w:t>
            </w:r>
          </w:p>
        </w:tc>
        <w:tc>
          <w:tcPr>
            <w:tcW w:w="2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(199)</w:t>
            </w:r>
          </w:p>
        </w:tc>
        <w:tc>
          <w:tcPr>
            <w:tcW w:w="120" w:type="dxa"/>
            <w:vAlign w:val="bottom"/>
            <w:tcBorders>
              <w:bottom w:val="single" w:sz="8" w:color="CCEEFF"/>
            </w:tcBorders>
          </w:tcPr>
          <w:p>
            <w:pPr>
              <w:spacing w:after="0"/>
              <w:rPr>
                <w:sz w:val="22"/>
                <w:szCs w:val="22"/>
                <w:color w:val="auto"/>
              </w:rPr>
            </w:pPr>
          </w:p>
        </w:tc>
        <w:tc>
          <w:tcPr>
            <w:tcW w:w="160" w:type="dxa"/>
            <w:vAlign w:val="bottom"/>
            <w:tcBorders>
              <w:bottom w:val="single" w:sz="8" w:color="CCEEFF"/>
            </w:tcBorders>
          </w:tcPr>
          <w:p>
            <w:pPr>
              <w:spacing w:after="0"/>
              <w:rPr>
                <w:sz w:val="22"/>
                <w:szCs w:val="22"/>
                <w:color w:val="auto"/>
              </w:rPr>
            </w:pPr>
          </w:p>
        </w:tc>
        <w:tc>
          <w:tcPr>
            <w:tcW w:w="1900" w:type="dxa"/>
            <w:vAlign w:val="bottom"/>
            <w:tcBorders>
              <w:bottom w:val="single" w:sz="8" w:color="CCEEFF"/>
            </w:tcBorders>
          </w:tcPr>
          <w:p>
            <w:pPr>
              <w:jc w:val="right"/>
              <w:ind w:right="12"/>
              <w:spacing w:after="0"/>
              <w:rPr>
                <w:sz w:val="20"/>
                <w:szCs w:val="20"/>
                <w:color w:val="auto"/>
              </w:rPr>
            </w:pPr>
            <w:r>
              <w:rPr>
                <w:rFonts w:ascii="Arial" w:cs="Arial" w:eastAsia="Arial" w:hAnsi="Arial"/>
                <w:sz w:val="18"/>
                <w:szCs w:val="18"/>
                <w:color w:val="auto"/>
              </w:rPr>
              <w:t>45.72</w:t>
            </w:r>
          </w:p>
        </w:tc>
      </w:tr>
      <w:tr>
        <w:trPr>
          <w:trHeight w:val="257"/>
        </w:trPr>
        <w:tc>
          <w:tcPr>
            <w:tcW w:w="7200" w:type="dxa"/>
            <w:vAlign w:val="bottom"/>
            <w:shd w:val="clear" w:color="auto" w:fill="CCEEFF"/>
          </w:tcPr>
          <w:p>
            <w:pPr>
              <w:ind w:left="40"/>
              <w:spacing w:after="0"/>
              <w:rPr>
                <w:sz w:val="20"/>
                <w:szCs w:val="20"/>
                <w:color w:val="auto"/>
              </w:rPr>
            </w:pPr>
            <w:r>
              <w:rPr>
                <w:rFonts w:ascii="Arial" w:cs="Arial" w:eastAsia="Arial" w:hAnsi="Arial"/>
                <w:sz w:val="18"/>
                <w:szCs w:val="18"/>
                <w:color w:val="auto"/>
              </w:rPr>
              <w:t>Outstanding at December 31, 2018</w:t>
            </w:r>
          </w:p>
        </w:tc>
        <w:tc>
          <w:tcPr>
            <w:tcW w:w="204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4,320</w:t>
            </w:r>
          </w:p>
        </w:tc>
        <w:tc>
          <w:tcPr>
            <w:tcW w:w="2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190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44.29</w:t>
            </w:r>
          </w:p>
        </w:tc>
      </w:tr>
      <w:tr>
        <w:trPr>
          <w:trHeight w:val="263"/>
        </w:trPr>
        <w:tc>
          <w:tcPr>
            <w:tcW w:w="7200" w:type="dxa"/>
            <w:vAlign w:val="bottom"/>
          </w:tcPr>
          <w:p>
            <w:pPr>
              <w:ind w:left="280"/>
              <w:spacing w:after="0"/>
              <w:rPr>
                <w:sz w:val="20"/>
                <w:szCs w:val="20"/>
                <w:color w:val="auto"/>
              </w:rPr>
            </w:pPr>
            <w:r>
              <w:rPr>
                <w:rFonts w:ascii="Arial" w:cs="Arial" w:eastAsia="Arial" w:hAnsi="Arial"/>
                <w:sz w:val="18"/>
                <w:szCs w:val="18"/>
                <w:color w:val="auto"/>
              </w:rPr>
              <w:t>Granted</w:t>
            </w:r>
          </w:p>
        </w:tc>
        <w:tc>
          <w:tcPr>
            <w:tcW w:w="2040" w:type="dxa"/>
            <w:vAlign w:val="bottom"/>
          </w:tcPr>
          <w:p>
            <w:pPr>
              <w:jc w:val="right"/>
              <w:ind w:right="12"/>
              <w:spacing w:after="0"/>
              <w:rPr>
                <w:sz w:val="20"/>
                <w:szCs w:val="20"/>
                <w:color w:val="auto"/>
              </w:rPr>
            </w:pPr>
            <w:r>
              <w:rPr>
                <w:rFonts w:ascii="Arial" w:cs="Arial" w:eastAsia="Arial" w:hAnsi="Arial"/>
                <w:sz w:val="18"/>
                <w:szCs w:val="18"/>
                <w:color w:val="auto"/>
              </w:rPr>
              <w:t>3,206</w:t>
            </w:r>
          </w:p>
        </w:tc>
        <w:tc>
          <w:tcPr>
            <w:tcW w:w="12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900" w:type="dxa"/>
            <w:vAlign w:val="bottom"/>
          </w:tcPr>
          <w:p>
            <w:pPr>
              <w:jc w:val="right"/>
              <w:ind w:right="12"/>
              <w:spacing w:after="0"/>
              <w:rPr>
                <w:sz w:val="20"/>
                <w:szCs w:val="20"/>
                <w:color w:val="auto"/>
              </w:rPr>
            </w:pPr>
            <w:r>
              <w:rPr>
                <w:rFonts w:ascii="Arial" w:cs="Arial" w:eastAsia="Arial" w:hAnsi="Arial"/>
                <w:sz w:val="18"/>
                <w:szCs w:val="18"/>
                <w:color w:val="auto"/>
              </w:rPr>
              <w:t>34.00</w:t>
            </w:r>
          </w:p>
        </w:tc>
      </w:tr>
      <w:tr>
        <w:trPr>
          <w:trHeight w:val="277"/>
        </w:trPr>
        <w:tc>
          <w:tcPr>
            <w:tcW w:w="7200" w:type="dxa"/>
            <w:vAlign w:val="bottom"/>
            <w:shd w:val="clear" w:color="auto" w:fill="CCEEFF"/>
          </w:tcPr>
          <w:p>
            <w:pPr>
              <w:ind w:left="280"/>
              <w:spacing w:after="0"/>
              <w:rPr>
                <w:sz w:val="20"/>
                <w:szCs w:val="20"/>
                <w:color w:val="auto"/>
              </w:rPr>
            </w:pPr>
            <w:r>
              <w:rPr>
                <w:rFonts w:ascii="Arial" w:cs="Arial" w:eastAsia="Arial" w:hAnsi="Arial"/>
                <w:sz w:val="18"/>
                <w:szCs w:val="18"/>
                <w:color w:val="auto"/>
              </w:rPr>
              <w:t>Vested and released</w:t>
            </w:r>
          </w:p>
        </w:tc>
        <w:tc>
          <w:tcPr>
            <w:tcW w:w="2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(2,002)</w:t>
            </w:r>
          </w:p>
        </w:tc>
        <w:tc>
          <w:tcPr>
            <w:tcW w:w="12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190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44.90</w:t>
            </w:r>
          </w:p>
        </w:tc>
      </w:tr>
      <w:tr>
        <w:trPr>
          <w:trHeight w:val="264"/>
        </w:trPr>
        <w:tc>
          <w:tcPr>
            <w:tcW w:w="7200" w:type="dxa"/>
            <w:vAlign w:val="bottom"/>
            <w:tcBorders>
              <w:bottom w:val="single" w:sz="8" w:color="CCEEFF"/>
            </w:tcBorders>
          </w:tcPr>
          <w:p>
            <w:pPr>
              <w:ind w:left="280"/>
              <w:spacing w:after="0"/>
              <w:rPr>
                <w:sz w:val="20"/>
                <w:szCs w:val="20"/>
                <w:color w:val="auto"/>
              </w:rPr>
            </w:pPr>
            <w:r>
              <w:rPr>
                <w:rFonts w:ascii="Arial" w:cs="Arial" w:eastAsia="Arial" w:hAnsi="Arial"/>
                <w:sz w:val="18"/>
                <w:szCs w:val="18"/>
                <w:color w:val="auto"/>
              </w:rPr>
              <w:t>Forfeited</w:t>
            </w:r>
          </w:p>
        </w:tc>
        <w:tc>
          <w:tcPr>
            <w:tcW w:w="2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(337)</w:t>
            </w:r>
          </w:p>
        </w:tc>
        <w:tc>
          <w:tcPr>
            <w:tcW w:w="120" w:type="dxa"/>
            <w:vAlign w:val="bottom"/>
            <w:tcBorders>
              <w:bottom w:val="single" w:sz="8" w:color="CCEEFF"/>
            </w:tcBorders>
          </w:tcPr>
          <w:p>
            <w:pPr>
              <w:spacing w:after="0"/>
              <w:rPr>
                <w:sz w:val="22"/>
                <w:szCs w:val="22"/>
                <w:color w:val="auto"/>
              </w:rPr>
            </w:pPr>
          </w:p>
        </w:tc>
        <w:tc>
          <w:tcPr>
            <w:tcW w:w="160" w:type="dxa"/>
            <w:vAlign w:val="bottom"/>
            <w:tcBorders>
              <w:bottom w:val="single" w:sz="8" w:color="CCEEFF"/>
            </w:tcBorders>
          </w:tcPr>
          <w:p>
            <w:pPr>
              <w:spacing w:after="0"/>
              <w:rPr>
                <w:sz w:val="22"/>
                <w:szCs w:val="22"/>
                <w:color w:val="auto"/>
              </w:rPr>
            </w:pPr>
          </w:p>
        </w:tc>
        <w:tc>
          <w:tcPr>
            <w:tcW w:w="1900" w:type="dxa"/>
            <w:vAlign w:val="bottom"/>
            <w:tcBorders>
              <w:bottom w:val="single" w:sz="8" w:color="CCEEFF"/>
            </w:tcBorders>
          </w:tcPr>
          <w:p>
            <w:pPr>
              <w:jc w:val="right"/>
              <w:ind w:right="12"/>
              <w:spacing w:after="0"/>
              <w:rPr>
                <w:sz w:val="20"/>
                <w:szCs w:val="20"/>
                <w:color w:val="auto"/>
              </w:rPr>
            </w:pPr>
            <w:r>
              <w:rPr>
                <w:rFonts w:ascii="Arial" w:cs="Arial" w:eastAsia="Arial" w:hAnsi="Arial"/>
                <w:sz w:val="18"/>
                <w:szCs w:val="18"/>
                <w:color w:val="auto"/>
              </w:rPr>
              <w:t>42.55</w:t>
            </w:r>
          </w:p>
        </w:tc>
      </w:tr>
      <w:tr>
        <w:trPr>
          <w:trHeight w:val="257"/>
        </w:trPr>
        <w:tc>
          <w:tcPr>
            <w:tcW w:w="72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Outstanding at December 31, 2019</w:t>
            </w:r>
          </w:p>
        </w:tc>
        <w:tc>
          <w:tcPr>
            <w:tcW w:w="2040" w:type="dxa"/>
            <w:vAlign w:val="bottom"/>
            <w:tcBorders>
              <w:bottom w:val="single" w:sz="8" w:color="auto"/>
            </w:tcBorders>
            <w:shd w:val="clear" w:color="auto" w:fill="CCEEFF"/>
          </w:tcPr>
          <w:p>
            <w:pPr>
              <w:jc w:val="right"/>
              <w:ind w:right="12"/>
              <w:spacing w:after="0"/>
              <w:rPr>
                <w:sz w:val="20"/>
                <w:szCs w:val="20"/>
                <w:color w:val="auto"/>
              </w:rPr>
            </w:pPr>
            <w:r>
              <w:rPr>
                <w:rFonts w:ascii="Arial" w:cs="Arial" w:eastAsia="Arial" w:hAnsi="Arial"/>
                <w:sz w:val="18"/>
                <w:szCs w:val="18"/>
                <w:color w:val="auto"/>
              </w:rPr>
              <w:t>5,187</w:t>
            </w:r>
          </w:p>
        </w:tc>
        <w:tc>
          <w:tcPr>
            <w:tcW w:w="280" w:type="dxa"/>
            <w:vAlign w:val="bottom"/>
            <w:tcBorders>
              <w:bottom w:val="single" w:sz="8" w:color="CCEEFF"/>
            </w:tcBorders>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190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37.01</w:t>
            </w:r>
          </w:p>
        </w:tc>
      </w:tr>
      <w:tr>
        <w:trPr>
          <w:trHeight w:val="20"/>
        </w:trPr>
        <w:tc>
          <w:tcPr>
            <w:tcW w:w="7200" w:type="dxa"/>
            <w:vAlign w:val="bottom"/>
          </w:tcPr>
          <w:p>
            <w:pPr>
              <w:spacing w:after="0" w:line="20" w:lineRule="exact"/>
              <w:rPr>
                <w:sz w:val="1"/>
                <w:szCs w:val="1"/>
                <w:color w:val="auto"/>
              </w:rPr>
            </w:pPr>
          </w:p>
        </w:tc>
        <w:tc>
          <w:tcPr>
            <w:tcW w:w="20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900" w:type="dxa"/>
            <w:vAlign w:val="bottom"/>
          </w:tcPr>
          <w:p>
            <w:pPr>
              <w:spacing w:after="0" w:line="20" w:lineRule="exact"/>
              <w:rPr>
                <w:sz w:val="1"/>
                <w:szCs w:val="1"/>
                <w:color w:val="auto"/>
              </w:rPr>
            </w:pPr>
          </w:p>
        </w:tc>
      </w:tr>
    </w:tbl>
    <w:p>
      <w:pPr>
        <w:spacing w:after="0" w:line="200" w:lineRule="exact"/>
        <w:rPr>
          <w:sz w:val="20"/>
          <w:szCs w:val="20"/>
          <w:color w:val="auto"/>
        </w:rPr>
      </w:pPr>
    </w:p>
    <w:p>
      <w:pPr>
        <w:sectPr>
          <w:pgSz w:w="11900" w:h="16838" w:orient="portrait"/>
          <w:cols w:equalWidth="0" w:num="1">
            <w:col w:w="11420"/>
          </w:cols>
          <w:pgMar w:left="240" w:top="549" w:right="239" w:bottom="1440" w:gutter="0" w:footer="0" w:header="0"/>
        </w:sectPr>
      </w:pPr>
    </w:p>
    <w:p>
      <w:pPr>
        <w:spacing w:after="0" w:line="231"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155</w:t>
      </w:r>
    </w:p>
    <w:p>
      <w:pPr>
        <w:sectPr>
          <w:pgSz w:w="11900" w:h="16838" w:orient="portrait"/>
          <w:cols w:equalWidth="0" w:num="1">
            <w:col w:w="11420"/>
          </w:cols>
          <w:pgMar w:left="240" w:top="549" w:right="239" w:bottom="1440" w:gutter="0" w:footer="0" w:header="0"/>
          <w:type w:val="continuous"/>
        </w:sectPr>
      </w:pPr>
    </w:p>
    <w:bookmarkStart w:id="155" w:name="page156"/>
    <w:bookmarkEnd w:id="155"/>
    <w:p>
      <w:pPr>
        <w:jc w:val="center"/>
        <w:spacing w:after="0"/>
        <w:rPr>
          <w:sz w:val="20"/>
          <w:szCs w:val="20"/>
          <w:color w:val="auto"/>
        </w:rPr>
      </w:pPr>
      <w:r>
        <w:rPr>
          <w:rFonts w:ascii="Arial" w:cs="Arial" w:eastAsia="Arial" w:hAnsi="Arial"/>
          <w:sz w:val="18"/>
          <w:szCs w:val="18"/>
          <w:b w:val="1"/>
          <w:bCs w:val="1"/>
          <w:color w:val="auto"/>
        </w:rPr>
        <w:t>NOTES TO CONSOLIDATED FINANCIAL STATEMENTS OF AMERICAN AIRLINES, INC.</w:t>
      </w:r>
    </w:p>
    <w:p>
      <w:pPr>
        <w:spacing w:after="0" w:line="200" w:lineRule="exact"/>
        <w:rPr>
          <w:sz w:val="20"/>
          <w:szCs w:val="20"/>
          <w:color w:val="auto"/>
        </w:rPr>
      </w:pPr>
    </w:p>
    <w:p>
      <w:pPr>
        <w:spacing w:after="0" w:line="209" w:lineRule="exact"/>
        <w:rPr>
          <w:sz w:val="20"/>
          <w:szCs w:val="20"/>
          <w:color w:val="auto"/>
        </w:rPr>
      </w:pPr>
    </w:p>
    <w:p>
      <w:pPr>
        <w:jc w:val="both"/>
        <w:ind w:firstLine="216"/>
        <w:spacing w:after="0" w:line="256" w:lineRule="auto"/>
        <w:rPr>
          <w:sz w:val="20"/>
          <w:szCs w:val="20"/>
          <w:color w:val="auto"/>
        </w:rPr>
      </w:pPr>
      <w:r>
        <w:rPr>
          <w:rFonts w:ascii="Arial" w:cs="Arial" w:eastAsia="Arial" w:hAnsi="Arial"/>
          <w:sz w:val="18"/>
          <w:szCs w:val="18"/>
          <w:color w:val="auto"/>
        </w:rPr>
        <w:t>As of December 31, 2019, there was $108 million of unrecognized compensation cost related to RSUs. These costs are expected to be recognized over a weighted average period of one year. The total fair value of RSUs vested during the years ended December 31, 2019, 2018 and 2017 was $68 million, $91 million and $123 million, respectively.</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14. Valuation and Qualifying Accounts (in millions)</w:t>
      </w:r>
    </w:p>
    <w:p>
      <w:pPr>
        <w:spacing w:after="0" w:line="181"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46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4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720" w:type="dxa"/>
            <w:vAlign w:val="bottom"/>
            <w:gridSpan w:val="3"/>
          </w:tcPr>
          <w:p>
            <w:pPr>
              <w:jc w:val="center"/>
              <w:ind w:right="100"/>
              <w:spacing w:after="0"/>
              <w:rPr>
                <w:sz w:val="20"/>
                <w:szCs w:val="20"/>
                <w:color w:val="auto"/>
              </w:rPr>
            </w:pPr>
            <w:r>
              <w:rPr>
                <w:rFonts w:ascii="Arial" w:cs="Arial" w:eastAsia="Arial" w:hAnsi="Arial"/>
                <w:sz w:val="14"/>
                <w:szCs w:val="14"/>
                <w:b w:val="1"/>
                <w:bCs w:val="1"/>
                <w:color w:val="auto"/>
              </w:rPr>
              <w:t>Additions Charged to</w:t>
            </w:r>
          </w:p>
        </w:tc>
        <w:tc>
          <w:tcPr>
            <w:tcW w:w="26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340" w:type="dxa"/>
            <w:vAlign w:val="bottom"/>
          </w:tcPr>
          <w:p>
            <w:pPr>
              <w:spacing w:after="0"/>
              <w:rPr>
                <w:sz w:val="14"/>
                <w:szCs w:val="14"/>
                <w:color w:val="auto"/>
              </w:rPr>
            </w:pPr>
          </w:p>
        </w:tc>
      </w:tr>
      <w:tr>
        <w:trPr>
          <w:trHeight w:val="162"/>
        </w:trPr>
        <w:tc>
          <w:tcPr>
            <w:tcW w:w="46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56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rPr>
              <w:t>Balance at</w:t>
            </w:r>
          </w:p>
        </w:tc>
        <w:tc>
          <w:tcPr>
            <w:tcW w:w="260" w:type="dxa"/>
            <w:vAlign w:val="bottom"/>
          </w:tcPr>
          <w:p>
            <w:pPr>
              <w:spacing w:after="0"/>
              <w:rPr>
                <w:sz w:val="14"/>
                <w:szCs w:val="14"/>
                <w:color w:val="auto"/>
              </w:rPr>
            </w:pPr>
          </w:p>
        </w:tc>
        <w:tc>
          <w:tcPr>
            <w:tcW w:w="1460" w:type="dxa"/>
            <w:vAlign w:val="bottom"/>
            <w:gridSpan w:val="2"/>
          </w:tcPr>
          <w:p>
            <w:pPr>
              <w:jc w:val="center"/>
              <w:ind w:right="360"/>
              <w:spacing w:after="0"/>
              <w:rPr>
                <w:sz w:val="20"/>
                <w:szCs w:val="20"/>
                <w:color w:val="auto"/>
              </w:rPr>
            </w:pPr>
            <w:r>
              <w:rPr>
                <w:rFonts w:ascii="Arial" w:cs="Arial" w:eastAsia="Arial" w:hAnsi="Arial"/>
                <w:sz w:val="14"/>
                <w:szCs w:val="14"/>
                <w:b w:val="1"/>
                <w:bCs w:val="1"/>
                <w:color w:val="auto"/>
              </w:rPr>
              <w:t>Statement of</w:t>
            </w:r>
          </w:p>
        </w:tc>
        <w:tc>
          <w:tcPr>
            <w:tcW w:w="26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340" w:type="dxa"/>
            <w:vAlign w:val="bottom"/>
          </w:tcPr>
          <w:p>
            <w:pPr>
              <w:jc w:val="right"/>
              <w:ind w:right="354"/>
              <w:spacing w:after="0"/>
              <w:rPr>
                <w:sz w:val="20"/>
                <w:szCs w:val="20"/>
                <w:color w:val="auto"/>
              </w:rPr>
            </w:pPr>
            <w:r>
              <w:rPr>
                <w:rFonts w:ascii="Arial" w:cs="Arial" w:eastAsia="Arial" w:hAnsi="Arial"/>
                <w:sz w:val="14"/>
                <w:szCs w:val="14"/>
                <w:b w:val="1"/>
                <w:bCs w:val="1"/>
                <w:color w:val="auto"/>
              </w:rPr>
              <w:t>Balance at</w:t>
            </w:r>
          </w:p>
        </w:tc>
      </w:tr>
      <w:tr>
        <w:trPr>
          <w:trHeight w:val="196"/>
        </w:trPr>
        <w:tc>
          <w:tcPr>
            <w:tcW w:w="46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56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rPr>
              <w:t>Beginning of Year</w:t>
            </w:r>
          </w:p>
        </w:tc>
        <w:tc>
          <w:tcPr>
            <w:tcW w:w="1720" w:type="dxa"/>
            <w:vAlign w:val="bottom"/>
            <w:gridSpan w:val="3"/>
          </w:tcPr>
          <w:p>
            <w:pPr>
              <w:jc w:val="center"/>
              <w:ind w:right="100"/>
              <w:spacing w:after="0"/>
              <w:rPr>
                <w:sz w:val="20"/>
                <w:szCs w:val="20"/>
                <w:color w:val="auto"/>
              </w:rPr>
            </w:pPr>
            <w:r>
              <w:rPr>
                <w:rFonts w:ascii="Arial" w:cs="Arial" w:eastAsia="Arial" w:hAnsi="Arial"/>
                <w:sz w:val="14"/>
                <w:szCs w:val="14"/>
                <w:b w:val="1"/>
                <w:bCs w:val="1"/>
                <w:color w:val="auto"/>
              </w:rPr>
              <w:t>Operations Accounts</w:t>
            </w:r>
          </w:p>
        </w:tc>
        <w:tc>
          <w:tcPr>
            <w:tcW w:w="260" w:type="dxa"/>
            <w:vAlign w:val="bottom"/>
          </w:tcPr>
          <w:p>
            <w:pPr>
              <w:spacing w:after="0"/>
              <w:rPr>
                <w:sz w:val="17"/>
                <w:szCs w:val="17"/>
                <w:color w:val="auto"/>
              </w:rPr>
            </w:pPr>
          </w:p>
        </w:tc>
        <w:tc>
          <w:tcPr>
            <w:tcW w:w="1460" w:type="dxa"/>
            <w:vAlign w:val="bottom"/>
            <w:gridSpan w:val="2"/>
          </w:tcPr>
          <w:p>
            <w:pPr>
              <w:ind w:left="140"/>
              <w:spacing w:after="0"/>
              <w:rPr>
                <w:sz w:val="20"/>
                <w:szCs w:val="20"/>
                <w:color w:val="auto"/>
              </w:rPr>
            </w:pPr>
            <w:r>
              <w:rPr>
                <w:rFonts w:ascii="Arial" w:cs="Arial" w:eastAsia="Arial" w:hAnsi="Arial"/>
                <w:sz w:val="14"/>
                <w:szCs w:val="14"/>
                <w:b w:val="1"/>
                <w:bCs w:val="1"/>
                <w:color w:val="auto"/>
              </w:rPr>
              <w:t>Deductions</w:t>
            </w:r>
          </w:p>
        </w:tc>
        <w:tc>
          <w:tcPr>
            <w:tcW w:w="260" w:type="dxa"/>
            <w:vAlign w:val="bottom"/>
          </w:tcPr>
          <w:p>
            <w:pPr>
              <w:spacing w:after="0"/>
              <w:rPr>
                <w:sz w:val="17"/>
                <w:szCs w:val="17"/>
                <w:color w:val="auto"/>
              </w:rPr>
            </w:pPr>
          </w:p>
        </w:tc>
        <w:tc>
          <w:tcPr>
            <w:tcW w:w="1340" w:type="dxa"/>
            <w:vAlign w:val="bottom"/>
          </w:tcPr>
          <w:p>
            <w:pPr>
              <w:jc w:val="right"/>
              <w:ind w:right="314"/>
              <w:spacing w:after="0"/>
              <w:rPr>
                <w:sz w:val="20"/>
                <w:szCs w:val="20"/>
                <w:color w:val="auto"/>
              </w:rPr>
            </w:pPr>
            <w:r>
              <w:rPr>
                <w:rFonts w:ascii="Arial" w:cs="Arial" w:eastAsia="Arial" w:hAnsi="Arial"/>
                <w:sz w:val="14"/>
                <w:szCs w:val="14"/>
                <w:b w:val="1"/>
                <w:bCs w:val="1"/>
                <w:color w:val="auto"/>
              </w:rPr>
              <w:t>End of Year</w:t>
            </w:r>
          </w:p>
        </w:tc>
      </w:tr>
      <w:tr>
        <w:trPr>
          <w:trHeight w:val="250"/>
        </w:trPr>
        <w:tc>
          <w:tcPr>
            <w:tcW w:w="4660" w:type="dxa"/>
            <w:vAlign w:val="bottom"/>
            <w:tcBorders>
              <w:top w:val="single" w:sz="8" w:color="CCEEFF"/>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Allowance for obsolescence of spare parts</w:t>
            </w:r>
          </w:p>
        </w:tc>
        <w:tc>
          <w:tcPr>
            <w:tcW w:w="160" w:type="dxa"/>
            <w:vAlign w:val="bottom"/>
            <w:tcBorders>
              <w:top w:val="single" w:sz="8" w:color="auto"/>
              <w:bottom w:val="single" w:sz="8" w:color="CCEEFF"/>
            </w:tcBorders>
            <w:shd w:val="clear" w:color="auto" w:fill="CCEEFF"/>
          </w:tcPr>
          <w:p>
            <w:pPr>
              <w:spacing w:after="0"/>
              <w:rPr>
                <w:sz w:val="21"/>
                <w:szCs w:val="21"/>
                <w:color w:val="auto"/>
              </w:rPr>
            </w:pPr>
          </w:p>
        </w:tc>
        <w:tc>
          <w:tcPr>
            <w:tcW w:w="1460" w:type="dxa"/>
            <w:vAlign w:val="bottom"/>
            <w:tcBorders>
              <w:top w:val="single" w:sz="8" w:color="auto"/>
              <w:bottom w:val="single" w:sz="8" w:color="CCEEFF"/>
            </w:tcBorders>
            <w:shd w:val="clear" w:color="auto" w:fill="CCEEFF"/>
          </w:tcPr>
          <w:p>
            <w:pPr>
              <w:spacing w:after="0"/>
              <w:rPr>
                <w:sz w:val="21"/>
                <w:szCs w:val="21"/>
                <w:color w:val="auto"/>
              </w:rPr>
            </w:pP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260" w:type="dxa"/>
            <w:vAlign w:val="bottom"/>
            <w:tcBorders>
              <w:top w:val="single" w:sz="8" w:color="auto"/>
              <w:bottom w:val="single" w:sz="8" w:color="CCEEFF"/>
            </w:tcBorders>
            <w:shd w:val="clear" w:color="auto" w:fill="CCEEFF"/>
          </w:tcPr>
          <w:p>
            <w:pPr>
              <w:spacing w:after="0"/>
              <w:rPr>
                <w:sz w:val="21"/>
                <w:szCs w:val="21"/>
                <w:color w:val="auto"/>
              </w:rPr>
            </w:pPr>
          </w:p>
        </w:tc>
        <w:tc>
          <w:tcPr>
            <w:tcW w:w="1340" w:type="dxa"/>
            <w:vAlign w:val="bottom"/>
            <w:tcBorders>
              <w:top w:val="single" w:sz="8" w:color="auto"/>
              <w:bottom w:val="single" w:sz="8" w:color="CCEEFF"/>
            </w:tcBorders>
            <w:shd w:val="clear" w:color="auto" w:fill="CCEEFF"/>
          </w:tcPr>
          <w:p>
            <w:pPr>
              <w:spacing w:after="0"/>
              <w:rPr>
                <w:sz w:val="21"/>
                <w:szCs w:val="21"/>
                <w:color w:val="auto"/>
              </w:rPr>
            </w:pP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260" w:type="dxa"/>
            <w:vAlign w:val="bottom"/>
            <w:tcBorders>
              <w:top w:val="single" w:sz="8" w:color="auto"/>
              <w:bottom w:val="single" w:sz="8" w:color="CCEEFF"/>
            </w:tcBorders>
            <w:shd w:val="clear" w:color="auto" w:fill="CCEEFF"/>
          </w:tcPr>
          <w:p>
            <w:pPr>
              <w:spacing w:after="0"/>
              <w:rPr>
                <w:sz w:val="21"/>
                <w:szCs w:val="21"/>
                <w:color w:val="auto"/>
              </w:rPr>
            </w:pPr>
          </w:p>
        </w:tc>
        <w:tc>
          <w:tcPr>
            <w:tcW w:w="1340" w:type="dxa"/>
            <w:vAlign w:val="bottom"/>
            <w:tcBorders>
              <w:top w:val="single" w:sz="8" w:color="auto"/>
              <w:bottom w:val="single" w:sz="8" w:color="CCEEFF"/>
            </w:tcBorders>
            <w:shd w:val="clear" w:color="auto" w:fill="CCEEFF"/>
          </w:tcPr>
          <w:p>
            <w:pPr>
              <w:spacing w:after="0"/>
              <w:rPr>
                <w:sz w:val="21"/>
                <w:szCs w:val="21"/>
                <w:color w:val="auto"/>
              </w:rPr>
            </w:pP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260" w:type="dxa"/>
            <w:vAlign w:val="bottom"/>
            <w:tcBorders>
              <w:top w:val="single" w:sz="8" w:color="auto"/>
              <w:bottom w:val="single" w:sz="8" w:color="CCEEFF"/>
            </w:tcBorders>
            <w:shd w:val="clear" w:color="auto" w:fill="CCEEFF"/>
          </w:tcPr>
          <w:p>
            <w:pPr>
              <w:spacing w:after="0"/>
              <w:rPr>
                <w:sz w:val="21"/>
                <w:szCs w:val="21"/>
                <w:color w:val="auto"/>
              </w:rPr>
            </w:pPr>
          </w:p>
        </w:tc>
        <w:tc>
          <w:tcPr>
            <w:tcW w:w="1340" w:type="dxa"/>
            <w:vAlign w:val="bottom"/>
            <w:tcBorders>
              <w:top w:val="single" w:sz="8" w:color="auto"/>
              <w:bottom w:val="single" w:sz="8" w:color="CCEEFF"/>
            </w:tcBorders>
            <w:shd w:val="clear" w:color="auto" w:fill="CCEEFF"/>
          </w:tcPr>
          <w:p>
            <w:pPr>
              <w:spacing w:after="0"/>
              <w:rPr>
                <w:sz w:val="21"/>
                <w:szCs w:val="21"/>
                <w:color w:val="auto"/>
              </w:rPr>
            </w:pPr>
          </w:p>
        </w:tc>
      </w:tr>
      <w:tr>
        <w:trPr>
          <w:trHeight w:val="263"/>
        </w:trPr>
        <w:tc>
          <w:tcPr>
            <w:tcW w:w="4660" w:type="dxa"/>
            <w:vAlign w:val="bottom"/>
          </w:tcPr>
          <w:p>
            <w:pPr>
              <w:ind w:left="180"/>
              <w:spacing w:after="0"/>
              <w:rPr>
                <w:sz w:val="20"/>
                <w:szCs w:val="20"/>
                <w:color w:val="auto"/>
              </w:rPr>
            </w:pPr>
            <w:r>
              <w:rPr>
                <w:rFonts w:ascii="Arial" w:cs="Arial" w:eastAsia="Arial" w:hAnsi="Arial"/>
                <w:sz w:val="18"/>
                <w:szCs w:val="18"/>
                <w:color w:val="auto"/>
              </w:rPr>
              <w:t>Year ended December 31, 2019</w:t>
            </w:r>
          </w:p>
        </w:tc>
        <w:tc>
          <w:tcPr>
            <w:tcW w:w="160" w:type="dxa"/>
            <w:vAlign w:val="bottom"/>
          </w:tcPr>
          <w:p>
            <w:pPr>
              <w:jc w:val="right"/>
              <w:spacing w:after="0"/>
              <w:rPr>
                <w:sz w:val="20"/>
                <w:szCs w:val="20"/>
                <w:color w:val="auto"/>
              </w:rPr>
            </w:pPr>
            <w:r>
              <w:rPr>
                <w:rFonts w:ascii="Arial" w:cs="Arial" w:eastAsia="Arial" w:hAnsi="Arial"/>
                <w:sz w:val="18"/>
                <w:szCs w:val="18"/>
                <w:color w:val="auto"/>
              </w:rPr>
              <w:t>$</w:t>
            </w:r>
          </w:p>
        </w:tc>
        <w:tc>
          <w:tcPr>
            <w:tcW w:w="1460" w:type="dxa"/>
            <w:vAlign w:val="bottom"/>
          </w:tcPr>
          <w:p>
            <w:pPr>
              <w:jc w:val="right"/>
              <w:ind w:right="34"/>
              <w:spacing w:after="0"/>
              <w:rPr>
                <w:sz w:val="20"/>
                <w:szCs w:val="20"/>
                <w:color w:val="auto"/>
              </w:rPr>
            </w:pPr>
            <w:r>
              <w:rPr>
                <w:rFonts w:ascii="Arial" w:cs="Arial" w:eastAsia="Arial" w:hAnsi="Arial"/>
                <w:sz w:val="18"/>
                <w:szCs w:val="18"/>
                <w:color w:val="auto"/>
              </w:rPr>
              <w:t>754</w:t>
            </w:r>
          </w:p>
        </w:tc>
        <w:tc>
          <w:tcPr>
            <w:tcW w:w="100" w:type="dxa"/>
            <w:vAlign w:val="bottom"/>
          </w:tcPr>
          <w:p>
            <w:pPr>
              <w:spacing w:after="0"/>
              <w:rPr>
                <w:sz w:val="22"/>
                <w:szCs w:val="22"/>
                <w:color w:val="auto"/>
              </w:rPr>
            </w:pPr>
          </w:p>
        </w:tc>
        <w:tc>
          <w:tcPr>
            <w:tcW w:w="260" w:type="dxa"/>
            <w:vAlign w:val="bottom"/>
          </w:tcPr>
          <w:p>
            <w:pPr>
              <w:jc w:val="right"/>
              <w:ind w:right="59"/>
              <w:spacing w:after="0"/>
              <w:rPr>
                <w:sz w:val="20"/>
                <w:szCs w:val="20"/>
                <w:color w:val="auto"/>
              </w:rPr>
            </w:pPr>
            <w:r>
              <w:rPr>
                <w:rFonts w:ascii="Arial" w:cs="Arial" w:eastAsia="Arial" w:hAnsi="Arial"/>
                <w:sz w:val="18"/>
                <w:szCs w:val="18"/>
                <w:color w:val="auto"/>
                <w:w w:val="99"/>
              </w:rPr>
              <w:t>$</w:t>
            </w:r>
          </w:p>
        </w:tc>
        <w:tc>
          <w:tcPr>
            <w:tcW w:w="1340" w:type="dxa"/>
            <w:vAlign w:val="bottom"/>
          </w:tcPr>
          <w:p>
            <w:pPr>
              <w:jc w:val="right"/>
              <w:ind w:right="13"/>
              <w:spacing w:after="0"/>
              <w:rPr>
                <w:sz w:val="20"/>
                <w:szCs w:val="20"/>
                <w:color w:val="auto"/>
              </w:rPr>
            </w:pPr>
            <w:r>
              <w:rPr>
                <w:rFonts w:ascii="Arial" w:cs="Arial" w:eastAsia="Arial" w:hAnsi="Arial"/>
                <w:sz w:val="18"/>
                <w:szCs w:val="18"/>
                <w:color w:val="auto"/>
              </w:rPr>
              <w:t>79</w:t>
            </w:r>
          </w:p>
        </w:tc>
        <w:tc>
          <w:tcPr>
            <w:tcW w:w="120" w:type="dxa"/>
            <w:vAlign w:val="bottom"/>
          </w:tcPr>
          <w:p>
            <w:pPr>
              <w:spacing w:after="0"/>
              <w:rPr>
                <w:sz w:val="22"/>
                <w:szCs w:val="22"/>
                <w:color w:val="auto"/>
              </w:rPr>
            </w:pPr>
          </w:p>
        </w:tc>
        <w:tc>
          <w:tcPr>
            <w:tcW w:w="260" w:type="dxa"/>
            <w:vAlign w:val="bottom"/>
          </w:tcPr>
          <w:p>
            <w:pPr>
              <w:jc w:val="right"/>
              <w:ind w:right="50"/>
              <w:spacing w:after="0"/>
              <w:rPr>
                <w:sz w:val="20"/>
                <w:szCs w:val="20"/>
                <w:color w:val="auto"/>
              </w:rPr>
            </w:pPr>
            <w:r>
              <w:rPr>
                <w:rFonts w:ascii="Arial" w:cs="Arial" w:eastAsia="Arial" w:hAnsi="Arial"/>
                <w:sz w:val="18"/>
                <w:szCs w:val="18"/>
                <w:color w:val="auto"/>
                <w:w w:val="99"/>
              </w:rPr>
              <w:t>$</w:t>
            </w:r>
          </w:p>
        </w:tc>
        <w:tc>
          <w:tcPr>
            <w:tcW w:w="1340" w:type="dxa"/>
            <w:vAlign w:val="bottom"/>
          </w:tcPr>
          <w:p>
            <w:pPr>
              <w:jc w:val="right"/>
              <w:spacing w:after="0"/>
              <w:rPr>
                <w:sz w:val="20"/>
                <w:szCs w:val="20"/>
                <w:color w:val="auto"/>
              </w:rPr>
            </w:pPr>
            <w:r>
              <w:rPr>
                <w:rFonts w:ascii="Arial" w:cs="Arial" w:eastAsia="Arial" w:hAnsi="Arial"/>
                <w:sz w:val="18"/>
                <w:szCs w:val="18"/>
                <w:color w:val="auto"/>
              </w:rPr>
              <w:t>(104)</w:t>
            </w:r>
          </w:p>
        </w:tc>
        <w:tc>
          <w:tcPr>
            <w:tcW w:w="120" w:type="dxa"/>
            <w:vAlign w:val="bottom"/>
          </w:tcPr>
          <w:p>
            <w:pPr>
              <w:spacing w:after="0"/>
              <w:rPr>
                <w:sz w:val="22"/>
                <w:szCs w:val="22"/>
                <w:color w:val="auto"/>
              </w:rPr>
            </w:pPr>
          </w:p>
        </w:tc>
        <w:tc>
          <w:tcPr>
            <w:tcW w:w="260" w:type="dxa"/>
            <w:vAlign w:val="bottom"/>
          </w:tcPr>
          <w:p>
            <w:pPr>
              <w:jc w:val="right"/>
              <w:ind w:right="50"/>
              <w:spacing w:after="0"/>
              <w:rPr>
                <w:sz w:val="20"/>
                <w:szCs w:val="20"/>
                <w:color w:val="auto"/>
              </w:rPr>
            </w:pPr>
            <w:r>
              <w:rPr>
                <w:rFonts w:ascii="Arial" w:cs="Arial" w:eastAsia="Arial" w:hAnsi="Arial"/>
                <w:sz w:val="18"/>
                <w:szCs w:val="18"/>
                <w:color w:val="auto"/>
                <w:w w:val="99"/>
              </w:rPr>
              <w:t>$</w:t>
            </w:r>
          </w:p>
        </w:tc>
        <w:tc>
          <w:tcPr>
            <w:tcW w:w="1340" w:type="dxa"/>
            <w:vAlign w:val="bottom"/>
          </w:tcPr>
          <w:p>
            <w:pPr>
              <w:jc w:val="right"/>
              <w:ind w:right="14"/>
              <w:spacing w:after="0"/>
              <w:rPr>
                <w:sz w:val="20"/>
                <w:szCs w:val="20"/>
                <w:color w:val="auto"/>
              </w:rPr>
            </w:pPr>
            <w:r>
              <w:rPr>
                <w:rFonts w:ascii="Arial" w:cs="Arial" w:eastAsia="Arial" w:hAnsi="Arial"/>
                <w:sz w:val="18"/>
                <w:szCs w:val="18"/>
                <w:color w:val="auto"/>
              </w:rPr>
              <w:t>729</w:t>
            </w:r>
          </w:p>
        </w:tc>
      </w:tr>
      <w:tr>
        <w:trPr>
          <w:trHeight w:val="277"/>
        </w:trPr>
        <w:tc>
          <w:tcPr>
            <w:tcW w:w="4660" w:type="dxa"/>
            <w:vAlign w:val="bottom"/>
            <w:shd w:val="clear" w:color="auto" w:fill="CCEEFF"/>
          </w:tcPr>
          <w:p>
            <w:pPr>
              <w:ind w:left="180"/>
              <w:spacing w:after="0"/>
              <w:rPr>
                <w:sz w:val="20"/>
                <w:szCs w:val="20"/>
                <w:color w:val="auto"/>
              </w:rPr>
            </w:pPr>
            <w:r>
              <w:rPr>
                <w:rFonts w:ascii="Arial" w:cs="Arial" w:eastAsia="Arial" w:hAnsi="Arial"/>
                <w:sz w:val="18"/>
                <w:szCs w:val="18"/>
                <w:color w:val="auto"/>
              </w:rPr>
              <w:t>Year ended December 31, 2018</w:t>
            </w:r>
          </w:p>
        </w:tc>
        <w:tc>
          <w:tcPr>
            <w:tcW w:w="160" w:type="dxa"/>
            <w:vAlign w:val="bottom"/>
            <w:shd w:val="clear" w:color="auto" w:fill="CCEEFF"/>
          </w:tcPr>
          <w:p>
            <w:pPr>
              <w:spacing w:after="0"/>
              <w:rPr>
                <w:sz w:val="24"/>
                <w:szCs w:val="24"/>
                <w:color w:val="auto"/>
              </w:rPr>
            </w:pPr>
          </w:p>
        </w:tc>
        <w:tc>
          <w:tcPr>
            <w:tcW w:w="1460" w:type="dxa"/>
            <w:vAlign w:val="bottom"/>
            <w:shd w:val="clear" w:color="auto" w:fill="CCEEFF"/>
          </w:tcPr>
          <w:p>
            <w:pPr>
              <w:jc w:val="right"/>
              <w:ind w:right="34"/>
              <w:spacing w:after="0"/>
              <w:rPr>
                <w:sz w:val="20"/>
                <w:szCs w:val="20"/>
                <w:color w:val="auto"/>
              </w:rPr>
            </w:pPr>
            <w:r>
              <w:rPr>
                <w:rFonts w:ascii="Arial" w:cs="Arial" w:eastAsia="Arial" w:hAnsi="Arial"/>
                <w:sz w:val="18"/>
                <w:szCs w:val="18"/>
                <w:color w:val="auto"/>
              </w:rPr>
              <w:t>717</w:t>
            </w:r>
          </w:p>
        </w:tc>
        <w:tc>
          <w:tcPr>
            <w:tcW w:w="100" w:type="dxa"/>
            <w:vAlign w:val="bottom"/>
            <w:shd w:val="clear" w:color="auto" w:fill="CCEEFF"/>
          </w:tcPr>
          <w:p>
            <w:pPr>
              <w:spacing w:after="0"/>
              <w:rPr>
                <w:sz w:val="24"/>
                <w:szCs w:val="24"/>
                <w:color w:val="auto"/>
              </w:rPr>
            </w:pPr>
          </w:p>
        </w:tc>
        <w:tc>
          <w:tcPr>
            <w:tcW w:w="260" w:type="dxa"/>
            <w:vAlign w:val="bottom"/>
            <w:shd w:val="clear" w:color="auto" w:fill="CCEEFF"/>
          </w:tcPr>
          <w:p>
            <w:pPr>
              <w:spacing w:after="0"/>
              <w:rPr>
                <w:sz w:val="24"/>
                <w:szCs w:val="24"/>
                <w:color w:val="auto"/>
              </w:rPr>
            </w:pPr>
          </w:p>
        </w:tc>
        <w:tc>
          <w:tcPr>
            <w:tcW w:w="1340" w:type="dxa"/>
            <w:vAlign w:val="bottom"/>
            <w:shd w:val="clear" w:color="auto" w:fill="CCEEFF"/>
          </w:tcPr>
          <w:p>
            <w:pPr>
              <w:jc w:val="right"/>
              <w:ind w:right="13"/>
              <w:spacing w:after="0"/>
              <w:rPr>
                <w:sz w:val="20"/>
                <w:szCs w:val="20"/>
                <w:color w:val="auto"/>
              </w:rPr>
            </w:pPr>
            <w:r>
              <w:rPr>
                <w:rFonts w:ascii="Arial" w:cs="Arial" w:eastAsia="Arial" w:hAnsi="Arial"/>
                <w:sz w:val="18"/>
                <w:szCs w:val="18"/>
                <w:color w:val="auto"/>
              </w:rPr>
              <w:t>57</w:t>
            </w:r>
          </w:p>
        </w:tc>
        <w:tc>
          <w:tcPr>
            <w:tcW w:w="120" w:type="dxa"/>
            <w:vAlign w:val="bottom"/>
            <w:shd w:val="clear" w:color="auto" w:fill="CCEEFF"/>
          </w:tcPr>
          <w:p>
            <w:pPr>
              <w:spacing w:after="0"/>
              <w:rPr>
                <w:sz w:val="24"/>
                <w:szCs w:val="24"/>
                <w:color w:val="auto"/>
              </w:rPr>
            </w:pPr>
          </w:p>
        </w:tc>
        <w:tc>
          <w:tcPr>
            <w:tcW w:w="260" w:type="dxa"/>
            <w:vAlign w:val="bottom"/>
            <w:shd w:val="clear" w:color="auto" w:fill="CCEEFF"/>
          </w:tcPr>
          <w:p>
            <w:pPr>
              <w:spacing w:after="0"/>
              <w:rPr>
                <w:sz w:val="24"/>
                <w:szCs w:val="24"/>
                <w:color w:val="auto"/>
              </w:rPr>
            </w:pPr>
          </w:p>
        </w:tc>
        <w:tc>
          <w:tcPr>
            <w:tcW w:w="1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w:t>
            </w:r>
          </w:p>
        </w:tc>
        <w:tc>
          <w:tcPr>
            <w:tcW w:w="120" w:type="dxa"/>
            <w:vAlign w:val="bottom"/>
            <w:shd w:val="clear" w:color="auto" w:fill="CCEEFF"/>
          </w:tcPr>
          <w:p>
            <w:pPr>
              <w:spacing w:after="0"/>
              <w:rPr>
                <w:sz w:val="24"/>
                <w:szCs w:val="24"/>
                <w:color w:val="auto"/>
              </w:rPr>
            </w:pPr>
          </w:p>
        </w:tc>
        <w:tc>
          <w:tcPr>
            <w:tcW w:w="260" w:type="dxa"/>
            <w:vAlign w:val="bottom"/>
            <w:shd w:val="clear" w:color="auto" w:fill="CCEEFF"/>
          </w:tcPr>
          <w:p>
            <w:pPr>
              <w:spacing w:after="0"/>
              <w:rPr>
                <w:sz w:val="24"/>
                <w:szCs w:val="24"/>
                <w:color w:val="auto"/>
              </w:rPr>
            </w:pPr>
          </w:p>
        </w:tc>
        <w:tc>
          <w:tcPr>
            <w:tcW w:w="1340" w:type="dxa"/>
            <w:vAlign w:val="bottom"/>
            <w:shd w:val="clear" w:color="auto" w:fill="CCEEFF"/>
          </w:tcPr>
          <w:p>
            <w:pPr>
              <w:jc w:val="right"/>
              <w:ind w:right="14"/>
              <w:spacing w:after="0"/>
              <w:rPr>
                <w:sz w:val="20"/>
                <w:szCs w:val="20"/>
                <w:color w:val="auto"/>
              </w:rPr>
            </w:pPr>
            <w:r>
              <w:rPr>
                <w:rFonts w:ascii="Arial" w:cs="Arial" w:eastAsia="Arial" w:hAnsi="Arial"/>
                <w:sz w:val="18"/>
                <w:szCs w:val="18"/>
                <w:color w:val="auto"/>
              </w:rPr>
              <w:t>754</w:t>
            </w:r>
          </w:p>
        </w:tc>
      </w:tr>
      <w:tr>
        <w:trPr>
          <w:trHeight w:val="263"/>
        </w:trPr>
        <w:tc>
          <w:tcPr>
            <w:tcW w:w="4660" w:type="dxa"/>
            <w:vAlign w:val="bottom"/>
          </w:tcPr>
          <w:p>
            <w:pPr>
              <w:ind w:left="180"/>
              <w:spacing w:after="0"/>
              <w:rPr>
                <w:sz w:val="20"/>
                <w:szCs w:val="20"/>
                <w:color w:val="auto"/>
              </w:rPr>
            </w:pPr>
            <w:r>
              <w:rPr>
                <w:rFonts w:ascii="Arial" w:cs="Arial" w:eastAsia="Arial" w:hAnsi="Arial"/>
                <w:sz w:val="18"/>
                <w:szCs w:val="18"/>
                <w:color w:val="auto"/>
              </w:rPr>
              <w:t>Year ended December 31, 2017</w:t>
            </w:r>
          </w:p>
        </w:tc>
        <w:tc>
          <w:tcPr>
            <w:tcW w:w="160" w:type="dxa"/>
            <w:vAlign w:val="bottom"/>
          </w:tcPr>
          <w:p>
            <w:pPr>
              <w:spacing w:after="0"/>
              <w:rPr>
                <w:sz w:val="22"/>
                <w:szCs w:val="22"/>
                <w:color w:val="auto"/>
              </w:rPr>
            </w:pPr>
          </w:p>
        </w:tc>
        <w:tc>
          <w:tcPr>
            <w:tcW w:w="1460" w:type="dxa"/>
            <w:vAlign w:val="bottom"/>
          </w:tcPr>
          <w:p>
            <w:pPr>
              <w:jc w:val="right"/>
              <w:ind w:right="34"/>
              <w:spacing w:after="0"/>
              <w:rPr>
                <w:sz w:val="20"/>
                <w:szCs w:val="20"/>
                <w:color w:val="auto"/>
              </w:rPr>
            </w:pPr>
            <w:r>
              <w:rPr>
                <w:rFonts w:ascii="Arial" w:cs="Arial" w:eastAsia="Arial" w:hAnsi="Arial"/>
                <w:sz w:val="18"/>
                <w:szCs w:val="18"/>
                <w:color w:val="auto"/>
              </w:rPr>
              <w:t>720</w:t>
            </w:r>
          </w:p>
        </w:tc>
        <w:tc>
          <w:tcPr>
            <w:tcW w:w="10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1340" w:type="dxa"/>
            <w:vAlign w:val="bottom"/>
          </w:tcPr>
          <w:p>
            <w:pPr>
              <w:jc w:val="right"/>
              <w:ind w:right="13"/>
              <w:spacing w:after="0"/>
              <w:rPr>
                <w:sz w:val="20"/>
                <w:szCs w:val="20"/>
                <w:color w:val="auto"/>
              </w:rPr>
            </w:pPr>
            <w:r>
              <w:rPr>
                <w:rFonts w:ascii="Arial" w:cs="Arial" w:eastAsia="Arial" w:hAnsi="Arial"/>
                <w:sz w:val="18"/>
                <w:szCs w:val="18"/>
                <w:color w:val="auto"/>
              </w:rPr>
              <w:t>18</w:t>
            </w:r>
          </w:p>
        </w:tc>
        <w:tc>
          <w:tcPr>
            <w:tcW w:w="12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(21)</w:t>
            </w:r>
          </w:p>
        </w:tc>
        <w:tc>
          <w:tcPr>
            <w:tcW w:w="12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1340" w:type="dxa"/>
            <w:vAlign w:val="bottom"/>
          </w:tcPr>
          <w:p>
            <w:pPr>
              <w:jc w:val="right"/>
              <w:ind w:right="14"/>
              <w:spacing w:after="0"/>
              <w:rPr>
                <w:sz w:val="20"/>
                <w:szCs w:val="20"/>
                <w:color w:val="auto"/>
              </w:rPr>
            </w:pPr>
            <w:r>
              <w:rPr>
                <w:rFonts w:ascii="Arial" w:cs="Arial" w:eastAsia="Arial" w:hAnsi="Arial"/>
                <w:sz w:val="18"/>
                <w:szCs w:val="18"/>
                <w:color w:val="auto"/>
              </w:rPr>
              <w:t>717</w:t>
            </w:r>
          </w:p>
        </w:tc>
      </w:tr>
      <w:tr>
        <w:trPr>
          <w:trHeight w:val="257"/>
        </w:trPr>
        <w:tc>
          <w:tcPr>
            <w:tcW w:w="46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Allowance for uncollectible accounts</w:t>
            </w:r>
          </w:p>
        </w:tc>
        <w:tc>
          <w:tcPr>
            <w:tcW w:w="160" w:type="dxa"/>
            <w:vAlign w:val="bottom"/>
            <w:tcBorders>
              <w:bottom w:val="single" w:sz="8" w:color="CCEEFF"/>
            </w:tcBorders>
            <w:shd w:val="clear" w:color="auto" w:fill="CCEEFF"/>
          </w:tcPr>
          <w:p>
            <w:pPr>
              <w:spacing w:after="0"/>
              <w:rPr>
                <w:sz w:val="22"/>
                <w:szCs w:val="22"/>
                <w:color w:val="auto"/>
              </w:rPr>
            </w:pPr>
          </w:p>
        </w:tc>
        <w:tc>
          <w:tcPr>
            <w:tcW w:w="146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260" w:type="dxa"/>
            <w:vAlign w:val="bottom"/>
            <w:tcBorders>
              <w:bottom w:val="single" w:sz="8" w:color="CCEEFF"/>
            </w:tcBorders>
            <w:shd w:val="clear" w:color="auto" w:fill="CCEEFF"/>
          </w:tcPr>
          <w:p>
            <w:pPr>
              <w:spacing w:after="0"/>
              <w:rPr>
                <w:sz w:val="22"/>
                <w:szCs w:val="22"/>
                <w:color w:val="auto"/>
              </w:rPr>
            </w:pPr>
          </w:p>
        </w:tc>
        <w:tc>
          <w:tcPr>
            <w:tcW w:w="134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260" w:type="dxa"/>
            <w:vAlign w:val="bottom"/>
            <w:tcBorders>
              <w:bottom w:val="single" w:sz="8" w:color="CCEEFF"/>
            </w:tcBorders>
            <w:shd w:val="clear" w:color="auto" w:fill="CCEEFF"/>
          </w:tcPr>
          <w:p>
            <w:pPr>
              <w:spacing w:after="0"/>
              <w:rPr>
                <w:sz w:val="22"/>
                <w:szCs w:val="22"/>
                <w:color w:val="auto"/>
              </w:rPr>
            </w:pPr>
          </w:p>
        </w:tc>
        <w:tc>
          <w:tcPr>
            <w:tcW w:w="134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260" w:type="dxa"/>
            <w:vAlign w:val="bottom"/>
            <w:tcBorders>
              <w:bottom w:val="single" w:sz="8" w:color="CCEEFF"/>
            </w:tcBorders>
            <w:shd w:val="clear" w:color="auto" w:fill="CCEEFF"/>
          </w:tcPr>
          <w:p>
            <w:pPr>
              <w:spacing w:after="0"/>
              <w:rPr>
                <w:sz w:val="22"/>
                <w:szCs w:val="22"/>
                <w:color w:val="auto"/>
              </w:rPr>
            </w:pPr>
          </w:p>
        </w:tc>
        <w:tc>
          <w:tcPr>
            <w:tcW w:w="1340" w:type="dxa"/>
            <w:vAlign w:val="bottom"/>
            <w:tcBorders>
              <w:bottom w:val="single" w:sz="8" w:color="CCEEFF"/>
            </w:tcBorders>
            <w:shd w:val="clear" w:color="auto" w:fill="CCEEFF"/>
          </w:tcPr>
          <w:p>
            <w:pPr>
              <w:spacing w:after="0"/>
              <w:rPr>
                <w:sz w:val="22"/>
                <w:szCs w:val="22"/>
                <w:color w:val="auto"/>
              </w:rPr>
            </w:pPr>
          </w:p>
        </w:tc>
      </w:tr>
      <w:tr>
        <w:trPr>
          <w:trHeight w:val="263"/>
        </w:trPr>
        <w:tc>
          <w:tcPr>
            <w:tcW w:w="4660" w:type="dxa"/>
            <w:vAlign w:val="bottom"/>
          </w:tcPr>
          <w:p>
            <w:pPr>
              <w:ind w:left="180"/>
              <w:spacing w:after="0"/>
              <w:rPr>
                <w:sz w:val="20"/>
                <w:szCs w:val="20"/>
                <w:color w:val="auto"/>
              </w:rPr>
            </w:pPr>
            <w:r>
              <w:rPr>
                <w:rFonts w:ascii="Arial" w:cs="Arial" w:eastAsia="Arial" w:hAnsi="Arial"/>
                <w:sz w:val="18"/>
                <w:szCs w:val="18"/>
                <w:color w:val="auto"/>
              </w:rPr>
              <w:t>Year ended December 31, 2019</w:t>
            </w:r>
          </w:p>
        </w:tc>
        <w:tc>
          <w:tcPr>
            <w:tcW w:w="160" w:type="dxa"/>
            <w:vAlign w:val="bottom"/>
          </w:tcPr>
          <w:p>
            <w:pPr>
              <w:jc w:val="right"/>
              <w:spacing w:after="0"/>
              <w:rPr>
                <w:sz w:val="20"/>
                <w:szCs w:val="20"/>
                <w:color w:val="auto"/>
              </w:rPr>
            </w:pPr>
            <w:r>
              <w:rPr>
                <w:rFonts w:ascii="Arial" w:cs="Arial" w:eastAsia="Arial" w:hAnsi="Arial"/>
                <w:sz w:val="18"/>
                <w:szCs w:val="18"/>
                <w:color w:val="auto"/>
              </w:rPr>
              <w:t>$</w:t>
            </w:r>
          </w:p>
        </w:tc>
        <w:tc>
          <w:tcPr>
            <w:tcW w:w="1460" w:type="dxa"/>
            <w:vAlign w:val="bottom"/>
          </w:tcPr>
          <w:p>
            <w:pPr>
              <w:jc w:val="right"/>
              <w:ind w:right="34"/>
              <w:spacing w:after="0"/>
              <w:rPr>
                <w:sz w:val="20"/>
                <w:szCs w:val="20"/>
                <w:color w:val="auto"/>
              </w:rPr>
            </w:pPr>
            <w:r>
              <w:rPr>
                <w:rFonts w:ascii="Arial" w:cs="Arial" w:eastAsia="Arial" w:hAnsi="Arial"/>
                <w:sz w:val="18"/>
                <w:szCs w:val="18"/>
                <w:color w:val="auto"/>
              </w:rPr>
              <w:t>24</w:t>
            </w:r>
          </w:p>
        </w:tc>
        <w:tc>
          <w:tcPr>
            <w:tcW w:w="100" w:type="dxa"/>
            <w:vAlign w:val="bottom"/>
          </w:tcPr>
          <w:p>
            <w:pPr>
              <w:spacing w:after="0"/>
              <w:rPr>
                <w:sz w:val="22"/>
                <w:szCs w:val="22"/>
                <w:color w:val="auto"/>
              </w:rPr>
            </w:pPr>
          </w:p>
        </w:tc>
        <w:tc>
          <w:tcPr>
            <w:tcW w:w="260" w:type="dxa"/>
            <w:vAlign w:val="bottom"/>
          </w:tcPr>
          <w:p>
            <w:pPr>
              <w:jc w:val="right"/>
              <w:ind w:right="59"/>
              <w:spacing w:after="0"/>
              <w:rPr>
                <w:sz w:val="20"/>
                <w:szCs w:val="20"/>
                <w:color w:val="auto"/>
              </w:rPr>
            </w:pPr>
            <w:r>
              <w:rPr>
                <w:rFonts w:ascii="Arial" w:cs="Arial" w:eastAsia="Arial" w:hAnsi="Arial"/>
                <w:sz w:val="18"/>
                <w:szCs w:val="18"/>
                <w:color w:val="auto"/>
                <w:w w:val="99"/>
              </w:rPr>
              <w:t>$</w:t>
            </w:r>
          </w:p>
        </w:tc>
        <w:tc>
          <w:tcPr>
            <w:tcW w:w="1340" w:type="dxa"/>
            <w:vAlign w:val="bottom"/>
          </w:tcPr>
          <w:p>
            <w:pPr>
              <w:jc w:val="right"/>
              <w:ind w:right="13"/>
              <w:spacing w:after="0"/>
              <w:rPr>
                <w:sz w:val="20"/>
                <w:szCs w:val="20"/>
                <w:color w:val="auto"/>
              </w:rPr>
            </w:pPr>
            <w:r>
              <w:rPr>
                <w:rFonts w:ascii="Arial" w:cs="Arial" w:eastAsia="Arial" w:hAnsi="Arial"/>
                <w:sz w:val="18"/>
                <w:szCs w:val="18"/>
                <w:color w:val="auto"/>
              </w:rPr>
              <w:t>17</w:t>
            </w:r>
          </w:p>
        </w:tc>
        <w:tc>
          <w:tcPr>
            <w:tcW w:w="120" w:type="dxa"/>
            <w:vAlign w:val="bottom"/>
          </w:tcPr>
          <w:p>
            <w:pPr>
              <w:spacing w:after="0"/>
              <w:rPr>
                <w:sz w:val="22"/>
                <w:szCs w:val="22"/>
                <w:color w:val="auto"/>
              </w:rPr>
            </w:pPr>
          </w:p>
        </w:tc>
        <w:tc>
          <w:tcPr>
            <w:tcW w:w="260" w:type="dxa"/>
            <w:vAlign w:val="bottom"/>
          </w:tcPr>
          <w:p>
            <w:pPr>
              <w:jc w:val="right"/>
              <w:ind w:right="50"/>
              <w:spacing w:after="0"/>
              <w:rPr>
                <w:sz w:val="20"/>
                <w:szCs w:val="20"/>
                <w:color w:val="auto"/>
              </w:rPr>
            </w:pPr>
            <w:r>
              <w:rPr>
                <w:rFonts w:ascii="Arial" w:cs="Arial" w:eastAsia="Arial" w:hAnsi="Arial"/>
                <w:sz w:val="18"/>
                <w:szCs w:val="18"/>
                <w:color w:val="auto"/>
                <w:w w:val="99"/>
              </w:rPr>
              <w:t>$</w:t>
            </w:r>
          </w:p>
        </w:tc>
        <w:tc>
          <w:tcPr>
            <w:tcW w:w="1340" w:type="dxa"/>
            <w:vAlign w:val="bottom"/>
          </w:tcPr>
          <w:p>
            <w:pPr>
              <w:jc w:val="right"/>
              <w:spacing w:after="0"/>
              <w:rPr>
                <w:sz w:val="20"/>
                <w:szCs w:val="20"/>
                <w:color w:val="auto"/>
              </w:rPr>
            </w:pPr>
            <w:r>
              <w:rPr>
                <w:rFonts w:ascii="Arial" w:cs="Arial" w:eastAsia="Arial" w:hAnsi="Arial"/>
                <w:sz w:val="18"/>
                <w:szCs w:val="18"/>
                <w:color w:val="auto"/>
              </w:rPr>
              <w:t>(16)</w:t>
            </w:r>
          </w:p>
        </w:tc>
        <w:tc>
          <w:tcPr>
            <w:tcW w:w="120" w:type="dxa"/>
            <w:vAlign w:val="bottom"/>
          </w:tcPr>
          <w:p>
            <w:pPr>
              <w:spacing w:after="0"/>
              <w:rPr>
                <w:sz w:val="22"/>
                <w:szCs w:val="22"/>
                <w:color w:val="auto"/>
              </w:rPr>
            </w:pPr>
          </w:p>
        </w:tc>
        <w:tc>
          <w:tcPr>
            <w:tcW w:w="260" w:type="dxa"/>
            <w:vAlign w:val="bottom"/>
          </w:tcPr>
          <w:p>
            <w:pPr>
              <w:jc w:val="right"/>
              <w:ind w:right="50"/>
              <w:spacing w:after="0"/>
              <w:rPr>
                <w:sz w:val="20"/>
                <w:szCs w:val="20"/>
                <w:color w:val="auto"/>
              </w:rPr>
            </w:pPr>
            <w:r>
              <w:rPr>
                <w:rFonts w:ascii="Arial" w:cs="Arial" w:eastAsia="Arial" w:hAnsi="Arial"/>
                <w:sz w:val="18"/>
                <w:szCs w:val="18"/>
                <w:color w:val="auto"/>
                <w:w w:val="99"/>
              </w:rPr>
              <w:t>$</w:t>
            </w:r>
          </w:p>
        </w:tc>
        <w:tc>
          <w:tcPr>
            <w:tcW w:w="1340" w:type="dxa"/>
            <w:vAlign w:val="bottom"/>
          </w:tcPr>
          <w:p>
            <w:pPr>
              <w:jc w:val="right"/>
              <w:ind w:right="14"/>
              <w:spacing w:after="0"/>
              <w:rPr>
                <w:sz w:val="20"/>
                <w:szCs w:val="20"/>
                <w:color w:val="auto"/>
              </w:rPr>
            </w:pPr>
            <w:r>
              <w:rPr>
                <w:rFonts w:ascii="Arial" w:cs="Arial" w:eastAsia="Arial" w:hAnsi="Arial"/>
                <w:sz w:val="18"/>
                <w:szCs w:val="18"/>
                <w:color w:val="auto"/>
              </w:rPr>
              <w:t>25</w:t>
            </w:r>
          </w:p>
        </w:tc>
      </w:tr>
      <w:tr>
        <w:trPr>
          <w:trHeight w:val="277"/>
        </w:trPr>
        <w:tc>
          <w:tcPr>
            <w:tcW w:w="4660" w:type="dxa"/>
            <w:vAlign w:val="bottom"/>
            <w:shd w:val="clear" w:color="auto" w:fill="CCEEFF"/>
          </w:tcPr>
          <w:p>
            <w:pPr>
              <w:ind w:left="180"/>
              <w:spacing w:after="0"/>
              <w:rPr>
                <w:sz w:val="20"/>
                <w:szCs w:val="20"/>
                <w:color w:val="auto"/>
              </w:rPr>
            </w:pPr>
            <w:r>
              <w:rPr>
                <w:rFonts w:ascii="Arial" w:cs="Arial" w:eastAsia="Arial" w:hAnsi="Arial"/>
                <w:sz w:val="18"/>
                <w:szCs w:val="18"/>
                <w:color w:val="auto"/>
              </w:rPr>
              <w:t>Year ended December 31, 2018</w:t>
            </w:r>
          </w:p>
        </w:tc>
        <w:tc>
          <w:tcPr>
            <w:tcW w:w="160" w:type="dxa"/>
            <w:vAlign w:val="bottom"/>
            <w:shd w:val="clear" w:color="auto" w:fill="CCEEFF"/>
          </w:tcPr>
          <w:p>
            <w:pPr>
              <w:spacing w:after="0"/>
              <w:rPr>
                <w:sz w:val="24"/>
                <w:szCs w:val="24"/>
                <w:color w:val="auto"/>
              </w:rPr>
            </w:pPr>
          </w:p>
        </w:tc>
        <w:tc>
          <w:tcPr>
            <w:tcW w:w="1460" w:type="dxa"/>
            <w:vAlign w:val="bottom"/>
            <w:shd w:val="clear" w:color="auto" w:fill="CCEEFF"/>
          </w:tcPr>
          <w:p>
            <w:pPr>
              <w:jc w:val="right"/>
              <w:ind w:right="34"/>
              <w:spacing w:after="0"/>
              <w:rPr>
                <w:sz w:val="20"/>
                <w:szCs w:val="20"/>
                <w:color w:val="auto"/>
              </w:rPr>
            </w:pPr>
            <w:r>
              <w:rPr>
                <w:rFonts w:ascii="Arial" w:cs="Arial" w:eastAsia="Arial" w:hAnsi="Arial"/>
                <w:sz w:val="18"/>
                <w:szCs w:val="18"/>
                <w:color w:val="auto"/>
              </w:rPr>
              <w:t>21</w:t>
            </w:r>
          </w:p>
        </w:tc>
        <w:tc>
          <w:tcPr>
            <w:tcW w:w="100" w:type="dxa"/>
            <w:vAlign w:val="bottom"/>
            <w:shd w:val="clear" w:color="auto" w:fill="CCEEFF"/>
          </w:tcPr>
          <w:p>
            <w:pPr>
              <w:spacing w:after="0"/>
              <w:rPr>
                <w:sz w:val="24"/>
                <w:szCs w:val="24"/>
                <w:color w:val="auto"/>
              </w:rPr>
            </w:pPr>
          </w:p>
        </w:tc>
        <w:tc>
          <w:tcPr>
            <w:tcW w:w="260" w:type="dxa"/>
            <w:vAlign w:val="bottom"/>
            <w:shd w:val="clear" w:color="auto" w:fill="CCEEFF"/>
          </w:tcPr>
          <w:p>
            <w:pPr>
              <w:spacing w:after="0"/>
              <w:rPr>
                <w:sz w:val="24"/>
                <w:szCs w:val="24"/>
                <w:color w:val="auto"/>
              </w:rPr>
            </w:pPr>
          </w:p>
        </w:tc>
        <w:tc>
          <w:tcPr>
            <w:tcW w:w="1340" w:type="dxa"/>
            <w:vAlign w:val="bottom"/>
            <w:shd w:val="clear" w:color="auto" w:fill="CCEEFF"/>
          </w:tcPr>
          <w:p>
            <w:pPr>
              <w:jc w:val="right"/>
              <w:ind w:right="13"/>
              <w:spacing w:after="0"/>
              <w:rPr>
                <w:sz w:val="20"/>
                <w:szCs w:val="20"/>
                <w:color w:val="auto"/>
              </w:rPr>
            </w:pPr>
            <w:r>
              <w:rPr>
                <w:rFonts w:ascii="Arial" w:cs="Arial" w:eastAsia="Arial" w:hAnsi="Arial"/>
                <w:sz w:val="18"/>
                <w:szCs w:val="18"/>
                <w:color w:val="auto"/>
              </w:rPr>
              <w:t>39</w:t>
            </w:r>
          </w:p>
        </w:tc>
        <w:tc>
          <w:tcPr>
            <w:tcW w:w="120" w:type="dxa"/>
            <w:vAlign w:val="bottom"/>
            <w:shd w:val="clear" w:color="auto" w:fill="CCEEFF"/>
          </w:tcPr>
          <w:p>
            <w:pPr>
              <w:spacing w:after="0"/>
              <w:rPr>
                <w:sz w:val="24"/>
                <w:szCs w:val="24"/>
                <w:color w:val="auto"/>
              </w:rPr>
            </w:pPr>
          </w:p>
        </w:tc>
        <w:tc>
          <w:tcPr>
            <w:tcW w:w="260" w:type="dxa"/>
            <w:vAlign w:val="bottom"/>
            <w:shd w:val="clear" w:color="auto" w:fill="CCEEFF"/>
          </w:tcPr>
          <w:p>
            <w:pPr>
              <w:spacing w:after="0"/>
              <w:rPr>
                <w:sz w:val="24"/>
                <w:szCs w:val="24"/>
                <w:color w:val="auto"/>
              </w:rPr>
            </w:pPr>
          </w:p>
        </w:tc>
        <w:tc>
          <w:tcPr>
            <w:tcW w:w="1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(36)</w:t>
            </w:r>
          </w:p>
        </w:tc>
        <w:tc>
          <w:tcPr>
            <w:tcW w:w="120" w:type="dxa"/>
            <w:vAlign w:val="bottom"/>
            <w:shd w:val="clear" w:color="auto" w:fill="CCEEFF"/>
          </w:tcPr>
          <w:p>
            <w:pPr>
              <w:spacing w:after="0"/>
              <w:rPr>
                <w:sz w:val="24"/>
                <w:szCs w:val="24"/>
                <w:color w:val="auto"/>
              </w:rPr>
            </w:pPr>
          </w:p>
        </w:tc>
        <w:tc>
          <w:tcPr>
            <w:tcW w:w="260" w:type="dxa"/>
            <w:vAlign w:val="bottom"/>
            <w:shd w:val="clear" w:color="auto" w:fill="CCEEFF"/>
          </w:tcPr>
          <w:p>
            <w:pPr>
              <w:spacing w:after="0"/>
              <w:rPr>
                <w:sz w:val="24"/>
                <w:szCs w:val="24"/>
                <w:color w:val="auto"/>
              </w:rPr>
            </w:pPr>
          </w:p>
        </w:tc>
        <w:tc>
          <w:tcPr>
            <w:tcW w:w="1340" w:type="dxa"/>
            <w:vAlign w:val="bottom"/>
            <w:shd w:val="clear" w:color="auto" w:fill="CCEEFF"/>
          </w:tcPr>
          <w:p>
            <w:pPr>
              <w:jc w:val="right"/>
              <w:ind w:right="14"/>
              <w:spacing w:after="0"/>
              <w:rPr>
                <w:sz w:val="20"/>
                <w:szCs w:val="20"/>
                <w:color w:val="auto"/>
              </w:rPr>
            </w:pPr>
            <w:r>
              <w:rPr>
                <w:rFonts w:ascii="Arial" w:cs="Arial" w:eastAsia="Arial" w:hAnsi="Arial"/>
                <w:sz w:val="18"/>
                <w:szCs w:val="18"/>
                <w:color w:val="auto"/>
              </w:rPr>
              <w:t>24</w:t>
            </w:r>
          </w:p>
        </w:tc>
      </w:tr>
      <w:tr>
        <w:trPr>
          <w:trHeight w:val="257"/>
        </w:trPr>
        <w:tc>
          <w:tcPr>
            <w:tcW w:w="4660" w:type="dxa"/>
            <w:vAlign w:val="bottom"/>
          </w:tcPr>
          <w:p>
            <w:pPr>
              <w:ind w:left="180"/>
              <w:spacing w:after="0"/>
              <w:rPr>
                <w:sz w:val="20"/>
                <w:szCs w:val="20"/>
                <w:color w:val="auto"/>
              </w:rPr>
            </w:pPr>
            <w:r>
              <w:rPr>
                <w:rFonts w:ascii="Arial" w:cs="Arial" w:eastAsia="Arial" w:hAnsi="Arial"/>
                <w:sz w:val="18"/>
                <w:szCs w:val="18"/>
                <w:color w:val="auto"/>
              </w:rPr>
              <w:t>Year ended December 31, 2017</w:t>
            </w:r>
          </w:p>
        </w:tc>
        <w:tc>
          <w:tcPr>
            <w:tcW w:w="160" w:type="dxa"/>
            <w:vAlign w:val="bottom"/>
          </w:tcPr>
          <w:p>
            <w:pPr>
              <w:spacing w:after="0"/>
              <w:rPr>
                <w:sz w:val="22"/>
                <w:szCs w:val="22"/>
                <w:color w:val="auto"/>
              </w:rPr>
            </w:pPr>
          </w:p>
        </w:tc>
        <w:tc>
          <w:tcPr>
            <w:tcW w:w="1460" w:type="dxa"/>
            <w:vAlign w:val="bottom"/>
          </w:tcPr>
          <w:p>
            <w:pPr>
              <w:jc w:val="right"/>
              <w:ind w:right="34"/>
              <w:spacing w:after="0"/>
              <w:rPr>
                <w:sz w:val="20"/>
                <w:szCs w:val="20"/>
                <w:color w:val="auto"/>
              </w:rPr>
            </w:pPr>
            <w:r>
              <w:rPr>
                <w:rFonts w:ascii="Arial" w:cs="Arial" w:eastAsia="Arial" w:hAnsi="Arial"/>
                <w:sz w:val="18"/>
                <w:szCs w:val="18"/>
                <w:color w:val="auto"/>
              </w:rPr>
              <w:t>35</w:t>
            </w:r>
          </w:p>
        </w:tc>
        <w:tc>
          <w:tcPr>
            <w:tcW w:w="10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1340" w:type="dxa"/>
            <w:vAlign w:val="bottom"/>
          </w:tcPr>
          <w:p>
            <w:pPr>
              <w:jc w:val="right"/>
              <w:ind w:right="13"/>
              <w:spacing w:after="0"/>
              <w:rPr>
                <w:sz w:val="20"/>
                <w:szCs w:val="20"/>
                <w:color w:val="auto"/>
              </w:rPr>
            </w:pPr>
            <w:r>
              <w:rPr>
                <w:rFonts w:ascii="Arial" w:cs="Arial" w:eastAsia="Arial" w:hAnsi="Arial"/>
                <w:sz w:val="18"/>
                <w:szCs w:val="18"/>
                <w:color w:val="auto"/>
              </w:rPr>
              <w:t>41</w:t>
            </w:r>
          </w:p>
        </w:tc>
        <w:tc>
          <w:tcPr>
            <w:tcW w:w="12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(55)</w:t>
            </w:r>
          </w:p>
        </w:tc>
        <w:tc>
          <w:tcPr>
            <w:tcW w:w="12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1340" w:type="dxa"/>
            <w:vAlign w:val="bottom"/>
          </w:tcPr>
          <w:p>
            <w:pPr>
              <w:jc w:val="right"/>
              <w:ind w:right="14"/>
              <w:spacing w:after="0"/>
              <w:rPr>
                <w:sz w:val="20"/>
                <w:szCs w:val="20"/>
                <w:color w:val="auto"/>
              </w:rPr>
            </w:pPr>
            <w:r>
              <w:rPr>
                <w:rFonts w:ascii="Arial" w:cs="Arial" w:eastAsia="Arial" w:hAnsi="Arial"/>
                <w:sz w:val="18"/>
                <w:szCs w:val="18"/>
                <w:color w:val="auto"/>
              </w:rPr>
              <w:t>21</w:t>
            </w:r>
          </w:p>
        </w:tc>
      </w:tr>
    </w:tbl>
    <w:p>
      <w:pPr>
        <w:spacing w:after="0" w:line="200" w:lineRule="exact"/>
        <w:rPr>
          <w:sz w:val="20"/>
          <w:szCs w:val="20"/>
          <w:color w:val="auto"/>
        </w:rPr>
      </w:pPr>
    </w:p>
    <w:p>
      <w:pPr>
        <w:spacing w:after="0" w:line="25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15. Quarterly Financial Data (Unaudited)</w:t>
      </w:r>
    </w:p>
    <w:p>
      <w:pPr>
        <w:spacing w:after="0" w:line="112" w:lineRule="exact"/>
        <w:rPr>
          <w:sz w:val="20"/>
          <w:szCs w:val="20"/>
          <w:color w:val="auto"/>
        </w:rPr>
      </w:pPr>
    </w:p>
    <w:p>
      <w:pPr>
        <w:ind w:left="220"/>
        <w:spacing w:after="0"/>
        <w:rPr>
          <w:sz w:val="20"/>
          <w:szCs w:val="20"/>
          <w:color w:val="auto"/>
        </w:rPr>
      </w:pPr>
      <w:r>
        <w:rPr>
          <w:rFonts w:ascii="Arial" w:cs="Arial" w:eastAsia="Arial" w:hAnsi="Arial"/>
          <w:sz w:val="18"/>
          <w:szCs w:val="18"/>
          <w:color w:val="auto"/>
        </w:rPr>
        <w:t>Unaudited summarized financial data by quarter for 2019 and 2018 (in millions):</w:t>
      </w:r>
    </w:p>
    <w:p>
      <w:pPr>
        <w:spacing w:after="0" w:line="375" w:lineRule="exact"/>
        <w:rPr>
          <w:sz w:val="20"/>
          <w:szCs w:val="20"/>
          <w:color w:val="auto"/>
        </w:rPr>
      </w:pPr>
    </w:p>
    <w:tbl>
      <w:tblPr>
        <w:tblLayout w:type="fixed"/>
        <w:tblInd w:w="0" w:type="dxa"/>
        <w:tblCellMar>
          <w:top w:w="0" w:type="dxa"/>
          <w:left w:w="0" w:type="dxa"/>
          <w:bottom w:w="0" w:type="dxa"/>
          <w:right w:w="0" w:type="dxa"/>
        </w:tblCellMar>
      </w:tblPr>
      <w:tr>
        <w:trPr>
          <w:trHeight w:val="196"/>
        </w:trPr>
        <w:tc>
          <w:tcPr>
            <w:tcW w:w="466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460" w:type="dxa"/>
            <w:vAlign w:val="bottom"/>
            <w:gridSpan w:val="2"/>
          </w:tcPr>
          <w:p>
            <w:pPr>
              <w:ind w:left="120"/>
              <w:spacing w:after="0"/>
              <w:rPr>
                <w:sz w:val="20"/>
                <w:szCs w:val="20"/>
                <w:color w:val="auto"/>
              </w:rPr>
            </w:pPr>
            <w:r>
              <w:rPr>
                <w:rFonts w:ascii="Arial" w:cs="Arial" w:eastAsia="Arial" w:hAnsi="Arial"/>
                <w:sz w:val="14"/>
                <w:szCs w:val="14"/>
                <w:b w:val="1"/>
                <w:bCs w:val="1"/>
                <w:color w:val="auto"/>
              </w:rPr>
              <w:t>First Quarter</w:t>
            </w:r>
          </w:p>
        </w:tc>
        <w:tc>
          <w:tcPr>
            <w:tcW w:w="200" w:type="dxa"/>
            <w:vAlign w:val="bottom"/>
          </w:tcPr>
          <w:p>
            <w:pPr>
              <w:spacing w:after="0"/>
              <w:rPr>
                <w:sz w:val="17"/>
                <w:szCs w:val="17"/>
                <w:color w:val="auto"/>
              </w:rPr>
            </w:pPr>
          </w:p>
        </w:tc>
        <w:tc>
          <w:tcPr>
            <w:tcW w:w="1520" w:type="dxa"/>
            <w:vAlign w:val="bottom"/>
            <w:gridSpan w:val="2"/>
          </w:tcPr>
          <w:p>
            <w:pPr>
              <w:ind w:left="60"/>
              <w:spacing w:after="0"/>
              <w:rPr>
                <w:sz w:val="20"/>
                <w:szCs w:val="20"/>
                <w:color w:val="auto"/>
              </w:rPr>
            </w:pPr>
            <w:r>
              <w:rPr>
                <w:rFonts w:ascii="Arial" w:cs="Arial" w:eastAsia="Arial" w:hAnsi="Arial"/>
                <w:sz w:val="14"/>
                <w:szCs w:val="14"/>
                <w:b w:val="1"/>
                <w:bCs w:val="1"/>
                <w:color w:val="auto"/>
              </w:rPr>
              <w:t>Second Quarter</w:t>
            </w:r>
          </w:p>
        </w:tc>
        <w:tc>
          <w:tcPr>
            <w:tcW w:w="240" w:type="dxa"/>
            <w:vAlign w:val="bottom"/>
          </w:tcPr>
          <w:p>
            <w:pPr>
              <w:spacing w:after="0"/>
              <w:rPr>
                <w:sz w:val="17"/>
                <w:szCs w:val="17"/>
                <w:color w:val="auto"/>
              </w:rPr>
            </w:pPr>
          </w:p>
        </w:tc>
        <w:tc>
          <w:tcPr>
            <w:tcW w:w="1480" w:type="dxa"/>
            <w:vAlign w:val="bottom"/>
            <w:gridSpan w:val="2"/>
          </w:tcPr>
          <w:p>
            <w:pPr>
              <w:ind w:left="100"/>
              <w:spacing w:after="0"/>
              <w:rPr>
                <w:sz w:val="20"/>
                <w:szCs w:val="20"/>
                <w:color w:val="auto"/>
              </w:rPr>
            </w:pPr>
            <w:r>
              <w:rPr>
                <w:rFonts w:ascii="Arial" w:cs="Arial" w:eastAsia="Arial" w:hAnsi="Arial"/>
                <w:sz w:val="14"/>
                <w:szCs w:val="14"/>
                <w:b w:val="1"/>
                <w:bCs w:val="1"/>
                <w:color w:val="auto"/>
              </w:rPr>
              <w:t>Third Quarter</w:t>
            </w:r>
          </w:p>
        </w:tc>
        <w:tc>
          <w:tcPr>
            <w:tcW w:w="200" w:type="dxa"/>
            <w:vAlign w:val="bottom"/>
          </w:tcPr>
          <w:p>
            <w:pPr>
              <w:spacing w:after="0"/>
              <w:rPr>
                <w:sz w:val="17"/>
                <w:szCs w:val="17"/>
                <w:color w:val="auto"/>
              </w:rPr>
            </w:pPr>
          </w:p>
        </w:tc>
        <w:tc>
          <w:tcPr>
            <w:tcW w:w="1400" w:type="dxa"/>
            <w:vAlign w:val="bottom"/>
          </w:tcPr>
          <w:p>
            <w:pPr>
              <w:jc w:val="right"/>
              <w:ind w:right="212"/>
              <w:spacing w:after="0"/>
              <w:rPr>
                <w:sz w:val="20"/>
                <w:szCs w:val="20"/>
                <w:color w:val="auto"/>
              </w:rPr>
            </w:pPr>
            <w:r>
              <w:rPr>
                <w:rFonts w:ascii="Arial" w:cs="Arial" w:eastAsia="Arial" w:hAnsi="Arial"/>
                <w:sz w:val="14"/>
                <w:szCs w:val="14"/>
                <w:b w:val="1"/>
                <w:bCs w:val="1"/>
                <w:color w:val="auto"/>
              </w:rPr>
              <w:t>Fourth Quarter</w:t>
            </w:r>
          </w:p>
        </w:tc>
      </w:tr>
      <w:tr>
        <w:trPr>
          <w:trHeight w:val="250"/>
        </w:trPr>
        <w:tc>
          <w:tcPr>
            <w:tcW w:w="4660" w:type="dxa"/>
            <w:vAlign w:val="bottom"/>
            <w:tcBorders>
              <w:top w:val="single" w:sz="8" w:color="CCEEFF"/>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2019</w:t>
            </w:r>
          </w:p>
        </w:tc>
        <w:tc>
          <w:tcPr>
            <w:tcW w:w="260" w:type="dxa"/>
            <w:vAlign w:val="bottom"/>
            <w:tcBorders>
              <w:top w:val="single" w:sz="8" w:color="auto"/>
              <w:bottom w:val="single" w:sz="8" w:color="CCEEFF"/>
            </w:tcBorders>
            <w:shd w:val="clear" w:color="auto" w:fill="CCEEFF"/>
          </w:tcPr>
          <w:p>
            <w:pPr>
              <w:spacing w:after="0"/>
              <w:rPr>
                <w:sz w:val="21"/>
                <w:szCs w:val="21"/>
                <w:color w:val="auto"/>
              </w:rPr>
            </w:pPr>
          </w:p>
        </w:tc>
        <w:tc>
          <w:tcPr>
            <w:tcW w:w="1360" w:type="dxa"/>
            <w:vAlign w:val="bottom"/>
            <w:tcBorders>
              <w:top w:val="single" w:sz="8" w:color="auto"/>
              <w:bottom w:val="single" w:sz="8" w:color="CCEEFF"/>
            </w:tcBorders>
            <w:shd w:val="clear" w:color="auto" w:fill="CCEEFF"/>
          </w:tcPr>
          <w:p>
            <w:pPr>
              <w:spacing w:after="0"/>
              <w:rPr>
                <w:sz w:val="21"/>
                <w:szCs w:val="21"/>
                <w:color w:val="auto"/>
              </w:rPr>
            </w:pP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200" w:type="dxa"/>
            <w:vAlign w:val="bottom"/>
            <w:tcBorders>
              <w:top w:val="single" w:sz="8" w:color="auto"/>
              <w:bottom w:val="single" w:sz="8" w:color="CCEEFF"/>
            </w:tcBorders>
            <w:shd w:val="clear" w:color="auto" w:fill="CCEEFF"/>
          </w:tcPr>
          <w:p>
            <w:pPr>
              <w:spacing w:after="0"/>
              <w:rPr>
                <w:sz w:val="21"/>
                <w:szCs w:val="21"/>
                <w:color w:val="auto"/>
              </w:rPr>
            </w:pPr>
          </w:p>
        </w:tc>
        <w:tc>
          <w:tcPr>
            <w:tcW w:w="1400" w:type="dxa"/>
            <w:vAlign w:val="bottom"/>
            <w:tcBorders>
              <w:top w:val="single" w:sz="8" w:color="auto"/>
              <w:bottom w:val="single" w:sz="8" w:color="CCEEFF"/>
            </w:tcBorders>
            <w:shd w:val="clear" w:color="auto" w:fill="CCEEFF"/>
          </w:tcPr>
          <w:p>
            <w:pPr>
              <w:spacing w:after="0"/>
              <w:rPr>
                <w:sz w:val="21"/>
                <w:szCs w:val="21"/>
                <w:color w:val="auto"/>
              </w:rPr>
            </w:pP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240" w:type="dxa"/>
            <w:vAlign w:val="bottom"/>
            <w:tcBorders>
              <w:top w:val="single" w:sz="8" w:color="auto"/>
              <w:bottom w:val="single" w:sz="8" w:color="CCEEFF"/>
            </w:tcBorders>
            <w:shd w:val="clear" w:color="auto" w:fill="CCEEFF"/>
          </w:tcPr>
          <w:p>
            <w:pPr>
              <w:spacing w:after="0"/>
              <w:rPr>
                <w:sz w:val="21"/>
                <w:szCs w:val="21"/>
                <w:color w:val="auto"/>
              </w:rPr>
            </w:pPr>
          </w:p>
        </w:tc>
        <w:tc>
          <w:tcPr>
            <w:tcW w:w="1360" w:type="dxa"/>
            <w:vAlign w:val="bottom"/>
            <w:tcBorders>
              <w:top w:val="single" w:sz="8" w:color="auto"/>
              <w:bottom w:val="single" w:sz="8" w:color="CCEEFF"/>
            </w:tcBorders>
            <w:shd w:val="clear" w:color="auto" w:fill="CCEEFF"/>
          </w:tcPr>
          <w:p>
            <w:pPr>
              <w:spacing w:after="0"/>
              <w:rPr>
                <w:sz w:val="21"/>
                <w:szCs w:val="21"/>
                <w:color w:val="auto"/>
              </w:rPr>
            </w:pP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200" w:type="dxa"/>
            <w:vAlign w:val="bottom"/>
            <w:tcBorders>
              <w:top w:val="single" w:sz="8" w:color="auto"/>
              <w:bottom w:val="single" w:sz="8" w:color="CCEEFF"/>
            </w:tcBorders>
            <w:shd w:val="clear" w:color="auto" w:fill="CCEEFF"/>
          </w:tcPr>
          <w:p>
            <w:pPr>
              <w:spacing w:after="0"/>
              <w:rPr>
                <w:sz w:val="21"/>
                <w:szCs w:val="21"/>
                <w:color w:val="auto"/>
              </w:rPr>
            </w:pPr>
          </w:p>
        </w:tc>
        <w:tc>
          <w:tcPr>
            <w:tcW w:w="1400" w:type="dxa"/>
            <w:vAlign w:val="bottom"/>
            <w:tcBorders>
              <w:top w:val="single" w:sz="8" w:color="auto"/>
              <w:bottom w:val="single" w:sz="8" w:color="CCEEFF"/>
            </w:tcBorders>
            <w:shd w:val="clear" w:color="auto" w:fill="CCEEFF"/>
          </w:tcPr>
          <w:p>
            <w:pPr>
              <w:spacing w:after="0"/>
              <w:rPr>
                <w:sz w:val="21"/>
                <w:szCs w:val="21"/>
                <w:color w:val="auto"/>
              </w:rPr>
            </w:pPr>
          </w:p>
        </w:tc>
      </w:tr>
      <w:tr>
        <w:trPr>
          <w:trHeight w:val="263"/>
        </w:trPr>
        <w:tc>
          <w:tcPr>
            <w:tcW w:w="4660" w:type="dxa"/>
            <w:vAlign w:val="bottom"/>
          </w:tcPr>
          <w:p>
            <w:pPr>
              <w:ind w:left="40"/>
              <w:spacing w:after="0"/>
              <w:rPr>
                <w:sz w:val="20"/>
                <w:szCs w:val="20"/>
                <w:color w:val="auto"/>
              </w:rPr>
            </w:pPr>
            <w:r>
              <w:rPr>
                <w:rFonts w:ascii="Arial" w:cs="Arial" w:eastAsia="Arial" w:hAnsi="Arial"/>
                <w:sz w:val="18"/>
                <w:szCs w:val="18"/>
                <w:color w:val="auto"/>
              </w:rPr>
              <w:t>Operating revenues</w:t>
            </w:r>
          </w:p>
        </w:tc>
        <w:tc>
          <w:tcPr>
            <w:tcW w:w="260" w:type="dxa"/>
            <w:vAlign w:val="bottom"/>
          </w:tcPr>
          <w:p>
            <w:pPr>
              <w:jc w:val="right"/>
              <w:ind w:right="30"/>
              <w:spacing w:after="0"/>
              <w:rPr>
                <w:sz w:val="20"/>
                <w:szCs w:val="20"/>
                <w:color w:val="auto"/>
              </w:rPr>
            </w:pPr>
            <w:r>
              <w:rPr>
                <w:rFonts w:ascii="Arial" w:cs="Arial" w:eastAsia="Arial" w:hAnsi="Arial"/>
                <w:sz w:val="18"/>
                <w:szCs w:val="18"/>
                <w:color w:val="auto"/>
              </w:rPr>
              <w:t>$</w:t>
            </w:r>
          </w:p>
        </w:tc>
        <w:tc>
          <w:tcPr>
            <w:tcW w:w="1360" w:type="dxa"/>
            <w:vAlign w:val="bottom"/>
          </w:tcPr>
          <w:p>
            <w:pPr>
              <w:jc w:val="right"/>
              <w:ind w:right="32"/>
              <w:spacing w:after="0"/>
              <w:rPr>
                <w:sz w:val="20"/>
                <w:szCs w:val="20"/>
                <w:color w:val="auto"/>
              </w:rPr>
            </w:pPr>
            <w:r>
              <w:rPr>
                <w:rFonts w:ascii="Arial" w:cs="Arial" w:eastAsia="Arial" w:hAnsi="Arial"/>
                <w:sz w:val="18"/>
                <w:szCs w:val="18"/>
                <w:color w:val="auto"/>
              </w:rPr>
              <w:t>10,581</w:t>
            </w:r>
          </w:p>
        </w:tc>
        <w:tc>
          <w:tcPr>
            <w:tcW w:w="100" w:type="dxa"/>
            <w:vAlign w:val="bottom"/>
          </w:tcPr>
          <w:p>
            <w:pPr>
              <w:spacing w:after="0"/>
              <w:rPr>
                <w:sz w:val="22"/>
                <w:szCs w:val="22"/>
                <w:color w:val="auto"/>
              </w:rPr>
            </w:pPr>
          </w:p>
        </w:tc>
        <w:tc>
          <w:tcPr>
            <w:tcW w:w="20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400" w:type="dxa"/>
            <w:vAlign w:val="bottom"/>
          </w:tcPr>
          <w:p>
            <w:pPr>
              <w:jc w:val="right"/>
              <w:ind w:right="12"/>
              <w:spacing w:after="0"/>
              <w:rPr>
                <w:sz w:val="20"/>
                <w:szCs w:val="20"/>
                <w:color w:val="auto"/>
              </w:rPr>
            </w:pPr>
            <w:r>
              <w:rPr>
                <w:rFonts w:ascii="Arial" w:cs="Arial" w:eastAsia="Arial" w:hAnsi="Arial"/>
                <w:sz w:val="18"/>
                <w:szCs w:val="18"/>
                <w:color w:val="auto"/>
              </w:rPr>
              <w:t>11,958</w:t>
            </w:r>
          </w:p>
        </w:tc>
        <w:tc>
          <w:tcPr>
            <w:tcW w:w="120" w:type="dxa"/>
            <w:vAlign w:val="bottom"/>
          </w:tcPr>
          <w:p>
            <w:pPr>
              <w:spacing w:after="0"/>
              <w:rPr>
                <w:sz w:val="22"/>
                <w:szCs w:val="22"/>
                <w:color w:val="auto"/>
              </w:rPr>
            </w:pPr>
          </w:p>
        </w:tc>
        <w:tc>
          <w:tcPr>
            <w:tcW w:w="240" w:type="dxa"/>
            <w:vAlign w:val="bottom"/>
          </w:tcPr>
          <w:p>
            <w:pPr>
              <w:jc w:val="right"/>
              <w:ind w:right="30"/>
              <w:spacing w:after="0"/>
              <w:rPr>
                <w:sz w:val="20"/>
                <w:szCs w:val="20"/>
                <w:color w:val="auto"/>
              </w:rPr>
            </w:pPr>
            <w:r>
              <w:rPr>
                <w:rFonts w:ascii="Arial" w:cs="Arial" w:eastAsia="Arial" w:hAnsi="Arial"/>
                <w:sz w:val="18"/>
                <w:szCs w:val="18"/>
                <w:color w:val="auto"/>
                <w:w w:val="99"/>
              </w:rPr>
              <w:t>$</w:t>
            </w:r>
          </w:p>
        </w:tc>
        <w:tc>
          <w:tcPr>
            <w:tcW w:w="1360" w:type="dxa"/>
            <w:vAlign w:val="bottom"/>
          </w:tcPr>
          <w:p>
            <w:pPr>
              <w:jc w:val="right"/>
              <w:ind w:right="12"/>
              <w:spacing w:after="0"/>
              <w:rPr>
                <w:sz w:val="20"/>
                <w:szCs w:val="20"/>
                <w:color w:val="auto"/>
              </w:rPr>
            </w:pPr>
            <w:r>
              <w:rPr>
                <w:rFonts w:ascii="Arial" w:cs="Arial" w:eastAsia="Arial" w:hAnsi="Arial"/>
                <w:sz w:val="18"/>
                <w:szCs w:val="18"/>
                <w:color w:val="auto"/>
              </w:rPr>
              <w:t>11,910</w:t>
            </w:r>
          </w:p>
        </w:tc>
        <w:tc>
          <w:tcPr>
            <w:tcW w:w="120" w:type="dxa"/>
            <w:vAlign w:val="bottom"/>
          </w:tcPr>
          <w:p>
            <w:pPr>
              <w:spacing w:after="0"/>
              <w:rPr>
                <w:sz w:val="22"/>
                <w:szCs w:val="22"/>
                <w:color w:val="auto"/>
              </w:rPr>
            </w:pPr>
          </w:p>
        </w:tc>
        <w:tc>
          <w:tcPr>
            <w:tcW w:w="20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400" w:type="dxa"/>
            <w:vAlign w:val="bottom"/>
          </w:tcPr>
          <w:p>
            <w:pPr>
              <w:jc w:val="right"/>
              <w:ind w:right="12"/>
              <w:spacing w:after="0"/>
              <w:rPr>
                <w:sz w:val="20"/>
                <w:szCs w:val="20"/>
                <w:color w:val="auto"/>
              </w:rPr>
            </w:pPr>
            <w:r>
              <w:rPr>
                <w:rFonts w:ascii="Arial" w:cs="Arial" w:eastAsia="Arial" w:hAnsi="Arial"/>
                <w:sz w:val="18"/>
                <w:szCs w:val="18"/>
                <w:color w:val="auto"/>
              </w:rPr>
              <w:t>11,312</w:t>
            </w:r>
          </w:p>
        </w:tc>
      </w:tr>
      <w:tr>
        <w:trPr>
          <w:trHeight w:val="277"/>
        </w:trPr>
        <w:tc>
          <w:tcPr>
            <w:tcW w:w="4660" w:type="dxa"/>
            <w:vAlign w:val="bottom"/>
            <w:shd w:val="clear" w:color="auto" w:fill="CCEEFF"/>
          </w:tcPr>
          <w:p>
            <w:pPr>
              <w:ind w:left="40"/>
              <w:spacing w:after="0"/>
              <w:rPr>
                <w:sz w:val="20"/>
                <w:szCs w:val="20"/>
                <w:color w:val="auto"/>
              </w:rPr>
            </w:pPr>
            <w:r>
              <w:rPr>
                <w:rFonts w:ascii="Arial" w:cs="Arial" w:eastAsia="Arial" w:hAnsi="Arial"/>
                <w:sz w:val="18"/>
                <w:szCs w:val="18"/>
                <w:color w:val="auto"/>
              </w:rPr>
              <w:t>Operating expenses</w:t>
            </w:r>
          </w:p>
        </w:tc>
        <w:tc>
          <w:tcPr>
            <w:tcW w:w="260" w:type="dxa"/>
            <w:vAlign w:val="bottom"/>
            <w:shd w:val="clear" w:color="auto" w:fill="CCEEFF"/>
          </w:tcPr>
          <w:p>
            <w:pPr>
              <w:spacing w:after="0"/>
              <w:rPr>
                <w:sz w:val="24"/>
                <w:szCs w:val="24"/>
                <w:color w:val="auto"/>
              </w:rPr>
            </w:pPr>
          </w:p>
        </w:tc>
        <w:tc>
          <w:tcPr>
            <w:tcW w:w="1360" w:type="dxa"/>
            <w:vAlign w:val="bottom"/>
            <w:shd w:val="clear" w:color="auto" w:fill="CCEEFF"/>
          </w:tcPr>
          <w:p>
            <w:pPr>
              <w:jc w:val="right"/>
              <w:ind w:right="32"/>
              <w:spacing w:after="0"/>
              <w:rPr>
                <w:sz w:val="20"/>
                <w:szCs w:val="20"/>
                <w:color w:val="auto"/>
              </w:rPr>
            </w:pPr>
            <w:r>
              <w:rPr>
                <w:rFonts w:ascii="Arial" w:cs="Arial" w:eastAsia="Arial" w:hAnsi="Arial"/>
                <w:sz w:val="18"/>
                <w:szCs w:val="18"/>
                <w:color w:val="auto"/>
              </w:rPr>
              <w:t>10,236</w:t>
            </w:r>
          </w:p>
        </w:tc>
        <w:tc>
          <w:tcPr>
            <w:tcW w:w="100" w:type="dxa"/>
            <w:vAlign w:val="bottom"/>
            <w:shd w:val="clear" w:color="auto" w:fill="CCEEFF"/>
          </w:tcPr>
          <w:p>
            <w:pPr>
              <w:spacing w:after="0"/>
              <w:rPr>
                <w:sz w:val="24"/>
                <w:szCs w:val="24"/>
                <w:color w:val="auto"/>
              </w:rPr>
            </w:pPr>
          </w:p>
        </w:tc>
        <w:tc>
          <w:tcPr>
            <w:tcW w:w="200" w:type="dxa"/>
            <w:vAlign w:val="bottom"/>
            <w:shd w:val="clear" w:color="auto" w:fill="CCEEFF"/>
          </w:tcPr>
          <w:p>
            <w:pPr>
              <w:spacing w:after="0"/>
              <w:rPr>
                <w:sz w:val="24"/>
                <w:szCs w:val="24"/>
                <w:color w:val="auto"/>
              </w:rPr>
            </w:pPr>
          </w:p>
        </w:tc>
        <w:tc>
          <w:tcPr>
            <w:tcW w:w="140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10,831</w:t>
            </w:r>
          </w:p>
        </w:tc>
        <w:tc>
          <w:tcPr>
            <w:tcW w:w="120" w:type="dxa"/>
            <w:vAlign w:val="bottom"/>
            <w:shd w:val="clear" w:color="auto" w:fill="CCEEFF"/>
          </w:tcPr>
          <w:p>
            <w:pPr>
              <w:spacing w:after="0"/>
              <w:rPr>
                <w:sz w:val="24"/>
                <w:szCs w:val="24"/>
                <w:color w:val="auto"/>
              </w:rPr>
            </w:pPr>
          </w:p>
        </w:tc>
        <w:tc>
          <w:tcPr>
            <w:tcW w:w="240" w:type="dxa"/>
            <w:vAlign w:val="bottom"/>
            <w:shd w:val="clear" w:color="auto" w:fill="CCEEFF"/>
          </w:tcPr>
          <w:p>
            <w:pPr>
              <w:spacing w:after="0"/>
              <w:rPr>
                <w:sz w:val="24"/>
                <w:szCs w:val="24"/>
                <w:color w:val="auto"/>
              </w:rPr>
            </w:pPr>
          </w:p>
        </w:tc>
        <w:tc>
          <w:tcPr>
            <w:tcW w:w="136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11,082</w:t>
            </w:r>
          </w:p>
        </w:tc>
        <w:tc>
          <w:tcPr>
            <w:tcW w:w="120" w:type="dxa"/>
            <w:vAlign w:val="bottom"/>
            <w:shd w:val="clear" w:color="auto" w:fill="CCEEFF"/>
          </w:tcPr>
          <w:p>
            <w:pPr>
              <w:spacing w:after="0"/>
              <w:rPr>
                <w:sz w:val="24"/>
                <w:szCs w:val="24"/>
                <w:color w:val="auto"/>
              </w:rPr>
            </w:pPr>
          </w:p>
        </w:tc>
        <w:tc>
          <w:tcPr>
            <w:tcW w:w="200" w:type="dxa"/>
            <w:vAlign w:val="bottom"/>
            <w:shd w:val="clear" w:color="auto" w:fill="CCEEFF"/>
          </w:tcPr>
          <w:p>
            <w:pPr>
              <w:spacing w:after="0"/>
              <w:rPr>
                <w:sz w:val="24"/>
                <w:szCs w:val="24"/>
                <w:color w:val="auto"/>
              </w:rPr>
            </w:pPr>
          </w:p>
        </w:tc>
        <w:tc>
          <w:tcPr>
            <w:tcW w:w="140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10,565</w:t>
            </w:r>
          </w:p>
        </w:tc>
      </w:tr>
      <w:tr>
        <w:trPr>
          <w:trHeight w:val="263"/>
        </w:trPr>
        <w:tc>
          <w:tcPr>
            <w:tcW w:w="4660" w:type="dxa"/>
            <w:vAlign w:val="bottom"/>
          </w:tcPr>
          <w:p>
            <w:pPr>
              <w:ind w:left="40"/>
              <w:spacing w:after="0"/>
              <w:rPr>
                <w:sz w:val="20"/>
                <w:szCs w:val="20"/>
                <w:color w:val="auto"/>
              </w:rPr>
            </w:pPr>
            <w:r>
              <w:rPr>
                <w:rFonts w:ascii="Arial" w:cs="Arial" w:eastAsia="Arial" w:hAnsi="Arial"/>
                <w:sz w:val="18"/>
                <w:szCs w:val="18"/>
                <w:color w:val="auto"/>
              </w:rPr>
              <w:t>Operating income</w:t>
            </w:r>
          </w:p>
        </w:tc>
        <w:tc>
          <w:tcPr>
            <w:tcW w:w="260" w:type="dxa"/>
            <w:vAlign w:val="bottom"/>
          </w:tcPr>
          <w:p>
            <w:pPr>
              <w:spacing w:after="0"/>
              <w:rPr>
                <w:sz w:val="22"/>
                <w:szCs w:val="22"/>
                <w:color w:val="auto"/>
              </w:rPr>
            </w:pPr>
          </w:p>
        </w:tc>
        <w:tc>
          <w:tcPr>
            <w:tcW w:w="1360" w:type="dxa"/>
            <w:vAlign w:val="bottom"/>
          </w:tcPr>
          <w:p>
            <w:pPr>
              <w:jc w:val="right"/>
              <w:ind w:right="32"/>
              <w:spacing w:after="0"/>
              <w:rPr>
                <w:sz w:val="20"/>
                <w:szCs w:val="20"/>
                <w:color w:val="auto"/>
              </w:rPr>
            </w:pPr>
            <w:r>
              <w:rPr>
                <w:rFonts w:ascii="Arial" w:cs="Arial" w:eastAsia="Arial" w:hAnsi="Arial"/>
                <w:sz w:val="18"/>
                <w:szCs w:val="18"/>
                <w:color w:val="auto"/>
              </w:rPr>
              <w:t>345</w:t>
            </w:r>
          </w:p>
        </w:tc>
        <w:tc>
          <w:tcPr>
            <w:tcW w:w="10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1400" w:type="dxa"/>
            <w:vAlign w:val="bottom"/>
          </w:tcPr>
          <w:p>
            <w:pPr>
              <w:jc w:val="right"/>
              <w:ind w:right="12"/>
              <w:spacing w:after="0"/>
              <w:rPr>
                <w:sz w:val="20"/>
                <w:szCs w:val="20"/>
                <w:color w:val="auto"/>
              </w:rPr>
            </w:pPr>
            <w:r>
              <w:rPr>
                <w:rFonts w:ascii="Arial" w:cs="Arial" w:eastAsia="Arial" w:hAnsi="Arial"/>
                <w:sz w:val="18"/>
                <w:szCs w:val="18"/>
                <w:color w:val="auto"/>
              </w:rPr>
              <w:t>1,127</w:t>
            </w:r>
          </w:p>
        </w:tc>
        <w:tc>
          <w:tcPr>
            <w:tcW w:w="12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1360" w:type="dxa"/>
            <w:vAlign w:val="bottom"/>
          </w:tcPr>
          <w:p>
            <w:pPr>
              <w:jc w:val="right"/>
              <w:ind w:right="12"/>
              <w:spacing w:after="0"/>
              <w:rPr>
                <w:sz w:val="20"/>
                <w:szCs w:val="20"/>
                <w:color w:val="auto"/>
              </w:rPr>
            </w:pPr>
            <w:r>
              <w:rPr>
                <w:rFonts w:ascii="Arial" w:cs="Arial" w:eastAsia="Arial" w:hAnsi="Arial"/>
                <w:sz w:val="18"/>
                <w:szCs w:val="18"/>
                <w:color w:val="auto"/>
              </w:rPr>
              <w:t>828</w:t>
            </w:r>
          </w:p>
        </w:tc>
        <w:tc>
          <w:tcPr>
            <w:tcW w:w="12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1400" w:type="dxa"/>
            <w:vAlign w:val="bottom"/>
          </w:tcPr>
          <w:p>
            <w:pPr>
              <w:jc w:val="right"/>
              <w:ind w:right="12"/>
              <w:spacing w:after="0"/>
              <w:rPr>
                <w:sz w:val="20"/>
                <w:szCs w:val="20"/>
                <w:color w:val="auto"/>
              </w:rPr>
            </w:pPr>
            <w:r>
              <w:rPr>
                <w:rFonts w:ascii="Arial" w:cs="Arial" w:eastAsia="Arial" w:hAnsi="Arial"/>
                <w:sz w:val="18"/>
                <w:szCs w:val="18"/>
                <w:color w:val="auto"/>
              </w:rPr>
              <w:t>747</w:t>
            </w:r>
          </w:p>
        </w:tc>
      </w:tr>
      <w:tr>
        <w:trPr>
          <w:trHeight w:val="277"/>
        </w:trPr>
        <w:tc>
          <w:tcPr>
            <w:tcW w:w="4660" w:type="dxa"/>
            <w:vAlign w:val="bottom"/>
            <w:shd w:val="clear" w:color="auto" w:fill="CCEEFF"/>
          </w:tcPr>
          <w:p>
            <w:pPr>
              <w:ind w:left="40"/>
              <w:spacing w:after="0"/>
              <w:rPr>
                <w:sz w:val="20"/>
                <w:szCs w:val="20"/>
                <w:color w:val="auto"/>
              </w:rPr>
            </w:pPr>
            <w:r>
              <w:rPr>
                <w:rFonts w:ascii="Arial" w:cs="Arial" w:eastAsia="Arial" w:hAnsi="Arial"/>
                <w:sz w:val="18"/>
                <w:szCs w:val="18"/>
                <w:color w:val="auto"/>
              </w:rPr>
              <w:t>Net income</w:t>
            </w:r>
          </w:p>
        </w:tc>
        <w:tc>
          <w:tcPr>
            <w:tcW w:w="260" w:type="dxa"/>
            <w:vAlign w:val="bottom"/>
            <w:shd w:val="clear" w:color="auto" w:fill="CCEEFF"/>
          </w:tcPr>
          <w:p>
            <w:pPr>
              <w:spacing w:after="0"/>
              <w:rPr>
                <w:sz w:val="24"/>
                <w:szCs w:val="24"/>
                <w:color w:val="auto"/>
              </w:rPr>
            </w:pPr>
          </w:p>
        </w:tc>
        <w:tc>
          <w:tcPr>
            <w:tcW w:w="1360" w:type="dxa"/>
            <w:vAlign w:val="bottom"/>
            <w:shd w:val="clear" w:color="auto" w:fill="CCEEFF"/>
          </w:tcPr>
          <w:p>
            <w:pPr>
              <w:jc w:val="right"/>
              <w:ind w:right="32"/>
              <w:spacing w:after="0"/>
              <w:rPr>
                <w:sz w:val="20"/>
                <w:szCs w:val="20"/>
                <w:color w:val="auto"/>
              </w:rPr>
            </w:pPr>
            <w:r>
              <w:rPr>
                <w:rFonts w:ascii="Arial" w:cs="Arial" w:eastAsia="Arial" w:hAnsi="Arial"/>
                <w:sz w:val="18"/>
                <w:szCs w:val="18"/>
                <w:color w:val="auto"/>
              </w:rPr>
              <w:t>230</w:t>
            </w:r>
          </w:p>
        </w:tc>
        <w:tc>
          <w:tcPr>
            <w:tcW w:w="100" w:type="dxa"/>
            <w:vAlign w:val="bottom"/>
            <w:shd w:val="clear" w:color="auto" w:fill="CCEEFF"/>
          </w:tcPr>
          <w:p>
            <w:pPr>
              <w:spacing w:after="0"/>
              <w:rPr>
                <w:sz w:val="24"/>
                <w:szCs w:val="24"/>
                <w:color w:val="auto"/>
              </w:rPr>
            </w:pPr>
          </w:p>
        </w:tc>
        <w:tc>
          <w:tcPr>
            <w:tcW w:w="200" w:type="dxa"/>
            <w:vAlign w:val="bottom"/>
            <w:shd w:val="clear" w:color="auto" w:fill="CCEEFF"/>
          </w:tcPr>
          <w:p>
            <w:pPr>
              <w:spacing w:after="0"/>
              <w:rPr>
                <w:sz w:val="24"/>
                <w:szCs w:val="24"/>
                <w:color w:val="auto"/>
              </w:rPr>
            </w:pPr>
          </w:p>
        </w:tc>
        <w:tc>
          <w:tcPr>
            <w:tcW w:w="140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714</w:t>
            </w:r>
          </w:p>
        </w:tc>
        <w:tc>
          <w:tcPr>
            <w:tcW w:w="120" w:type="dxa"/>
            <w:vAlign w:val="bottom"/>
            <w:shd w:val="clear" w:color="auto" w:fill="CCEEFF"/>
          </w:tcPr>
          <w:p>
            <w:pPr>
              <w:spacing w:after="0"/>
              <w:rPr>
                <w:sz w:val="24"/>
                <w:szCs w:val="24"/>
                <w:color w:val="auto"/>
              </w:rPr>
            </w:pPr>
          </w:p>
        </w:tc>
        <w:tc>
          <w:tcPr>
            <w:tcW w:w="240" w:type="dxa"/>
            <w:vAlign w:val="bottom"/>
            <w:shd w:val="clear" w:color="auto" w:fill="CCEEFF"/>
          </w:tcPr>
          <w:p>
            <w:pPr>
              <w:spacing w:after="0"/>
              <w:rPr>
                <w:sz w:val="24"/>
                <w:szCs w:val="24"/>
                <w:color w:val="auto"/>
              </w:rPr>
            </w:pPr>
          </w:p>
        </w:tc>
        <w:tc>
          <w:tcPr>
            <w:tcW w:w="136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508</w:t>
            </w:r>
          </w:p>
        </w:tc>
        <w:tc>
          <w:tcPr>
            <w:tcW w:w="120" w:type="dxa"/>
            <w:vAlign w:val="bottom"/>
            <w:shd w:val="clear" w:color="auto" w:fill="CCEEFF"/>
          </w:tcPr>
          <w:p>
            <w:pPr>
              <w:spacing w:after="0"/>
              <w:rPr>
                <w:sz w:val="24"/>
                <w:szCs w:val="24"/>
                <w:color w:val="auto"/>
              </w:rPr>
            </w:pPr>
          </w:p>
        </w:tc>
        <w:tc>
          <w:tcPr>
            <w:tcW w:w="200" w:type="dxa"/>
            <w:vAlign w:val="bottom"/>
            <w:shd w:val="clear" w:color="auto" w:fill="CCEEFF"/>
          </w:tcPr>
          <w:p>
            <w:pPr>
              <w:spacing w:after="0"/>
              <w:rPr>
                <w:sz w:val="24"/>
                <w:szCs w:val="24"/>
                <w:color w:val="auto"/>
              </w:rPr>
            </w:pPr>
          </w:p>
        </w:tc>
        <w:tc>
          <w:tcPr>
            <w:tcW w:w="140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520</w:t>
            </w:r>
          </w:p>
        </w:tc>
      </w:tr>
      <w:tr>
        <w:trPr>
          <w:trHeight w:val="324"/>
        </w:trPr>
        <w:tc>
          <w:tcPr>
            <w:tcW w:w="46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400" w:type="dxa"/>
            <w:vAlign w:val="bottom"/>
          </w:tcPr>
          <w:p>
            <w:pPr>
              <w:spacing w:after="0"/>
              <w:rPr>
                <w:sz w:val="24"/>
                <w:szCs w:val="24"/>
                <w:color w:val="auto"/>
              </w:rPr>
            </w:pPr>
          </w:p>
        </w:tc>
      </w:tr>
      <w:tr>
        <w:trPr>
          <w:trHeight w:val="250"/>
        </w:trPr>
        <w:tc>
          <w:tcPr>
            <w:tcW w:w="46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2018</w:t>
            </w:r>
          </w:p>
        </w:tc>
        <w:tc>
          <w:tcPr>
            <w:tcW w:w="26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4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400" w:type="dxa"/>
            <w:vAlign w:val="bottom"/>
            <w:tcBorders>
              <w:bottom w:val="single" w:sz="8" w:color="CCEEFF"/>
            </w:tcBorders>
            <w:shd w:val="clear" w:color="auto" w:fill="CCEEFF"/>
          </w:tcPr>
          <w:p>
            <w:pPr>
              <w:spacing w:after="0"/>
              <w:rPr>
                <w:sz w:val="21"/>
                <w:szCs w:val="21"/>
                <w:color w:val="auto"/>
              </w:rPr>
            </w:pPr>
          </w:p>
        </w:tc>
      </w:tr>
      <w:tr>
        <w:trPr>
          <w:trHeight w:val="263"/>
        </w:trPr>
        <w:tc>
          <w:tcPr>
            <w:tcW w:w="4660" w:type="dxa"/>
            <w:vAlign w:val="bottom"/>
          </w:tcPr>
          <w:p>
            <w:pPr>
              <w:ind w:left="40"/>
              <w:spacing w:after="0"/>
              <w:rPr>
                <w:sz w:val="20"/>
                <w:szCs w:val="20"/>
                <w:color w:val="auto"/>
              </w:rPr>
            </w:pPr>
            <w:r>
              <w:rPr>
                <w:rFonts w:ascii="Arial" w:cs="Arial" w:eastAsia="Arial" w:hAnsi="Arial"/>
                <w:sz w:val="18"/>
                <w:szCs w:val="18"/>
                <w:color w:val="auto"/>
              </w:rPr>
              <w:t>Operating revenues</w:t>
            </w:r>
          </w:p>
        </w:tc>
        <w:tc>
          <w:tcPr>
            <w:tcW w:w="260" w:type="dxa"/>
            <w:vAlign w:val="bottom"/>
          </w:tcPr>
          <w:p>
            <w:pPr>
              <w:jc w:val="right"/>
              <w:ind w:right="30"/>
              <w:spacing w:after="0"/>
              <w:rPr>
                <w:sz w:val="20"/>
                <w:szCs w:val="20"/>
                <w:color w:val="auto"/>
              </w:rPr>
            </w:pPr>
            <w:r>
              <w:rPr>
                <w:rFonts w:ascii="Arial" w:cs="Arial" w:eastAsia="Arial" w:hAnsi="Arial"/>
                <w:sz w:val="18"/>
                <w:szCs w:val="18"/>
                <w:color w:val="auto"/>
              </w:rPr>
              <w:t>$</w:t>
            </w:r>
          </w:p>
        </w:tc>
        <w:tc>
          <w:tcPr>
            <w:tcW w:w="1360" w:type="dxa"/>
            <w:vAlign w:val="bottom"/>
          </w:tcPr>
          <w:p>
            <w:pPr>
              <w:jc w:val="right"/>
              <w:ind w:right="32"/>
              <w:spacing w:after="0"/>
              <w:rPr>
                <w:sz w:val="20"/>
                <w:szCs w:val="20"/>
                <w:color w:val="auto"/>
              </w:rPr>
            </w:pPr>
            <w:r>
              <w:rPr>
                <w:rFonts w:ascii="Arial" w:cs="Arial" w:eastAsia="Arial" w:hAnsi="Arial"/>
                <w:sz w:val="18"/>
                <w:szCs w:val="18"/>
                <w:color w:val="auto"/>
              </w:rPr>
              <w:t>10,398</w:t>
            </w:r>
          </w:p>
        </w:tc>
        <w:tc>
          <w:tcPr>
            <w:tcW w:w="100" w:type="dxa"/>
            <w:vAlign w:val="bottom"/>
          </w:tcPr>
          <w:p>
            <w:pPr>
              <w:spacing w:after="0"/>
              <w:rPr>
                <w:sz w:val="22"/>
                <w:szCs w:val="22"/>
                <w:color w:val="auto"/>
              </w:rPr>
            </w:pPr>
          </w:p>
        </w:tc>
        <w:tc>
          <w:tcPr>
            <w:tcW w:w="20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400" w:type="dxa"/>
            <w:vAlign w:val="bottom"/>
          </w:tcPr>
          <w:p>
            <w:pPr>
              <w:jc w:val="right"/>
              <w:ind w:right="12"/>
              <w:spacing w:after="0"/>
              <w:rPr>
                <w:sz w:val="20"/>
                <w:szCs w:val="20"/>
                <w:color w:val="auto"/>
              </w:rPr>
            </w:pPr>
            <w:r>
              <w:rPr>
                <w:rFonts w:ascii="Arial" w:cs="Arial" w:eastAsia="Arial" w:hAnsi="Arial"/>
                <w:sz w:val="18"/>
                <w:szCs w:val="18"/>
                <w:color w:val="auto"/>
              </w:rPr>
              <w:t>11,640</w:t>
            </w:r>
          </w:p>
        </w:tc>
        <w:tc>
          <w:tcPr>
            <w:tcW w:w="120" w:type="dxa"/>
            <w:vAlign w:val="bottom"/>
          </w:tcPr>
          <w:p>
            <w:pPr>
              <w:spacing w:after="0"/>
              <w:rPr>
                <w:sz w:val="22"/>
                <w:szCs w:val="22"/>
                <w:color w:val="auto"/>
              </w:rPr>
            </w:pPr>
          </w:p>
        </w:tc>
        <w:tc>
          <w:tcPr>
            <w:tcW w:w="240" w:type="dxa"/>
            <w:vAlign w:val="bottom"/>
          </w:tcPr>
          <w:p>
            <w:pPr>
              <w:jc w:val="right"/>
              <w:ind w:right="30"/>
              <w:spacing w:after="0"/>
              <w:rPr>
                <w:sz w:val="20"/>
                <w:szCs w:val="20"/>
                <w:color w:val="auto"/>
              </w:rPr>
            </w:pPr>
            <w:r>
              <w:rPr>
                <w:rFonts w:ascii="Arial" w:cs="Arial" w:eastAsia="Arial" w:hAnsi="Arial"/>
                <w:sz w:val="18"/>
                <w:szCs w:val="18"/>
                <w:color w:val="auto"/>
                <w:w w:val="99"/>
              </w:rPr>
              <w:t>$</w:t>
            </w:r>
          </w:p>
        </w:tc>
        <w:tc>
          <w:tcPr>
            <w:tcW w:w="1360" w:type="dxa"/>
            <w:vAlign w:val="bottom"/>
          </w:tcPr>
          <w:p>
            <w:pPr>
              <w:jc w:val="right"/>
              <w:ind w:right="12"/>
              <w:spacing w:after="0"/>
              <w:rPr>
                <w:sz w:val="20"/>
                <w:szCs w:val="20"/>
                <w:color w:val="auto"/>
              </w:rPr>
            </w:pPr>
            <w:r>
              <w:rPr>
                <w:rFonts w:ascii="Arial" w:cs="Arial" w:eastAsia="Arial" w:hAnsi="Arial"/>
                <w:sz w:val="18"/>
                <w:szCs w:val="18"/>
                <w:color w:val="auto"/>
              </w:rPr>
              <w:t>11,556</w:t>
            </w:r>
          </w:p>
        </w:tc>
        <w:tc>
          <w:tcPr>
            <w:tcW w:w="120" w:type="dxa"/>
            <w:vAlign w:val="bottom"/>
          </w:tcPr>
          <w:p>
            <w:pPr>
              <w:spacing w:after="0"/>
              <w:rPr>
                <w:sz w:val="22"/>
                <w:szCs w:val="22"/>
                <w:color w:val="auto"/>
              </w:rPr>
            </w:pPr>
          </w:p>
        </w:tc>
        <w:tc>
          <w:tcPr>
            <w:tcW w:w="20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400" w:type="dxa"/>
            <w:vAlign w:val="bottom"/>
          </w:tcPr>
          <w:p>
            <w:pPr>
              <w:jc w:val="right"/>
              <w:ind w:right="12"/>
              <w:spacing w:after="0"/>
              <w:rPr>
                <w:sz w:val="20"/>
                <w:szCs w:val="20"/>
                <w:color w:val="auto"/>
              </w:rPr>
            </w:pPr>
            <w:r>
              <w:rPr>
                <w:rFonts w:ascii="Arial" w:cs="Arial" w:eastAsia="Arial" w:hAnsi="Arial"/>
                <w:sz w:val="18"/>
                <w:szCs w:val="18"/>
                <w:color w:val="auto"/>
              </w:rPr>
              <w:t>10,936</w:t>
            </w:r>
          </w:p>
        </w:tc>
      </w:tr>
      <w:tr>
        <w:trPr>
          <w:trHeight w:val="277"/>
        </w:trPr>
        <w:tc>
          <w:tcPr>
            <w:tcW w:w="4660" w:type="dxa"/>
            <w:vAlign w:val="bottom"/>
            <w:shd w:val="clear" w:color="auto" w:fill="CCEEFF"/>
          </w:tcPr>
          <w:p>
            <w:pPr>
              <w:ind w:left="40"/>
              <w:spacing w:after="0"/>
              <w:rPr>
                <w:sz w:val="20"/>
                <w:szCs w:val="20"/>
                <w:color w:val="auto"/>
              </w:rPr>
            </w:pPr>
            <w:r>
              <w:rPr>
                <w:rFonts w:ascii="Arial" w:cs="Arial" w:eastAsia="Arial" w:hAnsi="Arial"/>
                <w:sz w:val="18"/>
                <w:szCs w:val="18"/>
                <w:color w:val="auto"/>
              </w:rPr>
              <w:t>Operating expenses</w:t>
            </w:r>
          </w:p>
        </w:tc>
        <w:tc>
          <w:tcPr>
            <w:tcW w:w="260" w:type="dxa"/>
            <w:vAlign w:val="bottom"/>
            <w:shd w:val="clear" w:color="auto" w:fill="CCEEFF"/>
          </w:tcPr>
          <w:p>
            <w:pPr>
              <w:spacing w:after="0"/>
              <w:rPr>
                <w:sz w:val="24"/>
                <w:szCs w:val="24"/>
                <w:color w:val="auto"/>
              </w:rPr>
            </w:pPr>
          </w:p>
        </w:tc>
        <w:tc>
          <w:tcPr>
            <w:tcW w:w="1360" w:type="dxa"/>
            <w:vAlign w:val="bottom"/>
            <w:shd w:val="clear" w:color="auto" w:fill="CCEEFF"/>
          </w:tcPr>
          <w:p>
            <w:pPr>
              <w:jc w:val="right"/>
              <w:ind w:right="32"/>
              <w:spacing w:after="0"/>
              <w:rPr>
                <w:sz w:val="20"/>
                <w:szCs w:val="20"/>
                <w:color w:val="auto"/>
              </w:rPr>
            </w:pPr>
            <w:r>
              <w:rPr>
                <w:rFonts w:ascii="Arial" w:cs="Arial" w:eastAsia="Arial" w:hAnsi="Arial"/>
                <w:sz w:val="18"/>
                <w:szCs w:val="18"/>
                <w:color w:val="auto"/>
              </w:rPr>
              <w:t>9,986</w:t>
            </w:r>
          </w:p>
        </w:tc>
        <w:tc>
          <w:tcPr>
            <w:tcW w:w="100" w:type="dxa"/>
            <w:vAlign w:val="bottom"/>
            <w:shd w:val="clear" w:color="auto" w:fill="CCEEFF"/>
          </w:tcPr>
          <w:p>
            <w:pPr>
              <w:spacing w:after="0"/>
              <w:rPr>
                <w:sz w:val="24"/>
                <w:szCs w:val="24"/>
                <w:color w:val="auto"/>
              </w:rPr>
            </w:pPr>
          </w:p>
        </w:tc>
        <w:tc>
          <w:tcPr>
            <w:tcW w:w="200" w:type="dxa"/>
            <w:vAlign w:val="bottom"/>
            <w:shd w:val="clear" w:color="auto" w:fill="CCEEFF"/>
          </w:tcPr>
          <w:p>
            <w:pPr>
              <w:spacing w:after="0"/>
              <w:rPr>
                <w:sz w:val="24"/>
                <w:szCs w:val="24"/>
                <w:color w:val="auto"/>
              </w:rPr>
            </w:pPr>
          </w:p>
        </w:tc>
        <w:tc>
          <w:tcPr>
            <w:tcW w:w="140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10,626</w:t>
            </w:r>
          </w:p>
        </w:tc>
        <w:tc>
          <w:tcPr>
            <w:tcW w:w="120" w:type="dxa"/>
            <w:vAlign w:val="bottom"/>
            <w:shd w:val="clear" w:color="auto" w:fill="CCEEFF"/>
          </w:tcPr>
          <w:p>
            <w:pPr>
              <w:spacing w:after="0"/>
              <w:rPr>
                <w:sz w:val="24"/>
                <w:szCs w:val="24"/>
                <w:color w:val="auto"/>
              </w:rPr>
            </w:pPr>
          </w:p>
        </w:tc>
        <w:tc>
          <w:tcPr>
            <w:tcW w:w="240" w:type="dxa"/>
            <w:vAlign w:val="bottom"/>
            <w:shd w:val="clear" w:color="auto" w:fill="CCEEFF"/>
          </w:tcPr>
          <w:p>
            <w:pPr>
              <w:spacing w:after="0"/>
              <w:rPr>
                <w:sz w:val="24"/>
                <w:szCs w:val="24"/>
                <w:color w:val="auto"/>
              </w:rPr>
            </w:pPr>
          </w:p>
        </w:tc>
        <w:tc>
          <w:tcPr>
            <w:tcW w:w="136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10,850</w:t>
            </w:r>
          </w:p>
        </w:tc>
        <w:tc>
          <w:tcPr>
            <w:tcW w:w="120" w:type="dxa"/>
            <w:vAlign w:val="bottom"/>
            <w:shd w:val="clear" w:color="auto" w:fill="CCEEFF"/>
          </w:tcPr>
          <w:p>
            <w:pPr>
              <w:spacing w:after="0"/>
              <w:rPr>
                <w:sz w:val="24"/>
                <w:szCs w:val="24"/>
                <w:color w:val="auto"/>
              </w:rPr>
            </w:pPr>
          </w:p>
        </w:tc>
        <w:tc>
          <w:tcPr>
            <w:tcW w:w="200" w:type="dxa"/>
            <w:vAlign w:val="bottom"/>
            <w:shd w:val="clear" w:color="auto" w:fill="CCEEFF"/>
          </w:tcPr>
          <w:p>
            <w:pPr>
              <w:spacing w:after="0"/>
              <w:rPr>
                <w:sz w:val="24"/>
                <w:szCs w:val="24"/>
                <w:color w:val="auto"/>
              </w:rPr>
            </w:pPr>
          </w:p>
        </w:tc>
        <w:tc>
          <w:tcPr>
            <w:tcW w:w="140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10,344</w:t>
            </w:r>
          </w:p>
        </w:tc>
      </w:tr>
      <w:tr>
        <w:trPr>
          <w:trHeight w:val="263"/>
        </w:trPr>
        <w:tc>
          <w:tcPr>
            <w:tcW w:w="4660" w:type="dxa"/>
            <w:vAlign w:val="bottom"/>
          </w:tcPr>
          <w:p>
            <w:pPr>
              <w:ind w:left="40"/>
              <w:spacing w:after="0"/>
              <w:rPr>
                <w:sz w:val="20"/>
                <w:szCs w:val="20"/>
                <w:color w:val="auto"/>
              </w:rPr>
            </w:pPr>
            <w:r>
              <w:rPr>
                <w:rFonts w:ascii="Arial" w:cs="Arial" w:eastAsia="Arial" w:hAnsi="Arial"/>
                <w:sz w:val="18"/>
                <w:szCs w:val="18"/>
                <w:color w:val="auto"/>
              </w:rPr>
              <w:t>Operating income</w:t>
            </w:r>
          </w:p>
        </w:tc>
        <w:tc>
          <w:tcPr>
            <w:tcW w:w="260" w:type="dxa"/>
            <w:vAlign w:val="bottom"/>
          </w:tcPr>
          <w:p>
            <w:pPr>
              <w:spacing w:after="0"/>
              <w:rPr>
                <w:sz w:val="22"/>
                <w:szCs w:val="22"/>
                <w:color w:val="auto"/>
              </w:rPr>
            </w:pPr>
          </w:p>
        </w:tc>
        <w:tc>
          <w:tcPr>
            <w:tcW w:w="1360" w:type="dxa"/>
            <w:vAlign w:val="bottom"/>
          </w:tcPr>
          <w:p>
            <w:pPr>
              <w:jc w:val="right"/>
              <w:ind w:right="32"/>
              <w:spacing w:after="0"/>
              <w:rPr>
                <w:sz w:val="20"/>
                <w:szCs w:val="20"/>
                <w:color w:val="auto"/>
              </w:rPr>
            </w:pPr>
            <w:r>
              <w:rPr>
                <w:rFonts w:ascii="Arial" w:cs="Arial" w:eastAsia="Arial" w:hAnsi="Arial"/>
                <w:sz w:val="18"/>
                <w:szCs w:val="18"/>
                <w:color w:val="auto"/>
              </w:rPr>
              <w:t>412</w:t>
            </w:r>
          </w:p>
        </w:tc>
        <w:tc>
          <w:tcPr>
            <w:tcW w:w="10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1400" w:type="dxa"/>
            <w:vAlign w:val="bottom"/>
          </w:tcPr>
          <w:p>
            <w:pPr>
              <w:jc w:val="right"/>
              <w:ind w:right="12"/>
              <w:spacing w:after="0"/>
              <w:rPr>
                <w:sz w:val="20"/>
                <w:szCs w:val="20"/>
                <w:color w:val="auto"/>
              </w:rPr>
            </w:pPr>
            <w:r>
              <w:rPr>
                <w:rFonts w:ascii="Arial" w:cs="Arial" w:eastAsia="Arial" w:hAnsi="Arial"/>
                <w:sz w:val="18"/>
                <w:szCs w:val="18"/>
                <w:color w:val="auto"/>
              </w:rPr>
              <w:t>1,014</w:t>
            </w:r>
          </w:p>
        </w:tc>
        <w:tc>
          <w:tcPr>
            <w:tcW w:w="12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1360" w:type="dxa"/>
            <w:vAlign w:val="bottom"/>
          </w:tcPr>
          <w:p>
            <w:pPr>
              <w:jc w:val="right"/>
              <w:ind w:right="12"/>
              <w:spacing w:after="0"/>
              <w:rPr>
                <w:sz w:val="20"/>
                <w:szCs w:val="20"/>
                <w:color w:val="auto"/>
              </w:rPr>
            </w:pPr>
            <w:r>
              <w:rPr>
                <w:rFonts w:ascii="Arial" w:cs="Arial" w:eastAsia="Arial" w:hAnsi="Arial"/>
                <w:sz w:val="18"/>
                <w:szCs w:val="18"/>
                <w:color w:val="auto"/>
              </w:rPr>
              <w:t>706</w:t>
            </w:r>
          </w:p>
        </w:tc>
        <w:tc>
          <w:tcPr>
            <w:tcW w:w="12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1400" w:type="dxa"/>
            <w:vAlign w:val="bottom"/>
          </w:tcPr>
          <w:p>
            <w:pPr>
              <w:jc w:val="right"/>
              <w:ind w:right="12"/>
              <w:spacing w:after="0"/>
              <w:rPr>
                <w:sz w:val="20"/>
                <w:szCs w:val="20"/>
                <w:color w:val="auto"/>
              </w:rPr>
            </w:pPr>
            <w:r>
              <w:rPr>
                <w:rFonts w:ascii="Arial" w:cs="Arial" w:eastAsia="Arial" w:hAnsi="Arial"/>
                <w:sz w:val="18"/>
                <w:szCs w:val="18"/>
                <w:color w:val="auto"/>
              </w:rPr>
              <w:t>592</w:t>
            </w:r>
          </w:p>
        </w:tc>
      </w:tr>
      <w:tr>
        <w:trPr>
          <w:trHeight w:val="277"/>
        </w:trPr>
        <w:tc>
          <w:tcPr>
            <w:tcW w:w="4660" w:type="dxa"/>
            <w:vAlign w:val="bottom"/>
            <w:shd w:val="clear" w:color="auto" w:fill="CCEEFF"/>
          </w:tcPr>
          <w:p>
            <w:pPr>
              <w:ind w:left="40"/>
              <w:spacing w:after="0"/>
              <w:rPr>
                <w:sz w:val="20"/>
                <w:szCs w:val="20"/>
                <w:color w:val="auto"/>
              </w:rPr>
            </w:pPr>
            <w:r>
              <w:rPr>
                <w:rFonts w:ascii="Arial" w:cs="Arial" w:eastAsia="Arial" w:hAnsi="Arial"/>
                <w:sz w:val="18"/>
                <w:szCs w:val="18"/>
                <w:color w:val="auto"/>
              </w:rPr>
              <w:t>Net income</w:t>
            </w:r>
          </w:p>
        </w:tc>
        <w:tc>
          <w:tcPr>
            <w:tcW w:w="260" w:type="dxa"/>
            <w:vAlign w:val="bottom"/>
            <w:shd w:val="clear" w:color="auto" w:fill="CCEEFF"/>
          </w:tcPr>
          <w:p>
            <w:pPr>
              <w:spacing w:after="0"/>
              <w:rPr>
                <w:sz w:val="24"/>
                <w:szCs w:val="24"/>
                <w:color w:val="auto"/>
              </w:rPr>
            </w:pPr>
          </w:p>
        </w:tc>
        <w:tc>
          <w:tcPr>
            <w:tcW w:w="1360" w:type="dxa"/>
            <w:vAlign w:val="bottom"/>
            <w:shd w:val="clear" w:color="auto" w:fill="CCEEFF"/>
          </w:tcPr>
          <w:p>
            <w:pPr>
              <w:jc w:val="right"/>
              <w:ind w:right="32"/>
              <w:spacing w:after="0"/>
              <w:rPr>
                <w:sz w:val="20"/>
                <w:szCs w:val="20"/>
                <w:color w:val="auto"/>
              </w:rPr>
            </w:pPr>
            <w:r>
              <w:rPr>
                <w:rFonts w:ascii="Arial" w:cs="Arial" w:eastAsia="Arial" w:hAnsi="Arial"/>
                <w:sz w:val="18"/>
                <w:szCs w:val="18"/>
                <w:color w:val="auto"/>
              </w:rPr>
              <w:t>209</w:t>
            </w:r>
          </w:p>
        </w:tc>
        <w:tc>
          <w:tcPr>
            <w:tcW w:w="100" w:type="dxa"/>
            <w:vAlign w:val="bottom"/>
            <w:shd w:val="clear" w:color="auto" w:fill="CCEEFF"/>
          </w:tcPr>
          <w:p>
            <w:pPr>
              <w:spacing w:after="0"/>
              <w:rPr>
                <w:sz w:val="24"/>
                <w:szCs w:val="24"/>
                <w:color w:val="auto"/>
              </w:rPr>
            </w:pPr>
          </w:p>
        </w:tc>
        <w:tc>
          <w:tcPr>
            <w:tcW w:w="200" w:type="dxa"/>
            <w:vAlign w:val="bottom"/>
            <w:shd w:val="clear" w:color="auto" w:fill="CCEEFF"/>
          </w:tcPr>
          <w:p>
            <w:pPr>
              <w:spacing w:after="0"/>
              <w:rPr>
                <w:sz w:val="24"/>
                <w:szCs w:val="24"/>
                <w:color w:val="auto"/>
              </w:rPr>
            </w:pPr>
          </w:p>
        </w:tc>
        <w:tc>
          <w:tcPr>
            <w:tcW w:w="140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609</w:t>
            </w:r>
          </w:p>
        </w:tc>
        <w:tc>
          <w:tcPr>
            <w:tcW w:w="120" w:type="dxa"/>
            <w:vAlign w:val="bottom"/>
            <w:shd w:val="clear" w:color="auto" w:fill="CCEEFF"/>
          </w:tcPr>
          <w:p>
            <w:pPr>
              <w:spacing w:after="0"/>
              <w:rPr>
                <w:sz w:val="24"/>
                <w:szCs w:val="24"/>
                <w:color w:val="auto"/>
              </w:rPr>
            </w:pPr>
          </w:p>
        </w:tc>
        <w:tc>
          <w:tcPr>
            <w:tcW w:w="240" w:type="dxa"/>
            <w:vAlign w:val="bottom"/>
            <w:shd w:val="clear" w:color="auto" w:fill="CCEEFF"/>
          </w:tcPr>
          <w:p>
            <w:pPr>
              <w:spacing w:after="0"/>
              <w:rPr>
                <w:sz w:val="24"/>
                <w:szCs w:val="24"/>
                <w:color w:val="auto"/>
              </w:rPr>
            </w:pPr>
          </w:p>
        </w:tc>
        <w:tc>
          <w:tcPr>
            <w:tcW w:w="136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433</w:t>
            </w:r>
          </w:p>
        </w:tc>
        <w:tc>
          <w:tcPr>
            <w:tcW w:w="120" w:type="dxa"/>
            <w:vAlign w:val="bottom"/>
            <w:shd w:val="clear" w:color="auto" w:fill="CCEEFF"/>
          </w:tcPr>
          <w:p>
            <w:pPr>
              <w:spacing w:after="0"/>
              <w:rPr>
                <w:sz w:val="24"/>
                <w:szCs w:val="24"/>
                <w:color w:val="auto"/>
              </w:rPr>
            </w:pPr>
          </w:p>
        </w:tc>
        <w:tc>
          <w:tcPr>
            <w:tcW w:w="200" w:type="dxa"/>
            <w:vAlign w:val="bottom"/>
            <w:shd w:val="clear" w:color="auto" w:fill="CCEEFF"/>
          </w:tcPr>
          <w:p>
            <w:pPr>
              <w:spacing w:after="0"/>
              <w:rPr>
                <w:sz w:val="24"/>
                <w:szCs w:val="24"/>
                <w:color w:val="auto"/>
              </w:rPr>
            </w:pPr>
          </w:p>
        </w:tc>
        <w:tc>
          <w:tcPr>
            <w:tcW w:w="140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407</w:t>
            </w:r>
          </w:p>
        </w:tc>
      </w:tr>
    </w:tbl>
    <w:p>
      <w:pPr>
        <w:spacing w:after="0" w:line="377" w:lineRule="exact"/>
        <w:rPr>
          <w:sz w:val="20"/>
          <w:szCs w:val="20"/>
          <w:color w:val="auto"/>
        </w:rPr>
      </w:pPr>
    </w:p>
    <w:p>
      <w:pPr>
        <w:jc w:val="both"/>
        <w:ind w:firstLine="216"/>
        <w:spacing w:after="0" w:line="256" w:lineRule="auto"/>
        <w:rPr>
          <w:sz w:val="20"/>
          <w:szCs w:val="20"/>
          <w:color w:val="auto"/>
        </w:rPr>
      </w:pPr>
      <w:r>
        <w:rPr>
          <w:rFonts w:ascii="Arial" w:cs="Arial" w:eastAsia="Arial" w:hAnsi="Arial"/>
          <w:sz w:val="18"/>
          <w:szCs w:val="18"/>
          <w:color w:val="auto"/>
        </w:rPr>
        <w:t>American’s fourth quarter 2019 results include $108 million of total pre-tax net special items that principally included $85 million of merger integration expenses and $39 million of fleet restructuring expenses, offset in part by $42 million of mark-to-market net unrealized gains associated with certain equity and other investments.</w:t>
      </w:r>
    </w:p>
    <w:p>
      <w:pPr>
        <w:spacing w:after="0" w:line="148" w:lineRule="exact"/>
        <w:rPr>
          <w:sz w:val="20"/>
          <w:szCs w:val="20"/>
          <w:color w:val="auto"/>
        </w:rPr>
      </w:pPr>
    </w:p>
    <w:p>
      <w:pPr>
        <w:jc w:val="both"/>
        <w:ind w:firstLine="216"/>
        <w:spacing w:after="0" w:line="254" w:lineRule="auto"/>
        <w:rPr>
          <w:sz w:val="20"/>
          <w:szCs w:val="20"/>
          <w:color w:val="auto"/>
        </w:rPr>
      </w:pPr>
      <w:r>
        <w:rPr>
          <w:rFonts w:ascii="Arial" w:cs="Arial" w:eastAsia="Arial" w:hAnsi="Arial"/>
          <w:sz w:val="18"/>
          <w:szCs w:val="18"/>
          <w:color w:val="auto"/>
        </w:rPr>
        <w:t>American’s fourth quarter 2018 results include $190 million of total pre-tax net special items that principally included $94 million of fleet restructuring expenses, $81 million of merger integration expenses, $37 million of severance costs associated with reductions of management and support staff team members, $ 22 million of mark-to-market net unrealized losses associated with certain equity investments, offset in part by a $37 million net credit resulting from mark-to-market adjustments on bankruptcy obligations.</w:t>
      </w:r>
    </w:p>
    <w:p>
      <w:pPr>
        <w:spacing w:after="0" w:line="20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156</w:t>
      </w:r>
    </w:p>
    <w:p>
      <w:pPr>
        <w:sectPr>
          <w:pgSz w:w="11900" w:h="16838" w:orient="portrait"/>
          <w:cols w:equalWidth="0" w:num="1">
            <w:col w:w="11420"/>
          </w:cols>
          <w:pgMar w:left="240" w:top="549" w:right="239" w:bottom="1440" w:gutter="0" w:footer="0" w:header="0"/>
        </w:sectPr>
      </w:pPr>
    </w:p>
    <w:bookmarkStart w:id="156" w:name="page157"/>
    <w:bookmarkEnd w:id="156"/>
    <w:p>
      <w:pPr>
        <w:jc w:val="center"/>
        <w:spacing w:after="0"/>
        <w:rPr>
          <w:sz w:val="20"/>
          <w:szCs w:val="20"/>
          <w:color w:val="auto"/>
        </w:rPr>
      </w:pPr>
      <w:r>
        <w:rPr>
          <w:rFonts w:ascii="Arial" w:cs="Arial" w:eastAsia="Arial" w:hAnsi="Arial"/>
          <w:sz w:val="18"/>
          <w:szCs w:val="18"/>
          <w:b w:val="1"/>
          <w:bCs w:val="1"/>
          <w:color w:val="auto"/>
        </w:rPr>
        <w:t>NOTES TO CONSOLIDATED FINANCIAL STATEMENTS OF AMERICAN AIRLINES, INC.</w:t>
      </w:r>
    </w:p>
    <w:p>
      <w:pPr>
        <w:spacing w:after="0" w:line="200" w:lineRule="exact"/>
        <w:rPr>
          <w:sz w:val="20"/>
          <w:szCs w:val="20"/>
          <w:color w:val="auto"/>
        </w:rPr>
      </w:pPr>
    </w:p>
    <w:p>
      <w:pPr>
        <w:spacing w:after="0" w:line="26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16. Transactions with Related Parties</w:t>
      </w:r>
    </w:p>
    <w:p>
      <w:pPr>
        <w:spacing w:after="0" w:line="112" w:lineRule="exact"/>
        <w:rPr>
          <w:sz w:val="20"/>
          <w:szCs w:val="20"/>
          <w:color w:val="auto"/>
        </w:rPr>
      </w:pPr>
    </w:p>
    <w:p>
      <w:pPr>
        <w:ind w:left="220"/>
        <w:spacing w:after="0"/>
        <w:rPr>
          <w:sz w:val="20"/>
          <w:szCs w:val="20"/>
          <w:color w:val="auto"/>
        </w:rPr>
      </w:pPr>
      <w:r>
        <w:rPr>
          <w:rFonts w:ascii="Arial" w:cs="Arial" w:eastAsia="Arial" w:hAnsi="Arial"/>
          <w:sz w:val="18"/>
          <w:szCs w:val="18"/>
          <w:color w:val="auto"/>
        </w:rPr>
        <w:t>The following represents the net receivables (payables) to related parties (in millions):</w:t>
      </w:r>
    </w:p>
    <w:p>
      <w:pPr>
        <w:spacing w:after="0" w:line="375" w:lineRule="exact"/>
        <w:rPr>
          <w:sz w:val="20"/>
          <w:szCs w:val="20"/>
          <w:color w:val="auto"/>
        </w:rPr>
      </w:pPr>
    </w:p>
    <w:tbl>
      <w:tblPr>
        <w:tblLayout w:type="fixed"/>
        <w:tblInd w:w="0" w:type="dxa"/>
        <w:tblCellMar>
          <w:top w:w="0" w:type="dxa"/>
          <w:left w:w="0" w:type="dxa"/>
          <w:bottom w:w="0" w:type="dxa"/>
          <w:right w:w="0" w:type="dxa"/>
        </w:tblCellMar>
      </w:tblPr>
      <w:tr>
        <w:trPr>
          <w:trHeight w:val="196"/>
        </w:trPr>
        <w:tc>
          <w:tcPr>
            <w:tcW w:w="7880" w:type="dxa"/>
            <w:vAlign w:val="bottom"/>
          </w:tcPr>
          <w:p>
            <w:pPr>
              <w:spacing w:after="0"/>
              <w:rPr>
                <w:sz w:val="17"/>
                <w:szCs w:val="17"/>
                <w:color w:val="auto"/>
              </w:rPr>
            </w:pPr>
          </w:p>
        </w:tc>
        <w:tc>
          <w:tcPr>
            <w:tcW w:w="1040" w:type="dxa"/>
            <w:vAlign w:val="bottom"/>
            <w:tcBorders>
              <w:bottom w:val="single" w:sz="8" w:color="auto"/>
            </w:tcBorders>
          </w:tcPr>
          <w:p>
            <w:pPr>
              <w:spacing w:after="0"/>
              <w:rPr>
                <w:sz w:val="17"/>
                <w:szCs w:val="17"/>
                <w:color w:val="auto"/>
              </w:rPr>
            </w:pPr>
          </w:p>
        </w:tc>
        <w:tc>
          <w:tcPr>
            <w:tcW w:w="1340" w:type="dxa"/>
            <w:vAlign w:val="bottom"/>
            <w:tcBorders>
              <w:bottom w:val="single" w:sz="8" w:color="auto"/>
            </w:tcBorders>
            <w:gridSpan w:val="3"/>
          </w:tcPr>
          <w:p>
            <w:pPr>
              <w:jc w:val="right"/>
              <w:ind w:right="30"/>
              <w:spacing w:after="0"/>
              <w:rPr>
                <w:sz w:val="20"/>
                <w:szCs w:val="20"/>
                <w:color w:val="auto"/>
              </w:rPr>
            </w:pPr>
            <w:r>
              <w:rPr>
                <w:rFonts w:ascii="Arial" w:cs="Arial" w:eastAsia="Arial" w:hAnsi="Arial"/>
                <w:sz w:val="14"/>
                <w:szCs w:val="14"/>
                <w:b w:val="1"/>
                <w:bCs w:val="1"/>
                <w:color w:val="auto"/>
              </w:rPr>
              <w:t>December 31,</w:t>
            </w:r>
          </w:p>
        </w:tc>
        <w:tc>
          <w:tcPr>
            <w:tcW w:w="1160" w:type="dxa"/>
            <w:vAlign w:val="bottom"/>
            <w:tcBorders>
              <w:bottom w:val="single" w:sz="8" w:color="auto"/>
            </w:tcBorders>
          </w:tcPr>
          <w:p>
            <w:pPr>
              <w:spacing w:after="0"/>
              <w:rPr>
                <w:sz w:val="17"/>
                <w:szCs w:val="17"/>
                <w:color w:val="auto"/>
              </w:rPr>
            </w:pPr>
          </w:p>
        </w:tc>
      </w:tr>
      <w:tr>
        <w:trPr>
          <w:trHeight w:val="264"/>
        </w:trPr>
        <w:tc>
          <w:tcPr>
            <w:tcW w:w="7880" w:type="dxa"/>
            <w:vAlign w:val="bottom"/>
            <w:tcBorders>
              <w:bottom w:val="single" w:sz="8" w:color="CCEEFF"/>
            </w:tcBorders>
          </w:tcPr>
          <w:p>
            <w:pPr>
              <w:spacing w:after="0"/>
              <w:rPr>
                <w:sz w:val="22"/>
                <w:szCs w:val="22"/>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2019</w:t>
            </w:r>
          </w:p>
        </w:tc>
        <w:tc>
          <w:tcPr>
            <w:tcW w:w="680" w:type="dxa"/>
            <w:vAlign w:val="bottom"/>
            <w:tcBorders>
              <w:bottom w:val="single" w:sz="8" w:color="auto"/>
            </w:tcBorders>
          </w:tcPr>
          <w:p>
            <w:pPr>
              <w:spacing w:after="0"/>
              <w:rPr>
                <w:sz w:val="22"/>
                <w:szCs w:val="22"/>
                <w:color w:val="auto"/>
              </w:rPr>
            </w:pPr>
          </w:p>
        </w:tc>
        <w:tc>
          <w:tcPr>
            <w:tcW w:w="100" w:type="dxa"/>
            <w:vAlign w:val="bottom"/>
            <w:tcBorders>
              <w:bottom w:val="single" w:sz="8" w:color="CCEEFF"/>
            </w:tcBorders>
          </w:tcPr>
          <w:p>
            <w:pPr>
              <w:spacing w:after="0"/>
              <w:rPr>
                <w:sz w:val="22"/>
                <w:szCs w:val="22"/>
                <w:color w:val="auto"/>
              </w:rPr>
            </w:pPr>
          </w:p>
        </w:tc>
        <w:tc>
          <w:tcPr>
            <w:tcW w:w="560" w:type="dxa"/>
            <w:vAlign w:val="bottom"/>
            <w:tcBorders>
              <w:bottom w:val="single" w:sz="8" w:color="auto"/>
            </w:tcBorders>
          </w:tcPr>
          <w:p>
            <w:pPr>
              <w:spacing w:after="0"/>
              <w:rPr>
                <w:sz w:val="22"/>
                <w:szCs w:val="22"/>
                <w:color w:val="auto"/>
              </w:rPr>
            </w:pPr>
          </w:p>
        </w:tc>
        <w:tc>
          <w:tcPr>
            <w:tcW w:w="1160" w:type="dxa"/>
            <w:vAlign w:val="bottom"/>
            <w:tcBorders>
              <w:bottom w:val="single" w:sz="8" w:color="auto"/>
            </w:tcBorders>
          </w:tcPr>
          <w:p>
            <w:pPr>
              <w:jc w:val="right"/>
              <w:ind w:right="614"/>
              <w:spacing w:after="0"/>
              <w:rPr>
                <w:sz w:val="20"/>
                <w:szCs w:val="20"/>
                <w:color w:val="auto"/>
              </w:rPr>
            </w:pPr>
            <w:r>
              <w:rPr>
                <w:rFonts w:ascii="Arial" w:cs="Arial" w:eastAsia="Arial" w:hAnsi="Arial"/>
                <w:sz w:val="14"/>
                <w:szCs w:val="14"/>
                <w:b w:val="1"/>
                <w:bCs w:val="1"/>
                <w:color w:val="auto"/>
              </w:rPr>
              <w:t>2018</w:t>
            </w:r>
          </w:p>
        </w:tc>
      </w:tr>
      <w:tr>
        <w:trPr>
          <w:trHeight w:val="256"/>
        </w:trPr>
        <w:tc>
          <w:tcPr>
            <w:tcW w:w="7880" w:type="dxa"/>
            <w:vAlign w:val="bottom"/>
            <w:shd w:val="clear" w:color="auto" w:fill="CCEEFF"/>
          </w:tcPr>
          <w:p>
            <w:pPr>
              <w:ind w:left="40"/>
              <w:spacing w:after="0" w:line="256" w:lineRule="exact"/>
              <w:rPr>
                <w:sz w:val="20"/>
                <w:szCs w:val="20"/>
                <w:color w:val="auto"/>
              </w:rPr>
            </w:pPr>
            <w:r>
              <w:rPr>
                <w:rFonts w:ascii="Arial" w:cs="Arial" w:eastAsia="Arial" w:hAnsi="Arial"/>
                <w:sz w:val="29"/>
                <w:szCs w:val="29"/>
                <w:color w:val="auto"/>
                <w:vertAlign w:val="subscript"/>
              </w:rPr>
              <w:t>AAG</w:t>
            </w:r>
            <w:r>
              <w:rPr>
                <w:rFonts w:ascii="Arial" w:cs="Arial" w:eastAsia="Arial" w:hAnsi="Arial"/>
                <w:sz w:val="10"/>
                <w:szCs w:val="10"/>
                <w:color w:val="auto"/>
              </w:rPr>
              <w:t xml:space="preserve"> (1)</w:t>
            </w:r>
          </w:p>
        </w:tc>
        <w:tc>
          <w:tcPr>
            <w:tcW w:w="1040" w:type="dxa"/>
            <w:vAlign w:val="bottom"/>
            <w:shd w:val="clear" w:color="auto" w:fill="CCEEFF"/>
          </w:tcPr>
          <w:p>
            <w:pPr>
              <w:jc w:val="right"/>
              <w:ind w:right="836"/>
              <w:spacing w:after="0"/>
              <w:rPr>
                <w:sz w:val="20"/>
                <w:szCs w:val="20"/>
                <w:color w:val="auto"/>
              </w:rPr>
            </w:pPr>
            <w:r>
              <w:rPr>
                <w:rFonts w:ascii="Arial" w:cs="Arial" w:eastAsia="Arial" w:hAnsi="Arial"/>
                <w:sz w:val="18"/>
                <w:szCs w:val="18"/>
                <w:color w:val="auto"/>
                <w:w w:val="99"/>
              </w:rPr>
              <w:t>$</w:t>
            </w:r>
          </w:p>
        </w:tc>
        <w:tc>
          <w:tcPr>
            <w:tcW w:w="680" w:type="dxa"/>
            <w:vAlign w:val="bottom"/>
            <w:shd w:val="clear" w:color="auto" w:fill="CCEEFF"/>
          </w:tcPr>
          <w:p>
            <w:pPr>
              <w:jc w:val="right"/>
              <w:ind w:right="34"/>
              <w:spacing w:after="0"/>
              <w:rPr>
                <w:sz w:val="20"/>
                <w:szCs w:val="20"/>
                <w:color w:val="auto"/>
              </w:rPr>
            </w:pPr>
            <w:r>
              <w:rPr>
                <w:rFonts w:ascii="Arial" w:cs="Arial" w:eastAsia="Arial" w:hAnsi="Arial"/>
                <w:sz w:val="18"/>
                <w:szCs w:val="18"/>
                <w:color w:val="auto"/>
                <w:w w:val="98"/>
              </w:rPr>
              <w:t>14,597</w:t>
            </w:r>
          </w:p>
        </w:tc>
        <w:tc>
          <w:tcPr>
            <w:tcW w:w="100" w:type="dxa"/>
            <w:vAlign w:val="bottom"/>
            <w:shd w:val="clear" w:color="auto" w:fill="CCEEFF"/>
          </w:tcPr>
          <w:p>
            <w:pPr>
              <w:spacing w:after="0"/>
              <w:rPr>
                <w:sz w:val="22"/>
                <w:szCs w:val="22"/>
                <w:color w:val="auto"/>
              </w:rPr>
            </w:pPr>
          </w:p>
        </w:tc>
        <w:tc>
          <w:tcPr>
            <w:tcW w:w="560" w:type="dxa"/>
            <w:vAlign w:val="bottom"/>
            <w:shd w:val="clear" w:color="auto" w:fill="CCEEFF"/>
          </w:tcPr>
          <w:p>
            <w:pPr>
              <w:jc w:val="right"/>
              <w:ind w:right="330"/>
              <w:spacing w:after="0"/>
              <w:rPr>
                <w:sz w:val="20"/>
                <w:szCs w:val="20"/>
                <w:color w:val="auto"/>
              </w:rPr>
            </w:pPr>
            <w:r>
              <w:rPr>
                <w:rFonts w:ascii="Arial" w:cs="Arial" w:eastAsia="Arial" w:hAnsi="Arial"/>
                <w:sz w:val="18"/>
                <w:szCs w:val="18"/>
                <w:color w:val="auto"/>
              </w:rPr>
              <w:t>$</w:t>
            </w:r>
          </w:p>
        </w:tc>
        <w:tc>
          <w:tcPr>
            <w:tcW w:w="1160" w:type="dxa"/>
            <w:vAlign w:val="bottom"/>
            <w:shd w:val="clear" w:color="auto" w:fill="CCEEFF"/>
          </w:tcPr>
          <w:p>
            <w:pPr>
              <w:jc w:val="right"/>
              <w:ind w:right="14"/>
              <w:spacing w:after="0"/>
              <w:rPr>
                <w:sz w:val="20"/>
                <w:szCs w:val="20"/>
                <w:color w:val="auto"/>
              </w:rPr>
            </w:pPr>
            <w:r>
              <w:rPr>
                <w:rFonts w:ascii="Arial" w:cs="Arial" w:eastAsia="Arial" w:hAnsi="Arial"/>
                <w:sz w:val="18"/>
                <w:szCs w:val="18"/>
                <w:color w:val="auto"/>
              </w:rPr>
              <w:t>12,808</w:t>
            </w:r>
          </w:p>
        </w:tc>
      </w:tr>
      <w:tr>
        <w:trPr>
          <w:trHeight w:val="270"/>
        </w:trPr>
        <w:tc>
          <w:tcPr>
            <w:tcW w:w="7880" w:type="dxa"/>
            <w:vAlign w:val="bottom"/>
            <w:tcBorders>
              <w:bottom w:val="single" w:sz="8" w:color="CCEEFF"/>
            </w:tcBorders>
          </w:tcPr>
          <w:p>
            <w:pPr>
              <w:ind w:left="40"/>
              <w:spacing w:after="0"/>
              <w:rPr>
                <w:sz w:val="20"/>
                <w:szCs w:val="20"/>
                <w:color w:val="auto"/>
              </w:rPr>
            </w:pPr>
            <w:r>
              <w:rPr>
                <w:rFonts w:ascii="Arial" w:cs="Arial" w:eastAsia="Arial" w:hAnsi="Arial"/>
                <w:sz w:val="18"/>
                <w:szCs w:val="18"/>
                <w:color w:val="auto"/>
              </w:rPr>
              <w:t xml:space="preserve">AAG’s wholly-owned subsidiaries </w:t>
            </w:r>
            <w:r>
              <w:rPr>
                <w:rFonts w:ascii="Arial" w:cs="Arial" w:eastAsia="Arial" w:hAnsi="Arial"/>
                <w:sz w:val="21"/>
                <w:szCs w:val="21"/>
                <w:color w:val="auto"/>
                <w:vertAlign w:val="superscript"/>
              </w:rPr>
              <w:t>(2)</w:t>
            </w:r>
          </w:p>
        </w:tc>
        <w:tc>
          <w:tcPr>
            <w:tcW w:w="1040" w:type="dxa"/>
            <w:vAlign w:val="bottom"/>
            <w:tcBorders>
              <w:bottom w:val="single" w:sz="8" w:color="auto"/>
            </w:tcBorders>
          </w:tcPr>
          <w:p>
            <w:pPr>
              <w:spacing w:after="0"/>
              <w:rPr>
                <w:sz w:val="23"/>
                <w:szCs w:val="23"/>
                <w:color w:val="auto"/>
              </w:rPr>
            </w:pP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(2,146)</w:t>
            </w:r>
          </w:p>
        </w:tc>
        <w:tc>
          <w:tcPr>
            <w:tcW w:w="100" w:type="dxa"/>
            <w:vAlign w:val="bottom"/>
            <w:tcBorders>
              <w:bottom w:val="single" w:sz="8" w:color="CCEEFF"/>
            </w:tcBorders>
          </w:tcPr>
          <w:p>
            <w:pPr>
              <w:spacing w:after="0"/>
              <w:rPr>
                <w:sz w:val="23"/>
                <w:szCs w:val="23"/>
                <w:color w:val="auto"/>
              </w:rPr>
            </w:pPr>
          </w:p>
        </w:tc>
        <w:tc>
          <w:tcPr>
            <w:tcW w:w="560" w:type="dxa"/>
            <w:vAlign w:val="bottom"/>
            <w:tcBorders>
              <w:bottom w:val="single" w:sz="8" w:color="auto"/>
            </w:tcBorders>
          </w:tcPr>
          <w:p>
            <w:pPr>
              <w:spacing w:after="0"/>
              <w:rPr>
                <w:sz w:val="23"/>
                <w:szCs w:val="23"/>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(2,142)</w:t>
            </w:r>
          </w:p>
        </w:tc>
      </w:tr>
      <w:tr>
        <w:trPr>
          <w:trHeight w:val="244"/>
        </w:trPr>
        <w:tc>
          <w:tcPr>
            <w:tcW w:w="788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Total</w:t>
            </w:r>
          </w:p>
        </w:tc>
        <w:tc>
          <w:tcPr>
            <w:tcW w:w="1040" w:type="dxa"/>
            <w:vAlign w:val="bottom"/>
            <w:tcBorders>
              <w:bottom w:val="single" w:sz="8" w:color="auto"/>
            </w:tcBorders>
            <w:shd w:val="clear" w:color="auto" w:fill="CCEEFF"/>
          </w:tcPr>
          <w:p>
            <w:pPr>
              <w:jc w:val="right"/>
              <w:ind w:right="836"/>
              <w:spacing w:after="0"/>
              <w:rPr>
                <w:sz w:val="20"/>
                <w:szCs w:val="20"/>
                <w:color w:val="auto"/>
              </w:rPr>
            </w:pPr>
            <w:r>
              <w:rPr>
                <w:rFonts w:ascii="Arial" w:cs="Arial" w:eastAsia="Arial" w:hAnsi="Arial"/>
                <w:sz w:val="18"/>
                <w:szCs w:val="18"/>
                <w:color w:val="auto"/>
                <w:w w:val="99"/>
              </w:rPr>
              <w:t>$</w:t>
            </w:r>
          </w:p>
        </w:tc>
        <w:tc>
          <w:tcPr>
            <w:tcW w:w="680" w:type="dxa"/>
            <w:vAlign w:val="bottom"/>
            <w:tcBorders>
              <w:bottom w:val="single" w:sz="8" w:color="auto"/>
            </w:tcBorders>
            <w:shd w:val="clear" w:color="auto" w:fill="CCEEFF"/>
          </w:tcPr>
          <w:p>
            <w:pPr>
              <w:jc w:val="right"/>
              <w:ind w:right="34"/>
              <w:spacing w:after="0"/>
              <w:rPr>
                <w:sz w:val="20"/>
                <w:szCs w:val="20"/>
                <w:color w:val="auto"/>
              </w:rPr>
            </w:pPr>
            <w:r>
              <w:rPr>
                <w:rFonts w:ascii="Arial" w:cs="Arial" w:eastAsia="Arial" w:hAnsi="Arial"/>
                <w:sz w:val="18"/>
                <w:szCs w:val="18"/>
                <w:color w:val="auto"/>
                <w:w w:val="98"/>
              </w:rPr>
              <w:t>12,451</w:t>
            </w:r>
          </w:p>
        </w:tc>
        <w:tc>
          <w:tcPr>
            <w:tcW w:w="100" w:type="dxa"/>
            <w:vAlign w:val="bottom"/>
            <w:tcBorders>
              <w:bottom w:val="single" w:sz="8" w:color="CCEEFF"/>
            </w:tcBorders>
            <w:shd w:val="clear" w:color="auto" w:fill="CCEEFF"/>
          </w:tcPr>
          <w:p>
            <w:pPr>
              <w:spacing w:after="0"/>
              <w:rPr>
                <w:sz w:val="21"/>
                <w:szCs w:val="21"/>
                <w:color w:val="auto"/>
              </w:rPr>
            </w:pPr>
          </w:p>
        </w:tc>
        <w:tc>
          <w:tcPr>
            <w:tcW w:w="560" w:type="dxa"/>
            <w:vAlign w:val="bottom"/>
            <w:tcBorders>
              <w:bottom w:val="single" w:sz="8" w:color="auto"/>
            </w:tcBorders>
            <w:shd w:val="clear" w:color="auto" w:fill="CCEEFF"/>
          </w:tcPr>
          <w:p>
            <w:pPr>
              <w:jc w:val="right"/>
              <w:ind w:right="330"/>
              <w:spacing w:after="0"/>
              <w:rPr>
                <w:sz w:val="20"/>
                <w:szCs w:val="20"/>
                <w:color w:val="auto"/>
              </w:rPr>
            </w:pPr>
            <w:r>
              <w:rPr>
                <w:rFonts w:ascii="Arial" w:cs="Arial" w:eastAsia="Arial" w:hAnsi="Arial"/>
                <w:sz w:val="18"/>
                <w:szCs w:val="18"/>
                <w:color w:val="auto"/>
              </w:rPr>
              <w:t>$</w:t>
            </w:r>
          </w:p>
        </w:tc>
        <w:tc>
          <w:tcPr>
            <w:tcW w:w="1160" w:type="dxa"/>
            <w:vAlign w:val="bottom"/>
            <w:tcBorders>
              <w:bottom w:val="single" w:sz="8" w:color="auto"/>
            </w:tcBorders>
            <w:shd w:val="clear" w:color="auto" w:fill="CCEEFF"/>
          </w:tcPr>
          <w:p>
            <w:pPr>
              <w:jc w:val="right"/>
              <w:ind w:right="14"/>
              <w:spacing w:after="0"/>
              <w:rPr>
                <w:sz w:val="20"/>
                <w:szCs w:val="20"/>
                <w:color w:val="auto"/>
              </w:rPr>
            </w:pPr>
            <w:r>
              <w:rPr>
                <w:rFonts w:ascii="Arial" w:cs="Arial" w:eastAsia="Arial" w:hAnsi="Arial"/>
                <w:sz w:val="18"/>
                <w:szCs w:val="18"/>
                <w:color w:val="auto"/>
              </w:rPr>
              <w:t>10,666</w:t>
            </w:r>
          </w:p>
        </w:tc>
      </w:tr>
      <w:tr>
        <w:trPr>
          <w:trHeight w:val="20"/>
        </w:trPr>
        <w:tc>
          <w:tcPr>
            <w:tcW w:w="7880" w:type="dxa"/>
            <w:vAlign w:val="bottom"/>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197485</wp:posOffset>
            </wp:positionV>
            <wp:extent cx="1337945" cy="8890"/>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1337945" cy="8890"/>
                    </a:xfrm>
                    <a:prstGeom prst="rect">
                      <a:avLst/>
                    </a:prstGeom>
                    <a:noFill/>
                  </pic:spPr>
                </pic:pic>
              </a:graphicData>
            </a:graphic>
          </wp:anchor>
        </w:drawing>
      </w:r>
    </w:p>
    <w:p>
      <w:pPr>
        <w:sectPr>
          <w:pgSz w:w="11900" w:h="16838" w:orient="portrait"/>
          <w:cols w:equalWidth="0" w:num="1">
            <w:col w:w="11420"/>
          </w:cols>
          <w:pgMar w:left="240" w:top="549" w:right="239" w:bottom="1440" w:gutter="0" w:footer="0" w:header="0"/>
        </w:sectPr>
      </w:pPr>
    </w:p>
    <w:p>
      <w:pPr>
        <w:spacing w:after="0" w:line="200" w:lineRule="exact"/>
        <w:rPr>
          <w:sz w:val="20"/>
          <w:szCs w:val="20"/>
          <w:color w:val="auto"/>
        </w:rPr>
      </w:pPr>
    </w:p>
    <w:p>
      <w:pPr>
        <w:spacing w:after="0" w:line="202" w:lineRule="exact"/>
        <w:rPr>
          <w:sz w:val="20"/>
          <w:szCs w:val="20"/>
          <w:color w:val="auto"/>
        </w:rPr>
      </w:pPr>
    </w:p>
    <w:p>
      <w:pPr>
        <w:spacing w:after="0"/>
        <w:rPr>
          <w:sz w:val="20"/>
          <w:szCs w:val="20"/>
          <w:color w:val="auto"/>
        </w:rPr>
      </w:pPr>
      <w:r>
        <w:rPr>
          <w:rFonts w:ascii="Arial" w:cs="Arial" w:eastAsia="Arial" w:hAnsi="Arial"/>
          <w:sz w:val="11"/>
          <w:szCs w:val="11"/>
          <w:color w:val="auto"/>
        </w:rPr>
        <w:t>(1)</w:t>
      </w:r>
    </w:p>
    <w:p>
      <w:pPr>
        <w:spacing w:after="0" w:line="200" w:lineRule="exact"/>
        <w:rPr>
          <w:sz w:val="20"/>
          <w:szCs w:val="20"/>
          <w:color w:val="auto"/>
        </w:rPr>
      </w:pPr>
    </w:p>
    <w:p>
      <w:pPr>
        <w:spacing w:after="0" w:line="268" w:lineRule="exact"/>
        <w:rPr>
          <w:sz w:val="20"/>
          <w:szCs w:val="20"/>
          <w:color w:val="auto"/>
        </w:rPr>
      </w:pPr>
    </w:p>
    <w:p>
      <w:pPr>
        <w:spacing w:after="0"/>
        <w:rPr>
          <w:sz w:val="20"/>
          <w:szCs w:val="20"/>
          <w:color w:val="auto"/>
        </w:rPr>
      </w:pPr>
      <w:r>
        <w:rPr>
          <w:rFonts w:ascii="Arial" w:cs="Arial" w:eastAsia="Arial" w:hAnsi="Arial"/>
          <w:sz w:val="11"/>
          <w:szCs w:val="11"/>
          <w:color w:val="auto"/>
        </w:rPr>
        <w:t>(2)</w:t>
      </w:r>
    </w:p>
    <w:p>
      <w:pPr>
        <w:spacing w:after="0" w:line="20" w:lineRule="exact"/>
        <w:rPr>
          <w:sz w:val="20"/>
          <w:szCs w:val="20"/>
          <w:color w:val="auto"/>
        </w:rPr>
      </w:pPr>
      <w:r>
        <w:rPr>
          <w:sz w:val="20"/>
          <w:szCs w:val="20"/>
          <w:color w:val="auto"/>
        </w:rPr>
        <w:br w:type="column"/>
      </w:r>
    </w:p>
    <w:p>
      <w:pPr>
        <w:spacing w:after="0" w:line="384" w:lineRule="exact"/>
        <w:rPr>
          <w:sz w:val="20"/>
          <w:szCs w:val="20"/>
          <w:color w:val="auto"/>
        </w:rPr>
      </w:pPr>
    </w:p>
    <w:p>
      <w:pPr>
        <w:ind w:right="20"/>
        <w:spacing w:after="0" w:line="262" w:lineRule="auto"/>
        <w:rPr>
          <w:sz w:val="20"/>
          <w:szCs w:val="20"/>
          <w:color w:val="auto"/>
        </w:rPr>
      </w:pPr>
      <w:r>
        <w:rPr>
          <w:rFonts w:ascii="Arial" w:cs="Arial" w:eastAsia="Arial" w:hAnsi="Arial"/>
          <w:sz w:val="18"/>
          <w:szCs w:val="18"/>
          <w:color w:val="auto"/>
        </w:rPr>
        <w:t>The increase in American’s net related party receivable from AAG is primarily due to American providing the cash funding for AAG’s share repurchase and dividend programs.</w:t>
      </w:r>
    </w:p>
    <w:p>
      <w:pPr>
        <w:spacing w:after="0" w:line="142" w:lineRule="exact"/>
        <w:rPr>
          <w:sz w:val="20"/>
          <w:szCs w:val="20"/>
          <w:color w:val="auto"/>
        </w:rPr>
      </w:pPr>
    </w:p>
    <w:p>
      <w:pPr>
        <w:spacing w:after="0" w:line="262" w:lineRule="auto"/>
        <w:rPr>
          <w:sz w:val="20"/>
          <w:szCs w:val="20"/>
          <w:color w:val="auto"/>
        </w:rPr>
      </w:pPr>
      <w:r>
        <w:rPr>
          <w:rFonts w:ascii="Arial" w:cs="Arial" w:eastAsia="Arial" w:hAnsi="Arial"/>
          <w:sz w:val="18"/>
          <w:szCs w:val="18"/>
          <w:color w:val="auto"/>
        </w:rPr>
        <w:t>The net payable to AAG’s wholly-owned subsidiaries consists primarily of amounts due under regional capacity purchase agreements with AAG’s wholly-owned regional airlines operating under the brand name of American Eagle.</w:t>
      </w:r>
    </w:p>
    <w:p>
      <w:pPr>
        <w:spacing w:after="0" w:line="142" w:lineRule="exact"/>
        <w:rPr>
          <w:sz w:val="20"/>
          <w:szCs w:val="20"/>
          <w:color w:val="auto"/>
        </w:rPr>
      </w:pPr>
    </w:p>
    <w:p>
      <w:pPr>
        <w:sectPr>
          <w:pgSz w:w="11900" w:h="16838" w:orient="portrait"/>
          <w:cols w:equalWidth="0" w:num="2">
            <w:col w:w="140" w:space="520"/>
            <w:col w:w="10760"/>
          </w:cols>
          <w:pgMar w:left="240" w:top="549" w:right="239" w:bottom="1440" w:gutter="0" w:footer="0" w:header="0"/>
          <w:type w:val="continuous"/>
        </w:sectPr>
      </w:pPr>
    </w:p>
    <w:p>
      <w:pPr>
        <w:jc w:val="both"/>
        <w:ind w:firstLine="216"/>
        <w:spacing w:after="0" w:line="254" w:lineRule="auto"/>
        <w:rPr>
          <w:sz w:val="20"/>
          <w:szCs w:val="20"/>
          <w:color w:val="auto"/>
        </w:rPr>
      </w:pPr>
      <w:r>
        <w:rPr>
          <w:rFonts w:ascii="Arial" w:cs="Arial" w:eastAsia="Arial" w:hAnsi="Arial"/>
          <w:sz w:val="18"/>
          <w:szCs w:val="18"/>
          <w:color w:val="auto"/>
        </w:rPr>
        <w:t>Pursuant to a capacity purchase agreement between American and AAG’s wholly-owned regional airlines operating as American Eagle, American purchases all of the capacity from these carriers and recognizes passenger revenue from flights operated by American Eagle. In 2019, 2018 and 2017, American recognized expense of approximately $2.2 billion, $1.8 billion and $1.7 billion, respectively, related to wholly-owned regional airline capacity purchase agreements.</w:t>
      </w:r>
    </w:p>
    <w:p>
      <w:pPr>
        <w:spacing w:after="0" w:line="20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17. Subsequent Event</w:t>
      </w:r>
    </w:p>
    <w:p>
      <w:pPr>
        <w:spacing w:after="0" w:line="94" w:lineRule="exact"/>
        <w:rPr>
          <w:sz w:val="20"/>
          <w:szCs w:val="20"/>
          <w:color w:val="auto"/>
        </w:rPr>
      </w:pPr>
    </w:p>
    <w:p>
      <w:pPr>
        <w:ind w:left="220"/>
        <w:spacing w:after="0"/>
        <w:rPr>
          <w:sz w:val="20"/>
          <w:szCs w:val="20"/>
          <w:color w:val="auto"/>
        </w:rPr>
      </w:pPr>
      <w:r>
        <w:rPr>
          <w:rFonts w:ascii="Arial" w:cs="Arial" w:eastAsia="Arial" w:hAnsi="Arial"/>
          <w:sz w:val="18"/>
          <w:szCs w:val="18"/>
          <w:i w:val="1"/>
          <w:iCs w:val="1"/>
          <w:u w:val="single" w:color="auto"/>
          <w:color w:val="auto"/>
        </w:rPr>
        <w:t>2014 Credit Facilities Refinancing</w:t>
      </w:r>
    </w:p>
    <w:p>
      <w:pPr>
        <w:spacing w:after="0" w:line="108" w:lineRule="exact"/>
        <w:rPr>
          <w:sz w:val="20"/>
          <w:szCs w:val="20"/>
          <w:color w:val="auto"/>
        </w:rPr>
      </w:pPr>
    </w:p>
    <w:p>
      <w:pPr>
        <w:jc w:val="both"/>
        <w:ind w:firstLine="162"/>
        <w:spacing w:after="0" w:line="252" w:lineRule="auto"/>
        <w:rPr>
          <w:sz w:val="20"/>
          <w:szCs w:val="20"/>
          <w:color w:val="auto"/>
        </w:rPr>
      </w:pPr>
      <w:r>
        <w:rPr>
          <w:rFonts w:ascii="Arial" w:cs="Arial" w:eastAsia="Arial" w:hAnsi="Arial"/>
          <w:sz w:val="18"/>
          <w:szCs w:val="18"/>
          <w:color w:val="auto"/>
        </w:rPr>
        <w:t>In January 2020, American and AAG entered into the Eighth Amendment (the Eighth Amendment) to Amended and Restated Credit and Guaranty Agreement, amending the 2014 Credit Agreement, pursuant to which American refinanced the 2014 Term Loan Facility, increasing the total aggregate principal outstanding to $1.22 billion, reducing LIBOR margin from 2.00% to 1.75%, with a LIBOR floor of 0%, and reducing the base rate margin from 1.00% to 0.75%. In addition, the maturity date for the 2014 Term Loan Facility was extended to January 2027 from October 2021. The 2014 Revolving Facility remains unchanged and, as of January 29, 2020, the effective date of the Eighth Amendment, there were no borrowings or letters of credit outstanding thereunder.</w:t>
      </w:r>
    </w:p>
    <w:p>
      <w:pPr>
        <w:spacing w:after="0" w:line="200" w:lineRule="exact"/>
        <w:rPr>
          <w:sz w:val="20"/>
          <w:szCs w:val="20"/>
          <w:color w:val="auto"/>
        </w:rPr>
      </w:pPr>
    </w:p>
    <w:p>
      <w:pPr>
        <w:spacing w:after="0" w:line="30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157</w:t>
      </w:r>
    </w:p>
    <w:p>
      <w:pPr>
        <w:sectPr>
          <w:pgSz w:w="11900" w:h="16838" w:orient="portrait"/>
          <w:cols w:equalWidth="0" w:num="1">
            <w:col w:w="11420"/>
          </w:cols>
          <w:pgMar w:left="240" w:top="549" w:right="239" w:bottom="1440" w:gutter="0" w:footer="0" w:header="0"/>
          <w:type w:val="continuous"/>
        </w:sectPr>
      </w:pPr>
    </w:p>
    <w:bookmarkStart w:id="157" w:name="page158"/>
    <w:bookmarkEnd w:id="157"/>
    <w:p>
      <w:pPr>
        <w:spacing w:after="0"/>
        <w:rPr>
          <w:sz w:val="20"/>
          <w:szCs w:val="20"/>
          <w:color w:val="auto"/>
        </w:rPr>
      </w:pPr>
      <w:r>
        <w:rPr>
          <w:rFonts w:ascii="Arial" w:cs="Arial" w:eastAsia="Arial" w:hAnsi="Arial"/>
          <w:sz w:val="18"/>
          <w:szCs w:val="18"/>
          <w:b w:val="1"/>
          <w:bCs w:val="1"/>
          <w:color w:val="auto"/>
        </w:rPr>
        <w:t>ITEM 9. CHANGES IN AND DISAGREEMENTS WITH ACCOUNTANTS ON ACCOUNTING AND FINANCIAL DISCLOSURE</w:t>
      </w:r>
    </w:p>
    <w:p>
      <w:pPr>
        <w:spacing w:after="0" w:line="112" w:lineRule="exact"/>
        <w:rPr>
          <w:sz w:val="20"/>
          <w:szCs w:val="20"/>
          <w:color w:val="auto"/>
        </w:rPr>
      </w:pPr>
    </w:p>
    <w:p>
      <w:pPr>
        <w:ind w:left="220"/>
        <w:spacing w:after="0"/>
        <w:rPr>
          <w:sz w:val="20"/>
          <w:szCs w:val="20"/>
          <w:color w:val="auto"/>
        </w:rPr>
      </w:pPr>
      <w:r>
        <w:rPr>
          <w:rFonts w:ascii="Arial" w:cs="Arial" w:eastAsia="Arial" w:hAnsi="Arial"/>
          <w:sz w:val="18"/>
          <w:szCs w:val="18"/>
          <w:color w:val="auto"/>
        </w:rPr>
        <w:t>None.</w:t>
      </w:r>
    </w:p>
    <w:p>
      <w:pPr>
        <w:spacing w:after="0" w:line="23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9A. CONTROLS AND PROCEDURES</w:t>
      </w:r>
    </w:p>
    <w:p>
      <w:pPr>
        <w:spacing w:after="0" w:line="9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Management’s Evaluation of Disclosure Controls and Procedures</w:t>
      </w:r>
    </w:p>
    <w:p>
      <w:pPr>
        <w:spacing w:after="0" w:line="112" w:lineRule="exact"/>
        <w:rPr>
          <w:sz w:val="20"/>
          <w:szCs w:val="20"/>
          <w:color w:val="auto"/>
        </w:rPr>
      </w:pPr>
    </w:p>
    <w:p>
      <w:pPr>
        <w:jc w:val="both"/>
        <w:ind w:firstLine="216"/>
        <w:spacing w:after="0" w:line="251" w:lineRule="auto"/>
        <w:rPr>
          <w:sz w:val="20"/>
          <w:szCs w:val="20"/>
          <w:color w:val="auto"/>
        </w:rPr>
      </w:pPr>
      <w:r>
        <w:rPr>
          <w:rFonts w:ascii="Arial" w:cs="Arial" w:eastAsia="Arial" w:hAnsi="Arial"/>
          <w:sz w:val="18"/>
          <w:szCs w:val="18"/>
          <w:color w:val="auto"/>
        </w:rPr>
        <w:t>The term “disclosure controls and procedures” is defined in Rules 13a-15(e) and 15d-15(e) of the Securities Exchange Act of 1934, as amended (the Exchange Act). This term refers to the controls and procedures of a company that are designed to ensure that information required to be disclosed by a company in the reports that it files under the Exchange Act is recorded, processed, summarized and reported within the time periods specified by the SEC’s rules and forms, and is accumulated and communicated to management, including the Chief Executive Officer (CEO) and Chief Financial Officer (CFO), as appropriate to allow timely decisions regarding required disclosure. An evaluation of the effectiveness of AAG’s and American’s disclosure controls and procedures as of December 31, 2019 was performed under the supervision and with the participation of AAG’s and American’s management, including AAG’s and American’s CEO and CFO. Based on that evaluation, AAG’s and American’s management, including AAG’s and American’s CEO and CFO, concluded that AAG’s and American’s disclosure controls and procedures were effective as of December 31, 2019 at the reasonable assurance level.</w:t>
      </w:r>
    </w:p>
    <w:p>
      <w:pPr>
        <w:spacing w:after="0" w:line="21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Changes in Internal Control over Financial Reporting</w:t>
      </w:r>
    </w:p>
    <w:p>
      <w:pPr>
        <w:spacing w:after="0" w:line="112" w:lineRule="exact"/>
        <w:rPr>
          <w:sz w:val="20"/>
          <w:szCs w:val="20"/>
          <w:color w:val="auto"/>
        </w:rPr>
      </w:pPr>
    </w:p>
    <w:p>
      <w:pPr>
        <w:jc w:val="both"/>
        <w:ind w:firstLine="216"/>
        <w:spacing w:after="0" w:line="253" w:lineRule="auto"/>
        <w:rPr>
          <w:sz w:val="20"/>
          <w:szCs w:val="20"/>
          <w:color w:val="auto"/>
        </w:rPr>
      </w:pPr>
      <w:r>
        <w:rPr>
          <w:rFonts w:ascii="Arial" w:cs="Arial" w:eastAsia="Arial" w:hAnsi="Arial"/>
          <w:sz w:val="18"/>
          <w:szCs w:val="18"/>
          <w:color w:val="auto"/>
        </w:rPr>
        <w:t>On December 9, 2013, AAG acquired US Airways Group and its subsidiaries. We are still in the process of integrating certain processes, technology and operations for the post-Merger combined company, and we will continue to evaluate the impact of any related changes to our internal control over financial reporting. For the three months ended December 31, 2019, there have been no changes in AAG’s or American’s internal control over financial reporting that has materially affected, or is reasonably likely to materially affect, AAG’s and American’s internal control over financial reporting.</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Limitation on the Effectiveness of Controls</w:t>
      </w:r>
    </w:p>
    <w:p>
      <w:pPr>
        <w:spacing w:after="0" w:line="112" w:lineRule="exact"/>
        <w:rPr>
          <w:sz w:val="20"/>
          <w:szCs w:val="20"/>
          <w:color w:val="auto"/>
        </w:rPr>
      </w:pPr>
    </w:p>
    <w:p>
      <w:pPr>
        <w:jc w:val="both"/>
        <w:ind w:firstLine="216"/>
        <w:spacing w:after="0" w:line="253" w:lineRule="auto"/>
        <w:rPr>
          <w:sz w:val="20"/>
          <w:szCs w:val="20"/>
          <w:color w:val="auto"/>
        </w:rPr>
      </w:pPr>
      <w:r>
        <w:rPr>
          <w:rFonts w:ascii="Arial" w:cs="Arial" w:eastAsia="Arial" w:hAnsi="Arial"/>
          <w:sz w:val="18"/>
          <w:szCs w:val="18"/>
          <w:color w:val="auto"/>
        </w:rPr>
        <w:t>We believe that a controls system, no matter how well designed and operated, cannot provide absolute assurance that the objectives of the controls system are met, and no evaluation of controls can provide absolute assurance that all control issues and instances of fraud, if any, within a company have been detected. Our disclosure controls and procedures are designed to provide reasonable assurance of achieving their objectives, and, as noted above, the CEO and CFO of AAG and American believe that our disclosure controls and procedures were effective at the reasonable assurance level as of December 31, 2019.</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Management’s Annual Report on Internal Control over Financial Reporting</w:t>
      </w:r>
    </w:p>
    <w:p>
      <w:pPr>
        <w:spacing w:after="0" w:line="112" w:lineRule="exact"/>
        <w:rPr>
          <w:sz w:val="20"/>
          <w:szCs w:val="20"/>
          <w:color w:val="auto"/>
        </w:rPr>
      </w:pPr>
    </w:p>
    <w:p>
      <w:pPr>
        <w:jc w:val="both"/>
        <w:ind w:firstLine="216"/>
        <w:spacing w:after="0" w:line="254" w:lineRule="auto"/>
        <w:rPr>
          <w:sz w:val="20"/>
          <w:szCs w:val="20"/>
          <w:color w:val="auto"/>
        </w:rPr>
      </w:pPr>
      <w:r>
        <w:rPr>
          <w:rFonts w:ascii="Arial" w:cs="Arial" w:eastAsia="Arial" w:hAnsi="Arial"/>
          <w:sz w:val="18"/>
          <w:szCs w:val="18"/>
          <w:color w:val="auto"/>
        </w:rPr>
        <w:t>Management of AAG and American is responsible for establishing and maintaining adequate internal control over financial reporting as defined in Rules 13a-15(f) and 15d-15(f) under the Exchange Act. AAG’s and American’s internal control over financial reporting is designed to provide reasonable assurance regarding the reliability of financial reporting and the preparation of financial statements for external purposes in accordance with GAAP. AAG’s and American’s internal control over financial reporting includes policies and procedures that:</w:t>
      </w:r>
    </w:p>
    <w:p>
      <w:pPr>
        <w:spacing w:after="0" w:line="69" w:lineRule="exact"/>
        <w:rPr>
          <w:sz w:val="20"/>
          <w:szCs w:val="20"/>
          <w:color w:val="auto"/>
        </w:rPr>
      </w:pPr>
    </w:p>
    <w:p>
      <w:pPr>
        <w:ind w:left="660" w:hanging="409"/>
        <w:spacing w:after="0" w:line="262" w:lineRule="auto"/>
        <w:tabs>
          <w:tab w:leader="none" w:pos="660" w:val="left"/>
        </w:tabs>
        <w:numPr>
          <w:ilvl w:val="0"/>
          <w:numId w:val="71"/>
        </w:numPr>
        <w:rPr>
          <w:rFonts w:ascii="Arial" w:cs="Arial" w:eastAsia="Arial" w:hAnsi="Arial"/>
          <w:sz w:val="18"/>
          <w:szCs w:val="18"/>
          <w:color w:val="auto"/>
        </w:rPr>
      </w:pPr>
      <w:r>
        <w:rPr>
          <w:rFonts w:ascii="Arial" w:cs="Arial" w:eastAsia="Arial" w:hAnsi="Arial"/>
          <w:sz w:val="18"/>
          <w:szCs w:val="18"/>
          <w:color w:val="auto"/>
        </w:rPr>
        <w:t>pertain to the maintenance of records that, in reasonable detail, accurately and fairly reflect the transactions and dispositions of the assets of AAG or American, respectively;</w:t>
      </w:r>
    </w:p>
    <w:p>
      <w:pPr>
        <w:spacing w:after="0" w:line="61" w:lineRule="exact"/>
        <w:rPr>
          <w:rFonts w:ascii="Arial" w:cs="Arial" w:eastAsia="Arial" w:hAnsi="Arial"/>
          <w:sz w:val="18"/>
          <w:szCs w:val="18"/>
          <w:color w:val="auto"/>
        </w:rPr>
      </w:pPr>
    </w:p>
    <w:p>
      <w:pPr>
        <w:jc w:val="both"/>
        <w:ind w:left="660" w:hanging="409"/>
        <w:spacing w:after="0" w:line="256" w:lineRule="auto"/>
        <w:tabs>
          <w:tab w:leader="none" w:pos="660" w:val="left"/>
        </w:tabs>
        <w:numPr>
          <w:ilvl w:val="0"/>
          <w:numId w:val="71"/>
        </w:numPr>
        <w:rPr>
          <w:rFonts w:ascii="Arial" w:cs="Arial" w:eastAsia="Arial" w:hAnsi="Arial"/>
          <w:sz w:val="18"/>
          <w:szCs w:val="18"/>
          <w:color w:val="auto"/>
        </w:rPr>
      </w:pPr>
      <w:r>
        <w:rPr>
          <w:rFonts w:ascii="Arial" w:cs="Arial" w:eastAsia="Arial" w:hAnsi="Arial"/>
          <w:sz w:val="18"/>
          <w:szCs w:val="18"/>
          <w:color w:val="auto"/>
        </w:rPr>
        <w:t>provide reasonable assurance that transactions are recorded as necessary to permit preparation of financial statements in accordance with GAAP, and that receipts and expenditures of AAG or American are being made only in accordance with authorizations of management and directors of AAG or American, respectively; and</w:t>
      </w:r>
    </w:p>
    <w:p>
      <w:pPr>
        <w:spacing w:after="0" w:line="66" w:lineRule="exact"/>
        <w:rPr>
          <w:rFonts w:ascii="Arial" w:cs="Arial" w:eastAsia="Arial" w:hAnsi="Arial"/>
          <w:sz w:val="18"/>
          <w:szCs w:val="18"/>
          <w:color w:val="auto"/>
        </w:rPr>
      </w:pPr>
    </w:p>
    <w:p>
      <w:pPr>
        <w:ind w:left="660" w:hanging="409"/>
        <w:spacing w:after="0" w:line="262" w:lineRule="auto"/>
        <w:tabs>
          <w:tab w:leader="none" w:pos="660" w:val="left"/>
        </w:tabs>
        <w:numPr>
          <w:ilvl w:val="0"/>
          <w:numId w:val="71"/>
        </w:numPr>
        <w:rPr>
          <w:rFonts w:ascii="Arial" w:cs="Arial" w:eastAsia="Arial" w:hAnsi="Arial"/>
          <w:sz w:val="18"/>
          <w:szCs w:val="18"/>
          <w:color w:val="auto"/>
        </w:rPr>
      </w:pPr>
      <w:r>
        <w:rPr>
          <w:rFonts w:ascii="Arial" w:cs="Arial" w:eastAsia="Arial" w:hAnsi="Arial"/>
          <w:sz w:val="18"/>
          <w:szCs w:val="18"/>
          <w:color w:val="auto"/>
        </w:rPr>
        <w:t>provide reasonable assurance regarding prevention or timely detection of unauthorized acquisition, use or disposition of AAG’s or American’s assets that could have a material effect on the financial statements.</w:t>
      </w:r>
    </w:p>
    <w:p>
      <w:pPr>
        <w:spacing w:after="0" w:line="142" w:lineRule="exact"/>
        <w:rPr>
          <w:sz w:val="20"/>
          <w:szCs w:val="20"/>
          <w:color w:val="auto"/>
        </w:rPr>
      </w:pPr>
    </w:p>
    <w:p>
      <w:pPr>
        <w:jc w:val="both"/>
        <w:ind w:firstLine="216"/>
        <w:spacing w:after="0" w:line="256" w:lineRule="auto"/>
        <w:rPr>
          <w:sz w:val="20"/>
          <w:szCs w:val="20"/>
          <w:color w:val="auto"/>
        </w:rPr>
      </w:pPr>
      <w:r>
        <w:rPr>
          <w:rFonts w:ascii="Arial" w:cs="Arial" w:eastAsia="Arial" w:hAnsi="Arial"/>
          <w:sz w:val="18"/>
          <w:szCs w:val="18"/>
          <w:color w:val="auto"/>
        </w:rPr>
        <w:t>Because of its inherent limitations, internal control over financial reporting may not prevent or detect misstatements. Also, projections of any evaluation of effectiveness to future periods are subject to the risk that controls may become inadequate because of changes in conditions, or that the degree of compliance with the policies or procedures may deteriorate.</w:t>
      </w:r>
    </w:p>
    <w:p>
      <w:pPr>
        <w:spacing w:after="0" w:line="148" w:lineRule="exact"/>
        <w:rPr>
          <w:sz w:val="20"/>
          <w:szCs w:val="20"/>
          <w:color w:val="auto"/>
        </w:rPr>
      </w:pPr>
    </w:p>
    <w:p>
      <w:pPr>
        <w:jc w:val="both"/>
        <w:ind w:firstLine="216"/>
        <w:spacing w:after="0" w:line="256" w:lineRule="auto"/>
        <w:rPr>
          <w:sz w:val="20"/>
          <w:szCs w:val="20"/>
          <w:color w:val="auto"/>
        </w:rPr>
      </w:pPr>
      <w:r>
        <w:rPr>
          <w:rFonts w:ascii="Arial" w:cs="Arial" w:eastAsia="Arial" w:hAnsi="Arial"/>
          <w:sz w:val="18"/>
          <w:szCs w:val="18"/>
          <w:color w:val="auto"/>
        </w:rPr>
        <w:t>Management assessed the effectiveness of AAG’s and American’s internal control over financial reporting as of December 31, 2019. In making this assessment, management used the criteria set forth by the Committee of Sponsoring Organizations of the Treadway Commission in its Internal Control – Integrated Framework (2013 Framework).</w:t>
      </w:r>
    </w:p>
    <w:p>
      <w:pPr>
        <w:spacing w:after="0" w:line="20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158</w:t>
      </w:r>
    </w:p>
    <w:p>
      <w:pPr>
        <w:sectPr>
          <w:pgSz w:w="11900" w:h="16838" w:orient="portrait"/>
          <w:cols w:equalWidth="0" w:num="1">
            <w:col w:w="11420"/>
          </w:cols>
          <w:pgMar w:left="240" w:top="792" w:right="239" w:bottom="1440" w:gutter="0" w:footer="0" w:header="0"/>
        </w:sectPr>
      </w:pPr>
    </w:p>
    <w:bookmarkStart w:id="158" w:name="page159"/>
    <w:bookmarkEnd w:id="158"/>
    <w:p>
      <w:pPr>
        <w:ind w:firstLine="216"/>
        <w:spacing w:after="0" w:line="262" w:lineRule="auto"/>
        <w:rPr>
          <w:sz w:val="20"/>
          <w:szCs w:val="20"/>
          <w:color w:val="auto"/>
        </w:rPr>
      </w:pPr>
      <w:r>
        <w:rPr>
          <w:rFonts w:ascii="Arial" w:cs="Arial" w:eastAsia="Arial" w:hAnsi="Arial"/>
          <w:sz w:val="18"/>
          <w:szCs w:val="18"/>
          <w:color w:val="auto"/>
        </w:rPr>
        <w:t>Based on our assessment and those criteria, AAG’s and American’s management concludes that AAG and American, respectively, maintained effective internal control over financial reporting as of December 31, 2019.</w:t>
      </w:r>
    </w:p>
    <w:p>
      <w:pPr>
        <w:spacing w:after="0" w:line="142" w:lineRule="exact"/>
        <w:rPr>
          <w:sz w:val="20"/>
          <w:szCs w:val="20"/>
          <w:color w:val="auto"/>
        </w:rPr>
      </w:pPr>
    </w:p>
    <w:p>
      <w:pPr>
        <w:ind w:right="20" w:firstLine="216"/>
        <w:spacing w:after="0" w:line="262" w:lineRule="auto"/>
        <w:rPr>
          <w:sz w:val="20"/>
          <w:szCs w:val="20"/>
          <w:color w:val="auto"/>
        </w:rPr>
      </w:pPr>
      <w:r>
        <w:rPr>
          <w:rFonts w:ascii="Arial" w:cs="Arial" w:eastAsia="Arial" w:hAnsi="Arial"/>
          <w:sz w:val="18"/>
          <w:szCs w:val="18"/>
          <w:color w:val="auto"/>
        </w:rPr>
        <w:t>AAG’s and American’s independent registered public accounting firm has issued an attestation report on the effectiveness of AAG’s and American’s internal control over financial reporting. That report has been included herein.</w:t>
      </w:r>
    </w:p>
    <w:p>
      <w:pPr>
        <w:spacing w:after="0" w:line="19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159</w:t>
      </w:r>
    </w:p>
    <w:p>
      <w:pPr>
        <w:sectPr>
          <w:pgSz w:w="11900" w:h="16838" w:orient="portrait"/>
          <w:cols w:equalWidth="0" w:num="1">
            <w:col w:w="11420"/>
          </w:cols>
          <w:pgMar w:left="240" w:top="733" w:right="239" w:bottom="1440" w:gutter="0" w:footer="0" w:header="0"/>
        </w:sectPr>
      </w:pPr>
    </w:p>
    <w:bookmarkStart w:id="159" w:name="page160"/>
    <w:bookmarkEnd w:id="159"/>
    <w:p>
      <w:pPr>
        <w:ind w:left="3220"/>
        <w:spacing w:after="0"/>
        <w:rPr>
          <w:sz w:val="20"/>
          <w:szCs w:val="20"/>
          <w:color w:val="auto"/>
        </w:rPr>
      </w:pPr>
      <w:r>
        <w:rPr>
          <w:rFonts w:ascii="Arial" w:cs="Arial" w:eastAsia="Arial" w:hAnsi="Arial"/>
          <w:sz w:val="18"/>
          <w:szCs w:val="18"/>
          <w:b w:val="1"/>
          <w:bCs w:val="1"/>
          <w:color w:val="auto"/>
        </w:rPr>
        <w:t>Report of Independent Registered Public Accounting Firm</w:t>
      </w:r>
    </w:p>
    <w:p>
      <w:pPr>
        <w:spacing w:after="0" w:line="112" w:lineRule="exact"/>
        <w:rPr>
          <w:sz w:val="20"/>
          <w:szCs w:val="20"/>
          <w:color w:val="auto"/>
        </w:rPr>
      </w:pPr>
    </w:p>
    <w:p>
      <w:pPr>
        <w:spacing w:after="0"/>
        <w:rPr>
          <w:sz w:val="20"/>
          <w:szCs w:val="20"/>
          <w:color w:val="auto"/>
        </w:rPr>
      </w:pPr>
      <w:r>
        <w:rPr>
          <w:rFonts w:ascii="Arial" w:cs="Arial" w:eastAsia="Arial" w:hAnsi="Arial"/>
          <w:sz w:val="18"/>
          <w:szCs w:val="18"/>
          <w:color w:val="auto"/>
        </w:rPr>
        <w:t>To the Stockholders and Board of Directors</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American Airlines Group Inc.:</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Opinion on Internal Control Over Financial Reporting</w:t>
      </w:r>
    </w:p>
    <w:p>
      <w:pPr>
        <w:spacing w:after="0" w:line="108"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auto"/>
        </w:rPr>
        <w:t xml:space="preserve">We have audited American Airlines Group Inc. and subsidiaries’ (the Company) internal control over financial reporting as of December 31, 2019, based on criteria established in </w:t>
      </w:r>
      <w:r>
        <w:rPr>
          <w:rFonts w:ascii="Arial" w:cs="Arial" w:eastAsia="Arial" w:hAnsi="Arial"/>
          <w:sz w:val="18"/>
          <w:szCs w:val="18"/>
          <w:i w:val="1"/>
          <w:iCs w:val="1"/>
          <w:color w:val="auto"/>
        </w:rPr>
        <w:t>Internal Control</w:t>
      </w:r>
      <w:r>
        <w:rPr>
          <w:rFonts w:ascii="Arial" w:cs="Arial" w:eastAsia="Arial" w:hAnsi="Arial"/>
          <w:sz w:val="18"/>
          <w:szCs w:val="18"/>
          <w:color w:val="auto"/>
        </w:rPr>
        <w:t xml:space="preserve"> – </w:t>
      </w:r>
      <w:r>
        <w:rPr>
          <w:rFonts w:ascii="Arial" w:cs="Arial" w:eastAsia="Arial" w:hAnsi="Arial"/>
          <w:sz w:val="18"/>
          <w:szCs w:val="18"/>
          <w:i w:val="1"/>
          <w:iCs w:val="1"/>
          <w:color w:val="auto"/>
        </w:rPr>
        <w:t>Integrated Framework (2013)</w:t>
      </w:r>
      <w:r>
        <w:rPr>
          <w:rFonts w:ascii="Arial" w:cs="Arial" w:eastAsia="Arial" w:hAnsi="Arial"/>
          <w:sz w:val="18"/>
          <w:szCs w:val="18"/>
          <w:color w:val="auto"/>
        </w:rPr>
        <w:t xml:space="preserve"> issued by the Committee of Sponsoring Organizations of the Treadway Commission. In our opinion, the Company maintained, in all material respects, effective internal control over financial reporting as of December 31, 2019, based on criteria established in </w:t>
      </w:r>
      <w:r>
        <w:rPr>
          <w:rFonts w:ascii="Arial" w:cs="Arial" w:eastAsia="Arial" w:hAnsi="Arial"/>
          <w:sz w:val="18"/>
          <w:szCs w:val="18"/>
          <w:i w:val="1"/>
          <w:iCs w:val="1"/>
          <w:color w:val="auto"/>
        </w:rPr>
        <w:t>Internal Control</w:t>
      </w:r>
      <w:r>
        <w:rPr>
          <w:rFonts w:ascii="Arial" w:cs="Arial" w:eastAsia="Arial" w:hAnsi="Arial"/>
          <w:sz w:val="18"/>
          <w:szCs w:val="18"/>
          <w:color w:val="auto"/>
        </w:rPr>
        <w:t xml:space="preserve"> – </w:t>
      </w:r>
      <w:r>
        <w:rPr>
          <w:rFonts w:ascii="Arial" w:cs="Arial" w:eastAsia="Arial" w:hAnsi="Arial"/>
          <w:sz w:val="18"/>
          <w:szCs w:val="18"/>
          <w:i w:val="1"/>
          <w:iCs w:val="1"/>
          <w:color w:val="auto"/>
        </w:rPr>
        <w:t>Integrated Framework (2013)</w:t>
      </w:r>
      <w:r>
        <w:rPr>
          <w:rFonts w:ascii="Arial" w:cs="Arial" w:eastAsia="Arial" w:hAnsi="Arial"/>
          <w:sz w:val="18"/>
          <w:szCs w:val="18"/>
          <w:color w:val="auto"/>
        </w:rPr>
        <w:t xml:space="preserve"> issued by the Committee of Sponsoring Organizations of the Treadway Commission.</w:t>
      </w:r>
    </w:p>
    <w:p>
      <w:pPr>
        <w:spacing w:after="0" w:line="165"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auto"/>
        </w:rPr>
        <w:t>We also have audited, in accordance with the standards of the Public Company Accounting Oversight Board (United States) (PCAOB), the consolidated balance sheets of the Company as of December 31, 2019 and 2018, the related consolidated statements of operations, comprehensive income, cash flows, and stockholders’ equity (deficit) for each of the years in the three-year period ended December 31, 2019, and the related notes (collectively, the consolidated financial statements), and our report dated February 19, 2020 expressed an unqualified opinion on those consolidated financial statements.</w:t>
      </w:r>
    </w:p>
    <w:p>
      <w:pPr>
        <w:spacing w:after="0" w:line="14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Basis for Opinion</w:t>
      </w:r>
    </w:p>
    <w:p>
      <w:pPr>
        <w:spacing w:after="0" w:line="108"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auto"/>
        </w:rPr>
        <w:t>The Company’s management is responsible for maintaining effective internal control over financial reporting and for its assessment of the effectiveness of internal control over financial reporting, included in the accompanying Management’s Annual Report on Internal Control over Financial Reporting. Our responsibility is to express an opinion on the Company’s internal control over financial reporting based on our audit. We are a public accounting firm registered with the PCAOB and are required to be independent with respect to the Company in accordance with the U.S. federal securities laws and the applicable rules and regulations of the Securities and Exchange Commission and the PCAOB.</w:t>
      </w:r>
    </w:p>
    <w:p>
      <w:pPr>
        <w:spacing w:after="0" w:line="165" w:lineRule="exact"/>
        <w:rPr>
          <w:sz w:val="20"/>
          <w:szCs w:val="20"/>
          <w:color w:val="auto"/>
        </w:rPr>
      </w:pPr>
    </w:p>
    <w:p>
      <w:pPr>
        <w:jc w:val="both"/>
        <w:spacing w:after="0" w:line="252" w:lineRule="auto"/>
        <w:rPr>
          <w:sz w:val="20"/>
          <w:szCs w:val="20"/>
          <w:color w:val="auto"/>
        </w:rPr>
      </w:pPr>
      <w:r>
        <w:rPr>
          <w:rFonts w:ascii="Arial" w:cs="Arial" w:eastAsia="Arial" w:hAnsi="Arial"/>
          <w:sz w:val="18"/>
          <w:szCs w:val="18"/>
          <w:color w:val="auto"/>
        </w:rPr>
        <w:t>We conducted our audit in accordance with the standards of the PCAOB. Those standards require that we plan and perform the audit to obtain reasonable assurance about whether effective internal control over financial reporting was maintained in all material respects. Our audit of internal control over financial reporting included obtaining an understanding of internal control over financial reporting, assessing the risk that a material weakness exists, and testing and evaluating the design and operating effectiveness of internal control based on the assessed risk. Our audit also included performing such other procedures as we considered necessary in the circumstances. We believe that our audit provides a reasonable basis for our opinion.</w:t>
      </w:r>
    </w:p>
    <w:p>
      <w:pPr>
        <w:spacing w:after="0" w:line="15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Definition and Limitations of Internal Control Over Financial Reporting</w:t>
      </w:r>
    </w:p>
    <w:p>
      <w:pPr>
        <w:spacing w:after="0" w:line="108" w:lineRule="exact"/>
        <w:rPr>
          <w:sz w:val="20"/>
          <w:szCs w:val="20"/>
          <w:color w:val="auto"/>
        </w:rPr>
      </w:pPr>
    </w:p>
    <w:p>
      <w:pPr>
        <w:jc w:val="both"/>
        <w:spacing w:after="0" w:line="252" w:lineRule="auto"/>
        <w:rPr>
          <w:sz w:val="20"/>
          <w:szCs w:val="20"/>
          <w:color w:val="auto"/>
        </w:rPr>
      </w:pPr>
      <w:r>
        <w:rPr>
          <w:rFonts w:ascii="Arial" w:cs="Arial" w:eastAsia="Arial" w:hAnsi="Arial"/>
          <w:sz w:val="18"/>
          <w:szCs w:val="18"/>
          <w:color w:val="auto"/>
        </w:rPr>
        <w:t>A company’s internal control over financial reporting is a process designed to provide reasonable assurance regarding the reliability of financial reporting and the preparation of financial statements for external purposes in accordance with generally accepted accounting principles. A company’s internal control over financial reporting includes those policies and procedures that (1) pertain to the maintenance of records that, in reasonable detail, accurately and fairly reflect the transactions and dispositions of the assets of the company; (2) provide reasonable assurance that transactions are recorded as necessary to permit preparation of financial statements in accordance with generally accepted accounting principles, and that receipts and expenditures of the company are being made only in accordance with authorizations of management and directors of the company; and (3) provide reasonable assurance regarding prevention or timely detection of unauthorized acquisition, use, or disposition of the company’s assets that could have a material effect on the financial statements.</w:t>
      </w:r>
    </w:p>
    <w:p>
      <w:pPr>
        <w:spacing w:after="0" w:line="166" w:lineRule="exact"/>
        <w:rPr>
          <w:sz w:val="20"/>
          <w:szCs w:val="20"/>
          <w:color w:val="auto"/>
        </w:rPr>
      </w:pPr>
    </w:p>
    <w:p>
      <w:pPr>
        <w:jc w:val="both"/>
        <w:spacing w:after="0" w:line="256" w:lineRule="auto"/>
        <w:rPr>
          <w:sz w:val="20"/>
          <w:szCs w:val="20"/>
          <w:color w:val="auto"/>
        </w:rPr>
      </w:pPr>
      <w:r>
        <w:rPr>
          <w:rFonts w:ascii="Arial" w:cs="Arial" w:eastAsia="Arial" w:hAnsi="Arial"/>
          <w:sz w:val="18"/>
          <w:szCs w:val="18"/>
          <w:color w:val="auto"/>
        </w:rPr>
        <w:t>Because of its inherent limitations, internal control over financial reporting may not prevent or detect misstatements. Also, projections of any evaluation of effectiveness to future periods are subject to the risk that controls may become inadequate because of changes in conditions, or that the degree of compliance with the policies or procedures may deteriorate.</w:t>
      </w:r>
    </w:p>
    <w:p>
      <w:pPr>
        <w:spacing w:after="0" w:line="200" w:lineRule="exact"/>
        <w:rPr>
          <w:sz w:val="20"/>
          <w:szCs w:val="20"/>
          <w:color w:val="auto"/>
        </w:rPr>
      </w:pPr>
    </w:p>
    <w:p>
      <w:pPr>
        <w:spacing w:after="0" w:line="200" w:lineRule="exact"/>
        <w:rPr>
          <w:sz w:val="20"/>
          <w:szCs w:val="20"/>
          <w:color w:val="auto"/>
        </w:rPr>
      </w:pPr>
    </w:p>
    <w:p>
      <w:pPr>
        <w:spacing w:after="0" w:line="302" w:lineRule="exact"/>
        <w:rPr>
          <w:sz w:val="20"/>
          <w:szCs w:val="20"/>
          <w:color w:val="auto"/>
        </w:rPr>
      </w:pPr>
    </w:p>
    <w:p>
      <w:pPr>
        <w:ind w:left="5740"/>
        <w:spacing w:after="0"/>
        <w:tabs>
          <w:tab w:leader="none" w:pos="6100" w:val="left"/>
        </w:tabs>
        <w:rPr>
          <w:sz w:val="20"/>
          <w:szCs w:val="20"/>
          <w:color w:val="auto"/>
        </w:rPr>
      </w:pPr>
      <w:r>
        <w:rPr>
          <w:rFonts w:ascii="Arial" w:cs="Arial" w:eastAsia="Arial" w:hAnsi="Arial"/>
          <w:sz w:val="18"/>
          <w:szCs w:val="18"/>
          <w:color w:val="auto"/>
        </w:rPr>
        <w:t>/s/</w:t>
        <w:tab/>
        <w:t>KPMG LLP</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color w:val="auto"/>
        </w:rPr>
        <w:t>Dallas, Texas</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February 19, 2020</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160</w:t>
      </w:r>
    </w:p>
    <w:p>
      <w:pPr>
        <w:sectPr>
          <w:pgSz w:w="11900" w:h="16838" w:orient="portrait"/>
          <w:cols w:equalWidth="0" w:num="1">
            <w:col w:w="11420"/>
          </w:cols>
          <w:pgMar w:left="240" w:top="549" w:right="239" w:bottom="1440" w:gutter="0" w:footer="0" w:header="0"/>
        </w:sectPr>
      </w:pPr>
    </w:p>
    <w:bookmarkStart w:id="160" w:name="page161"/>
    <w:bookmarkEnd w:id="160"/>
    <w:p>
      <w:pPr>
        <w:ind w:left="3220"/>
        <w:spacing w:after="0"/>
        <w:rPr>
          <w:sz w:val="20"/>
          <w:szCs w:val="20"/>
          <w:color w:val="auto"/>
        </w:rPr>
      </w:pPr>
      <w:r>
        <w:rPr>
          <w:rFonts w:ascii="Arial" w:cs="Arial" w:eastAsia="Arial" w:hAnsi="Arial"/>
          <w:sz w:val="18"/>
          <w:szCs w:val="18"/>
          <w:b w:val="1"/>
          <w:bCs w:val="1"/>
          <w:color w:val="auto"/>
        </w:rPr>
        <w:t>Report of Independent Registered Public Accounting Firm</w:t>
      </w:r>
    </w:p>
    <w:p>
      <w:pPr>
        <w:spacing w:after="0" w:line="112" w:lineRule="exact"/>
        <w:rPr>
          <w:sz w:val="20"/>
          <w:szCs w:val="20"/>
          <w:color w:val="auto"/>
        </w:rPr>
      </w:pPr>
    </w:p>
    <w:p>
      <w:pPr>
        <w:spacing w:after="0"/>
        <w:rPr>
          <w:sz w:val="20"/>
          <w:szCs w:val="20"/>
          <w:color w:val="auto"/>
        </w:rPr>
      </w:pPr>
      <w:r>
        <w:rPr>
          <w:rFonts w:ascii="Arial" w:cs="Arial" w:eastAsia="Arial" w:hAnsi="Arial"/>
          <w:sz w:val="18"/>
          <w:szCs w:val="18"/>
          <w:color w:val="auto"/>
        </w:rPr>
        <w:t>To the Stockholder and Board of Directors</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American Airlines, Inc.:</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Opinion on Internal Control Over Financial Reporting</w:t>
      </w:r>
    </w:p>
    <w:p>
      <w:pPr>
        <w:spacing w:after="0" w:line="108"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auto"/>
        </w:rPr>
        <w:t xml:space="preserve">We have audited American Airlines, Inc. and subsidiaries’ (American) internal control over financial reporting as of December 31, 2019, based on criteria established in </w:t>
      </w:r>
      <w:r>
        <w:rPr>
          <w:rFonts w:ascii="Arial" w:cs="Arial" w:eastAsia="Arial" w:hAnsi="Arial"/>
          <w:sz w:val="18"/>
          <w:szCs w:val="18"/>
          <w:i w:val="1"/>
          <w:iCs w:val="1"/>
          <w:color w:val="auto"/>
        </w:rPr>
        <w:t>Internal Control</w:t>
      </w:r>
      <w:r>
        <w:rPr>
          <w:rFonts w:ascii="Arial" w:cs="Arial" w:eastAsia="Arial" w:hAnsi="Arial"/>
          <w:sz w:val="18"/>
          <w:szCs w:val="18"/>
          <w:color w:val="auto"/>
        </w:rPr>
        <w:t xml:space="preserve"> – </w:t>
      </w:r>
      <w:r>
        <w:rPr>
          <w:rFonts w:ascii="Arial" w:cs="Arial" w:eastAsia="Arial" w:hAnsi="Arial"/>
          <w:sz w:val="18"/>
          <w:szCs w:val="18"/>
          <w:i w:val="1"/>
          <w:iCs w:val="1"/>
          <w:color w:val="auto"/>
        </w:rPr>
        <w:t>Integrated Framework (2013)</w:t>
      </w:r>
      <w:r>
        <w:rPr>
          <w:rFonts w:ascii="Arial" w:cs="Arial" w:eastAsia="Arial" w:hAnsi="Arial"/>
          <w:sz w:val="18"/>
          <w:szCs w:val="18"/>
          <w:color w:val="auto"/>
        </w:rPr>
        <w:t xml:space="preserve"> issued by the Committee of Sponsoring Organizations of the Treadway Commission. In our opinion, American maintained, in all material respects, effective internal control over financial reporting as of December 31, 2019, based on criteria established in </w:t>
      </w:r>
      <w:r>
        <w:rPr>
          <w:rFonts w:ascii="Arial" w:cs="Arial" w:eastAsia="Arial" w:hAnsi="Arial"/>
          <w:sz w:val="18"/>
          <w:szCs w:val="18"/>
          <w:i w:val="1"/>
          <w:iCs w:val="1"/>
          <w:color w:val="auto"/>
        </w:rPr>
        <w:t>Internal Control</w:t>
      </w:r>
      <w:r>
        <w:rPr>
          <w:rFonts w:ascii="Arial" w:cs="Arial" w:eastAsia="Arial" w:hAnsi="Arial"/>
          <w:sz w:val="18"/>
          <w:szCs w:val="18"/>
          <w:color w:val="auto"/>
        </w:rPr>
        <w:t xml:space="preserve"> – </w:t>
      </w:r>
      <w:r>
        <w:rPr>
          <w:rFonts w:ascii="Arial" w:cs="Arial" w:eastAsia="Arial" w:hAnsi="Arial"/>
          <w:sz w:val="18"/>
          <w:szCs w:val="18"/>
          <w:i w:val="1"/>
          <w:iCs w:val="1"/>
          <w:color w:val="auto"/>
        </w:rPr>
        <w:t>Integrated Framework (2013)</w:t>
      </w:r>
      <w:r>
        <w:rPr>
          <w:rFonts w:ascii="Arial" w:cs="Arial" w:eastAsia="Arial" w:hAnsi="Arial"/>
          <w:sz w:val="18"/>
          <w:szCs w:val="18"/>
          <w:color w:val="auto"/>
        </w:rPr>
        <w:t xml:space="preserve"> issued by the Committee of Sponsoring Organizations of the Treadway Commission.</w:t>
      </w:r>
    </w:p>
    <w:p>
      <w:pPr>
        <w:spacing w:after="0" w:line="165"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auto"/>
        </w:rPr>
        <w:t>We also have audited, in accordance with the standards of the Public Company Accounting Oversight Board (United States) (PCAOB), the consolidated balance sheets of American as of December 31, 2019 and 2018, the related consolidated statements of operations, comprehensive income, cash flows, and stockholder’s equity for each of the years in the three-year period ended December 31, 2019, and the related notes (collectively, the consolidated financial statements), and our report dated February 19, 2020 expressed an unqualified opinion on those consolidated financial statements.</w:t>
      </w:r>
    </w:p>
    <w:p>
      <w:pPr>
        <w:spacing w:after="0" w:line="14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Basis for Opinion</w:t>
      </w:r>
    </w:p>
    <w:p>
      <w:pPr>
        <w:spacing w:after="0" w:line="108"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auto"/>
        </w:rPr>
        <w:t>American’s management is responsible for maintaining effective internal control over financial reporting and for its assessment of the effectiveness of internal control over financial reporting, included in the accompanying Management’s Annual Report on Internal Control over Financial Reporting. Our responsibility is to express an opinion on American’s internal control over financial reporting based on our audit. We are a public accounting firm registered with the PCAOB and are required to be independent with respect to American in accordance with the U.S. federal securities laws and the applicable rules and regulations of the Securities and Exchange Commission and the PCAOB.</w:t>
      </w:r>
    </w:p>
    <w:p>
      <w:pPr>
        <w:spacing w:after="0" w:line="165" w:lineRule="exact"/>
        <w:rPr>
          <w:sz w:val="20"/>
          <w:szCs w:val="20"/>
          <w:color w:val="auto"/>
        </w:rPr>
      </w:pPr>
    </w:p>
    <w:p>
      <w:pPr>
        <w:jc w:val="both"/>
        <w:spacing w:after="0" w:line="252" w:lineRule="auto"/>
        <w:rPr>
          <w:sz w:val="20"/>
          <w:szCs w:val="20"/>
          <w:color w:val="auto"/>
        </w:rPr>
      </w:pPr>
      <w:r>
        <w:rPr>
          <w:rFonts w:ascii="Arial" w:cs="Arial" w:eastAsia="Arial" w:hAnsi="Arial"/>
          <w:sz w:val="18"/>
          <w:szCs w:val="18"/>
          <w:color w:val="auto"/>
        </w:rPr>
        <w:t>We conducted our audit in accordance with the standards of the PCAOB. Those standards require that we plan and perform the audit to obtain reasonable assurance about whether effective internal control over financial reporting was maintained in all material respects. Our audit of internal control over financial reporting included obtaining an understanding of internal control over financial reporting, assessing the risk that a material weakness exists, and testing and evaluating the design and operating effectiveness of internal control based on the assessed risk. Our audit also included performing such other procedures as we considered necessary in the circumstances. We believe that our audit provides a reasonable basis for our opinion.</w:t>
      </w:r>
    </w:p>
    <w:p>
      <w:pPr>
        <w:spacing w:after="0" w:line="15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Definition and Limitations of Internal Control Over Financial Reporting</w:t>
      </w:r>
    </w:p>
    <w:p>
      <w:pPr>
        <w:spacing w:after="0" w:line="108" w:lineRule="exact"/>
        <w:rPr>
          <w:sz w:val="20"/>
          <w:szCs w:val="20"/>
          <w:color w:val="auto"/>
        </w:rPr>
      </w:pPr>
    </w:p>
    <w:p>
      <w:pPr>
        <w:jc w:val="both"/>
        <w:spacing w:after="0" w:line="252" w:lineRule="auto"/>
        <w:rPr>
          <w:sz w:val="20"/>
          <w:szCs w:val="20"/>
          <w:color w:val="auto"/>
        </w:rPr>
      </w:pPr>
      <w:r>
        <w:rPr>
          <w:rFonts w:ascii="Arial" w:cs="Arial" w:eastAsia="Arial" w:hAnsi="Arial"/>
          <w:sz w:val="18"/>
          <w:szCs w:val="18"/>
          <w:color w:val="auto"/>
        </w:rPr>
        <w:t>A company’s internal control over financial reporting is a process designed to provide reasonable assurance regarding the reliability of financial reporting and the preparation of financial statements for external purposes in accordance with generally accepted accounting principles. A company’s internal control over financial reporting includes those policies and procedures that (1) pertain to the maintenance of records that, in reasonable detail, accurately and fairly reflect the transactions and dispositions of the assets of the company; (2) provide reasonable assurance that transactions are recorded as necessary to permit preparation of financial statements in accordance with generally accepted accounting principles, and that receipts and expenditures of the company are being made only in accordance with authorizations of management and directors of the company; and (3) provide reasonable assurance regarding prevention or timely detection of unauthorized acquisition, use, or disposition of the company’s assets that could have a material effect on the financial statements.</w:t>
      </w:r>
    </w:p>
    <w:p>
      <w:pPr>
        <w:spacing w:after="0" w:line="166" w:lineRule="exact"/>
        <w:rPr>
          <w:sz w:val="20"/>
          <w:szCs w:val="20"/>
          <w:color w:val="auto"/>
        </w:rPr>
      </w:pPr>
    </w:p>
    <w:p>
      <w:pPr>
        <w:jc w:val="both"/>
        <w:spacing w:after="0" w:line="256" w:lineRule="auto"/>
        <w:rPr>
          <w:sz w:val="20"/>
          <w:szCs w:val="20"/>
          <w:color w:val="auto"/>
        </w:rPr>
      </w:pPr>
      <w:r>
        <w:rPr>
          <w:rFonts w:ascii="Arial" w:cs="Arial" w:eastAsia="Arial" w:hAnsi="Arial"/>
          <w:sz w:val="18"/>
          <w:szCs w:val="18"/>
          <w:color w:val="auto"/>
        </w:rPr>
        <w:t>Because of its inherent limitations, internal control over financial reporting may not prevent or detect misstatements. Also, projections of any evaluation of effectiveness to future periods are subject to the risk that controls may become inadequate because of changes in conditions, or that the degree of compliance with the policies or procedures may deteriorate.</w:t>
      </w:r>
    </w:p>
    <w:p>
      <w:pPr>
        <w:spacing w:after="0" w:line="200" w:lineRule="exact"/>
        <w:rPr>
          <w:sz w:val="20"/>
          <w:szCs w:val="20"/>
          <w:color w:val="auto"/>
        </w:rPr>
      </w:pPr>
    </w:p>
    <w:p>
      <w:pPr>
        <w:spacing w:after="0" w:line="200" w:lineRule="exact"/>
        <w:rPr>
          <w:sz w:val="20"/>
          <w:szCs w:val="20"/>
          <w:color w:val="auto"/>
        </w:rPr>
      </w:pPr>
    </w:p>
    <w:p>
      <w:pPr>
        <w:spacing w:after="0" w:line="302" w:lineRule="exact"/>
        <w:rPr>
          <w:sz w:val="20"/>
          <w:szCs w:val="20"/>
          <w:color w:val="auto"/>
        </w:rPr>
      </w:pPr>
    </w:p>
    <w:p>
      <w:pPr>
        <w:ind w:left="5740"/>
        <w:spacing w:after="0"/>
        <w:tabs>
          <w:tab w:leader="none" w:pos="6100" w:val="left"/>
        </w:tabs>
        <w:rPr>
          <w:sz w:val="20"/>
          <w:szCs w:val="20"/>
          <w:color w:val="auto"/>
        </w:rPr>
      </w:pPr>
      <w:r>
        <w:rPr>
          <w:rFonts w:ascii="Arial" w:cs="Arial" w:eastAsia="Arial" w:hAnsi="Arial"/>
          <w:sz w:val="18"/>
          <w:szCs w:val="18"/>
          <w:color w:val="auto"/>
        </w:rPr>
        <w:t>/s/</w:t>
        <w:tab/>
        <w:t>KPMG LLP</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color w:val="auto"/>
        </w:rPr>
        <w:t>Dallas, Texas</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February 19, 2020</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161</w:t>
      </w:r>
    </w:p>
    <w:p>
      <w:pPr>
        <w:sectPr>
          <w:pgSz w:w="11900" w:h="16838" w:orient="portrait"/>
          <w:cols w:equalWidth="0" w:num="1">
            <w:col w:w="11420"/>
          </w:cols>
          <w:pgMar w:left="240" w:top="549" w:right="239" w:bottom="1440" w:gutter="0" w:footer="0" w:header="0"/>
        </w:sectPr>
      </w:pPr>
    </w:p>
    <w:bookmarkStart w:id="161" w:name="page162"/>
    <w:bookmarkEnd w:id="161"/>
    <w:p>
      <w:pPr>
        <w:spacing w:after="0"/>
        <w:rPr>
          <w:sz w:val="20"/>
          <w:szCs w:val="20"/>
          <w:color w:val="auto"/>
        </w:rPr>
      </w:pPr>
      <w:r>
        <w:rPr>
          <w:rFonts w:ascii="Arial" w:cs="Arial" w:eastAsia="Arial" w:hAnsi="Arial"/>
          <w:sz w:val="18"/>
          <w:szCs w:val="18"/>
          <w:b w:val="1"/>
          <w:bCs w:val="1"/>
          <w:color w:val="auto"/>
        </w:rPr>
        <w:t>ITEM 9B. OTHER INFORMATION</w:t>
      </w:r>
    </w:p>
    <w:p>
      <w:pPr>
        <w:spacing w:after="0" w:line="112" w:lineRule="exact"/>
        <w:rPr>
          <w:sz w:val="20"/>
          <w:szCs w:val="20"/>
          <w:color w:val="auto"/>
        </w:rPr>
      </w:pPr>
    </w:p>
    <w:p>
      <w:pPr>
        <w:spacing w:after="0"/>
        <w:rPr>
          <w:sz w:val="20"/>
          <w:szCs w:val="20"/>
          <w:color w:val="auto"/>
        </w:rPr>
      </w:pPr>
      <w:r>
        <w:rPr>
          <w:rFonts w:ascii="Arial" w:cs="Arial" w:eastAsia="Arial" w:hAnsi="Arial"/>
          <w:sz w:val="18"/>
          <w:szCs w:val="18"/>
          <w:color w:val="auto"/>
        </w:rPr>
        <w:t>None.</w:t>
      </w:r>
    </w:p>
    <w:p>
      <w:pPr>
        <w:spacing w:after="0" w:line="20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PART III</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10. DIRECTORS, EXECUTIVE OFFICERS AND CORPORATE GOVERNANCE</w:t>
      </w:r>
    </w:p>
    <w:p>
      <w:pPr>
        <w:spacing w:after="0" w:line="112" w:lineRule="exact"/>
        <w:rPr>
          <w:sz w:val="20"/>
          <w:szCs w:val="20"/>
          <w:color w:val="auto"/>
        </w:rPr>
      </w:pPr>
    </w:p>
    <w:p>
      <w:pPr>
        <w:jc w:val="both"/>
        <w:ind w:firstLine="216"/>
        <w:spacing w:after="0" w:line="256" w:lineRule="auto"/>
        <w:rPr>
          <w:sz w:val="20"/>
          <w:szCs w:val="20"/>
          <w:color w:val="auto"/>
        </w:rPr>
      </w:pPr>
      <w:r>
        <w:rPr>
          <w:rFonts w:ascii="Arial" w:cs="Arial" w:eastAsia="Arial" w:hAnsi="Arial"/>
          <w:sz w:val="18"/>
          <w:szCs w:val="18"/>
          <w:color w:val="auto"/>
        </w:rPr>
        <w:t>Except as stated below, the information required by this Item will be set forth in the Proxy Statement under the captions “Proposal 1 – Election of Directors,” “Executive Officers,” “Board Composition” and “Information About the Board of Directors and Corporate Governance” and is incorporated by reference into this Annual Report on Form 10-K.</w:t>
      </w:r>
    </w:p>
    <w:p>
      <w:pPr>
        <w:spacing w:after="0" w:line="148" w:lineRule="exact"/>
        <w:rPr>
          <w:sz w:val="20"/>
          <w:szCs w:val="20"/>
          <w:color w:val="auto"/>
        </w:rPr>
      </w:pPr>
    </w:p>
    <w:p>
      <w:pPr>
        <w:jc w:val="both"/>
        <w:ind w:firstLine="216"/>
        <w:spacing w:after="0" w:line="252" w:lineRule="auto"/>
        <w:rPr>
          <w:sz w:val="20"/>
          <w:szCs w:val="20"/>
          <w:color w:val="auto"/>
        </w:rPr>
      </w:pPr>
      <w:r>
        <w:rPr>
          <w:rFonts w:ascii="Arial" w:cs="Arial" w:eastAsia="Arial" w:hAnsi="Arial"/>
          <w:sz w:val="18"/>
          <w:szCs w:val="18"/>
          <w:color w:val="auto"/>
        </w:rPr>
        <w:t xml:space="preserve">AAG and American have adopted Standards of Business Conduct (the Ethics Standards) within the meaning of Item 406(b) of Regulation S-K. The Ethics Standards apply to all officers and employees of AAG and its subsidiaries, including American. The Ethics Standards are available on our website at </w:t>
      </w:r>
      <w:r>
        <w:rPr>
          <w:rFonts w:ascii="Arial" w:cs="Arial" w:eastAsia="Arial" w:hAnsi="Arial"/>
          <w:sz w:val="18"/>
          <w:szCs w:val="18"/>
          <w:i w:val="1"/>
          <w:iCs w:val="1"/>
          <w:color w:val="auto"/>
        </w:rPr>
        <w:t>www.aa.com</w:t>
      </w:r>
      <w:r>
        <w:rPr>
          <w:rFonts w:ascii="Arial" w:cs="Arial" w:eastAsia="Arial" w:hAnsi="Arial"/>
          <w:sz w:val="18"/>
          <w:szCs w:val="18"/>
          <w:color w:val="auto"/>
        </w:rPr>
        <w:t>. If we make substantive amendments to the Ethics Standards or grant any waiver, including any implicit waiver, to our principal executive officer, principal financial officer, principal accounting officer or controller, or persons performing similar functions, we will disclose the nature of such amendment or waiver on our website or in a Current Report on Form 8-K in accordance with applicable rules and regulations.</w:t>
      </w:r>
    </w:p>
    <w:p>
      <w:pPr>
        <w:spacing w:after="0" w:line="21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11. EXECUTIVE COMPENSATION</w:t>
      </w:r>
    </w:p>
    <w:p>
      <w:pPr>
        <w:spacing w:after="0" w:line="112" w:lineRule="exact"/>
        <w:rPr>
          <w:sz w:val="20"/>
          <w:szCs w:val="20"/>
          <w:color w:val="auto"/>
        </w:rPr>
      </w:pPr>
    </w:p>
    <w:p>
      <w:pPr>
        <w:jc w:val="both"/>
        <w:ind w:firstLine="216"/>
        <w:spacing w:after="0" w:line="254" w:lineRule="auto"/>
        <w:rPr>
          <w:sz w:val="20"/>
          <w:szCs w:val="20"/>
          <w:color w:val="auto"/>
        </w:rPr>
      </w:pPr>
      <w:r>
        <w:rPr>
          <w:rFonts w:ascii="Arial" w:cs="Arial" w:eastAsia="Arial" w:hAnsi="Arial"/>
          <w:sz w:val="18"/>
          <w:szCs w:val="18"/>
          <w:color w:val="auto"/>
        </w:rPr>
        <w:t>The information required by this Item will be set forth in the Proxy Statement under the captions “Information About the Board of Directors and Corporate Governance - Risk Assessment with Respect to Compensation Practices,” “Director Compensation,” “Compensation Discussion and Analysis,” “Executive Compensation” and “Compensation Committee Report” and is incorporated by reference into this Annual Report on Form 10-K.</w:t>
      </w:r>
    </w:p>
    <w:p>
      <w:pPr>
        <w:spacing w:after="0" w:line="209" w:lineRule="exact"/>
        <w:rPr>
          <w:sz w:val="20"/>
          <w:szCs w:val="20"/>
          <w:color w:val="auto"/>
        </w:rPr>
      </w:pPr>
    </w:p>
    <w:p>
      <w:pPr>
        <w:ind w:right="820"/>
        <w:spacing w:after="0" w:line="287" w:lineRule="auto"/>
        <w:rPr>
          <w:sz w:val="20"/>
          <w:szCs w:val="20"/>
          <w:color w:val="auto"/>
        </w:rPr>
      </w:pPr>
      <w:r>
        <w:rPr>
          <w:rFonts w:ascii="Arial" w:cs="Arial" w:eastAsia="Arial" w:hAnsi="Arial"/>
          <w:sz w:val="18"/>
          <w:szCs w:val="18"/>
          <w:b w:val="1"/>
          <w:bCs w:val="1"/>
          <w:color w:val="auto"/>
        </w:rPr>
        <w:t>ITEM 12. SECURITY OWNERSHIP OF CERTAIN BENEFICIAL OWNERS AND MANAGEMENT AND RELATED STOCKHOLDER MATTERS</w:t>
      </w:r>
    </w:p>
    <w:p>
      <w:pPr>
        <w:spacing w:after="0" w:line="40" w:lineRule="exact"/>
        <w:rPr>
          <w:sz w:val="20"/>
          <w:szCs w:val="20"/>
          <w:color w:val="auto"/>
        </w:rPr>
      </w:pPr>
    </w:p>
    <w:p>
      <w:pPr>
        <w:jc w:val="both"/>
        <w:ind w:firstLine="216"/>
        <w:spacing w:after="0" w:line="256" w:lineRule="auto"/>
        <w:rPr>
          <w:sz w:val="20"/>
          <w:szCs w:val="20"/>
          <w:color w:val="auto"/>
        </w:rPr>
      </w:pPr>
      <w:r>
        <w:rPr>
          <w:rFonts w:ascii="Arial" w:cs="Arial" w:eastAsia="Arial" w:hAnsi="Arial"/>
          <w:sz w:val="18"/>
          <w:szCs w:val="18"/>
          <w:color w:val="auto"/>
        </w:rPr>
        <w:t>The information required by this Item will be set forth in the Proxy Statement under the captions “Security Ownership of Certain Beneficial Owners and Management” and “Equity Compensation Plan Information” and is incorporated by reference into this Annual Report on Form 10-K.</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13. CERTAIN RELATIONSHIPS AND RELATED TRANSACTIONS, AND DIRECTOR INDEPENDENCE</w:t>
      </w:r>
    </w:p>
    <w:p>
      <w:pPr>
        <w:spacing w:after="0" w:line="112" w:lineRule="exact"/>
        <w:rPr>
          <w:sz w:val="20"/>
          <w:szCs w:val="20"/>
          <w:color w:val="auto"/>
        </w:rPr>
      </w:pPr>
    </w:p>
    <w:p>
      <w:pPr>
        <w:jc w:val="both"/>
        <w:ind w:firstLine="216"/>
        <w:spacing w:after="0" w:line="256" w:lineRule="auto"/>
        <w:rPr>
          <w:sz w:val="20"/>
          <w:szCs w:val="20"/>
          <w:color w:val="auto"/>
        </w:rPr>
      </w:pPr>
      <w:r>
        <w:rPr>
          <w:rFonts w:ascii="Arial" w:cs="Arial" w:eastAsia="Arial" w:hAnsi="Arial"/>
          <w:sz w:val="18"/>
          <w:szCs w:val="18"/>
          <w:color w:val="auto"/>
        </w:rPr>
        <w:t>The information required by this Item will be set forth in the Proxy Statement under the captions “Certain Relationships and Related Party Transactions” and “Information About the Board of Directors and Corporate Governance” and is incorporated by reference into this Annual Report on Form 10-K.</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14. PRINCIPAL ACCOUNTANT FEES AND SERVICES</w:t>
      </w:r>
    </w:p>
    <w:p>
      <w:pPr>
        <w:spacing w:after="0" w:line="112" w:lineRule="exact"/>
        <w:rPr>
          <w:sz w:val="20"/>
          <w:szCs w:val="20"/>
          <w:color w:val="auto"/>
        </w:rPr>
      </w:pPr>
    </w:p>
    <w:p>
      <w:pPr>
        <w:jc w:val="both"/>
        <w:ind w:firstLine="216"/>
        <w:spacing w:after="0" w:line="262" w:lineRule="auto"/>
        <w:rPr>
          <w:sz w:val="20"/>
          <w:szCs w:val="20"/>
          <w:color w:val="auto"/>
        </w:rPr>
      </w:pPr>
      <w:r>
        <w:rPr>
          <w:rFonts w:ascii="Arial" w:cs="Arial" w:eastAsia="Arial" w:hAnsi="Arial"/>
          <w:sz w:val="18"/>
          <w:szCs w:val="18"/>
          <w:color w:val="auto"/>
        </w:rPr>
        <w:t>The information required by this Item will be set forth in the Proxy Statement under the caption “Proposal 2 – Ratification of Appointment of Independent Registered Public Accounting Firm” and is incorporated by reference into this Annual Report on Form 10-K.</w:t>
      </w:r>
    </w:p>
    <w:p>
      <w:pPr>
        <w:spacing w:after="0" w:line="19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162</w:t>
      </w:r>
    </w:p>
    <w:p>
      <w:pPr>
        <w:sectPr>
          <w:pgSz w:w="11900" w:h="16838" w:orient="portrait"/>
          <w:cols w:equalWidth="0" w:num="1">
            <w:col w:w="11420"/>
          </w:cols>
          <w:pgMar w:left="240" w:top="792" w:right="239" w:bottom="1440" w:gutter="0" w:footer="0" w:header="0"/>
        </w:sectPr>
      </w:pPr>
    </w:p>
    <w:bookmarkStart w:id="162" w:name="page163"/>
    <w:bookmarkEnd w:id="162"/>
    <w:p>
      <w:pPr>
        <w:ind w:left="5360"/>
        <w:spacing w:after="0"/>
        <w:rPr>
          <w:sz w:val="20"/>
          <w:szCs w:val="20"/>
          <w:color w:val="auto"/>
        </w:rPr>
      </w:pPr>
      <w:r>
        <w:rPr>
          <w:rFonts w:ascii="Arial" w:cs="Arial" w:eastAsia="Arial" w:hAnsi="Arial"/>
          <w:sz w:val="18"/>
          <w:szCs w:val="18"/>
          <w:b w:val="1"/>
          <w:bCs w:val="1"/>
          <w:color w:val="auto"/>
        </w:rPr>
        <w:t>PART IV</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15. EXHIBITS AND FINANCIAL STATEMENT SCHEDULES</w:t>
      </w:r>
    </w:p>
    <w:p>
      <w:pPr>
        <w:spacing w:after="0" w:line="9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Consolidated Financial Statements</w:t>
      </w:r>
    </w:p>
    <w:p>
      <w:pPr>
        <w:spacing w:after="0" w:line="112" w:lineRule="exact"/>
        <w:rPr>
          <w:sz w:val="20"/>
          <w:szCs w:val="20"/>
          <w:color w:val="auto"/>
        </w:rPr>
      </w:pPr>
    </w:p>
    <w:p>
      <w:pPr>
        <w:ind w:firstLine="216"/>
        <w:spacing w:after="0" w:line="262" w:lineRule="auto"/>
        <w:rPr>
          <w:sz w:val="20"/>
          <w:szCs w:val="20"/>
          <w:color w:val="auto"/>
        </w:rPr>
      </w:pPr>
      <w:r>
        <w:rPr>
          <w:rFonts w:ascii="Arial" w:cs="Arial" w:eastAsia="Arial" w:hAnsi="Arial"/>
          <w:sz w:val="18"/>
          <w:szCs w:val="18"/>
          <w:color w:val="auto"/>
        </w:rPr>
        <w:t>The following consolidated financial statements of American Airlines Group Inc. and Independent Auditors’ Report are filed as part of this report:</w:t>
      </w:r>
    </w:p>
    <w:p>
      <w:pPr>
        <w:spacing w:after="0" w:line="292" w:lineRule="exact"/>
        <w:rPr>
          <w:sz w:val="20"/>
          <w:szCs w:val="20"/>
          <w:color w:val="auto"/>
        </w:rPr>
      </w:pPr>
    </w:p>
    <w:tbl>
      <w:tblPr>
        <w:tblLayout w:type="fixed"/>
        <w:tblInd w:w="40" w:type="dxa"/>
        <w:tblCellMar>
          <w:top w:w="0" w:type="dxa"/>
          <w:left w:w="0" w:type="dxa"/>
          <w:bottom w:w="0" w:type="dxa"/>
          <w:right w:w="0" w:type="dxa"/>
        </w:tblCellMar>
      </w:tblPr>
      <w:tr>
        <w:trPr>
          <w:trHeight w:val="196"/>
        </w:trPr>
        <w:tc>
          <w:tcPr>
            <w:tcW w:w="350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27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1700" w:type="dxa"/>
            <w:vAlign w:val="bottom"/>
          </w:tcPr>
          <w:p>
            <w:pPr>
              <w:spacing w:after="0"/>
              <w:rPr>
                <w:sz w:val="17"/>
                <w:szCs w:val="17"/>
                <w:color w:val="auto"/>
              </w:rPr>
            </w:pPr>
          </w:p>
        </w:tc>
        <w:tc>
          <w:tcPr>
            <w:tcW w:w="560" w:type="dxa"/>
            <w:vAlign w:val="bottom"/>
            <w:tcBorders>
              <w:bottom w:val="single" w:sz="8" w:color="435363"/>
            </w:tcBorders>
            <w:gridSpan w:val="3"/>
          </w:tcPr>
          <w:p>
            <w:pPr>
              <w:ind w:left="100"/>
              <w:spacing w:after="0"/>
              <w:rPr>
                <w:sz w:val="20"/>
                <w:szCs w:val="20"/>
                <w:color w:val="auto"/>
              </w:rPr>
            </w:pPr>
            <w:r>
              <w:rPr>
                <w:rFonts w:ascii="Arial" w:cs="Arial" w:eastAsia="Arial" w:hAnsi="Arial"/>
                <w:sz w:val="14"/>
                <w:szCs w:val="14"/>
                <w:b w:val="1"/>
                <w:bCs w:val="1"/>
                <w:color w:val="auto"/>
              </w:rPr>
              <w:t>Page</w:t>
            </w:r>
          </w:p>
        </w:tc>
      </w:tr>
      <w:tr>
        <w:trPr>
          <w:trHeight w:val="202"/>
        </w:trPr>
        <w:tc>
          <w:tcPr>
            <w:tcW w:w="4600" w:type="dxa"/>
            <w:vAlign w:val="bottom"/>
            <w:gridSpan w:val="2"/>
          </w:tcPr>
          <w:p>
            <w:pPr>
              <w:spacing w:after="0" w:line="202" w:lineRule="exact"/>
              <w:rPr>
                <w:rFonts w:ascii="Arial" w:cs="Arial" w:eastAsia="Arial" w:hAnsi="Arial"/>
                <w:sz w:val="18"/>
                <w:szCs w:val="18"/>
                <w:color w:val="0000EE"/>
                <w:w w:val="99"/>
              </w:rPr>
            </w:pPr>
            <w:hyperlink w:anchor="page70">
              <w:r>
                <w:rPr>
                  <w:rFonts w:ascii="Arial" w:cs="Arial" w:eastAsia="Arial" w:hAnsi="Arial"/>
                  <w:sz w:val="18"/>
                  <w:szCs w:val="18"/>
                  <w:color w:val="0000EE"/>
                  <w:w w:val="99"/>
                </w:rPr>
                <w:t>Report of Independent Registered Public Accounting Firm</w:t>
              </w:r>
            </w:hyperlink>
          </w:p>
        </w:tc>
        <w:tc>
          <w:tcPr>
            <w:tcW w:w="6220" w:type="dxa"/>
            <w:vAlign w:val="bottom"/>
            <w:gridSpan w:val="6"/>
          </w:tcPr>
          <w:p>
            <w:pPr>
              <w:spacing w:after="0"/>
              <w:rPr>
                <w:sz w:val="17"/>
                <w:szCs w:val="17"/>
                <w:color w:val="auto"/>
              </w:rPr>
            </w:pPr>
          </w:p>
        </w:tc>
        <w:tc>
          <w:tcPr>
            <w:tcW w:w="560" w:type="dxa"/>
            <w:vAlign w:val="bottom"/>
            <w:gridSpan w:val="3"/>
          </w:tcPr>
          <w:p>
            <w:pPr>
              <w:jc w:val="right"/>
              <w:ind w:right="20"/>
              <w:spacing w:after="0" w:line="202" w:lineRule="exact"/>
              <w:rPr>
                <w:rFonts w:ascii="Arial" w:cs="Arial" w:eastAsia="Arial" w:hAnsi="Arial"/>
                <w:sz w:val="18"/>
                <w:szCs w:val="18"/>
                <w:color w:val="0000EE"/>
              </w:rPr>
            </w:pPr>
            <w:hyperlink w:anchor="page70">
              <w:r>
                <w:rPr>
                  <w:rFonts w:ascii="Arial" w:cs="Arial" w:eastAsia="Arial" w:hAnsi="Arial"/>
                  <w:sz w:val="18"/>
                  <w:szCs w:val="18"/>
                  <w:color w:val="0000EE"/>
                </w:rPr>
                <w:t>70</w:t>
              </w:r>
            </w:hyperlink>
          </w:p>
        </w:tc>
      </w:tr>
      <w:tr>
        <w:trPr>
          <w:trHeight w:val="20"/>
        </w:trPr>
        <w:tc>
          <w:tcPr>
            <w:tcW w:w="3500" w:type="dxa"/>
            <w:vAlign w:val="bottom"/>
            <w:shd w:val="clear" w:color="auto" w:fill="0000EE"/>
          </w:tcPr>
          <w:p>
            <w:pPr>
              <w:spacing w:after="0" w:line="20" w:lineRule="exact"/>
              <w:rPr>
                <w:sz w:val="1"/>
                <w:szCs w:val="1"/>
                <w:color w:val="auto"/>
              </w:rPr>
            </w:pPr>
          </w:p>
        </w:tc>
        <w:tc>
          <w:tcPr>
            <w:tcW w:w="1100" w:type="dxa"/>
            <w:vAlign w:val="bottom"/>
            <w:shd w:val="clear" w:color="auto" w:fill="0000EE"/>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7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70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37"/>
        </w:trPr>
        <w:tc>
          <w:tcPr>
            <w:tcW w:w="10820" w:type="dxa"/>
            <w:vAlign w:val="bottom"/>
            <w:gridSpan w:val="8"/>
          </w:tcPr>
          <w:p>
            <w:pPr>
              <w:spacing w:after="0"/>
              <w:rPr>
                <w:rFonts w:ascii="Arial" w:cs="Arial" w:eastAsia="Arial" w:hAnsi="Arial"/>
                <w:sz w:val="18"/>
                <w:szCs w:val="18"/>
                <w:color w:val="0000EE"/>
              </w:rPr>
            </w:pPr>
            <w:hyperlink w:anchor="page72">
              <w:r>
                <w:rPr>
                  <w:rFonts w:ascii="Arial" w:cs="Arial" w:eastAsia="Arial" w:hAnsi="Arial"/>
                  <w:sz w:val="18"/>
                  <w:szCs w:val="18"/>
                  <w:color w:val="0000EE"/>
                </w:rPr>
                <w:t>Consolidated Statements of Operations for the Years Ended December 31, 2019, 2018 and 2017</w:t>
              </w:r>
            </w:hyperlink>
          </w:p>
        </w:tc>
        <w:tc>
          <w:tcPr>
            <w:tcW w:w="560" w:type="dxa"/>
            <w:vAlign w:val="bottom"/>
            <w:gridSpan w:val="3"/>
          </w:tcPr>
          <w:p>
            <w:pPr>
              <w:jc w:val="right"/>
              <w:ind w:right="20"/>
              <w:spacing w:after="0"/>
              <w:rPr>
                <w:rFonts w:ascii="Arial" w:cs="Arial" w:eastAsia="Arial" w:hAnsi="Arial"/>
                <w:sz w:val="18"/>
                <w:szCs w:val="18"/>
                <w:color w:val="0000EE"/>
              </w:rPr>
            </w:pPr>
            <w:hyperlink w:anchor="page72">
              <w:r>
                <w:rPr>
                  <w:rFonts w:ascii="Arial" w:cs="Arial" w:eastAsia="Arial" w:hAnsi="Arial"/>
                  <w:sz w:val="18"/>
                  <w:szCs w:val="18"/>
                  <w:color w:val="0000EE"/>
                </w:rPr>
                <w:t>72</w:t>
              </w:r>
            </w:hyperlink>
          </w:p>
        </w:tc>
      </w:tr>
      <w:tr>
        <w:trPr>
          <w:trHeight w:val="20"/>
        </w:trPr>
        <w:tc>
          <w:tcPr>
            <w:tcW w:w="3500" w:type="dxa"/>
            <w:vAlign w:val="bottom"/>
            <w:shd w:val="clear" w:color="auto" w:fill="0000EE"/>
          </w:tcPr>
          <w:p>
            <w:pPr>
              <w:spacing w:after="0" w:line="20" w:lineRule="exact"/>
              <w:rPr>
                <w:sz w:val="1"/>
                <w:szCs w:val="1"/>
                <w:color w:val="auto"/>
              </w:rPr>
            </w:pPr>
          </w:p>
        </w:tc>
        <w:tc>
          <w:tcPr>
            <w:tcW w:w="1480" w:type="dxa"/>
            <w:vAlign w:val="bottom"/>
            <w:gridSpan w:val="2"/>
            <w:shd w:val="clear" w:color="auto" w:fill="0000EE"/>
          </w:tcPr>
          <w:p>
            <w:pPr>
              <w:spacing w:after="0" w:line="20" w:lineRule="exact"/>
              <w:rPr>
                <w:sz w:val="1"/>
                <w:szCs w:val="1"/>
                <w:color w:val="auto"/>
              </w:rPr>
            </w:pPr>
          </w:p>
        </w:tc>
        <w:tc>
          <w:tcPr>
            <w:tcW w:w="2720" w:type="dxa"/>
            <w:vAlign w:val="bottom"/>
            <w:shd w:val="clear" w:color="auto" w:fill="0000EE"/>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70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37"/>
        </w:trPr>
        <w:tc>
          <w:tcPr>
            <w:tcW w:w="10820" w:type="dxa"/>
            <w:vAlign w:val="bottom"/>
            <w:gridSpan w:val="8"/>
          </w:tcPr>
          <w:p>
            <w:pPr>
              <w:spacing w:after="0"/>
              <w:rPr>
                <w:rFonts w:ascii="Arial" w:cs="Arial" w:eastAsia="Arial" w:hAnsi="Arial"/>
                <w:sz w:val="18"/>
                <w:szCs w:val="18"/>
                <w:color w:val="0000EE"/>
              </w:rPr>
            </w:pPr>
            <w:hyperlink w:anchor="page73">
              <w:r>
                <w:rPr>
                  <w:rFonts w:ascii="Arial" w:cs="Arial" w:eastAsia="Arial" w:hAnsi="Arial"/>
                  <w:sz w:val="18"/>
                  <w:szCs w:val="18"/>
                  <w:color w:val="0000EE"/>
                </w:rPr>
                <w:t>Consolidated Statements of Comprehensive Income for the Years Ended December 31, 2019, 2018 and 2017</w:t>
              </w:r>
            </w:hyperlink>
          </w:p>
        </w:tc>
        <w:tc>
          <w:tcPr>
            <w:tcW w:w="560" w:type="dxa"/>
            <w:vAlign w:val="bottom"/>
            <w:gridSpan w:val="3"/>
          </w:tcPr>
          <w:p>
            <w:pPr>
              <w:jc w:val="right"/>
              <w:ind w:right="20"/>
              <w:spacing w:after="0"/>
              <w:rPr>
                <w:rFonts w:ascii="Arial" w:cs="Arial" w:eastAsia="Arial" w:hAnsi="Arial"/>
                <w:sz w:val="18"/>
                <w:szCs w:val="18"/>
                <w:color w:val="0000EE"/>
              </w:rPr>
            </w:pPr>
            <w:hyperlink w:anchor="page73">
              <w:r>
                <w:rPr>
                  <w:rFonts w:ascii="Arial" w:cs="Arial" w:eastAsia="Arial" w:hAnsi="Arial"/>
                  <w:sz w:val="18"/>
                  <w:szCs w:val="18"/>
                  <w:color w:val="0000EE"/>
                </w:rPr>
                <w:t>73</w:t>
              </w:r>
            </w:hyperlink>
          </w:p>
        </w:tc>
      </w:tr>
      <w:tr>
        <w:trPr>
          <w:trHeight w:val="20"/>
        </w:trPr>
        <w:tc>
          <w:tcPr>
            <w:tcW w:w="3500" w:type="dxa"/>
            <w:vAlign w:val="bottom"/>
            <w:shd w:val="clear" w:color="auto" w:fill="0000EE"/>
          </w:tcPr>
          <w:p>
            <w:pPr>
              <w:spacing w:after="0" w:line="20" w:lineRule="exact"/>
              <w:rPr>
                <w:sz w:val="1"/>
                <w:szCs w:val="1"/>
                <w:color w:val="auto"/>
              </w:rPr>
            </w:pPr>
          </w:p>
        </w:tc>
        <w:tc>
          <w:tcPr>
            <w:tcW w:w="1480" w:type="dxa"/>
            <w:vAlign w:val="bottom"/>
            <w:gridSpan w:val="2"/>
            <w:shd w:val="clear" w:color="auto" w:fill="0000EE"/>
          </w:tcPr>
          <w:p>
            <w:pPr>
              <w:spacing w:after="0" w:line="20" w:lineRule="exact"/>
              <w:rPr>
                <w:sz w:val="1"/>
                <w:szCs w:val="1"/>
                <w:color w:val="auto"/>
              </w:rPr>
            </w:pPr>
          </w:p>
        </w:tc>
        <w:tc>
          <w:tcPr>
            <w:tcW w:w="2780" w:type="dxa"/>
            <w:vAlign w:val="bottom"/>
            <w:gridSpan w:val="2"/>
            <w:shd w:val="clear" w:color="auto" w:fill="0000EE"/>
          </w:tcPr>
          <w:p>
            <w:pPr>
              <w:spacing w:after="0" w:line="20" w:lineRule="exact"/>
              <w:rPr>
                <w:sz w:val="1"/>
                <w:szCs w:val="1"/>
                <w:color w:val="auto"/>
              </w:rPr>
            </w:pPr>
          </w:p>
        </w:tc>
        <w:tc>
          <w:tcPr>
            <w:tcW w:w="960" w:type="dxa"/>
            <w:vAlign w:val="bottom"/>
            <w:shd w:val="clear" w:color="auto" w:fill="0000EE"/>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70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37"/>
        </w:trPr>
        <w:tc>
          <w:tcPr>
            <w:tcW w:w="8720" w:type="dxa"/>
            <w:vAlign w:val="bottom"/>
            <w:gridSpan w:val="6"/>
          </w:tcPr>
          <w:p>
            <w:pPr>
              <w:spacing w:after="0"/>
              <w:rPr>
                <w:rFonts w:ascii="Arial" w:cs="Arial" w:eastAsia="Arial" w:hAnsi="Arial"/>
                <w:sz w:val="18"/>
                <w:szCs w:val="18"/>
                <w:color w:val="0000EE"/>
              </w:rPr>
            </w:pPr>
            <w:hyperlink w:anchor="page74">
              <w:r>
                <w:rPr>
                  <w:rFonts w:ascii="Arial" w:cs="Arial" w:eastAsia="Arial" w:hAnsi="Arial"/>
                  <w:sz w:val="18"/>
                  <w:szCs w:val="18"/>
                  <w:color w:val="0000EE"/>
                </w:rPr>
                <w:t>Consolidated Balance Sheets at December 31, 2019 and 2018</w:t>
              </w:r>
            </w:hyperlink>
          </w:p>
        </w:tc>
        <w:tc>
          <w:tcPr>
            <w:tcW w:w="2100" w:type="dxa"/>
            <w:vAlign w:val="bottom"/>
            <w:gridSpan w:val="2"/>
          </w:tcPr>
          <w:p>
            <w:pPr>
              <w:spacing w:after="0"/>
              <w:rPr>
                <w:sz w:val="20"/>
                <w:szCs w:val="20"/>
                <w:color w:val="auto"/>
              </w:rPr>
            </w:pPr>
          </w:p>
        </w:tc>
        <w:tc>
          <w:tcPr>
            <w:tcW w:w="560" w:type="dxa"/>
            <w:vAlign w:val="bottom"/>
            <w:gridSpan w:val="3"/>
          </w:tcPr>
          <w:p>
            <w:pPr>
              <w:jc w:val="right"/>
              <w:ind w:right="20"/>
              <w:spacing w:after="0"/>
              <w:rPr>
                <w:rFonts w:ascii="Arial" w:cs="Arial" w:eastAsia="Arial" w:hAnsi="Arial"/>
                <w:sz w:val="18"/>
                <w:szCs w:val="18"/>
                <w:color w:val="0000EE"/>
              </w:rPr>
            </w:pPr>
            <w:hyperlink w:anchor="page74">
              <w:r>
                <w:rPr>
                  <w:rFonts w:ascii="Arial" w:cs="Arial" w:eastAsia="Arial" w:hAnsi="Arial"/>
                  <w:sz w:val="18"/>
                  <w:szCs w:val="18"/>
                  <w:color w:val="0000EE"/>
                </w:rPr>
                <w:t>74</w:t>
              </w:r>
            </w:hyperlink>
          </w:p>
        </w:tc>
      </w:tr>
      <w:tr>
        <w:trPr>
          <w:trHeight w:val="20"/>
        </w:trPr>
        <w:tc>
          <w:tcPr>
            <w:tcW w:w="3500" w:type="dxa"/>
            <w:vAlign w:val="bottom"/>
            <w:shd w:val="clear" w:color="auto" w:fill="0000EE"/>
          </w:tcPr>
          <w:p>
            <w:pPr>
              <w:spacing w:after="0" w:line="20" w:lineRule="exact"/>
              <w:rPr>
                <w:sz w:val="1"/>
                <w:szCs w:val="1"/>
                <w:color w:val="auto"/>
              </w:rPr>
            </w:pPr>
          </w:p>
        </w:tc>
        <w:tc>
          <w:tcPr>
            <w:tcW w:w="1480" w:type="dxa"/>
            <w:vAlign w:val="bottom"/>
            <w:gridSpan w:val="2"/>
            <w:shd w:val="clear" w:color="auto" w:fill="0000EE"/>
          </w:tcPr>
          <w:p>
            <w:pPr>
              <w:spacing w:after="0" w:line="20" w:lineRule="exact"/>
              <w:rPr>
                <w:sz w:val="1"/>
                <w:szCs w:val="1"/>
                <w:color w:val="auto"/>
              </w:rPr>
            </w:pPr>
          </w:p>
        </w:tc>
        <w:tc>
          <w:tcPr>
            <w:tcW w:w="2780" w:type="dxa"/>
            <w:vAlign w:val="bottom"/>
            <w:gridSpan w:val="2"/>
          </w:tcPr>
          <w:p>
            <w:pPr>
              <w:spacing w:after="0" w:line="20" w:lineRule="exact"/>
              <w:rPr>
                <w:sz w:val="1"/>
                <w:szCs w:val="1"/>
                <w:color w:val="auto"/>
              </w:rPr>
            </w:pPr>
          </w:p>
        </w:tc>
        <w:tc>
          <w:tcPr>
            <w:tcW w:w="1360" w:type="dxa"/>
            <w:vAlign w:val="bottom"/>
            <w:gridSpan w:val="2"/>
          </w:tcPr>
          <w:p>
            <w:pPr>
              <w:spacing w:after="0" w:line="20" w:lineRule="exact"/>
              <w:rPr>
                <w:sz w:val="1"/>
                <w:szCs w:val="1"/>
                <w:color w:val="auto"/>
              </w:rPr>
            </w:pPr>
          </w:p>
        </w:tc>
        <w:tc>
          <w:tcPr>
            <w:tcW w:w="170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37"/>
        </w:trPr>
        <w:tc>
          <w:tcPr>
            <w:tcW w:w="10820" w:type="dxa"/>
            <w:vAlign w:val="bottom"/>
            <w:gridSpan w:val="8"/>
          </w:tcPr>
          <w:p>
            <w:pPr>
              <w:spacing w:after="0"/>
              <w:rPr>
                <w:rFonts w:ascii="Arial" w:cs="Arial" w:eastAsia="Arial" w:hAnsi="Arial"/>
                <w:sz w:val="18"/>
                <w:szCs w:val="18"/>
                <w:color w:val="0000EE"/>
              </w:rPr>
            </w:pPr>
            <w:hyperlink w:anchor="page75">
              <w:r>
                <w:rPr>
                  <w:rFonts w:ascii="Arial" w:cs="Arial" w:eastAsia="Arial" w:hAnsi="Arial"/>
                  <w:sz w:val="18"/>
                  <w:szCs w:val="18"/>
                  <w:color w:val="0000EE"/>
                </w:rPr>
                <w:t>Consolidated Statements of Cash Flows for the Years Ended December 31, 2019, 2018 and 2017</w:t>
              </w:r>
            </w:hyperlink>
          </w:p>
        </w:tc>
        <w:tc>
          <w:tcPr>
            <w:tcW w:w="560" w:type="dxa"/>
            <w:vAlign w:val="bottom"/>
            <w:gridSpan w:val="3"/>
          </w:tcPr>
          <w:p>
            <w:pPr>
              <w:jc w:val="right"/>
              <w:ind w:right="20"/>
              <w:spacing w:after="0"/>
              <w:rPr>
                <w:rFonts w:ascii="Arial" w:cs="Arial" w:eastAsia="Arial" w:hAnsi="Arial"/>
                <w:sz w:val="18"/>
                <w:szCs w:val="18"/>
                <w:color w:val="0000EE"/>
              </w:rPr>
            </w:pPr>
            <w:hyperlink w:anchor="page75">
              <w:r>
                <w:rPr>
                  <w:rFonts w:ascii="Arial" w:cs="Arial" w:eastAsia="Arial" w:hAnsi="Arial"/>
                  <w:sz w:val="18"/>
                  <w:szCs w:val="18"/>
                  <w:color w:val="0000EE"/>
                </w:rPr>
                <w:t>75</w:t>
              </w:r>
            </w:hyperlink>
          </w:p>
        </w:tc>
      </w:tr>
      <w:tr>
        <w:trPr>
          <w:trHeight w:val="20"/>
        </w:trPr>
        <w:tc>
          <w:tcPr>
            <w:tcW w:w="3500" w:type="dxa"/>
            <w:vAlign w:val="bottom"/>
            <w:shd w:val="clear" w:color="auto" w:fill="0000EE"/>
          </w:tcPr>
          <w:p>
            <w:pPr>
              <w:spacing w:after="0" w:line="20" w:lineRule="exact"/>
              <w:rPr>
                <w:sz w:val="1"/>
                <w:szCs w:val="1"/>
                <w:color w:val="auto"/>
              </w:rPr>
            </w:pPr>
          </w:p>
        </w:tc>
        <w:tc>
          <w:tcPr>
            <w:tcW w:w="4260" w:type="dxa"/>
            <w:vAlign w:val="bottom"/>
            <w:gridSpan w:val="4"/>
            <w:shd w:val="clear" w:color="auto" w:fill="0000EE"/>
          </w:tcPr>
          <w:p>
            <w:pPr>
              <w:spacing w:after="0" w:line="20" w:lineRule="exact"/>
              <w:rPr>
                <w:sz w:val="1"/>
                <w:szCs w:val="1"/>
                <w:color w:val="auto"/>
              </w:rPr>
            </w:pPr>
          </w:p>
        </w:tc>
        <w:tc>
          <w:tcPr>
            <w:tcW w:w="1360" w:type="dxa"/>
            <w:vAlign w:val="bottom"/>
            <w:gridSpan w:val="2"/>
          </w:tcPr>
          <w:p>
            <w:pPr>
              <w:spacing w:after="0" w:line="20" w:lineRule="exact"/>
              <w:rPr>
                <w:sz w:val="1"/>
                <w:szCs w:val="1"/>
                <w:color w:val="auto"/>
              </w:rPr>
            </w:pPr>
          </w:p>
        </w:tc>
        <w:tc>
          <w:tcPr>
            <w:tcW w:w="170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37"/>
        </w:trPr>
        <w:tc>
          <w:tcPr>
            <w:tcW w:w="10820" w:type="dxa"/>
            <w:vAlign w:val="bottom"/>
            <w:gridSpan w:val="8"/>
          </w:tcPr>
          <w:p>
            <w:pPr>
              <w:spacing w:after="0"/>
              <w:rPr>
                <w:rFonts w:ascii="Arial" w:cs="Arial" w:eastAsia="Arial" w:hAnsi="Arial"/>
                <w:sz w:val="18"/>
                <w:szCs w:val="18"/>
                <w:color w:val="0000EE"/>
              </w:rPr>
            </w:pPr>
            <w:hyperlink w:anchor="page76">
              <w:r>
                <w:rPr>
                  <w:rFonts w:ascii="Arial" w:cs="Arial" w:eastAsia="Arial" w:hAnsi="Arial"/>
                  <w:sz w:val="18"/>
                  <w:szCs w:val="18"/>
                  <w:color w:val="0000EE"/>
                </w:rPr>
                <w:t>Consolidated Statements of Stockholders’ Equity (Deficit) for the Years Ended December 31, 2019, 2018 and 2017</w:t>
              </w:r>
            </w:hyperlink>
          </w:p>
        </w:tc>
        <w:tc>
          <w:tcPr>
            <w:tcW w:w="560" w:type="dxa"/>
            <w:vAlign w:val="bottom"/>
            <w:gridSpan w:val="3"/>
          </w:tcPr>
          <w:p>
            <w:pPr>
              <w:jc w:val="right"/>
              <w:ind w:right="20"/>
              <w:spacing w:after="0"/>
              <w:rPr>
                <w:rFonts w:ascii="Arial" w:cs="Arial" w:eastAsia="Arial" w:hAnsi="Arial"/>
                <w:sz w:val="18"/>
                <w:szCs w:val="18"/>
                <w:color w:val="0000EE"/>
              </w:rPr>
            </w:pPr>
            <w:hyperlink w:anchor="page76">
              <w:r>
                <w:rPr>
                  <w:rFonts w:ascii="Arial" w:cs="Arial" w:eastAsia="Arial" w:hAnsi="Arial"/>
                  <w:sz w:val="18"/>
                  <w:szCs w:val="18"/>
                  <w:color w:val="0000EE"/>
                </w:rPr>
                <w:t>76</w:t>
              </w:r>
            </w:hyperlink>
          </w:p>
        </w:tc>
      </w:tr>
      <w:tr>
        <w:trPr>
          <w:trHeight w:val="20"/>
        </w:trPr>
        <w:tc>
          <w:tcPr>
            <w:tcW w:w="3500" w:type="dxa"/>
            <w:vAlign w:val="bottom"/>
            <w:shd w:val="clear" w:color="auto" w:fill="0000EE"/>
          </w:tcPr>
          <w:p>
            <w:pPr>
              <w:spacing w:after="0" w:line="20" w:lineRule="exact"/>
              <w:rPr>
                <w:sz w:val="1"/>
                <w:szCs w:val="1"/>
                <w:color w:val="auto"/>
              </w:rPr>
            </w:pPr>
          </w:p>
        </w:tc>
        <w:tc>
          <w:tcPr>
            <w:tcW w:w="5620" w:type="dxa"/>
            <w:vAlign w:val="bottom"/>
            <w:gridSpan w:val="6"/>
            <w:shd w:val="clear" w:color="auto" w:fill="0000EE"/>
          </w:tcPr>
          <w:p>
            <w:pPr>
              <w:spacing w:after="0" w:line="20" w:lineRule="exact"/>
              <w:rPr>
                <w:sz w:val="1"/>
                <w:szCs w:val="1"/>
                <w:color w:val="auto"/>
              </w:rPr>
            </w:pPr>
          </w:p>
        </w:tc>
        <w:tc>
          <w:tcPr>
            <w:tcW w:w="170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37"/>
        </w:trPr>
        <w:tc>
          <w:tcPr>
            <w:tcW w:w="3500" w:type="dxa"/>
            <w:vAlign w:val="bottom"/>
          </w:tcPr>
          <w:p>
            <w:pPr>
              <w:spacing w:after="0"/>
              <w:rPr>
                <w:rFonts w:ascii="Arial" w:cs="Arial" w:eastAsia="Arial" w:hAnsi="Arial"/>
                <w:sz w:val="18"/>
                <w:szCs w:val="18"/>
                <w:color w:val="0000EE"/>
                <w:w w:val="99"/>
              </w:rPr>
            </w:pPr>
            <w:hyperlink w:anchor="page77">
              <w:r>
                <w:rPr>
                  <w:rFonts w:ascii="Arial" w:cs="Arial" w:eastAsia="Arial" w:hAnsi="Arial"/>
                  <w:sz w:val="18"/>
                  <w:szCs w:val="18"/>
                  <w:color w:val="0000EE"/>
                  <w:w w:val="99"/>
                </w:rPr>
                <w:t>Notes to Consolidated Financial Statements</w:t>
              </w:r>
            </w:hyperlink>
          </w:p>
        </w:tc>
        <w:tc>
          <w:tcPr>
            <w:tcW w:w="5620" w:type="dxa"/>
            <w:vAlign w:val="bottom"/>
            <w:gridSpan w:val="6"/>
          </w:tcPr>
          <w:p>
            <w:pPr>
              <w:spacing w:after="0"/>
              <w:rPr>
                <w:sz w:val="20"/>
                <w:szCs w:val="20"/>
                <w:color w:val="auto"/>
              </w:rPr>
            </w:pPr>
          </w:p>
        </w:tc>
        <w:tc>
          <w:tcPr>
            <w:tcW w:w="1700" w:type="dxa"/>
            <w:vAlign w:val="bottom"/>
          </w:tcPr>
          <w:p>
            <w:pPr>
              <w:spacing w:after="0"/>
              <w:rPr>
                <w:sz w:val="20"/>
                <w:szCs w:val="20"/>
                <w:color w:val="auto"/>
              </w:rPr>
            </w:pPr>
          </w:p>
        </w:tc>
        <w:tc>
          <w:tcPr>
            <w:tcW w:w="560" w:type="dxa"/>
            <w:vAlign w:val="bottom"/>
            <w:gridSpan w:val="3"/>
          </w:tcPr>
          <w:p>
            <w:pPr>
              <w:jc w:val="right"/>
              <w:ind w:right="20"/>
              <w:spacing w:after="0"/>
              <w:rPr>
                <w:rFonts w:ascii="Arial" w:cs="Arial" w:eastAsia="Arial" w:hAnsi="Arial"/>
                <w:sz w:val="18"/>
                <w:szCs w:val="18"/>
                <w:color w:val="0000EE"/>
              </w:rPr>
            </w:pPr>
            <w:hyperlink w:anchor="page77">
              <w:r>
                <w:rPr>
                  <w:rFonts w:ascii="Arial" w:cs="Arial" w:eastAsia="Arial" w:hAnsi="Arial"/>
                  <w:sz w:val="18"/>
                  <w:szCs w:val="18"/>
                  <w:color w:val="0000EE"/>
                </w:rPr>
                <w:t>77</w:t>
              </w:r>
            </w:hyperlink>
          </w:p>
        </w:tc>
      </w:tr>
      <w:tr>
        <w:trPr>
          <w:trHeight w:val="20"/>
        </w:trPr>
        <w:tc>
          <w:tcPr>
            <w:tcW w:w="3500" w:type="dxa"/>
            <w:vAlign w:val="bottom"/>
            <w:shd w:val="clear" w:color="auto" w:fill="0000EE"/>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7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70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bl>
    <w:p>
      <w:pPr>
        <w:spacing w:after="0" w:line="202" w:lineRule="exact"/>
        <w:rPr>
          <w:sz w:val="20"/>
          <w:szCs w:val="20"/>
          <w:color w:val="auto"/>
        </w:rPr>
      </w:pPr>
    </w:p>
    <w:p>
      <w:pPr>
        <w:ind w:left="220"/>
        <w:spacing w:after="0"/>
        <w:rPr>
          <w:sz w:val="20"/>
          <w:szCs w:val="20"/>
          <w:color w:val="auto"/>
        </w:rPr>
      </w:pPr>
      <w:r>
        <w:rPr>
          <w:rFonts w:ascii="Arial" w:cs="Arial" w:eastAsia="Arial" w:hAnsi="Arial"/>
          <w:sz w:val="18"/>
          <w:szCs w:val="18"/>
          <w:color w:val="auto"/>
        </w:rPr>
        <w:t>The following consolidated financial statements of American Airlines, Inc. and Independent Auditors’ Report are filed as part of this report:</w:t>
      </w:r>
    </w:p>
    <w:p>
      <w:pPr>
        <w:spacing w:after="0" w:line="321" w:lineRule="exact"/>
        <w:rPr>
          <w:sz w:val="20"/>
          <w:szCs w:val="20"/>
          <w:color w:val="auto"/>
        </w:rPr>
      </w:pPr>
    </w:p>
    <w:tbl>
      <w:tblPr>
        <w:tblLayout w:type="fixed"/>
        <w:tblInd w:w="40" w:type="dxa"/>
        <w:tblCellMar>
          <w:top w:w="0" w:type="dxa"/>
          <w:left w:w="0" w:type="dxa"/>
          <w:bottom w:w="0" w:type="dxa"/>
          <w:right w:w="0" w:type="dxa"/>
        </w:tblCellMar>
      </w:tblPr>
      <w:tr>
        <w:trPr>
          <w:trHeight w:val="196"/>
        </w:trPr>
        <w:tc>
          <w:tcPr>
            <w:tcW w:w="350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27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2100" w:type="dxa"/>
            <w:vAlign w:val="bottom"/>
          </w:tcPr>
          <w:p>
            <w:pPr>
              <w:spacing w:after="0"/>
              <w:rPr>
                <w:sz w:val="17"/>
                <w:szCs w:val="17"/>
                <w:color w:val="auto"/>
              </w:rPr>
            </w:pPr>
          </w:p>
        </w:tc>
        <w:tc>
          <w:tcPr>
            <w:tcW w:w="560" w:type="dxa"/>
            <w:vAlign w:val="bottom"/>
            <w:tcBorders>
              <w:bottom w:val="single" w:sz="8" w:color="435363"/>
            </w:tcBorders>
            <w:gridSpan w:val="3"/>
          </w:tcPr>
          <w:p>
            <w:pPr>
              <w:ind w:left="100"/>
              <w:spacing w:after="0"/>
              <w:rPr>
                <w:sz w:val="20"/>
                <w:szCs w:val="20"/>
                <w:color w:val="auto"/>
              </w:rPr>
            </w:pPr>
            <w:r>
              <w:rPr>
                <w:rFonts w:ascii="Arial" w:cs="Arial" w:eastAsia="Arial" w:hAnsi="Arial"/>
                <w:sz w:val="14"/>
                <w:szCs w:val="14"/>
                <w:b w:val="1"/>
                <w:bCs w:val="1"/>
                <w:color w:val="auto"/>
              </w:rPr>
              <w:t>Page</w:t>
            </w:r>
          </w:p>
        </w:tc>
      </w:tr>
      <w:tr>
        <w:trPr>
          <w:trHeight w:val="202"/>
        </w:trPr>
        <w:tc>
          <w:tcPr>
            <w:tcW w:w="4600" w:type="dxa"/>
            <w:vAlign w:val="bottom"/>
            <w:gridSpan w:val="2"/>
          </w:tcPr>
          <w:p>
            <w:pPr>
              <w:spacing w:after="0" w:line="202" w:lineRule="exact"/>
              <w:rPr>
                <w:rFonts w:ascii="Arial" w:cs="Arial" w:eastAsia="Arial" w:hAnsi="Arial"/>
                <w:sz w:val="18"/>
                <w:szCs w:val="18"/>
                <w:color w:val="0000EE"/>
                <w:w w:val="99"/>
              </w:rPr>
            </w:pPr>
            <w:hyperlink w:anchor="page115">
              <w:r>
                <w:rPr>
                  <w:rFonts w:ascii="Arial" w:cs="Arial" w:eastAsia="Arial" w:hAnsi="Arial"/>
                  <w:sz w:val="18"/>
                  <w:szCs w:val="18"/>
                  <w:color w:val="0000EE"/>
                  <w:w w:val="99"/>
                </w:rPr>
                <w:t>Report of Independent Registered Public Accounting Firm</w:t>
              </w:r>
            </w:hyperlink>
          </w:p>
        </w:tc>
        <w:tc>
          <w:tcPr>
            <w:tcW w:w="6220" w:type="dxa"/>
            <w:vAlign w:val="bottom"/>
            <w:gridSpan w:val="6"/>
          </w:tcPr>
          <w:p>
            <w:pPr>
              <w:spacing w:after="0"/>
              <w:rPr>
                <w:sz w:val="17"/>
                <w:szCs w:val="17"/>
                <w:color w:val="auto"/>
              </w:rPr>
            </w:pPr>
          </w:p>
        </w:tc>
        <w:tc>
          <w:tcPr>
            <w:tcW w:w="560" w:type="dxa"/>
            <w:vAlign w:val="bottom"/>
            <w:gridSpan w:val="3"/>
          </w:tcPr>
          <w:p>
            <w:pPr>
              <w:jc w:val="right"/>
              <w:ind w:right="20"/>
              <w:spacing w:after="0" w:line="202" w:lineRule="exact"/>
              <w:rPr>
                <w:rFonts w:ascii="Arial" w:cs="Arial" w:eastAsia="Arial" w:hAnsi="Arial"/>
                <w:sz w:val="18"/>
                <w:szCs w:val="18"/>
                <w:color w:val="0000EE"/>
              </w:rPr>
            </w:pPr>
            <w:hyperlink w:anchor="page115">
              <w:r>
                <w:rPr>
                  <w:rFonts w:ascii="Arial" w:cs="Arial" w:eastAsia="Arial" w:hAnsi="Arial"/>
                  <w:sz w:val="18"/>
                  <w:szCs w:val="18"/>
                  <w:color w:val="0000EE"/>
                </w:rPr>
                <w:t>115</w:t>
              </w:r>
            </w:hyperlink>
          </w:p>
        </w:tc>
      </w:tr>
      <w:tr>
        <w:trPr>
          <w:trHeight w:val="20"/>
        </w:trPr>
        <w:tc>
          <w:tcPr>
            <w:tcW w:w="3500" w:type="dxa"/>
            <w:vAlign w:val="bottom"/>
            <w:shd w:val="clear" w:color="auto" w:fill="0000EE"/>
          </w:tcPr>
          <w:p>
            <w:pPr>
              <w:spacing w:after="0" w:line="20" w:lineRule="exact"/>
              <w:rPr>
                <w:sz w:val="1"/>
                <w:szCs w:val="1"/>
                <w:color w:val="auto"/>
              </w:rPr>
            </w:pPr>
          </w:p>
        </w:tc>
        <w:tc>
          <w:tcPr>
            <w:tcW w:w="1100" w:type="dxa"/>
            <w:vAlign w:val="bottom"/>
            <w:shd w:val="clear" w:color="auto" w:fill="0000EE"/>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7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1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37"/>
        </w:trPr>
        <w:tc>
          <w:tcPr>
            <w:tcW w:w="10820" w:type="dxa"/>
            <w:vAlign w:val="bottom"/>
            <w:gridSpan w:val="8"/>
          </w:tcPr>
          <w:p>
            <w:pPr>
              <w:spacing w:after="0"/>
              <w:rPr>
                <w:rFonts w:ascii="Arial" w:cs="Arial" w:eastAsia="Arial" w:hAnsi="Arial"/>
                <w:sz w:val="18"/>
                <w:szCs w:val="18"/>
                <w:color w:val="0000EE"/>
              </w:rPr>
            </w:pPr>
            <w:hyperlink w:anchor="page117">
              <w:r>
                <w:rPr>
                  <w:rFonts w:ascii="Arial" w:cs="Arial" w:eastAsia="Arial" w:hAnsi="Arial"/>
                  <w:sz w:val="18"/>
                  <w:szCs w:val="18"/>
                  <w:color w:val="0000EE"/>
                </w:rPr>
                <w:t>Consolidated Statements of Operations for the Years Ended December 31, 2019, 2018 and 2017</w:t>
              </w:r>
            </w:hyperlink>
          </w:p>
        </w:tc>
        <w:tc>
          <w:tcPr>
            <w:tcW w:w="560" w:type="dxa"/>
            <w:vAlign w:val="bottom"/>
            <w:gridSpan w:val="3"/>
          </w:tcPr>
          <w:p>
            <w:pPr>
              <w:jc w:val="right"/>
              <w:ind w:right="20"/>
              <w:spacing w:after="0"/>
              <w:rPr>
                <w:rFonts w:ascii="Arial" w:cs="Arial" w:eastAsia="Arial" w:hAnsi="Arial"/>
                <w:sz w:val="18"/>
                <w:szCs w:val="18"/>
                <w:color w:val="0000EE"/>
              </w:rPr>
            </w:pPr>
            <w:hyperlink w:anchor="page117">
              <w:r>
                <w:rPr>
                  <w:rFonts w:ascii="Arial" w:cs="Arial" w:eastAsia="Arial" w:hAnsi="Arial"/>
                  <w:sz w:val="18"/>
                  <w:szCs w:val="18"/>
                  <w:color w:val="0000EE"/>
                </w:rPr>
                <w:t>117</w:t>
              </w:r>
            </w:hyperlink>
          </w:p>
        </w:tc>
      </w:tr>
      <w:tr>
        <w:trPr>
          <w:trHeight w:val="20"/>
        </w:trPr>
        <w:tc>
          <w:tcPr>
            <w:tcW w:w="3500" w:type="dxa"/>
            <w:vAlign w:val="bottom"/>
            <w:shd w:val="clear" w:color="auto" w:fill="0000EE"/>
          </w:tcPr>
          <w:p>
            <w:pPr>
              <w:spacing w:after="0" w:line="20" w:lineRule="exact"/>
              <w:rPr>
                <w:sz w:val="1"/>
                <w:szCs w:val="1"/>
                <w:color w:val="auto"/>
              </w:rPr>
            </w:pPr>
          </w:p>
        </w:tc>
        <w:tc>
          <w:tcPr>
            <w:tcW w:w="1480" w:type="dxa"/>
            <w:vAlign w:val="bottom"/>
            <w:gridSpan w:val="2"/>
            <w:shd w:val="clear" w:color="auto" w:fill="0000EE"/>
          </w:tcPr>
          <w:p>
            <w:pPr>
              <w:spacing w:after="0" w:line="20" w:lineRule="exact"/>
              <w:rPr>
                <w:sz w:val="1"/>
                <w:szCs w:val="1"/>
                <w:color w:val="auto"/>
              </w:rPr>
            </w:pPr>
          </w:p>
        </w:tc>
        <w:tc>
          <w:tcPr>
            <w:tcW w:w="2720" w:type="dxa"/>
            <w:vAlign w:val="bottom"/>
            <w:shd w:val="clear" w:color="auto" w:fill="0000EE"/>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1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37"/>
        </w:trPr>
        <w:tc>
          <w:tcPr>
            <w:tcW w:w="10820" w:type="dxa"/>
            <w:vAlign w:val="bottom"/>
            <w:gridSpan w:val="8"/>
          </w:tcPr>
          <w:p>
            <w:pPr>
              <w:spacing w:after="0"/>
              <w:rPr>
                <w:rFonts w:ascii="Arial" w:cs="Arial" w:eastAsia="Arial" w:hAnsi="Arial"/>
                <w:sz w:val="18"/>
                <w:szCs w:val="18"/>
                <w:color w:val="0000EE"/>
              </w:rPr>
            </w:pPr>
            <w:hyperlink w:anchor="page118">
              <w:r>
                <w:rPr>
                  <w:rFonts w:ascii="Arial" w:cs="Arial" w:eastAsia="Arial" w:hAnsi="Arial"/>
                  <w:sz w:val="18"/>
                  <w:szCs w:val="18"/>
                  <w:color w:val="0000EE"/>
                </w:rPr>
                <w:t>Consolidated Statements of Comprehensive Income for the Years Ended December 31, 2019, 2018 and 2017</w:t>
              </w:r>
            </w:hyperlink>
          </w:p>
        </w:tc>
        <w:tc>
          <w:tcPr>
            <w:tcW w:w="560" w:type="dxa"/>
            <w:vAlign w:val="bottom"/>
            <w:gridSpan w:val="3"/>
          </w:tcPr>
          <w:p>
            <w:pPr>
              <w:jc w:val="right"/>
              <w:ind w:right="20"/>
              <w:spacing w:after="0"/>
              <w:rPr>
                <w:rFonts w:ascii="Arial" w:cs="Arial" w:eastAsia="Arial" w:hAnsi="Arial"/>
                <w:sz w:val="18"/>
                <w:szCs w:val="18"/>
                <w:color w:val="0000EE"/>
              </w:rPr>
            </w:pPr>
            <w:hyperlink w:anchor="page118">
              <w:r>
                <w:rPr>
                  <w:rFonts w:ascii="Arial" w:cs="Arial" w:eastAsia="Arial" w:hAnsi="Arial"/>
                  <w:sz w:val="18"/>
                  <w:szCs w:val="18"/>
                  <w:color w:val="0000EE"/>
                </w:rPr>
                <w:t>118</w:t>
              </w:r>
            </w:hyperlink>
          </w:p>
        </w:tc>
      </w:tr>
      <w:tr>
        <w:trPr>
          <w:trHeight w:val="20"/>
        </w:trPr>
        <w:tc>
          <w:tcPr>
            <w:tcW w:w="3500" w:type="dxa"/>
            <w:vAlign w:val="bottom"/>
            <w:shd w:val="clear" w:color="auto" w:fill="0000EE"/>
          </w:tcPr>
          <w:p>
            <w:pPr>
              <w:spacing w:after="0" w:line="20" w:lineRule="exact"/>
              <w:rPr>
                <w:sz w:val="1"/>
                <w:szCs w:val="1"/>
                <w:color w:val="auto"/>
              </w:rPr>
            </w:pPr>
          </w:p>
        </w:tc>
        <w:tc>
          <w:tcPr>
            <w:tcW w:w="1480" w:type="dxa"/>
            <w:vAlign w:val="bottom"/>
            <w:gridSpan w:val="2"/>
            <w:shd w:val="clear" w:color="auto" w:fill="0000EE"/>
          </w:tcPr>
          <w:p>
            <w:pPr>
              <w:spacing w:after="0" w:line="20" w:lineRule="exact"/>
              <w:rPr>
                <w:sz w:val="1"/>
                <w:szCs w:val="1"/>
                <w:color w:val="auto"/>
              </w:rPr>
            </w:pPr>
          </w:p>
        </w:tc>
        <w:tc>
          <w:tcPr>
            <w:tcW w:w="2780" w:type="dxa"/>
            <w:vAlign w:val="bottom"/>
            <w:gridSpan w:val="2"/>
            <w:shd w:val="clear" w:color="auto" w:fill="0000EE"/>
          </w:tcPr>
          <w:p>
            <w:pPr>
              <w:spacing w:after="0" w:line="20" w:lineRule="exact"/>
              <w:rPr>
                <w:sz w:val="1"/>
                <w:szCs w:val="1"/>
                <w:color w:val="auto"/>
              </w:rPr>
            </w:pPr>
          </w:p>
        </w:tc>
        <w:tc>
          <w:tcPr>
            <w:tcW w:w="700" w:type="dxa"/>
            <w:vAlign w:val="bottom"/>
            <w:shd w:val="clear" w:color="auto" w:fill="0000EE"/>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21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37"/>
        </w:trPr>
        <w:tc>
          <w:tcPr>
            <w:tcW w:w="8720" w:type="dxa"/>
            <w:vAlign w:val="bottom"/>
            <w:gridSpan w:val="7"/>
          </w:tcPr>
          <w:p>
            <w:pPr>
              <w:spacing w:after="0"/>
              <w:rPr>
                <w:rFonts w:ascii="Arial" w:cs="Arial" w:eastAsia="Arial" w:hAnsi="Arial"/>
                <w:sz w:val="18"/>
                <w:szCs w:val="18"/>
                <w:color w:val="0000EE"/>
              </w:rPr>
            </w:pPr>
            <w:hyperlink w:anchor="page119">
              <w:r>
                <w:rPr>
                  <w:rFonts w:ascii="Arial" w:cs="Arial" w:eastAsia="Arial" w:hAnsi="Arial"/>
                  <w:sz w:val="18"/>
                  <w:szCs w:val="18"/>
                  <w:color w:val="0000EE"/>
                </w:rPr>
                <w:t>Consolidated Balance Sheets at December 31, 2019 and 2018</w:t>
              </w:r>
            </w:hyperlink>
          </w:p>
        </w:tc>
        <w:tc>
          <w:tcPr>
            <w:tcW w:w="2100" w:type="dxa"/>
            <w:vAlign w:val="bottom"/>
          </w:tcPr>
          <w:p>
            <w:pPr>
              <w:spacing w:after="0"/>
              <w:rPr>
                <w:sz w:val="20"/>
                <w:szCs w:val="20"/>
                <w:color w:val="auto"/>
              </w:rPr>
            </w:pPr>
          </w:p>
        </w:tc>
        <w:tc>
          <w:tcPr>
            <w:tcW w:w="560" w:type="dxa"/>
            <w:vAlign w:val="bottom"/>
            <w:gridSpan w:val="3"/>
          </w:tcPr>
          <w:p>
            <w:pPr>
              <w:jc w:val="right"/>
              <w:ind w:right="20"/>
              <w:spacing w:after="0"/>
              <w:rPr>
                <w:rFonts w:ascii="Arial" w:cs="Arial" w:eastAsia="Arial" w:hAnsi="Arial"/>
                <w:sz w:val="18"/>
                <w:szCs w:val="18"/>
                <w:color w:val="0000EE"/>
              </w:rPr>
            </w:pPr>
            <w:hyperlink w:anchor="page119">
              <w:r>
                <w:rPr>
                  <w:rFonts w:ascii="Arial" w:cs="Arial" w:eastAsia="Arial" w:hAnsi="Arial"/>
                  <w:sz w:val="18"/>
                  <w:szCs w:val="18"/>
                  <w:color w:val="0000EE"/>
                </w:rPr>
                <w:t>119</w:t>
              </w:r>
            </w:hyperlink>
          </w:p>
        </w:tc>
      </w:tr>
      <w:tr>
        <w:trPr>
          <w:trHeight w:val="20"/>
        </w:trPr>
        <w:tc>
          <w:tcPr>
            <w:tcW w:w="3500" w:type="dxa"/>
            <w:vAlign w:val="bottom"/>
            <w:shd w:val="clear" w:color="auto" w:fill="0000EE"/>
          </w:tcPr>
          <w:p>
            <w:pPr>
              <w:spacing w:after="0" w:line="20" w:lineRule="exact"/>
              <w:rPr>
                <w:sz w:val="1"/>
                <w:szCs w:val="1"/>
                <w:color w:val="auto"/>
              </w:rPr>
            </w:pPr>
          </w:p>
        </w:tc>
        <w:tc>
          <w:tcPr>
            <w:tcW w:w="1480" w:type="dxa"/>
            <w:vAlign w:val="bottom"/>
            <w:gridSpan w:val="2"/>
            <w:shd w:val="clear" w:color="auto" w:fill="0000EE"/>
          </w:tcPr>
          <w:p>
            <w:pPr>
              <w:spacing w:after="0" w:line="20" w:lineRule="exact"/>
              <w:rPr>
                <w:sz w:val="1"/>
                <w:szCs w:val="1"/>
                <w:color w:val="auto"/>
              </w:rPr>
            </w:pPr>
          </w:p>
        </w:tc>
        <w:tc>
          <w:tcPr>
            <w:tcW w:w="2780" w:type="dxa"/>
            <w:vAlign w:val="bottom"/>
            <w:gridSpan w:val="2"/>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2360" w:type="dxa"/>
            <w:vAlign w:val="bottom"/>
            <w:gridSpan w:val="2"/>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37"/>
        </w:trPr>
        <w:tc>
          <w:tcPr>
            <w:tcW w:w="10820" w:type="dxa"/>
            <w:vAlign w:val="bottom"/>
            <w:gridSpan w:val="8"/>
          </w:tcPr>
          <w:p>
            <w:pPr>
              <w:spacing w:after="0"/>
              <w:rPr>
                <w:rFonts w:ascii="Arial" w:cs="Arial" w:eastAsia="Arial" w:hAnsi="Arial"/>
                <w:sz w:val="18"/>
                <w:szCs w:val="18"/>
                <w:color w:val="0000EE"/>
              </w:rPr>
            </w:pPr>
            <w:hyperlink w:anchor="page120">
              <w:r>
                <w:rPr>
                  <w:rFonts w:ascii="Arial" w:cs="Arial" w:eastAsia="Arial" w:hAnsi="Arial"/>
                  <w:sz w:val="18"/>
                  <w:szCs w:val="18"/>
                  <w:color w:val="0000EE"/>
                </w:rPr>
                <w:t>Consolidated Statements of Cash Flows for the Years Ended December 31, 2019, 2018 and 2017</w:t>
              </w:r>
            </w:hyperlink>
          </w:p>
        </w:tc>
        <w:tc>
          <w:tcPr>
            <w:tcW w:w="560" w:type="dxa"/>
            <w:vAlign w:val="bottom"/>
            <w:gridSpan w:val="3"/>
          </w:tcPr>
          <w:p>
            <w:pPr>
              <w:jc w:val="right"/>
              <w:ind w:right="20"/>
              <w:spacing w:after="0"/>
              <w:rPr>
                <w:rFonts w:ascii="Arial" w:cs="Arial" w:eastAsia="Arial" w:hAnsi="Arial"/>
                <w:sz w:val="18"/>
                <w:szCs w:val="18"/>
                <w:color w:val="0000EE"/>
              </w:rPr>
            </w:pPr>
            <w:hyperlink w:anchor="page120">
              <w:r>
                <w:rPr>
                  <w:rFonts w:ascii="Arial" w:cs="Arial" w:eastAsia="Arial" w:hAnsi="Arial"/>
                  <w:sz w:val="18"/>
                  <w:szCs w:val="18"/>
                  <w:color w:val="0000EE"/>
                </w:rPr>
                <w:t>120</w:t>
              </w:r>
            </w:hyperlink>
          </w:p>
        </w:tc>
      </w:tr>
      <w:tr>
        <w:trPr>
          <w:trHeight w:val="20"/>
        </w:trPr>
        <w:tc>
          <w:tcPr>
            <w:tcW w:w="3500" w:type="dxa"/>
            <w:vAlign w:val="bottom"/>
            <w:shd w:val="clear" w:color="auto" w:fill="0000EE"/>
          </w:tcPr>
          <w:p>
            <w:pPr>
              <w:spacing w:after="0" w:line="20" w:lineRule="exact"/>
              <w:rPr>
                <w:sz w:val="1"/>
                <w:szCs w:val="1"/>
                <w:color w:val="auto"/>
              </w:rPr>
            </w:pPr>
          </w:p>
        </w:tc>
        <w:tc>
          <w:tcPr>
            <w:tcW w:w="4260" w:type="dxa"/>
            <w:vAlign w:val="bottom"/>
            <w:gridSpan w:val="4"/>
            <w:shd w:val="clear" w:color="auto" w:fill="0000EE"/>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2360" w:type="dxa"/>
            <w:vAlign w:val="bottom"/>
            <w:gridSpan w:val="2"/>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37"/>
        </w:trPr>
        <w:tc>
          <w:tcPr>
            <w:tcW w:w="8460" w:type="dxa"/>
            <w:vAlign w:val="bottom"/>
            <w:gridSpan w:val="6"/>
          </w:tcPr>
          <w:p>
            <w:pPr>
              <w:spacing w:after="0"/>
              <w:rPr>
                <w:rFonts w:ascii="Arial" w:cs="Arial" w:eastAsia="Arial" w:hAnsi="Arial"/>
                <w:sz w:val="18"/>
                <w:szCs w:val="18"/>
                <w:color w:val="0000EE"/>
                <w:w w:val="99"/>
              </w:rPr>
            </w:pPr>
            <w:hyperlink w:anchor="page121">
              <w:r>
                <w:rPr>
                  <w:rFonts w:ascii="Arial" w:cs="Arial" w:eastAsia="Arial" w:hAnsi="Arial"/>
                  <w:sz w:val="18"/>
                  <w:szCs w:val="18"/>
                  <w:color w:val="0000EE"/>
                  <w:w w:val="99"/>
                </w:rPr>
                <w:t>Consolidated Statements of Stockholder’s Equity for the Years Ended December 31, 2019, 2018 and 2017</w:t>
              </w:r>
            </w:hyperlink>
          </w:p>
        </w:tc>
        <w:tc>
          <w:tcPr>
            <w:tcW w:w="2360" w:type="dxa"/>
            <w:vAlign w:val="bottom"/>
            <w:gridSpan w:val="2"/>
          </w:tcPr>
          <w:p>
            <w:pPr>
              <w:spacing w:after="0"/>
              <w:rPr>
                <w:sz w:val="20"/>
                <w:szCs w:val="20"/>
                <w:color w:val="auto"/>
              </w:rPr>
            </w:pPr>
          </w:p>
        </w:tc>
        <w:tc>
          <w:tcPr>
            <w:tcW w:w="560" w:type="dxa"/>
            <w:vAlign w:val="bottom"/>
            <w:gridSpan w:val="3"/>
          </w:tcPr>
          <w:p>
            <w:pPr>
              <w:jc w:val="right"/>
              <w:ind w:right="20"/>
              <w:spacing w:after="0"/>
              <w:rPr>
                <w:rFonts w:ascii="Arial" w:cs="Arial" w:eastAsia="Arial" w:hAnsi="Arial"/>
                <w:sz w:val="18"/>
                <w:szCs w:val="18"/>
                <w:color w:val="0000EE"/>
              </w:rPr>
            </w:pPr>
            <w:hyperlink w:anchor="page121">
              <w:r>
                <w:rPr>
                  <w:rFonts w:ascii="Arial" w:cs="Arial" w:eastAsia="Arial" w:hAnsi="Arial"/>
                  <w:sz w:val="18"/>
                  <w:szCs w:val="18"/>
                  <w:color w:val="0000EE"/>
                </w:rPr>
                <w:t>121</w:t>
              </w:r>
            </w:hyperlink>
          </w:p>
        </w:tc>
      </w:tr>
      <w:tr>
        <w:trPr>
          <w:trHeight w:val="20"/>
        </w:trPr>
        <w:tc>
          <w:tcPr>
            <w:tcW w:w="3500" w:type="dxa"/>
            <w:vAlign w:val="bottom"/>
            <w:shd w:val="clear" w:color="auto" w:fill="0000EE"/>
          </w:tcPr>
          <w:p>
            <w:pPr>
              <w:spacing w:after="0" w:line="20" w:lineRule="exact"/>
              <w:rPr>
                <w:sz w:val="1"/>
                <w:szCs w:val="1"/>
                <w:color w:val="auto"/>
              </w:rPr>
            </w:pPr>
          </w:p>
        </w:tc>
        <w:tc>
          <w:tcPr>
            <w:tcW w:w="4960" w:type="dxa"/>
            <w:vAlign w:val="bottom"/>
            <w:gridSpan w:val="5"/>
            <w:shd w:val="clear" w:color="auto" w:fill="0000EE"/>
          </w:tcPr>
          <w:p>
            <w:pPr>
              <w:spacing w:after="0" w:line="20" w:lineRule="exact"/>
              <w:rPr>
                <w:sz w:val="1"/>
                <w:szCs w:val="1"/>
                <w:color w:val="auto"/>
              </w:rPr>
            </w:pPr>
          </w:p>
        </w:tc>
        <w:tc>
          <w:tcPr>
            <w:tcW w:w="2360" w:type="dxa"/>
            <w:vAlign w:val="bottom"/>
            <w:gridSpan w:val="2"/>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37"/>
        </w:trPr>
        <w:tc>
          <w:tcPr>
            <w:tcW w:w="3500" w:type="dxa"/>
            <w:vAlign w:val="bottom"/>
          </w:tcPr>
          <w:p>
            <w:pPr>
              <w:spacing w:after="0"/>
              <w:rPr>
                <w:rFonts w:ascii="Arial" w:cs="Arial" w:eastAsia="Arial" w:hAnsi="Arial"/>
                <w:sz w:val="18"/>
                <w:szCs w:val="18"/>
                <w:color w:val="0000EE"/>
                <w:w w:val="99"/>
              </w:rPr>
            </w:pPr>
            <w:hyperlink w:anchor="page122">
              <w:r>
                <w:rPr>
                  <w:rFonts w:ascii="Arial" w:cs="Arial" w:eastAsia="Arial" w:hAnsi="Arial"/>
                  <w:sz w:val="18"/>
                  <w:szCs w:val="18"/>
                  <w:color w:val="0000EE"/>
                  <w:w w:val="99"/>
                </w:rPr>
                <w:t>Notes to Consolidated Financial Statements</w:t>
              </w:r>
            </w:hyperlink>
          </w:p>
        </w:tc>
        <w:tc>
          <w:tcPr>
            <w:tcW w:w="4960" w:type="dxa"/>
            <w:vAlign w:val="bottom"/>
            <w:gridSpan w:val="5"/>
          </w:tcPr>
          <w:p>
            <w:pPr>
              <w:spacing w:after="0"/>
              <w:rPr>
                <w:sz w:val="20"/>
                <w:szCs w:val="20"/>
                <w:color w:val="auto"/>
              </w:rPr>
            </w:pPr>
          </w:p>
        </w:tc>
        <w:tc>
          <w:tcPr>
            <w:tcW w:w="2360" w:type="dxa"/>
            <w:vAlign w:val="bottom"/>
            <w:gridSpan w:val="2"/>
          </w:tcPr>
          <w:p>
            <w:pPr>
              <w:spacing w:after="0"/>
              <w:rPr>
                <w:sz w:val="20"/>
                <w:szCs w:val="20"/>
                <w:color w:val="auto"/>
              </w:rPr>
            </w:pPr>
          </w:p>
        </w:tc>
        <w:tc>
          <w:tcPr>
            <w:tcW w:w="560" w:type="dxa"/>
            <w:vAlign w:val="bottom"/>
            <w:gridSpan w:val="3"/>
          </w:tcPr>
          <w:p>
            <w:pPr>
              <w:jc w:val="right"/>
              <w:ind w:right="20"/>
              <w:spacing w:after="0"/>
              <w:rPr>
                <w:rFonts w:ascii="Arial" w:cs="Arial" w:eastAsia="Arial" w:hAnsi="Arial"/>
                <w:sz w:val="18"/>
                <w:szCs w:val="18"/>
                <w:color w:val="0000EE"/>
              </w:rPr>
            </w:pPr>
            <w:hyperlink w:anchor="page122">
              <w:r>
                <w:rPr>
                  <w:rFonts w:ascii="Arial" w:cs="Arial" w:eastAsia="Arial" w:hAnsi="Arial"/>
                  <w:sz w:val="18"/>
                  <w:szCs w:val="18"/>
                  <w:color w:val="0000EE"/>
                </w:rPr>
                <w:t>122</w:t>
              </w:r>
            </w:hyperlink>
          </w:p>
        </w:tc>
      </w:tr>
      <w:tr>
        <w:trPr>
          <w:trHeight w:val="20"/>
        </w:trPr>
        <w:tc>
          <w:tcPr>
            <w:tcW w:w="3500" w:type="dxa"/>
            <w:vAlign w:val="bottom"/>
            <w:shd w:val="clear" w:color="auto" w:fill="0000EE"/>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7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1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bl>
    <w:p>
      <w:pPr>
        <w:spacing w:after="0" w:line="202" w:lineRule="exact"/>
        <w:rPr>
          <w:sz w:val="20"/>
          <w:szCs w:val="20"/>
          <w:color w:val="auto"/>
        </w:rPr>
      </w:pPr>
    </w:p>
    <w:p>
      <w:pPr>
        <w:jc w:val="both"/>
        <w:ind w:right="20" w:firstLine="216"/>
        <w:spacing w:after="0" w:line="262" w:lineRule="auto"/>
        <w:rPr>
          <w:sz w:val="20"/>
          <w:szCs w:val="20"/>
          <w:color w:val="auto"/>
        </w:rPr>
      </w:pPr>
      <w:r>
        <w:rPr>
          <w:rFonts w:ascii="Arial" w:cs="Arial" w:eastAsia="Arial" w:hAnsi="Arial"/>
          <w:sz w:val="18"/>
          <w:szCs w:val="18"/>
          <w:color w:val="auto"/>
        </w:rPr>
        <w:t>Schedules not included have been omitted because they are not applicable or because the required information is included in the Consolidated Financial Statements or notes thereto.</w:t>
      </w:r>
    </w:p>
    <w:p>
      <w:pPr>
        <w:spacing w:after="0" w:line="19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163</w:t>
      </w:r>
    </w:p>
    <w:p>
      <w:pPr>
        <w:sectPr>
          <w:pgSz w:w="11900" w:h="16838" w:orient="portrait"/>
          <w:cols w:equalWidth="0" w:num="1">
            <w:col w:w="11420"/>
          </w:cols>
          <w:pgMar w:left="240" w:top="549" w:right="239" w:bottom="1440" w:gutter="0" w:footer="0" w:header="0"/>
        </w:sectPr>
      </w:pPr>
    </w:p>
    <w:bookmarkStart w:id="163" w:name="page164"/>
    <w:bookmarkEnd w:id="163"/>
    <w:p>
      <w:pPr>
        <w:spacing w:after="0"/>
        <w:rPr>
          <w:sz w:val="20"/>
          <w:szCs w:val="20"/>
          <w:color w:val="auto"/>
        </w:rPr>
      </w:pPr>
      <w:r>
        <w:rPr>
          <w:rFonts w:ascii="Arial" w:cs="Arial" w:eastAsia="Arial" w:hAnsi="Arial"/>
          <w:sz w:val="18"/>
          <w:szCs w:val="18"/>
          <w:b w:val="1"/>
          <w:bCs w:val="1"/>
          <w:color w:val="auto"/>
        </w:rPr>
        <w:t>Exhibits</w:t>
      </w:r>
    </w:p>
    <w:p>
      <w:pPr>
        <w:spacing w:after="0" w:line="112" w:lineRule="exact"/>
        <w:rPr>
          <w:sz w:val="20"/>
          <w:szCs w:val="20"/>
          <w:color w:val="auto"/>
        </w:rPr>
      </w:pPr>
    </w:p>
    <w:p>
      <w:pPr>
        <w:jc w:val="both"/>
        <w:ind w:firstLine="216"/>
        <w:spacing w:after="0" w:line="256" w:lineRule="auto"/>
        <w:rPr>
          <w:sz w:val="20"/>
          <w:szCs w:val="20"/>
          <w:color w:val="auto"/>
        </w:rPr>
      </w:pPr>
      <w:r>
        <w:rPr>
          <w:rFonts w:ascii="Arial" w:cs="Arial" w:eastAsia="Arial" w:hAnsi="Arial"/>
          <w:sz w:val="18"/>
          <w:szCs w:val="18"/>
          <w:color w:val="auto"/>
        </w:rPr>
        <w:t>Exhibits required to be filed by Item 601 of Regulation S-K: Where the amount of securities authorized to be issued under any of our long-term debt agreements does not exceed 10 percent of our assets, pursuant to paragraph (b)(4) of Item 601 of Regulation S-K, in lieu of filing such as an exhibit, we hereby agree to furnish to the Commission upon request a copy of any agreement with respect to such long-term debt.</w:t>
      </w:r>
    </w:p>
    <w:p>
      <w:pPr>
        <w:spacing w:after="0" w:line="136" w:lineRule="exact"/>
        <w:rPr>
          <w:sz w:val="20"/>
          <w:szCs w:val="20"/>
          <w:color w:val="auto"/>
        </w:rPr>
      </w:pPr>
    </w:p>
    <w:tbl>
      <w:tblPr>
        <w:tblLayout w:type="fixed"/>
        <w:tblInd w:w="40" w:type="dxa"/>
        <w:tblCellMar>
          <w:top w:w="0" w:type="dxa"/>
          <w:left w:w="0" w:type="dxa"/>
          <w:bottom w:w="0" w:type="dxa"/>
          <w:right w:w="0" w:type="dxa"/>
        </w:tblCellMar>
      </w:tblPr>
      <w:tr>
        <w:trPr>
          <w:trHeight w:val="162"/>
        </w:trPr>
        <w:tc>
          <w:tcPr>
            <w:tcW w:w="920" w:type="dxa"/>
            <w:vAlign w:val="bottom"/>
            <w:gridSpan w:val="2"/>
          </w:tcPr>
          <w:p>
            <w:pPr>
              <w:spacing w:after="0"/>
              <w:rPr>
                <w:sz w:val="20"/>
                <w:szCs w:val="20"/>
                <w:color w:val="auto"/>
              </w:rPr>
            </w:pPr>
            <w:r>
              <w:rPr>
                <w:rFonts w:ascii="Arial" w:cs="Arial" w:eastAsia="Arial" w:hAnsi="Arial"/>
                <w:sz w:val="14"/>
                <w:szCs w:val="14"/>
                <w:b w:val="1"/>
                <w:bCs w:val="1"/>
                <w:color w:val="auto"/>
              </w:rPr>
              <w:t>Exhibit</w:t>
            </w:r>
          </w:p>
        </w:tc>
        <w:tc>
          <w:tcPr>
            <w:tcW w:w="5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88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2160" w:type="dxa"/>
            <w:vAlign w:val="bottom"/>
          </w:tcPr>
          <w:p>
            <w:pPr>
              <w:spacing w:after="0"/>
              <w:rPr>
                <w:sz w:val="14"/>
                <w:szCs w:val="14"/>
                <w:color w:val="auto"/>
              </w:rPr>
            </w:pPr>
          </w:p>
        </w:tc>
        <w:tc>
          <w:tcPr>
            <w:tcW w:w="20" w:type="dxa"/>
            <w:vAlign w:val="bottom"/>
          </w:tcPr>
          <w:p>
            <w:pPr>
              <w:spacing w:after="0"/>
              <w:rPr>
                <w:sz w:val="14"/>
                <w:szCs w:val="14"/>
                <w:color w:val="auto"/>
              </w:rPr>
            </w:pPr>
          </w:p>
        </w:tc>
      </w:tr>
      <w:tr>
        <w:trPr>
          <w:trHeight w:val="162"/>
        </w:trPr>
        <w:tc>
          <w:tcPr>
            <w:tcW w:w="540" w:type="dxa"/>
            <w:vAlign w:val="bottom"/>
          </w:tcPr>
          <w:p>
            <w:pPr>
              <w:spacing w:after="0"/>
              <w:rPr>
                <w:sz w:val="20"/>
                <w:szCs w:val="20"/>
                <w:color w:val="auto"/>
              </w:rPr>
            </w:pPr>
            <w:r>
              <w:rPr>
                <w:rFonts w:ascii="Arial" w:cs="Arial" w:eastAsia="Arial" w:hAnsi="Arial"/>
                <w:sz w:val="14"/>
                <w:szCs w:val="14"/>
                <w:b w:val="1"/>
                <w:bCs w:val="1"/>
                <w:color w:val="auto"/>
                <w:w w:val="98"/>
              </w:rPr>
              <w:t>Number</w:t>
            </w:r>
          </w:p>
        </w:tc>
        <w:tc>
          <w:tcPr>
            <w:tcW w:w="380" w:type="dxa"/>
            <w:vAlign w:val="bottom"/>
          </w:tcPr>
          <w:p>
            <w:pPr>
              <w:spacing w:after="0"/>
              <w:rPr>
                <w:sz w:val="14"/>
                <w:szCs w:val="14"/>
                <w:color w:val="auto"/>
              </w:rPr>
            </w:pPr>
          </w:p>
        </w:tc>
        <w:tc>
          <w:tcPr>
            <w:tcW w:w="10440" w:type="dxa"/>
            <w:vAlign w:val="bottom"/>
            <w:gridSpan w:val="15"/>
          </w:tcPr>
          <w:p>
            <w:pPr>
              <w:spacing w:after="0"/>
              <w:rPr>
                <w:sz w:val="20"/>
                <w:szCs w:val="20"/>
                <w:color w:val="auto"/>
              </w:rPr>
            </w:pPr>
            <w:r>
              <w:rPr>
                <w:rFonts w:ascii="Arial" w:cs="Arial" w:eastAsia="Arial" w:hAnsi="Arial"/>
                <w:sz w:val="14"/>
                <w:szCs w:val="14"/>
                <w:b w:val="1"/>
                <w:bCs w:val="1"/>
                <w:color w:val="auto"/>
              </w:rPr>
              <w:t>Description</w:t>
            </w:r>
          </w:p>
        </w:tc>
      </w:tr>
      <w:tr>
        <w:trPr>
          <w:trHeight w:val="20"/>
        </w:trPr>
        <w:tc>
          <w:tcPr>
            <w:tcW w:w="540" w:type="dxa"/>
            <w:vAlign w:val="bottom"/>
            <w:shd w:val="clear" w:color="auto" w:fill="000000"/>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88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1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23"/>
        </w:trPr>
        <w:tc>
          <w:tcPr>
            <w:tcW w:w="540" w:type="dxa"/>
            <w:vAlign w:val="bottom"/>
          </w:tcPr>
          <w:p>
            <w:pPr>
              <w:spacing w:after="0"/>
              <w:rPr>
                <w:sz w:val="20"/>
                <w:szCs w:val="20"/>
                <w:color w:val="auto"/>
              </w:rPr>
            </w:pPr>
            <w:r>
              <w:rPr>
                <w:rFonts w:ascii="Arial" w:cs="Arial" w:eastAsia="Arial" w:hAnsi="Arial"/>
                <w:sz w:val="18"/>
                <w:szCs w:val="18"/>
                <w:color w:val="auto"/>
              </w:rPr>
              <w:t>2.1</w:t>
            </w:r>
          </w:p>
        </w:tc>
        <w:tc>
          <w:tcPr>
            <w:tcW w:w="380" w:type="dxa"/>
            <w:vAlign w:val="bottom"/>
          </w:tcPr>
          <w:p>
            <w:pPr>
              <w:spacing w:after="0"/>
              <w:rPr>
                <w:sz w:val="19"/>
                <w:szCs w:val="19"/>
                <w:color w:val="auto"/>
              </w:rPr>
            </w:pPr>
          </w:p>
        </w:tc>
        <w:tc>
          <w:tcPr>
            <w:tcW w:w="10440" w:type="dxa"/>
            <w:vAlign w:val="bottom"/>
            <w:tcBorders>
              <w:bottom w:val="single" w:sz="8" w:color="0000FF"/>
            </w:tcBorders>
            <w:gridSpan w:val="15"/>
          </w:tcPr>
          <w:p>
            <w:pPr>
              <w:spacing w:after="0"/>
              <w:rPr>
                <w:rFonts w:ascii="Arial" w:cs="Arial" w:eastAsia="Arial" w:hAnsi="Arial"/>
                <w:sz w:val="18"/>
                <w:szCs w:val="18"/>
                <w:color w:val="0000FF"/>
              </w:rPr>
            </w:pPr>
            <w:hyperlink r:id="rId94">
              <w:r>
                <w:rPr>
                  <w:rFonts w:ascii="Arial" w:cs="Arial" w:eastAsia="Arial" w:hAnsi="Arial"/>
                  <w:sz w:val="18"/>
                  <w:szCs w:val="18"/>
                  <w:color w:val="0000FF"/>
                </w:rPr>
                <w:t>Confirmation Order and Plan (incorporated by reference to Exhibit 2.1 to AMR’s Current Report on Form 8-K filed on October 23,</w:t>
              </w:r>
            </w:hyperlink>
          </w:p>
        </w:tc>
      </w:tr>
      <w:tr>
        <w:trPr>
          <w:trHeight w:val="183"/>
        </w:trPr>
        <w:tc>
          <w:tcPr>
            <w:tcW w:w="54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10440" w:type="dxa"/>
            <w:vAlign w:val="bottom"/>
            <w:gridSpan w:val="15"/>
          </w:tcPr>
          <w:p>
            <w:pPr>
              <w:spacing w:after="0" w:line="182" w:lineRule="exact"/>
              <w:rPr>
                <w:rFonts w:ascii="Arial" w:cs="Arial" w:eastAsia="Arial" w:hAnsi="Arial"/>
                <w:sz w:val="18"/>
                <w:szCs w:val="18"/>
                <w:color w:val="0000FF"/>
              </w:rPr>
            </w:pPr>
            <w:hyperlink r:id="rId94">
              <w:r>
                <w:rPr>
                  <w:rFonts w:ascii="Arial" w:cs="Arial" w:eastAsia="Arial" w:hAnsi="Arial"/>
                  <w:sz w:val="18"/>
                  <w:szCs w:val="18"/>
                  <w:color w:val="0000FF"/>
                </w:rPr>
                <w:t>2013 (Commission File No. 1-8400)).</w:t>
              </w:r>
            </w:hyperlink>
          </w:p>
        </w:tc>
      </w:tr>
      <w:tr>
        <w:trPr>
          <w:trHeight w:val="20"/>
        </w:trPr>
        <w:tc>
          <w:tcPr>
            <w:tcW w:w="54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560" w:type="dxa"/>
            <w:vAlign w:val="bottom"/>
            <w:shd w:val="clear" w:color="auto" w:fill="0000FF"/>
          </w:tcPr>
          <w:p>
            <w:pPr>
              <w:spacing w:after="0" w:line="20" w:lineRule="exact"/>
              <w:rPr>
                <w:sz w:val="1"/>
                <w:szCs w:val="1"/>
                <w:color w:val="auto"/>
              </w:rPr>
            </w:pPr>
          </w:p>
        </w:tc>
        <w:tc>
          <w:tcPr>
            <w:tcW w:w="500" w:type="dxa"/>
            <w:vAlign w:val="bottom"/>
            <w:gridSpan w:val="2"/>
            <w:shd w:val="clear" w:color="auto" w:fill="0000FF"/>
          </w:tcPr>
          <w:p>
            <w:pPr>
              <w:spacing w:after="0" w:line="20" w:lineRule="exact"/>
              <w:rPr>
                <w:sz w:val="1"/>
                <w:szCs w:val="1"/>
                <w:color w:val="auto"/>
              </w:rPr>
            </w:pPr>
          </w:p>
        </w:tc>
        <w:tc>
          <w:tcPr>
            <w:tcW w:w="1880" w:type="dxa"/>
            <w:vAlign w:val="bottom"/>
            <w:shd w:val="clear" w:color="auto" w:fill="0000FF"/>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1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37"/>
        </w:trPr>
        <w:tc>
          <w:tcPr>
            <w:tcW w:w="540" w:type="dxa"/>
            <w:vAlign w:val="bottom"/>
          </w:tcPr>
          <w:p>
            <w:pPr>
              <w:spacing w:after="0"/>
              <w:rPr>
                <w:sz w:val="20"/>
                <w:szCs w:val="20"/>
                <w:color w:val="auto"/>
              </w:rPr>
            </w:pPr>
            <w:r>
              <w:rPr>
                <w:rFonts w:ascii="Arial" w:cs="Arial" w:eastAsia="Arial" w:hAnsi="Arial"/>
                <w:sz w:val="18"/>
                <w:szCs w:val="18"/>
                <w:color w:val="auto"/>
              </w:rPr>
              <w:t>2.2</w:t>
            </w:r>
          </w:p>
        </w:tc>
        <w:tc>
          <w:tcPr>
            <w:tcW w:w="380" w:type="dxa"/>
            <w:vAlign w:val="bottom"/>
          </w:tcPr>
          <w:p>
            <w:pPr>
              <w:spacing w:after="0"/>
              <w:rPr>
                <w:sz w:val="20"/>
                <w:szCs w:val="20"/>
                <w:color w:val="auto"/>
              </w:rPr>
            </w:pPr>
          </w:p>
        </w:tc>
        <w:tc>
          <w:tcPr>
            <w:tcW w:w="10440" w:type="dxa"/>
            <w:vAlign w:val="bottom"/>
            <w:gridSpan w:val="15"/>
          </w:tcPr>
          <w:p>
            <w:pPr>
              <w:spacing w:after="0"/>
              <w:rPr>
                <w:rFonts w:ascii="Arial" w:cs="Arial" w:eastAsia="Arial" w:hAnsi="Arial"/>
                <w:sz w:val="18"/>
                <w:szCs w:val="18"/>
                <w:color w:val="0000FF"/>
              </w:rPr>
            </w:pPr>
            <w:hyperlink r:id="rId95">
              <w:r>
                <w:rPr>
                  <w:rFonts w:ascii="Arial" w:cs="Arial" w:eastAsia="Arial" w:hAnsi="Arial"/>
                  <w:sz w:val="18"/>
                  <w:szCs w:val="18"/>
                  <w:color w:val="0000FF"/>
                </w:rPr>
                <w:t>Agreement and Plan of Merger, dated as of December 28, 2015, between American Airlines, Inc. and US Airways, Inc.</w:t>
              </w:r>
            </w:hyperlink>
          </w:p>
        </w:tc>
      </w:tr>
      <w:tr>
        <w:trPr>
          <w:trHeight w:val="20"/>
        </w:trPr>
        <w:tc>
          <w:tcPr>
            <w:tcW w:w="54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560" w:type="dxa"/>
            <w:vAlign w:val="bottom"/>
            <w:shd w:val="clear" w:color="auto" w:fill="0000FF"/>
          </w:tcPr>
          <w:p>
            <w:pPr>
              <w:spacing w:after="0" w:line="20" w:lineRule="exact"/>
              <w:rPr>
                <w:sz w:val="1"/>
                <w:szCs w:val="1"/>
                <w:color w:val="auto"/>
              </w:rPr>
            </w:pPr>
          </w:p>
        </w:tc>
        <w:tc>
          <w:tcPr>
            <w:tcW w:w="500" w:type="dxa"/>
            <w:vAlign w:val="bottom"/>
            <w:gridSpan w:val="2"/>
            <w:shd w:val="clear" w:color="auto" w:fill="0000FF"/>
          </w:tcPr>
          <w:p>
            <w:pPr>
              <w:spacing w:after="0" w:line="20" w:lineRule="exact"/>
              <w:rPr>
                <w:sz w:val="1"/>
                <w:szCs w:val="1"/>
                <w:color w:val="auto"/>
              </w:rPr>
            </w:pPr>
          </w:p>
        </w:tc>
        <w:tc>
          <w:tcPr>
            <w:tcW w:w="3060" w:type="dxa"/>
            <w:vAlign w:val="bottom"/>
            <w:gridSpan w:val="2"/>
            <w:shd w:val="clear" w:color="auto" w:fill="0000FF"/>
          </w:tcPr>
          <w:p>
            <w:pPr>
              <w:spacing w:after="0" w:line="20" w:lineRule="exact"/>
              <w:rPr>
                <w:sz w:val="1"/>
                <w:szCs w:val="1"/>
                <w:color w:val="auto"/>
              </w:rPr>
            </w:pPr>
          </w:p>
        </w:tc>
        <w:tc>
          <w:tcPr>
            <w:tcW w:w="800" w:type="dxa"/>
            <w:vAlign w:val="bottom"/>
            <w:shd w:val="clear" w:color="auto" w:fill="0000FF"/>
          </w:tcPr>
          <w:p>
            <w:pPr>
              <w:spacing w:after="0" w:line="20" w:lineRule="exact"/>
              <w:rPr>
                <w:sz w:val="1"/>
                <w:szCs w:val="1"/>
                <w:color w:val="auto"/>
              </w:rPr>
            </w:pPr>
          </w:p>
        </w:tc>
        <w:tc>
          <w:tcPr>
            <w:tcW w:w="96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44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1080" w:type="dxa"/>
            <w:vAlign w:val="bottom"/>
            <w:shd w:val="clear" w:color="auto" w:fill="0000FF"/>
          </w:tcPr>
          <w:p>
            <w:pPr>
              <w:spacing w:after="0" w:line="20" w:lineRule="exact"/>
              <w:rPr>
                <w:sz w:val="1"/>
                <w:szCs w:val="1"/>
                <w:color w:val="auto"/>
              </w:rPr>
            </w:pPr>
          </w:p>
        </w:tc>
        <w:tc>
          <w:tcPr>
            <w:tcW w:w="360" w:type="dxa"/>
            <w:vAlign w:val="bottom"/>
            <w:shd w:val="clear" w:color="auto" w:fill="0000FF"/>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216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83"/>
        </w:trPr>
        <w:tc>
          <w:tcPr>
            <w:tcW w:w="54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10440" w:type="dxa"/>
            <w:vAlign w:val="bottom"/>
            <w:tcBorders>
              <w:bottom w:val="single" w:sz="8" w:color="0000FF"/>
            </w:tcBorders>
            <w:gridSpan w:val="15"/>
          </w:tcPr>
          <w:p>
            <w:pPr>
              <w:spacing w:after="0" w:line="182" w:lineRule="exact"/>
              <w:rPr>
                <w:rFonts w:ascii="Arial" w:cs="Arial" w:eastAsia="Arial" w:hAnsi="Arial"/>
                <w:sz w:val="18"/>
                <w:szCs w:val="18"/>
                <w:color w:val="0000FF"/>
              </w:rPr>
            </w:pPr>
            <w:hyperlink r:id="rId95">
              <w:r>
                <w:rPr>
                  <w:rFonts w:ascii="Arial" w:cs="Arial" w:eastAsia="Arial" w:hAnsi="Arial"/>
                  <w:sz w:val="18"/>
                  <w:szCs w:val="18"/>
                  <w:color w:val="0000FF"/>
                </w:rPr>
                <w:t>(incorporated by reference to Exhibit 2.1 to AAG’s Current Report on Form 8-K filed on December 31, 2015 (Commission File</w:t>
              </w:r>
            </w:hyperlink>
          </w:p>
        </w:tc>
      </w:tr>
      <w:tr>
        <w:trPr>
          <w:trHeight w:val="183"/>
        </w:trPr>
        <w:tc>
          <w:tcPr>
            <w:tcW w:w="54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1060" w:type="dxa"/>
            <w:vAlign w:val="bottom"/>
            <w:tcBorders>
              <w:bottom w:val="single" w:sz="8" w:color="0000FF"/>
            </w:tcBorders>
            <w:gridSpan w:val="3"/>
          </w:tcPr>
          <w:p>
            <w:pPr>
              <w:spacing w:after="0" w:line="182" w:lineRule="exact"/>
              <w:rPr>
                <w:rFonts w:ascii="Arial" w:cs="Arial" w:eastAsia="Arial" w:hAnsi="Arial"/>
                <w:sz w:val="18"/>
                <w:szCs w:val="18"/>
                <w:color w:val="0000FF"/>
                <w:w w:val="98"/>
              </w:rPr>
            </w:pPr>
            <w:hyperlink r:id="rId95">
              <w:r>
                <w:rPr>
                  <w:rFonts w:ascii="Arial" w:cs="Arial" w:eastAsia="Arial" w:hAnsi="Arial"/>
                  <w:sz w:val="18"/>
                  <w:szCs w:val="18"/>
                  <w:color w:val="0000FF"/>
                  <w:w w:val="98"/>
                </w:rPr>
                <w:t>No. 1-8400)).</w:t>
              </w:r>
            </w:hyperlink>
          </w:p>
        </w:tc>
        <w:tc>
          <w:tcPr>
            <w:tcW w:w="9380" w:type="dxa"/>
            <w:vAlign w:val="bottom"/>
            <w:gridSpan w:val="12"/>
          </w:tcPr>
          <w:p>
            <w:pPr>
              <w:spacing w:after="0"/>
              <w:rPr>
                <w:sz w:val="15"/>
                <w:szCs w:val="15"/>
                <w:color w:val="auto"/>
              </w:rPr>
            </w:pPr>
          </w:p>
        </w:tc>
      </w:tr>
      <w:tr>
        <w:trPr>
          <w:trHeight w:val="237"/>
        </w:trPr>
        <w:tc>
          <w:tcPr>
            <w:tcW w:w="540" w:type="dxa"/>
            <w:vAlign w:val="bottom"/>
          </w:tcPr>
          <w:p>
            <w:pPr>
              <w:spacing w:after="0"/>
              <w:rPr>
                <w:sz w:val="20"/>
                <w:szCs w:val="20"/>
                <w:color w:val="auto"/>
              </w:rPr>
            </w:pPr>
            <w:r>
              <w:rPr>
                <w:rFonts w:ascii="Arial" w:cs="Arial" w:eastAsia="Arial" w:hAnsi="Arial"/>
                <w:sz w:val="18"/>
                <w:szCs w:val="18"/>
                <w:color w:val="auto"/>
              </w:rPr>
              <w:t>3.1</w:t>
            </w:r>
          </w:p>
        </w:tc>
        <w:tc>
          <w:tcPr>
            <w:tcW w:w="380" w:type="dxa"/>
            <w:vAlign w:val="bottom"/>
          </w:tcPr>
          <w:p>
            <w:pPr>
              <w:spacing w:after="0"/>
              <w:rPr>
                <w:sz w:val="20"/>
                <w:szCs w:val="20"/>
                <w:color w:val="auto"/>
              </w:rPr>
            </w:pPr>
          </w:p>
        </w:tc>
        <w:tc>
          <w:tcPr>
            <w:tcW w:w="10440" w:type="dxa"/>
            <w:vAlign w:val="bottom"/>
            <w:tcBorders>
              <w:bottom w:val="single" w:sz="8" w:color="0000FF"/>
            </w:tcBorders>
            <w:gridSpan w:val="15"/>
          </w:tcPr>
          <w:p>
            <w:pPr>
              <w:spacing w:after="0"/>
              <w:rPr>
                <w:rFonts w:ascii="Arial" w:cs="Arial" w:eastAsia="Arial" w:hAnsi="Arial"/>
                <w:sz w:val="18"/>
                <w:szCs w:val="18"/>
                <w:color w:val="0000FF"/>
              </w:rPr>
            </w:pPr>
            <w:hyperlink r:id="rId96">
              <w:r>
                <w:rPr>
                  <w:rFonts w:ascii="Arial" w:cs="Arial" w:eastAsia="Arial" w:hAnsi="Arial"/>
                  <w:sz w:val="18"/>
                  <w:szCs w:val="18"/>
                  <w:color w:val="0000FF"/>
                </w:rPr>
                <w:t>Restated  Certificate  of  Incorporation  of  American  Airlines  Group  Inc.,  including  the  Certificate  of  Designations,  Powers,</w:t>
              </w:r>
            </w:hyperlink>
          </w:p>
        </w:tc>
      </w:tr>
      <w:tr>
        <w:trPr>
          <w:trHeight w:val="183"/>
        </w:trPr>
        <w:tc>
          <w:tcPr>
            <w:tcW w:w="54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10440" w:type="dxa"/>
            <w:vAlign w:val="bottom"/>
            <w:tcBorders>
              <w:bottom w:val="single" w:sz="8" w:color="0000FF"/>
            </w:tcBorders>
            <w:gridSpan w:val="15"/>
          </w:tcPr>
          <w:p>
            <w:pPr>
              <w:spacing w:after="0" w:line="182" w:lineRule="exact"/>
              <w:rPr>
                <w:rFonts w:ascii="Arial" w:cs="Arial" w:eastAsia="Arial" w:hAnsi="Arial"/>
                <w:sz w:val="18"/>
                <w:szCs w:val="18"/>
                <w:color w:val="0000FF"/>
              </w:rPr>
            </w:pPr>
            <w:hyperlink r:id="rId96">
              <w:r>
                <w:rPr>
                  <w:rFonts w:ascii="Arial" w:cs="Arial" w:eastAsia="Arial" w:hAnsi="Arial"/>
                  <w:sz w:val="18"/>
                  <w:szCs w:val="18"/>
                  <w:color w:val="0000FF"/>
                </w:rPr>
                <w:t>Preferences and Rights of the American Airlines Group Inc. Series A Convertible Preferred Stock attached as Annex I thereto</w:t>
              </w:r>
            </w:hyperlink>
          </w:p>
        </w:tc>
      </w:tr>
      <w:tr>
        <w:trPr>
          <w:trHeight w:val="183"/>
        </w:trPr>
        <w:tc>
          <w:tcPr>
            <w:tcW w:w="54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10440" w:type="dxa"/>
            <w:vAlign w:val="bottom"/>
            <w:tcBorders>
              <w:bottom w:val="single" w:sz="8" w:color="0000FF"/>
            </w:tcBorders>
            <w:gridSpan w:val="15"/>
          </w:tcPr>
          <w:p>
            <w:pPr>
              <w:spacing w:after="0" w:line="182" w:lineRule="exact"/>
              <w:rPr>
                <w:rFonts w:ascii="Arial" w:cs="Arial" w:eastAsia="Arial" w:hAnsi="Arial"/>
                <w:sz w:val="18"/>
                <w:szCs w:val="18"/>
                <w:color w:val="0000FF"/>
              </w:rPr>
            </w:pPr>
            <w:hyperlink r:id="rId96">
              <w:r>
                <w:rPr>
                  <w:rFonts w:ascii="Arial" w:cs="Arial" w:eastAsia="Arial" w:hAnsi="Arial"/>
                  <w:sz w:val="18"/>
                  <w:szCs w:val="18"/>
                  <w:color w:val="0000FF"/>
                </w:rPr>
                <w:t>(incorporated by reference to Exhibit 3.1 to AAG’s Current Report on Form 8-K filed on December 9, 2013 (Commission File No. 1-</w:t>
              </w:r>
            </w:hyperlink>
          </w:p>
        </w:tc>
      </w:tr>
      <w:tr>
        <w:trPr>
          <w:trHeight w:val="183"/>
        </w:trPr>
        <w:tc>
          <w:tcPr>
            <w:tcW w:w="54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560" w:type="dxa"/>
            <w:vAlign w:val="bottom"/>
            <w:tcBorders>
              <w:bottom w:val="single" w:sz="8" w:color="0000FF"/>
            </w:tcBorders>
          </w:tcPr>
          <w:p>
            <w:pPr>
              <w:spacing w:after="0" w:line="182" w:lineRule="exact"/>
              <w:rPr>
                <w:rFonts w:ascii="Arial" w:cs="Arial" w:eastAsia="Arial" w:hAnsi="Arial"/>
                <w:sz w:val="18"/>
                <w:szCs w:val="18"/>
                <w:color w:val="0000FF"/>
                <w:w w:val="94"/>
              </w:rPr>
            </w:pPr>
            <w:hyperlink r:id="rId96">
              <w:r>
                <w:rPr>
                  <w:rFonts w:ascii="Arial" w:cs="Arial" w:eastAsia="Arial" w:hAnsi="Arial"/>
                  <w:sz w:val="18"/>
                  <w:szCs w:val="18"/>
                  <w:color w:val="0000FF"/>
                  <w:w w:val="94"/>
                </w:rPr>
                <w:t>8400)</w:t>
              </w:r>
              <w:r>
                <w:rPr>
                  <w:rFonts w:ascii="Arial" w:cs="Arial" w:eastAsia="Arial" w:hAnsi="Arial"/>
                  <w:sz w:val="18"/>
                  <w:szCs w:val="18"/>
                  <w:u w:val="single" w:color="auto"/>
                  <w:color w:val="0000FF"/>
                  <w:w w:val="94"/>
                </w:rPr>
                <w:t>)</w:t>
              </w:r>
              <w:r>
                <w:rPr>
                  <w:rFonts w:ascii="Arial" w:cs="Arial" w:eastAsia="Arial" w:hAnsi="Arial"/>
                  <w:sz w:val="18"/>
                  <w:szCs w:val="18"/>
                  <w:color w:val="0000FF"/>
                  <w:w w:val="94"/>
                </w:rPr>
                <w:t>.</w:t>
              </w:r>
            </w:hyperlink>
          </w:p>
        </w:tc>
        <w:tc>
          <w:tcPr>
            <w:tcW w:w="22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880" w:type="dxa"/>
            <w:vAlign w:val="bottom"/>
          </w:tcPr>
          <w:p>
            <w:pPr>
              <w:spacing w:after="0"/>
              <w:rPr>
                <w:sz w:val="15"/>
                <w:szCs w:val="15"/>
                <w:color w:val="auto"/>
              </w:rPr>
            </w:pPr>
          </w:p>
        </w:tc>
        <w:tc>
          <w:tcPr>
            <w:tcW w:w="118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2160" w:type="dxa"/>
            <w:vAlign w:val="bottom"/>
          </w:tcPr>
          <w:p>
            <w:pPr>
              <w:spacing w:after="0"/>
              <w:rPr>
                <w:sz w:val="15"/>
                <w:szCs w:val="15"/>
                <w:color w:val="auto"/>
              </w:rPr>
            </w:pPr>
          </w:p>
        </w:tc>
        <w:tc>
          <w:tcPr>
            <w:tcW w:w="20" w:type="dxa"/>
            <w:vAlign w:val="bottom"/>
          </w:tcPr>
          <w:p>
            <w:pPr>
              <w:spacing w:after="0"/>
              <w:rPr>
                <w:sz w:val="15"/>
                <w:szCs w:val="15"/>
                <w:color w:val="auto"/>
              </w:rPr>
            </w:pPr>
          </w:p>
        </w:tc>
      </w:tr>
      <w:tr>
        <w:trPr>
          <w:trHeight w:val="237"/>
        </w:trPr>
        <w:tc>
          <w:tcPr>
            <w:tcW w:w="540" w:type="dxa"/>
            <w:vAlign w:val="bottom"/>
          </w:tcPr>
          <w:p>
            <w:pPr>
              <w:spacing w:after="0"/>
              <w:rPr>
                <w:sz w:val="20"/>
                <w:szCs w:val="20"/>
                <w:color w:val="auto"/>
              </w:rPr>
            </w:pPr>
            <w:r>
              <w:rPr>
                <w:rFonts w:ascii="Arial" w:cs="Arial" w:eastAsia="Arial" w:hAnsi="Arial"/>
                <w:sz w:val="18"/>
                <w:szCs w:val="18"/>
                <w:color w:val="auto"/>
              </w:rPr>
              <w:t>3.2</w:t>
            </w:r>
          </w:p>
        </w:tc>
        <w:tc>
          <w:tcPr>
            <w:tcW w:w="380" w:type="dxa"/>
            <w:vAlign w:val="bottom"/>
          </w:tcPr>
          <w:p>
            <w:pPr>
              <w:spacing w:after="0"/>
              <w:rPr>
                <w:sz w:val="20"/>
                <w:szCs w:val="20"/>
                <w:color w:val="auto"/>
              </w:rPr>
            </w:pPr>
          </w:p>
        </w:tc>
        <w:tc>
          <w:tcPr>
            <w:tcW w:w="10440" w:type="dxa"/>
            <w:vAlign w:val="bottom"/>
            <w:tcBorders>
              <w:bottom w:val="single" w:sz="8" w:color="0000FF"/>
            </w:tcBorders>
            <w:gridSpan w:val="15"/>
          </w:tcPr>
          <w:p>
            <w:pPr>
              <w:spacing w:after="0"/>
              <w:rPr>
                <w:rFonts w:ascii="Arial" w:cs="Arial" w:eastAsia="Arial" w:hAnsi="Arial"/>
                <w:sz w:val="18"/>
                <w:szCs w:val="18"/>
                <w:color w:val="0000FF"/>
              </w:rPr>
            </w:pPr>
            <w:hyperlink r:id="rId97">
              <w:r>
                <w:rPr>
                  <w:rFonts w:ascii="Arial" w:cs="Arial" w:eastAsia="Arial" w:hAnsi="Arial"/>
                  <w:sz w:val="18"/>
                  <w:szCs w:val="18"/>
                  <w:color w:val="0000FF"/>
                </w:rPr>
                <w:t>Certificate of Amendment of Restated Certificate of Incorporation of American Airlines Group Inc. (incorporated by reference to</w:t>
              </w:r>
            </w:hyperlink>
          </w:p>
        </w:tc>
      </w:tr>
      <w:tr>
        <w:trPr>
          <w:trHeight w:val="183"/>
        </w:trPr>
        <w:tc>
          <w:tcPr>
            <w:tcW w:w="54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8260" w:type="dxa"/>
            <w:vAlign w:val="bottom"/>
            <w:tcBorders>
              <w:bottom w:val="single" w:sz="8" w:color="0000FF"/>
            </w:tcBorders>
            <w:gridSpan w:val="13"/>
          </w:tcPr>
          <w:p>
            <w:pPr>
              <w:spacing w:after="0" w:line="182" w:lineRule="exact"/>
              <w:rPr>
                <w:rFonts w:ascii="Arial" w:cs="Arial" w:eastAsia="Arial" w:hAnsi="Arial"/>
                <w:sz w:val="18"/>
                <w:szCs w:val="18"/>
                <w:color w:val="0000FF"/>
                <w:w w:val="99"/>
              </w:rPr>
            </w:pPr>
            <w:hyperlink r:id="rId97">
              <w:r>
                <w:rPr>
                  <w:rFonts w:ascii="Arial" w:cs="Arial" w:eastAsia="Arial" w:hAnsi="Arial"/>
                  <w:sz w:val="18"/>
                  <w:szCs w:val="18"/>
                  <w:color w:val="0000FF"/>
                  <w:w w:val="99"/>
                </w:rPr>
                <w:t>Exhibit 3.1 to AAG’s Current Report on Form 8-K filed on June 13, 2018 (Commission File No. 1-8400)).</w:t>
              </w:r>
            </w:hyperlink>
          </w:p>
        </w:tc>
        <w:tc>
          <w:tcPr>
            <w:tcW w:w="2180" w:type="dxa"/>
            <w:vAlign w:val="bottom"/>
            <w:gridSpan w:val="2"/>
          </w:tcPr>
          <w:p>
            <w:pPr>
              <w:spacing w:after="0"/>
              <w:rPr>
                <w:sz w:val="15"/>
                <w:szCs w:val="15"/>
                <w:color w:val="auto"/>
              </w:rPr>
            </w:pPr>
          </w:p>
        </w:tc>
      </w:tr>
      <w:tr>
        <w:trPr>
          <w:trHeight w:val="237"/>
        </w:trPr>
        <w:tc>
          <w:tcPr>
            <w:tcW w:w="540" w:type="dxa"/>
            <w:vAlign w:val="bottom"/>
          </w:tcPr>
          <w:p>
            <w:pPr>
              <w:spacing w:after="0"/>
              <w:rPr>
                <w:sz w:val="20"/>
                <w:szCs w:val="20"/>
                <w:color w:val="auto"/>
              </w:rPr>
            </w:pPr>
            <w:r>
              <w:rPr>
                <w:rFonts w:ascii="Arial" w:cs="Arial" w:eastAsia="Arial" w:hAnsi="Arial"/>
                <w:sz w:val="18"/>
                <w:szCs w:val="18"/>
                <w:color w:val="auto"/>
              </w:rPr>
              <w:t>3.3</w:t>
            </w:r>
          </w:p>
        </w:tc>
        <w:tc>
          <w:tcPr>
            <w:tcW w:w="380" w:type="dxa"/>
            <w:vAlign w:val="bottom"/>
          </w:tcPr>
          <w:p>
            <w:pPr>
              <w:spacing w:after="0"/>
              <w:rPr>
                <w:sz w:val="20"/>
                <w:szCs w:val="20"/>
                <w:color w:val="auto"/>
              </w:rPr>
            </w:pPr>
          </w:p>
        </w:tc>
        <w:tc>
          <w:tcPr>
            <w:tcW w:w="10440" w:type="dxa"/>
            <w:vAlign w:val="bottom"/>
            <w:gridSpan w:val="15"/>
          </w:tcPr>
          <w:p>
            <w:pPr>
              <w:spacing w:after="0"/>
              <w:rPr>
                <w:rFonts w:ascii="Arial" w:cs="Arial" w:eastAsia="Arial" w:hAnsi="Arial"/>
                <w:sz w:val="18"/>
                <w:szCs w:val="18"/>
                <w:color w:val="0000FF"/>
              </w:rPr>
            </w:pPr>
            <w:hyperlink r:id="rId98">
              <w:r>
                <w:rPr>
                  <w:rFonts w:ascii="Arial" w:cs="Arial" w:eastAsia="Arial" w:hAnsi="Arial"/>
                  <w:sz w:val="18"/>
                  <w:szCs w:val="18"/>
                  <w:color w:val="0000FF"/>
                </w:rPr>
                <w:t>Third Amended and Restated Bylaws of American Airlines Group Inc. (incorporated by reference to Exhibit 3.2 to AAG’s Current</w:t>
              </w:r>
            </w:hyperlink>
          </w:p>
        </w:tc>
      </w:tr>
      <w:tr>
        <w:trPr>
          <w:trHeight w:val="183"/>
        </w:trPr>
        <w:tc>
          <w:tcPr>
            <w:tcW w:w="54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5960" w:type="dxa"/>
            <w:vAlign w:val="bottom"/>
            <w:tcBorders>
              <w:top w:val="single" w:sz="8" w:color="0000FF"/>
              <w:bottom w:val="single" w:sz="8" w:color="0000FF"/>
            </w:tcBorders>
            <w:gridSpan w:val="8"/>
          </w:tcPr>
          <w:p>
            <w:pPr>
              <w:spacing w:after="0" w:line="182" w:lineRule="exact"/>
              <w:rPr>
                <w:rFonts w:ascii="Arial" w:cs="Arial" w:eastAsia="Arial" w:hAnsi="Arial"/>
                <w:sz w:val="18"/>
                <w:szCs w:val="18"/>
                <w:color w:val="0000FF"/>
                <w:w w:val="99"/>
              </w:rPr>
            </w:pPr>
            <w:hyperlink r:id="rId98">
              <w:r>
                <w:rPr>
                  <w:rFonts w:ascii="Arial" w:cs="Arial" w:eastAsia="Arial" w:hAnsi="Arial"/>
                  <w:sz w:val="18"/>
                  <w:szCs w:val="18"/>
                  <w:color w:val="0000FF"/>
                  <w:w w:val="99"/>
                </w:rPr>
                <w:t>Report on Form 8-K filed on June 13, 2018 (Commission File No. 1-8400)).</w:t>
              </w:r>
            </w:hyperlink>
          </w:p>
        </w:tc>
        <w:tc>
          <w:tcPr>
            <w:tcW w:w="4460" w:type="dxa"/>
            <w:vAlign w:val="bottom"/>
            <w:tcBorders>
              <w:top w:val="single" w:sz="8" w:color="0000FF"/>
            </w:tcBorders>
            <w:gridSpan w:val="6"/>
          </w:tcPr>
          <w:p>
            <w:pPr>
              <w:spacing w:after="0"/>
              <w:rPr>
                <w:sz w:val="15"/>
                <w:szCs w:val="15"/>
                <w:color w:val="auto"/>
              </w:rPr>
            </w:pPr>
          </w:p>
        </w:tc>
        <w:tc>
          <w:tcPr>
            <w:tcW w:w="20" w:type="dxa"/>
            <w:vAlign w:val="bottom"/>
          </w:tcPr>
          <w:p>
            <w:pPr>
              <w:spacing w:after="0"/>
              <w:rPr>
                <w:sz w:val="15"/>
                <w:szCs w:val="15"/>
                <w:color w:val="auto"/>
              </w:rPr>
            </w:pPr>
          </w:p>
        </w:tc>
      </w:tr>
      <w:tr>
        <w:trPr>
          <w:trHeight w:val="237"/>
        </w:trPr>
        <w:tc>
          <w:tcPr>
            <w:tcW w:w="540" w:type="dxa"/>
            <w:vAlign w:val="bottom"/>
          </w:tcPr>
          <w:p>
            <w:pPr>
              <w:spacing w:after="0"/>
              <w:rPr>
                <w:sz w:val="20"/>
                <w:szCs w:val="20"/>
                <w:color w:val="auto"/>
              </w:rPr>
            </w:pPr>
            <w:r>
              <w:rPr>
                <w:rFonts w:ascii="Arial" w:cs="Arial" w:eastAsia="Arial" w:hAnsi="Arial"/>
                <w:sz w:val="18"/>
                <w:szCs w:val="18"/>
                <w:color w:val="auto"/>
              </w:rPr>
              <w:t>3.4</w:t>
            </w:r>
          </w:p>
        </w:tc>
        <w:tc>
          <w:tcPr>
            <w:tcW w:w="380" w:type="dxa"/>
            <w:vAlign w:val="bottom"/>
          </w:tcPr>
          <w:p>
            <w:pPr>
              <w:spacing w:after="0"/>
              <w:rPr>
                <w:sz w:val="20"/>
                <w:szCs w:val="20"/>
                <w:color w:val="auto"/>
              </w:rPr>
            </w:pPr>
          </w:p>
        </w:tc>
        <w:tc>
          <w:tcPr>
            <w:tcW w:w="10440" w:type="dxa"/>
            <w:vAlign w:val="bottom"/>
            <w:tcBorders>
              <w:bottom w:val="single" w:sz="8" w:color="0000FF"/>
            </w:tcBorders>
            <w:gridSpan w:val="15"/>
          </w:tcPr>
          <w:p>
            <w:pPr>
              <w:spacing w:after="0"/>
              <w:rPr>
                <w:rFonts w:ascii="Arial" w:cs="Arial" w:eastAsia="Arial" w:hAnsi="Arial"/>
                <w:sz w:val="18"/>
                <w:szCs w:val="18"/>
                <w:color w:val="0000FF"/>
              </w:rPr>
            </w:pPr>
            <w:hyperlink r:id="rId99">
              <w:r>
                <w:rPr>
                  <w:rFonts w:ascii="Arial" w:cs="Arial" w:eastAsia="Arial" w:hAnsi="Arial"/>
                  <w:sz w:val="18"/>
                  <w:szCs w:val="18"/>
                  <w:color w:val="0000FF"/>
                </w:rPr>
                <w:t>Amended and Restated Certificate of Incorporation of American Airlines, Inc. (incorporated by reference to Exhibit 3.3 to AAG’s</w:t>
              </w:r>
            </w:hyperlink>
          </w:p>
        </w:tc>
      </w:tr>
      <w:tr>
        <w:trPr>
          <w:trHeight w:val="183"/>
        </w:trPr>
        <w:tc>
          <w:tcPr>
            <w:tcW w:w="54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10440" w:type="dxa"/>
            <w:vAlign w:val="bottom"/>
            <w:gridSpan w:val="15"/>
          </w:tcPr>
          <w:p>
            <w:pPr>
              <w:spacing w:after="0" w:line="182" w:lineRule="exact"/>
              <w:rPr>
                <w:rFonts w:ascii="Arial" w:cs="Arial" w:eastAsia="Arial" w:hAnsi="Arial"/>
                <w:sz w:val="18"/>
                <w:szCs w:val="18"/>
                <w:color w:val="0000FF"/>
              </w:rPr>
            </w:pPr>
            <w:hyperlink r:id="rId99">
              <w:r>
                <w:rPr>
                  <w:rFonts w:ascii="Arial" w:cs="Arial" w:eastAsia="Arial" w:hAnsi="Arial"/>
                  <w:sz w:val="18"/>
                  <w:szCs w:val="18"/>
                  <w:color w:val="0000FF"/>
                </w:rPr>
                <w:t>Annual Report on Form 10-K for the year ended December 31, 2013 (Commission File No. 1-8400)).</w:t>
              </w:r>
            </w:hyperlink>
          </w:p>
        </w:tc>
      </w:tr>
      <w:tr>
        <w:trPr>
          <w:trHeight w:val="20"/>
        </w:trPr>
        <w:tc>
          <w:tcPr>
            <w:tcW w:w="54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4120" w:type="dxa"/>
            <w:vAlign w:val="bottom"/>
            <w:gridSpan w:val="5"/>
            <w:shd w:val="clear" w:color="auto" w:fill="0000FF"/>
          </w:tcPr>
          <w:p>
            <w:pPr>
              <w:spacing w:after="0" w:line="20" w:lineRule="exact"/>
              <w:rPr>
                <w:sz w:val="1"/>
                <w:szCs w:val="1"/>
                <w:color w:val="auto"/>
              </w:rPr>
            </w:pPr>
          </w:p>
        </w:tc>
        <w:tc>
          <w:tcPr>
            <w:tcW w:w="800" w:type="dxa"/>
            <w:vAlign w:val="bottom"/>
            <w:shd w:val="clear" w:color="auto" w:fill="0000FF"/>
          </w:tcPr>
          <w:p>
            <w:pPr>
              <w:spacing w:after="0" w:line="20" w:lineRule="exact"/>
              <w:rPr>
                <w:sz w:val="1"/>
                <w:szCs w:val="1"/>
                <w:color w:val="auto"/>
              </w:rPr>
            </w:pPr>
          </w:p>
        </w:tc>
        <w:tc>
          <w:tcPr>
            <w:tcW w:w="960" w:type="dxa"/>
            <w:vAlign w:val="bottom"/>
            <w:shd w:val="clear" w:color="auto" w:fill="0000FF"/>
          </w:tcPr>
          <w:p>
            <w:pPr>
              <w:spacing w:after="0" w:line="20" w:lineRule="exact"/>
              <w:rPr>
                <w:sz w:val="1"/>
                <w:szCs w:val="1"/>
                <w:color w:val="auto"/>
              </w:rPr>
            </w:pPr>
          </w:p>
        </w:tc>
        <w:tc>
          <w:tcPr>
            <w:tcW w:w="520" w:type="dxa"/>
            <w:vAlign w:val="bottom"/>
            <w:gridSpan w:val="2"/>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1080" w:type="dxa"/>
            <w:vAlign w:val="bottom"/>
            <w:shd w:val="clear" w:color="auto" w:fill="0000FF"/>
          </w:tcPr>
          <w:p>
            <w:pPr>
              <w:spacing w:after="0" w:line="20" w:lineRule="exact"/>
              <w:rPr>
                <w:sz w:val="1"/>
                <w:szCs w:val="1"/>
                <w:color w:val="auto"/>
              </w:rPr>
            </w:pPr>
          </w:p>
        </w:tc>
        <w:tc>
          <w:tcPr>
            <w:tcW w:w="360" w:type="dxa"/>
            <w:vAlign w:val="bottom"/>
            <w:shd w:val="clear" w:color="auto" w:fill="0000FF"/>
          </w:tcPr>
          <w:p>
            <w:pPr>
              <w:spacing w:after="0" w:line="20" w:lineRule="exact"/>
              <w:rPr>
                <w:sz w:val="1"/>
                <w:szCs w:val="1"/>
                <w:color w:val="auto"/>
              </w:rPr>
            </w:pPr>
          </w:p>
        </w:tc>
        <w:tc>
          <w:tcPr>
            <w:tcW w:w="24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37"/>
        </w:trPr>
        <w:tc>
          <w:tcPr>
            <w:tcW w:w="540" w:type="dxa"/>
            <w:vAlign w:val="bottom"/>
          </w:tcPr>
          <w:p>
            <w:pPr>
              <w:spacing w:after="0"/>
              <w:rPr>
                <w:sz w:val="20"/>
                <w:szCs w:val="20"/>
                <w:color w:val="auto"/>
              </w:rPr>
            </w:pPr>
            <w:r>
              <w:rPr>
                <w:rFonts w:ascii="Arial" w:cs="Arial" w:eastAsia="Arial" w:hAnsi="Arial"/>
                <w:sz w:val="18"/>
                <w:szCs w:val="18"/>
                <w:color w:val="auto"/>
              </w:rPr>
              <w:t>3.5</w:t>
            </w:r>
          </w:p>
        </w:tc>
        <w:tc>
          <w:tcPr>
            <w:tcW w:w="380" w:type="dxa"/>
            <w:vAlign w:val="bottom"/>
          </w:tcPr>
          <w:p>
            <w:pPr>
              <w:spacing w:after="0"/>
              <w:rPr>
                <w:sz w:val="20"/>
                <w:szCs w:val="20"/>
                <w:color w:val="auto"/>
              </w:rPr>
            </w:pPr>
          </w:p>
        </w:tc>
        <w:tc>
          <w:tcPr>
            <w:tcW w:w="10440" w:type="dxa"/>
            <w:vAlign w:val="bottom"/>
            <w:tcBorders>
              <w:bottom w:val="single" w:sz="8" w:color="0000FF"/>
            </w:tcBorders>
            <w:gridSpan w:val="15"/>
          </w:tcPr>
          <w:p>
            <w:pPr>
              <w:spacing w:after="0"/>
              <w:rPr>
                <w:rFonts w:ascii="Arial" w:cs="Arial" w:eastAsia="Arial" w:hAnsi="Arial"/>
                <w:sz w:val="18"/>
                <w:szCs w:val="18"/>
                <w:color w:val="0000FF"/>
              </w:rPr>
            </w:pPr>
            <w:hyperlink r:id="rId100">
              <w:r>
                <w:rPr>
                  <w:rFonts w:ascii="Arial" w:cs="Arial" w:eastAsia="Arial" w:hAnsi="Arial"/>
                  <w:sz w:val="18"/>
                  <w:szCs w:val="18"/>
                  <w:color w:val="0000FF"/>
                </w:rPr>
                <w:t>Amended and Restated Bylaws of American Airlines, Inc. (incorporated by reference to Exhibit 3.4 to AAG’s Annual Report on</w:t>
              </w:r>
            </w:hyperlink>
          </w:p>
        </w:tc>
      </w:tr>
      <w:tr>
        <w:trPr>
          <w:trHeight w:val="183"/>
        </w:trPr>
        <w:tc>
          <w:tcPr>
            <w:tcW w:w="54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6540" w:type="dxa"/>
            <w:vAlign w:val="bottom"/>
            <w:tcBorders>
              <w:bottom w:val="single" w:sz="8" w:color="0000FF"/>
            </w:tcBorders>
            <w:gridSpan w:val="10"/>
          </w:tcPr>
          <w:p>
            <w:pPr>
              <w:spacing w:after="0" w:line="182" w:lineRule="exact"/>
              <w:rPr>
                <w:rFonts w:ascii="Arial" w:cs="Arial" w:eastAsia="Arial" w:hAnsi="Arial"/>
                <w:sz w:val="18"/>
                <w:szCs w:val="18"/>
                <w:color w:val="0000FF"/>
                <w:w w:val="99"/>
              </w:rPr>
            </w:pPr>
            <w:hyperlink r:id="rId100">
              <w:r>
                <w:rPr>
                  <w:rFonts w:ascii="Arial" w:cs="Arial" w:eastAsia="Arial" w:hAnsi="Arial"/>
                  <w:sz w:val="18"/>
                  <w:szCs w:val="18"/>
                  <w:color w:val="0000FF"/>
                  <w:w w:val="99"/>
                </w:rPr>
                <w:t>Form 10-K for the year ended December 31, 2013 (Commission File No. 1-8400)).</w:t>
              </w:r>
            </w:hyperlink>
          </w:p>
        </w:tc>
        <w:tc>
          <w:tcPr>
            <w:tcW w:w="3900" w:type="dxa"/>
            <w:vAlign w:val="bottom"/>
            <w:gridSpan w:val="5"/>
          </w:tcPr>
          <w:p>
            <w:pPr>
              <w:spacing w:after="0"/>
              <w:rPr>
                <w:sz w:val="15"/>
                <w:szCs w:val="15"/>
                <w:color w:val="auto"/>
              </w:rPr>
            </w:pPr>
          </w:p>
        </w:tc>
      </w:tr>
      <w:tr>
        <w:trPr>
          <w:trHeight w:val="237"/>
        </w:trPr>
        <w:tc>
          <w:tcPr>
            <w:tcW w:w="540" w:type="dxa"/>
            <w:vAlign w:val="bottom"/>
          </w:tcPr>
          <w:p>
            <w:pPr>
              <w:spacing w:after="0"/>
              <w:rPr>
                <w:sz w:val="20"/>
                <w:szCs w:val="20"/>
                <w:color w:val="auto"/>
              </w:rPr>
            </w:pPr>
            <w:r>
              <w:rPr>
                <w:rFonts w:ascii="Arial" w:cs="Arial" w:eastAsia="Arial" w:hAnsi="Arial"/>
                <w:sz w:val="18"/>
                <w:szCs w:val="18"/>
                <w:color w:val="auto"/>
              </w:rPr>
              <w:t>4.1</w:t>
            </w:r>
          </w:p>
        </w:tc>
        <w:tc>
          <w:tcPr>
            <w:tcW w:w="380" w:type="dxa"/>
            <w:vAlign w:val="bottom"/>
          </w:tcPr>
          <w:p>
            <w:pPr>
              <w:spacing w:after="0"/>
              <w:rPr>
                <w:sz w:val="20"/>
                <w:szCs w:val="20"/>
                <w:color w:val="auto"/>
              </w:rPr>
            </w:pPr>
          </w:p>
        </w:tc>
        <w:tc>
          <w:tcPr>
            <w:tcW w:w="5880" w:type="dxa"/>
            <w:vAlign w:val="bottom"/>
            <w:tcBorders>
              <w:bottom w:val="single" w:sz="8" w:color="0000FF"/>
            </w:tcBorders>
            <w:gridSpan w:val="7"/>
          </w:tcPr>
          <w:p>
            <w:pPr>
              <w:spacing w:after="0"/>
              <w:rPr>
                <w:rFonts w:ascii="Arial" w:cs="Arial" w:eastAsia="Arial" w:hAnsi="Arial"/>
                <w:sz w:val="18"/>
                <w:szCs w:val="18"/>
                <w:color w:val="0000FF"/>
                <w:w w:val="99"/>
              </w:rPr>
            </w:pPr>
            <w:hyperlink w:anchor="page188">
              <w:r>
                <w:rPr>
                  <w:rFonts w:ascii="Arial" w:cs="Arial" w:eastAsia="Arial" w:hAnsi="Arial"/>
                  <w:sz w:val="18"/>
                  <w:szCs w:val="18"/>
                  <w:color w:val="0000FF"/>
                  <w:w w:val="99"/>
                </w:rPr>
                <w:t>Description of securities registered under Section 12 of the Exchange Act.</w:t>
              </w:r>
            </w:hyperlink>
          </w:p>
        </w:tc>
        <w:tc>
          <w:tcPr>
            <w:tcW w:w="4560" w:type="dxa"/>
            <w:vAlign w:val="bottom"/>
            <w:gridSpan w:val="8"/>
          </w:tcPr>
          <w:p>
            <w:pPr>
              <w:spacing w:after="0"/>
              <w:rPr>
                <w:sz w:val="20"/>
                <w:szCs w:val="20"/>
                <w:color w:val="auto"/>
              </w:rPr>
            </w:pPr>
          </w:p>
        </w:tc>
      </w:tr>
      <w:tr>
        <w:trPr>
          <w:trHeight w:val="237"/>
        </w:trPr>
        <w:tc>
          <w:tcPr>
            <w:tcW w:w="540" w:type="dxa"/>
            <w:vAlign w:val="bottom"/>
          </w:tcPr>
          <w:p>
            <w:pPr>
              <w:spacing w:after="0"/>
              <w:rPr>
                <w:sz w:val="20"/>
                <w:szCs w:val="20"/>
                <w:color w:val="auto"/>
              </w:rPr>
            </w:pPr>
            <w:r>
              <w:rPr>
                <w:rFonts w:ascii="Arial" w:cs="Arial" w:eastAsia="Arial" w:hAnsi="Arial"/>
                <w:sz w:val="18"/>
                <w:szCs w:val="18"/>
                <w:color w:val="auto"/>
              </w:rPr>
              <w:t>4.2</w:t>
            </w:r>
          </w:p>
        </w:tc>
        <w:tc>
          <w:tcPr>
            <w:tcW w:w="380" w:type="dxa"/>
            <w:vAlign w:val="bottom"/>
          </w:tcPr>
          <w:p>
            <w:pPr>
              <w:spacing w:after="0"/>
              <w:rPr>
                <w:sz w:val="20"/>
                <w:szCs w:val="20"/>
                <w:color w:val="auto"/>
              </w:rPr>
            </w:pPr>
          </w:p>
        </w:tc>
        <w:tc>
          <w:tcPr>
            <w:tcW w:w="10440" w:type="dxa"/>
            <w:vAlign w:val="bottom"/>
            <w:gridSpan w:val="15"/>
          </w:tcPr>
          <w:p>
            <w:pPr>
              <w:spacing w:after="0"/>
              <w:rPr>
                <w:rFonts w:ascii="Arial" w:cs="Arial" w:eastAsia="Arial" w:hAnsi="Arial"/>
                <w:sz w:val="18"/>
                <w:szCs w:val="18"/>
                <w:color w:val="0000FF"/>
              </w:rPr>
            </w:pPr>
            <w:hyperlink r:id="rId101">
              <w:r>
                <w:rPr>
                  <w:rFonts w:ascii="Arial" w:cs="Arial" w:eastAsia="Arial" w:hAnsi="Arial"/>
                  <w:sz w:val="18"/>
                  <w:szCs w:val="18"/>
                  <w:color w:val="0000FF"/>
                </w:rPr>
                <w:t>Pass Through Trust Agreement, dated as of March 12, 2013, between American Airlines, Inc. and Wilmington Trust Company</w:t>
              </w:r>
            </w:hyperlink>
          </w:p>
        </w:tc>
      </w:tr>
      <w:tr>
        <w:trPr>
          <w:trHeight w:val="20"/>
        </w:trPr>
        <w:tc>
          <w:tcPr>
            <w:tcW w:w="54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4120" w:type="dxa"/>
            <w:vAlign w:val="bottom"/>
            <w:gridSpan w:val="5"/>
            <w:shd w:val="clear" w:color="auto" w:fill="0000FF"/>
          </w:tcPr>
          <w:p>
            <w:pPr>
              <w:spacing w:after="0" w:line="20" w:lineRule="exact"/>
              <w:rPr>
                <w:sz w:val="1"/>
                <w:szCs w:val="1"/>
                <w:color w:val="auto"/>
              </w:rPr>
            </w:pPr>
          </w:p>
        </w:tc>
        <w:tc>
          <w:tcPr>
            <w:tcW w:w="800" w:type="dxa"/>
            <w:vAlign w:val="bottom"/>
            <w:shd w:val="clear" w:color="auto" w:fill="0000FF"/>
          </w:tcPr>
          <w:p>
            <w:pPr>
              <w:spacing w:after="0" w:line="20" w:lineRule="exact"/>
              <w:rPr>
                <w:sz w:val="1"/>
                <w:szCs w:val="1"/>
                <w:color w:val="auto"/>
              </w:rPr>
            </w:pPr>
          </w:p>
        </w:tc>
        <w:tc>
          <w:tcPr>
            <w:tcW w:w="1480" w:type="dxa"/>
            <w:vAlign w:val="bottom"/>
            <w:gridSpan w:val="3"/>
            <w:shd w:val="clear" w:color="auto" w:fill="0000FF"/>
          </w:tcPr>
          <w:p>
            <w:pPr>
              <w:spacing w:after="0" w:line="20" w:lineRule="exact"/>
              <w:rPr>
                <w:sz w:val="1"/>
                <w:szCs w:val="1"/>
                <w:color w:val="auto"/>
              </w:rPr>
            </w:pPr>
          </w:p>
        </w:tc>
        <w:tc>
          <w:tcPr>
            <w:tcW w:w="1220" w:type="dxa"/>
            <w:vAlign w:val="bottom"/>
            <w:gridSpan w:val="2"/>
            <w:shd w:val="clear" w:color="auto" w:fill="0000FF"/>
          </w:tcPr>
          <w:p>
            <w:pPr>
              <w:spacing w:after="0" w:line="20" w:lineRule="exact"/>
              <w:rPr>
                <w:sz w:val="1"/>
                <w:szCs w:val="1"/>
                <w:color w:val="auto"/>
              </w:rPr>
            </w:pPr>
          </w:p>
        </w:tc>
        <w:tc>
          <w:tcPr>
            <w:tcW w:w="2800" w:type="dxa"/>
            <w:vAlign w:val="bottom"/>
            <w:gridSpan w:val="3"/>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83"/>
        </w:trPr>
        <w:tc>
          <w:tcPr>
            <w:tcW w:w="54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10440" w:type="dxa"/>
            <w:vAlign w:val="bottom"/>
            <w:tcBorders>
              <w:bottom w:val="single" w:sz="8" w:color="0000FF"/>
            </w:tcBorders>
            <w:gridSpan w:val="15"/>
          </w:tcPr>
          <w:p>
            <w:pPr>
              <w:spacing w:after="0" w:line="182" w:lineRule="exact"/>
              <w:rPr>
                <w:rFonts w:ascii="Arial" w:cs="Arial" w:eastAsia="Arial" w:hAnsi="Arial"/>
                <w:sz w:val="18"/>
                <w:szCs w:val="18"/>
                <w:color w:val="0000FF"/>
              </w:rPr>
            </w:pPr>
            <w:hyperlink r:id="rId101">
              <w:r>
                <w:rPr>
                  <w:rFonts w:ascii="Arial" w:cs="Arial" w:eastAsia="Arial" w:hAnsi="Arial"/>
                  <w:sz w:val="18"/>
                  <w:szCs w:val="18"/>
                  <w:color w:val="0000FF"/>
                </w:rPr>
                <w:t>(incorporated by reference to Exhibit 4.1 to AMR’s Current Report on Form 8-K filed on March 12, 2013 (Commission File No. 1-</w:t>
              </w:r>
            </w:hyperlink>
          </w:p>
        </w:tc>
      </w:tr>
      <w:tr>
        <w:trPr>
          <w:trHeight w:val="183"/>
        </w:trPr>
        <w:tc>
          <w:tcPr>
            <w:tcW w:w="54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560" w:type="dxa"/>
            <w:vAlign w:val="bottom"/>
            <w:tcBorders>
              <w:bottom w:val="single" w:sz="8" w:color="0000FF"/>
            </w:tcBorders>
          </w:tcPr>
          <w:p>
            <w:pPr>
              <w:spacing w:after="0" w:line="182" w:lineRule="exact"/>
              <w:rPr>
                <w:rFonts w:ascii="Arial" w:cs="Arial" w:eastAsia="Arial" w:hAnsi="Arial"/>
                <w:sz w:val="18"/>
                <w:szCs w:val="18"/>
                <w:color w:val="0000FF"/>
                <w:w w:val="94"/>
              </w:rPr>
            </w:pPr>
            <w:hyperlink r:id="rId101">
              <w:r>
                <w:rPr>
                  <w:rFonts w:ascii="Arial" w:cs="Arial" w:eastAsia="Arial" w:hAnsi="Arial"/>
                  <w:sz w:val="18"/>
                  <w:szCs w:val="18"/>
                  <w:color w:val="0000FF"/>
                  <w:w w:val="94"/>
                </w:rPr>
                <w:t>8400)</w:t>
              </w:r>
              <w:r>
                <w:rPr>
                  <w:rFonts w:ascii="Arial" w:cs="Arial" w:eastAsia="Arial" w:hAnsi="Arial"/>
                  <w:sz w:val="18"/>
                  <w:szCs w:val="18"/>
                  <w:u w:val="single" w:color="auto"/>
                  <w:color w:val="0000FF"/>
                  <w:w w:val="94"/>
                </w:rPr>
                <w:t>)</w:t>
              </w:r>
              <w:r>
                <w:rPr>
                  <w:rFonts w:ascii="Arial" w:cs="Arial" w:eastAsia="Arial" w:hAnsi="Arial"/>
                  <w:sz w:val="18"/>
                  <w:szCs w:val="18"/>
                  <w:color w:val="0000FF"/>
                  <w:w w:val="94"/>
                </w:rPr>
                <w:t>.</w:t>
              </w:r>
            </w:hyperlink>
          </w:p>
        </w:tc>
        <w:tc>
          <w:tcPr>
            <w:tcW w:w="22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880" w:type="dxa"/>
            <w:vAlign w:val="bottom"/>
          </w:tcPr>
          <w:p>
            <w:pPr>
              <w:spacing w:after="0"/>
              <w:rPr>
                <w:sz w:val="15"/>
                <w:szCs w:val="15"/>
                <w:color w:val="auto"/>
              </w:rPr>
            </w:pPr>
          </w:p>
        </w:tc>
        <w:tc>
          <w:tcPr>
            <w:tcW w:w="118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2160" w:type="dxa"/>
            <w:vAlign w:val="bottom"/>
          </w:tcPr>
          <w:p>
            <w:pPr>
              <w:spacing w:after="0"/>
              <w:rPr>
                <w:sz w:val="15"/>
                <w:szCs w:val="15"/>
                <w:color w:val="auto"/>
              </w:rPr>
            </w:pPr>
          </w:p>
        </w:tc>
        <w:tc>
          <w:tcPr>
            <w:tcW w:w="20" w:type="dxa"/>
            <w:vAlign w:val="bottom"/>
          </w:tcPr>
          <w:p>
            <w:pPr>
              <w:spacing w:after="0"/>
              <w:rPr>
                <w:sz w:val="15"/>
                <w:szCs w:val="15"/>
                <w:color w:val="auto"/>
              </w:rPr>
            </w:pPr>
          </w:p>
        </w:tc>
      </w:tr>
      <w:tr>
        <w:trPr>
          <w:trHeight w:val="237"/>
        </w:trPr>
        <w:tc>
          <w:tcPr>
            <w:tcW w:w="540" w:type="dxa"/>
            <w:vAlign w:val="bottom"/>
          </w:tcPr>
          <w:p>
            <w:pPr>
              <w:spacing w:after="0"/>
              <w:rPr>
                <w:sz w:val="20"/>
                <w:szCs w:val="20"/>
                <w:color w:val="auto"/>
              </w:rPr>
            </w:pPr>
            <w:r>
              <w:rPr>
                <w:rFonts w:ascii="Arial" w:cs="Arial" w:eastAsia="Arial" w:hAnsi="Arial"/>
                <w:sz w:val="18"/>
                <w:szCs w:val="18"/>
                <w:color w:val="auto"/>
              </w:rPr>
              <w:t>4.3</w:t>
            </w:r>
          </w:p>
        </w:tc>
        <w:tc>
          <w:tcPr>
            <w:tcW w:w="380" w:type="dxa"/>
            <w:vAlign w:val="bottom"/>
          </w:tcPr>
          <w:p>
            <w:pPr>
              <w:spacing w:after="0"/>
              <w:rPr>
                <w:sz w:val="20"/>
                <w:szCs w:val="20"/>
                <w:color w:val="auto"/>
              </w:rPr>
            </w:pPr>
          </w:p>
        </w:tc>
        <w:tc>
          <w:tcPr>
            <w:tcW w:w="10440" w:type="dxa"/>
            <w:vAlign w:val="bottom"/>
            <w:gridSpan w:val="15"/>
          </w:tcPr>
          <w:p>
            <w:pPr>
              <w:spacing w:after="0"/>
              <w:rPr>
                <w:rFonts w:ascii="Arial" w:cs="Arial" w:eastAsia="Arial" w:hAnsi="Arial"/>
                <w:sz w:val="18"/>
                <w:szCs w:val="18"/>
                <w:color w:val="0000FF"/>
                <w:w w:val="99"/>
              </w:rPr>
            </w:pPr>
            <w:hyperlink r:id="rId102">
              <w:r>
                <w:rPr>
                  <w:rFonts w:ascii="Arial" w:cs="Arial" w:eastAsia="Arial" w:hAnsi="Arial"/>
                  <w:sz w:val="18"/>
                  <w:szCs w:val="18"/>
                  <w:color w:val="0000FF"/>
                  <w:w w:val="99"/>
                </w:rPr>
                <w:t>Trust Supplement No. 2013-2B, dated as of November 27, 2013, among American Airlines, Inc. and Wilmington Trust Company, as</w:t>
              </w:r>
            </w:hyperlink>
          </w:p>
        </w:tc>
      </w:tr>
      <w:tr>
        <w:trPr>
          <w:trHeight w:val="20"/>
        </w:trPr>
        <w:tc>
          <w:tcPr>
            <w:tcW w:w="54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4120" w:type="dxa"/>
            <w:vAlign w:val="bottom"/>
            <w:gridSpan w:val="5"/>
            <w:shd w:val="clear" w:color="auto" w:fill="0000FF"/>
          </w:tcPr>
          <w:p>
            <w:pPr>
              <w:spacing w:after="0" w:line="20" w:lineRule="exact"/>
              <w:rPr>
                <w:sz w:val="1"/>
                <w:szCs w:val="1"/>
                <w:color w:val="auto"/>
              </w:rPr>
            </w:pPr>
          </w:p>
        </w:tc>
        <w:tc>
          <w:tcPr>
            <w:tcW w:w="800" w:type="dxa"/>
            <w:vAlign w:val="bottom"/>
            <w:shd w:val="clear" w:color="auto" w:fill="0000FF"/>
          </w:tcPr>
          <w:p>
            <w:pPr>
              <w:spacing w:after="0" w:line="20" w:lineRule="exact"/>
              <w:rPr>
                <w:sz w:val="1"/>
                <w:szCs w:val="1"/>
                <w:color w:val="auto"/>
              </w:rPr>
            </w:pPr>
          </w:p>
        </w:tc>
        <w:tc>
          <w:tcPr>
            <w:tcW w:w="1480" w:type="dxa"/>
            <w:vAlign w:val="bottom"/>
            <w:gridSpan w:val="3"/>
            <w:shd w:val="clear" w:color="auto" w:fill="0000FF"/>
          </w:tcPr>
          <w:p>
            <w:pPr>
              <w:spacing w:after="0" w:line="20" w:lineRule="exact"/>
              <w:rPr>
                <w:sz w:val="1"/>
                <w:szCs w:val="1"/>
                <w:color w:val="auto"/>
              </w:rPr>
            </w:pPr>
          </w:p>
        </w:tc>
        <w:tc>
          <w:tcPr>
            <w:tcW w:w="1220" w:type="dxa"/>
            <w:vAlign w:val="bottom"/>
            <w:gridSpan w:val="2"/>
            <w:shd w:val="clear" w:color="auto" w:fill="0000FF"/>
          </w:tcPr>
          <w:p>
            <w:pPr>
              <w:spacing w:after="0" w:line="20" w:lineRule="exact"/>
              <w:rPr>
                <w:sz w:val="1"/>
                <w:szCs w:val="1"/>
                <w:color w:val="auto"/>
              </w:rPr>
            </w:pPr>
          </w:p>
        </w:tc>
        <w:tc>
          <w:tcPr>
            <w:tcW w:w="2800" w:type="dxa"/>
            <w:vAlign w:val="bottom"/>
            <w:gridSpan w:val="3"/>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83"/>
        </w:trPr>
        <w:tc>
          <w:tcPr>
            <w:tcW w:w="54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10440" w:type="dxa"/>
            <w:vAlign w:val="bottom"/>
            <w:tcBorders>
              <w:bottom w:val="single" w:sz="8" w:color="0000FF"/>
            </w:tcBorders>
            <w:gridSpan w:val="15"/>
          </w:tcPr>
          <w:p>
            <w:pPr>
              <w:spacing w:after="0" w:line="182" w:lineRule="exact"/>
              <w:rPr>
                <w:rFonts w:ascii="Arial" w:cs="Arial" w:eastAsia="Arial" w:hAnsi="Arial"/>
                <w:sz w:val="18"/>
                <w:szCs w:val="18"/>
                <w:color w:val="0000FF"/>
              </w:rPr>
            </w:pPr>
            <w:hyperlink r:id="rId102">
              <w:r>
                <w:rPr>
                  <w:rFonts w:ascii="Arial" w:cs="Arial" w:eastAsia="Arial" w:hAnsi="Arial"/>
                  <w:sz w:val="18"/>
                  <w:szCs w:val="18"/>
                  <w:color w:val="0000FF"/>
                </w:rPr>
                <w:t>Class B Trustee, to the Pass Through Trust Agreement, dated as of March 12, 2013 (incorporated by reference to Exhibit 4.2 to</w:t>
              </w:r>
            </w:hyperlink>
          </w:p>
        </w:tc>
      </w:tr>
      <w:tr>
        <w:trPr>
          <w:trHeight w:val="183"/>
        </w:trPr>
        <w:tc>
          <w:tcPr>
            <w:tcW w:w="54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10440" w:type="dxa"/>
            <w:vAlign w:val="bottom"/>
            <w:gridSpan w:val="15"/>
          </w:tcPr>
          <w:p>
            <w:pPr>
              <w:spacing w:after="0" w:line="182" w:lineRule="exact"/>
              <w:rPr>
                <w:rFonts w:ascii="Arial" w:cs="Arial" w:eastAsia="Arial" w:hAnsi="Arial"/>
                <w:sz w:val="18"/>
                <w:szCs w:val="18"/>
                <w:color w:val="0000FF"/>
              </w:rPr>
            </w:pPr>
            <w:hyperlink r:id="rId102">
              <w:r>
                <w:rPr>
                  <w:rFonts w:ascii="Arial" w:cs="Arial" w:eastAsia="Arial" w:hAnsi="Arial"/>
                  <w:sz w:val="18"/>
                  <w:szCs w:val="18"/>
                  <w:color w:val="0000FF"/>
                </w:rPr>
                <w:t>AMR’s Current Report on Form 8-K filed on November 27, 2013 (Commission File No. 1-8400)).</w:t>
              </w:r>
            </w:hyperlink>
          </w:p>
        </w:tc>
      </w:tr>
      <w:tr>
        <w:trPr>
          <w:trHeight w:val="20"/>
        </w:trPr>
        <w:tc>
          <w:tcPr>
            <w:tcW w:w="54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4120" w:type="dxa"/>
            <w:vAlign w:val="bottom"/>
            <w:gridSpan w:val="5"/>
            <w:shd w:val="clear" w:color="auto" w:fill="0000FF"/>
          </w:tcPr>
          <w:p>
            <w:pPr>
              <w:spacing w:after="0" w:line="20" w:lineRule="exact"/>
              <w:rPr>
                <w:sz w:val="1"/>
                <w:szCs w:val="1"/>
                <w:color w:val="auto"/>
              </w:rPr>
            </w:pPr>
          </w:p>
        </w:tc>
        <w:tc>
          <w:tcPr>
            <w:tcW w:w="800" w:type="dxa"/>
            <w:vAlign w:val="bottom"/>
            <w:shd w:val="clear" w:color="auto" w:fill="0000FF"/>
          </w:tcPr>
          <w:p>
            <w:pPr>
              <w:spacing w:after="0" w:line="20" w:lineRule="exact"/>
              <w:rPr>
                <w:sz w:val="1"/>
                <w:szCs w:val="1"/>
                <w:color w:val="auto"/>
              </w:rPr>
            </w:pPr>
          </w:p>
        </w:tc>
        <w:tc>
          <w:tcPr>
            <w:tcW w:w="1480" w:type="dxa"/>
            <w:vAlign w:val="bottom"/>
            <w:gridSpan w:val="3"/>
            <w:shd w:val="clear" w:color="auto" w:fill="0000FF"/>
          </w:tcPr>
          <w:p>
            <w:pPr>
              <w:spacing w:after="0" w:line="20" w:lineRule="exact"/>
              <w:rPr>
                <w:sz w:val="1"/>
                <w:szCs w:val="1"/>
                <w:color w:val="auto"/>
              </w:rPr>
            </w:pPr>
          </w:p>
        </w:tc>
        <w:tc>
          <w:tcPr>
            <w:tcW w:w="1220" w:type="dxa"/>
            <w:vAlign w:val="bottom"/>
            <w:gridSpan w:val="2"/>
            <w:shd w:val="clear" w:color="auto" w:fill="0000FF"/>
          </w:tcPr>
          <w:p>
            <w:pPr>
              <w:spacing w:after="0" w:line="20" w:lineRule="exact"/>
              <w:rPr>
                <w:sz w:val="1"/>
                <w:szCs w:val="1"/>
                <w:color w:val="auto"/>
              </w:rPr>
            </w:pPr>
          </w:p>
        </w:tc>
        <w:tc>
          <w:tcPr>
            <w:tcW w:w="280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37"/>
        </w:trPr>
        <w:tc>
          <w:tcPr>
            <w:tcW w:w="540" w:type="dxa"/>
            <w:vAlign w:val="bottom"/>
          </w:tcPr>
          <w:p>
            <w:pPr>
              <w:spacing w:after="0"/>
              <w:rPr>
                <w:sz w:val="20"/>
                <w:szCs w:val="20"/>
                <w:color w:val="auto"/>
              </w:rPr>
            </w:pPr>
            <w:r>
              <w:rPr>
                <w:rFonts w:ascii="Arial" w:cs="Arial" w:eastAsia="Arial" w:hAnsi="Arial"/>
                <w:sz w:val="18"/>
                <w:szCs w:val="18"/>
                <w:color w:val="auto"/>
              </w:rPr>
              <w:t>4.4</w:t>
            </w:r>
          </w:p>
        </w:tc>
        <w:tc>
          <w:tcPr>
            <w:tcW w:w="380" w:type="dxa"/>
            <w:vAlign w:val="bottom"/>
          </w:tcPr>
          <w:p>
            <w:pPr>
              <w:spacing w:after="0"/>
              <w:rPr>
                <w:sz w:val="20"/>
                <w:szCs w:val="20"/>
                <w:color w:val="auto"/>
              </w:rPr>
            </w:pPr>
          </w:p>
        </w:tc>
        <w:tc>
          <w:tcPr>
            <w:tcW w:w="10440" w:type="dxa"/>
            <w:vAlign w:val="bottom"/>
            <w:tcBorders>
              <w:bottom w:val="single" w:sz="8" w:color="0000FF"/>
            </w:tcBorders>
            <w:gridSpan w:val="15"/>
          </w:tcPr>
          <w:p>
            <w:pPr>
              <w:spacing w:after="0"/>
              <w:rPr>
                <w:rFonts w:ascii="Arial" w:cs="Arial" w:eastAsia="Arial" w:hAnsi="Arial"/>
                <w:sz w:val="18"/>
                <w:szCs w:val="18"/>
                <w:color w:val="0000FF"/>
              </w:rPr>
            </w:pPr>
            <w:hyperlink r:id="rId102">
              <w:r>
                <w:rPr>
                  <w:rFonts w:ascii="Arial" w:cs="Arial" w:eastAsia="Arial" w:hAnsi="Arial"/>
                  <w:sz w:val="18"/>
                  <w:szCs w:val="18"/>
                  <w:color w:val="0000FF"/>
                </w:rPr>
                <w:t>Form of Pass Through Trust Certificate, Series 2013-2B (incorporated by reference to Exhibit A to Exhibit 4.2 to AMR’s Current</w:t>
              </w:r>
            </w:hyperlink>
          </w:p>
        </w:tc>
      </w:tr>
      <w:tr>
        <w:trPr>
          <w:trHeight w:val="183"/>
        </w:trPr>
        <w:tc>
          <w:tcPr>
            <w:tcW w:w="54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6400" w:type="dxa"/>
            <w:vAlign w:val="bottom"/>
            <w:tcBorders>
              <w:bottom w:val="single" w:sz="8" w:color="0000FF"/>
            </w:tcBorders>
            <w:gridSpan w:val="9"/>
          </w:tcPr>
          <w:p>
            <w:pPr>
              <w:spacing w:after="0" w:line="182" w:lineRule="exact"/>
              <w:rPr>
                <w:rFonts w:ascii="Arial" w:cs="Arial" w:eastAsia="Arial" w:hAnsi="Arial"/>
                <w:sz w:val="18"/>
                <w:szCs w:val="18"/>
                <w:color w:val="0000FF"/>
                <w:w w:val="99"/>
              </w:rPr>
            </w:pPr>
            <w:hyperlink r:id="rId102">
              <w:r>
                <w:rPr>
                  <w:rFonts w:ascii="Arial" w:cs="Arial" w:eastAsia="Arial" w:hAnsi="Arial"/>
                  <w:sz w:val="18"/>
                  <w:szCs w:val="18"/>
                  <w:color w:val="0000FF"/>
                  <w:w w:val="99"/>
                </w:rPr>
                <w:t>Report on Form 8-K filed on November 27, 2013 (Commission File No. 1-8400)).</w:t>
              </w:r>
            </w:hyperlink>
          </w:p>
        </w:tc>
        <w:tc>
          <w:tcPr>
            <w:tcW w:w="4040" w:type="dxa"/>
            <w:vAlign w:val="bottom"/>
            <w:gridSpan w:val="6"/>
          </w:tcPr>
          <w:p>
            <w:pPr>
              <w:spacing w:after="0"/>
              <w:rPr>
                <w:sz w:val="15"/>
                <w:szCs w:val="15"/>
                <w:color w:val="auto"/>
              </w:rPr>
            </w:pPr>
          </w:p>
        </w:tc>
      </w:tr>
      <w:tr>
        <w:trPr>
          <w:trHeight w:val="237"/>
        </w:trPr>
        <w:tc>
          <w:tcPr>
            <w:tcW w:w="540" w:type="dxa"/>
            <w:vAlign w:val="bottom"/>
          </w:tcPr>
          <w:p>
            <w:pPr>
              <w:spacing w:after="0"/>
              <w:rPr>
                <w:sz w:val="20"/>
                <w:szCs w:val="20"/>
                <w:color w:val="auto"/>
              </w:rPr>
            </w:pPr>
            <w:r>
              <w:rPr>
                <w:rFonts w:ascii="Arial" w:cs="Arial" w:eastAsia="Arial" w:hAnsi="Arial"/>
                <w:sz w:val="18"/>
                <w:szCs w:val="18"/>
                <w:color w:val="auto"/>
              </w:rPr>
              <w:t>4.5</w:t>
            </w:r>
          </w:p>
        </w:tc>
        <w:tc>
          <w:tcPr>
            <w:tcW w:w="380" w:type="dxa"/>
            <w:vAlign w:val="bottom"/>
          </w:tcPr>
          <w:p>
            <w:pPr>
              <w:spacing w:after="0"/>
              <w:rPr>
                <w:sz w:val="20"/>
                <w:szCs w:val="20"/>
                <w:color w:val="auto"/>
              </w:rPr>
            </w:pPr>
          </w:p>
        </w:tc>
        <w:tc>
          <w:tcPr>
            <w:tcW w:w="10440" w:type="dxa"/>
            <w:vAlign w:val="bottom"/>
            <w:tcBorders>
              <w:bottom w:val="single" w:sz="8" w:color="0000FF"/>
            </w:tcBorders>
            <w:gridSpan w:val="15"/>
          </w:tcPr>
          <w:p>
            <w:pPr>
              <w:spacing w:after="0"/>
              <w:rPr>
                <w:rFonts w:ascii="Arial" w:cs="Arial" w:eastAsia="Arial" w:hAnsi="Arial"/>
                <w:sz w:val="18"/>
                <w:szCs w:val="18"/>
                <w:color w:val="0000FF"/>
              </w:rPr>
            </w:pPr>
            <w:hyperlink r:id="rId103">
              <w:r>
                <w:rPr>
                  <w:rFonts w:ascii="Arial" w:cs="Arial" w:eastAsia="Arial" w:hAnsi="Arial"/>
                  <w:sz w:val="18"/>
                  <w:szCs w:val="18"/>
                  <w:color w:val="0000FF"/>
                </w:rPr>
                <w:t>Revolving Credit Agreement (2013-2B), dated as of November 27, 2013, between Wilmington Trust Company, as Subordination</w:t>
              </w:r>
            </w:hyperlink>
          </w:p>
        </w:tc>
      </w:tr>
      <w:tr>
        <w:trPr>
          <w:trHeight w:val="183"/>
        </w:trPr>
        <w:tc>
          <w:tcPr>
            <w:tcW w:w="54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10440" w:type="dxa"/>
            <w:vAlign w:val="bottom"/>
            <w:tcBorders>
              <w:bottom w:val="single" w:sz="8" w:color="0000FF"/>
            </w:tcBorders>
            <w:gridSpan w:val="15"/>
          </w:tcPr>
          <w:p>
            <w:pPr>
              <w:spacing w:after="0" w:line="182" w:lineRule="exact"/>
              <w:rPr>
                <w:rFonts w:ascii="Arial" w:cs="Arial" w:eastAsia="Arial" w:hAnsi="Arial"/>
                <w:sz w:val="18"/>
                <w:szCs w:val="18"/>
                <w:color w:val="0000FF"/>
              </w:rPr>
            </w:pPr>
            <w:hyperlink r:id="rId103">
              <w:r>
                <w:rPr>
                  <w:rFonts w:ascii="Arial" w:cs="Arial" w:eastAsia="Arial" w:hAnsi="Arial"/>
                  <w:sz w:val="18"/>
                  <w:szCs w:val="18"/>
                  <w:color w:val="0000FF"/>
                </w:rPr>
                <w:t>Agent, as agent and trustee for Trustee of American Airlines Pass Through Trust 2013-2B and as Borrower, and Morgan Stanley</w:t>
              </w:r>
            </w:hyperlink>
          </w:p>
        </w:tc>
      </w:tr>
      <w:tr>
        <w:trPr>
          <w:trHeight w:val="183"/>
        </w:trPr>
        <w:tc>
          <w:tcPr>
            <w:tcW w:w="54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10440" w:type="dxa"/>
            <w:vAlign w:val="bottom"/>
            <w:tcBorders>
              <w:bottom w:val="single" w:sz="8" w:color="0000FF"/>
            </w:tcBorders>
            <w:gridSpan w:val="15"/>
          </w:tcPr>
          <w:p>
            <w:pPr>
              <w:spacing w:after="0" w:line="182" w:lineRule="exact"/>
              <w:rPr>
                <w:rFonts w:ascii="Arial" w:cs="Arial" w:eastAsia="Arial" w:hAnsi="Arial"/>
                <w:sz w:val="18"/>
                <w:szCs w:val="18"/>
                <w:color w:val="0000FF"/>
              </w:rPr>
            </w:pPr>
            <w:hyperlink r:id="rId103">
              <w:r>
                <w:rPr>
                  <w:rFonts w:ascii="Arial" w:cs="Arial" w:eastAsia="Arial" w:hAnsi="Arial"/>
                  <w:sz w:val="18"/>
                  <w:szCs w:val="18"/>
                  <w:color w:val="0000FF"/>
                </w:rPr>
                <w:t>Bank, N.A., as Class B Liquidity Provider (incorporated by reference to Exhibit 4.5 to AMR’s Current Report on Form 8-K filed on</w:t>
              </w:r>
            </w:hyperlink>
          </w:p>
        </w:tc>
      </w:tr>
      <w:tr>
        <w:trPr>
          <w:trHeight w:val="183"/>
        </w:trPr>
        <w:tc>
          <w:tcPr>
            <w:tcW w:w="54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10440" w:type="dxa"/>
            <w:vAlign w:val="bottom"/>
            <w:gridSpan w:val="15"/>
          </w:tcPr>
          <w:p>
            <w:pPr>
              <w:spacing w:after="0" w:line="182" w:lineRule="exact"/>
              <w:rPr>
                <w:rFonts w:ascii="Arial" w:cs="Arial" w:eastAsia="Arial" w:hAnsi="Arial"/>
                <w:sz w:val="18"/>
                <w:szCs w:val="18"/>
                <w:color w:val="0000FF"/>
              </w:rPr>
            </w:pPr>
            <w:hyperlink r:id="rId103">
              <w:r>
                <w:rPr>
                  <w:rFonts w:ascii="Arial" w:cs="Arial" w:eastAsia="Arial" w:hAnsi="Arial"/>
                  <w:sz w:val="18"/>
                  <w:szCs w:val="18"/>
                  <w:color w:val="0000FF"/>
                </w:rPr>
                <w:t>November 27, 2013 (Commission File No. 1-8400)).</w:t>
              </w:r>
            </w:hyperlink>
          </w:p>
        </w:tc>
      </w:tr>
      <w:tr>
        <w:trPr>
          <w:trHeight w:val="20"/>
        </w:trPr>
        <w:tc>
          <w:tcPr>
            <w:tcW w:w="54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4120" w:type="dxa"/>
            <w:vAlign w:val="bottom"/>
            <w:gridSpan w:val="5"/>
            <w:shd w:val="clear" w:color="auto" w:fill="0000FF"/>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5500" w:type="dxa"/>
            <w:vAlign w:val="bottom"/>
            <w:gridSpan w:val="8"/>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37"/>
        </w:trPr>
        <w:tc>
          <w:tcPr>
            <w:tcW w:w="540" w:type="dxa"/>
            <w:vAlign w:val="bottom"/>
          </w:tcPr>
          <w:p>
            <w:pPr>
              <w:spacing w:after="0"/>
              <w:rPr>
                <w:sz w:val="20"/>
                <w:szCs w:val="20"/>
                <w:color w:val="auto"/>
              </w:rPr>
            </w:pPr>
            <w:r>
              <w:rPr>
                <w:rFonts w:ascii="Arial" w:cs="Arial" w:eastAsia="Arial" w:hAnsi="Arial"/>
                <w:sz w:val="18"/>
                <w:szCs w:val="18"/>
                <w:color w:val="auto"/>
              </w:rPr>
              <w:t>4.6</w:t>
            </w:r>
          </w:p>
        </w:tc>
        <w:tc>
          <w:tcPr>
            <w:tcW w:w="380" w:type="dxa"/>
            <w:vAlign w:val="bottom"/>
          </w:tcPr>
          <w:p>
            <w:pPr>
              <w:spacing w:after="0"/>
              <w:rPr>
                <w:sz w:val="20"/>
                <w:szCs w:val="20"/>
                <w:color w:val="auto"/>
              </w:rPr>
            </w:pPr>
          </w:p>
        </w:tc>
        <w:tc>
          <w:tcPr>
            <w:tcW w:w="10440" w:type="dxa"/>
            <w:vAlign w:val="bottom"/>
            <w:gridSpan w:val="15"/>
          </w:tcPr>
          <w:p>
            <w:pPr>
              <w:spacing w:after="0"/>
              <w:rPr>
                <w:rFonts w:ascii="Arial" w:cs="Arial" w:eastAsia="Arial" w:hAnsi="Arial"/>
                <w:sz w:val="18"/>
                <w:szCs w:val="18"/>
                <w:color w:val="0000FF"/>
              </w:rPr>
            </w:pPr>
            <w:hyperlink r:id="rId104">
              <w:r>
                <w:rPr>
                  <w:rFonts w:ascii="Arial" w:cs="Arial" w:eastAsia="Arial" w:hAnsi="Arial"/>
                  <w:sz w:val="18"/>
                  <w:szCs w:val="18"/>
                  <w:color w:val="0000FF"/>
                </w:rPr>
                <w:t>Participation Agreement (N907AN), dated as of September 9, 2013, among American Airlines, Inc., Wilmington Trust Company, as</w:t>
              </w:r>
            </w:hyperlink>
          </w:p>
        </w:tc>
      </w:tr>
      <w:tr>
        <w:trPr>
          <w:trHeight w:val="20"/>
        </w:trPr>
        <w:tc>
          <w:tcPr>
            <w:tcW w:w="54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4920" w:type="dxa"/>
            <w:vAlign w:val="bottom"/>
            <w:gridSpan w:val="6"/>
            <w:shd w:val="clear" w:color="auto" w:fill="0000FF"/>
          </w:tcPr>
          <w:p>
            <w:pPr>
              <w:spacing w:after="0" w:line="20" w:lineRule="exact"/>
              <w:rPr>
                <w:sz w:val="1"/>
                <w:szCs w:val="1"/>
                <w:color w:val="auto"/>
              </w:rPr>
            </w:pPr>
          </w:p>
        </w:tc>
        <w:tc>
          <w:tcPr>
            <w:tcW w:w="5500" w:type="dxa"/>
            <w:vAlign w:val="bottom"/>
            <w:gridSpan w:val="8"/>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83"/>
        </w:trPr>
        <w:tc>
          <w:tcPr>
            <w:tcW w:w="54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10440" w:type="dxa"/>
            <w:vAlign w:val="bottom"/>
            <w:tcBorders>
              <w:bottom w:val="single" w:sz="8" w:color="0000FF"/>
            </w:tcBorders>
            <w:gridSpan w:val="15"/>
          </w:tcPr>
          <w:p>
            <w:pPr>
              <w:spacing w:after="0" w:line="182" w:lineRule="exact"/>
              <w:rPr>
                <w:rFonts w:ascii="Arial" w:cs="Arial" w:eastAsia="Arial" w:hAnsi="Arial"/>
                <w:sz w:val="18"/>
                <w:szCs w:val="18"/>
                <w:color w:val="0000FF"/>
              </w:rPr>
            </w:pPr>
            <w:hyperlink r:id="rId104">
              <w:r>
                <w:rPr>
                  <w:rFonts w:ascii="Arial" w:cs="Arial" w:eastAsia="Arial" w:hAnsi="Arial"/>
                  <w:sz w:val="18"/>
                  <w:szCs w:val="18"/>
                  <w:color w:val="0000FF"/>
                </w:rPr>
                <w:t>Pass Through Trustee under each of the Pass Through Trust Agreements in effect as of the date thereof, Wilmington Trust</w:t>
              </w:r>
            </w:hyperlink>
          </w:p>
        </w:tc>
      </w:tr>
      <w:tr>
        <w:trPr>
          <w:trHeight w:val="183"/>
        </w:trPr>
        <w:tc>
          <w:tcPr>
            <w:tcW w:w="54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10440" w:type="dxa"/>
            <w:vAlign w:val="bottom"/>
            <w:tcBorders>
              <w:bottom w:val="single" w:sz="8" w:color="0000FF"/>
            </w:tcBorders>
            <w:gridSpan w:val="15"/>
          </w:tcPr>
          <w:p>
            <w:pPr>
              <w:spacing w:after="0" w:line="182" w:lineRule="exact"/>
              <w:rPr>
                <w:rFonts w:ascii="Arial" w:cs="Arial" w:eastAsia="Arial" w:hAnsi="Arial"/>
                <w:sz w:val="18"/>
                <w:szCs w:val="18"/>
                <w:color w:val="0000FF"/>
              </w:rPr>
            </w:pPr>
            <w:hyperlink r:id="rId104">
              <w:r>
                <w:rPr>
                  <w:rFonts w:ascii="Arial" w:cs="Arial" w:eastAsia="Arial" w:hAnsi="Arial"/>
                  <w:sz w:val="18"/>
                  <w:szCs w:val="18"/>
                  <w:color w:val="0000FF"/>
                </w:rPr>
                <w:t>Company, as Subordination Agent, Wilmington Trust Company, as Loan Trustee, and Wilmington Trust Company, in its individual</w:t>
              </w:r>
            </w:hyperlink>
          </w:p>
        </w:tc>
      </w:tr>
      <w:tr>
        <w:trPr>
          <w:trHeight w:val="183"/>
        </w:trPr>
        <w:tc>
          <w:tcPr>
            <w:tcW w:w="54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10440" w:type="dxa"/>
            <w:vAlign w:val="bottom"/>
            <w:tcBorders>
              <w:bottom w:val="single" w:sz="8" w:color="0000FF"/>
            </w:tcBorders>
            <w:gridSpan w:val="15"/>
          </w:tcPr>
          <w:p>
            <w:pPr>
              <w:spacing w:after="0" w:line="182" w:lineRule="exact"/>
              <w:rPr>
                <w:rFonts w:ascii="Arial" w:cs="Arial" w:eastAsia="Arial" w:hAnsi="Arial"/>
                <w:sz w:val="18"/>
                <w:szCs w:val="18"/>
                <w:color w:val="0000FF"/>
              </w:rPr>
            </w:pPr>
            <w:hyperlink r:id="rId104">
              <w:r>
                <w:rPr>
                  <w:rFonts w:ascii="Arial" w:cs="Arial" w:eastAsia="Arial" w:hAnsi="Arial"/>
                  <w:sz w:val="18"/>
                  <w:szCs w:val="18"/>
                  <w:color w:val="0000FF"/>
                </w:rPr>
                <w:t>capacity as set forth therein (incorporated by reference to Exhibit 4.6 to AMR’s Current Report on Form 8-K filed on November 27,</w:t>
              </w:r>
            </w:hyperlink>
          </w:p>
        </w:tc>
      </w:tr>
      <w:tr>
        <w:trPr>
          <w:trHeight w:val="183"/>
        </w:trPr>
        <w:tc>
          <w:tcPr>
            <w:tcW w:w="54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10440" w:type="dxa"/>
            <w:vAlign w:val="bottom"/>
            <w:gridSpan w:val="15"/>
          </w:tcPr>
          <w:p>
            <w:pPr>
              <w:spacing w:after="0" w:line="182" w:lineRule="exact"/>
              <w:rPr>
                <w:rFonts w:ascii="Arial" w:cs="Arial" w:eastAsia="Arial" w:hAnsi="Arial"/>
                <w:sz w:val="18"/>
                <w:szCs w:val="18"/>
                <w:color w:val="0000FF"/>
              </w:rPr>
            </w:pPr>
            <w:hyperlink r:id="rId104">
              <w:r>
                <w:rPr>
                  <w:rFonts w:ascii="Arial" w:cs="Arial" w:eastAsia="Arial" w:hAnsi="Arial"/>
                  <w:sz w:val="18"/>
                  <w:szCs w:val="18"/>
                  <w:color w:val="0000FF"/>
                </w:rPr>
                <w:t>2013 (Commission File No. 1-8400)).</w:t>
              </w:r>
            </w:hyperlink>
          </w:p>
        </w:tc>
      </w:tr>
      <w:tr>
        <w:trPr>
          <w:trHeight w:val="20"/>
        </w:trPr>
        <w:tc>
          <w:tcPr>
            <w:tcW w:w="54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940" w:type="dxa"/>
            <w:vAlign w:val="bottom"/>
            <w:gridSpan w:val="4"/>
            <w:shd w:val="clear" w:color="auto" w:fill="0000FF"/>
          </w:tcPr>
          <w:p>
            <w:pPr>
              <w:spacing w:after="0" w:line="20" w:lineRule="exact"/>
              <w:rPr>
                <w:sz w:val="1"/>
                <w:szCs w:val="1"/>
                <w:color w:val="auto"/>
              </w:rPr>
            </w:pPr>
          </w:p>
        </w:tc>
        <w:tc>
          <w:tcPr>
            <w:tcW w:w="1980" w:type="dxa"/>
            <w:vAlign w:val="bottom"/>
            <w:gridSpan w:val="2"/>
          </w:tcPr>
          <w:p>
            <w:pPr>
              <w:spacing w:after="0" w:line="20" w:lineRule="exact"/>
              <w:rPr>
                <w:sz w:val="1"/>
                <w:szCs w:val="1"/>
                <w:color w:val="auto"/>
              </w:rPr>
            </w:pPr>
          </w:p>
        </w:tc>
        <w:tc>
          <w:tcPr>
            <w:tcW w:w="5500" w:type="dxa"/>
            <w:vAlign w:val="bottom"/>
            <w:gridSpan w:val="8"/>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37"/>
        </w:trPr>
        <w:tc>
          <w:tcPr>
            <w:tcW w:w="540" w:type="dxa"/>
            <w:vAlign w:val="bottom"/>
          </w:tcPr>
          <w:p>
            <w:pPr>
              <w:spacing w:after="0"/>
              <w:rPr>
                <w:sz w:val="20"/>
                <w:szCs w:val="20"/>
                <w:color w:val="auto"/>
              </w:rPr>
            </w:pPr>
            <w:r>
              <w:rPr>
                <w:rFonts w:ascii="Arial" w:cs="Arial" w:eastAsia="Arial" w:hAnsi="Arial"/>
                <w:sz w:val="18"/>
                <w:szCs w:val="18"/>
                <w:color w:val="auto"/>
              </w:rPr>
              <w:t>4.7</w:t>
            </w:r>
          </w:p>
        </w:tc>
        <w:tc>
          <w:tcPr>
            <w:tcW w:w="380" w:type="dxa"/>
            <w:vAlign w:val="bottom"/>
          </w:tcPr>
          <w:p>
            <w:pPr>
              <w:spacing w:after="0"/>
              <w:rPr>
                <w:sz w:val="20"/>
                <w:szCs w:val="20"/>
                <w:color w:val="auto"/>
              </w:rPr>
            </w:pPr>
          </w:p>
        </w:tc>
        <w:tc>
          <w:tcPr>
            <w:tcW w:w="10420" w:type="dxa"/>
            <w:vAlign w:val="bottom"/>
            <w:tcBorders>
              <w:bottom w:val="single" w:sz="8" w:color="0000FF"/>
            </w:tcBorders>
            <w:gridSpan w:val="14"/>
          </w:tcPr>
          <w:p>
            <w:pPr>
              <w:spacing w:after="0"/>
              <w:rPr>
                <w:rFonts w:ascii="Arial" w:cs="Arial" w:eastAsia="Arial" w:hAnsi="Arial"/>
                <w:sz w:val="18"/>
                <w:szCs w:val="18"/>
                <w:color w:val="0000FF"/>
              </w:rPr>
            </w:pPr>
            <w:hyperlink r:id="rId105">
              <w:r>
                <w:rPr>
                  <w:rFonts w:ascii="Arial" w:cs="Arial" w:eastAsia="Arial" w:hAnsi="Arial"/>
                  <w:sz w:val="18"/>
                  <w:szCs w:val="18"/>
                  <w:color w:val="0000FF"/>
                </w:rPr>
                <w:t>Indenture and Security Agreement (N907AN), dated as of September 9, 2013, between American Airlines, Inc. and Wilmington</w:t>
              </w:r>
            </w:hyperlink>
          </w:p>
        </w:tc>
        <w:tc>
          <w:tcPr>
            <w:tcW w:w="20" w:type="dxa"/>
            <w:vAlign w:val="bottom"/>
          </w:tcPr>
          <w:p>
            <w:pPr>
              <w:spacing w:after="0"/>
              <w:rPr>
                <w:sz w:val="20"/>
                <w:szCs w:val="20"/>
                <w:color w:val="auto"/>
              </w:rPr>
            </w:pPr>
          </w:p>
        </w:tc>
      </w:tr>
      <w:tr>
        <w:trPr>
          <w:trHeight w:val="183"/>
        </w:trPr>
        <w:tc>
          <w:tcPr>
            <w:tcW w:w="54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10440" w:type="dxa"/>
            <w:vAlign w:val="bottom"/>
            <w:tcBorders>
              <w:bottom w:val="single" w:sz="8" w:color="0000FF"/>
            </w:tcBorders>
            <w:gridSpan w:val="15"/>
          </w:tcPr>
          <w:p>
            <w:pPr>
              <w:spacing w:after="0" w:line="182" w:lineRule="exact"/>
              <w:rPr>
                <w:rFonts w:ascii="Arial" w:cs="Arial" w:eastAsia="Arial" w:hAnsi="Arial"/>
                <w:sz w:val="18"/>
                <w:szCs w:val="18"/>
                <w:color w:val="0000FF"/>
              </w:rPr>
            </w:pPr>
            <w:hyperlink r:id="rId105">
              <w:r>
                <w:rPr>
                  <w:rFonts w:ascii="Arial" w:cs="Arial" w:eastAsia="Arial" w:hAnsi="Arial"/>
                  <w:sz w:val="18"/>
                  <w:szCs w:val="18"/>
                  <w:color w:val="0000FF"/>
                </w:rPr>
                <w:t>Trust Company, as Loan Trustee (incorporated by reference to Exhibit 4.7 to AMR’s Current Report on Form 8-K filed on</w:t>
              </w:r>
            </w:hyperlink>
          </w:p>
        </w:tc>
      </w:tr>
      <w:tr>
        <w:trPr>
          <w:trHeight w:val="183"/>
        </w:trPr>
        <w:tc>
          <w:tcPr>
            <w:tcW w:w="54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10440" w:type="dxa"/>
            <w:vAlign w:val="bottom"/>
            <w:gridSpan w:val="15"/>
          </w:tcPr>
          <w:p>
            <w:pPr>
              <w:spacing w:after="0" w:line="182" w:lineRule="exact"/>
              <w:rPr>
                <w:rFonts w:ascii="Arial" w:cs="Arial" w:eastAsia="Arial" w:hAnsi="Arial"/>
                <w:sz w:val="18"/>
                <w:szCs w:val="18"/>
                <w:color w:val="0000FF"/>
              </w:rPr>
            </w:pPr>
            <w:hyperlink r:id="rId105">
              <w:r>
                <w:rPr>
                  <w:rFonts w:ascii="Arial" w:cs="Arial" w:eastAsia="Arial" w:hAnsi="Arial"/>
                  <w:sz w:val="18"/>
                  <w:szCs w:val="18"/>
                  <w:color w:val="0000FF"/>
                </w:rPr>
                <w:t>November 27, 2013 (Commission File No. 1-8400)).</w:t>
              </w:r>
            </w:hyperlink>
          </w:p>
        </w:tc>
      </w:tr>
      <w:tr>
        <w:trPr>
          <w:trHeight w:val="20"/>
        </w:trPr>
        <w:tc>
          <w:tcPr>
            <w:tcW w:w="54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4120" w:type="dxa"/>
            <w:vAlign w:val="bottom"/>
            <w:gridSpan w:val="5"/>
            <w:shd w:val="clear" w:color="auto" w:fill="0000FF"/>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5500" w:type="dxa"/>
            <w:vAlign w:val="bottom"/>
            <w:gridSpan w:val="8"/>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37"/>
        </w:trPr>
        <w:tc>
          <w:tcPr>
            <w:tcW w:w="540" w:type="dxa"/>
            <w:vAlign w:val="bottom"/>
          </w:tcPr>
          <w:p>
            <w:pPr>
              <w:spacing w:after="0"/>
              <w:rPr>
                <w:sz w:val="20"/>
                <w:szCs w:val="20"/>
                <w:color w:val="auto"/>
              </w:rPr>
            </w:pPr>
            <w:r>
              <w:rPr>
                <w:rFonts w:ascii="Arial" w:cs="Arial" w:eastAsia="Arial" w:hAnsi="Arial"/>
                <w:sz w:val="18"/>
                <w:szCs w:val="18"/>
                <w:color w:val="auto"/>
              </w:rPr>
              <w:t>4.8</w:t>
            </w:r>
          </w:p>
        </w:tc>
        <w:tc>
          <w:tcPr>
            <w:tcW w:w="380" w:type="dxa"/>
            <w:vAlign w:val="bottom"/>
          </w:tcPr>
          <w:p>
            <w:pPr>
              <w:spacing w:after="0"/>
              <w:rPr>
                <w:sz w:val="20"/>
                <w:szCs w:val="20"/>
                <w:color w:val="auto"/>
              </w:rPr>
            </w:pPr>
          </w:p>
        </w:tc>
        <w:tc>
          <w:tcPr>
            <w:tcW w:w="10440" w:type="dxa"/>
            <w:vAlign w:val="bottom"/>
            <w:tcBorders>
              <w:bottom w:val="single" w:sz="8" w:color="0000FF"/>
            </w:tcBorders>
            <w:gridSpan w:val="15"/>
          </w:tcPr>
          <w:p>
            <w:pPr>
              <w:spacing w:after="0"/>
              <w:rPr>
                <w:rFonts w:ascii="Arial" w:cs="Arial" w:eastAsia="Arial" w:hAnsi="Arial"/>
                <w:sz w:val="18"/>
                <w:szCs w:val="18"/>
                <w:color w:val="0000FF"/>
              </w:rPr>
            </w:pPr>
            <w:hyperlink r:id="rId106">
              <w:r>
                <w:rPr>
                  <w:rFonts w:ascii="Arial" w:cs="Arial" w:eastAsia="Arial" w:hAnsi="Arial"/>
                  <w:sz w:val="18"/>
                  <w:szCs w:val="18"/>
                  <w:color w:val="0000FF"/>
                </w:rPr>
                <w:t>First Amendment to Participation Agreement (N907AN), dated as of November 27, 2013, among American Airlines, Inc.,</w:t>
              </w:r>
            </w:hyperlink>
          </w:p>
        </w:tc>
      </w:tr>
      <w:tr>
        <w:trPr>
          <w:trHeight w:val="183"/>
        </w:trPr>
        <w:tc>
          <w:tcPr>
            <w:tcW w:w="54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10440" w:type="dxa"/>
            <w:vAlign w:val="bottom"/>
            <w:tcBorders>
              <w:bottom w:val="single" w:sz="8" w:color="0000FF"/>
            </w:tcBorders>
            <w:gridSpan w:val="15"/>
          </w:tcPr>
          <w:p>
            <w:pPr>
              <w:spacing w:after="0" w:line="182" w:lineRule="exact"/>
              <w:rPr>
                <w:rFonts w:ascii="Arial" w:cs="Arial" w:eastAsia="Arial" w:hAnsi="Arial"/>
                <w:sz w:val="18"/>
                <w:szCs w:val="18"/>
                <w:color w:val="0000FF"/>
              </w:rPr>
            </w:pPr>
            <w:hyperlink r:id="rId106">
              <w:r>
                <w:rPr>
                  <w:rFonts w:ascii="Arial" w:cs="Arial" w:eastAsia="Arial" w:hAnsi="Arial"/>
                  <w:sz w:val="18"/>
                  <w:szCs w:val="18"/>
                  <w:color w:val="0000FF"/>
                </w:rPr>
                <w:t>Wilmington Trust Company, as Pass Through Trustee under each of the Pass Through Trust Agreements, Wilmington Trust</w:t>
              </w:r>
            </w:hyperlink>
          </w:p>
        </w:tc>
      </w:tr>
      <w:tr>
        <w:trPr>
          <w:trHeight w:val="183"/>
        </w:trPr>
        <w:tc>
          <w:tcPr>
            <w:tcW w:w="54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10440" w:type="dxa"/>
            <w:vAlign w:val="bottom"/>
            <w:tcBorders>
              <w:bottom w:val="single" w:sz="8" w:color="0000FF"/>
            </w:tcBorders>
            <w:gridSpan w:val="15"/>
          </w:tcPr>
          <w:p>
            <w:pPr>
              <w:spacing w:after="0" w:line="182" w:lineRule="exact"/>
              <w:rPr>
                <w:rFonts w:ascii="Arial" w:cs="Arial" w:eastAsia="Arial" w:hAnsi="Arial"/>
                <w:sz w:val="18"/>
                <w:szCs w:val="18"/>
                <w:color w:val="0000FF"/>
              </w:rPr>
            </w:pPr>
            <w:hyperlink r:id="rId106">
              <w:r>
                <w:rPr>
                  <w:rFonts w:ascii="Arial" w:cs="Arial" w:eastAsia="Arial" w:hAnsi="Arial"/>
                  <w:sz w:val="18"/>
                  <w:szCs w:val="18"/>
                  <w:color w:val="0000FF"/>
                </w:rPr>
                <w:t>Company, as Subordination Agent, Wilmington Trust Company, as Loan Trustee, and Wilmington Trust Company, in its individual</w:t>
              </w:r>
            </w:hyperlink>
          </w:p>
        </w:tc>
      </w:tr>
      <w:tr>
        <w:trPr>
          <w:trHeight w:val="183"/>
        </w:trPr>
        <w:tc>
          <w:tcPr>
            <w:tcW w:w="54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10440" w:type="dxa"/>
            <w:vAlign w:val="bottom"/>
            <w:tcBorders>
              <w:bottom w:val="single" w:sz="8" w:color="0000FF"/>
            </w:tcBorders>
            <w:gridSpan w:val="15"/>
          </w:tcPr>
          <w:p>
            <w:pPr>
              <w:spacing w:after="0" w:line="182" w:lineRule="exact"/>
              <w:rPr>
                <w:rFonts w:ascii="Arial" w:cs="Arial" w:eastAsia="Arial" w:hAnsi="Arial"/>
                <w:sz w:val="18"/>
                <w:szCs w:val="18"/>
                <w:color w:val="0000FF"/>
              </w:rPr>
            </w:pPr>
            <w:hyperlink r:id="rId106">
              <w:r>
                <w:rPr>
                  <w:rFonts w:ascii="Arial" w:cs="Arial" w:eastAsia="Arial" w:hAnsi="Arial"/>
                  <w:sz w:val="18"/>
                  <w:szCs w:val="18"/>
                  <w:color w:val="0000FF"/>
                </w:rPr>
                <w:t>capacity as set forth therein (incorporated by reference to Exhibit 4.8 to AMR’s Current Report on Form 8-K filed on November 27,</w:t>
              </w:r>
            </w:hyperlink>
          </w:p>
        </w:tc>
      </w:tr>
      <w:tr>
        <w:trPr>
          <w:trHeight w:val="183"/>
        </w:trPr>
        <w:tc>
          <w:tcPr>
            <w:tcW w:w="54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10440" w:type="dxa"/>
            <w:vAlign w:val="bottom"/>
            <w:gridSpan w:val="15"/>
          </w:tcPr>
          <w:p>
            <w:pPr>
              <w:spacing w:after="0" w:line="182" w:lineRule="exact"/>
              <w:rPr>
                <w:rFonts w:ascii="Arial" w:cs="Arial" w:eastAsia="Arial" w:hAnsi="Arial"/>
                <w:sz w:val="18"/>
                <w:szCs w:val="18"/>
                <w:color w:val="0000FF"/>
              </w:rPr>
            </w:pPr>
            <w:hyperlink r:id="rId106">
              <w:r>
                <w:rPr>
                  <w:rFonts w:ascii="Arial" w:cs="Arial" w:eastAsia="Arial" w:hAnsi="Arial"/>
                  <w:sz w:val="18"/>
                  <w:szCs w:val="18"/>
                  <w:color w:val="0000FF"/>
                </w:rPr>
                <w:t>2013 (Commission File No. 1-8400)).</w:t>
              </w:r>
            </w:hyperlink>
          </w:p>
        </w:tc>
      </w:tr>
      <w:tr>
        <w:trPr>
          <w:trHeight w:val="20"/>
        </w:trPr>
        <w:tc>
          <w:tcPr>
            <w:tcW w:w="54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940" w:type="dxa"/>
            <w:vAlign w:val="bottom"/>
            <w:gridSpan w:val="4"/>
            <w:shd w:val="clear" w:color="auto" w:fill="0000FF"/>
          </w:tcPr>
          <w:p>
            <w:pPr>
              <w:spacing w:after="0" w:line="20" w:lineRule="exact"/>
              <w:rPr>
                <w:sz w:val="1"/>
                <w:szCs w:val="1"/>
                <w:color w:val="auto"/>
              </w:rPr>
            </w:pPr>
          </w:p>
        </w:tc>
        <w:tc>
          <w:tcPr>
            <w:tcW w:w="1980" w:type="dxa"/>
            <w:vAlign w:val="bottom"/>
            <w:gridSpan w:val="2"/>
          </w:tcPr>
          <w:p>
            <w:pPr>
              <w:spacing w:after="0" w:line="20" w:lineRule="exact"/>
              <w:rPr>
                <w:sz w:val="1"/>
                <w:szCs w:val="1"/>
                <w:color w:val="auto"/>
              </w:rPr>
            </w:pPr>
          </w:p>
        </w:tc>
        <w:tc>
          <w:tcPr>
            <w:tcW w:w="5500" w:type="dxa"/>
            <w:vAlign w:val="bottom"/>
            <w:gridSpan w:val="8"/>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37"/>
        </w:trPr>
        <w:tc>
          <w:tcPr>
            <w:tcW w:w="540" w:type="dxa"/>
            <w:vAlign w:val="bottom"/>
          </w:tcPr>
          <w:p>
            <w:pPr>
              <w:spacing w:after="0"/>
              <w:rPr>
                <w:sz w:val="20"/>
                <w:szCs w:val="20"/>
                <w:color w:val="auto"/>
              </w:rPr>
            </w:pPr>
            <w:r>
              <w:rPr>
                <w:rFonts w:ascii="Arial" w:cs="Arial" w:eastAsia="Arial" w:hAnsi="Arial"/>
                <w:sz w:val="18"/>
                <w:szCs w:val="18"/>
                <w:color w:val="auto"/>
              </w:rPr>
              <w:t>4.9</w:t>
            </w:r>
          </w:p>
        </w:tc>
        <w:tc>
          <w:tcPr>
            <w:tcW w:w="380" w:type="dxa"/>
            <w:vAlign w:val="bottom"/>
          </w:tcPr>
          <w:p>
            <w:pPr>
              <w:spacing w:after="0"/>
              <w:rPr>
                <w:sz w:val="20"/>
                <w:szCs w:val="20"/>
                <w:color w:val="auto"/>
              </w:rPr>
            </w:pPr>
          </w:p>
        </w:tc>
        <w:tc>
          <w:tcPr>
            <w:tcW w:w="10440" w:type="dxa"/>
            <w:vAlign w:val="bottom"/>
            <w:tcBorders>
              <w:bottom w:val="single" w:sz="8" w:color="0000FF"/>
            </w:tcBorders>
            <w:gridSpan w:val="15"/>
          </w:tcPr>
          <w:p>
            <w:pPr>
              <w:spacing w:after="0"/>
              <w:rPr>
                <w:rFonts w:ascii="Arial" w:cs="Arial" w:eastAsia="Arial" w:hAnsi="Arial"/>
                <w:sz w:val="18"/>
                <w:szCs w:val="18"/>
                <w:color w:val="0000FF"/>
              </w:rPr>
            </w:pPr>
            <w:hyperlink r:id="rId107">
              <w:r>
                <w:rPr>
                  <w:rFonts w:ascii="Arial" w:cs="Arial" w:eastAsia="Arial" w:hAnsi="Arial"/>
                  <w:sz w:val="18"/>
                  <w:szCs w:val="18"/>
                  <w:color w:val="0000FF"/>
                </w:rPr>
                <w:t>First Amendment to Indenture and Security Agreement (N907AN), dated as of November 27, 2013, between American Airlines,</w:t>
              </w:r>
            </w:hyperlink>
          </w:p>
        </w:tc>
      </w:tr>
      <w:tr>
        <w:trPr>
          <w:trHeight w:val="183"/>
        </w:trPr>
        <w:tc>
          <w:tcPr>
            <w:tcW w:w="54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10440" w:type="dxa"/>
            <w:vAlign w:val="bottom"/>
            <w:tcBorders>
              <w:bottom w:val="single" w:sz="8" w:color="0000FF"/>
            </w:tcBorders>
            <w:gridSpan w:val="15"/>
          </w:tcPr>
          <w:p>
            <w:pPr>
              <w:spacing w:after="0" w:line="182" w:lineRule="exact"/>
              <w:rPr>
                <w:rFonts w:ascii="Arial" w:cs="Arial" w:eastAsia="Arial" w:hAnsi="Arial"/>
                <w:sz w:val="18"/>
                <w:szCs w:val="18"/>
                <w:color w:val="0000FF"/>
                <w:w w:val="99"/>
              </w:rPr>
            </w:pPr>
            <w:hyperlink r:id="rId107">
              <w:r>
                <w:rPr>
                  <w:rFonts w:ascii="Arial" w:cs="Arial" w:eastAsia="Arial" w:hAnsi="Arial"/>
                  <w:sz w:val="18"/>
                  <w:szCs w:val="18"/>
                  <w:color w:val="0000FF"/>
                  <w:w w:val="99"/>
                </w:rPr>
                <w:t>Inc. and Wilmington Trust Company, as Loan Trustee (incorporated by reference to Exhibit 4.9 to AMR’s Current Report on Form 8-</w:t>
              </w:r>
            </w:hyperlink>
          </w:p>
        </w:tc>
      </w:tr>
      <w:tr>
        <w:trPr>
          <w:trHeight w:val="183"/>
        </w:trPr>
        <w:tc>
          <w:tcPr>
            <w:tcW w:w="54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10440" w:type="dxa"/>
            <w:vAlign w:val="bottom"/>
            <w:gridSpan w:val="15"/>
          </w:tcPr>
          <w:p>
            <w:pPr>
              <w:spacing w:after="0" w:line="182" w:lineRule="exact"/>
              <w:rPr>
                <w:rFonts w:ascii="Arial" w:cs="Arial" w:eastAsia="Arial" w:hAnsi="Arial"/>
                <w:sz w:val="18"/>
                <w:szCs w:val="18"/>
                <w:color w:val="0000FF"/>
              </w:rPr>
            </w:pPr>
            <w:hyperlink r:id="rId107">
              <w:r>
                <w:rPr>
                  <w:rFonts w:ascii="Arial" w:cs="Arial" w:eastAsia="Arial" w:hAnsi="Arial"/>
                  <w:sz w:val="18"/>
                  <w:szCs w:val="18"/>
                  <w:color w:val="0000FF"/>
                </w:rPr>
                <w:t>K filed on November 27, 2013 (Commission File No. 1-8400)).</w:t>
              </w:r>
            </w:hyperlink>
          </w:p>
        </w:tc>
      </w:tr>
      <w:tr>
        <w:trPr>
          <w:trHeight w:val="20"/>
        </w:trPr>
        <w:tc>
          <w:tcPr>
            <w:tcW w:w="54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4920" w:type="dxa"/>
            <w:vAlign w:val="bottom"/>
            <w:gridSpan w:val="6"/>
            <w:shd w:val="clear" w:color="auto" w:fill="0000FF"/>
          </w:tcPr>
          <w:p>
            <w:pPr>
              <w:spacing w:after="0" w:line="20" w:lineRule="exact"/>
              <w:rPr>
                <w:sz w:val="1"/>
                <w:szCs w:val="1"/>
                <w:color w:val="auto"/>
              </w:rPr>
            </w:pPr>
          </w:p>
        </w:tc>
        <w:tc>
          <w:tcPr>
            <w:tcW w:w="5500" w:type="dxa"/>
            <w:vAlign w:val="bottom"/>
            <w:gridSpan w:val="8"/>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37"/>
        </w:trPr>
        <w:tc>
          <w:tcPr>
            <w:tcW w:w="540" w:type="dxa"/>
            <w:vAlign w:val="bottom"/>
          </w:tcPr>
          <w:p>
            <w:pPr>
              <w:spacing w:after="0"/>
              <w:rPr>
                <w:sz w:val="20"/>
                <w:szCs w:val="20"/>
                <w:color w:val="auto"/>
              </w:rPr>
            </w:pPr>
            <w:r>
              <w:rPr>
                <w:rFonts w:ascii="Arial" w:cs="Arial" w:eastAsia="Arial" w:hAnsi="Arial"/>
                <w:sz w:val="18"/>
                <w:szCs w:val="18"/>
                <w:color w:val="auto"/>
              </w:rPr>
              <w:t>4.10</w:t>
            </w:r>
          </w:p>
        </w:tc>
        <w:tc>
          <w:tcPr>
            <w:tcW w:w="380" w:type="dxa"/>
            <w:vAlign w:val="bottom"/>
          </w:tcPr>
          <w:p>
            <w:pPr>
              <w:spacing w:after="0"/>
              <w:rPr>
                <w:sz w:val="20"/>
                <w:szCs w:val="20"/>
                <w:color w:val="auto"/>
              </w:rPr>
            </w:pPr>
          </w:p>
        </w:tc>
        <w:tc>
          <w:tcPr>
            <w:tcW w:w="10440" w:type="dxa"/>
            <w:vAlign w:val="bottom"/>
            <w:gridSpan w:val="15"/>
          </w:tcPr>
          <w:p>
            <w:pPr>
              <w:spacing w:after="0"/>
              <w:rPr>
                <w:rFonts w:ascii="Arial" w:cs="Arial" w:eastAsia="Arial" w:hAnsi="Arial"/>
                <w:sz w:val="18"/>
                <w:szCs w:val="18"/>
                <w:color w:val="0000FF"/>
              </w:rPr>
            </w:pPr>
            <w:hyperlink r:id="rId108">
              <w:r>
                <w:rPr>
                  <w:rFonts w:ascii="Arial" w:cs="Arial" w:eastAsia="Arial" w:hAnsi="Arial"/>
                  <w:sz w:val="18"/>
                  <w:szCs w:val="18"/>
                  <w:color w:val="0000FF"/>
                </w:rPr>
                <w:t>Series 2013-2A N907AN Equipment Note No. 1, dated as of September 9, 2013 (incorporated by reference to Exhibit 4.10 to</w:t>
              </w:r>
            </w:hyperlink>
          </w:p>
        </w:tc>
      </w:tr>
      <w:tr>
        <w:trPr>
          <w:trHeight w:val="183"/>
        </w:trPr>
        <w:tc>
          <w:tcPr>
            <w:tcW w:w="54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10420" w:type="dxa"/>
            <w:vAlign w:val="bottom"/>
            <w:tcBorders>
              <w:top w:val="single" w:sz="8" w:color="0000FF"/>
            </w:tcBorders>
            <w:gridSpan w:val="14"/>
          </w:tcPr>
          <w:p>
            <w:pPr>
              <w:spacing w:after="0" w:line="182" w:lineRule="exact"/>
              <w:rPr>
                <w:rFonts w:ascii="Arial" w:cs="Arial" w:eastAsia="Arial" w:hAnsi="Arial"/>
                <w:sz w:val="18"/>
                <w:szCs w:val="18"/>
                <w:color w:val="0000FF"/>
              </w:rPr>
            </w:pPr>
            <w:hyperlink r:id="rId108">
              <w:r>
                <w:rPr>
                  <w:rFonts w:ascii="Arial" w:cs="Arial" w:eastAsia="Arial" w:hAnsi="Arial"/>
                  <w:sz w:val="18"/>
                  <w:szCs w:val="18"/>
                  <w:color w:val="0000FF"/>
                </w:rPr>
                <w:t>AMR’s Current Report on Form 8-K filed on November 27, 2013 (Commission File No. 1-8400)).</w:t>
              </w:r>
            </w:hyperlink>
          </w:p>
        </w:tc>
        <w:tc>
          <w:tcPr>
            <w:tcW w:w="20" w:type="dxa"/>
            <w:vAlign w:val="bottom"/>
          </w:tcPr>
          <w:p>
            <w:pPr>
              <w:spacing w:after="0"/>
              <w:rPr>
                <w:sz w:val="15"/>
                <w:szCs w:val="15"/>
                <w:color w:val="auto"/>
              </w:rPr>
            </w:pPr>
          </w:p>
        </w:tc>
      </w:tr>
      <w:tr>
        <w:trPr>
          <w:trHeight w:val="466"/>
        </w:trPr>
        <w:tc>
          <w:tcPr>
            <w:tcW w:w="54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4920" w:type="dxa"/>
            <w:vAlign w:val="bottom"/>
            <w:tcBorders>
              <w:top w:val="single" w:sz="8" w:color="0000FF"/>
            </w:tcBorders>
            <w:gridSpan w:val="6"/>
          </w:tcPr>
          <w:p>
            <w:pPr>
              <w:ind w:left="4600"/>
              <w:spacing w:after="0"/>
              <w:rPr>
                <w:sz w:val="20"/>
                <w:szCs w:val="20"/>
                <w:color w:val="auto"/>
              </w:rPr>
            </w:pPr>
            <w:r>
              <w:rPr>
                <w:rFonts w:ascii="Arial" w:cs="Arial" w:eastAsia="Arial" w:hAnsi="Arial"/>
                <w:sz w:val="18"/>
                <w:szCs w:val="18"/>
                <w:color w:val="auto"/>
                <w:w w:val="99"/>
              </w:rPr>
              <w:t>164</w:t>
            </w:r>
          </w:p>
        </w:tc>
        <w:tc>
          <w:tcPr>
            <w:tcW w:w="960" w:type="dxa"/>
            <w:vAlign w:val="bottom"/>
            <w:tcBorders>
              <w:top w:val="single" w:sz="8" w:color="0000FF"/>
            </w:tcBorders>
          </w:tcPr>
          <w:p>
            <w:pPr>
              <w:spacing w:after="0"/>
              <w:rPr>
                <w:sz w:val="24"/>
                <w:szCs w:val="24"/>
                <w:color w:val="auto"/>
              </w:rPr>
            </w:pPr>
          </w:p>
        </w:tc>
        <w:tc>
          <w:tcPr>
            <w:tcW w:w="80" w:type="dxa"/>
            <w:vAlign w:val="bottom"/>
            <w:tcBorders>
              <w:top w:val="single" w:sz="8" w:color="0000FF"/>
            </w:tcBorders>
          </w:tcPr>
          <w:p>
            <w:pPr>
              <w:spacing w:after="0"/>
              <w:rPr>
                <w:sz w:val="24"/>
                <w:szCs w:val="24"/>
                <w:color w:val="auto"/>
              </w:rPr>
            </w:pPr>
          </w:p>
        </w:tc>
        <w:tc>
          <w:tcPr>
            <w:tcW w:w="440" w:type="dxa"/>
            <w:vAlign w:val="bottom"/>
            <w:tcBorders>
              <w:top w:val="single" w:sz="8" w:color="0000FF"/>
            </w:tcBorders>
          </w:tcPr>
          <w:p>
            <w:pPr>
              <w:spacing w:after="0"/>
              <w:rPr>
                <w:sz w:val="24"/>
                <w:szCs w:val="24"/>
                <w:color w:val="auto"/>
              </w:rPr>
            </w:pPr>
          </w:p>
        </w:tc>
        <w:tc>
          <w:tcPr>
            <w:tcW w:w="140" w:type="dxa"/>
            <w:vAlign w:val="bottom"/>
            <w:tcBorders>
              <w:top w:val="single" w:sz="8" w:color="0000FF"/>
            </w:tcBorders>
          </w:tcPr>
          <w:p>
            <w:pPr>
              <w:spacing w:after="0"/>
              <w:rPr>
                <w:sz w:val="24"/>
                <w:szCs w:val="24"/>
                <w:color w:val="auto"/>
              </w:rPr>
            </w:pPr>
          </w:p>
        </w:tc>
        <w:tc>
          <w:tcPr>
            <w:tcW w:w="1080" w:type="dxa"/>
            <w:vAlign w:val="bottom"/>
            <w:tcBorders>
              <w:top w:val="single" w:sz="8" w:color="0000FF"/>
            </w:tcBorders>
          </w:tcPr>
          <w:p>
            <w:pPr>
              <w:spacing w:after="0"/>
              <w:rPr>
                <w:sz w:val="24"/>
                <w:szCs w:val="24"/>
                <w:color w:val="auto"/>
              </w:rPr>
            </w:pPr>
          </w:p>
        </w:tc>
        <w:tc>
          <w:tcPr>
            <w:tcW w:w="3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160" w:type="dxa"/>
            <w:vAlign w:val="bottom"/>
          </w:tcPr>
          <w:p>
            <w:pPr>
              <w:spacing w:after="0"/>
              <w:rPr>
                <w:sz w:val="24"/>
                <w:szCs w:val="24"/>
                <w:color w:val="auto"/>
              </w:rPr>
            </w:pPr>
          </w:p>
        </w:tc>
        <w:tc>
          <w:tcPr>
            <w:tcW w:w="20" w:type="dxa"/>
            <w:vAlign w:val="bottom"/>
          </w:tcPr>
          <w:p>
            <w:pPr>
              <w:spacing w:after="0"/>
              <w:rPr>
                <w:sz w:val="24"/>
                <w:szCs w:val="24"/>
                <w:color w:val="auto"/>
              </w:rPr>
            </w:pPr>
          </w:p>
        </w:tc>
      </w:tr>
    </w:tbl>
    <w:p>
      <w:pPr>
        <w:sectPr>
          <w:pgSz w:w="11900" w:h="16838" w:orient="portrait"/>
          <w:cols w:equalWidth="0" w:num="1">
            <w:col w:w="11420"/>
          </w:cols>
          <w:pgMar w:left="240" w:top="549" w:right="239" w:bottom="1440" w:gutter="0" w:footer="0" w:header="0"/>
        </w:sectPr>
      </w:pPr>
    </w:p>
    <w:bookmarkStart w:id="164" w:name="page165"/>
    <w:bookmarkEnd w:id="164"/>
    <w:p>
      <w:pPr>
        <w:spacing w:after="0"/>
        <w:rPr>
          <w:sz w:val="20"/>
          <w:szCs w:val="20"/>
          <w:color w:val="auto"/>
        </w:rPr>
      </w:pPr>
      <w:r>
        <w:rPr>
          <w:rFonts w:ascii="Arial" w:cs="Arial" w:eastAsia="Arial" w:hAnsi="Arial"/>
          <w:sz w:val="14"/>
          <w:szCs w:val="14"/>
          <w:b w:val="1"/>
          <w:bCs w:val="1"/>
          <w:color w:val="auto"/>
        </w:rPr>
        <w:t>Exhibit</w:t>
      </w:r>
    </w:p>
    <w:p>
      <w:pPr>
        <w:spacing w:after="0" w:line="19" w:lineRule="exact"/>
        <w:rPr>
          <w:sz w:val="20"/>
          <w:szCs w:val="20"/>
          <w:color w:val="auto"/>
        </w:rPr>
      </w:pPr>
    </w:p>
    <w:p>
      <w:pPr>
        <w:spacing w:after="0"/>
        <w:tabs>
          <w:tab w:leader="none" w:pos="900" w:val="left"/>
        </w:tabs>
        <w:rPr>
          <w:sz w:val="20"/>
          <w:szCs w:val="20"/>
          <w:color w:val="auto"/>
        </w:rPr>
      </w:pPr>
      <w:r>
        <w:rPr>
          <w:rFonts w:ascii="Arial" w:cs="Arial" w:eastAsia="Arial" w:hAnsi="Arial"/>
          <w:sz w:val="14"/>
          <w:szCs w:val="14"/>
          <w:b w:val="1"/>
          <w:bCs w:val="1"/>
          <w:u w:val="single" w:color="auto"/>
          <w:color w:val="auto"/>
        </w:rPr>
        <w:t>Number</w:t>
      </w:r>
      <w:r>
        <w:rPr>
          <w:sz w:val="20"/>
          <w:szCs w:val="20"/>
          <w:color w:val="auto"/>
        </w:rPr>
        <w:tab/>
      </w:r>
      <w:r>
        <w:rPr>
          <w:rFonts w:ascii="Arial" w:cs="Arial" w:eastAsia="Arial" w:hAnsi="Arial"/>
          <w:sz w:val="14"/>
          <w:szCs w:val="14"/>
          <w:b w:val="1"/>
          <w:bCs w:val="1"/>
          <w:u w:val="single" w:color="auto"/>
          <w:color w:val="auto"/>
        </w:rPr>
        <w:t>Description</w:t>
      </w:r>
    </w:p>
    <w:p>
      <w:pPr>
        <w:spacing w:after="0" w:line="49" w:lineRule="exact"/>
        <w:rPr>
          <w:sz w:val="20"/>
          <w:szCs w:val="20"/>
          <w:color w:val="auto"/>
        </w:rPr>
      </w:pPr>
    </w:p>
    <w:p>
      <w:pPr>
        <w:jc w:val="both"/>
        <w:ind w:left="920" w:hanging="917"/>
        <w:spacing w:after="0" w:line="246" w:lineRule="auto"/>
        <w:tabs>
          <w:tab w:leader="none" w:pos="900" w:val="left"/>
        </w:tabs>
        <w:rPr>
          <w:rFonts w:ascii="Arial" w:cs="Arial" w:eastAsia="Arial" w:hAnsi="Arial"/>
          <w:sz w:val="18"/>
          <w:szCs w:val="18"/>
          <w:u w:val="single" w:color="auto"/>
          <w:color w:val="0000FF"/>
        </w:rPr>
      </w:pPr>
      <w:r>
        <w:rPr>
          <w:rFonts w:ascii="Arial" w:cs="Arial" w:eastAsia="Arial" w:hAnsi="Arial"/>
          <w:sz w:val="18"/>
          <w:szCs w:val="18"/>
          <w:color w:val="auto"/>
        </w:rPr>
        <w:t>4.11</w:t>
      </w:r>
      <w:r>
        <w:rPr>
          <w:sz w:val="20"/>
          <w:szCs w:val="20"/>
          <w:color w:val="auto"/>
        </w:rPr>
        <w:tab/>
      </w:r>
      <w:hyperlink r:id="rId109">
        <w:r>
          <w:rPr>
            <w:rFonts w:ascii="Arial" w:cs="Arial" w:eastAsia="Arial" w:hAnsi="Arial"/>
            <w:sz w:val="18"/>
            <w:szCs w:val="18"/>
            <w:u w:val="single" w:color="auto"/>
            <w:color w:val="0000FF"/>
          </w:rPr>
          <w:t>Series 2013-2B N907AN Equipment Note No. 1, dated as of November 27, 2013 (incorporated by reference to Exhibit 4.11 to</w:t>
        </w:r>
      </w:hyperlink>
      <w:r>
        <w:rPr>
          <w:rFonts w:ascii="Arial" w:cs="Arial" w:eastAsia="Arial" w:hAnsi="Arial"/>
          <w:sz w:val="18"/>
          <w:szCs w:val="18"/>
          <w:u w:val="single" w:color="auto"/>
          <w:color w:val="0000FF"/>
        </w:rPr>
        <w:t xml:space="preserve"> </w:t>
      </w:r>
      <w:hyperlink r:id="rId109">
        <w:r>
          <w:rPr>
            <w:rFonts w:ascii="Arial" w:cs="Arial" w:eastAsia="Arial" w:hAnsi="Arial"/>
            <w:sz w:val="18"/>
            <w:szCs w:val="18"/>
            <w:u w:val="single" w:color="auto"/>
            <w:color w:val="0000FF"/>
          </w:rPr>
          <w:t>AMR’s Current Report on Form 8-K filed on November 27, 2013 (Commission File No. 1-8400)).</w:t>
        </w:r>
      </w:hyperlink>
    </w:p>
    <w:p>
      <w:pPr>
        <w:spacing w:after="0" w:line="35" w:lineRule="exact"/>
        <w:rPr>
          <w:sz w:val="20"/>
          <w:szCs w:val="20"/>
          <w:color w:val="auto"/>
        </w:rPr>
      </w:pPr>
    </w:p>
    <w:p>
      <w:pPr>
        <w:jc w:val="both"/>
        <w:ind w:left="920" w:hanging="917"/>
        <w:spacing w:after="0" w:line="238" w:lineRule="auto"/>
        <w:tabs>
          <w:tab w:leader="none" w:pos="900" w:val="left"/>
        </w:tabs>
        <w:rPr>
          <w:rFonts w:ascii="Arial" w:cs="Arial" w:eastAsia="Arial" w:hAnsi="Arial"/>
          <w:sz w:val="18"/>
          <w:szCs w:val="18"/>
          <w:u w:val="single" w:color="auto"/>
          <w:color w:val="0000FF"/>
        </w:rPr>
      </w:pPr>
      <w:r>
        <w:rPr>
          <w:rFonts w:ascii="Arial" w:cs="Arial" w:eastAsia="Arial" w:hAnsi="Arial"/>
          <w:sz w:val="18"/>
          <w:szCs w:val="18"/>
          <w:color w:val="auto"/>
        </w:rPr>
        <w:t>4.12</w:t>
      </w:r>
      <w:r>
        <w:rPr>
          <w:sz w:val="20"/>
          <w:szCs w:val="20"/>
          <w:color w:val="auto"/>
        </w:rPr>
        <w:tab/>
      </w:r>
      <w:hyperlink r:id="rId110">
        <w:r>
          <w:rPr>
            <w:rFonts w:ascii="Arial" w:cs="Arial" w:eastAsia="Arial" w:hAnsi="Arial"/>
            <w:sz w:val="18"/>
            <w:szCs w:val="18"/>
            <w:u w:val="single" w:color="auto"/>
            <w:color w:val="0000FF"/>
          </w:rPr>
          <w:t>Schedule I (Pursuant to Instruction 2 to Item 601 of Regulation S-K, this Schedule I contains a list of documents applicable to the</w:t>
        </w:r>
      </w:hyperlink>
      <w:r>
        <w:rPr>
          <w:rFonts w:ascii="Arial" w:cs="Arial" w:eastAsia="Arial" w:hAnsi="Arial"/>
          <w:sz w:val="18"/>
          <w:szCs w:val="18"/>
          <w:u w:val="single" w:color="auto"/>
          <w:color w:val="0000FF"/>
        </w:rPr>
        <w:t xml:space="preserve"> </w:t>
      </w:r>
      <w:hyperlink r:id="rId110">
        <w:r>
          <w:rPr>
            <w:rFonts w:ascii="Arial" w:cs="Arial" w:eastAsia="Arial" w:hAnsi="Arial"/>
            <w:sz w:val="18"/>
            <w:szCs w:val="18"/>
            <w:u w:val="single" w:color="auto"/>
            <w:color w:val="0000FF"/>
          </w:rPr>
          <w:t>financing of the Aircraft in connection with the offering of the Class B Certificates, which documents are substantially identical to</w:t>
        </w:r>
      </w:hyperlink>
      <w:r>
        <w:rPr>
          <w:rFonts w:ascii="Arial" w:cs="Arial" w:eastAsia="Arial" w:hAnsi="Arial"/>
          <w:sz w:val="18"/>
          <w:szCs w:val="18"/>
          <w:u w:val="single" w:color="auto"/>
          <w:color w:val="0000FF"/>
        </w:rPr>
        <w:t xml:space="preserve"> </w:t>
      </w:r>
      <w:hyperlink r:id="rId110">
        <w:r>
          <w:rPr>
            <w:rFonts w:ascii="Arial" w:cs="Arial" w:eastAsia="Arial" w:hAnsi="Arial"/>
            <w:sz w:val="18"/>
            <w:szCs w:val="18"/>
            <w:u w:val="single" w:color="auto"/>
            <w:color w:val="0000FF"/>
          </w:rPr>
          <w:t>those filed herewith as Exhibits 4.6, 4.7, 4.8, 4.9, 4.10 and 4.11. Schedule I sets forth the details by which such documents differ</w:t>
        </w:r>
      </w:hyperlink>
      <w:r>
        <w:rPr>
          <w:rFonts w:ascii="Arial" w:cs="Arial" w:eastAsia="Arial" w:hAnsi="Arial"/>
          <w:sz w:val="18"/>
          <w:szCs w:val="18"/>
          <w:u w:val="single" w:color="auto"/>
          <w:color w:val="0000FF"/>
        </w:rPr>
        <w:t xml:space="preserve"> </w:t>
      </w:r>
      <w:hyperlink r:id="rId110">
        <w:r>
          <w:rPr>
            <w:rFonts w:ascii="Arial" w:cs="Arial" w:eastAsia="Arial" w:hAnsi="Arial"/>
            <w:sz w:val="18"/>
            <w:szCs w:val="18"/>
            <w:u w:val="single" w:color="auto"/>
            <w:color w:val="0000FF"/>
          </w:rPr>
          <w:t>from the corresponding Exhibits) (incorporated by reference to Exhibit 99.2 to AMR’s Current Report on Form 8-K filed on</w:t>
        </w:r>
      </w:hyperlink>
      <w:r>
        <w:rPr>
          <w:rFonts w:ascii="Arial" w:cs="Arial" w:eastAsia="Arial" w:hAnsi="Arial"/>
          <w:sz w:val="18"/>
          <w:szCs w:val="18"/>
          <w:u w:val="single" w:color="auto"/>
          <w:color w:val="0000FF"/>
        </w:rPr>
        <w:t xml:space="preserve"> </w:t>
      </w:r>
      <w:hyperlink r:id="rId110">
        <w:r>
          <w:rPr>
            <w:rFonts w:ascii="Arial" w:cs="Arial" w:eastAsia="Arial" w:hAnsi="Arial"/>
            <w:sz w:val="18"/>
            <w:szCs w:val="18"/>
            <w:u w:val="single" w:color="auto"/>
            <w:color w:val="0000FF"/>
          </w:rPr>
          <w:t>November 27, 2013 (Commission File No. 1-8400)).</w:t>
        </w:r>
      </w:hyperlink>
    </w:p>
    <w:p>
      <w:pPr>
        <w:spacing w:after="0" w:line="41" w:lineRule="exact"/>
        <w:rPr>
          <w:rFonts w:ascii="Arial" w:cs="Arial" w:eastAsia="Arial" w:hAnsi="Arial"/>
          <w:sz w:val="18"/>
          <w:szCs w:val="18"/>
          <w:u w:val="single" w:color="auto"/>
          <w:color w:val="0000FF"/>
        </w:rPr>
      </w:pPr>
    </w:p>
    <w:p>
      <w:pPr>
        <w:jc w:val="both"/>
        <w:ind w:left="920" w:right="20" w:hanging="917"/>
        <w:spacing w:after="0" w:line="238" w:lineRule="auto"/>
        <w:tabs>
          <w:tab w:leader="none" w:pos="900" w:val="left"/>
        </w:tabs>
        <w:rPr>
          <w:rFonts w:ascii="Arial" w:cs="Arial" w:eastAsia="Arial" w:hAnsi="Arial"/>
          <w:sz w:val="18"/>
          <w:szCs w:val="18"/>
          <w:u w:val="single" w:color="auto"/>
          <w:color w:val="0000FF"/>
        </w:rPr>
      </w:pPr>
      <w:r>
        <w:rPr>
          <w:rFonts w:ascii="Arial" w:cs="Arial" w:eastAsia="Arial" w:hAnsi="Arial"/>
          <w:sz w:val="18"/>
          <w:szCs w:val="18"/>
          <w:color w:val="auto"/>
        </w:rPr>
        <w:t>4.13</w:t>
      </w:r>
      <w:r>
        <w:rPr>
          <w:sz w:val="20"/>
          <w:szCs w:val="20"/>
          <w:color w:val="auto"/>
        </w:rPr>
        <w:tab/>
      </w:r>
      <w:hyperlink r:id="rId111">
        <w:r>
          <w:rPr>
            <w:rFonts w:ascii="Arial" w:cs="Arial" w:eastAsia="Arial" w:hAnsi="Arial"/>
            <w:sz w:val="18"/>
            <w:szCs w:val="18"/>
            <w:u w:val="single" w:color="auto"/>
            <w:color w:val="0000FF"/>
          </w:rPr>
          <w:t>Amended and Restated Intercreditor Agreement (2013-2), dated as of December 20, 2013, among Wilmington Trust Company, as</w:t>
        </w:r>
      </w:hyperlink>
      <w:r>
        <w:rPr>
          <w:rFonts w:ascii="Arial" w:cs="Arial" w:eastAsia="Arial" w:hAnsi="Arial"/>
          <w:sz w:val="18"/>
          <w:szCs w:val="18"/>
          <w:u w:val="single" w:color="auto"/>
          <w:color w:val="0000FF"/>
        </w:rPr>
        <w:t xml:space="preserve"> </w:t>
      </w:r>
      <w:hyperlink r:id="rId111">
        <w:r>
          <w:rPr>
            <w:rFonts w:ascii="Arial" w:cs="Arial" w:eastAsia="Arial" w:hAnsi="Arial"/>
            <w:sz w:val="18"/>
            <w:szCs w:val="18"/>
            <w:u w:val="single" w:color="auto"/>
            <w:color w:val="0000FF"/>
          </w:rPr>
          <w:t>Trustee of American Airlines Pass Through Trust 2013-2A, American Airlines Pass Through Trust 2013-2B and American Airlines</w:t>
        </w:r>
      </w:hyperlink>
      <w:r>
        <w:rPr>
          <w:rFonts w:ascii="Arial" w:cs="Arial" w:eastAsia="Arial" w:hAnsi="Arial"/>
          <w:sz w:val="18"/>
          <w:szCs w:val="18"/>
          <w:u w:val="single" w:color="auto"/>
          <w:color w:val="0000FF"/>
        </w:rPr>
        <w:t xml:space="preserve"> </w:t>
      </w:r>
      <w:hyperlink r:id="rId111">
        <w:r>
          <w:rPr>
            <w:rFonts w:ascii="Arial" w:cs="Arial" w:eastAsia="Arial" w:hAnsi="Arial"/>
            <w:sz w:val="18"/>
            <w:szCs w:val="18"/>
            <w:u w:val="single" w:color="auto"/>
            <w:color w:val="0000FF"/>
          </w:rPr>
          <w:t>Pass Through Trust 2013-2C, Morgan Stanley Bank, N.A., as Class A Liquidity Provider and as Class B Liquidity Provider, and</w:t>
        </w:r>
      </w:hyperlink>
      <w:r>
        <w:rPr>
          <w:rFonts w:ascii="Arial" w:cs="Arial" w:eastAsia="Arial" w:hAnsi="Arial"/>
          <w:sz w:val="18"/>
          <w:szCs w:val="18"/>
          <w:u w:val="single" w:color="auto"/>
          <w:color w:val="0000FF"/>
        </w:rPr>
        <w:t xml:space="preserve"> </w:t>
      </w:r>
      <w:hyperlink r:id="rId111">
        <w:r>
          <w:rPr>
            <w:rFonts w:ascii="Arial" w:cs="Arial" w:eastAsia="Arial" w:hAnsi="Arial"/>
            <w:sz w:val="18"/>
            <w:szCs w:val="18"/>
            <w:u w:val="single" w:color="auto"/>
            <w:color w:val="0000FF"/>
          </w:rPr>
          <w:t>Wilmington Trust Company, as Subordination Agent (incorporated by reference to Exhibit 4.4 to AMR’s Current Report on Form 8-</w:t>
        </w:r>
      </w:hyperlink>
      <w:hyperlink r:id="rId111">
        <w:r>
          <w:rPr>
            <w:rFonts w:ascii="Arial" w:cs="Arial" w:eastAsia="Arial" w:hAnsi="Arial"/>
            <w:sz w:val="18"/>
            <w:szCs w:val="18"/>
            <w:u w:val="single" w:color="auto"/>
            <w:color w:val="0000FF"/>
          </w:rPr>
          <w:t>K filed on December 20, 2013 (Commission File No. 1-8400)).</w:t>
        </w:r>
      </w:hyperlink>
    </w:p>
    <w:p>
      <w:pPr>
        <w:spacing w:after="0" w:line="41" w:lineRule="exact"/>
        <w:rPr>
          <w:rFonts w:ascii="Arial" w:cs="Arial" w:eastAsia="Arial" w:hAnsi="Arial"/>
          <w:sz w:val="18"/>
          <w:szCs w:val="18"/>
          <w:u w:val="single" w:color="auto"/>
          <w:color w:val="0000FF"/>
        </w:rPr>
      </w:pPr>
    </w:p>
    <w:p>
      <w:pPr>
        <w:jc w:val="both"/>
        <w:ind w:left="920" w:right="20" w:hanging="917"/>
        <w:spacing w:after="0"/>
        <w:tabs>
          <w:tab w:leader="none" w:pos="900" w:val="left"/>
        </w:tabs>
        <w:rPr>
          <w:rFonts w:ascii="Arial" w:cs="Arial" w:eastAsia="Arial" w:hAnsi="Arial"/>
          <w:sz w:val="18"/>
          <w:szCs w:val="18"/>
          <w:u w:val="single" w:color="auto"/>
          <w:color w:val="0000FF"/>
        </w:rPr>
      </w:pPr>
      <w:r>
        <w:rPr>
          <w:rFonts w:ascii="Arial" w:cs="Arial" w:eastAsia="Arial" w:hAnsi="Arial"/>
          <w:sz w:val="18"/>
          <w:szCs w:val="18"/>
          <w:color w:val="auto"/>
        </w:rPr>
        <w:t>4.14</w:t>
      </w:r>
      <w:r>
        <w:rPr>
          <w:sz w:val="20"/>
          <w:szCs w:val="20"/>
          <w:color w:val="auto"/>
        </w:rPr>
        <w:tab/>
      </w:r>
      <w:hyperlink r:id="rId112">
        <w:r>
          <w:rPr>
            <w:rFonts w:ascii="Arial" w:cs="Arial" w:eastAsia="Arial" w:hAnsi="Arial"/>
            <w:sz w:val="18"/>
            <w:szCs w:val="18"/>
            <w:u w:val="single" w:color="auto"/>
            <w:color w:val="0000FF"/>
          </w:rPr>
          <w:t>Indenture, dated as of May 20, 2019, by and among American Airlines Group Inc., the Guarantor (as defined therein) and</w:t>
        </w:r>
      </w:hyperlink>
      <w:r>
        <w:rPr>
          <w:rFonts w:ascii="Arial" w:cs="Arial" w:eastAsia="Arial" w:hAnsi="Arial"/>
          <w:sz w:val="18"/>
          <w:szCs w:val="18"/>
          <w:u w:val="single" w:color="auto"/>
          <w:color w:val="0000FF"/>
        </w:rPr>
        <w:t xml:space="preserve"> </w:t>
      </w:r>
      <w:hyperlink r:id="rId112">
        <w:r>
          <w:rPr>
            <w:rFonts w:ascii="Arial" w:cs="Arial" w:eastAsia="Arial" w:hAnsi="Arial"/>
            <w:sz w:val="18"/>
            <w:szCs w:val="18"/>
            <w:u w:val="single" w:color="auto"/>
            <w:color w:val="0000FF"/>
          </w:rPr>
          <w:t>Wilmington Trust, National Association, as trustee (incorporated by reference to Exhibit 4.1 to AAG’s Current Report on Form 8-K</w:t>
        </w:r>
      </w:hyperlink>
      <w:r>
        <w:rPr>
          <w:rFonts w:ascii="Arial" w:cs="Arial" w:eastAsia="Arial" w:hAnsi="Arial"/>
          <w:sz w:val="18"/>
          <w:szCs w:val="18"/>
          <w:u w:val="single" w:color="auto"/>
          <w:color w:val="0000FF"/>
        </w:rPr>
        <w:t xml:space="preserve"> </w:t>
      </w:r>
      <w:hyperlink r:id="rId112">
        <w:r>
          <w:rPr>
            <w:rFonts w:ascii="Arial" w:cs="Arial" w:eastAsia="Arial" w:hAnsi="Arial"/>
            <w:sz w:val="18"/>
            <w:szCs w:val="18"/>
            <w:u w:val="single" w:color="auto"/>
            <w:color w:val="0000FF"/>
          </w:rPr>
          <w:t>filed on May 21, 2019 (Commission File No. 1-8400)).</w:t>
        </w:r>
      </w:hyperlink>
    </w:p>
    <w:p>
      <w:pPr>
        <w:spacing w:after="0" w:line="41" w:lineRule="exact"/>
        <w:rPr>
          <w:rFonts w:ascii="Arial" w:cs="Arial" w:eastAsia="Arial" w:hAnsi="Arial"/>
          <w:sz w:val="18"/>
          <w:szCs w:val="18"/>
          <w:u w:val="single" w:color="auto"/>
          <w:color w:val="0000FF"/>
        </w:rPr>
      </w:pPr>
    </w:p>
    <w:p>
      <w:pPr>
        <w:jc w:val="both"/>
        <w:ind w:left="920" w:hanging="917"/>
        <w:spacing w:after="0"/>
        <w:tabs>
          <w:tab w:leader="none" w:pos="900" w:val="left"/>
        </w:tabs>
        <w:rPr>
          <w:rFonts w:ascii="Arial" w:cs="Arial" w:eastAsia="Arial" w:hAnsi="Arial"/>
          <w:sz w:val="18"/>
          <w:szCs w:val="18"/>
          <w:u w:val="single" w:color="auto"/>
          <w:color w:val="0000FF"/>
        </w:rPr>
      </w:pPr>
      <w:r>
        <w:rPr>
          <w:rFonts w:ascii="Arial" w:cs="Arial" w:eastAsia="Arial" w:hAnsi="Arial"/>
          <w:sz w:val="18"/>
          <w:szCs w:val="18"/>
          <w:color w:val="auto"/>
        </w:rPr>
        <w:t>4.15</w:t>
      </w:r>
      <w:r>
        <w:rPr>
          <w:sz w:val="20"/>
          <w:szCs w:val="20"/>
          <w:color w:val="auto"/>
        </w:rPr>
        <w:tab/>
      </w:r>
      <w:hyperlink r:id="rId113">
        <w:r>
          <w:rPr>
            <w:rFonts w:ascii="Arial" w:cs="Arial" w:eastAsia="Arial" w:hAnsi="Arial"/>
            <w:sz w:val="18"/>
            <w:szCs w:val="18"/>
            <w:u w:val="single" w:color="auto"/>
            <w:color w:val="0000FF"/>
          </w:rPr>
          <w:t>Pass Through Trust Agreement, dated as of September 16, 2014, between American Airlines, Inc. and Wilmington Trust Company,</w:t>
        </w:r>
      </w:hyperlink>
      <w:r>
        <w:rPr>
          <w:rFonts w:ascii="Arial" w:cs="Arial" w:eastAsia="Arial" w:hAnsi="Arial"/>
          <w:sz w:val="18"/>
          <w:szCs w:val="18"/>
          <w:u w:val="single" w:color="auto"/>
          <w:color w:val="0000FF"/>
        </w:rPr>
        <w:t xml:space="preserve"> </w:t>
      </w:r>
      <w:hyperlink r:id="rId113">
        <w:r>
          <w:rPr>
            <w:rFonts w:ascii="Arial" w:cs="Arial" w:eastAsia="Arial" w:hAnsi="Arial"/>
            <w:sz w:val="18"/>
            <w:szCs w:val="18"/>
            <w:u w:val="single" w:color="auto"/>
            <w:color w:val="0000FF"/>
          </w:rPr>
          <w:t>as Trustee (incorporated by reference to Exhibit 4.1 to American’s Current Report on Form 8-K filed on September 17, 2014</w:t>
        </w:r>
      </w:hyperlink>
      <w:r>
        <w:rPr>
          <w:rFonts w:ascii="Arial" w:cs="Arial" w:eastAsia="Arial" w:hAnsi="Arial"/>
          <w:sz w:val="18"/>
          <w:szCs w:val="18"/>
          <w:u w:val="single" w:color="auto"/>
          <w:color w:val="0000FF"/>
        </w:rPr>
        <w:t xml:space="preserve"> </w:t>
      </w:r>
      <w:hyperlink r:id="rId113">
        <w:r>
          <w:rPr>
            <w:rFonts w:ascii="Arial" w:cs="Arial" w:eastAsia="Arial" w:hAnsi="Arial"/>
            <w:sz w:val="18"/>
            <w:szCs w:val="18"/>
            <w:u w:val="single" w:color="auto"/>
            <w:color w:val="0000FF"/>
          </w:rPr>
          <w:t>(Commission File No. 1-2691)).</w:t>
        </w:r>
      </w:hyperlink>
    </w:p>
    <w:p>
      <w:pPr>
        <w:spacing w:after="0" w:line="41" w:lineRule="exact"/>
        <w:rPr>
          <w:rFonts w:ascii="Arial" w:cs="Arial" w:eastAsia="Arial" w:hAnsi="Arial"/>
          <w:sz w:val="18"/>
          <w:szCs w:val="18"/>
          <w:u w:val="single" w:color="auto"/>
          <w:color w:val="0000FF"/>
        </w:rPr>
      </w:pPr>
    </w:p>
    <w:p>
      <w:pPr>
        <w:jc w:val="both"/>
        <w:ind w:left="920" w:hanging="917"/>
        <w:spacing w:after="0"/>
        <w:tabs>
          <w:tab w:leader="none" w:pos="900" w:val="left"/>
        </w:tabs>
        <w:rPr>
          <w:rFonts w:ascii="Arial" w:cs="Arial" w:eastAsia="Arial" w:hAnsi="Arial"/>
          <w:sz w:val="18"/>
          <w:szCs w:val="18"/>
          <w:u w:val="single" w:color="auto"/>
          <w:color w:val="0000FF"/>
        </w:rPr>
      </w:pPr>
      <w:r>
        <w:rPr>
          <w:rFonts w:ascii="Arial" w:cs="Arial" w:eastAsia="Arial" w:hAnsi="Arial"/>
          <w:sz w:val="18"/>
          <w:szCs w:val="18"/>
          <w:color w:val="auto"/>
        </w:rPr>
        <w:t>4.16</w:t>
      </w:r>
      <w:r>
        <w:rPr>
          <w:sz w:val="20"/>
          <w:szCs w:val="20"/>
          <w:color w:val="auto"/>
        </w:rPr>
        <w:tab/>
      </w:r>
      <w:hyperlink r:id="rId114">
        <w:r>
          <w:rPr>
            <w:rFonts w:ascii="Arial" w:cs="Arial" w:eastAsia="Arial" w:hAnsi="Arial"/>
            <w:sz w:val="18"/>
            <w:szCs w:val="18"/>
            <w:u w:val="single" w:color="auto"/>
            <w:color w:val="0000FF"/>
          </w:rPr>
          <w:t>Trust Supplement No. 2014-1A, dated as of September 16, 2014, between American Airlines, Inc. and Wilmington Trust Company,</w:t>
        </w:r>
      </w:hyperlink>
      <w:r>
        <w:rPr>
          <w:rFonts w:ascii="Arial" w:cs="Arial" w:eastAsia="Arial" w:hAnsi="Arial"/>
          <w:sz w:val="18"/>
          <w:szCs w:val="18"/>
          <w:u w:val="single" w:color="auto"/>
          <w:color w:val="0000FF"/>
        </w:rPr>
        <w:t xml:space="preserve"> </w:t>
      </w:r>
      <w:hyperlink r:id="rId114">
        <w:r>
          <w:rPr>
            <w:rFonts w:ascii="Arial" w:cs="Arial" w:eastAsia="Arial" w:hAnsi="Arial"/>
            <w:sz w:val="18"/>
            <w:szCs w:val="18"/>
            <w:u w:val="single" w:color="auto"/>
            <w:color w:val="0000FF"/>
          </w:rPr>
          <w:t>as Trustee, to the Pass Through Trust Agreement, dated as of September 16, 2014 (incorporated by reference to Exhibit 4.2 to</w:t>
        </w:r>
      </w:hyperlink>
      <w:r>
        <w:rPr>
          <w:rFonts w:ascii="Arial" w:cs="Arial" w:eastAsia="Arial" w:hAnsi="Arial"/>
          <w:sz w:val="18"/>
          <w:szCs w:val="18"/>
          <w:u w:val="single" w:color="auto"/>
          <w:color w:val="0000FF"/>
        </w:rPr>
        <w:t xml:space="preserve"> </w:t>
      </w:r>
      <w:hyperlink r:id="rId114">
        <w:r>
          <w:rPr>
            <w:rFonts w:ascii="Arial" w:cs="Arial" w:eastAsia="Arial" w:hAnsi="Arial"/>
            <w:sz w:val="18"/>
            <w:szCs w:val="18"/>
            <w:u w:val="single" w:color="auto"/>
            <w:color w:val="0000FF"/>
          </w:rPr>
          <w:t>American’s Current Report on Form 8-K filed on September 17, 2014 (Commission File No. 1-2691)).</w:t>
        </w:r>
      </w:hyperlink>
    </w:p>
    <w:p>
      <w:pPr>
        <w:spacing w:after="0" w:line="41" w:lineRule="exact"/>
        <w:rPr>
          <w:rFonts w:ascii="Arial" w:cs="Arial" w:eastAsia="Arial" w:hAnsi="Arial"/>
          <w:sz w:val="18"/>
          <w:szCs w:val="18"/>
          <w:u w:val="single" w:color="auto"/>
          <w:color w:val="0000FF"/>
        </w:rPr>
      </w:pPr>
    </w:p>
    <w:p>
      <w:pPr>
        <w:jc w:val="both"/>
        <w:ind w:left="920" w:hanging="917"/>
        <w:spacing w:after="0"/>
        <w:tabs>
          <w:tab w:leader="none" w:pos="900" w:val="left"/>
        </w:tabs>
        <w:rPr>
          <w:rFonts w:ascii="Arial" w:cs="Arial" w:eastAsia="Arial" w:hAnsi="Arial"/>
          <w:sz w:val="18"/>
          <w:szCs w:val="18"/>
          <w:u w:val="single" w:color="auto"/>
          <w:color w:val="0000FF"/>
        </w:rPr>
      </w:pPr>
      <w:r>
        <w:rPr>
          <w:rFonts w:ascii="Arial" w:cs="Arial" w:eastAsia="Arial" w:hAnsi="Arial"/>
          <w:sz w:val="18"/>
          <w:szCs w:val="18"/>
          <w:color w:val="auto"/>
        </w:rPr>
        <w:t>4.17</w:t>
      </w:r>
      <w:r>
        <w:rPr>
          <w:sz w:val="20"/>
          <w:szCs w:val="20"/>
          <w:color w:val="auto"/>
        </w:rPr>
        <w:tab/>
      </w:r>
      <w:hyperlink r:id="rId115">
        <w:r>
          <w:rPr>
            <w:rFonts w:ascii="Arial" w:cs="Arial" w:eastAsia="Arial" w:hAnsi="Arial"/>
            <w:sz w:val="18"/>
            <w:szCs w:val="18"/>
            <w:u w:val="single" w:color="auto"/>
            <w:color w:val="0000FF"/>
          </w:rPr>
          <w:t>Trust Supplement No. 2014-1B, dated as of September 16, 2014, between American Airlines, Inc. and Wilmington Trust Company,</w:t>
        </w:r>
      </w:hyperlink>
      <w:r>
        <w:rPr>
          <w:rFonts w:ascii="Arial" w:cs="Arial" w:eastAsia="Arial" w:hAnsi="Arial"/>
          <w:sz w:val="18"/>
          <w:szCs w:val="18"/>
          <w:u w:val="single" w:color="auto"/>
          <w:color w:val="0000FF"/>
        </w:rPr>
        <w:t xml:space="preserve"> </w:t>
      </w:r>
      <w:hyperlink r:id="rId115">
        <w:r>
          <w:rPr>
            <w:rFonts w:ascii="Arial" w:cs="Arial" w:eastAsia="Arial" w:hAnsi="Arial"/>
            <w:sz w:val="18"/>
            <w:szCs w:val="18"/>
            <w:u w:val="single" w:color="auto"/>
            <w:color w:val="0000FF"/>
          </w:rPr>
          <w:t>as Trustee, to the Pass Through Trust Agreement, dated as of September 16, 2014 (incorporated by reference to Exhibit 4.3 to</w:t>
        </w:r>
      </w:hyperlink>
      <w:r>
        <w:rPr>
          <w:rFonts w:ascii="Arial" w:cs="Arial" w:eastAsia="Arial" w:hAnsi="Arial"/>
          <w:sz w:val="18"/>
          <w:szCs w:val="18"/>
          <w:u w:val="single" w:color="auto"/>
          <w:color w:val="0000FF"/>
        </w:rPr>
        <w:t xml:space="preserve"> </w:t>
      </w:r>
      <w:hyperlink r:id="rId115">
        <w:r>
          <w:rPr>
            <w:rFonts w:ascii="Arial" w:cs="Arial" w:eastAsia="Arial" w:hAnsi="Arial"/>
            <w:sz w:val="18"/>
            <w:szCs w:val="18"/>
            <w:u w:val="single" w:color="auto"/>
            <w:color w:val="0000FF"/>
          </w:rPr>
          <w:t>American’s Current Report on Form 8-K filed on September 17, 2014 (Commission File No. 1-2691)).</w:t>
        </w:r>
      </w:hyperlink>
    </w:p>
    <w:p>
      <w:pPr>
        <w:spacing w:after="0" w:line="41" w:lineRule="exact"/>
        <w:rPr>
          <w:rFonts w:ascii="Arial" w:cs="Arial" w:eastAsia="Arial" w:hAnsi="Arial"/>
          <w:sz w:val="18"/>
          <w:szCs w:val="18"/>
          <w:u w:val="single" w:color="auto"/>
          <w:color w:val="0000FF"/>
        </w:rPr>
      </w:pPr>
    </w:p>
    <w:p>
      <w:pPr>
        <w:jc w:val="both"/>
        <w:ind w:left="920" w:hanging="917"/>
        <w:spacing w:after="0" w:line="238" w:lineRule="auto"/>
        <w:tabs>
          <w:tab w:leader="none" w:pos="900" w:val="left"/>
        </w:tabs>
        <w:rPr>
          <w:rFonts w:ascii="Arial" w:cs="Arial" w:eastAsia="Arial" w:hAnsi="Arial"/>
          <w:sz w:val="18"/>
          <w:szCs w:val="18"/>
          <w:u w:val="single" w:color="auto"/>
          <w:color w:val="0000FF"/>
        </w:rPr>
      </w:pPr>
      <w:r>
        <w:rPr>
          <w:rFonts w:ascii="Arial" w:cs="Arial" w:eastAsia="Arial" w:hAnsi="Arial"/>
          <w:sz w:val="18"/>
          <w:szCs w:val="18"/>
          <w:color w:val="auto"/>
        </w:rPr>
        <w:t>4.18</w:t>
      </w:r>
      <w:r>
        <w:rPr>
          <w:sz w:val="20"/>
          <w:szCs w:val="20"/>
          <w:color w:val="auto"/>
        </w:rPr>
        <w:tab/>
      </w:r>
      <w:hyperlink r:id="rId116">
        <w:r>
          <w:rPr>
            <w:rFonts w:ascii="Arial" w:cs="Arial" w:eastAsia="Arial" w:hAnsi="Arial"/>
            <w:sz w:val="18"/>
            <w:szCs w:val="18"/>
            <w:u w:val="single" w:color="auto"/>
            <w:color w:val="0000FF"/>
          </w:rPr>
          <w:t>Intercreditor Agreement (2014-1), dated as of September 16, 2014, among Wilmington Trust Company, as Trustee of the American</w:t>
        </w:r>
      </w:hyperlink>
      <w:r>
        <w:rPr>
          <w:rFonts w:ascii="Arial" w:cs="Arial" w:eastAsia="Arial" w:hAnsi="Arial"/>
          <w:sz w:val="18"/>
          <w:szCs w:val="18"/>
          <w:u w:val="single" w:color="auto"/>
          <w:color w:val="0000FF"/>
        </w:rPr>
        <w:t xml:space="preserve"> </w:t>
      </w:r>
      <w:hyperlink r:id="rId116">
        <w:r>
          <w:rPr>
            <w:rFonts w:ascii="Arial" w:cs="Arial" w:eastAsia="Arial" w:hAnsi="Arial"/>
            <w:sz w:val="18"/>
            <w:szCs w:val="18"/>
            <w:u w:val="single" w:color="auto"/>
            <w:color w:val="0000FF"/>
          </w:rPr>
          <w:t>Airlines Pass Through Trust 2014-1A and as Trustee of the American Airlines Pass Through Trust 2014-1B, Crédit Agricole</w:t>
        </w:r>
      </w:hyperlink>
      <w:r>
        <w:rPr>
          <w:rFonts w:ascii="Arial" w:cs="Arial" w:eastAsia="Arial" w:hAnsi="Arial"/>
          <w:sz w:val="18"/>
          <w:szCs w:val="18"/>
          <w:u w:val="single" w:color="auto"/>
          <w:color w:val="0000FF"/>
        </w:rPr>
        <w:t xml:space="preserve"> </w:t>
      </w:r>
      <w:hyperlink r:id="rId116">
        <w:r>
          <w:rPr>
            <w:rFonts w:ascii="Arial" w:cs="Arial" w:eastAsia="Arial" w:hAnsi="Arial"/>
            <w:sz w:val="18"/>
            <w:szCs w:val="18"/>
            <w:u w:val="single" w:color="auto"/>
            <w:color w:val="0000FF"/>
          </w:rPr>
          <w:t>Corporate and Investment Bank, acting through its New York Branch, as Class A Liquidity Provider and Class B Liquidity Provider,</w:t>
        </w:r>
      </w:hyperlink>
      <w:r>
        <w:rPr>
          <w:rFonts w:ascii="Arial" w:cs="Arial" w:eastAsia="Arial" w:hAnsi="Arial"/>
          <w:sz w:val="18"/>
          <w:szCs w:val="18"/>
          <w:u w:val="single" w:color="auto"/>
          <w:color w:val="0000FF"/>
        </w:rPr>
        <w:t xml:space="preserve"> </w:t>
      </w:r>
      <w:hyperlink r:id="rId116">
        <w:r>
          <w:rPr>
            <w:rFonts w:ascii="Arial" w:cs="Arial" w:eastAsia="Arial" w:hAnsi="Arial"/>
            <w:sz w:val="18"/>
            <w:szCs w:val="18"/>
            <w:u w:val="single" w:color="auto"/>
            <w:color w:val="0000FF"/>
          </w:rPr>
          <w:t>and Wilmington Trust Company, as Subordination Agent (incorporated by reference to Exhibit 4.4 to American’s Current Report on</w:t>
        </w:r>
      </w:hyperlink>
      <w:r>
        <w:rPr>
          <w:rFonts w:ascii="Arial" w:cs="Arial" w:eastAsia="Arial" w:hAnsi="Arial"/>
          <w:sz w:val="18"/>
          <w:szCs w:val="18"/>
          <w:u w:val="single" w:color="auto"/>
          <w:color w:val="0000FF"/>
        </w:rPr>
        <w:t xml:space="preserve"> </w:t>
      </w:r>
      <w:hyperlink r:id="rId116">
        <w:r>
          <w:rPr>
            <w:rFonts w:ascii="Arial" w:cs="Arial" w:eastAsia="Arial" w:hAnsi="Arial"/>
            <w:sz w:val="18"/>
            <w:szCs w:val="18"/>
            <w:u w:val="single" w:color="auto"/>
            <w:color w:val="0000FF"/>
          </w:rPr>
          <w:t>Form 8-K filed on September 17, 2014 (Commission File No. 1-2691)).</w:t>
        </w:r>
      </w:hyperlink>
    </w:p>
    <w:p>
      <w:pPr>
        <w:spacing w:after="0" w:line="41" w:lineRule="exact"/>
        <w:rPr>
          <w:rFonts w:ascii="Arial" w:cs="Arial" w:eastAsia="Arial" w:hAnsi="Arial"/>
          <w:sz w:val="18"/>
          <w:szCs w:val="18"/>
          <w:u w:val="single" w:color="auto"/>
          <w:color w:val="0000FF"/>
        </w:rPr>
      </w:pPr>
    </w:p>
    <w:p>
      <w:pPr>
        <w:jc w:val="both"/>
        <w:ind w:left="920" w:hanging="917"/>
        <w:spacing w:after="0" w:line="239" w:lineRule="auto"/>
        <w:tabs>
          <w:tab w:leader="none" w:pos="900" w:val="left"/>
        </w:tabs>
        <w:rPr>
          <w:rFonts w:ascii="Arial" w:cs="Arial" w:eastAsia="Arial" w:hAnsi="Arial"/>
          <w:sz w:val="18"/>
          <w:szCs w:val="18"/>
          <w:u w:val="single" w:color="auto"/>
          <w:color w:val="0000FF"/>
        </w:rPr>
      </w:pPr>
      <w:r>
        <w:rPr>
          <w:rFonts w:ascii="Arial" w:cs="Arial" w:eastAsia="Arial" w:hAnsi="Arial"/>
          <w:sz w:val="18"/>
          <w:szCs w:val="18"/>
          <w:color w:val="auto"/>
        </w:rPr>
        <w:t>4.19</w:t>
      </w:r>
      <w:r>
        <w:rPr>
          <w:sz w:val="20"/>
          <w:szCs w:val="20"/>
          <w:color w:val="auto"/>
        </w:rPr>
        <w:tab/>
      </w:r>
      <w:hyperlink r:id="rId117">
        <w:r>
          <w:rPr>
            <w:rFonts w:ascii="Arial" w:cs="Arial" w:eastAsia="Arial" w:hAnsi="Arial"/>
            <w:sz w:val="18"/>
            <w:szCs w:val="18"/>
            <w:u w:val="single" w:color="auto"/>
            <w:color w:val="0000FF"/>
          </w:rPr>
          <w:t>Amendment No. 1 to Intercreditor Agreement (2014-1), dated as of June 24, 2015, among American Airlines, Inc., Credit Agricole</w:t>
        </w:r>
      </w:hyperlink>
      <w:r>
        <w:rPr>
          <w:rFonts w:ascii="Arial" w:cs="Arial" w:eastAsia="Arial" w:hAnsi="Arial"/>
          <w:sz w:val="18"/>
          <w:szCs w:val="18"/>
          <w:u w:val="single" w:color="auto"/>
          <w:color w:val="0000FF"/>
        </w:rPr>
        <w:t xml:space="preserve"> </w:t>
      </w:r>
      <w:hyperlink r:id="rId117">
        <w:r>
          <w:rPr>
            <w:rFonts w:ascii="Arial" w:cs="Arial" w:eastAsia="Arial" w:hAnsi="Arial"/>
            <w:sz w:val="18"/>
            <w:szCs w:val="18"/>
            <w:u w:val="single" w:color="auto"/>
            <w:color w:val="0000FF"/>
          </w:rPr>
          <w:t>Corporate and Investment Bank, as Class A and Class B liquidity provider and Wilmington Trust Company, as subordination agent</w:t>
        </w:r>
      </w:hyperlink>
      <w:r>
        <w:rPr>
          <w:rFonts w:ascii="Arial" w:cs="Arial" w:eastAsia="Arial" w:hAnsi="Arial"/>
          <w:sz w:val="18"/>
          <w:szCs w:val="18"/>
          <w:u w:val="single" w:color="auto"/>
          <w:color w:val="0000FF"/>
        </w:rPr>
        <w:t xml:space="preserve"> </w:t>
      </w:r>
      <w:hyperlink r:id="rId117">
        <w:r>
          <w:rPr>
            <w:rFonts w:ascii="Arial" w:cs="Arial" w:eastAsia="Arial" w:hAnsi="Arial"/>
            <w:sz w:val="18"/>
            <w:szCs w:val="18"/>
            <w:u w:val="single" w:color="auto"/>
            <w:color w:val="0000FF"/>
          </w:rPr>
          <w:t>and trustee (incorporated by reference to Exhibit 10.6 to AAG’s Quarterly Report on Form 10-Q for the quarter ended June 30,</w:t>
        </w:r>
      </w:hyperlink>
      <w:r>
        <w:rPr>
          <w:rFonts w:ascii="Arial" w:cs="Arial" w:eastAsia="Arial" w:hAnsi="Arial"/>
          <w:sz w:val="18"/>
          <w:szCs w:val="18"/>
          <w:u w:val="single" w:color="auto"/>
          <w:color w:val="0000FF"/>
        </w:rPr>
        <w:t xml:space="preserve"> </w:t>
      </w:r>
      <w:hyperlink r:id="rId117">
        <w:r>
          <w:rPr>
            <w:rFonts w:ascii="Arial" w:cs="Arial" w:eastAsia="Arial" w:hAnsi="Arial"/>
            <w:sz w:val="18"/>
            <w:szCs w:val="18"/>
            <w:u w:val="single" w:color="auto"/>
            <w:color w:val="0000FF"/>
          </w:rPr>
          <w:t>2015 (Commission File No. 1-8400)).</w:t>
        </w:r>
      </w:hyperlink>
    </w:p>
    <w:p>
      <w:pPr>
        <w:spacing w:after="0" w:line="40" w:lineRule="exact"/>
        <w:rPr>
          <w:rFonts w:ascii="Arial" w:cs="Arial" w:eastAsia="Arial" w:hAnsi="Arial"/>
          <w:sz w:val="18"/>
          <w:szCs w:val="18"/>
          <w:u w:val="single" w:color="auto"/>
          <w:color w:val="0000FF"/>
        </w:rPr>
      </w:pPr>
    </w:p>
    <w:p>
      <w:pPr>
        <w:jc w:val="both"/>
        <w:ind w:left="920" w:hanging="917"/>
        <w:spacing w:after="0" w:line="239" w:lineRule="auto"/>
        <w:tabs>
          <w:tab w:leader="none" w:pos="900" w:val="left"/>
        </w:tabs>
        <w:rPr>
          <w:rFonts w:ascii="Arial" w:cs="Arial" w:eastAsia="Arial" w:hAnsi="Arial"/>
          <w:sz w:val="18"/>
          <w:szCs w:val="18"/>
          <w:u w:val="single" w:color="auto"/>
          <w:color w:val="0000FF"/>
        </w:rPr>
      </w:pPr>
      <w:r>
        <w:rPr>
          <w:rFonts w:ascii="Arial" w:cs="Arial" w:eastAsia="Arial" w:hAnsi="Arial"/>
          <w:sz w:val="18"/>
          <w:szCs w:val="18"/>
          <w:color w:val="auto"/>
        </w:rPr>
        <w:t>4.20</w:t>
      </w:r>
      <w:r>
        <w:rPr>
          <w:sz w:val="20"/>
          <w:szCs w:val="20"/>
          <w:color w:val="auto"/>
        </w:rPr>
        <w:tab/>
      </w:r>
      <w:hyperlink r:id="rId118">
        <w:r>
          <w:rPr>
            <w:rFonts w:ascii="Arial" w:cs="Arial" w:eastAsia="Arial" w:hAnsi="Arial"/>
            <w:sz w:val="18"/>
            <w:szCs w:val="18"/>
            <w:u w:val="single" w:color="auto"/>
            <w:color w:val="0000FF"/>
          </w:rPr>
          <w:t>Note Purchase Agreement, dated as of September 16, 2014, among American Airlines, Inc., Wilmington Trust Company, as Pass</w:t>
        </w:r>
      </w:hyperlink>
      <w:r>
        <w:rPr>
          <w:rFonts w:ascii="Arial" w:cs="Arial" w:eastAsia="Arial" w:hAnsi="Arial"/>
          <w:sz w:val="18"/>
          <w:szCs w:val="18"/>
          <w:u w:val="single" w:color="auto"/>
          <w:color w:val="0000FF"/>
        </w:rPr>
        <w:t xml:space="preserve"> </w:t>
      </w:r>
      <w:hyperlink r:id="rId118">
        <w:r>
          <w:rPr>
            <w:rFonts w:ascii="Arial" w:cs="Arial" w:eastAsia="Arial" w:hAnsi="Arial"/>
            <w:sz w:val="18"/>
            <w:szCs w:val="18"/>
            <w:u w:val="single" w:color="auto"/>
            <w:color w:val="0000FF"/>
          </w:rPr>
          <w:t>Through Trustee under each of the Pass Through Trust Agreements, Wilmington Trust Company, as Subordination Agent,</w:t>
        </w:r>
      </w:hyperlink>
      <w:r>
        <w:rPr>
          <w:rFonts w:ascii="Arial" w:cs="Arial" w:eastAsia="Arial" w:hAnsi="Arial"/>
          <w:sz w:val="18"/>
          <w:szCs w:val="18"/>
          <w:u w:val="single" w:color="auto"/>
          <w:color w:val="0000FF"/>
        </w:rPr>
        <w:t xml:space="preserve"> </w:t>
      </w:r>
      <w:hyperlink r:id="rId118">
        <w:r>
          <w:rPr>
            <w:rFonts w:ascii="Arial" w:cs="Arial" w:eastAsia="Arial" w:hAnsi="Arial"/>
            <w:sz w:val="18"/>
            <w:szCs w:val="18"/>
            <w:u w:val="single" w:color="auto"/>
            <w:color w:val="0000FF"/>
          </w:rPr>
          <w:t>Wilmington Trust, National Association, as Escrow Agent, and Wilmington Trust Company, as Paying Agent (incorporated by</w:t>
        </w:r>
      </w:hyperlink>
      <w:r>
        <w:rPr>
          <w:rFonts w:ascii="Arial" w:cs="Arial" w:eastAsia="Arial" w:hAnsi="Arial"/>
          <w:sz w:val="18"/>
          <w:szCs w:val="18"/>
          <w:u w:val="single" w:color="auto"/>
          <w:color w:val="0000FF"/>
        </w:rPr>
        <w:t xml:space="preserve"> </w:t>
      </w:r>
      <w:hyperlink r:id="rId118">
        <w:r>
          <w:rPr>
            <w:rFonts w:ascii="Arial" w:cs="Arial" w:eastAsia="Arial" w:hAnsi="Arial"/>
            <w:sz w:val="18"/>
            <w:szCs w:val="18"/>
            <w:u w:val="single" w:color="auto"/>
            <w:color w:val="0000FF"/>
          </w:rPr>
          <w:t>reference to Exhibit 4.9 to American’s Current Report on Form 8-K filed on September 17, 2014 (Commission File No. 1-2691)).</w:t>
        </w:r>
      </w:hyperlink>
    </w:p>
    <w:p>
      <w:pPr>
        <w:spacing w:after="0" w:line="40" w:lineRule="exact"/>
        <w:rPr>
          <w:rFonts w:ascii="Arial" w:cs="Arial" w:eastAsia="Arial" w:hAnsi="Arial"/>
          <w:sz w:val="18"/>
          <w:szCs w:val="18"/>
          <w:u w:val="single" w:color="auto"/>
          <w:color w:val="0000FF"/>
        </w:rPr>
      </w:pPr>
    </w:p>
    <w:p>
      <w:pPr>
        <w:jc w:val="both"/>
        <w:ind w:left="920" w:right="20" w:hanging="917"/>
        <w:spacing w:after="0" w:line="238" w:lineRule="auto"/>
        <w:tabs>
          <w:tab w:leader="none" w:pos="900" w:val="left"/>
        </w:tabs>
        <w:rPr>
          <w:rFonts w:ascii="Arial" w:cs="Arial" w:eastAsia="Arial" w:hAnsi="Arial"/>
          <w:sz w:val="18"/>
          <w:szCs w:val="18"/>
          <w:u w:val="single" w:color="auto"/>
          <w:color w:val="0000FF"/>
        </w:rPr>
      </w:pPr>
      <w:r>
        <w:rPr>
          <w:rFonts w:ascii="Arial" w:cs="Arial" w:eastAsia="Arial" w:hAnsi="Arial"/>
          <w:sz w:val="18"/>
          <w:szCs w:val="18"/>
          <w:color w:val="auto"/>
        </w:rPr>
        <w:t>4.21</w:t>
      </w:r>
      <w:r>
        <w:rPr>
          <w:sz w:val="20"/>
          <w:szCs w:val="20"/>
          <w:color w:val="auto"/>
        </w:rPr>
        <w:tab/>
      </w:r>
      <w:hyperlink r:id="rId119">
        <w:r>
          <w:rPr>
            <w:rFonts w:ascii="Arial" w:cs="Arial" w:eastAsia="Arial" w:hAnsi="Arial"/>
            <w:sz w:val="18"/>
            <w:szCs w:val="18"/>
            <w:u w:val="single" w:color="auto"/>
            <w:color w:val="0000FF"/>
          </w:rPr>
          <w:t>Form of Participation Agreement (Participation Agreement among American Airlines, Inc., Wilmington Trust Company, as Pass</w:t>
        </w:r>
      </w:hyperlink>
      <w:r>
        <w:rPr>
          <w:rFonts w:ascii="Arial" w:cs="Arial" w:eastAsia="Arial" w:hAnsi="Arial"/>
          <w:sz w:val="18"/>
          <w:szCs w:val="18"/>
          <w:u w:val="single" w:color="auto"/>
          <w:color w:val="0000FF"/>
        </w:rPr>
        <w:t xml:space="preserve"> </w:t>
      </w:r>
      <w:hyperlink r:id="rId119">
        <w:r>
          <w:rPr>
            <w:rFonts w:ascii="Arial" w:cs="Arial" w:eastAsia="Arial" w:hAnsi="Arial"/>
            <w:sz w:val="18"/>
            <w:szCs w:val="18"/>
            <w:u w:val="single" w:color="auto"/>
            <w:color w:val="0000FF"/>
          </w:rPr>
          <w:t>Through Trustee under each of the Pass Through Trust Agreements, Wilmington Trust Company, as Subordination Agent,</w:t>
        </w:r>
      </w:hyperlink>
      <w:r>
        <w:rPr>
          <w:rFonts w:ascii="Arial" w:cs="Arial" w:eastAsia="Arial" w:hAnsi="Arial"/>
          <w:sz w:val="18"/>
          <w:szCs w:val="18"/>
          <w:u w:val="single" w:color="auto"/>
          <w:color w:val="0000FF"/>
        </w:rPr>
        <w:t xml:space="preserve"> </w:t>
      </w:r>
      <w:hyperlink r:id="rId119">
        <w:r>
          <w:rPr>
            <w:rFonts w:ascii="Arial" w:cs="Arial" w:eastAsia="Arial" w:hAnsi="Arial"/>
            <w:sz w:val="18"/>
            <w:szCs w:val="18"/>
            <w:u w:val="single" w:color="auto"/>
            <w:color w:val="0000FF"/>
          </w:rPr>
          <w:t>Wilmington Trust Company, as Loan Trustee, and Wilmington Trust Company, in its individual capacity as set forth therein) (Exhibit</w:t>
        </w:r>
      </w:hyperlink>
      <w:r>
        <w:rPr>
          <w:rFonts w:ascii="Arial" w:cs="Arial" w:eastAsia="Arial" w:hAnsi="Arial"/>
          <w:sz w:val="18"/>
          <w:szCs w:val="18"/>
          <w:u w:val="single" w:color="auto"/>
          <w:color w:val="0000FF"/>
        </w:rPr>
        <w:t xml:space="preserve"> </w:t>
      </w:r>
      <w:hyperlink r:id="rId119">
        <w:r>
          <w:rPr>
            <w:rFonts w:ascii="Arial" w:cs="Arial" w:eastAsia="Arial" w:hAnsi="Arial"/>
            <w:sz w:val="18"/>
            <w:szCs w:val="18"/>
            <w:u w:val="single" w:color="auto"/>
            <w:color w:val="0000FF"/>
          </w:rPr>
          <w:t>B to Note Purchase Agreement) (incorporated by reference to Exhibit 4.10 to American’s Current Report on Form 8-K filed on</w:t>
        </w:r>
      </w:hyperlink>
      <w:r>
        <w:rPr>
          <w:rFonts w:ascii="Arial" w:cs="Arial" w:eastAsia="Arial" w:hAnsi="Arial"/>
          <w:sz w:val="18"/>
          <w:szCs w:val="18"/>
          <w:u w:val="single" w:color="auto"/>
          <w:color w:val="0000FF"/>
        </w:rPr>
        <w:t xml:space="preserve"> </w:t>
      </w:r>
      <w:hyperlink r:id="rId119">
        <w:r>
          <w:rPr>
            <w:rFonts w:ascii="Arial" w:cs="Arial" w:eastAsia="Arial" w:hAnsi="Arial"/>
            <w:sz w:val="18"/>
            <w:szCs w:val="18"/>
            <w:u w:val="single" w:color="auto"/>
            <w:color w:val="0000FF"/>
          </w:rPr>
          <w:t>September 17, 2014 (Commission File No. 1-2691)).</w:t>
        </w:r>
      </w:hyperlink>
    </w:p>
    <w:p>
      <w:pPr>
        <w:spacing w:after="0" w:line="41" w:lineRule="exact"/>
        <w:rPr>
          <w:rFonts w:ascii="Arial" w:cs="Arial" w:eastAsia="Arial" w:hAnsi="Arial"/>
          <w:sz w:val="18"/>
          <w:szCs w:val="18"/>
          <w:u w:val="single" w:color="auto"/>
          <w:color w:val="0000FF"/>
        </w:rPr>
      </w:pPr>
    </w:p>
    <w:p>
      <w:pPr>
        <w:jc w:val="both"/>
        <w:ind w:left="920" w:right="20" w:hanging="917"/>
        <w:spacing w:after="0"/>
        <w:tabs>
          <w:tab w:leader="none" w:pos="900" w:val="left"/>
        </w:tabs>
        <w:rPr>
          <w:rFonts w:ascii="Arial" w:cs="Arial" w:eastAsia="Arial" w:hAnsi="Arial"/>
          <w:sz w:val="18"/>
          <w:szCs w:val="18"/>
          <w:u w:val="single" w:color="auto"/>
          <w:color w:val="0000FF"/>
        </w:rPr>
      </w:pPr>
      <w:r>
        <w:rPr>
          <w:rFonts w:ascii="Arial" w:cs="Arial" w:eastAsia="Arial" w:hAnsi="Arial"/>
          <w:sz w:val="18"/>
          <w:szCs w:val="18"/>
          <w:color w:val="auto"/>
        </w:rPr>
        <w:t>4.22</w:t>
      </w:r>
      <w:r>
        <w:rPr>
          <w:sz w:val="20"/>
          <w:szCs w:val="20"/>
          <w:color w:val="auto"/>
        </w:rPr>
        <w:tab/>
      </w:r>
      <w:hyperlink r:id="rId120">
        <w:r>
          <w:rPr>
            <w:rFonts w:ascii="Arial" w:cs="Arial" w:eastAsia="Arial" w:hAnsi="Arial"/>
            <w:sz w:val="18"/>
            <w:szCs w:val="18"/>
            <w:u w:val="single" w:color="auto"/>
            <w:color w:val="0000FF"/>
          </w:rPr>
          <w:t>Form of Indenture and Security Agreement (Indenture and Security Agreement between American Airlines, Inc., and Wilmington</w:t>
        </w:r>
      </w:hyperlink>
      <w:r>
        <w:rPr>
          <w:rFonts w:ascii="Arial" w:cs="Arial" w:eastAsia="Arial" w:hAnsi="Arial"/>
          <w:sz w:val="18"/>
          <w:szCs w:val="18"/>
          <w:u w:val="single" w:color="auto"/>
          <w:color w:val="0000FF"/>
        </w:rPr>
        <w:t xml:space="preserve"> </w:t>
      </w:r>
      <w:hyperlink r:id="rId120">
        <w:r>
          <w:rPr>
            <w:rFonts w:ascii="Arial" w:cs="Arial" w:eastAsia="Arial" w:hAnsi="Arial"/>
            <w:sz w:val="18"/>
            <w:szCs w:val="18"/>
            <w:u w:val="single" w:color="auto"/>
            <w:color w:val="0000FF"/>
          </w:rPr>
          <w:t>Trust Company, as Loan Trustee) (Exhibit C to Note Purchase Agreement) (incorporated by reference to Exhibit 4.11 to American’s</w:t>
        </w:r>
      </w:hyperlink>
      <w:r>
        <w:rPr>
          <w:rFonts w:ascii="Arial" w:cs="Arial" w:eastAsia="Arial" w:hAnsi="Arial"/>
          <w:sz w:val="18"/>
          <w:szCs w:val="18"/>
          <w:u w:val="single" w:color="auto"/>
          <w:color w:val="0000FF"/>
        </w:rPr>
        <w:t xml:space="preserve"> </w:t>
      </w:r>
      <w:hyperlink r:id="rId120">
        <w:r>
          <w:rPr>
            <w:rFonts w:ascii="Arial" w:cs="Arial" w:eastAsia="Arial" w:hAnsi="Arial"/>
            <w:sz w:val="18"/>
            <w:szCs w:val="18"/>
            <w:u w:val="single" w:color="auto"/>
            <w:color w:val="0000FF"/>
          </w:rPr>
          <w:t>Current Report on Form 8-K filed on September 17, 2014 (Commission File No. 1-2691)).</w:t>
        </w:r>
      </w:hyperlink>
    </w:p>
    <w:p>
      <w:pPr>
        <w:spacing w:after="0" w:line="41" w:lineRule="exact"/>
        <w:rPr>
          <w:rFonts w:ascii="Arial" w:cs="Arial" w:eastAsia="Arial" w:hAnsi="Arial"/>
          <w:sz w:val="18"/>
          <w:szCs w:val="18"/>
          <w:u w:val="single" w:color="auto"/>
          <w:color w:val="0000FF"/>
        </w:rPr>
      </w:pPr>
    </w:p>
    <w:p>
      <w:pPr>
        <w:jc w:val="both"/>
        <w:ind w:left="920" w:right="20" w:hanging="917"/>
        <w:spacing w:after="0" w:line="239" w:lineRule="auto"/>
        <w:tabs>
          <w:tab w:leader="none" w:pos="900" w:val="left"/>
        </w:tabs>
        <w:rPr>
          <w:rFonts w:ascii="Arial" w:cs="Arial" w:eastAsia="Arial" w:hAnsi="Arial"/>
          <w:sz w:val="18"/>
          <w:szCs w:val="18"/>
          <w:u w:val="single" w:color="auto"/>
          <w:color w:val="0000FF"/>
        </w:rPr>
      </w:pPr>
      <w:r>
        <w:rPr>
          <w:rFonts w:ascii="Arial" w:cs="Arial" w:eastAsia="Arial" w:hAnsi="Arial"/>
          <w:sz w:val="18"/>
          <w:szCs w:val="18"/>
          <w:color w:val="auto"/>
        </w:rPr>
        <w:t>4.23</w:t>
      </w:r>
      <w:r>
        <w:rPr>
          <w:sz w:val="20"/>
          <w:szCs w:val="20"/>
          <w:color w:val="auto"/>
        </w:rPr>
        <w:tab/>
      </w:r>
      <w:hyperlink r:id="rId121">
        <w:r>
          <w:rPr>
            <w:rFonts w:ascii="Arial" w:cs="Arial" w:eastAsia="Arial" w:hAnsi="Arial"/>
            <w:sz w:val="18"/>
            <w:szCs w:val="18"/>
            <w:u w:val="single" w:color="auto"/>
            <w:color w:val="0000FF"/>
          </w:rPr>
          <w:t>Revolving Credit Agreement (2014-1A), dated as of September 16, 2014, between Wilmington Trust Company, as Subordination</w:t>
        </w:r>
      </w:hyperlink>
      <w:r>
        <w:rPr>
          <w:rFonts w:ascii="Arial" w:cs="Arial" w:eastAsia="Arial" w:hAnsi="Arial"/>
          <w:sz w:val="18"/>
          <w:szCs w:val="18"/>
          <w:u w:val="single" w:color="auto"/>
          <w:color w:val="0000FF"/>
        </w:rPr>
        <w:t xml:space="preserve"> </w:t>
      </w:r>
      <w:hyperlink r:id="rId121">
        <w:r>
          <w:rPr>
            <w:rFonts w:ascii="Arial" w:cs="Arial" w:eastAsia="Arial" w:hAnsi="Arial"/>
            <w:sz w:val="18"/>
            <w:szCs w:val="18"/>
            <w:u w:val="single" w:color="auto"/>
            <w:color w:val="0000FF"/>
          </w:rPr>
          <w:t>Agent, as agent and trustee for the trustee of the American Airlines Pass Through Trust 2014-1A, as Borrower, and Crédit Agricole</w:t>
        </w:r>
      </w:hyperlink>
      <w:r>
        <w:rPr>
          <w:rFonts w:ascii="Arial" w:cs="Arial" w:eastAsia="Arial" w:hAnsi="Arial"/>
          <w:sz w:val="18"/>
          <w:szCs w:val="18"/>
          <w:u w:val="single" w:color="auto"/>
          <w:color w:val="0000FF"/>
        </w:rPr>
        <w:t xml:space="preserve"> </w:t>
      </w:r>
      <w:hyperlink r:id="rId121">
        <w:r>
          <w:rPr>
            <w:rFonts w:ascii="Arial" w:cs="Arial" w:eastAsia="Arial" w:hAnsi="Arial"/>
            <w:sz w:val="18"/>
            <w:szCs w:val="18"/>
            <w:u w:val="single" w:color="auto"/>
            <w:color w:val="0000FF"/>
          </w:rPr>
          <w:t>Corporate and Investment Bank, acting through its New York Branch, as Liquidity Provider (incorporated by reference to Exhibit</w:t>
        </w:r>
      </w:hyperlink>
      <w:r>
        <w:rPr>
          <w:rFonts w:ascii="Arial" w:cs="Arial" w:eastAsia="Arial" w:hAnsi="Arial"/>
          <w:sz w:val="18"/>
          <w:szCs w:val="18"/>
          <w:u w:val="single" w:color="auto"/>
          <w:color w:val="0000FF"/>
        </w:rPr>
        <w:t xml:space="preserve"> </w:t>
      </w:r>
      <w:hyperlink r:id="rId121">
        <w:r>
          <w:rPr>
            <w:rFonts w:ascii="Arial" w:cs="Arial" w:eastAsia="Arial" w:hAnsi="Arial"/>
            <w:sz w:val="18"/>
            <w:szCs w:val="18"/>
            <w:u w:val="single" w:color="auto"/>
            <w:color w:val="0000FF"/>
          </w:rPr>
          <w:t>4.14 to American’s Current Report on Form 8-K filed on September 17, 2014 (Commission File No. 1-2691)).</w:t>
        </w:r>
      </w:hyperlink>
    </w:p>
    <w:p>
      <w:pPr>
        <w:spacing w:after="0" w:line="229" w:lineRule="exact"/>
        <w:rPr>
          <w:rFonts w:ascii="Arial" w:cs="Arial" w:eastAsia="Arial" w:hAnsi="Arial"/>
          <w:sz w:val="18"/>
          <w:szCs w:val="18"/>
          <w:u w:val="single" w:color="auto"/>
          <w:color w:val="0000FF"/>
        </w:rPr>
      </w:pPr>
    </w:p>
    <w:p>
      <w:pPr>
        <w:jc w:val="center"/>
        <w:spacing w:after="0"/>
        <w:rPr>
          <w:sz w:val="20"/>
          <w:szCs w:val="20"/>
          <w:color w:val="auto"/>
        </w:rPr>
      </w:pPr>
      <w:r>
        <w:rPr>
          <w:rFonts w:ascii="Arial" w:cs="Arial" w:eastAsia="Arial" w:hAnsi="Arial"/>
          <w:sz w:val="18"/>
          <w:szCs w:val="18"/>
          <w:color w:val="auto"/>
        </w:rPr>
        <w:t>165</w:t>
      </w:r>
    </w:p>
    <w:p>
      <w:pPr>
        <w:sectPr>
          <w:pgSz w:w="11900" w:h="16838" w:orient="portrait"/>
          <w:cols w:equalWidth="0" w:num="1">
            <w:col w:w="11360"/>
          </w:cols>
          <w:pgMar w:left="280" w:top="721" w:right="259" w:bottom="1440" w:gutter="0" w:footer="0" w:header="0"/>
        </w:sectPr>
      </w:pPr>
    </w:p>
    <w:bookmarkStart w:id="165" w:name="page166"/>
    <w:bookmarkEnd w:id="165"/>
    <w:p>
      <w:pPr>
        <w:spacing w:after="0"/>
        <w:rPr>
          <w:sz w:val="20"/>
          <w:szCs w:val="20"/>
          <w:color w:val="auto"/>
        </w:rPr>
      </w:pPr>
      <w:r>
        <w:rPr>
          <w:rFonts w:ascii="Arial" w:cs="Arial" w:eastAsia="Arial" w:hAnsi="Arial"/>
          <w:sz w:val="14"/>
          <w:szCs w:val="14"/>
          <w:b w:val="1"/>
          <w:bCs w:val="1"/>
          <w:color w:val="auto"/>
        </w:rPr>
        <w:t>Exhibit</w:t>
      </w:r>
    </w:p>
    <w:p>
      <w:pPr>
        <w:spacing w:after="0" w:line="19" w:lineRule="exact"/>
        <w:rPr>
          <w:sz w:val="20"/>
          <w:szCs w:val="20"/>
          <w:color w:val="auto"/>
        </w:rPr>
      </w:pPr>
    </w:p>
    <w:p>
      <w:pPr>
        <w:spacing w:after="0"/>
        <w:tabs>
          <w:tab w:leader="none" w:pos="900" w:val="left"/>
        </w:tabs>
        <w:rPr>
          <w:sz w:val="20"/>
          <w:szCs w:val="20"/>
          <w:color w:val="auto"/>
        </w:rPr>
      </w:pPr>
      <w:r>
        <w:rPr>
          <w:rFonts w:ascii="Arial" w:cs="Arial" w:eastAsia="Arial" w:hAnsi="Arial"/>
          <w:sz w:val="14"/>
          <w:szCs w:val="14"/>
          <w:b w:val="1"/>
          <w:bCs w:val="1"/>
          <w:u w:val="single" w:color="auto"/>
          <w:color w:val="auto"/>
        </w:rPr>
        <w:t>Number</w:t>
      </w:r>
      <w:r>
        <w:rPr>
          <w:sz w:val="20"/>
          <w:szCs w:val="20"/>
          <w:color w:val="auto"/>
        </w:rPr>
        <w:tab/>
      </w:r>
      <w:r>
        <w:rPr>
          <w:rFonts w:ascii="Arial" w:cs="Arial" w:eastAsia="Arial" w:hAnsi="Arial"/>
          <w:sz w:val="14"/>
          <w:szCs w:val="14"/>
          <w:b w:val="1"/>
          <w:bCs w:val="1"/>
          <w:u w:val="single" w:color="auto"/>
          <w:color w:val="auto"/>
        </w:rPr>
        <w:t>Description</w:t>
      </w:r>
    </w:p>
    <w:p>
      <w:pPr>
        <w:spacing w:after="0" w:line="49" w:lineRule="exact"/>
        <w:rPr>
          <w:sz w:val="20"/>
          <w:szCs w:val="20"/>
          <w:color w:val="auto"/>
        </w:rPr>
      </w:pPr>
    </w:p>
    <w:p>
      <w:pPr>
        <w:jc w:val="both"/>
        <w:ind w:left="920" w:right="20" w:hanging="917"/>
        <w:spacing w:after="0" w:line="239" w:lineRule="auto"/>
        <w:tabs>
          <w:tab w:leader="none" w:pos="900" w:val="left"/>
        </w:tabs>
        <w:rPr>
          <w:rFonts w:ascii="Arial" w:cs="Arial" w:eastAsia="Arial" w:hAnsi="Arial"/>
          <w:sz w:val="18"/>
          <w:szCs w:val="18"/>
          <w:u w:val="single" w:color="auto"/>
          <w:color w:val="0000FF"/>
        </w:rPr>
      </w:pPr>
      <w:r>
        <w:rPr>
          <w:rFonts w:ascii="Arial" w:cs="Arial" w:eastAsia="Arial" w:hAnsi="Arial"/>
          <w:sz w:val="18"/>
          <w:szCs w:val="18"/>
          <w:color w:val="auto"/>
        </w:rPr>
        <w:t>4.24</w:t>
      </w:r>
      <w:r>
        <w:rPr>
          <w:sz w:val="20"/>
          <w:szCs w:val="20"/>
          <w:color w:val="auto"/>
        </w:rPr>
        <w:tab/>
      </w:r>
      <w:hyperlink r:id="rId122">
        <w:r>
          <w:rPr>
            <w:rFonts w:ascii="Arial" w:cs="Arial" w:eastAsia="Arial" w:hAnsi="Arial"/>
            <w:sz w:val="18"/>
            <w:szCs w:val="18"/>
            <w:u w:val="single" w:color="auto"/>
            <w:color w:val="0000FF"/>
          </w:rPr>
          <w:t>Revolving Credit Agreement (2014-1B), dated as of September 16, 2014, between Wilmington Trust Company, as Subordination</w:t>
        </w:r>
      </w:hyperlink>
      <w:r>
        <w:rPr>
          <w:rFonts w:ascii="Arial" w:cs="Arial" w:eastAsia="Arial" w:hAnsi="Arial"/>
          <w:sz w:val="18"/>
          <w:szCs w:val="18"/>
          <w:u w:val="single" w:color="auto"/>
          <w:color w:val="0000FF"/>
        </w:rPr>
        <w:t xml:space="preserve"> </w:t>
      </w:r>
      <w:hyperlink r:id="rId122">
        <w:r>
          <w:rPr>
            <w:rFonts w:ascii="Arial" w:cs="Arial" w:eastAsia="Arial" w:hAnsi="Arial"/>
            <w:sz w:val="18"/>
            <w:szCs w:val="18"/>
            <w:u w:val="single" w:color="auto"/>
            <w:color w:val="0000FF"/>
          </w:rPr>
          <w:t>Agent, as agent and trustee for the trustee of the American Airlines Pass Through Trust 2014-1B, as Borrower, and Crédit Agricole</w:t>
        </w:r>
      </w:hyperlink>
      <w:r>
        <w:rPr>
          <w:rFonts w:ascii="Arial" w:cs="Arial" w:eastAsia="Arial" w:hAnsi="Arial"/>
          <w:sz w:val="18"/>
          <w:szCs w:val="18"/>
          <w:u w:val="single" w:color="auto"/>
          <w:color w:val="0000FF"/>
        </w:rPr>
        <w:t xml:space="preserve"> </w:t>
      </w:r>
      <w:hyperlink r:id="rId122">
        <w:r>
          <w:rPr>
            <w:rFonts w:ascii="Arial" w:cs="Arial" w:eastAsia="Arial" w:hAnsi="Arial"/>
            <w:sz w:val="18"/>
            <w:szCs w:val="18"/>
            <w:u w:val="single" w:color="auto"/>
            <w:color w:val="0000FF"/>
          </w:rPr>
          <w:t>Corporate and Investment Bank, acting through its New York Branch, as Liquidity Provider (incorporated by reference to Exhibit</w:t>
        </w:r>
      </w:hyperlink>
      <w:r>
        <w:rPr>
          <w:rFonts w:ascii="Arial" w:cs="Arial" w:eastAsia="Arial" w:hAnsi="Arial"/>
          <w:sz w:val="18"/>
          <w:szCs w:val="18"/>
          <w:u w:val="single" w:color="auto"/>
          <w:color w:val="0000FF"/>
        </w:rPr>
        <w:t xml:space="preserve"> </w:t>
      </w:r>
      <w:hyperlink r:id="rId122">
        <w:r>
          <w:rPr>
            <w:rFonts w:ascii="Arial" w:cs="Arial" w:eastAsia="Arial" w:hAnsi="Arial"/>
            <w:sz w:val="18"/>
            <w:szCs w:val="18"/>
            <w:u w:val="single" w:color="auto"/>
            <w:color w:val="0000FF"/>
          </w:rPr>
          <w:t>4.15 to American’s Current Report on Form 8-K filed on September 17, 2014 (Commission File No. 1-2691)).</w:t>
        </w:r>
      </w:hyperlink>
    </w:p>
    <w:p>
      <w:pPr>
        <w:spacing w:after="0" w:line="40" w:lineRule="exact"/>
        <w:rPr>
          <w:rFonts w:ascii="Arial" w:cs="Arial" w:eastAsia="Arial" w:hAnsi="Arial"/>
          <w:sz w:val="18"/>
          <w:szCs w:val="18"/>
          <w:u w:val="single" w:color="auto"/>
          <w:color w:val="0000FF"/>
        </w:rPr>
      </w:pPr>
    </w:p>
    <w:p>
      <w:pPr>
        <w:jc w:val="both"/>
        <w:ind w:left="920" w:right="20" w:hanging="917"/>
        <w:spacing w:after="0"/>
        <w:tabs>
          <w:tab w:leader="none" w:pos="900" w:val="left"/>
        </w:tabs>
        <w:rPr>
          <w:rFonts w:ascii="Arial" w:cs="Arial" w:eastAsia="Arial" w:hAnsi="Arial"/>
          <w:sz w:val="18"/>
          <w:szCs w:val="18"/>
          <w:u w:val="single" w:color="auto"/>
          <w:color w:val="0000FF"/>
        </w:rPr>
      </w:pPr>
      <w:r>
        <w:rPr>
          <w:rFonts w:ascii="Arial" w:cs="Arial" w:eastAsia="Arial" w:hAnsi="Arial"/>
          <w:sz w:val="18"/>
          <w:szCs w:val="18"/>
          <w:color w:val="auto"/>
        </w:rPr>
        <w:t>4.25</w:t>
      </w:r>
      <w:r>
        <w:rPr>
          <w:sz w:val="20"/>
          <w:szCs w:val="20"/>
          <w:color w:val="auto"/>
        </w:rPr>
        <w:tab/>
      </w:r>
      <w:hyperlink r:id="rId123">
        <w:r>
          <w:rPr>
            <w:rFonts w:ascii="Arial" w:cs="Arial" w:eastAsia="Arial" w:hAnsi="Arial"/>
            <w:sz w:val="18"/>
            <w:szCs w:val="18"/>
            <w:u w:val="single" w:color="auto"/>
            <w:color w:val="0000FF"/>
          </w:rPr>
          <w:t>Indenture, dated as of March 5, 2015, among American Airlines Group Inc., the Guarantors (as defined therein) and Wilmington</w:t>
        </w:r>
      </w:hyperlink>
      <w:r>
        <w:rPr>
          <w:rFonts w:ascii="Arial" w:cs="Arial" w:eastAsia="Arial" w:hAnsi="Arial"/>
          <w:sz w:val="18"/>
          <w:szCs w:val="18"/>
          <w:u w:val="single" w:color="auto"/>
          <w:color w:val="0000FF"/>
        </w:rPr>
        <w:t xml:space="preserve"> </w:t>
      </w:r>
      <w:hyperlink r:id="rId123">
        <w:r>
          <w:rPr>
            <w:rFonts w:ascii="Arial" w:cs="Arial" w:eastAsia="Arial" w:hAnsi="Arial"/>
            <w:sz w:val="18"/>
            <w:szCs w:val="18"/>
            <w:u w:val="single" w:color="auto"/>
            <w:color w:val="0000FF"/>
          </w:rPr>
          <w:t>Trust, National Association, as trustee (incorporated by reference to Exhibit 4.1 to AAG’s Current Report on Form 8-K filed on</w:t>
        </w:r>
      </w:hyperlink>
      <w:r>
        <w:rPr>
          <w:rFonts w:ascii="Arial" w:cs="Arial" w:eastAsia="Arial" w:hAnsi="Arial"/>
          <w:sz w:val="18"/>
          <w:szCs w:val="18"/>
          <w:u w:val="single" w:color="auto"/>
          <w:color w:val="0000FF"/>
        </w:rPr>
        <w:t xml:space="preserve"> </w:t>
      </w:r>
      <w:hyperlink r:id="rId123">
        <w:r>
          <w:rPr>
            <w:rFonts w:ascii="Arial" w:cs="Arial" w:eastAsia="Arial" w:hAnsi="Arial"/>
            <w:sz w:val="18"/>
            <w:szCs w:val="18"/>
            <w:u w:val="single" w:color="auto"/>
            <w:color w:val="0000FF"/>
          </w:rPr>
          <w:t>March 12, 2015 (Commission File No. 1-8400)).</w:t>
        </w:r>
      </w:hyperlink>
    </w:p>
    <w:p>
      <w:pPr>
        <w:spacing w:after="0" w:line="41" w:lineRule="exact"/>
        <w:rPr>
          <w:rFonts w:ascii="Arial" w:cs="Arial" w:eastAsia="Arial" w:hAnsi="Arial"/>
          <w:sz w:val="18"/>
          <w:szCs w:val="18"/>
          <w:u w:val="single" w:color="auto"/>
          <w:color w:val="0000FF"/>
        </w:rPr>
      </w:pPr>
    </w:p>
    <w:p>
      <w:pPr>
        <w:jc w:val="both"/>
        <w:ind w:left="920" w:right="20" w:hanging="917"/>
        <w:spacing w:after="0" w:line="246" w:lineRule="auto"/>
        <w:tabs>
          <w:tab w:leader="none" w:pos="900" w:val="left"/>
        </w:tabs>
        <w:rPr>
          <w:rFonts w:ascii="Arial" w:cs="Arial" w:eastAsia="Arial" w:hAnsi="Arial"/>
          <w:sz w:val="18"/>
          <w:szCs w:val="18"/>
          <w:u w:val="single" w:color="auto"/>
          <w:color w:val="0000FF"/>
        </w:rPr>
      </w:pPr>
      <w:r>
        <w:rPr>
          <w:rFonts w:ascii="Arial" w:cs="Arial" w:eastAsia="Arial" w:hAnsi="Arial"/>
          <w:sz w:val="18"/>
          <w:szCs w:val="18"/>
          <w:color w:val="auto"/>
        </w:rPr>
        <w:t>4.26</w:t>
      </w:r>
      <w:r>
        <w:rPr>
          <w:sz w:val="20"/>
          <w:szCs w:val="20"/>
          <w:color w:val="auto"/>
        </w:rPr>
        <w:tab/>
      </w:r>
      <w:hyperlink r:id="rId123">
        <w:r>
          <w:rPr>
            <w:rFonts w:ascii="Arial" w:cs="Arial" w:eastAsia="Arial" w:hAnsi="Arial"/>
            <w:sz w:val="18"/>
            <w:szCs w:val="18"/>
            <w:u w:val="single" w:color="auto"/>
            <w:color w:val="0000FF"/>
          </w:rPr>
          <w:t>Form of 4.625% Senior Notes due 2020 (incorporated by reference to Exhibit A to Exhibit 4.1 to AAG’s Current Report on Form 8-K</w:t>
        </w:r>
      </w:hyperlink>
      <w:r>
        <w:rPr>
          <w:rFonts w:ascii="Arial" w:cs="Arial" w:eastAsia="Arial" w:hAnsi="Arial"/>
          <w:sz w:val="18"/>
          <w:szCs w:val="18"/>
          <w:u w:val="single" w:color="auto"/>
          <w:color w:val="0000FF"/>
        </w:rPr>
        <w:t xml:space="preserve"> </w:t>
      </w:r>
      <w:hyperlink r:id="rId123">
        <w:r>
          <w:rPr>
            <w:rFonts w:ascii="Arial" w:cs="Arial" w:eastAsia="Arial" w:hAnsi="Arial"/>
            <w:sz w:val="18"/>
            <w:szCs w:val="18"/>
            <w:u w:val="single" w:color="auto"/>
            <w:color w:val="0000FF"/>
          </w:rPr>
          <w:t>filed on March 12, 2015 (Commission File No. 1-8400)).</w:t>
        </w:r>
      </w:hyperlink>
    </w:p>
    <w:p>
      <w:pPr>
        <w:spacing w:after="0" w:line="35" w:lineRule="exact"/>
        <w:rPr>
          <w:sz w:val="20"/>
          <w:szCs w:val="20"/>
          <w:color w:val="auto"/>
        </w:rPr>
      </w:pPr>
    </w:p>
    <w:p>
      <w:pPr>
        <w:jc w:val="both"/>
        <w:ind w:left="920" w:right="20" w:hanging="917"/>
        <w:spacing w:after="0" w:line="246" w:lineRule="auto"/>
        <w:tabs>
          <w:tab w:leader="none" w:pos="900" w:val="left"/>
        </w:tabs>
        <w:rPr>
          <w:rFonts w:ascii="Arial" w:cs="Arial" w:eastAsia="Arial" w:hAnsi="Arial"/>
          <w:sz w:val="18"/>
          <w:szCs w:val="18"/>
          <w:u w:val="single" w:color="auto"/>
          <w:color w:val="0000FF"/>
        </w:rPr>
      </w:pPr>
      <w:r>
        <w:rPr>
          <w:rFonts w:ascii="Arial" w:cs="Arial" w:eastAsia="Arial" w:hAnsi="Arial"/>
          <w:sz w:val="18"/>
          <w:szCs w:val="18"/>
          <w:color w:val="auto"/>
        </w:rPr>
        <w:t>4.27</w:t>
      </w:r>
      <w:r>
        <w:rPr>
          <w:sz w:val="20"/>
          <w:szCs w:val="20"/>
          <w:color w:val="auto"/>
        </w:rPr>
        <w:tab/>
      </w:r>
      <w:hyperlink r:id="rId112">
        <w:r>
          <w:rPr>
            <w:rFonts w:ascii="Arial" w:cs="Arial" w:eastAsia="Arial" w:hAnsi="Arial"/>
            <w:sz w:val="18"/>
            <w:szCs w:val="18"/>
            <w:u w:val="single" w:color="auto"/>
            <w:color w:val="0000FF"/>
          </w:rPr>
          <w:t>Form of 5.000% Senior Notes due 2022 (incorporated by reference to Exhibit A to Exhibit 4.1 to AAG’s Current Report on Form 8-K</w:t>
        </w:r>
      </w:hyperlink>
      <w:r>
        <w:rPr>
          <w:rFonts w:ascii="Arial" w:cs="Arial" w:eastAsia="Arial" w:hAnsi="Arial"/>
          <w:sz w:val="18"/>
          <w:szCs w:val="18"/>
          <w:u w:val="single" w:color="auto"/>
          <w:color w:val="0000FF"/>
        </w:rPr>
        <w:t xml:space="preserve"> </w:t>
      </w:r>
      <w:hyperlink r:id="rId112">
        <w:r>
          <w:rPr>
            <w:rFonts w:ascii="Arial" w:cs="Arial" w:eastAsia="Arial" w:hAnsi="Arial"/>
            <w:sz w:val="18"/>
            <w:szCs w:val="18"/>
            <w:u w:val="single" w:color="auto"/>
            <w:color w:val="0000FF"/>
          </w:rPr>
          <w:t>filed on May 21, 2019 (Commission File No. 1-8400)).</w:t>
        </w:r>
      </w:hyperlink>
    </w:p>
    <w:p>
      <w:pPr>
        <w:spacing w:after="0" w:line="35" w:lineRule="exact"/>
        <w:rPr>
          <w:sz w:val="20"/>
          <w:szCs w:val="20"/>
          <w:color w:val="auto"/>
        </w:rPr>
      </w:pPr>
    </w:p>
    <w:p>
      <w:pPr>
        <w:jc w:val="both"/>
        <w:ind w:left="920" w:right="20" w:hanging="917"/>
        <w:spacing w:after="0"/>
        <w:tabs>
          <w:tab w:leader="none" w:pos="900" w:val="left"/>
        </w:tabs>
        <w:rPr>
          <w:rFonts w:ascii="Arial" w:cs="Arial" w:eastAsia="Arial" w:hAnsi="Arial"/>
          <w:sz w:val="18"/>
          <w:szCs w:val="18"/>
          <w:u w:val="single" w:color="auto"/>
          <w:color w:val="0000FF"/>
        </w:rPr>
      </w:pPr>
      <w:r>
        <w:rPr>
          <w:rFonts w:ascii="Arial" w:cs="Arial" w:eastAsia="Arial" w:hAnsi="Arial"/>
          <w:sz w:val="18"/>
          <w:szCs w:val="18"/>
          <w:color w:val="auto"/>
        </w:rPr>
        <w:t>4.28</w:t>
      </w:r>
      <w:r>
        <w:rPr>
          <w:sz w:val="20"/>
          <w:szCs w:val="20"/>
          <w:color w:val="auto"/>
        </w:rPr>
        <w:tab/>
      </w:r>
      <w:hyperlink r:id="rId124">
        <w:r>
          <w:rPr>
            <w:rFonts w:ascii="Arial" w:cs="Arial" w:eastAsia="Arial" w:hAnsi="Arial"/>
            <w:sz w:val="18"/>
            <w:szCs w:val="18"/>
            <w:u w:val="single" w:color="auto"/>
            <w:color w:val="0000FF"/>
          </w:rPr>
          <w:t>First Supplemental Indenture, dated as of December 30, 2015, among American Airlines Group Inc., American Airlines, Inc. and</w:t>
        </w:r>
      </w:hyperlink>
      <w:r>
        <w:rPr>
          <w:rFonts w:ascii="Arial" w:cs="Arial" w:eastAsia="Arial" w:hAnsi="Arial"/>
          <w:sz w:val="18"/>
          <w:szCs w:val="18"/>
          <w:u w:val="single" w:color="auto"/>
          <w:color w:val="0000FF"/>
        </w:rPr>
        <w:t xml:space="preserve"> </w:t>
      </w:r>
      <w:hyperlink r:id="rId124">
        <w:r>
          <w:rPr>
            <w:rFonts w:ascii="Arial" w:cs="Arial" w:eastAsia="Arial" w:hAnsi="Arial"/>
            <w:sz w:val="18"/>
            <w:szCs w:val="18"/>
            <w:u w:val="single" w:color="auto"/>
            <w:color w:val="0000FF"/>
          </w:rPr>
          <w:t>Wilmington Trust, National Association, as trustee, to the Indenture dated as of March 5, 2015 (incorporated by reference to Exhibit</w:t>
        </w:r>
      </w:hyperlink>
      <w:r>
        <w:rPr>
          <w:rFonts w:ascii="Arial" w:cs="Arial" w:eastAsia="Arial" w:hAnsi="Arial"/>
          <w:sz w:val="18"/>
          <w:szCs w:val="18"/>
          <w:u w:val="single" w:color="auto"/>
          <w:color w:val="0000FF"/>
        </w:rPr>
        <w:t xml:space="preserve"> </w:t>
      </w:r>
      <w:hyperlink r:id="rId124">
        <w:r>
          <w:rPr>
            <w:rFonts w:ascii="Arial" w:cs="Arial" w:eastAsia="Arial" w:hAnsi="Arial"/>
            <w:sz w:val="18"/>
            <w:szCs w:val="18"/>
            <w:u w:val="single" w:color="auto"/>
            <w:color w:val="0000FF"/>
          </w:rPr>
          <w:t>4.3 to AAG’s Current Report on Form 8-K filed on December 31, 2015 (Commission File No. 1-8400)).</w:t>
        </w:r>
      </w:hyperlink>
    </w:p>
    <w:p>
      <w:pPr>
        <w:spacing w:after="0" w:line="41" w:lineRule="exact"/>
        <w:rPr>
          <w:rFonts w:ascii="Arial" w:cs="Arial" w:eastAsia="Arial" w:hAnsi="Arial"/>
          <w:sz w:val="18"/>
          <w:szCs w:val="18"/>
          <w:u w:val="single" w:color="auto"/>
          <w:color w:val="0000FF"/>
        </w:rPr>
      </w:pPr>
    </w:p>
    <w:p>
      <w:pPr>
        <w:jc w:val="both"/>
        <w:ind w:left="920" w:right="20" w:hanging="917"/>
        <w:spacing w:after="0"/>
        <w:tabs>
          <w:tab w:leader="none" w:pos="900" w:val="left"/>
        </w:tabs>
        <w:rPr>
          <w:rFonts w:ascii="Arial" w:cs="Arial" w:eastAsia="Arial" w:hAnsi="Arial"/>
          <w:sz w:val="18"/>
          <w:szCs w:val="18"/>
          <w:u w:val="single" w:color="auto"/>
          <w:color w:val="0000FF"/>
        </w:rPr>
      </w:pPr>
      <w:r>
        <w:rPr>
          <w:rFonts w:ascii="Arial" w:cs="Arial" w:eastAsia="Arial" w:hAnsi="Arial"/>
          <w:sz w:val="18"/>
          <w:szCs w:val="18"/>
          <w:color w:val="auto"/>
        </w:rPr>
        <w:t>4.29</w:t>
      </w:r>
      <w:r>
        <w:rPr>
          <w:sz w:val="20"/>
          <w:szCs w:val="20"/>
          <w:color w:val="auto"/>
        </w:rPr>
        <w:tab/>
      </w:r>
      <w:hyperlink r:id="rId125">
        <w:r>
          <w:rPr>
            <w:rFonts w:ascii="Arial" w:cs="Arial" w:eastAsia="Arial" w:hAnsi="Arial"/>
            <w:sz w:val="18"/>
            <w:szCs w:val="18"/>
            <w:u w:val="single" w:color="auto"/>
            <w:color w:val="0000FF"/>
          </w:rPr>
          <w:t>Trust Supplement No. 2015-1A, dated as of March 16, 2015, between American Airlines, Inc. and Wilmington Trust Company, as</w:t>
        </w:r>
      </w:hyperlink>
      <w:r>
        <w:rPr>
          <w:rFonts w:ascii="Arial" w:cs="Arial" w:eastAsia="Arial" w:hAnsi="Arial"/>
          <w:sz w:val="18"/>
          <w:szCs w:val="18"/>
          <w:u w:val="single" w:color="auto"/>
          <w:color w:val="0000FF"/>
        </w:rPr>
        <w:t xml:space="preserve"> </w:t>
      </w:r>
      <w:hyperlink r:id="rId125">
        <w:r>
          <w:rPr>
            <w:rFonts w:ascii="Arial" w:cs="Arial" w:eastAsia="Arial" w:hAnsi="Arial"/>
            <w:sz w:val="18"/>
            <w:szCs w:val="18"/>
            <w:u w:val="single" w:color="auto"/>
            <w:color w:val="0000FF"/>
          </w:rPr>
          <w:t>Trustee, to the Pass Through Trust Agreement, dated as of September 16, 2014 (incorporated by reference to Exhibit 4.2 to</w:t>
        </w:r>
      </w:hyperlink>
      <w:r>
        <w:rPr>
          <w:rFonts w:ascii="Arial" w:cs="Arial" w:eastAsia="Arial" w:hAnsi="Arial"/>
          <w:sz w:val="18"/>
          <w:szCs w:val="18"/>
          <w:u w:val="single" w:color="auto"/>
          <w:color w:val="0000FF"/>
        </w:rPr>
        <w:t xml:space="preserve"> </w:t>
      </w:r>
      <w:hyperlink r:id="rId125">
        <w:r>
          <w:rPr>
            <w:rFonts w:ascii="Arial" w:cs="Arial" w:eastAsia="Arial" w:hAnsi="Arial"/>
            <w:sz w:val="18"/>
            <w:szCs w:val="18"/>
            <w:u w:val="single" w:color="auto"/>
            <w:color w:val="0000FF"/>
          </w:rPr>
          <w:t>American’s Current Report on Form 8-K filed on March 16, 2015 (Commission File No. 1-2691)).</w:t>
        </w:r>
      </w:hyperlink>
    </w:p>
    <w:p>
      <w:pPr>
        <w:spacing w:after="0" w:line="41" w:lineRule="exact"/>
        <w:rPr>
          <w:rFonts w:ascii="Arial" w:cs="Arial" w:eastAsia="Arial" w:hAnsi="Arial"/>
          <w:sz w:val="18"/>
          <w:szCs w:val="18"/>
          <w:u w:val="single" w:color="auto"/>
          <w:color w:val="0000FF"/>
        </w:rPr>
      </w:pPr>
    </w:p>
    <w:p>
      <w:pPr>
        <w:jc w:val="both"/>
        <w:ind w:left="920" w:right="20" w:hanging="917"/>
        <w:spacing w:after="0"/>
        <w:tabs>
          <w:tab w:leader="none" w:pos="900" w:val="left"/>
        </w:tabs>
        <w:rPr>
          <w:rFonts w:ascii="Arial" w:cs="Arial" w:eastAsia="Arial" w:hAnsi="Arial"/>
          <w:sz w:val="18"/>
          <w:szCs w:val="18"/>
          <w:u w:val="single" w:color="auto"/>
          <w:color w:val="0000FF"/>
        </w:rPr>
      </w:pPr>
      <w:r>
        <w:rPr>
          <w:rFonts w:ascii="Arial" w:cs="Arial" w:eastAsia="Arial" w:hAnsi="Arial"/>
          <w:sz w:val="18"/>
          <w:szCs w:val="18"/>
          <w:color w:val="auto"/>
        </w:rPr>
        <w:t>4.30</w:t>
      </w:r>
      <w:r>
        <w:rPr>
          <w:sz w:val="20"/>
          <w:szCs w:val="20"/>
          <w:color w:val="auto"/>
        </w:rPr>
        <w:tab/>
      </w:r>
      <w:hyperlink r:id="rId126">
        <w:r>
          <w:rPr>
            <w:rFonts w:ascii="Arial" w:cs="Arial" w:eastAsia="Arial" w:hAnsi="Arial"/>
            <w:sz w:val="18"/>
            <w:szCs w:val="18"/>
            <w:u w:val="single" w:color="auto"/>
            <w:color w:val="0000FF"/>
          </w:rPr>
          <w:t>Trust Supplement No. 2015-1B, dated as of March 16, 2015, between American Airlines, Inc. and Wilmington Trust Company, as</w:t>
        </w:r>
      </w:hyperlink>
      <w:r>
        <w:rPr>
          <w:rFonts w:ascii="Arial" w:cs="Arial" w:eastAsia="Arial" w:hAnsi="Arial"/>
          <w:sz w:val="18"/>
          <w:szCs w:val="18"/>
          <w:u w:val="single" w:color="auto"/>
          <w:color w:val="0000FF"/>
        </w:rPr>
        <w:t xml:space="preserve"> </w:t>
      </w:r>
      <w:hyperlink r:id="rId126">
        <w:r>
          <w:rPr>
            <w:rFonts w:ascii="Arial" w:cs="Arial" w:eastAsia="Arial" w:hAnsi="Arial"/>
            <w:sz w:val="18"/>
            <w:szCs w:val="18"/>
            <w:u w:val="single" w:color="auto"/>
            <w:color w:val="0000FF"/>
          </w:rPr>
          <w:t>Trustee, to the Pass Through Trust Agreement, dated as of September 16, 2014 (incorporated by reference to Exhibit 4.3 to</w:t>
        </w:r>
      </w:hyperlink>
      <w:r>
        <w:rPr>
          <w:rFonts w:ascii="Arial" w:cs="Arial" w:eastAsia="Arial" w:hAnsi="Arial"/>
          <w:sz w:val="18"/>
          <w:szCs w:val="18"/>
          <w:u w:val="single" w:color="auto"/>
          <w:color w:val="0000FF"/>
        </w:rPr>
        <w:t xml:space="preserve"> </w:t>
      </w:r>
      <w:hyperlink r:id="rId126">
        <w:r>
          <w:rPr>
            <w:rFonts w:ascii="Arial" w:cs="Arial" w:eastAsia="Arial" w:hAnsi="Arial"/>
            <w:sz w:val="18"/>
            <w:szCs w:val="18"/>
            <w:u w:val="single" w:color="auto"/>
            <w:color w:val="0000FF"/>
          </w:rPr>
          <w:t>American’s Current Report on Form 8-K filed on March 16, 2015 (Commission File No. 1-2691)).</w:t>
        </w:r>
      </w:hyperlink>
    </w:p>
    <w:p>
      <w:pPr>
        <w:spacing w:after="0" w:line="41" w:lineRule="exact"/>
        <w:rPr>
          <w:rFonts w:ascii="Arial" w:cs="Arial" w:eastAsia="Arial" w:hAnsi="Arial"/>
          <w:sz w:val="18"/>
          <w:szCs w:val="18"/>
          <w:u w:val="single" w:color="auto"/>
          <w:color w:val="0000FF"/>
        </w:rPr>
      </w:pPr>
    </w:p>
    <w:p>
      <w:pPr>
        <w:jc w:val="both"/>
        <w:ind w:left="920" w:hanging="917"/>
        <w:spacing w:after="0" w:line="238" w:lineRule="auto"/>
        <w:tabs>
          <w:tab w:leader="none" w:pos="900" w:val="left"/>
        </w:tabs>
        <w:rPr>
          <w:rFonts w:ascii="Arial" w:cs="Arial" w:eastAsia="Arial" w:hAnsi="Arial"/>
          <w:sz w:val="18"/>
          <w:szCs w:val="18"/>
          <w:u w:val="single" w:color="auto"/>
          <w:color w:val="0000FF"/>
        </w:rPr>
      </w:pPr>
      <w:r>
        <w:rPr>
          <w:rFonts w:ascii="Arial" w:cs="Arial" w:eastAsia="Arial" w:hAnsi="Arial"/>
          <w:sz w:val="18"/>
          <w:szCs w:val="18"/>
          <w:color w:val="auto"/>
        </w:rPr>
        <w:t>4.31</w:t>
      </w:r>
      <w:r>
        <w:rPr>
          <w:sz w:val="20"/>
          <w:szCs w:val="20"/>
          <w:color w:val="auto"/>
        </w:rPr>
        <w:tab/>
      </w:r>
      <w:hyperlink r:id="rId127">
        <w:r>
          <w:rPr>
            <w:rFonts w:ascii="Arial" w:cs="Arial" w:eastAsia="Arial" w:hAnsi="Arial"/>
            <w:sz w:val="18"/>
            <w:szCs w:val="18"/>
            <w:u w:val="single" w:color="auto"/>
            <w:color w:val="0000FF"/>
          </w:rPr>
          <w:t>Intercreditor Agreement (2015-1), dated as of March 16, 2015, among Wilmington Trust Company, as Trustee of the American</w:t>
        </w:r>
      </w:hyperlink>
      <w:r>
        <w:rPr>
          <w:rFonts w:ascii="Arial" w:cs="Arial" w:eastAsia="Arial" w:hAnsi="Arial"/>
          <w:sz w:val="18"/>
          <w:szCs w:val="18"/>
          <w:u w:val="single" w:color="auto"/>
          <w:color w:val="0000FF"/>
        </w:rPr>
        <w:t xml:space="preserve"> </w:t>
      </w:r>
      <w:hyperlink r:id="rId127">
        <w:r>
          <w:rPr>
            <w:rFonts w:ascii="Arial" w:cs="Arial" w:eastAsia="Arial" w:hAnsi="Arial"/>
            <w:sz w:val="18"/>
            <w:szCs w:val="18"/>
            <w:u w:val="single" w:color="auto"/>
            <w:color w:val="0000FF"/>
          </w:rPr>
          <w:t>Airlines Pass Through Trust 2015-1A and as Trustee of the American Airlines Pass Through Trust 2015-1B, Crédit Agricole</w:t>
        </w:r>
      </w:hyperlink>
      <w:r>
        <w:rPr>
          <w:rFonts w:ascii="Arial" w:cs="Arial" w:eastAsia="Arial" w:hAnsi="Arial"/>
          <w:sz w:val="18"/>
          <w:szCs w:val="18"/>
          <w:u w:val="single" w:color="auto"/>
          <w:color w:val="0000FF"/>
        </w:rPr>
        <w:t xml:space="preserve"> </w:t>
      </w:r>
      <w:hyperlink r:id="rId127">
        <w:r>
          <w:rPr>
            <w:rFonts w:ascii="Arial" w:cs="Arial" w:eastAsia="Arial" w:hAnsi="Arial"/>
            <w:sz w:val="18"/>
            <w:szCs w:val="18"/>
            <w:u w:val="single" w:color="auto"/>
            <w:color w:val="0000FF"/>
          </w:rPr>
          <w:t>Corporate and Investment Bank, acting through its New York Branch, as Class A Liquidity Provider and Class B Liquidity Provider,</w:t>
        </w:r>
      </w:hyperlink>
      <w:r>
        <w:rPr>
          <w:rFonts w:ascii="Arial" w:cs="Arial" w:eastAsia="Arial" w:hAnsi="Arial"/>
          <w:sz w:val="18"/>
          <w:szCs w:val="18"/>
          <w:u w:val="single" w:color="auto"/>
          <w:color w:val="0000FF"/>
        </w:rPr>
        <w:t xml:space="preserve"> </w:t>
      </w:r>
      <w:hyperlink r:id="rId127">
        <w:r>
          <w:rPr>
            <w:rFonts w:ascii="Arial" w:cs="Arial" w:eastAsia="Arial" w:hAnsi="Arial"/>
            <w:sz w:val="18"/>
            <w:szCs w:val="18"/>
            <w:u w:val="single" w:color="auto"/>
            <w:color w:val="0000FF"/>
          </w:rPr>
          <w:t>and Wilmington Trust Company, as Subordination Agent (incorporated by reference to Exhibit 4.4 to American’s Current Report on</w:t>
        </w:r>
      </w:hyperlink>
      <w:r>
        <w:rPr>
          <w:rFonts w:ascii="Arial" w:cs="Arial" w:eastAsia="Arial" w:hAnsi="Arial"/>
          <w:sz w:val="18"/>
          <w:szCs w:val="18"/>
          <w:u w:val="single" w:color="auto"/>
          <w:color w:val="0000FF"/>
        </w:rPr>
        <w:t xml:space="preserve"> </w:t>
      </w:r>
      <w:hyperlink r:id="rId127">
        <w:r>
          <w:rPr>
            <w:rFonts w:ascii="Arial" w:cs="Arial" w:eastAsia="Arial" w:hAnsi="Arial"/>
            <w:sz w:val="18"/>
            <w:szCs w:val="18"/>
            <w:u w:val="single" w:color="auto"/>
            <w:color w:val="0000FF"/>
          </w:rPr>
          <w:t>Form 8-K filed on March 16, 2015 (Commission File No. 1-2691)).</w:t>
        </w:r>
      </w:hyperlink>
    </w:p>
    <w:p>
      <w:pPr>
        <w:spacing w:after="0" w:line="41" w:lineRule="exact"/>
        <w:rPr>
          <w:rFonts w:ascii="Arial" w:cs="Arial" w:eastAsia="Arial" w:hAnsi="Arial"/>
          <w:sz w:val="18"/>
          <w:szCs w:val="18"/>
          <w:u w:val="single" w:color="auto"/>
          <w:color w:val="0000FF"/>
        </w:rPr>
      </w:pPr>
    </w:p>
    <w:p>
      <w:pPr>
        <w:jc w:val="both"/>
        <w:ind w:left="920" w:right="20" w:hanging="917"/>
        <w:spacing w:after="0" w:line="239" w:lineRule="auto"/>
        <w:tabs>
          <w:tab w:leader="none" w:pos="900" w:val="left"/>
        </w:tabs>
        <w:rPr>
          <w:rFonts w:ascii="Arial" w:cs="Arial" w:eastAsia="Arial" w:hAnsi="Arial"/>
          <w:sz w:val="18"/>
          <w:szCs w:val="18"/>
          <w:u w:val="single" w:color="auto"/>
          <w:color w:val="0000FF"/>
        </w:rPr>
      </w:pPr>
      <w:r>
        <w:rPr>
          <w:rFonts w:ascii="Arial" w:cs="Arial" w:eastAsia="Arial" w:hAnsi="Arial"/>
          <w:sz w:val="18"/>
          <w:szCs w:val="18"/>
          <w:color w:val="auto"/>
        </w:rPr>
        <w:t>4.32</w:t>
      </w:r>
      <w:r>
        <w:rPr>
          <w:sz w:val="20"/>
          <w:szCs w:val="20"/>
          <w:color w:val="auto"/>
        </w:rPr>
        <w:tab/>
      </w:r>
      <w:hyperlink r:id="rId128">
        <w:r>
          <w:rPr>
            <w:rFonts w:ascii="Arial" w:cs="Arial" w:eastAsia="Arial" w:hAnsi="Arial"/>
            <w:sz w:val="18"/>
            <w:szCs w:val="18"/>
            <w:u w:val="single" w:color="auto"/>
            <w:color w:val="0000FF"/>
          </w:rPr>
          <w:t>Note Purchase Agreement, dated as of March 16, 2015, among American Airlines, Inc., Wilmington Trust Company, as Pass</w:t>
        </w:r>
      </w:hyperlink>
      <w:r>
        <w:rPr>
          <w:rFonts w:ascii="Arial" w:cs="Arial" w:eastAsia="Arial" w:hAnsi="Arial"/>
          <w:sz w:val="18"/>
          <w:szCs w:val="18"/>
          <w:u w:val="single" w:color="auto"/>
          <w:color w:val="0000FF"/>
        </w:rPr>
        <w:t xml:space="preserve"> </w:t>
      </w:r>
      <w:hyperlink r:id="rId128">
        <w:r>
          <w:rPr>
            <w:rFonts w:ascii="Arial" w:cs="Arial" w:eastAsia="Arial" w:hAnsi="Arial"/>
            <w:sz w:val="18"/>
            <w:szCs w:val="18"/>
            <w:u w:val="single" w:color="auto"/>
            <w:color w:val="0000FF"/>
          </w:rPr>
          <w:t>Through Trustee under each of the Pass Through Trust Agreements, Wilmington Trust Company, as Subordination Agent,</w:t>
        </w:r>
      </w:hyperlink>
      <w:r>
        <w:rPr>
          <w:rFonts w:ascii="Arial" w:cs="Arial" w:eastAsia="Arial" w:hAnsi="Arial"/>
          <w:sz w:val="18"/>
          <w:szCs w:val="18"/>
          <w:u w:val="single" w:color="auto"/>
          <w:color w:val="0000FF"/>
        </w:rPr>
        <w:t xml:space="preserve"> </w:t>
      </w:r>
      <w:hyperlink r:id="rId128">
        <w:r>
          <w:rPr>
            <w:rFonts w:ascii="Arial" w:cs="Arial" w:eastAsia="Arial" w:hAnsi="Arial"/>
            <w:sz w:val="18"/>
            <w:szCs w:val="18"/>
            <w:u w:val="single" w:color="auto"/>
            <w:color w:val="0000FF"/>
          </w:rPr>
          <w:t>Wilmington Trust, National Association, as Escrow Agent, and Wilmington Trust Company, as Paying Agent (incorporated by</w:t>
        </w:r>
      </w:hyperlink>
      <w:r>
        <w:rPr>
          <w:rFonts w:ascii="Arial" w:cs="Arial" w:eastAsia="Arial" w:hAnsi="Arial"/>
          <w:sz w:val="18"/>
          <w:szCs w:val="18"/>
          <w:u w:val="single" w:color="auto"/>
          <w:color w:val="0000FF"/>
        </w:rPr>
        <w:t xml:space="preserve"> </w:t>
      </w:r>
      <w:hyperlink r:id="rId128">
        <w:r>
          <w:rPr>
            <w:rFonts w:ascii="Arial" w:cs="Arial" w:eastAsia="Arial" w:hAnsi="Arial"/>
            <w:sz w:val="18"/>
            <w:szCs w:val="18"/>
            <w:u w:val="single" w:color="auto"/>
            <w:color w:val="0000FF"/>
          </w:rPr>
          <w:t>reference to Exhibit 4.9 to American’s Current Report on Form 8-K filed on March 16, 2015 (Commission File No. 1-2691)).</w:t>
        </w:r>
      </w:hyperlink>
    </w:p>
    <w:p>
      <w:pPr>
        <w:spacing w:after="0" w:line="40" w:lineRule="exact"/>
        <w:rPr>
          <w:rFonts w:ascii="Arial" w:cs="Arial" w:eastAsia="Arial" w:hAnsi="Arial"/>
          <w:sz w:val="18"/>
          <w:szCs w:val="18"/>
          <w:u w:val="single" w:color="auto"/>
          <w:color w:val="0000FF"/>
        </w:rPr>
      </w:pPr>
    </w:p>
    <w:p>
      <w:pPr>
        <w:jc w:val="both"/>
        <w:ind w:left="920" w:hanging="917"/>
        <w:spacing w:after="0" w:line="238" w:lineRule="auto"/>
        <w:tabs>
          <w:tab w:leader="none" w:pos="900" w:val="left"/>
        </w:tabs>
        <w:rPr>
          <w:rFonts w:ascii="Arial" w:cs="Arial" w:eastAsia="Arial" w:hAnsi="Arial"/>
          <w:sz w:val="18"/>
          <w:szCs w:val="18"/>
          <w:u w:val="single" w:color="auto"/>
          <w:color w:val="0000FF"/>
        </w:rPr>
      </w:pPr>
      <w:r>
        <w:rPr>
          <w:rFonts w:ascii="Arial" w:cs="Arial" w:eastAsia="Arial" w:hAnsi="Arial"/>
          <w:sz w:val="18"/>
          <w:szCs w:val="18"/>
          <w:color w:val="auto"/>
        </w:rPr>
        <w:t>4.33</w:t>
      </w:r>
      <w:r>
        <w:rPr>
          <w:sz w:val="20"/>
          <w:szCs w:val="20"/>
          <w:color w:val="auto"/>
        </w:rPr>
        <w:tab/>
      </w:r>
      <w:hyperlink r:id="rId129">
        <w:r>
          <w:rPr>
            <w:rFonts w:ascii="Arial" w:cs="Arial" w:eastAsia="Arial" w:hAnsi="Arial"/>
            <w:sz w:val="18"/>
            <w:szCs w:val="18"/>
            <w:u w:val="single" w:color="auto"/>
            <w:color w:val="0000FF"/>
          </w:rPr>
          <w:t>Form of Participation Agreement (Participation Agreement among American Airlines, Inc., Wilmington Trust Company, as Pass</w:t>
        </w:r>
      </w:hyperlink>
      <w:r>
        <w:rPr>
          <w:rFonts w:ascii="Arial" w:cs="Arial" w:eastAsia="Arial" w:hAnsi="Arial"/>
          <w:sz w:val="18"/>
          <w:szCs w:val="18"/>
          <w:u w:val="single" w:color="auto"/>
          <w:color w:val="0000FF"/>
        </w:rPr>
        <w:t xml:space="preserve"> </w:t>
      </w:r>
      <w:hyperlink r:id="rId129">
        <w:r>
          <w:rPr>
            <w:rFonts w:ascii="Arial" w:cs="Arial" w:eastAsia="Arial" w:hAnsi="Arial"/>
            <w:sz w:val="18"/>
            <w:szCs w:val="18"/>
            <w:u w:val="single" w:color="auto"/>
            <w:color w:val="0000FF"/>
          </w:rPr>
          <w:t>Through Trustee under each of the Pass Through Trust Agreements, Wilmington Trust Company, as Subordination Agent,</w:t>
        </w:r>
      </w:hyperlink>
      <w:r>
        <w:rPr>
          <w:rFonts w:ascii="Arial" w:cs="Arial" w:eastAsia="Arial" w:hAnsi="Arial"/>
          <w:sz w:val="18"/>
          <w:szCs w:val="18"/>
          <w:u w:val="single" w:color="auto"/>
          <w:color w:val="0000FF"/>
        </w:rPr>
        <w:t xml:space="preserve"> </w:t>
      </w:r>
      <w:hyperlink r:id="rId129">
        <w:r>
          <w:rPr>
            <w:rFonts w:ascii="Arial" w:cs="Arial" w:eastAsia="Arial" w:hAnsi="Arial"/>
            <w:sz w:val="18"/>
            <w:szCs w:val="18"/>
            <w:u w:val="single" w:color="auto"/>
            <w:color w:val="0000FF"/>
          </w:rPr>
          <w:t>Wilmington Trust Company, as Loan Trustee, and Wilmington Trust Company, in its individual capacity as set forth therein)</w:t>
        </w:r>
      </w:hyperlink>
      <w:r>
        <w:rPr>
          <w:rFonts w:ascii="Arial" w:cs="Arial" w:eastAsia="Arial" w:hAnsi="Arial"/>
          <w:sz w:val="18"/>
          <w:szCs w:val="18"/>
          <w:u w:val="single" w:color="auto"/>
          <w:color w:val="0000FF"/>
        </w:rPr>
        <w:t xml:space="preserve"> </w:t>
      </w:r>
      <w:hyperlink r:id="rId129">
        <w:r>
          <w:rPr>
            <w:rFonts w:ascii="Arial" w:cs="Arial" w:eastAsia="Arial" w:hAnsi="Arial"/>
            <w:sz w:val="18"/>
            <w:szCs w:val="18"/>
            <w:u w:val="single" w:color="auto"/>
            <w:color w:val="0000FF"/>
          </w:rPr>
          <w:t>(incorporated by reference to Exhibit 4.10 to American’s Current Report on Form 8-K filed on March 16, 2015 (Commission File</w:t>
        </w:r>
      </w:hyperlink>
      <w:r>
        <w:rPr>
          <w:rFonts w:ascii="Arial" w:cs="Arial" w:eastAsia="Arial" w:hAnsi="Arial"/>
          <w:sz w:val="18"/>
          <w:szCs w:val="18"/>
          <w:u w:val="single" w:color="auto"/>
          <w:color w:val="0000FF"/>
        </w:rPr>
        <w:t xml:space="preserve"> </w:t>
      </w:r>
      <w:hyperlink r:id="rId129">
        <w:r>
          <w:rPr>
            <w:rFonts w:ascii="Arial" w:cs="Arial" w:eastAsia="Arial" w:hAnsi="Arial"/>
            <w:sz w:val="18"/>
            <w:szCs w:val="18"/>
            <w:u w:val="single" w:color="auto"/>
            <w:color w:val="0000FF"/>
          </w:rPr>
          <w:t>No. 1-2691)).</w:t>
        </w:r>
      </w:hyperlink>
    </w:p>
    <w:p>
      <w:pPr>
        <w:spacing w:after="0" w:line="41" w:lineRule="exact"/>
        <w:rPr>
          <w:rFonts w:ascii="Arial" w:cs="Arial" w:eastAsia="Arial" w:hAnsi="Arial"/>
          <w:sz w:val="18"/>
          <w:szCs w:val="18"/>
          <w:u w:val="single" w:color="auto"/>
          <w:color w:val="0000FF"/>
        </w:rPr>
      </w:pPr>
    </w:p>
    <w:p>
      <w:pPr>
        <w:jc w:val="both"/>
        <w:ind w:left="920" w:hanging="917"/>
        <w:spacing w:after="0"/>
        <w:tabs>
          <w:tab w:leader="none" w:pos="900" w:val="left"/>
        </w:tabs>
        <w:rPr>
          <w:rFonts w:ascii="Arial" w:cs="Arial" w:eastAsia="Arial" w:hAnsi="Arial"/>
          <w:sz w:val="18"/>
          <w:szCs w:val="18"/>
          <w:u w:val="single" w:color="auto"/>
          <w:color w:val="0000FF"/>
        </w:rPr>
      </w:pPr>
      <w:r>
        <w:rPr>
          <w:rFonts w:ascii="Arial" w:cs="Arial" w:eastAsia="Arial" w:hAnsi="Arial"/>
          <w:sz w:val="18"/>
          <w:szCs w:val="18"/>
          <w:color w:val="auto"/>
        </w:rPr>
        <w:t>4.34</w:t>
      </w:r>
      <w:r>
        <w:rPr>
          <w:sz w:val="20"/>
          <w:szCs w:val="20"/>
          <w:color w:val="auto"/>
        </w:rPr>
        <w:tab/>
      </w:r>
      <w:hyperlink r:id="rId130">
        <w:r>
          <w:rPr>
            <w:rFonts w:ascii="Arial" w:cs="Arial" w:eastAsia="Arial" w:hAnsi="Arial"/>
            <w:sz w:val="18"/>
            <w:szCs w:val="18"/>
            <w:u w:val="single" w:color="auto"/>
            <w:color w:val="0000FF"/>
          </w:rPr>
          <w:t>Form of Indenture and Security Agreement (Indenture and Security Agreement between American Airlines, Inc., and Wilmington</w:t>
        </w:r>
      </w:hyperlink>
      <w:r>
        <w:rPr>
          <w:rFonts w:ascii="Arial" w:cs="Arial" w:eastAsia="Arial" w:hAnsi="Arial"/>
          <w:sz w:val="18"/>
          <w:szCs w:val="18"/>
          <w:u w:val="single" w:color="auto"/>
          <w:color w:val="0000FF"/>
        </w:rPr>
        <w:t xml:space="preserve"> </w:t>
      </w:r>
      <w:hyperlink r:id="rId130">
        <w:r>
          <w:rPr>
            <w:rFonts w:ascii="Arial" w:cs="Arial" w:eastAsia="Arial" w:hAnsi="Arial"/>
            <w:sz w:val="18"/>
            <w:szCs w:val="18"/>
            <w:u w:val="single" w:color="auto"/>
            <w:color w:val="0000FF"/>
          </w:rPr>
          <w:t>Trust Company, as Loan Trustee) (incorporated by reference to Exhibit 4.11 to American’s Current Report on Form 8-K filed on</w:t>
        </w:r>
      </w:hyperlink>
      <w:r>
        <w:rPr>
          <w:rFonts w:ascii="Arial" w:cs="Arial" w:eastAsia="Arial" w:hAnsi="Arial"/>
          <w:sz w:val="18"/>
          <w:szCs w:val="18"/>
          <w:u w:val="single" w:color="auto"/>
          <w:color w:val="0000FF"/>
        </w:rPr>
        <w:t xml:space="preserve"> </w:t>
      </w:r>
      <w:hyperlink r:id="rId130">
        <w:r>
          <w:rPr>
            <w:rFonts w:ascii="Arial" w:cs="Arial" w:eastAsia="Arial" w:hAnsi="Arial"/>
            <w:sz w:val="18"/>
            <w:szCs w:val="18"/>
            <w:u w:val="single" w:color="auto"/>
            <w:color w:val="0000FF"/>
          </w:rPr>
          <w:t>March 16, 2015 (Commission File No. 1-2691)).</w:t>
        </w:r>
      </w:hyperlink>
    </w:p>
    <w:p>
      <w:pPr>
        <w:spacing w:after="0" w:line="41" w:lineRule="exact"/>
        <w:rPr>
          <w:rFonts w:ascii="Arial" w:cs="Arial" w:eastAsia="Arial" w:hAnsi="Arial"/>
          <w:sz w:val="18"/>
          <w:szCs w:val="18"/>
          <w:u w:val="single" w:color="auto"/>
          <w:color w:val="0000FF"/>
        </w:rPr>
      </w:pPr>
    </w:p>
    <w:p>
      <w:pPr>
        <w:jc w:val="both"/>
        <w:ind w:left="920" w:right="20" w:hanging="917"/>
        <w:spacing w:after="0" w:line="246" w:lineRule="auto"/>
        <w:tabs>
          <w:tab w:leader="none" w:pos="900" w:val="left"/>
        </w:tabs>
        <w:rPr>
          <w:rFonts w:ascii="Arial" w:cs="Arial" w:eastAsia="Arial" w:hAnsi="Arial"/>
          <w:sz w:val="18"/>
          <w:szCs w:val="18"/>
          <w:u w:val="single" w:color="auto"/>
          <w:color w:val="0000FF"/>
        </w:rPr>
      </w:pPr>
      <w:r>
        <w:rPr>
          <w:rFonts w:ascii="Arial" w:cs="Arial" w:eastAsia="Arial" w:hAnsi="Arial"/>
          <w:sz w:val="18"/>
          <w:szCs w:val="18"/>
          <w:color w:val="auto"/>
        </w:rPr>
        <w:t>4.35</w:t>
      </w:r>
      <w:r>
        <w:rPr>
          <w:sz w:val="20"/>
          <w:szCs w:val="20"/>
          <w:color w:val="auto"/>
        </w:rPr>
        <w:tab/>
      </w:r>
      <w:hyperlink r:id="rId125">
        <w:r>
          <w:rPr>
            <w:rFonts w:ascii="Arial" w:cs="Arial" w:eastAsia="Arial" w:hAnsi="Arial"/>
            <w:sz w:val="18"/>
            <w:szCs w:val="18"/>
            <w:u w:val="single" w:color="auto"/>
            <w:color w:val="0000FF"/>
          </w:rPr>
          <w:t>Form of Pass Through Trust Certificate, Series 2015-1A (incorporated by reference to Exhibit A to Exhibit 4.2 to American’s</w:t>
        </w:r>
      </w:hyperlink>
      <w:r>
        <w:rPr>
          <w:rFonts w:ascii="Arial" w:cs="Arial" w:eastAsia="Arial" w:hAnsi="Arial"/>
          <w:sz w:val="18"/>
          <w:szCs w:val="18"/>
          <w:u w:val="single" w:color="auto"/>
          <w:color w:val="0000FF"/>
        </w:rPr>
        <w:t xml:space="preserve"> </w:t>
      </w:r>
      <w:hyperlink r:id="rId125">
        <w:r>
          <w:rPr>
            <w:rFonts w:ascii="Arial" w:cs="Arial" w:eastAsia="Arial" w:hAnsi="Arial"/>
            <w:sz w:val="18"/>
            <w:szCs w:val="18"/>
            <w:u w:val="single" w:color="auto"/>
            <w:color w:val="0000FF"/>
          </w:rPr>
          <w:t>Current Report on Form 8-K filed on March 16, 2015 (Commission File No. 1-2691)).</w:t>
        </w:r>
      </w:hyperlink>
    </w:p>
    <w:p>
      <w:pPr>
        <w:spacing w:after="0" w:line="35" w:lineRule="exact"/>
        <w:rPr>
          <w:sz w:val="20"/>
          <w:szCs w:val="20"/>
          <w:color w:val="auto"/>
        </w:rPr>
      </w:pPr>
    </w:p>
    <w:p>
      <w:pPr>
        <w:jc w:val="both"/>
        <w:ind w:left="920" w:right="20" w:hanging="917"/>
        <w:spacing w:after="0" w:line="246" w:lineRule="auto"/>
        <w:tabs>
          <w:tab w:leader="none" w:pos="900" w:val="left"/>
        </w:tabs>
        <w:rPr>
          <w:rFonts w:ascii="Arial" w:cs="Arial" w:eastAsia="Arial" w:hAnsi="Arial"/>
          <w:sz w:val="18"/>
          <w:szCs w:val="18"/>
          <w:u w:val="single" w:color="auto"/>
          <w:color w:val="0000FF"/>
        </w:rPr>
      </w:pPr>
      <w:r>
        <w:rPr>
          <w:rFonts w:ascii="Arial" w:cs="Arial" w:eastAsia="Arial" w:hAnsi="Arial"/>
          <w:sz w:val="18"/>
          <w:szCs w:val="18"/>
          <w:color w:val="auto"/>
        </w:rPr>
        <w:t>4.36</w:t>
      </w:r>
      <w:r>
        <w:rPr>
          <w:sz w:val="20"/>
          <w:szCs w:val="20"/>
          <w:color w:val="auto"/>
        </w:rPr>
        <w:tab/>
      </w:r>
      <w:hyperlink r:id="rId126">
        <w:r>
          <w:rPr>
            <w:rFonts w:ascii="Arial" w:cs="Arial" w:eastAsia="Arial" w:hAnsi="Arial"/>
            <w:sz w:val="18"/>
            <w:szCs w:val="18"/>
            <w:u w:val="single" w:color="auto"/>
            <w:color w:val="0000FF"/>
          </w:rPr>
          <w:t>Form of Pass Through Trust Certificate, Series 2015-1B (incorporated by reference to Exhibit A to Exhibit 4.3 to American’s</w:t>
        </w:r>
      </w:hyperlink>
      <w:r>
        <w:rPr>
          <w:rFonts w:ascii="Arial" w:cs="Arial" w:eastAsia="Arial" w:hAnsi="Arial"/>
          <w:sz w:val="18"/>
          <w:szCs w:val="18"/>
          <w:u w:val="single" w:color="auto"/>
          <w:color w:val="0000FF"/>
        </w:rPr>
        <w:t xml:space="preserve"> </w:t>
      </w:r>
      <w:hyperlink r:id="rId126">
        <w:r>
          <w:rPr>
            <w:rFonts w:ascii="Arial" w:cs="Arial" w:eastAsia="Arial" w:hAnsi="Arial"/>
            <w:sz w:val="18"/>
            <w:szCs w:val="18"/>
            <w:u w:val="single" w:color="auto"/>
            <w:color w:val="0000FF"/>
          </w:rPr>
          <w:t>Current Report on Form 8-K filed on March 16, 2015 (Commission File No. 1-2691)).</w:t>
        </w:r>
      </w:hyperlink>
    </w:p>
    <w:p>
      <w:pPr>
        <w:spacing w:after="0" w:line="35" w:lineRule="exact"/>
        <w:rPr>
          <w:sz w:val="20"/>
          <w:szCs w:val="20"/>
          <w:color w:val="auto"/>
        </w:rPr>
      </w:pPr>
    </w:p>
    <w:p>
      <w:pPr>
        <w:jc w:val="both"/>
        <w:ind w:left="920" w:right="20" w:hanging="917"/>
        <w:spacing w:after="0" w:line="239" w:lineRule="auto"/>
        <w:tabs>
          <w:tab w:leader="none" w:pos="900" w:val="left"/>
        </w:tabs>
        <w:rPr>
          <w:rFonts w:ascii="Arial" w:cs="Arial" w:eastAsia="Arial" w:hAnsi="Arial"/>
          <w:sz w:val="18"/>
          <w:szCs w:val="18"/>
          <w:u w:val="single" w:color="auto"/>
          <w:color w:val="0000FF"/>
        </w:rPr>
      </w:pPr>
      <w:r>
        <w:rPr>
          <w:rFonts w:ascii="Arial" w:cs="Arial" w:eastAsia="Arial" w:hAnsi="Arial"/>
          <w:sz w:val="18"/>
          <w:szCs w:val="18"/>
          <w:color w:val="auto"/>
        </w:rPr>
        <w:t>4.37</w:t>
      </w:r>
      <w:r>
        <w:rPr>
          <w:sz w:val="20"/>
          <w:szCs w:val="20"/>
          <w:color w:val="auto"/>
        </w:rPr>
        <w:tab/>
      </w:r>
      <w:hyperlink r:id="rId131">
        <w:r>
          <w:rPr>
            <w:rFonts w:ascii="Arial" w:cs="Arial" w:eastAsia="Arial" w:hAnsi="Arial"/>
            <w:sz w:val="18"/>
            <w:szCs w:val="18"/>
            <w:u w:val="single" w:color="auto"/>
            <w:color w:val="0000FF"/>
          </w:rPr>
          <w:t>Revolving Credit Agreement (2015-1A), dated as of March 16, 2015, between Wilmington Trust Company, as Subordination Agent,</w:t>
        </w:r>
      </w:hyperlink>
      <w:r>
        <w:rPr>
          <w:rFonts w:ascii="Arial" w:cs="Arial" w:eastAsia="Arial" w:hAnsi="Arial"/>
          <w:sz w:val="18"/>
          <w:szCs w:val="18"/>
          <w:u w:val="single" w:color="auto"/>
          <w:color w:val="0000FF"/>
        </w:rPr>
        <w:t xml:space="preserve"> </w:t>
      </w:r>
      <w:hyperlink r:id="rId131">
        <w:r>
          <w:rPr>
            <w:rFonts w:ascii="Arial" w:cs="Arial" w:eastAsia="Arial" w:hAnsi="Arial"/>
            <w:sz w:val="18"/>
            <w:szCs w:val="18"/>
            <w:u w:val="single" w:color="auto"/>
            <w:color w:val="0000FF"/>
          </w:rPr>
          <w:t>as agent and trustee for the trustee of the American Airlines Pass Through Trust 2015-1A, as Borrower, and Crédit Agricole</w:t>
        </w:r>
      </w:hyperlink>
      <w:r>
        <w:rPr>
          <w:rFonts w:ascii="Arial" w:cs="Arial" w:eastAsia="Arial" w:hAnsi="Arial"/>
          <w:sz w:val="18"/>
          <w:szCs w:val="18"/>
          <w:u w:val="single" w:color="auto"/>
          <w:color w:val="0000FF"/>
        </w:rPr>
        <w:t xml:space="preserve"> </w:t>
      </w:r>
      <w:hyperlink r:id="rId131">
        <w:r>
          <w:rPr>
            <w:rFonts w:ascii="Arial" w:cs="Arial" w:eastAsia="Arial" w:hAnsi="Arial"/>
            <w:sz w:val="18"/>
            <w:szCs w:val="18"/>
            <w:u w:val="single" w:color="auto"/>
            <w:color w:val="0000FF"/>
          </w:rPr>
          <w:t>Corporate and Investment Bank, acting through its New York Branch, as Liquidity Provider (incorporated by reference to Exhibit</w:t>
        </w:r>
      </w:hyperlink>
      <w:r>
        <w:rPr>
          <w:rFonts w:ascii="Arial" w:cs="Arial" w:eastAsia="Arial" w:hAnsi="Arial"/>
          <w:sz w:val="18"/>
          <w:szCs w:val="18"/>
          <w:u w:val="single" w:color="auto"/>
          <w:color w:val="0000FF"/>
        </w:rPr>
        <w:t xml:space="preserve"> </w:t>
      </w:r>
      <w:hyperlink r:id="rId131">
        <w:r>
          <w:rPr>
            <w:rFonts w:ascii="Arial" w:cs="Arial" w:eastAsia="Arial" w:hAnsi="Arial"/>
            <w:sz w:val="18"/>
            <w:szCs w:val="18"/>
            <w:u w:val="single" w:color="auto"/>
            <w:color w:val="0000FF"/>
          </w:rPr>
          <w:t>4.14 to American’s Current Report on Form 8-K filed on March 16, 2015 (Commission File No. 1-2691)).</w:t>
        </w:r>
      </w:hyperlink>
    </w:p>
    <w:p>
      <w:pPr>
        <w:spacing w:after="0" w:line="40" w:lineRule="exact"/>
        <w:rPr>
          <w:rFonts w:ascii="Arial" w:cs="Arial" w:eastAsia="Arial" w:hAnsi="Arial"/>
          <w:sz w:val="18"/>
          <w:szCs w:val="18"/>
          <w:u w:val="single" w:color="auto"/>
          <w:color w:val="0000FF"/>
        </w:rPr>
      </w:pPr>
    </w:p>
    <w:p>
      <w:pPr>
        <w:jc w:val="both"/>
        <w:ind w:left="920" w:right="20" w:hanging="917"/>
        <w:spacing w:after="0" w:line="239" w:lineRule="auto"/>
        <w:tabs>
          <w:tab w:leader="none" w:pos="900" w:val="left"/>
        </w:tabs>
        <w:rPr>
          <w:rFonts w:ascii="Arial" w:cs="Arial" w:eastAsia="Arial" w:hAnsi="Arial"/>
          <w:sz w:val="18"/>
          <w:szCs w:val="18"/>
          <w:u w:val="single" w:color="auto"/>
          <w:color w:val="0000FF"/>
        </w:rPr>
      </w:pPr>
      <w:r>
        <w:rPr>
          <w:rFonts w:ascii="Arial" w:cs="Arial" w:eastAsia="Arial" w:hAnsi="Arial"/>
          <w:sz w:val="18"/>
          <w:szCs w:val="18"/>
          <w:color w:val="auto"/>
        </w:rPr>
        <w:t>4.38</w:t>
      </w:r>
      <w:r>
        <w:rPr>
          <w:sz w:val="20"/>
          <w:szCs w:val="20"/>
          <w:color w:val="auto"/>
        </w:rPr>
        <w:tab/>
      </w:r>
      <w:hyperlink r:id="rId132">
        <w:r>
          <w:rPr>
            <w:rFonts w:ascii="Arial" w:cs="Arial" w:eastAsia="Arial" w:hAnsi="Arial"/>
            <w:sz w:val="18"/>
            <w:szCs w:val="18"/>
            <w:u w:val="single" w:color="auto"/>
            <w:color w:val="0000FF"/>
          </w:rPr>
          <w:t>Revolving Credit Agreement (2015-1B), dated as of March 16, 2015, between Wilmington Trust Company, as Subordination Agent,</w:t>
        </w:r>
      </w:hyperlink>
      <w:r>
        <w:rPr>
          <w:rFonts w:ascii="Arial" w:cs="Arial" w:eastAsia="Arial" w:hAnsi="Arial"/>
          <w:sz w:val="18"/>
          <w:szCs w:val="18"/>
          <w:u w:val="single" w:color="auto"/>
          <w:color w:val="0000FF"/>
        </w:rPr>
        <w:t xml:space="preserve"> </w:t>
      </w:r>
      <w:hyperlink r:id="rId132">
        <w:r>
          <w:rPr>
            <w:rFonts w:ascii="Arial" w:cs="Arial" w:eastAsia="Arial" w:hAnsi="Arial"/>
            <w:sz w:val="18"/>
            <w:szCs w:val="18"/>
            <w:u w:val="single" w:color="auto"/>
            <w:color w:val="0000FF"/>
          </w:rPr>
          <w:t>as agent and trustee for the trustee of the American Airlines Pass Through Trust 2015-1B, as Borrower, and Crédit Agricole</w:t>
        </w:r>
      </w:hyperlink>
      <w:r>
        <w:rPr>
          <w:rFonts w:ascii="Arial" w:cs="Arial" w:eastAsia="Arial" w:hAnsi="Arial"/>
          <w:sz w:val="18"/>
          <w:szCs w:val="18"/>
          <w:u w:val="single" w:color="auto"/>
          <w:color w:val="0000FF"/>
        </w:rPr>
        <w:t xml:space="preserve"> </w:t>
      </w:r>
      <w:hyperlink r:id="rId132">
        <w:r>
          <w:rPr>
            <w:rFonts w:ascii="Arial" w:cs="Arial" w:eastAsia="Arial" w:hAnsi="Arial"/>
            <w:sz w:val="18"/>
            <w:szCs w:val="18"/>
            <w:u w:val="single" w:color="auto"/>
            <w:color w:val="0000FF"/>
          </w:rPr>
          <w:t>Corporate and Investment Bank, acting through its New York Branch, as Liquidity Provider (incorporated by reference to Exhibit</w:t>
        </w:r>
      </w:hyperlink>
      <w:r>
        <w:rPr>
          <w:rFonts w:ascii="Arial" w:cs="Arial" w:eastAsia="Arial" w:hAnsi="Arial"/>
          <w:sz w:val="18"/>
          <w:szCs w:val="18"/>
          <w:u w:val="single" w:color="auto"/>
          <w:color w:val="0000FF"/>
        </w:rPr>
        <w:t xml:space="preserve"> </w:t>
      </w:r>
      <w:hyperlink r:id="rId132">
        <w:r>
          <w:rPr>
            <w:rFonts w:ascii="Arial" w:cs="Arial" w:eastAsia="Arial" w:hAnsi="Arial"/>
            <w:sz w:val="18"/>
            <w:szCs w:val="18"/>
            <w:u w:val="single" w:color="auto"/>
            <w:color w:val="0000FF"/>
          </w:rPr>
          <w:t>4.15 to American’s Current Report on Form 8-K filed on March 16, 2015 (Commission File No. 1-2691)).</w:t>
        </w:r>
      </w:hyperlink>
    </w:p>
    <w:p>
      <w:pPr>
        <w:spacing w:after="0" w:line="229" w:lineRule="exact"/>
        <w:rPr>
          <w:rFonts w:ascii="Arial" w:cs="Arial" w:eastAsia="Arial" w:hAnsi="Arial"/>
          <w:sz w:val="18"/>
          <w:szCs w:val="18"/>
          <w:u w:val="single" w:color="auto"/>
          <w:color w:val="0000FF"/>
        </w:rPr>
      </w:pPr>
    </w:p>
    <w:p>
      <w:pPr>
        <w:jc w:val="center"/>
        <w:spacing w:after="0"/>
        <w:rPr>
          <w:sz w:val="20"/>
          <w:szCs w:val="20"/>
          <w:color w:val="auto"/>
        </w:rPr>
      </w:pPr>
      <w:r>
        <w:rPr>
          <w:rFonts w:ascii="Arial" w:cs="Arial" w:eastAsia="Arial" w:hAnsi="Arial"/>
          <w:sz w:val="18"/>
          <w:szCs w:val="18"/>
          <w:color w:val="auto"/>
        </w:rPr>
        <w:t>166</w:t>
      </w:r>
    </w:p>
    <w:p>
      <w:pPr>
        <w:sectPr>
          <w:pgSz w:w="11900" w:h="16838" w:orient="portrait"/>
          <w:cols w:equalWidth="0" w:num="1">
            <w:col w:w="11360"/>
          </w:cols>
          <w:pgMar w:left="280" w:top="721" w:right="259" w:bottom="1440" w:gutter="0" w:footer="0" w:header="0"/>
        </w:sectPr>
      </w:pPr>
    </w:p>
    <w:bookmarkStart w:id="166" w:name="page167"/>
    <w:bookmarkEnd w:id="166"/>
    <w:p>
      <w:pPr>
        <w:spacing w:after="0"/>
        <w:rPr>
          <w:sz w:val="20"/>
          <w:szCs w:val="20"/>
          <w:color w:val="auto"/>
        </w:rPr>
      </w:pPr>
      <w:r>
        <w:rPr>
          <w:rFonts w:ascii="Arial" w:cs="Arial" w:eastAsia="Arial" w:hAnsi="Arial"/>
          <w:sz w:val="14"/>
          <w:szCs w:val="14"/>
          <w:b w:val="1"/>
          <w:bCs w:val="1"/>
          <w:color w:val="auto"/>
        </w:rPr>
        <w:t>Exhibit</w:t>
      </w:r>
    </w:p>
    <w:p>
      <w:pPr>
        <w:spacing w:after="0" w:line="19" w:lineRule="exact"/>
        <w:rPr>
          <w:sz w:val="20"/>
          <w:szCs w:val="20"/>
          <w:color w:val="auto"/>
        </w:rPr>
      </w:pPr>
    </w:p>
    <w:p>
      <w:pPr>
        <w:spacing w:after="0"/>
        <w:tabs>
          <w:tab w:leader="none" w:pos="900" w:val="left"/>
        </w:tabs>
        <w:rPr>
          <w:sz w:val="20"/>
          <w:szCs w:val="20"/>
          <w:color w:val="auto"/>
        </w:rPr>
      </w:pPr>
      <w:r>
        <w:rPr>
          <w:rFonts w:ascii="Arial" w:cs="Arial" w:eastAsia="Arial" w:hAnsi="Arial"/>
          <w:sz w:val="14"/>
          <w:szCs w:val="14"/>
          <w:b w:val="1"/>
          <w:bCs w:val="1"/>
          <w:u w:val="single" w:color="auto"/>
          <w:color w:val="auto"/>
        </w:rPr>
        <w:t>Number</w:t>
      </w:r>
      <w:r>
        <w:rPr>
          <w:sz w:val="20"/>
          <w:szCs w:val="20"/>
          <w:color w:val="auto"/>
        </w:rPr>
        <w:tab/>
      </w:r>
      <w:r>
        <w:rPr>
          <w:rFonts w:ascii="Arial" w:cs="Arial" w:eastAsia="Arial" w:hAnsi="Arial"/>
          <w:sz w:val="14"/>
          <w:szCs w:val="14"/>
          <w:b w:val="1"/>
          <w:bCs w:val="1"/>
          <w:u w:val="single" w:color="auto"/>
          <w:color w:val="auto"/>
        </w:rPr>
        <w:t>Description</w:t>
      </w:r>
    </w:p>
    <w:p>
      <w:pPr>
        <w:spacing w:after="0" w:line="49" w:lineRule="exact"/>
        <w:rPr>
          <w:sz w:val="20"/>
          <w:szCs w:val="20"/>
          <w:color w:val="auto"/>
        </w:rPr>
      </w:pPr>
    </w:p>
    <w:p>
      <w:pPr>
        <w:jc w:val="both"/>
        <w:ind w:left="920" w:right="20" w:hanging="917"/>
        <w:spacing w:after="0"/>
        <w:tabs>
          <w:tab w:leader="none" w:pos="900" w:val="left"/>
        </w:tabs>
        <w:rPr>
          <w:rFonts w:ascii="Arial" w:cs="Arial" w:eastAsia="Arial" w:hAnsi="Arial"/>
          <w:sz w:val="18"/>
          <w:szCs w:val="18"/>
          <w:u w:val="single" w:color="auto"/>
          <w:color w:val="0000FF"/>
        </w:rPr>
      </w:pPr>
      <w:r>
        <w:rPr>
          <w:rFonts w:ascii="Arial" w:cs="Arial" w:eastAsia="Arial" w:hAnsi="Arial"/>
          <w:sz w:val="18"/>
          <w:szCs w:val="18"/>
          <w:color w:val="auto"/>
        </w:rPr>
        <w:t>4.39</w:t>
      </w:r>
      <w:r>
        <w:rPr>
          <w:sz w:val="20"/>
          <w:szCs w:val="20"/>
          <w:color w:val="auto"/>
        </w:rPr>
        <w:tab/>
      </w:r>
      <w:hyperlink r:id="rId133">
        <w:r>
          <w:rPr>
            <w:rFonts w:ascii="Arial" w:cs="Arial" w:eastAsia="Arial" w:hAnsi="Arial"/>
            <w:sz w:val="18"/>
            <w:szCs w:val="18"/>
            <w:u w:val="single" w:color="auto"/>
            <w:color w:val="0000FF"/>
          </w:rPr>
          <w:t>Trust Supplement No. 2015-2AA, dated as of September 24, 2015, between American Airlines, Inc. and Wilmington Trust</w:t>
        </w:r>
      </w:hyperlink>
      <w:r>
        <w:rPr>
          <w:rFonts w:ascii="Arial" w:cs="Arial" w:eastAsia="Arial" w:hAnsi="Arial"/>
          <w:sz w:val="18"/>
          <w:szCs w:val="18"/>
          <w:u w:val="single" w:color="auto"/>
          <w:color w:val="0000FF"/>
        </w:rPr>
        <w:t xml:space="preserve"> </w:t>
      </w:r>
      <w:hyperlink r:id="rId133">
        <w:r>
          <w:rPr>
            <w:rFonts w:ascii="Arial" w:cs="Arial" w:eastAsia="Arial" w:hAnsi="Arial"/>
            <w:sz w:val="18"/>
            <w:szCs w:val="18"/>
            <w:u w:val="single" w:color="auto"/>
            <w:color w:val="0000FF"/>
          </w:rPr>
          <w:t>Company, as Trustee, to the Pass Through Trust Agreement, dated as of September 16, 2014 (incorporated by reference to Exhibit</w:t>
        </w:r>
      </w:hyperlink>
      <w:r>
        <w:rPr>
          <w:rFonts w:ascii="Arial" w:cs="Arial" w:eastAsia="Arial" w:hAnsi="Arial"/>
          <w:sz w:val="18"/>
          <w:szCs w:val="18"/>
          <w:u w:val="single" w:color="auto"/>
          <w:color w:val="0000FF"/>
        </w:rPr>
        <w:t xml:space="preserve"> </w:t>
      </w:r>
      <w:hyperlink r:id="rId133">
        <w:r>
          <w:rPr>
            <w:rFonts w:ascii="Arial" w:cs="Arial" w:eastAsia="Arial" w:hAnsi="Arial"/>
            <w:sz w:val="18"/>
            <w:szCs w:val="18"/>
            <w:u w:val="single" w:color="auto"/>
            <w:color w:val="0000FF"/>
          </w:rPr>
          <w:t>4.2 to American’s Current Report on Form 8-K filed on September 24, 2015 (Commission File No. 1-2691)).</w:t>
        </w:r>
      </w:hyperlink>
    </w:p>
    <w:p>
      <w:pPr>
        <w:spacing w:after="0" w:line="41" w:lineRule="exact"/>
        <w:rPr>
          <w:rFonts w:ascii="Arial" w:cs="Arial" w:eastAsia="Arial" w:hAnsi="Arial"/>
          <w:sz w:val="18"/>
          <w:szCs w:val="18"/>
          <w:u w:val="single" w:color="auto"/>
          <w:color w:val="0000FF"/>
        </w:rPr>
      </w:pPr>
    </w:p>
    <w:p>
      <w:pPr>
        <w:jc w:val="both"/>
        <w:ind w:left="920" w:hanging="917"/>
        <w:spacing w:after="0"/>
        <w:tabs>
          <w:tab w:leader="none" w:pos="900" w:val="left"/>
        </w:tabs>
        <w:rPr>
          <w:rFonts w:ascii="Arial" w:cs="Arial" w:eastAsia="Arial" w:hAnsi="Arial"/>
          <w:sz w:val="18"/>
          <w:szCs w:val="18"/>
          <w:u w:val="single" w:color="auto"/>
          <w:color w:val="0000FF"/>
        </w:rPr>
      </w:pPr>
      <w:r>
        <w:rPr>
          <w:rFonts w:ascii="Arial" w:cs="Arial" w:eastAsia="Arial" w:hAnsi="Arial"/>
          <w:sz w:val="18"/>
          <w:szCs w:val="18"/>
          <w:color w:val="auto"/>
        </w:rPr>
        <w:t>4.40</w:t>
      </w:r>
      <w:r>
        <w:rPr>
          <w:sz w:val="20"/>
          <w:szCs w:val="20"/>
          <w:color w:val="auto"/>
        </w:rPr>
        <w:tab/>
      </w:r>
      <w:hyperlink r:id="rId134">
        <w:r>
          <w:rPr>
            <w:rFonts w:ascii="Arial" w:cs="Arial" w:eastAsia="Arial" w:hAnsi="Arial"/>
            <w:sz w:val="18"/>
            <w:szCs w:val="18"/>
            <w:u w:val="single" w:color="auto"/>
            <w:color w:val="0000FF"/>
          </w:rPr>
          <w:t>Trust Supplement No. 2015-2A, dated as of September 24, 2015, between American Airlines, Inc. and Wilmington Trust Company,</w:t>
        </w:r>
      </w:hyperlink>
      <w:r>
        <w:rPr>
          <w:rFonts w:ascii="Arial" w:cs="Arial" w:eastAsia="Arial" w:hAnsi="Arial"/>
          <w:sz w:val="18"/>
          <w:szCs w:val="18"/>
          <w:u w:val="single" w:color="auto"/>
          <w:color w:val="0000FF"/>
        </w:rPr>
        <w:t xml:space="preserve"> </w:t>
      </w:r>
      <w:hyperlink r:id="rId134">
        <w:r>
          <w:rPr>
            <w:rFonts w:ascii="Arial" w:cs="Arial" w:eastAsia="Arial" w:hAnsi="Arial"/>
            <w:sz w:val="18"/>
            <w:szCs w:val="18"/>
            <w:u w:val="single" w:color="auto"/>
            <w:color w:val="0000FF"/>
          </w:rPr>
          <w:t>as Trustee, to the Pass Through Trust Agreement, dated as of September 16, 2014 (incorporated by reference to Exhibit 4.3 to</w:t>
        </w:r>
      </w:hyperlink>
      <w:r>
        <w:rPr>
          <w:rFonts w:ascii="Arial" w:cs="Arial" w:eastAsia="Arial" w:hAnsi="Arial"/>
          <w:sz w:val="18"/>
          <w:szCs w:val="18"/>
          <w:u w:val="single" w:color="auto"/>
          <w:color w:val="0000FF"/>
        </w:rPr>
        <w:t xml:space="preserve"> </w:t>
      </w:r>
      <w:hyperlink r:id="rId134">
        <w:r>
          <w:rPr>
            <w:rFonts w:ascii="Arial" w:cs="Arial" w:eastAsia="Arial" w:hAnsi="Arial"/>
            <w:sz w:val="18"/>
            <w:szCs w:val="18"/>
            <w:u w:val="single" w:color="auto"/>
            <w:color w:val="0000FF"/>
          </w:rPr>
          <w:t>American’s Current Report on Form 8-K filed on September 24, 2015 (Commission File No. 1-2691)).</w:t>
        </w:r>
      </w:hyperlink>
    </w:p>
    <w:p>
      <w:pPr>
        <w:spacing w:after="0" w:line="41" w:lineRule="exact"/>
        <w:rPr>
          <w:rFonts w:ascii="Arial" w:cs="Arial" w:eastAsia="Arial" w:hAnsi="Arial"/>
          <w:sz w:val="18"/>
          <w:szCs w:val="18"/>
          <w:u w:val="single" w:color="auto"/>
          <w:color w:val="0000FF"/>
        </w:rPr>
      </w:pPr>
    </w:p>
    <w:p>
      <w:pPr>
        <w:jc w:val="both"/>
        <w:ind w:left="920" w:hanging="917"/>
        <w:spacing w:after="0"/>
        <w:tabs>
          <w:tab w:leader="none" w:pos="900" w:val="left"/>
        </w:tabs>
        <w:rPr>
          <w:rFonts w:ascii="Arial" w:cs="Arial" w:eastAsia="Arial" w:hAnsi="Arial"/>
          <w:sz w:val="18"/>
          <w:szCs w:val="18"/>
          <w:u w:val="single" w:color="auto"/>
          <w:color w:val="0000FF"/>
        </w:rPr>
      </w:pPr>
      <w:r>
        <w:rPr>
          <w:rFonts w:ascii="Arial" w:cs="Arial" w:eastAsia="Arial" w:hAnsi="Arial"/>
          <w:sz w:val="18"/>
          <w:szCs w:val="18"/>
          <w:color w:val="auto"/>
        </w:rPr>
        <w:t>4.41</w:t>
      </w:r>
      <w:r>
        <w:rPr>
          <w:sz w:val="20"/>
          <w:szCs w:val="20"/>
          <w:color w:val="auto"/>
        </w:rPr>
        <w:tab/>
      </w:r>
      <w:hyperlink r:id="rId135">
        <w:r>
          <w:rPr>
            <w:rFonts w:ascii="Arial" w:cs="Arial" w:eastAsia="Arial" w:hAnsi="Arial"/>
            <w:sz w:val="18"/>
            <w:szCs w:val="18"/>
            <w:u w:val="single" w:color="auto"/>
            <w:color w:val="0000FF"/>
          </w:rPr>
          <w:t>Trust Supplement No. 2015-2B, dated as of September 24, 2015, between American Airlines, Inc. and Wilmington Trust Company,</w:t>
        </w:r>
      </w:hyperlink>
      <w:r>
        <w:rPr>
          <w:rFonts w:ascii="Arial" w:cs="Arial" w:eastAsia="Arial" w:hAnsi="Arial"/>
          <w:sz w:val="18"/>
          <w:szCs w:val="18"/>
          <w:u w:val="single" w:color="auto"/>
          <w:color w:val="0000FF"/>
        </w:rPr>
        <w:t xml:space="preserve"> </w:t>
      </w:r>
      <w:hyperlink r:id="rId135">
        <w:r>
          <w:rPr>
            <w:rFonts w:ascii="Arial" w:cs="Arial" w:eastAsia="Arial" w:hAnsi="Arial"/>
            <w:sz w:val="18"/>
            <w:szCs w:val="18"/>
            <w:u w:val="single" w:color="auto"/>
            <w:color w:val="0000FF"/>
          </w:rPr>
          <w:t>as Trustee, to the Pass Through Trust Agreement, dated as of September 16, 2014 (incorporated by reference to Exhibit 4.4 to</w:t>
        </w:r>
      </w:hyperlink>
      <w:r>
        <w:rPr>
          <w:rFonts w:ascii="Arial" w:cs="Arial" w:eastAsia="Arial" w:hAnsi="Arial"/>
          <w:sz w:val="18"/>
          <w:szCs w:val="18"/>
          <w:u w:val="single" w:color="auto"/>
          <w:color w:val="0000FF"/>
        </w:rPr>
        <w:t xml:space="preserve"> </w:t>
      </w:r>
      <w:hyperlink r:id="rId135">
        <w:r>
          <w:rPr>
            <w:rFonts w:ascii="Arial" w:cs="Arial" w:eastAsia="Arial" w:hAnsi="Arial"/>
            <w:sz w:val="18"/>
            <w:szCs w:val="18"/>
            <w:u w:val="single" w:color="auto"/>
            <w:color w:val="0000FF"/>
          </w:rPr>
          <w:t>American’s Current Report on Form 8-K filed on September 24, 2015 (Commission File No. 1-2691)).</w:t>
        </w:r>
      </w:hyperlink>
    </w:p>
    <w:p>
      <w:pPr>
        <w:spacing w:after="0" w:line="41" w:lineRule="exact"/>
        <w:rPr>
          <w:rFonts w:ascii="Arial" w:cs="Arial" w:eastAsia="Arial" w:hAnsi="Arial"/>
          <w:sz w:val="18"/>
          <w:szCs w:val="18"/>
          <w:u w:val="single" w:color="auto"/>
          <w:color w:val="0000FF"/>
        </w:rPr>
      </w:pPr>
    </w:p>
    <w:p>
      <w:pPr>
        <w:jc w:val="both"/>
        <w:ind w:left="920" w:hanging="917"/>
        <w:spacing w:after="0" w:line="237" w:lineRule="auto"/>
        <w:tabs>
          <w:tab w:leader="none" w:pos="900" w:val="left"/>
        </w:tabs>
        <w:rPr>
          <w:rFonts w:ascii="Arial" w:cs="Arial" w:eastAsia="Arial" w:hAnsi="Arial"/>
          <w:sz w:val="18"/>
          <w:szCs w:val="18"/>
          <w:u w:val="single" w:color="auto"/>
          <w:color w:val="0000FF"/>
        </w:rPr>
      </w:pPr>
      <w:r>
        <w:rPr>
          <w:rFonts w:ascii="Arial" w:cs="Arial" w:eastAsia="Arial" w:hAnsi="Arial"/>
          <w:sz w:val="18"/>
          <w:szCs w:val="18"/>
          <w:color w:val="auto"/>
        </w:rPr>
        <w:t>4.42</w:t>
      </w:r>
      <w:r>
        <w:rPr>
          <w:sz w:val="20"/>
          <w:szCs w:val="20"/>
          <w:color w:val="auto"/>
        </w:rPr>
        <w:tab/>
      </w:r>
      <w:hyperlink r:id="rId136">
        <w:r>
          <w:rPr>
            <w:rFonts w:ascii="Arial" w:cs="Arial" w:eastAsia="Arial" w:hAnsi="Arial"/>
            <w:sz w:val="18"/>
            <w:szCs w:val="18"/>
            <w:u w:val="single" w:color="auto"/>
            <w:color w:val="0000FF"/>
          </w:rPr>
          <w:t>Intercreditor Agreement (2015-2), dated as of September 24, 2015, among Wilmington Trust Company, as Trustee of the American</w:t>
        </w:r>
      </w:hyperlink>
      <w:r>
        <w:rPr>
          <w:rFonts w:ascii="Arial" w:cs="Arial" w:eastAsia="Arial" w:hAnsi="Arial"/>
          <w:sz w:val="18"/>
          <w:szCs w:val="18"/>
          <w:u w:val="single" w:color="auto"/>
          <w:color w:val="0000FF"/>
        </w:rPr>
        <w:t xml:space="preserve"> </w:t>
      </w:r>
      <w:hyperlink r:id="rId136">
        <w:r>
          <w:rPr>
            <w:rFonts w:ascii="Arial" w:cs="Arial" w:eastAsia="Arial" w:hAnsi="Arial"/>
            <w:sz w:val="18"/>
            <w:szCs w:val="18"/>
            <w:u w:val="single" w:color="auto"/>
            <w:color w:val="0000FF"/>
          </w:rPr>
          <w:t>Airlines Pass Through Trust 2015-2AA, as Trustee of the American Airlines Pass Through Trust 2015-2A and as Trustee of the</w:t>
        </w:r>
      </w:hyperlink>
      <w:r>
        <w:rPr>
          <w:rFonts w:ascii="Arial" w:cs="Arial" w:eastAsia="Arial" w:hAnsi="Arial"/>
          <w:sz w:val="18"/>
          <w:szCs w:val="18"/>
          <w:u w:val="single" w:color="auto"/>
          <w:color w:val="0000FF"/>
        </w:rPr>
        <w:t xml:space="preserve"> </w:t>
      </w:r>
      <w:hyperlink r:id="rId136">
        <w:r>
          <w:rPr>
            <w:rFonts w:ascii="Arial" w:cs="Arial" w:eastAsia="Arial" w:hAnsi="Arial"/>
            <w:sz w:val="18"/>
            <w:szCs w:val="18"/>
            <w:u w:val="single" w:color="auto"/>
            <w:color w:val="0000FF"/>
          </w:rPr>
          <w:t>American Airlines Pass Through Trust 2015-2B, Commonwealth Bank of Australia, New York Branch, as Class AA Liquidity</w:t>
        </w:r>
      </w:hyperlink>
      <w:r>
        <w:rPr>
          <w:rFonts w:ascii="Arial" w:cs="Arial" w:eastAsia="Arial" w:hAnsi="Arial"/>
          <w:sz w:val="18"/>
          <w:szCs w:val="18"/>
          <w:u w:val="single" w:color="auto"/>
          <w:color w:val="0000FF"/>
        </w:rPr>
        <w:t xml:space="preserve"> </w:t>
      </w:r>
      <w:hyperlink r:id="rId136">
        <w:r>
          <w:rPr>
            <w:rFonts w:ascii="Arial" w:cs="Arial" w:eastAsia="Arial" w:hAnsi="Arial"/>
            <w:sz w:val="18"/>
            <w:szCs w:val="18"/>
            <w:u w:val="single" w:color="auto"/>
            <w:color w:val="0000FF"/>
          </w:rPr>
          <w:t>Provider, Crédit Agricole Corporate and Investment Bank, acting through its New York Branch, as Class A Liquidity Provider and</w:t>
        </w:r>
      </w:hyperlink>
      <w:r>
        <w:rPr>
          <w:rFonts w:ascii="Arial" w:cs="Arial" w:eastAsia="Arial" w:hAnsi="Arial"/>
          <w:sz w:val="18"/>
          <w:szCs w:val="18"/>
          <w:u w:val="single" w:color="auto"/>
          <w:color w:val="0000FF"/>
        </w:rPr>
        <w:t xml:space="preserve"> </w:t>
      </w:r>
      <w:hyperlink r:id="rId136">
        <w:r>
          <w:rPr>
            <w:rFonts w:ascii="Arial" w:cs="Arial" w:eastAsia="Arial" w:hAnsi="Arial"/>
            <w:sz w:val="18"/>
            <w:szCs w:val="18"/>
            <w:u w:val="single" w:color="auto"/>
            <w:color w:val="0000FF"/>
          </w:rPr>
          <w:t>Class B Liquidity Provider, and Wilmington Trust Company, as Subordination Agent (incorporated by reference to Exhibit 4.5 to</w:t>
        </w:r>
      </w:hyperlink>
      <w:r>
        <w:rPr>
          <w:rFonts w:ascii="Arial" w:cs="Arial" w:eastAsia="Arial" w:hAnsi="Arial"/>
          <w:sz w:val="18"/>
          <w:szCs w:val="18"/>
          <w:u w:val="single" w:color="auto"/>
          <w:color w:val="0000FF"/>
        </w:rPr>
        <w:t xml:space="preserve"> </w:t>
      </w:r>
      <w:hyperlink r:id="rId136">
        <w:r>
          <w:rPr>
            <w:rFonts w:ascii="Arial" w:cs="Arial" w:eastAsia="Arial" w:hAnsi="Arial"/>
            <w:sz w:val="18"/>
            <w:szCs w:val="18"/>
            <w:u w:val="single" w:color="auto"/>
            <w:color w:val="0000FF"/>
          </w:rPr>
          <w:t>American’s Current Report on Form 8-K filed on September 24, 2015 (Commission File No. 1-2691)).</w:t>
        </w:r>
      </w:hyperlink>
    </w:p>
    <w:p>
      <w:pPr>
        <w:spacing w:after="0" w:line="43" w:lineRule="exact"/>
        <w:rPr>
          <w:rFonts w:ascii="Arial" w:cs="Arial" w:eastAsia="Arial" w:hAnsi="Arial"/>
          <w:sz w:val="18"/>
          <w:szCs w:val="18"/>
          <w:u w:val="single" w:color="auto"/>
          <w:color w:val="0000FF"/>
        </w:rPr>
      </w:pPr>
    </w:p>
    <w:p>
      <w:pPr>
        <w:jc w:val="both"/>
        <w:ind w:left="920" w:hanging="917"/>
        <w:spacing w:after="0" w:line="239" w:lineRule="auto"/>
        <w:tabs>
          <w:tab w:leader="none" w:pos="900" w:val="left"/>
        </w:tabs>
        <w:rPr>
          <w:rFonts w:ascii="Arial" w:cs="Arial" w:eastAsia="Arial" w:hAnsi="Arial"/>
          <w:sz w:val="18"/>
          <w:szCs w:val="18"/>
          <w:u w:val="single" w:color="auto"/>
          <w:color w:val="0000FF"/>
        </w:rPr>
      </w:pPr>
      <w:r>
        <w:rPr>
          <w:rFonts w:ascii="Arial" w:cs="Arial" w:eastAsia="Arial" w:hAnsi="Arial"/>
          <w:sz w:val="18"/>
          <w:szCs w:val="18"/>
          <w:color w:val="auto"/>
        </w:rPr>
        <w:t>4.43</w:t>
      </w:r>
      <w:r>
        <w:rPr>
          <w:sz w:val="20"/>
          <w:szCs w:val="20"/>
          <w:color w:val="auto"/>
        </w:rPr>
        <w:tab/>
      </w:r>
      <w:hyperlink r:id="rId137">
        <w:r>
          <w:rPr>
            <w:rFonts w:ascii="Arial" w:cs="Arial" w:eastAsia="Arial" w:hAnsi="Arial"/>
            <w:sz w:val="18"/>
            <w:szCs w:val="18"/>
            <w:u w:val="single" w:color="auto"/>
            <w:color w:val="0000FF"/>
          </w:rPr>
          <w:t>Note Purchase Agreement, dated as of September 24, 2015, among American Airlines, Inc., Wilmington Trust Company, as Pass</w:t>
        </w:r>
      </w:hyperlink>
      <w:r>
        <w:rPr>
          <w:rFonts w:ascii="Arial" w:cs="Arial" w:eastAsia="Arial" w:hAnsi="Arial"/>
          <w:sz w:val="18"/>
          <w:szCs w:val="18"/>
          <w:u w:val="single" w:color="auto"/>
          <w:color w:val="0000FF"/>
        </w:rPr>
        <w:t xml:space="preserve"> </w:t>
      </w:r>
      <w:hyperlink r:id="rId137">
        <w:r>
          <w:rPr>
            <w:rFonts w:ascii="Arial" w:cs="Arial" w:eastAsia="Arial" w:hAnsi="Arial"/>
            <w:sz w:val="18"/>
            <w:szCs w:val="18"/>
            <w:u w:val="single" w:color="auto"/>
            <w:color w:val="0000FF"/>
          </w:rPr>
          <w:t>Through Trustee under each of the Pass Through Trust Agreements and Wilmington Trust Company, as Subordination Agent</w:t>
        </w:r>
      </w:hyperlink>
      <w:r>
        <w:rPr>
          <w:rFonts w:ascii="Arial" w:cs="Arial" w:eastAsia="Arial" w:hAnsi="Arial"/>
          <w:sz w:val="18"/>
          <w:szCs w:val="18"/>
          <w:u w:val="single" w:color="auto"/>
          <w:color w:val="0000FF"/>
        </w:rPr>
        <w:t xml:space="preserve"> </w:t>
      </w:r>
      <w:hyperlink r:id="rId137">
        <w:r>
          <w:rPr>
            <w:rFonts w:ascii="Arial" w:cs="Arial" w:eastAsia="Arial" w:hAnsi="Arial"/>
            <w:sz w:val="18"/>
            <w:szCs w:val="18"/>
            <w:u w:val="single" w:color="auto"/>
            <w:color w:val="0000FF"/>
          </w:rPr>
          <w:t>(incorporated by reference to Exhibit 4.6 to American’s Current Report on Form 8-K filed on September 24, 2015 (Commission File</w:t>
        </w:r>
      </w:hyperlink>
      <w:r>
        <w:rPr>
          <w:rFonts w:ascii="Arial" w:cs="Arial" w:eastAsia="Arial" w:hAnsi="Arial"/>
          <w:sz w:val="18"/>
          <w:szCs w:val="18"/>
          <w:u w:val="single" w:color="auto"/>
          <w:color w:val="0000FF"/>
        </w:rPr>
        <w:t xml:space="preserve"> </w:t>
      </w:r>
      <w:hyperlink r:id="rId137">
        <w:r>
          <w:rPr>
            <w:rFonts w:ascii="Arial" w:cs="Arial" w:eastAsia="Arial" w:hAnsi="Arial"/>
            <w:sz w:val="18"/>
            <w:szCs w:val="18"/>
            <w:u w:val="single" w:color="auto"/>
            <w:color w:val="0000FF"/>
          </w:rPr>
          <w:t>No. 1-2691)).</w:t>
        </w:r>
      </w:hyperlink>
    </w:p>
    <w:p>
      <w:pPr>
        <w:spacing w:after="0" w:line="40" w:lineRule="exact"/>
        <w:rPr>
          <w:rFonts w:ascii="Arial" w:cs="Arial" w:eastAsia="Arial" w:hAnsi="Arial"/>
          <w:sz w:val="18"/>
          <w:szCs w:val="18"/>
          <w:u w:val="single" w:color="auto"/>
          <w:color w:val="0000FF"/>
        </w:rPr>
      </w:pPr>
    </w:p>
    <w:p>
      <w:pPr>
        <w:jc w:val="both"/>
        <w:ind w:left="920" w:right="20" w:hanging="917"/>
        <w:spacing w:after="0" w:line="238" w:lineRule="auto"/>
        <w:tabs>
          <w:tab w:leader="none" w:pos="900" w:val="left"/>
        </w:tabs>
        <w:rPr>
          <w:rFonts w:ascii="Arial" w:cs="Arial" w:eastAsia="Arial" w:hAnsi="Arial"/>
          <w:sz w:val="18"/>
          <w:szCs w:val="18"/>
          <w:u w:val="single" w:color="auto"/>
          <w:color w:val="0000FF"/>
        </w:rPr>
      </w:pPr>
      <w:r>
        <w:rPr>
          <w:rFonts w:ascii="Arial" w:cs="Arial" w:eastAsia="Arial" w:hAnsi="Arial"/>
          <w:sz w:val="18"/>
          <w:szCs w:val="18"/>
          <w:color w:val="auto"/>
        </w:rPr>
        <w:t>4.44</w:t>
      </w:r>
      <w:r>
        <w:rPr>
          <w:sz w:val="20"/>
          <w:szCs w:val="20"/>
          <w:color w:val="auto"/>
        </w:rPr>
        <w:tab/>
      </w:r>
      <w:hyperlink r:id="rId137">
        <w:r>
          <w:rPr>
            <w:rFonts w:ascii="Arial" w:cs="Arial" w:eastAsia="Arial" w:hAnsi="Arial"/>
            <w:sz w:val="18"/>
            <w:szCs w:val="18"/>
            <w:u w:val="single" w:color="auto"/>
            <w:color w:val="0000FF"/>
          </w:rPr>
          <w:t>Form of Participation Agreement (Participation Agreement among American Airlines, Inc., Wilmington Trust Company, as Pass</w:t>
        </w:r>
      </w:hyperlink>
      <w:r>
        <w:rPr>
          <w:rFonts w:ascii="Arial" w:cs="Arial" w:eastAsia="Arial" w:hAnsi="Arial"/>
          <w:sz w:val="18"/>
          <w:szCs w:val="18"/>
          <w:u w:val="single" w:color="auto"/>
          <w:color w:val="0000FF"/>
        </w:rPr>
        <w:t xml:space="preserve"> </w:t>
      </w:r>
      <w:hyperlink r:id="rId137">
        <w:r>
          <w:rPr>
            <w:rFonts w:ascii="Arial" w:cs="Arial" w:eastAsia="Arial" w:hAnsi="Arial"/>
            <w:sz w:val="18"/>
            <w:szCs w:val="18"/>
            <w:u w:val="single" w:color="auto"/>
            <w:color w:val="0000FF"/>
          </w:rPr>
          <w:t>Through Trustee under each of the Pass Through Trust Agreements, Wilmington Trust Company, as Subordination Agent,</w:t>
        </w:r>
      </w:hyperlink>
      <w:r>
        <w:rPr>
          <w:rFonts w:ascii="Arial" w:cs="Arial" w:eastAsia="Arial" w:hAnsi="Arial"/>
          <w:sz w:val="18"/>
          <w:szCs w:val="18"/>
          <w:u w:val="single" w:color="auto"/>
          <w:color w:val="0000FF"/>
        </w:rPr>
        <w:t xml:space="preserve"> </w:t>
      </w:r>
      <w:hyperlink r:id="rId137">
        <w:r>
          <w:rPr>
            <w:rFonts w:ascii="Arial" w:cs="Arial" w:eastAsia="Arial" w:hAnsi="Arial"/>
            <w:sz w:val="18"/>
            <w:szCs w:val="18"/>
            <w:u w:val="single" w:color="auto"/>
            <w:color w:val="0000FF"/>
          </w:rPr>
          <w:t>Wilmington Trust Company, as Loan Trustee, and Wilmington Trust Company, in its individual capacity as set forth therein)</w:t>
        </w:r>
      </w:hyperlink>
      <w:r>
        <w:rPr>
          <w:rFonts w:ascii="Arial" w:cs="Arial" w:eastAsia="Arial" w:hAnsi="Arial"/>
          <w:sz w:val="18"/>
          <w:szCs w:val="18"/>
          <w:u w:val="single" w:color="auto"/>
          <w:color w:val="0000FF"/>
        </w:rPr>
        <w:t xml:space="preserve"> </w:t>
      </w:r>
      <w:hyperlink r:id="rId137">
        <w:r>
          <w:rPr>
            <w:rFonts w:ascii="Arial" w:cs="Arial" w:eastAsia="Arial" w:hAnsi="Arial"/>
            <w:sz w:val="18"/>
            <w:szCs w:val="18"/>
            <w:u w:val="single" w:color="auto"/>
            <w:color w:val="0000FF"/>
          </w:rPr>
          <w:t>(incorporated by reference to Exhibit B to Exhibit 4.6 to American’s Current Report on Form 8-K filed on September 24, 2015</w:t>
        </w:r>
      </w:hyperlink>
      <w:r>
        <w:rPr>
          <w:rFonts w:ascii="Arial" w:cs="Arial" w:eastAsia="Arial" w:hAnsi="Arial"/>
          <w:sz w:val="18"/>
          <w:szCs w:val="18"/>
          <w:u w:val="single" w:color="auto"/>
          <w:color w:val="0000FF"/>
        </w:rPr>
        <w:t xml:space="preserve"> </w:t>
      </w:r>
      <w:hyperlink r:id="rId137">
        <w:r>
          <w:rPr>
            <w:rFonts w:ascii="Arial" w:cs="Arial" w:eastAsia="Arial" w:hAnsi="Arial"/>
            <w:sz w:val="18"/>
            <w:szCs w:val="18"/>
            <w:u w:val="single" w:color="auto"/>
            <w:color w:val="0000FF"/>
          </w:rPr>
          <w:t>(Commission File No. 1-2691)).</w:t>
        </w:r>
      </w:hyperlink>
    </w:p>
    <w:p>
      <w:pPr>
        <w:spacing w:after="0" w:line="41" w:lineRule="exact"/>
        <w:rPr>
          <w:rFonts w:ascii="Arial" w:cs="Arial" w:eastAsia="Arial" w:hAnsi="Arial"/>
          <w:sz w:val="18"/>
          <w:szCs w:val="18"/>
          <w:u w:val="single" w:color="auto"/>
          <w:color w:val="0000FF"/>
        </w:rPr>
      </w:pPr>
    </w:p>
    <w:p>
      <w:pPr>
        <w:jc w:val="both"/>
        <w:ind w:left="920" w:right="20" w:hanging="917"/>
        <w:spacing w:after="0"/>
        <w:tabs>
          <w:tab w:leader="none" w:pos="900" w:val="left"/>
        </w:tabs>
        <w:rPr>
          <w:rFonts w:ascii="Arial" w:cs="Arial" w:eastAsia="Arial" w:hAnsi="Arial"/>
          <w:sz w:val="18"/>
          <w:szCs w:val="18"/>
          <w:u w:val="single" w:color="auto"/>
          <w:color w:val="0000FF"/>
        </w:rPr>
      </w:pPr>
      <w:r>
        <w:rPr>
          <w:rFonts w:ascii="Arial" w:cs="Arial" w:eastAsia="Arial" w:hAnsi="Arial"/>
          <w:sz w:val="18"/>
          <w:szCs w:val="18"/>
          <w:color w:val="auto"/>
        </w:rPr>
        <w:t>4.45</w:t>
      </w:r>
      <w:r>
        <w:rPr>
          <w:sz w:val="20"/>
          <w:szCs w:val="20"/>
          <w:color w:val="auto"/>
        </w:rPr>
        <w:tab/>
      </w:r>
      <w:hyperlink r:id="rId137">
        <w:r>
          <w:rPr>
            <w:rFonts w:ascii="Arial" w:cs="Arial" w:eastAsia="Arial" w:hAnsi="Arial"/>
            <w:sz w:val="18"/>
            <w:szCs w:val="18"/>
            <w:u w:val="single" w:color="auto"/>
            <w:color w:val="0000FF"/>
          </w:rPr>
          <w:t>Form of Indenture and Security Agreement (Indenture and Security Agreement between American Airlines, Inc., and Wilmington</w:t>
        </w:r>
      </w:hyperlink>
      <w:r>
        <w:rPr>
          <w:rFonts w:ascii="Arial" w:cs="Arial" w:eastAsia="Arial" w:hAnsi="Arial"/>
          <w:sz w:val="18"/>
          <w:szCs w:val="18"/>
          <w:u w:val="single" w:color="auto"/>
          <w:color w:val="0000FF"/>
        </w:rPr>
        <w:t xml:space="preserve"> </w:t>
      </w:r>
      <w:hyperlink r:id="rId137">
        <w:r>
          <w:rPr>
            <w:rFonts w:ascii="Arial" w:cs="Arial" w:eastAsia="Arial" w:hAnsi="Arial"/>
            <w:sz w:val="18"/>
            <w:szCs w:val="18"/>
            <w:u w:val="single" w:color="auto"/>
            <w:color w:val="0000FF"/>
          </w:rPr>
          <w:t>Trust Company, as Loan Trustee) (incorporated by reference to Exhibit C to Exhibit 4.6 to American’s Current Report on Form 8-K</w:t>
        </w:r>
      </w:hyperlink>
      <w:r>
        <w:rPr>
          <w:rFonts w:ascii="Arial" w:cs="Arial" w:eastAsia="Arial" w:hAnsi="Arial"/>
          <w:sz w:val="18"/>
          <w:szCs w:val="18"/>
          <w:u w:val="single" w:color="auto"/>
          <w:color w:val="0000FF"/>
        </w:rPr>
        <w:t xml:space="preserve"> </w:t>
      </w:r>
      <w:hyperlink r:id="rId137">
        <w:r>
          <w:rPr>
            <w:rFonts w:ascii="Arial" w:cs="Arial" w:eastAsia="Arial" w:hAnsi="Arial"/>
            <w:sz w:val="18"/>
            <w:szCs w:val="18"/>
            <w:u w:val="single" w:color="auto"/>
            <w:color w:val="0000FF"/>
          </w:rPr>
          <w:t>filed on September 24, 2015 (Commission File No. 1-2691)).</w:t>
        </w:r>
      </w:hyperlink>
    </w:p>
    <w:p>
      <w:pPr>
        <w:spacing w:after="0" w:line="41" w:lineRule="exact"/>
        <w:rPr>
          <w:rFonts w:ascii="Arial" w:cs="Arial" w:eastAsia="Arial" w:hAnsi="Arial"/>
          <w:sz w:val="18"/>
          <w:szCs w:val="18"/>
          <w:u w:val="single" w:color="auto"/>
          <w:color w:val="0000FF"/>
        </w:rPr>
      </w:pPr>
    </w:p>
    <w:p>
      <w:pPr>
        <w:jc w:val="both"/>
        <w:ind w:left="920" w:right="20" w:hanging="917"/>
        <w:spacing w:after="0" w:line="246" w:lineRule="auto"/>
        <w:tabs>
          <w:tab w:leader="none" w:pos="900" w:val="left"/>
        </w:tabs>
        <w:rPr>
          <w:rFonts w:ascii="Arial" w:cs="Arial" w:eastAsia="Arial" w:hAnsi="Arial"/>
          <w:sz w:val="18"/>
          <w:szCs w:val="18"/>
          <w:u w:val="single" w:color="auto"/>
          <w:color w:val="0000FF"/>
        </w:rPr>
      </w:pPr>
      <w:r>
        <w:rPr>
          <w:rFonts w:ascii="Arial" w:cs="Arial" w:eastAsia="Arial" w:hAnsi="Arial"/>
          <w:sz w:val="18"/>
          <w:szCs w:val="18"/>
          <w:color w:val="auto"/>
        </w:rPr>
        <w:t>4.46</w:t>
      </w:r>
      <w:r>
        <w:rPr>
          <w:sz w:val="20"/>
          <w:szCs w:val="20"/>
          <w:color w:val="auto"/>
        </w:rPr>
        <w:tab/>
      </w:r>
      <w:hyperlink r:id="rId133">
        <w:r>
          <w:rPr>
            <w:rFonts w:ascii="Arial" w:cs="Arial" w:eastAsia="Arial" w:hAnsi="Arial"/>
            <w:sz w:val="18"/>
            <w:szCs w:val="18"/>
            <w:u w:val="single" w:color="auto"/>
            <w:color w:val="0000FF"/>
          </w:rPr>
          <w:t>Form of Pass Through Trust Certificate, Series 2015-2AA (incorporated by reference to Exhibit A to Exhibit 4.2 to American’s</w:t>
        </w:r>
      </w:hyperlink>
      <w:r>
        <w:rPr>
          <w:rFonts w:ascii="Arial" w:cs="Arial" w:eastAsia="Arial" w:hAnsi="Arial"/>
          <w:sz w:val="18"/>
          <w:szCs w:val="18"/>
          <w:u w:val="single" w:color="auto"/>
          <w:color w:val="0000FF"/>
        </w:rPr>
        <w:t xml:space="preserve"> </w:t>
      </w:r>
      <w:hyperlink r:id="rId133">
        <w:r>
          <w:rPr>
            <w:rFonts w:ascii="Arial" w:cs="Arial" w:eastAsia="Arial" w:hAnsi="Arial"/>
            <w:sz w:val="18"/>
            <w:szCs w:val="18"/>
            <w:u w:val="single" w:color="auto"/>
            <w:color w:val="0000FF"/>
          </w:rPr>
          <w:t>Current Report on Form 8-K filed on September 24, 2015 (Commission File No. 1-2691)).</w:t>
        </w:r>
      </w:hyperlink>
    </w:p>
    <w:p>
      <w:pPr>
        <w:spacing w:after="0" w:line="35" w:lineRule="exact"/>
        <w:rPr>
          <w:sz w:val="20"/>
          <w:szCs w:val="20"/>
          <w:color w:val="auto"/>
        </w:rPr>
      </w:pPr>
    </w:p>
    <w:p>
      <w:pPr>
        <w:jc w:val="both"/>
        <w:ind w:left="920" w:right="20" w:hanging="917"/>
        <w:spacing w:after="0" w:line="246" w:lineRule="auto"/>
        <w:tabs>
          <w:tab w:leader="none" w:pos="900" w:val="left"/>
        </w:tabs>
        <w:rPr>
          <w:rFonts w:ascii="Arial" w:cs="Arial" w:eastAsia="Arial" w:hAnsi="Arial"/>
          <w:sz w:val="18"/>
          <w:szCs w:val="18"/>
          <w:u w:val="single" w:color="auto"/>
          <w:color w:val="0000FF"/>
        </w:rPr>
      </w:pPr>
      <w:r>
        <w:rPr>
          <w:rFonts w:ascii="Arial" w:cs="Arial" w:eastAsia="Arial" w:hAnsi="Arial"/>
          <w:sz w:val="18"/>
          <w:szCs w:val="18"/>
          <w:color w:val="auto"/>
        </w:rPr>
        <w:t>4.47</w:t>
      </w:r>
      <w:r>
        <w:rPr>
          <w:sz w:val="20"/>
          <w:szCs w:val="20"/>
          <w:color w:val="auto"/>
        </w:rPr>
        <w:tab/>
      </w:r>
      <w:hyperlink r:id="rId134">
        <w:r>
          <w:rPr>
            <w:rFonts w:ascii="Arial" w:cs="Arial" w:eastAsia="Arial" w:hAnsi="Arial"/>
            <w:sz w:val="18"/>
            <w:szCs w:val="18"/>
            <w:u w:val="single" w:color="auto"/>
            <w:color w:val="0000FF"/>
          </w:rPr>
          <w:t>Form of Pass Through Trust Certificate, Series 2015-2A (incorporated by reference to Exhibit A to Exhibit 4.3 to American’s</w:t>
        </w:r>
      </w:hyperlink>
      <w:r>
        <w:rPr>
          <w:rFonts w:ascii="Arial" w:cs="Arial" w:eastAsia="Arial" w:hAnsi="Arial"/>
          <w:sz w:val="18"/>
          <w:szCs w:val="18"/>
          <w:u w:val="single" w:color="auto"/>
          <w:color w:val="0000FF"/>
        </w:rPr>
        <w:t xml:space="preserve"> </w:t>
      </w:r>
      <w:hyperlink r:id="rId134">
        <w:r>
          <w:rPr>
            <w:rFonts w:ascii="Arial" w:cs="Arial" w:eastAsia="Arial" w:hAnsi="Arial"/>
            <w:sz w:val="18"/>
            <w:szCs w:val="18"/>
            <w:u w:val="single" w:color="auto"/>
            <w:color w:val="0000FF"/>
          </w:rPr>
          <w:t>Current Report on Form 8-K filed on September 24, 2015 (Commission File No. 1-2691)).</w:t>
        </w:r>
      </w:hyperlink>
    </w:p>
    <w:p>
      <w:pPr>
        <w:spacing w:after="0" w:line="35" w:lineRule="exact"/>
        <w:rPr>
          <w:sz w:val="20"/>
          <w:szCs w:val="20"/>
          <w:color w:val="auto"/>
        </w:rPr>
      </w:pPr>
    </w:p>
    <w:p>
      <w:pPr>
        <w:jc w:val="both"/>
        <w:ind w:left="920" w:right="20" w:hanging="917"/>
        <w:spacing w:after="0" w:line="246" w:lineRule="auto"/>
        <w:tabs>
          <w:tab w:leader="none" w:pos="900" w:val="left"/>
        </w:tabs>
        <w:rPr>
          <w:rFonts w:ascii="Arial" w:cs="Arial" w:eastAsia="Arial" w:hAnsi="Arial"/>
          <w:sz w:val="18"/>
          <w:szCs w:val="18"/>
          <w:u w:val="single" w:color="auto"/>
          <w:color w:val="0000FF"/>
        </w:rPr>
      </w:pPr>
      <w:r>
        <w:rPr>
          <w:rFonts w:ascii="Arial" w:cs="Arial" w:eastAsia="Arial" w:hAnsi="Arial"/>
          <w:sz w:val="18"/>
          <w:szCs w:val="18"/>
          <w:color w:val="auto"/>
        </w:rPr>
        <w:t>4.48</w:t>
      </w:r>
      <w:r>
        <w:rPr>
          <w:sz w:val="20"/>
          <w:szCs w:val="20"/>
          <w:color w:val="auto"/>
        </w:rPr>
        <w:tab/>
      </w:r>
      <w:hyperlink r:id="rId135">
        <w:r>
          <w:rPr>
            <w:rFonts w:ascii="Arial" w:cs="Arial" w:eastAsia="Arial" w:hAnsi="Arial"/>
            <w:sz w:val="18"/>
            <w:szCs w:val="18"/>
            <w:u w:val="single" w:color="auto"/>
            <w:color w:val="0000FF"/>
          </w:rPr>
          <w:t>Form of Pass Through Trust Certificate, Series 2015-2B (incorporated by reference to Exhibit A to Exhibit 4.4 to American’s</w:t>
        </w:r>
      </w:hyperlink>
      <w:r>
        <w:rPr>
          <w:rFonts w:ascii="Arial" w:cs="Arial" w:eastAsia="Arial" w:hAnsi="Arial"/>
          <w:sz w:val="18"/>
          <w:szCs w:val="18"/>
          <w:u w:val="single" w:color="auto"/>
          <w:color w:val="0000FF"/>
        </w:rPr>
        <w:t xml:space="preserve"> </w:t>
      </w:r>
      <w:hyperlink r:id="rId135">
        <w:r>
          <w:rPr>
            <w:rFonts w:ascii="Arial" w:cs="Arial" w:eastAsia="Arial" w:hAnsi="Arial"/>
            <w:sz w:val="18"/>
            <w:szCs w:val="18"/>
            <w:u w:val="single" w:color="auto"/>
            <w:color w:val="0000FF"/>
          </w:rPr>
          <w:t>Current Report on Form 8-K filed on September 24, 2015 (Commission File No. 1-2691)).</w:t>
        </w:r>
      </w:hyperlink>
    </w:p>
    <w:p>
      <w:pPr>
        <w:spacing w:after="0" w:line="35" w:lineRule="exact"/>
        <w:rPr>
          <w:sz w:val="20"/>
          <w:szCs w:val="20"/>
          <w:color w:val="auto"/>
        </w:rPr>
      </w:pPr>
    </w:p>
    <w:p>
      <w:pPr>
        <w:jc w:val="both"/>
        <w:ind w:left="920" w:right="20" w:hanging="917"/>
        <w:spacing w:after="0" w:line="239" w:lineRule="auto"/>
        <w:tabs>
          <w:tab w:leader="none" w:pos="900" w:val="left"/>
        </w:tabs>
        <w:rPr>
          <w:rFonts w:ascii="Arial" w:cs="Arial" w:eastAsia="Arial" w:hAnsi="Arial"/>
          <w:sz w:val="18"/>
          <w:szCs w:val="18"/>
          <w:u w:val="single" w:color="auto"/>
          <w:color w:val="0000FF"/>
        </w:rPr>
      </w:pPr>
      <w:r>
        <w:rPr>
          <w:rFonts w:ascii="Arial" w:cs="Arial" w:eastAsia="Arial" w:hAnsi="Arial"/>
          <w:sz w:val="18"/>
          <w:szCs w:val="18"/>
          <w:color w:val="auto"/>
        </w:rPr>
        <w:t>4.49</w:t>
      </w:r>
      <w:r>
        <w:rPr>
          <w:sz w:val="20"/>
          <w:szCs w:val="20"/>
          <w:color w:val="auto"/>
        </w:rPr>
        <w:tab/>
      </w:r>
      <w:hyperlink r:id="rId138">
        <w:r>
          <w:rPr>
            <w:rFonts w:ascii="Arial" w:cs="Arial" w:eastAsia="Arial" w:hAnsi="Arial"/>
            <w:sz w:val="18"/>
            <w:szCs w:val="18"/>
            <w:u w:val="single" w:color="auto"/>
            <w:color w:val="0000FF"/>
          </w:rPr>
          <w:t>Revolving Credit Agreement (2015-2AA), dated as of September 24, 2015, between Wilmington Trust Company, as Subordination</w:t>
        </w:r>
      </w:hyperlink>
      <w:r>
        <w:rPr>
          <w:rFonts w:ascii="Arial" w:cs="Arial" w:eastAsia="Arial" w:hAnsi="Arial"/>
          <w:sz w:val="18"/>
          <w:szCs w:val="18"/>
          <w:u w:val="single" w:color="auto"/>
          <w:color w:val="0000FF"/>
        </w:rPr>
        <w:t xml:space="preserve"> </w:t>
      </w:r>
      <w:hyperlink r:id="rId138">
        <w:r>
          <w:rPr>
            <w:rFonts w:ascii="Arial" w:cs="Arial" w:eastAsia="Arial" w:hAnsi="Arial"/>
            <w:sz w:val="18"/>
            <w:szCs w:val="18"/>
            <w:u w:val="single" w:color="auto"/>
            <w:color w:val="0000FF"/>
          </w:rPr>
          <w:t>Agent, as agent and trustee for the trustee of the American Airlines Pass Through Trust 2015-2AA, as Borrower, and</w:t>
        </w:r>
      </w:hyperlink>
      <w:r>
        <w:rPr>
          <w:rFonts w:ascii="Arial" w:cs="Arial" w:eastAsia="Arial" w:hAnsi="Arial"/>
          <w:sz w:val="18"/>
          <w:szCs w:val="18"/>
          <w:u w:val="single" w:color="auto"/>
          <w:color w:val="0000FF"/>
        </w:rPr>
        <w:t xml:space="preserve"> </w:t>
      </w:r>
      <w:hyperlink r:id="rId138">
        <w:r>
          <w:rPr>
            <w:rFonts w:ascii="Arial" w:cs="Arial" w:eastAsia="Arial" w:hAnsi="Arial"/>
            <w:sz w:val="18"/>
            <w:szCs w:val="18"/>
            <w:u w:val="single" w:color="auto"/>
            <w:color w:val="0000FF"/>
          </w:rPr>
          <w:t>Commonwealth Bank of Australia, New York Branch, as Liquidity Provider (incorporated by reference to Exhibit 4.12 to American’s</w:t>
        </w:r>
      </w:hyperlink>
      <w:r>
        <w:rPr>
          <w:rFonts w:ascii="Arial" w:cs="Arial" w:eastAsia="Arial" w:hAnsi="Arial"/>
          <w:sz w:val="18"/>
          <w:szCs w:val="18"/>
          <w:u w:val="single" w:color="auto"/>
          <w:color w:val="0000FF"/>
        </w:rPr>
        <w:t xml:space="preserve"> </w:t>
      </w:r>
      <w:hyperlink r:id="rId138">
        <w:r>
          <w:rPr>
            <w:rFonts w:ascii="Arial" w:cs="Arial" w:eastAsia="Arial" w:hAnsi="Arial"/>
            <w:sz w:val="18"/>
            <w:szCs w:val="18"/>
            <w:u w:val="single" w:color="auto"/>
            <w:color w:val="0000FF"/>
          </w:rPr>
          <w:t>Current Report on Form 8-K filed on September 24, 2015 (Commission File No. 1-2691)).</w:t>
        </w:r>
      </w:hyperlink>
    </w:p>
    <w:p>
      <w:pPr>
        <w:spacing w:after="0" w:line="40" w:lineRule="exact"/>
        <w:rPr>
          <w:rFonts w:ascii="Arial" w:cs="Arial" w:eastAsia="Arial" w:hAnsi="Arial"/>
          <w:sz w:val="18"/>
          <w:szCs w:val="18"/>
          <w:u w:val="single" w:color="auto"/>
          <w:color w:val="0000FF"/>
        </w:rPr>
      </w:pPr>
    </w:p>
    <w:p>
      <w:pPr>
        <w:jc w:val="both"/>
        <w:ind w:left="920" w:right="20" w:hanging="917"/>
        <w:spacing w:after="0" w:line="239" w:lineRule="auto"/>
        <w:tabs>
          <w:tab w:leader="none" w:pos="900" w:val="left"/>
        </w:tabs>
        <w:rPr>
          <w:rFonts w:ascii="Arial" w:cs="Arial" w:eastAsia="Arial" w:hAnsi="Arial"/>
          <w:sz w:val="18"/>
          <w:szCs w:val="18"/>
          <w:u w:val="single" w:color="auto"/>
          <w:color w:val="0000FF"/>
        </w:rPr>
      </w:pPr>
      <w:r>
        <w:rPr>
          <w:rFonts w:ascii="Arial" w:cs="Arial" w:eastAsia="Arial" w:hAnsi="Arial"/>
          <w:sz w:val="18"/>
          <w:szCs w:val="18"/>
          <w:color w:val="auto"/>
        </w:rPr>
        <w:t>4.50</w:t>
      </w:r>
      <w:r>
        <w:rPr>
          <w:sz w:val="20"/>
          <w:szCs w:val="20"/>
          <w:color w:val="auto"/>
        </w:rPr>
        <w:tab/>
      </w:r>
      <w:hyperlink r:id="rId139">
        <w:r>
          <w:rPr>
            <w:rFonts w:ascii="Arial" w:cs="Arial" w:eastAsia="Arial" w:hAnsi="Arial"/>
            <w:sz w:val="18"/>
            <w:szCs w:val="18"/>
            <w:u w:val="single" w:color="auto"/>
            <w:color w:val="0000FF"/>
          </w:rPr>
          <w:t>Revolving Credit Agreement (2015-2A), dated as of September 24, 2015, between Wilmington Trust Company, as Subordination</w:t>
        </w:r>
      </w:hyperlink>
      <w:r>
        <w:rPr>
          <w:rFonts w:ascii="Arial" w:cs="Arial" w:eastAsia="Arial" w:hAnsi="Arial"/>
          <w:sz w:val="18"/>
          <w:szCs w:val="18"/>
          <w:u w:val="single" w:color="auto"/>
          <w:color w:val="0000FF"/>
        </w:rPr>
        <w:t xml:space="preserve"> </w:t>
      </w:r>
      <w:hyperlink r:id="rId139">
        <w:r>
          <w:rPr>
            <w:rFonts w:ascii="Arial" w:cs="Arial" w:eastAsia="Arial" w:hAnsi="Arial"/>
            <w:sz w:val="18"/>
            <w:szCs w:val="18"/>
            <w:u w:val="single" w:color="auto"/>
            <w:color w:val="0000FF"/>
          </w:rPr>
          <w:t>Agent, as agent and trustee for the trustee of the American Airlines Pass Through Trust 2015-2A, as Borrower, and Crédit Agricole</w:t>
        </w:r>
      </w:hyperlink>
      <w:r>
        <w:rPr>
          <w:rFonts w:ascii="Arial" w:cs="Arial" w:eastAsia="Arial" w:hAnsi="Arial"/>
          <w:sz w:val="18"/>
          <w:szCs w:val="18"/>
          <w:u w:val="single" w:color="auto"/>
          <w:color w:val="0000FF"/>
        </w:rPr>
        <w:t xml:space="preserve"> </w:t>
      </w:r>
      <w:hyperlink r:id="rId139">
        <w:r>
          <w:rPr>
            <w:rFonts w:ascii="Arial" w:cs="Arial" w:eastAsia="Arial" w:hAnsi="Arial"/>
            <w:sz w:val="18"/>
            <w:szCs w:val="18"/>
            <w:u w:val="single" w:color="auto"/>
            <w:color w:val="0000FF"/>
          </w:rPr>
          <w:t>Corporate and Investment Bank, acting through its New York Branch, as Liquidity Provider (incorporated by reference to Exhibit</w:t>
        </w:r>
      </w:hyperlink>
      <w:r>
        <w:rPr>
          <w:rFonts w:ascii="Arial" w:cs="Arial" w:eastAsia="Arial" w:hAnsi="Arial"/>
          <w:sz w:val="18"/>
          <w:szCs w:val="18"/>
          <w:u w:val="single" w:color="auto"/>
          <w:color w:val="0000FF"/>
        </w:rPr>
        <w:t xml:space="preserve"> </w:t>
      </w:r>
      <w:hyperlink r:id="rId139">
        <w:r>
          <w:rPr>
            <w:rFonts w:ascii="Arial" w:cs="Arial" w:eastAsia="Arial" w:hAnsi="Arial"/>
            <w:sz w:val="18"/>
            <w:szCs w:val="18"/>
            <w:u w:val="single" w:color="auto"/>
            <w:color w:val="0000FF"/>
          </w:rPr>
          <w:t>4.13 to American’s Current Report on Form 8-K filed on September 24, 2015 (Commission File No. 1-2691)).</w:t>
        </w:r>
      </w:hyperlink>
    </w:p>
    <w:p>
      <w:pPr>
        <w:spacing w:after="0" w:line="40" w:lineRule="exact"/>
        <w:rPr>
          <w:rFonts w:ascii="Arial" w:cs="Arial" w:eastAsia="Arial" w:hAnsi="Arial"/>
          <w:sz w:val="18"/>
          <w:szCs w:val="18"/>
          <w:u w:val="single" w:color="auto"/>
          <w:color w:val="0000FF"/>
        </w:rPr>
      </w:pPr>
    </w:p>
    <w:p>
      <w:pPr>
        <w:jc w:val="both"/>
        <w:ind w:left="920" w:right="20" w:hanging="917"/>
        <w:spacing w:after="0" w:line="239" w:lineRule="auto"/>
        <w:tabs>
          <w:tab w:leader="none" w:pos="900" w:val="left"/>
        </w:tabs>
        <w:rPr>
          <w:rFonts w:ascii="Arial" w:cs="Arial" w:eastAsia="Arial" w:hAnsi="Arial"/>
          <w:sz w:val="18"/>
          <w:szCs w:val="18"/>
          <w:u w:val="single" w:color="auto"/>
          <w:color w:val="0000FF"/>
        </w:rPr>
      </w:pPr>
      <w:r>
        <w:rPr>
          <w:rFonts w:ascii="Arial" w:cs="Arial" w:eastAsia="Arial" w:hAnsi="Arial"/>
          <w:sz w:val="18"/>
          <w:szCs w:val="18"/>
          <w:color w:val="auto"/>
        </w:rPr>
        <w:t>4.51</w:t>
      </w:r>
      <w:r>
        <w:rPr>
          <w:sz w:val="20"/>
          <w:szCs w:val="20"/>
          <w:color w:val="auto"/>
        </w:rPr>
        <w:tab/>
      </w:r>
      <w:hyperlink r:id="rId140">
        <w:r>
          <w:rPr>
            <w:rFonts w:ascii="Arial" w:cs="Arial" w:eastAsia="Arial" w:hAnsi="Arial"/>
            <w:sz w:val="18"/>
            <w:szCs w:val="18"/>
            <w:u w:val="single" w:color="auto"/>
            <w:color w:val="0000FF"/>
          </w:rPr>
          <w:t>Revolving Credit Agreement (2015-2B), dated as of September 24, 2015, between Wilmington Trust Company, as Subordination</w:t>
        </w:r>
      </w:hyperlink>
      <w:r>
        <w:rPr>
          <w:rFonts w:ascii="Arial" w:cs="Arial" w:eastAsia="Arial" w:hAnsi="Arial"/>
          <w:sz w:val="18"/>
          <w:szCs w:val="18"/>
          <w:u w:val="single" w:color="auto"/>
          <w:color w:val="0000FF"/>
        </w:rPr>
        <w:t xml:space="preserve"> </w:t>
      </w:r>
      <w:hyperlink r:id="rId140">
        <w:r>
          <w:rPr>
            <w:rFonts w:ascii="Arial" w:cs="Arial" w:eastAsia="Arial" w:hAnsi="Arial"/>
            <w:sz w:val="18"/>
            <w:szCs w:val="18"/>
            <w:u w:val="single" w:color="auto"/>
            <w:color w:val="0000FF"/>
          </w:rPr>
          <w:t>Agent, as agent and trustee for the trustee of the American Airlines Pass Through Trust 2015-2B, as Borrower, and Crédit Agricole</w:t>
        </w:r>
      </w:hyperlink>
      <w:r>
        <w:rPr>
          <w:rFonts w:ascii="Arial" w:cs="Arial" w:eastAsia="Arial" w:hAnsi="Arial"/>
          <w:sz w:val="18"/>
          <w:szCs w:val="18"/>
          <w:u w:val="single" w:color="auto"/>
          <w:color w:val="0000FF"/>
        </w:rPr>
        <w:t xml:space="preserve"> </w:t>
      </w:r>
      <w:hyperlink r:id="rId140">
        <w:r>
          <w:rPr>
            <w:rFonts w:ascii="Arial" w:cs="Arial" w:eastAsia="Arial" w:hAnsi="Arial"/>
            <w:sz w:val="18"/>
            <w:szCs w:val="18"/>
            <w:u w:val="single" w:color="auto"/>
            <w:color w:val="0000FF"/>
          </w:rPr>
          <w:t>Corporate and Investment Bank, acting through its New York Branch, as Liquidity Provider (incorporated by reference to Exhibit</w:t>
        </w:r>
      </w:hyperlink>
      <w:r>
        <w:rPr>
          <w:rFonts w:ascii="Arial" w:cs="Arial" w:eastAsia="Arial" w:hAnsi="Arial"/>
          <w:sz w:val="18"/>
          <w:szCs w:val="18"/>
          <w:u w:val="single" w:color="auto"/>
          <w:color w:val="0000FF"/>
        </w:rPr>
        <w:t xml:space="preserve"> </w:t>
      </w:r>
      <w:hyperlink r:id="rId140">
        <w:r>
          <w:rPr>
            <w:rFonts w:ascii="Arial" w:cs="Arial" w:eastAsia="Arial" w:hAnsi="Arial"/>
            <w:sz w:val="18"/>
            <w:szCs w:val="18"/>
            <w:u w:val="single" w:color="auto"/>
            <w:color w:val="0000FF"/>
          </w:rPr>
          <w:t>4.14 to American’s Current Report on Form 8-K filed on September 24, 2015 (Commission File No. 1-2691)).</w:t>
        </w:r>
      </w:hyperlink>
    </w:p>
    <w:p>
      <w:pPr>
        <w:spacing w:after="0" w:line="40" w:lineRule="exact"/>
        <w:rPr>
          <w:rFonts w:ascii="Arial" w:cs="Arial" w:eastAsia="Arial" w:hAnsi="Arial"/>
          <w:sz w:val="18"/>
          <w:szCs w:val="18"/>
          <w:u w:val="single" w:color="auto"/>
          <w:color w:val="0000FF"/>
        </w:rPr>
      </w:pPr>
    </w:p>
    <w:p>
      <w:pPr>
        <w:jc w:val="both"/>
        <w:ind w:left="920" w:hanging="917"/>
        <w:spacing w:after="0" w:line="239" w:lineRule="auto"/>
        <w:tabs>
          <w:tab w:leader="none" w:pos="900" w:val="left"/>
        </w:tabs>
        <w:rPr>
          <w:rFonts w:ascii="Arial" w:cs="Arial" w:eastAsia="Arial" w:hAnsi="Arial"/>
          <w:sz w:val="18"/>
          <w:szCs w:val="18"/>
          <w:u w:val="single" w:color="auto"/>
          <w:color w:val="0000FF"/>
        </w:rPr>
      </w:pPr>
      <w:r>
        <w:rPr>
          <w:rFonts w:ascii="Arial" w:cs="Arial" w:eastAsia="Arial" w:hAnsi="Arial"/>
          <w:sz w:val="18"/>
          <w:szCs w:val="18"/>
          <w:color w:val="auto"/>
        </w:rPr>
        <w:t>4.52</w:t>
      </w:r>
      <w:r>
        <w:rPr>
          <w:sz w:val="20"/>
          <w:szCs w:val="20"/>
          <w:color w:val="auto"/>
        </w:rPr>
        <w:tab/>
      </w:r>
      <w:hyperlink r:id="rId141">
        <w:r>
          <w:rPr>
            <w:rFonts w:ascii="Arial" w:cs="Arial" w:eastAsia="Arial" w:hAnsi="Arial"/>
            <w:sz w:val="18"/>
            <w:szCs w:val="18"/>
            <w:u w:val="single" w:color="auto"/>
            <w:color w:val="0000FF"/>
          </w:rPr>
          <w:t>Note Purchase Agreement, dated as of April 24, 2013, among American Airlines, Inc. (as successor in interest to US Airways, Inc.)</w:t>
        </w:r>
      </w:hyperlink>
      <w:r>
        <w:rPr>
          <w:rFonts w:ascii="Arial" w:cs="Arial" w:eastAsia="Arial" w:hAnsi="Arial"/>
          <w:sz w:val="18"/>
          <w:szCs w:val="18"/>
          <w:u w:val="single" w:color="auto"/>
          <w:color w:val="0000FF"/>
        </w:rPr>
        <w:t xml:space="preserve"> </w:t>
      </w:r>
      <w:hyperlink r:id="rId141">
        <w:r>
          <w:rPr>
            <w:rFonts w:ascii="Arial" w:cs="Arial" w:eastAsia="Arial" w:hAnsi="Arial"/>
            <w:sz w:val="18"/>
            <w:szCs w:val="18"/>
            <w:u w:val="single" w:color="auto"/>
            <w:color w:val="0000FF"/>
          </w:rPr>
          <w:t>Wilmington Trust Company, as Pass Through Trustee, Wilmington Trust Company, as Subordination Agent, Wilmington Trust,</w:t>
        </w:r>
      </w:hyperlink>
      <w:r>
        <w:rPr>
          <w:rFonts w:ascii="Arial" w:cs="Arial" w:eastAsia="Arial" w:hAnsi="Arial"/>
          <w:sz w:val="18"/>
          <w:szCs w:val="18"/>
          <w:u w:val="single" w:color="auto"/>
          <w:color w:val="0000FF"/>
        </w:rPr>
        <w:t xml:space="preserve"> </w:t>
      </w:r>
      <w:hyperlink r:id="rId141">
        <w:r>
          <w:rPr>
            <w:rFonts w:ascii="Arial" w:cs="Arial" w:eastAsia="Arial" w:hAnsi="Arial"/>
            <w:sz w:val="18"/>
            <w:szCs w:val="18"/>
            <w:u w:val="single" w:color="auto"/>
            <w:color w:val="0000FF"/>
          </w:rPr>
          <w:t>National Association, as Escrow Agent, and Wilmington Trust Company, as Paying Agent (incorporated by reference to Exhibit</w:t>
        </w:r>
      </w:hyperlink>
      <w:r>
        <w:rPr>
          <w:rFonts w:ascii="Arial" w:cs="Arial" w:eastAsia="Arial" w:hAnsi="Arial"/>
          <w:sz w:val="18"/>
          <w:szCs w:val="18"/>
          <w:u w:val="single" w:color="auto"/>
          <w:color w:val="0000FF"/>
        </w:rPr>
        <w:t xml:space="preserve"> </w:t>
      </w:r>
      <w:hyperlink r:id="rId141">
        <w:r>
          <w:rPr>
            <w:rFonts w:ascii="Arial" w:cs="Arial" w:eastAsia="Arial" w:hAnsi="Arial"/>
            <w:sz w:val="18"/>
            <w:szCs w:val="18"/>
            <w:u w:val="single" w:color="auto"/>
            <w:color w:val="0000FF"/>
          </w:rPr>
          <w:t>4.12 to US Airways Group’s Current Report on Form 8-K filed on April 25, 2013 (Commission File No. 1-8444)).</w:t>
        </w:r>
      </w:hyperlink>
    </w:p>
    <w:p>
      <w:pPr>
        <w:spacing w:after="0" w:line="229" w:lineRule="exact"/>
        <w:rPr>
          <w:rFonts w:ascii="Arial" w:cs="Arial" w:eastAsia="Arial" w:hAnsi="Arial"/>
          <w:sz w:val="18"/>
          <w:szCs w:val="18"/>
          <w:u w:val="single" w:color="auto"/>
          <w:color w:val="0000FF"/>
        </w:rPr>
      </w:pPr>
    </w:p>
    <w:p>
      <w:pPr>
        <w:jc w:val="center"/>
        <w:spacing w:after="0"/>
        <w:rPr>
          <w:sz w:val="20"/>
          <w:szCs w:val="20"/>
          <w:color w:val="auto"/>
        </w:rPr>
      </w:pPr>
      <w:r>
        <w:rPr>
          <w:rFonts w:ascii="Arial" w:cs="Arial" w:eastAsia="Arial" w:hAnsi="Arial"/>
          <w:sz w:val="18"/>
          <w:szCs w:val="18"/>
          <w:color w:val="auto"/>
        </w:rPr>
        <w:t>167</w:t>
      </w:r>
    </w:p>
    <w:p>
      <w:pPr>
        <w:sectPr>
          <w:pgSz w:w="11900" w:h="16838" w:orient="portrait"/>
          <w:cols w:equalWidth="0" w:num="1">
            <w:col w:w="11360"/>
          </w:cols>
          <w:pgMar w:left="280" w:top="720" w:right="259" w:bottom="1440" w:gutter="0" w:footer="0" w:header="0"/>
        </w:sectPr>
      </w:pPr>
    </w:p>
    <w:bookmarkStart w:id="167" w:name="page168"/>
    <w:bookmarkEnd w:id="167"/>
    <w:p>
      <w:pPr>
        <w:spacing w:after="0"/>
        <w:rPr>
          <w:sz w:val="20"/>
          <w:szCs w:val="20"/>
          <w:color w:val="auto"/>
        </w:rPr>
      </w:pPr>
      <w:r>
        <w:rPr>
          <w:rFonts w:ascii="Arial" w:cs="Arial" w:eastAsia="Arial" w:hAnsi="Arial"/>
          <w:sz w:val="14"/>
          <w:szCs w:val="14"/>
          <w:b w:val="1"/>
          <w:bCs w:val="1"/>
          <w:color w:val="auto"/>
        </w:rPr>
        <w:t>Exhibit</w:t>
      </w:r>
    </w:p>
    <w:p>
      <w:pPr>
        <w:spacing w:after="0" w:line="19" w:lineRule="exact"/>
        <w:rPr>
          <w:sz w:val="20"/>
          <w:szCs w:val="20"/>
          <w:color w:val="auto"/>
        </w:rPr>
      </w:pPr>
    </w:p>
    <w:p>
      <w:pPr>
        <w:spacing w:after="0"/>
        <w:tabs>
          <w:tab w:leader="none" w:pos="900" w:val="left"/>
        </w:tabs>
        <w:rPr>
          <w:sz w:val="20"/>
          <w:szCs w:val="20"/>
          <w:color w:val="auto"/>
        </w:rPr>
      </w:pPr>
      <w:r>
        <w:rPr>
          <w:rFonts w:ascii="Arial" w:cs="Arial" w:eastAsia="Arial" w:hAnsi="Arial"/>
          <w:sz w:val="14"/>
          <w:szCs w:val="14"/>
          <w:b w:val="1"/>
          <w:bCs w:val="1"/>
          <w:u w:val="single" w:color="auto"/>
          <w:color w:val="auto"/>
        </w:rPr>
        <w:t>Number</w:t>
      </w:r>
      <w:r>
        <w:rPr>
          <w:sz w:val="20"/>
          <w:szCs w:val="20"/>
          <w:color w:val="auto"/>
        </w:rPr>
        <w:tab/>
      </w:r>
      <w:r>
        <w:rPr>
          <w:rFonts w:ascii="Arial" w:cs="Arial" w:eastAsia="Arial" w:hAnsi="Arial"/>
          <w:sz w:val="14"/>
          <w:szCs w:val="14"/>
          <w:b w:val="1"/>
          <w:bCs w:val="1"/>
          <w:u w:val="single" w:color="auto"/>
          <w:color w:val="auto"/>
        </w:rPr>
        <w:t>Description</w:t>
      </w:r>
    </w:p>
    <w:p>
      <w:pPr>
        <w:spacing w:after="0" w:line="49" w:lineRule="exact"/>
        <w:rPr>
          <w:sz w:val="20"/>
          <w:szCs w:val="20"/>
          <w:color w:val="auto"/>
        </w:rPr>
      </w:pPr>
    </w:p>
    <w:p>
      <w:pPr>
        <w:jc w:val="both"/>
        <w:ind w:left="920" w:hanging="917"/>
        <w:spacing w:after="0" w:line="237" w:lineRule="auto"/>
        <w:tabs>
          <w:tab w:leader="none" w:pos="900" w:val="left"/>
        </w:tabs>
        <w:rPr>
          <w:rFonts w:ascii="Arial" w:cs="Arial" w:eastAsia="Arial" w:hAnsi="Arial"/>
          <w:sz w:val="18"/>
          <w:szCs w:val="18"/>
          <w:u w:val="single" w:color="auto"/>
          <w:color w:val="0000FF"/>
        </w:rPr>
      </w:pPr>
      <w:r>
        <w:rPr>
          <w:rFonts w:ascii="Arial" w:cs="Arial" w:eastAsia="Arial" w:hAnsi="Arial"/>
          <w:sz w:val="18"/>
          <w:szCs w:val="18"/>
          <w:color w:val="auto"/>
        </w:rPr>
        <w:t>4.53</w:t>
      </w:r>
      <w:r>
        <w:rPr>
          <w:sz w:val="20"/>
          <w:szCs w:val="20"/>
          <w:color w:val="auto"/>
        </w:rPr>
        <w:tab/>
      </w:r>
      <w:hyperlink r:id="rId142">
        <w:r>
          <w:rPr>
            <w:rFonts w:ascii="Arial" w:cs="Arial" w:eastAsia="Arial" w:hAnsi="Arial"/>
            <w:sz w:val="18"/>
            <w:szCs w:val="18"/>
            <w:u w:val="single" w:color="auto"/>
            <w:color w:val="0000FF"/>
          </w:rPr>
          <w:t>Assumption Agreement, dated as of December 30, 2015, by American Airlines, Inc. for the benefit of Wilmington Trust Company,</w:t>
        </w:r>
      </w:hyperlink>
      <w:r>
        <w:rPr>
          <w:rFonts w:ascii="Arial" w:cs="Arial" w:eastAsia="Arial" w:hAnsi="Arial"/>
          <w:sz w:val="18"/>
          <w:szCs w:val="18"/>
          <w:u w:val="single" w:color="auto"/>
          <w:color w:val="0000FF"/>
        </w:rPr>
        <w:t xml:space="preserve"> </w:t>
      </w:r>
      <w:hyperlink r:id="rId142">
        <w:r>
          <w:rPr>
            <w:rFonts w:ascii="Arial" w:cs="Arial" w:eastAsia="Arial" w:hAnsi="Arial"/>
            <w:sz w:val="18"/>
            <w:szCs w:val="18"/>
            <w:u w:val="single" w:color="auto"/>
            <w:color w:val="0000FF"/>
          </w:rPr>
          <w:t>as pass through trustee, subordination agent, and paying agent, and Wilmington Trust, National Association, as escrow agent, in</w:t>
        </w:r>
      </w:hyperlink>
      <w:r>
        <w:rPr>
          <w:rFonts w:ascii="Arial" w:cs="Arial" w:eastAsia="Arial" w:hAnsi="Arial"/>
          <w:sz w:val="18"/>
          <w:szCs w:val="18"/>
          <w:u w:val="single" w:color="auto"/>
          <w:color w:val="0000FF"/>
        </w:rPr>
        <w:t xml:space="preserve"> </w:t>
      </w:r>
      <w:hyperlink r:id="rId142">
        <w:r>
          <w:rPr>
            <w:rFonts w:ascii="Arial" w:cs="Arial" w:eastAsia="Arial" w:hAnsi="Arial"/>
            <w:sz w:val="18"/>
            <w:szCs w:val="18"/>
            <w:u w:val="single" w:color="auto"/>
            <w:color w:val="0000FF"/>
          </w:rPr>
          <w:t>each case, under the Note Purchase Agreement, dated as of April 24, 2013, among American Airlines, Inc. (as successor in</w:t>
        </w:r>
      </w:hyperlink>
      <w:r>
        <w:rPr>
          <w:rFonts w:ascii="Arial" w:cs="Arial" w:eastAsia="Arial" w:hAnsi="Arial"/>
          <w:sz w:val="18"/>
          <w:szCs w:val="18"/>
          <w:u w:val="single" w:color="auto"/>
          <w:color w:val="0000FF"/>
        </w:rPr>
        <w:t xml:space="preserve"> </w:t>
      </w:r>
      <w:hyperlink r:id="rId142">
        <w:r>
          <w:rPr>
            <w:rFonts w:ascii="Arial" w:cs="Arial" w:eastAsia="Arial" w:hAnsi="Arial"/>
            <w:sz w:val="18"/>
            <w:szCs w:val="18"/>
            <w:u w:val="single" w:color="auto"/>
            <w:color w:val="0000FF"/>
          </w:rPr>
          <w:t>interest to US Airways, Inc.), Wilmington Trust Company, Wilmington Trust, National Association and Wilmington Trust Company</w:t>
        </w:r>
      </w:hyperlink>
      <w:r>
        <w:rPr>
          <w:rFonts w:ascii="Arial" w:cs="Arial" w:eastAsia="Arial" w:hAnsi="Arial"/>
          <w:sz w:val="18"/>
          <w:szCs w:val="18"/>
          <w:u w:val="single" w:color="auto"/>
          <w:color w:val="0000FF"/>
        </w:rPr>
        <w:t xml:space="preserve"> </w:t>
      </w:r>
      <w:hyperlink r:id="rId142">
        <w:r>
          <w:rPr>
            <w:rFonts w:ascii="Arial" w:cs="Arial" w:eastAsia="Arial" w:hAnsi="Arial"/>
            <w:sz w:val="18"/>
            <w:szCs w:val="18"/>
            <w:u w:val="single" w:color="auto"/>
            <w:color w:val="0000FF"/>
          </w:rPr>
          <w:t>(incorporated by reference to Exhibit 10.2 to AAG’s Current Report on Form 8-K filed on December 31, 2015 (Commission File No.</w:t>
        </w:r>
      </w:hyperlink>
      <w:r>
        <w:rPr>
          <w:rFonts w:ascii="Arial" w:cs="Arial" w:eastAsia="Arial" w:hAnsi="Arial"/>
          <w:sz w:val="18"/>
          <w:szCs w:val="18"/>
          <w:u w:val="single" w:color="auto"/>
          <w:color w:val="0000FF"/>
        </w:rPr>
        <w:t xml:space="preserve"> </w:t>
      </w:r>
      <w:hyperlink r:id="rId142">
        <w:r>
          <w:rPr>
            <w:rFonts w:ascii="Arial" w:cs="Arial" w:eastAsia="Arial" w:hAnsi="Arial"/>
            <w:sz w:val="18"/>
            <w:szCs w:val="18"/>
            <w:u w:val="single" w:color="auto"/>
            <w:color w:val="0000FF"/>
          </w:rPr>
          <w:t>1-8400)).</w:t>
        </w:r>
      </w:hyperlink>
    </w:p>
    <w:p>
      <w:pPr>
        <w:spacing w:after="0" w:line="43" w:lineRule="exact"/>
        <w:rPr>
          <w:rFonts w:ascii="Arial" w:cs="Arial" w:eastAsia="Arial" w:hAnsi="Arial"/>
          <w:sz w:val="18"/>
          <w:szCs w:val="18"/>
          <w:u w:val="single" w:color="auto"/>
          <w:color w:val="0000FF"/>
        </w:rPr>
      </w:pPr>
    </w:p>
    <w:p>
      <w:pPr>
        <w:jc w:val="both"/>
        <w:ind w:left="920" w:right="20" w:hanging="917"/>
        <w:spacing w:after="0"/>
        <w:tabs>
          <w:tab w:leader="none" w:pos="900" w:val="left"/>
        </w:tabs>
        <w:rPr>
          <w:rFonts w:ascii="Arial" w:cs="Arial" w:eastAsia="Arial" w:hAnsi="Arial"/>
          <w:sz w:val="18"/>
          <w:szCs w:val="18"/>
          <w:u w:val="single" w:color="auto"/>
          <w:color w:val="0000FF"/>
        </w:rPr>
      </w:pPr>
      <w:r>
        <w:rPr>
          <w:rFonts w:ascii="Arial" w:cs="Arial" w:eastAsia="Arial" w:hAnsi="Arial"/>
          <w:sz w:val="18"/>
          <w:szCs w:val="18"/>
          <w:color w:val="auto"/>
        </w:rPr>
        <w:t>4.54</w:t>
      </w:r>
      <w:r>
        <w:rPr>
          <w:sz w:val="20"/>
          <w:szCs w:val="20"/>
          <w:color w:val="auto"/>
        </w:rPr>
        <w:tab/>
      </w:r>
      <w:hyperlink r:id="rId143">
        <w:r>
          <w:rPr>
            <w:rFonts w:ascii="Arial" w:cs="Arial" w:eastAsia="Arial" w:hAnsi="Arial"/>
            <w:sz w:val="18"/>
            <w:szCs w:val="18"/>
            <w:u w:val="single" w:color="auto"/>
            <w:color w:val="0000FF"/>
          </w:rPr>
          <w:t>Form of Participation Agreement between American Airlines, Inc. (as successor in interest to US Airways, Inc.), as Owner, and</w:t>
        </w:r>
      </w:hyperlink>
      <w:r>
        <w:rPr>
          <w:rFonts w:ascii="Arial" w:cs="Arial" w:eastAsia="Arial" w:hAnsi="Arial"/>
          <w:sz w:val="18"/>
          <w:szCs w:val="18"/>
          <w:u w:val="single" w:color="auto"/>
          <w:color w:val="0000FF"/>
        </w:rPr>
        <w:t xml:space="preserve"> </w:t>
      </w:r>
      <w:hyperlink r:id="rId143">
        <w:r>
          <w:rPr>
            <w:rFonts w:ascii="Arial" w:cs="Arial" w:eastAsia="Arial" w:hAnsi="Arial"/>
            <w:sz w:val="18"/>
            <w:szCs w:val="18"/>
            <w:u w:val="single" w:color="auto"/>
            <w:color w:val="0000FF"/>
          </w:rPr>
          <w:t>Wilmington Trust Company, as Indenture Trustee, Subordination Agent and Pass Through Trustee (incorporated by reference to</w:t>
        </w:r>
      </w:hyperlink>
      <w:r>
        <w:rPr>
          <w:rFonts w:ascii="Arial" w:cs="Arial" w:eastAsia="Arial" w:hAnsi="Arial"/>
          <w:sz w:val="18"/>
          <w:szCs w:val="18"/>
          <w:u w:val="single" w:color="auto"/>
          <w:color w:val="0000FF"/>
        </w:rPr>
        <w:t xml:space="preserve"> </w:t>
      </w:r>
      <w:hyperlink r:id="rId143">
        <w:r>
          <w:rPr>
            <w:rFonts w:ascii="Arial" w:cs="Arial" w:eastAsia="Arial" w:hAnsi="Arial"/>
            <w:sz w:val="18"/>
            <w:szCs w:val="18"/>
            <w:u w:val="single" w:color="auto"/>
            <w:color w:val="0000FF"/>
          </w:rPr>
          <w:t>Exhibit 4.13 to US Airways Group’s Current Report on Form 8-K filed on April 25, 2013 (Commission File No. 1-8444)).</w:t>
        </w:r>
      </w:hyperlink>
    </w:p>
    <w:p>
      <w:pPr>
        <w:spacing w:after="0" w:line="41" w:lineRule="exact"/>
        <w:rPr>
          <w:rFonts w:ascii="Arial" w:cs="Arial" w:eastAsia="Arial" w:hAnsi="Arial"/>
          <w:sz w:val="18"/>
          <w:szCs w:val="18"/>
          <w:u w:val="single" w:color="auto"/>
          <w:color w:val="0000FF"/>
        </w:rPr>
      </w:pPr>
    </w:p>
    <w:p>
      <w:pPr>
        <w:jc w:val="both"/>
        <w:ind w:left="920" w:right="20" w:hanging="917"/>
        <w:spacing w:after="0" w:line="239" w:lineRule="auto"/>
        <w:tabs>
          <w:tab w:leader="none" w:pos="900" w:val="left"/>
        </w:tabs>
        <w:rPr>
          <w:rFonts w:ascii="Arial" w:cs="Arial" w:eastAsia="Arial" w:hAnsi="Arial"/>
          <w:sz w:val="18"/>
          <w:szCs w:val="18"/>
          <w:u w:val="single" w:color="auto"/>
          <w:color w:val="0000FF"/>
        </w:rPr>
      </w:pPr>
      <w:r>
        <w:rPr>
          <w:rFonts w:ascii="Arial" w:cs="Arial" w:eastAsia="Arial" w:hAnsi="Arial"/>
          <w:sz w:val="18"/>
          <w:szCs w:val="18"/>
          <w:color w:val="auto"/>
        </w:rPr>
        <w:t>4.55</w:t>
      </w:r>
      <w:r>
        <w:rPr>
          <w:sz w:val="20"/>
          <w:szCs w:val="20"/>
          <w:color w:val="auto"/>
        </w:rPr>
        <w:tab/>
      </w:r>
      <w:hyperlink r:id="rId144">
        <w:r>
          <w:rPr>
            <w:rFonts w:ascii="Arial" w:cs="Arial" w:eastAsia="Arial" w:hAnsi="Arial"/>
            <w:sz w:val="18"/>
            <w:szCs w:val="18"/>
            <w:u w:val="single" w:color="auto"/>
            <w:color w:val="0000FF"/>
          </w:rPr>
          <w:t>Form of Trust Indenture and Security Agreement among American Airlines, Inc. (as successor in interest to US Airways, Inc.), as</w:t>
        </w:r>
      </w:hyperlink>
      <w:r>
        <w:rPr>
          <w:rFonts w:ascii="Arial" w:cs="Arial" w:eastAsia="Arial" w:hAnsi="Arial"/>
          <w:sz w:val="18"/>
          <w:szCs w:val="18"/>
          <w:u w:val="single" w:color="auto"/>
          <w:color w:val="0000FF"/>
        </w:rPr>
        <w:t xml:space="preserve"> </w:t>
      </w:r>
      <w:hyperlink r:id="rId144">
        <w:r>
          <w:rPr>
            <w:rFonts w:ascii="Arial" w:cs="Arial" w:eastAsia="Arial" w:hAnsi="Arial"/>
            <w:sz w:val="18"/>
            <w:szCs w:val="18"/>
            <w:u w:val="single" w:color="auto"/>
            <w:color w:val="0000FF"/>
          </w:rPr>
          <w:t>Owner, Wilmington Trust, National Association, as Securities Intermediary, and Wilmington Trust Company, as Indenture Trustee</w:t>
        </w:r>
      </w:hyperlink>
      <w:r>
        <w:rPr>
          <w:rFonts w:ascii="Arial" w:cs="Arial" w:eastAsia="Arial" w:hAnsi="Arial"/>
          <w:sz w:val="18"/>
          <w:szCs w:val="18"/>
          <w:u w:val="single" w:color="auto"/>
          <w:color w:val="0000FF"/>
        </w:rPr>
        <w:t xml:space="preserve"> </w:t>
      </w:r>
      <w:hyperlink r:id="rId144">
        <w:r>
          <w:rPr>
            <w:rFonts w:ascii="Arial" w:cs="Arial" w:eastAsia="Arial" w:hAnsi="Arial"/>
            <w:sz w:val="18"/>
            <w:szCs w:val="18"/>
            <w:u w:val="single" w:color="auto"/>
            <w:color w:val="0000FF"/>
          </w:rPr>
          <w:t>(incorporated by reference to Exhibit 4.14 to US Airways Group’s Current Report on Form 8-K filed on April 25, 2013 (Commission</w:t>
        </w:r>
      </w:hyperlink>
      <w:r>
        <w:rPr>
          <w:rFonts w:ascii="Arial" w:cs="Arial" w:eastAsia="Arial" w:hAnsi="Arial"/>
          <w:sz w:val="18"/>
          <w:szCs w:val="18"/>
          <w:u w:val="single" w:color="auto"/>
          <w:color w:val="0000FF"/>
        </w:rPr>
        <w:t xml:space="preserve"> </w:t>
      </w:r>
      <w:hyperlink r:id="rId144">
        <w:r>
          <w:rPr>
            <w:rFonts w:ascii="Arial" w:cs="Arial" w:eastAsia="Arial" w:hAnsi="Arial"/>
            <w:sz w:val="18"/>
            <w:szCs w:val="18"/>
            <w:u w:val="single" w:color="auto"/>
            <w:color w:val="0000FF"/>
          </w:rPr>
          <w:t>File No. 1-8444)).</w:t>
        </w:r>
      </w:hyperlink>
    </w:p>
    <w:p>
      <w:pPr>
        <w:spacing w:after="0" w:line="40" w:lineRule="exact"/>
        <w:rPr>
          <w:rFonts w:ascii="Arial" w:cs="Arial" w:eastAsia="Arial" w:hAnsi="Arial"/>
          <w:sz w:val="18"/>
          <w:szCs w:val="18"/>
          <w:u w:val="single" w:color="auto"/>
          <w:color w:val="0000FF"/>
        </w:rPr>
      </w:pPr>
    </w:p>
    <w:p>
      <w:pPr>
        <w:jc w:val="both"/>
        <w:ind w:left="920" w:hanging="917"/>
        <w:spacing w:after="0" w:line="239" w:lineRule="auto"/>
        <w:tabs>
          <w:tab w:leader="none" w:pos="900" w:val="left"/>
        </w:tabs>
        <w:rPr>
          <w:rFonts w:ascii="Arial" w:cs="Arial" w:eastAsia="Arial" w:hAnsi="Arial"/>
          <w:sz w:val="18"/>
          <w:szCs w:val="18"/>
          <w:u w:val="single" w:color="auto"/>
          <w:color w:val="0000FF"/>
        </w:rPr>
      </w:pPr>
      <w:r>
        <w:rPr>
          <w:rFonts w:ascii="Arial" w:cs="Arial" w:eastAsia="Arial" w:hAnsi="Arial"/>
          <w:sz w:val="18"/>
          <w:szCs w:val="18"/>
          <w:color w:val="auto"/>
        </w:rPr>
        <w:t>4.56</w:t>
      </w:r>
      <w:r>
        <w:rPr>
          <w:sz w:val="20"/>
          <w:szCs w:val="20"/>
          <w:color w:val="auto"/>
        </w:rPr>
        <w:tab/>
      </w:r>
      <w:hyperlink r:id="rId145">
        <w:r>
          <w:rPr>
            <w:rFonts w:ascii="Arial" w:cs="Arial" w:eastAsia="Arial" w:hAnsi="Arial"/>
            <w:sz w:val="18"/>
            <w:szCs w:val="18"/>
            <w:u w:val="single" w:color="auto"/>
            <w:color w:val="0000FF"/>
          </w:rPr>
          <w:t>Form of Amendment No. 1 to Participation Agreement between American Airlines, Inc. (as successor in interest to US Airways,</w:t>
        </w:r>
      </w:hyperlink>
      <w:r>
        <w:rPr>
          <w:rFonts w:ascii="Arial" w:cs="Arial" w:eastAsia="Arial" w:hAnsi="Arial"/>
          <w:sz w:val="18"/>
          <w:szCs w:val="18"/>
          <w:u w:val="single" w:color="auto"/>
          <w:color w:val="0000FF"/>
        </w:rPr>
        <w:t xml:space="preserve"> </w:t>
      </w:r>
      <w:hyperlink r:id="rId145">
        <w:r>
          <w:rPr>
            <w:rFonts w:ascii="Arial" w:cs="Arial" w:eastAsia="Arial" w:hAnsi="Arial"/>
            <w:sz w:val="18"/>
            <w:szCs w:val="18"/>
            <w:u w:val="single" w:color="auto"/>
            <w:color w:val="0000FF"/>
          </w:rPr>
          <w:t>Inc.), as Owner, and Wilmington Trust Company, as Indenture Trustee, Subordination Agent and Pass Through Trustee (Exhibit A</w:t>
        </w:r>
      </w:hyperlink>
      <w:r>
        <w:rPr>
          <w:rFonts w:ascii="Arial" w:cs="Arial" w:eastAsia="Arial" w:hAnsi="Arial"/>
          <w:sz w:val="18"/>
          <w:szCs w:val="18"/>
          <w:u w:val="single" w:color="auto"/>
          <w:color w:val="0000FF"/>
        </w:rPr>
        <w:t xml:space="preserve"> </w:t>
      </w:r>
      <w:hyperlink r:id="rId145">
        <w:r>
          <w:rPr>
            <w:rFonts w:ascii="Arial" w:cs="Arial" w:eastAsia="Arial" w:hAnsi="Arial"/>
            <w:sz w:val="18"/>
            <w:szCs w:val="18"/>
            <w:u w:val="single" w:color="auto"/>
            <w:color w:val="0000FF"/>
          </w:rPr>
          <w:t>to Note Purchase Agreement) (incorporated by reference to Exhibit 4.8 to US Airways Group’s Current Report on Form 8-K filed on</w:t>
        </w:r>
      </w:hyperlink>
      <w:r>
        <w:rPr>
          <w:rFonts w:ascii="Arial" w:cs="Arial" w:eastAsia="Arial" w:hAnsi="Arial"/>
          <w:sz w:val="18"/>
          <w:szCs w:val="18"/>
          <w:u w:val="single" w:color="auto"/>
          <w:color w:val="0000FF"/>
        </w:rPr>
        <w:t xml:space="preserve"> </w:t>
      </w:r>
      <w:hyperlink r:id="rId145">
        <w:r>
          <w:rPr>
            <w:rFonts w:ascii="Arial" w:cs="Arial" w:eastAsia="Arial" w:hAnsi="Arial"/>
            <w:sz w:val="18"/>
            <w:szCs w:val="18"/>
            <w:u w:val="single" w:color="auto"/>
            <w:color w:val="0000FF"/>
          </w:rPr>
          <w:t>June 6, 2013 (Commission File No. 1-8444)).</w:t>
        </w:r>
      </w:hyperlink>
    </w:p>
    <w:p>
      <w:pPr>
        <w:spacing w:after="0" w:line="40" w:lineRule="exact"/>
        <w:rPr>
          <w:rFonts w:ascii="Arial" w:cs="Arial" w:eastAsia="Arial" w:hAnsi="Arial"/>
          <w:sz w:val="18"/>
          <w:szCs w:val="18"/>
          <w:u w:val="single" w:color="auto"/>
          <w:color w:val="0000FF"/>
        </w:rPr>
      </w:pPr>
    </w:p>
    <w:p>
      <w:pPr>
        <w:jc w:val="both"/>
        <w:ind w:left="920" w:right="20" w:hanging="917"/>
        <w:spacing w:after="0" w:line="239" w:lineRule="auto"/>
        <w:tabs>
          <w:tab w:leader="none" w:pos="900" w:val="left"/>
        </w:tabs>
        <w:rPr>
          <w:rFonts w:ascii="Arial" w:cs="Arial" w:eastAsia="Arial" w:hAnsi="Arial"/>
          <w:sz w:val="18"/>
          <w:szCs w:val="18"/>
          <w:u w:val="single" w:color="auto"/>
          <w:color w:val="0000FF"/>
        </w:rPr>
      </w:pPr>
      <w:r>
        <w:rPr>
          <w:rFonts w:ascii="Arial" w:cs="Arial" w:eastAsia="Arial" w:hAnsi="Arial"/>
          <w:sz w:val="18"/>
          <w:szCs w:val="18"/>
          <w:color w:val="auto"/>
        </w:rPr>
        <w:t>4.57</w:t>
      </w:r>
      <w:r>
        <w:rPr>
          <w:sz w:val="20"/>
          <w:szCs w:val="20"/>
          <w:color w:val="auto"/>
        </w:rPr>
        <w:tab/>
      </w:r>
      <w:hyperlink r:id="rId146">
        <w:r>
          <w:rPr>
            <w:rFonts w:ascii="Arial" w:cs="Arial" w:eastAsia="Arial" w:hAnsi="Arial"/>
            <w:sz w:val="18"/>
            <w:szCs w:val="18"/>
            <w:u w:val="single" w:color="auto"/>
            <w:color w:val="0000FF"/>
          </w:rPr>
          <w:t>Form of Amendment No. 1 to Trust Indenture and Security Agreement among American Airlines, Inc. (as successor in interest to</w:t>
        </w:r>
      </w:hyperlink>
      <w:r>
        <w:rPr>
          <w:rFonts w:ascii="Arial" w:cs="Arial" w:eastAsia="Arial" w:hAnsi="Arial"/>
          <w:sz w:val="18"/>
          <w:szCs w:val="18"/>
          <w:u w:val="single" w:color="auto"/>
          <w:color w:val="0000FF"/>
        </w:rPr>
        <w:t xml:space="preserve"> </w:t>
      </w:r>
      <w:hyperlink r:id="rId146">
        <w:r>
          <w:rPr>
            <w:rFonts w:ascii="Arial" w:cs="Arial" w:eastAsia="Arial" w:hAnsi="Arial"/>
            <w:sz w:val="18"/>
            <w:szCs w:val="18"/>
            <w:u w:val="single" w:color="auto"/>
            <w:color w:val="0000FF"/>
          </w:rPr>
          <w:t>US Airways, Inc.), as Owner, Wilmington Trust, National Association, as Securities Intermediary, and Wilmington Trust Company,</w:t>
        </w:r>
      </w:hyperlink>
      <w:r>
        <w:rPr>
          <w:rFonts w:ascii="Arial" w:cs="Arial" w:eastAsia="Arial" w:hAnsi="Arial"/>
          <w:sz w:val="18"/>
          <w:szCs w:val="18"/>
          <w:u w:val="single" w:color="auto"/>
          <w:color w:val="0000FF"/>
        </w:rPr>
        <w:t xml:space="preserve"> </w:t>
      </w:r>
      <w:hyperlink r:id="rId146">
        <w:r>
          <w:rPr>
            <w:rFonts w:ascii="Arial" w:cs="Arial" w:eastAsia="Arial" w:hAnsi="Arial"/>
            <w:sz w:val="18"/>
            <w:szCs w:val="18"/>
            <w:u w:val="single" w:color="auto"/>
            <w:color w:val="0000FF"/>
          </w:rPr>
          <w:t>as Indenture Trustee (Exhibit B to Note Purchase Agreement) (incorporated by reference to Exhibit 4.9 to US Airways Group’s</w:t>
        </w:r>
      </w:hyperlink>
      <w:r>
        <w:rPr>
          <w:rFonts w:ascii="Arial" w:cs="Arial" w:eastAsia="Arial" w:hAnsi="Arial"/>
          <w:sz w:val="18"/>
          <w:szCs w:val="18"/>
          <w:u w:val="single" w:color="auto"/>
          <w:color w:val="0000FF"/>
        </w:rPr>
        <w:t xml:space="preserve"> </w:t>
      </w:r>
      <w:hyperlink r:id="rId146">
        <w:r>
          <w:rPr>
            <w:rFonts w:ascii="Arial" w:cs="Arial" w:eastAsia="Arial" w:hAnsi="Arial"/>
            <w:sz w:val="18"/>
            <w:szCs w:val="18"/>
            <w:u w:val="single" w:color="auto"/>
            <w:color w:val="0000FF"/>
          </w:rPr>
          <w:t>Current Report on Form 8-K filed on June 6, 2013 (Commission File No. 1-8444)).</w:t>
        </w:r>
      </w:hyperlink>
    </w:p>
    <w:p>
      <w:pPr>
        <w:spacing w:after="0" w:line="40" w:lineRule="exact"/>
        <w:rPr>
          <w:rFonts w:ascii="Arial" w:cs="Arial" w:eastAsia="Arial" w:hAnsi="Arial"/>
          <w:sz w:val="18"/>
          <w:szCs w:val="18"/>
          <w:u w:val="single" w:color="auto"/>
          <w:color w:val="0000FF"/>
        </w:rPr>
      </w:pPr>
    </w:p>
    <w:p>
      <w:pPr>
        <w:jc w:val="both"/>
        <w:ind w:left="920" w:hanging="917"/>
        <w:spacing w:after="0" w:line="239" w:lineRule="auto"/>
        <w:tabs>
          <w:tab w:leader="none" w:pos="900" w:val="left"/>
        </w:tabs>
        <w:rPr>
          <w:rFonts w:ascii="Arial" w:cs="Arial" w:eastAsia="Arial" w:hAnsi="Arial"/>
          <w:sz w:val="18"/>
          <w:szCs w:val="18"/>
          <w:u w:val="single" w:color="auto"/>
          <w:color w:val="0000FF"/>
        </w:rPr>
      </w:pPr>
      <w:r>
        <w:rPr>
          <w:rFonts w:ascii="Arial" w:cs="Arial" w:eastAsia="Arial" w:hAnsi="Arial"/>
          <w:sz w:val="18"/>
          <w:szCs w:val="18"/>
          <w:color w:val="auto"/>
        </w:rPr>
        <w:t>4.58</w:t>
      </w:r>
      <w:r>
        <w:rPr>
          <w:sz w:val="20"/>
          <w:szCs w:val="20"/>
          <w:color w:val="auto"/>
        </w:rPr>
        <w:tab/>
      </w:r>
      <w:hyperlink r:id="rId147">
        <w:r>
          <w:rPr>
            <w:rFonts w:ascii="Arial" w:cs="Arial" w:eastAsia="Arial" w:hAnsi="Arial"/>
            <w:sz w:val="18"/>
            <w:szCs w:val="18"/>
            <w:u w:val="single" w:color="auto"/>
            <w:color w:val="0000FF"/>
          </w:rPr>
          <w:t>Amended and Restated Guarantee, dated as of March 31, 2014, from American Airlines Group Inc. (as successor in interest to US</w:t>
        </w:r>
      </w:hyperlink>
      <w:r>
        <w:rPr>
          <w:rFonts w:ascii="Arial" w:cs="Arial" w:eastAsia="Arial" w:hAnsi="Arial"/>
          <w:sz w:val="18"/>
          <w:szCs w:val="18"/>
          <w:u w:val="single" w:color="auto"/>
          <w:color w:val="0000FF"/>
        </w:rPr>
        <w:t xml:space="preserve"> </w:t>
      </w:r>
      <w:hyperlink r:id="rId147">
        <w:r>
          <w:rPr>
            <w:rFonts w:ascii="Arial" w:cs="Arial" w:eastAsia="Arial" w:hAnsi="Arial"/>
            <w:sz w:val="18"/>
            <w:szCs w:val="18"/>
            <w:u w:val="single" w:color="auto"/>
            <w:color w:val="0000FF"/>
          </w:rPr>
          <w:t>Airways Group, Inc.) relating to obligations of US Airways under the equipment notes relating to its Series 2013-1 Pass Through</w:t>
        </w:r>
      </w:hyperlink>
      <w:r>
        <w:rPr>
          <w:rFonts w:ascii="Arial" w:cs="Arial" w:eastAsia="Arial" w:hAnsi="Arial"/>
          <w:sz w:val="18"/>
          <w:szCs w:val="18"/>
          <w:u w:val="single" w:color="auto"/>
          <w:color w:val="0000FF"/>
        </w:rPr>
        <w:t xml:space="preserve"> </w:t>
      </w:r>
      <w:hyperlink r:id="rId147">
        <w:r>
          <w:rPr>
            <w:rFonts w:ascii="Arial" w:cs="Arial" w:eastAsia="Arial" w:hAnsi="Arial"/>
            <w:sz w:val="18"/>
            <w:szCs w:val="18"/>
            <w:u w:val="single" w:color="auto"/>
            <w:color w:val="0000FF"/>
          </w:rPr>
          <w:t>Certificates (incorporated by reference to Exhibit 10.5 to AAG’s Quarterly Report on Form 10-Q for the quarter ended March 31,</w:t>
        </w:r>
      </w:hyperlink>
      <w:r>
        <w:rPr>
          <w:rFonts w:ascii="Arial" w:cs="Arial" w:eastAsia="Arial" w:hAnsi="Arial"/>
          <w:sz w:val="18"/>
          <w:szCs w:val="18"/>
          <w:u w:val="single" w:color="auto"/>
          <w:color w:val="0000FF"/>
        </w:rPr>
        <w:t xml:space="preserve"> </w:t>
      </w:r>
      <w:hyperlink r:id="rId147">
        <w:r>
          <w:rPr>
            <w:rFonts w:ascii="Arial" w:cs="Arial" w:eastAsia="Arial" w:hAnsi="Arial"/>
            <w:sz w:val="18"/>
            <w:szCs w:val="18"/>
            <w:u w:val="single" w:color="auto"/>
            <w:color w:val="0000FF"/>
          </w:rPr>
          <w:t>2014 (Commission File No. 1-8400)).</w:t>
        </w:r>
      </w:hyperlink>
    </w:p>
    <w:p>
      <w:pPr>
        <w:spacing w:after="0" w:line="40" w:lineRule="exact"/>
        <w:rPr>
          <w:rFonts w:ascii="Arial" w:cs="Arial" w:eastAsia="Arial" w:hAnsi="Arial"/>
          <w:sz w:val="18"/>
          <w:szCs w:val="18"/>
          <w:u w:val="single" w:color="auto"/>
          <w:color w:val="0000FF"/>
        </w:rPr>
      </w:pPr>
    </w:p>
    <w:p>
      <w:pPr>
        <w:jc w:val="both"/>
        <w:ind w:left="920" w:right="20" w:hanging="917"/>
        <w:spacing w:after="0" w:line="239" w:lineRule="auto"/>
        <w:tabs>
          <w:tab w:leader="none" w:pos="900" w:val="left"/>
        </w:tabs>
        <w:rPr>
          <w:rFonts w:ascii="Arial" w:cs="Arial" w:eastAsia="Arial" w:hAnsi="Arial"/>
          <w:sz w:val="18"/>
          <w:szCs w:val="18"/>
          <w:u w:val="single" w:color="auto"/>
          <w:color w:val="0000FF"/>
        </w:rPr>
      </w:pPr>
      <w:r>
        <w:rPr>
          <w:rFonts w:ascii="Arial" w:cs="Arial" w:eastAsia="Arial" w:hAnsi="Arial"/>
          <w:sz w:val="18"/>
          <w:szCs w:val="18"/>
          <w:color w:val="auto"/>
        </w:rPr>
        <w:t>4.59</w:t>
      </w:r>
      <w:r>
        <w:rPr>
          <w:sz w:val="20"/>
          <w:szCs w:val="20"/>
          <w:color w:val="auto"/>
        </w:rPr>
        <w:tab/>
      </w:r>
      <w:hyperlink r:id="rId148">
        <w:r>
          <w:rPr>
            <w:rFonts w:ascii="Arial" w:cs="Arial" w:eastAsia="Arial" w:hAnsi="Arial"/>
            <w:sz w:val="18"/>
            <w:szCs w:val="18"/>
            <w:u w:val="single" w:color="auto"/>
            <w:color w:val="0000FF"/>
          </w:rPr>
          <w:t>Form of Participation Agreement between American Airlines, Inc. (as successor in interest to US Airways, Inc.), as Owner, and</w:t>
        </w:r>
      </w:hyperlink>
      <w:r>
        <w:rPr>
          <w:rFonts w:ascii="Arial" w:cs="Arial" w:eastAsia="Arial" w:hAnsi="Arial"/>
          <w:sz w:val="18"/>
          <w:szCs w:val="18"/>
          <w:u w:val="single" w:color="auto"/>
          <w:color w:val="0000FF"/>
        </w:rPr>
        <w:t xml:space="preserve"> </w:t>
      </w:r>
      <w:hyperlink r:id="rId148">
        <w:r>
          <w:rPr>
            <w:rFonts w:ascii="Arial" w:cs="Arial" w:eastAsia="Arial" w:hAnsi="Arial"/>
            <w:sz w:val="18"/>
            <w:szCs w:val="18"/>
            <w:u w:val="single" w:color="auto"/>
            <w:color w:val="0000FF"/>
          </w:rPr>
          <w:t>Wilmington Trust Company, as Indenture Trustee, Subordination Agent and Pass Through Trustee (Schedule I to Amendment No.</w:t>
        </w:r>
      </w:hyperlink>
      <w:r>
        <w:rPr>
          <w:rFonts w:ascii="Arial" w:cs="Arial" w:eastAsia="Arial" w:hAnsi="Arial"/>
          <w:sz w:val="18"/>
          <w:szCs w:val="18"/>
          <w:u w:val="single" w:color="auto"/>
          <w:color w:val="0000FF"/>
        </w:rPr>
        <w:t xml:space="preserve"> </w:t>
      </w:r>
      <w:hyperlink r:id="rId148">
        <w:r>
          <w:rPr>
            <w:rFonts w:ascii="Arial" w:cs="Arial" w:eastAsia="Arial" w:hAnsi="Arial"/>
            <w:sz w:val="18"/>
            <w:szCs w:val="18"/>
            <w:u w:val="single" w:color="auto"/>
            <w:color w:val="0000FF"/>
          </w:rPr>
          <w:t>1 to Note Purchase Agreement (2012-2)) (incorporated by reference to Exhibit 4.10 to US Airways Group’s Current Report on Form</w:t>
        </w:r>
      </w:hyperlink>
      <w:r>
        <w:rPr>
          <w:rFonts w:ascii="Arial" w:cs="Arial" w:eastAsia="Arial" w:hAnsi="Arial"/>
          <w:sz w:val="18"/>
          <w:szCs w:val="18"/>
          <w:u w:val="single" w:color="auto"/>
          <w:color w:val="0000FF"/>
        </w:rPr>
        <w:t xml:space="preserve"> </w:t>
      </w:r>
      <w:hyperlink r:id="rId148">
        <w:r>
          <w:rPr>
            <w:rFonts w:ascii="Arial" w:cs="Arial" w:eastAsia="Arial" w:hAnsi="Arial"/>
            <w:sz w:val="18"/>
            <w:szCs w:val="18"/>
            <w:u w:val="single" w:color="auto"/>
            <w:color w:val="0000FF"/>
          </w:rPr>
          <w:t>8-K filed on June 6, 2013 (Commission File No. 1-8444)).</w:t>
        </w:r>
      </w:hyperlink>
    </w:p>
    <w:p>
      <w:pPr>
        <w:spacing w:after="0" w:line="40" w:lineRule="exact"/>
        <w:rPr>
          <w:rFonts w:ascii="Arial" w:cs="Arial" w:eastAsia="Arial" w:hAnsi="Arial"/>
          <w:sz w:val="18"/>
          <w:szCs w:val="18"/>
          <w:u w:val="single" w:color="auto"/>
          <w:color w:val="0000FF"/>
        </w:rPr>
      </w:pPr>
    </w:p>
    <w:p>
      <w:pPr>
        <w:jc w:val="both"/>
        <w:ind w:left="920" w:right="20" w:hanging="917"/>
        <w:spacing w:after="0" w:line="239" w:lineRule="auto"/>
        <w:tabs>
          <w:tab w:leader="none" w:pos="900" w:val="left"/>
        </w:tabs>
        <w:rPr>
          <w:rFonts w:ascii="Arial" w:cs="Arial" w:eastAsia="Arial" w:hAnsi="Arial"/>
          <w:sz w:val="18"/>
          <w:szCs w:val="18"/>
          <w:u w:val="single" w:color="auto"/>
          <w:color w:val="0000FF"/>
        </w:rPr>
      </w:pPr>
      <w:r>
        <w:rPr>
          <w:rFonts w:ascii="Arial" w:cs="Arial" w:eastAsia="Arial" w:hAnsi="Arial"/>
          <w:sz w:val="18"/>
          <w:szCs w:val="18"/>
          <w:color w:val="auto"/>
        </w:rPr>
        <w:t>4.60</w:t>
      </w:r>
      <w:r>
        <w:rPr>
          <w:sz w:val="20"/>
          <w:szCs w:val="20"/>
          <w:color w:val="auto"/>
        </w:rPr>
        <w:tab/>
      </w:r>
      <w:hyperlink r:id="rId149">
        <w:r>
          <w:rPr>
            <w:rFonts w:ascii="Arial" w:cs="Arial" w:eastAsia="Arial" w:hAnsi="Arial"/>
            <w:sz w:val="18"/>
            <w:szCs w:val="18"/>
            <w:u w:val="single" w:color="auto"/>
            <w:color w:val="0000FF"/>
          </w:rPr>
          <w:t>Form of Trust Indenture and Security Agreement among American Airlines, Inc. (as successor in interest to US Airways, Inc.), as</w:t>
        </w:r>
      </w:hyperlink>
      <w:r>
        <w:rPr>
          <w:rFonts w:ascii="Arial" w:cs="Arial" w:eastAsia="Arial" w:hAnsi="Arial"/>
          <w:sz w:val="18"/>
          <w:szCs w:val="18"/>
          <w:u w:val="single" w:color="auto"/>
          <w:color w:val="0000FF"/>
        </w:rPr>
        <w:t xml:space="preserve"> </w:t>
      </w:r>
      <w:hyperlink r:id="rId149">
        <w:r>
          <w:rPr>
            <w:rFonts w:ascii="Arial" w:cs="Arial" w:eastAsia="Arial" w:hAnsi="Arial"/>
            <w:sz w:val="18"/>
            <w:szCs w:val="18"/>
            <w:u w:val="single" w:color="auto"/>
            <w:color w:val="0000FF"/>
          </w:rPr>
          <w:t>Owner, Wilmington Trust, National Association, as Securities Intermediary, and Wilmington Trust Company, as Indenture Trustee</w:t>
        </w:r>
      </w:hyperlink>
      <w:r>
        <w:rPr>
          <w:rFonts w:ascii="Arial" w:cs="Arial" w:eastAsia="Arial" w:hAnsi="Arial"/>
          <w:sz w:val="18"/>
          <w:szCs w:val="18"/>
          <w:u w:val="single" w:color="auto"/>
          <w:color w:val="0000FF"/>
        </w:rPr>
        <w:t xml:space="preserve"> </w:t>
      </w:r>
      <w:hyperlink r:id="rId149">
        <w:r>
          <w:rPr>
            <w:rFonts w:ascii="Arial" w:cs="Arial" w:eastAsia="Arial" w:hAnsi="Arial"/>
            <w:sz w:val="18"/>
            <w:szCs w:val="18"/>
            <w:u w:val="single" w:color="auto"/>
            <w:color w:val="0000FF"/>
          </w:rPr>
          <w:t>(Schedule II to Amendment No. 1 to Note Purchase Agreement (2012-2)) (incorporated by reference to Exhibit 4.11 to US Airways</w:t>
        </w:r>
      </w:hyperlink>
      <w:r>
        <w:rPr>
          <w:rFonts w:ascii="Arial" w:cs="Arial" w:eastAsia="Arial" w:hAnsi="Arial"/>
          <w:sz w:val="18"/>
          <w:szCs w:val="18"/>
          <w:u w:val="single" w:color="auto"/>
          <w:color w:val="0000FF"/>
        </w:rPr>
        <w:t xml:space="preserve"> </w:t>
      </w:r>
      <w:hyperlink r:id="rId149">
        <w:r>
          <w:rPr>
            <w:rFonts w:ascii="Arial" w:cs="Arial" w:eastAsia="Arial" w:hAnsi="Arial"/>
            <w:sz w:val="18"/>
            <w:szCs w:val="18"/>
            <w:u w:val="single" w:color="auto"/>
            <w:color w:val="0000FF"/>
          </w:rPr>
          <w:t>Group’s Current Report on Form 8-K filed on June 6, 2013 (Commission File No. 1-8444)).</w:t>
        </w:r>
      </w:hyperlink>
    </w:p>
    <w:p>
      <w:pPr>
        <w:spacing w:after="0" w:line="40" w:lineRule="exact"/>
        <w:rPr>
          <w:rFonts w:ascii="Arial" w:cs="Arial" w:eastAsia="Arial" w:hAnsi="Arial"/>
          <w:sz w:val="18"/>
          <w:szCs w:val="18"/>
          <w:u w:val="single" w:color="auto"/>
          <w:color w:val="0000FF"/>
        </w:rPr>
      </w:pPr>
    </w:p>
    <w:p>
      <w:pPr>
        <w:jc w:val="both"/>
        <w:ind w:left="920" w:hanging="917"/>
        <w:spacing w:after="0"/>
        <w:tabs>
          <w:tab w:leader="none" w:pos="900" w:val="left"/>
        </w:tabs>
        <w:rPr>
          <w:rFonts w:ascii="Arial" w:cs="Arial" w:eastAsia="Arial" w:hAnsi="Arial"/>
          <w:sz w:val="18"/>
          <w:szCs w:val="18"/>
          <w:u w:val="single" w:color="auto"/>
          <w:color w:val="0000FF"/>
        </w:rPr>
      </w:pPr>
      <w:r>
        <w:rPr>
          <w:rFonts w:ascii="Arial" w:cs="Arial" w:eastAsia="Arial" w:hAnsi="Arial"/>
          <w:sz w:val="18"/>
          <w:szCs w:val="18"/>
          <w:color w:val="auto"/>
        </w:rPr>
        <w:t>4.61</w:t>
      </w:r>
      <w:r>
        <w:rPr>
          <w:sz w:val="20"/>
          <w:szCs w:val="20"/>
          <w:color w:val="auto"/>
        </w:rPr>
        <w:tab/>
      </w:r>
      <w:hyperlink r:id="rId150">
        <w:r>
          <w:rPr>
            <w:rFonts w:ascii="Arial" w:cs="Arial" w:eastAsia="Arial" w:hAnsi="Arial"/>
            <w:sz w:val="18"/>
            <w:szCs w:val="18"/>
            <w:u w:val="single" w:color="auto"/>
            <w:color w:val="0000FF"/>
          </w:rPr>
          <w:t>Form of Participation Agreement (Participation Agreement between American Airlines, Inc. (as successor in interest to US Airways,</w:t>
        </w:r>
      </w:hyperlink>
      <w:r>
        <w:rPr>
          <w:rFonts w:ascii="Arial" w:cs="Arial" w:eastAsia="Arial" w:hAnsi="Arial"/>
          <w:sz w:val="18"/>
          <w:szCs w:val="18"/>
          <w:u w:val="single" w:color="auto"/>
          <w:color w:val="0000FF"/>
        </w:rPr>
        <w:t xml:space="preserve"> </w:t>
      </w:r>
      <w:hyperlink r:id="rId150">
        <w:r>
          <w:rPr>
            <w:rFonts w:ascii="Arial" w:cs="Arial" w:eastAsia="Arial" w:hAnsi="Arial"/>
            <w:sz w:val="18"/>
            <w:szCs w:val="18"/>
            <w:u w:val="single" w:color="auto"/>
            <w:color w:val="0000FF"/>
          </w:rPr>
          <w:t>Inc.), as Owner, and Wilmington Trust Company, as Indenture Trustee and Subordination Agent) (incorporated by reference to</w:t>
        </w:r>
      </w:hyperlink>
      <w:r>
        <w:rPr>
          <w:rFonts w:ascii="Arial" w:cs="Arial" w:eastAsia="Arial" w:hAnsi="Arial"/>
          <w:sz w:val="18"/>
          <w:szCs w:val="18"/>
          <w:u w:val="single" w:color="auto"/>
          <w:color w:val="0000FF"/>
        </w:rPr>
        <w:t xml:space="preserve"> </w:t>
      </w:r>
      <w:hyperlink r:id="rId150">
        <w:r>
          <w:rPr>
            <w:rFonts w:ascii="Arial" w:cs="Arial" w:eastAsia="Arial" w:hAnsi="Arial"/>
            <w:sz w:val="18"/>
            <w:szCs w:val="18"/>
            <w:u w:val="single" w:color="auto"/>
            <w:color w:val="0000FF"/>
          </w:rPr>
          <w:t>Exhibit 4.14 to US Airways Group’s Current Report on Form 8-K filed on December 23, 2010 (Commission File No. 1-8444)).</w:t>
        </w:r>
      </w:hyperlink>
    </w:p>
    <w:p>
      <w:pPr>
        <w:spacing w:after="0" w:line="41" w:lineRule="exact"/>
        <w:rPr>
          <w:rFonts w:ascii="Arial" w:cs="Arial" w:eastAsia="Arial" w:hAnsi="Arial"/>
          <w:sz w:val="18"/>
          <w:szCs w:val="18"/>
          <w:u w:val="single" w:color="auto"/>
          <w:color w:val="0000FF"/>
        </w:rPr>
      </w:pPr>
    </w:p>
    <w:p>
      <w:pPr>
        <w:jc w:val="both"/>
        <w:ind w:left="920" w:hanging="917"/>
        <w:spacing w:after="0"/>
        <w:tabs>
          <w:tab w:leader="none" w:pos="900" w:val="left"/>
        </w:tabs>
        <w:rPr>
          <w:rFonts w:ascii="Arial" w:cs="Arial" w:eastAsia="Arial" w:hAnsi="Arial"/>
          <w:sz w:val="18"/>
          <w:szCs w:val="18"/>
          <w:u w:val="single" w:color="auto"/>
          <w:color w:val="0000FF"/>
        </w:rPr>
      </w:pPr>
      <w:r>
        <w:rPr>
          <w:rFonts w:ascii="Arial" w:cs="Arial" w:eastAsia="Arial" w:hAnsi="Arial"/>
          <w:sz w:val="18"/>
          <w:szCs w:val="18"/>
          <w:color w:val="auto"/>
        </w:rPr>
        <w:t>4.62</w:t>
      </w:r>
      <w:r>
        <w:rPr>
          <w:sz w:val="20"/>
          <w:szCs w:val="20"/>
          <w:color w:val="auto"/>
        </w:rPr>
        <w:tab/>
      </w:r>
      <w:hyperlink r:id="rId151">
        <w:r>
          <w:rPr>
            <w:rFonts w:ascii="Arial" w:cs="Arial" w:eastAsia="Arial" w:hAnsi="Arial"/>
            <w:sz w:val="18"/>
            <w:szCs w:val="18"/>
            <w:u w:val="single" w:color="auto"/>
            <w:color w:val="0000FF"/>
          </w:rPr>
          <w:t>Form of Indenture (Trust Indenture and Security Agreement between American Airlines, Inc. (as successor in interest to US</w:t>
        </w:r>
      </w:hyperlink>
      <w:r>
        <w:rPr>
          <w:rFonts w:ascii="Arial" w:cs="Arial" w:eastAsia="Arial" w:hAnsi="Arial"/>
          <w:sz w:val="18"/>
          <w:szCs w:val="18"/>
          <w:u w:val="single" w:color="auto"/>
          <w:color w:val="0000FF"/>
        </w:rPr>
        <w:t xml:space="preserve"> </w:t>
      </w:r>
      <w:hyperlink r:id="rId151">
        <w:r>
          <w:rPr>
            <w:rFonts w:ascii="Arial" w:cs="Arial" w:eastAsia="Arial" w:hAnsi="Arial"/>
            <w:sz w:val="18"/>
            <w:szCs w:val="18"/>
            <w:u w:val="single" w:color="auto"/>
            <w:color w:val="0000FF"/>
          </w:rPr>
          <w:t>Airways, Inc.), as Owner, and Wilmington Trust Company, as Indenture Trustee) (incorporated by reference to Exhibit 4.15 to US</w:t>
        </w:r>
      </w:hyperlink>
      <w:r>
        <w:rPr>
          <w:rFonts w:ascii="Arial" w:cs="Arial" w:eastAsia="Arial" w:hAnsi="Arial"/>
          <w:sz w:val="18"/>
          <w:szCs w:val="18"/>
          <w:u w:val="single" w:color="auto"/>
          <w:color w:val="0000FF"/>
        </w:rPr>
        <w:t xml:space="preserve"> </w:t>
      </w:r>
      <w:hyperlink r:id="rId151">
        <w:r>
          <w:rPr>
            <w:rFonts w:ascii="Arial" w:cs="Arial" w:eastAsia="Arial" w:hAnsi="Arial"/>
            <w:sz w:val="18"/>
            <w:szCs w:val="18"/>
            <w:u w:val="single" w:color="auto"/>
            <w:color w:val="0000FF"/>
          </w:rPr>
          <w:t>Airways Group’s Current Report on Form 8-K filed on December 23, 2010 (Commission File No. 1-8444)).</w:t>
        </w:r>
      </w:hyperlink>
    </w:p>
    <w:p>
      <w:pPr>
        <w:spacing w:after="0" w:line="41" w:lineRule="exact"/>
        <w:rPr>
          <w:rFonts w:ascii="Arial" w:cs="Arial" w:eastAsia="Arial" w:hAnsi="Arial"/>
          <w:sz w:val="18"/>
          <w:szCs w:val="18"/>
          <w:u w:val="single" w:color="auto"/>
          <w:color w:val="0000FF"/>
        </w:rPr>
      </w:pPr>
    </w:p>
    <w:p>
      <w:pPr>
        <w:jc w:val="both"/>
        <w:ind w:left="920" w:hanging="917"/>
        <w:spacing w:after="0" w:line="239" w:lineRule="auto"/>
        <w:tabs>
          <w:tab w:leader="none" w:pos="900" w:val="left"/>
        </w:tabs>
        <w:rPr>
          <w:rFonts w:ascii="Arial" w:cs="Arial" w:eastAsia="Arial" w:hAnsi="Arial"/>
          <w:sz w:val="18"/>
          <w:szCs w:val="18"/>
          <w:u w:val="single" w:color="auto"/>
          <w:color w:val="0000FF"/>
        </w:rPr>
      </w:pPr>
      <w:r>
        <w:rPr>
          <w:rFonts w:ascii="Arial" w:cs="Arial" w:eastAsia="Arial" w:hAnsi="Arial"/>
          <w:sz w:val="18"/>
          <w:szCs w:val="18"/>
          <w:color w:val="auto"/>
        </w:rPr>
        <w:t>4.63</w:t>
      </w:r>
      <w:r>
        <w:rPr>
          <w:sz w:val="20"/>
          <w:szCs w:val="20"/>
          <w:color w:val="auto"/>
        </w:rPr>
        <w:tab/>
      </w:r>
      <w:hyperlink r:id="rId152">
        <w:r>
          <w:rPr>
            <w:rFonts w:ascii="Arial" w:cs="Arial" w:eastAsia="Arial" w:hAnsi="Arial"/>
            <w:sz w:val="18"/>
            <w:szCs w:val="18"/>
            <w:u w:val="single" w:color="auto"/>
            <w:color w:val="0000FF"/>
          </w:rPr>
          <w:t>Amended and Restated Guarantee, dated as of March 31, 2014, from American Airlines Group Inc. (as successor in interest to US</w:t>
        </w:r>
      </w:hyperlink>
      <w:r>
        <w:rPr>
          <w:rFonts w:ascii="Arial" w:cs="Arial" w:eastAsia="Arial" w:hAnsi="Arial"/>
          <w:sz w:val="18"/>
          <w:szCs w:val="18"/>
          <w:u w:val="single" w:color="auto"/>
          <w:color w:val="0000FF"/>
        </w:rPr>
        <w:t xml:space="preserve"> </w:t>
      </w:r>
      <w:hyperlink r:id="rId152">
        <w:r>
          <w:rPr>
            <w:rFonts w:ascii="Arial" w:cs="Arial" w:eastAsia="Arial" w:hAnsi="Arial"/>
            <w:sz w:val="18"/>
            <w:szCs w:val="18"/>
            <w:u w:val="single" w:color="auto"/>
            <w:color w:val="0000FF"/>
          </w:rPr>
          <w:t>Airways Group, Inc.) relating to obligations of US Airways under the equipment notes relating to its Series 2010-1 Pass Through</w:t>
        </w:r>
      </w:hyperlink>
      <w:r>
        <w:rPr>
          <w:rFonts w:ascii="Arial" w:cs="Arial" w:eastAsia="Arial" w:hAnsi="Arial"/>
          <w:sz w:val="18"/>
          <w:szCs w:val="18"/>
          <w:u w:val="single" w:color="auto"/>
          <w:color w:val="0000FF"/>
        </w:rPr>
        <w:t xml:space="preserve"> </w:t>
      </w:r>
      <w:hyperlink r:id="rId152">
        <w:r>
          <w:rPr>
            <w:rFonts w:ascii="Arial" w:cs="Arial" w:eastAsia="Arial" w:hAnsi="Arial"/>
            <w:sz w:val="18"/>
            <w:szCs w:val="18"/>
            <w:u w:val="single" w:color="auto"/>
            <w:color w:val="0000FF"/>
          </w:rPr>
          <w:t>Certificates (incorporated by reference to Exhibit 10.1 to AAG’s Quarterly Report on Form 10-Q for the quarter ended March 31,</w:t>
        </w:r>
      </w:hyperlink>
      <w:r>
        <w:rPr>
          <w:rFonts w:ascii="Arial" w:cs="Arial" w:eastAsia="Arial" w:hAnsi="Arial"/>
          <w:sz w:val="18"/>
          <w:szCs w:val="18"/>
          <w:u w:val="single" w:color="auto"/>
          <w:color w:val="0000FF"/>
        </w:rPr>
        <w:t xml:space="preserve"> </w:t>
      </w:r>
      <w:hyperlink r:id="rId152">
        <w:r>
          <w:rPr>
            <w:rFonts w:ascii="Arial" w:cs="Arial" w:eastAsia="Arial" w:hAnsi="Arial"/>
            <w:sz w:val="18"/>
            <w:szCs w:val="18"/>
            <w:u w:val="single" w:color="auto"/>
            <w:color w:val="0000FF"/>
          </w:rPr>
          <w:t>2014 (Commission File No. 1-8400)).</w:t>
        </w:r>
      </w:hyperlink>
    </w:p>
    <w:p>
      <w:pPr>
        <w:spacing w:after="0" w:line="40" w:lineRule="exact"/>
        <w:rPr>
          <w:rFonts w:ascii="Arial" w:cs="Arial" w:eastAsia="Arial" w:hAnsi="Arial"/>
          <w:sz w:val="18"/>
          <w:szCs w:val="18"/>
          <w:u w:val="single" w:color="auto"/>
          <w:color w:val="0000FF"/>
        </w:rPr>
      </w:pPr>
    </w:p>
    <w:p>
      <w:pPr>
        <w:jc w:val="both"/>
        <w:ind w:left="920" w:hanging="917"/>
        <w:spacing w:after="0"/>
        <w:tabs>
          <w:tab w:leader="none" w:pos="900" w:val="left"/>
        </w:tabs>
        <w:rPr>
          <w:rFonts w:ascii="Arial" w:cs="Arial" w:eastAsia="Arial" w:hAnsi="Arial"/>
          <w:sz w:val="18"/>
          <w:szCs w:val="18"/>
          <w:u w:val="single" w:color="auto"/>
          <w:color w:val="0000FF"/>
        </w:rPr>
      </w:pPr>
      <w:r>
        <w:rPr>
          <w:rFonts w:ascii="Arial" w:cs="Arial" w:eastAsia="Arial" w:hAnsi="Arial"/>
          <w:sz w:val="18"/>
          <w:szCs w:val="18"/>
          <w:color w:val="auto"/>
        </w:rPr>
        <w:t>4.64</w:t>
      </w:r>
      <w:r>
        <w:rPr>
          <w:sz w:val="20"/>
          <w:szCs w:val="20"/>
          <w:color w:val="auto"/>
        </w:rPr>
        <w:tab/>
      </w:r>
      <w:hyperlink r:id="rId153">
        <w:r>
          <w:rPr>
            <w:rFonts w:ascii="Arial" w:cs="Arial" w:eastAsia="Arial" w:hAnsi="Arial"/>
            <w:sz w:val="18"/>
            <w:szCs w:val="18"/>
            <w:u w:val="single" w:color="auto"/>
            <w:color w:val="0000FF"/>
          </w:rPr>
          <w:t>Form of Participation Agreement (Participation Agreement between American Airlines, Inc. (as successor in interest to US Airways,</w:t>
        </w:r>
      </w:hyperlink>
      <w:r>
        <w:rPr>
          <w:rFonts w:ascii="Arial" w:cs="Arial" w:eastAsia="Arial" w:hAnsi="Arial"/>
          <w:sz w:val="18"/>
          <w:szCs w:val="18"/>
          <w:u w:val="single" w:color="auto"/>
          <w:color w:val="0000FF"/>
        </w:rPr>
        <w:t xml:space="preserve"> </w:t>
      </w:r>
      <w:hyperlink r:id="rId153">
        <w:r>
          <w:rPr>
            <w:rFonts w:ascii="Arial" w:cs="Arial" w:eastAsia="Arial" w:hAnsi="Arial"/>
            <w:sz w:val="18"/>
            <w:szCs w:val="18"/>
            <w:u w:val="single" w:color="auto"/>
            <w:color w:val="0000FF"/>
          </w:rPr>
          <w:t>Inc.), as Owner, and Wilmington Trust Company, as Indenture Trustee and Subordination Agent) (incorporated by reference to</w:t>
        </w:r>
      </w:hyperlink>
      <w:r>
        <w:rPr>
          <w:rFonts w:ascii="Arial" w:cs="Arial" w:eastAsia="Arial" w:hAnsi="Arial"/>
          <w:sz w:val="18"/>
          <w:szCs w:val="18"/>
          <w:u w:val="single" w:color="auto"/>
          <w:color w:val="0000FF"/>
        </w:rPr>
        <w:t xml:space="preserve"> </w:t>
      </w:r>
      <w:hyperlink r:id="rId153">
        <w:r>
          <w:rPr>
            <w:rFonts w:ascii="Arial" w:cs="Arial" w:eastAsia="Arial" w:hAnsi="Arial"/>
            <w:sz w:val="18"/>
            <w:szCs w:val="18"/>
            <w:u w:val="single" w:color="auto"/>
            <w:color w:val="0000FF"/>
          </w:rPr>
          <w:t>Exhibit 4.18 to US Airways Group’s Current Report on Form 8-K filed on July 1, 2011 (Commission File No. 1-08444)).</w:t>
        </w:r>
      </w:hyperlink>
    </w:p>
    <w:p>
      <w:pPr>
        <w:spacing w:after="0" w:line="41" w:lineRule="exact"/>
        <w:rPr>
          <w:rFonts w:ascii="Arial" w:cs="Arial" w:eastAsia="Arial" w:hAnsi="Arial"/>
          <w:sz w:val="18"/>
          <w:szCs w:val="18"/>
          <w:u w:val="single" w:color="auto"/>
          <w:color w:val="0000FF"/>
        </w:rPr>
      </w:pPr>
    </w:p>
    <w:p>
      <w:pPr>
        <w:jc w:val="both"/>
        <w:ind w:left="920" w:hanging="917"/>
        <w:spacing w:after="0"/>
        <w:tabs>
          <w:tab w:leader="none" w:pos="900" w:val="left"/>
        </w:tabs>
        <w:rPr>
          <w:rFonts w:ascii="Arial" w:cs="Arial" w:eastAsia="Arial" w:hAnsi="Arial"/>
          <w:sz w:val="18"/>
          <w:szCs w:val="18"/>
          <w:u w:val="single" w:color="auto"/>
          <w:color w:val="0000FF"/>
        </w:rPr>
      </w:pPr>
      <w:r>
        <w:rPr>
          <w:rFonts w:ascii="Arial" w:cs="Arial" w:eastAsia="Arial" w:hAnsi="Arial"/>
          <w:sz w:val="18"/>
          <w:szCs w:val="18"/>
          <w:color w:val="auto"/>
        </w:rPr>
        <w:t>4.65</w:t>
      </w:r>
      <w:r>
        <w:rPr>
          <w:sz w:val="20"/>
          <w:szCs w:val="20"/>
          <w:color w:val="auto"/>
        </w:rPr>
        <w:tab/>
      </w:r>
      <w:hyperlink r:id="rId154">
        <w:r>
          <w:rPr>
            <w:rFonts w:ascii="Arial" w:cs="Arial" w:eastAsia="Arial" w:hAnsi="Arial"/>
            <w:sz w:val="18"/>
            <w:szCs w:val="18"/>
            <w:u w:val="single" w:color="auto"/>
            <w:color w:val="0000FF"/>
          </w:rPr>
          <w:t>Form of Indenture (Trust Indenture and Security Agreement between American Airlines, Inc. (as successor in interest to US</w:t>
        </w:r>
      </w:hyperlink>
      <w:r>
        <w:rPr>
          <w:rFonts w:ascii="Arial" w:cs="Arial" w:eastAsia="Arial" w:hAnsi="Arial"/>
          <w:sz w:val="18"/>
          <w:szCs w:val="18"/>
          <w:u w:val="single" w:color="auto"/>
          <w:color w:val="0000FF"/>
        </w:rPr>
        <w:t xml:space="preserve"> </w:t>
      </w:r>
      <w:hyperlink r:id="rId154">
        <w:r>
          <w:rPr>
            <w:rFonts w:ascii="Arial" w:cs="Arial" w:eastAsia="Arial" w:hAnsi="Arial"/>
            <w:sz w:val="18"/>
            <w:szCs w:val="18"/>
            <w:u w:val="single" w:color="auto"/>
            <w:color w:val="0000FF"/>
          </w:rPr>
          <w:t>Airways, Inc.), as Owner, and Wilmington Trust Company, as Indenture Trustee) (incorporated by reference to Exhibit 4.19 to US</w:t>
        </w:r>
      </w:hyperlink>
      <w:r>
        <w:rPr>
          <w:rFonts w:ascii="Arial" w:cs="Arial" w:eastAsia="Arial" w:hAnsi="Arial"/>
          <w:sz w:val="18"/>
          <w:szCs w:val="18"/>
          <w:u w:val="single" w:color="auto"/>
          <w:color w:val="0000FF"/>
        </w:rPr>
        <w:t xml:space="preserve"> </w:t>
      </w:r>
      <w:hyperlink r:id="rId154">
        <w:r>
          <w:rPr>
            <w:rFonts w:ascii="Arial" w:cs="Arial" w:eastAsia="Arial" w:hAnsi="Arial"/>
            <w:sz w:val="18"/>
            <w:szCs w:val="18"/>
            <w:u w:val="single" w:color="auto"/>
            <w:color w:val="0000FF"/>
          </w:rPr>
          <w:t>Airways Group’s Current Report on Form 8-K filed on July 1, 2011 (Commission File No. 1-08444)).</w:t>
        </w:r>
      </w:hyperlink>
    </w:p>
    <w:p>
      <w:pPr>
        <w:spacing w:after="0" w:line="41" w:lineRule="exact"/>
        <w:rPr>
          <w:rFonts w:ascii="Arial" w:cs="Arial" w:eastAsia="Arial" w:hAnsi="Arial"/>
          <w:sz w:val="18"/>
          <w:szCs w:val="18"/>
          <w:u w:val="single" w:color="auto"/>
          <w:color w:val="0000FF"/>
        </w:rPr>
      </w:pPr>
    </w:p>
    <w:p>
      <w:pPr>
        <w:jc w:val="both"/>
        <w:ind w:left="920" w:hanging="917"/>
        <w:spacing w:after="0"/>
        <w:tabs>
          <w:tab w:leader="none" w:pos="900" w:val="left"/>
        </w:tabs>
        <w:rPr>
          <w:rFonts w:ascii="Arial" w:cs="Arial" w:eastAsia="Arial" w:hAnsi="Arial"/>
          <w:sz w:val="18"/>
          <w:szCs w:val="18"/>
          <w:u w:val="single" w:color="auto"/>
          <w:color w:val="0000FF"/>
        </w:rPr>
      </w:pPr>
      <w:r>
        <w:rPr>
          <w:rFonts w:ascii="Arial" w:cs="Arial" w:eastAsia="Arial" w:hAnsi="Arial"/>
          <w:sz w:val="18"/>
          <w:szCs w:val="18"/>
          <w:color w:val="auto"/>
        </w:rPr>
        <w:t>4.66</w:t>
      </w:r>
      <w:r>
        <w:rPr>
          <w:sz w:val="20"/>
          <w:szCs w:val="20"/>
          <w:color w:val="auto"/>
        </w:rPr>
        <w:tab/>
      </w:r>
      <w:hyperlink r:id="rId155">
        <w:r>
          <w:rPr>
            <w:rFonts w:ascii="Arial" w:cs="Arial" w:eastAsia="Arial" w:hAnsi="Arial"/>
            <w:sz w:val="18"/>
            <w:szCs w:val="18"/>
            <w:u w:val="single" w:color="auto"/>
            <w:color w:val="0000FF"/>
          </w:rPr>
          <w:t>Guarantee, dated as of June 28, 2011, from American Airlines Group Inc. (as successor in interest to US Airways Group, Inc.)</w:t>
        </w:r>
      </w:hyperlink>
      <w:r>
        <w:rPr>
          <w:rFonts w:ascii="Arial" w:cs="Arial" w:eastAsia="Arial" w:hAnsi="Arial"/>
          <w:sz w:val="18"/>
          <w:szCs w:val="18"/>
          <w:u w:val="single" w:color="auto"/>
          <w:color w:val="0000FF"/>
        </w:rPr>
        <w:t xml:space="preserve"> </w:t>
      </w:r>
      <w:hyperlink r:id="rId155">
        <w:r>
          <w:rPr>
            <w:rFonts w:ascii="Arial" w:cs="Arial" w:eastAsia="Arial" w:hAnsi="Arial"/>
            <w:sz w:val="18"/>
            <w:szCs w:val="18"/>
            <w:u w:val="single" w:color="auto"/>
            <w:color w:val="0000FF"/>
          </w:rPr>
          <w:t>(incorporated by reference to Exhibit 4.23 to US Airways Group’s Current Report on Form 8-K filed on July 1, 2011 (Commission</w:t>
        </w:r>
      </w:hyperlink>
      <w:r>
        <w:rPr>
          <w:rFonts w:ascii="Arial" w:cs="Arial" w:eastAsia="Arial" w:hAnsi="Arial"/>
          <w:sz w:val="18"/>
          <w:szCs w:val="18"/>
          <w:u w:val="single" w:color="auto"/>
          <w:color w:val="0000FF"/>
        </w:rPr>
        <w:t xml:space="preserve"> </w:t>
      </w:r>
      <w:hyperlink r:id="rId155">
        <w:r>
          <w:rPr>
            <w:rFonts w:ascii="Arial" w:cs="Arial" w:eastAsia="Arial" w:hAnsi="Arial"/>
            <w:sz w:val="18"/>
            <w:szCs w:val="18"/>
            <w:u w:val="single" w:color="auto"/>
            <w:color w:val="0000FF"/>
          </w:rPr>
          <w:t>File No. 1-08444)).</w:t>
        </w:r>
      </w:hyperlink>
    </w:p>
    <w:p>
      <w:pPr>
        <w:spacing w:after="0" w:line="230" w:lineRule="exact"/>
        <w:rPr>
          <w:rFonts w:ascii="Arial" w:cs="Arial" w:eastAsia="Arial" w:hAnsi="Arial"/>
          <w:sz w:val="18"/>
          <w:szCs w:val="18"/>
          <w:u w:val="single" w:color="auto"/>
          <w:color w:val="0000FF"/>
        </w:rPr>
      </w:pPr>
    </w:p>
    <w:p>
      <w:pPr>
        <w:jc w:val="center"/>
        <w:spacing w:after="0"/>
        <w:rPr>
          <w:sz w:val="20"/>
          <w:szCs w:val="20"/>
          <w:color w:val="auto"/>
        </w:rPr>
      </w:pPr>
      <w:r>
        <w:rPr>
          <w:rFonts w:ascii="Arial" w:cs="Arial" w:eastAsia="Arial" w:hAnsi="Arial"/>
          <w:sz w:val="18"/>
          <w:szCs w:val="18"/>
          <w:color w:val="auto"/>
        </w:rPr>
        <w:t>168</w:t>
      </w:r>
    </w:p>
    <w:p>
      <w:pPr>
        <w:sectPr>
          <w:pgSz w:w="11900" w:h="16838" w:orient="portrait"/>
          <w:cols w:equalWidth="0" w:num="1">
            <w:col w:w="11360"/>
          </w:cols>
          <w:pgMar w:left="280" w:top="721" w:right="259" w:bottom="1440" w:gutter="0" w:footer="0" w:header="0"/>
        </w:sectPr>
      </w:pPr>
    </w:p>
    <w:bookmarkStart w:id="168" w:name="page169"/>
    <w:bookmarkEnd w:id="168"/>
    <w:p>
      <w:pPr>
        <w:spacing w:after="0"/>
        <w:rPr>
          <w:sz w:val="20"/>
          <w:szCs w:val="20"/>
          <w:color w:val="auto"/>
        </w:rPr>
      </w:pPr>
      <w:r>
        <w:rPr>
          <w:rFonts w:ascii="Arial" w:cs="Arial" w:eastAsia="Arial" w:hAnsi="Arial"/>
          <w:sz w:val="14"/>
          <w:szCs w:val="14"/>
          <w:b w:val="1"/>
          <w:bCs w:val="1"/>
          <w:color w:val="auto"/>
        </w:rPr>
        <w:t>Exhibit</w:t>
      </w:r>
    </w:p>
    <w:p>
      <w:pPr>
        <w:spacing w:after="0" w:line="19" w:lineRule="exact"/>
        <w:rPr>
          <w:sz w:val="20"/>
          <w:szCs w:val="20"/>
          <w:color w:val="auto"/>
        </w:rPr>
      </w:pPr>
    </w:p>
    <w:p>
      <w:pPr>
        <w:spacing w:after="0"/>
        <w:tabs>
          <w:tab w:leader="none" w:pos="900" w:val="left"/>
        </w:tabs>
        <w:rPr>
          <w:sz w:val="20"/>
          <w:szCs w:val="20"/>
          <w:color w:val="auto"/>
        </w:rPr>
      </w:pPr>
      <w:r>
        <w:rPr>
          <w:rFonts w:ascii="Arial" w:cs="Arial" w:eastAsia="Arial" w:hAnsi="Arial"/>
          <w:sz w:val="14"/>
          <w:szCs w:val="14"/>
          <w:b w:val="1"/>
          <w:bCs w:val="1"/>
          <w:u w:val="single" w:color="auto"/>
          <w:color w:val="auto"/>
        </w:rPr>
        <w:t>Number</w:t>
      </w:r>
      <w:r>
        <w:rPr>
          <w:sz w:val="20"/>
          <w:szCs w:val="20"/>
          <w:color w:val="auto"/>
        </w:rPr>
        <w:tab/>
      </w:r>
      <w:r>
        <w:rPr>
          <w:rFonts w:ascii="Arial" w:cs="Arial" w:eastAsia="Arial" w:hAnsi="Arial"/>
          <w:sz w:val="14"/>
          <w:szCs w:val="14"/>
          <w:b w:val="1"/>
          <w:bCs w:val="1"/>
          <w:u w:val="single" w:color="auto"/>
          <w:color w:val="auto"/>
        </w:rPr>
        <w:t>Description</w:t>
      </w:r>
    </w:p>
    <w:p>
      <w:pPr>
        <w:spacing w:after="0" w:line="49" w:lineRule="exact"/>
        <w:rPr>
          <w:sz w:val="20"/>
          <w:szCs w:val="20"/>
          <w:color w:val="auto"/>
        </w:rPr>
      </w:pPr>
    </w:p>
    <w:p>
      <w:pPr>
        <w:jc w:val="both"/>
        <w:ind w:left="920" w:hanging="917"/>
        <w:spacing w:after="0" w:line="239" w:lineRule="auto"/>
        <w:tabs>
          <w:tab w:leader="none" w:pos="900" w:val="left"/>
        </w:tabs>
        <w:rPr>
          <w:rFonts w:ascii="Arial" w:cs="Arial" w:eastAsia="Arial" w:hAnsi="Arial"/>
          <w:sz w:val="18"/>
          <w:szCs w:val="18"/>
          <w:u w:val="single" w:color="auto"/>
          <w:color w:val="0000FF"/>
        </w:rPr>
      </w:pPr>
      <w:r>
        <w:rPr>
          <w:rFonts w:ascii="Arial" w:cs="Arial" w:eastAsia="Arial" w:hAnsi="Arial"/>
          <w:sz w:val="18"/>
          <w:szCs w:val="18"/>
          <w:color w:val="auto"/>
        </w:rPr>
        <w:t>4.67</w:t>
      </w:r>
      <w:r>
        <w:rPr>
          <w:sz w:val="20"/>
          <w:szCs w:val="20"/>
          <w:color w:val="auto"/>
        </w:rPr>
        <w:tab/>
      </w:r>
      <w:hyperlink r:id="rId156">
        <w:r>
          <w:rPr>
            <w:rFonts w:ascii="Arial" w:cs="Arial" w:eastAsia="Arial" w:hAnsi="Arial"/>
            <w:sz w:val="18"/>
            <w:szCs w:val="18"/>
            <w:u w:val="single" w:color="auto"/>
            <w:color w:val="0000FF"/>
          </w:rPr>
          <w:t>Amended and Restated Guarantee, dated as of March 31, 2014, from American Airlines Group Inc. (as successor in interest to US</w:t>
        </w:r>
      </w:hyperlink>
      <w:r>
        <w:rPr>
          <w:rFonts w:ascii="Arial" w:cs="Arial" w:eastAsia="Arial" w:hAnsi="Arial"/>
          <w:sz w:val="18"/>
          <w:szCs w:val="18"/>
          <w:u w:val="single" w:color="auto"/>
          <w:color w:val="0000FF"/>
        </w:rPr>
        <w:t xml:space="preserve"> </w:t>
      </w:r>
      <w:hyperlink r:id="rId156">
        <w:r>
          <w:rPr>
            <w:rFonts w:ascii="Arial" w:cs="Arial" w:eastAsia="Arial" w:hAnsi="Arial"/>
            <w:sz w:val="18"/>
            <w:szCs w:val="18"/>
            <w:u w:val="single" w:color="auto"/>
            <w:color w:val="0000FF"/>
          </w:rPr>
          <w:t>Airways Group, Inc.) relating to obligations of US Airways under the equipment notes relating to its Series 2011-1 Pass Through</w:t>
        </w:r>
      </w:hyperlink>
      <w:r>
        <w:rPr>
          <w:rFonts w:ascii="Arial" w:cs="Arial" w:eastAsia="Arial" w:hAnsi="Arial"/>
          <w:sz w:val="18"/>
          <w:szCs w:val="18"/>
          <w:u w:val="single" w:color="auto"/>
          <w:color w:val="0000FF"/>
        </w:rPr>
        <w:t xml:space="preserve"> </w:t>
      </w:r>
      <w:hyperlink r:id="rId156">
        <w:r>
          <w:rPr>
            <w:rFonts w:ascii="Arial" w:cs="Arial" w:eastAsia="Arial" w:hAnsi="Arial"/>
            <w:sz w:val="18"/>
            <w:szCs w:val="18"/>
            <w:u w:val="single" w:color="auto"/>
            <w:color w:val="0000FF"/>
          </w:rPr>
          <w:t>Certificates (incorporated by reference to Exhibit 10.2 to AAG’s Quarterly Report on Form 10-Q for the quarter ended March 31,</w:t>
        </w:r>
      </w:hyperlink>
      <w:r>
        <w:rPr>
          <w:rFonts w:ascii="Arial" w:cs="Arial" w:eastAsia="Arial" w:hAnsi="Arial"/>
          <w:sz w:val="18"/>
          <w:szCs w:val="18"/>
          <w:u w:val="single" w:color="auto"/>
          <w:color w:val="0000FF"/>
        </w:rPr>
        <w:t xml:space="preserve"> </w:t>
      </w:r>
      <w:hyperlink r:id="rId156">
        <w:r>
          <w:rPr>
            <w:rFonts w:ascii="Arial" w:cs="Arial" w:eastAsia="Arial" w:hAnsi="Arial"/>
            <w:sz w:val="18"/>
            <w:szCs w:val="18"/>
            <w:u w:val="single" w:color="auto"/>
            <w:color w:val="0000FF"/>
          </w:rPr>
          <w:t>2014 (Commission File No. 1-8400)).</w:t>
        </w:r>
      </w:hyperlink>
    </w:p>
    <w:p>
      <w:pPr>
        <w:spacing w:after="0" w:line="40" w:lineRule="exact"/>
        <w:rPr>
          <w:rFonts w:ascii="Arial" w:cs="Arial" w:eastAsia="Arial" w:hAnsi="Arial"/>
          <w:sz w:val="18"/>
          <w:szCs w:val="18"/>
          <w:u w:val="single" w:color="auto"/>
          <w:color w:val="0000FF"/>
        </w:rPr>
      </w:pPr>
    </w:p>
    <w:p>
      <w:pPr>
        <w:jc w:val="both"/>
        <w:ind w:left="920" w:hanging="917"/>
        <w:spacing w:after="0"/>
        <w:tabs>
          <w:tab w:leader="none" w:pos="900" w:val="left"/>
        </w:tabs>
        <w:rPr>
          <w:rFonts w:ascii="Arial" w:cs="Arial" w:eastAsia="Arial" w:hAnsi="Arial"/>
          <w:sz w:val="18"/>
          <w:szCs w:val="18"/>
          <w:u w:val="single" w:color="auto"/>
          <w:color w:val="0000FF"/>
        </w:rPr>
      </w:pPr>
      <w:r>
        <w:rPr>
          <w:rFonts w:ascii="Arial" w:cs="Arial" w:eastAsia="Arial" w:hAnsi="Arial"/>
          <w:sz w:val="18"/>
          <w:szCs w:val="18"/>
          <w:color w:val="auto"/>
        </w:rPr>
        <w:t>4.68</w:t>
      </w:r>
      <w:r>
        <w:rPr>
          <w:sz w:val="20"/>
          <w:szCs w:val="20"/>
          <w:color w:val="auto"/>
        </w:rPr>
        <w:tab/>
      </w:r>
      <w:hyperlink r:id="rId157">
        <w:r>
          <w:rPr>
            <w:rFonts w:ascii="Arial" w:cs="Arial" w:eastAsia="Arial" w:hAnsi="Arial"/>
            <w:sz w:val="18"/>
            <w:szCs w:val="18"/>
            <w:u w:val="single" w:color="auto"/>
            <w:color w:val="0000FF"/>
          </w:rPr>
          <w:t>Form of Participation Agreement (Participation Agreement between American Airlines, Inc. (as successor in interest to US Airways,</w:t>
        </w:r>
      </w:hyperlink>
      <w:r>
        <w:rPr>
          <w:rFonts w:ascii="Arial" w:cs="Arial" w:eastAsia="Arial" w:hAnsi="Arial"/>
          <w:sz w:val="18"/>
          <w:szCs w:val="18"/>
          <w:u w:val="single" w:color="auto"/>
          <w:color w:val="0000FF"/>
        </w:rPr>
        <w:t xml:space="preserve"> </w:t>
      </w:r>
      <w:hyperlink r:id="rId157">
        <w:r>
          <w:rPr>
            <w:rFonts w:ascii="Arial" w:cs="Arial" w:eastAsia="Arial" w:hAnsi="Arial"/>
            <w:sz w:val="18"/>
            <w:szCs w:val="18"/>
            <w:u w:val="single" w:color="auto"/>
            <w:color w:val="0000FF"/>
          </w:rPr>
          <w:t>Inc.), as Owner, and Wilmington Trust Company, as Indenture Trustee and Subordination Agent) (incorporated by reference to</w:t>
        </w:r>
      </w:hyperlink>
      <w:r>
        <w:rPr>
          <w:rFonts w:ascii="Arial" w:cs="Arial" w:eastAsia="Arial" w:hAnsi="Arial"/>
          <w:sz w:val="18"/>
          <w:szCs w:val="18"/>
          <w:u w:val="single" w:color="auto"/>
          <w:color w:val="0000FF"/>
        </w:rPr>
        <w:t xml:space="preserve"> </w:t>
      </w:r>
      <w:hyperlink r:id="rId157">
        <w:r>
          <w:rPr>
            <w:rFonts w:ascii="Arial" w:cs="Arial" w:eastAsia="Arial" w:hAnsi="Arial"/>
            <w:sz w:val="18"/>
            <w:szCs w:val="18"/>
            <w:u w:val="single" w:color="auto"/>
            <w:color w:val="0000FF"/>
          </w:rPr>
          <w:t>Exhibit 4.18 to US Airways Group’s Current Report on Form 8-K filed on May 16, 2012 (Commission File No. 1-08444)).</w:t>
        </w:r>
      </w:hyperlink>
    </w:p>
    <w:p>
      <w:pPr>
        <w:spacing w:after="0" w:line="41" w:lineRule="exact"/>
        <w:rPr>
          <w:rFonts w:ascii="Arial" w:cs="Arial" w:eastAsia="Arial" w:hAnsi="Arial"/>
          <w:sz w:val="18"/>
          <w:szCs w:val="18"/>
          <w:u w:val="single" w:color="auto"/>
          <w:color w:val="0000FF"/>
        </w:rPr>
      </w:pPr>
    </w:p>
    <w:p>
      <w:pPr>
        <w:jc w:val="both"/>
        <w:ind w:left="920" w:hanging="917"/>
        <w:spacing w:after="0"/>
        <w:tabs>
          <w:tab w:leader="none" w:pos="900" w:val="left"/>
        </w:tabs>
        <w:rPr>
          <w:rFonts w:ascii="Arial" w:cs="Arial" w:eastAsia="Arial" w:hAnsi="Arial"/>
          <w:sz w:val="18"/>
          <w:szCs w:val="18"/>
          <w:u w:val="single" w:color="auto"/>
          <w:color w:val="0000FF"/>
        </w:rPr>
      </w:pPr>
      <w:r>
        <w:rPr>
          <w:rFonts w:ascii="Arial" w:cs="Arial" w:eastAsia="Arial" w:hAnsi="Arial"/>
          <w:sz w:val="18"/>
          <w:szCs w:val="18"/>
          <w:color w:val="auto"/>
        </w:rPr>
        <w:t>4.69</w:t>
      </w:r>
      <w:r>
        <w:rPr>
          <w:sz w:val="20"/>
          <w:szCs w:val="20"/>
          <w:color w:val="auto"/>
        </w:rPr>
        <w:tab/>
      </w:r>
      <w:hyperlink r:id="rId158">
        <w:r>
          <w:rPr>
            <w:rFonts w:ascii="Arial" w:cs="Arial" w:eastAsia="Arial" w:hAnsi="Arial"/>
            <w:sz w:val="18"/>
            <w:szCs w:val="18"/>
            <w:u w:val="single" w:color="auto"/>
            <w:color w:val="0000FF"/>
          </w:rPr>
          <w:t>Form of Indenture (Trust Indenture and Security Agreement between American Airlines, Inc. (as successor in interest to US</w:t>
        </w:r>
      </w:hyperlink>
      <w:r>
        <w:rPr>
          <w:rFonts w:ascii="Arial" w:cs="Arial" w:eastAsia="Arial" w:hAnsi="Arial"/>
          <w:sz w:val="18"/>
          <w:szCs w:val="18"/>
          <w:u w:val="single" w:color="auto"/>
          <w:color w:val="0000FF"/>
        </w:rPr>
        <w:t xml:space="preserve"> </w:t>
      </w:r>
      <w:hyperlink r:id="rId158">
        <w:r>
          <w:rPr>
            <w:rFonts w:ascii="Arial" w:cs="Arial" w:eastAsia="Arial" w:hAnsi="Arial"/>
            <w:sz w:val="18"/>
            <w:szCs w:val="18"/>
            <w:u w:val="single" w:color="auto"/>
            <w:color w:val="0000FF"/>
          </w:rPr>
          <w:t>Airways, Inc.), as Owner, and Wilmington Trust Company, as Indenture Trustee) (incorporated by reference to Exhibit 4.19 to US</w:t>
        </w:r>
      </w:hyperlink>
      <w:r>
        <w:rPr>
          <w:rFonts w:ascii="Arial" w:cs="Arial" w:eastAsia="Arial" w:hAnsi="Arial"/>
          <w:sz w:val="18"/>
          <w:szCs w:val="18"/>
          <w:u w:val="single" w:color="auto"/>
          <w:color w:val="0000FF"/>
        </w:rPr>
        <w:t xml:space="preserve"> </w:t>
      </w:r>
      <w:hyperlink r:id="rId158">
        <w:r>
          <w:rPr>
            <w:rFonts w:ascii="Arial" w:cs="Arial" w:eastAsia="Arial" w:hAnsi="Arial"/>
            <w:sz w:val="18"/>
            <w:szCs w:val="18"/>
            <w:u w:val="single" w:color="auto"/>
            <w:color w:val="0000FF"/>
          </w:rPr>
          <w:t>Airways Group’s Current Report on Form 8-K filed on May 16, 2012 (Commission File No. 1-08444)).</w:t>
        </w:r>
      </w:hyperlink>
    </w:p>
    <w:p>
      <w:pPr>
        <w:spacing w:after="0" w:line="41" w:lineRule="exact"/>
        <w:rPr>
          <w:rFonts w:ascii="Arial" w:cs="Arial" w:eastAsia="Arial" w:hAnsi="Arial"/>
          <w:sz w:val="18"/>
          <w:szCs w:val="18"/>
          <w:u w:val="single" w:color="auto"/>
          <w:color w:val="0000FF"/>
        </w:rPr>
      </w:pPr>
    </w:p>
    <w:p>
      <w:pPr>
        <w:jc w:val="both"/>
        <w:ind w:left="920" w:hanging="917"/>
        <w:spacing w:after="0" w:line="239" w:lineRule="auto"/>
        <w:tabs>
          <w:tab w:leader="none" w:pos="900" w:val="left"/>
        </w:tabs>
        <w:rPr>
          <w:rFonts w:ascii="Arial" w:cs="Arial" w:eastAsia="Arial" w:hAnsi="Arial"/>
          <w:sz w:val="18"/>
          <w:szCs w:val="18"/>
          <w:u w:val="single" w:color="auto"/>
          <w:color w:val="0000FF"/>
        </w:rPr>
      </w:pPr>
      <w:r>
        <w:rPr>
          <w:rFonts w:ascii="Arial" w:cs="Arial" w:eastAsia="Arial" w:hAnsi="Arial"/>
          <w:sz w:val="18"/>
          <w:szCs w:val="18"/>
          <w:color w:val="auto"/>
        </w:rPr>
        <w:t>4.70</w:t>
      </w:r>
      <w:r>
        <w:rPr>
          <w:sz w:val="20"/>
          <w:szCs w:val="20"/>
          <w:color w:val="auto"/>
        </w:rPr>
        <w:tab/>
      </w:r>
      <w:hyperlink r:id="rId159">
        <w:r>
          <w:rPr>
            <w:rFonts w:ascii="Arial" w:cs="Arial" w:eastAsia="Arial" w:hAnsi="Arial"/>
            <w:sz w:val="18"/>
            <w:szCs w:val="18"/>
            <w:u w:val="single" w:color="auto"/>
            <w:color w:val="0000FF"/>
          </w:rPr>
          <w:t>Amended and Restated Guarantee, dated as of March 31, 2014, from American Airlines Group Inc. (as successor in interest to US</w:t>
        </w:r>
      </w:hyperlink>
      <w:r>
        <w:rPr>
          <w:rFonts w:ascii="Arial" w:cs="Arial" w:eastAsia="Arial" w:hAnsi="Arial"/>
          <w:sz w:val="18"/>
          <w:szCs w:val="18"/>
          <w:u w:val="single" w:color="auto"/>
          <w:color w:val="0000FF"/>
        </w:rPr>
        <w:t xml:space="preserve"> </w:t>
      </w:r>
      <w:hyperlink r:id="rId159">
        <w:r>
          <w:rPr>
            <w:rFonts w:ascii="Arial" w:cs="Arial" w:eastAsia="Arial" w:hAnsi="Arial"/>
            <w:sz w:val="18"/>
            <w:szCs w:val="18"/>
            <w:u w:val="single" w:color="auto"/>
            <w:color w:val="0000FF"/>
          </w:rPr>
          <w:t>Airways Group, Inc.) relating to obligations of US Airways under the equipment notes relating to its Series 2012-1 Pass Through</w:t>
        </w:r>
      </w:hyperlink>
      <w:r>
        <w:rPr>
          <w:rFonts w:ascii="Arial" w:cs="Arial" w:eastAsia="Arial" w:hAnsi="Arial"/>
          <w:sz w:val="18"/>
          <w:szCs w:val="18"/>
          <w:u w:val="single" w:color="auto"/>
          <w:color w:val="0000FF"/>
        </w:rPr>
        <w:t xml:space="preserve"> </w:t>
      </w:r>
      <w:hyperlink r:id="rId159">
        <w:r>
          <w:rPr>
            <w:rFonts w:ascii="Arial" w:cs="Arial" w:eastAsia="Arial" w:hAnsi="Arial"/>
            <w:sz w:val="18"/>
            <w:szCs w:val="18"/>
            <w:u w:val="single" w:color="auto"/>
            <w:color w:val="0000FF"/>
          </w:rPr>
          <w:t>Certificates (incorporated by reference to Exhibit 10.3 to AAG’s Quarterly Report on Form 10-Q for the quarter ended March 31,</w:t>
        </w:r>
      </w:hyperlink>
      <w:r>
        <w:rPr>
          <w:rFonts w:ascii="Arial" w:cs="Arial" w:eastAsia="Arial" w:hAnsi="Arial"/>
          <w:sz w:val="18"/>
          <w:szCs w:val="18"/>
          <w:u w:val="single" w:color="auto"/>
          <w:color w:val="0000FF"/>
        </w:rPr>
        <w:t xml:space="preserve"> </w:t>
      </w:r>
      <w:hyperlink r:id="rId159">
        <w:r>
          <w:rPr>
            <w:rFonts w:ascii="Arial" w:cs="Arial" w:eastAsia="Arial" w:hAnsi="Arial"/>
            <w:sz w:val="18"/>
            <w:szCs w:val="18"/>
            <w:u w:val="single" w:color="auto"/>
            <w:color w:val="0000FF"/>
          </w:rPr>
          <w:t>2014 (Commission File No. 1-8400)).</w:t>
        </w:r>
      </w:hyperlink>
    </w:p>
    <w:p>
      <w:pPr>
        <w:spacing w:after="0" w:line="40" w:lineRule="exact"/>
        <w:rPr>
          <w:rFonts w:ascii="Arial" w:cs="Arial" w:eastAsia="Arial" w:hAnsi="Arial"/>
          <w:sz w:val="18"/>
          <w:szCs w:val="18"/>
          <w:u w:val="single" w:color="auto"/>
          <w:color w:val="0000FF"/>
        </w:rPr>
      </w:pPr>
    </w:p>
    <w:p>
      <w:pPr>
        <w:jc w:val="both"/>
        <w:ind w:left="920" w:hanging="917"/>
        <w:spacing w:after="0" w:line="239" w:lineRule="auto"/>
        <w:tabs>
          <w:tab w:leader="none" w:pos="900" w:val="left"/>
        </w:tabs>
        <w:rPr>
          <w:rFonts w:ascii="Arial" w:cs="Arial" w:eastAsia="Arial" w:hAnsi="Arial"/>
          <w:sz w:val="18"/>
          <w:szCs w:val="18"/>
          <w:u w:val="single" w:color="auto"/>
          <w:color w:val="0000FF"/>
        </w:rPr>
      </w:pPr>
      <w:r>
        <w:rPr>
          <w:rFonts w:ascii="Arial" w:cs="Arial" w:eastAsia="Arial" w:hAnsi="Arial"/>
          <w:sz w:val="18"/>
          <w:szCs w:val="18"/>
          <w:color w:val="auto"/>
        </w:rPr>
        <w:t>4.71</w:t>
      </w:r>
      <w:r>
        <w:rPr>
          <w:sz w:val="20"/>
          <w:szCs w:val="20"/>
          <w:color w:val="auto"/>
        </w:rPr>
        <w:tab/>
      </w:r>
      <w:hyperlink r:id="rId160">
        <w:r>
          <w:rPr>
            <w:rFonts w:ascii="Arial" w:cs="Arial" w:eastAsia="Arial" w:hAnsi="Arial"/>
            <w:sz w:val="18"/>
            <w:szCs w:val="18"/>
            <w:u w:val="single" w:color="auto"/>
            <w:color w:val="0000FF"/>
          </w:rPr>
          <w:t>Form of Participation Agreement (Participation Agreement between American Airlines, Inc. (as successor in interest to US Airways,</w:t>
        </w:r>
      </w:hyperlink>
      <w:r>
        <w:rPr>
          <w:rFonts w:ascii="Arial" w:cs="Arial" w:eastAsia="Arial" w:hAnsi="Arial"/>
          <w:sz w:val="18"/>
          <w:szCs w:val="18"/>
          <w:u w:val="single" w:color="auto"/>
          <w:color w:val="0000FF"/>
        </w:rPr>
        <w:t xml:space="preserve"> </w:t>
      </w:r>
      <w:hyperlink r:id="rId160">
        <w:r>
          <w:rPr>
            <w:rFonts w:ascii="Arial" w:cs="Arial" w:eastAsia="Arial" w:hAnsi="Arial"/>
            <w:sz w:val="18"/>
            <w:szCs w:val="18"/>
            <w:u w:val="single" w:color="auto"/>
            <w:color w:val="0000FF"/>
          </w:rPr>
          <w:t>Inc.), as Owner, and Wilmington Trust Company, as Indenture Trustee and Subordination Agent) (incorporated by reference to</w:t>
        </w:r>
      </w:hyperlink>
      <w:r>
        <w:rPr>
          <w:rFonts w:ascii="Arial" w:cs="Arial" w:eastAsia="Arial" w:hAnsi="Arial"/>
          <w:sz w:val="18"/>
          <w:szCs w:val="18"/>
          <w:u w:val="single" w:color="auto"/>
          <w:color w:val="0000FF"/>
        </w:rPr>
        <w:t xml:space="preserve"> </w:t>
      </w:r>
      <w:hyperlink r:id="rId160">
        <w:r>
          <w:rPr>
            <w:rFonts w:ascii="Arial" w:cs="Arial" w:eastAsia="Arial" w:hAnsi="Arial"/>
            <w:sz w:val="18"/>
            <w:szCs w:val="18"/>
            <w:u w:val="single" w:color="auto"/>
            <w:color w:val="0000FF"/>
          </w:rPr>
          <w:t>Exhibit B to Exhibit 4.12 to US Airways Group’s Current Report on Form 8-K filed on December 13, 2012 (Commission File No. 1-</w:t>
        </w:r>
      </w:hyperlink>
      <w:hyperlink r:id="rId160">
        <w:r>
          <w:rPr>
            <w:rFonts w:ascii="Arial" w:cs="Arial" w:eastAsia="Arial" w:hAnsi="Arial"/>
            <w:sz w:val="18"/>
            <w:szCs w:val="18"/>
            <w:u w:val="single" w:color="auto"/>
            <w:color w:val="0000FF"/>
          </w:rPr>
          <w:t>08444)).</w:t>
        </w:r>
      </w:hyperlink>
    </w:p>
    <w:p>
      <w:pPr>
        <w:spacing w:after="0" w:line="40" w:lineRule="exact"/>
        <w:rPr>
          <w:rFonts w:ascii="Arial" w:cs="Arial" w:eastAsia="Arial" w:hAnsi="Arial"/>
          <w:sz w:val="18"/>
          <w:szCs w:val="18"/>
          <w:u w:val="single" w:color="auto"/>
          <w:color w:val="0000FF"/>
        </w:rPr>
      </w:pPr>
    </w:p>
    <w:p>
      <w:pPr>
        <w:jc w:val="both"/>
        <w:ind w:left="920" w:hanging="917"/>
        <w:spacing w:after="0"/>
        <w:tabs>
          <w:tab w:leader="none" w:pos="900" w:val="left"/>
        </w:tabs>
        <w:rPr>
          <w:rFonts w:ascii="Arial" w:cs="Arial" w:eastAsia="Arial" w:hAnsi="Arial"/>
          <w:sz w:val="18"/>
          <w:szCs w:val="18"/>
          <w:u w:val="single" w:color="auto"/>
          <w:color w:val="0000FF"/>
        </w:rPr>
      </w:pPr>
      <w:r>
        <w:rPr>
          <w:rFonts w:ascii="Arial" w:cs="Arial" w:eastAsia="Arial" w:hAnsi="Arial"/>
          <w:sz w:val="18"/>
          <w:szCs w:val="18"/>
          <w:color w:val="auto"/>
        </w:rPr>
        <w:t>4.72</w:t>
      </w:r>
      <w:r>
        <w:rPr>
          <w:sz w:val="20"/>
          <w:szCs w:val="20"/>
          <w:color w:val="auto"/>
        </w:rPr>
        <w:tab/>
      </w:r>
      <w:hyperlink r:id="rId160">
        <w:r>
          <w:rPr>
            <w:rFonts w:ascii="Arial" w:cs="Arial" w:eastAsia="Arial" w:hAnsi="Arial"/>
            <w:sz w:val="18"/>
            <w:szCs w:val="18"/>
            <w:u w:val="single" w:color="auto"/>
            <w:color w:val="0000FF"/>
          </w:rPr>
          <w:t>Form of Indenture (Trust Indenture and Security Agreement between American Airlines, Inc. (as successor in interest to US</w:t>
        </w:r>
      </w:hyperlink>
      <w:r>
        <w:rPr>
          <w:rFonts w:ascii="Arial" w:cs="Arial" w:eastAsia="Arial" w:hAnsi="Arial"/>
          <w:sz w:val="18"/>
          <w:szCs w:val="18"/>
          <w:u w:val="single" w:color="auto"/>
          <w:color w:val="0000FF"/>
        </w:rPr>
        <w:t xml:space="preserve"> </w:t>
      </w:r>
      <w:hyperlink r:id="rId160">
        <w:r>
          <w:rPr>
            <w:rFonts w:ascii="Arial" w:cs="Arial" w:eastAsia="Arial" w:hAnsi="Arial"/>
            <w:sz w:val="18"/>
            <w:szCs w:val="18"/>
            <w:u w:val="single" w:color="auto"/>
            <w:color w:val="0000FF"/>
          </w:rPr>
          <w:t>Airways, Inc.), as Owner, and Wilmington Trust Company, as Indenture Trustee) (incorporated by reference to Exhibit C to Exhibit</w:t>
        </w:r>
      </w:hyperlink>
      <w:r>
        <w:rPr>
          <w:rFonts w:ascii="Arial" w:cs="Arial" w:eastAsia="Arial" w:hAnsi="Arial"/>
          <w:sz w:val="18"/>
          <w:szCs w:val="18"/>
          <w:u w:val="single" w:color="auto"/>
          <w:color w:val="0000FF"/>
        </w:rPr>
        <w:t xml:space="preserve"> </w:t>
      </w:r>
      <w:hyperlink r:id="rId160">
        <w:r>
          <w:rPr>
            <w:rFonts w:ascii="Arial" w:cs="Arial" w:eastAsia="Arial" w:hAnsi="Arial"/>
            <w:sz w:val="18"/>
            <w:szCs w:val="18"/>
            <w:u w:val="single" w:color="auto"/>
            <w:color w:val="0000FF"/>
          </w:rPr>
          <w:t>4.12 to US Airways Group’s Current Report on Form 8-K filed on December 13, 2012 (Commission File No. 1-08444)).</w:t>
        </w:r>
      </w:hyperlink>
    </w:p>
    <w:p>
      <w:pPr>
        <w:spacing w:after="0" w:line="41" w:lineRule="exact"/>
        <w:rPr>
          <w:rFonts w:ascii="Arial" w:cs="Arial" w:eastAsia="Arial" w:hAnsi="Arial"/>
          <w:sz w:val="18"/>
          <w:szCs w:val="18"/>
          <w:u w:val="single" w:color="auto"/>
          <w:color w:val="0000FF"/>
        </w:rPr>
      </w:pPr>
    </w:p>
    <w:p>
      <w:pPr>
        <w:jc w:val="both"/>
        <w:ind w:left="920" w:hanging="917"/>
        <w:spacing w:after="0" w:line="239" w:lineRule="auto"/>
        <w:tabs>
          <w:tab w:leader="none" w:pos="900" w:val="left"/>
        </w:tabs>
        <w:rPr>
          <w:rFonts w:ascii="Arial" w:cs="Arial" w:eastAsia="Arial" w:hAnsi="Arial"/>
          <w:sz w:val="18"/>
          <w:szCs w:val="18"/>
          <w:u w:val="single" w:color="auto"/>
          <w:color w:val="0000FF"/>
        </w:rPr>
      </w:pPr>
      <w:r>
        <w:rPr>
          <w:rFonts w:ascii="Arial" w:cs="Arial" w:eastAsia="Arial" w:hAnsi="Arial"/>
          <w:sz w:val="18"/>
          <w:szCs w:val="18"/>
          <w:color w:val="auto"/>
        </w:rPr>
        <w:t>4.73</w:t>
      </w:r>
      <w:r>
        <w:rPr>
          <w:sz w:val="20"/>
          <w:szCs w:val="20"/>
          <w:color w:val="auto"/>
        </w:rPr>
        <w:tab/>
      </w:r>
      <w:hyperlink r:id="rId161">
        <w:r>
          <w:rPr>
            <w:rFonts w:ascii="Arial" w:cs="Arial" w:eastAsia="Arial" w:hAnsi="Arial"/>
            <w:sz w:val="18"/>
            <w:szCs w:val="18"/>
            <w:u w:val="single" w:color="auto"/>
            <w:color w:val="0000FF"/>
          </w:rPr>
          <w:t>Amended and Restated Guarantee, dated as of March 31, 2014, from American Airlines Group Inc. (as successor in interest to US</w:t>
        </w:r>
      </w:hyperlink>
      <w:r>
        <w:rPr>
          <w:rFonts w:ascii="Arial" w:cs="Arial" w:eastAsia="Arial" w:hAnsi="Arial"/>
          <w:sz w:val="18"/>
          <w:szCs w:val="18"/>
          <w:u w:val="single" w:color="auto"/>
          <w:color w:val="0000FF"/>
        </w:rPr>
        <w:t xml:space="preserve"> </w:t>
      </w:r>
      <w:hyperlink r:id="rId161">
        <w:r>
          <w:rPr>
            <w:rFonts w:ascii="Arial" w:cs="Arial" w:eastAsia="Arial" w:hAnsi="Arial"/>
            <w:sz w:val="18"/>
            <w:szCs w:val="18"/>
            <w:u w:val="single" w:color="auto"/>
            <w:color w:val="0000FF"/>
          </w:rPr>
          <w:t>Airways Group, Inc.) relating to obligations of US Airways under the equipment notes relating to its Series 2012-2 Pass Through</w:t>
        </w:r>
      </w:hyperlink>
      <w:r>
        <w:rPr>
          <w:rFonts w:ascii="Arial" w:cs="Arial" w:eastAsia="Arial" w:hAnsi="Arial"/>
          <w:sz w:val="18"/>
          <w:szCs w:val="18"/>
          <w:u w:val="single" w:color="auto"/>
          <w:color w:val="0000FF"/>
        </w:rPr>
        <w:t xml:space="preserve"> </w:t>
      </w:r>
      <w:hyperlink r:id="rId161">
        <w:r>
          <w:rPr>
            <w:rFonts w:ascii="Arial" w:cs="Arial" w:eastAsia="Arial" w:hAnsi="Arial"/>
            <w:sz w:val="18"/>
            <w:szCs w:val="18"/>
            <w:u w:val="single" w:color="auto"/>
            <w:color w:val="0000FF"/>
          </w:rPr>
          <w:t>Certificates (incorporated by reference to Exhibit 10.4 to AAG’s Quarterly Report on Form 10-Q for the quarter ended March 31,</w:t>
        </w:r>
      </w:hyperlink>
      <w:r>
        <w:rPr>
          <w:rFonts w:ascii="Arial" w:cs="Arial" w:eastAsia="Arial" w:hAnsi="Arial"/>
          <w:sz w:val="18"/>
          <w:szCs w:val="18"/>
          <w:u w:val="single" w:color="auto"/>
          <w:color w:val="0000FF"/>
        </w:rPr>
        <w:t xml:space="preserve"> </w:t>
      </w:r>
      <w:hyperlink r:id="rId161">
        <w:r>
          <w:rPr>
            <w:rFonts w:ascii="Arial" w:cs="Arial" w:eastAsia="Arial" w:hAnsi="Arial"/>
            <w:sz w:val="18"/>
            <w:szCs w:val="18"/>
            <w:u w:val="single" w:color="auto"/>
            <w:color w:val="0000FF"/>
          </w:rPr>
          <w:t>2014 (Commission File No. 1-8400)).</w:t>
        </w:r>
      </w:hyperlink>
    </w:p>
    <w:p>
      <w:pPr>
        <w:spacing w:after="0" w:line="40" w:lineRule="exact"/>
        <w:rPr>
          <w:rFonts w:ascii="Arial" w:cs="Arial" w:eastAsia="Arial" w:hAnsi="Arial"/>
          <w:sz w:val="18"/>
          <w:szCs w:val="18"/>
          <w:u w:val="single" w:color="auto"/>
          <w:color w:val="0000FF"/>
        </w:rPr>
      </w:pPr>
    </w:p>
    <w:p>
      <w:pPr>
        <w:jc w:val="both"/>
        <w:ind w:left="920" w:hanging="917"/>
        <w:spacing w:after="0" w:line="237" w:lineRule="auto"/>
        <w:tabs>
          <w:tab w:leader="none" w:pos="900" w:val="left"/>
        </w:tabs>
        <w:rPr>
          <w:rFonts w:ascii="Arial" w:cs="Arial" w:eastAsia="Arial" w:hAnsi="Arial"/>
          <w:sz w:val="18"/>
          <w:szCs w:val="18"/>
          <w:u w:val="single" w:color="auto"/>
          <w:color w:val="0000FF"/>
        </w:rPr>
      </w:pPr>
      <w:r>
        <w:rPr>
          <w:rFonts w:ascii="Arial" w:cs="Arial" w:eastAsia="Arial" w:hAnsi="Arial"/>
          <w:sz w:val="18"/>
          <w:szCs w:val="18"/>
          <w:color w:val="auto"/>
        </w:rPr>
        <w:t>4.74</w:t>
      </w:r>
      <w:r>
        <w:rPr>
          <w:sz w:val="20"/>
          <w:szCs w:val="20"/>
          <w:color w:val="auto"/>
        </w:rPr>
        <w:tab/>
      </w:r>
      <w:hyperlink r:id="rId162">
        <w:r>
          <w:rPr>
            <w:rFonts w:ascii="Arial" w:cs="Arial" w:eastAsia="Arial" w:hAnsi="Arial"/>
            <w:sz w:val="18"/>
            <w:szCs w:val="18"/>
            <w:u w:val="single" w:color="auto"/>
            <w:color w:val="0000FF"/>
          </w:rPr>
          <w:t>Form of Assumption Agreement, dated as of December 30, 2015, by American Airlines, Inc. for the benefit of Wilmington Trust</w:t>
        </w:r>
      </w:hyperlink>
      <w:r>
        <w:rPr>
          <w:rFonts w:ascii="Arial" w:cs="Arial" w:eastAsia="Arial" w:hAnsi="Arial"/>
          <w:sz w:val="18"/>
          <w:szCs w:val="18"/>
          <w:u w:val="single" w:color="auto"/>
          <w:color w:val="0000FF"/>
        </w:rPr>
        <w:t xml:space="preserve"> </w:t>
      </w:r>
      <w:hyperlink r:id="rId162">
        <w:r>
          <w:rPr>
            <w:rFonts w:ascii="Arial" w:cs="Arial" w:eastAsia="Arial" w:hAnsi="Arial"/>
            <w:sz w:val="18"/>
            <w:szCs w:val="18"/>
            <w:u w:val="single" w:color="auto"/>
            <w:color w:val="0000FF"/>
          </w:rPr>
          <w:t>Company, as Indenture Trustee, to (i) each Participation Agreement between, among others, American Airlines, Inc. (as successor</w:t>
        </w:r>
      </w:hyperlink>
      <w:r>
        <w:rPr>
          <w:rFonts w:ascii="Arial" w:cs="Arial" w:eastAsia="Arial" w:hAnsi="Arial"/>
          <w:sz w:val="18"/>
          <w:szCs w:val="18"/>
          <w:u w:val="single" w:color="auto"/>
          <w:color w:val="0000FF"/>
        </w:rPr>
        <w:t xml:space="preserve"> </w:t>
      </w:r>
      <w:hyperlink r:id="rId162">
        <w:r>
          <w:rPr>
            <w:rFonts w:ascii="Arial" w:cs="Arial" w:eastAsia="Arial" w:hAnsi="Arial"/>
            <w:sz w:val="18"/>
            <w:szCs w:val="18"/>
            <w:u w:val="single" w:color="auto"/>
            <w:color w:val="0000FF"/>
          </w:rPr>
          <w:t>in interest to US Airways, Inc.) and Wilmington Trust Company, as Indenture Trustee, entered into pursuant to the 2010-1, 2011-1,</w:t>
        </w:r>
      </w:hyperlink>
      <w:r>
        <w:rPr>
          <w:rFonts w:ascii="Arial" w:cs="Arial" w:eastAsia="Arial" w:hAnsi="Arial"/>
          <w:sz w:val="18"/>
          <w:szCs w:val="18"/>
          <w:u w:val="single" w:color="auto"/>
          <w:color w:val="0000FF"/>
        </w:rPr>
        <w:t xml:space="preserve"> </w:t>
      </w:r>
      <w:hyperlink r:id="rId162">
        <w:r>
          <w:rPr>
            <w:rFonts w:ascii="Arial" w:cs="Arial" w:eastAsia="Arial" w:hAnsi="Arial"/>
            <w:sz w:val="18"/>
            <w:szCs w:val="18"/>
            <w:u w:val="single" w:color="auto"/>
            <w:color w:val="0000FF"/>
          </w:rPr>
          <w:t>2012-1, 2012-2 and 2013-1 EETC note purchase agreements and (ii) each Trust Indenture and Security Agreement, between,</w:t>
        </w:r>
      </w:hyperlink>
      <w:r>
        <w:rPr>
          <w:rFonts w:ascii="Arial" w:cs="Arial" w:eastAsia="Arial" w:hAnsi="Arial"/>
          <w:sz w:val="18"/>
          <w:szCs w:val="18"/>
          <w:u w:val="single" w:color="auto"/>
          <w:color w:val="0000FF"/>
        </w:rPr>
        <w:t xml:space="preserve"> </w:t>
      </w:r>
      <w:hyperlink r:id="rId162">
        <w:r>
          <w:rPr>
            <w:rFonts w:ascii="Arial" w:cs="Arial" w:eastAsia="Arial" w:hAnsi="Arial"/>
            <w:sz w:val="18"/>
            <w:szCs w:val="18"/>
            <w:u w:val="single" w:color="auto"/>
            <w:color w:val="0000FF"/>
          </w:rPr>
          <w:t>among others, American Airlines, Inc. (as successor in interest to US Airways, Inc.), and Wilmington Trust Company, as Indenture</w:t>
        </w:r>
      </w:hyperlink>
      <w:r>
        <w:rPr>
          <w:rFonts w:ascii="Arial" w:cs="Arial" w:eastAsia="Arial" w:hAnsi="Arial"/>
          <w:sz w:val="18"/>
          <w:szCs w:val="18"/>
          <w:u w:val="single" w:color="auto"/>
          <w:color w:val="0000FF"/>
        </w:rPr>
        <w:t xml:space="preserve"> </w:t>
      </w:r>
      <w:hyperlink r:id="rId162">
        <w:r>
          <w:rPr>
            <w:rFonts w:ascii="Arial" w:cs="Arial" w:eastAsia="Arial" w:hAnsi="Arial"/>
            <w:sz w:val="18"/>
            <w:szCs w:val="18"/>
            <w:u w:val="single" w:color="auto"/>
            <w:color w:val="0000FF"/>
          </w:rPr>
          <w:t>Trustee entered into pursuant to the 2010-1, 2011-1, 2012-1, 2012-2 and 2013-1 EETC note purchase agreements (incorporated</w:t>
        </w:r>
      </w:hyperlink>
      <w:r>
        <w:rPr>
          <w:rFonts w:ascii="Arial" w:cs="Arial" w:eastAsia="Arial" w:hAnsi="Arial"/>
          <w:sz w:val="18"/>
          <w:szCs w:val="18"/>
          <w:u w:val="single" w:color="auto"/>
          <w:color w:val="0000FF"/>
        </w:rPr>
        <w:t xml:space="preserve"> </w:t>
      </w:r>
      <w:hyperlink r:id="rId162">
        <w:r>
          <w:rPr>
            <w:rFonts w:ascii="Arial" w:cs="Arial" w:eastAsia="Arial" w:hAnsi="Arial"/>
            <w:sz w:val="18"/>
            <w:szCs w:val="18"/>
            <w:u w:val="single" w:color="auto"/>
            <w:color w:val="0000FF"/>
          </w:rPr>
          <w:t>by reference to Exhibit 10.3 to AAG’s Current Report on Form 8-K filed on December 31, 2015 (Commission File No. 1-8400)).</w:t>
        </w:r>
      </w:hyperlink>
    </w:p>
    <w:p>
      <w:pPr>
        <w:spacing w:after="0" w:line="41" w:lineRule="exact"/>
        <w:rPr>
          <w:rFonts w:ascii="Arial" w:cs="Arial" w:eastAsia="Arial" w:hAnsi="Arial"/>
          <w:sz w:val="18"/>
          <w:szCs w:val="18"/>
          <w:u w:val="single" w:color="auto"/>
          <w:color w:val="0000FF"/>
        </w:rPr>
      </w:pPr>
    </w:p>
    <w:p>
      <w:pPr>
        <w:jc w:val="both"/>
        <w:ind w:left="920" w:hanging="917"/>
        <w:spacing w:after="0"/>
        <w:tabs>
          <w:tab w:leader="none" w:pos="900" w:val="left"/>
        </w:tabs>
        <w:rPr>
          <w:rFonts w:ascii="Arial" w:cs="Arial" w:eastAsia="Arial" w:hAnsi="Arial"/>
          <w:sz w:val="18"/>
          <w:szCs w:val="18"/>
          <w:u w:val="single" w:color="auto"/>
          <w:color w:val="0000FF"/>
        </w:rPr>
      </w:pPr>
      <w:r>
        <w:rPr>
          <w:rFonts w:ascii="Arial" w:cs="Arial" w:eastAsia="Arial" w:hAnsi="Arial"/>
          <w:sz w:val="18"/>
          <w:szCs w:val="18"/>
          <w:color w:val="auto"/>
        </w:rPr>
        <w:t>4.75</w:t>
      </w:r>
      <w:r>
        <w:rPr>
          <w:sz w:val="20"/>
          <w:szCs w:val="20"/>
          <w:color w:val="auto"/>
        </w:rPr>
        <w:tab/>
      </w:r>
      <w:hyperlink r:id="rId163">
        <w:r>
          <w:rPr>
            <w:rFonts w:ascii="Arial" w:cs="Arial" w:eastAsia="Arial" w:hAnsi="Arial"/>
            <w:sz w:val="18"/>
            <w:szCs w:val="18"/>
            <w:u w:val="single" w:color="auto"/>
            <w:color w:val="0000FF"/>
          </w:rPr>
          <w:t>Trust Supplement No. 2016-1AA, dated as of January 19, 2016, between American Airlines, Inc. and Wilmington Trust Company,</w:t>
        </w:r>
      </w:hyperlink>
      <w:r>
        <w:rPr>
          <w:rFonts w:ascii="Arial" w:cs="Arial" w:eastAsia="Arial" w:hAnsi="Arial"/>
          <w:sz w:val="18"/>
          <w:szCs w:val="18"/>
          <w:u w:val="single" w:color="auto"/>
          <w:color w:val="0000FF"/>
        </w:rPr>
        <w:t xml:space="preserve"> </w:t>
      </w:r>
      <w:hyperlink r:id="rId163">
        <w:r>
          <w:rPr>
            <w:rFonts w:ascii="Arial" w:cs="Arial" w:eastAsia="Arial" w:hAnsi="Arial"/>
            <w:sz w:val="18"/>
            <w:szCs w:val="18"/>
            <w:u w:val="single" w:color="auto"/>
            <w:color w:val="0000FF"/>
          </w:rPr>
          <w:t>as Trustee, to the Pass Through Trust Agreement, dated as of September 16, 2014 (incorporated by reference to Exhibit 4.2 to</w:t>
        </w:r>
      </w:hyperlink>
      <w:r>
        <w:rPr>
          <w:rFonts w:ascii="Arial" w:cs="Arial" w:eastAsia="Arial" w:hAnsi="Arial"/>
          <w:sz w:val="18"/>
          <w:szCs w:val="18"/>
          <w:u w:val="single" w:color="auto"/>
          <w:color w:val="0000FF"/>
        </w:rPr>
        <w:t xml:space="preserve"> </w:t>
      </w:r>
      <w:hyperlink r:id="rId163">
        <w:r>
          <w:rPr>
            <w:rFonts w:ascii="Arial" w:cs="Arial" w:eastAsia="Arial" w:hAnsi="Arial"/>
            <w:sz w:val="18"/>
            <w:szCs w:val="18"/>
            <w:u w:val="single" w:color="auto"/>
            <w:color w:val="0000FF"/>
          </w:rPr>
          <w:t>American’s Current Report on Form 8-K filed on January 21, 2016 (Commission File No. 1-2691)).</w:t>
        </w:r>
      </w:hyperlink>
    </w:p>
    <w:p>
      <w:pPr>
        <w:spacing w:after="0" w:line="41" w:lineRule="exact"/>
        <w:rPr>
          <w:rFonts w:ascii="Arial" w:cs="Arial" w:eastAsia="Arial" w:hAnsi="Arial"/>
          <w:sz w:val="18"/>
          <w:szCs w:val="18"/>
          <w:u w:val="single" w:color="auto"/>
          <w:color w:val="0000FF"/>
        </w:rPr>
      </w:pPr>
    </w:p>
    <w:p>
      <w:pPr>
        <w:jc w:val="both"/>
        <w:ind w:left="920" w:right="20" w:hanging="917"/>
        <w:spacing w:after="0"/>
        <w:tabs>
          <w:tab w:leader="none" w:pos="900" w:val="left"/>
        </w:tabs>
        <w:rPr>
          <w:rFonts w:ascii="Arial" w:cs="Arial" w:eastAsia="Arial" w:hAnsi="Arial"/>
          <w:sz w:val="18"/>
          <w:szCs w:val="18"/>
          <w:u w:val="single" w:color="auto"/>
          <w:color w:val="0000FF"/>
        </w:rPr>
      </w:pPr>
      <w:r>
        <w:rPr>
          <w:rFonts w:ascii="Arial" w:cs="Arial" w:eastAsia="Arial" w:hAnsi="Arial"/>
          <w:sz w:val="18"/>
          <w:szCs w:val="18"/>
          <w:color w:val="auto"/>
        </w:rPr>
        <w:t>4.76</w:t>
      </w:r>
      <w:r>
        <w:rPr>
          <w:sz w:val="20"/>
          <w:szCs w:val="20"/>
          <w:color w:val="auto"/>
        </w:rPr>
        <w:tab/>
      </w:r>
      <w:hyperlink r:id="rId164">
        <w:r>
          <w:rPr>
            <w:rFonts w:ascii="Arial" w:cs="Arial" w:eastAsia="Arial" w:hAnsi="Arial"/>
            <w:sz w:val="18"/>
            <w:szCs w:val="18"/>
            <w:u w:val="single" w:color="auto"/>
            <w:color w:val="0000FF"/>
          </w:rPr>
          <w:t>Trust Supplement No. 2016-1A, dated as of January 19, 2016, between American Airlines, Inc. and Wilmington Trust Company, as</w:t>
        </w:r>
      </w:hyperlink>
      <w:r>
        <w:rPr>
          <w:rFonts w:ascii="Arial" w:cs="Arial" w:eastAsia="Arial" w:hAnsi="Arial"/>
          <w:sz w:val="18"/>
          <w:szCs w:val="18"/>
          <w:u w:val="single" w:color="auto"/>
          <w:color w:val="0000FF"/>
        </w:rPr>
        <w:t xml:space="preserve"> </w:t>
      </w:r>
      <w:hyperlink r:id="rId164">
        <w:r>
          <w:rPr>
            <w:rFonts w:ascii="Arial" w:cs="Arial" w:eastAsia="Arial" w:hAnsi="Arial"/>
            <w:sz w:val="18"/>
            <w:szCs w:val="18"/>
            <w:u w:val="single" w:color="auto"/>
            <w:color w:val="0000FF"/>
          </w:rPr>
          <w:t>Trustee, to the Pass Through Trust Agreement, dated as of September 16, 2014 (incorporated by reference to Exhibit 4.3 to</w:t>
        </w:r>
      </w:hyperlink>
      <w:r>
        <w:rPr>
          <w:rFonts w:ascii="Arial" w:cs="Arial" w:eastAsia="Arial" w:hAnsi="Arial"/>
          <w:sz w:val="18"/>
          <w:szCs w:val="18"/>
          <w:u w:val="single" w:color="auto"/>
          <w:color w:val="0000FF"/>
        </w:rPr>
        <w:t xml:space="preserve"> </w:t>
      </w:r>
      <w:hyperlink r:id="rId164">
        <w:r>
          <w:rPr>
            <w:rFonts w:ascii="Arial" w:cs="Arial" w:eastAsia="Arial" w:hAnsi="Arial"/>
            <w:sz w:val="18"/>
            <w:szCs w:val="18"/>
            <w:u w:val="single" w:color="auto"/>
            <w:color w:val="0000FF"/>
          </w:rPr>
          <w:t>American’s Current Report on Form 8-K filed on January 21, 2016 (Commission File No. 1-2691)).</w:t>
        </w:r>
      </w:hyperlink>
    </w:p>
    <w:p>
      <w:pPr>
        <w:spacing w:after="0" w:line="41" w:lineRule="exact"/>
        <w:rPr>
          <w:rFonts w:ascii="Arial" w:cs="Arial" w:eastAsia="Arial" w:hAnsi="Arial"/>
          <w:sz w:val="18"/>
          <w:szCs w:val="18"/>
          <w:u w:val="single" w:color="auto"/>
          <w:color w:val="0000FF"/>
        </w:rPr>
      </w:pPr>
    </w:p>
    <w:p>
      <w:pPr>
        <w:jc w:val="both"/>
        <w:ind w:left="920" w:right="20" w:hanging="917"/>
        <w:spacing w:after="0"/>
        <w:tabs>
          <w:tab w:leader="none" w:pos="900" w:val="left"/>
        </w:tabs>
        <w:rPr>
          <w:rFonts w:ascii="Arial" w:cs="Arial" w:eastAsia="Arial" w:hAnsi="Arial"/>
          <w:sz w:val="18"/>
          <w:szCs w:val="18"/>
          <w:u w:val="single" w:color="auto"/>
          <w:color w:val="0000FF"/>
        </w:rPr>
      </w:pPr>
      <w:r>
        <w:rPr>
          <w:rFonts w:ascii="Arial" w:cs="Arial" w:eastAsia="Arial" w:hAnsi="Arial"/>
          <w:sz w:val="18"/>
          <w:szCs w:val="18"/>
          <w:color w:val="auto"/>
        </w:rPr>
        <w:t>4.77</w:t>
      </w:r>
      <w:r>
        <w:rPr>
          <w:sz w:val="20"/>
          <w:szCs w:val="20"/>
          <w:color w:val="auto"/>
        </w:rPr>
        <w:tab/>
      </w:r>
      <w:hyperlink r:id="rId165">
        <w:r>
          <w:rPr>
            <w:rFonts w:ascii="Arial" w:cs="Arial" w:eastAsia="Arial" w:hAnsi="Arial"/>
            <w:sz w:val="18"/>
            <w:szCs w:val="18"/>
            <w:u w:val="single" w:color="auto"/>
            <w:color w:val="0000FF"/>
          </w:rPr>
          <w:t>Trust Supplement No. 2016-1B, dated as of January 19, 2016, between American Airlines, Inc. and Wilmington Trust Company, as</w:t>
        </w:r>
      </w:hyperlink>
      <w:r>
        <w:rPr>
          <w:rFonts w:ascii="Arial" w:cs="Arial" w:eastAsia="Arial" w:hAnsi="Arial"/>
          <w:sz w:val="18"/>
          <w:szCs w:val="18"/>
          <w:u w:val="single" w:color="auto"/>
          <w:color w:val="0000FF"/>
        </w:rPr>
        <w:t xml:space="preserve"> </w:t>
      </w:r>
      <w:hyperlink r:id="rId165">
        <w:r>
          <w:rPr>
            <w:rFonts w:ascii="Arial" w:cs="Arial" w:eastAsia="Arial" w:hAnsi="Arial"/>
            <w:sz w:val="18"/>
            <w:szCs w:val="18"/>
            <w:u w:val="single" w:color="auto"/>
            <w:color w:val="0000FF"/>
          </w:rPr>
          <w:t>Trustee, to the Pass Through Trust Agreement, dated as of September 16, 2014 (incorporated by reference to Exhibit 4.4 to</w:t>
        </w:r>
      </w:hyperlink>
      <w:r>
        <w:rPr>
          <w:rFonts w:ascii="Arial" w:cs="Arial" w:eastAsia="Arial" w:hAnsi="Arial"/>
          <w:sz w:val="18"/>
          <w:szCs w:val="18"/>
          <w:u w:val="single" w:color="auto"/>
          <w:color w:val="0000FF"/>
        </w:rPr>
        <w:t xml:space="preserve"> </w:t>
      </w:r>
      <w:hyperlink r:id="rId165">
        <w:r>
          <w:rPr>
            <w:rFonts w:ascii="Arial" w:cs="Arial" w:eastAsia="Arial" w:hAnsi="Arial"/>
            <w:sz w:val="18"/>
            <w:szCs w:val="18"/>
            <w:u w:val="single" w:color="auto"/>
            <w:color w:val="0000FF"/>
          </w:rPr>
          <w:t>American’s Current Report on Form 8-K filed on January 21, 2016 (Commission File No. 1-2691)).</w:t>
        </w:r>
      </w:hyperlink>
    </w:p>
    <w:p>
      <w:pPr>
        <w:spacing w:after="0" w:line="41" w:lineRule="exact"/>
        <w:rPr>
          <w:rFonts w:ascii="Arial" w:cs="Arial" w:eastAsia="Arial" w:hAnsi="Arial"/>
          <w:sz w:val="18"/>
          <w:szCs w:val="18"/>
          <w:u w:val="single" w:color="auto"/>
          <w:color w:val="0000FF"/>
        </w:rPr>
      </w:pPr>
    </w:p>
    <w:p>
      <w:pPr>
        <w:jc w:val="both"/>
        <w:ind w:left="920" w:right="20" w:hanging="917"/>
        <w:spacing w:after="0" w:line="238" w:lineRule="auto"/>
        <w:tabs>
          <w:tab w:leader="none" w:pos="900" w:val="left"/>
        </w:tabs>
        <w:rPr>
          <w:rFonts w:ascii="Arial" w:cs="Arial" w:eastAsia="Arial" w:hAnsi="Arial"/>
          <w:sz w:val="18"/>
          <w:szCs w:val="18"/>
          <w:u w:val="single" w:color="auto"/>
          <w:color w:val="0000FF"/>
        </w:rPr>
      </w:pPr>
      <w:r>
        <w:rPr>
          <w:rFonts w:ascii="Arial" w:cs="Arial" w:eastAsia="Arial" w:hAnsi="Arial"/>
          <w:sz w:val="18"/>
          <w:szCs w:val="18"/>
          <w:color w:val="auto"/>
        </w:rPr>
        <w:t>4.78</w:t>
      </w:r>
      <w:r>
        <w:rPr>
          <w:sz w:val="20"/>
          <w:szCs w:val="20"/>
          <w:color w:val="auto"/>
        </w:rPr>
        <w:tab/>
      </w:r>
      <w:hyperlink r:id="rId166">
        <w:r>
          <w:rPr>
            <w:rFonts w:ascii="Arial" w:cs="Arial" w:eastAsia="Arial" w:hAnsi="Arial"/>
            <w:sz w:val="18"/>
            <w:szCs w:val="18"/>
            <w:u w:val="single" w:color="auto"/>
            <w:color w:val="0000FF"/>
          </w:rPr>
          <w:t>Intercreditor Agreement (2016-1), dated as of January 19, 2016, among Wilmington Trust Company, as Trustee of the American</w:t>
        </w:r>
      </w:hyperlink>
      <w:r>
        <w:rPr>
          <w:rFonts w:ascii="Arial" w:cs="Arial" w:eastAsia="Arial" w:hAnsi="Arial"/>
          <w:sz w:val="18"/>
          <w:szCs w:val="18"/>
          <w:u w:val="single" w:color="auto"/>
          <w:color w:val="0000FF"/>
        </w:rPr>
        <w:t xml:space="preserve"> </w:t>
      </w:r>
      <w:hyperlink r:id="rId166">
        <w:r>
          <w:rPr>
            <w:rFonts w:ascii="Arial" w:cs="Arial" w:eastAsia="Arial" w:hAnsi="Arial"/>
            <w:sz w:val="18"/>
            <w:szCs w:val="18"/>
            <w:u w:val="single" w:color="auto"/>
            <w:color w:val="0000FF"/>
          </w:rPr>
          <w:t>Airlines Pass Through Trust 2016-1AA, as Trustee of the American Airlines Pass Through Trust 2016-1A and as Trustee of the</w:t>
        </w:r>
      </w:hyperlink>
      <w:r>
        <w:rPr>
          <w:rFonts w:ascii="Arial" w:cs="Arial" w:eastAsia="Arial" w:hAnsi="Arial"/>
          <w:sz w:val="18"/>
          <w:szCs w:val="18"/>
          <w:u w:val="single" w:color="auto"/>
          <w:color w:val="0000FF"/>
        </w:rPr>
        <w:t xml:space="preserve"> </w:t>
      </w:r>
      <w:hyperlink r:id="rId166">
        <w:r>
          <w:rPr>
            <w:rFonts w:ascii="Arial" w:cs="Arial" w:eastAsia="Arial" w:hAnsi="Arial"/>
            <w:sz w:val="18"/>
            <w:szCs w:val="18"/>
            <w:u w:val="single" w:color="auto"/>
            <w:color w:val="0000FF"/>
          </w:rPr>
          <w:t>American Airlines Pass Through Trust 2016-1B, KfW IPEX-Bank GmbH, as Class AA Liquidity Provider, Class A Liquidity Provider</w:t>
        </w:r>
      </w:hyperlink>
      <w:r>
        <w:rPr>
          <w:rFonts w:ascii="Arial" w:cs="Arial" w:eastAsia="Arial" w:hAnsi="Arial"/>
          <w:sz w:val="18"/>
          <w:szCs w:val="18"/>
          <w:u w:val="single" w:color="auto"/>
          <w:color w:val="0000FF"/>
        </w:rPr>
        <w:t xml:space="preserve"> </w:t>
      </w:r>
      <w:hyperlink r:id="rId166">
        <w:r>
          <w:rPr>
            <w:rFonts w:ascii="Arial" w:cs="Arial" w:eastAsia="Arial" w:hAnsi="Arial"/>
            <w:sz w:val="18"/>
            <w:szCs w:val="18"/>
            <w:u w:val="single" w:color="auto"/>
            <w:color w:val="0000FF"/>
          </w:rPr>
          <w:t>and Class B Liquidity Provider, and Wilmington Trust Company, as Subordination Agent (incorporated by reference to exhibit 4.5 to</w:t>
        </w:r>
      </w:hyperlink>
      <w:r>
        <w:rPr>
          <w:rFonts w:ascii="Arial" w:cs="Arial" w:eastAsia="Arial" w:hAnsi="Arial"/>
          <w:sz w:val="18"/>
          <w:szCs w:val="18"/>
          <w:u w:val="single" w:color="auto"/>
          <w:color w:val="0000FF"/>
        </w:rPr>
        <w:t xml:space="preserve"> </w:t>
      </w:r>
      <w:hyperlink r:id="rId166">
        <w:r>
          <w:rPr>
            <w:rFonts w:ascii="Arial" w:cs="Arial" w:eastAsia="Arial" w:hAnsi="Arial"/>
            <w:sz w:val="18"/>
            <w:szCs w:val="18"/>
            <w:u w:val="single" w:color="auto"/>
            <w:color w:val="0000FF"/>
          </w:rPr>
          <w:t>American’s Current Report on Form 8-K filed on January 21, 2016 (Commission File No. 1-2691)).</w:t>
        </w:r>
      </w:hyperlink>
    </w:p>
    <w:p>
      <w:pPr>
        <w:spacing w:after="0" w:line="41" w:lineRule="exact"/>
        <w:rPr>
          <w:rFonts w:ascii="Arial" w:cs="Arial" w:eastAsia="Arial" w:hAnsi="Arial"/>
          <w:sz w:val="18"/>
          <w:szCs w:val="18"/>
          <w:u w:val="single" w:color="auto"/>
          <w:color w:val="0000FF"/>
        </w:rPr>
      </w:pPr>
    </w:p>
    <w:p>
      <w:pPr>
        <w:jc w:val="both"/>
        <w:ind w:left="920" w:hanging="917"/>
        <w:spacing w:after="0" w:line="239" w:lineRule="auto"/>
        <w:tabs>
          <w:tab w:leader="none" w:pos="900" w:val="left"/>
        </w:tabs>
        <w:rPr>
          <w:rFonts w:ascii="Arial" w:cs="Arial" w:eastAsia="Arial" w:hAnsi="Arial"/>
          <w:sz w:val="18"/>
          <w:szCs w:val="18"/>
          <w:u w:val="single" w:color="auto"/>
          <w:color w:val="0000FF"/>
        </w:rPr>
      </w:pPr>
      <w:r>
        <w:rPr>
          <w:rFonts w:ascii="Arial" w:cs="Arial" w:eastAsia="Arial" w:hAnsi="Arial"/>
          <w:sz w:val="18"/>
          <w:szCs w:val="18"/>
          <w:color w:val="auto"/>
        </w:rPr>
        <w:t>4.79</w:t>
      </w:r>
      <w:r>
        <w:rPr>
          <w:sz w:val="20"/>
          <w:szCs w:val="20"/>
          <w:color w:val="auto"/>
        </w:rPr>
        <w:tab/>
      </w:r>
      <w:hyperlink r:id="rId167">
        <w:r>
          <w:rPr>
            <w:rFonts w:ascii="Arial" w:cs="Arial" w:eastAsia="Arial" w:hAnsi="Arial"/>
            <w:sz w:val="18"/>
            <w:szCs w:val="18"/>
            <w:u w:val="single" w:color="auto"/>
            <w:color w:val="0000FF"/>
          </w:rPr>
          <w:t>Note Purchase Agreement, dated as of January 19, 2016, among American Airlines, Inc., Wilmington Trust Company, as Pass</w:t>
        </w:r>
      </w:hyperlink>
      <w:r>
        <w:rPr>
          <w:rFonts w:ascii="Arial" w:cs="Arial" w:eastAsia="Arial" w:hAnsi="Arial"/>
          <w:sz w:val="18"/>
          <w:szCs w:val="18"/>
          <w:u w:val="single" w:color="auto"/>
          <w:color w:val="0000FF"/>
        </w:rPr>
        <w:t xml:space="preserve"> </w:t>
      </w:r>
      <w:hyperlink r:id="rId167">
        <w:r>
          <w:rPr>
            <w:rFonts w:ascii="Arial" w:cs="Arial" w:eastAsia="Arial" w:hAnsi="Arial"/>
            <w:sz w:val="18"/>
            <w:szCs w:val="18"/>
            <w:u w:val="single" w:color="auto"/>
            <w:color w:val="0000FF"/>
          </w:rPr>
          <w:t>Through Trustee under each of the Pass Through Trust Agreements, and Wilmington Trust Company, as Subordination Agent</w:t>
        </w:r>
      </w:hyperlink>
      <w:r>
        <w:rPr>
          <w:rFonts w:ascii="Arial" w:cs="Arial" w:eastAsia="Arial" w:hAnsi="Arial"/>
          <w:sz w:val="18"/>
          <w:szCs w:val="18"/>
          <w:u w:val="single" w:color="auto"/>
          <w:color w:val="0000FF"/>
        </w:rPr>
        <w:t xml:space="preserve"> </w:t>
      </w:r>
      <w:hyperlink r:id="rId167">
        <w:r>
          <w:rPr>
            <w:rFonts w:ascii="Arial" w:cs="Arial" w:eastAsia="Arial" w:hAnsi="Arial"/>
            <w:sz w:val="18"/>
            <w:szCs w:val="18"/>
            <w:u w:val="single" w:color="auto"/>
            <w:color w:val="0000FF"/>
          </w:rPr>
          <w:t>(incorporated by reference to Exhibit 4.6 to American’s Current Report on Form 8-K filed on January 21, 2016 (Commission File</w:t>
        </w:r>
      </w:hyperlink>
      <w:r>
        <w:rPr>
          <w:rFonts w:ascii="Arial" w:cs="Arial" w:eastAsia="Arial" w:hAnsi="Arial"/>
          <w:sz w:val="18"/>
          <w:szCs w:val="18"/>
          <w:u w:val="single" w:color="auto"/>
          <w:color w:val="0000FF"/>
        </w:rPr>
        <w:t xml:space="preserve"> </w:t>
      </w:r>
      <w:hyperlink r:id="rId167">
        <w:r>
          <w:rPr>
            <w:rFonts w:ascii="Arial" w:cs="Arial" w:eastAsia="Arial" w:hAnsi="Arial"/>
            <w:sz w:val="18"/>
            <w:szCs w:val="18"/>
            <w:u w:val="single" w:color="auto"/>
            <w:color w:val="0000FF"/>
          </w:rPr>
          <w:t>No. 1-2691)).</w:t>
        </w:r>
      </w:hyperlink>
    </w:p>
    <w:p>
      <w:pPr>
        <w:spacing w:after="0" w:line="229" w:lineRule="exact"/>
        <w:rPr>
          <w:rFonts w:ascii="Arial" w:cs="Arial" w:eastAsia="Arial" w:hAnsi="Arial"/>
          <w:sz w:val="18"/>
          <w:szCs w:val="18"/>
          <w:u w:val="single" w:color="auto"/>
          <w:color w:val="0000FF"/>
        </w:rPr>
      </w:pPr>
    </w:p>
    <w:p>
      <w:pPr>
        <w:jc w:val="center"/>
        <w:spacing w:after="0"/>
        <w:rPr>
          <w:sz w:val="20"/>
          <w:szCs w:val="20"/>
          <w:color w:val="auto"/>
        </w:rPr>
      </w:pPr>
      <w:r>
        <w:rPr>
          <w:rFonts w:ascii="Arial" w:cs="Arial" w:eastAsia="Arial" w:hAnsi="Arial"/>
          <w:sz w:val="18"/>
          <w:szCs w:val="18"/>
          <w:color w:val="auto"/>
        </w:rPr>
        <w:t>169</w:t>
      </w:r>
    </w:p>
    <w:p>
      <w:pPr>
        <w:sectPr>
          <w:pgSz w:w="11900" w:h="16838" w:orient="portrait"/>
          <w:cols w:equalWidth="0" w:num="1">
            <w:col w:w="11360"/>
          </w:cols>
          <w:pgMar w:left="280" w:top="721" w:right="259" w:bottom="1440" w:gutter="0" w:footer="0" w:header="0"/>
        </w:sectPr>
      </w:pPr>
    </w:p>
    <w:bookmarkStart w:id="169" w:name="page170"/>
    <w:bookmarkEnd w:id="169"/>
    <w:p>
      <w:pPr>
        <w:spacing w:after="0"/>
        <w:rPr>
          <w:sz w:val="20"/>
          <w:szCs w:val="20"/>
          <w:color w:val="auto"/>
        </w:rPr>
      </w:pPr>
      <w:r>
        <w:rPr>
          <w:rFonts w:ascii="Arial" w:cs="Arial" w:eastAsia="Arial" w:hAnsi="Arial"/>
          <w:sz w:val="14"/>
          <w:szCs w:val="14"/>
          <w:b w:val="1"/>
          <w:bCs w:val="1"/>
          <w:color w:val="auto"/>
        </w:rPr>
        <w:t>Exhibit</w:t>
      </w:r>
    </w:p>
    <w:p>
      <w:pPr>
        <w:spacing w:after="0" w:line="19" w:lineRule="exact"/>
        <w:rPr>
          <w:sz w:val="20"/>
          <w:szCs w:val="20"/>
          <w:color w:val="auto"/>
        </w:rPr>
      </w:pPr>
    </w:p>
    <w:p>
      <w:pPr>
        <w:spacing w:after="0"/>
        <w:tabs>
          <w:tab w:leader="none" w:pos="900" w:val="left"/>
        </w:tabs>
        <w:rPr>
          <w:sz w:val="20"/>
          <w:szCs w:val="20"/>
          <w:color w:val="auto"/>
        </w:rPr>
      </w:pPr>
      <w:r>
        <w:rPr>
          <w:rFonts w:ascii="Arial" w:cs="Arial" w:eastAsia="Arial" w:hAnsi="Arial"/>
          <w:sz w:val="14"/>
          <w:szCs w:val="14"/>
          <w:b w:val="1"/>
          <w:bCs w:val="1"/>
          <w:u w:val="single" w:color="auto"/>
          <w:color w:val="auto"/>
        </w:rPr>
        <w:t>Number</w:t>
      </w:r>
      <w:r>
        <w:rPr>
          <w:sz w:val="20"/>
          <w:szCs w:val="20"/>
          <w:color w:val="auto"/>
        </w:rPr>
        <w:tab/>
      </w:r>
      <w:r>
        <w:rPr>
          <w:rFonts w:ascii="Arial" w:cs="Arial" w:eastAsia="Arial" w:hAnsi="Arial"/>
          <w:sz w:val="14"/>
          <w:szCs w:val="14"/>
          <w:b w:val="1"/>
          <w:bCs w:val="1"/>
          <w:u w:val="single" w:color="auto"/>
          <w:color w:val="auto"/>
        </w:rPr>
        <w:t>Description</w:t>
      </w:r>
    </w:p>
    <w:p>
      <w:pPr>
        <w:spacing w:after="0" w:line="49" w:lineRule="exact"/>
        <w:rPr>
          <w:sz w:val="20"/>
          <w:szCs w:val="20"/>
          <w:color w:val="auto"/>
        </w:rPr>
      </w:pPr>
    </w:p>
    <w:p>
      <w:pPr>
        <w:jc w:val="both"/>
        <w:ind w:left="920" w:right="20" w:hanging="917"/>
        <w:spacing w:after="0" w:line="238" w:lineRule="auto"/>
        <w:tabs>
          <w:tab w:leader="none" w:pos="900" w:val="left"/>
        </w:tabs>
        <w:rPr>
          <w:rFonts w:ascii="Arial" w:cs="Arial" w:eastAsia="Arial" w:hAnsi="Arial"/>
          <w:sz w:val="18"/>
          <w:szCs w:val="18"/>
          <w:u w:val="single" w:color="auto"/>
          <w:color w:val="0000FF"/>
        </w:rPr>
      </w:pPr>
      <w:r>
        <w:rPr>
          <w:rFonts w:ascii="Arial" w:cs="Arial" w:eastAsia="Arial" w:hAnsi="Arial"/>
          <w:sz w:val="18"/>
          <w:szCs w:val="18"/>
          <w:color w:val="auto"/>
        </w:rPr>
        <w:t>4.80</w:t>
      </w:r>
      <w:r>
        <w:rPr>
          <w:sz w:val="20"/>
          <w:szCs w:val="20"/>
          <w:color w:val="auto"/>
        </w:rPr>
        <w:tab/>
      </w:r>
      <w:hyperlink r:id="rId167">
        <w:r>
          <w:rPr>
            <w:rFonts w:ascii="Arial" w:cs="Arial" w:eastAsia="Arial" w:hAnsi="Arial"/>
            <w:sz w:val="18"/>
            <w:szCs w:val="18"/>
            <w:u w:val="single" w:color="auto"/>
            <w:color w:val="0000FF"/>
          </w:rPr>
          <w:t>Form of Participation Agreement (Participation Agreement among American Airlines, Inc., Wilmington Trust Company, as Pass</w:t>
        </w:r>
      </w:hyperlink>
      <w:r>
        <w:rPr>
          <w:rFonts w:ascii="Arial" w:cs="Arial" w:eastAsia="Arial" w:hAnsi="Arial"/>
          <w:sz w:val="18"/>
          <w:szCs w:val="18"/>
          <w:u w:val="single" w:color="auto"/>
          <w:color w:val="0000FF"/>
        </w:rPr>
        <w:t xml:space="preserve"> </w:t>
      </w:r>
      <w:hyperlink r:id="rId167">
        <w:r>
          <w:rPr>
            <w:rFonts w:ascii="Arial" w:cs="Arial" w:eastAsia="Arial" w:hAnsi="Arial"/>
            <w:sz w:val="18"/>
            <w:szCs w:val="18"/>
            <w:u w:val="single" w:color="auto"/>
            <w:color w:val="0000FF"/>
          </w:rPr>
          <w:t>Through Trustee under each of the Pass Through Trust Agreements, Wilmington Trust Company, as Subordination Agent,</w:t>
        </w:r>
      </w:hyperlink>
      <w:r>
        <w:rPr>
          <w:rFonts w:ascii="Arial" w:cs="Arial" w:eastAsia="Arial" w:hAnsi="Arial"/>
          <w:sz w:val="18"/>
          <w:szCs w:val="18"/>
          <w:u w:val="single" w:color="auto"/>
          <w:color w:val="0000FF"/>
        </w:rPr>
        <w:t xml:space="preserve"> </w:t>
      </w:r>
      <w:hyperlink r:id="rId167">
        <w:r>
          <w:rPr>
            <w:rFonts w:ascii="Arial" w:cs="Arial" w:eastAsia="Arial" w:hAnsi="Arial"/>
            <w:sz w:val="18"/>
            <w:szCs w:val="18"/>
            <w:u w:val="single" w:color="auto"/>
            <w:color w:val="0000FF"/>
          </w:rPr>
          <w:t>Wilmington Trust Company, as Loan Trustee, and Wilmington Trust Company, in its individual capacity as set forth therein)</w:t>
        </w:r>
      </w:hyperlink>
      <w:r>
        <w:rPr>
          <w:rFonts w:ascii="Arial" w:cs="Arial" w:eastAsia="Arial" w:hAnsi="Arial"/>
          <w:sz w:val="18"/>
          <w:szCs w:val="18"/>
          <w:u w:val="single" w:color="auto"/>
          <w:color w:val="0000FF"/>
        </w:rPr>
        <w:t xml:space="preserve"> </w:t>
      </w:r>
      <w:hyperlink r:id="rId167">
        <w:r>
          <w:rPr>
            <w:rFonts w:ascii="Arial" w:cs="Arial" w:eastAsia="Arial" w:hAnsi="Arial"/>
            <w:sz w:val="18"/>
            <w:szCs w:val="18"/>
            <w:u w:val="single" w:color="auto"/>
            <w:color w:val="0000FF"/>
          </w:rPr>
          <w:t>(incorporated by reference to Exhibit B to Exhibit 4.6 to American’s Current Report on Form 8-K filed on January 21, 2016</w:t>
        </w:r>
      </w:hyperlink>
      <w:r>
        <w:rPr>
          <w:rFonts w:ascii="Arial" w:cs="Arial" w:eastAsia="Arial" w:hAnsi="Arial"/>
          <w:sz w:val="18"/>
          <w:szCs w:val="18"/>
          <w:u w:val="single" w:color="auto"/>
          <w:color w:val="0000FF"/>
        </w:rPr>
        <w:t xml:space="preserve"> </w:t>
      </w:r>
      <w:hyperlink r:id="rId167">
        <w:r>
          <w:rPr>
            <w:rFonts w:ascii="Arial" w:cs="Arial" w:eastAsia="Arial" w:hAnsi="Arial"/>
            <w:sz w:val="18"/>
            <w:szCs w:val="18"/>
            <w:u w:val="single" w:color="auto"/>
            <w:color w:val="0000FF"/>
          </w:rPr>
          <w:t>(Commission File No. 1-2691)).</w:t>
        </w:r>
      </w:hyperlink>
    </w:p>
    <w:p>
      <w:pPr>
        <w:spacing w:after="0" w:line="41" w:lineRule="exact"/>
        <w:rPr>
          <w:rFonts w:ascii="Arial" w:cs="Arial" w:eastAsia="Arial" w:hAnsi="Arial"/>
          <w:sz w:val="18"/>
          <w:szCs w:val="18"/>
          <w:u w:val="single" w:color="auto"/>
          <w:color w:val="0000FF"/>
        </w:rPr>
      </w:pPr>
    </w:p>
    <w:p>
      <w:pPr>
        <w:jc w:val="both"/>
        <w:ind w:left="920" w:right="20" w:hanging="917"/>
        <w:spacing w:after="0"/>
        <w:tabs>
          <w:tab w:leader="none" w:pos="900" w:val="left"/>
        </w:tabs>
        <w:rPr>
          <w:rFonts w:ascii="Arial" w:cs="Arial" w:eastAsia="Arial" w:hAnsi="Arial"/>
          <w:sz w:val="18"/>
          <w:szCs w:val="18"/>
          <w:u w:val="single" w:color="auto"/>
          <w:color w:val="0000FF"/>
        </w:rPr>
      </w:pPr>
      <w:r>
        <w:rPr>
          <w:rFonts w:ascii="Arial" w:cs="Arial" w:eastAsia="Arial" w:hAnsi="Arial"/>
          <w:sz w:val="18"/>
          <w:szCs w:val="18"/>
          <w:color w:val="auto"/>
        </w:rPr>
        <w:t>4.81</w:t>
      </w:r>
      <w:r>
        <w:rPr>
          <w:sz w:val="20"/>
          <w:szCs w:val="20"/>
          <w:color w:val="auto"/>
        </w:rPr>
        <w:tab/>
      </w:r>
      <w:hyperlink r:id="rId167">
        <w:r>
          <w:rPr>
            <w:rFonts w:ascii="Arial" w:cs="Arial" w:eastAsia="Arial" w:hAnsi="Arial"/>
            <w:sz w:val="18"/>
            <w:szCs w:val="18"/>
            <w:u w:val="single" w:color="auto"/>
            <w:color w:val="0000FF"/>
          </w:rPr>
          <w:t>Form of Indenture and Security Agreement (Indenture and Security Agreement between American Airlines, Inc., and Wilmington</w:t>
        </w:r>
      </w:hyperlink>
      <w:r>
        <w:rPr>
          <w:rFonts w:ascii="Arial" w:cs="Arial" w:eastAsia="Arial" w:hAnsi="Arial"/>
          <w:sz w:val="18"/>
          <w:szCs w:val="18"/>
          <w:u w:val="single" w:color="auto"/>
          <w:color w:val="0000FF"/>
        </w:rPr>
        <w:t xml:space="preserve"> </w:t>
      </w:r>
      <w:hyperlink r:id="rId167">
        <w:r>
          <w:rPr>
            <w:rFonts w:ascii="Arial" w:cs="Arial" w:eastAsia="Arial" w:hAnsi="Arial"/>
            <w:sz w:val="18"/>
            <w:szCs w:val="18"/>
            <w:u w:val="single" w:color="auto"/>
            <w:color w:val="0000FF"/>
          </w:rPr>
          <w:t>Trust Company, as Loan Trustee) (incorporated by reference to Exhibit C to Exhibit 4.6 to American’s Current Report on Form 8-K</w:t>
        </w:r>
      </w:hyperlink>
      <w:r>
        <w:rPr>
          <w:rFonts w:ascii="Arial" w:cs="Arial" w:eastAsia="Arial" w:hAnsi="Arial"/>
          <w:sz w:val="18"/>
          <w:szCs w:val="18"/>
          <w:u w:val="single" w:color="auto"/>
          <w:color w:val="0000FF"/>
        </w:rPr>
        <w:t xml:space="preserve"> </w:t>
      </w:r>
      <w:hyperlink r:id="rId167">
        <w:r>
          <w:rPr>
            <w:rFonts w:ascii="Arial" w:cs="Arial" w:eastAsia="Arial" w:hAnsi="Arial"/>
            <w:sz w:val="18"/>
            <w:szCs w:val="18"/>
            <w:u w:val="single" w:color="auto"/>
            <w:color w:val="0000FF"/>
          </w:rPr>
          <w:t>filed on January 21, 2016 (Commission File No. 1-2691)).</w:t>
        </w:r>
      </w:hyperlink>
    </w:p>
    <w:p>
      <w:pPr>
        <w:spacing w:after="0" w:line="41" w:lineRule="exact"/>
        <w:rPr>
          <w:rFonts w:ascii="Arial" w:cs="Arial" w:eastAsia="Arial" w:hAnsi="Arial"/>
          <w:sz w:val="18"/>
          <w:szCs w:val="18"/>
          <w:u w:val="single" w:color="auto"/>
          <w:color w:val="0000FF"/>
        </w:rPr>
      </w:pPr>
    </w:p>
    <w:p>
      <w:pPr>
        <w:jc w:val="both"/>
        <w:ind w:left="920" w:right="20" w:hanging="917"/>
        <w:spacing w:after="0" w:line="246" w:lineRule="auto"/>
        <w:tabs>
          <w:tab w:leader="none" w:pos="900" w:val="left"/>
        </w:tabs>
        <w:rPr>
          <w:rFonts w:ascii="Arial" w:cs="Arial" w:eastAsia="Arial" w:hAnsi="Arial"/>
          <w:sz w:val="18"/>
          <w:szCs w:val="18"/>
          <w:u w:val="single" w:color="auto"/>
          <w:color w:val="0000FF"/>
        </w:rPr>
      </w:pPr>
      <w:r>
        <w:rPr>
          <w:rFonts w:ascii="Arial" w:cs="Arial" w:eastAsia="Arial" w:hAnsi="Arial"/>
          <w:sz w:val="18"/>
          <w:szCs w:val="18"/>
          <w:color w:val="auto"/>
        </w:rPr>
        <w:t>4.82</w:t>
      </w:r>
      <w:r>
        <w:rPr>
          <w:sz w:val="20"/>
          <w:szCs w:val="20"/>
          <w:color w:val="auto"/>
        </w:rPr>
        <w:tab/>
      </w:r>
      <w:hyperlink r:id="rId163">
        <w:r>
          <w:rPr>
            <w:rFonts w:ascii="Arial" w:cs="Arial" w:eastAsia="Arial" w:hAnsi="Arial"/>
            <w:sz w:val="18"/>
            <w:szCs w:val="18"/>
            <w:u w:val="single" w:color="auto"/>
            <w:color w:val="0000FF"/>
          </w:rPr>
          <w:t>Form of Pass Through Trust Certificate, Series 2016-1AA (incorporated by reference to Exhibit A to Exhibit 4.2 to American’s</w:t>
        </w:r>
      </w:hyperlink>
      <w:r>
        <w:rPr>
          <w:rFonts w:ascii="Arial" w:cs="Arial" w:eastAsia="Arial" w:hAnsi="Arial"/>
          <w:sz w:val="18"/>
          <w:szCs w:val="18"/>
          <w:u w:val="single" w:color="auto"/>
          <w:color w:val="0000FF"/>
        </w:rPr>
        <w:t xml:space="preserve"> </w:t>
      </w:r>
      <w:hyperlink r:id="rId163">
        <w:r>
          <w:rPr>
            <w:rFonts w:ascii="Arial" w:cs="Arial" w:eastAsia="Arial" w:hAnsi="Arial"/>
            <w:sz w:val="18"/>
            <w:szCs w:val="18"/>
            <w:u w:val="single" w:color="auto"/>
            <w:color w:val="0000FF"/>
          </w:rPr>
          <w:t>Current Report on Form 8-K filed on January 21, 2016 (Commission File No. 1-2691)).</w:t>
        </w:r>
      </w:hyperlink>
    </w:p>
    <w:p>
      <w:pPr>
        <w:spacing w:after="0" w:line="35" w:lineRule="exact"/>
        <w:rPr>
          <w:sz w:val="20"/>
          <w:szCs w:val="20"/>
          <w:color w:val="auto"/>
        </w:rPr>
      </w:pPr>
    </w:p>
    <w:p>
      <w:pPr>
        <w:jc w:val="both"/>
        <w:ind w:left="920" w:right="20" w:hanging="917"/>
        <w:spacing w:after="0" w:line="246" w:lineRule="auto"/>
        <w:tabs>
          <w:tab w:leader="none" w:pos="900" w:val="left"/>
        </w:tabs>
        <w:rPr>
          <w:rFonts w:ascii="Arial" w:cs="Arial" w:eastAsia="Arial" w:hAnsi="Arial"/>
          <w:sz w:val="18"/>
          <w:szCs w:val="18"/>
          <w:u w:val="single" w:color="auto"/>
          <w:color w:val="0000FF"/>
        </w:rPr>
      </w:pPr>
      <w:r>
        <w:rPr>
          <w:rFonts w:ascii="Arial" w:cs="Arial" w:eastAsia="Arial" w:hAnsi="Arial"/>
          <w:sz w:val="18"/>
          <w:szCs w:val="18"/>
          <w:color w:val="auto"/>
        </w:rPr>
        <w:t>4.83</w:t>
      </w:r>
      <w:r>
        <w:rPr>
          <w:sz w:val="20"/>
          <w:szCs w:val="20"/>
          <w:color w:val="auto"/>
        </w:rPr>
        <w:tab/>
      </w:r>
      <w:hyperlink r:id="rId164">
        <w:r>
          <w:rPr>
            <w:rFonts w:ascii="Arial" w:cs="Arial" w:eastAsia="Arial" w:hAnsi="Arial"/>
            <w:sz w:val="18"/>
            <w:szCs w:val="18"/>
            <w:u w:val="single" w:color="auto"/>
            <w:color w:val="0000FF"/>
          </w:rPr>
          <w:t>Form of Pass Through Trust Certificate, Series 2016-1A (incorporated by reference to Exhibit A to Exhibit 4.3 to American’s</w:t>
        </w:r>
      </w:hyperlink>
      <w:r>
        <w:rPr>
          <w:rFonts w:ascii="Arial" w:cs="Arial" w:eastAsia="Arial" w:hAnsi="Arial"/>
          <w:sz w:val="18"/>
          <w:szCs w:val="18"/>
          <w:u w:val="single" w:color="auto"/>
          <w:color w:val="0000FF"/>
        </w:rPr>
        <w:t xml:space="preserve"> </w:t>
      </w:r>
      <w:hyperlink r:id="rId164">
        <w:r>
          <w:rPr>
            <w:rFonts w:ascii="Arial" w:cs="Arial" w:eastAsia="Arial" w:hAnsi="Arial"/>
            <w:sz w:val="18"/>
            <w:szCs w:val="18"/>
            <w:u w:val="single" w:color="auto"/>
            <w:color w:val="0000FF"/>
          </w:rPr>
          <w:t>Current Report on Form 8-K filed on January 21, 2016 (Commission File No. 1-2691)).</w:t>
        </w:r>
      </w:hyperlink>
    </w:p>
    <w:p>
      <w:pPr>
        <w:spacing w:after="0" w:line="35" w:lineRule="exact"/>
        <w:rPr>
          <w:sz w:val="20"/>
          <w:szCs w:val="20"/>
          <w:color w:val="auto"/>
        </w:rPr>
      </w:pPr>
    </w:p>
    <w:p>
      <w:pPr>
        <w:jc w:val="both"/>
        <w:ind w:left="920" w:right="20" w:hanging="917"/>
        <w:spacing w:after="0" w:line="246" w:lineRule="auto"/>
        <w:tabs>
          <w:tab w:leader="none" w:pos="900" w:val="left"/>
        </w:tabs>
        <w:rPr>
          <w:rFonts w:ascii="Arial" w:cs="Arial" w:eastAsia="Arial" w:hAnsi="Arial"/>
          <w:sz w:val="18"/>
          <w:szCs w:val="18"/>
          <w:u w:val="single" w:color="auto"/>
          <w:color w:val="0000FF"/>
        </w:rPr>
      </w:pPr>
      <w:r>
        <w:rPr>
          <w:rFonts w:ascii="Arial" w:cs="Arial" w:eastAsia="Arial" w:hAnsi="Arial"/>
          <w:sz w:val="18"/>
          <w:szCs w:val="18"/>
          <w:color w:val="auto"/>
        </w:rPr>
        <w:t>4.84</w:t>
      </w:r>
      <w:r>
        <w:rPr>
          <w:sz w:val="20"/>
          <w:szCs w:val="20"/>
          <w:color w:val="auto"/>
        </w:rPr>
        <w:tab/>
      </w:r>
      <w:hyperlink r:id="rId165">
        <w:r>
          <w:rPr>
            <w:rFonts w:ascii="Arial" w:cs="Arial" w:eastAsia="Arial" w:hAnsi="Arial"/>
            <w:sz w:val="18"/>
            <w:szCs w:val="18"/>
            <w:u w:val="single" w:color="auto"/>
            <w:color w:val="0000FF"/>
          </w:rPr>
          <w:t>Form of Pass Through Trust Certificate, Series 2016-1B (incorporated by reference to Exhibit A to Exhibit 4.4 to American’s</w:t>
        </w:r>
      </w:hyperlink>
      <w:r>
        <w:rPr>
          <w:rFonts w:ascii="Arial" w:cs="Arial" w:eastAsia="Arial" w:hAnsi="Arial"/>
          <w:sz w:val="18"/>
          <w:szCs w:val="18"/>
          <w:u w:val="single" w:color="auto"/>
          <w:color w:val="0000FF"/>
        </w:rPr>
        <w:t xml:space="preserve"> </w:t>
      </w:r>
      <w:hyperlink r:id="rId165">
        <w:r>
          <w:rPr>
            <w:rFonts w:ascii="Arial" w:cs="Arial" w:eastAsia="Arial" w:hAnsi="Arial"/>
            <w:sz w:val="18"/>
            <w:szCs w:val="18"/>
            <w:u w:val="single" w:color="auto"/>
            <w:color w:val="0000FF"/>
          </w:rPr>
          <w:t>Current Report on Form 8-K filed on January 21, 2016 (Commission File No. 1-2691)).</w:t>
        </w:r>
      </w:hyperlink>
    </w:p>
    <w:p>
      <w:pPr>
        <w:spacing w:after="0" w:line="35" w:lineRule="exact"/>
        <w:rPr>
          <w:sz w:val="20"/>
          <w:szCs w:val="20"/>
          <w:color w:val="auto"/>
        </w:rPr>
      </w:pPr>
    </w:p>
    <w:p>
      <w:pPr>
        <w:jc w:val="both"/>
        <w:ind w:left="920" w:hanging="917"/>
        <w:spacing w:after="0" w:line="239" w:lineRule="auto"/>
        <w:tabs>
          <w:tab w:leader="none" w:pos="900" w:val="left"/>
        </w:tabs>
        <w:rPr>
          <w:rFonts w:ascii="Arial" w:cs="Arial" w:eastAsia="Arial" w:hAnsi="Arial"/>
          <w:sz w:val="18"/>
          <w:szCs w:val="18"/>
          <w:u w:val="single" w:color="auto"/>
          <w:color w:val="0000FF"/>
        </w:rPr>
      </w:pPr>
      <w:r>
        <w:rPr>
          <w:rFonts w:ascii="Arial" w:cs="Arial" w:eastAsia="Arial" w:hAnsi="Arial"/>
          <w:sz w:val="18"/>
          <w:szCs w:val="18"/>
          <w:color w:val="auto"/>
        </w:rPr>
        <w:t>4.85</w:t>
      </w:r>
      <w:r>
        <w:rPr>
          <w:sz w:val="20"/>
          <w:szCs w:val="20"/>
          <w:color w:val="auto"/>
        </w:rPr>
        <w:tab/>
      </w:r>
      <w:hyperlink r:id="rId168">
        <w:r>
          <w:rPr>
            <w:rFonts w:ascii="Arial" w:cs="Arial" w:eastAsia="Arial" w:hAnsi="Arial"/>
            <w:sz w:val="18"/>
            <w:szCs w:val="18"/>
            <w:u w:val="single" w:color="auto"/>
            <w:color w:val="0000FF"/>
          </w:rPr>
          <w:t>Revolving Credit Agreement (2016-1AA), dated as of January 19, 2016, between Wilmington Trust Company, as Subordination</w:t>
        </w:r>
      </w:hyperlink>
      <w:r>
        <w:rPr>
          <w:rFonts w:ascii="Arial" w:cs="Arial" w:eastAsia="Arial" w:hAnsi="Arial"/>
          <w:sz w:val="18"/>
          <w:szCs w:val="18"/>
          <w:u w:val="single" w:color="auto"/>
          <w:color w:val="0000FF"/>
        </w:rPr>
        <w:t xml:space="preserve"> </w:t>
      </w:r>
      <w:hyperlink r:id="rId168">
        <w:r>
          <w:rPr>
            <w:rFonts w:ascii="Arial" w:cs="Arial" w:eastAsia="Arial" w:hAnsi="Arial"/>
            <w:sz w:val="18"/>
            <w:szCs w:val="18"/>
            <w:u w:val="single" w:color="auto"/>
            <w:color w:val="0000FF"/>
          </w:rPr>
          <w:t>Agent, as agent and trustee for the trustee of the American Airlines Pass Through Trust 2016-1AA, as Borrower, and KfW IPEX-</w:t>
        </w:r>
      </w:hyperlink>
      <w:hyperlink r:id="rId168">
        <w:r>
          <w:rPr>
            <w:rFonts w:ascii="Arial" w:cs="Arial" w:eastAsia="Arial" w:hAnsi="Arial"/>
            <w:sz w:val="18"/>
            <w:szCs w:val="18"/>
            <w:u w:val="single" w:color="auto"/>
            <w:color w:val="0000FF"/>
          </w:rPr>
          <w:t>Bank GmbH, as Liquidity Provider (incorporated by reference to Exhibit 4.12 to American’s Current Report on Form 8-K filed on</w:t>
        </w:r>
      </w:hyperlink>
      <w:r>
        <w:rPr>
          <w:rFonts w:ascii="Arial" w:cs="Arial" w:eastAsia="Arial" w:hAnsi="Arial"/>
          <w:sz w:val="18"/>
          <w:szCs w:val="18"/>
          <w:u w:val="single" w:color="auto"/>
          <w:color w:val="0000FF"/>
        </w:rPr>
        <w:t xml:space="preserve"> </w:t>
      </w:r>
      <w:hyperlink r:id="rId168">
        <w:r>
          <w:rPr>
            <w:rFonts w:ascii="Arial" w:cs="Arial" w:eastAsia="Arial" w:hAnsi="Arial"/>
            <w:sz w:val="18"/>
            <w:szCs w:val="18"/>
            <w:u w:val="single" w:color="auto"/>
            <w:color w:val="0000FF"/>
          </w:rPr>
          <w:t>January 21, 2016 (Commission File No. 1-2691)).</w:t>
        </w:r>
      </w:hyperlink>
    </w:p>
    <w:p>
      <w:pPr>
        <w:spacing w:after="0" w:line="40" w:lineRule="exact"/>
        <w:rPr>
          <w:rFonts w:ascii="Arial" w:cs="Arial" w:eastAsia="Arial" w:hAnsi="Arial"/>
          <w:sz w:val="18"/>
          <w:szCs w:val="18"/>
          <w:u w:val="single" w:color="auto"/>
          <w:color w:val="0000FF"/>
        </w:rPr>
      </w:pPr>
    </w:p>
    <w:p>
      <w:pPr>
        <w:jc w:val="both"/>
        <w:ind w:left="920" w:hanging="917"/>
        <w:spacing w:after="0" w:line="239" w:lineRule="auto"/>
        <w:tabs>
          <w:tab w:leader="none" w:pos="900" w:val="left"/>
        </w:tabs>
        <w:rPr>
          <w:rFonts w:ascii="Arial" w:cs="Arial" w:eastAsia="Arial" w:hAnsi="Arial"/>
          <w:sz w:val="18"/>
          <w:szCs w:val="18"/>
          <w:u w:val="single" w:color="auto"/>
          <w:color w:val="0000FF"/>
        </w:rPr>
      </w:pPr>
      <w:r>
        <w:rPr>
          <w:rFonts w:ascii="Arial" w:cs="Arial" w:eastAsia="Arial" w:hAnsi="Arial"/>
          <w:sz w:val="18"/>
          <w:szCs w:val="18"/>
          <w:color w:val="auto"/>
        </w:rPr>
        <w:t>4.86</w:t>
      </w:r>
      <w:r>
        <w:rPr>
          <w:sz w:val="20"/>
          <w:szCs w:val="20"/>
          <w:color w:val="auto"/>
        </w:rPr>
        <w:tab/>
      </w:r>
      <w:hyperlink r:id="rId169">
        <w:r>
          <w:rPr>
            <w:rFonts w:ascii="Arial" w:cs="Arial" w:eastAsia="Arial" w:hAnsi="Arial"/>
            <w:sz w:val="18"/>
            <w:szCs w:val="18"/>
            <w:u w:val="single" w:color="auto"/>
            <w:color w:val="0000FF"/>
          </w:rPr>
          <w:t>Revolving Credit Agreement (2016-1A), dated as of January 19, 2016, between Wilmington Trust Company, as Subordination</w:t>
        </w:r>
      </w:hyperlink>
      <w:r>
        <w:rPr>
          <w:rFonts w:ascii="Arial" w:cs="Arial" w:eastAsia="Arial" w:hAnsi="Arial"/>
          <w:sz w:val="18"/>
          <w:szCs w:val="18"/>
          <w:u w:val="single" w:color="auto"/>
          <w:color w:val="0000FF"/>
        </w:rPr>
        <w:t xml:space="preserve"> </w:t>
      </w:r>
      <w:hyperlink r:id="rId169">
        <w:r>
          <w:rPr>
            <w:rFonts w:ascii="Arial" w:cs="Arial" w:eastAsia="Arial" w:hAnsi="Arial"/>
            <w:sz w:val="18"/>
            <w:szCs w:val="18"/>
            <w:u w:val="single" w:color="auto"/>
            <w:color w:val="0000FF"/>
          </w:rPr>
          <w:t>Agent, as agent and trustee for the trustee of the American Airlines Pass Through Trust 2016-1A, as Borrower, and KfW IPEX-</w:t>
        </w:r>
      </w:hyperlink>
      <w:hyperlink r:id="rId169">
        <w:r>
          <w:rPr>
            <w:rFonts w:ascii="Arial" w:cs="Arial" w:eastAsia="Arial" w:hAnsi="Arial"/>
            <w:sz w:val="18"/>
            <w:szCs w:val="18"/>
            <w:u w:val="single" w:color="auto"/>
            <w:color w:val="0000FF"/>
          </w:rPr>
          <w:t>Bank GmbH, as Liquidity Provider (incorporated by reference to Exhibit 4.13 to American’s Current Report on Form 8-K filed on</w:t>
        </w:r>
      </w:hyperlink>
      <w:r>
        <w:rPr>
          <w:rFonts w:ascii="Arial" w:cs="Arial" w:eastAsia="Arial" w:hAnsi="Arial"/>
          <w:sz w:val="18"/>
          <w:szCs w:val="18"/>
          <w:u w:val="single" w:color="auto"/>
          <w:color w:val="0000FF"/>
        </w:rPr>
        <w:t xml:space="preserve"> </w:t>
      </w:r>
      <w:hyperlink r:id="rId169">
        <w:r>
          <w:rPr>
            <w:rFonts w:ascii="Arial" w:cs="Arial" w:eastAsia="Arial" w:hAnsi="Arial"/>
            <w:sz w:val="18"/>
            <w:szCs w:val="18"/>
            <w:u w:val="single" w:color="auto"/>
            <w:color w:val="0000FF"/>
          </w:rPr>
          <w:t>January 21, 2016 (Commission File No. 1-2691)).</w:t>
        </w:r>
      </w:hyperlink>
    </w:p>
    <w:p>
      <w:pPr>
        <w:spacing w:after="0" w:line="40" w:lineRule="exact"/>
        <w:rPr>
          <w:rFonts w:ascii="Arial" w:cs="Arial" w:eastAsia="Arial" w:hAnsi="Arial"/>
          <w:sz w:val="18"/>
          <w:szCs w:val="18"/>
          <w:u w:val="single" w:color="auto"/>
          <w:color w:val="0000FF"/>
        </w:rPr>
      </w:pPr>
    </w:p>
    <w:p>
      <w:pPr>
        <w:jc w:val="both"/>
        <w:ind w:left="920" w:hanging="917"/>
        <w:spacing w:after="0" w:line="239" w:lineRule="auto"/>
        <w:tabs>
          <w:tab w:leader="none" w:pos="900" w:val="left"/>
        </w:tabs>
        <w:rPr>
          <w:rFonts w:ascii="Arial" w:cs="Arial" w:eastAsia="Arial" w:hAnsi="Arial"/>
          <w:sz w:val="18"/>
          <w:szCs w:val="18"/>
          <w:u w:val="single" w:color="auto"/>
          <w:color w:val="0000FF"/>
        </w:rPr>
      </w:pPr>
      <w:r>
        <w:rPr>
          <w:rFonts w:ascii="Arial" w:cs="Arial" w:eastAsia="Arial" w:hAnsi="Arial"/>
          <w:sz w:val="18"/>
          <w:szCs w:val="18"/>
          <w:color w:val="auto"/>
        </w:rPr>
        <w:t>4.87</w:t>
      </w:r>
      <w:r>
        <w:rPr>
          <w:sz w:val="20"/>
          <w:szCs w:val="20"/>
          <w:color w:val="auto"/>
        </w:rPr>
        <w:tab/>
      </w:r>
      <w:hyperlink r:id="rId170">
        <w:r>
          <w:rPr>
            <w:rFonts w:ascii="Arial" w:cs="Arial" w:eastAsia="Arial" w:hAnsi="Arial"/>
            <w:sz w:val="18"/>
            <w:szCs w:val="18"/>
            <w:u w:val="single" w:color="auto"/>
            <w:color w:val="0000FF"/>
          </w:rPr>
          <w:t>Revolving Credit Agreement (2016-1B), dated as of January 19, 2016, between Wilmington Trust Company, as Subordination</w:t>
        </w:r>
      </w:hyperlink>
      <w:r>
        <w:rPr>
          <w:rFonts w:ascii="Arial" w:cs="Arial" w:eastAsia="Arial" w:hAnsi="Arial"/>
          <w:sz w:val="18"/>
          <w:szCs w:val="18"/>
          <w:u w:val="single" w:color="auto"/>
          <w:color w:val="0000FF"/>
        </w:rPr>
        <w:t xml:space="preserve"> </w:t>
      </w:r>
      <w:hyperlink r:id="rId170">
        <w:r>
          <w:rPr>
            <w:rFonts w:ascii="Arial" w:cs="Arial" w:eastAsia="Arial" w:hAnsi="Arial"/>
            <w:sz w:val="18"/>
            <w:szCs w:val="18"/>
            <w:u w:val="single" w:color="auto"/>
            <w:color w:val="0000FF"/>
          </w:rPr>
          <w:t>Agent, as agent and trustee for the trustee of the American Airlines Pass Through Trust 2016-1B, as Borrower, and KfW IPEX-</w:t>
        </w:r>
      </w:hyperlink>
      <w:hyperlink r:id="rId170">
        <w:r>
          <w:rPr>
            <w:rFonts w:ascii="Arial" w:cs="Arial" w:eastAsia="Arial" w:hAnsi="Arial"/>
            <w:sz w:val="18"/>
            <w:szCs w:val="18"/>
            <w:u w:val="single" w:color="auto"/>
            <w:color w:val="0000FF"/>
          </w:rPr>
          <w:t>Bank GmbH, as Liquidity Provider (incorporated by reference to Exhibit 4.14 to American’s Current Report on Form 8-K filed on</w:t>
        </w:r>
      </w:hyperlink>
      <w:r>
        <w:rPr>
          <w:rFonts w:ascii="Arial" w:cs="Arial" w:eastAsia="Arial" w:hAnsi="Arial"/>
          <w:sz w:val="18"/>
          <w:szCs w:val="18"/>
          <w:u w:val="single" w:color="auto"/>
          <w:color w:val="0000FF"/>
        </w:rPr>
        <w:t xml:space="preserve"> </w:t>
      </w:r>
      <w:hyperlink r:id="rId170">
        <w:r>
          <w:rPr>
            <w:rFonts w:ascii="Arial" w:cs="Arial" w:eastAsia="Arial" w:hAnsi="Arial"/>
            <w:sz w:val="18"/>
            <w:szCs w:val="18"/>
            <w:u w:val="single" w:color="auto"/>
            <w:color w:val="0000FF"/>
          </w:rPr>
          <w:t>January 21, 2016 (Commission File No. 1-2691)).</w:t>
        </w:r>
      </w:hyperlink>
    </w:p>
    <w:p>
      <w:pPr>
        <w:spacing w:after="0" w:line="40" w:lineRule="exact"/>
        <w:rPr>
          <w:rFonts w:ascii="Arial" w:cs="Arial" w:eastAsia="Arial" w:hAnsi="Arial"/>
          <w:sz w:val="18"/>
          <w:szCs w:val="18"/>
          <w:u w:val="single" w:color="auto"/>
          <w:color w:val="0000FF"/>
        </w:rPr>
      </w:pPr>
    </w:p>
    <w:p>
      <w:pPr>
        <w:jc w:val="both"/>
        <w:ind w:left="920" w:right="20" w:hanging="917"/>
        <w:spacing w:after="0"/>
        <w:tabs>
          <w:tab w:leader="none" w:pos="900" w:val="left"/>
        </w:tabs>
        <w:rPr>
          <w:rFonts w:ascii="Arial" w:cs="Arial" w:eastAsia="Arial" w:hAnsi="Arial"/>
          <w:sz w:val="18"/>
          <w:szCs w:val="18"/>
          <w:u w:val="single" w:color="auto"/>
          <w:color w:val="0000FF"/>
        </w:rPr>
      </w:pPr>
      <w:r>
        <w:rPr>
          <w:rFonts w:ascii="Arial" w:cs="Arial" w:eastAsia="Arial" w:hAnsi="Arial"/>
          <w:sz w:val="18"/>
          <w:szCs w:val="18"/>
          <w:color w:val="auto"/>
        </w:rPr>
        <w:t>4.88</w:t>
      </w:r>
      <w:r>
        <w:rPr>
          <w:sz w:val="20"/>
          <w:szCs w:val="20"/>
          <w:color w:val="auto"/>
        </w:rPr>
        <w:tab/>
      </w:r>
      <w:hyperlink r:id="rId171">
        <w:r>
          <w:rPr>
            <w:rFonts w:ascii="Arial" w:cs="Arial" w:eastAsia="Arial" w:hAnsi="Arial"/>
            <w:sz w:val="18"/>
            <w:szCs w:val="18"/>
            <w:u w:val="single" w:color="auto"/>
            <w:color w:val="0000FF"/>
          </w:rPr>
          <w:t>Trust Supplement No. 2016-2AA, dated as of May 16, 2016, between American Airlines, Inc. and Wilmington Trust Company, as</w:t>
        </w:r>
      </w:hyperlink>
      <w:r>
        <w:rPr>
          <w:rFonts w:ascii="Arial" w:cs="Arial" w:eastAsia="Arial" w:hAnsi="Arial"/>
          <w:sz w:val="18"/>
          <w:szCs w:val="18"/>
          <w:u w:val="single" w:color="auto"/>
          <w:color w:val="0000FF"/>
        </w:rPr>
        <w:t xml:space="preserve"> </w:t>
      </w:r>
      <w:hyperlink r:id="rId171">
        <w:r>
          <w:rPr>
            <w:rFonts w:ascii="Arial" w:cs="Arial" w:eastAsia="Arial" w:hAnsi="Arial"/>
            <w:sz w:val="18"/>
            <w:szCs w:val="18"/>
            <w:u w:val="single" w:color="auto"/>
            <w:color w:val="0000FF"/>
          </w:rPr>
          <w:t>Trustee, to the Pass Through Trust Agreement, dated as of September 16, 2014 (incorporated by reference to Exhibit 4.2 to</w:t>
        </w:r>
      </w:hyperlink>
      <w:r>
        <w:rPr>
          <w:rFonts w:ascii="Arial" w:cs="Arial" w:eastAsia="Arial" w:hAnsi="Arial"/>
          <w:sz w:val="18"/>
          <w:szCs w:val="18"/>
          <w:u w:val="single" w:color="auto"/>
          <w:color w:val="0000FF"/>
        </w:rPr>
        <w:t xml:space="preserve"> </w:t>
      </w:r>
      <w:hyperlink r:id="rId171">
        <w:r>
          <w:rPr>
            <w:rFonts w:ascii="Arial" w:cs="Arial" w:eastAsia="Arial" w:hAnsi="Arial"/>
            <w:sz w:val="18"/>
            <w:szCs w:val="18"/>
            <w:u w:val="single" w:color="auto"/>
            <w:color w:val="0000FF"/>
          </w:rPr>
          <w:t>American’s Current Report on Form 8-K filed on May 17, 2016 (Commission File No. 1-2691)).</w:t>
        </w:r>
      </w:hyperlink>
    </w:p>
    <w:p>
      <w:pPr>
        <w:spacing w:after="0" w:line="41" w:lineRule="exact"/>
        <w:rPr>
          <w:rFonts w:ascii="Arial" w:cs="Arial" w:eastAsia="Arial" w:hAnsi="Arial"/>
          <w:sz w:val="18"/>
          <w:szCs w:val="18"/>
          <w:u w:val="single" w:color="auto"/>
          <w:color w:val="0000FF"/>
        </w:rPr>
      </w:pPr>
    </w:p>
    <w:p>
      <w:pPr>
        <w:jc w:val="both"/>
        <w:ind w:left="920" w:right="20" w:hanging="917"/>
        <w:spacing w:after="0"/>
        <w:tabs>
          <w:tab w:leader="none" w:pos="900" w:val="left"/>
        </w:tabs>
        <w:rPr>
          <w:rFonts w:ascii="Arial" w:cs="Arial" w:eastAsia="Arial" w:hAnsi="Arial"/>
          <w:sz w:val="18"/>
          <w:szCs w:val="18"/>
          <w:u w:val="single" w:color="auto"/>
          <w:color w:val="0000FF"/>
        </w:rPr>
      </w:pPr>
      <w:r>
        <w:rPr>
          <w:rFonts w:ascii="Arial" w:cs="Arial" w:eastAsia="Arial" w:hAnsi="Arial"/>
          <w:sz w:val="18"/>
          <w:szCs w:val="18"/>
          <w:color w:val="auto"/>
        </w:rPr>
        <w:t>4.89</w:t>
      </w:r>
      <w:r>
        <w:rPr>
          <w:sz w:val="20"/>
          <w:szCs w:val="20"/>
          <w:color w:val="auto"/>
        </w:rPr>
        <w:tab/>
      </w:r>
      <w:hyperlink r:id="rId172">
        <w:r>
          <w:rPr>
            <w:rFonts w:ascii="Arial" w:cs="Arial" w:eastAsia="Arial" w:hAnsi="Arial"/>
            <w:sz w:val="18"/>
            <w:szCs w:val="18"/>
            <w:u w:val="single" w:color="auto"/>
            <w:color w:val="0000FF"/>
          </w:rPr>
          <w:t>Trust Supplement No. 2016-2A, dated as of May 16, 2016, between American Airlines, Inc. and Wilmington Trust Company, as</w:t>
        </w:r>
      </w:hyperlink>
      <w:r>
        <w:rPr>
          <w:rFonts w:ascii="Arial" w:cs="Arial" w:eastAsia="Arial" w:hAnsi="Arial"/>
          <w:sz w:val="18"/>
          <w:szCs w:val="18"/>
          <w:u w:val="single" w:color="auto"/>
          <w:color w:val="0000FF"/>
        </w:rPr>
        <w:t xml:space="preserve"> </w:t>
      </w:r>
      <w:hyperlink r:id="rId172">
        <w:r>
          <w:rPr>
            <w:rFonts w:ascii="Arial" w:cs="Arial" w:eastAsia="Arial" w:hAnsi="Arial"/>
            <w:sz w:val="18"/>
            <w:szCs w:val="18"/>
            <w:u w:val="single" w:color="auto"/>
            <w:color w:val="0000FF"/>
          </w:rPr>
          <w:t>Trustee, to the Pass Through Trust Agreement, dated as of September 16, 2014 (incorporated by reference to Exhibit 4.3 to</w:t>
        </w:r>
      </w:hyperlink>
      <w:r>
        <w:rPr>
          <w:rFonts w:ascii="Arial" w:cs="Arial" w:eastAsia="Arial" w:hAnsi="Arial"/>
          <w:sz w:val="18"/>
          <w:szCs w:val="18"/>
          <w:u w:val="single" w:color="auto"/>
          <w:color w:val="0000FF"/>
        </w:rPr>
        <w:t xml:space="preserve"> </w:t>
      </w:r>
      <w:hyperlink r:id="rId172">
        <w:r>
          <w:rPr>
            <w:rFonts w:ascii="Arial" w:cs="Arial" w:eastAsia="Arial" w:hAnsi="Arial"/>
            <w:sz w:val="18"/>
            <w:szCs w:val="18"/>
            <w:u w:val="single" w:color="auto"/>
            <w:color w:val="0000FF"/>
          </w:rPr>
          <w:t>American’s Current Report on Form 8-K filed on May 17, 2016 (Commission File No. 1-2691)).</w:t>
        </w:r>
      </w:hyperlink>
    </w:p>
    <w:p>
      <w:pPr>
        <w:spacing w:after="0" w:line="41" w:lineRule="exact"/>
        <w:rPr>
          <w:rFonts w:ascii="Arial" w:cs="Arial" w:eastAsia="Arial" w:hAnsi="Arial"/>
          <w:sz w:val="18"/>
          <w:szCs w:val="18"/>
          <w:u w:val="single" w:color="auto"/>
          <w:color w:val="0000FF"/>
        </w:rPr>
      </w:pPr>
    </w:p>
    <w:p>
      <w:pPr>
        <w:jc w:val="both"/>
        <w:ind w:left="920" w:hanging="917"/>
        <w:spacing w:after="0" w:line="238" w:lineRule="auto"/>
        <w:tabs>
          <w:tab w:leader="none" w:pos="900" w:val="left"/>
        </w:tabs>
        <w:rPr>
          <w:rFonts w:ascii="Arial" w:cs="Arial" w:eastAsia="Arial" w:hAnsi="Arial"/>
          <w:sz w:val="18"/>
          <w:szCs w:val="18"/>
          <w:u w:val="single" w:color="auto"/>
          <w:color w:val="0000FF"/>
        </w:rPr>
      </w:pPr>
      <w:r>
        <w:rPr>
          <w:rFonts w:ascii="Arial" w:cs="Arial" w:eastAsia="Arial" w:hAnsi="Arial"/>
          <w:sz w:val="18"/>
          <w:szCs w:val="18"/>
          <w:color w:val="auto"/>
        </w:rPr>
        <w:t>4.90</w:t>
      </w:r>
      <w:r>
        <w:rPr>
          <w:sz w:val="20"/>
          <w:szCs w:val="20"/>
          <w:color w:val="auto"/>
        </w:rPr>
        <w:tab/>
      </w:r>
      <w:hyperlink r:id="rId173">
        <w:r>
          <w:rPr>
            <w:rFonts w:ascii="Arial" w:cs="Arial" w:eastAsia="Arial" w:hAnsi="Arial"/>
            <w:sz w:val="18"/>
            <w:szCs w:val="18"/>
            <w:u w:val="single" w:color="auto"/>
            <w:color w:val="0000FF"/>
          </w:rPr>
          <w:t>Intercreditor Agreement (2016-2), dated as of May 16, 2016, among Wilmington Trust Company, as Trustee of the American</w:t>
        </w:r>
      </w:hyperlink>
      <w:r>
        <w:rPr>
          <w:rFonts w:ascii="Arial" w:cs="Arial" w:eastAsia="Arial" w:hAnsi="Arial"/>
          <w:sz w:val="18"/>
          <w:szCs w:val="18"/>
          <w:u w:val="single" w:color="auto"/>
          <w:color w:val="0000FF"/>
        </w:rPr>
        <w:t xml:space="preserve"> </w:t>
      </w:r>
      <w:hyperlink r:id="rId173">
        <w:r>
          <w:rPr>
            <w:rFonts w:ascii="Arial" w:cs="Arial" w:eastAsia="Arial" w:hAnsi="Arial"/>
            <w:sz w:val="18"/>
            <w:szCs w:val="18"/>
            <w:u w:val="single" w:color="auto"/>
            <w:color w:val="0000FF"/>
          </w:rPr>
          <w:t>Airlines Pass Through Trust 2016-2AA and as Trustee of the American Airlines Pass Through Trust 2016-2A, KfW IPEX-Bank</w:t>
        </w:r>
      </w:hyperlink>
      <w:r>
        <w:rPr>
          <w:rFonts w:ascii="Arial" w:cs="Arial" w:eastAsia="Arial" w:hAnsi="Arial"/>
          <w:sz w:val="18"/>
          <w:szCs w:val="18"/>
          <w:u w:val="single" w:color="auto"/>
          <w:color w:val="0000FF"/>
        </w:rPr>
        <w:t xml:space="preserve"> </w:t>
      </w:r>
      <w:hyperlink r:id="rId173">
        <w:r>
          <w:rPr>
            <w:rFonts w:ascii="Arial" w:cs="Arial" w:eastAsia="Arial" w:hAnsi="Arial"/>
            <w:sz w:val="18"/>
            <w:szCs w:val="18"/>
            <w:u w:val="single" w:color="auto"/>
            <w:color w:val="0000FF"/>
          </w:rPr>
          <w:t>GmbH, as Class AA Liquidity Provider and Class A Liquidity Provider, and Wilmington Trust Company, as Subordination Agent</w:t>
        </w:r>
      </w:hyperlink>
      <w:r>
        <w:rPr>
          <w:rFonts w:ascii="Arial" w:cs="Arial" w:eastAsia="Arial" w:hAnsi="Arial"/>
          <w:sz w:val="18"/>
          <w:szCs w:val="18"/>
          <w:u w:val="single" w:color="auto"/>
          <w:color w:val="0000FF"/>
        </w:rPr>
        <w:t xml:space="preserve"> </w:t>
      </w:r>
      <w:hyperlink r:id="rId173">
        <w:r>
          <w:rPr>
            <w:rFonts w:ascii="Arial" w:cs="Arial" w:eastAsia="Arial" w:hAnsi="Arial"/>
            <w:sz w:val="18"/>
            <w:szCs w:val="18"/>
            <w:u w:val="single" w:color="auto"/>
            <w:color w:val="0000FF"/>
          </w:rPr>
          <w:t>(incorporated by reference to Exhibit 4.4 to American’s Current Report on Form 8-K filed on May 17, 2016 (Commission File No. 1-</w:t>
        </w:r>
      </w:hyperlink>
      <w:hyperlink r:id="rId173">
        <w:r>
          <w:rPr>
            <w:rFonts w:ascii="Arial" w:cs="Arial" w:eastAsia="Arial" w:hAnsi="Arial"/>
            <w:sz w:val="18"/>
            <w:szCs w:val="18"/>
            <w:u w:val="single" w:color="auto"/>
            <w:color w:val="0000FF"/>
          </w:rPr>
          <w:t>2691)).</w:t>
        </w:r>
      </w:hyperlink>
    </w:p>
    <w:p>
      <w:pPr>
        <w:spacing w:after="0" w:line="41" w:lineRule="exact"/>
        <w:rPr>
          <w:rFonts w:ascii="Arial" w:cs="Arial" w:eastAsia="Arial" w:hAnsi="Arial"/>
          <w:sz w:val="18"/>
          <w:szCs w:val="18"/>
          <w:u w:val="single" w:color="auto"/>
          <w:color w:val="0000FF"/>
        </w:rPr>
      </w:pPr>
    </w:p>
    <w:p>
      <w:pPr>
        <w:jc w:val="both"/>
        <w:ind w:left="920" w:hanging="917"/>
        <w:spacing w:after="0" w:line="239" w:lineRule="auto"/>
        <w:tabs>
          <w:tab w:leader="none" w:pos="900" w:val="left"/>
        </w:tabs>
        <w:rPr>
          <w:rFonts w:ascii="Arial" w:cs="Arial" w:eastAsia="Arial" w:hAnsi="Arial"/>
          <w:sz w:val="18"/>
          <w:szCs w:val="18"/>
          <w:u w:val="single" w:color="auto"/>
          <w:color w:val="0000FF"/>
        </w:rPr>
      </w:pPr>
      <w:r>
        <w:rPr>
          <w:rFonts w:ascii="Arial" w:cs="Arial" w:eastAsia="Arial" w:hAnsi="Arial"/>
          <w:sz w:val="18"/>
          <w:szCs w:val="18"/>
          <w:color w:val="auto"/>
        </w:rPr>
        <w:t>4.91</w:t>
      </w:r>
      <w:r>
        <w:rPr>
          <w:sz w:val="20"/>
          <w:szCs w:val="20"/>
          <w:color w:val="auto"/>
        </w:rPr>
        <w:tab/>
      </w:r>
      <w:hyperlink r:id="rId174">
        <w:r>
          <w:rPr>
            <w:rFonts w:ascii="Arial" w:cs="Arial" w:eastAsia="Arial" w:hAnsi="Arial"/>
            <w:sz w:val="18"/>
            <w:szCs w:val="18"/>
            <w:u w:val="single" w:color="auto"/>
            <w:color w:val="0000FF"/>
          </w:rPr>
          <w:t>Note Purchase Agreement, dated as of May 16, 2016, among American Airlines, Inc., Wilmington Trust Company, as Pass</w:t>
        </w:r>
      </w:hyperlink>
      <w:r>
        <w:rPr>
          <w:rFonts w:ascii="Arial" w:cs="Arial" w:eastAsia="Arial" w:hAnsi="Arial"/>
          <w:sz w:val="18"/>
          <w:szCs w:val="18"/>
          <w:u w:val="single" w:color="auto"/>
          <w:color w:val="0000FF"/>
        </w:rPr>
        <w:t xml:space="preserve"> </w:t>
      </w:r>
      <w:hyperlink r:id="rId174">
        <w:r>
          <w:rPr>
            <w:rFonts w:ascii="Arial" w:cs="Arial" w:eastAsia="Arial" w:hAnsi="Arial"/>
            <w:sz w:val="18"/>
            <w:szCs w:val="18"/>
            <w:u w:val="single" w:color="auto"/>
            <w:color w:val="0000FF"/>
          </w:rPr>
          <w:t>Through Trustee under each of the Pass Through Trust Agreements, Wilmington Trust Company, as Subordination Agent,</w:t>
        </w:r>
      </w:hyperlink>
      <w:r>
        <w:rPr>
          <w:rFonts w:ascii="Arial" w:cs="Arial" w:eastAsia="Arial" w:hAnsi="Arial"/>
          <w:sz w:val="18"/>
          <w:szCs w:val="18"/>
          <w:u w:val="single" w:color="auto"/>
          <w:color w:val="0000FF"/>
        </w:rPr>
        <w:t xml:space="preserve"> </w:t>
      </w:r>
      <w:hyperlink r:id="rId174">
        <w:r>
          <w:rPr>
            <w:rFonts w:ascii="Arial" w:cs="Arial" w:eastAsia="Arial" w:hAnsi="Arial"/>
            <w:sz w:val="18"/>
            <w:szCs w:val="18"/>
            <w:u w:val="single" w:color="auto"/>
            <w:color w:val="0000FF"/>
          </w:rPr>
          <w:t>Wilmington Trust, National Association, as Escrow Agent, and Wilmington Trust Company, as Paying Agent (incorporated by</w:t>
        </w:r>
      </w:hyperlink>
      <w:r>
        <w:rPr>
          <w:rFonts w:ascii="Arial" w:cs="Arial" w:eastAsia="Arial" w:hAnsi="Arial"/>
          <w:sz w:val="18"/>
          <w:szCs w:val="18"/>
          <w:u w:val="single" w:color="auto"/>
          <w:color w:val="0000FF"/>
        </w:rPr>
        <w:t xml:space="preserve"> </w:t>
      </w:r>
      <w:hyperlink r:id="rId174">
        <w:r>
          <w:rPr>
            <w:rFonts w:ascii="Arial" w:cs="Arial" w:eastAsia="Arial" w:hAnsi="Arial"/>
            <w:sz w:val="18"/>
            <w:szCs w:val="18"/>
            <w:u w:val="single" w:color="auto"/>
            <w:color w:val="0000FF"/>
          </w:rPr>
          <w:t>reference to Exhibit 4.9 to American’s Current Report on Form 8-K filed on May 17, 2016 (Commission File No. 1-2691)).</w:t>
        </w:r>
      </w:hyperlink>
    </w:p>
    <w:p>
      <w:pPr>
        <w:spacing w:after="0" w:line="40" w:lineRule="exact"/>
        <w:rPr>
          <w:rFonts w:ascii="Arial" w:cs="Arial" w:eastAsia="Arial" w:hAnsi="Arial"/>
          <w:sz w:val="18"/>
          <w:szCs w:val="18"/>
          <w:u w:val="single" w:color="auto"/>
          <w:color w:val="0000FF"/>
        </w:rPr>
      </w:pPr>
    </w:p>
    <w:p>
      <w:pPr>
        <w:jc w:val="both"/>
        <w:ind w:left="920" w:right="20" w:hanging="917"/>
        <w:spacing w:after="0" w:line="238" w:lineRule="auto"/>
        <w:tabs>
          <w:tab w:leader="none" w:pos="900" w:val="left"/>
        </w:tabs>
        <w:rPr>
          <w:rFonts w:ascii="Arial" w:cs="Arial" w:eastAsia="Arial" w:hAnsi="Arial"/>
          <w:sz w:val="18"/>
          <w:szCs w:val="18"/>
          <w:u w:val="single" w:color="auto"/>
          <w:color w:val="0000FF"/>
        </w:rPr>
      </w:pPr>
      <w:r>
        <w:rPr>
          <w:rFonts w:ascii="Arial" w:cs="Arial" w:eastAsia="Arial" w:hAnsi="Arial"/>
          <w:sz w:val="18"/>
          <w:szCs w:val="18"/>
          <w:color w:val="auto"/>
        </w:rPr>
        <w:t>4.92</w:t>
      </w:r>
      <w:r>
        <w:rPr>
          <w:sz w:val="20"/>
          <w:szCs w:val="20"/>
          <w:color w:val="auto"/>
        </w:rPr>
        <w:tab/>
      </w:r>
      <w:hyperlink r:id="rId174">
        <w:r>
          <w:rPr>
            <w:rFonts w:ascii="Arial" w:cs="Arial" w:eastAsia="Arial" w:hAnsi="Arial"/>
            <w:sz w:val="18"/>
            <w:szCs w:val="18"/>
            <w:u w:val="single" w:color="auto"/>
            <w:color w:val="0000FF"/>
          </w:rPr>
          <w:t>Form of Participation Agreement (Participation Agreement among American Airlines, Inc., Wilmington Trust Company, as Pass</w:t>
        </w:r>
      </w:hyperlink>
      <w:r>
        <w:rPr>
          <w:rFonts w:ascii="Arial" w:cs="Arial" w:eastAsia="Arial" w:hAnsi="Arial"/>
          <w:sz w:val="18"/>
          <w:szCs w:val="18"/>
          <w:u w:val="single" w:color="auto"/>
          <w:color w:val="0000FF"/>
        </w:rPr>
        <w:t xml:space="preserve"> </w:t>
      </w:r>
      <w:hyperlink r:id="rId174">
        <w:r>
          <w:rPr>
            <w:rFonts w:ascii="Arial" w:cs="Arial" w:eastAsia="Arial" w:hAnsi="Arial"/>
            <w:sz w:val="18"/>
            <w:szCs w:val="18"/>
            <w:u w:val="single" w:color="auto"/>
            <w:color w:val="0000FF"/>
          </w:rPr>
          <w:t>Through Trustee under each of the Pass Through Trust Agreements, Wilmington Trust Company, as Subordination Agent,</w:t>
        </w:r>
      </w:hyperlink>
      <w:r>
        <w:rPr>
          <w:rFonts w:ascii="Arial" w:cs="Arial" w:eastAsia="Arial" w:hAnsi="Arial"/>
          <w:sz w:val="18"/>
          <w:szCs w:val="18"/>
          <w:u w:val="single" w:color="auto"/>
          <w:color w:val="0000FF"/>
        </w:rPr>
        <w:t xml:space="preserve"> </w:t>
      </w:r>
      <w:hyperlink r:id="rId174">
        <w:r>
          <w:rPr>
            <w:rFonts w:ascii="Arial" w:cs="Arial" w:eastAsia="Arial" w:hAnsi="Arial"/>
            <w:sz w:val="18"/>
            <w:szCs w:val="18"/>
            <w:u w:val="single" w:color="auto"/>
            <w:color w:val="0000FF"/>
          </w:rPr>
          <w:t>Wilmington Trust Company, as Loan Trustee, and Wilmington Trust Company, in its individual capacity as set forth therein)</w:t>
        </w:r>
      </w:hyperlink>
      <w:r>
        <w:rPr>
          <w:rFonts w:ascii="Arial" w:cs="Arial" w:eastAsia="Arial" w:hAnsi="Arial"/>
          <w:sz w:val="18"/>
          <w:szCs w:val="18"/>
          <w:u w:val="single" w:color="auto"/>
          <w:color w:val="0000FF"/>
        </w:rPr>
        <w:t xml:space="preserve"> </w:t>
      </w:r>
      <w:hyperlink r:id="rId174">
        <w:r>
          <w:rPr>
            <w:rFonts w:ascii="Arial" w:cs="Arial" w:eastAsia="Arial" w:hAnsi="Arial"/>
            <w:sz w:val="18"/>
            <w:szCs w:val="18"/>
            <w:u w:val="single" w:color="auto"/>
            <w:color w:val="0000FF"/>
          </w:rPr>
          <w:t>(incorporated by reference to Exhibit B to Exhibit 4.9 to American’s Current Report on Form 8-K filed on May 17, 2016</w:t>
        </w:r>
      </w:hyperlink>
      <w:r>
        <w:rPr>
          <w:rFonts w:ascii="Arial" w:cs="Arial" w:eastAsia="Arial" w:hAnsi="Arial"/>
          <w:sz w:val="18"/>
          <w:szCs w:val="18"/>
          <w:u w:val="single" w:color="auto"/>
          <w:color w:val="0000FF"/>
        </w:rPr>
        <w:t xml:space="preserve"> </w:t>
      </w:r>
      <w:hyperlink r:id="rId174">
        <w:r>
          <w:rPr>
            <w:rFonts w:ascii="Arial" w:cs="Arial" w:eastAsia="Arial" w:hAnsi="Arial"/>
            <w:sz w:val="18"/>
            <w:szCs w:val="18"/>
            <w:u w:val="single" w:color="auto"/>
            <w:color w:val="0000FF"/>
          </w:rPr>
          <w:t>(Commission File No. 1-2691)).</w:t>
        </w:r>
      </w:hyperlink>
    </w:p>
    <w:p>
      <w:pPr>
        <w:spacing w:after="0" w:line="41" w:lineRule="exact"/>
        <w:rPr>
          <w:rFonts w:ascii="Arial" w:cs="Arial" w:eastAsia="Arial" w:hAnsi="Arial"/>
          <w:sz w:val="18"/>
          <w:szCs w:val="18"/>
          <w:u w:val="single" w:color="auto"/>
          <w:color w:val="0000FF"/>
        </w:rPr>
      </w:pPr>
    </w:p>
    <w:p>
      <w:pPr>
        <w:jc w:val="both"/>
        <w:ind w:left="920" w:right="20" w:hanging="917"/>
        <w:spacing w:after="0"/>
        <w:tabs>
          <w:tab w:leader="none" w:pos="900" w:val="left"/>
        </w:tabs>
        <w:rPr>
          <w:rFonts w:ascii="Arial" w:cs="Arial" w:eastAsia="Arial" w:hAnsi="Arial"/>
          <w:sz w:val="18"/>
          <w:szCs w:val="18"/>
          <w:u w:val="single" w:color="auto"/>
          <w:color w:val="0000FF"/>
        </w:rPr>
      </w:pPr>
      <w:r>
        <w:rPr>
          <w:rFonts w:ascii="Arial" w:cs="Arial" w:eastAsia="Arial" w:hAnsi="Arial"/>
          <w:sz w:val="18"/>
          <w:szCs w:val="18"/>
          <w:color w:val="auto"/>
        </w:rPr>
        <w:t>4.93</w:t>
      </w:r>
      <w:r>
        <w:rPr>
          <w:sz w:val="20"/>
          <w:szCs w:val="20"/>
          <w:color w:val="auto"/>
        </w:rPr>
        <w:tab/>
      </w:r>
      <w:hyperlink r:id="rId174">
        <w:r>
          <w:rPr>
            <w:rFonts w:ascii="Arial" w:cs="Arial" w:eastAsia="Arial" w:hAnsi="Arial"/>
            <w:sz w:val="18"/>
            <w:szCs w:val="18"/>
            <w:u w:val="single" w:color="auto"/>
            <w:color w:val="0000FF"/>
          </w:rPr>
          <w:t>Form of Indenture and Security Agreement (Indenture and Security Agreement between American Airlines, Inc., and Wilmington</w:t>
        </w:r>
      </w:hyperlink>
      <w:r>
        <w:rPr>
          <w:rFonts w:ascii="Arial" w:cs="Arial" w:eastAsia="Arial" w:hAnsi="Arial"/>
          <w:sz w:val="18"/>
          <w:szCs w:val="18"/>
          <w:u w:val="single" w:color="auto"/>
          <w:color w:val="0000FF"/>
        </w:rPr>
        <w:t xml:space="preserve"> </w:t>
      </w:r>
      <w:hyperlink r:id="rId174">
        <w:r>
          <w:rPr>
            <w:rFonts w:ascii="Arial" w:cs="Arial" w:eastAsia="Arial" w:hAnsi="Arial"/>
            <w:sz w:val="18"/>
            <w:szCs w:val="18"/>
            <w:u w:val="single" w:color="auto"/>
            <w:color w:val="0000FF"/>
          </w:rPr>
          <w:t>Trust Company, as Loan Trustee) (incorporated by reference to Exhibit C to Exhibit 4.9 to American’s Current Report on Form 8-K</w:t>
        </w:r>
      </w:hyperlink>
      <w:r>
        <w:rPr>
          <w:rFonts w:ascii="Arial" w:cs="Arial" w:eastAsia="Arial" w:hAnsi="Arial"/>
          <w:sz w:val="18"/>
          <w:szCs w:val="18"/>
          <w:u w:val="single" w:color="auto"/>
          <w:color w:val="0000FF"/>
        </w:rPr>
        <w:t xml:space="preserve"> </w:t>
      </w:r>
      <w:hyperlink r:id="rId174">
        <w:r>
          <w:rPr>
            <w:rFonts w:ascii="Arial" w:cs="Arial" w:eastAsia="Arial" w:hAnsi="Arial"/>
            <w:sz w:val="18"/>
            <w:szCs w:val="18"/>
            <w:u w:val="single" w:color="auto"/>
            <w:color w:val="0000FF"/>
          </w:rPr>
          <w:t>filed on May 17, 2016 (Commission File No. 1-2691)).</w:t>
        </w:r>
      </w:hyperlink>
    </w:p>
    <w:p>
      <w:pPr>
        <w:spacing w:after="0" w:line="41" w:lineRule="exact"/>
        <w:rPr>
          <w:rFonts w:ascii="Arial" w:cs="Arial" w:eastAsia="Arial" w:hAnsi="Arial"/>
          <w:sz w:val="18"/>
          <w:szCs w:val="18"/>
          <w:u w:val="single" w:color="auto"/>
          <w:color w:val="0000FF"/>
        </w:rPr>
      </w:pPr>
    </w:p>
    <w:p>
      <w:pPr>
        <w:jc w:val="both"/>
        <w:ind w:left="920" w:right="20" w:hanging="917"/>
        <w:spacing w:after="0" w:line="246" w:lineRule="auto"/>
        <w:tabs>
          <w:tab w:leader="none" w:pos="900" w:val="left"/>
        </w:tabs>
        <w:rPr>
          <w:rFonts w:ascii="Arial" w:cs="Arial" w:eastAsia="Arial" w:hAnsi="Arial"/>
          <w:sz w:val="18"/>
          <w:szCs w:val="18"/>
          <w:u w:val="single" w:color="auto"/>
          <w:color w:val="0000FF"/>
        </w:rPr>
      </w:pPr>
      <w:r>
        <w:rPr>
          <w:rFonts w:ascii="Arial" w:cs="Arial" w:eastAsia="Arial" w:hAnsi="Arial"/>
          <w:sz w:val="18"/>
          <w:szCs w:val="18"/>
          <w:color w:val="auto"/>
        </w:rPr>
        <w:t>4.94</w:t>
      </w:r>
      <w:r>
        <w:rPr>
          <w:sz w:val="20"/>
          <w:szCs w:val="20"/>
          <w:color w:val="auto"/>
        </w:rPr>
        <w:tab/>
      </w:r>
      <w:hyperlink r:id="rId171">
        <w:r>
          <w:rPr>
            <w:rFonts w:ascii="Arial" w:cs="Arial" w:eastAsia="Arial" w:hAnsi="Arial"/>
            <w:sz w:val="18"/>
            <w:szCs w:val="18"/>
            <w:u w:val="single" w:color="auto"/>
            <w:color w:val="0000FF"/>
          </w:rPr>
          <w:t>Form of Pass Through Trust Certificate, Series 2016-2AA (incorporated by reference to Exhibit A to Exhibit 4.2 to American’s</w:t>
        </w:r>
      </w:hyperlink>
      <w:r>
        <w:rPr>
          <w:rFonts w:ascii="Arial" w:cs="Arial" w:eastAsia="Arial" w:hAnsi="Arial"/>
          <w:sz w:val="18"/>
          <w:szCs w:val="18"/>
          <w:u w:val="single" w:color="auto"/>
          <w:color w:val="0000FF"/>
        </w:rPr>
        <w:t xml:space="preserve"> </w:t>
      </w:r>
      <w:hyperlink r:id="rId171">
        <w:r>
          <w:rPr>
            <w:rFonts w:ascii="Arial" w:cs="Arial" w:eastAsia="Arial" w:hAnsi="Arial"/>
            <w:sz w:val="18"/>
            <w:szCs w:val="18"/>
            <w:u w:val="single" w:color="auto"/>
            <w:color w:val="0000FF"/>
          </w:rPr>
          <w:t>Current Report on Form 8-K filed on May 17, 2016 (Commission File No. 1-2691)).</w:t>
        </w:r>
      </w:hyperlink>
    </w:p>
    <w:p>
      <w:pPr>
        <w:spacing w:after="0" w:line="35" w:lineRule="exact"/>
        <w:rPr>
          <w:sz w:val="20"/>
          <w:szCs w:val="20"/>
          <w:color w:val="auto"/>
        </w:rPr>
      </w:pPr>
    </w:p>
    <w:p>
      <w:pPr>
        <w:jc w:val="both"/>
        <w:ind w:left="920" w:right="20" w:hanging="917"/>
        <w:spacing w:after="0" w:line="246" w:lineRule="auto"/>
        <w:tabs>
          <w:tab w:leader="none" w:pos="900" w:val="left"/>
        </w:tabs>
        <w:rPr>
          <w:rFonts w:ascii="Arial" w:cs="Arial" w:eastAsia="Arial" w:hAnsi="Arial"/>
          <w:sz w:val="18"/>
          <w:szCs w:val="18"/>
          <w:u w:val="single" w:color="auto"/>
          <w:color w:val="0000FF"/>
        </w:rPr>
      </w:pPr>
      <w:r>
        <w:rPr>
          <w:rFonts w:ascii="Arial" w:cs="Arial" w:eastAsia="Arial" w:hAnsi="Arial"/>
          <w:sz w:val="18"/>
          <w:szCs w:val="18"/>
          <w:color w:val="auto"/>
        </w:rPr>
        <w:t>4.95</w:t>
      </w:r>
      <w:r>
        <w:rPr>
          <w:sz w:val="20"/>
          <w:szCs w:val="20"/>
          <w:color w:val="auto"/>
        </w:rPr>
        <w:tab/>
      </w:r>
      <w:hyperlink r:id="rId172">
        <w:r>
          <w:rPr>
            <w:rFonts w:ascii="Arial" w:cs="Arial" w:eastAsia="Arial" w:hAnsi="Arial"/>
            <w:sz w:val="18"/>
            <w:szCs w:val="18"/>
            <w:u w:val="single" w:color="auto"/>
            <w:color w:val="0000FF"/>
          </w:rPr>
          <w:t>Form of Pass Through Trust Certificate, Series 2016-2A (incorporated by reference to Exhibit A to Exhibit 4.3 to American’s</w:t>
        </w:r>
      </w:hyperlink>
      <w:r>
        <w:rPr>
          <w:rFonts w:ascii="Arial" w:cs="Arial" w:eastAsia="Arial" w:hAnsi="Arial"/>
          <w:sz w:val="18"/>
          <w:szCs w:val="18"/>
          <w:u w:val="single" w:color="auto"/>
          <w:color w:val="0000FF"/>
        </w:rPr>
        <w:t xml:space="preserve"> </w:t>
      </w:r>
      <w:hyperlink r:id="rId172">
        <w:r>
          <w:rPr>
            <w:rFonts w:ascii="Arial" w:cs="Arial" w:eastAsia="Arial" w:hAnsi="Arial"/>
            <w:sz w:val="18"/>
            <w:szCs w:val="18"/>
            <w:u w:val="single" w:color="auto"/>
            <w:color w:val="0000FF"/>
          </w:rPr>
          <w:t>Current Report on Form 8-K filed on May 17, 2016 (Commission File No. 1-2691)).</w:t>
        </w:r>
      </w:hyperlink>
    </w:p>
    <w:p>
      <w:pPr>
        <w:spacing w:after="0" w:line="22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170</w:t>
      </w:r>
    </w:p>
    <w:p>
      <w:pPr>
        <w:sectPr>
          <w:pgSz w:w="11900" w:h="16838" w:orient="portrait"/>
          <w:cols w:equalWidth="0" w:num="1">
            <w:col w:w="11360"/>
          </w:cols>
          <w:pgMar w:left="280" w:top="721" w:right="259" w:bottom="1440" w:gutter="0" w:footer="0" w:header="0"/>
        </w:sectPr>
      </w:pPr>
    </w:p>
    <w:bookmarkStart w:id="170" w:name="page171"/>
    <w:bookmarkEnd w:id="170"/>
    <w:p>
      <w:pPr>
        <w:spacing w:after="0"/>
        <w:rPr>
          <w:sz w:val="20"/>
          <w:szCs w:val="20"/>
          <w:color w:val="auto"/>
        </w:rPr>
      </w:pPr>
      <w:r>
        <w:rPr>
          <w:rFonts w:ascii="Arial" w:cs="Arial" w:eastAsia="Arial" w:hAnsi="Arial"/>
          <w:sz w:val="14"/>
          <w:szCs w:val="14"/>
          <w:b w:val="1"/>
          <w:bCs w:val="1"/>
          <w:color w:val="auto"/>
        </w:rPr>
        <w:t>Exhibit</w:t>
      </w:r>
    </w:p>
    <w:p>
      <w:pPr>
        <w:spacing w:after="0" w:line="19" w:lineRule="exact"/>
        <w:rPr>
          <w:sz w:val="20"/>
          <w:szCs w:val="20"/>
          <w:color w:val="auto"/>
        </w:rPr>
      </w:pPr>
    </w:p>
    <w:p>
      <w:pPr>
        <w:spacing w:after="0"/>
        <w:tabs>
          <w:tab w:leader="none" w:pos="900" w:val="left"/>
        </w:tabs>
        <w:rPr>
          <w:sz w:val="20"/>
          <w:szCs w:val="20"/>
          <w:color w:val="auto"/>
        </w:rPr>
      </w:pPr>
      <w:r>
        <w:rPr>
          <w:rFonts w:ascii="Arial" w:cs="Arial" w:eastAsia="Arial" w:hAnsi="Arial"/>
          <w:sz w:val="14"/>
          <w:szCs w:val="14"/>
          <w:b w:val="1"/>
          <w:bCs w:val="1"/>
          <w:u w:val="single" w:color="auto"/>
          <w:color w:val="auto"/>
        </w:rPr>
        <w:t>Number</w:t>
      </w:r>
      <w:r>
        <w:rPr>
          <w:sz w:val="20"/>
          <w:szCs w:val="20"/>
          <w:color w:val="auto"/>
        </w:rPr>
        <w:tab/>
      </w:r>
      <w:r>
        <w:rPr>
          <w:rFonts w:ascii="Arial" w:cs="Arial" w:eastAsia="Arial" w:hAnsi="Arial"/>
          <w:sz w:val="14"/>
          <w:szCs w:val="14"/>
          <w:b w:val="1"/>
          <w:bCs w:val="1"/>
          <w:u w:val="single" w:color="auto"/>
          <w:color w:val="auto"/>
        </w:rPr>
        <w:t>Description</w:t>
      </w:r>
    </w:p>
    <w:p>
      <w:pPr>
        <w:spacing w:after="0" w:line="49" w:lineRule="exact"/>
        <w:rPr>
          <w:sz w:val="20"/>
          <w:szCs w:val="20"/>
          <w:color w:val="auto"/>
        </w:rPr>
      </w:pPr>
    </w:p>
    <w:p>
      <w:pPr>
        <w:jc w:val="both"/>
        <w:ind w:left="920" w:hanging="917"/>
        <w:spacing w:after="0" w:line="239" w:lineRule="auto"/>
        <w:tabs>
          <w:tab w:leader="none" w:pos="900" w:val="left"/>
        </w:tabs>
        <w:rPr>
          <w:rFonts w:ascii="Arial" w:cs="Arial" w:eastAsia="Arial" w:hAnsi="Arial"/>
          <w:sz w:val="18"/>
          <w:szCs w:val="18"/>
          <w:u w:val="single" w:color="auto"/>
          <w:color w:val="0000FF"/>
        </w:rPr>
      </w:pPr>
      <w:r>
        <w:rPr>
          <w:rFonts w:ascii="Arial" w:cs="Arial" w:eastAsia="Arial" w:hAnsi="Arial"/>
          <w:sz w:val="18"/>
          <w:szCs w:val="18"/>
          <w:color w:val="auto"/>
        </w:rPr>
        <w:t>4.96</w:t>
      </w:r>
      <w:r>
        <w:rPr>
          <w:sz w:val="20"/>
          <w:szCs w:val="20"/>
          <w:color w:val="auto"/>
        </w:rPr>
        <w:tab/>
      </w:r>
      <w:hyperlink r:id="rId175">
        <w:r>
          <w:rPr>
            <w:rFonts w:ascii="Arial" w:cs="Arial" w:eastAsia="Arial" w:hAnsi="Arial"/>
            <w:sz w:val="18"/>
            <w:szCs w:val="18"/>
            <w:u w:val="single" w:color="auto"/>
            <w:color w:val="0000FF"/>
          </w:rPr>
          <w:t>Revolving Credit Agreement (2016-2AA), dated as of May 16, 2016, between Wilmington Trust Company, as Subordination Agent,</w:t>
        </w:r>
      </w:hyperlink>
      <w:r>
        <w:rPr>
          <w:rFonts w:ascii="Arial" w:cs="Arial" w:eastAsia="Arial" w:hAnsi="Arial"/>
          <w:sz w:val="18"/>
          <w:szCs w:val="18"/>
          <w:u w:val="single" w:color="auto"/>
          <w:color w:val="0000FF"/>
        </w:rPr>
        <w:t xml:space="preserve"> </w:t>
      </w:r>
      <w:hyperlink r:id="rId175">
        <w:r>
          <w:rPr>
            <w:rFonts w:ascii="Arial" w:cs="Arial" w:eastAsia="Arial" w:hAnsi="Arial"/>
            <w:sz w:val="18"/>
            <w:szCs w:val="18"/>
            <w:u w:val="single" w:color="auto"/>
            <w:color w:val="0000FF"/>
          </w:rPr>
          <w:t>as agent and trustee for the trustee of the American Airlines Pass Through Trust 2016-2AA, as Borrower, and KfW IPEX-Bank</w:t>
        </w:r>
      </w:hyperlink>
      <w:r>
        <w:rPr>
          <w:rFonts w:ascii="Arial" w:cs="Arial" w:eastAsia="Arial" w:hAnsi="Arial"/>
          <w:sz w:val="18"/>
          <w:szCs w:val="18"/>
          <w:u w:val="single" w:color="auto"/>
          <w:color w:val="0000FF"/>
        </w:rPr>
        <w:t xml:space="preserve"> </w:t>
      </w:r>
      <w:hyperlink r:id="rId175">
        <w:r>
          <w:rPr>
            <w:rFonts w:ascii="Arial" w:cs="Arial" w:eastAsia="Arial" w:hAnsi="Arial"/>
            <w:sz w:val="18"/>
            <w:szCs w:val="18"/>
            <w:u w:val="single" w:color="auto"/>
            <w:color w:val="0000FF"/>
          </w:rPr>
          <w:t>GmbH, as Liquidity Provider (incorporated by reference to Exhibit 4.14 to American’s Current Report on Form 8-K filed on May 17,</w:t>
        </w:r>
      </w:hyperlink>
      <w:r>
        <w:rPr>
          <w:rFonts w:ascii="Arial" w:cs="Arial" w:eastAsia="Arial" w:hAnsi="Arial"/>
          <w:sz w:val="18"/>
          <w:szCs w:val="18"/>
          <w:u w:val="single" w:color="auto"/>
          <w:color w:val="0000FF"/>
        </w:rPr>
        <w:t xml:space="preserve"> </w:t>
      </w:r>
      <w:hyperlink r:id="rId175">
        <w:r>
          <w:rPr>
            <w:rFonts w:ascii="Arial" w:cs="Arial" w:eastAsia="Arial" w:hAnsi="Arial"/>
            <w:sz w:val="18"/>
            <w:szCs w:val="18"/>
            <w:u w:val="single" w:color="auto"/>
            <w:color w:val="0000FF"/>
          </w:rPr>
          <w:t>2016 (Commission File No. 1-2691)).</w:t>
        </w:r>
      </w:hyperlink>
    </w:p>
    <w:p>
      <w:pPr>
        <w:spacing w:after="0" w:line="40" w:lineRule="exact"/>
        <w:rPr>
          <w:rFonts w:ascii="Arial" w:cs="Arial" w:eastAsia="Arial" w:hAnsi="Arial"/>
          <w:sz w:val="18"/>
          <w:szCs w:val="18"/>
          <w:u w:val="single" w:color="auto"/>
          <w:color w:val="0000FF"/>
        </w:rPr>
      </w:pPr>
    </w:p>
    <w:p>
      <w:pPr>
        <w:jc w:val="both"/>
        <w:ind w:left="920" w:hanging="917"/>
        <w:spacing w:after="0" w:line="239" w:lineRule="auto"/>
        <w:tabs>
          <w:tab w:leader="none" w:pos="900" w:val="left"/>
        </w:tabs>
        <w:rPr>
          <w:rFonts w:ascii="Arial" w:cs="Arial" w:eastAsia="Arial" w:hAnsi="Arial"/>
          <w:sz w:val="18"/>
          <w:szCs w:val="18"/>
          <w:u w:val="single" w:color="auto"/>
          <w:color w:val="0000FF"/>
        </w:rPr>
      </w:pPr>
      <w:r>
        <w:rPr>
          <w:rFonts w:ascii="Arial" w:cs="Arial" w:eastAsia="Arial" w:hAnsi="Arial"/>
          <w:sz w:val="18"/>
          <w:szCs w:val="18"/>
          <w:color w:val="auto"/>
        </w:rPr>
        <w:t>4.97</w:t>
      </w:r>
      <w:r>
        <w:rPr>
          <w:sz w:val="20"/>
          <w:szCs w:val="20"/>
          <w:color w:val="auto"/>
        </w:rPr>
        <w:tab/>
      </w:r>
      <w:hyperlink r:id="rId176">
        <w:r>
          <w:rPr>
            <w:rFonts w:ascii="Arial" w:cs="Arial" w:eastAsia="Arial" w:hAnsi="Arial"/>
            <w:sz w:val="18"/>
            <w:szCs w:val="18"/>
            <w:u w:val="single" w:color="auto"/>
            <w:color w:val="0000FF"/>
          </w:rPr>
          <w:t>Revolving Credit Agreement (2016-2A), dated as of May 16, 2016, between Wilmington Trust Company, as Subordination Agent,</w:t>
        </w:r>
      </w:hyperlink>
      <w:r>
        <w:rPr>
          <w:rFonts w:ascii="Arial" w:cs="Arial" w:eastAsia="Arial" w:hAnsi="Arial"/>
          <w:sz w:val="18"/>
          <w:szCs w:val="18"/>
          <w:u w:val="single" w:color="auto"/>
          <w:color w:val="0000FF"/>
        </w:rPr>
        <w:t xml:space="preserve"> </w:t>
      </w:r>
      <w:hyperlink r:id="rId176">
        <w:r>
          <w:rPr>
            <w:rFonts w:ascii="Arial" w:cs="Arial" w:eastAsia="Arial" w:hAnsi="Arial"/>
            <w:sz w:val="18"/>
            <w:szCs w:val="18"/>
            <w:u w:val="single" w:color="auto"/>
            <w:color w:val="0000FF"/>
          </w:rPr>
          <w:t>as agent and trustee for the trustee of the American Airlines Pass Through Trust 2016-2A, as Borrower, and KfW IPEX-Bank</w:t>
        </w:r>
      </w:hyperlink>
      <w:r>
        <w:rPr>
          <w:rFonts w:ascii="Arial" w:cs="Arial" w:eastAsia="Arial" w:hAnsi="Arial"/>
          <w:sz w:val="18"/>
          <w:szCs w:val="18"/>
          <w:u w:val="single" w:color="auto"/>
          <w:color w:val="0000FF"/>
        </w:rPr>
        <w:t xml:space="preserve"> </w:t>
      </w:r>
      <w:hyperlink r:id="rId176">
        <w:r>
          <w:rPr>
            <w:rFonts w:ascii="Arial" w:cs="Arial" w:eastAsia="Arial" w:hAnsi="Arial"/>
            <w:sz w:val="18"/>
            <w:szCs w:val="18"/>
            <w:u w:val="single" w:color="auto"/>
            <w:color w:val="0000FF"/>
          </w:rPr>
          <w:t>GmbH, as Liquidity Provider (incorporated by reference to Exhibit 4.15 to American’s Current Report on Form 8-K filed on May 17,</w:t>
        </w:r>
      </w:hyperlink>
      <w:r>
        <w:rPr>
          <w:rFonts w:ascii="Arial" w:cs="Arial" w:eastAsia="Arial" w:hAnsi="Arial"/>
          <w:sz w:val="18"/>
          <w:szCs w:val="18"/>
          <w:u w:val="single" w:color="auto"/>
          <w:color w:val="0000FF"/>
        </w:rPr>
        <w:t xml:space="preserve"> </w:t>
      </w:r>
      <w:hyperlink r:id="rId176">
        <w:r>
          <w:rPr>
            <w:rFonts w:ascii="Arial" w:cs="Arial" w:eastAsia="Arial" w:hAnsi="Arial"/>
            <w:sz w:val="18"/>
            <w:szCs w:val="18"/>
            <w:u w:val="single" w:color="auto"/>
            <w:color w:val="0000FF"/>
          </w:rPr>
          <w:t>2016 (Commission File No. 1-2691)).</w:t>
        </w:r>
      </w:hyperlink>
    </w:p>
    <w:p>
      <w:pPr>
        <w:spacing w:after="0" w:line="40" w:lineRule="exact"/>
        <w:rPr>
          <w:rFonts w:ascii="Arial" w:cs="Arial" w:eastAsia="Arial" w:hAnsi="Arial"/>
          <w:sz w:val="18"/>
          <w:szCs w:val="18"/>
          <w:u w:val="single" w:color="auto"/>
          <w:color w:val="0000FF"/>
        </w:rPr>
      </w:pPr>
    </w:p>
    <w:p>
      <w:pPr>
        <w:jc w:val="both"/>
        <w:ind w:left="920" w:right="20" w:hanging="917"/>
        <w:spacing w:after="0"/>
        <w:tabs>
          <w:tab w:leader="none" w:pos="900" w:val="left"/>
        </w:tabs>
        <w:rPr>
          <w:rFonts w:ascii="Arial" w:cs="Arial" w:eastAsia="Arial" w:hAnsi="Arial"/>
          <w:sz w:val="18"/>
          <w:szCs w:val="18"/>
          <w:u w:val="single" w:color="auto"/>
          <w:color w:val="0000FF"/>
        </w:rPr>
      </w:pPr>
      <w:r>
        <w:rPr>
          <w:rFonts w:ascii="Arial" w:cs="Arial" w:eastAsia="Arial" w:hAnsi="Arial"/>
          <w:sz w:val="18"/>
          <w:szCs w:val="18"/>
          <w:color w:val="auto"/>
        </w:rPr>
        <w:t>4.98</w:t>
      </w:r>
      <w:r>
        <w:rPr>
          <w:sz w:val="20"/>
          <w:szCs w:val="20"/>
          <w:color w:val="auto"/>
        </w:rPr>
        <w:tab/>
      </w:r>
      <w:hyperlink r:id="rId177">
        <w:r>
          <w:rPr>
            <w:rFonts w:ascii="Arial" w:cs="Arial" w:eastAsia="Arial" w:hAnsi="Arial"/>
            <w:sz w:val="18"/>
            <w:szCs w:val="18"/>
            <w:u w:val="single" w:color="auto"/>
            <w:color w:val="0000FF"/>
          </w:rPr>
          <w:t>Trust Supplement No. 2016-2B, dated as of July 8, 2016, between American Airlines, Inc. and Wilmington Trust Company, as</w:t>
        </w:r>
      </w:hyperlink>
      <w:r>
        <w:rPr>
          <w:rFonts w:ascii="Arial" w:cs="Arial" w:eastAsia="Arial" w:hAnsi="Arial"/>
          <w:sz w:val="18"/>
          <w:szCs w:val="18"/>
          <w:u w:val="single" w:color="auto"/>
          <w:color w:val="0000FF"/>
        </w:rPr>
        <w:t xml:space="preserve"> </w:t>
      </w:r>
      <w:hyperlink r:id="rId177">
        <w:r>
          <w:rPr>
            <w:rFonts w:ascii="Arial" w:cs="Arial" w:eastAsia="Arial" w:hAnsi="Arial"/>
            <w:sz w:val="18"/>
            <w:szCs w:val="18"/>
            <w:u w:val="single" w:color="auto"/>
            <w:color w:val="0000FF"/>
          </w:rPr>
          <w:t>Trustee, to the Pass Through Trust Agreement, dated as of September 16, 2014 (incorporated by reference to Exhibit 4.2 to</w:t>
        </w:r>
      </w:hyperlink>
      <w:r>
        <w:rPr>
          <w:rFonts w:ascii="Arial" w:cs="Arial" w:eastAsia="Arial" w:hAnsi="Arial"/>
          <w:sz w:val="18"/>
          <w:szCs w:val="18"/>
          <w:u w:val="single" w:color="auto"/>
          <w:color w:val="0000FF"/>
        </w:rPr>
        <w:t xml:space="preserve"> </w:t>
      </w:r>
      <w:hyperlink r:id="rId177">
        <w:r>
          <w:rPr>
            <w:rFonts w:ascii="Arial" w:cs="Arial" w:eastAsia="Arial" w:hAnsi="Arial"/>
            <w:sz w:val="18"/>
            <w:szCs w:val="18"/>
            <w:u w:val="single" w:color="auto"/>
            <w:color w:val="0000FF"/>
          </w:rPr>
          <w:t>American’s Current Report on Form 8-K filed on July 12, 2016 (Commission File No. 1-2691)).</w:t>
        </w:r>
      </w:hyperlink>
    </w:p>
    <w:p>
      <w:pPr>
        <w:spacing w:after="0" w:line="41" w:lineRule="exact"/>
        <w:rPr>
          <w:rFonts w:ascii="Arial" w:cs="Arial" w:eastAsia="Arial" w:hAnsi="Arial"/>
          <w:sz w:val="18"/>
          <w:szCs w:val="18"/>
          <w:u w:val="single" w:color="auto"/>
          <w:color w:val="0000FF"/>
        </w:rPr>
      </w:pPr>
    </w:p>
    <w:p>
      <w:pPr>
        <w:jc w:val="both"/>
        <w:ind w:left="920" w:right="20" w:hanging="917"/>
        <w:spacing w:after="0" w:line="238" w:lineRule="auto"/>
        <w:tabs>
          <w:tab w:leader="none" w:pos="900" w:val="left"/>
        </w:tabs>
        <w:rPr>
          <w:rFonts w:ascii="Arial" w:cs="Arial" w:eastAsia="Arial" w:hAnsi="Arial"/>
          <w:sz w:val="18"/>
          <w:szCs w:val="18"/>
          <w:u w:val="single" w:color="auto"/>
          <w:color w:val="0000FF"/>
        </w:rPr>
      </w:pPr>
      <w:r>
        <w:rPr>
          <w:rFonts w:ascii="Arial" w:cs="Arial" w:eastAsia="Arial" w:hAnsi="Arial"/>
          <w:sz w:val="18"/>
          <w:szCs w:val="18"/>
          <w:color w:val="auto"/>
        </w:rPr>
        <w:t>4.99</w:t>
      </w:r>
      <w:r>
        <w:rPr>
          <w:sz w:val="20"/>
          <w:szCs w:val="20"/>
          <w:color w:val="auto"/>
        </w:rPr>
        <w:tab/>
      </w:r>
      <w:hyperlink r:id="rId178">
        <w:r>
          <w:rPr>
            <w:rFonts w:ascii="Arial" w:cs="Arial" w:eastAsia="Arial" w:hAnsi="Arial"/>
            <w:sz w:val="18"/>
            <w:szCs w:val="18"/>
            <w:u w:val="single" w:color="auto"/>
            <w:color w:val="0000FF"/>
          </w:rPr>
          <w:t>Amended and Restated Intercreditor Agreement (2016-2), dated as of July 8, 2016, among Wilmington Trust Company, as Trustee</w:t>
        </w:r>
      </w:hyperlink>
      <w:r>
        <w:rPr>
          <w:rFonts w:ascii="Arial" w:cs="Arial" w:eastAsia="Arial" w:hAnsi="Arial"/>
          <w:sz w:val="18"/>
          <w:szCs w:val="18"/>
          <w:u w:val="single" w:color="auto"/>
          <w:color w:val="0000FF"/>
        </w:rPr>
        <w:t xml:space="preserve"> </w:t>
      </w:r>
      <w:hyperlink r:id="rId178">
        <w:r>
          <w:rPr>
            <w:rFonts w:ascii="Arial" w:cs="Arial" w:eastAsia="Arial" w:hAnsi="Arial"/>
            <w:sz w:val="18"/>
            <w:szCs w:val="18"/>
            <w:u w:val="single" w:color="auto"/>
            <w:color w:val="0000FF"/>
          </w:rPr>
          <w:t>of the American Airlines Pass Through Trust 2016-2AA, as Trustee of the American Airlines Pass Through Trust 2016-2A and as</w:t>
        </w:r>
      </w:hyperlink>
      <w:r>
        <w:rPr>
          <w:rFonts w:ascii="Arial" w:cs="Arial" w:eastAsia="Arial" w:hAnsi="Arial"/>
          <w:sz w:val="18"/>
          <w:szCs w:val="18"/>
          <w:u w:val="single" w:color="auto"/>
          <w:color w:val="0000FF"/>
        </w:rPr>
        <w:t xml:space="preserve"> </w:t>
      </w:r>
      <w:hyperlink r:id="rId178">
        <w:r>
          <w:rPr>
            <w:rFonts w:ascii="Arial" w:cs="Arial" w:eastAsia="Arial" w:hAnsi="Arial"/>
            <w:sz w:val="18"/>
            <w:szCs w:val="18"/>
            <w:u w:val="single" w:color="auto"/>
            <w:color w:val="0000FF"/>
          </w:rPr>
          <w:t>Trustee of the American Airlines Pass Through Trust 2016-2B, KfW IPEX-Bank GmbH, as Class AA Liquidity Provider, Class A</w:t>
        </w:r>
      </w:hyperlink>
      <w:r>
        <w:rPr>
          <w:rFonts w:ascii="Arial" w:cs="Arial" w:eastAsia="Arial" w:hAnsi="Arial"/>
          <w:sz w:val="18"/>
          <w:szCs w:val="18"/>
          <w:u w:val="single" w:color="auto"/>
          <w:color w:val="0000FF"/>
        </w:rPr>
        <w:t xml:space="preserve"> </w:t>
      </w:r>
      <w:hyperlink r:id="rId178">
        <w:r>
          <w:rPr>
            <w:rFonts w:ascii="Arial" w:cs="Arial" w:eastAsia="Arial" w:hAnsi="Arial"/>
            <w:sz w:val="18"/>
            <w:szCs w:val="18"/>
            <w:u w:val="single" w:color="auto"/>
            <w:color w:val="0000FF"/>
          </w:rPr>
          <w:t>Liquidity Provider and Class B Liquidity Provider, and Wilmington Trust Company, as Subordination Agent (incorporated by</w:t>
        </w:r>
      </w:hyperlink>
      <w:r>
        <w:rPr>
          <w:rFonts w:ascii="Arial" w:cs="Arial" w:eastAsia="Arial" w:hAnsi="Arial"/>
          <w:sz w:val="18"/>
          <w:szCs w:val="18"/>
          <w:u w:val="single" w:color="auto"/>
          <w:color w:val="0000FF"/>
        </w:rPr>
        <w:t xml:space="preserve"> </w:t>
      </w:r>
      <w:hyperlink r:id="rId178">
        <w:r>
          <w:rPr>
            <w:rFonts w:ascii="Arial" w:cs="Arial" w:eastAsia="Arial" w:hAnsi="Arial"/>
            <w:sz w:val="18"/>
            <w:szCs w:val="18"/>
            <w:u w:val="single" w:color="auto"/>
            <w:color w:val="0000FF"/>
          </w:rPr>
          <w:t>reference to Exhibit 4.3 to American’s Current Report on Form 8-K filed on July 12, 2016 (Commission File No. 1-2691)).</w:t>
        </w:r>
      </w:hyperlink>
    </w:p>
    <w:p>
      <w:pPr>
        <w:spacing w:after="0" w:line="41" w:lineRule="exact"/>
        <w:rPr>
          <w:rFonts w:ascii="Arial" w:cs="Arial" w:eastAsia="Arial" w:hAnsi="Arial"/>
          <w:sz w:val="18"/>
          <w:szCs w:val="18"/>
          <w:u w:val="single" w:color="auto"/>
          <w:color w:val="0000FF"/>
        </w:rPr>
      </w:pPr>
    </w:p>
    <w:p>
      <w:pPr>
        <w:jc w:val="both"/>
        <w:ind w:left="920" w:hanging="917"/>
        <w:spacing w:after="0" w:line="238" w:lineRule="auto"/>
        <w:tabs>
          <w:tab w:leader="none" w:pos="900" w:val="left"/>
        </w:tabs>
        <w:rPr>
          <w:rFonts w:ascii="Arial" w:cs="Arial" w:eastAsia="Arial" w:hAnsi="Arial"/>
          <w:sz w:val="18"/>
          <w:szCs w:val="18"/>
          <w:u w:val="single" w:color="auto"/>
          <w:color w:val="0000FF"/>
        </w:rPr>
      </w:pPr>
      <w:r>
        <w:rPr>
          <w:rFonts w:ascii="Arial" w:cs="Arial" w:eastAsia="Arial" w:hAnsi="Arial"/>
          <w:sz w:val="18"/>
          <w:szCs w:val="18"/>
          <w:color w:val="auto"/>
        </w:rPr>
        <w:t>4.100</w:t>
      </w:r>
      <w:r>
        <w:rPr>
          <w:sz w:val="20"/>
          <w:szCs w:val="20"/>
          <w:color w:val="auto"/>
        </w:rPr>
        <w:tab/>
      </w:r>
      <w:hyperlink r:id="rId179">
        <w:r>
          <w:rPr>
            <w:rFonts w:ascii="Arial" w:cs="Arial" w:eastAsia="Arial" w:hAnsi="Arial"/>
            <w:sz w:val="18"/>
            <w:szCs w:val="18"/>
            <w:u w:val="single" w:color="auto"/>
            <w:color w:val="0000FF"/>
          </w:rPr>
          <w:t>Amended and Restated Note Purchase Agreement, dated as of July 8, 2016, among American Airlines, Inc., Wilmington Trust</w:t>
        </w:r>
      </w:hyperlink>
      <w:r>
        <w:rPr>
          <w:rFonts w:ascii="Arial" w:cs="Arial" w:eastAsia="Arial" w:hAnsi="Arial"/>
          <w:sz w:val="18"/>
          <w:szCs w:val="18"/>
          <w:u w:val="single" w:color="auto"/>
          <w:color w:val="0000FF"/>
        </w:rPr>
        <w:t xml:space="preserve"> </w:t>
      </w:r>
      <w:hyperlink r:id="rId179">
        <w:r>
          <w:rPr>
            <w:rFonts w:ascii="Arial" w:cs="Arial" w:eastAsia="Arial" w:hAnsi="Arial"/>
            <w:sz w:val="18"/>
            <w:szCs w:val="18"/>
            <w:u w:val="single" w:color="auto"/>
            <w:color w:val="0000FF"/>
          </w:rPr>
          <w:t>Company, as Pass Through Trustee under each of the Pass Through Trust Agreements, Wilmington Trust Company, as</w:t>
        </w:r>
      </w:hyperlink>
      <w:r>
        <w:rPr>
          <w:rFonts w:ascii="Arial" w:cs="Arial" w:eastAsia="Arial" w:hAnsi="Arial"/>
          <w:sz w:val="18"/>
          <w:szCs w:val="18"/>
          <w:u w:val="single" w:color="auto"/>
          <w:color w:val="0000FF"/>
        </w:rPr>
        <w:t xml:space="preserve"> </w:t>
      </w:r>
      <w:hyperlink r:id="rId179">
        <w:r>
          <w:rPr>
            <w:rFonts w:ascii="Arial" w:cs="Arial" w:eastAsia="Arial" w:hAnsi="Arial"/>
            <w:sz w:val="18"/>
            <w:szCs w:val="18"/>
            <w:u w:val="single" w:color="auto"/>
            <w:color w:val="0000FF"/>
          </w:rPr>
          <w:t>Subordination Agent, Wilmington Trust, National Association, as Escrow Agent, and Wilmington Trust Company, as Paying Agent</w:t>
        </w:r>
      </w:hyperlink>
      <w:r>
        <w:rPr>
          <w:rFonts w:ascii="Arial" w:cs="Arial" w:eastAsia="Arial" w:hAnsi="Arial"/>
          <w:sz w:val="18"/>
          <w:szCs w:val="18"/>
          <w:u w:val="single" w:color="auto"/>
          <w:color w:val="0000FF"/>
        </w:rPr>
        <w:t xml:space="preserve"> </w:t>
      </w:r>
      <w:hyperlink r:id="rId179">
        <w:r>
          <w:rPr>
            <w:rFonts w:ascii="Arial" w:cs="Arial" w:eastAsia="Arial" w:hAnsi="Arial"/>
            <w:sz w:val="18"/>
            <w:szCs w:val="18"/>
            <w:u w:val="single" w:color="auto"/>
            <w:color w:val="0000FF"/>
          </w:rPr>
          <w:t>(incorporated by reference to Exhibit 4.6 to American’s Current Report on Form 8-K filed on July 12, 2016 (Commission File No. 1-</w:t>
        </w:r>
      </w:hyperlink>
      <w:hyperlink r:id="rId179">
        <w:r>
          <w:rPr>
            <w:rFonts w:ascii="Arial" w:cs="Arial" w:eastAsia="Arial" w:hAnsi="Arial"/>
            <w:sz w:val="18"/>
            <w:szCs w:val="18"/>
            <w:u w:val="single" w:color="auto"/>
            <w:color w:val="0000FF"/>
          </w:rPr>
          <w:t>2691)).</w:t>
        </w:r>
      </w:hyperlink>
    </w:p>
    <w:p>
      <w:pPr>
        <w:spacing w:after="0" w:line="41" w:lineRule="exact"/>
        <w:rPr>
          <w:rFonts w:ascii="Arial" w:cs="Arial" w:eastAsia="Arial" w:hAnsi="Arial"/>
          <w:sz w:val="18"/>
          <w:szCs w:val="18"/>
          <w:u w:val="single" w:color="auto"/>
          <w:color w:val="0000FF"/>
        </w:rPr>
      </w:pPr>
    </w:p>
    <w:p>
      <w:pPr>
        <w:jc w:val="both"/>
        <w:ind w:left="920" w:right="20" w:hanging="917"/>
        <w:spacing w:after="0" w:line="238" w:lineRule="auto"/>
        <w:tabs>
          <w:tab w:leader="none" w:pos="900" w:val="left"/>
        </w:tabs>
        <w:rPr>
          <w:rFonts w:ascii="Arial" w:cs="Arial" w:eastAsia="Arial" w:hAnsi="Arial"/>
          <w:sz w:val="18"/>
          <w:szCs w:val="18"/>
          <w:u w:val="single" w:color="auto"/>
          <w:color w:val="0000FF"/>
        </w:rPr>
      </w:pPr>
      <w:r>
        <w:rPr>
          <w:rFonts w:ascii="Arial" w:cs="Arial" w:eastAsia="Arial" w:hAnsi="Arial"/>
          <w:sz w:val="18"/>
          <w:szCs w:val="18"/>
          <w:color w:val="auto"/>
        </w:rPr>
        <w:t>4.101</w:t>
      </w:r>
      <w:r>
        <w:rPr>
          <w:sz w:val="20"/>
          <w:szCs w:val="20"/>
          <w:color w:val="auto"/>
        </w:rPr>
        <w:tab/>
      </w:r>
      <w:hyperlink r:id="rId179">
        <w:r>
          <w:rPr>
            <w:rFonts w:ascii="Arial" w:cs="Arial" w:eastAsia="Arial" w:hAnsi="Arial"/>
            <w:sz w:val="18"/>
            <w:szCs w:val="18"/>
            <w:u w:val="single" w:color="auto"/>
            <w:color w:val="0000FF"/>
          </w:rPr>
          <w:t>Form of Participation Agreement (Participation Agreement among American Airlines, Inc., Wilmington Trust Company, as Pass</w:t>
        </w:r>
      </w:hyperlink>
      <w:r>
        <w:rPr>
          <w:rFonts w:ascii="Arial" w:cs="Arial" w:eastAsia="Arial" w:hAnsi="Arial"/>
          <w:sz w:val="18"/>
          <w:szCs w:val="18"/>
          <w:u w:val="single" w:color="auto"/>
          <w:color w:val="0000FF"/>
        </w:rPr>
        <w:t xml:space="preserve"> </w:t>
      </w:r>
      <w:hyperlink r:id="rId179">
        <w:r>
          <w:rPr>
            <w:rFonts w:ascii="Arial" w:cs="Arial" w:eastAsia="Arial" w:hAnsi="Arial"/>
            <w:sz w:val="18"/>
            <w:szCs w:val="18"/>
            <w:u w:val="single" w:color="auto"/>
            <w:color w:val="0000FF"/>
          </w:rPr>
          <w:t>Through Trustee under each of the Pass Through Trust Agreements, Wilmington Trust Company, as Subordination Agent,</w:t>
        </w:r>
      </w:hyperlink>
      <w:r>
        <w:rPr>
          <w:rFonts w:ascii="Arial" w:cs="Arial" w:eastAsia="Arial" w:hAnsi="Arial"/>
          <w:sz w:val="18"/>
          <w:szCs w:val="18"/>
          <w:u w:val="single" w:color="auto"/>
          <w:color w:val="0000FF"/>
        </w:rPr>
        <w:t xml:space="preserve"> </w:t>
      </w:r>
      <w:hyperlink r:id="rId179">
        <w:r>
          <w:rPr>
            <w:rFonts w:ascii="Arial" w:cs="Arial" w:eastAsia="Arial" w:hAnsi="Arial"/>
            <w:sz w:val="18"/>
            <w:szCs w:val="18"/>
            <w:u w:val="single" w:color="auto"/>
            <w:color w:val="0000FF"/>
          </w:rPr>
          <w:t>Wilmington Trust Company, as Loan Trustee, and Wilmington Trust Company, in its individual capacity as set forth therein)</w:t>
        </w:r>
      </w:hyperlink>
      <w:r>
        <w:rPr>
          <w:rFonts w:ascii="Arial" w:cs="Arial" w:eastAsia="Arial" w:hAnsi="Arial"/>
          <w:sz w:val="18"/>
          <w:szCs w:val="18"/>
          <w:u w:val="single" w:color="auto"/>
          <w:color w:val="0000FF"/>
        </w:rPr>
        <w:t xml:space="preserve"> </w:t>
      </w:r>
      <w:hyperlink r:id="rId179">
        <w:r>
          <w:rPr>
            <w:rFonts w:ascii="Arial" w:cs="Arial" w:eastAsia="Arial" w:hAnsi="Arial"/>
            <w:sz w:val="18"/>
            <w:szCs w:val="18"/>
            <w:u w:val="single" w:color="auto"/>
            <w:color w:val="0000FF"/>
          </w:rPr>
          <w:t>(incorporated by reference to Exhibit B to Exhibit 4.6 to American’s Current Report on Form 8-K filed on July 12, 2016</w:t>
        </w:r>
      </w:hyperlink>
      <w:r>
        <w:rPr>
          <w:rFonts w:ascii="Arial" w:cs="Arial" w:eastAsia="Arial" w:hAnsi="Arial"/>
          <w:sz w:val="18"/>
          <w:szCs w:val="18"/>
          <w:u w:val="single" w:color="auto"/>
          <w:color w:val="0000FF"/>
        </w:rPr>
        <w:t xml:space="preserve"> </w:t>
      </w:r>
      <w:hyperlink r:id="rId179">
        <w:r>
          <w:rPr>
            <w:rFonts w:ascii="Arial" w:cs="Arial" w:eastAsia="Arial" w:hAnsi="Arial"/>
            <w:sz w:val="18"/>
            <w:szCs w:val="18"/>
            <w:u w:val="single" w:color="auto"/>
            <w:color w:val="0000FF"/>
          </w:rPr>
          <w:t>(Commission File No. 1-2691)).</w:t>
        </w:r>
      </w:hyperlink>
    </w:p>
    <w:p>
      <w:pPr>
        <w:spacing w:after="0" w:line="41" w:lineRule="exact"/>
        <w:rPr>
          <w:rFonts w:ascii="Arial" w:cs="Arial" w:eastAsia="Arial" w:hAnsi="Arial"/>
          <w:sz w:val="18"/>
          <w:szCs w:val="18"/>
          <w:u w:val="single" w:color="auto"/>
          <w:color w:val="0000FF"/>
        </w:rPr>
      </w:pPr>
    </w:p>
    <w:p>
      <w:pPr>
        <w:jc w:val="both"/>
        <w:ind w:left="920" w:hanging="917"/>
        <w:spacing w:after="0" w:line="238" w:lineRule="auto"/>
        <w:tabs>
          <w:tab w:leader="none" w:pos="900" w:val="left"/>
        </w:tabs>
        <w:rPr>
          <w:rFonts w:ascii="Arial" w:cs="Arial" w:eastAsia="Arial" w:hAnsi="Arial"/>
          <w:sz w:val="18"/>
          <w:szCs w:val="18"/>
          <w:u w:val="single" w:color="auto"/>
          <w:color w:val="0000FF"/>
        </w:rPr>
      </w:pPr>
      <w:r>
        <w:rPr>
          <w:rFonts w:ascii="Arial" w:cs="Arial" w:eastAsia="Arial" w:hAnsi="Arial"/>
          <w:sz w:val="18"/>
          <w:szCs w:val="18"/>
          <w:color w:val="auto"/>
        </w:rPr>
        <w:t>4.102</w:t>
      </w:r>
      <w:r>
        <w:rPr>
          <w:sz w:val="20"/>
          <w:szCs w:val="20"/>
          <w:color w:val="auto"/>
        </w:rPr>
        <w:tab/>
      </w:r>
      <w:hyperlink r:id="rId179">
        <w:r>
          <w:rPr>
            <w:rFonts w:ascii="Arial" w:cs="Arial" w:eastAsia="Arial" w:hAnsi="Arial"/>
            <w:sz w:val="18"/>
            <w:szCs w:val="18"/>
            <w:u w:val="single" w:color="auto"/>
            <w:color w:val="0000FF"/>
          </w:rPr>
          <w:t>Form of First Amendment to Participation Agreement (First Amendment to Participation Agreement among American Airlines, Inc.,</w:t>
        </w:r>
      </w:hyperlink>
      <w:r>
        <w:rPr>
          <w:rFonts w:ascii="Arial" w:cs="Arial" w:eastAsia="Arial" w:hAnsi="Arial"/>
          <w:sz w:val="18"/>
          <w:szCs w:val="18"/>
          <w:u w:val="single" w:color="auto"/>
          <w:color w:val="0000FF"/>
        </w:rPr>
        <w:t xml:space="preserve"> </w:t>
      </w:r>
      <w:hyperlink r:id="rId179">
        <w:r>
          <w:rPr>
            <w:rFonts w:ascii="Arial" w:cs="Arial" w:eastAsia="Arial" w:hAnsi="Arial"/>
            <w:sz w:val="18"/>
            <w:szCs w:val="18"/>
            <w:u w:val="single" w:color="auto"/>
            <w:color w:val="0000FF"/>
          </w:rPr>
          <w:t>Wilmington Trust Company, as Pass Through Trustee under each of the Pass Through Trust Agreements, Wilmington Trust</w:t>
        </w:r>
      </w:hyperlink>
      <w:r>
        <w:rPr>
          <w:rFonts w:ascii="Arial" w:cs="Arial" w:eastAsia="Arial" w:hAnsi="Arial"/>
          <w:sz w:val="18"/>
          <w:szCs w:val="18"/>
          <w:u w:val="single" w:color="auto"/>
          <w:color w:val="0000FF"/>
        </w:rPr>
        <w:t xml:space="preserve"> </w:t>
      </w:r>
      <w:hyperlink r:id="rId179">
        <w:r>
          <w:rPr>
            <w:rFonts w:ascii="Arial" w:cs="Arial" w:eastAsia="Arial" w:hAnsi="Arial"/>
            <w:sz w:val="18"/>
            <w:szCs w:val="18"/>
            <w:u w:val="single" w:color="auto"/>
            <w:color w:val="0000FF"/>
          </w:rPr>
          <w:t>Company, as Subordination Agent, Wilmington Trust Company, as Loan Trustee, and Wilmington Trust Company, in its individual</w:t>
        </w:r>
      </w:hyperlink>
      <w:r>
        <w:rPr>
          <w:rFonts w:ascii="Arial" w:cs="Arial" w:eastAsia="Arial" w:hAnsi="Arial"/>
          <w:sz w:val="18"/>
          <w:szCs w:val="18"/>
          <w:u w:val="single" w:color="auto"/>
          <w:color w:val="0000FF"/>
        </w:rPr>
        <w:t xml:space="preserve"> </w:t>
      </w:r>
      <w:hyperlink r:id="rId179">
        <w:r>
          <w:rPr>
            <w:rFonts w:ascii="Arial" w:cs="Arial" w:eastAsia="Arial" w:hAnsi="Arial"/>
            <w:sz w:val="18"/>
            <w:szCs w:val="18"/>
            <w:u w:val="single" w:color="auto"/>
            <w:color w:val="0000FF"/>
          </w:rPr>
          <w:t>capacity as set forth therein) (incorporated by reference to Exhibit D to Exhibit 4.6 to American’s Current Report on Form 8-K filed</w:t>
        </w:r>
      </w:hyperlink>
      <w:r>
        <w:rPr>
          <w:rFonts w:ascii="Arial" w:cs="Arial" w:eastAsia="Arial" w:hAnsi="Arial"/>
          <w:sz w:val="18"/>
          <w:szCs w:val="18"/>
          <w:u w:val="single" w:color="auto"/>
          <w:color w:val="0000FF"/>
        </w:rPr>
        <w:t xml:space="preserve"> </w:t>
      </w:r>
      <w:hyperlink r:id="rId179">
        <w:r>
          <w:rPr>
            <w:rFonts w:ascii="Arial" w:cs="Arial" w:eastAsia="Arial" w:hAnsi="Arial"/>
            <w:sz w:val="18"/>
            <w:szCs w:val="18"/>
            <w:u w:val="single" w:color="auto"/>
            <w:color w:val="0000FF"/>
          </w:rPr>
          <w:t>on July 12, 2016 (Commission File No. 1-2691)).</w:t>
        </w:r>
      </w:hyperlink>
    </w:p>
    <w:p>
      <w:pPr>
        <w:spacing w:after="0" w:line="41" w:lineRule="exact"/>
        <w:rPr>
          <w:rFonts w:ascii="Arial" w:cs="Arial" w:eastAsia="Arial" w:hAnsi="Arial"/>
          <w:sz w:val="18"/>
          <w:szCs w:val="18"/>
          <w:u w:val="single" w:color="auto"/>
          <w:color w:val="0000FF"/>
        </w:rPr>
      </w:pPr>
    </w:p>
    <w:p>
      <w:pPr>
        <w:jc w:val="both"/>
        <w:ind w:left="920" w:right="20" w:hanging="917"/>
        <w:spacing w:after="0"/>
        <w:tabs>
          <w:tab w:leader="none" w:pos="900" w:val="left"/>
        </w:tabs>
        <w:rPr>
          <w:rFonts w:ascii="Arial" w:cs="Arial" w:eastAsia="Arial" w:hAnsi="Arial"/>
          <w:sz w:val="18"/>
          <w:szCs w:val="18"/>
          <w:u w:val="single" w:color="auto"/>
          <w:color w:val="0000FF"/>
        </w:rPr>
      </w:pPr>
      <w:r>
        <w:rPr>
          <w:rFonts w:ascii="Arial" w:cs="Arial" w:eastAsia="Arial" w:hAnsi="Arial"/>
          <w:sz w:val="18"/>
          <w:szCs w:val="18"/>
          <w:color w:val="auto"/>
        </w:rPr>
        <w:t>4.103</w:t>
      </w:r>
      <w:r>
        <w:rPr>
          <w:sz w:val="20"/>
          <w:szCs w:val="20"/>
          <w:color w:val="auto"/>
        </w:rPr>
        <w:tab/>
      </w:r>
      <w:hyperlink r:id="rId179">
        <w:r>
          <w:rPr>
            <w:rFonts w:ascii="Arial" w:cs="Arial" w:eastAsia="Arial" w:hAnsi="Arial"/>
            <w:sz w:val="18"/>
            <w:szCs w:val="18"/>
            <w:u w:val="single" w:color="auto"/>
            <w:color w:val="0000FF"/>
          </w:rPr>
          <w:t>Form of Indenture and Security Agreement (Indenture and Security Agreement between American Airlines, Inc., and Wilmington</w:t>
        </w:r>
      </w:hyperlink>
      <w:r>
        <w:rPr>
          <w:rFonts w:ascii="Arial" w:cs="Arial" w:eastAsia="Arial" w:hAnsi="Arial"/>
          <w:sz w:val="18"/>
          <w:szCs w:val="18"/>
          <w:u w:val="single" w:color="auto"/>
          <w:color w:val="0000FF"/>
        </w:rPr>
        <w:t xml:space="preserve"> </w:t>
      </w:r>
      <w:hyperlink r:id="rId179">
        <w:r>
          <w:rPr>
            <w:rFonts w:ascii="Arial" w:cs="Arial" w:eastAsia="Arial" w:hAnsi="Arial"/>
            <w:sz w:val="18"/>
            <w:szCs w:val="18"/>
            <w:u w:val="single" w:color="auto"/>
            <w:color w:val="0000FF"/>
          </w:rPr>
          <w:t>Trust Company, as Loan Trustee) (incorporated by reference to Exhibit C to Exhibit 4.6 to American’s Current Report on Form 8-K</w:t>
        </w:r>
      </w:hyperlink>
      <w:r>
        <w:rPr>
          <w:rFonts w:ascii="Arial" w:cs="Arial" w:eastAsia="Arial" w:hAnsi="Arial"/>
          <w:sz w:val="18"/>
          <w:szCs w:val="18"/>
          <w:u w:val="single" w:color="auto"/>
          <w:color w:val="0000FF"/>
        </w:rPr>
        <w:t xml:space="preserve"> </w:t>
      </w:r>
      <w:hyperlink r:id="rId179">
        <w:r>
          <w:rPr>
            <w:rFonts w:ascii="Arial" w:cs="Arial" w:eastAsia="Arial" w:hAnsi="Arial"/>
            <w:sz w:val="18"/>
            <w:szCs w:val="18"/>
            <w:u w:val="single" w:color="auto"/>
            <w:color w:val="0000FF"/>
          </w:rPr>
          <w:t>filed on July 12, 2016 (Commission File No. 1-2691)).</w:t>
        </w:r>
      </w:hyperlink>
    </w:p>
    <w:p>
      <w:pPr>
        <w:spacing w:after="0" w:line="41" w:lineRule="exact"/>
        <w:rPr>
          <w:rFonts w:ascii="Arial" w:cs="Arial" w:eastAsia="Arial" w:hAnsi="Arial"/>
          <w:sz w:val="18"/>
          <w:szCs w:val="18"/>
          <w:u w:val="single" w:color="auto"/>
          <w:color w:val="0000FF"/>
        </w:rPr>
      </w:pPr>
    </w:p>
    <w:p>
      <w:pPr>
        <w:jc w:val="both"/>
        <w:ind w:left="920" w:hanging="917"/>
        <w:spacing w:after="0"/>
        <w:tabs>
          <w:tab w:leader="none" w:pos="900" w:val="left"/>
        </w:tabs>
        <w:rPr>
          <w:rFonts w:ascii="Arial" w:cs="Arial" w:eastAsia="Arial" w:hAnsi="Arial"/>
          <w:sz w:val="18"/>
          <w:szCs w:val="18"/>
          <w:u w:val="single" w:color="auto"/>
          <w:color w:val="0000FF"/>
        </w:rPr>
      </w:pPr>
      <w:r>
        <w:rPr>
          <w:rFonts w:ascii="Arial" w:cs="Arial" w:eastAsia="Arial" w:hAnsi="Arial"/>
          <w:sz w:val="18"/>
          <w:szCs w:val="18"/>
          <w:color w:val="auto"/>
        </w:rPr>
        <w:t>4.104</w:t>
      </w:r>
      <w:r>
        <w:rPr>
          <w:sz w:val="20"/>
          <w:szCs w:val="20"/>
          <w:color w:val="auto"/>
        </w:rPr>
        <w:tab/>
      </w:r>
      <w:hyperlink r:id="rId179">
        <w:r>
          <w:rPr>
            <w:rFonts w:ascii="Arial" w:cs="Arial" w:eastAsia="Arial" w:hAnsi="Arial"/>
            <w:sz w:val="18"/>
            <w:szCs w:val="18"/>
            <w:u w:val="single" w:color="auto"/>
            <w:color w:val="0000FF"/>
          </w:rPr>
          <w:t>Form of First Amendment to Indenture and Security Agreement (First Amendment to Indenture and Security Agreement between</w:t>
        </w:r>
      </w:hyperlink>
      <w:r>
        <w:rPr>
          <w:rFonts w:ascii="Arial" w:cs="Arial" w:eastAsia="Arial" w:hAnsi="Arial"/>
          <w:sz w:val="18"/>
          <w:szCs w:val="18"/>
          <w:u w:val="single" w:color="auto"/>
          <w:color w:val="0000FF"/>
        </w:rPr>
        <w:t xml:space="preserve"> </w:t>
      </w:r>
      <w:hyperlink r:id="rId179">
        <w:r>
          <w:rPr>
            <w:rFonts w:ascii="Arial" w:cs="Arial" w:eastAsia="Arial" w:hAnsi="Arial"/>
            <w:sz w:val="18"/>
            <w:szCs w:val="18"/>
            <w:u w:val="single" w:color="auto"/>
            <w:color w:val="0000FF"/>
          </w:rPr>
          <w:t>American Airlines, Inc., and Wilmington Trust Company, as Loan Trustee) (incorporated by reference to Exhibit E to Exhibit 4.6 to</w:t>
        </w:r>
      </w:hyperlink>
      <w:r>
        <w:rPr>
          <w:rFonts w:ascii="Arial" w:cs="Arial" w:eastAsia="Arial" w:hAnsi="Arial"/>
          <w:sz w:val="18"/>
          <w:szCs w:val="18"/>
          <w:u w:val="single" w:color="auto"/>
          <w:color w:val="0000FF"/>
        </w:rPr>
        <w:t xml:space="preserve"> </w:t>
      </w:r>
      <w:hyperlink r:id="rId179">
        <w:r>
          <w:rPr>
            <w:rFonts w:ascii="Arial" w:cs="Arial" w:eastAsia="Arial" w:hAnsi="Arial"/>
            <w:sz w:val="18"/>
            <w:szCs w:val="18"/>
            <w:u w:val="single" w:color="auto"/>
            <w:color w:val="0000FF"/>
          </w:rPr>
          <w:t>American’s Current Report on Form 8-K filed on July 12, 2016 (Commission File No. 1-2691)).</w:t>
        </w:r>
      </w:hyperlink>
    </w:p>
    <w:p>
      <w:pPr>
        <w:spacing w:after="0" w:line="41" w:lineRule="exact"/>
        <w:rPr>
          <w:rFonts w:ascii="Arial" w:cs="Arial" w:eastAsia="Arial" w:hAnsi="Arial"/>
          <w:sz w:val="18"/>
          <w:szCs w:val="18"/>
          <w:u w:val="single" w:color="auto"/>
          <w:color w:val="0000FF"/>
        </w:rPr>
      </w:pPr>
    </w:p>
    <w:p>
      <w:pPr>
        <w:jc w:val="both"/>
        <w:ind w:left="920" w:right="20" w:hanging="917"/>
        <w:spacing w:after="0" w:line="246" w:lineRule="auto"/>
        <w:tabs>
          <w:tab w:leader="none" w:pos="900" w:val="left"/>
        </w:tabs>
        <w:rPr>
          <w:rFonts w:ascii="Arial" w:cs="Arial" w:eastAsia="Arial" w:hAnsi="Arial"/>
          <w:sz w:val="18"/>
          <w:szCs w:val="18"/>
          <w:u w:val="single" w:color="auto"/>
          <w:color w:val="0000FF"/>
        </w:rPr>
      </w:pPr>
      <w:r>
        <w:rPr>
          <w:rFonts w:ascii="Arial" w:cs="Arial" w:eastAsia="Arial" w:hAnsi="Arial"/>
          <w:sz w:val="18"/>
          <w:szCs w:val="18"/>
          <w:color w:val="auto"/>
        </w:rPr>
        <w:t>4.105</w:t>
      </w:r>
      <w:r>
        <w:rPr>
          <w:sz w:val="20"/>
          <w:szCs w:val="20"/>
          <w:color w:val="auto"/>
        </w:rPr>
        <w:tab/>
      </w:r>
      <w:hyperlink r:id="rId177">
        <w:r>
          <w:rPr>
            <w:rFonts w:ascii="Arial" w:cs="Arial" w:eastAsia="Arial" w:hAnsi="Arial"/>
            <w:sz w:val="18"/>
            <w:szCs w:val="18"/>
            <w:u w:val="single" w:color="auto"/>
            <w:color w:val="0000FF"/>
          </w:rPr>
          <w:t>Form of Pass Through Trust Certificate, Series 2016-2B (incorporated by reference to Exhibit A to Exhibit 4.2 to American’s</w:t>
        </w:r>
      </w:hyperlink>
      <w:r>
        <w:rPr>
          <w:rFonts w:ascii="Arial" w:cs="Arial" w:eastAsia="Arial" w:hAnsi="Arial"/>
          <w:sz w:val="18"/>
          <w:szCs w:val="18"/>
          <w:u w:val="single" w:color="auto"/>
          <w:color w:val="0000FF"/>
        </w:rPr>
        <w:t xml:space="preserve"> </w:t>
      </w:r>
      <w:hyperlink r:id="rId177">
        <w:r>
          <w:rPr>
            <w:rFonts w:ascii="Arial" w:cs="Arial" w:eastAsia="Arial" w:hAnsi="Arial"/>
            <w:sz w:val="18"/>
            <w:szCs w:val="18"/>
            <w:u w:val="single" w:color="auto"/>
            <w:color w:val="0000FF"/>
          </w:rPr>
          <w:t>Current Report on Form 8-K filed on July 12, 2016 (Commission File No. 1-2691)).</w:t>
        </w:r>
      </w:hyperlink>
    </w:p>
    <w:p>
      <w:pPr>
        <w:spacing w:after="0" w:line="35" w:lineRule="exact"/>
        <w:rPr>
          <w:sz w:val="20"/>
          <w:szCs w:val="20"/>
          <w:color w:val="auto"/>
        </w:rPr>
      </w:pPr>
    </w:p>
    <w:p>
      <w:pPr>
        <w:jc w:val="both"/>
        <w:ind w:left="920" w:hanging="917"/>
        <w:spacing w:after="0" w:line="239" w:lineRule="auto"/>
        <w:tabs>
          <w:tab w:leader="none" w:pos="900" w:val="left"/>
        </w:tabs>
        <w:rPr>
          <w:rFonts w:ascii="Arial" w:cs="Arial" w:eastAsia="Arial" w:hAnsi="Arial"/>
          <w:sz w:val="18"/>
          <w:szCs w:val="18"/>
          <w:u w:val="single" w:color="auto"/>
          <w:color w:val="0000FF"/>
        </w:rPr>
      </w:pPr>
      <w:r>
        <w:rPr>
          <w:rFonts w:ascii="Arial" w:cs="Arial" w:eastAsia="Arial" w:hAnsi="Arial"/>
          <w:sz w:val="18"/>
          <w:szCs w:val="18"/>
          <w:color w:val="auto"/>
        </w:rPr>
        <w:t>4.106</w:t>
      </w:r>
      <w:r>
        <w:rPr>
          <w:sz w:val="20"/>
          <w:szCs w:val="20"/>
          <w:color w:val="auto"/>
        </w:rPr>
        <w:tab/>
      </w:r>
      <w:hyperlink r:id="rId180">
        <w:r>
          <w:rPr>
            <w:rFonts w:ascii="Arial" w:cs="Arial" w:eastAsia="Arial" w:hAnsi="Arial"/>
            <w:sz w:val="18"/>
            <w:szCs w:val="18"/>
            <w:u w:val="single" w:color="auto"/>
            <w:color w:val="0000FF"/>
          </w:rPr>
          <w:t>Revolving Credit Agreement (2016-2B), dated as of July 8, 2016, between Wilmington Trust Company, as Subordination Agent, as</w:t>
        </w:r>
      </w:hyperlink>
      <w:r>
        <w:rPr>
          <w:rFonts w:ascii="Arial" w:cs="Arial" w:eastAsia="Arial" w:hAnsi="Arial"/>
          <w:sz w:val="18"/>
          <w:szCs w:val="18"/>
          <w:u w:val="single" w:color="auto"/>
          <w:color w:val="0000FF"/>
        </w:rPr>
        <w:t xml:space="preserve"> </w:t>
      </w:r>
      <w:hyperlink r:id="rId180">
        <w:r>
          <w:rPr>
            <w:rFonts w:ascii="Arial" w:cs="Arial" w:eastAsia="Arial" w:hAnsi="Arial"/>
            <w:sz w:val="18"/>
            <w:szCs w:val="18"/>
            <w:u w:val="single" w:color="auto"/>
            <w:color w:val="0000FF"/>
          </w:rPr>
          <w:t>agent and trustee for the trustee of the American Airlines Pass Through Trust 2016-2B, as Borrower, and KfW IPEX Bank GmbH,</w:t>
        </w:r>
      </w:hyperlink>
      <w:r>
        <w:rPr>
          <w:rFonts w:ascii="Arial" w:cs="Arial" w:eastAsia="Arial" w:hAnsi="Arial"/>
          <w:sz w:val="18"/>
          <w:szCs w:val="18"/>
          <w:u w:val="single" w:color="auto"/>
          <w:color w:val="0000FF"/>
        </w:rPr>
        <w:t xml:space="preserve"> </w:t>
      </w:r>
      <w:hyperlink r:id="rId180">
        <w:r>
          <w:rPr>
            <w:rFonts w:ascii="Arial" w:cs="Arial" w:eastAsia="Arial" w:hAnsi="Arial"/>
            <w:sz w:val="18"/>
            <w:szCs w:val="18"/>
            <w:u w:val="single" w:color="auto"/>
            <w:color w:val="0000FF"/>
          </w:rPr>
          <w:t>as Liquidity Provider (incorporated by reference to Exhibit 4.12 to American’s Current Report on Form 8-K filed on July 12, 2016</w:t>
        </w:r>
      </w:hyperlink>
      <w:r>
        <w:rPr>
          <w:rFonts w:ascii="Arial" w:cs="Arial" w:eastAsia="Arial" w:hAnsi="Arial"/>
          <w:sz w:val="18"/>
          <w:szCs w:val="18"/>
          <w:u w:val="single" w:color="auto"/>
          <w:color w:val="0000FF"/>
        </w:rPr>
        <w:t xml:space="preserve"> </w:t>
      </w:r>
      <w:hyperlink r:id="rId180">
        <w:r>
          <w:rPr>
            <w:rFonts w:ascii="Arial" w:cs="Arial" w:eastAsia="Arial" w:hAnsi="Arial"/>
            <w:sz w:val="18"/>
            <w:szCs w:val="18"/>
            <w:u w:val="single" w:color="auto"/>
            <w:color w:val="0000FF"/>
          </w:rPr>
          <w:t>(Commission File No. 1-2691)).</w:t>
        </w:r>
      </w:hyperlink>
    </w:p>
    <w:p>
      <w:pPr>
        <w:spacing w:after="0" w:line="40" w:lineRule="exact"/>
        <w:rPr>
          <w:rFonts w:ascii="Arial" w:cs="Arial" w:eastAsia="Arial" w:hAnsi="Arial"/>
          <w:sz w:val="18"/>
          <w:szCs w:val="18"/>
          <w:u w:val="single" w:color="auto"/>
          <w:color w:val="0000FF"/>
        </w:rPr>
      </w:pPr>
    </w:p>
    <w:p>
      <w:pPr>
        <w:jc w:val="both"/>
        <w:ind w:left="920" w:right="20" w:hanging="917"/>
        <w:spacing w:after="0"/>
        <w:tabs>
          <w:tab w:leader="none" w:pos="900" w:val="left"/>
        </w:tabs>
        <w:rPr>
          <w:rFonts w:ascii="Arial" w:cs="Arial" w:eastAsia="Arial" w:hAnsi="Arial"/>
          <w:sz w:val="18"/>
          <w:szCs w:val="18"/>
          <w:u w:val="single" w:color="auto"/>
          <w:color w:val="0000FF"/>
        </w:rPr>
      </w:pPr>
      <w:r>
        <w:rPr>
          <w:rFonts w:ascii="Arial" w:cs="Arial" w:eastAsia="Arial" w:hAnsi="Arial"/>
          <w:sz w:val="18"/>
          <w:szCs w:val="18"/>
          <w:color w:val="auto"/>
        </w:rPr>
        <w:t>4.107</w:t>
      </w:r>
      <w:r>
        <w:rPr>
          <w:sz w:val="20"/>
          <w:szCs w:val="20"/>
          <w:color w:val="auto"/>
        </w:rPr>
        <w:tab/>
      </w:r>
      <w:hyperlink r:id="rId181">
        <w:r>
          <w:rPr>
            <w:rFonts w:ascii="Arial" w:cs="Arial" w:eastAsia="Arial" w:hAnsi="Arial"/>
            <w:sz w:val="18"/>
            <w:szCs w:val="18"/>
            <w:u w:val="single" w:color="auto"/>
            <w:color w:val="0000FF"/>
          </w:rPr>
          <w:t>Trust Supplement No. 2016-3AA, dated as of October 3, 2016, between American Airlines, Inc. and Wilmington Trust Company, as</w:t>
        </w:r>
      </w:hyperlink>
      <w:r>
        <w:rPr>
          <w:rFonts w:ascii="Arial" w:cs="Arial" w:eastAsia="Arial" w:hAnsi="Arial"/>
          <w:sz w:val="18"/>
          <w:szCs w:val="18"/>
          <w:u w:val="single" w:color="auto"/>
          <w:color w:val="0000FF"/>
        </w:rPr>
        <w:t xml:space="preserve"> </w:t>
      </w:r>
      <w:hyperlink r:id="rId181">
        <w:r>
          <w:rPr>
            <w:rFonts w:ascii="Arial" w:cs="Arial" w:eastAsia="Arial" w:hAnsi="Arial"/>
            <w:sz w:val="18"/>
            <w:szCs w:val="18"/>
            <w:u w:val="single" w:color="auto"/>
            <w:color w:val="0000FF"/>
          </w:rPr>
          <w:t>Trustee, to the Pass Through Trust Agreement, dated as of September 16, 2014 (incorporated by reference to Exhibit 4.2 to</w:t>
        </w:r>
      </w:hyperlink>
      <w:r>
        <w:rPr>
          <w:rFonts w:ascii="Arial" w:cs="Arial" w:eastAsia="Arial" w:hAnsi="Arial"/>
          <w:sz w:val="18"/>
          <w:szCs w:val="18"/>
          <w:u w:val="single" w:color="auto"/>
          <w:color w:val="0000FF"/>
        </w:rPr>
        <w:t xml:space="preserve"> </w:t>
      </w:r>
      <w:hyperlink r:id="rId181">
        <w:r>
          <w:rPr>
            <w:rFonts w:ascii="Arial" w:cs="Arial" w:eastAsia="Arial" w:hAnsi="Arial"/>
            <w:sz w:val="18"/>
            <w:szCs w:val="18"/>
            <w:u w:val="single" w:color="auto"/>
            <w:color w:val="0000FF"/>
          </w:rPr>
          <w:t>American’s Current Report on Form 8-K filed on October 4, 2016 (Commission File No. 1-2691)).</w:t>
        </w:r>
      </w:hyperlink>
    </w:p>
    <w:p>
      <w:pPr>
        <w:spacing w:after="0" w:line="41" w:lineRule="exact"/>
        <w:rPr>
          <w:rFonts w:ascii="Arial" w:cs="Arial" w:eastAsia="Arial" w:hAnsi="Arial"/>
          <w:sz w:val="18"/>
          <w:szCs w:val="18"/>
          <w:u w:val="single" w:color="auto"/>
          <w:color w:val="0000FF"/>
        </w:rPr>
      </w:pPr>
    </w:p>
    <w:p>
      <w:pPr>
        <w:jc w:val="both"/>
        <w:ind w:left="920" w:right="20" w:hanging="917"/>
        <w:spacing w:after="0"/>
        <w:tabs>
          <w:tab w:leader="none" w:pos="900" w:val="left"/>
        </w:tabs>
        <w:rPr>
          <w:rFonts w:ascii="Arial" w:cs="Arial" w:eastAsia="Arial" w:hAnsi="Arial"/>
          <w:sz w:val="18"/>
          <w:szCs w:val="18"/>
          <w:u w:val="single" w:color="auto"/>
          <w:color w:val="0000FF"/>
        </w:rPr>
      </w:pPr>
      <w:r>
        <w:rPr>
          <w:rFonts w:ascii="Arial" w:cs="Arial" w:eastAsia="Arial" w:hAnsi="Arial"/>
          <w:sz w:val="18"/>
          <w:szCs w:val="18"/>
          <w:color w:val="auto"/>
        </w:rPr>
        <w:t>4.108</w:t>
      </w:r>
      <w:r>
        <w:rPr>
          <w:sz w:val="20"/>
          <w:szCs w:val="20"/>
          <w:color w:val="auto"/>
        </w:rPr>
        <w:tab/>
      </w:r>
      <w:hyperlink r:id="rId182">
        <w:r>
          <w:rPr>
            <w:rFonts w:ascii="Arial" w:cs="Arial" w:eastAsia="Arial" w:hAnsi="Arial"/>
            <w:sz w:val="18"/>
            <w:szCs w:val="18"/>
            <w:u w:val="single" w:color="auto"/>
            <w:color w:val="0000FF"/>
          </w:rPr>
          <w:t>Trust Supplement No. 2016-3A, dated as of October 3, 2016, between American Airlines, Inc. and Wilmington Trust Company, as</w:t>
        </w:r>
      </w:hyperlink>
      <w:r>
        <w:rPr>
          <w:rFonts w:ascii="Arial" w:cs="Arial" w:eastAsia="Arial" w:hAnsi="Arial"/>
          <w:sz w:val="18"/>
          <w:szCs w:val="18"/>
          <w:u w:val="single" w:color="auto"/>
          <w:color w:val="0000FF"/>
        </w:rPr>
        <w:t xml:space="preserve"> </w:t>
      </w:r>
      <w:hyperlink r:id="rId182">
        <w:r>
          <w:rPr>
            <w:rFonts w:ascii="Arial" w:cs="Arial" w:eastAsia="Arial" w:hAnsi="Arial"/>
            <w:sz w:val="18"/>
            <w:szCs w:val="18"/>
            <w:u w:val="single" w:color="auto"/>
            <w:color w:val="0000FF"/>
          </w:rPr>
          <w:t>Trustee, to the Pass Through Trust Agreement, dated as of September 16, 2014 (incorporated by reference to Exhibit 4.3 to</w:t>
        </w:r>
      </w:hyperlink>
      <w:r>
        <w:rPr>
          <w:rFonts w:ascii="Arial" w:cs="Arial" w:eastAsia="Arial" w:hAnsi="Arial"/>
          <w:sz w:val="18"/>
          <w:szCs w:val="18"/>
          <w:u w:val="single" w:color="auto"/>
          <w:color w:val="0000FF"/>
        </w:rPr>
        <w:t xml:space="preserve"> </w:t>
      </w:r>
      <w:hyperlink r:id="rId182">
        <w:r>
          <w:rPr>
            <w:rFonts w:ascii="Arial" w:cs="Arial" w:eastAsia="Arial" w:hAnsi="Arial"/>
            <w:sz w:val="18"/>
            <w:szCs w:val="18"/>
            <w:u w:val="single" w:color="auto"/>
            <w:color w:val="0000FF"/>
          </w:rPr>
          <w:t>American’s Current Report on Form 8-K filed on October 4, 2016 (Commission File No. 1-2691)).</w:t>
        </w:r>
      </w:hyperlink>
    </w:p>
    <w:p>
      <w:pPr>
        <w:spacing w:after="0" w:line="41" w:lineRule="exact"/>
        <w:rPr>
          <w:rFonts w:ascii="Arial" w:cs="Arial" w:eastAsia="Arial" w:hAnsi="Arial"/>
          <w:sz w:val="18"/>
          <w:szCs w:val="18"/>
          <w:u w:val="single" w:color="auto"/>
          <w:color w:val="0000FF"/>
        </w:rPr>
      </w:pPr>
    </w:p>
    <w:p>
      <w:pPr>
        <w:jc w:val="both"/>
        <w:ind w:left="920" w:right="20" w:hanging="917"/>
        <w:spacing w:after="0" w:line="238" w:lineRule="auto"/>
        <w:tabs>
          <w:tab w:leader="none" w:pos="900" w:val="left"/>
        </w:tabs>
        <w:rPr>
          <w:rFonts w:ascii="Arial" w:cs="Arial" w:eastAsia="Arial" w:hAnsi="Arial"/>
          <w:sz w:val="18"/>
          <w:szCs w:val="18"/>
          <w:u w:val="single" w:color="auto"/>
          <w:color w:val="0000FF"/>
        </w:rPr>
      </w:pPr>
      <w:r>
        <w:rPr>
          <w:rFonts w:ascii="Arial" w:cs="Arial" w:eastAsia="Arial" w:hAnsi="Arial"/>
          <w:sz w:val="18"/>
          <w:szCs w:val="18"/>
          <w:color w:val="auto"/>
        </w:rPr>
        <w:t>4.109</w:t>
      </w:r>
      <w:r>
        <w:rPr>
          <w:sz w:val="20"/>
          <w:szCs w:val="20"/>
          <w:color w:val="auto"/>
        </w:rPr>
        <w:tab/>
      </w:r>
      <w:hyperlink r:id="rId183">
        <w:r>
          <w:rPr>
            <w:rFonts w:ascii="Arial" w:cs="Arial" w:eastAsia="Arial" w:hAnsi="Arial"/>
            <w:sz w:val="18"/>
            <w:szCs w:val="18"/>
            <w:u w:val="single" w:color="auto"/>
            <w:color w:val="0000FF"/>
          </w:rPr>
          <w:t>Intercreditor Agreement (2016-3), dated as of October 3, 2016, among Wilmington Trust Company, as Trustee of the American</w:t>
        </w:r>
      </w:hyperlink>
      <w:r>
        <w:rPr>
          <w:rFonts w:ascii="Arial" w:cs="Arial" w:eastAsia="Arial" w:hAnsi="Arial"/>
          <w:sz w:val="18"/>
          <w:szCs w:val="18"/>
          <w:u w:val="single" w:color="auto"/>
          <w:color w:val="0000FF"/>
        </w:rPr>
        <w:t xml:space="preserve"> </w:t>
      </w:r>
      <w:hyperlink r:id="rId183">
        <w:r>
          <w:rPr>
            <w:rFonts w:ascii="Arial" w:cs="Arial" w:eastAsia="Arial" w:hAnsi="Arial"/>
            <w:sz w:val="18"/>
            <w:szCs w:val="18"/>
            <w:u w:val="single" w:color="auto"/>
            <w:color w:val="0000FF"/>
          </w:rPr>
          <w:t>Airlines Pass Through Trust 2016-3AA and as Trustee of the American Airlines Pass Through Trust 2016-3A, KfW IPEX-Bank</w:t>
        </w:r>
      </w:hyperlink>
      <w:r>
        <w:rPr>
          <w:rFonts w:ascii="Arial" w:cs="Arial" w:eastAsia="Arial" w:hAnsi="Arial"/>
          <w:sz w:val="18"/>
          <w:szCs w:val="18"/>
          <w:u w:val="single" w:color="auto"/>
          <w:color w:val="0000FF"/>
        </w:rPr>
        <w:t xml:space="preserve"> </w:t>
      </w:r>
      <w:hyperlink r:id="rId183">
        <w:r>
          <w:rPr>
            <w:rFonts w:ascii="Arial" w:cs="Arial" w:eastAsia="Arial" w:hAnsi="Arial"/>
            <w:sz w:val="18"/>
            <w:szCs w:val="18"/>
            <w:u w:val="single" w:color="auto"/>
            <w:color w:val="0000FF"/>
          </w:rPr>
          <w:t>GmbH, as Class AA Liquidity Provider and Class A Liquidity Provider, and Wilmington Trust Company, as Subordination Agent</w:t>
        </w:r>
      </w:hyperlink>
      <w:r>
        <w:rPr>
          <w:rFonts w:ascii="Arial" w:cs="Arial" w:eastAsia="Arial" w:hAnsi="Arial"/>
          <w:sz w:val="18"/>
          <w:szCs w:val="18"/>
          <w:u w:val="single" w:color="auto"/>
          <w:color w:val="0000FF"/>
        </w:rPr>
        <w:t xml:space="preserve"> </w:t>
      </w:r>
      <w:hyperlink r:id="rId183">
        <w:r>
          <w:rPr>
            <w:rFonts w:ascii="Arial" w:cs="Arial" w:eastAsia="Arial" w:hAnsi="Arial"/>
            <w:sz w:val="18"/>
            <w:szCs w:val="18"/>
            <w:u w:val="single" w:color="auto"/>
            <w:color w:val="0000FF"/>
          </w:rPr>
          <w:t>(incorporated by reference to Exhibit 4.4 to American’s Current Report on Form 8-K filed on October 4, 2016 (Commission File</w:t>
        </w:r>
      </w:hyperlink>
      <w:r>
        <w:rPr>
          <w:rFonts w:ascii="Arial" w:cs="Arial" w:eastAsia="Arial" w:hAnsi="Arial"/>
          <w:sz w:val="18"/>
          <w:szCs w:val="18"/>
          <w:u w:val="single" w:color="auto"/>
          <w:color w:val="0000FF"/>
        </w:rPr>
        <w:t xml:space="preserve"> </w:t>
      </w:r>
      <w:hyperlink r:id="rId183">
        <w:r>
          <w:rPr>
            <w:rFonts w:ascii="Arial" w:cs="Arial" w:eastAsia="Arial" w:hAnsi="Arial"/>
            <w:sz w:val="18"/>
            <w:szCs w:val="18"/>
            <w:u w:val="single" w:color="auto"/>
            <w:color w:val="0000FF"/>
          </w:rPr>
          <w:t>No. 1-2691)).</w:t>
        </w:r>
      </w:hyperlink>
    </w:p>
    <w:p>
      <w:pPr>
        <w:spacing w:after="0" w:line="230" w:lineRule="exact"/>
        <w:rPr>
          <w:rFonts w:ascii="Arial" w:cs="Arial" w:eastAsia="Arial" w:hAnsi="Arial"/>
          <w:sz w:val="18"/>
          <w:szCs w:val="18"/>
          <w:u w:val="single" w:color="auto"/>
          <w:color w:val="0000FF"/>
        </w:rPr>
      </w:pPr>
    </w:p>
    <w:p>
      <w:pPr>
        <w:jc w:val="center"/>
        <w:spacing w:after="0"/>
        <w:rPr>
          <w:sz w:val="20"/>
          <w:szCs w:val="20"/>
          <w:color w:val="auto"/>
        </w:rPr>
      </w:pPr>
      <w:r>
        <w:rPr>
          <w:rFonts w:ascii="Arial" w:cs="Arial" w:eastAsia="Arial" w:hAnsi="Arial"/>
          <w:sz w:val="18"/>
          <w:szCs w:val="18"/>
          <w:color w:val="auto"/>
        </w:rPr>
        <w:t>171</w:t>
      </w:r>
    </w:p>
    <w:p>
      <w:pPr>
        <w:sectPr>
          <w:pgSz w:w="11900" w:h="16838" w:orient="portrait"/>
          <w:cols w:equalWidth="0" w:num="1">
            <w:col w:w="11360"/>
          </w:cols>
          <w:pgMar w:left="280" w:top="721" w:right="259" w:bottom="1440" w:gutter="0" w:footer="0" w:header="0"/>
        </w:sectPr>
      </w:pPr>
    </w:p>
    <w:bookmarkStart w:id="171" w:name="page172"/>
    <w:bookmarkEnd w:id="171"/>
    <w:p>
      <w:pPr>
        <w:spacing w:after="0"/>
        <w:rPr>
          <w:sz w:val="20"/>
          <w:szCs w:val="20"/>
          <w:color w:val="auto"/>
        </w:rPr>
      </w:pPr>
      <w:r>
        <w:rPr>
          <w:rFonts w:ascii="Arial" w:cs="Arial" w:eastAsia="Arial" w:hAnsi="Arial"/>
          <w:sz w:val="14"/>
          <w:szCs w:val="14"/>
          <w:b w:val="1"/>
          <w:bCs w:val="1"/>
          <w:color w:val="auto"/>
        </w:rPr>
        <w:t>Exhibit</w:t>
      </w:r>
    </w:p>
    <w:p>
      <w:pPr>
        <w:spacing w:after="0" w:line="19" w:lineRule="exact"/>
        <w:rPr>
          <w:sz w:val="20"/>
          <w:szCs w:val="20"/>
          <w:color w:val="auto"/>
        </w:rPr>
      </w:pPr>
    </w:p>
    <w:p>
      <w:pPr>
        <w:spacing w:after="0"/>
        <w:tabs>
          <w:tab w:leader="none" w:pos="900" w:val="left"/>
        </w:tabs>
        <w:rPr>
          <w:sz w:val="20"/>
          <w:szCs w:val="20"/>
          <w:color w:val="auto"/>
        </w:rPr>
      </w:pPr>
      <w:r>
        <w:rPr>
          <w:rFonts w:ascii="Arial" w:cs="Arial" w:eastAsia="Arial" w:hAnsi="Arial"/>
          <w:sz w:val="14"/>
          <w:szCs w:val="14"/>
          <w:b w:val="1"/>
          <w:bCs w:val="1"/>
          <w:u w:val="single" w:color="auto"/>
          <w:color w:val="auto"/>
        </w:rPr>
        <w:t>Number</w:t>
      </w:r>
      <w:r>
        <w:rPr>
          <w:sz w:val="20"/>
          <w:szCs w:val="20"/>
          <w:color w:val="auto"/>
        </w:rPr>
        <w:tab/>
      </w:r>
      <w:r>
        <w:rPr>
          <w:rFonts w:ascii="Arial" w:cs="Arial" w:eastAsia="Arial" w:hAnsi="Arial"/>
          <w:sz w:val="14"/>
          <w:szCs w:val="14"/>
          <w:b w:val="1"/>
          <w:bCs w:val="1"/>
          <w:u w:val="single" w:color="auto"/>
          <w:color w:val="auto"/>
        </w:rPr>
        <w:t>Description</w:t>
      </w:r>
    </w:p>
    <w:p>
      <w:pPr>
        <w:spacing w:after="0" w:line="49" w:lineRule="exact"/>
        <w:rPr>
          <w:sz w:val="20"/>
          <w:szCs w:val="20"/>
          <w:color w:val="auto"/>
        </w:rPr>
      </w:pPr>
    </w:p>
    <w:p>
      <w:pPr>
        <w:jc w:val="both"/>
        <w:ind w:left="920" w:hanging="917"/>
        <w:spacing w:after="0" w:line="238" w:lineRule="auto"/>
        <w:tabs>
          <w:tab w:leader="none" w:pos="900" w:val="left"/>
        </w:tabs>
        <w:rPr>
          <w:rFonts w:ascii="Arial" w:cs="Arial" w:eastAsia="Arial" w:hAnsi="Arial"/>
          <w:sz w:val="18"/>
          <w:szCs w:val="18"/>
          <w:u w:val="single" w:color="auto"/>
          <w:color w:val="0000FF"/>
        </w:rPr>
      </w:pPr>
      <w:r>
        <w:rPr>
          <w:rFonts w:ascii="Arial" w:cs="Arial" w:eastAsia="Arial" w:hAnsi="Arial"/>
          <w:sz w:val="18"/>
          <w:szCs w:val="18"/>
          <w:color w:val="auto"/>
        </w:rPr>
        <w:t>4.110</w:t>
      </w:r>
      <w:r>
        <w:rPr>
          <w:sz w:val="20"/>
          <w:szCs w:val="20"/>
          <w:color w:val="auto"/>
        </w:rPr>
        <w:tab/>
      </w:r>
      <w:hyperlink r:id="rId184">
        <w:r>
          <w:rPr>
            <w:rFonts w:ascii="Arial" w:cs="Arial" w:eastAsia="Arial" w:hAnsi="Arial"/>
            <w:sz w:val="18"/>
            <w:szCs w:val="18"/>
            <w:u w:val="single" w:color="auto"/>
            <w:color w:val="0000FF"/>
          </w:rPr>
          <w:t>Amended and Restated Intercreditor Agreement (2016-3), dated as of October 4, 2017, among Wilmington Trust Company, as</w:t>
        </w:r>
      </w:hyperlink>
      <w:r>
        <w:rPr>
          <w:rFonts w:ascii="Arial" w:cs="Arial" w:eastAsia="Arial" w:hAnsi="Arial"/>
          <w:sz w:val="18"/>
          <w:szCs w:val="18"/>
          <w:u w:val="single" w:color="auto"/>
          <w:color w:val="0000FF"/>
        </w:rPr>
        <w:t xml:space="preserve"> </w:t>
      </w:r>
      <w:hyperlink r:id="rId184">
        <w:r>
          <w:rPr>
            <w:rFonts w:ascii="Arial" w:cs="Arial" w:eastAsia="Arial" w:hAnsi="Arial"/>
            <w:sz w:val="18"/>
            <w:szCs w:val="18"/>
            <w:u w:val="single" w:color="auto"/>
            <w:color w:val="0000FF"/>
          </w:rPr>
          <w:t>Trustee of the American Airlines Pass Through Trust 2016-3AA, as Trustee of the American Airlines Pass Through Trust 2016-3A</w:t>
        </w:r>
      </w:hyperlink>
      <w:r>
        <w:rPr>
          <w:rFonts w:ascii="Arial" w:cs="Arial" w:eastAsia="Arial" w:hAnsi="Arial"/>
          <w:sz w:val="18"/>
          <w:szCs w:val="18"/>
          <w:u w:val="single" w:color="auto"/>
          <w:color w:val="0000FF"/>
        </w:rPr>
        <w:t xml:space="preserve"> </w:t>
      </w:r>
      <w:hyperlink r:id="rId184">
        <w:r>
          <w:rPr>
            <w:rFonts w:ascii="Arial" w:cs="Arial" w:eastAsia="Arial" w:hAnsi="Arial"/>
            <w:sz w:val="18"/>
            <w:szCs w:val="18"/>
            <w:u w:val="single" w:color="auto"/>
            <w:color w:val="0000FF"/>
          </w:rPr>
          <w:t>and as Trustee of the American Airlines Pass Through Trust 2016-3B, KfW IPEX-Bank GmbH, as Class AA Liquidity Provider,</w:t>
        </w:r>
      </w:hyperlink>
      <w:r>
        <w:rPr>
          <w:rFonts w:ascii="Arial" w:cs="Arial" w:eastAsia="Arial" w:hAnsi="Arial"/>
          <w:sz w:val="18"/>
          <w:szCs w:val="18"/>
          <w:u w:val="single" w:color="auto"/>
          <w:color w:val="0000FF"/>
        </w:rPr>
        <w:t xml:space="preserve"> </w:t>
      </w:r>
      <w:hyperlink r:id="rId184">
        <w:r>
          <w:rPr>
            <w:rFonts w:ascii="Arial" w:cs="Arial" w:eastAsia="Arial" w:hAnsi="Arial"/>
            <w:sz w:val="18"/>
            <w:szCs w:val="18"/>
            <w:u w:val="single" w:color="auto"/>
            <w:color w:val="0000FF"/>
          </w:rPr>
          <w:t>Class A Liquidity Provider and Class B Liquidity Provider, and Wilmington Trust Company, as Subordination Agent (incorporated by</w:t>
        </w:r>
      </w:hyperlink>
      <w:r>
        <w:rPr>
          <w:rFonts w:ascii="Arial" w:cs="Arial" w:eastAsia="Arial" w:hAnsi="Arial"/>
          <w:sz w:val="18"/>
          <w:szCs w:val="18"/>
          <w:u w:val="single" w:color="auto"/>
          <w:color w:val="0000FF"/>
        </w:rPr>
        <w:t xml:space="preserve"> </w:t>
      </w:r>
      <w:hyperlink r:id="rId184">
        <w:r>
          <w:rPr>
            <w:rFonts w:ascii="Arial" w:cs="Arial" w:eastAsia="Arial" w:hAnsi="Arial"/>
            <w:sz w:val="18"/>
            <w:szCs w:val="18"/>
            <w:u w:val="single" w:color="auto"/>
            <w:color w:val="0000FF"/>
          </w:rPr>
          <w:t>reference to Exhibit 4.3 to American’s Current Report on Form 8-K filed on October 5, 2017 (Commission File No. 1-2691)).</w:t>
        </w:r>
      </w:hyperlink>
    </w:p>
    <w:p>
      <w:pPr>
        <w:spacing w:after="0" w:line="41" w:lineRule="exact"/>
        <w:rPr>
          <w:rFonts w:ascii="Arial" w:cs="Arial" w:eastAsia="Arial" w:hAnsi="Arial"/>
          <w:sz w:val="18"/>
          <w:szCs w:val="18"/>
          <w:u w:val="single" w:color="auto"/>
          <w:color w:val="0000FF"/>
        </w:rPr>
      </w:pPr>
    </w:p>
    <w:p>
      <w:pPr>
        <w:jc w:val="both"/>
        <w:ind w:left="920" w:right="20" w:hanging="917"/>
        <w:spacing w:after="0" w:line="239" w:lineRule="auto"/>
        <w:tabs>
          <w:tab w:leader="none" w:pos="900" w:val="left"/>
        </w:tabs>
        <w:rPr>
          <w:rFonts w:ascii="Arial" w:cs="Arial" w:eastAsia="Arial" w:hAnsi="Arial"/>
          <w:sz w:val="18"/>
          <w:szCs w:val="18"/>
          <w:u w:val="single" w:color="auto"/>
          <w:color w:val="0000FF"/>
        </w:rPr>
      </w:pPr>
      <w:r>
        <w:rPr>
          <w:rFonts w:ascii="Arial" w:cs="Arial" w:eastAsia="Arial" w:hAnsi="Arial"/>
          <w:sz w:val="18"/>
          <w:szCs w:val="18"/>
          <w:color w:val="auto"/>
        </w:rPr>
        <w:t>4.111</w:t>
      </w:r>
      <w:r>
        <w:rPr>
          <w:sz w:val="20"/>
          <w:szCs w:val="20"/>
          <w:color w:val="auto"/>
        </w:rPr>
        <w:tab/>
      </w:r>
      <w:hyperlink r:id="rId185">
        <w:r>
          <w:rPr>
            <w:rFonts w:ascii="Arial" w:cs="Arial" w:eastAsia="Arial" w:hAnsi="Arial"/>
            <w:sz w:val="18"/>
            <w:szCs w:val="18"/>
            <w:u w:val="single" w:color="auto"/>
            <w:color w:val="0000FF"/>
          </w:rPr>
          <w:t>Note Purchase Agreement, dated as of October 3, 2016, among American Airlines, Inc., Wilmington Trust Company, as Pass</w:t>
        </w:r>
      </w:hyperlink>
      <w:r>
        <w:rPr>
          <w:rFonts w:ascii="Arial" w:cs="Arial" w:eastAsia="Arial" w:hAnsi="Arial"/>
          <w:sz w:val="18"/>
          <w:szCs w:val="18"/>
          <w:u w:val="single" w:color="auto"/>
          <w:color w:val="0000FF"/>
        </w:rPr>
        <w:t xml:space="preserve"> </w:t>
      </w:r>
      <w:hyperlink r:id="rId185">
        <w:r>
          <w:rPr>
            <w:rFonts w:ascii="Arial" w:cs="Arial" w:eastAsia="Arial" w:hAnsi="Arial"/>
            <w:sz w:val="18"/>
            <w:szCs w:val="18"/>
            <w:u w:val="single" w:color="auto"/>
            <w:color w:val="0000FF"/>
          </w:rPr>
          <w:t>Through Trustee under each of the Pass Through Trust Agreements, Wilmington Trust Company, as Subordination Agent,</w:t>
        </w:r>
      </w:hyperlink>
      <w:r>
        <w:rPr>
          <w:rFonts w:ascii="Arial" w:cs="Arial" w:eastAsia="Arial" w:hAnsi="Arial"/>
          <w:sz w:val="18"/>
          <w:szCs w:val="18"/>
          <w:u w:val="single" w:color="auto"/>
          <w:color w:val="0000FF"/>
        </w:rPr>
        <w:t xml:space="preserve"> </w:t>
      </w:r>
      <w:hyperlink r:id="rId185">
        <w:r>
          <w:rPr>
            <w:rFonts w:ascii="Arial" w:cs="Arial" w:eastAsia="Arial" w:hAnsi="Arial"/>
            <w:sz w:val="18"/>
            <w:szCs w:val="18"/>
            <w:u w:val="single" w:color="auto"/>
            <w:color w:val="0000FF"/>
          </w:rPr>
          <w:t>Wilmington Trust, National Association, as Escrow Agent, and Wilmington Trust Company, as Paying Agent (incorporated by</w:t>
        </w:r>
      </w:hyperlink>
      <w:r>
        <w:rPr>
          <w:rFonts w:ascii="Arial" w:cs="Arial" w:eastAsia="Arial" w:hAnsi="Arial"/>
          <w:sz w:val="18"/>
          <w:szCs w:val="18"/>
          <w:u w:val="single" w:color="auto"/>
          <w:color w:val="0000FF"/>
        </w:rPr>
        <w:t xml:space="preserve"> </w:t>
      </w:r>
      <w:hyperlink r:id="rId185">
        <w:r>
          <w:rPr>
            <w:rFonts w:ascii="Arial" w:cs="Arial" w:eastAsia="Arial" w:hAnsi="Arial"/>
            <w:sz w:val="18"/>
            <w:szCs w:val="18"/>
            <w:u w:val="single" w:color="auto"/>
            <w:color w:val="0000FF"/>
          </w:rPr>
          <w:t>reference to Exhibit 4.9 to American’s Current Report on Form 8-K filed on October 4, 2016 (Commission File No. 1-2691)).</w:t>
        </w:r>
      </w:hyperlink>
    </w:p>
    <w:p>
      <w:pPr>
        <w:spacing w:after="0" w:line="40" w:lineRule="exact"/>
        <w:rPr>
          <w:rFonts w:ascii="Arial" w:cs="Arial" w:eastAsia="Arial" w:hAnsi="Arial"/>
          <w:sz w:val="18"/>
          <w:szCs w:val="18"/>
          <w:u w:val="single" w:color="auto"/>
          <w:color w:val="0000FF"/>
        </w:rPr>
      </w:pPr>
    </w:p>
    <w:p>
      <w:pPr>
        <w:jc w:val="both"/>
        <w:ind w:left="920" w:hanging="917"/>
        <w:spacing w:after="0" w:line="238" w:lineRule="auto"/>
        <w:tabs>
          <w:tab w:leader="none" w:pos="900" w:val="left"/>
        </w:tabs>
        <w:rPr>
          <w:rFonts w:ascii="Arial" w:cs="Arial" w:eastAsia="Arial" w:hAnsi="Arial"/>
          <w:sz w:val="18"/>
          <w:szCs w:val="18"/>
          <w:u w:val="single" w:color="auto"/>
          <w:color w:val="0000FF"/>
        </w:rPr>
      </w:pPr>
      <w:r>
        <w:rPr>
          <w:rFonts w:ascii="Arial" w:cs="Arial" w:eastAsia="Arial" w:hAnsi="Arial"/>
          <w:sz w:val="18"/>
          <w:szCs w:val="18"/>
          <w:color w:val="auto"/>
        </w:rPr>
        <w:t>4.112</w:t>
      </w:r>
      <w:r>
        <w:rPr>
          <w:sz w:val="20"/>
          <w:szCs w:val="20"/>
          <w:color w:val="auto"/>
        </w:rPr>
        <w:tab/>
      </w:r>
      <w:hyperlink r:id="rId185">
        <w:r>
          <w:rPr>
            <w:rFonts w:ascii="Arial" w:cs="Arial" w:eastAsia="Arial" w:hAnsi="Arial"/>
            <w:sz w:val="18"/>
            <w:szCs w:val="18"/>
            <w:u w:val="single" w:color="auto"/>
            <w:color w:val="0000FF"/>
          </w:rPr>
          <w:t>Form of Participation Agreement (Participation Agreement among American Airlines, Inc., Wilmington Trust Company, as Pass</w:t>
        </w:r>
      </w:hyperlink>
      <w:r>
        <w:rPr>
          <w:rFonts w:ascii="Arial" w:cs="Arial" w:eastAsia="Arial" w:hAnsi="Arial"/>
          <w:sz w:val="18"/>
          <w:szCs w:val="18"/>
          <w:u w:val="single" w:color="auto"/>
          <w:color w:val="0000FF"/>
        </w:rPr>
        <w:t xml:space="preserve"> </w:t>
      </w:r>
      <w:hyperlink r:id="rId185">
        <w:r>
          <w:rPr>
            <w:rFonts w:ascii="Arial" w:cs="Arial" w:eastAsia="Arial" w:hAnsi="Arial"/>
            <w:sz w:val="18"/>
            <w:szCs w:val="18"/>
            <w:u w:val="single" w:color="auto"/>
            <w:color w:val="0000FF"/>
          </w:rPr>
          <w:t>Through Trustee under each of the Pass Through Trust Agreements, Wilmington Trust Company, as Subordination Agent,</w:t>
        </w:r>
      </w:hyperlink>
      <w:r>
        <w:rPr>
          <w:rFonts w:ascii="Arial" w:cs="Arial" w:eastAsia="Arial" w:hAnsi="Arial"/>
          <w:sz w:val="18"/>
          <w:szCs w:val="18"/>
          <w:u w:val="single" w:color="auto"/>
          <w:color w:val="0000FF"/>
        </w:rPr>
        <w:t xml:space="preserve"> </w:t>
      </w:r>
      <w:hyperlink r:id="rId185">
        <w:r>
          <w:rPr>
            <w:rFonts w:ascii="Arial" w:cs="Arial" w:eastAsia="Arial" w:hAnsi="Arial"/>
            <w:sz w:val="18"/>
            <w:szCs w:val="18"/>
            <w:u w:val="single" w:color="auto"/>
            <w:color w:val="0000FF"/>
          </w:rPr>
          <w:t>Wilmington Trust Company, as Loan Trustee, and Wilmington Trust Company, in its individual capacity as set forth therein)</w:t>
        </w:r>
      </w:hyperlink>
      <w:r>
        <w:rPr>
          <w:rFonts w:ascii="Arial" w:cs="Arial" w:eastAsia="Arial" w:hAnsi="Arial"/>
          <w:sz w:val="18"/>
          <w:szCs w:val="18"/>
          <w:u w:val="single" w:color="auto"/>
          <w:color w:val="0000FF"/>
        </w:rPr>
        <w:t xml:space="preserve"> </w:t>
      </w:r>
      <w:hyperlink r:id="rId185">
        <w:r>
          <w:rPr>
            <w:rFonts w:ascii="Arial" w:cs="Arial" w:eastAsia="Arial" w:hAnsi="Arial"/>
            <w:sz w:val="18"/>
            <w:szCs w:val="18"/>
            <w:u w:val="single" w:color="auto"/>
            <w:color w:val="0000FF"/>
          </w:rPr>
          <w:t>(incorporated by reference to Exhibit B to Exhibit 4.9 to American’s Current Report on Form 8-K filed on October 4, 2016</w:t>
        </w:r>
      </w:hyperlink>
      <w:r>
        <w:rPr>
          <w:rFonts w:ascii="Arial" w:cs="Arial" w:eastAsia="Arial" w:hAnsi="Arial"/>
          <w:sz w:val="18"/>
          <w:szCs w:val="18"/>
          <w:u w:val="single" w:color="auto"/>
          <w:color w:val="0000FF"/>
        </w:rPr>
        <w:t xml:space="preserve"> </w:t>
      </w:r>
      <w:hyperlink r:id="rId185">
        <w:r>
          <w:rPr>
            <w:rFonts w:ascii="Arial" w:cs="Arial" w:eastAsia="Arial" w:hAnsi="Arial"/>
            <w:sz w:val="18"/>
            <w:szCs w:val="18"/>
            <w:u w:val="single" w:color="auto"/>
            <w:color w:val="0000FF"/>
          </w:rPr>
          <w:t>(Commission File No. 1-2691)).</w:t>
        </w:r>
      </w:hyperlink>
    </w:p>
    <w:p>
      <w:pPr>
        <w:spacing w:after="0" w:line="41" w:lineRule="exact"/>
        <w:rPr>
          <w:rFonts w:ascii="Arial" w:cs="Arial" w:eastAsia="Arial" w:hAnsi="Arial"/>
          <w:sz w:val="18"/>
          <w:szCs w:val="18"/>
          <w:u w:val="single" w:color="auto"/>
          <w:color w:val="0000FF"/>
        </w:rPr>
      </w:pPr>
    </w:p>
    <w:p>
      <w:pPr>
        <w:jc w:val="both"/>
        <w:ind w:left="920" w:right="20" w:hanging="917"/>
        <w:spacing w:after="0"/>
        <w:tabs>
          <w:tab w:leader="none" w:pos="900" w:val="left"/>
        </w:tabs>
        <w:rPr>
          <w:rFonts w:ascii="Arial" w:cs="Arial" w:eastAsia="Arial" w:hAnsi="Arial"/>
          <w:sz w:val="18"/>
          <w:szCs w:val="18"/>
          <w:u w:val="single" w:color="auto"/>
          <w:color w:val="0000FF"/>
        </w:rPr>
      </w:pPr>
      <w:r>
        <w:rPr>
          <w:rFonts w:ascii="Arial" w:cs="Arial" w:eastAsia="Arial" w:hAnsi="Arial"/>
          <w:sz w:val="18"/>
          <w:szCs w:val="18"/>
          <w:color w:val="auto"/>
        </w:rPr>
        <w:t>4.113</w:t>
      </w:r>
      <w:r>
        <w:rPr>
          <w:sz w:val="20"/>
          <w:szCs w:val="20"/>
          <w:color w:val="auto"/>
        </w:rPr>
        <w:tab/>
      </w:r>
      <w:hyperlink r:id="rId185">
        <w:r>
          <w:rPr>
            <w:rFonts w:ascii="Arial" w:cs="Arial" w:eastAsia="Arial" w:hAnsi="Arial"/>
            <w:sz w:val="18"/>
            <w:szCs w:val="18"/>
            <w:u w:val="single" w:color="auto"/>
            <w:color w:val="0000FF"/>
          </w:rPr>
          <w:t>Form of Indenture and Security Agreement (Indenture and Security Agreement between American Airlines, Inc., and Wilmington</w:t>
        </w:r>
      </w:hyperlink>
      <w:r>
        <w:rPr>
          <w:rFonts w:ascii="Arial" w:cs="Arial" w:eastAsia="Arial" w:hAnsi="Arial"/>
          <w:sz w:val="18"/>
          <w:szCs w:val="18"/>
          <w:u w:val="single" w:color="auto"/>
          <w:color w:val="0000FF"/>
        </w:rPr>
        <w:t xml:space="preserve"> </w:t>
      </w:r>
      <w:hyperlink r:id="rId185">
        <w:r>
          <w:rPr>
            <w:rFonts w:ascii="Arial" w:cs="Arial" w:eastAsia="Arial" w:hAnsi="Arial"/>
            <w:sz w:val="18"/>
            <w:szCs w:val="18"/>
            <w:u w:val="single" w:color="auto"/>
            <w:color w:val="0000FF"/>
          </w:rPr>
          <w:t>Trust Company, as Loan Trustee) (incorporated by reference to Exhibit C to Exhibit 4.9 to American’s Current Report on Form 8-K</w:t>
        </w:r>
      </w:hyperlink>
      <w:r>
        <w:rPr>
          <w:rFonts w:ascii="Arial" w:cs="Arial" w:eastAsia="Arial" w:hAnsi="Arial"/>
          <w:sz w:val="18"/>
          <w:szCs w:val="18"/>
          <w:u w:val="single" w:color="auto"/>
          <w:color w:val="0000FF"/>
        </w:rPr>
        <w:t xml:space="preserve"> </w:t>
      </w:r>
      <w:hyperlink r:id="rId185">
        <w:r>
          <w:rPr>
            <w:rFonts w:ascii="Arial" w:cs="Arial" w:eastAsia="Arial" w:hAnsi="Arial"/>
            <w:sz w:val="18"/>
            <w:szCs w:val="18"/>
            <w:u w:val="single" w:color="auto"/>
            <w:color w:val="0000FF"/>
          </w:rPr>
          <w:t>filed on October 4, 2016 (Commission File No. 1-2691)).</w:t>
        </w:r>
      </w:hyperlink>
    </w:p>
    <w:p>
      <w:pPr>
        <w:spacing w:after="0" w:line="41" w:lineRule="exact"/>
        <w:rPr>
          <w:rFonts w:ascii="Arial" w:cs="Arial" w:eastAsia="Arial" w:hAnsi="Arial"/>
          <w:sz w:val="18"/>
          <w:szCs w:val="18"/>
          <w:u w:val="single" w:color="auto"/>
          <w:color w:val="0000FF"/>
        </w:rPr>
      </w:pPr>
    </w:p>
    <w:p>
      <w:pPr>
        <w:jc w:val="both"/>
        <w:ind w:left="920" w:right="20" w:hanging="917"/>
        <w:spacing w:after="0" w:line="246" w:lineRule="auto"/>
        <w:tabs>
          <w:tab w:leader="none" w:pos="900" w:val="left"/>
        </w:tabs>
        <w:rPr>
          <w:rFonts w:ascii="Arial" w:cs="Arial" w:eastAsia="Arial" w:hAnsi="Arial"/>
          <w:sz w:val="18"/>
          <w:szCs w:val="18"/>
          <w:u w:val="single" w:color="auto"/>
          <w:color w:val="0000FF"/>
        </w:rPr>
      </w:pPr>
      <w:r>
        <w:rPr>
          <w:rFonts w:ascii="Arial" w:cs="Arial" w:eastAsia="Arial" w:hAnsi="Arial"/>
          <w:sz w:val="18"/>
          <w:szCs w:val="18"/>
          <w:color w:val="auto"/>
        </w:rPr>
        <w:t>4.114</w:t>
      </w:r>
      <w:r>
        <w:rPr>
          <w:sz w:val="20"/>
          <w:szCs w:val="20"/>
          <w:color w:val="auto"/>
        </w:rPr>
        <w:tab/>
      </w:r>
      <w:hyperlink r:id="rId181">
        <w:r>
          <w:rPr>
            <w:rFonts w:ascii="Arial" w:cs="Arial" w:eastAsia="Arial" w:hAnsi="Arial"/>
            <w:sz w:val="18"/>
            <w:szCs w:val="18"/>
            <w:u w:val="single" w:color="auto"/>
            <w:color w:val="0000FF"/>
          </w:rPr>
          <w:t>Form of Pass Through Trust Certificate, Series 2016-3AA (incorporated by reference to Exhibit A to Exhibit 4.2 to American’s</w:t>
        </w:r>
      </w:hyperlink>
      <w:r>
        <w:rPr>
          <w:rFonts w:ascii="Arial" w:cs="Arial" w:eastAsia="Arial" w:hAnsi="Arial"/>
          <w:sz w:val="18"/>
          <w:szCs w:val="18"/>
          <w:u w:val="single" w:color="auto"/>
          <w:color w:val="0000FF"/>
        </w:rPr>
        <w:t xml:space="preserve"> </w:t>
      </w:r>
      <w:hyperlink r:id="rId181">
        <w:r>
          <w:rPr>
            <w:rFonts w:ascii="Arial" w:cs="Arial" w:eastAsia="Arial" w:hAnsi="Arial"/>
            <w:sz w:val="18"/>
            <w:szCs w:val="18"/>
            <w:u w:val="single" w:color="auto"/>
            <w:color w:val="0000FF"/>
          </w:rPr>
          <w:t>Current Report on Form 8-K filed on October 4, 2016 (Commission File No. 1-2691)).</w:t>
        </w:r>
      </w:hyperlink>
    </w:p>
    <w:p>
      <w:pPr>
        <w:spacing w:after="0" w:line="35" w:lineRule="exact"/>
        <w:rPr>
          <w:sz w:val="20"/>
          <w:szCs w:val="20"/>
          <w:color w:val="auto"/>
        </w:rPr>
      </w:pPr>
    </w:p>
    <w:p>
      <w:pPr>
        <w:jc w:val="both"/>
        <w:ind w:left="920" w:right="20" w:hanging="917"/>
        <w:spacing w:after="0" w:line="246" w:lineRule="auto"/>
        <w:tabs>
          <w:tab w:leader="none" w:pos="900" w:val="left"/>
        </w:tabs>
        <w:rPr>
          <w:rFonts w:ascii="Arial" w:cs="Arial" w:eastAsia="Arial" w:hAnsi="Arial"/>
          <w:sz w:val="18"/>
          <w:szCs w:val="18"/>
          <w:u w:val="single" w:color="auto"/>
          <w:color w:val="0000FF"/>
        </w:rPr>
      </w:pPr>
      <w:r>
        <w:rPr>
          <w:rFonts w:ascii="Arial" w:cs="Arial" w:eastAsia="Arial" w:hAnsi="Arial"/>
          <w:sz w:val="18"/>
          <w:szCs w:val="18"/>
          <w:color w:val="auto"/>
        </w:rPr>
        <w:t>4.115</w:t>
      </w:r>
      <w:r>
        <w:rPr>
          <w:sz w:val="20"/>
          <w:szCs w:val="20"/>
          <w:color w:val="auto"/>
        </w:rPr>
        <w:tab/>
      </w:r>
      <w:hyperlink r:id="rId182">
        <w:r>
          <w:rPr>
            <w:rFonts w:ascii="Arial" w:cs="Arial" w:eastAsia="Arial" w:hAnsi="Arial"/>
            <w:sz w:val="18"/>
            <w:szCs w:val="18"/>
            <w:u w:val="single" w:color="auto"/>
            <w:color w:val="0000FF"/>
          </w:rPr>
          <w:t>Form of Pass Through Trust Certificate, Series 2016-3A (incorporated by reference to Exhibit A to Exhibit 4.3 to American’s</w:t>
        </w:r>
      </w:hyperlink>
      <w:r>
        <w:rPr>
          <w:rFonts w:ascii="Arial" w:cs="Arial" w:eastAsia="Arial" w:hAnsi="Arial"/>
          <w:sz w:val="18"/>
          <w:szCs w:val="18"/>
          <w:u w:val="single" w:color="auto"/>
          <w:color w:val="0000FF"/>
        </w:rPr>
        <w:t xml:space="preserve"> </w:t>
      </w:r>
      <w:hyperlink r:id="rId182">
        <w:r>
          <w:rPr>
            <w:rFonts w:ascii="Arial" w:cs="Arial" w:eastAsia="Arial" w:hAnsi="Arial"/>
            <w:sz w:val="18"/>
            <w:szCs w:val="18"/>
            <w:u w:val="single" w:color="auto"/>
            <w:color w:val="0000FF"/>
          </w:rPr>
          <w:t>Current Report on Form 8-K filed on October 4, 2016 (Commission File No. 1-2691)).</w:t>
        </w:r>
      </w:hyperlink>
    </w:p>
    <w:p>
      <w:pPr>
        <w:spacing w:after="0" w:line="35" w:lineRule="exact"/>
        <w:rPr>
          <w:sz w:val="20"/>
          <w:szCs w:val="20"/>
          <w:color w:val="auto"/>
        </w:rPr>
      </w:pPr>
    </w:p>
    <w:p>
      <w:pPr>
        <w:jc w:val="both"/>
        <w:ind w:left="920" w:hanging="917"/>
        <w:spacing w:after="0" w:line="239" w:lineRule="auto"/>
        <w:tabs>
          <w:tab w:leader="none" w:pos="900" w:val="left"/>
        </w:tabs>
        <w:rPr>
          <w:rFonts w:ascii="Arial" w:cs="Arial" w:eastAsia="Arial" w:hAnsi="Arial"/>
          <w:sz w:val="18"/>
          <w:szCs w:val="18"/>
          <w:u w:val="single" w:color="auto"/>
          <w:color w:val="0000FF"/>
        </w:rPr>
      </w:pPr>
      <w:r>
        <w:rPr>
          <w:rFonts w:ascii="Arial" w:cs="Arial" w:eastAsia="Arial" w:hAnsi="Arial"/>
          <w:sz w:val="18"/>
          <w:szCs w:val="18"/>
          <w:color w:val="auto"/>
        </w:rPr>
        <w:t>4.116</w:t>
      </w:r>
      <w:r>
        <w:rPr>
          <w:sz w:val="20"/>
          <w:szCs w:val="20"/>
          <w:color w:val="auto"/>
        </w:rPr>
        <w:tab/>
      </w:r>
      <w:hyperlink r:id="rId186">
        <w:r>
          <w:rPr>
            <w:rFonts w:ascii="Arial" w:cs="Arial" w:eastAsia="Arial" w:hAnsi="Arial"/>
            <w:sz w:val="18"/>
            <w:szCs w:val="18"/>
            <w:u w:val="single" w:color="auto"/>
            <w:color w:val="0000FF"/>
          </w:rPr>
          <w:t>Revolving Credit Agreement (2016-3AA), dated as of October 3, 2016, between Wilmington Trust Company, as Subordination</w:t>
        </w:r>
      </w:hyperlink>
      <w:r>
        <w:rPr>
          <w:rFonts w:ascii="Arial" w:cs="Arial" w:eastAsia="Arial" w:hAnsi="Arial"/>
          <w:sz w:val="18"/>
          <w:szCs w:val="18"/>
          <w:u w:val="single" w:color="auto"/>
          <w:color w:val="0000FF"/>
        </w:rPr>
        <w:t xml:space="preserve"> </w:t>
      </w:r>
      <w:hyperlink r:id="rId186">
        <w:r>
          <w:rPr>
            <w:rFonts w:ascii="Arial" w:cs="Arial" w:eastAsia="Arial" w:hAnsi="Arial"/>
            <w:sz w:val="18"/>
            <w:szCs w:val="18"/>
            <w:u w:val="single" w:color="auto"/>
            <w:color w:val="0000FF"/>
          </w:rPr>
          <w:t>Agent, as agent and trustee for the trustee of the American Airlines Pass Through Trust 2016-3AA, as Borrower, and KfW IPEX-</w:t>
        </w:r>
      </w:hyperlink>
      <w:hyperlink r:id="rId186">
        <w:r>
          <w:rPr>
            <w:rFonts w:ascii="Arial" w:cs="Arial" w:eastAsia="Arial" w:hAnsi="Arial"/>
            <w:sz w:val="18"/>
            <w:szCs w:val="18"/>
            <w:u w:val="single" w:color="auto"/>
            <w:color w:val="0000FF"/>
          </w:rPr>
          <w:t>Bank GmbH, as Liquidity Provider (incorporated by reference to Exhibit 4.14 to American’s Current Report on Form 8-K filed on</w:t>
        </w:r>
      </w:hyperlink>
      <w:r>
        <w:rPr>
          <w:rFonts w:ascii="Arial" w:cs="Arial" w:eastAsia="Arial" w:hAnsi="Arial"/>
          <w:sz w:val="18"/>
          <w:szCs w:val="18"/>
          <w:u w:val="single" w:color="auto"/>
          <w:color w:val="0000FF"/>
        </w:rPr>
        <w:t xml:space="preserve"> </w:t>
      </w:r>
      <w:hyperlink r:id="rId186">
        <w:r>
          <w:rPr>
            <w:rFonts w:ascii="Arial" w:cs="Arial" w:eastAsia="Arial" w:hAnsi="Arial"/>
            <w:sz w:val="18"/>
            <w:szCs w:val="18"/>
            <w:u w:val="single" w:color="auto"/>
            <w:color w:val="0000FF"/>
          </w:rPr>
          <w:t>October 4, 2016 (Commission File No. 1-2691)).</w:t>
        </w:r>
      </w:hyperlink>
    </w:p>
    <w:p>
      <w:pPr>
        <w:spacing w:after="0" w:line="40" w:lineRule="exact"/>
        <w:rPr>
          <w:rFonts w:ascii="Arial" w:cs="Arial" w:eastAsia="Arial" w:hAnsi="Arial"/>
          <w:sz w:val="18"/>
          <w:szCs w:val="18"/>
          <w:u w:val="single" w:color="auto"/>
          <w:color w:val="0000FF"/>
        </w:rPr>
      </w:pPr>
    </w:p>
    <w:p>
      <w:pPr>
        <w:jc w:val="both"/>
        <w:ind w:left="920" w:right="20" w:hanging="917"/>
        <w:spacing w:after="0" w:line="239" w:lineRule="auto"/>
        <w:tabs>
          <w:tab w:leader="none" w:pos="900" w:val="left"/>
        </w:tabs>
        <w:rPr>
          <w:rFonts w:ascii="Arial" w:cs="Arial" w:eastAsia="Arial" w:hAnsi="Arial"/>
          <w:sz w:val="18"/>
          <w:szCs w:val="18"/>
          <w:u w:val="single" w:color="auto"/>
          <w:color w:val="0000FF"/>
        </w:rPr>
      </w:pPr>
      <w:r>
        <w:rPr>
          <w:rFonts w:ascii="Arial" w:cs="Arial" w:eastAsia="Arial" w:hAnsi="Arial"/>
          <w:sz w:val="18"/>
          <w:szCs w:val="18"/>
          <w:color w:val="auto"/>
        </w:rPr>
        <w:t>4.117</w:t>
      </w:r>
      <w:r>
        <w:rPr>
          <w:sz w:val="20"/>
          <w:szCs w:val="20"/>
          <w:color w:val="auto"/>
        </w:rPr>
        <w:tab/>
      </w:r>
      <w:hyperlink r:id="rId187">
        <w:r>
          <w:rPr>
            <w:rFonts w:ascii="Arial" w:cs="Arial" w:eastAsia="Arial" w:hAnsi="Arial"/>
            <w:sz w:val="18"/>
            <w:szCs w:val="18"/>
            <w:u w:val="single" w:color="auto"/>
            <w:color w:val="0000FF"/>
          </w:rPr>
          <w:t>Revolving Credit Agreement (2016-3A), dated as of October 3, 2016, between Wilmington Trust Company, as Subordination Agent,</w:t>
        </w:r>
      </w:hyperlink>
      <w:r>
        <w:rPr>
          <w:rFonts w:ascii="Arial" w:cs="Arial" w:eastAsia="Arial" w:hAnsi="Arial"/>
          <w:sz w:val="18"/>
          <w:szCs w:val="18"/>
          <w:u w:val="single" w:color="auto"/>
          <w:color w:val="0000FF"/>
        </w:rPr>
        <w:t xml:space="preserve"> </w:t>
      </w:r>
      <w:hyperlink r:id="rId187">
        <w:r>
          <w:rPr>
            <w:rFonts w:ascii="Arial" w:cs="Arial" w:eastAsia="Arial" w:hAnsi="Arial"/>
            <w:sz w:val="18"/>
            <w:szCs w:val="18"/>
            <w:u w:val="single" w:color="auto"/>
            <w:color w:val="0000FF"/>
          </w:rPr>
          <w:t>as agent and trustee for the trustee of the American Airlines Pass Through Trust 2016-3A, as Borrower, and KfW IPEX-Bank</w:t>
        </w:r>
      </w:hyperlink>
      <w:r>
        <w:rPr>
          <w:rFonts w:ascii="Arial" w:cs="Arial" w:eastAsia="Arial" w:hAnsi="Arial"/>
          <w:sz w:val="18"/>
          <w:szCs w:val="18"/>
          <w:u w:val="single" w:color="auto"/>
          <w:color w:val="0000FF"/>
        </w:rPr>
        <w:t xml:space="preserve"> </w:t>
      </w:r>
      <w:hyperlink r:id="rId187">
        <w:r>
          <w:rPr>
            <w:rFonts w:ascii="Arial" w:cs="Arial" w:eastAsia="Arial" w:hAnsi="Arial"/>
            <w:sz w:val="18"/>
            <w:szCs w:val="18"/>
            <w:u w:val="single" w:color="auto"/>
            <w:color w:val="0000FF"/>
          </w:rPr>
          <w:t>GmbH, as Liquidity Provider (incorporated by reference to Exhibit 4.15 to American’s Current Report on Form 8-K filed on</w:t>
        </w:r>
      </w:hyperlink>
      <w:r>
        <w:rPr>
          <w:rFonts w:ascii="Arial" w:cs="Arial" w:eastAsia="Arial" w:hAnsi="Arial"/>
          <w:sz w:val="18"/>
          <w:szCs w:val="18"/>
          <w:u w:val="single" w:color="auto"/>
          <w:color w:val="0000FF"/>
        </w:rPr>
        <w:t xml:space="preserve"> </w:t>
      </w:r>
      <w:hyperlink r:id="rId187">
        <w:r>
          <w:rPr>
            <w:rFonts w:ascii="Arial" w:cs="Arial" w:eastAsia="Arial" w:hAnsi="Arial"/>
            <w:sz w:val="18"/>
            <w:szCs w:val="18"/>
            <w:u w:val="single" w:color="auto"/>
            <w:color w:val="0000FF"/>
          </w:rPr>
          <w:t>October 4, 2016 (Commission File No. 1-2691)).</w:t>
        </w:r>
      </w:hyperlink>
    </w:p>
    <w:p>
      <w:pPr>
        <w:spacing w:after="0" w:line="40" w:lineRule="exact"/>
        <w:rPr>
          <w:rFonts w:ascii="Arial" w:cs="Arial" w:eastAsia="Arial" w:hAnsi="Arial"/>
          <w:sz w:val="18"/>
          <w:szCs w:val="18"/>
          <w:u w:val="single" w:color="auto"/>
          <w:color w:val="0000FF"/>
        </w:rPr>
      </w:pPr>
    </w:p>
    <w:p>
      <w:pPr>
        <w:jc w:val="both"/>
        <w:ind w:left="920" w:hanging="917"/>
        <w:spacing w:after="0"/>
        <w:tabs>
          <w:tab w:leader="none" w:pos="900" w:val="left"/>
        </w:tabs>
        <w:rPr>
          <w:rFonts w:ascii="Arial" w:cs="Arial" w:eastAsia="Arial" w:hAnsi="Arial"/>
          <w:sz w:val="18"/>
          <w:szCs w:val="18"/>
          <w:u w:val="single" w:color="auto"/>
          <w:color w:val="0000FF"/>
        </w:rPr>
      </w:pPr>
      <w:r>
        <w:rPr>
          <w:rFonts w:ascii="Arial" w:cs="Arial" w:eastAsia="Arial" w:hAnsi="Arial"/>
          <w:sz w:val="18"/>
          <w:szCs w:val="18"/>
          <w:color w:val="auto"/>
        </w:rPr>
        <w:t>4.118</w:t>
      </w:r>
      <w:r>
        <w:rPr>
          <w:sz w:val="20"/>
          <w:szCs w:val="20"/>
          <w:color w:val="auto"/>
        </w:rPr>
        <w:tab/>
      </w:r>
      <w:hyperlink r:id="rId188">
        <w:r>
          <w:rPr>
            <w:rFonts w:ascii="Arial" w:cs="Arial" w:eastAsia="Arial" w:hAnsi="Arial"/>
            <w:sz w:val="18"/>
            <w:szCs w:val="18"/>
            <w:u w:val="single" w:color="auto"/>
            <w:color w:val="0000FF"/>
          </w:rPr>
          <w:t>Trust Supplement No. 2017-1AA, dated as of January 13, 2017, between American Airlines, Inc. and Wilmington Trust Company,</w:t>
        </w:r>
      </w:hyperlink>
      <w:r>
        <w:rPr>
          <w:rFonts w:ascii="Arial" w:cs="Arial" w:eastAsia="Arial" w:hAnsi="Arial"/>
          <w:sz w:val="18"/>
          <w:szCs w:val="18"/>
          <w:u w:val="single" w:color="auto"/>
          <w:color w:val="0000FF"/>
        </w:rPr>
        <w:t xml:space="preserve"> </w:t>
      </w:r>
      <w:hyperlink r:id="rId188">
        <w:r>
          <w:rPr>
            <w:rFonts w:ascii="Arial" w:cs="Arial" w:eastAsia="Arial" w:hAnsi="Arial"/>
            <w:sz w:val="18"/>
            <w:szCs w:val="18"/>
            <w:u w:val="single" w:color="auto"/>
            <w:color w:val="0000FF"/>
          </w:rPr>
          <w:t>as Trustee, to the Pass Through Trust Agreement, dated as of September 16, 2014 (incorporated by reference to Exhibit 4.2 to</w:t>
        </w:r>
      </w:hyperlink>
      <w:r>
        <w:rPr>
          <w:rFonts w:ascii="Arial" w:cs="Arial" w:eastAsia="Arial" w:hAnsi="Arial"/>
          <w:sz w:val="18"/>
          <w:szCs w:val="18"/>
          <w:u w:val="single" w:color="auto"/>
          <w:color w:val="0000FF"/>
        </w:rPr>
        <w:t xml:space="preserve"> </w:t>
      </w:r>
      <w:hyperlink r:id="rId188">
        <w:r>
          <w:rPr>
            <w:rFonts w:ascii="Arial" w:cs="Arial" w:eastAsia="Arial" w:hAnsi="Arial"/>
            <w:sz w:val="18"/>
            <w:szCs w:val="18"/>
            <w:u w:val="single" w:color="auto"/>
            <w:color w:val="0000FF"/>
          </w:rPr>
          <w:t>American’s Current Report on Form 8-K filed on January 17, 2017 (Commission File No. 1-02691)).</w:t>
        </w:r>
      </w:hyperlink>
    </w:p>
    <w:p>
      <w:pPr>
        <w:spacing w:after="0" w:line="41" w:lineRule="exact"/>
        <w:rPr>
          <w:rFonts w:ascii="Arial" w:cs="Arial" w:eastAsia="Arial" w:hAnsi="Arial"/>
          <w:sz w:val="18"/>
          <w:szCs w:val="18"/>
          <w:u w:val="single" w:color="auto"/>
          <w:color w:val="0000FF"/>
        </w:rPr>
      </w:pPr>
    </w:p>
    <w:p>
      <w:pPr>
        <w:jc w:val="both"/>
        <w:ind w:left="920" w:right="20" w:hanging="917"/>
        <w:spacing w:after="0"/>
        <w:tabs>
          <w:tab w:leader="none" w:pos="900" w:val="left"/>
        </w:tabs>
        <w:rPr>
          <w:rFonts w:ascii="Arial" w:cs="Arial" w:eastAsia="Arial" w:hAnsi="Arial"/>
          <w:sz w:val="18"/>
          <w:szCs w:val="18"/>
          <w:u w:val="single" w:color="auto"/>
          <w:color w:val="0000FF"/>
        </w:rPr>
      </w:pPr>
      <w:r>
        <w:rPr>
          <w:rFonts w:ascii="Arial" w:cs="Arial" w:eastAsia="Arial" w:hAnsi="Arial"/>
          <w:sz w:val="18"/>
          <w:szCs w:val="18"/>
          <w:color w:val="auto"/>
        </w:rPr>
        <w:t>4.119</w:t>
      </w:r>
      <w:r>
        <w:rPr>
          <w:sz w:val="20"/>
          <w:szCs w:val="20"/>
          <w:color w:val="auto"/>
        </w:rPr>
        <w:tab/>
      </w:r>
      <w:hyperlink r:id="rId189">
        <w:r>
          <w:rPr>
            <w:rFonts w:ascii="Arial" w:cs="Arial" w:eastAsia="Arial" w:hAnsi="Arial"/>
            <w:sz w:val="18"/>
            <w:szCs w:val="18"/>
            <w:u w:val="single" w:color="auto"/>
            <w:color w:val="0000FF"/>
          </w:rPr>
          <w:t>Trust Supplement No. 2017-1A, dated as of January 13, 2017, between American Airlines, Inc. and Wilmington Trust Company, as</w:t>
        </w:r>
      </w:hyperlink>
      <w:r>
        <w:rPr>
          <w:rFonts w:ascii="Arial" w:cs="Arial" w:eastAsia="Arial" w:hAnsi="Arial"/>
          <w:sz w:val="18"/>
          <w:szCs w:val="18"/>
          <w:u w:val="single" w:color="auto"/>
          <w:color w:val="0000FF"/>
        </w:rPr>
        <w:t xml:space="preserve"> </w:t>
      </w:r>
      <w:hyperlink r:id="rId189">
        <w:r>
          <w:rPr>
            <w:rFonts w:ascii="Arial" w:cs="Arial" w:eastAsia="Arial" w:hAnsi="Arial"/>
            <w:sz w:val="18"/>
            <w:szCs w:val="18"/>
            <w:u w:val="single" w:color="auto"/>
            <w:color w:val="0000FF"/>
          </w:rPr>
          <w:t>Trustee, to the Pass Through Trust Agreement, dated as of September 16, 2014, (incorporated by reference to Exhibit 4.3 to</w:t>
        </w:r>
      </w:hyperlink>
      <w:r>
        <w:rPr>
          <w:rFonts w:ascii="Arial" w:cs="Arial" w:eastAsia="Arial" w:hAnsi="Arial"/>
          <w:sz w:val="18"/>
          <w:szCs w:val="18"/>
          <w:u w:val="single" w:color="auto"/>
          <w:color w:val="0000FF"/>
        </w:rPr>
        <w:t xml:space="preserve"> </w:t>
      </w:r>
      <w:hyperlink r:id="rId189">
        <w:r>
          <w:rPr>
            <w:rFonts w:ascii="Arial" w:cs="Arial" w:eastAsia="Arial" w:hAnsi="Arial"/>
            <w:sz w:val="18"/>
            <w:szCs w:val="18"/>
            <w:u w:val="single" w:color="auto"/>
            <w:color w:val="0000FF"/>
          </w:rPr>
          <w:t>American’s Current Report on Form 8-K filed on January 17, 2017 (Commission File No. 1-02691)).</w:t>
        </w:r>
      </w:hyperlink>
    </w:p>
    <w:p>
      <w:pPr>
        <w:spacing w:after="0" w:line="41" w:lineRule="exact"/>
        <w:rPr>
          <w:rFonts w:ascii="Arial" w:cs="Arial" w:eastAsia="Arial" w:hAnsi="Arial"/>
          <w:sz w:val="18"/>
          <w:szCs w:val="18"/>
          <w:u w:val="single" w:color="auto"/>
          <w:color w:val="0000FF"/>
        </w:rPr>
      </w:pPr>
    </w:p>
    <w:p>
      <w:pPr>
        <w:jc w:val="both"/>
        <w:ind w:left="920" w:right="20" w:hanging="917"/>
        <w:spacing w:after="0"/>
        <w:tabs>
          <w:tab w:leader="none" w:pos="900" w:val="left"/>
        </w:tabs>
        <w:rPr>
          <w:rFonts w:ascii="Arial" w:cs="Arial" w:eastAsia="Arial" w:hAnsi="Arial"/>
          <w:sz w:val="18"/>
          <w:szCs w:val="18"/>
          <w:u w:val="single" w:color="auto"/>
          <w:color w:val="0000FF"/>
        </w:rPr>
      </w:pPr>
      <w:r>
        <w:rPr>
          <w:rFonts w:ascii="Arial" w:cs="Arial" w:eastAsia="Arial" w:hAnsi="Arial"/>
          <w:sz w:val="18"/>
          <w:szCs w:val="18"/>
          <w:color w:val="auto"/>
        </w:rPr>
        <w:t>4.120</w:t>
      </w:r>
      <w:r>
        <w:rPr>
          <w:sz w:val="20"/>
          <w:szCs w:val="20"/>
          <w:color w:val="auto"/>
        </w:rPr>
        <w:tab/>
      </w:r>
      <w:hyperlink r:id="rId190">
        <w:r>
          <w:rPr>
            <w:rFonts w:ascii="Arial" w:cs="Arial" w:eastAsia="Arial" w:hAnsi="Arial"/>
            <w:sz w:val="18"/>
            <w:szCs w:val="18"/>
            <w:u w:val="single" w:color="auto"/>
            <w:color w:val="0000FF"/>
          </w:rPr>
          <w:t>Trust Supplement No. 2017-1B, dated as of January 13, 2017, between American Airlines, Inc. and Wilmington Trust Company, as</w:t>
        </w:r>
      </w:hyperlink>
      <w:r>
        <w:rPr>
          <w:rFonts w:ascii="Arial" w:cs="Arial" w:eastAsia="Arial" w:hAnsi="Arial"/>
          <w:sz w:val="18"/>
          <w:szCs w:val="18"/>
          <w:u w:val="single" w:color="auto"/>
          <w:color w:val="0000FF"/>
        </w:rPr>
        <w:t xml:space="preserve"> </w:t>
      </w:r>
      <w:hyperlink r:id="rId190">
        <w:r>
          <w:rPr>
            <w:rFonts w:ascii="Arial" w:cs="Arial" w:eastAsia="Arial" w:hAnsi="Arial"/>
            <w:sz w:val="18"/>
            <w:szCs w:val="18"/>
            <w:u w:val="single" w:color="auto"/>
            <w:color w:val="0000FF"/>
          </w:rPr>
          <w:t>Trustee, to the Pass Through Trust Agreement, dated as of September 16, 2014 (incorporated by reference to Exhibit 4.4 to</w:t>
        </w:r>
      </w:hyperlink>
      <w:r>
        <w:rPr>
          <w:rFonts w:ascii="Arial" w:cs="Arial" w:eastAsia="Arial" w:hAnsi="Arial"/>
          <w:sz w:val="18"/>
          <w:szCs w:val="18"/>
          <w:u w:val="single" w:color="auto"/>
          <w:color w:val="0000FF"/>
        </w:rPr>
        <w:t xml:space="preserve"> </w:t>
      </w:r>
      <w:hyperlink r:id="rId190">
        <w:r>
          <w:rPr>
            <w:rFonts w:ascii="Arial" w:cs="Arial" w:eastAsia="Arial" w:hAnsi="Arial"/>
            <w:sz w:val="18"/>
            <w:szCs w:val="18"/>
            <w:u w:val="single" w:color="auto"/>
            <w:color w:val="0000FF"/>
          </w:rPr>
          <w:t>American’s Current Report on Form 8-K filed on January 17, 2017 (Commission File No. 1-02691)).</w:t>
        </w:r>
      </w:hyperlink>
    </w:p>
    <w:p>
      <w:pPr>
        <w:spacing w:after="0" w:line="41" w:lineRule="exact"/>
        <w:rPr>
          <w:rFonts w:ascii="Arial" w:cs="Arial" w:eastAsia="Arial" w:hAnsi="Arial"/>
          <w:sz w:val="18"/>
          <w:szCs w:val="18"/>
          <w:u w:val="single" w:color="auto"/>
          <w:color w:val="0000FF"/>
        </w:rPr>
      </w:pPr>
    </w:p>
    <w:p>
      <w:pPr>
        <w:jc w:val="both"/>
        <w:ind w:left="920" w:right="20" w:hanging="917"/>
        <w:spacing w:after="0" w:line="238" w:lineRule="auto"/>
        <w:tabs>
          <w:tab w:leader="none" w:pos="900" w:val="left"/>
        </w:tabs>
        <w:rPr>
          <w:rFonts w:ascii="Arial" w:cs="Arial" w:eastAsia="Arial" w:hAnsi="Arial"/>
          <w:sz w:val="18"/>
          <w:szCs w:val="18"/>
          <w:u w:val="single" w:color="auto"/>
          <w:color w:val="0000FF"/>
        </w:rPr>
      </w:pPr>
      <w:r>
        <w:rPr>
          <w:rFonts w:ascii="Arial" w:cs="Arial" w:eastAsia="Arial" w:hAnsi="Arial"/>
          <w:sz w:val="18"/>
          <w:szCs w:val="18"/>
          <w:color w:val="auto"/>
        </w:rPr>
        <w:t>4.121</w:t>
      </w:r>
      <w:r>
        <w:rPr>
          <w:sz w:val="20"/>
          <w:szCs w:val="20"/>
          <w:color w:val="auto"/>
        </w:rPr>
        <w:tab/>
      </w:r>
      <w:hyperlink r:id="rId191">
        <w:r>
          <w:rPr>
            <w:rFonts w:ascii="Arial" w:cs="Arial" w:eastAsia="Arial" w:hAnsi="Arial"/>
            <w:sz w:val="18"/>
            <w:szCs w:val="18"/>
            <w:u w:val="single" w:color="auto"/>
            <w:color w:val="0000FF"/>
          </w:rPr>
          <w:t>Intercreditor Agreement (2017-1), dated as of January 13, 2017, among Wilmington Trust Company, as Trustee of the American</w:t>
        </w:r>
      </w:hyperlink>
      <w:r>
        <w:rPr>
          <w:rFonts w:ascii="Arial" w:cs="Arial" w:eastAsia="Arial" w:hAnsi="Arial"/>
          <w:sz w:val="18"/>
          <w:szCs w:val="18"/>
          <w:u w:val="single" w:color="auto"/>
          <w:color w:val="0000FF"/>
        </w:rPr>
        <w:t xml:space="preserve"> </w:t>
      </w:r>
      <w:hyperlink r:id="rId191">
        <w:r>
          <w:rPr>
            <w:rFonts w:ascii="Arial" w:cs="Arial" w:eastAsia="Arial" w:hAnsi="Arial"/>
            <w:sz w:val="18"/>
            <w:szCs w:val="18"/>
            <w:u w:val="single" w:color="auto"/>
            <w:color w:val="0000FF"/>
          </w:rPr>
          <w:t>Airlines Pass Through Trust 2017-1AA, as Trustee of the American Airlines Pass Through Trust 2017-1A and as Trustee of the</w:t>
        </w:r>
      </w:hyperlink>
      <w:r>
        <w:rPr>
          <w:rFonts w:ascii="Arial" w:cs="Arial" w:eastAsia="Arial" w:hAnsi="Arial"/>
          <w:sz w:val="18"/>
          <w:szCs w:val="18"/>
          <w:u w:val="single" w:color="auto"/>
          <w:color w:val="0000FF"/>
        </w:rPr>
        <w:t xml:space="preserve"> </w:t>
      </w:r>
      <w:hyperlink r:id="rId191">
        <w:r>
          <w:rPr>
            <w:rFonts w:ascii="Arial" w:cs="Arial" w:eastAsia="Arial" w:hAnsi="Arial"/>
            <w:sz w:val="18"/>
            <w:szCs w:val="18"/>
            <w:u w:val="single" w:color="auto"/>
            <w:color w:val="0000FF"/>
          </w:rPr>
          <w:t>American Airlines Pass Through Trust 2017-1B, Citibank N.A., as Class AA Liquidity Provider, Class A Liquidity Provider and Class</w:t>
        </w:r>
      </w:hyperlink>
      <w:r>
        <w:rPr>
          <w:rFonts w:ascii="Arial" w:cs="Arial" w:eastAsia="Arial" w:hAnsi="Arial"/>
          <w:sz w:val="18"/>
          <w:szCs w:val="18"/>
          <w:u w:val="single" w:color="auto"/>
          <w:color w:val="0000FF"/>
        </w:rPr>
        <w:t xml:space="preserve"> </w:t>
      </w:r>
      <w:hyperlink r:id="rId191">
        <w:r>
          <w:rPr>
            <w:rFonts w:ascii="Arial" w:cs="Arial" w:eastAsia="Arial" w:hAnsi="Arial"/>
            <w:sz w:val="18"/>
            <w:szCs w:val="18"/>
            <w:u w:val="single" w:color="auto"/>
            <w:color w:val="0000FF"/>
          </w:rPr>
          <w:t>B Liquidity Provider, and Wilmington Trust Company, as Subordination Agent (incorporated by reference to Exhibit 4.5 to</w:t>
        </w:r>
      </w:hyperlink>
      <w:r>
        <w:rPr>
          <w:rFonts w:ascii="Arial" w:cs="Arial" w:eastAsia="Arial" w:hAnsi="Arial"/>
          <w:sz w:val="18"/>
          <w:szCs w:val="18"/>
          <w:u w:val="single" w:color="auto"/>
          <w:color w:val="0000FF"/>
        </w:rPr>
        <w:t xml:space="preserve"> </w:t>
      </w:r>
      <w:hyperlink r:id="rId191">
        <w:r>
          <w:rPr>
            <w:rFonts w:ascii="Arial" w:cs="Arial" w:eastAsia="Arial" w:hAnsi="Arial"/>
            <w:sz w:val="18"/>
            <w:szCs w:val="18"/>
            <w:u w:val="single" w:color="auto"/>
            <w:color w:val="0000FF"/>
          </w:rPr>
          <w:t>American’s Current Report on Form 8-K filed on January 17, 2017 (Commission File No. 1-02691)).</w:t>
        </w:r>
      </w:hyperlink>
    </w:p>
    <w:p>
      <w:pPr>
        <w:spacing w:after="0" w:line="41" w:lineRule="exact"/>
        <w:rPr>
          <w:rFonts w:ascii="Arial" w:cs="Arial" w:eastAsia="Arial" w:hAnsi="Arial"/>
          <w:sz w:val="18"/>
          <w:szCs w:val="18"/>
          <w:u w:val="single" w:color="auto"/>
          <w:color w:val="0000FF"/>
        </w:rPr>
      </w:pPr>
    </w:p>
    <w:p>
      <w:pPr>
        <w:jc w:val="both"/>
        <w:ind w:left="920" w:right="20" w:hanging="917"/>
        <w:spacing w:after="0" w:line="239" w:lineRule="auto"/>
        <w:tabs>
          <w:tab w:leader="none" w:pos="900" w:val="left"/>
        </w:tabs>
        <w:rPr>
          <w:rFonts w:ascii="Arial" w:cs="Arial" w:eastAsia="Arial" w:hAnsi="Arial"/>
          <w:sz w:val="18"/>
          <w:szCs w:val="18"/>
          <w:u w:val="single" w:color="auto"/>
          <w:color w:val="0000FF"/>
        </w:rPr>
      </w:pPr>
      <w:r>
        <w:rPr>
          <w:rFonts w:ascii="Arial" w:cs="Arial" w:eastAsia="Arial" w:hAnsi="Arial"/>
          <w:sz w:val="18"/>
          <w:szCs w:val="18"/>
          <w:color w:val="auto"/>
        </w:rPr>
        <w:t>4.122</w:t>
      </w:r>
      <w:r>
        <w:rPr>
          <w:sz w:val="20"/>
          <w:szCs w:val="20"/>
          <w:color w:val="auto"/>
        </w:rPr>
        <w:tab/>
      </w:r>
      <w:hyperlink r:id="rId192">
        <w:r>
          <w:rPr>
            <w:rFonts w:ascii="Arial" w:cs="Arial" w:eastAsia="Arial" w:hAnsi="Arial"/>
            <w:sz w:val="18"/>
            <w:szCs w:val="18"/>
            <w:u w:val="single" w:color="auto"/>
            <w:color w:val="0000FF"/>
          </w:rPr>
          <w:t>Note Purchase Agreement, dated as of January 13, 2017, among American Airlines, Inc., Wilmington Trust Company, as Pass</w:t>
        </w:r>
      </w:hyperlink>
      <w:r>
        <w:rPr>
          <w:rFonts w:ascii="Arial" w:cs="Arial" w:eastAsia="Arial" w:hAnsi="Arial"/>
          <w:sz w:val="18"/>
          <w:szCs w:val="18"/>
          <w:u w:val="single" w:color="auto"/>
          <w:color w:val="0000FF"/>
        </w:rPr>
        <w:t xml:space="preserve"> </w:t>
      </w:r>
      <w:hyperlink r:id="rId192">
        <w:r>
          <w:rPr>
            <w:rFonts w:ascii="Arial" w:cs="Arial" w:eastAsia="Arial" w:hAnsi="Arial"/>
            <w:sz w:val="18"/>
            <w:szCs w:val="18"/>
            <w:u w:val="single" w:color="auto"/>
            <w:color w:val="0000FF"/>
          </w:rPr>
          <w:t>Through Trustee under each of the Pass Through Trust Agreements, Wilmington Trust Company, as Subordination Agent,</w:t>
        </w:r>
      </w:hyperlink>
      <w:r>
        <w:rPr>
          <w:rFonts w:ascii="Arial" w:cs="Arial" w:eastAsia="Arial" w:hAnsi="Arial"/>
          <w:sz w:val="18"/>
          <w:szCs w:val="18"/>
          <w:u w:val="single" w:color="auto"/>
          <w:color w:val="0000FF"/>
        </w:rPr>
        <w:t xml:space="preserve"> </w:t>
      </w:r>
      <w:hyperlink r:id="rId192">
        <w:r>
          <w:rPr>
            <w:rFonts w:ascii="Arial" w:cs="Arial" w:eastAsia="Arial" w:hAnsi="Arial"/>
            <w:sz w:val="18"/>
            <w:szCs w:val="18"/>
            <w:u w:val="single" w:color="auto"/>
            <w:color w:val="0000FF"/>
          </w:rPr>
          <w:t>Wilmington Trust, National Association, as Escrow Agent, and Wilmington Trust Company, as Paying Agent (incorporated by</w:t>
        </w:r>
      </w:hyperlink>
      <w:r>
        <w:rPr>
          <w:rFonts w:ascii="Arial" w:cs="Arial" w:eastAsia="Arial" w:hAnsi="Arial"/>
          <w:sz w:val="18"/>
          <w:szCs w:val="18"/>
          <w:u w:val="single" w:color="auto"/>
          <w:color w:val="0000FF"/>
        </w:rPr>
        <w:t xml:space="preserve"> </w:t>
      </w:r>
      <w:hyperlink r:id="rId192">
        <w:r>
          <w:rPr>
            <w:rFonts w:ascii="Arial" w:cs="Arial" w:eastAsia="Arial" w:hAnsi="Arial"/>
            <w:sz w:val="18"/>
            <w:szCs w:val="18"/>
            <w:u w:val="single" w:color="auto"/>
            <w:color w:val="0000FF"/>
          </w:rPr>
          <w:t>reference to Exhibit 4.12 to American’s Current Report on Form 8-K filed on January 17, 2017 (Commission File No. 1-02691)).</w:t>
        </w:r>
      </w:hyperlink>
    </w:p>
    <w:p>
      <w:pPr>
        <w:spacing w:after="0" w:line="40" w:lineRule="exact"/>
        <w:rPr>
          <w:rFonts w:ascii="Arial" w:cs="Arial" w:eastAsia="Arial" w:hAnsi="Arial"/>
          <w:sz w:val="18"/>
          <w:szCs w:val="18"/>
          <w:u w:val="single" w:color="auto"/>
          <w:color w:val="0000FF"/>
        </w:rPr>
      </w:pPr>
    </w:p>
    <w:p>
      <w:pPr>
        <w:jc w:val="both"/>
        <w:ind w:left="920" w:hanging="917"/>
        <w:spacing w:after="0" w:line="238" w:lineRule="auto"/>
        <w:tabs>
          <w:tab w:leader="none" w:pos="900" w:val="left"/>
        </w:tabs>
        <w:rPr>
          <w:rFonts w:ascii="Arial" w:cs="Arial" w:eastAsia="Arial" w:hAnsi="Arial"/>
          <w:sz w:val="18"/>
          <w:szCs w:val="18"/>
          <w:u w:val="single" w:color="auto"/>
          <w:color w:val="0000FF"/>
        </w:rPr>
      </w:pPr>
      <w:r>
        <w:rPr>
          <w:rFonts w:ascii="Arial" w:cs="Arial" w:eastAsia="Arial" w:hAnsi="Arial"/>
          <w:sz w:val="18"/>
          <w:szCs w:val="18"/>
          <w:color w:val="auto"/>
        </w:rPr>
        <w:t>4.123</w:t>
      </w:r>
      <w:r>
        <w:rPr>
          <w:sz w:val="20"/>
          <w:szCs w:val="20"/>
          <w:color w:val="auto"/>
        </w:rPr>
        <w:tab/>
      </w:r>
      <w:hyperlink r:id="rId192">
        <w:r>
          <w:rPr>
            <w:rFonts w:ascii="Arial" w:cs="Arial" w:eastAsia="Arial" w:hAnsi="Arial"/>
            <w:sz w:val="18"/>
            <w:szCs w:val="18"/>
            <w:u w:val="single" w:color="auto"/>
            <w:color w:val="0000FF"/>
          </w:rPr>
          <w:t>Form of Participation Agreement (Participation Agreement among American Airlines, Inc., Wilmington Trust Company, as Pass</w:t>
        </w:r>
      </w:hyperlink>
      <w:r>
        <w:rPr>
          <w:rFonts w:ascii="Arial" w:cs="Arial" w:eastAsia="Arial" w:hAnsi="Arial"/>
          <w:sz w:val="18"/>
          <w:szCs w:val="18"/>
          <w:u w:val="single" w:color="auto"/>
          <w:color w:val="0000FF"/>
        </w:rPr>
        <w:t xml:space="preserve"> </w:t>
      </w:r>
      <w:hyperlink r:id="rId192">
        <w:r>
          <w:rPr>
            <w:rFonts w:ascii="Arial" w:cs="Arial" w:eastAsia="Arial" w:hAnsi="Arial"/>
            <w:sz w:val="18"/>
            <w:szCs w:val="18"/>
            <w:u w:val="single" w:color="auto"/>
            <w:color w:val="0000FF"/>
          </w:rPr>
          <w:t>Through Trustee under each of the Pass Through Trust Agreements, Wilmington Trust Company, as Subordination Agent,</w:t>
        </w:r>
      </w:hyperlink>
      <w:r>
        <w:rPr>
          <w:rFonts w:ascii="Arial" w:cs="Arial" w:eastAsia="Arial" w:hAnsi="Arial"/>
          <w:sz w:val="18"/>
          <w:szCs w:val="18"/>
          <w:u w:val="single" w:color="auto"/>
          <w:color w:val="0000FF"/>
        </w:rPr>
        <w:t xml:space="preserve"> </w:t>
      </w:r>
      <w:hyperlink r:id="rId192">
        <w:r>
          <w:rPr>
            <w:rFonts w:ascii="Arial" w:cs="Arial" w:eastAsia="Arial" w:hAnsi="Arial"/>
            <w:sz w:val="18"/>
            <w:szCs w:val="18"/>
            <w:u w:val="single" w:color="auto"/>
            <w:color w:val="0000FF"/>
          </w:rPr>
          <w:t>Wilmington Trust Company, as Loan Trustee, and Wilmington Trust Company, in its individual capacity as set forth therein)</w:t>
        </w:r>
      </w:hyperlink>
      <w:r>
        <w:rPr>
          <w:rFonts w:ascii="Arial" w:cs="Arial" w:eastAsia="Arial" w:hAnsi="Arial"/>
          <w:sz w:val="18"/>
          <w:szCs w:val="18"/>
          <w:u w:val="single" w:color="auto"/>
          <w:color w:val="0000FF"/>
        </w:rPr>
        <w:t xml:space="preserve"> </w:t>
      </w:r>
      <w:hyperlink r:id="rId192">
        <w:r>
          <w:rPr>
            <w:rFonts w:ascii="Arial" w:cs="Arial" w:eastAsia="Arial" w:hAnsi="Arial"/>
            <w:sz w:val="18"/>
            <w:szCs w:val="18"/>
            <w:u w:val="single" w:color="auto"/>
            <w:color w:val="0000FF"/>
          </w:rPr>
          <w:t>(incorporated by reference to Exhibit B to Exhibit 4.12 to American’s Current Report on Form 8-K filed on January 17, 2017</w:t>
        </w:r>
      </w:hyperlink>
      <w:r>
        <w:rPr>
          <w:rFonts w:ascii="Arial" w:cs="Arial" w:eastAsia="Arial" w:hAnsi="Arial"/>
          <w:sz w:val="18"/>
          <w:szCs w:val="18"/>
          <w:u w:val="single" w:color="auto"/>
          <w:color w:val="0000FF"/>
        </w:rPr>
        <w:t xml:space="preserve"> </w:t>
      </w:r>
      <w:hyperlink r:id="rId192">
        <w:r>
          <w:rPr>
            <w:rFonts w:ascii="Arial" w:cs="Arial" w:eastAsia="Arial" w:hAnsi="Arial"/>
            <w:sz w:val="18"/>
            <w:szCs w:val="18"/>
            <w:u w:val="single" w:color="auto"/>
            <w:color w:val="0000FF"/>
          </w:rPr>
          <w:t>(Commission File No. 1-02691)).</w:t>
        </w:r>
      </w:hyperlink>
    </w:p>
    <w:p>
      <w:pPr>
        <w:spacing w:after="0" w:line="230" w:lineRule="exact"/>
        <w:rPr>
          <w:rFonts w:ascii="Arial" w:cs="Arial" w:eastAsia="Arial" w:hAnsi="Arial"/>
          <w:sz w:val="18"/>
          <w:szCs w:val="18"/>
          <w:u w:val="single" w:color="auto"/>
          <w:color w:val="0000FF"/>
        </w:rPr>
      </w:pPr>
    </w:p>
    <w:p>
      <w:pPr>
        <w:jc w:val="center"/>
        <w:spacing w:after="0"/>
        <w:rPr>
          <w:sz w:val="20"/>
          <w:szCs w:val="20"/>
          <w:color w:val="auto"/>
        </w:rPr>
      </w:pPr>
      <w:r>
        <w:rPr>
          <w:rFonts w:ascii="Arial" w:cs="Arial" w:eastAsia="Arial" w:hAnsi="Arial"/>
          <w:sz w:val="18"/>
          <w:szCs w:val="18"/>
          <w:color w:val="auto"/>
        </w:rPr>
        <w:t>172</w:t>
      </w:r>
    </w:p>
    <w:p>
      <w:pPr>
        <w:sectPr>
          <w:pgSz w:w="11900" w:h="16838" w:orient="portrait"/>
          <w:cols w:equalWidth="0" w:num="1">
            <w:col w:w="11360"/>
          </w:cols>
          <w:pgMar w:left="280" w:top="720" w:right="259" w:bottom="1440" w:gutter="0" w:footer="0" w:header="0"/>
        </w:sectPr>
      </w:pPr>
    </w:p>
    <w:bookmarkStart w:id="172" w:name="page173"/>
    <w:bookmarkEnd w:id="172"/>
    <w:p>
      <w:pPr>
        <w:spacing w:after="0"/>
        <w:rPr>
          <w:sz w:val="20"/>
          <w:szCs w:val="20"/>
          <w:color w:val="auto"/>
        </w:rPr>
      </w:pPr>
      <w:r>
        <w:rPr>
          <w:rFonts w:ascii="Arial" w:cs="Arial" w:eastAsia="Arial" w:hAnsi="Arial"/>
          <w:sz w:val="14"/>
          <w:szCs w:val="14"/>
          <w:b w:val="1"/>
          <w:bCs w:val="1"/>
          <w:color w:val="auto"/>
        </w:rPr>
        <w:t>Exhibit</w:t>
      </w:r>
    </w:p>
    <w:p>
      <w:pPr>
        <w:spacing w:after="0" w:line="19" w:lineRule="exact"/>
        <w:rPr>
          <w:sz w:val="20"/>
          <w:szCs w:val="20"/>
          <w:color w:val="auto"/>
        </w:rPr>
      </w:pPr>
    </w:p>
    <w:p>
      <w:pPr>
        <w:spacing w:after="0"/>
        <w:tabs>
          <w:tab w:leader="none" w:pos="900" w:val="left"/>
        </w:tabs>
        <w:rPr>
          <w:sz w:val="20"/>
          <w:szCs w:val="20"/>
          <w:color w:val="auto"/>
        </w:rPr>
      </w:pPr>
      <w:r>
        <w:rPr>
          <w:rFonts w:ascii="Arial" w:cs="Arial" w:eastAsia="Arial" w:hAnsi="Arial"/>
          <w:sz w:val="14"/>
          <w:szCs w:val="14"/>
          <w:b w:val="1"/>
          <w:bCs w:val="1"/>
          <w:u w:val="single" w:color="auto"/>
          <w:color w:val="auto"/>
        </w:rPr>
        <w:t>Number</w:t>
      </w:r>
      <w:r>
        <w:rPr>
          <w:sz w:val="20"/>
          <w:szCs w:val="20"/>
          <w:color w:val="auto"/>
        </w:rPr>
        <w:tab/>
      </w:r>
      <w:r>
        <w:rPr>
          <w:rFonts w:ascii="Arial" w:cs="Arial" w:eastAsia="Arial" w:hAnsi="Arial"/>
          <w:sz w:val="14"/>
          <w:szCs w:val="14"/>
          <w:b w:val="1"/>
          <w:bCs w:val="1"/>
          <w:u w:val="single" w:color="auto"/>
          <w:color w:val="auto"/>
        </w:rPr>
        <w:t>Description</w:t>
      </w:r>
    </w:p>
    <w:p>
      <w:pPr>
        <w:spacing w:after="0" w:line="49" w:lineRule="exact"/>
        <w:rPr>
          <w:sz w:val="20"/>
          <w:szCs w:val="20"/>
          <w:color w:val="auto"/>
        </w:rPr>
      </w:pPr>
    </w:p>
    <w:p>
      <w:pPr>
        <w:jc w:val="both"/>
        <w:ind w:left="920" w:right="20" w:hanging="917"/>
        <w:spacing w:after="0"/>
        <w:tabs>
          <w:tab w:leader="none" w:pos="900" w:val="left"/>
        </w:tabs>
        <w:rPr>
          <w:rFonts w:ascii="Arial" w:cs="Arial" w:eastAsia="Arial" w:hAnsi="Arial"/>
          <w:sz w:val="18"/>
          <w:szCs w:val="18"/>
          <w:u w:val="single" w:color="auto"/>
          <w:color w:val="0000FF"/>
        </w:rPr>
      </w:pPr>
      <w:r>
        <w:rPr>
          <w:rFonts w:ascii="Arial" w:cs="Arial" w:eastAsia="Arial" w:hAnsi="Arial"/>
          <w:sz w:val="18"/>
          <w:szCs w:val="18"/>
          <w:color w:val="auto"/>
        </w:rPr>
        <w:t>4.124</w:t>
      </w:r>
      <w:r>
        <w:rPr>
          <w:sz w:val="20"/>
          <w:szCs w:val="20"/>
          <w:color w:val="auto"/>
        </w:rPr>
        <w:tab/>
      </w:r>
      <w:hyperlink r:id="rId192">
        <w:r>
          <w:rPr>
            <w:rFonts w:ascii="Arial" w:cs="Arial" w:eastAsia="Arial" w:hAnsi="Arial"/>
            <w:sz w:val="18"/>
            <w:szCs w:val="18"/>
            <w:u w:val="single" w:color="auto"/>
            <w:color w:val="0000FF"/>
          </w:rPr>
          <w:t>Form of Indenture and Security Agreement (Indenture and Security Agreement between American Airlines, Inc., and Wilmington</w:t>
        </w:r>
      </w:hyperlink>
      <w:r>
        <w:rPr>
          <w:rFonts w:ascii="Arial" w:cs="Arial" w:eastAsia="Arial" w:hAnsi="Arial"/>
          <w:sz w:val="18"/>
          <w:szCs w:val="18"/>
          <w:u w:val="single" w:color="auto"/>
          <w:color w:val="0000FF"/>
        </w:rPr>
        <w:t xml:space="preserve"> </w:t>
      </w:r>
      <w:hyperlink r:id="rId192">
        <w:r>
          <w:rPr>
            <w:rFonts w:ascii="Arial" w:cs="Arial" w:eastAsia="Arial" w:hAnsi="Arial"/>
            <w:sz w:val="18"/>
            <w:szCs w:val="18"/>
            <w:u w:val="single" w:color="auto"/>
            <w:color w:val="0000FF"/>
          </w:rPr>
          <w:t>Trust Company, as Loan Trustee) (incorporated by reference to Exhibit C to Exhibit 4.12 to American’s Current Report on Form 8-K</w:t>
        </w:r>
      </w:hyperlink>
      <w:r>
        <w:rPr>
          <w:rFonts w:ascii="Arial" w:cs="Arial" w:eastAsia="Arial" w:hAnsi="Arial"/>
          <w:sz w:val="18"/>
          <w:szCs w:val="18"/>
          <w:u w:val="single" w:color="auto"/>
          <w:color w:val="0000FF"/>
        </w:rPr>
        <w:t xml:space="preserve"> </w:t>
      </w:r>
      <w:hyperlink r:id="rId192">
        <w:r>
          <w:rPr>
            <w:rFonts w:ascii="Arial" w:cs="Arial" w:eastAsia="Arial" w:hAnsi="Arial"/>
            <w:sz w:val="18"/>
            <w:szCs w:val="18"/>
            <w:u w:val="single" w:color="auto"/>
            <w:color w:val="0000FF"/>
          </w:rPr>
          <w:t>filed on January 17, 2017 (Commission File No. 1-02691)).</w:t>
        </w:r>
      </w:hyperlink>
    </w:p>
    <w:p>
      <w:pPr>
        <w:spacing w:after="0" w:line="41" w:lineRule="exact"/>
        <w:rPr>
          <w:rFonts w:ascii="Arial" w:cs="Arial" w:eastAsia="Arial" w:hAnsi="Arial"/>
          <w:sz w:val="18"/>
          <w:szCs w:val="18"/>
          <w:u w:val="single" w:color="auto"/>
          <w:color w:val="0000FF"/>
        </w:rPr>
      </w:pPr>
    </w:p>
    <w:p>
      <w:pPr>
        <w:jc w:val="both"/>
        <w:ind w:left="920" w:right="20" w:hanging="917"/>
        <w:spacing w:after="0" w:line="246" w:lineRule="auto"/>
        <w:tabs>
          <w:tab w:leader="none" w:pos="900" w:val="left"/>
        </w:tabs>
        <w:rPr>
          <w:rFonts w:ascii="Arial" w:cs="Arial" w:eastAsia="Arial" w:hAnsi="Arial"/>
          <w:sz w:val="18"/>
          <w:szCs w:val="18"/>
          <w:u w:val="single" w:color="auto"/>
          <w:color w:val="0000FF"/>
        </w:rPr>
      </w:pPr>
      <w:r>
        <w:rPr>
          <w:rFonts w:ascii="Arial" w:cs="Arial" w:eastAsia="Arial" w:hAnsi="Arial"/>
          <w:sz w:val="18"/>
          <w:szCs w:val="18"/>
          <w:color w:val="auto"/>
        </w:rPr>
        <w:t>4.125</w:t>
      </w:r>
      <w:r>
        <w:rPr>
          <w:sz w:val="20"/>
          <w:szCs w:val="20"/>
          <w:color w:val="auto"/>
        </w:rPr>
        <w:tab/>
      </w:r>
      <w:hyperlink r:id="rId188">
        <w:r>
          <w:rPr>
            <w:rFonts w:ascii="Arial" w:cs="Arial" w:eastAsia="Arial" w:hAnsi="Arial"/>
            <w:sz w:val="18"/>
            <w:szCs w:val="18"/>
            <w:u w:val="single" w:color="auto"/>
            <w:color w:val="0000FF"/>
          </w:rPr>
          <w:t>Form of Pass Through Trust Certificate, Series 2017-1AA (incorporated by reference to Exhibit A to Exhibit 4.2 to American’s</w:t>
        </w:r>
      </w:hyperlink>
      <w:r>
        <w:rPr>
          <w:rFonts w:ascii="Arial" w:cs="Arial" w:eastAsia="Arial" w:hAnsi="Arial"/>
          <w:sz w:val="18"/>
          <w:szCs w:val="18"/>
          <w:u w:val="single" w:color="auto"/>
          <w:color w:val="0000FF"/>
        </w:rPr>
        <w:t xml:space="preserve"> </w:t>
      </w:r>
      <w:hyperlink r:id="rId188">
        <w:r>
          <w:rPr>
            <w:rFonts w:ascii="Arial" w:cs="Arial" w:eastAsia="Arial" w:hAnsi="Arial"/>
            <w:sz w:val="18"/>
            <w:szCs w:val="18"/>
            <w:u w:val="single" w:color="auto"/>
            <w:color w:val="0000FF"/>
          </w:rPr>
          <w:t>Current Report on Form 8-K filed on January 17, 2017 (Commission File No. 1-02691)).</w:t>
        </w:r>
      </w:hyperlink>
    </w:p>
    <w:p>
      <w:pPr>
        <w:spacing w:after="0" w:line="35" w:lineRule="exact"/>
        <w:rPr>
          <w:sz w:val="20"/>
          <w:szCs w:val="20"/>
          <w:color w:val="auto"/>
        </w:rPr>
      </w:pPr>
    </w:p>
    <w:p>
      <w:pPr>
        <w:jc w:val="both"/>
        <w:ind w:left="920" w:right="20" w:hanging="917"/>
        <w:spacing w:after="0" w:line="246" w:lineRule="auto"/>
        <w:tabs>
          <w:tab w:leader="none" w:pos="900" w:val="left"/>
        </w:tabs>
        <w:rPr>
          <w:rFonts w:ascii="Arial" w:cs="Arial" w:eastAsia="Arial" w:hAnsi="Arial"/>
          <w:sz w:val="18"/>
          <w:szCs w:val="18"/>
          <w:u w:val="single" w:color="auto"/>
          <w:color w:val="0000FF"/>
        </w:rPr>
      </w:pPr>
      <w:r>
        <w:rPr>
          <w:rFonts w:ascii="Arial" w:cs="Arial" w:eastAsia="Arial" w:hAnsi="Arial"/>
          <w:sz w:val="18"/>
          <w:szCs w:val="18"/>
          <w:color w:val="auto"/>
        </w:rPr>
        <w:t>4.126</w:t>
      </w:r>
      <w:r>
        <w:rPr>
          <w:sz w:val="20"/>
          <w:szCs w:val="20"/>
          <w:color w:val="auto"/>
        </w:rPr>
        <w:tab/>
      </w:r>
      <w:hyperlink r:id="rId189">
        <w:r>
          <w:rPr>
            <w:rFonts w:ascii="Arial" w:cs="Arial" w:eastAsia="Arial" w:hAnsi="Arial"/>
            <w:sz w:val="18"/>
            <w:szCs w:val="18"/>
            <w:u w:val="single" w:color="auto"/>
            <w:color w:val="0000FF"/>
          </w:rPr>
          <w:t>Form of Pass Through Trust Certificate, Series 2017-1A (incorporated by reference to Exhibit A to Exhibit 4.3 to American’s</w:t>
        </w:r>
      </w:hyperlink>
      <w:r>
        <w:rPr>
          <w:rFonts w:ascii="Arial" w:cs="Arial" w:eastAsia="Arial" w:hAnsi="Arial"/>
          <w:sz w:val="18"/>
          <w:szCs w:val="18"/>
          <w:u w:val="single" w:color="auto"/>
          <w:color w:val="0000FF"/>
        </w:rPr>
        <w:t xml:space="preserve"> </w:t>
      </w:r>
      <w:hyperlink r:id="rId189">
        <w:r>
          <w:rPr>
            <w:rFonts w:ascii="Arial" w:cs="Arial" w:eastAsia="Arial" w:hAnsi="Arial"/>
            <w:sz w:val="18"/>
            <w:szCs w:val="18"/>
            <w:u w:val="single" w:color="auto"/>
            <w:color w:val="0000FF"/>
          </w:rPr>
          <w:t>Current Report on Form 8-K filed on January 17, 2017 (Commission File No. 1-02691)).</w:t>
        </w:r>
      </w:hyperlink>
    </w:p>
    <w:p>
      <w:pPr>
        <w:spacing w:after="0" w:line="35" w:lineRule="exact"/>
        <w:rPr>
          <w:sz w:val="20"/>
          <w:szCs w:val="20"/>
          <w:color w:val="auto"/>
        </w:rPr>
      </w:pPr>
    </w:p>
    <w:p>
      <w:pPr>
        <w:jc w:val="both"/>
        <w:ind w:left="920" w:right="20" w:hanging="917"/>
        <w:spacing w:after="0" w:line="246" w:lineRule="auto"/>
        <w:tabs>
          <w:tab w:leader="none" w:pos="900" w:val="left"/>
        </w:tabs>
        <w:rPr>
          <w:rFonts w:ascii="Arial" w:cs="Arial" w:eastAsia="Arial" w:hAnsi="Arial"/>
          <w:sz w:val="18"/>
          <w:szCs w:val="18"/>
          <w:u w:val="single" w:color="auto"/>
          <w:color w:val="0000FF"/>
        </w:rPr>
      </w:pPr>
      <w:r>
        <w:rPr>
          <w:rFonts w:ascii="Arial" w:cs="Arial" w:eastAsia="Arial" w:hAnsi="Arial"/>
          <w:sz w:val="18"/>
          <w:szCs w:val="18"/>
          <w:color w:val="auto"/>
        </w:rPr>
        <w:t>4.127</w:t>
      </w:r>
      <w:r>
        <w:rPr>
          <w:sz w:val="20"/>
          <w:szCs w:val="20"/>
          <w:color w:val="auto"/>
        </w:rPr>
        <w:tab/>
      </w:r>
      <w:hyperlink r:id="rId190">
        <w:r>
          <w:rPr>
            <w:rFonts w:ascii="Arial" w:cs="Arial" w:eastAsia="Arial" w:hAnsi="Arial"/>
            <w:sz w:val="18"/>
            <w:szCs w:val="18"/>
            <w:u w:val="single" w:color="auto"/>
            <w:color w:val="0000FF"/>
          </w:rPr>
          <w:t>Form of Pass Through Trust Certificate, Series 2017-1B (incorporated by reference to Exhibit A to Exhibit 4.4 to American’s</w:t>
        </w:r>
      </w:hyperlink>
      <w:r>
        <w:rPr>
          <w:rFonts w:ascii="Arial" w:cs="Arial" w:eastAsia="Arial" w:hAnsi="Arial"/>
          <w:sz w:val="18"/>
          <w:szCs w:val="18"/>
          <w:u w:val="single" w:color="auto"/>
          <w:color w:val="0000FF"/>
        </w:rPr>
        <w:t xml:space="preserve"> </w:t>
      </w:r>
      <w:hyperlink r:id="rId190">
        <w:r>
          <w:rPr>
            <w:rFonts w:ascii="Arial" w:cs="Arial" w:eastAsia="Arial" w:hAnsi="Arial"/>
            <w:sz w:val="18"/>
            <w:szCs w:val="18"/>
            <w:u w:val="single" w:color="auto"/>
            <w:color w:val="0000FF"/>
          </w:rPr>
          <w:t>Current Report on Form 8-K filed on January 17, 2017 (Commission File No. 1-02691)).</w:t>
        </w:r>
      </w:hyperlink>
    </w:p>
    <w:p>
      <w:pPr>
        <w:spacing w:after="0" w:line="35" w:lineRule="exact"/>
        <w:rPr>
          <w:sz w:val="20"/>
          <w:szCs w:val="20"/>
          <w:color w:val="auto"/>
        </w:rPr>
      </w:pPr>
    </w:p>
    <w:p>
      <w:pPr>
        <w:jc w:val="both"/>
        <w:ind w:left="920" w:hanging="917"/>
        <w:spacing w:after="0" w:line="239" w:lineRule="auto"/>
        <w:tabs>
          <w:tab w:leader="none" w:pos="900" w:val="left"/>
        </w:tabs>
        <w:rPr>
          <w:rFonts w:ascii="Arial" w:cs="Arial" w:eastAsia="Arial" w:hAnsi="Arial"/>
          <w:sz w:val="18"/>
          <w:szCs w:val="18"/>
          <w:u w:val="single" w:color="auto"/>
          <w:color w:val="0000FF"/>
        </w:rPr>
      </w:pPr>
      <w:r>
        <w:rPr>
          <w:rFonts w:ascii="Arial" w:cs="Arial" w:eastAsia="Arial" w:hAnsi="Arial"/>
          <w:sz w:val="18"/>
          <w:szCs w:val="18"/>
          <w:color w:val="auto"/>
        </w:rPr>
        <w:t>4.128</w:t>
      </w:r>
      <w:r>
        <w:rPr>
          <w:sz w:val="20"/>
          <w:szCs w:val="20"/>
          <w:color w:val="auto"/>
        </w:rPr>
        <w:tab/>
      </w:r>
      <w:hyperlink r:id="rId193">
        <w:r>
          <w:rPr>
            <w:rFonts w:ascii="Arial" w:cs="Arial" w:eastAsia="Arial" w:hAnsi="Arial"/>
            <w:sz w:val="18"/>
            <w:szCs w:val="18"/>
            <w:u w:val="single" w:color="auto"/>
            <w:color w:val="0000FF"/>
          </w:rPr>
          <w:t>Revolving Credit Agreement (2017-1AA), dated as of January 13, 2017, between Wilmington Trust Company, as Subordination</w:t>
        </w:r>
      </w:hyperlink>
      <w:r>
        <w:rPr>
          <w:rFonts w:ascii="Arial" w:cs="Arial" w:eastAsia="Arial" w:hAnsi="Arial"/>
          <w:sz w:val="18"/>
          <w:szCs w:val="18"/>
          <w:u w:val="single" w:color="auto"/>
          <w:color w:val="0000FF"/>
        </w:rPr>
        <w:t xml:space="preserve"> </w:t>
      </w:r>
      <w:hyperlink r:id="rId193">
        <w:r>
          <w:rPr>
            <w:rFonts w:ascii="Arial" w:cs="Arial" w:eastAsia="Arial" w:hAnsi="Arial"/>
            <w:sz w:val="18"/>
            <w:szCs w:val="18"/>
            <w:u w:val="single" w:color="auto"/>
            <w:color w:val="0000FF"/>
          </w:rPr>
          <w:t>Agent, as agent and trustee for the trustee of the American Airlines Pass Through Trust 2017-1AA, as Borrower, and Citibank N.A.,</w:t>
        </w:r>
      </w:hyperlink>
      <w:r>
        <w:rPr>
          <w:rFonts w:ascii="Arial" w:cs="Arial" w:eastAsia="Arial" w:hAnsi="Arial"/>
          <w:sz w:val="18"/>
          <w:szCs w:val="18"/>
          <w:u w:val="single" w:color="auto"/>
          <w:color w:val="0000FF"/>
        </w:rPr>
        <w:t xml:space="preserve"> </w:t>
      </w:r>
      <w:hyperlink r:id="rId193">
        <w:r>
          <w:rPr>
            <w:rFonts w:ascii="Arial" w:cs="Arial" w:eastAsia="Arial" w:hAnsi="Arial"/>
            <w:sz w:val="18"/>
            <w:szCs w:val="18"/>
            <w:u w:val="single" w:color="auto"/>
            <w:color w:val="0000FF"/>
          </w:rPr>
          <w:t>as Liquidity Provider (incorporated by reference to Exhibit 4.18 to American’s Current Report on Form 8-K filed on January 17,</w:t>
        </w:r>
      </w:hyperlink>
      <w:r>
        <w:rPr>
          <w:rFonts w:ascii="Arial" w:cs="Arial" w:eastAsia="Arial" w:hAnsi="Arial"/>
          <w:sz w:val="18"/>
          <w:szCs w:val="18"/>
          <w:u w:val="single" w:color="auto"/>
          <w:color w:val="0000FF"/>
        </w:rPr>
        <w:t xml:space="preserve"> </w:t>
      </w:r>
      <w:hyperlink r:id="rId193">
        <w:r>
          <w:rPr>
            <w:rFonts w:ascii="Arial" w:cs="Arial" w:eastAsia="Arial" w:hAnsi="Arial"/>
            <w:sz w:val="18"/>
            <w:szCs w:val="18"/>
            <w:u w:val="single" w:color="auto"/>
            <w:color w:val="0000FF"/>
          </w:rPr>
          <w:t>2017 (Commission File No. 1-02691)).</w:t>
        </w:r>
      </w:hyperlink>
    </w:p>
    <w:p>
      <w:pPr>
        <w:spacing w:after="0" w:line="40" w:lineRule="exact"/>
        <w:rPr>
          <w:rFonts w:ascii="Arial" w:cs="Arial" w:eastAsia="Arial" w:hAnsi="Arial"/>
          <w:sz w:val="18"/>
          <w:szCs w:val="18"/>
          <w:u w:val="single" w:color="auto"/>
          <w:color w:val="0000FF"/>
        </w:rPr>
      </w:pPr>
    </w:p>
    <w:p>
      <w:pPr>
        <w:jc w:val="both"/>
        <w:ind w:left="920" w:hanging="917"/>
        <w:spacing w:after="0" w:line="239" w:lineRule="auto"/>
        <w:tabs>
          <w:tab w:leader="none" w:pos="900" w:val="left"/>
        </w:tabs>
        <w:rPr>
          <w:rFonts w:ascii="Arial" w:cs="Arial" w:eastAsia="Arial" w:hAnsi="Arial"/>
          <w:sz w:val="18"/>
          <w:szCs w:val="18"/>
          <w:u w:val="single" w:color="auto"/>
          <w:color w:val="0000FF"/>
        </w:rPr>
      </w:pPr>
      <w:r>
        <w:rPr>
          <w:rFonts w:ascii="Arial" w:cs="Arial" w:eastAsia="Arial" w:hAnsi="Arial"/>
          <w:sz w:val="18"/>
          <w:szCs w:val="18"/>
          <w:color w:val="auto"/>
        </w:rPr>
        <w:t>4.129</w:t>
      </w:r>
      <w:r>
        <w:rPr>
          <w:sz w:val="20"/>
          <w:szCs w:val="20"/>
          <w:color w:val="auto"/>
        </w:rPr>
        <w:tab/>
      </w:r>
      <w:hyperlink r:id="rId194">
        <w:r>
          <w:rPr>
            <w:rFonts w:ascii="Arial" w:cs="Arial" w:eastAsia="Arial" w:hAnsi="Arial"/>
            <w:sz w:val="18"/>
            <w:szCs w:val="18"/>
            <w:u w:val="single" w:color="auto"/>
            <w:color w:val="0000FF"/>
          </w:rPr>
          <w:t>Revolving Credit Agreement (2017-1A), dated as of January 13, 2017, between Wilmington Trust Company, as Subordination</w:t>
        </w:r>
      </w:hyperlink>
      <w:r>
        <w:rPr>
          <w:rFonts w:ascii="Arial" w:cs="Arial" w:eastAsia="Arial" w:hAnsi="Arial"/>
          <w:sz w:val="18"/>
          <w:szCs w:val="18"/>
          <w:u w:val="single" w:color="auto"/>
          <w:color w:val="0000FF"/>
        </w:rPr>
        <w:t xml:space="preserve"> </w:t>
      </w:r>
      <w:hyperlink r:id="rId194">
        <w:r>
          <w:rPr>
            <w:rFonts w:ascii="Arial" w:cs="Arial" w:eastAsia="Arial" w:hAnsi="Arial"/>
            <w:sz w:val="18"/>
            <w:szCs w:val="18"/>
            <w:u w:val="single" w:color="auto"/>
            <w:color w:val="0000FF"/>
          </w:rPr>
          <w:t>Agent, as agent and trustee for the trustee of the American Airlines Pass Through Trust 2017-1A, as Borrower, and Citibank N.A.,</w:t>
        </w:r>
      </w:hyperlink>
      <w:r>
        <w:rPr>
          <w:rFonts w:ascii="Arial" w:cs="Arial" w:eastAsia="Arial" w:hAnsi="Arial"/>
          <w:sz w:val="18"/>
          <w:szCs w:val="18"/>
          <w:u w:val="single" w:color="auto"/>
          <w:color w:val="0000FF"/>
        </w:rPr>
        <w:t xml:space="preserve"> </w:t>
      </w:r>
      <w:hyperlink r:id="rId194">
        <w:r>
          <w:rPr>
            <w:rFonts w:ascii="Arial" w:cs="Arial" w:eastAsia="Arial" w:hAnsi="Arial"/>
            <w:sz w:val="18"/>
            <w:szCs w:val="18"/>
            <w:u w:val="single" w:color="auto"/>
            <w:color w:val="0000FF"/>
          </w:rPr>
          <w:t>as Liquidity Provider (incorporated by reference to Exhibit 4.19 to American’s Current Report on Form 8-K filed on January 17,</w:t>
        </w:r>
      </w:hyperlink>
      <w:r>
        <w:rPr>
          <w:rFonts w:ascii="Arial" w:cs="Arial" w:eastAsia="Arial" w:hAnsi="Arial"/>
          <w:sz w:val="18"/>
          <w:szCs w:val="18"/>
          <w:u w:val="single" w:color="auto"/>
          <w:color w:val="0000FF"/>
        </w:rPr>
        <w:t xml:space="preserve"> </w:t>
      </w:r>
      <w:hyperlink r:id="rId194">
        <w:r>
          <w:rPr>
            <w:rFonts w:ascii="Arial" w:cs="Arial" w:eastAsia="Arial" w:hAnsi="Arial"/>
            <w:sz w:val="18"/>
            <w:szCs w:val="18"/>
            <w:u w:val="single" w:color="auto"/>
            <w:color w:val="0000FF"/>
          </w:rPr>
          <w:t>2017 (Commission File No. 1-02691)).</w:t>
        </w:r>
      </w:hyperlink>
    </w:p>
    <w:p>
      <w:pPr>
        <w:spacing w:after="0" w:line="40" w:lineRule="exact"/>
        <w:rPr>
          <w:rFonts w:ascii="Arial" w:cs="Arial" w:eastAsia="Arial" w:hAnsi="Arial"/>
          <w:sz w:val="18"/>
          <w:szCs w:val="18"/>
          <w:u w:val="single" w:color="auto"/>
          <w:color w:val="0000FF"/>
        </w:rPr>
      </w:pPr>
    </w:p>
    <w:p>
      <w:pPr>
        <w:jc w:val="both"/>
        <w:ind w:left="920" w:hanging="917"/>
        <w:spacing w:after="0" w:line="239" w:lineRule="auto"/>
        <w:tabs>
          <w:tab w:leader="none" w:pos="900" w:val="left"/>
        </w:tabs>
        <w:rPr>
          <w:rFonts w:ascii="Arial" w:cs="Arial" w:eastAsia="Arial" w:hAnsi="Arial"/>
          <w:sz w:val="18"/>
          <w:szCs w:val="18"/>
          <w:u w:val="single" w:color="auto"/>
          <w:color w:val="0000FF"/>
        </w:rPr>
      </w:pPr>
      <w:r>
        <w:rPr>
          <w:rFonts w:ascii="Arial" w:cs="Arial" w:eastAsia="Arial" w:hAnsi="Arial"/>
          <w:sz w:val="18"/>
          <w:szCs w:val="18"/>
          <w:color w:val="auto"/>
        </w:rPr>
        <w:t>4.130</w:t>
      </w:r>
      <w:r>
        <w:rPr>
          <w:sz w:val="20"/>
          <w:szCs w:val="20"/>
          <w:color w:val="auto"/>
        </w:rPr>
        <w:tab/>
      </w:r>
      <w:hyperlink r:id="rId195">
        <w:r>
          <w:rPr>
            <w:rFonts w:ascii="Arial" w:cs="Arial" w:eastAsia="Arial" w:hAnsi="Arial"/>
            <w:sz w:val="18"/>
            <w:szCs w:val="18"/>
            <w:u w:val="single" w:color="auto"/>
            <w:color w:val="0000FF"/>
          </w:rPr>
          <w:t>Revolving Credit Agreement (2017-1B), dated as of January 13, 2017, between Wilmington Trust Company, as Subordination</w:t>
        </w:r>
      </w:hyperlink>
      <w:r>
        <w:rPr>
          <w:rFonts w:ascii="Arial" w:cs="Arial" w:eastAsia="Arial" w:hAnsi="Arial"/>
          <w:sz w:val="18"/>
          <w:szCs w:val="18"/>
          <w:u w:val="single" w:color="auto"/>
          <w:color w:val="0000FF"/>
        </w:rPr>
        <w:t xml:space="preserve"> </w:t>
      </w:r>
      <w:hyperlink r:id="rId195">
        <w:r>
          <w:rPr>
            <w:rFonts w:ascii="Arial" w:cs="Arial" w:eastAsia="Arial" w:hAnsi="Arial"/>
            <w:sz w:val="18"/>
            <w:szCs w:val="18"/>
            <w:u w:val="single" w:color="auto"/>
            <w:color w:val="0000FF"/>
          </w:rPr>
          <w:t>Agent, as agent and trustee for the trustee of the American Airlines Pass Through Trust 2017-1B, as Borrower, and Citibank N.A.,</w:t>
        </w:r>
      </w:hyperlink>
      <w:r>
        <w:rPr>
          <w:rFonts w:ascii="Arial" w:cs="Arial" w:eastAsia="Arial" w:hAnsi="Arial"/>
          <w:sz w:val="18"/>
          <w:szCs w:val="18"/>
          <w:u w:val="single" w:color="auto"/>
          <w:color w:val="0000FF"/>
        </w:rPr>
        <w:t xml:space="preserve"> </w:t>
      </w:r>
      <w:hyperlink r:id="rId195">
        <w:r>
          <w:rPr>
            <w:rFonts w:ascii="Arial" w:cs="Arial" w:eastAsia="Arial" w:hAnsi="Arial"/>
            <w:sz w:val="18"/>
            <w:szCs w:val="18"/>
            <w:u w:val="single" w:color="auto"/>
            <w:color w:val="0000FF"/>
          </w:rPr>
          <w:t>as Liquidity Provider (incorporated by reference to Exhibit 4.20 to American’s Current Report on Form 8-K filed on January 17,</w:t>
        </w:r>
      </w:hyperlink>
      <w:r>
        <w:rPr>
          <w:rFonts w:ascii="Arial" w:cs="Arial" w:eastAsia="Arial" w:hAnsi="Arial"/>
          <w:sz w:val="18"/>
          <w:szCs w:val="18"/>
          <w:u w:val="single" w:color="auto"/>
          <w:color w:val="0000FF"/>
        </w:rPr>
        <w:t xml:space="preserve"> </w:t>
      </w:r>
      <w:hyperlink r:id="rId195">
        <w:r>
          <w:rPr>
            <w:rFonts w:ascii="Arial" w:cs="Arial" w:eastAsia="Arial" w:hAnsi="Arial"/>
            <w:sz w:val="18"/>
            <w:szCs w:val="18"/>
            <w:u w:val="single" w:color="auto"/>
            <w:color w:val="0000FF"/>
          </w:rPr>
          <w:t>2017 (Commission File No. 1-02691)).</w:t>
        </w:r>
      </w:hyperlink>
    </w:p>
    <w:p>
      <w:pPr>
        <w:spacing w:after="0" w:line="40" w:lineRule="exact"/>
        <w:rPr>
          <w:rFonts w:ascii="Arial" w:cs="Arial" w:eastAsia="Arial" w:hAnsi="Arial"/>
          <w:sz w:val="18"/>
          <w:szCs w:val="18"/>
          <w:u w:val="single" w:color="auto"/>
          <w:color w:val="0000FF"/>
        </w:rPr>
      </w:pPr>
    </w:p>
    <w:p>
      <w:pPr>
        <w:jc w:val="both"/>
        <w:ind w:left="920" w:hanging="917"/>
        <w:spacing w:after="0" w:line="239" w:lineRule="auto"/>
        <w:tabs>
          <w:tab w:leader="none" w:pos="900" w:val="left"/>
        </w:tabs>
        <w:rPr>
          <w:rFonts w:ascii="Arial" w:cs="Arial" w:eastAsia="Arial" w:hAnsi="Arial"/>
          <w:sz w:val="18"/>
          <w:szCs w:val="18"/>
          <w:u w:val="single" w:color="auto"/>
          <w:color w:val="0000FF"/>
        </w:rPr>
      </w:pPr>
      <w:r>
        <w:rPr>
          <w:rFonts w:ascii="Arial" w:cs="Arial" w:eastAsia="Arial" w:hAnsi="Arial"/>
          <w:sz w:val="18"/>
          <w:szCs w:val="18"/>
          <w:color w:val="auto"/>
        </w:rPr>
        <w:t>4.131</w:t>
      </w:r>
      <w:r>
        <w:rPr>
          <w:sz w:val="20"/>
          <w:szCs w:val="20"/>
          <w:color w:val="auto"/>
        </w:rPr>
        <w:tab/>
      </w:r>
      <w:hyperlink r:id="rId196">
        <w:r>
          <w:rPr>
            <w:rFonts w:ascii="Arial" w:cs="Arial" w:eastAsia="Arial" w:hAnsi="Arial"/>
            <w:sz w:val="18"/>
            <w:szCs w:val="18"/>
            <w:u w:val="single" w:color="auto"/>
            <w:color w:val="0000FF"/>
          </w:rPr>
          <w:t>Acknowledgment and Agreement (2017-1), dated as of March 31, 2017, by and among American Airlines Inc., Citibank, N.A., as</w:t>
        </w:r>
      </w:hyperlink>
      <w:r>
        <w:rPr>
          <w:rFonts w:ascii="Arial" w:cs="Arial" w:eastAsia="Arial" w:hAnsi="Arial"/>
          <w:sz w:val="18"/>
          <w:szCs w:val="18"/>
          <w:u w:val="single" w:color="auto"/>
          <w:color w:val="0000FF"/>
        </w:rPr>
        <w:t xml:space="preserve"> </w:t>
      </w:r>
      <w:hyperlink r:id="rId196">
        <w:r>
          <w:rPr>
            <w:rFonts w:ascii="Arial" w:cs="Arial" w:eastAsia="Arial" w:hAnsi="Arial"/>
            <w:sz w:val="18"/>
            <w:szCs w:val="18"/>
            <w:u w:val="single" w:color="auto"/>
            <w:color w:val="0000FF"/>
          </w:rPr>
          <w:t>initial Liquidity Provider, National Australia Bank Limited, as Replacement Liquidity Provider, and Wilmington Trust Company, as</w:t>
        </w:r>
      </w:hyperlink>
      <w:r>
        <w:rPr>
          <w:rFonts w:ascii="Arial" w:cs="Arial" w:eastAsia="Arial" w:hAnsi="Arial"/>
          <w:sz w:val="18"/>
          <w:szCs w:val="18"/>
          <w:u w:val="single" w:color="auto"/>
          <w:color w:val="0000FF"/>
        </w:rPr>
        <w:t xml:space="preserve"> </w:t>
      </w:r>
      <w:hyperlink r:id="rId196">
        <w:r>
          <w:rPr>
            <w:rFonts w:ascii="Arial" w:cs="Arial" w:eastAsia="Arial" w:hAnsi="Arial"/>
            <w:sz w:val="18"/>
            <w:szCs w:val="18"/>
            <w:u w:val="single" w:color="auto"/>
            <w:color w:val="0000FF"/>
          </w:rPr>
          <w:t>Subordination Agent and trustee (incorporated by reference to Exhibit 4.20 to AAG’s Quarterly Report on Form 10-Q for the quarter</w:t>
        </w:r>
      </w:hyperlink>
      <w:r>
        <w:rPr>
          <w:rFonts w:ascii="Arial" w:cs="Arial" w:eastAsia="Arial" w:hAnsi="Arial"/>
          <w:sz w:val="18"/>
          <w:szCs w:val="18"/>
          <w:u w:val="single" w:color="auto"/>
          <w:color w:val="0000FF"/>
        </w:rPr>
        <w:t xml:space="preserve"> </w:t>
      </w:r>
      <w:hyperlink r:id="rId196">
        <w:r>
          <w:rPr>
            <w:rFonts w:ascii="Arial" w:cs="Arial" w:eastAsia="Arial" w:hAnsi="Arial"/>
            <w:sz w:val="18"/>
            <w:szCs w:val="18"/>
            <w:u w:val="single" w:color="auto"/>
            <w:color w:val="0000FF"/>
          </w:rPr>
          <w:t>ended March 31, 2017 (Commission File No. 1-8400)).</w:t>
        </w:r>
      </w:hyperlink>
    </w:p>
    <w:p>
      <w:pPr>
        <w:spacing w:after="0" w:line="40" w:lineRule="exact"/>
        <w:rPr>
          <w:rFonts w:ascii="Arial" w:cs="Arial" w:eastAsia="Arial" w:hAnsi="Arial"/>
          <w:sz w:val="18"/>
          <w:szCs w:val="18"/>
          <w:u w:val="single" w:color="auto"/>
          <w:color w:val="0000FF"/>
        </w:rPr>
      </w:pPr>
    </w:p>
    <w:p>
      <w:pPr>
        <w:jc w:val="both"/>
        <w:ind w:left="920" w:right="20" w:hanging="917"/>
        <w:spacing w:after="0" w:line="239" w:lineRule="auto"/>
        <w:tabs>
          <w:tab w:leader="none" w:pos="900" w:val="left"/>
        </w:tabs>
        <w:rPr>
          <w:rFonts w:ascii="Arial" w:cs="Arial" w:eastAsia="Arial" w:hAnsi="Arial"/>
          <w:sz w:val="18"/>
          <w:szCs w:val="18"/>
          <w:u w:val="single" w:color="auto"/>
          <w:color w:val="0000FF"/>
        </w:rPr>
      </w:pPr>
      <w:r>
        <w:rPr>
          <w:rFonts w:ascii="Arial" w:cs="Arial" w:eastAsia="Arial" w:hAnsi="Arial"/>
          <w:sz w:val="18"/>
          <w:szCs w:val="18"/>
          <w:color w:val="auto"/>
        </w:rPr>
        <w:t>4.132</w:t>
      </w:r>
      <w:r>
        <w:rPr>
          <w:sz w:val="20"/>
          <w:szCs w:val="20"/>
          <w:color w:val="auto"/>
        </w:rPr>
        <w:tab/>
      </w:r>
      <w:hyperlink r:id="rId197">
        <w:r>
          <w:rPr>
            <w:rFonts w:ascii="Arial" w:cs="Arial" w:eastAsia="Arial" w:hAnsi="Arial"/>
            <w:sz w:val="18"/>
            <w:szCs w:val="18"/>
            <w:u w:val="single" w:color="auto"/>
            <w:color w:val="0000FF"/>
          </w:rPr>
          <w:t>Revolving Credit Agreement (2017-1AA), dated as of March 31, 2017, between Wilmington Trust Company, as Subordination</w:t>
        </w:r>
      </w:hyperlink>
      <w:r>
        <w:rPr>
          <w:rFonts w:ascii="Arial" w:cs="Arial" w:eastAsia="Arial" w:hAnsi="Arial"/>
          <w:sz w:val="18"/>
          <w:szCs w:val="18"/>
          <w:u w:val="single" w:color="auto"/>
          <w:color w:val="0000FF"/>
        </w:rPr>
        <w:t xml:space="preserve"> </w:t>
      </w:r>
      <w:hyperlink r:id="rId197">
        <w:r>
          <w:rPr>
            <w:rFonts w:ascii="Arial" w:cs="Arial" w:eastAsia="Arial" w:hAnsi="Arial"/>
            <w:sz w:val="18"/>
            <w:szCs w:val="18"/>
            <w:u w:val="single" w:color="auto"/>
            <w:color w:val="0000FF"/>
          </w:rPr>
          <w:t>Agent, as agent and trustee for the trustee of the American Airlines Pass Through Trust 2017-1AA, as Borrower, and National</w:t>
        </w:r>
      </w:hyperlink>
      <w:r>
        <w:rPr>
          <w:rFonts w:ascii="Arial" w:cs="Arial" w:eastAsia="Arial" w:hAnsi="Arial"/>
          <w:sz w:val="18"/>
          <w:szCs w:val="18"/>
          <w:u w:val="single" w:color="auto"/>
          <w:color w:val="0000FF"/>
        </w:rPr>
        <w:t xml:space="preserve"> </w:t>
      </w:r>
      <w:hyperlink r:id="rId197">
        <w:r>
          <w:rPr>
            <w:rFonts w:ascii="Arial" w:cs="Arial" w:eastAsia="Arial" w:hAnsi="Arial"/>
            <w:sz w:val="18"/>
            <w:szCs w:val="18"/>
            <w:u w:val="single" w:color="auto"/>
            <w:color w:val="0000FF"/>
          </w:rPr>
          <w:t>Australia Bank Limited, as Liquidity Provider (incorporated by reference to Exhibit 4.21 to AAG’s Quarterly Report on Form 10-Q for</w:t>
        </w:r>
      </w:hyperlink>
      <w:r>
        <w:rPr>
          <w:rFonts w:ascii="Arial" w:cs="Arial" w:eastAsia="Arial" w:hAnsi="Arial"/>
          <w:sz w:val="18"/>
          <w:szCs w:val="18"/>
          <w:u w:val="single" w:color="auto"/>
          <w:color w:val="0000FF"/>
        </w:rPr>
        <w:t xml:space="preserve"> </w:t>
      </w:r>
      <w:hyperlink r:id="rId197">
        <w:r>
          <w:rPr>
            <w:rFonts w:ascii="Arial" w:cs="Arial" w:eastAsia="Arial" w:hAnsi="Arial"/>
            <w:sz w:val="18"/>
            <w:szCs w:val="18"/>
            <w:u w:val="single" w:color="auto"/>
            <w:color w:val="0000FF"/>
          </w:rPr>
          <w:t>the quarter ended March 31, 2017 (Commission File No. 1-8400)).</w:t>
        </w:r>
      </w:hyperlink>
    </w:p>
    <w:p>
      <w:pPr>
        <w:spacing w:after="0" w:line="40" w:lineRule="exact"/>
        <w:rPr>
          <w:rFonts w:ascii="Arial" w:cs="Arial" w:eastAsia="Arial" w:hAnsi="Arial"/>
          <w:sz w:val="18"/>
          <w:szCs w:val="18"/>
          <w:u w:val="single" w:color="auto"/>
          <w:color w:val="0000FF"/>
        </w:rPr>
      </w:pPr>
    </w:p>
    <w:p>
      <w:pPr>
        <w:jc w:val="both"/>
        <w:ind w:left="920" w:right="20" w:hanging="917"/>
        <w:spacing w:after="0" w:line="239" w:lineRule="auto"/>
        <w:tabs>
          <w:tab w:leader="none" w:pos="900" w:val="left"/>
        </w:tabs>
        <w:rPr>
          <w:rFonts w:ascii="Arial" w:cs="Arial" w:eastAsia="Arial" w:hAnsi="Arial"/>
          <w:sz w:val="18"/>
          <w:szCs w:val="18"/>
          <w:u w:val="single" w:color="auto"/>
          <w:color w:val="0000FF"/>
        </w:rPr>
      </w:pPr>
      <w:r>
        <w:rPr>
          <w:rFonts w:ascii="Arial" w:cs="Arial" w:eastAsia="Arial" w:hAnsi="Arial"/>
          <w:sz w:val="18"/>
          <w:szCs w:val="18"/>
          <w:color w:val="auto"/>
        </w:rPr>
        <w:t>4.133</w:t>
      </w:r>
      <w:r>
        <w:rPr>
          <w:sz w:val="20"/>
          <w:szCs w:val="20"/>
          <w:color w:val="auto"/>
        </w:rPr>
        <w:tab/>
      </w:r>
      <w:hyperlink r:id="rId198">
        <w:r>
          <w:rPr>
            <w:rFonts w:ascii="Arial" w:cs="Arial" w:eastAsia="Arial" w:hAnsi="Arial"/>
            <w:sz w:val="18"/>
            <w:szCs w:val="18"/>
            <w:u w:val="single" w:color="auto"/>
            <w:color w:val="0000FF"/>
          </w:rPr>
          <w:t>Revolving Credit Agreement (2017-1A), dated as of March 31, 2017, between Wilmington Trust Company, as Subordination Agent,</w:t>
        </w:r>
      </w:hyperlink>
      <w:r>
        <w:rPr>
          <w:rFonts w:ascii="Arial" w:cs="Arial" w:eastAsia="Arial" w:hAnsi="Arial"/>
          <w:sz w:val="18"/>
          <w:szCs w:val="18"/>
          <w:u w:val="single" w:color="auto"/>
          <w:color w:val="0000FF"/>
        </w:rPr>
        <w:t xml:space="preserve"> </w:t>
      </w:r>
      <w:hyperlink r:id="rId198">
        <w:r>
          <w:rPr>
            <w:rFonts w:ascii="Arial" w:cs="Arial" w:eastAsia="Arial" w:hAnsi="Arial"/>
            <w:sz w:val="18"/>
            <w:szCs w:val="18"/>
            <w:u w:val="single" w:color="auto"/>
            <w:color w:val="0000FF"/>
          </w:rPr>
          <w:t>as agent and trustee for the trustee of the American Airlines Pass Through Trust 2017-1A, as Borrower, and National Australia</w:t>
        </w:r>
      </w:hyperlink>
      <w:r>
        <w:rPr>
          <w:rFonts w:ascii="Arial" w:cs="Arial" w:eastAsia="Arial" w:hAnsi="Arial"/>
          <w:sz w:val="18"/>
          <w:szCs w:val="18"/>
          <w:u w:val="single" w:color="auto"/>
          <w:color w:val="0000FF"/>
        </w:rPr>
        <w:t xml:space="preserve"> </w:t>
      </w:r>
      <w:hyperlink r:id="rId198">
        <w:r>
          <w:rPr>
            <w:rFonts w:ascii="Arial" w:cs="Arial" w:eastAsia="Arial" w:hAnsi="Arial"/>
            <w:sz w:val="18"/>
            <w:szCs w:val="18"/>
            <w:u w:val="single" w:color="auto"/>
            <w:color w:val="0000FF"/>
          </w:rPr>
          <w:t>Bank Limited, as Liquidity Provider (incorporated by reference to Exhibit 4.22 to AAG’s Quarterly Report on Form 10-Q for the</w:t>
        </w:r>
      </w:hyperlink>
      <w:r>
        <w:rPr>
          <w:rFonts w:ascii="Arial" w:cs="Arial" w:eastAsia="Arial" w:hAnsi="Arial"/>
          <w:sz w:val="18"/>
          <w:szCs w:val="18"/>
          <w:u w:val="single" w:color="auto"/>
          <w:color w:val="0000FF"/>
        </w:rPr>
        <w:t xml:space="preserve"> </w:t>
      </w:r>
      <w:hyperlink r:id="rId198">
        <w:r>
          <w:rPr>
            <w:rFonts w:ascii="Arial" w:cs="Arial" w:eastAsia="Arial" w:hAnsi="Arial"/>
            <w:sz w:val="18"/>
            <w:szCs w:val="18"/>
            <w:u w:val="single" w:color="auto"/>
            <w:color w:val="0000FF"/>
          </w:rPr>
          <w:t>quarter ended March 31, 2017 (Commission File No. 1-8400)).</w:t>
        </w:r>
      </w:hyperlink>
    </w:p>
    <w:p>
      <w:pPr>
        <w:spacing w:after="0" w:line="40" w:lineRule="exact"/>
        <w:rPr>
          <w:rFonts w:ascii="Arial" w:cs="Arial" w:eastAsia="Arial" w:hAnsi="Arial"/>
          <w:sz w:val="18"/>
          <w:szCs w:val="18"/>
          <w:u w:val="single" w:color="auto"/>
          <w:color w:val="0000FF"/>
        </w:rPr>
      </w:pPr>
    </w:p>
    <w:p>
      <w:pPr>
        <w:jc w:val="both"/>
        <w:ind w:left="920" w:right="20" w:hanging="917"/>
        <w:spacing w:after="0" w:line="239" w:lineRule="auto"/>
        <w:tabs>
          <w:tab w:leader="none" w:pos="900" w:val="left"/>
        </w:tabs>
        <w:rPr>
          <w:rFonts w:ascii="Arial" w:cs="Arial" w:eastAsia="Arial" w:hAnsi="Arial"/>
          <w:sz w:val="18"/>
          <w:szCs w:val="18"/>
          <w:u w:val="single" w:color="auto"/>
          <w:color w:val="0000FF"/>
        </w:rPr>
      </w:pPr>
      <w:r>
        <w:rPr>
          <w:rFonts w:ascii="Arial" w:cs="Arial" w:eastAsia="Arial" w:hAnsi="Arial"/>
          <w:sz w:val="18"/>
          <w:szCs w:val="18"/>
          <w:color w:val="auto"/>
        </w:rPr>
        <w:t>4.134</w:t>
      </w:r>
      <w:r>
        <w:rPr>
          <w:sz w:val="20"/>
          <w:szCs w:val="20"/>
          <w:color w:val="auto"/>
        </w:rPr>
        <w:tab/>
      </w:r>
      <w:hyperlink r:id="rId199">
        <w:r>
          <w:rPr>
            <w:rFonts w:ascii="Arial" w:cs="Arial" w:eastAsia="Arial" w:hAnsi="Arial"/>
            <w:sz w:val="18"/>
            <w:szCs w:val="18"/>
            <w:u w:val="single" w:color="auto"/>
            <w:color w:val="0000FF"/>
          </w:rPr>
          <w:t>Revolving Credit Agreement (2017-1B), dated as of March 31, 2017, between Wilmington Trust Company, as Subordination Agent,</w:t>
        </w:r>
      </w:hyperlink>
      <w:r>
        <w:rPr>
          <w:rFonts w:ascii="Arial" w:cs="Arial" w:eastAsia="Arial" w:hAnsi="Arial"/>
          <w:sz w:val="18"/>
          <w:szCs w:val="18"/>
          <w:u w:val="single" w:color="auto"/>
          <w:color w:val="0000FF"/>
        </w:rPr>
        <w:t xml:space="preserve"> </w:t>
      </w:r>
      <w:hyperlink r:id="rId199">
        <w:r>
          <w:rPr>
            <w:rFonts w:ascii="Arial" w:cs="Arial" w:eastAsia="Arial" w:hAnsi="Arial"/>
            <w:sz w:val="18"/>
            <w:szCs w:val="18"/>
            <w:u w:val="single" w:color="auto"/>
            <w:color w:val="0000FF"/>
          </w:rPr>
          <w:t>as agent and trustee for the trustee of the American Airlines Pass Through Trust 2017-1B, as Borrower, and National Australia</w:t>
        </w:r>
      </w:hyperlink>
      <w:r>
        <w:rPr>
          <w:rFonts w:ascii="Arial" w:cs="Arial" w:eastAsia="Arial" w:hAnsi="Arial"/>
          <w:sz w:val="18"/>
          <w:szCs w:val="18"/>
          <w:u w:val="single" w:color="auto"/>
          <w:color w:val="0000FF"/>
        </w:rPr>
        <w:t xml:space="preserve"> </w:t>
      </w:r>
      <w:hyperlink r:id="rId199">
        <w:r>
          <w:rPr>
            <w:rFonts w:ascii="Arial" w:cs="Arial" w:eastAsia="Arial" w:hAnsi="Arial"/>
            <w:sz w:val="18"/>
            <w:szCs w:val="18"/>
            <w:u w:val="single" w:color="auto"/>
            <w:color w:val="0000FF"/>
          </w:rPr>
          <w:t>Bank Limited, as Liquidity Provider (incorporated by reference to Exhibit 4.23 to AAG’s Quarterly Report on Form 10-Q for the</w:t>
        </w:r>
      </w:hyperlink>
      <w:r>
        <w:rPr>
          <w:rFonts w:ascii="Arial" w:cs="Arial" w:eastAsia="Arial" w:hAnsi="Arial"/>
          <w:sz w:val="18"/>
          <w:szCs w:val="18"/>
          <w:u w:val="single" w:color="auto"/>
          <w:color w:val="0000FF"/>
        </w:rPr>
        <w:t xml:space="preserve"> </w:t>
      </w:r>
      <w:hyperlink r:id="rId199">
        <w:r>
          <w:rPr>
            <w:rFonts w:ascii="Arial" w:cs="Arial" w:eastAsia="Arial" w:hAnsi="Arial"/>
            <w:sz w:val="18"/>
            <w:szCs w:val="18"/>
            <w:u w:val="single" w:color="auto"/>
            <w:color w:val="0000FF"/>
          </w:rPr>
          <w:t>quarter ended March 31, 2017 (Commission File No. 1-8400)).</w:t>
        </w:r>
      </w:hyperlink>
    </w:p>
    <w:p>
      <w:pPr>
        <w:spacing w:after="0" w:line="40" w:lineRule="exact"/>
        <w:rPr>
          <w:rFonts w:ascii="Arial" w:cs="Arial" w:eastAsia="Arial" w:hAnsi="Arial"/>
          <w:sz w:val="18"/>
          <w:szCs w:val="18"/>
          <w:u w:val="single" w:color="auto"/>
          <w:color w:val="0000FF"/>
        </w:rPr>
      </w:pPr>
    </w:p>
    <w:p>
      <w:pPr>
        <w:jc w:val="both"/>
        <w:ind w:left="920" w:right="20" w:hanging="917"/>
        <w:spacing w:after="0" w:line="246" w:lineRule="auto"/>
        <w:tabs>
          <w:tab w:leader="none" w:pos="900" w:val="left"/>
        </w:tabs>
        <w:rPr>
          <w:rFonts w:ascii="Arial" w:cs="Arial" w:eastAsia="Arial" w:hAnsi="Arial"/>
          <w:sz w:val="18"/>
          <w:szCs w:val="18"/>
          <w:u w:val="single" w:color="auto"/>
          <w:color w:val="0000FF"/>
        </w:rPr>
      </w:pPr>
      <w:r>
        <w:rPr>
          <w:rFonts w:ascii="Arial" w:cs="Arial" w:eastAsia="Arial" w:hAnsi="Arial"/>
          <w:sz w:val="18"/>
          <w:szCs w:val="18"/>
          <w:color w:val="auto"/>
        </w:rPr>
        <w:t>4.135</w:t>
      </w:r>
      <w:r>
        <w:rPr>
          <w:sz w:val="20"/>
          <w:szCs w:val="20"/>
          <w:color w:val="auto"/>
        </w:rPr>
        <w:tab/>
      </w:r>
      <w:hyperlink r:id="rId200">
        <w:r>
          <w:rPr>
            <w:rFonts w:ascii="Arial" w:cs="Arial" w:eastAsia="Arial" w:hAnsi="Arial"/>
            <w:sz w:val="18"/>
            <w:szCs w:val="18"/>
            <w:u w:val="single" w:color="auto"/>
            <w:color w:val="0000FF"/>
          </w:rPr>
          <w:t>Form of American Airlines Group Inc. Indenture for Debt Securities (incorporated by reference to Exhibit 4.1 to AAG’s Registration</w:t>
        </w:r>
      </w:hyperlink>
      <w:r>
        <w:rPr>
          <w:rFonts w:ascii="Arial" w:cs="Arial" w:eastAsia="Arial" w:hAnsi="Arial"/>
          <w:sz w:val="18"/>
          <w:szCs w:val="18"/>
          <w:u w:val="single" w:color="auto"/>
          <w:color w:val="0000FF"/>
        </w:rPr>
        <w:t xml:space="preserve"> </w:t>
      </w:r>
      <w:hyperlink r:id="rId200">
        <w:r>
          <w:rPr>
            <w:rFonts w:ascii="Arial" w:cs="Arial" w:eastAsia="Arial" w:hAnsi="Arial"/>
            <w:sz w:val="18"/>
            <w:szCs w:val="18"/>
            <w:u w:val="single" w:color="auto"/>
            <w:color w:val="0000FF"/>
          </w:rPr>
          <w:t>Statement on Form S-3ASR filed on February 22, 2017 (Commission File No. 333-216167).</w:t>
        </w:r>
      </w:hyperlink>
    </w:p>
    <w:p>
      <w:pPr>
        <w:spacing w:after="0" w:line="35" w:lineRule="exact"/>
        <w:rPr>
          <w:sz w:val="20"/>
          <w:szCs w:val="20"/>
          <w:color w:val="auto"/>
        </w:rPr>
      </w:pPr>
    </w:p>
    <w:p>
      <w:pPr>
        <w:jc w:val="both"/>
        <w:ind w:left="920" w:right="20" w:hanging="917"/>
        <w:spacing w:after="0" w:line="246" w:lineRule="auto"/>
        <w:tabs>
          <w:tab w:leader="none" w:pos="900" w:val="left"/>
        </w:tabs>
        <w:rPr>
          <w:rFonts w:ascii="Arial" w:cs="Arial" w:eastAsia="Arial" w:hAnsi="Arial"/>
          <w:sz w:val="18"/>
          <w:szCs w:val="18"/>
          <w:u w:val="single" w:color="auto"/>
          <w:color w:val="0000FF"/>
        </w:rPr>
      </w:pPr>
      <w:r>
        <w:rPr>
          <w:rFonts w:ascii="Arial" w:cs="Arial" w:eastAsia="Arial" w:hAnsi="Arial"/>
          <w:sz w:val="18"/>
          <w:szCs w:val="18"/>
          <w:color w:val="auto"/>
        </w:rPr>
        <w:t>4.136</w:t>
      </w:r>
      <w:r>
        <w:rPr>
          <w:sz w:val="20"/>
          <w:szCs w:val="20"/>
          <w:color w:val="auto"/>
        </w:rPr>
        <w:tab/>
      </w:r>
      <w:hyperlink r:id="rId201">
        <w:r>
          <w:rPr>
            <w:rFonts w:ascii="Arial" w:cs="Arial" w:eastAsia="Arial" w:hAnsi="Arial"/>
            <w:sz w:val="18"/>
            <w:szCs w:val="18"/>
            <w:u w:val="single" w:color="auto"/>
            <w:color w:val="0000FF"/>
          </w:rPr>
          <w:t>Form of American Airlines, Inc. Indenture for Debt Securities (incorporated by reference to Exhibit 4.2 to AAG’s Registration</w:t>
        </w:r>
      </w:hyperlink>
      <w:r>
        <w:rPr>
          <w:rFonts w:ascii="Arial" w:cs="Arial" w:eastAsia="Arial" w:hAnsi="Arial"/>
          <w:sz w:val="18"/>
          <w:szCs w:val="18"/>
          <w:u w:val="single" w:color="auto"/>
          <w:color w:val="0000FF"/>
        </w:rPr>
        <w:t xml:space="preserve"> </w:t>
      </w:r>
      <w:hyperlink r:id="rId201">
        <w:r>
          <w:rPr>
            <w:rFonts w:ascii="Arial" w:cs="Arial" w:eastAsia="Arial" w:hAnsi="Arial"/>
            <w:sz w:val="18"/>
            <w:szCs w:val="18"/>
            <w:u w:val="single" w:color="auto"/>
            <w:color w:val="0000FF"/>
          </w:rPr>
          <w:t>Statement on Form S-3ASR filed on February 22, 2017 (Commission File No. 333-216167).</w:t>
        </w:r>
      </w:hyperlink>
    </w:p>
    <w:p>
      <w:pPr>
        <w:spacing w:after="0" w:line="35" w:lineRule="exact"/>
        <w:rPr>
          <w:sz w:val="20"/>
          <w:szCs w:val="20"/>
          <w:color w:val="auto"/>
        </w:rPr>
      </w:pPr>
    </w:p>
    <w:p>
      <w:pPr>
        <w:jc w:val="both"/>
        <w:ind w:left="920" w:right="20" w:hanging="917"/>
        <w:spacing w:after="0"/>
        <w:tabs>
          <w:tab w:leader="none" w:pos="900" w:val="left"/>
        </w:tabs>
        <w:rPr>
          <w:rFonts w:ascii="Arial" w:cs="Arial" w:eastAsia="Arial" w:hAnsi="Arial"/>
          <w:sz w:val="18"/>
          <w:szCs w:val="18"/>
          <w:u w:val="single" w:color="auto"/>
          <w:color w:val="0000FF"/>
        </w:rPr>
      </w:pPr>
      <w:r>
        <w:rPr>
          <w:rFonts w:ascii="Arial" w:cs="Arial" w:eastAsia="Arial" w:hAnsi="Arial"/>
          <w:sz w:val="18"/>
          <w:szCs w:val="18"/>
          <w:color w:val="auto"/>
        </w:rPr>
        <w:t>4.137</w:t>
      </w:r>
      <w:r>
        <w:rPr>
          <w:sz w:val="20"/>
          <w:szCs w:val="20"/>
          <w:color w:val="auto"/>
        </w:rPr>
        <w:tab/>
      </w:r>
      <w:hyperlink r:id="rId202">
        <w:r>
          <w:rPr>
            <w:rFonts w:ascii="Arial" w:cs="Arial" w:eastAsia="Arial" w:hAnsi="Arial"/>
            <w:sz w:val="18"/>
            <w:szCs w:val="18"/>
            <w:u w:val="single" w:color="auto"/>
            <w:color w:val="0000FF"/>
          </w:rPr>
          <w:t>Trust Supplement No. 2017-2AA, dated as of August 14, 2017, between American Airlines, Inc. and Wilmington Trust Company, as</w:t>
        </w:r>
      </w:hyperlink>
      <w:r>
        <w:rPr>
          <w:rFonts w:ascii="Arial" w:cs="Arial" w:eastAsia="Arial" w:hAnsi="Arial"/>
          <w:sz w:val="18"/>
          <w:szCs w:val="18"/>
          <w:u w:val="single" w:color="auto"/>
          <w:color w:val="0000FF"/>
        </w:rPr>
        <w:t xml:space="preserve"> </w:t>
      </w:r>
      <w:hyperlink r:id="rId202">
        <w:r>
          <w:rPr>
            <w:rFonts w:ascii="Arial" w:cs="Arial" w:eastAsia="Arial" w:hAnsi="Arial"/>
            <w:sz w:val="18"/>
            <w:szCs w:val="18"/>
            <w:u w:val="single" w:color="auto"/>
            <w:color w:val="0000FF"/>
          </w:rPr>
          <w:t>Trustee, to the Pass Through Trust Agreement, dated as of September 16, 2014 (incorporated by reference to Exhibit 4.2 to</w:t>
        </w:r>
      </w:hyperlink>
      <w:r>
        <w:rPr>
          <w:rFonts w:ascii="Arial" w:cs="Arial" w:eastAsia="Arial" w:hAnsi="Arial"/>
          <w:sz w:val="18"/>
          <w:szCs w:val="18"/>
          <w:u w:val="single" w:color="auto"/>
          <w:color w:val="0000FF"/>
        </w:rPr>
        <w:t xml:space="preserve"> </w:t>
      </w:r>
      <w:hyperlink r:id="rId202">
        <w:r>
          <w:rPr>
            <w:rFonts w:ascii="Arial" w:cs="Arial" w:eastAsia="Arial" w:hAnsi="Arial"/>
            <w:sz w:val="18"/>
            <w:szCs w:val="18"/>
            <w:u w:val="single" w:color="auto"/>
            <w:color w:val="0000FF"/>
          </w:rPr>
          <w:t>American’s Current Report on Form 8-K filed on August 14, 2017 (Commission File No. 1-2691)).</w:t>
        </w:r>
      </w:hyperlink>
    </w:p>
    <w:p>
      <w:pPr>
        <w:spacing w:after="0" w:line="41" w:lineRule="exact"/>
        <w:rPr>
          <w:rFonts w:ascii="Arial" w:cs="Arial" w:eastAsia="Arial" w:hAnsi="Arial"/>
          <w:sz w:val="18"/>
          <w:szCs w:val="18"/>
          <w:u w:val="single" w:color="auto"/>
          <w:color w:val="0000FF"/>
        </w:rPr>
      </w:pPr>
    </w:p>
    <w:p>
      <w:pPr>
        <w:jc w:val="both"/>
        <w:ind w:left="920" w:hanging="917"/>
        <w:spacing w:after="0"/>
        <w:tabs>
          <w:tab w:leader="none" w:pos="900" w:val="left"/>
        </w:tabs>
        <w:rPr>
          <w:rFonts w:ascii="Arial" w:cs="Arial" w:eastAsia="Arial" w:hAnsi="Arial"/>
          <w:sz w:val="18"/>
          <w:szCs w:val="18"/>
          <w:u w:val="single" w:color="auto"/>
          <w:color w:val="0000FF"/>
        </w:rPr>
      </w:pPr>
      <w:r>
        <w:rPr>
          <w:rFonts w:ascii="Arial" w:cs="Arial" w:eastAsia="Arial" w:hAnsi="Arial"/>
          <w:sz w:val="18"/>
          <w:szCs w:val="18"/>
          <w:color w:val="auto"/>
        </w:rPr>
        <w:t>4.138</w:t>
      </w:r>
      <w:r>
        <w:rPr>
          <w:sz w:val="20"/>
          <w:szCs w:val="20"/>
          <w:color w:val="auto"/>
        </w:rPr>
        <w:tab/>
      </w:r>
      <w:hyperlink r:id="rId203">
        <w:r>
          <w:rPr>
            <w:rFonts w:ascii="Arial" w:cs="Arial" w:eastAsia="Arial" w:hAnsi="Arial"/>
            <w:sz w:val="18"/>
            <w:szCs w:val="18"/>
            <w:u w:val="single" w:color="auto"/>
            <w:color w:val="0000FF"/>
          </w:rPr>
          <w:t>Trust Supplement No. 2017-2A, dated as of August 14, 2017, between American Airlines, Inc. and Wilmington Trust Company, as</w:t>
        </w:r>
      </w:hyperlink>
      <w:r>
        <w:rPr>
          <w:rFonts w:ascii="Arial" w:cs="Arial" w:eastAsia="Arial" w:hAnsi="Arial"/>
          <w:sz w:val="18"/>
          <w:szCs w:val="18"/>
          <w:u w:val="single" w:color="auto"/>
          <w:color w:val="0000FF"/>
        </w:rPr>
        <w:t xml:space="preserve"> </w:t>
      </w:r>
      <w:hyperlink r:id="rId203">
        <w:r>
          <w:rPr>
            <w:rFonts w:ascii="Arial" w:cs="Arial" w:eastAsia="Arial" w:hAnsi="Arial"/>
            <w:sz w:val="18"/>
            <w:szCs w:val="18"/>
            <w:u w:val="single" w:color="auto"/>
            <w:color w:val="0000FF"/>
          </w:rPr>
          <w:t>Trustee, to the Pass Through Trust Agreement, dated as of September 16, 2014 (incorporated by reference to Exhibit 4.3 to</w:t>
        </w:r>
      </w:hyperlink>
      <w:r>
        <w:rPr>
          <w:rFonts w:ascii="Arial" w:cs="Arial" w:eastAsia="Arial" w:hAnsi="Arial"/>
          <w:sz w:val="18"/>
          <w:szCs w:val="18"/>
          <w:u w:val="single" w:color="auto"/>
          <w:color w:val="0000FF"/>
        </w:rPr>
        <w:t xml:space="preserve"> </w:t>
      </w:r>
      <w:hyperlink r:id="rId203">
        <w:r>
          <w:rPr>
            <w:rFonts w:ascii="Arial" w:cs="Arial" w:eastAsia="Arial" w:hAnsi="Arial"/>
            <w:sz w:val="18"/>
            <w:szCs w:val="18"/>
            <w:u w:val="single" w:color="auto"/>
            <w:color w:val="0000FF"/>
          </w:rPr>
          <w:t>American’s Current Report on Form 8-K filed on August 14, 2017 (Commission File No. 1-2691)).</w:t>
        </w:r>
      </w:hyperlink>
    </w:p>
    <w:p>
      <w:pPr>
        <w:spacing w:after="0" w:line="41" w:lineRule="exact"/>
        <w:rPr>
          <w:rFonts w:ascii="Arial" w:cs="Arial" w:eastAsia="Arial" w:hAnsi="Arial"/>
          <w:sz w:val="18"/>
          <w:szCs w:val="18"/>
          <w:u w:val="single" w:color="auto"/>
          <w:color w:val="0000FF"/>
        </w:rPr>
      </w:pPr>
    </w:p>
    <w:p>
      <w:pPr>
        <w:jc w:val="both"/>
        <w:ind w:left="920" w:right="20" w:hanging="917"/>
        <w:spacing w:after="0" w:line="238" w:lineRule="auto"/>
        <w:tabs>
          <w:tab w:leader="none" w:pos="900" w:val="left"/>
        </w:tabs>
        <w:rPr>
          <w:rFonts w:ascii="Arial" w:cs="Arial" w:eastAsia="Arial" w:hAnsi="Arial"/>
          <w:sz w:val="18"/>
          <w:szCs w:val="18"/>
          <w:u w:val="single" w:color="auto"/>
          <w:color w:val="0000FF"/>
        </w:rPr>
      </w:pPr>
      <w:r>
        <w:rPr>
          <w:rFonts w:ascii="Arial" w:cs="Arial" w:eastAsia="Arial" w:hAnsi="Arial"/>
          <w:sz w:val="18"/>
          <w:szCs w:val="18"/>
          <w:color w:val="auto"/>
        </w:rPr>
        <w:t>4.139</w:t>
      </w:r>
      <w:r>
        <w:rPr>
          <w:sz w:val="20"/>
          <w:szCs w:val="20"/>
          <w:color w:val="auto"/>
        </w:rPr>
        <w:tab/>
      </w:r>
      <w:hyperlink r:id="rId204">
        <w:r>
          <w:rPr>
            <w:rFonts w:ascii="Arial" w:cs="Arial" w:eastAsia="Arial" w:hAnsi="Arial"/>
            <w:sz w:val="18"/>
            <w:szCs w:val="18"/>
            <w:u w:val="single" w:color="auto"/>
            <w:color w:val="0000FF"/>
          </w:rPr>
          <w:t>Intercreditor Agreement (2017-2), dated as of August 14, 2017, among Wilmington Trust Company, as Trustee of the American</w:t>
        </w:r>
      </w:hyperlink>
      <w:r>
        <w:rPr>
          <w:rFonts w:ascii="Arial" w:cs="Arial" w:eastAsia="Arial" w:hAnsi="Arial"/>
          <w:sz w:val="18"/>
          <w:szCs w:val="18"/>
          <w:u w:val="single" w:color="auto"/>
          <w:color w:val="0000FF"/>
        </w:rPr>
        <w:t xml:space="preserve"> </w:t>
      </w:r>
      <w:hyperlink r:id="rId204">
        <w:r>
          <w:rPr>
            <w:rFonts w:ascii="Arial" w:cs="Arial" w:eastAsia="Arial" w:hAnsi="Arial"/>
            <w:sz w:val="18"/>
            <w:szCs w:val="18"/>
            <w:u w:val="single" w:color="auto"/>
            <w:color w:val="0000FF"/>
          </w:rPr>
          <w:t>Airlines Pass Through Trust 2017-2AA and as Trustee of the American Airlines Pass Through Trust 2017-2A, National Australia</w:t>
        </w:r>
      </w:hyperlink>
      <w:r>
        <w:rPr>
          <w:rFonts w:ascii="Arial" w:cs="Arial" w:eastAsia="Arial" w:hAnsi="Arial"/>
          <w:sz w:val="18"/>
          <w:szCs w:val="18"/>
          <w:u w:val="single" w:color="auto"/>
          <w:color w:val="0000FF"/>
        </w:rPr>
        <w:t xml:space="preserve"> </w:t>
      </w:r>
      <w:hyperlink r:id="rId204">
        <w:r>
          <w:rPr>
            <w:rFonts w:ascii="Arial" w:cs="Arial" w:eastAsia="Arial" w:hAnsi="Arial"/>
            <w:sz w:val="18"/>
            <w:szCs w:val="18"/>
            <w:u w:val="single" w:color="auto"/>
            <w:color w:val="0000FF"/>
          </w:rPr>
          <w:t>Bank Limited, as Class AA Liquidity Provider and Class A Liquidity Provider, and Wilmington Trust Company, as Subordination</w:t>
        </w:r>
      </w:hyperlink>
      <w:r>
        <w:rPr>
          <w:rFonts w:ascii="Arial" w:cs="Arial" w:eastAsia="Arial" w:hAnsi="Arial"/>
          <w:sz w:val="18"/>
          <w:szCs w:val="18"/>
          <w:u w:val="single" w:color="auto"/>
          <w:color w:val="0000FF"/>
        </w:rPr>
        <w:t xml:space="preserve"> </w:t>
      </w:r>
      <w:hyperlink r:id="rId204">
        <w:r>
          <w:rPr>
            <w:rFonts w:ascii="Arial" w:cs="Arial" w:eastAsia="Arial" w:hAnsi="Arial"/>
            <w:sz w:val="18"/>
            <w:szCs w:val="18"/>
            <w:u w:val="single" w:color="auto"/>
            <w:color w:val="0000FF"/>
          </w:rPr>
          <w:t>Agent (incorporated by reference to Exhibit 4.4 to American’s Current Report on Form 8-K filed on August 14, 2017 (Commission</w:t>
        </w:r>
      </w:hyperlink>
      <w:r>
        <w:rPr>
          <w:rFonts w:ascii="Arial" w:cs="Arial" w:eastAsia="Arial" w:hAnsi="Arial"/>
          <w:sz w:val="18"/>
          <w:szCs w:val="18"/>
          <w:u w:val="single" w:color="auto"/>
          <w:color w:val="0000FF"/>
        </w:rPr>
        <w:t xml:space="preserve"> </w:t>
      </w:r>
      <w:hyperlink r:id="rId204">
        <w:r>
          <w:rPr>
            <w:rFonts w:ascii="Arial" w:cs="Arial" w:eastAsia="Arial" w:hAnsi="Arial"/>
            <w:sz w:val="18"/>
            <w:szCs w:val="18"/>
            <w:u w:val="single" w:color="auto"/>
            <w:color w:val="0000FF"/>
          </w:rPr>
          <w:t>File No. 1-2691)).</w:t>
        </w:r>
      </w:hyperlink>
    </w:p>
    <w:p>
      <w:pPr>
        <w:spacing w:after="0" w:line="230" w:lineRule="exact"/>
        <w:rPr>
          <w:rFonts w:ascii="Arial" w:cs="Arial" w:eastAsia="Arial" w:hAnsi="Arial"/>
          <w:sz w:val="18"/>
          <w:szCs w:val="18"/>
          <w:u w:val="single" w:color="auto"/>
          <w:color w:val="0000FF"/>
        </w:rPr>
      </w:pPr>
    </w:p>
    <w:p>
      <w:pPr>
        <w:jc w:val="center"/>
        <w:spacing w:after="0"/>
        <w:rPr>
          <w:sz w:val="20"/>
          <w:szCs w:val="20"/>
          <w:color w:val="auto"/>
        </w:rPr>
      </w:pPr>
      <w:r>
        <w:rPr>
          <w:rFonts w:ascii="Arial" w:cs="Arial" w:eastAsia="Arial" w:hAnsi="Arial"/>
          <w:sz w:val="18"/>
          <w:szCs w:val="18"/>
          <w:color w:val="auto"/>
        </w:rPr>
        <w:t>173</w:t>
      </w:r>
    </w:p>
    <w:p>
      <w:pPr>
        <w:sectPr>
          <w:pgSz w:w="11900" w:h="16838" w:orient="portrait"/>
          <w:cols w:equalWidth="0" w:num="1">
            <w:col w:w="11360"/>
          </w:cols>
          <w:pgMar w:left="280" w:top="721" w:right="259" w:bottom="1440" w:gutter="0" w:footer="0" w:header="0"/>
        </w:sectPr>
      </w:pPr>
    </w:p>
    <w:bookmarkStart w:id="173" w:name="page174"/>
    <w:bookmarkEnd w:id="173"/>
    <w:p>
      <w:pPr>
        <w:spacing w:after="0"/>
        <w:rPr>
          <w:sz w:val="20"/>
          <w:szCs w:val="20"/>
          <w:color w:val="auto"/>
        </w:rPr>
      </w:pPr>
      <w:r>
        <w:rPr>
          <w:rFonts w:ascii="Arial" w:cs="Arial" w:eastAsia="Arial" w:hAnsi="Arial"/>
          <w:sz w:val="14"/>
          <w:szCs w:val="14"/>
          <w:b w:val="1"/>
          <w:bCs w:val="1"/>
          <w:color w:val="auto"/>
        </w:rPr>
        <w:t>Exhibit</w:t>
      </w:r>
    </w:p>
    <w:p>
      <w:pPr>
        <w:spacing w:after="0" w:line="19" w:lineRule="exact"/>
        <w:rPr>
          <w:sz w:val="20"/>
          <w:szCs w:val="20"/>
          <w:color w:val="auto"/>
        </w:rPr>
      </w:pPr>
    </w:p>
    <w:p>
      <w:pPr>
        <w:spacing w:after="0"/>
        <w:tabs>
          <w:tab w:leader="none" w:pos="900" w:val="left"/>
        </w:tabs>
        <w:rPr>
          <w:sz w:val="20"/>
          <w:szCs w:val="20"/>
          <w:color w:val="auto"/>
        </w:rPr>
      </w:pPr>
      <w:r>
        <w:rPr>
          <w:rFonts w:ascii="Arial" w:cs="Arial" w:eastAsia="Arial" w:hAnsi="Arial"/>
          <w:sz w:val="14"/>
          <w:szCs w:val="14"/>
          <w:b w:val="1"/>
          <w:bCs w:val="1"/>
          <w:u w:val="single" w:color="auto"/>
          <w:color w:val="auto"/>
        </w:rPr>
        <w:t>Number</w:t>
      </w:r>
      <w:r>
        <w:rPr>
          <w:sz w:val="20"/>
          <w:szCs w:val="20"/>
          <w:color w:val="auto"/>
        </w:rPr>
        <w:tab/>
      </w:r>
      <w:r>
        <w:rPr>
          <w:rFonts w:ascii="Arial" w:cs="Arial" w:eastAsia="Arial" w:hAnsi="Arial"/>
          <w:sz w:val="14"/>
          <w:szCs w:val="14"/>
          <w:b w:val="1"/>
          <w:bCs w:val="1"/>
          <w:u w:val="single" w:color="auto"/>
          <w:color w:val="auto"/>
        </w:rPr>
        <w:t>Description</w:t>
      </w:r>
    </w:p>
    <w:p>
      <w:pPr>
        <w:spacing w:after="0" w:line="49" w:lineRule="exact"/>
        <w:rPr>
          <w:sz w:val="20"/>
          <w:szCs w:val="20"/>
          <w:color w:val="auto"/>
        </w:rPr>
      </w:pPr>
    </w:p>
    <w:p>
      <w:pPr>
        <w:jc w:val="both"/>
        <w:ind w:left="920" w:right="20" w:hanging="917"/>
        <w:spacing w:after="0" w:line="239" w:lineRule="auto"/>
        <w:tabs>
          <w:tab w:leader="none" w:pos="900" w:val="left"/>
        </w:tabs>
        <w:rPr>
          <w:rFonts w:ascii="Arial" w:cs="Arial" w:eastAsia="Arial" w:hAnsi="Arial"/>
          <w:sz w:val="18"/>
          <w:szCs w:val="18"/>
          <w:u w:val="single" w:color="auto"/>
          <w:color w:val="0000FF"/>
        </w:rPr>
      </w:pPr>
      <w:r>
        <w:rPr>
          <w:rFonts w:ascii="Arial" w:cs="Arial" w:eastAsia="Arial" w:hAnsi="Arial"/>
          <w:sz w:val="18"/>
          <w:szCs w:val="18"/>
          <w:color w:val="auto"/>
        </w:rPr>
        <w:t>4.140</w:t>
      </w:r>
      <w:r>
        <w:rPr>
          <w:sz w:val="20"/>
          <w:szCs w:val="20"/>
          <w:color w:val="auto"/>
        </w:rPr>
        <w:tab/>
      </w:r>
      <w:hyperlink r:id="rId205">
        <w:r>
          <w:rPr>
            <w:rFonts w:ascii="Arial" w:cs="Arial" w:eastAsia="Arial" w:hAnsi="Arial"/>
            <w:sz w:val="18"/>
            <w:szCs w:val="18"/>
            <w:u w:val="single" w:color="auto"/>
            <w:color w:val="0000FF"/>
          </w:rPr>
          <w:t>Note Purchase Agreement, dated as of August 14, 2017, among American Airlines, Inc., Wilmington Trust Company, as Pass</w:t>
        </w:r>
      </w:hyperlink>
      <w:r>
        <w:rPr>
          <w:rFonts w:ascii="Arial" w:cs="Arial" w:eastAsia="Arial" w:hAnsi="Arial"/>
          <w:sz w:val="18"/>
          <w:szCs w:val="18"/>
          <w:u w:val="single" w:color="auto"/>
          <w:color w:val="0000FF"/>
        </w:rPr>
        <w:t xml:space="preserve"> </w:t>
      </w:r>
      <w:hyperlink r:id="rId205">
        <w:r>
          <w:rPr>
            <w:rFonts w:ascii="Arial" w:cs="Arial" w:eastAsia="Arial" w:hAnsi="Arial"/>
            <w:sz w:val="18"/>
            <w:szCs w:val="18"/>
            <w:u w:val="single" w:color="auto"/>
            <w:color w:val="0000FF"/>
          </w:rPr>
          <w:t>Through Trustee under each of the Pass Through Trust Agreements, Wilmington Trust Company, as Subordination Agent,</w:t>
        </w:r>
      </w:hyperlink>
      <w:r>
        <w:rPr>
          <w:rFonts w:ascii="Arial" w:cs="Arial" w:eastAsia="Arial" w:hAnsi="Arial"/>
          <w:sz w:val="18"/>
          <w:szCs w:val="18"/>
          <w:u w:val="single" w:color="auto"/>
          <w:color w:val="0000FF"/>
        </w:rPr>
        <w:t xml:space="preserve"> </w:t>
      </w:r>
      <w:hyperlink r:id="rId205">
        <w:r>
          <w:rPr>
            <w:rFonts w:ascii="Arial" w:cs="Arial" w:eastAsia="Arial" w:hAnsi="Arial"/>
            <w:sz w:val="18"/>
            <w:szCs w:val="18"/>
            <w:u w:val="single" w:color="auto"/>
            <w:color w:val="0000FF"/>
          </w:rPr>
          <w:t>Wilmington Trust, National Association, as Escrow Agent, and Wilmington Trust Company, as Paying Agent (incorporated by</w:t>
        </w:r>
      </w:hyperlink>
      <w:r>
        <w:rPr>
          <w:rFonts w:ascii="Arial" w:cs="Arial" w:eastAsia="Arial" w:hAnsi="Arial"/>
          <w:sz w:val="18"/>
          <w:szCs w:val="18"/>
          <w:u w:val="single" w:color="auto"/>
          <w:color w:val="0000FF"/>
        </w:rPr>
        <w:t xml:space="preserve"> </w:t>
      </w:r>
      <w:hyperlink r:id="rId205">
        <w:r>
          <w:rPr>
            <w:rFonts w:ascii="Arial" w:cs="Arial" w:eastAsia="Arial" w:hAnsi="Arial"/>
            <w:sz w:val="18"/>
            <w:szCs w:val="18"/>
            <w:u w:val="single" w:color="auto"/>
            <w:color w:val="0000FF"/>
          </w:rPr>
          <w:t>reference to Exhibit 4.9 to American’s Current Report on Form 8-K filed on August 14, 2017 (Commission File No. 1-2691)).</w:t>
        </w:r>
      </w:hyperlink>
    </w:p>
    <w:p>
      <w:pPr>
        <w:spacing w:after="0" w:line="40" w:lineRule="exact"/>
        <w:rPr>
          <w:rFonts w:ascii="Arial" w:cs="Arial" w:eastAsia="Arial" w:hAnsi="Arial"/>
          <w:sz w:val="18"/>
          <w:szCs w:val="18"/>
          <w:u w:val="single" w:color="auto"/>
          <w:color w:val="0000FF"/>
        </w:rPr>
      </w:pPr>
    </w:p>
    <w:p>
      <w:pPr>
        <w:jc w:val="both"/>
        <w:ind w:left="920" w:right="20" w:hanging="917"/>
        <w:spacing w:after="0" w:line="238" w:lineRule="auto"/>
        <w:tabs>
          <w:tab w:leader="none" w:pos="900" w:val="left"/>
        </w:tabs>
        <w:rPr>
          <w:rFonts w:ascii="Arial" w:cs="Arial" w:eastAsia="Arial" w:hAnsi="Arial"/>
          <w:sz w:val="18"/>
          <w:szCs w:val="18"/>
          <w:u w:val="single" w:color="auto"/>
          <w:color w:val="0000FF"/>
        </w:rPr>
      </w:pPr>
      <w:r>
        <w:rPr>
          <w:rFonts w:ascii="Arial" w:cs="Arial" w:eastAsia="Arial" w:hAnsi="Arial"/>
          <w:sz w:val="18"/>
          <w:szCs w:val="18"/>
          <w:color w:val="auto"/>
        </w:rPr>
        <w:t>4.141</w:t>
      </w:r>
      <w:r>
        <w:rPr>
          <w:sz w:val="20"/>
          <w:szCs w:val="20"/>
          <w:color w:val="auto"/>
        </w:rPr>
        <w:tab/>
      </w:r>
      <w:hyperlink r:id="rId205">
        <w:r>
          <w:rPr>
            <w:rFonts w:ascii="Arial" w:cs="Arial" w:eastAsia="Arial" w:hAnsi="Arial"/>
            <w:sz w:val="18"/>
            <w:szCs w:val="18"/>
            <w:u w:val="single" w:color="auto"/>
            <w:color w:val="0000FF"/>
          </w:rPr>
          <w:t>Form of Participation Agreement (Participation Agreement among American Airlines, Inc., Wilmington Trust Company, as Pass</w:t>
        </w:r>
      </w:hyperlink>
      <w:r>
        <w:rPr>
          <w:rFonts w:ascii="Arial" w:cs="Arial" w:eastAsia="Arial" w:hAnsi="Arial"/>
          <w:sz w:val="18"/>
          <w:szCs w:val="18"/>
          <w:u w:val="single" w:color="auto"/>
          <w:color w:val="0000FF"/>
        </w:rPr>
        <w:t xml:space="preserve"> </w:t>
      </w:r>
      <w:hyperlink r:id="rId205">
        <w:r>
          <w:rPr>
            <w:rFonts w:ascii="Arial" w:cs="Arial" w:eastAsia="Arial" w:hAnsi="Arial"/>
            <w:sz w:val="18"/>
            <w:szCs w:val="18"/>
            <w:u w:val="single" w:color="auto"/>
            <w:color w:val="0000FF"/>
          </w:rPr>
          <w:t>Through Trustee under each of the Pass Through Trust Agreements, Wilmington Trust Company, as Subordination Agent,</w:t>
        </w:r>
      </w:hyperlink>
      <w:r>
        <w:rPr>
          <w:rFonts w:ascii="Arial" w:cs="Arial" w:eastAsia="Arial" w:hAnsi="Arial"/>
          <w:sz w:val="18"/>
          <w:szCs w:val="18"/>
          <w:u w:val="single" w:color="auto"/>
          <w:color w:val="0000FF"/>
        </w:rPr>
        <w:t xml:space="preserve"> </w:t>
      </w:r>
      <w:hyperlink r:id="rId205">
        <w:r>
          <w:rPr>
            <w:rFonts w:ascii="Arial" w:cs="Arial" w:eastAsia="Arial" w:hAnsi="Arial"/>
            <w:sz w:val="18"/>
            <w:szCs w:val="18"/>
            <w:u w:val="single" w:color="auto"/>
            <w:color w:val="0000FF"/>
          </w:rPr>
          <w:t>Wilmington Trust Company, as Loan Trustee, and Wilmington Trust Company, in its individual capacity as set forth therein)</w:t>
        </w:r>
      </w:hyperlink>
      <w:r>
        <w:rPr>
          <w:rFonts w:ascii="Arial" w:cs="Arial" w:eastAsia="Arial" w:hAnsi="Arial"/>
          <w:sz w:val="18"/>
          <w:szCs w:val="18"/>
          <w:u w:val="single" w:color="auto"/>
          <w:color w:val="0000FF"/>
        </w:rPr>
        <w:t xml:space="preserve"> </w:t>
      </w:r>
      <w:hyperlink r:id="rId205">
        <w:r>
          <w:rPr>
            <w:rFonts w:ascii="Arial" w:cs="Arial" w:eastAsia="Arial" w:hAnsi="Arial"/>
            <w:sz w:val="18"/>
            <w:szCs w:val="18"/>
            <w:u w:val="single" w:color="auto"/>
            <w:color w:val="0000FF"/>
          </w:rPr>
          <w:t>(incorporated by reference to Exhibit B to Exhibit 4.9 to American’s Current Report on Form 8-K filed on August 14, 2017</w:t>
        </w:r>
      </w:hyperlink>
      <w:r>
        <w:rPr>
          <w:rFonts w:ascii="Arial" w:cs="Arial" w:eastAsia="Arial" w:hAnsi="Arial"/>
          <w:sz w:val="18"/>
          <w:szCs w:val="18"/>
          <w:u w:val="single" w:color="auto"/>
          <w:color w:val="0000FF"/>
        </w:rPr>
        <w:t xml:space="preserve"> </w:t>
      </w:r>
      <w:hyperlink r:id="rId205">
        <w:r>
          <w:rPr>
            <w:rFonts w:ascii="Arial" w:cs="Arial" w:eastAsia="Arial" w:hAnsi="Arial"/>
            <w:sz w:val="18"/>
            <w:szCs w:val="18"/>
            <w:u w:val="single" w:color="auto"/>
            <w:color w:val="0000FF"/>
          </w:rPr>
          <w:t>(Commission File No. 1-2691)).</w:t>
        </w:r>
      </w:hyperlink>
    </w:p>
    <w:p>
      <w:pPr>
        <w:spacing w:after="0" w:line="41" w:lineRule="exact"/>
        <w:rPr>
          <w:rFonts w:ascii="Arial" w:cs="Arial" w:eastAsia="Arial" w:hAnsi="Arial"/>
          <w:sz w:val="18"/>
          <w:szCs w:val="18"/>
          <w:u w:val="single" w:color="auto"/>
          <w:color w:val="0000FF"/>
        </w:rPr>
      </w:pPr>
    </w:p>
    <w:p>
      <w:pPr>
        <w:jc w:val="both"/>
        <w:ind w:left="920" w:right="20" w:hanging="917"/>
        <w:spacing w:after="0"/>
        <w:tabs>
          <w:tab w:leader="none" w:pos="900" w:val="left"/>
        </w:tabs>
        <w:rPr>
          <w:rFonts w:ascii="Arial" w:cs="Arial" w:eastAsia="Arial" w:hAnsi="Arial"/>
          <w:sz w:val="18"/>
          <w:szCs w:val="18"/>
          <w:u w:val="single" w:color="auto"/>
          <w:color w:val="0000FF"/>
        </w:rPr>
      </w:pPr>
      <w:r>
        <w:rPr>
          <w:rFonts w:ascii="Arial" w:cs="Arial" w:eastAsia="Arial" w:hAnsi="Arial"/>
          <w:sz w:val="18"/>
          <w:szCs w:val="18"/>
          <w:color w:val="auto"/>
        </w:rPr>
        <w:t>4.142</w:t>
      </w:r>
      <w:r>
        <w:rPr>
          <w:sz w:val="20"/>
          <w:szCs w:val="20"/>
          <w:color w:val="auto"/>
        </w:rPr>
        <w:tab/>
      </w:r>
      <w:hyperlink r:id="rId205">
        <w:r>
          <w:rPr>
            <w:rFonts w:ascii="Arial" w:cs="Arial" w:eastAsia="Arial" w:hAnsi="Arial"/>
            <w:sz w:val="18"/>
            <w:szCs w:val="18"/>
            <w:u w:val="single" w:color="auto"/>
            <w:color w:val="0000FF"/>
          </w:rPr>
          <w:t>Form of Indenture and Security Agreement (Indenture and Security Agreement between American Airlines, Inc., and Wilmington</w:t>
        </w:r>
      </w:hyperlink>
      <w:r>
        <w:rPr>
          <w:rFonts w:ascii="Arial" w:cs="Arial" w:eastAsia="Arial" w:hAnsi="Arial"/>
          <w:sz w:val="18"/>
          <w:szCs w:val="18"/>
          <w:u w:val="single" w:color="auto"/>
          <w:color w:val="0000FF"/>
        </w:rPr>
        <w:t xml:space="preserve"> </w:t>
      </w:r>
      <w:hyperlink r:id="rId205">
        <w:r>
          <w:rPr>
            <w:rFonts w:ascii="Arial" w:cs="Arial" w:eastAsia="Arial" w:hAnsi="Arial"/>
            <w:sz w:val="18"/>
            <w:szCs w:val="18"/>
            <w:u w:val="single" w:color="auto"/>
            <w:color w:val="0000FF"/>
          </w:rPr>
          <w:t>Trust Company, as Loan Trustee) (incorporated by reference to Exhibit C to Exhibit 4.9 to American’s Current Report on Form 8-K</w:t>
        </w:r>
      </w:hyperlink>
      <w:r>
        <w:rPr>
          <w:rFonts w:ascii="Arial" w:cs="Arial" w:eastAsia="Arial" w:hAnsi="Arial"/>
          <w:sz w:val="18"/>
          <w:szCs w:val="18"/>
          <w:u w:val="single" w:color="auto"/>
          <w:color w:val="0000FF"/>
        </w:rPr>
        <w:t xml:space="preserve"> </w:t>
      </w:r>
      <w:hyperlink r:id="rId205">
        <w:r>
          <w:rPr>
            <w:rFonts w:ascii="Arial" w:cs="Arial" w:eastAsia="Arial" w:hAnsi="Arial"/>
            <w:sz w:val="18"/>
            <w:szCs w:val="18"/>
            <w:u w:val="single" w:color="auto"/>
            <w:color w:val="0000FF"/>
          </w:rPr>
          <w:t>filed on August 14, 2017 (Commission File No. 1-2691)).</w:t>
        </w:r>
      </w:hyperlink>
    </w:p>
    <w:p>
      <w:pPr>
        <w:spacing w:after="0" w:line="41" w:lineRule="exact"/>
        <w:rPr>
          <w:rFonts w:ascii="Arial" w:cs="Arial" w:eastAsia="Arial" w:hAnsi="Arial"/>
          <w:sz w:val="18"/>
          <w:szCs w:val="18"/>
          <w:u w:val="single" w:color="auto"/>
          <w:color w:val="0000FF"/>
        </w:rPr>
      </w:pPr>
    </w:p>
    <w:p>
      <w:pPr>
        <w:jc w:val="both"/>
        <w:ind w:left="920" w:right="20" w:hanging="917"/>
        <w:spacing w:after="0" w:line="246" w:lineRule="auto"/>
        <w:tabs>
          <w:tab w:leader="none" w:pos="900" w:val="left"/>
        </w:tabs>
        <w:rPr>
          <w:rFonts w:ascii="Arial" w:cs="Arial" w:eastAsia="Arial" w:hAnsi="Arial"/>
          <w:sz w:val="18"/>
          <w:szCs w:val="18"/>
          <w:u w:val="single" w:color="auto"/>
          <w:color w:val="0000FF"/>
        </w:rPr>
      </w:pPr>
      <w:r>
        <w:rPr>
          <w:rFonts w:ascii="Arial" w:cs="Arial" w:eastAsia="Arial" w:hAnsi="Arial"/>
          <w:sz w:val="18"/>
          <w:szCs w:val="18"/>
          <w:color w:val="auto"/>
        </w:rPr>
        <w:t>4.143</w:t>
      </w:r>
      <w:r>
        <w:rPr>
          <w:sz w:val="20"/>
          <w:szCs w:val="20"/>
          <w:color w:val="auto"/>
        </w:rPr>
        <w:tab/>
      </w:r>
      <w:hyperlink r:id="rId202">
        <w:r>
          <w:rPr>
            <w:rFonts w:ascii="Arial" w:cs="Arial" w:eastAsia="Arial" w:hAnsi="Arial"/>
            <w:sz w:val="18"/>
            <w:szCs w:val="18"/>
            <w:u w:val="single" w:color="auto"/>
            <w:color w:val="0000FF"/>
          </w:rPr>
          <w:t>Form of Pass Through Trust Certificate, Series 2017-2AA (incorporated by reference to Exhibit A to Exhibit 4.2 to American’s</w:t>
        </w:r>
      </w:hyperlink>
      <w:r>
        <w:rPr>
          <w:rFonts w:ascii="Arial" w:cs="Arial" w:eastAsia="Arial" w:hAnsi="Arial"/>
          <w:sz w:val="18"/>
          <w:szCs w:val="18"/>
          <w:u w:val="single" w:color="auto"/>
          <w:color w:val="0000FF"/>
        </w:rPr>
        <w:t xml:space="preserve"> </w:t>
      </w:r>
      <w:hyperlink r:id="rId202">
        <w:r>
          <w:rPr>
            <w:rFonts w:ascii="Arial" w:cs="Arial" w:eastAsia="Arial" w:hAnsi="Arial"/>
            <w:sz w:val="18"/>
            <w:szCs w:val="18"/>
            <w:u w:val="single" w:color="auto"/>
            <w:color w:val="0000FF"/>
          </w:rPr>
          <w:t>Current Report on Form 8-K filed on August 14, 2017 (Commission File No. 1-2691)).</w:t>
        </w:r>
      </w:hyperlink>
    </w:p>
    <w:p>
      <w:pPr>
        <w:spacing w:after="0" w:line="35" w:lineRule="exact"/>
        <w:rPr>
          <w:sz w:val="20"/>
          <w:szCs w:val="20"/>
          <w:color w:val="auto"/>
        </w:rPr>
      </w:pPr>
    </w:p>
    <w:p>
      <w:pPr>
        <w:jc w:val="both"/>
        <w:ind w:left="920" w:right="20" w:hanging="917"/>
        <w:spacing w:after="0" w:line="246" w:lineRule="auto"/>
        <w:tabs>
          <w:tab w:leader="none" w:pos="900" w:val="left"/>
        </w:tabs>
        <w:rPr>
          <w:rFonts w:ascii="Arial" w:cs="Arial" w:eastAsia="Arial" w:hAnsi="Arial"/>
          <w:sz w:val="18"/>
          <w:szCs w:val="18"/>
          <w:u w:val="single" w:color="auto"/>
          <w:color w:val="0000FF"/>
        </w:rPr>
      </w:pPr>
      <w:r>
        <w:rPr>
          <w:rFonts w:ascii="Arial" w:cs="Arial" w:eastAsia="Arial" w:hAnsi="Arial"/>
          <w:sz w:val="18"/>
          <w:szCs w:val="18"/>
          <w:color w:val="auto"/>
        </w:rPr>
        <w:t>4.144</w:t>
      </w:r>
      <w:r>
        <w:rPr>
          <w:sz w:val="20"/>
          <w:szCs w:val="20"/>
          <w:color w:val="auto"/>
        </w:rPr>
        <w:tab/>
      </w:r>
      <w:hyperlink r:id="rId203">
        <w:r>
          <w:rPr>
            <w:rFonts w:ascii="Arial" w:cs="Arial" w:eastAsia="Arial" w:hAnsi="Arial"/>
            <w:sz w:val="18"/>
            <w:szCs w:val="18"/>
            <w:u w:val="single" w:color="auto"/>
            <w:color w:val="0000FF"/>
          </w:rPr>
          <w:t>Form of Pass Through Trust Certificate, Series 2017-2A (incorporated by reference to Exhibit A to Exhibit 4.3 to American’s</w:t>
        </w:r>
      </w:hyperlink>
      <w:r>
        <w:rPr>
          <w:rFonts w:ascii="Arial" w:cs="Arial" w:eastAsia="Arial" w:hAnsi="Arial"/>
          <w:sz w:val="18"/>
          <w:szCs w:val="18"/>
          <w:u w:val="single" w:color="auto"/>
          <w:color w:val="0000FF"/>
        </w:rPr>
        <w:t xml:space="preserve"> </w:t>
      </w:r>
      <w:hyperlink r:id="rId203">
        <w:r>
          <w:rPr>
            <w:rFonts w:ascii="Arial" w:cs="Arial" w:eastAsia="Arial" w:hAnsi="Arial"/>
            <w:sz w:val="18"/>
            <w:szCs w:val="18"/>
            <w:u w:val="single" w:color="auto"/>
            <w:color w:val="0000FF"/>
          </w:rPr>
          <w:t>Current Report on Form 8-K filed on August 14, 2017 (Commission File No. 1-2691)).</w:t>
        </w:r>
      </w:hyperlink>
    </w:p>
    <w:p>
      <w:pPr>
        <w:spacing w:after="0" w:line="35" w:lineRule="exact"/>
        <w:rPr>
          <w:sz w:val="20"/>
          <w:szCs w:val="20"/>
          <w:color w:val="auto"/>
        </w:rPr>
      </w:pPr>
    </w:p>
    <w:p>
      <w:pPr>
        <w:jc w:val="both"/>
        <w:ind w:left="920" w:hanging="917"/>
        <w:spacing w:after="0" w:line="239" w:lineRule="auto"/>
        <w:tabs>
          <w:tab w:leader="none" w:pos="900" w:val="left"/>
        </w:tabs>
        <w:rPr>
          <w:rFonts w:ascii="Arial" w:cs="Arial" w:eastAsia="Arial" w:hAnsi="Arial"/>
          <w:sz w:val="18"/>
          <w:szCs w:val="18"/>
          <w:u w:val="single" w:color="auto"/>
          <w:color w:val="0000FF"/>
        </w:rPr>
      </w:pPr>
      <w:r>
        <w:rPr>
          <w:rFonts w:ascii="Arial" w:cs="Arial" w:eastAsia="Arial" w:hAnsi="Arial"/>
          <w:sz w:val="18"/>
          <w:szCs w:val="18"/>
          <w:color w:val="auto"/>
        </w:rPr>
        <w:t>4.145</w:t>
      </w:r>
      <w:r>
        <w:rPr>
          <w:sz w:val="20"/>
          <w:szCs w:val="20"/>
          <w:color w:val="auto"/>
        </w:rPr>
        <w:tab/>
      </w:r>
      <w:hyperlink r:id="rId206">
        <w:r>
          <w:rPr>
            <w:rFonts w:ascii="Arial" w:cs="Arial" w:eastAsia="Arial" w:hAnsi="Arial"/>
            <w:sz w:val="18"/>
            <w:szCs w:val="18"/>
            <w:u w:val="single" w:color="auto"/>
            <w:color w:val="0000FF"/>
          </w:rPr>
          <w:t>Revolving Credit Agreement (2017-2AA), dated as of August 14, 2017, between Wilmington Trust Company, as Subordination</w:t>
        </w:r>
      </w:hyperlink>
      <w:r>
        <w:rPr>
          <w:rFonts w:ascii="Arial" w:cs="Arial" w:eastAsia="Arial" w:hAnsi="Arial"/>
          <w:sz w:val="18"/>
          <w:szCs w:val="18"/>
          <w:u w:val="single" w:color="auto"/>
          <w:color w:val="0000FF"/>
        </w:rPr>
        <w:t xml:space="preserve"> </w:t>
      </w:r>
      <w:hyperlink r:id="rId206">
        <w:r>
          <w:rPr>
            <w:rFonts w:ascii="Arial" w:cs="Arial" w:eastAsia="Arial" w:hAnsi="Arial"/>
            <w:sz w:val="18"/>
            <w:szCs w:val="18"/>
            <w:u w:val="single" w:color="auto"/>
            <w:color w:val="0000FF"/>
          </w:rPr>
          <w:t>Agent, as agent and trustee for the trustee of the American Airlines Pass Through Trust 2017-2AA, as Borrower, and National</w:t>
        </w:r>
      </w:hyperlink>
      <w:r>
        <w:rPr>
          <w:rFonts w:ascii="Arial" w:cs="Arial" w:eastAsia="Arial" w:hAnsi="Arial"/>
          <w:sz w:val="18"/>
          <w:szCs w:val="18"/>
          <w:u w:val="single" w:color="auto"/>
          <w:color w:val="0000FF"/>
        </w:rPr>
        <w:t xml:space="preserve"> </w:t>
      </w:r>
      <w:hyperlink r:id="rId206">
        <w:r>
          <w:rPr>
            <w:rFonts w:ascii="Arial" w:cs="Arial" w:eastAsia="Arial" w:hAnsi="Arial"/>
            <w:sz w:val="18"/>
            <w:szCs w:val="18"/>
            <w:u w:val="single" w:color="auto"/>
            <w:color w:val="0000FF"/>
          </w:rPr>
          <w:t>Australia Bank Limited, as Liquidity Provider (incorporated by reference to Exhibit 4.14 to American’s Current Report on Form 8-K</w:t>
        </w:r>
      </w:hyperlink>
      <w:r>
        <w:rPr>
          <w:rFonts w:ascii="Arial" w:cs="Arial" w:eastAsia="Arial" w:hAnsi="Arial"/>
          <w:sz w:val="18"/>
          <w:szCs w:val="18"/>
          <w:u w:val="single" w:color="auto"/>
          <w:color w:val="0000FF"/>
        </w:rPr>
        <w:t xml:space="preserve"> </w:t>
      </w:r>
      <w:hyperlink r:id="rId206">
        <w:r>
          <w:rPr>
            <w:rFonts w:ascii="Arial" w:cs="Arial" w:eastAsia="Arial" w:hAnsi="Arial"/>
            <w:sz w:val="18"/>
            <w:szCs w:val="18"/>
            <w:u w:val="single" w:color="auto"/>
            <w:color w:val="0000FF"/>
          </w:rPr>
          <w:t>filed on August 14, 2017 (Commission File No. 1-2691)).</w:t>
        </w:r>
      </w:hyperlink>
    </w:p>
    <w:p>
      <w:pPr>
        <w:spacing w:after="0" w:line="40" w:lineRule="exact"/>
        <w:rPr>
          <w:rFonts w:ascii="Arial" w:cs="Arial" w:eastAsia="Arial" w:hAnsi="Arial"/>
          <w:sz w:val="18"/>
          <w:szCs w:val="18"/>
          <w:u w:val="single" w:color="auto"/>
          <w:color w:val="0000FF"/>
        </w:rPr>
      </w:pPr>
    </w:p>
    <w:p>
      <w:pPr>
        <w:jc w:val="both"/>
        <w:ind w:left="920" w:hanging="917"/>
        <w:spacing w:after="0" w:line="239" w:lineRule="auto"/>
        <w:tabs>
          <w:tab w:leader="none" w:pos="900" w:val="left"/>
        </w:tabs>
        <w:rPr>
          <w:rFonts w:ascii="Arial" w:cs="Arial" w:eastAsia="Arial" w:hAnsi="Arial"/>
          <w:sz w:val="18"/>
          <w:szCs w:val="18"/>
          <w:u w:val="single" w:color="auto"/>
          <w:color w:val="0000FF"/>
        </w:rPr>
      </w:pPr>
      <w:r>
        <w:rPr>
          <w:rFonts w:ascii="Arial" w:cs="Arial" w:eastAsia="Arial" w:hAnsi="Arial"/>
          <w:sz w:val="18"/>
          <w:szCs w:val="18"/>
          <w:color w:val="auto"/>
        </w:rPr>
        <w:t>4.146</w:t>
      </w:r>
      <w:r>
        <w:rPr>
          <w:sz w:val="20"/>
          <w:szCs w:val="20"/>
          <w:color w:val="auto"/>
        </w:rPr>
        <w:tab/>
      </w:r>
      <w:hyperlink r:id="rId207">
        <w:r>
          <w:rPr>
            <w:rFonts w:ascii="Arial" w:cs="Arial" w:eastAsia="Arial" w:hAnsi="Arial"/>
            <w:sz w:val="18"/>
            <w:szCs w:val="18"/>
            <w:u w:val="single" w:color="auto"/>
            <w:color w:val="0000FF"/>
          </w:rPr>
          <w:t>Revolving Credit Agreement (2017-2A), dated as of August 14, 2017, between Wilmington Trust Company, as Subordination</w:t>
        </w:r>
      </w:hyperlink>
      <w:r>
        <w:rPr>
          <w:rFonts w:ascii="Arial" w:cs="Arial" w:eastAsia="Arial" w:hAnsi="Arial"/>
          <w:sz w:val="18"/>
          <w:szCs w:val="18"/>
          <w:u w:val="single" w:color="auto"/>
          <w:color w:val="0000FF"/>
        </w:rPr>
        <w:t xml:space="preserve"> </w:t>
      </w:r>
      <w:hyperlink r:id="rId207">
        <w:r>
          <w:rPr>
            <w:rFonts w:ascii="Arial" w:cs="Arial" w:eastAsia="Arial" w:hAnsi="Arial"/>
            <w:sz w:val="18"/>
            <w:szCs w:val="18"/>
            <w:u w:val="single" w:color="auto"/>
            <w:color w:val="0000FF"/>
          </w:rPr>
          <w:t>Agent, as agent and trustee for the trustee of the American Airlines Pass Through Trust 2017-2A, as Borrower, and National</w:t>
        </w:r>
      </w:hyperlink>
      <w:r>
        <w:rPr>
          <w:rFonts w:ascii="Arial" w:cs="Arial" w:eastAsia="Arial" w:hAnsi="Arial"/>
          <w:sz w:val="18"/>
          <w:szCs w:val="18"/>
          <w:u w:val="single" w:color="auto"/>
          <w:color w:val="0000FF"/>
        </w:rPr>
        <w:t xml:space="preserve"> </w:t>
      </w:r>
      <w:hyperlink r:id="rId207">
        <w:r>
          <w:rPr>
            <w:rFonts w:ascii="Arial" w:cs="Arial" w:eastAsia="Arial" w:hAnsi="Arial"/>
            <w:sz w:val="18"/>
            <w:szCs w:val="18"/>
            <w:u w:val="single" w:color="auto"/>
            <w:color w:val="0000FF"/>
          </w:rPr>
          <w:t>Australia Bank Limited, as Liquidity Provider (incorporated by reference to Exhibit 4.15 to American’s Current Report on Form 8-K</w:t>
        </w:r>
      </w:hyperlink>
      <w:r>
        <w:rPr>
          <w:rFonts w:ascii="Arial" w:cs="Arial" w:eastAsia="Arial" w:hAnsi="Arial"/>
          <w:sz w:val="18"/>
          <w:szCs w:val="18"/>
          <w:u w:val="single" w:color="auto"/>
          <w:color w:val="0000FF"/>
        </w:rPr>
        <w:t xml:space="preserve"> </w:t>
      </w:r>
      <w:hyperlink r:id="rId207">
        <w:r>
          <w:rPr>
            <w:rFonts w:ascii="Arial" w:cs="Arial" w:eastAsia="Arial" w:hAnsi="Arial"/>
            <w:sz w:val="18"/>
            <w:szCs w:val="18"/>
            <w:u w:val="single" w:color="auto"/>
            <w:color w:val="0000FF"/>
          </w:rPr>
          <w:t>filed on August 14, 2017 (Commission File No. 1-2691)).</w:t>
        </w:r>
      </w:hyperlink>
    </w:p>
    <w:p>
      <w:pPr>
        <w:spacing w:after="0" w:line="40" w:lineRule="exact"/>
        <w:rPr>
          <w:rFonts w:ascii="Arial" w:cs="Arial" w:eastAsia="Arial" w:hAnsi="Arial"/>
          <w:sz w:val="18"/>
          <w:szCs w:val="18"/>
          <w:u w:val="single" w:color="auto"/>
          <w:color w:val="0000FF"/>
        </w:rPr>
      </w:pPr>
    </w:p>
    <w:p>
      <w:pPr>
        <w:jc w:val="both"/>
        <w:ind w:left="920" w:right="20" w:hanging="917"/>
        <w:spacing w:after="0"/>
        <w:tabs>
          <w:tab w:leader="none" w:pos="900" w:val="left"/>
        </w:tabs>
        <w:rPr>
          <w:rFonts w:ascii="Arial" w:cs="Arial" w:eastAsia="Arial" w:hAnsi="Arial"/>
          <w:sz w:val="18"/>
          <w:szCs w:val="18"/>
          <w:u w:val="single" w:color="auto"/>
          <w:color w:val="0000FF"/>
        </w:rPr>
      </w:pPr>
      <w:r>
        <w:rPr>
          <w:rFonts w:ascii="Arial" w:cs="Arial" w:eastAsia="Arial" w:hAnsi="Arial"/>
          <w:sz w:val="18"/>
          <w:szCs w:val="18"/>
          <w:color w:val="auto"/>
        </w:rPr>
        <w:t>4.147</w:t>
      </w:r>
      <w:r>
        <w:rPr>
          <w:sz w:val="20"/>
          <w:szCs w:val="20"/>
          <w:color w:val="auto"/>
        </w:rPr>
        <w:tab/>
      </w:r>
      <w:hyperlink r:id="rId208">
        <w:r>
          <w:rPr>
            <w:rFonts w:ascii="Arial" w:cs="Arial" w:eastAsia="Arial" w:hAnsi="Arial"/>
            <w:sz w:val="18"/>
            <w:szCs w:val="18"/>
            <w:u w:val="single" w:color="auto"/>
            <w:color w:val="0000FF"/>
          </w:rPr>
          <w:t>Trust Supplement No. 2016-3B, dated as of October 4, 2017, between American Airlines, Inc. and Wilmington Trust Company, as</w:t>
        </w:r>
      </w:hyperlink>
      <w:r>
        <w:rPr>
          <w:rFonts w:ascii="Arial" w:cs="Arial" w:eastAsia="Arial" w:hAnsi="Arial"/>
          <w:sz w:val="18"/>
          <w:szCs w:val="18"/>
          <w:u w:val="single" w:color="auto"/>
          <w:color w:val="0000FF"/>
        </w:rPr>
        <w:t xml:space="preserve"> </w:t>
      </w:r>
      <w:hyperlink r:id="rId208">
        <w:r>
          <w:rPr>
            <w:rFonts w:ascii="Arial" w:cs="Arial" w:eastAsia="Arial" w:hAnsi="Arial"/>
            <w:sz w:val="18"/>
            <w:szCs w:val="18"/>
            <w:u w:val="single" w:color="auto"/>
            <w:color w:val="0000FF"/>
          </w:rPr>
          <w:t>Trustee, to the Pass Through Trust Agreement, dated as of September 16, 2014 (incorporated by reference to Exhibit 4.2 to</w:t>
        </w:r>
      </w:hyperlink>
      <w:r>
        <w:rPr>
          <w:rFonts w:ascii="Arial" w:cs="Arial" w:eastAsia="Arial" w:hAnsi="Arial"/>
          <w:sz w:val="18"/>
          <w:szCs w:val="18"/>
          <w:u w:val="single" w:color="auto"/>
          <w:color w:val="0000FF"/>
        </w:rPr>
        <w:t xml:space="preserve"> </w:t>
      </w:r>
      <w:hyperlink r:id="rId208">
        <w:r>
          <w:rPr>
            <w:rFonts w:ascii="Arial" w:cs="Arial" w:eastAsia="Arial" w:hAnsi="Arial"/>
            <w:sz w:val="18"/>
            <w:szCs w:val="18"/>
            <w:u w:val="single" w:color="auto"/>
            <w:color w:val="0000FF"/>
          </w:rPr>
          <w:t>American’s Current Report on Form 8-K filed on October 5, 2017 (Commission File No. 1-2691)).</w:t>
        </w:r>
      </w:hyperlink>
    </w:p>
    <w:p>
      <w:pPr>
        <w:spacing w:after="0" w:line="41" w:lineRule="exact"/>
        <w:rPr>
          <w:rFonts w:ascii="Arial" w:cs="Arial" w:eastAsia="Arial" w:hAnsi="Arial"/>
          <w:sz w:val="18"/>
          <w:szCs w:val="18"/>
          <w:u w:val="single" w:color="auto"/>
          <w:color w:val="0000FF"/>
        </w:rPr>
      </w:pPr>
    </w:p>
    <w:p>
      <w:pPr>
        <w:jc w:val="both"/>
        <w:ind w:left="920" w:right="20" w:hanging="917"/>
        <w:spacing w:after="0" w:line="239" w:lineRule="auto"/>
        <w:tabs>
          <w:tab w:leader="none" w:pos="900" w:val="left"/>
        </w:tabs>
        <w:rPr>
          <w:rFonts w:ascii="Arial" w:cs="Arial" w:eastAsia="Arial" w:hAnsi="Arial"/>
          <w:sz w:val="18"/>
          <w:szCs w:val="18"/>
          <w:u w:val="single" w:color="auto"/>
          <w:color w:val="0000FF"/>
        </w:rPr>
      </w:pPr>
      <w:r>
        <w:rPr>
          <w:rFonts w:ascii="Arial" w:cs="Arial" w:eastAsia="Arial" w:hAnsi="Arial"/>
          <w:sz w:val="18"/>
          <w:szCs w:val="18"/>
          <w:color w:val="auto"/>
        </w:rPr>
        <w:t>4.148</w:t>
      </w:r>
      <w:r>
        <w:rPr>
          <w:sz w:val="20"/>
          <w:szCs w:val="20"/>
          <w:color w:val="auto"/>
        </w:rPr>
        <w:tab/>
      </w:r>
      <w:hyperlink r:id="rId209">
        <w:r>
          <w:rPr>
            <w:rFonts w:ascii="Arial" w:cs="Arial" w:eastAsia="Arial" w:hAnsi="Arial"/>
            <w:sz w:val="18"/>
            <w:szCs w:val="18"/>
            <w:u w:val="single" w:color="auto"/>
            <w:color w:val="0000FF"/>
          </w:rPr>
          <w:t>Amended and Restated Note Purchase Agreement, dated as of October 4, 2017, amending the Note Purchase Agreement, dated</w:t>
        </w:r>
      </w:hyperlink>
      <w:r>
        <w:rPr>
          <w:rFonts w:ascii="Arial" w:cs="Arial" w:eastAsia="Arial" w:hAnsi="Arial"/>
          <w:sz w:val="18"/>
          <w:szCs w:val="18"/>
          <w:u w:val="single" w:color="auto"/>
          <w:color w:val="0000FF"/>
        </w:rPr>
        <w:t xml:space="preserve"> </w:t>
      </w:r>
      <w:hyperlink r:id="rId209">
        <w:r>
          <w:rPr>
            <w:rFonts w:ascii="Arial" w:cs="Arial" w:eastAsia="Arial" w:hAnsi="Arial"/>
            <w:sz w:val="18"/>
            <w:szCs w:val="18"/>
            <w:u w:val="single" w:color="auto"/>
            <w:color w:val="0000FF"/>
          </w:rPr>
          <w:t>as of October 3, 2016, among American Airlines, Inc., Wilmington Trust Company, as Pass Through Trustee under each of the</w:t>
        </w:r>
      </w:hyperlink>
      <w:r>
        <w:rPr>
          <w:rFonts w:ascii="Arial" w:cs="Arial" w:eastAsia="Arial" w:hAnsi="Arial"/>
          <w:sz w:val="18"/>
          <w:szCs w:val="18"/>
          <w:u w:val="single" w:color="auto"/>
          <w:color w:val="0000FF"/>
        </w:rPr>
        <w:t xml:space="preserve"> </w:t>
      </w:r>
      <w:hyperlink r:id="rId209">
        <w:r>
          <w:rPr>
            <w:rFonts w:ascii="Arial" w:cs="Arial" w:eastAsia="Arial" w:hAnsi="Arial"/>
            <w:sz w:val="18"/>
            <w:szCs w:val="18"/>
            <w:u w:val="single" w:color="auto"/>
            <w:color w:val="0000FF"/>
          </w:rPr>
          <w:t>Pass Through Trust Agreements, and Wilmington Trust Company, as Subordination Agent (incorporated by reference to Exhibit 4.4</w:t>
        </w:r>
      </w:hyperlink>
      <w:r>
        <w:rPr>
          <w:rFonts w:ascii="Arial" w:cs="Arial" w:eastAsia="Arial" w:hAnsi="Arial"/>
          <w:sz w:val="18"/>
          <w:szCs w:val="18"/>
          <w:u w:val="single" w:color="auto"/>
          <w:color w:val="0000FF"/>
        </w:rPr>
        <w:t xml:space="preserve"> </w:t>
      </w:r>
      <w:hyperlink r:id="rId209">
        <w:r>
          <w:rPr>
            <w:rFonts w:ascii="Arial" w:cs="Arial" w:eastAsia="Arial" w:hAnsi="Arial"/>
            <w:sz w:val="18"/>
            <w:szCs w:val="18"/>
            <w:u w:val="single" w:color="auto"/>
            <w:color w:val="0000FF"/>
          </w:rPr>
          <w:t>to American’s Current Report on Form 8-K filed on October 5, 2017 (Commission File No. 1-2691)).</w:t>
        </w:r>
      </w:hyperlink>
    </w:p>
    <w:p>
      <w:pPr>
        <w:spacing w:after="0" w:line="40" w:lineRule="exact"/>
        <w:rPr>
          <w:rFonts w:ascii="Arial" w:cs="Arial" w:eastAsia="Arial" w:hAnsi="Arial"/>
          <w:sz w:val="18"/>
          <w:szCs w:val="18"/>
          <w:u w:val="single" w:color="auto"/>
          <w:color w:val="0000FF"/>
        </w:rPr>
      </w:pPr>
    </w:p>
    <w:p>
      <w:pPr>
        <w:jc w:val="both"/>
        <w:ind w:left="920" w:hanging="917"/>
        <w:spacing w:after="0" w:line="238" w:lineRule="auto"/>
        <w:tabs>
          <w:tab w:leader="none" w:pos="900" w:val="left"/>
        </w:tabs>
        <w:rPr>
          <w:rFonts w:ascii="Arial" w:cs="Arial" w:eastAsia="Arial" w:hAnsi="Arial"/>
          <w:sz w:val="18"/>
          <w:szCs w:val="18"/>
          <w:u w:val="single" w:color="auto"/>
          <w:color w:val="0000FF"/>
        </w:rPr>
      </w:pPr>
      <w:r>
        <w:rPr>
          <w:rFonts w:ascii="Arial" w:cs="Arial" w:eastAsia="Arial" w:hAnsi="Arial"/>
          <w:sz w:val="18"/>
          <w:szCs w:val="18"/>
          <w:color w:val="auto"/>
        </w:rPr>
        <w:t>4.149</w:t>
      </w:r>
      <w:r>
        <w:rPr>
          <w:sz w:val="20"/>
          <w:szCs w:val="20"/>
          <w:color w:val="auto"/>
        </w:rPr>
        <w:tab/>
      </w:r>
      <w:hyperlink r:id="rId209">
        <w:r>
          <w:rPr>
            <w:rFonts w:ascii="Arial" w:cs="Arial" w:eastAsia="Arial" w:hAnsi="Arial"/>
            <w:sz w:val="18"/>
            <w:szCs w:val="18"/>
            <w:u w:val="single" w:color="auto"/>
            <w:color w:val="0000FF"/>
          </w:rPr>
          <w:t>Form of First Amendment to Participation Agreement (First Amendment to Participation Agreement among American Airlines, Inc.,</w:t>
        </w:r>
      </w:hyperlink>
      <w:r>
        <w:rPr>
          <w:rFonts w:ascii="Arial" w:cs="Arial" w:eastAsia="Arial" w:hAnsi="Arial"/>
          <w:sz w:val="18"/>
          <w:szCs w:val="18"/>
          <w:u w:val="single" w:color="auto"/>
          <w:color w:val="0000FF"/>
        </w:rPr>
        <w:t xml:space="preserve"> </w:t>
      </w:r>
      <w:hyperlink r:id="rId209">
        <w:r>
          <w:rPr>
            <w:rFonts w:ascii="Arial" w:cs="Arial" w:eastAsia="Arial" w:hAnsi="Arial"/>
            <w:sz w:val="18"/>
            <w:szCs w:val="18"/>
            <w:u w:val="single" w:color="auto"/>
            <w:color w:val="0000FF"/>
          </w:rPr>
          <w:t>Wilmington Trust Company, as Pass Through Trustee under each of the Pass Through Trust Agreements, Wilmington Trust</w:t>
        </w:r>
      </w:hyperlink>
      <w:r>
        <w:rPr>
          <w:rFonts w:ascii="Arial" w:cs="Arial" w:eastAsia="Arial" w:hAnsi="Arial"/>
          <w:sz w:val="18"/>
          <w:szCs w:val="18"/>
          <w:u w:val="single" w:color="auto"/>
          <w:color w:val="0000FF"/>
        </w:rPr>
        <w:t xml:space="preserve"> </w:t>
      </w:r>
      <w:hyperlink r:id="rId209">
        <w:r>
          <w:rPr>
            <w:rFonts w:ascii="Arial" w:cs="Arial" w:eastAsia="Arial" w:hAnsi="Arial"/>
            <w:sz w:val="18"/>
            <w:szCs w:val="18"/>
            <w:u w:val="single" w:color="auto"/>
            <w:color w:val="0000FF"/>
          </w:rPr>
          <w:t>Company, as Subordination Agent, Wilmington Trust Company, as Loan Trustee, and Wilmington Trust Company, in its individual</w:t>
        </w:r>
      </w:hyperlink>
      <w:r>
        <w:rPr>
          <w:rFonts w:ascii="Arial" w:cs="Arial" w:eastAsia="Arial" w:hAnsi="Arial"/>
          <w:sz w:val="18"/>
          <w:szCs w:val="18"/>
          <w:u w:val="single" w:color="auto"/>
          <w:color w:val="0000FF"/>
        </w:rPr>
        <w:t xml:space="preserve"> </w:t>
      </w:r>
      <w:hyperlink r:id="rId209">
        <w:r>
          <w:rPr>
            <w:rFonts w:ascii="Arial" w:cs="Arial" w:eastAsia="Arial" w:hAnsi="Arial"/>
            <w:sz w:val="18"/>
            <w:szCs w:val="18"/>
            <w:u w:val="single" w:color="auto"/>
            <w:color w:val="0000FF"/>
          </w:rPr>
          <w:t>capacity as set forth therein) (incorporated by reference to Exhibit A to Exhibit 4.4 to American’s Current Report on Form 8-K filed</w:t>
        </w:r>
      </w:hyperlink>
      <w:r>
        <w:rPr>
          <w:rFonts w:ascii="Arial" w:cs="Arial" w:eastAsia="Arial" w:hAnsi="Arial"/>
          <w:sz w:val="18"/>
          <w:szCs w:val="18"/>
          <w:u w:val="single" w:color="auto"/>
          <w:color w:val="0000FF"/>
        </w:rPr>
        <w:t xml:space="preserve"> </w:t>
      </w:r>
      <w:hyperlink r:id="rId209">
        <w:r>
          <w:rPr>
            <w:rFonts w:ascii="Arial" w:cs="Arial" w:eastAsia="Arial" w:hAnsi="Arial"/>
            <w:sz w:val="18"/>
            <w:szCs w:val="18"/>
            <w:u w:val="single" w:color="auto"/>
            <w:color w:val="0000FF"/>
          </w:rPr>
          <w:t>on October 5, 2017 (Commission File No. 1-2691)).</w:t>
        </w:r>
      </w:hyperlink>
    </w:p>
    <w:p>
      <w:pPr>
        <w:spacing w:after="0" w:line="41" w:lineRule="exact"/>
        <w:rPr>
          <w:rFonts w:ascii="Arial" w:cs="Arial" w:eastAsia="Arial" w:hAnsi="Arial"/>
          <w:sz w:val="18"/>
          <w:szCs w:val="18"/>
          <w:u w:val="single" w:color="auto"/>
          <w:color w:val="0000FF"/>
        </w:rPr>
      </w:pPr>
    </w:p>
    <w:p>
      <w:pPr>
        <w:jc w:val="both"/>
        <w:ind w:left="920" w:hanging="917"/>
        <w:spacing w:after="0"/>
        <w:tabs>
          <w:tab w:leader="none" w:pos="900" w:val="left"/>
        </w:tabs>
        <w:rPr>
          <w:rFonts w:ascii="Arial" w:cs="Arial" w:eastAsia="Arial" w:hAnsi="Arial"/>
          <w:sz w:val="18"/>
          <w:szCs w:val="18"/>
          <w:u w:val="single" w:color="auto"/>
          <w:color w:val="0000FF"/>
        </w:rPr>
      </w:pPr>
      <w:r>
        <w:rPr>
          <w:rFonts w:ascii="Arial" w:cs="Arial" w:eastAsia="Arial" w:hAnsi="Arial"/>
          <w:sz w:val="18"/>
          <w:szCs w:val="18"/>
          <w:color w:val="auto"/>
        </w:rPr>
        <w:t>4.150</w:t>
      </w:r>
      <w:r>
        <w:rPr>
          <w:sz w:val="20"/>
          <w:szCs w:val="20"/>
          <w:color w:val="auto"/>
        </w:rPr>
        <w:tab/>
      </w:r>
      <w:hyperlink r:id="rId210">
        <w:r>
          <w:rPr>
            <w:rFonts w:ascii="Arial" w:cs="Arial" w:eastAsia="Arial" w:hAnsi="Arial"/>
            <w:sz w:val="18"/>
            <w:szCs w:val="18"/>
            <w:u w:val="single" w:color="auto"/>
            <w:color w:val="0000FF"/>
          </w:rPr>
          <w:t>Form of First Amendment to Indenture and Security Agreement (First Amendment to Indenture and Security Agreement between</w:t>
        </w:r>
      </w:hyperlink>
      <w:r>
        <w:rPr>
          <w:rFonts w:ascii="Arial" w:cs="Arial" w:eastAsia="Arial" w:hAnsi="Arial"/>
          <w:sz w:val="18"/>
          <w:szCs w:val="18"/>
          <w:u w:val="single" w:color="auto"/>
          <w:color w:val="0000FF"/>
        </w:rPr>
        <w:t xml:space="preserve"> </w:t>
      </w:r>
      <w:hyperlink r:id="rId210">
        <w:r>
          <w:rPr>
            <w:rFonts w:ascii="Arial" w:cs="Arial" w:eastAsia="Arial" w:hAnsi="Arial"/>
            <w:sz w:val="18"/>
            <w:szCs w:val="18"/>
            <w:u w:val="single" w:color="auto"/>
            <w:color w:val="0000FF"/>
          </w:rPr>
          <w:t>American Airlines, Inc., and Wilmington Trust Company, as Loan Trustee) (incorporated by reference to Exhibit E to Exhibit 4.6 to</w:t>
        </w:r>
      </w:hyperlink>
      <w:r>
        <w:rPr>
          <w:rFonts w:ascii="Arial" w:cs="Arial" w:eastAsia="Arial" w:hAnsi="Arial"/>
          <w:sz w:val="18"/>
          <w:szCs w:val="18"/>
          <w:u w:val="single" w:color="auto"/>
          <w:color w:val="0000FF"/>
        </w:rPr>
        <w:t xml:space="preserve"> </w:t>
      </w:r>
      <w:hyperlink r:id="rId210">
        <w:r>
          <w:rPr>
            <w:rFonts w:ascii="Arial" w:cs="Arial" w:eastAsia="Arial" w:hAnsi="Arial"/>
            <w:sz w:val="18"/>
            <w:szCs w:val="18"/>
            <w:u w:val="single" w:color="auto"/>
            <w:color w:val="0000FF"/>
          </w:rPr>
          <w:t>American’s Current Report on Form 8-K filed on October 6, 2017 (Commission File No. 1-2691)).</w:t>
        </w:r>
      </w:hyperlink>
    </w:p>
    <w:p>
      <w:pPr>
        <w:spacing w:after="0" w:line="41" w:lineRule="exact"/>
        <w:rPr>
          <w:rFonts w:ascii="Arial" w:cs="Arial" w:eastAsia="Arial" w:hAnsi="Arial"/>
          <w:sz w:val="18"/>
          <w:szCs w:val="18"/>
          <w:u w:val="single" w:color="auto"/>
          <w:color w:val="0000FF"/>
        </w:rPr>
      </w:pPr>
    </w:p>
    <w:p>
      <w:pPr>
        <w:jc w:val="both"/>
        <w:ind w:left="920" w:hanging="917"/>
        <w:spacing w:after="0"/>
        <w:tabs>
          <w:tab w:leader="none" w:pos="900" w:val="left"/>
        </w:tabs>
        <w:rPr>
          <w:rFonts w:ascii="Arial" w:cs="Arial" w:eastAsia="Arial" w:hAnsi="Arial"/>
          <w:sz w:val="18"/>
          <w:szCs w:val="18"/>
          <w:u w:val="single" w:color="auto"/>
          <w:color w:val="0000FF"/>
        </w:rPr>
      </w:pPr>
      <w:r>
        <w:rPr>
          <w:rFonts w:ascii="Arial" w:cs="Arial" w:eastAsia="Arial" w:hAnsi="Arial"/>
          <w:sz w:val="18"/>
          <w:szCs w:val="18"/>
          <w:color w:val="auto"/>
        </w:rPr>
        <w:t>4.151</w:t>
      </w:r>
      <w:r>
        <w:rPr>
          <w:sz w:val="20"/>
          <w:szCs w:val="20"/>
          <w:color w:val="auto"/>
        </w:rPr>
        <w:tab/>
      </w:r>
      <w:hyperlink r:id="rId209">
        <w:r>
          <w:rPr>
            <w:rFonts w:ascii="Arial" w:cs="Arial" w:eastAsia="Arial" w:hAnsi="Arial"/>
            <w:sz w:val="18"/>
            <w:szCs w:val="18"/>
            <w:u w:val="single" w:color="auto"/>
            <w:color w:val="0000FF"/>
          </w:rPr>
          <w:t>Form of First Amendment to Indenture and Security Agreement (First Amendment to Indenture and Security Agreement between</w:t>
        </w:r>
      </w:hyperlink>
      <w:r>
        <w:rPr>
          <w:rFonts w:ascii="Arial" w:cs="Arial" w:eastAsia="Arial" w:hAnsi="Arial"/>
          <w:sz w:val="18"/>
          <w:szCs w:val="18"/>
          <w:u w:val="single" w:color="auto"/>
          <w:color w:val="0000FF"/>
        </w:rPr>
        <w:t xml:space="preserve"> </w:t>
      </w:r>
      <w:hyperlink r:id="rId209">
        <w:r>
          <w:rPr>
            <w:rFonts w:ascii="Arial" w:cs="Arial" w:eastAsia="Arial" w:hAnsi="Arial"/>
            <w:sz w:val="18"/>
            <w:szCs w:val="18"/>
            <w:u w:val="single" w:color="auto"/>
            <w:color w:val="0000FF"/>
          </w:rPr>
          <w:t>American Airlines, Inc., and Wilmington Trust Company, as Loan Trustee) (incorporated by reference to Exhibit B to Exhibit 4.4 to</w:t>
        </w:r>
      </w:hyperlink>
      <w:r>
        <w:rPr>
          <w:rFonts w:ascii="Arial" w:cs="Arial" w:eastAsia="Arial" w:hAnsi="Arial"/>
          <w:sz w:val="18"/>
          <w:szCs w:val="18"/>
          <w:u w:val="single" w:color="auto"/>
          <w:color w:val="0000FF"/>
        </w:rPr>
        <w:t xml:space="preserve"> </w:t>
      </w:r>
      <w:hyperlink r:id="rId209">
        <w:r>
          <w:rPr>
            <w:rFonts w:ascii="Arial" w:cs="Arial" w:eastAsia="Arial" w:hAnsi="Arial"/>
            <w:sz w:val="18"/>
            <w:szCs w:val="18"/>
            <w:u w:val="single" w:color="auto"/>
            <w:color w:val="0000FF"/>
          </w:rPr>
          <w:t>American’s Current Report on Form 8-K filed on October 5, 2017 (Commission File No. 1-2691)).</w:t>
        </w:r>
      </w:hyperlink>
    </w:p>
    <w:p>
      <w:pPr>
        <w:spacing w:after="0" w:line="41" w:lineRule="exact"/>
        <w:rPr>
          <w:rFonts w:ascii="Arial" w:cs="Arial" w:eastAsia="Arial" w:hAnsi="Arial"/>
          <w:sz w:val="18"/>
          <w:szCs w:val="18"/>
          <w:u w:val="single" w:color="auto"/>
          <w:color w:val="0000FF"/>
        </w:rPr>
      </w:pPr>
    </w:p>
    <w:p>
      <w:pPr>
        <w:jc w:val="both"/>
        <w:ind w:left="920" w:right="20" w:hanging="917"/>
        <w:spacing w:after="0" w:line="246" w:lineRule="auto"/>
        <w:tabs>
          <w:tab w:leader="none" w:pos="900" w:val="left"/>
        </w:tabs>
        <w:rPr>
          <w:rFonts w:ascii="Arial" w:cs="Arial" w:eastAsia="Arial" w:hAnsi="Arial"/>
          <w:sz w:val="18"/>
          <w:szCs w:val="18"/>
          <w:u w:val="single" w:color="auto"/>
          <w:color w:val="0000FF"/>
        </w:rPr>
      </w:pPr>
      <w:r>
        <w:rPr>
          <w:rFonts w:ascii="Arial" w:cs="Arial" w:eastAsia="Arial" w:hAnsi="Arial"/>
          <w:sz w:val="18"/>
          <w:szCs w:val="18"/>
          <w:color w:val="auto"/>
        </w:rPr>
        <w:t>4.152</w:t>
      </w:r>
      <w:r>
        <w:rPr>
          <w:sz w:val="20"/>
          <w:szCs w:val="20"/>
          <w:color w:val="auto"/>
        </w:rPr>
        <w:tab/>
      </w:r>
      <w:hyperlink r:id="rId208">
        <w:r>
          <w:rPr>
            <w:rFonts w:ascii="Arial" w:cs="Arial" w:eastAsia="Arial" w:hAnsi="Arial"/>
            <w:sz w:val="18"/>
            <w:szCs w:val="18"/>
            <w:u w:val="single" w:color="auto"/>
            <w:color w:val="0000FF"/>
          </w:rPr>
          <w:t>Form of Pass Through Trust Certificate, Series 2016-3B (incorporated by reference to Exhibit A to Exhibit 4.2 to American’s</w:t>
        </w:r>
      </w:hyperlink>
      <w:r>
        <w:rPr>
          <w:rFonts w:ascii="Arial" w:cs="Arial" w:eastAsia="Arial" w:hAnsi="Arial"/>
          <w:sz w:val="18"/>
          <w:szCs w:val="18"/>
          <w:u w:val="single" w:color="auto"/>
          <w:color w:val="0000FF"/>
        </w:rPr>
        <w:t xml:space="preserve"> </w:t>
      </w:r>
      <w:hyperlink r:id="rId208">
        <w:r>
          <w:rPr>
            <w:rFonts w:ascii="Arial" w:cs="Arial" w:eastAsia="Arial" w:hAnsi="Arial"/>
            <w:sz w:val="18"/>
            <w:szCs w:val="18"/>
            <w:u w:val="single" w:color="auto"/>
            <w:color w:val="0000FF"/>
          </w:rPr>
          <w:t>Current Report on Form 8-K filed on October 5, 2017 (Commission File No. 1-2691)).</w:t>
        </w:r>
      </w:hyperlink>
    </w:p>
    <w:p>
      <w:pPr>
        <w:spacing w:after="0" w:line="35" w:lineRule="exact"/>
        <w:rPr>
          <w:sz w:val="20"/>
          <w:szCs w:val="20"/>
          <w:color w:val="auto"/>
        </w:rPr>
      </w:pPr>
    </w:p>
    <w:p>
      <w:pPr>
        <w:jc w:val="both"/>
        <w:ind w:left="920" w:right="20" w:hanging="917"/>
        <w:spacing w:after="0" w:line="239" w:lineRule="auto"/>
        <w:tabs>
          <w:tab w:leader="none" w:pos="900" w:val="left"/>
        </w:tabs>
        <w:rPr>
          <w:rFonts w:ascii="Arial" w:cs="Arial" w:eastAsia="Arial" w:hAnsi="Arial"/>
          <w:sz w:val="18"/>
          <w:szCs w:val="18"/>
          <w:u w:val="single" w:color="auto"/>
          <w:color w:val="0000FF"/>
        </w:rPr>
      </w:pPr>
      <w:r>
        <w:rPr>
          <w:rFonts w:ascii="Arial" w:cs="Arial" w:eastAsia="Arial" w:hAnsi="Arial"/>
          <w:sz w:val="18"/>
          <w:szCs w:val="18"/>
          <w:color w:val="auto"/>
        </w:rPr>
        <w:t>4.153</w:t>
      </w:r>
      <w:r>
        <w:rPr>
          <w:sz w:val="20"/>
          <w:szCs w:val="20"/>
          <w:color w:val="auto"/>
        </w:rPr>
        <w:tab/>
      </w:r>
      <w:hyperlink r:id="rId211">
        <w:r>
          <w:rPr>
            <w:rFonts w:ascii="Arial" w:cs="Arial" w:eastAsia="Arial" w:hAnsi="Arial"/>
            <w:sz w:val="18"/>
            <w:szCs w:val="18"/>
            <w:u w:val="single" w:color="auto"/>
            <w:color w:val="0000FF"/>
          </w:rPr>
          <w:t>Revolving Credit Agreement (2016-3B), dated as of October 4, 2017, between Wilmington Trust Company, as Subordination Agent,</w:t>
        </w:r>
      </w:hyperlink>
      <w:r>
        <w:rPr>
          <w:rFonts w:ascii="Arial" w:cs="Arial" w:eastAsia="Arial" w:hAnsi="Arial"/>
          <w:sz w:val="18"/>
          <w:szCs w:val="18"/>
          <w:u w:val="single" w:color="auto"/>
          <w:color w:val="0000FF"/>
        </w:rPr>
        <w:t xml:space="preserve"> </w:t>
      </w:r>
      <w:hyperlink r:id="rId211">
        <w:r>
          <w:rPr>
            <w:rFonts w:ascii="Arial" w:cs="Arial" w:eastAsia="Arial" w:hAnsi="Arial"/>
            <w:sz w:val="18"/>
            <w:szCs w:val="18"/>
            <w:u w:val="single" w:color="auto"/>
            <w:color w:val="0000FF"/>
          </w:rPr>
          <w:t>as agent and trustee for the trustee of the American Airlines Pass Through Trust 2016-3B, as Borrower, and KfW IPEX-Bank</w:t>
        </w:r>
      </w:hyperlink>
      <w:r>
        <w:rPr>
          <w:rFonts w:ascii="Arial" w:cs="Arial" w:eastAsia="Arial" w:hAnsi="Arial"/>
          <w:sz w:val="18"/>
          <w:szCs w:val="18"/>
          <w:u w:val="single" w:color="auto"/>
          <w:color w:val="0000FF"/>
        </w:rPr>
        <w:t xml:space="preserve"> </w:t>
      </w:r>
      <w:hyperlink r:id="rId211">
        <w:r>
          <w:rPr>
            <w:rFonts w:ascii="Arial" w:cs="Arial" w:eastAsia="Arial" w:hAnsi="Arial"/>
            <w:sz w:val="18"/>
            <w:szCs w:val="18"/>
            <w:u w:val="single" w:color="auto"/>
            <w:color w:val="0000FF"/>
          </w:rPr>
          <w:t>GmbH, as Liquidity Provider 3B (incorporated by reference to Exhibit 4.8 to American’s Current Report on Form 8-K filed on</w:t>
        </w:r>
      </w:hyperlink>
      <w:r>
        <w:rPr>
          <w:rFonts w:ascii="Arial" w:cs="Arial" w:eastAsia="Arial" w:hAnsi="Arial"/>
          <w:sz w:val="18"/>
          <w:szCs w:val="18"/>
          <w:u w:val="single" w:color="auto"/>
          <w:color w:val="0000FF"/>
        </w:rPr>
        <w:t xml:space="preserve"> </w:t>
      </w:r>
      <w:hyperlink r:id="rId211">
        <w:r>
          <w:rPr>
            <w:rFonts w:ascii="Arial" w:cs="Arial" w:eastAsia="Arial" w:hAnsi="Arial"/>
            <w:sz w:val="18"/>
            <w:szCs w:val="18"/>
            <w:u w:val="single" w:color="auto"/>
            <w:color w:val="0000FF"/>
          </w:rPr>
          <w:t>October 5, 2017 (Commission File No. 1-2691)).</w:t>
        </w:r>
      </w:hyperlink>
    </w:p>
    <w:p>
      <w:pPr>
        <w:spacing w:after="0" w:line="40" w:lineRule="exact"/>
        <w:rPr>
          <w:rFonts w:ascii="Arial" w:cs="Arial" w:eastAsia="Arial" w:hAnsi="Arial"/>
          <w:sz w:val="18"/>
          <w:szCs w:val="18"/>
          <w:u w:val="single" w:color="auto"/>
          <w:color w:val="0000FF"/>
        </w:rPr>
      </w:pPr>
    </w:p>
    <w:p>
      <w:pPr>
        <w:jc w:val="both"/>
        <w:ind w:left="920" w:right="20" w:hanging="917"/>
        <w:spacing w:after="0"/>
        <w:tabs>
          <w:tab w:leader="none" w:pos="900" w:val="left"/>
        </w:tabs>
        <w:rPr>
          <w:rFonts w:ascii="Arial" w:cs="Arial" w:eastAsia="Arial" w:hAnsi="Arial"/>
          <w:sz w:val="18"/>
          <w:szCs w:val="18"/>
          <w:u w:val="single" w:color="auto"/>
          <w:color w:val="0000FF"/>
        </w:rPr>
      </w:pPr>
      <w:r>
        <w:rPr>
          <w:rFonts w:ascii="Arial" w:cs="Arial" w:eastAsia="Arial" w:hAnsi="Arial"/>
          <w:sz w:val="18"/>
          <w:szCs w:val="18"/>
          <w:color w:val="auto"/>
        </w:rPr>
        <w:t>4.154</w:t>
      </w:r>
      <w:r>
        <w:rPr>
          <w:sz w:val="20"/>
          <w:szCs w:val="20"/>
          <w:color w:val="auto"/>
        </w:rPr>
        <w:tab/>
      </w:r>
      <w:hyperlink r:id="rId212">
        <w:r>
          <w:rPr>
            <w:rFonts w:ascii="Arial" w:cs="Arial" w:eastAsia="Arial" w:hAnsi="Arial"/>
            <w:sz w:val="18"/>
            <w:szCs w:val="18"/>
            <w:u w:val="single" w:color="auto"/>
            <w:color w:val="0000FF"/>
          </w:rPr>
          <w:t>Trust Supplement No. 2017-2B, dated as of October 5, 2017, between American Airlines, Inc. and Wilmington Trust Company, as</w:t>
        </w:r>
      </w:hyperlink>
      <w:r>
        <w:rPr>
          <w:rFonts w:ascii="Arial" w:cs="Arial" w:eastAsia="Arial" w:hAnsi="Arial"/>
          <w:sz w:val="18"/>
          <w:szCs w:val="18"/>
          <w:u w:val="single" w:color="auto"/>
          <w:color w:val="0000FF"/>
        </w:rPr>
        <w:t xml:space="preserve"> </w:t>
      </w:r>
      <w:hyperlink r:id="rId212">
        <w:r>
          <w:rPr>
            <w:rFonts w:ascii="Arial" w:cs="Arial" w:eastAsia="Arial" w:hAnsi="Arial"/>
            <w:sz w:val="18"/>
            <w:szCs w:val="18"/>
            <w:u w:val="single" w:color="auto"/>
            <w:color w:val="0000FF"/>
          </w:rPr>
          <w:t>Trustee, to the Pass Through Trust Agreement, dated as of September 16, 2014 (incorporated by reference to Exhibit 4.2 to</w:t>
        </w:r>
      </w:hyperlink>
      <w:r>
        <w:rPr>
          <w:rFonts w:ascii="Arial" w:cs="Arial" w:eastAsia="Arial" w:hAnsi="Arial"/>
          <w:sz w:val="18"/>
          <w:szCs w:val="18"/>
          <w:u w:val="single" w:color="auto"/>
          <w:color w:val="0000FF"/>
        </w:rPr>
        <w:t xml:space="preserve"> </w:t>
      </w:r>
      <w:hyperlink r:id="rId212">
        <w:r>
          <w:rPr>
            <w:rFonts w:ascii="Arial" w:cs="Arial" w:eastAsia="Arial" w:hAnsi="Arial"/>
            <w:sz w:val="18"/>
            <w:szCs w:val="18"/>
            <w:u w:val="single" w:color="auto"/>
            <w:color w:val="0000FF"/>
          </w:rPr>
          <w:t>American’s Current Report on Form 8-K filed on October 6, 2017 (Commission File No. 1-2691)).</w:t>
        </w:r>
      </w:hyperlink>
    </w:p>
    <w:p>
      <w:pPr>
        <w:spacing w:after="0" w:line="230" w:lineRule="exact"/>
        <w:rPr>
          <w:rFonts w:ascii="Arial" w:cs="Arial" w:eastAsia="Arial" w:hAnsi="Arial"/>
          <w:sz w:val="18"/>
          <w:szCs w:val="18"/>
          <w:u w:val="single" w:color="auto"/>
          <w:color w:val="0000FF"/>
        </w:rPr>
      </w:pPr>
    </w:p>
    <w:p>
      <w:pPr>
        <w:jc w:val="center"/>
        <w:spacing w:after="0"/>
        <w:rPr>
          <w:sz w:val="20"/>
          <w:szCs w:val="20"/>
          <w:color w:val="auto"/>
        </w:rPr>
      </w:pPr>
      <w:r>
        <w:rPr>
          <w:rFonts w:ascii="Arial" w:cs="Arial" w:eastAsia="Arial" w:hAnsi="Arial"/>
          <w:sz w:val="18"/>
          <w:szCs w:val="18"/>
          <w:color w:val="auto"/>
        </w:rPr>
        <w:t>174</w:t>
      </w:r>
    </w:p>
    <w:p>
      <w:pPr>
        <w:sectPr>
          <w:pgSz w:w="11900" w:h="16838" w:orient="portrait"/>
          <w:cols w:equalWidth="0" w:num="1">
            <w:col w:w="11360"/>
          </w:cols>
          <w:pgMar w:left="280" w:top="721" w:right="259" w:bottom="1440" w:gutter="0" w:footer="0" w:header="0"/>
        </w:sectPr>
      </w:pPr>
    </w:p>
    <w:bookmarkStart w:id="174" w:name="page175"/>
    <w:bookmarkEnd w:id="174"/>
    <w:p>
      <w:pPr>
        <w:spacing w:after="0"/>
        <w:rPr>
          <w:sz w:val="20"/>
          <w:szCs w:val="20"/>
          <w:color w:val="auto"/>
        </w:rPr>
      </w:pPr>
      <w:r>
        <w:rPr>
          <w:rFonts w:ascii="Arial" w:cs="Arial" w:eastAsia="Arial" w:hAnsi="Arial"/>
          <w:sz w:val="14"/>
          <w:szCs w:val="14"/>
          <w:b w:val="1"/>
          <w:bCs w:val="1"/>
          <w:color w:val="auto"/>
        </w:rPr>
        <w:t>Exhibit</w:t>
      </w:r>
    </w:p>
    <w:p>
      <w:pPr>
        <w:spacing w:after="0" w:line="19" w:lineRule="exact"/>
        <w:rPr>
          <w:sz w:val="20"/>
          <w:szCs w:val="20"/>
          <w:color w:val="auto"/>
        </w:rPr>
      </w:pPr>
    </w:p>
    <w:p>
      <w:pPr>
        <w:spacing w:after="0"/>
        <w:tabs>
          <w:tab w:leader="none" w:pos="900" w:val="left"/>
        </w:tabs>
        <w:rPr>
          <w:sz w:val="20"/>
          <w:szCs w:val="20"/>
          <w:color w:val="auto"/>
        </w:rPr>
      </w:pPr>
      <w:r>
        <w:rPr>
          <w:rFonts w:ascii="Arial" w:cs="Arial" w:eastAsia="Arial" w:hAnsi="Arial"/>
          <w:sz w:val="14"/>
          <w:szCs w:val="14"/>
          <w:b w:val="1"/>
          <w:bCs w:val="1"/>
          <w:u w:val="single" w:color="auto"/>
          <w:color w:val="auto"/>
        </w:rPr>
        <w:t>Number</w:t>
      </w:r>
      <w:r>
        <w:rPr>
          <w:sz w:val="20"/>
          <w:szCs w:val="20"/>
          <w:color w:val="auto"/>
        </w:rPr>
        <w:tab/>
      </w:r>
      <w:r>
        <w:rPr>
          <w:rFonts w:ascii="Arial" w:cs="Arial" w:eastAsia="Arial" w:hAnsi="Arial"/>
          <w:sz w:val="14"/>
          <w:szCs w:val="14"/>
          <w:b w:val="1"/>
          <w:bCs w:val="1"/>
          <w:u w:val="single" w:color="auto"/>
          <w:color w:val="auto"/>
        </w:rPr>
        <w:t>Description</w:t>
      </w:r>
    </w:p>
    <w:p>
      <w:pPr>
        <w:spacing w:after="0" w:line="49" w:lineRule="exact"/>
        <w:rPr>
          <w:sz w:val="20"/>
          <w:szCs w:val="20"/>
          <w:color w:val="auto"/>
        </w:rPr>
      </w:pPr>
    </w:p>
    <w:p>
      <w:pPr>
        <w:jc w:val="both"/>
        <w:ind w:left="920" w:right="20" w:hanging="917"/>
        <w:spacing w:after="0" w:line="237" w:lineRule="auto"/>
        <w:tabs>
          <w:tab w:leader="none" w:pos="900" w:val="left"/>
        </w:tabs>
        <w:rPr>
          <w:rFonts w:ascii="Arial" w:cs="Arial" w:eastAsia="Arial" w:hAnsi="Arial"/>
          <w:sz w:val="18"/>
          <w:szCs w:val="18"/>
          <w:u w:val="single" w:color="auto"/>
          <w:color w:val="0000FF"/>
        </w:rPr>
      </w:pPr>
      <w:r>
        <w:rPr>
          <w:rFonts w:ascii="Arial" w:cs="Arial" w:eastAsia="Arial" w:hAnsi="Arial"/>
          <w:sz w:val="18"/>
          <w:szCs w:val="18"/>
          <w:color w:val="auto"/>
        </w:rPr>
        <w:t>4.155</w:t>
      </w:r>
      <w:r>
        <w:rPr>
          <w:sz w:val="20"/>
          <w:szCs w:val="20"/>
          <w:color w:val="auto"/>
        </w:rPr>
        <w:tab/>
      </w:r>
      <w:hyperlink r:id="rId213">
        <w:r>
          <w:rPr>
            <w:rFonts w:ascii="Arial" w:cs="Arial" w:eastAsia="Arial" w:hAnsi="Arial"/>
            <w:sz w:val="18"/>
            <w:szCs w:val="18"/>
            <w:u w:val="single" w:color="auto"/>
            <w:color w:val="0000FF"/>
          </w:rPr>
          <w:t>Amended and Restated Intercreditor Agreement (2017-2), dated as of October 5, 2017, among Wilmington Trust Company, as</w:t>
        </w:r>
      </w:hyperlink>
      <w:r>
        <w:rPr>
          <w:rFonts w:ascii="Arial" w:cs="Arial" w:eastAsia="Arial" w:hAnsi="Arial"/>
          <w:sz w:val="18"/>
          <w:szCs w:val="18"/>
          <w:u w:val="single" w:color="auto"/>
          <w:color w:val="0000FF"/>
        </w:rPr>
        <w:t xml:space="preserve"> </w:t>
      </w:r>
      <w:hyperlink r:id="rId213">
        <w:r>
          <w:rPr>
            <w:rFonts w:ascii="Arial" w:cs="Arial" w:eastAsia="Arial" w:hAnsi="Arial"/>
            <w:sz w:val="18"/>
            <w:szCs w:val="18"/>
            <w:u w:val="single" w:color="auto"/>
            <w:color w:val="0000FF"/>
          </w:rPr>
          <w:t>Trustee of the American Airlines Pass Through Trust 2017-2AA, as Trustee of the American Airlines Pass Through Trust 2017-2A</w:t>
        </w:r>
      </w:hyperlink>
      <w:r>
        <w:rPr>
          <w:rFonts w:ascii="Arial" w:cs="Arial" w:eastAsia="Arial" w:hAnsi="Arial"/>
          <w:sz w:val="18"/>
          <w:szCs w:val="18"/>
          <w:u w:val="single" w:color="auto"/>
          <w:color w:val="0000FF"/>
        </w:rPr>
        <w:t xml:space="preserve"> </w:t>
      </w:r>
      <w:hyperlink r:id="rId213">
        <w:r>
          <w:rPr>
            <w:rFonts w:ascii="Arial" w:cs="Arial" w:eastAsia="Arial" w:hAnsi="Arial"/>
            <w:sz w:val="18"/>
            <w:szCs w:val="18"/>
            <w:u w:val="single" w:color="auto"/>
            <w:color w:val="0000FF"/>
          </w:rPr>
          <w:t>and as Trustee of the American Airlines Pass Through Trust 2017-2B, National Australia Bank Limited, as Class AA Liquidity</w:t>
        </w:r>
      </w:hyperlink>
      <w:r>
        <w:rPr>
          <w:rFonts w:ascii="Arial" w:cs="Arial" w:eastAsia="Arial" w:hAnsi="Arial"/>
          <w:sz w:val="18"/>
          <w:szCs w:val="18"/>
          <w:u w:val="single" w:color="auto"/>
          <w:color w:val="0000FF"/>
        </w:rPr>
        <w:t xml:space="preserve"> </w:t>
      </w:r>
      <w:hyperlink r:id="rId213">
        <w:r>
          <w:rPr>
            <w:rFonts w:ascii="Arial" w:cs="Arial" w:eastAsia="Arial" w:hAnsi="Arial"/>
            <w:sz w:val="18"/>
            <w:szCs w:val="18"/>
            <w:u w:val="single" w:color="auto"/>
            <w:color w:val="0000FF"/>
          </w:rPr>
          <w:t>Provider, Class A Liquidity Provider and Class B Liquidity Provider, and Wilmington Trust Company, as Subordination Agent</w:t>
        </w:r>
      </w:hyperlink>
      <w:r>
        <w:rPr>
          <w:rFonts w:ascii="Arial" w:cs="Arial" w:eastAsia="Arial" w:hAnsi="Arial"/>
          <w:sz w:val="18"/>
          <w:szCs w:val="18"/>
          <w:u w:val="single" w:color="auto"/>
          <w:color w:val="0000FF"/>
        </w:rPr>
        <w:t xml:space="preserve"> </w:t>
      </w:r>
      <w:hyperlink r:id="rId213">
        <w:r>
          <w:rPr>
            <w:rFonts w:ascii="Arial" w:cs="Arial" w:eastAsia="Arial" w:hAnsi="Arial"/>
            <w:sz w:val="18"/>
            <w:szCs w:val="18"/>
            <w:u w:val="single" w:color="auto"/>
            <w:color w:val="0000FF"/>
          </w:rPr>
          <w:t>(incorporated by reference to Exhibit 4.3 to American’s Current Report on Form 8-K filed on October 6, 2017 (Commission File</w:t>
        </w:r>
      </w:hyperlink>
      <w:r>
        <w:rPr>
          <w:rFonts w:ascii="Arial" w:cs="Arial" w:eastAsia="Arial" w:hAnsi="Arial"/>
          <w:sz w:val="18"/>
          <w:szCs w:val="18"/>
          <w:u w:val="single" w:color="auto"/>
          <w:color w:val="0000FF"/>
        </w:rPr>
        <w:t xml:space="preserve"> </w:t>
      </w:r>
      <w:hyperlink r:id="rId213">
        <w:r>
          <w:rPr>
            <w:rFonts w:ascii="Arial" w:cs="Arial" w:eastAsia="Arial" w:hAnsi="Arial"/>
            <w:sz w:val="18"/>
            <w:szCs w:val="18"/>
            <w:u w:val="single" w:color="auto"/>
            <w:color w:val="0000FF"/>
          </w:rPr>
          <w:t>No. 1-2691)).</w:t>
        </w:r>
      </w:hyperlink>
    </w:p>
    <w:p>
      <w:pPr>
        <w:spacing w:after="0" w:line="43" w:lineRule="exact"/>
        <w:rPr>
          <w:rFonts w:ascii="Arial" w:cs="Arial" w:eastAsia="Arial" w:hAnsi="Arial"/>
          <w:sz w:val="18"/>
          <w:szCs w:val="18"/>
          <w:u w:val="single" w:color="auto"/>
          <w:color w:val="0000FF"/>
        </w:rPr>
      </w:pPr>
    </w:p>
    <w:p>
      <w:pPr>
        <w:jc w:val="both"/>
        <w:ind w:left="920" w:hanging="917"/>
        <w:spacing w:after="0" w:line="238" w:lineRule="auto"/>
        <w:tabs>
          <w:tab w:leader="none" w:pos="900" w:val="left"/>
        </w:tabs>
        <w:rPr>
          <w:rFonts w:ascii="Arial" w:cs="Arial" w:eastAsia="Arial" w:hAnsi="Arial"/>
          <w:sz w:val="18"/>
          <w:szCs w:val="18"/>
          <w:u w:val="single" w:color="auto"/>
          <w:color w:val="0000FF"/>
        </w:rPr>
      </w:pPr>
      <w:r>
        <w:rPr>
          <w:rFonts w:ascii="Arial" w:cs="Arial" w:eastAsia="Arial" w:hAnsi="Arial"/>
          <w:sz w:val="18"/>
          <w:szCs w:val="18"/>
          <w:color w:val="auto"/>
        </w:rPr>
        <w:t>4.156</w:t>
      </w:r>
      <w:r>
        <w:rPr>
          <w:sz w:val="20"/>
          <w:szCs w:val="20"/>
          <w:color w:val="auto"/>
        </w:rPr>
        <w:tab/>
      </w:r>
      <w:hyperlink r:id="rId214">
        <w:r>
          <w:rPr>
            <w:rFonts w:ascii="Arial" w:cs="Arial" w:eastAsia="Arial" w:hAnsi="Arial"/>
            <w:sz w:val="18"/>
            <w:szCs w:val="18"/>
            <w:u w:val="single" w:color="auto"/>
            <w:color w:val="0000FF"/>
          </w:rPr>
          <w:t>Amended and Restated Note Purchase Agreement, dated as of October 5, 2017, among American Airlines, Inc., Wilmington Trust</w:t>
        </w:r>
      </w:hyperlink>
      <w:r>
        <w:rPr>
          <w:rFonts w:ascii="Arial" w:cs="Arial" w:eastAsia="Arial" w:hAnsi="Arial"/>
          <w:sz w:val="18"/>
          <w:szCs w:val="18"/>
          <w:u w:val="single" w:color="auto"/>
          <w:color w:val="0000FF"/>
        </w:rPr>
        <w:t xml:space="preserve"> </w:t>
      </w:r>
      <w:hyperlink r:id="rId214">
        <w:r>
          <w:rPr>
            <w:rFonts w:ascii="Arial" w:cs="Arial" w:eastAsia="Arial" w:hAnsi="Arial"/>
            <w:sz w:val="18"/>
            <w:szCs w:val="18"/>
            <w:u w:val="single" w:color="auto"/>
            <w:color w:val="0000FF"/>
          </w:rPr>
          <w:t>Company, as Pass Through Trustee under each of the Pass Through Trust Agreements, Wilmington Trust Company, as</w:t>
        </w:r>
      </w:hyperlink>
      <w:r>
        <w:rPr>
          <w:rFonts w:ascii="Arial" w:cs="Arial" w:eastAsia="Arial" w:hAnsi="Arial"/>
          <w:sz w:val="18"/>
          <w:szCs w:val="18"/>
          <w:u w:val="single" w:color="auto"/>
          <w:color w:val="0000FF"/>
        </w:rPr>
        <w:t xml:space="preserve"> </w:t>
      </w:r>
      <w:hyperlink r:id="rId214">
        <w:r>
          <w:rPr>
            <w:rFonts w:ascii="Arial" w:cs="Arial" w:eastAsia="Arial" w:hAnsi="Arial"/>
            <w:sz w:val="18"/>
            <w:szCs w:val="18"/>
            <w:u w:val="single" w:color="auto"/>
            <w:color w:val="0000FF"/>
          </w:rPr>
          <w:t>Subordination Agent, Wilmington Trust, National Association, as Escrow Agent, and Wilmington Trust Company, as Paying Agent</w:t>
        </w:r>
      </w:hyperlink>
      <w:r>
        <w:rPr>
          <w:rFonts w:ascii="Arial" w:cs="Arial" w:eastAsia="Arial" w:hAnsi="Arial"/>
          <w:sz w:val="18"/>
          <w:szCs w:val="18"/>
          <w:u w:val="single" w:color="auto"/>
          <w:color w:val="0000FF"/>
        </w:rPr>
        <w:t xml:space="preserve"> </w:t>
      </w:r>
      <w:hyperlink r:id="rId214">
        <w:r>
          <w:rPr>
            <w:rFonts w:ascii="Arial" w:cs="Arial" w:eastAsia="Arial" w:hAnsi="Arial"/>
            <w:sz w:val="18"/>
            <w:szCs w:val="18"/>
            <w:u w:val="single" w:color="auto"/>
            <w:color w:val="0000FF"/>
          </w:rPr>
          <w:t>(incorporated by reference to Exhibit 4.6 to American’s Current Report on Form 8-K filed on October 6, 2017 (Commission File</w:t>
        </w:r>
      </w:hyperlink>
      <w:r>
        <w:rPr>
          <w:rFonts w:ascii="Arial" w:cs="Arial" w:eastAsia="Arial" w:hAnsi="Arial"/>
          <w:sz w:val="18"/>
          <w:szCs w:val="18"/>
          <w:u w:val="single" w:color="auto"/>
          <w:color w:val="0000FF"/>
        </w:rPr>
        <w:t xml:space="preserve"> </w:t>
      </w:r>
      <w:hyperlink r:id="rId214">
        <w:r>
          <w:rPr>
            <w:rFonts w:ascii="Arial" w:cs="Arial" w:eastAsia="Arial" w:hAnsi="Arial"/>
            <w:sz w:val="18"/>
            <w:szCs w:val="18"/>
            <w:u w:val="single" w:color="auto"/>
            <w:color w:val="0000FF"/>
          </w:rPr>
          <w:t>No. 1-2691)).</w:t>
        </w:r>
      </w:hyperlink>
    </w:p>
    <w:p>
      <w:pPr>
        <w:spacing w:after="0" w:line="41" w:lineRule="exact"/>
        <w:rPr>
          <w:rFonts w:ascii="Arial" w:cs="Arial" w:eastAsia="Arial" w:hAnsi="Arial"/>
          <w:sz w:val="18"/>
          <w:szCs w:val="18"/>
          <w:u w:val="single" w:color="auto"/>
          <w:color w:val="0000FF"/>
        </w:rPr>
      </w:pPr>
    </w:p>
    <w:p>
      <w:pPr>
        <w:jc w:val="both"/>
        <w:ind w:left="920" w:hanging="917"/>
        <w:spacing w:after="0" w:line="238" w:lineRule="auto"/>
        <w:tabs>
          <w:tab w:leader="none" w:pos="900" w:val="left"/>
        </w:tabs>
        <w:rPr>
          <w:rFonts w:ascii="Arial" w:cs="Arial" w:eastAsia="Arial" w:hAnsi="Arial"/>
          <w:sz w:val="18"/>
          <w:szCs w:val="18"/>
          <w:u w:val="single" w:color="auto"/>
          <w:color w:val="0000FF"/>
        </w:rPr>
      </w:pPr>
      <w:r>
        <w:rPr>
          <w:rFonts w:ascii="Arial" w:cs="Arial" w:eastAsia="Arial" w:hAnsi="Arial"/>
          <w:sz w:val="18"/>
          <w:szCs w:val="18"/>
          <w:color w:val="auto"/>
        </w:rPr>
        <w:t>4.157</w:t>
      </w:r>
      <w:r>
        <w:rPr>
          <w:sz w:val="20"/>
          <w:szCs w:val="20"/>
          <w:color w:val="auto"/>
        </w:rPr>
        <w:tab/>
      </w:r>
      <w:hyperlink r:id="rId215">
        <w:r>
          <w:rPr>
            <w:rFonts w:ascii="Arial" w:cs="Arial" w:eastAsia="Arial" w:hAnsi="Arial"/>
            <w:sz w:val="18"/>
            <w:szCs w:val="18"/>
            <w:u w:val="single" w:color="auto"/>
            <w:color w:val="0000FF"/>
          </w:rPr>
          <w:t>Form of Participation Agreement (Participation Agreement among American Airlines, Inc., Wilmington Trust Company, as Pass</w:t>
        </w:r>
      </w:hyperlink>
      <w:r>
        <w:rPr>
          <w:rFonts w:ascii="Arial" w:cs="Arial" w:eastAsia="Arial" w:hAnsi="Arial"/>
          <w:sz w:val="18"/>
          <w:szCs w:val="18"/>
          <w:u w:val="single" w:color="auto"/>
          <w:color w:val="0000FF"/>
        </w:rPr>
        <w:t xml:space="preserve"> </w:t>
      </w:r>
      <w:hyperlink r:id="rId215">
        <w:r>
          <w:rPr>
            <w:rFonts w:ascii="Arial" w:cs="Arial" w:eastAsia="Arial" w:hAnsi="Arial"/>
            <w:sz w:val="18"/>
            <w:szCs w:val="18"/>
            <w:u w:val="single" w:color="auto"/>
            <w:color w:val="0000FF"/>
          </w:rPr>
          <w:t>Through Trustee under each of the Pass Through Trust Agreements, Wilmington Trust Company, as Subordination Agent,</w:t>
        </w:r>
      </w:hyperlink>
      <w:r>
        <w:rPr>
          <w:rFonts w:ascii="Arial" w:cs="Arial" w:eastAsia="Arial" w:hAnsi="Arial"/>
          <w:sz w:val="18"/>
          <w:szCs w:val="18"/>
          <w:u w:val="single" w:color="auto"/>
          <w:color w:val="0000FF"/>
        </w:rPr>
        <w:t xml:space="preserve"> </w:t>
      </w:r>
      <w:hyperlink r:id="rId215">
        <w:r>
          <w:rPr>
            <w:rFonts w:ascii="Arial" w:cs="Arial" w:eastAsia="Arial" w:hAnsi="Arial"/>
            <w:sz w:val="18"/>
            <w:szCs w:val="18"/>
            <w:u w:val="single" w:color="auto"/>
            <w:color w:val="0000FF"/>
          </w:rPr>
          <w:t>Wilmington Trust Company, as Loan Trustee, and Wilmington Trust Company, in its individual capacity as set forth therein)</w:t>
        </w:r>
      </w:hyperlink>
      <w:r>
        <w:rPr>
          <w:rFonts w:ascii="Arial" w:cs="Arial" w:eastAsia="Arial" w:hAnsi="Arial"/>
          <w:sz w:val="18"/>
          <w:szCs w:val="18"/>
          <w:u w:val="single" w:color="auto"/>
          <w:color w:val="0000FF"/>
        </w:rPr>
        <w:t xml:space="preserve"> </w:t>
      </w:r>
      <w:hyperlink r:id="rId215">
        <w:r>
          <w:rPr>
            <w:rFonts w:ascii="Arial" w:cs="Arial" w:eastAsia="Arial" w:hAnsi="Arial"/>
            <w:sz w:val="18"/>
            <w:szCs w:val="18"/>
            <w:u w:val="single" w:color="auto"/>
            <w:color w:val="0000FF"/>
          </w:rPr>
          <w:t>(incorporated by reference to Exhibit B to Exhibit 4.6 to American’s Current Report on Form 8-K filed on October 6, 2017</w:t>
        </w:r>
      </w:hyperlink>
      <w:r>
        <w:rPr>
          <w:rFonts w:ascii="Arial" w:cs="Arial" w:eastAsia="Arial" w:hAnsi="Arial"/>
          <w:sz w:val="18"/>
          <w:szCs w:val="18"/>
          <w:u w:val="single" w:color="auto"/>
          <w:color w:val="0000FF"/>
        </w:rPr>
        <w:t xml:space="preserve"> </w:t>
      </w:r>
      <w:hyperlink r:id="rId215">
        <w:r>
          <w:rPr>
            <w:rFonts w:ascii="Arial" w:cs="Arial" w:eastAsia="Arial" w:hAnsi="Arial"/>
            <w:sz w:val="18"/>
            <w:szCs w:val="18"/>
            <w:u w:val="single" w:color="auto"/>
            <w:color w:val="0000FF"/>
          </w:rPr>
          <w:t>(Commission File No. 1-2691)).</w:t>
        </w:r>
      </w:hyperlink>
    </w:p>
    <w:p>
      <w:pPr>
        <w:spacing w:after="0" w:line="41" w:lineRule="exact"/>
        <w:rPr>
          <w:rFonts w:ascii="Arial" w:cs="Arial" w:eastAsia="Arial" w:hAnsi="Arial"/>
          <w:sz w:val="18"/>
          <w:szCs w:val="18"/>
          <w:u w:val="single" w:color="auto"/>
          <w:color w:val="0000FF"/>
        </w:rPr>
      </w:pPr>
    </w:p>
    <w:p>
      <w:pPr>
        <w:jc w:val="both"/>
        <w:ind w:left="920" w:hanging="917"/>
        <w:spacing w:after="0" w:line="238" w:lineRule="auto"/>
        <w:tabs>
          <w:tab w:leader="none" w:pos="900" w:val="left"/>
        </w:tabs>
        <w:rPr>
          <w:rFonts w:ascii="Arial" w:cs="Arial" w:eastAsia="Arial" w:hAnsi="Arial"/>
          <w:sz w:val="18"/>
          <w:szCs w:val="18"/>
          <w:u w:val="single" w:color="auto"/>
          <w:color w:val="0000FF"/>
        </w:rPr>
      </w:pPr>
      <w:r>
        <w:rPr>
          <w:rFonts w:ascii="Arial" w:cs="Arial" w:eastAsia="Arial" w:hAnsi="Arial"/>
          <w:sz w:val="18"/>
          <w:szCs w:val="18"/>
          <w:color w:val="auto"/>
        </w:rPr>
        <w:t>4.158</w:t>
      </w:r>
      <w:r>
        <w:rPr>
          <w:sz w:val="20"/>
          <w:szCs w:val="20"/>
          <w:color w:val="auto"/>
        </w:rPr>
        <w:tab/>
      </w:r>
      <w:hyperlink r:id="rId216">
        <w:r>
          <w:rPr>
            <w:rFonts w:ascii="Arial" w:cs="Arial" w:eastAsia="Arial" w:hAnsi="Arial"/>
            <w:sz w:val="18"/>
            <w:szCs w:val="18"/>
            <w:u w:val="single" w:color="auto"/>
            <w:color w:val="0000FF"/>
          </w:rPr>
          <w:t>Form of First Amendment to Participation Agreement (First Amendment to Participation Agreement among American Airlines, Inc.,</w:t>
        </w:r>
      </w:hyperlink>
      <w:r>
        <w:rPr>
          <w:rFonts w:ascii="Arial" w:cs="Arial" w:eastAsia="Arial" w:hAnsi="Arial"/>
          <w:sz w:val="18"/>
          <w:szCs w:val="18"/>
          <w:u w:val="single" w:color="auto"/>
          <w:color w:val="0000FF"/>
        </w:rPr>
        <w:t xml:space="preserve"> </w:t>
      </w:r>
      <w:hyperlink r:id="rId216">
        <w:r>
          <w:rPr>
            <w:rFonts w:ascii="Arial" w:cs="Arial" w:eastAsia="Arial" w:hAnsi="Arial"/>
            <w:sz w:val="18"/>
            <w:szCs w:val="18"/>
            <w:u w:val="single" w:color="auto"/>
            <w:color w:val="0000FF"/>
          </w:rPr>
          <w:t>Wilmington Trust Company, as Pass Through Trustee under each of the Pass Through Trust Agreements, Wilmington Trust</w:t>
        </w:r>
      </w:hyperlink>
      <w:r>
        <w:rPr>
          <w:rFonts w:ascii="Arial" w:cs="Arial" w:eastAsia="Arial" w:hAnsi="Arial"/>
          <w:sz w:val="18"/>
          <w:szCs w:val="18"/>
          <w:u w:val="single" w:color="auto"/>
          <w:color w:val="0000FF"/>
        </w:rPr>
        <w:t xml:space="preserve"> </w:t>
      </w:r>
      <w:hyperlink r:id="rId216">
        <w:r>
          <w:rPr>
            <w:rFonts w:ascii="Arial" w:cs="Arial" w:eastAsia="Arial" w:hAnsi="Arial"/>
            <w:sz w:val="18"/>
            <w:szCs w:val="18"/>
            <w:u w:val="single" w:color="auto"/>
            <w:color w:val="0000FF"/>
          </w:rPr>
          <w:t>Company, as Subordination Agent, Wilmington Trust Company, as Loan Trustee, and Wilmington Trust Company, in its individual</w:t>
        </w:r>
      </w:hyperlink>
      <w:r>
        <w:rPr>
          <w:rFonts w:ascii="Arial" w:cs="Arial" w:eastAsia="Arial" w:hAnsi="Arial"/>
          <w:sz w:val="18"/>
          <w:szCs w:val="18"/>
          <w:u w:val="single" w:color="auto"/>
          <w:color w:val="0000FF"/>
        </w:rPr>
        <w:t xml:space="preserve"> </w:t>
      </w:r>
      <w:hyperlink r:id="rId216">
        <w:r>
          <w:rPr>
            <w:rFonts w:ascii="Arial" w:cs="Arial" w:eastAsia="Arial" w:hAnsi="Arial"/>
            <w:sz w:val="18"/>
            <w:szCs w:val="18"/>
            <w:u w:val="single" w:color="auto"/>
            <w:color w:val="0000FF"/>
          </w:rPr>
          <w:t>capacity as set forth therein) (incorporated by reference to Exhibit D to Exhibit 4.6 to American’s Current Report on Form 8-K filed</w:t>
        </w:r>
      </w:hyperlink>
      <w:r>
        <w:rPr>
          <w:rFonts w:ascii="Arial" w:cs="Arial" w:eastAsia="Arial" w:hAnsi="Arial"/>
          <w:sz w:val="18"/>
          <w:szCs w:val="18"/>
          <w:u w:val="single" w:color="auto"/>
          <w:color w:val="0000FF"/>
        </w:rPr>
        <w:t xml:space="preserve"> </w:t>
      </w:r>
      <w:hyperlink r:id="rId216">
        <w:r>
          <w:rPr>
            <w:rFonts w:ascii="Arial" w:cs="Arial" w:eastAsia="Arial" w:hAnsi="Arial"/>
            <w:sz w:val="18"/>
            <w:szCs w:val="18"/>
            <w:u w:val="single" w:color="auto"/>
            <w:color w:val="0000FF"/>
          </w:rPr>
          <w:t>on October 6, 2017 (Commission File No. 1-2691)).</w:t>
        </w:r>
      </w:hyperlink>
    </w:p>
    <w:p>
      <w:pPr>
        <w:spacing w:after="0" w:line="41" w:lineRule="exact"/>
        <w:rPr>
          <w:rFonts w:ascii="Arial" w:cs="Arial" w:eastAsia="Arial" w:hAnsi="Arial"/>
          <w:sz w:val="18"/>
          <w:szCs w:val="18"/>
          <w:u w:val="single" w:color="auto"/>
          <w:color w:val="0000FF"/>
        </w:rPr>
      </w:pPr>
    </w:p>
    <w:p>
      <w:pPr>
        <w:jc w:val="both"/>
        <w:ind w:left="920" w:right="20" w:hanging="917"/>
        <w:spacing w:after="0"/>
        <w:tabs>
          <w:tab w:leader="none" w:pos="900" w:val="left"/>
        </w:tabs>
        <w:rPr>
          <w:rFonts w:ascii="Arial" w:cs="Arial" w:eastAsia="Arial" w:hAnsi="Arial"/>
          <w:sz w:val="18"/>
          <w:szCs w:val="18"/>
          <w:u w:val="single" w:color="auto"/>
          <w:color w:val="0000FF"/>
        </w:rPr>
      </w:pPr>
      <w:r>
        <w:rPr>
          <w:rFonts w:ascii="Arial" w:cs="Arial" w:eastAsia="Arial" w:hAnsi="Arial"/>
          <w:sz w:val="18"/>
          <w:szCs w:val="18"/>
          <w:color w:val="auto"/>
        </w:rPr>
        <w:t>4.159</w:t>
      </w:r>
      <w:r>
        <w:rPr>
          <w:sz w:val="20"/>
          <w:szCs w:val="20"/>
          <w:color w:val="auto"/>
        </w:rPr>
        <w:tab/>
      </w:r>
      <w:hyperlink r:id="rId217">
        <w:r>
          <w:rPr>
            <w:rFonts w:ascii="Arial" w:cs="Arial" w:eastAsia="Arial" w:hAnsi="Arial"/>
            <w:sz w:val="18"/>
            <w:szCs w:val="18"/>
            <w:u w:val="single" w:color="auto"/>
            <w:color w:val="0000FF"/>
          </w:rPr>
          <w:t>Form of Indenture and Security Agreement (Indenture and Security Agreement between American Airlines, Inc., and Wilmington</w:t>
        </w:r>
      </w:hyperlink>
      <w:r>
        <w:rPr>
          <w:rFonts w:ascii="Arial" w:cs="Arial" w:eastAsia="Arial" w:hAnsi="Arial"/>
          <w:sz w:val="18"/>
          <w:szCs w:val="18"/>
          <w:u w:val="single" w:color="auto"/>
          <w:color w:val="0000FF"/>
        </w:rPr>
        <w:t xml:space="preserve"> </w:t>
      </w:r>
      <w:hyperlink r:id="rId217">
        <w:r>
          <w:rPr>
            <w:rFonts w:ascii="Arial" w:cs="Arial" w:eastAsia="Arial" w:hAnsi="Arial"/>
            <w:sz w:val="18"/>
            <w:szCs w:val="18"/>
            <w:u w:val="single" w:color="auto"/>
            <w:color w:val="0000FF"/>
          </w:rPr>
          <w:t>Trust Company, as Loan Trustee) (incorporated by reference to Exhibit C to Exhibit 4.6 to American’s Current Report on Form 8-K</w:t>
        </w:r>
      </w:hyperlink>
      <w:r>
        <w:rPr>
          <w:rFonts w:ascii="Arial" w:cs="Arial" w:eastAsia="Arial" w:hAnsi="Arial"/>
          <w:sz w:val="18"/>
          <w:szCs w:val="18"/>
          <w:u w:val="single" w:color="auto"/>
          <w:color w:val="0000FF"/>
        </w:rPr>
        <w:t xml:space="preserve"> </w:t>
      </w:r>
      <w:hyperlink r:id="rId217">
        <w:r>
          <w:rPr>
            <w:rFonts w:ascii="Arial" w:cs="Arial" w:eastAsia="Arial" w:hAnsi="Arial"/>
            <w:sz w:val="18"/>
            <w:szCs w:val="18"/>
            <w:u w:val="single" w:color="auto"/>
            <w:color w:val="0000FF"/>
          </w:rPr>
          <w:t>filed on October 6, 2017 (Commission File No. 1-2691)).</w:t>
        </w:r>
      </w:hyperlink>
    </w:p>
    <w:p>
      <w:pPr>
        <w:spacing w:after="0" w:line="41" w:lineRule="exact"/>
        <w:rPr>
          <w:rFonts w:ascii="Arial" w:cs="Arial" w:eastAsia="Arial" w:hAnsi="Arial"/>
          <w:sz w:val="18"/>
          <w:szCs w:val="18"/>
          <w:u w:val="single" w:color="auto"/>
          <w:color w:val="0000FF"/>
        </w:rPr>
      </w:pPr>
    </w:p>
    <w:p>
      <w:pPr>
        <w:jc w:val="both"/>
        <w:ind w:left="920" w:right="20" w:hanging="917"/>
        <w:spacing w:after="0" w:line="246" w:lineRule="auto"/>
        <w:tabs>
          <w:tab w:leader="none" w:pos="900" w:val="left"/>
        </w:tabs>
        <w:rPr>
          <w:rFonts w:ascii="Arial" w:cs="Arial" w:eastAsia="Arial" w:hAnsi="Arial"/>
          <w:sz w:val="18"/>
          <w:szCs w:val="18"/>
          <w:u w:val="single" w:color="auto"/>
          <w:color w:val="0000FF"/>
        </w:rPr>
      </w:pPr>
      <w:r>
        <w:rPr>
          <w:rFonts w:ascii="Arial" w:cs="Arial" w:eastAsia="Arial" w:hAnsi="Arial"/>
          <w:sz w:val="18"/>
          <w:szCs w:val="18"/>
          <w:color w:val="auto"/>
        </w:rPr>
        <w:t>4.160</w:t>
      </w:r>
      <w:r>
        <w:rPr>
          <w:sz w:val="20"/>
          <w:szCs w:val="20"/>
          <w:color w:val="auto"/>
        </w:rPr>
        <w:tab/>
      </w:r>
      <w:hyperlink r:id="rId218">
        <w:r>
          <w:rPr>
            <w:rFonts w:ascii="Arial" w:cs="Arial" w:eastAsia="Arial" w:hAnsi="Arial"/>
            <w:sz w:val="18"/>
            <w:szCs w:val="18"/>
            <w:u w:val="single" w:color="auto"/>
            <w:color w:val="0000FF"/>
          </w:rPr>
          <w:t>Form of Pass Through Trust Certificate, Series 2017-2B (incorporated by reference to Exhibit A to Exhibit 4.2 to American’s</w:t>
        </w:r>
      </w:hyperlink>
      <w:r>
        <w:rPr>
          <w:rFonts w:ascii="Arial" w:cs="Arial" w:eastAsia="Arial" w:hAnsi="Arial"/>
          <w:sz w:val="18"/>
          <w:szCs w:val="18"/>
          <w:u w:val="single" w:color="auto"/>
          <w:color w:val="0000FF"/>
        </w:rPr>
        <w:t xml:space="preserve"> </w:t>
      </w:r>
      <w:hyperlink r:id="rId218">
        <w:r>
          <w:rPr>
            <w:rFonts w:ascii="Arial" w:cs="Arial" w:eastAsia="Arial" w:hAnsi="Arial"/>
            <w:sz w:val="18"/>
            <w:szCs w:val="18"/>
            <w:u w:val="single" w:color="auto"/>
            <w:color w:val="0000FF"/>
          </w:rPr>
          <w:t>Current Report on Form 8-K filed on October 6, 2017 (Commission File No. 1-2691)).</w:t>
        </w:r>
      </w:hyperlink>
    </w:p>
    <w:p>
      <w:pPr>
        <w:spacing w:after="0" w:line="35" w:lineRule="exact"/>
        <w:rPr>
          <w:sz w:val="20"/>
          <w:szCs w:val="20"/>
          <w:color w:val="auto"/>
        </w:rPr>
      </w:pPr>
    </w:p>
    <w:p>
      <w:pPr>
        <w:jc w:val="both"/>
        <w:ind w:left="920" w:right="20" w:hanging="917"/>
        <w:spacing w:after="0" w:line="239" w:lineRule="auto"/>
        <w:tabs>
          <w:tab w:leader="none" w:pos="900" w:val="left"/>
        </w:tabs>
        <w:rPr>
          <w:rFonts w:ascii="Arial" w:cs="Arial" w:eastAsia="Arial" w:hAnsi="Arial"/>
          <w:sz w:val="18"/>
          <w:szCs w:val="18"/>
          <w:u w:val="single" w:color="auto"/>
          <w:color w:val="0000FF"/>
        </w:rPr>
      </w:pPr>
      <w:r>
        <w:rPr>
          <w:rFonts w:ascii="Arial" w:cs="Arial" w:eastAsia="Arial" w:hAnsi="Arial"/>
          <w:sz w:val="18"/>
          <w:szCs w:val="18"/>
          <w:color w:val="auto"/>
        </w:rPr>
        <w:t>4.161</w:t>
      </w:r>
      <w:r>
        <w:rPr>
          <w:sz w:val="20"/>
          <w:szCs w:val="20"/>
          <w:color w:val="auto"/>
        </w:rPr>
        <w:tab/>
      </w:r>
      <w:hyperlink r:id="rId219">
        <w:r>
          <w:rPr>
            <w:rFonts w:ascii="Arial" w:cs="Arial" w:eastAsia="Arial" w:hAnsi="Arial"/>
            <w:sz w:val="18"/>
            <w:szCs w:val="18"/>
            <w:u w:val="single" w:color="auto"/>
            <w:color w:val="0000FF"/>
          </w:rPr>
          <w:t>Revolving Credit Agreement (2017-2B), dated as of October 5, 2017, between Wilmington Trust Company, as Subordination Agent,</w:t>
        </w:r>
      </w:hyperlink>
      <w:r>
        <w:rPr>
          <w:rFonts w:ascii="Arial" w:cs="Arial" w:eastAsia="Arial" w:hAnsi="Arial"/>
          <w:sz w:val="18"/>
          <w:szCs w:val="18"/>
          <w:u w:val="single" w:color="auto"/>
          <w:color w:val="0000FF"/>
        </w:rPr>
        <w:t xml:space="preserve"> </w:t>
      </w:r>
      <w:hyperlink r:id="rId219">
        <w:r>
          <w:rPr>
            <w:rFonts w:ascii="Arial" w:cs="Arial" w:eastAsia="Arial" w:hAnsi="Arial"/>
            <w:sz w:val="18"/>
            <w:szCs w:val="18"/>
            <w:u w:val="single" w:color="auto"/>
            <w:color w:val="0000FF"/>
          </w:rPr>
          <w:t>as agent and trustee for the trustee of the American Airlines Pass Through Trust 2017-2B, as Borrower, and National Australia</w:t>
        </w:r>
      </w:hyperlink>
      <w:r>
        <w:rPr>
          <w:rFonts w:ascii="Arial" w:cs="Arial" w:eastAsia="Arial" w:hAnsi="Arial"/>
          <w:sz w:val="18"/>
          <w:szCs w:val="18"/>
          <w:u w:val="single" w:color="auto"/>
          <w:color w:val="0000FF"/>
        </w:rPr>
        <w:t xml:space="preserve"> </w:t>
      </w:r>
      <w:hyperlink r:id="rId219">
        <w:r>
          <w:rPr>
            <w:rFonts w:ascii="Arial" w:cs="Arial" w:eastAsia="Arial" w:hAnsi="Arial"/>
            <w:sz w:val="18"/>
            <w:szCs w:val="18"/>
            <w:u w:val="single" w:color="auto"/>
            <w:color w:val="0000FF"/>
          </w:rPr>
          <w:t>Bank Limited, as Liquidity Provider (incorporated by reference to Exhibit 4.12 to American’s Current Report on Form 8-K filed on</w:t>
        </w:r>
      </w:hyperlink>
      <w:r>
        <w:rPr>
          <w:rFonts w:ascii="Arial" w:cs="Arial" w:eastAsia="Arial" w:hAnsi="Arial"/>
          <w:sz w:val="18"/>
          <w:szCs w:val="18"/>
          <w:u w:val="single" w:color="auto"/>
          <w:color w:val="0000FF"/>
        </w:rPr>
        <w:t xml:space="preserve"> </w:t>
      </w:r>
      <w:hyperlink r:id="rId219">
        <w:r>
          <w:rPr>
            <w:rFonts w:ascii="Arial" w:cs="Arial" w:eastAsia="Arial" w:hAnsi="Arial"/>
            <w:sz w:val="18"/>
            <w:szCs w:val="18"/>
            <w:u w:val="single" w:color="auto"/>
            <w:color w:val="0000FF"/>
          </w:rPr>
          <w:t>October 6, 2017 (Commission File No. 1-2691)).</w:t>
        </w:r>
      </w:hyperlink>
    </w:p>
    <w:p>
      <w:pPr>
        <w:spacing w:after="0" w:line="40" w:lineRule="exact"/>
        <w:rPr>
          <w:rFonts w:ascii="Arial" w:cs="Arial" w:eastAsia="Arial" w:hAnsi="Arial"/>
          <w:sz w:val="18"/>
          <w:szCs w:val="18"/>
          <w:u w:val="single" w:color="auto"/>
          <w:color w:val="0000FF"/>
        </w:rPr>
      </w:pPr>
    </w:p>
    <w:p>
      <w:pPr>
        <w:jc w:val="both"/>
        <w:ind w:left="920" w:right="20" w:hanging="917"/>
        <w:spacing w:after="0"/>
        <w:tabs>
          <w:tab w:leader="none" w:pos="900" w:val="left"/>
        </w:tabs>
        <w:rPr>
          <w:rFonts w:ascii="Arial" w:cs="Arial" w:eastAsia="Arial" w:hAnsi="Arial"/>
          <w:sz w:val="18"/>
          <w:szCs w:val="18"/>
          <w:u w:val="single" w:color="auto"/>
          <w:color w:val="0000FF"/>
        </w:rPr>
      </w:pPr>
      <w:r>
        <w:rPr>
          <w:rFonts w:ascii="Arial" w:cs="Arial" w:eastAsia="Arial" w:hAnsi="Arial"/>
          <w:sz w:val="18"/>
          <w:szCs w:val="18"/>
          <w:color w:val="auto"/>
        </w:rPr>
        <w:t>4.162</w:t>
      </w:r>
      <w:r>
        <w:rPr>
          <w:sz w:val="20"/>
          <w:szCs w:val="20"/>
          <w:color w:val="auto"/>
        </w:rPr>
        <w:tab/>
      </w:r>
      <w:hyperlink r:id="rId220">
        <w:r>
          <w:rPr>
            <w:rFonts w:ascii="Arial" w:cs="Arial" w:eastAsia="Arial" w:hAnsi="Arial"/>
            <w:sz w:val="18"/>
            <w:szCs w:val="18"/>
            <w:u w:val="single" w:color="auto"/>
            <w:color w:val="0000FF"/>
          </w:rPr>
          <w:t>Trust Supplement No. 2012-2C(R), dated as of May 15, 2018, between American Airlines, Inc. and Wilmington Trust Company, as</w:t>
        </w:r>
      </w:hyperlink>
      <w:r>
        <w:rPr>
          <w:rFonts w:ascii="Arial" w:cs="Arial" w:eastAsia="Arial" w:hAnsi="Arial"/>
          <w:sz w:val="18"/>
          <w:szCs w:val="18"/>
          <w:u w:val="single" w:color="auto"/>
          <w:color w:val="0000FF"/>
        </w:rPr>
        <w:t xml:space="preserve"> </w:t>
      </w:r>
      <w:hyperlink r:id="rId220">
        <w:r>
          <w:rPr>
            <w:rFonts w:ascii="Arial" w:cs="Arial" w:eastAsia="Arial" w:hAnsi="Arial"/>
            <w:sz w:val="18"/>
            <w:szCs w:val="18"/>
            <w:u w:val="single" w:color="auto"/>
            <w:color w:val="0000FF"/>
          </w:rPr>
          <w:t>Trustee, to the Pass Through Trust Agreement, dated as of September 16, 2014 (incorporated by reference to Exhibit 4.2 to</w:t>
        </w:r>
      </w:hyperlink>
      <w:r>
        <w:rPr>
          <w:rFonts w:ascii="Arial" w:cs="Arial" w:eastAsia="Arial" w:hAnsi="Arial"/>
          <w:sz w:val="18"/>
          <w:szCs w:val="18"/>
          <w:u w:val="single" w:color="auto"/>
          <w:color w:val="0000FF"/>
        </w:rPr>
        <w:t xml:space="preserve"> </w:t>
      </w:r>
      <w:hyperlink r:id="rId220">
        <w:r>
          <w:rPr>
            <w:rFonts w:ascii="Arial" w:cs="Arial" w:eastAsia="Arial" w:hAnsi="Arial"/>
            <w:sz w:val="18"/>
            <w:szCs w:val="18"/>
            <w:u w:val="single" w:color="auto"/>
            <w:color w:val="0000FF"/>
          </w:rPr>
          <w:t>American’s Current Report on Form 8-K filed on May 16, 2018 (Commission File No. 1-2691)).</w:t>
        </w:r>
      </w:hyperlink>
    </w:p>
    <w:p>
      <w:pPr>
        <w:spacing w:after="0" w:line="41" w:lineRule="exact"/>
        <w:rPr>
          <w:rFonts w:ascii="Arial" w:cs="Arial" w:eastAsia="Arial" w:hAnsi="Arial"/>
          <w:sz w:val="18"/>
          <w:szCs w:val="18"/>
          <w:u w:val="single" w:color="auto"/>
          <w:color w:val="0000FF"/>
        </w:rPr>
      </w:pPr>
    </w:p>
    <w:p>
      <w:pPr>
        <w:jc w:val="both"/>
        <w:ind w:left="920" w:hanging="917"/>
        <w:spacing w:after="0" w:line="239" w:lineRule="auto"/>
        <w:tabs>
          <w:tab w:leader="none" w:pos="900" w:val="left"/>
        </w:tabs>
        <w:rPr>
          <w:rFonts w:ascii="Arial" w:cs="Arial" w:eastAsia="Arial" w:hAnsi="Arial"/>
          <w:sz w:val="18"/>
          <w:szCs w:val="18"/>
          <w:u w:val="single" w:color="auto"/>
          <w:color w:val="0000FF"/>
        </w:rPr>
      </w:pPr>
      <w:r>
        <w:rPr>
          <w:rFonts w:ascii="Arial" w:cs="Arial" w:eastAsia="Arial" w:hAnsi="Arial"/>
          <w:sz w:val="18"/>
          <w:szCs w:val="18"/>
          <w:color w:val="auto"/>
        </w:rPr>
        <w:t>4.163</w:t>
      </w:r>
      <w:r>
        <w:rPr>
          <w:sz w:val="20"/>
          <w:szCs w:val="20"/>
          <w:color w:val="auto"/>
        </w:rPr>
        <w:tab/>
      </w:r>
      <w:hyperlink r:id="rId221">
        <w:r>
          <w:rPr>
            <w:rFonts w:ascii="Arial" w:cs="Arial" w:eastAsia="Arial" w:hAnsi="Arial"/>
            <w:sz w:val="18"/>
            <w:szCs w:val="18"/>
            <w:u w:val="single" w:color="auto"/>
            <w:color w:val="0000FF"/>
          </w:rPr>
          <w:t>Form of Amendment No. 2 to Intercreditor Agreement (2012-2C(R)) among Wilmington Trust Company, not in its individual</w:t>
        </w:r>
      </w:hyperlink>
      <w:r>
        <w:rPr>
          <w:rFonts w:ascii="Arial" w:cs="Arial" w:eastAsia="Arial" w:hAnsi="Arial"/>
          <w:sz w:val="18"/>
          <w:szCs w:val="18"/>
          <w:u w:val="single" w:color="auto"/>
          <w:color w:val="0000FF"/>
        </w:rPr>
        <w:t xml:space="preserve"> </w:t>
      </w:r>
      <w:hyperlink r:id="rId221">
        <w:r>
          <w:rPr>
            <w:rFonts w:ascii="Arial" w:cs="Arial" w:eastAsia="Arial" w:hAnsi="Arial"/>
            <w:sz w:val="18"/>
            <w:szCs w:val="18"/>
            <w:u w:val="single" w:color="auto"/>
            <w:color w:val="0000FF"/>
          </w:rPr>
          <w:t>capacity but solely as Trustee of the American Airlines, Inc. Pass Through Trust 2012-2C(R), American Airlines, Inc. and</w:t>
        </w:r>
      </w:hyperlink>
      <w:r>
        <w:rPr>
          <w:rFonts w:ascii="Arial" w:cs="Arial" w:eastAsia="Arial" w:hAnsi="Arial"/>
          <w:sz w:val="18"/>
          <w:szCs w:val="18"/>
          <w:u w:val="single" w:color="auto"/>
          <w:color w:val="0000FF"/>
        </w:rPr>
        <w:t xml:space="preserve"> </w:t>
      </w:r>
      <w:hyperlink r:id="rId221">
        <w:r>
          <w:rPr>
            <w:rFonts w:ascii="Arial" w:cs="Arial" w:eastAsia="Arial" w:hAnsi="Arial"/>
            <w:sz w:val="18"/>
            <w:szCs w:val="18"/>
            <w:u w:val="single" w:color="auto"/>
            <w:color w:val="0000FF"/>
          </w:rPr>
          <w:t>Wilmington Trust Company, not in its individual capacity but solely as Subordination Agent and Trustee (incorporated by reference</w:t>
        </w:r>
      </w:hyperlink>
      <w:r>
        <w:rPr>
          <w:rFonts w:ascii="Arial" w:cs="Arial" w:eastAsia="Arial" w:hAnsi="Arial"/>
          <w:sz w:val="18"/>
          <w:szCs w:val="18"/>
          <w:u w:val="single" w:color="auto"/>
          <w:color w:val="0000FF"/>
        </w:rPr>
        <w:t xml:space="preserve"> </w:t>
      </w:r>
      <w:hyperlink r:id="rId221">
        <w:r>
          <w:rPr>
            <w:rFonts w:ascii="Arial" w:cs="Arial" w:eastAsia="Arial" w:hAnsi="Arial"/>
            <w:sz w:val="18"/>
            <w:szCs w:val="18"/>
            <w:u w:val="single" w:color="auto"/>
            <w:color w:val="0000FF"/>
          </w:rPr>
          <w:t>to Exhibit C to Exhibit 4.6 to American’s Current Report on Form 8-K filed on May 16, 2018 (Commission File No. 1-2691)).</w:t>
        </w:r>
      </w:hyperlink>
    </w:p>
    <w:p>
      <w:pPr>
        <w:spacing w:after="0" w:line="40" w:lineRule="exact"/>
        <w:rPr>
          <w:rFonts w:ascii="Arial" w:cs="Arial" w:eastAsia="Arial" w:hAnsi="Arial"/>
          <w:sz w:val="18"/>
          <w:szCs w:val="18"/>
          <w:u w:val="single" w:color="auto"/>
          <w:color w:val="0000FF"/>
        </w:rPr>
      </w:pPr>
    </w:p>
    <w:p>
      <w:pPr>
        <w:jc w:val="both"/>
        <w:ind w:left="920" w:right="20" w:hanging="917"/>
        <w:spacing w:after="0" w:line="238" w:lineRule="auto"/>
        <w:tabs>
          <w:tab w:leader="none" w:pos="900" w:val="left"/>
        </w:tabs>
        <w:rPr>
          <w:rFonts w:ascii="Arial" w:cs="Arial" w:eastAsia="Arial" w:hAnsi="Arial"/>
          <w:sz w:val="18"/>
          <w:szCs w:val="18"/>
          <w:u w:val="single" w:color="auto"/>
          <w:color w:val="0000FF"/>
        </w:rPr>
      </w:pPr>
      <w:r>
        <w:rPr>
          <w:rFonts w:ascii="Arial" w:cs="Arial" w:eastAsia="Arial" w:hAnsi="Arial"/>
          <w:sz w:val="18"/>
          <w:szCs w:val="18"/>
          <w:color w:val="auto"/>
        </w:rPr>
        <w:t>4.164</w:t>
      </w:r>
      <w:r>
        <w:rPr>
          <w:sz w:val="20"/>
          <w:szCs w:val="20"/>
          <w:color w:val="auto"/>
        </w:rPr>
        <w:tab/>
      </w:r>
      <w:hyperlink r:id="rId221">
        <w:r>
          <w:rPr>
            <w:rFonts w:ascii="Arial" w:cs="Arial" w:eastAsia="Arial" w:hAnsi="Arial"/>
            <w:sz w:val="18"/>
            <w:szCs w:val="18"/>
            <w:u w:val="single" w:color="auto"/>
            <w:color w:val="0000FF"/>
          </w:rPr>
          <w:t>Note Purchase Agreement, dated as of May 15, 2018, among American Airlines, Inc., Wilmington Trust Company, not in its</w:t>
        </w:r>
      </w:hyperlink>
      <w:r>
        <w:rPr>
          <w:rFonts w:ascii="Arial" w:cs="Arial" w:eastAsia="Arial" w:hAnsi="Arial"/>
          <w:sz w:val="18"/>
          <w:szCs w:val="18"/>
          <w:u w:val="single" w:color="auto"/>
          <w:color w:val="0000FF"/>
        </w:rPr>
        <w:t xml:space="preserve"> </w:t>
      </w:r>
      <w:hyperlink r:id="rId221">
        <w:r>
          <w:rPr>
            <w:rFonts w:ascii="Arial" w:cs="Arial" w:eastAsia="Arial" w:hAnsi="Arial"/>
            <w:sz w:val="18"/>
            <w:szCs w:val="18"/>
            <w:u w:val="single" w:color="auto"/>
            <w:color w:val="0000FF"/>
          </w:rPr>
          <w:t>individual capacity, but solely as Pass Through Trustee under the Class C(R) Pass Through Trust Agreement, as Subordination</w:t>
        </w:r>
      </w:hyperlink>
      <w:r>
        <w:rPr>
          <w:rFonts w:ascii="Arial" w:cs="Arial" w:eastAsia="Arial" w:hAnsi="Arial"/>
          <w:sz w:val="18"/>
          <w:szCs w:val="18"/>
          <w:u w:val="single" w:color="auto"/>
          <w:color w:val="0000FF"/>
        </w:rPr>
        <w:t xml:space="preserve"> </w:t>
      </w:r>
      <w:hyperlink r:id="rId221">
        <w:r>
          <w:rPr>
            <w:rFonts w:ascii="Arial" w:cs="Arial" w:eastAsia="Arial" w:hAnsi="Arial"/>
            <w:sz w:val="18"/>
            <w:szCs w:val="18"/>
            <w:u w:val="single" w:color="auto"/>
            <w:color w:val="0000FF"/>
          </w:rPr>
          <w:t>Agent and as Indenture Trustee, Wilmington Trust, National Association, as Escrow Agent, and Wilmington Trust Company, as</w:t>
        </w:r>
      </w:hyperlink>
      <w:r>
        <w:rPr>
          <w:rFonts w:ascii="Arial" w:cs="Arial" w:eastAsia="Arial" w:hAnsi="Arial"/>
          <w:sz w:val="18"/>
          <w:szCs w:val="18"/>
          <w:u w:val="single" w:color="auto"/>
          <w:color w:val="0000FF"/>
        </w:rPr>
        <w:t xml:space="preserve"> </w:t>
      </w:r>
      <w:hyperlink r:id="rId221">
        <w:r>
          <w:rPr>
            <w:rFonts w:ascii="Arial" w:cs="Arial" w:eastAsia="Arial" w:hAnsi="Arial"/>
            <w:sz w:val="18"/>
            <w:szCs w:val="18"/>
            <w:u w:val="single" w:color="auto"/>
            <w:color w:val="0000FF"/>
          </w:rPr>
          <w:t>Paying Agent (incorporated by reference to Exhibit 4.6 to American’s Current Report on Form 8-K filed on May 16, 2018</w:t>
        </w:r>
      </w:hyperlink>
      <w:r>
        <w:rPr>
          <w:rFonts w:ascii="Arial" w:cs="Arial" w:eastAsia="Arial" w:hAnsi="Arial"/>
          <w:sz w:val="18"/>
          <w:szCs w:val="18"/>
          <w:u w:val="single" w:color="auto"/>
          <w:color w:val="0000FF"/>
        </w:rPr>
        <w:t xml:space="preserve"> </w:t>
      </w:r>
      <w:hyperlink r:id="rId221">
        <w:r>
          <w:rPr>
            <w:rFonts w:ascii="Arial" w:cs="Arial" w:eastAsia="Arial" w:hAnsi="Arial"/>
            <w:sz w:val="18"/>
            <w:szCs w:val="18"/>
            <w:u w:val="single" w:color="auto"/>
            <w:color w:val="0000FF"/>
          </w:rPr>
          <w:t>(Commission File No. 1- 2691)).</w:t>
        </w:r>
      </w:hyperlink>
    </w:p>
    <w:p>
      <w:pPr>
        <w:spacing w:after="0" w:line="41" w:lineRule="exact"/>
        <w:rPr>
          <w:rFonts w:ascii="Arial" w:cs="Arial" w:eastAsia="Arial" w:hAnsi="Arial"/>
          <w:sz w:val="18"/>
          <w:szCs w:val="18"/>
          <w:u w:val="single" w:color="auto"/>
          <w:color w:val="0000FF"/>
        </w:rPr>
      </w:pPr>
    </w:p>
    <w:p>
      <w:pPr>
        <w:jc w:val="both"/>
        <w:ind w:left="920" w:hanging="917"/>
        <w:spacing w:after="0" w:line="238" w:lineRule="auto"/>
        <w:tabs>
          <w:tab w:leader="none" w:pos="900" w:val="left"/>
        </w:tabs>
        <w:rPr>
          <w:rFonts w:ascii="Arial" w:cs="Arial" w:eastAsia="Arial" w:hAnsi="Arial"/>
          <w:sz w:val="18"/>
          <w:szCs w:val="18"/>
          <w:u w:val="single" w:color="auto"/>
          <w:color w:val="0000FF"/>
        </w:rPr>
      </w:pPr>
      <w:r>
        <w:rPr>
          <w:rFonts w:ascii="Arial" w:cs="Arial" w:eastAsia="Arial" w:hAnsi="Arial"/>
          <w:sz w:val="18"/>
          <w:szCs w:val="18"/>
          <w:color w:val="auto"/>
        </w:rPr>
        <w:t>4.165</w:t>
      </w:r>
      <w:r>
        <w:rPr>
          <w:sz w:val="20"/>
          <w:szCs w:val="20"/>
          <w:color w:val="auto"/>
        </w:rPr>
        <w:tab/>
      </w:r>
      <w:hyperlink r:id="rId221">
        <w:r>
          <w:rPr>
            <w:rFonts w:ascii="Arial" w:cs="Arial" w:eastAsia="Arial" w:hAnsi="Arial"/>
            <w:sz w:val="18"/>
            <w:szCs w:val="18"/>
            <w:u w:val="single" w:color="auto"/>
            <w:color w:val="0000FF"/>
          </w:rPr>
          <w:t>Form of Amendment to Participation Agreement (Amendment to Participation Agreement among American Airlines, Inc.,</w:t>
        </w:r>
      </w:hyperlink>
      <w:r>
        <w:rPr>
          <w:rFonts w:ascii="Arial" w:cs="Arial" w:eastAsia="Arial" w:hAnsi="Arial"/>
          <w:sz w:val="18"/>
          <w:szCs w:val="18"/>
          <w:u w:val="single" w:color="auto"/>
          <w:color w:val="0000FF"/>
        </w:rPr>
        <w:t xml:space="preserve"> </w:t>
      </w:r>
      <w:hyperlink r:id="rId221">
        <w:r>
          <w:rPr>
            <w:rFonts w:ascii="Arial" w:cs="Arial" w:eastAsia="Arial" w:hAnsi="Arial"/>
            <w:sz w:val="18"/>
            <w:szCs w:val="18"/>
            <w:u w:val="single" w:color="auto"/>
            <w:color w:val="0000FF"/>
          </w:rPr>
          <w:t>Wilmington Trust Company, not in its individual capacity, but solely as Subordination Agent and as Indenture Trustee, and</w:t>
        </w:r>
      </w:hyperlink>
      <w:r>
        <w:rPr>
          <w:rFonts w:ascii="Arial" w:cs="Arial" w:eastAsia="Arial" w:hAnsi="Arial"/>
          <w:sz w:val="18"/>
          <w:szCs w:val="18"/>
          <w:u w:val="single" w:color="auto"/>
          <w:color w:val="0000FF"/>
        </w:rPr>
        <w:t xml:space="preserve"> </w:t>
      </w:r>
      <w:hyperlink r:id="rId221">
        <w:r>
          <w:rPr>
            <w:rFonts w:ascii="Arial" w:cs="Arial" w:eastAsia="Arial" w:hAnsi="Arial"/>
            <w:sz w:val="18"/>
            <w:szCs w:val="18"/>
            <w:u w:val="single" w:color="auto"/>
            <w:color w:val="0000FF"/>
          </w:rPr>
          <w:t>Wilmington Trust Company, not in its individual capacity, but solely as Pass Through Trustee under each of the Pass Through Trust</w:t>
        </w:r>
      </w:hyperlink>
      <w:r>
        <w:rPr>
          <w:rFonts w:ascii="Arial" w:cs="Arial" w:eastAsia="Arial" w:hAnsi="Arial"/>
          <w:sz w:val="18"/>
          <w:szCs w:val="18"/>
          <w:u w:val="single" w:color="auto"/>
          <w:color w:val="0000FF"/>
        </w:rPr>
        <w:t xml:space="preserve"> </w:t>
      </w:r>
      <w:hyperlink r:id="rId221">
        <w:r>
          <w:rPr>
            <w:rFonts w:ascii="Arial" w:cs="Arial" w:eastAsia="Arial" w:hAnsi="Arial"/>
            <w:sz w:val="18"/>
            <w:szCs w:val="18"/>
            <w:u w:val="single" w:color="auto"/>
            <w:color w:val="0000FF"/>
          </w:rPr>
          <w:t>Agreements) (incorporated by reference to Exhibit A to Exhibit 4.6 to American’s Current Report on Form 8-K filed on May 16,</w:t>
        </w:r>
      </w:hyperlink>
      <w:r>
        <w:rPr>
          <w:rFonts w:ascii="Arial" w:cs="Arial" w:eastAsia="Arial" w:hAnsi="Arial"/>
          <w:sz w:val="18"/>
          <w:szCs w:val="18"/>
          <w:u w:val="single" w:color="auto"/>
          <w:color w:val="0000FF"/>
        </w:rPr>
        <w:t xml:space="preserve"> </w:t>
      </w:r>
      <w:hyperlink r:id="rId221">
        <w:r>
          <w:rPr>
            <w:rFonts w:ascii="Arial" w:cs="Arial" w:eastAsia="Arial" w:hAnsi="Arial"/>
            <w:sz w:val="18"/>
            <w:szCs w:val="18"/>
            <w:u w:val="single" w:color="auto"/>
            <w:color w:val="0000FF"/>
          </w:rPr>
          <w:t>2018 (Commission File No. 1- 2691)).</w:t>
        </w:r>
      </w:hyperlink>
    </w:p>
    <w:p>
      <w:pPr>
        <w:spacing w:after="0" w:line="41" w:lineRule="exact"/>
        <w:rPr>
          <w:rFonts w:ascii="Arial" w:cs="Arial" w:eastAsia="Arial" w:hAnsi="Arial"/>
          <w:sz w:val="18"/>
          <w:szCs w:val="18"/>
          <w:u w:val="single" w:color="auto"/>
          <w:color w:val="0000FF"/>
        </w:rPr>
      </w:pPr>
    </w:p>
    <w:p>
      <w:pPr>
        <w:jc w:val="both"/>
        <w:ind w:left="920" w:right="20" w:hanging="917"/>
        <w:spacing w:after="0" w:line="239" w:lineRule="auto"/>
        <w:tabs>
          <w:tab w:leader="none" w:pos="900" w:val="left"/>
        </w:tabs>
        <w:rPr>
          <w:rFonts w:ascii="Arial" w:cs="Arial" w:eastAsia="Arial" w:hAnsi="Arial"/>
          <w:sz w:val="18"/>
          <w:szCs w:val="18"/>
          <w:u w:val="single" w:color="auto"/>
          <w:color w:val="0000FF"/>
        </w:rPr>
      </w:pPr>
      <w:r>
        <w:rPr>
          <w:rFonts w:ascii="Arial" w:cs="Arial" w:eastAsia="Arial" w:hAnsi="Arial"/>
          <w:sz w:val="18"/>
          <w:szCs w:val="18"/>
          <w:color w:val="auto"/>
        </w:rPr>
        <w:t>4.166</w:t>
      </w:r>
      <w:r>
        <w:rPr>
          <w:sz w:val="20"/>
          <w:szCs w:val="20"/>
          <w:color w:val="auto"/>
        </w:rPr>
        <w:tab/>
      </w:r>
      <w:hyperlink r:id="rId221">
        <w:r>
          <w:rPr>
            <w:rFonts w:ascii="Arial" w:cs="Arial" w:eastAsia="Arial" w:hAnsi="Arial"/>
            <w:sz w:val="18"/>
            <w:szCs w:val="18"/>
            <w:u w:val="single" w:color="auto"/>
            <w:color w:val="0000FF"/>
          </w:rPr>
          <w:t>Form of Amendment to Trust Indenture and Security Agreement (Amendment to Trust Indenture and Security Agreement between</w:t>
        </w:r>
      </w:hyperlink>
      <w:r>
        <w:rPr>
          <w:rFonts w:ascii="Arial" w:cs="Arial" w:eastAsia="Arial" w:hAnsi="Arial"/>
          <w:sz w:val="18"/>
          <w:szCs w:val="18"/>
          <w:u w:val="single" w:color="auto"/>
          <w:color w:val="0000FF"/>
        </w:rPr>
        <w:t xml:space="preserve"> </w:t>
      </w:r>
      <w:hyperlink r:id="rId221">
        <w:r>
          <w:rPr>
            <w:rFonts w:ascii="Arial" w:cs="Arial" w:eastAsia="Arial" w:hAnsi="Arial"/>
            <w:sz w:val="18"/>
            <w:szCs w:val="18"/>
            <w:u w:val="single" w:color="auto"/>
            <w:color w:val="0000FF"/>
          </w:rPr>
          <w:t>American Airlines, Inc., Wilmington Trust Company, not in its individual capacity, but solely as Indenture Trustee, and Wilmington</w:t>
        </w:r>
      </w:hyperlink>
      <w:r>
        <w:rPr>
          <w:rFonts w:ascii="Arial" w:cs="Arial" w:eastAsia="Arial" w:hAnsi="Arial"/>
          <w:sz w:val="18"/>
          <w:szCs w:val="18"/>
          <w:u w:val="single" w:color="auto"/>
          <w:color w:val="0000FF"/>
        </w:rPr>
        <w:t xml:space="preserve"> </w:t>
      </w:r>
      <w:hyperlink r:id="rId221">
        <w:r>
          <w:rPr>
            <w:rFonts w:ascii="Arial" w:cs="Arial" w:eastAsia="Arial" w:hAnsi="Arial"/>
            <w:sz w:val="18"/>
            <w:szCs w:val="18"/>
            <w:u w:val="single" w:color="auto"/>
            <w:color w:val="0000FF"/>
          </w:rPr>
          <w:t>Trust, National Association, as Securities Intermediary) (incorporated by reference to Exhibit B to Exhibit 4.6 to American’s Current</w:t>
        </w:r>
      </w:hyperlink>
      <w:r>
        <w:rPr>
          <w:rFonts w:ascii="Arial" w:cs="Arial" w:eastAsia="Arial" w:hAnsi="Arial"/>
          <w:sz w:val="18"/>
          <w:szCs w:val="18"/>
          <w:u w:val="single" w:color="auto"/>
          <w:color w:val="0000FF"/>
        </w:rPr>
        <w:t xml:space="preserve"> </w:t>
      </w:r>
      <w:hyperlink r:id="rId221">
        <w:r>
          <w:rPr>
            <w:rFonts w:ascii="Arial" w:cs="Arial" w:eastAsia="Arial" w:hAnsi="Arial"/>
            <w:sz w:val="18"/>
            <w:szCs w:val="18"/>
            <w:u w:val="single" w:color="auto"/>
            <w:color w:val="0000FF"/>
          </w:rPr>
          <w:t>Report on Form 8-K filed on May 16, 2018 (Commission File No. 1-2691)).</w:t>
        </w:r>
      </w:hyperlink>
    </w:p>
    <w:p>
      <w:pPr>
        <w:spacing w:after="0" w:line="40" w:lineRule="exact"/>
        <w:rPr>
          <w:rFonts w:ascii="Arial" w:cs="Arial" w:eastAsia="Arial" w:hAnsi="Arial"/>
          <w:sz w:val="18"/>
          <w:szCs w:val="18"/>
          <w:u w:val="single" w:color="auto"/>
          <w:color w:val="0000FF"/>
        </w:rPr>
      </w:pPr>
    </w:p>
    <w:p>
      <w:pPr>
        <w:jc w:val="both"/>
        <w:ind w:left="920" w:right="20" w:hanging="917"/>
        <w:spacing w:after="0" w:line="246" w:lineRule="auto"/>
        <w:tabs>
          <w:tab w:leader="none" w:pos="900" w:val="left"/>
        </w:tabs>
        <w:rPr>
          <w:rFonts w:ascii="Arial" w:cs="Arial" w:eastAsia="Arial" w:hAnsi="Arial"/>
          <w:sz w:val="18"/>
          <w:szCs w:val="18"/>
          <w:u w:val="single" w:color="auto"/>
          <w:color w:val="0000FF"/>
        </w:rPr>
      </w:pPr>
      <w:r>
        <w:rPr>
          <w:rFonts w:ascii="Arial" w:cs="Arial" w:eastAsia="Arial" w:hAnsi="Arial"/>
          <w:sz w:val="18"/>
          <w:szCs w:val="18"/>
          <w:color w:val="auto"/>
        </w:rPr>
        <w:t>4.167</w:t>
      </w:r>
      <w:r>
        <w:rPr>
          <w:sz w:val="20"/>
          <w:szCs w:val="20"/>
          <w:color w:val="auto"/>
        </w:rPr>
        <w:tab/>
      </w:r>
      <w:hyperlink r:id="rId220">
        <w:r>
          <w:rPr>
            <w:rFonts w:ascii="Arial" w:cs="Arial" w:eastAsia="Arial" w:hAnsi="Arial"/>
            <w:sz w:val="18"/>
            <w:szCs w:val="18"/>
            <w:u w:val="single" w:color="auto"/>
            <w:color w:val="0000FF"/>
          </w:rPr>
          <w:t>Form of Pass Through Trust Certificate, Series 2012-2C(R) (incorporated by reference to Exhibit A to Exhibit 4.2 to American’s</w:t>
        </w:r>
      </w:hyperlink>
      <w:r>
        <w:rPr>
          <w:rFonts w:ascii="Arial" w:cs="Arial" w:eastAsia="Arial" w:hAnsi="Arial"/>
          <w:sz w:val="18"/>
          <w:szCs w:val="18"/>
          <w:u w:val="single" w:color="auto"/>
          <w:color w:val="0000FF"/>
        </w:rPr>
        <w:t xml:space="preserve"> </w:t>
      </w:r>
      <w:hyperlink r:id="rId220">
        <w:r>
          <w:rPr>
            <w:rFonts w:ascii="Arial" w:cs="Arial" w:eastAsia="Arial" w:hAnsi="Arial"/>
            <w:sz w:val="18"/>
            <w:szCs w:val="18"/>
            <w:u w:val="single" w:color="auto"/>
            <w:color w:val="0000FF"/>
          </w:rPr>
          <w:t>Current Report on Form 8-K filed on May 16, 2018 (Commission File No. 1-2691)).</w:t>
        </w:r>
      </w:hyperlink>
    </w:p>
    <w:p>
      <w:pPr>
        <w:spacing w:after="0" w:line="22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175</w:t>
      </w:r>
    </w:p>
    <w:p>
      <w:pPr>
        <w:sectPr>
          <w:pgSz w:w="11900" w:h="16838" w:orient="portrait"/>
          <w:cols w:equalWidth="0" w:num="1">
            <w:col w:w="11360"/>
          </w:cols>
          <w:pgMar w:left="280" w:top="721" w:right="259" w:bottom="1440" w:gutter="0" w:footer="0" w:header="0"/>
        </w:sectPr>
      </w:pPr>
    </w:p>
    <w:bookmarkStart w:id="175" w:name="page176"/>
    <w:bookmarkEnd w:id="175"/>
    <w:p>
      <w:pPr>
        <w:spacing w:after="0"/>
        <w:rPr>
          <w:sz w:val="20"/>
          <w:szCs w:val="20"/>
          <w:color w:val="auto"/>
        </w:rPr>
      </w:pPr>
      <w:r>
        <w:rPr>
          <w:rFonts w:ascii="Arial" w:cs="Arial" w:eastAsia="Arial" w:hAnsi="Arial"/>
          <w:sz w:val="14"/>
          <w:szCs w:val="14"/>
          <w:b w:val="1"/>
          <w:bCs w:val="1"/>
          <w:color w:val="auto"/>
        </w:rPr>
        <w:t>Exhibit</w:t>
      </w:r>
    </w:p>
    <w:p>
      <w:pPr>
        <w:spacing w:after="0" w:line="19" w:lineRule="exact"/>
        <w:rPr>
          <w:sz w:val="20"/>
          <w:szCs w:val="20"/>
          <w:color w:val="auto"/>
        </w:rPr>
      </w:pPr>
    </w:p>
    <w:p>
      <w:pPr>
        <w:spacing w:after="0"/>
        <w:tabs>
          <w:tab w:leader="none" w:pos="900" w:val="left"/>
        </w:tabs>
        <w:rPr>
          <w:sz w:val="20"/>
          <w:szCs w:val="20"/>
          <w:color w:val="auto"/>
        </w:rPr>
      </w:pPr>
      <w:r>
        <w:rPr>
          <w:rFonts w:ascii="Arial" w:cs="Arial" w:eastAsia="Arial" w:hAnsi="Arial"/>
          <w:sz w:val="14"/>
          <w:szCs w:val="14"/>
          <w:b w:val="1"/>
          <w:bCs w:val="1"/>
          <w:u w:val="single" w:color="auto"/>
          <w:color w:val="auto"/>
        </w:rPr>
        <w:t>Number</w:t>
      </w:r>
      <w:r>
        <w:rPr>
          <w:sz w:val="20"/>
          <w:szCs w:val="20"/>
          <w:color w:val="auto"/>
        </w:rPr>
        <w:tab/>
      </w:r>
      <w:r>
        <w:rPr>
          <w:rFonts w:ascii="Arial" w:cs="Arial" w:eastAsia="Arial" w:hAnsi="Arial"/>
          <w:sz w:val="14"/>
          <w:szCs w:val="14"/>
          <w:b w:val="1"/>
          <w:bCs w:val="1"/>
          <w:u w:val="single" w:color="auto"/>
          <w:color w:val="auto"/>
        </w:rPr>
        <w:t>Description</w:t>
      </w:r>
    </w:p>
    <w:p>
      <w:pPr>
        <w:spacing w:after="0" w:line="49" w:lineRule="exact"/>
        <w:rPr>
          <w:sz w:val="20"/>
          <w:szCs w:val="20"/>
          <w:color w:val="auto"/>
        </w:rPr>
      </w:pPr>
    </w:p>
    <w:p>
      <w:pPr>
        <w:jc w:val="both"/>
        <w:ind w:left="920" w:hanging="917"/>
        <w:spacing w:after="0"/>
        <w:tabs>
          <w:tab w:leader="none" w:pos="900" w:val="left"/>
        </w:tabs>
        <w:rPr>
          <w:rFonts w:ascii="Arial" w:cs="Arial" w:eastAsia="Arial" w:hAnsi="Arial"/>
          <w:sz w:val="18"/>
          <w:szCs w:val="18"/>
          <w:u w:val="single" w:color="auto"/>
          <w:color w:val="0000FF"/>
        </w:rPr>
      </w:pPr>
      <w:r>
        <w:rPr>
          <w:rFonts w:ascii="Arial" w:cs="Arial" w:eastAsia="Arial" w:hAnsi="Arial"/>
          <w:sz w:val="18"/>
          <w:szCs w:val="18"/>
          <w:color w:val="auto"/>
        </w:rPr>
        <w:t>4.168</w:t>
      </w:r>
      <w:r>
        <w:rPr>
          <w:sz w:val="20"/>
          <w:szCs w:val="20"/>
          <w:color w:val="auto"/>
        </w:rPr>
        <w:tab/>
      </w:r>
      <w:hyperlink r:id="rId222">
        <w:r>
          <w:rPr>
            <w:rFonts w:ascii="Arial" w:cs="Arial" w:eastAsia="Arial" w:hAnsi="Arial"/>
            <w:sz w:val="18"/>
            <w:szCs w:val="18"/>
            <w:u w:val="single" w:color="auto"/>
            <w:color w:val="0000FF"/>
          </w:rPr>
          <w:t>Trust Supplement No. 2019-1AA (Aircraft EETC), dated as of August 15, 2019, between American Airlines, Inc. and Wilmington</w:t>
        </w:r>
      </w:hyperlink>
      <w:r>
        <w:rPr>
          <w:rFonts w:ascii="Arial" w:cs="Arial" w:eastAsia="Arial" w:hAnsi="Arial"/>
          <w:sz w:val="18"/>
          <w:szCs w:val="18"/>
          <w:u w:val="single" w:color="auto"/>
          <w:color w:val="0000FF"/>
        </w:rPr>
        <w:t xml:space="preserve"> </w:t>
      </w:r>
      <w:hyperlink r:id="rId222">
        <w:r>
          <w:rPr>
            <w:rFonts w:ascii="Arial" w:cs="Arial" w:eastAsia="Arial" w:hAnsi="Arial"/>
            <w:sz w:val="18"/>
            <w:szCs w:val="18"/>
            <w:u w:val="single" w:color="auto"/>
            <w:color w:val="0000FF"/>
          </w:rPr>
          <w:t>Trust Company, as Trustee, to the Pass Through Trust Agreement, dated as of September 16, 2014 (incorporated by reference to</w:t>
        </w:r>
      </w:hyperlink>
      <w:r>
        <w:rPr>
          <w:rFonts w:ascii="Arial" w:cs="Arial" w:eastAsia="Arial" w:hAnsi="Arial"/>
          <w:sz w:val="18"/>
          <w:szCs w:val="18"/>
          <w:u w:val="single" w:color="auto"/>
          <w:color w:val="0000FF"/>
        </w:rPr>
        <w:t xml:space="preserve"> </w:t>
      </w:r>
      <w:hyperlink r:id="rId222">
        <w:r>
          <w:rPr>
            <w:rFonts w:ascii="Arial" w:cs="Arial" w:eastAsia="Arial" w:hAnsi="Arial"/>
            <w:sz w:val="18"/>
            <w:szCs w:val="18"/>
            <w:u w:val="single" w:color="auto"/>
            <w:color w:val="0000FF"/>
          </w:rPr>
          <w:t>Exhibit 4.2 to American’s Current Report on Form 8-K filed on August 15, 2019 (Commission File No. 1-02691)).</w:t>
        </w:r>
      </w:hyperlink>
    </w:p>
    <w:p>
      <w:pPr>
        <w:spacing w:after="0" w:line="41" w:lineRule="exact"/>
        <w:rPr>
          <w:rFonts w:ascii="Arial" w:cs="Arial" w:eastAsia="Arial" w:hAnsi="Arial"/>
          <w:sz w:val="18"/>
          <w:szCs w:val="18"/>
          <w:u w:val="single" w:color="auto"/>
          <w:color w:val="0000FF"/>
        </w:rPr>
      </w:pPr>
    </w:p>
    <w:p>
      <w:pPr>
        <w:jc w:val="both"/>
        <w:ind w:left="920" w:right="20" w:hanging="917"/>
        <w:spacing w:after="0"/>
        <w:tabs>
          <w:tab w:leader="none" w:pos="900" w:val="left"/>
        </w:tabs>
        <w:rPr>
          <w:rFonts w:ascii="Arial" w:cs="Arial" w:eastAsia="Arial" w:hAnsi="Arial"/>
          <w:sz w:val="18"/>
          <w:szCs w:val="18"/>
          <w:u w:val="single" w:color="auto"/>
          <w:color w:val="0000FF"/>
        </w:rPr>
      </w:pPr>
      <w:r>
        <w:rPr>
          <w:rFonts w:ascii="Arial" w:cs="Arial" w:eastAsia="Arial" w:hAnsi="Arial"/>
          <w:sz w:val="18"/>
          <w:szCs w:val="18"/>
          <w:color w:val="auto"/>
        </w:rPr>
        <w:t>4.169</w:t>
      </w:r>
      <w:r>
        <w:rPr>
          <w:sz w:val="20"/>
          <w:szCs w:val="20"/>
          <w:color w:val="auto"/>
        </w:rPr>
        <w:tab/>
      </w:r>
      <w:hyperlink r:id="rId223">
        <w:r>
          <w:rPr>
            <w:rFonts w:ascii="Arial" w:cs="Arial" w:eastAsia="Arial" w:hAnsi="Arial"/>
            <w:sz w:val="18"/>
            <w:szCs w:val="18"/>
            <w:u w:val="single" w:color="auto"/>
            <w:color w:val="0000FF"/>
          </w:rPr>
          <w:t>Trust Supplement No. 2019-1A (Aircraft EETC), dated as of August 15, 2019, between American Airlines, Inc. and Wilmington</w:t>
        </w:r>
      </w:hyperlink>
      <w:r>
        <w:rPr>
          <w:rFonts w:ascii="Arial" w:cs="Arial" w:eastAsia="Arial" w:hAnsi="Arial"/>
          <w:sz w:val="18"/>
          <w:szCs w:val="18"/>
          <w:u w:val="single" w:color="auto"/>
          <w:color w:val="0000FF"/>
        </w:rPr>
        <w:t xml:space="preserve"> </w:t>
      </w:r>
      <w:hyperlink r:id="rId223">
        <w:r>
          <w:rPr>
            <w:rFonts w:ascii="Arial" w:cs="Arial" w:eastAsia="Arial" w:hAnsi="Arial"/>
            <w:sz w:val="18"/>
            <w:szCs w:val="18"/>
            <w:u w:val="single" w:color="auto"/>
            <w:color w:val="0000FF"/>
          </w:rPr>
          <w:t>Trust Company, as Trustee, to the Pass Through Trust Agreement, dated as of September 16, 2014 (incorporated by reference to</w:t>
        </w:r>
      </w:hyperlink>
      <w:r>
        <w:rPr>
          <w:rFonts w:ascii="Arial" w:cs="Arial" w:eastAsia="Arial" w:hAnsi="Arial"/>
          <w:sz w:val="18"/>
          <w:szCs w:val="18"/>
          <w:u w:val="single" w:color="auto"/>
          <w:color w:val="0000FF"/>
        </w:rPr>
        <w:t xml:space="preserve"> </w:t>
      </w:r>
      <w:hyperlink r:id="rId223">
        <w:r>
          <w:rPr>
            <w:rFonts w:ascii="Arial" w:cs="Arial" w:eastAsia="Arial" w:hAnsi="Arial"/>
            <w:sz w:val="18"/>
            <w:szCs w:val="18"/>
            <w:u w:val="single" w:color="auto"/>
            <w:color w:val="0000FF"/>
          </w:rPr>
          <w:t>Exhibit 4.3 to American’s Current Report on Form 8-K filed on August 15, 2019 (Commission File No. 1-02691)).</w:t>
        </w:r>
      </w:hyperlink>
    </w:p>
    <w:p>
      <w:pPr>
        <w:spacing w:after="0" w:line="41" w:lineRule="exact"/>
        <w:rPr>
          <w:rFonts w:ascii="Arial" w:cs="Arial" w:eastAsia="Arial" w:hAnsi="Arial"/>
          <w:sz w:val="18"/>
          <w:szCs w:val="18"/>
          <w:u w:val="single" w:color="auto"/>
          <w:color w:val="0000FF"/>
        </w:rPr>
      </w:pPr>
    </w:p>
    <w:p>
      <w:pPr>
        <w:jc w:val="both"/>
        <w:ind w:left="920" w:right="20" w:hanging="917"/>
        <w:spacing w:after="0"/>
        <w:tabs>
          <w:tab w:leader="none" w:pos="900" w:val="left"/>
        </w:tabs>
        <w:rPr>
          <w:rFonts w:ascii="Arial" w:cs="Arial" w:eastAsia="Arial" w:hAnsi="Arial"/>
          <w:sz w:val="18"/>
          <w:szCs w:val="18"/>
          <w:u w:val="single" w:color="auto"/>
          <w:color w:val="0000FF"/>
        </w:rPr>
      </w:pPr>
      <w:r>
        <w:rPr>
          <w:rFonts w:ascii="Arial" w:cs="Arial" w:eastAsia="Arial" w:hAnsi="Arial"/>
          <w:sz w:val="18"/>
          <w:szCs w:val="18"/>
          <w:color w:val="auto"/>
        </w:rPr>
        <w:t>4.170</w:t>
      </w:r>
      <w:r>
        <w:rPr>
          <w:sz w:val="20"/>
          <w:szCs w:val="20"/>
          <w:color w:val="auto"/>
        </w:rPr>
        <w:tab/>
      </w:r>
      <w:hyperlink r:id="rId224">
        <w:r>
          <w:rPr>
            <w:rFonts w:ascii="Arial" w:cs="Arial" w:eastAsia="Arial" w:hAnsi="Arial"/>
            <w:sz w:val="18"/>
            <w:szCs w:val="18"/>
            <w:u w:val="single" w:color="auto"/>
            <w:color w:val="0000FF"/>
          </w:rPr>
          <w:t>Trust Supplement No. 2019-1B (Aircraft EETC), dated as of August 15, 2019, between American Airlines, Inc. and Wilmington</w:t>
        </w:r>
      </w:hyperlink>
      <w:r>
        <w:rPr>
          <w:rFonts w:ascii="Arial" w:cs="Arial" w:eastAsia="Arial" w:hAnsi="Arial"/>
          <w:sz w:val="18"/>
          <w:szCs w:val="18"/>
          <w:u w:val="single" w:color="auto"/>
          <w:color w:val="0000FF"/>
        </w:rPr>
        <w:t xml:space="preserve"> </w:t>
      </w:r>
      <w:hyperlink r:id="rId224">
        <w:r>
          <w:rPr>
            <w:rFonts w:ascii="Arial" w:cs="Arial" w:eastAsia="Arial" w:hAnsi="Arial"/>
            <w:sz w:val="18"/>
            <w:szCs w:val="18"/>
            <w:u w:val="single" w:color="auto"/>
            <w:color w:val="0000FF"/>
          </w:rPr>
          <w:t>Trust Company, as Trustee, to the Pass Through Trust Agreement, dated as of September 16, 2014 (incorporated by reference to</w:t>
        </w:r>
      </w:hyperlink>
      <w:r>
        <w:rPr>
          <w:rFonts w:ascii="Arial" w:cs="Arial" w:eastAsia="Arial" w:hAnsi="Arial"/>
          <w:sz w:val="18"/>
          <w:szCs w:val="18"/>
          <w:u w:val="single" w:color="auto"/>
          <w:color w:val="0000FF"/>
        </w:rPr>
        <w:t xml:space="preserve"> </w:t>
      </w:r>
      <w:hyperlink r:id="rId224">
        <w:r>
          <w:rPr>
            <w:rFonts w:ascii="Arial" w:cs="Arial" w:eastAsia="Arial" w:hAnsi="Arial"/>
            <w:sz w:val="18"/>
            <w:szCs w:val="18"/>
            <w:u w:val="single" w:color="auto"/>
            <w:color w:val="0000FF"/>
          </w:rPr>
          <w:t>Exhibit 4.4 to American’s Current Report on Form 8-K filed on August 15, 2019 (Commission File No. 1-02691)).</w:t>
        </w:r>
      </w:hyperlink>
    </w:p>
    <w:p>
      <w:pPr>
        <w:spacing w:after="0" w:line="41" w:lineRule="exact"/>
        <w:rPr>
          <w:rFonts w:ascii="Arial" w:cs="Arial" w:eastAsia="Arial" w:hAnsi="Arial"/>
          <w:sz w:val="18"/>
          <w:szCs w:val="18"/>
          <w:u w:val="single" w:color="auto"/>
          <w:color w:val="0000FF"/>
        </w:rPr>
      </w:pPr>
    </w:p>
    <w:p>
      <w:pPr>
        <w:jc w:val="both"/>
        <w:ind w:left="920" w:hanging="917"/>
        <w:spacing w:after="0" w:line="237" w:lineRule="auto"/>
        <w:tabs>
          <w:tab w:leader="none" w:pos="900" w:val="left"/>
        </w:tabs>
        <w:rPr>
          <w:rFonts w:ascii="Arial" w:cs="Arial" w:eastAsia="Arial" w:hAnsi="Arial"/>
          <w:sz w:val="18"/>
          <w:szCs w:val="18"/>
          <w:u w:val="single" w:color="auto"/>
          <w:color w:val="0000FF"/>
        </w:rPr>
      </w:pPr>
      <w:r>
        <w:rPr>
          <w:rFonts w:ascii="Arial" w:cs="Arial" w:eastAsia="Arial" w:hAnsi="Arial"/>
          <w:sz w:val="18"/>
          <w:szCs w:val="18"/>
          <w:color w:val="auto"/>
        </w:rPr>
        <w:t>4.171</w:t>
      </w:r>
      <w:r>
        <w:rPr>
          <w:sz w:val="20"/>
          <w:szCs w:val="20"/>
          <w:color w:val="auto"/>
        </w:rPr>
        <w:tab/>
      </w:r>
      <w:hyperlink r:id="rId225">
        <w:r>
          <w:rPr>
            <w:rFonts w:ascii="Arial" w:cs="Arial" w:eastAsia="Arial" w:hAnsi="Arial"/>
            <w:sz w:val="18"/>
            <w:szCs w:val="18"/>
            <w:u w:val="single" w:color="auto"/>
            <w:color w:val="0000FF"/>
          </w:rPr>
          <w:t>Intercreditor Agreement (2019-1), dated as of August 15, 2019, among Wilmington Trust Company, as Trustee of the American</w:t>
        </w:r>
      </w:hyperlink>
      <w:r>
        <w:rPr>
          <w:rFonts w:ascii="Arial" w:cs="Arial" w:eastAsia="Arial" w:hAnsi="Arial"/>
          <w:sz w:val="18"/>
          <w:szCs w:val="18"/>
          <w:u w:val="single" w:color="auto"/>
          <w:color w:val="0000FF"/>
        </w:rPr>
        <w:t xml:space="preserve"> </w:t>
      </w:r>
      <w:hyperlink r:id="rId225">
        <w:r>
          <w:rPr>
            <w:rFonts w:ascii="Arial" w:cs="Arial" w:eastAsia="Arial" w:hAnsi="Arial"/>
            <w:sz w:val="18"/>
            <w:szCs w:val="18"/>
            <w:u w:val="single" w:color="auto"/>
            <w:color w:val="0000FF"/>
          </w:rPr>
          <w:t>Airlines Pass Through Trust 2019-1AA (Aircraft EETC), as Trustee of the American Airlines Pass Through Trust 2019-1A (Aircraft</w:t>
        </w:r>
      </w:hyperlink>
      <w:r>
        <w:rPr>
          <w:rFonts w:ascii="Arial" w:cs="Arial" w:eastAsia="Arial" w:hAnsi="Arial"/>
          <w:sz w:val="18"/>
          <w:szCs w:val="18"/>
          <w:u w:val="single" w:color="auto"/>
          <w:color w:val="0000FF"/>
        </w:rPr>
        <w:t xml:space="preserve"> </w:t>
      </w:r>
      <w:hyperlink r:id="rId225">
        <w:r>
          <w:rPr>
            <w:rFonts w:ascii="Arial" w:cs="Arial" w:eastAsia="Arial" w:hAnsi="Arial"/>
            <w:sz w:val="18"/>
            <w:szCs w:val="18"/>
            <w:u w:val="single" w:color="auto"/>
            <w:color w:val="0000FF"/>
          </w:rPr>
          <w:t>EETC) and as Trustee of the American Airlines Pass Through Trust 2019-1B (Aircraft EETC), National Australia Bank Limited, as</w:t>
        </w:r>
      </w:hyperlink>
      <w:r>
        <w:rPr>
          <w:rFonts w:ascii="Arial" w:cs="Arial" w:eastAsia="Arial" w:hAnsi="Arial"/>
          <w:sz w:val="18"/>
          <w:szCs w:val="18"/>
          <w:u w:val="single" w:color="auto"/>
          <w:color w:val="0000FF"/>
        </w:rPr>
        <w:t xml:space="preserve"> </w:t>
      </w:r>
      <w:hyperlink r:id="rId225">
        <w:r>
          <w:rPr>
            <w:rFonts w:ascii="Arial" w:cs="Arial" w:eastAsia="Arial" w:hAnsi="Arial"/>
            <w:sz w:val="18"/>
            <w:szCs w:val="18"/>
            <w:u w:val="single" w:color="auto"/>
            <w:color w:val="0000FF"/>
          </w:rPr>
          <w:t>Class AA Liquidity Provider, Class A Liquidity Provider and Class B Liquidity Provider, and Wilmington Trust Company, as</w:t>
        </w:r>
      </w:hyperlink>
      <w:r>
        <w:rPr>
          <w:rFonts w:ascii="Arial" w:cs="Arial" w:eastAsia="Arial" w:hAnsi="Arial"/>
          <w:sz w:val="18"/>
          <w:szCs w:val="18"/>
          <w:u w:val="single" w:color="auto"/>
          <w:color w:val="0000FF"/>
        </w:rPr>
        <w:t xml:space="preserve"> </w:t>
      </w:r>
      <w:hyperlink r:id="rId225">
        <w:r>
          <w:rPr>
            <w:rFonts w:ascii="Arial" w:cs="Arial" w:eastAsia="Arial" w:hAnsi="Arial"/>
            <w:sz w:val="18"/>
            <w:szCs w:val="18"/>
            <w:u w:val="single" w:color="auto"/>
            <w:color w:val="0000FF"/>
          </w:rPr>
          <w:t>Subordination Agent (incorporated by reference to Exhibit 4.5 to American’s Current Report on Form 8-K filed on August 15, 2019</w:t>
        </w:r>
      </w:hyperlink>
      <w:r>
        <w:rPr>
          <w:rFonts w:ascii="Arial" w:cs="Arial" w:eastAsia="Arial" w:hAnsi="Arial"/>
          <w:sz w:val="18"/>
          <w:szCs w:val="18"/>
          <w:u w:val="single" w:color="auto"/>
          <w:color w:val="0000FF"/>
        </w:rPr>
        <w:t xml:space="preserve"> </w:t>
      </w:r>
      <w:hyperlink r:id="rId225">
        <w:r>
          <w:rPr>
            <w:rFonts w:ascii="Arial" w:cs="Arial" w:eastAsia="Arial" w:hAnsi="Arial"/>
            <w:sz w:val="18"/>
            <w:szCs w:val="18"/>
            <w:u w:val="single" w:color="auto"/>
            <w:color w:val="0000FF"/>
          </w:rPr>
          <w:t>(Commission File No. 1-02691)).</w:t>
        </w:r>
      </w:hyperlink>
    </w:p>
    <w:p>
      <w:pPr>
        <w:spacing w:after="0" w:line="43" w:lineRule="exact"/>
        <w:rPr>
          <w:rFonts w:ascii="Arial" w:cs="Arial" w:eastAsia="Arial" w:hAnsi="Arial"/>
          <w:sz w:val="18"/>
          <w:szCs w:val="18"/>
          <w:u w:val="single" w:color="auto"/>
          <w:color w:val="0000FF"/>
        </w:rPr>
      </w:pPr>
    </w:p>
    <w:p>
      <w:pPr>
        <w:jc w:val="both"/>
        <w:ind w:left="920" w:hanging="917"/>
        <w:spacing w:after="0"/>
        <w:tabs>
          <w:tab w:leader="none" w:pos="900" w:val="left"/>
        </w:tabs>
        <w:rPr>
          <w:rFonts w:ascii="Arial" w:cs="Arial" w:eastAsia="Arial" w:hAnsi="Arial"/>
          <w:sz w:val="18"/>
          <w:szCs w:val="18"/>
          <w:u w:val="single" w:color="auto"/>
          <w:color w:val="0000FF"/>
        </w:rPr>
      </w:pPr>
      <w:r>
        <w:rPr>
          <w:rFonts w:ascii="Arial" w:cs="Arial" w:eastAsia="Arial" w:hAnsi="Arial"/>
          <w:sz w:val="18"/>
          <w:szCs w:val="18"/>
          <w:color w:val="auto"/>
        </w:rPr>
        <w:t>4.172</w:t>
      </w:r>
      <w:r>
        <w:rPr>
          <w:sz w:val="20"/>
          <w:szCs w:val="20"/>
          <w:color w:val="auto"/>
        </w:rPr>
        <w:tab/>
      </w:r>
      <w:hyperlink r:id="rId226">
        <w:r>
          <w:rPr>
            <w:rFonts w:ascii="Arial" w:cs="Arial" w:eastAsia="Arial" w:hAnsi="Arial"/>
            <w:sz w:val="18"/>
            <w:szCs w:val="18"/>
            <w:u w:val="single" w:color="auto"/>
            <w:color w:val="0000FF"/>
          </w:rPr>
          <w:t>Deposit Agreement (Class AA), dated as of August 15, 2019, between Wilmington Trust, National Association, as Escrow Agent,</w:t>
        </w:r>
      </w:hyperlink>
      <w:r>
        <w:rPr>
          <w:rFonts w:ascii="Arial" w:cs="Arial" w:eastAsia="Arial" w:hAnsi="Arial"/>
          <w:sz w:val="18"/>
          <w:szCs w:val="18"/>
          <w:u w:val="single" w:color="auto"/>
          <w:color w:val="0000FF"/>
        </w:rPr>
        <w:t xml:space="preserve"> </w:t>
      </w:r>
      <w:hyperlink r:id="rId226">
        <w:r>
          <w:rPr>
            <w:rFonts w:ascii="Arial" w:cs="Arial" w:eastAsia="Arial" w:hAnsi="Arial"/>
            <w:sz w:val="18"/>
            <w:szCs w:val="18"/>
            <w:u w:val="single" w:color="auto"/>
            <w:color w:val="0000FF"/>
          </w:rPr>
          <w:t>and Citibank, N.A., as Depositary (incorporated by reference to Exhibit 4.6 to American’s Current Report on Form 8-K filed on</w:t>
        </w:r>
      </w:hyperlink>
      <w:r>
        <w:rPr>
          <w:rFonts w:ascii="Arial" w:cs="Arial" w:eastAsia="Arial" w:hAnsi="Arial"/>
          <w:sz w:val="18"/>
          <w:szCs w:val="18"/>
          <w:u w:val="single" w:color="auto"/>
          <w:color w:val="0000FF"/>
        </w:rPr>
        <w:t xml:space="preserve"> </w:t>
      </w:r>
      <w:hyperlink r:id="rId226">
        <w:r>
          <w:rPr>
            <w:rFonts w:ascii="Arial" w:cs="Arial" w:eastAsia="Arial" w:hAnsi="Arial"/>
            <w:sz w:val="18"/>
            <w:szCs w:val="18"/>
            <w:u w:val="single" w:color="auto"/>
            <w:color w:val="0000FF"/>
          </w:rPr>
          <w:t>August 15, 2019 (Commission File No. 1-02691)).</w:t>
        </w:r>
      </w:hyperlink>
    </w:p>
    <w:p>
      <w:pPr>
        <w:spacing w:after="0" w:line="41" w:lineRule="exact"/>
        <w:rPr>
          <w:rFonts w:ascii="Arial" w:cs="Arial" w:eastAsia="Arial" w:hAnsi="Arial"/>
          <w:sz w:val="18"/>
          <w:szCs w:val="18"/>
          <w:u w:val="single" w:color="auto"/>
          <w:color w:val="0000FF"/>
        </w:rPr>
      </w:pPr>
    </w:p>
    <w:p>
      <w:pPr>
        <w:jc w:val="both"/>
        <w:ind w:left="920" w:hanging="917"/>
        <w:spacing w:after="0"/>
        <w:tabs>
          <w:tab w:leader="none" w:pos="900" w:val="left"/>
        </w:tabs>
        <w:rPr>
          <w:rFonts w:ascii="Arial" w:cs="Arial" w:eastAsia="Arial" w:hAnsi="Arial"/>
          <w:sz w:val="18"/>
          <w:szCs w:val="18"/>
          <w:u w:val="single" w:color="auto"/>
          <w:color w:val="0000FF"/>
        </w:rPr>
      </w:pPr>
      <w:r>
        <w:rPr>
          <w:rFonts w:ascii="Arial" w:cs="Arial" w:eastAsia="Arial" w:hAnsi="Arial"/>
          <w:sz w:val="18"/>
          <w:szCs w:val="18"/>
          <w:color w:val="auto"/>
        </w:rPr>
        <w:t>4.173</w:t>
      </w:r>
      <w:r>
        <w:rPr>
          <w:sz w:val="20"/>
          <w:szCs w:val="20"/>
          <w:color w:val="auto"/>
        </w:rPr>
        <w:tab/>
      </w:r>
      <w:hyperlink r:id="rId227">
        <w:r>
          <w:rPr>
            <w:rFonts w:ascii="Arial" w:cs="Arial" w:eastAsia="Arial" w:hAnsi="Arial"/>
            <w:sz w:val="18"/>
            <w:szCs w:val="18"/>
            <w:u w:val="single" w:color="auto"/>
            <w:color w:val="0000FF"/>
          </w:rPr>
          <w:t>Deposit Agreement (Class A), dated as of August 15, 2019, between Wilmington Trust, National Association, as Escrow Agent, and</w:t>
        </w:r>
      </w:hyperlink>
      <w:r>
        <w:rPr>
          <w:rFonts w:ascii="Arial" w:cs="Arial" w:eastAsia="Arial" w:hAnsi="Arial"/>
          <w:sz w:val="18"/>
          <w:szCs w:val="18"/>
          <w:u w:val="single" w:color="auto"/>
          <w:color w:val="0000FF"/>
        </w:rPr>
        <w:t xml:space="preserve"> </w:t>
      </w:r>
      <w:hyperlink r:id="rId227">
        <w:r>
          <w:rPr>
            <w:rFonts w:ascii="Arial" w:cs="Arial" w:eastAsia="Arial" w:hAnsi="Arial"/>
            <w:sz w:val="18"/>
            <w:szCs w:val="18"/>
            <w:u w:val="single" w:color="auto"/>
            <w:color w:val="0000FF"/>
          </w:rPr>
          <w:t>Citibank, N.A., as Depositary (incorporated by reference to Exhibit 4.7 to American’s Current Report on Form 8-K filed on August</w:t>
        </w:r>
      </w:hyperlink>
      <w:r>
        <w:rPr>
          <w:rFonts w:ascii="Arial" w:cs="Arial" w:eastAsia="Arial" w:hAnsi="Arial"/>
          <w:sz w:val="18"/>
          <w:szCs w:val="18"/>
          <w:u w:val="single" w:color="auto"/>
          <w:color w:val="0000FF"/>
        </w:rPr>
        <w:t xml:space="preserve"> </w:t>
      </w:r>
      <w:hyperlink r:id="rId227">
        <w:r>
          <w:rPr>
            <w:rFonts w:ascii="Arial" w:cs="Arial" w:eastAsia="Arial" w:hAnsi="Arial"/>
            <w:sz w:val="18"/>
            <w:szCs w:val="18"/>
            <w:u w:val="single" w:color="auto"/>
            <w:color w:val="0000FF"/>
          </w:rPr>
          <w:t>15, 2019 (Commission File No. 1-02691)).</w:t>
        </w:r>
      </w:hyperlink>
    </w:p>
    <w:p>
      <w:pPr>
        <w:spacing w:after="0" w:line="41" w:lineRule="exact"/>
        <w:rPr>
          <w:rFonts w:ascii="Arial" w:cs="Arial" w:eastAsia="Arial" w:hAnsi="Arial"/>
          <w:sz w:val="18"/>
          <w:szCs w:val="18"/>
          <w:u w:val="single" w:color="auto"/>
          <w:color w:val="0000FF"/>
        </w:rPr>
      </w:pPr>
    </w:p>
    <w:p>
      <w:pPr>
        <w:jc w:val="both"/>
        <w:ind w:left="920" w:hanging="917"/>
        <w:spacing w:after="0"/>
        <w:tabs>
          <w:tab w:leader="none" w:pos="900" w:val="left"/>
        </w:tabs>
        <w:rPr>
          <w:rFonts w:ascii="Arial" w:cs="Arial" w:eastAsia="Arial" w:hAnsi="Arial"/>
          <w:sz w:val="18"/>
          <w:szCs w:val="18"/>
          <w:u w:val="single" w:color="auto"/>
          <w:color w:val="0000FF"/>
        </w:rPr>
      </w:pPr>
      <w:r>
        <w:rPr>
          <w:rFonts w:ascii="Arial" w:cs="Arial" w:eastAsia="Arial" w:hAnsi="Arial"/>
          <w:sz w:val="18"/>
          <w:szCs w:val="18"/>
          <w:color w:val="auto"/>
        </w:rPr>
        <w:t>4.174</w:t>
      </w:r>
      <w:r>
        <w:rPr>
          <w:sz w:val="20"/>
          <w:szCs w:val="20"/>
          <w:color w:val="auto"/>
        </w:rPr>
        <w:tab/>
      </w:r>
      <w:hyperlink r:id="rId228">
        <w:r>
          <w:rPr>
            <w:rFonts w:ascii="Arial" w:cs="Arial" w:eastAsia="Arial" w:hAnsi="Arial"/>
            <w:sz w:val="18"/>
            <w:szCs w:val="18"/>
            <w:u w:val="single" w:color="auto"/>
            <w:color w:val="0000FF"/>
          </w:rPr>
          <w:t>Deposit Agreement (Class B), dated as of August 15, 2019, between Wilmington Trust, National Association, as Escrow Agent, and</w:t>
        </w:r>
      </w:hyperlink>
      <w:r>
        <w:rPr>
          <w:rFonts w:ascii="Arial" w:cs="Arial" w:eastAsia="Arial" w:hAnsi="Arial"/>
          <w:sz w:val="18"/>
          <w:szCs w:val="18"/>
          <w:u w:val="single" w:color="auto"/>
          <w:color w:val="0000FF"/>
        </w:rPr>
        <w:t xml:space="preserve"> </w:t>
      </w:r>
      <w:hyperlink r:id="rId228">
        <w:r>
          <w:rPr>
            <w:rFonts w:ascii="Arial" w:cs="Arial" w:eastAsia="Arial" w:hAnsi="Arial"/>
            <w:sz w:val="18"/>
            <w:szCs w:val="18"/>
            <w:u w:val="single" w:color="auto"/>
            <w:color w:val="0000FF"/>
          </w:rPr>
          <w:t>Citibank, N.A., as Depositary (incorporated by reference to Exhibit 4.8 to American’s Current Report on Form 8-K filed on August</w:t>
        </w:r>
      </w:hyperlink>
      <w:r>
        <w:rPr>
          <w:rFonts w:ascii="Arial" w:cs="Arial" w:eastAsia="Arial" w:hAnsi="Arial"/>
          <w:sz w:val="18"/>
          <w:szCs w:val="18"/>
          <w:u w:val="single" w:color="auto"/>
          <w:color w:val="0000FF"/>
        </w:rPr>
        <w:t xml:space="preserve"> </w:t>
      </w:r>
      <w:hyperlink r:id="rId228">
        <w:r>
          <w:rPr>
            <w:rFonts w:ascii="Arial" w:cs="Arial" w:eastAsia="Arial" w:hAnsi="Arial"/>
            <w:sz w:val="18"/>
            <w:szCs w:val="18"/>
            <w:u w:val="single" w:color="auto"/>
            <w:color w:val="0000FF"/>
          </w:rPr>
          <w:t>15, 2019 (Commission File No. 1-02691)).</w:t>
        </w:r>
      </w:hyperlink>
    </w:p>
    <w:p>
      <w:pPr>
        <w:spacing w:after="0" w:line="41" w:lineRule="exact"/>
        <w:rPr>
          <w:rFonts w:ascii="Arial" w:cs="Arial" w:eastAsia="Arial" w:hAnsi="Arial"/>
          <w:sz w:val="18"/>
          <w:szCs w:val="18"/>
          <w:u w:val="single" w:color="auto"/>
          <w:color w:val="0000FF"/>
        </w:rPr>
      </w:pPr>
    </w:p>
    <w:p>
      <w:pPr>
        <w:jc w:val="both"/>
        <w:ind w:left="920" w:right="20" w:hanging="917"/>
        <w:spacing w:after="0" w:line="238" w:lineRule="auto"/>
        <w:tabs>
          <w:tab w:leader="none" w:pos="900" w:val="left"/>
        </w:tabs>
        <w:rPr>
          <w:rFonts w:ascii="Arial" w:cs="Arial" w:eastAsia="Arial" w:hAnsi="Arial"/>
          <w:sz w:val="18"/>
          <w:szCs w:val="18"/>
          <w:u w:val="single" w:color="auto"/>
          <w:color w:val="0000FF"/>
        </w:rPr>
      </w:pPr>
      <w:r>
        <w:rPr>
          <w:rFonts w:ascii="Arial" w:cs="Arial" w:eastAsia="Arial" w:hAnsi="Arial"/>
          <w:sz w:val="18"/>
          <w:szCs w:val="18"/>
          <w:color w:val="auto"/>
        </w:rPr>
        <w:t>4.175</w:t>
      </w:r>
      <w:r>
        <w:rPr>
          <w:sz w:val="20"/>
          <w:szCs w:val="20"/>
          <w:color w:val="auto"/>
        </w:rPr>
        <w:tab/>
      </w:r>
      <w:hyperlink r:id="rId229">
        <w:r>
          <w:rPr>
            <w:rFonts w:ascii="Arial" w:cs="Arial" w:eastAsia="Arial" w:hAnsi="Arial"/>
            <w:sz w:val="18"/>
            <w:szCs w:val="18"/>
            <w:u w:val="single" w:color="auto"/>
            <w:color w:val="0000FF"/>
          </w:rPr>
          <w:t>Escrow and Paying Agent Agreement (Class AA), dated as of August 15, 2019, among Wilmington Trust, National Association, as</w:t>
        </w:r>
      </w:hyperlink>
      <w:r>
        <w:rPr>
          <w:rFonts w:ascii="Arial" w:cs="Arial" w:eastAsia="Arial" w:hAnsi="Arial"/>
          <w:sz w:val="18"/>
          <w:szCs w:val="18"/>
          <w:u w:val="single" w:color="auto"/>
          <w:color w:val="0000FF"/>
        </w:rPr>
        <w:t xml:space="preserve"> </w:t>
      </w:r>
      <w:hyperlink r:id="rId229">
        <w:r>
          <w:rPr>
            <w:rFonts w:ascii="Arial" w:cs="Arial" w:eastAsia="Arial" w:hAnsi="Arial"/>
            <w:sz w:val="18"/>
            <w:szCs w:val="18"/>
            <w:u w:val="single" w:color="auto"/>
            <w:color w:val="0000FF"/>
          </w:rPr>
          <w:t>Escrow Agent, Citigroup Global Markets Inc. and Credit Suisse Securities (USA) LLC, for themselves and on behalf of the several</w:t>
        </w:r>
      </w:hyperlink>
      <w:r>
        <w:rPr>
          <w:rFonts w:ascii="Arial" w:cs="Arial" w:eastAsia="Arial" w:hAnsi="Arial"/>
          <w:sz w:val="18"/>
          <w:szCs w:val="18"/>
          <w:u w:val="single" w:color="auto"/>
          <w:color w:val="0000FF"/>
        </w:rPr>
        <w:t xml:space="preserve"> </w:t>
      </w:r>
      <w:hyperlink r:id="rId229">
        <w:r>
          <w:rPr>
            <w:rFonts w:ascii="Arial" w:cs="Arial" w:eastAsia="Arial" w:hAnsi="Arial"/>
            <w:sz w:val="18"/>
            <w:szCs w:val="18"/>
            <w:u w:val="single" w:color="auto"/>
            <w:color w:val="0000FF"/>
          </w:rPr>
          <w:t>Underwriters, Wilmington Trust Company, not in its individual capacity, but solely as Pass Through Trustee for and on behalf of</w:t>
        </w:r>
      </w:hyperlink>
      <w:r>
        <w:rPr>
          <w:rFonts w:ascii="Arial" w:cs="Arial" w:eastAsia="Arial" w:hAnsi="Arial"/>
          <w:sz w:val="18"/>
          <w:szCs w:val="18"/>
          <w:u w:val="single" w:color="auto"/>
          <w:color w:val="0000FF"/>
        </w:rPr>
        <w:t xml:space="preserve"> </w:t>
      </w:r>
      <w:hyperlink r:id="rId229">
        <w:r>
          <w:rPr>
            <w:rFonts w:ascii="Arial" w:cs="Arial" w:eastAsia="Arial" w:hAnsi="Arial"/>
            <w:sz w:val="18"/>
            <w:szCs w:val="18"/>
            <w:u w:val="single" w:color="auto"/>
            <w:color w:val="0000FF"/>
          </w:rPr>
          <w:t>American Airlines Pass Through Trust 2019-1AA (Aircraft EETC), and Wilmington Trust Company, as Paying Agent (incorporated</w:t>
        </w:r>
      </w:hyperlink>
      <w:r>
        <w:rPr>
          <w:rFonts w:ascii="Arial" w:cs="Arial" w:eastAsia="Arial" w:hAnsi="Arial"/>
          <w:sz w:val="18"/>
          <w:szCs w:val="18"/>
          <w:u w:val="single" w:color="auto"/>
          <w:color w:val="0000FF"/>
        </w:rPr>
        <w:t xml:space="preserve"> </w:t>
      </w:r>
      <w:hyperlink r:id="rId229">
        <w:r>
          <w:rPr>
            <w:rFonts w:ascii="Arial" w:cs="Arial" w:eastAsia="Arial" w:hAnsi="Arial"/>
            <w:sz w:val="18"/>
            <w:szCs w:val="18"/>
            <w:u w:val="single" w:color="auto"/>
            <w:color w:val="0000FF"/>
          </w:rPr>
          <w:t>by reference to Exhibit 4.9 to American’s Current Report on Form 8-K filed on August 15, 2019 (Commission File No. 1-02691)).</w:t>
        </w:r>
      </w:hyperlink>
    </w:p>
    <w:p>
      <w:pPr>
        <w:spacing w:after="0" w:line="41" w:lineRule="exact"/>
        <w:rPr>
          <w:rFonts w:ascii="Arial" w:cs="Arial" w:eastAsia="Arial" w:hAnsi="Arial"/>
          <w:sz w:val="18"/>
          <w:szCs w:val="18"/>
          <w:u w:val="single" w:color="auto"/>
          <w:color w:val="0000FF"/>
        </w:rPr>
      </w:pPr>
    </w:p>
    <w:p>
      <w:pPr>
        <w:jc w:val="both"/>
        <w:ind w:left="920" w:right="20" w:hanging="917"/>
        <w:spacing w:after="0" w:line="238" w:lineRule="auto"/>
        <w:tabs>
          <w:tab w:leader="none" w:pos="900" w:val="left"/>
        </w:tabs>
        <w:rPr>
          <w:rFonts w:ascii="Arial" w:cs="Arial" w:eastAsia="Arial" w:hAnsi="Arial"/>
          <w:sz w:val="18"/>
          <w:szCs w:val="18"/>
          <w:u w:val="single" w:color="auto"/>
          <w:color w:val="0000FF"/>
        </w:rPr>
      </w:pPr>
      <w:r>
        <w:rPr>
          <w:rFonts w:ascii="Arial" w:cs="Arial" w:eastAsia="Arial" w:hAnsi="Arial"/>
          <w:sz w:val="18"/>
          <w:szCs w:val="18"/>
          <w:color w:val="auto"/>
        </w:rPr>
        <w:t>4.176</w:t>
      </w:r>
      <w:r>
        <w:rPr>
          <w:sz w:val="20"/>
          <w:szCs w:val="20"/>
          <w:color w:val="auto"/>
        </w:rPr>
        <w:tab/>
      </w:r>
      <w:hyperlink r:id="rId230">
        <w:r>
          <w:rPr>
            <w:rFonts w:ascii="Arial" w:cs="Arial" w:eastAsia="Arial" w:hAnsi="Arial"/>
            <w:sz w:val="18"/>
            <w:szCs w:val="18"/>
            <w:u w:val="single" w:color="auto"/>
            <w:color w:val="0000FF"/>
          </w:rPr>
          <w:t>Escrow and Paying Agent Agreement (Class A), dated as of August 15, 2019, among Wilmington Trust, National Association, as</w:t>
        </w:r>
      </w:hyperlink>
      <w:r>
        <w:rPr>
          <w:rFonts w:ascii="Arial" w:cs="Arial" w:eastAsia="Arial" w:hAnsi="Arial"/>
          <w:sz w:val="18"/>
          <w:szCs w:val="18"/>
          <w:u w:val="single" w:color="auto"/>
          <w:color w:val="0000FF"/>
        </w:rPr>
        <w:t xml:space="preserve"> </w:t>
      </w:r>
      <w:hyperlink r:id="rId230">
        <w:r>
          <w:rPr>
            <w:rFonts w:ascii="Arial" w:cs="Arial" w:eastAsia="Arial" w:hAnsi="Arial"/>
            <w:sz w:val="18"/>
            <w:szCs w:val="18"/>
            <w:u w:val="single" w:color="auto"/>
            <w:color w:val="0000FF"/>
          </w:rPr>
          <w:t>Escrow Agent, Citigroup Global Markets Inc. and Credit Suisse Securities (USA) LLC, for themselves and on behalf of the several</w:t>
        </w:r>
      </w:hyperlink>
      <w:r>
        <w:rPr>
          <w:rFonts w:ascii="Arial" w:cs="Arial" w:eastAsia="Arial" w:hAnsi="Arial"/>
          <w:sz w:val="18"/>
          <w:szCs w:val="18"/>
          <w:u w:val="single" w:color="auto"/>
          <w:color w:val="0000FF"/>
        </w:rPr>
        <w:t xml:space="preserve"> </w:t>
      </w:r>
      <w:hyperlink r:id="rId230">
        <w:r>
          <w:rPr>
            <w:rFonts w:ascii="Arial" w:cs="Arial" w:eastAsia="Arial" w:hAnsi="Arial"/>
            <w:sz w:val="18"/>
            <w:szCs w:val="18"/>
            <w:u w:val="single" w:color="auto"/>
            <w:color w:val="0000FF"/>
          </w:rPr>
          <w:t>Underwriters, Wilmington Trust Company, not in its individual capacity, but solely as Pass Through Trustee for and on behalf of</w:t>
        </w:r>
      </w:hyperlink>
      <w:r>
        <w:rPr>
          <w:rFonts w:ascii="Arial" w:cs="Arial" w:eastAsia="Arial" w:hAnsi="Arial"/>
          <w:sz w:val="18"/>
          <w:szCs w:val="18"/>
          <w:u w:val="single" w:color="auto"/>
          <w:color w:val="0000FF"/>
        </w:rPr>
        <w:t xml:space="preserve"> </w:t>
      </w:r>
      <w:hyperlink r:id="rId230">
        <w:r>
          <w:rPr>
            <w:rFonts w:ascii="Arial" w:cs="Arial" w:eastAsia="Arial" w:hAnsi="Arial"/>
            <w:sz w:val="18"/>
            <w:szCs w:val="18"/>
            <w:u w:val="single" w:color="auto"/>
            <w:color w:val="0000FF"/>
          </w:rPr>
          <w:t>American Airlines Pass Through Trust 2019-1A (Aircraft EETC), and Wilmington Trust Company, as Paying Agent (incorporated by</w:t>
        </w:r>
      </w:hyperlink>
      <w:r>
        <w:rPr>
          <w:rFonts w:ascii="Arial" w:cs="Arial" w:eastAsia="Arial" w:hAnsi="Arial"/>
          <w:sz w:val="18"/>
          <w:szCs w:val="18"/>
          <w:u w:val="single" w:color="auto"/>
          <w:color w:val="0000FF"/>
        </w:rPr>
        <w:t xml:space="preserve"> </w:t>
      </w:r>
      <w:hyperlink r:id="rId230">
        <w:r>
          <w:rPr>
            <w:rFonts w:ascii="Arial" w:cs="Arial" w:eastAsia="Arial" w:hAnsi="Arial"/>
            <w:sz w:val="18"/>
            <w:szCs w:val="18"/>
            <w:u w:val="single" w:color="auto"/>
            <w:color w:val="0000FF"/>
          </w:rPr>
          <w:t>reference to Exhibit 4.10 to American’s Current Report on Form 8-K filed on August 15, 2019 (Commission File No. 1-02691)).</w:t>
        </w:r>
      </w:hyperlink>
    </w:p>
    <w:p>
      <w:pPr>
        <w:spacing w:after="0" w:line="41" w:lineRule="exact"/>
        <w:rPr>
          <w:rFonts w:ascii="Arial" w:cs="Arial" w:eastAsia="Arial" w:hAnsi="Arial"/>
          <w:sz w:val="18"/>
          <w:szCs w:val="18"/>
          <w:u w:val="single" w:color="auto"/>
          <w:color w:val="0000FF"/>
        </w:rPr>
      </w:pPr>
    </w:p>
    <w:p>
      <w:pPr>
        <w:jc w:val="both"/>
        <w:ind w:left="920" w:right="20" w:hanging="917"/>
        <w:spacing w:after="0" w:line="238" w:lineRule="auto"/>
        <w:tabs>
          <w:tab w:leader="none" w:pos="900" w:val="left"/>
        </w:tabs>
        <w:rPr>
          <w:rFonts w:ascii="Arial" w:cs="Arial" w:eastAsia="Arial" w:hAnsi="Arial"/>
          <w:sz w:val="18"/>
          <w:szCs w:val="18"/>
          <w:u w:val="single" w:color="auto"/>
          <w:color w:val="0000FF"/>
        </w:rPr>
      </w:pPr>
      <w:r>
        <w:rPr>
          <w:rFonts w:ascii="Arial" w:cs="Arial" w:eastAsia="Arial" w:hAnsi="Arial"/>
          <w:sz w:val="18"/>
          <w:szCs w:val="18"/>
          <w:color w:val="auto"/>
        </w:rPr>
        <w:t>4.177</w:t>
      </w:r>
      <w:r>
        <w:rPr>
          <w:sz w:val="20"/>
          <w:szCs w:val="20"/>
          <w:color w:val="auto"/>
        </w:rPr>
        <w:tab/>
      </w:r>
      <w:hyperlink r:id="rId231">
        <w:r>
          <w:rPr>
            <w:rFonts w:ascii="Arial" w:cs="Arial" w:eastAsia="Arial" w:hAnsi="Arial"/>
            <w:sz w:val="18"/>
            <w:szCs w:val="18"/>
            <w:u w:val="single" w:color="auto"/>
            <w:color w:val="0000FF"/>
          </w:rPr>
          <w:t>Escrow and Paying Agent Agreement (Class B), dated as of August 15, 2019, among Wilmington Trust, National Association, as</w:t>
        </w:r>
      </w:hyperlink>
      <w:r>
        <w:rPr>
          <w:rFonts w:ascii="Arial" w:cs="Arial" w:eastAsia="Arial" w:hAnsi="Arial"/>
          <w:sz w:val="18"/>
          <w:szCs w:val="18"/>
          <w:u w:val="single" w:color="auto"/>
          <w:color w:val="0000FF"/>
        </w:rPr>
        <w:t xml:space="preserve"> </w:t>
      </w:r>
      <w:hyperlink r:id="rId231">
        <w:r>
          <w:rPr>
            <w:rFonts w:ascii="Arial" w:cs="Arial" w:eastAsia="Arial" w:hAnsi="Arial"/>
            <w:sz w:val="18"/>
            <w:szCs w:val="18"/>
            <w:u w:val="single" w:color="auto"/>
            <w:color w:val="0000FF"/>
          </w:rPr>
          <w:t>Escrow Agent, Citigroup Global Markets Inc. and Credit Suisse Securities (USA) LLC, for themselves and on behalf of the several</w:t>
        </w:r>
      </w:hyperlink>
      <w:r>
        <w:rPr>
          <w:rFonts w:ascii="Arial" w:cs="Arial" w:eastAsia="Arial" w:hAnsi="Arial"/>
          <w:sz w:val="18"/>
          <w:szCs w:val="18"/>
          <w:u w:val="single" w:color="auto"/>
          <w:color w:val="0000FF"/>
        </w:rPr>
        <w:t xml:space="preserve"> </w:t>
      </w:r>
      <w:hyperlink r:id="rId231">
        <w:r>
          <w:rPr>
            <w:rFonts w:ascii="Arial" w:cs="Arial" w:eastAsia="Arial" w:hAnsi="Arial"/>
            <w:sz w:val="18"/>
            <w:szCs w:val="18"/>
            <w:u w:val="single" w:color="auto"/>
            <w:color w:val="0000FF"/>
          </w:rPr>
          <w:t>Underwriters, Wilmington Trust Company, not in its individual capacity, but solely as Pass Through Trustee for and on behalf of</w:t>
        </w:r>
      </w:hyperlink>
      <w:r>
        <w:rPr>
          <w:rFonts w:ascii="Arial" w:cs="Arial" w:eastAsia="Arial" w:hAnsi="Arial"/>
          <w:sz w:val="18"/>
          <w:szCs w:val="18"/>
          <w:u w:val="single" w:color="auto"/>
          <w:color w:val="0000FF"/>
        </w:rPr>
        <w:t xml:space="preserve"> </w:t>
      </w:r>
      <w:hyperlink r:id="rId231">
        <w:r>
          <w:rPr>
            <w:rFonts w:ascii="Arial" w:cs="Arial" w:eastAsia="Arial" w:hAnsi="Arial"/>
            <w:sz w:val="18"/>
            <w:szCs w:val="18"/>
            <w:u w:val="single" w:color="auto"/>
            <w:color w:val="0000FF"/>
          </w:rPr>
          <w:t>American Airlines Pass Through Trust 2019-1B (Aircraft EETC), and Wilmington Trust Company, as Paying Agent (incorporated by</w:t>
        </w:r>
      </w:hyperlink>
      <w:r>
        <w:rPr>
          <w:rFonts w:ascii="Arial" w:cs="Arial" w:eastAsia="Arial" w:hAnsi="Arial"/>
          <w:sz w:val="18"/>
          <w:szCs w:val="18"/>
          <w:u w:val="single" w:color="auto"/>
          <w:color w:val="0000FF"/>
        </w:rPr>
        <w:t xml:space="preserve"> </w:t>
      </w:r>
      <w:hyperlink r:id="rId231">
        <w:r>
          <w:rPr>
            <w:rFonts w:ascii="Arial" w:cs="Arial" w:eastAsia="Arial" w:hAnsi="Arial"/>
            <w:sz w:val="18"/>
            <w:szCs w:val="18"/>
            <w:u w:val="single" w:color="auto"/>
            <w:color w:val="0000FF"/>
          </w:rPr>
          <w:t>reference to Exhibit 4.11 to American’s Current Report on Form 8-K filed on August 15, 2019 (Commission File No. 1-02691)).</w:t>
        </w:r>
      </w:hyperlink>
    </w:p>
    <w:p>
      <w:pPr>
        <w:spacing w:after="0" w:line="41" w:lineRule="exact"/>
        <w:rPr>
          <w:rFonts w:ascii="Arial" w:cs="Arial" w:eastAsia="Arial" w:hAnsi="Arial"/>
          <w:sz w:val="18"/>
          <w:szCs w:val="18"/>
          <w:u w:val="single" w:color="auto"/>
          <w:color w:val="0000FF"/>
        </w:rPr>
      </w:pPr>
    </w:p>
    <w:p>
      <w:pPr>
        <w:jc w:val="both"/>
        <w:ind w:left="920" w:right="20" w:hanging="917"/>
        <w:spacing w:after="0" w:line="239" w:lineRule="auto"/>
        <w:tabs>
          <w:tab w:leader="none" w:pos="900" w:val="left"/>
        </w:tabs>
        <w:rPr>
          <w:rFonts w:ascii="Arial" w:cs="Arial" w:eastAsia="Arial" w:hAnsi="Arial"/>
          <w:sz w:val="18"/>
          <w:szCs w:val="18"/>
          <w:u w:val="single" w:color="auto"/>
          <w:color w:val="0000FF"/>
        </w:rPr>
      </w:pPr>
      <w:r>
        <w:rPr>
          <w:rFonts w:ascii="Arial" w:cs="Arial" w:eastAsia="Arial" w:hAnsi="Arial"/>
          <w:sz w:val="18"/>
          <w:szCs w:val="18"/>
          <w:color w:val="auto"/>
        </w:rPr>
        <w:t>4.178</w:t>
      </w:r>
      <w:r>
        <w:rPr>
          <w:sz w:val="20"/>
          <w:szCs w:val="20"/>
          <w:color w:val="auto"/>
        </w:rPr>
        <w:tab/>
      </w:r>
      <w:hyperlink r:id="rId232">
        <w:r>
          <w:rPr>
            <w:rFonts w:ascii="Arial" w:cs="Arial" w:eastAsia="Arial" w:hAnsi="Arial"/>
            <w:sz w:val="18"/>
            <w:szCs w:val="18"/>
            <w:u w:val="single" w:color="auto"/>
            <w:color w:val="0000FF"/>
          </w:rPr>
          <w:t>Note Purchase Agreement, dated as of August 15, 2019, among American Airlines, Inc., Wilmington Trust Company, as Pass</w:t>
        </w:r>
      </w:hyperlink>
      <w:r>
        <w:rPr>
          <w:rFonts w:ascii="Arial" w:cs="Arial" w:eastAsia="Arial" w:hAnsi="Arial"/>
          <w:sz w:val="18"/>
          <w:szCs w:val="18"/>
          <w:u w:val="single" w:color="auto"/>
          <w:color w:val="0000FF"/>
        </w:rPr>
        <w:t xml:space="preserve"> </w:t>
      </w:r>
      <w:hyperlink r:id="rId232">
        <w:r>
          <w:rPr>
            <w:rFonts w:ascii="Arial" w:cs="Arial" w:eastAsia="Arial" w:hAnsi="Arial"/>
            <w:sz w:val="18"/>
            <w:szCs w:val="18"/>
            <w:u w:val="single" w:color="auto"/>
            <w:color w:val="0000FF"/>
          </w:rPr>
          <w:t>Through Trustee under each of the Pass Through Trust Agreements, Wilmington Trust Company, as Subordination Agent,</w:t>
        </w:r>
      </w:hyperlink>
      <w:r>
        <w:rPr>
          <w:rFonts w:ascii="Arial" w:cs="Arial" w:eastAsia="Arial" w:hAnsi="Arial"/>
          <w:sz w:val="18"/>
          <w:szCs w:val="18"/>
          <w:u w:val="single" w:color="auto"/>
          <w:color w:val="0000FF"/>
        </w:rPr>
        <w:t xml:space="preserve"> </w:t>
      </w:r>
      <w:hyperlink r:id="rId232">
        <w:r>
          <w:rPr>
            <w:rFonts w:ascii="Arial" w:cs="Arial" w:eastAsia="Arial" w:hAnsi="Arial"/>
            <w:sz w:val="18"/>
            <w:szCs w:val="18"/>
            <w:u w:val="single" w:color="auto"/>
            <w:color w:val="0000FF"/>
          </w:rPr>
          <w:t>Wilmington Trust, National Association, as Escrow Agent, and Wilmington Trust Company, as Paying Agent (incorporated by</w:t>
        </w:r>
      </w:hyperlink>
      <w:r>
        <w:rPr>
          <w:rFonts w:ascii="Arial" w:cs="Arial" w:eastAsia="Arial" w:hAnsi="Arial"/>
          <w:sz w:val="18"/>
          <w:szCs w:val="18"/>
          <w:u w:val="single" w:color="auto"/>
          <w:color w:val="0000FF"/>
        </w:rPr>
        <w:t xml:space="preserve"> </w:t>
      </w:r>
      <w:hyperlink r:id="rId232">
        <w:r>
          <w:rPr>
            <w:rFonts w:ascii="Arial" w:cs="Arial" w:eastAsia="Arial" w:hAnsi="Arial"/>
            <w:sz w:val="18"/>
            <w:szCs w:val="18"/>
            <w:u w:val="single" w:color="auto"/>
            <w:color w:val="0000FF"/>
          </w:rPr>
          <w:t>reference to Exhibit 4.12 to American’s Current Report on Form 8-K filed on August 15, 2019 (Commission File No. 1-02691)).</w:t>
        </w:r>
      </w:hyperlink>
    </w:p>
    <w:p>
      <w:pPr>
        <w:spacing w:after="0" w:line="40" w:lineRule="exact"/>
        <w:rPr>
          <w:rFonts w:ascii="Arial" w:cs="Arial" w:eastAsia="Arial" w:hAnsi="Arial"/>
          <w:sz w:val="18"/>
          <w:szCs w:val="18"/>
          <w:u w:val="single" w:color="auto"/>
          <w:color w:val="0000FF"/>
        </w:rPr>
      </w:pPr>
    </w:p>
    <w:p>
      <w:pPr>
        <w:jc w:val="both"/>
        <w:ind w:left="920" w:hanging="917"/>
        <w:spacing w:after="0" w:line="238" w:lineRule="auto"/>
        <w:tabs>
          <w:tab w:leader="none" w:pos="900" w:val="left"/>
        </w:tabs>
        <w:rPr>
          <w:rFonts w:ascii="Arial" w:cs="Arial" w:eastAsia="Arial" w:hAnsi="Arial"/>
          <w:sz w:val="18"/>
          <w:szCs w:val="18"/>
          <w:u w:val="single" w:color="auto"/>
          <w:color w:val="0000FF"/>
        </w:rPr>
      </w:pPr>
      <w:r>
        <w:rPr>
          <w:rFonts w:ascii="Arial" w:cs="Arial" w:eastAsia="Arial" w:hAnsi="Arial"/>
          <w:sz w:val="18"/>
          <w:szCs w:val="18"/>
          <w:color w:val="auto"/>
        </w:rPr>
        <w:t>4.179</w:t>
      </w:r>
      <w:r>
        <w:rPr>
          <w:sz w:val="20"/>
          <w:szCs w:val="20"/>
          <w:color w:val="auto"/>
        </w:rPr>
        <w:tab/>
      </w:r>
      <w:hyperlink r:id="rId232">
        <w:r>
          <w:rPr>
            <w:rFonts w:ascii="Arial" w:cs="Arial" w:eastAsia="Arial" w:hAnsi="Arial"/>
            <w:sz w:val="18"/>
            <w:szCs w:val="18"/>
            <w:u w:val="single" w:color="auto"/>
            <w:color w:val="0000FF"/>
          </w:rPr>
          <w:t>Form of Participation Agreement (Participation Agreement among American Airlines, Inc., Wilmington Trust Company, as Pass</w:t>
        </w:r>
      </w:hyperlink>
      <w:r>
        <w:rPr>
          <w:rFonts w:ascii="Arial" w:cs="Arial" w:eastAsia="Arial" w:hAnsi="Arial"/>
          <w:sz w:val="18"/>
          <w:szCs w:val="18"/>
          <w:u w:val="single" w:color="auto"/>
          <w:color w:val="0000FF"/>
        </w:rPr>
        <w:t xml:space="preserve"> </w:t>
      </w:r>
      <w:hyperlink r:id="rId232">
        <w:r>
          <w:rPr>
            <w:rFonts w:ascii="Arial" w:cs="Arial" w:eastAsia="Arial" w:hAnsi="Arial"/>
            <w:sz w:val="18"/>
            <w:szCs w:val="18"/>
            <w:u w:val="single" w:color="auto"/>
            <w:color w:val="0000FF"/>
          </w:rPr>
          <w:t>Through Trustee under each of the Pass Through Trust Agreements, Wilmington Trust Company, as Subordination Agent,</w:t>
        </w:r>
      </w:hyperlink>
      <w:r>
        <w:rPr>
          <w:rFonts w:ascii="Arial" w:cs="Arial" w:eastAsia="Arial" w:hAnsi="Arial"/>
          <w:sz w:val="18"/>
          <w:szCs w:val="18"/>
          <w:u w:val="single" w:color="auto"/>
          <w:color w:val="0000FF"/>
        </w:rPr>
        <w:t xml:space="preserve"> </w:t>
      </w:r>
      <w:hyperlink r:id="rId232">
        <w:r>
          <w:rPr>
            <w:rFonts w:ascii="Arial" w:cs="Arial" w:eastAsia="Arial" w:hAnsi="Arial"/>
            <w:sz w:val="18"/>
            <w:szCs w:val="18"/>
            <w:u w:val="single" w:color="auto"/>
            <w:color w:val="0000FF"/>
          </w:rPr>
          <w:t>Wilmington Trust Company, as Loan Trustee, and Wilmington Trust Company, in its individual capacity as set forth therein)</w:t>
        </w:r>
      </w:hyperlink>
      <w:r>
        <w:rPr>
          <w:rFonts w:ascii="Arial" w:cs="Arial" w:eastAsia="Arial" w:hAnsi="Arial"/>
          <w:sz w:val="18"/>
          <w:szCs w:val="18"/>
          <w:u w:val="single" w:color="auto"/>
          <w:color w:val="0000FF"/>
        </w:rPr>
        <w:t xml:space="preserve"> </w:t>
      </w:r>
      <w:hyperlink r:id="rId232">
        <w:r>
          <w:rPr>
            <w:rFonts w:ascii="Arial" w:cs="Arial" w:eastAsia="Arial" w:hAnsi="Arial"/>
            <w:sz w:val="18"/>
            <w:szCs w:val="18"/>
            <w:u w:val="single" w:color="auto"/>
            <w:color w:val="0000FF"/>
          </w:rPr>
          <w:t>(incorporated by reference to Exhibit B to Exhibit 4.12 to American’s Current Report on Form 8-K filed on August 15, 2019</w:t>
        </w:r>
      </w:hyperlink>
      <w:r>
        <w:rPr>
          <w:rFonts w:ascii="Arial" w:cs="Arial" w:eastAsia="Arial" w:hAnsi="Arial"/>
          <w:sz w:val="18"/>
          <w:szCs w:val="18"/>
          <w:u w:val="single" w:color="auto"/>
          <w:color w:val="0000FF"/>
        </w:rPr>
        <w:t xml:space="preserve"> </w:t>
      </w:r>
      <w:hyperlink r:id="rId232">
        <w:r>
          <w:rPr>
            <w:rFonts w:ascii="Arial" w:cs="Arial" w:eastAsia="Arial" w:hAnsi="Arial"/>
            <w:sz w:val="18"/>
            <w:szCs w:val="18"/>
            <w:u w:val="single" w:color="auto"/>
            <w:color w:val="0000FF"/>
          </w:rPr>
          <w:t>(Commission File No. 1-02691)).</w:t>
        </w:r>
      </w:hyperlink>
    </w:p>
    <w:p>
      <w:pPr>
        <w:spacing w:after="0" w:line="41" w:lineRule="exact"/>
        <w:rPr>
          <w:rFonts w:ascii="Arial" w:cs="Arial" w:eastAsia="Arial" w:hAnsi="Arial"/>
          <w:sz w:val="18"/>
          <w:szCs w:val="18"/>
          <w:u w:val="single" w:color="auto"/>
          <w:color w:val="0000FF"/>
        </w:rPr>
      </w:pPr>
    </w:p>
    <w:p>
      <w:pPr>
        <w:jc w:val="both"/>
        <w:ind w:left="920" w:right="20" w:hanging="917"/>
        <w:spacing w:after="0"/>
        <w:tabs>
          <w:tab w:leader="none" w:pos="900" w:val="left"/>
        </w:tabs>
        <w:rPr>
          <w:rFonts w:ascii="Arial" w:cs="Arial" w:eastAsia="Arial" w:hAnsi="Arial"/>
          <w:sz w:val="18"/>
          <w:szCs w:val="18"/>
          <w:u w:val="single" w:color="auto"/>
          <w:color w:val="0000FF"/>
        </w:rPr>
      </w:pPr>
      <w:r>
        <w:rPr>
          <w:rFonts w:ascii="Arial" w:cs="Arial" w:eastAsia="Arial" w:hAnsi="Arial"/>
          <w:sz w:val="18"/>
          <w:szCs w:val="18"/>
          <w:color w:val="auto"/>
        </w:rPr>
        <w:t>4.180</w:t>
      </w:r>
      <w:r>
        <w:rPr>
          <w:sz w:val="20"/>
          <w:szCs w:val="20"/>
          <w:color w:val="auto"/>
        </w:rPr>
        <w:tab/>
      </w:r>
      <w:hyperlink r:id="rId232">
        <w:r>
          <w:rPr>
            <w:rFonts w:ascii="Arial" w:cs="Arial" w:eastAsia="Arial" w:hAnsi="Arial"/>
            <w:sz w:val="18"/>
            <w:szCs w:val="18"/>
            <w:u w:val="single" w:color="auto"/>
            <w:color w:val="0000FF"/>
          </w:rPr>
          <w:t>Form of Indenture and Security Agreement (Indenture and Security Agreement between American Airlines, Inc., and Wilmington</w:t>
        </w:r>
      </w:hyperlink>
      <w:r>
        <w:rPr>
          <w:rFonts w:ascii="Arial" w:cs="Arial" w:eastAsia="Arial" w:hAnsi="Arial"/>
          <w:sz w:val="18"/>
          <w:szCs w:val="18"/>
          <w:u w:val="single" w:color="auto"/>
          <w:color w:val="0000FF"/>
        </w:rPr>
        <w:t xml:space="preserve"> </w:t>
      </w:r>
      <w:hyperlink r:id="rId232">
        <w:r>
          <w:rPr>
            <w:rFonts w:ascii="Arial" w:cs="Arial" w:eastAsia="Arial" w:hAnsi="Arial"/>
            <w:sz w:val="18"/>
            <w:szCs w:val="18"/>
            <w:u w:val="single" w:color="auto"/>
            <w:color w:val="0000FF"/>
          </w:rPr>
          <w:t>Trust Company, as Loan Trustee) (incorporated by reference to Exhibit C to Exhibit 4.12 to American’s Current Report on Form 8-K</w:t>
        </w:r>
      </w:hyperlink>
      <w:r>
        <w:rPr>
          <w:rFonts w:ascii="Arial" w:cs="Arial" w:eastAsia="Arial" w:hAnsi="Arial"/>
          <w:sz w:val="18"/>
          <w:szCs w:val="18"/>
          <w:u w:val="single" w:color="auto"/>
          <w:color w:val="0000FF"/>
        </w:rPr>
        <w:t xml:space="preserve"> </w:t>
      </w:r>
      <w:hyperlink r:id="rId232">
        <w:r>
          <w:rPr>
            <w:rFonts w:ascii="Arial" w:cs="Arial" w:eastAsia="Arial" w:hAnsi="Arial"/>
            <w:sz w:val="18"/>
            <w:szCs w:val="18"/>
            <w:u w:val="single" w:color="auto"/>
            <w:color w:val="0000FF"/>
          </w:rPr>
          <w:t>filed on August 15, 2019 (Commission File No. 1-02691)).</w:t>
        </w:r>
      </w:hyperlink>
    </w:p>
    <w:p>
      <w:pPr>
        <w:spacing w:after="0" w:line="41" w:lineRule="exact"/>
        <w:rPr>
          <w:rFonts w:ascii="Arial" w:cs="Arial" w:eastAsia="Arial" w:hAnsi="Arial"/>
          <w:sz w:val="18"/>
          <w:szCs w:val="18"/>
          <w:u w:val="single" w:color="auto"/>
          <w:color w:val="0000FF"/>
        </w:rPr>
      </w:pPr>
    </w:p>
    <w:p>
      <w:pPr>
        <w:jc w:val="both"/>
        <w:ind w:left="920" w:hanging="917"/>
        <w:spacing w:after="0" w:line="246" w:lineRule="auto"/>
        <w:tabs>
          <w:tab w:leader="none" w:pos="900" w:val="left"/>
        </w:tabs>
        <w:rPr>
          <w:rFonts w:ascii="Arial" w:cs="Arial" w:eastAsia="Arial" w:hAnsi="Arial"/>
          <w:sz w:val="18"/>
          <w:szCs w:val="18"/>
          <w:u w:val="single" w:color="auto"/>
          <w:color w:val="0000FF"/>
        </w:rPr>
      </w:pPr>
      <w:r>
        <w:rPr>
          <w:rFonts w:ascii="Arial" w:cs="Arial" w:eastAsia="Arial" w:hAnsi="Arial"/>
          <w:sz w:val="18"/>
          <w:szCs w:val="18"/>
          <w:color w:val="auto"/>
        </w:rPr>
        <w:t>4.181</w:t>
      </w:r>
      <w:r>
        <w:rPr>
          <w:sz w:val="20"/>
          <w:szCs w:val="20"/>
          <w:color w:val="auto"/>
        </w:rPr>
        <w:tab/>
      </w:r>
      <w:hyperlink r:id="rId222">
        <w:r>
          <w:rPr>
            <w:rFonts w:ascii="Arial" w:cs="Arial" w:eastAsia="Arial" w:hAnsi="Arial"/>
            <w:sz w:val="18"/>
            <w:szCs w:val="18"/>
            <w:u w:val="single" w:color="auto"/>
            <w:color w:val="0000FF"/>
          </w:rPr>
          <w:t>Form of Pass Through Trust Certificate, Series 2019-1AA (Aircraft EETC) (incorporated by reference to Exhibit A to Exhibit 4.2 to</w:t>
        </w:r>
      </w:hyperlink>
      <w:r>
        <w:rPr>
          <w:rFonts w:ascii="Arial" w:cs="Arial" w:eastAsia="Arial" w:hAnsi="Arial"/>
          <w:sz w:val="18"/>
          <w:szCs w:val="18"/>
          <w:u w:val="single" w:color="auto"/>
          <w:color w:val="0000FF"/>
        </w:rPr>
        <w:t xml:space="preserve"> </w:t>
      </w:r>
      <w:hyperlink r:id="rId222">
        <w:r>
          <w:rPr>
            <w:rFonts w:ascii="Arial" w:cs="Arial" w:eastAsia="Arial" w:hAnsi="Arial"/>
            <w:sz w:val="18"/>
            <w:szCs w:val="18"/>
            <w:u w:val="single" w:color="auto"/>
            <w:color w:val="0000FF"/>
          </w:rPr>
          <w:t>American’s Current Report on Form 8-K filed on August 15, 2019 (Commission File No. 1-02691)).</w:t>
        </w:r>
      </w:hyperlink>
    </w:p>
    <w:p>
      <w:pPr>
        <w:spacing w:after="0" w:line="22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176</w:t>
      </w:r>
    </w:p>
    <w:p>
      <w:pPr>
        <w:sectPr>
          <w:pgSz w:w="11900" w:h="16838" w:orient="portrait"/>
          <w:cols w:equalWidth="0" w:num="1">
            <w:col w:w="11360"/>
          </w:cols>
          <w:pgMar w:left="280" w:top="721" w:right="259" w:bottom="1440" w:gutter="0" w:footer="0" w:header="0"/>
        </w:sectPr>
      </w:pPr>
    </w:p>
    <w:bookmarkStart w:id="176" w:name="page177"/>
    <w:bookmarkEnd w:id="176"/>
    <w:p>
      <w:pPr>
        <w:spacing w:after="0"/>
        <w:rPr>
          <w:sz w:val="20"/>
          <w:szCs w:val="20"/>
          <w:color w:val="auto"/>
        </w:rPr>
      </w:pPr>
      <w:r>
        <w:rPr>
          <w:rFonts w:ascii="Arial" w:cs="Arial" w:eastAsia="Arial" w:hAnsi="Arial"/>
          <w:sz w:val="14"/>
          <w:szCs w:val="14"/>
          <w:b w:val="1"/>
          <w:bCs w:val="1"/>
          <w:color w:val="auto"/>
        </w:rPr>
        <w:t>Exhibit</w:t>
      </w:r>
    </w:p>
    <w:p>
      <w:pPr>
        <w:spacing w:after="0" w:line="19" w:lineRule="exact"/>
        <w:rPr>
          <w:sz w:val="20"/>
          <w:szCs w:val="20"/>
          <w:color w:val="auto"/>
        </w:rPr>
      </w:pPr>
    </w:p>
    <w:p>
      <w:pPr>
        <w:spacing w:after="0"/>
        <w:tabs>
          <w:tab w:leader="none" w:pos="900" w:val="left"/>
        </w:tabs>
        <w:rPr>
          <w:sz w:val="20"/>
          <w:szCs w:val="20"/>
          <w:color w:val="auto"/>
        </w:rPr>
      </w:pPr>
      <w:r>
        <w:rPr>
          <w:rFonts w:ascii="Arial" w:cs="Arial" w:eastAsia="Arial" w:hAnsi="Arial"/>
          <w:sz w:val="14"/>
          <w:szCs w:val="14"/>
          <w:b w:val="1"/>
          <w:bCs w:val="1"/>
          <w:u w:val="single" w:color="auto"/>
          <w:color w:val="auto"/>
        </w:rPr>
        <w:t>Number</w:t>
      </w:r>
      <w:r>
        <w:rPr>
          <w:sz w:val="20"/>
          <w:szCs w:val="20"/>
          <w:color w:val="auto"/>
        </w:rPr>
        <w:tab/>
      </w:r>
      <w:r>
        <w:rPr>
          <w:rFonts w:ascii="Arial" w:cs="Arial" w:eastAsia="Arial" w:hAnsi="Arial"/>
          <w:sz w:val="14"/>
          <w:szCs w:val="14"/>
          <w:b w:val="1"/>
          <w:bCs w:val="1"/>
          <w:u w:val="single" w:color="auto"/>
          <w:color w:val="auto"/>
        </w:rPr>
        <w:t>Description</w:t>
      </w:r>
    </w:p>
    <w:p>
      <w:pPr>
        <w:spacing w:after="0" w:line="49" w:lineRule="exact"/>
        <w:rPr>
          <w:sz w:val="20"/>
          <w:szCs w:val="20"/>
          <w:color w:val="auto"/>
        </w:rPr>
      </w:pPr>
    </w:p>
    <w:p>
      <w:pPr>
        <w:jc w:val="both"/>
        <w:ind w:left="920" w:hanging="917"/>
        <w:spacing w:after="0" w:line="246" w:lineRule="auto"/>
        <w:tabs>
          <w:tab w:leader="none" w:pos="900" w:val="left"/>
        </w:tabs>
        <w:rPr>
          <w:rFonts w:ascii="Arial" w:cs="Arial" w:eastAsia="Arial" w:hAnsi="Arial"/>
          <w:sz w:val="18"/>
          <w:szCs w:val="18"/>
          <w:u w:val="single" w:color="auto"/>
          <w:color w:val="0000FF"/>
        </w:rPr>
      </w:pPr>
      <w:r>
        <w:rPr>
          <w:rFonts w:ascii="Arial" w:cs="Arial" w:eastAsia="Arial" w:hAnsi="Arial"/>
          <w:sz w:val="18"/>
          <w:szCs w:val="18"/>
          <w:color w:val="auto"/>
        </w:rPr>
        <w:t>4.182</w:t>
      </w:r>
      <w:r>
        <w:rPr>
          <w:sz w:val="20"/>
          <w:szCs w:val="20"/>
          <w:color w:val="auto"/>
        </w:rPr>
        <w:tab/>
      </w:r>
      <w:hyperlink r:id="rId223">
        <w:r>
          <w:rPr>
            <w:rFonts w:ascii="Arial" w:cs="Arial" w:eastAsia="Arial" w:hAnsi="Arial"/>
            <w:sz w:val="18"/>
            <w:szCs w:val="18"/>
            <w:u w:val="single" w:color="auto"/>
            <w:color w:val="0000FF"/>
          </w:rPr>
          <w:t>Form of Pass Through Trust Certificate, Series 2019-1A (Aircraft EETC) (incorporated by reference to Exhibit A to Exhibit 4.3 to</w:t>
        </w:r>
      </w:hyperlink>
      <w:r>
        <w:rPr>
          <w:rFonts w:ascii="Arial" w:cs="Arial" w:eastAsia="Arial" w:hAnsi="Arial"/>
          <w:sz w:val="18"/>
          <w:szCs w:val="18"/>
          <w:u w:val="single" w:color="auto"/>
          <w:color w:val="0000FF"/>
        </w:rPr>
        <w:t xml:space="preserve"> </w:t>
      </w:r>
      <w:hyperlink r:id="rId223">
        <w:r>
          <w:rPr>
            <w:rFonts w:ascii="Arial" w:cs="Arial" w:eastAsia="Arial" w:hAnsi="Arial"/>
            <w:sz w:val="18"/>
            <w:szCs w:val="18"/>
            <w:u w:val="single" w:color="auto"/>
            <w:color w:val="0000FF"/>
          </w:rPr>
          <w:t>American’s Current Report on Form 8-K filed on August 15, 2019 (Commission File No. 1-02691)).</w:t>
        </w:r>
      </w:hyperlink>
    </w:p>
    <w:p>
      <w:pPr>
        <w:spacing w:after="0" w:line="35" w:lineRule="exact"/>
        <w:rPr>
          <w:sz w:val="20"/>
          <w:szCs w:val="20"/>
          <w:color w:val="auto"/>
        </w:rPr>
      </w:pPr>
    </w:p>
    <w:p>
      <w:pPr>
        <w:jc w:val="both"/>
        <w:ind w:left="920" w:hanging="917"/>
        <w:spacing w:after="0" w:line="246" w:lineRule="auto"/>
        <w:tabs>
          <w:tab w:leader="none" w:pos="900" w:val="left"/>
        </w:tabs>
        <w:rPr>
          <w:rFonts w:ascii="Arial" w:cs="Arial" w:eastAsia="Arial" w:hAnsi="Arial"/>
          <w:sz w:val="18"/>
          <w:szCs w:val="18"/>
          <w:u w:val="single" w:color="auto"/>
          <w:color w:val="0000FF"/>
        </w:rPr>
      </w:pPr>
      <w:r>
        <w:rPr>
          <w:rFonts w:ascii="Arial" w:cs="Arial" w:eastAsia="Arial" w:hAnsi="Arial"/>
          <w:sz w:val="18"/>
          <w:szCs w:val="18"/>
          <w:color w:val="auto"/>
        </w:rPr>
        <w:t>4.183</w:t>
      </w:r>
      <w:r>
        <w:rPr>
          <w:sz w:val="20"/>
          <w:szCs w:val="20"/>
          <w:color w:val="auto"/>
        </w:rPr>
        <w:tab/>
      </w:r>
      <w:hyperlink r:id="rId224">
        <w:r>
          <w:rPr>
            <w:rFonts w:ascii="Arial" w:cs="Arial" w:eastAsia="Arial" w:hAnsi="Arial"/>
            <w:sz w:val="18"/>
            <w:szCs w:val="18"/>
            <w:u w:val="single" w:color="auto"/>
            <w:color w:val="0000FF"/>
          </w:rPr>
          <w:t>Form of Pass Through Trust Certificate, Series 2019-1B (Aircraft EETC) (incorporated by reference to Exhibit A to Exhibit 4.4 to</w:t>
        </w:r>
      </w:hyperlink>
      <w:r>
        <w:rPr>
          <w:rFonts w:ascii="Arial" w:cs="Arial" w:eastAsia="Arial" w:hAnsi="Arial"/>
          <w:sz w:val="18"/>
          <w:szCs w:val="18"/>
          <w:u w:val="single" w:color="auto"/>
          <w:color w:val="0000FF"/>
        </w:rPr>
        <w:t xml:space="preserve"> </w:t>
      </w:r>
      <w:hyperlink r:id="rId224">
        <w:r>
          <w:rPr>
            <w:rFonts w:ascii="Arial" w:cs="Arial" w:eastAsia="Arial" w:hAnsi="Arial"/>
            <w:sz w:val="18"/>
            <w:szCs w:val="18"/>
            <w:u w:val="single" w:color="auto"/>
            <w:color w:val="0000FF"/>
          </w:rPr>
          <w:t>American’s Current Report on Form 8-K filed on August 15, 2019 (Commission File No. 1-02691)).</w:t>
        </w:r>
      </w:hyperlink>
    </w:p>
    <w:p>
      <w:pPr>
        <w:spacing w:after="0" w:line="35" w:lineRule="exact"/>
        <w:rPr>
          <w:sz w:val="20"/>
          <w:szCs w:val="20"/>
          <w:color w:val="auto"/>
        </w:rPr>
      </w:pPr>
    </w:p>
    <w:p>
      <w:pPr>
        <w:jc w:val="both"/>
        <w:ind w:left="920" w:hanging="917"/>
        <w:spacing w:after="0" w:line="239" w:lineRule="auto"/>
        <w:tabs>
          <w:tab w:leader="none" w:pos="900" w:val="left"/>
        </w:tabs>
        <w:rPr>
          <w:rFonts w:ascii="Arial" w:cs="Arial" w:eastAsia="Arial" w:hAnsi="Arial"/>
          <w:sz w:val="18"/>
          <w:szCs w:val="18"/>
          <w:u w:val="single" w:color="auto"/>
          <w:color w:val="0000FF"/>
        </w:rPr>
      </w:pPr>
      <w:r>
        <w:rPr>
          <w:rFonts w:ascii="Arial" w:cs="Arial" w:eastAsia="Arial" w:hAnsi="Arial"/>
          <w:sz w:val="18"/>
          <w:szCs w:val="18"/>
          <w:color w:val="auto"/>
        </w:rPr>
        <w:t>4.184</w:t>
      </w:r>
      <w:r>
        <w:rPr>
          <w:sz w:val="20"/>
          <w:szCs w:val="20"/>
          <w:color w:val="auto"/>
        </w:rPr>
        <w:tab/>
      </w:r>
      <w:hyperlink r:id="rId233">
        <w:r>
          <w:rPr>
            <w:rFonts w:ascii="Arial" w:cs="Arial" w:eastAsia="Arial" w:hAnsi="Arial"/>
            <w:sz w:val="18"/>
            <w:szCs w:val="18"/>
            <w:u w:val="single" w:color="auto"/>
            <w:color w:val="0000FF"/>
          </w:rPr>
          <w:t>Revolving Credit Agreement (2019-1AA), dated as of August 15, 2019, between Wilmington Trust Company, as Subordination</w:t>
        </w:r>
      </w:hyperlink>
      <w:r>
        <w:rPr>
          <w:rFonts w:ascii="Arial" w:cs="Arial" w:eastAsia="Arial" w:hAnsi="Arial"/>
          <w:sz w:val="18"/>
          <w:szCs w:val="18"/>
          <w:u w:val="single" w:color="auto"/>
          <w:color w:val="0000FF"/>
        </w:rPr>
        <w:t xml:space="preserve"> </w:t>
      </w:r>
      <w:hyperlink r:id="rId233">
        <w:r>
          <w:rPr>
            <w:rFonts w:ascii="Arial" w:cs="Arial" w:eastAsia="Arial" w:hAnsi="Arial"/>
            <w:sz w:val="18"/>
            <w:szCs w:val="18"/>
            <w:u w:val="single" w:color="auto"/>
            <w:color w:val="0000FF"/>
          </w:rPr>
          <w:t>Agent, as agent and trustee for the trustee of the American Airlines Pass Through Trust 2019-1AA (Aircraft EETC), as Borrower,</w:t>
        </w:r>
      </w:hyperlink>
      <w:r>
        <w:rPr>
          <w:rFonts w:ascii="Arial" w:cs="Arial" w:eastAsia="Arial" w:hAnsi="Arial"/>
          <w:sz w:val="18"/>
          <w:szCs w:val="18"/>
          <w:u w:val="single" w:color="auto"/>
          <w:color w:val="0000FF"/>
        </w:rPr>
        <w:t xml:space="preserve"> </w:t>
      </w:r>
      <w:hyperlink r:id="rId233">
        <w:r>
          <w:rPr>
            <w:rFonts w:ascii="Arial" w:cs="Arial" w:eastAsia="Arial" w:hAnsi="Arial"/>
            <w:sz w:val="18"/>
            <w:szCs w:val="18"/>
            <w:u w:val="single" w:color="auto"/>
            <w:color w:val="0000FF"/>
          </w:rPr>
          <w:t>and National Australia Bank Limited, as Liquidity Provider (incorporated by reference to Exhibit 4.18 to American’s Current Report</w:t>
        </w:r>
      </w:hyperlink>
      <w:r>
        <w:rPr>
          <w:rFonts w:ascii="Arial" w:cs="Arial" w:eastAsia="Arial" w:hAnsi="Arial"/>
          <w:sz w:val="18"/>
          <w:szCs w:val="18"/>
          <w:u w:val="single" w:color="auto"/>
          <w:color w:val="0000FF"/>
        </w:rPr>
        <w:t xml:space="preserve"> </w:t>
      </w:r>
      <w:hyperlink r:id="rId233">
        <w:r>
          <w:rPr>
            <w:rFonts w:ascii="Arial" w:cs="Arial" w:eastAsia="Arial" w:hAnsi="Arial"/>
            <w:sz w:val="18"/>
            <w:szCs w:val="18"/>
            <w:u w:val="single" w:color="auto"/>
            <w:color w:val="0000FF"/>
          </w:rPr>
          <w:t>on Form 8-K filed on August 15, 2019 (Commission File No. 1-02691)).</w:t>
        </w:r>
      </w:hyperlink>
    </w:p>
    <w:p>
      <w:pPr>
        <w:spacing w:after="0" w:line="40" w:lineRule="exact"/>
        <w:rPr>
          <w:rFonts w:ascii="Arial" w:cs="Arial" w:eastAsia="Arial" w:hAnsi="Arial"/>
          <w:sz w:val="18"/>
          <w:szCs w:val="18"/>
          <w:u w:val="single" w:color="auto"/>
          <w:color w:val="0000FF"/>
        </w:rPr>
      </w:pPr>
    </w:p>
    <w:p>
      <w:pPr>
        <w:jc w:val="both"/>
        <w:ind w:left="920" w:hanging="917"/>
        <w:spacing w:after="0" w:line="239" w:lineRule="auto"/>
        <w:tabs>
          <w:tab w:leader="none" w:pos="900" w:val="left"/>
        </w:tabs>
        <w:rPr>
          <w:rFonts w:ascii="Arial" w:cs="Arial" w:eastAsia="Arial" w:hAnsi="Arial"/>
          <w:sz w:val="18"/>
          <w:szCs w:val="18"/>
          <w:u w:val="single" w:color="auto"/>
          <w:color w:val="0000FF"/>
        </w:rPr>
      </w:pPr>
      <w:r>
        <w:rPr>
          <w:rFonts w:ascii="Arial" w:cs="Arial" w:eastAsia="Arial" w:hAnsi="Arial"/>
          <w:sz w:val="18"/>
          <w:szCs w:val="18"/>
          <w:color w:val="auto"/>
        </w:rPr>
        <w:t>4.185</w:t>
      </w:r>
      <w:r>
        <w:rPr>
          <w:sz w:val="20"/>
          <w:szCs w:val="20"/>
          <w:color w:val="auto"/>
        </w:rPr>
        <w:tab/>
      </w:r>
      <w:hyperlink r:id="rId234">
        <w:r>
          <w:rPr>
            <w:rFonts w:ascii="Arial" w:cs="Arial" w:eastAsia="Arial" w:hAnsi="Arial"/>
            <w:sz w:val="18"/>
            <w:szCs w:val="18"/>
            <w:u w:val="single" w:color="auto"/>
            <w:color w:val="0000FF"/>
          </w:rPr>
          <w:t>Revolving Credit Agreement (2019-1A), dated as of August 15, 2019, between Wilmington Trust Company, as Subordination</w:t>
        </w:r>
      </w:hyperlink>
      <w:r>
        <w:rPr>
          <w:rFonts w:ascii="Arial" w:cs="Arial" w:eastAsia="Arial" w:hAnsi="Arial"/>
          <w:sz w:val="18"/>
          <w:szCs w:val="18"/>
          <w:u w:val="single" w:color="auto"/>
          <w:color w:val="0000FF"/>
        </w:rPr>
        <w:t xml:space="preserve"> </w:t>
      </w:r>
      <w:hyperlink r:id="rId234">
        <w:r>
          <w:rPr>
            <w:rFonts w:ascii="Arial" w:cs="Arial" w:eastAsia="Arial" w:hAnsi="Arial"/>
            <w:sz w:val="18"/>
            <w:szCs w:val="18"/>
            <w:u w:val="single" w:color="auto"/>
            <w:color w:val="0000FF"/>
          </w:rPr>
          <w:t>Agent, as agent and trustee for the trustee of the American Airlines Pass Through Trust 2019-1A (Aircraft EETC), as Borrower, and</w:t>
        </w:r>
      </w:hyperlink>
      <w:r>
        <w:rPr>
          <w:rFonts w:ascii="Arial" w:cs="Arial" w:eastAsia="Arial" w:hAnsi="Arial"/>
          <w:sz w:val="18"/>
          <w:szCs w:val="18"/>
          <w:u w:val="single" w:color="auto"/>
          <w:color w:val="0000FF"/>
        </w:rPr>
        <w:t xml:space="preserve"> </w:t>
      </w:r>
      <w:hyperlink r:id="rId234">
        <w:r>
          <w:rPr>
            <w:rFonts w:ascii="Arial" w:cs="Arial" w:eastAsia="Arial" w:hAnsi="Arial"/>
            <w:sz w:val="18"/>
            <w:szCs w:val="18"/>
            <w:u w:val="single" w:color="auto"/>
            <w:color w:val="0000FF"/>
          </w:rPr>
          <w:t>National Australia Bank Limited, as Liquidity Provider (incorporated by reference to Exhibit 4.19 to American’s Current Report on</w:t>
        </w:r>
      </w:hyperlink>
      <w:r>
        <w:rPr>
          <w:rFonts w:ascii="Arial" w:cs="Arial" w:eastAsia="Arial" w:hAnsi="Arial"/>
          <w:sz w:val="18"/>
          <w:szCs w:val="18"/>
          <w:u w:val="single" w:color="auto"/>
          <w:color w:val="0000FF"/>
        </w:rPr>
        <w:t xml:space="preserve"> </w:t>
      </w:r>
      <w:hyperlink r:id="rId234">
        <w:r>
          <w:rPr>
            <w:rFonts w:ascii="Arial" w:cs="Arial" w:eastAsia="Arial" w:hAnsi="Arial"/>
            <w:sz w:val="18"/>
            <w:szCs w:val="18"/>
            <w:u w:val="single" w:color="auto"/>
            <w:color w:val="0000FF"/>
          </w:rPr>
          <w:t>Form 8-K filed on August 15, 2019 (Commission File No. 1-02691)).</w:t>
        </w:r>
      </w:hyperlink>
    </w:p>
    <w:p>
      <w:pPr>
        <w:spacing w:after="0" w:line="40" w:lineRule="exact"/>
        <w:rPr>
          <w:rFonts w:ascii="Arial" w:cs="Arial" w:eastAsia="Arial" w:hAnsi="Arial"/>
          <w:sz w:val="18"/>
          <w:szCs w:val="18"/>
          <w:u w:val="single" w:color="auto"/>
          <w:color w:val="0000FF"/>
        </w:rPr>
      </w:pPr>
    </w:p>
    <w:p>
      <w:pPr>
        <w:jc w:val="both"/>
        <w:ind w:left="920" w:hanging="917"/>
        <w:spacing w:after="0" w:line="239" w:lineRule="auto"/>
        <w:tabs>
          <w:tab w:leader="none" w:pos="900" w:val="left"/>
        </w:tabs>
        <w:rPr>
          <w:rFonts w:ascii="Arial" w:cs="Arial" w:eastAsia="Arial" w:hAnsi="Arial"/>
          <w:sz w:val="18"/>
          <w:szCs w:val="18"/>
          <w:u w:val="single" w:color="auto"/>
          <w:color w:val="0000FF"/>
        </w:rPr>
      </w:pPr>
      <w:r>
        <w:rPr>
          <w:rFonts w:ascii="Arial" w:cs="Arial" w:eastAsia="Arial" w:hAnsi="Arial"/>
          <w:sz w:val="18"/>
          <w:szCs w:val="18"/>
          <w:color w:val="auto"/>
        </w:rPr>
        <w:t>4.186</w:t>
      </w:r>
      <w:r>
        <w:rPr>
          <w:sz w:val="20"/>
          <w:szCs w:val="20"/>
          <w:color w:val="auto"/>
        </w:rPr>
        <w:tab/>
      </w:r>
      <w:hyperlink r:id="rId235">
        <w:r>
          <w:rPr>
            <w:rFonts w:ascii="Arial" w:cs="Arial" w:eastAsia="Arial" w:hAnsi="Arial"/>
            <w:sz w:val="18"/>
            <w:szCs w:val="18"/>
            <w:u w:val="single" w:color="auto"/>
            <w:color w:val="0000FF"/>
          </w:rPr>
          <w:t>Revolving Credit Agreement (2019-1B), dated as of August 15, 2019, between Wilmington Trust Company, as Subordination</w:t>
        </w:r>
      </w:hyperlink>
      <w:r>
        <w:rPr>
          <w:rFonts w:ascii="Arial" w:cs="Arial" w:eastAsia="Arial" w:hAnsi="Arial"/>
          <w:sz w:val="18"/>
          <w:szCs w:val="18"/>
          <w:u w:val="single" w:color="auto"/>
          <w:color w:val="0000FF"/>
        </w:rPr>
        <w:t xml:space="preserve"> </w:t>
      </w:r>
      <w:hyperlink r:id="rId235">
        <w:r>
          <w:rPr>
            <w:rFonts w:ascii="Arial" w:cs="Arial" w:eastAsia="Arial" w:hAnsi="Arial"/>
            <w:sz w:val="18"/>
            <w:szCs w:val="18"/>
            <w:u w:val="single" w:color="auto"/>
            <w:color w:val="0000FF"/>
          </w:rPr>
          <w:t>Agent, as agent and trustee for the trustee of the American Airlines Pass Through Trust 2019-1B (Aircraft EETC), as Borrower, and</w:t>
        </w:r>
      </w:hyperlink>
      <w:r>
        <w:rPr>
          <w:rFonts w:ascii="Arial" w:cs="Arial" w:eastAsia="Arial" w:hAnsi="Arial"/>
          <w:sz w:val="18"/>
          <w:szCs w:val="18"/>
          <w:u w:val="single" w:color="auto"/>
          <w:color w:val="0000FF"/>
        </w:rPr>
        <w:t xml:space="preserve"> </w:t>
      </w:r>
      <w:hyperlink r:id="rId235">
        <w:r>
          <w:rPr>
            <w:rFonts w:ascii="Arial" w:cs="Arial" w:eastAsia="Arial" w:hAnsi="Arial"/>
            <w:sz w:val="18"/>
            <w:szCs w:val="18"/>
            <w:u w:val="single" w:color="auto"/>
            <w:color w:val="0000FF"/>
          </w:rPr>
          <w:t>National Australia Bank Limited, as Liquidity Provider (incorporated by reference to Exhibit 4.20 to American’s Current Report on</w:t>
        </w:r>
      </w:hyperlink>
      <w:r>
        <w:rPr>
          <w:rFonts w:ascii="Arial" w:cs="Arial" w:eastAsia="Arial" w:hAnsi="Arial"/>
          <w:sz w:val="18"/>
          <w:szCs w:val="18"/>
          <w:u w:val="single" w:color="auto"/>
          <w:color w:val="0000FF"/>
        </w:rPr>
        <w:t xml:space="preserve"> </w:t>
      </w:r>
      <w:hyperlink r:id="rId235">
        <w:r>
          <w:rPr>
            <w:rFonts w:ascii="Arial" w:cs="Arial" w:eastAsia="Arial" w:hAnsi="Arial"/>
            <w:sz w:val="18"/>
            <w:szCs w:val="18"/>
            <w:u w:val="single" w:color="auto"/>
            <w:color w:val="0000FF"/>
          </w:rPr>
          <w:t>Form 8-K filed on August 15, 2019 (Commission File No. 1-02691)).</w:t>
        </w:r>
      </w:hyperlink>
    </w:p>
    <w:p>
      <w:pPr>
        <w:spacing w:after="0" w:line="40" w:lineRule="exact"/>
        <w:rPr>
          <w:rFonts w:ascii="Arial" w:cs="Arial" w:eastAsia="Arial" w:hAnsi="Arial"/>
          <w:sz w:val="18"/>
          <w:szCs w:val="18"/>
          <w:u w:val="single" w:color="auto"/>
          <w:color w:val="0000FF"/>
        </w:rPr>
      </w:pPr>
    </w:p>
    <w:p>
      <w:pPr>
        <w:jc w:val="both"/>
        <w:ind w:left="920" w:hanging="917"/>
        <w:spacing w:after="0" w:line="237" w:lineRule="auto"/>
        <w:tabs>
          <w:tab w:leader="none" w:pos="900" w:val="left"/>
        </w:tabs>
        <w:rPr>
          <w:rFonts w:ascii="Arial" w:cs="Arial" w:eastAsia="Arial" w:hAnsi="Arial"/>
          <w:sz w:val="18"/>
          <w:szCs w:val="18"/>
          <w:u w:val="single" w:color="auto"/>
          <w:color w:val="0000FF"/>
        </w:rPr>
      </w:pPr>
      <w:r>
        <w:rPr>
          <w:rFonts w:ascii="Arial" w:cs="Arial" w:eastAsia="Arial" w:hAnsi="Arial"/>
          <w:sz w:val="18"/>
          <w:szCs w:val="18"/>
          <w:color w:val="auto"/>
        </w:rPr>
        <w:t>10.1</w:t>
      </w:r>
      <w:r>
        <w:rPr>
          <w:sz w:val="20"/>
          <w:szCs w:val="20"/>
          <w:color w:val="auto"/>
        </w:rPr>
        <w:tab/>
      </w:r>
      <w:hyperlink r:id="rId236">
        <w:r>
          <w:rPr>
            <w:rFonts w:ascii="Arial" w:cs="Arial" w:eastAsia="Arial" w:hAnsi="Arial"/>
            <w:sz w:val="18"/>
            <w:szCs w:val="18"/>
            <w:u w:val="single" w:color="auto"/>
            <w:color w:val="0000FF"/>
          </w:rPr>
          <w:t>Amended and Restated Credit and Guaranty Agreement, dated as of December 15, 2016, amending the Loan Agreement, dated</w:t>
        </w:r>
      </w:hyperlink>
      <w:r>
        <w:rPr>
          <w:rFonts w:ascii="Arial" w:cs="Arial" w:eastAsia="Arial" w:hAnsi="Arial"/>
          <w:sz w:val="18"/>
          <w:szCs w:val="18"/>
          <w:u w:val="single" w:color="auto"/>
          <w:color w:val="0000FF"/>
        </w:rPr>
        <w:t xml:space="preserve"> </w:t>
      </w:r>
      <w:hyperlink r:id="rId236">
        <w:r>
          <w:rPr>
            <w:rFonts w:ascii="Arial" w:cs="Arial" w:eastAsia="Arial" w:hAnsi="Arial"/>
            <w:sz w:val="18"/>
            <w:szCs w:val="18"/>
            <w:u w:val="single" w:color="auto"/>
            <w:color w:val="0000FF"/>
          </w:rPr>
          <w:t>as of May 23, 2013, among American Airlines, Inc. (as successor in interest to US Airways, Inc., as borrower), as the borrower,</w:t>
        </w:r>
      </w:hyperlink>
      <w:r>
        <w:rPr>
          <w:rFonts w:ascii="Arial" w:cs="Arial" w:eastAsia="Arial" w:hAnsi="Arial"/>
          <w:sz w:val="18"/>
          <w:szCs w:val="18"/>
          <w:u w:val="single" w:color="auto"/>
          <w:color w:val="0000FF"/>
        </w:rPr>
        <w:t xml:space="preserve"> </w:t>
      </w:r>
      <w:hyperlink r:id="rId236">
        <w:r>
          <w:rPr>
            <w:rFonts w:ascii="Arial" w:cs="Arial" w:eastAsia="Arial" w:hAnsi="Arial"/>
            <w:sz w:val="18"/>
            <w:szCs w:val="18"/>
            <w:u w:val="single" w:color="auto"/>
            <w:color w:val="0000FF"/>
          </w:rPr>
          <w:t>American Airlines Group Inc., as parent and guarantor (as successor in interest to US Airways Group, Inc., as parent and</w:t>
        </w:r>
      </w:hyperlink>
      <w:r>
        <w:rPr>
          <w:rFonts w:ascii="Arial" w:cs="Arial" w:eastAsia="Arial" w:hAnsi="Arial"/>
          <w:sz w:val="18"/>
          <w:szCs w:val="18"/>
          <w:u w:val="single" w:color="auto"/>
          <w:color w:val="0000FF"/>
        </w:rPr>
        <w:t xml:space="preserve"> </w:t>
      </w:r>
      <w:hyperlink r:id="rId236">
        <w:r>
          <w:rPr>
            <w:rFonts w:ascii="Arial" w:cs="Arial" w:eastAsia="Arial" w:hAnsi="Arial"/>
            <w:sz w:val="18"/>
            <w:szCs w:val="18"/>
            <w:u w:val="single" w:color="auto"/>
            <w:color w:val="0000FF"/>
          </w:rPr>
          <w:t>guarantor), the lenders from time to time party thereto, Citibank N.A., as administrative agent and collateral agent (as successor in</w:t>
        </w:r>
      </w:hyperlink>
      <w:r>
        <w:rPr>
          <w:rFonts w:ascii="Arial" w:cs="Arial" w:eastAsia="Arial" w:hAnsi="Arial"/>
          <w:sz w:val="18"/>
          <w:szCs w:val="18"/>
          <w:u w:val="single" w:color="auto"/>
          <w:color w:val="0000FF"/>
        </w:rPr>
        <w:t xml:space="preserve"> </w:t>
      </w:r>
      <w:hyperlink r:id="rId236">
        <w:r>
          <w:rPr>
            <w:rFonts w:ascii="Arial" w:cs="Arial" w:eastAsia="Arial" w:hAnsi="Arial"/>
            <w:sz w:val="18"/>
            <w:szCs w:val="18"/>
            <w:u w:val="single" w:color="auto"/>
            <w:color w:val="0000FF"/>
          </w:rPr>
          <w:t>interest to Citicorp North America Inc., as administrative agent and collateral agent), and certain other parties thereto. (incorporated</w:t>
        </w:r>
      </w:hyperlink>
      <w:r>
        <w:rPr>
          <w:rFonts w:ascii="Arial" w:cs="Arial" w:eastAsia="Arial" w:hAnsi="Arial"/>
          <w:sz w:val="18"/>
          <w:szCs w:val="18"/>
          <w:u w:val="single" w:color="auto"/>
          <w:color w:val="0000FF"/>
        </w:rPr>
        <w:t xml:space="preserve"> </w:t>
      </w:r>
      <w:hyperlink r:id="rId236">
        <w:r>
          <w:rPr>
            <w:rFonts w:ascii="Arial" w:cs="Arial" w:eastAsia="Arial" w:hAnsi="Arial"/>
            <w:sz w:val="18"/>
            <w:szCs w:val="18"/>
            <w:u w:val="single" w:color="auto"/>
            <w:color w:val="0000FF"/>
          </w:rPr>
          <w:t>by reference to Exhibit 10.1 to AAG’s Annual Report on Form 10-K for the year ended December 31, 2016 (Commission File No. 1-</w:t>
        </w:r>
      </w:hyperlink>
      <w:hyperlink r:id="rId236">
        <w:r>
          <w:rPr>
            <w:rFonts w:ascii="Arial" w:cs="Arial" w:eastAsia="Arial" w:hAnsi="Arial"/>
            <w:sz w:val="18"/>
            <w:szCs w:val="18"/>
            <w:u w:val="single" w:color="auto"/>
            <w:color w:val="0000FF"/>
          </w:rPr>
          <w:t>8400)).</w:t>
        </w:r>
      </w:hyperlink>
    </w:p>
    <w:p>
      <w:pPr>
        <w:spacing w:after="0" w:line="41" w:lineRule="exact"/>
        <w:rPr>
          <w:rFonts w:ascii="Arial" w:cs="Arial" w:eastAsia="Arial" w:hAnsi="Arial"/>
          <w:sz w:val="18"/>
          <w:szCs w:val="18"/>
          <w:u w:val="single" w:color="auto"/>
          <w:color w:val="0000FF"/>
        </w:rPr>
      </w:pPr>
    </w:p>
    <w:p>
      <w:pPr>
        <w:jc w:val="both"/>
        <w:ind w:left="920" w:hanging="917"/>
        <w:spacing w:after="0" w:line="236" w:lineRule="auto"/>
        <w:tabs>
          <w:tab w:leader="none" w:pos="900" w:val="left"/>
        </w:tabs>
        <w:rPr>
          <w:rFonts w:ascii="Arial" w:cs="Arial" w:eastAsia="Arial" w:hAnsi="Arial"/>
          <w:sz w:val="18"/>
          <w:szCs w:val="18"/>
          <w:u w:val="single" w:color="auto"/>
          <w:color w:val="0000FF"/>
        </w:rPr>
      </w:pPr>
      <w:r>
        <w:rPr>
          <w:rFonts w:ascii="Arial" w:cs="Arial" w:eastAsia="Arial" w:hAnsi="Arial"/>
          <w:sz w:val="18"/>
          <w:szCs w:val="18"/>
          <w:color w:val="auto"/>
        </w:rPr>
        <w:t>10.2</w:t>
      </w:r>
      <w:r>
        <w:rPr>
          <w:sz w:val="20"/>
          <w:szCs w:val="20"/>
          <w:color w:val="auto"/>
        </w:rPr>
        <w:tab/>
      </w:r>
      <w:hyperlink r:id="rId237">
        <w:r>
          <w:rPr>
            <w:rFonts w:ascii="Arial" w:cs="Arial" w:eastAsia="Arial" w:hAnsi="Arial"/>
            <w:sz w:val="18"/>
            <w:szCs w:val="18"/>
            <w:u w:val="single" w:color="auto"/>
            <w:color w:val="0000FF"/>
          </w:rPr>
          <w:t>First Amendment to Amended and Restated Credit and Guaranty Agreement, dated as of November 14, 2017, amending the</w:t>
        </w:r>
      </w:hyperlink>
      <w:r>
        <w:rPr>
          <w:rFonts w:ascii="Arial" w:cs="Arial" w:eastAsia="Arial" w:hAnsi="Arial"/>
          <w:sz w:val="18"/>
          <w:szCs w:val="18"/>
          <w:u w:val="single" w:color="auto"/>
          <w:color w:val="0000FF"/>
        </w:rPr>
        <w:t xml:space="preserve"> </w:t>
      </w:r>
      <w:hyperlink r:id="rId237">
        <w:r>
          <w:rPr>
            <w:rFonts w:ascii="Arial" w:cs="Arial" w:eastAsia="Arial" w:hAnsi="Arial"/>
            <w:sz w:val="18"/>
            <w:szCs w:val="18"/>
            <w:u w:val="single" w:color="auto"/>
            <w:color w:val="0000FF"/>
          </w:rPr>
          <w:t>Amended and Restated Credit and Guaranty Agreement, dated as of December 15, 2016, amending the Loan Agreement, dated</w:t>
        </w:r>
      </w:hyperlink>
      <w:r>
        <w:rPr>
          <w:rFonts w:ascii="Arial" w:cs="Arial" w:eastAsia="Arial" w:hAnsi="Arial"/>
          <w:sz w:val="18"/>
          <w:szCs w:val="18"/>
          <w:u w:val="single" w:color="auto"/>
          <w:color w:val="0000FF"/>
        </w:rPr>
        <w:t xml:space="preserve"> </w:t>
      </w:r>
      <w:hyperlink r:id="rId237">
        <w:r>
          <w:rPr>
            <w:rFonts w:ascii="Arial" w:cs="Arial" w:eastAsia="Arial" w:hAnsi="Arial"/>
            <w:sz w:val="18"/>
            <w:szCs w:val="18"/>
            <w:u w:val="single" w:color="auto"/>
            <w:color w:val="0000FF"/>
          </w:rPr>
          <w:t>as of May 23, 2013, among American Airlines, Inc. (as successor in interest to US Airways, Inc., as borrower), as the borrower,</w:t>
        </w:r>
      </w:hyperlink>
      <w:r>
        <w:rPr>
          <w:rFonts w:ascii="Arial" w:cs="Arial" w:eastAsia="Arial" w:hAnsi="Arial"/>
          <w:sz w:val="18"/>
          <w:szCs w:val="18"/>
          <w:u w:val="single" w:color="auto"/>
          <w:color w:val="0000FF"/>
        </w:rPr>
        <w:t xml:space="preserve"> </w:t>
      </w:r>
      <w:hyperlink r:id="rId237">
        <w:r>
          <w:rPr>
            <w:rFonts w:ascii="Arial" w:cs="Arial" w:eastAsia="Arial" w:hAnsi="Arial"/>
            <w:sz w:val="18"/>
            <w:szCs w:val="18"/>
            <w:u w:val="single" w:color="auto"/>
            <w:color w:val="0000FF"/>
          </w:rPr>
          <w:t>American Airlines Group Inc., as parent and guarantor (as successor in interest to US Airways Group, Inc., as parent and</w:t>
        </w:r>
      </w:hyperlink>
      <w:r>
        <w:rPr>
          <w:rFonts w:ascii="Arial" w:cs="Arial" w:eastAsia="Arial" w:hAnsi="Arial"/>
          <w:sz w:val="18"/>
          <w:szCs w:val="18"/>
          <w:u w:val="single" w:color="auto"/>
          <w:color w:val="0000FF"/>
        </w:rPr>
        <w:t xml:space="preserve"> </w:t>
      </w:r>
      <w:hyperlink r:id="rId237">
        <w:r>
          <w:rPr>
            <w:rFonts w:ascii="Arial" w:cs="Arial" w:eastAsia="Arial" w:hAnsi="Arial"/>
            <w:sz w:val="18"/>
            <w:szCs w:val="18"/>
            <w:u w:val="single" w:color="auto"/>
            <w:color w:val="0000FF"/>
          </w:rPr>
          <w:t>guarantor), the lenders from time to time party thereto, Citibank N.A., as administrative agent and collateral agent (as successor in</w:t>
        </w:r>
      </w:hyperlink>
      <w:r>
        <w:rPr>
          <w:rFonts w:ascii="Arial" w:cs="Arial" w:eastAsia="Arial" w:hAnsi="Arial"/>
          <w:sz w:val="18"/>
          <w:szCs w:val="18"/>
          <w:u w:val="single" w:color="auto"/>
          <w:color w:val="0000FF"/>
        </w:rPr>
        <w:t xml:space="preserve"> </w:t>
      </w:r>
      <w:hyperlink r:id="rId237">
        <w:r>
          <w:rPr>
            <w:rFonts w:ascii="Arial" w:cs="Arial" w:eastAsia="Arial" w:hAnsi="Arial"/>
            <w:sz w:val="18"/>
            <w:szCs w:val="18"/>
            <w:u w:val="single" w:color="auto"/>
            <w:color w:val="0000FF"/>
          </w:rPr>
          <w:t>interest to Citicorp North America Inc., as administrative agent and collateral agent), and certain other parties thereto (incorporated</w:t>
        </w:r>
      </w:hyperlink>
      <w:r>
        <w:rPr>
          <w:rFonts w:ascii="Arial" w:cs="Arial" w:eastAsia="Arial" w:hAnsi="Arial"/>
          <w:sz w:val="18"/>
          <w:szCs w:val="18"/>
          <w:u w:val="single" w:color="auto"/>
          <w:color w:val="0000FF"/>
        </w:rPr>
        <w:t xml:space="preserve"> </w:t>
      </w:r>
      <w:hyperlink r:id="rId237">
        <w:r>
          <w:rPr>
            <w:rFonts w:ascii="Arial" w:cs="Arial" w:eastAsia="Arial" w:hAnsi="Arial"/>
            <w:sz w:val="18"/>
            <w:szCs w:val="18"/>
            <w:u w:val="single" w:color="auto"/>
            <w:color w:val="0000FF"/>
          </w:rPr>
          <w:t>by reference to Exhibit 10.2 to AAG’s Annual Report on Form 10-K for the year ended December 31, 2017 (Commission File No. 1-</w:t>
        </w:r>
      </w:hyperlink>
      <w:hyperlink r:id="rId237">
        <w:r>
          <w:rPr>
            <w:rFonts w:ascii="Arial" w:cs="Arial" w:eastAsia="Arial" w:hAnsi="Arial"/>
            <w:sz w:val="18"/>
            <w:szCs w:val="18"/>
            <w:u w:val="single" w:color="auto"/>
            <w:color w:val="0000FF"/>
          </w:rPr>
          <w:t>8400)).</w:t>
        </w:r>
      </w:hyperlink>
    </w:p>
    <w:p>
      <w:pPr>
        <w:spacing w:after="0" w:line="46" w:lineRule="exact"/>
        <w:rPr>
          <w:rFonts w:ascii="Arial" w:cs="Arial" w:eastAsia="Arial" w:hAnsi="Arial"/>
          <w:sz w:val="18"/>
          <w:szCs w:val="18"/>
          <w:u w:val="single" w:color="auto"/>
          <w:color w:val="0000FF"/>
        </w:rPr>
      </w:pPr>
    </w:p>
    <w:p>
      <w:pPr>
        <w:jc w:val="both"/>
        <w:ind w:left="920" w:hanging="917"/>
        <w:spacing w:after="0" w:line="237" w:lineRule="auto"/>
        <w:tabs>
          <w:tab w:leader="none" w:pos="900" w:val="left"/>
        </w:tabs>
        <w:rPr>
          <w:rFonts w:ascii="Arial" w:cs="Arial" w:eastAsia="Arial" w:hAnsi="Arial"/>
          <w:sz w:val="18"/>
          <w:szCs w:val="18"/>
          <w:u w:val="single" w:color="auto"/>
          <w:color w:val="0000FF"/>
        </w:rPr>
      </w:pPr>
      <w:r>
        <w:rPr>
          <w:rFonts w:ascii="Arial" w:cs="Arial" w:eastAsia="Arial" w:hAnsi="Arial"/>
          <w:sz w:val="18"/>
          <w:szCs w:val="18"/>
          <w:color w:val="auto"/>
        </w:rPr>
        <w:t>10.3</w:t>
      </w:r>
      <w:r>
        <w:rPr>
          <w:sz w:val="20"/>
          <w:szCs w:val="20"/>
          <w:color w:val="auto"/>
        </w:rPr>
        <w:tab/>
      </w:r>
      <w:hyperlink r:id="rId238">
        <w:r>
          <w:rPr>
            <w:rFonts w:ascii="Arial" w:cs="Arial" w:eastAsia="Arial" w:hAnsi="Arial"/>
            <w:sz w:val="18"/>
            <w:szCs w:val="18"/>
            <w:u w:val="single" w:color="auto"/>
            <w:color w:val="0000FF"/>
          </w:rPr>
          <w:t>First Amendment and Restatement Agreement, dated as of April 20, 2015, in relation to the Credit and Guaranty Agreement, dated</w:t>
        </w:r>
      </w:hyperlink>
      <w:r>
        <w:rPr>
          <w:rFonts w:ascii="Arial" w:cs="Arial" w:eastAsia="Arial" w:hAnsi="Arial"/>
          <w:sz w:val="18"/>
          <w:szCs w:val="18"/>
          <w:u w:val="single" w:color="auto"/>
          <w:color w:val="0000FF"/>
        </w:rPr>
        <w:t xml:space="preserve"> </w:t>
      </w:r>
      <w:hyperlink r:id="rId238">
        <w:r>
          <w:rPr>
            <w:rFonts w:ascii="Arial" w:cs="Arial" w:eastAsia="Arial" w:hAnsi="Arial"/>
            <w:sz w:val="18"/>
            <w:szCs w:val="18"/>
            <w:u w:val="single" w:color="auto"/>
            <w:color w:val="0000FF"/>
          </w:rPr>
          <w:t>as of October 10, 2014 (as amended), among American Airlines Group Inc. (as successor in interest to US Airways Group, Inc.),</w:t>
        </w:r>
      </w:hyperlink>
      <w:r>
        <w:rPr>
          <w:rFonts w:ascii="Arial" w:cs="Arial" w:eastAsia="Arial" w:hAnsi="Arial"/>
          <w:sz w:val="18"/>
          <w:szCs w:val="18"/>
          <w:u w:val="single" w:color="auto"/>
          <w:color w:val="0000FF"/>
        </w:rPr>
        <w:t xml:space="preserve"> </w:t>
      </w:r>
      <w:hyperlink r:id="rId238">
        <w:r>
          <w:rPr>
            <w:rFonts w:ascii="Arial" w:cs="Arial" w:eastAsia="Arial" w:hAnsi="Arial"/>
            <w:sz w:val="18"/>
            <w:szCs w:val="18"/>
            <w:u w:val="single" w:color="auto"/>
            <w:color w:val="0000FF"/>
          </w:rPr>
          <w:t>American Airlines, Inc. (as successor in interest to US Airways, Inc.), the Revolving Lenders (as defined therein) party thereto, the</w:t>
        </w:r>
      </w:hyperlink>
      <w:r>
        <w:rPr>
          <w:rFonts w:ascii="Arial" w:cs="Arial" w:eastAsia="Arial" w:hAnsi="Arial"/>
          <w:sz w:val="18"/>
          <w:szCs w:val="18"/>
          <w:u w:val="single" w:color="auto"/>
          <w:color w:val="0000FF"/>
        </w:rPr>
        <w:t xml:space="preserve"> </w:t>
      </w:r>
      <w:hyperlink r:id="rId238">
        <w:r>
          <w:rPr>
            <w:rFonts w:ascii="Arial" w:cs="Arial" w:eastAsia="Arial" w:hAnsi="Arial"/>
            <w:sz w:val="18"/>
            <w:szCs w:val="18"/>
            <w:u w:val="single" w:color="auto"/>
            <w:color w:val="0000FF"/>
          </w:rPr>
          <w:t>2015 Term Loan Lenders (as defined therein) party thereto and Citibank N.A., as administrative agent and collateral agent</w:t>
        </w:r>
      </w:hyperlink>
      <w:r>
        <w:rPr>
          <w:rFonts w:ascii="Arial" w:cs="Arial" w:eastAsia="Arial" w:hAnsi="Arial"/>
          <w:sz w:val="18"/>
          <w:szCs w:val="18"/>
          <w:u w:val="single" w:color="auto"/>
          <w:color w:val="0000FF"/>
        </w:rPr>
        <w:t xml:space="preserve"> </w:t>
      </w:r>
      <w:hyperlink r:id="rId238">
        <w:r>
          <w:rPr>
            <w:rFonts w:ascii="Arial" w:cs="Arial" w:eastAsia="Arial" w:hAnsi="Arial"/>
            <w:sz w:val="18"/>
            <w:szCs w:val="18"/>
            <w:u w:val="single" w:color="auto"/>
            <w:color w:val="0000FF"/>
          </w:rPr>
          <w:t>(incorporated by reference to Exhibit 10.4 to AAG’s Quarterly Report on Form 10-Q for the quarter ended June 30, 2015</w:t>
        </w:r>
      </w:hyperlink>
      <w:r>
        <w:rPr>
          <w:rFonts w:ascii="Arial" w:cs="Arial" w:eastAsia="Arial" w:hAnsi="Arial"/>
          <w:sz w:val="18"/>
          <w:szCs w:val="18"/>
          <w:u w:val="single" w:color="auto"/>
          <w:color w:val="0000FF"/>
        </w:rPr>
        <w:t xml:space="preserve"> </w:t>
      </w:r>
      <w:hyperlink r:id="rId238">
        <w:r>
          <w:rPr>
            <w:rFonts w:ascii="Arial" w:cs="Arial" w:eastAsia="Arial" w:hAnsi="Arial"/>
            <w:sz w:val="18"/>
            <w:szCs w:val="18"/>
            <w:u w:val="single" w:color="auto"/>
            <w:color w:val="0000FF"/>
          </w:rPr>
          <w:t>(Commission File No. 1-8400)).</w:t>
        </w:r>
      </w:hyperlink>
    </w:p>
    <w:p>
      <w:pPr>
        <w:spacing w:after="0" w:line="43" w:lineRule="exact"/>
        <w:rPr>
          <w:rFonts w:ascii="Arial" w:cs="Arial" w:eastAsia="Arial" w:hAnsi="Arial"/>
          <w:sz w:val="18"/>
          <w:szCs w:val="18"/>
          <w:u w:val="single" w:color="auto"/>
          <w:color w:val="0000FF"/>
        </w:rPr>
      </w:pPr>
    </w:p>
    <w:p>
      <w:pPr>
        <w:jc w:val="both"/>
        <w:ind w:left="920" w:hanging="917"/>
        <w:spacing w:after="0" w:line="238" w:lineRule="auto"/>
        <w:tabs>
          <w:tab w:leader="none" w:pos="900" w:val="left"/>
        </w:tabs>
        <w:rPr>
          <w:rFonts w:ascii="Arial" w:cs="Arial" w:eastAsia="Arial" w:hAnsi="Arial"/>
          <w:sz w:val="18"/>
          <w:szCs w:val="18"/>
          <w:u w:val="single" w:color="auto"/>
          <w:color w:val="0000FF"/>
        </w:rPr>
      </w:pPr>
      <w:r>
        <w:rPr>
          <w:rFonts w:ascii="Arial" w:cs="Arial" w:eastAsia="Arial" w:hAnsi="Arial"/>
          <w:sz w:val="18"/>
          <w:szCs w:val="18"/>
          <w:color w:val="auto"/>
        </w:rPr>
        <w:t>10.4</w:t>
      </w:r>
      <w:r>
        <w:rPr>
          <w:sz w:val="20"/>
          <w:szCs w:val="20"/>
          <w:color w:val="auto"/>
        </w:rPr>
        <w:tab/>
      </w:r>
      <w:hyperlink r:id="rId239">
        <w:r>
          <w:rPr>
            <w:rFonts w:ascii="Arial" w:cs="Arial" w:eastAsia="Arial" w:hAnsi="Arial"/>
            <w:sz w:val="18"/>
            <w:szCs w:val="18"/>
            <w:u w:val="single" w:color="auto"/>
            <w:color w:val="0000FF"/>
          </w:rPr>
          <w:t>First Amendment to Amended and Restated Credit and Guaranty Agreement, dated as of October 26, 2015, amending the</w:t>
        </w:r>
      </w:hyperlink>
      <w:r>
        <w:rPr>
          <w:rFonts w:ascii="Arial" w:cs="Arial" w:eastAsia="Arial" w:hAnsi="Arial"/>
          <w:sz w:val="18"/>
          <w:szCs w:val="18"/>
          <w:u w:val="single" w:color="auto"/>
          <w:color w:val="0000FF"/>
        </w:rPr>
        <w:t xml:space="preserve"> </w:t>
      </w:r>
      <w:hyperlink r:id="rId239">
        <w:r>
          <w:rPr>
            <w:rFonts w:ascii="Arial" w:cs="Arial" w:eastAsia="Arial" w:hAnsi="Arial"/>
            <w:sz w:val="18"/>
            <w:szCs w:val="18"/>
            <w:u w:val="single" w:color="auto"/>
            <w:color w:val="0000FF"/>
          </w:rPr>
          <w:t>Amended and Restated Credit and Guaranty Agreement, dated as of April 20, 2015, among American Airlines, Inc. (as successor</w:t>
        </w:r>
      </w:hyperlink>
      <w:r>
        <w:rPr>
          <w:rFonts w:ascii="Arial" w:cs="Arial" w:eastAsia="Arial" w:hAnsi="Arial"/>
          <w:sz w:val="18"/>
          <w:szCs w:val="18"/>
          <w:u w:val="single" w:color="auto"/>
          <w:color w:val="0000FF"/>
        </w:rPr>
        <w:t xml:space="preserve"> </w:t>
      </w:r>
      <w:hyperlink r:id="rId239">
        <w:r>
          <w:rPr>
            <w:rFonts w:ascii="Arial" w:cs="Arial" w:eastAsia="Arial" w:hAnsi="Arial"/>
            <w:sz w:val="18"/>
            <w:szCs w:val="18"/>
            <w:u w:val="single" w:color="auto"/>
            <w:color w:val="0000FF"/>
          </w:rPr>
          <w:t>in interest to US Airways, Inc.), American Airlines Group Inc. (as successor in interest to US Airways Group, Inc.), the lenders from</w:t>
        </w:r>
      </w:hyperlink>
      <w:r>
        <w:rPr>
          <w:rFonts w:ascii="Arial" w:cs="Arial" w:eastAsia="Arial" w:hAnsi="Arial"/>
          <w:sz w:val="18"/>
          <w:szCs w:val="18"/>
          <w:u w:val="single" w:color="auto"/>
          <w:color w:val="0000FF"/>
        </w:rPr>
        <w:t xml:space="preserve"> </w:t>
      </w:r>
      <w:hyperlink r:id="rId239">
        <w:r>
          <w:rPr>
            <w:rFonts w:ascii="Arial" w:cs="Arial" w:eastAsia="Arial" w:hAnsi="Arial"/>
            <w:sz w:val="18"/>
            <w:szCs w:val="18"/>
            <w:u w:val="single" w:color="auto"/>
            <w:color w:val="0000FF"/>
          </w:rPr>
          <w:t>time to time party thereto, Citibank N.A., as administrative agent, and certain other parties thereto (incorporated by reference to</w:t>
        </w:r>
      </w:hyperlink>
      <w:r>
        <w:rPr>
          <w:rFonts w:ascii="Arial" w:cs="Arial" w:eastAsia="Arial" w:hAnsi="Arial"/>
          <w:sz w:val="18"/>
          <w:szCs w:val="18"/>
          <w:u w:val="single" w:color="auto"/>
          <w:color w:val="0000FF"/>
        </w:rPr>
        <w:t xml:space="preserve"> </w:t>
      </w:r>
      <w:hyperlink r:id="rId239">
        <w:r>
          <w:rPr>
            <w:rFonts w:ascii="Arial" w:cs="Arial" w:eastAsia="Arial" w:hAnsi="Arial"/>
            <w:sz w:val="18"/>
            <w:szCs w:val="18"/>
            <w:u w:val="single" w:color="auto"/>
            <w:color w:val="0000FF"/>
          </w:rPr>
          <w:t>Exhibit 10.6 to AAG’s Annual Report on Form 10-K for the year ended December 31, 2015 (Commission File No. 1-8400)).</w:t>
        </w:r>
      </w:hyperlink>
    </w:p>
    <w:p>
      <w:pPr>
        <w:spacing w:after="0" w:line="41" w:lineRule="exact"/>
        <w:rPr>
          <w:rFonts w:ascii="Arial" w:cs="Arial" w:eastAsia="Arial" w:hAnsi="Arial"/>
          <w:sz w:val="18"/>
          <w:szCs w:val="18"/>
          <w:u w:val="single" w:color="auto"/>
          <w:color w:val="0000FF"/>
        </w:rPr>
      </w:pPr>
    </w:p>
    <w:p>
      <w:pPr>
        <w:jc w:val="both"/>
        <w:ind w:left="920" w:hanging="917"/>
        <w:spacing w:after="0" w:line="238" w:lineRule="auto"/>
        <w:tabs>
          <w:tab w:leader="none" w:pos="900" w:val="left"/>
        </w:tabs>
        <w:rPr>
          <w:rFonts w:ascii="Arial" w:cs="Arial" w:eastAsia="Arial" w:hAnsi="Arial"/>
          <w:sz w:val="18"/>
          <w:szCs w:val="18"/>
          <w:u w:val="single" w:color="auto"/>
          <w:color w:val="0000FF"/>
        </w:rPr>
      </w:pPr>
      <w:r>
        <w:rPr>
          <w:rFonts w:ascii="Arial" w:cs="Arial" w:eastAsia="Arial" w:hAnsi="Arial"/>
          <w:sz w:val="18"/>
          <w:szCs w:val="18"/>
          <w:color w:val="auto"/>
        </w:rPr>
        <w:t>10.5</w:t>
      </w:r>
      <w:r>
        <w:rPr>
          <w:sz w:val="20"/>
          <w:szCs w:val="20"/>
          <w:color w:val="auto"/>
        </w:rPr>
        <w:tab/>
      </w:r>
      <w:hyperlink r:id="rId240">
        <w:r>
          <w:rPr>
            <w:rFonts w:ascii="Arial" w:cs="Arial" w:eastAsia="Arial" w:hAnsi="Arial"/>
            <w:sz w:val="18"/>
            <w:szCs w:val="18"/>
            <w:u w:val="single" w:color="auto"/>
            <w:color w:val="0000FF"/>
          </w:rPr>
          <w:t>Second Amendment to Amended and Restated Credit and Guaranty Agreement, dated as of September 22, 2016, amending the</w:t>
        </w:r>
      </w:hyperlink>
      <w:r>
        <w:rPr>
          <w:rFonts w:ascii="Arial" w:cs="Arial" w:eastAsia="Arial" w:hAnsi="Arial"/>
          <w:sz w:val="18"/>
          <w:szCs w:val="18"/>
          <w:u w:val="single" w:color="auto"/>
          <w:color w:val="0000FF"/>
        </w:rPr>
        <w:t xml:space="preserve"> </w:t>
      </w:r>
      <w:hyperlink r:id="rId240">
        <w:r>
          <w:rPr>
            <w:rFonts w:ascii="Arial" w:cs="Arial" w:eastAsia="Arial" w:hAnsi="Arial"/>
            <w:sz w:val="18"/>
            <w:szCs w:val="18"/>
            <w:u w:val="single" w:color="auto"/>
            <w:color w:val="0000FF"/>
          </w:rPr>
          <w:t>Amended and Restated Credit and Guaranty Agreement, dated as of April 20, 2015, among American Airlines, Inc., American</w:t>
        </w:r>
      </w:hyperlink>
      <w:r>
        <w:rPr>
          <w:rFonts w:ascii="Arial" w:cs="Arial" w:eastAsia="Arial" w:hAnsi="Arial"/>
          <w:sz w:val="18"/>
          <w:szCs w:val="18"/>
          <w:u w:val="single" w:color="auto"/>
          <w:color w:val="0000FF"/>
        </w:rPr>
        <w:t xml:space="preserve"> </w:t>
      </w:r>
      <w:hyperlink r:id="rId240">
        <w:r>
          <w:rPr>
            <w:rFonts w:ascii="Arial" w:cs="Arial" w:eastAsia="Arial" w:hAnsi="Arial"/>
            <w:sz w:val="18"/>
            <w:szCs w:val="18"/>
            <w:u w:val="single" w:color="auto"/>
            <w:color w:val="0000FF"/>
          </w:rPr>
          <w:t>Airlines Group Inc., the lenders from time to time party thereto, Citibank N.A., as administrative agent, and certain other parties</w:t>
        </w:r>
      </w:hyperlink>
      <w:r>
        <w:rPr>
          <w:rFonts w:ascii="Arial" w:cs="Arial" w:eastAsia="Arial" w:hAnsi="Arial"/>
          <w:sz w:val="18"/>
          <w:szCs w:val="18"/>
          <w:u w:val="single" w:color="auto"/>
          <w:color w:val="0000FF"/>
        </w:rPr>
        <w:t xml:space="preserve"> </w:t>
      </w:r>
      <w:hyperlink r:id="rId240">
        <w:r>
          <w:rPr>
            <w:rFonts w:ascii="Arial" w:cs="Arial" w:eastAsia="Arial" w:hAnsi="Arial"/>
            <w:sz w:val="18"/>
            <w:szCs w:val="18"/>
            <w:u w:val="single" w:color="auto"/>
            <w:color w:val="0000FF"/>
          </w:rPr>
          <w:t>thereto (incorporated by reference to Exhibit 10.1 to AAG’s Quarterly Report on Form 10-Q for the quarter ended September 30,</w:t>
        </w:r>
      </w:hyperlink>
      <w:r>
        <w:rPr>
          <w:rFonts w:ascii="Arial" w:cs="Arial" w:eastAsia="Arial" w:hAnsi="Arial"/>
          <w:sz w:val="18"/>
          <w:szCs w:val="18"/>
          <w:u w:val="single" w:color="auto"/>
          <w:color w:val="0000FF"/>
        </w:rPr>
        <w:t xml:space="preserve"> </w:t>
      </w:r>
      <w:hyperlink r:id="rId240">
        <w:r>
          <w:rPr>
            <w:rFonts w:ascii="Arial" w:cs="Arial" w:eastAsia="Arial" w:hAnsi="Arial"/>
            <w:sz w:val="18"/>
            <w:szCs w:val="18"/>
            <w:u w:val="single" w:color="auto"/>
            <w:color w:val="0000FF"/>
          </w:rPr>
          <w:t>2016 (Commission File No. 1-8400)).</w:t>
        </w:r>
      </w:hyperlink>
    </w:p>
    <w:p>
      <w:pPr>
        <w:spacing w:after="0" w:line="41" w:lineRule="exact"/>
        <w:rPr>
          <w:rFonts w:ascii="Arial" w:cs="Arial" w:eastAsia="Arial" w:hAnsi="Arial"/>
          <w:sz w:val="18"/>
          <w:szCs w:val="18"/>
          <w:u w:val="single" w:color="auto"/>
          <w:color w:val="0000FF"/>
        </w:rPr>
      </w:pPr>
    </w:p>
    <w:p>
      <w:pPr>
        <w:jc w:val="both"/>
        <w:ind w:left="920" w:hanging="917"/>
        <w:spacing w:after="0" w:line="238" w:lineRule="auto"/>
        <w:tabs>
          <w:tab w:leader="none" w:pos="900" w:val="left"/>
        </w:tabs>
        <w:rPr>
          <w:rFonts w:ascii="Arial" w:cs="Arial" w:eastAsia="Arial" w:hAnsi="Arial"/>
          <w:sz w:val="18"/>
          <w:szCs w:val="18"/>
          <w:u w:val="single" w:color="auto"/>
          <w:color w:val="0000FF"/>
        </w:rPr>
      </w:pPr>
      <w:r>
        <w:rPr>
          <w:rFonts w:ascii="Arial" w:cs="Arial" w:eastAsia="Arial" w:hAnsi="Arial"/>
          <w:sz w:val="18"/>
          <w:szCs w:val="18"/>
          <w:color w:val="auto"/>
        </w:rPr>
        <w:t>10.6</w:t>
      </w:r>
      <w:r>
        <w:rPr>
          <w:sz w:val="20"/>
          <w:szCs w:val="20"/>
          <w:color w:val="auto"/>
        </w:rPr>
        <w:tab/>
      </w:r>
      <w:hyperlink r:id="rId241">
        <w:r>
          <w:rPr>
            <w:rFonts w:ascii="Arial" w:cs="Arial" w:eastAsia="Arial" w:hAnsi="Arial"/>
            <w:sz w:val="18"/>
            <w:szCs w:val="18"/>
            <w:u w:val="single" w:color="auto"/>
            <w:color w:val="0000FF"/>
          </w:rPr>
          <w:t>Third Amendment to the Amended and Restated Credit and Guaranty Agreement, dated as of June 14, 2017, amending the</w:t>
        </w:r>
      </w:hyperlink>
      <w:r>
        <w:rPr>
          <w:rFonts w:ascii="Arial" w:cs="Arial" w:eastAsia="Arial" w:hAnsi="Arial"/>
          <w:sz w:val="18"/>
          <w:szCs w:val="18"/>
          <w:u w:val="single" w:color="auto"/>
          <w:color w:val="0000FF"/>
        </w:rPr>
        <w:t xml:space="preserve"> </w:t>
      </w:r>
      <w:hyperlink r:id="rId241">
        <w:r>
          <w:rPr>
            <w:rFonts w:ascii="Arial" w:cs="Arial" w:eastAsia="Arial" w:hAnsi="Arial"/>
            <w:sz w:val="18"/>
            <w:szCs w:val="18"/>
            <w:u w:val="single" w:color="auto"/>
            <w:color w:val="0000FF"/>
          </w:rPr>
          <w:t>Amended and Restated Credit and Guaranty Agreement, dated as of April 20, 2015, among American Airlines, Inc., American</w:t>
        </w:r>
      </w:hyperlink>
      <w:r>
        <w:rPr>
          <w:rFonts w:ascii="Arial" w:cs="Arial" w:eastAsia="Arial" w:hAnsi="Arial"/>
          <w:sz w:val="18"/>
          <w:szCs w:val="18"/>
          <w:u w:val="single" w:color="auto"/>
          <w:color w:val="0000FF"/>
        </w:rPr>
        <w:t xml:space="preserve"> </w:t>
      </w:r>
      <w:hyperlink r:id="rId241">
        <w:r>
          <w:rPr>
            <w:rFonts w:ascii="Arial" w:cs="Arial" w:eastAsia="Arial" w:hAnsi="Arial"/>
            <w:sz w:val="18"/>
            <w:szCs w:val="18"/>
            <w:u w:val="single" w:color="auto"/>
            <w:color w:val="0000FF"/>
          </w:rPr>
          <w:t>Airlines Group Inc., the lenders from time to time party thereto, Citibank N.A., as administrative agent, and certain other parties</w:t>
        </w:r>
      </w:hyperlink>
      <w:r>
        <w:rPr>
          <w:rFonts w:ascii="Arial" w:cs="Arial" w:eastAsia="Arial" w:hAnsi="Arial"/>
          <w:sz w:val="18"/>
          <w:szCs w:val="18"/>
          <w:u w:val="single" w:color="auto"/>
          <w:color w:val="0000FF"/>
        </w:rPr>
        <w:t xml:space="preserve"> </w:t>
      </w:r>
      <w:hyperlink r:id="rId241">
        <w:r>
          <w:rPr>
            <w:rFonts w:ascii="Arial" w:cs="Arial" w:eastAsia="Arial" w:hAnsi="Arial"/>
            <w:sz w:val="18"/>
            <w:szCs w:val="18"/>
            <w:u w:val="single" w:color="auto"/>
            <w:color w:val="0000FF"/>
          </w:rPr>
          <w:t>thereto (incorporated by reference to Exhibit 10.2 to AAG’s Quarterly Report on Form 10-Q for the quarter ended June 30, 2017</w:t>
        </w:r>
      </w:hyperlink>
      <w:r>
        <w:rPr>
          <w:rFonts w:ascii="Arial" w:cs="Arial" w:eastAsia="Arial" w:hAnsi="Arial"/>
          <w:sz w:val="18"/>
          <w:szCs w:val="18"/>
          <w:u w:val="single" w:color="auto"/>
          <w:color w:val="0000FF"/>
        </w:rPr>
        <w:t xml:space="preserve"> </w:t>
      </w:r>
      <w:hyperlink r:id="rId241">
        <w:r>
          <w:rPr>
            <w:rFonts w:ascii="Arial" w:cs="Arial" w:eastAsia="Arial" w:hAnsi="Arial"/>
            <w:sz w:val="18"/>
            <w:szCs w:val="18"/>
            <w:u w:val="single" w:color="auto"/>
            <w:color w:val="0000FF"/>
          </w:rPr>
          <w:t>(Commission File No. 1-8400)).</w:t>
        </w:r>
      </w:hyperlink>
    </w:p>
    <w:p>
      <w:pPr>
        <w:spacing w:after="0" w:line="41" w:lineRule="exact"/>
        <w:rPr>
          <w:rFonts w:ascii="Arial" w:cs="Arial" w:eastAsia="Arial" w:hAnsi="Arial"/>
          <w:sz w:val="18"/>
          <w:szCs w:val="18"/>
          <w:u w:val="single" w:color="auto"/>
          <w:color w:val="0000FF"/>
        </w:rPr>
      </w:pPr>
    </w:p>
    <w:p>
      <w:pPr>
        <w:jc w:val="both"/>
        <w:ind w:left="920" w:hanging="917"/>
        <w:spacing w:after="0" w:line="238" w:lineRule="auto"/>
        <w:tabs>
          <w:tab w:leader="none" w:pos="900" w:val="left"/>
        </w:tabs>
        <w:rPr>
          <w:rFonts w:ascii="Arial" w:cs="Arial" w:eastAsia="Arial" w:hAnsi="Arial"/>
          <w:sz w:val="18"/>
          <w:szCs w:val="18"/>
          <w:color w:val="0000FF"/>
        </w:rPr>
      </w:pPr>
      <w:r>
        <w:rPr>
          <w:rFonts w:ascii="Arial" w:cs="Arial" w:eastAsia="Arial" w:hAnsi="Arial"/>
          <w:sz w:val="18"/>
          <w:szCs w:val="18"/>
          <w:color w:val="auto"/>
        </w:rPr>
        <w:t>10.7</w:t>
      </w:r>
      <w:r>
        <w:rPr>
          <w:sz w:val="20"/>
          <w:szCs w:val="20"/>
          <w:color w:val="auto"/>
        </w:rPr>
        <w:tab/>
      </w:r>
      <w:hyperlink r:id="rId242">
        <w:r>
          <w:rPr>
            <w:rFonts w:ascii="Arial" w:cs="Arial" w:eastAsia="Arial" w:hAnsi="Arial"/>
            <w:sz w:val="18"/>
            <w:szCs w:val="18"/>
            <w:u w:val="single" w:color="auto"/>
            <w:color w:val="0000FF"/>
          </w:rPr>
          <w:t>Fourth Amendment to the Amended and Restated Credit and Guaranty Agreement, dated as of August 21, 2017, amending the</w:t>
        </w:r>
      </w:hyperlink>
      <w:r>
        <w:rPr>
          <w:rFonts w:ascii="Arial" w:cs="Arial" w:eastAsia="Arial" w:hAnsi="Arial"/>
          <w:sz w:val="18"/>
          <w:szCs w:val="18"/>
          <w:u w:val="single" w:color="auto"/>
          <w:color w:val="0000FF"/>
        </w:rPr>
        <w:t xml:space="preserve"> </w:t>
      </w:r>
      <w:hyperlink r:id="rId242">
        <w:r>
          <w:rPr>
            <w:rFonts w:ascii="Arial" w:cs="Arial" w:eastAsia="Arial" w:hAnsi="Arial"/>
            <w:sz w:val="18"/>
            <w:szCs w:val="18"/>
            <w:u w:val="single" w:color="auto"/>
            <w:color w:val="0000FF"/>
          </w:rPr>
          <w:t>Amended and Restated Credit and Guaranty Agreement, dated as of April 20, 2015, among American Airlines, Inc., American</w:t>
        </w:r>
      </w:hyperlink>
      <w:r>
        <w:rPr>
          <w:rFonts w:ascii="Arial" w:cs="Arial" w:eastAsia="Arial" w:hAnsi="Arial"/>
          <w:sz w:val="18"/>
          <w:szCs w:val="18"/>
          <w:u w:val="single" w:color="auto"/>
          <w:color w:val="0000FF"/>
        </w:rPr>
        <w:t xml:space="preserve"> </w:t>
      </w:r>
      <w:hyperlink r:id="rId242">
        <w:r>
          <w:rPr>
            <w:rFonts w:ascii="Arial" w:cs="Arial" w:eastAsia="Arial" w:hAnsi="Arial"/>
            <w:sz w:val="18"/>
            <w:szCs w:val="18"/>
            <w:u w:val="single" w:color="auto"/>
            <w:color w:val="0000FF"/>
          </w:rPr>
          <w:t>Airlines Group Inc., the lenders from time to time party thereto, Citibank N.A., as administrative agent, and certain other parties</w:t>
        </w:r>
      </w:hyperlink>
      <w:r>
        <w:rPr>
          <w:rFonts w:ascii="Arial" w:cs="Arial" w:eastAsia="Arial" w:hAnsi="Arial"/>
          <w:sz w:val="18"/>
          <w:szCs w:val="18"/>
          <w:u w:val="single" w:color="auto"/>
          <w:color w:val="0000FF"/>
        </w:rPr>
        <w:t xml:space="preserve"> </w:t>
      </w:r>
      <w:hyperlink r:id="rId242">
        <w:r>
          <w:rPr>
            <w:rFonts w:ascii="Arial" w:cs="Arial" w:eastAsia="Arial" w:hAnsi="Arial"/>
            <w:sz w:val="18"/>
            <w:szCs w:val="18"/>
            <w:u w:val="single" w:color="auto"/>
            <w:color w:val="0000FF"/>
          </w:rPr>
          <w:t>thereto (incorporated by reference to Exhibit 10.7 to AAG’s Annual Report on Form 10-K for the year ended December 31, 2017</w:t>
        </w:r>
      </w:hyperlink>
      <w:r>
        <w:rPr>
          <w:rFonts w:ascii="Arial" w:cs="Arial" w:eastAsia="Arial" w:hAnsi="Arial"/>
          <w:sz w:val="18"/>
          <w:szCs w:val="18"/>
          <w:u w:val="single" w:color="auto"/>
          <w:color w:val="0000FF"/>
        </w:rPr>
        <w:t xml:space="preserve"> </w:t>
      </w:r>
      <w:hyperlink r:id="rId242">
        <w:r>
          <w:rPr>
            <w:rFonts w:ascii="Arial" w:cs="Arial" w:eastAsia="Arial" w:hAnsi="Arial"/>
            <w:sz w:val="18"/>
            <w:szCs w:val="18"/>
            <w:u w:val="single" w:color="auto"/>
            <w:color w:val="0000FF"/>
          </w:rPr>
          <w:t>(Commission File No. 1-8400)).</w:t>
        </w:r>
        <w:r>
          <w:rPr>
            <w:rFonts w:ascii="Arial" w:cs="Arial" w:eastAsia="Arial" w:hAnsi="Arial"/>
            <w:sz w:val="18"/>
            <w:szCs w:val="18"/>
            <w:color w:val="000000"/>
          </w:rPr>
          <w:t>*</w:t>
        </w:r>
      </w:hyperlink>
    </w:p>
    <w:p>
      <w:pPr>
        <w:sectPr>
          <w:pgSz w:w="11900" w:h="16838" w:orient="portrait"/>
          <w:cols w:equalWidth="0" w:num="1">
            <w:col w:w="11360"/>
          </w:cols>
          <w:pgMar w:left="280" w:top="720" w:right="259" w:bottom="1440" w:gutter="0" w:footer="0" w:header="0"/>
        </w:sectPr>
      </w:pPr>
    </w:p>
    <w:p>
      <w:pPr>
        <w:spacing w:after="0" w:line="230" w:lineRule="exact"/>
        <w:rPr>
          <w:rFonts w:ascii="Arial" w:cs="Arial" w:eastAsia="Arial" w:hAnsi="Arial"/>
          <w:sz w:val="18"/>
          <w:szCs w:val="18"/>
          <w:u w:val="single" w:color="auto"/>
          <w:color w:val="0000FF"/>
        </w:rPr>
      </w:pPr>
    </w:p>
    <w:p>
      <w:pPr>
        <w:jc w:val="center"/>
        <w:ind w:right="20"/>
        <w:spacing w:after="0"/>
        <w:rPr>
          <w:sz w:val="20"/>
          <w:szCs w:val="20"/>
          <w:color w:val="auto"/>
        </w:rPr>
      </w:pPr>
      <w:r>
        <w:rPr>
          <w:rFonts w:ascii="Arial" w:cs="Arial" w:eastAsia="Arial" w:hAnsi="Arial"/>
          <w:sz w:val="17"/>
          <w:szCs w:val="17"/>
          <w:color w:val="auto"/>
        </w:rPr>
        <w:t>177</w:t>
      </w:r>
    </w:p>
    <w:p>
      <w:pPr>
        <w:sectPr>
          <w:pgSz w:w="11900" w:h="16838" w:orient="portrait"/>
          <w:cols w:equalWidth="0" w:num="1">
            <w:col w:w="11360"/>
          </w:cols>
          <w:pgMar w:left="280" w:top="720" w:right="259" w:bottom="1440" w:gutter="0" w:footer="0" w:header="0"/>
          <w:type w:val="continuous"/>
        </w:sectPr>
      </w:pPr>
    </w:p>
    <w:bookmarkStart w:id="177" w:name="page178"/>
    <w:bookmarkEnd w:id="177"/>
    <w:p>
      <w:pPr>
        <w:spacing w:after="0"/>
        <w:rPr>
          <w:sz w:val="20"/>
          <w:szCs w:val="20"/>
          <w:color w:val="auto"/>
        </w:rPr>
      </w:pPr>
      <w:r>
        <w:rPr>
          <w:rFonts w:ascii="Arial" w:cs="Arial" w:eastAsia="Arial" w:hAnsi="Arial"/>
          <w:sz w:val="14"/>
          <w:szCs w:val="14"/>
          <w:b w:val="1"/>
          <w:bCs w:val="1"/>
          <w:color w:val="auto"/>
        </w:rPr>
        <w:t>Exhibit</w:t>
      </w:r>
    </w:p>
    <w:p>
      <w:pPr>
        <w:spacing w:after="0" w:line="19" w:lineRule="exact"/>
        <w:rPr>
          <w:sz w:val="20"/>
          <w:szCs w:val="20"/>
          <w:color w:val="auto"/>
        </w:rPr>
      </w:pPr>
    </w:p>
    <w:p>
      <w:pPr>
        <w:spacing w:after="0"/>
        <w:tabs>
          <w:tab w:leader="none" w:pos="900" w:val="left"/>
        </w:tabs>
        <w:rPr>
          <w:sz w:val="20"/>
          <w:szCs w:val="20"/>
          <w:color w:val="auto"/>
        </w:rPr>
      </w:pPr>
      <w:r>
        <w:rPr>
          <w:rFonts w:ascii="Arial" w:cs="Arial" w:eastAsia="Arial" w:hAnsi="Arial"/>
          <w:sz w:val="14"/>
          <w:szCs w:val="14"/>
          <w:b w:val="1"/>
          <w:bCs w:val="1"/>
          <w:u w:val="single" w:color="auto"/>
          <w:color w:val="auto"/>
        </w:rPr>
        <w:t>Number</w:t>
      </w:r>
      <w:r>
        <w:rPr>
          <w:sz w:val="20"/>
          <w:szCs w:val="20"/>
          <w:color w:val="auto"/>
        </w:rPr>
        <w:tab/>
      </w:r>
      <w:r>
        <w:rPr>
          <w:rFonts w:ascii="Arial" w:cs="Arial" w:eastAsia="Arial" w:hAnsi="Arial"/>
          <w:sz w:val="14"/>
          <w:szCs w:val="14"/>
          <w:b w:val="1"/>
          <w:bCs w:val="1"/>
          <w:u w:val="single" w:color="auto"/>
          <w:color w:val="auto"/>
        </w:rPr>
        <w:t>Description</w:t>
      </w:r>
    </w:p>
    <w:p>
      <w:pPr>
        <w:spacing w:after="0" w:line="49" w:lineRule="exact"/>
        <w:rPr>
          <w:sz w:val="20"/>
          <w:szCs w:val="20"/>
          <w:color w:val="auto"/>
        </w:rPr>
      </w:pPr>
    </w:p>
    <w:p>
      <w:pPr>
        <w:jc w:val="both"/>
        <w:ind w:left="920" w:hanging="917"/>
        <w:spacing w:after="0" w:line="238" w:lineRule="auto"/>
        <w:tabs>
          <w:tab w:leader="none" w:pos="900" w:val="left"/>
        </w:tabs>
        <w:rPr>
          <w:rFonts w:ascii="Arial" w:cs="Arial" w:eastAsia="Arial" w:hAnsi="Arial"/>
          <w:sz w:val="18"/>
          <w:szCs w:val="18"/>
          <w:color w:val="0000FF"/>
        </w:rPr>
      </w:pPr>
      <w:r>
        <w:rPr>
          <w:rFonts w:ascii="Arial" w:cs="Arial" w:eastAsia="Arial" w:hAnsi="Arial"/>
          <w:sz w:val="18"/>
          <w:szCs w:val="18"/>
          <w:color w:val="auto"/>
        </w:rPr>
        <w:t>10.8</w:t>
      </w:r>
      <w:r>
        <w:rPr>
          <w:sz w:val="20"/>
          <w:szCs w:val="20"/>
          <w:color w:val="auto"/>
        </w:rPr>
        <w:tab/>
      </w:r>
      <w:hyperlink r:id="rId243">
        <w:r>
          <w:rPr>
            <w:rFonts w:ascii="Arial" w:cs="Arial" w:eastAsia="Arial" w:hAnsi="Arial"/>
            <w:sz w:val="18"/>
            <w:szCs w:val="18"/>
            <w:u w:val="single" w:color="auto"/>
            <w:color w:val="0000FF"/>
          </w:rPr>
          <w:t>Fifth Amendment to the Amended and Restated Credit and Guaranty Agreement, dated as of September 17, 2018, amending the</w:t>
        </w:r>
      </w:hyperlink>
      <w:r>
        <w:rPr>
          <w:rFonts w:ascii="Arial" w:cs="Arial" w:eastAsia="Arial" w:hAnsi="Arial"/>
          <w:sz w:val="18"/>
          <w:szCs w:val="18"/>
          <w:u w:val="single" w:color="auto"/>
          <w:color w:val="0000FF"/>
        </w:rPr>
        <w:t xml:space="preserve"> </w:t>
      </w:r>
      <w:hyperlink r:id="rId243">
        <w:r>
          <w:rPr>
            <w:rFonts w:ascii="Arial" w:cs="Arial" w:eastAsia="Arial" w:hAnsi="Arial"/>
            <w:sz w:val="18"/>
            <w:szCs w:val="18"/>
            <w:u w:val="single" w:color="auto"/>
            <w:color w:val="0000FF"/>
          </w:rPr>
          <w:t>Amended and Restated Credit and Guaranty Agreement, dated as of April 20, 2015, among American Airlines, Inc., American</w:t>
        </w:r>
      </w:hyperlink>
      <w:r>
        <w:rPr>
          <w:rFonts w:ascii="Arial" w:cs="Arial" w:eastAsia="Arial" w:hAnsi="Arial"/>
          <w:sz w:val="18"/>
          <w:szCs w:val="18"/>
          <w:u w:val="single" w:color="auto"/>
          <w:color w:val="0000FF"/>
        </w:rPr>
        <w:t xml:space="preserve"> </w:t>
      </w:r>
      <w:hyperlink r:id="rId243">
        <w:r>
          <w:rPr>
            <w:rFonts w:ascii="Arial" w:cs="Arial" w:eastAsia="Arial" w:hAnsi="Arial"/>
            <w:sz w:val="18"/>
            <w:szCs w:val="18"/>
            <w:u w:val="single" w:color="auto"/>
            <w:color w:val="0000FF"/>
          </w:rPr>
          <w:t>Airlines Group Inc., the lenders from time to time party thereto, Citibank N.A., as administrative agent, and certain other parties</w:t>
        </w:r>
      </w:hyperlink>
      <w:r>
        <w:rPr>
          <w:rFonts w:ascii="Arial" w:cs="Arial" w:eastAsia="Arial" w:hAnsi="Arial"/>
          <w:sz w:val="18"/>
          <w:szCs w:val="18"/>
          <w:u w:val="single" w:color="auto"/>
          <w:color w:val="0000FF"/>
        </w:rPr>
        <w:t xml:space="preserve"> </w:t>
      </w:r>
      <w:hyperlink r:id="rId243">
        <w:r>
          <w:rPr>
            <w:rFonts w:ascii="Arial" w:cs="Arial" w:eastAsia="Arial" w:hAnsi="Arial"/>
            <w:sz w:val="18"/>
            <w:szCs w:val="18"/>
            <w:u w:val="single" w:color="auto"/>
            <w:color w:val="0000FF"/>
          </w:rPr>
          <w:t>thereto (incorporated by reference to Exhibit 10.1 to AAG’s Quarterly Report on Form 10-Q for the quarter ended September 30,</w:t>
        </w:r>
      </w:hyperlink>
      <w:r>
        <w:rPr>
          <w:rFonts w:ascii="Arial" w:cs="Arial" w:eastAsia="Arial" w:hAnsi="Arial"/>
          <w:sz w:val="18"/>
          <w:szCs w:val="18"/>
          <w:u w:val="single" w:color="auto"/>
          <w:color w:val="0000FF"/>
        </w:rPr>
        <w:t xml:space="preserve"> </w:t>
      </w:r>
      <w:hyperlink r:id="rId243">
        <w:r>
          <w:rPr>
            <w:rFonts w:ascii="Arial" w:cs="Arial" w:eastAsia="Arial" w:hAnsi="Arial"/>
            <w:sz w:val="18"/>
            <w:szCs w:val="18"/>
            <w:u w:val="single" w:color="auto"/>
            <w:color w:val="0000FF"/>
          </w:rPr>
          <w:t>2018 (Commission File No. 1-8400)).</w:t>
        </w:r>
        <w:r>
          <w:rPr>
            <w:rFonts w:ascii="Arial" w:cs="Arial" w:eastAsia="Arial" w:hAnsi="Arial"/>
            <w:sz w:val="18"/>
            <w:szCs w:val="18"/>
            <w:color w:val="000000"/>
          </w:rPr>
          <w:t>*</w:t>
        </w:r>
      </w:hyperlink>
    </w:p>
    <w:p>
      <w:pPr>
        <w:spacing w:after="0" w:line="41" w:lineRule="exact"/>
        <w:rPr>
          <w:rFonts w:ascii="Arial" w:cs="Arial" w:eastAsia="Arial" w:hAnsi="Arial"/>
          <w:sz w:val="18"/>
          <w:szCs w:val="18"/>
          <w:u w:val="single" w:color="auto"/>
          <w:color w:val="0000FF"/>
        </w:rPr>
      </w:pPr>
    </w:p>
    <w:p>
      <w:pPr>
        <w:jc w:val="both"/>
        <w:ind w:left="920" w:hanging="917"/>
        <w:spacing w:after="0" w:line="238" w:lineRule="auto"/>
        <w:tabs>
          <w:tab w:leader="none" w:pos="900" w:val="left"/>
        </w:tabs>
        <w:rPr>
          <w:rFonts w:ascii="Arial" w:cs="Arial" w:eastAsia="Arial" w:hAnsi="Arial"/>
          <w:sz w:val="18"/>
          <w:szCs w:val="18"/>
          <w:color w:val="0000FF"/>
        </w:rPr>
      </w:pPr>
      <w:r>
        <w:rPr>
          <w:rFonts w:ascii="Arial" w:cs="Arial" w:eastAsia="Arial" w:hAnsi="Arial"/>
          <w:sz w:val="18"/>
          <w:szCs w:val="18"/>
          <w:color w:val="auto"/>
        </w:rPr>
        <w:t>10.9</w:t>
      </w:r>
      <w:r>
        <w:rPr>
          <w:sz w:val="20"/>
          <w:szCs w:val="20"/>
          <w:color w:val="auto"/>
        </w:rPr>
        <w:tab/>
      </w:r>
      <w:hyperlink r:id="rId244">
        <w:r>
          <w:rPr>
            <w:rFonts w:ascii="Arial" w:cs="Arial" w:eastAsia="Arial" w:hAnsi="Arial"/>
            <w:sz w:val="18"/>
            <w:szCs w:val="18"/>
            <w:u w:val="single" w:color="auto"/>
            <w:color w:val="0000FF"/>
          </w:rPr>
          <w:t>Sixth Amendment to the Amended and Restated Credit and Guaranty Agreement, dated as of December 10, 2018, amending the</w:t>
        </w:r>
      </w:hyperlink>
      <w:r>
        <w:rPr>
          <w:rFonts w:ascii="Arial" w:cs="Arial" w:eastAsia="Arial" w:hAnsi="Arial"/>
          <w:sz w:val="18"/>
          <w:szCs w:val="18"/>
          <w:u w:val="single" w:color="auto"/>
          <w:color w:val="0000FF"/>
        </w:rPr>
        <w:t xml:space="preserve"> </w:t>
      </w:r>
      <w:hyperlink r:id="rId244">
        <w:r>
          <w:rPr>
            <w:rFonts w:ascii="Arial" w:cs="Arial" w:eastAsia="Arial" w:hAnsi="Arial"/>
            <w:sz w:val="18"/>
            <w:szCs w:val="18"/>
            <w:u w:val="single" w:color="auto"/>
            <w:color w:val="0000FF"/>
          </w:rPr>
          <w:t>Amended and Restated Credit and Guaranty Agreement, dated as of April 20, 2015, among American Airlines, Inc., American</w:t>
        </w:r>
      </w:hyperlink>
      <w:r>
        <w:rPr>
          <w:rFonts w:ascii="Arial" w:cs="Arial" w:eastAsia="Arial" w:hAnsi="Arial"/>
          <w:sz w:val="18"/>
          <w:szCs w:val="18"/>
          <w:u w:val="single" w:color="auto"/>
          <w:color w:val="0000FF"/>
        </w:rPr>
        <w:t xml:space="preserve"> </w:t>
      </w:r>
      <w:hyperlink r:id="rId244">
        <w:r>
          <w:rPr>
            <w:rFonts w:ascii="Arial" w:cs="Arial" w:eastAsia="Arial" w:hAnsi="Arial"/>
            <w:sz w:val="18"/>
            <w:szCs w:val="18"/>
            <w:u w:val="single" w:color="auto"/>
            <w:color w:val="0000FF"/>
          </w:rPr>
          <w:t>Airlines Group Inc., the lenders from time to time party thereto, Citibank N.A., as administrative agent, and certain other parties</w:t>
        </w:r>
      </w:hyperlink>
      <w:r>
        <w:rPr>
          <w:rFonts w:ascii="Arial" w:cs="Arial" w:eastAsia="Arial" w:hAnsi="Arial"/>
          <w:sz w:val="18"/>
          <w:szCs w:val="18"/>
          <w:u w:val="single" w:color="auto"/>
          <w:color w:val="0000FF"/>
        </w:rPr>
        <w:t xml:space="preserve"> </w:t>
      </w:r>
      <w:hyperlink r:id="rId244">
        <w:r>
          <w:rPr>
            <w:rFonts w:ascii="Arial" w:cs="Arial" w:eastAsia="Arial" w:hAnsi="Arial"/>
            <w:sz w:val="18"/>
            <w:szCs w:val="18"/>
            <w:u w:val="single" w:color="auto"/>
            <w:color w:val="0000FF"/>
          </w:rPr>
          <w:t>thereto (incorporated by reference to Exhibit 10.9 to AAG’s Annual Report on Form 10-K for the year ended December 31, 2018</w:t>
        </w:r>
      </w:hyperlink>
      <w:r>
        <w:rPr>
          <w:rFonts w:ascii="Arial" w:cs="Arial" w:eastAsia="Arial" w:hAnsi="Arial"/>
          <w:sz w:val="18"/>
          <w:szCs w:val="18"/>
          <w:u w:val="single" w:color="auto"/>
          <w:color w:val="0000FF"/>
        </w:rPr>
        <w:t xml:space="preserve"> </w:t>
      </w:r>
      <w:hyperlink r:id="rId244">
        <w:r>
          <w:rPr>
            <w:rFonts w:ascii="Arial" w:cs="Arial" w:eastAsia="Arial" w:hAnsi="Arial"/>
            <w:sz w:val="18"/>
            <w:szCs w:val="18"/>
            <w:u w:val="single" w:color="auto"/>
            <w:color w:val="0000FF"/>
          </w:rPr>
          <w:t>(Commission File No. 1-8400)).</w:t>
        </w:r>
        <w:r>
          <w:rPr>
            <w:rFonts w:ascii="Arial" w:cs="Arial" w:eastAsia="Arial" w:hAnsi="Arial"/>
            <w:sz w:val="18"/>
            <w:szCs w:val="18"/>
            <w:color w:val="000000"/>
          </w:rPr>
          <w:t>**</w:t>
        </w:r>
      </w:hyperlink>
    </w:p>
    <w:p>
      <w:pPr>
        <w:spacing w:after="0" w:line="41" w:lineRule="exact"/>
        <w:rPr>
          <w:rFonts w:ascii="Arial" w:cs="Arial" w:eastAsia="Arial" w:hAnsi="Arial"/>
          <w:sz w:val="18"/>
          <w:szCs w:val="18"/>
          <w:u w:val="single" w:color="auto"/>
          <w:color w:val="0000FF"/>
        </w:rPr>
      </w:pPr>
    </w:p>
    <w:p>
      <w:pPr>
        <w:jc w:val="both"/>
        <w:ind w:left="920" w:right="20" w:hanging="917"/>
        <w:spacing w:after="0" w:line="239" w:lineRule="auto"/>
        <w:tabs>
          <w:tab w:leader="none" w:pos="900" w:val="left"/>
        </w:tabs>
        <w:rPr>
          <w:rFonts w:ascii="Arial" w:cs="Arial" w:eastAsia="Arial" w:hAnsi="Arial"/>
          <w:sz w:val="18"/>
          <w:szCs w:val="18"/>
          <w:u w:val="single" w:color="auto"/>
          <w:color w:val="0000FF"/>
        </w:rPr>
      </w:pPr>
      <w:r>
        <w:rPr>
          <w:rFonts w:ascii="Arial" w:cs="Arial" w:eastAsia="Arial" w:hAnsi="Arial"/>
          <w:sz w:val="18"/>
          <w:szCs w:val="18"/>
          <w:color w:val="auto"/>
        </w:rPr>
        <w:t>10.10</w:t>
      </w:r>
      <w:r>
        <w:rPr>
          <w:sz w:val="20"/>
          <w:szCs w:val="20"/>
          <w:color w:val="auto"/>
        </w:rPr>
        <w:tab/>
      </w:r>
      <w:hyperlink w:anchor="page191">
        <w:r>
          <w:rPr>
            <w:rFonts w:ascii="Arial" w:cs="Arial" w:eastAsia="Arial" w:hAnsi="Arial"/>
            <w:sz w:val="18"/>
            <w:szCs w:val="18"/>
            <w:u w:val="single" w:color="auto"/>
            <w:color w:val="0000FF"/>
          </w:rPr>
          <w:t>Seventh Amendment to the Amended and Restated Credit and Guaranty Agreement, dated as of November 8, 2019, amending the</w:t>
        </w:r>
      </w:hyperlink>
      <w:r>
        <w:rPr>
          <w:rFonts w:ascii="Arial" w:cs="Arial" w:eastAsia="Arial" w:hAnsi="Arial"/>
          <w:sz w:val="18"/>
          <w:szCs w:val="18"/>
          <w:u w:val="single" w:color="auto"/>
          <w:color w:val="0000FF"/>
        </w:rPr>
        <w:t xml:space="preserve"> </w:t>
      </w:r>
      <w:hyperlink w:anchor="page191">
        <w:r>
          <w:rPr>
            <w:rFonts w:ascii="Arial" w:cs="Arial" w:eastAsia="Arial" w:hAnsi="Arial"/>
            <w:sz w:val="18"/>
            <w:szCs w:val="18"/>
            <w:u w:val="single" w:color="auto"/>
            <w:color w:val="0000FF"/>
          </w:rPr>
          <w:t>Amended and Restated Credit and Guaranty Agreement, dated as of April 20, 2015, among American Airlines, Inc., American</w:t>
        </w:r>
      </w:hyperlink>
      <w:r>
        <w:rPr>
          <w:rFonts w:ascii="Arial" w:cs="Arial" w:eastAsia="Arial" w:hAnsi="Arial"/>
          <w:sz w:val="18"/>
          <w:szCs w:val="18"/>
          <w:u w:val="single" w:color="auto"/>
          <w:color w:val="0000FF"/>
        </w:rPr>
        <w:t xml:space="preserve"> </w:t>
      </w:r>
      <w:hyperlink w:anchor="page191">
        <w:r>
          <w:rPr>
            <w:rFonts w:ascii="Arial" w:cs="Arial" w:eastAsia="Arial" w:hAnsi="Arial"/>
            <w:sz w:val="18"/>
            <w:szCs w:val="18"/>
            <w:u w:val="single" w:color="auto"/>
            <w:color w:val="0000FF"/>
          </w:rPr>
          <w:t>Airlines Group Inc., the lenders from time to time party thereto, Citibank N.A., as administrative agent, and certain other parties</w:t>
        </w:r>
      </w:hyperlink>
      <w:r>
        <w:rPr>
          <w:rFonts w:ascii="Arial" w:cs="Arial" w:eastAsia="Arial" w:hAnsi="Arial"/>
          <w:sz w:val="18"/>
          <w:szCs w:val="18"/>
          <w:u w:val="single" w:color="auto"/>
          <w:color w:val="0000FF"/>
        </w:rPr>
        <w:t xml:space="preserve"> </w:t>
      </w:r>
      <w:hyperlink w:anchor="page191">
        <w:r>
          <w:rPr>
            <w:rFonts w:ascii="Arial" w:cs="Arial" w:eastAsia="Arial" w:hAnsi="Arial"/>
            <w:sz w:val="18"/>
            <w:szCs w:val="18"/>
            <w:u w:val="single" w:color="auto"/>
            <w:color w:val="0000FF"/>
          </w:rPr>
          <w:t>thereto.**</w:t>
        </w:r>
      </w:hyperlink>
    </w:p>
    <w:p>
      <w:pPr>
        <w:spacing w:after="0" w:line="40" w:lineRule="exact"/>
        <w:rPr>
          <w:rFonts w:ascii="Arial" w:cs="Arial" w:eastAsia="Arial" w:hAnsi="Arial"/>
          <w:sz w:val="18"/>
          <w:szCs w:val="18"/>
          <w:u w:val="single" w:color="auto"/>
          <w:color w:val="0000FF"/>
        </w:rPr>
      </w:pPr>
    </w:p>
    <w:p>
      <w:pPr>
        <w:jc w:val="both"/>
        <w:ind w:left="920" w:hanging="917"/>
        <w:spacing w:after="0" w:line="237" w:lineRule="auto"/>
        <w:tabs>
          <w:tab w:leader="none" w:pos="900" w:val="left"/>
        </w:tabs>
        <w:rPr>
          <w:rFonts w:ascii="Arial" w:cs="Arial" w:eastAsia="Arial" w:hAnsi="Arial"/>
          <w:sz w:val="18"/>
          <w:szCs w:val="18"/>
          <w:u w:val="single" w:color="auto"/>
          <w:color w:val="0000FF"/>
        </w:rPr>
      </w:pPr>
      <w:r>
        <w:rPr>
          <w:rFonts w:ascii="Arial" w:cs="Arial" w:eastAsia="Arial" w:hAnsi="Arial"/>
          <w:sz w:val="18"/>
          <w:szCs w:val="18"/>
          <w:color w:val="auto"/>
        </w:rPr>
        <w:t>10.11</w:t>
      </w:r>
      <w:r>
        <w:rPr>
          <w:sz w:val="20"/>
          <w:szCs w:val="20"/>
          <w:color w:val="auto"/>
        </w:rPr>
        <w:tab/>
      </w:r>
      <w:hyperlink r:id="rId245">
        <w:r>
          <w:rPr>
            <w:rFonts w:ascii="Arial" w:cs="Arial" w:eastAsia="Arial" w:hAnsi="Arial"/>
            <w:sz w:val="18"/>
            <w:szCs w:val="18"/>
            <w:u w:val="single" w:color="auto"/>
            <w:color w:val="0000FF"/>
          </w:rPr>
          <w:t>First Amendment and Restatement Agreement, dated as of May 21, 2015, in relation to the Credit and Guaranty Agreement, dated</w:t>
        </w:r>
      </w:hyperlink>
      <w:r>
        <w:rPr>
          <w:rFonts w:ascii="Arial" w:cs="Arial" w:eastAsia="Arial" w:hAnsi="Arial"/>
          <w:sz w:val="18"/>
          <w:szCs w:val="18"/>
          <w:u w:val="single" w:color="auto"/>
          <w:color w:val="0000FF"/>
        </w:rPr>
        <w:t xml:space="preserve"> </w:t>
      </w:r>
      <w:hyperlink r:id="rId245">
        <w:r>
          <w:rPr>
            <w:rFonts w:ascii="Arial" w:cs="Arial" w:eastAsia="Arial" w:hAnsi="Arial"/>
            <w:sz w:val="18"/>
            <w:szCs w:val="18"/>
            <w:u w:val="single" w:color="auto"/>
            <w:color w:val="0000FF"/>
          </w:rPr>
          <w:t>as of June 27, 2013 (as amended), among American Airlines Group Inc. (as successor in interest to US Airways Group, Inc.),</w:t>
        </w:r>
      </w:hyperlink>
      <w:r>
        <w:rPr>
          <w:rFonts w:ascii="Arial" w:cs="Arial" w:eastAsia="Arial" w:hAnsi="Arial"/>
          <w:sz w:val="18"/>
          <w:szCs w:val="18"/>
          <w:u w:val="single" w:color="auto"/>
          <w:color w:val="0000FF"/>
        </w:rPr>
        <w:t xml:space="preserve"> </w:t>
      </w:r>
      <w:hyperlink r:id="rId245">
        <w:r>
          <w:rPr>
            <w:rFonts w:ascii="Arial" w:cs="Arial" w:eastAsia="Arial" w:hAnsi="Arial"/>
            <w:sz w:val="18"/>
            <w:szCs w:val="18"/>
            <w:u w:val="single" w:color="auto"/>
            <w:color w:val="0000FF"/>
          </w:rPr>
          <w:t>American Airlines, Inc. (as successor in interest to US Airways, Inc.), the Revolving Lenders (as defined therein) party thereto, the</w:t>
        </w:r>
      </w:hyperlink>
      <w:r>
        <w:rPr>
          <w:rFonts w:ascii="Arial" w:cs="Arial" w:eastAsia="Arial" w:hAnsi="Arial"/>
          <w:sz w:val="18"/>
          <w:szCs w:val="18"/>
          <w:u w:val="single" w:color="auto"/>
          <w:color w:val="0000FF"/>
        </w:rPr>
        <w:t xml:space="preserve"> </w:t>
      </w:r>
      <w:hyperlink r:id="rId245">
        <w:r>
          <w:rPr>
            <w:rFonts w:ascii="Arial" w:cs="Arial" w:eastAsia="Arial" w:hAnsi="Arial"/>
            <w:sz w:val="18"/>
            <w:szCs w:val="18"/>
            <w:u w:val="single" w:color="auto"/>
            <w:color w:val="0000FF"/>
          </w:rPr>
          <w:t>2015 Term Loan Lenders (as defined therein) party thereto and Deutsche Bank AG New York Branch, as administrative agent and</w:t>
        </w:r>
      </w:hyperlink>
      <w:r>
        <w:rPr>
          <w:rFonts w:ascii="Arial" w:cs="Arial" w:eastAsia="Arial" w:hAnsi="Arial"/>
          <w:sz w:val="18"/>
          <w:szCs w:val="18"/>
          <w:u w:val="single" w:color="auto"/>
          <w:color w:val="0000FF"/>
        </w:rPr>
        <w:t xml:space="preserve"> </w:t>
      </w:r>
      <w:hyperlink r:id="rId245">
        <w:r>
          <w:rPr>
            <w:rFonts w:ascii="Arial" w:cs="Arial" w:eastAsia="Arial" w:hAnsi="Arial"/>
            <w:sz w:val="18"/>
            <w:szCs w:val="18"/>
            <w:u w:val="single" w:color="auto"/>
            <w:color w:val="0000FF"/>
          </w:rPr>
          <w:t>collateral agent (incorporated by reference to Exhibit 10.5 to AAG’s Quarterly Report on Form 10-Q for the quarter ended June 30,</w:t>
        </w:r>
      </w:hyperlink>
      <w:r>
        <w:rPr>
          <w:rFonts w:ascii="Arial" w:cs="Arial" w:eastAsia="Arial" w:hAnsi="Arial"/>
          <w:sz w:val="18"/>
          <w:szCs w:val="18"/>
          <w:u w:val="single" w:color="auto"/>
          <w:color w:val="0000FF"/>
        </w:rPr>
        <w:t xml:space="preserve"> </w:t>
      </w:r>
      <w:hyperlink r:id="rId245">
        <w:r>
          <w:rPr>
            <w:rFonts w:ascii="Arial" w:cs="Arial" w:eastAsia="Arial" w:hAnsi="Arial"/>
            <w:sz w:val="18"/>
            <w:szCs w:val="18"/>
            <w:u w:val="single" w:color="auto"/>
            <w:color w:val="0000FF"/>
          </w:rPr>
          <w:t>2015 (Commission File No. 1-8400)).</w:t>
        </w:r>
      </w:hyperlink>
    </w:p>
    <w:p>
      <w:pPr>
        <w:spacing w:after="0" w:line="43" w:lineRule="exact"/>
        <w:rPr>
          <w:rFonts w:ascii="Arial" w:cs="Arial" w:eastAsia="Arial" w:hAnsi="Arial"/>
          <w:sz w:val="18"/>
          <w:szCs w:val="18"/>
          <w:u w:val="single" w:color="auto"/>
          <w:color w:val="0000FF"/>
        </w:rPr>
      </w:pPr>
    </w:p>
    <w:p>
      <w:pPr>
        <w:jc w:val="both"/>
        <w:ind w:left="920" w:hanging="917"/>
        <w:spacing w:after="0" w:line="237" w:lineRule="auto"/>
        <w:tabs>
          <w:tab w:leader="none" w:pos="900" w:val="left"/>
        </w:tabs>
        <w:rPr>
          <w:rFonts w:ascii="Arial" w:cs="Arial" w:eastAsia="Arial" w:hAnsi="Arial"/>
          <w:sz w:val="18"/>
          <w:szCs w:val="18"/>
          <w:u w:val="single" w:color="auto"/>
          <w:color w:val="0000FF"/>
        </w:rPr>
      </w:pPr>
      <w:r>
        <w:rPr>
          <w:rFonts w:ascii="Arial" w:cs="Arial" w:eastAsia="Arial" w:hAnsi="Arial"/>
          <w:sz w:val="18"/>
          <w:szCs w:val="18"/>
          <w:color w:val="auto"/>
        </w:rPr>
        <w:t>10.12</w:t>
      </w:r>
      <w:r>
        <w:rPr>
          <w:sz w:val="20"/>
          <w:szCs w:val="20"/>
          <w:color w:val="auto"/>
        </w:rPr>
        <w:tab/>
      </w:r>
      <w:hyperlink r:id="rId246">
        <w:r>
          <w:rPr>
            <w:rFonts w:ascii="Arial" w:cs="Arial" w:eastAsia="Arial" w:hAnsi="Arial"/>
            <w:sz w:val="18"/>
            <w:szCs w:val="18"/>
            <w:u w:val="single" w:color="auto"/>
            <w:color w:val="0000FF"/>
          </w:rPr>
          <w:t>First Amendment to Amended and Restated Credit and Guaranty Agreement, dated as of October 26, 2015, amending the</w:t>
        </w:r>
      </w:hyperlink>
      <w:r>
        <w:rPr>
          <w:rFonts w:ascii="Arial" w:cs="Arial" w:eastAsia="Arial" w:hAnsi="Arial"/>
          <w:sz w:val="18"/>
          <w:szCs w:val="18"/>
          <w:u w:val="single" w:color="auto"/>
          <w:color w:val="0000FF"/>
        </w:rPr>
        <w:t xml:space="preserve"> </w:t>
      </w:r>
      <w:hyperlink r:id="rId246">
        <w:r>
          <w:rPr>
            <w:rFonts w:ascii="Arial" w:cs="Arial" w:eastAsia="Arial" w:hAnsi="Arial"/>
            <w:sz w:val="18"/>
            <w:szCs w:val="18"/>
            <w:u w:val="single" w:color="auto"/>
            <w:color w:val="0000FF"/>
          </w:rPr>
          <w:t>Amended and Restated Credit and Guaranty Agreement, dated as of May 21, 2015, among American Airlines, Inc. (as successor</w:t>
        </w:r>
      </w:hyperlink>
      <w:r>
        <w:rPr>
          <w:rFonts w:ascii="Arial" w:cs="Arial" w:eastAsia="Arial" w:hAnsi="Arial"/>
          <w:sz w:val="18"/>
          <w:szCs w:val="18"/>
          <w:u w:val="single" w:color="auto"/>
          <w:color w:val="0000FF"/>
        </w:rPr>
        <w:t xml:space="preserve"> </w:t>
      </w:r>
      <w:hyperlink r:id="rId246">
        <w:r>
          <w:rPr>
            <w:rFonts w:ascii="Arial" w:cs="Arial" w:eastAsia="Arial" w:hAnsi="Arial"/>
            <w:sz w:val="18"/>
            <w:szCs w:val="18"/>
            <w:u w:val="single" w:color="auto"/>
            <w:color w:val="0000FF"/>
          </w:rPr>
          <w:t>in interest to US Airways, Inc.), American Airlines Group Inc., (as successor in interest to US Airways Group, Inc.), the lenders from</w:t>
        </w:r>
      </w:hyperlink>
      <w:r>
        <w:rPr>
          <w:rFonts w:ascii="Arial" w:cs="Arial" w:eastAsia="Arial" w:hAnsi="Arial"/>
          <w:sz w:val="18"/>
          <w:szCs w:val="18"/>
          <w:u w:val="single" w:color="auto"/>
          <w:color w:val="0000FF"/>
        </w:rPr>
        <w:t xml:space="preserve"> </w:t>
      </w:r>
      <w:hyperlink r:id="rId246">
        <w:r>
          <w:rPr>
            <w:rFonts w:ascii="Arial" w:cs="Arial" w:eastAsia="Arial" w:hAnsi="Arial"/>
            <w:sz w:val="18"/>
            <w:szCs w:val="18"/>
            <w:u w:val="single" w:color="auto"/>
            <w:color w:val="0000FF"/>
          </w:rPr>
          <w:t>time to time party thereto, Deutsche Bank AG New York Branch, as administrative agent, and certain other parties thereto</w:t>
        </w:r>
      </w:hyperlink>
      <w:r>
        <w:rPr>
          <w:rFonts w:ascii="Arial" w:cs="Arial" w:eastAsia="Arial" w:hAnsi="Arial"/>
          <w:sz w:val="18"/>
          <w:szCs w:val="18"/>
          <w:u w:val="single" w:color="auto"/>
          <w:color w:val="0000FF"/>
        </w:rPr>
        <w:t xml:space="preserve"> </w:t>
      </w:r>
      <w:hyperlink r:id="rId246">
        <w:r>
          <w:rPr>
            <w:rFonts w:ascii="Arial" w:cs="Arial" w:eastAsia="Arial" w:hAnsi="Arial"/>
            <w:sz w:val="18"/>
            <w:szCs w:val="18"/>
            <w:u w:val="single" w:color="auto"/>
            <w:color w:val="0000FF"/>
          </w:rPr>
          <w:t>(incorporated by reference to Exhibit 10.8 to AAG’s Annual Report on Form 10-K for the year ended December 31, 2015</w:t>
        </w:r>
      </w:hyperlink>
      <w:r>
        <w:rPr>
          <w:rFonts w:ascii="Arial" w:cs="Arial" w:eastAsia="Arial" w:hAnsi="Arial"/>
          <w:sz w:val="18"/>
          <w:szCs w:val="18"/>
          <w:u w:val="single" w:color="auto"/>
          <w:color w:val="0000FF"/>
        </w:rPr>
        <w:t xml:space="preserve"> </w:t>
      </w:r>
      <w:hyperlink r:id="rId246">
        <w:r>
          <w:rPr>
            <w:rFonts w:ascii="Arial" w:cs="Arial" w:eastAsia="Arial" w:hAnsi="Arial"/>
            <w:sz w:val="18"/>
            <w:szCs w:val="18"/>
            <w:u w:val="single" w:color="auto"/>
            <w:color w:val="0000FF"/>
          </w:rPr>
          <w:t>(Commission File No. 1-8400)).</w:t>
        </w:r>
      </w:hyperlink>
    </w:p>
    <w:p>
      <w:pPr>
        <w:spacing w:after="0" w:line="43" w:lineRule="exact"/>
        <w:rPr>
          <w:rFonts w:ascii="Arial" w:cs="Arial" w:eastAsia="Arial" w:hAnsi="Arial"/>
          <w:sz w:val="18"/>
          <w:szCs w:val="18"/>
          <w:u w:val="single" w:color="auto"/>
          <w:color w:val="0000FF"/>
        </w:rPr>
      </w:pPr>
    </w:p>
    <w:p>
      <w:pPr>
        <w:jc w:val="both"/>
        <w:ind w:left="920" w:hanging="917"/>
        <w:spacing w:after="0" w:line="238" w:lineRule="auto"/>
        <w:tabs>
          <w:tab w:leader="none" w:pos="900" w:val="left"/>
        </w:tabs>
        <w:rPr>
          <w:rFonts w:ascii="Arial" w:cs="Arial" w:eastAsia="Arial" w:hAnsi="Arial"/>
          <w:sz w:val="18"/>
          <w:szCs w:val="18"/>
          <w:u w:val="single" w:color="auto"/>
          <w:color w:val="0000FF"/>
        </w:rPr>
      </w:pPr>
      <w:r>
        <w:rPr>
          <w:rFonts w:ascii="Arial" w:cs="Arial" w:eastAsia="Arial" w:hAnsi="Arial"/>
          <w:sz w:val="18"/>
          <w:szCs w:val="18"/>
          <w:color w:val="auto"/>
        </w:rPr>
        <w:t>10.13</w:t>
      </w:r>
      <w:r>
        <w:rPr>
          <w:sz w:val="20"/>
          <w:szCs w:val="20"/>
          <w:color w:val="auto"/>
        </w:rPr>
        <w:tab/>
      </w:r>
      <w:hyperlink r:id="rId247">
        <w:r>
          <w:rPr>
            <w:rFonts w:ascii="Arial" w:cs="Arial" w:eastAsia="Arial" w:hAnsi="Arial"/>
            <w:sz w:val="18"/>
            <w:szCs w:val="18"/>
            <w:u w:val="single" w:color="auto"/>
            <w:color w:val="0000FF"/>
          </w:rPr>
          <w:t>Second Amendment to Amended and Restated Credit and Guaranty Agreement, dated as of March 14, 2017, amending the</w:t>
        </w:r>
      </w:hyperlink>
      <w:r>
        <w:rPr>
          <w:rFonts w:ascii="Arial" w:cs="Arial" w:eastAsia="Arial" w:hAnsi="Arial"/>
          <w:sz w:val="18"/>
          <w:szCs w:val="18"/>
          <w:u w:val="single" w:color="auto"/>
          <w:color w:val="0000FF"/>
        </w:rPr>
        <w:t xml:space="preserve"> </w:t>
      </w:r>
      <w:hyperlink r:id="rId247">
        <w:r>
          <w:rPr>
            <w:rFonts w:ascii="Arial" w:cs="Arial" w:eastAsia="Arial" w:hAnsi="Arial"/>
            <w:sz w:val="18"/>
            <w:szCs w:val="18"/>
            <w:u w:val="single" w:color="auto"/>
            <w:color w:val="0000FF"/>
          </w:rPr>
          <w:t>Amended and Restated Credit and Guaranty Agreement, dated as of May 21, 2015, among American Airlines, Inc., American</w:t>
        </w:r>
      </w:hyperlink>
      <w:r>
        <w:rPr>
          <w:rFonts w:ascii="Arial" w:cs="Arial" w:eastAsia="Arial" w:hAnsi="Arial"/>
          <w:sz w:val="18"/>
          <w:szCs w:val="18"/>
          <w:u w:val="single" w:color="auto"/>
          <w:color w:val="0000FF"/>
        </w:rPr>
        <w:t xml:space="preserve"> </w:t>
      </w:r>
      <w:hyperlink r:id="rId247">
        <w:r>
          <w:rPr>
            <w:rFonts w:ascii="Arial" w:cs="Arial" w:eastAsia="Arial" w:hAnsi="Arial"/>
            <w:sz w:val="18"/>
            <w:szCs w:val="18"/>
            <w:u w:val="single" w:color="auto"/>
            <w:color w:val="0000FF"/>
          </w:rPr>
          <w:t>Airlines Group Inc., the lenders from time to time party thereto, Deutsche Bank AG New York Branch, as administrative agent, and</w:t>
        </w:r>
      </w:hyperlink>
      <w:r>
        <w:rPr>
          <w:rFonts w:ascii="Arial" w:cs="Arial" w:eastAsia="Arial" w:hAnsi="Arial"/>
          <w:sz w:val="18"/>
          <w:szCs w:val="18"/>
          <w:u w:val="single" w:color="auto"/>
          <w:color w:val="0000FF"/>
        </w:rPr>
        <w:t xml:space="preserve"> </w:t>
      </w:r>
      <w:hyperlink r:id="rId247">
        <w:r>
          <w:rPr>
            <w:rFonts w:ascii="Arial" w:cs="Arial" w:eastAsia="Arial" w:hAnsi="Arial"/>
            <w:sz w:val="18"/>
            <w:szCs w:val="18"/>
            <w:u w:val="single" w:color="auto"/>
            <w:color w:val="0000FF"/>
          </w:rPr>
          <w:t>certain other parties thereto (incorporated by reference to Exhibit 10.2 to AAG’s Quarterly Report on Form 10-Q for the quarter</w:t>
        </w:r>
      </w:hyperlink>
      <w:r>
        <w:rPr>
          <w:rFonts w:ascii="Arial" w:cs="Arial" w:eastAsia="Arial" w:hAnsi="Arial"/>
          <w:sz w:val="18"/>
          <w:szCs w:val="18"/>
          <w:u w:val="single" w:color="auto"/>
          <w:color w:val="0000FF"/>
        </w:rPr>
        <w:t xml:space="preserve"> </w:t>
      </w:r>
      <w:hyperlink r:id="rId247">
        <w:r>
          <w:rPr>
            <w:rFonts w:ascii="Arial" w:cs="Arial" w:eastAsia="Arial" w:hAnsi="Arial"/>
            <w:sz w:val="18"/>
            <w:szCs w:val="18"/>
            <w:u w:val="single" w:color="auto"/>
            <w:color w:val="0000FF"/>
          </w:rPr>
          <w:t>ended March 31, 2017 (Commission File No. 1-8400)).</w:t>
        </w:r>
      </w:hyperlink>
    </w:p>
    <w:p>
      <w:pPr>
        <w:spacing w:after="0" w:line="41" w:lineRule="exact"/>
        <w:rPr>
          <w:rFonts w:ascii="Arial" w:cs="Arial" w:eastAsia="Arial" w:hAnsi="Arial"/>
          <w:sz w:val="18"/>
          <w:szCs w:val="18"/>
          <w:u w:val="single" w:color="auto"/>
          <w:color w:val="0000FF"/>
        </w:rPr>
      </w:pPr>
    </w:p>
    <w:p>
      <w:pPr>
        <w:jc w:val="both"/>
        <w:ind w:left="920" w:right="20" w:hanging="917"/>
        <w:spacing w:after="0" w:line="238" w:lineRule="auto"/>
        <w:tabs>
          <w:tab w:leader="none" w:pos="900" w:val="left"/>
        </w:tabs>
        <w:rPr>
          <w:rFonts w:ascii="Arial" w:cs="Arial" w:eastAsia="Arial" w:hAnsi="Arial"/>
          <w:sz w:val="18"/>
          <w:szCs w:val="18"/>
          <w:color w:val="0000FF"/>
        </w:rPr>
      </w:pPr>
      <w:r>
        <w:rPr>
          <w:rFonts w:ascii="Arial" w:cs="Arial" w:eastAsia="Arial" w:hAnsi="Arial"/>
          <w:sz w:val="18"/>
          <w:szCs w:val="18"/>
          <w:color w:val="auto"/>
        </w:rPr>
        <w:t>10.14</w:t>
      </w:r>
      <w:r>
        <w:rPr>
          <w:sz w:val="20"/>
          <w:szCs w:val="20"/>
          <w:color w:val="auto"/>
        </w:rPr>
        <w:tab/>
      </w:r>
      <w:hyperlink r:id="rId248">
        <w:r>
          <w:rPr>
            <w:rFonts w:ascii="Arial" w:cs="Arial" w:eastAsia="Arial" w:hAnsi="Arial"/>
            <w:sz w:val="18"/>
            <w:szCs w:val="18"/>
            <w:u w:val="single" w:color="auto"/>
            <w:color w:val="0000FF"/>
          </w:rPr>
          <w:t>Third Amendment to the Amended and Restated Credit And Guaranty Agreement, dated as of August 21, 2017, amending the</w:t>
        </w:r>
      </w:hyperlink>
      <w:r>
        <w:rPr>
          <w:rFonts w:ascii="Arial" w:cs="Arial" w:eastAsia="Arial" w:hAnsi="Arial"/>
          <w:sz w:val="18"/>
          <w:szCs w:val="18"/>
          <w:u w:val="single" w:color="auto"/>
          <w:color w:val="0000FF"/>
        </w:rPr>
        <w:t xml:space="preserve"> </w:t>
      </w:r>
      <w:hyperlink r:id="rId248">
        <w:r>
          <w:rPr>
            <w:rFonts w:ascii="Arial" w:cs="Arial" w:eastAsia="Arial" w:hAnsi="Arial"/>
            <w:sz w:val="18"/>
            <w:szCs w:val="18"/>
            <w:u w:val="single" w:color="auto"/>
            <w:color w:val="0000FF"/>
          </w:rPr>
          <w:t>Amended and Restated Credit and Guaranty Agreement, dated as of May 21, 2015, among American Airlines, Inc., American</w:t>
        </w:r>
      </w:hyperlink>
      <w:r>
        <w:rPr>
          <w:rFonts w:ascii="Arial" w:cs="Arial" w:eastAsia="Arial" w:hAnsi="Arial"/>
          <w:sz w:val="18"/>
          <w:szCs w:val="18"/>
          <w:u w:val="single" w:color="auto"/>
          <w:color w:val="0000FF"/>
        </w:rPr>
        <w:t xml:space="preserve"> </w:t>
      </w:r>
      <w:hyperlink r:id="rId248">
        <w:r>
          <w:rPr>
            <w:rFonts w:ascii="Arial" w:cs="Arial" w:eastAsia="Arial" w:hAnsi="Arial"/>
            <w:sz w:val="18"/>
            <w:szCs w:val="18"/>
            <w:u w:val="single" w:color="auto"/>
            <w:color w:val="0000FF"/>
          </w:rPr>
          <w:t>Airlines Group Inc., the lenders from time to time party thereto, Deutsche Bank AG New York Branch, as administrative agent, and</w:t>
        </w:r>
      </w:hyperlink>
      <w:r>
        <w:rPr>
          <w:rFonts w:ascii="Arial" w:cs="Arial" w:eastAsia="Arial" w:hAnsi="Arial"/>
          <w:sz w:val="18"/>
          <w:szCs w:val="18"/>
          <w:u w:val="single" w:color="auto"/>
          <w:color w:val="0000FF"/>
        </w:rPr>
        <w:t xml:space="preserve"> </w:t>
      </w:r>
      <w:hyperlink r:id="rId248">
        <w:r>
          <w:rPr>
            <w:rFonts w:ascii="Arial" w:cs="Arial" w:eastAsia="Arial" w:hAnsi="Arial"/>
            <w:sz w:val="18"/>
            <w:szCs w:val="18"/>
            <w:u w:val="single" w:color="auto"/>
            <w:color w:val="0000FF"/>
          </w:rPr>
          <w:t>certain other parties thereto (incorporated by reference to Exhibit 10.11 to AAG’s Annual Report on Form 10-K for the year ended</w:t>
        </w:r>
      </w:hyperlink>
      <w:r>
        <w:rPr>
          <w:rFonts w:ascii="Arial" w:cs="Arial" w:eastAsia="Arial" w:hAnsi="Arial"/>
          <w:sz w:val="18"/>
          <w:szCs w:val="18"/>
          <w:u w:val="single" w:color="auto"/>
          <w:color w:val="0000FF"/>
        </w:rPr>
        <w:t xml:space="preserve"> </w:t>
      </w:r>
      <w:hyperlink r:id="rId248">
        <w:r>
          <w:rPr>
            <w:rFonts w:ascii="Arial" w:cs="Arial" w:eastAsia="Arial" w:hAnsi="Arial"/>
            <w:sz w:val="18"/>
            <w:szCs w:val="18"/>
            <w:u w:val="single" w:color="auto"/>
            <w:color w:val="0000FF"/>
          </w:rPr>
          <w:t>December 31, 2017 (Commission File No. 1-8400)).</w:t>
        </w:r>
        <w:r>
          <w:rPr>
            <w:rFonts w:ascii="Arial" w:cs="Arial" w:eastAsia="Arial" w:hAnsi="Arial"/>
            <w:sz w:val="18"/>
            <w:szCs w:val="18"/>
            <w:color w:val="000000"/>
          </w:rPr>
          <w:t>*</w:t>
        </w:r>
      </w:hyperlink>
    </w:p>
    <w:p>
      <w:pPr>
        <w:spacing w:after="0" w:line="41" w:lineRule="exact"/>
        <w:rPr>
          <w:rFonts w:ascii="Arial" w:cs="Arial" w:eastAsia="Arial" w:hAnsi="Arial"/>
          <w:sz w:val="18"/>
          <w:szCs w:val="18"/>
          <w:u w:val="single" w:color="auto"/>
          <w:color w:val="0000FF"/>
        </w:rPr>
      </w:pPr>
    </w:p>
    <w:p>
      <w:pPr>
        <w:jc w:val="both"/>
        <w:ind w:left="920" w:right="20" w:hanging="917"/>
        <w:spacing w:after="0" w:line="238" w:lineRule="auto"/>
        <w:tabs>
          <w:tab w:leader="none" w:pos="900" w:val="left"/>
        </w:tabs>
        <w:rPr>
          <w:rFonts w:ascii="Arial" w:cs="Arial" w:eastAsia="Arial" w:hAnsi="Arial"/>
          <w:sz w:val="18"/>
          <w:szCs w:val="18"/>
          <w:u w:val="single" w:color="auto"/>
          <w:color w:val="0000FF"/>
        </w:rPr>
      </w:pPr>
      <w:r>
        <w:rPr>
          <w:rFonts w:ascii="Arial" w:cs="Arial" w:eastAsia="Arial" w:hAnsi="Arial"/>
          <w:sz w:val="18"/>
          <w:szCs w:val="18"/>
          <w:color w:val="auto"/>
        </w:rPr>
        <w:t>10.15</w:t>
      </w:r>
      <w:r>
        <w:rPr>
          <w:sz w:val="20"/>
          <w:szCs w:val="20"/>
          <w:color w:val="auto"/>
        </w:rPr>
        <w:tab/>
      </w:r>
      <w:hyperlink r:id="rId249">
        <w:r>
          <w:rPr>
            <w:rFonts w:ascii="Arial" w:cs="Arial" w:eastAsia="Arial" w:hAnsi="Arial"/>
            <w:sz w:val="18"/>
            <w:szCs w:val="18"/>
            <w:u w:val="single" w:color="auto"/>
            <w:color w:val="0000FF"/>
          </w:rPr>
          <w:t>Fourth Amendment to Amended and Restated Credit and Guaranty Agreement, dated as of May 15, 2018, amending the Amended</w:t>
        </w:r>
      </w:hyperlink>
      <w:r>
        <w:rPr>
          <w:rFonts w:ascii="Arial" w:cs="Arial" w:eastAsia="Arial" w:hAnsi="Arial"/>
          <w:sz w:val="18"/>
          <w:szCs w:val="18"/>
          <w:u w:val="single" w:color="auto"/>
          <w:color w:val="0000FF"/>
        </w:rPr>
        <w:t xml:space="preserve"> </w:t>
      </w:r>
      <w:hyperlink r:id="rId249">
        <w:r>
          <w:rPr>
            <w:rFonts w:ascii="Arial" w:cs="Arial" w:eastAsia="Arial" w:hAnsi="Arial"/>
            <w:sz w:val="18"/>
            <w:szCs w:val="18"/>
            <w:u w:val="single" w:color="auto"/>
            <w:color w:val="0000FF"/>
          </w:rPr>
          <w:t>and Restated Credit and Guaranty Agreement, dated as of May 21, 2015, among American Airlines, Inc., American Airlines Group</w:t>
        </w:r>
      </w:hyperlink>
      <w:r>
        <w:rPr>
          <w:rFonts w:ascii="Arial" w:cs="Arial" w:eastAsia="Arial" w:hAnsi="Arial"/>
          <w:sz w:val="18"/>
          <w:szCs w:val="18"/>
          <w:u w:val="single" w:color="auto"/>
          <w:color w:val="0000FF"/>
        </w:rPr>
        <w:t xml:space="preserve"> </w:t>
      </w:r>
      <w:hyperlink r:id="rId249">
        <w:r>
          <w:rPr>
            <w:rFonts w:ascii="Arial" w:cs="Arial" w:eastAsia="Arial" w:hAnsi="Arial"/>
            <w:sz w:val="18"/>
            <w:szCs w:val="18"/>
            <w:u w:val="single" w:color="auto"/>
            <w:color w:val="0000FF"/>
          </w:rPr>
          <w:t>Inc., the lenders from time to time party thereto, Deutsche Bank AG New York Branch, as administrative agent, and Barclays Bank</w:t>
        </w:r>
      </w:hyperlink>
      <w:r>
        <w:rPr>
          <w:rFonts w:ascii="Arial" w:cs="Arial" w:eastAsia="Arial" w:hAnsi="Arial"/>
          <w:sz w:val="18"/>
          <w:szCs w:val="18"/>
          <w:u w:val="single" w:color="auto"/>
          <w:color w:val="0000FF"/>
        </w:rPr>
        <w:t xml:space="preserve"> </w:t>
      </w:r>
      <w:hyperlink r:id="rId249">
        <w:r>
          <w:rPr>
            <w:rFonts w:ascii="Arial" w:cs="Arial" w:eastAsia="Arial" w:hAnsi="Arial"/>
            <w:sz w:val="18"/>
            <w:szCs w:val="18"/>
            <w:u w:val="single" w:color="auto"/>
            <w:color w:val="0000FF"/>
          </w:rPr>
          <w:t>PLC, as designated replacement term lender (incorporated by reference to Exhibit 10.3 to AAG’s Quarterly Report on Form 10-Q</w:t>
        </w:r>
      </w:hyperlink>
      <w:r>
        <w:rPr>
          <w:rFonts w:ascii="Arial" w:cs="Arial" w:eastAsia="Arial" w:hAnsi="Arial"/>
          <w:sz w:val="18"/>
          <w:szCs w:val="18"/>
          <w:u w:val="single" w:color="auto"/>
          <w:color w:val="0000FF"/>
        </w:rPr>
        <w:t xml:space="preserve"> </w:t>
      </w:r>
      <w:hyperlink r:id="rId249">
        <w:r>
          <w:rPr>
            <w:rFonts w:ascii="Arial" w:cs="Arial" w:eastAsia="Arial" w:hAnsi="Arial"/>
            <w:sz w:val="18"/>
            <w:szCs w:val="18"/>
            <w:u w:val="single" w:color="auto"/>
            <w:color w:val="0000FF"/>
          </w:rPr>
          <w:t>for the quarter ended June 30, 2018 (Commission File No. 1-8400)).</w:t>
        </w:r>
      </w:hyperlink>
    </w:p>
    <w:p>
      <w:pPr>
        <w:spacing w:after="0" w:line="41" w:lineRule="exact"/>
        <w:rPr>
          <w:rFonts w:ascii="Arial" w:cs="Arial" w:eastAsia="Arial" w:hAnsi="Arial"/>
          <w:sz w:val="18"/>
          <w:szCs w:val="18"/>
          <w:u w:val="single" w:color="auto"/>
          <w:color w:val="0000FF"/>
        </w:rPr>
      </w:pPr>
    </w:p>
    <w:p>
      <w:pPr>
        <w:jc w:val="both"/>
        <w:ind w:left="920" w:hanging="917"/>
        <w:spacing w:after="0" w:line="238" w:lineRule="auto"/>
        <w:tabs>
          <w:tab w:leader="none" w:pos="900" w:val="left"/>
        </w:tabs>
        <w:rPr>
          <w:rFonts w:ascii="Arial" w:cs="Arial" w:eastAsia="Arial" w:hAnsi="Arial"/>
          <w:sz w:val="18"/>
          <w:szCs w:val="18"/>
          <w:color w:val="0000FF"/>
        </w:rPr>
      </w:pPr>
      <w:r>
        <w:rPr>
          <w:rFonts w:ascii="Arial" w:cs="Arial" w:eastAsia="Arial" w:hAnsi="Arial"/>
          <w:sz w:val="18"/>
          <w:szCs w:val="18"/>
          <w:color w:val="auto"/>
        </w:rPr>
        <w:t>10.16</w:t>
      </w:r>
      <w:r>
        <w:rPr>
          <w:sz w:val="20"/>
          <w:szCs w:val="20"/>
          <w:color w:val="auto"/>
        </w:rPr>
        <w:tab/>
      </w:r>
      <w:hyperlink r:id="rId250">
        <w:r>
          <w:rPr>
            <w:rFonts w:ascii="Arial" w:cs="Arial" w:eastAsia="Arial" w:hAnsi="Arial"/>
            <w:sz w:val="18"/>
            <w:szCs w:val="18"/>
            <w:u w:val="single" w:color="auto"/>
            <w:color w:val="0000FF"/>
          </w:rPr>
          <w:t>Fifth Amendment to Amended and Restated Credit and Guaranty Agreement, dated as of December 10, 2018, amending the</w:t>
        </w:r>
      </w:hyperlink>
      <w:r>
        <w:rPr>
          <w:rFonts w:ascii="Arial" w:cs="Arial" w:eastAsia="Arial" w:hAnsi="Arial"/>
          <w:sz w:val="18"/>
          <w:szCs w:val="18"/>
          <w:u w:val="single" w:color="auto"/>
          <w:color w:val="0000FF"/>
        </w:rPr>
        <w:t xml:space="preserve"> </w:t>
      </w:r>
      <w:hyperlink r:id="rId250">
        <w:r>
          <w:rPr>
            <w:rFonts w:ascii="Arial" w:cs="Arial" w:eastAsia="Arial" w:hAnsi="Arial"/>
            <w:sz w:val="18"/>
            <w:szCs w:val="18"/>
            <w:u w:val="single" w:color="auto"/>
            <w:color w:val="0000FF"/>
          </w:rPr>
          <w:t>Amended and Restated Credit and Guaranty Agreement, dated as of May 21, 2015, among American Airlines, Inc., American</w:t>
        </w:r>
      </w:hyperlink>
      <w:r>
        <w:rPr>
          <w:rFonts w:ascii="Arial" w:cs="Arial" w:eastAsia="Arial" w:hAnsi="Arial"/>
          <w:sz w:val="18"/>
          <w:szCs w:val="18"/>
          <w:u w:val="single" w:color="auto"/>
          <w:color w:val="0000FF"/>
        </w:rPr>
        <w:t xml:space="preserve"> </w:t>
      </w:r>
      <w:hyperlink r:id="rId250">
        <w:r>
          <w:rPr>
            <w:rFonts w:ascii="Arial" w:cs="Arial" w:eastAsia="Arial" w:hAnsi="Arial"/>
            <w:sz w:val="18"/>
            <w:szCs w:val="18"/>
            <w:u w:val="single" w:color="auto"/>
            <w:color w:val="0000FF"/>
          </w:rPr>
          <w:t>Airlines Group Inc., the lenders from time to time party thereto, Deutsche Bank AG New York Branch, as administrative agent, and</w:t>
        </w:r>
      </w:hyperlink>
      <w:r>
        <w:rPr>
          <w:rFonts w:ascii="Arial" w:cs="Arial" w:eastAsia="Arial" w:hAnsi="Arial"/>
          <w:sz w:val="18"/>
          <w:szCs w:val="18"/>
          <w:u w:val="single" w:color="auto"/>
          <w:color w:val="0000FF"/>
        </w:rPr>
        <w:t xml:space="preserve"> </w:t>
      </w:r>
      <w:hyperlink r:id="rId250">
        <w:r>
          <w:rPr>
            <w:rFonts w:ascii="Arial" w:cs="Arial" w:eastAsia="Arial" w:hAnsi="Arial"/>
            <w:sz w:val="18"/>
            <w:szCs w:val="18"/>
            <w:u w:val="single" w:color="auto"/>
            <w:color w:val="0000FF"/>
          </w:rPr>
          <w:t>Barclays Bank PLC, as designated replacement term lender (incorporated by reference to Exhibit 10.15 to AAG’s Annual Report on</w:t>
        </w:r>
      </w:hyperlink>
      <w:r>
        <w:rPr>
          <w:rFonts w:ascii="Arial" w:cs="Arial" w:eastAsia="Arial" w:hAnsi="Arial"/>
          <w:sz w:val="18"/>
          <w:szCs w:val="18"/>
          <w:u w:val="single" w:color="auto"/>
          <w:color w:val="0000FF"/>
        </w:rPr>
        <w:t xml:space="preserve"> </w:t>
      </w:r>
      <w:hyperlink r:id="rId250">
        <w:r>
          <w:rPr>
            <w:rFonts w:ascii="Arial" w:cs="Arial" w:eastAsia="Arial" w:hAnsi="Arial"/>
            <w:sz w:val="18"/>
            <w:szCs w:val="18"/>
            <w:u w:val="single" w:color="auto"/>
            <w:color w:val="0000FF"/>
          </w:rPr>
          <w:t>Form 10-K for the year ended December 31, 2018 (Commission File No. 1-8400)).</w:t>
        </w:r>
        <w:r>
          <w:rPr>
            <w:rFonts w:ascii="Arial" w:cs="Arial" w:eastAsia="Arial" w:hAnsi="Arial"/>
            <w:sz w:val="18"/>
            <w:szCs w:val="18"/>
            <w:color w:val="000000"/>
          </w:rPr>
          <w:t>**</w:t>
        </w:r>
      </w:hyperlink>
    </w:p>
    <w:p>
      <w:pPr>
        <w:spacing w:after="0" w:line="41" w:lineRule="exact"/>
        <w:rPr>
          <w:rFonts w:ascii="Arial" w:cs="Arial" w:eastAsia="Arial" w:hAnsi="Arial"/>
          <w:sz w:val="18"/>
          <w:szCs w:val="18"/>
          <w:u w:val="single" w:color="auto"/>
          <w:color w:val="0000FF"/>
        </w:rPr>
      </w:pPr>
    </w:p>
    <w:p>
      <w:pPr>
        <w:jc w:val="both"/>
        <w:ind w:left="920" w:right="20" w:hanging="917"/>
        <w:spacing w:after="0" w:line="239" w:lineRule="auto"/>
        <w:tabs>
          <w:tab w:leader="none" w:pos="900" w:val="left"/>
        </w:tabs>
        <w:rPr>
          <w:rFonts w:ascii="Arial" w:cs="Arial" w:eastAsia="Arial" w:hAnsi="Arial"/>
          <w:sz w:val="18"/>
          <w:szCs w:val="18"/>
          <w:u w:val="single" w:color="auto"/>
          <w:color w:val="0000FF"/>
        </w:rPr>
      </w:pPr>
      <w:r>
        <w:rPr>
          <w:rFonts w:ascii="Arial" w:cs="Arial" w:eastAsia="Arial" w:hAnsi="Arial"/>
          <w:sz w:val="18"/>
          <w:szCs w:val="18"/>
          <w:color w:val="auto"/>
        </w:rPr>
        <w:t>10.17</w:t>
      </w:r>
      <w:r>
        <w:rPr>
          <w:sz w:val="20"/>
          <w:szCs w:val="20"/>
          <w:color w:val="auto"/>
        </w:rPr>
        <w:tab/>
      </w:r>
      <w:hyperlink w:anchor="page201">
        <w:r>
          <w:rPr>
            <w:rFonts w:ascii="Arial" w:cs="Arial" w:eastAsia="Arial" w:hAnsi="Arial"/>
            <w:sz w:val="18"/>
            <w:szCs w:val="18"/>
            <w:u w:val="single" w:color="auto"/>
            <w:color w:val="0000FF"/>
          </w:rPr>
          <w:t>Sixth Amendment to Amended and Restated Credit and Guaranty Agreement, dated as of November 8, 2019, amending the</w:t>
        </w:r>
      </w:hyperlink>
      <w:r>
        <w:rPr>
          <w:rFonts w:ascii="Arial" w:cs="Arial" w:eastAsia="Arial" w:hAnsi="Arial"/>
          <w:sz w:val="18"/>
          <w:szCs w:val="18"/>
          <w:u w:val="single" w:color="auto"/>
          <w:color w:val="0000FF"/>
        </w:rPr>
        <w:t xml:space="preserve"> </w:t>
      </w:r>
      <w:hyperlink w:anchor="page201">
        <w:r>
          <w:rPr>
            <w:rFonts w:ascii="Arial" w:cs="Arial" w:eastAsia="Arial" w:hAnsi="Arial"/>
            <w:sz w:val="18"/>
            <w:szCs w:val="18"/>
            <w:u w:val="single" w:color="auto"/>
            <w:color w:val="0000FF"/>
          </w:rPr>
          <w:t>Amended and Restated Credit and Guaranty Agreement, dated as of May 21, 2015, among American Airlines, Inc., American</w:t>
        </w:r>
      </w:hyperlink>
      <w:r>
        <w:rPr>
          <w:rFonts w:ascii="Arial" w:cs="Arial" w:eastAsia="Arial" w:hAnsi="Arial"/>
          <w:sz w:val="18"/>
          <w:szCs w:val="18"/>
          <w:u w:val="single" w:color="auto"/>
          <w:color w:val="0000FF"/>
        </w:rPr>
        <w:t xml:space="preserve"> </w:t>
      </w:r>
      <w:hyperlink w:anchor="page201">
        <w:r>
          <w:rPr>
            <w:rFonts w:ascii="Arial" w:cs="Arial" w:eastAsia="Arial" w:hAnsi="Arial"/>
            <w:sz w:val="18"/>
            <w:szCs w:val="18"/>
            <w:u w:val="single" w:color="auto"/>
            <w:color w:val="0000FF"/>
          </w:rPr>
          <w:t>Airlines Group Inc., the lenders from time to time party thereto, Deutsche Bank AG New York Branch, as administrative agent, and</w:t>
        </w:r>
      </w:hyperlink>
      <w:r>
        <w:rPr>
          <w:rFonts w:ascii="Arial" w:cs="Arial" w:eastAsia="Arial" w:hAnsi="Arial"/>
          <w:sz w:val="18"/>
          <w:szCs w:val="18"/>
          <w:u w:val="single" w:color="auto"/>
          <w:color w:val="0000FF"/>
        </w:rPr>
        <w:t xml:space="preserve"> </w:t>
      </w:r>
      <w:hyperlink w:anchor="page201">
        <w:r>
          <w:rPr>
            <w:rFonts w:ascii="Arial" w:cs="Arial" w:eastAsia="Arial" w:hAnsi="Arial"/>
            <w:sz w:val="18"/>
            <w:szCs w:val="18"/>
            <w:u w:val="single" w:color="auto"/>
            <w:color w:val="0000FF"/>
          </w:rPr>
          <w:t>Barclays Bank PLC, as designated replacement term lender.**</w:t>
        </w:r>
      </w:hyperlink>
    </w:p>
    <w:p>
      <w:pPr>
        <w:spacing w:after="0" w:line="40" w:lineRule="exact"/>
        <w:rPr>
          <w:rFonts w:ascii="Arial" w:cs="Arial" w:eastAsia="Arial" w:hAnsi="Arial"/>
          <w:sz w:val="18"/>
          <w:szCs w:val="18"/>
          <w:u w:val="single" w:color="auto"/>
          <w:color w:val="0000FF"/>
        </w:rPr>
      </w:pPr>
    </w:p>
    <w:p>
      <w:pPr>
        <w:jc w:val="both"/>
        <w:ind w:left="920" w:hanging="917"/>
        <w:spacing w:after="0" w:line="239" w:lineRule="auto"/>
        <w:tabs>
          <w:tab w:leader="none" w:pos="900" w:val="left"/>
        </w:tabs>
        <w:rPr>
          <w:rFonts w:ascii="Arial" w:cs="Arial" w:eastAsia="Arial" w:hAnsi="Arial"/>
          <w:sz w:val="18"/>
          <w:szCs w:val="18"/>
          <w:u w:val="single" w:color="auto"/>
          <w:color w:val="0000FF"/>
        </w:rPr>
      </w:pPr>
      <w:r>
        <w:rPr>
          <w:rFonts w:ascii="Arial" w:cs="Arial" w:eastAsia="Arial" w:hAnsi="Arial"/>
          <w:sz w:val="18"/>
          <w:szCs w:val="18"/>
          <w:color w:val="auto"/>
        </w:rPr>
        <w:t>10.18</w:t>
      </w:r>
      <w:r>
        <w:rPr>
          <w:sz w:val="20"/>
          <w:szCs w:val="20"/>
          <w:color w:val="auto"/>
        </w:rPr>
        <w:tab/>
      </w:r>
      <w:hyperlink r:id="rId251">
        <w:r>
          <w:rPr>
            <w:rFonts w:ascii="Arial" w:cs="Arial" w:eastAsia="Arial" w:hAnsi="Arial"/>
            <w:sz w:val="18"/>
            <w:szCs w:val="18"/>
            <w:u w:val="single" w:color="auto"/>
            <w:color w:val="0000FF"/>
          </w:rPr>
          <w:t>Credit and Guaranty Agreement, dated as of April 29, 2016, among American Airlines, Inc. as borrower, American Airlines Group</w:t>
        </w:r>
      </w:hyperlink>
      <w:r>
        <w:rPr>
          <w:rFonts w:ascii="Arial" w:cs="Arial" w:eastAsia="Arial" w:hAnsi="Arial"/>
          <w:sz w:val="18"/>
          <w:szCs w:val="18"/>
          <w:u w:val="single" w:color="auto"/>
          <w:color w:val="0000FF"/>
        </w:rPr>
        <w:t xml:space="preserve"> </w:t>
      </w:r>
      <w:hyperlink r:id="rId251">
        <w:r>
          <w:rPr>
            <w:rFonts w:ascii="Arial" w:cs="Arial" w:eastAsia="Arial" w:hAnsi="Arial"/>
            <w:sz w:val="18"/>
            <w:szCs w:val="18"/>
            <w:u w:val="single" w:color="auto"/>
            <w:color w:val="0000FF"/>
          </w:rPr>
          <w:t>Inc., as parent and guarantor, certain other subsidiaries of American Airlines Group Inc., as guarantors, the lenders party thereto,</w:t>
        </w:r>
      </w:hyperlink>
      <w:r>
        <w:rPr>
          <w:rFonts w:ascii="Arial" w:cs="Arial" w:eastAsia="Arial" w:hAnsi="Arial"/>
          <w:sz w:val="18"/>
          <w:szCs w:val="18"/>
          <w:u w:val="single" w:color="auto"/>
          <w:color w:val="0000FF"/>
        </w:rPr>
        <w:t xml:space="preserve"> </w:t>
      </w:r>
      <w:hyperlink r:id="rId251">
        <w:r>
          <w:rPr>
            <w:rFonts w:ascii="Arial" w:cs="Arial" w:eastAsia="Arial" w:hAnsi="Arial"/>
            <w:sz w:val="18"/>
            <w:szCs w:val="18"/>
            <w:u w:val="single" w:color="auto"/>
            <w:color w:val="0000FF"/>
          </w:rPr>
          <w:t>Barclays Bank PLC, as administrative agent and collateral agent, and certain other parties thereto (incorporated by reference to</w:t>
        </w:r>
      </w:hyperlink>
      <w:r>
        <w:rPr>
          <w:rFonts w:ascii="Arial" w:cs="Arial" w:eastAsia="Arial" w:hAnsi="Arial"/>
          <w:sz w:val="18"/>
          <w:szCs w:val="18"/>
          <w:u w:val="single" w:color="auto"/>
          <w:color w:val="0000FF"/>
        </w:rPr>
        <w:t xml:space="preserve"> </w:t>
      </w:r>
      <w:hyperlink r:id="rId251">
        <w:r>
          <w:rPr>
            <w:rFonts w:ascii="Arial" w:cs="Arial" w:eastAsia="Arial" w:hAnsi="Arial"/>
            <w:sz w:val="18"/>
            <w:szCs w:val="18"/>
            <w:u w:val="single" w:color="auto"/>
            <w:color w:val="0000FF"/>
          </w:rPr>
          <w:t>Exhibit 10.2 to AAG’s Quarterly Report on Form 10-Q filed on July 22, 2016 (Commission File No. 1-8400)).</w:t>
        </w:r>
      </w:hyperlink>
    </w:p>
    <w:p>
      <w:pPr>
        <w:spacing w:after="0" w:line="229" w:lineRule="exact"/>
        <w:rPr>
          <w:rFonts w:ascii="Arial" w:cs="Arial" w:eastAsia="Arial" w:hAnsi="Arial"/>
          <w:sz w:val="18"/>
          <w:szCs w:val="18"/>
          <w:u w:val="single" w:color="auto"/>
          <w:color w:val="0000FF"/>
        </w:rPr>
      </w:pPr>
    </w:p>
    <w:p>
      <w:pPr>
        <w:jc w:val="center"/>
        <w:spacing w:after="0"/>
        <w:rPr>
          <w:sz w:val="20"/>
          <w:szCs w:val="20"/>
          <w:color w:val="auto"/>
        </w:rPr>
      </w:pPr>
      <w:r>
        <w:rPr>
          <w:rFonts w:ascii="Arial" w:cs="Arial" w:eastAsia="Arial" w:hAnsi="Arial"/>
          <w:sz w:val="18"/>
          <w:szCs w:val="18"/>
          <w:color w:val="auto"/>
        </w:rPr>
        <w:t>178</w:t>
      </w:r>
    </w:p>
    <w:p>
      <w:pPr>
        <w:sectPr>
          <w:pgSz w:w="11900" w:h="16838" w:orient="portrait"/>
          <w:cols w:equalWidth="0" w:num="1">
            <w:col w:w="11360"/>
          </w:cols>
          <w:pgMar w:left="280" w:top="721" w:right="259" w:bottom="1440" w:gutter="0" w:footer="0" w:header="0"/>
        </w:sectPr>
      </w:pPr>
    </w:p>
    <w:bookmarkStart w:id="178" w:name="page179"/>
    <w:bookmarkEnd w:id="178"/>
    <w:p>
      <w:pPr>
        <w:spacing w:after="0"/>
        <w:rPr>
          <w:sz w:val="20"/>
          <w:szCs w:val="20"/>
          <w:color w:val="auto"/>
        </w:rPr>
      </w:pPr>
      <w:r>
        <w:rPr>
          <w:rFonts w:ascii="Arial" w:cs="Arial" w:eastAsia="Arial" w:hAnsi="Arial"/>
          <w:sz w:val="14"/>
          <w:szCs w:val="14"/>
          <w:b w:val="1"/>
          <w:bCs w:val="1"/>
          <w:color w:val="auto"/>
        </w:rPr>
        <w:t>Exhibit</w:t>
      </w:r>
    </w:p>
    <w:p>
      <w:pPr>
        <w:spacing w:after="0" w:line="19" w:lineRule="exact"/>
        <w:rPr>
          <w:sz w:val="20"/>
          <w:szCs w:val="20"/>
          <w:color w:val="auto"/>
        </w:rPr>
      </w:pPr>
    </w:p>
    <w:p>
      <w:pPr>
        <w:spacing w:after="0"/>
        <w:tabs>
          <w:tab w:leader="none" w:pos="900" w:val="left"/>
        </w:tabs>
        <w:rPr>
          <w:sz w:val="20"/>
          <w:szCs w:val="20"/>
          <w:color w:val="auto"/>
        </w:rPr>
      </w:pPr>
      <w:r>
        <w:rPr>
          <w:rFonts w:ascii="Arial" w:cs="Arial" w:eastAsia="Arial" w:hAnsi="Arial"/>
          <w:sz w:val="14"/>
          <w:szCs w:val="14"/>
          <w:b w:val="1"/>
          <w:bCs w:val="1"/>
          <w:u w:val="single" w:color="auto"/>
          <w:color w:val="auto"/>
        </w:rPr>
        <w:t>Number</w:t>
      </w:r>
      <w:r>
        <w:rPr>
          <w:sz w:val="20"/>
          <w:szCs w:val="20"/>
          <w:color w:val="auto"/>
        </w:rPr>
        <w:tab/>
      </w:r>
      <w:r>
        <w:rPr>
          <w:rFonts w:ascii="Arial" w:cs="Arial" w:eastAsia="Arial" w:hAnsi="Arial"/>
          <w:sz w:val="14"/>
          <w:szCs w:val="14"/>
          <w:b w:val="1"/>
          <w:bCs w:val="1"/>
          <w:u w:val="single" w:color="auto"/>
          <w:color w:val="auto"/>
        </w:rPr>
        <w:t>Description</w:t>
      </w:r>
    </w:p>
    <w:p>
      <w:pPr>
        <w:spacing w:after="0" w:line="49" w:lineRule="exact"/>
        <w:rPr>
          <w:sz w:val="20"/>
          <w:szCs w:val="20"/>
          <w:color w:val="auto"/>
        </w:rPr>
      </w:pPr>
    </w:p>
    <w:p>
      <w:pPr>
        <w:jc w:val="both"/>
        <w:ind w:left="920" w:hanging="917"/>
        <w:spacing w:after="0" w:line="239" w:lineRule="auto"/>
        <w:tabs>
          <w:tab w:leader="none" w:pos="900" w:val="left"/>
        </w:tabs>
        <w:rPr>
          <w:rFonts w:ascii="Arial" w:cs="Arial" w:eastAsia="Arial" w:hAnsi="Arial"/>
          <w:sz w:val="18"/>
          <w:szCs w:val="18"/>
          <w:u w:val="single" w:color="auto"/>
          <w:color w:val="0000FF"/>
        </w:rPr>
      </w:pPr>
      <w:r>
        <w:rPr>
          <w:rFonts w:ascii="Arial" w:cs="Arial" w:eastAsia="Arial" w:hAnsi="Arial"/>
          <w:sz w:val="18"/>
          <w:szCs w:val="18"/>
          <w:color w:val="auto"/>
        </w:rPr>
        <w:t>10.19</w:t>
      </w:r>
      <w:r>
        <w:rPr>
          <w:sz w:val="20"/>
          <w:szCs w:val="20"/>
          <w:color w:val="auto"/>
        </w:rPr>
        <w:tab/>
      </w:r>
      <w:hyperlink r:id="rId252">
        <w:r>
          <w:rPr>
            <w:rFonts w:ascii="Arial" w:cs="Arial" w:eastAsia="Arial" w:hAnsi="Arial"/>
            <w:sz w:val="18"/>
            <w:szCs w:val="18"/>
            <w:u w:val="single" w:color="auto"/>
            <w:color w:val="0000FF"/>
          </w:rPr>
          <w:t>First Amendment to Credit and Guaranty Agreement, dated as of October 31, 2016, amending the Credit and Guaranty</w:t>
        </w:r>
      </w:hyperlink>
      <w:r>
        <w:rPr>
          <w:rFonts w:ascii="Arial" w:cs="Arial" w:eastAsia="Arial" w:hAnsi="Arial"/>
          <w:sz w:val="18"/>
          <w:szCs w:val="18"/>
          <w:u w:val="single" w:color="auto"/>
          <w:color w:val="0000FF"/>
        </w:rPr>
        <w:t xml:space="preserve"> </w:t>
      </w:r>
      <w:hyperlink r:id="rId252">
        <w:r>
          <w:rPr>
            <w:rFonts w:ascii="Arial" w:cs="Arial" w:eastAsia="Arial" w:hAnsi="Arial"/>
            <w:sz w:val="18"/>
            <w:szCs w:val="18"/>
            <w:u w:val="single" w:color="auto"/>
            <w:color w:val="0000FF"/>
          </w:rPr>
          <w:t>Agreement, dated as of April 29, 2016, among American Airlines, Inc. as borrower, American Airlines Group Inc., as parent and</w:t>
        </w:r>
      </w:hyperlink>
      <w:r>
        <w:rPr>
          <w:rFonts w:ascii="Arial" w:cs="Arial" w:eastAsia="Arial" w:hAnsi="Arial"/>
          <w:sz w:val="18"/>
          <w:szCs w:val="18"/>
          <w:u w:val="single" w:color="auto"/>
          <w:color w:val="0000FF"/>
        </w:rPr>
        <w:t xml:space="preserve"> </w:t>
      </w:r>
      <w:hyperlink r:id="rId252">
        <w:r>
          <w:rPr>
            <w:rFonts w:ascii="Arial" w:cs="Arial" w:eastAsia="Arial" w:hAnsi="Arial"/>
            <w:sz w:val="18"/>
            <w:szCs w:val="18"/>
            <w:u w:val="single" w:color="auto"/>
            <w:color w:val="0000FF"/>
          </w:rPr>
          <w:t>guarantor, the lenders party thereto, Barclays Bank PLC, as administrative agent (incorporated by reference to Exhibit 10.81 to</w:t>
        </w:r>
      </w:hyperlink>
      <w:r>
        <w:rPr>
          <w:rFonts w:ascii="Arial" w:cs="Arial" w:eastAsia="Arial" w:hAnsi="Arial"/>
          <w:sz w:val="18"/>
          <w:szCs w:val="18"/>
          <w:u w:val="single" w:color="auto"/>
          <w:color w:val="0000FF"/>
        </w:rPr>
        <w:t xml:space="preserve"> </w:t>
      </w:r>
      <w:hyperlink r:id="rId252">
        <w:r>
          <w:rPr>
            <w:rFonts w:ascii="Arial" w:cs="Arial" w:eastAsia="Arial" w:hAnsi="Arial"/>
            <w:sz w:val="18"/>
            <w:szCs w:val="18"/>
            <w:u w:val="single" w:color="auto"/>
            <w:color w:val="0000FF"/>
          </w:rPr>
          <w:t>AAG’s Annual Report on Form 10-K for the year ended December 31, 2016 (Commission File No. 1-8400)).</w:t>
        </w:r>
      </w:hyperlink>
    </w:p>
    <w:p>
      <w:pPr>
        <w:spacing w:after="0" w:line="40" w:lineRule="exact"/>
        <w:rPr>
          <w:rFonts w:ascii="Arial" w:cs="Arial" w:eastAsia="Arial" w:hAnsi="Arial"/>
          <w:sz w:val="18"/>
          <w:szCs w:val="18"/>
          <w:u w:val="single" w:color="auto"/>
          <w:color w:val="0000FF"/>
        </w:rPr>
      </w:pPr>
    </w:p>
    <w:p>
      <w:pPr>
        <w:jc w:val="both"/>
        <w:ind w:left="920" w:right="20" w:hanging="917"/>
        <w:spacing w:after="0" w:line="239" w:lineRule="auto"/>
        <w:tabs>
          <w:tab w:leader="none" w:pos="900" w:val="left"/>
        </w:tabs>
        <w:rPr>
          <w:rFonts w:ascii="Arial" w:cs="Arial" w:eastAsia="Arial" w:hAnsi="Arial"/>
          <w:sz w:val="18"/>
          <w:szCs w:val="18"/>
          <w:color w:val="0000FF"/>
        </w:rPr>
      </w:pPr>
      <w:r>
        <w:rPr>
          <w:rFonts w:ascii="Arial" w:cs="Arial" w:eastAsia="Arial" w:hAnsi="Arial"/>
          <w:sz w:val="18"/>
          <w:szCs w:val="18"/>
          <w:color w:val="auto"/>
        </w:rPr>
        <w:t>10.20</w:t>
      </w:r>
      <w:r>
        <w:rPr>
          <w:sz w:val="20"/>
          <w:szCs w:val="20"/>
          <w:color w:val="auto"/>
        </w:rPr>
        <w:tab/>
      </w:r>
      <w:hyperlink r:id="rId253">
        <w:r>
          <w:rPr>
            <w:rFonts w:ascii="Arial" w:cs="Arial" w:eastAsia="Arial" w:hAnsi="Arial"/>
            <w:sz w:val="18"/>
            <w:szCs w:val="18"/>
            <w:u w:val="single" w:color="auto"/>
            <w:color w:val="0000FF"/>
          </w:rPr>
          <w:t>Second Amendment to the Credit and Guaranty Agreement, dated as of August 21, 2017, amending the Credit and Guaranty</w:t>
        </w:r>
      </w:hyperlink>
      <w:r>
        <w:rPr>
          <w:rFonts w:ascii="Arial" w:cs="Arial" w:eastAsia="Arial" w:hAnsi="Arial"/>
          <w:sz w:val="18"/>
          <w:szCs w:val="18"/>
          <w:u w:val="single" w:color="auto"/>
          <w:color w:val="0000FF"/>
        </w:rPr>
        <w:t xml:space="preserve"> </w:t>
      </w:r>
      <w:hyperlink r:id="rId253">
        <w:r>
          <w:rPr>
            <w:rFonts w:ascii="Arial" w:cs="Arial" w:eastAsia="Arial" w:hAnsi="Arial"/>
            <w:sz w:val="18"/>
            <w:szCs w:val="18"/>
            <w:u w:val="single" w:color="auto"/>
            <w:color w:val="0000FF"/>
          </w:rPr>
          <w:t>Agreement, dated as of April 29, 2016, among American Airlines, Inc., American Airlines Group Inc., the lenders from time to time</w:t>
        </w:r>
      </w:hyperlink>
      <w:r>
        <w:rPr>
          <w:rFonts w:ascii="Arial" w:cs="Arial" w:eastAsia="Arial" w:hAnsi="Arial"/>
          <w:sz w:val="18"/>
          <w:szCs w:val="18"/>
          <w:u w:val="single" w:color="auto"/>
          <w:color w:val="0000FF"/>
        </w:rPr>
        <w:t xml:space="preserve"> </w:t>
      </w:r>
      <w:hyperlink r:id="rId253">
        <w:r>
          <w:rPr>
            <w:rFonts w:ascii="Arial" w:cs="Arial" w:eastAsia="Arial" w:hAnsi="Arial"/>
            <w:sz w:val="18"/>
            <w:szCs w:val="18"/>
            <w:u w:val="single" w:color="auto"/>
            <w:color w:val="0000FF"/>
          </w:rPr>
          <w:t>party thereto, Barclays Bank PLC, as administrative agent, and certain other parties thereto (incorporated by reference to Exhibit</w:t>
        </w:r>
      </w:hyperlink>
      <w:r>
        <w:rPr>
          <w:rFonts w:ascii="Arial" w:cs="Arial" w:eastAsia="Arial" w:hAnsi="Arial"/>
          <w:sz w:val="18"/>
          <w:szCs w:val="18"/>
          <w:u w:val="single" w:color="auto"/>
          <w:color w:val="0000FF"/>
        </w:rPr>
        <w:t xml:space="preserve"> </w:t>
      </w:r>
      <w:hyperlink r:id="rId253">
        <w:r>
          <w:rPr>
            <w:rFonts w:ascii="Arial" w:cs="Arial" w:eastAsia="Arial" w:hAnsi="Arial"/>
            <w:sz w:val="18"/>
            <w:szCs w:val="18"/>
            <w:u w:val="single" w:color="auto"/>
            <w:color w:val="0000FF"/>
          </w:rPr>
          <w:t>10.15 to AAG’s Annual Report on Form 10-K for the year ended December 31, 2017 (Commission File No. 1-8400)).</w:t>
        </w:r>
        <w:r>
          <w:rPr>
            <w:rFonts w:ascii="Arial" w:cs="Arial" w:eastAsia="Arial" w:hAnsi="Arial"/>
            <w:sz w:val="18"/>
            <w:szCs w:val="18"/>
            <w:color w:val="000000"/>
          </w:rPr>
          <w:t>*</w:t>
        </w:r>
      </w:hyperlink>
    </w:p>
    <w:p>
      <w:pPr>
        <w:spacing w:after="0" w:line="40" w:lineRule="exact"/>
        <w:rPr>
          <w:rFonts w:ascii="Arial" w:cs="Arial" w:eastAsia="Arial" w:hAnsi="Arial"/>
          <w:sz w:val="18"/>
          <w:szCs w:val="18"/>
          <w:u w:val="single" w:color="auto"/>
          <w:color w:val="0000FF"/>
        </w:rPr>
      </w:pPr>
    </w:p>
    <w:p>
      <w:pPr>
        <w:jc w:val="both"/>
        <w:ind w:left="920" w:hanging="917"/>
        <w:spacing w:after="0" w:line="239" w:lineRule="auto"/>
        <w:tabs>
          <w:tab w:leader="none" w:pos="900" w:val="left"/>
        </w:tabs>
        <w:rPr>
          <w:rFonts w:ascii="Arial" w:cs="Arial" w:eastAsia="Arial" w:hAnsi="Arial"/>
          <w:sz w:val="18"/>
          <w:szCs w:val="18"/>
          <w:u w:val="single" w:color="auto"/>
          <w:color w:val="0000FF"/>
        </w:rPr>
      </w:pPr>
      <w:r>
        <w:rPr>
          <w:rFonts w:ascii="Arial" w:cs="Arial" w:eastAsia="Arial" w:hAnsi="Arial"/>
          <w:sz w:val="18"/>
          <w:szCs w:val="18"/>
          <w:color w:val="auto"/>
        </w:rPr>
        <w:t>10.21</w:t>
      </w:r>
      <w:r>
        <w:rPr>
          <w:sz w:val="20"/>
          <w:szCs w:val="20"/>
          <w:color w:val="auto"/>
        </w:rPr>
        <w:tab/>
      </w:r>
      <w:hyperlink r:id="rId254">
        <w:r>
          <w:rPr>
            <w:rFonts w:ascii="Arial" w:cs="Arial" w:eastAsia="Arial" w:hAnsi="Arial"/>
            <w:sz w:val="18"/>
            <w:szCs w:val="18"/>
            <w:u w:val="single" w:color="auto"/>
            <w:color w:val="0000FF"/>
          </w:rPr>
          <w:t>Third Amendment to Credit and Guaranty Agreement, dated as of November 1, 2017, amending the Credit and Guaranty</w:t>
        </w:r>
      </w:hyperlink>
      <w:r>
        <w:rPr>
          <w:rFonts w:ascii="Arial" w:cs="Arial" w:eastAsia="Arial" w:hAnsi="Arial"/>
          <w:sz w:val="18"/>
          <w:szCs w:val="18"/>
          <w:u w:val="single" w:color="auto"/>
          <w:color w:val="0000FF"/>
        </w:rPr>
        <w:t xml:space="preserve"> </w:t>
      </w:r>
      <w:hyperlink r:id="rId254">
        <w:r>
          <w:rPr>
            <w:rFonts w:ascii="Arial" w:cs="Arial" w:eastAsia="Arial" w:hAnsi="Arial"/>
            <w:sz w:val="18"/>
            <w:szCs w:val="18"/>
            <w:u w:val="single" w:color="auto"/>
            <w:color w:val="0000FF"/>
          </w:rPr>
          <w:t>Agreement, dated as of April 29, 2016, among American Airlines, Inc. as borrower, American Airlines Group Inc., as parent and</w:t>
        </w:r>
      </w:hyperlink>
      <w:r>
        <w:rPr>
          <w:rFonts w:ascii="Arial" w:cs="Arial" w:eastAsia="Arial" w:hAnsi="Arial"/>
          <w:sz w:val="18"/>
          <w:szCs w:val="18"/>
          <w:u w:val="single" w:color="auto"/>
          <w:color w:val="0000FF"/>
        </w:rPr>
        <w:t xml:space="preserve"> </w:t>
      </w:r>
      <w:hyperlink r:id="rId254">
        <w:r>
          <w:rPr>
            <w:rFonts w:ascii="Arial" w:cs="Arial" w:eastAsia="Arial" w:hAnsi="Arial"/>
            <w:sz w:val="18"/>
            <w:szCs w:val="18"/>
            <w:u w:val="single" w:color="auto"/>
            <w:color w:val="0000FF"/>
          </w:rPr>
          <w:t>guarantor, the lenders party thereto, Barclays Bank PLC, as administrative agent (incorporated by reference to Exhibit 10.16 to</w:t>
        </w:r>
      </w:hyperlink>
      <w:r>
        <w:rPr>
          <w:rFonts w:ascii="Arial" w:cs="Arial" w:eastAsia="Arial" w:hAnsi="Arial"/>
          <w:sz w:val="18"/>
          <w:szCs w:val="18"/>
          <w:u w:val="single" w:color="auto"/>
          <w:color w:val="0000FF"/>
        </w:rPr>
        <w:t xml:space="preserve"> </w:t>
      </w:r>
      <w:hyperlink r:id="rId254">
        <w:r>
          <w:rPr>
            <w:rFonts w:ascii="Arial" w:cs="Arial" w:eastAsia="Arial" w:hAnsi="Arial"/>
            <w:sz w:val="18"/>
            <w:szCs w:val="18"/>
            <w:u w:val="single" w:color="auto"/>
            <w:color w:val="0000FF"/>
          </w:rPr>
          <w:t>AAG’s Annual Report on Form 10-K for the year ended December 31, 2017 (Commission File No. 1-8400)).</w:t>
        </w:r>
      </w:hyperlink>
    </w:p>
    <w:p>
      <w:pPr>
        <w:spacing w:after="0" w:line="40" w:lineRule="exact"/>
        <w:rPr>
          <w:rFonts w:ascii="Arial" w:cs="Arial" w:eastAsia="Arial" w:hAnsi="Arial"/>
          <w:sz w:val="18"/>
          <w:szCs w:val="18"/>
          <w:u w:val="single" w:color="auto"/>
          <w:color w:val="0000FF"/>
        </w:rPr>
      </w:pPr>
    </w:p>
    <w:p>
      <w:pPr>
        <w:jc w:val="both"/>
        <w:ind w:left="920" w:right="20" w:hanging="917"/>
        <w:spacing w:after="0" w:line="239" w:lineRule="auto"/>
        <w:tabs>
          <w:tab w:leader="none" w:pos="900" w:val="left"/>
        </w:tabs>
        <w:rPr>
          <w:rFonts w:ascii="Arial" w:cs="Arial" w:eastAsia="Arial" w:hAnsi="Arial"/>
          <w:sz w:val="18"/>
          <w:szCs w:val="18"/>
          <w:u w:val="single" w:color="auto"/>
          <w:color w:val="0000FF"/>
        </w:rPr>
      </w:pPr>
      <w:r>
        <w:rPr>
          <w:rFonts w:ascii="Arial" w:cs="Arial" w:eastAsia="Arial" w:hAnsi="Arial"/>
          <w:sz w:val="18"/>
          <w:szCs w:val="18"/>
          <w:color w:val="auto"/>
        </w:rPr>
        <w:t>10.22</w:t>
      </w:r>
      <w:r>
        <w:rPr>
          <w:sz w:val="20"/>
          <w:szCs w:val="20"/>
          <w:color w:val="auto"/>
        </w:rPr>
        <w:tab/>
      </w:r>
      <w:hyperlink r:id="rId255">
        <w:r>
          <w:rPr>
            <w:rFonts w:ascii="Arial" w:cs="Arial" w:eastAsia="Arial" w:hAnsi="Arial"/>
            <w:sz w:val="18"/>
            <w:szCs w:val="18"/>
            <w:u w:val="single" w:color="auto"/>
            <w:color w:val="0000FF"/>
          </w:rPr>
          <w:t>Fourth Amendment to Credit and Guaranty Agreement, dated as of December 10, 2018, amending the Credit and Guaranty</w:t>
        </w:r>
      </w:hyperlink>
      <w:r>
        <w:rPr>
          <w:rFonts w:ascii="Arial" w:cs="Arial" w:eastAsia="Arial" w:hAnsi="Arial"/>
          <w:sz w:val="18"/>
          <w:szCs w:val="18"/>
          <w:u w:val="single" w:color="auto"/>
          <w:color w:val="0000FF"/>
        </w:rPr>
        <w:t xml:space="preserve"> </w:t>
      </w:r>
      <w:hyperlink r:id="rId255">
        <w:r>
          <w:rPr>
            <w:rFonts w:ascii="Arial" w:cs="Arial" w:eastAsia="Arial" w:hAnsi="Arial"/>
            <w:sz w:val="18"/>
            <w:szCs w:val="18"/>
            <w:u w:val="single" w:color="auto"/>
            <w:color w:val="0000FF"/>
          </w:rPr>
          <w:t>Agreement, dated as of April 29, 2016, among American Airlines, Inc. as borrower, American Airlines Group Inc., as parent and</w:t>
        </w:r>
      </w:hyperlink>
      <w:r>
        <w:rPr>
          <w:rFonts w:ascii="Arial" w:cs="Arial" w:eastAsia="Arial" w:hAnsi="Arial"/>
          <w:sz w:val="18"/>
          <w:szCs w:val="18"/>
          <w:u w:val="single" w:color="auto"/>
          <w:color w:val="0000FF"/>
        </w:rPr>
        <w:t xml:space="preserve"> </w:t>
      </w:r>
      <w:hyperlink r:id="rId255">
        <w:r>
          <w:rPr>
            <w:rFonts w:ascii="Arial" w:cs="Arial" w:eastAsia="Arial" w:hAnsi="Arial"/>
            <w:sz w:val="18"/>
            <w:szCs w:val="18"/>
            <w:u w:val="single" w:color="auto"/>
            <w:color w:val="0000FF"/>
          </w:rPr>
          <w:t>guarantor, the lenders party thereto, Barclays Bank PLC, as administrative agent (incorporated by reference to Exhibit 10.20 to</w:t>
        </w:r>
      </w:hyperlink>
      <w:r>
        <w:rPr>
          <w:rFonts w:ascii="Arial" w:cs="Arial" w:eastAsia="Arial" w:hAnsi="Arial"/>
          <w:sz w:val="18"/>
          <w:szCs w:val="18"/>
          <w:u w:val="single" w:color="auto"/>
          <w:color w:val="0000FF"/>
        </w:rPr>
        <w:t xml:space="preserve"> </w:t>
      </w:r>
      <w:hyperlink r:id="rId255">
        <w:r>
          <w:rPr>
            <w:rFonts w:ascii="Arial" w:cs="Arial" w:eastAsia="Arial" w:hAnsi="Arial"/>
            <w:sz w:val="18"/>
            <w:szCs w:val="18"/>
            <w:u w:val="single" w:color="auto"/>
            <w:color w:val="0000FF"/>
          </w:rPr>
          <w:t>AAG’s Annual Report on Form 10-K for the year ended December 31, 2018 (Commission File No. 1-8400)).***</w:t>
        </w:r>
      </w:hyperlink>
    </w:p>
    <w:p>
      <w:pPr>
        <w:spacing w:after="0" w:line="40" w:lineRule="exact"/>
        <w:rPr>
          <w:rFonts w:ascii="Arial" w:cs="Arial" w:eastAsia="Arial" w:hAnsi="Arial"/>
          <w:sz w:val="18"/>
          <w:szCs w:val="18"/>
          <w:u w:val="single" w:color="auto"/>
          <w:color w:val="0000FF"/>
        </w:rPr>
      </w:pPr>
    </w:p>
    <w:p>
      <w:pPr>
        <w:jc w:val="both"/>
        <w:ind w:left="920" w:right="20" w:hanging="917"/>
        <w:spacing w:after="0"/>
        <w:tabs>
          <w:tab w:leader="none" w:pos="900" w:val="left"/>
        </w:tabs>
        <w:rPr>
          <w:rFonts w:ascii="Arial" w:cs="Arial" w:eastAsia="Arial" w:hAnsi="Arial"/>
          <w:sz w:val="18"/>
          <w:szCs w:val="18"/>
          <w:u w:val="single" w:color="auto"/>
          <w:color w:val="0000FF"/>
        </w:rPr>
      </w:pPr>
      <w:r>
        <w:rPr>
          <w:rFonts w:ascii="Arial" w:cs="Arial" w:eastAsia="Arial" w:hAnsi="Arial"/>
          <w:sz w:val="18"/>
          <w:szCs w:val="18"/>
          <w:color w:val="auto"/>
        </w:rPr>
        <w:t>10.23</w:t>
      </w:r>
      <w:r>
        <w:rPr>
          <w:sz w:val="20"/>
          <w:szCs w:val="20"/>
          <w:color w:val="auto"/>
        </w:rPr>
        <w:tab/>
      </w:r>
      <w:hyperlink w:anchor="page210">
        <w:r>
          <w:rPr>
            <w:rFonts w:ascii="Arial" w:cs="Arial" w:eastAsia="Arial" w:hAnsi="Arial"/>
            <w:sz w:val="18"/>
            <w:szCs w:val="18"/>
            <w:u w:val="single" w:color="auto"/>
            <w:color w:val="0000FF"/>
          </w:rPr>
          <w:t>Fifth Amendment to Credit and Guaranty Agreement, dated as of November 8, 2019, amending the Credit and Guaranty</w:t>
        </w:r>
      </w:hyperlink>
      <w:r>
        <w:rPr>
          <w:rFonts w:ascii="Arial" w:cs="Arial" w:eastAsia="Arial" w:hAnsi="Arial"/>
          <w:sz w:val="18"/>
          <w:szCs w:val="18"/>
          <w:u w:val="single" w:color="auto"/>
          <w:color w:val="0000FF"/>
        </w:rPr>
        <w:t xml:space="preserve"> </w:t>
      </w:r>
      <w:hyperlink w:anchor="page210">
        <w:r>
          <w:rPr>
            <w:rFonts w:ascii="Arial" w:cs="Arial" w:eastAsia="Arial" w:hAnsi="Arial"/>
            <w:sz w:val="18"/>
            <w:szCs w:val="18"/>
            <w:u w:val="single" w:color="auto"/>
            <w:color w:val="0000FF"/>
          </w:rPr>
          <w:t>Agreement, dated as of April 29, 2016, among American Airlines, Inc. as borrower, American Airlines Group Inc., as parent and</w:t>
        </w:r>
      </w:hyperlink>
      <w:r>
        <w:rPr>
          <w:rFonts w:ascii="Arial" w:cs="Arial" w:eastAsia="Arial" w:hAnsi="Arial"/>
          <w:sz w:val="18"/>
          <w:szCs w:val="18"/>
          <w:u w:val="single" w:color="auto"/>
          <w:color w:val="0000FF"/>
        </w:rPr>
        <w:t xml:space="preserve"> </w:t>
      </w:r>
      <w:hyperlink w:anchor="page210">
        <w:r>
          <w:rPr>
            <w:rFonts w:ascii="Arial" w:cs="Arial" w:eastAsia="Arial" w:hAnsi="Arial"/>
            <w:sz w:val="18"/>
            <w:szCs w:val="18"/>
            <w:u w:val="single" w:color="auto"/>
            <w:color w:val="0000FF"/>
          </w:rPr>
          <w:t>guarantor, the lenders party thereto, Barclays Bank PLC, as administrative agent.**</w:t>
        </w:r>
      </w:hyperlink>
    </w:p>
    <w:p>
      <w:pPr>
        <w:spacing w:after="0" w:line="41" w:lineRule="exact"/>
        <w:rPr>
          <w:rFonts w:ascii="Arial" w:cs="Arial" w:eastAsia="Arial" w:hAnsi="Arial"/>
          <w:sz w:val="18"/>
          <w:szCs w:val="18"/>
          <w:u w:val="single" w:color="auto"/>
          <w:color w:val="0000FF"/>
        </w:rPr>
      </w:pPr>
    </w:p>
    <w:p>
      <w:pPr>
        <w:jc w:val="both"/>
        <w:ind w:left="920" w:hanging="917"/>
        <w:spacing w:after="0"/>
        <w:tabs>
          <w:tab w:leader="none" w:pos="900" w:val="left"/>
        </w:tabs>
        <w:rPr>
          <w:rFonts w:ascii="Arial" w:cs="Arial" w:eastAsia="Arial" w:hAnsi="Arial"/>
          <w:sz w:val="18"/>
          <w:szCs w:val="18"/>
          <w:color w:val="0000FF"/>
        </w:rPr>
      </w:pPr>
      <w:r>
        <w:rPr>
          <w:rFonts w:ascii="Arial" w:cs="Arial" w:eastAsia="Arial" w:hAnsi="Arial"/>
          <w:sz w:val="18"/>
          <w:szCs w:val="18"/>
          <w:color w:val="auto"/>
        </w:rPr>
        <w:t>10.24</w:t>
      </w:r>
      <w:r>
        <w:rPr>
          <w:sz w:val="20"/>
          <w:szCs w:val="20"/>
          <w:color w:val="auto"/>
        </w:rPr>
        <w:tab/>
      </w:r>
      <w:hyperlink r:id="rId256">
        <w:r>
          <w:rPr>
            <w:rFonts w:ascii="Arial" w:cs="Arial" w:eastAsia="Arial" w:hAnsi="Arial"/>
            <w:sz w:val="18"/>
            <w:szCs w:val="18"/>
            <w:u w:val="single" w:color="auto"/>
            <w:color w:val="0000FF"/>
          </w:rPr>
          <w:t>Purchase Agreement No. 3219, dated as of October 15, 2008, between American Airlines, Inc. and The Boeing Company</w:t>
        </w:r>
      </w:hyperlink>
      <w:r>
        <w:rPr>
          <w:rFonts w:ascii="Arial" w:cs="Arial" w:eastAsia="Arial" w:hAnsi="Arial"/>
          <w:sz w:val="18"/>
          <w:szCs w:val="18"/>
          <w:u w:val="single" w:color="auto"/>
          <w:color w:val="0000FF"/>
        </w:rPr>
        <w:t xml:space="preserve"> </w:t>
      </w:r>
      <w:hyperlink r:id="rId256">
        <w:r>
          <w:rPr>
            <w:rFonts w:ascii="Arial" w:cs="Arial" w:eastAsia="Arial" w:hAnsi="Arial"/>
            <w:sz w:val="18"/>
            <w:szCs w:val="18"/>
            <w:u w:val="single" w:color="auto"/>
            <w:color w:val="0000FF"/>
          </w:rPr>
          <w:t>(incorporated by reference to Exhibit 10.29 to American’s Annual Report on Form 10-K for the year ended December 31, 2008</w:t>
        </w:r>
      </w:hyperlink>
      <w:r>
        <w:rPr>
          <w:rFonts w:ascii="Arial" w:cs="Arial" w:eastAsia="Arial" w:hAnsi="Arial"/>
          <w:sz w:val="18"/>
          <w:szCs w:val="18"/>
          <w:u w:val="single" w:color="auto"/>
          <w:color w:val="0000FF"/>
        </w:rPr>
        <w:t xml:space="preserve"> </w:t>
      </w:r>
      <w:hyperlink r:id="rId256">
        <w:r>
          <w:rPr>
            <w:rFonts w:ascii="Arial" w:cs="Arial" w:eastAsia="Arial" w:hAnsi="Arial"/>
            <w:sz w:val="18"/>
            <w:szCs w:val="18"/>
            <w:u w:val="single" w:color="auto"/>
            <w:color w:val="0000FF"/>
          </w:rPr>
          <w:t>(Commission File No. 1-8400)).</w:t>
        </w:r>
        <w:r>
          <w:rPr>
            <w:rFonts w:ascii="Arial" w:cs="Arial" w:eastAsia="Arial" w:hAnsi="Arial"/>
            <w:sz w:val="18"/>
            <w:szCs w:val="18"/>
            <w:color w:val="000000"/>
          </w:rPr>
          <w:t>*</w:t>
        </w:r>
      </w:hyperlink>
    </w:p>
    <w:p>
      <w:pPr>
        <w:spacing w:after="0" w:line="41" w:lineRule="exact"/>
        <w:rPr>
          <w:rFonts w:ascii="Arial" w:cs="Arial" w:eastAsia="Arial" w:hAnsi="Arial"/>
          <w:sz w:val="18"/>
          <w:szCs w:val="18"/>
          <w:u w:val="single" w:color="auto"/>
          <w:color w:val="0000FF"/>
        </w:rPr>
      </w:pPr>
    </w:p>
    <w:p>
      <w:pPr>
        <w:jc w:val="both"/>
        <w:ind w:left="920" w:hanging="917"/>
        <w:spacing w:after="0"/>
        <w:tabs>
          <w:tab w:leader="none" w:pos="900" w:val="left"/>
        </w:tabs>
        <w:rPr>
          <w:rFonts w:ascii="Arial" w:cs="Arial" w:eastAsia="Arial" w:hAnsi="Arial"/>
          <w:sz w:val="18"/>
          <w:szCs w:val="18"/>
          <w:color w:val="0000FF"/>
        </w:rPr>
      </w:pPr>
      <w:r>
        <w:rPr>
          <w:rFonts w:ascii="Arial" w:cs="Arial" w:eastAsia="Arial" w:hAnsi="Arial"/>
          <w:sz w:val="18"/>
          <w:szCs w:val="18"/>
          <w:color w:val="auto"/>
        </w:rPr>
        <w:t>10.25</w:t>
      </w:r>
      <w:r>
        <w:rPr>
          <w:sz w:val="20"/>
          <w:szCs w:val="20"/>
          <w:color w:val="auto"/>
        </w:rPr>
        <w:tab/>
      </w:r>
      <w:hyperlink r:id="rId257">
        <w:r>
          <w:rPr>
            <w:rFonts w:ascii="Arial" w:cs="Arial" w:eastAsia="Arial" w:hAnsi="Arial"/>
            <w:sz w:val="18"/>
            <w:szCs w:val="18"/>
            <w:u w:val="single" w:color="auto"/>
            <w:color w:val="0000FF"/>
          </w:rPr>
          <w:t>Supplemental Agreement No. 2, dated as of July 21, 2010, to Purchase Agreement No. 3219 between American Airlines, Inc. and</w:t>
        </w:r>
      </w:hyperlink>
      <w:r>
        <w:rPr>
          <w:rFonts w:ascii="Arial" w:cs="Arial" w:eastAsia="Arial" w:hAnsi="Arial"/>
          <w:sz w:val="18"/>
          <w:szCs w:val="18"/>
          <w:u w:val="single" w:color="auto"/>
          <w:color w:val="0000FF"/>
        </w:rPr>
        <w:t xml:space="preserve"> </w:t>
      </w:r>
      <w:hyperlink r:id="rId257">
        <w:r>
          <w:rPr>
            <w:rFonts w:ascii="Arial" w:cs="Arial" w:eastAsia="Arial" w:hAnsi="Arial"/>
            <w:sz w:val="18"/>
            <w:szCs w:val="18"/>
            <w:u w:val="single" w:color="auto"/>
            <w:color w:val="0000FF"/>
          </w:rPr>
          <w:t>The Boeing Company (incorporated by reference to Exhibit 10.2 to AMR’s Quarterly Report on Form 10-Q for the quarter ended</w:t>
        </w:r>
      </w:hyperlink>
      <w:r>
        <w:rPr>
          <w:rFonts w:ascii="Arial" w:cs="Arial" w:eastAsia="Arial" w:hAnsi="Arial"/>
          <w:sz w:val="18"/>
          <w:szCs w:val="18"/>
          <w:u w:val="single" w:color="auto"/>
          <w:color w:val="0000FF"/>
        </w:rPr>
        <w:t xml:space="preserve"> </w:t>
      </w:r>
      <w:hyperlink r:id="rId257">
        <w:r>
          <w:rPr>
            <w:rFonts w:ascii="Arial" w:cs="Arial" w:eastAsia="Arial" w:hAnsi="Arial"/>
            <w:sz w:val="18"/>
            <w:szCs w:val="18"/>
            <w:u w:val="single" w:color="auto"/>
            <w:color w:val="0000FF"/>
          </w:rPr>
          <w:t>June 30, 2010 (Commission File No. 1-8400)).</w:t>
        </w:r>
        <w:r>
          <w:rPr>
            <w:rFonts w:ascii="Arial" w:cs="Arial" w:eastAsia="Arial" w:hAnsi="Arial"/>
            <w:sz w:val="18"/>
            <w:szCs w:val="18"/>
            <w:color w:val="000000"/>
          </w:rPr>
          <w:t>*</w:t>
        </w:r>
      </w:hyperlink>
    </w:p>
    <w:p>
      <w:pPr>
        <w:spacing w:after="0" w:line="41" w:lineRule="exact"/>
        <w:rPr>
          <w:rFonts w:ascii="Arial" w:cs="Arial" w:eastAsia="Arial" w:hAnsi="Arial"/>
          <w:sz w:val="18"/>
          <w:szCs w:val="18"/>
          <w:u w:val="single" w:color="auto"/>
          <w:color w:val="0000FF"/>
        </w:rPr>
      </w:pPr>
    </w:p>
    <w:p>
      <w:pPr>
        <w:jc w:val="both"/>
        <w:ind w:left="920" w:hanging="917"/>
        <w:spacing w:after="0"/>
        <w:tabs>
          <w:tab w:leader="none" w:pos="900" w:val="left"/>
        </w:tabs>
        <w:rPr>
          <w:rFonts w:ascii="Arial" w:cs="Arial" w:eastAsia="Arial" w:hAnsi="Arial"/>
          <w:sz w:val="18"/>
          <w:szCs w:val="18"/>
          <w:color w:val="0000FF"/>
        </w:rPr>
      </w:pPr>
      <w:r>
        <w:rPr>
          <w:rFonts w:ascii="Arial" w:cs="Arial" w:eastAsia="Arial" w:hAnsi="Arial"/>
          <w:sz w:val="18"/>
          <w:szCs w:val="18"/>
          <w:color w:val="auto"/>
        </w:rPr>
        <w:t>10.26</w:t>
      </w:r>
      <w:r>
        <w:rPr>
          <w:sz w:val="20"/>
          <w:szCs w:val="20"/>
          <w:color w:val="auto"/>
        </w:rPr>
        <w:tab/>
      </w:r>
      <w:hyperlink r:id="rId258">
        <w:r>
          <w:rPr>
            <w:rFonts w:ascii="Arial" w:cs="Arial" w:eastAsia="Arial" w:hAnsi="Arial"/>
            <w:sz w:val="18"/>
            <w:szCs w:val="18"/>
            <w:u w:val="single" w:color="auto"/>
            <w:color w:val="0000FF"/>
          </w:rPr>
          <w:t>Supplemental Agreement No. 3, dated as of February 1, 2013, to Purchase Agreement No. 3219 between American Airlines, Inc.,</w:t>
        </w:r>
      </w:hyperlink>
      <w:r>
        <w:rPr>
          <w:rFonts w:ascii="Arial" w:cs="Arial" w:eastAsia="Arial" w:hAnsi="Arial"/>
          <w:sz w:val="18"/>
          <w:szCs w:val="18"/>
          <w:u w:val="single" w:color="auto"/>
          <w:color w:val="0000FF"/>
        </w:rPr>
        <w:t xml:space="preserve"> </w:t>
      </w:r>
      <w:hyperlink r:id="rId258">
        <w:r>
          <w:rPr>
            <w:rFonts w:ascii="Arial" w:cs="Arial" w:eastAsia="Arial" w:hAnsi="Arial"/>
            <w:sz w:val="18"/>
            <w:szCs w:val="18"/>
            <w:u w:val="single" w:color="auto"/>
            <w:color w:val="0000FF"/>
          </w:rPr>
          <w:t>and The Boeing Company (incorporated by reference to Exhibit 10.2 to AMR’s Quarterly Report on Form 10-Q for the quarter</w:t>
        </w:r>
      </w:hyperlink>
      <w:r>
        <w:rPr>
          <w:rFonts w:ascii="Arial" w:cs="Arial" w:eastAsia="Arial" w:hAnsi="Arial"/>
          <w:sz w:val="18"/>
          <w:szCs w:val="18"/>
          <w:u w:val="single" w:color="auto"/>
          <w:color w:val="0000FF"/>
        </w:rPr>
        <w:t xml:space="preserve"> </w:t>
      </w:r>
      <w:hyperlink r:id="rId258">
        <w:r>
          <w:rPr>
            <w:rFonts w:ascii="Arial" w:cs="Arial" w:eastAsia="Arial" w:hAnsi="Arial"/>
            <w:sz w:val="18"/>
            <w:szCs w:val="18"/>
            <w:u w:val="single" w:color="auto"/>
            <w:color w:val="0000FF"/>
          </w:rPr>
          <w:t>ended March 31, 2013 (Commission File No. 1-8400)).</w:t>
        </w:r>
        <w:r>
          <w:rPr>
            <w:rFonts w:ascii="Arial" w:cs="Arial" w:eastAsia="Arial" w:hAnsi="Arial"/>
            <w:sz w:val="18"/>
            <w:szCs w:val="18"/>
            <w:color w:val="000000"/>
          </w:rPr>
          <w:t>*</w:t>
        </w:r>
      </w:hyperlink>
    </w:p>
    <w:p>
      <w:pPr>
        <w:spacing w:after="0" w:line="41" w:lineRule="exact"/>
        <w:rPr>
          <w:rFonts w:ascii="Arial" w:cs="Arial" w:eastAsia="Arial" w:hAnsi="Arial"/>
          <w:sz w:val="18"/>
          <w:szCs w:val="18"/>
          <w:u w:val="single" w:color="auto"/>
          <w:color w:val="0000FF"/>
        </w:rPr>
      </w:pPr>
    </w:p>
    <w:p>
      <w:pPr>
        <w:jc w:val="both"/>
        <w:ind w:left="920" w:hanging="917"/>
        <w:spacing w:after="0" w:line="239" w:lineRule="auto"/>
        <w:tabs>
          <w:tab w:leader="none" w:pos="900" w:val="left"/>
        </w:tabs>
        <w:rPr>
          <w:rFonts w:ascii="Arial" w:cs="Arial" w:eastAsia="Arial" w:hAnsi="Arial"/>
          <w:sz w:val="18"/>
          <w:szCs w:val="18"/>
          <w:color w:val="0000FF"/>
        </w:rPr>
      </w:pPr>
      <w:r>
        <w:rPr>
          <w:rFonts w:ascii="Arial" w:cs="Arial" w:eastAsia="Arial" w:hAnsi="Arial"/>
          <w:sz w:val="18"/>
          <w:szCs w:val="18"/>
          <w:color w:val="auto"/>
        </w:rPr>
        <w:t>10.27</w:t>
      </w:r>
      <w:r>
        <w:rPr>
          <w:sz w:val="20"/>
          <w:szCs w:val="20"/>
          <w:color w:val="auto"/>
        </w:rPr>
        <w:tab/>
      </w:r>
      <w:hyperlink r:id="rId259">
        <w:r>
          <w:rPr>
            <w:rFonts w:ascii="Arial" w:cs="Arial" w:eastAsia="Arial" w:hAnsi="Arial"/>
            <w:sz w:val="18"/>
            <w:szCs w:val="18"/>
            <w:u w:val="single" w:color="auto"/>
            <w:color w:val="0000FF"/>
          </w:rPr>
          <w:t>Supplemental Agreement No. 4, dated as of June 9, 2014, to Purchase Agreement No. 3219 between The Boeing Company and</w:t>
        </w:r>
      </w:hyperlink>
      <w:r>
        <w:rPr>
          <w:rFonts w:ascii="Arial" w:cs="Arial" w:eastAsia="Arial" w:hAnsi="Arial"/>
          <w:sz w:val="18"/>
          <w:szCs w:val="18"/>
          <w:u w:val="single" w:color="auto"/>
          <w:color w:val="0000FF"/>
        </w:rPr>
        <w:t xml:space="preserve"> </w:t>
      </w:r>
      <w:hyperlink r:id="rId259">
        <w:r>
          <w:rPr>
            <w:rFonts w:ascii="Arial" w:cs="Arial" w:eastAsia="Arial" w:hAnsi="Arial"/>
            <w:sz w:val="18"/>
            <w:szCs w:val="18"/>
            <w:u w:val="single" w:color="auto"/>
            <w:color w:val="0000FF"/>
          </w:rPr>
          <w:t>American Airlines, Inc. dated as of October 15, 2008, relating to Boeing Model 787 Aircraft, as amended, restated, amended and</w:t>
        </w:r>
      </w:hyperlink>
      <w:r>
        <w:rPr>
          <w:rFonts w:ascii="Arial" w:cs="Arial" w:eastAsia="Arial" w:hAnsi="Arial"/>
          <w:sz w:val="18"/>
          <w:szCs w:val="18"/>
          <w:u w:val="single" w:color="auto"/>
          <w:color w:val="0000FF"/>
        </w:rPr>
        <w:t xml:space="preserve"> </w:t>
      </w:r>
      <w:hyperlink r:id="rId259">
        <w:r>
          <w:rPr>
            <w:rFonts w:ascii="Arial" w:cs="Arial" w:eastAsia="Arial" w:hAnsi="Arial"/>
            <w:sz w:val="18"/>
            <w:szCs w:val="18"/>
            <w:u w:val="single" w:color="auto"/>
            <w:color w:val="0000FF"/>
          </w:rPr>
          <w:t>restated, supplemented or otherwise modified (incorporated by reference to Exhibit 10.6 to AAG’s Quarterly Report on Form 10-Q</w:t>
        </w:r>
      </w:hyperlink>
      <w:r>
        <w:rPr>
          <w:rFonts w:ascii="Arial" w:cs="Arial" w:eastAsia="Arial" w:hAnsi="Arial"/>
          <w:sz w:val="18"/>
          <w:szCs w:val="18"/>
          <w:u w:val="single" w:color="auto"/>
          <w:color w:val="0000FF"/>
        </w:rPr>
        <w:t xml:space="preserve"> </w:t>
      </w:r>
      <w:hyperlink r:id="rId259">
        <w:r>
          <w:rPr>
            <w:rFonts w:ascii="Arial" w:cs="Arial" w:eastAsia="Arial" w:hAnsi="Arial"/>
            <w:sz w:val="18"/>
            <w:szCs w:val="18"/>
            <w:u w:val="single" w:color="auto"/>
            <w:color w:val="0000FF"/>
          </w:rPr>
          <w:t>for the quarter ended June 30, 2014 (Commission File No. 1-8400)).</w:t>
        </w:r>
        <w:r>
          <w:rPr>
            <w:rFonts w:ascii="Arial" w:cs="Arial" w:eastAsia="Arial" w:hAnsi="Arial"/>
            <w:sz w:val="18"/>
            <w:szCs w:val="18"/>
            <w:color w:val="000000"/>
          </w:rPr>
          <w:t>*</w:t>
        </w:r>
      </w:hyperlink>
    </w:p>
    <w:p>
      <w:pPr>
        <w:spacing w:after="0" w:line="40" w:lineRule="exact"/>
        <w:rPr>
          <w:rFonts w:ascii="Arial" w:cs="Arial" w:eastAsia="Arial" w:hAnsi="Arial"/>
          <w:sz w:val="18"/>
          <w:szCs w:val="18"/>
          <w:u w:val="single" w:color="auto"/>
          <w:color w:val="0000FF"/>
        </w:rPr>
      </w:pPr>
    </w:p>
    <w:p>
      <w:pPr>
        <w:jc w:val="both"/>
        <w:ind w:left="920" w:hanging="917"/>
        <w:spacing w:after="0" w:line="239" w:lineRule="auto"/>
        <w:tabs>
          <w:tab w:leader="none" w:pos="900" w:val="left"/>
        </w:tabs>
        <w:rPr>
          <w:rFonts w:ascii="Arial" w:cs="Arial" w:eastAsia="Arial" w:hAnsi="Arial"/>
          <w:sz w:val="18"/>
          <w:szCs w:val="18"/>
          <w:color w:val="0000FF"/>
        </w:rPr>
      </w:pPr>
      <w:r>
        <w:rPr>
          <w:rFonts w:ascii="Arial" w:cs="Arial" w:eastAsia="Arial" w:hAnsi="Arial"/>
          <w:sz w:val="18"/>
          <w:szCs w:val="18"/>
          <w:color w:val="auto"/>
        </w:rPr>
        <w:t>10.28</w:t>
      </w:r>
      <w:r>
        <w:rPr>
          <w:sz w:val="20"/>
          <w:szCs w:val="20"/>
          <w:color w:val="auto"/>
        </w:rPr>
        <w:tab/>
      </w:r>
      <w:hyperlink r:id="rId260">
        <w:r>
          <w:rPr>
            <w:rFonts w:ascii="Arial" w:cs="Arial" w:eastAsia="Arial" w:hAnsi="Arial"/>
            <w:sz w:val="18"/>
            <w:szCs w:val="18"/>
            <w:u w:val="single" w:color="auto"/>
            <w:color w:val="0000FF"/>
          </w:rPr>
          <w:t>Supplemental Agreement No. 5, dated as of January 20, 2015, to Purchase Agreement No. 3219 between The Boeing Company</w:t>
        </w:r>
      </w:hyperlink>
      <w:r>
        <w:rPr>
          <w:rFonts w:ascii="Arial" w:cs="Arial" w:eastAsia="Arial" w:hAnsi="Arial"/>
          <w:sz w:val="18"/>
          <w:szCs w:val="18"/>
          <w:u w:val="single" w:color="auto"/>
          <w:color w:val="0000FF"/>
        </w:rPr>
        <w:t xml:space="preserve"> </w:t>
      </w:r>
      <w:hyperlink r:id="rId260">
        <w:r>
          <w:rPr>
            <w:rFonts w:ascii="Arial" w:cs="Arial" w:eastAsia="Arial" w:hAnsi="Arial"/>
            <w:sz w:val="18"/>
            <w:szCs w:val="18"/>
            <w:u w:val="single" w:color="auto"/>
            <w:color w:val="0000FF"/>
          </w:rPr>
          <w:t>and American Airlines, Inc., dated as of October 15, 2008, relating to Boeing Model 787 Aircraft, as amended, restated, amended</w:t>
        </w:r>
      </w:hyperlink>
      <w:r>
        <w:rPr>
          <w:rFonts w:ascii="Arial" w:cs="Arial" w:eastAsia="Arial" w:hAnsi="Arial"/>
          <w:sz w:val="18"/>
          <w:szCs w:val="18"/>
          <w:u w:val="single" w:color="auto"/>
          <w:color w:val="0000FF"/>
        </w:rPr>
        <w:t xml:space="preserve"> </w:t>
      </w:r>
      <w:hyperlink r:id="rId260">
        <w:r>
          <w:rPr>
            <w:rFonts w:ascii="Arial" w:cs="Arial" w:eastAsia="Arial" w:hAnsi="Arial"/>
            <w:sz w:val="18"/>
            <w:szCs w:val="18"/>
            <w:u w:val="single" w:color="auto"/>
            <w:color w:val="0000FF"/>
          </w:rPr>
          <w:t>and restated, supplemented or otherwise modified (incorporated by reference to Exhibit 10.2 to AAG’s Quarterly Report on Form</w:t>
        </w:r>
      </w:hyperlink>
      <w:r>
        <w:rPr>
          <w:rFonts w:ascii="Arial" w:cs="Arial" w:eastAsia="Arial" w:hAnsi="Arial"/>
          <w:sz w:val="18"/>
          <w:szCs w:val="18"/>
          <w:u w:val="single" w:color="auto"/>
          <w:color w:val="0000FF"/>
        </w:rPr>
        <w:t xml:space="preserve"> </w:t>
      </w:r>
      <w:hyperlink r:id="rId260">
        <w:r>
          <w:rPr>
            <w:rFonts w:ascii="Arial" w:cs="Arial" w:eastAsia="Arial" w:hAnsi="Arial"/>
            <w:sz w:val="18"/>
            <w:szCs w:val="18"/>
            <w:u w:val="single" w:color="auto"/>
            <w:color w:val="0000FF"/>
          </w:rPr>
          <w:t>10-Q for the quarter ended March 31, 2015 (Commission File No. 1-8400)).</w:t>
        </w:r>
        <w:r>
          <w:rPr>
            <w:rFonts w:ascii="Arial" w:cs="Arial" w:eastAsia="Arial" w:hAnsi="Arial"/>
            <w:sz w:val="18"/>
            <w:szCs w:val="18"/>
            <w:color w:val="000000"/>
          </w:rPr>
          <w:t>*</w:t>
        </w:r>
      </w:hyperlink>
    </w:p>
    <w:p>
      <w:pPr>
        <w:spacing w:after="0" w:line="40" w:lineRule="exact"/>
        <w:rPr>
          <w:rFonts w:ascii="Arial" w:cs="Arial" w:eastAsia="Arial" w:hAnsi="Arial"/>
          <w:sz w:val="18"/>
          <w:szCs w:val="18"/>
          <w:u w:val="single" w:color="auto"/>
          <w:color w:val="0000FF"/>
        </w:rPr>
      </w:pPr>
    </w:p>
    <w:p>
      <w:pPr>
        <w:jc w:val="both"/>
        <w:ind w:left="920" w:hanging="917"/>
        <w:spacing w:after="0" w:line="239" w:lineRule="auto"/>
        <w:tabs>
          <w:tab w:leader="none" w:pos="900" w:val="left"/>
        </w:tabs>
        <w:rPr>
          <w:rFonts w:ascii="Arial" w:cs="Arial" w:eastAsia="Arial" w:hAnsi="Arial"/>
          <w:sz w:val="18"/>
          <w:szCs w:val="18"/>
          <w:color w:val="0000FF"/>
        </w:rPr>
      </w:pPr>
      <w:r>
        <w:rPr>
          <w:rFonts w:ascii="Arial" w:cs="Arial" w:eastAsia="Arial" w:hAnsi="Arial"/>
          <w:sz w:val="18"/>
          <w:szCs w:val="18"/>
          <w:color w:val="auto"/>
        </w:rPr>
        <w:t>10.29</w:t>
      </w:r>
      <w:r>
        <w:rPr>
          <w:sz w:val="20"/>
          <w:szCs w:val="20"/>
          <w:color w:val="auto"/>
        </w:rPr>
        <w:tab/>
      </w:r>
      <w:hyperlink r:id="rId261">
        <w:r>
          <w:rPr>
            <w:rFonts w:ascii="Arial" w:cs="Arial" w:eastAsia="Arial" w:hAnsi="Arial"/>
            <w:sz w:val="18"/>
            <w:szCs w:val="18"/>
            <w:u w:val="single" w:color="auto"/>
            <w:color w:val="0000FF"/>
          </w:rPr>
          <w:t>Supplemental Agreement No. 6, dated as of April 21, 2015, to Purchase Agreement No. 3219 between American Airlines, Inc. and</w:t>
        </w:r>
      </w:hyperlink>
      <w:r>
        <w:rPr>
          <w:rFonts w:ascii="Arial" w:cs="Arial" w:eastAsia="Arial" w:hAnsi="Arial"/>
          <w:sz w:val="18"/>
          <w:szCs w:val="18"/>
          <w:u w:val="single" w:color="auto"/>
          <w:color w:val="0000FF"/>
        </w:rPr>
        <w:t xml:space="preserve"> </w:t>
      </w:r>
      <w:hyperlink r:id="rId261">
        <w:r>
          <w:rPr>
            <w:rFonts w:ascii="Arial" w:cs="Arial" w:eastAsia="Arial" w:hAnsi="Arial"/>
            <w:sz w:val="18"/>
            <w:szCs w:val="18"/>
            <w:u w:val="single" w:color="auto"/>
            <w:color w:val="0000FF"/>
          </w:rPr>
          <w:t>The Boeing Company, dated as of October 15, 2008, as amended, restated, amended and restated, supplemented or otherwise</w:t>
        </w:r>
      </w:hyperlink>
      <w:r>
        <w:rPr>
          <w:rFonts w:ascii="Arial" w:cs="Arial" w:eastAsia="Arial" w:hAnsi="Arial"/>
          <w:sz w:val="18"/>
          <w:szCs w:val="18"/>
          <w:u w:val="single" w:color="auto"/>
          <w:color w:val="0000FF"/>
        </w:rPr>
        <w:t xml:space="preserve"> </w:t>
      </w:r>
      <w:hyperlink r:id="rId261">
        <w:r>
          <w:rPr>
            <w:rFonts w:ascii="Arial" w:cs="Arial" w:eastAsia="Arial" w:hAnsi="Arial"/>
            <w:sz w:val="18"/>
            <w:szCs w:val="18"/>
            <w:u w:val="single" w:color="auto"/>
            <w:color w:val="0000FF"/>
          </w:rPr>
          <w:t>modified (incorporated by reference to Exhibit 10.2 to AAG’s Quarterly Report on Form 10-Q for the quarter ended June 30, 2015</w:t>
        </w:r>
      </w:hyperlink>
      <w:r>
        <w:rPr>
          <w:rFonts w:ascii="Arial" w:cs="Arial" w:eastAsia="Arial" w:hAnsi="Arial"/>
          <w:sz w:val="18"/>
          <w:szCs w:val="18"/>
          <w:u w:val="single" w:color="auto"/>
          <w:color w:val="0000FF"/>
        </w:rPr>
        <w:t xml:space="preserve"> </w:t>
      </w:r>
      <w:hyperlink r:id="rId261">
        <w:r>
          <w:rPr>
            <w:rFonts w:ascii="Arial" w:cs="Arial" w:eastAsia="Arial" w:hAnsi="Arial"/>
            <w:sz w:val="18"/>
            <w:szCs w:val="18"/>
            <w:u w:val="single" w:color="auto"/>
            <w:color w:val="0000FF"/>
          </w:rPr>
          <w:t>(Commission File No. 1-8400)).</w:t>
        </w:r>
        <w:r>
          <w:rPr>
            <w:rFonts w:ascii="Arial" w:cs="Arial" w:eastAsia="Arial" w:hAnsi="Arial"/>
            <w:sz w:val="18"/>
            <w:szCs w:val="18"/>
            <w:color w:val="000000"/>
          </w:rPr>
          <w:t>*</w:t>
        </w:r>
      </w:hyperlink>
    </w:p>
    <w:p>
      <w:pPr>
        <w:spacing w:after="0" w:line="40" w:lineRule="exact"/>
        <w:rPr>
          <w:rFonts w:ascii="Arial" w:cs="Arial" w:eastAsia="Arial" w:hAnsi="Arial"/>
          <w:sz w:val="18"/>
          <w:szCs w:val="18"/>
          <w:u w:val="single" w:color="auto"/>
          <w:color w:val="0000FF"/>
        </w:rPr>
      </w:pPr>
    </w:p>
    <w:p>
      <w:pPr>
        <w:jc w:val="both"/>
        <w:ind w:left="920" w:right="20" w:hanging="917"/>
        <w:spacing w:after="0"/>
        <w:tabs>
          <w:tab w:leader="none" w:pos="900" w:val="left"/>
        </w:tabs>
        <w:rPr>
          <w:rFonts w:ascii="Arial" w:cs="Arial" w:eastAsia="Arial" w:hAnsi="Arial"/>
          <w:sz w:val="18"/>
          <w:szCs w:val="18"/>
          <w:color w:val="0000FF"/>
        </w:rPr>
      </w:pPr>
      <w:r>
        <w:rPr>
          <w:rFonts w:ascii="Arial" w:cs="Arial" w:eastAsia="Arial" w:hAnsi="Arial"/>
          <w:sz w:val="18"/>
          <w:szCs w:val="18"/>
          <w:color w:val="auto"/>
        </w:rPr>
        <w:t>10.30</w:t>
      </w:r>
      <w:r>
        <w:rPr>
          <w:sz w:val="20"/>
          <w:szCs w:val="20"/>
          <w:color w:val="auto"/>
        </w:rPr>
        <w:tab/>
      </w:r>
      <w:hyperlink r:id="rId262">
        <w:r>
          <w:rPr>
            <w:rFonts w:ascii="Arial" w:cs="Arial" w:eastAsia="Arial" w:hAnsi="Arial"/>
            <w:sz w:val="18"/>
            <w:szCs w:val="18"/>
            <w:u w:val="single" w:color="auto"/>
            <w:color w:val="0000FF"/>
          </w:rPr>
          <w:t>Supplemental Agreement No. 7, dated as of September 12, 2016, to Purchase Agreement No. 3219 dated as of October 15, 2008,</w:t>
        </w:r>
      </w:hyperlink>
      <w:r>
        <w:rPr>
          <w:rFonts w:ascii="Arial" w:cs="Arial" w:eastAsia="Arial" w:hAnsi="Arial"/>
          <w:sz w:val="18"/>
          <w:szCs w:val="18"/>
          <w:u w:val="single" w:color="auto"/>
          <w:color w:val="0000FF"/>
        </w:rPr>
        <w:t xml:space="preserve"> </w:t>
      </w:r>
      <w:hyperlink r:id="rId262">
        <w:r>
          <w:rPr>
            <w:rFonts w:ascii="Arial" w:cs="Arial" w:eastAsia="Arial" w:hAnsi="Arial"/>
            <w:sz w:val="18"/>
            <w:szCs w:val="18"/>
            <w:u w:val="single" w:color="auto"/>
            <w:color w:val="0000FF"/>
          </w:rPr>
          <w:t>between American Airlines, Inc. and The Boeing Company (incorporated by reference to Exhibit 10.3 to AAG’s Quarterly Report on</w:t>
        </w:r>
      </w:hyperlink>
      <w:r>
        <w:rPr>
          <w:rFonts w:ascii="Arial" w:cs="Arial" w:eastAsia="Arial" w:hAnsi="Arial"/>
          <w:sz w:val="18"/>
          <w:szCs w:val="18"/>
          <w:u w:val="single" w:color="auto"/>
          <w:color w:val="0000FF"/>
        </w:rPr>
        <w:t xml:space="preserve"> </w:t>
      </w:r>
      <w:hyperlink r:id="rId262">
        <w:r>
          <w:rPr>
            <w:rFonts w:ascii="Arial" w:cs="Arial" w:eastAsia="Arial" w:hAnsi="Arial"/>
            <w:sz w:val="18"/>
            <w:szCs w:val="18"/>
            <w:u w:val="single" w:color="auto"/>
            <w:color w:val="0000FF"/>
          </w:rPr>
          <w:t>Form 10-Q for the quarter ended September 30, 2016 (Commission File No. 1-8400)).</w:t>
        </w:r>
        <w:r>
          <w:rPr>
            <w:rFonts w:ascii="Arial" w:cs="Arial" w:eastAsia="Arial" w:hAnsi="Arial"/>
            <w:sz w:val="18"/>
            <w:szCs w:val="18"/>
            <w:color w:val="000000"/>
          </w:rPr>
          <w:t>*</w:t>
        </w:r>
      </w:hyperlink>
    </w:p>
    <w:p>
      <w:pPr>
        <w:spacing w:after="0" w:line="41" w:lineRule="exact"/>
        <w:rPr>
          <w:rFonts w:ascii="Arial" w:cs="Arial" w:eastAsia="Arial" w:hAnsi="Arial"/>
          <w:sz w:val="18"/>
          <w:szCs w:val="18"/>
          <w:u w:val="single" w:color="auto"/>
          <w:color w:val="0000FF"/>
        </w:rPr>
      </w:pPr>
    </w:p>
    <w:p>
      <w:pPr>
        <w:jc w:val="both"/>
        <w:ind w:left="920" w:right="20" w:hanging="917"/>
        <w:spacing w:after="0"/>
        <w:tabs>
          <w:tab w:leader="none" w:pos="900" w:val="left"/>
        </w:tabs>
        <w:rPr>
          <w:rFonts w:ascii="Arial" w:cs="Arial" w:eastAsia="Arial" w:hAnsi="Arial"/>
          <w:sz w:val="18"/>
          <w:szCs w:val="18"/>
          <w:color w:val="0000FF"/>
        </w:rPr>
      </w:pPr>
      <w:r>
        <w:rPr>
          <w:rFonts w:ascii="Arial" w:cs="Arial" w:eastAsia="Arial" w:hAnsi="Arial"/>
          <w:sz w:val="18"/>
          <w:szCs w:val="18"/>
          <w:color w:val="auto"/>
        </w:rPr>
        <w:t>10.31</w:t>
      </w:r>
      <w:r>
        <w:rPr>
          <w:sz w:val="20"/>
          <w:szCs w:val="20"/>
          <w:color w:val="auto"/>
        </w:rPr>
        <w:tab/>
      </w:r>
      <w:hyperlink r:id="rId263">
        <w:r>
          <w:rPr>
            <w:rFonts w:ascii="Arial" w:cs="Arial" w:eastAsia="Arial" w:hAnsi="Arial"/>
            <w:sz w:val="18"/>
            <w:szCs w:val="18"/>
            <w:u w:val="single" w:color="auto"/>
            <w:color w:val="0000FF"/>
          </w:rPr>
          <w:t>Supplemental Agreement No. 8, dated as of January 26, 2017, to Purchase Agreement No. 3219 dated as of October 15, 2008,</w:t>
        </w:r>
      </w:hyperlink>
      <w:r>
        <w:rPr>
          <w:rFonts w:ascii="Arial" w:cs="Arial" w:eastAsia="Arial" w:hAnsi="Arial"/>
          <w:sz w:val="18"/>
          <w:szCs w:val="18"/>
          <w:u w:val="single" w:color="auto"/>
          <w:color w:val="0000FF"/>
        </w:rPr>
        <w:t xml:space="preserve"> </w:t>
      </w:r>
      <w:hyperlink r:id="rId263">
        <w:r>
          <w:rPr>
            <w:rFonts w:ascii="Arial" w:cs="Arial" w:eastAsia="Arial" w:hAnsi="Arial"/>
            <w:sz w:val="18"/>
            <w:szCs w:val="18"/>
            <w:u w:val="single" w:color="auto"/>
            <w:color w:val="0000FF"/>
          </w:rPr>
          <w:t>between American Airlines, Inc. and The Boeing Company (incorporated by reference to Exhibit 10.3 to AAG’s Quarterly Report on</w:t>
        </w:r>
      </w:hyperlink>
      <w:r>
        <w:rPr>
          <w:rFonts w:ascii="Arial" w:cs="Arial" w:eastAsia="Arial" w:hAnsi="Arial"/>
          <w:sz w:val="18"/>
          <w:szCs w:val="18"/>
          <w:u w:val="single" w:color="auto"/>
          <w:color w:val="0000FF"/>
        </w:rPr>
        <w:t xml:space="preserve"> </w:t>
      </w:r>
      <w:hyperlink r:id="rId263">
        <w:r>
          <w:rPr>
            <w:rFonts w:ascii="Arial" w:cs="Arial" w:eastAsia="Arial" w:hAnsi="Arial"/>
            <w:sz w:val="18"/>
            <w:szCs w:val="18"/>
            <w:u w:val="single" w:color="auto"/>
            <w:color w:val="0000FF"/>
          </w:rPr>
          <w:t>Form 10-Q for the quarter ended March 31, 2017 (Commission File No. 1-8400)).</w:t>
        </w:r>
        <w:r>
          <w:rPr>
            <w:rFonts w:ascii="Arial" w:cs="Arial" w:eastAsia="Arial" w:hAnsi="Arial"/>
            <w:sz w:val="18"/>
            <w:szCs w:val="18"/>
            <w:color w:val="000000"/>
          </w:rPr>
          <w:t>*</w:t>
        </w:r>
      </w:hyperlink>
    </w:p>
    <w:p>
      <w:pPr>
        <w:spacing w:after="0" w:line="41" w:lineRule="exact"/>
        <w:rPr>
          <w:rFonts w:ascii="Arial" w:cs="Arial" w:eastAsia="Arial" w:hAnsi="Arial"/>
          <w:sz w:val="18"/>
          <w:szCs w:val="18"/>
          <w:u w:val="single" w:color="auto"/>
          <w:color w:val="0000FF"/>
        </w:rPr>
      </w:pPr>
    </w:p>
    <w:p>
      <w:pPr>
        <w:jc w:val="both"/>
        <w:ind w:left="920" w:hanging="917"/>
        <w:spacing w:after="0"/>
        <w:tabs>
          <w:tab w:leader="none" w:pos="900" w:val="left"/>
        </w:tabs>
        <w:rPr>
          <w:rFonts w:ascii="Arial" w:cs="Arial" w:eastAsia="Arial" w:hAnsi="Arial"/>
          <w:sz w:val="18"/>
          <w:szCs w:val="18"/>
          <w:color w:val="0000FF"/>
        </w:rPr>
      </w:pPr>
      <w:r>
        <w:rPr>
          <w:rFonts w:ascii="Arial" w:cs="Arial" w:eastAsia="Arial" w:hAnsi="Arial"/>
          <w:sz w:val="18"/>
          <w:szCs w:val="18"/>
          <w:color w:val="auto"/>
        </w:rPr>
        <w:t>10.32</w:t>
      </w:r>
      <w:r>
        <w:rPr>
          <w:sz w:val="20"/>
          <w:szCs w:val="20"/>
          <w:color w:val="auto"/>
        </w:rPr>
        <w:tab/>
      </w:r>
      <w:hyperlink r:id="rId264">
        <w:r>
          <w:rPr>
            <w:rFonts w:ascii="Arial" w:cs="Arial" w:eastAsia="Arial" w:hAnsi="Arial"/>
            <w:sz w:val="18"/>
            <w:szCs w:val="18"/>
            <w:u w:val="single" w:color="auto"/>
            <w:color w:val="0000FF"/>
          </w:rPr>
          <w:t>Supplemental Agreement No. 9, dated as of April 24, 2017, to Purchase Agreement No. 3219 dated as of October 15, 2008, by</w:t>
        </w:r>
      </w:hyperlink>
      <w:r>
        <w:rPr>
          <w:rFonts w:ascii="Arial" w:cs="Arial" w:eastAsia="Arial" w:hAnsi="Arial"/>
          <w:sz w:val="18"/>
          <w:szCs w:val="18"/>
          <w:u w:val="single" w:color="auto"/>
          <w:color w:val="0000FF"/>
        </w:rPr>
        <w:t xml:space="preserve"> </w:t>
      </w:r>
      <w:hyperlink r:id="rId264">
        <w:r>
          <w:rPr>
            <w:rFonts w:ascii="Arial" w:cs="Arial" w:eastAsia="Arial" w:hAnsi="Arial"/>
            <w:sz w:val="18"/>
            <w:szCs w:val="18"/>
            <w:u w:val="single" w:color="auto"/>
            <w:color w:val="0000FF"/>
          </w:rPr>
          <w:t>and between American Airlines, Inc. and The Boeing Company (incorporated by reference to Exhibit 10.5 to AAG’s Quarterly</w:t>
        </w:r>
      </w:hyperlink>
      <w:r>
        <w:rPr>
          <w:rFonts w:ascii="Arial" w:cs="Arial" w:eastAsia="Arial" w:hAnsi="Arial"/>
          <w:sz w:val="18"/>
          <w:szCs w:val="18"/>
          <w:u w:val="single" w:color="auto"/>
          <w:color w:val="0000FF"/>
        </w:rPr>
        <w:t xml:space="preserve"> </w:t>
      </w:r>
      <w:hyperlink r:id="rId264">
        <w:r>
          <w:rPr>
            <w:rFonts w:ascii="Arial" w:cs="Arial" w:eastAsia="Arial" w:hAnsi="Arial"/>
            <w:sz w:val="18"/>
            <w:szCs w:val="18"/>
            <w:u w:val="single" w:color="auto"/>
            <w:color w:val="0000FF"/>
          </w:rPr>
          <w:t>Report on Form 10-Q for the quarter ended June 30, 2017 (Commission File No. 1-8400)).</w:t>
        </w:r>
        <w:r>
          <w:rPr>
            <w:rFonts w:ascii="Arial" w:cs="Arial" w:eastAsia="Arial" w:hAnsi="Arial"/>
            <w:sz w:val="18"/>
            <w:szCs w:val="18"/>
            <w:color w:val="000000"/>
          </w:rPr>
          <w:t>*</w:t>
        </w:r>
      </w:hyperlink>
    </w:p>
    <w:p>
      <w:pPr>
        <w:spacing w:after="0" w:line="230" w:lineRule="exact"/>
        <w:rPr>
          <w:rFonts w:ascii="Arial" w:cs="Arial" w:eastAsia="Arial" w:hAnsi="Arial"/>
          <w:sz w:val="18"/>
          <w:szCs w:val="18"/>
          <w:u w:val="single" w:color="auto"/>
          <w:color w:val="0000FF"/>
        </w:rPr>
      </w:pPr>
    </w:p>
    <w:p>
      <w:pPr>
        <w:jc w:val="center"/>
        <w:spacing w:after="0"/>
        <w:rPr>
          <w:sz w:val="20"/>
          <w:szCs w:val="20"/>
          <w:color w:val="auto"/>
        </w:rPr>
      </w:pPr>
      <w:r>
        <w:rPr>
          <w:rFonts w:ascii="Arial" w:cs="Arial" w:eastAsia="Arial" w:hAnsi="Arial"/>
          <w:sz w:val="18"/>
          <w:szCs w:val="18"/>
          <w:color w:val="auto"/>
        </w:rPr>
        <w:t>179</w:t>
      </w:r>
    </w:p>
    <w:p>
      <w:pPr>
        <w:sectPr>
          <w:pgSz w:w="11900" w:h="16838" w:orient="portrait"/>
          <w:cols w:equalWidth="0" w:num="1">
            <w:col w:w="11360"/>
          </w:cols>
          <w:pgMar w:left="280" w:top="721" w:right="259" w:bottom="1440" w:gutter="0" w:footer="0" w:header="0"/>
        </w:sectPr>
      </w:pPr>
    </w:p>
    <w:bookmarkStart w:id="179" w:name="page180"/>
    <w:bookmarkEnd w:id="179"/>
    <w:p>
      <w:pPr>
        <w:spacing w:after="0"/>
        <w:rPr>
          <w:sz w:val="20"/>
          <w:szCs w:val="20"/>
          <w:color w:val="auto"/>
        </w:rPr>
      </w:pPr>
      <w:r>
        <w:rPr>
          <w:rFonts w:ascii="Arial" w:cs="Arial" w:eastAsia="Arial" w:hAnsi="Arial"/>
          <w:sz w:val="14"/>
          <w:szCs w:val="14"/>
          <w:b w:val="1"/>
          <w:bCs w:val="1"/>
          <w:color w:val="auto"/>
        </w:rPr>
        <w:t>Exhibit</w:t>
      </w:r>
    </w:p>
    <w:p>
      <w:pPr>
        <w:spacing w:after="0" w:line="19" w:lineRule="exact"/>
        <w:rPr>
          <w:sz w:val="20"/>
          <w:szCs w:val="20"/>
          <w:color w:val="auto"/>
        </w:rPr>
      </w:pPr>
    </w:p>
    <w:p>
      <w:pPr>
        <w:spacing w:after="0"/>
        <w:tabs>
          <w:tab w:leader="none" w:pos="900" w:val="left"/>
        </w:tabs>
        <w:rPr>
          <w:sz w:val="20"/>
          <w:szCs w:val="20"/>
          <w:color w:val="auto"/>
        </w:rPr>
      </w:pPr>
      <w:r>
        <w:rPr>
          <w:rFonts w:ascii="Arial" w:cs="Arial" w:eastAsia="Arial" w:hAnsi="Arial"/>
          <w:sz w:val="14"/>
          <w:szCs w:val="14"/>
          <w:b w:val="1"/>
          <w:bCs w:val="1"/>
          <w:u w:val="single" w:color="auto"/>
          <w:color w:val="auto"/>
        </w:rPr>
        <w:t>Number</w:t>
      </w:r>
      <w:r>
        <w:rPr>
          <w:sz w:val="20"/>
          <w:szCs w:val="20"/>
          <w:color w:val="auto"/>
        </w:rPr>
        <w:tab/>
      </w:r>
      <w:r>
        <w:rPr>
          <w:rFonts w:ascii="Arial" w:cs="Arial" w:eastAsia="Arial" w:hAnsi="Arial"/>
          <w:sz w:val="14"/>
          <w:szCs w:val="14"/>
          <w:b w:val="1"/>
          <w:bCs w:val="1"/>
          <w:u w:val="single" w:color="auto"/>
          <w:color w:val="auto"/>
        </w:rPr>
        <w:t>Description</w:t>
      </w:r>
    </w:p>
    <w:p>
      <w:pPr>
        <w:spacing w:after="0" w:line="49" w:lineRule="exact"/>
        <w:rPr>
          <w:sz w:val="20"/>
          <w:szCs w:val="20"/>
          <w:color w:val="auto"/>
        </w:rPr>
      </w:pPr>
    </w:p>
    <w:p>
      <w:pPr>
        <w:jc w:val="both"/>
        <w:ind w:left="920" w:hanging="917"/>
        <w:spacing w:after="0"/>
        <w:tabs>
          <w:tab w:leader="none" w:pos="900" w:val="left"/>
        </w:tabs>
        <w:rPr>
          <w:rFonts w:ascii="Arial" w:cs="Arial" w:eastAsia="Arial" w:hAnsi="Arial"/>
          <w:sz w:val="18"/>
          <w:szCs w:val="18"/>
          <w:color w:val="0000FF"/>
        </w:rPr>
      </w:pPr>
      <w:r>
        <w:rPr>
          <w:rFonts w:ascii="Arial" w:cs="Arial" w:eastAsia="Arial" w:hAnsi="Arial"/>
          <w:sz w:val="18"/>
          <w:szCs w:val="18"/>
          <w:color w:val="auto"/>
        </w:rPr>
        <w:t>10.33</w:t>
      </w:r>
      <w:r>
        <w:rPr>
          <w:sz w:val="20"/>
          <w:szCs w:val="20"/>
          <w:color w:val="auto"/>
        </w:rPr>
        <w:tab/>
      </w:r>
      <w:hyperlink r:id="rId265">
        <w:r>
          <w:rPr>
            <w:rFonts w:ascii="Arial" w:cs="Arial" w:eastAsia="Arial" w:hAnsi="Arial"/>
            <w:sz w:val="18"/>
            <w:szCs w:val="18"/>
            <w:u w:val="single" w:color="auto"/>
            <w:color w:val="0000FF"/>
          </w:rPr>
          <w:t>Supplemental Agreement No. 10, dated as of May 11, 2017, to Purchase Agreement No. 3219 dated as of October 15, 2008, by</w:t>
        </w:r>
      </w:hyperlink>
      <w:r>
        <w:rPr>
          <w:rFonts w:ascii="Arial" w:cs="Arial" w:eastAsia="Arial" w:hAnsi="Arial"/>
          <w:sz w:val="18"/>
          <w:szCs w:val="18"/>
          <w:u w:val="single" w:color="auto"/>
          <w:color w:val="0000FF"/>
        </w:rPr>
        <w:t xml:space="preserve"> </w:t>
      </w:r>
      <w:hyperlink r:id="rId265">
        <w:r>
          <w:rPr>
            <w:rFonts w:ascii="Arial" w:cs="Arial" w:eastAsia="Arial" w:hAnsi="Arial"/>
            <w:sz w:val="18"/>
            <w:szCs w:val="18"/>
            <w:u w:val="single" w:color="auto"/>
            <w:color w:val="0000FF"/>
          </w:rPr>
          <w:t>and between American Airlines, Inc. and The Boeing Company (incorporated by reference to Exhibit 10.6 to AAG’s Quarterly</w:t>
        </w:r>
      </w:hyperlink>
      <w:r>
        <w:rPr>
          <w:rFonts w:ascii="Arial" w:cs="Arial" w:eastAsia="Arial" w:hAnsi="Arial"/>
          <w:sz w:val="18"/>
          <w:szCs w:val="18"/>
          <w:u w:val="single" w:color="auto"/>
          <w:color w:val="0000FF"/>
        </w:rPr>
        <w:t xml:space="preserve"> </w:t>
      </w:r>
      <w:hyperlink r:id="rId265">
        <w:r>
          <w:rPr>
            <w:rFonts w:ascii="Arial" w:cs="Arial" w:eastAsia="Arial" w:hAnsi="Arial"/>
            <w:sz w:val="18"/>
            <w:szCs w:val="18"/>
            <w:u w:val="single" w:color="auto"/>
            <w:color w:val="0000FF"/>
          </w:rPr>
          <w:t>Report on Form 10-Q for the quarter ended June 30, 2017 (Commission File No. 1-8400)).</w:t>
        </w:r>
        <w:r>
          <w:rPr>
            <w:rFonts w:ascii="Arial" w:cs="Arial" w:eastAsia="Arial" w:hAnsi="Arial"/>
            <w:sz w:val="18"/>
            <w:szCs w:val="18"/>
            <w:color w:val="000000"/>
          </w:rPr>
          <w:t>*</w:t>
        </w:r>
      </w:hyperlink>
    </w:p>
    <w:p>
      <w:pPr>
        <w:spacing w:after="0" w:line="41" w:lineRule="exact"/>
        <w:rPr>
          <w:rFonts w:ascii="Arial" w:cs="Arial" w:eastAsia="Arial" w:hAnsi="Arial"/>
          <w:sz w:val="18"/>
          <w:szCs w:val="18"/>
          <w:u w:val="single" w:color="auto"/>
          <w:color w:val="0000FF"/>
        </w:rPr>
      </w:pPr>
    </w:p>
    <w:p>
      <w:pPr>
        <w:jc w:val="both"/>
        <w:ind w:left="920" w:hanging="917"/>
        <w:spacing w:after="0"/>
        <w:tabs>
          <w:tab w:leader="none" w:pos="900" w:val="left"/>
        </w:tabs>
        <w:rPr>
          <w:rFonts w:ascii="Arial" w:cs="Arial" w:eastAsia="Arial" w:hAnsi="Arial"/>
          <w:sz w:val="18"/>
          <w:szCs w:val="18"/>
          <w:color w:val="0000FF"/>
        </w:rPr>
      </w:pPr>
      <w:r>
        <w:rPr>
          <w:rFonts w:ascii="Arial" w:cs="Arial" w:eastAsia="Arial" w:hAnsi="Arial"/>
          <w:sz w:val="18"/>
          <w:szCs w:val="18"/>
          <w:color w:val="auto"/>
        </w:rPr>
        <w:t>10.34</w:t>
      </w:r>
      <w:r>
        <w:rPr>
          <w:sz w:val="20"/>
          <w:szCs w:val="20"/>
          <w:color w:val="auto"/>
        </w:rPr>
        <w:tab/>
      </w:r>
      <w:hyperlink r:id="rId266">
        <w:r>
          <w:rPr>
            <w:rFonts w:ascii="Arial" w:cs="Arial" w:eastAsia="Arial" w:hAnsi="Arial"/>
            <w:sz w:val="18"/>
            <w:szCs w:val="18"/>
            <w:u w:val="single" w:color="auto"/>
            <w:color w:val="0000FF"/>
          </w:rPr>
          <w:t>Supplemental Agreement No. 11, dated as of April 6, 2018, to Purchase Agreement No. 3219 dated as of October 15, 2008, by</w:t>
        </w:r>
      </w:hyperlink>
      <w:r>
        <w:rPr>
          <w:rFonts w:ascii="Arial" w:cs="Arial" w:eastAsia="Arial" w:hAnsi="Arial"/>
          <w:sz w:val="18"/>
          <w:szCs w:val="18"/>
          <w:u w:val="single" w:color="auto"/>
          <w:color w:val="0000FF"/>
        </w:rPr>
        <w:t xml:space="preserve"> </w:t>
      </w:r>
      <w:hyperlink r:id="rId266">
        <w:r>
          <w:rPr>
            <w:rFonts w:ascii="Arial" w:cs="Arial" w:eastAsia="Arial" w:hAnsi="Arial"/>
            <w:sz w:val="18"/>
            <w:szCs w:val="18"/>
            <w:u w:val="single" w:color="auto"/>
            <w:color w:val="0000FF"/>
          </w:rPr>
          <w:t>and between American Airlines, Inc. and The Boeing Company (incorporated by reference to Exhibit 10.1 to AAG’s Quarterly</w:t>
        </w:r>
      </w:hyperlink>
      <w:r>
        <w:rPr>
          <w:rFonts w:ascii="Arial" w:cs="Arial" w:eastAsia="Arial" w:hAnsi="Arial"/>
          <w:sz w:val="18"/>
          <w:szCs w:val="18"/>
          <w:u w:val="single" w:color="auto"/>
          <w:color w:val="0000FF"/>
        </w:rPr>
        <w:t xml:space="preserve"> </w:t>
      </w:r>
      <w:hyperlink r:id="rId266">
        <w:r>
          <w:rPr>
            <w:rFonts w:ascii="Arial" w:cs="Arial" w:eastAsia="Arial" w:hAnsi="Arial"/>
            <w:sz w:val="18"/>
            <w:szCs w:val="18"/>
            <w:u w:val="single" w:color="auto"/>
            <w:color w:val="0000FF"/>
          </w:rPr>
          <w:t>Report on Form 10-Q for the quarter ended June 30, 2018 (Commission File No. 1-8400)).</w:t>
        </w:r>
        <w:r>
          <w:rPr>
            <w:rFonts w:ascii="Arial" w:cs="Arial" w:eastAsia="Arial" w:hAnsi="Arial"/>
            <w:sz w:val="18"/>
            <w:szCs w:val="18"/>
            <w:color w:val="000000"/>
          </w:rPr>
          <w:t>*</w:t>
        </w:r>
      </w:hyperlink>
    </w:p>
    <w:p>
      <w:pPr>
        <w:spacing w:after="0" w:line="41" w:lineRule="exact"/>
        <w:rPr>
          <w:rFonts w:ascii="Arial" w:cs="Arial" w:eastAsia="Arial" w:hAnsi="Arial"/>
          <w:sz w:val="18"/>
          <w:szCs w:val="18"/>
          <w:u w:val="single" w:color="auto"/>
          <w:color w:val="0000FF"/>
        </w:rPr>
      </w:pPr>
    </w:p>
    <w:p>
      <w:pPr>
        <w:jc w:val="both"/>
        <w:ind w:left="920" w:hanging="917"/>
        <w:spacing w:after="0"/>
        <w:tabs>
          <w:tab w:leader="none" w:pos="900" w:val="left"/>
        </w:tabs>
        <w:rPr>
          <w:rFonts w:ascii="Arial" w:cs="Arial" w:eastAsia="Arial" w:hAnsi="Arial"/>
          <w:sz w:val="18"/>
          <w:szCs w:val="18"/>
          <w:u w:val="single" w:color="auto"/>
          <w:color w:val="0000FF"/>
        </w:rPr>
      </w:pPr>
      <w:r>
        <w:rPr>
          <w:rFonts w:ascii="Arial" w:cs="Arial" w:eastAsia="Arial" w:hAnsi="Arial"/>
          <w:sz w:val="18"/>
          <w:szCs w:val="18"/>
          <w:color w:val="auto"/>
        </w:rPr>
        <w:t>10.35</w:t>
      </w:r>
      <w:r>
        <w:rPr>
          <w:sz w:val="20"/>
          <w:szCs w:val="20"/>
          <w:color w:val="auto"/>
        </w:rPr>
        <w:tab/>
      </w:r>
      <w:hyperlink r:id="rId267">
        <w:r>
          <w:rPr>
            <w:rFonts w:ascii="Arial" w:cs="Arial" w:eastAsia="Arial" w:hAnsi="Arial"/>
            <w:sz w:val="18"/>
            <w:szCs w:val="18"/>
            <w:u w:val="single" w:color="auto"/>
            <w:color w:val="0000FF"/>
          </w:rPr>
          <w:t>Supplemental Agreement No. 12, dated as of May 29, 2019, to Purchase Agreement No. 3219 dated as of October 15, 2008, by</w:t>
        </w:r>
      </w:hyperlink>
      <w:r>
        <w:rPr>
          <w:rFonts w:ascii="Arial" w:cs="Arial" w:eastAsia="Arial" w:hAnsi="Arial"/>
          <w:sz w:val="18"/>
          <w:szCs w:val="18"/>
          <w:u w:val="single" w:color="auto"/>
          <w:color w:val="0000FF"/>
        </w:rPr>
        <w:t xml:space="preserve"> </w:t>
      </w:r>
      <w:hyperlink r:id="rId267">
        <w:r>
          <w:rPr>
            <w:rFonts w:ascii="Arial" w:cs="Arial" w:eastAsia="Arial" w:hAnsi="Arial"/>
            <w:sz w:val="18"/>
            <w:szCs w:val="18"/>
            <w:u w:val="single" w:color="auto"/>
            <w:color w:val="0000FF"/>
          </w:rPr>
          <w:t>and between American Airlines, Inc. and The Boeing Company (incorporated by reference to Exhibit 10.1 to AAG’s Quarterly</w:t>
        </w:r>
      </w:hyperlink>
      <w:r>
        <w:rPr>
          <w:rFonts w:ascii="Arial" w:cs="Arial" w:eastAsia="Arial" w:hAnsi="Arial"/>
          <w:sz w:val="18"/>
          <w:szCs w:val="18"/>
          <w:u w:val="single" w:color="auto"/>
          <w:color w:val="0000FF"/>
        </w:rPr>
        <w:t xml:space="preserve"> </w:t>
      </w:r>
      <w:hyperlink r:id="rId267">
        <w:r>
          <w:rPr>
            <w:rFonts w:ascii="Arial" w:cs="Arial" w:eastAsia="Arial" w:hAnsi="Arial"/>
            <w:sz w:val="18"/>
            <w:szCs w:val="18"/>
            <w:u w:val="single" w:color="auto"/>
            <w:color w:val="0000FF"/>
          </w:rPr>
          <w:t>Report on Form 10-Q for the quarter ended June 30, 2019 (Commission File No. 1-8400)).**</w:t>
        </w:r>
      </w:hyperlink>
    </w:p>
    <w:p>
      <w:pPr>
        <w:spacing w:after="0" w:line="41" w:lineRule="exact"/>
        <w:rPr>
          <w:rFonts w:ascii="Arial" w:cs="Arial" w:eastAsia="Arial" w:hAnsi="Arial"/>
          <w:sz w:val="18"/>
          <w:szCs w:val="18"/>
          <w:u w:val="single" w:color="auto"/>
          <w:color w:val="0000FF"/>
        </w:rPr>
      </w:pPr>
    </w:p>
    <w:p>
      <w:pPr>
        <w:jc w:val="both"/>
        <w:ind w:left="920" w:hanging="917"/>
        <w:spacing w:after="0"/>
        <w:tabs>
          <w:tab w:leader="none" w:pos="900" w:val="left"/>
        </w:tabs>
        <w:rPr>
          <w:rFonts w:ascii="Arial" w:cs="Arial" w:eastAsia="Arial" w:hAnsi="Arial"/>
          <w:sz w:val="18"/>
          <w:szCs w:val="18"/>
          <w:u w:val="single" w:color="auto"/>
          <w:color w:val="0000FF"/>
        </w:rPr>
      </w:pPr>
      <w:r>
        <w:rPr>
          <w:rFonts w:ascii="Arial" w:cs="Arial" w:eastAsia="Arial" w:hAnsi="Arial"/>
          <w:sz w:val="18"/>
          <w:szCs w:val="18"/>
          <w:color w:val="auto"/>
        </w:rPr>
        <w:t>10.36</w:t>
      </w:r>
      <w:r>
        <w:rPr>
          <w:sz w:val="20"/>
          <w:szCs w:val="20"/>
          <w:color w:val="auto"/>
        </w:rPr>
        <w:tab/>
      </w:r>
      <w:hyperlink r:id="rId268">
        <w:r>
          <w:rPr>
            <w:rFonts w:ascii="Arial" w:cs="Arial" w:eastAsia="Arial" w:hAnsi="Arial"/>
            <w:sz w:val="18"/>
            <w:szCs w:val="18"/>
            <w:u w:val="single" w:color="auto"/>
            <w:color w:val="0000FF"/>
          </w:rPr>
          <w:t>Supplemental Agreement No. 13, dated as of August 20, 2019, to Purchase Agreement No. 3219 dated as of October 15, 2008, by</w:t>
        </w:r>
      </w:hyperlink>
      <w:r>
        <w:rPr>
          <w:rFonts w:ascii="Arial" w:cs="Arial" w:eastAsia="Arial" w:hAnsi="Arial"/>
          <w:sz w:val="18"/>
          <w:szCs w:val="18"/>
          <w:u w:val="single" w:color="auto"/>
          <w:color w:val="0000FF"/>
        </w:rPr>
        <w:t xml:space="preserve"> </w:t>
      </w:r>
      <w:hyperlink r:id="rId268">
        <w:r>
          <w:rPr>
            <w:rFonts w:ascii="Arial" w:cs="Arial" w:eastAsia="Arial" w:hAnsi="Arial"/>
            <w:sz w:val="18"/>
            <w:szCs w:val="18"/>
            <w:u w:val="single" w:color="auto"/>
            <w:color w:val="0000FF"/>
          </w:rPr>
          <w:t>and between American Airlines, Inc. and The Boeing Company (incorporated by reference to Exhibit 10.1 to AAG’s Quarterly</w:t>
        </w:r>
      </w:hyperlink>
      <w:r>
        <w:rPr>
          <w:rFonts w:ascii="Arial" w:cs="Arial" w:eastAsia="Arial" w:hAnsi="Arial"/>
          <w:sz w:val="18"/>
          <w:szCs w:val="18"/>
          <w:u w:val="single" w:color="auto"/>
          <w:color w:val="0000FF"/>
        </w:rPr>
        <w:t xml:space="preserve"> </w:t>
      </w:r>
      <w:hyperlink r:id="rId268">
        <w:r>
          <w:rPr>
            <w:rFonts w:ascii="Arial" w:cs="Arial" w:eastAsia="Arial" w:hAnsi="Arial"/>
            <w:sz w:val="18"/>
            <w:szCs w:val="18"/>
            <w:u w:val="single" w:color="auto"/>
            <w:color w:val="0000FF"/>
          </w:rPr>
          <w:t>Report on Form 10-Q for the quarter ended September 30, 2019 (Commission File No. 1-8400)).**</w:t>
        </w:r>
      </w:hyperlink>
    </w:p>
    <w:p>
      <w:pPr>
        <w:spacing w:after="0" w:line="41" w:lineRule="exact"/>
        <w:rPr>
          <w:rFonts w:ascii="Arial" w:cs="Arial" w:eastAsia="Arial" w:hAnsi="Arial"/>
          <w:sz w:val="18"/>
          <w:szCs w:val="18"/>
          <w:u w:val="single" w:color="auto"/>
          <w:color w:val="0000FF"/>
        </w:rPr>
      </w:pPr>
    </w:p>
    <w:p>
      <w:pPr>
        <w:jc w:val="both"/>
        <w:ind w:left="920" w:right="20" w:hanging="917"/>
        <w:spacing w:after="0"/>
        <w:tabs>
          <w:tab w:leader="none" w:pos="900" w:val="left"/>
        </w:tabs>
        <w:rPr>
          <w:rFonts w:ascii="Arial" w:cs="Arial" w:eastAsia="Arial" w:hAnsi="Arial"/>
          <w:sz w:val="18"/>
          <w:szCs w:val="18"/>
          <w:color w:val="0000FF"/>
        </w:rPr>
      </w:pPr>
      <w:r>
        <w:rPr>
          <w:rFonts w:ascii="Arial" w:cs="Arial" w:eastAsia="Arial" w:hAnsi="Arial"/>
          <w:sz w:val="18"/>
          <w:szCs w:val="18"/>
          <w:color w:val="auto"/>
        </w:rPr>
        <w:t>10.37</w:t>
      </w:r>
      <w:r>
        <w:rPr>
          <w:sz w:val="20"/>
          <w:szCs w:val="20"/>
          <w:color w:val="auto"/>
        </w:rPr>
        <w:tab/>
      </w:r>
      <w:hyperlink r:id="rId269">
        <w:r>
          <w:rPr>
            <w:rFonts w:ascii="Arial" w:cs="Arial" w:eastAsia="Arial" w:hAnsi="Arial"/>
            <w:sz w:val="18"/>
            <w:szCs w:val="18"/>
            <w:u w:val="single" w:color="auto"/>
            <w:color w:val="0000FF"/>
          </w:rPr>
          <w:t>A320 Family Aircraft Purchase Agreement, dated as of July 20, 2011, between American Airlines, Inc. and Airbus S.A.S.</w:t>
        </w:r>
      </w:hyperlink>
      <w:r>
        <w:rPr>
          <w:rFonts w:ascii="Arial" w:cs="Arial" w:eastAsia="Arial" w:hAnsi="Arial"/>
          <w:sz w:val="18"/>
          <w:szCs w:val="18"/>
          <w:u w:val="single" w:color="auto"/>
          <w:color w:val="0000FF"/>
        </w:rPr>
        <w:t xml:space="preserve"> </w:t>
      </w:r>
      <w:hyperlink r:id="rId269">
        <w:r>
          <w:rPr>
            <w:rFonts w:ascii="Arial" w:cs="Arial" w:eastAsia="Arial" w:hAnsi="Arial"/>
            <w:sz w:val="18"/>
            <w:szCs w:val="18"/>
            <w:u w:val="single" w:color="auto"/>
            <w:color w:val="0000FF"/>
          </w:rPr>
          <w:t>(incorporated by reference to Exhibit 10.4 to AMR’s report on Form 10-Q for the quarter ended September 30, 2011 (Commission</w:t>
        </w:r>
      </w:hyperlink>
      <w:r>
        <w:rPr>
          <w:rFonts w:ascii="Arial" w:cs="Arial" w:eastAsia="Arial" w:hAnsi="Arial"/>
          <w:sz w:val="18"/>
          <w:szCs w:val="18"/>
          <w:u w:val="single" w:color="auto"/>
          <w:color w:val="0000FF"/>
        </w:rPr>
        <w:t xml:space="preserve"> </w:t>
      </w:r>
      <w:hyperlink r:id="rId269">
        <w:r>
          <w:rPr>
            <w:rFonts w:ascii="Arial" w:cs="Arial" w:eastAsia="Arial" w:hAnsi="Arial"/>
            <w:sz w:val="18"/>
            <w:szCs w:val="18"/>
            <w:u w:val="single" w:color="auto"/>
            <w:color w:val="0000FF"/>
          </w:rPr>
          <w:t>File No. 1-8400)).</w:t>
        </w:r>
        <w:r>
          <w:rPr>
            <w:rFonts w:ascii="Arial" w:cs="Arial" w:eastAsia="Arial" w:hAnsi="Arial"/>
            <w:sz w:val="18"/>
            <w:szCs w:val="18"/>
            <w:color w:val="000000"/>
          </w:rPr>
          <w:t>*</w:t>
        </w:r>
      </w:hyperlink>
    </w:p>
    <w:p>
      <w:pPr>
        <w:spacing w:after="0" w:line="41" w:lineRule="exact"/>
        <w:rPr>
          <w:rFonts w:ascii="Arial" w:cs="Arial" w:eastAsia="Arial" w:hAnsi="Arial"/>
          <w:sz w:val="18"/>
          <w:szCs w:val="18"/>
          <w:u w:val="single" w:color="auto"/>
          <w:color w:val="0000FF"/>
        </w:rPr>
      </w:pPr>
    </w:p>
    <w:p>
      <w:pPr>
        <w:jc w:val="both"/>
        <w:ind w:left="920" w:hanging="917"/>
        <w:spacing w:after="0"/>
        <w:tabs>
          <w:tab w:leader="none" w:pos="900" w:val="left"/>
        </w:tabs>
        <w:rPr>
          <w:rFonts w:ascii="Arial" w:cs="Arial" w:eastAsia="Arial" w:hAnsi="Arial"/>
          <w:sz w:val="18"/>
          <w:szCs w:val="18"/>
          <w:color w:val="0000FF"/>
        </w:rPr>
      </w:pPr>
      <w:r>
        <w:rPr>
          <w:rFonts w:ascii="Arial" w:cs="Arial" w:eastAsia="Arial" w:hAnsi="Arial"/>
          <w:sz w:val="18"/>
          <w:szCs w:val="18"/>
          <w:color w:val="auto"/>
        </w:rPr>
        <w:t>10.38</w:t>
      </w:r>
      <w:r>
        <w:rPr>
          <w:sz w:val="20"/>
          <w:szCs w:val="20"/>
          <w:color w:val="auto"/>
        </w:rPr>
        <w:tab/>
      </w:r>
      <w:hyperlink r:id="rId270">
        <w:r>
          <w:rPr>
            <w:rFonts w:ascii="Arial" w:cs="Arial" w:eastAsia="Arial" w:hAnsi="Arial"/>
            <w:sz w:val="18"/>
            <w:szCs w:val="18"/>
            <w:u w:val="single" w:color="auto"/>
            <w:color w:val="0000FF"/>
          </w:rPr>
          <w:t>Amendment No. 1, dated as of January 11, 2013, to A320 Family Aircraft Purchase Agreement between American Airlines, Inc.</w:t>
        </w:r>
      </w:hyperlink>
      <w:r>
        <w:rPr>
          <w:rFonts w:ascii="Arial" w:cs="Arial" w:eastAsia="Arial" w:hAnsi="Arial"/>
          <w:sz w:val="18"/>
          <w:szCs w:val="18"/>
          <w:u w:val="single" w:color="auto"/>
          <w:color w:val="0000FF"/>
        </w:rPr>
        <w:t xml:space="preserve"> </w:t>
      </w:r>
      <w:hyperlink r:id="rId270">
        <w:r>
          <w:rPr>
            <w:rFonts w:ascii="Arial" w:cs="Arial" w:eastAsia="Arial" w:hAnsi="Arial"/>
            <w:sz w:val="18"/>
            <w:szCs w:val="18"/>
            <w:u w:val="single" w:color="auto"/>
            <w:color w:val="0000FF"/>
          </w:rPr>
          <w:t>and Airbus S.A.S., dated as of July 20, 2011 (incorporated by reference to Exhibit 10.8 to AMR’s Quarterly Report on Form 10-Q</w:t>
        </w:r>
      </w:hyperlink>
      <w:r>
        <w:rPr>
          <w:rFonts w:ascii="Arial" w:cs="Arial" w:eastAsia="Arial" w:hAnsi="Arial"/>
          <w:sz w:val="18"/>
          <w:szCs w:val="18"/>
          <w:u w:val="single" w:color="auto"/>
          <w:color w:val="0000FF"/>
        </w:rPr>
        <w:t xml:space="preserve"> </w:t>
      </w:r>
      <w:hyperlink r:id="rId270">
        <w:r>
          <w:rPr>
            <w:rFonts w:ascii="Arial" w:cs="Arial" w:eastAsia="Arial" w:hAnsi="Arial"/>
            <w:sz w:val="18"/>
            <w:szCs w:val="18"/>
            <w:u w:val="single" w:color="auto"/>
            <w:color w:val="0000FF"/>
          </w:rPr>
          <w:t>for the quarter ended March 31, 2013 (Commission File No. 1-8400)).</w:t>
        </w:r>
        <w:r>
          <w:rPr>
            <w:rFonts w:ascii="Arial" w:cs="Arial" w:eastAsia="Arial" w:hAnsi="Arial"/>
            <w:sz w:val="18"/>
            <w:szCs w:val="18"/>
            <w:color w:val="000000"/>
          </w:rPr>
          <w:t>*</w:t>
        </w:r>
      </w:hyperlink>
    </w:p>
    <w:p>
      <w:pPr>
        <w:spacing w:after="0" w:line="41" w:lineRule="exact"/>
        <w:rPr>
          <w:rFonts w:ascii="Arial" w:cs="Arial" w:eastAsia="Arial" w:hAnsi="Arial"/>
          <w:sz w:val="18"/>
          <w:szCs w:val="18"/>
          <w:u w:val="single" w:color="auto"/>
          <w:color w:val="0000FF"/>
        </w:rPr>
      </w:pPr>
    </w:p>
    <w:p>
      <w:pPr>
        <w:jc w:val="both"/>
        <w:ind w:left="920" w:hanging="917"/>
        <w:spacing w:after="0"/>
        <w:tabs>
          <w:tab w:leader="none" w:pos="900" w:val="left"/>
        </w:tabs>
        <w:rPr>
          <w:rFonts w:ascii="Arial" w:cs="Arial" w:eastAsia="Arial" w:hAnsi="Arial"/>
          <w:sz w:val="18"/>
          <w:szCs w:val="18"/>
          <w:color w:val="0000FF"/>
        </w:rPr>
      </w:pPr>
      <w:r>
        <w:rPr>
          <w:rFonts w:ascii="Arial" w:cs="Arial" w:eastAsia="Arial" w:hAnsi="Arial"/>
          <w:sz w:val="18"/>
          <w:szCs w:val="18"/>
          <w:color w:val="auto"/>
        </w:rPr>
        <w:t>10.39</w:t>
      </w:r>
      <w:r>
        <w:rPr>
          <w:sz w:val="20"/>
          <w:szCs w:val="20"/>
          <w:color w:val="auto"/>
        </w:rPr>
        <w:tab/>
      </w:r>
      <w:hyperlink r:id="rId271">
        <w:r>
          <w:rPr>
            <w:rFonts w:ascii="Arial" w:cs="Arial" w:eastAsia="Arial" w:hAnsi="Arial"/>
            <w:sz w:val="18"/>
            <w:szCs w:val="18"/>
            <w:u w:val="single" w:color="auto"/>
            <w:color w:val="0000FF"/>
          </w:rPr>
          <w:t>Amendment No. 2, dated as of May 30, 2013, to A320 Family Aircraft Purchase Agreement between American Airlines, Inc. and</w:t>
        </w:r>
      </w:hyperlink>
      <w:r>
        <w:rPr>
          <w:rFonts w:ascii="Arial" w:cs="Arial" w:eastAsia="Arial" w:hAnsi="Arial"/>
          <w:sz w:val="18"/>
          <w:szCs w:val="18"/>
          <w:u w:val="single" w:color="auto"/>
          <w:color w:val="0000FF"/>
        </w:rPr>
        <w:t xml:space="preserve"> </w:t>
      </w:r>
      <w:hyperlink r:id="rId271">
        <w:r>
          <w:rPr>
            <w:rFonts w:ascii="Arial" w:cs="Arial" w:eastAsia="Arial" w:hAnsi="Arial"/>
            <w:sz w:val="18"/>
            <w:szCs w:val="18"/>
            <w:u w:val="single" w:color="auto"/>
            <w:color w:val="0000FF"/>
          </w:rPr>
          <w:t>Airbus S.A.S, dated as of July 20, 2011 (incorporated by reference to Exhibit 10.2 to AMR’s Quarterly Report on Form 10-Q for the</w:t>
        </w:r>
      </w:hyperlink>
      <w:r>
        <w:rPr>
          <w:rFonts w:ascii="Arial" w:cs="Arial" w:eastAsia="Arial" w:hAnsi="Arial"/>
          <w:sz w:val="18"/>
          <w:szCs w:val="18"/>
          <w:u w:val="single" w:color="auto"/>
          <w:color w:val="0000FF"/>
        </w:rPr>
        <w:t xml:space="preserve"> </w:t>
      </w:r>
      <w:hyperlink r:id="rId271">
        <w:r>
          <w:rPr>
            <w:rFonts w:ascii="Arial" w:cs="Arial" w:eastAsia="Arial" w:hAnsi="Arial"/>
            <w:sz w:val="18"/>
            <w:szCs w:val="18"/>
            <w:u w:val="single" w:color="auto"/>
            <w:color w:val="0000FF"/>
          </w:rPr>
          <w:t>quarter ended June 30, 2013 (Commission File No. 1-8400)).</w:t>
        </w:r>
        <w:r>
          <w:rPr>
            <w:rFonts w:ascii="Arial" w:cs="Arial" w:eastAsia="Arial" w:hAnsi="Arial"/>
            <w:sz w:val="18"/>
            <w:szCs w:val="18"/>
            <w:color w:val="000000"/>
          </w:rPr>
          <w:t>*</w:t>
        </w:r>
      </w:hyperlink>
    </w:p>
    <w:p>
      <w:pPr>
        <w:spacing w:after="0" w:line="41" w:lineRule="exact"/>
        <w:rPr>
          <w:rFonts w:ascii="Arial" w:cs="Arial" w:eastAsia="Arial" w:hAnsi="Arial"/>
          <w:sz w:val="18"/>
          <w:szCs w:val="18"/>
          <w:u w:val="single" w:color="auto"/>
          <w:color w:val="0000FF"/>
        </w:rPr>
      </w:pPr>
    </w:p>
    <w:p>
      <w:pPr>
        <w:jc w:val="both"/>
        <w:ind w:left="920" w:right="20" w:hanging="917"/>
        <w:spacing w:after="0"/>
        <w:tabs>
          <w:tab w:leader="none" w:pos="900" w:val="left"/>
        </w:tabs>
        <w:rPr>
          <w:rFonts w:ascii="Arial" w:cs="Arial" w:eastAsia="Arial" w:hAnsi="Arial"/>
          <w:sz w:val="18"/>
          <w:szCs w:val="18"/>
          <w:color w:val="0000FF"/>
        </w:rPr>
      </w:pPr>
      <w:r>
        <w:rPr>
          <w:rFonts w:ascii="Arial" w:cs="Arial" w:eastAsia="Arial" w:hAnsi="Arial"/>
          <w:sz w:val="18"/>
          <w:szCs w:val="18"/>
          <w:color w:val="auto"/>
        </w:rPr>
        <w:t>10.40</w:t>
      </w:r>
      <w:r>
        <w:rPr>
          <w:sz w:val="20"/>
          <w:szCs w:val="20"/>
          <w:color w:val="auto"/>
        </w:rPr>
        <w:tab/>
      </w:r>
      <w:hyperlink r:id="rId272">
        <w:r>
          <w:rPr>
            <w:rFonts w:ascii="Arial" w:cs="Arial" w:eastAsia="Arial" w:hAnsi="Arial"/>
            <w:sz w:val="18"/>
            <w:szCs w:val="18"/>
            <w:u w:val="single" w:color="auto"/>
            <w:color w:val="0000FF"/>
          </w:rPr>
          <w:t>Amendment No. 3, dated as of November 20, 2013, to A320 Family Aircraft Purchase Agreement between American Airlines, Inc.</w:t>
        </w:r>
      </w:hyperlink>
      <w:r>
        <w:rPr>
          <w:rFonts w:ascii="Arial" w:cs="Arial" w:eastAsia="Arial" w:hAnsi="Arial"/>
          <w:sz w:val="18"/>
          <w:szCs w:val="18"/>
          <w:u w:val="single" w:color="auto"/>
          <w:color w:val="0000FF"/>
        </w:rPr>
        <w:t xml:space="preserve"> </w:t>
      </w:r>
      <w:hyperlink r:id="rId272">
        <w:r>
          <w:rPr>
            <w:rFonts w:ascii="Arial" w:cs="Arial" w:eastAsia="Arial" w:hAnsi="Arial"/>
            <w:sz w:val="18"/>
            <w:szCs w:val="18"/>
            <w:u w:val="single" w:color="auto"/>
            <w:color w:val="0000FF"/>
          </w:rPr>
          <w:t>and Airbus S.A.S., dated as of July 20, 2011 (incorporated by reference to Exhibit 10.27 to AAG’s Annual Report on Form 10-K for</w:t>
        </w:r>
      </w:hyperlink>
      <w:r>
        <w:rPr>
          <w:rFonts w:ascii="Arial" w:cs="Arial" w:eastAsia="Arial" w:hAnsi="Arial"/>
          <w:sz w:val="18"/>
          <w:szCs w:val="18"/>
          <w:u w:val="single" w:color="auto"/>
          <w:color w:val="0000FF"/>
        </w:rPr>
        <w:t xml:space="preserve"> </w:t>
      </w:r>
      <w:hyperlink r:id="rId272">
        <w:r>
          <w:rPr>
            <w:rFonts w:ascii="Arial" w:cs="Arial" w:eastAsia="Arial" w:hAnsi="Arial"/>
            <w:sz w:val="18"/>
            <w:szCs w:val="18"/>
            <w:u w:val="single" w:color="auto"/>
            <w:color w:val="0000FF"/>
          </w:rPr>
          <w:t>the year ended December 31, 2013 (Commission File No. 1-8400)).</w:t>
        </w:r>
        <w:r>
          <w:rPr>
            <w:rFonts w:ascii="Arial" w:cs="Arial" w:eastAsia="Arial" w:hAnsi="Arial"/>
            <w:sz w:val="18"/>
            <w:szCs w:val="18"/>
            <w:color w:val="000000"/>
          </w:rPr>
          <w:t>*</w:t>
        </w:r>
      </w:hyperlink>
    </w:p>
    <w:p>
      <w:pPr>
        <w:spacing w:after="0" w:line="41" w:lineRule="exact"/>
        <w:rPr>
          <w:rFonts w:ascii="Arial" w:cs="Arial" w:eastAsia="Arial" w:hAnsi="Arial"/>
          <w:sz w:val="18"/>
          <w:szCs w:val="18"/>
          <w:u w:val="single" w:color="auto"/>
          <w:color w:val="0000FF"/>
        </w:rPr>
      </w:pPr>
    </w:p>
    <w:p>
      <w:pPr>
        <w:jc w:val="both"/>
        <w:ind w:left="920" w:right="20" w:hanging="917"/>
        <w:spacing w:after="0" w:line="239" w:lineRule="auto"/>
        <w:tabs>
          <w:tab w:leader="none" w:pos="900" w:val="left"/>
        </w:tabs>
        <w:rPr>
          <w:rFonts w:ascii="Arial" w:cs="Arial" w:eastAsia="Arial" w:hAnsi="Arial"/>
          <w:sz w:val="18"/>
          <w:szCs w:val="18"/>
          <w:color w:val="0000FF"/>
        </w:rPr>
      </w:pPr>
      <w:r>
        <w:rPr>
          <w:rFonts w:ascii="Arial" w:cs="Arial" w:eastAsia="Arial" w:hAnsi="Arial"/>
          <w:sz w:val="18"/>
          <w:szCs w:val="18"/>
          <w:color w:val="auto"/>
        </w:rPr>
        <w:t>10.41</w:t>
      </w:r>
      <w:r>
        <w:rPr>
          <w:sz w:val="20"/>
          <w:szCs w:val="20"/>
          <w:color w:val="auto"/>
        </w:rPr>
        <w:tab/>
      </w:r>
      <w:hyperlink r:id="rId273">
        <w:r>
          <w:rPr>
            <w:rFonts w:ascii="Arial" w:cs="Arial" w:eastAsia="Arial" w:hAnsi="Arial"/>
            <w:sz w:val="18"/>
            <w:szCs w:val="18"/>
            <w:u w:val="single" w:color="auto"/>
            <w:color w:val="0000FF"/>
          </w:rPr>
          <w:t>Amendment No. 4, dated as of June 18, 2014, to the A320 Family Aircraft Purchase Agreement between Airbus S.A.S., as seller,</w:t>
        </w:r>
      </w:hyperlink>
      <w:r>
        <w:rPr>
          <w:rFonts w:ascii="Arial" w:cs="Arial" w:eastAsia="Arial" w:hAnsi="Arial"/>
          <w:sz w:val="18"/>
          <w:szCs w:val="18"/>
          <w:u w:val="single" w:color="auto"/>
          <w:color w:val="0000FF"/>
        </w:rPr>
        <w:t xml:space="preserve"> </w:t>
      </w:r>
      <w:hyperlink r:id="rId273">
        <w:r>
          <w:rPr>
            <w:rFonts w:ascii="Arial" w:cs="Arial" w:eastAsia="Arial" w:hAnsi="Arial"/>
            <w:sz w:val="18"/>
            <w:szCs w:val="18"/>
            <w:u w:val="single" w:color="auto"/>
            <w:color w:val="0000FF"/>
          </w:rPr>
          <w:t>and American Airlines, Inc., as buyer, dated as of July 20, 2011, as amended, restated, amended and restated, supplemented or</w:t>
        </w:r>
      </w:hyperlink>
      <w:r>
        <w:rPr>
          <w:rFonts w:ascii="Arial" w:cs="Arial" w:eastAsia="Arial" w:hAnsi="Arial"/>
          <w:sz w:val="18"/>
          <w:szCs w:val="18"/>
          <w:u w:val="single" w:color="auto"/>
          <w:color w:val="0000FF"/>
        </w:rPr>
        <w:t xml:space="preserve"> </w:t>
      </w:r>
      <w:hyperlink r:id="rId273">
        <w:r>
          <w:rPr>
            <w:rFonts w:ascii="Arial" w:cs="Arial" w:eastAsia="Arial" w:hAnsi="Arial"/>
            <w:sz w:val="18"/>
            <w:szCs w:val="18"/>
            <w:u w:val="single" w:color="auto"/>
            <w:color w:val="0000FF"/>
          </w:rPr>
          <w:t>otherwise modified (incorporated by reference to Exhibit 10.1 to AAG’s Quarterly Report on Form 10-Q for the quarter ended</w:t>
        </w:r>
      </w:hyperlink>
      <w:r>
        <w:rPr>
          <w:rFonts w:ascii="Arial" w:cs="Arial" w:eastAsia="Arial" w:hAnsi="Arial"/>
          <w:sz w:val="18"/>
          <w:szCs w:val="18"/>
          <w:u w:val="single" w:color="auto"/>
          <w:color w:val="0000FF"/>
        </w:rPr>
        <w:t xml:space="preserve"> </w:t>
      </w:r>
      <w:hyperlink r:id="rId273">
        <w:r>
          <w:rPr>
            <w:rFonts w:ascii="Arial" w:cs="Arial" w:eastAsia="Arial" w:hAnsi="Arial"/>
            <w:sz w:val="18"/>
            <w:szCs w:val="18"/>
            <w:u w:val="single" w:color="auto"/>
            <w:color w:val="0000FF"/>
          </w:rPr>
          <w:t>June 30, 2014 (Commission File No. 1-8400)).</w:t>
        </w:r>
        <w:r>
          <w:rPr>
            <w:rFonts w:ascii="Arial" w:cs="Arial" w:eastAsia="Arial" w:hAnsi="Arial"/>
            <w:sz w:val="18"/>
            <w:szCs w:val="18"/>
            <w:color w:val="000000"/>
          </w:rPr>
          <w:t>*</w:t>
        </w:r>
      </w:hyperlink>
    </w:p>
    <w:p>
      <w:pPr>
        <w:spacing w:after="0" w:line="40" w:lineRule="exact"/>
        <w:rPr>
          <w:rFonts w:ascii="Arial" w:cs="Arial" w:eastAsia="Arial" w:hAnsi="Arial"/>
          <w:sz w:val="18"/>
          <w:szCs w:val="18"/>
          <w:u w:val="single" w:color="auto"/>
          <w:color w:val="0000FF"/>
        </w:rPr>
      </w:pPr>
    </w:p>
    <w:p>
      <w:pPr>
        <w:jc w:val="both"/>
        <w:ind w:left="920" w:right="20" w:hanging="917"/>
        <w:spacing w:after="0" w:line="239" w:lineRule="auto"/>
        <w:tabs>
          <w:tab w:leader="none" w:pos="900" w:val="left"/>
        </w:tabs>
        <w:rPr>
          <w:rFonts w:ascii="Arial" w:cs="Arial" w:eastAsia="Arial" w:hAnsi="Arial"/>
          <w:sz w:val="18"/>
          <w:szCs w:val="18"/>
          <w:color w:val="0000FF"/>
        </w:rPr>
      </w:pPr>
      <w:r>
        <w:rPr>
          <w:rFonts w:ascii="Arial" w:cs="Arial" w:eastAsia="Arial" w:hAnsi="Arial"/>
          <w:sz w:val="18"/>
          <w:szCs w:val="18"/>
          <w:color w:val="auto"/>
        </w:rPr>
        <w:t>10.42</w:t>
      </w:r>
      <w:r>
        <w:rPr>
          <w:sz w:val="20"/>
          <w:szCs w:val="20"/>
          <w:color w:val="auto"/>
        </w:rPr>
        <w:tab/>
      </w:r>
      <w:hyperlink r:id="rId274">
        <w:r>
          <w:rPr>
            <w:rFonts w:ascii="Arial" w:cs="Arial" w:eastAsia="Arial" w:hAnsi="Arial"/>
            <w:sz w:val="18"/>
            <w:szCs w:val="18"/>
            <w:u w:val="single" w:color="auto"/>
            <w:color w:val="0000FF"/>
          </w:rPr>
          <w:t>Amendment No. 5, dated as of June 24, 2014, to the A320 Family Aircraft Purchase Agreement between Airbus S.A.S., as seller,</w:t>
        </w:r>
      </w:hyperlink>
      <w:r>
        <w:rPr>
          <w:rFonts w:ascii="Arial" w:cs="Arial" w:eastAsia="Arial" w:hAnsi="Arial"/>
          <w:sz w:val="18"/>
          <w:szCs w:val="18"/>
          <w:u w:val="single" w:color="auto"/>
          <w:color w:val="0000FF"/>
        </w:rPr>
        <w:t xml:space="preserve"> </w:t>
      </w:r>
      <w:hyperlink r:id="rId274">
        <w:r>
          <w:rPr>
            <w:rFonts w:ascii="Arial" w:cs="Arial" w:eastAsia="Arial" w:hAnsi="Arial"/>
            <w:sz w:val="18"/>
            <w:szCs w:val="18"/>
            <w:u w:val="single" w:color="auto"/>
            <w:color w:val="0000FF"/>
          </w:rPr>
          <w:t>and American Airlines, Inc., as buyer, dated as of July 20, 2011, as amended, restated, amended and restated, supplemented or</w:t>
        </w:r>
      </w:hyperlink>
      <w:r>
        <w:rPr>
          <w:rFonts w:ascii="Arial" w:cs="Arial" w:eastAsia="Arial" w:hAnsi="Arial"/>
          <w:sz w:val="18"/>
          <w:szCs w:val="18"/>
          <w:u w:val="single" w:color="auto"/>
          <w:color w:val="0000FF"/>
        </w:rPr>
        <w:t xml:space="preserve"> </w:t>
      </w:r>
      <w:hyperlink r:id="rId274">
        <w:r>
          <w:rPr>
            <w:rFonts w:ascii="Arial" w:cs="Arial" w:eastAsia="Arial" w:hAnsi="Arial"/>
            <w:sz w:val="18"/>
            <w:szCs w:val="18"/>
            <w:u w:val="single" w:color="auto"/>
            <w:color w:val="0000FF"/>
          </w:rPr>
          <w:t>otherwise modified (incorporated by reference to Exhibit 10.2 to AAG’s Quarterly Report on Form 10-Q for the quarter ended</w:t>
        </w:r>
      </w:hyperlink>
      <w:r>
        <w:rPr>
          <w:rFonts w:ascii="Arial" w:cs="Arial" w:eastAsia="Arial" w:hAnsi="Arial"/>
          <w:sz w:val="18"/>
          <w:szCs w:val="18"/>
          <w:u w:val="single" w:color="auto"/>
          <w:color w:val="0000FF"/>
        </w:rPr>
        <w:t xml:space="preserve"> </w:t>
      </w:r>
      <w:hyperlink r:id="rId274">
        <w:r>
          <w:rPr>
            <w:rFonts w:ascii="Arial" w:cs="Arial" w:eastAsia="Arial" w:hAnsi="Arial"/>
            <w:sz w:val="18"/>
            <w:szCs w:val="18"/>
            <w:u w:val="single" w:color="auto"/>
            <w:color w:val="0000FF"/>
          </w:rPr>
          <w:t>June 30, 2014 (Commission File No. 1-8400)).</w:t>
        </w:r>
        <w:r>
          <w:rPr>
            <w:rFonts w:ascii="Arial" w:cs="Arial" w:eastAsia="Arial" w:hAnsi="Arial"/>
            <w:sz w:val="18"/>
            <w:szCs w:val="18"/>
            <w:color w:val="000000"/>
          </w:rPr>
          <w:t>*</w:t>
        </w:r>
      </w:hyperlink>
    </w:p>
    <w:p>
      <w:pPr>
        <w:spacing w:after="0" w:line="40" w:lineRule="exact"/>
        <w:rPr>
          <w:rFonts w:ascii="Arial" w:cs="Arial" w:eastAsia="Arial" w:hAnsi="Arial"/>
          <w:sz w:val="18"/>
          <w:szCs w:val="18"/>
          <w:u w:val="single" w:color="auto"/>
          <w:color w:val="0000FF"/>
        </w:rPr>
      </w:pPr>
    </w:p>
    <w:p>
      <w:pPr>
        <w:jc w:val="both"/>
        <w:ind w:left="920" w:right="20" w:hanging="917"/>
        <w:spacing w:after="0" w:line="239" w:lineRule="auto"/>
        <w:tabs>
          <w:tab w:leader="none" w:pos="900" w:val="left"/>
        </w:tabs>
        <w:rPr>
          <w:rFonts w:ascii="Arial" w:cs="Arial" w:eastAsia="Arial" w:hAnsi="Arial"/>
          <w:sz w:val="18"/>
          <w:szCs w:val="18"/>
          <w:color w:val="0000FF"/>
        </w:rPr>
      </w:pPr>
      <w:r>
        <w:rPr>
          <w:rFonts w:ascii="Arial" w:cs="Arial" w:eastAsia="Arial" w:hAnsi="Arial"/>
          <w:sz w:val="18"/>
          <w:szCs w:val="18"/>
          <w:color w:val="auto"/>
        </w:rPr>
        <w:t>10.43</w:t>
      </w:r>
      <w:r>
        <w:rPr>
          <w:sz w:val="20"/>
          <w:szCs w:val="20"/>
          <w:color w:val="auto"/>
        </w:rPr>
        <w:tab/>
      </w:r>
      <w:hyperlink r:id="rId275">
        <w:r>
          <w:rPr>
            <w:rFonts w:ascii="Arial" w:cs="Arial" w:eastAsia="Arial" w:hAnsi="Arial"/>
            <w:sz w:val="18"/>
            <w:szCs w:val="18"/>
            <w:u w:val="single" w:color="auto"/>
            <w:color w:val="0000FF"/>
          </w:rPr>
          <w:t>Amendment No. 6, dated as of July 1, 2014, to the A320 Family Aircraft Purchase Agreement between Airbus S.A.S., as seller, and</w:t>
        </w:r>
      </w:hyperlink>
      <w:r>
        <w:rPr>
          <w:rFonts w:ascii="Arial" w:cs="Arial" w:eastAsia="Arial" w:hAnsi="Arial"/>
          <w:sz w:val="18"/>
          <w:szCs w:val="18"/>
          <w:u w:val="single" w:color="auto"/>
          <w:color w:val="0000FF"/>
        </w:rPr>
        <w:t xml:space="preserve"> </w:t>
      </w:r>
      <w:hyperlink r:id="rId275">
        <w:r>
          <w:rPr>
            <w:rFonts w:ascii="Arial" w:cs="Arial" w:eastAsia="Arial" w:hAnsi="Arial"/>
            <w:sz w:val="18"/>
            <w:szCs w:val="18"/>
            <w:u w:val="single" w:color="auto"/>
            <w:color w:val="0000FF"/>
          </w:rPr>
          <w:t>American Airlines, Inc., as buyer, dated as of July 20, 2011, as amended, restated, amended and restated, supplemented or</w:t>
        </w:r>
      </w:hyperlink>
      <w:r>
        <w:rPr>
          <w:rFonts w:ascii="Arial" w:cs="Arial" w:eastAsia="Arial" w:hAnsi="Arial"/>
          <w:sz w:val="18"/>
          <w:szCs w:val="18"/>
          <w:u w:val="single" w:color="auto"/>
          <w:color w:val="0000FF"/>
        </w:rPr>
        <w:t xml:space="preserve"> </w:t>
      </w:r>
      <w:hyperlink r:id="rId275">
        <w:r>
          <w:rPr>
            <w:rFonts w:ascii="Arial" w:cs="Arial" w:eastAsia="Arial" w:hAnsi="Arial"/>
            <w:sz w:val="18"/>
            <w:szCs w:val="18"/>
            <w:u w:val="single" w:color="auto"/>
            <w:color w:val="0000FF"/>
          </w:rPr>
          <w:t>otherwise modified (incorporated by reference to Exhibit 10.3 to AAG’s Quarterly Report on Form 10-Q for the quarter ended</w:t>
        </w:r>
      </w:hyperlink>
      <w:r>
        <w:rPr>
          <w:rFonts w:ascii="Arial" w:cs="Arial" w:eastAsia="Arial" w:hAnsi="Arial"/>
          <w:sz w:val="18"/>
          <w:szCs w:val="18"/>
          <w:u w:val="single" w:color="auto"/>
          <w:color w:val="0000FF"/>
        </w:rPr>
        <w:t xml:space="preserve"> </w:t>
      </w:r>
      <w:hyperlink r:id="rId275">
        <w:r>
          <w:rPr>
            <w:rFonts w:ascii="Arial" w:cs="Arial" w:eastAsia="Arial" w:hAnsi="Arial"/>
            <w:sz w:val="18"/>
            <w:szCs w:val="18"/>
            <w:u w:val="single" w:color="auto"/>
            <w:color w:val="0000FF"/>
          </w:rPr>
          <w:t>June 30, 2014 (Commission File No. 1-8400)).</w:t>
        </w:r>
        <w:r>
          <w:rPr>
            <w:rFonts w:ascii="Arial" w:cs="Arial" w:eastAsia="Arial" w:hAnsi="Arial"/>
            <w:sz w:val="18"/>
            <w:szCs w:val="18"/>
            <w:color w:val="000000"/>
          </w:rPr>
          <w:t>*</w:t>
        </w:r>
      </w:hyperlink>
    </w:p>
    <w:p>
      <w:pPr>
        <w:spacing w:after="0" w:line="40" w:lineRule="exact"/>
        <w:rPr>
          <w:rFonts w:ascii="Arial" w:cs="Arial" w:eastAsia="Arial" w:hAnsi="Arial"/>
          <w:sz w:val="18"/>
          <w:szCs w:val="18"/>
          <w:u w:val="single" w:color="auto"/>
          <w:color w:val="0000FF"/>
        </w:rPr>
      </w:pPr>
    </w:p>
    <w:p>
      <w:pPr>
        <w:jc w:val="both"/>
        <w:ind w:left="920" w:hanging="917"/>
        <w:spacing w:after="0" w:line="239" w:lineRule="auto"/>
        <w:tabs>
          <w:tab w:leader="none" w:pos="900" w:val="left"/>
        </w:tabs>
        <w:rPr>
          <w:rFonts w:ascii="Arial" w:cs="Arial" w:eastAsia="Arial" w:hAnsi="Arial"/>
          <w:sz w:val="18"/>
          <w:szCs w:val="18"/>
          <w:color w:val="0000FF"/>
        </w:rPr>
      </w:pPr>
      <w:r>
        <w:rPr>
          <w:rFonts w:ascii="Arial" w:cs="Arial" w:eastAsia="Arial" w:hAnsi="Arial"/>
          <w:sz w:val="18"/>
          <w:szCs w:val="18"/>
          <w:color w:val="auto"/>
        </w:rPr>
        <w:t>10.44</w:t>
      </w:r>
      <w:r>
        <w:rPr>
          <w:sz w:val="20"/>
          <w:szCs w:val="20"/>
          <w:color w:val="auto"/>
        </w:rPr>
        <w:tab/>
      </w:r>
      <w:hyperlink r:id="rId276">
        <w:r>
          <w:rPr>
            <w:rFonts w:ascii="Arial" w:cs="Arial" w:eastAsia="Arial" w:hAnsi="Arial"/>
            <w:sz w:val="18"/>
            <w:szCs w:val="18"/>
            <w:u w:val="single" w:color="auto"/>
            <w:color w:val="0000FF"/>
          </w:rPr>
          <w:t>Amendment No. 7, dated as of November 25, 2014, to the A320 Family Aircraft Purchase Agreement between Airbus S.A.S., as</w:t>
        </w:r>
      </w:hyperlink>
      <w:r>
        <w:rPr>
          <w:rFonts w:ascii="Arial" w:cs="Arial" w:eastAsia="Arial" w:hAnsi="Arial"/>
          <w:sz w:val="18"/>
          <w:szCs w:val="18"/>
          <w:u w:val="single" w:color="auto"/>
          <w:color w:val="0000FF"/>
        </w:rPr>
        <w:t xml:space="preserve"> </w:t>
      </w:r>
      <w:hyperlink r:id="rId276">
        <w:r>
          <w:rPr>
            <w:rFonts w:ascii="Arial" w:cs="Arial" w:eastAsia="Arial" w:hAnsi="Arial"/>
            <w:sz w:val="18"/>
            <w:szCs w:val="18"/>
            <w:u w:val="single" w:color="auto"/>
            <w:color w:val="0000FF"/>
          </w:rPr>
          <w:t>seller, and American Airlines, Inc., as buyer, dated as of July 20, 2011, as amended, restated, amended and restated,</w:t>
        </w:r>
      </w:hyperlink>
      <w:r>
        <w:rPr>
          <w:rFonts w:ascii="Arial" w:cs="Arial" w:eastAsia="Arial" w:hAnsi="Arial"/>
          <w:sz w:val="18"/>
          <w:szCs w:val="18"/>
          <w:u w:val="single" w:color="auto"/>
          <w:color w:val="0000FF"/>
        </w:rPr>
        <w:t xml:space="preserve"> </w:t>
      </w:r>
      <w:hyperlink r:id="rId276">
        <w:r>
          <w:rPr>
            <w:rFonts w:ascii="Arial" w:cs="Arial" w:eastAsia="Arial" w:hAnsi="Arial"/>
            <w:sz w:val="18"/>
            <w:szCs w:val="18"/>
            <w:u w:val="single" w:color="auto"/>
            <w:color w:val="0000FF"/>
          </w:rPr>
          <w:t>supplemented or otherwise (incorporated by reference to Exhibit 10.51 to AAG’s Annual Report on Form 10-K for the year ended</w:t>
        </w:r>
      </w:hyperlink>
      <w:r>
        <w:rPr>
          <w:rFonts w:ascii="Arial" w:cs="Arial" w:eastAsia="Arial" w:hAnsi="Arial"/>
          <w:sz w:val="18"/>
          <w:szCs w:val="18"/>
          <w:u w:val="single" w:color="auto"/>
          <w:color w:val="0000FF"/>
        </w:rPr>
        <w:t xml:space="preserve"> </w:t>
      </w:r>
      <w:hyperlink r:id="rId276">
        <w:r>
          <w:rPr>
            <w:rFonts w:ascii="Arial" w:cs="Arial" w:eastAsia="Arial" w:hAnsi="Arial"/>
            <w:sz w:val="18"/>
            <w:szCs w:val="18"/>
            <w:u w:val="single" w:color="auto"/>
            <w:color w:val="0000FF"/>
          </w:rPr>
          <w:t>December 31, 2014 (Commission File No. 1-8400)).</w:t>
        </w:r>
        <w:r>
          <w:rPr>
            <w:rFonts w:ascii="Arial" w:cs="Arial" w:eastAsia="Arial" w:hAnsi="Arial"/>
            <w:sz w:val="18"/>
            <w:szCs w:val="18"/>
            <w:color w:val="000000"/>
          </w:rPr>
          <w:t>*</w:t>
        </w:r>
      </w:hyperlink>
    </w:p>
    <w:p>
      <w:pPr>
        <w:spacing w:after="0" w:line="40" w:lineRule="exact"/>
        <w:rPr>
          <w:rFonts w:ascii="Arial" w:cs="Arial" w:eastAsia="Arial" w:hAnsi="Arial"/>
          <w:sz w:val="18"/>
          <w:szCs w:val="18"/>
          <w:u w:val="single" w:color="auto"/>
          <w:color w:val="0000FF"/>
        </w:rPr>
      </w:pPr>
    </w:p>
    <w:p>
      <w:pPr>
        <w:jc w:val="both"/>
        <w:ind w:left="920" w:hanging="917"/>
        <w:spacing w:after="0" w:line="239" w:lineRule="auto"/>
        <w:tabs>
          <w:tab w:leader="none" w:pos="900" w:val="left"/>
        </w:tabs>
        <w:rPr>
          <w:rFonts w:ascii="Arial" w:cs="Arial" w:eastAsia="Arial" w:hAnsi="Arial"/>
          <w:sz w:val="18"/>
          <w:szCs w:val="18"/>
          <w:color w:val="0000FF"/>
        </w:rPr>
      </w:pPr>
      <w:r>
        <w:rPr>
          <w:rFonts w:ascii="Arial" w:cs="Arial" w:eastAsia="Arial" w:hAnsi="Arial"/>
          <w:sz w:val="18"/>
          <w:szCs w:val="18"/>
          <w:color w:val="auto"/>
        </w:rPr>
        <w:t>10.45</w:t>
      </w:r>
      <w:r>
        <w:rPr>
          <w:sz w:val="20"/>
          <w:szCs w:val="20"/>
          <w:color w:val="auto"/>
        </w:rPr>
        <w:tab/>
      </w:r>
      <w:hyperlink r:id="rId277">
        <w:r>
          <w:rPr>
            <w:rFonts w:ascii="Arial" w:cs="Arial" w:eastAsia="Arial" w:hAnsi="Arial"/>
            <w:sz w:val="18"/>
            <w:szCs w:val="18"/>
            <w:u w:val="single" w:color="auto"/>
            <w:color w:val="0000FF"/>
          </w:rPr>
          <w:t>Amendment No. 8, dated as of June 11, 2015, to the A320 Family Aircraft Purchase Agreement between American Airlines, Inc.</w:t>
        </w:r>
      </w:hyperlink>
      <w:r>
        <w:rPr>
          <w:rFonts w:ascii="Arial" w:cs="Arial" w:eastAsia="Arial" w:hAnsi="Arial"/>
          <w:sz w:val="18"/>
          <w:szCs w:val="18"/>
          <w:u w:val="single" w:color="auto"/>
          <w:color w:val="0000FF"/>
        </w:rPr>
        <w:t xml:space="preserve"> </w:t>
      </w:r>
      <w:hyperlink r:id="rId277">
        <w:r>
          <w:rPr>
            <w:rFonts w:ascii="Arial" w:cs="Arial" w:eastAsia="Arial" w:hAnsi="Arial"/>
            <w:sz w:val="18"/>
            <w:szCs w:val="18"/>
            <w:u w:val="single" w:color="auto"/>
            <w:color w:val="0000FF"/>
          </w:rPr>
          <w:t>and Airbus S.A.S., dated as of July 20, 2011, as amended, restated, amended and restated, supplemented or otherwise modified</w:t>
        </w:r>
      </w:hyperlink>
      <w:r>
        <w:rPr>
          <w:rFonts w:ascii="Arial" w:cs="Arial" w:eastAsia="Arial" w:hAnsi="Arial"/>
          <w:sz w:val="18"/>
          <w:szCs w:val="18"/>
          <w:u w:val="single" w:color="auto"/>
          <w:color w:val="0000FF"/>
        </w:rPr>
        <w:t xml:space="preserve"> </w:t>
      </w:r>
      <w:hyperlink r:id="rId277">
        <w:r>
          <w:rPr>
            <w:rFonts w:ascii="Arial" w:cs="Arial" w:eastAsia="Arial" w:hAnsi="Arial"/>
            <w:sz w:val="18"/>
            <w:szCs w:val="18"/>
            <w:u w:val="single" w:color="auto"/>
            <w:color w:val="0000FF"/>
          </w:rPr>
          <w:t>(incorporated by reference to Exhibit 10.1 to AAG’s Quarterly Report on Form 10-Q for the quarter ended June 30, 2015</w:t>
        </w:r>
      </w:hyperlink>
      <w:r>
        <w:rPr>
          <w:rFonts w:ascii="Arial" w:cs="Arial" w:eastAsia="Arial" w:hAnsi="Arial"/>
          <w:sz w:val="18"/>
          <w:szCs w:val="18"/>
          <w:u w:val="single" w:color="auto"/>
          <w:color w:val="0000FF"/>
        </w:rPr>
        <w:t xml:space="preserve"> </w:t>
      </w:r>
      <w:hyperlink r:id="rId277">
        <w:r>
          <w:rPr>
            <w:rFonts w:ascii="Arial" w:cs="Arial" w:eastAsia="Arial" w:hAnsi="Arial"/>
            <w:sz w:val="18"/>
            <w:szCs w:val="18"/>
            <w:u w:val="single" w:color="auto"/>
            <w:color w:val="0000FF"/>
          </w:rPr>
          <w:t>(Commission File No. 1-8400)).</w:t>
        </w:r>
        <w:r>
          <w:rPr>
            <w:rFonts w:ascii="Arial" w:cs="Arial" w:eastAsia="Arial" w:hAnsi="Arial"/>
            <w:sz w:val="18"/>
            <w:szCs w:val="18"/>
            <w:color w:val="000000"/>
          </w:rPr>
          <w:t>*</w:t>
        </w:r>
      </w:hyperlink>
    </w:p>
    <w:p>
      <w:pPr>
        <w:spacing w:after="0" w:line="40" w:lineRule="exact"/>
        <w:rPr>
          <w:rFonts w:ascii="Arial" w:cs="Arial" w:eastAsia="Arial" w:hAnsi="Arial"/>
          <w:sz w:val="18"/>
          <w:szCs w:val="18"/>
          <w:u w:val="single" w:color="auto"/>
          <w:color w:val="0000FF"/>
        </w:rPr>
      </w:pPr>
    </w:p>
    <w:p>
      <w:pPr>
        <w:jc w:val="both"/>
        <w:ind w:left="920" w:right="20" w:hanging="917"/>
        <w:spacing w:after="0"/>
        <w:tabs>
          <w:tab w:leader="none" w:pos="900" w:val="left"/>
        </w:tabs>
        <w:rPr>
          <w:rFonts w:ascii="Arial" w:cs="Arial" w:eastAsia="Arial" w:hAnsi="Arial"/>
          <w:sz w:val="18"/>
          <w:szCs w:val="18"/>
          <w:color w:val="0000FF"/>
        </w:rPr>
      </w:pPr>
      <w:r>
        <w:rPr>
          <w:rFonts w:ascii="Arial" w:cs="Arial" w:eastAsia="Arial" w:hAnsi="Arial"/>
          <w:sz w:val="18"/>
          <w:szCs w:val="18"/>
          <w:color w:val="auto"/>
        </w:rPr>
        <w:t>10.46</w:t>
      </w:r>
      <w:r>
        <w:rPr>
          <w:sz w:val="20"/>
          <w:szCs w:val="20"/>
          <w:color w:val="auto"/>
        </w:rPr>
        <w:tab/>
      </w:r>
      <w:hyperlink r:id="rId278">
        <w:r>
          <w:rPr>
            <w:rFonts w:ascii="Arial" w:cs="Arial" w:eastAsia="Arial" w:hAnsi="Arial"/>
            <w:sz w:val="18"/>
            <w:szCs w:val="18"/>
            <w:u w:val="single" w:color="auto"/>
            <w:color w:val="0000FF"/>
          </w:rPr>
          <w:t>Amendment No. 9, dated as of September 23, 2015, to the A320 Family Aircraft Purchase Agreement, dated as of July 20, 2011,</w:t>
        </w:r>
      </w:hyperlink>
      <w:r>
        <w:rPr>
          <w:rFonts w:ascii="Arial" w:cs="Arial" w:eastAsia="Arial" w:hAnsi="Arial"/>
          <w:sz w:val="18"/>
          <w:szCs w:val="18"/>
          <w:u w:val="single" w:color="auto"/>
          <w:color w:val="0000FF"/>
        </w:rPr>
        <w:t xml:space="preserve"> </w:t>
      </w:r>
      <w:hyperlink r:id="rId278">
        <w:r>
          <w:rPr>
            <w:rFonts w:ascii="Arial" w:cs="Arial" w:eastAsia="Arial" w:hAnsi="Arial"/>
            <w:sz w:val="18"/>
            <w:szCs w:val="18"/>
            <w:u w:val="single" w:color="auto"/>
            <w:color w:val="0000FF"/>
          </w:rPr>
          <w:t>between American Airlines, Inc. and Airbus S.A.S. (incorporated by reference to Exhibit 10.3 to AAG’s Quarterly Report on Form</w:t>
        </w:r>
      </w:hyperlink>
      <w:r>
        <w:rPr>
          <w:rFonts w:ascii="Arial" w:cs="Arial" w:eastAsia="Arial" w:hAnsi="Arial"/>
          <w:sz w:val="18"/>
          <w:szCs w:val="18"/>
          <w:u w:val="single" w:color="auto"/>
          <w:color w:val="0000FF"/>
        </w:rPr>
        <w:t xml:space="preserve"> </w:t>
      </w:r>
      <w:hyperlink r:id="rId278">
        <w:r>
          <w:rPr>
            <w:rFonts w:ascii="Arial" w:cs="Arial" w:eastAsia="Arial" w:hAnsi="Arial"/>
            <w:sz w:val="18"/>
            <w:szCs w:val="18"/>
            <w:u w:val="single" w:color="auto"/>
            <w:color w:val="0000FF"/>
          </w:rPr>
          <w:t>10-Q for the quarter ended September 30, 2015 (Commission File No. 1-8400)).</w:t>
        </w:r>
        <w:r>
          <w:rPr>
            <w:rFonts w:ascii="Arial" w:cs="Arial" w:eastAsia="Arial" w:hAnsi="Arial"/>
            <w:sz w:val="18"/>
            <w:szCs w:val="18"/>
            <w:color w:val="000000"/>
          </w:rPr>
          <w:t>*</w:t>
        </w:r>
      </w:hyperlink>
    </w:p>
    <w:p>
      <w:pPr>
        <w:spacing w:after="0" w:line="41" w:lineRule="exact"/>
        <w:rPr>
          <w:rFonts w:ascii="Arial" w:cs="Arial" w:eastAsia="Arial" w:hAnsi="Arial"/>
          <w:sz w:val="18"/>
          <w:szCs w:val="18"/>
          <w:u w:val="single" w:color="auto"/>
          <w:color w:val="0000FF"/>
        </w:rPr>
      </w:pPr>
    </w:p>
    <w:p>
      <w:pPr>
        <w:jc w:val="both"/>
        <w:ind w:left="920" w:right="20" w:hanging="917"/>
        <w:spacing w:after="0"/>
        <w:tabs>
          <w:tab w:leader="none" w:pos="900" w:val="left"/>
        </w:tabs>
        <w:rPr>
          <w:rFonts w:ascii="Arial" w:cs="Arial" w:eastAsia="Arial" w:hAnsi="Arial"/>
          <w:sz w:val="18"/>
          <w:szCs w:val="18"/>
          <w:color w:val="0000FF"/>
        </w:rPr>
      </w:pPr>
      <w:r>
        <w:rPr>
          <w:rFonts w:ascii="Arial" w:cs="Arial" w:eastAsia="Arial" w:hAnsi="Arial"/>
          <w:sz w:val="18"/>
          <w:szCs w:val="18"/>
          <w:color w:val="auto"/>
        </w:rPr>
        <w:t>10.47</w:t>
      </w:r>
      <w:r>
        <w:rPr>
          <w:sz w:val="20"/>
          <w:szCs w:val="20"/>
          <w:color w:val="auto"/>
        </w:rPr>
        <w:tab/>
      </w:r>
      <w:hyperlink r:id="rId279">
        <w:r>
          <w:rPr>
            <w:rFonts w:ascii="Arial" w:cs="Arial" w:eastAsia="Arial" w:hAnsi="Arial"/>
            <w:sz w:val="18"/>
            <w:szCs w:val="18"/>
            <w:u w:val="single" w:color="auto"/>
            <w:color w:val="0000FF"/>
          </w:rPr>
          <w:t>Amendment No. 10, dated as of July 16, 2018, to the A320 Family Aircraft Purchase Agreement, dated as of July 20, 2011,</w:t>
        </w:r>
      </w:hyperlink>
      <w:r>
        <w:rPr>
          <w:rFonts w:ascii="Arial" w:cs="Arial" w:eastAsia="Arial" w:hAnsi="Arial"/>
          <w:sz w:val="18"/>
          <w:szCs w:val="18"/>
          <w:u w:val="single" w:color="auto"/>
          <w:color w:val="0000FF"/>
        </w:rPr>
        <w:t xml:space="preserve"> </w:t>
      </w:r>
      <w:hyperlink r:id="rId279">
        <w:r>
          <w:rPr>
            <w:rFonts w:ascii="Arial" w:cs="Arial" w:eastAsia="Arial" w:hAnsi="Arial"/>
            <w:sz w:val="18"/>
            <w:szCs w:val="18"/>
            <w:u w:val="single" w:color="auto"/>
            <w:color w:val="0000FF"/>
          </w:rPr>
          <w:t>between American Airlines, Inc. and Airbus S.A.S. (incorporated by reference to Exhibit 10.2 to AAG’s Quarterly Report on Form</w:t>
        </w:r>
      </w:hyperlink>
      <w:r>
        <w:rPr>
          <w:rFonts w:ascii="Arial" w:cs="Arial" w:eastAsia="Arial" w:hAnsi="Arial"/>
          <w:sz w:val="18"/>
          <w:szCs w:val="18"/>
          <w:u w:val="single" w:color="auto"/>
          <w:color w:val="0000FF"/>
        </w:rPr>
        <w:t xml:space="preserve"> </w:t>
      </w:r>
      <w:hyperlink r:id="rId279">
        <w:r>
          <w:rPr>
            <w:rFonts w:ascii="Arial" w:cs="Arial" w:eastAsia="Arial" w:hAnsi="Arial"/>
            <w:sz w:val="18"/>
            <w:szCs w:val="18"/>
            <w:u w:val="single" w:color="auto"/>
            <w:color w:val="0000FF"/>
          </w:rPr>
          <w:t>10-Q for the quarter ended September 30, 2018 (Commission File No. 1-8400)).</w:t>
        </w:r>
        <w:r>
          <w:rPr>
            <w:rFonts w:ascii="Arial" w:cs="Arial" w:eastAsia="Arial" w:hAnsi="Arial"/>
            <w:sz w:val="18"/>
            <w:szCs w:val="18"/>
            <w:color w:val="000000"/>
          </w:rPr>
          <w:t>*</w:t>
        </w:r>
      </w:hyperlink>
    </w:p>
    <w:p>
      <w:pPr>
        <w:spacing w:after="0" w:line="41" w:lineRule="exact"/>
        <w:rPr>
          <w:rFonts w:ascii="Arial" w:cs="Arial" w:eastAsia="Arial" w:hAnsi="Arial"/>
          <w:sz w:val="18"/>
          <w:szCs w:val="18"/>
          <w:u w:val="single" w:color="auto"/>
          <w:color w:val="0000FF"/>
        </w:rPr>
      </w:pPr>
    </w:p>
    <w:p>
      <w:pPr>
        <w:jc w:val="both"/>
        <w:ind w:left="920" w:hanging="917"/>
        <w:spacing w:after="0"/>
        <w:tabs>
          <w:tab w:leader="none" w:pos="900" w:val="left"/>
        </w:tabs>
        <w:rPr>
          <w:rFonts w:ascii="Arial" w:cs="Arial" w:eastAsia="Arial" w:hAnsi="Arial"/>
          <w:sz w:val="18"/>
          <w:szCs w:val="18"/>
          <w:u w:val="single" w:color="auto"/>
          <w:color w:val="0000FF"/>
        </w:rPr>
      </w:pPr>
      <w:r>
        <w:rPr>
          <w:rFonts w:ascii="Arial" w:cs="Arial" w:eastAsia="Arial" w:hAnsi="Arial"/>
          <w:sz w:val="18"/>
          <w:szCs w:val="18"/>
          <w:color w:val="auto"/>
        </w:rPr>
        <w:t>10.48</w:t>
      </w:r>
      <w:r>
        <w:rPr>
          <w:sz w:val="20"/>
          <w:szCs w:val="20"/>
          <w:color w:val="auto"/>
        </w:rPr>
        <w:tab/>
      </w:r>
      <w:hyperlink r:id="rId280">
        <w:r>
          <w:rPr>
            <w:rFonts w:ascii="Arial" w:cs="Arial" w:eastAsia="Arial" w:hAnsi="Arial"/>
            <w:sz w:val="18"/>
            <w:szCs w:val="18"/>
            <w:u w:val="single" w:color="auto"/>
            <w:color w:val="0000FF"/>
          </w:rPr>
          <w:t>Amendment No. 11, dated as of June 19, 2019, to the A320 Family Aircraft Purchase Agreement, dated as of July 20, 2011,</w:t>
        </w:r>
      </w:hyperlink>
      <w:r>
        <w:rPr>
          <w:rFonts w:ascii="Arial" w:cs="Arial" w:eastAsia="Arial" w:hAnsi="Arial"/>
          <w:sz w:val="18"/>
          <w:szCs w:val="18"/>
          <w:u w:val="single" w:color="auto"/>
          <w:color w:val="0000FF"/>
        </w:rPr>
        <w:t xml:space="preserve"> </w:t>
      </w:r>
      <w:hyperlink r:id="rId280">
        <w:r>
          <w:rPr>
            <w:rFonts w:ascii="Arial" w:cs="Arial" w:eastAsia="Arial" w:hAnsi="Arial"/>
            <w:sz w:val="18"/>
            <w:szCs w:val="18"/>
            <w:u w:val="single" w:color="auto"/>
            <w:color w:val="0000FF"/>
          </w:rPr>
          <w:t>between American Airlines, Inc. and Airbus S.A.S. (incorporated by reference to Exhibit 10.2 to AAG’s Quarterly Report on Form</w:t>
        </w:r>
      </w:hyperlink>
      <w:r>
        <w:rPr>
          <w:rFonts w:ascii="Arial" w:cs="Arial" w:eastAsia="Arial" w:hAnsi="Arial"/>
          <w:sz w:val="18"/>
          <w:szCs w:val="18"/>
          <w:u w:val="single" w:color="auto"/>
          <w:color w:val="0000FF"/>
        </w:rPr>
        <w:t xml:space="preserve"> </w:t>
      </w:r>
      <w:hyperlink r:id="rId280">
        <w:r>
          <w:rPr>
            <w:rFonts w:ascii="Arial" w:cs="Arial" w:eastAsia="Arial" w:hAnsi="Arial"/>
            <w:sz w:val="18"/>
            <w:szCs w:val="18"/>
            <w:u w:val="single" w:color="auto"/>
            <w:color w:val="0000FF"/>
          </w:rPr>
          <w:t>10-Q for the quarter ended June 30, 2019 (Commission File No. 1-8400)).**</w:t>
        </w:r>
      </w:hyperlink>
    </w:p>
    <w:p>
      <w:pPr>
        <w:spacing w:after="0" w:line="41" w:lineRule="exact"/>
        <w:rPr>
          <w:rFonts w:ascii="Arial" w:cs="Arial" w:eastAsia="Arial" w:hAnsi="Arial"/>
          <w:sz w:val="18"/>
          <w:szCs w:val="18"/>
          <w:u w:val="single" w:color="auto"/>
          <w:color w:val="0000FF"/>
        </w:rPr>
      </w:pPr>
    </w:p>
    <w:p>
      <w:pPr>
        <w:jc w:val="both"/>
        <w:ind w:left="920" w:right="20" w:hanging="917"/>
        <w:spacing w:after="0"/>
        <w:tabs>
          <w:tab w:leader="none" w:pos="900" w:val="left"/>
        </w:tabs>
        <w:rPr>
          <w:rFonts w:ascii="Arial" w:cs="Arial" w:eastAsia="Arial" w:hAnsi="Arial"/>
          <w:sz w:val="18"/>
          <w:szCs w:val="18"/>
          <w:color w:val="0000FF"/>
        </w:rPr>
      </w:pPr>
      <w:r>
        <w:rPr>
          <w:rFonts w:ascii="Arial" w:cs="Arial" w:eastAsia="Arial" w:hAnsi="Arial"/>
          <w:sz w:val="18"/>
          <w:szCs w:val="18"/>
          <w:color w:val="auto"/>
        </w:rPr>
        <w:t>10.49</w:t>
      </w:r>
      <w:r>
        <w:rPr>
          <w:sz w:val="20"/>
          <w:szCs w:val="20"/>
          <w:color w:val="auto"/>
        </w:rPr>
        <w:tab/>
      </w:r>
      <w:hyperlink r:id="rId281">
        <w:r>
          <w:rPr>
            <w:rFonts w:ascii="Arial" w:cs="Arial" w:eastAsia="Arial" w:hAnsi="Arial"/>
            <w:sz w:val="18"/>
            <w:szCs w:val="18"/>
            <w:u w:val="single" w:color="auto"/>
            <w:color w:val="0000FF"/>
          </w:rPr>
          <w:t>Purchase Agreement No. 03735, dated as of February 1, 2013, between American Airlines, Inc., and The Boeing Company</w:t>
        </w:r>
      </w:hyperlink>
      <w:r>
        <w:rPr>
          <w:rFonts w:ascii="Arial" w:cs="Arial" w:eastAsia="Arial" w:hAnsi="Arial"/>
          <w:sz w:val="18"/>
          <w:szCs w:val="18"/>
          <w:u w:val="single" w:color="auto"/>
          <w:color w:val="0000FF"/>
        </w:rPr>
        <w:t xml:space="preserve"> </w:t>
      </w:r>
      <w:hyperlink r:id="rId281">
        <w:r>
          <w:rPr>
            <w:rFonts w:ascii="Arial" w:cs="Arial" w:eastAsia="Arial" w:hAnsi="Arial"/>
            <w:sz w:val="18"/>
            <w:szCs w:val="18"/>
            <w:u w:val="single" w:color="auto"/>
            <w:color w:val="0000FF"/>
          </w:rPr>
          <w:t>(incorporated by reference to Exhibit 10.7 to AMR’s Quarterly Report on Form 10-Q for the quarter ended March 31, 2013</w:t>
        </w:r>
      </w:hyperlink>
      <w:r>
        <w:rPr>
          <w:rFonts w:ascii="Arial" w:cs="Arial" w:eastAsia="Arial" w:hAnsi="Arial"/>
          <w:sz w:val="18"/>
          <w:szCs w:val="18"/>
          <w:u w:val="single" w:color="auto"/>
          <w:color w:val="0000FF"/>
        </w:rPr>
        <w:t xml:space="preserve"> </w:t>
      </w:r>
      <w:hyperlink r:id="rId281">
        <w:r>
          <w:rPr>
            <w:rFonts w:ascii="Arial" w:cs="Arial" w:eastAsia="Arial" w:hAnsi="Arial"/>
            <w:sz w:val="18"/>
            <w:szCs w:val="18"/>
            <w:u w:val="single" w:color="auto"/>
            <w:color w:val="0000FF"/>
          </w:rPr>
          <w:t>(Commission File No. 1-8400)).</w:t>
        </w:r>
        <w:r>
          <w:rPr>
            <w:rFonts w:ascii="Arial" w:cs="Arial" w:eastAsia="Arial" w:hAnsi="Arial"/>
            <w:sz w:val="18"/>
            <w:szCs w:val="18"/>
            <w:color w:val="000000"/>
          </w:rPr>
          <w:t>*</w:t>
        </w:r>
      </w:hyperlink>
    </w:p>
    <w:p>
      <w:pPr>
        <w:sectPr>
          <w:pgSz w:w="11900" w:h="16838" w:orient="portrait"/>
          <w:cols w:equalWidth="0" w:num="1">
            <w:col w:w="11360"/>
          </w:cols>
          <w:pgMar w:left="280" w:top="721" w:right="259" w:bottom="1440" w:gutter="0" w:footer="0" w:header="0"/>
        </w:sectPr>
      </w:pPr>
    </w:p>
    <w:p>
      <w:pPr>
        <w:spacing w:after="0" w:line="230" w:lineRule="exact"/>
        <w:rPr>
          <w:rFonts w:ascii="Arial" w:cs="Arial" w:eastAsia="Arial" w:hAnsi="Arial"/>
          <w:sz w:val="18"/>
          <w:szCs w:val="18"/>
          <w:u w:val="single" w:color="auto"/>
          <w:color w:val="0000FF"/>
        </w:rPr>
      </w:pPr>
    </w:p>
    <w:p>
      <w:pPr>
        <w:jc w:val="center"/>
        <w:ind w:right="20"/>
        <w:spacing w:after="0"/>
        <w:rPr>
          <w:sz w:val="20"/>
          <w:szCs w:val="20"/>
          <w:color w:val="auto"/>
        </w:rPr>
      </w:pPr>
      <w:r>
        <w:rPr>
          <w:rFonts w:ascii="Arial" w:cs="Arial" w:eastAsia="Arial" w:hAnsi="Arial"/>
          <w:sz w:val="17"/>
          <w:szCs w:val="17"/>
          <w:color w:val="auto"/>
        </w:rPr>
        <w:t>180</w:t>
      </w:r>
    </w:p>
    <w:p>
      <w:pPr>
        <w:sectPr>
          <w:pgSz w:w="11900" w:h="16838" w:orient="portrait"/>
          <w:cols w:equalWidth="0" w:num="1">
            <w:col w:w="11360"/>
          </w:cols>
          <w:pgMar w:left="280" w:top="721" w:right="259" w:bottom="1440" w:gutter="0" w:footer="0" w:header="0"/>
          <w:type w:val="continuous"/>
        </w:sectPr>
      </w:pPr>
    </w:p>
    <w:bookmarkStart w:id="180" w:name="page181"/>
    <w:bookmarkEnd w:id="180"/>
    <w:p>
      <w:pPr>
        <w:spacing w:after="0"/>
        <w:rPr>
          <w:sz w:val="20"/>
          <w:szCs w:val="20"/>
          <w:color w:val="auto"/>
        </w:rPr>
      </w:pPr>
      <w:r>
        <w:rPr>
          <w:rFonts w:ascii="Arial" w:cs="Arial" w:eastAsia="Arial" w:hAnsi="Arial"/>
          <w:sz w:val="14"/>
          <w:szCs w:val="14"/>
          <w:b w:val="1"/>
          <w:bCs w:val="1"/>
          <w:color w:val="auto"/>
        </w:rPr>
        <w:t>Exhibit</w:t>
      </w:r>
    </w:p>
    <w:p>
      <w:pPr>
        <w:spacing w:after="0" w:line="19" w:lineRule="exact"/>
        <w:rPr>
          <w:sz w:val="20"/>
          <w:szCs w:val="20"/>
          <w:color w:val="auto"/>
        </w:rPr>
      </w:pPr>
    </w:p>
    <w:p>
      <w:pPr>
        <w:spacing w:after="0"/>
        <w:tabs>
          <w:tab w:leader="none" w:pos="900" w:val="left"/>
        </w:tabs>
        <w:rPr>
          <w:sz w:val="20"/>
          <w:szCs w:val="20"/>
          <w:color w:val="auto"/>
        </w:rPr>
      </w:pPr>
      <w:r>
        <w:rPr>
          <w:rFonts w:ascii="Arial" w:cs="Arial" w:eastAsia="Arial" w:hAnsi="Arial"/>
          <w:sz w:val="14"/>
          <w:szCs w:val="14"/>
          <w:b w:val="1"/>
          <w:bCs w:val="1"/>
          <w:u w:val="single" w:color="auto"/>
          <w:color w:val="auto"/>
        </w:rPr>
        <w:t>Number</w:t>
      </w:r>
      <w:r>
        <w:rPr>
          <w:sz w:val="20"/>
          <w:szCs w:val="20"/>
          <w:color w:val="auto"/>
        </w:rPr>
        <w:tab/>
      </w:r>
      <w:r>
        <w:rPr>
          <w:rFonts w:ascii="Arial" w:cs="Arial" w:eastAsia="Arial" w:hAnsi="Arial"/>
          <w:sz w:val="14"/>
          <w:szCs w:val="14"/>
          <w:b w:val="1"/>
          <w:bCs w:val="1"/>
          <w:u w:val="single" w:color="auto"/>
          <w:color w:val="auto"/>
        </w:rPr>
        <w:t>Description</w:t>
      </w:r>
    </w:p>
    <w:p>
      <w:pPr>
        <w:spacing w:after="0" w:line="49" w:lineRule="exact"/>
        <w:rPr>
          <w:sz w:val="20"/>
          <w:szCs w:val="20"/>
          <w:color w:val="auto"/>
        </w:rPr>
      </w:pPr>
    </w:p>
    <w:p>
      <w:pPr>
        <w:jc w:val="both"/>
        <w:ind w:left="920" w:hanging="917"/>
        <w:spacing w:after="0"/>
        <w:tabs>
          <w:tab w:leader="none" w:pos="900" w:val="left"/>
        </w:tabs>
        <w:rPr>
          <w:rFonts w:ascii="Arial" w:cs="Arial" w:eastAsia="Arial" w:hAnsi="Arial"/>
          <w:sz w:val="18"/>
          <w:szCs w:val="18"/>
          <w:color w:val="0000FF"/>
        </w:rPr>
      </w:pPr>
      <w:r>
        <w:rPr>
          <w:rFonts w:ascii="Arial" w:cs="Arial" w:eastAsia="Arial" w:hAnsi="Arial"/>
          <w:sz w:val="18"/>
          <w:szCs w:val="18"/>
          <w:color w:val="auto"/>
        </w:rPr>
        <w:t>10.50</w:t>
      </w:r>
      <w:r>
        <w:rPr>
          <w:sz w:val="20"/>
          <w:szCs w:val="20"/>
          <w:color w:val="auto"/>
        </w:rPr>
        <w:tab/>
      </w:r>
      <w:hyperlink r:id="rId282">
        <w:r>
          <w:rPr>
            <w:rFonts w:ascii="Arial" w:cs="Arial" w:eastAsia="Arial" w:hAnsi="Arial"/>
            <w:sz w:val="18"/>
            <w:szCs w:val="18"/>
            <w:u w:val="single" w:color="auto"/>
            <w:color w:val="0000FF"/>
          </w:rPr>
          <w:t>Supplemental Agreement No. 1, dated as of April 15, 2013, to Purchase Agreement No. 03735 between American Airlines, Inc.</w:t>
        </w:r>
      </w:hyperlink>
      <w:r>
        <w:rPr>
          <w:rFonts w:ascii="Arial" w:cs="Arial" w:eastAsia="Arial" w:hAnsi="Arial"/>
          <w:sz w:val="18"/>
          <w:szCs w:val="18"/>
          <w:u w:val="single" w:color="auto"/>
          <w:color w:val="0000FF"/>
        </w:rPr>
        <w:t xml:space="preserve"> </w:t>
      </w:r>
      <w:hyperlink r:id="rId282">
        <w:r>
          <w:rPr>
            <w:rFonts w:ascii="Arial" w:cs="Arial" w:eastAsia="Arial" w:hAnsi="Arial"/>
            <w:sz w:val="18"/>
            <w:szCs w:val="18"/>
            <w:u w:val="single" w:color="auto"/>
            <w:color w:val="0000FF"/>
          </w:rPr>
          <w:t>and The Boeing Company (incorporated by reference to Exhibit 10.1 to AMR’s Quarterly Report on Form 10-Q for the quarter</w:t>
        </w:r>
      </w:hyperlink>
      <w:r>
        <w:rPr>
          <w:rFonts w:ascii="Arial" w:cs="Arial" w:eastAsia="Arial" w:hAnsi="Arial"/>
          <w:sz w:val="18"/>
          <w:szCs w:val="18"/>
          <w:u w:val="single" w:color="auto"/>
          <w:color w:val="0000FF"/>
        </w:rPr>
        <w:t xml:space="preserve"> </w:t>
      </w:r>
      <w:hyperlink r:id="rId282">
        <w:r>
          <w:rPr>
            <w:rFonts w:ascii="Arial" w:cs="Arial" w:eastAsia="Arial" w:hAnsi="Arial"/>
            <w:sz w:val="18"/>
            <w:szCs w:val="18"/>
            <w:u w:val="single" w:color="auto"/>
            <w:color w:val="0000FF"/>
          </w:rPr>
          <w:t>ended June 30, 2013 (Commission File No. 1-8400)).</w:t>
        </w:r>
        <w:r>
          <w:rPr>
            <w:rFonts w:ascii="Arial" w:cs="Arial" w:eastAsia="Arial" w:hAnsi="Arial"/>
            <w:sz w:val="18"/>
            <w:szCs w:val="18"/>
            <w:color w:val="000000"/>
          </w:rPr>
          <w:t>*</w:t>
        </w:r>
      </w:hyperlink>
    </w:p>
    <w:p>
      <w:pPr>
        <w:spacing w:after="0" w:line="41" w:lineRule="exact"/>
        <w:rPr>
          <w:rFonts w:ascii="Arial" w:cs="Arial" w:eastAsia="Arial" w:hAnsi="Arial"/>
          <w:sz w:val="18"/>
          <w:szCs w:val="18"/>
          <w:u w:val="single" w:color="auto"/>
          <w:color w:val="0000FF"/>
        </w:rPr>
      </w:pPr>
    </w:p>
    <w:p>
      <w:pPr>
        <w:jc w:val="both"/>
        <w:ind w:left="920" w:right="20" w:hanging="917"/>
        <w:spacing w:after="0" w:line="239" w:lineRule="auto"/>
        <w:tabs>
          <w:tab w:leader="none" w:pos="900" w:val="left"/>
        </w:tabs>
        <w:rPr>
          <w:rFonts w:ascii="Arial" w:cs="Arial" w:eastAsia="Arial" w:hAnsi="Arial"/>
          <w:sz w:val="18"/>
          <w:szCs w:val="18"/>
          <w:color w:val="0000FF"/>
        </w:rPr>
      </w:pPr>
      <w:r>
        <w:rPr>
          <w:rFonts w:ascii="Arial" w:cs="Arial" w:eastAsia="Arial" w:hAnsi="Arial"/>
          <w:sz w:val="18"/>
          <w:szCs w:val="18"/>
          <w:color w:val="auto"/>
        </w:rPr>
        <w:t>10.51</w:t>
      </w:r>
      <w:r>
        <w:rPr>
          <w:sz w:val="20"/>
          <w:szCs w:val="20"/>
          <w:color w:val="auto"/>
        </w:rPr>
        <w:tab/>
      </w:r>
      <w:hyperlink r:id="rId283">
        <w:r>
          <w:rPr>
            <w:rFonts w:ascii="Arial" w:cs="Arial" w:eastAsia="Arial" w:hAnsi="Arial"/>
            <w:sz w:val="18"/>
            <w:szCs w:val="18"/>
            <w:u w:val="single" w:color="auto"/>
            <w:color w:val="0000FF"/>
          </w:rPr>
          <w:t>Supplemental Agreement No. 2, dated as of March 6, 2015, to Purchase Agreement No. 03735 between American Airlines, Inc.</w:t>
        </w:r>
      </w:hyperlink>
      <w:r>
        <w:rPr>
          <w:rFonts w:ascii="Arial" w:cs="Arial" w:eastAsia="Arial" w:hAnsi="Arial"/>
          <w:sz w:val="18"/>
          <w:szCs w:val="18"/>
          <w:u w:val="single" w:color="auto"/>
          <w:color w:val="0000FF"/>
        </w:rPr>
        <w:t xml:space="preserve"> </w:t>
      </w:r>
      <w:hyperlink r:id="rId283">
        <w:r>
          <w:rPr>
            <w:rFonts w:ascii="Arial" w:cs="Arial" w:eastAsia="Arial" w:hAnsi="Arial"/>
            <w:sz w:val="18"/>
            <w:szCs w:val="18"/>
            <w:u w:val="single" w:color="auto"/>
            <w:color w:val="0000FF"/>
          </w:rPr>
          <w:t>and The Boeing Company, dated as of February 1, 2013. Relating to Boeing Model 737 MAX Aircraft, as amended, restated,</w:t>
        </w:r>
      </w:hyperlink>
      <w:r>
        <w:rPr>
          <w:rFonts w:ascii="Arial" w:cs="Arial" w:eastAsia="Arial" w:hAnsi="Arial"/>
          <w:sz w:val="18"/>
          <w:szCs w:val="18"/>
          <w:u w:val="single" w:color="auto"/>
          <w:color w:val="0000FF"/>
        </w:rPr>
        <w:t xml:space="preserve"> </w:t>
      </w:r>
      <w:hyperlink r:id="rId283">
        <w:r>
          <w:rPr>
            <w:rFonts w:ascii="Arial" w:cs="Arial" w:eastAsia="Arial" w:hAnsi="Arial"/>
            <w:sz w:val="18"/>
            <w:szCs w:val="18"/>
            <w:u w:val="single" w:color="auto"/>
            <w:color w:val="0000FF"/>
          </w:rPr>
          <w:t>amended and restated, supplemented or otherwise modified (incorporated by reference to Exhibit 10.1 to AAG’s Quarterly Report</w:t>
        </w:r>
      </w:hyperlink>
      <w:r>
        <w:rPr>
          <w:rFonts w:ascii="Arial" w:cs="Arial" w:eastAsia="Arial" w:hAnsi="Arial"/>
          <w:sz w:val="18"/>
          <w:szCs w:val="18"/>
          <w:u w:val="single" w:color="auto"/>
          <w:color w:val="0000FF"/>
        </w:rPr>
        <w:t xml:space="preserve"> </w:t>
      </w:r>
      <w:hyperlink r:id="rId283">
        <w:r>
          <w:rPr>
            <w:rFonts w:ascii="Arial" w:cs="Arial" w:eastAsia="Arial" w:hAnsi="Arial"/>
            <w:sz w:val="18"/>
            <w:szCs w:val="18"/>
            <w:u w:val="single" w:color="auto"/>
            <w:color w:val="0000FF"/>
          </w:rPr>
          <w:t>on Form 10-Q for the quarter ended March 31, 2015 (Commission File No. 1-8400)).</w:t>
        </w:r>
        <w:r>
          <w:rPr>
            <w:rFonts w:ascii="Arial" w:cs="Arial" w:eastAsia="Arial" w:hAnsi="Arial"/>
            <w:sz w:val="18"/>
            <w:szCs w:val="18"/>
            <w:color w:val="000000"/>
          </w:rPr>
          <w:t>*</w:t>
        </w:r>
      </w:hyperlink>
    </w:p>
    <w:p>
      <w:pPr>
        <w:spacing w:after="0" w:line="40" w:lineRule="exact"/>
        <w:rPr>
          <w:rFonts w:ascii="Arial" w:cs="Arial" w:eastAsia="Arial" w:hAnsi="Arial"/>
          <w:sz w:val="18"/>
          <w:szCs w:val="18"/>
          <w:u w:val="single" w:color="auto"/>
          <w:color w:val="0000FF"/>
        </w:rPr>
      </w:pPr>
    </w:p>
    <w:p>
      <w:pPr>
        <w:jc w:val="both"/>
        <w:ind w:left="920" w:right="20" w:hanging="917"/>
        <w:spacing w:after="0" w:line="239" w:lineRule="auto"/>
        <w:tabs>
          <w:tab w:leader="none" w:pos="900" w:val="left"/>
        </w:tabs>
        <w:rPr>
          <w:rFonts w:ascii="Arial" w:cs="Arial" w:eastAsia="Arial" w:hAnsi="Arial"/>
          <w:sz w:val="18"/>
          <w:szCs w:val="18"/>
          <w:color w:val="0000FF"/>
        </w:rPr>
      </w:pPr>
      <w:r>
        <w:rPr>
          <w:rFonts w:ascii="Arial" w:cs="Arial" w:eastAsia="Arial" w:hAnsi="Arial"/>
          <w:sz w:val="18"/>
          <w:szCs w:val="18"/>
          <w:color w:val="auto"/>
        </w:rPr>
        <w:t>10.52</w:t>
      </w:r>
      <w:r>
        <w:rPr>
          <w:sz w:val="20"/>
          <w:szCs w:val="20"/>
          <w:color w:val="auto"/>
        </w:rPr>
        <w:tab/>
      </w:r>
      <w:hyperlink r:id="rId284">
        <w:r>
          <w:rPr>
            <w:rFonts w:ascii="Arial" w:cs="Arial" w:eastAsia="Arial" w:hAnsi="Arial"/>
            <w:sz w:val="18"/>
            <w:szCs w:val="18"/>
            <w:u w:val="single" w:color="auto"/>
            <w:color w:val="0000FF"/>
          </w:rPr>
          <w:t>Supplemental Agreement No. 3, dated as of May 22, 2015, to Purchase Agreement No. 03735 between American Airlines, Inc. and</w:t>
        </w:r>
      </w:hyperlink>
      <w:r>
        <w:rPr>
          <w:rFonts w:ascii="Arial" w:cs="Arial" w:eastAsia="Arial" w:hAnsi="Arial"/>
          <w:sz w:val="18"/>
          <w:szCs w:val="18"/>
          <w:u w:val="single" w:color="auto"/>
          <w:color w:val="0000FF"/>
        </w:rPr>
        <w:t xml:space="preserve"> </w:t>
      </w:r>
      <w:hyperlink r:id="rId284">
        <w:r>
          <w:rPr>
            <w:rFonts w:ascii="Arial" w:cs="Arial" w:eastAsia="Arial" w:hAnsi="Arial"/>
            <w:sz w:val="18"/>
            <w:szCs w:val="18"/>
            <w:u w:val="single" w:color="auto"/>
            <w:color w:val="0000FF"/>
          </w:rPr>
          <w:t>The Boeing Company, dated as of February 1, 2013. Relating to Boeing Model 737 MAX Aircraft, as amended, restated, amended</w:t>
        </w:r>
      </w:hyperlink>
      <w:r>
        <w:rPr>
          <w:rFonts w:ascii="Arial" w:cs="Arial" w:eastAsia="Arial" w:hAnsi="Arial"/>
          <w:sz w:val="18"/>
          <w:szCs w:val="18"/>
          <w:u w:val="single" w:color="auto"/>
          <w:color w:val="0000FF"/>
        </w:rPr>
        <w:t xml:space="preserve"> </w:t>
      </w:r>
      <w:hyperlink r:id="rId284">
        <w:r>
          <w:rPr>
            <w:rFonts w:ascii="Arial" w:cs="Arial" w:eastAsia="Arial" w:hAnsi="Arial"/>
            <w:sz w:val="18"/>
            <w:szCs w:val="18"/>
            <w:u w:val="single" w:color="auto"/>
            <w:color w:val="0000FF"/>
          </w:rPr>
          <w:t>and restated, supplemented or otherwise modified (incorporated by reference to Exhibit 10.3 to AAG’s Quarterly Report on Form</w:t>
        </w:r>
      </w:hyperlink>
      <w:r>
        <w:rPr>
          <w:rFonts w:ascii="Arial" w:cs="Arial" w:eastAsia="Arial" w:hAnsi="Arial"/>
          <w:sz w:val="18"/>
          <w:szCs w:val="18"/>
          <w:u w:val="single" w:color="auto"/>
          <w:color w:val="0000FF"/>
        </w:rPr>
        <w:t xml:space="preserve"> </w:t>
      </w:r>
      <w:hyperlink r:id="rId284">
        <w:r>
          <w:rPr>
            <w:rFonts w:ascii="Arial" w:cs="Arial" w:eastAsia="Arial" w:hAnsi="Arial"/>
            <w:sz w:val="18"/>
            <w:szCs w:val="18"/>
            <w:u w:val="single" w:color="auto"/>
            <w:color w:val="0000FF"/>
          </w:rPr>
          <w:t>10-Q for the quarter ended June 30, 2015 (Commission File No. 1-8400)).</w:t>
        </w:r>
        <w:r>
          <w:rPr>
            <w:rFonts w:ascii="Arial" w:cs="Arial" w:eastAsia="Arial" w:hAnsi="Arial"/>
            <w:sz w:val="18"/>
            <w:szCs w:val="18"/>
            <w:color w:val="000000"/>
          </w:rPr>
          <w:t>*</w:t>
        </w:r>
      </w:hyperlink>
    </w:p>
    <w:p>
      <w:pPr>
        <w:spacing w:after="0" w:line="40" w:lineRule="exact"/>
        <w:rPr>
          <w:rFonts w:ascii="Arial" w:cs="Arial" w:eastAsia="Arial" w:hAnsi="Arial"/>
          <w:sz w:val="18"/>
          <w:szCs w:val="18"/>
          <w:u w:val="single" w:color="auto"/>
          <w:color w:val="0000FF"/>
        </w:rPr>
      </w:pPr>
    </w:p>
    <w:p>
      <w:pPr>
        <w:jc w:val="both"/>
        <w:ind w:left="920" w:hanging="917"/>
        <w:spacing w:after="0" w:line="239" w:lineRule="auto"/>
        <w:tabs>
          <w:tab w:leader="none" w:pos="900" w:val="left"/>
        </w:tabs>
        <w:rPr>
          <w:rFonts w:ascii="Arial" w:cs="Arial" w:eastAsia="Arial" w:hAnsi="Arial"/>
          <w:sz w:val="18"/>
          <w:szCs w:val="18"/>
          <w:color w:val="0000FF"/>
        </w:rPr>
      </w:pPr>
      <w:r>
        <w:rPr>
          <w:rFonts w:ascii="Arial" w:cs="Arial" w:eastAsia="Arial" w:hAnsi="Arial"/>
          <w:sz w:val="18"/>
          <w:szCs w:val="18"/>
          <w:color w:val="auto"/>
        </w:rPr>
        <w:t>10.53</w:t>
      </w:r>
      <w:r>
        <w:rPr>
          <w:sz w:val="20"/>
          <w:szCs w:val="20"/>
          <w:color w:val="auto"/>
        </w:rPr>
        <w:tab/>
      </w:r>
      <w:hyperlink r:id="rId285">
        <w:r>
          <w:rPr>
            <w:rFonts w:ascii="Arial" w:cs="Arial" w:eastAsia="Arial" w:hAnsi="Arial"/>
            <w:sz w:val="18"/>
            <w:szCs w:val="18"/>
            <w:u w:val="single" w:color="auto"/>
            <w:color w:val="0000FF"/>
          </w:rPr>
          <w:t>Letter Agreement, dated as of January 14, 2016, to Purchase Agreement No. 03735 between American Airlines, Inc. and The</w:t>
        </w:r>
      </w:hyperlink>
      <w:r>
        <w:rPr>
          <w:rFonts w:ascii="Arial" w:cs="Arial" w:eastAsia="Arial" w:hAnsi="Arial"/>
          <w:sz w:val="18"/>
          <w:szCs w:val="18"/>
          <w:u w:val="single" w:color="auto"/>
          <w:color w:val="0000FF"/>
        </w:rPr>
        <w:t xml:space="preserve"> </w:t>
      </w:r>
      <w:hyperlink r:id="rId285">
        <w:r>
          <w:rPr>
            <w:rFonts w:ascii="Arial" w:cs="Arial" w:eastAsia="Arial" w:hAnsi="Arial"/>
            <w:sz w:val="18"/>
            <w:szCs w:val="18"/>
            <w:u w:val="single" w:color="auto"/>
            <w:color w:val="0000FF"/>
          </w:rPr>
          <w:t>Boeing Company, dated as of February 1, 2013. Relating to Boeing Model 737 MAX Aircraft, as amended, restated, amended and</w:t>
        </w:r>
      </w:hyperlink>
      <w:r>
        <w:rPr>
          <w:rFonts w:ascii="Arial" w:cs="Arial" w:eastAsia="Arial" w:hAnsi="Arial"/>
          <w:sz w:val="18"/>
          <w:szCs w:val="18"/>
          <w:u w:val="single" w:color="auto"/>
          <w:color w:val="0000FF"/>
        </w:rPr>
        <w:t xml:space="preserve"> </w:t>
      </w:r>
      <w:hyperlink r:id="rId285">
        <w:r>
          <w:rPr>
            <w:rFonts w:ascii="Arial" w:cs="Arial" w:eastAsia="Arial" w:hAnsi="Arial"/>
            <w:sz w:val="18"/>
            <w:szCs w:val="18"/>
            <w:u w:val="single" w:color="auto"/>
            <w:color w:val="0000FF"/>
          </w:rPr>
          <w:t>restated, supplemented or otherwise modified (incorporated by reference to Exhibit 10.2 to AAG’s Quarterly Report on Form 10-Q</w:t>
        </w:r>
      </w:hyperlink>
      <w:r>
        <w:rPr>
          <w:rFonts w:ascii="Arial" w:cs="Arial" w:eastAsia="Arial" w:hAnsi="Arial"/>
          <w:sz w:val="18"/>
          <w:szCs w:val="18"/>
          <w:u w:val="single" w:color="auto"/>
          <w:color w:val="0000FF"/>
        </w:rPr>
        <w:t xml:space="preserve"> </w:t>
      </w:r>
      <w:hyperlink r:id="rId285">
        <w:r>
          <w:rPr>
            <w:rFonts w:ascii="Arial" w:cs="Arial" w:eastAsia="Arial" w:hAnsi="Arial"/>
            <w:sz w:val="18"/>
            <w:szCs w:val="18"/>
            <w:u w:val="single" w:color="auto"/>
            <w:color w:val="0000FF"/>
          </w:rPr>
          <w:t>for the quarter ended March 31, 2016 (Commission File No. 1-8400)).</w:t>
        </w:r>
        <w:r>
          <w:rPr>
            <w:rFonts w:ascii="Arial" w:cs="Arial" w:eastAsia="Arial" w:hAnsi="Arial"/>
            <w:sz w:val="18"/>
            <w:szCs w:val="18"/>
            <w:color w:val="000000"/>
          </w:rPr>
          <w:t>*</w:t>
        </w:r>
      </w:hyperlink>
    </w:p>
    <w:p>
      <w:pPr>
        <w:spacing w:after="0" w:line="40" w:lineRule="exact"/>
        <w:rPr>
          <w:rFonts w:ascii="Arial" w:cs="Arial" w:eastAsia="Arial" w:hAnsi="Arial"/>
          <w:sz w:val="18"/>
          <w:szCs w:val="18"/>
          <w:u w:val="single" w:color="auto"/>
          <w:color w:val="0000FF"/>
        </w:rPr>
      </w:pPr>
    </w:p>
    <w:p>
      <w:pPr>
        <w:jc w:val="both"/>
        <w:ind w:left="920" w:right="20" w:hanging="917"/>
        <w:spacing w:after="0"/>
        <w:tabs>
          <w:tab w:leader="none" w:pos="900" w:val="left"/>
        </w:tabs>
        <w:rPr>
          <w:rFonts w:ascii="Arial" w:cs="Arial" w:eastAsia="Arial" w:hAnsi="Arial"/>
          <w:sz w:val="18"/>
          <w:szCs w:val="18"/>
          <w:color w:val="0000FF"/>
        </w:rPr>
      </w:pPr>
      <w:r>
        <w:rPr>
          <w:rFonts w:ascii="Arial" w:cs="Arial" w:eastAsia="Arial" w:hAnsi="Arial"/>
          <w:sz w:val="18"/>
          <w:szCs w:val="18"/>
          <w:color w:val="auto"/>
        </w:rPr>
        <w:t>10.54</w:t>
      </w:r>
      <w:r>
        <w:rPr>
          <w:sz w:val="20"/>
          <w:szCs w:val="20"/>
          <w:color w:val="auto"/>
        </w:rPr>
        <w:tab/>
      </w:r>
      <w:hyperlink r:id="rId286">
        <w:r>
          <w:rPr>
            <w:rFonts w:ascii="Arial" w:cs="Arial" w:eastAsia="Arial" w:hAnsi="Arial"/>
            <w:sz w:val="18"/>
            <w:szCs w:val="18"/>
            <w:u w:val="single" w:color="auto"/>
            <w:color w:val="0000FF"/>
          </w:rPr>
          <w:t>Supplemental Agreement No. 4, dated as of June 6, 2016, to Purchase Agreement No. 03735 dated as of February 1, 2016,</w:t>
        </w:r>
      </w:hyperlink>
      <w:r>
        <w:rPr>
          <w:rFonts w:ascii="Arial" w:cs="Arial" w:eastAsia="Arial" w:hAnsi="Arial"/>
          <w:sz w:val="18"/>
          <w:szCs w:val="18"/>
          <w:u w:val="single" w:color="auto"/>
          <w:color w:val="0000FF"/>
        </w:rPr>
        <w:t xml:space="preserve"> </w:t>
      </w:r>
      <w:hyperlink r:id="rId286">
        <w:r>
          <w:rPr>
            <w:rFonts w:ascii="Arial" w:cs="Arial" w:eastAsia="Arial" w:hAnsi="Arial"/>
            <w:sz w:val="18"/>
            <w:szCs w:val="18"/>
            <w:u w:val="single" w:color="auto"/>
            <w:color w:val="0000FF"/>
          </w:rPr>
          <w:t>between American Airlines, Inc. and The Boeing Company (incorporated by reference to Exhibit 10.3 to AAG’s Quarterly Report on</w:t>
        </w:r>
      </w:hyperlink>
      <w:r>
        <w:rPr>
          <w:rFonts w:ascii="Arial" w:cs="Arial" w:eastAsia="Arial" w:hAnsi="Arial"/>
          <w:sz w:val="18"/>
          <w:szCs w:val="18"/>
          <w:u w:val="single" w:color="auto"/>
          <w:color w:val="0000FF"/>
        </w:rPr>
        <w:t xml:space="preserve"> </w:t>
      </w:r>
      <w:hyperlink r:id="rId286">
        <w:r>
          <w:rPr>
            <w:rFonts w:ascii="Arial" w:cs="Arial" w:eastAsia="Arial" w:hAnsi="Arial"/>
            <w:sz w:val="18"/>
            <w:szCs w:val="18"/>
            <w:u w:val="single" w:color="auto"/>
            <w:color w:val="0000FF"/>
          </w:rPr>
          <w:t>Form 10-Q for the quarter ended June 30, 2016 (Commission File No. 1-8400)).</w:t>
        </w:r>
        <w:r>
          <w:rPr>
            <w:rFonts w:ascii="Arial" w:cs="Arial" w:eastAsia="Arial" w:hAnsi="Arial"/>
            <w:sz w:val="18"/>
            <w:szCs w:val="18"/>
            <w:color w:val="000000"/>
          </w:rPr>
          <w:t>*</w:t>
        </w:r>
      </w:hyperlink>
    </w:p>
    <w:p>
      <w:pPr>
        <w:spacing w:after="0" w:line="41" w:lineRule="exact"/>
        <w:rPr>
          <w:rFonts w:ascii="Arial" w:cs="Arial" w:eastAsia="Arial" w:hAnsi="Arial"/>
          <w:sz w:val="18"/>
          <w:szCs w:val="18"/>
          <w:u w:val="single" w:color="auto"/>
          <w:color w:val="0000FF"/>
        </w:rPr>
      </w:pPr>
    </w:p>
    <w:p>
      <w:pPr>
        <w:jc w:val="both"/>
        <w:ind w:left="920" w:hanging="917"/>
        <w:spacing w:after="0"/>
        <w:tabs>
          <w:tab w:leader="none" w:pos="900" w:val="left"/>
        </w:tabs>
        <w:rPr>
          <w:rFonts w:ascii="Arial" w:cs="Arial" w:eastAsia="Arial" w:hAnsi="Arial"/>
          <w:sz w:val="18"/>
          <w:szCs w:val="18"/>
          <w:color w:val="0000FF"/>
        </w:rPr>
      </w:pPr>
      <w:r>
        <w:rPr>
          <w:rFonts w:ascii="Arial" w:cs="Arial" w:eastAsia="Arial" w:hAnsi="Arial"/>
          <w:sz w:val="18"/>
          <w:szCs w:val="18"/>
          <w:color w:val="auto"/>
        </w:rPr>
        <w:t>10.55</w:t>
      </w:r>
      <w:r>
        <w:rPr>
          <w:sz w:val="20"/>
          <w:szCs w:val="20"/>
          <w:color w:val="auto"/>
        </w:rPr>
        <w:tab/>
      </w:r>
      <w:hyperlink r:id="rId287">
        <w:r>
          <w:rPr>
            <w:rFonts w:ascii="Arial" w:cs="Arial" w:eastAsia="Arial" w:hAnsi="Arial"/>
            <w:sz w:val="18"/>
            <w:szCs w:val="18"/>
            <w:u w:val="single" w:color="auto"/>
            <w:color w:val="0000FF"/>
          </w:rPr>
          <w:t>Supplemental Agreement No. 5, dated as of August 8, 2016, to Purchase Agreement No. 03735 dated as of February 1, 2013,</w:t>
        </w:r>
      </w:hyperlink>
      <w:r>
        <w:rPr>
          <w:rFonts w:ascii="Arial" w:cs="Arial" w:eastAsia="Arial" w:hAnsi="Arial"/>
          <w:sz w:val="18"/>
          <w:szCs w:val="18"/>
          <w:u w:val="single" w:color="auto"/>
          <w:color w:val="0000FF"/>
        </w:rPr>
        <w:t xml:space="preserve"> </w:t>
      </w:r>
      <w:hyperlink r:id="rId287">
        <w:r>
          <w:rPr>
            <w:rFonts w:ascii="Arial" w:cs="Arial" w:eastAsia="Arial" w:hAnsi="Arial"/>
            <w:sz w:val="18"/>
            <w:szCs w:val="18"/>
            <w:u w:val="single" w:color="auto"/>
            <w:color w:val="0000FF"/>
          </w:rPr>
          <w:t>between American Airlines, Inc. and The Boeing Company (incorporated by reference to Exhibit 10.2 to AAG’s Quarterly Report on</w:t>
        </w:r>
      </w:hyperlink>
      <w:r>
        <w:rPr>
          <w:rFonts w:ascii="Arial" w:cs="Arial" w:eastAsia="Arial" w:hAnsi="Arial"/>
          <w:sz w:val="18"/>
          <w:szCs w:val="18"/>
          <w:u w:val="single" w:color="auto"/>
          <w:color w:val="0000FF"/>
        </w:rPr>
        <w:t xml:space="preserve"> </w:t>
      </w:r>
      <w:hyperlink r:id="rId287">
        <w:r>
          <w:rPr>
            <w:rFonts w:ascii="Arial" w:cs="Arial" w:eastAsia="Arial" w:hAnsi="Arial"/>
            <w:sz w:val="18"/>
            <w:szCs w:val="18"/>
            <w:u w:val="single" w:color="auto"/>
            <w:color w:val="0000FF"/>
          </w:rPr>
          <w:t>Form 10-Q for the quarter ended September 30, 2016 (Commission File No. 1-8400)).</w:t>
        </w:r>
        <w:r>
          <w:rPr>
            <w:rFonts w:ascii="Arial" w:cs="Arial" w:eastAsia="Arial" w:hAnsi="Arial"/>
            <w:sz w:val="18"/>
            <w:szCs w:val="18"/>
            <w:color w:val="000000"/>
          </w:rPr>
          <w:t>*</w:t>
        </w:r>
      </w:hyperlink>
    </w:p>
    <w:p>
      <w:pPr>
        <w:spacing w:after="0" w:line="41" w:lineRule="exact"/>
        <w:rPr>
          <w:rFonts w:ascii="Arial" w:cs="Arial" w:eastAsia="Arial" w:hAnsi="Arial"/>
          <w:sz w:val="18"/>
          <w:szCs w:val="18"/>
          <w:u w:val="single" w:color="auto"/>
          <w:color w:val="0000FF"/>
        </w:rPr>
      </w:pPr>
    </w:p>
    <w:p>
      <w:pPr>
        <w:jc w:val="both"/>
        <w:ind w:left="920" w:right="20" w:hanging="917"/>
        <w:spacing w:after="0"/>
        <w:tabs>
          <w:tab w:leader="none" w:pos="900" w:val="left"/>
        </w:tabs>
        <w:rPr>
          <w:rFonts w:ascii="Arial" w:cs="Arial" w:eastAsia="Arial" w:hAnsi="Arial"/>
          <w:sz w:val="18"/>
          <w:szCs w:val="18"/>
          <w:color w:val="0000FF"/>
        </w:rPr>
      </w:pPr>
      <w:r>
        <w:rPr>
          <w:rFonts w:ascii="Arial" w:cs="Arial" w:eastAsia="Arial" w:hAnsi="Arial"/>
          <w:sz w:val="18"/>
          <w:szCs w:val="18"/>
          <w:color w:val="auto"/>
        </w:rPr>
        <w:t>10.56</w:t>
      </w:r>
      <w:r>
        <w:rPr>
          <w:sz w:val="20"/>
          <w:szCs w:val="20"/>
          <w:color w:val="auto"/>
        </w:rPr>
        <w:tab/>
      </w:r>
      <w:hyperlink r:id="rId288">
        <w:r>
          <w:rPr>
            <w:rFonts w:ascii="Arial" w:cs="Arial" w:eastAsia="Arial" w:hAnsi="Arial"/>
            <w:sz w:val="18"/>
            <w:szCs w:val="18"/>
            <w:u w:val="single" w:color="auto"/>
            <w:color w:val="0000FF"/>
          </w:rPr>
          <w:t>Supplemental Agreement No. 6, dated as of November 15, 2016, to Purchase Agreement No. 03735 dated as of February 1, 2013,</w:t>
        </w:r>
      </w:hyperlink>
      <w:r>
        <w:rPr>
          <w:rFonts w:ascii="Arial" w:cs="Arial" w:eastAsia="Arial" w:hAnsi="Arial"/>
          <w:sz w:val="18"/>
          <w:szCs w:val="18"/>
          <w:u w:val="single" w:color="auto"/>
          <w:color w:val="0000FF"/>
        </w:rPr>
        <w:t xml:space="preserve"> </w:t>
      </w:r>
      <w:hyperlink r:id="rId288">
        <w:r>
          <w:rPr>
            <w:rFonts w:ascii="Arial" w:cs="Arial" w:eastAsia="Arial" w:hAnsi="Arial"/>
            <w:sz w:val="18"/>
            <w:szCs w:val="18"/>
            <w:u w:val="single" w:color="auto"/>
            <w:color w:val="0000FF"/>
          </w:rPr>
          <w:t>between American Airlines, Inc. and The Boeing Company (incorporated by reference to Exhibit 10.33 to AAG’s Annual Report on</w:t>
        </w:r>
      </w:hyperlink>
      <w:r>
        <w:rPr>
          <w:rFonts w:ascii="Arial" w:cs="Arial" w:eastAsia="Arial" w:hAnsi="Arial"/>
          <w:sz w:val="18"/>
          <w:szCs w:val="18"/>
          <w:u w:val="single" w:color="auto"/>
          <w:color w:val="0000FF"/>
        </w:rPr>
        <w:t xml:space="preserve"> </w:t>
      </w:r>
      <w:hyperlink r:id="rId288">
        <w:r>
          <w:rPr>
            <w:rFonts w:ascii="Arial" w:cs="Arial" w:eastAsia="Arial" w:hAnsi="Arial"/>
            <w:sz w:val="18"/>
            <w:szCs w:val="18"/>
            <w:u w:val="single" w:color="auto"/>
            <w:color w:val="0000FF"/>
          </w:rPr>
          <w:t>Form 10-K for the year ended December 31, 2016 (Commission File No. 1-8400)).</w:t>
        </w:r>
        <w:r>
          <w:rPr>
            <w:rFonts w:ascii="Arial" w:cs="Arial" w:eastAsia="Arial" w:hAnsi="Arial"/>
            <w:sz w:val="18"/>
            <w:szCs w:val="18"/>
            <w:color w:val="000000"/>
          </w:rPr>
          <w:t>*</w:t>
        </w:r>
      </w:hyperlink>
    </w:p>
    <w:p>
      <w:pPr>
        <w:spacing w:after="0" w:line="41" w:lineRule="exact"/>
        <w:rPr>
          <w:rFonts w:ascii="Arial" w:cs="Arial" w:eastAsia="Arial" w:hAnsi="Arial"/>
          <w:sz w:val="18"/>
          <w:szCs w:val="18"/>
          <w:u w:val="single" w:color="auto"/>
          <w:color w:val="0000FF"/>
        </w:rPr>
      </w:pPr>
    </w:p>
    <w:p>
      <w:pPr>
        <w:jc w:val="both"/>
        <w:ind w:left="920" w:right="20" w:hanging="917"/>
        <w:spacing w:after="0"/>
        <w:tabs>
          <w:tab w:leader="none" w:pos="900" w:val="left"/>
        </w:tabs>
        <w:rPr>
          <w:rFonts w:ascii="Arial" w:cs="Arial" w:eastAsia="Arial" w:hAnsi="Arial"/>
          <w:sz w:val="18"/>
          <w:szCs w:val="18"/>
          <w:color w:val="0000FF"/>
        </w:rPr>
      </w:pPr>
      <w:r>
        <w:rPr>
          <w:rFonts w:ascii="Arial" w:cs="Arial" w:eastAsia="Arial" w:hAnsi="Arial"/>
          <w:sz w:val="18"/>
          <w:szCs w:val="18"/>
          <w:color w:val="auto"/>
        </w:rPr>
        <w:t>10.57</w:t>
      </w:r>
      <w:r>
        <w:rPr>
          <w:sz w:val="20"/>
          <w:szCs w:val="20"/>
          <w:color w:val="auto"/>
        </w:rPr>
        <w:tab/>
      </w:r>
      <w:hyperlink r:id="rId289">
        <w:r>
          <w:rPr>
            <w:rFonts w:ascii="Arial" w:cs="Arial" w:eastAsia="Arial" w:hAnsi="Arial"/>
            <w:sz w:val="18"/>
            <w:szCs w:val="18"/>
            <w:u w:val="single" w:color="auto"/>
            <w:color w:val="0000FF"/>
          </w:rPr>
          <w:t>Supplemental Agreement No. 7, dated as of March 2, 2017, to Purchase Agreement No. 03735 dated as of February 1, 2013,</w:t>
        </w:r>
      </w:hyperlink>
      <w:r>
        <w:rPr>
          <w:rFonts w:ascii="Arial" w:cs="Arial" w:eastAsia="Arial" w:hAnsi="Arial"/>
          <w:sz w:val="18"/>
          <w:szCs w:val="18"/>
          <w:u w:val="single" w:color="auto"/>
          <w:color w:val="0000FF"/>
        </w:rPr>
        <w:t xml:space="preserve"> </w:t>
      </w:r>
      <w:hyperlink r:id="rId289">
        <w:r>
          <w:rPr>
            <w:rFonts w:ascii="Arial" w:cs="Arial" w:eastAsia="Arial" w:hAnsi="Arial"/>
            <w:sz w:val="18"/>
            <w:szCs w:val="18"/>
            <w:u w:val="single" w:color="auto"/>
            <w:color w:val="0000FF"/>
          </w:rPr>
          <w:t>between American Airlines, Inc. and The Boeing Company (incorporated by reference to Exhibit 10.1 to AAG’s Quarterly Report on</w:t>
        </w:r>
      </w:hyperlink>
      <w:r>
        <w:rPr>
          <w:rFonts w:ascii="Arial" w:cs="Arial" w:eastAsia="Arial" w:hAnsi="Arial"/>
          <w:sz w:val="18"/>
          <w:szCs w:val="18"/>
          <w:u w:val="single" w:color="auto"/>
          <w:color w:val="0000FF"/>
        </w:rPr>
        <w:t xml:space="preserve"> </w:t>
      </w:r>
      <w:hyperlink r:id="rId289">
        <w:r>
          <w:rPr>
            <w:rFonts w:ascii="Arial" w:cs="Arial" w:eastAsia="Arial" w:hAnsi="Arial"/>
            <w:sz w:val="18"/>
            <w:szCs w:val="18"/>
            <w:u w:val="single" w:color="auto"/>
            <w:color w:val="0000FF"/>
          </w:rPr>
          <w:t>Form 10-Q for the quarter ended March 31, 2017 (Commission File No. 1-8400)).</w:t>
        </w:r>
        <w:r>
          <w:rPr>
            <w:rFonts w:ascii="Arial" w:cs="Arial" w:eastAsia="Arial" w:hAnsi="Arial"/>
            <w:sz w:val="18"/>
            <w:szCs w:val="18"/>
            <w:color w:val="000000"/>
          </w:rPr>
          <w:t>*</w:t>
        </w:r>
      </w:hyperlink>
    </w:p>
    <w:p>
      <w:pPr>
        <w:spacing w:after="0" w:line="41" w:lineRule="exact"/>
        <w:rPr>
          <w:rFonts w:ascii="Arial" w:cs="Arial" w:eastAsia="Arial" w:hAnsi="Arial"/>
          <w:sz w:val="18"/>
          <w:szCs w:val="18"/>
          <w:u w:val="single" w:color="auto"/>
          <w:color w:val="0000FF"/>
        </w:rPr>
      </w:pPr>
    </w:p>
    <w:p>
      <w:pPr>
        <w:jc w:val="both"/>
        <w:ind w:left="920" w:hanging="917"/>
        <w:spacing w:after="0"/>
        <w:tabs>
          <w:tab w:leader="none" w:pos="900" w:val="left"/>
        </w:tabs>
        <w:rPr>
          <w:rFonts w:ascii="Arial" w:cs="Arial" w:eastAsia="Arial" w:hAnsi="Arial"/>
          <w:sz w:val="18"/>
          <w:szCs w:val="18"/>
          <w:color w:val="0000FF"/>
        </w:rPr>
      </w:pPr>
      <w:r>
        <w:rPr>
          <w:rFonts w:ascii="Arial" w:cs="Arial" w:eastAsia="Arial" w:hAnsi="Arial"/>
          <w:sz w:val="18"/>
          <w:szCs w:val="18"/>
          <w:color w:val="auto"/>
        </w:rPr>
        <w:t>10.58</w:t>
      </w:r>
      <w:r>
        <w:rPr>
          <w:sz w:val="20"/>
          <w:szCs w:val="20"/>
          <w:color w:val="auto"/>
        </w:rPr>
        <w:tab/>
      </w:r>
      <w:hyperlink r:id="rId290">
        <w:r>
          <w:rPr>
            <w:rFonts w:ascii="Arial" w:cs="Arial" w:eastAsia="Arial" w:hAnsi="Arial"/>
            <w:sz w:val="18"/>
            <w:szCs w:val="18"/>
            <w:u w:val="single" w:color="auto"/>
            <w:color w:val="0000FF"/>
          </w:rPr>
          <w:t>Supplemental Agreement No. 8, dated as of December 7, 2017, to Purchase Agreement No. 03735 dated as of February 1, 2013,</w:t>
        </w:r>
      </w:hyperlink>
      <w:r>
        <w:rPr>
          <w:rFonts w:ascii="Arial" w:cs="Arial" w:eastAsia="Arial" w:hAnsi="Arial"/>
          <w:sz w:val="18"/>
          <w:szCs w:val="18"/>
          <w:u w:val="single" w:color="auto"/>
          <w:color w:val="0000FF"/>
        </w:rPr>
        <w:t xml:space="preserve"> </w:t>
      </w:r>
      <w:hyperlink r:id="rId290">
        <w:r>
          <w:rPr>
            <w:rFonts w:ascii="Arial" w:cs="Arial" w:eastAsia="Arial" w:hAnsi="Arial"/>
            <w:sz w:val="18"/>
            <w:szCs w:val="18"/>
            <w:u w:val="single" w:color="auto"/>
            <w:color w:val="0000FF"/>
          </w:rPr>
          <w:t>between American Airlines, Inc. and The Boeing Company (incorporated by reference to Exhibit 10.45 to AAG’s Annual Report on</w:t>
        </w:r>
      </w:hyperlink>
      <w:r>
        <w:rPr>
          <w:rFonts w:ascii="Arial" w:cs="Arial" w:eastAsia="Arial" w:hAnsi="Arial"/>
          <w:sz w:val="18"/>
          <w:szCs w:val="18"/>
          <w:u w:val="single" w:color="auto"/>
          <w:color w:val="0000FF"/>
        </w:rPr>
        <w:t xml:space="preserve"> </w:t>
      </w:r>
      <w:hyperlink r:id="rId290">
        <w:r>
          <w:rPr>
            <w:rFonts w:ascii="Arial" w:cs="Arial" w:eastAsia="Arial" w:hAnsi="Arial"/>
            <w:sz w:val="18"/>
            <w:szCs w:val="18"/>
            <w:u w:val="single" w:color="auto"/>
            <w:color w:val="0000FF"/>
          </w:rPr>
          <w:t>Form 10-K for the year ended December 31, 2017 (Commission File No. 1-8400)).</w:t>
        </w:r>
        <w:r>
          <w:rPr>
            <w:rFonts w:ascii="Arial" w:cs="Arial" w:eastAsia="Arial" w:hAnsi="Arial"/>
            <w:sz w:val="18"/>
            <w:szCs w:val="18"/>
            <w:color w:val="000000"/>
          </w:rPr>
          <w:t>*</w:t>
        </w:r>
      </w:hyperlink>
    </w:p>
    <w:p>
      <w:pPr>
        <w:spacing w:after="0" w:line="41" w:lineRule="exact"/>
        <w:rPr>
          <w:rFonts w:ascii="Arial" w:cs="Arial" w:eastAsia="Arial" w:hAnsi="Arial"/>
          <w:sz w:val="18"/>
          <w:szCs w:val="18"/>
          <w:u w:val="single" w:color="auto"/>
          <w:color w:val="0000FF"/>
        </w:rPr>
      </w:pPr>
    </w:p>
    <w:p>
      <w:pPr>
        <w:jc w:val="both"/>
        <w:ind w:left="920" w:hanging="917"/>
        <w:spacing w:after="0"/>
        <w:tabs>
          <w:tab w:leader="none" w:pos="900" w:val="left"/>
        </w:tabs>
        <w:rPr>
          <w:rFonts w:ascii="Arial" w:cs="Arial" w:eastAsia="Arial" w:hAnsi="Arial"/>
          <w:sz w:val="18"/>
          <w:szCs w:val="18"/>
          <w:color w:val="0000FF"/>
        </w:rPr>
      </w:pPr>
      <w:r>
        <w:rPr>
          <w:rFonts w:ascii="Arial" w:cs="Arial" w:eastAsia="Arial" w:hAnsi="Arial"/>
          <w:sz w:val="18"/>
          <w:szCs w:val="18"/>
          <w:color w:val="auto"/>
        </w:rPr>
        <w:t>10.59</w:t>
      </w:r>
      <w:r>
        <w:rPr>
          <w:sz w:val="20"/>
          <w:szCs w:val="20"/>
          <w:color w:val="auto"/>
        </w:rPr>
        <w:tab/>
      </w:r>
      <w:hyperlink r:id="rId291">
        <w:r>
          <w:rPr>
            <w:rFonts w:ascii="Arial" w:cs="Arial" w:eastAsia="Arial" w:hAnsi="Arial"/>
            <w:sz w:val="18"/>
            <w:szCs w:val="18"/>
            <w:u w:val="single" w:color="auto"/>
            <w:color w:val="0000FF"/>
          </w:rPr>
          <w:t>Supplemental Agreement No. 9, dated as of April 6, 2018, to Purchase Agreement No. 03735 dated as of February 1, 2013, by and</w:t>
        </w:r>
      </w:hyperlink>
      <w:r>
        <w:rPr>
          <w:rFonts w:ascii="Arial" w:cs="Arial" w:eastAsia="Arial" w:hAnsi="Arial"/>
          <w:sz w:val="18"/>
          <w:szCs w:val="18"/>
          <w:u w:val="single" w:color="auto"/>
          <w:color w:val="0000FF"/>
        </w:rPr>
        <w:t xml:space="preserve"> </w:t>
      </w:r>
      <w:hyperlink r:id="rId291">
        <w:r>
          <w:rPr>
            <w:rFonts w:ascii="Arial" w:cs="Arial" w:eastAsia="Arial" w:hAnsi="Arial"/>
            <w:sz w:val="18"/>
            <w:szCs w:val="18"/>
            <w:u w:val="single" w:color="auto"/>
            <w:color w:val="0000FF"/>
          </w:rPr>
          <w:t>between American Airlines, Inc. and The Boeing Company (incorporated by reference to Exhibit 10.2 to AAG’s Quarterly Report on</w:t>
        </w:r>
      </w:hyperlink>
      <w:r>
        <w:rPr>
          <w:rFonts w:ascii="Arial" w:cs="Arial" w:eastAsia="Arial" w:hAnsi="Arial"/>
          <w:sz w:val="18"/>
          <w:szCs w:val="18"/>
          <w:u w:val="single" w:color="auto"/>
          <w:color w:val="0000FF"/>
        </w:rPr>
        <w:t xml:space="preserve"> </w:t>
      </w:r>
      <w:hyperlink r:id="rId291">
        <w:r>
          <w:rPr>
            <w:rFonts w:ascii="Arial" w:cs="Arial" w:eastAsia="Arial" w:hAnsi="Arial"/>
            <w:sz w:val="18"/>
            <w:szCs w:val="18"/>
            <w:u w:val="single" w:color="auto"/>
            <w:color w:val="0000FF"/>
          </w:rPr>
          <w:t>Form 10-Q for the quarter ended June 30, 2018 (Commission File No. 1-8400)).</w:t>
        </w:r>
        <w:r>
          <w:rPr>
            <w:rFonts w:ascii="Arial" w:cs="Arial" w:eastAsia="Arial" w:hAnsi="Arial"/>
            <w:sz w:val="18"/>
            <w:szCs w:val="18"/>
            <w:color w:val="000000"/>
          </w:rPr>
          <w:t>*</w:t>
        </w:r>
      </w:hyperlink>
    </w:p>
    <w:p>
      <w:pPr>
        <w:spacing w:after="0" w:line="41" w:lineRule="exact"/>
        <w:rPr>
          <w:rFonts w:ascii="Arial" w:cs="Arial" w:eastAsia="Arial" w:hAnsi="Arial"/>
          <w:sz w:val="18"/>
          <w:szCs w:val="18"/>
          <w:u w:val="single" w:color="auto"/>
          <w:color w:val="0000FF"/>
        </w:rPr>
      </w:pPr>
    </w:p>
    <w:p>
      <w:pPr>
        <w:jc w:val="both"/>
        <w:ind w:left="920" w:hanging="917"/>
        <w:spacing w:after="0"/>
        <w:tabs>
          <w:tab w:leader="none" w:pos="900" w:val="left"/>
        </w:tabs>
        <w:rPr>
          <w:rFonts w:ascii="Arial" w:cs="Arial" w:eastAsia="Arial" w:hAnsi="Arial"/>
          <w:sz w:val="18"/>
          <w:szCs w:val="18"/>
          <w:u w:val="single" w:color="auto"/>
          <w:color w:val="0000FF"/>
        </w:rPr>
      </w:pPr>
      <w:r>
        <w:rPr>
          <w:rFonts w:ascii="Arial" w:cs="Arial" w:eastAsia="Arial" w:hAnsi="Arial"/>
          <w:sz w:val="18"/>
          <w:szCs w:val="18"/>
          <w:color w:val="auto"/>
        </w:rPr>
        <w:t>10.60</w:t>
      </w:r>
      <w:r>
        <w:rPr>
          <w:sz w:val="20"/>
          <w:szCs w:val="20"/>
          <w:color w:val="auto"/>
        </w:rPr>
        <w:tab/>
      </w:r>
      <w:hyperlink r:id="rId292">
        <w:r>
          <w:rPr>
            <w:rFonts w:ascii="Arial" w:cs="Arial" w:eastAsia="Arial" w:hAnsi="Arial"/>
            <w:sz w:val="18"/>
            <w:szCs w:val="18"/>
            <w:u w:val="single" w:color="auto"/>
            <w:color w:val="0000FF"/>
          </w:rPr>
          <w:t>Supplemental Agreement No. 10, dated as of March 26, 2019, to Purchase Agreement No. 03735 dated as of February 1, 2013, by</w:t>
        </w:r>
      </w:hyperlink>
      <w:r>
        <w:rPr>
          <w:rFonts w:ascii="Arial" w:cs="Arial" w:eastAsia="Arial" w:hAnsi="Arial"/>
          <w:sz w:val="18"/>
          <w:szCs w:val="18"/>
          <w:u w:val="single" w:color="auto"/>
          <w:color w:val="0000FF"/>
        </w:rPr>
        <w:t xml:space="preserve"> </w:t>
      </w:r>
      <w:hyperlink r:id="rId292">
        <w:r>
          <w:rPr>
            <w:rFonts w:ascii="Arial" w:cs="Arial" w:eastAsia="Arial" w:hAnsi="Arial"/>
            <w:sz w:val="18"/>
            <w:szCs w:val="18"/>
            <w:u w:val="single" w:color="auto"/>
            <w:color w:val="0000FF"/>
          </w:rPr>
          <w:t>and between American Airlines, Inc. and The Boeing Company (incorporated by reference to Exhibit 10.1 to AAG’s Quarterly</w:t>
        </w:r>
      </w:hyperlink>
      <w:r>
        <w:rPr>
          <w:rFonts w:ascii="Arial" w:cs="Arial" w:eastAsia="Arial" w:hAnsi="Arial"/>
          <w:sz w:val="18"/>
          <w:szCs w:val="18"/>
          <w:u w:val="single" w:color="auto"/>
          <w:color w:val="0000FF"/>
        </w:rPr>
        <w:t xml:space="preserve"> </w:t>
      </w:r>
      <w:hyperlink r:id="rId292">
        <w:r>
          <w:rPr>
            <w:rFonts w:ascii="Arial" w:cs="Arial" w:eastAsia="Arial" w:hAnsi="Arial"/>
            <w:sz w:val="18"/>
            <w:szCs w:val="18"/>
            <w:u w:val="single" w:color="auto"/>
            <w:color w:val="0000FF"/>
          </w:rPr>
          <w:t>Report on Form 10-Q for the quarter ended March 31, 2019 (Commission File No. 1-8400)).**</w:t>
        </w:r>
      </w:hyperlink>
    </w:p>
    <w:p>
      <w:pPr>
        <w:spacing w:after="0" w:line="41" w:lineRule="exact"/>
        <w:rPr>
          <w:rFonts w:ascii="Arial" w:cs="Arial" w:eastAsia="Arial" w:hAnsi="Arial"/>
          <w:sz w:val="18"/>
          <w:szCs w:val="18"/>
          <w:u w:val="single" w:color="auto"/>
          <w:color w:val="0000FF"/>
        </w:rPr>
      </w:pPr>
    </w:p>
    <w:p>
      <w:pPr>
        <w:jc w:val="both"/>
        <w:ind w:left="920" w:right="20" w:hanging="917"/>
        <w:spacing w:after="0"/>
        <w:tabs>
          <w:tab w:leader="none" w:pos="900" w:val="left"/>
        </w:tabs>
        <w:rPr>
          <w:rFonts w:ascii="Arial" w:cs="Arial" w:eastAsia="Arial" w:hAnsi="Arial"/>
          <w:sz w:val="18"/>
          <w:szCs w:val="18"/>
          <w:color w:val="0000FF"/>
        </w:rPr>
      </w:pPr>
      <w:r>
        <w:rPr>
          <w:rFonts w:ascii="Arial" w:cs="Arial" w:eastAsia="Arial" w:hAnsi="Arial"/>
          <w:sz w:val="18"/>
          <w:szCs w:val="18"/>
          <w:color w:val="auto"/>
        </w:rPr>
        <w:t>10.61</w:t>
      </w:r>
      <w:r>
        <w:rPr>
          <w:sz w:val="20"/>
          <w:szCs w:val="20"/>
          <w:color w:val="auto"/>
        </w:rPr>
        <w:tab/>
      </w:r>
      <w:hyperlink r:id="rId293">
        <w:r>
          <w:rPr>
            <w:rFonts w:ascii="Arial" w:cs="Arial" w:eastAsia="Arial" w:hAnsi="Arial"/>
            <w:sz w:val="18"/>
            <w:szCs w:val="18"/>
            <w:u w:val="single" w:color="auto"/>
            <w:color w:val="0000FF"/>
          </w:rPr>
          <w:t>Consent Agreement, dated as of October 5, 2015, between American Airlines, Inc. (as successor in interest to US Airways, Inc.),</w:t>
        </w:r>
      </w:hyperlink>
      <w:r>
        <w:rPr>
          <w:rFonts w:ascii="Arial" w:cs="Arial" w:eastAsia="Arial" w:hAnsi="Arial"/>
          <w:sz w:val="18"/>
          <w:szCs w:val="18"/>
          <w:u w:val="single" w:color="auto"/>
          <w:color w:val="0000FF"/>
        </w:rPr>
        <w:t xml:space="preserve"> </w:t>
      </w:r>
      <w:hyperlink r:id="rId293">
        <w:r>
          <w:rPr>
            <w:rFonts w:ascii="Arial" w:cs="Arial" w:eastAsia="Arial" w:hAnsi="Arial"/>
            <w:sz w:val="18"/>
            <w:szCs w:val="18"/>
            <w:u w:val="single" w:color="auto"/>
            <w:color w:val="0000FF"/>
          </w:rPr>
          <w:t>American Airlines, Inc. and Airbus S.A.S. (incorporated by reference to Exhibit 10.98 to AAG’s Annual Report on Form 10-K for the</w:t>
        </w:r>
      </w:hyperlink>
      <w:r>
        <w:rPr>
          <w:rFonts w:ascii="Arial" w:cs="Arial" w:eastAsia="Arial" w:hAnsi="Arial"/>
          <w:sz w:val="18"/>
          <w:szCs w:val="18"/>
          <w:u w:val="single" w:color="auto"/>
          <w:color w:val="0000FF"/>
        </w:rPr>
        <w:t xml:space="preserve"> </w:t>
      </w:r>
      <w:hyperlink r:id="rId293">
        <w:r>
          <w:rPr>
            <w:rFonts w:ascii="Arial" w:cs="Arial" w:eastAsia="Arial" w:hAnsi="Arial"/>
            <w:sz w:val="18"/>
            <w:szCs w:val="18"/>
            <w:u w:val="single" w:color="auto"/>
            <w:color w:val="0000FF"/>
          </w:rPr>
          <w:t>year ended December 31, 2015 (Commission File No. 1-8400)).</w:t>
        </w:r>
        <w:r>
          <w:rPr>
            <w:rFonts w:ascii="Arial" w:cs="Arial" w:eastAsia="Arial" w:hAnsi="Arial"/>
            <w:sz w:val="18"/>
            <w:szCs w:val="18"/>
            <w:color w:val="000000"/>
          </w:rPr>
          <w:t>*</w:t>
        </w:r>
      </w:hyperlink>
    </w:p>
    <w:p>
      <w:pPr>
        <w:spacing w:after="0" w:line="41" w:lineRule="exact"/>
        <w:rPr>
          <w:rFonts w:ascii="Arial" w:cs="Arial" w:eastAsia="Arial" w:hAnsi="Arial"/>
          <w:sz w:val="18"/>
          <w:szCs w:val="18"/>
          <w:u w:val="single" w:color="auto"/>
          <w:color w:val="0000FF"/>
        </w:rPr>
      </w:pPr>
    </w:p>
    <w:p>
      <w:pPr>
        <w:jc w:val="both"/>
        <w:ind w:left="920" w:hanging="917"/>
        <w:spacing w:after="0"/>
        <w:tabs>
          <w:tab w:leader="none" w:pos="900" w:val="left"/>
        </w:tabs>
        <w:rPr>
          <w:rFonts w:ascii="Arial" w:cs="Arial" w:eastAsia="Arial" w:hAnsi="Arial"/>
          <w:sz w:val="18"/>
          <w:szCs w:val="18"/>
          <w:color w:val="0000FF"/>
        </w:rPr>
      </w:pPr>
      <w:r>
        <w:rPr>
          <w:rFonts w:ascii="Arial" w:cs="Arial" w:eastAsia="Arial" w:hAnsi="Arial"/>
          <w:sz w:val="18"/>
          <w:szCs w:val="18"/>
          <w:color w:val="auto"/>
        </w:rPr>
        <w:t>10.62</w:t>
      </w:r>
      <w:r>
        <w:rPr>
          <w:sz w:val="20"/>
          <w:szCs w:val="20"/>
          <w:color w:val="auto"/>
        </w:rPr>
        <w:tab/>
      </w:r>
      <w:hyperlink r:id="rId294">
        <w:r>
          <w:rPr>
            <w:rFonts w:ascii="Arial" w:cs="Arial" w:eastAsia="Arial" w:hAnsi="Arial"/>
            <w:sz w:val="18"/>
            <w:szCs w:val="18"/>
            <w:u w:val="single" w:color="auto"/>
            <w:color w:val="0000FF"/>
          </w:rPr>
          <w:t>Supplemental Executive Retirement Program for Officers of American Airlines, Inc., as amended and restated as of January 1,</w:t>
        </w:r>
      </w:hyperlink>
      <w:r>
        <w:rPr>
          <w:rFonts w:ascii="Arial" w:cs="Arial" w:eastAsia="Arial" w:hAnsi="Arial"/>
          <w:sz w:val="18"/>
          <w:szCs w:val="18"/>
          <w:u w:val="single" w:color="auto"/>
          <w:color w:val="0000FF"/>
        </w:rPr>
        <w:t xml:space="preserve"> </w:t>
      </w:r>
      <w:hyperlink r:id="rId294">
        <w:r>
          <w:rPr>
            <w:rFonts w:ascii="Arial" w:cs="Arial" w:eastAsia="Arial" w:hAnsi="Arial"/>
            <w:sz w:val="18"/>
            <w:szCs w:val="18"/>
            <w:u w:val="single" w:color="auto"/>
            <w:color w:val="0000FF"/>
          </w:rPr>
          <w:t>2005 (incorporated by reference to Exhibit 10.127 to AMR’s Annual Report on Form 10-K for the year ended December 31, 2008</w:t>
        </w:r>
      </w:hyperlink>
      <w:r>
        <w:rPr>
          <w:rFonts w:ascii="Arial" w:cs="Arial" w:eastAsia="Arial" w:hAnsi="Arial"/>
          <w:sz w:val="18"/>
          <w:szCs w:val="18"/>
          <w:u w:val="single" w:color="auto"/>
          <w:color w:val="0000FF"/>
        </w:rPr>
        <w:t xml:space="preserve"> </w:t>
      </w:r>
      <w:hyperlink r:id="rId294">
        <w:r>
          <w:rPr>
            <w:rFonts w:ascii="Arial" w:cs="Arial" w:eastAsia="Arial" w:hAnsi="Arial"/>
            <w:sz w:val="18"/>
            <w:szCs w:val="18"/>
            <w:u w:val="single" w:color="auto"/>
            <w:color w:val="0000FF"/>
          </w:rPr>
          <w:t>(Commission File No. 1-8400)).</w:t>
        </w:r>
        <w:r>
          <w:rPr>
            <w:rFonts w:ascii="Arial" w:cs="Arial" w:eastAsia="Arial" w:hAnsi="Arial"/>
            <w:sz w:val="18"/>
            <w:szCs w:val="18"/>
            <w:color w:val="000000"/>
          </w:rPr>
          <w:t>†</w:t>
        </w:r>
      </w:hyperlink>
    </w:p>
    <w:p>
      <w:pPr>
        <w:spacing w:after="0" w:line="41" w:lineRule="exact"/>
        <w:rPr>
          <w:rFonts w:ascii="Arial" w:cs="Arial" w:eastAsia="Arial" w:hAnsi="Arial"/>
          <w:sz w:val="18"/>
          <w:szCs w:val="18"/>
          <w:u w:val="single" w:color="auto"/>
          <w:color w:val="0000FF"/>
        </w:rPr>
      </w:pPr>
    </w:p>
    <w:p>
      <w:pPr>
        <w:jc w:val="both"/>
        <w:ind w:left="920" w:hanging="917"/>
        <w:spacing w:after="0"/>
        <w:tabs>
          <w:tab w:leader="none" w:pos="900" w:val="left"/>
        </w:tabs>
        <w:rPr>
          <w:rFonts w:ascii="Arial" w:cs="Arial" w:eastAsia="Arial" w:hAnsi="Arial"/>
          <w:sz w:val="18"/>
          <w:szCs w:val="18"/>
          <w:color w:val="0000FF"/>
        </w:rPr>
      </w:pPr>
      <w:r>
        <w:rPr>
          <w:rFonts w:ascii="Arial" w:cs="Arial" w:eastAsia="Arial" w:hAnsi="Arial"/>
          <w:sz w:val="18"/>
          <w:szCs w:val="18"/>
          <w:color w:val="auto"/>
        </w:rPr>
        <w:t>10.63</w:t>
      </w:r>
      <w:r>
        <w:rPr>
          <w:sz w:val="20"/>
          <w:szCs w:val="20"/>
          <w:color w:val="auto"/>
        </w:rPr>
        <w:tab/>
      </w:r>
      <w:hyperlink r:id="rId295">
        <w:r>
          <w:rPr>
            <w:rFonts w:ascii="Arial" w:cs="Arial" w:eastAsia="Arial" w:hAnsi="Arial"/>
            <w:sz w:val="18"/>
            <w:szCs w:val="18"/>
            <w:u w:val="single" w:color="auto"/>
            <w:color w:val="0000FF"/>
          </w:rPr>
          <w:t>Trust Agreement Under Supplemental Retirement Program for Officers of American Airlines, Inc., as amended and restated as of</w:t>
        </w:r>
      </w:hyperlink>
      <w:r>
        <w:rPr>
          <w:rFonts w:ascii="Arial" w:cs="Arial" w:eastAsia="Arial" w:hAnsi="Arial"/>
          <w:sz w:val="18"/>
          <w:szCs w:val="18"/>
          <w:u w:val="single" w:color="auto"/>
          <w:color w:val="0000FF"/>
        </w:rPr>
        <w:t xml:space="preserve"> </w:t>
      </w:r>
      <w:hyperlink r:id="rId295">
        <w:r>
          <w:rPr>
            <w:rFonts w:ascii="Arial" w:cs="Arial" w:eastAsia="Arial" w:hAnsi="Arial"/>
            <w:sz w:val="18"/>
            <w:szCs w:val="18"/>
            <w:u w:val="single" w:color="auto"/>
            <w:color w:val="0000FF"/>
          </w:rPr>
          <w:t>June 1, 2007 (incorporated by reference to Exhibit 10.128 to AMR’s Annual Report on Form 10-K for the year ended December 31,</w:t>
        </w:r>
      </w:hyperlink>
      <w:r>
        <w:rPr>
          <w:rFonts w:ascii="Arial" w:cs="Arial" w:eastAsia="Arial" w:hAnsi="Arial"/>
          <w:sz w:val="18"/>
          <w:szCs w:val="18"/>
          <w:u w:val="single" w:color="auto"/>
          <w:color w:val="0000FF"/>
        </w:rPr>
        <w:t xml:space="preserve"> </w:t>
      </w:r>
      <w:hyperlink r:id="rId295">
        <w:r>
          <w:rPr>
            <w:rFonts w:ascii="Arial" w:cs="Arial" w:eastAsia="Arial" w:hAnsi="Arial"/>
            <w:sz w:val="18"/>
            <w:szCs w:val="18"/>
            <w:u w:val="single" w:color="auto"/>
            <w:color w:val="0000FF"/>
          </w:rPr>
          <w:t>2008 (Commission File No. 1-8400)).</w:t>
        </w:r>
        <w:r>
          <w:rPr>
            <w:rFonts w:ascii="Arial" w:cs="Arial" w:eastAsia="Arial" w:hAnsi="Arial"/>
            <w:sz w:val="18"/>
            <w:szCs w:val="18"/>
            <w:color w:val="000000"/>
          </w:rPr>
          <w:t>†</w:t>
        </w:r>
      </w:hyperlink>
    </w:p>
    <w:p>
      <w:pPr>
        <w:spacing w:after="0" w:line="41" w:lineRule="exact"/>
        <w:rPr>
          <w:rFonts w:ascii="Arial" w:cs="Arial" w:eastAsia="Arial" w:hAnsi="Arial"/>
          <w:sz w:val="18"/>
          <w:szCs w:val="18"/>
          <w:u w:val="single" w:color="auto"/>
          <w:color w:val="0000FF"/>
        </w:rPr>
      </w:pPr>
    </w:p>
    <w:p>
      <w:pPr>
        <w:jc w:val="both"/>
        <w:ind w:left="920" w:right="20" w:hanging="917"/>
        <w:spacing w:after="0"/>
        <w:tabs>
          <w:tab w:leader="none" w:pos="900" w:val="left"/>
        </w:tabs>
        <w:rPr>
          <w:rFonts w:ascii="Arial" w:cs="Arial" w:eastAsia="Arial" w:hAnsi="Arial"/>
          <w:sz w:val="18"/>
          <w:szCs w:val="18"/>
          <w:color w:val="0000FF"/>
        </w:rPr>
      </w:pPr>
      <w:r>
        <w:rPr>
          <w:rFonts w:ascii="Arial" w:cs="Arial" w:eastAsia="Arial" w:hAnsi="Arial"/>
          <w:sz w:val="18"/>
          <w:szCs w:val="18"/>
          <w:color w:val="auto"/>
        </w:rPr>
        <w:t>10.64</w:t>
      </w:r>
      <w:r>
        <w:rPr>
          <w:sz w:val="20"/>
          <w:szCs w:val="20"/>
          <w:color w:val="auto"/>
        </w:rPr>
        <w:tab/>
      </w:r>
      <w:hyperlink r:id="rId296">
        <w:r>
          <w:rPr>
            <w:rFonts w:ascii="Arial" w:cs="Arial" w:eastAsia="Arial" w:hAnsi="Arial"/>
            <w:sz w:val="18"/>
            <w:szCs w:val="18"/>
            <w:u w:val="single" w:color="auto"/>
            <w:color w:val="0000FF"/>
          </w:rPr>
          <w:t>Trust Agreement Under Supplemental Executive Retirement Program for Officers of American Airlines, Inc. Participating in the</w:t>
        </w:r>
      </w:hyperlink>
      <w:r>
        <w:rPr>
          <w:rFonts w:ascii="Arial" w:cs="Arial" w:eastAsia="Arial" w:hAnsi="Arial"/>
          <w:sz w:val="18"/>
          <w:szCs w:val="18"/>
          <w:u w:val="single" w:color="auto"/>
          <w:color w:val="0000FF"/>
        </w:rPr>
        <w:t xml:space="preserve"> </w:t>
      </w:r>
      <w:hyperlink r:id="rId296">
        <w:r>
          <w:rPr>
            <w:rFonts w:ascii="Arial" w:cs="Arial" w:eastAsia="Arial" w:hAnsi="Arial"/>
            <w:sz w:val="18"/>
            <w:szCs w:val="18"/>
            <w:u w:val="single" w:color="auto"/>
            <w:color w:val="0000FF"/>
          </w:rPr>
          <w:t>Super Saver Plus Plan, as amended and restated as of June 1, 2007 (incorporated by reference to Exhibit 10.129 to AMR’s Annual</w:t>
        </w:r>
      </w:hyperlink>
      <w:r>
        <w:rPr>
          <w:rFonts w:ascii="Arial" w:cs="Arial" w:eastAsia="Arial" w:hAnsi="Arial"/>
          <w:sz w:val="18"/>
          <w:szCs w:val="18"/>
          <w:u w:val="single" w:color="auto"/>
          <w:color w:val="0000FF"/>
        </w:rPr>
        <w:t xml:space="preserve"> </w:t>
      </w:r>
      <w:hyperlink r:id="rId296">
        <w:r>
          <w:rPr>
            <w:rFonts w:ascii="Arial" w:cs="Arial" w:eastAsia="Arial" w:hAnsi="Arial"/>
            <w:sz w:val="18"/>
            <w:szCs w:val="18"/>
            <w:u w:val="single" w:color="auto"/>
            <w:color w:val="0000FF"/>
          </w:rPr>
          <w:t>Report on Form 10-K for the year ended December 31, 2008 (Commission File No. 1-8400)).</w:t>
        </w:r>
        <w:r>
          <w:rPr>
            <w:rFonts w:ascii="Arial" w:cs="Arial" w:eastAsia="Arial" w:hAnsi="Arial"/>
            <w:sz w:val="18"/>
            <w:szCs w:val="18"/>
            <w:color w:val="000000"/>
          </w:rPr>
          <w:t>†</w:t>
        </w:r>
      </w:hyperlink>
    </w:p>
    <w:p>
      <w:pPr>
        <w:spacing w:after="0" w:line="41" w:lineRule="exact"/>
        <w:rPr>
          <w:rFonts w:ascii="Arial" w:cs="Arial" w:eastAsia="Arial" w:hAnsi="Arial"/>
          <w:sz w:val="18"/>
          <w:szCs w:val="18"/>
          <w:u w:val="single" w:color="auto"/>
          <w:color w:val="0000FF"/>
        </w:rPr>
      </w:pPr>
    </w:p>
    <w:p>
      <w:pPr>
        <w:jc w:val="both"/>
        <w:ind w:left="920" w:right="20" w:hanging="917"/>
        <w:spacing w:after="0" w:line="246" w:lineRule="auto"/>
        <w:tabs>
          <w:tab w:leader="none" w:pos="900" w:val="left"/>
        </w:tabs>
        <w:rPr>
          <w:rFonts w:ascii="Arial" w:cs="Arial" w:eastAsia="Arial" w:hAnsi="Arial"/>
          <w:sz w:val="18"/>
          <w:szCs w:val="18"/>
          <w:color w:val="0000FF"/>
        </w:rPr>
      </w:pPr>
      <w:r>
        <w:rPr>
          <w:rFonts w:ascii="Arial" w:cs="Arial" w:eastAsia="Arial" w:hAnsi="Arial"/>
          <w:sz w:val="18"/>
          <w:szCs w:val="18"/>
          <w:color w:val="auto"/>
        </w:rPr>
        <w:t>10.65</w:t>
      </w:r>
      <w:r>
        <w:rPr>
          <w:sz w:val="20"/>
          <w:szCs w:val="20"/>
          <w:color w:val="auto"/>
        </w:rPr>
        <w:tab/>
      </w:r>
      <w:hyperlink r:id="rId297">
        <w:r>
          <w:rPr>
            <w:rFonts w:ascii="Arial" w:cs="Arial" w:eastAsia="Arial" w:hAnsi="Arial"/>
            <w:sz w:val="18"/>
            <w:szCs w:val="18"/>
            <w:u w:val="single" w:color="auto"/>
            <w:color w:val="0000FF"/>
          </w:rPr>
          <w:t>American Airlines Group Inc. 2013 Incentive Award Plan (incorporated by reference to Exhibit 4.1 of AAG’s Form S-8 Registration</w:t>
        </w:r>
      </w:hyperlink>
      <w:r>
        <w:rPr>
          <w:rFonts w:ascii="Arial" w:cs="Arial" w:eastAsia="Arial" w:hAnsi="Arial"/>
          <w:sz w:val="18"/>
          <w:szCs w:val="18"/>
          <w:u w:val="single" w:color="auto"/>
          <w:color w:val="0000FF"/>
        </w:rPr>
        <w:t xml:space="preserve"> </w:t>
      </w:r>
      <w:hyperlink r:id="rId297">
        <w:r>
          <w:rPr>
            <w:rFonts w:ascii="Arial" w:cs="Arial" w:eastAsia="Arial" w:hAnsi="Arial"/>
            <w:sz w:val="18"/>
            <w:szCs w:val="18"/>
            <w:u w:val="single" w:color="auto"/>
            <w:color w:val="0000FF"/>
          </w:rPr>
          <w:t>Statement, filed on December 4, 2013 (Registration No. 333-192660)).</w:t>
        </w:r>
        <w:r>
          <w:rPr>
            <w:rFonts w:ascii="Arial" w:cs="Arial" w:eastAsia="Arial" w:hAnsi="Arial"/>
            <w:sz w:val="18"/>
            <w:szCs w:val="18"/>
            <w:color w:val="000000"/>
          </w:rPr>
          <w:t>†</w:t>
        </w:r>
      </w:hyperlink>
    </w:p>
    <w:p>
      <w:pPr>
        <w:spacing w:after="0" w:line="22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181</w:t>
      </w:r>
    </w:p>
    <w:p>
      <w:pPr>
        <w:sectPr>
          <w:pgSz w:w="11900" w:h="16838" w:orient="portrait"/>
          <w:cols w:equalWidth="0" w:num="1">
            <w:col w:w="11360"/>
          </w:cols>
          <w:pgMar w:left="280" w:top="721" w:right="259" w:bottom="1440" w:gutter="0" w:footer="0" w:header="0"/>
        </w:sectPr>
      </w:pPr>
    </w:p>
    <w:bookmarkStart w:id="181" w:name="page182"/>
    <w:bookmarkEnd w:id="181"/>
    <w:p>
      <w:pPr>
        <w:spacing w:after="0"/>
        <w:rPr>
          <w:sz w:val="20"/>
          <w:szCs w:val="20"/>
          <w:color w:val="auto"/>
        </w:rPr>
      </w:pPr>
      <w:r>
        <w:rPr>
          <w:rFonts w:ascii="Arial" w:cs="Arial" w:eastAsia="Arial" w:hAnsi="Arial"/>
          <w:sz w:val="14"/>
          <w:szCs w:val="14"/>
          <w:b w:val="1"/>
          <w:bCs w:val="1"/>
          <w:color w:val="auto"/>
        </w:rPr>
        <w:t>Exhibit</w:t>
      </w:r>
    </w:p>
    <w:p>
      <w:pPr>
        <w:spacing w:after="0" w:line="19" w:lineRule="exact"/>
        <w:rPr>
          <w:sz w:val="20"/>
          <w:szCs w:val="20"/>
          <w:color w:val="auto"/>
        </w:rPr>
      </w:pPr>
    </w:p>
    <w:p>
      <w:pPr>
        <w:spacing w:after="0"/>
        <w:tabs>
          <w:tab w:leader="none" w:pos="900" w:val="left"/>
        </w:tabs>
        <w:rPr>
          <w:sz w:val="20"/>
          <w:szCs w:val="20"/>
          <w:color w:val="auto"/>
        </w:rPr>
      </w:pPr>
      <w:r>
        <w:rPr>
          <w:rFonts w:ascii="Arial" w:cs="Arial" w:eastAsia="Arial" w:hAnsi="Arial"/>
          <w:sz w:val="14"/>
          <w:szCs w:val="14"/>
          <w:b w:val="1"/>
          <w:bCs w:val="1"/>
          <w:u w:val="single" w:color="auto"/>
          <w:color w:val="auto"/>
        </w:rPr>
        <w:t>Number</w:t>
      </w:r>
      <w:r>
        <w:rPr>
          <w:sz w:val="20"/>
          <w:szCs w:val="20"/>
          <w:color w:val="auto"/>
        </w:rPr>
        <w:tab/>
      </w:r>
      <w:r>
        <w:rPr>
          <w:rFonts w:ascii="Arial" w:cs="Arial" w:eastAsia="Arial" w:hAnsi="Arial"/>
          <w:sz w:val="14"/>
          <w:szCs w:val="14"/>
          <w:b w:val="1"/>
          <w:bCs w:val="1"/>
          <w:u w:val="single" w:color="auto"/>
          <w:color w:val="auto"/>
        </w:rPr>
        <w:t>Description</w:t>
      </w:r>
    </w:p>
    <w:p>
      <w:pPr>
        <w:spacing w:after="0" w:line="49" w:lineRule="exact"/>
        <w:rPr>
          <w:sz w:val="20"/>
          <w:szCs w:val="20"/>
          <w:color w:val="auto"/>
        </w:rPr>
      </w:pPr>
    </w:p>
    <w:p>
      <w:pPr>
        <w:jc w:val="both"/>
        <w:ind w:left="920" w:right="20" w:hanging="917"/>
        <w:spacing w:after="0" w:line="246" w:lineRule="auto"/>
        <w:tabs>
          <w:tab w:leader="none" w:pos="900" w:val="left"/>
        </w:tabs>
        <w:rPr>
          <w:rFonts w:ascii="Arial" w:cs="Arial" w:eastAsia="Arial" w:hAnsi="Arial"/>
          <w:sz w:val="18"/>
          <w:szCs w:val="18"/>
          <w:color w:val="0000FF"/>
        </w:rPr>
      </w:pPr>
      <w:r>
        <w:rPr>
          <w:rFonts w:ascii="Arial" w:cs="Arial" w:eastAsia="Arial" w:hAnsi="Arial"/>
          <w:sz w:val="18"/>
          <w:szCs w:val="18"/>
          <w:color w:val="auto"/>
        </w:rPr>
        <w:t>10.66</w:t>
      </w:r>
      <w:r>
        <w:rPr>
          <w:sz w:val="20"/>
          <w:szCs w:val="20"/>
          <w:color w:val="auto"/>
        </w:rPr>
        <w:tab/>
      </w:r>
      <w:hyperlink r:id="rId298">
        <w:r>
          <w:rPr>
            <w:rFonts w:ascii="Arial" w:cs="Arial" w:eastAsia="Arial" w:hAnsi="Arial"/>
            <w:sz w:val="18"/>
            <w:szCs w:val="18"/>
            <w:u w:val="single" w:color="auto"/>
            <w:color w:val="0000FF"/>
          </w:rPr>
          <w:t>First Amendment to the American Airlines Group Inc. 2013 Incentive Award Plan (incorporated by reference to Exhibit 10.64 to</w:t>
        </w:r>
      </w:hyperlink>
      <w:r>
        <w:rPr>
          <w:rFonts w:ascii="Arial" w:cs="Arial" w:eastAsia="Arial" w:hAnsi="Arial"/>
          <w:sz w:val="18"/>
          <w:szCs w:val="18"/>
          <w:u w:val="single" w:color="auto"/>
          <w:color w:val="0000FF"/>
        </w:rPr>
        <w:t xml:space="preserve"> </w:t>
      </w:r>
      <w:hyperlink r:id="rId298">
        <w:r>
          <w:rPr>
            <w:rFonts w:ascii="Arial" w:cs="Arial" w:eastAsia="Arial" w:hAnsi="Arial"/>
            <w:sz w:val="18"/>
            <w:szCs w:val="18"/>
            <w:u w:val="single" w:color="auto"/>
            <w:color w:val="0000FF"/>
          </w:rPr>
          <w:t>AAG’s Annual Report on Form 10-K for the year ended December 31, 2017 (Commission File No. 1-8400)).</w:t>
        </w:r>
        <w:r>
          <w:rPr>
            <w:rFonts w:ascii="Arial" w:cs="Arial" w:eastAsia="Arial" w:hAnsi="Arial"/>
            <w:sz w:val="18"/>
            <w:szCs w:val="18"/>
            <w:color w:val="000000"/>
          </w:rPr>
          <w:t>†</w:t>
        </w:r>
      </w:hyperlink>
    </w:p>
    <w:p>
      <w:pPr>
        <w:spacing w:after="0" w:line="35" w:lineRule="exact"/>
        <w:rPr>
          <w:sz w:val="20"/>
          <w:szCs w:val="20"/>
          <w:color w:val="auto"/>
        </w:rPr>
      </w:pPr>
    </w:p>
    <w:p>
      <w:pPr>
        <w:jc w:val="both"/>
        <w:ind w:left="920" w:right="20" w:hanging="917"/>
        <w:spacing w:after="0"/>
        <w:tabs>
          <w:tab w:leader="none" w:pos="900" w:val="left"/>
        </w:tabs>
        <w:rPr>
          <w:rFonts w:ascii="Arial" w:cs="Arial" w:eastAsia="Arial" w:hAnsi="Arial"/>
          <w:sz w:val="18"/>
          <w:szCs w:val="18"/>
          <w:color w:val="0000FF"/>
        </w:rPr>
      </w:pPr>
      <w:r>
        <w:rPr>
          <w:rFonts w:ascii="Arial" w:cs="Arial" w:eastAsia="Arial" w:hAnsi="Arial"/>
          <w:sz w:val="18"/>
          <w:szCs w:val="18"/>
          <w:color w:val="auto"/>
        </w:rPr>
        <w:t>10.67</w:t>
      </w:r>
      <w:r>
        <w:rPr>
          <w:sz w:val="20"/>
          <w:szCs w:val="20"/>
          <w:color w:val="auto"/>
        </w:rPr>
        <w:tab/>
      </w:r>
      <w:hyperlink r:id="rId299">
        <w:r>
          <w:rPr>
            <w:rFonts w:ascii="Arial" w:cs="Arial" w:eastAsia="Arial" w:hAnsi="Arial"/>
            <w:sz w:val="18"/>
            <w:szCs w:val="18"/>
            <w:u w:val="single" w:color="auto"/>
            <w:color w:val="0000FF"/>
          </w:rPr>
          <w:t>Form of American Airlines Group Inc. 2013 Incentive Award Plan Restricted Stock Unit (Cash-Settled) Award Grant Notice and</w:t>
        </w:r>
      </w:hyperlink>
      <w:r>
        <w:rPr>
          <w:rFonts w:ascii="Arial" w:cs="Arial" w:eastAsia="Arial" w:hAnsi="Arial"/>
          <w:sz w:val="18"/>
          <w:szCs w:val="18"/>
          <w:u w:val="single" w:color="auto"/>
          <w:color w:val="0000FF"/>
        </w:rPr>
        <w:t xml:space="preserve"> </w:t>
      </w:r>
      <w:hyperlink r:id="rId299">
        <w:r>
          <w:rPr>
            <w:rFonts w:ascii="Arial" w:cs="Arial" w:eastAsia="Arial" w:hAnsi="Arial"/>
            <w:sz w:val="18"/>
            <w:szCs w:val="18"/>
            <w:u w:val="single" w:color="auto"/>
            <w:color w:val="0000FF"/>
          </w:rPr>
          <w:t>Award Agreement (incorporated by reference to Exhibit 10.125 to AAG’s Annual Report on Form 10-K for the year ended</w:t>
        </w:r>
      </w:hyperlink>
      <w:r>
        <w:rPr>
          <w:rFonts w:ascii="Arial" w:cs="Arial" w:eastAsia="Arial" w:hAnsi="Arial"/>
          <w:sz w:val="18"/>
          <w:szCs w:val="18"/>
          <w:u w:val="single" w:color="auto"/>
          <w:color w:val="0000FF"/>
        </w:rPr>
        <w:t xml:space="preserve"> </w:t>
      </w:r>
      <w:hyperlink r:id="rId299">
        <w:r>
          <w:rPr>
            <w:rFonts w:ascii="Arial" w:cs="Arial" w:eastAsia="Arial" w:hAnsi="Arial"/>
            <w:sz w:val="18"/>
            <w:szCs w:val="18"/>
            <w:u w:val="single" w:color="auto"/>
            <w:color w:val="0000FF"/>
          </w:rPr>
          <w:t>December 31, 2013 (Commission File No. 1-8400)).</w:t>
        </w:r>
        <w:r>
          <w:rPr>
            <w:rFonts w:ascii="Arial" w:cs="Arial" w:eastAsia="Arial" w:hAnsi="Arial"/>
            <w:sz w:val="18"/>
            <w:szCs w:val="18"/>
            <w:color w:val="000000"/>
          </w:rPr>
          <w:t>†</w:t>
        </w:r>
      </w:hyperlink>
    </w:p>
    <w:p>
      <w:pPr>
        <w:spacing w:after="0" w:line="41" w:lineRule="exact"/>
        <w:rPr>
          <w:rFonts w:ascii="Arial" w:cs="Arial" w:eastAsia="Arial" w:hAnsi="Arial"/>
          <w:sz w:val="18"/>
          <w:szCs w:val="18"/>
          <w:u w:val="single" w:color="auto"/>
          <w:color w:val="0000FF"/>
        </w:rPr>
      </w:pPr>
    </w:p>
    <w:p>
      <w:pPr>
        <w:jc w:val="both"/>
        <w:ind w:left="920" w:hanging="917"/>
        <w:spacing w:after="0"/>
        <w:tabs>
          <w:tab w:leader="none" w:pos="900" w:val="left"/>
        </w:tabs>
        <w:rPr>
          <w:rFonts w:ascii="Arial" w:cs="Arial" w:eastAsia="Arial" w:hAnsi="Arial"/>
          <w:sz w:val="18"/>
          <w:szCs w:val="18"/>
          <w:color w:val="0000FF"/>
        </w:rPr>
      </w:pPr>
      <w:r>
        <w:rPr>
          <w:rFonts w:ascii="Arial" w:cs="Arial" w:eastAsia="Arial" w:hAnsi="Arial"/>
          <w:sz w:val="18"/>
          <w:szCs w:val="18"/>
          <w:color w:val="auto"/>
        </w:rPr>
        <w:t>10.68</w:t>
      </w:r>
      <w:r>
        <w:rPr>
          <w:sz w:val="20"/>
          <w:szCs w:val="20"/>
          <w:color w:val="auto"/>
        </w:rPr>
        <w:tab/>
      </w:r>
      <w:hyperlink r:id="rId300">
        <w:r>
          <w:rPr>
            <w:rFonts w:ascii="Arial" w:cs="Arial" w:eastAsia="Arial" w:hAnsi="Arial"/>
            <w:sz w:val="18"/>
            <w:szCs w:val="18"/>
            <w:u w:val="single" w:color="auto"/>
            <w:color w:val="0000FF"/>
          </w:rPr>
          <w:t>Form of American Airlines Group Inc. 2013 Incentive Award Plan Restricted Stock Unit (Stock-Settled) Award Grant Notice and</w:t>
        </w:r>
      </w:hyperlink>
      <w:r>
        <w:rPr>
          <w:rFonts w:ascii="Arial" w:cs="Arial" w:eastAsia="Arial" w:hAnsi="Arial"/>
          <w:sz w:val="18"/>
          <w:szCs w:val="18"/>
          <w:u w:val="single" w:color="auto"/>
          <w:color w:val="0000FF"/>
        </w:rPr>
        <w:t xml:space="preserve"> </w:t>
      </w:r>
      <w:hyperlink r:id="rId300">
        <w:r>
          <w:rPr>
            <w:rFonts w:ascii="Arial" w:cs="Arial" w:eastAsia="Arial" w:hAnsi="Arial"/>
            <w:sz w:val="18"/>
            <w:szCs w:val="18"/>
            <w:u w:val="single" w:color="auto"/>
            <w:color w:val="0000FF"/>
          </w:rPr>
          <w:t>Award Agreement (incorporated by reference to Exhibit 10.127 to AAG’s Annual Report on Form 10-K for the year ended</w:t>
        </w:r>
      </w:hyperlink>
      <w:r>
        <w:rPr>
          <w:rFonts w:ascii="Arial" w:cs="Arial" w:eastAsia="Arial" w:hAnsi="Arial"/>
          <w:sz w:val="18"/>
          <w:szCs w:val="18"/>
          <w:u w:val="single" w:color="auto"/>
          <w:color w:val="0000FF"/>
        </w:rPr>
        <w:t xml:space="preserve"> </w:t>
      </w:r>
      <w:hyperlink r:id="rId300">
        <w:r>
          <w:rPr>
            <w:rFonts w:ascii="Arial" w:cs="Arial" w:eastAsia="Arial" w:hAnsi="Arial"/>
            <w:sz w:val="18"/>
            <w:szCs w:val="18"/>
            <w:u w:val="single" w:color="auto"/>
            <w:color w:val="0000FF"/>
          </w:rPr>
          <w:t>December 31, 2013 (Commission File No. 1-8400)).</w:t>
        </w:r>
        <w:r>
          <w:rPr>
            <w:rFonts w:ascii="Arial" w:cs="Arial" w:eastAsia="Arial" w:hAnsi="Arial"/>
            <w:sz w:val="18"/>
            <w:szCs w:val="18"/>
            <w:color w:val="000000"/>
          </w:rPr>
          <w:t>†</w:t>
        </w:r>
      </w:hyperlink>
    </w:p>
    <w:p>
      <w:pPr>
        <w:spacing w:after="0" w:line="41" w:lineRule="exact"/>
        <w:rPr>
          <w:rFonts w:ascii="Arial" w:cs="Arial" w:eastAsia="Arial" w:hAnsi="Arial"/>
          <w:sz w:val="18"/>
          <w:szCs w:val="18"/>
          <w:u w:val="single" w:color="auto"/>
          <w:color w:val="0000FF"/>
        </w:rPr>
      </w:pPr>
    </w:p>
    <w:p>
      <w:pPr>
        <w:jc w:val="both"/>
        <w:ind w:left="920" w:hanging="917"/>
        <w:spacing w:after="0"/>
        <w:tabs>
          <w:tab w:leader="none" w:pos="900" w:val="left"/>
        </w:tabs>
        <w:rPr>
          <w:rFonts w:ascii="Arial" w:cs="Arial" w:eastAsia="Arial" w:hAnsi="Arial"/>
          <w:sz w:val="18"/>
          <w:szCs w:val="18"/>
          <w:color w:val="0000FF"/>
        </w:rPr>
      </w:pPr>
      <w:r>
        <w:rPr>
          <w:rFonts w:ascii="Arial" w:cs="Arial" w:eastAsia="Arial" w:hAnsi="Arial"/>
          <w:sz w:val="18"/>
          <w:szCs w:val="18"/>
          <w:color w:val="auto"/>
        </w:rPr>
        <w:t>10.69</w:t>
      </w:r>
      <w:r>
        <w:rPr>
          <w:sz w:val="20"/>
          <w:szCs w:val="20"/>
          <w:color w:val="auto"/>
        </w:rPr>
        <w:tab/>
      </w:r>
      <w:hyperlink r:id="rId301">
        <w:r>
          <w:rPr>
            <w:rFonts w:ascii="Arial" w:cs="Arial" w:eastAsia="Arial" w:hAnsi="Arial"/>
            <w:sz w:val="18"/>
            <w:szCs w:val="18"/>
            <w:u w:val="single" w:color="auto"/>
            <w:color w:val="0000FF"/>
          </w:rPr>
          <w:t>Form of American Airlines Group Inc. 2013 Incentive Award Plan Restricted Stock Unit (Stock-Settled) Award Grant Notice and</w:t>
        </w:r>
      </w:hyperlink>
      <w:r>
        <w:rPr>
          <w:rFonts w:ascii="Arial" w:cs="Arial" w:eastAsia="Arial" w:hAnsi="Arial"/>
          <w:sz w:val="18"/>
          <w:szCs w:val="18"/>
          <w:u w:val="single" w:color="auto"/>
          <w:color w:val="0000FF"/>
        </w:rPr>
        <w:t xml:space="preserve"> </w:t>
      </w:r>
      <w:hyperlink r:id="rId301">
        <w:r>
          <w:rPr>
            <w:rFonts w:ascii="Arial" w:cs="Arial" w:eastAsia="Arial" w:hAnsi="Arial"/>
            <w:sz w:val="18"/>
            <w:szCs w:val="18"/>
            <w:u w:val="single" w:color="auto"/>
            <w:color w:val="0000FF"/>
          </w:rPr>
          <w:t>Award Agreement for Director Grants (incorporated by reference to Exhibit 10.129 to AAG’s Annual Report on Form 10-K for the</w:t>
        </w:r>
      </w:hyperlink>
      <w:r>
        <w:rPr>
          <w:rFonts w:ascii="Arial" w:cs="Arial" w:eastAsia="Arial" w:hAnsi="Arial"/>
          <w:sz w:val="18"/>
          <w:szCs w:val="18"/>
          <w:u w:val="single" w:color="auto"/>
          <w:color w:val="0000FF"/>
        </w:rPr>
        <w:t xml:space="preserve"> </w:t>
      </w:r>
      <w:hyperlink r:id="rId301">
        <w:r>
          <w:rPr>
            <w:rFonts w:ascii="Arial" w:cs="Arial" w:eastAsia="Arial" w:hAnsi="Arial"/>
            <w:sz w:val="18"/>
            <w:szCs w:val="18"/>
            <w:u w:val="single" w:color="auto"/>
            <w:color w:val="0000FF"/>
          </w:rPr>
          <w:t>year ended December 31, 2013 (Commission File No. 1-8400)).</w:t>
        </w:r>
        <w:r>
          <w:rPr>
            <w:rFonts w:ascii="Arial" w:cs="Arial" w:eastAsia="Arial" w:hAnsi="Arial"/>
            <w:sz w:val="18"/>
            <w:szCs w:val="18"/>
            <w:color w:val="000000"/>
          </w:rPr>
          <w:t>†</w:t>
        </w:r>
      </w:hyperlink>
    </w:p>
    <w:p>
      <w:pPr>
        <w:spacing w:after="0" w:line="41" w:lineRule="exact"/>
        <w:rPr>
          <w:rFonts w:ascii="Arial" w:cs="Arial" w:eastAsia="Arial" w:hAnsi="Arial"/>
          <w:sz w:val="18"/>
          <w:szCs w:val="18"/>
          <w:u w:val="single" w:color="auto"/>
          <w:color w:val="0000FF"/>
        </w:rPr>
      </w:pPr>
    </w:p>
    <w:p>
      <w:pPr>
        <w:jc w:val="both"/>
        <w:ind w:left="920" w:right="20" w:hanging="917"/>
        <w:spacing w:after="0" w:line="246" w:lineRule="auto"/>
        <w:tabs>
          <w:tab w:leader="none" w:pos="900" w:val="left"/>
        </w:tabs>
        <w:rPr>
          <w:rFonts w:ascii="Arial" w:cs="Arial" w:eastAsia="Arial" w:hAnsi="Arial"/>
          <w:sz w:val="18"/>
          <w:szCs w:val="18"/>
          <w:color w:val="0000FF"/>
        </w:rPr>
      </w:pPr>
      <w:r>
        <w:rPr>
          <w:rFonts w:ascii="Arial" w:cs="Arial" w:eastAsia="Arial" w:hAnsi="Arial"/>
          <w:sz w:val="18"/>
          <w:szCs w:val="18"/>
          <w:color w:val="auto"/>
        </w:rPr>
        <w:t>10.70</w:t>
      </w:r>
      <w:r>
        <w:rPr>
          <w:sz w:val="20"/>
          <w:szCs w:val="20"/>
          <w:color w:val="auto"/>
        </w:rPr>
        <w:tab/>
      </w:r>
      <w:hyperlink r:id="rId302">
        <w:r>
          <w:rPr>
            <w:rFonts w:ascii="Arial" w:cs="Arial" w:eastAsia="Arial" w:hAnsi="Arial"/>
            <w:sz w:val="18"/>
            <w:szCs w:val="18"/>
            <w:u w:val="single" w:color="auto"/>
            <w:color w:val="0000FF"/>
          </w:rPr>
          <w:t>Form of Indemnification Agreement (incorporated by reference to Exhibit 10.9 to AAG’s Current Report on Form 8-K filed on</w:t>
        </w:r>
      </w:hyperlink>
      <w:r>
        <w:rPr>
          <w:rFonts w:ascii="Arial" w:cs="Arial" w:eastAsia="Arial" w:hAnsi="Arial"/>
          <w:sz w:val="18"/>
          <w:szCs w:val="18"/>
          <w:u w:val="single" w:color="auto"/>
          <w:color w:val="0000FF"/>
        </w:rPr>
        <w:t xml:space="preserve"> </w:t>
      </w:r>
      <w:hyperlink r:id="rId302">
        <w:r>
          <w:rPr>
            <w:rFonts w:ascii="Arial" w:cs="Arial" w:eastAsia="Arial" w:hAnsi="Arial"/>
            <w:sz w:val="18"/>
            <w:szCs w:val="18"/>
            <w:u w:val="single" w:color="auto"/>
            <w:color w:val="0000FF"/>
          </w:rPr>
          <w:t>December 9, 2013 (Commission File No. 1-8400)).</w:t>
        </w:r>
        <w:r>
          <w:rPr>
            <w:rFonts w:ascii="Arial" w:cs="Arial" w:eastAsia="Arial" w:hAnsi="Arial"/>
            <w:sz w:val="18"/>
            <w:szCs w:val="18"/>
            <w:color w:val="000000"/>
          </w:rPr>
          <w:t>†</w:t>
        </w:r>
      </w:hyperlink>
    </w:p>
    <w:p>
      <w:pPr>
        <w:spacing w:after="0" w:line="35" w:lineRule="exact"/>
        <w:rPr>
          <w:sz w:val="20"/>
          <w:szCs w:val="20"/>
          <w:color w:val="auto"/>
        </w:rPr>
      </w:pPr>
    </w:p>
    <w:p>
      <w:pPr>
        <w:jc w:val="both"/>
        <w:ind w:left="920" w:right="20" w:hanging="917"/>
        <w:spacing w:after="0" w:line="246" w:lineRule="auto"/>
        <w:tabs>
          <w:tab w:leader="none" w:pos="900" w:val="left"/>
        </w:tabs>
        <w:rPr>
          <w:rFonts w:ascii="Arial" w:cs="Arial" w:eastAsia="Arial" w:hAnsi="Arial"/>
          <w:sz w:val="18"/>
          <w:szCs w:val="18"/>
          <w:color w:val="0000FF"/>
        </w:rPr>
      </w:pPr>
      <w:r>
        <w:rPr>
          <w:rFonts w:ascii="Arial" w:cs="Arial" w:eastAsia="Arial" w:hAnsi="Arial"/>
          <w:sz w:val="18"/>
          <w:szCs w:val="18"/>
          <w:color w:val="auto"/>
        </w:rPr>
        <w:t>10.71</w:t>
      </w:r>
      <w:r>
        <w:rPr>
          <w:sz w:val="20"/>
          <w:szCs w:val="20"/>
          <w:color w:val="auto"/>
        </w:rPr>
        <w:tab/>
      </w:r>
      <w:hyperlink r:id="rId303">
        <w:r>
          <w:rPr>
            <w:rFonts w:ascii="Arial" w:cs="Arial" w:eastAsia="Arial" w:hAnsi="Arial"/>
            <w:sz w:val="18"/>
            <w:szCs w:val="18"/>
            <w:u w:val="single" w:color="auto"/>
            <w:color w:val="0000FF"/>
          </w:rPr>
          <w:t>US Airways Group, Inc. 2011 Incentive Award Plan (incorporated by reference to Exhibit 4.1 to US Airways Group’s Registration</w:t>
        </w:r>
      </w:hyperlink>
      <w:r>
        <w:rPr>
          <w:rFonts w:ascii="Arial" w:cs="Arial" w:eastAsia="Arial" w:hAnsi="Arial"/>
          <w:sz w:val="18"/>
          <w:szCs w:val="18"/>
          <w:u w:val="single" w:color="auto"/>
          <w:color w:val="0000FF"/>
        </w:rPr>
        <w:t xml:space="preserve"> </w:t>
      </w:r>
      <w:hyperlink r:id="rId303">
        <w:r>
          <w:rPr>
            <w:rFonts w:ascii="Arial" w:cs="Arial" w:eastAsia="Arial" w:hAnsi="Arial"/>
            <w:sz w:val="18"/>
            <w:szCs w:val="18"/>
            <w:u w:val="single" w:color="auto"/>
            <w:color w:val="0000FF"/>
          </w:rPr>
          <w:t>Statement on Form S-8 filed on July 1, 2011 (Registration No. 333-175323)).</w:t>
        </w:r>
        <w:r>
          <w:rPr>
            <w:rFonts w:ascii="Arial" w:cs="Arial" w:eastAsia="Arial" w:hAnsi="Arial"/>
            <w:sz w:val="18"/>
            <w:szCs w:val="18"/>
            <w:color w:val="000000"/>
          </w:rPr>
          <w:t>†</w:t>
        </w:r>
      </w:hyperlink>
    </w:p>
    <w:p>
      <w:pPr>
        <w:spacing w:after="0" w:line="35" w:lineRule="exact"/>
        <w:rPr>
          <w:sz w:val="20"/>
          <w:szCs w:val="20"/>
          <w:color w:val="auto"/>
        </w:rPr>
      </w:pPr>
    </w:p>
    <w:p>
      <w:pPr>
        <w:jc w:val="both"/>
        <w:ind w:left="920" w:right="20" w:hanging="917"/>
        <w:spacing w:after="0" w:line="246" w:lineRule="auto"/>
        <w:tabs>
          <w:tab w:leader="none" w:pos="900" w:val="left"/>
        </w:tabs>
        <w:rPr>
          <w:rFonts w:ascii="Arial" w:cs="Arial" w:eastAsia="Arial" w:hAnsi="Arial"/>
          <w:sz w:val="18"/>
          <w:szCs w:val="18"/>
          <w:color w:val="0000FF"/>
        </w:rPr>
      </w:pPr>
      <w:r>
        <w:rPr>
          <w:rFonts w:ascii="Arial" w:cs="Arial" w:eastAsia="Arial" w:hAnsi="Arial"/>
          <w:sz w:val="18"/>
          <w:szCs w:val="18"/>
          <w:color w:val="auto"/>
        </w:rPr>
        <w:t>10.72</w:t>
      </w:r>
      <w:r>
        <w:rPr>
          <w:sz w:val="20"/>
          <w:szCs w:val="20"/>
          <w:color w:val="auto"/>
        </w:rPr>
        <w:tab/>
      </w:r>
      <w:hyperlink r:id="rId304">
        <w:r>
          <w:rPr>
            <w:rFonts w:ascii="Arial" w:cs="Arial" w:eastAsia="Arial" w:hAnsi="Arial"/>
            <w:sz w:val="18"/>
            <w:szCs w:val="18"/>
            <w:u w:val="single" w:color="auto"/>
            <w:color w:val="0000FF"/>
          </w:rPr>
          <w:t>2014 Short-Term Incentive Program Under 2013 Incentive Award Plan (incorporated by reference to Exhibit 10.8 to AAG’s</w:t>
        </w:r>
      </w:hyperlink>
      <w:r>
        <w:rPr>
          <w:rFonts w:ascii="Arial" w:cs="Arial" w:eastAsia="Arial" w:hAnsi="Arial"/>
          <w:sz w:val="18"/>
          <w:szCs w:val="18"/>
          <w:u w:val="single" w:color="auto"/>
          <w:color w:val="0000FF"/>
        </w:rPr>
        <w:t xml:space="preserve"> </w:t>
      </w:r>
      <w:hyperlink r:id="rId304">
        <w:r>
          <w:rPr>
            <w:rFonts w:ascii="Arial" w:cs="Arial" w:eastAsia="Arial" w:hAnsi="Arial"/>
            <w:sz w:val="18"/>
            <w:szCs w:val="18"/>
            <w:u w:val="single" w:color="auto"/>
            <w:color w:val="0000FF"/>
          </w:rPr>
          <w:t>Quarterly Report on Form 10-Q for the quarter ended June 30, 2014 (Commission File No. 1-8400)).</w:t>
        </w:r>
        <w:r>
          <w:rPr>
            <w:rFonts w:ascii="Arial" w:cs="Arial" w:eastAsia="Arial" w:hAnsi="Arial"/>
            <w:sz w:val="18"/>
            <w:szCs w:val="18"/>
            <w:color w:val="000000"/>
          </w:rPr>
          <w:t>†</w:t>
        </w:r>
      </w:hyperlink>
    </w:p>
    <w:p>
      <w:pPr>
        <w:spacing w:after="0" w:line="35" w:lineRule="exact"/>
        <w:rPr>
          <w:sz w:val="20"/>
          <w:szCs w:val="20"/>
          <w:color w:val="auto"/>
        </w:rPr>
      </w:pPr>
    </w:p>
    <w:p>
      <w:pPr>
        <w:jc w:val="both"/>
        <w:ind w:left="920" w:right="20" w:hanging="917"/>
        <w:spacing w:after="0" w:line="246" w:lineRule="auto"/>
        <w:tabs>
          <w:tab w:leader="none" w:pos="900" w:val="left"/>
        </w:tabs>
        <w:rPr>
          <w:rFonts w:ascii="Arial" w:cs="Arial" w:eastAsia="Arial" w:hAnsi="Arial"/>
          <w:sz w:val="18"/>
          <w:szCs w:val="18"/>
          <w:color w:val="0000FF"/>
        </w:rPr>
      </w:pPr>
      <w:r>
        <w:rPr>
          <w:rFonts w:ascii="Arial" w:cs="Arial" w:eastAsia="Arial" w:hAnsi="Arial"/>
          <w:sz w:val="18"/>
          <w:szCs w:val="18"/>
          <w:color w:val="auto"/>
        </w:rPr>
        <w:t>10.73</w:t>
      </w:r>
      <w:r>
        <w:rPr>
          <w:sz w:val="20"/>
          <w:szCs w:val="20"/>
          <w:color w:val="auto"/>
        </w:rPr>
        <w:tab/>
      </w:r>
      <w:hyperlink r:id="rId305">
        <w:r>
          <w:rPr>
            <w:rFonts w:ascii="Arial" w:cs="Arial" w:eastAsia="Arial" w:hAnsi="Arial"/>
            <w:sz w:val="18"/>
            <w:szCs w:val="18"/>
            <w:u w:val="single" w:color="auto"/>
            <w:color w:val="0000FF"/>
          </w:rPr>
          <w:t>Form of Letter Agreement for Directors Travel Program (incorporated by reference to Exhibit 10.106 to US Airways Group’s Annual</w:t>
        </w:r>
      </w:hyperlink>
      <w:r>
        <w:rPr>
          <w:rFonts w:ascii="Arial" w:cs="Arial" w:eastAsia="Arial" w:hAnsi="Arial"/>
          <w:sz w:val="18"/>
          <w:szCs w:val="18"/>
          <w:u w:val="single" w:color="auto"/>
          <w:color w:val="0000FF"/>
        </w:rPr>
        <w:t xml:space="preserve"> </w:t>
      </w:r>
      <w:hyperlink r:id="rId305">
        <w:r>
          <w:rPr>
            <w:rFonts w:ascii="Arial" w:cs="Arial" w:eastAsia="Arial" w:hAnsi="Arial"/>
            <w:sz w:val="18"/>
            <w:szCs w:val="18"/>
            <w:u w:val="single" w:color="auto"/>
            <w:color w:val="0000FF"/>
          </w:rPr>
          <w:t>Report on Form 10-K for the year ended December 31, 2007 (Commission File No. 1-8444)).</w:t>
        </w:r>
        <w:r>
          <w:rPr>
            <w:rFonts w:ascii="Arial" w:cs="Arial" w:eastAsia="Arial" w:hAnsi="Arial"/>
            <w:sz w:val="18"/>
            <w:szCs w:val="18"/>
            <w:color w:val="000000"/>
          </w:rPr>
          <w:t>†</w:t>
        </w:r>
      </w:hyperlink>
    </w:p>
    <w:p>
      <w:pPr>
        <w:spacing w:after="0" w:line="35" w:lineRule="exact"/>
        <w:rPr>
          <w:sz w:val="20"/>
          <w:szCs w:val="20"/>
          <w:color w:val="auto"/>
        </w:rPr>
      </w:pPr>
    </w:p>
    <w:p>
      <w:pPr>
        <w:jc w:val="both"/>
        <w:ind w:left="920" w:right="20" w:hanging="917"/>
        <w:spacing w:after="0"/>
        <w:tabs>
          <w:tab w:leader="none" w:pos="900" w:val="left"/>
        </w:tabs>
        <w:rPr>
          <w:rFonts w:ascii="Arial" w:cs="Arial" w:eastAsia="Arial" w:hAnsi="Arial"/>
          <w:sz w:val="18"/>
          <w:szCs w:val="18"/>
          <w:color w:val="0000FF"/>
        </w:rPr>
      </w:pPr>
      <w:r>
        <w:rPr>
          <w:rFonts w:ascii="Arial" w:cs="Arial" w:eastAsia="Arial" w:hAnsi="Arial"/>
          <w:sz w:val="18"/>
          <w:szCs w:val="18"/>
          <w:color w:val="auto"/>
        </w:rPr>
        <w:t>10.74</w:t>
      </w:r>
      <w:r>
        <w:rPr>
          <w:sz w:val="20"/>
          <w:szCs w:val="20"/>
          <w:color w:val="auto"/>
        </w:rPr>
        <w:tab/>
      </w:r>
      <w:hyperlink r:id="rId306">
        <w:r>
          <w:rPr>
            <w:rFonts w:ascii="Arial" w:cs="Arial" w:eastAsia="Arial" w:hAnsi="Arial"/>
            <w:sz w:val="18"/>
            <w:szCs w:val="18"/>
            <w:u w:val="single" w:color="auto"/>
            <w:color w:val="0000FF"/>
          </w:rPr>
          <w:t>Amended and Restated Employment Agreement, dated as of November 28, 2007, among US Airways Group, US Airways, Inc.</w:t>
        </w:r>
      </w:hyperlink>
      <w:r>
        <w:rPr>
          <w:rFonts w:ascii="Arial" w:cs="Arial" w:eastAsia="Arial" w:hAnsi="Arial"/>
          <w:sz w:val="18"/>
          <w:szCs w:val="18"/>
          <w:u w:val="single" w:color="auto"/>
          <w:color w:val="0000FF"/>
        </w:rPr>
        <w:t xml:space="preserve"> </w:t>
      </w:r>
      <w:hyperlink r:id="rId306">
        <w:r>
          <w:rPr>
            <w:rFonts w:ascii="Arial" w:cs="Arial" w:eastAsia="Arial" w:hAnsi="Arial"/>
            <w:sz w:val="18"/>
            <w:szCs w:val="18"/>
            <w:u w:val="single" w:color="auto"/>
            <w:color w:val="0000FF"/>
          </w:rPr>
          <w:t>and W. Douglas Parker (incorporated by reference to Exhibit 10.1 to US Airways Group’s Current Report on Form 8-K filed on</w:t>
        </w:r>
      </w:hyperlink>
      <w:r>
        <w:rPr>
          <w:rFonts w:ascii="Arial" w:cs="Arial" w:eastAsia="Arial" w:hAnsi="Arial"/>
          <w:sz w:val="18"/>
          <w:szCs w:val="18"/>
          <w:u w:val="single" w:color="auto"/>
          <w:color w:val="0000FF"/>
        </w:rPr>
        <w:t xml:space="preserve"> </w:t>
      </w:r>
      <w:hyperlink r:id="rId306">
        <w:r>
          <w:rPr>
            <w:rFonts w:ascii="Arial" w:cs="Arial" w:eastAsia="Arial" w:hAnsi="Arial"/>
            <w:sz w:val="18"/>
            <w:szCs w:val="18"/>
            <w:u w:val="single" w:color="auto"/>
            <w:color w:val="0000FF"/>
          </w:rPr>
          <w:t>November 29, 2007 (Commission File No. 1-8444)).</w:t>
        </w:r>
        <w:r>
          <w:rPr>
            <w:rFonts w:ascii="Arial" w:cs="Arial" w:eastAsia="Arial" w:hAnsi="Arial"/>
            <w:sz w:val="18"/>
            <w:szCs w:val="18"/>
            <w:color w:val="000000"/>
          </w:rPr>
          <w:t>†</w:t>
        </w:r>
      </w:hyperlink>
    </w:p>
    <w:p>
      <w:pPr>
        <w:spacing w:after="0" w:line="41" w:lineRule="exact"/>
        <w:rPr>
          <w:rFonts w:ascii="Arial" w:cs="Arial" w:eastAsia="Arial" w:hAnsi="Arial"/>
          <w:sz w:val="18"/>
          <w:szCs w:val="18"/>
          <w:u w:val="single" w:color="auto"/>
          <w:color w:val="0000FF"/>
        </w:rPr>
      </w:pPr>
    </w:p>
    <w:p>
      <w:pPr>
        <w:jc w:val="both"/>
        <w:ind w:left="920" w:right="20" w:hanging="917"/>
        <w:spacing w:after="0"/>
        <w:tabs>
          <w:tab w:leader="none" w:pos="900" w:val="left"/>
        </w:tabs>
        <w:rPr>
          <w:rFonts w:ascii="Arial" w:cs="Arial" w:eastAsia="Arial" w:hAnsi="Arial"/>
          <w:sz w:val="18"/>
          <w:szCs w:val="18"/>
          <w:color w:val="0000FF"/>
        </w:rPr>
      </w:pPr>
      <w:r>
        <w:rPr>
          <w:rFonts w:ascii="Arial" w:cs="Arial" w:eastAsia="Arial" w:hAnsi="Arial"/>
          <w:sz w:val="18"/>
          <w:szCs w:val="18"/>
          <w:color w:val="auto"/>
        </w:rPr>
        <w:t>10.75</w:t>
      </w:r>
      <w:r>
        <w:rPr>
          <w:sz w:val="20"/>
          <w:szCs w:val="20"/>
          <w:color w:val="auto"/>
        </w:rPr>
        <w:tab/>
      </w:r>
      <w:hyperlink r:id="rId307">
        <w:r>
          <w:rPr>
            <w:rFonts w:ascii="Arial" w:cs="Arial" w:eastAsia="Arial" w:hAnsi="Arial"/>
            <w:sz w:val="18"/>
            <w:szCs w:val="18"/>
            <w:u w:val="single" w:color="auto"/>
            <w:color w:val="0000FF"/>
          </w:rPr>
          <w:t>Form of Letter Agreement, dated April 25, 2017, by and between American Airlines Group Inc. and each of Robert D. Isom, Jr.,</w:t>
        </w:r>
      </w:hyperlink>
      <w:r>
        <w:rPr>
          <w:rFonts w:ascii="Arial" w:cs="Arial" w:eastAsia="Arial" w:hAnsi="Arial"/>
          <w:sz w:val="18"/>
          <w:szCs w:val="18"/>
          <w:u w:val="single" w:color="auto"/>
          <w:color w:val="0000FF"/>
        </w:rPr>
        <w:t xml:space="preserve"> </w:t>
      </w:r>
      <w:hyperlink r:id="rId307">
        <w:r>
          <w:rPr>
            <w:rFonts w:ascii="Arial" w:cs="Arial" w:eastAsia="Arial" w:hAnsi="Arial"/>
            <w:sz w:val="18"/>
            <w:szCs w:val="18"/>
            <w:u w:val="single" w:color="auto"/>
            <w:color w:val="0000FF"/>
          </w:rPr>
          <w:t>Elise Eberwein, Stephen L. Johnson and Derek J. Kerr (incorporated by reference to Exhibit 10.1 to AAG’s Current Report on Form</w:t>
        </w:r>
      </w:hyperlink>
      <w:r>
        <w:rPr>
          <w:rFonts w:ascii="Arial" w:cs="Arial" w:eastAsia="Arial" w:hAnsi="Arial"/>
          <w:sz w:val="18"/>
          <w:szCs w:val="18"/>
          <w:u w:val="single" w:color="auto"/>
          <w:color w:val="0000FF"/>
        </w:rPr>
        <w:t xml:space="preserve"> </w:t>
      </w:r>
      <w:hyperlink r:id="rId307">
        <w:r>
          <w:rPr>
            <w:rFonts w:ascii="Arial" w:cs="Arial" w:eastAsia="Arial" w:hAnsi="Arial"/>
            <w:sz w:val="18"/>
            <w:szCs w:val="18"/>
            <w:u w:val="single" w:color="auto"/>
            <w:color w:val="0000FF"/>
          </w:rPr>
          <w:t>8-K filed on May 1, 2017 (Commission File No. 1-8400)).</w:t>
        </w:r>
        <w:r>
          <w:rPr>
            <w:rFonts w:ascii="Arial" w:cs="Arial" w:eastAsia="Arial" w:hAnsi="Arial"/>
            <w:sz w:val="18"/>
            <w:szCs w:val="18"/>
            <w:color w:val="000000"/>
          </w:rPr>
          <w:t>†</w:t>
        </w:r>
      </w:hyperlink>
    </w:p>
    <w:p>
      <w:pPr>
        <w:spacing w:after="0" w:line="41" w:lineRule="exact"/>
        <w:rPr>
          <w:rFonts w:ascii="Arial" w:cs="Arial" w:eastAsia="Arial" w:hAnsi="Arial"/>
          <w:sz w:val="18"/>
          <w:szCs w:val="18"/>
          <w:u w:val="single" w:color="auto"/>
          <w:color w:val="0000FF"/>
        </w:rPr>
      </w:pPr>
    </w:p>
    <w:p>
      <w:pPr>
        <w:jc w:val="both"/>
        <w:ind w:left="920" w:right="20" w:hanging="917"/>
        <w:spacing w:after="0" w:line="246" w:lineRule="auto"/>
        <w:tabs>
          <w:tab w:leader="none" w:pos="900" w:val="left"/>
        </w:tabs>
        <w:rPr>
          <w:rFonts w:ascii="Arial" w:cs="Arial" w:eastAsia="Arial" w:hAnsi="Arial"/>
          <w:sz w:val="18"/>
          <w:szCs w:val="18"/>
          <w:color w:val="0000FF"/>
        </w:rPr>
      </w:pPr>
      <w:r>
        <w:rPr>
          <w:rFonts w:ascii="Arial" w:cs="Arial" w:eastAsia="Arial" w:hAnsi="Arial"/>
          <w:sz w:val="18"/>
          <w:szCs w:val="18"/>
          <w:color w:val="auto"/>
        </w:rPr>
        <w:t>10.76</w:t>
      </w:r>
      <w:r>
        <w:rPr>
          <w:sz w:val="20"/>
          <w:szCs w:val="20"/>
          <w:color w:val="auto"/>
        </w:rPr>
        <w:tab/>
      </w:r>
      <w:hyperlink r:id="rId308">
        <w:r>
          <w:rPr>
            <w:rFonts w:ascii="Arial" w:cs="Arial" w:eastAsia="Arial" w:hAnsi="Arial"/>
            <w:sz w:val="18"/>
            <w:szCs w:val="18"/>
            <w:u w:val="single" w:color="auto"/>
            <w:color w:val="0000FF"/>
          </w:rPr>
          <w:t>Letter Agreement, dated as of April 28, 2016, between American Airlines Group Inc. and W. Douglas Parker (incorporated by</w:t>
        </w:r>
      </w:hyperlink>
      <w:r>
        <w:rPr>
          <w:rFonts w:ascii="Arial" w:cs="Arial" w:eastAsia="Arial" w:hAnsi="Arial"/>
          <w:sz w:val="18"/>
          <w:szCs w:val="18"/>
          <w:u w:val="single" w:color="auto"/>
          <w:color w:val="0000FF"/>
        </w:rPr>
        <w:t xml:space="preserve"> </w:t>
      </w:r>
      <w:hyperlink r:id="rId308">
        <w:r>
          <w:rPr>
            <w:rFonts w:ascii="Arial" w:cs="Arial" w:eastAsia="Arial" w:hAnsi="Arial"/>
            <w:sz w:val="18"/>
            <w:szCs w:val="18"/>
            <w:u w:val="single" w:color="auto"/>
            <w:color w:val="0000FF"/>
          </w:rPr>
          <w:t>reference to Exhibit 10.1 to AAG’s Current Report on Form 8-K filed on April 29, 2016 (Commission File No. 1-8400)).</w:t>
        </w:r>
        <w:r>
          <w:rPr>
            <w:rFonts w:ascii="Arial" w:cs="Arial" w:eastAsia="Arial" w:hAnsi="Arial"/>
            <w:sz w:val="18"/>
            <w:szCs w:val="18"/>
            <w:color w:val="000000"/>
          </w:rPr>
          <w:t>†</w:t>
        </w:r>
      </w:hyperlink>
    </w:p>
    <w:p>
      <w:pPr>
        <w:spacing w:after="0" w:line="35" w:lineRule="exact"/>
        <w:rPr>
          <w:sz w:val="20"/>
          <w:szCs w:val="20"/>
          <w:color w:val="auto"/>
        </w:rPr>
      </w:pPr>
    </w:p>
    <w:p>
      <w:pPr>
        <w:jc w:val="both"/>
        <w:ind w:left="920" w:right="20" w:hanging="917"/>
        <w:spacing w:after="0" w:line="246" w:lineRule="auto"/>
        <w:tabs>
          <w:tab w:leader="none" w:pos="900" w:val="left"/>
        </w:tabs>
        <w:rPr>
          <w:rFonts w:ascii="Arial" w:cs="Arial" w:eastAsia="Arial" w:hAnsi="Arial"/>
          <w:sz w:val="18"/>
          <w:szCs w:val="18"/>
          <w:u w:val="single" w:color="auto"/>
          <w:color w:val="0000FF"/>
        </w:rPr>
      </w:pPr>
      <w:r>
        <w:rPr>
          <w:rFonts w:ascii="Arial" w:cs="Arial" w:eastAsia="Arial" w:hAnsi="Arial"/>
          <w:sz w:val="18"/>
          <w:szCs w:val="18"/>
          <w:color w:val="auto"/>
        </w:rPr>
        <w:t>14.1</w:t>
      </w:r>
      <w:r>
        <w:rPr>
          <w:sz w:val="20"/>
          <w:szCs w:val="20"/>
          <w:color w:val="auto"/>
        </w:rPr>
        <w:tab/>
      </w:r>
      <w:hyperlink r:id="rId309">
        <w:r>
          <w:rPr>
            <w:rFonts w:ascii="Arial" w:cs="Arial" w:eastAsia="Arial" w:hAnsi="Arial"/>
            <w:sz w:val="18"/>
            <w:szCs w:val="18"/>
            <w:u w:val="single" w:color="auto"/>
            <w:color w:val="0000FF"/>
          </w:rPr>
          <w:t>Code of Ethics (incorporated by reference to Exhibit 14.1 to AAG’s Current Report on Form 8-K filed on December 9, 2013</w:t>
        </w:r>
      </w:hyperlink>
      <w:r>
        <w:rPr>
          <w:rFonts w:ascii="Arial" w:cs="Arial" w:eastAsia="Arial" w:hAnsi="Arial"/>
          <w:sz w:val="18"/>
          <w:szCs w:val="18"/>
          <w:u w:val="single" w:color="auto"/>
          <w:color w:val="0000FF"/>
        </w:rPr>
        <w:t xml:space="preserve"> </w:t>
      </w:r>
      <w:hyperlink r:id="rId309">
        <w:r>
          <w:rPr>
            <w:rFonts w:ascii="Arial" w:cs="Arial" w:eastAsia="Arial" w:hAnsi="Arial"/>
            <w:sz w:val="18"/>
            <w:szCs w:val="18"/>
            <w:u w:val="single" w:color="auto"/>
            <w:color w:val="0000FF"/>
          </w:rPr>
          <w:t>(Commission File No. 1-8400)).</w:t>
        </w:r>
      </w:hyperlink>
    </w:p>
    <w:p>
      <w:pPr>
        <w:spacing w:after="0" w:line="35" w:lineRule="exact"/>
        <w:rPr>
          <w:sz w:val="20"/>
          <w:szCs w:val="20"/>
          <w:color w:val="auto"/>
        </w:rPr>
      </w:pPr>
    </w:p>
    <w:p>
      <w:pPr>
        <w:spacing w:after="0"/>
        <w:tabs>
          <w:tab w:leader="none" w:pos="900" w:val="left"/>
        </w:tabs>
        <w:rPr>
          <w:rFonts w:ascii="Arial" w:cs="Arial" w:eastAsia="Arial" w:hAnsi="Arial"/>
          <w:sz w:val="17"/>
          <w:szCs w:val="17"/>
          <w:u w:val="single" w:color="auto"/>
          <w:color w:val="0000FF"/>
        </w:rPr>
      </w:pPr>
      <w:r>
        <w:rPr>
          <w:rFonts w:ascii="Arial" w:cs="Arial" w:eastAsia="Arial" w:hAnsi="Arial"/>
          <w:sz w:val="18"/>
          <w:szCs w:val="18"/>
          <w:color w:val="auto"/>
        </w:rPr>
        <w:t>21.1</w:t>
      </w:r>
      <w:r>
        <w:rPr>
          <w:sz w:val="20"/>
          <w:szCs w:val="20"/>
          <w:color w:val="auto"/>
        </w:rPr>
        <w:tab/>
      </w:r>
      <w:hyperlink w:anchor="page219">
        <w:r>
          <w:rPr>
            <w:rFonts w:ascii="Arial" w:cs="Arial" w:eastAsia="Arial" w:hAnsi="Arial"/>
            <w:sz w:val="17"/>
            <w:szCs w:val="17"/>
            <w:u w:val="single" w:color="auto"/>
            <w:color w:val="0000FF"/>
          </w:rPr>
          <w:t>Significant subsidiaries of AAG and American as of December 31, 2019.</w:t>
        </w:r>
      </w:hyperlink>
    </w:p>
    <w:p>
      <w:pPr>
        <w:spacing w:after="0" w:line="50" w:lineRule="exact"/>
        <w:rPr>
          <w:sz w:val="20"/>
          <w:szCs w:val="20"/>
          <w:color w:val="auto"/>
        </w:rPr>
      </w:pPr>
    </w:p>
    <w:p>
      <w:pPr>
        <w:spacing w:after="0"/>
        <w:tabs>
          <w:tab w:leader="none" w:pos="900" w:val="left"/>
        </w:tabs>
        <w:rPr>
          <w:rFonts w:ascii="Arial" w:cs="Arial" w:eastAsia="Arial" w:hAnsi="Arial"/>
          <w:sz w:val="17"/>
          <w:szCs w:val="17"/>
          <w:u w:val="single" w:color="auto"/>
          <w:color w:val="0000FF"/>
        </w:rPr>
      </w:pPr>
      <w:r>
        <w:rPr>
          <w:rFonts w:ascii="Arial" w:cs="Arial" w:eastAsia="Arial" w:hAnsi="Arial"/>
          <w:sz w:val="18"/>
          <w:szCs w:val="18"/>
          <w:color w:val="auto"/>
        </w:rPr>
        <w:t>23.1</w:t>
      </w:r>
      <w:r>
        <w:rPr>
          <w:sz w:val="20"/>
          <w:szCs w:val="20"/>
          <w:color w:val="auto"/>
        </w:rPr>
        <w:tab/>
      </w:r>
      <w:hyperlink w:anchor="page220">
        <w:r>
          <w:rPr>
            <w:rFonts w:ascii="Arial" w:cs="Arial" w:eastAsia="Arial" w:hAnsi="Arial"/>
            <w:sz w:val="17"/>
            <w:szCs w:val="17"/>
            <w:u w:val="single" w:color="auto"/>
            <w:color w:val="0000FF"/>
          </w:rPr>
          <w:t>Consent of Independent Registered Public Accounting Firm – KPMG LLP.</w:t>
        </w:r>
      </w:hyperlink>
    </w:p>
    <w:p>
      <w:pPr>
        <w:spacing w:after="0" w:line="50" w:lineRule="exact"/>
        <w:rPr>
          <w:sz w:val="20"/>
          <w:szCs w:val="20"/>
          <w:color w:val="auto"/>
        </w:rPr>
      </w:pPr>
    </w:p>
    <w:p>
      <w:pPr>
        <w:spacing w:after="0"/>
        <w:tabs>
          <w:tab w:leader="none" w:pos="900" w:val="left"/>
        </w:tabs>
        <w:rPr>
          <w:rFonts w:ascii="Arial" w:cs="Arial" w:eastAsia="Arial" w:hAnsi="Arial"/>
          <w:sz w:val="17"/>
          <w:szCs w:val="17"/>
          <w:u w:val="single" w:color="auto"/>
          <w:color w:val="0000EE"/>
        </w:rPr>
      </w:pPr>
      <w:r>
        <w:rPr>
          <w:rFonts w:ascii="Arial" w:cs="Arial" w:eastAsia="Arial" w:hAnsi="Arial"/>
          <w:sz w:val="18"/>
          <w:szCs w:val="18"/>
          <w:color w:val="auto"/>
        </w:rPr>
        <w:t>24.1</w:t>
      </w:r>
      <w:r>
        <w:rPr>
          <w:sz w:val="20"/>
          <w:szCs w:val="20"/>
          <w:color w:val="auto"/>
        </w:rPr>
        <w:tab/>
      </w:r>
      <w:hyperlink w:anchor="page185">
        <w:r>
          <w:rPr>
            <w:rFonts w:ascii="Arial" w:cs="Arial" w:eastAsia="Arial" w:hAnsi="Arial"/>
            <w:sz w:val="17"/>
            <w:szCs w:val="17"/>
            <w:u w:val="single" w:color="auto"/>
            <w:color w:val="0000EE"/>
          </w:rPr>
          <w:t>Powers of Attorney (included in signature page of this Annual Report on Form 10-K).</w:t>
        </w:r>
      </w:hyperlink>
    </w:p>
    <w:p>
      <w:pPr>
        <w:spacing w:after="0" w:line="50" w:lineRule="exact"/>
        <w:rPr>
          <w:sz w:val="20"/>
          <w:szCs w:val="20"/>
          <w:color w:val="auto"/>
        </w:rPr>
      </w:pPr>
    </w:p>
    <w:p>
      <w:pPr>
        <w:spacing w:after="0"/>
        <w:tabs>
          <w:tab w:leader="none" w:pos="900" w:val="left"/>
        </w:tabs>
        <w:rPr>
          <w:rFonts w:ascii="Arial" w:cs="Arial" w:eastAsia="Arial" w:hAnsi="Arial"/>
          <w:sz w:val="17"/>
          <w:szCs w:val="17"/>
          <w:u w:val="single" w:color="auto"/>
          <w:color w:val="0000FF"/>
        </w:rPr>
      </w:pPr>
      <w:r>
        <w:rPr>
          <w:rFonts w:ascii="Arial" w:cs="Arial" w:eastAsia="Arial" w:hAnsi="Arial"/>
          <w:sz w:val="18"/>
          <w:szCs w:val="18"/>
          <w:color w:val="auto"/>
        </w:rPr>
        <w:t>31.1</w:t>
      </w:r>
      <w:r>
        <w:rPr>
          <w:sz w:val="20"/>
          <w:szCs w:val="20"/>
          <w:color w:val="auto"/>
        </w:rPr>
        <w:tab/>
      </w:r>
      <w:hyperlink w:anchor="page222">
        <w:r>
          <w:rPr>
            <w:rFonts w:ascii="Arial" w:cs="Arial" w:eastAsia="Arial" w:hAnsi="Arial"/>
            <w:sz w:val="17"/>
            <w:szCs w:val="17"/>
            <w:u w:val="single" w:color="auto"/>
            <w:color w:val="0000FF"/>
          </w:rPr>
          <w:t>Certification of AAG Chief Executive Officer pursuant to Rule 13a-14(a).</w:t>
        </w:r>
      </w:hyperlink>
    </w:p>
    <w:p>
      <w:pPr>
        <w:spacing w:after="0" w:line="50" w:lineRule="exact"/>
        <w:rPr>
          <w:sz w:val="20"/>
          <w:szCs w:val="20"/>
          <w:color w:val="auto"/>
        </w:rPr>
      </w:pPr>
    </w:p>
    <w:p>
      <w:pPr>
        <w:spacing w:after="0"/>
        <w:tabs>
          <w:tab w:leader="none" w:pos="900" w:val="left"/>
        </w:tabs>
        <w:rPr>
          <w:rFonts w:ascii="Arial" w:cs="Arial" w:eastAsia="Arial" w:hAnsi="Arial"/>
          <w:sz w:val="17"/>
          <w:szCs w:val="17"/>
          <w:u w:val="single" w:color="auto"/>
          <w:color w:val="0000FF"/>
        </w:rPr>
      </w:pPr>
      <w:r>
        <w:rPr>
          <w:rFonts w:ascii="Arial" w:cs="Arial" w:eastAsia="Arial" w:hAnsi="Arial"/>
          <w:sz w:val="18"/>
          <w:szCs w:val="18"/>
          <w:color w:val="auto"/>
        </w:rPr>
        <w:t>31.2</w:t>
      </w:r>
      <w:r>
        <w:rPr>
          <w:sz w:val="20"/>
          <w:szCs w:val="20"/>
          <w:color w:val="auto"/>
        </w:rPr>
        <w:tab/>
      </w:r>
      <w:hyperlink w:anchor="page223">
        <w:r>
          <w:rPr>
            <w:rFonts w:ascii="Arial" w:cs="Arial" w:eastAsia="Arial" w:hAnsi="Arial"/>
            <w:sz w:val="17"/>
            <w:szCs w:val="17"/>
            <w:u w:val="single" w:color="auto"/>
            <w:color w:val="0000FF"/>
          </w:rPr>
          <w:t>Certification of AAG Chief Financial Officer pursuant to Rule 13a-14(a).</w:t>
        </w:r>
      </w:hyperlink>
    </w:p>
    <w:p>
      <w:pPr>
        <w:spacing w:after="0" w:line="50" w:lineRule="exact"/>
        <w:rPr>
          <w:sz w:val="20"/>
          <w:szCs w:val="20"/>
          <w:color w:val="auto"/>
        </w:rPr>
      </w:pPr>
    </w:p>
    <w:p>
      <w:pPr>
        <w:spacing w:after="0"/>
        <w:tabs>
          <w:tab w:leader="none" w:pos="900" w:val="left"/>
        </w:tabs>
        <w:rPr>
          <w:rFonts w:ascii="Arial" w:cs="Arial" w:eastAsia="Arial" w:hAnsi="Arial"/>
          <w:sz w:val="17"/>
          <w:szCs w:val="17"/>
          <w:u w:val="single" w:color="auto"/>
          <w:color w:val="0000FF"/>
        </w:rPr>
      </w:pPr>
      <w:r>
        <w:rPr>
          <w:rFonts w:ascii="Arial" w:cs="Arial" w:eastAsia="Arial" w:hAnsi="Arial"/>
          <w:sz w:val="18"/>
          <w:szCs w:val="18"/>
          <w:color w:val="auto"/>
        </w:rPr>
        <w:t>31.3</w:t>
      </w:r>
      <w:r>
        <w:rPr>
          <w:sz w:val="20"/>
          <w:szCs w:val="20"/>
          <w:color w:val="auto"/>
        </w:rPr>
        <w:tab/>
      </w:r>
      <w:hyperlink w:anchor="page224">
        <w:r>
          <w:rPr>
            <w:rFonts w:ascii="Arial" w:cs="Arial" w:eastAsia="Arial" w:hAnsi="Arial"/>
            <w:sz w:val="17"/>
            <w:szCs w:val="17"/>
            <w:u w:val="single" w:color="auto"/>
            <w:color w:val="0000FF"/>
          </w:rPr>
          <w:t>Certification of American Chief Executive Officer pursuant to Rule 13a-14(a).</w:t>
        </w:r>
      </w:hyperlink>
    </w:p>
    <w:p>
      <w:pPr>
        <w:spacing w:after="0" w:line="50" w:lineRule="exact"/>
        <w:rPr>
          <w:sz w:val="20"/>
          <w:szCs w:val="20"/>
          <w:color w:val="auto"/>
        </w:rPr>
      </w:pPr>
    </w:p>
    <w:p>
      <w:pPr>
        <w:spacing w:after="0"/>
        <w:tabs>
          <w:tab w:leader="none" w:pos="900" w:val="left"/>
        </w:tabs>
        <w:rPr>
          <w:rFonts w:ascii="Arial" w:cs="Arial" w:eastAsia="Arial" w:hAnsi="Arial"/>
          <w:sz w:val="17"/>
          <w:szCs w:val="17"/>
          <w:u w:val="single" w:color="auto"/>
          <w:color w:val="0000FF"/>
        </w:rPr>
      </w:pPr>
      <w:r>
        <w:rPr>
          <w:rFonts w:ascii="Arial" w:cs="Arial" w:eastAsia="Arial" w:hAnsi="Arial"/>
          <w:sz w:val="18"/>
          <w:szCs w:val="18"/>
          <w:color w:val="auto"/>
        </w:rPr>
        <w:t>31.4</w:t>
      </w:r>
      <w:r>
        <w:rPr>
          <w:sz w:val="20"/>
          <w:szCs w:val="20"/>
          <w:color w:val="auto"/>
        </w:rPr>
        <w:tab/>
      </w:r>
      <w:hyperlink w:anchor="page225">
        <w:r>
          <w:rPr>
            <w:rFonts w:ascii="Arial" w:cs="Arial" w:eastAsia="Arial" w:hAnsi="Arial"/>
            <w:sz w:val="17"/>
            <w:szCs w:val="17"/>
            <w:u w:val="single" w:color="auto"/>
            <w:color w:val="0000FF"/>
          </w:rPr>
          <w:t>Certification of American Chief Financial Officer pursuant to Rule 13a-14(a).</w:t>
        </w:r>
      </w:hyperlink>
    </w:p>
    <w:p>
      <w:pPr>
        <w:spacing w:after="0" w:line="45" w:lineRule="exact"/>
        <w:rPr>
          <w:sz w:val="20"/>
          <w:szCs w:val="20"/>
          <w:color w:val="auto"/>
        </w:rPr>
      </w:pPr>
    </w:p>
    <w:p>
      <w:pPr>
        <w:spacing w:after="0"/>
        <w:tabs>
          <w:tab w:leader="none" w:pos="900" w:val="left"/>
        </w:tabs>
        <w:rPr>
          <w:rFonts w:ascii="Arial" w:cs="Arial" w:eastAsia="Arial" w:hAnsi="Arial"/>
          <w:sz w:val="18"/>
          <w:szCs w:val="18"/>
          <w:u w:val="single" w:color="auto"/>
          <w:color w:val="0000FF"/>
        </w:rPr>
      </w:pPr>
      <w:r>
        <w:rPr>
          <w:rFonts w:ascii="Arial" w:cs="Arial" w:eastAsia="Arial" w:hAnsi="Arial"/>
          <w:sz w:val="18"/>
          <w:szCs w:val="18"/>
          <w:color w:val="auto"/>
        </w:rPr>
        <w:t>32.1</w:t>
      </w:r>
      <w:r>
        <w:rPr>
          <w:sz w:val="20"/>
          <w:szCs w:val="20"/>
          <w:color w:val="auto"/>
        </w:rPr>
        <w:tab/>
      </w:r>
      <w:hyperlink w:anchor="page226">
        <w:r>
          <w:rPr>
            <w:rFonts w:ascii="Arial" w:cs="Arial" w:eastAsia="Arial" w:hAnsi="Arial"/>
            <w:sz w:val="18"/>
            <w:szCs w:val="18"/>
            <w:u w:val="single" w:color="auto"/>
            <w:color w:val="0000FF"/>
          </w:rPr>
          <w:t>Certification pursuant to Rule 13a-14(b) and section 906 of the Sarbanes-Oxley Act of 2002 (subsections (a) and (b) of section</w:t>
        </w:r>
      </w:hyperlink>
    </w:p>
    <w:p>
      <w:pPr>
        <w:ind w:left="920"/>
        <w:spacing w:after="0"/>
        <w:rPr>
          <w:rFonts w:ascii="Arial" w:cs="Arial" w:eastAsia="Arial" w:hAnsi="Arial"/>
          <w:sz w:val="18"/>
          <w:szCs w:val="18"/>
          <w:u w:val="single" w:color="auto"/>
          <w:color w:val="0000FF"/>
        </w:rPr>
      </w:pPr>
      <w:hyperlink w:anchor="page226">
        <w:r>
          <w:rPr>
            <w:rFonts w:ascii="Arial" w:cs="Arial" w:eastAsia="Arial" w:hAnsi="Arial"/>
            <w:sz w:val="18"/>
            <w:szCs w:val="18"/>
            <w:u w:val="single" w:color="auto"/>
            <w:color w:val="0000FF"/>
          </w:rPr>
          <w:t>1350, chapter 63 of title 18, United States Code).</w:t>
        </w:r>
      </w:hyperlink>
    </w:p>
    <w:p>
      <w:pPr>
        <w:spacing w:after="0" w:line="45" w:lineRule="exact"/>
        <w:rPr>
          <w:sz w:val="20"/>
          <w:szCs w:val="20"/>
          <w:color w:val="auto"/>
        </w:rPr>
      </w:pPr>
    </w:p>
    <w:p>
      <w:pPr>
        <w:spacing w:after="0"/>
        <w:tabs>
          <w:tab w:leader="none" w:pos="900" w:val="left"/>
        </w:tabs>
        <w:rPr>
          <w:rFonts w:ascii="Arial" w:cs="Arial" w:eastAsia="Arial" w:hAnsi="Arial"/>
          <w:sz w:val="18"/>
          <w:szCs w:val="18"/>
          <w:u w:val="single" w:color="auto"/>
          <w:color w:val="0000FF"/>
        </w:rPr>
      </w:pPr>
      <w:r>
        <w:rPr>
          <w:rFonts w:ascii="Arial" w:cs="Arial" w:eastAsia="Arial" w:hAnsi="Arial"/>
          <w:sz w:val="18"/>
          <w:szCs w:val="18"/>
          <w:color w:val="auto"/>
        </w:rPr>
        <w:t>32.2</w:t>
      </w:r>
      <w:r>
        <w:rPr>
          <w:sz w:val="20"/>
          <w:szCs w:val="20"/>
          <w:color w:val="auto"/>
        </w:rPr>
        <w:tab/>
      </w:r>
      <w:hyperlink w:anchor="page227">
        <w:r>
          <w:rPr>
            <w:rFonts w:ascii="Arial" w:cs="Arial" w:eastAsia="Arial" w:hAnsi="Arial"/>
            <w:sz w:val="18"/>
            <w:szCs w:val="18"/>
            <w:u w:val="single" w:color="auto"/>
            <w:color w:val="0000FF"/>
          </w:rPr>
          <w:t>Certification pursuant to Rule 13a-14(b) and section 906 of the Sarbanes-Oxley Act of 2002 (subsections (a) and (b) of section</w:t>
        </w:r>
      </w:hyperlink>
    </w:p>
    <w:p>
      <w:pPr>
        <w:ind w:left="920"/>
        <w:spacing w:after="0"/>
        <w:rPr>
          <w:rFonts w:ascii="Arial" w:cs="Arial" w:eastAsia="Arial" w:hAnsi="Arial"/>
          <w:sz w:val="18"/>
          <w:szCs w:val="18"/>
          <w:u w:val="single" w:color="auto"/>
          <w:color w:val="0000FF"/>
        </w:rPr>
      </w:pPr>
      <w:hyperlink w:anchor="page227">
        <w:r>
          <w:rPr>
            <w:rFonts w:ascii="Arial" w:cs="Arial" w:eastAsia="Arial" w:hAnsi="Arial"/>
            <w:sz w:val="18"/>
            <w:szCs w:val="18"/>
            <w:u w:val="single" w:color="auto"/>
            <w:color w:val="0000FF"/>
          </w:rPr>
          <w:t>1350, chapter 63 of title 18, United States Code).</w:t>
        </w:r>
      </w:hyperlink>
    </w:p>
    <w:p>
      <w:pPr>
        <w:spacing w:after="0" w:line="50" w:lineRule="exact"/>
        <w:rPr>
          <w:sz w:val="20"/>
          <w:szCs w:val="20"/>
          <w:color w:val="auto"/>
        </w:rPr>
      </w:pPr>
    </w:p>
    <w:p>
      <w:pPr>
        <w:ind w:left="920" w:right="1920" w:hanging="917"/>
        <w:spacing w:after="0" w:line="246" w:lineRule="auto"/>
        <w:tabs>
          <w:tab w:leader="none" w:pos="900" w:val="left"/>
        </w:tabs>
        <w:rPr>
          <w:sz w:val="20"/>
          <w:szCs w:val="20"/>
          <w:color w:val="auto"/>
        </w:rPr>
      </w:pPr>
      <w:r>
        <w:rPr>
          <w:rFonts w:ascii="Arial" w:cs="Arial" w:eastAsia="Arial" w:hAnsi="Arial"/>
          <w:sz w:val="18"/>
          <w:szCs w:val="18"/>
          <w:color w:val="auto"/>
        </w:rPr>
        <w:t>101.1</w:t>
      </w:r>
      <w:r>
        <w:rPr>
          <w:sz w:val="20"/>
          <w:szCs w:val="20"/>
          <w:color w:val="auto"/>
        </w:rPr>
        <w:tab/>
      </w:r>
      <w:r>
        <w:rPr>
          <w:rFonts w:ascii="Arial" w:cs="Arial" w:eastAsia="Arial" w:hAnsi="Arial"/>
          <w:sz w:val="18"/>
          <w:szCs w:val="18"/>
          <w:color w:val="auto"/>
        </w:rPr>
        <w:t>Interactive data files pursuant to Rule 405 of Regulation S-T, formatted in Inline XBRL (eXtensible Business Reporting Language).</w:t>
      </w:r>
    </w:p>
    <w:p>
      <w:pPr>
        <w:spacing w:after="0" w:line="35" w:lineRule="exact"/>
        <w:rPr>
          <w:sz w:val="20"/>
          <w:szCs w:val="20"/>
          <w:color w:val="auto"/>
        </w:rPr>
      </w:pPr>
    </w:p>
    <w:p>
      <w:pPr>
        <w:spacing w:after="0"/>
        <w:tabs>
          <w:tab w:leader="none" w:pos="900" w:val="left"/>
        </w:tabs>
        <w:rPr>
          <w:sz w:val="20"/>
          <w:szCs w:val="20"/>
          <w:color w:val="auto"/>
        </w:rPr>
      </w:pPr>
      <w:r>
        <w:rPr>
          <w:rFonts w:ascii="Arial" w:cs="Arial" w:eastAsia="Arial" w:hAnsi="Arial"/>
          <w:sz w:val="18"/>
          <w:szCs w:val="18"/>
          <w:color w:val="auto"/>
        </w:rPr>
        <w:t>104.1</w:t>
      </w:r>
      <w:r>
        <w:rPr>
          <w:sz w:val="20"/>
          <w:szCs w:val="20"/>
          <w:color w:val="auto"/>
        </w:rPr>
        <w:tab/>
      </w:r>
      <w:r>
        <w:rPr>
          <w:rFonts w:ascii="Arial" w:cs="Arial" w:eastAsia="Arial" w:hAnsi="Arial"/>
          <w:sz w:val="17"/>
          <w:szCs w:val="17"/>
          <w:color w:val="auto"/>
        </w:rPr>
        <w:t>Cover page interactive data file (formatted in Inline XBRL and contained in Exhibit 101.1).</w:t>
      </w:r>
    </w:p>
    <w:p>
      <w:pPr>
        <w:spacing w:after="0" w:line="23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182</w:t>
      </w:r>
    </w:p>
    <w:p>
      <w:pPr>
        <w:sectPr>
          <w:pgSz w:w="11900" w:h="16838" w:orient="portrait"/>
          <w:cols w:equalWidth="0" w:num="1">
            <w:col w:w="11360"/>
          </w:cols>
          <w:pgMar w:left="280" w:top="721" w:right="259" w:bottom="1440" w:gutter="0" w:footer="0" w:header="0"/>
        </w:sectPr>
      </w:pPr>
    </w:p>
    <w:bookmarkStart w:id="182" w:name="page183"/>
    <w:bookmarkEnd w:id="182"/>
    <w:p>
      <w:pPr>
        <w:jc w:val="both"/>
        <w:ind w:left="360" w:hanging="270"/>
        <w:spacing w:after="0"/>
        <w:tabs>
          <w:tab w:leader="none" w:pos="360" w:val="left"/>
        </w:tabs>
        <w:numPr>
          <w:ilvl w:val="0"/>
          <w:numId w:val="72"/>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157480</wp:posOffset>
            </wp:positionH>
            <wp:positionV relativeFrom="page">
              <wp:posOffset>560705</wp:posOffset>
            </wp:positionV>
            <wp:extent cx="1337945" cy="8890"/>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310">
                      <a:extLst>
                        <a:ext uri="{28A0092B-C50C-407E-A947-70E740481C1C}"/>
                      </a:extLst>
                    </a:blip>
                    <a:srcRect/>
                    <a:stretch>
                      <a:fillRect/>
                    </a:stretch>
                  </pic:blipFill>
                  <pic:spPr bwMode="auto">
                    <a:xfrm>
                      <a:off x="0" y="0"/>
                      <a:ext cx="1337945" cy="8890"/>
                    </a:xfrm>
                    <a:prstGeom prst="rect">
                      <a:avLst/>
                    </a:prstGeom>
                    <a:noFill/>
                  </pic:spPr>
                </pic:pic>
              </a:graphicData>
            </a:graphic>
          </wp:anchor>
        </w:drawing>
        <w:t>Pursuant to Item 601(b)(2) of Regulation S-K promulgated by the Securities and Exchange Commission, certain exhibits and schedules to this agreement have been omitted. Such exhibits and schedules are described in the referenced agreement. AAG and American hereby agree to furnish to the Securities and Exchange Commission, upon its request, any or all of such omitted exhibits or schedules.</w:t>
      </w:r>
    </w:p>
    <w:p>
      <w:pPr>
        <w:spacing w:after="0" w:line="41" w:lineRule="exact"/>
        <w:rPr>
          <w:sz w:val="20"/>
          <w:szCs w:val="20"/>
          <w:color w:val="auto"/>
        </w:rPr>
      </w:pPr>
    </w:p>
    <w:p>
      <w:pPr>
        <w:ind w:left="360" w:hanging="270"/>
        <w:spacing w:after="0"/>
        <w:tabs>
          <w:tab w:leader="none" w:pos="360" w:val="left"/>
        </w:tabs>
        <w:numPr>
          <w:ilvl w:val="1"/>
          <w:numId w:val="73"/>
        </w:numPr>
        <w:rPr>
          <w:rFonts w:ascii="Arial" w:cs="Arial" w:eastAsia="Arial" w:hAnsi="Arial"/>
          <w:sz w:val="18"/>
          <w:szCs w:val="18"/>
          <w:color w:val="auto"/>
        </w:rPr>
      </w:pPr>
      <w:r>
        <w:rPr>
          <w:rFonts w:ascii="Arial" w:cs="Arial" w:eastAsia="Arial" w:hAnsi="Arial"/>
          <w:sz w:val="18"/>
          <w:szCs w:val="18"/>
          <w:color w:val="auto"/>
        </w:rPr>
        <w:t>Confidential treatment has been granted with respect to certain portions of this agreement.</w:t>
      </w:r>
    </w:p>
    <w:p>
      <w:pPr>
        <w:spacing w:after="0" w:line="63" w:lineRule="exact"/>
        <w:rPr>
          <w:rFonts w:ascii="Arial" w:cs="Arial" w:eastAsia="Arial" w:hAnsi="Arial"/>
          <w:sz w:val="18"/>
          <w:szCs w:val="18"/>
          <w:color w:val="auto"/>
        </w:rPr>
      </w:pPr>
    </w:p>
    <w:p>
      <w:pPr>
        <w:ind w:left="360" w:right="20" w:hanging="360"/>
        <w:spacing w:after="0" w:line="246" w:lineRule="auto"/>
        <w:tabs>
          <w:tab w:leader="none" w:pos="360" w:val="left"/>
        </w:tabs>
        <w:numPr>
          <w:ilvl w:val="0"/>
          <w:numId w:val="73"/>
        </w:numPr>
        <w:rPr>
          <w:rFonts w:ascii="Arial" w:cs="Arial" w:eastAsia="Arial" w:hAnsi="Arial"/>
          <w:sz w:val="18"/>
          <w:szCs w:val="18"/>
          <w:color w:val="auto"/>
        </w:rPr>
      </w:pPr>
      <w:r>
        <w:rPr>
          <w:rFonts w:ascii="Arial" w:cs="Arial" w:eastAsia="Arial" w:hAnsi="Arial"/>
          <w:sz w:val="18"/>
          <w:szCs w:val="18"/>
          <w:color w:val="auto"/>
        </w:rPr>
        <w:t>Certain confidential information contained in this agreement has been omitted because it (i) is not material and (ii) would be competitively harmful if publicly disclosed.</w:t>
      </w:r>
    </w:p>
    <w:p>
      <w:pPr>
        <w:spacing w:after="0" w:line="35" w:lineRule="exact"/>
        <w:rPr>
          <w:sz w:val="20"/>
          <w:szCs w:val="20"/>
          <w:color w:val="auto"/>
        </w:rPr>
      </w:pPr>
    </w:p>
    <w:p>
      <w:pPr>
        <w:ind w:left="80"/>
        <w:spacing w:after="0"/>
        <w:tabs>
          <w:tab w:leader="none" w:pos="340" w:val="left"/>
        </w:tabs>
        <w:rPr>
          <w:sz w:val="20"/>
          <w:szCs w:val="20"/>
          <w:color w:val="auto"/>
        </w:rPr>
      </w:pPr>
      <w:r>
        <w:rPr>
          <w:rFonts w:ascii="Arial" w:cs="Arial" w:eastAsia="Arial" w:hAnsi="Arial"/>
          <w:sz w:val="18"/>
          <w:szCs w:val="18"/>
          <w:color w:val="auto"/>
        </w:rPr>
        <w:t>†</w:t>
      </w:r>
      <w:r>
        <w:rPr>
          <w:sz w:val="20"/>
          <w:szCs w:val="20"/>
          <w:color w:val="auto"/>
        </w:rPr>
        <w:tab/>
      </w:r>
      <w:r>
        <w:rPr>
          <w:rFonts w:ascii="Arial" w:cs="Arial" w:eastAsia="Arial" w:hAnsi="Arial"/>
          <w:sz w:val="17"/>
          <w:szCs w:val="17"/>
          <w:color w:val="auto"/>
        </w:rPr>
        <w:t>Management contract or compensatory plan or arrangement.</w:t>
      </w:r>
    </w:p>
    <w:p>
      <w:pPr>
        <w:spacing w:after="0" w:line="252" w:lineRule="exact"/>
        <w:rPr>
          <w:sz w:val="20"/>
          <w:szCs w:val="20"/>
          <w:color w:val="auto"/>
        </w:rPr>
      </w:pPr>
    </w:p>
    <w:p>
      <w:pPr>
        <w:jc w:val="center"/>
        <w:ind w:right="240"/>
        <w:spacing w:after="0"/>
        <w:rPr>
          <w:sz w:val="20"/>
          <w:szCs w:val="20"/>
          <w:color w:val="auto"/>
        </w:rPr>
      </w:pPr>
      <w:r>
        <w:rPr>
          <w:rFonts w:ascii="Arial" w:cs="Arial" w:eastAsia="Arial" w:hAnsi="Arial"/>
          <w:sz w:val="18"/>
          <w:szCs w:val="18"/>
          <w:color w:val="auto"/>
        </w:rPr>
        <w:t>183</w:t>
      </w:r>
    </w:p>
    <w:p>
      <w:pPr>
        <w:sectPr>
          <w:pgSz w:w="11900" w:h="16838" w:orient="portrait"/>
          <w:cols w:equalWidth="0" w:num="1">
            <w:col w:w="11140"/>
          </w:cols>
          <w:pgMar w:left="500" w:top="1057" w:right="259" w:bottom="1440" w:gutter="0" w:footer="0" w:header="0"/>
        </w:sectPr>
      </w:pPr>
    </w:p>
    <w:bookmarkStart w:id="183" w:name="page184"/>
    <w:bookmarkEnd w:id="183"/>
    <w:p>
      <w:pPr>
        <w:spacing w:after="0"/>
        <w:rPr>
          <w:sz w:val="20"/>
          <w:szCs w:val="20"/>
          <w:color w:val="auto"/>
        </w:rPr>
      </w:pPr>
      <w:r>
        <w:rPr>
          <w:rFonts w:ascii="Arial" w:cs="Arial" w:eastAsia="Arial" w:hAnsi="Arial"/>
          <w:sz w:val="18"/>
          <w:szCs w:val="18"/>
          <w:b w:val="1"/>
          <w:bCs w:val="1"/>
          <w:color w:val="auto"/>
        </w:rPr>
        <w:t>ITEM 16. FORM 10-K SUMMARY</w:t>
      </w:r>
    </w:p>
    <w:p>
      <w:pPr>
        <w:spacing w:after="0" w:line="112" w:lineRule="exact"/>
        <w:rPr>
          <w:sz w:val="20"/>
          <w:szCs w:val="20"/>
          <w:color w:val="auto"/>
        </w:rPr>
      </w:pPr>
    </w:p>
    <w:p>
      <w:pPr>
        <w:ind w:left="220"/>
        <w:spacing w:after="0"/>
        <w:rPr>
          <w:sz w:val="20"/>
          <w:szCs w:val="20"/>
          <w:color w:val="auto"/>
        </w:rPr>
      </w:pPr>
      <w:r>
        <w:rPr>
          <w:rFonts w:ascii="Arial" w:cs="Arial" w:eastAsia="Arial" w:hAnsi="Arial"/>
          <w:sz w:val="18"/>
          <w:szCs w:val="18"/>
          <w:color w:val="auto"/>
        </w:rPr>
        <w:t>None.</w:t>
      </w:r>
    </w:p>
    <w:p>
      <w:pPr>
        <w:spacing w:after="0" w:line="225" w:lineRule="exact"/>
        <w:rPr>
          <w:sz w:val="20"/>
          <w:szCs w:val="20"/>
          <w:color w:val="auto"/>
        </w:rPr>
      </w:pPr>
    </w:p>
    <w:p>
      <w:pPr>
        <w:jc w:val="right"/>
        <w:ind w:right="4359"/>
        <w:spacing w:after="0"/>
        <w:rPr>
          <w:sz w:val="20"/>
          <w:szCs w:val="20"/>
          <w:color w:val="auto"/>
        </w:rPr>
      </w:pPr>
      <w:r>
        <w:rPr>
          <w:rFonts w:ascii="Arial" w:cs="Arial" w:eastAsia="Arial" w:hAnsi="Arial"/>
          <w:sz w:val="18"/>
          <w:szCs w:val="18"/>
          <w:color w:val="auto"/>
        </w:rPr>
        <w:t>184</w:t>
      </w:r>
    </w:p>
    <w:p>
      <w:pPr>
        <w:sectPr>
          <w:pgSz w:w="11900" w:h="16838" w:orient="portrait"/>
          <w:cols w:equalWidth="0" w:num="1">
            <w:col w:w="10219"/>
          </w:cols>
          <w:pgMar w:left="240" w:top="792" w:right="1440" w:bottom="1440" w:gutter="0" w:footer="0" w:header="0"/>
        </w:sectPr>
      </w:pPr>
    </w:p>
    <w:bookmarkStart w:id="184" w:name="page185"/>
    <w:bookmarkEnd w:id="184"/>
    <w:p>
      <w:pPr>
        <w:jc w:val="center"/>
        <w:ind w:right="-19"/>
        <w:spacing w:after="0"/>
        <w:rPr>
          <w:sz w:val="20"/>
          <w:szCs w:val="20"/>
          <w:color w:val="auto"/>
        </w:rPr>
      </w:pPr>
      <w:r>
        <w:rPr>
          <w:rFonts w:ascii="Arial" w:cs="Arial" w:eastAsia="Arial" w:hAnsi="Arial"/>
          <w:sz w:val="18"/>
          <w:szCs w:val="18"/>
          <w:b w:val="1"/>
          <w:bCs w:val="1"/>
          <w:color w:val="auto"/>
        </w:rPr>
        <w:t>SIGNATURES</w:t>
      </w:r>
    </w:p>
    <w:p>
      <w:pPr>
        <w:spacing w:after="0" w:line="193" w:lineRule="exact"/>
        <w:rPr>
          <w:sz w:val="20"/>
          <w:szCs w:val="20"/>
          <w:color w:val="auto"/>
        </w:rPr>
      </w:pPr>
    </w:p>
    <w:p>
      <w:pPr>
        <w:ind w:firstLine="216"/>
        <w:spacing w:after="0" w:line="262" w:lineRule="auto"/>
        <w:rPr>
          <w:sz w:val="20"/>
          <w:szCs w:val="20"/>
          <w:color w:val="auto"/>
        </w:rPr>
      </w:pPr>
      <w:r>
        <w:rPr>
          <w:rFonts w:ascii="Arial" w:cs="Arial" w:eastAsia="Arial" w:hAnsi="Arial"/>
          <w:sz w:val="18"/>
          <w:szCs w:val="18"/>
          <w:color w:val="auto"/>
        </w:rPr>
        <w:t>Pursuant to the requirements of Section 13 or 15(d) of the Securities Exchange Act of 1934, the registrant has duly caused this report to be signed on its behalf by the undersigned, thereunto duly authorized.</w:t>
      </w:r>
    </w:p>
    <w:p>
      <w:pPr>
        <w:spacing w:after="0" w:line="282" w:lineRule="exact"/>
        <w:rPr>
          <w:sz w:val="20"/>
          <w:szCs w:val="20"/>
          <w:color w:val="auto"/>
        </w:rPr>
      </w:pPr>
    </w:p>
    <w:p>
      <w:pPr>
        <w:ind w:left="5660"/>
        <w:spacing w:after="0"/>
        <w:rPr>
          <w:sz w:val="20"/>
          <w:szCs w:val="20"/>
          <w:color w:val="auto"/>
        </w:rPr>
      </w:pPr>
      <w:r>
        <w:rPr>
          <w:rFonts w:ascii="Arial" w:cs="Arial" w:eastAsia="Arial" w:hAnsi="Arial"/>
          <w:sz w:val="18"/>
          <w:szCs w:val="18"/>
          <w:b w:val="1"/>
          <w:bCs w:val="1"/>
          <w:color w:val="auto"/>
        </w:rPr>
        <w:t>American Airlines Group Inc.</w:t>
      </w:r>
    </w:p>
    <w:p>
      <w:pPr>
        <w:spacing w:after="0" w:line="72" w:lineRule="exact"/>
        <w:rPr>
          <w:sz w:val="20"/>
          <w:szCs w:val="20"/>
          <w:color w:val="auto"/>
        </w:rPr>
      </w:pPr>
    </w:p>
    <w:p>
      <w:pPr>
        <w:ind w:left="40"/>
        <w:spacing w:after="0"/>
        <w:tabs>
          <w:tab w:leader="none" w:pos="5640" w:val="left"/>
          <w:tab w:leader="none" w:pos="6620" w:val="left"/>
          <w:tab w:leader="none" w:pos="7000" w:val="left"/>
        </w:tabs>
        <w:rPr>
          <w:sz w:val="20"/>
          <w:szCs w:val="20"/>
          <w:color w:val="auto"/>
        </w:rPr>
      </w:pPr>
      <w:r>
        <w:rPr>
          <w:rFonts w:ascii="Arial" w:cs="Arial" w:eastAsia="Arial" w:hAnsi="Arial"/>
          <w:sz w:val="18"/>
          <w:szCs w:val="18"/>
          <w:color w:val="auto"/>
        </w:rPr>
        <w:t>Date: February 19, 2020</w:t>
      </w:r>
      <w:r>
        <w:rPr>
          <w:sz w:val="20"/>
          <w:szCs w:val="20"/>
          <w:color w:val="auto"/>
        </w:rPr>
        <w:tab/>
      </w:r>
      <w:r>
        <w:rPr>
          <w:rFonts w:ascii="Arial" w:cs="Arial" w:eastAsia="Arial" w:hAnsi="Arial"/>
          <w:sz w:val="18"/>
          <w:szCs w:val="18"/>
          <w:color w:val="auto"/>
        </w:rPr>
        <w:t>By:</w:t>
      </w:r>
      <w:r>
        <w:rPr>
          <w:sz w:val="20"/>
          <w:szCs w:val="20"/>
          <w:color w:val="auto"/>
        </w:rPr>
        <w:tab/>
      </w:r>
      <w:r>
        <w:rPr>
          <w:rFonts w:ascii="Arial" w:cs="Arial" w:eastAsia="Arial" w:hAnsi="Arial"/>
          <w:sz w:val="18"/>
          <w:szCs w:val="18"/>
          <w:color w:val="auto"/>
        </w:rPr>
        <w:t>/s/</w:t>
      </w:r>
      <w:r>
        <w:rPr>
          <w:sz w:val="20"/>
          <w:szCs w:val="20"/>
          <w:color w:val="auto"/>
        </w:rPr>
        <w:tab/>
      </w:r>
      <w:r>
        <w:rPr>
          <w:rFonts w:ascii="Arial" w:cs="Arial" w:eastAsia="Arial" w:hAnsi="Arial"/>
          <w:sz w:val="17"/>
          <w:szCs w:val="17"/>
          <w:color w:val="auto"/>
        </w:rPr>
        <w:t>W. Douglas Parker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4198620</wp:posOffset>
            </wp:positionH>
            <wp:positionV relativeFrom="paragraph">
              <wp:posOffset>14605</wp:posOffset>
            </wp:positionV>
            <wp:extent cx="2675890" cy="8890"/>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311">
                      <a:extLst>
                        <a:ext uri="{28A0092B-C50C-407E-A947-70E740481C1C}"/>
                      </a:extLst>
                    </a:blip>
                    <a:srcRect/>
                    <a:stretch>
                      <a:fillRect/>
                    </a:stretch>
                  </pic:blipFill>
                  <pic:spPr bwMode="auto">
                    <a:xfrm>
                      <a:off x="0" y="0"/>
                      <a:ext cx="2675890" cy="8890"/>
                    </a:xfrm>
                    <a:prstGeom prst="rect">
                      <a:avLst/>
                    </a:prstGeom>
                    <a:noFill/>
                  </pic:spPr>
                </pic:pic>
              </a:graphicData>
            </a:graphic>
          </wp:anchor>
        </w:drawing>
      </w:r>
    </w:p>
    <w:p>
      <w:pPr>
        <w:spacing w:after="0" w:line="43" w:lineRule="exact"/>
        <w:rPr>
          <w:sz w:val="20"/>
          <w:szCs w:val="20"/>
          <w:color w:val="auto"/>
        </w:rPr>
      </w:pPr>
    </w:p>
    <w:p>
      <w:pPr>
        <w:ind w:left="6640"/>
        <w:spacing w:after="0"/>
        <w:rPr>
          <w:sz w:val="20"/>
          <w:szCs w:val="20"/>
          <w:color w:val="auto"/>
        </w:rPr>
      </w:pPr>
      <w:r>
        <w:rPr>
          <w:rFonts w:ascii="Arial" w:cs="Arial" w:eastAsia="Arial" w:hAnsi="Arial"/>
          <w:sz w:val="18"/>
          <w:szCs w:val="18"/>
          <w:color w:val="auto"/>
        </w:rPr>
        <w:t>W. Douglas Parker</w:t>
      </w:r>
    </w:p>
    <w:p>
      <w:pPr>
        <w:spacing w:after="0" w:line="63" w:lineRule="exact"/>
        <w:rPr>
          <w:sz w:val="20"/>
          <w:szCs w:val="20"/>
          <w:color w:val="auto"/>
        </w:rPr>
      </w:pPr>
    </w:p>
    <w:p>
      <w:pPr>
        <w:ind w:left="6640"/>
        <w:spacing w:after="0"/>
        <w:rPr>
          <w:sz w:val="20"/>
          <w:szCs w:val="20"/>
          <w:color w:val="auto"/>
        </w:rPr>
      </w:pPr>
      <w:r>
        <w:rPr>
          <w:rFonts w:ascii="Arial" w:cs="Arial" w:eastAsia="Arial" w:hAnsi="Arial"/>
          <w:sz w:val="18"/>
          <w:szCs w:val="18"/>
          <w:color w:val="auto"/>
        </w:rPr>
        <w:t>Chairman and Chief Executive Officer</w:t>
      </w:r>
    </w:p>
    <w:p>
      <w:pPr>
        <w:spacing w:after="0" w:line="63" w:lineRule="exact"/>
        <w:rPr>
          <w:sz w:val="20"/>
          <w:szCs w:val="20"/>
          <w:color w:val="auto"/>
        </w:rPr>
      </w:pPr>
    </w:p>
    <w:p>
      <w:pPr>
        <w:ind w:left="6640"/>
        <w:spacing w:after="0"/>
        <w:rPr>
          <w:sz w:val="20"/>
          <w:szCs w:val="20"/>
          <w:color w:val="auto"/>
        </w:rPr>
      </w:pPr>
      <w:r>
        <w:rPr>
          <w:rFonts w:ascii="Arial" w:cs="Arial" w:eastAsia="Arial" w:hAnsi="Arial"/>
          <w:sz w:val="18"/>
          <w:szCs w:val="18"/>
          <w:color w:val="auto"/>
        </w:rPr>
        <w:t>(Principal Executive Officer)</w:t>
      </w:r>
    </w:p>
    <w:p>
      <w:pPr>
        <w:spacing w:after="0" w:line="347" w:lineRule="exact"/>
        <w:rPr>
          <w:sz w:val="20"/>
          <w:szCs w:val="20"/>
          <w:color w:val="auto"/>
        </w:rPr>
      </w:pPr>
    </w:p>
    <w:p>
      <w:pPr>
        <w:ind w:firstLine="216"/>
        <w:spacing w:after="0" w:line="262" w:lineRule="auto"/>
        <w:rPr>
          <w:sz w:val="20"/>
          <w:szCs w:val="20"/>
          <w:color w:val="auto"/>
        </w:rPr>
      </w:pPr>
      <w:r>
        <w:rPr>
          <w:rFonts w:ascii="Arial" w:cs="Arial" w:eastAsia="Arial" w:hAnsi="Arial"/>
          <w:sz w:val="18"/>
          <w:szCs w:val="18"/>
          <w:color w:val="auto"/>
        </w:rPr>
        <w:t>Pursuant to the requirements of Section 13 or 15(d) of the Securities Exchange Act of 1934, the registrant has duly caused this report to be signed on its behalf by the undersigned, thereunto duly authorized.</w:t>
      </w:r>
    </w:p>
    <w:p>
      <w:pPr>
        <w:spacing w:after="0" w:line="282" w:lineRule="exact"/>
        <w:rPr>
          <w:sz w:val="20"/>
          <w:szCs w:val="20"/>
          <w:color w:val="auto"/>
        </w:rPr>
      </w:pPr>
    </w:p>
    <w:p>
      <w:pPr>
        <w:ind w:left="5660"/>
        <w:spacing w:after="0"/>
        <w:rPr>
          <w:sz w:val="20"/>
          <w:szCs w:val="20"/>
          <w:color w:val="auto"/>
        </w:rPr>
      </w:pPr>
      <w:r>
        <w:rPr>
          <w:rFonts w:ascii="Arial" w:cs="Arial" w:eastAsia="Arial" w:hAnsi="Arial"/>
          <w:sz w:val="18"/>
          <w:szCs w:val="18"/>
          <w:b w:val="1"/>
          <w:bCs w:val="1"/>
          <w:color w:val="auto"/>
        </w:rPr>
        <w:t>American Airlines, Inc.</w:t>
      </w:r>
    </w:p>
    <w:p>
      <w:pPr>
        <w:spacing w:after="0" w:line="72" w:lineRule="exact"/>
        <w:rPr>
          <w:sz w:val="20"/>
          <w:szCs w:val="20"/>
          <w:color w:val="auto"/>
        </w:rPr>
      </w:pPr>
    </w:p>
    <w:p>
      <w:pPr>
        <w:ind w:left="40"/>
        <w:spacing w:after="0"/>
        <w:tabs>
          <w:tab w:leader="none" w:pos="5640" w:val="left"/>
          <w:tab w:leader="none" w:pos="6620" w:val="left"/>
          <w:tab w:leader="none" w:pos="7000" w:val="left"/>
        </w:tabs>
        <w:rPr>
          <w:sz w:val="20"/>
          <w:szCs w:val="20"/>
          <w:color w:val="auto"/>
        </w:rPr>
      </w:pPr>
      <w:r>
        <w:rPr>
          <w:rFonts w:ascii="Arial" w:cs="Arial" w:eastAsia="Arial" w:hAnsi="Arial"/>
          <w:sz w:val="18"/>
          <w:szCs w:val="18"/>
          <w:color w:val="auto"/>
        </w:rPr>
        <w:t>Date: February 19, 2020</w:t>
      </w:r>
      <w:r>
        <w:rPr>
          <w:sz w:val="20"/>
          <w:szCs w:val="20"/>
          <w:color w:val="auto"/>
        </w:rPr>
        <w:tab/>
      </w:r>
      <w:r>
        <w:rPr>
          <w:rFonts w:ascii="Arial" w:cs="Arial" w:eastAsia="Arial" w:hAnsi="Arial"/>
          <w:sz w:val="18"/>
          <w:szCs w:val="18"/>
          <w:color w:val="auto"/>
        </w:rPr>
        <w:t>By:</w:t>
      </w:r>
      <w:r>
        <w:rPr>
          <w:sz w:val="20"/>
          <w:szCs w:val="20"/>
          <w:color w:val="auto"/>
        </w:rPr>
        <w:tab/>
      </w:r>
      <w:r>
        <w:rPr>
          <w:rFonts w:ascii="Arial" w:cs="Arial" w:eastAsia="Arial" w:hAnsi="Arial"/>
          <w:sz w:val="18"/>
          <w:szCs w:val="18"/>
          <w:color w:val="auto"/>
        </w:rPr>
        <w:t>/s/</w:t>
      </w:r>
      <w:r>
        <w:rPr>
          <w:sz w:val="20"/>
          <w:szCs w:val="20"/>
          <w:color w:val="auto"/>
        </w:rPr>
        <w:tab/>
      </w:r>
      <w:r>
        <w:rPr>
          <w:rFonts w:ascii="Arial" w:cs="Arial" w:eastAsia="Arial" w:hAnsi="Arial"/>
          <w:sz w:val="17"/>
          <w:szCs w:val="17"/>
          <w:color w:val="auto"/>
        </w:rPr>
        <w:t>W. Douglas Parker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4198620</wp:posOffset>
            </wp:positionH>
            <wp:positionV relativeFrom="paragraph">
              <wp:posOffset>14605</wp:posOffset>
            </wp:positionV>
            <wp:extent cx="2675890" cy="8890"/>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312">
                      <a:extLst>
                        <a:ext uri="{28A0092B-C50C-407E-A947-70E740481C1C}"/>
                      </a:extLst>
                    </a:blip>
                    <a:srcRect/>
                    <a:stretch>
                      <a:fillRect/>
                    </a:stretch>
                  </pic:blipFill>
                  <pic:spPr bwMode="auto">
                    <a:xfrm>
                      <a:off x="0" y="0"/>
                      <a:ext cx="2675890" cy="8890"/>
                    </a:xfrm>
                    <a:prstGeom prst="rect">
                      <a:avLst/>
                    </a:prstGeom>
                    <a:noFill/>
                  </pic:spPr>
                </pic:pic>
              </a:graphicData>
            </a:graphic>
          </wp:anchor>
        </w:drawing>
      </w:r>
    </w:p>
    <w:p>
      <w:pPr>
        <w:spacing w:after="0" w:line="43" w:lineRule="exact"/>
        <w:rPr>
          <w:sz w:val="20"/>
          <w:szCs w:val="20"/>
          <w:color w:val="auto"/>
        </w:rPr>
      </w:pPr>
    </w:p>
    <w:p>
      <w:pPr>
        <w:ind w:left="6640"/>
        <w:spacing w:after="0"/>
        <w:rPr>
          <w:sz w:val="20"/>
          <w:szCs w:val="20"/>
          <w:color w:val="auto"/>
        </w:rPr>
      </w:pPr>
      <w:r>
        <w:rPr>
          <w:rFonts w:ascii="Arial" w:cs="Arial" w:eastAsia="Arial" w:hAnsi="Arial"/>
          <w:sz w:val="18"/>
          <w:szCs w:val="18"/>
          <w:color w:val="auto"/>
        </w:rPr>
        <w:t>W. Douglas Parker</w:t>
      </w:r>
    </w:p>
    <w:p>
      <w:pPr>
        <w:spacing w:after="0" w:line="63" w:lineRule="exact"/>
        <w:rPr>
          <w:sz w:val="20"/>
          <w:szCs w:val="20"/>
          <w:color w:val="auto"/>
        </w:rPr>
      </w:pPr>
    </w:p>
    <w:p>
      <w:pPr>
        <w:ind w:left="6640"/>
        <w:spacing w:after="0"/>
        <w:rPr>
          <w:sz w:val="20"/>
          <w:szCs w:val="20"/>
          <w:color w:val="auto"/>
        </w:rPr>
      </w:pPr>
      <w:r>
        <w:rPr>
          <w:rFonts w:ascii="Arial" w:cs="Arial" w:eastAsia="Arial" w:hAnsi="Arial"/>
          <w:sz w:val="18"/>
          <w:szCs w:val="18"/>
          <w:color w:val="auto"/>
        </w:rPr>
        <w:t>Chairman and Chief Executive Officer</w:t>
      </w:r>
    </w:p>
    <w:p>
      <w:pPr>
        <w:spacing w:after="0" w:line="63" w:lineRule="exact"/>
        <w:rPr>
          <w:sz w:val="20"/>
          <w:szCs w:val="20"/>
          <w:color w:val="auto"/>
        </w:rPr>
      </w:pPr>
    </w:p>
    <w:p>
      <w:pPr>
        <w:ind w:left="6640"/>
        <w:spacing w:after="0"/>
        <w:rPr>
          <w:sz w:val="20"/>
          <w:szCs w:val="20"/>
          <w:color w:val="auto"/>
        </w:rPr>
      </w:pPr>
      <w:r>
        <w:rPr>
          <w:rFonts w:ascii="Arial" w:cs="Arial" w:eastAsia="Arial" w:hAnsi="Arial"/>
          <w:sz w:val="18"/>
          <w:szCs w:val="18"/>
          <w:color w:val="auto"/>
        </w:rPr>
        <w:t>(Principal Executive Officer)</w:t>
      </w:r>
    </w:p>
    <w:p>
      <w:pPr>
        <w:spacing w:after="0" w:line="200" w:lineRule="exact"/>
        <w:rPr>
          <w:sz w:val="20"/>
          <w:szCs w:val="20"/>
          <w:color w:val="auto"/>
        </w:rPr>
      </w:pPr>
    </w:p>
    <w:p>
      <w:pPr>
        <w:spacing w:after="0" w:line="20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185</w:t>
      </w:r>
    </w:p>
    <w:p>
      <w:pPr>
        <w:sectPr>
          <w:pgSz w:w="11900" w:h="16838" w:orient="portrait"/>
          <w:cols w:equalWidth="0" w:num="1">
            <w:col w:w="11420"/>
          </w:cols>
          <w:pgMar w:left="240" w:top="549" w:right="239" w:bottom="1440" w:gutter="0" w:footer="0" w:header="0"/>
        </w:sectPr>
      </w:pPr>
    </w:p>
    <w:bookmarkStart w:id="185" w:name="page186"/>
    <w:bookmarkEnd w:id="185"/>
    <w:p>
      <w:pPr>
        <w:jc w:val="both"/>
        <w:ind w:firstLine="216"/>
        <w:spacing w:after="0" w:line="252" w:lineRule="auto"/>
        <w:rPr>
          <w:sz w:val="20"/>
          <w:szCs w:val="20"/>
          <w:color w:val="auto"/>
        </w:rPr>
      </w:pPr>
      <w:r>
        <w:rPr>
          <w:rFonts w:ascii="Arial" w:cs="Arial" w:eastAsia="Arial" w:hAnsi="Arial"/>
          <w:sz w:val="18"/>
          <w:szCs w:val="18"/>
          <w:color w:val="auto"/>
        </w:rPr>
        <w:t>KNOW ALL PERSONS BY THESE PRESENTS, that each individual whose signature appears below constitutes and appoints W. Douglas Parker and Derek J. Kerr and each or any of them, his or her true and lawful attorneys and agents, with full power of substitution and resubstitution, for him or her and in his or her name, place and stead, in any and all capacities, to sign any and all amendments to the registrants’ Annual Report on Form 10-K for the fiscal year ended December 31, 2019, and to file the same with all exhibits thereto, and all other documents in connection therewith, with the Securities and Exchange Commission, granting unto said attorneys and agents, and each or any of them, full power and authority to do and perform each and every act and thing requisite and necessary to be done, as fully to all intents and purposes as he or she might or could do in person, hereby ratifying and confirming all that said attorneys and agents, and each of them, or his substitute or substitutes, may lawfully do or cause to be done by virtue hereof.</w:t>
      </w:r>
    </w:p>
    <w:p>
      <w:pPr>
        <w:spacing w:after="0" w:line="314" w:lineRule="exact"/>
        <w:rPr>
          <w:sz w:val="20"/>
          <w:szCs w:val="20"/>
          <w:color w:val="auto"/>
        </w:rPr>
      </w:pPr>
    </w:p>
    <w:p>
      <w:pPr>
        <w:jc w:val="both"/>
        <w:ind w:right="20" w:firstLine="216"/>
        <w:spacing w:after="0" w:line="262" w:lineRule="auto"/>
        <w:rPr>
          <w:sz w:val="20"/>
          <w:szCs w:val="20"/>
          <w:color w:val="auto"/>
        </w:rPr>
      </w:pPr>
      <w:r>
        <w:rPr>
          <w:rFonts w:ascii="Arial" w:cs="Arial" w:eastAsia="Arial" w:hAnsi="Arial"/>
          <w:sz w:val="18"/>
          <w:szCs w:val="18"/>
          <w:color w:val="auto"/>
        </w:rPr>
        <w:t>Pursuant to the requirements of the Securities Exchange Act of 1934, this report has been signed below by the following persons on behalf of American Airlines Group Inc. and in the capacities and on the dates noted:</w:t>
      </w:r>
    </w:p>
    <w:p>
      <w:pPr>
        <w:spacing w:after="0" w:line="304" w:lineRule="exact"/>
        <w:rPr>
          <w:sz w:val="20"/>
          <w:szCs w:val="20"/>
          <w:color w:val="auto"/>
        </w:rPr>
      </w:pPr>
    </w:p>
    <w:p>
      <w:pPr>
        <w:ind w:left="40"/>
        <w:spacing w:after="0"/>
        <w:tabs>
          <w:tab w:leader="none" w:pos="5440" w:val="left"/>
          <w:tab w:leader="none" w:pos="5820" w:val="left"/>
        </w:tabs>
        <w:rPr>
          <w:sz w:val="20"/>
          <w:szCs w:val="20"/>
          <w:color w:val="auto"/>
        </w:rPr>
      </w:pPr>
      <w:r>
        <w:rPr>
          <w:rFonts w:ascii="Arial" w:cs="Arial" w:eastAsia="Arial" w:hAnsi="Arial"/>
          <w:sz w:val="18"/>
          <w:szCs w:val="18"/>
          <w:color w:val="auto"/>
        </w:rPr>
        <w:t>Date: February 19, 2020</w:t>
      </w:r>
      <w:r>
        <w:rPr>
          <w:sz w:val="20"/>
          <w:szCs w:val="20"/>
          <w:color w:val="auto"/>
        </w:rPr>
        <w:tab/>
      </w:r>
      <w:r>
        <w:rPr>
          <w:rFonts w:ascii="Arial" w:cs="Arial" w:eastAsia="Arial" w:hAnsi="Arial"/>
          <w:sz w:val="18"/>
          <w:szCs w:val="18"/>
          <w:color w:val="auto"/>
        </w:rPr>
        <w:t>/s/</w:t>
      </w:r>
      <w:r>
        <w:rPr>
          <w:sz w:val="20"/>
          <w:szCs w:val="20"/>
          <w:color w:val="auto"/>
        </w:rPr>
        <w:tab/>
      </w:r>
      <w:r>
        <w:rPr>
          <w:rFonts w:ascii="Arial" w:cs="Arial" w:eastAsia="Arial" w:hAnsi="Arial"/>
          <w:sz w:val="17"/>
          <w:szCs w:val="17"/>
          <w:color w:val="auto"/>
        </w:rPr>
        <w:t>W. Douglas Parker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3444240</wp:posOffset>
            </wp:positionH>
            <wp:positionV relativeFrom="paragraph">
              <wp:posOffset>14605</wp:posOffset>
            </wp:positionV>
            <wp:extent cx="3430270" cy="8890"/>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313">
                      <a:extLst>
                        <a:ext uri="{28A0092B-C50C-407E-A947-70E740481C1C}"/>
                      </a:extLst>
                    </a:blip>
                    <a:srcRect/>
                    <a:stretch>
                      <a:fillRect/>
                    </a:stretch>
                  </pic:blipFill>
                  <pic:spPr bwMode="auto">
                    <a:xfrm>
                      <a:off x="0" y="0"/>
                      <a:ext cx="3430270" cy="8890"/>
                    </a:xfrm>
                    <a:prstGeom prst="rect">
                      <a:avLst/>
                    </a:prstGeom>
                    <a:noFill/>
                  </pic:spPr>
                </pic:pic>
              </a:graphicData>
            </a:graphic>
          </wp:anchor>
        </w:drawing>
      </w:r>
    </w:p>
    <w:p>
      <w:pPr>
        <w:spacing w:after="0" w:line="43" w:lineRule="exact"/>
        <w:rPr>
          <w:sz w:val="20"/>
          <w:szCs w:val="20"/>
          <w:color w:val="auto"/>
        </w:rPr>
      </w:pPr>
    </w:p>
    <w:p>
      <w:pPr>
        <w:ind w:left="5460"/>
        <w:spacing w:after="0"/>
        <w:rPr>
          <w:sz w:val="20"/>
          <w:szCs w:val="20"/>
          <w:color w:val="auto"/>
        </w:rPr>
      </w:pPr>
      <w:r>
        <w:rPr>
          <w:rFonts w:ascii="Arial" w:cs="Arial" w:eastAsia="Arial" w:hAnsi="Arial"/>
          <w:sz w:val="18"/>
          <w:szCs w:val="18"/>
          <w:color w:val="auto"/>
        </w:rPr>
        <w:t>W. Douglas Parker</w:t>
      </w:r>
    </w:p>
    <w:p>
      <w:pPr>
        <w:spacing w:after="0" w:line="63" w:lineRule="exact"/>
        <w:rPr>
          <w:sz w:val="20"/>
          <w:szCs w:val="20"/>
          <w:color w:val="auto"/>
        </w:rPr>
      </w:pPr>
    </w:p>
    <w:p>
      <w:pPr>
        <w:ind w:left="5460"/>
        <w:spacing w:after="0"/>
        <w:rPr>
          <w:sz w:val="20"/>
          <w:szCs w:val="20"/>
          <w:color w:val="auto"/>
        </w:rPr>
      </w:pPr>
      <w:r>
        <w:rPr>
          <w:rFonts w:ascii="Arial" w:cs="Arial" w:eastAsia="Arial" w:hAnsi="Arial"/>
          <w:sz w:val="18"/>
          <w:szCs w:val="18"/>
          <w:color w:val="auto"/>
        </w:rPr>
        <w:t>Chairman and Chief Executive Officer</w:t>
      </w:r>
    </w:p>
    <w:p>
      <w:pPr>
        <w:spacing w:after="0" w:line="63" w:lineRule="exact"/>
        <w:rPr>
          <w:sz w:val="20"/>
          <w:szCs w:val="20"/>
          <w:color w:val="auto"/>
        </w:rPr>
      </w:pPr>
    </w:p>
    <w:p>
      <w:pPr>
        <w:ind w:left="5460"/>
        <w:spacing w:after="0"/>
        <w:rPr>
          <w:sz w:val="20"/>
          <w:szCs w:val="20"/>
          <w:color w:val="auto"/>
        </w:rPr>
      </w:pPr>
      <w:r>
        <w:rPr>
          <w:rFonts w:ascii="Arial" w:cs="Arial" w:eastAsia="Arial" w:hAnsi="Arial"/>
          <w:sz w:val="18"/>
          <w:szCs w:val="18"/>
          <w:color w:val="auto"/>
        </w:rPr>
        <w:t>(Principal Executive Officer)</w:t>
      </w:r>
    </w:p>
    <w:p>
      <w:pPr>
        <w:spacing w:after="0" w:line="374" w:lineRule="exact"/>
        <w:rPr>
          <w:sz w:val="20"/>
          <w:szCs w:val="20"/>
          <w:color w:val="auto"/>
        </w:rPr>
      </w:pPr>
    </w:p>
    <w:p>
      <w:pPr>
        <w:ind w:left="40"/>
        <w:spacing w:after="0"/>
        <w:tabs>
          <w:tab w:leader="none" w:pos="5440" w:val="left"/>
          <w:tab w:leader="none" w:pos="5820" w:val="left"/>
        </w:tabs>
        <w:rPr>
          <w:sz w:val="20"/>
          <w:szCs w:val="20"/>
          <w:color w:val="auto"/>
        </w:rPr>
      </w:pPr>
      <w:r>
        <w:rPr>
          <w:rFonts w:ascii="Arial" w:cs="Arial" w:eastAsia="Arial" w:hAnsi="Arial"/>
          <w:sz w:val="18"/>
          <w:szCs w:val="18"/>
          <w:color w:val="auto"/>
        </w:rPr>
        <w:t>Date: February 19, 2020</w:t>
      </w:r>
      <w:r>
        <w:rPr>
          <w:sz w:val="20"/>
          <w:szCs w:val="20"/>
          <w:color w:val="auto"/>
        </w:rPr>
        <w:tab/>
      </w:r>
      <w:r>
        <w:rPr>
          <w:rFonts w:ascii="Arial" w:cs="Arial" w:eastAsia="Arial" w:hAnsi="Arial"/>
          <w:sz w:val="18"/>
          <w:szCs w:val="18"/>
          <w:color w:val="auto"/>
        </w:rPr>
        <w:t>/s/</w:t>
      </w:r>
      <w:r>
        <w:rPr>
          <w:sz w:val="20"/>
          <w:szCs w:val="20"/>
          <w:color w:val="auto"/>
        </w:rPr>
        <w:tab/>
      </w:r>
      <w:r>
        <w:rPr>
          <w:rFonts w:ascii="Arial" w:cs="Arial" w:eastAsia="Arial" w:hAnsi="Arial"/>
          <w:sz w:val="17"/>
          <w:szCs w:val="17"/>
          <w:color w:val="auto"/>
        </w:rPr>
        <w:t>Derek J. Kerr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3444240</wp:posOffset>
            </wp:positionH>
            <wp:positionV relativeFrom="paragraph">
              <wp:posOffset>14605</wp:posOffset>
            </wp:positionV>
            <wp:extent cx="3430270" cy="8890"/>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314">
                      <a:extLst>
                        <a:ext uri="{28A0092B-C50C-407E-A947-70E740481C1C}"/>
                      </a:extLst>
                    </a:blip>
                    <a:srcRect/>
                    <a:stretch>
                      <a:fillRect/>
                    </a:stretch>
                  </pic:blipFill>
                  <pic:spPr bwMode="auto">
                    <a:xfrm>
                      <a:off x="0" y="0"/>
                      <a:ext cx="3430270" cy="8890"/>
                    </a:xfrm>
                    <a:prstGeom prst="rect">
                      <a:avLst/>
                    </a:prstGeom>
                    <a:noFill/>
                  </pic:spPr>
                </pic:pic>
              </a:graphicData>
            </a:graphic>
          </wp:anchor>
        </w:drawing>
      </w:r>
    </w:p>
    <w:p>
      <w:pPr>
        <w:spacing w:after="0" w:line="43" w:lineRule="exact"/>
        <w:rPr>
          <w:sz w:val="20"/>
          <w:szCs w:val="20"/>
          <w:color w:val="auto"/>
        </w:rPr>
      </w:pPr>
    </w:p>
    <w:p>
      <w:pPr>
        <w:ind w:left="5460"/>
        <w:spacing w:after="0"/>
        <w:rPr>
          <w:sz w:val="20"/>
          <w:szCs w:val="20"/>
          <w:color w:val="auto"/>
        </w:rPr>
      </w:pPr>
      <w:r>
        <w:rPr>
          <w:rFonts w:ascii="Arial" w:cs="Arial" w:eastAsia="Arial" w:hAnsi="Arial"/>
          <w:sz w:val="18"/>
          <w:szCs w:val="18"/>
          <w:color w:val="auto"/>
        </w:rPr>
        <w:t>Derek J. Kerr</w:t>
      </w:r>
    </w:p>
    <w:p>
      <w:pPr>
        <w:spacing w:after="0" w:line="63" w:lineRule="exact"/>
        <w:rPr>
          <w:sz w:val="20"/>
          <w:szCs w:val="20"/>
          <w:color w:val="auto"/>
        </w:rPr>
      </w:pPr>
    </w:p>
    <w:p>
      <w:pPr>
        <w:ind w:left="5460"/>
        <w:spacing w:after="0"/>
        <w:rPr>
          <w:sz w:val="20"/>
          <w:szCs w:val="20"/>
          <w:color w:val="auto"/>
        </w:rPr>
      </w:pPr>
      <w:r>
        <w:rPr>
          <w:rFonts w:ascii="Arial" w:cs="Arial" w:eastAsia="Arial" w:hAnsi="Arial"/>
          <w:sz w:val="18"/>
          <w:szCs w:val="18"/>
          <w:color w:val="auto"/>
        </w:rPr>
        <w:t>Executive Vice President and Chief Financial Officer</w:t>
      </w:r>
    </w:p>
    <w:p>
      <w:pPr>
        <w:spacing w:after="0" w:line="63" w:lineRule="exact"/>
        <w:rPr>
          <w:sz w:val="20"/>
          <w:szCs w:val="20"/>
          <w:color w:val="auto"/>
        </w:rPr>
      </w:pPr>
    </w:p>
    <w:p>
      <w:pPr>
        <w:ind w:left="5460"/>
        <w:spacing w:after="0"/>
        <w:rPr>
          <w:sz w:val="20"/>
          <w:szCs w:val="20"/>
          <w:color w:val="auto"/>
        </w:rPr>
      </w:pPr>
      <w:r>
        <w:rPr>
          <w:rFonts w:ascii="Arial" w:cs="Arial" w:eastAsia="Arial" w:hAnsi="Arial"/>
          <w:sz w:val="18"/>
          <w:szCs w:val="18"/>
          <w:color w:val="auto"/>
        </w:rPr>
        <w:t>(Principal Financial and Accounting Officer)</w:t>
      </w:r>
    </w:p>
    <w:p>
      <w:pPr>
        <w:sectPr>
          <w:pgSz w:w="11900" w:h="16838" w:orient="portrait"/>
          <w:cols w:equalWidth="0" w:num="1">
            <w:col w:w="11420"/>
          </w:cols>
          <w:pgMar w:left="240" w:top="571" w:right="239" w:bottom="1440" w:gutter="0" w:footer="0" w:header="0"/>
        </w:sectPr>
      </w:pPr>
    </w:p>
    <w:p>
      <w:pPr>
        <w:spacing w:after="0" w:line="374" w:lineRule="exact"/>
        <w:rPr>
          <w:sz w:val="20"/>
          <w:szCs w:val="20"/>
          <w:color w:val="auto"/>
        </w:rPr>
      </w:pPr>
    </w:p>
    <w:p>
      <w:pPr>
        <w:ind w:left="40"/>
        <w:spacing w:after="0"/>
        <w:rPr>
          <w:sz w:val="20"/>
          <w:szCs w:val="20"/>
          <w:color w:val="auto"/>
        </w:rPr>
      </w:pPr>
      <w:r>
        <w:rPr>
          <w:rFonts w:ascii="Arial" w:cs="Arial" w:eastAsia="Arial" w:hAnsi="Arial"/>
          <w:sz w:val="17"/>
          <w:szCs w:val="17"/>
          <w:color w:val="auto"/>
        </w:rPr>
        <w:t>Date: February 19, 2020</w:t>
      </w:r>
    </w:p>
    <w:p>
      <w:pPr>
        <w:spacing w:after="0" w:line="200" w:lineRule="exact"/>
        <w:rPr>
          <w:sz w:val="20"/>
          <w:szCs w:val="20"/>
          <w:color w:val="auto"/>
        </w:rPr>
      </w:pPr>
    </w:p>
    <w:p>
      <w:pPr>
        <w:spacing w:after="0" w:line="200" w:lineRule="exact"/>
        <w:rPr>
          <w:sz w:val="20"/>
          <w:szCs w:val="20"/>
          <w:color w:val="auto"/>
        </w:rPr>
      </w:pPr>
    </w:p>
    <w:p>
      <w:pPr>
        <w:spacing w:after="0" w:line="255" w:lineRule="exact"/>
        <w:rPr>
          <w:sz w:val="20"/>
          <w:szCs w:val="20"/>
          <w:color w:val="auto"/>
        </w:rPr>
      </w:pPr>
    </w:p>
    <w:p>
      <w:pPr>
        <w:ind w:left="40"/>
        <w:spacing w:after="0"/>
        <w:rPr>
          <w:sz w:val="20"/>
          <w:szCs w:val="20"/>
          <w:color w:val="auto"/>
        </w:rPr>
      </w:pPr>
      <w:r>
        <w:rPr>
          <w:rFonts w:ascii="Arial" w:cs="Arial" w:eastAsia="Arial" w:hAnsi="Arial"/>
          <w:sz w:val="17"/>
          <w:szCs w:val="17"/>
          <w:color w:val="auto"/>
        </w:rPr>
        <w:t>Date: February 19, 2020</w:t>
      </w:r>
    </w:p>
    <w:p>
      <w:pPr>
        <w:spacing w:after="0" w:line="200" w:lineRule="exact"/>
        <w:rPr>
          <w:sz w:val="20"/>
          <w:szCs w:val="20"/>
          <w:color w:val="auto"/>
        </w:rPr>
      </w:pPr>
    </w:p>
    <w:p>
      <w:pPr>
        <w:spacing w:after="0" w:line="200" w:lineRule="exact"/>
        <w:rPr>
          <w:sz w:val="20"/>
          <w:szCs w:val="20"/>
          <w:color w:val="auto"/>
        </w:rPr>
      </w:pPr>
    </w:p>
    <w:p>
      <w:pPr>
        <w:spacing w:after="0" w:line="255" w:lineRule="exact"/>
        <w:rPr>
          <w:sz w:val="20"/>
          <w:szCs w:val="20"/>
          <w:color w:val="auto"/>
        </w:rPr>
      </w:pPr>
    </w:p>
    <w:p>
      <w:pPr>
        <w:ind w:left="40"/>
        <w:spacing w:after="0"/>
        <w:rPr>
          <w:sz w:val="20"/>
          <w:szCs w:val="20"/>
          <w:color w:val="auto"/>
        </w:rPr>
      </w:pPr>
      <w:r>
        <w:rPr>
          <w:rFonts w:ascii="Arial" w:cs="Arial" w:eastAsia="Arial" w:hAnsi="Arial"/>
          <w:sz w:val="17"/>
          <w:szCs w:val="17"/>
          <w:color w:val="auto"/>
        </w:rPr>
        <w:t>Date: February 19, 2020</w:t>
      </w:r>
    </w:p>
    <w:p>
      <w:pPr>
        <w:spacing w:after="0" w:line="200" w:lineRule="exact"/>
        <w:rPr>
          <w:sz w:val="20"/>
          <w:szCs w:val="20"/>
          <w:color w:val="auto"/>
        </w:rPr>
      </w:pPr>
    </w:p>
    <w:p>
      <w:pPr>
        <w:spacing w:after="0" w:line="200" w:lineRule="exact"/>
        <w:rPr>
          <w:sz w:val="20"/>
          <w:szCs w:val="20"/>
          <w:color w:val="auto"/>
        </w:rPr>
      </w:pPr>
    </w:p>
    <w:p>
      <w:pPr>
        <w:spacing w:after="0" w:line="255" w:lineRule="exact"/>
        <w:rPr>
          <w:sz w:val="20"/>
          <w:szCs w:val="20"/>
          <w:color w:val="auto"/>
        </w:rPr>
      </w:pPr>
    </w:p>
    <w:p>
      <w:pPr>
        <w:ind w:left="40"/>
        <w:spacing w:after="0"/>
        <w:rPr>
          <w:sz w:val="20"/>
          <w:szCs w:val="20"/>
          <w:color w:val="auto"/>
        </w:rPr>
      </w:pPr>
      <w:r>
        <w:rPr>
          <w:rFonts w:ascii="Arial" w:cs="Arial" w:eastAsia="Arial" w:hAnsi="Arial"/>
          <w:sz w:val="17"/>
          <w:szCs w:val="17"/>
          <w:color w:val="auto"/>
        </w:rPr>
        <w:t>Date: February 19, 2020</w:t>
      </w:r>
    </w:p>
    <w:p>
      <w:pPr>
        <w:spacing w:after="0" w:line="200" w:lineRule="exact"/>
        <w:rPr>
          <w:sz w:val="20"/>
          <w:szCs w:val="20"/>
          <w:color w:val="auto"/>
        </w:rPr>
      </w:pPr>
    </w:p>
    <w:p>
      <w:pPr>
        <w:spacing w:after="0" w:line="200" w:lineRule="exact"/>
        <w:rPr>
          <w:sz w:val="20"/>
          <w:szCs w:val="20"/>
          <w:color w:val="auto"/>
        </w:rPr>
      </w:pPr>
    </w:p>
    <w:p>
      <w:pPr>
        <w:spacing w:after="0" w:line="255" w:lineRule="exact"/>
        <w:rPr>
          <w:sz w:val="20"/>
          <w:szCs w:val="20"/>
          <w:color w:val="auto"/>
        </w:rPr>
      </w:pPr>
    </w:p>
    <w:p>
      <w:pPr>
        <w:ind w:left="40"/>
        <w:spacing w:after="0"/>
        <w:rPr>
          <w:sz w:val="20"/>
          <w:szCs w:val="20"/>
          <w:color w:val="auto"/>
        </w:rPr>
      </w:pPr>
      <w:r>
        <w:rPr>
          <w:rFonts w:ascii="Arial" w:cs="Arial" w:eastAsia="Arial" w:hAnsi="Arial"/>
          <w:sz w:val="17"/>
          <w:szCs w:val="17"/>
          <w:color w:val="auto"/>
        </w:rPr>
        <w:t>Date: February 19, 2020</w:t>
      </w:r>
    </w:p>
    <w:p>
      <w:pPr>
        <w:spacing w:after="0" w:line="20" w:lineRule="exact"/>
        <w:rPr>
          <w:sz w:val="20"/>
          <w:szCs w:val="20"/>
          <w:color w:val="auto"/>
        </w:rPr>
      </w:pPr>
      <w:r>
        <w:rPr>
          <w:sz w:val="20"/>
          <w:szCs w:val="20"/>
          <w:color w:val="auto"/>
        </w:rPr>
        <w:br w:type="column"/>
      </w:r>
    </w:p>
    <w:p>
      <w:pPr>
        <w:spacing w:after="0" w:line="354" w:lineRule="exact"/>
        <w:rPr>
          <w:sz w:val="20"/>
          <w:szCs w:val="20"/>
          <w:color w:val="auto"/>
        </w:rPr>
      </w:pPr>
    </w:p>
    <w:p>
      <w:pPr>
        <w:ind w:left="40"/>
        <w:spacing w:after="0"/>
        <w:tabs>
          <w:tab w:leader="none" w:pos="400" w:val="left"/>
        </w:tabs>
        <w:rPr>
          <w:sz w:val="20"/>
          <w:szCs w:val="20"/>
          <w:color w:val="auto"/>
        </w:rPr>
      </w:pPr>
      <w:r>
        <w:rPr>
          <w:rFonts w:ascii="Arial" w:cs="Arial" w:eastAsia="Arial" w:hAnsi="Arial"/>
          <w:sz w:val="18"/>
          <w:szCs w:val="18"/>
          <w:color w:val="auto"/>
        </w:rPr>
        <w:t>/s/</w:t>
        <w:tab/>
        <w:t>James F. Albaugh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14605</wp:posOffset>
            </wp:positionV>
            <wp:extent cx="3430270" cy="8890"/>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315">
                      <a:extLst>
                        <a:ext uri="{28A0092B-C50C-407E-A947-70E740481C1C}"/>
                      </a:extLst>
                    </a:blip>
                    <a:srcRect/>
                    <a:stretch>
                      <a:fillRect/>
                    </a:stretch>
                  </pic:blipFill>
                  <pic:spPr bwMode="auto">
                    <a:xfrm>
                      <a:off x="0" y="0"/>
                      <a:ext cx="3430270" cy="8890"/>
                    </a:xfrm>
                    <a:prstGeom prst="rect">
                      <a:avLst/>
                    </a:prstGeom>
                    <a:noFill/>
                  </pic:spPr>
                </pic:pic>
              </a:graphicData>
            </a:graphic>
          </wp:anchor>
        </w:drawing>
      </w:r>
    </w:p>
    <w:p>
      <w:pPr>
        <w:spacing w:after="0" w:line="43" w:lineRule="exact"/>
        <w:rPr>
          <w:sz w:val="20"/>
          <w:szCs w:val="20"/>
          <w:color w:val="auto"/>
        </w:rPr>
      </w:pPr>
    </w:p>
    <w:p>
      <w:pPr>
        <w:ind w:left="40"/>
        <w:spacing w:after="0"/>
        <w:rPr>
          <w:sz w:val="20"/>
          <w:szCs w:val="20"/>
          <w:color w:val="auto"/>
        </w:rPr>
      </w:pPr>
      <w:r>
        <w:rPr>
          <w:rFonts w:ascii="Arial" w:cs="Arial" w:eastAsia="Arial" w:hAnsi="Arial"/>
          <w:sz w:val="18"/>
          <w:szCs w:val="18"/>
          <w:color w:val="auto"/>
        </w:rPr>
        <w:t>James F. Albaugh, Director</w:t>
      </w:r>
    </w:p>
    <w:p>
      <w:pPr>
        <w:spacing w:after="0" w:line="374" w:lineRule="exact"/>
        <w:rPr>
          <w:sz w:val="20"/>
          <w:szCs w:val="20"/>
          <w:color w:val="auto"/>
        </w:rPr>
      </w:pPr>
    </w:p>
    <w:p>
      <w:pPr>
        <w:ind w:left="40"/>
        <w:spacing w:after="0"/>
        <w:tabs>
          <w:tab w:leader="none" w:pos="400" w:val="left"/>
        </w:tabs>
        <w:rPr>
          <w:sz w:val="20"/>
          <w:szCs w:val="20"/>
          <w:color w:val="auto"/>
        </w:rPr>
      </w:pPr>
      <w:r>
        <w:rPr>
          <w:rFonts w:ascii="Arial" w:cs="Arial" w:eastAsia="Arial" w:hAnsi="Arial"/>
          <w:sz w:val="18"/>
          <w:szCs w:val="18"/>
          <w:color w:val="auto"/>
        </w:rPr>
        <w:t>/s/</w:t>
        <w:tab/>
        <w:t>Jeffrey D. Benjamin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14605</wp:posOffset>
            </wp:positionV>
            <wp:extent cx="3430270" cy="8890"/>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316">
                      <a:extLst>
                        <a:ext uri="{28A0092B-C50C-407E-A947-70E740481C1C}"/>
                      </a:extLst>
                    </a:blip>
                    <a:srcRect/>
                    <a:stretch>
                      <a:fillRect/>
                    </a:stretch>
                  </pic:blipFill>
                  <pic:spPr bwMode="auto">
                    <a:xfrm>
                      <a:off x="0" y="0"/>
                      <a:ext cx="3430270" cy="8890"/>
                    </a:xfrm>
                    <a:prstGeom prst="rect">
                      <a:avLst/>
                    </a:prstGeom>
                    <a:noFill/>
                  </pic:spPr>
                </pic:pic>
              </a:graphicData>
            </a:graphic>
          </wp:anchor>
        </w:drawing>
      </w:r>
    </w:p>
    <w:p>
      <w:pPr>
        <w:spacing w:after="0" w:line="43" w:lineRule="exact"/>
        <w:rPr>
          <w:sz w:val="20"/>
          <w:szCs w:val="20"/>
          <w:color w:val="auto"/>
        </w:rPr>
      </w:pPr>
    </w:p>
    <w:p>
      <w:pPr>
        <w:ind w:left="40"/>
        <w:spacing w:after="0"/>
        <w:rPr>
          <w:sz w:val="20"/>
          <w:szCs w:val="20"/>
          <w:color w:val="auto"/>
        </w:rPr>
      </w:pPr>
      <w:r>
        <w:rPr>
          <w:rFonts w:ascii="Arial" w:cs="Arial" w:eastAsia="Arial" w:hAnsi="Arial"/>
          <w:sz w:val="18"/>
          <w:szCs w:val="18"/>
          <w:color w:val="auto"/>
        </w:rPr>
        <w:t>Jeffrey D. Benjamin, Director</w:t>
      </w:r>
    </w:p>
    <w:p>
      <w:pPr>
        <w:spacing w:after="0" w:line="374" w:lineRule="exact"/>
        <w:rPr>
          <w:sz w:val="20"/>
          <w:szCs w:val="20"/>
          <w:color w:val="auto"/>
        </w:rPr>
      </w:pPr>
    </w:p>
    <w:tbl>
      <w:tblPr>
        <w:tblLayout w:type="fixed"/>
        <w:tblInd w:w="0" w:type="dxa"/>
        <w:tblCellMar>
          <w:top w:w="0" w:type="dxa"/>
          <w:left w:w="0" w:type="dxa"/>
          <w:bottom w:w="0" w:type="dxa"/>
          <w:right w:w="0" w:type="dxa"/>
        </w:tblCellMar>
      </w:tblPr>
      <w:tr>
        <w:trPr>
          <w:trHeight w:val="224"/>
        </w:trPr>
        <w:tc>
          <w:tcPr>
            <w:tcW w:w="320" w:type="dxa"/>
            <w:vAlign w:val="bottom"/>
            <w:tcBorders>
              <w:bottom w:val="single" w:sz="8" w:color="435363"/>
            </w:tcBorders>
          </w:tcPr>
          <w:p>
            <w:pPr>
              <w:ind w:left="40"/>
              <w:spacing w:after="0"/>
              <w:rPr>
                <w:sz w:val="20"/>
                <w:szCs w:val="20"/>
                <w:color w:val="auto"/>
              </w:rPr>
            </w:pPr>
            <w:r>
              <w:rPr>
                <w:rFonts w:ascii="Arial" w:cs="Arial" w:eastAsia="Arial" w:hAnsi="Arial"/>
                <w:sz w:val="18"/>
                <w:szCs w:val="18"/>
                <w:color w:val="auto"/>
              </w:rPr>
              <w:t>/s/</w:t>
            </w:r>
          </w:p>
        </w:tc>
        <w:tc>
          <w:tcPr>
            <w:tcW w:w="5080" w:type="dxa"/>
            <w:vAlign w:val="bottom"/>
            <w:tcBorders>
              <w:bottom w:val="single" w:sz="8" w:color="435363"/>
            </w:tcBorders>
          </w:tcPr>
          <w:p>
            <w:pPr>
              <w:ind w:left="100"/>
              <w:spacing w:after="0"/>
              <w:rPr>
                <w:sz w:val="20"/>
                <w:szCs w:val="20"/>
                <w:color w:val="auto"/>
              </w:rPr>
            </w:pPr>
            <w:r>
              <w:rPr>
                <w:rFonts w:ascii="Arial" w:cs="Arial" w:eastAsia="Arial" w:hAnsi="Arial"/>
                <w:sz w:val="18"/>
                <w:szCs w:val="18"/>
                <w:color w:val="auto"/>
              </w:rPr>
              <w:t>John T. Cahill</w:t>
            </w:r>
          </w:p>
        </w:tc>
      </w:tr>
      <w:tr>
        <w:trPr>
          <w:trHeight w:val="243"/>
        </w:trPr>
        <w:tc>
          <w:tcPr>
            <w:tcW w:w="5400" w:type="dxa"/>
            <w:vAlign w:val="bottom"/>
            <w:gridSpan w:val="2"/>
          </w:tcPr>
          <w:p>
            <w:pPr>
              <w:ind w:left="40"/>
              <w:spacing w:after="0"/>
              <w:rPr>
                <w:sz w:val="20"/>
                <w:szCs w:val="20"/>
                <w:color w:val="auto"/>
              </w:rPr>
            </w:pPr>
            <w:r>
              <w:rPr>
                <w:rFonts w:ascii="Arial" w:cs="Arial" w:eastAsia="Arial" w:hAnsi="Arial"/>
                <w:sz w:val="18"/>
                <w:szCs w:val="18"/>
                <w:color w:val="auto"/>
              </w:rPr>
              <w:t>John T. Cahill, Director</w:t>
            </w:r>
          </w:p>
        </w:tc>
      </w:tr>
      <w:tr>
        <w:trPr>
          <w:trHeight w:val="581"/>
        </w:trPr>
        <w:tc>
          <w:tcPr>
            <w:tcW w:w="320" w:type="dxa"/>
            <w:vAlign w:val="bottom"/>
          </w:tcPr>
          <w:p>
            <w:pPr>
              <w:ind w:left="40"/>
              <w:spacing w:after="0"/>
              <w:rPr>
                <w:sz w:val="20"/>
                <w:szCs w:val="20"/>
                <w:color w:val="auto"/>
              </w:rPr>
            </w:pPr>
            <w:r>
              <w:rPr>
                <w:rFonts w:ascii="Arial" w:cs="Arial" w:eastAsia="Arial" w:hAnsi="Arial"/>
                <w:sz w:val="18"/>
                <w:szCs w:val="18"/>
                <w:color w:val="auto"/>
              </w:rPr>
              <w:t>/s/</w:t>
            </w:r>
          </w:p>
        </w:tc>
        <w:tc>
          <w:tcPr>
            <w:tcW w:w="5080" w:type="dxa"/>
            <w:vAlign w:val="bottom"/>
          </w:tcPr>
          <w:p>
            <w:pPr>
              <w:ind w:left="100"/>
              <w:spacing w:after="0"/>
              <w:rPr>
                <w:sz w:val="20"/>
                <w:szCs w:val="20"/>
                <w:color w:val="auto"/>
              </w:rPr>
            </w:pPr>
            <w:r>
              <w:rPr>
                <w:rFonts w:ascii="Arial" w:cs="Arial" w:eastAsia="Arial" w:hAnsi="Arial"/>
                <w:sz w:val="18"/>
                <w:szCs w:val="18"/>
                <w:color w:val="auto"/>
              </w:rPr>
              <w:t>Michael J. Embler</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8890</wp:posOffset>
            </wp:positionV>
            <wp:extent cx="3430270" cy="8890"/>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317">
                      <a:extLst>
                        <a:ext uri="{28A0092B-C50C-407E-A947-70E740481C1C}"/>
                      </a:extLst>
                    </a:blip>
                    <a:srcRect/>
                    <a:stretch>
                      <a:fillRect/>
                    </a:stretch>
                  </pic:blipFill>
                  <pic:spPr bwMode="auto">
                    <a:xfrm>
                      <a:off x="0" y="0"/>
                      <a:ext cx="3430270" cy="8890"/>
                    </a:xfrm>
                    <a:prstGeom prst="rect">
                      <a:avLst/>
                    </a:prstGeom>
                    <a:noFill/>
                  </pic:spPr>
                </pic:pic>
              </a:graphicData>
            </a:graphic>
          </wp:anchor>
        </w:drawing>
      </w:r>
    </w:p>
    <w:p>
      <w:pPr>
        <w:spacing w:after="0" w:line="33" w:lineRule="exact"/>
        <w:rPr>
          <w:sz w:val="20"/>
          <w:szCs w:val="20"/>
          <w:color w:val="auto"/>
        </w:rPr>
      </w:pPr>
    </w:p>
    <w:p>
      <w:pPr>
        <w:jc w:val="center"/>
        <w:ind w:right="3780"/>
        <w:spacing w:after="0"/>
        <w:rPr>
          <w:sz w:val="20"/>
          <w:szCs w:val="20"/>
          <w:color w:val="auto"/>
        </w:rPr>
      </w:pPr>
      <w:r>
        <w:rPr>
          <w:rFonts w:ascii="Arial" w:cs="Arial" w:eastAsia="Arial" w:hAnsi="Arial"/>
          <w:sz w:val="18"/>
          <w:szCs w:val="18"/>
          <w:color w:val="auto"/>
        </w:rPr>
        <w:t>Michael J. Embler, Director</w:t>
      </w:r>
    </w:p>
    <w:p>
      <w:pPr>
        <w:spacing w:after="0" w:line="374" w:lineRule="exact"/>
        <w:rPr>
          <w:sz w:val="20"/>
          <w:szCs w:val="20"/>
          <w:color w:val="auto"/>
        </w:rPr>
      </w:pPr>
    </w:p>
    <w:p>
      <w:pPr>
        <w:ind w:left="40"/>
        <w:spacing w:after="0"/>
        <w:tabs>
          <w:tab w:leader="none" w:pos="400" w:val="left"/>
        </w:tabs>
        <w:rPr>
          <w:sz w:val="20"/>
          <w:szCs w:val="20"/>
          <w:color w:val="auto"/>
        </w:rPr>
      </w:pPr>
      <w:r>
        <w:rPr>
          <w:rFonts w:ascii="Arial" w:cs="Arial" w:eastAsia="Arial" w:hAnsi="Arial"/>
          <w:sz w:val="18"/>
          <w:szCs w:val="18"/>
          <w:color w:val="auto"/>
        </w:rPr>
        <w:t>/s/</w:t>
        <w:tab/>
        <w:t>Matthew J. Hart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14605</wp:posOffset>
            </wp:positionV>
            <wp:extent cx="3430270" cy="8890"/>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318">
                      <a:extLst>
                        <a:ext uri="{28A0092B-C50C-407E-A947-70E740481C1C}"/>
                      </a:extLst>
                    </a:blip>
                    <a:srcRect/>
                    <a:stretch>
                      <a:fillRect/>
                    </a:stretch>
                  </pic:blipFill>
                  <pic:spPr bwMode="auto">
                    <a:xfrm>
                      <a:off x="0" y="0"/>
                      <a:ext cx="3430270" cy="8890"/>
                    </a:xfrm>
                    <a:prstGeom prst="rect">
                      <a:avLst/>
                    </a:prstGeom>
                    <a:noFill/>
                  </pic:spPr>
                </pic:pic>
              </a:graphicData>
            </a:graphic>
          </wp:anchor>
        </w:drawing>
      </w:r>
    </w:p>
    <w:p>
      <w:pPr>
        <w:spacing w:after="0" w:line="43" w:lineRule="exact"/>
        <w:rPr>
          <w:sz w:val="20"/>
          <w:szCs w:val="20"/>
          <w:color w:val="auto"/>
        </w:rPr>
      </w:pPr>
    </w:p>
    <w:p>
      <w:pPr>
        <w:ind w:left="40"/>
        <w:spacing w:after="0"/>
        <w:rPr>
          <w:sz w:val="20"/>
          <w:szCs w:val="20"/>
          <w:color w:val="auto"/>
        </w:rPr>
      </w:pPr>
      <w:r>
        <w:rPr>
          <w:rFonts w:ascii="Arial" w:cs="Arial" w:eastAsia="Arial" w:hAnsi="Arial"/>
          <w:sz w:val="18"/>
          <w:szCs w:val="18"/>
          <w:color w:val="auto"/>
        </w:rPr>
        <w:t>Matthew J. Hart, Director</w:t>
      </w:r>
    </w:p>
    <w:p>
      <w:pPr>
        <w:spacing w:after="0" w:line="200" w:lineRule="exact"/>
        <w:rPr>
          <w:sz w:val="20"/>
          <w:szCs w:val="20"/>
          <w:color w:val="auto"/>
        </w:rPr>
      </w:pPr>
    </w:p>
    <w:p>
      <w:pPr>
        <w:sectPr>
          <w:pgSz w:w="11900" w:h="16838" w:orient="portrait"/>
          <w:cols w:equalWidth="0" w:num="2">
            <w:col w:w="4700" w:space="720"/>
            <w:col w:w="6000"/>
          </w:cols>
          <w:pgMar w:left="240" w:top="571" w:right="239" w:bottom="1440" w:gutter="0" w:footer="0" w:header="0"/>
          <w:type w:val="continuous"/>
        </w:sectPr>
      </w:pPr>
    </w:p>
    <w:p>
      <w:pPr>
        <w:spacing w:after="0" w:line="363"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186</w:t>
      </w:r>
    </w:p>
    <w:p>
      <w:pPr>
        <w:sectPr>
          <w:pgSz w:w="11900" w:h="16838" w:orient="portrait"/>
          <w:cols w:equalWidth="0" w:num="1">
            <w:col w:w="11420"/>
          </w:cols>
          <w:pgMar w:left="240" w:top="571" w:right="239" w:bottom="1440" w:gutter="0" w:footer="0" w:header="0"/>
          <w:type w:val="continuous"/>
        </w:sectPr>
      </w:pPr>
    </w:p>
    <w:bookmarkStart w:id="186" w:name="page187"/>
    <w:bookmarkEnd w:id="186"/>
    <w:p>
      <w:pPr>
        <w:ind w:left="40"/>
        <w:spacing w:after="0"/>
        <w:rPr>
          <w:sz w:val="20"/>
          <w:szCs w:val="20"/>
          <w:color w:val="auto"/>
        </w:rPr>
      </w:pPr>
      <w:r>
        <w:rPr>
          <w:rFonts w:ascii="Arial" w:cs="Arial" w:eastAsia="Arial" w:hAnsi="Arial"/>
          <w:sz w:val="17"/>
          <w:szCs w:val="17"/>
          <w:color w:val="auto"/>
        </w:rPr>
        <w:t>Date: February 19, 2020</w:t>
      </w:r>
    </w:p>
    <w:p>
      <w:pPr>
        <w:spacing w:after="0" w:line="200" w:lineRule="exact"/>
        <w:rPr>
          <w:sz w:val="20"/>
          <w:szCs w:val="20"/>
          <w:color w:val="auto"/>
        </w:rPr>
      </w:pPr>
    </w:p>
    <w:p>
      <w:pPr>
        <w:spacing w:after="0" w:line="200" w:lineRule="exact"/>
        <w:rPr>
          <w:sz w:val="20"/>
          <w:szCs w:val="20"/>
          <w:color w:val="auto"/>
        </w:rPr>
      </w:pPr>
    </w:p>
    <w:p>
      <w:pPr>
        <w:spacing w:after="0" w:line="255" w:lineRule="exact"/>
        <w:rPr>
          <w:sz w:val="20"/>
          <w:szCs w:val="20"/>
          <w:color w:val="auto"/>
        </w:rPr>
      </w:pPr>
    </w:p>
    <w:p>
      <w:pPr>
        <w:ind w:left="40"/>
        <w:spacing w:after="0"/>
        <w:rPr>
          <w:sz w:val="20"/>
          <w:szCs w:val="20"/>
          <w:color w:val="auto"/>
        </w:rPr>
      </w:pPr>
      <w:r>
        <w:rPr>
          <w:rFonts w:ascii="Arial" w:cs="Arial" w:eastAsia="Arial" w:hAnsi="Arial"/>
          <w:sz w:val="17"/>
          <w:szCs w:val="17"/>
          <w:color w:val="auto"/>
        </w:rPr>
        <w:t>Date: February 19, 2020</w:t>
      </w:r>
    </w:p>
    <w:p>
      <w:pPr>
        <w:spacing w:after="0" w:line="200" w:lineRule="exact"/>
        <w:rPr>
          <w:sz w:val="20"/>
          <w:szCs w:val="20"/>
          <w:color w:val="auto"/>
        </w:rPr>
      </w:pPr>
    </w:p>
    <w:p>
      <w:pPr>
        <w:spacing w:after="0" w:line="200" w:lineRule="exact"/>
        <w:rPr>
          <w:sz w:val="20"/>
          <w:szCs w:val="20"/>
          <w:color w:val="auto"/>
        </w:rPr>
      </w:pPr>
    </w:p>
    <w:p>
      <w:pPr>
        <w:spacing w:after="0" w:line="255" w:lineRule="exact"/>
        <w:rPr>
          <w:sz w:val="20"/>
          <w:szCs w:val="20"/>
          <w:color w:val="auto"/>
        </w:rPr>
      </w:pPr>
    </w:p>
    <w:p>
      <w:pPr>
        <w:ind w:left="40"/>
        <w:spacing w:after="0"/>
        <w:rPr>
          <w:sz w:val="20"/>
          <w:szCs w:val="20"/>
          <w:color w:val="auto"/>
        </w:rPr>
      </w:pPr>
      <w:r>
        <w:rPr>
          <w:rFonts w:ascii="Arial" w:cs="Arial" w:eastAsia="Arial" w:hAnsi="Arial"/>
          <w:sz w:val="17"/>
          <w:szCs w:val="17"/>
          <w:color w:val="auto"/>
        </w:rPr>
        <w:t>Date: February 19, 2020</w:t>
      </w:r>
    </w:p>
    <w:p>
      <w:pPr>
        <w:spacing w:after="0" w:line="200" w:lineRule="exact"/>
        <w:rPr>
          <w:sz w:val="20"/>
          <w:szCs w:val="20"/>
          <w:color w:val="auto"/>
        </w:rPr>
      </w:pPr>
    </w:p>
    <w:p>
      <w:pPr>
        <w:spacing w:after="0" w:line="200" w:lineRule="exact"/>
        <w:rPr>
          <w:sz w:val="20"/>
          <w:szCs w:val="20"/>
          <w:color w:val="auto"/>
        </w:rPr>
      </w:pPr>
    </w:p>
    <w:p>
      <w:pPr>
        <w:spacing w:after="0" w:line="255" w:lineRule="exact"/>
        <w:rPr>
          <w:sz w:val="20"/>
          <w:szCs w:val="20"/>
          <w:color w:val="auto"/>
        </w:rPr>
      </w:pPr>
    </w:p>
    <w:p>
      <w:pPr>
        <w:ind w:left="40"/>
        <w:spacing w:after="0"/>
        <w:rPr>
          <w:sz w:val="20"/>
          <w:szCs w:val="20"/>
          <w:color w:val="auto"/>
        </w:rPr>
      </w:pPr>
      <w:r>
        <w:rPr>
          <w:rFonts w:ascii="Arial" w:cs="Arial" w:eastAsia="Arial" w:hAnsi="Arial"/>
          <w:sz w:val="17"/>
          <w:szCs w:val="17"/>
          <w:color w:val="auto"/>
        </w:rPr>
        <w:t>Date: February 19, 2020</w:t>
      </w:r>
    </w:p>
    <w:p>
      <w:pPr>
        <w:spacing w:after="0" w:line="20" w:lineRule="exact"/>
        <w:rPr>
          <w:sz w:val="20"/>
          <w:szCs w:val="20"/>
          <w:color w:val="auto"/>
        </w:rPr>
      </w:pPr>
      <w:r>
        <w:rPr>
          <w:sz w:val="20"/>
          <w:szCs w:val="20"/>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24"/>
        </w:trPr>
        <w:tc>
          <w:tcPr>
            <w:tcW w:w="320" w:type="dxa"/>
            <w:vAlign w:val="bottom"/>
            <w:tcBorders>
              <w:bottom w:val="single" w:sz="8" w:color="435363"/>
            </w:tcBorders>
          </w:tcPr>
          <w:p>
            <w:pPr>
              <w:ind w:left="40"/>
              <w:spacing w:after="0"/>
              <w:rPr>
                <w:sz w:val="20"/>
                <w:szCs w:val="20"/>
                <w:color w:val="auto"/>
              </w:rPr>
            </w:pPr>
            <w:r>
              <w:rPr>
                <w:rFonts w:ascii="Arial" w:cs="Arial" w:eastAsia="Arial" w:hAnsi="Arial"/>
                <w:sz w:val="18"/>
                <w:szCs w:val="18"/>
                <w:color w:val="auto"/>
              </w:rPr>
              <w:t>/s/</w:t>
            </w:r>
          </w:p>
        </w:tc>
        <w:tc>
          <w:tcPr>
            <w:tcW w:w="5080" w:type="dxa"/>
            <w:vAlign w:val="bottom"/>
            <w:tcBorders>
              <w:bottom w:val="single" w:sz="8" w:color="435363"/>
            </w:tcBorders>
          </w:tcPr>
          <w:p>
            <w:pPr>
              <w:ind w:left="100"/>
              <w:spacing w:after="0"/>
              <w:rPr>
                <w:sz w:val="20"/>
                <w:szCs w:val="20"/>
                <w:color w:val="auto"/>
              </w:rPr>
            </w:pPr>
            <w:r>
              <w:rPr>
                <w:rFonts w:ascii="Arial" w:cs="Arial" w:eastAsia="Arial" w:hAnsi="Arial"/>
                <w:sz w:val="18"/>
                <w:szCs w:val="18"/>
                <w:color w:val="auto"/>
              </w:rPr>
              <w:t>Susan D. Kronick</w:t>
            </w:r>
          </w:p>
        </w:tc>
      </w:tr>
      <w:tr>
        <w:trPr>
          <w:trHeight w:val="243"/>
        </w:trPr>
        <w:tc>
          <w:tcPr>
            <w:tcW w:w="5400" w:type="dxa"/>
            <w:vAlign w:val="bottom"/>
            <w:gridSpan w:val="2"/>
          </w:tcPr>
          <w:p>
            <w:pPr>
              <w:ind w:left="40"/>
              <w:spacing w:after="0"/>
              <w:rPr>
                <w:sz w:val="20"/>
                <w:szCs w:val="20"/>
                <w:color w:val="auto"/>
              </w:rPr>
            </w:pPr>
            <w:r>
              <w:rPr>
                <w:rFonts w:ascii="Arial" w:cs="Arial" w:eastAsia="Arial" w:hAnsi="Arial"/>
                <w:sz w:val="18"/>
                <w:szCs w:val="18"/>
                <w:color w:val="auto"/>
              </w:rPr>
              <w:t>Susan D. Kronick, Director</w:t>
            </w:r>
          </w:p>
        </w:tc>
      </w:tr>
      <w:tr>
        <w:trPr>
          <w:trHeight w:val="588"/>
        </w:trPr>
        <w:tc>
          <w:tcPr>
            <w:tcW w:w="320" w:type="dxa"/>
            <w:vAlign w:val="bottom"/>
            <w:tcBorders>
              <w:bottom w:val="single" w:sz="8" w:color="435363"/>
            </w:tcBorders>
          </w:tcPr>
          <w:p>
            <w:pPr>
              <w:ind w:left="40"/>
              <w:spacing w:after="0"/>
              <w:rPr>
                <w:sz w:val="20"/>
                <w:szCs w:val="20"/>
                <w:color w:val="auto"/>
              </w:rPr>
            </w:pPr>
            <w:r>
              <w:rPr>
                <w:rFonts w:ascii="Arial" w:cs="Arial" w:eastAsia="Arial" w:hAnsi="Arial"/>
                <w:sz w:val="18"/>
                <w:szCs w:val="18"/>
                <w:color w:val="auto"/>
              </w:rPr>
              <w:t>/s/</w:t>
            </w:r>
          </w:p>
        </w:tc>
        <w:tc>
          <w:tcPr>
            <w:tcW w:w="5080" w:type="dxa"/>
            <w:vAlign w:val="bottom"/>
            <w:tcBorders>
              <w:bottom w:val="single" w:sz="8" w:color="435363"/>
            </w:tcBorders>
          </w:tcPr>
          <w:p>
            <w:pPr>
              <w:ind w:left="100"/>
              <w:spacing w:after="0"/>
              <w:rPr>
                <w:sz w:val="20"/>
                <w:szCs w:val="20"/>
                <w:color w:val="auto"/>
              </w:rPr>
            </w:pPr>
            <w:r>
              <w:rPr>
                <w:rFonts w:ascii="Arial" w:cs="Arial" w:eastAsia="Arial" w:hAnsi="Arial"/>
                <w:sz w:val="18"/>
                <w:szCs w:val="18"/>
                <w:color w:val="auto"/>
              </w:rPr>
              <w:t>Martin H. Nesbitt</w:t>
            </w:r>
          </w:p>
        </w:tc>
      </w:tr>
      <w:tr>
        <w:trPr>
          <w:trHeight w:val="243"/>
        </w:trPr>
        <w:tc>
          <w:tcPr>
            <w:tcW w:w="5400" w:type="dxa"/>
            <w:vAlign w:val="bottom"/>
            <w:gridSpan w:val="2"/>
          </w:tcPr>
          <w:p>
            <w:pPr>
              <w:ind w:left="40"/>
              <w:spacing w:after="0"/>
              <w:rPr>
                <w:sz w:val="20"/>
                <w:szCs w:val="20"/>
                <w:color w:val="auto"/>
              </w:rPr>
            </w:pPr>
            <w:r>
              <w:rPr>
                <w:rFonts w:ascii="Arial" w:cs="Arial" w:eastAsia="Arial" w:hAnsi="Arial"/>
                <w:sz w:val="18"/>
                <w:szCs w:val="18"/>
                <w:color w:val="auto"/>
              </w:rPr>
              <w:t>Martin H. Nesbitt, Director</w:t>
            </w:r>
          </w:p>
        </w:tc>
      </w:tr>
      <w:tr>
        <w:trPr>
          <w:trHeight w:val="588"/>
        </w:trPr>
        <w:tc>
          <w:tcPr>
            <w:tcW w:w="320" w:type="dxa"/>
            <w:vAlign w:val="bottom"/>
            <w:tcBorders>
              <w:bottom w:val="single" w:sz="8" w:color="435363"/>
            </w:tcBorders>
          </w:tcPr>
          <w:p>
            <w:pPr>
              <w:ind w:left="40"/>
              <w:spacing w:after="0"/>
              <w:rPr>
                <w:sz w:val="20"/>
                <w:szCs w:val="20"/>
                <w:color w:val="auto"/>
              </w:rPr>
            </w:pPr>
            <w:r>
              <w:rPr>
                <w:rFonts w:ascii="Arial" w:cs="Arial" w:eastAsia="Arial" w:hAnsi="Arial"/>
                <w:sz w:val="18"/>
                <w:szCs w:val="18"/>
                <w:color w:val="auto"/>
              </w:rPr>
              <w:t>/s/</w:t>
            </w:r>
          </w:p>
        </w:tc>
        <w:tc>
          <w:tcPr>
            <w:tcW w:w="5080" w:type="dxa"/>
            <w:vAlign w:val="bottom"/>
            <w:tcBorders>
              <w:bottom w:val="single" w:sz="8" w:color="435363"/>
            </w:tcBorders>
          </w:tcPr>
          <w:p>
            <w:pPr>
              <w:ind w:left="100"/>
              <w:spacing w:after="0"/>
              <w:rPr>
                <w:sz w:val="20"/>
                <w:szCs w:val="20"/>
                <w:color w:val="auto"/>
              </w:rPr>
            </w:pPr>
            <w:r>
              <w:rPr>
                <w:rFonts w:ascii="Arial" w:cs="Arial" w:eastAsia="Arial" w:hAnsi="Arial"/>
                <w:sz w:val="18"/>
                <w:szCs w:val="18"/>
                <w:color w:val="auto"/>
              </w:rPr>
              <w:t>Denise M. O’Leary</w:t>
            </w:r>
          </w:p>
        </w:tc>
      </w:tr>
      <w:tr>
        <w:trPr>
          <w:trHeight w:val="243"/>
        </w:trPr>
        <w:tc>
          <w:tcPr>
            <w:tcW w:w="5400" w:type="dxa"/>
            <w:vAlign w:val="bottom"/>
            <w:gridSpan w:val="2"/>
          </w:tcPr>
          <w:p>
            <w:pPr>
              <w:ind w:left="40"/>
              <w:spacing w:after="0"/>
              <w:rPr>
                <w:sz w:val="20"/>
                <w:szCs w:val="20"/>
                <w:color w:val="auto"/>
              </w:rPr>
            </w:pPr>
            <w:r>
              <w:rPr>
                <w:rFonts w:ascii="Arial" w:cs="Arial" w:eastAsia="Arial" w:hAnsi="Arial"/>
                <w:sz w:val="18"/>
                <w:szCs w:val="18"/>
                <w:color w:val="auto"/>
              </w:rPr>
              <w:t>Denise M. O’Leary, Director</w:t>
            </w:r>
          </w:p>
        </w:tc>
      </w:tr>
      <w:tr>
        <w:trPr>
          <w:trHeight w:val="581"/>
        </w:trPr>
        <w:tc>
          <w:tcPr>
            <w:tcW w:w="320" w:type="dxa"/>
            <w:vAlign w:val="bottom"/>
          </w:tcPr>
          <w:p>
            <w:pPr>
              <w:ind w:left="40"/>
              <w:spacing w:after="0"/>
              <w:rPr>
                <w:sz w:val="20"/>
                <w:szCs w:val="20"/>
                <w:color w:val="auto"/>
              </w:rPr>
            </w:pPr>
            <w:r>
              <w:rPr>
                <w:rFonts w:ascii="Arial" w:cs="Arial" w:eastAsia="Arial" w:hAnsi="Arial"/>
                <w:sz w:val="18"/>
                <w:szCs w:val="18"/>
                <w:color w:val="auto"/>
              </w:rPr>
              <w:t>/s/</w:t>
            </w:r>
          </w:p>
        </w:tc>
        <w:tc>
          <w:tcPr>
            <w:tcW w:w="5080" w:type="dxa"/>
            <w:vAlign w:val="bottom"/>
          </w:tcPr>
          <w:p>
            <w:pPr>
              <w:ind w:left="100"/>
              <w:spacing w:after="0"/>
              <w:rPr>
                <w:sz w:val="20"/>
                <w:szCs w:val="20"/>
                <w:color w:val="auto"/>
              </w:rPr>
            </w:pPr>
            <w:r>
              <w:rPr>
                <w:rFonts w:ascii="Arial" w:cs="Arial" w:eastAsia="Arial" w:hAnsi="Arial"/>
                <w:sz w:val="18"/>
                <w:szCs w:val="18"/>
                <w:color w:val="auto"/>
              </w:rPr>
              <w:t>Ray M. Robinson</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8890</wp:posOffset>
            </wp:positionV>
            <wp:extent cx="3430270" cy="8890"/>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319">
                      <a:extLst>
                        <a:ext uri="{28A0092B-C50C-407E-A947-70E740481C1C}"/>
                      </a:extLst>
                    </a:blip>
                    <a:srcRect/>
                    <a:stretch>
                      <a:fillRect/>
                    </a:stretch>
                  </pic:blipFill>
                  <pic:spPr bwMode="auto">
                    <a:xfrm>
                      <a:off x="0" y="0"/>
                      <a:ext cx="3430270" cy="8890"/>
                    </a:xfrm>
                    <a:prstGeom prst="rect">
                      <a:avLst/>
                    </a:prstGeom>
                    <a:noFill/>
                  </pic:spPr>
                </pic:pic>
              </a:graphicData>
            </a:graphic>
          </wp:anchor>
        </w:drawing>
      </w:r>
    </w:p>
    <w:p>
      <w:pPr>
        <w:spacing w:after="0" w:line="33" w:lineRule="exact"/>
        <w:rPr>
          <w:sz w:val="20"/>
          <w:szCs w:val="20"/>
          <w:color w:val="auto"/>
        </w:rPr>
      </w:pPr>
    </w:p>
    <w:p>
      <w:pPr>
        <w:jc w:val="center"/>
        <w:ind w:right="3800"/>
        <w:spacing w:after="0"/>
        <w:rPr>
          <w:sz w:val="20"/>
          <w:szCs w:val="20"/>
          <w:color w:val="auto"/>
        </w:rPr>
      </w:pPr>
      <w:r>
        <w:rPr>
          <w:rFonts w:ascii="Arial" w:cs="Arial" w:eastAsia="Arial" w:hAnsi="Arial"/>
          <w:sz w:val="18"/>
          <w:szCs w:val="18"/>
          <w:color w:val="auto"/>
        </w:rPr>
        <w:t>Ray M. Robinson, Director</w:t>
      </w:r>
    </w:p>
    <w:p>
      <w:pPr>
        <w:spacing w:after="0" w:line="185" w:lineRule="exact"/>
        <w:rPr>
          <w:sz w:val="20"/>
          <w:szCs w:val="20"/>
          <w:color w:val="auto"/>
        </w:rPr>
      </w:pPr>
    </w:p>
    <w:p>
      <w:pPr>
        <w:sectPr>
          <w:pgSz w:w="11900" w:h="16838" w:orient="portrait"/>
          <w:cols w:equalWidth="0" w:num="2">
            <w:col w:w="4700" w:space="720"/>
            <w:col w:w="5980"/>
          </w:cols>
          <w:pgMar w:left="240" w:top="733" w:right="259" w:bottom="1440" w:gutter="0" w:footer="0" w:header="0"/>
        </w:sectPr>
      </w:pPr>
    </w:p>
    <w:p>
      <w:pPr>
        <w:ind w:firstLine="216"/>
        <w:spacing w:after="0" w:line="262" w:lineRule="auto"/>
        <w:rPr>
          <w:sz w:val="20"/>
          <w:szCs w:val="20"/>
          <w:color w:val="auto"/>
        </w:rPr>
      </w:pPr>
      <w:r>
        <w:rPr>
          <w:rFonts w:ascii="Arial" w:cs="Arial" w:eastAsia="Arial" w:hAnsi="Arial"/>
          <w:sz w:val="18"/>
          <w:szCs w:val="18"/>
          <w:color w:val="auto"/>
        </w:rPr>
        <w:t>Pursuant to the requirements of the Securities Exchange Act of 1934, this report has been signed below by the following persons on behalf of American Airlines, Inc. and in the capacities and on the dates noted:</w:t>
      </w:r>
    </w:p>
    <w:p>
      <w:pPr>
        <w:spacing w:after="0" w:line="304" w:lineRule="exact"/>
        <w:rPr>
          <w:sz w:val="20"/>
          <w:szCs w:val="20"/>
          <w:color w:val="auto"/>
        </w:rPr>
      </w:pPr>
    </w:p>
    <w:tbl>
      <w:tblPr>
        <w:tblLayout w:type="fixed"/>
        <w:tblInd w:w="40" w:type="dxa"/>
        <w:tblCellMar>
          <w:top w:w="0" w:type="dxa"/>
          <w:left w:w="0" w:type="dxa"/>
          <w:bottom w:w="0" w:type="dxa"/>
          <w:right w:w="0" w:type="dxa"/>
        </w:tblCellMar>
      </w:tblPr>
      <w:tr>
        <w:trPr>
          <w:trHeight w:val="224"/>
        </w:trPr>
        <w:tc>
          <w:tcPr>
            <w:tcW w:w="5380" w:type="dxa"/>
            <w:vAlign w:val="bottom"/>
          </w:tcPr>
          <w:p>
            <w:pPr>
              <w:spacing w:after="0"/>
              <w:rPr>
                <w:sz w:val="20"/>
                <w:szCs w:val="20"/>
                <w:color w:val="auto"/>
              </w:rPr>
            </w:pPr>
            <w:r>
              <w:rPr>
                <w:rFonts w:ascii="Arial" w:cs="Arial" w:eastAsia="Arial" w:hAnsi="Arial"/>
                <w:sz w:val="18"/>
                <w:szCs w:val="18"/>
                <w:color w:val="auto"/>
              </w:rPr>
              <w:t>Date: February 19, 2020</w:t>
            </w:r>
          </w:p>
        </w:tc>
        <w:tc>
          <w:tcPr>
            <w:tcW w:w="320" w:type="dxa"/>
            <w:vAlign w:val="bottom"/>
            <w:tcBorders>
              <w:bottom w:val="single" w:sz="8" w:color="435363"/>
            </w:tcBorders>
          </w:tcPr>
          <w:p>
            <w:pPr>
              <w:ind w:left="40"/>
              <w:spacing w:after="0"/>
              <w:rPr>
                <w:sz w:val="20"/>
                <w:szCs w:val="20"/>
                <w:color w:val="auto"/>
              </w:rPr>
            </w:pPr>
            <w:r>
              <w:rPr>
                <w:rFonts w:ascii="Arial" w:cs="Arial" w:eastAsia="Arial" w:hAnsi="Arial"/>
                <w:sz w:val="18"/>
                <w:szCs w:val="18"/>
                <w:color w:val="auto"/>
              </w:rPr>
              <w:t>/s/</w:t>
            </w:r>
          </w:p>
        </w:tc>
        <w:tc>
          <w:tcPr>
            <w:tcW w:w="5080" w:type="dxa"/>
            <w:vAlign w:val="bottom"/>
            <w:tcBorders>
              <w:bottom w:val="single" w:sz="8" w:color="435363"/>
            </w:tcBorders>
          </w:tcPr>
          <w:p>
            <w:pPr>
              <w:ind w:left="100"/>
              <w:spacing w:after="0"/>
              <w:rPr>
                <w:sz w:val="20"/>
                <w:szCs w:val="20"/>
                <w:color w:val="auto"/>
              </w:rPr>
            </w:pPr>
            <w:r>
              <w:rPr>
                <w:rFonts w:ascii="Arial" w:cs="Arial" w:eastAsia="Arial" w:hAnsi="Arial"/>
                <w:sz w:val="18"/>
                <w:szCs w:val="18"/>
                <w:color w:val="auto"/>
              </w:rPr>
              <w:t>W. Douglas Parker</w:t>
            </w:r>
          </w:p>
        </w:tc>
      </w:tr>
      <w:tr>
        <w:trPr>
          <w:trHeight w:val="243"/>
        </w:trPr>
        <w:tc>
          <w:tcPr>
            <w:tcW w:w="5380" w:type="dxa"/>
            <w:vAlign w:val="bottom"/>
          </w:tcPr>
          <w:p>
            <w:pPr>
              <w:spacing w:after="0"/>
              <w:rPr>
                <w:sz w:val="21"/>
                <w:szCs w:val="21"/>
                <w:color w:val="auto"/>
              </w:rPr>
            </w:pPr>
          </w:p>
        </w:tc>
        <w:tc>
          <w:tcPr>
            <w:tcW w:w="5400" w:type="dxa"/>
            <w:vAlign w:val="bottom"/>
            <w:gridSpan w:val="2"/>
          </w:tcPr>
          <w:p>
            <w:pPr>
              <w:ind w:left="40"/>
              <w:spacing w:after="0"/>
              <w:rPr>
                <w:sz w:val="20"/>
                <w:szCs w:val="20"/>
                <w:color w:val="auto"/>
              </w:rPr>
            </w:pPr>
            <w:r>
              <w:rPr>
                <w:rFonts w:ascii="Arial" w:cs="Arial" w:eastAsia="Arial" w:hAnsi="Arial"/>
                <w:sz w:val="18"/>
                <w:szCs w:val="18"/>
                <w:color w:val="auto"/>
              </w:rPr>
              <w:t>W. Douglas Parker</w:t>
            </w:r>
          </w:p>
        </w:tc>
      </w:tr>
      <w:tr>
        <w:trPr>
          <w:trHeight w:val="257"/>
        </w:trPr>
        <w:tc>
          <w:tcPr>
            <w:tcW w:w="5380" w:type="dxa"/>
            <w:vAlign w:val="bottom"/>
          </w:tcPr>
          <w:p>
            <w:pPr>
              <w:spacing w:after="0"/>
              <w:rPr>
                <w:sz w:val="22"/>
                <w:szCs w:val="22"/>
                <w:color w:val="auto"/>
              </w:rPr>
            </w:pPr>
          </w:p>
        </w:tc>
        <w:tc>
          <w:tcPr>
            <w:tcW w:w="5400" w:type="dxa"/>
            <w:vAlign w:val="bottom"/>
            <w:gridSpan w:val="2"/>
          </w:tcPr>
          <w:p>
            <w:pPr>
              <w:ind w:left="40"/>
              <w:spacing w:after="0"/>
              <w:rPr>
                <w:sz w:val="20"/>
                <w:szCs w:val="20"/>
                <w:color w:val="auto"/>
              </w:rPr>
            </w:pPr>
            <w:r>
              <w:rPr>
                <w:rFonts w:ascii="Arial" w:cs="Arial" w:eastAsia="Arial" w:hAnsi="Arial"/>
                <w:sz w:val="18"/>
                <w:szCs w:val="18"/>
                <w:color w:val="auto"/>
              </w:rPr>
              <w:t>Chairman and Chief Executive Officer</w:t>
            </w:r>
          </w:p>
        </w:tc>
      </w:tr>
      <w:tr>
        <w:trPr>
          <w:trHeight w:val="270"/>
        </w:trPr>
        <w:tc>
          <w:tcPr>
            <w:tcW w:w="5380" w:type="dxa"/>
            <w:vAlign w:val="bottom"/>
          </w:tcPr>
          <w:p>
            <w:pPr>
              <w:spacing w:after="0"/>
              <w:rPr>
                <w:sz w:val="23"/>
                <w:szCs w:val="23"/>
                <w:color w:val="auto"/>
              </w:rPr>
            </w:pPr>
          </w:p>
        </w:tc>
        <w:tc>
          <w:tcPr>
            <w:tcW w:w="5400" w:type="dxa"/>
            <w:vAlign w:val="bottom"/>
            <w:gridSpan w:val="2"/>
          </w:tcPr>
          <w:p>
            <w:pPr>
              <w:ind w:left="40"/>
              <w:spacing w:after="0"/>
              <w:rPr>
                <w:sz w:val="20"/>
                <w:szCs w:val="20"/>
                <w:color w:val="auto"/>
              </w:rPr>
            </w:pPr>
            <w:r>
              <w:rPr>
                <w:rFonts w:ascii="Arial" w:cs="Arial" w:eastAsia="Arial" w:hAnsi="Arial"/>
                <w:sz w:val="18"/>
                <w:szCs w:val="18"/>
                <w:color w:val="auto"/>
              </w:rPr>
              <w:t>(Principal Executive Officer)</w:t>
            </w:r>
          </w:p>
        </w:tc>
      </w:tr>
      <w:tr>
        <w:trPr>
          <w:trHeight w:val="601"/>
        </w:trPr>
        <w:tc>
          <w:tcPr>
            <w:tcW w:w="5380" w:type="dxa"/>
            <w:vAlign w:val="bottom"/>
          </w:tcPr>
          <w:p>
            <w:pPr>
              <w:spacing w:after="0"/>
              <w:rPr>
                <w:sz w:val="20"/>
                <w:szCs w:val="20"/>
                <w:color w:val="auto"/>
              </w:rPr>
            </w:pPr>
            <w:r>
              <w:rPr>
                <w:rFonts w:ascii="Arial" w:cs="Arial" w:eastAsia="Arial" w:hAnsi="Arial"/>
                <w:sz w:val="18"/>
                <w:szCs w:val="18"/>
                <w:color w:val="auto"/>
              </w:rPr>
              <w:t>Date: February 19, 2020</w:t>
            </w:r>
          </w:p>
        </w:tc>
        <w:tc>
          <w:tcPr>
            <w:tcW w:w="320" w:type="dxa"/>
            <w:vAlign w:val="bottom"/>
            <w:tcBorders>
              <w:bottom w:val="single" w:sz="8" w:color="435363"/>
            </w:tcBorders>
          </w:tcPr>
          <w:p>
            <w:pPr>
              <w:ind w:left="40"/>
              <w:spacing w:after="0"/>
              <w:rPr>
                <w:sz w:val="20"/>
                <w:szCs w:val="20"/>
                <w:color w:val="auto"/>
              </w:rPr>
            </w:pPr>
            <w:r>
              <w:rPr>
                <w:rFonts w:ascii="Arial" w:cs="Arial" w:eastAsia="Arial" w:hAnsi="Arial"/>
                <w:sz w:val="18"/>
                <w:szCs w:val="18"/>
                <w:color w:val="auto"/>
              </w:rPr>
              <w:t>/s/</w:t>
            </w:r>
          </w:p>
        </w:tc>
        <w:tc>
          <w:tcPr>
            <w:tcW w:w="5080" w:type="dxa"/>
            <w:vAlign w:val="bottom"/>
            <w:tcBorders>
              <w:bottom w:val="single" w:sz="8" w:color="435363"/>
            </w:tcBorders>
          </w:tcPr>
          <w:p>
            <w:pPr>
              <w:ind w:left="100"/>
              <w:spacing w:after="0"/>
              <w:rPr>
                <w:sz w:val="20"/>
                <w:szCs w:val="20"/>
                <w:color w:val="auto"/>
              </w:rPr>
            </w:pPr>
            <w:r>
              <w:rPr>
                <w:rFonts w:ascii="Arial" w:cs="Arial" w:eastAsia="Arial" w:hAnsi="Arial"/>
                <w:sz w:val="18"/>
                <w:szCs w:val="18"/>
                <w:color w:val="auto"/>
              </w:rPr>
              <w:t>Derek J. Kerr</w:t>
            </w:r>
          </w:p>
        </w:tc>
      </w:tr>
      <w:tr>
        <w:trPr>
          <w:trHeight w:val="243"/>
        </w:trPr>
        <w:tc>
          <w:tcPr>
            <w:tcW w:w="5380" w:type="dxa"/>
            <w:vAlign w:val="bottom"/>
          </w:tcPr>
          <w:p>
            <w:pPr>
              <w:spacing w:after="0"/>
              <w:rPr>
                <w:sz w:val="21"/>
                <w:szCs w:val="21"/>
                <w:color w:val="auto"/>
              </w:rPr>
            </w:pPr>
          </w:p>
        </w:tc>
        <w:tc>
          <w:tcPr>
            <w:tcW w:w="5400" w:type="dxa"/>
            <w:vAlign w:val="bottom"/>
            <w:gridSpan w:val="2"/>
          </w:tcPr>
          <w:p>
            <w:pPr>
              <w:ind w:left="40"/>
              <w:spacing w:after="0"/>
              <w:rPr>
                <w:sz w:val="20"/>
                <w:szCs w:val="20"/>
                <w:color w:val="auto"/>
              </w:rPr>
            </w:pPr>
            <w:r>
              <w:rPr>
                <w:rFonts w:ascii="Arial" w:cs="Arial" w:eastAsia="Arial" w:hAnsi="Arial"/>
                <w:sz w:val="18"/>
                <w:szCs w:val="18"/>
                <w:color w:val="auto"/>
              </w:rPr>
              <w:t>Derek J. Kerr</w:t>
            </w:r>
          </w:p>
        </w:tc>
      </w:tr>
      <w:tr>
        <w:trPr>
          <w:trHeight w:val="270"/>
        </w:trPr>
        <w:tc>
          <w:tcPr>
            <w:tcW w:w="5380" w:type="dxa"/>
            <w:vAlign w:val="bottom"/>
          </w:tcPr>
          <w:p>
            <w:pPr>
              <w:spacing w:after="0"/>
              <w:rPr>
                <w:sz w:val="23"/>
                <w:szCs w:val="23"/>
                <w:color w:val="auto"/>
              </w:rPr>
            </w:pPr>
          </w:p>
        </w:tc>
        <w:tc>
          <w:tcPr>
            <w:tcW w:w="5400" w:type="dxa"/>
            <w:vAlign w:val="bottom"/>
            <w:gridSpan w:val="2"/>
          </w:tcPr>
          <w:p>
            <w:pPr>
              <w:ind w:left="40"/>
              <w:spacing w:after="0"/>
              <w:rPr>
                <w:sz w:val="20"/>
                <w:szCs w:val="20"/>
                <w:color w:val="auto"/>
              </w:rPr>
            </w:pPr>
            <w:r>
              <w:rPr>
                <w:rFonts w:ascii="Arial" w:cs="Arial" w:eastAsia="Arial" w:hAnsi="Arial"/>
                <w:sz w:val="18"/>
                <w:szCs w:val="18"/>
                <w:color w:val="auto"/>
              </w:rPr>
              <w:t>Executive Vice President and Chief Financial Officer</w:t>
            </w:r>
          </w:p>
        </w:tc>
      </w:tr>
      <w:tr>
        <w:trPr>
          <w:trHeight w:val="257"/>
        </w:trPr>
        <w:tc>
          <w:tcPr>
            <w:tcW w:w="5380" w:type="dxa"/>
            <w:vAlign w:val="bottom"/>
          </w:tcPr>
          <w:p>
            <w:pPr>
              <w:spacing w:after="0"/>
              <w:rPr>
                <w:sz w:val="22"/>
                <w:szCs w:val="22"/>
                <w:color w:val="auto"/>
              </w:rPr>
            </w:pPr>
          </w:p>
        </w:tc>
        <w:tc>
          <w:tcPr>
            <w:tcW w:w="5400" w:type="dxa"/>
            <w:vAlign w:val="bottom"/>
            <w:gridSpan w:val="2"/>
          </w:tcPr>
          <w:p>
            <w:pPr>
              <w:ind w:left="40"/>
              <w:spacing w:after="0"/>
              <w:rPr>
                <w:sz w:val="20"/>
                <w:szCs w:val="20"/>
                <w:color w:val="auto"/>
              </w:rPr>
            </w:pPr>
            <w:r>
              <w:rPr>
                <w:rFonts w:ascii="Arial" w:cs="Arial" w:eastAsia="Arial" w:hAnsi="Arial"/>
                <w:sz w:val="18"/>
                <w:szCs w:val="18"/>
                <w:color w:val="auto"/>
              </w:rPr>
              <w:t>(Principal Financial and Accounting Officer)</w:t>
            </w:r>
          </w:p>
        </w:tc>
      </w:tr>
      <w:tr>
        <w:trPr>
          <w:trHeight w:val="601"/>
        </w:trPr>
        <w:tc>
          <w:tcPr>
            <w:tcW w:w="5380" w:type="dxa"/>
            <w:vAlign w:val="bottom"/>
          </w:tcPr>
          <w:p>
            <w:pPr>
              <w:spacing w:after="0"/>
              <w:rPr>
                <w:sz w:val="20"/>
                <w:szCs w:val="20"/>
                <w:color w:val="auto"/>
              </w:rPr>
            </w:pPr>
            <w:r>
              <w:rPr>
                <w:rFonts w:ascii="Arial" w:cs="Arial" w:eastAsia="Arial" w:hAnsi="Arial"/>
                <w:sz w:val="18"/>
                <w:szCs w:val="18"/>
                <w:color w:val="auto"/>
              </w:rPr>
              <w:t>Date: February 19, 2020</w:t>
            </w:r>
          </w:p>
        </w:tc>
        <w:tc>
          <w:tcPr>
            <w:tcW w:w="320" w:type="dxa"/>
            <w:vAlign w:val="bottom"/>
            <w:tcBorders>
              <w:bottom w:val="single" w:sz="8" w:color="435363"/>
            </w:tcBorders>
          </w:tcPr>
          <w:p>
            <w:pPr>
              <w:ind w:left="40"/>
              <w:spacing w:after="0"/>
              <w:rPr>
                <w:sz w:val="20"/>
                <w:szCs w:val="20"/>
                <w:color w:val="auto"/>
              </w:rPr>
            </w:pPr>
            <w:r>
              <w:rPr>
                <w:rFonts w:ascii="Arial" w:cs="Arial" w:eastAsia="Arial" w:hAnsi="Arial"/>
                <w:sz w:val="18"/>
                <w:szCs w:val="18"/>
                <w:color w:val="auto"/>
              </w:rPr>
              <w:t>/s/</w:t>
            </w:r>
          </w:p>
        </w:tc>
        <w:tc>
          <w:tcPr>
            <w:tcW w:w="5080" w:type="dxa"/>
            <w:vAlign w:val="bottom"/>
            <w:tcBorders>
              <w:bottom w:val="single" w:sz="8" w:color="435363"/>
            </w:tcBorders>
          </w:tcPr>
          <w:p>
            <w:pPr>
              <w:ind w:left="100"/>
              <w:spacing w:after="0"/>
              <w:rPr>
                <w:sz w:val="20"/>
                <w:szCs w:val="20"/>
                <w:color w:val="auto"/>
              </w:rPr>
            </w:pPr>
            <w:r>
              <w:rPr>
                <w:rFonts w:ascii="Arial" w:cs="Arial" w:eastAsia="Arial" w:hAnsi="Arial"/>
                <w:sz w:val="18"/>
                <w:szCs w:val="18"/>
                <w:color w:val="auto"/>
              </w:rPr>
              <w:t>Stephen L. Johnson</w:t>
            </w:r>
          </w:p>
        </w:tc>
      </w:tr>
      <w:tr>
        <w:trPr>
          <w:trHeight w:val="243"/>
        </w:trPr>
        <w:tc>
          <w:tcPr>
            <w:tcW w:w="5380" w:type="dxa"/>
            <w:vAlign w:val="bottom"/>
          </w:tcPr>
          <w:p>
            <w:pPr>
              <w:spacing w:after="0"/>
              <w:rPr>
                <w:sz w:val="21"/>
                <w:szCs w:val="21"/>
                <w:color w:val="auto"/>
              </w:rPr>
            </w:pPr>
          </w:p>
        </w:tc>
        <w:tc>
          <w:tcPr>
            <w:tcW w:w="5400" w:type="dxa"/>
            <w:vAlign w:val="bottom"/>
            <w:gridSpan w:val="2"/>
          </w:tcPr>
          <w:p>
            <w:pPr>
              <w:ind w:left="40"/>
              <w:spacing w:after="0"/>
              <w:rPr>
                <w:sz w:val="20"/>
                <w:szCs w:val="20"/>
                <w:color w:val="auto"/>
              </w:rPr>
            </w:pPr>
            <w:r>
              <w:rPr>
                <w:rFonts w:ascii="Arial" w:cs="Arial" w:eastAsia="Arial" w:hAnsi="Arial"/>
                <w:sz w:val="18"/>
                <w:szCs w:val="18"/>
                <w:color w:val="auto"/>
              </w:rPr>
              <w:t>Stephen L. Johnson, Director</w:t>
            </w:r>
          </w:p>
        </w:tc>
      </w:tr>
      <w:tr>
        <w:trPr>
          <w:trHeight w:val="588"/>
        </w:trPr>
        <w:tc>
          <w:tcPr>
            <w:tcW w:w="5380" w:type="dxa"/>
            <w:vAlign w:val="bottom"/>
          </w:tcPr>
          <w:p>
            <w:pPr>
              <w:spacing w:after="0"/>
              <w:rPr>
                <w:sz w:val="20"/>
                <w:szCs w:val="20"/>
                <w:color w:val="auto"/>
              </w:rPr>
            </w:pPr>
            <w:r>
              <w:rPr>
                <w:rFonts w:ascii="Arial" w:cs="Arial" w:eastAsia="Arial" w:hAnsi="Arial"/>
                <w:sz w:val="18"/>
                <w:szCs w:val="18"/>
                <w:color w:val="auto"/>
              </w:rPr>
              <w:t>Date: February 19, 2020</w:t>
            </w:r>
          </w:p>
        </w:tc>
        <w:tc>
          <w:tcPr>
            <w:tcW w:w="320" w:type="dxa"/>
            <w:vAlign w:val="bottom"/>
            <w:tcBorders>
              <w:bottom w:val="single" w:sz="8" w:color="435363"/>
            </w:tcBorders>
          </w:tcPr>
          <w:p>
            <w:pPr>
              <w:ind w:left="40"/>
              <w:spacing w:after="0"/>
              <w:rPr>
                <w:sz w:val="20"/>
                <w:szCs w:val="20"/>
                <w:color w:val="auto"/>
              </w:rPr>
            </w:pPr>
            <w:r>
              <w:rPr>
                <w:rFonts w:ascii="Arial" w:cs="Arial" w:eastAsia="Arial" w:hAnsi="Arial"/>
                <w:sz w:val="18"/>
                <w:szCs w:val="18"/>
                <w:color w:val="auto"/>
              </w:rPr>
              <w:t>/s/</w:t>
            </w:r>
          </w:p>
        </w:tc>
        <w:tc>
          <w:tcPr>
            <w:tcW w:w="5080" w:type="dxa"/>
            <w:vAlign w:val="bottom"/>
            <w:tcBorders>
              <w:bottom w:val="single" w:sz="8" w:color="435363"/>
            </w:tcBorders>
          </w:tcPr>
          <w:p>
            <w:pPr>
              <w:ind w:left="100"/>
              <w:spacing w:after="0"/>
              <w:rPr>
                <w:sz w:val="20"/>
                <w:szCs w:val="20"/>
                <w:color w:val="auto"/>
              </w:rPr>
            </w:pPr>
            <w:r>
              <w:rPr>
                <w:rFonts w:ascii="Arial" w:cs="Arial" w:eastAsia="Arial" w:hAnsi="Arial"/>
                <w:sz w:val="18"/>
                <w:szCs w:val="18"/>
                <w:color w:val="auto"/>
              </w:rPr>
              <w:t>Robert D. Isom</w:t>
            </w:r>
          </w:p>
        </w:tc>
      </w:tr>
      <w:tr>
        <w:trPr>
          <w:trHeight w:val="243"/>
        </w:trPr>
        <w:tc>
          <w:tcPr>
            <w:tcW w:w="5380" w:type="dxa"/>
            <w:vAlign w:val="bottom"/>
          </w:tcPr>
          <w:p>
            <w:pPr>
              <w:spacing w:after="0"/>
              <w:rPr>
                <w:sz w:val="21"/>
                <w:szCs w:val="21"/>
                <w:color w:val="auto"/>
              </w:rPr>
            </w:pPr>
          </w:p>
        </w:tc>
        <w:tc>
          <w:tcPr>
            <w:tcW w:w="5400" w:type="dxa"/>
            <w:vAlign w:val="bottom"/>
            <w:gridSpan w:val="2"/>
          </w:tcPr>
          <w:p>
            <w:pPr>
              <w:ind w:left="40"/>
              <w:spacing w:after="0"/>
              <w:rPr>
                <w:sz w:val="20"/>
                <w:szCs w:val="20"/>
                <w:color w:val="auto"/>
              </w:rPr>
            </w:pPr>
            <w:r>
              <w:rPr>
                <w:rFonts w:ascii="Arial" w:cs="Arial" w:eastAsia="Arial" w:hAnsi="Arial"/>
                <w:sz w:val="18"/>
                <w:szCs w:val="18"/>
                <w:color w:val="auto"/>
              </w:rPr>
              <w:t>Robert D. Isom, Director</w:t>
            </w:r>
          </w:p>
        </w:tc>
      </w:tr>
      <w:tr>
        <w:trPr>
          <w:trHeight w:val="446"/>
        </w:trPr>
        <w:tc>
          <w:tcPr>
            <w:tcW w:w="5380" w:type="dxa"/>
            <w:vAlign w:val="bottom"/>
          </w:tcPr>
          <w:p>
            <w:pPr>
              <w:spacing w:after="0"/>
              <w:rPr>
                <w:sz w:val="24"/>
                <w:szCs w:val="24"/>
                <w:color w:val="auto"/>
              </w:rPr>
            </w:pPr>
          </w:p>
        </w:tc>
        <w:tc>
          <w:tcPr>
            <w:tcW w:w="5400" w:type="dxa"/>
            <w:vAlign w:val="bottom"/>
            <w:gridSpan w:val="2"/>
          </w:tcPr>
          <w:p>
            <w:pPr>
              <w:ind w:left="140"/>
              <w:spacing w:after="0"/>
              <w:rPr>
                <w:sz w:val="20"/>
                <w:szCs w:val="20"/>
                <w:color w:val="auto"/>
              </w:rPr>
            </w:pPr>
            <w:r>
              <w:rPr>
                <w:rFonts w:ascii="Arial" w:cs="Arial" w:eastAsia="Arial" w:hAnsi="Arial"/>
                <w:sz w:val="18"/>
                <w:szCs w:val="18"/>
                <w:color w:val="auto"/>
              </w:rPr>
              <w:t>187</w:t>
            </w:r>
          </w:p>
        </w:tc>
      </w:tr>
    </w:tbl>
    <w:p>
      <w:pPr>
        <w:sectPr>
          <w:pgSz w:w="11900" w:h="16838" w:orient="portrait"/>
          <w:cols w:equalWidth="0" w:num="1">
            <w:col w:w="11400"/>
          </w:cols>
          <w:pgMar w:left="240" w:top="733" w:right="259" w:bottom="1440" w:gutter="0" w:footer="0" w:header="0"/>
          <w:type w:val="continuous"/>
        </w:sectPr>
      </w:pPr>
    </w:p>
    <w:bookmarkStart w:id="187" w:name="page188"/>
    <w:bookmarkEnd w:id="187"/>
    <w:p>
      <w:pPr>
        <w:jc w:val="right"/>
        <w:spacing w:after="0"/>
        <w:rPr>
          <w:sz w:val="20"/>
          <w:szCs w:val="20"/>
          <w:color w:val="auto"/>
        </w:rPr>
      </w:pPr>
      <w:r>
        <w:rPr>
          <w:rFonts w:ascii="Arial" w:cs="Arial" w:eastAsia="Arial" w:hAnsi="Arial"/>
          <w:sz w:val="18"/>
          <w:szCs w:val="18"/>
          <w:b w:val="1"/>
          <w:bCs w:val="1"/>
          <w:color w:val="auto"/>
        </w:rPr>
        <w:t>Exhibit 4.1</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DESCRIPTION OF THE REGISTRANTS’ SECURITIES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REGISTERED PURSUANT TO SECTION 12 OF THE</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SECURITIES EXCHANGE ACT OF 1934</w:t>
      </w:r>
    </w:p>
    <w:p>
      <w:pPr>
        <w:spacing w:after="0" w:line="211"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color w:val="auto"/>
        </w:rPr>
        <w:t>As of December 31, 2019, American Airlines Group Inc. (“AAG”) had common stock, $0.01 par value per share, registered under Section 12 of the Securities Exchange Act of 1934, as amended (the “Exchange Act”), and listed on The Nasdaq Stock Market LLC under the trading symbol “AAL.” American Airlines, Inc. had no securities registered under Section 12 of the Exchange Act.</w:t>
      </w:r>
    </w:p>
    <w:p>
      <w:pPr>
        <w:spacing w:after="0" w:line="13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DESCRIPTION OF COMMON STOCK</w:t>
      </w:r>
    </w:p>
    <w:p>
      <w:pPr>
        <w:spacing w:after="0" w:line="189" w:lineRule="exact"/>
        <w:rPr>
          <w:sz w:val="20"/>
          <w:szCs w:val="20"/>
          <w:color w:val="auto"/>
        </w:rPr>
      </w:pPr>
    </w:p>
    <w:p>
      <w:pPr>
        <w:jc w:val="both"/>
        <w:ind w:firstLine="648"/>
        <w:spacing w:after="0" w:line="293" w:lineRule="auto"/>
        <w:rPr>
          <w:sz w:val="20"/>
          <w:szCs w:val="20"/>
          <w:color w:val="auto"/>
        </w:rPr>
      </w:pPr>
      <w:r>
        <w:rPr>
          <w:rFonts w:ascii="Arial" w:cs="Arial" w:eastAsia="Arial" w:hAnsi="Arial"/>
          <w:sz w:val="16"/>
          <w:szCs w:val="16"/>
          <w:color w:val="auto"/>
        </w:rPr>
        <w:t>The following is a description of the rights of the holders of AAG common stock and related provisions of AAG’s Restated Certificate of Incorporation, as amended (the “Certificate of Incorporation”), and AAG’s Third Amended and Restated Bylaws (the “Bylaws”) and applicable provisions of the Delaware General Corporation Law (the “DGCL”). This description is a summary and does not purport to be complete and is qualified in its entirety by, and should be read in conjunction with, the Certificate of Incorporation, Bylaws and applicable provisions of the DGCL. The Certificate of Incorporation and Bylaws, which are filed as Exhibit 3.1 and Exhibit 3.3., respectively, to the Annual Report on Form 10-K of which this Exhibit 4.1 is a part, are incorporated by reference herein. We encourage you to read the Certificate of Incorporation, Bylaws and applicable provisions of the DGCL for additional information.</w:t>
      </w:r>
    </w:p>
    <w:p>
      <w:pPr>
        <w:spacing w:after="0" w:line="12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Authorized Capital Stock</w:t>
      </w:r>
    </w:p>
    <w:p>
      <w:pPr>
        <w:spacing w:after="0" w:line="22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AAG’s authorized capital stock consists of:</w:t>
      </w:r>
    </w:p>
    <w:p>
      <w:pPr>
        <w:spacing w:after="0" w:line="185" w:lineRule="exact"/>
        <w:rPr>
          <w:sz w:val="20"/>
          <w:szCs w:val="20"/>
          <w:color w:val="auto"/>
        </w:rPr>
      </w:pPr>
    </w:p>
    <w:p>
      <w:pPr>
        <w:ind w:left="1000" w:hanging="371"/>
        <w:spacing w:after="0"/>
        <w:tabs>
          <w:tab w:leader="none" w:pos="1000" w:val="left"/>
        </w:tabs>
        <w:numPr>
          <w:ilvl w:val="0"/>
          <w:numId w:val="74"/>
        </w:numPr>
        <w:rPr>
          <w:rFonts w:ascii="Arial" w:cs="Arial" w:eastAsia="Arial" w:hAnsi="Arial"/>
          <w:sz w:val="18"/>
          <w:szCs w:val="18"/>
          <w:color w:val="auto"/>
        </w:rPr>
      </w:pPr>
      <w:r>
        <w:rPr>
          <w:rFonts w:ascii="Arial" w:cs="Arial" w:eastAsia="Arial" w:hAnsi="Arial"/>
          <w:sz w:val="18"/>
          <w:szCs w:val="18"/>
          <w:color w:val="auto"/>
        </w:rPr>
        <w:t>1.75 billion shares of common stock, $0.01 par value; and</w:t>
      </w:r>
    </w:p>
    <w:p>
      <w:pPr>
        <w:spacing w:after="0" w:line="184" w:lineRule="exact"/>
        <w:rPr>
          <w:rFonts w:ascii="Arial" w:cs="Arial" w:eastAsia="Arial" w:hAnsi="Arial"/>
          <w:sz w:val="18"/>
          <w:szCs w:val="18"/>
          <w:color w:val="auto"/>
        </w:rPr>
      </w:pPr>
    </w:p>
    <w:p>
      <w:pPr>
        <w:ind w:left="1000" w:hanging="371"/>
        <w:spacing w:after="0"/>
        <w:tabs>
          <w:tab w:leader="none" w:pos="1000" w:val="left"/>
        </w:tabs>
        <w:numPr>
          <w:ilvl w:val="0"/>
          <w:numId w:val="74"/>
        </w:numPr>
        <w:rPr>
          <w:rFonts w:ascii="Arial" w:cs="Arial" w:eastAsia="Arial" w:hAnsi="Arial"/>
          <w:sz w:val="18"/>
          <w:szCs w:val="18"/>
          <w:color w:val="auto"/>
        </w:rPr>
      </w:pPr>
      <w:r>
        <w:rPr>
          <w:rFonts w:ascii="Arial" w:cs="Arial" w:eastAsia="Arial" w:hAnsi="Arial"/>
          <w:sz w:val="18"/>
          <w:szCs w:val="18"/>
          <w:color w:val="auto"/>
        </w:rPr>
        <w:t>200 million shares of preferred stock, $0.01 par value.</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Common Stock</w:t>
      </w:r>
    </w:p>
    <w:p>
      <w:pPr>
        <w:spacing w:after="0" w:line="229" w:lineRule="exact"/>
        <w:rPr>
          <w:sz w:val="20"/>
          <w:szCs w:val="20"/>
          <w:color w:val="auto"/>
        </w:rPr>
      </w:pPr>
    </w:p>
    <w:p>
      <w:pPr>
        <w:ind w:left="660"/>
        <w:spacing w:after="0"/>
        <w:rPr>
          <w:sz w:val="20"/>
          <w:szCs w:val="20"/>
          <w:color w:val="auto"/>
        </w:rPr>
      </w:pPr>
      <w:r>
        <w:rPr>
          <w:rFonts w:ascii="Arial" w:cs="Arial" w:eastAsia="Arial" w:hAnsi="Arial"/>
          <w:sz w:val="18"/>
          <w:szCs w:val="18"/>
          <w:b w:val="1"/>
          <w:bCs w:val="1"/>
          <w:i w:val="1"/>
          <w:iCs w:val="1"/>
          <w:color w:val="auto"/>
        </w:rPr>
        <w:t>Dividends</w:t>
      </w:r>
    </w:p>
    <w:p>
      <w:pPr>
        <w:spacing w:after="0" w:line="185"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color w:val="auto"/>
        </w:rPr>
        <w:t>Holders of AAG common stock are entitled to receive dividends or other distributions in cash, stock or property of AAG when, as and if declared on the common stock by AAG’s board of directors from time to time out of assets or funds of AAG legally available therefor, subject to the rights of holders of any outstanding preferred stock.</w:t>
      </w:r>
    </w:p>
    <w:p>
      <w:pPr>
        <w:spacing w:after="0" w:line="141" w:lineRule="exact"/>
        <w:rPr>
          <w:sz w:val="20"/>
          <w:szCs w:val="20"/>
          <w:color w:val="auto"/>
        </w:rPr>
      </w:pPr>
    </w:p>
    <w:p>
      <w:pPr>
        <w:ind w:left="660"/>
        <w:spacing w:after="0"/>
        <w:rPr>
          <w:sz w:val="20"/>
          <w:szCs w:val="20"/>
          <w:color w:val="auto"/>
        </w:rPr>
      </w:pPr>
      <w:r>
        <w:rPr>
          <w:rFonts w:ascii="Arial" w:cs="Arial" w:eastAsia="Arial" w:hAnsi="Arial"/>
          <w:sz w:val="18"/>
          <w:szCs w:val="18"/>
          <w:b w:val="1"/>
          <w:bCs w:val="1"/>
          <w:i w:val="1"/>
          <w:iCs w:val="1"/>
          <w:color w:val="auto"/>
        </w:rPr>
        <w:t>Voting Rights</w:t>
      </w:r>
    </w:p>
    <w:p>
      <w:pPr>
        <w:spacing w:after="0" w:line="185"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color w:val="auto"/>
        </w:rPr>
        <w:t>Holders of AAG common stock are entitled to one vote per share on all matters submitted to a vote of common stockholders, except that voting rights of non-U.S. citizens are limited as described below under “ Other Provisions Restricting Transfer and Ownership.” Holders of AAG common stock have no right to cumulate their votes.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3098165</wp:posOffset>
            </wp:positionH>
            <wp:positionV relativeFrom="paragraph">
              <wp:posOffset>-218440</wp:posOffset>
            </wp:positionV>
            <wp:extent cx="36830" cy="8890"/>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320">
                      <a:extLst>
                        <a:ext uri="{28A0092B-C50C-407E-A947-70E740481C1C}"/>
                      </a:extLst>
                    </a:blip>
                    <a:srcRect/>
                    <a:stretch>
                      <a:fillRect/>
                    </a:stretch>
                  </pic:blipFill>
                  <pic:spPr bwMode="auto">
                    <a:xfrm>
                      <a:off x="0" y="0"/>
                      <a:ext cx="36830" cy="8890"/>
                    </a:xfrm>
                    <a:prstGeom prst="rect">
                      <a:avLst/>
                    </a:prstGeom>
                    <a:noFill/>
                  </pic:spPr>
                </pic:pic>
              </a:graphicData>
            </a:graphic>
          </wp:anchor>
        </w:drawing>
      </w:r>
    </w:p>
    <w:p>
      <w:pPr>
        <w:spacing w:after="0" w:line="121" w:lineRule="exact"/>
        <w:rPr>
          <w:sz w:val="20"/>
          <w:szCs w:val="20"/>
          <w:color w:val="auto"/>
        </w:rPr>
      </w:pPr>
    </w:p>
    <w:p>
      <w:pPr>
        <w:ind w:left="660"/>
        <w:spacing w:after="0"/>
        <w:rPr>
          <w:sz w:val="20"/>
          <w:szCs w:val="20"/>
          <w:color w:val="auto"/>
        </w:rPr>
      </w:pPr>
      <w:r>
        <w:rPr>
          <w:rFonts w:ascii="Arial" w:cs="Arial" w:eastAsia="Arial" w:hAnsi="Arial"/>
          <w:sz w:val="18"/>
          <w:szCs w:val="18"/>
          <w:b w:val="1"/>
          <w:bCs w:val="1"/>
          <w:i w:val="1"/>
          <w:iCs w:val="1"/>
          <w:color w:val="auto"/>
        </w:rPr>
        <w:t>Liquidation Rights</w:t>
      </w:r>
    </w:p>
    <w:p>
      <w:pPr>
        <w:spacing w:after="0" w:line="185" w:lineRule="exact"/>
        <w:rPr>
          <w:sz w:val="20"/>
          <w:szCs w:val="20"/>
          <w:color w:val="auto"/>
        </w:rPr>
      </w:pPr>
    </w:p>
    <w:p>
      <w:pPr>
        <w:jc w:val="both"/>
        <w:ind w:firstLine="648"/>
        <w:spacing w:after="0" w:line="276" w:lineRule="auto"/>
        <w:rPr>
          <w:sz w:val="20"/>
          <w:szCs w:val="20"/>
          <w:color w:val="auto"/>
        </w:rPr>
      </w:pPr>
      <w:r>
        <w:rPr>
          <w:rFonts w:ascii="Arial" w:cs="Arial" w:eastAsia="Arial" w:hAnsi="Arial"/>
          <w:sz w:val="17"/>
          <w:szCs w:val="17"/>
          <w:color w:val="auto"/>
        </w:rPr>
        <w:t>In the event of any voluntary or involuntary liquidation, dissolution, or winding up of AAG, holders of AAG common stock are entitled to receive the assets and funds legally available for distribution in proportion to the number of shares held by them after payments to creditors and of preferential amounts, if any, to which any holders of AAG preferred stock may be entitled. If AAG has any preferred stock outstanding at such time, holders of the preferred stock may be entitled to distributions and/or liquidation preferences. In such case, AAG must pay the applicable distribution to holders of its preferred stock, if required pursuant to the terms of any such preferred stock, before it may pay distributions to holders of AAG common stock.</w:t>
      </w:r>
    </w:p>
    <w:p>
      <w:pPr>
        <w:spacing w:after="0" w:line="132" w:lineRule="exact"/>
        <w:rPr>
          <w:sz w:val="20"/>
          <w:szCs w:val="20"/>
          <w:color w:val="auto"/>
        </w:rPr>
      </w:pPr>
    </w:p>
    <w:p>
      <w:pPr>
        <w:ind w:left="660"/>
        <w:spacing w:after="0"/>
        <w:rPr>
          <w:sz w:val="20"/>
          <w:szCs w:val="20"/>
          <w:color w:val="auto"/>
        </w:rPr>
      </w:pPr>
      <w:r>
        <w:rPr>
          <w:rFonts w:ascii="Arial" w:cs="Arial" w:eastAsia="Arial" w:hAnsi="Arial"/>
          <w:sz w:val="18"/>
          <w:szCs w:val="18"/>
          <w:b w:val="1"/>
          <w:bCs w:val="1"/>
          <w:i w:val="1"/>
          <w:iCs w:val="1"/>
          <w:color w:val="auto"/>
        </w:rPr>
        <w:t>Other Rights</w:t>
      </w:r>
    </w:p>
    <w:p>
      <w:pPr>
        <w:spacing w:after="0" w:line="185"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In the event of a merger or consolidation of AAG with or into another entity, the holders of AAG common stock are entitled to receive the same per share consideration on a per share basis.</w:t>
      </w:r>
    </w:p>
    <w:p>
      <w:pPr>
        <w:spacing w:after="0" w:line="130" w:lineRule="exact"/>
        <w:rPr>
          <w:sz w:val="20"/>
          <w:szCs w:val="20"/>
          <w:color w:val="auto"/>
        </w:rPr>
      </w:pPr>
    </w:p>
    <w:p>
      <w:pPr>
        <w:ind w:left="660"/>
        <w:spacing w:after="0"/>
        <w:rPr>
          <w:sz w:val="20"/>
          <w:szCs w:val="20"/>
          <w:color w:val="auto"/>
        </w:rPr>
      </w:pPr>
      <w:r>
        <w:rPr>
          <w:rFonts w:ascii="Arial" w:cs="Arial" w:eastAsia="Arial" w:hAnsi="Arial"/>
          <w:sz w:val="18"/>
          <w:szCs w:val="18"/>
          <w:color w:val="auto"/>
        </w:rPr>
        <w:t>Holders of AAG’s common stock are not entitled to preemptive rights to purchase additional shares.</w:t>
      </w:r>
    </w:p>
    <w:p>
      <w:pPr>
        <w:sectPr>
          <w:pgSz w:w="11900" w:h="16838" w:orient="portrait"/>
          <w:cols w:equalWidth="0" w:num="1">
            <w:col w:w="11420"/>
          </w:cols>
          <w:pgMar w:left="240" w:top="770" w:right="239" w:bottom="1440" w:gutter="0" w:footer="0" w:header="0"/>
        </w:sectPr>
      </w:pPr>
    </w:p>
    <w:bookmarkStart w:id="188" w:name="page189"/>
    <w:bookmarkEnd w:id="188"/>
    <w:p>
      <w:pPr>
        <w:ind w:left="660"/>
        <w:spacing w:after="0"/>
        <w:rPr>
          <w:sz w:val="20"/>
          <w:szCs w:val="20"/>
          <w:color w:val="auto"/>
        </w:rPr>
      </w:pPr>
      <w:r>
        <w:rPr>
          <w:rFonts w:ascii="Arial" w:cs="Arial" w:eastAsia="Arial" w:hAnsi="Arial"/>
          <w:sz w:val="18"/>
          <w:szCs w:val="18"/>
          <w:b w:val="1"/>
          <w:bCs w:val="1"/>
          <w:i w:val="1"/>
          <w:iCs w:val="1"/>
          <w:color w:val="auto"/>
        </w:rPr>
        <w:t>Transfer Agent</w:t>
      </w:r>
    </w:p>
    <w:p>
      <w:pPr>
        <w:spacing w:after="0" w:line="18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transfer agent and registrar for AAG’s common stock is American Stock Transfer &amp; Trust Company, LLC.</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Certain Anti-takeover Provisions of AAG’s Certificate of Incorporation and Bylaws</w:t>
      </w:r>
    </w:p>
    <w:p>
      <w:pPr>
        <w:spacing w:after="0" w:line="189"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color w:val="auto"/>
        </w:rPr>
        <w:t>Certain provisions of the Certificate of Incorporation and Bylaws may have the effect of delaying or preventing a change in control if AAG’s board of directors determines such change in control is not in the best interests of AAG and its stockholders. These provisions include, among other things, the following:</w:t>
      </w:r>
    </w:p>
    <w:p>
      <w:pPr>
        <w:spacing w:after="0" w:line="141" w:lineRule="exact"/>
        <w:rPr>
          <w:sz w:val="20"/>
          <w:szCs w:val="20"/>
          <w:color w:val="auto"/>
        </w:rPr>
      </w:pPr>
    </w:p>
    <w:p>
      <w:pPr>
        <w:ind w:left="1000" w:hanging="371"/>
        <w:spacing w:after="0" w:line="277" w:lineRule="auto"/>
        <w:tabs>
          <w:tab w:leader="none" w:pos="1000" w:val="left"/>
        </w:tabs>
        <w:numPr>
          <w:ilvl w:val="0"/>
          <w:numId w:val="75"/>
        </w:numPr>
        <w:rPr>
          <w:rFonts w:ascii="Arial" w:cs="Arial" w:eastAsia="Arial" w:hAnsi="Arial"/>
          <w:sz w:val="18"/>
          <w:szCs w:val="18"/>
          <w:color w:val="auto"/>
        </w:rPr>
      </w:pPr>
      <w:r>
        <w:rPr>
          <w:rFonts w:ascii="Arial" w:cs="Arial" w:eastAsia="Arial" w:hAnsi="Arial"/>
          <w:sz w:val="18"/>
          <w:szCs w:val="18"/>
          <w:color w:val="auto"/>
        </w:rPr>
        <w:t>the ability to authorize undesignated preferred stock with super voting, special approval, dividend, or other rights or preferences that could impede the success of any attempt to acquire AAG;</w:t>
      </w:r>
    </w:p>
    <w:p>
      <w:pPr>
        <w:spacing w:after="0" w:line="129" w:lineRule="exact"/>
        <w:rPr>
          <w:rFonts w:ascii="Arial" w:cs="Arial" w:eastAsia="Arial" w:hAnsi="Arial"/>
          <w:sz w:val="18"/>
          <w:szCs w:val="18"/>
          <w:color w:val="auto"/>
        </w:rPr>
      </w:pPr>
    </w:p>
    <w:p>
      <w:pPr>
        <w:ind w:left="1000" w:hanging="371"/>
        <w:spacing w:after="0"/>
        <w:tabs>
          <w:tab w:leader="none" w:pos="1000" w:val="left"/>
        </w:tabs>
        <w:numPr>
          <w:ilvl w:val="0"/>
          <w:numId w:val="75"/>
        </w:numPr>
        <w:rPr>
          <w:rFonts w:ascii="Arial" w:cs="Arial" w:eastAsia="Arial" w:hAnsi="Arial"/>
          <w:sz w:val="18"/>
          <w:szCs w:val="18"/>
          <w:color w:val="auto"/>
        </w:rPr>
      </w:pPr>
      <w:r>
        <w:rPr>
          <w:rFonts w:ascii="Arial" w:cs="Arial" w:eastAsia="Arial" w:hAnsi="Arial"/>
          <w:sz w:val="18"/>
          <w:szCs w:val="18"/>
          <w:color w:val="auto"/>
        </w:rPr>
        <w:t>advance notice procedures for stockholder proposals to be considered at stockholders’ meetings;</w:t>
      </w:r>
    </w:p>
    <w:p>
      <w:pPr>
        <w:spacing w:after="0" w:line="184" w:lineRule="exact"/>
        <w:rPr>
          <w:rFonts w:ascii="Arial" w:cs="Arial" w:eastAsia="Arial" w:hAnsi="Arial"/>
          <w:sz w:val="18"/>
          <w:szCs w:val="18"/>
          <w:color w:val="auto"/>
        </w:rPr>
      </w:pPr>
    </w:p>
    <w:p>
      <w:pPr>
        <w:ind w:left="1000" w:hanging="371"/>
        <w:spacing w:after="0"/>
        <w:tabs>
          <w:tab w:leader="none" w:pos="1000" w:val="left"/>
        </w:tabs>
        <w:numPr>
          <w:ilvl w:val="0"/>
          <w:numId w:val="75"/>
        </w:numPr>
        <w:rPr>
          <w:rFonts w:ascii="Arial" w:cs="Arial" w:eastAsia="Arial" w:hAnsi="Arial"/>
          <w:sz w:val="18"/>
          <w:szCs w:val="18"/>
          <w:color w:val="auto"/>
        </w:rPr>
      </w:pPr>
      <w:r>
        <w:rPr>
          <w:rFonts w:ascii="Arial" w:cs="Arial" w:eastAsia="Arial" w:hAnsi="Arial"/>
          <w:sz w:val="18"/>
          <w:szCs w:val="18"/>
          <w:color w:val="auto"/>
        </w:rPr>
        <w:t>the ability of AAG’s board of directors to fill vacancies on the board;</w:t>
      </w:r>
    </w:p>
    <w:p>
      <w:pPr>
        <w:spacing w:after="0" w:line="184" w:lineRule="exact"/>
        <w:rPr>
          <w:rFonts w:ascii="Arial" w:cs="Arial" w:eastAsia="Arial" w:hAnsi="Arial"/>
          <w:sz w:val="18"/>
          <w:szCs w:val="18"/>
          <w:color w:val="auto"/>
        </w:rPr>
      </w:pPr>
    </w:p>
    <w:p>
      <w:pPr>
        <w:ind w:left="1000" w:hanging="371"/>
        <w:spacing w:after="0"/>
        <w:tabs>
          <w:tab w:leader="none" w:pos="1000" w:val="left"/>
        </w:tabs>
        <w:numPr>
          <w:ilvl w:val="0"/>
          <w:numId w:val="75"/>
        </w:numPr>
        <w:rPr>
          <w:rFonts w:ascii="Arial" w:cs="Arial" w:eastAsia="Arial" w:hAnsi="Arial"/>
          <w:sz w:val="18"/>
          <w:szCs w:val="18"/>
          <w:color w:val="auto"/>
        </w:rPr>
      </w:pPr>
      <w:r>
        <w:rPr>
          <w:rFonts w:ascii="Arial" w:cs="Arial" w:eastAsia="Arial" w:hAnsi="Arial"/>
          <w:sz w:val="18"/>
          <w:szCs w:val="18"/>
          <w:color w:val="auto"/>
        </w:rPr>
        <w:t>a prohibition against stockholders taking action by written consent;</w:t>
      </w:r>
    </w:p>
    <w:p>
      <w:pPr>
        <w:spacing w:after="0" w:line="184" w:lineRule="exact"/>
        <w:rPr>
          <w:rFonts w:ascii="Arial" w:cs="Arial" w:eastAsia="Arial" w:hAnsi="Arial"/>
          <w:sz w:val="18"/>
          <w:szCs w:val="18"/>
          <w:color w:val="auto"/>
        </w:rPr>
      </w:pPr>
    </w:p>
    <w:p>
      <w:pPr>
        <w:ind w:left="1000" w:hanging="371"/>
        <w:spacing w:after="0" w:line="277" w:lineRule="auto"/>
        <w:tabs>
          <w:tab w:leader="none" w:pos="1000" w:val="left"/>
        </w:tabs>
        <w:numPr>
          <w:ilvl w:val="0"/>
          <w:numId w:val="75"/>
        </w:numPr>
        <w:rPr>
          <w:rFonts w:ascii="Arial" w:cs="Arial" w:eastAsia="Arial" w:hAnsi="Arial"/>
          <w:sz w:val="18"/>
          <w:szCs w:val="18"/>
          <w:color w:val="auto"/>
        </w:rPr>
      </w:pPr>
      <w:r>
        <w:rPr>
          <w:rFonts w:ascii="Arial" w:cs="Arial" w:eastAsia="Arial" w:hAnsi="Arial"/>
          <w:sz w:val="18"/>
          <w:szCs w:val="18"/>
          <w:color w:val="auto"/>
        </w:rPr>
        <w:t>a prohibition against stockholders calling a special meeting of stockholders, except by written demand, delivered in compliance with the requirements of the Bylaws, of stockholders holding at least 20% of the outstanding voting power of AAG’s shares;</w:t>
      </w:r>
    </w:p>
    <w:p>
      <w:pPr>
        <w:spacing w:after="0" w:line="129" w:lineRule="exact"/>
        <w:rPr>
          <w:rFonts w:ascii="Arial" w:cs="Arial" w:eastAsia="Arial" w:hAnsi="Arial"/>
          <w:sz w:val="18"/>
          <w:szCs w:val="18"/>
          <w:color w:val="auto"/>
        </w:rPr>
      </w:pPr>
    </w:p>
    <w:p>
      <w:pPr>
        <w:ind w:left="1000" w:right="20" w:hanging="371"/>
        <w:spacing w:after="0" w:line="277" w:lineRule="auto"/>
        <w:tabs>
          <w:tab w:leader="none" w:pos="1000" w:val="left"/>
        </w:tabs>
        <w:numPr>
          <w:ilvl w:val="0"/>
          <w:numId w:val="75"/>
        </w:numPr>
        <w:rPr>
          <w:rFonts w:ascii="Arial" w:cs="Arial" w:eastAsia="Arial" w:hAnsi="Arial"/>
          <w:sz w:val="18"/>
          <w:szCs w:val="18"/>
          <w:color w:val="auto"/>
        </w:rPr>
      </w:pPr>
      <w:r>
        <w:rPr>
          <w:rFonts w:ascii="Arial" w:cs="Arial" w:eastAsia="Arial" w:hAnsi="Arial"/>
          <w:sz w:val="18"/>
          <w:szCs w:val="18"/>
          <w:color w:val="auto"/>
        </w:rPr>
        <w:t>certain restrictions on security ownership by persons who are not citizens of the U.S. (see the section entitled “-Other Provisions Restricting Transfer and Ownership” below);</w:t>
      </w:r>
    </w:p>
    <w:p>
      <w:pPr>
        <w:spacing w:after="0" w:line="129" w:lineRule="exact"/>
        <w:rPr>
          <w:rFonts w:ascii="Arial" w:cs="Arial" w:eastAsia="Arial" w:hAnsi="Arial"/>
          <w:sz w:val="18"/>
          <w:szCs w:val="18"/>
          <w:color w:val="auto"/>
        </w:rPr>
      </w:pPr>
    </w:p>
    <w:p>
      <w:pPr>
        <w:jc w:val="both"/>
        <w:ind w:left="1000" w:hanging="371"/>
        <w:spacing w:after="0" w:line="264" w:lineRule="auto"/>
        <w:tabs>
          <w:tab w:leader="none" w:pos="1000" w:val="left"/>
        </w:tabs>
        <w:numPr>
          <w:ilvl w:val="0"/>
          <w:numId w:val="75"/>
        </w:numPr>
        <w:rPr>
          <w:rFonts w:ascii="Arial" w:cs="Arial" w:eastAsia="Arial" w:hAnsi="Arial"/>
          <w:sz w:val="18"/>
          <w:szCs w:val="18"/>
          <w:color w:val="auto"/>
        </w:rPr>
      </w:pPr>
      <w:r>
        <w:rPr>
          <w:rFonts w:ascii="Arial" w:cs="Arial" w:eastAsia="Arial" w:hAnsi="Arial"/>
          <w:sz w:val="18"/>
          <w:szCs w:val="18"/>
          <w:color w:val="auto"/>
        </w:rPr>
        <w:t>certain restrictions on transfer of securities by persons or groups holding 4.75% or more of AAG’s capital stock or transfers resulting in a new person or group holding 4.75% or more of AAG’s capital stock (see the section entitled “-Other Provisions Restricting Transfer and Ownership” below);</w:t>
      </w:r>
    </w:p>
    <w:p>
      <w:pPr>
        <w:spacing w:after="0" w:line="140" w:lineRule="exact"/>
        <w:rPr>
          <w:rFonts w:ascii="Arial" w:cs="Arial" w:eastAsia="Arial" w:hAnsi="Arial"/>
          <w:sz w:val="18"/>
          <w:szCs w:val="18"/>
          <w:color w:val="auto"/>
        </w:rPr>
      </w:pPr>
    </w:p>
    <w:p>
      <w:pPr>
        <w:ind w:left="1000" w:hanging="371"/>
        <w:spacing w:after="0" w:line="277" w:lineRule="auto"/>
        <w:tabs>
          <w:tab w:leader="none" w:pos="1000" w:val="left"/>
        </w:tabs>
        <w:numPr>
          <w:ilvl w:val="0"/>
          <w:numId w:val="75"/>
        </w:numPr>
        <w:rPr>
          <w:rFonts w:ascii="Arial" w:cs="Arial" w:eastAsia="Arial" w:hAnsi="Arial"/>
          <w:sz w:val="18"/>
          <w:szCs w:val="18"/>
          <w:color w:val="auto"/>
        </w:rPr>
      </w:pPr>
      <w:r>
        <w:rPr>
          <w:rFonts w:ascii="Arial" w:cs="Arial" w:eastAsia="Arial" w:hAnsi="Arial"/>
          <w:sz w:val="18"/>
          <w:szCs w:val="18"/>
          <w:color w:val="auto"/>
        </w:rPr>
        <w:t>requiring the approval of holders of at least 80% of the voting power of the shares entitled to vote in the election of directors to modify or amend the Bylaws; and</w:t>
      </w:r>
    </w:p>
    <w:p>
      <w:pPr>
        <w:spacing w:after="0" w:line="129" w:lineRule="exact"/>
        <w:rPr>
          <w:rFonts w:ascii="Arial" w:cs="Arial" w:eastAsia="Arial" w:hAnsi="Arial"/>
          <w:sz w:val="18"/>
          <w:szCs w:val="18"/>
          <w:color w:val="auto"/>
        </w:rPr>
      </w:pPr>
    </w:p>
    <w:p>
      <w:pPr>
        <w:ind w:left="1000" w:hanging="371"/>
        <w:spacing w:after="0"/>
        <w:tabs>
          <w:tab w:leader="none" w:pos="1000" w:val="left"/>
        </w:tabs>
        <w:numPr>
          <w:ilvl w:val="0"/>
          <w:numId w:val="75"/>
        </w:numPr>
        <w:rPr>
          <w:rFonts w:ascii="Arial" w:cs="Arial" w:eastAsia="Arial" w:hAnsi="Arial"/>
          <w:sz w:val="18"/>
          <w:szCs w:val="18"/>
          <w:color w:val="auto"/>
        </w:rPr>
      </w:pPr>
      <w:r>
        <w:rPr>
          <w:rFonts w:ascii="Arial" w:cs="Arial" w:eastAsia="Arial" w:hAnsi="Arial"/>
          <w:sz w:val="18"/>
          <w:szCs w:val="18"/>
          <w:color w:val="auto"/>
        </w:rPr>
        <w:t>super-majority voting requirements to modify or amend specified provisions of the Certificate of Incorporation.</w:t>
      </w:r>
    </w:p>
    <w:p>
      <w:pPr>
        <w:spacing w:after="0" w:line="185"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color w:val="auto"/>
        </w:rPr>
        <w:t>AAG is also subject to the provisions of Section 203 of the DDGCL. Under Section 203, we would generally be prohibited from engaging in any business combination with any interested stockholder for a period of three years following the time that such stockholder became an interested stockholder unless:</w:t>
      </w:r>
    </w:p>
    <w:p>
      <w:pPr>
        <w:spacing w:after="0" w:line="141" w:lineRule="exact"/>
        <w:rPr>
          <w:sz w:val="20"/>
          <w:szCs w:val="20"/>
          <w:color w:val="auto"/>
        </w:rPr>
      </w:pPr>
    </w:p>
    <w:p>
      <w:pPr>
        <w:ind w:left="1000" w:hanging="371"/>
        <w:spacing w:after="0" w:line="277" w:lineRule="auto"/>
        <w:tabs>
          <w:tab w:leader="none" w:pos="1000" w:val="left"/>
        </w:tabs>
        <w:numPr>
          <w:ilvl w:val="0"/>
          <w:numId w:val="76"/>
        </w:numPr>
        <w:rPr>
          <w:rFonts w:ascii="Arial" w:cs="Arial" w:eastAsia="Arial" w:hAnsi="Arial"/>
          <w:sz w:val="18"/>
          <w:szCs w:val="18"/>
          <w:color w:val="auto"/>
        </w:rPr>
      </w:pPr>
      <w:r>
        <w:rPr>
          <w:rFonts w:ascii="Arial" w:cs="Arial" w:eastAsia="Arial" w:hAnsi="Arial"/>
          <w:sz w:val="18"/>
          <w:szCs w:val="18"/>
          <w:color w:val="auto"/>
        </w:rPr>
        <w:t>prior to this time, the board of directors of the corporation approved either the business combination or the transaction that resulted in such stockholder becoming an interested stockholder;</w:t>
      </w:r>
    </w:p>
    <w:p>
      <w:pPr>
        <w:spacing w:after="0" w:line="129" w:lineRule="exact"/>
        <w:rPr>
          <w:rFonts w:ascii="Arial" w:cs="Arial" w:eastAsia="Arial" w:hAnsi="Arial"/>
          <w:sz w:val="18"/>
          <w:szCs w:val="18"/>
          <w:color w:val="auto"/>
        </w:rPr>
      </w:pPr>
    </w:p>
    <w:p>
      <w:pPr>
        <w:jc w:val="both"/>
        <w:ind w:left="1000" w:hanging="371"/>
        <w:spacing w:after="0" w:line="279" w:lineRule="auto"/>
        <w:tabs>
          <w:tab w:leader="none" w:pos="1000" w:val="left"/>
        </w:tabs>
        <w:numPr>
          <w:ilvl w:val="0"/>
          <w:numId w:val="76"/>
        </w:numPr>
        <w:rPr>
          <w:rFonts w:ascii="Arial" w:cs="Arial" w:eastAsia="Arial" w:hAnsi="Arial"/>
          <w:sz w:val="17"/>
          <w:szCs w:val="17"/>
          <w:color w:val="auto"/>
        </w:rPr>
      </w:pPr>
      <w:r>
        <w:rPr>
          <w:rFonts w:ascii="Arial" w:cs="Arial" w:eastAsia="Arial" w:hAnsi="Arial"/>
          <w:sz w:val="17"/>
          <w:szCs w:val="17"/>
          <w:color w:val="auto"/>
        </w:rPr>
        <w:t>upon consummation of the transaction that resulted in such stockholder becoming an interested stockholder, the interested stockholder owned at least 85% of the voting stock of the corporation outstanding at the time the transaction commenced, excluding shares owned by persons who are directors and also officers, and by employee stock plans in which employee participants do not have the right to determine confidentially whether shares held subject to the plan will be tendered in a tender or exchange offer; or</w:t>
      </w:r>
    </w:p>
    <w:p>
      <w:pPr>
        <w:spacing w:after="0" w:line="130" w:lineRule="exact"/>
        <w:rPr>
          <w:rFonts w:ascii="Arial" w:cs="Arial" w:eastAsia="Arial" w:hAnsi="Arial"/>
          <w:sz w:val="17"/>
          <w:szCs w:val="17"/>
          <w:color w:val="auto"/>
        </w:rPr>
      </w:pPr>
    </w:p>
    <w:p>
      <w:pPr>
        <w:jc w:val="both"/>
        <w:ind w:left="1000" w:hanging="371"/>
        <w:spacing w:after="0" w:line="264" w:lineRule="auto"/>
        <w:tabs>
          <w:tab w:leader="none" w:pos="1000" w:val="left"/>
        </w:tabs>
        <w:numPr>
          <w:ilvl w:val="0"/>
          <w:numId w:val="76"/>
        </w:numPr>
        <w:rPr>
          <w:rFonts w:ascii="Arial" w:cs="Arial" w:eastAsia="Arial" w:hAnsi="Arial"/>
          <w:sz w:val="18"/>
          <w:szCs w:val="18"/>
          <w:color w:val="auto"/>
        </w:rPr>
      </w:pPr>
      <w:r>
        <w:rPr>
          <w:rFonts w:ascii="Arial" w:cs="Arial" w:eastAsia="Arial" w:hAnsi="Arial"/>
          <w:sz w:val="18"/>
          <w:szCs w:val="18"/>
          <w:color w:val="auto"/>
        </w:rPr>
        <w:t>at or subsequent to such time, the business combination is approved by the board of directors and authorized at an annual or special meeting of stockholders, and not by written consent, by the affirmative vote of at least 66 2/3% of the outstanding voting stock that is not owned by the interested stockholder.</w:t>
      </w:r>
    </w:p>
    <w:p>
      <w:pPr>
        <w:spacing w:after="0" w:line="141" w:lineRule="exact"/>
        <w:rPr>
          <w:sz w:val="20"/>
          <w:szCs w:val="20"/>
          <w:color w:val="auto"/>
        </w:rPr>
      </w:pPr>
    </w:p>
    <w:p>
      <w:pPr>
        <w:ind w:left="660"/>
        <w:spacing w:after="0"/>
        <w:rPr>
          <w:sz w:val="20"/>
          <w:szCs w:val="20"/>
          <w:color w:val="auto"/>
        </w:rPr>
      </w:pPr>
      <w:r>
        <w:rPr>
          <w:rFonts w:ascii="Arial" w:cs="Arial" w:eastAsia="Arial" w:hAnsi="Arial"/>
          <w:sz w:val="18"/>
          <w:szCs w:val="18"/>
          <w:color w:val="auto"/>
        </w:rPr>
        <w:t>Under Section 203, a “business combination” includes:</w:t>
      </w:r>
    </w:p>
    <w:p>
      <w:pPr>
        <w:spacing w:after="0" w:line="185" w:lineRule="exact"/>
        <w:rPr>
          <w:sz w:val="20"/>
          <w:szCs w:val="20"/>
          <w:color w:val="auto"/>
        </w:rPr>
      </w:pPr>
    </w:p>
    <w:p>
      <w:pPr>
        <w:ind w:left="1000" w:hanging="371"/>
        <w:spacing w:after="0"/>
        <w:tabs>
          <w:tab w:leader="none" w:pos="1000" w:val="left"/>
        </w:tabs>
        <w:numPr>
          <w:ilvl w:val="0"/>
          <w:numId w:val="77"/>
        </w:numPr>
        <w:rPr>
          <w:rFonts w:ascii="Arial" w:cs="Arial" w:eastAsia="Arial" w:hAnsi="Arial"/>
          <w:sz w:val="18"/>
          <w:szCs w:val="18"/>
          <w:color w:val="auto"/>
        </w:rPr>
      </w:pPr>
      <w:r>
        <w:rPr>
          <w:rFonts w:ascii="Arial" w:cs="Arial" w:eastAsia="Arial" w:hAnsi="Arial"/>
          <w:sz w:val="18"/>
          <w:szCs w:val="18"/>
          <w:color w:val="auto"/>
        </w:rPr>
        <w:t>any merger or consolidation involving the corporation and the interested stockholder;</w:t>
      </w:r>
    </w:p>
    <w:p>
      <w:pPr>
        <w:sectPr>
          <w:pgSz w:w="11900" w:h="16838" w:orient="portrait"/>
          <w:cols w:equalWidth="0" w:num="1">
            <w:col w:w="11420"/>
          </w:cols>
          <w:pgMar w:left="240" w:top="342" w:right="239" w:bottom="1440" w:gutter="0" w:footer="0" w:header="0"/>
        </w:sectPr>
      </w:pPr>
    </w:p>
    <w:bookmarkStart w:id="189" w:name="page190"/>
    <w:bookmarkEnd w:id="189"/>
    <w:p>
      <w:pPr>
        <w:ind w:left="1000" w:hanging="371"/>
        <w:spacing w:after="0"/>
        <w:tabs>
          <w:tab w:leader="none" w:pos="1000" w:val="left"/>
        </w:tabs>
        <w:numPr>
          <w:ilvl w:val="0"/>
          <w:numId w:val="78"/>
        </w:numPr>
        <w:rPr>
          <w:rFonts w:ascii="Arial" w:cs="Arial" w:eastAsia="Arial" w:hAnsi="Arial"/>
          <w:sz w:val="18"/>
          <w:szCs w:val="18"/>
          <w:color w:val="auto"/>
        </w:rPr>
      </w:pPr>
      <w:r>
        <w:rPr>
          <w:rFonts w:ascii="Arial" w:cs="Arial" w:eastAsia="Arial" w:hAnsi="Arial"/>
          <w:sz w:val="18"/>
          <w:szCs w:val="18"/>
          <w:color w:val="auto"/>
        </w:rPr>
        <w:t>any sale, transfer, pledge or other disposition of 10% or more of the assets of the corporation involving the interested stockholder;</w:t>
      </w:r>
    </w:p>
    <w:p>
      <w:pPr>
        <w:spacing w:after="0" w:line="184" w:lineRule="exact"/>
        <w:rPr>
          <w:rFonts w:ascii="Arial" w:cs="Arial" w:eastAsia="Arial" w:hAnsi="Arial"/>
          <w:sz w:val="18"/>
          <w:szCs w:val="18"/>
          <w:color w:val="auto"/>
        </w:rPr>
      </w:pPr>
    </w:p>
    <w:p>
      <w:pPr>
        <w:ind w:left="1000" w:hanging="371"/>
        <w:spacing w:after="0" w:line="277" w:lineRule="auto"/>
        <w:tabs>
          <w:tab w:leader="none" w:pos="1000" w:val="left"/>
        </w:tabs>
        <w:numPr>
          <w:ilvl w:val="0"/>
          <w:numId w:val="78"/>
        </w:numPr>
        <w:rPr>
          <w:rFonts w:ascii="Arial" w:cs="Arial" w:eastAsia="Arial" w:hAnsi="Arial"/>
          <w:sz w:val="18"/>
          <w:szCs w:val="18"/>
          <w:color w:val="auto"/>
        </w:rPr>
      </w:pPr>
      <w:r>
        <w:rPr>
          <w:rFonts w:ascii="Arial" w:cs="Arial" w:eastAsia="Arial" w:hAnsi="Arial"/>
          <w:sz w:val="18"/>
          <w:szCs w:val="18"/>
          <w:color w:val="auto"/>
        </w:rPr>
        <w:t>any transaction that results in the issuance or transfer by the corporation of any stock of the corporation to the interested stockholder, subject to limited exceptions;</w:t>
      </w:r>
    </w:p>
    <w:p>
      <w:pPr>
        <w:spacing w:after="0" w:line="129" w:lineRule="exact"/>
        <w:rPr>
          <w:rFonts w:ascii="Arial" w:cs="Arial" w:eastAsia="Arial" w:hAnsi="Arial"/>
          <w:sz w:val="18"/>
          <w:szCs w:val="18"/>
          <w:color w:val="auto"/>
        </w:rPr>
      </w:pPr>
    </w:p>
    <w:p>
      <w:pPr>
        <w:ind w:left="1000" w:hanging="371"/>
        <w:spacing w:after="0" w:line="277" w:lineRule="auto"/>
        <w:tabs>
          <w:tab w:leader="none" w:pos="1000" w:val="left"/>
        </w:tabs>
        <w:numPr>
          <w:ilvl w:val="0"/>
          <w:numId w:val="78"/>
        </w:numPr>
        <w:rPr>
          <w:rFonts w:ascii="Arial" w:cs="Arial" w:eastAsia="Arial" w:hAnsi="Arial"/>
          <w:sz w:val="18"/>
          <w:szCs w:val="18"/>
          <w:color w:val="auto"/>
        </w:rPr>
      </w:pPr>
      <w:r>
        <w:rPr>
          <w:rFonts w:ascii="Arial" w:cs="Arial" w:eastAsia="Arial" w:hAnsi="Arial"/>
          <w:sz w:val="18"/>
          <w:szCs w:val="18"/>
          <w:color w:val="auto"/>
        </w:rPr>
        <w:t>any transaction involving the corporation that has the effect of increasing the proportionate share of the stock of any class or series of the corporation beneficially owned by the interested stockholder; or</w:t>
      </w:r>
    </w:p>
    <w:p>
      <w:pPr>
        <w:spacing w:after="0" w:line="129" w:lineRule="exact"/>
        <w:rPr>
          <w:rFonts w:ascii="Arial" w:cs="Arial" w:eastAsia="Arial" w:hAnsi="Arial"/>
          <w:sz w:val="18"/>
          <w:szCs w:val="18"/>
          <w:color w:val="auto"/>
        </w:rPr>
      </w:pPr>
    </w:p>
    <w:p>
      <w:pPr>
        <w:ind w:left="1000" w:hanging="371"/>
        <w:spacing w:after="0" w:line="277" w:lineRule="auto"/>
        <w:tabs>
          <w:tab w:leader="none" w:pos="1000" w:val="left"/>
        </w:tabs>
        <w:numPr>
          <w:ilvl w:val="0"/>
          <w:numId w:val="78"/>
        </w:numPr>
        <w:rPr>
          <w:rFonts w:ascii="Arial" w:cs="Arial" w:eastAsia="Arial" w:hAnsi="Arial"/>
          <w:sz w:val="18"/>
          <w:szCs w:val="18"/>
          <w:color w:val="auto"/>
        </w:rPr>
      </w:pPr>
      <w:r>
        <w:rPr>
          <w:rFonts w:ascii="Arial" w:cs="Arial" w:eastAsia="Arial" w:hAnsi="Arial"/>
          <w:sz w:val="18"/>
          <w:szCs w:val="18"/>
          <w:color w:val="auto"/>
        </w:rPr>
        <w:t>the receipt by the interested stockholder of the benefit of any loans, advances, guarantees, pledges or other financial benefits provided by or through the corporation.</w:t>
      </w:r>
    </w:p>
    <w:p>
      <w:pPr>
        <w:spacing w:after="0" w:line="130"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In general, Section 203 defines an interested stockholder as an entity or person beneficially owning 15% or more of the outstanding voting stock of the corporation and any entity or person affiliated with or controlling or controlled by such entity or person.</w:t>
      </w:r>
    </w:p>
    <w:p>
      <w:pPr>
        <w:spacing w:after="0" w:line="12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Other Provisions Restricting Transfer and Ownership</w:t>
      </w:r>
    </w:p>
    <w:p>
      <w:pPr>
        <w:spacing w:after="0" w:line="189" w:lineRule="exact"/>
        <w:rPr>
          <w:sz w:val="20"/>
          <w:szCs w:val="20"/>
          <w:color w:val="auto"/>
        </w:rPr>
      </w:pPr>
    </w:p>
    <w:p>
      <w:pPr>
        <w:jc w:val="both"/>
        <w:ind w:firstLine="648"/>
        <w:spacing w:after="0" w:line="297" w:lineRule="auto"/>
        <w:rPr>
          <w:sz w:val="20"/>
          <w:szCs w:val="20"/>
          <w:color w:val="auto"/>
        </w:rPr>
      </w:pPr>
      <w:r>
        <w:rPr>
          <w:rFonts w:ascii="Arial" w:cs="Arial" w:eastAsia="Arial" w:hAnsi="Arial"/>
          <w:sz w:val="16"/>
          <w:szCs w:val="16"/>
          <w:color w:val="auto"/>
        </w:rPr>
        <w:t>The Certificate of Incorporation and Bylaws also impose certain restrictions on the transferability and ownership of AAG common stock, preferred stock, warrants, rights or options to purchase AAG common stock and certain other equity-type interests of AAG, which we refer to collectively as AAG Securities, in order to comply with U.S. law and related rules and regulations of the U.S. Department of Transportation, which we refer to as the DOT, and to reduce the possibility that subsequent changes in the ownership of AAG Securities could result in limitations on the use of the significant deductions in any year for net operating losses carried over from prior taxable years, and other valuable income tax attributes of AAG and its subsidiaries.</w:t>
      </w:r>
    </w:p>
    <w:p>
      <w:pPr>
        <w:spacing w:after="0" w:line="118" w:lineRule="exact"/>
        <w:rPr>
          <w:sz w:val="20"/>
          <w:szCs w:val="20"/>
          <w:color w:val="auto"/>
        </w:rPr>
      </w:pPr>
    </w:p>
    <w:p>
      <w:pPr>
        <w:ind w:left="660"/>
        <w:spacing w:after="0"/>
        <w:rPr>
          <w:sz w:val="20"/>
          <w:szCs w:val="20"/>
          <w:color w:val="auto"/>
        </w:rPr>
      </w:pPr>
      <w:r>
        <w:rPr>
          <w:rFonts w:ascii="Arial" w:cs="Arial" w:eastAsia="Arial" w:hAnsi="Arial"/>
          <w:sz w:val="18"/>
          <w:szCs w:val="18"/>
          <w:b w:val="1"/>
          <w:bCs w:val="1"/>
          <w:i w:val="1"/>
          <w:iCs w:val="1"/>
          <w:color w:val="auto"/>
        </w:rPr>
        <w:t>Restrictions on Transfer</w:t>
      </w:r>
    </w:p>
    <w:p>
      <w:pPr>
        <w:spacing w:after="0" w:line="185" w:lineRule="exact"/>
        <w:rPr>
          <w:sz w:val="20"/>
          <w:szCs w:val="20"/>
          <w:color w:val="auto"/>
        </w:rPr>
      </w:pPr>
    </w:p>
    <w:p>
      <w:pPr>
        <w:jc w:val="both"/>
        <w:ind w:firstLine="648"/>
        <w:spacing w:after="0" w:line="255" w:lineRule="auto"/>
        <w:rPr>
          <w:sz w:val="20"/>
          <w:szCs w:val="20"/>
          <w:color w:val="auto"/>
        </w:rPr>
      </w:pPr>
      <w:r>
        <w:rPr>
          <w:rFonts w:ascii="Arial" w:cs="Arial" w:eastAsia="Arial" w:hAnsi="Arial"/>
          <w:sz w:val="18"/>
          <w:szCs w:val="18"/>
          <w:color w:val="auto"/>
        </w:rPr>
        <w:t>Subject to certain exceptions, or the prior approval of AAG’s board of directors, the Certificate of Incorporation restricts any person or entity (including certain groups of persons) from directly or indirectly acquiring or accumulating AAG Securities if such person or entity would become a Substantial Stockholder, which the Certificate of Incorporation defines generally as a person or entity with a percentage ownership of 4.75% or more of the outstanding capital stock of AAG or if such acquisition would increase the percentage stock ownership (as determined under applicable tax law principles) of a Substantial Stockholder. These restrictions may remain in effect until December 9, 2021 and may be waived by the board of directors of AAG on a case-by-case basis.</w:t>
      </w:r>
    </w:p>
    <w:p>
      <w:pPr>
        <w:spacing w:after="0" w:line="153" w:lineRule="exact"/>
        <w:rPr>
          <w:sz w:val="20"/>
          <w:szCs w:val="20"/>
          <w:color w:val="auto"/>
        </w:rPr>
      </w:pPr>
    </w:p>
    <w:p>
      <w:pPr>
        <w:ind w:left="660"/>
        <w:spacing w:after="0"/>
        <w:rPr>
          <w:sz w:val="20"/>
          <w:szCs w:val="20"/>
          <w:color w:val="auto"/>
        </w:rPr>
      </w:pPr>
      <w:r>
        <w:rPr>
          <w:rFonts w:ascii="Arial" w:cs="Arial" w:eastAsia="Arial" w:hAnsi="Arial"/>
          <w:sz w:val="18"/>
          <w:szCs w:val="18"/>
          <w:b w:val="1"/>
          <w:bCs w:val="1"/>
          <w:i w:val="1"/>
          <w:iCs w:val="1"/>
          <w:color w:val="auto"/>
        </w:rPr>
        <w:t>Foreign Ownership Limitations</w:t>
      </w:r>
    </w:p>
    <w:p>
      <w:pPr>
        <w:spacing w:after="0" w:line="185" w:lineRule="exact"/>
        <w:rPr>
          <w:sz w:val="20"/>
          <w:szCs w:val="20"/>
          <w:color w:val="auto"/>
        </w:rPr>
      </w:pPr>
    </w:p>
    <w:p>
      <w:pPr>
        <w:jc w:val="both"/>
        <w:ind w:firstLine="648"/>
        <w:spacing w:after="0" w:line="290" w:lineRule="auto"/>
        <w:rPr>
          <w:sz w:val="20"/>
          <w:szCs w:val="20"/>
          <w:color w:val="auto"/>
        </w:rPr>
      </w:pPr>
      <w:r>
        <w:rPr>
          <w:rFonts w:ascii="Arial" w:cs="Arial" w:eastAsia="Arial" w:hAnsi="Arial"/>
          <w:sz w:val="16"/>
          <w:szCs w:val="16"/>
          <w:color w:val="auto"/>
        </w:rPr>
        <w:t>The Certificate of Incorporation and Bylaws provide that, consistent with the requirements of Subtitle VII of Title 49 of the United States Code, as amended (the “Aviation Act”), any persons or entities who are not a “citizen of the United States” (as defined under the Aviation Act and administrative interpretations issued by the DOT, its predecessors and successors, from time to time), including any agent, trustee or representative of such persons or entities (a non-citizen), shall not, in the aggregate, own (beneficially or of record) and/or control more than (a) 24.9% of the aggregate votes of all of our outstanding equity securities or (b) 49.0% of our outstanding equity securities. The Certificate of Incorporation and Bylaws further specify that it is the duty of each stockholder who is a non-citizen to register his, her or its equity securities on our foreign stock record and provide for remedies applicable to stockholders that exceed the voting and ownership caps described above. In addition, any attempt to transfer AAG Securities to a non-U.S. person in excess of 49.0% of our outstanding equity securities will be void and of no effect and will not be recorded in our books and records.</w:t>
      </w:r>
    </w:p>
    <w:p>
      <w:pPr>
        <w:sectPr>
          <w:pgSz w:w="11900" w:h="16838" w:orient="portrait"/>
          <w:cols w:equalWidth="0" w:num="1">
            <w:col w:w="11420"/>
          </w:cols>
          <w:pgMar w:left="240" w:top="341" w:right="239" w:bottom="1440" w:gutter="0" w:footer="0" w:header="0"/>
        </w:sectPr>
      </w:pPr>
    </w:p>
    <w:bookmarkStart w:id="190" w:name="page191"/>
    <w:bookmarkEnd w:id="190"/>
    <w:p>
      <w:pPr>
        <w:jc w:val="right"/>
        <w:spacing w:after="0"/>
        <w:rPr>
          <w:sz w:val="20"/>
          <w:szCs w:val="20"/>
          <w:color w:val="auto"/>
        </w:rPr>
      </w:pPr>
      <w:r>
        <w:rPr>
          <w:rFonts w:ascii="Arial" w:cs="Arial" w:eastAsia="Arial" w:hAnsi="Arial"/>
          <w:sz w:val="18"/>
          <w:szCs w:val="18"/>
          <w:b w:val="1"/>
          <w:bCs w:val="1"/>
          <w:color w:val="auto"/>
        </w:rPr>
        <w:t>Exhibit 10.10</w:t>
      </w:r>
    </w:p>
    <w:p>
      <w:pPr>
        <w:spacing w:after="0" w:line="31" w:lineRule="exact"/>
        <w:rPr>
          <w:sz w:val="20"/>
          <w:szCs w:val="20"/>
          <w:color w:val="auto"/>
        </w:rPr>
      </w:pPr>
    </w:p>
    <w:p>
      <w:pPr>
        <w:jc w:val="right"/>
        <w:spacing w:after="0"/>
        <w:rPr>
          <w:sz w:val="20"/>
          <w:szCs w:val="20"/>
          <w:color w:val="auto"/>
        </w:rPr>
      </w:pPr>
      <w:r>
        <w:rPr>
          <w:rFonts w:ascii="Arial" w:cs="Arial" w:eastAsia="Arial" w:hAnsi="Arial"/>
          <w:sz w:val="18"/>
          <w:szCs w:val="18"/>
          <w:b w:val="1"/>
          <w:bCs w:val="1"/>
          <w:color w:val="auto"/>
        </w:rPr>
        <w:t>Execution Version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229235</wp:posOffset>
            </wp:positionV>
            <wp:extent cx="7254875" cy="308610"/>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321">
                      <a:extLst>
                        <a:ext uri="{28A0092B-C50C-407E-A947-70E740481C1C}"/>
                      </a:extLst>
                    </a:blip>
                    <a:srcRect/>
                    <a:stretch>
                      <a:fillRect/>
                    </a:stretch>
                  </pic:blipFill>
                  <pic:spPr bwMode="auto">
                    <a:xfrm>
                      <a:off x="0" y="0"/>
                      <a:ext cx="7254875" cy="308610"/>
                    </a:xfrm>
                    <a:prstGeom prst="rect">
                      <a:avLst/>
                    </a:prstGeom>
                    <a:noFill/>
                  </pic:spPr>
                </pic:pic>
              </a:graphicData>
            </a:graphic>
          </wp:anchor>
        </w:drawing>
      </w:r>
    </w:p>
    <w:p>
      <w:pPr>
        <w:spacing w:after="0" w:line="381" w:lineRule="exact"/>
        <w:rPr>
          <w:sz w:val="20"/>
          <w:szCs w:val="20"/>
          <w:color w:val="auto"/>
        </w:rPr>
      </w:pPr>
    </w:p>
    <w:p>
      <w:pPr>
        <w:ind w:left="40" w:right="300"/>
        <w:spacing w:after="0" w:line="246" w:lineRule="auto"/>
        <w:rPr>
          <w:sz w:val="20"/>
          <w:szCs w:val="20"/>
          <w:color w:val="auto"/>
        </w:rPr>
      </w:pPr>
      <w:r>
        <w:rPr>
          <w:rFonts w:ascii="Arial" w:cs="Arial" w:eastAsia="Arial" w:hAnsi="Arial"/>
          <w:sz w:val="18"/>
          <w:szCs w:val="18"/>
          <w:color w:val="auto"/>
        </w:rPr>
        <w:t>Certain confidential information contained in this document, marked by brackets, has been omitted because it is both (i) not material and (ii) would be competitively harmful if publicly disclosed.</w:t>
      </w:r>
    </w:p>
    <w:p>
      <w:pPr>
        <w:spacing w:after="0" w:line="237" w:lineRule="exact"/>
        <w:rPr>
          <w:sz w:val="20"/>
          <w:szCs w:val="20"/>
          <w:color w:val="auto"/>
        </w:rPr>
      </w:pPr>
    </w:p>
    <w:p>
      <w:pPr>
        <w:jc w:val="center"/>
        <w:spacing w:after="0"/>
        <w:rPr>
          <w:sz w:val="20"/>
          <w:szCs w:val="20"/>
          <w:color w:val="auto"/>
        </w:rPr>
      </w:pPr>
      <w:r>
        <w:rPr>
          <w:rFonts w:ascii="Arial" w:cs="Arial" w:eastAsia="Arial" w:hAnsi="Arial"/>
          <w:sz w:val="18"/>
          <w:szCs w:val="18"/>
          <w:u w:val="single" w:color="auto"/>
          <w:color w:val="auto"/>
        </w:rPr>
        <w:t>SEVENTH AMENDMENT TO AMENDED AND RESTATED CREDIT AND GUARANTY AGREEMENT</w:t>
      </w:r>
    </w:p>
    <w:p>
      <w:pPr>
        <w:spacing w:after="0" w:line="200" w:lineRule="exact"/>
        <w:rPr>
          <w:sz w:val="20"/>
          <w:szCs w:val="20"/>
          <w:color w:val="auto"/>
        </w:rPr>
      </w:pPr>
    </w:p>
    <w:p>
      <w:pPr>
        <w:spacing w:after="0" w:line="223" w:lineRule="exact"/>
        <w:rPr>
          <w:sz w:val="20"/>
          <w:szCs w:val="20"/>
          <w:color w:val="auto"/>
        </w:rPr>
      </w:pPr>
    </w:p>
    <w:p>
      <w:pPr>
        <w:jc w:val="both"/>
        <w:ind w:firstLine="1297"/>
        <w:spacing w:after="0" w:line="257" w:lineRule="auto"/>
        <w:rPr>
          <w:sz w:val="20"/>
          <w:szCs w:val="20"/>
          <w:color w:val="auto"/>
        </w:rPr>
      </w:pPr>
      <w:r>
        <w:rPr>
          <w:rFonts w:ascii="Arial" w:cs="Arial" w:eastAsia="Arial" w:hAnsi="Arial"/>
          <w:sz w:val="18"/>
          <w:szCs w:val="18"/>
          <w:color w:val="auto"/>
        </w:rPr>
        <w:t>THIS SEVENTH AMENDMENT TO AMENDED AND RESTATED CREDIT AND GUARANTY AGREEMENT (this “</w:t>
      </w:r>
      <w:r>
        <w:rPr>
          <w:rFonts w:ascii="Arial" w:cs="Arial" w:eastAsia="Arial" w:hAnsi="Arial"/>
          <w:sz w:val="18"/>
          <w:szCs w:val="18"/>
          <w:i w:val="1"/>
          <w:iCs w:val="1"/>
          <w:color w:val="auto"/>
        </w:rPr>
        <w:t>Seventh</w:t>
      </w:r>
      <w:r>
        <w:rPr>
          <w:rFonts w:ascii="Arial" w:cs="Arial" w:eastAsia="Arial" w:hAnsi="Arial"/>
          <w:sz w:val="18"/>
          <w:szCs w:val="18"/>
          <w:color w:val="auto"/>
        </w:rPr>
        <w:t xml:space="preserve"> </w:t>
      </w:r>
      <w:r>
        <w:rPr>
          <w:rFonts w:ascii="Arial" w:cs="Arial" w:eastAsia="Arial" w:hAnsi="Arial"/>
          <w:sz w:val="18"/>
          <w:szCs w:val="18"/>
          <w:i w:val="1"/>
          <w:iCs w:val="1"/>
          <w:color w:val="auto"/>
        </w:rPr>
        <w:t>Amendment</w:t>
      </w:r>
      <w:r>
        <w:rPr>
          <w:rFonts w:ascii="Arial" w:cs="Arial" w:eastAsia="Arial" w:hAnsi="Arial"/>
          <w:sz w:val="18"/>
          <w:szCs w:val="18"/>
          <w:color w:val="auto"/>
        </w:rPr>
        <w:t>”), is dated as of November 8, 2019 and is among American Airlines, Inc., a Delaware corporation (the “</w:t>
      </w:r>
      <w:r>
        <w:rPr>
          <w:rFonts w:ascii="Arial" w:cs="Arial" w:eastAsia="Arial" w:hAnsi="Arial"/>
          <w:sz w:val="18"/>
          <w:szCs w:val="18"/>
          <w:i w:val="1"/>
          <w:iCs w:val="1"/>
          <w:color w:val="auto"/>
        </w:rPr>
        <w:t>Borrower</w:t>
      </w:r>
      <w:r>
        <w:rPr>
          <w:rFonts w:ascii="Arial" w:cs="Arial" w:eastAsia="Arial" w:hAnsi="Arial"/>
          <w:sz w:val="18"/>
          <w:szCs w:val="18"/>
          <w:color w:val="auto"/>
        </w:rPr>
        <w:t>”), American</w:t>
      </w:r>
      <w:r>
        <w:rPr>
          <w:rFonts w:ascii="Arial" w:cs="Arial" w:eastAsia="Arial" w:hAnsi="Arial"/>
          <w:sz w:val="18"/>
          <w:szCs w:val="18"/>
          <w:i w:val="1"/>
          <w:iCs w:val="1"/>
          <w:color w:val="auto"/>
        </w:rPr>
        <w:t xml:space="preserve"> </w:t>
      </w:r>
      <w:r>
        <w:rPr>
          <w:rFonts w:ascii="Arial" w:cs="Arial" w:eastAsia="Arial" w:hAnsi="Arial"/>
          <w:sz w:val="18"/>
          <w:szCs w:val="18"/>
          <w:color w:val="auto"/>
        </w:rPr>
        <w:t>Airlines Group Inc., a Delaware corporation (the “</w:t>
      </w:r>
      <w:r>
        <w:rPr>
          <w:rFonts w:ascii="Arial" w:cs="Arial" w:eastAsia="Arial" w:hAnsi="Arial"/>
          <w:sz w:val="18"/>
          <w:szCs w:val="18"/>
          <w:i w:val="1"/>
          <w:iCs w:val="1"/>
          <w:color w:val="auto"/>
        </w:rPr>
        <w:t>Parent</w:t>
      </w:r>
      <w:r>
        <w:rPr>
          <w:rFonts w:ascii="Arial" w:cs="Arial" w:eastAsia="Arial" w:hAnsi="Arial"/>
          <w:sz w:val="18"/>
          <w:szCs w:val="18"/>
          <w:color w:val="auto"/>
        </w:rPr>
        <w:t>” or the “</w:t>
      </w:r>
      <w:r>
        <w:rPr>
          <w:rFonts w:ascii="Arial" w:cs="Arial" w:eastAsia="Arial" w:hAnsi="Arial"/>
          <w:sz w:val="18"/>
          <w:szCs w:val="18"/>
          <w:i w:val="1"/>
          <w:iCs w:val="1"/>
          <w:color w:val="auto"/>
        </w:rPr>
        <w:t>Guarantor</w:t>
      </w:r>
      <w:r>
        <w:rPr>
          <w:rFonts w:ascii="Arial" w:cs="Arial" w:eastAsia="Arial" w:hAnsi="Arial"/>
          <w:sz w:val="18"/>
          <w:szCs w:val="18"/>
          <w:color w:val="auto"/>
        </w:rPr>
        <w:t>”), the Consenting Revolving Lenders (as defined below) party hereto, the Sixth Amendment Non-Extending Revolving Lender (as defined below) and Citibank N.A., as administrative agent (in such capacity, the “</w:t>
      </w:r>
      <w:r>
        <w:rPr>
          <w:rFonts w:ascii="Arial" w:cs="Arial" w:eastAsia="Arial" w:hAnsi="Arial"/>
          <w:sz w:val="18"/>
          <w:szCs w:val="18"/>
          <w:i w:val="1"/>
          <w:iCs w:val="1"/>
          <w:color w:val="auto"/>
        </w:rPr>
        <w:t>Administrative Agent</w:t>
      </w:r>
      <w:r>
        <w:rPr>
          <w:rFonts w:ascii="Arial" w:cs="Arial" w:eastAsia="Arial" w:hAnsi="Arial"/>
          <w:sz w:val="18"/>
          <w:szCs w:val="18"/>
          <w:color w:val="auto"/>
        </w:rPr>
        <w:t>”) and as an issuing lender (in such capacity, an “</w:t>
      </w:r>
      <w:r>
        <w:rPr>
          <w:rFonts w:ascii="Arial" w:cs="Arial" w:eastAsia="Arial" w:hAnsi="Arial"/>
          <w:sz w:val="18"/>
          <w:szCs w:val="18"/>
          <w:i w:val="1"/>
          <w:iCs w:val="1"/>
          <w:color w:val="auto"/>
        </w:rPr>
        <w:t>Issuing Lender</w:t>
      </w:r>
      <w:r>
        <w:rPr>
          <w:rFonts w:ascii="Arial" w:cs="Arial" w:eastAsia="Arial" w:hAnsi="Arial"/>
          <w:sz w:val="18"/>
          <w:szCs w:val="18"/>
          <w:color w:val="auto"/>
        </w:rPr>
        <w:t>”). Unless otherwise indicated, all capitalized terms used herein and not otherwise defined shall have the respective meanings provided to such terms in the Credit Agreement (as defined below).</w:t>
      </w:r>
    </w:p>
    <w:p>
      <w:pPr>
        <w:spacing w:after="0" w:line="200" w:lineRule="exact"/>
        <w:rPr>
          <w:sz w:val="20"/>
          <w:szCs w:val="20"/>
          <w:color w:val="auto"/>
        </w:rPr>
      </w:pPr>
    </w:p>
    <w:p>
      <w:pPr>
        <w:spacing w:after="0" w:line="217" w:lineRule="exact"/>
        <w:rPr>
          <w:sz w:val="20"/>
          <w:szCs w:val="20"/>
          <w:color w:val="auto"/>
        </w:rPr>
      </w:pPr>
    </w:p>
    <w:p>
      <w:pPr>
        <w:jc w:val="center"/>
        <w:spacing w:after="0"/>
        <w:rPr>
          <w:sz w:val="20"/>
          <w:szCs w:val="20"/>
          <w:color w:val="auto"/>
        </w:rPr>
      </w:pPr>
      <w:r>
        <w:rPr>
          <w:rFonts w:ascii="Arial" w:cs="Arial" w:eastAsia="Arial" w:hAnsi="Arial"/>
          <w:sz w:val="18"/>
          <w:szCs w:val="18"/>
          <w:u w:val="single" w:color="auto"/>
          <w:color w:val="auto"/>
        </w:rPr>
        <w:t>W I T N E S S E T H</w:t>
      </w:r>
      <w:r>
        <w:rPr>
          <w:rFonts w:ascii="Arial" w:cs="Arial" w:eastAsia="Arial" w:hAnsi="Arial"/>
          <w:sz w:val="18"/>
          <w:szCs w:val="18"/>
          <w:color w:val="auto"/>
        </w:rPr>
        <w:t>:</w:t>
      </w:r>
    </w:p>
    <w:p>
      <w:pPr>
        <w:spacing w:after="0" w:line="200" w:lineRule="exact"/>
        <w:rPr>
          <w:sz w:val="20"/>
          <w:szCs w:val="20"/>
          <w:color w:val="auto"/>
        </w:rPr>
      </w:pPr>
    </w:p>
    <w:p>
      <w:pPr>
        <w:spacing w:after="0" w:line="241" w:lineRule="exact"/>
        <w:rPr>
          <w:sz w:val="20"/>
          <w:szCs w:val="20"/>
          <w:color w:val="auto"/>
        </w:rPr>
      </w:pPr>
    </w:p>
    <w:p>
      <w:pPr>
        <w:jc w:val="both"/>
        <w:ind w:firstLine="1297"/>
        <w:spacing w:after="0" w:line="251" w:lineRule="auto"/>
        <w:rPr>
          <w:sz w:val="20"/>
          <w:szCs w:val="20"/>
          <w:color w:val="auto"/>
        </w:rPr>
      </w:pPr>
      <w:r>
        <w:rPr>
          <w:rFonts w:ascii="Arial" w:cs="Arial" w:eastAsia="Arial" w:hAnsi="Arial"/>
          <w:sz w:val="18"/>
          <w:szCs w:val="18"/>
          <w:color w:val="auto"/>
        </w:rPr>
        <w:t>WHEREAS, the Borrower, the Guarantor, the lenders from time to time party thereto, the Administrative Agent and certain other parties thereto are parties to that certain Amended and Restated Credit and Guaranty Agreement, dated as of April 20, 2015 (as amended by that certain First Amendment to Amended and Restated Credit and Guaranty Agreement, dated as of October 26, 2015, as further amended by that certain Second Amendment to Amended and Restated Credit and Guaranty Agreement, dated as of September 22, 2016, as further amended by that certain Third Amendment to Amended and Restated Credit and Guaranty Agreement, dated June 14, 2017, as further amended by that certain Fourth Amendment to Amended and Restated Credit and Guaranty Agreement, dated August 21, 2017, as further amended by that certain Fifth Amendment to Amended and Restated Credit and Guaranty Agreement, dated September 17, 2018, as further amended by that certain Sixth Amendment to Amended and Restated Credit and Guaranty Agreement, dated December 10, 2018, and as further amended, amended and restated, supplemented or otherwise modified up to, but not including the Seventh Amendment Effective Date (as defined below), the “</w:t>
      </w:r>
      <w:r>
        <w:rPr>
          <w:rFonts w:ascii="Arial" w:cs="Arial" w:eastAsia="Arial" w:hAnsi="Arial"/>
          <w:sz w:val="18"/>
          <w:szCs w:val="18"/>
          <w:i w:val="1"/>
          <w:iCs w:val="1"/>
          <w:color w:val="auto"/>
        </w:rPr>
        <w:t>Credit Agreement</w:t>
      </w:r>
      <w:r>
        <w:rPr>
          <w:rFonts w:ascii="Arial" w:cs="Arial" w:eastAsia="Arial" w:hAnsi="Arial"/>
          <w:sz w:val="18"/>
          <w:szCs w:val="18"/>
          <w:color w:val="auto"/>
        </w:rPr>
        <w:t>”);</w:t>
      </w:r>
    </w:p>
    <w:p>
      <w:pPr>
        <w:spacing w:after="0" w:line="200" w:lineRule="exact"/>
        <w:rPr>
          <w:sz w:val="20"/>
          <w:szCs w:val="20"/>
          <w:color w:val="auto"/>
        </w:rPr>
      </w:pPr>
    </w:p>
    <w:p>
      <w:pPr>
        <w:spacing w:after="0" w:line="228" w:lineRule="exact"/>
        <w:rPr>
          <w:sz w:val="20"/>
          <w:szCs w:val="20"/>
          <w:color w:val="auto"/>
        </w:rPr>
      </w:pPr>
    </w:p>
    <w:p>
      <w:pPr>
        <w:jc w:val="both"/>
        <w:ind w:firstLine="1297"/>
        <w:spacing w:after="0" w:line="256" w:lineRule="auto"/>
        <w:rPr>
          <w:sz w:val="20"/>
          <w:szCs w:val="20"/>
          <w:color w:val="auto"/>
        </w:rPr>
      </w:pPr>
      <w:r>
        <w:rPr>
          <w:rFonts w:ascii="Arial" w:cs="Arial" w:eastAsia="Arial" w:hAnsi="Arial"/>
          <w:sz w:val="18"/>
          <w:szCs w:val="18"/>
          <w:color w:val="auto"/>
        </w:rPr>
        <w:t>WHEREAS, pursuant to Section 2.28(b) of the Credit Agreement, the Borrower may make a Revolver Extension Offer to all Revolving Lenders holding Revolving Commitments under the Credit Agreement to extend the maturity date of each such Revolving Lender’s Revolving Commitment;</w:t>
      </w:r>
    </w:p>
    <w:p>
      <w:pPr>
        <w:spacing w:after="0" w:line="202" w:lineRule="exact"/>
        <w:rPr>
          <w:sz w:val="20"/>
          <w:szCs w:val="20"/>
          <w:color w:val="auto"/>
        </w:rPr>
      </w:pPr>
    </w:p>
    <w:p>
      <w:pPr>
        <w:jc w:val="both"/>
        <w:ind w:firstLine="1297"/>
        <w:spacing w:after="0" w:line="252" w:lineRule="auto"/>
        <w:rPr>
          <w:sz w:val="20"/>
          <w:szCs w:val="20"/>
          <w:color w:val="auto"/>
        </w:rPr>
      </w:pPr>
      <w:r>
        <w:rPr>
          <w:rFonts w:ascii="Arial" w:cs="Arial" w:eastAsia="Arial" w:hAnsi="Arial"/>
          <w:sz w:val="18"/>
          <w:szCs w:val="18"/>
          <w:color w:val="auto"/>
        </w:rPr>
        <w:t>WHEREAS, the Borrower hereby (i) requests that each Revolving Lender that is a party to the Credit Agreement immediately prior to the Seventh Amendment Effective Date (other than the Sixth Amendment Non-Extending Revolver Lender) (each, an “</w:t>
      </w:r>
      <w:r>
        <w:rPr>
          <w:rFonts w:ascii="Arial" w:cs="Arial" w:eastAsia="Arial" w:hAnsi="Arial"/>
          <w:sz w:val="18"/>
          <w:szCs w:val="18"/>
          <w:i w:val="1"/>
          <w:iCs w:val="1"/>
          <w:color w:val="auto"/>
        </w:rPr>
        <w:t>Existing</w:t>
      </w:r>
      <w:r>
        <w:rPr>
          <w:rFonts w:ascii="Arial" w:cs="Arial" w:eastAsia="Arial" w:hAnsi="Arial"/>
          <w:sz w:val="18"/>
          <w:szCs w:val="18"/>
          <w:color w:val="auto"/>
        </w:rPr>
        <w:t xml:space="preserve"> </w:t>
      </w:r>
      <w:r>
        <w:rPr>
          <w:rFonts w:ascii="Arial" w:cs="Arial" w:eastAsia="Arial" w:hAnsi="Arial"/>
          <w:sz w:val="18"/>
          <w:szCs w:val="18"/>
          <w:i w:val="1"/>
          <w:iCs w:val="1"/>
          <w:color w:val="auto"/>
        </w:rPr>
        <w:t>Revolving Lender</w:t>
      </w:r>
      <w:r>
        <w:rPr>
          <w:rFonts w:ascii="Arial" w:cs="Arial" w:eastAsia="Arial" w:hAnsi="Arial"/>
          <w:sz w:val="18"/>
          <w:szCs w:val="18"/>
          <w:color w:val="auto"/>
        </w:rPr>
        <w:t>”) extend the maturity of such Existing Revolving Lender’s Revolving Commitment pursuant to, and in accordance with the</w:t>
      </w:r>
      <w:r>
        <w:rPr>
          <w:rFonts w:ascii="Arial" w:cs="Arial" w:eastAsia="Arial" w:hAnsi="Arial"/>
          <w:sz w:val="18"/>
          <w:szCs w:val="18"/>
          <w:i w:val="1"/>
          <w:iCs w:val="1"/>
          <w:color w:val="auto"/>
        </w:rPr>
        <w:t xml:space="preserve"> </w:t>
      </w:r>
      <w:r>
        <w:rPr>
          <w:rFonts w:ascii="Arial" w:cs="Arial" w:eastAsia="Arial" w:hAnsi="Arial"/>
          <w:sz w:val="18"/>
          <w:szCs w:val="18"/>
          <w:color w:val="auto"/>
        </w:rPr>
        <w:t>terms of, Section 2.28(b), (c), (d) and (e) of the Credit Agreement and this Seventh Amendment (with such request constituting a Revolver Extension Offer for purposes of the Credit Agreement) and requests that the Administrative Agent waive any applicable notice period otherwise required thereby and (ii) specifies as the Minimum Extension Condition for such Revolving Extension Offer that all such Revolving Commitments (other than the Non-Extended Revolver Commitments) be subject to the Revolving Extension contemplated hereby;</w:t>
      </w:r>
    </w:p>
    <w:p>
      <w:pPr>
        <w:spacing w:after="0" w:line="207" w:lineRule="exact"/>
        <w:rPr>
          <w:sz w:val="20"/>
          <w:szCs w:val="20"/>
          <w:color w:val="auto"/>
        </w:rPr>
      </w:pPr>
    </w:p>
    <w:p>
      <w:pPr>
        <w:jc w:val="both"/>
        <w:ind w:firstLine="1297"/>
        <w:spacing w:after="0" w:line="254" w:lineRule="auto"/>
        <w:rPr>
          <w:sz w:val="20"/>
          <w:szCs w:val="20"/>
          <w:color w:val="auto"/>
        </w:rPr>
      </w:pPr>
      <w:r>
        <w:rPr>
          <w:rFonts w:ascii="Arial" w:cs="Arial" w:eastAsia="Arial" w:hAnsi="Arial"/>
          <w:sz w:val="18"/>
          <w:szCs w:val="18"/>
          <w:color w:val="auto"/>
        </w:rPr>
        <w:t>WHEREAS, the undersigned Existing Revolving Lenders (other than the Sixth Amendment Non-Extending Revolving Lender) (the “</w:t>
      </w:r>
      <w:r>
        <w:rPr>
          <w:rFonts w:ascii="Arial" w:cs="Arial" w:eastAsia="Arial" w:hAnsi="Arial"/>
          <w:sz w:val="18"/>
          <w:szCs w:val="18"/>
          <w:i w:val="1"/>
          <w:iCs w:val="1"/>
          <w:color w:val="auto"/>
        </w:rPr>
        <w:t>Consenting Revolving Lenders</w:t>
      </w:r>
      <w:r>
        <w:rPr>
          <w:rFonts w:ascii="Arial" w:cs="Arial" w:eastAsia="Arial" w:hAnsi="Arial"/>
          <w:sz w:val="18"/>
          <w:szCs w:val="18"/>
          <w:color w:val="auto"/>
        </w:rPr>
        <w:t>”) are willing to extend the maturity date of their respective Revolving Commitments (the “</w:t>
      </w:r>
      <w:r>
        <w:rPr>
          <w:rFonts w:ascii="Arial" w:cs="Arial" w:eastAsia="Arial" w:hAnsi="Arial"/>
          <w:sz w:val="18"/>
          <w:szCs w:val="18"/>
          <w:i w:val="1"/>
          <w:iCs w:val="1"/>
          <w:color w:val="auto"/>
        </w:rPr>
        <w:t>Extended</w:t>
      </w:r>
      <w:r>
        <w:rPr>
          <w:rFonts w:ascii="Arial" w:cs="Arial" w:eastAsia="Arial" w:hAnsi="Arial"/>
          <w:sz w:val="18"/>
          <w:szCs w:val="18"/>
          <w:color w:val="auto"/>
        </w:rPr>
        <w:t xml:space="preserve"> </w:t>
      </w:r>
      <w:r>
        <w:rPr>
          <w:rFonts w:ascii="Arial" w:cs="Arial" w:eastAsia="Arial" w:hAnsi="Arial"/>
          <w:sz w:val="18"/>
          <w:szCs w:val="18"/>
          <w:i w:val="1"/>
          <w:iCs w:val="1"/>
          <w:color w:val="auto"/>
        </w:rPr>
        <w:t>Revolving Commitments</w:t>
      </w:r>
      <w:r>
        <w:rPr>
          <w:rFonts w:ascii="Arial" w:cs="Arial" w:eastAsia="Arial" w:hAnsi="Arial"/>
          <w:sz w:val="18"/>
          <w:szCs w:val="18"/>
          <w:color w:val="auto"/>
        </w:rPr>
        <w:t>”), subject to and on the terms and conditions set forth herein and in Section 2.28(b), (c), (d) and (e) of the Credit</w:t>
      </w:r>
      <w:r>
        <w:rPr>
          <w:rFonts w:ascii="Arial" w:cs="Arial" w:eastAsia="Arial" w:hAnsi="Arial"/>
          <w:sz w:val="18"/>
          <w:szCs w:val="18"/>
          <w:i w:val="1"/>
          <w:iCs w:val="1"/>
          <w:color w:val="auto"/>
        </w:rPr>
        <w:t xml:space="preserve"> </w:t>
      </w:r>
      <w:r>
        <w:rPr>
          <w:rFonts w:ascii="Arial" w:cs="Arial" w:eastAsia="Arial" w:hAnsi="Arial"/>
          <w:sz w:val="18"/>
          <w:szCs w:val="18"/>
          <w:color w:val="auto"/>
        </w:rPr>
        <w:t>Agreement;</w:t>
      </w:r>
    </w:p>
    <w:p>
      <w:pPr>
        <w:spacing w:after="0" w:line="204" w:lineRule="exact"/>
        <w:rPr>
          <w:sz w:val="20"/>
          <w:szCs w:val="20"/>
          <w:color w:val="auto"/>
        </w:rPr>
      </w:pPr>
    </w:p>
    <w:p>
      <w:pPr>
        <w:jc w:val="both"/>
        <w:ind w:firstLine="1297"/>
        <w:spacing w:after="0" w:line="262" w:lineRule="auto"/>
        <w:rPr>
          <w:sz w:val="20"/>
          <w:szCs w:val="20"/>
          <w:color w:val="auto"/>
        </w:rPr>
      </w:pPr>
      <w:r>
        <w:rPr>
          <w:rFonts w:ascii="Arial" w:cs="Arial" w:eastAsia="Arial" w:hAnsi="Arial"/>
          <w:sz w:val="18"/>
          <w:szCs w:val="18"/>
          <w:color w:val="auto"/>
        </w:rPr>
        <w:t>WHEREAS, pursuant to Section 2.27 of the Credit Agreement, the Borrower may request an increase to the existing Revolving Commitments, subject to and on the terms and conditions provided therein;</w:t>
      </w:r>
    </w:p>
    <w:p>
      <w:pPr>
        <w:sectPr>
          <w:pgSz w:w="11900" w:h="16838" w:orient="portrait"/>
          <w:cols w:equalWidth="0" w:num="1">
            <w:col w:w="11420"/>
          </w:cols>
          <w:pgMar w:left="240" w:top="373" w:right="239" w:bottom="1440" w:gutter="0" w:footer="0" w:header="0"/>
        </w:sectPr>
      </w:pPr>
    </w:p>
    <w:bookmarkStart w:id="191" w:name="page192"/>
    <w:bookmarkEnd w:id="191"/>
    <w:p>
      <w:pPr>
        <w:jc w:val="both"/>
        <w:ind w:firstLine="1297"/>
        <w:spacing w:after="0" w:line="254" w:lineRule="auto"/>
        <w:rPr>
          <w:sz w:val="20"/>
          <w:szCs w:val="20"/>
          <w:color w:val="auto"/>
        </w:rPr>
      </w:pPr>
      <w:r>
        <w:rPr>
          <w:rFonts w:ascii="Arial" w:cs="Arial" w:eastAsia="Arial" w:hAnsi="Arial"/>
          <w:sz w:val="18"/>
          <w:szCs w:val="18"/>
          <w:color w:val="auto"/>
        </w:rPr>
        <w:t>WHEREAS, the Borrower hereby notifies the Administrative Agent of its request for $100,000,000 of new Revolving Commitments (the “</w:t>
      </w:r>
      <w:r>
        <w:rPr>
          <w:rFonts w:ascii="Arial" w:cs="Arial" w:eastAsia="Arial" w:hAnsi="Arial"/>
          <w:sz w:val="18"/>
          <w:szCs w:val="18"/>
          <w:i w:val="1"/>
          <w:iCs w:val="1"/>
          <w:color w:val="auto"/>
        </w:rPr>
        <w:t>New Revolving Commitments</w:t>
      </w:r>
      <w:r>
        <w:rPr>
          <w:rFonts w:ascii="Arial" w:cs="Arial" w:eastAsia="Arial" w:hAnsi="Arial"/>
          <w:sz w:val="18"/>
          <w:szCs w:val="18"/>
          <w:color w:val="auto"/>
        </w:rPr>
        <w:t>”) to be made available by the Consenting Revolving Lenders with respect to such New Revolving Commitments in the amount specified therefor on Schedule 1 hereto and requests that the Administrative Agent waive any applicable notice period otherwise required;</w:t>
      </w:r>
    </w:p>
    <w:p>
      <w:pPr>
        <w:spacing w:after="0" w:line="200" w:lineRule="exact"/>
        <w:rPr>
          <w:sz w:val="20"/>
          <w:szCs w:val="20"/>
          <w:color w:val="auto"/>
        </w:rPr>
      </w:pPr>
    </w:p>
    <w:p>
      <w:pPr>
        <w:spacing w:after="0" w:line="220" w:lineRule="exact"/>
        <w:rPr>
          <w:sz w:val="20"/>
          <w:szCs w:val="20"/>
          <w:color w:val="auto"/>
        </w:rPr>
      </w:pPr>
    </w:p>
    <w:p>
      <w:pPr>
        <w:jc w:val="both"/>
        <w:ind w:right="20" w:firstLine="1297"/>
        <w:spacing w:after="0" w:line="262" w:lineRule="auto"/>
        <w:rPr>
          <w:sz w:val="20"/>
          <w:szCs w:val="20"/>
          <w:color w:val="auto"/>
        </w:rPr>
      </w:pPr>
      <w:r>
        <w:rPr>
          <w:rFonts w:ascii="Arial" w:cs="Arial" w:eastAsia="Arial" w:hAnsi="Arial"/>
          <w:sz w:val="18"/>
          <w:szCs w:val="18"/>
          <w:color w:val="auto"/>
        </w:rPr>
        <w:t>WHEREAS, each Consenting Revolving Lender is willing to provide a New Revolving Commitment in the amount set forth opposite its name on Schedule 1 hereto, subject to and on the terms and conditions set forth herein and in the Credit Agreement;</w:t>
      </w:r>
    </w:p>
    <w:p>
      <w:pPr>
        <w:spacing w:after="0" w:line="196" w:lineRule="exact"/>
        <w:rPr>
          <w:sz w:val="20"/>
          <w:szCs w:val="20"/>
          <w:color w:val="auto"/>
        </w:rPr>
      </w:pPr>
    </w:p>
    <w:p>
      <w:pPr>
        <w:jc w:val="both"/>
        <w:ind w:firstLine="1297"/>
        <w:spacing w:after="0" w:line="256" w:lineRule="auto"/>
        <w:rPr>
          <w:sz w:val="20"/>
          <w:szCs w:val="20"/>
          <w:color w:val="auto"/>
        </w:rPr>
      </w:pPr>
      <w:r>
        <w:rPr>
          <w:rFonts w:ascii="Arial" w:cs="Arial" w:eastAsia="Arial" w:hAnsi="Arial"/>
          <w:sz w:val="18"/>
          <w:szCs w:val="18"/>
          <w:color w:val="auto"/>
        </w:rPr>
        <w:t>WHEREAS, the undersigned Consenting Revolving Lenders and the Sixth Amendment Non-Extending Revolving Lender and the Borrower desire to reallocate the Revolving Commitments (the “</w:t>
      </w:r>
      <w:r>
        <w:rPr>
          <w:rFonts w:ascii="Arial" w:cs="Arial" w:eastAsia="Arial" w:hAnsi="Arial"/>
          <w:sz w:val="18"/>
          <w:szCs w:val="18"/>
          <w:i w:val="1"/>
          <w:iCs w:val="1"/>
          <w:color w:val="auto"/>
        </w:rPr>
        <w:t>Reallocation</w:t>
      </w:r>
      <w:r>
        <w:rPr>
          <w:rFonts w:ascii="Arial" w:cs="Arial" w:eastAsia="Arial" w:hAnsi="Arial"/>
          <w:sz w:val="18"/>
          <w:szCs w:val="18"/>
          <w:color w:val="auto"/>
        </w:rPr>
        <w:t>”) and that each Revolving Lender will hold such Revolving Commitment as is set out opposite its name on Schedule 1;</w:t>
      </w:r>
    </w:p>
    <w:p>
      <w:pPr>
        <w:spacing w:after="0" w:line="202" w:lineRule="exact"/>
        <w:rPr>
          <w:sz w:val="20"/>
          <w:szCs w:val="20"/>
          <w:color w:val="auto"/>
        </w:rPr>
      </w:pPr>
    </w:p>
    <w:p>
      <w:pPr>
        <w:jc w:val="both"/>
        <w:ind w:firstLine="1297"/>
        <w:spacing w:after="0" w:line="262" w:lineRule="auto"/>
        <w:rPr>
          <w:sz w:val="20"/>
          <w:szCs w:val="20"/>
          <w:color w:val="auto"/>
        </w:rPr>
      </w:pPr>
      <w:r>
        <w:rPr>
          <w:rFonts w:ascii="Arial" w:cs="Arial" w:eastAsia="Arial" w:hAnsi="Arial"/>
          <w:sz w:val="18"/>
          <w:szCs w:val="18"/>
          <w:color w:val="auto"/>
        </w:rPr>
        <w:t>WHEREAS, the Borrower, the Administrative Agent and the Revolving Lenders wish to amend the Credit Agreement to provide for certain other modifications to the Credit Agreement, in each case, on the terms and subject to the conditions set forth herein;</w:t>
      </w:r>
    </w:p>
    <w:p>
      <w:pPr>
        <w:spacing w:after="0" w:line="200" w:lineRule="exact"/>
        <w:rPr>
          <w:sz w:val="20"/>
          <w:szCs w:val="20"/>
          <w:color w:val="auto"/>
        </w:rPr>
      </w:pPr>
    </w:p>
    <w:p>
      <w:pPr>
        <w:spacing w:after="0" w:line="212" w:lineRule="exact"/>
        <w:rPr>
          <w:sz w:val="20"/>
          <w:szCs w:val="20"/>
          <w:color w:val="auto"/>
        </w:rPr>
      </w:pPr>
    </w:p>
    <w:p>
      <w:pPr>
        <w:jc w:val="both"/>
        <w:ind w:right="20" w:firstLine="1297"/>
        <w:spacing w:after="0" w:line="262" w:lineRule="auto"/>
        <w:rPr>
          <w:sz w:val="20"/>
          <w:szCs w:val="20"/>
          <w:color w:val="auto"/>
        </w:rPr>
      </w:pPr>
      <w:r>
        <w:rPr>
          <w:rFonts w:ascii="Arial" w:cs="Arial" w:eastAsia="Arial" w:hAnsi="Arial"/>
          <w:sz w:val="18"/>
          <w:szCs w:val="18"/>
          <w:color w:val="auto"/>
        </w:rPr>
        <w:t>WHEREAS, pursuant to Section 2.28(b) of the Credit Agreement, the Sixth Amendment Non-Extending Revolving Lender shall continue to have Revolving Credit Commitments (the “</w:t>
      </w:r>
      <w:r>
        <w:rPr>
          <w:rFonts w:ascii="Arial" w:cs="Arial" w:eastAsia="Arial" w:hAnsi="Arial"/>
          <w:sz w:val="18"/>
          <w:szCs w:val="18"/>
          <w:i w:val="1"/>
          <w:iCs w:val="1"/>
          <w:color w:val="auto"/>
        </w:rPr>
        <w:t>Non-Extended Revolver Commitments</w:t>
      </w:r>
      <w:r>
        <w:rPr>
          <w:rFonts w:ascii="Arial" w:cs="Arial" w:eastAsia="Arial" w:hAnsi="Arial"/>
          <w:sz w:val="18"/>
          <w:szCs w:val="18"/>
          <w:color w:val="auto"/>
        </w:rPr>
        <w:t>”); and</w:t>
      </w:r>
    </w:p>
    <w:p>
      <w:pPr>
        <w:spacing w:after="0" w:line="200" w:lineRule="exact"/>
        <w:rPr>
          <w:sz w:val="20"/>
          <w:szCs w:val="20"/>
          <w:color w:val="auto"/>
        </w:rPr>
      </w:pPr>
    </w:p>
    <w:p>
      <w:pPr>
        <w:spacing w:after="0" w:line="212" w:lineRule="exact"/>
        <w:rPr>
          <w:sz w:val="20"/>
          <w:szCs w:val="20"/>
          <w:color w:val="auto"/>
        </w:rPr>
      </w:pPr>
    </w:p>
    <w:p>
      <w:pPr>
        <w:jc w:val="both"/>
        <w:ind w:firstLine="1297"/>
        <w:spacing w:after="0" w:line="262" w:lineRule="auto"/>
        <w:rPr>
          <w:sz w:val="20"/>
          <w:szCs w:val="20"/>
          <w:color w:val="auto"/>
        </w:rPr>
      </w:pPr>
      <w:r>
        <w:rPr>
          <w:rFonts w:ascii="Arial" w:cs="Arial" w:eastAsia="Arial" w:hAnsi="Arial"/>
          <w:sz w:val="18"/>
          <w:szCs w:val="18"/>
          <w:color w:val="auto"/>
        </w:rPr>
        <w:t>NOW, THEREFORE, in consideration of the foregoing, and for other good and valuable consideration, the receipt and sufficiency of which are hereby acknowledged, the parties hereto hereby agree as follows:</w:t>
      </w:r>
    </w:p>
    <w:p>
      <w:pPr>
        <w:spacing w:after="0" w:line="196" w:lineRule="exact"/>
        <w:rPr>
          <w:sz w:val="20"/>
          <w:szCs w:val="20"/>
          <w:color w:val="auto"/>
        </w:rPr>
      </w:pPr>
    </w:p>
    <w:p>
      <w:pPr>
        <w:jc w:val="both"/>
        <w:ind w:firstLine="1297"/>
        <w:spacing w:after="0" w:line="253" w:lineRule="auto"/>
        <w:rPr>
          <w:sz w:val="20"/>
          <w:szCs w:val="20"/>
          <w:color w:val="auto"/>
        </w:rPr>
      </w:pPr>
      <w:r>
        <w:rPr>
          <w:rFonts w:ascii="Arial" w:cs="Arial" w:eastAsia="Arial" w:hAnsi="Arial"/>
          <w:sz w:val="18"/>
          <w:szCs w:val="18"/>
          <w:u w:val="single" w:color="auto"/>
          <w:color w:val="auto"/>
        </w:rPr>
        <w:t>SECTION ONE - Increase in Revolving Commitments</w:t>
      </w:r>
      <w:r>
        <w:rPr>
          <w:rFonts w:ascii="Arial" w:cs="Arial" w:eastAsia="Arial" w:hAnsi="Arial"/>
          <w:sz w:val="18"/>
          <w:szCs w:val="18"/>
          <w:color w:val="auto"/>
        </w:rPr>
        <w:t>. On the Seventh Amendment Effective Date, the Borrower, the Consenting Revolving Lenders and the Sixth Amendment Non-Extending Revolving Lender agree that (1) the Total Revolving Commitments shall be $1,642,500,000, consisting of $1,630,500,000 of Seventh Amendment Extended Revolver Commitments and $12,000,000 of Non-Extended Revolver Commitments and (2) the New Revolving Commitments shall constitute Extended Revolving Commitments for all purposes of the Credit Agreement and the other Loan Documents.</w:t>
      </w:r>
    </w:p>
    <w:p>
      <w:pPr>
        <w:spacing w:after="0" w:line="206" w:lineRule="exact"/>
        <w:rPr>
          <w:sz w:val="20"/>
          <w:szCs w:val="20"/>
          <w:color w:val="auto"/>
        </w:rPr>
      </w:pPr>
    </w:p>
    <w:p>
      <w:pPr>
        <w:jc w:val="both"/>
        <w:ind w:firstLine="1297"/>
        <w:spacing w:after="0" w:line="256" w:lineRule="auto"/>
        <w:rPr>
          <w:sz w:val="20"/>
          <w:szCs w:val="20"/>
          <w:color w:val="auto"/>
        </w:rPr>
      </w:pPr>
      <w:r>
        <w:rPr>
          <w:rFonts w:ascii="Arial" w:cs="Arial" w:eastAsia="Arial" w:hAnsi="Arial"/>
          <w:sz w:val="18"/>
          <w:szCs w:val="18"/>
          <w:u w:val="single" w:color="auto"/>
          <w:color w:val="auto"/>
        </w:rPr>
        <w:t>SECTION TWO - Extension of Revolving Facility</w:t>
      </w:r>
      <w:r>
        <w:rPr>
          <w:rFonts w:ascii="Arial" w:cs="Arial" w:eastAsia="Arial" w:hAnsi="Arial"/>
          <w:sz w:val="18"/>
          <w:szCs w:val="18"/>
          <w:color w:val="auto"/>
        </w:rPr>
        <w:t>. On the Seventh Amendment Effective Date (immediately after giving effect to the Reallocation contemplated in Section One), the Borrower, each Consenting Revolving Lender and the Sixth Amendment Non-Extending Revolving Lender agree that the Credit Agreement is modified as follows:</w:t>
      </w:r>
    </w:p>
    <w:p>
      <w:pPr>
        <w:spacing w:after="0" w:line="202" w:lineRule="exact"/>
        <w:rPr>
          <w:sz w:val="20"/>
          <w:szCs w:val="20"/>
          <w:color w:val="auto"/>
        </w:rPr>
      </w:pPr>
    </w:p>
    <w:p>
      <w:pPr>
        <w:ind w:left="2180" w:hanging="875"/>
        <w:spacing w:after="0"/>
        <w:tabs>
          <w:tab w:leader="none" w:pos="2180" w:val="left"/>
        </w:tabs>
        <w:numPr>
          <w:ilvl w:val="0"/>
          <w:numId w:val="79"/>
        </w:numPr>
        <w:rPr>
          <w:rFonts w:ascii="Arial" w:cs="Arial" w:eastAsia="Arial" w:hAnsi="Arial"/>
          <w:sz w:val="18"/>
          <w:szCs w:val="18"/>
          <w:color w:val="auto"/>
        </w:rPr>
      </w:pPr>
      <w:r>
        <w:rPr>
          <w:rFonts w:ascii="Arial" w:cs="Arial" w:eastAsia="Arial" w:hAnsi="Arial"/>
          <w:sz w:val="18"/>
          <w:szCs w:val="18"/>
          <w:color w:val="auto"/>
        </w:rPr>
        <w:t>Section 1.01 of the Credit Agreement is hereby amended by adding the following definitions in appropriate</w:t>
      </w:r>
    </w:p>
    <w:p>
      <w:pPr>
        <w:spacing w:after="0" w:line="9" w:lineRule="exact"/>
        <w:rPr>
          <w:rFonts w:ascii="Arial" w:cs="Arial" w:eastAsia="Arial" w:hAnsi="Arial"/>
          <w:sz w:val="18"/>
          <w:szCs w:val="18"/>
          <w:color w:val="auto"/>
        </w:rPr>
      </w:pPr>
    </w:p>
    <w:p>
      <w:pPr>
        <w:spacing w:after="0"/>
        <w:rPr>
          <w:rFonts w:ascii="Arial" w:cs="Arial" w:eastAsia="Arial" w:hAnsi="Arial"/>
          <w:sz w:val="18"/>
          <w:szCs w:val="18"/>
          <w:color w:val="auto"/>
        </w:rPr>
      </w:pPr>
      <w:r>
        <w:rPr>
          <w:rFonts w:ascii="Arial" w:cs="Arial" w:eastAsia="Arial" w:hAnsi="Arial"/>
          <w:sz w:val="18"/>
          <w:szCs w:val="18"/>
          <w:color w:val="auto"/>
        </w:rPr>
        <w:t>alphabetical order:</w:t>
      </w:r>
    </w:p>
    <w:p>
      <w:pPr>
        <w:spacing w:after="0" w:line="207" w:lineRule="exact"/>
        <w:rPr>
          <w:sz w:val="20"/>
          <w:szCs w:val="20"/>
          <w:color w:val="auto"/>
        </w:rPr>
      </w:pPr>
    </w:p>
    <w:p>
      <w:pPr>
        <w:jc w:val="both"/>
        <w:ind w:firstLine="1297"/>
        <w:spacing w:after="0" w:line="282"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Seventh Amendment</w:t>
      </w:r>
      <w:r>
        <w:rPr>
          <w:rFonts w:ascii="Arial" w:cs="Arial" w:eastAsia="Arial" w:hAnsi="Arial"/>
          <w:sz w:val="18"/>
          <w:szCs w:val="18"/>
          <w:color w:val="auto"/>
        </w:rPr>
        <w:t>” means the Seventh Amendment to this Credit Agreement, dated as of November 8, 2019 among the Borrower, Citibank N.A., as administrative agent and as an issuing lender and the Lenders party thereto.”</w:t>
      </w:r>
    </w:p>
    <w:p>
      <w:pPr>
        <w:spacing w:after="0" w:line="378"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Seventh Amendment Effective Date</w:t>
      </w:r>
      <w:r>
        <w:rPr>
          <w:rFonts w:ascii="Arial" w:cs="Arial" w:eastAsia="Arial" w:hAnsi="Arial"/>
          <w:sz w:val="18"/>
          <w:szCs w:val="18"/>
          <w:color w:val="auto"/>
        </w:rPr>
        <w:t>” shall have the meaning provided in the Seventh Amendment.”;</w:t>
      </w:r>
    </w:p>
    <w:p>
      <w:pPr>
        <w:spacing w:after="0" w:line="200" w:lineRule="exact"/>
        <w:rPr>
          <w:sz w:val="20"/>
          <w:szCs w:val="20"/>
          <w:color w:val="auto"/>
        </w:rPr>
      </w:pPr>
    </w:p>
    <w:p>
      <w:pPr>
        <w:spacing w:after="0" w:line="241" w:lineRule="exact"/>
        <w:rPr>
          <w:sz w:val="20"/>
          <w:szCs w:val="20"/>
          <w:color w:val="auto"/>
        </w:rPr>
      </w:pPr>
    </w:p>
    <w:p>
      <w:pPr>
        <w:jc w:val="both"/>
        <w:ind w:firstLine="1297"/>
        <w:spacing w:after="0" w:line="282"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Seventh Amendment Extended Revolving Commitments</w:t>
      </w:r>
      <w:r>
        <w:rPr>
          <w:rFonts w:ascii="Arial" w:cs="Arial" w:eastAsia="Arial" w:hAnsi="Arial"/>
          <w:sz w:val="18"/>
          <w:szCs w:val="18"/>
          <w:color w:val="auto"/>
        </w:rPr>
        <w:t>” means the Revolving Commitments of each Seventh Amendment Extending Revolving Lender.”</w:t>
      </w:r>
    </w:p>
    <w:p>
      <w:pPr>
        <w:spacing w:after="0" w:line="378" w:lineRule="exact"/>
        <w:rPr>
          <w:sz w:val="20"/>
          <w:szCs w:val="20"/>
          <w:color w:val="auto"/>
        </w:rPr>
      </w:pPr>
    </w:p>
    <w:p>
      <w:pPr>
        <w:jc w:val="both"/>
        <w:ind w:firstLine="1297"/>
        <w:spacing w:after="0" w:line="266" w:lineRule="auto"/>
        <w:rPr>
          <w:sz w:val="20"/>
          <w:szCs w:val="20"/>
          <w:color w:val="auto"/>
        </w:rPr>
      </w:pPr>
      <w:r>
        <w:rPr>
          <w:rFonts w:ascii="Arial" w:cs="Arial" w:eastAsia="Arial" w:hAnsi="Arial"/>
          <w:sz w:val="18"/>
          <w:szCs w:val="18"/>
          <w:i w:val="1"/>
          <w:iCs w:val="1"/>
          <w:color w:val="auto"/>
        </w:rPr>
        <w:t>““Seventh Amendment Extending Revolving Lender</w:t>
      </w:r>
      <w:r>
        <w:rPr>
          <w:rFonts w:ascii="Arial" w:cs="Arial" w:eastAsia="Arial" w:hAnsi="Arial"/>
          <w:sz w:val="18"/>
          <w:szCs w:val="18"/>
          <w:color w:val="auto"/>
        </w:rPr>
        <w:t>” shall mean each Revolving Lender that has provided a signature page on</w:t>
      </w:r>
      <w:r>
        <w:rPr>
          <w:rFonts w:ascii="Arial" w:cs="Arial" w:eastAsia="Arial" w:hAnsi="Arial"/>
          <w:sz w:val="18"/>
          <w:szCs w:val="18"/>
          <w:i w:val="1"/>
          <w:iCs w:val="1"/>
          <w:color w:val="auto"/>
        </w:rPr>
        <w:t xml:space="preserve"> </w:t>
      </w:r>
      <w:r>
        <w:rPr>
          <w:rFonts w:ascii="Arial" w:cs="Arial" w:eastAsia="Arial" w:hAnsi="Arial"/>
          <w:sz w:val="18"/>
          <w:szCs w:val="18"/>
          <w:color w:val="auto"/>
        </w:rPr>
        <w:t>or prior to November 8, 2019 voting in favor of accepting the Seventh Amendment Extension Offer and extending the Revolving Facility Maturity Date as set forth in the Seventh</w:t>
      </w:r>
    </w:p>
    <w:p>
      <w:pPr>
        <w:spacing w:after="0" w:line="200" w:lineRule="exact"/>
        <w:rPr>
          <w:sz w:val="20"/>
          <w:szCs w:val="20"/>
          <w:color w:val="auto"/>
        </w:rPr>
      </w:pPr>
    </w:p>
    <w:p>
      <w:pPr>
        <w:spacing w:after="0" w:line="21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w:t>
      </w:r>
    </w:p>
    <w:p>
      <w:pPr>
        <w:sectPr>
          <w:pgSz w:w="11900" w:h="16838" w:orient="portrait"/>
          <w:cols w:equalWidth="0" w:num="1">
            <w:col w:w="11420"/>
          </w:cols>
          <w:pgMar w:left="240" w:top="571" w:right="239" w:bottom="1440" w:gutter="0" w:footer="0" w:header="0"/>
        </w:sectPr>
      </w:pPr>
    </w:p>
    <w:bookmarkStart w:id="192" w:name="page193"/>
    <w:bookmarkEnd w:id="192"/>
    <w:p>
      <w:pPr>
        <w:spacing w:after="0"/>
        <w:rPr>
          <w:sz w:val="20"/>
          <w:szCs w:val="20"/>
          <w:color w:val="auto"/>
        </w:rPr>
      </w:pPr>
      <w:r>
        <w:rPr>
          <w:rFonts w:ascii="Arial" w:cs="Arial" w:eastAsia="Arial" w:hAnsi="Arial"/>
          <w:sz w:val="18"/>
          <w:szCs w:val="18"/>
          <w:color w:val="auto"/>
        </w:rPr>
        <w:t>Amendment, which, for the avoidance of doubt, shall not include the Sixth Amendment Non-Extending Revolving Lender.”</w:t>
      </w:r>
    </w:p>
    <w:p>
      <w:pPr>
        <w:spacing w:after="0" w:line="200" w:lineRule="exact"/>
        <w:rPr>
          <w:sz w:val="20"/>
          <w:szCs w:val="20"/>
          <w:color w:val="auto"/>
        </w:rPr>
      </w:pPr>
    </w:p>
    <w:p>
      <w:pPr>
        <w:spacing w:after="0" w:line="223"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Seventh Amendment Extension Offer</w:t>
      </w:r>
      <w:r>
        <w:rPr>
          <w:rFonts w:ascii="Arial" w:cs="Arial" w:eastAsia="Arial" w:hAnsi="Arial"/>
          <w:sz w:val="18"/>
          <w:szCs w:val="18"/>
          <w:color w:val="auto"/>
        </w:rPr>
        <w:t>” means the Extension Offer made pursuant to the Seventh Amendment.”</w:t>
      </w:r>
    </w:p>
    <w:p>
      <w:pPr>
        <w:spacing w:after="0" w:line="225" w:lineRule="exact"/>
        <w:rPr>
          <w:sz w:val="20"/>
          <w:szCs w:val="20"/>
          <w:color w:val="auto"/>
        </w:rPr>
      </w:pPr>
    </w:p>
    <w:p>
      <w:pPr>
        <w:ind w:firstLine="1305"/>
        <w:spacing w:after="0" w:line="282" w:lineRule="auto"/>
        <w:tabs>
          <w:tab w:leader="none" w:pos="2165" w:val="left"/>
        </w:tabs>
        <w:numPr>
          <w:ilvl w:val="0"/>
          <w:numId w:val="80"/>
        </w:numPr>
        <w:rPr>
          <w:rFonts w:ascii="Arial" w:cs="Arial" w:eastAsia="Arial" w:hAnsi="Arial"/>
          <w:sz w:val="18"/>
          <w:szCs w:val="18"/>
          <w:color w:val="auto"/>
        </w:rPr>
      </w:pPr>
      <w:r>
        <w:rPr>
          <w:rFonts w:ascii="Arial" w:cs="Arial" w:eastAsia="Arial" w:hAnsi="Arial"/>
          <w:sz w:val="18"/>
          <w:szCs w:val="18"/>
          <w:color w:val="auto"/>
        </w:rPr>
        <w:t>The definition of “</w:t>
      </w:r>
      <w:r>
        <w:rPr>
          <w:rFonts w:ascii="Arial" w:cs="Arial" w:eastAsia="Arial" w:hAnsi="Arial"/>
          <w:sz w:val="18"/>
          <w:szCs w:val="18"/>
          <w:i w:val="1"/>
          <w:iCs w:val="1"/>
          <w:color w:val="auto"/>
        </w:rPr>
        <w:t>Commitment Fee Rate</w:t>
      </w:r>
      <w:r>
        <w:rPr>
          <w:rFonts w:ascii="Arial" w:cs="Arial" w:eastAsia="Arial" w:hAnsi="Arial"/>
          <w:sz w:val="18"/>
          <w:szCs w:val="18"/>
          <w:color w:val="auto"/>
        </w:rPr>
        <w:t>” appearing in Section 1.01 of the Credit Agreement is hereby amended and restated in its entirety as follows:</w:t>
      </w:r>
    </w:p>
    <w:p>
      <w:pPr>
        <w:spacing w:after="0" w:line="162" w:lineRule="exact"/>
        <w:rPr>
          <w:sz w:val="20"/>
          <w:szCs w:val="20"/>
          <w:color w:val="auto"/>
        </w:rPr>
      </w:pPr>
    </w:p>
    <w:p>
      <w:pPr>
        <w:jc w:val="both"/>
        <w:ind w:left="660" w:firstLine="1297"/>
        <w:spacing w:after="0" w:line="266"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Commitment Fee Rate</w:t>
      </w:r>
      <w:r>
        <w:rPr>
          <w:rFonts w:ascii="Arial" w:cs="Arial" w:eastAsia="Arial" w:hAnsi="Arial"/>
          <w:sz w:val="18"/>
          <w:szCs w:val="18"/>
          <w:color w:val="auto"/>
        </w:rPr>
        <w:t>” shall mean (x) 0.625% per annum (other than with respect to any Sixth Amendment Non-Extended Revolving Commitments) and (y) in respect of Sixth Amendment Non-Extended Revolving Commitments, 0.75% per annum.”;</w:t>
      </w:r>
    </w:p>
    <w:p>
      <w:pPr>
        <w:spacing w:after="0" w:line="176" w:lineRule="exact"/>
        <w:rPr>
          <w:sz w:val="20"/>
          <w:szCs w:val="20"/>
          <w:color w:val="auto"/>
        </w:rPr>
      </w:pPr>
    </w:p>
    <w:p>
      <w:pPr>
        <w:jc w:val="both"/>
        <w:ind w:right="100" w:firstLine="1305"/>
        <w:spacing w:after="0" w:line="266" w:lineRule="auto"/>
        <w:tabs>
          <w:tab w:leader="none" w:pos="2155" w:val="left"/>
        </w:tabs>
        <w:numPr>
          <w:ilvl w:val="0"/>
          <w:numId w:val="81"/>
        </w:numPr>
        <w:rPr>
          <w:rFonts w:ascii="Arial" w:cs="Arial" w:eastAsia="Arial" w:hAnsi="Arial"/>
          <w:sz w:val="18"/>
          <w:szCs w:val="18"/>
          <w:color w:val="auto"/>
        </w:rPr>
      </w:pPr>
      <w:r>
        <w:rPr>
          <w:rFonts w:ascii="Arial" w:cs="Arial" w:eastAsia="Arial" w:hAnsi="Arial"/>
          <w:sz w:val="18"/>
          <w:szCs w:val="18"/>
          <w:color w:val="auto"/>
        </w:rPr>
        <w:t>The definition of “</w:t>
      </w:r>
      <w:r>
        <w:rPr>
          <w:rFonts w:ascii="Arial" w:cs="Arial" w:eastAsia="Arial" w:hAnsi="Arial"/>
          <w:sz w:val="18"/>
          <w:szCs w:val="18"/>
          <w:i w:val="1"/>
          <w:iCs w:val="1"/>
          <w:color w:val="auto"/>
        </w:rPr>
        <w:t>LIBO Rate</w:t>
      </w:r>
      <w:r>
        <w:rPr>
          <w:rFonts w:ascii="Arial" w:cs="Arial" w:eastAsia="Arial" w:hAnsi="Arial"/>
          <w:sz w:val="18"/>
          <w:szCs w:val="18"/>
          <w:color w:val="auto"/>
        </w:rPr>
        <w:t>” appearing in Section 1.01 of the Credit Agreement is hereby amended by adding “and Revolving Loans in respect of Seventh Amendment Extended Revolving Commitments” after “solely in respect of the 2017 Replacement Term Loans” where it is used therein.</w:t>
      </w:r>
    </w:p>
    <w:p>
      <w:pPr>
        <w:spacing w:after="0" w:line="176" w:lineRule="exact"/>
        <w:rPr>
          <w:rFonts w:ascii="Arial" w:cs="Arial" w:eastAsia="Arial" w:hAnsi="Arial"/>
          <w:sz w:val="18"/>
          <w:szCs w:val="18"/>
          <w:color w:val="auto"/>
        </w:rPr>
      </w:pPr>
    </w:p>
    <w:p>
      <w:pPr>
        <w:ind w:right="440" w:firstLine="1305"/>
        <w:spacing w:after="0" w:line="282" w:lineRule="auto"/>
        <w:tabs>
          <w:tab w:leader="none" w:pos="2165" w:val="left"/>
        </w:tabs>
        <w:numPr>
          <w:ilvl w:val="0"/>
          <w:numId w:val="81"/>
        </w:numPr>
        <w:rPr>
          <w:rFonts w:ascii="Arial" w:cs="Arial" w:eastAsia="Arial" w:hAnsi="Arial"/>
          <w:sz w:val="18"/>
          <w:szCs w:val="18"/>
          <w:color w:val="auto"/>
        </w:rPr>
      </w:pPr>
      <w:r>
        <w:rPr>
          <w:rFonts w:ascii="Arial" w:cs="Arial" w:eastAsia="Arial" w:hAnsi="Arial"/>
          <w:sz w:val="18"/>
          <w:szCs w:val="18"/>
          <w:color w:val="auto"/>
        </w:rPr>
        <w:t>The definition of “</w:t>
      </w:r>
      <w:r>
        <w:rPr>
          <w:rFonts w:ascii="Arial" w:cs="Arial" w:eastAsia="Arial" w:hAnsi="Arial"/>
          <w:sz w:val="18"/>
          <w:szCs w:val="18"/>
          <w:i w:val="1"/>
          <w:iCs w:val="1"/>
          <w:color w:val="auto"/>
        </w:rPr>
        <w:t>Revolving Facility Maturity Date</w:t>
      </w:r>
      <w:r>
        <w:rPr>
          <w:rFonts w:ascii="Arial" w:cs="Arial" w:eastAsia="Arial" w:hAnsi="Arial"/>
          <w:sz w:val="18"/>
          <w:szCs w:val="18"/>
          <w:color w:val="auto"/>
        </w:rPr>
        <w:t>” appearing in Section 1.01 of the Credit Agreement is hereby amended and restated in its entirety as follows:</w:t>
      </w:r>
    </w:p>
    <w:p>
      <w:pPr>
        <w:spacing w:after="0" w:line="162" w:lineRule="exact"/>
        <w:rPr>
          <w:sz w:val="20"/>
          <w:szCs w:val="20"/>
          <w:color w:val="auto"/>
        </w:rPr>
      </w:pPr>
    </w:p>
    <w:p>
      <w:pPr>
        <w:jc w:val="both"/>
        <w:ind w:left="880" w:firstLine="972"/>
        <w:spacing w:after="0" w:line="257"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Revolving Facility Maturity Date</w:t>
      </w:r>
      <w:r>
        <w:rPr>
          <w:rFonts w:ascii="Arial" w:cs="Arial" w:eastAsia="Arial" w:hAnsi="Arial"/>
          <w:sz w:val="18"/>
          <w:szCs w:val="18"/>
          <w:color w:val="auto"/>
        </w:rPr>
        <w:t>” shall mean, (a) with respect to Seventh Amendment Extended Revolving Commitments, that have not been extended pursuant to Section 2.28(b), but including Revolving Commitments extended or made available pursuant to the Seventh Amendment, October 11, 2024, (b) with respect to Sixth Amendment Non-Extended Revolving Commitments that have not been extended pursuant to Section 2.28(b), October 13, 2022 and (c) with respect to Extended Revolving Commitments extended after the Seventh Amendment Effective Date, the final maturity date therefor as specified in the applicable Extension Offer accepted by the respective Revolving Lender or Revolving Lenders.”;</w:t>
      </w:r>
    </w:p>
    <w:p>
      <w:pPr>
        <w:spacing w:after="0" w:line="183" w:lineRule="exact"/>
        <w:rPr>
          <w:sz w:val="20"/>
          <w:szCs w:val="20"/>
          <w:color w:val="auto"/>
        </w:rPr>
      </w:pPr>
    </w:p>
    <w:p>
      <w:pPr>
        <w:ind w:right="260" w:firstLine="1305"/>
        <w:spacing w:after="0" w:line="282" w:lineRule="auto"/>
        <w:tabs>
          <w:tab w:leader="none" w:pos="2165" w:val="left"/>
        </w:tabs>
        <w:numPr>
          <w:ilvl w:val="0"/>
          <w:numId w:val="82"/>
        </w:numPr>
        <w:rPr>
          <w:rFonts w:ascii="Arial" w:cs="Arial" w:eastAsia="Arial" w:hAnsi="Arial"/>
          <w:sz w:val="18"/>
          <w:szCs w:val="18"/>
          <w:color w:val="auto"/>
        </w:rPr>
      </w:pPr>
      <w:r>
        <w:rPr>
          <w:rFonts w:ascii="Arial" w:cs="Arial" w:eastAsia="Arial" w:hAnsi="Arial"/>
          <w:sz w:val="18"/>
          <w:szCs w:val="18"/>
          <w:color w:val="auto"/>
        </w:rPr>
        <w:t>The definition of “</w:t>
      </w:r>
      <w:r>
        <w:rPr>
          <w:rFonts w:ascii="Arial" w:cs="Arial" w:eastAsia="Arial" w:hAnsi="Arial"/>
          <w:sz w:val="18"/>
          <w:szCs w:val="18"/>
          <w:i w:val="1"/>
          <w:iCs w:val="1"/>
          <w:color w:val="auto"/>
        </w:rPr>
        <w:t>Revolving Commitment</w:t>
      </w:r>
      <w:r>
        <w:rPr>
          <w:rFonts w:ascii="Arial" w:cs="Arial" w:eastAsia="Arial" w:hAnsi="Arial"/>
          <w:sz w:val="18"/>
          <w:szCs w:val="18"/>
          <w:color w:val="auto"/>
        </w:rPr>
        <w:t>” is hereby amended by deleting the last sentence of said definition in its entirety and inserting in lieu thereof the following new sentence:</w:t>
      </w:r>
    </w:p>
    <w:p>
      <w:pPr>
        <w:spacing w:after="0" w:line="180" w:lineRule="exact"/>
        <w:rPr>
          <w:sz w:val="20"/>
          <w:szCs w:val="20"/>
          <w:color w:val="auto"/>
        </w:rPr>
      </w:pPr>
    </w:p>
    <w:p>
      <w:pPr>
        <w:jc w:val="both"/>
        <w:ind w:left="1380" w:firstLine="554"/>
        <w:spacing w:after="0" w:line="256" w:lineRule="auto"/>
        <w:rPr>
          <w:sz w:val="20"/>
          <w:szCs w:val="20"/>
          <w:color w:val="auto"/>
        </w:rPr>
      </w:pPr>
      <w:r>
        <w:rPr>
          <w:rFonts w:ascii="Arial" w:cs="Arial" w:eastAsia="Arial" w:hAnsi="Arial"/>
          <w:sz w:val="18"/>
          <w:szCs w:val="18"/>
          <w:color w:val="auto"/>
        </w:rPr>
        <w:t>“The aggregate amount of the Total Revolving Commitments as of the Seventh Amendment Effective Date is $1,642,500,000, consisting of $1,630,500,000 of Seventh Amendment Extended Revolver Commitments and $12,000,000 of Seventh Amendment Non-Extended Revolver Commitments.”;</w:t>
      </w:r>
    </w:p>
    <w:p>
      <w:pPr>
        <w:spacing w:after="0" w:line="184" w:lineRule="exact"/>
        <w:rPr>
          <w:sz w:val="20"/>
          <w:szCs w:val="20"/>
          <w:color w:val="auto"/>
        </w:rPr>
      </w:pPr>
    </w:p>
    <w:p>
      <w:pPr>
        <w:ind w:left="2120" w:hanging="815"/>
        <w:spacing w:after="0"/>
        <w:tabs>
          <w:tab w:leader="none" w:pos="2120" w:val="left"/>
        </w:tabs>
        <w:numPr>
          <w:ilvl w:val="0"/>
          <w:numId w:val="83"/>
        </w:numPr>
        <w:rPr>
          <w:rFonts w:ascii="Arial" w:cs="Arial" w:eastAsia="Arial" w:hAnsi="Arial"/>
          <w:sz w:val="18"/>
          <w:szCs w:val="18"/>
          <w:color w:val="auto"/>
        </w:rPr>
      </w:pPr>
      <w:r>
        <w:rPr>
          <w:rFonts w:ascii="Arial" w:cs="Arial" w:eastAsia="Arial" w:hAnsi="Arial"/>
          <w:sz w:val="18"/>
          <w:szCs w:val="18"/>
          <w:color w:val="auto"/>
        </w:rPr>
        <w:t>The definition of “</w:t>
      </w:r>
      <w:r>
        <w:rPr>
          <w:rFonts w:ascii="Arial" w:cs="Arial" w:eastAsia="Arial" w:hAnsi="Arial"/>
          <w:sz w:val="18"/>
          <w:szCs w:val="18"/>
          <w:i w:val="1"/>
          <w:iCs w:val="1"/>
          <w:color w:val="auto"/>
        </w:rPr>
        <w:t>Sixth Amendment Non-Extending Revolving Lender</w:t>
      </w:r>
      <w:r>
        <w:rPr>
          <w:rFonts w:ascii="Arial" w:cs="Arial" w:eastAsia="Arial" w:hAnsi="Arial"/>
          <w:sz w:val="18"/>
          <w:szCs w:val="18"/>
          <w:color w:val="auto"/>
        </w:rPr>
        <w:t>” is hereby amended and restated in its entirety</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color w:val="auto"/>
        </w:rPr>
        <w:t>as follows:</w:t>
      </w:r>
    </w:p>
    <w:p>
      <w:pPr>
        <w:spacing w:after="0" w:line="207" w:lineRule="exact"/>
        <w:rPr>
          <w:sz w:val="20"/>
          <w:szCs w:val="20"/>
          <w:color w:val="auto"/>
        </w:rPr>
      </w:pPr>
    </w:p>
    <w:p>
      <w:pPr>
        <w:ind w:left="880" w:firstLine="972"/>
        <w:spacing w:after="0" w:line="282"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Sixth Amendment Non-Extending Revolving Lender</w:t>
      </w:r>
      <w:r>
        <w:rPr>
          <w:rFonts w:ascii="Arial" w:cs="Arial" w:eastAsia="Arial" w:hAnsi="Arial"/>
          <w:sz w:val="18"/>
          <w:szCs w:val="18"/>
          <w:color w:val="auto"/>
        </w:rPr>
        <w:t>” shall mean, Texas Capital Bank, N.A., and any successor or permitted assign of a Sixth Amendment Non-Extending Revolving Lender.”</w:t>
      </w:r>
    </w:p>
    <w:p>
      <w:pPr>
        <w:spacing w:after="0" w:line="180" w:lineRule="exact"/>
        <w:rPr>
          <w:sz w:val="20"/>
          <w:szCs w:val="20"/>
          <w:color w:val="auto"/>
        </w:rPr>
      </w:pPr>
    </w:p>
    <w:p>
      <w:pPr>
        <w:ind w:left="2180" w:hanging="875"/>
        <w:spacing w:after="0"/>
        <w:tabs>
          <w:tab w:leader="none" w:pos="2180" w:val="left"/>
        </w:tabs>
        <w:numPr>
          <w:ilvl w:val="0"/>
          <w:numId w:val="84"/>
        </w:numPr>
        <w:rPr>
          <w:rFonts w:ascii="Arial" w:cs="Arial" w:eastAsia="Arial" w:hAnsi="Arial"/>
          <w:sz w:val="18"/>
          <w:szCs w:val="18"/>
          <w:color w:val="auto"/>
        </w:rPr>
      </w:pPr>
      <w:r>
        <w:rPr>
          <w:rFonts w:ascii="Arial" w:cs="Arial" w:eastAsia="Arial" w:hAnsi="Arial"/>
          <w:sz w:val="18"/>
          <w:szCs w:val="18"/>
          <w:color w:val="auto"/>
        </w:rPr>
        <w:t>Section 2.20(a) of the Credit Agreement is here by amended and restated in its entirety as follows:</w:t>
      </w:r>
    </w:p>
    <w:p>
      <w:pPr>
        <w:spacing w:after="0" w:line="225" w:lineRule="exact"/>
        <w:rPr>
          <w:sz w:val="20"/>
          <w:szCs w:val="20"/>
          <w:color w:val="auto"/>
        </w:rPr>
      </w:pPr>
    </w:p>
    <w:p>
      <w:pPr>
        <w:jc w:val="both"/>
        <w:ind w:firstLine="1297"/>
        <w:spacing w:after="0" w:line="252" w:lineRule="auto"/>
        <w:rPr>
          <w:sz w:val="20"/>
          <w:szCs w:val="20"/>
          <w:color w:val="auto"/>
        </w:rPr>
      </w:pPr>
      <w:r>
        <w:rPr>
          <w:rFonts w:ascii="Arial" w:cs="Arial" w:eastAsia="Arial" w:hAnsi="Arial"/>
          <w:sz w:val="18"/>
          <w:szCs w:val="18"/>
          <w:color w:val="auto"/>
        </w:rPr>
        <w:t>“The Borrower shall pay to the Administrative Agent for the accounts of the Revolving Lenders a commitment fee (the “</w:t>
      </w:r>
      <w:r>
        <w:rPr>
          <w:rFonts w:ascii="Arial" w:cs="Arial" w:eastAsia="Arial" w:hAnsi="Arial"/>
          <w:sz w:val="18"/>
          <w:szCs w:val="18"/>
          <w:i w:val="1"/>
          <w:iCs w:val="1"/>
          <w:color w:val="auto"/>
        </w:rPr>
        <w:t>Commitment Fee</w:t>
      </w:r>
      <w:r>
        <w:rPr>
          <w:rFonts w:ascii="Arial" w:cs="Arial" w:eastAsia="Arial" w:hAnsi="Arial"/>
          <w:sz w:val="18"/>
          <w:szCs w:val="18"/>
          <w:color w:val="auto"/>
        </w:rPr>
        <w:t>”) for the period commencing on the Closing Date to the Revolving Facility Termination Date with respect to the applicable Revolving Commitments or the earlier date of termination of the applicable Revolving Commitment, computed (on the basis of the actual number of days elapsed over a year of 360 days) at the Commitment Fee Rate on the average daily Unused Total Revolving Commitment. Such Commitment Fee, to the extent then accrued, shall be payable quarterly in arrears (a) following the Closing Date on the last Business Day of each March, June, September and December,</w:t>
      </w:r>
    </w:p>
    <w:p>
      <w:pPr>
        <w:spacing w:after="0" w:line="200" w:lineRule="exact"/>
        <w:rPr>
          <w:sz w:val="20"/>
          <w:szCs w:val="20"/>
          <w:color w:val="auto"/>
        </w:rPr>
      </w:pP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w:t>
      </w:r>
    </w:p>
    <w:p>
      <w:pPr>
        <w:sectPr>
          <w:pgSz w:w="11900" w:h="16838" w:orient="portrait"/>
          <w:cols w:equalWidth="0" w:num="1">
            <w:col w:w="11420"/>
          </w:cols>
          <w:pgMar w:left="240" w:top="571" w:right="239" w:bottom="1440" w:gutter="0" w:footer="0" w:header="0"/>
        </w:sectPr>
      </w:pPr>
    </w:p>
    <w:bookmarkStart w:id="193" w:name="page194"/>
    <w:bookmarkEnd w:id="193"/>
    <w:p>
      <w:pPr>
        <w:jc w:val="both"/>
        <w:ind w:firstLine="8"/>
        <w:spacing w:after="0" w:line="254" w:lineRule="auto"/>
        <w:tabs>
          <w:tab w:leader="none" w:pos="273" w:val="left"/>
        </w:tabs>
        <w:numPr>
          <w:ilvl w:val="0"/>
          <w:numId w:val="85"/>
        </w:numPr>
        <w:rPr>
          <w:rFonts w:ascii="Arial" w:cs="Arial" w:eastAsia="Arial" w:hAnsi="Arial"/>
          <w:sz w:val="18"/>
          <w:szCs w:val="18"/>
          <w:color w:val="auto"/>
        </w:rPr>
      </w:pPr>
      <w:r>
        <w:rPr>
          <w:rFonts w:ascii="Arial" w:cs="Arial" w:eastAsia="Arial" w:hAnsi="Arial"/>
          <w:sz w:val="18"/>
          <w:szCs w:val="18"/>
          <w:color w:val="auto"/>
        </w:rPr>
        <w:t>on the Revolving Facility Termination Date with respect to the applicable Revolving Commitments and (c) as provided in Section 2.11, upon any reduction or termination in whole or in part of the Total Revolving Commitment (provided that such fee will be prorated based on the Commitment Fee set forth in the Sixth Amendment or Seventh Amendment, as applicable for the fiscal quarter in which the Sixth Amendment Effective Date or Seventh Amendment Effective Date, as applicable occurs).”; and</w:t>
      </w:r>
    </w:p>
    <w:p>
      <w:pPr>
        <w:spacing w:after="0" w:line="204" w:lineRule="exact"/>
        <w:rPr>
          <w:rFonts w:ascii="Arial" w:cs="Arial" w:eastAsia="Arial" w:hAnsi="Arial"/>
          <w:sz w:val="18"/>
          <w:szCs w:val="18"/>
          <w:color w:val="auto"/>
        </w:rPr>
      </w:pPr>
    </w:p>
    <w:p>
      <w:pPr>
        <w:ind w:left="2180" w:hanging="875"/>
        <w:spacing w:after="0"/>
        <w:tabs>
          <w:tab w:leader="none" w:pos="2180" w:val="left"/>
        </w:tabs>
        <w:numPr>
          <w:ilvl w:val="1"/>
          <w:numId w:val="85"/>
        </w:numPr>
        <w:rPr>
          <w:rFonts w:ascii="Arial" w:cs="Arial" w:eastAsia="Arial" w:hAnsi="Arial"/>
          <w:sz w:val="18"/>
          <w:szCs w:val="18"/>
          <w:color w:val="auto"/>
        </w:rPr>
      </w:pPr>
      <w:r>
        <w:rPr>
          <w:rFonts w:ascii="Arial" w:cs="Arial" w:eastAsia="Arial" w:hAnsi="Arial"/>
          <w:sz w:val="18"/>
          <w:szCs w:val="18"/>
          <w:color w:val="auto"/>
        </w:rPr>
        <w:t>“Annex A” of the Credit Agreement is hereby amended and restated in its entirety in the form attached hereto as</w:t>
      </w:r>
    </w:p>
    <w:p>
      <w:pPr>
        <w:spacing w:after="0" w:line="9" w:lineRule="exact"/>
        <w:rPr>
          <w:rFonts w:ascii="Arial" w:cs="Arial" w:eastAsia="Arial" w:hAnsi="Arial"/>
          <w:sz w:val="18"/>
          <w:szCs w:val="18"/>
          <w:color w:val="auto"/>
        </w:rPr>
      </w:pPr>
    </w:p>
    <w:p>
      <w:pPr>
        <w:spacing w:after="0"/>
        <w:rPr>
          <w:rFonts w:ascii="Arial" w:cs="Arial" w:eastAsia="Arial" w:hAnsi="Arial"/>
          <w:sz w:val="18"/>
          <w:szCs w:val="18"/>
          <w:color w:val="auto"/>
        </w:rPr>
      </w:pPr>
      <w:r>
        <w:rPr>
          <w:rFonts w:ascii="Arial" w:cs="Arial" w:eastAsia="Arial" w:hAnsi="Arial"/>
          <w:sz w:val="18"/>
          <w:szCs w:val="18"/>
          <w:color w:val="auto"/>
        </w:rPr>
        <w:t>Schedule 1.</w:t>
      </w:r>
    </w:p>
    <w:p>
      <w:pPr>
        <w:spacing w:after="0" w:line="225" w:lineRule="exact"/>
        <w:rPr>
          <w:sz w:val="20"/>
          <w:szCs w:val="20"/>
          <w:color w:val="auto"/>
        </w:rPr>
      </w:pPr>
    </w:p>
    <w:p>
      <w:pPr>
        <w:jc w:val="both"/>
        <w:ind w:firstLine="1297"/>
        <w:spacing w:after="0" w:line="254" w:lineRule="auto"/>
        <w:rPr>
          <w:sz w:val="20"/>
          <w:szCs w:val="20"/>
          <w:color w:val="auto"/>
        </w:rPr>
      </w:pPr>
      <w:r>
        <w:rPr>
          <w:rFonts w:ascii="Arial" w:cs="Arial" w:eastAsia="Arial" w:hAnsi="Arial"/>
          <w:sz w:val="18"/>
          <w:szCs w:val="18"/>
          <w:color w:val="auto"/>
        </w:rPr>
        <w:t>Notwithstanding anything in this Seventh Amendment or the Credit Agreement to the contrary, the Administrative Agent hereby waives (a) the minimum notice required by Section 2.27(a) of the Credit Agreement in connection with the establishment of the New Revolving Commitments and (b) the minimum notice required by Section 2.28(e) of the Credit Agreement in connection with the Revolver Extension to be effected pursuant to this Seventh Amendment.</w:t>
      </w:r>
    </w:p>
    <w:p>
      <w:pPr>
        <w:spacing w:after="0" w:line="204" w:lineRule="exact"/>
        <w:rPr>
          <w:sz w:val="20"/>
          <w:szCs w:val="20"/>
          <w:color w:val="auto"/>
        </w:rPr>
      </w:pPr>
    </w:p>
    <w:p>
      <w:pPr>
        <w:jc w:val="both"/>
        <w:ind w:firstLine="1297"/>
        <w:spacing w:after="0" w:line="262" w:lineRule="auto"/>
        <w:rPr>
          <w:sz w:val="20"/>
          <w:szCs w:val="20"/>
          <w:color w:val="auto"/>
        </w:rPr>
      </w:pPr>
      <w:r>
        <w:rPr>
          <w:rFonts w:ascii="Arial" w:cs="Arial" w:eastAsia="Arial" w:hAnsi="Arial"/>
          <w:sz w:val="18"/>
          <w:szCs w:val="18"/>
          <w:u w:val="single" w:color="auto"/>
          <w:color w:val="auto"/>
        </w:rPr>
        <w:t>SECTION THREE -</w:t>
      </w:r>
      <w:r>
        <w:rPr>
          <w:rFonts w:ascii="Arial" w:cs="Arial" w:eastAsia="Arial" w:hAnsi="Arial"/>
          <w:sz w:val="18"/>
          <w:szCs w:val="18"/>
          <w:color w:val="auto"/>
        </w:rPr>
        <w:t xml:space="preserve"> The parties hereto agree that, as of the Seventh Amendment Effective Date (as defined below) and in connection with the Seventh Amendment:</w:t>
      </w:r>
    </w:p>
    <w:p>
      <w:pPr>
        <w:spacing w:after="0" w:line="178" w:lineRule="exact"/>
        <w:rPr>
          <w:sz w:val="20"/>
          <w:szCs w:val="20"/>
          <w:color w:val="auto"/>
        </w:rPr>
      </w:pPr>
    </w:p>
    <w:p>
      <w:pPr>
        <w:jc w:val="both"/>
        <w:ind w:firstLine="1305"/>
        <w:spacing w:after="0" w:line="257" w:lineRule="auto"/>
        <w:tabs>
          <w:tab w:leader="none" w:pos="1754" w:val="left"/>
        </w:tabs>
        <w:numPr>
          <w:ilvl w:val="0"/>
          <w:numId w:val="86"/>
        </w:numPr>
        <w:rPr>
          <w:rFonts w:ascii="Arial" w:cs="Arial" w:eastAsia="Arial" w:hAnsi="Arial"/>
          <w:sz w:val="18"/>
          <w:szCs w:val="18"/>
          <w:color w:val="auto"/>
        </w:rPr>
      </w:pPr>
      <w:r>
        <w:rPr>
          <w:rFonts w:ascii="Arial" w:cs="Arial" w:eastAsia="Arial" w:hAnsi="Arial"/>
          <w:sz w:val="18"/>
          <w:szCs w:val="18"/>
          <w:color w:val="auto"/>
        </w:rPr>
        <w:t>each of Citigroup Global Markets Inc. (“</w:t>
      </w:r>
      <w:r>
        <w:rPr>
          <w:rFonts w:ascii="Arial" w:cs="Arial" w:eastAsia="Arial" w:hAnsi="Arial"/>
          <w:sz w:val="18"/>
          <w:szCs w:val="18"/>
          <w:i w:val="1"/>
          <w:iCs w:val="1"/>
          <w:color w:val="auto"/>
        </w:rPr>
        <w:t>Citi</w:t>
      </w:r>
      <w:r>
        <w:rPr>
          <w:rFonts w:ascii="Arial" w:cs="Arial" w:eastAsia="Arial" w:hAnsi="Arial"/>
          <w:sz w:val="18"/>
          <w:szCs w:val="18"/>
          <w:color w:val="auto"/>
        </w:rPr>
        <w:t>”), Barclays Bank PLC (“</w:t>
      </w:r>
      <w:r>
        <w:rPr>
          <w:rFonts w:ascii="Arial" w:cs="Arial" w:eastAsia="Arial" w:hAnsi="Arial"/>
          <w:sz w:val="18"/>
          <w:szCs w:val="18"/>
          <w:i w:val="1"/>
          <w:iCs w:val="1"/>
          <w:color w:val="auto"/>
        </w:rPr>
        <w:t>Barclays</w:t>
      </w:r>
      <w:r>
        <w:rPr>
          <w:rFonts w:ascii="Arial" w:cs="Arial" w:eastAsia="Arial" w:hAnsi="Arial"/>
          <w:sz w:val="18"/>
          <w:szCs w:val="18"/>
          <w:color w:val="auto"/>
        </w:rPr>
        <w:t>”), Credit Suisse Securities (USA) LLC (“</w:t>
      </w:r>
      <w:r>
        <w:rPr>
          <w:rFonts w:ascii="Arial" w:cs="Arial" w:eastAsia="Arial" w:hAnsi="Arial"/>
          <w:sz w:val="18"/>
          <w:szCs w:val="18"/>
          <w:i w:val="1"/>
          <w:iCs w:val="1"/>
          <w:color w:val="auto"/>
        </w:rPr>
        <w:t>CS</w:t>
      </w:r>
      <w:r>
        <w:rPr>
          <w:rFonts w:ascii="Arial" w:cs="Arial" w:eastAsia="Arial" w:hAnsi="Arial"/>
          <w:sz w:val="18"/>
          <w:szCs w:val="18"/>
          <w:color w:val="auto"/>
        </w:rPr>
        <w:t xml:space="preserve"> </w:t>
      </w:r>
      <w:r>
        <w:rPr>
          <w:rFonts w:ascii="Arial" w:cs="Arial" w:eastAsia="Arial" w:hAnsi="Arial"/>
          <w:sz w:val="18"/>
          <w:szCs w:val="18"/>
          <w:i w:val="1"/>
          <w:iCs w:val="1"/>
          <w:color w:val="auto"/>
        </w:rPr>
        <w:t>Securities</w:t>
      </w:r>
      <w:r>
        <w:rPr>
          <w:rFonts w:ascii="Arial" w:cs="Arial" w:eastAsia="Arial" w:hAnsi="Arial"/>
          <w:sz w:val="18"/>
          <w:szCs w:val="18"/>
          <w:color w:val="auto"/>
        </w:rPr>
        <w:t>”), Deutsche Bank Securities Inc. (“</w:t>
      </w:r>
      <w:r>
        <w:rPr>
          <w:rFonts w:ascii="Arial" w:cs="Arial" w:eastAsia="Arial" w:hAnsi="Arial"/>
          <w:sz w:val="18"/>
          <w:szCs w:val="18"/>
          <w:i w:val="1"/>
          <w:iCs w:val="1"/>
          <w:color w:val="auto"/>
        </w:rPr>
        <w:t>DBSI</w:t>
      </w:r>
      <w:r>
        <w:rPr>
          <w:rFonts w:ascii="Arial" w:cs="Arial" w:eastAsia="Arial" w:hAnsi="Arial"/>
          <w:sz w:val="18"/>
          <w:szCs w:val="18"/>
          <w:color w:val="auto"/>
        </w:rPr>
        <w:t>”), Goldman Sachs Lending Partners LLC (“</w:t>
      </w:r>
      <w:r>
        <w:rPr>
          <w:rFonts w:ascii="Arial" w:cs="Arial" w:eastAsia="Arial" w:hAnsi="Arial"/>
          <w:sz w:val="18"/>
          <w:szCs w:val="18"/>
          <w:i w:val="1"/>
          <w:iCs w:val="1"/>
          <w:color w:val="auto"/>
        </w:rPr>
        <w:t>GSLP</w:t>
      </w:r>
      <w:r>
        <w:rPr>
          <w:rFonts w:ascii="Arial" w:cs="Arial" w:eastAsia="Arial" w:hAnsi="Arial"/>
          <w:sz w:val="18"/>
          <w:szCs w:val="18"/>
          <w:color w:val="auto"/>
        </w:rPr>
        <w:t>”), Industrial and Commercial Bank of</w:t>
      </w:r>
      <w:r>
        <w:rPr>
          <w:rFonts w:ascii="Arial" w:cs="Arial" w:eastAsia="Arial" w:hAnsi="Arial"/>
          <w:sz w:val="18"/>
          <w:szCs w:val="18"/>
          <w:i w:val="1"/>
          <w:iCs w:val="1"/>
          <w:color w:val="auto"/>
        </w:rPr>
        <w:t xml:space="preserve"> </w:t>
      </w:r>
      <w:r>
        <w:rPr>
          <w:rFonts w:ascii="Arial" w:cs="Arial" w:eastAsia="Arial" w:hAnsi="Arial"/>
          <w:sz w:val="18"/>
          <w:szCs w:val="18"/>
          <w:color w:val="auto"/>
        </w:rPr>
        <w:t>China Limited, New York Branch (“</w:t>
      </w:r>
      <w:r>
        <w:rPr>
          <w:rFonts w:ascii="Arial" w:cs="Arial" w:eastAsia="Arial" w:hAnsi="Arial"/>
          <w:sz w:val="18"/>
          <w:szCs w:val="18"/>
          <w:i w:val="1"/>
          <w:iCs w:val="1"/>
          <w:color w:val="auto"/>
        </w:rPr>
        <w:t>ICBC</w:t>
      </w:r>
      <w:r>
        <w:rPr>
          <w:rFonts w:ascii="Arial" w:cs="Arial" w:eastAsia="Arial" w:hAnsi="Arial"/>
          <w:sz w:val="18"/>
          <w:szCs w:val="18"/>
          <w:color w:val="auto"/>
        </w:rPr>
        <w:t>”), JPMorgan Chase Bank, N.A. (“</w:t>
      </w:r>
      <w:r>
        <w:rPr>
          <w:rFonts w:ascii="Arial" w:cs="Arial" w:eastAsia="Arial" w:hAnsi="Arial"/>
          <w:sz w:val="18"/>
          <w:szCs w:val="18"/>
          <w:i w:val="1"/>
          <w:iCs w:val="1"/>
          <w:color w:val="auto"/>
        </w:rPr>
        <w:t>JPMCB</w:t>
      </w:r>
      <w:r>
        <w:rPr>
          <w:rFonts w:ascii="Arial" w:cs="Arial" w:eastAsia="Arial" w:hAnsi="Arial"/>
          <w:sz w:val="18"/>
          <w:szCs w:val="18"/>
          <w:color w:val="auto"/>
        </w:rPr>
        <w:t>”), Merrill Lynch, Pierce, Fenner &amp; Smith Incorporated (“</w:t>
      </w:r>
      <w:r>
        <w:rPr>
          <w:rFonts w:ascii="Arial" w:cs="Arial" w:eastAsia="Arial" w:hAnsi="Arial"/>
          <w:sz w:val="18"/>
          <w:szCs w:val="18"/>
          <w:i w:val="1"/>
          <w:iCs w:val="1"/>
          <w:color w:val="auto"/>
        </w:rPr>
        <w:t>ML</w:t>
      </w:r>
      <w:r>
        <w:rPr>
          <w:rFonts w:ascii="Arial" w:cs="Arial" w:eastAsia="Arial" w:hAnsi="Arial"/>
          <w:sz w:val="18"/>
          <w:szCs w:val="18"/>
          <w:color w:val="auto"/>
        </w:rPr>
        <w:t>”), Morgan Stanley Senior Funding, Inc. (“</w:t>
      </w:r>
      <w:r>
        <w:rPr>
          <w:rFonts w:ascii="Arial" w:cs="Arial" w:eastAsia="Arial" w:hAnsi="Arial"/>
          <w:sz w:val="18"/>
          <w:szCs w:val="18"/>
          <w:i w:val="1"/>
          <w:iCs w:val="1"/>
          <w:color w:val="auto"/>
        </w:rPr>
        <w:t>MS</w:t>
      </w:r>
      <w:r>
        <w:rPr>
          <w:rFonts w:ascii="Arial" w:cs="Arial" w:eastAsia="Arial" w:hAnsi="Arial"/>
          <w:sz w:val="18"/>
          <w:szCs w:val="18"/>
          <w:color w:val="auto"/>
        </w:rPr>
        <w:t>”), Sumitomo Mitsui Banking Corporation (“</w:t>
      </w:r>
      <w:r>
        <w:rPr>
          <w:rFonts w:ascii="Arial" w:cs="Arial" w:eastAsia="Arial" w:hAnsi="Arial"/>
          <w:sz w:val="18"/>
          <w:szCs w:val="18"/>
          <w:i w:val="1"/>
          <w:iCs w:val="1"/>
          <w:color w:val="auto"/>
        </w:rPr>
        <w:t>SMBC</w:t>
      </w:r>
      <w:r>
        <w:rPr>
          <w:rFonts w:ascii="Arial" w:cs="Arial" w:eastAsia="Arial" w:hAnsi="Arial"/>
          <w:sz w:val="18"/>
          <w:szCs w:val="18"/>
          <w:color w:val="auto"/>
        </w:rPr>
        <w:t>”), BNP Paribas Securities Corp. (“</w:t>
      </w:r>
      <w:r>
        <w:rPr>
          <w:rFonts w:ascii="Arial" w:cs="Arial" w:eastAsia="Arial" w:hAnsi="Arial"/>
          <w:sz w:val="18"/>
          <w:szCs w:val="18"/>
          <w:i w:val="1"/>
          <w:iCs w:val="1"/>
          <w:color w:val="auto"/>
        </w:rPr>
        <w:t>BNP</w:t>
      </w:r>
      <w:r>
        <w:rPr>
          <w:rFonts w:ascii="Arial" w:cs="Arial" w:eastAsia="Arial" w:hAnsi="Arial"/>
          <w:sz w:val="18"/>
          <w:szCs w:val="18"/>
          <w:color w:val="auto"/>
        </w:rPr>
        <w:t xml:space="preserve"> </w:t>
      </w:r>
      <w:r>
        <w:rPr>
          <w:rFonts w:ascii="Arial" w:cs="Arial" w:eastAsia="Arial" w:hAnsi="Arial"/>
          <w:sz w:val="18"/>
          <w:szCs w:val="18"/>
          <w:i w:val="1"/>
          <w:iCs w:val="1"/>
          <w:color w:val="auto"/>
        </w:rPr>
        <w:t>Securities</w:t>
      </w:r>
      <w:r>
        <w:rPr>
          <w:rFonts w:ascii="Arial" w:cs="Arial" w:eastAsia="Arial" w:hAnsi="Arial"/>
          <w:sz w:val="18"/>
          <w:szCs w:val="18"/>
          <w:color w:val="auto"/>
        </w:rPr>
        <w:t>”), Credit Agricole Corporate and Investment Bank (“</w:t>
      </w:r>
      <w:r>
        <w:rPr>
          <w:rFonts w:ascii="Arial" w:cs="Arial" w:eastAsia="Arial" w:hAnsi="Arial"/>
          <w:sz w:val="18"/>
          <w:szCs w:val="18"/>
          <w:i w:val="1"/>
          <w:iCs w:val="1"/>
          <w:color w:val="auto"/>
        </w:rPr>
        <w:t>CA-CIB</w:t>
      </w:r>
      <w:r>
        <w:rPr>
          <w:rFonts w:ascii="Arial" w:cs="Arial" w:eastAsia="Arial" w:hAnsi="Arial"/>
          <w:sz w:val="18"/>
          <w:szCs w:val="18"/>
          <w:color w:val="auto"/>
        </w:rPr>
        <w:t>”), HSBC, MUFG, Standard Chartered Bank (“</w:t>
      </w:r>
      <w:r>
        <w:rPr>
          <w:rFonts w:ascii="Arial" w:cs="Arial" w:eastAsia="Arial" w:hAnsi="Arial"/>
          <w:sz w:val="18"/>
          <w:szCs w:val="18"/>
          <w:i w:val="1"/>
          <w:iCs w:val="1"/>
          <w:color w:val="auto"/>
        </w:rPr>
        <w:t>SCB</w:t>
      </w:r>
      <w:r>
        <w:rPr>
          <w:rFonts w:ascii="Arial" w:cs="Arial" w:eastAsia="Arial" w:hAnsi="Arial"/>
          <w:sz w:val="18"/>
          <w:szCs w:val="18"/>
          <w:color w:val="auto"/>
        </w:rPr>
        <w:t>”), U.S. Bank National</w:t>
      </w:r>
      <w:r>
        <w:rPr>
          <w:rFonts w:ascii="Arial" w:cs="Arial" w:eastAsia="Arial" w:hAnsi="Arial"/>
          <w:sz w:val="18"/>
          <w:szCs w:val="18"/>
          <w:i w:val="1"/>
          <w:iCs w:val="1"/>
          <w:color w:val="auto"/>
        </w:rPr>
        <w:t xml:space="preserve"> </w:t>
      </w:r>
      <w:r>
        <w:rPr>
          <w:rFonts w:ascii="Arial" w:cs="Arial" w:eastAsia="Arial" w:hAnsi="Arial"/>
          <w:sz w:val="18"/>
          <w:szCs w:val="18"/>
          <w:color w:val="auto"/>
        </w:rPr>
        <w:t>Association (“</w:t>
      </w:r>
      <w:r>
        <w:rPr>
          <w:rFonts w:ascii="Arial" w:cs="Arial" w:eastAsia="Arial" w:hAnsi="Arial"/>
          <w:sz w:val="18"/>
          <w:szCs w:val="18"/>
          <w:i w:val="1"/>
          <w:iCs w:val="1"/>
          <w:color w:val="auto"/>
        </w:rPr>
        <w:t>US Bank</w:t>
      </w:r>
      <w:r>
        <w:rPr>
          <w:rFonts w:ascii="Arial" w:cs="Arial" w:eastAsia="Arial" w:hAnsi="Arial"/>
          <w:sz w:val="18"/>
          <w:szCs w:val="18"/>
          <w:color w:val="auto"/>
        </w:rPr>
        <w:t>”), and BoT shall be designated as, and perform the roles associated with, a joint lead arranger and bookrunner;</w:t>
      </w:r>
    </w:p>
    <w:p>
      <w:pPr>
        <w:spacing w:after="0" w:line="200" w:lineRule="exact"/>
        <w:rPr>
          <w:rFonts w:ascii="Arial" w:cs="Arial" w:eastAsia="Arial" w:hAnsi="Arial"/>
          <w:sz w:val="18"/>
          <w:szCs w:val="18"/>
          <w:color w:val="auto"/>
        </w:rPr>
      </w:pPr>
    </w:p>
    <w:p>
      <w:pPr>
        <w:spacing w:after="0" w:line="216" w:lineRule="exact"/>
        <w:rPr>
          <w:rFonts w:ascii="Arial" w:cs="Arial" w:eastAsia="Arial" w:hAnsi="Arial"/>
          <w:sz w:val="18"/>
          <w:szCs w:val="18"/>
          <w:color w:val="auto"/>
        </w:rPr>
      </w:pPr>
    </w:p>
    <w:p>
      <w:pPr>
        <w:ind w:firstLine="1305"/>
        <w:spacing w:after="0" w:line="262" w:lineRule="auto"/>
        <w:tabs>
          <w:tab w:leader="none" w:pos="1837" w:val="left"/>
        </w:tabs>
        <w:numPr>
          <w:ilvl w:val="0"/>
          <w:numId w:val="86"/>
        </w:numPr>
        <w:rPr>
          <w:rFonts w:ascii="Arial" w:cs="Arial" w:eastAsia="Arial" w:hAnsi="Arial"/>
          <w:sz w:val="18"/>
          <w:szCs w:val="18"/>
          <w:color w:val="auto"/>
        </w:rPr>
      </w:pPr>
      <w:r>
        <w:rPr>
          <w:rFonts w:ascii="Arial" w:cs="Arial" w:eastAsia="Arial" w:hAnsi="Arial"/>
          <w:sz w:val="18"/>
          <w:szCs w:val="18"/>
          <w:color w:val="auto"/>
        </w:rPr>
        <w:t>each of Citi, Barclays, CS Securities, DBSI, GSLP, ICBC, JPMCB, Bank of America, N.A., MS and SMBC shall be designated as, and perform the roles associated with, a syndication agent; and</w:t>
      </w:r>
    </w:p>
    <w:p>
      <w:pPr>
        <w:spacing w:after="0" w:line="200" w:lineRule="exact"/>
        <w:rPr>
          <w:rFonts w:ascii="Arial" w:cs="Arial" w:eastAsia="Arial" w:hAnsi="Arial"/>
          <w:sz w:val="18"/>
          <w:szCs w:val="18"/>
          <w:color w:val="auto"/>
        </w:rPr>
      </w:pPr>
    </w:p>
    <w:p>
      <w:pPr>
        <w:spacing w:after="0" w:line="212" w:lineRule="exact"/>
        <w:rPr>
          <w:rFonts w:ascii="Arial" w:cs="Arial" w:eastAsia="Arial" w:hAnsi="Arial"/>
          <w:sz w:val="18"/>
          <w:szCs w:val="18"/>
          <w:color w:val="auto"/>
        </w:rPr>
      </w:pPr>
    </w:p>
    <w:p>
      <w:pPr>
        <w:ind w:right="20" w:firstLine="1305"/>
        <w:spacing w:after="0" w:line="262" w:lineRule="auto"/>
        <w:tabs>
          <w:tab w:leader="none" w:pos="1739" w:val="left"/>
        </w:tabs>
        <w:numPr>
          <w:ilvl w:val="0"/>
          <w:numId w:val="86"/>
        </w:numPr>
        <w:rPr>
          <w:rFonts w:ascii="Arial" w:cs="Arial" w:eastAsia="Arial" w:hAnsi="Arial"/>
          <w:sz w:val="18"/>
          <w:szCs w:val="18"/>
          <w:color w:val="auto"/>
        </w:rPr>
      </w:pPr>
      <w:r>
        <w:rPr>
          <w:rFonts w:ascii="Arial" w:cs="Arial" w:eastAsia="Arial" w:hAnsi="Arial"/>
          <w:sz w:val="18"/>
          <w:szCs w:val="18"/>
          <w:color w:val="auto"/>
        </w:rPr>
        <w:t>each of BNP Securities, CA-CIB, HSBC, MUFG, SCB, US Bank, and BoT shall be designated as, and perform the roles associated with, a documentation agent.</w:t>
      </w:r>
    </w:p>
    <w:p>
      <w:pPr>
        <w:spacing w:after="0" w:line="196" w:lineRule="exact"/>
        <w:rPr>
          <w:sz w:val="20"/>
          <w:szCs w:val="20"/>
          <w:color w:val="auto"/>
        </w:rPr>
      </w:pPr>
    </w:p>
    <w:p>
      <w:pPr>
        <w:jc w:val="both"/>
        <w:ind w:firstLine="1297"/>
        <w:spacing w:after="0" w:line="256" w:lineRule="auto"/>
        <w:rPr>
          <w:sz w:val="20"/>
          <w:szCs w:val="20"/>
          <w:color w:val="auto"/>
        </w:rPr>
      </w:pPr>
      <w:r>
        <w:rPr>
          <w:rFonts w:ascii="Arial" w:cs="Arial" w:eastAsia="Arial" w:hAnsi="Arial"/>
          <w:sz w:val="18"/>
          <w:szCs w:val="18"/>
          <w:u w:val="single" w:color="auto"/>
          <w:color w:val="auto"/>
        </w:rPr>
        <w:t>SECTION FOUR - Conditions to Effectiveness</w:t>
      </w:r>
      <w:r>
        <w:rPr>
          <w:rFonts w:ascii="Arial" w:cs="Arial" w:eastAsia="Arial" w:hAnsi="Arial"/>
          <w:sz w:val="18"/>
          <w:szCs w:val="18"/>
          <w:color w:val="auto"/>
        </w:rPr>
        <w:t>. The provisions of Sections One and Two of this Seventh Amendment shall become effective on the date (the “</w:t>
      </w:r>
      <w:r>
        <w:rPr>
          <w:rFonts w:ascii="Arial" w:cs="Arial" w:eastAsia="Arial" w:hAnsi="Arial"/>
          <w:sz w:val="18"/>
          <w:szCs w:val="18"/>
          <w:i w:val="1"/>
          <w:iCs w:val="1"/>
          <w:color w:val="auto"/>
        </w:rPr>
        <w:t>Seventh Amendment Effective Date</w:t>
      </w:r>
      <w:r>
        <w:rPr>
          <w:rFonts w:ascii="Arial" w:cs="Arial" w:eastAsia="Arial" w:hAnsi="Arial"/>
          <w:sz w:val="18"/>
          <w:szCs w:val="18"/>
          <w:color w:val="auto"/>
        </w:rPr>
        <w:t>”) when each of the following conditions specified below shall have been satisfied:</w:t>
      </w:r>
    </w:p>
    <w:p>
      <w:pPr>
        <w:spacing w:after="0" w:line="202" w:lineRule="exact"/>
        <w:rPr>
          <w:sz w:val="20"/>
          <w:szCs w:val="20"/>
          <w:color w:val="auto"/>
        </w:rPr>
      </w:pPr>
    </w:p>
    <w:p>
      <w:pPr>
        <w:jc w:val="both"/>
        <w:ind w:firstLine="1305"/>
        <w:spacing w:after="0" w:line="278" w:lineRule="auto"/>
        <w:tabs>
          <w:tab w:leader="none" w:pos="2165" w:val="left"/>
        </w:tabs>
        <w:numPr>
          <w:ilvl w:val="0"/>
          <w:numId w:val="87"/>
        </w:numPr>
        <w:rPr>
          <w:rFonts w:ascii="Arial" w:cs="Arial" w:eastAsia="Arial" w:hAnsi="Arial"/>
          <w:sz w:val="17"/>
          <w:szCs w:val="17"/>
          <w:color w:val="auto"/>
        </w:rPr>
      </w:pPr>
      <w:r>
        <w:rPr>
          <w:rFonts w:ascii="Arial" w:cs="Arial" w:eastAsia="Arial" w:hAnsi="Arial"/>
          <w:sz w:val="17"/>
          <w:szCs w:val="17"/>
          <w:color w:val="auto"/>
        </w:rPr>
        <w:t>the Borrower, the Guarantor, the Administrative Agent, each Issuing Lender, each Consenting Revolving Lender and the Sixth Amendment Non-Extending Revolving Lender shall have signed a counterpart hereof (whether the same or different counterparts) and in each case shall have delivered the same to Milbank LLP, 55 Hudson Yards, New York, NY 10001, attention: Joshua Forman;</w:t>
      </w:r>
    </w:p>
    <w:p>
      <w:pPr>
        <w:spacing w:after="0" w:line="185" w:lineRule="exact"/>
        <w:rPr>
          <w:rFonts w:ascii="Arial" w:cs="Arial" w:eastAsia="Arial" w:hAnsi="Arial"/>
          <w:sz w:val="17"/>
          <w:szCs w:val="17"/>
          <w:color w:val="auto"/>
        </w:rPr>
      </w:pPr>
    </w:p>
    <w:p>
      <w:pPr>
        <w:jc w:val="both"/>
        <w:ind w:firstLine="1305"/>
        <w:spacing w:after="0" w:line="252" w:lineRule="auto"/>
        <w:tabs>
          <w:tab w:leader="none" w:pos="2165" w:val="left"/>
        </w:tabs>
        <w:numPr>
          <w:ilvl w:val="0"/>
          <w:numId w:val="87"/>
        </w:numPr>
        <w:rPr>
          <w:rFonts w:ascii="Arial" w:cs="Arial" w:eastAsia="Arial" w:hAnsi="Arial"/>
          <w:sz w:val="18"/>
          <w:szCs w:val="18"/>
          <w:color w:val="auto"/>
        </w:rPr>
      </w:pPr>
      <w:r>
        <w:rPr>
          <w:rFonts w:ascii="Arial" w:cs="Arial" w:eastAsia="Arial" w:hAnsi="Arial"/>
          <w:sz w:val="18"/>
          <w:szCs w:val="18"/>
          <w:color w:val="auto"/>
        </w:rPr>
        <w:t>all reasonable invoiced out-of-pocket expenses incurred by the Consenting Revolving Lenders and the Administrative Agent pursuant to Section 10.04 of the Credit Agreement (including the reasonable and documented fees, charges and disbursements of counsel) and all accrued and unpaid fees (other than the Commitment Fee, which shall be payable in accordance with the Credit Agreement), owing and payable (including any fees agreed to in connection with this Seventh Amendment) shall have been paid to the extent invoiced at least two (2) Business Days prior to the Seventh Amendment Effective Date (or such shorter period as may be agreed by the Borrower);</w:t>
      </w:r>
    </w:p>
    <w:p>
      <w:pPr>
        <w:spacing w:after="0" w:line="208" w:lineRule="exact"/>
        <w:rPr>
          <w:rFonts w:ascii="Arial" w:cs="Arial" w:eastAsia="Arial" w:hAnsi="Arial"/>
          <w:sz w:val="18"/>
          <w:szCs w:val="18"/>
          <w:color w:val="auto"/>
        </w:rPr>
      </w:pPr>
    </w:p>
    <w:p>
      <w:pPr>
        <w:jc w:val="both"/>
        <w:ind w:firstLine="1305"/>
        <w:spacing w:after="0" w:line="256" w:lineRule="auto"/>
        <w:tabs>
          <w:tab w:leader="none" w:pos="2155" w:val="left"/>
        </w:tabs>
        <w:numPr>
          <w:ilvl w:val="0"/>
          <w:numId w:val="87"/>
        </w:numPr>
        <w:rPr>
          <w:rFonts w:ascii="Arial" w:cs="Arial" w:eastAsia="Arial" w:hAnsi="Arial"/>
          <w:sz w:val="18"/>
          <w:szCs w:val="18"/>
          <w:color w:val="auto"/>
        </w:rPr>
      </w:pPr>
      <w:r>
        <w:rPr>
          <w:rFonts w:ascii="Arial" w:cs="Arial" w:eastAsia="Arial" w:hAnsi="Arial"/>
          <w:sz w:val="18"/>
          <w:szCs w:val="18"/>
          <w:color w:val="auto"/>
        </w:rPr>
        <w:t>the Borrower shall have paid (or caused to be paid), for the account of each Consenting Revolving Lender, a one-time, non-refundable fee equal to the amount set forth in that certain Consenting Revolving Lenders’ fee letter, among the Consenting Revolving Lenders and the Borrower, dated as of the Seventh Amendment Effective Date;</w:t>
      </w:r>
    </w:p>
    <w:p>
      <w:pPr>
        <w:spacing w:after="0" w:line="200" w:lineRule="exact"/>
        <w:rPr>
          <w:sz w:val="20"/>
          <w:szCs w:val="20"/>
          <w:color w:val="auto"/>
        </w:rPr>
      </w:pPr>
    </w:p>
    <w:p>
      <w:pPr>
        <w:spacing w:after="0" w:line="21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w:t>
      </w:r>
    </w:p>
    <w:p>
      <w:pPr>
        <w:sectPr>
          <w:pgSz w:w="11900" w:h="16838" w:orient="portrait"/>
          <w:cols w:equalWidth="0" w:num="1">
            <w:col w:w="11420"/>
          </w:cols>
          <w:pgMar w:left="240" w:top="571" w:right="239" w:bottom="1440" w:gutter="0" w:footer="0" w:header="0"/>
        </w:sectPr>
      </w:pPr>
    </w:p>
    <w:bookmarkStart w:id="194" w:name="page195"/>
    <w:bookmarkEnd w:id="194"/>
    <w:p>
      <w:pPr>
        <w:jc w:val="both"/>
        <w:ind w:firstLine="1305"/>
        <w:spacing w:after="0" w:line="256" w:lineRule="auto"/>
        <w:tabs>
          <w:tab w:leader="none" w:pos="2165" w:val="left"/>
        </w:tabs>
        <w:numPr>
          <w:ilvl w:val="0"/>
          <w:numId w:val="88"/>
        </w:numPr>
        <w:rPr>
          <w:rFonts w:ascii="Arial" w:cs="Arial" w:eastAsia="Arial" w:hAnsi="Arial"/>
          <w:sz w:val="18"/>
          <w:szCs w:val="18"/>
          <w:color w:val="auto"/>
        </w:rPr>
      </w:pPr>
      <w:r>
        <w:rPr>
          <w:rFonts w:ascii="Arial" w:cs="Arial" w:eastAsia="Arial" w:hAnsi="Arial"/>
          <w:sz w:val="18"/>
          <w:szCs w:val="18"/>
          <w:color w:val="auto"/>
        </w:rPr>
        <w:t>the Administrative Agent shall have received a customary written opinion of Latham &amp; Watkins LLP, special counsel for Parent, the Borrower and the Guarantor addressed to the Administrative Agent and the Revolving Lenders party hereto, and dated the Seventh Amendment Effective Date;</w:t>
      </w:r>
    </w:p>
    <w:p>
      <w:pPr>
        <w:spacing w:after="0" w:line="201" w:lineRule="exact"/>
        <w:rPr>
          <w:rFonts w:ascii="Arial" w:cs="Arial" w:eastAsia="Arial" w:hAnsi="Arial"/>
          <w:sz w:val="18"/>
          <w:szCs w:val="18"/>
          <w:color w:val="auto"/>
        </w:rPr>
      </w:pPr>
    </w:p>
    <w:p>
      <w:pPr>
        <w:jc w:val="both"/>
        <w:ind w:firstLine="1305"/>
        <w:spacing w:after="0" w:line="256" w:lineRule="auto"/>
        <w:tabs>
          <w:tab w:leader="none" w:pos="2165" w:val="left"/>
        </w:tabs>
        <w:numPr>
          <w:ilvl w:val="0"/>
          <w:numId w:val="88"/>
        </w:numPr>
        <w:rPr>
          <w:rFonts w:ascii="Arial" w:cs="Arial" w:eastAsia="Arial" w:hAnsi="Arial"/>
          <w:sz w:val="18"/>
          <w:szCs w:val="18"/>
          <w:color w:val="auto"/>
        </w:rPr>
      </w:pPr>
      <w:r>
        <w:rPr>
          <w:rFonts w:ascii="Arial" w:cs="Arial" w:eastAsia="Arial" w:hAnsi="Arial"/>
          <w:sz w:val="18"/>
          <w:szCs w:val="18"/>
          <w:color w:val="auto"/>
        </w:rPr>
        <w:t>the Borrower shall have paid to the Administrative Agent (for the account of the Consenting Revolving Lenders) all fees and interest accrued pursuant to Sections 2.07, 2.15, 2.16 and 2.21 of the Credit Agreement in respect of the Revolving Facility to, and including, the Seventh Amendment Effective Date, whether or not then due and payable under the terms of the Credit Agreement;</w:t>
      </w:r>
    </w:p>
    <w:p>
      <w:pPr>
        <w:spacing w:after="0" w:line="201" w:lineRule="exact"/>
        <w:rPr>
          <w:rFonts w:ascii="Arial" w:cs="Arial" w:eastAsia="Arial" w:hAnsi="Arial"/>
          <w:sz w:val="18"/>
          <w:szCs w:val="18"/>
          <w:color w:val="auto"/>
        </w:rPr>
      </w:pPr>
    </w:p>
    <w:p>
      <w:pPr>
        <w:jc w:val="both"/>
        <w:ind w:firstLine="1305"/>
        <w:spacing w:after="0" w:line="256" w:lineRule="auto"/>
        <w:tabs>
          <w:tab w:leader="none" w:pos="2115" w:val="left"/>
        </w:tabs>
        <w:numPr>
          <w:ilvl w:val="0"/>
          <w:numId w:val="88"/>
        </w:numPr>
        <w:rPr>
          <w:rFonts w:ascii="Arial" w:cs="Arial" w:eastAsia="Arial" w:hAnsi="Arial"/>
          <w:sz w:val="18"/>
          <w:szCs w:val="18"/>
          <w:color w:val="auto"/>
        </w:rPr>
      </w:pPr>
      <w:r>
        <w:rPr>
          <w:rFonts w:ascii="Arial" w:cs="Arial" w:eastAsia="Arial" w:hAnsi="Arial"/>
          <w:sz w:val="18"/>
          <w:szCs w:val="18"/>
          <w:color w:val="auto"/>
        </w:rPr>
        <w:t>the condition to the Revolving Extension effected pursuant to this Seventh Amendment set forth in Section 2.28(b) and 2.28(c) of the Credit Agreement shall have been satisfied and the conditions to the establishment of the New Revolving Commitments pursuant to this Seventh Amendment set forth in Section 2.27(b) of the Credit Agreement shall have been satisfied;</w:t>
      </w:r>
    </w:p>
    <w:p>
      <w:pPr>
        <w:spacing w:after="0" w:line="201" w:lineRule="exact"/>
        <w:rPr>
          <w:rFonts w:ascii="Arial" w:cs="Arial" w:eastAsia="Arial" w:hAnsi="Arial"/>
          <w:sz w:val="18"/>
          <w:szCs w:val="18"/>
          <w:color w:val="auto"/>
        </w:rPr>
      </w:pPr>
    </w:p>
    <w:p>
      <w:pPr>
        <w:jc w:val="both"/>
        <w:ind w:firstLine="1305"/>
        <w:spacing w:after="0" w:line="251" w:lineRule="auto"/>
        <w:tabs>
          <w:tab w:leader="none" w:pos="2165" w:val="left"/>
        </w:tabs>
        <w:numPr>
          <w:ilvl w:val="0"/>
          <w:numId w:val="88"/>
        </w:numPr>
        <w:rPr>
          <w:rFonts w:ascii="Arial" w:cs="Arial" w:eastAsia="Arial" w:hAnsi="Arial"/>
          <w:sz w:val="18"/>
          <w:szCs w:val="18"/>
          <w:color w:val="auto"/>
        </w:rPr>
      </w:pPr>
      <w:r>
        <w:rPr>
          <w:rFonts w:ascii="Arial" w:cs="Arial" w:eastAsia="Arial" w:hAnsi="Arial"/>
          <w:sz w:val="18"/>
          <w:szCs w:val="18"/>
          <w:color w:val="auto"/>
        </w:rPr>
        <w:t xml:space="preserve">the Administrative Agent shall have received a certificate of the Secretary or Assistant Secretary (or similar Responsible Officer), dated the Seventh Amendment Effective Date (i) certifying as to the incumbency and specimen signature of each Responsible Officer of the Borrower and the Guarantor executing this Seventh Amendment or any other document delivered by it in connection herewith (such certificate to contain a certification of another Responsible Officer of that entity as to the incumbency and signature of the Responsible Officer signing the certificate referred to in this </w:t>
      </w:r>
      <w:r>
        <w:rPr>
          <w:rFonts w:ascii="Arial" w:cs="Arial" w:eastAsia="Arial" w:hAnsi="Arial"/>
          <w:sz w:val="18"/>
          <w:szCs w:val="18"/>
          <w:u w:val="single" w:color="auto"/>
          <w:color w:val="auto"/>
        </w:rPr>
        <w:t>clause (g)</w:t>
      </w:r>
      <w:r>
        <w:rPr>
          <w:rFonts w:ascii="Arial" w:cs="Arial" w:eastAsia="Arial" w:hAnsi="Arial"/>
          <w:sz w:val="18"/>
          <w:szCs w:val="18"/>
          <w:color w:val="auto"/>
        </w:rPr>
        <w:t>), (ii) attaching each constitutional document of each Loan Party or certifying that each constitutional document of each Loan Party previously delivered to the Administrative Agent has not been amended, supplemented, rescinded or otherwise modified and remains in full force and effect as of the date hereof, (iii) attaching resolutions of each Loan Party approving the transactions contemplated by the Seventh Amendment and (iv) attaching a certificate of good standing for the Borrower and the Guarantor of the state of such entity’s incorporation or formation, dated as of a recent date, as to the good standing of that entity (to the extent available in the applicable jurisdiction);</w:t>
      </w:r>
    </w:p>
    <w:p>
      <w:pPr>
        <w:spacing w:after="0" w:line="212" w:lineRule="exact"/>
        <w:rPr>
          <w:rFonts w:ascii="Arial" w:cs="Arial" w:eastAsia="Arial" w:hAnsi="Arial"/>
          <w:sz w:val="18"/>
          <w:szCs w:val="18"/>
          <w:color w:val="auto"/>
        </w:rPr>
      </w:pPr>
    </w:p>
    <w:p>
      <w:pPr>
        <w:jc w:val="both"/>
        <w:ind w:firstLine="1305"/>
        <w:spacing w:after="0" w:line="253" w:lineRule="auto"/>
        <w:tabs>
          <w:tab w:leader="none" w:pos="2165" w:val="left"/>
        </w:tabs>
        <w:numPr>
          <w:ilvl w:val="0"/>
          <w:numId w:val="88"/>
        </w:numPr>
        <w:rPr>
          <w:rFonts w:ascii="Arial" w:cs="Arial" w:eastAsia="Arial" w:hAnsi="Arial"/>
          <w:sz w:val="18"/>
          <w:szCs w:val="18"/>
          <w:color w:val="auto"/>
        </w:rPr>
      </w:pPr>
      <w:r>
        <w:rPr>
          <w:rFonts w:ascii="Arial" w:cs="Arial" w:eastAsia="Arial" w:hAnsi="Arial"/>
          <w:sz w:val="18"/>
          <w:szCs w:val="18"/>
          <w:color w:val="auto"/>
        </w:rPr>
        <w:t xml:space="preserve">the Administrative Agent shall have received evidence that the Sixth Amendment to that certain Amended and Restated Credit and Guaranty Agreement dated the date hereof, among, </w:t>
      </w:r>
      <w:r>
        <w:rPr>
          <w:rFonts w:ascii="Arial" w:cs="Arial" w:eastAsia="Arial" w:hAnsi="Arial"/>
          <w:sz w:val="18"/>
          <w:szCs w:val="18"/>
          <w:i w:val="1"/>
          <w:iCs w:val="1"/>
          <w:color w:val="auto"/>
        </w:rPr>
        <w:t>inter alios</w:t>
      </w:r>
      <w:r>
        <w:rPr>
          <w:rFonts w:ascii="Arial" w:cs="Arial" w:eastAsia="Arial" w:hAnsi="Arial"/>
          <w:sz w:val="18"/>
          <w:szCs w:val="18"/>
          <w:color w:val="auto"/>
        </w:rPr>
        <w:t xml:space="preserve">, the Borrower and Deutsche Bank AG New York Branch as administrative agent and the Fifth Amendment to that certain Credit and Guaranty Agreement, dated as of the date hereof, among, </w:t>
      </w:r>
      <w:r>
        <w:rPr>
          <w:rFonts w:ascii="Arial" w:cs="Arial" w:eastAsia="Arial" w:hAnsi="Arial"/>
          <w:sz w:val="18"/>
          <w:szCs w:val="18"/>
          <w:i w:val="1"/>
          <w:iCs w:val="1"/>
          <w:color w:val="auto"/>
        </w:rPr>
        <w:t>inter alios</w:t>
      </w:r>
      <w:r>
        <w:rPr>
          <w:rFonts w:ascii="Arial" w:cs="Arial" w:eastAsia="Arial" w:hAnsi="Arial"/>
          <w:sz w:val="18"/>
          <w:szCs w:val="18"/>
          <w:color w:val="auto"/>
        </w:rPr>
        <w:t>, the Borrower and Barclays Bank PLC as administrative agent have, or will contemporaneously with the Seventh Amendment Effective Date, become effective; and</w:t>
      </w:r>
    </w:p>
    <w:p>
      <w:pPr>
        <w:spacing w:after="0" w:line="205" w:lineRule="exact"/>
        <w:rPr>
          <w:rFonts w:ascii="Arial" w:cs="Arial" w:eastAsia="Arial" w:hAnsi="Arial"/>
          <w:sz w:val="18"/>
          <w:szCs w:val="18"/>
          <w:color w:val="auto"/>
        </w:rPr>
      </w:pPr>
    </w:p>
    <w:p>
      <w:pPr>
        <w:jc w:val="both"/>
        <w:ind w:firstLine="1305"/>
        <w:spacing w:after="0" w:line="251" w:lineRule="auto"/>
        <w:tabs>
          <w:tab w:leader="none" w:pos="2105" w:val="left"/>
        </w:tabs>
        <w:numPr>
          <w:ilvl w:val="0"/>
          <w:numId w:val="88"/>
        </w:numPr>
        <w:rPr>
          <w:rFonts w:ascii="Arial" w:cs="Arial" w:eastAsia="Arial" w:hAnsi="Arial"/>
          <w:sz w:val="18"/>
          <w:szCs w:val="18"/>
          <w:color w:val="auto"/>
        </w:rPr>
      </w:pPr>
      <w:r>
        <w:rPr>
          <w:rFonts w:ascii="Arial" w:cs="Arial" w:eastAsia="Arial" w:hAnsi="Arial"/>
          <w:sz w:val="18"/>
          <w:szCs w:val="18"/>
          <w:color w:val="auto"/>
        </w:rPr>
        <w:t>the Administrative Agent shall have received an Officer’s Certificate certifying (A) the truth in all material respects of the representations and warranties set forth in the Credit Agreement and the other Loan Documents (other than representations and warranties set forth in Sections 3.05(b), 3.06, 3.09(a) and 3.19 of the Credit Agreement) as though made on the date hereof, or, in the case of any such representation and warranty that relates to a specified date, as though made as of such date; provided, that any representation or warranty that is qualified by materiality (it being understood that any representation or warranty that excludes circumstances that would not result in a “Material Adverse Change” or “Material Adverse Effect” shall not be considered (for purposes of this proviso) to be qualified by materiality) shall be true and correct in all respects as of the applicable date; and provided, further, that for purposes of this clause (i), the representations and warranties contained in (i) Section 3.04(a) of the Credit Agreement shall be deemed to refer to Parent’s Annual Report on Form 10-K for 2018 filed with the SEC (as amended) and all Quarterly Reports on Form 10-Q or Current Reports on Form 8-K that have been filed since December 31, 2018 by Parent with the SEC (as amended) and (ii) Section 3.05(a) of the Credit Agreement shall be deemed to refer to the audited consolidated financial statements of Parent and its Subsidiaries for the fiscal year ended December 31, 2018, included in Parent’s Annual Report on Form 10-K for 2018 filed with the SEC (as amended) and the unaudited consolidated financial statements of Parent and its Subsidiaries for the fiscal quarters ended March 31, 2019, June 30, 2019 and September 30, 2019, and (B) as to the absence of any event occurring and continuing, or resulting from this Seventh Amendment on, the Seventh Amendment Effective Date, that constitutes a Default or Event of Default.</w:t>
      </w:r>
    </w:p>
    <w:p>
      <w:pPr>
        <w:spacing w:after="0" w:line="200" w:lineRule="exact"/>
        <w:rPr>
          <w:sz w:val="20"/>
          <w:szCs w:val="20"/>
          <w:color w:val="auto"/>
        </w:rPr>
      </w:pPr>
    </w:p>
    <w:p>
      <w:pPr>
        <w:spacing w:after="0" w:line="22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w:t>
      </w:r>
    </w:p>
    <w:p>
      <w:pPr>
        <w:sectPr>
          <w:pgSz w:w="11900" w:h="16838" w:orient="portrait"/>
          <w:cols w:equalWidth="0" w:num="1">
            <w:col w:w="11420"/>
          </w:cols>
          <w:pgMar w:left="240" w:top="355" w:right="239" w:bottom="1440" w:gutter="0" w:footer="0" w:header="0"/>
        </w:sectPr>
      </w:pPr>
    </w:p>
    <w:bookmarkStart w:id="195" w:name="page196"/>
    <w:bookmarkEnd w:id="195"/>
    <w:p>
      <w:pPr>
        <w:jc w:val="both"/>
        <w:ind w:firstLine="1297"/>
        <w:spacing w:after="0" w:line="251" w:lineRule="auto"/>
        <w:rPr>
          <w:sz w:val="20"/>
          <w:szCs w:val="20"/>
          <w:color w:val="auto"/>
        </w:rPr>
      </w:pPr>
      <w:r>
        <w:rPr>
          <w:rFonts w:ascii="Arial" w:cs="Arial" w:eastAsia="Arial" w:hAnsi="Arial"/>
          <w:sz w:val="18"/>
          <w:szCs w:val="18"/>
          <w:u w:val="single" w:color="auto"/>
          <w:color w:val="auto"/>
        </w:rPr>
        <w:t>SECTION 5 - No Default; Representations and Warranties</w:t>
      </w:r>
      <w:r>
        <w:rPr>
          <w:rFonts w:ascii="Arial" w:cs="Arial" w:eastAsia="Arial" w:hAnsi="Arial"/>
          <w:sz w:val="18"/>
          <w:szCs w:val="18"/>
          <w:color w:val="auto"/>
        </w:rPr>
        <w:t xml:space="preserve">. In order to induce the Consenting Revolving Lenders, the Sixth Amendment Non-Extending Lender and the Administrative Agent to enter into this Seventh Amendment, the Borrower represents and warrants to each of the Consenting Revolving Lenders, the Sixth Amendment Non-Extending Lender and the Administrative Agent that, on and as of the date hereof after giving effect to this Seventh Amendment, (i) no Default or Event of Default has occurred and is continuing or would result from giving effect to this Seventh Amendment and (ii) the representations and warranties contained in the Credit Agreement and the other Loan Documents (other than representations and warranties set forth in Sections 3.05(b), 3.06, 3.09(a) and 3.19 of the Credit Agreement) are true and correct in all material respects on and as of the date hereof with the same effect as if made on and as of the date hereof or, in the case of any representations and warranties that expressly relate to an earlier date, as though made as of such date;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that any representation or warranty that is qualified by materiality (it being understood that any representation or warranty that excludes circumstances that would not result in a “Material Adverse Change” or “Material Adverse Effect” shall not be considered (for purposes of this proviso) to be qualified by materiality) shall be true and correct in all respects as of the applicable date; and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w:t>
      </w:r>
      <w:r>
        <w:rPr>
          <w:rFonts w:ascii="Arial" w:cs="Arial" w:eastAsia="Arial" w:hAnsi="Arial"/>
          <w:sz w:val="18"/>
          <w:szCs w:val="18"/>
          <w:u w:val="single" w:color="auto"/>
          <w:color w:val="auto"/>
        </w:rPr>
        <w:t>further</w:t>
      </w:r>
      <w:r>
        <w:rPr>
          <w:rFonts w:ascii="Arial" w:cs="Arial" w:eastAsia="Arial" w:hAnsi="Arial"/>
          <w:sz w:val="18"/>
          <w:szCs w:val="18"/>
          <w:color w:val="auto"/>
        </w:rPr>
        <w:t>, that for purposes of this Section Five, the representations and warranties contained in (i) Section 3.04(a) of the Credit Agreement shall be deemed to refer to Parent’s Annual Report on Form 10-K for 2018 filed with the SEC (as amended) and all Quarterly Reports on Form 10-Q or Current Reports on Form 8-K that have been filed since December 31, 2018 by Parent with the SEC (as amended) and (ii) Section 3.05(a) of the Credit Agreement shall be deemed to refer to the audited consolidated financial statements of Parent and its Subsidiaries for the fiscal year ended December 31, 2018, included in Parent’s Annual Report on Form 10-K for 2018 filed with the SEC (as amended) and the unaudited consolidated financial statements of Parent and its Subsidiaries for the fiscal quarters ended March 31, 2019, June 30, 2019 and September 30, 2019.</w:t>
      </w:r>
    </w:p>
    <w:p>
      <w:pPr>
        <w:spacing w:after="0" w:line="209" w:lineRule="exact"/>
        <w:rPr>
          <w:sz w:val="20"/>
          <w:szCs w:val="20"/>
          <w:color w:val="auto"/>
        </w:rPr>
      </w:pPr>
    </w:p>
    <w:p>
      <w:pPr>
        <w:jc w:val="both"/>
        <w:ind w:firstLine="1297"/>
        <w:spacing w:after="0" w:line="252" w:lineRule="auto"/>
        <w:rPr>
          <w:sz w:val="20"/>
          <w:szCs w:val="20"/>
          <w:color w:val="auto"/>
        </w:rPr>
      </w:pPr>
      <w:r>
        <w:rPr>
          <w:rFonts w:ascii="Arial" w:cs="Arial" w:eastAsia="Arial" w:hAnsi="Arial"/>
          <w:sz w:val="18"/>
          <w:szCs w:val="18"/>
          <w:u w:val="single" w:color="auto"/>
          <w:color w:val="auto"/>
        </w:rPr>
        <w:t>SECTION SIX - Confirmation</w:t>
      </w:r>
      <w:r>
        <w:rPr>
          <w:rFonts w:ascii="Arial" w:cs="Arial" w:eastAsia="Arial" w:hAnsi="Arial"/>
          <w:sz w:val="18"/>
          <w:szCs w:val="18"/>
          <w:color w:val="auto"/>
        </w:rPr>
        <w:t>. The Borrower and the Guarantor hereby confirm that all of their obligations under the Credit Agreement (as amended hereby) are and shall continue to be, in full force and effect. The parties hereto (i) confirm and agree that the term “Obligations” and “Guaranteed Obligations” as used in the Credit Agreement and the other Loan Documents, shall include, without limitation, all obligations of the Borrower with respect to the Revolving Commitments (as increased and extended pursuant to this Seventh Amendment) and all obligations of the Guarantor with respect of the guarantee of such obligations, respectively, and (ii) reaffirm the grant of Liens on the Collateral to secure the Obligations (as extended and increased pursuant to this Seventh Amendment) pursuant to the Collateral Documents.</w:t>
      </w:r>
    </w:p>
    <w:p>
      <w:pPr>
        <w:spacing w:after="0" w:line="209" w:lineRule="exact"/>
        <w:rPr>
          <w:sz w:val="20"/>
          <w:szCs w:val="20"/>
          <w:color w:val="auto"/>
        </w:rPr>
      </w:pPr>
    </w:p>
    <w:p>
      <w:pPr>
        <w:jc w:val="both"/>
        <w:ind w:firstLine="1297"/>
        <w:spacing w:after="0" w:line="252" w:lineRule="auto"/>
        <w:rPr>
          <w:sz w:val="20"/>
          <w:szCs w:val="20"/>
          <w:color w:val="auto"/>
        </w:rPr>
      </w:pPr>
      <w:r>
        <w:rPr>
          <w:rFonts w:ascii="Arial" w:cs="Arial" w:eastAsia="Arial" w:hAnsi="Arial"/>
          <w:sz w:val="18"/>
          <w:szCs w:val="18"/>
          <w:u w:val="single" w:color="auto"/>
          <w:color w:val="auto"/>
        </w:rPr>
        <w:t>SECTION SEVEN - Reference to and Effect on the Credit Agreement</w:t>
      </w:r>
      <w:r>
        <w:rPr>
          <w:rFonts w:ascii="Arial" w:cs="Arial" w:eastAsia="Arial" w:hAnsi="Arial"/>
          <w:sz w:val="18"/>
          <w:szCs w:val="18"/>
          <w:color w:val="auto"/>
        </w:rPr>
        <w:t>. On and after the Seventh Amendment Effective Date, each reference in the Credit Agreement to “this Agreement,” “hereunder,” “hereof” or words of like import referring to the Credit Agreement, shall mean and be a reference to the Credit Agreement as amended by this Seventh Amendment. The Credit Agreement and each of the other Loan Documents, as specifically amended by this Seventh Amendment, are and shall continue to be in full force and effect and are hereby in all respects ratified and confirmed. This Seventh Amendment shall be deemed to be a “Loan Document” for all purposes of the Credit Agreement (as amended hereby) and the other Loan Documents. The execution, delivery and effectiveness of this Seventh Amendment shall not, except as expressly provided herein, operate as an amendment or waiver of any right, power or remedy of any Lender or any Agent under any of the Loan Documents, nor constitute an amendment or waiver of any provision of any of the Loan Documents.</w:t>
      </w:r>
    </w:p>
    <w:p>
      <w:pPr>
        <w:spacing w:after="0" w:line="206" w:lineRule="exact"/>
        <w:rPr>
          <w:sz w:val="20"/>
          <w:szCs w:val="20"/>
          <w:color w:val="auto"/>
        </w:rPr>
      </w:pPr>
    </w:p>
    <w:p>
      <w:pPr>
        <w:jc w:val="both"/>
        <w:ind w:firstLine="1297"/>
        <w:spacing w:after="0" w:line="253" w:lineRule="auto"/>
        <w:rPr>
          <w:sz w:val="20"/>
          <w:szCs w:val="20"/>
          <w:color w:val="auto"/>
        </w:rPr>
      </w:pPr>
      <w:r>
        <w:rPr>
          <w:rFonts w:ascii="Arial" w:cs="Arial" w:eastAsia="Arial" w:hAnsi="Arial"/>
          <w:sz w:val="18"/>
          <w:szCs w:val="18"/>
          <w:u w:val="single" w:color="auto"/>
          <w:color w:val="auto"/>
        </w:rPr>
        <w:t>SECTION EIGHT - Execution in Counterparts</w:t>
      </w:r>
      <w:r>
        <w:rPr>
          <w:rFonts w:ascii="Arial" w:cs="Arial" w:eastAsia="Arial" w:hAnsi="Arial"/>
          <w:sz w:val="18"/>
          <w:szCs w:val="18"/>
          <w:color w:val="auto"/>
        </w:rPr>
        <w:t>. This Seventh Amendment may be executed in counterparts (and by different parties hereto on different counterparts), each of which shall constitute an original, but all of which when taken together shall constitute a single contract. This Seventh Amendment shall be binding upon and inure to the benefit of the parties hereto and their respective successors and assigns. Delivery of an executed counterpart of a signature page of this Seventh Amendment by facsimile or electronic .pdf copy shall be effective as delivery of a manually executed counterpart of this Seventh Amendment.</w:t>
      </w:r>
    </w:p>
    <w:p>
      <w:pPr>
        <w:spacing w:after="0" w:line="200" w:lineRule="exact"/>
        <w:rPr>
          <w:sz w:val="20"/>
          <w:szCs w:val="20"/>
          <w:color w:val="auto"/>
        </w:rPr>
      </w:pPr>
    </w:p>
    <w:p>
      <w:pPr>
        <w:spacing w:after="0" w:line="22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w:t>
      </w:r>
    </w:p>
    <w:p>
      <w:pPr>
        <w:sectPr>
          <w:pgSz w:w="11900" w:h="16838" w:orient="portrait"/>
          <w:cols w:equalWidth="0" w:num="1">
            <w:col w:w="11420"/>
          </w:cols>
          <w:pgMar w:left="240" w:top="355" w:right="239" w:bottom="1440" w:gutter="0" w:footer="0" w:header="0"/>
        </w:sectPr>
      </w:pPr>
    </w:p>
    <w:bookmarkStart w:id="196" w:name="page197"/>
    <w:bookmarkEnd w:id="196"/>
    <w:p>
      <w:pPr>
        <w:jc w:val="both"/>
        <w:ind w:firstLine="1297"/>
        <w:spacing w:after="0" w:line="256" w:lineRule="auto"/>
        <w:rPr>
          <w:sz w:val="20"/>
          <w:szCs w:val="20"/>
          <w:color w:val="auto"/>
        </w:rPr>
      </w:pPr>
      <w:r>
        <w:rPr>
          <w:rFonts w:ascii="Arial" w:cs="Arial" w:eastAsia="Arial" w:hAnsi="Arial"/>
          <w:sz w:val="18"/>
          <w:szCs w:val="18"/>
          <w:u w:val="single" w:color="auto"/>
          <w:color w:val="auto"/>
        </w:rPr>
        <w:t>SECTION NINE - Governing Law</w:t>
      </w:r>
      <w:r>
        <w:rPr>
          <w:rFonts w:ascii="Arial" w:cs="Arial" w:eastAsia="Arial" w:hAnsi="Arial"/>
          <w:sz w:val="18"/>
          <w:szCs w:val="18"/>
          <w:color w:val="auto"/>
        </w:rPr>
        <w:t>. THIS SEVENTH AMENDMENT AND THE RIGHTS AND OBLIGATIONS OF THE PARTIES UNDER THIS SEVENTH AMENDMENT SHALL BE GOVERNED BY, AND CONSTRUED AND INTERPRETED IN ACCORDANCE WITH, THE LAWS OF THE STATE OF NEW YORK.</w:t>
      </w:r>
    </w:p>
    <w:p>
      <w:pPr>
        <w:spacing w:after="0" w:line="202" w:lineRule="exact"/>
        <w:rPr>
          <w:sz w:val="20"/>
          <w:szCs w:val="20"/>
          <w:color w:val="auto"/>
        </w:rPr>
      </w:pPr>
    </w:p>
    <w:p>
      <w:pPr>
        <w:jc w:val="both"/>
        <w:ind w:firstLine="1297"/>
        <w:spacing w:after="0" w:line="256" w:lineRule="auto"/>
        <w:rPr>
          <w:sz w:val="20"/>
          <w:szCs w:val="20"/>
          <w:color w:val="auto"/>
        </w:rPr>
      </w:pPr>
      <w:r>
        <w:rPr>
          <w:rFonts w:ascii="Arial" w:cs="Arial" w:eastAsia="Arial" w:hAnsi="Arial"/>
          <w:sz w:val="18"/>
          <w:szCs w:val="18"/>
          <w:u w:val="single" w:color="auto"/>
          <w:color w:val="auto"/>
        </w:rPr>
        <w:t>SECTION TEN - Miscellaneous</w:t>
      </w:r>
      <w:r>
        <w:rPr>
          <w:rFonts w:ascii="Arial" w:cs="Arial" w:eastAsia="Arial" w:hAnsi="Arial"/>
          <w:sz w:val="18"/>
          <w:szCs w:val="18"/>
          <w:color w:val="auto"/>
        </w:rPr>
        <w:t>. (a) The provisions set forth in Sections 10.03, 10.04, 10.05(b)-(d), 10.09, 10.10, 10.11, 10.13, 10.15, 10.16 and 10.17 of the Credit Agreement are hereby incorporated mutatis mutandis herein by reference thereto as fully and to the same extent as if set forth herein.</w:t>
      </w:r>
    </w:p>
    <w:p>
      <w:pPr>
        <w:spacing w:after="0" w:line="200" w:lineRule="exact"/>
        <w:rPr>
          <w:sz w:val="20"/>
          <w:szCs w:val="20"/>
          <w:color w:val="auto"/>
        </w:rPr>
      </w:pPr>
    </w:p>
    <w:p>
      <w:pPr>
        <w:spacing w:after="0" w:line="218" w:lineRule="exact"/>
        <w:rPr>
          <w:sz w:val="20"/>
          <w:szCs w:val="20"/>
          <w:color w:val="auto"/>
        </w:rPr>
      </w:pPr>
    </w:p>
    <w:p>
      <w:pPr>
        <w:jc w:val="both"/>
        <w:ind w:firstLine="1305"/>
        <w:spacing w:after="0" w:line="250" w:lineRule="auto"/>
        <w:tabs>
          <w:tab w:leader="none" w:pos="1760" w:val="left"/>
        </w:tabs>
        <w:numPr>
          <w:ilvl w:val="0"/>
          <w:numId w:val="89"/>
        </w:numPr>
        <w:rPr>
          <w:rFonts w:ascii="Arial" w:cs="Arial" w:eastAsia="Arial" w:hAnsi="Arial"/>
          <w:sz w:val="18"/>
          <w:szCs w:val="18"/>
          <w:color w:val="auto"/>
        </w:rPr>
      </w:pPr>
      <w:r>
        <w:rPr>
          <w:rFonts w:ascii="Arial" w:cs="Arial" w:eastAsia="Arial" w:hAnsi="Arial"/>
          <w:sz w:val="18"/>
          <w:szCs w:val="18"/>
          <w:color w:val="auto"/>
        </w:rPr>
        <w:t>For purposes of determining withholding Taxes imposed under FATCA, from and after the effective date of this Seventh Amendment, the Borrower and the Administrative Agent shall treat (and the Lenders party hereto hereby authorize the Administrative Agent to treat) the Revolving Facility as not qualifying as a “grandfathered obligation” within the meaning of Treasury Regulation Section 1.1471-2(b)(2)</w:t>
      </w:r>
    </w:p>
    <w:p>
      <w:pPr>
        <w:spacing w:after="0" w:line="1" w:lineRule="exact"/>
        <w:rPr>
          <w:rFonts w:ascii="Arial" w:cs="Arial" w:eastAsia="Arial" w:hAnsi="Arial"/>
          <w:sz w:val="18"/>
          <w:szCs w:val="18"/>
          <w:color w:val="auto"/>
        </w:rPr>
      </w:pPr>
    </w:p>
    <w:p>
      <w:pPr>
        <w:spacing w:after="0"/>
        <w:rPr>
          <w:rFonts w:ascii="Arial" w:cs="Arial" w:eastAsia="Arial" w:hAnsi="Arial"/>
          <w:sz w:val="18"/>
          <w:szCs w:val="18"/>
          <w:color w:val="auto"/>
        </w:rPr>
      </w:pPr>
      <w:r>
        <w:rPr>
          <w:rFonts w:ascii="Arial" w:cs="Arial" w:eastAsia="Arial" w:hAnsi="Arial"/>
          <w:sz w:val="18"/>
          <w:szCs w:val="18"/>
          <w:color w:val="auto"/>
        </w:rPr>
        <w:t>(i).</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[REMAINDER OF THIS PAGE IS LEFT BLANK INTENTIONALLY]</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w:t>
      </w:r>
    </w:p>
    <w:p>
      <w:pPr>
        <w:sectPr>
          <w:pgSz w:w="11900" w:h="16838" w:orient="portrait"/>
          <w:cols w:equalWidth="0" w:num="1">
            <w:col w:w="11420"/>
          </w:cols>
          <w:pgMar w:left="240" w:top="355" w:right="239" w:bottom="1440" w:gutter="0" w:footer="0" w:header="0"/>
        </w:sectPr>
      </w:pPr>
    </w:p>
    <w:bookmarkStart w:id="197" w:name="page198"/>
    <w:bookmarkEnd w:id="197"/>
    <w:p>
      <w:pPr>
        <w:ind w:firstLine="1297"/>
        <w:spacing w:after="0" w:line="262" w:lineRule="auto"/>
        <w:rPr>
          <w:sz w:val="20"/>
          <w:szCs w:val="20"/>
          <w:color w:val="auto"/>
        </w:rPr>
      </w:pPr>
      <w:r>
        <w:rPr>
          <w:rFonts w:ascii="Arial" w:cs="Arial" w:eastAsia="Arial" w:hAnsi="Arial"/>
          <w:sz w:val="18"/>
          <w:szCs w:val="18"/>
          <w:color w:val="auto"/>
        </w:rPr>
        <w:t>IN WITNESS WHEREOF, the parties hereto have caused this Seventh Amendment to be duly executed and delivered as of the day and year first above written.</w:t>
      </w:r>
    </w:p>
    <w:p>
      <w:pPr>
        <w:spacing w:after="0" w:line="200" w:lineRule="exact"/>
        <w:rPr>
          <w:sz w:val="20"/>
          <w:szCs w:val="20"/>
          <w:color w:val="auto"/>
        </w:rPr>
      </w:pPr>
    </w:p>
    <w:p>
      <w:pPr>
        <w:spacing w:after="0" w:line="200" w:lineRule="exact"/>
        <w:rPr>
          <w:sz w:val="20"/>
          <w:szCs w:val="20"/>
          <w:color w:val="auto"/>
        </w:rPr>
      </w:pPr>
    </w:p>
    <w:p>
      <w:pPr>
        <w:spacing w:after="0" w:line="22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AMERICAN AIRLINES, INC., as the Borrower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3" w:lineRule="exact"/>
        <w:rPr>
          <w:sz w:val="20"/>
          <w:szCs w:val="20"/>
          <w:color w:val="auto"/>
        </w:rPr>
      </w:pPr>
    </w:p>
    <w:p>
      <w:pPr>
        <w:ind w:left="3900"/>
        <w:spacing w:after="0"/>
        <w:rPr>
          <w:sz w:val="20"/>
          <w:szCs w:val="20"/>
          <w:color w:val="auto"/>
        </w:rPr>
      </w:pPr>
      <w:r>
        <w:rPr>
          <w:rFonts w:ascii="Arial" w:cs="Arial" w:eastAsia="Arial" w:hAnsi="Arial"/>
          <w:sz w:val="18"/>
          <w:szCs w:val="18"/>
          <w:color w:val="auto"/>
        </w:rPr>
        <w:t>By: /s/ Thomas T. Weir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2672080</wp:posOffset>
            </wp:positionH>
            <wp:positionV relativeFrom="paragraph">
              <wp:posOffset>-19050</wp:posOffset>
            </wp:positionV>
            <wp:extent cx="1331595" cy="8890"/>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322">
                      <a:extLst>
                        <a:ext uri="{28A0092B-C50C-407E-A947-70E740481C1C}"/>
                      </a:extLst>
                    </a:blip>
                    <a:srcRect/>
                    <a:stretch>
                      <a:fillRect/>
                    </a:stretch>
                  </pic:blipFill>
                  <pic:spPr bwMode="auto">
                    <a:xfrm>
                      <a:off x="0" y="0"/>
                      <a:ext cx="1331595" cy="8890"/>
                    </a:xfrm>
                    <a:prstGeom prst="rect">
                      <a:avLst/>
                    </a:prstGeom>
                    <a:noFill/>
                  </pic:spPr>
                </pic:pic>
              </a:graphicData>
            </a:graphic>
          </wp:anchor>
        </w:drawing>
      </w:r>
    </w:p>
    <w:p>
      <w:pPr>
        <w:ind w:left="4220"/>
        <w:spacing w:after="0"/>
        <w:rPr>
          <w:sz w:val="20"/>
          <w:szCs w:val="20"/>
          <w:color w:val="auto"/>
        </w:rPr>
      </w:pPr>
      <w:r>
        <w:rPr>
          <w:rFonts w:ascii="Arial" w:cs="Arial" w:eastAsia="Arial" w:hAnsi="Arial"/>
          <w:sz w:val="18"/>
          <w:szCs w:val="18"/>
          <w:color w:val="auto"/>
        </w:rPr>
        <w:t>Name: Thomas T. Weir</w:t>
      </w:r>
    </w:p>
    <w:p>
      <w:pPr>
        <w:spacing w:after="0" w:line="9" w:lineRule="exact"/>
        <w:rPr>
          <w:sz w:val="20"/>
          <w:szCs w:val="20"/>
          <w:color w:val="auto"/>
        </w:rPr>
      </w:pPr>
    </w:p>
    <w:p>
      <w:pPr>
        <w:ind w:left="4220"/>
        <w:spacing w:after="0"/>
        <w:rPr>
          <w:sz w:val="20"/>
          <w:szCs w:val="20"/>
          <w:color w:val="auto"/>
        </w:rPr>
      </w:pPr>
      <w:r>
        <w:rPr>
          <w:rFonts w:ascii="Arial" w:cs="Arial" w:eastAsia="Arial" w:hAnsi="Arial"/>
          <w:sz w:val="18"/>
          <w:szCs w:val="18"/>
          <w:color w:val="auto"/>
        </w:rPr>
        <w:t>Title: Vice President and Treasurer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3" w:lineRule="exact"/>
        <w:rPr>
          <w:sz w:val="20"/>
          <w:szCs w:val="20"/>
          <w:color w:val="auto"/>
        </w:rPr>
      </w:pPr>
    </w:p>
    <w:p>
      <w:pPr>
        <w:ind w:left="3900"/>
        <w:spacing w:after="0"/>
        <w:rPr>
          <w:sz w:val="20"/>
          <w:szCs w:val="20"/>
          <w:color w:val="auto"/>
        </w:rPr>
      </w:pPr>
      <w:r>
        <w:rPr>
          <w:rFonts w:ascii="Arial" w:cs="Arial" w:eastAsia="Arial" w:hAnsi="Arial"/>
          <w:sz w:val="18"/>
          <w:szCs w:val="18"/>
          <w:color w:val="auto"/>
        </w:rPr>
        <w:t>AMERICAN AIRLINES GROUP INC., as Parent and Guarantor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3" w:lineRule="exact"/>
        <w:rPr>
          <w:sz w:val="20"/>
          <w:szCs w:val="20"/>
          <w:color w:val="auto"/>
        </w:rPr>
      </w:pPr>
    </w:p>
    <w:p>
      <w:pPr>
        <w:ind w:left="3900"/>
        <w:spacing w:after="0"/>
        <w:rPr>
          <w:sz w:val="20"/>
          <w:szCs w:val="20"/>
          <w:color w:val="auto"/>
        </w:rPr>
      </w:pPr>
      <w:r>
        <w:rPr>
          <w:rFonts w:ascii="Arial" w:cs="Arial" w:eastAsia="Arial" w:hAnsi="Arial"/>
          <w:sz w:val="18"/>
          <w:szCs w:val="18"/>
          <w:color w:val="auto"/>
        </w:rPr>
        <w:t>By: /s/ Thomas T. Weir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2672080</wp:posOffset>
            </wp:positionH>
            <wp:positionV relativeFrom="paragraph">
              <wp:posOffset>-19050</wp:posOffset>
            </wp:positionV>
            <wp:extent cx="1331595" cy="8890"/>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323">
                      <a:extLst>
                        <a:ext uri="{28A0092B-C50C-407E-A947-70E740481C1C}"/>
                      </a:extLst>
                    </a:blip>
                    <a:srcRect/>
                    <a:stretch>
                      <a:fillRect/>
                    </a:stretch>
                  </pic:blipFill>
                  <pic:spPr bwMode="auto">
                    <a:xfrm>
                      <a:off x="0" y="0"/>
                      <a:ext cx="1331595" cy="8890"/>
                    </a:xfrm>
                    <a:prstGeom prst="rect">
                      <a:avLst/>
                    </a:prstGeom>
                    <a:noFill/>
                  </pic:spPr>
                </pic:pic>
              </a:graphicData>
            </a:graphic>
          </wp:anchor>
        </w:drawing>
      </w:r>
    </w:p>
    <w:p>
      <w:pPr>
        <w:ind w:left="4220"/>
        <w:spacing w:after="0"/>
        <w:rPr>
          <w:sz w:val="20"/>
          <w:szCs w:val="20"/>
          <w:color w:val="auto"/>
        </w:rPr>
      </w:pPr>
      <w:r>
        <w:rPr>
          <w:rFonts w:ascii="Arial" w:cs="Arial" w:eastAsia="Arial" w:hAnsi="Arial"/>
          <w:sz w:val="18"/>
          <w:szCs w:val="18"/>
          <w:color w:val="auto"/>
        </w:rPr>
        <w:t>Name: Thomas T. Weir</w:t>
      </w:r>
    </w:p>
    <w:p>
      <w:pPr>
        <w:spacing w:after="0" w:line="9" w:lineRule="exact"/>
        <w:rPr>
          <w:sz w:val="20"/>
          <w:szCs w:val="20"/>
          <w:color w:val="auto"/>
        </w:rPr>
      </w:pPr>
    </w:p>
    <w:p>
      <w:pPr>
        <w:ind w:left="4220"/>
        <w:spacing w:after="0"/>
        <w:rPr>
          <w:sz w:val="20"/>
          <w:szCs w:val="20"/>
          <w:color w:val="auto"/>
        </w:rPr>
      </w:pPr>
      <w:r>
        <w:rPr>
          <w:rFonts w:ascii="Arial" w:cs="Arial" w:eastAsia="Arial" w:hAnsi="Arial"/>
          <w:sz w:val="18"/>
          <w:szCs w:val="18"/>
          <w:color w:val="auto"/>
        </w:rPr>
        <w:t>Title: Vice President and Treasurer</w:t>
      </w:r>
    </w:p>
    <w:p>
      <w:pPr>
        <w:spacing w:after="0" w:line="200" w:lineRule="exact"/>
        <w:rPr>
          <w:sz w:val="20"/>
          <w:szCs w:val="20"/>
          <w:color w:val="auto"/>
        </w:rPr>
      </w:pPr>
    </w:p>
    <w:p>
      <w:pPr>
        <w:spacing w:after="0" w:line="200" w:lineRule="exact"/>
        <w:rPr>
          <w:sz w:val="20"/>
          <w:szCs w:val="20"/>
          <w:color w:val="auto"/>
        </w:rPr>
      </w:pPr>
    </w:p>
    <w:p>
      <w:pPr>
        <w:spacing w:after="0" w:line="244" w:lineRule="exact"/>
        <w:rPr>
          <w:sz w:val="20"/>
          <w:szCs w:val="20"/>
          <w:color w:val="auto"/>
        </w:rPr>
      </w:pPr>
    </w:p>
    <w:p>
      <w:pPr>
        <w:jc w:val="center"/>
        <w:spacing w:after="0"/>
        <w:rPr>
          <w:sz w:val="20"/>
          <w:szCs w:val="20"/>
          <w:color w:val="auto"/>
        </w:rPr>
      </w:pPr>
      <w:r>
        <w:rPr>
          <w:rFonts w:ascii="Arial" w:cs="Arial" w:eastAsia="Arial" w:hAnsi="Arial"/>
          <w:sz w:val="16"/>
          <w:szCs w:val="16"/>
          <w:i w:val="1"/>
          <w:iCs w:val="1"/>
          <w:color w:val="auto"/>
        </w:rPr>
        <w:t>[Seventh Amendment to Amended and Restated Credit and Guaranty Agreement (LHR)]</w:t>
      </w:r>
    </w:p>
    <w:p>
      <w:pPr>
        <w:sectPr>
          <w:pgSz w:w="11900" w:h="16838" w:orient="portrait"/>
          <w:cols w:equalWidth="0" w:num="1">
            <w:col w:w="11420"/>
          </w:cols>
          <w:pgMar w:left="240" w:top="828" w:right="239" w:bottom="1440" w:gutter="0" w:footer="0" w:header="0"/>
        </w:sectPr>
      </w:pPr>
    </w:p>
    <w:bookmarkStart w:id="198" w:name="page199"/>
    <w:bookmarkEnd w:id="198"/>
    <w:p>
      <w:pPr>
        <w:ind w:left="2700"/>
        <w:spacing w:after="0"/>
        <w:rPr>
          <w:sz w:val="20"/>
          <w:szCs w:val="20"/>
          <w:color w:val="auto"/>
        </w:rPr>
      </w:pPr>
      <w:r>
        <w:rPr>
          <w:rFonts w:ascii="Arial" w:cs="Arial" w:eastAsia="Arial" w:hAnsi="Arial"/>
          <w:sz w:val="18"/>
          <w:szCs w:val="18"/>
          <w:color w:val="auto"/>
        </w:rPr>
        <w:t>CITIBANK N.A.,</w:t>
      </w:r>
    </w:p>
    <w:p>
      <w:pPr>
        <w:spacing w:after="0" w:line="9" w:lineRule="exact"/>
        <w:rPr>
          <w:sz w:val="20"/>
          <w:szCs w:val="20"/>
          <w:color w:val="auto"/>
        </w:rPr>
      </w:pPr>
    </w:p>
    <w:p>
      <w:pPr>
        <w:ind w:left="2700"/>
        <w:spacing w:after="0"/>
        <w:rPr>
          <w:sz w:val="20"/>
          <w:szCs w:val="20"/>
          <w:color w:val="auto"/>
        </w:rPr>
      </w:pPr>
      <w:r>
        <w:rPr>
          <w:rFonts w:ascii="Arial" w:cs="Arial" w:eastAsia="Arial" w:hAnsi="Arial"/>
          <w:sz w:val="18"/>
          <w:szCs w:val="18"/>
          <w:color w:val="auto"/>
        </w:rPr>
        <w:t>as Administrative Agent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3" w:lineRule="exact"/>
        <w:rPr>
          <w:sz w:val="20"/>
          <w:szCs w:val="20"/>
          <w:color w:val="auto"/>
        </w:rPr>
      </w:pPr>
    </w:p>
    <w:p>
      <w:pPr>
        <w:ind w:left="2700"/>
        <w:spacing w:after="0"/>
        <w:rPr>
          <w:sz w:val="20"/>
          <w:szCs w:val="20"/>
          <w:color w:val="auto"/>
        </w:rPr>
      </w:pPr>
      <w:r>
        <w:rPr>
          <w:rFonts w:ascii="Arial" w:cs="Arial" w:eastAsia="Arial" w:hAnsi="Arial"/>
          <w:sz w:val="18"/>
          <w:szCs w:val="18"/>
          <w:color w:val="auto"/>
        </w:rPr>
        <w:t>By: /s/ Matthew Burke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1910080</wp:posOffset>
            </wp:positionH>
            <wp:positionV relativeFrom="paragraph">
              <wp:posOffset>-19050</wp:posOffset>
            </wp:positionV>
            <wp:extent cx="1296035" cy="8890"/>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324">
                      <a:extLst>
                        <a:ext uri="{28A0092B-C50C-407E-A947-70E740481C1C}"/>
                      </a:extLst>
                    </a:blip>
                    <a:srcRect/>
                    <a:stretch>
                      <a:fillRect/>
                    </a:stretch>
                  </pic:blipFill>
                  <pic:spPr bwMode="auto">
                    <a:xfrm>
                      <a:off x="0" y="0"/>
                      <a:ext cx="1296035" cy="8890"/>
                    </a:xfrm>
                    <a:prstGeom prst="rect">
                      <a:avLst/>
                    </a:prstGeom>
                    <a:noFill/>
                  </pic:spPr>
                </pic:pic>
              </a:graphicData>
            </a:graphic>
          </wp:anchor>
        </w:drawing>
      </w:r>
    </w:p>
    <w:p>
      <w:pPr>
        <w:ind w:left="2700"/>
        <w:spacing w:after="0"/>
        <w:rPr>
          <w:sz w:val="20"/>
          <w:szCs w:val="20"/>
          <w:color w:val="auto"/>
        </w:rPr>
      </w:pPr>
      <w:r>
        <w:rPr>
          <w:rFonts w:ascii="Arial" w:cs="Arial" w:eastAsia="Arial" w:hAnsi="Arial"/>
          <w:sz w:val="18"/>
          <w:szCs w:val="18"/>
          <w:color w:val="auto"/>
        </w:rPr>
        <w:t>Name: Matthew Burke</w:t>
      </w:r>
    </w:p>
    <w:p>
      <w:pPr>
        <w:spacing w:after="0" w:line="9" w:lineRule="exact"/>
        <w:rPr>
          <w:sz w:val="20"/>
          <w:szCs w:val="20"/>
          <w:color w:val="auto"/>
        </w:rPr>
      </w:pPr>
    </w:p>
    <w:p>
      <w:pPr>
        <w:ind w:left="2700"/>
        <w:spacing w:after="0"/>
        <w:rPr>
          <w:sz w:val="20"/>
          <w:szCs w:val="20"/>
          <w:color w:val="auto"/>
        </w:rPr>
      </w:pPr>
      <w:r>
        <w:rPr>
          <w:rFonts w:ascii="Arial" w:cs="Arial" w:eastAsia="Arial" w:hAnsi="Arial"/>
          <w:sz w:val="18"/>
          <w:szCs w:val="18"/>
          <w:color w:val="auto"/>
        </w:rPr>
        <w:t>Title: Vice President</w:t>
      </w:r>
    </w:p>
    <w:p>
      <w:pPr>
        <w:spacing w:after="0" w:line="200" w:lineRule="exact"/>
        <w:rPr>
          <w:sz w:val="20"/>
          <w:szCs w:val="20"/>
          <w:color w:val="auto"/>
        </w:rPr>
      </w:pPr>
    </w:p>
    <w:p>
      <w:pPr>
        <w:spacing w:after="0" w:line="200" w:lineRule="exact"/>
        <w:rPr>
          <w:sz w:val="20"/>
          <w:szCs w:val="20"/>
          <w:color w:val="auto"/>
        </w:rPr>
      </w:pPr>
    </w:p>
    <w:p>
      <w:pPr>
        <w:spacing w:after="0" w:line="244" w:lineRule="exact"/>
        <w:rPr>
          <w:sz w:val="20"/>
          <w:szCs w:val="20"/>
          <w:color w:val="auto"/>
        </w:rPr>
      </w:pPr>
    </w:p>
    <w:p>
      <w:pPr>
        <w:jc w:val="center"/>
        <w:spacing w:after="0"/>
        <w:rPr>
          <w:sz w:val="20"/>
          <w:szCs w:val="20"/>
          <w:color w:val="auto"/>
        </w:rPr>
      </w:pPr>
      <w:r>
        <w:rPr>
          <w:rFonts w:ascii="Arial" w:cs="Arial" w:eastAsia="Arial" w:hAnsi="Arial"/>
          <w:sz w:val="16"/>
          <w:szCs w:val="16"/>
          <w:i w:val="1"/>
          <w:iCs w:val="1"/>
          <w:color w:val="auto"/>
        </w:rPr>
        <w:t>[Seventh Amendment to Amended and Restated Credit and Guaranty Agreement (LHR)]</w:t>
      </w:r>
    </w:p>
    <w:p>
      <w:pPr>
        <w:sectPr>
          <w:pgSz w:w="11900" w:h="16838" w:orient="portrait"/>
          <w:cols w:equalWidth="0" w:num="1">
            <w:col w:w="9019"/>
          </w:cols>
          <w:pgMar w:left="1440" w:top="1044" w:right="1440" w:bottom="1440" w:gutter="0" w:footer="0" w:header="0"/>
        </w:sectPr>
      </w:pPr>
    </w:p>
    <w:bookmarkStart w:id="199" w:name="page200"/>
    <w:bookmarkEnd w:id="199"/>
    <w:p>
      <w:pPr>
        <w:jc w:val="right"/>
        <w:spacing w:after="0"/>
        <w:rPr>
          <w:sz w:val="20"/>
          <w:szCs w:val="20"/>
          <w:color w:val="auto"/>
        </w:rPr>
      </w:pPr>
      <w:r>
        <w:rPr>
          <w:rFonts w:ascii="Arial" w:cs="Arial" w:eastAsia="Arial" w:hAnsi="Arial"/>
          <w:sz w:val="18"/>
          <w:szCs w:val="18"/>
          <w:b w:val="1"/>
          <w:bCs w:val="1"/>
          <w:i w:val="1"/>
          <w:iCs w:val="1"/>
          <w:color w:val="auto"/>
        </w:rPr>
        <w:t>Schedule 1</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3" w:lineRule="exact"/>
        <w:rPr>
          <w:sz w:val="20"/>
          <w:szCs w:val="20"/>
          <w:color w:val="auto"/>
        </w:rPr>
      </w:pPr>
    </w:p>
    <w:p>
      <w:pPr>
        <w:jc w:val="center"/>
        <w:spacing w:after="0"/>
        <w:rPr>
          <w:sz w:val="20"/>
          <w:szCs w:val="20"/>
          <w:color w:val="auto"/>
        </w:rPr>
      </w:pPr>
      <w:r>
        <w:rPr>
          <w:rFonts w:ascii="Arial" w:cs="Arial" w:eastAsia="Arial" w:hAnsi="Arial"/>
          <w:sz w:val="18"/>
          <w:szCs w:val="18"/>
          <w:b w:val="1"/>
          <w:bCs w:val="1"/>
          <w:u w:val="single" w:color="auto"/>
          <w:color w:val="auto"/>
        </w:rPr>
        <w:t>ANNEX A</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Arial" w:cs="Arial" w:eastAsia="Arial" w:hAnsi="Arial"/>
          <w:sz w:val="18"/>
          <w:szCs w:val="18"/>
          <w:b w:val="1"/>
          <w:bCs w:val="1"/>
          <w:u w:val="single" w:color="auto"/>
          <w:color w:val="auto"/>
        </w:rPr>
        <w:t>Lenders and Commitments</w:t>
      </w:r>
    </w:p>
    <w:p>
      <w:pPr>
        <w:spacing w:after="0" w:line="363" w:lineRule="exact"/>
        <w:rPr>
          <w:sz w:val="20"/>
          <w:szCs w:val="20"/>
          <w:color w:val="auto"/>
        </w:rPr>
      </w:pPr>
    </w:p>
    <w:tbl>
      <w:tblPr>
        <w:tblLayout w:type="fixed"/>
        <w:tblInd w:w="530" w:type="dxa"/>
        <w:tblCellMar>
          <w:top w:w="0" w:type="dxa"/>
          <w:left w:w="0" w:type="dxa"/>
          <w:bottom w:w="0" w:type="dxa"/>
          <w:right w:w="0" w:type="dxa"/>
        </w:tblCellMar>
      </w:tblPr>
      <w:tr>
        <w:trPr>
          <w:trHeight w:val="220"/>
        </w:trPr>
        <w:tc>
          <w:tcPr>
            <w:tcW w:w="3880" w:type="dxa"/>
            <w:vAlign w:val="bottom"/>
            <w:tcBorders>
              <w:top w:val="single" w:sz="8" w:color="auto"/>
              <w:left w:val="single" w:sz="8" w:color="auto"/>
              <w:right w:val="single" w:sz="8" w:color="auto"/>
            </w:tcBorders>
          </w:tcPr>
          <w:p>
            <w:pPr>
              <w:ind w:left="40"/>
              <w:spacing w:after="0"/>
              <w:rPr>
                <w:sz w:val="20"/>
                <w:szCs w:val="20"/>
                <w:color w:val="auto"/>
              </w:rPr>
            </w:pPr>
            <w:r>
              <w:rPr>
                <w:rFonts w:ascii="Arial" w:cs="Arial" w:eastAsia="Arial" w:hAnsi="Arial"/>
                <w:sz w:val="18"/>
                <w:szCs w:val="18"/>
                <w:b w:val="1"/>
                <w:bCs w:val="1"/>
                <w:color w:val="auto"/>
              </w:rPr>
              <w:t>Name of Bank</w:t>
            </w:r>
          </w:p>
        </w:tc>
        <w:tc>
          <w:tcPr>
            <w:tcW w:w="2180" w:type="dxa"/>
            <w:vAlign w:val="bottom"/>
            <w:tcBorders>
              <w:top w:val="single" w:sz="8" w:color="auto"/>
              <w:right w:val="single" w:sz="8" w:color="auto"/>
            </w:tcBorders>
          </w:tcPr>
          <w:p>
            <w:pPr>
              <w:jc w:val="center"/>
              <w:spacing w:after="0"/>
              <w:rPr>
                <w:sz w:val="20"/>
                <w:szCs w:val="20"/>
                <w:color w:val="auto"/>
              </w:rPr>
            </w:pPr>
            <w:r>
              <w:rPr>
                <w:rFonts w:ascii="Arial" w:cs="Arial" w:eastAsia="Arial" w:hAnsi="Arial"/>
                <w:sz w:val="18"/>
                <w:szCs w:val="18"/>
                <w:b w:val="1"/>
                <w:bCs w:val="1"/>
                <w:color w:val="auto"/>
                <w:w w:val="99"/>
              </w:rPr>
              <w:t>Seventh Amendment</w:t>
            </w:r>
          </w:p>
        </w:tc>
        <w:tc>
          <w:tcPr>
            <w:tcW w:w="2180" w:type="dxa"/>
            <w:vAlign w:val="bottom"/>
            <w:tcBorders>
              <w:top w:val="single" w:sz="8" w:color="auto"/>
              <w:right w:val="single" w:sz="8" w:color="auto"/>
            </w:tcBorders>
          </w:tcPr>
          <w:p>
            <w:pPr>
              <w:jc w:val="center"/>
              <w:spacing w:after="0"/>
              <w:rPr>
                <w:sz w:val="20"/>
                <w:szCs w:val="20"/>
                <w:color w:val="auto"/>
              </w:rPr>
            </w:pPr>
            <w:r>
              <w:rPr>
                <w:rFonts w:ascii="Arial" w:cs="Arial" w:eastAsia="Arial" w:hAnsi="Arial"/>
                <w:sz w:val="18"/>
                <w:szCs w:val="18"/>
                <w:b w:val="1"/>
                <w:bCs w:val="1"/>
                <w:color w:val="auto"/>
                <w:w w:val="99"/>
              </w:rPr>
              <w:t>Sixth Amendment Non-</w:t>
            </w:r>
          </w:p>
        </w:tc>
        <w:tc>
          <w:tcPr>
            <w:tcW w:w="2160" w:type="dxa"/>
            <w:vAlign w:val="bottom"/>
            <w:tcBorders>
              <w:top w:val="single" w:sz="8" w:color="auto"/>
              <w:right w:val="single" w:sz="8" w:color="auto"/>
            </w:tcBorders>
          </w:tcPr>
          <w:p>
            <w:pPr>
              <w:jc w:val="center"/>
              <w:spacing w:after="0"/>
              <w:rPr>
                <w:sz w:val="20"/>
                <w:szCs w:val="20"/>
                <w:color w:val="auto"/>
              </w:rPr>
            </w:pPr>
            <w:r>
              <w:rPr>
                <w:rFonts w:ascii="Arial" w:cs="Arial" w:eastAsia="Arial" w:hAnsi="Arial"/>
                <w:sz w:val="18"/>
                <w:szCs w:val="18"/>
                <w:b w:val="1"/>
                <w:bCs w:val="1"/>
                <w:color w:val="auto"/>
                <w:w w:val="99"/>
              </w:rPr>
              <w:t>LC Commitment</w:t>
            </w:r>
          </w:p>
        </w:tc>
      </w:tr>
      <w:tr>
        <w:trPr>
          <w:trHeight w:val="203"/>
        </w:trPr>
        <w:tc>
          <w:tcPr>
            <w:tcW w:w="3880" w:type="dxa"/>
            <w:vAlign w:val="bottom"/>
            <w:tcBorders>
              <w:left w:val="single" w:sz="8" w:color="auto"/>
              <w:right w:val="single" w:sz="8" w:color="auto"/>
            </w:tcBorders>
          </w:tcPr>
          <w:p>
            <w:pPr>
              <w:spacing w:after="0"/>
              <w:rPr>
                <w:sz w:val="17"/>
                <w:szCs w:val="17"/>
                <w:color w:val="auto"/>
              </w:rPr>
            </w:pPr>
          </w:p>
        </w:tc>
        <w:tc>
          <w:tcPr>
            <w:tcW w:w="2180" w:type="dxa"/>
            <w:vAlign w:val="bottom"/>
            <w:tcBorders>
              <w:right w:val="single" w:sz="8" w:color="auto"/>
            </w:tcBorders>
          </w:tcPr>
          <w:p>
            <w:pPr>
              <w:jc w:val="center"/>
              <w:spacing w:after="0" w:line="202" w:lineRule="exact"/>
              <w:rPr>
                <w:sz w:val="20"/>
                <w:szCs w:val="20"/>
                <w:color w:val="auto"/>
              </w:rPr>
            </w:pPr>
            <w:r>
              <w:rPr>
                <w:rFonts w:ascii="Arial" w:cs="Arial" w:eastAsia="Arial" w:hAnsi="Arial"/>
                <w:sz w:val="18"/>
                <w:szCs w:val="18"/>
                <w:b w:val="1"/>
                <w:bCs w:val="1"/>
                <w:color w:val="auto"/>
                <w:w w:val="99"/>
              </w:rPr>
              <w:t>Extended Revolving</w:t>
            </w:r>
          </w:p>
        </w:tc>
        <w:tc>
          <w:tcPr>
            <w:tcW w:w="2180" w:type="dxa"/>
            <w:vAlign w:val="bottom"/>
            <w:tcBorders>
              <w:right w:val="single" w:sz="8" w:color="auto"/>
            </w:tcBorders>
          </w:tcPr>
          <w:p>
            <w:pPr>
              <w:jc w:val="center"/>
              <w:spacing w:after="0" w:line="202" w:lineRule="exact"/>
              <w:rPr>
                <w:sz w:val="20"/>
                <w:szCs w:val="20"/>
                <w:color w:val="auto"/>
              </w:rPr>
            </w:pPr>
            <w:r>
              <w:rPr>
                <w:rFonts w:ascii="Arial" w:cs="Arial" w:eastAsia="Arial" w:hAnsi="Arial"/>
                <w:sz w:val="18"/>
                <w:szCs w:val="18"/>
                <w:b w:val="1"/>
                <w:bCs w:val="1"/>
                <w:color w:val="auto"/>
                <w:w w:val="99"/>
              </w:rPr>
              <w:t>Extended Revolving</w:t>
            </w:r>
          </w:p>
        </w:tc>
        <w:tc>
          <w:tcPr>
            <w:tcW w:w="2160" w:type="dxa"/>
            <w:vAlign w:val="bottom"/>
            <w:tcBorders>
              <w:right w:val="single" w:sz="8" w:color="auto"/>
            </w:tcBorders>
          </w:tcPr>
          <w:p>
            <w:pPr>
              <w:spacing w:after="0"/>
              <w:rPr>
                <w:sz w:val="17"/>
                <w:szCs w:val="17"/>
                <w:color w:val="auto"/>
              </w:rPr>
            </w:pPr>
          </w:p>
        </w:tc>
      </w:tr>
      <w:tr>
        <w:trPr>
          <w:trHeight w:val="246"/>
        </w:trPr>
        <w:tc>
          <w:tcPr>
            <w:tcW w:w="3880" w:type="dxa"/>
            <w:vAlign w:val="bottom"/>
            <w:tcBorders>
              <w:left w:val="single" w:sz="8" w:color="auto"/>
              <w:bottom w:val="single" w:sz="8" w:color="auto"/>
              <w:right w:val="single" w:sz="8" w:color="auto"/>
            </w:tcBorders>
          </w:tcPr>
          <w:p>
            <w:pPr>
              <w:spacing w:after="0"/>
              <w:rPr>
                <w:sz w:val="21"/>
                <w:szCs w:val="21"/>
                <w:color w:val="auto"/>
              </w:rPr>
            </w:pPr>
          </w:p>
        </w:tc>
        <w:tc>
          <w:tcPr>
            <w:tcW w:w="218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b w:val="1"/>
                <w:bCs w:val="1"/>
                <w:color w:val="auto"/>
                <w:w w:val="99"/>
              </w:rPr>
              <w:t>Commitment</w:t>
            </w:r>
          </w:p>
        </w:tc>
        <w:tc>
          <w:tcPr>
            <w:tcW w:w="218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b w:val="1"/>
                <w:bCs w:val="1"/>
                <w:color w:val="auto"/>
                <w:w w:val="99"/>
              </w:rPr>
              <w:t>Commitment</w:t>
            </w:r>
          </w:p>
        </w:tc>
        <w:tc>
          <w:tcPr>
            <w:tcW w:w="2160" w:type="dxa"/>
            <w:vAlign w:val="bottom"/>
            <w:tcBorders>
              <w:bottom w:val="single" w:sz="8" w:color="auto"/>
              <w:right w:val="single" w:sz="8" w:color="auto"/>
            </w:tcBorders>
          </w:tcPr>
          <w:p>
            <w:pPr>
              <w:spacing w:after="0"/>
              <w:rPr>
                <w:sz w:val="21"/>
                <w:szCs w:val="21"/>
                <w:color w:val="auto"/>
              </w:rPr>
            </w:pPr>
          </w:p>
        </w:tc>
      </w:tr>
      <w:tr>
        <w:trPr>
          <w:trHeight w:val="250"/>
        </w:trPr>
        <w:tc>
          <w:tcPr>
            <w:tcW w:w="3880" w:type="dxa"/>
            <w:vAlign w:val="bottom"/>
            <w:tcBorders>
              <w:left w:val="single" w:sz="8" w:color="auto"/>
              <w:bottom w:val="single" w:sz="8" w:color="auto"/>
              <w:right w:val="single" w:sz="8" w:color="auto"/>
            </w:tcBorders>
          </w:tcPr>
          <w:p>
            <w:pPr>
              <w:ind w:left="40"/>
              <w:spacing w:after="0"/>
              <w:rPr>
                <w:sz w:val="20"/>
                <w:szCs w:val="20"/>
                <w:color w:val="auto"/>
              </w:rPr>
            </w:pPr>
            <w:r>
              <w:rPr>
                <w:rFonts w:ascii="Arial" w:cs="Arial" w:eastAsia="Arial" w:hAnsi="Arial"/>
                <w:sz w:val="18"/>
                <w:szCs w:val="18"/>
                <w:color w:val="auto"/>
              </w:rPr>
              <w:t>Citibank N.A.</w:t>
            </w:r>
          </w:p>
        </w:tc>
        <w:tc>
          <w:tcPr>
            <w:tcW w:w="218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6"/>
              </w:rPr>
              <w:t>[***]</w:t>
            </w:r>
          </w:p>
        </w:tc>
        <w:tc>
          <w:tcPr>
            <w:tcW w:w="218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6"/>
              </w:rPr>
              <w:t>[***]</w:t>
            </w:r>
          </w:p>
        </w:tc>
        <w:tc>
          <w:tcPr>
            <w:tcW w:w="216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9"/>
              </w:rPr>
              <w:t>$200,000,000</w:t>
            </w:r>
          </w:p>
        </w:tc>
      </w:tr>
      <w:tr>
        <w:trPr>
          <w:trHeight w:val="243"/>
        </w:trPr>
        <w:tc>
          <w:tcPr>
            <w:tcW w:w="3880" w:type="dxa"/>
            <w:vAlign w:val="bottom"/>
            <w:tcBorders>
              <w:left w:val="single" w:sz="8" w:color="auto"/>
              <w:right w:val="single" w:sz="8" w:color="auto"/>
            </w:tcBorders>
          </w:tcPr>
          <w:p>
            <w:pPr>
              <w:ind w:left="40"/>
              <w:spacing w:after="0"/>
              <w:rPr>
                <w:sz w:val="20"/>
                <w:szCs w:val="20"/>
                <w:color w:val="auto"/>
              </w:rPr>
            </w:pPr>
            <w:r>
              <w:rPr>
                <w:rFonts w:ascii="Arial" w:cs="Arial" w:eastAsia="Arial" w:hAnsi="Arial"/>
                <w:sz w:val="18"/>
                <w:szCs w:val="18"/>
                <w:color w:val="auto"/>
              </w:rPr>
              <w:t>Bank of America, N.A.</w:t>
            </w:r>
          </w:p>
        </w:tc>
        <w:tc>
          <w:tcPr>
            <w:tcW w:w="218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6"/>
              </w:rPr>
              <w:t>[***]</w:t>
            </w:r>
          </w:p>
        </w:tc>
        <w:tc>
          <w:tcPr>
            <w:tcW w:w="218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6"/>
              </w:rPr>
              <w:t>[***]</w:t>
            </w:r>
          </w:p>
        </w:tc>
        <w:tc>
          <w:tcPr>
            <w:tcW w:w="2160" w:type="dxa"/>
            <w:vAlign w:val="bottom"/>
            <w:tcBorders>
              <w:right w:val="single" w:sz="8" w:color="auto"/>
            </w:tcBorders>
          </w:tcPr>
          <w:p>
            <w:pPr>
              <w:spacing w:after="0"/>
              <w:rPr>
                <w:sz w:val="21"/>
                <w:szCs w:val="21"/>
                <w:color w:val="auto"/>
              </w:rPr>
            </w:pPr>
          </w:p>
        </w:tc>
      </w:tr>
      <w:tr>
        <w:trPr>
          <w:trHeight w:val="27"/>
        </w:trPr>
        <w:tc>
          <w:tcPr>
            <w:tcW w:w="3880" w:type="dxa"/>
            <w:vAlign w:val="bottom"/>
            <w:tcBorders>
              <w:left w:val="single" w:sz="8" w:color="auto"/>
              <w:bottom w:val="single" w:sz="8" w:color="auto"/>
              <w:right w:val="single" w:sz="8" w:color="auto"/>
            </w:tcBorders>
          </w:tcPr>
          <w:p>
            <w:pPr>
              <w:spacing w:after="0"/>
              <w:rPr>
                <w:sz w:val="2"/>
                <w:szCs w:val="2"/>
                <w:color w:val="auto"/>
              </w:rPr>
            </w:pPr>
          </w:p>
        </w:tc>
        <w:tc>
          <w:tcPr>
            <w:tcW w:w="2180" w:type="dxa"/>
            <w:vAlign w:val="bottom"/>
            <w:tcBorders>
              <w:bottom w:val="single" w:sz="8" w:color="auto"/>
              <w:right w:val="single" w:sz="8" w:color="auto"/>
            </w:tcBorders>
          </w:tcPr>
          <w:p>
            <w:pPr>
              <w:spacing w:after="0"/>
              <w:rPr>
                <w:sz w:val="2"/>
                <w:szCs w:val="2"/>
                <w:color w:val="auto"/>
              </w:rPr>
            </w:pPr>
          </w:p>
        </w:tc>
        <w:tc>
          <w:tcPr>
            <w:tcW w:w="2180" w:type="dxa"/>
            <w:vAlign w:val="bottom"/>
            <w:tcBorders>
              <w:bottom w:val="single" w:sz="8" w:color="auto"/>
              <w:right w:val="single" w:sz="8" w:color="auto"/>
            </w:tcBorders>
          </w:tcPr>
          <w:p>
            <w:pPr>
              <w:spacing w:after="0"/>
              <w:rPr>
                <w:sz w:val="2"/>
                <w:szCs w:val="2"/>
                <w:color w:val="auto"/>
              </w:rPr>
            </w:pPr>
          </w:p>
        </w:tc>
        <w:tc>
          <w:tcPr>
            <w:tcW w:w="2160" w:type="dxa"/>
            <w:vAlign w:val="bottom"/>
            <w:tcBorders>
              <w:bottom w:val="single" w:sz="8" w:color="auto"/>
              <w:right w:val="single" w:sz="8" w:color="auto"/>
            </w:tcBorders>
          </w:tcPr>
          <w:p>
            <w:pPr>
              <w:spacing w:after="0"/>
              <w:rPr>
                <w:sz w:val="2"/>
                <w:szCs w:val="2"/>
                <w:color w:val="auto"/>
              </w:rPr>
            </w:pPr>
          </w:p>
        </w:tc>
      </w:tr>
      <w:tr>
        <w:trPr>
          <w:trHeight w:val="237"/>
        </w:trPr>
        <w:tc>
          <w:tcPr>
            <w:tcW w:w="3880" w:type="dxa"/>
            <w:vAlign w:val="bottom"/>
            <w:tcBorders>
              <w:left w:val="single" w:sz="8" w:color="auto"/>
              <w:right w:val="single" w:sz="8" w:color="auto"/>
            </w:tcBorders>
          </w:tcPr>
          <w:p>
            <w:pPr>
              <w:ind w:left="40"/>
              <w:spacing w:after="0"/>
              <w:rPr>
                <w:sz w:val="20"/>
                <w:szCs w:val="20"/>
                <w:color w:val="auto"/>
              </w:rPr>
            </w:pPr>
            <w:r>
              <w:rPr>
                <w:rFonts w:ascii="Arial" w:cs="Arial" w:eastAsia="Arial" w:hAnsi="Arial"/>
                <w:sz w:val="18"/>
                <w:szCs w:val="18"/>
                <w:color w:val="auto"/>
              </w:rPr>
              <w:t>Barclays Bank PLC</w:t>
            </w:r>
          </w:p>
        </w:tc>
        <w:tc>
          <w:tcPr>
            <w:tcW w:w="218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6"/>
              </w:rPr>
              <w:t>[***]</w:t>
            </w:r>
          </w:p>
        </w:tc>
        <w:tc>
          <w:tcPr>
            <w:tcW w:w="218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6"/>
              </w:rPr>
              <w:t>[***]</w:t>
            </w:r>
          </w:p>
        </w:tc>
        <w:tc>
          <w:tcPr>
            <w:tcW w:w="2160" w:type="dxa"/>
            <w:vAlign w:val="bottom"/>
            <w:tcBorders>
              <w:right w:val="single" w:sz="8" w:color="auto"/>
            </w:tcBorders>
          </w:tcPr>
          <w:p>
            <w:pPr>
              <w:spacing w:after="0"/>
              <w:rPr>
                <w:sz w:val="20"/>
                <w:szCs w:val="20"/>
                <w:color w:val="auto"/>
              </w:rPr>
            </w:pPr>
          </w:p>
        </w:tc>
      </w:tr>
      <w:tr>
        <w:trPr>
          <w:trHeight w:val="27"/>
        </w:trPr>
        <w:tc>
          <w:tcPr>
            <w:tcW w:w="3880" w:type="dxa"/>
            <w:vAlign w:val="bottom"/>
            <w:tcBorders>
              <w:left w:val="single" w:sz="8" w:color="auto"/>
              <w:bottom w:val="single" w:sz="8" w:color="auto"/>
              <w:right w:val="single" w:sz="8" w:color="auto"/>
            </w:tcBorders>
          </w:tcPr>
          <w:p>
            <w:pPr>
              <w:spacing w:after="0"/>
              <w:rPr>
                <w:sz w:val="2"/>
                <w:szCs w:val="2"/>
                <w:color w:val="auto"/>
              </w:rPr>
            </w:pPr>
          </w:p>
        </w:tc>
        <w:tc>
          <w:tcPr>
            <w:tcW w:w="2180" w:type="dxa"/>
            <w:vAlign w:val="bottom"/>
            <w:tcBorders>
              <w:bottom w:val="single" w:sz="8" w:color="auto"/>
              <w:right w:val="single" w:sz="8" w:color="auto"/>
            </w:tcBorders>
          </w:tcPr>
          <w:p>
            <w:pPr>
              <w:spacing w:after="0"/>
              <w:rPr>
                <w:sz w:val="2"/>
                <w:szCs w:val="2"/>
                <w:color w:val="auto"/>
              </w:rPr>
            </w:pPr>
          </w:p>
        </w:tc>
        <w:tc>
          <w:tcPr>
            <w:tcW w:w="2180" w:type="dxa"/>
            <w:vAlign w:val="bottom"/>
            <w:tcBorders>
              <w:bottom w:val="single" w:sz="8" w:color="auto"/>
              <w:right w:val="single" w:sz="8" w:color="auto"/>
            </w:tcBorders>
          </w:tcPr>
          <w:p>
            <w:pPr>
              <w:spacing w:after="0"/>
              <w:rPr>
                <w:sz w:val="2"/>
                <w:szCs w:val="2"/>
                <w:color w:val="auto"/>
              </w:rPr>
            </w:pPr>
          </w:p>
        </w:tc>
        <w:tc>
          <w:tcPr>
            <w:tcW w:w="2160" w:type="dxa"/>
            <w:vAlign w:val="bottom"/>
            <w:tcBorders>
              <w:bottom w:val="single" w:sz="8" w:color="auto"/>
              <w:right w:val="single" w:sz="8" w:color="auto"/>
            </w:tcBorders>
          </w:tcPr>
          <w:p>
            <w:pPr>
              <w:spacing w:after="0"/>
              <w:rPr>
                <w:sz w:val="2"/>
                <w:szCs w:val="2"/>
                <w:color w:val="auto"/>
              </w:rPr>
            </w:pPr>
          </w:p>
        </w:tc>
      </w:tr>
      <w:tr>
        <w:trPr>
          <w:trHeight w:val="237"/>
        </w:trPr>
        <w:tc>
          <w:tcPr>
            <w:tcW w:w="3880" w:type="dxa"/>
            <w:vAlign w:val="bottom"/>
            <w:tcBorders>
              <w:left w:val="single" w:sz="8" w:color="auto"/>
              <w:right w:val="single" w:sz="8" w:color="auto"/>
            </w:tcBorders>
          </w:tcPr>
          <w:p>
            <w:pPr>
              <w:ind w:left="40"/>
              <w:spacing w:after="0"/>
              <w:rPr>
                <w:sz w:val="20"/>
                <w:szCs w:val="20"/>
                <w:color w:val="auto"/>
              </w:rPr>
            </w:pPr>
            <w:r>
              <w:rPr>
                <w:rFonts w:ascii="Arial" w:cs="Arial" w:eastAsia="Arial" w:hAnsi="Arial"/>
                <w:sz w:val="18"/>
                <w:szCs w:val="18"/>
                <w:color w:val="auto"/>
              </w:rPr>
              <w:t>Credit Suisse AG, Cayman Islands Branch</w:t>
            </w:r>
          </w:p>
        </w:tc>
        <w:tc>
          <w:tcPr>
            <w:tcW w:w="218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6"/>
              </w:rPr>
              <w:t>[***]</w:t>
            </w:r>
          </w:p>
        </w:tc>
        <w:tc>
          <w:tcPr>
            <w:tcW w:w="218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6"/>
              </w:rPr>
              <w:t>[***]</w:t>
            </w:r>
          </w:p>
        </w:tc>
        <w:tc>
          <w:tcPr>
            <w:tcW w:w="2160" w:type="dxa"/>
            <w:vAlign w:val="bottom"/>
            <w:tcBorders>
              <w:right w:val="single" w:sz="8" w:color="auto"/>
            </w:tcBorders>
          </w:tcPr>
          <w:p>
            <w:pPr>
              <w:spacing w:after="0"/>
              <w:rPr>
                <w:sz w:val="20"/>
                <w:szCs w:val="20"/>
                <w:color w:val="auto"/>
              </w:rPr>
            </w:pPr>
          </w:p>
        </w:tc>
      </w:tr>
      <w:tr>
        <w:trPr>
          <w:trHeight w:val="27"/>
        </w:trPr>
        <w:tc>
          <w:tcPr>
            <w:tcW w:w="3880" w:type="dxa"/>
            <w:vAlign w:val="bottom"/>
            <w:tcBorders>
              <w:left w:val="single" w:sz="8" w:color="auto"/>
              <w:bottom w:val="single" w:sz="8" w:color="auto"/>
              <w:right w:val="single" w:sz="8" w:color="auto"/>
            </w:tcBorders>
          </w:tcPr>
          <w:p>
            <w:pPr>
              <w:spacing w:after="0"/>
              <w:rPr>
                <w:sz w:val="2"/>
                <w:szCs w:val="2"/>
                <w:color w:val="auto"/>
              </w:rPr>
            </w:pPr>
          </w:p>
        </w:tc>
        <w:tc>
          <w:tcPr>
            <w:tcW w:w="2180" w:type="dxa"/>
            <w:vAlign w:val="bottom"/>
            <w:tcBorders>
              <w:bottom w:val="single" w:sz="8" w:color="auto"/>
              <w:right w:val="single" w:sz="8" w:color="auto"/>
            </w:tcBorders>
          </w:tcPr>
          <w:p>
            <w:pPr>
              <w:spacing w:after="0"/>
              <w:rPr>
                <w:sz w:val="2"/>
                <w:szCs w:val="2"/>
                <w:color w:val="auto"/>
              </w:rPr>
            </w:pPr>
          </w:p>
        </w:tc>
        <w:tc>
          <w:tcPr>
            <w:tcW w:w="2180" w:type="dxa"/>
            <w:vAlign w:val="bottom"/>
            <w:tcBorders>
              <w:bottom w:val="single" w:sz="8" w:color="auto"/>
              <w:right w:val="single" w:sz="8" w:color="auto"/>
            </w:tcBorders>
          </w:tcPr>
          <w:p>
            <w:pPr>
              <w:spacing w:after="0"/>
              <w:rPr>
                <w:sz w:val="2"/>
                <w:szCs w:val="2"/>
                <w:color w:val="auto"/>
              </w:rPr>
            </w:pPr>
          </w:p>
        </w:tc>
        <w:tc>
          <w:tcPr>
            <w:tcW w:w="2160" w:type="dxa"/>
            <w:vAlign w:val="bottom"/>
            <w:tcBorders>
              <w:bottom w:val="single" w:sz="8" w:color="auto"/>
              <w:right w:val="single" w:sz="8" w:color="auto"/>
            </w:tcBorders>
          </w:tcPr>
          <w:p>
            <w:pPr>
              <w:spacing w:after="0"/>
              <w:rPr>
                <w:sz w:val="2"/>
                <w:szCs w:val="2"/>
                <w:color w:val="auto"/>
              </w:rPr>
            </w:pPr>
          </w:p>
        </w:tc>
      </w:tr>
      <w:tr>
        <w:trPr>
          <w:trHeight w:val="237"/>
        </w:trPr>
        <w:tc>
          <w:tcPr>
            <w:tcW w:w="3880" w:type="dxa"/>
            <w:vAlign w:val="bottom"/>
            <w:tcBorders>
              <w:left w:val="single" w:sz="8" w:color="auto"/>
              <w:right w:val="single" w:sz="8" w:color="auto"/>
            </w:tcBorders>
          </w:tcPr>
          <w:p>
            <w:pPr>
              <w:ind w:left="40"/>
              <w:spacing w:after="0"/>
              <w:rPr>
                <w:sz w:val="20"/>
                <w:szCs w:val="20"/>
                <w:color w:val="auto"/>
              </w:rPr>
            </w:pPr>
            <w:r>
              <w:rPr>
                <w:rFonts w:ascii="Arial" w:cs="Arial" w:eastAsia="Arial" w:hAnsi="Arial"/>
                <w:sz w:val="18"/>
                <w:szCs w:val="18"/>
                <w:color w:val="auto"/>
              </w:rPr>
              <w:t>Deutsche Bank AG New York Branch</w:t>
            </w:r>
          </w:p>
        </w:tc>
        <w:tc>
          <w:tcPr>
            <w:tcW w:w="218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6"/>
              </w:rPr>
              <w:t>[***]</w:t>
            </w:r>
          </w:p>
        </w:tc>
        <w:tc>
          <w:tcPr>
            <w:tcW w:w="218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6"/>
              </w:rPr>
              <w:t>[***]</w:t>
            </w:r>
          </w:p>
        </w:tc>
        <w:tc>
          <w:tcPr>
            <w:tcW w:w="2160" w:type="dxa"/>
            <w:vAlign w:val="bottom"/>
            <w:tcBorders>
              <w:right w:val="single" w:sz="8" w:color="auto"/>
            </w:tcBorders>
          </w:tcPr>
          <w:p>
            <w:pPr>
              <w:spacing w:after="0"/>
              <w:rPr>
                <w:sz w:val="20"/>
                <w:szCs w:val="20"/>
                <w:color w:val="auto"/>
              </w:rPr>
            </w:pPr>
          </w:p>
        </w:tc>
      </w:tr>
      <w:tr>
        <w:trPr>
          <w:trHeight w:val="27"/>
        </w:trPr>
        <w:tc>
          <w:tcPr>
            <w:tcW w:w="3880" w:type="dxa"/>
            <w:vAlign w:val="bottom"/>
            <w:tcBorders>
              <w:left w:val="single" w:sz="8" w:color="auto"/>
              <w:bottom w:val="single" w:sz="8" w:color="auto"/>
              <w:right w:val="single" w:sz="8" w:color="auto"/>
            </w:tcBorders>
          </w:tcPr>
          <w:p>
            <w:pPr>
              <w:spacing w:after="0"/>
              <w:rPr>
                <w:sz w:val="2"/>
                <w:szCs w:val="2"/>
                <w:color w:val="auto"/>
              </w:rPr>
            </w:pPr>
          </w:p>
        </w:tc>
        <w:tc>
          <w:tcPr>
            <w:tcW w:w="2180" w:type="dxa"/>
            <w:vAlign w:val="bottom"/>
            <w:tcBorders>
              <w:bottom w:val="single" w:sz="8" w:color="auto"/>
              <w:right w:val="single" w:sz="8" w:color="auto"/>
            </w:tcBorders>
          </w:tcPr>
          <w:p>
            <w:pPr>
              <w:spacing w:after="0"/>
              <w:rPr>
                <w:sz w:val="2"/>
                <w:szCs w:val="2"/>
                <w:color w:val="auto"/>
              </w:rPr>
            </w:pPr>
          </w:p>
        </w:tc>
        <w:tc>
          <w:tcPr>
            <w:tcW w:w="2180" w:type="dxa"/>
            <w:vAlign w:val="bottom"/>
            <w:tcBorders>
              <w:bottom w:val="single" w:sz="8" w:color="auto"/>
              <w:right w:val="single" w:sz="8" w:color="auto"/>
            </w:tcBorders>
          </w:tcPr>
          <w:p>
            <w:pPr>
              <w:spacing w:after="0"/>
              <w:rPr>
                <w:sz w:val="2"/>
                <w:szCs w:val="2"/>
                <w:color w:val="auto"/>
              </w:rPr>
            </w:pPr>
          </w:p>
        </w:tc>
        <w:tc>
          <w:tcPr>
            <w:tcW w:w="2160" w:type="dxa"/>
            <w:vAlign w:val="bottom"/>
            <w:tcBorders>
              <w:bottom w:val="single" w:sz="8" w:color="auto"/>
              <w:right w:val="single" w:sz="8" w:color="auto"/>
            </w:tcBorders>
          </w:tcPr>
          <w:p>
            <w:pPr>
              <w:spacing w:after="0"/>
              <w:rPr>
                <w:sz w:val="2"/>
                <w:szCs w:val="2"/>
                <w:color w:val="auto"/>
              </w:rPr>
            </w:pPr>
          </w:p>
        </w:tc>
      </w:tr>
      <w:tr>
        <w:trPr>
          <w:trHeight w:val="237"/>
        </w:trPr>
        <w:tc>
          <w:tcPr>
            <w:tcW w:w="3880" w:type="dxa"/>
            <w:vAlign w:val="bottom"/>
            <w:tcBorders>
              <w:left w:val="single" w:sz="8" w:color="auto"/>
              <w:right w:val="single" w:sz="8" w:color="auto"/>
            </w:tcBorders>
          </w:tcPr>
          <w:p>
            <w:pPr>
              <w:ind w:left="40"/>
              <w:spacing w:after="0"/>
              <w:rPr>
                <w:sz w:val="20"/>
                <w:szCs w:val="20"/>
                <w:color w:val="auto"/>
              </w:rPr>
            </w:pPr>
            <w:r>
              <w:rPr>
                <w:rFonts w:ascii="Arial" w:cs="Arial" w:eastAsia="Arial" w:hAnsi="Arial"/>
                <w:sz w:val="18"/>
                <w:szCs w:val="18"/>
                <w:color w:val="auto"/>
              </w:rPr>
              <w:t>Goldman Sachs Bank USA</w:t>
            </w:r>
          </w:p>
        </w:tc>
        <w:tc>
          <w:tcPr>
            <w:tcW w:w="218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6"/>
              </w:rPr>
              <w:t>[***]</w:t>
            </w:r>
          </w:p>
        </w:tc>
        <w:tc>
          <w:tcPr>
            <w:tcW w:w="218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6"/>
              </w:rPr>
              <w:t>[***]</w:t>
            </w:r>
          </w:p>
        </w:tc>
        <w:tc>
          <w:tcPr>
            <w:tcW w:w="2160" w:type="dxa"/>
            <w:vAlign w:val="bottom"/>
            <w:tcBorders>
              <w:right w:val="single" w:sz="8" w:color="auto"/>
            </w:tcBorders>
          </w:tcPr>
          <w:p>
            <w:pPr>
              <w:spacing w:after="0"/>
              <w:rPr>
                <w:sz w:val="20"/>
                <w:szCs w:val="20"/>
                <w:color w:val="auto"/>
              </w:rPr>
            </w:pPr>
          </w:p>
        </w:tc>
      </w:tr>
      <w:tr>
        <w:trPr>
          <w:trHeight w:val="27"/>
        </w:trPr>
        <w:tc>
          <w:tcPr>
            <w:tcW w:w="3880" w:type="dxa"/>
            <w:vAlign w:val="bottom"/>
            <w:tcBorders>
              <w:left w:val="single" w:sz="8" w:color="auto"/>
              <w:bottom w:val="single" w:sz="8" w:color="auto"/>
              <w:right w:val="single" w:sz="8" w:color="auto"/>
            </w:tcBorders>
          </w:tcPr>
          <w:p>
            <w:pPr>
              <w:spacing w:after="0"/>
              <w:rPr>
                <w:sz w:val="2"/>
                <w:szCs w:val="2"/>
                <w:color w:val="auto"/>
              </w:rPr>
            </w:pPr>
          </w:p>
        </w:tc>
        <w:tc>
          <w:tcPr>
            <w:tcW w:w="2180" w:type="dxa"/>
            <w:vAlign w:val="bottom"/>
            <w:tcBorders>
              <w:bottom w:val="single" w:sz="8" w:color="auto"/>
              <w:right w:val="single" w:sz="8" w:color="auto"/>
            </w:tcBorders>
          </w:tcPr>
          <w:p>
            <w:pPr>
              <w:spacing w:after="0"/>
              <w:rPr>
                <w:sz w:val="2"/>
                <w:szCs w:val="2"/>
                <w:color w:val="auto"/>
              </w:rPr>
            </w:pPr>
          </w:p>
        </w:tc>
        <w:tc>
          <w:tcPr>
            <w:tcW w:w="2180" w:type="dxa"/>
            <w:vAlign w:val="bottom"/>
            <w:tcBorders>
              <w:bottom w:val="single" w:sz="8" w:color="auto"/>
              <w:right w:val="single" w:sz="8" w:color="auto"/>
            </w:tcBorders>
          </w:tcPr>
          <w:p>
            <w:pPr>
              <w:spacing w:after="0"/>
              <w:rPr>
                <w:sz w:val="2"/>
                <w:szCs w:val="2"/>
                <w:color w:val="auto"/>
              </w:rPr>
            </w:pPr>
          </w:p>
        </w:tc>
        <w:tc>
          <w:tcPr>
            <w:tcW w:w="2160" w:type="dxa"/>
            <w:vAlign w:val="bottom"/>
            <w:tcBorders>
              <w:bottom w:val="single" w:sz="8" w:color="auto"/>
              <w:right w:val="single" w:sz="8" w:color="auto"/>
            </w:tcBorders>
          </w:tcPr>
          <w:p>
            <w:pPr>
              <w:spacing w:after="0"/>
              <w:rPr>
                <w:sz w:val="2"/>
                <w:szCs w:val="2"/>
                <w:color w:val="auto"/>
              </w:rPr>
            </w:pPr>
          </w:p>
        </w:tc>
      </w:tr>
      <w:tr>
        <w:trPr>
          <w:trHeight w:val="222"/>
        </w:trPr>
        <w:tc>
          <w:tcPr>
            <w:tcW w:w="3880" w:type="dxa"/>
            <w:vAlign w:val="bottom"/>
            <w:tcBorders>
              <w:left w:val="single" w:sz="8" w:color="auto"/>
              <w:right w:val="single" w:sz="8" w:color="auto"/>
            </w:tcBorders>
          </w:tcPr>
          <w:p>
            <w:pPr>
              <w:ind w:left="40"/>
              <w:spacing w:after="0"/>
              <w:rPr>
                <w:sz w:val="20"/>
                <w:szCs w:val="20"/>
                <w:color w:val="auto"/>
              </w:rPr>
            </w:pPr>
            <w:r>
              <w:rPr>
                <w:rFonts w:ascii="Arial" w:cs="Arial" w:eastAsia="Arial" w:hAnsi="Arial"/>
                <w:sz w:val="18"/>
                <w:szCs w:val="18"/>
                <w:color w:val="auto"/>
              </w:rPr>
              <w:t>Industrial and Commercial Bank of China</w:t>
            </w:r>
          </w:p>
        </w:tc>
        <w:tc>
          <w:tcPr>
            <w:tcW w:w="218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6"/>
              </w:rPr>
              <w:t>[***]</w:t>
            </w:r>
          </w:p>
        </w:tc>
        <w:tc>
          <w:tcPr>
            <w:tcW w:w="218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6"/>
              </w:rPr>
              <w:t>[***]</w:t>
            </w:r>
          </w:p>
        </w:tc>
        <w:tc>
          <w:tcPr>
            <w:tcW w:w="2160" w:type="dxa"/>
            <w:vAlign w:val="bottom"/>
            <w:tcBorders>
              <w:right w:val="single" w:sz="8" w:color="auto"/>
            </w:tcBorders>
          </w:tcPr>
          <w:p>
            <w:pPr>
              <w:spacing w:after="0"/>
              <w:rPr>
                <w:sz w:val="19"/>
                <w:szCs w:val="19"/>
                <w:color w:val="auto"/>
              </w:rPr>
            </w:pPr>
          </w:p>
        </w:tc>
      </w:tr>
      <w:tr>
        <w:trPr>
          <w:trHeight w:val="224"/>
        </w:trPr>
        <w:tc>
          <w:tcPr>
            <w:tcW w:w="3880" w:type="dxa"/>
            <w:vAlign w:val="bottom"/>
            <w:tcBorders>
              <w:left w:val="single" w:sz="8" w:color="auto"/>
              <w:bottom w:val="single" w:sz="8" w:color="auto"/>
              <w:right w:val="single" w:sz="8" w:color="auto"/>
            </w:tcBorders>
          </w:tcPr>
          <w:p>
            <w:pPr>
              <w:ind w:left="40"/>
              <w:spacing w:after="0"/>
              <w:rPr>
                <w:sz w:val="20"/>
                <w:szCs w:val="20"/>
                <w:color w:val="auto"/>
              </w:rPr>
            </w:pPr>
            <w:r>
              <w:rPr>
                <w:rFonts w:ascii="Arial" w:cs="Arial" w:eastAsia="Arial" w:hAnsi="Arial"/>
                <w:sz w:val="18"/>
                <w:szCs w:val="18"/>
                <w:color w:val="auto"/>
              </w:rPr>
              <w:t>Limited, New York Branch</w:t>
            </w:r>
          </w:p>
        </w:tc>
        <w:tc>
          <w:tcPr>
            <w:tcW w:w="2180" w:type="dxa"/>
            <w:vAlign w:val="bottom"/>
            <w:tcBorders>
              <w:bottom w:val="single" w:sz="8" w:color="auto"/>
              <w:right w:val="single" w:sz="8" w:color="auto"/>
            </w:tcBorders>
          </w:tcPr>
          <w:p>
            <w:pPr>
              <w:spacing w:after="0"/>
              <w:rPr>
                <w:sz w:val="19"/>
                <w:szCs w:val="19"/>
                <w:color w:val="auto"/>
              </w:rPr>
            </w:pPr>
          </w:p>
        </w:tc>
        <w:tc>
          <w:tcPr>
            <w:tcW w:w="2180" w:type="dxa"/>
            <w:vAlign w:val="bottom"/>
            <w:tcBorders>
              <w:bottom w:val="single" w:sz="8" w:color="auto"/>
              <w:right w:val="single" w:sz="8" w:color="auto"/>
            </w:tcBorders>
          </w:tcPr>
          <w:p>
            <w:pPr>
              <w:spacing w:after="0"/>
              <w:rPr>
                <w:sz w:val="19"/>
                <w:szCs w:val="19"/>
                <w:color w:val="auto"/>
              </w:rPr>
            </w:pPr>
          </w:p>
        </w:tc>
        <w:tc>
          <w:tcPr>
            <w:tcW w:w="2160" w:type="dxa"/>
            <w:vAlign w:val="bottom"/>
            <w:tcBorders>
              <w:bottom w:val="single" w:sz="8" w:color="auto"/>
              <w:right w:val="single" w:sz="8" w:color="auto"/>
            </w:tcBorders>
          </w:tcPr>
          <w:p>
            <w:pPr>
              <w:spacing w:after="0"/>
              <w:rPr>
                <w:sz w:val="19"/>
                <w:szCs w:val="19"/>
                <w:color w:val="auto"/>
              </w:rPr>
            </w:pPr>
          </w:p>
        </w:tc>
      </w:tr>
      <w:tr>
        <w:trPr>
          <w:trHeight w:val="243"/>
        </w:trPr>
        <w:tc>
          <w:tcPr>
            <w:tcW w:w="3880" w:type="dxa"/>
            <w:vAlign w:val="bottom"/>
            <w:tcBorders>
              <w:left w:val="single" w:sz="8" w:color="auto"/>
              <w:right w:val="single" w:sz="8" w:color="auto"/>
            </w:tcBorders>
          </w:tcPr>
          <w:p>
            <w:pPr>
              <w:ind w:left="40"/>
              <w:spacing w:after="0"/>
              <w:rPr>
                <w:sz w:val="20"/>
                <w:szCs w:val="20"/>
                <w:color w:val="auto"/>
              </w:rPr>
            </w:pPr>
            <w:r>
              <w:rPr>
                <w:rFonts w:ascii="Arial" w:cs="Arial" w:eastAsia="Arial" w:hAnsi="Arial"/>
                <w:sz w:val="18"/>
                <w:szCs w:val="18"/>
                <w:color w:val="auto"/>
              </w:rPr>
              <w:t>JPMorgan Chase Bank, N.A.</w:t>
            </w:r>
          </w:p>
        </w:tc>
        <w:tc>
          <w:tcPr>
            <w:tcW w:w="218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6"/>
              </w:rPr>
              <w:t>[***]</w:t>
            </w:r>
          </w:p>
        </w:tc>
        <w:tc>
          <w:tcPr>
            <w:tcW w:w="218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6"/>
              </w:rPr>
              <w:t>[***]</w:t>
            </w:r>
          </w:p>
        </w:tc>
        <w:tc>
          <w:tcPr>
            <w:tcW w:w="2160" w:type="dxa"/>
            <w:vAlign w:val="bottom"/>
            <w:tcBorders>
              <w:right w:val="single" w:sz="8" w:color="auto"/>
            </w:tcBorders>
          </w:tcPr>
          <w:p>
            <w:pPr>
              <w:spacing w:after="0"/>
              <w:rPr>
                <w:sz w:val="21"/>
                <w:szCs w:val="21"/>
                <w:color w:val="auto"/>
              </w:rPr>
            </w:pPr>
          </w:p>
        </w:tc>
      </w:tr>
      <w:tr>
        <w:trPr>
          <w:trHeight w:val="27"/>
        </w:trPr>
        <w:tc>
          <w:tcPr>
            <w:tcW w:w="3880" w:type="dxa"/>
            <w:vAlign w:val="bottom"/>
            <w:tcBorders>
              <w:left w:val="single" w:sz="8" w:color="auto"/>
              <w:bottom w:val="single" w:sz="8" w:color="auto"/>
              <w:right w:val="single" w:sz="8" w:color="auto"/>
            </w:tcBorders>
          </w:tcPr>
          <w:p>
            <w:pPr>
              <w:spacing w:after="0"/>
              <w:rPr>
                <w:sz w:val="2"/>
                <w:szCs w:val="2"/>
                <w:color w:val="auto"/>
              </w:rPr>
            </w:pPr>
          </w:p>
        </w:tc>
        <w:tc>
          <w:tcPr>
            <w:tcW w:w="2180" w:type="dxa"/>
            <w:vAlign w:val="bottom"/>
            <w:tcBorders>
              <w:bottom w:val="single" w:sz="8" w:color="auto"/>
              <w:right w:val="single" w:sz="8" w:color="auto"/>
            </w:tcBorders>
          </w:tcPr>
          <w:p>
            <w:pPr>
              <w:spacing w:after="0"/>
              <w:rPr>
                <w:sz w:val="2"/>
                <w:szCs w:val="2"/>
                <w:color w:val="auto"/>
              </w:rPr>
            </w:pPr>
          </w:p>
        </w:tc>
        <w:tc>
          <w:tcPr>
            <w:tcW w:w="2180" w:type="dxa"/>
            <w:vAlign w:val="bottom"/>
            <w:tcBorders>
              <w:bottom w:val="single" w:sz="8" w:color="auto"/>
              <w:right w:val="single" w:sz="8" w:color="auto"/>
            </w:tcBorders>
          </w:tcPr>
          <w:p>
            <w:pPr>
              <w:spacing w:after="0"/>
              <w:rPr>
                <w:sz w:val="2"/>
                <w:szCs w:val="2"/>
                <w:color w:val="auto"/>
              </w:rPr>
            </w:pPr>
          </w:p>
        </w:tc>
        <w:tc>
          <w:tcPr>
            <w:tcW w:w="2160" w:type="dxa"/>
            <w:vAlign w:val="bottom"/>
            <w:tcBorders>
              <w:bottom w:val="single" w:sz="8" w:color="auto"/>
              <w:right w:val="single" w:sz="8" w:color="auto"/>
            </w:tcBorders>
          </w:tcPr>
          <w:p>
            <w:pPr>
              <w:spacing w:after="0"/>
              <w:rPr>
                <w:sz w:val="2"/>
                <w:szCs w:val="2"/>
                <w:color w:val="auto"/>
              </w:rPr>
            </w:pPr>
          </w:p>
        </w:tc>
      </w:tr>
      <w:tr>
        <w:trPr>
          <w:trHeight w:val="237"/>
        </w:trPr>
        <w:tc>
          <w:tcPr>
            <w:tcW w:w="3880" w:type="dxa"/>
            <w:vAlign w:val="bottom"/>
            <w:tcBorders>
              <w:left w:val="single" w:sz="8" w:color="auto"/>
              <w:right w:val="single" w:sz="8" w:color="auto"/>
            </w:tcBorders>
          </w:tcPr>
          <w:p>
            <w:pPr>
              <w:ind w:left="40"/>
              <w:spacing w:after="0"/>
              <w:rPr>
                <w:sz w:val="20"/>
                <w:szCs w:val="20"/>
                <w:color w:val="auto"/>
              </w:rPr>
            </w:pPr>
            <w:r>
              <w:rPr>
                <w:rFonts w:ascii="Arial" w:cs="Arial" w:eastAsia="Arial" w:hAnsi="Arial"/>
                <w:sz w:val="18"/>
                <w:szCs w:val="18"/>
                <w:color w:val="auto"/>
              </w:rPr>
              <w:t>Morgan Stanley Bank, N.A.</w:t>
            </w:r>
          </w:p>
        </w:tc>
        <w:tc>
          <w:tcPr>
            <w:tcW w:w="218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6"/>
              </w:rPr>
              <w:t>[***]</w:t>
            </w:r>
          </w:p>
        </w:tc>
        <w:tc>
          <w:tcPr>
            <w:tcW w:w="218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6"/>
              </w:rPr>
              <w:t>[***]</w:t>
            </w:r>
          </w:p>
        </w:tc>
        <w:tc>
          <w:tcPr>
            <w:tcW w:w="2160" w:type="dxa"/>
            <w:vAlign w:val="bottom"/>
            <w:tcBorders>
              <w:right w:val="single" w:sz="8" w:color="auto"/>
            </w:tcBorders>
          </w:tcPr>
          <w:p>
            <w:pPr>
              <w:spacing w:after="0"/>
              <w:rPr>
                <w:sz w:val="20"/>
                <w:szCs w:val="20"/>
                <w:color w:val="auto"/>
              </w:rPr>
            </w:pPr>
          </w:p>
        </w:tc>
      </w:tr>
      <w:tr>
        <w:trPr>
          <w:trHeight w:val="27"/>
        </w:trPr>
        <w:tc>
          <w:tcPr>
            <w:tcW w:w="3880" w:type="dxa"/>
            <w:vAlign w:val="bottom"/>
            <w:tcBorders>
              <w:left w:val="single" w:sz="8" w:color="auto"/>
              <w:bottom w:val="single" w:sz="8" w:color="auto"/>
              <w:right w:val="single" w:sz="8" w:color="auto"/>
            </w:tcBorders>
          </w:tcPr>
          <w:p>
            <w:pPr>
              <w:spacing w:after="0"/>
              <w:rPr>
                <w:sz w:val="2"/>
                <w:szCs w:val="2"/>
                <w:color w:val="auto"/>
              </w:rPr>
            </w:pPr>
          </w:p>
        </w:tc>
        <w:tc>
          <w:tcPr>
            <w:tcW w:w="2180" w:type="dxa"/>
            <w:vAlign w:val="bottom"/>
            <w:tcBorders>
              <w:bottom w:val="single" w:sz="8" w:color="auto"/>
              <w:right w:val="single" w:sz="8" w:color="auto"/>
            </w:tcBorders>
          </w:tcPr>
          <w:p>
            <w:pPr>
              <w:spacing w:after="0"/>
              <w:rPr>
                <w:sz w:val="2"/>
                <w:szCs w:val="2"/>
                <w:color w:val="auto"/>
              </w:rPr>
            </w:pPr>
          </w:p>
        </w:tc>
        <w:tc>
          <w:tcPr>
            <w:tcW w:w="2180" w:type="dxa"/>
            <w:vAlign w:val="bottom"/>
            <w:tcBorders>
              <w:bottom w:val="single" w:sz="8" w:color="auto"/>
              <w:right w:val="single" w:sz="8" w:color="auto"/>
            </w:tcBorders>
          </w:tcPr>
          <w:p>
            <w:pPr>
              <w:spacing w:after="0"/>
              <w:rPr>
                <w:sz w:val="2"/>
                <w:szCs w:val="2"/>
                <w:color w:val="auto"/>
              </w:rPr>
            </w:pPr>
          </w:p>
        </w:tc>
        <w:tc>
          <w:tcPr>
            <w:tcW w:w="2160" w:type="dxa"/>
            <w:vAlign w:val="bottom"/>
            <w:tcBorders>
              <w:bottom w:val="single" w:sz="8" w:color="auto"/>
              <w:right w:val="single" w:sz="8" w:color="auto"/>
            </w:tcBorders>
          </w:tcPr>
          <w:p>
            <w:pPr>
              <w:spacing w:after="0"/>
              <w:rPr>
                <w:sz w:val="2"/>
                <w:szCs w:val="2"/>
                <w:color w:val="auto"/>
              </w:rPr>
            </w:pPr>
          </w:p>
        </w:tc>
      </w:tr>
      <w:tr>
        <w:trPr>
          <w:trHeight w:val="237"/>
        </w:trPr>
        <w:tc>
          <w:tcPr>
            <w:tcW w:w="3880" w:type="dxa"/>
            <w:vAlign w:val="bottom"/>
            <w:tcBorders>
              <w:left w:val="single" w:sz="8" w:color="auto"/>
              <w:right w:val="single" w:sz="8" w:color="auto"/>
            </w:tcBorders>
          </w:tcPr>
          <w:p>
            <w:pPr>
              <w:ind w:left="40"/>
              <w:spacing w:after="0"/>
              <w:rPr>
                <w:sz w:val="20"/>
                <w:szCs w:val="20"/>
                <w:color w:val="auto"/>
              </w:rPr>
            </w:pPr>
            <w:r>
              <w:rPr>
                <w:rFonts w:ascii="Arial" w:cs="Arial" w:eastAsia="Arial" w:hAnsi="Arial"/>
                <w:sz w:val="18"/>
                <w:szCs w:val="18"/>
                <w:color w:val="auto"/>
              </w:rPr>
              <w:t>Morgan Stanley Senior Funding, Inc.</w:t>
            </w:r>
          </w:p>
        </w:tc>
        <w:tc>
          <w:tcPr>
            <w:tcW w:w="218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6"/>
              </w:rPr>
              <w:t>[***]</w:t>
            </w:r>
          </w:p>
        </w:tc>
        <w:tc>
          <w:tcPr>
            <w:tcW w:w="218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6"/>
              </w:rPr>
              <w:t>[***]</w:t>
            </w:r>
          </w:p>
        </w:tc>
        <w:tc>
          <w:tcPr>
            <w:tcW w:w="2160" w:type="dxa"/>
            <w:vAlign w:val="bottom"/>
            <w:tcBorders>
              <w:right w:val="single" w:sz="8" w:color="auto"/>
            </w:tcBorders>
          </w:tcPr>
          <w:p>
            <w:pPr>
              <w:spacing w:after="0"/>
              <w:rPr>
                <w:sz w:val="20"/>
                <w:szCs w:val="20"/>
                <w:color w:val="auto"/>
              </w:rPr>
            </w:pPr>
          </w:p>
        </w:tc>
      </w:tr>
      <w:tr>
        <w:trPr>
          <w:trHeight w:val="27"/>
        </w:trPr>
        <w:tc>
          <w:tcPr>
            <w:tcW w:w="3880" w:type="dxa"/>
            <w:vAlign w:val="bottom"/>
            <w:tcBorders>
              <w:left w:val="single" w:sz="8" w:color="auto"/>
              <w:bottom w:val="single" w:sz="8" w:color="auto"/>
              <w:right w:val="single" w:sz="8" w:color="auto"/>
            </w:tcBorders>
          </w:tcPr>
          <w:p>
            <w:pPr>
              <w:spacing w:after="0"/>
              <w:rPr>
                <w:sz w:val="2"/>
                <w:szCs w:val="2"/>
                <w:color w:val="auto"/>
              </w:rPr>
            </w:pPr>
          </w:p>
        </w:tc>
        <w:tc>
          <w:tcPr>
            <w:tcW w:w="2180" w:type="dxa"/>
            <w:vAlign w:val="bottom"/>
            <w:tcBorders>
              <w:bottom w:val="single" w:sz="8" w:color="auto"/>
              <w:right w:val="single" w:sz="8" w:color="auto"/>
            </w:tcBorders>
          </w:tcPr>
          <w:p>
            <w:pPr>
              <w:spacing w:after="0"/>
              <w:rPr>
                <w:sz w:val="2"/>
                <w:szCs w:val="2"/>
                <w:color w:val="auto"/>
              </w:rPr>
            </w:pPr>
          </w:p>
        </w:tc>
        <w:tc>
          <w:tcPr>
            <w:tcW w:w="2180" w:type="dxa"/>
            <w:vAlign w:val="bottom"/>
            <w:tcBorders>
              <w:bottom w:val="single" w:sz="8" w:color="auto"/>
              <w:right w:val="single" w:sz="8" w:color="auto"/>
            </w:tcBorders>
          </w:tcPr>
          <w:p>
            <w:pPr>
              <w:spacing w:after="0"/>
              <w:rPr>
                <w:sz w:val="2"/>
                <w:szCs w:val="2"/>
                <w:color w:val="auto"/>
              </w:rPr>
            </w:pPr>
          </w:p>
        </w:tc>
        <w:tc>
          <w:tcPr>
            <w:tcW w:w="2160" w:type="dxa"/>
            <w:vAlign w:val="bottom"/>
            <w:tcBorders>
              <w:bottom w:val="single" w:sz="8" w:color="auto"/>
              <w:right w:val="single" w:sz="8" w:color="auto"/>
            </w:tcBorders>
          </w:tcPr>
          <w:p>
            <w:pPr>
              <w:spacing w:after="0"/>
              <w:rPr>
                <w:sz w:val="2"/>
                <w:szCs w:val="2"/>
                <w:color w:val="auto"/>
              </w:rPr>
            </w:pPr>
          </w:p>
        </w:tc>
      </w:tr>
      <w:tr>
        <w:trPr>
          <w:trHeight w:val="237"/>
        </w:trPr>
        <w:tc>
          <w:tcPr>
            <w:tcW w:w="3880" w:type="dxa"/>
            <w:vAlign w:val="bottom"/>
            <w:tcBorders>
              <w:left w:val="single" w:sz="8" w:color="auto"/>
              <w:right w:val="single" w:sz="8" w:color="auto"/>
            </w:tcBorders>
          </w:tcPr>
          <w:p>
            <w:pPr>
              <w:ind w:left="40"/>
              <w:spacing w:after="0"/>
              <w:rPr>
                <w:sz w:val="20"/>
                <w:szCs w:val="20"/>
                <w:color w:val="auto"/>
              </w:rPr>
            </w:pPr>
            <w:r>
              <w:rPr>
                <w:rFonts w:ascii="Arial" w:cs="Arial" w:eastAsia="Arial" w:hAnsi="Arial"/>
                <w:sz w:val="18"/>
                <w:szCs w:val="18"/>
                <w:color w:val="auto"/>
              </w:rPr>
              <w:t>Sumitomo Mitsui Banking Corporation</w:t>
            </w:r>
          </w:p>
        </w:tc>
        <w:tc>
          <w:tcPr>
            <w:tcW w:w="218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6"/>
              </w:rPr>
              <w:t>[***]</w:t>
            </w:r>
          </w:p>
        </w:tc>
        <w:tc>
          <w:tcPr>
            <w:tcW w:w="218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6"/>
              </w:rPr>
              <w:t>[***]</w:t>
            </w:r>
          </w:p>
        </w:tc>
        <w:tc>
          <w:tcPr>
            <w:tcW w:w="2160" w:type="dxa"/>
            <w:vAlign w:val="bottom"/>
            <w:tcBorders>
              <w:right w:val="single" w:sz="8" w:color="auto"/>
            </w:tcBorders>
          </w:tcPr>
          <w:p>
            <w:pPr>
              <w:spacing w:after="0"/>
              <w:rPr>
                <w:sz w:val="20"/>
                <w:szCs w:val="20"/>
                <w:color w:val="auto"/>
              </w:rPr>
            </w:pPr>
          </w:p>
        </w:tc>
      </w:tr>
      <w:tr>
        <w:trPr>
          <w:trHeight w:val="27"/>
        </w:trPr>
        <w:tc>
          <w:tcPr>
            <w:tcW w:w="3880" w:type="dxa"/>
            <w:vAlign w:val="bottom"/>
            <w:tcBorders>
              <w:left w:val="single" w:sz="8" w:color="auto"/>
              <w:bottom w:val="single" w:sz="8" w:color="auto"/>
              <w:right w:val="single" w:sz="8" w:color="auto"/>
            </w:tcBorders>
          </w:tcPr>
          <w:p>
            <w:pPr>
              <w:spacing w:after="0"/>
              <w:rPr>
                <w:sz w:val="2"/>
                <w:szCs w:val="2"/>
                <w:color w:val="auto"/>
              </w:rPr>
            </w:pPr>
          </w:p>
        </w:tc>
        <w:tc>
          <w:tcPr>
            <w:tcW w:w="2180" w:type="dxa"/>
            <w:vAlign w:val="bottom"/>
            <w:tcBorders>
              <w:bottom w:val="single" w:sz="8" w:color="auto"/>
              <w:right w:val="single" w:sz="8" w:color="auto"/>
            </w:tcBorders>
          </w:tcPr>
          <w:p>
            <w:pPr>
              <w:spacing w:after="0"/>
              <w:rPr>
                <w:sz w:val="2"/>
                <w:szCs w:val="2"/>
                <w:color w:val="auto"/>
              </w:rPr>
            </w:pPr>
          </w:p>
        </w:tc>
        <w:tc>
          <w:tcPr>
            <w:tcW w:w="2180" w:type="dxa"/>
            <w:vAlign w:val="bottom"/>
            <w:tcBorders>
              <w:bottom w:val="single" w:sz="8" w:color="auto"/>
              <w:right w:val="single" w:sz="8" w:color="auto"/>
            </w:tcBorders>
          </w:tcPr>
          <w:p>
            <w:pPr>
              <w:spacing w:after="0"/>
              <w:rPr>
                <w:sz w:val="2"/>
                <w:szCs w:val="2"/>
                <w:color w:val="auto"/>
              </w:rPr>
            </w:pPr>
          </w:p>
        </w:tc>
        <w:tc>
          <w:tcPr>
            <w:tcW w:w="2160" w:type="dxa"/>
            <w:vAlign w:val="bottom"/>
            <w:tcBorders>
              <w:bottom w:val="single" w:sz="8" w:color="auto"/>
              <w:right w:val="single" w:sz="8" w:color="auto"/>
            </w:tcBorders>
          </w:tcPr>
          <w:p>
            <w:pPr>
              <w:spacing w:after="0"/>
              <w:rPr>
                <w:sz w:val="2"/>
                <w:szCs w:val="2"/>
                <w:color w:val="auto"/>
              </w:rPr>
            </w:pPr>
          </w:p>
        </w:tc>
      </w:tr>
      <w:tr>
        <w:trPr>
          <w:trHeight w:val="237"/>
        </w:trPr>
        <w:tc>
          <w:tcPr>
            <w:tcW w:w="3880" w:type="dxa"/>
            <w:vAlign w:val="bottom"/>
            <w:tcBorders>
              <w:left w:val="single" w:sz="8" w:color="auto"/>
              <w:right w:val="single" w:sz="8" w:color="auto"/>
            </w:tcBorders>
          </w:tcPr>
          <w:p>
            <w:pPr>
              <w:ind w:left="40"/>
              <w:spacing w:after="0"/>
              <w:rPr>
                <w:sz w:val="20"/>
                <w:szCs w:val="20"/>
                <w:color w:val="auto"/>
              </w:rPr>
            </w:pPr>
            <w:r>
              <w:rPr>
                <w:rFonts w:ascii="Arial" w:cs="Arial" w:eastAsia="Arial" w:hAnsi="Arial"/>
                <w:sz w:val="18"/>
                <w:szCs w:val="18"/>
                <w:color w:val="auto"/>
              </w:rPr>
              <w:t>BNP Paribas</w:t>
            </w:r>
          </w:p>
        </w:tc>
        <w:tc>
          <w:tcPr>
            <w:tcW w:w="218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6"/>
              </w:rPr>
              <w:t>[***]</w:t>
            </w:r>
          </w:p>
        </w:tc>
        <w:tc>
          <w:tcPr>
            <w:tcW w:w="218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6"/>
              </w:rPr>
              <w:t>[***]</w:t>
            </w:r>
          </w:p>
        </w:tc>
        <w:tc>
          <w:tcPr>
            <w:tcW w:w="2160" w:type="dxa"/>
            <w:vAlign w:val="bottom"/>
            <w:tcBorders>
              <w:right w:val="single" w:sz="8" w:color="auto"/>
            </w:tcBorders>
          </w:tcPr>
          <w:p>
            <w:pPr>
              <w:spacing w:after="0"/>
              <w:rPr>
                <w:sz w:val="20"/>
                <w:szCs w:val="20"/>
                <w:color w:val="auto"/>
              </w:rPr>
            </w:pPr>
          </w:p>
        </w:tc>
      </w:tr>
      <w:tr>
        <w:trPr>
          <w:trHeight w:val="27"/>
        </w:trPr>
        <w:tc>
          <w:tcPr>
            <w:tcW w:w="3880" w:type="dxa"/>
            <w:vAlign w:val="bottom"/>
            <w:tcBorders>
              <w:left w:val="single" w:sz="8" w:color="auto"/>
              <w:bottom w:val="single" w:sz="8" w:color="auto"/>
              <w:right w:val="single" w:sz="8" w:color="auto"/>
            </w:tcBorders>
          </w:tcPr>
          <w:p>
            <w:pPr>
              <w:spacing w:after="0"/>
              <w:rPr>
                <w:sz w:val="2"/>
                <w:szCs w:val="2"/>
                <w:color w:val="auto"/>
              </w:rPr>
            </w:pPr>
          </w:p>
        </w:tc>
        <w:tc>
          <w:tcPr>
            <w:tcW w:w="2180" w:type="dxa"/>
            <w:vAlign w:val="bottom"/>
            <w:tcBorders>
              <w:bottom w:val="single" w:sz="8" w:color="auto"/>
              <w:right w:val="single" w:sz="8" w:color="auto"/>
            </w:tcBorders>
          </w:tcPr>
          <w:p>
            <w:pPr>
              <w:spacing w:after="0"/>
              <w:rPr>
                <w:sz w:val="2"/>
                <w:szCs w:val="2"/>
                <w:color w:val="auto"/>
              </w:rPr>
            </w:pPr>
          </w:p>
        </w:tc>
        <w:tc>
          <w:tcPr>
            <w:tcW w:w="2180" w:type="dxa"/>
            <w:vAlign w:val="bottom"/>
            <w:tcBorders>
              <w:bottom w:val="single" w:sz="8" w:color="auto"/>
              <w:right w:val="single" w:sz="8" w:color="auto"/>
            </w:tcBorders>
          </w:tcPr>
          <w:p>
            <w:pPr>
              <w:spacing w:after="0"/>
              <w:rPr>
                <w:sz w:val="2"/>
                <w:szCs w:val="2"/>
                <w:color w:val="auto"/>
              </w:rPr>
            </w:pPr>
          </w:p>
        </w:tc>
        <w:tc>
          <w:tcPr>
            <w:tcW w:w="2160" w:type="dxa"/>
            <w:vAlign w:val="bottom"/>
            <w:tcBorders>
              <w:bottom w:val="single" w:sz="8" w:color="auto"/>
              <w:right w:val="single" w:sz="8" w:color="auto"/>
            </w:tcBorders>
          </w:tcPr>
          <w:p>
            <w:pPr>
              <w:spacing w:after="0"/>
              <w:rPr>
                <w:sz w:val="2"/>
                <w:szCs w:val="2"/>
                <w:color w:val="auto"/>
              </w:rPr>
            </w:pPr>
          </w:p>
        </w:tc>
      </w:tr>
      <w:tr>
        <w:trPr>
          <w:trHeight w:val="237"/>
        </w:trPr>
        <w:tc>
          <w:tcPr>
            <w:tcW w:w="3880" w:type="dxa"/>
            <w:vAlign w:val="bottom"/>
            <w:tcBorders>
              <w:left w:val="single" w:sz="8" w:color="auto"/>
              <w:right w:val="single" w:sz="8" w:color="auto"/>
            </w:tcBorders>
          </w:tcPr>
          <w:p>
            <w:pPr>
              <w:ind w:left="40"/>
              <w:spacing w:after="0"/>
              <w:rPr>
                <w:sz w:val="20"/>
                <w:szCs w:val="20"/>
                <w:color w:val="auto"/>
              </w:rPr>
            </w:pPr>
            <w:r>
              <w:rPr>
                <w:rFonts w:ascii="Arial" w:cs="Arial" w:eastAsia="Arial" w:hAnsi="Arial"/>
                <w:sz w:val="18"/>
                <w:szCs w:val="18"/>
                <w:color w:val="auto"/>
              </w:rPr>
              <w:t>Credit Agricole Corporate and Investment Bank</w:t>
            </w:r>
          </w:p>
        </w:tc>
        <w:tc>
          <w:tcPr>
            <w:tcW w:w="218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6"/>
              </w:rPr>
              <w:t>[***]</w:t>
            </w:r>
          </w:p>
        </w:tc>
        <w:tc>
          <w:tcPr>
            <w:tcW w:w="218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6"/>
              </w:rPr>
              <w:t>[***]</w:t>
            </w:r>
          </w:p>
        </w:tc>
        <w:tc>
          <w:tcPr>
            <w:tcW w:w="2160" w:type="dxa"/>
            <w:vAlign w:val="bottom"/>
            <w:tcBorders>
              <w:right w:val="single" w:sz="8" w:color="auto"/>
            </w:tcBorders>
          </w:tcPr>
          <w:p>
            <w:pPr>
              <w:spacing w:after="0"/>
              <w:rPr>
                <w:sz w:val="20"/>
                <w:szCs w:val="20"/>
                <w:color w:val="auto"/>
              </w:rPr>
            </w:pPr>
          </w:p>
        </w:tc>
      </w:tr>
      <w:tr>
        <w:trPr>
          <w:trHeight w:val="27"/>
        </w:trPr>
        <w:tc>
          <w:tcPr>
            <w:tcW w:w="3880" w:type="dxa"/>
            <w:vAlign w:val="bottom"/>
            <w:tcBorders>
              <w:left w:val="single" w:sz="8" w:color="auto"/>
              <w:bottom w:val="single" w:sz="8" w:color="auto"/>
              <w:right w:val="single" w:sz="8" w:color="auto"/>
            </w:tcBorders>
          </w:tcPr>
          <w:p>
            <w:pPr>
              <w:spacing w:after="0"/>
              <w:rPr>
                <w:sz w:val="2"/>
                <w:szCs w:val="2"/>
                <w:color w:val="auto"/>
              </w:rPr>
            </w:pPr>
          </w:p>
        </w:tc>
        <w:tc>
          <w:tcPr>
            <w:tcW w:w="2180" w:type="dxa"/>
            <w:vAlign w:val="bottom"/>
            <w:tcBorders>
              <w:bottom w:val="single" w:sz="8" w:color="auto"/>
              <w:right w:val="single" w:sz="8" w:color="auto"/>
            </w:tcBorders>
          </w:tcPr>
          <w:p>
            <w:pPr>
              <w:spacing w:after="0"/>
              <w:rPr>
                <w:sz w:val="2"/>
                <w:szCs w:val="2"/>
                <w:color w:val="auto"/>
              </w:rPr>
            </w:pPr>
          </w:p>
        </w:tc>
        <w:tc>
          <w:tcPr>
            <w:tcW w:w="2180" w:type="dxa"/>
            <w:vAlign w:val="bottom"/>
            <w:tcBorders>
              <w:bottom w:val="single" w:sz="8" w:color="auto"/>
              <w:right w:val="single" w:sz="8" w:color="auto"/>
            </w:tcBorders>
          </w:tcPr>
          <w:p>
            <w:pPr>
              <w:spacing w:after="0"/>
              <w:rPr>
                <w:sz w:val="2"/>
                <w:szCs w:val="2"/>
                <w:color w:val="auto"/>
              </w:rPr>
            </w:pPr>
          </w:p>
        </w:tc>
        <w:tc>
          <w:tcPr>
            <w:tcW w:w="2160" w:type="dxa"/>
            <w:vAlign w:val="bottom"/>
            <w:tcBorders>
              <w:bottom w:val="single" w:sz="8" w:color="auto"/>
              <w:right w:val="single" w:sz="8" w:color="auto"/>
            </w:tcBorders>
          </w:tcPr>
          <w:p>
            <w:pPr>
              <w:spacing w:after="0"/>
              <w:rPr>
                <w:sz w:val="2"/>
                <w:szCs w:val="2"/>
                <w:color w:val="auto"/>
              </w:rPr>
            </w:pPr>
          </w:p>
        </w:tc>
      </w:tr>
      <w:tr>
        <w:trPr>
          <w:trHeight w:val="237"/>
        </w:trPr>
        <w:tc>
          <w:tcPr>
            <w:tcW w:w="3880" w:type="dxa"/>
            <w:vAlign w:val="bottom"/>
            <w:tcBorders>
              <w:left w:val="single" w:sz="8" w:color="auto"/>
              <w:right w:val="single" w:sz="8" w:color="auto"/>
            </w:tcBorders>
          </w:tcPr>
          <w:p>
            <w:pPr>
              <w:ind w:left="40"/>
              <w:spacing w:after="0"/>
              <w:rPr>
                <w:sz w:val="20"/>
                <w:szCs w:val="20"/>
                <w:color w:val="auto"/>
              </w:rPr>
            </w:pPr>
            <w:r>
              <w:rPr>
                <w:rFonts w:ascii="Arial" w:cs="Arial" w:eastAsia="Arial" w:hAnsi="Arial"/>
                <w:sz w:val="18"/>
                <w:szCs w:val="18"/>
                <w:color w:val="auto"/>
              </w:rPr>
              <w:t>HSBC Bank USA, N.A.</w:t>
            </w:r>
          </w:p>
        </w:tc>
        <w:tc>
          <w:tcPr>
            <w:tcW w:w="218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6"/>
              </w:rPr>
              <w:t>[***]</w:t>
            </w:r>
          </w:p>
        </w:tc>
        <w:tc>
          <w:tcPr>
            <w:tcW w:w="218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6"/>
              </w:rPr>
              <w:t>[***]</w:t>
            </w:r>
          </w:p>
        </w:tc>
        <w:tc>
          <w:tcPr>
            <w:tcW w:w="2160" w:type="dxa"/>
            <w:vAlign w:val="bottom"/>
            <w:tcBorders>
              <w:right w:val="single" w:sz="8" w:color="auto"/>
            </w:tcBorders>
          </w:tcPr>
          <w:p>
            <w:pPr>
              <w:spacing w:after="0"/>
              <w:rPr>
                <w:sz w:val="20"/>
                <w:szCs w:val="20"/>
                <w:color w:val="auto"/>
              </w:rPr>
            </w:pPr>
          </w:p>
        </w:tc>
      </w:tr>
      <w:tr>
        <w:trPr>
          <w:trHeight w:val="27"/>
        </w:trPr>
        <w:tc>
          <w:tcPr>
            <w:tcW w:w="3880" w:type="dxa"/>
            <w:vAlign w:val="bottom"/>
            <w:tcBorders>
              <w:left w:val="single" w:sz="8" w:color="auto"/>
              <w:bottom w:val="single" w:sz="8" w:color="auto"/>
              <w:right w:val="single" w:sz="8" w:color="auto"/>
            </w:tcBorders>
          </w:tcPr>
          <w:p>
            <w:pPr>
              <w:spacing w:after="0"/>
              <w:rPr>
                <w:sz w:val="2"/>
                <w:szCs w:val="2"/>
                <w:color w:val="auto"/>
              </w:rPr>
            </w:pPr>
          </w:p>
        </w:tc>
        <w:tc>
          <w:tcPr>
            <w:tcW w:w="2180" w:type="dxa"/>
            <w:vAlign w:val="bottom"/>
            <w:tcBorders>
              <w:bottom w:val="single" w:sz="8" w:color="auto"/>
              <w:right w:val="single" w:sz="8" w:color="auto"/>
            </w:tcBorders>
          </w:tcPr>
          <w:p>
            <w:pPr>
              <w:spacing w:after="0"/>
              <w:rPr>
                <w:sz w:val="2"/>
                <w:szCs w:val="2"/>
                <w:color w:val="auto"/>
              </w:rPr>
            </w:pPr>
          </w:p>
        </w:tc>
        <w:tc>
          <w:tcPr>
            <w:tcW w:w="2180" w:type="dxa"/>
            <w:vAlign w:val="bottom"/>
            <w:tcBorders>
              <w:bottom w:val="single" w:sz="8" w:color="auto"/>
              <w:right w:val="single" w:sz="8" w:color="auto"/>
            </w:tcBorders>
          </w:tcPr>
          <w:p>
            <w:pPr>
              <w:spacing w:after="0"/>
              <w:rPr>
                <w:sz w:val="2"/>
                <w:szCs w:val="2"/>
                <w:color w:val="auto"/>
              </w:rPr>
            </w:pPr>
          </w:p>
        </w:tc>
        <w:tc>
          <w:tcPr>
            <w:tcW w:w="2160" w:type="dxa"/>
            <w:vAlign w:val="bottom"/>
            <w:tcBorders>
              <w:bottom w:val="single" w:sz="8" w:color="auto"/>
              <w:right w:val="single" w:sz="8" w:color="auto"/>
            </w:tcBorders>
          </w:tcPr>
          <w:p>
            <w:pPr>
              <w:spacing w:after="0"/>
              <w:rPr>
                <w:sz w:val="2"/>
                <w:szCs w:val="2"/>
                <w:color w:val="auto"/>
              </w:rPr>
            </w:pPr>
          </w:p>
        </w:tc>
      </w:tr>
      <w:tr>
        <w:trPr>
          <w:trHeight w:val="237"/>
        </w:trPr>
        <w:tc>
          <w:tcPr>
            <w:tcW w:w="3880" w:type="dxa"/>
            <w:vAlign w:val="bottom"/>
            <w:tcBorders>
              <w:left w:val="single" w:sz="8" w:color="auto"/>
              <w:right w:val="single" w:sz="8" w:color="auto"/>
            </w:tcBorders>
          </w:tcPr>
          <w:p>
            <w:pPr>
              <w:ind w:left="40"/>
              <w:spacing w:after="0"/>
              <w:rPr>
                <w:sz w:val="20"/>
                <w:szCs w:val="20"/>
                <w:color w:val="auto"/>
              </w:rPr>
            </w:pPr>
            <w:r>
              <w:rPr>
                <w:rFonts w:ascii="Arial" w:cs="Arial" w:eastAsia="Arial" w:hAnsi="Arial"/>
                <w:sz w:val="18"/>
                <w:szCs w:val="18"/>
                <w:color w:val="auto"/>
              </w:rPr>
              <w:t>MUFG Union Bank, N.A.</w:t>
            </w:r>
          </w:p>
        </w:tc>
        <w:tc>
          <w:tcPr>
            <w:tcW w:w="218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6"/>
              </w:rPr>
              <w:t>[***]</w:t>
            </w:r>
          </w:p>
        </w:tc>
        <w:tc>
          <w:tcPr>
            <w:tcW w:w="218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6"/>
              </w:rPr>
              <w:t>[***]</w:t>
            </w:r>
          </w:p>
        </w:tc>
        <w:tc>
          <w:tcPr>
            <w:tcW w:w="2160" w:type="dxa"/>
            <w:vAlign w:val="bottom"/>
            <w:tcBorders>
              <w:right w:val="single" w:sz="8" w:color="auto"/>
            </w:tcBorders>
          </w:tcPr>
          <w:p>
            <w:pPr>
              <w:spacing w:after="0"/>
              <w:rPr>
                <w:sz w:val="20"/>
                <w:szCs w:val="20"/>
                <w:color w:val="auto"/>
              </w:rPr>
            </w:pPr>
          </w:p>
        </w:tc>
      </w:tr>
      <w:tr>
        <w:trPr>
          <w:trHeight w:val="27"/>
        </w:trPr>
        <w:tc>
          <w:tcPr>
            <w:tcW w:w="3880" w:type="dxa"/>
            <w:vAlign w:val="bottom"/>
            <w:tcBorders>
              <w:left w:val="single" w:sz="8" w:color="auto"/>
              <w:bottom w:val="single" w:sz="8" w:color="auto"/>
              <w:right w:val="single" w:sz="8" w:color="auto"/>
            </w:tcBorders>
          </w:tcPr>
          <w:p>
            <w:pPr>
              <w:spacing w:after="0"/>
              <w:rPr>
                <w:sz w:val="2"/>
                <w:szCs w:val="2"/>
                <w:color w:val="auto"/>
              </w:rPr>
            </w:pPr>
          </w:p>
        </w:tc>
        <w:tc>
          <w:tcPr>
            <w:tcW w:w="2180" w:type="dxa"/>
            <w:vAlign w:val="bottom"/>
            <w:tcBorders>
              <w:bottom w:val="single" w:sz="8" w:color="auto"/>
              <w:right w:val="single" w:sz="8" w:color="auto"/>
            </w:tcBorders>
          </w:tcPr>
          <w:p>
            <w:pPr>
              <w:spacing w:after="0"/>
              <w:rPr>
                <w:sz w:val="2"/>
                <w:szCs w:val="2"/>
                <w:color w:val="auto"/>
              </w:rPr>
            </w:pPr>
          </w:p>
        </w:tc>
        <w:tc>
          <w:tcPr>
            <w:tcW w:w="2180" w:type="dxa"/>
            <w:vAlign w:val="bottom"/>
            <w:tcBorders>
              <w:bottom w:val="single" w:sz="8" w:color="auto"/>
              <w:right w:val="single" w:sz="8" w:color="auto"/>
            </w:tcBorders>
          </w:tcPr>
          <w:p>
            <w:pPr>
              <w:spacing w:after="0"/>
              <w:rPr>
                <w:sz w:val="2"/>
                <w:szCs w:val="2"/>
                <w:color w:val="auto"/>
              </w:rPr>
            </w:pPr>
          </w:p>
        </w:tc>
        <w:tc>
          <w:tcPr>
            <w:tcW w:w="2160" w:type="dxa"/>
            <w:vAlign w:val="bottom"/>
            <w:tcBorders>
              <w:bottom w:val="single" w:sz="8" w:color="auto"/>
              <w:right w:val="single" w:sz="8" w:color="auto"/>
            </w:tcBorders>
          </w:tcPr>
          <w:p>
            <w:pPr>
              <w:spacing w:after="0"/>
              <w:rPr>
                <w:sz w:val="2"/>
                <w:szCs w:val="2"/>
                <w:color w:val="auto"/>
              </w:rPr>
            </w:pPr>
          </w:p>
        </w:tc>
      </w:tr>
      <w:tr>
        <w:trPr>
          <w:trHeight w:val="237"/>
        </w:trPr>
        <w:tc>
          <w:tcPr>
            <w:tcW w:w="3880" w:type="dxa"/>
            <w:vAlign w:val="bottom"/>
            <w:tcBorders>
              <w:left w:val="single" w:sz="8" w:color="auto"/>
              <w:right w:val="single" w:sz="8" w:color="auto"/>
            </w:tcBorders>
          </w:tcPr>
          <w:p>
            <w:pPr>
              <w:ind w:left="40"/>
              <w:spacing w:after="0"/>
              <w:rPr>
                <w:sz w:val="20"/>
                <w:szCs w:val="20"/>
                <w:color w:val="auto"/>
              </w:rPr>
            </w:pPr>
            <w:r>
              <w:rPr>
                <w:rFonts w:ascii="Arial" w:cs="Arial" w:eastAsia="Arial" w:hAnsi="Arial"/>
                <w:sz w:val="18"/>
                <w:szCs w:val="18"/>
                <w:color w:val="auto"/>
              </w:rPr>
              <w:t>Standard Chartered Bank</w:t>
            </w:r>
          </w:p>
        </w:tc>
        <w:tc>
          <w:tcPr>
            <w:tcW w:w="218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6"/>
              </w:rPr>
              <w:t>[***]</w:t>
            </w:r>
          </w:p>
        </w:tc>
        <w:tc>
          <w:tcPr>
            <w:tcW w:w="218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6"/>
              </w:rPr>
              <w:t>[***]</w:t>
            </w:r>
          </w:p>
        </w:tc>
        <w:tc>
          <w:tcPr>
            <w:tcW w:w="2160" w:type="dxa"/>
            <w:vAlign w:val="bottom"/>
            <w:tcBorders>
              <w:right w:val="single" w:sz="8" w:color="auto"/>
            </w:tcBorders>
          </w:tcPr>
          <w:p>
            <w:pPr>
              <w:spacing w:after="0"/>
              <w:rPr>
                <w:sz w:val="20"/>
                <w:szCs w:val="20"/>
                <w:color w:val="auto"/>
              </w:rPr>
            </w:pPr>
          </w:p>
        </w:tc>
      </w:tr>
      <w:tr>
        <w:trPr>
          <w:trHeight w:val="27"/>
        </w:trPr>
        <w:tc>
          <w:tcPr>
            <w:tcW w:w="3880" w:type="dxa"/>
            <w:vAlign w:val="bottom"/>
            <w:tcBorders>
              <w:left w:val="single" w:sz="8" w:color="auto"/>
              <w:bottom w:val="single" w:sz="8" w:color="auto"/>
              <w:right w:val="single" w:sz="8" w:color="auto"/>
            </w:tcBorders>
          </w:tcPr>
          <w:p>
            <w:pPr>
              <w:spacing w:after="0"/>
              <w:rPr>
                <w:sz w:val="2"/>
                <w:szCs w:val="2"/>
                <w:color w:val="auto"/>
              </w:rPr>
            </w:pPr>
          </w:p>
        </w:tc>
        <w:tc>
          <w:tcPr>
            <w:tcW w:w="2180" w:type="dxa"/>
            <w:vAlign w:val="bottom"/>
            <w:tcBorders>
              <w:bottom w:val="single" w:sz="8" w:color="auto"/>
              <w:right w:val="single" w:sz="8" w:color="auto"/>
            </w:tcBorders>
          </w:tcPr>
          <w:p>
            <w:pPr>
              <w:spacing w:after="0"/>
              <w:rPr>
                <w:sz w:val="2"/>
                <w:szCs w:val="2"/>
                <w:color w:val="auto"/>
              </w:rPr>
            </w:pPr>
          </w:p>
        </w:tc>
        <w:tc>
          <w:tcPr>
            <w:tcW w:w="2180" w:type="dxa"/>
            <w:vAlign w:val="bottom"/>
            <w:tcBorders>
              <w:bottom w:val="single" w:sz="8" w:color="auto"/>
              <w:right w:val="single" w:sz="8" w:color="auto"/>
            </w:tcBorders>
          </w:tcPr>
          <w:p>
            <w:pPr>
              <w:spacing w:after="0"/>
              <w:rPr>
                <w:sz w:val="2"/>
                <w:szCs w:val="2"/>
                <w:color w:val="auto"/>
              </w:rPr>
            </w:pPr>
          </w:p>
        </w:tc>
        <w:tc>
          <w:tcPr>
            <w:tcW w:w="2160" w:type="dxa"/>
            <w:vAlign w:val="bottom"/>
            <w:tcBorders>
              <w:bottom w:val="single" w:sz="8" w:color="auto"/>
              <w:right w:val="single" w:sz="8" w:color="auto"/>
            </w:tcBorders>
          </w:tcPr>
          <w:p>
            <w:pPr>
              <w:spacing w:after="0"/>
              <w:rPr>
                <w:sz w:val="2"/>
                <w:szCs w:val="2"/>
                <w:color w:val="auto"/>
              </w:rPr>
            </w:pPr>
          </w:p>
        </w:tc>
      </w:tr>
      <w:tr>
        <w:trPr>
          <w:trHeight w:val="237"/>
        </w:trPr>
        <w:tc>
          <w:tcPr>
            <w:tcW w:w="3880" w:type="dxa"/>
            <w:vAlign w:val="bottom"/>
            <w:tcBorders>
              <w:left w:val="single" w:sz="8" w:color="auto"/>
              <w:right w:val="single" w:sz="8" w:color="auto"/>
            </w:tcBorders>
          </w:tcPr>
          <w:p>
            <w:pPr>
              <w:ind w:left="40"/>
              <w:spacing w:after="0"/>
              <w:rPr>
                <w:sz w:val="20"/>
                <w:szCs w:val="20"/>
                <w:color w:val="auto"/>
              </w:rPr>
            </w:pPr>
            <w:r>
              <w:rPr>
                <w:rFonts w:ascii="Arial" w:cs="Arial" w:eastAsia="Arial" w:hAnsi="Arial"/>
                <w:sz w:val="18"/>
                <w:szCs w:val="18"/>
                <w:color w:val="auto"/>
              </w:rPr>
              <w:t>U.S. Bank National Association</w:t>
            </w:r>
          </w:p>
        </w:tc>
        <w:tc>
          <w:tcPr>
            <w:tcW w:w="218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6"/>
              </w:rPr>
              <w:t>[***]</w:t>
            </w:r>
          </w:p>
        </w:tc>
        <w:tc>
          <w:tcPr>
            <w:tcW w:w="218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6"/>
              </w:rPr>
              <w:t>[***]</w:t>
            </w:r>
          </w:p>
        </w:tc>
        <w:tc>
          <w:tcPr>
            <w:tcW w:w="2160" w:type="dxa"/>
            <w:vAlign w:val="bottom"/>
            <w:tcBorders>
              <w:right w:val="single" w:sz="8" w:color="auto"/>
            </w:tcBorders>
          </w:tcPr>
          <w:p>
            <w:pPr>
              <w:spacing w:after="0"/>
              <w:rPr>
                <w:sz w:val="20"/>
                <w:szCs w:val="20"/>
                <w:color w:val="auto"/>
              </w:rPr>
            </w:pPr>
          </w:p>
        </w:tc>
      </w:tr>
      <w:tr>
        <w:trPr>
          <w:trHeight w:val="27"/>
        </w:trPr>
        <w:tc>
          <w:tcPr>
            <w:tcW w:w="3880" w:type="dxa"/>
            <w:vAlign w:val="bottom"/>
            <w:tcBorders>
              <w:left w:val="single" w:sz="8" w:color="auto"/>
              <w:bottom w:val="single" w:sz="8" w:color="auto"/>
              <w:right w:val="single" w:sz="8" w:color="auto"/>
            </w:tcBorders>
          </w:tcPr>
          <w:p>
            <w:pPr>
              <w:spacing w:after="0"/>
              <w:rPr>
                <w:sz w:val="2"/>
                <w:szCs w:val="2"/>
                <w:color w:val="auto"/>
              </w:rPr>
            </w:pPr>
          </w:p>
        </w:tc>
        <w:tc>
          <w:tcPr>
            <w:tcW w:w="2180" w:type="dxa"/>
            <w:vAlign w:val="bottom"/>
            <w:tcBorders>
              <w:bottom w:val="single" w:sz="8" w:color="auto"/>
              <w:right w:val="single" w:sz="8" w:color="auto"/>
            </w:tcBorders>
          </w:tcPr>
          <w:p>
            <w:pPr>
              <w:spacing w:after="0"/>
              <w:rPr>
                <w:sz w:val="2"/>
                <w:szCs w:val="2"/>
                <w:color w:val="auto"/>
              </w:rPr>
            </w:pPr>
          </w:p>
        </w:tc>
        <w:tc>
          <w:tcPr>
            <w:tcW w:w="2180" w:type="dxa"/>
            <w:vAlign w:val="bottom"/>
            <w:tcBorders>
              <w:bottom w:val="single" w:sz="8" w:color="auto"/>
              <w:right w:val="single" w:sz="8" w:color="auto"/>
            </w:tcBorders>
          </w:tcPr>
          <w:p>
            <w:pPr>
              <w:spacing w:after="0"/>
              <w:rPr>
                <w:sz w:val="2"/>
                <w:szCs w:val="2"/>
                <w:color w:val="auto"/>
              </w:rPr>
            </w:pPr>
          </w:p>
        </w:tc>
        <w:tc>
          <w:tcPr>
            <w:tcW w:w="2160" w:type="dxa"/>
            <w:vAlign w:val="bottom"/>
            <w:tcBorders>
              <w:bottom w:val="single" w:sz="8" w:color="auto"/>
              <w:right w:val="single" w:sz="8" w:color="auto"/>
            </w:tcBorders>
          </w:tcPr>
          <w:p>
            <w:pPr>
              <w:spacing w:after="0"/>
              <w:rPr>
                <w:sz w:val="2"/>
                <w:szCs w:val="2"/>
                <w:color w:val="auto"/>
              </w:rPr>
            </w:pPr>
          </w:p>
        </w:tc>
      </w:tr>
      <w:tr>
        <w:trPr>
          <w:trHeight w:val="237"/>
        </w:trPr>
        <w:tc>
          <w:tcPr>
            <w:tcW w:w="3880" w:type="dxa"/>
            <w:vAlign w:val="bottom"/>
            <w:tcBorders>
              <w:left w:val="single" w:sz="8" w:color="auto"/>
              <w:right w:val="single" w:sz="8" w:color="auto"/>
            </w:tcBorders>
          </w:tcPr>
          <w:p>
            <w:pPr>
              <w:ind w:left="40"/>
              <w:spacing w:after="0"/>
              <w:rPr>
                <w:sz w:val="20"/>
                <w:szCs w:val="20"/>
                <w:color w:val="auto"/>
              </w:rPr>
            </w:pPr>
            <w:r>
              <w:rPr>
                <w:rFonts w:ascii="Arial" w:cs="Arial" w:eastAsia="Arial" w:hAnsi="Arial"/>
                <w:sz w:val="18"/>
                <w:szCs w:val="18"/>
                <w:color w:val="auto"/>
              </w:rPr>
              <w:t>BOKF, NA dba Bank of Texas</w:t>
            </w:r>
          </w:p>
        </w:tc>
        <w:tc>
          <w:tcPr>
            <w:tcW w:w="218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6"/>
              </w:rPr>
              <w:t>[***]</w:t>
            </w:r>
          </w:p>
        </w:tc>
        <w:tc>
          <w:tcPr>
            <w:tcW w:w="218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6"/>
              </w:rPr>
              <w:t>[***]</w:t>
            </w:r>
          </w:p>
        </w:tc>
        <w:tc>
          <w:tcPr>
            <w:tcW w:w="2160" w:type="dxa"/>
            <w:vAlign w:val="bottom"/>
            <w:tcBorders>
              <w:right w:val="single" w:sz="8" w:color="auto"/>
            </w:tcBorders>
          </w:tcPr>
          <w:p>
            <w:pPr>
              <w:spacing w:after="0"/>
              <w:rPr>
                <w:sz w:val="20"/>
                <w:szCs w:val="20"/>
                <w:color w:val="auto"/>
              </w:rPr>
            </w:pPr>
          </w:p>
        </w:tc>
      </w:tr>
      <w:tr>
        <w:trPr>
          <w:trHeight w:val="27"/>
        </w:trPr>
        <w:tc>
          <w:tcPr>
            <w:tcW w:w="3880" w:type="dxa"/>
            <w:vAlign w:val="bottom"/>
            <w:tcBorders>
              <w:left w:val="single" w:sz="8" w:color="auto"/>
              <w:bottom w:val="single" w:sz="8" w:color="auto"/>
              <w:right w:val="single" w:sz="8" w:color="auto"/>
            </w:tcBorders>
          </w:tcPr>
          <w:p>
            <w:pPr>
              <w:spacing w:after="0"/>
              <w:rPr>
                <w:sz w:val="2"/>
                <w:szCs w:val="2"/>
                <w:color w:val="auto"/>
              </w:rPr>
            </w:pPr>
          </w:p>
        </w:tc>
        <w:tc>
          <w:tcPr>
            <w:tcW w:w="2180" w:type="dxa"/>
            <w:vAlign w:val="bottom"/>
            <w:tcBorders>
              <w:bottom w:val="single" w:sz="8" w:color="auto"/>
              <w:right w:val="single" w:sz="8" w:color="auto"/>
            </w:tcBorders>
          </w:tcPr>
          <w:p>
            <w:pPr>
              <w:spacing w:after="0"/>
              <w:rPr>
                <w:sz w:val="2"/>
                <w:szCs w:val="2"/>
                <w:color w:val="auto"/>
              </w:rPr>
            </w:pPr>
          </w:p>
        </w:tc>
        <w:tc>
          <w:tcPr>
            <w:tcW w:w="2180" w:type="dxa"/>
            <w:vAlign w:val="bottom"/>
            <w:tcBorders>
              <w:bottom w:val="single" w:sz="8" w:color="auto"/>
              <w:right w:val="single" w:sz="8" w:color="auto"/>
            </w:tcBorders>
          </w:tcPr>
          <w:p>
            <w:pPr>
              <w:spacing w:after="0"/>
              <w:rPr>
                <w:sz w:val="2"/>
                <w:szCs w:val="2"/>
                <w:color w:val="auto"/>
              </w:rPr>
            </w:pPr>
          </w:p>
        </w:tc>
        <w:tc>
          <w:tcPr>
            <w:tcW w:w="2160" w:type="dxa"/>
            <w:vAlign w:val="bottom"/>
            <w:tcBorders>
              <w:bottom w:val="single" w:sz="8" w:color="auto"/>
              <w:right w:val="single" w:sz="8" w:color="auto"/>
            </w:tcBorders>
          </w:tcPr>
          <w:p>
            <w:pPr>
              <w:spacing w:after="0"/>
              <w:rPr>
                <w:sz w:val="2"/>
                <w:szCs w:val="2"/>
                <w:color w:val="auto"/>
              </w:rPr>
            </w:pPr>
          </w:p>
        </w:tc>
      </w:tr>
      <w:tr>
        <w:trPr>
          <w:trHeight w:val="237"/>
        </w:trPr>
        <w:tc>
          <w:tcPr>
            <w:tcW w:w="3880" w:type="dxa"/>
            <w:vAlign w:val="bottom"/>
            <w:tcBorders>
              <w:left w:val="single" w:sz="8" w:color="auto"/>
              <w:right w:val="single" w:sz="8" w:color="auto"/>
            </w:tcBorders>
          </w:tcPr>
          <w:p>
            <w:pPr>
              <w:ind w:left="40"/>
              <w:spacing w:after="0"/>
              <w:rPr>
                <w:sz w:val="20"/>
                <w:szCs w:val="20"/>
                <w:color w:val="auto"/>
              </w:rPr>
            </w:pPr>
            <w:r>
              <w:rPr>
                <w:rFonts w:ascii="Arial" w:cs="Arial" w:eastAsia="Arial" w:hAnsi="Arial"/>
                <w:sz w:val="18"/>
                <w:szCs w:val="18"/>
                <w:color w:val="auto"/>
              </w:rPr>
              <w:t>Texas Capital Bank, N.A.</w:t>
            </w:r>
          </w:p>
        </w:tc>
        <w:tc>
          <w:tcPr>
            <w:tcW w:w="218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6"/>
              </w:rPr>
              <w:t>[***]</w:t>
            </w:r>
          </w:p>
        </w:tc>
        <w:tc>
          <w:tcPr>
            <w:tcW w:w="218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6"/>
              </w:rPr>
              <w:t>[***]</w:t>
            </w:r>
          </w:p>
        </w:tc>
        <w:tc>
          <w:tcPr>
            <w:tcW w:w="2160" w:type="dxa"/>
            <w:vAlign w:val="bottom"/>
            <w:tcBorders>
              <w:right w:val="single" w:sz="8" w:color="auto"/>
            </w:tcBorders>
          </w:tcPr>
          <w:p>
            <w:pPr>
              <w:spacing w:after="0"/>
              <w:rPr>
                <w:sz w:val="20"/>
                <w:szCs w:val="20"/>
                <w:color w:val="auto"/>
              </w:rPr>
            </w:pPr>
          </w:p>
        </w:tc>
      </w:tr>
      <w:tr>
        <w:trPr>
          <w:trHeight w:val="27"/>
        </w:trPr>
        <w:tc>
          <w:tcPr>
            <w:tcW w:w="3880" w:type="dxa"/>
            <w:vAlign w:val="bottom"/>
            <w:tcBorders>
              <w:left w:val="single" w:sz="8" w:color="auto"/>
              <w:bottom w:val="single" w:sz="8" w:color="auto"/>
              <w:right w:val="single" w:sz="8" w:color="auto"/>
            </w:tcBorders>
          </w:tcPr>
          <w:p>
            <w:pPr>
              <w:spacing w:after="0"/>
              <w:rPr>
                <w:sz w:val="2"/>
                <w:szCs w:val="2"/>
                <w:color w:val="auto"/>
              </w:rPr>
            </w:pPr>
          </w:p>
        </w:tc>
        <w:tc>
          <w:tcPr>
            <w:tcW w:w="2180" w:type="dxa"/>
            <w:vAlign w:val="bottom"/>
            <w:tcBorders>
              <w:bottom w:val="single" w:sz="8" w:color="auto"/>
              <w:right w:val="single" w:sz="8" w:color="auto"/>
            </w:tcBorders>
          </w:tcPr>
          <w:p>
            <w:pPr>
              <w:spacing w:after="0"/>
              <w:rPr>
                <w:sz w:val="2"/>
                <w:szCs w:val="2"/>
                <w:color w:val="auto"/>
              </w:rPr>
            </w:pPr>
          </w:p>
        </w:tc>
        <w:tc>
          <w:tcPr>
            <w:tcW w:w="2180" w:type="dxa"/>
            <w:vAlign w:val="bottom"/>
            <w:tcBorders>
              <w:bottom w:val="single" w:sz="8" w:color="auto"/>
              <w:right w:val="single" w:sz="8" w:color="auto"/>
            </w:tcBorders>
          </w:tcPr>
          <w:p>
            <w:pPr>
              <w:spacing w:after="0"/>
              <w:rPr>
                <w:sz w:val="2"/>
                <w:szCs w:val="2"/>
                <w:color w:val="auto"/>
              </w:rPr>
            </w:pPr>
          </w:p>
        </w:tc>
        <w:tc>
          <w:tcPr>
            <w:tcW w:w="2160" w:type="dxa"/>
            <w:vAlign w:val="bottom"/>
            <w:tcBorders>
              <w:bottom w:val="single" w:sz="8" w:color="auto"/>
              <w:right w:val="single" w:sz="8" w:color="auto"/>
            </w:tcBorders>
          </w:tcPr>
          <w:p>
            <w:pPr>
              <w:spacing w:after="0"/>
              <w:rPr>
                <w:sz w:val="2"/>
                <w:szCs w:val="2"/>
                <w:color w:val="auto"/>
              </w:rPr>
            </w:pPr>
          </w:p>
        </w:tc>
      </w:tr>
      <w:tr>
        <w:trPr>
          <w:trHeight w:val="244"/>
        </w:trPr>
        <w:tc>
          <w:tcPr>
            <w:tcW w:w="3880" w:type="dxa"/>
            <w:vAlign w:val="bottom"/>
            <w:tcBorders>
              <w:left w:val="single" w:sz="8" w:color="auto"/>
              <w:bottom w:val="single" w:sz="8" w:color="auto"/>
              <w:right w:val="single" w:sz="8" w:color="auto"/>
            </w:tcBorders>
          </w:tcPr>
          <w:p>
            <w:pPr>
              <w:ind w:left="40"/>
              <w:spacing w:after="0"/>
              <w:rPr>
                <w:sz w:val="20"/>
                <w:szCs w:val="20"/>
                <w:color w:val="auto"/>
              </w:rPr>
            </w:pPr>
            <w:r>
              <w:rPr>
                <w:rFonts w:ascii="Arial" w:cs="Arial" w:eastAsia="Arial" w:hAnsi="Arial"/>
                <w:sz w:val="18"/>
                <w:szCs w:val="18"/>
                <w:b w:val="1"/>
                <w:bCs w:val="1"/>
                <w:color w:val="auto"/>
              </w:rPr>
              <w:t>Total:</w:t>
            </w:r>
          </w:p>
        </w:tc>
        <w:tc>
          <w:tcPr>
            <w:tcW w:w="218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b w:val="1"/>
                <w:bCs w:val="1"/>
                <w:color w:val="auto"/>
              </w:rPr>
              <w:t>$1,630,500,000</w:t>
            </w:r>
          </w:p>
        </w:tc>
        <w:tc>
          <w:tcPr>
            <w:tcW w:w="218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b w:val="1"/>
                <w:bCs w:val="1"/>
                <w:color w:val="auto"/>
                <w:w w:val="99"/>
              </w:rPr>
              <w:t>$12,000,000</w:t>
            </w:r>
          </w:p>
        </w:tc>
        <w:tc>
          <w:tcPr>
            <w:tcW w:w="216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b w:val="1"/>
                <w:bCs w:val="1"/>
                <w:color w:val="auto"/>
                <w:w w:val="99"/>
              </w:rPr>
              <w:t>$200,000,000</w:t>
            </w:r>
          </w:p>
        </w:tc>
      </w:tr>
    </w:tbl>
    <w:p>
      <w:pPr>
        <w:spacing w:after="0" w:line="251" w:lineRule="exact"/>
        <w:rPr>
          <w:sz w:val="20"/>
          <w:szCs w:val="20"/>
          <w:color w:val="auto"/>
        </w:rPr>
      </w:pPr>
    </w:p>
    <w:p>
      <w:pPr>
        <w:spacing w:after="0"/>
        <w:rPr>
          <w:sz w:val="20"/>
          <w:szCs w:val="20"/>
          <w:color w:val="auto"/>
        </w:rPr>
      </w:pPr>
      <w:r>
        <w:rPr>
          <w:rFonts w:ascii="Arial" w:cs="Arial" w:eastAsia="Arial" w:hAnsi="Arial"/>
          <w:sz w:val="13"/>
          <w:szCs w:val="13"/>
          <w:color w:val="auto"/>
        </w:rPr>
        <w:t>[***]=[CONFIDENTIAL PORTION HAS BEEN OMITTED BECAUSE IT (I) IS NOT MATERIAL AND (II) WOULD BE COMPETITIVELY HARMFUL IF PUBLICLY DISCLOSED</w:t>
      </w:r>
    </w:p>
    <w:p>
      <w:pPr>
        <w:sectPr>
          <w:pgSz w:w="11900" w:h="16838" w:orient="portrait"/>
          <w:cols w:equalWidth="0" w:num="1">
            <w:col w:w="11420"/>
          </w:cols>
          <w:pgMar w:left="240" w:top="1022" w:right="239" w:bottom="1440" w:gutter="0" w:footer="0" w:header="0"/>
        </w:sectPr>
      </w:pPr>
    </w:p>
    <w:bookmarkStart w:id="200" w:name="page201"/>
    <w:bookmarkEnd w:id="200"/>
    <w:p>
      <w:pPr>
        <w:jc w:val="right"/>
        <w:spacing w:after="0"/>
        <w:rPr>
          <w:sz w:val="20"/>
          <w:szCs w:val="20"/>
          <w:color w:val="auto"/>
        </w:rPr>
      </w:pPr>
      <w:r>
        <w:rPr>
          <w:rFonts w:ascii="Arial" w:cs="Arial" w:eastAsia="Arial" w:hAnsi="Arial"/>
          <w:sz w:val="18"/>
          <w:szCs w:val="18"/>
          <w:b w:val="1"/>
          <w:bCs w:val="1"/>
          <w:color w:val="auto"/>
        </w:rPr>
        <w:t>Exhibit 10.17</w:t>
      </w:r>
    </w:p>
    <w:p>
      <w:pPr>
        <w:spacing w:after="0" w:line="31" w:lineRule="exact"/>
        <w:rPr>
          <w:sz w:val="20"/>
          <w:szCs w:val="20"/>
          <w:color w:val="auto"/>
        </w:rPr>
      </w:pPr>
    </w:p>
    <w:p>
      <w:pPr>
        <w:jc w:val="right"/>
        <w:spacing w:after="0"/>
        <w:rPr>
          <w:sz w:val="20"/>
          <w:szCs w:val="20"/>
          <w:color w:val="auto"/>
        </w:rPr>
      </w:pPr>
      <w:r>
        <w:rPr>
          <w:rFonts w:ascii="Arial" w:cs="Arial" w:eastAsia="Arial" w:hAnsi="Arial"/>
          <w:sz w:val="18"/>
          <w:szCs w:val="18"/>
          <w:b w:val="1"/>
          <w:bCs w:val="1"/>
          <w:color w:val="auto"/>
        </w:rPr>
        <w:t>Execution Version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417830</wp:posOffset>
            </wp:positionV>
            <wp:extent cx="7254875" cy="308610"/>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325">
                      <a:extLst>
                        <a:ext uri="{28A0092B-C50C-407E-A947-70E740481C1C}"/>
                      </a:extLst>
                    </a:blip>
                    <a:srcRect/>
                    <a:stretch>
                      <a:fillRect/>
                    </a:stretch>
                  </pic:blipFill>
                  <pic:spPr bwMode="auto">
                    <a:xfrm>
                      <a:off x="0" y="0"/>
                      <a:ext cx="7254875" cy="30861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78" w:lineRule="exact"/>
        <w:rPr>
          <w:sz w:val="20"/>
          <w:szCs w:val="20"/>
          <w:color w:val="auto"/>
        </w:rPr>
      </w:pPr>
    </w:p>
    <w:p>
      <w:pPr>
        <w:ind w:left="40" w:right="300"/>
        <w:spacing w:after="0" w:line="246" w:lineRule="auto"/>
        <w:rPr>
          <w:sz w:val="20"/>
          <w:szCs w:val="20"/>
          <w:color w:val="auto"/>
        </w:rPr>
      </w:pPr>
      <w:r>
        <w:rPr>
          <w:rFonts w:ascii="Arial" w:cs="Arial" w:eastAsia="Arial" w:hAnsi="Arial"/>
          <w:sz w:val="18"/>
          <w:szCs w:val="18"/>
          <w:color w:val="auto"/>
        </w:rPr>
        <w:t>Certain confidential information contained in this document, marked by brackets, has been omitted because it is both (i) not material and (ii) would be competitively harmful if publicly disclosed.</w:t>
      </w:r>
    </w:p>
    <w:p>
      <w:pPr>
        <w:spacing w:after="0" w:line="237" w:lineRule="exact"/>
        <w:rPr>
          <w:sz w:val="20"/>
          <w:szCs w:val="20"/>
          <w:color w:val="auto"/>
        </w:rPr>
      </w:pPr>
    </w:p>
    <w:p>
      <w:pPr>
        <w:jc w:val="center"/>
        <w:spacing w:after="0"/>
        <w:rPr>
          <w:sz w:val="20"/>
          <w:szCs w:val="20"/>
          <w:color w:val="auto"/>
        </w:rPr>
      </w:pPr>
      <w:r>
        <w:rPr>
          <w:rFonts w:ascii="Arial" w:cs="Arial" w:eastAsia="Arial" w:hAnsi="Arial"/>
          <w:sz w:val="18"/>
          <w:szCs w:val="18"/>
          <w:u w:val="single" w:color="auto"/>
          <w:color w:val="auto"/>
        </w:rPr>
        <w:t>SIXTH AMENDMENT TO AMENDED AND RESTATED CREDIT AND GUARANTY AGREEMENT</w:t>
      </w:r>
    </w:p>
    <w:p>
      <w:pPr>
        <w:spacing w:after="0" w:line="200" w:lineRule="exact"/>
        <w:rPr>
          <w:sz w:val="20"/>
          <w:szCs w:val="20"/>
          <w:color w:val="auto"/>
        </w:rPr>
      </w:pPr>
    </w:p>
    <w:p>
      <w:pPr>
        <w:spacing w:after="0" w:line="223" w:lineRule="exact"/>
        <w:rPr>
          <w:sz w:val="20"/>
          <w:szCs w:val="20"/>
          <w:color w:val="auto"/>
        </w:rPr>
      </w:pPr>
    </w:p>
    <w:p>
      <w:pPr>
        <w:jc w:val="both"/>
        <w:ind w:firstLine="1297"/>
        <w:spacing w:after="0" w:line="257" w:lineRule="auto"/>
        <w:rPr>
          <w:sz w:val="20"/>
          <w:szCs w:val="20"/>
          <w:color w:val="auto"/>
        </w:rPr>
      </w:pPr>
      <w:r>
        <w:rPr>
          <w:rFonts w:ascii="Arial" w:cs="Arial" w:eastAsia="Arial" w:hAnsi="Arial"/>
          <w:sz w:val="18"/>
          <w:szCs w:val="18"/>
          <w:color w:val="auto"/>
        </w:rPr>
        <w:t>THIS SIXTH AMENDMENT TO AMENDED AND RESTATED CREDIT AND GUARANTY AGREEMENT (this “</w:t>
      </w:r>
      <w:r>
        <w:rPr>
          <w:rFonts w:ascii="Arial" w:cs="Arial" w:eastAsia="Arial" w:hAnsi="Arial"/>
          <w:sz w:val="18"/>
          <w:szCs w:val="18"/>
          <w:i w:val="1"/>
          <w:iCs w:val="1"/>
          <w:color w:val="auto"/>
        </w:rPr>
        <w:t>Sixth</w:t>
      </w:r>
      <w:r>
        <w:rPr>
          <w:rFonts w:ascii="Arial" w:cs="Arial" w:eastAsia="Arial" w:hAnsi="Arial"/>
          <w:sz w:val="18"/>
          <w:szCs w:val="18"/>
          <w:color w:val="auto"/>
        </w:rPr>
        <w:t xml:space="preserve"> </w:t>
      </w:r>
      <w:r>
        <w:rPr>
          <w:rFonts w:ascii="Arial" w:cs="Arial" w:eastAsia="Arial" w:hAnsi="Arial"/>
          <w:sz w:val="18"/>
          <w:szCs w:val="18"/>
          <w:i w:val="1"/>
          <w:iCs w:val="1"/>
          <w:color w:val="auto"/>
        </w:rPr>
        <w:t>Amendment</w:t>
      </w:r>
      <w:r>
        <w:rPr>
          <w:rFonts w:ascii="Arial" w:cs="Arial" w:eastAsia="Arial" w:hAnsi="Arial"/>
          <w:sz w:val="18"/>
          <w:szCs w:val="18"/>
          <w:color w:val="auto"/>
        </w:rPr>
        <w:t>”), is dated as of November 8, 2019 and is among American Airlines, Inc., a Delaware corporation (the “</w:t>
      </w:r>
      <w:r>
        <w:rPr>
          <w:rFonts w:ascii="Arial" w:cs="Arial" w:eastAsia="Arial" w:hAnsi="Arial"/>
          <w:sz w:val="18"/>
          <w:szCs w:val="18"/>
          <w:i w:val="1"/>
          <w:iCs w:val="1"/>
          <w:color w:val="auto"/>
        </w:rPr>
        <w:t>Borrower</w:t>
      </w:r>
      <w:r>
        <w:rPr>
          <w:rFonts w:ascii="Arial" w:cs="Arial" w:eastAsia="Arial" w:hAnsi="Arial"/>
          <w:sz w:val="18"/>
          <w:szCs w:val="18"/>
          <w:color w:val="auto"/>
        </w:rPr>
        <w:t>”), American</w:t>
      </w:r>
      <w:r>
        <w:rPr>
          <w:rFonts w:ascii="Arial" w:cs="Arial" w:eastAsia="Arial" w:hAnsi="Arial"/>
          <w:sz w:val="18"/>
          <w:szCs w:val="18"/>
          <w:i w:val="1"/>
          <w:iCs w:val="1"/>
          <w:color w:val="auto"/>
        </w:rPr>
        <w:t xml:space="preserve"> </w:t>
      </w:r>
      <w:r>
        <w:rPr>
          <w:rFonts w:ascii="Arial" w:cs="Arial" w:eastAsia="Arial" w:hAnsi="Arial"/>
          <w:sz w:val="18"/>
          <w:szCs w:val="18"/>
          <w:color w:val="auto"/>
        </w:rPr>
        <w:t>Airlines Group Inc., a Delaware corporation (the “</w:t>
      </w:r>
      <w:r>
        <w:rPr>
          <w:rFonts w:ascii="Arial" w:cs="Arial" w:eastAsia="Arial" w:hAnsi="Arial"/>
          <w:sz w:val="18"/>
          <w:szCs w:val="18"/>
          <w:i w:val="1"/>
          <w:iCs w:val="1"/>
          <w:color w:val="auto"/>
        </w:rPr>
        <w:t>Parent</w:t>
      </w:r>
      <w:r>
        <w:rPr>
          <w:rFonts w:ascii="Arial" w:cs="Arial" w:eastAsia="Arial" w:hAnsi="Arial"/>
          <w:sz w:val="18"/>
          <w:szCs w:val="18"/>
          <w:color w:val="auto"/>
        </w:rPr>
        <w:t>” or the “</w:t>
      </w:r>
      <w:r>
        <w:rPr>
          <w:rFonts w:ascii="Arial" w:cs="Arial" w:eastAsia="Arial" w:hAnsi="Arial"/>
          <w:sz w:val="18"/>
          <w:szCs w:val="18"/>
          <w:i w:val="1"/>
          <w:iCs w:val="1"/>
          <w:color w:val="auto"/>
        </w:rPr>
        <w:t>Guarantor</w:t>
      </w:r>
      <w:r>
        <w:rPr>
          <w:rFonts w:ascii="Arial" w:cs="Arial" w:eastAsia="Arial" w:hAnsi="Arial"/>
          <w:sz w:val="18"/>
          <w:szCs w:val="18"/>
          <w:color w:val="auto"/>
        </w:rPr>
        <w:t>”), the Consenting Revolving Lenders (as defined below), the Fifth Amendment Non-Extending Lender (as defined below) and Deutsche Bank AG New York Branch, as administrative agent (in such capacity, the “</w:t>
      </w:r>
      <w:r>
        <w:rPr>
          <w:rFonts w:ascii="Arial" w:cs="Arial" w:eastAsia="Arial" w:hAnsi="Arial"/>
          <w:sz w:val="18"/>
          <w:szCs w:val="18"/>
          <w:i w:val="1"/>
          <w:iCs w:val="1"/>
          <w:color w:val="auto"/>
        </w:rPr>
        <w:t>Administrative Agent</w:t>
      </w:r>
      <w:r>
        <w:rPr>
          <w:rFonts w:ascii="Arial" w:cs="Arial" w:eastAsia="Arial" w:hAnsi="Arial"/>
          <w:sz w:val="18"/>
          <w:szCs w:val="18"/>
          <w:color w:val="auto"/>
        </w:rPr>
        <w:t xml:space="preserve">”) and as an issuing lender (in such capacity, an </w:t>
      </w:r>
      <w:r>
        <w:rPr>
          <w:rFonts w:ascii="Arial" w:cs="Arial" w:eastAsia="Arial" w:hAnsi="Arial"/>
          <w:sz w:val="18"/>
          <w:szCs w:val="18"/>
          <w:i w:val="1"/>
          <w:iCs w:val="1"/>
          <w:color w:val="auto"/>
        </w:rPr>
        <w:t>“Issuing Lender</w:t>
      </w:r>
      <w:r>
        <w:rPr>
          <w:rFonts w:ascii="Arial" w:cs="Arial" w:eastAsia="Arial" w:hAnsi="Arial"/>
          <w:sz w:val="18"/>
          <w:szCs w:val="18"/>
          <w:color w:val="auto"/>
        </w:rPr>
        <w:t>”). Unless otherwise indicated, all capitalized terms used herein and not otherwise defined shall have the respective meanings provided to such terms in the Credit Agreement (as defined below).</w:t>
      </w:r>
    </w:p>
    <w:p>
      <w:pPr>
        <w:spacing w:after="0" w:line="200" w:lineRule="exact"/>
        <w:rPr>
          <w:sz w:val="20"/>
          <w:szCs w:val="20"/>
          <w:color w:val="auto"/>
        </w:rPr>
      </w:pPr>
    </w:p>
    <w:p>
      <w:pPr>
        <w:spacing w:after="0" w:line="217" w:lineRule="exact"/>
        <w:rPr>
          <w:sz w:val="20"/>
          <w:szCs w:val="20"/>
          <w:color w:val="auto"/>
        </w:rPr>
      </w:pPr>
    </w:p>
    <w:p>
      <w:pPr>
        <w:jc w:val="center"/>
        <w:spacing w:after="0"/>
        <w:rPr>
          <w:sz w:val="20"/>
          <w:szCs w:val="20"/>
          <w:color w:val="auto"/>
        </w:rPr>
      </w:pPr>
      <w:r>
        <w:rPr>
          <w:rFonts w:ascii="Arial" w:cs="Arial" w:eastAsia="Arial" w:hAnsi="Arial"/>
          <w:sz w:val="18"/>
          <w:szCs w:val="18"/>
          <w:u w:val="single" w:color="auto"/>
          <w:color w:val="auto"/>
        </w:rPr>
        <w:t>W I T N E S S E T H</w:t>
      </w:r>
      <w:r>
        <w:rPr>
          <w:rFonts w:ascii="Arial" w:cs="Arial" w:eastAsia="Arial" w:hAnsi="Arial"/>
          <w:sz w:val="18"/>
          <w:szCs w:val="18"/>
          <w:color w:val="auto"/>
        </w:rPr>
        <w:t>:</w:t>
      </w:r>
    </w:p>
    <w:p>
      <w:pPr>
        <w:spacing w:after="0" w:line="200" w:lineRule="exact"/>
        <w:rPr>
          <w:sz w:val="20"/>
          <w:szCs w:val="20"/>
          <w:color w:val="auto"/>
        </w:rPr>
      </w:pPr>
    </w:p>
    <w:p>
      <w:pPr>
        <w:spacing w:after="0" w:line="241" w:lineRule="exact"/>
        <w:rPr>
          <w:sz w:val="20"/>
          <w:szCs w:val="20"/>
          <w:color w:val="auto"/>
        </w:rPr>
      </w:pPr>
    </w:p>
    <w:p>
      <w:pPr>
        <w:jc w:val="both"/>
        <w:ind w:firstLine="1297"/>
        <w:spacing w:after="0" w:line="252" w:lineRule="auto"/>
        <w:rPr>
          <w:sz w:val="20"/>
          <w:szCs w:val="20"/>
          <w:color w:val="auto"/>
        </w:rPr>
      </w:pPr>
      <w:r>
        <w:rPr>
          <w:rFonts w:ascii="Arial" w:cs="Arial" w:eastAsia="Arial" w:hAnsi="Arial"/>
          <w:sz w:val="18"/>
          <w:szCs w:val="18"/>
          <w:color w:val="auto"/>
        </w:rPr>
        <w:t>WHEREAS, the Borrower, the Guarantor, the lenders from time to time party thereto, the Administrative Agent and certain other parties thereto are parties to that certain Amended and Restated Credit and Guaranty Agreement, dated as of May 21, 2015 (as amended by that First Amendment to Amended and Restated Credit and Guaranty Agreement, dated October 26, 2015, as further amended by that Second Amendment to Amended and Restated Credit and Guaranty Agreement, dated March 14, 2017, as further amended by that Third Amendment to Amended and Restated Credit and Guaranty Agreement dated August 21, 2017, as further amended by that certain Fourth Amendment to Amended and Restated Credit and Guaranty Agreement, dated as of May 15, 2018, as further amended by that Fifth Amendment to Amended and Restated Credit and Guaranty Agreement dated December 10, 2018 and as further amended and restated, supplemented or otherwise modified, but not including the Sixth Amendment Effective Date (as defined below), the “</w:t>
      </w:r>
      <w:r>
        <w:rPr>
          <w:rFonts w:ascii="Arial" w:cs="Arial" w:eastAsia="Arial" w:hAnsi="Arial"/>
          <w:sz w:val="18"/>
          <w:szCs w:val="18"/>
          <w:i w:val="1"/>
          <w:iCs w:val="1"/>
          <w:color w:val="auto"/>
        </w:rPr>
        <w:t>Credit Agreement</w:t>
      </w:r>
      <w:r>
        <w:rPr>
          <w:rFonts w:ascii="Arial" w:cs="Arial" w:eastAsia="Arial" w:hAnsi="Arial"/>
          <w:sz w:val="18"/>
          <w:szCs w:val="18"/>
          <w:color w:val="auto"/>
        </w:rPr>
        <w:t>”);</w:t>
      </w:r>
    </w:p>
    <w:p>
      <w:pPr>
        <w:spacing w:after="0" w:line="200" w:lineRule="exact"/>
        <w:rPr>
          <w:sz w:val="20"/>
          <w:szCs w:val="20"/>
          <w:color w:val="auto"/>
        </w:rPr>
      </w:pPr>
    </w:p>
    <w:p>
      <w:pPr>
        <w:spacing w:after="0" w:line="222" w:lineRule="exact"/>
        <w:rPr>
          <w:sz w:val="20"/>
          <w:szCs w:val="20"/>
          <w:color w:val="auto"/>
        </w:rPr>
      </w:pPr>
    </w:p>
    <w:p>
      <w:pPr>
        <w:jc w:val="both"/>
        <w:ind w:firstLine="1297"/>
        <w:spacing w:after="0" w:line="256" w:lineRule="auto"/>
        <w:rPr>
          <w:sz w:val="20"/>
          <w:szCs w:val="20"/>
          <w:color w:val="auto"/>
        </w:rPr>
      </w:pPr>
      <w:r>
        <w:rPr>
          <w:rFonts w:ascii="Arial" w:cs="Arial" w:eastAsia="Arial" w:hAnsi="Arial"/>
          <w:sz w:val="18"/>
          <w:szCs w:val="18"/>
          <w:color w:val="auto"/>
        </w:rPr>
        <w:t>WHEREAS, pursuant to Section 2.28(b) of the Credit Agreement, the Borrower may make a Revolver Extension Offer to all Revolving Lenders holding Revolving Commitments under the Credit Agreement to extend the maturity date of each such Revolving Lender’s Revolving Commitment;</w:t>
      </w:r>
    </w:p>
    <w:p>
      <w:pPr>
        <w:spacing w:after="0" w:line="202" w:lineRule="exact"/>
        <w:rPr>
          <w:sz w:val="20"/>
          <w:szCs w:val="20"/>
          <w:color w:val="auto"/>
        </w:rPr>
      </w:pPr>
    </w:p>
    <w:p>
      <w:pPr>
        <w:jc w:val="both"/>
        <w:ind w:firstLine="1297"/>
        <w:spacing w:after="0" w:line="252" w:lineRule="auto"/>
        <w:rPr>
          <w:sz w:val="20"/>
          <w:szCs w:val="20"/>
          <w:color w:val="auto"/>
        </w:rPr>
      </w:pPr>
      <w:r>
        <w:rPr>
          <w:rFonts w:ascii="Arial" w:cs="Arial" w:eastAsia="Arial" w:hAnsi="Arial"/>
          <w:sz w:val="18"/>
          <w:szCs w:val="18"/>
          <w:color w:val="auto"/>
        </w:rPr>
        <w:t>WHEREAS, the Borrower hereby (i) requests that each Revolving Lender that is a party to the Credit Agreement immediately prior to the Sixth Amendment Effective Date (other than the Fifth Amendment Non-Extending Revolver Lender) (each, an “</w:t>
      </w:r>
      <w:r>
        <w:rPr>
          <w:rFonts w:ascii="Arial" w:cs="Arial" w:eastAsia="Arial" w:hAnsi="Arial"/>
          <w:sz w:val="18"/>
          <w:szCs w:val="18"/>
          <w:i w:val="1"/>
          <w:iCs w:val="1"/>
          <w:color w:val="auto"/>
        </w:rPr>
        <w:t>Existing Revolving</w:t>
      </w:r>
      <w:r>
        <w:rPr>
          <w:rFonts w:ascii="Arial" w:cs="Arial" w:eastAsia="Arial" w:hAnsi="Arial"/>
          <w:sz w:val="18"/>
          <w:szCs w:val="18"/>
          <w:color w:val="auto"/>
        </w:rPr>
        <w:t xml:space="preserve"> </w:t>
      </w:r>
      <w:r>
        <w:rPr>
          <w:rFonts w:ascii="Arial" w:cs="Arial" w:eastAsia="Arial" w:hAnsi="Arial"/>
          <w:sz w:val="18"/>
          <w:szCs w:val="18"/>
          <w:i w:val="1"/>
          <w:iCs w:val="1"/>
          <w:color w:val="auto"/>
        </w:rPr>
        <w:t>Lender</w:t>
      </w:r>
      <w:r>
        <w:rPr>
          <w:rFonts w:ascii="Arial" w:cs="Arial" w:eastAsia="Arial" w:hAnsi="Arial"/>
          <w:sz w:val="18"/>
          <w:szCs w:val="18"/>
          <w:color w:val="auto"/>
        </w:rPr>
        <w:t>”) extend the maturity of such Existing Revolving Lender’s Revolving Commitment pursuant to, and in accordance with the terms of,</w:t>
      </w:r>
      <w:r>
        <w:rPr>
          <w:rFonts w:ascii="Arial" w:cs="Arial" w:eastAsia="Arial" w:hAnsi="Arial"/>
          <w:sz w:val="18"/>
          <w:szCs w:val="18"/>
          <w:i w:val="1"/>
          <w:iCs w:val="1"/>
          <w:color w:val="auto"/>
        </w:rPr>
        <w:t xml:space="preserve"> </w:t>
      </w:r>
      <w:r>
        <w:rPr>
          <w:rFonts w:ascii="Arial" w:cs="Arial" w:eastAsia="Arial" w:hAnsi="Arial"/>
          <w:sz w:val="18"/>
          <w:szCs w:val="18"/>
          <w:color w:val="auto"/>
        </w:rPr>
        <w:t>Section 2.28(b), (c), (d) and (e) of the Credit Agreement and this Sixth Amendment (with such request constituting a Revolver Extension Offer for purposes of the Credit Agreement) and requests that the Administrative Agent waive any applicable notice period otherwise required thereby and (ii) specifies as the Minimum Extension Condition for such Revolving Extension Offer that all such Revolving Commitments (other than the Non-Extended Revolving Commitments) be subject to the Revolving Extension contemplated hereby;</w:t>
      </w:r>
    </w:p>
    <w:p>
      <w:pPr>
        <w:spacing w:after="0" w:line="207" w:lineRule="exact"/>
        <w:rPr>
          <w:sz w:val="20"/>
          <w:szCs w:val="20"/>
          <w:color w:val="auto"/>
        </w:rPr>
      </w:pPr>
    </w:p>
    <w:p>
      <w:pPr>
        <w:jc w:val="both"/>
        <w:ind w:firstLine="1297"/>
        <w:spacing w:after="0" w:line="254" w:lineRule="auto"/>
        <w:rPr>
          <w:sz w:val="20"/>
          <w:szCs w:val="20"/>
          <w:color w:val="auto"/>
        </w:rPr>
      </w:pPr>
      <w:r>
        <w:rPr>
          <w:rFonts w:ascii="Arial" w:cs="Arial" w:eastAsia="Arial" w:hAnsi="Arial"/>
          <w:sz w:val="18"/>
          <w:szCs w:val="18"/>
          <w:color w:val="auto"/>
        </w:rPr>
        <w:t>WHEREAS, the undersigned Existing Revolving Lenders (other than the Fifth Amendment Non-Consenting Revolving Lender) (the “</w:t>
      </w:r>
      <w:r>
        <w:rPr>
          <w:rFonts w:ascii="Arial" w:cs="Arial" w:eastAsia="Arial" w:hAnsi="Arial"/>
          <w:sz w:val="18"/>
          <w:szCs w:val="18"/>
          <w:i w:val="1"/>
          <w:iCs w:val="1"/>
          <w:color w:val="auto"/>
        </w:rPr>
        <w:t>Consenting Revolving Lenders</w:t>
      </w:r>
      <w:r>
        <w:rPr>
          <w:rFonts w:ascii="Arial" w:cs="Arial" w:eastAsia="Arial" w:hAnsi="Arial"/>
          <w:sz w:val="18"/>
          <w:szCs w:val="18"/>
          <w:color w:val="auto"/>
        </w:rPr>
        <w:t>”) are willing to extend the maturity date of their respective Revolving Commitments (the “</w:t>
      </w:r>
      <w:r>
        <w:rPr>
          <w:rFonts w:ascii="Arial" w:cs="Arial" w:eastAsia="Arial" w:hAnsi="Arial"/>
          <w:sz w:val="18"/>
          <w:szCs w:val="18"/>
          <w:i w:val="1"/>
          <w:iCs w:val="1"/>
          <w:color w:val="auto"/>
        </w:rPr>
        <w:t>Extended</w:t>
      </w:r>
      <w:r>
        <w:rPr>
          <w:rFonts w:ascii="Arial" w:cs="Arial" w:eastAsia="Arial" w:hAnsi="Arial"/>
          <w:sz w:val="18"/>
          <w:szCs w:val="18"/>
          <w:color w:val="auto"/>
        </w:rPr>
        <w:t xml:space="preserve"> </w:t>
      </w:r>
      <w:r>
        <w:rPr>
          <w:rFonts w:ascii="Arial" w:cs="Arial" w:eastAsia="Arial" w:hAnsi="Arial"/>
          <w:sz w:val="18"/>
          <w:szCs w:val="18"/>
          <w:i w:val="1"/>
          <w:iCs w:val="1"/>
          <w:color w:val="auto"/>
        </w:rPr>
        <w:t>Revolving Commitments</w:t>
      </w:r>
      <w:r>
        <w:rPr>
          <w:rFonts w:ascii="Arial" w:cs="Arial" w:eastAsia="Arial" w:hAnsi="Arial"/>
          <w:sz w:val="18"/>
          <w:szCs w:val="18"/>
          <w:color w:val="auto"/>
        </w:rPr>
        <w:t>”), subject to and on the terms and conditions set forth herein and in Section 2.28(b), (c), (d) and (e) of the Credit</w:t>
      </w:r>
      <w:r>
        <w:rPr>
          <w:rFonts w:ascii="Arial" w:cs="Arial" w:eastAsia="Arial" w:hAnsi="Arial"/>
          <w:sz w:val="18"/>
          <w:szCs w:val="18"/>
          <w:i w:val="1"/>
          <w:iCs w:val="1"/>
          <w:color w:val="auto"/>
        </w:rPr>
        <w:t xml:space="preserve"> </w:t>
      </w:r>
      <w:r>
        <w:rPr>
          <w:rFonts w:ascii="Arial" w:cs="Arial" w:eastAsia="Arial" w:hAnsi="Arial"/>
          <w:sz w:val="18"/>
          <w:szCs w:val="18"/>
          <w:color w:val="auto"/>
        </w:rPr>
        <w:t>Agreement;</w:t>
      </w:r>
    </w:p>
    <w:p>
      <w:pPr>
        <w:spacing w:after="0" w:line="200" w:lineRule="exact"/>
        <w:rPr>
          <w:sz w:val="20"/>
          <w:szCs w:val="20"/>
          <w:color w:val="auto"/>
        </w:rPr>
      </w:pPr>
    </w:p>
    <w:p>
      <w:pPr>
        <w:spacing w:after="0" w:line="220" w:lineRule="exact"/>
        <w:rPr>
          <w:sz w:val="20"/>
          <w:szCs w:val="20"/>
          <w:color w:val="auto"/>
        </w:rPr>
      </w:pPr>
    </w:p>
    <w:p>
      <w:pPr>
        <w:jc w:val="both"/>
        <w:ind w:firstLine="1297"/>
        <w:spacing w:after="0" w:line="256" w:lineRule="auto"/>
        <w:rPr>
          <w:sz w:val="20"/>
          <w:szCs w:val="20"/>
          <w:color w:val="auto"/>
        </w:rPr>
      </w:pPr>
      <w:r>
        <w:rPr>
          <w:rFonts w:ascii="Arial" w:cs="Arial" w:eastAsia="Arial" w:hAnsi="Arial"/>
          <w:sz w:val="18"/>
          <w:szCs w:val="18"/>
          <w:color w:val="auto"/>
        </w:rPr>
        <w:t>WHEREAS, the undersigned Consenting Revolving Lenders, the Fifth Amendment Non -Extending Lender and the Borrower desire to reallocate the Revolving Commitments (the “</w:t>
      </w:r>
      <w:r>
        <w:rPr>
          <w:rFonts w:ascii="Arial" w:cs="Arial" w:eastAsia="Arial" w:hAnsi="Arial"/>
          <w:sz w:val="18"/>
          <w:szCs w:val="18"/>
          <w:i w:val="1"/>
          <w:iCs w:val="1"/>
          <w:color w:val="auto"/>
        </w:rPr>
        <w:t>Reallocation</w:t>
      </w:r>
      <w:r>
        <w:rPr>
          <w:rFonts w:ascii="Arial" w:cs="Arial" w:eastAsia="Arial" w:hAnsi="Arial"/>
          <w:sz w:val="18"/>
          <w:szCs w:val="18"/>
          <w:color w:val="auto"/>
        </w:rPr>
        <w:t>”) and that each Revolving Lender will hold such Revolving Commitment as is set out opposite its name on Schedule 1;</w:t>
      </w:r>
    </w:p>
    <w:p>
      <w:pPr>
        <w:spacing w:after="0" w:line="20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w:t>
      </w:r>
    </w:p>
    <w:p>
      <w:pPr>
        <w:sectPr>
          <w:pgSz w:w="11900" w:h="16838" w:orient="portrait"/>
          <w:cols w:equalWidth="0" w:num="1">
            <w:col w:w="11420"/>
          </w:cols>
          <w:pgMar w:left="240" w:top="630" w:right="239" w:bottom="1440" w:gutter="0" w:footer="0" w:header="0"/>
        </w:sectPr>
      </w:pPr>
    </w:p>
    <w:bookmarkStart w:id="201" w:name="page202"/>
    <w:bookmarkEnd w:id="201"/>
    <w:p>
      <w:pPr>
        <w:jc w:val="both"/>
        <w:ind w:firstLine="1297"/>
        <w:spacing w:after="0" w:line="256" w:lineRule="auto"/>
        <w:rPr>
          <w:sz w:val="20"/>
          <w:szCs w:val="20"/>
          <w:color w:val="auto"/>
        </w:rPr>
      </w:pPr>
      <w:r>
        <w:rPr>
          <w:rFonts w:ascii="Arial" w:cs="Arial" w:eastAsia="Arial" w:hAnsi="Arial"/>
          <w:sz w:val="18"/>
          <w:szCs w:val="18"/>
          <w:color w:val="auto"/>
        </w:rPr>
        <w:t>WHEREAS, the Borrower, the Administrative Agent, the undersigned Revolving Lenders wish to amend the Credit Agreement to provide for certain other modifications to the Credit Agreement including a reduction of Revolving Commitments, in each case, on the terms and subject to the conditions set forth herein;</w:t>
      </w:r>
    </w:p>
    <w:p>
      <w:pPr>
        <w:spacing w:after="0" w:line="200" w:lineRule="exact"/>
        <w:rPr>
          <w:sz w:val="20"/>
          <w:szCs w:val="20"/>
          <w:color w:val="auto"/>
        </w:rPr>
      </w:pPr>
    </w:p>
    <w:p>
      <w:pPr>
        <w:spacing w:after="0" w:line="218" w:lineRule="exact"/>
        <w:rPr>
          <w:sz w:val="20"/>
          <w:szCs w:val="20"/>
          <w:color w:val="auto"/>
        </w:rPr>
      </w:pPr>
    </w:p>
    <w:p>
      <w:pPr>
        <w:jc w:val="both"/>
        <w:ind w:firstLine="1297"/>
        <w:spacing w:after="0" w:line="262" w:lineRule="auto"/>
        <w:rPr>
          <w:sz w:val="20"/>
          <w:szCs w:val="20"/>
          <w:color w:val="auto"/>
        </w:rPr>
      </w:pPr>
      <w:r>
        <w:rPr>
          <w:rFonts w:ascii="Arial" w:cs="Arial" w:eastAsia="Arial" w:hAnsi="Arial"/>
          <w:sz w:val="18"/>
          <w:szCs w:val="18"/>
          <w:color w:val="auto"/>
        </w:rPr>
        <w:t>WHEREAS, pursuant to Section 2.28(b) of the Credit Agreement, the Fifth Amendment Non-Extending Revolving Lender shall continue to have Revolving Credit Commitments (the “</w:t>
      </w:r>
      <w:r>
        <w:rPr>
          <w:rFonts w:ascii="Arial" w:cs="Arial" w:eastAsia="Arial" w:hAnsi="Arial"/>
          <w:sz w:val="18"/>
          <w:szCs w:val="18"/>
          <w:i w:val="1"/>
          <w:iCs w:val="1"/>
          <w:color w:val="auto"/>
        </w:rPr>
        <w:t>Non-Extended Revolver Commitments</w:t>
      </w:r>
      <w:r>
        <w:rPr>
          <w:rFonts w:ascii="Arial" w:cs="Arial" w:eastAsia="Arial" w:hAnsi="Arial"/>
          <w:sz w:val="18"/>
          <w:szCs w:val="18"/>
          <w:color w:val="auto"/>
        </w:rPr>
        <w:t>”); and</w:t>
      </w:r>
    </w:p>
    <w:p>
      <w:pPr>
        <w:spacing w:after="0" w:line="200" w:lineRule="exact"/>
        <w:rPr>
          <w:sz w:val="20"/>
          <w:szCs w:val="20"/>
          <w:color w:val="auto"/>
        </w:rPr>
      </w:pPr>
    </w:p>
    <w:p>
      <w:pPr>
        <w:spacing w:after="0" w:line="212" w:lineRule="exact"/>
        <w:rPr>
          <w:sz w:val="20"/>
          <w:szCs w:val="20"/>
          <w:color w:val="auto"/>
        </w:rPr>
      </w:pPr>
    </w:p>
    <w:p>
      <w:pPr>
        <w:jc w:val="both"/>
        <w:ind w:firstLine="1297"/>
        <w:spacing w:after="0" w:line="262" w:lineRule="auto"/>
        <w:rPr>
          <w:sz w:val="20"/>
          <w:szCs w:val="20"/>
          <w:color w:val="auto"/>
        </w:rPr>
      </w:pPr>
      <w:r>
        <w:rPr>
          <w:rFonts w:ascii="Arial" w:cs="Arial" w:eastAsia="Arial" w:hAnsi="Arial"/>
          <w:sz w:val="18"/>
          <w:szCs w:val="18"/>
          <w:color w:val="auto"/>
        </w:rPr>
        <w:t>NOW, THEREFORE, in consideration of the foregoing, and for other good and valuable consideration, the receipt and sufficiency of which are hereby acknowledged, the parties hereto hereby agree as follows:</w:t>
      </w:r>
    </w:p>
    <w:p>
      <w:pPr>
        <w:spacing w:after="0" w:line="200" w:lineRule="exact"/>
        <w:rPr>
          <w:sz w:val="20"/>
          <w:szCs w:val="20"/>
          <w:color w:val="auto"/>
        </w:rPr>
      </w:pPr>
    </w:p>
    <w:p>
      <w:pPr>
        <w:spacing w:after="0" w:line="212" w:lineRule="exact"/>
        <w:rPr>
          <w:sz w:val="20"/>
          <w:szCs w:val="20"/>
          <w:color w:val="auto"/>
        </w:rPr>
      </w:pPr>
    </w:p>
    <w:p>
      <w:pPr>
        <w:jc w:val="both"/>
        <w:ind w:firstLine="1702"/>
        <w:spacing w:after="0" w:line="254" w:lineRule="auto"/>
        <w:rPr>
          <w:sz w:val="20"/>
          <w:szCs w:val="20"/>
          <w:color w:val="auto"/>
        </w:rPr>
      </w:pPr>
      <w:r>
        <w:rPr>
          <w:rFonts w:ascii="Arial" w:cs="Arial" w:eastAsia="Arial" w:hAnsi="Arial"/>
          <w:sz w:val="18"/>
          <w:szCs w:val="18"/>
          <w:u w:val="single" w:color="auto"/>
          <w:color w:val="auto"/>
        </w:rPr>
        <w:t>SECTION ONE - Reallocation of Revolving Commitments</w:t>
      </w:r>
      <w:r>
        <w:rPr>
          <w:rFonts w:ascii="Arial" w:cs="Arial" w:eastAsia="Arial" w:hAnsi="Arial"/>
          <w:sz w:val="18"/>
          <w:szCs w:val="18"/>
          <w:color w:val="auto"/>
        </w:rPr>
        <w:t>. On the Sixth Amendment Effective Date, the Borrower, the Consenting Revolving Lenders and the Fifth Amendment Non-Extending Lender agree that (1) there shall be an automatic termination of the total Revolving Commitments in excess of $750,000,000 and (2) the Total Revolving Commitments shall be $750,000,000, consisting of $735,600,000 of Extended Revolver Commitments and $14,400,000 of Non-Extended Revolver Commitments.</w:t>
      </w:r>
    </w:p>
    <w:p>
      <w:pPr>
        <w:spacing w:after="0" w:line="200" w:lineRule="exact"/>
        <w:rPr>
          <w:sz w:val="20"/>
          <w:szCs w:val="20"/>
          <w:color w:val="auto"/>
        </w:rPr>
      </w:pPr>
    </w:p>
    <w:p>
      <w:pPr>
        <w:spacing w:after="0" w:line="220" w:lineRule="exact"/>
        <w:rPr>
          <w:sz w:val="20"/>
          <w:szCs w:val="20"/>
          <w:color w:val="auto"/>
        </w:rPr>
      </w:pPr>
    </w:p>
    <w:p>
      <w:pPr>
        <w:jc w:val="both"/>
        <w:ind w:firstLine="1702"/>
        <w:spacing w:after="0" w:line="256" w:lineRule="auto"/>
        <w:rPr>
          <w:sz w:val="20"/>
          <w:szCs w:val="20"/>
          <w:color w:val="auto"/>
        </w:rPr>
      </w:pPr>
      <w:r>
        <w:rPr>
          <w:rFonts w:ascii="Arial" w:cs="Arial" w:eastAsia="Arial" w:hAnsi="Arial"/>
          <w:sz w:val="18"/>
          <w:szCs w:val="18"/>
          <w:u w:val="single" w:color="auto"/>
          <w:color w:val="auto"/>
        </w:rPr>
        <w:t>SECTION TWO - Extension of Revolving Facility</w:t>
      </w:r>
      <w:r>
        <w:rPr>
          <w:rFonts w:ascii="Arial" w:cs="Arial" w:eastAsia="Arial" w:hAnsi="Arial"/>
          <w:sz w:val="18"/>
          <w:szCs w:val="18"/>
          <w:color w:val="auto"/>
        </w:rPr>
        <w:t>. On the Sixth Amendment Effective Date (immediately after giving effect to the Reallocation contemplated in Section One), the Borrower, each Extending Revolving Lender and the Fifth Amendment Non-Extending Revolving Lender agree the Credit Agreement is modified as follows:</w:t>
      </w:r>
    </w:p>
    <w:p>
      <w:pPr>
        <w:spacing w:after="0" w:line="202" w:lineRule="exact"/>
        <w:rPr>
          <w:sz w:val="20"/>
          <w:szCs w:val="20"/>
          <w:color w:val="auto"/>
        </w:rPr>
      </w:pPr>
    </w:p>
    <w:p>
      <w:pPr>
        <w:ind w:left="2180" w:hanging="875"/>
        <w:spacing w:after="0"/>
        <w:tabs>
          <w:tab w:leader="none" w:pos="2180" w:val="left"/>
        </w:tabs>
        <w:numPr>
          <w:ilvl w:val="0"/>
          <w:numId w:val="90"/>
        </w:numPr>
        <w:rPr>
          <w:rFonts w:ascii="Arial" w:cs="Arial" w:eastAsia="Arial" w:hAnsi="Arial"/>
          <w:sz w:val="18"/>
          <w:szCs w:val="18"/>
          <w:color w:val="auto"/>
        </w:rPr>
      </w:pPr>
      <w:r>
        <w:rPr>
          <w:rFonts w:ascii="Arial" w:cs="Arial" w:eastAsia="Arial" w:hAnsi="Arial"/>
          <w:sz w:val="18"/>
          <w:szCs w:val="18"/>
          <w:color w:val="auto"/>
        </w:rPr>
        <w:t>Section 1.01 of the Credit Agreement is hereby amended by adding the following definitions in appropriate</w:t>
      </w:r>
    </w:p>
    <w:p>
      <w:pPr>
        <w:spacing w:after="0" w:line="9" w:lineRule="exact"/>
        <w:rPr>
          <w:rFonts w:ascii="Arial" w:cs="Arial" w:eastAsia="Arial" w:hAnsi="Arial"/>
          <w:sz w:val="18"/>
          <w:szCs w:val="18"/>
          <w:color w:val="auto"/>
        </w:rPr>
      </w:pPr>
    </w:p>
    <w:p>
      <w:pPr>
        <w:spacing w:after="0"/>
        <w:rPr>
          <w:rFonts w:ascii="Arial" w:cs="Arial" w:eastAsia="Arial" w:hAnsi="Arial"/>
          <w:sz w:val="18"/>
          <w:szCs w:val="18"/>
          <w:color w:val="auto"/>
        </w:rPr>
      </w:pPr>
      <w:r>
        <w:rPr>
          <w:rFonts w:ascii="Arial" w:cs="Arial" w:eastAsia="Arial" w:hAnsi="Arial"/>
          <w:sz w:val="18"/>
          <w:szCs w:val="18"/>
          <w:color w:val="auto"/>
        </w:rPr>
        <w:t>alphabetical order:</w:t>
      </w:r>
    </w:p>
    <w:p>
      <w:pPr>
        <w:spacing w:after="0" w:line="207" w:lineRule="exact"/>
        <w:rPr>
          <w:sz w:val="20"/>
          <w:szCs w:val="20"/>
          <w:color w:val="auto"/>
        </w:rPr>
      </w:pPr>
    </w:p>
    <w:p>
      <w:pPr>
        <w:jc w:val="both"/>
        <w:ind w:right="20" w:firstLine="1297"/>
        <w:spacing w:after="0" w:line="282"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Sixth Amendment</w:t>
      </w:r>
      <w:r>
        <w:rPr>
          <w:rFonts w:ascii="Arial" w:cs="Arial" w:eastAsia="Arial" w:hAnsi="Arial"/>
          <w:sz w:val="18"/>
          <w:szCs w:val="18"/>
          <w:color w:val="auto"/>
        </w:rPr>
        <w:t>” means the Sixth Amendment to this Credit Agreement, dated as of November 8, 2019 among the Borrower, Deutsche Bank AG New York Branch, as administrative agent and as an issuing lender and the Lenders party thereto.”</w:t>
      </w:r>
    </w:p>
    <w:p>
      <w:pPr>
        <w:spacing w:after="0" w:line="378"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Sixth Amendment Effective Date</w:t>
      </w:r>
      <w:r>
        <w:rPr>
          <w:rFonts w:ascii="Arial" w:cs="Arial" w:eastAsia="Arial" w:hAnsi="Arial"/>
          <w:sz w:val="18"/>
          <w:szCs w:val="18"/>
          <w:color w:val="auto"/>
        </w:rPr>
        <w:t>” shall have the meaning provided in the Sixth Amendment.”;</w:t>
      </w:r>
    </w:p>
    <w:p>
      <w:pPr>
        <w:spacing w:after="0" w:line="200" w:lineRule="exact"/>
        <w:rPr>
          <w:sz w:val="20"/>
          <w:szCs w:val="20"/>
          <w:color w:val="auto"/>
        </w:rPr>
      </w:pPr>
    </w:p>
    <w:p>
      <w:pPr>
        <w:spacing w:after="0" w:line="241" w:lineRule="exact"/>
        <w:rPr>
          <w:sz w:val="20"/>
          <w:szCs w:val="20"/>
          <w:color w:val="auto"/>
        </w:rPr>
      </w:pPr>
    </w:p>
    <w:p>
      <w:pPr>
        <w:jc w:val="both"/>
        <w:ind w:firstLine="1297"/>
        <w:spacing w:after="0" w:line="282"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Sixth Amendment Extended Revolving Commitments</w:t>
      </w:r>
      <w:r>
        <w:rPr>
          <w:rFonts w:ascii="Arial" w:cs="Arial" w:eastAsia="Arial" w:hAnsi="Arial"/>
          <w:sz w:val="18"/>
          <w:szCs w:val="18"/>
          <w:color w:val="auto"/>
        </w:rPr>
        <w:t>” means the Revolving Commitments of each Sixth Amendment Extending Revolving Lender.”</w:t>
      </w:r>
    </w:p>
    <w:p>
      <w:pPr>
        <w:spacing w:after="0" w:line="378" w:lineRule="exact"/>
        <w:rPr>
          <w:sz w:val="20"/>
          <w:szCs w:val="20"/>
          <w:color w:val="auto"/>
        </w:rPr>
      </w:pPr>
    </w:p>
    <w:p>
      <w:pPr>
        <w:jc w:val="both"/>
        <w:ind w:firstLine="1297"/>
        <w:spacing w:after="0" w:line="261" w:lineRule="auto"/>
        <w:rPr>
          <w:sz w:val="20"/>
          <w:szCs w:val="20"/>
          <w:color w:val="auto"/>
        </w:rPr>
      </w:pPr>
      <w:r>
        <w:rPr>
          <w:rFonts w:ascii="Arial" w:cs="Arial" w:eastAsia="Arial" w:hAnsi="Arial"/>
          <w:sz w:val="18"/>
          <w:szCs w:val="18"/>
          <w:i w:val="1"/>
          <w:iCs w:val="1"/>
          <w:color w:val="auto"/>
        </w:rPr>
        <w:t>““Sixth Amendment Extending Revolving Lender</w:t>
      </w:r>
      <w:r>
        <w:rPr>
          <w:rFonts w:ascii="Arial" w:cs="Arial" w:eastAsia="Arial" w:hAnsi="Arial"/>
          <w:sz w:val="18"/>
          <w:szCs w:val="18"/>
          <w:color w:val="auto"/>
        </w:rPr>
        <w:t>” shall mean each Revolving Lender that has provided a signature page on or</w:t>
      </w:r>
      <w:r>
        <w:rPr>
          <w:rFonts w:ascii="Arial" w:cs="Arial" w:eastAsia="Arial" w:hAnsi="Arial"/>
          <w:sz w:val="18"/>
          <w:szCs w:val="18"/>
          <w:i w:val="1"/>
          <w:iCs w:val="1"/>
          <w:color w:val="auto"/>
        </w:rPr>
        <w:t xml:space="preserve"> </w:t>
      </w:r>
      <w:r>
        <w:rPr>
          <w:rFonts w:ascii="Arial" w:cs="Arial" w:eastAsia="Arial" w:hAnsi="Arial"/>
          <w:sz w:val="18"/>
          <w:szCs w:val="18"/>
          <w:color w:val="auto"/>
        </w:rPr>
        <w:t>prior to November 8, 2019 voting in favor of accepting the Sixth Amendment Extension Offer and extending the Revolving Facility Maturity Date as set forth in the Sixth Amendment, which, for the avoidance of doubt, shall not include the Fifth Amendment Non-Extending Revolving Lender.”</w:t>
      </w:r>
    </w:p>
    <w:p>
      <w:pPr>
        <w:spacing w:after="0" w:line="396"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Sixth Amendment Extension Offer</w:t>
      </w:r>
      <w:r>
        <w:rPr>
          <w:rFonts w:ascii="Arial" w:cs="Arial" w:eastAsia="Arial" w:hAnsi="Arial"/>
          <w:sz w:val="18"/>
          <w:szCs w:val="18"/>
          <w:color w:val="auto"/>
        </w:rPr>
        <w:t>” means the Extension Offer made pursuant to the Sixth Amendment.”</w:t>
      </w:r>
    </w:p>
    <w:p>
      <w:pPr>
        <w:spacing w:after="0" w:line="200" w:lineRule="exact"/>
        <w:rPr>
          <w:sz w:val="20"/>
          <w:szCs w:val="20"/>
          <w:color w:val="auto"/>
        </w:rPr>
      </w:pPr>
    </w:p>
    <w:p>
      <w:pPr>
        <w:spacing w:after="0" w:line="241" w:lineRule="exact"/>
        <w:rPr>
          <w:sz w:val="20"/>
          <w:szCs w:val="20"/>
          <w:color w:val="auto"/>
        </w:rPr>
      </w:pPr>
    </w:p>
    <w:p>
      <w:pPr>
        <w:jc w:val="both"/>
        <w:ind w:firstLine="1297"/>
        <w:spacing w:after="0" w:line="282"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Sixth Amendment Non-Extended Revolving Commitments</w:t>
      </w:r>
      <w:r>
        <w:rPr>
          <w:rFonts w:ascii="Arial" w:cs="Arial" w:eastAsia="Arial" w:hAnsi="Arial"/>
          <w:sz w:val="18"/>
          <w:szCs w:val="18"/>
          <w:color w:val="auto"/>
        </w:rPr>
        <w:t>” means the Revolving Commitments of each Sixth Amendment Non-Extending Revolving Lender.”</w:t>
      </w:r>
    </w:p>
    <w:p>
      <w:pPr>
        <w:spacing w:after="0" w:line="162" w:lineRule="exact"/>
        <w:rPr>
          <w:sz w:val="20"/>
          <w:szCs w:val="20"/>
          <w:color w:val="auto"/>
        </w:rPr>
      </w:pPr>
    </w:p>
    <w:p>
      <w:pPr>
        <w:ind w:firstLine="1305"/>
        <w:spacing w:after="0" w:line="282" w:lineRule="auto"/>
        <w:tabs>
          <w:tab w:leader="none" w:pos="2165" w:val="left"/>
        </w:tabs>
        <w:numPr>
          <w:ilvl w:val="0"/>
          <w:numId w:val="91"/>
        </w:numPr>
        <w:rPr>
          <w:rFonts w:ascii="Arial" w:cs="Arial" w:eastAsia="Arial" w:hAnsi="Arial"/>
          <w:sz w:val="18"/>
          <w:szCs w:val="18"/>
          <w:color w:val="auto"/>
        </w:rPr>
      </w:pPr>
      <w:r>
        <w:rPr>
          <w:rFonts w:ascii="Arial" w:cs="Arial" w:eastAsia="Arial" w:hAnsi="Arial"/>
          <w:sz w:val="18"/>
          <w:szCs w:val="18"/>
          <w:color w:val="auto"/>
        </w:rPr>
        <w:t>The definition of “</w:t>
      </w:r>
      <w:r>
        <w:rPr>
          <w:rFonts w:ascii="Arial" w:cs="Arial" w:eastAsia="Arial" w:hAnsi="Arial"/>
          <w:sz w:val="18"/>
          <w:szCs w:val="18"/>
          <w:i w:val="1"/>
          <w:iCs w:val="1"/>
          <w:color w:val="auto"/>
        </w:rPr>
        <w:t>Commitment Fee Rate</w:t>
      </w:r>
      <w:r>
        <w:rPr>
          <w:rFonts w:ascii="Arial" w:cs="Arial" w:eastAsia="Arial" w:hAnsi="Arial"/>
          <w:sz w:val="18"/>
          <w:szCs w:val="18"/>
          <w:color w:val="auto"/>
        </w:rPr>
        <w:t>” appearing in Section 1.01 of the Credit Agreement is hereby amended and restated in its entirety as follows:</w:t>
      </w:r>
    </w:p>
    <w:p>
      <w:pPr>
        <w:spacing w:after="0" w:line="162" w:lineRule="exact"/>
        <w:rPr>
          <w:sz w:val="20"/>
          <w:szCs w:val="20"/>
          <w:color w:val="auto"/>
        </w:rPr>
      </w:pPr>
    </w:p>
    <w:p>
      <w:pPr>
        <w:ind w:left="660" w:right="320" w:firstLine="648"/>
        <w:spacing w:after="0" w:line="313" w:lineRule="auto"/>
        <w:rPr>
          <w:sz w:val="20"/>
          <w:szCs w:val="20"/>
          <w:color w:val="auto"/>
        </w:rPr>
      </w:pPr>
      <w:r>
        <w:rPr>
          <w:rFonts w:ascii="Arial" w:cs="Arial" w:eastAsia="Arial" w:hAnsi="Arial"/>
          <w:sz w:val="17"/>
          <w:szCs w:val="17"/>
          <w:color w:val="auto"/>
        </w:rPr>
        <w:t>““</w:t>
      </w:r>
      <w:r>
        <w:rPr>
          <w:rFonts w:ascii="Arial" w:cs="Arial" w:eastAsia="Arial" w:hAnsi="Arial"/>
          <w:sz w:val="17"/>
          <w:szCs w:val="17"/>
          <w:i w:val="1"/>
          <w:iCs w:val="1"/>
          <w:color w:val="auto"/>
        </w:rPr>
        <w:t>Commitment Fee Rate</w:t>
      </w:r>
      <w:r>
        <w:rPr>
          <w:rFonts w:ascii="Arial" w:cs="Arial" w:eastAsia="Arial" w:hAnsi="Arial"/>
          <w:sz w:val="17"/>
          <w:szCs w:val="17"/>
          <w:color w:val="auto"/>
        </w:rPr>
        <w:t>” shall mean (x) 0.625% per annum (other than with respect to the Fifth Amendment Non-Extended Revolving Commitments) and (y) in respect of Fifth Amendment Non-Extended Revolving Commitments, 0.75% per annum.”.</w:t>
      </w:r>
    </w:p>
    <w:p>
      <w:pPr>
        <w:spacing w:after="0" w:line="37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w:t>
      </w:r>
    </w:p>
    <w:p>
      <w:pPr>
        <w:sectPr>
          <w:pgSz w:w="11900" w:h="16838" w:orient="portrait"/>
          <w:cols w:equalWidth="0" w:num="1">
            <w:col w:w="11420"/>
          </w:cols>
          <w:pgMar w:left="240" w:top="571" w:right="239" w:bottom="1440" w:gutter="0" w:footer="0" w:header="0"/>
        </w:sectPr>
      </w:pPr>
    </w:p>
    <w:bookmarkStart w:id="202" w:name="page203"/>
    <w:bookmarkEnd w:id="202"/>
    <w:p>
      <w:pPr>
        <w:ind w:right="620" w:firstLine="1305"/>
        <w:spacing w:after="0" w:line="282" w:lineRule="auto"/>
        <w:tabs>
          <w:tab w:leader="none" w:pos="2155" w:val="left"/>
        </w:tabs>
        <w:numPr>
          <w:ilvl w:val="0"/>
          <w:numId w:val="92"/>
        </w:numPr>
        <w:rPr>
          <w:rFonts w:ascii="Arial" w:cs="Arial" w:eastAsia="Arial" w:hAnsi="Arial"/>
          <w:sz w:val="18"/>
          <w:szCs w:val="18"/>
          <w:color w:val="auto"/>
        </w:rPr>
      </w:pPr>
      <w:r>
        <w:rPr>
          <w:rFonts w:ascii="Arial" w:cs="Arial" w:eastAsia="Arial" w:hAnsi="Arial"/>
          <w:sz w:val="18"/>
          <w:szCs w:val="18"/>
          <w:color w:val="auto"/>
        </w:rPr>
        <w:t>The definition of “</w:t>
      </w:r>
      <w:r>
        <w:rPr>
          <w:rFonts w:ascii="Arial" w:cs="Arial" w:eastAsia="Arial" w:hAnsi="Arial"/>
          <w:sz w:val="18"/>
          <w:szCs w:val="18"/>
          <w:i w:val="1"/>
          <w:iCs w:val="1"/>
          <w:color w:val="auto"/>
        </w:rPr>
        <w:t>Fifth Amendment Non-Extending Revolving Lender</w:t>
      </w:r>
      <w:r>
        <w:rPr>
          <w:rFonts w:ascii="Arial" w:cs="Arial" w:eastAsia="Arial" w:hAnsi="Arial"/>
          <w:sz w:val="18"/>
          <w:szCs w:val="18"/>
          <w:color w:val="auto"/>
        </w:rPr>
        <w:t>” appearing in Section 1.01 of the Credit Agreement is hereby amended and restated in its entirety as follows:</w:t>
      </w:r>
    </w:p>
    <w:p>
      <w:pPr>
        <w:spacing w:after="0" w:line="162" w:lineRule="exact"/>
        <w:rPr>
          <w:sz w:val="20"/>
          <w:szCs w:val="20"/>
          <w:color w:val="auto"/>
        </w:rPr>
      </w:pPr>
    </w:p>
    <w:p>
      <w:pPr>
        <w:ind w:left="660" w:right="260" w:firstLine="648"/>
        <w:spacing w:after="0" w:line="282"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Fifth Amendment Non-Extending Revolving Lender</w:t>
      </w:r>
      <w:r>
        <w:rPr>
          <w:rFonts w:ascii="Arial" w:cs="Arial" w:eastAsia="Arial" w:hAnsi="Arial"/>
          <w:sz w:val="18"/>
          <w:szCs w:val="18"/>
          <w:color w:val="auto"/>
        </w:rPr>
        <w:t>” shall mean, Texas Capital Bank, N.A., and any successor or permitted assign of a Fifth Amendment Non-Extending Revolving Lender.”</w:t>
      </w:r>
    </w:p>
    <w:p>
      <w:pPr>
        <w:spacing w:after="0" w:line="378" w:lineRule="exact"/>
        <w:rPr>
          <w:sz w:val="20"/>
          <w:szCs w:val="20"/>
          <w:color w:val="auto"/>
        </w:rPr>
      </w:pPr>
    </w:p>
    <w:p>
      <w:pPr>
        <w:ind w:right="80" w:firstLine="1305"/>
        <w:spacing w:after="0" w:line="266" w:lineRule="auto"/>
        <w:tabs>
          <w:tab w:leader="none" w:pos="2165" w:val="left"/>
        </w:tabs>
        <w:numPr>
          <w:ilvl w:val="0"/>
          <w:numId w:val="93"/>
        </w:numPr>
        <w:rPr>
          <w:rFonts w:ascii="Arial" w:cs="Arial" w:eastAsia="Arial" w:hAnsi="Arial"/>
          <w:sz w:val="18"/>
          <w:szCs w:val="18"/>
          <w:color w:val="auto"/>
        </w:rPr>
      </w:pPr>
      <w:r>
        <w:rPr>
          <w:rFonts w:ascii="Arial" w:cs="Arial" w:eastAsia="Arial" w:hAnsi="Arial"/>
          <w:sz w:val="18"/>
          <w:szCs w:val="18"/>
          <w:color w:val="auto"/>
        </w:rPr>
        <w:t>The definition of “</w:t>
      </w:r>
      <w:r>
        <w:rPr>
          <w:rFonts w:ascii="Arial" w:cs="Arial" w:eastAsia="Arial" w:hAnsi="Arial"/>
          <w:sz w:val="18"/>
          <w:szCs w:val="18"/>
          <w:i w:val="1"/>
          <w:iCs w:val="1"/>
          <w:color w:val="auto"/>
        </w:rPr>
        <w:t>LIBO Rate</w:t>
      </w:r>
      <w:r>
        <w:rPr>
          <w:rFonts w:ascii="Arial" w:cs="Arial" w:eastAsia="Arial" w:hAnsi="Arial"/>
          <w:sz w:val="18"/>
          <w:szCs w:val="18"/>
          <w:color w:val="auto"/>
        </w:rPr>
        <w:t>” appearing in Section 1.01 of the Credit Agreement is hereby amended by adding “and Revolving Loans in respect of Sixth Amendment Extended Revolving Commitments” after “solely in respect of the 2017 Replacement Term Loans” where it is used therein.</w:t>
      </w:r>
    </w:p>
    <w:p>
      <w:pPr>
        <w:spacing w:after="0" w:line="176" w:lineRule="exact"/>
        <w:rPr>
          <w:rFonts w:ascii="Arial" w:cs="Arial" w:eastAsia="Arial" w:hAnsi="Arial"/>
          <w:sz w:val="18"/>
          <w:szCs w:val="18"/>
          <w:color w:val="auto"/>
        </w:rPr>
      </w:pPr>
    </w:p>
    <w:p>
      <w:pPr>
        <w:ind w:right="440" w:firstLine="1305"/>
        <w:spacing w:after="0" w:line="282" w:lineRule="auto"/>
        <w:tabs>
          <w:tab w:leader="none" w:pos="2165" w:val="left"/>
        </w:tabs>
        <w:numPr>
          <w:ilvl w:val="0"/>
          <w:numId w:val="93"/>
        </w:numPr>
        <w:rPr>
          <w:rFonts w:ascii="Arial" w:cs="Arial" w:eastAsia="Arial" w:hAnsi="Arial"/>
          <w:sz w:val="18"/>
          <w:szCs w:val="18"/>
          <w:color w:val="auto"/>
        </w:rPr>
      </w:pPr>
      <w:r>
        <w:rPr>
          <w:rFonts w:ascii="Arial" w:cs="Arial" w:eastAsia="Arial" w:hAnsi="Arial"/>
          <w:sz w:val="18"/>
          <w:szCs w:val="18"/>
          <w:color w:val="auto"/>
        </w:rPr>
        <w:t>The definition of “</w:t>
      </w:r>
      <w:r>
        <w:rPr>
          <w:rFonts w:ascii="Arial" w:cs="Arial" w:eastAsia="Arial" w:hAnsi="Arial"/>
          <w:sz w:val="18"/>
          <w:szCs w:val="18"/>
          <w:i w:val="1"/>
          <w:iCs w:val="1"/>
          <w:color w:val="auto"/>
        </w:rPr>
        <w:t>Revolving Facility Maturity Date</w:t>
      </w:r>
      <w:r>
        <w:rPr>
          <w:rFonts w:ascii="Arial" w:cs="Arial" w:eastAsia="Arial" w:hAnsi="Arial"/>
          <w:sz w:val="18"/>
          <w:szCs w:val="18"/>
          <w:color w:val="auto"/>
        </w:rPr>
        <w:t>” appearing in Section 1.01 of the Credit Agreement is hereby amended and restated in its entirety as follows:</w:t>
      </w:r>
    </w:p>
    <w:p>
      <w:pPr>
        <w:spacing w:after="0" w:line="162" w:lineRule="exact"/>
        <w:rPr>
          <w:sz w:val="20"/>
          <w:szCs w:val="20"/>
          <w:color w:val="auto"/>
        </w:rPr>
      </w:pPr>
    </w:p>
    <w:p>
      <w:pPr>
        <w:jc w:val="both"/>
        <w:ind w:left="880" w:firstLine="972"/>
        <w:spacing w:after="0" w:line="257"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Revolving Facility Maturity Date</w:t>
      </w:r>
      <w:r>
        <w:rPr>
          <w:rFonts w:ascii="Arial" w:cs="Arial" w:eastAsia="Arial" w:hAnsi="Arial"/>
          <w:sz w:val="18"/>
          <w:szCs w:val="18"/>
          <w:color w:val="auto"/>
        </w:rPr>
        <w:t>” shall mean, (a) with respect to Sixth Amendment Extended Revolving Commitments, that have not been extended pursuant to Section 2.28(b), but including Revolving Commitments extended or made available pursuant to the Sixth Amendment, October 11, 2024, (b) with respect to Fifth Amendment Non-Extended Revolving Commitments that have not been extended pursuant to Section 2.28(b), October 13, 2022 and (c) with respect to Extended Revolving Commitments extended after the Sixth Amendment Effective Date, the final maturity date therefor as specified in the applicable Extension Offer accepted by the respective Revolving Lender or Revolving Lenders.”;</w:t>
      </w:r>
    </w:p>
    <w:p>
      <w:pPr>
        <w:spacing w:after="0" w:line="183" w:lineRule="exact"/>
        <w:rPr>
          <w:sz w:val="20"/>
          <w:szCs w:val="20"/>
          <w:color w:val="auto"/>
        </w:rPr>
      </w:pPr>
    </w:p>
    <w:p>
      <w:pPr>
        <w:ind w:right="300" w:firstLine="1305"/>
        <w:spacing w:after="0" w:line="282" w:lineRule="auto"/>
        <w:tabs>
          <w:tab w:leader="none" w:pos="2115" w:val="left"/>
        </w:tabs>
        <w:numPr>
          <w:ilvl w:val="0"/>
          <w:numId w:val="94"/>
        </w:numPr>
        <w:rPr>
          <w:rFonts w:ascii="Arial" w:cs="Arial" w:eastAsia="Arial" w:hAnsi="Arial"/>
          <w:sz w:val="18"/>
          <w:szCs w:val="18"/>
          <w:color w:val="auto"/>
        </w:rPr>
      </w:pPr>
      <w:r>
        <w:rPr>
          <w:rFonts w:ascii="Arial" w:cs="Arial" w:eastAsia="Arial" w:hAnsi="Arial"/>
          <w:sz w:val="18"/>
          <w:szCs w:val="18"/>
          <w:color w:val="auto"/>
        </w:rPr>
        <w:t>The definition of “</w:t>
      </w:r>
      <w:r>
        <w:rPr>
          <w:rFonts w:ascii="Arial" w:cs="Arial" w:eastAsia="Arial" w:hAnsi="Arial"/>
          <w:sz w:val="18"/>
          <w:szCs w:val="18"/>
          <w:i w:val="1"/>
          <w:iCs w:val="1"/>
          <w:color w:val="auto"/>
        </w:rPr>
        <w:t>Revolving Commitment</w:t>
      </w:r>
      <w:r>
        <w:rPr>
          <w:rFonts w:ascii="Arial" w:cs="Arial" w:eastAsia="Arial" w:hAnsi="Arial"/>
          <w:sz w:val="18"/>
          <w:szCs w:val="18"/>
          <w:color w:val="auto"/>
        </w:rPr>
        <w:t>” is hereby amended by deleting the last sentence of said definition in its entirety and inserting in lieu thereof the following new sentence:</w:t>
      </w:r>
    </w:p>
    <w:p>
      <w:pPr>
        <w:spacing w:after="0" w:line="180" w:lineRule="exact"/>
        <w:rPr>
          <w:sz w:val="20"/>
          <w:szCs w:val="20"/>
          <w:color w:val="auto"/>
        </w:rPr>
      </w:pPr>
    </w:p>
    <w:p>
      <w:pPr>
        <w:jc w:val="both"/>
        <w:ind w:left="1300" w:firstLine="648"/>
        <w:spacing w:after="0" w:line="216" w:lineRule="exact"/>
        <w:rPr>
          <w:sz w:val="20"/>
          <w:szCs w:val="20"/>
          <w:color w:val="auto"/>
        </w:rPr>
      </w:pPr>
      <w:r>
        <w:rPr>
          <w:rFonts w:ascii="Arial" w:cs="Arial" w:eastAsia="Arial" w:hAnsi="Arial"/>
          <w:sz w:val="18"/>
          <w:szCs w:val="18"/>
          <w:color w:val="auto"/>
        </w:rPr>
        <w:t>“The aggregate amount of the Total Revolving Commitments as of the Sixth Amendment Effective Date is $750,000,000, consisting of $735,600,000 of Extended Revolver Commitments and $14,400,000 of Fifth Amendment Non</w:t>
      </w:r>
      <w:r>
        <w:rPr>
          <w:rFonts w:ascii="MS PGothic" w:cs="MS PGothic" w:eastAsia="MS PGothic" w:hAnsi="MS PGothic"/>
          <w:sz w:val="18"/>
          <w:szCs w:val="18"/>
          <w:color w:val="auto"/>
        </w:rPr>
        <w:t>‑</w:t>
      </w:r>
      <w:r>
        <w:rPr>
          <w:rFonts w:ascii="Arial" w:cs="Arial" w:eastAsia="Arial" w:hAnsi="Arial"/>
          <w:sz w:val="18"/>
          <w:szCs w:val="18"/>
          <w:color w:val="auto"/>
        </w:rPr>
        <w:t>Extended Revolver Commitments.;</w:t>
      </w:r>
    </w:p>
    <w:p>
      <w:pPr>
        <w:spacing w:after="0" w:line="218" w:lineRule="exact"/>
        <w:rPr>
          <w:sz w:val="20"/>
          <w:szCs w:val="20"/>
          <w:color w:val="auto"/>
        </w:rPr>
      </w:pPr>
    </w:p>
    <w:p>
      <w:pPr>
        <w:ind w:left="2180" w:hanging="875"/>
        <w:spacing w:after="0"/>
        <w:tabs>
          <w:tab w:leader="none" w:pos="2180" w:val="left"/>
        </w:tabs>
        <w:numPr>
          <w:ilvl w:val="0"/>
          <w:numId w:val="95"/>
        </w:numPr>
        <w:rPr>
          <w:rFonts w:ascii="Arial" w:cs="Arial" w:eastAsia="Arial" w:hAnsi="Arial"/>
          <w:sz w:val="18"/>
          <w:szCs w:val="18"/>
          <w:color w:val="auto"/>
        </w:rPr>
      </w:pPr>
      <w:r>
        <w:rPr>
          <w:rFonts w:ascii="Arial" w:cs="Arial" w:eastAsia="Arial" w:hAnsi="Arial"/>
          <w:sz w:val="18"/>
          <w:szCs w:val="18"/>
          <w:color w:val="auto"/>
        </w:rPr>
        <w:t>Section 2.20(a) of the Credit Agreement is here by amended and restated in its entirety as follows:</w:t>
      </w:r>
    </w:p>
    <w:p>
      <w:pPr>
        <w:spacing w:after="0" w:line="225" w:lineRule="exact"/>
        <w:rPr>
          <w:sz w:val="20"/>
          <w:szCs w:val="20"/>
          <w:color w:val="auto"/>
        </w:rPr>
      </w:pPr>
    </w:p>
    <w:p>
      <w:pPr>
        <w:jc w:val="both"/>
        <w:ind w:left="1380"/>
        <w:spacing w:after="0" w:line="250" w:lineRule="auto"/>
        <w:rPr>
          <w:sz w:val="20"/>
          <w:szCs w:val="20"/>
          <w:color w:val="auto"/>
        </w:rPr>
      </w:pPr>
      <w:r>
        <w:rPr>
          <w:rFonts w:ascii="Arial" w:cs="Arial" w:eastAsia="Arial" w:hAnsi="Arial"/>
          <w:sz w:val="18"/>
          <w:szCs w:val="18"/>
          <w:color w:val="auto"/>
        </w:rPr>
        <w:t>“The Borrower shall pay to the Administrative Agent for the accounts of the Revolving Lenders a commitment fee (the “</w:t>
      </w:r>
      <w:r>
        <w:rPr>
          <w:rFonts w:ascii="Arial" w:cs="Arial" w:eastAsia="Arial" w:hAnsi="Arial"/>
          <w:sz w:val="18"/>
          <w:szCs w:val="18"/>
          <w:i w:val="1"/>
          <w:iCs w:val="1"/>
          <w:color w:val="auto"/>
        </w:rPr>
        <w:t>Commitment Fee</w:t>
      </w:r>
      <w:r>
        <w:rPr>
          <w:rFonts w:ascii="Arial" w:cs="Arial" w:eastAsia="Arial" w:hAnsi="Arial"/>
          <w:sz w:val="18"/>
          <w:szCs w:val="18"/>
          <w:color w:val="auto"/>
        </w:rPr>
        <w:t>”) for the period commencing on the Closing Date to the Revolving Facility Termination Date with respect to the applicable Revolving Commitments or the earlier date of termination of the applicable Revolving Commitment, computed (on the basis of the actual number of days elapsed over a year of 360 days) at the Commitment Fee Rate on the average daily Unused Total Revolving Commitment. Such Commitment Fee, to the extent then accrued, shall be payable quarterly in arrears (a) following the Revolver Availability Date on the last Business Day of each March, June, September and December,</w:t>
      </w:r>
    </w:p>
    <w:p>
      <w:pPr>
        <w:spacing w:after="0" w:line="3" w:lineRule="exact"/>
        <w:rPr>
          <w:sz w:val="20"/>
          <w:szCs w:val="20"/>
          <w:color w:val="auto"/>
        </w:rPr>
      </w:pPr>
    </w:p>
    <w:p>
      <w:pPr>
        <w:jc w:val="both"/>
        <w:ind w:left="1380" w:hanging="8"/>
        <w:spacing w:after="0" w:line="254" w:lineRule="auto"/>
        <w:tabs>
          <w:tab w:leader="none" w:pos="1664" w:val="left"/>
        </w:tabs>
        <w:numPr>
          <w:ilvl w:val="1"/>
          <w:numId w:val="96"/>
        </w:numPr>
        <w:rPr>
          <w:rFonts w:ascii="Arial" w:cs="Arial" w:eastAsia="Arial" w:hAnsi="Arial"/>
          <w:sz w:val="18"/>
          <w:szCs w:val="18"/>
          <w:color w:val="auto"/>
        </w:rPr>
      </w:pPr>
      <w:r>
        <w:rPr>
          <w:rFonts w:ascii="Arial" w:cs="Arial" w:eastAsia="Arial" w:hAnsi="Arial"/>
          <w:sz w:val="18"/>
          <w:szCs w:val="18"/>
          <w:color w:val="auto"/>
        </w:rPr>
        <w:t>on the Revolving Facility Termination Date with respect to the applicable Revolving Commitments and (c) as provided in Section 2.11, upon any reduction or termination in whole or in part of the Total Revolving Commitment (provided that such fee will be prorated based on the Commitment Fee set forth in the or Sixth Amendment, as applicable for the fiscal quarter in which the Fifth Amendment Effective Date or Sixth Amendment Effective Date, as applicable, occurs).”; and</w:t>
      </w:r>
    </w:p>
    <w:p>
      <w:pPr>
        <w:spacing w:after="0" w:line="204" w:lineRule="exact"/>
        <w:rPr>
          <w:rFonts w:ascii="Arial" w:cs="Arial" w:eastAsia="Arial" w:hAnsi="Arial"/>
          <w:sz w:val="18"/>
          <w:szCs w:val="18"/>
          <w:color w:val="auto"/>
        </w:rPr>
      </w:pPr>
    </w:p>
    <w:p>
      <w:pPr>
        <w:ind w:left="2180" w:hanging="875"/>
        <w:spacing w:after="0"/>
        <w:tabs>
          <w:tab w:leader="none" w:pos="2180" w:val="left"/>
        </w:tabs>
        <w:numPr>
          <w:ilvl w:val="0"/>
          <w:numId w:val="97"/>
        </w:numPr>
        <w:rPr>
          <w:rFonts w:ascii="Arial" w:cs="Arial" w:eastAsia="Arial" w:hAnsi="Arial"/>
          <w:sz w:val="18"/>
          <w:szCs w:val="18"/>
          <w:color w:val="auto"/>
        </w:rPr>
      </w:pPr>
      <w:r>
        <w:rPr>
          <w:rFonts w:ascii="Arial" w:cs="Arial" w:eastAsia="Arial" w:hAnsi="Arial"/>
          <w:sz w:val="18"/>
          <w:szCs w:val="18"/>
          <w:color w:val="auto"/>
        </w:rPr>
        <w:t>“Annex A” of the Credit Agreement is hereby amended and restated in its entirety in the form attached hereto as</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Schedule 1.</w:t>
      </w:r>
    </w:p>
    <w:p>
      <w:pPr>
        <w:spacing w:after="0" w:line="225" w:lineRule="exact"/>
        <w:rPr>
          <w:sz w:val="20"/>
          <w:szCs w:val="20"/>
          <w:color w:val="auto"/>
        </w:rPr>
      </w:pPr>
    </w:p>
    <w:p>
      <w:pPr>
        <w:jc w:val="both"/>
        <w:ind w:firstLine="1297"/>
        <w:spacing w:after="0" w:line="256" w:lineRule="auto"/>
        <w:rPr>
          <w:sz w:val="20"/>
          <w:szCs w:val="20"/>
          <w:color w:val="auto"/>
        </w:rPr>
      </w:pPr>
      <w:r>
        <w:rPr>
          <w:rFonts w:ascii="Arial" w:cs="Arial" w:eastAsia="Arial" w:hAnsi="Arial"/>
          <w:sz w:val="18"/>
          <w:szCs w:val="18"/>
          <w:color w:val="auto"/>
        </w:rPr>
        <w:t>Notwithstanding anything in this Sixth Amendment or the Credit Agreement to the contrary, the Administrative Agent hereby waives the minimum notice required by Section 2.28(e) of the Credit Agreement in connection with the Revolver Extension to be effected pursuant to this Sixth Amendment.</w:t>
      </w:r>
    </w:p>
    <w:p>
      <w:pPr>
        <w:spacing w:after="0" w:line="200" w:lineRule="exact"/>
        <w:rPr>
          <w:sz w:val="20"/>
          <w:szCs w:val="20"/>
          <w:color w:val="auto"/>
        </w:rPr>
      </w:pPr>
    </w:p>
    <w:p>
      <w:pPr>
        <w:spacing w:after="0" w:line="21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w:t>
      </w:r>
    </w:p>
    <w:p>
      <w:pPr>
        <w:sectPr>
          <w:pgSz w:w="11900" w:h="16838" w:orient="portrait"/>
          <w:cols w:equalWidth="0" w:num="1">
            <w:col w:w="11420"/>
          </w:cols>
          <w:pgMar w:left="240" w:top="337" w:right="239" w:bottom="1440" w:gutter="0" w:footer="0" w:header="0"/>
        </w:sectPr>
      </w:pPr>
    </w:p>
    <w:bookmarkStart w:id="203" w:name="page204"/>
    <w:bookmarkEnd w:id="203"/>
    <w:p>
      <w:pPr>
        <w:ind w:firstLine="1297"/>
        <w:spacing w:after="0" w:line="262" w:lineRule="auto"/>
        <w:rPr>
          <w:sz w:val="20"/>
          <w:szCs w:val="20"/>
          <w:color w:val="auto"/>
        </w:rPr>
      </w:pPr>
      <w:r>
        <w:rPr>
          <w:rFonts w:ascii="Arial" w:cs="Arial" w:eastAsia="Arial" w:hAnsi="Arial"/>
          <w:sz w:val="18"/>
          <w:szCs w:val="18"/>
          <w:u w:val="single" w:color="auto"/>
          <w:color w:val="auto"/>
        </w:rPr>
        <w:t>SECTION THREE - Titles and Roles.</w:t>
      </w:r>
      <w:r>
        <w:rPr>
          <w:rFonts w:ascii="Arial" w:cs="Arial" w:eastAsia="Arial" w:hAnsi="Arial"/>
          <w:sz w:val="18"/>
          <w:szCs w:val="18"/>
          <w:color w:val="auto"/>
        </w:rPr>
        <w:t xml:space="preserve"> The parties hereto agree that, as of the Sixth Amendment Effective Date (as defined below) and in connection with the Sixth Amendment:</w:t>
      </w:r>
    </w:p>
    <w:p>
      <w:pPr>
        <w:spacing w:after="0" w:line="178" w:lineRule="exact"/>
        <w:rPr>
          <w:sz w:val="20"/>
          <w:szCs w:val="20"/>
          <w:color w:val="auto"/>
        </w:rPr>
      </w:pPr>
    </w:p>
    <w:p>
      <w:pPr>
        <w:jc w:val="both"/>
        <w:ind w:firstLine="1305"/>
        <w:spacing w:after="0" w:line="257" w:lineRule="auto"/>
        <w:tabs>
          <w:tab w:leader="none" w:pos="1776" w:val="left"/>
        </w:tabs>
        <w:numPr>
          <w:ilvl w:val="0"/>
          <w:numId w:val="98"/>
        </w:numPr>
        <w:rPr>
          <w:rFonts w:ascii="Arial" w:cs="Arial" w:eastAsia="Arial" w:hAnsi="Arial"/>
          <w:sz w:val="18"/>
          <w:szCs w:val="18"/>
          <w:color w:val="auto"/>
        </w:rPr>
      </w:pPr>
      <w:r>
        <w:rPr>
          <w:rFonts w:ascii="Arial" w:cs="Arial" w:eastAsia="Arial" w:hAnsi="Arial"/>
          <w:sz w:val="18"/>
          <w:szCs w:val="18"/>
          <w:color w:val="auto"/>
        </w:rPr>
        <w:t>each of Deutsche Bank Securities Inc. (“</w:t>
      </w:r>
      <w:r>
        <w:rPr>
          <w:rFonts w:ascii="Arial" w:cs="Arial" w:eastAsia="Arial" w:hAnsi="Arial"/>
          <w:sz w:val="18"/>
          <w:szCs w:val="18"/>
          <w:i w:val="1"/>
          <w:iCs w:val="1"/>
          <w:color w:val="auto"/>
        </w:rPr>
        <w:t>DBSI</w:t>
      </w:r>
      <w:r>
        <w:rPr>
          <w:rFonts w:ascii="Arial" w:cs="Arial" w:eastAsia="Arial" w:hAnsi="Arial"/>
          <w:sz w:val="18"/>
          <w:szCs w:val="18"/>
          <w:color w:val="auto"/>
        </w:rPr>
        <w:t>”), Barclays Bank PLC (“</w:t>
      </w:r>
      <w:r>
        <w:rPr>
          <w:rFonts w:ascii="Arial" w:cs="Arial" w:eastAsia="Arial" w:hAnsi="Arial"/>
          <w:sz w:val="18"/>
          <w:szCs w:val="18"/>
          <w:i w:val="1"/>
          <w:iCs w:val="1"/>
          <w:color w:val="auto"/>
        </w:rPr>
        <w:t>Barclays</w:t>
      </w:r>
      <w:r>
        <w:rPr>
          <w:rFonts w:ascii="Arial" w:cs="Arial" w:eastAsia="Arial" w:hAnsi="Arial"/>
          <w:sz w:val="18"/>
          <w:szCs w:val="18"/>
          <w:color w:val="auto"/>
        </w:rPr>
        <w:t>”), Citigroup Global Markets Inc. (“</w:t>
      </w:r>
      <w:r>
        <w:rPr>
          <w:rFonts w:ascii="Arial" w:cs="Arial" w:eastAsia="Arial" w:hAnsi="Arial"/>
          <w:sz w:val="18"/>
          <w:szCs w:val="18"/>
          <w:i w:val="1"/>
          <w:iCs w:val="1"/>
          <w:color w:val="auto"/>
        </w:rPr>
        <w:t>Citi</w:t>
      </w:r>
      <w:r>
        <w:rPr>
          <w:rFonts w:ascii="Arial" w:cs="Arial" w:eastAsia="Arial" w:hAnsi="Arial"/>
          <w:sz w:val="18"/>
          <w:szCs w:val="18"/>
          <w:color w:val="auto"/>
        </w:rPr>
        <w:t>”), Credit Suisse Securities (USA) LLC (“</w:t>
      </w:r>
      <w:r>
        <w:rPr>
          <w:rFonts w:ascii="Arial" w:cs="Arial" w:eastAsia="Arial" w:hAnsi="Arial"/>
          <w:sz w:val="18"/>
          <w:szCs w:val="18"/>
          <w:i w:val="1"/>
          <w:iCs w:val="1"/>
          <w:color w:val="auto"/>
        </w:rPr>
        <w:t>CS Securities</w:t>
      </w:r>
      <w:r>
        <w:rPr>
          <w:rFonts w:ascii="Arial" w:cs="Arial" w:eastAsia="Arial" w:hAnsi="Arial"/>
          <w:sz w:val="18"/>
          <w:szCs w:val="18"/>
          <w:color w:val="auto"/>
        </w:rPr>
        <w:t>”), Goldman Sachs Lending Partners LLC (“</w:t>
      </w:r>
      <w:r>
        <w:rPr>
          <w:rFonts w:ascii="Arial" w:cs="Arial" w:eastAsia="Arial" w:hAnsi="Arial"/>
          <w:sz w:val="18"/>
          <w:szCs w:val="18"/>
          <w:i w:val="1"/>
          <w:iCs w:val="1"/>
          <w:color w:val="auto"/>
        </w:rPr>
        <w:t>GSLP</w:t>
      </w:r>
      <w:r>
        <w:rPr>
          <w:rFonts w:ascii="Arial" w:cs="Arial" w:eastAsia="Arial" w:hAnsi="Arial"/>
          <w:sz w:val="18"/>
          <w:szCs w:val="18"/>
          <w:color w:val="auto"/>
        </w:rPr>
        <w:t>”), Industrial and Commercial Bank of China Limited, New York Branch (“</w:t>
      </w:r>
      <w:r>
        <w:rPr>
          <w:rFonts w:ascii="Arial" w:cs="Arial" w:eastAsia="Arial" w:hAnsi="Arial"/>
          <w:sz w:val="18"/>
          <w:szCs w:val="18"/>
          <w:i w:val="1"/>
          <w:iCs w:val="1"/>
          <w:color w:val="auto"/>
        </w:rPr>
        <w:t>ICBC</w:t>
      </w:r>
      <w:r>
        <w:rPr>
          <w:rFonts w:ascii="Arial" w:cs="Arial" w:eastAsia="Arial" w:hAnsi="Arial"/>
          <w:sz w:val="18"/>
          <w:szCs w:val="18"/>
          <w:color w:val="auto"/>
        </w:rPr>
        <w:t>”), JPMorgan Chase Bank, N.A. (“</w:t>
      </w:r>
      <w:r>
        <w:rPr>
          <w:rFonts w:ascii="Arial" w:cs="Arial" w:eastAsia="Arial" w:hAnsi="Arial"/>
          <w:sz w:val="18"/>
          <w:szCs w:val="18"/>
          <w:i w:val="1"/>
          <w:iCs w:val="1"/>
          <w:color w:val="auto"/>
        </w:rPr>
        <w:t>JPMCB</w:t>
      </w:r>
      <w:r>
        <w:rPr>
          <w:rFonts w:ascii="Arial" w:cs="Arial" w:eastAsia="Arial" w:hAnsi="Arial"/>
          <w:sz w:val="18"/>
          <w:szCs w:val="18"/>
          <w:color w:val="auto"/>
        </w:rPr>
        <w:t>”), Merrill Lynch, Pierce, Fenner &amp; Smith Incorporated (“</w:t>
      </w:r>
      <w:r>
        <w:rPr>
          <w:rFonts w:ascii="Arial" w:cs="Arial" w:eastAsia="Arial" w:hAnsi="Arial"/>
          <w:sz w:val="18"/>
          <w:szCs w:val="18"/>
          <w:i w:val="1"/>
          <w:iCs w:val="1"/>
          <w:color w:val="auto"/>
        </w:rPr>
        <w:t>ML</w:t>
      </w:r>
      <w:r>
        <w:rPr>
          <w:rFonts w:ascii="Arial" w:cs="Arial" w:eastAsia="Arial" w:hAnsi="Arial"/>
          <w:sz w:val="18"/>
          <w:szCs w:val="18"/>
          <w:color w:val="auto"/>
        </w:rPr>
        <w:t>”), Morgan Stanley Senior Funding, Inc. (“</w:t>
      </w:r>
      <w:r>
        <w:rPr>
          <w:rFonts w:ascii="Arial" w:cs="Arial" w:eastAsia="Arial" w:hAnsi="Arial"/>
          <w:sz w:val="18"/>
          <w:szCs w:val="18"/>
          <w:i w:val="1"/>
          <w:iCs w:val="1"/>
          <w:color w:val="auto"/>
        </w:rPr>
        <w:t>MS</w:t>
      </w:r>
      <w:r>
        <w:rPr>
          <w:rFonts w:ascii="Arial" w:cs="Arial" w:eastAsia="Arial" w:hAnsi="Arial"/>
          <w:sz w:val="18"/>
          <w:szCs w:val="18"/>
          <w:color w:val="auto"/>
        </w:rPr>
        <w:t>”), Sumitomo Mitsui Banking Corporation (“</w:t>
      </w:r>
      <w:r>
        <w:rPr>
          <w:rFonts w:ascii="Arial" w:cs="Arial" w:eastAsia="Arial" w:hAnsi="Arial"/>
          <w:sz w:val="18"/>
          <w:szCs w:val="18"/>
          <w:i w:val="1"/>
          <w:iCs w:val="1"/>
          <w:color w:val="auto"/>
        </w:rPr>
        <w:t>SMBC</w:t>
      </w:r>
      <w:r>
        <w:rPr>
          <w:rFonts w:ascii="Arial" w:cs="Arial" w:eastAsia="Arial" w:hAnsi="Arial"/>
          <w:sz w:val="18"/>
          <w:szCs w:val="18"/>
          <w:color w:val="auto"/>
        </w:rPr>
        <w:t>”), BNP Paribas Securities Corp. (“</w:t>
      </w:r>
      <w:r>
        <w:rPr>
          <w:rFonts w:ascii="Arial" w:cs="Arial" w:eastAsia="Arial" w:hAnsi="Arial"/>
          <w:sz w:val="18"/>
          <w:szCs w:val="18"/>
          <w:i w:val="1"/>
          <w:iCs w:val="1"/>
          <w:color w:val="auto"/>
        </w:rPr>
        <w:t>BNP</w:t>
      </w:r>
      <w:r>
        <w:rPr>
          <w:rFonts w:ascii="Arial" w:cs="Arial" w:eastAsia="Arial" w:hAnsi="Arial"/>
          <w:sz w:val="18"/>
          <w:szCs w:val="18"/>
          <w:color w:val="auto"/>
        </w:rPr>
        <w:t xml:space="preserve"> </w:t>
      </w:r>
      <w:r>
        <w:rPr>
          <w:rFonts w:ascii="Arial" w:cs="Arial" w:eastAsia="Arial" w:hAnsi="Arial"/>
          <w:sz w:val="18"/>
          <w:szCs w:val="18"/>
          <w:i w:val="1"/>
          <w:iCs w:val="1"/>
          <w:color w:val="auto"/>
        </w:rPr>
        <w:t>Securities</w:t>
      </w:r>
      <w:r>
        <w:rPr>
          <w:rFonts w:ascii="Arial" w:cs="Arial" w:eastAsia="Arial" w:hAnsi="Arial"/>
          <w:sz w:val="18"/>
          <w:szCs w:val="18"/>
          <w:color w:val="auto"/>
        </w:rPr>
        <w:t>”), Credit Agricole Corporate and Investment Bank (“</w:t>
      </w:r>
      <w:r>
        <w:rPr>
          <w:rFonts w:ascii="Arial" w:cs="Arial" w:eastAsia="Arial" w:hAnsi="Arial"/>
          <w:sz w:val="18"/>
          <w:szCs w:val="18"/>
          <w:i w:val="1"/>
          <w:iCs w:val="1"/>
          <w:color w:val="auto"/>
        </w:rPr>
        <w:t>CA-CIB</w:t>
      </w:r>
      <w:r>
        <w:rPr>
          <w:rFonts w:ascii="Arial" w:cs="Arial" w:eastAsia="Arial" w:hAnsi="Arial"/>
          <w:sz w:val="18"/>
          <w:szCs w:val="18"/>
          <w:color w:val="auto"/>
        </w:rPr>
        <w:t>”), HSBC, MUFG, Standard Chartered Bank (“</w:t>
      </w:r>
      <w:r>
        <w:rPr>
          <w:rFonts w:ascii="Arial" w:cs="Arial" w:eastAsia="Arial" w:hAnsi="Arial"/>
          <w:sz w:val="18"/>
          <w:szCs w:val="18"/>
          <w:i w:val="1"/>
          <w:iCs w:val="1"/>
          <w:color w:val="auto"/>
        </w:rPr>
        <w:t>SCB</w:t>
      </w:r>
      <w:r>
        <w:rPr>
          <w:rFonts w:ascii="Arial" w:cs="Arial" w:eastAsia="Arial" w:hAnsi="Arial"/>
          <w:sz w:val="18"/>
          <w:szCs w:val="18"/>
          <w:color w:val="auto"/>
        </w:rPr>
        <w:t>”), U.S. Bank National</w:t>
      </w:r>
      <w:r>
        <w:rPr>
          <w:rFonts w:ascii="Arial" w:cs="Arial" w:eastAsia="Arial" w:hAnsi="Arial"/>
          <w:sz w:val="18"/>
          <w:szCs w:val="18"/>
          <w:i w:val="1"/>
          <w:iCs w:val="1"/>
          <w:color w:val="auto"/>
        </w:rPr>
        <w:t xml:space="preserve"> </w:t>
      </w:r>
      <w:r>
        <w:rPr>
          <w:rFonts w:ascii="Arial" w:cs="Arial" w:eastAsia="Arial" w:hAnsi="Arial"/>
          <w:sz w:val="18"/>
          <w:szCs w:val="18"/>
          <w:color w:val="auto"/>
        </w:rPr>
        <w:t>Association (“</w:t>
      </w:r>
      <w:r>
        <w:rPr>
          <w:rFonts w:ascii="Arial" w:cs="Arial" w:eastAsia="Arial" w:hAnsi="Arial"/>
          <w:sz w:val="18"/>
          <w:szCs w:val="18"/>
          <w:i w:val="1"/>
          <w:iCs w:val="1"/>
          <w:color w:val="auto"/>
        </w:rPr>
        <w:t>US Bank</w:t>
      </w:r>
      <w:r>
        <w:rPr>
          <w:rFonts w:ascii="Arial" w:cs="Arial" w:eastAsia="Arial" w:hAnsi="Arial"/>
          <w:sz w:val="18"/>
          <w:szCs w:val="18"/>
          <w:color w:val="auto"/>
        </w:rPr>
        <w:t>”), and BoT shall be designated as, and perform the roles associated with, a joint lead arranger and bookrunner;</w:t>
      </w:r>
    </w:p>
    <w:p>
      <w:pPr>
        <w:spacing w:after="0" w:line="200" w:lineRule="exact"/>
        <w:rPr>
          <w:rFonts w:ascii="Arial" w:cs="Arial" w:eastAsia="Arial" w:hAnsi="Arial"/>
          <w:sz w:val="18"/>
          <w:szCs w:val="18"/>
          <w:color w:val="auto"/>
        </w:rPr>
      </w:pPr>
    </w:p>
    <w:p>
      <w:pPr>
        <w:spacing w:after="0" w:line="216" w:lineRule="exact"/>
        <w:rPr>
          <w:rFonts w:ascii="Arial" w:cs="Arial" w:eastAsia="Arial" w:hAnsi="Arial"/>
          <w:sz w:val="18"/>
          <w:szCs w:val="18"/>
          <w:color w:val="auto"/>
        </w:rPr>
      </w:pPr>
    </w:p>
    <w:p>
      <w:pPr>
        <w:ind w:firstLine="1305"/>
        <w:spacing w:after="0" w:line="262" w:lineRule="auto"/>
        <w:tabs>
          <w:tab w:leader="none" w:pos="1837" w:val="left"/>
        </w:tabs>
        <w:numPr>
          <w:ilvl w:val="0"/>
          <w:numId w:val="98"/>
        </w:numPr>
        <w:rPr>
          <w:rFonts w:ascii="Arial" w:cs="Arial" w:eastAsia="Arial" w:hAnsi="Arial"/>
          <w:sz w:val="18"/>
          <w:szCs w:val="18"/>
          <w:color w:val="auto"/>
        </w:rPr>
      </w:pPr>
      <w:r>
        <w:rPr>
          <w:rFonts w:ascii="Arial" w:cs="Arial" w:eastAsia="Arial" w:hAnsi="Arial"/>
          <w:sz w:val="18"/>
          <w:szCs w:val="18"/>
          <w:color w:val="auto"/>
        </w:rPr>
        <w:t>each of DBSI, Barclays, Citi, CS Securities, GSLP, ICBC, JPMCB, Bank of America, N.A., MS and SMBC shall be designated as, and perform the roles associated with, a syndication agent; and</w:t>
      </w:r>
    </w:p>
    <w:p>
      <w:pPr>
        <w:spacing w:after="0" w:line="200" w:lineRule="exact"/>
        <w:rPr>
          <w:rFonts w:ascii="Arial" w:cs="Arial" w:eastAsia="Arial" w:hAnsi="Arial"/>
          <w:sz w:val="18"/>
          <w:szCs w:val="18"/>
          <w:color w:val="auto"/>
        </w:rPr>
      </w:pPr>
    </w:p>
    <w:p>
      <w:pPr>
        <w:spacing w:after="0" w:line="212" w:lineRule="exact"/>
        <w:rPr>
          <w:rFonts w:ascii="Arial" w:cs="Arial" w:eastAsia="Arial" w:hAnsi="Arial"/>
          <w:sz w:val="18"/>
          <w:szCs w:val="18"/>
          <w:color w:val="auto"/>
        </w:rPr>
      </w:pPr>
    </w:p>
    <w:p>
      <w:pPr>
        <w:ind w:right="20" w:firstLine="1305"/>
        <w:spacing w:after="0" w:line="262" w:lineRule="auto"/>
        <w:tabs>
          <w:tab w:leader="none" w:pos="1739" w:val="left"/>
        </w:tabs>
        <w:numPr>
          <w:ilvl w:val="0"/>
          <w:numId w:val="98"/>
        </w:numPr>
        <w:rPr>
          <w:rFonts w:ascii="Arial" w:cs="Arial" w:eastAsia="Arial" w:hAnsi="Arial"/>
          <w:sz w:val="18"/>
          <w:szCs w:val="18"/>
          <w:color w:val="auto"/>
        </w:rPr>
      </w:pPr>
      <w:r>
        <w:rPr>
          <w:rFonts w:ascii="Arial" w:cs="Arial" w:eastAsia="Arial" w:hAnsi="Arial"/>
          <w:sz w:val="18"/>
          <w:szCs w:val="18"/>
          <w:color w:val="auto"/>
        </w:rPr>
        <w:t>each of BNP Securities, CA-CIB, HSBC, MUFG, SCB, US Bank, and BoT shall be designated as, and perform the roles associated with, a documentation agent.</w:t>
      </w:r>
    </w:p>
    <w:p>
      <w:pPr>
        <w:spacing w:after="0" w:line="200" w:lineRule="exact"/>
        <w:rPr>
          <w:sz w:val="20"/>
          <w:szCs w:val="20"/>
          <w:color w:val="auto"/>
        </w:rPr>
      </w:pPr>
    </w:p>
    <w:p>
      <w:pPr>
        <w:spacing w:after="0" w:line="212" w:lineRule="exact"/>
        <w:rPr>
          <w:sz w:val="20"/>
          <w:szCs w:val="20"/>
          <w:color w:val="auto"/>
        </w:rPr>
      </w:pPr>
    </w:p>
    <w:p>
      <w:pPr>
        <w:jc w:val="both"/>
        <w:ind w:firstLine="1297"/>
        <w:spacing w:after="0" w:line="256" w:lineRule="auto"/>
        <w:rPr>
          <w:sz w:val="20"/>
          <w:szCs w:val="20"/>
          <w:color w:val="auto"/>
        </w:rPr>
      </w:pPr>
      <w:r>
        <w:rPr>
          <w:rFonts w:ascii="Arial" w:cs="Arial" w:eastAsia="Arial" w:hAnsi="Arial"/>
          <w:sz w:val="18"/>
          <w:szCs w:val="18"/>
          <w:u w:val="single" w:color="auto"/>
          <w:color w:val="auto"/>
        </w:rPr>
        <w:t>SECTION FOUR - Conditions to Effectiveness</w:t>
      </w:r>
      <w:r>
        <w:rPr>
          <w:rFonts w:ascii="Arial" w:cs="Arial" w:eastAsia="Arial" w:hAnsi="Arial"/>
          <w:sz w:val="18"/>
          <w:szCs w:val="18"/>
          <w:color w:val="auto"/>
        </w:rPr>
        <w:t>. The provisions of Sections One and Two of this Sixth Amendment shall become effective on the date (the “</w:t>
      </w:r>
      <w:r>
        <w:rPr>
          <w:rFonts w:ascii="Arial" w:cs="Arial" w:eastAsia="Arial" w:hAnsi="Arial"/>
          <w:sz w:val="18"/>
          <w:szCs w:val="18"/>
          <w:i w:val="1"/>
          <w:iCs w:val="1"/>
          <w:color w:val="auto"/>
        </w:rPr>
        <w:t>Sixth Amendment Effective Date</w:t>
      </w:r>
      <w:r>
        <w:rPr>
          <w:rFonts w:ascii="Arial" w:cs="Arial" w:eastAsia="Arial" w:hAnsi="Arial"/>
          <w:sz w:val="18"/>
          <w:szCs w:val="18"/>
          <w:color w:val="auto"/>
        </w:rPr>
        <w:t>”) when each of the following conditions specified below shall have been satisfied:</w:t>
      </w:r>
    </w:p>
    <w:p>
      <w:pPr>
        <w:spacing w:after="0" w:line="202" w:lineRule="exact"/>
        <w:rPr>
          <w:sz w:val="20"/>
          <w:szCs w:val="20"/>
          <w:color w:val="auto"/>
        </w:rPr>
      </w:pPr>
    </w:p>
    <w:p>
      <w:pPr>
        <w:jc w:val="both"/>
        <w:ind w:firstLine="1305"/>
        <w:spacing w:after="0" w:line="250" w:lineRule="auto"/>
        <w:tabs>
          <w:tab w:leader="none" w:pos="2165" w:val="left"/>
        </w:tabs>
        <w:numPr>
          <w:ilvl w:val="0"/>
          <w:numId w:val="99"/>
        </w:numPr>
        <w:rPr>
          <w:rFonts w:ascii="Arial" w:cs="Arial" w:eastAsia="Arial" w:hAnsi="Arial"/>
          <w:sz w:val="18"/>
          <w:szCs w:val="18"/>
          <w:color w:val="auto"/>
        </w:rPr>
      </w:pPr>
      <w:r>
        <w:rPr>
          <w:rFonts w:ascii="Arial" w:cs="Arial" w:eastAsia="Arial" w:hAnsi="Arial"/>
          <w:sz w:val="18"/>
          <w:szCs w:val="18"/>
          <w:color w:val="auto"/>
        </w:rPr>
        <w:t>the Borrower, the Guarantor, the Administrative Agent, each Issuing Lender, each Consenting Revolving Lender and the Fifth Amendment Non-Extending Revolving Lender shall have signed a counterpart hereof (whether the same or different counterparts) and shall have delivered the same to Milbank LLP, 55 Hudson Yards, New York, NY 10001, attention: Joshua Forman;</w:t>
      </w:r>
    </w:p>
    <w:p>
      <w:pPr>
        <w:spacing w:after="0" w:line="1" w:lineRule="exact"/>
        <w:rPr>
          <w:rFonts w:ascii="Arial" w:cs="Arial" w:eastAsia="Arial" w:hAnsi="Arial"/>
          <w:sz w:val="18"/>
          <w:szCs w:val="18"/>
          <w:color w:val="auto"/>
        </w:rPr>
      </w:pPr>
    </w:p>
    <w:p>
      <w:pPr>
        <w:jc w:val="both"/>
        <w:ind w:firstLine="1305"/>
        <w:spacing w:after="0" w:line="250" w:lineRule="auto"/>
        <w:tabs>
          <w:tab w:leader="none" w:pos="2165" w:val="left"/>
        </w:tabs>
        <w:numPr>
          <w:ilvl w:val="0"/>
          <w:numId w:val="99"/>
        </w:numPr>
        <w:rPr>
          <w:rFonts w:ascii="Arial" w:cs="Arial" w:eastAsia="Arial" w:hAnsi="Arial"/>
          <w:sz w:val="18"/>
          <w:szCs w:val="18"/>
          <w:color w:val="auto"/>
        </w:rPr>
      </w:pPr>
      <w:r>
        <w:rPr>
          <w:rFonts w:ascii="Arial" w:cs="Arial" w:eastAsia="Arial" w:hAnsi="Arial"/>
          <w:sz w:val="18"/>
          <w:szCs w:val="18"/>
          <w:color w:val="auto"/>
        </w:rPr>
        <w:t>all reasonable invoiced out-of-pocket expenses incurred by the Consenting Revolving Lenders and the Administrative Agent pursuant to Section 10.04 of the Credit Agreement (including the reasonable and documented fees other than the Commitment Fee, charges and disbursements of counsel) and all accrued and unpaid fees, owing and payable (including any fees agreed to in connection with this Sixth Amendment) shall have been paid to the extent invoiced at least two (2) Business Days prior to the Sixth Amendment Effective Date (or such shorter period as may be agreed by the Borrower);</w:t>
      </w:r>
    </w:p>
    <w:p>
      <w:pPr>
        <w:spacing w:after="0" w:line="2" w:lineRule="exact"/>
        <w:rPr>
          <w:rFonts w:ascii="Arial" w:cs="Arial" w:eastAsia="Arial" w:hAnsi="Arial"/>
          <w:sz w:val="18"/>
          <w:szCs w:val="18"/>
          <w:color w:val="auto"/>
        </w:rPr>
      </w:pPr>
    </w:p>
    <w:p>
      <w:pPr>
        <w:jc w:val="both"/>
        <w:ind w:firstLine="1305"/>
        <w:spacing w:after="0" w:line="250" w:lineRule="auto"/>
        <w:tabs>
          <w:tab w:leader="none" w:pos="2155" w:val="left"/>
        </w:tabs>
        <w:numPr>
          <w:ilvl w:val="0"/>
          <w:numId w:val="99"/>
        </w:numPr>
        <w:rPr>
          <w:rFonts w:ascii="Arial" w:cs="Arial" w:eastAsia="Arial" w:hAnsi="Arial"/>
          <w:sz w:val="18"/>
          <w:szCs w:val="18"/>
          <w:color w:val="auto"/>
        </w:rPr>
      </w:pPr>
      <w:r>
        <w:rPr>
          <w:rFonts w:ascii="Arial" w:cs="Arial" w:eastAsia="Arial" w:hAnsi="Arial"/>
          <w:sz w:val="18"/>
          <w:szCs w:val="18"/>
          <w:color w:val="auto"/>
        </w:rPr>
        <w:t>the Borrower shall have paid (or caused to be paid), for the account of each Consenting Revolving Lender, a one-time, non-refundable fee equal to the amount set forth in that certain Consenting Revolving Lenders’ fee letter, among the Consenting Revolving Lenders and the Borrower, dated as of the Sixth Amendment Effective Date;</w:t>
      </w:r>
    </w:p>
    <w:p>
      <w:pPr>
        <w:spacing w:after="0" w:line="1" w:lineRule="exact"/>
        <w:rPr>
          <w:rFonts w:ascii="Arial" w:cs="Arial" w:eastAsia="Arial" w:hAnsi="Arial"/>
          <w:sz w:val="18"/>
          <w:szCs w:val="18"/>
          <w:color w:val="auto"/>
        </w:rPr>
      </w:pPr>
    </w:p>
    <w:p>
      <w:pPr>
        <w:jc w:val="both"/>
        <w:ind w:firstLine="1305"/>
        <w:spacing w:after="0" w:line="250" w:lineRule="auto"/>
        <w:tabs>
          <w:tab w:leader="none" w:pos="2165" w:val="left"/>
        </w:tabs>
        <w:numPr>
          <w:ilvl w:val="0"/>
          <w:numId w:val="99"/>
        </w:numPr>
        <w:rPr>
          <w:rFonts w:ascii="Arial" w:cs="Arial" w:eastAsia="Arial" w:hAnsi="Arial"/>
          <w:sz w:val="18"/>
          <w:szCs w:val="18"/>
          <w:color w:val="auto"/>
        </w:rPr>
      </w:pPr>
      <w:r>
        <w:rPr>
          <w:rFonts w:ascii="Arial" w:cs="Arial" w:eastAsia="Arial" w:hAnsi="Arial"/>
          <w:sz w:val="18"/>
          <w:szCs w:val="18"/>
          <w:color w:val="auto"/>
        </w:rPr>
        <w:t>the Administrative Agent shall have received a customary written opinion of Latham &amp; Watkins LLP, special counsel for Parent, the Borrower and each other Guarantor addressed to the Administrative Agent and the Revolving Lenders party hereto, and dated the Sixth Amendment Effective Date;</w:t>
      </w:r>
    </w:p>
    <w:p>
      <w:pPr>
        <w:spacing w:after="0" w:line="1" w:lineRule="exact"/>
        <w:rPr>
          <w:rFonts w:ascii="Arial" w:cs="Arial" w:eastAsia="Arial" w:hAnsi="Arial"/>
          <w:sz w:val="18"/>
          <w:szCs w:val="18"/>
          <w:color w:val="auto"/>
        </w:rPr>
      </w:pPr>
    </w:p>
    <w:p>
      <w:pPr>
        <w:jc w:val="both"/>
        <w:ind w:firstLine="1305"/>
        <w:spacing w:after="0" w:line="250" w:lineRule="auto"/>
        <w:tabs>
          <w:tab w:leader="none" w:pos="2165" w:val="left"/>
        </w:tabs>
        <w:numPr>
          <w:ilvl w:val="0"/>
          <w:numId w:val="99"/>
        </w:numPr>
        <w:rPr>
          <w:rFonts w:ascii="Arial" w:cs="Arial" w:eastAsia="Arial" w:hAnsi="Arial"/>
          <w:sz w:val="18"/>
          <w:szCs w:val="18"/>
          <w:color w:val="auto"/>
        </w:rPr>
      </w:pPr>
      <w:r>
        <w:rPr>
          <w:rFonts w:ascii="Arial" w:cs="Arial" w:eastAsia="Arial" w:hAnsi="Arial"/>
          <w:sz w:val="18"/>
          <w:szCs w:val="18"/>
          <w:color w:val="auto"/>
        </w:rPr>
        <w:t>the Borrower shall have paid to the Administrative Agent (for the account of the Existing Revolving Lenders) all fees and interest accrued pursuant to Sections 2.07, 2.15, 2.16 and 2.21 of the Credit Agreement in respect of the Revolving Facility to, and including, the Sixth Amendment Effective Date, whether or not then due and payable under the terms of the Credit Agreement;</w:t>
      </w:r>
    </w:p>
    <w:p>
      <w:pPr>
        <w:spacing w:after="0" w:line="1" w:lineRule="exact"/>
        <w:rPr>
          <w:rFonts w:ascii="Arial" w:cs="Arial" w:eastAsia="Arial" w:hAnsi="Arial"/>
          <w:sz w:val="18"/>
          <w:szCs w:val="18"/>
          <w:color w:val="auto"/>
        </w:rPr>
      </w:pPr>
    </w:p>
    <w:p>
      <w:pPr>
        <w:ind w:right="20" w:firstLine="1305"/>
        <w:spacing w:after="0" w:line="250" w:lineRule="auto"/>
        <w:tabs>
          <w:tab w:leader="none" w:pos="2115" w:val="left"/>
        </w:tabs>
        <w:numPr>
          <w:ilvl w:val="0"/>
          <w:numId w:val="99"/>
        </w:numPr>
        <w:rPr>
          <w:rFonts w:ascii="Arial" w:cs="Arial" w:eastAsia="Arial" w:hAnsi="Arial"/>
          <w:sz w:val="18"/>
          <w:szCs w:val="18"/>
          <w:color w:val="auto"/>
        </w:rPr>
      </w:pPr>
      <w:r>
        <w:rPr>
          <w:rFonts w:ascii="Arial" w:cs="Arial" w:eastAsia="Arial" w:hAnsi="Arial"/>
          <w:sz w:val="18"/>
          <w:szCs w:val="18"/>
          <w:color w:val="auto"/>
        </w:rPr>
        <w:t>the condition to the Revolving Extension effected pursuant to this Sixth Amendment set forth in Section 2.28(b)(i) and Section 2.28(c) of the Credit Agreement shall have been satisfied;</w:t>
      </w:r>
    </w:p>
    <w:p>
      <w:pPr>
        <w:jc w:val="both"/>
        <w:ind w:firstLine="1305"/>
        <w:spacing w:after="0" w:line="252" w:lineRule="auto"/>
        <w:tabs>
          <w:tab w:leader="none" w:pos="2165" w:val="left"/>
        </w:tabs>
        <w:numPr>
          <w:ilvl w:val="0"/>
          <w:numId w:val="99"/>
        </w:numPr>
        <w:rPr>
          <w:rFonts w:ascii="Arial" w:cs="Arial" w:eastAsia="Arial" w:hAnsi="Arial"/>
          <w:sz w:val="18"/>
          <w:szCs w:val="18"/>
          <w:color w:val="auto"/>
        </w:rPr>
      </w:pPr>
      <w:r>
        <w:rPr>
          <w:rFonts w:ascii="Arial" w:cs="Arial" w:eastAsia="Arial" w:hAnsi="Arial"/>
          <w:sz w:val="18"/>
          <w:szCs w:val="18"/>
          <w:color w:val="auto"/>
        </w:rPr>
        <w:t xml:space="preserve">the Administrative Agent shall have received a certificate of the Secretary or Assistant Secretary (or similar Responsible Officer), dated the Sixth Amendment Effective Date (i) certifying as to the incumbency and specimen signature of each Responsible Officer of the Borrower and the Guarantor executing this Sixth Amendment or any other document delivered by it in connection herewith (such certificate to contain a certification of another Responsible Officer of that entity as to the incumbency and signature of the Responsible Officer signing the certificate referred to in this </w:t>
      </w:r>
      <w:r>
        <w:rPr>
          <w:rFonts w:ascii="Arial" w:cs="Arial" w:eastAsia="Arial" w:hAnsi="Arial"/>
          <w:sz w:val="18"/>
          <w:szCs w:val="18"/>
          <w:u w:val="single" w:color="auto"/>
          <w:color w:val="auto"/>
        </w:rPr>
        <w:t>clause (g)</w:t>
      </w:r>
      <w:r>
        <w:rPr>
          <w:rFonts w:ascii="Arial" w:cs="Arial" w:eastAsia="Arial" w:hAnsi="Arial"/>
          <w:sz w:val="18"/>
          <w:szCs w:val="18"/>
          <w:color w:val="auto"/>
        </w:rPr>
        <w:t>), (ii) attaching each constitutional document of each Loan Party or certifying that each constitutional document of each Loan Party previously delivered to the Administrative Agent has not been amended, supplemented, rescinded or otherwise modified</w:t>
      </w:r>
    </w:p>
    <w:p>
      <w:pPr>
        <w:spacing w:after="0" w:line="20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w:t>
      </w:r>
    </w:p>
    <w:p>
      <w:pPr>
        <w:sectPr>
          <w:pgSz w:w="11900" w:h="16838" w:orient="portrait"/>
          <w:cols w:equalWidth="0" w:num="1">
            <w:col w:w="11420"/>
          </w:cols>
          <w:pgMar w:left="240" w:top="355" w:right="239" w:bottom="1440" w:gutter="0" w:footer="0" w:header="0"/>
        </w:sectPr>
      </w:pPr>
    </w:p>
    <w:bookmarkStart w:id="204" w:name="page205"/>
    <w:bookmarkEnd w:id="204"/>
    <w:p>
      <w:pPr>
        <w:jc w:val="both"/>
        <w:spacing w:after="0" w:line="256" w:lineRule="auto"/>
        <w:rPr>
          <w:sz w:val="20"/>
          <w:szCs w:val="20"/>
          <w:color w:val="auto"/>
        </w:rPr>
      </w:pPr>
      <w:r>
        <w:rPr>
          <w:rFonts w:ascii="Arial" w:cs="Arial" w:eastAsia="Arial" w:hAnsi="Arial"/>
          <w:sz w:val="18"/>
          <w:szCs w:val="18"/>
          <w:color w:val="auto"/>
        </w:rPr>
        <w:t>and remains in full force and effect as of the date hereof, (iii) attaching resolutions of each Loan Party approving the transactions contemplated by the Sixth Amendment and (iv) attaching a certificate of good standing for the Borrower and the Guarantor of the state of such entity’s incorporation or formation, dated as of a recent date, as to the good standing of that entity (to the extent available in the applicable jurisdiction);</w:t>
      </w:r>
    </w:p>
    <w:p>
      <w:pPr>
        <w:spacing w:after="0" w:line="202" w:lineRule="exact"/>
        <w:rPr>
          <w:sz w:val="20"/>
          <w:szCs w:val="20"/>
          <w:color w:val="auto"/>
        </w:rPr>
      </w:pPr>
    </w:p>
    <w:p>
      <w:pPr>
        <w:jc w:val="both"/>
        <w:ind w:firstLine="1305"/>
        <w:spacing w:after="0" w:line="253" w:lineRule="auto"/>
        <w:tabs>
          <w:tab w:leader="none" w:pos="2165" w:val="left"/>
        </w:tabs>
        <w:numPr>
          <w:ilvl w:val="0"/>
          <w:numId w:val="100"/>
        </w:numPr>
        <w:rPr>
          <w:rFonts w:ascii="Arial" w:cs="Arial" w:eastAsia="Arial" w:hAnsi="Arial"/>
          <w:sz w:val="18"/>
          <w:szCs w:val="18"/>
          <w:color w:val="auto"/>
        </w:rPr>
      </w:pPr>
      <w:r>
        <w:rPr>
          <w:rFonts w:ascii="Arial" w:cs="Arial" w:eastAsia="Arial" w:hAnsi="Arial"/>
          <w:sz w:val="18"/>
          <w:szCs w:val="18"/>
          <w:color w:val="auto"/>
        </w:rPr>
        <w:t xml:space="preserve">the Administrative Agent shall have received evidence that the Seventh Amendment to that certain Amended and Restated Credit and Guaranty Agreement, dated as of April 20, 2015 between, </w:t>
      </w:r>
      <w:r>
        <w:rPr>
          <w:rFonts w:ascii="Arial" w:cs="Arial" w:eastAsia="Arial" w:hAnsi="Arial"/>
          <w:sz w:val="18"/>
          <w:szCs w:val="18"/>
          <w:i w:val="1"/>
          <w:iCs w:val="1"/>
          <w:color w:val="auto"/>
        </w:rPr>
        <w:t>inter alios</w:t>
      </w:r>
      <w:r>
        <w:rPr>
          <w:rFonts w:ascii="Arial" w:cs="Arial" w:eastAsia="Arial" w:hAnsi="Arial"/>
          <w:sz w:val="18"/>
          <w:szCs w:val="18"/>
          <w:color w:val="auto"/>
        </w:rPr>
        <w:t xml:space="preserve">, the Borrower and Citibank N.A. as administrative agent and that the Fifth Amendment to that certain Credit and Guaranty Agreement, dated as of April 29, 2016, between, </w:t>
      </w:r>
      <w:r>
        <w:rPr>
          <w:rFonts w:ascii="Arial" w:cs="Arial" w:eastAsia="Arial" w:hAnsi="Arial"/>
          <w:sz w:val="18"/>
          <w:szCs w:val="18"/>
          <w:i w:val="1"/>
          <w:iCs w:val="1"/>
          <w:color w:val="auto"/>
        </w:rPr>
        <w:t>inter alios</w:t>
      </w:r>
      <w:r>
        <w:rPr>
          <w:rFonts w:ascii="Arial" w:cs="Arial" w:eastAsia="Arial" w:hAnsi="Arial"/>
          <w:sz w:val="18"/>
          <w:szCs w:val="18"/>
          <w:color w:val="auto"/>
        </w:rPr>
        <w:t>, the Borrower and Barclays Bank PLC as administrative agent have, or will contemporaneously with the Sixth Amendment Effective Date, become effective; and</w:t>
      </w:r>
    </w:p>
    <w:p>
      <w:pPr>
        <w:spacing w:after="0" w:line="205" w:lineRule="exact"/>
        <w:rPr>
          <w:rFonts w:ascii="Arial" w:cs="Arial" w:eastAsia="Arial" w:hAnsi="Arial"/>
          <w:sz w:val="18"/>
          <w:szCs w:val="18"/>
          <w:color w:val="auto"/>
        </w:rPr>
      </w:pPr>
    </w:p>
    <w:p>
      <w:pPr>
        <w:jc w:val="both"/>
        <w:ind w:firstLine="1305"/>
        <w:spacing w:after="0" w:line="251" w:lineRule="auto"/>
        <w:tabs>
          <w:tab w:leader="none" w:pos="2105" w:val="left"/>
        </w:tabs>
        <w:numPr>
          <w:ilvl w:val="0"/>
          <w:numId w:val="100"/>
        </w:numPr>
        <w:rPr>
          <w:rFonts w:ascii="Arial" w:cs="Arial" w:eastAsia="Arial" w:hAnsi="Arial"/>
          <w:sz w:val="18"/>
          <w:szCs w:val="18"/>
          <w:color w:val="auto"/>
        </w:rPr>
      </w:pPr>
      <w:r>
        <w:rPr>
          <w:rFonts w:ascii="Arial" w:cs="Arial" w:eastAsia="Arial" w:hAnsi="Arial"/>
          <w:sz w:val="18"/>
          <w:szCs w:val="18"/>
          <w:color w:val="auto"/>
        </w:rPr>
        <w:t xml:space="preserve">the Administrative Agent shall have received an Officer’s Certificate certifying (A) the truth in all material respects of the representations and warranties set forth in the Credit Agreement and the other Loan Documents (other than representations and warranties set forth in Sections 3.05(b), 3.06, 3.09(a) and 3.19 of the Credit Agreement) as though made on the date hereof, or, in the case of any such representation and warranty that relates to a specified date, as though made as of such date;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that any representation or warranty that is qualified by materiality (it being understood that any representation or warranty that excludes circumstances that would not result in a “Material Adverse Change” or “Material Adverse Effect” shall not be considered (for purposes of this proviso) to be qualified by materiality) shall be true and correct in all respects as of the applicable date; and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w:t>
      </w:r>
      <w:r>
        <w:rPr>
          <w:rFonts w:ascii="Arial" w:cs="Arial" w:eastAsia="Arial" w:hAnsi="Arial"/>
          <w:sz w:val="18"/>
          <w:szCs w:val="18"/>
          <w:u w:val="single" w:color="auto"/>
          <w:color w:val="auto"/>
        </w:rPr>
        <w:t>further</w:t>
      </w:r>
      <w:r>
        <w:rPr>
          <w:rFonts w:ascii="Arial" w:cs="Arial" w:eastAsia="Arial" w:hAnsi="Arial"/>
          <w:sz w:val="18"/>
          <w:szCs w:val="18"/>
          <w:color w:val="auto"/>
        </w:rPr>
        <w:t>, that for purposes of this clause (i), the representations and warranties contained in (i) Section 3.04(a) of the Credit Agreement shall be deemed to refer to Parent’s Annual Report on Form 10-K for 2018 filed with the SEC (as amended) and all Quarterly Reports on Form 10-Q or Current Reports on Form 8-K that have been filed since December 31, 2018 by Parent with the SEC (as amended) and (ii) Section 3.05(a) of the Credit Agreement shall be deemed to refer to the audited consolidated financial statements of Parent and its Subsidiaries for the fiscal year ended December 31, 2018, included in Parent’s Annual Report on Form 10-K for 2018 filed with the SEC (as amended) and the unaudited consolidated financial statements of Parent and its Subsidiaries for the fiscal quarters ended March 31, 2019, June 30, 2019 and September 30, 2019, and (B) as to the absence of any event occurring and continuing, or resulting from this Sixth Amendment on, the Sixth Amendment Effective Date, that constitutes a Default or Event of Default.</w:t>
      </w:r>
    </w:p>
    <w:p>
      <w:pPr>
        <w:spacing w:after="0" w:line="210" w:lineRule="exact"/>
        <w:rPr>
          <w:sz w:val="20"/>
          <w:szCs w:val="20"/>
          <w:color w:val="auto"/>
        </w:rPr>
      </w:pPr>
    </w:p>
    <w:p>
      <w:pPr>
        <w:jc w:val="both"/>
        <w:ind w:firstLine="1297"/>
        <w:spacing w:after="0" w:line="251" w:lineRule="auto"/>
        <w:rPr>
          <w:sz w:val="20"/>
          <w:szCs w:val="20"/>
          <w:color w:val="auto"/>
        </w:rPr>
      </w:pPr>
      <w:r>
        <w:rPr>
          <w:rFonts w:ascii="Arial" w:cs="Arial" w:eastAsia="Arial" w:hAnsi="Arial"/>
          <w:sz w:val="18"/>
          <w:szCs w:val="18"/>
          <w:u w:val="single" w:color="auto"/>
          <w:color w:val="auto"/>
        </w:rPr>
        <w:t>SECTION FIVE - No Default; Representations and Warranties</w:t>
      </w:r>
      <w:r>
        <w:rPr>
          <w:rFonts w:ascii="Arial" w:cs="Arial" w:eastAsia="Arial" w:hAnsi="Arial"/>
          <w:sz w:val="18"/>
          <w:szCs w:val="18"/>
          <w:color w:val="auto"/>
        </w:rPr>
        <w:t xml:space="preserve">. In order to induce the Consenting Revolving Lenders, the Fifth Amendment Non-Extending Lender and the Administrative Agent to enter into this Sixth Amendment, the Borrower represents and warrants to each of the Consenting Revolving Lenders, the Fifth Amendment Non-Extending Lender and the Administrative Agent that, on and as of the date hereof after giving effect to this Sixth Amendment, (i) no Default or Event of Default has occurred and is continuing or would result from giving effect to this Sixth Amendment and (ii) the representations and warranties contained in the Credit Agreement and the other Loan Documents (other than representations and warranties set forth in Sections 3.05(b), 3.06, 3.09(a) and 3.19 of the Credit Agreement) are true and correct in all material respects on and as of the date hereof with the same effect as if made on and as of the date hereof or, in the case of any representations and warranties that expressly relate to an earlier date, as though made as of such date;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that any representation or warranty that is qualified by materiality (it being understood that any representation or warranty that excludes circumstances that would not result in a “Material Adverse Change” or “Material Adverse Effect” shall not be considered (for purposes of this proviso) to be qualified by materiality) shall be true and correct in all respects as of the applicable date; and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w:t>
      </w:r>
      <w:r>
        <w:rPr>
          <w:rFonts w:ascii="Arial" w:cs="Arial" w:eastAsia="Arial" w:hAnsi="Arial"/>
          <w:sz w:val="18"/>
          <w:szCs w:val="18"/>
          <w:u w:val="single" w:color="auto"/>
          <w:color w:val="auto"/>
        </w:rPr>
        <w:t>further</w:t>
      </w:r>
      <w:r>
        <w:rPr>
          <w:rFonts w:ascii="Arial" w:cs="Arial" w:eastAsia="Arial" w:hAnsi="Arial"/>
          <w:sz w:val="18"/>
          <w:szCs w:val="18"/>
          <w:color w:val="auto"/>
        </w:rPr>
        <w:t>, that for purposes of this Section Five, the representations and warranties contained in (i) Section 3.04(a) of the Credit Agreement shall be deemed to refer to Parent’s Annual Report on Form 10-K for 2018 filed with the SEC (as amended) and all Quarterly Reports on Form 10-Q or Current Reports on Form 8-K that have been filed since December 31, 2018 by Parent with the SEC (as amended) and (ii) Section 3.05(a) of the Credit Agreement shall be deemed to refer to the audited consolidated financial statements of Parent and its Subsidiaries for the fiscal year ended December 31, 2018, included in Parent’s Annual Report on Form 10-K for 2018 filed with the SEC (as amended) and the unaudited consolidated financial statements of Parent and its Subsidiaries for the fiscal quarters ended March 31, 2019, June 30, 2019 and September 30, 2019.</w:t>
      </w:r>
    </w:p>
    <w:p>
      <w:pPr>
        <w:spacing w:after="0" w:line="200" w:lineRule="exact"/>
        <w:rPr>
          <w:sz w:val="20"/>
          <w:szCs w:val="20"/>
          <w:color w:val="auto"/>
        </w:rPr>
      </w:pPr>
    </w:p>
    <w:p>
      <w:pPr>
        <w:spacing w:after="0" w:line="22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w:t>
      </w:r>
    </w:p>
    <w:p>
      <w:pPr>
        <w:sectPr>
          <w:pgSz w:w="11900" w:h="16838" w:orient="portrait"/>
          <w:cols w:equalWidth="0" w:num="1">
            <w:col w:w="11420"/>
          </w:cols>
          <w:pgMar w:left="240" w:top="355" w:right="239" w:bottom="1440" w:gutter="0" w:footer="0" w:header="0"/>
        </w:sectPr>
      </w:pPr>
    </w:p>
    <w:bookmarkStart w:id="205" w:name="page206"/>
    <w:bookmarkEnd w:id="205"/>
    <w:p>
      <w:pPr>
        <w:jc w:val="both"/>
        <w:ind w:firstLine="1297"/>
        <w:spacing w:after="0" w:line="252" w:lineRule="auto"/>
        <w:rPr>
          <w:sz w:val="20"/>
          <w:szCs w:val="20"/>
          <w:color w:val="auto"/>
        </w:rPr>
      </w:pPr>
      <w:r>
        <w:rPr>
          <w:rFonts w:ascii="Arial" w:cs="Arial" w:eastAsia="Arial" w:hAnsi="Arial"/>
          <w:sz w:val="18"/>
          <w:szCs w:val="18"/>
          <w:u w:val="single" w:color="auto"/>
          <w:color w:val="auto"/>
        </w:rPr>
        <w:t>SECTION SIX - Confirmation</w:t>
      </w:r>
      <w:r>
        <w:rPr>
          <w:rFonts w:ascii="Arial" w:cs="Arial" w:eastAsia="Arial" w:hAnsi="Arial"/>
          <w:sz w:val="18"/>
          <w:szCs w:val="18"/>
          <w:color w:val="auto"/>
        </w:rPr>
        <w:t>. The Borrower and each Guarantor hereby confirm that all of their obligations under the Credit Agreement (as amended hereby) are and shall continue to be, in full force and effect. The parties hereto (i) confirm and agree that the term “Obligations” and “Guaranteed Obligations” as used in the Credit Agreement and the other Loan Documents, shall include, without limitation, all obligations of the Borrower with respect to the Revolving Commitments (as extended pursuant to this Sixth Amendment) and all obligations of the Guarantors with respect of the guarantee of such obligations, respectively, and (ii) reaffirm the grant of Liens on the Collateral to secure the Obligations (as extended and increased pursuant to this Sixth Amendment) pursuant to the Collateral Documents.</w:t>
      </w:r>
    </w:p>
    <w:p>
      <w:pPr>
        <w:spacing w:after="0" w:line="200" w:lineRule="exact"/>
        <w:rPr>
          <w:sz w:val="20"/>
          <w:szCs w:val="20"/>
          <w:color w:val="auto"/>
        </w:rPr>
      </w:pPr>
    </w:p>
    <w:p>
      <w:pPr>
        <w:spacing w:after="0" w:line="225" w:lineRule="exact"/>
        <w:rPr>
          <w:sz w:val="20"/>
          <w:szCs w:val="20"/>
          <w:color w:val="auto"/>
        </w:rPr>
      </w:pPr>
    </w:p>
    <w:p>
      <w:pPr>
        <w:jc w:val="both"/>
        <w:ind w:firstLine="1297"/>
        <w:spacing w:after="0" w:line="252" w:lineRule="auto"/>
        <w:rPr>
          <w:sz w:val="20"/>
          <w:szCs w:val="20"/>
          <w:color w:val="auto"/>
        </w:rPr>
      </w:pPr>
      <w:r>
        <w:rPr>
          <w:rFonts w:ascii="Arial" w:cs="Arial" w:eastAsia="Arial" w:hAnsi="Arial"/>
          <w:sz w:val="18"/>
          <w:szCs w:val="18"/>
          <w:u w:val="single" w:color="auto"/>
          <w:color w:val="auto"/>
        </w:rPr>
        <w:t>SECTION SEVEN - Reference to and Effect on the Credit Agreement</w:t>
      </w:r>
      <w:r>
        <w:rPr>
          <w:rFonts w:ascii="Arial" w:cs="Arial" w:eastAsia="Arial" w:hAnsi="Arial"/>
          <w:sz w:val="18"/>
          <w:szCs w:val="18"/>
          <w:color w:val="auto"/>
        </w:rPr>
        <w:t>. On and after the Sixth Amendment Effective Date, each reference in the Credit Agreement to “this Agreement,” “hereunder,” “hereof” or words of like import referring to the Credit Agreement, shall mean and be a reference to the Credit Agreement as amended by this Sixth Amendment. The Credit Agreement and each of the other Loan Documents, as specifically amended by this Sixth Amendment, are and shall continue to be in full force and effect and are hereby in all respects ratified and confirmed. This Sixth Amendment shall be deemed to be a “Loan Document” for all purposes of the Credit Agreement (as amended hereby) and the other Loan Documents. The execution, delivery and effectiveness of this Sixth Amendment shall not, except as expressly provided herein, operate as an amendment or waiver of any right, power or remedy of any Lender or any Agent under any of the Loan Documents, nor constitute an amendment or waiver of any provision of any of the Loan Documents.</w:t>
      </w:r>
    </w:p>
    <w:p>
      <w:pPr>
        <w:spacing w:after="0" w:line="200" w:lineRule="exact"/>
        <w:rPr>
          <w:sz w:val="20"/>
          <w:szCs w:val="20"/>
          <w:color w:val="auto"/>
        </w:rPr>
      </w:pPr>
    </w:p>
    <w:p>
      <w:pPr>
        <w:spacing w:after="0" w:line="222" w:lineRule="exact"/>
        <w:rPr>
          <w:sz w:val="20"/>
          <w:szCs w:val="20"/>
          <w:color w:val="auto"/>
        </w:rPr>
      </w:pPr>
    </w:p>
    <w:p>
      <w:pPr>
        <w:jc w:val="both"/>
        <w:ind w:firstLine="1297"/>
        <w:spacing w:after="0" w:line="253" w:lineRule="auto"/>
        <w:rPr>
          <w:sz w:val="20"/>
          <w:szCs w:val="20"/>
          <w:color w:val="auto"/>
        </w:rPr>
      </w:pPr>
      <w:r>
        <w:rPr>
          <w:rFonts w:ascii="Arial" w:cs="Arial" w:eastAsia="Arial" w:hAnsi="Arial"/>
          <w:sz w:val="18"/>
          <w:szCs w:val="18"/>
          <w:u w:val="single" w:color="auto"/>
          <w:color w:val="auto"/>
        </w:rPr>
        <w:t>SECTION EIGHT - Execution in Counterparts</w:t>
      </w:r>
      <w:r>
        <w:rPr>
          <w:rFonts w:ascii="Arial" w:cs="Arial" w:eastAsia="Arial" w:hAnsi="Arial"/>
          <w:sz w:val="18"/>
          <w:szCs w:val="18"/>
          <w:color w:val="auto"/>
        </w:rPr>
        <w:t>. This Sixth Amendment may be executed in counterparts (and by different parties hereto on different counterparts), each of which shall constitute an original, but all of which when taken together shall constitute a single contract. This Sixth Amendment shall be binding upon and inure to the benefit of the parties hereto and their respective successors and assigns. Delivery of an executed counterpart of a signature page of this Sixth Amendment by facsimile or electronic .pdf copy shall be effective as delivery of a manually executed counterpart of this Sixth Amendment.</w:t>
      </w:r>
    </w:p>
    <w:p>
      <w:pPr>
        <w:spacing w:after="0" w:line="200" w:lineRule="exact"/>
        <w:rPr>
          <w:sz w:val="20"/>
          <w:szCs w:val="20"/>
          <w:color w:val="auto"/>
        </w:rPr>
      </w:pPr>
    </w:p>
    <w:p>
      <w:pPr>
        <w:spacing w:after="0" w:line="222" w:lineRule="exact"/>
        <w:rPr>
          <w:sz w:val="20"/>
          <w:szCs w:val="20"/>
          <w:color w:val="auto"/>
        </w:rPr>
      </w:pPr>
    </w:p>
    <w:p>
      <w:pPr>
        <w:jc w:val="both"/>
        <w:ind w:firstLine="1297"/>
        <w:spacing w:after="0" w:line="256" w:lineRule="auto"/>
        <w:rPr>
          <w:sz w:val="20"/>
          <w:szCs w:val="20"/>
          <w:color w:val="auto"/>
        </w:rPr>
      </w:pPr>
      <w:r>
        <w:rPr>
          <w:rFonts w:ascii="Arial" w:cs="Arial" w:eastAsia="Arial" w:hAnsi="Arial"/>
          <w:sz w:val="18"/>
          <w:szCs w:val="18"/>
          <w:u w:val="single" w:color="auto"/>
          <w:color w:val="auto"/>
        </w:rPr>
        <w:t>SECTION NINE - Governing Law</w:t>
      </w:r>
      <w:r>
        <w:rPr>
          <w:rFonts w:ascii="Arial" w:cs="Arial" w:eastAsia="Arial" w:hAnsi="Arial"/>
          <w:sz w:val="18"/>
          <w:szCs w:val="18"/>
          <w:color w:val="auto"/>
        </w:rPr>
        <w:t>. THIS SIXTH AMENDMENT AND THE RIGHTS AND OBLIGATIONS OF THE PARTIES UNDER THIS SIXTH AMENDMENT SHALL BE GOVERNED BY, AND CONSTRUED AND INTERPRETED IN ACCORDANCE WITH, THE LAWS OF THE STATE OF NEW YORK.</w:t>
      </w:r>
    </w:p>
    <w:p>
      <w:pPr>
        <w:spacing w:after="0" w:line="200" w:lineRule="exact"/>
        <w:rPr>
          <w:sz w:val="20"/>
          <w:szCs w:val="20"/>
          <w:color w:val="auto"/>
        </w:rPr>
      </w:pPr>
    </w:p>
    <w:p>
      <w:pPr>
        <w:spacing w:after="0" w:line="218" w:lineRule="exact"/>
        <w:rPr>
          <w:sz w:val="20"/>
          <w:szCs w:val="20"/>
          <w:color w:val="auto"/>
        </w:rPr>
      </w:pPr>
    </w:p>
    <w:p>
      <w:pPr>
        <w:jc w:val="both"/>
        <w:ind w:firstLine="1297"/>
        <w:spacing w:after="0" w:line="256" w:lineRule="auto"/>
        <w:rPr>
          <w:sz w:val="20"/>
          <w:szCs w:val="20"/>
          <w:color w:val="auto"/>
        </w:rPr>
      </w:pPr>
      <w:r>
        <w:rPr>
          <w:rFonts w:ascii="Arial" w:cs="Arial" w:eastAsia="Arial" w:hAnsi="Arial"/>
          <w:sz w:val="18"/>
          <w:szCs w:val="18"/>
          <w:u w:val="single" w:color="auto"/>
          <w:color w:val="auto"/>
        </w:rPr>
        <w:t>SECTION TEN - Miscellaneous</w:t>
      </w:r>
      <w:r>
        <w:rPr>
          <w:rFonts w:ascii="Arial" w:cs="Arial" w:eastAsia="Arial" w:hAnsi="Arial"/>
          <w:sz w:val="18"/>
          <w:szCs w:val="18"/>
          <w:color w:val="auto"/>
        </w:rPr>
        <w:t>. (a) The provisions set forth in Sections 10.03, 10.04, 10.05(b)-(d), 10.09, 10.10, 10.11, 10.13, 10.15, 10.16 and 10.17 of the Credit Agreement are hereby incorporated mutatis mutandis herein by reference thereto as fully and to the same extent as if set forth herein.</w:t>
      </w:r>
    </w:p>
    <w:p>
      <w:pPr>
        <w:spacing w:after="0" w:line="200" w:lineRule="exact"/>
        <w:rPr>
          <w:sz w:val="20"/>
          <w:szCs w:val="20"/>
          <w:color w:val="auto"/>
        </w:rPr>
      </w:pPr>
    </w:p>
    <w:p>
      <w:pPr>
        <w:spacing w:after="0" w:line="218" w:lineRule="exact"/>
        <w:rPr>
          <w:sz w:val="20"/>
          <w:szCs w:val="20"/>
          <w:color w:val="auto"/>
        </w:rPr>
      </w:pPr>
    </w:p>
    <w:p>
      <w:pPr>
        <w:jc w:val="both"/>
        <w:ind w:firstLine="1305"/>
        <w:spacing w:after="0" w:line="250" w:lineRule="auto"/>
        <w:tabs>
          <w:tab w:leader="none" w:pos="1809" w:val="left"/>
        </w:tabs>
        <w:numPr>
          <w:ilvl w:val="0"/>
          <w:numId w:val="101"/>
        </w:numPr>
        <w:rPr>
          <w:rFonts w:ascii="Arial" w:cs="Arial" w:eastAsia="Arial" w:hAnsi="Arial"/>
          <w:sz w:val="18"/>
          <w:szCs w:val="18"/>
          <w:color w:val="auto"/>
        </w:rPr>
      </w:pPr>
      <w:r>
        <w:rPr>
          <w:rFonts w:ascii="Arial" w:cs="Arial" w:eastAsia="Arial" w:hAnsi="Arial"/>
          <w:sz w:val="18"/>
          <w:szCs w:val="18"/>
          <w:color w:val="auto"/>
        </w:rPr>
        <w:t>For purposes of determining withholding Taxes imposed under FATCA, from and after the effective date of this Sixth Amendment, the Borrower and the Administrative Agent shall treat (and the Lenders party hereto hereby authorize the Administrative Agent to treat) the Revolving Facility as not qualifying as a “grandfathered obligation” within the meaning of Treasury Regulation Section 1.1471-2(b)(2)</w:t>
      </w:r>
    </w:p>
    <w:p>
      <w:pPr>
        <w:spacing w:after="0" w:line="1" w:lineRule="exact"/>
        <w:rPr>
          <w:rFonts w:ascii="Arial" w:cs="Arial" w:eastAsia="Arial" w:hAnsi="Arial"/>
          <w:sz w:val="18"/>
          <w:szCs w:val="18"/>
          <w:color w:val="auto"/>
        </w:rPr>
      </w:pPr>
    </w:p>
    <w:p>
      <w:pPr>
        <w:spacing w:after="0"/>
        <w:rPr>
          <w:rFonts w:ascii="Arial" w:cs="Arial" w:eastAsia="Arial" w:hAnsi="Arial"/>
          <w:sz w:val="18"/>
          <w:szCs w:val="18"/>
          <w:color w:val="auto"/>
        </w:rPr>
      </w:pPr>
      <w:r>
        <w:rPr>
          <w:rFonts w:ascii="Arial" w:cs="Arial" w:eastAsia="Arial" w:hAnsi="Arial"/>
          <w:sz w:val="18"/>
          <w:szCs w:val="18"/>
          <w:color w:val="auto"/>
        </w:rPr>
        <w:t>(i).</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[REMAINDER OF THIS PAGE IS LEFT BLANK INTENTIONALLY]</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w:t>
      </w:r>
    </w:p>
    <w:p>
      <w:pPr>
        <w:sectPr>
          <w:pgSz w:w="11900" w:h="16838" w:orient="portrait"/>
          <w:cols w:equalWidth="0" w:num="1">
            <w:col w:w="11420"/>
          </w:cols>
          <w:pgMar w:left="240" w:top="571" w:right="239" w:bottom="1440" w:gutter="0" w:footer="0" w:header="0"/>
        </w:sectPr>
      </w:pPr>
    </w:p>
    <w:bookmarkStart w:id="206" w:name="page207"/>
    <w:bookmarkEnd w:id="206"/>
    <w:p>
      <w:pPr>
        <w:ind w:firstLine="1297"/>
        <w:spacing w:after="0" w:line="262" w:lineRule="auto"/>
        <w:rPr>
          <w:sz w:val="20"/>
          <w:szCs w:val="20"/>
          <w:color w:val="auto"/>
        </w:rPr>
      </w:pPr>
      <w:r>
        <w:rPr>
          <w:rFonts w:ascii="Arial" w:cs="Arial" w:eastAsia="Arial" w:hAnsi="Arial"/>
          <w:sz w:val="18"/>
          <w:szCs w:val="18"/>
          <w:color w:val="auto"/>
        </w:rPr>
        <w:t>IN WITNESS WHEREOF, the parties hereto have caused this Sixth Amendment to be duly executed and delivered as of the day and year first above written.</w:t>
      </w:r>
    </w:p>
    <w:p>
      <w:pPr>
        <w:spacing w:after="0" w:line="200" w:lineRule="exact"/>
        <w:rPr>
          <w:sz w:val="20"/>
          <w:szCs w:val="20"/>
          <w:color w:val="auto"/>
        </w:rPr>
      </w:pPr>
    </w:p>
    <w:p>
      <w:pPr>
        <w:spacing w:after="0" w:line="200" w:lineRule="exact"/>
        <w:rPr>
          <w:sz w:val="20"/>
          <w:szCs w:val="20"/>
          <w:color w:val="auto"/>
        </w:rPr>
      </w:pPr>
    </w:p>
    <w:p>
      <w:pPr>
        <w:spacing w:after="0" w:line="229"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AMERICAN AIRLINES, INC., as the Borrower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3" w:lineRule="exact"/>
        <w:rPr>
          <w:sz w:val="20"/>
          <w:szCs w:val="20"/>
          <w:color w:val="auto"/>
        </w:rPr>
      </w:pPr>
    </w:p>
    <w:p>
      <w:pPr>
        <w:ind w:left="3900"/>
        <w:spacing w:after="0"/>
        <w:rPr>
          <w:sz w:val="20"/>
          <w:szCs w:val="20"/>
          <w:color w:val="auto"/>
        </w:rPr>
      </w:pPr>
      <w:r>
        <w:rPr>
          <w:rFonts w:ascii="Arial" w:cs="Arial" w:eastAsia="Arial" w:hAnsi="Arial"/>
          <w:sz w:val="18"/>
          <w:szCs w:val="18"/>
          <w:color w:val="auto"/>
        </w:rPr>
        <w:t>By: /s/ Thomas T. Weir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2672080</wp:posOffset>
            </wp:positionH>
            <wp:positionV relativeFrom="paragraph">
              <wp:posOffset>-19050</wp:posOffset>
            </wp:positionV>
            <wp:extent cx="1331595" cy="8890"/>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326">
                      <a:extLst>
                        <a:ext uri="{28A0092B-C50C-407E-A947-70E740481C1C}"/>
                      </a:extLst>
                    </a:blip>
                    <a:srcRect/>
                    <a:stretch>
                      <a:fillRect/>
                    </a:stretch>
                  </pic:blipFill>
                  <pic:spPr bwMode="auto">
                    <a:xfrm>
                      <a:off x="0" y="0"/>
                      <a:ext cx="1331595" cy="8890"/>
                    </a:xfrm>
                    <a:prstGeom prst="rect">
                      <a:avLst/>
                    </a:prstGeom>
                    <a:noFill/>
                  </pic:spPr>
                </pic:pic>
              </a:graphicData>
            </a:graphic>
          </wp:anchor>
        </w:drawing>
      </w:r>
    </w:p>
    <w:p>
      <w:pPr>
        <w:ind w:left="4220"/>
        <w:spacing w:after="0"/>
        <w:rPr>
          <w:sz w:val="20"/>
          <w:szCs w:val="20"/>
          <w:color w:val="auto"/>
        </w:rPr>
      </w:pPr>
      <w:r>
        <w:rPr>
          <w:rFonts w:ascii="Arial" w:cs="Arial" w:eastAsia="Arial" w:hAnsi="Arial"/>
          <w:sz w:val="18"/>
          <w:szCs w:val="18"/>
          <w:color w:val="auto"/>
        </w:rPr>
        <w:t>Name: Thomas T. Weir</w:t>
      </w:r>
    </w:p>
    <w:p>
      <w:pPr>
        <w:spacing w:after="0" w:line="9" w:lineRule="exact"/>
        <w:rPr>
          <w:sz w:val="20"/>
          <w:szCs w:val="20"/>
          <w:color w:val="auto"/>
        </w:rPr>
      </w:pPr>
    </w:p>
    <w:p>
      <w:pPr>
        <w:ind w:left="4220"/>
        <w:spacing w:after="0"/>
        <w:rPr>
          <w:sz w:val="20"/>
          <w:szCs w:val="20"/>
          <w:color w:val="auto"/>
        </w:rPr>
      </w:pPr>
      <w:r>
        <w:rPr>
          <w:rFonts w:ascii="Arial" w:cs="Arial" w:eastAsia="Arial" w:hAnsi="Arial"/>
          <w:sz w:val="18"/>
          <w:szCs w:val="18"/>
          <w:color w:val="auto"/>
        </w:rPr>
        <w:t>Title: Vice President and Treasurer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3" w:lineRule="exact"/>
        <w:rPr>
          <w:sz w:val="20"/>
          <w:szCs w:val="20"/>
          <w:color w:val="auto"/>
        </w:rPr>
      </w:pPr>
    </w:p>
    <w:p>
      <w:pPr>
        <w:ind w:left="3900"/>
        <w:spacing w:after="0"/>
        <w:rPr>
          <w:sz w:val="20"/>
          <w:szCs w:val="20"/>
          <w:color w:val="auto"/>
        </w:rPr>
      </w:pPr>
      <w:r>
        <w:rPr>
          <w:rFonts w:ascii="Arial" w:cs="Arial" w:eastAsia="Arial" w:hAnsi="Arial"/>
          <w:sz w:val="18"/>
          <w:szCs w:val="18"/>
          <w:color w:val="auto"/>
        </w:rPr>
        <w:t>AMERICAN AIRLINES GROUP INC., as Parent and Guarantor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3" w:lineRule="exact"/>
        <w:rPr>
          <w:sz w:val="20"/>
          <w:szCs w:val="20"/>
          <w:color w:val="auto"/>
        </w:rPr>
      </w:pPr>
    </w:p>
    <w:p>
      <w:pPr>
        <w:ind w:left="3900"/>
        <w:spacing w:after="0"/>
        <w:rPr>
          <w:sz w:val="20"/>
          <w:szCs w:val="20"/>
          <w:color w:val="auto"/>
        </w:rPr>
      </w:pPr>
      <w:r>
        <w:rPr>
          <w:rFonts w:ascii="Arial" w:cs="Arial" w:eastAsia="Arial" w:hAnsi="Arial"/>
          <w:sz w:val="18"/>
          <w:szCs w:val="18"/>
          <w:color w:val="auto"/>
        </w:rPr>
        <w:t>By: /s/ Thomas T. Weir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2672080</wp:posOffset>
            </wp:positionH>
            <wp:positionV relativeFrom="paragraph">
              <wp:posOffset>-19050</wp:posOffset>
            </wp:positionV>
            <wp:extent cx="1331595" cy="8890"/>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327">
                      <a:extLst>
                        <a:ext uri="{28A0092B-C50C-407E-A947-70E740481C1C}"/>
                      </a:extLst>
                    </a:blip>
                    <a:srcRect/>
                    <a:stretch>
                      <a:fillRect/>
                    </a:stretch>
                  </pic:blipFill>
                  <pic:spPr bwMode="auto">
                    <a:xfrm>
                      <a:off x="0" y="0"/>
                      <a:ext cx="1331595" cy="8890"/>
                    </a:xfrm>
                    <a:prstGeom prst="rect">
                      <a:avLst/>
                    </a:prstGeom>
                    <a:noFill/>
                  </pic:spPr>
                </pic:pic>
              </a:graphicData>
            </a:graphic>
          </wp:anchor>
        </w:drawing>
      </w:r>
    </w:p>
    <w:p>
      <w:pPr>
        <w:ind w:left="4220"/>
        <w:spacing w:after="0"/>
        <w:rPr>
          <w:sz w:val="20"/>
          <w:szCs w:val="20"/>
          <w:color w:val="auto"/>
        </w:rPr>
      </w:pPr>
      <w:r>
        <w:rPr>
          <w:rFonts w:ascii="Arial" w:cs="Arial" w:eastAsia="Arial" w:hAnsi="Arial"/>
          <w:sz w:val="18"/>
          <w:szCs w:val="18"/>
          <w:color w:val="auto"/>
        </w:rPr>
        <w:t>Name: Thomas T. Weir</w:t>
      </w:r>
    </w:p>
    <w:p>
      <w:pPr>
        <w:spacing w:after="0" w:line="9" w:lineRule="exact"/>
        <w:rPr>
          <w:sz w:val="20"/>
          <w:szCs w:val="20"/>
          <w:color w:val="auto"/>
        </w:rPr>
      </w:pPr>
    </w:p>
    <w:p>
      <w:pPr>
        <w:ind w:left="4220"/>
        <w:spacing w:after="0"/>
        <w:rPr>
          <w:sz w:val="20"/>
          <w:szCs w:val="20"/>
          <w:color w:val="auto"/>
        </w:rPr>
      </w:pPr>
      <w:r>
        <w:rPr>
          <w:rFonts w:ascii="Arial" w:cs="Arial" w:eastAsia="Arial" w:hAnsi="Arial"/>
          <w:sz w:val="18"/>
          <w:szCs w:val="18"/>
          <w:color w:val="auto"/>
        </w:rPr>
        <w:t>Title: Vice President and Treasurer</w:t>
      </w:r>
    </w:p>
    <w:p>
      <w:pPr>
        <w:spacing w:after="0" w:line="200" w:lineRule="exact"/>
        <w:rPr>
          <w:sz w:val="20"/>
          <w:szCs w:val="20"/>
          <w:color w:val="auto"/>
        </w:rPr>
      </w:pPr>
    </w:p>
    <w:p>
      <w:pPr>
        <w:spacing w:after="0" w:line="200" w:lineRule="exact"/>
        <w:rPr>
          <w:sz w:val="20"/>
          <w:szCs w:val="20"/>
          <w:color w:val="auto"/>
        </w:rPr>
      </w:pPr>
    </w:p>
    <w:p>
      <w:pPr>
        <w:spacing w:after="0" w:line="244" w:lineRule="exact"/>
        <w:rPr>
          <w:sz w:val="20"/>
          <w:szCs w:val="20"/>
          <w:color w:val="auto"/>
        </w:rPr>
      </w:pPr>
    </w:p>
    <w:p>
      <w:pPr>
        <w:jc w:val="center"/>
        <w:ind w:right="-19"/>
        <w:spacing w:after="0"/>
        <w:rPr>
          <w:sz w:val="20"/>
          <w:szCs w:val="20"/>
          <w:color w:val="auto"/>
        </w:rPr>
      </w:pPr>
      <w:r>
        <w:rPr>
          <w:rFonts w:ascii="Arial" w:cs="Arial" w:eastAsia="Arial" w:hAnsi="Arial"/>
          <w:sz w:val="16"/>
          <w:szCs w:val="16"/>
          <w:i w:val="1"/>
          <w:iCs w:val="1"/>
          <w:color w:val="auto"/>
        </w:rPr>
        <w:t>[Signature Page to Sixth Amendment to Amended and Restated Credit and Guaranty Agreement (South America)]</w:t>
      </w:r>
    </w:p>
    <w:p>
      <w:pPr>
        <w:sectPr>
          <w:pgSz w:w="11900" w:h="16838" w:orient="portrait"/>
          <w:cols w:equalWidth="0" w:num="1">
            <w:col w:w="11420"/>
          </w:cols>
          <w:pgMar w:left="240" w:top="827" w:right="239" w:bottom="1440" w:gutter="0" w:footer="0" w:header="0"/>
        </w:sectPr>
      </w:pPr>
    </w:p>
    <w:bookmarkStart w:id="207" w:name="page208"/>
    <w:bookmarkEnd w:id="207"/>
    <w:p>
      <w:pPr>
        <w:ind w:left="2700"/>
        <w:spacing w:after="0"/>
        <w:rPr>
          <w:sz w:val="20"/>
          <w:szCs w:val="20"/>
          <w:color w:val="auto"/>
        </w:rPr>
      </w:pPr>
      <w:r>
        <w:rPr>
          <w:rFonts w:ascii="Arial" w:cs="Arial" w:eastAsia="Arial" w:hAnsi="Arial"/>
          <w:sz w:val="18"/>
          <w:szCs w:val="18"/>
          <w:color w:val="auto"/>
        </w:rPr>
        <w:t>DEUTSCHE BANK AG NEW YORK BRANCH,</w:t>
      </w:r>
    </w:p>
    <w:p>
      <w:pPr>
        <w:spacing w:after="0" w:line="9" w:lineRule="exact"/>
        <w:rPr>
          <w:sz w:val="20"/>
          <w:szCs w:val="20"/>
          <w:color w:val="auto"/>
        </w:rPr>
      </w:pPr>
    </w:p>
    <w:p>
      <w:pPr>
        <w:ind w:left="2700"/>
        <w:spacing w:after="0"/>
        <w:rPr>
          <w:sz w:val="20"/>
          <w:szCs w:val="20"/>
          <w:color w:val="auto"/>
        </w:rPr>
      </w:pPr>
      <w:r>
        <w:rPr>
          <w:rFonts w:ascii="Arial" w:cs="Arial" w:eastAsia="Arial" w:hAnsi="Arial"/>
          <w:sz w:val="18"/>
          <w:szCs w:val="18"/>
          <w:color w:val="auto"/>
        </w:rPr>
        <w:t>as Administrative Agent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3" w:lineRule="exact"/>
        <w:rPr>
          <w:sz w:val="20"/>
          <w:szCs w:val="20"/>
          <w:color w:val="auto"/>
        </w:rPr>
      </w:pPr>
    </w:p>
    <w:p>
      <w:pPr>
        <w:ind w:left="2700"/>
        <w:spacing w:after="0"/>
        <w:rPr>
          <w:sz w:val="20"/>
          <w:szCs w:val="20"/>
          <w:color w:val="auto"/>
        </w:rPr>
      </w:pPr>
      <w:r>
        <w:rPr>
          <w:rFonts w:ascii="Arial" w:cs="Arial" w:eastAsia="Arial" w:hAnsi="Arial"/>
          <w:sz w:val="18"/>
          <w:szCs w:val="18"/>
          <w:color w:val="auto"/>
        </w:rPr>
        <w:t>By: /s/ Michael Strobel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1910080</wp:posOffset>
            </wp:positionH>
            <wp:positionV relativeFrom="paragraph">
              <wp:posOffset>-19050</wp:posOffset>
            </wp:positionV>
            <wp:extent cx="1321435" cy="8890"/>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328">
                      <a:extLst>
                        <a:ext uri="{28A0092B-C50C-407E-A947-70E740481C1C}"/>
                      </a:extLst>
                    </a:blip>
                    <a:srcRect/>
                    <a:stretch>
                      <a:fillRect/>
                    </a:stretch>
                  </pic:blipFill>
                  <pic:spPr bwMode="auto">
                    <a:xfrm>
                      <a:off x="0" y="0"/>
                      <a:ext cx="1321435" cy="8890"/>
                    </a:xfrm>
                    <a:prstGeom prst="rect">
                      <a:avLst/>
                    </a:prstGeom>
                    <a:noFill/>
                  </pic:spPr>
                </pic:pic>
              </a:graphicData>
            </a:graphic>
          </wp:anchor>
        </w:drawing>
      </w:r>
    </w:p>
    <w:p>
      <w:pPr>
        <w:ind w:left="2700"/>
        <w:spacing w:after="0"/>
        <w:rPr>
          <w:sz w:val="20"/>
          <w:szCs w:val="20"/>
          <w:color w:val="auto"/>
        </w:rPr>
      </w:pPr>
      <w:r>
        <w:rPr>
          <w:rFonts w:ascii="Arial" w:cs="Arial" w:eastAsia="Arial" w:hAnsi="Arial"/>
          <w:sz w:val="18"/>
          <w:szCs w:val="18"/>
          <w:color w:val="auto"/>
        </w:rPr>
        <w:t>Name: Michael Strobel</w:t>
      </w:r>
    </w:p>
    <w:p>
      <w:pPr>
        <w:spacing w:after="0" w:line="9" w:lineRule="exact"/>
        <w:rPr>
          <w:sz w:val="20"/>
          <w:szCs w:val="20"/>
          <w:color w:val="auto"/>
        </w:rPr>
      </w:pPr>
    </w:p>
    <w:p>
      <w:pPr>
        <w:ind w:left="2700"/>
        <w:spacing w:after="0"/>
        <w:rPr>
          <w:sz w:val="20"/>
          <w:szCs w:val="20"/>
          <w:color w:val="auto"/>
        </w:rPr>
      </w:pPr>
      <w:r>
        <w:rPr>
          <w:rFonts w:ascii="Arial" w:cs="Arial" w:eastAsia="Arial" w:hAnsi="Arial"/>
          <w:sz w:val="18"/>
          <w:szCs w:val="18"/>
          <w:color w:val="auto"/>
        </w:rPr>
        <w:t>Title: Vice President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3" w:lineRule="exact"/>
        <w:rPr>
          <w:sz w:val="20"/>
          <w:szCs w:val="20"/>
          <w:color w:val="auto"/>
        </w:rPr>
      </w:pPr>
    </w:p>
    <w:p>
      <w:pPr>
        <w:ind w:left="2700"/>
        <w:spacing w:after="0"/>
        <w:rPr>
          <w:sz w:val="20"/>
          <w:szCs w:val="20"/>
          <w:color w:val="auto"/>
        </w:rPr>
      </w:pPr>
      <w:r>
        <w:rPr>
          <w:rFonts w:ascii="Arial" w:cs="Arial" w:eastAsia="Arial" w:hAnsi="Arial"/>
          <w:sz w:val="18"/>
          <w:szCs w:val="18"/>
          <w:color w:val="auto"/>
        </w:rPr>
        <w:t>By: /s/ Yumi Okabe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1910080</wp:posOffset>
            </wp:positionH>
            <wp:positionV relativeFrom="paragraph">
              <wp:posOffset>-19050</wp:posOffset>
            </wp:positionV>
            <wp:extent cx="1283335" cy="8890"/>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329">
                      <a:extLst>
                        <a:ext uri="{28A0092B-C50C-407E-A947-70E740481C1C}"/>
                      </a:extLst>
                    </a:blip>
                    <a:srcRect/>
                    <a:stretch>
                      <a:fillRect/>
                    </a:stretch>
                  </pic:blipFill>
                  <pic:spPr bwMode="auto">
                    <a:xfrm>
                      <a:off x="0" y="0"/>
                      <a:ext cx="1283335" cy="8890"/>
                    </a:xfrm>
                    <a:prstGeom prst="rect">
                      <a:avLst/>
                    </a:prstGeom>
                    <a:noFill/>
                  </pic:spPr>
                </pic:pic>
              </a:graphicData>
            </a:graphic>
          </wp:anchor>
        </w:drawing>
      </w:r>
    </w:p>
    <w:p>
      <w:pPr>
        <w:ind w:left="2700"/>
        <w:spacing w:after="0"/>
        <w:rPr>
          <w:sz w:val="20"/>
          <w:szCs w:val="20"/>
          <w:color w:val="auto"/>
        </w:rPr>
      </w:pPr>
      <w:r>
        <w:rPr>
          <w:rFonts w:ascii="Arial" w:cs="Arial" w:eastAsia="Arial" w:hAnsi="Arial"/>
          <w:sz w:val="18"/>
          <w:szCs w:val="18"/>
          <w:color w:val="auto"/>
        </w:rPr>
        <w:t>Name: Yumi Okabe</w:t>
      </w:r>
    </w:p>
    <w:p>
      <w:pPr>
        <w:spacing w:after="0" w:line="9" w:lineRule="exact"/>
        <w:rPr>
          <w:sz w:val="20"/>
          <w:szCs w:val="20"/>
          <w:color w:val="auto"/>
        </w:rPr>
      </w:pPr>
    </w:p>
    <w:p>
      <w:pPr>
        <w:ind w:left="2700"/>
        <w:spacing w:after="0"/>
        <w:rPr>
          <w:sz w:val="20"/>
          <w:szCs w:val="20"/>
          <w:color w:val="auto"/>
        </w:rPr>
      </w:pPr>
      <w:r>
        <w:rPr>
          <w:rFonts w:ascii="Arial" w:cs="Arial" w:eastAsia="Arial" w:hAnsi="Arial"/>
          <w:sz w:val="18"/>
          <w:szCs w:val="18"/>
          <w:color w:val="auto"/>
        </w:rPr>
        <w:t>Title: Vice President</w:t>
      </w:r>
    </w:p>
    <w:p>
      <w:pPr>
        <w:spacing w:after="0" w:line="200" w:lineRule="exact"/>
        <w:rPr>
          <w:sz w:val="20"/>
          <w:szCs w:val="20"/>
          <w:color w:val="auto"/>
        </w:rPr>
      </w:pPr>
    </w:p>
    <w:p>
      <w:pPr>
        <w:spacing w:after="0" w:line="200" w:lineRule="exact"/>
        <w:rPr>
          <w:sz w:val="20"/>
          <w:szCs w:val="20"/>
          <w:color w:val="auto"/>
        </w:rPr>
      </w:pPr>
    </w:p>
    <w:p>
      <w:pPr>
        <w:spacing w:after="0" w:line="244" w:lineRule="exact"/>
        <w:rPr>
          <w:sz w:val="20"/>
          <w:szCs w:val="20"/>
          <w:color w:val="auto"/>
        </w:rPr>
      </w:pPr>
    </w:p>
    <w:p>
      <w:pPr>
        <w:jc w:val="center"/>
        <w:ind w:right="-20"/>
        <w:spacing w:after="0"/>
        <w:rPr>
          <w:sz w:val="20"/>
          <w:szCs w:val="20"/>
          <w:color w:val="auto"/>
        </w:rPr>
      </w:pPr>
      <w:r>
        <w:rPr>
          <w:rFonts w:ascii="Arial" w:cs="Arial" w:eastAsia="Arial" w:hAnsi="Arial"/>
          <w:sz w:val="16"/>
          <w:szCs w:val="16"/>
          <w:i w:val="1"/>
          <w:iCs w:val="1"/>
          <w:color w:val="auto"/>
        </w:rPr>
        <w:t>[Signature Page to Sixth Amendment to Amended and Restated Credit and Guaranty Agreement (South America)]</w:t>
      </w:r>
    </w:p>
    <w:p>
      <w:pPr>
        <w:sectPr>
          <w:pgSz w:w="11900" w:h="16838" w:orient="portrait"/>
          <w:cols w:equalWidth="0" w:num="1">
            <w:col w:w="9019"/>
          </w:cols>
          <w:pgMar w:left="1440" w:top="1044" w:right="1440" w:bottom="1440" w:gutter="0" w:footer="0" w:header="0"/>
        </w:sectPr>
      </w:pPr>
    </w:p>
    <w:bookmarkStart w:id="208" w:name="page209"/>
    <w:bookmarkEnd w:id="208"/>
    <w:p>
      <w:pPr>
        <w:ind w:left="5440"/>
        <w:spacing w:after="0"/>
        <w:rPr>
          <w:sz w:val="20"/>
          <w:szCs w:val="20"/>
          <w:color w:val="auto"/>
        </w:rPr>
      </w:pPr>
      <w:r>
        <w:rPr>
          <w:rFonts w:ascii="Arial" w:cs="Arial" w:eastAsia="Arial" w:hAnsi="Arial"/>
          <w:sz w:val="18"/>
          <w:szCs w:val="18"/>
          <w:b w:val="1"/>
          <w:bCs w:val="1"/>
          <w:i w:val="1"/>
          <w:iCs w:val="1"/>
          <w:u w:val="single" w:color="auto"/>
          <w:color w:val="auto"/>
        </w:rPr>
        <w:t>Schedule 1</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3" w:lineRule="exact"/>
        <w:rPr>
          <w:sz w:val="20"/>
          <w:szCs w:val="20"/>
          <w:color w:val="auto"/>
        </w:rPr>
      </w:pPr>
    </w:p>
    <w:p>
      <w:pPr>
        <w:ind w:left="5560"/>
        <w:spacing w:after="0"/>
        <w:rPr>
          <w:sz w:val="20"/>
          <w:szCs w:val="20"/>
          <w:color w:val="auto"/>
        </w:rPr>
      </w:pPr>
      <w:r>
        <w:rPr>
          <w:rFonts w:ascii="Arial" w:cs="Arial" w:eastAsia="Arial" w:hAnsi="Arial"/>
          <w:sz w:val="18"/>
          <w:szCs w:val="18"/>
          <w:b w:val="1"/>
          <w:bCs w:val="1"/>
          <w:u w:val="single" w:color="auto"/>
          <w:color w:val="auto"/>
        </w:rPr>
        <w:t>Annex A</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3" w:lineRule="exact"/>
        <w:rPr>
          <w:sz w:val="20"/>
          <w:szCs w:val="20"/>
          <w:color w:val="auto"/>
        </w:rPr>
      </w:pPr>
    </w:p>
    <w:p>
      <w:pPr>
        <w:ind w:left="4760"/>
        <w:spacing w:after="0"/>
        <w:rPr>
          <w:sz w:val="20"/>
          <w:szCs w:val="20"/>
          <w:color w:val="auto"/>
        </w:rPr>
      </w:pPr>
      <w:r>
        <w:rPr>
          <w:rFonts w:ascii="Arial" w:cs="Arial" w:eastAsia="Arial" w:hAnsi="Arial"/>
          <w:sz w:val="18"/>
          <w:szCs w:val="18"/>
          <w:b w:val="1"/>
          <w:bCs w:val="1"/>
          <w:u w:val="single" w:color="auto"/>
          <w:color w:val="auto"/>
        </w:rPr>
        <w:t>Lenders and Commitments</w:t>
      </w:r>
    </w:p>
    <w:p>
      <w:pPr>
        <w:spacing w:after="0" w:line="255" w:lineRule="exact"/>
        <w:rPr>
          <w:sz w:val="20"/>
          <w:szCs w:val="20"/>
          <w:color w:val="auto"/>
        </w:rPr>
      </w:pPr>
    </w:p>
    <w:tbl>
      <w:tblPr>
        <w:tblLayout w:type="fixed"/>
        <w:tblInd w:w="530" w:type="dxa"/>
        <w:tblCellMar>
          <w:top w:w="0" w:type="dxa"/>
          <w:left w:w="0" w:type="dxa"/>
          <w:bottom w:w="0" w:type="dxa"/>
          <w:right w:w="0" w:type="dxa"/>
        </w:tblCellMar>
      </w:tblPr>
      <w:tr>
        <w:trPr>
          <w:trHeight w:val="220"/>
        </w:trPr>
        <w:tc>
          <w:tcPr>
            <w:tcW w:w="3880" w:type="dxa"/>
            <w:vAlign w:val="bottom"/>
            <w:tcBorders>
              <w:top w:val="single" w:sz="8" w:color="auto"/>
              <w:left w:val="single" w:sz="8" w:color="auto"/>
              <w:right w:val="single" w:sz="8" w:color="auto"/>
            </w:tcBorders>
          </w:tcPr>
          <w:p>
            <w:pPr>
              <w:ind w:left="40"/>
              <w:spacing w:after="0"/>
              <w:rPr>
                <w:sz w:val="20"/>
                <w:szCs w:val="20"/>
                <w:color w:val="auto"/>
              </w:rPr>
            </w:pPr>
            <w:r>
              <w:rPr>
                <w:rFonts w:ascii="Arial" w:cs="Arial" w:eastAsia="Arial" w:hAnsi="Arial"/>
                <w:sz w:val="18"/>
                <w:szCs w:val="18"/>
                <w:b w:val="1"/>
                <w:bCs w:val="1"/>
                <w:color w:val="auto"/>
              </w:rPr>
              <w:t>Name of Bank</w:t>
            </w:r>
          </w:p>
        </w:tc>
        <w:tc>
          <w:tcPr>
            <w:tcW w:w="2180" w:type="dxa"/>
            <w:vAlign w:val="bottom"/>
            <w:tcBorders>
              <w:top w:val="single" w:sz="8" w:color="auto"/>
              <w:right w:val="single" w:sz="8" w:color="auto"/>
            </w:tcBorders>
          </w:tcPr>
          <w:p>
            <w:pPr>
              <w:jc w:val="center"/>
              <w:spacing w:after="0"/>
              <w:rPr>
                <w:sz w:val="20"/>
                <w:szCs w:val="20"/>
                <w:color w:val="auto"/>
              </w:rPr>
            </w:pPr>
            <w:r>
              <w:rPr>
                <w:rFonts w:ascii="Arial" w:cs="Arial" w:eastAsia="Arial" w:hAnsi="Arial"/>
                <w:sz w:val="18"/>
                <w:szCs w:val="18"/>
                <w:b w:val="1"/>
                <w:bCs w:val="1"/>
                <w:color w:val="auto"/>
              </w:rPr>
              <w:t>Sixth Amendment</w:t>
            </w:r>
          </w:p>
        </w:tc>
        <w:tc>
          <w:tcPr>
            <w:tcW w:w="2180" w:type="dxa"/>
            <w:vAlign w:val="bottom"/>
            <w:tcBorders>
              <w:top w:val="single" w:sz="8" w:color="auto"/>
              <w:right w:val="single" w:sz="8" w:color="auto"/>
            </w:tcBorders>
          </w:tcPr>
          <w:p>
            <w:pPr>
              <w:jc w:val="center"/>
              <w:spacing w:after="0"/>
              <w:rPr>
                <w:sz w:val="20"/>
                <w:szCs w:val="20"/>
                <w:color w:val="auto"/>
              </w:rPr>
            </w:pPr>
            <w:r>
              <w:rPr>
                <w:rFonts w:ascii="Arial" w:cs="Arial" w:eastAsia="Arial" w:hAnsi="Arial"/>
                <w:sz w:val="18"/>
                <w:szCs w:val="18"/>
                <w:b w:val="1"/>
                <w:bCs w:val="1"/>
                <w:color w:val="auto"/>
                <w:w w:val="99"/>
              </w:rPr>
              <w:t>Fifth Amendment Non-</w:t>
            </w:r>
          </w:p>
        </w:tc>
        <w:tc>
          <w:tcPr>
            <w:tcW w:w="2160" w:type="dxa"/>
            <w:vAlign w:val="bottom"/>
            <w:tcBorders>
              <w:top w:val="single" w:sz="8" w:color="auto"/>
              <w:right w:val="single" w:sz="8" w:color="auto"/>
            </w:tcBorders>
          </w:tcPr>
          <w:p>
            <w:pPr>
              <w:jc w:val="center"/>
              <w:spacing w:after="0"/>
              <w:rPr>
                <w:sz w:val="20"/>
                <w:szCs w:val="20"/>
                <w:color w:val="auto"/>
              </w:rPr>
            </w:pPr>
            <w:r>
              <w:rPr>
                <w:rFonts w:ascii="Arial" w:cs="Arial" w:eastAsia="Arial" w:hAnsi="Arial"/>
                <w:sz w:val="18"/>
                <w:szCs w:val="18"/>
                <w:b w:val="1"/>
                <w:bCs w:val="1"/>
                <w:color w:val="auto"/>
                <w:w w:val="99"/>
              </w:rPr>
              <w:t>LC Commitment</w:t>
            </w:r>
          </w:p>
        </w:tc>
      </w:tr>
      <w:tr>
        <w:trPr>
          <w:trHeight w:val="203"/>
        </w:trPr>
        <w:tc>
          <w:tcPr>
            <w:tcW w:w="3880" w:type="dxa"/>
            <w:vAlign w:val="bottom"/>
            <w:tcBorders>
              <w:left w:val="single" w:sz="8" w:color="auto"/>
              <w:right w:val="single" w:sz="8" w:color="auto"/>
            </w:tcBorders>
          </w:tcPr>
          <w:p>
            <w:pPr>
              <w:spacing w:after="0"/>
              <w:rPr>
                <w:sz w:val="17"/>
                <w:szCs w:val="17"/>
                <w:color w:val="auto"/>
              </w:rPr>
            </w:pPr>
          </w:p>
        </w:tc>
        <w:tc>
          <w:tcPr>
            <w:tcW w:w="2180" w:type="dxa"/>
            <w:vAlign w:val="bottom"/>
            <w:tcBorders>
              <w:right w:val="single" w:sz="8" w:color="auto"/>
            </w:tcBorders>
          </w:tcPr>
          <w:p>
            <w:pPr>
              <w:jc w:val="center"/>
              <w:spacing w:after="0" w:line="202" w:lineRule="exact"/>
              <w:rPr>
                <w:sz w:val="20"/>
                <w:szCs w:val="20"/>
                <w:color w:val="auto"/>
              </w:rPr>
            </w:pPr>
            <w:r>
              <w:rPr>
                <w:rFonts w:ascii="Arial" w:cs="Arial" w:eastAsia="Arial" w:hAnsi="Arial"/>
                <w:sz w:val="18"/>
                <w:szCs w:val="18"/>
                <w:b w:val="1"/>
                <w:bCs w:val="1"/>
                <w:color w:val="auto"/>
                <w:w w:val="99"/>
              </w:rPr>
              <w:t>Extended Revolving</w:t>
            </w:r>
          </w:p>
        </w:tc>
        <w:tc>
          <w:tcPr>
            <w:tcW w:w="2180" w:type="dxa"/>
            <w:vAlign w:val="bottom"/>
            <w:tcBorders>
              <w:right w:val="single" w:sz="8" w:color="auto"/>
            </w:tcBorders>
          </w:tcPr>
          <w:p>
            <w:pPr>
              <w:jc w:val="center"/>
              <w:spacing w:after="0" w:line="202" w:lineRule="exact"/>
              <w:rPr>
                <w:sz w:val="20"/>
                <w:szCs w:val="20"/>
                <w:color w:val="auto"/>
              </w:rPr>
            </w:pPr>
            <w:r>
              <w:rPr>
                <w:rFonts w:ascii="Arial" w:cs="Arial" w:eastAsia="Arial" w:hAnsi="Arial"/>
                <w:sz w:val="18"/>
                <w:szCs w:val="18"/>
                <w:b w:val="1"/>
                <w:bCs w:val="1"/>
                <w:color w:val="auto"/>
                <w:w w:val="99"/>
              </w:rPr>
              <w:t>Extended Revolving</w:t>
            </w:r>
          </w:p>
        </w:tc>
        <w:tc>
          <w:tcPr>
            <w:tcW w:w="2160" w:type="dxa"/>
            <w:vAlign w:val="bottom"/>
            <w:tcBorders>
              <w:right w:val="single" w:sz="8" w:color="auto"/>
            </w:tcBorders>
          </w:tcPr>
          <w:p>
            <w:pPr>
              <w:spacing w:after="0"/>
              <w:rPr>
                <w:sz w:val="17"/>
                <w:szCs w:val="17"/>
                <w:color w:val="auto"/>
              </w:rPr>
            </w:pPr>
          </w:p>
        </w:tc>
      </w:tr>
      <w:tr>
        <w:trPr>
          <w:trHeight w:val="246"/>
        </w:trPr>
        <w:tc>
          <w:tcPr>
            <w:tcW w:w="3880" w:type="dxa"/>
            <w:vAlign w:val="bottom"/>
            <w:tcBorders>
              <w:left w:val="single" w:sz="8" w:color="auto"/>
              <w:bottom w:val="single" w:sz="8" w:color="auto"/>
              <w:right w:val="single" w:sz="8" w:color="auto"/>
            </w:tcBorders>
          </w:tcPr>
          <w:p>
            <w:pPr>
              <w:spacing w:after="0"/>
              <w:rPr>
                <w:sz w:val="21"/>
                <w:szCs w:val="21"/>
                <w:color w:val="auto"/>
              </w:rPr>
            </w:pPr>
          </w:p>
        </w:tc>
        <w:tc>
          <w:tcPr>
            <w:tcW w:w="218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b w:val="1"/>
                <w:bCs w:val="1"/>
                <w:color w:val="auto"/>
                <w:w w:val="99"/>
              </w:rPr>
              <w:t>Commitment</w:t>
            </w:r>
          </w:p>
        </w:tc>
        <w:tc>
          <w:tcPr>
            <w:tcW w:w="218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b w:val="1"/>
                <w:bCs w:val="1"/>
                <w:color w:val="auto"/>
                <w:w w:val="99"/>
              </w:rPr>
              <w:t>Commitment</w:t>
            </w:r>
          </w:p>
        </w:tc>
        <w:tc>
          <w:tcPr>
            <w:tcW w:w="2160" w:type="dxa"/>
            <w:vAlign w:val="bottom"/>
            <w:tcBorders>
              <w:bottom w:val="single" w:sz="8" w:color="auto"/>
              <w:right w:val="single" w:sz="8" w:color="auto"/>
            </w:tcBorders>
          </w:tcPr>
          <w:p>
            <w:pPr>
              <w:spacing w:after="0"/>
              <w:rPr>
                <w:sz w:val="21"/>
                <w:szCs w:val="21"/>
                <w:color w:val="auto"/>
              </w:rPr>
            </w:pPr>
          </w:p>
        </w:tc>
      </w:tr>
      <w:tr>
        <w:trPr>
          <w:trHeight w:val="250"/>
        </w:trPr>
        <w:tc>
          <w:tcPr>
            <w:tcW w:w="3880" w:type="dxa"/>
            <w:vAlign w:val="bottom"/>
            <w:tcBorders>
              <w:left w:val="single" w:sz="8" w:color="auto"/>
              <w:bottom w:val="single" w:sz="8" w:color="auto"/>
              <w:right w:val="single" w:sz="8" w:color="auto"/>
            </w:tcBorders>
          </w:tcPr>
          <w:p>
            <w:pPr>
              <w:ind w:left="40"/>
              <w:spacing w:after="0"/>
              <w:rPr>
                <w:sz w:val="20"/>
                <w:szCs w:val="20"/>
                <w:color w:val="auto"/>
              </w:rPr>
            </w:pPr>
            <w:r>
              <w:rPr>
                <w:rFonts w:ascii="Arial" w:cs="Arial" w:eastAsia="Arial" w:hAnsi="Arial"/>
                <w:sz w:val="18"/>
                <w:szCs w:val="18"/>
                <w:color w:val="auto"/>
              </w:rPr>
              <w:t>Deutsche Bank AG New York Branch</w:t>
            </w:r>
          </w:p>
        </w:tc>
        <w:tc>
          <w:tcPr>
            <w:tcW w:w="218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6"/>
              </w:rPr>
              <w:t>[***]</w:t>
            </w:r>
          </w:p>
        </w:tc>
        <w:tc>
          <w:tcPr>
            <w:tcW w:w="218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6"/>
              </w:rPr>
              <w:t>[***]</w:t>
            </w:r>
          </w:p>
        </w:tc>
        <w:tc>
          <w:tcPr>
            <w:tcW w:w="216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9"/>
              </w:rPr>
              <w:t>$100,000,000</w:t>
            </w:r>
          </w:p>
        </w:tc>
      </w:tr>
      <w:tr>
        <w:trPr>
          <w:trHeight w:val="243"/>
        </w:trPr>
        <w:tc>
          <w:tcPr>
            <w:tcW w:w="3880" w:type="dxa"/>
            <w:vAlign w:val="bottom"/>
            <w:tcBorders>
              <w:left w:val="single" w:sz="8" w:color="auto"/>
              <w:right w:val="single" w:sz="8" w:color="auto"/>
            </w:tcBorders>
          </w:tcPr>
          <w:p>
            <w:pPr>
              <w:ind w:left="40"/>
              <w:spacing w:after="0"/>
              <w:rPr>
                <w:sz w:val="20"/>
                <w:szCs w:val="20"/>
                <w:color w:val="auto"/>
              </w:rPr>
            </w:pPr>
            <w:r>
              <w:rPr>
                <w:rFonts w:ascii="Arial" w:cs="Arial" w:eastAsia="Arial" w:hAnsi="Arial"/>
                <w:sz w:val="18"/>
                <w:szCs w:val="18"/>
                <w:color w:val="auto"/>
              </w:rPr>
              <w:t>Bank of America, N.A.</w:t>
            </w:r>
          </w:p>
        </w:tc>
        <w:tc>
          <w:tcPr>
            <w:tcW w:w="218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6"/>
              </w:rPr>
              <w:t>[***]</w:t>
            </w:r>
          </w:p>
        </w:tc>
        <w:tc>
          <w:tcPr>
            <w:tcW w:w="218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6"/>
              </w:rPr>
              <w:t>[***]</w:t>
            </w:r>
          </w:p>
        </w:tc>
        <w:tc>
          <w:tcPr>
            <w:tcW w:w="2160" w:type="dxa"/>
            <w:vAlign w:val="bottom"/>
            <w:tcBorders>
              <w:right w:val="single" w:sz="8" w:color="auto"/>
            </w:tcBorders>
          </w:tcPr>
          <w:p>
            <w:pPr>
              <w:spacing w:after="0"/>
              <w:rPr>
                <w:sz w:val="21"/>
                <w:szCs w:val="21"/>
                <w:color w:val="auto"/>
              </w:rPr>
            </w:pPr>
          </w:p>
        </w:tc>
      </w:tr>
      <w:tr>
        <w:trPr>
          <w:trHeight w:val="27"/>
        </w:trPr>
        <w:tc>
          <w:tcPr>
            <w:tcW w:w="3880" w:type="dxa"/>
            <w:vAlign w:val="bottom"/>
            <w:tcBorders>
              <w:left w:val="single" w:sz="8" w:color="auto"/>
              <w:bottom w:val="single" w:sz="8" w:color="auto"/>
              <w:right w:val="single" w:sz="8" w:color="auto"/>
            </w:tcBorders>
          </w:tcPr>
          <w:p>
            <w:pPr>
              <w:spacing w:after="0"/>
              <w:rPr>
                <w:sz w:val="2"/>
                <w:szCs w:val="2"/>
                <w:color w:val="auto"/>
              </w:rPr>
            </w:pPr>
          </w:p>
        </w:tc>
        <w:tc>
          <w:tcPr>
            <w:tcW w:w="2180" w:type="dxa"/>
            <w:vAlign w:val="bottom"/>
            <w:tcBorders>
              <w:bottom w:val="single" w:sz="8" w:color="auto"/>
              <w:right w:val="single" w:sz="8" w:color="auto"/>
            </w:tcBorders>
          </w:tcPr>
          <w:p>
            <w:pPr>
              <w:spacing w:after="0"/>
              <w:rPr>
                <w:sz w:val="2"/>
                <w:szCs w:val="2"/>
                <w:color w:val="auto"/>
              </w:rPr>
            </w:pPr>
          </w:p>
        </w:tc>
        <w:tc>
          <w:tcPr>
            <w:tcW w:w="2180" w:type="dxa"/>
            <w:vAlign w:val="bottom"/>
            <w:tcBorders>
              <w:bottom w:val="single" w:sz="8" w:color="auto"/>
              <w:right w:val="single" w:sz="8" w:color="auto"/>
            </w:tcBorders>
          </w:tcPr>
          <w:p>
            <w:pPr>
              <w:spacing w:after="0"/>
              <w:rPr>
                <w:sz w:val="2"/>
                <w:szCs w:val="2"/>
                <w:color w:val="auto"/>
              </w:rPr>
            </w:pPr>
          </w:p>
        </w:tc>
        <w:tc>
          <w:tcPr>
            <w:tcW w:w="2160" w:type="dxa"/>
            <w:vAlign w:val="bottom"/>
            <w:tcBorders>
              <w:bottom w:val="single" w:sz="8" w:color="auto"/>
              <w:right w:val="single" w:sz="8" w:color="auto"/>
            </w:tcBorders>
          </w:tcPr>
          <w:p>
            <w:pPr>
              <w:spacing w:after="0"/>
              <w:rPr>
                <w:sz w:val="2"/>
                <w:szCs w:val="2"/>
                <w:color w:val="auto"/>
              </w:rPr>
            </w:pPr>
          </w:p>
        </w:tc>
      </w:tr>
      <w:tr>
        <w:trPr>
          <w:trHeight w:val="237"/>
        </w:trPr>
        <w:tc>
          <w:tcPr>
            <w:tcW w:w="3880" w:type="dxa"/>
            <w:vAlign w:val="bottom"/>
            <w:tcBorders>
              <w:left w:val="single" w:sz="8" w:color="auto"/>
              <w:right w:val="single" w:sz="8" w:color="auto"/>
            </w:tcBorders>
          </w:tcPr>
          <w:p>
            <w:pPr>
              <w:ind w:left="40"/>
              <w:spacing w:after="0"/>
              <w:rPr>
                <w:sz w:val="20"/>
                <w:szCs w:val="20"/>
                <w:color w:val="auto"/>
              </w:rPr>
            </w:pPr>
            <w:r>
              <w:rPr>
                <w:rFonts w:ascii="Arial" w:cs="Arial" w:eastAsia="Arial" w:hAnsi="Arial"/>
                <w:sz w:val="18"/>
                <w:szCs w:val="18"/>
                <w:color w:val="auto"/>
              </w:rPr>
              <w:t>Barclays Bank PLC</w:t>
            </w:r>
          </w:p>
        </w:tc>
        <w:tc>
          <w:tcPr>
            <w:tcW w:w="218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6"/>
              </w:rPr>
              <w:t>[***]</w:t>
            </w:r>
          </w:p>
        </w:tc>
        <w:tc>
          <w:tcPr>
            <w:tcW w:w="218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6"/>
              </w:rPr>
              <w:t>[***]</w:t>
            </w:r>
          </w:p>
        </w:tc>
        <w:tc>
          <w:tcPr>
            <w:tcW w:w="2160" w:type="dxa"/>
            <w:vAlign w:val="bottom"/>
            <w:tcBorders>
              <w:right w:val="single" w:sz="8" w:color="auto"/>
            </w:tcBorders>
          </w:tcPr>
          <w:p>
            <w:pPr>
              <w:spacing w:after="0"/>
              <w:rPr>
                <w:sz w:val="20"/>
                <w:szCs w:val="20"/>
                <w:color w:val="auto"/>
              </w:rPr>
            </w:pPr>
          </w:p>
        </w:tc>
      </w:tr>
      <w:tr>
        <w:trPr>
          <w:trHeight w:val="27"/>
        </w:trPr>
        <w:tc>
          <w:tcPr>
            <w:tcW w:w="3880" w:type="dxa"/>
            <w:vAlign w:val="bottom"/>
            <w:tcBorders>
              <w:left w:val="single" w:sz="8" w:color="auto"/>
              <w:bottom w:val="single" w:sz="8" w:color="auto"/>
              <w:right w:val="single" w:sz="8" w:color="auto"/>
            </w:tcBorders>
          </w:tcPr>
          <w:p>
            <w:pPr>
              <w:spacing w:after="0"/>
              <w:rPr>
                <w:sz w:val="2"/>
                <w:szCs w:val="2"/>
                <w:color w:val="auto"/>
              </w:rPr>
            </w:pPr>
          </w:p>
        </w:tc>
        <w:tc>
          <w:tcPr>
            <w:tcW w:w="2180" w:type="dxa"/>
            <w:vAlign w:val="bottom"/>
            <w:tcBorders>
              <w:bottom w:val="single" w:sz="8" w:color="auto"/>
              <w:right w:val="single" w:sz="8" w:color="auto"/>
            </w:tcBorders>
          </w:tcPr>
          <w:p>
            <w:pPr>
              <w:spacing w:after="0"/>
              <w:rPr>
                <w:sz w:val="2"/>
                <w:szCs w:val="2"/>
                <w:color w:val="auto"/>
              </w:rPr>
            </w:pPr>
          </w:p>
        </w:tc>
        <w:tc>
          <w:tcPr>
            <w:tcW w:w="2180" w:type="dxa"/>
            <w:vAlign w:val="bottom"/>
            <w:tcBorders>
              <w:bottom w:val="single" w:sz="8" w:color="auto"/>
              <w:right w:val="single" w:sz="8" w:color="auto"/>
            </w:tcBorders>
          </w:tcPr>
          <w:p>
            <w:pPr>
              <w:spacing w:after="0"/>
              <w:rPr>
                <w:sz w:val="2"/>
                <w:szCs w:val="2"/>
                <w:color w:val="auto"/>
              </w:rPr>
            </w:pPr>
          </w:p>
        </w:tc>
        <w:tc>
          <w:tcPr>
            <w:tcW w:w="2160" w:type="dxa"/>
            <w:vAlign w:val="bottom"/>
            <w:tcBorders>
              <w:bottom w:val="single" w:sz="8" w:color="auto"/>
              <w:right w:val="single" w:sz="8" w:color="auto"/>
            </w:tcBorders>
          </w:tcPr>
          <w:p>
            <w:pPr>
              <w:spacing w:after="0"/>
              <w:rPr>
                <w:sz w:val="2"/>
                <w:szCs w:val="2"/>
                <w:color w:val="auto"/>
              </w:rPr>
            </w:pPr>
          </w:p>
        </w:tc>
      </w:tr>
      <w:tr>
        <w:trPr>
          <w:trHeight w:val="237"/>
        </w:trPr>
        <w:tc>
          <w:tcPr>
            <w:tcW w:w="3880" w:type="dxa"/>
            <w:vAlign w:val="bottom"/>
            <w:tcBorders>
              <w:left w:val="single" w:sz="8" w:color="auto"/>
              <w:right w:val="single" w:sz="8" w:color="auto"/>
            </w:tcBorders>
          </w:tcPr>
          <w:p>
            <w:pPr>
              <w:ind w:left="40"/>
              <w:spacing w:after="0"/>
              <w:rPr>
                <w:sz w:val="20"/>
                <w:szCs w:val="20"/>
                <w:color w:val="auto"/>
              </w:rPr>
            </w:pPr>
            <w:r>
              <w:rPr>
                <w:rFonts w:ascii="Arial" w:cs="Arial" w:eastAsia="Arial" w:hAnsi="Arial"/>
                <w:sz w:val="18"/>
                <w:szCs w:val="18"/>
                <w:color w:val="auto"/>
              </w:rPr>
              <w:t>Citibank N.A.</w:t>
            </w:r>
          </w:p>
        </w:tc>
        <w:tc>
          <w:tcPr>
            <w:tcW w:w="218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6"/>
              </w:rPr>
              <w:t>[***]</w:t>
            </w:r>
          </w:p>
        </w:tc>
        <w:tc>
          <w:tcPr>
            <w:tcW w:w="218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6"/>
              </w:rPr>
              <w:t>[***]</w:t>
            </w:r>
          </w:p>
        </w:tc>
        <w:tc>
          <w:tcPr>
            <w:tcW w:w="2160" w:type="dxa"/>
            <w:vAlign w:val="bottom"/>
            <w:tcBorders>
              <w:right w:val="single" w:sz="8" w:color="auto"/>
            </w:tcBorders>
          </w:tcPr>
          <w:p>
            <w:pPr>
              <w:spacing w:after="0"/>
              <w:rPr>
                <w:sz w:val="20"/>
                <w:szCs w:val="20"/>
                <w:color w:val="auto"/>
              </w:rPr>
            </w:pPr>
          </w:p>
        </w:tc>
      </w:tr>
      <w:tr>
        <w:trPr>
          <w:trHeight w:val="27"/>
        </w:trPr>
        <w:tc>
          <w:tcPr>
            <w:tcW w:w="3880" w:type="dxa"/>
            <w:vAlign w:val="bottom"/>
            <w:tcBorders>
              <w:left w:val="single" w:sz="8" w:color="auto"/>
              <w:bottom w:val="single" w:sz="8" w:color="auto"/>
              <w:right w:val="single" w:sz="8" w:color="auto"/>
            </w:tcBorders>
          </w:tcPr>
          <w:p>
            <w:pPr>
              <w:spacing w:after="0"/>
              <w:rPr>
                <w:sz w:val="2"/>
                <w:szCs w:val="2"/>
                <w:color w:val="auto"/>
              </w:rPr>
            </w:pPr>
          </w:p>
        </w:tc>
        <w:tc>
          <w:tcPr>
            <w:tcW w:w="2180" w:type="dxa"/>
            <w:vAlign w:val="bottom"/>
            <w:tcBorders>
              <w:bottom w:val="single" w:sz="8" w:color="auto"/>
              <w:right w:val="single" w:sz="8" w:color="auto"/>
            </w:tcBorders>
          </w:tcPr>
          <w:p>
            <w:pPr>
              <w:spacing w:after="0"/>
              <w:rPr>
                <w:sz w:val="2"/>
                <w:szCs w:val="2"/>
                <w:color w:val="auto"/>
              </w:rPr>
            </w:pPr>
          </w:p>
        </w:tc>
        <w:tc>
          <w:tcPr>
            <w:tcW w:w="2180" w:type="dxa"/>
            <w:vAlign w:val="bottom"/>
            <w:tcBorders>
              <w:bottom w:val="single" w:sz="8" w:color="auto"/>
              <w:right w:val="single" w:sz="8" w:color="auto"/>
            </w:tcBorders>
          </w:tcPr>
          <w:p>
            <w:pPr>
              <w:spacing w:after="0"/>
              <w:rPr>
                <w:sz w:val="2"/>
                <w:szCs w:val="2"/>
                <w:color w:val="auto"/>
              </w:rPr>
            </w:pPr>
          </w:p>
        </w:tc>
        <w:tc>
          <w:tcPr>
            <w:tcW w:w="2160" w:type="dxa"/>
            <w:vAlign w:val="bottom"/>
            <w:tcBorders>
              <w:bottom w:val="single" w:sz="8" w:color="auto"/>
              <w:right w:val="single" w:sz="8" w:color="auto"/>
            </w:tcBorders>
          </w:tcPr>
          <w:p>
            <w:pPr>
              <w:spacing w:after="0"/>
              <w:rPr>
                <w:sz w:val="2"/>
                <w:szCs w:val="2"/>
                <w:color w:val="auto"/>
              </w:rPr>
            </w:pPr>
          </w:p>
        </w:tc>
      </w:tr>
      <w:tr>
        <w:trPr>
          <w:trHeight w:val="237"/>
        </w:trPr>
        <w:tc>
          <w:tcPr>
            <w:tcW w:w="3880" w:type="dxa"/>
            <w:vAlign w:val="bottom"/>
            <w:tcBorders>
              <w:left w:val="single" w:sz="8" w:color="auto"/>
              <w:right w:val="single" w:sz="8" w:color="auto"/>
            </w:tcBorders>
          </w:tcPr>
          <w:p>
            <w:pPr>
              <w:ind w:left="40"/>
              <w:spacing w:after="0"/>
              <w:rPr>
                <w:sz w:val="20"/>
                <w:szCs w:val="20"/>
                <w:color w:val="auto"/>
              </w:rPr>
            </w:pPr>
            <w:r>
              <w:rPr>
                <w:rFonts w:ascii="Arial" w:cs="Arial" w:eastAsia="Arial" w:hAnsi="Arial"/>
                <w:sz w:val="18"/>
                <w:szCs w:val="18"/>
                <w:color w:val="auto"/>
              </w:rPr>
              <w:t>Credit Suisse AG, Cayman Islands Branch</w:t>
            </w:r>
          </w:p>
        </w:tc>
        <w:tc>
          <w:tcPr>
            <w:tcW w:w="218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6"/>
              </w:rPr>
              <w:t>[***]</w:t>
            </w:r>
          </w:p>
        </w:tc>
        <w:tc>
          <w:tcPr>
            <w:tcW w:w="218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6"/>
              </w:rPr>
              <w:t>[***]</w:t>
            </w:r>
          </w:p>
        </w:tc>
        <w:tc>
          <w:tcPr>
            <w:tcW w:w="2160" w:type="dxa"/>
            <w:vAlign w:val="bottom"/>
            <w:tcBorders>
              <w:right w:val="single" w:sz="8" w:color="auto"/>
            </w:tcBorders>
          </w:tcPr>
          <w:p>
            <w:pPr>
              <w:spacing w:after="0"/>
              <w:rPr>
                <w:sz w:val="20"/>
                <w:szCs w:val="20"/>
                <w:color w:val="auto"/>
              </w:rPr>
            </w:pPr>
          </w:p>
        </w:tc>
      </w:tr>
      <w:tr>
        <w:trPr>
          <w:trHeight w:val="27"/>
        </w:trPr>
        <w:tc>
          <w:tcPr>
            <w:tcW w:w="3880" w:type="dxa"/>
            <w:vAlign w:val="bottom"/>
            <w:tcBorders>
              <w:left w:val="single" w:sz="8" w:color="auto"/>
              <w:bottom w:val="single" w:sz="8" w:color="auto"/>
              <w:right w:val="single" w:sz="8" w:color="auto"/>
            </w:tcBorders>
          </w:tcPr>
          <w:p>
            <w:pPr>
              <w:spacing w:after="0"/>
              <w:rPr>
                <w:sz w:val="2"/>
                <w:szCs w:val="2"/>
                <w:color w:val="auto"/>
              </w:rPr>
            </w:pPr>
          </w:p>
        </w:tc>
        <w:tc>
          <w:tcPr>
            <w:tcW w:w="2180" w:type="dxa"/>
            <w:vAlign w:val="bottom"/>
            <w:tcBorders>
              <w:bottom w:val="single" w:sz="8" w:color="auto"/>
              <w:right w:val="single" w:sz="8" w:color="auto"/>
            </w:tcBorders>
          </w:tcPr>
          <w:p>
            <w:pPr>
              <w:spacing w:after="0"/>
              <w:rPr>
                <w:sz w:val="2"/>
                <w:szCs w:val="2"/>
                <w:color w:val="auto"/>
              </w:rPr>
            </w:pPr>
          </w:p>
        </w:tc>
        <w:tc>
          <w:tcPr>
            <w:tcW w:w="2180" w:type="dxa"/>
            <w:vAlign w:val="bottom"/>
            <w:tcBorders>
              <w:bottom w:val="single" w:sz="8" w:color="auto"/>
              <w:right w:val="single" w:sz="8" w:color="auto"/>
            </w:tcBorders>
          </w:tcPr>
          <w:p>
            <w:pPr>
              <w:spacing w:after="0"/>
              <w:rPr>
                <w:sz w:val="2"/>
                <w:szCs w:val="2"/>
                <w:color w:val="auto"/>
              </w:rPr>
            </w:pPr>
          </w:p>
        </w:tc>
        <w:tc>
          <w:tcPr>
            <w:tcW w:w="2160" w:type="dxa"/>
            <w:vAlign w:val="bottom"/>
            <w:tcBorders>
              <w:bottom w:val="single" w:sz="8" w:color="auto"/>
              <w:right w:val="single" w:sz="8" w:color="auto"/>
            </w:tcBorders>
          </w:tcPr>
          <w:p>
            <w:pPr>
              <w:spacing w:after="0"/>
              <w:rPr>
                <w:sz w:val="2"/>
                <w:szCs w:val="2"/>
                <w:color w:val="auto"/>
              </w:rPr>
            </w:pPr>
          </w:p>
        </w:tc>
      </w:tr>
      <w:tr>
        <w:trPr>
          <w:trHeight w:val="237"/>
        </w:trPr>
        <w:tc>
          <w:tcPr>
            <w:tcW w:w="3880" w:type="dxa"/>
            <w:vAlign w:val="bottom"/>
            <w:tcBorders>
              <w:left w:val="single" w:sz="8" w:color="auto"/>
              <w:right w:val="single" w:sz="8" w:color="auto"/>
            </w:tcBorders>
          </w:tcPr>
          <w:p>
            <w:pPr>
              <w:ind w:left="40"/>
              <w:spacing w:after="0"/>
              <w:rPr>
                <w:sz w:val="20"/>
                <w:szCs w:val="20"/>
                <w:color w:val="auto"/>
              </w:rPr>
            </w:pPr>
            <w:r>
              <w:rPr>
                <w:rFonts w:ascii="Arial" w:cs="Arial" w:eastAsia="Arial" w:hAnsi="Arial"/>
                <w:sz w:val="18"/>
                <w:szCs w:val="18"/>
                <w:color w:val="auto"/>
              </w:rPr>
              <w:t>Goldman Sachs Bank USA</w:t>
            </w:r>
          </w:p>
        </w:tc>
        <w:tc>
          <w:tcPr>
            <w:tcW w:w="218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6"/>
              </w:rPr>
              <w:t>[***]</w:t>
            </w:r>
          </w:p>
        </w:tc>
        <w:tc>
          <w:tcPr>
            <w:tcW w:w="218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6"/>
              </w:rPr>
              <w:t>[***]</w:t>
            </w:r>
          </w:p>
        </w:tc>
        <w:tc>
          <w:tcPr>
            <w:tcW w:w="2160" w:type="dxa"/>
            <w:vAlign w:val="bottom"/>
            <w:tcBorders>
              <w:right w:val="single" w:sz="8" w:color="auto"/>
            </w:tcBorders>
          </w:tcPr>
          <w:p>
            <w:pPr>
              <w:spacing w:after="0"/>
              <w:rPr>
                <w:sz w:val="20"/>
                <w:szCs w:val="20"/>
                <w:color w:val="auto"/>
              </w:rPr>
            </w:pPr>
          </w:p>
        </w:tc>
      </w:tr>
      <w:tr>
        <w:trPr>
          <w:trHeight w:val="27"/>
        </w:trPr>
        <w:tc>
          <w:tcPr>
            <w:tcW w:w="3880" w:type="dxa"/>
            <w:vAlign w:val="bottom"/>
            <w:tcBorders>
              <w:left w:val="single" w:sz="8" w:color="auto"/>
              <w:bottom w:val="single" w:sz="8" w:color="auto"/>
              <w:right w:val="single" w:sz="8" w:color="auto"/>
            </w:tcBorders>
          </w:tcPr>
          <w:p>
            <w:pPr>
              <w:spacing w:after="0"/>
              <w:rPr>
                <w:sz w:val="2"/>
                <w:szCs w:val="2"/>
                <w:color w:val="auto"/>
              </w:rPr>
            </w:pPr>
          </w:p>
        </w:tc>
        <w:tc>
          <w:tcPr>
            <w:tcW w:w="2180" w:type="dxa"/>
            <w:vAlign w:val="bottom"/>
            <w:tcBorders>
              <w:bottom w:val="single" w:sz="8" w:color="auto"/>
              <w:right w:val="single" w:sz="8" w:color="auto"/>
            </w:tcBorders>
          </w:tcPr>
          <w:p>
            <w:pPr>
              <w:spacing w:after="0"/>
              <w:rPr>
                <w:sz w:val="2"/>
                <w:szCs w:val="2"/>
                <w:color w:val="auto"/>
              </w:rPr>
            </w:pPr>
          </w:p>
        </w:tc>
        <w:tc>
          <w:tcPr>
            <w:tcW w:w="2180" w:type="dxa"/>
            <w:vAlign w:val="bottom"/>
            <w:tcBorders>
              <w:bottom w:val="single" w:sz="8" w:color="auto"/>
              <w:right w:val="single" w:sz="8" w:color="auto"/>
            </w:tcBorders>
          </w:tcPr>
          <w:p>
            <w:pPr>
              <w:spacing w:after="0"/>
              <w:rPr>
                <w:sz w:val="2"/>
                <w:szCs w:val="2"/>
                <w:color w:val="auto"/>
              </w:rPr>
            </w:pPr>
          </w:p>
        </w:tc>
        <w:tc>
          <w:tcPr>
            <w:tcW w:w="2160" w:type="dxa"/>
            <w:vAlign w:val="bottom"/>
            <w:tcBorders>
              <w:bottom w:val="single" w:sz="8" w:color="auto"/>
              <w:right w:val="single" w:sz="8" w:color="auto"/>
            </w:tcBorders>
          </w:tcPr>
          <w:p>
            <w:pPr>
              <w:spacing w:after="0"/>
              <w:rPr>
                <w:sz w:val="2"/>
                <w:szCs w:val="2"/>
                <w:color w:val="auto"/>
              </w:rPr>
            </w:pPr>
          </w:p>
        </w:tc>
      </w:tr>
      <w:tr>
        <w:trPr>
          <w:trHeight w:val="237"/>
        </w:trPr>
        <w:tc>
          <w:tcPr>
            <w:tcW w:w="3880" w:type="dxa"/>
            <w:vAlign w:val="bottom"/>
            <w:tcBorders>
              <w:left w:val="single" w:sz="8" w:color="auto"/>
              <w:right w:val="single" w:sz="8" w:color="auto"/>
            </w:tcBorders>
          </w:tcPr>
          <w:p>
            <w:pPr>
              <w:ind w:left="40"/>
              <w:spacing w:after="0"/>
              <w:rPr>
                <w:sz w:val="20"/>
                <w:szCs w:val="20"/>
                <w:color w:val="auto"/>
              </w:rPr>
            </w:pPr>
            <w:r>
              <w:rPr>
                <w:rFonts w:ascii="Arial" w:cs="Arial" w:eastAsia="Arial" w:hAnsi="Arial"/>
                <w:sz w:val="18"/>
                <w:szCs w:val="18"/>
                <w:color w:val="auto"/>
              </w:rPr>
              <w:t>Goldman Sachs Lending Partners LLC</w:t>
            </w:r>
          </w:p>
        </w:tc>
        <w:tc>
          <w:tcPr>
            <w:tcW w:w="218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6"/>
              </w:rPr>
              <w:t>[***]</w:t>
            </w:r>
          </w:p>
        </w:tc>
        <w:tc>
          <w:tcPr>
            <w:tcW w:w="218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6"/>
              </w:rPr>
              <w:t>[***]</w:t>
            </w:r>
          </w:p>
        </w:tc>
        <w:tc>
          <w:tcPr>
            <w:tcW w:w="2160" w:type="dxa"/>
            <w:vAlign w:val="bottom"/>
            <w:tcBorders>
              <w:right w:val="single" w:sz="8" w:color="auto"/>
            </w:tcBorders>
          </w:tcPr>
          <w:p>
            <w:pPr>
              <w:spacing w:after="0"/>
              <w:rPr>
                <w:sz w:val="20"/>
                <w:szCs w:val="20"/>
                <w:color w:val="auto"/>
              </w:rPr>
            </w:pPr>
          </w:p>
        </w:tc>
      </w:tr>
      <w:tr>
        <w:trPr>
          <w:trHeight w:val="27"/>
        </w:trPr>
        <w:tc>
          <w:tcPr>
            <w:tcW w:w="3880" w:type="dxa"/>
            <w:vAlign w:val="bottom"/>
            <w:tcBorders>
              <w:left w:val="single" w:sz="8" w:color="auto"/>
              <w:bottom w:val="single" w:sz="8" w:color="auto"/>
              <w:right w:val="single" w:sz="8" w:color="auto"/>
            </w:tcBorders>
          </w:tcPr>
          <w:p>
            <w:pPr>
              <w:spacing w:after="0"/>
              <w:rPr>
                <w:sz w:val="2"/>
                <w:szCs w:val="2"/>
                <w:color w:val="auto"/>
              </w:rPr>
            </w:pPr>
          </w:p>
        </w:tc>
        <w:tc>
          <w:tcPr>
            <w:tcW w:w="2180" w:type="dxa"/>
            <w:vAlign w:val="bottom"/>
            <w:tcBorders>
              <w:bottom w:val="single" w:sz="8" w:color="auto"/>
              <w:right w:val="single" w:sz="8" w:color="auto"/>
            </w:tcBorders>
          </w:tcPr>
          <w:p>
            <w:pPr>
              <w:spacing w:after="0"/>
              <w:rPr>
                <w:sz w:val="2"/>
                <w:szCs w:val="2"/>
                <w:color w:val="auto"/>
              </w:rPr>
            </w:pPr>
          </w:p>
        </w:tc>
        <w:tc>
          <w:tcPr>
            <w:tcW w:w="2180" w:type="dxa"/>
            <w:vAlign w:val="bottom"/>
            <w:tcBorders>
              <w:bottom w:val="single" w:sz="8" w:color="auto"/>
              <w:right w:val="single" w:sz="8" w:color="auto"/>
            </w:tcBorders>
          </w:tcPr>
          <w:p>
            <w:pPr>
              <w:spacing w:after="0"/>
              <w:rPr>
                <w:sz w:val="2"/>
                <w:szCs w:val="2"/>
                <w:color w:val="auto"/>
              </w:rPr>
            </w:pPr>
          </w:p>
        </w:tc>
        <w:tc>
          <w:tcPr>
            <w:tcW w:w="2160" w:type="dxa"/>
            <w:vAlign w:val="bottom"/>
            <w:tcBorders>
              <w:bottom w:val="single" w:sz="8" w:color="auto"/>
              <w:right w:val="single" w:sz="8" w:color="auto"/>
            </w:tcBorders>
          </w:tcPr>
          <w:p>
            <w:pPr>
              <w:spacing w:after="0"/>
              <w:rPr>
                <w:sz w:val="2"/>
                <w:szCs w:val="2"/>
                <w:color w:val="auto"/>
              </w:rPr>
            </w:pPr>
          </w:p>
        </w:tc>
      </w:tr>
      <w:tr>
        <w:trPr>
          <w:trHeight w:val="222"/>
        </w:trPr>
        <w:tc>
          <w:tcPr>
            <w:tcW w:w="3880" w:type="dxa"/>
            <w:vAlign w:val="bottom"/>
            <w:tcBorders>
              <w:left w:val="single" w:sz="8" w:color="auto"/>
              <w:right w:val="single" w:sz="8" w:color="auto"/>
            </w:tcBorders>
          </w:tcPr>
          <w:p>
            <w:pPr>
              <w:ind w:left="40"/>
              <w:spacing w:after="0"/>
              <w:rPr>
                <w:sz w:val="20"/>
                <w:szCs w:val="20"/>
                <w:color w:val="auto"/>
              </w:rPr>
            </w:pPr>
            <w:r>
              <w:rPr>
                <w:rFonts w:ascii="Arial" w:cs="Arial" w:eastAsia="Arial" w:hAnsi="Arial"/>
                <w:sz w:val="18"/>
                <w:szCs w:val="18"/>
                <w:color w:val="auto"/>
              </w:rPr>
              <w:t>Industrial and Commercial Bank of China</w:t>
            </w:r>
          </w:p>
        </w:tc>
        <w:tc>
          <w:tcPr>
            <w:tcW w:w="218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6"/>
              </w:rPr>
              <w:t>[***]</w:t>
            </w:r>
          </w:p>
        </w:tc>
        <w:tc>
          <w:tcPr>
            <w:tcW w:w="218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6"/>
              </w:rPr>
              <w:t>[***]</w:t>
            </w:r>
          </w:p>
        </w:tc>
        <w:tc>
          <w:tcPr>
            <w:tcW w:w="2160" w:type="dxa"/>
            <w:vAlign w:val="bottom"/>
            <w:tcBorders>
              <w:right w:val="single" w:sz="8" w:color="auto"/>
            </w:tcBorders>
          </w:tcPr>
          <w:p>
            <w:pPr>
              <w:spacing w:after="0"/>
              <w:rPr>
                <w:sz w:val="19"/>
                <w:szCs w:val="19"/>
                <w:color w:val="auto"/>
              </w:rPr>
            </w:pPr>
          </w:p>
        </w:tc>
      </w:tr>
      <w:tr>
        <w:trPr>
          <w:trHeight w:val="224"/>
        </w:trPr>
        <w:tc>
          <w:tcPr>
            <w:tcW w:w="3880" w:type="dxa"/>
            <w:vAlign w:val="bottom"/>
            <w:tcBorders>
              <w:left w:val="single" w:sz="8" w:color="auto"/>
              <w:bottom w:val="single" w:sz="8" w:color="auto"/>
              <w:right w:val="single" w:sz="8" w:color="auto"/>
            </w:tcBorders>
          </w:tcPr>
          <w:p>
            <w:pPr>
              <w:ind w:left="40"/>
              <w:spacing w:after="0"/>
              <w:rPr>
                <w:sz w:val="20"/>
                <w:szCs w:val="20"/>
                <w:color w:val="auto"/>
              </w:rPr>
            </w:pPr>
            <w:r>
              <w:rPr>
                <w:rFonts w:ascii="Arial" w:cs="Arial" w:eastAsia="Arial" w:hAnsi="Arial"/>
                <w:sz w:val="18"/>
                <w:szCs w:val="18"/>
                <w:color w:val="auto"/>
              </w:rPr>
              <w:t>Limited, New York Branch</w:t>
            </w:r>
          </w:p>
        </w:tc>
        <w:tc>
          <w:tcPr>
            <w:tcW w:w="2180" w:type="dxa"/>
            <w:vAlign w:val="bottom"/>
            <w:tcBorders>
              <w:bottom w:val="single" w:sz="8" w:color="auto"/>
              <w:right w:val="single" w:sz="8" w:color="auto"/>
            </w:tcBorders>
          </w:tcPr>
          <w:p>
            <w:pPr>
              <w:spacing w:after="0"/>
              <w:rPr>
                <w:sz w:val="19"/>
                <w:szCs w:val="19"/>
                <w:color w:val="auto"/>
              </w:rPr>
            </w:pPr>
          </w:p>
        </w:tc>
        <w:tc>
          <w:tcPr>
            <w:tcW w:w="2180" w:type="dxa"/>
            <w:vAlign w:val="bottom"/>
            <w:tcBorders>
              <w:bottom w:val="single" w:sz="8" w:color="auto"/>
              <w:right w:val="single" w:sz="8" w:color="auto"/>
            </w:tcBorders>
          </w:tcPr>
          <w:p>
            <w:pPr>
              <w:spacing w:after="0"/>
              <w:rPr>
                <w:sz w:val="19"/>
                <w:szCs w:val="19"/>
                <w:color w:val="auto"/>
              </w:rPr>
            </w:pPr>
          </w:p>
        </w:tc>
        <w:tc>
          <w:tcPr>
            <w:tcW w:w="2160" w:type="dxa"/>
            <w:vAlign w:val="bottom"/>
            <w:tcBorders>
              <w:bottom w:val="single" w:sz="8" w:color="auto"/>
              <w:right w:val="single" w:sz="8" w:color="auto"/>
            </w:tcBorders>
          </w:tcPr>
          <w:p>
            <w:pPr>
              <w:spacing w:after="0"/>
              <w:rPr>
                <w:sz w:val="19"/>
                <w:szCs w:val="19"/>
                <w:color w:val="auto"/>
              </w:rPr>
            </w:pPr>
          </w:p>
        </w:tc>
      </w:tr>
      <w:tr>
        <w:trPr>
          <w:trHeight w:val="243"/>
        </w:trPr>
        <w:tc>
          <w:tcPr>
            <w:tcW w:w="3880" w:type="dxa"/>
            <w:vAlign w:val="bottom"/>
            <w:tcBorders>
              <w:left w:val="single" w:sz="8" w:color="auto"/>
              <w:right w:val="single" w:sz="8" w:color="auto"/>
            </w:tcBorders>
          </w:tcPr>
          <w:p>
            <w:pPr>
              <w:ind w:left="40"/>
              <w:spacing w:after="0"/>
              <w:rPr>
                <w:sz w:val="20"/>
                <w:szCs w:val="20"/>
                <w:color w:val="auto"/>
              </w:rPr>
            </w:pPr>
            <w:r>
              <w:rPr>
                <w:rFonts w:ascii="Arial" w:cs="Arial" w:eastAsia="Arial" w:hAnsi="Arial"/>
                <w:sz w:val="18"/>
                <w:szCs w:val="18"/>
                <w:color w:val="auto"/>
              </w:rPr>
              <w:t>JPMorgan Chase Bank, N.A.</w:t>
            </w:r>
          </w:p>
        </w:tc>
        <w:tc>
          <w:tcPr>
            <w:tcW w:w="218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6"/>
              </w:rPr>
              <w:t>[***]</w:t>
            </w:r>
          </w:p>
        </w:tc>
        <w:tc>
          <w:tcPr>
            <w:tcW w:w="218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6"/>
              </w:rPr>
              <w:t>[***]</w:t>
            </w:r>
          </w:p>
        </w:tc>
        <w:tc>
          <w:tcPr>
            <w:tcW w:w="2160" w:type="dxa"/>
            <w:vAlign w:val="bottom"/>
            <w:tcBorders>
              <w:right w:val="single" w:sz="8" w:color="auto"/>
            </w:tcBorders>
          </w:tcPr>
          <w:p>
            <w:pPr>
              <w:spacing w:after="0"/>
              <w:rPr>
                <w:sz w:val="21"/>
                <w:szCs w:val="21"/>
                <w:color w:val="auto"/>
              </w:rPr>
            </w:pPr>
          </w:p>
        </w:tc>
      </w:tr>
      <w:tr>
        <w:trPr>
          <w:trHeight w:val="27"/>
        </w:trPr>
        <w:tc>
          <w:tcPr>
            <w:tcW w:w="3880" w:type="dxa"/>
            <w:vAlign w:val="bottom"/>
            <w:tcBorders>
              <w:left w:val="single" w:sz="8" w:color="auto"/>
              <w:bottom w:val="single" w:sz="8" w:color="auto"/>
              <w:right w:val="single" w:sz="8" w:color="auto"/>
            </w:tcBorders>
          </w:tcPr>
          <w:p>
            <w:pPr>
              <w:spacing w:after="0"/>
              <w:rPr>
                <w:sz w:val="2"/>
                <w:szCs w:val="2"/>
                <w:color w:val="auto"/>
              </w:rPr>
            </w:pPr>
          </w:p>
        </w:tc>
        <w:tc>
          <w:tcPr>
            <w:tcW w:w="2180" w:type="dxa"/>
            <w:vAlign w:val="bottom"/>
            <w:tcBorders>
              <w:bottom w:val="single" w:sz="8" w:color="auto"/>
              <w:right w:val="single" w:sz="8" w:color="auto"/>
            </w:tcBorders>
          </w:tcPr>
          <w:p>
            <w:pPr>
              <w:spacing w:after="0"/>
              <w:rPr>
                <w:sz w:val="2"/>
                <w:szCs w:val="2"/>
                <w:color w:val="auto"/>
              </w:rPr>
            </w:pPr>
          </w:p>
        </w:tc>
        <w:tc>
          <w:tcPr>
            <w:tcW w:w="2180" w:type="dxa"/>
            <w:vAlign w:val="bottom"/>
            <w:tcBorders>
              <w:bottom w:val="single" w:sz="8" w:color="auto"/>
              <w:right w:val="single" w:sz="8" w:color="auto"/>
            </w:tcBorders>
          </w:tcPr>
          <w:p>
            <w:pPr>
              <w:spacing w:after="0"/>
              <w:rPr>
                <w:sz w:val="2"/>
                <w:szCs w:val="2"/>
                <w:color w:val="auto"/>
              </w:rPr>
            </w:pPr>
          </w:p>
        </w:tc>
        <w:tc>
          <w:tcPr>
            <w:tcW w:w="2160" w:type="dxa"/>
            <w:vAlign w:val="bottom"/>
            <w:tcBorders>
              <w:bottom w:val="single" w:sz="8" w:color="auto"/>
              <w:right w:val="single" w:sz="8" w:color="auto"/>
            </w:tcBorders>
          </w:tcPr>
          <w:p>
            <w:pPr>
              <w:spacing w:after="0"/>
              <w:rPr>
                <w:sz w:val="2"/>
                <w:szCs w:val="2"/>
                <w:color w:val="auto"/>
              </w:rPr>
            </w:pPr>
          </w:p>
        </w:tc>
      </w:tr>
      <w:tr>
        <w:trPr>
          <w:trHeight w:val="237"/>
        </w:trPr>
        <w:tc>
          <w:tcPr>
            <w:tcW w:w="3880" w:type="dxa"/>
            <w:vAlign w:val="bottom"/>
            <w:tcBorders>
              <w:left w:val="single" w:sz="8" w:color="auto"/>
              <w:right w:val="single" w:sz="8" w:color="auto"/>
            </w:tcBorders>
          </w:tcPr>
          <w:p>
            <w:pPr>
              <w:ind w:left="40"/>
              <w:spacing w:after="0"/>
              <w:rPr>
                <w:sz w:val="20"/>
                <w:szCs w:val="20"/>
                <w:color w:val="auto"/>
              </w:rPr>
            </w:pPr>
            <w:r>
              <w:rPr>
                <w:rFonts w:ascii="Arial" w:cs="Arial" w:eastAsia="Arial" w:hAnsi="Arial"/>
                <w:sz w:val="18"/>
                <w:szCs w:val="18"/>
                <w:color w:val="auto"/>
              </w:rPr>
              <w:t>Morgan Stanley Bank, N.A.</w:t>
            </w:r>
          </w:p>
        </w:tc>
        <w:tc>
          <w:tcPr>
            <w:tcW w:w="218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6"/>
              </w:rPr>
              <w:t>[***]</w:t>
            </w:r>
          </w:p>
        </w:tc>
        <w:tc>
          <w:tcPr>
            <w:tcW w:w="218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6"/>
              </w:rPr>
              <w:t>[***]</w:t>
            </w:r>
          </w:p>
        </w:tc>
        <w:tc>
          <w:tcPr>
            <w:tcW w:w="2160" w:type="dxa"/>
            <w:vAlign w:val="bottom"/>
            <w:tcBorders>
              <w:right w:val="single" w:sz="8" w:color="auto"/>
            </w:tcBorders>
          </w:tcPr>
          <w:p>
            <w:pPr>
              <w:spacing w:after="0"/>
              <w:rPr>
                <w:sz w:val="20"/>
                <w:szCs w:val="20"/>
                <w:color w:val="auto"/>
              </w:rPr>
            </w:pPr>
          </w:p>
        </w:tc>
      </w:tr>
      <w:tr>
        <w:trPr>
          <w:trHeight w:val="27"/>
        </w:trPr>
        <w:tc>
          <w:tcPr>
            <w:tcW w:w="3880" w:type="dxa"/>
            <w:vAlign w:val="bottom"/>
            <w:tcBorders>
              <w:left w:val="single" w:sz="8" w:color="auto"/>
              <w:bottom w:val="single" w:sz="8" w:color="auto"/>
              <w:right w:val="single" w:sz="8" w:color="auto"/>
            </w:tcBorders>
          </w:tcPr>
          <w:p>
            <w:pPr>
              <w:spacing w:after="0"/>
              <w:rPr>
                <w:sz w:val="2"/>
                <w:szCs w:val="2"/>
                <w:color w:val="auto"/>
              </w:rPr>
            </w:pPr>
          </w:p>
        </w:tc>
        <w:tc>
          <w:tcPr>
            <w:tcW w:w="2180" w:type="dxa"/>
            <w:vAlign w:val="bottom"/>
            <w:tcBorders>
              <w:bottom w:val="single" w:sz="8" w:color="auto"/>
              <w:right w:val="single" w:sz="8" w:color="auto"/>
            </w:tcBorders>
          </w:tcPr>
          <w:p>
            <w:pPr>
              <w:spacing w:after="0"/>
              <w:rPr>
                <w:sz w:val="2"/>
                <w:szCs w:val="2"/>
                <w:color w:val="auto"/>
              </w:rPr>
            </w:pPr>
          </w:p>
        </w:tc>
        <w:tc>
          <w:tcPr>
            <w:tcW w:w="2180" w:type="dxa"/>
            <w:vAlign w:val="bottom"/>
            <w:tcBorders>
              <w:bottom w:val="single" w:sz="8" w:color="auto"/>
              <w:right w:val="single" w:sz="8" w:color="auto"/>
            </w:tcBorders>
          </w:tcPr>
          <w:p>
            <w:pPr>
              <w:spacing w:after="0"/>
              <w:rPr>
                <w:sz w:val="2"/>
                <w:szCs w:val="2"/>
                <w:color w:val="auto"/>
              </w:rPr>
            </w:pPr>
          </w:p>
        </w:tc>
        <w:tc>
          <w:tcPr>
            <w:tcW w:w="2160" w:type="dxa"/>
            <w:vAlign w:val="bottom"/>
            <w:tcBorders>
              <w:bottom w:val="single" w:sz="8" w:color="auto"/>
              <w:right w:val="single" w:sz="8" w:color="auto"/>
            </w:tcBorders>
          </w:tcPr>
          <w:p>
            <w:pPr>
              <w:spacing w:after="0"/>
              <w:rPr>
                <w:sz w:val="2"/>
                <w:szCs w:val="2"/>
                <w:color w:val="auto"/>
              </w:rPr>
            </w:pPr>
          </w:p>
        </w:tc>
      </w:tr>
      <w:tr>
        <w:trPr>
          <w:trHeight w:val="237"/>
        </w:trPr>
        <w:tc>
          <w:tcPr>
            <w:tcW w:w="3880" w:type="dxa"/>
            <w:vAlign w:val="bottom"/>
            <w:tcBorders>
              <w:left w:val="single" w:sz="8" w:color="auto"/>
              <w:right w:val="single" w:sz="8" w:color="auto"/>
            </w:tcBorders>
          </w:tcPr>
          <w:p>
            <w:pPr>
              <w:ind w:left="40"/>
              <w:spacing w:after="0"/>
              <w:rPr>
                <w:sz w:val="20"/>
                <w:szCs w:val="20"/>
                <w:color w:val="auto"/>
              </w:rPr>
            </w:pPr>
            <w:r>
              <w:rPr>
                <w:rFonts w:ascii="Arial" w:cs="Arial" w:eastAsia="Arial" w:hAnsi="Arial"/>
                <w:sz w:val="18"/>
                <w:szCs w:val="18"/>
                <w:color w:val="auto"/>
              </w:rPr>
              <w:t>Morgan Stanley Senior Funding, Inc.</w:t>
            </w:r>
          </w:p>
        </w:tc>
        <w:tc>
          <w:tcPr>
            <w:tcW w:w="218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6"/>
              </w:rPr>
              <w:t>[***]</w:t>
            </w:r>
          </w:p>
        </w:tc>
        <w:tc>
          <w:tcPr>
            <w:tcW w:w="218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6"/>
              </w:rPr>
              <w:t>[***]</w:t>
            </w:r>
          </w:p>
        </w:tc>
        <w:tc>
          <w:tcPr>
            <w:tcW w:w="2160" w:type="dxa"/>
            <w:vAlign w:val="bottom"/>
            <w:tcBorders>
              <w:right w:val="single" w:sz="8" w:color="auto"/>
            </w:tcBorders>
          </w:tcPr>
          <w:p>
            <w:pPr>
              <w:spacing w:after="0"/>
              <w:rPr>
                <w:sz w:val="20"/>
                <w:szCs w:val="20"/>
                <w:color w:val="auto"/>
              </w:rPr>
            </w:pPr>
          </w:p>
        </w:tc>
      </w:tr>
      <w:tr>
        <w:trPr>
          <w:trHeight w:val="27"/>
        </w:trPr>
        <w:tc>
          <w:tcPr>
            <w:tcW w:w="3880" w:type="dxa"/>
            <w:vAlign w:val="bottom"/>
            <w:tcBorders>
              <w:left w:val="single" w:sz="8" w:color="auto"/>
              <w:bottom w:val="single" w:sz="8" w:color="auto"/>
              <w:right w:val="single" w:sz="8" w:color="auto"/>
            </w:tcBorders>
          </w:tcPr>
          <w:p>
            <w:pPr>
              <w:spacing w:after="0"/>
              <w:rPr>
                <w:sz w:val="2"/>
                <w:szCs w:val="2"/>
                <w:color w:val="auto"/>
              </w:rPr>
            </w:pPr>
          </w:p>
        </w:tc>
        <w:tc>
          <w:tcPr>
            <w:tcW w:w="2180" w:type="dxa"/>
            <w:vAlign w:val="bottom"/>
            <w:tcBorders>
              <w:bottom w:val="single" w:sz="8" w:color="auto"/>
              <w:right w:val="single" w:sz="8" w:color="auto"/>
            </w:tcBorders>
          </w:tcPr>
          <w:p>
            <w:pPr>
              <w:spacing w:after="0"/>
              <w:rPr>
                <w:sz w:val="2"/>
                <w:szCs w:val="2"/>
                <w:color w:val="auto"/>
              </w:rPr>
            </w:pPr>
          </w:p>
        </w:tc>
        <w:tc>
          <w:tcPr>
            <w:tcW w:w="2180" w:type="dxa"/>
            <w:vAlign w:val="bottom"/>
            <w:tcBorders>
              <w:bottom w:val="single" w:sz="8" w:color="auto"/>
              <w:right w:val="single" w:sz="8" w:color="auto"/>
            </w:tcBorders>
          </w:tcPr>
          <w:p>
            <w:pPr>
              <w:spacing w:after="0"/>
              <w:rPr>
                <w:sz w:val="2"/>
                <w:szCs w:val="2"/>
                <w:color w:val="auto"/>
              </w:rPr>
            </w:pPr>
          </w:p>
        </w:tc>
        <w:tc>
          <w:tcPr>
            <w:tcW w:w="2160" w:type="dxa"/>
            <w:vAlign w:val="bottom"/>
            <w:tcBorders>
              <w:bottom w:val="single" w:sz="8" w:color="auto"/>
              <w:right w:val="single" w:sz="8" w:color="auto"/>
            </w:tcBorders>
          </w:tcPr>
          <w:p>
            <w:pPr>
              <w:spacing w:after="0"/>
              <w:rPr>
                <w:sz w:val="2"/>
                <w:szCs w:val="2"/>
                <w:color w:val="auto"/>
              </w:rPr>
            </w:pPr>
          </w:p>
        </w:tc>
      </w:tr>
      <w:tr>
        <w:trPr>
          <w:trHeight w:val="237"/>
        </w:trPr>
        <w:tc>
          <w:tcPr>
            <w:tcW w:w="3880" w:type="dxa"/>
            <w:vAlign w:val="bottom"/>
            <w:tcBorders>
              <w:left w:val="single" w:sz="8" w:color="auto"/>
              <w:right w:val="single" w:sz="8" w:color="auto"/>
            </w:tcBorders>
          </w:tcPr>
          <w:p>
            <w:pPr>
              <w:ind w:left="40"/>
              <w:spacing w:after="0"/>
              <w:rPr>
                <w:sz w:val="20"/>
                <w:szCs w:val="20"/>
                <w:color w:val="auto"/>
              </w:rPr>
            </w:pPr>
            <w:r>
              <w:rPr>
                <w:rFonts w:ascii="Arial" w:cs="Arial" w:eastAsia="Arial" w:hAnsi="Arial"/>
                <w:sz w:val="18"/>
                <w:szCs w:val="18"/>
                <w:color w:val="auto"/>
              </w:rPr>
              <w:t>Sumitomo Mitsui Banking Corporation</w:t>
            </w:r>
          </w:p>
        </w:tc>
        <w:tc>
          <w:tcPr>
            <w:tcW w:w="218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6"/>
              </w:rPr>
              <w:t>[***]</w:t>
            </w:r>
          </w:p>
        </w:tc>
        <w:tc>
          <w:tcPr>
            <w:tcW w:w="218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6"/>
              </w:rPr>
              <w:t>[***]</w:t>
            </w:r>
          </w:p>
        </w:tc>
        <w:tc>
          <w:tcPr>
            <w:tcW w:w="2160" w:type="dxa"/>
            <w:vAlign w:val="bottom"/>
            <w:tcBorders>
              <w:right w:val="single" w:sz="8" w:color="auto"/>
            </w:tcBorders>
          </w:tcPr>
          <w:p>
            <w:pPr>
              <w:spacing w:after="0"/>
              <w:rPr>
                <w:sz w:val="20"/>
                <w:szCs w:val="20"/>
                <w:color w:val="auto"/>
              </w:rPr>
            </w:pPr>
          </w:p>
        </w:tc>
      </w:tr>
      <w:tr>
        <w:trPr>
          <w:trHeight w:val="27"/>
        </w:trPr>
        <w:tc>
          <w:tcPr>
            <w:tcW w:w="3880" w:type="dxa"/>
            <w:vAlign w:val="bottom"/>
            <w:tcBorders>
              <w:left w:val="single" w:sz="8" w:color="auto"/>
              <w:bottom w:val="single" w:sz="8" w:color="auto"/>
              <w:right w:val="single" w:sz="8" w:color="auto"/>
            </w:tcBorders>
          </w:tcPr>
          <w:p>
            <w:pPr>
              <w:spacing w:after="0"/>
              <w:rPr>
                <w:sz w:val="2"/>
                <w:szCs w:val="2"/>
                <w:color w:val="auto"/>
              </w:rPr>
            </w:pPr>
          </w:p>
        </w:tc>
        <w:tc>
          <w:tcPr>
            <w:tcW w:w="2180" w:type="dxa"/>
            <w:vAlign w:val="bottom"/>
            <w:tcBorders>
              <w:bottom w:val="single" w:sz="8" w:color="auto"/>
              <w:right w:val="single" w:sz="8" w:color="auto"/>
            </w:tcBorders>
          </w:tcPr>
          <w:p>
            <w:pPr>
              <w:spacing w:after="0"/>
              <w:rPr>
                <w:sz w:val="2"/>
                <w:szCs w:val="2"/>
                <w:color w:val="auto"/>
              </w:rPr>
            </w:pPr>
          </w:p>
        </w:tc>
        <w:tc>
          <w:tcPr>
            <w:tcW w:w="2180" w:type="dxa"/>
            <w:vAlign w:val="bottom"/>
            <w:tcBorders>
              <w:bottom w:val="single" w:sz="8" w:color="auto"/>
              <w:right w:val="single" w:sz="8" w:color="auto"/>
            </w:tcBorders>
          </w:tcPr>
          <w:p>
            <w:pPr>
              <w:spacing w:after="0"/>
              <w:rPr>
                <w:sz w:val="2"/>
                <w:szCs w:val="2"/>
                <w:color w:val="auto"/>
              </w:rPr>
            </w:pPr>
          </w:p>
        </w:tc>
        <w:tc>
          <w:tcPr>
            <w:tcW w:w="2160" w:type="dxa"/>
            <w:vAlign w:val="bottom"/>
            <w:tcBorders>
              <w:bottom w:val="single" w:sz="8" w:color="auto"/>
              <w:right w:val="single" w:sz="8" w:color="auto"/>
            </w:tcBorders>
          </w:tcPr>
          <w:p>
            <w:pPr>
              <w:spacing w:after="0"/>
              <w:rPr>
                <w:sz w:val="2"/>
                <w:szCs w:val="2"/>
                <w:color w:val="auto"/>
              </w:rPr>
            </w:pPr>
          </w:p>
        </w:tc>
      </w:tr>
      <w:tr>
        <w:trPr>
          <w:trHeight w:val="237"/>
        </w:trPr>
        <w:tc>
          <w:tcPr>
            <w:tcW w:w="3880" w:type="dxa"/>
            <w:vAlign w:val="bottom"/>
            <w:tcBorders>
              <w:left w:val="single" w:sz="8" w:color="auto"/>
              <w:right w:val="single" w:sz="8" w:color="auto"/>
            </w:tcBorders>
          </w:tcPr>
          <w:p>
            <w:pPr>
              <w:ind w:left="40"/>
              <w:spacing w:after="0"/>
              <w:rPr>
                <w:sz w:val="20"/>
                <w:szCs w:val="20"/>
                <w:color w:val="auto"/>
              </w:rPr>
            </w:pPr>
            <w:r>
              <w:rPr>
                <w:rFonts w:ascii="Arial" w:cs="Arial" w:eastAsia="Arial" w:hAnsi="Arial"/>
                <w:sz w:val="18"/>
                <w:szCs w:val="18"/>
                <w:color w:val="auto"/>
              </w:rPr>
              <w:t>BNP Paribas</w:t>
            </w:r>
          </w:p>
        </w:tc>
        <w:tc>
          <w:tcPr>
            <w:tcW w:w="218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6"/>
              </w:rPr>
              <w:t>[***]</w:t>
            </w:r>
          </w:p>
        </w:tc>
        <w:tc>
          <w:tcPr>
            <w:tcW w:w="218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6"/>
              </w:rPr>
              <w:t>[***]</w:t>
            </w:r>
          </w:p>
        </w:tc>
        <w:tc>
          <w:tcPr>
            <w:tcW w:w="2160" w:type="dxa"/>
            <w:vAlign w:val="bottom"/>
            <w:tcBorders>
              <w:right w:val="single" w:sz="8" w:color="auto"/>
            </w:tcBorders>
          </w:tcPr>
          <w:p>
            <w:pPr>
              <w:spacing w:after="0"/>
              <w:rPr>
                <w:sz w:val="20"/>
                <w:szCs w:val="20"/>
                <w:color w:val="auto"/>
              </w:rPr>
            </w:pPr>
          </w:p>
        </w:tc>
      </w:tr>
      <w:tr>
        <w:trPr>
          <w:trHeight w:val="27"/>
        </w:trPr>
        <w:tc>
          <w:tcPr>
            <w:tcW w:w="3880" w:type="dxa"/>
            <w:vAlign w:val="bottom"/>
            <w:tcBorders>
              <w:left w:val="single" w:sz="8" w:color="auto"/>
              <w:bottom w:val="single" w:sz="8" w:color="auto"/>
              <w:right w:val="single" w:sz="8" w:color="auto"/>
            </w:tcBorders>
          </w:tcPr>
          <w:p>
            <w:pPr>
              <w:spacing w:after="0"/>
              <w:rPr>
                <w:sz w:val="2"/>
                <w:szCs w:val="2"/>
                <w:color w:val="auto"/>
              </w:rPr>
            </w:pPr>
          </w:p>
        </w:tc>
        <w:tc>
          <w:tcPr>
            <w:tcW w:w="2180" w:type="dxa"/>
            <w:vAlign w:val="bottom"/>
            <w:tcBorders>
              <w:bottom w:val="single" w:sz="8" w:color="auto"/>
              <w:right w:val="single" w:sz="8" w:color="auto"/>
            </w:tcBorders>
          </w:tcPr>
          <w:p>
            <w:pPr>
              <w:spacing w:after="0"/>
              <w:rPr>
                <w:sz w:val="2"/>
                <w:szCs w:val="2"/>
                <w:color w:val="auto"/>
              </w:rPr>
            </w:pPr>
          </w:p>
        </w:tc>
        <w:tc>
          <w:tcPr>
            <w:tcW w:w="2180" w:type="dxa"/>
            <w:vAlign w:val="bottom"/>
            <w:tcBorders>
              <w:bottom w:val="single" w:sz="8" w:color="auto"/>
              <w:right w:val="single" w:sz="8" w:color="auto"/>
            </w:tcBorders>
          </w:tcPr>
          <w:p>
            <w:pPr>
              <w:spacing w:after="0"/>
              <w:rPr>
                <w:sz w:val="2"/>
                <w:szCs w:val="2"/>
                <w:color w:val="auto"/>
              </w:rPr>
            </w:pPr>
          </w:p>
        </w:tc>
        <w:tc>
          <w:tcPr>
            <w:tcW w:w="2160" w:type="dxa"/>
            <w:vAlign w:val="bottom"/>
            <w:tcBorders>
              <w:bottom w:val="single" w:sz="8" w:color="auto"/>
              <w:right w:val="single" w:sz="8" w:color="auto"/>
            </w:tcBorders>
          </w:tcPr>
          <w:p>
            <w:pPr>
              <w:spacing w:after="0"/>
              <w:rPr>
                <w:sz w:val="2"/>
                <w:szCs w:val="2"/>
                <w:color w:val="auto"/>
              </w:rPr>
            </w:pPr>
          </w:p>
        </w:tc>
      </w:tr>
      <w:tr>
        <w:trPr>
          <w:trHeight w:val="237"/>
        </w:trPr>
        <w:tc>
          <w:tcPr>
            <w:tcW w:w="3880" w:type="dxa"/>
            <w:vAlign w:val="bottom"/>
            <w:tcBorders>
              <w:left w:val="single" w:sz="8" w:color="auto"/>
              <w:right w:val="single" w:sz="8" w:color="auto"/>
            </w:tcBorders>
          </w:tcPr>
          <w:p>
            <w:pPr>
              <w:ind w:left="40"/>
              <w:spacing w:after="0"/>
              <w:rPr>
                <w:sz w:val="20"/>
                <w:szCs w:val="20"/>
                <w:color w:val="auto"/>
              </w:rPr>
            </w:pPr>
            <w:r>
              <w:rPr>
                <w:rFonts w:ascii="Arial" w:cs="Arial" w:eastAsia="Arial" w:hAnsi="Arial"/>
                <w:sz w:val="18"/>
                <w:szCs w:val="18"/>
                <w:color w:val="auto"/>
              </w:rPr>
              <w:t>Credit Agricole Corporate and Investment Bank</w:t>
            </w:r>
          </w:p>
        </w:tc>
        <w:tc>
          <w:tcPr>
            <w:tcW w:w="218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6"/>
              </w:rPr>
              <w:t>[***]</w:t>
            </w:r>
          </w:p>
        </w:tc>
        <w:tc>
          <w:tcPr>
            <w:tcW w:w="218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6"/>
              </w:rPr>
              <w:t>[***]</w:t>
            </w:r>
          </w:p>
        </w:tc>
        <w:tc>
          <w:tcPr>
            <w:tcW w:w="2160" w:type="dxa"/>
            <w:vAlign w:val="bottom"/>
            <w:tcBorders>
              <w:right w:val="single" w:sz="8" w:color="auto"/>
            </w:tcBorders>
          </w:tcPr>
          <w:p>
            <w:pPr>
              <w:spacing w:after="0"/>
              <w:rPr>
                <w:sz w:val="20"/>
                <w:szCs w:val="20"/>
                <w:color w:val="auto"/>
              </w:rPr>
            </w:pPr>
          </w:p>
        </w:tc>
      </w:tr>
      <w:tr>
        <w:trPr>
          <w:trHeight w:val="27"/>
        </w:trPr>
        <w:tc>
          <w:tcPr>
            <w:tcW w:w="3880" w:type="dxa"/>
            <w:vAlign w:val="bottom"/>
            <w:tcBorders>
              <w:left w:val="single" w:sz="8" w:color="auto"/>
              <w:bottom w:val="single" w:sz="8" w:color="auto"/>
              <w:right w:val="single" w:sz="8" w:color="auto"/>
            </w:tcBorders>
          </w:tcPr>
          <w:p>
            <w:pPr>
              <w:spacing w:after="0"/>
              <w:rPr>
                <w:sz w:val="2"/>
                <w:szCs w:val="2"/>
                <w:color w:val="auto"/>
              </w:rPr>
            </w:pPr>
          </w:p>
        </w:tc>
        <w:tc>
          <w:tcPr>
            <w:tcW w:w="2180" w:type="dxa"/>
            <w:vAlign w:val="bottom"/>
            <w:tcBorders>
              <w:bottom w:val="single" w:sz="8" w:color="auto"/>
              <w:right w:val="single" w:sz="8" w:color="auto"/>
            </w:tcBorders>
          </w:tcPr>
          <w:p>
            <w:pPr>
              <w:spacing w:after="0"/>
              <w:rPr>
                <w:sz w:val="2"/>
                <w:szCs w:val="2"/>
                <w:color w:val="auto"/>
              </w:rPr>
            </w:pPr>
          </w:p>
        </w:tc>
        <w:tc>
          <w:tcPr>
            <w:tcW w:w="2180" w:type="dxa"/>
            <w:vAlign w:val="bottom"/>
            <w:tcBorders>
              <w:bottom w:val="single" w:sz="8" w:color="auto"/>
              <w:right w:val="single" w:sz="8" w:color="auto"/>
            </w:tcBorders>
          </w:tcPr>
          <w:p>
            <w:pPr>
              <w:spacing w:after="0"/>
              <w:rPr>
                <w:sz w:val="2"/>
                <w:szCs w:val="2"/>
                <w:color w:val="auto"/>
              </w:rPr>
            </w:pPr>
          </w:p>
        </w:tc>
        <w:tc>
          <w:tcPr>
            <w:tcW w:w="2160" w:type="dxa"/>
            <w:vAlign w:val="bottom"/>
            <w:tcBorders>
              <w:bottom w:val="single" w:sz="8" w:color="auto"/>
              <w:right w:val="single" w:sz="8" w:color="auto"/>
            </w:tcBorders>
          </w:tcPr>
          <w:p>
            <w:pPr>
              <w:spacing w:after="0"/>
              <w:rPr>
                <w:sz w:val="2"/>
                <w:szCs w:val="2"/>
                <w:color w:val="auto"/>
              </w:rPr>
            </w:pPr>
          </w:p>
        </w:tc>
      </w:tr>
      <w:tr>
        <w:trPr>
          <w:trHeight w:val="237"/>
        </w:trPr>
        <w:tc>
          <w:tcPr>
            <w:tcW w:w="3880" w:type="dxa"/>
            <w:vAlign w:val="bottom"/>
            <w:tcBorders>
              <w:left w:val="single" w:sz="8" w:color="auto"/>
              <w:right w:val="single" w:sz="8" w:color="auto"/>
            </w:tcBorders>
          </w:tcPr>
          <w:p>
            <w:pPr>
              <w:ind w:left="40"/>
              <w:spacing w:after="0"/>
              <w:rPr>
                <w:sz w:val="20"/>
                <w:szCs w:val="20"/>
                <w:color w:val="auto"/>
              </w:rPr>
            </w:pPr>
            <w:r>
              <w:rPr>
                <w:rFonts w:ascii="Arial" w:cs="Arial" w:eastAsia="Arial" w:hAnsi="Arial"/>
                <w:sz w:val="18"/>
                <w:szCs w:val="18"/>
                <w:color w:val="auto"/>
              </w:rPr>
              <w:t>HSBC Bank USA, N.A.</w:t>
            </w:r>
          </w:p>
        </w:tc>
        <w:tc>
          <w:tcPr>
            <w:tcW w:w="218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6"/>
              </w:rPr>
              <w:t>[***]</w:t>
            </w:r>
          </w:p>
        </w:tc>
        <w:tc>
          <w:tcPr>
            <w:tcW w:w="218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6"/>
              </w:rPr>
              <w:t>[***]</w:t>
            </w:r>
          </w:p>
        </w:tc>
        <w:tc>
          <w:tcPr>
            <w:tcW w:w="2160" w:type="dxa"/>
            <w:vAlign w:val="bottom"/>
            <w:tcBorders>
              <w:right w:val="single" w:sz="8" w:color="auto"/>
            </w:tcBorders>
          </w:tcPr>
          <w:p>
            <w:pPr>
              <w:spacing w:after="0"/>
              <w:rPr>
                <w:sz w:val="20"/>
                <w:szCs w:val="20"/>
                <w:color w:val="auto"/>
              </w:rPr>
            </w:pPr>
          </w:p>
        </w:tc>
      </w:tr>
      <w:tr>
        <w:trPr>
          <w:trHeight w:val="27"/>
        </w:trPr>
        <w:tc>
          <w:tcPr>
            <w:tcW w:w="3880" w:type="dxa"/>
            <w:vAlign w:val="bottom"/>
            <w:tcBorders>
              <w:left w:val="single" w:sz="8" w:color="auto"/>
              <w:bottom w:val="single" w:sz="8" w:color="auto"/>
              <w:right w:val="single" w:sz="8" w:color="auto"/>
            </w:tcBorders>
          </w:tcPr>
          <w:p>
            <w:pPr>
              <w:spacing w:after="0"/>
              <w:rPr>
                <w:sz w:val="2"/>
                <w:szCs w:val="2"/>
                <w:color w:val="auto"/>
              </w:rPr>
            </w:pPr>
          </w:p>
        </w:tc>
        <w:tc>
          <w:tcPr>
            <w:tcW w:w="2180" w:type="dxa"/>
            <w:vAlign w:val="bottom"/>
            <w:tcBorders>
              <w:bottom w:val="single" w:sz="8" w:color="auto"/>
              <w:right w:val="single" w:sz="8" w:color="auto"/>
            </w:tcBorders>
          </w:tcPr>
          <w:p>
            <w:pPr>
              <w:spacing w:after="0"/>
              <w:rPr>
                <w:sz w:val="2"/>
                <w:szCs w:val="2"/>
                <w:color w:val="auto"/>
              </w:rPr>
            </w:pPr>
          </w:p>
        </w:tc>
        <w:tc>
          <w:tcPr>
            <w:tcW w:w="2180" w:type="dxa"/>
            <w:vAlign w:val="bottom"/>
            <w:tcBorders>
              <w:bottom w:val="single" w:sz="8" w:color="auto"/>
              <w:right w:val="single" w:sz="8" w:color="auto"/>
            </w:tcBorders>
          </w:tcPr>
          <w:p>
            <w:pPr>
              <w:spacing w:after="0"/>
              <w:rPr>
                <w:sz w:val="2"/>
                <w:szCs w:val="2"/>
                <w:color w:val="auto"/>
              </w:rPr>
            </w:pPr>
          </w:p>
        </w:tc>
        <w:tc>
          <w:tcPr>
            <w:tcW w:w="2160" w:type="dxa"/>
            <w:vAlign w:val="bottom"/>
            <w:tcBorders>
              <w:bottom w:val="single" w:sz="8" w:color="auto"/>
              <w:right w:val="single" w:sz="8" w:color="auto"/>
            </w:tcBorders>
          </w:tcPr>
          <w:p>
            <w:pPr>
              <w:spacing w:after="0"/>
              <w:rPr>
                <w:sz w:val="2"/>
                <w:szCs w:val="2"/>
                <w:color w:val="auto"/>
              </w:rPr>
            </w:pPr>
          </w:p>
        </w:tc>
      </w:tr>
      <w:tr>
        <w:trPr>
          <w:trHeight w:val="237"/>
        </w:trPr>
        <w:tc>
          <w:tcPr>
            <w:tcW w:w="3880" w:type="dxa"/>
            <w:vAlign w:val="bottom"/>
            <w:tcBorders>
              <w:left w:val="single" w:sz="8" w:color="auto"/>
              <w:right w:val="single" w:sz="8" w:color="auto"/>
            </w:tcBorders>
          </w:tcPr>
          <w:p>
            <w:pPr>
              <w:ind w:left="40"/>
              <w:spacing w:after="0"/>
              <w:rPr>
                <w:sz w:val="20"/>
                <w:szCs w:val="20"/>
                <w:color w:val="auto"/>
              </w:rPr>
            </w:pPr>
            <w:r>
              <w:rPr>
                <w:rFonts w:ascii="Arial" w:cs="Arial" w:eastAsia="Arial" w:hAnsi="Arial"/>
                <w:sz w:val="18"/>
                <w:szCs w:val="18"/>
                <w:color w:val="auto"/>
              </w:rPr>
              <w:t>MUFG Union Bank, N.A.</w:t>
            </w:r>
          </w:p>
        </w:tc>
        <w:tc>
          <w:tcPr>
            <w:tcW w:w="218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6"/>
              </w:rPr>
              <w:t>[***]</w:t>
            </w:r>
          </w:p>
        </w:tc>
        <w:tc>
          <w:tcPr>
            <w:tcW w:w="218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6"/>
              </w:rPr>
              <w:t>[***]</w:t>
            </w:r>
          </w:p>
        </w:tc>
        <w:tc>
          <w:tcPr>
            <w:tcW w:w="2160" w:type="dxa"/>
            <w:vAlign w:val="bottom"/>
            <w:tcBorders>
              <w:right w:val="single" w:sz="8" w:color="auto"/>
            </w:tcBorders>
          </w:tcPr>
          <w:p>
            <w:pPr>
              <w:spacing w:after="0"/>
              <w:rPr>
                <w:sz w:val="20"/>
                <w:szCs w:val="20"/>
                <w:color w:val="auto"/>
              </w:rPr>
            </w:pPr>
          </w:p>
        </w:tc>
      </w:tr>
      <w:tr>
        <w:trPr>
          <w:trHeight w:val="27"/>
        </w:trPr>
        <w:tc>
          <w:tcPr>
            <w:tcW w:w="3880" w:type="dxa"/>
            <w:vAlign w:val="bottom"/>
            <w:tcBorders>
              <w:left w:val="single" w:sz="8" w:color="auto"/>
              <w:bottom w:val="single" w:sz="8" w:color="auto"/>
              <w:right w:val="single" w:sz="8" w:color="auto"/>
            </w:tcBorders>
          </w:tcPr>
          <w:p>
            <w:pPr>
              <w:spacing w:after="0"/>
              <w:rPr>
                <w:sz w:val="2"/>
                <w:szCs w:val="2"/>
                <w:color w:val="auto"/>
              </w:rPr>
            </w:pPr>
          </w:p>
        </w:tc>
        <w:tc>
          <w:tcPr>
            <w:tcW w:w="2180" w:type="dxa"/>
            <w:vAlign w:val="bottom"/>
            <w:tcBorders>
              <w:bottom w:val="single" w:sz="8" w:color="auto"/>
              <w:right w:val="single" w:sz="8" w:color="auto"/>
            </w:tcBorders>
          </w:tcPr>
          <w:p>
            <w:pPr>
              <w:spacing w:after="0"/>
              <w:rPr>
                <w:sz w:val="2"/>
                <w:szCs w:val="2"/>
                <w:color w:val="auto"/>
              </w:rPr>
            </w:pPr>
          </w:p>
        </w:tc>
        <w:tc>
          <w:tcPr>
            <w:tcW w:w="2180" w:type="dxa"/>
            <w:vAlign w:val="bottom"/>
            <w:tcBorders>
              <w:bottom w:val="single" w:sz="8" w:color="auto"/>
              <w:right w:val="single" w:sz="8" w:color="auto"/>
            </w:tcBorders>
          </w:tcPr>
          <w:p>
            <w:pPr>
              <w:spacing w:after="0"/>
              <w:rPr>
                <w:sz w:val="2"/>
                <w:szCs w:val="2"/>
                <w:color w:val="auto"/>
              </w:rPr>
            </w:pPr>
          </w:p>
        </w:tc>
        <w:tc>
          <w:tcPr>
            <w:tcW w:w="2160" w:type="dxa"/>
            <w:vAlign w:val="bottom"/>
            <w:tcBorders>
              <w:bottom w:val="single" w:sz="8" w:color="auto"/>
              <w:right w:val="single" w:sz="8" w:color="auto"/>
            </w:tcBorders>
          </w:tcPr>
          <w:p>
            <w:pPr>
              <w:spacing w:after="0"/>
              <w:rPr>
                <w:sz w:val="2"/>
                <w:szCs w:val="2"/>
                <w:color w:val="auto"/>
              </w:rPr>
            </w:pPr>
          </w:p>
        </w:tc>
      </w:tr>
      <w:tr>
        <w:trPr>
          <w:trHeight w:val="237"/>
        </w:trPr>
        <w:tc>
          <w:tcPr>
            <w:tcW w:w="3880" w:type="dxa"/>
            <w:vAlign w:val="bottom"/>
            <w:tcBorders>
              <w:left w:val="single" w:sz="8" w:color="auto"/>
              <w:right w:val="single" w:sz="8" w:color="auto"/>
            </w:tcBorders>
          </w:tcPr>
          <w:p>
            <w:pPr>
              <w:ind w:left="40"/>
              <w:spacing w:after="0"/>
              <w:rPr>
                <w:sz w:val="20"/>
                <w:szCs w:val="20"/>
                <w:color w:val="auto"/>
              </w:rPr>
            </w:pPr>
            <w:r>
              <w:rPr>
                <w:rFonts w:ascii="Arial" w:cs="Arial" w:eastAsia="Arial" w:hAnsi="Arial"/>
                <w:sz w:val="18"/>
                <w:szCs w:val="18"/>
                <w:color w:val="auto"/>
              </w:rPr>
              <w:t>Standard Chartered Bank</w:t>
            </w:r>
          </w:p>
        </w:tc>
        <w:tc>
          <w:tcPr>
            <w:tcW w:w="218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6"/>
              </w:rPr>
              <w:t>[***]</w:t>
            </w:r>
          </w:p>
        </w:tc>
        <w:tc>
          <w:tcPr>
            <w:tcW w:w="218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6"/>
              </w:rPr>
              <w:t>[***]</w:t>
            </w:r>
          </w:p>
        </w:tc>
        <w:tc>
          <w:tcPr>
            <w:tcW w:w="2160" w:type="dxa"/>
            <w:vAlign w:val="bottom"/>
            <w:tcBorders>
              <w:right w:val="single" w:sz="8" w:color="auto"/>
            </w:tcBorders>
          </w:tcPr>
          <w:p>
            <w:pPr>
              <w:spacing w:after="0"/>
              <w:rPr>
                <w:sz w:val="20"/>
                <w:szCs w:val="20"/>
                <w:color w:val="auto"/>
              </w:rPr>
            </w:pPr>
          </w:p>
        </w:tc>
      </w:tr>
      <w:tr>
        <w:trPr>
          <w:trHeight w:val="27"/>
        </w:trPr>
        <w:tc>
          <w:tcPr>
            <w:tcW w:w="3880" w:type="dxa"/>
            <w:vAlign w:val="bottom"/>
            <w:tcBorders>
              <w:left w:val="single" w:sz="8" w:color="auto"/>
              <w:bottom w:val="single" w:sz="8" w:color="auto"/>
              <w:right w:val="single" w:sz="8" w:color="auto"/>
            </w:tcBorders>
          </w:tcPr>
          <w:p>
            <w:pPr>
              <w:spacing w:after="0"/>
              <w:rPr>
                <w:sz w:val="2"/>
                <w:szCs w:val="2"/>
                <w:color w:val="auto"/>
              </w:rPr>
            </w:pPr>
          </w:p>
        </w:tc>
        <w:tc>
          <w:tcPr>
            <w:tcW w:w="2180" w:type="dxa"/>
            <w:vAlign w:val="bottom"/>
            <w:tcBorders>
              <w:bottom w:val="single" w:sz="8" w:color="auto"/>
              <w:right w:val="single" w:sz="8" w:color="auto"/>
            </w:tcBorders>
          </w:tcPr>
          <w:p>
            <w:pPr>
              <w:spacing w:after="0"/>
              <w:rPr>
                <w:sz w:val="2"/>
                <w:szCs w:val="2"/>
                <w:color w:val="auto"/>
              </w:rPr>
            </w:pPr>
          </w:p>
        </w:tc>
        <w:tc>
          <w:tcPr>
            <w:tcW w:w="2180" w:type="dxa"/>
            <w:vAlign w:val="bottom"/>
            <w:tcBorders>
              <w:bottom w:val="single" w:sz="8" w:color="auto"/>
              <w:right w:val="single" w:sz="8" w:color="auto"/>
            </w:tcBorders>
          </w:tcPr>
          <w:p>
            <w:pPr>
              <w:spacing w:after="0"/>
              <w:rPr>
                <w:sz w:val="2"/>
                <w:szCs w:val="2"/>
                <w:color w:val="auto"/>
              </w:rPr>
            </w:pPr>
          </w:p>
        </w:tc>
        <w:tc>
          <w:tcPr>
            <w:tcW w:w="2160" w:type="dxa"/>
            <w:vAlign w:val="bottom"/>
            <w:tcBorders>
              <w:bottom w:val="single" w:sz="8" w:color="auto"/>
              <w:right w:val="single" w:sz="8" w:color="auto"/>
            </w:tcBorders>
          </w:tcPr>
          <w:p>
            <w:pPr>
              <w:spacing w:after="0"/>
              <w:rPr>
                <w:sz w:val="2"/>
                <w:szCs w:val="2"/>
                <w:color w:val="auto"/>
              </w:rPr>
            </w:pPr>
          </w:p>
        </w:tc>
      </w:tr>
      <w:tr>
        <w:trPr>
          <w:trHeight w:val="237"/>
        </w:trPr>
        <w:tc>
          <w:tcPr>
            <w:tcW w:w="3880" w:type="dxa"/>
            <w:vAlign w:val="bottom"/>
            <w:tcBorders>
              <w:left w:val="single" w:sz="8" w:color="auto"/>
              <w:right w:val="single" w:sz="8" w:color="auto"/>
            </w:tcBorders>
          </w:tcPr>
          <w:p>
            <w:pPr>
              <w:ind w:left="40"/>
              <w:spacing w:after="0"/>
              <w:rPr>
                <w:sz w:val="20"/>
                <w:szCs w:val="20"/>
                <w:color w:val="auto"/>
              </w:rPr>
            </w:pPr>
            <w:r>
              <w:rPr>
                <w:rFonts w:ascii="Arial" w:cs="Arial" w:eastAsia="Arial" w:hAnsi="Arial"/>
                <w:sz w:val="18"/>
                <w:szCs w:val="18"/>
                <w:color w:val="auto"/>
              </w:rPr>
              <w:t>U.S. Bank National Association</w:t>
            </w:r>
          </w:p>
        </w:tc>
        <w:tc>
          <w:tcPr>
            <w:tcW w:w="218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6"/>
              </w:rPr>
              <w:t>[***]</w:t>
            </w:r>
          </w:p>
        </w:tc>
        <w:tc>
          <w:tcPr>
            <w:tcW w:w="218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6"/>
              </w:rPr>
              <w:t>[***]</w:t>
            </w:r>
          </w:p>
        </w:tc>
        <w:tc>
          <w:tcPr>
            <w:tcW w:w="2160" w:type="dxa"/>
            <w:vAlign w:val="bottom"/>
            <w:tcBorders>
              <w:right w:val="single" w:sz="8" w:color="auto"/>
            </w:tcBorders>
          </w:tcPr>
          <w:p>
            <w:pPr>
              <w:spacing w:after="0"/>
              <w:rPr>
                <w:sz w:val="20"/>
                <w:szCs w:val="20"/>
                <w:color w:val="auto"/>
              </w:rPr>
            </w:pPr>
          </w:p>
        </w:tc>
      </w:tr>
      <w:tr>
        <w:trPr>
          <w:trHeight w:val="27"/>
        </w:trPr>
        <w:tc>
          <w:tcPr>
            <w:tcW w:w="3880" w:type="dxa"/>
            <w:vAlign w:val="bottom"/>
            <w:tcBorders>
              <w:left w:val="single" w:sz="8" w:color="auto"/>
              <w:bottom w:val="single" w:sz="8" w:color="auto"/>
              <w:right w:val="single" w:sz="8" w:color="auto"/>
            </w:tcBorders>
          </w:tcPr>
          <w:p>
            <w:pPr>
              <w:spacing w:after="0"/>
              <w:rPr>
                <w:sz w:val="2"/>
                <w:szCs w:val="2"/>
                <w:color w:val="auto"/>
              </w:rPr>
            </w:pPr>
          </w:p>
        </w:tc>
        <w:tc>
          <w:tcPr>
            <w:tcW w:w="2180" w:type="dxa"/>
            <w:vAlign w:val="bottom"/>
            <w:tcBorders>
              <w:bottom w:val="single" w:sz="8" w:color="auto"/>
              <w:right w:val="single" w:sz="8" w:color="auto"/>
            </w:tcBorders>
          </w:tcPr>
          <w:p>
            <w:pPr>
              <w:spacing w:after="0"/>
              <w:rPr>
                <w:sz w:val="2"/>
                <w:szCs w:val="2"/>
                <w:color w:val="auto"/>
              </w:rPr>
            </w:pPr>
          </w:p>
        </w:tc>
        <w:tc>
          <w:tcPr>
            <w:tcW w:w="2180" w:type="dxa"/>
            <w:vAlign w:val="bottom"/>
            <w:tcBorders>
              <w:bottom w:val="single" w:sz="8" w:color="auto"/>
              <w:right w:val="single" w:sz="8" w:color="auto"/>
            </w:tcBorders>
          </w:tcPr>
          <w:p>
            <w:pPr>
              <w:spacing w:after="0"/>
              <w:rPr>
                <w:sz w:val="2"/>
                <w:szCs w:val="2"/>
                <w:color w:val="auto"/>
              </w:rPr>
            </w:pPr>
          </w:p>
        </w:tc>
        <w:tc>
          <w:tcPr>
            <w:tcW w:w="2160" w:type="dxa"/>
            <w:vAlign w:val="bottom"/>
            <w:tcBorders>
              <w:bottom w:val="single" w:sz="8" w:color="auto"/>
              <w:right w:val="single" w:sz="8" w:color="auto"/>
            </w:tcBorders>
          </w:tcPr>
          <w:p>
            <w:pPr>
              <w:spacing w:after="0"/>
              <w:rPr>
                <w:sz w:val="2"/>
                <w:szCs w:val="2"/>
                <w:color w:val="auto"/>
              </w:rPr>
            </w:pPr>
          </w:p>
        </w:tc>
      </w:tr>
      <w:tr>
        <w:trPr>
          <w:trHeight w:val="237"/>
        </w:trPr>
        <w:tc>
          <w:tcPr>
            <w:tcW w:w="3880" w:type="dxa"/>
            <w:vAlign w:val="bottom"/>
            <w:tcBorders>
              <w:left w:val="single" w:sz="8" w:color="auto"/>
              <w:right w:val="single" w:sz="8" w:color="auto"/>
            </w:tcBorders>
          </w:tcPr>
          <w:p>
            <w:pPr>
              <w:ind w:left="40"/>
              <w:spacing w:after="0"/>
              <w:rPr>
                <w:sz w:val="20"/>
                <w:szCs w:val="20"/>
                <w:color w:val="auto"/>
              </w:rPr>
            </w:pPr>
            <w:r>
              <w:rPr>
                <w:rFonts w:ascii="Arial" w:cs="Arial" w:eastAsia="Arial" w:hAnsi="Arial"/>
                <w:sz w:val="18"/>
                <w:szCs w:val="18"/>
                <w:color w:val="auto"/>
              </w:rPr>
              <w:t>BOKF, NA dba Bank of Texas</w:t>
            </w:r>
          </w:p>
        </w:tc>
        <w:tc>
          <w:tcPr>
            <w:tcW w:w="218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6"/>
              </w:rPr>
              <w:t>[***]</w:t>
            </w:r>
          </w:p>
        </w:tc>
        <w:tc>
          <w:tcPr>
            <w:tcW w:w="218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6"/>
              </w:rPr>
              <w:t>[***]</w:t>
            </w:r>
          </w:p>
        </w:tc>
        <w:tc>
          <w:tcPr>
            <w:tcW w:w="2160" w:type="dxa"/>
            <w:vAlign w:val="bottom"/>
            <w:tcBorders>
              <w:right w:val="single" w:sz="8" w:color="auto"/>
            </w:tcBorders>
          </w:tcPr>
          <w:p>
            <w:pPr>
              <w:spacing w:after="0"/>
              <w:rPr>
                <w:sz w:val="20"/>
                <w:szCs w:val="20"/>
                <w:color w:val="auto"/>
              </w:rPr>
            </w:pPr>
          </w:p>
        </w:tc>
      </w:tr>
      <w:tr>
        <w:trPr>
          <w:trHeight w:val="27"/>
        </w:trPr>
        <w:tc>
          <w:tcPr>
            <w:tcW w:w="3880" w:type="dxa"/>
            <w:vAlign w:val="bottom"/>
            <w:tcBorders>
              <w:left w:val="single" w:sz="8" w:color="auto"/>
              <w:bottom w:val="single" w:sz="8" w:color="auto"/>
              <w:right w:val="single" w:sz="8" w:color="auto"/>
            </w:tcBorders>
          </w:tcPr>
          <w:p>
            <w:pPr>
              <w:spacing w:after="0"/>
              <w:rPr>
                <w:sz w:val="2"/>
                <w:szCs w:val="2"/>
                <w:color w:val="auto"/>
              </w:rPr>
            </w:pPr>
          </w:p>
        </w:tc>
        <w:tc>
          <w:tcPr>
            <w:tcW w:w="2180" w:type="dxa"/>
            <w:vAlign w:val="bottom"/>
            <w:tcBorders>
              <w:bottom w:val="single" w:sz="8" w:color="auto"/>
              <w:right w:val="single" w:sz="8" w:color="auto"/>
            </w:tcBorders>
          </w:tcPr>
          <w:p>
            <w:pPr>
              <w:spacing w:after="0"/>
              <w:rPr>
                <w:sz w:val="2"/>
                <w:szCs w:val="2"/>
                <w:color w:val="auto"/>
              </w:rPr>
            </w:pPr>
          </w:p>
        </w:tc>
        <w:tc>
          <w:tcPr>
            <w:tcW w:w="2180" w:type="dxa"/>
            <w:vAlign w:val="bottom"/>
            <w:tcBorders>
              <w:bottom w:val="single" w:sz="8" w:color="auto"/>
              <w:right w:val="single" w:sz="8" w:color="auto"/>
            </w:tcBorders>
          </w:tcPr>
          <w:p>
            <w:pPr>
              <w:spacing w:after="0"/>
              <w:rPr>
                <w:sz w:val="2"/>
                <w:szCs w:val="2"/>
                <w:color w:val="auto"/>
              </w:rPr>
            </w:pPr>
          </w:p>
        </w:tc>
        <w:tc>
          <w:tcPr>
            <w:tcW w:w="2160" w:type="dxa"/>
            <w:vAlign w:val="bottom"/>
            <w:tcBorders>
              <w:bottom w:val="single" w:sz="8" w:color="auto"/>
              <w:right w:val="single" w:sz="8" w:color="auto"/>
            </w:tcBorders>
          </w:tcPr>
          <w:p>
            <w:pPr>
              <w:spacing w:after="0"/>
              <w:rPr>
                <w:sz w:val="2"/>
                <w:szCs w:val="2"/>
                <w:color w:val="auto"/>
              </w:rPr>
            </w:pPr>
          </w:p>
        </w:tc>
      </w:tr>
      <w:tr>
        <w:trPr>
          <w:trHeight w:val="237"/>
        </w:trPr>
        <w:tc>
          <w:tcPr>
            <w:tcW w:w="3880" w:type="dxa"/>
            <w:vAlign w:val="bottom"/>
            <w:tcBorders>
              <w:left w:val="single" w:sz="8" w:color="auto"/>
              <w:right w:val="single" w:sz="8" w:color="auto"/>
            </w:tcBorders>
          </w:tcPr>
          <w:p>
            <w:pPr>
              <w:ind w:left="40"/>
              <w:spacing w:after="0"/>
              <w:rPr>
                <w:sz w:val="20"/>
                <w:szCs w:val="20"/>
                <w:color w:val="auto"/>
              </w:rPr>
            </w:pPr>
            <w:r>
              <w:rPr>
                <w:rFonts w:ascii="Arial" w:cs="Arial" w:eastAsia="Arial" w:hAnsi="Arial"/>
                <w:sz w:val="18"/>
                <w:szCs w:val="18"/>
                <w:color w:val="auto"/>
              </w:rPr>
              <w:t>Texas Capital Bank, N.A.</w:t>
            </w:r>
          </w:p>
        </w:tc>
        <w:tc>
          <w:tcPr>
            <w:tcW w:w="218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6"/>
              </w:rPr>
              <w:t>[***]</w:t>
            </w:r>
          </w:p>
        </w:tc>
        <w:tc>
          <w:tcPr>
            <w:tcW w:w="218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6"/>
              </w:rPr>
              <w:t>[***]</w:t>
            </w:r>
          </w:p>
        </w:tc>
        <w:tc>
          <w:tcPr>
            <w:tcW w:w="2160" w:type="dxa"/>
            <w:vAlign w:val="bottom"/>
            <w:tcBorders>
              <w:right w:val="single" w:sz="8" w:color="auto"/>
            </w:tcBorders>
          </w:tcPr>
          <w:p>
            <w:pPr>
              <w:spacing w:after="0"/>
              <w:rPr>
                <w:sz w:val="20"/>
                <w:szCs w:val="20"/>
                <w:color w:val="auto"/>
              </w:rPr>
            </w:pPr>
          </w:p>
        </w:tc>
      </w:tr>
      <w:tr>
        <w:trPr>
          <w:trHeight w:val="27"/>
        </w:trPr>
        <w:tc>
          <w:tcPr>
            <w:tcW w:w="3880" w:type="dxa"/>
            <w:vAlign w:val="bottom"/>
            <w:tcBorders>
              <w:left w:val="single" w:sz="8" w:color="auto"/>
              <w:bottom w:val="single" w:sz="8" w:color="auto"/>
              <w:right w:val="single" w:sz="8" w:color="auto"/>
            </w:tcBorders>
          </w:tcPr>
          <w:p>
            <w:pPr>
              <w:spacing w:after="0"/>
              <w:rPr>
                <w:sz w:val="2"/>
                <w:szCs w:val="2"/>
                <w:color w:val="auto"/>
              </w:rPr>
            </w:pPr>
          </w:p>
        </w:tc>
        <w:tc>
          <w:tcPr>
            <w:tcW w:w="2180" w:type="dxa"/>
            <w:vAlign w:val="bottom"/>
            <w:tcBorders>
              <w:bottom w:val="single" w:sz="8" w:color="auto"/>
              <w:right w:val="single" w:sz="8" w:color="auto"/>
            </w:tcBorders>
          </w:tcPr>
          <w:p>
            <w:pPr>
              <w:spacing w:after="0"/>
              <w:rPr>
                <w:sz w:val="2"/>
                <w:szCs w:val="2"/>
                <w:color w:val="auto"/>
              </w:rPr>
            </w:pPr>
          </w:p>
        </w:tc>
        <w:tc>
          <w:tcPr>
            <w:tcW w:w="2180" w:type="dxa"/>
            <w:vAlign w:val="bottom"/>
            <w:tcBorders>
              <w:bottom w:val="single" w:sz="8" w:color="auto"/>
              <w:right w:val="single" w:sz="8" w:color="auto"/>
            </w:tcBorders>
          </w:tcPr>
          <w:p>
            <w:pPr>
              <w:spacing w:after="0"/>
              <w:rPr>
                <w:sz w:val="2"/>
                <w:szCs w:val="2"/>
                <w:color w:val="auto"/>
              </w:rPr>
            </w:pPr>
          </w:p>
        </w:tc>
        <w:tc>
          <w:tcPr>
            <w:tcW w:w="2160" w:type="dxa"/>
            <w:vAlign w:val="bottom"/>
            <w:tcBorders>
              <w:bottom w:val="single" w:sz="8" w:color="auto"/>
              <w:right w:val="single" w:sz="8" w:color="auto"/>
            </w:tcBorders>
          </w:tcPr>
          <w:p>
            <w:pPr>
              <w:spacing w:after="0"/>
              <w:rPr>
                <w:sz w:val="2"/>
                <w:szCs w:val="2"/>
                <w:color w:val="auto"/>
              </w:rPr>
            </w:pPr>
          </w:p>
        </w:tc>
      </w:tr>
      <w:tr>
        <w:trPr>
          <w:trHeight w:val="244"/>
        </w:trPr>
        <w:tc>
          <w:tcPr>
            <w:tcW w:w="3880" w:type="dxa"/>
            <w:vAlign w:val="bottom"/>
            <w:tcBorders>
              <w:left w:val="single" w:sz="8" w:color="auto"/>
              <w:bottom w:val="single" w:sz="8" w:color="auto"/>
              <w:right w:val="single" w:sz="8" w:color="auto"/>
            </w:tcBorders>
          </w:tcPr>
          <w:p>
            <w:pPr>
              <w:ind w:left="40"/>
              <w:spacing w:after="0"/>
              <w:rPr>
                <w:sz w:val="20"/>
                <w:szCs w:val="20"/>
                <w:color w:val="auto"/>
              </w:rPr>
            </w:pPr>
            <w:r>
              <w:rPr>
                <w:rFonts w:ascii="Arial" w:cs="Arial" w:eastAsia="Arial" w:hAnsi="Arial"/>
                <w:sz w:val="18"/>
                <w:szCs w:val="18"/>
                <w:b w:val="1"/>
                <w:bCs w:val="1"/>
                <w:color w:val="auto"/>
              </w:rPr>
              <w:t>Total:</w:t>
            </w:r>
          </w:p>
        </w:tc>
        <w:tc>
          <w:tcPr>
            <w:tcW w:w="218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b w:val="1"/>
                <w:bCs w:val="1"/>
                <w:color w:val="auto"/>
                <w:w w:val="99"/>
              </w:rPr>
              <w:t>$735,600,000</w:t>
            </w:r>
          </w:p>
        </w:tc>
        <w:tc>
          <w:tcPr>
            <w:tcW w:w="218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b w:val="1"/>
                <w:bCs w:val="1"/>
                <w:color w:val="auto"/>
                <w:w w:val="99"/>
              </w:rPr>
              <w:t>$14,400,000</w:t>
            </w:r>
          </w:p>
        </w:tc>
        <w:tc>
          <w:tcPr>
            <w:tcW w:w="216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b w:val="1"/>
                <w:bCs w:val="1"/>
                <w:color w:val="auto"/>
                <w:w w:val="99"/>
              </w:rPr>
              <w:t>$100,000,000</w:t>
            </w:r>
          </w:p>
        </w:tc>
      </w:tr>
    </w:tbl>
    <w:p>
      <w:pPr>
        <w:spacing w:after="0" w:line="251" w:lineRule="exact"/>
        <w:rPr>
          <w:sz w:val="20"/>
          <w:szCs w:val="20"/>
          <w:color w:val="auto"/>
        </w:rPr>
      </w:pPr>
    </w:p>
    <w:p>
      <w:pPr>
        <w:spacing w:after="0"/>
        <w:rPr>
          <w:sz w:val="20"/>
          <w:szCs w:val="20"/>
          <w:color w:val="auto"/>
        </w:rPr>
      </w:pPr>
      <w:r>
        <w:rPr>
          <w:rFonts w:ascii="Arial" w:cs="Arial" w:eastAsia="Arial" w:hAnsi="Arial"/>
          <w:sz w:val="13"/>
          <w:szCs w:val="13"/>
          <w:color w:val="auto"/>
        </w:rPr>
        <w:t>[***]=[CONFIDENTIAL PORTION HAS BEEN OMITTED BECAUSE IT (I) IS NOT MATERIAL AND (II) WOULD BE COMPETITIVELY HARMFUL IF PUBLICLY DISCLOSED</w:t>
      </w:r>
    </w:p>
    <w:p>
      <w:pPr>
        <w:sectPr>
          <w:pgSz w:w="11900" w:h="16838" w:orient="portrait"/>
          <w:cols w:equalWidth="0" w:num="1">
            <w:col w:w="10920"/>
          </w:cols>
          <w:pgMar w:left="240" w:top="1022" w:right="739" w:bottom="1440" w:gutter="0" w:footer="0" w:header="0"/>
        </w:sectPr>
      </w:pPr>
    </w:p>
    <w:bookmarkStart w:id="209" w:name="page210"/>
    <w:bookmarkEnd w:id="209"/>
    <w:p>
      <w:pPr>
        <w:jc w:val="right"/>
        <w:spacing w:after="0"/>
        <w:rPr>
          <w:sz w:val="20"/>
          <w:szCs w:val="20"/>
          <w:color w:val="auto"/>
        </w:rPr>
      </w:pPr>
      <w:r>
        <w:rPr>
          <w:rFonts w:ascii="Arial" w:cs="Arial" w:eastAsia="Arial" w:hAnsi="Arial"/>
          <w:sz w:val="18"/>
          <w:szCs w:val="18"/>
          <w:b w:val="1"/>
          <w:bCs w:val="1"/>
          <w:color w:val="auto"/>
        </w:rPr>
        <w:t>Exhibit 10.23</w:t>
      </w:r>
    </w:p>
    <w:p>
      <w:pPr>
        <w:spacing w:after="0" w:line="200" w:lineRule="exact"/>
        <w:rPr>
          <w:sz w:val="20"/>
          <w:szCs w:val="20"/>
          <w:color w:val="auto"/>
        </w:rPr>
      </w:pPr>
    </w:p>
    <w:p>
      <w:pPr>
        <w:spacing w:after="0" w:line="241" w:lineRule="exact"/>
        <w:rPr>
          <w:sz w:val="20"/>
          <w:szCs w:val="20"/>
          <w:color w:val="auto"/>
        </w:rPr>
      </w:pPr>
    </w:p>
    <w:p>
      <w:pPr>
        <w:jc w:val="right"/>
        <w:spacing w:after="0"/>
        <w:rPr>
          <w:sz w:val="20"/>
          <w:szCs w:val="20"/>
          <w:color w:val="auto"/>
        </w:rPr>
      </w:pPr>
      <w:r>
        <w:rPr>
          <w:rFonts w:ascii="Arial" w:cs="Arial" w:eastAsia="Arial" w:hAnsi="Arial"/>
          <w:sz w:val="18"/>
          <w:szCs w:val="18"/>
          <w:b w:val="1"/>
          <w:bCs w:val="1"/>
          <w:color w:val="auto"/>
        </w:rPr>
        <w:t>Execution Version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269240</wp:posOffset>
            </wp:positionV>
            <wp:extent cx="7254875" cy="308610"/>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330">
                      <a:extLst>
                        <a:ext uri="{28A0092B-C50C-407E-A947-70E740481C1C}"/>
                      </a:extLst>
                    </a:blip>
                    <a:srcRect/>
                    <a:stretch>
                      <a:fillRect/>
                    </a:stretch>
                  </pic:blipFill>
                  <pic:spPr bwMode="auto">
                    <a:xfrm>
                      <a:off x="0" y="0"/>
                      <a:ext cx="7254875" cy="308610"/>
                    </a:xfrm>
                    <a:prstGeom prst="rect">
                      <a:avLst/>
                    </a:prstGeom>
                    <a:noFill/>
                  </pic:spPr>
                </pic:pic>
              </a:graphicData>
            </a:graphic>
          </wp:anchor>
        </w:drawing>
      </w:r>
    </w:p>
    <w:p>
      <w:pPr>
        <w:spacing w:after="0" w:line="200" w:lineRule="exact"/>
        <w:rPr>
          <w:sz w:val="20"/>
          <w:szCs w:val="20"/>
          <w:color w:val="auto"/>
        </w:rPr>
      </w:pPr>
    </w:p>
    <w:p>
      <w:pPr>
        <w:spacing w:after="0" w:line="243" w:lineRule="exact"/>
        <w:rPr>
          <w:sz w:val="20"/>
          <w:szCs w:val="20"/>
          <w:color w:val="auto"/>
        </w:rPr>
      </w:pPr>
    </w:p>
    <w:p>
      <w:pPr>
        <w:ind w:left="40" w:right="300"/>
        <w:spacing w:after="0" w:line="246" w:lineRule="auto"/>
        <w:rPr>
          <w:sz w:val="20"/>
          <w:szCs w:val="20"/>
          <w:color w:val="auto"/>
        </w:rPr>
      </w:pPr>
      <w:r>
        <w:rPr>
          <w:rFonts w:ascii="Arial" w:cs="Arial" w:eastAsia="Arial" w:hAnsi="Arial"/>
          <w:sz w:val="18"/>
          <w:szCs w:val="18"/>
          <w:color w:val="auto"/>
        </w:rPr>
        <w:t>Certain confidential information contained in this document, marked by brackets, has been omitted because it is both (i) not material and (ii) would be competitively harmful if publicly disclosed.</w:t>
      </w:r>
    </w:p>
    <w:p>
      <w:pPr>
        <w:spacing w:after="0" w:line="237" w:lineRule="exact"/>
        <w:rPr>
          <w:sz w:val="20"/>
          <w:szCs w:val="20"/>
          <w:color w:val="auto"/>
        </w:rPr>
      </w:pPr>
    </w:p>
    <w:p>
      <w:pPr>
        <w:jc w:val="center"/>
        <w:spacing w:after="0"/>
        <w:rPr>
          <w:sz w:val="20"/>
          <w:szCs w:val="20"/>
          <w:color w:val="auto"/>
        </w:rPr>
      </w:pPr>
      <w:r>
        <w:rPr>
          <w:rFonts w:ascii="Arial" w:cs="Arial" w:eastAsia="Arial" w:hAnsi="Arial"/>
          <w:sz w:val="18"/>
          <w:szCs w:val="18"/>
          <w:u w:val="single" w:color="auto"/>
          <w:color w:val="auto"/>
        </w:rPr>
        <w:t>FIFTH AMENDMENT TO CREDIT AND GUARANTY AGREEMENT</w:t>
      </w:r>
    </w:p>
    <w:p>
      <w:pPr>
        <w:spacing w:after="0" w:line="200" w:lineRule="exact"/>
        <w:rPr>
          <w:sz w:val="20"/>
          <w:szCs w:val="20"/>
          <w:color w:val="auto"/>
        </w:rPr>
      </w:pPr>
    </w:p>
    <w:p>
      <w:pPr>
        <w:spacing w:after="0" w:line="223" w:lineRule="exact"/>
        <w:rPr>
          <w:sz w:val="20"/>
          <w:szCs w:val="20"/>
          <w:color w:val="auto"/>
        </w:rPr>
      </w:pPr>
    </w:p>
    <w:p>
      <w:pPr>
        <w:jc w:val="both"/>
        <w:ind w:firstLine="1297"/>
        <w:spacing w:after="0" w:line="257" w:lineRule="auto"/>
        <w:rPr>
          <w:sz w:val="20"/>
          <w:szCs w:val="20"/>
          <w:color w:val="auto"/>
        </w:rPr>
      </w:pPr>
      <w:r>
        <w:rPr>
          <w:rFonts w:ascii="Arial" w:cs="Arial" w:eastAsia="Arial" w:hAnsi="Arial"/>
          <w:sz w:val="18"/>
          <w:szCs w:val="18"/>
          <w:color w:val="auto"/>
        </w:rPr>
        <w:t>THIS FIFTH AMENDMENT TO CREDIT AND GUARANTY AGREEMENT (this “</w:t>
      </w:r>
      <w:r>
        <w:rPr>
          <w:rFonts w:ascii="Arial" w:cs="Arial" w:eastAsia="Arial" w:hAnsi="Arial"/>
          <w:sz w:val="18"/>
          <w:szCs w:val="18"/>
          <w:i w:val="1"/>
          <w:iCs w:val="1"/>
          <w:color w:val="auto"/>
        </w:rPr>
        <w:t>Fifth Amendment</w:t>
      </w:r>
      <w:r>
        <w:rPr>
          <w:rFonts w:ascii="Arial" w:cs="Arial" w:eastAsia="Arial" w:hAnsi="Arial"/>
          <w:sz w:val="18"/>
          <w:szCs w:val="18"/>
          <w:color w:val="auto"/>
        </w:rPr>
        <w:t>”), is dated as of November 8, 2019 and is among American Airlines, Inc., a Delaware corporation (the “</w:t>
      </w:r>
      <w:r>
        <w:rPr>
          <w:rFonts w:ascii="Arial" w:cs="Arial" w:eastAsia="Arial" w:hAnsi="Arial"/>
          <w:sz w:val="18"/>
          <w:szCs w:val="18"/>
          <w:i w:val="1"/>
          <w:iCs w:val="1"/>
          <w:color w:val="auto"/>
        </w:rPr>
        <w:t>Borrower</w:t>
      </w:r>
      <w:r>
        <w:rPr>
          <w:rFonts w:ascii="Arial" w:cs="Arial" w:eastAsia="Arial" w:hAnsi="Arial"/>
          <w:sz w:val="18"/>
          <w:szCs w:val="18"/>
          <w:color w:val="auto"/>
        </w:rPr>
        <w:t>”), American Airlines Group Inc., a Delaware corporation (the “</w:t>
      </w:r>
      <w:r>
        <w:rPr>
          <w:rFonts w:ascii="Arial" w:cs="Arial" w:eastAsia="Arial" w:hAnsi="Arial"/>
          <w:sz w:val="18"/>
          <w:szCs w:val="18"/>
          <w:i w:val="1"/>
          <w:iCs w:val="1"/>
          <w:color w:val="auto"/>
        </w:rPr>
        <w:t>Parent</w:t>
      </w:r>
      <w:r>
        <w:rPr>
          <w:rFonts w:ascii="Arial" w:cs="Arial" w:eastAsia="Arial" w:hAnsi="Arial"/>
          <w:sz w:val="18"/>
          <w:szCs w:val="18"/>
          <w:color w:val="auto"/>
        </w:rPr>
        <w:t>” or the “</w:t>
      </w:r>
      <w:r>
        <w:rPr>
          <w:rFonts w:ascii="Arial" w:cs="Arial" w:eastAsia="Arial" w:hAnsi="Arial"/>
          <w:sz w:val="18"/>
          <w:szCs w:val="18"/>
          <w:i w:val="1"/>
          <w:iCs w:val="1"/>
          <w:color w:val="auto"/>
        </w:rPr>
        <w:t>Guarantor</w:t>
      </w:r>
      <w:r>
        <w:rPr>
          <w:rFonts w:ascii="Arial" w:cs="Arial" w:eastAsia="Arial" w:hAnsi="Arial"/>
          <w:sz w:val="18"/>
          <w:szCs w:val="18"/>
          <w:color w:val="auto"/>
        </w:rPr>
        <w:t>”), the Consenting Revolving Lenders (as defined below), the Fourth Amendment Non-Extending Revolving Lender (as defined below) and Barclays Bank PLC, as administrative agent (in such capacity, the “</w:t>
      </w:r>
      <w:r>
        <w:rPr>
          <w:rFonts w:ascii="Arial" w:cs="Arial" w:eastAsia="Arial" w:hAnsi="Arial"/>
          <w:sz w:val="18"/>
          <w:szCs w:val="18"/>
          <w:i w:val="1"/>
          <w:iCs w:val="1"/>
          <w:color w:val="auto"/>
        </w:rPr>
        <w:t>Administrative Agent</w:t>
      </w:r>
      <w:r>
        <w:rPr>
          <w:rFonts w:ascii="Arial" w:cs="Arial" w:eastAsia="Arial" w:hAnsi="Arial"/>
          <w:sz w:val="18"/>
          <w:szCs w:val="18"/>
          <w:color w:val="auto"/>
        </w:rPr>
        <w:t>”). Unless otherwise indicated, all capitalized terms used herein and not otherwise defined shall have the respective meanings provided to such terms in the Credit Agreement (as defined below).</w:t>
      </w:r>
    </w:p>
    <w:p>
      <w:pPr>
        <w:spacing w:after="0" w:line="200" w:lineRule="exact"/>
        <w:rPr>
          <w:sz w:val="20"/>
          <w:szCs w:val="20"/>
          <w:color w:val="auto"/>
        </w:rPr>
      </w:pPr>
    </w:p>
    <w:p>
      <w:pPr>
        <w:spacing w:after="0" w:line="217" w:lineRule="exact"/>
        <w:rPr>
          <w:sz w:val="20"/>
          <w:szCs w:val="20"/>
          <w:color w:val="auto"/>
        </w:rPr>
      </w:pPr>
    </w:p>
    <w:p>
      <w:pPr>
        <w:jc w:val="center"/>
        <w:spacing w:after="0"/>
        <w:rPr>
          <w:sz w:val="20"/>
          <w:szCs w:val="20"/>
          <w:color w:val="auto"/>
        </w:rPr>
      </w:pPr>
      <w:r>
        <w:rPr>
          <w:rFonts w:ascii="Arial" w:cs="Arial" w:eastAsia="Arial" w:hAnsi="Arial"/>
          <w:sz w:val="18"/>
          <w:szCs w:val="18"/>
          <w:u w:val="single" w:color="auto"/>
          <w:color w:val="auto"/>
        </w:rPr>
        <w:t>W I T N E S S E T H</w:t>
      </w:r>
      <w:r>
        <w:rPr>
          <w:rFonts w:ascii="Arial" w:cs="Arial" w:eastAsia="Arial" w:hAnsi="Arial"/>
          <w:sz w:val="18"/>
          <w:szCs w:val="18"/>
          <w:color w:val="auto"/>
        </w:rPr>
        <w:t>:</w:t>
      </w:r>
    </w:p>
    <w:p>
      <w:pPr>
        <w:spacing w:after="0" w:line="200" w:lineRule="exact"/>
        <w:rPr>
          <w:sz w:val="20"/>
          <w:szCs w:val="20"/>
          <w:color w:val="auto"/>
        </w:rPr>
      </w:pPr>
    </w:p>
    <w:p>
      <w:pPr>
        <w:spacing w:after="0" w:line="241" w:lineRule="exact"/>
        <w:rPr>
          <w:sz w:val="20"/>
          <w:szCs w:val="20"/>
          <w:color w:val="auto"/>
        </w:rPr>
      </w:pPr>
    </w:p>
    <w:p>
      <w:pPr>
        <w:jc w:val="both"/>
        <w:ind w:firstLine="1297"/>
        <w:spacing w:after="0" w:line="254" w:lineRule="auto"/>
        <w:rPr>
          <w:sz w:val="20"/>
          <w:szCs w:val="20"/>
          <w:color w:val="auto"/>
        </w:rPr>
      </w:pPr>
      <w:r>
        <w:rPr>
          <w:rFonts w:ascii="Arial" w:cs="Arial" w:eastAsia="Arial" w:hAnsi="Arial"/>
          <w:sz w:val="18"/>
          <w:szCs w:val="18"/>
          <w:color w:val="auto"/>
        </w:rPr>
        <w:t>WHEREAS, the Borrower, the Guarantor, the lenders from time to time party thereto, the Administrative Agent and certain other parties thereto are parties to that certain Credit and Guaranty Agreement, dated as of April 29, 2016 (as amended by that certain First Amendment to Credit and Guaranty Agreement, dated October 31, 2016 and as further amended, restated, supplemented or otherwise modified up to, but not including, the Fifth Amendment Effective Date (as defined below), the “</w:t>
      </w:r>
      <w:r>
        <w:rPr>
          <w:rFonts w:ascii="Arial" w:cs="Arial" w:eastAsia="Arial" w:hAnsi="Arial"/>
          <w:sz w:val="18"/>
          <w:szCs w:val="18"/>
          <w:i w:val="1"/>
          <w:iCs w:val="1"/>
          <w:color w:val="auto"/>
        </w:rPr>
        <w:t>Credit Agreement</w:t>
      </w:r>
      <w:r>
        <w:rPr>
          <w:rFonts w:ascii="Arial" w:cs="Arial" w:eastAsia="Arial" w:hAnsi="Arial"/>
          <w:sz w:val="18"/>
          <w:szCs w:val="18"/>
          <w:color w:val="auto"/>
        </w:rPr>
        <w:t>”);</w:t>
      </w:r>
    </w:p>
    <w:p>
      <w:pPr>
        <w:spacing w:after="0" w:line="200" w:lineRule="exact"/>
        <w:rPr>
          <w:sz w:val="20"/>
          <w:szCs w:val="20"/>
          <w:color w:val="auto"/>
        </w:rPr>
      </w:pPr>
    </w:p>
    <w:p>
      <w:pPr>
        <w:spacing w:after="0" w:line="220" w:lineRule="exact"/>
        <w:rPr>
          <w:sz w:val="20"/>
          <w:szCs w:val="20"/>
          <w:color w:val="auto"/>
        </w:rPr>
      </w:pPr>
    </w:p>
    <w:p>
      <w:pPr>
        <w:jc w:val="both"/>
        <w:ind w:firstLine="1297"/>
        <w:spacing w:after="0" w:line="256" w:lineRule="auto"/>
        <w:rPr>
          <w:sz w:val="20"/>
          <w:szCs w:val="20"/>
          <w:color w:val="auto"/>
        </w:rPr>
      </w:pPr>
      <w:r>
        <w:rPr>
          <w:rFonts w:ascii="Arial" w:cs="Arial" w:eastAsia="Arial" w:hAnsi="Arial"/>
          <w:sz w:val="18"/>
          <w:szCs w:val="18"/>
          <w:color w:val="auto"/>
        </w:rPr>
        <w:t>WHEREAS, pursuant to Section 2.28(b) of the Credit Agreement, the Borrower may make a Revolver Extension Offer to all Revolving Lenders holding Revolving Commitments under the Credit Agreement to extend the maturity date of each such Revolving Lender’s Revolving Commitment;</w:t>
      </w:r>
    </w:p>
    <w:p>
      <w:pPr>
        <w:spacing w:after="0" w:line="200" w:lineRule="exact"/>
        <w:rPr>
          <w:sz w:val="20"/>
          <w:szCs w:val="20"/>
          <w:color w:val="auto"/>
        </w:rPr>
      </w:pPr>
    </w:p>
    <w:p>
      <w:pPr>
        <w:spacing w:after="0" w:line="218" w:lineRule="exact"/>
        <w:rPr>
          <w:sz w:val="20"/>
          <w:szCs w:val="20"/>
          <w:color w:val="auto"/>
        </w:rPr>
      </w:pPr>
    </w:p>
    <w:p>
      <w:pPr>
        <w:jc w:val="both"/>
        <w:ind w:firstLine="1297"/>
        <w:spacing w:after="0" w:line="252" w:lineRule="auto"/>
        <w:rPr>
          <w:sz w:val="20"/>
          <w:szCs w:val="20"/>
          <w:color w:val="auto"/>
        </w:rPr>
      </w:pPr>
      <w:r>
        <w:rPr>
          <w:rFonts w:ascii="Arial" w:cs="Arial" w:eastAsia="Arial" w:hAnsi="Arial"/>
          <w:sz w:val="18"/>
          <w:szCs w:val="18"/>
          <w:color w:val="auto"/>
        </w:rPr>
        <w:t>WHEREAS, the Borrower hereby (i) requests that each Revolving Lender that is a party to the Credit Agreement immediately prior to the Fifth Amendment Effective Date (other than the Fourth Amendment Non-Extending Revolver Lender) (each, an “</w:t>
      </w:r>
      <w:r>
        <w:rPr>
          <w:rFonts w:ascii="Arial" w:cs="Arial" w:eastAsia="Arial" w:hAnsi="Arial"/>
          <w:sz w:val="18"/>
          <w:szCs w:val="18"/>
          <w:i w:val="1"/>
          <w:iCs w:val="1"/>
          <w:color w:val="auto"/>
        </w:rPr>
        <w:t>Existing Revolving</w:t>
      </w:r>
      <w:r>
        <w:rPr>
          <w:rFonts w:ascii="Arial" w:cs="Arial" w:eastAsia="Arial" w:hAnsi="Arial"/>
          <w:sz w:val="18"/>
          <w:szCs w:val="18"/>
          <w:color w:val="auto"/>
        </w:rPr>
        <w:t xml:space="preserve"> </w:t>
      </w:r>
      <w:r>
        <w:rPr>
          <w:rFonts w:ascii="Arial" w:cs="Arial" w:eastAsia="Arial" w:hAnsi="Arial"/>
          <w:sz w:val="18"/>
          <w:szCs w:val="18"/>
          <w:i w:val="1"/>
          <w:iCs w:val="1"/>
          <w:color w:val="auto"/>
        </w:rPr>
        <w:t>Lender</w:t>
      </w:r>
      <w:r>
        <w:rPr>
          <w:rFonts w:ascii="Arial" w:cs="Arial" w:eastAsia="Arial" w:hAnsi="Arial"/>
          <w:sz w:val="18"/>
          <w:szCs w:val="18"/>
          <w:color w:val="auto"/>
        </w:rPr>
        <w:t>”) extend the maturity of such Existing Revolving Lender’s Revolving Commitment pursuant to, and in accordance with the terms of,</w:t>
      </w:r>
      <w:r>
        <w:rPr>
          <w:rFonts w:ascii="Arial" w:cs="Arial" w:eastAsia="Arial" w:hAnsi="Arial"/>
          <w:sz w:val="18"/>
          <w:szCs w:val="18"/>
          <w:i w:val="1"/>
          <w:iCs w:val="1"/>
          <w:color w:val="auto"/>
        </w:rPr>
        <w:t xml:space="preserve"> </w:t>
      </w:r>
      <w:r>
        <w:rPr>
          <w:rFonts w:ascii="Arial" w:cs="Arial" w:eastAsia="Arial" w:hAnsi="Arial"/>
          <w:sz w:val="18"/>
          <w:szCs w:val="18"/>
          <w:color w:val="auto"/>
        </w:rPr>
        <w:t>Section 2.28(b), (c), (d) and (e) of the Credit Agreement and this Fifth Amendment (with such request constituting a Revolver Extension Offer for purposes of the Credit Agreement) and requests that the Administrative Agent waive any applicable notice period otherwise required thereby and (ii) specifies as the Minimum Extension Condition (other than the Non-Extended Revolver Commitments) for such Revolving Extension Offer that all such Revolving Commitments be subject to the Revolving Extension contemplated hereby;</w:t>
      </w:r>
    </w:p>
    <w:p>
      <w:pPr>
        <w:spacing w:after="0" w:line="200" w:lineRule="exact"/>
        <w:rPr>
          <w:sz w:val="20"/>
          <w:szCs w:val="20"/>
          <w:color w:val="auto"/>
        </w:rPr>
      </w:pPr>
    </w:p>
    <w:p>
      <w:pPr>
        <w:spacing w:after="0" w:line="223" w:lineRule="exact"/>
        <w:rPr>
          <w:sz w:val="20"/>
          <w:szCs w:val="20"/>
          <w:color w:val="auto"/>
        </w:rPr>
      </w:pPr>
    </w:p>
    <w:p>
      <w:pPr>
        <w:jc w:val="both"/>
        <w:ind w:firstLine="1297"/>
        <w:spacing w:after="0" w:line="254" w:lineRule="auto"/>
        <w:rPr>
          <w:sz w:val="20"/>
          <w:szCs w:val="20"/>
          <w:color w:val="auto"/>
        </w:rPr>
      </w:pPr>
      <w:r>
        <w:rPr>
          <w:rFonts w:ascii="Arial" w:cs="Arial" w:eastAsia="Arial" w:hAnsi="Arial"/>
          <w:sz w:val="18"/>
          <w:szCs w:val="18"/>
          <w:color w:val="auto"/>
        </w:rPr>
        <w:t>WHEREAS, the undersigned Existing Revolving Lenders (other than the Fourth Amendment Non-Extending Revolving Lender) (the “</w:t>
      </w:r>
      <w:r>
        <w:rPr>
          <w:rFonts w:ascii="Arial" w:cs="Arial" w:eastAsia="Arial" w:hAnsi="Arial"/>
          <w:sz w:val="18"/>
          <w:szCs w:val="18"/>
          <w:i w:val="1"/>
          <w:iCs w:val="1"/>
          <w:color w:val="auto"/>
        </w:rPr>
        <w:t>Consenting Revolving Lenders</w:t>
      </w:r>
      <w:r>
        <w:rPr>
          <w:rFonts w:ascii="Arial" w:cs="Arial" w:eastAsia="Arial" w:hAnsi="Arial"/>
          <w:sz w:val="18"/>
          <w:szCs w:val="18"/>
          <w:color w:val="auto"/>
        </w:rPr>
        <w:t>”) are willing to extend the maturity date of their respective Revolving Commitments (the “</w:t>
      </w:r>
      <w:r>
        <w:rPr>
          <w:rFonts w:ascii="Arial" w:cs="Arial" w:eastAsia="Arial" w:hAnsi="Arial"/>
          <w:sz w:val="18"/>
          <w:szCs w:val="18"/>
          <w:i w:val="1"/>
          <w:iCs w:val="1"/>
          <w:color w:val="auto"/>
        </w:rPr>
        <w:t>Extended</w:t>
      </w:r>
      <w:r>
        <w:rPr>
          <w:rFonts w:ascii="Arial" w:cs="Arial" w:eastAsia="Arial" w:hAnsi="Arial"/>
          <w:sz w:val="18"/>
          <w:szCs w:val="18"/>
          <w:color w:val="auto"/>
        </w:rPr>
        <w:t xml:space="preserve"> </w:t>
      </w:r>
      <w:r>
        <w:rPr>
          <w:rFonts w:ascii="Arial" w:cs="Arial" w:eastAsia="Arial" w:hAnsi="Arial"/>
          <w:sz w:val="18"/>
          <w:szCs w:val="18"/>
          <w:i w:val="1"/>
          <w:iCs w:val="1"/>
          <w:color w:val="auto"/>
        </w:rPr>
        <w:t>Revolving Commitments</w:t>
      </w:r>
      <w:r>
        <w:rPr>
          <w:rFonts w:ascii="Arial" w:cs="Arial" w:eastAsia="Arial" w:hAnsi="Arial"/>
          <w:sz w:val="18"/>
          <w:szCs w:val="18"/>
          <w:color w:val="auto"/>
        </w:rPr>
        <w:t>”), subject to and on the terms and conditions set forth herein and in Section 2.28(b), (c), (d) and (e) of the Credit</w:t>
      </w:r>
      <w:r>
        <w:rPr>
          <w:rFonts w:ascii="Arial" w:cs="Arial" w:eastAsia="Arial" w:hAnsi="Arial"/>
          <w:sz w:val="18"/>
          <w:szCs w:val="18"/>
          <w:i w:val="1"/>
          <w:iCs w:val="1"/>
          <w:color w:val="auto"/>
        </w:rPr>
        <w:t xml:space="preserve"> </w:t>
      </w:r>
      <w:r>
        <w:rPr>
          <w:rFonts w:ascii="Arial" w:cs="Arial" w:eastAsia="Arial" w:hAnsi="Arial"/>
          <w:sz w:val="18"/>
          <w:szCs w:val="18"/>
          <w:color w:val="auto"/>
        </w:rPr>
        <w:t>Agreement;</w:t>
      </w:r>
    </w:p>
    <w:p>
      <w:pPr>
        <w:spacing w:after="0" w:line="200" w:lineRule="exact"/>
        <w:rPr>
          <w:sz w:val="20"/>
          <w:szCs w:val="20"/>
          <w:color w:val="auto"/>
        </w:rPr>
      </w:pPr>
    </w:p>
    <w:p>
      <w:pPr>
        <w:spacing w:after="0" w:line="220" w:lineRule="exact"/>
        <w:rPr>
          <w:sz w:val="20"/>
          <w:szCs w:val="20"/>
          <w:color w:val="auto"/>
        </w:rPr>
      </w:pPr>
    </w:p>
    <w:p>
      <w:pPr>
        <w:jc w:val="both"/>
        <w:ind w:firstLine="1297"/>
        <w:spacing w:after="0" w:line="262" w:lineRule="auto"/>
        <w:rPr>
          <w:sz w:val="20"/>
          <w:szCs w:val="20"/>
          <w:color w:val="auto"/>
        </w:rPr>
      </w:pPr>
      <w:r>
        <w:rPr>
          <w:rFonts w:ascii="Arial" w:cs="Arial" w:eastAsia="Arial" w:hAnsi="Arial"/>
          <w:sz w:val="18"/>
          <w:szCs w:val="18"/>
          <w:color w:val="auto"/>
        </w:rPr>
        <w:t>WHEREAS, pursuant to Section 2.27 of the Credit Agreement, the Borrower may request an increase to the existing Revolving Commitments, subject to and on the terms and conditions provided therein;</w:t>
      </w:r>
    </w:p>
    <w:p>
      <w:pPr>
        <w:spacing w:after="0" w:line="200" w:lineRule="exact"/>
        <w:rPr>
          <w:sz w:val="20"/>
          <w:szCs w:val="20"/>
          <w:color w:val="auto"/>
        </w:rPr>
      </w:pPr>
    </w:p>
    <w:p>
      <w:pPr>
        <w:spacing w:after="0" w:line="212" w:lineRule="exact"/>
        <w:rPr>
          <w:sz w:val="20"/>
          <w:szCs w:val="20"/>
          <w:color w:val="auto"/>
        </w:rPr>
      </w:pPr>
    </w:p>
    <w:p>
      <w:pPr>
        <w:jc w:val="both"/>
        <w:ind w:firstLine="1297"/>
        <w:spacing w:after="0" w:line="254" w:lineRule="auto"/>
        <w:rPr>
          <w:sz w:val="20"/>
          <w:szCs w:val="20"/>
          <w:color w:val="auto"/>
        </w:rPr>
      </w:pPr>
      <w:r>
        <w:rPr>
          <w:rFonts w:ascii="Arial" w:cs="Arial" w:eastAsia="Arial" w:hAnsi="Arial"/>
          <w:sz w:val="18"/>
          <w:szCs w:val="18"/>
          <w:color w:val="auto"/>
        </w:rPr>
        <w:t>WHEREAS, the Borrower hereby notifies the Administrative Agent of its request for $150,000,000 of new Revolving Commitments (the “</w:t>
      </w:r>
      <w:r>
        <w:rPr>
          <w:rFonts w:ascii="Arial" w:cs="Arial" w:eastAsia="Arial" w:hAnsi="Arial"/>
          <w:sz w:val="18"/>
          <w:szCs w:val="18"/>
          <w:i w:val="1"/>
          <w:iCs w:val="1"/>
          <w:color w:val="auto"/>
        </w:rPr>
        <w:t>New Revolving Commitments</w:t>
      </w:r>
      <w:r>
        <w:rPr>
          <w:rFonts w:ascii="Arial" w:cs="Arial" w:eastAsia="Arial" w:hAnsi="Arial"/>
          <w:sz w:val="18"/>
          <w:szCs w:val="18"/>
          <w:color w:val="auto"/>
        </w:rPr>
        <w:t>”) to be made available by the Consenting Revolving Lenders with respect to such New Revolving Commitments in the amount specified therefor on Schedule 1 hereto and requests that the Administrative Agent waive any applicable notice period otherwise required;</w:t>
      </w:r>
    </w:p>
    <w:p>
      <w:pPr>
        <w:sectPr>
          <w:pgSz w:w="11900" w:h="16838" w:orient="portrait"/>
          <w:cols w:equalWidth="0" w:num="1">
            <w:col w:w="11420"/>
          </w:cols>
          <w:pgMar w:left="240" w:top="630" w:right="239" w:bottom="1440" w:gutter="0" w:footer="0" w:header="0"/>
        </w:sectPr>
      </w:pPr>
    </w:p>
    <w:bookmarkStart w:id="210" w:name="page211"/>
    <w:bookmarkEnd w:id="210"/>
    <w:p>
      <w:pPr>
        <w:jc w:val="both"/>
        <w:ind w:right="20" w:firstLine="1297"/>
        <w:spacing w:after="0" w:line="262" w:lineRule="auto"/>
        <w:rPr>
          <w:sz w:val="20"/>
          <w:szCs w:val="20"/>
          <w:color w:val="auto"/>
        </w:rPr>
      </w:pPr>
      <w:r>
        <w:rPr>
          <w:rFonts w:ascii="Arial" w:cs="Arial" w:eastAsia="Arial" w:hAnsi="Arial"/>
          <w:sz w:val="18"/>
          <w:szCs w:val="18"/>
          <w:color w:val="auto"/>
        </w:rPr>
        <w:t>WHEREAS, each Consenting Revolving Lender is willing to provide a New Revolving Commitment in the amount set forth opposite its name on Schedule 1 hereto, subject to and on the terms and conditions set forth herein and in the Credit Agreement;</w:t>
      </w:r>
    </w:p>
    <w:p>
      <w:pPr>
        <w:spacing w:after="0" w:line="196" w:lineRule="exact"/>
        <w:rPr>
          <w:sz w:val="20"/>
          <w:szCs w:val="20"/>
          <w:color w:val="auto"/>
        </w:rPr>
      </w:pPr>
    </w:p>
    <w:p>
      <w:pPr>
        <w:jc w:val="both"/>
        <w:ind w:firstLine="1297"/>
        <w:spacing w:after="0" w:line="256" w:lineRule="auto"/>
        <w:rPr>
          <w:sz w:val="20"/>
          <w:szCs w:val="20"/>
          <w:color w:val="auto"/>
        </w:rPr>
      </w:pPr>
      <w:r>
        <w:rPr>
          <w:rFonts w:ascii="Arial" w:cs="Arial" w:eastAsia="Arial" w:hAnsi="Arial"/>
          <w:sz w:val="18"/>
          <w:szCs w:val="18"/>
          <w:color w:val="auto"/>
        </w:rPr>
        <w:t>WHEREAS, the undersigned Consenting Revolving Lenders, the Fourth Amendment Non-Extending Lender and the Borrower desire to reallocate the Revolving Commitments (the “</w:t>
      </w:r>
      <w:r>
        <w:rPr>
          <w:rFonts w:ascii="Arial" w:cs="Arial" w:eastAsia="Arial" w:hAnsi="Arial"/>
          <w:sz w:val="18"/>
          <w:szCs w:val="18"/>
          <w:i w:val="1"/>
          <w:iCs w:val="1"/>
          <w:color w:val="auto"/>
        </w:rPr>
        <w:t>Reallocation</w:t>
      </w:r>
      <w:r>
        <w:rPr>
          <w:rFonts w:ascii="Arial" w:cs="Arial" w:eastAsia="Arial" w:hAnsi="Arial"/>
          <w:sz w:val="18"/>
          <w:szCs w:val="18"/>
          <w:color w:val="auto"/>
        </w:rPr>
        <w:t>”) and that each Revolving Lender will hold such Revolving Commitment as is set out opposite its name on Schedule 1;</w:t>
      </w:r>
    </w:p>
    <w:p>
      <w:pPr>
        <w:spacing w:after="0" w:line="200" w:lineRule="exact"/>
        <w:rPr>
          <w:sz w:val="20"/>
          <w:szCs w:val="20"/>
          <w:color w:val="auto"/>
        </w:rPr>
      </w:pPr>
    </w:p>
    <w:p>
      <w:pPr>
        <w:spacing w:after="0" w:line="218" w:lineRule="exact"/>
        <w:rPr>
          <w:sz w:val="20"/>
          <w:szCs w:val="20"/>
          <w:color w:val="auto"/>
        </w:rPr>
      </w:pPr>
    </w:p>
    <w:p>
      <w:pPr>
        <w:jc w:val="both"/>
        <w:ind w:right="20" w:firstLine="1297"/>
        <w:spacing w:after="0" w:line="262" w:lineRule="auto"/>
        <w:rPr>
          <w:sz w:val="20"/>
          <w:szCs w:val="20"/>
          <w:color w:val="auto"/>
        </w:rPr>
      </w:pPr>
      <w:r>
        <w:rPr>
          <w:rFonts w:ascii="Arial" w:cs="Arial" w:eastAsia="Arial" w:hAnsi="Arial"/>
          <w:sz w:val="18"/>
          <w:szCs w:val="18"/>
          <w:color w:val="auto"/>
        </w:rPr>
        <w:t>WHEREAS, the Borrower, the Administrative Agent, and the Revolving Lenders wish to amend the Credit Agreement to provide for certain other modifications to the Credit Agreement, in each case, on the terms and subject to the conditions set forth herein;</w:t>
      </w:r>
    </w:p>
    <w:p>
      <w:pPr>
        <w:spacing w:after="0" w:line="200" w:lineRule="exact"/>
        <w:rPr>
          <w:sz w:val="20"/>
          <w:szCs w:val="20"/>
          <w:color w:val="auto"/>
        </w:rPr>
      </w:pPr>
    </w:p>
    <w:p>
      <w:pPr>
        <w:spacing w:after="0" w:line="212" w:lineRule="exact"/>
        <w:rPr>
          <w:sz w:val="20"/>
          <w:szCs w:val="20"/>
          <w:color w:val="auto"/>
        </w:rPr>
      </w:pPr>
    </w:p>
    <w:p>
      <w:pPr>
        <w:jc w:val="both"/>
        <w:ind w:firstLine="1297"/>
        <w:spacing w:after="0" w:line="262" w:lineRule="auto"/>
        <w:rPr>
          <w:sz w:val="20"/>
          <w:szCs w:val="20"/>
          <w:color w:val="auto"/>
        </w:rPr>
      </w:pPr>
      <w:r>
        <w:rPr>
          <w:rFonts w:ascii="Arial" w:cs="Arial" w:eastAsia="Arial" w:hAnsi="Arial"/>
          <w:sz w:val="18"/>
          <w:szCs w:val="18"/>
          <w:color w:val="auto"/>
        </w:rPr>
        <w:t>WHEREAS, pursuant to Section 2.28(b) of the Credit Agreement, the Fourth Amendment Non-Extending Revolving Lender shall continue to have Revolving Credit Commitments (the “</w:t>
      </w:r>
      <w:r>
        <w:rPr>
          <w:rFonts w:ascii="Arial" w:cs="Arial" w:eastAsia="Arial" w:hAnsi="Arial"/>
          <w:sz w:val="18"/>
          <w:szCs w:val="18"/>
          <w:i w:val="1"/>
          <w:iCs w:val="1"/>
          <w:color w:val="auto"/>
        </w:rPr>
        <w:t>Non-Extended Revolver Commitments</w:t>
      </w:r>
      <w:r>
        <w:rPr>
          <w:rFonts w:ascii="Arial" w:cs="Arial" w:eastAsia="Arial" w:hAnsi="Arial"/>
          <w:sz w:val="18"/>
          <w:szCs w:val="18"/>
          <w:color w:val="auto"/>
        </w:rPr>
        <w:t>”); and</w:t>
      </w:r>
    </w:p>
    <w:p>
      <w:pPr>
        <w:spacing w:after="0" w:line="200" w:lineRule="exact"/>
        <w:rPr>
          <w:sz w:val="20"/>
          <w:szCs w:val="20"/>
          <w:color w:val="auto"/>
        </w:rPr>
      </w:pPr>
    </w:p>
    <w:p>
      <w:pPr>
        <w:spacing w:after="0" w:line="212" w:lineRule="exact"/>
        <w:rPr>
          <w:sz w:val="20"/>
          <w:szCs w:val="20"/>
          <w:color w:val="auto"/>
        </w:rPr>
      </w:pPr>
    </w:p>
    <w:p>
      <w:pPr>
        <w:jc w:val="both"/>
        <w:ind w:firstLine="1297"/>
        <w:spacing w:after="0" w:line="262" w:lineRule="auto"/>
        <w:rPr>
          <w:sz w:val="20"/>
          <w:szCs w:val="20"/>
          <w:color w:val="auto"/>
        </w:rPr>
      </w:pPr>
      <w:r>
        <w:rPr>
          <w:rFonts w:ascii="Arial" w:cs="Arial" w:eastAsia="Arial" w:hAnsi="Arial"/>
          <w:sz w:val="18"/>
          <w:szCs w:val="18"/>
          <w:color w:val="auto"/>
        </w:rPr>
        <w:t>NOW, THEREFORE, in consideration of the foregoing, and for other good and valuable consideration, the receipt and sufficiency of which are hereby acknowledged, the parties hereto hereby agree as follows:</w:t>
      </w:r>
    </w:p>
    <w:p>
      <w:pPr>
        <w:spacing w:after="0" w:line="200" w:lineRule="exact"/>
        <w:rPr>
          <w:sz w:val="20"/>
          <w:szCs w:val="20"/>
          <w:color w:val="auto"/>
        </w:rPr>
      </w:pPr>
    </w:p>
    <w:p>
      <w:pPr>
        <w:spacing w:after="0" w:line="212" w:lineRule="exact"/>
        <w:rPr>
          <w:sz w:val="20"/>
          <w:szCs w:val="20"/>
          <w:color w:val="auto"/>
        </w:rPr>
      </w:pPr>
    </w:p>
    <w:p>
      <w:pPr>
        <w:jc w:val="both"/>
        <w:ind w:firstLine="1702"/>
        <w:spacing w:after="0" w:line="253" w:lineRule="auto"/>
        <w:rPr>
          <w:sz w:val="20"/>
          <w:szCs w:val="20"/>
          <w:color w:val="auto"/>
        </w:rPr>
      </w:pPr>
      <w:r>
        <w:rPr>
          <w:rFonts w:ascii="Arial" w:cs="Arial" w:eastAsia="Arial" w:hAnsi="Arial"/>
          <w:sz w:val="18"/>
          <w:szCs w:val="18"/>
          <w:u w:val="single" w:color="auto"/>
          <w:color w:val="auto"/>
        </w:rPr>
        <w:t>SECTION ONE - Reallocation of Revolving Commitments</w:t>
      </w:r>
      <w:r>
        <w:rPr>
          <w:rFonts w:ascii="Arial" w:cs="Arial" w:eastAsia="Arial" w:hAnsi="Arial"/>
          <w:sz w:val="18"/>
          <w:szCs w:val="18"/>
          <w:color w:val="auto"/>
        </w:rPr>
        <w:t>. On the Fifth Amendment Effective Date, the Borrower, the Consenting Revolving Lenders and the Fourth Amendment Non-Extending Revolving Lender agree that (1) the Total Revolving Commitments shall be $450,000,000, consisting of $446,400,000 of Extended Revolver Commitments and $3,600,000 of Non-Extended Revolver Commitments and (2) the New Revolving Commitments shall constitute Extended Revolving Commitments for all purposes of the Credit Agreement and the other Loan Documents.</w:t>
      </w:r>
    </w:p>
    <w:p>
      <w:pPr>
        <w:spacing w:after="0" w:line="200" w:lineRule="exact"/>
        <w:rPr>
          <w:sz w:val="20"/>
          <w:szCs w:val="20"/>
          <w:color w:val="auto"/>
        </w:rPr>
      </w:pPr>
    </w:p>
    <w:p>
      <w:pPr>
        <w:spacing w:after="0" w:line="222" w:lineRule="exact"/>
        <w:rPr>
          <w:sz w:val="20"/>
          <w:szCs w:val="20"/>
          <w:color w:val="auto"/>
        </w:rPr>
      </w:pPr>
    </w:p>
    <w:p>
      <w:pPr>
        <w:jc w:val="both"/>
        <w:ind w:firstLine="1297"/>
        <w:spacing w:after="0" w:line="256" w:lineRule="auto"/>
        <w:rPr>
          <w:sz w:val="20"/>
          <w:szCs w:val="20"/>
          <w:color w:val="auto"/>
        </w:rPr>
      </w:pPr>
      <w:r>
        <w:rPr>
          <w:rFonts w:ascii="Arial" w:cs="Arial" w:eastAsia="Arial" w:hAnsi="Arial"/>
          <w:sz w:val="18"/>
          <w:szCs w:val="18"/>
          <w:u w:val="single" w:color="auto"/>
          <w:color w:val="auto"/>
        </w:rPr>
        <w:t>SECTION TWO - Extension of Revolving Facility</w:t>
      </w:r>
      <w:r>
        <w:rPr>
          <w:rFonts w:ascii="Arial" w:cs="Arial" w:eastAsia="Arial" w:hAnsi="Arial"/>
          <w:sz w:val="18"/>
          <w:szCs w:val="18"/>
          <w:color w:val="auto"/>
        </w:rPr>
        <w:t>. On the Fifth Amendment Effective Date (immediately after giving effect to the Reallocation contemplated in Section One), the Borrower, each Consenting Lender and the Fourth Amendment Non-Extending Revolving Lender agree the Credit Agreement is modified as follows:</w:t>
      </w:r>
    </w:p>
    <w:p>
      <w:pPr>
        <w:spacing w:after="0" w:line="202" w:lineRule="exact"/>
        <w:rPr>
          <w:sz w:val="20"/>
          <w:szCs w:val="20"/>
          <w:color w:val="auto"/>
        </w:rPr>
      </w:pPr>
    </w:p>
    <w:p>
      <w:pPr>
        <w:ind w:left="2180" w:hanging="875"/>
        <w:spacing w:after="0"/>
        <w:tabs>
          <w:tab w:leader="none" w:pos="2180" w:val="left"/>
        </w:tabs>
        <w:numPr>
          <w:ilvl w:val="0"/>
          <w:numId w:val="102"/>
        </w:numPr>
        <w:rPr>
          <w:rFonts w:ascii="Arial" w:cs="Arial" w:eastAsia="Arial" w:hAnsi="Arial"/>
          <w:sz w:val="18"/>
          <w:szCs w:val="18"/>
          <w:color w:val="auto"/>
        </w:rPr>
      </w:pPr>
      <w:r>
        <w:rPr>
          <w:rFonts w:ascii="Arial" w:cs="Arial" w:eastAsia="Arial" w:hAnsi="Arial"/>
          <w:sz w:val="18"/>
          <w:szCs w:val="18"/>
          <w:color w:val="auto"/>
        </w:rPr>
        <w:t>Section 1.01 of the Credit Agreement is hereby amended by adding the following definitions in appropriate</w:t>
      </w:r>
    </w:p>
    <w:p>
      <w:pPr>
        <w:spacing w:after="0" w:line="9" w:lineRule="exact"/>
        <w:rPr>
          <w:rFonts w:ascii="Arial" w:cs="Arial" w:eastAsia="Arial" w:hAnsi="Arial"/>
          <w:sz w:val="18"/>
          <w:szCs w:val="18"/>
          <w:color w:val="auto"/>
        </w:rPr>
      </w:pPr>
    </w:p>
    <w:p>
      <w:pPr>
        <w:spacing w:after="0"/>
        <w:rPr>
          <w:rFonts w:ascii="Arial" w:cs="Arial" w:eastAsia="Arial" w:hAnsi="Arial"/>
          <w:sz w:val="18"/>
          <w:szCs w:val="18"/>
          <w:color w:val="auto"/>
        </w:rPr>
      </w:pPr>
      <w:r>
        <w:rPr>
          <w:rFonts w:ascii="Arial" w:cs="Arial" w:eastAsia="Arial" w:hAnsi="Arial"/>
          <w:sz w:val="18"/>
          <w:szCs w:val="18"/>
          <w:color w:val="auto"/>
        </w:rPr>
        <w:t>alphabetical order:</w:t>
      </w:r>
    </w:p>
    <w:p>
      <w:pPr>
        <w:spacing w:after="0" w:line="207" w:lineRule="exact"/>
        <w:rPr>
          <w:sz w:val="20"/>
          <w:szCs w:val="20"/>
          <w:color w:val="auto"/>
        </w:rPr>
      </w:pPr>
    </w:p>
    <w:p>
      <w:pPr>
        <w:jc w:val="both"/>
        <w:ind w:firstLine="1297"/>
        <w:spacing w:after="0" w:line="282"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Fifth Amendment</w:t>
      </w:r>
      <w:r>
        <w:rPr>
          <w:rFonts w:ascii="Arial" w:cs="Arial" w:eastAsia="Arial" w:hAnsi="Arial"/>
          <w:sz w:val="18"/>
          <w:szCs w:val="18"/>
          <w:color w:val="auto"/>
        </w:rPr>
        <w:t>” means the Fifth Amendment to this Credit Agreement, dated as of November 8, 2019 among the Borrower, Barclays Bank PLC, as administrative agent and as an issuing lender and the Lenders party thereto.”</w:t>
      </w:r>
    </w:p>
    <w:p>
      <w:pPr>
        <w:spacing w:after="0" w:line="378"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Fifth Amendment Effective Date</w:t>
      </w:r>
      <w:r>
        <w:rPr>
          <w:rFonts w:ascii="Arial" w:cs="Arial" w:eastAsia="Arial" w:hAnsi="Arial"/>
          <w:sz w:val="18"/>
          <w:szCs w:val="18"/>
          <w:color w:val="auto"/>
        </w:rPr>
        <w:t>” shall have the meaning provided in the Fifth Amendment.”;</w:t>
      </w:r>
    </w:p>
    <w:p>
      <w:pPr>
        <w:spacing w:after="0" w:line="200" w:lineRule="exact"/>
        <w:rPr>
          <w:sz w:val="20"/>
          <w:szCs w:val="20"/>
          <w:color w:val="auto"/>
        </w:rPr>
      </w:pPr>
    </w:p>
    <w:p>
      <w:pPr>
        <w:spacing w:after="0" w:line="241" w:lineRule="exact"/>
        <w:rPr>
          <w:sz w:val="20"/>
          <w:szCs w:val="20"/>
          <w:color w:val="auto"/>
        </w:rPr>
      </w:pPr>
    </w:p>
    <w:p>
      <w:pPr>
        <w:jc w:val="both"/>
        <w:ind w:firstLine="1297"/>
        <w:spacing w:after="0" w:line="282"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Fifth Amendment Extended Revolving Commitments</w:t>
      </w:r>
      <w:r>
        <w:rPr>
          <w:rFonts w:ascii="Arial" w:cs="Arial" w:eastAsia="Arial" w:hAnsi="Arial"/>
          <w:sz w:val="18"/>
          <w:szCs w:val="18"/>
          <w:color w:val="auto"/>
        </w:rPr>
        <w:t>” means the Revolving Commitments of each Fifth Amendment Extending Revolving Lender.”</w:t>
      </w:r>
    </w:p>
    <w:p>
      <w:pPr>
        <w:spacing w:after="0" w:line="378" w:lineRule="exact"/>
        <w:rPr>
          <w:sz w:val="20"/>
          <w:szCs w:val="20"/>
          <w:color w:val="auto"/>
        </w:rPr>
      </w:pPr>
    </w:p>
    <w:p>
      <w:pPr>
        <w:jc w:val="both"/>
        <w:ind w:firstLine="1297"/>
        <w:spacing w:after="0" w:line="261" w:lineRule="auto"/>
        <w:rPr>
          <w:sz w:val="20"/>
          <w:szCs w:val="20"/>
          <w:color w:val="auto"/>
        </w:rPr>
      </w:pPr>
      <w:r>
        <w:rPr>
          <w:rFonts w:ascii="Arial" w:cs="Arial" w:eastAsia="Arial" w:hAnsi="Arial"/>
          <w:sz w:val="18"/>
          <w:szCs w:val="18"/>
          <w:i w:val="1"/>
          <w:iCs w:val="1"/>
          <w:color w:val="auto"/>
        </w:rPr>
        <w:t>““Fifth Amendment Extending Revolving Lender</w:t>
      </w:r>
      <w:r>
        <w:rPr>
          <w:rFonts w:ascii="Arial" w:cs="Arial" w:eastAsia="Arial" w:hAnsi="Arial"/>
          <w:sz w:val="18"/>
          <w:szCs w:val="18"/>
          <w:color w:val="auto"/>
        </w:rPr>
        <w:t>” shall mean each Revolving Lender that has provided a signature page on or</w:t>
      </w:r>
      <w:r>
        <w:rPr>
          <w:rFonts w:ascii="Arial" w:cs="Arial" w:eastAsia="Arial" w:hAnsi="Arial"/>
          <w:sz w:val="18"/>
          <w:szCs w:val="18"/>
          <w:i w:val="1"/>
          <w:iCs w:val="1"/>
          <w:color w:val="auto"/>
        </w:rPr>
        <w:t xml:space="preserve"> </w:t>
      </w:r>
      <w:r>
        <w:rPr>
          <w:rFonts w:ascii="Arial" w:cs="Arial" w:eastAsia="Arial" w:hAnsi="Arial"/>
          <w:sz w:val="18"/>
          <w:szCs w:val="18"/>
          <w:color w:val="auto"/>
        </w:rPr>
        <w:t>prior to November 8, 2019 voting in favor of accepting the Fifth Amendment Extension Offer and extending the Revolving Facility Maturity Date as set forth in the Fifth Amendment, which, for the avoidance of doubt, shall not include the Fourth Amendment Non-Extending Revolving Lender.”</w:t>
      </w:r>
    </w:p>
    <w:p>
      <w:pPr>
        <w:spacing w:after="0" w:line="396"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Fifth Amendment Extension Offer</w:t>
      </w:r>
      <w:r>
        <w:rPr>
          <w:rFonts w:ascii="Arial" w:cs="Arial" w:eastAsia="Arial" w:hAnsi="Arial"/>
          <w:sz w:val="18"/>
          <w:szCs w:val="18"/>
          <w:color w:val="auto"/>
        </w:rPr>
        <w:t>” means the Extension Offer made pursuant to the Fifth Amendment.”</w:t>
      </w:r>
    </w:p>
    <w:p>
      <w:pPr>
        <w:spacing w:after="0" w:line="200" w:lineRule="exact"/>
        <w:rPr>
          <w:sz w:val="20"/>
          <w:szCs w:val="20"/>
          <w:color w:val="auto"/>
        </w:rPr>
      </w:pPr>
    </w:p>
    <w:p>
      <w:pPr>
        <w:spacing w:after="0" w:line="257"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2</w:t>
      </w:r>
    </w:p>
    <w:p>
      <w:pPr>
        <w:sectPr>
          <w:pgSz w:w="11900" w:h="16838" w:orient="portrait"/>
          <w:cols w:equalWidth="0" w:num="1">
            <w:col w:w="11420"/>
          </w:cols>
          <w:pgMar w:left="240" w:top="571" w:right="239" w:bottom="1440" w:gutter="0" w:footer="0" w:header="0"/>
        </w:sectPr>
      </w:pPr>
    </w:p>
    <w:bookmarkStart w:id="211" w:name="page212"/>
    <w:bookmarkEnd w:id="211"/>
    <w:p>
      <w:pPr>
        <w:ind w:firstLine="1305"/>
        <w:spacing w:after="0" w:line="282" w:lineRule="auto"/>
        <w:tabs>
          <w:tab w:leader="none" w:pos="2165" w:val="left"/>
        </w:tabs>
        <w:numPr>
          <w:ilvl w:val="0"/>
          <w:numId w:val="103"/>
        </w:numPr>
        <w:rPr>
          <w:rFonts w:ascii="Arial" w:cs="Arial" w:eastAsia="Arial" w:hAnsi="Arial"/>
          <w:sz w:val="18"/>
          <w:szCs w:val="18"/>
          <w:color w:val="auto"/>
        </w:rPr>
      </w:pPr>
      <w:r>
        <w:rPr>
          <w:rFonts w:ascii="Arial" w:cs="Arial" w:eastAsia="Arial" w:hAnsi="Arial"/>
          <w:sz w:val="18"/>
          <w:szCs w:val="18"/>
          <w:color w:val="auto"/>
        </w:rPr>
        <w:t>The definition of “</w:t>
      </w:r>
      <w:r>
        <w:rPr>
          <w:rFonts w:ascii="Arial" w:cs="Arial" w:eastAsia="Arial" w:hAnsi="Arial"/>
          <w:sz w:val="18"/>
          <w:szCs w:val="18"/>
          <w:i w:val="1"/>
          <w:iCs w:val="1"/>
          <w:color w:val="auto"/>
        </w:rPr>
        <w:t>Commitment Fee Rate</w:t>
      </w:r>
      <w:r>
        <w:rPr>
          <w:rFonts w:ascii="Arial" w:cs="Arial" w:eastAsia="Arial" w:hAnsi="Arial"/>
          <w:sz w:val="18"/>
          <w:szCs w:val="18"/>
          <w:color w:val="auto"/>
        </w:rPr>
        <w:t>” appearing in Section 1.01 of the Credit Agreement is hereby amended and restated in its entirety as follows:</w:t>
      </w:r>
    </w:p>
    <w:p>
      <w:pPr>
        <w:spacing w:after="0" w:line="162" w:lineRule="exact"/>
        <w:rPr>
          <w:sz w:val="20"/>
          <w:szCs w:val="20"/>
          <w:color w:val="auto"/>
        </w:rPr>
      </w:pPr>
    </w:p>
    <w:p>
      <w:pPr>
        <w:jc w:val="both"/>
        <w:ind w:left="660" w:firstLine="1297"/>
        <w:spacing w:after="0" w:line="266"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Commitment Fee Rate</w:t>
      </w:r>
      <w:r>
        <w:rPr>
          <w:rFonts w:ascii="Arial" w:cs="Arial" w:eastAsia="Arial" w:hAnsi="Arial"/>
          <w:sz w:val="18"/>
          <w:szCs w:val="18"/>
          <w:color w:val="auto"/>
        </w:rPr>
        <w:t>” shall mean (x) 0.625% per annum (other than with respect to any Fourth Amendment Non-Extended Revolving Commitments) and (y) in respect of Fourth Amendment Non-Extended Revolving Commitments, 0.75% per annum.”;</w:t>
      </w:r>
    </w:p>
    <w:p>
      <w:pPr>
        <w:spacing w:after="0" w:line="176" w:lineRule="exact"/>
        <w:rPr>
          <w:sz w:val="20"/>
          <w:szCs w:val="20"/>
          <w:color w:val="auto"/>
        </w:rPr>
      </w:pPr>
    </w:p>
    <w:p>
      <w:pPr>
        <w:ind w:left="2160" w:hanging="855"/>
        <w:spacing w:after="0"/>
        <w:tabs>
          <w:tab w:leader="none" w:pos="2160" w:val="left"/>
        </w:tabs>
        <w:numPr>
          <w:ilvl w:val="0"/>
          <w:numId w:val="104"/>
        </w:numPr>
        <w:rPr>
          <w:rFonts w:ascii="Arial" w:cs="Arial" w:eastAsia="Arial" w:hAnsi="Arial"/>
          <w:sz w:val="18"/>
          <w:szCs w:val="18"/>
          <w:color w:val="auto"/>
        </w:rPr>
      </w:pPr>
      <w:r>
        <w:rPr>
          <w:rFonts w:ascii="Arial" w:cs="Arial" w:eastAsia="Arial" w:hAnsi="Arial"/>
          <w:sz w:val="18"/>
          <w:szCs w:val="18"/>
          <w:color w:val="auto"/>
        </w:rPr>
        <w:t>The definition of “</w:t>
      </w:r>
      <w:r>
        <w:rPr>
          <w:rFonts w:ascii="Arial" w:cs="Arial" w:eastAsia="Arial" w:hAnsi="Arial"/>
          <w:sz w:val="18"/>
          <w:szCs w:val="18"/>
          <w:i w:val="1"/>
          <w:iCs w:val="1"/>
          <w:color w:val="auto"/>
        </w:rPr>
        <w:t>Fourth Amendment Non-Extending Revolving Lender</w:t>
      </w:r>
      <w:r>
        <w:rPr>
          <w:rFonts w:ascii="Arial" w:cs="Arial" w:eastAsia="Arial" w:hAnsi="Arial"/>
          <w:sz w:val="18"/>
          <w:szCs w:val="18"/>
          <w:color w:val="auto"/>
        </w:rPr>
        <w:t>” is hereby amended and restated in its</w:t>
      </w:r>
    </w:p>
    <w:p>
      <w:pPr>
        <w:spacing w:after="0" w:line="27" w:lineRule="exact"/>
        <w:rPr>
          <w:rFonts w:ascii="Arial" w:cs="Arial" w:eastAsia="Arial" w:hAnsi="Arial"/>
          <w:sz w:val="18"/>
          <w:szCs w:val="18"/>
          <w:color w:val="auto"/>
        </w:rPr>
      </w:pPr>
    </w:p>
    <w:p>
      <w:pPr>
        <w:spacing w:after="0"/>
        <w:rPr>
          <w:rFonts w:ascii="Arial" w:cs="Arial" w:eastAsia="Arial" w:hAnsi="Arial"/>
          <w:sz w:val="18"/>
          <w:szCs w:val="18"/>
          <w:color w:val="auto"/>
        </w:rPr>
      </w:pPr>
      <w:r>
        <w:rPr>
          <w:rFonts w:ascii="Arial" w:cs="Arial" w:eastAsia="Arial" w:hAnsi="Arial"/>
          <w:sz w:val="18"/>
          <w:szCs w:val="18"/>
          <w:color w:val="auto"/>
        </w:rPr>
        <w:t>entirety as follows:</w:t>
      </w:r>
    </w:p>
    <w:p>
      <w:pPr>
        <w:spacing w:after="0" w:line="207" w:lineRule="exact"/>
        <w:rPr>
          <w:sz w:val="20"/>
          <w:szCs w:val="20"/>
          <w:color w:val="auto"/>
        </w:rPr>
      </w:pPr>
    </w:p>
    <w:p>
      <w:pPr>
        <w:ind w:left="1300" w:firstLine="648"/>
        <w:spacing w:after="0" w:line="282"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Fourth Amendment Non-Extending Revolving Lender</w:t>
      </w:r>
      <w:r>
        <w:rPr>
          <w:rFonts w:ascii="Arial" w:cs="Arial" w:eastAsia="Arial" w:hAnsi="Arial"/>
          <w:sz w:val="18"/>
          <w:szCs w:val="18"/>
          <w:color w:val="auto"/>
        </w:rPr>
        <w:t>” shall mean, Texas Capital Bank, N.A., and any successor or permitted assign of a Fourth Amendment Non-Extending Revolving Lender.”</w:t>
      </w:r>
    </w:p>
    <w:p>
      <w:pPr>
        <w:spacing w:after="0" w:line="180" w:lineRule="exact"/>
        <w:rPr>
          <w:sz w:val="20"/>
          <w:szCs w:val="20"/>
          <w:color w:val="auto"/>
        </w:rPr>
      </w:pPr>
    </w:p>
    <w:p>
      <w:pPr>
        <w:ind w:right="80" w:firstLine="1305"/>
        <w:spacing w:after="0" w:line="256" w:lineRule="auto"/>
        <w:tabs>
          <w:tab w:leader="none" w:pos="2165" w:val="left"/>
        </w:tabs>
        <w:numPr>
          <w:ilvl w:val="0"/>
          <w:numId w:val="105"/>
        </w:numPr>
        <w:rPr>
          <w:rFonts w:ascii="Arial" w:cs="Arial" w:eastAsia="Arial" w:hAnsi="Arial"/>
          <w:sz w:val="18"/>
          <w:szCs w:val="18"/>
          <w:color w:val="auto"/>
        </w:rPr>
      </w:pPr>
      <w:r>
        <w:rPr>
          <w:rFonts w:ascii="Arial" w:cs="Arial" w:eastAsia="Arial" w:hAnsi="Arial"/>
          <w:sz w:val="18"/>
          <w:szCs w:val="18"/>
          <w:color w:val="auto"/>
        </w:rPr>
        <w:t>The definition of “LIBO Rate” appearing in Section 1.01 of the Credit Agreement is hereby amended by adding “and Revolving Loans in respect of Fifth Amendment Extended Revolving Commitments” after “solely in respect of the 2017 Class B Term Loans” where it is used therein.</w:t>
      </w:r>
    </w:p>
    <w:p>
      <w:pPr>
        <w:spacing w:after="0" w:line="183" w:lineRule="exact"/>
        <w:rPr>
          <w:rFonts w:ascii="Arial" w:cs="Arial" w:eastAsia="Arial" w:hAnsi="Arial"/>
          <w:sz w:val="18"/>
          <w:szCs w:val="18"/>
          <w:color w:val="auto"/>
        </w:rPr>
      </w:pPr>
    </w:p>
    <w:p>
      <w:pPr>
        <w:ind w:right="440" w:firstLine="1305"/>
        <w:spacing w:after="0" w:line="282" w:lineRule="auto"/>
        <w:tabs>
          <w:tab w:leader="none" w:pos="2165" w:val="left"/>
        </w:tabs>
        <w:numPr>
          <w:ilvl w:val="0"/>
          <w:numId w:val="105"/>
        </w:numPr>
        <w:rPr>
          <w:rFonts w:ascii="Arial" w:cs="Arial" w:eastAsia="Arial" w:hAnsi="Arial"/>
          <w:sz w:val="18"/>
          <w:szCs w:val="18"/>
          <w:color w:val="auto"/>
        </w:rPr>
      </w:pPr>
      <w:r>
        <w:rPr>
          <w:rFonts w:ascii="Arial" w:cs="Arial" w:eastAsia="Arial" w:hAnsi="Arial"/>
          <w:sz w:val="18"/>
          <w:szCs w:val="18"/>
          <w:color w:val="auto"/>
        </w:rPr>
        <w:t>The definition of “</w:t>
      </w:r>
      <w:r>
        <w:rPr>
          <w:rFonts w:ascii="Arial" w:cs="Arial" w:eastAsia="Arial" w:hAnsi="Arial"/>
          <w:sz w:val="18"/>
          <w:szCs w:val="18"/>
          <w:i w:val="1"/>
          <w:iCs w:val="1"/>
          <w:color w:val="auto"/>
        </w:rPr>
        <w:t>Revolving Facility Maturity Date</w:t>
      </w:r>
      <w:r>
        <w:rPr>
          <w:rFonts w:ascii="Arial" w:cs="Arial" w:eastAsia="Arial" w:hAnsi="Arial"/>
          <w:sz w:val="18"/>
          <w:szCs w:val="18"/>
          <w:color w:val="auto"/>
        </w:rPr>
        <w:t>” appearing in Section 1.01 of the Credit Agreement is hereby amended and restated in its entirety as follows:</w:t>
      </w:r>
    </w:p>
    <w:p>
      <w:pPr>
        <w:spacing w:after="0" w:line="162" w:lineRule="exact"/>
        <w:rPr>
          <w:sz w:val="20"/>
          <w:szCs w:val="20"/>
          <w:color w:val="auto"/>
        </w:rPr>
      </w:pPr>
    </w:p>
    <w:p>
      <w:pPr>
        <w:jc w:val="both"/>
        <w:ind w:left="880" w:firstLine="972"/>
        <w:spacing w:after="0" w:line="257"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Revolving Facility Maturity Date</w:t>
      </w:r>
      <w:r>
        <w:rPr>
          <w:rFonts w:ascii="Arial" w:cs="Arial" w:eastAsia="Arial" w:hAnsi="Arial"/>
          <w:sz w:val="18"/>
          <w:szCs w:val="18"/>
          <w:color w:val="auto"/>
        </w:rPr>
        <w:t>” shall mean, (a) with respect to Fifth Amendment Extended Revolving Commitments, that have not been extended pursuant to Section 2.28(b), but including Revolving Commitments extended or made available pursuant to the Fifth Amendment, October 11, 2024, (b) with respect to Fourth Amendment Non-Extended Revolving Commitments that have not been extended pursuant to Section 2.28(b), October 13, 2022 and (c) with respect to Extended Revolving Commitments extended after the Fifth Amendment Effective Date, the final maturity date therefor as specified in the applicable Extension Offer accepted by the respective Revolving Lender or Revolving Lenders.”;</w:t>
      </w:r>
    </w:p>
    <w:p>
      <w:pPr>
        <w:spacing w:after="0" w:line="183" w:lineRule="exact"/>
        <w:rPr>
          <w:sz w:val="20"/>
          <w:szCs w:val="20"/>
          <w:color w:val="auto"/>
        </w:rPr>
      </w:pPr>
    </w:p>
    <w:p>
      <w:pPr>
        <w:ind w:left="80" w:right="320" w:firstLine="1292"/>
        <w:spacing w:after="0" w:line="282" w:lineRule="auto"/>
        <w:tabs>
          <w:tab w:leader="none" w:pos="2114" w:val="left"/>
        </w:tabs>
        <w:numPr>
          <w:ilvl w:val="0"/>
          <w:numId w:val="106"/>
        </w:numPr>
        <w:rPr>
          <w:rFonts w:ascii="Arial" w:cs="Arial" w:eastAsia="Arial" w:hAnsi="Arial"/>
          <w:sz w:val="18"/>
          <w:szCs w:val="18"/>
          <w:color w:val="auto"/>
        </w:rPr>
      </w:pPr>
      <w:r>
        <w:rPr>
          <w:rFonts w:ascii="Arial" w:cs="Arial" w:eastAsia="Arial" w:hAnsi="Arial"/>
          <w:sz w:val="18"/>
          <w:szCs w:val="18"/>
          <w:color w:val="auto"/>
        </w:rPr>
        <w:t>The definition of “</w:t>
      </w:r>
      <w:r>
        <w:rPr>
          <w:rFonts w:ascii="Arial" w:cs="Arial" w:eastAsia="Arial" w:hAnsi="Arial"/>
          <w:sz w:val="18"/>
          <w:szCs w:val="18"/>
          <w:i w:val="1"/>
          <w:iCs w:val="1"/>
          <w:color w:val="auto"/>
        </w:rPr>
        <w:t>Revolving Commitment</w:t>
      </w:r>
      <w:r>
        <w:rPr>
          <w:rFonts w:ascii="Arial" w:cs="Arial" w:eastAsia="Arial" w:hAnsi="Arial"/>
          <w:sz w:val="18"/>
          <w:szCs w:val="18"/>
          <w:color w:val="auto"/>
        </w:rPr>
        <w:t>” is hereby amended by deleting the last sentence of said definition in its entirety and inserting in lieu thereof the following new sentence:</w:t>
      </w:r>
    </w:p>
    <w:p>
      <w:pPr>
        <w:spacing w:after="0" w:line="180" w:lineRule="exact"/>
        <w:rPr>
          <w:sz w:val="20"/>
          <w:szCs w:val="20"/>
          <w:color w:val="auto"/>
        </w:rPr>
      </w:pPr>
    </w:p>
    <w:p>
      <w:pPr>
        <w:jc w:val="both"/>
        <w:ind w:left="880" w:firstLine="972"/>
        <w:spacing w:after="0" w:line="256" w:lineRule="auto"/>
        <w:rPr>
          <w:sz w:val="20"/>
          <w:szCs w:val="20"/>
          <w:color w:val="auto"/>
        </w:rPr>
      </w:pPr>
      <w:r>
        <w:rPr>
          <w:rFonts w:ascii="Arial" w:cs="Arial" w:eastAsia="Arial" w:hAnsi="Arial"/>
          <w:sz w:val="18"/>
          <w:szCs w:val="18"/>
          <w:color w:val="auto"/>
        </w:rPr>
        <w:t>“The aggregate amount of the Total Revolving Commitments as of the Fifth Amendment Effective Date is $450,000,000, consisting of $446,400,000 of Extended Revolver Commitments and $3,600,000 of Fourth Amendment Non-Extended Revolver Commitments.”;</w:t>
      </w:r>
    </w:p>
    <w:p>
      <w:pPr>
        <w:spacing w:after="0" w:line="202" w:lineRule="exact"/>
        <w:rPr>
          <w:sz w:val="20"/>
          <w:szCs w:val="20"/>
          <w:color w:val="auto"/>
        </w:rPr>
      </w:pPr>
    </w:p>
    <w:p>
      <w:pPr>
        <w:ind w:left="2160" w:hanging="788"/>
        <w:spacing w:after="0"/>
        <w:tabs>
          <w:tab w:leader="none" w:pos="2160" w:val="left"/>
        </w:tabs>
        <w:numPr>
          <w:ilvl w:val="0"/>
          <w:numId w:val="107"/>
        </w:numPr>
        <w:rPr>
          <w:rFonts w:ascii="Arial" w:cs="Arial" w:eastAsia="Arial" w:hAnsi="Arial"/>
          <w:sz w:val="18"/>
          <w:szCs w:val="18"/>
          <w:color w:val="auto"/>
        </w:rPr>
      </w:pPr>
      <w:r>
        <w:rPr>
          <w:rFonts w:ascii="Arial" w:cs="Arial" w:eastAsia="Arial" w:hAnsi="Arial"/>
          <w:sz w:val="18"/>
          <w:szCs w:val="18"/>
          <w:color w:val="auto"/>
        </w:rPr>
        <w:t>Section 2.20(a) of the Credit Agreement is hereby amended and restated in its entirety as follows:</w:t>
      </w:r>
    </w:p>
    <w:p>
      <w:pPr>
        <w:spacing w:after="0" w:line="225" w:lineRule="exact"/>
        <w:rPr>
          <w:sz w:val="20"/>
          <w:szCs w:val="20"/>
          <w:color w:val="auto"/>
        </w:rPr>
      </w:pPr>
    </w:p>
    <w:p>
      <w:pPr>
        <w:jc w:val="both"/>
        <w:ind w:firstLine="1297"/>
        <w:spacing w:after="0" w:line="251" w:lineRule="auto"/>
        <w:rPr>
          <w:sz w:val="20"/>
          <w:szCs w:val="20"/>
          <w:color w:val="auto"/>
        </w:rPr>
      </w:pPr>
      <w:r>
        <w:rPr>
          <w:rFonts w:ascii="Arial" w:cs="Arial" w:eastAsia="Arial" w:hAnsi="Arial"/>
          <w:sz w:val="18"/>
          <w:szCs w:val="18"/>
          <w:color w:val="auto"/>
        </w:rPr>
        <w:t>“The Borrower shall pay to the Administrative Agent for the accounts of the Revolving Lenders a commitment fee (the “</w:t>
      </w:r>
      <w:r>
        <w:rPr>
          <w:rFonts w:ascii="Arial" w:cs="Arial" w:eastAsia="Arial" w:hAnsi="Arial"/>
          <w:sz w:val="18"/>
          <w:szCs w:val="18"/>
          <w:i w:val="1"/>
          <w:iCs w:val="1"/>
          <w:color w:val="auto"/>
        </w:rPr>
        <w:t>Commitment Fee</w:t>
      </w:r>
      <w:r>
        <w:rPr>
          <w:rFonts w:ascii="Arial" w:cs="Arial" w:eastAsia="Arial" w:hAnsi="Arial"/>
          <w:sz w:val="18"/>
          <w:szCs w:val="18"/>
          <w:color w:val="auto"/>
        </w:rPr>
        <w:t>”) for the period commencing on the Revolver Availability Date (or such other date agreed by the Borrower and the Revolving Lenders) and ending on the Revolving Facility Termination Date with respect to the applicable Revolving Commitments or the earlier date of termination of the applicable Revolving Commitment, computed (on the basis of the actual number of days elapsed over a year of 360 days) at the Commitment Fee Rate on the average daily Unused Total Revolving Commitment. Such Commitment Fee, to the extent then accrued, shall be payable quarterly in arrears (a) following the Revolver Availability Date on the last Business Day of each March, June, September and December, (b) on the Revolving Facility Termination Date with respect to the applicable Revolving Commitments and (c) as provided in Section 2.11, upon any reduction or termination in whole or in part of the Total Revolving Commitment (provided that such fee will be prorated based on the Commitment Fee set forth in the Fourth Amendment or Fifth Amendment, as applicable for the fiscal quarter in which the Fourth Amendment Effective Date or Fifth Amendment Effective Date, as applicable, occurs).”</w:t>
      </w:r>
    </w:p>
    <w:p>
      <w:pPr>
        <w:spacing w:after="0" w:line="212" w:lineRule="exact"/>
        <w:rPr>
          <w:sz w:val="20"/>
          <w:szCs w:val="20"/>
          <w:color w:val="auto"/>
        </w:rPr>
      </w:pPr>
    </w:p>
    <w:p>
      <w:pPr>
        <w:ind w:left="2160" w:hanging="788"/>
        <w:spacing w:after="0"/>
        <w:tabs>
          <w:tab w:leader="none" w:pos="2160" w:val="left"/>
        </w:tabs>
        <w:numPr>
          <w:ilvl w:val="0"/>
          <w:numId w:val="108"/>
        </w:numPr>
        <w:rPr>
          <w:rFonts w:ascii="Arial" w:cs="Arial" w:eastAsia="Arial" w:hAnsi="Arial"/>
          <w:sz w:val="18"/>
          <w:szCs w:val="18"/>
          <w:color w:val="auto"/>
        </w:rPr>
      </w:pPr>
      <w:r>
        <w:rPr>
          <w:rFonts w:ascii="Arial" w:cs="Arial" w:eastAsia="Arial" w:hAnsi="Arial"/>
          <w:sz w:val="18"/>
          <w:szCs w:val="18"/>
          <w:color w:val="auto"/>
        </w:rPr>
        <w:t>“Annex A” of the Credit Agreement is hereby amended and restated in its entirety in the form attached hereto as</w:t>
      </w:r>
    </w:p>
    <w:p>
      <w:pPr>
        <w:spacing w:after="0" w:line="9" w:lineRule="exact"/>
        <w:rPr>
          <w:sz w:val="20"/>
          <w:szCs w:val="20"/>
          <w:color w:val="auto"/>
        </w:rPr>
      </w:pPr>
    </w:p>
    <w:p>
      <w:pPr>
        <w:ind w:left="80"/>
        <w:spacing w:after="0"/>
        <w:rPr>
          <w:sz w:val="20"/>
          <w:szCs w:val="20"/>
          <w:color w:val="auto"/>
        </w:rPr>
      </w:pPr>
      <w:r>
        <w:rPr>
          <w:rFonts w:ascii="Arial" w:cs="Arial" w:eastAsia="Arial" w:hAnsi="Arial"/>
          <w:sz w:val="18"/>
          <w:szCs w:val="18"/>
          <w:color w:val="auto"/>
        </w:rPr>
        <w:t>Schedule 1.</w:t>
      </w:r>
    </w:p>
    <w:p>
      <w:pPr>
        <w:spacing w:after="0" w:line="222"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3</w:t>
      </w:r>
    </w:p>
    <w:p>
      <w:pPr>
        <w:sectPr>
          <w:pgSz w:w="11900" w:h="16838" w:orient="portrait"/>
          <w:cols w:equalWidth="0" w:num="1">
            <w:col w:w="11420"/>
          </w:cols>
          <w:pgMar w:left="240" w:top="337" w:right="239" w:bottom="1440" w:gutter="0" w:footer="0" w:header="0"/>
        </w:sectPr>
      </w:pPr>
    </w:p>
    <w:bookmarkStart w:id="212" w:name="page213"/>
    <w:bookmarkEnd w:id="212"/>
    <w:p>
      <w:pPr>
        <w:jc w:val="both"/>
        <w:ind w:firstLine="1297"/>
        <w:spacing w:after="0" w:line="254" w:lineRule="auto"/>
        <w:rPr>
          <w:sz w:val="20"/>
          <w:szCs w:val="20"/>
          <w:color w:val="auto"/>
        </w:rPr>
      </w:pPr>
      <w:r>
        <w:rPr>
          <w:rFonts w:ascii="Arial" w:cs="Arial" w:eastAsia="Arial" w:hAnsi="Arial"/>
          <w:sz w:val="18"/>
          <w:szCs w:val="18"/>
          <w:color w:val="auto"/>
        </w:rPr>
        <w:t>Notwithstanding anything in this Fifth Amendment or the Credit Agreement to the contrary, the Administrative Agent hereby waives (a) the minimum notice required by Section 2.27(a) of the Credit Agreement in connection with the establishment of the New Revolving Commitments and (b) the minimum notice required by Section 2.28(e) of the Credit Agreement in connection with the extension of the Revolving Commitments to be effectuated by this Fifth Amendment.</w:t>
      </w:r>
    </w:p>
    <w:p>
      <w:pPr>
        <w:spacing w:after="0" w:line="204" w:lineRule="exact"/>
        <w:rPr>
          <w:sz w:val="20"/>
          <w:szCs w:val="20"/>
          <w:color w:val="auto"/>
        </w:rPr>
      </w:pPr>
    </w:p>
    <w:p>
      <w:pPr>
        <w:jc w:val="both"/>
        <w:ind w:right="20" w:firstLine="1297"/>
        <w:spacing w:after="0" w:line="262" w:lineRule="auto"/>
        <w:rPr>
          <w:sz w:val="20"/>
          <w:szCs w:val="20"/>
          <w:color w:val="auto"/>
        </w:rPr>
      </w:pPr>
      <w:r>
        <w:rPr>
          <w:rFonts w:ascii="Arial" w:cs="Arial" w:eastAsia="Arial" w:hAnsi="Arial"/>
          <w:sz w:val="18"/>
          <w:szCs w:val="18"/>
          <w:u w:val="single" w:color="auto"/>
          <w:color w:val="auto"/>
        </w:rPr>
        <w:t>SECTION THREE - Titles and Roles.</w:t>
      </w:r>
      <w:r>
        <w:rPr>
          <w:rFonts w:ascii="Arial" w:cs="Arial" w:eastAsia="Arial" w:hAnsi="Arial"/>
          <w:sz w:val="18"/>
          <w:szCs w:val="18"/>
          <w:color w:val="auto"/>
        </w:rPr>
        <w:t xml:space="preserve"> The parties hereto agree that, as of the Fifth Amendment Effective Date (as defined below) and in connection with the Fifth Amendment:</w:t>
      </w:r>
    </w:p>
    <w:p>
      <w:pPr>
        <w:spacing w:after="0" w:line="178" w:lineRule="exact"/>
        <w:rPr>
          <w:sz w:val="20"/>
          <w:szCs w:val="20"/>
          <w:color w:val="auto"/>
        </w:rPr>
      </w:pPr>
    </w:p>
    <w:p>
      <w:pPr>
        <w:jc w:val="both"/>
        <w:ind w:firstLine="1305"/>
        <w:spacing w:after="0" w:line="257" w:lineRule="auto"/>
        <w:tabs>
          <w:tab w:leader="none" w:pos="1753" w:val="left"/>
        </w:tabs>
        <w:numPr>
          <w:ilvl w:val="0"/>
          <w:numId w:val="109"/>
        </w:numPr>
        <w:rPr>
          <w:rFonts w:ascii="Arial" w:cs="Arial" w:eastAsia="Arial" w:hAnsi="Arial"/>
          <w:sz w:val="18"/>
          <w:szCs w:val="18"/>
          <w:color w:val="auto"/>
        </w:rPr>
      </w:pPr>
      <w:r>
        <w:rPr>
          <w:rFonts w:ascii="Arial" w:cs="Arial" w:eastAsia="Arial" w:hAnsi="Arial"/>
          <w:sz w:val="18"/>
          <w:szCs w:val="18"/>
          <w:color w:val="auto"/>
        </w:rPr>
        <w:t>each of Barclays Bank PLC (“</w:t>
      </w:r>
      <w:r>
        <w:rPr>
          <w:rFonts w:ascii="Arial" w:cs="Arial" w:eastAsia="Arial" w:hAnsi="Arial"/>
          <w:sz w:val="18"/>
          <w:szCs w:val="18"/>
          <w:i w:val="1"/>
          <w:iCs w:val="1"/>
          <w:color w:val="auto"/>
        </w:rPr>
        <w:t>Barclays</w:t>
      </w:r>
      <w:r>
        <w:rPr>
          <w:rFonts w:ascii="Arial" w:cs="Arial" w:eastAsia="Arial" w:hAnsi="Arial"/>
          <w:sz w:val="18"/>
          <w:szCs w:val="18"/>
          <w:color w:val="auto"/>
        </w:rPr>
        <w:t>”), Citigroup Global Markets Inc. (“</w:t>
      </w:r>
      <w:r>
        <w:rPr>
          <w:rFonts w:ascii="Arial" w:cs="Arial" w:eastAsia="Arial" w:hAnsi="Arial"/>
          <w:sz w:val="18"/>
          <w:szCs w:val="18"/>
          <w:i w:val="1"/>
          <w:iCs w:val="1"/>
          <w:color w:val="auto"/>
        </w:rPr>
        <w:t>Citi</w:t>
      </w:r>
      <w:r>
        <w:rPr>
          <w:rFonts w:ascii="Arial" w:cs="Arial" w:eastAsia="Arial" w:hAnsi="Arial"/>
          <w:sz w:val="18"/>
          <w:szCs w:val="18"/>
          <w:color w:val="auto"/>
        </w:rPr>
        <w:t>”), Credit Suisse Securities (USA) LLC (“</w:t>
      </w:r>
      <w:r>
        <w:rPr>
          <w:rFonts w:ascii="Arial" w:cs="Arial" w:eastAsia="Arial" w:hAnsi="Arial"/>
          <w:sz w:val="18"/>
          <w:szCs w:val="18"/>
          <w:i w:val="1"/>
          <w:iCs w:val="1"/>
          <w:color w:val="auto"/>
        </w:rPr>
        <w:t>CS</w:t>
      </w:r>
      <w:r>
        <w:rPr>
          <w:rFonts w:ascii="Arial" w:cs="Arial" w:eastAsia="Arial" w:hAnsi="Arial"/>
          <w:sz w:val="18"/>
          <w:szCs w:val="18"/>
          <w:color w:val="auto"/>
        </w:rPr>
        <w:t xml:space="preserve"> </w:t>
      </w:r>
      <w:r>
        <w:rPr>
          <w:rFonts w:ascii="Arial" w:cs="Arial" w:eastAsia="Arial" w:hAnsi="Arial"/>
          <w:sz w:val="18"/>
          <w:szCs w:val="18"/>
          <w:i w:val="1"/>
          <w:iCs w:val="1"/>
          <w:color w:val="auto"/>
        </w:rPr>
        <w:t>Securities</w:t>
      </w:r>
      <w:r>
        <w:rPr>
          <w:rFonts w:ascii="Arial" w:cs="Arial" w:eastAsia="Arial" w:hAnsi="Arial"/>
          <w:sz w:val="18"/>
          <w:szCs w:val="18"/>
          <w:color w:val="auto"/>
        </w:rPr>
        <w:t>”), Deutsche Bank Securities Inc. (“</w:t>
      </w:r>
      <w:r>
        <w:rPr>
          <w:rFonts w:ascii="Arial" w:cs="Arial" w:eastAsia="Arial" w:hAnsi="Arial"/>
          <w:sz w:val="18"/>
          <w:szCs w:val="18"/>
          <w:i w:val="1"/>
          <w:iCs w:val="1"/>
          <w:color w:val="auto"/>
        </w:rPr>
        <w:t>DBSI</w:t>
      </w:r>
      <w:r>
        <w:rPr>
          <w:rFonts w:ascii="Arial" w:cs="Arial" w:eastAsia="Arial" w:hAnsi="Arial"/>
          <w:sz w:val="18"/>
          <w:szCs w:val="18"/>
          <w:color w:val="auto"/>
        </w:rPr>
        <w:t>”), Goldman Sachs Lending Partners LLC (“</w:t>
      </w:r>
      <w:r>
        <w:rPr>
          <w:rFonts w:ascii="Arial" w:cs="Arial" w:eastAsia="Arial" w:hAnsi="Arial"/>
          <w:sz w:val="18"/>
          <w:szCs w:val="18"/>
          <w:i w:val="1"/>
          <w:iCs w:val="1"/>
          <w:color w:val="auto"/>
        </w:rPr>
        <w:t>GSLP</w:t>
      </w:r>
      <w:r>
        <w:rPr>
          <w:rFonts w:ascii="Arial" w:cs="Arial" w:eastAsia="Arial" w:hAnsi="Arial"/>
          <w:sz w:val="18"/>
          <w:szCs w:val="18"/>
          <w:color w:val="auto"/>
        </w:rPr>
        <w:t>”), Industrial and Commercial Bank of</w:t>
      </w:r>
      <w:r>
        <w:rPr>
          <w:rFonts w:ascii="Arial" w:cs="Arial" w:eastAsia="Arial" w:hAnsi="Arial"/>
          <w:sz w:val="18"/>
          <w:szCs w:val="18"/>
          <w:i w:val="1"/>
          <w:iCs w:val="1"/>
          <w:color w:val="auto"/>
        </w:rPr>
        <w:t xml:space="preserve"> </w:t>
      </w:r>
      <w:r>
        <w:rPr>
          <w:rFonts w:ascii="Arial" w:cs="Arial" w:eastAsia="Arial" w:hAnsi="Arial"/>
          <w:sz w:val="18"/>
          <w:szCs w:val="18"/>
          <w:color w:val="auto"/>
        </w:rPr>
        <w:t>China Limited, New York Branch (“</w:t>
      </w:r>
      <w:r>
        <w:rPr>
          <w:rFonts w:ascii="Arial" w:cs="Arial" w:eastAsia="Arial" w:hAnsi="Arial"/>
          <w:sz w:val="18"/>
          <w:szCs w:val="18"/>
          <w:i w:val="1"/>
          <w:iCs w:val="1"/>
          <w:color w:val="auto"/>
        </w:rPr>
        <w:t>ICBC</w:t>
      </w:r>
      <w:r>
        <w:rPr>
          <w:rFonts w:ascii="Arial" w:cs="Arial" w:eastAsia="Arial" w:hAnsi="Arial"/>
          <w:sz w:val="18"/>
          <w:szCs w:val="18"/>
          <w:color w:val="auto"/>
        </w:rPr>
        <w:t>”), JPMorgan Chase Bank, N.A. (“</w:t>
      </w:r>
      <w:r>
        <w:rPr>
          <w:rFonts w:ascii="Arial" w:cs="Arial" w:eastAsia="Arial" w:hAnsi="Arial"/>
          <w:sz w:val="18"/>
          <w:szCs w:val="18"/>
          <w:i w:val="1"/>
          <w:iCs w:val="1"/>
          <w:color w:val="auto"/>
        </w:rPr>
        <w:t>JPMCB</w:t>
      </w:r>
      <w:r>
        <w:rPr>
          <w:rFonts w:ascii="Arial" w:cs="Arial" w:eastAsia="Arial" w:hAnsi="Arial"/>
          <w:sz w:val="18"/>
          <w:szCs w:val="18"/>
          <w:color w:val="auto"/>
        </w:rPr>
        <w:t>”), Merrill Lynch, Pierce, Fenner &amp; Smith Incorporated (“</w:t>
      </w:r>
      <w:r>
        <w:rPr>
          <w:rFonts w:ascii="Arial" w:cs="Arial" w:eastAsia="Arial" w:hAnsi="Arial"/>
          <w:sz w:val="18"/>
          <w:szCs w:val="18"/>
          <w:i w:val="1"/>
          <w:iCs w:val="1"/>
          <w:color w:val="auto"/>
        </w:rPr>
        <w:t>ML</w:t>
      </w:r>
      <w:r>
        <w:rPr>
          <w:rFonts w:ascii="Arial" w:cs="Arial" w:eastAsia="Arial" w:hAnsi="Arial"/>
          <w:sz w:val="18"/>
          <w:szCs w:val="18"/>
          <w:color w:val="auto"/>
        </w:rPr>
        <w:t>”), Morgan Stanley Senior Funding, Inc. (“</w:t>
      </w:r>
      <w:r>
        <w:rPr>
          <w:rFonts w:ascii="Arial" w:cs="Arial" w:eastAsia="Arial" w:hAnsi="Arial"/>
          <w:sz w:val="18"/>
          <w:szCs w:val="18"/>
          <w:i w:val="1"/>
          <w:iCs w:val="1"/>
          <w:color w:val="auto"/>
        </w:rPr>
        <w:t>MS</w:t>
      </w:r>
      <w:r>
        <w:rPr>
          <w:rFonts w:ascii="Arial" w:cs="Arial" w:eastAsia="Arial" w:hAnsi="Arial"/>
          <w:sz w:val="18"/>
          <w:szCs w:val="18"/>
          <w:color w:val="auto"/>
        </w:rPr>
        <w:t>”), Sumitomo Mitsui Banking Corporation (“</w:t>
      </w:r>
      <w:r>
        <w:rPr>
          <w:rFonts w:ascii="Arial" w:cs="Arial" w:eastAsia="Arial" w:hAnsi="Arial"/>
          <w:sz w:val="18"/>
          <w:szCs w:val="18"/>
          <w:i w:val="1"/>
          <w:iCs w:val="1"/>
          <w:color w:val="auto"/>
        </w:rPr>
        <w:t>SMBC</w:t>
      </w:r>
      <w:r>
        <w:rPr>
          <w:rFonts w:ascii="Arial" w:cs="Arial" w:eastAsia="Arial" w:hAnsi="Arial"/>
          <w:sz w:val="18"/>
          <w:szCs w:val="18"/>
          <w:color w:val="auto"/>
        </w:rPr>
        <w:t>”), BNP Paribas Securities Corp. (“</w:t>
      </w:r>
      <w:r>
        <w:rPr>
          <w:rFonts w:ascii="Arial" w:cs="Arial" w:eastAsia="Arial" w:hAnsi="Arial"/>
          <w:sz w:val="18"/>
          <w:szCs w:val="18"/>
          <w:i w:val="1"/>
          <w:iCs w:val="1"/>
          <w:color w:val="auto"/>
        </w:rPr>
        <w:t>BNP</w:t>
      </w:r>
      <w:r>
        <w:rPr>
          <w:rFonts w:ascii="Arial" w:cs="Arial" w:eastAsia="Arial" w:hAnsi="Arial"/>
          <w:sz w:val="18"/>
          <w:szCs w:val="18"/>
          <w:color w:val="auto"/>
        </w:rPr>
        <w:t xml:space="preserve"> </w:t>
      </w:r>
      <w:r>
        <w:rPr>
          <w:rFonts w:ascii="Arial" w:cs="Arial" w:eastAsia="Arial" w:hAnsi="Arial"/>
          <w:sz w:val="18"/>
          <w:szCs w:val="18"/>
          <w:i w:val="1"/>
          <w:iCs w:val="1"/>
          <w:color w:val="auto"/>
        </w:rPr>
        <w:t>Securities</w:t>
      </w:r>
      <w:r>
        <w:rPr>
          <w:rFonts w:ascii="Arial" w:cs="Arial" w:eastAsia="Arial" w:hAnsi="Arial"/>
          <w:sz w:val="18"/>
          <w:szCs w:val="18"/>
          <w:color w:val="auto"/>
        </w:rPr>
        <w:t>”), Credit Agricole Corporate and Investment Bank (“</w:t>
      </w:r>
      <w:r>
        <w:rPr>
          <w:rFonts w:ascii="Arial" w:cs="Arial" w:eastAsia="Arial" w:hAnsi="Arial"/>
          <w:sz w:val="18"/>
          <w:szCs w:val="18"/>
          <w:i w:val="1"/>
          <w:iCs w:val="1"/>
          <w:color w:val="auto"/>
        </w:rPr>
        <w:t>CA-CIB</w:t>
      </w:r>
      <w:r>
        <w:rPr>
          <w:rFonts w:ascii="Arial" w:cs="Arial" w:eastAsia="Arial" w:hAnsi="Arial"/>
          <w:sz w:val="18"/>
          <w:szCs w:val="18"/>
          <w:color w:val="auto"/>
        </w:rPr>
        <w:t>”), HSBC, MUFG, Standard Chartered Bank (“</w:t>
      </w:r>
      <w:r>
        <w:rPr>
          <w:rFonts w:ascii="Arial" w:cs="Arial" w:eastAsia="Arial" w:hAnsi="Arial"/>
          <w:sz w:val="18"/>
          <w:szCs w:val="18"/>
          <w:i w:val="1"/>
          <w:iCs w:val="1"/>
          <w:color w:val="auto"/>
        </w:rPr>
        <w:t>SCB</w:t>
      </w:r>
      <w:r>
        <w:rPr>
          <w:rFonts w:ascii="Arial" w:cs="Arial" w:eastAsia="Arial" w:hAnsi="Arial"/>
          <w:sz w:val="18"/>
          <w:szCs w:val="18"/>
          <w:color w:val="auto"/>
        </w:rPr>
        <w:t>”), U.S. Bank National</w:t>
      </w:r>
      <w:r>
        <w:rPr>
          <w:rFonts w:ascii="Arial" w:cs="Arial" w:eastAsia="Arial" w:hAnsi="Arial"/>
          <w:sz w:val="18"/>
          <w:szCs w:val="18"/>
          <w:i w:val="1"/>
          <w:iCs w:val="1"/>
          <w:color w:val="auto"/>
        </w:rPr>
        <w:t xml:space="preserve"> </w:t>
      </w:r>
      <w:r>
        <w:rPr>
          <w:rFonts w:ascii="Arial" w:cs="Arial" w:eastAsia="Arial" w:hAnsi="Arial"/>
          <w:sz w:val="18"/>
          <w:szCs w:val="18"/>
          <w:color w:val="auto"/>
        </w:rPr>
        <w:t>Association (“</w:t>
      </w:r>
      <w:r>
        <w:rPr>
          <w:rFonts w:ascii="Arial" w:cs="Arial" w:eastAsia="Arial" w:hAnsi="Arial"/>
          <w:sz w:val="18"/>
          <w:szCs w:val="18"/>
          <w:i w:val="1"/>
          <w:iCs w:val="1"/>
          <w:color w:val="auto"/>
        </w:rPr>
        <w:t>US Bank</w:t>
      </w:r>
      <w:r>
        <w:rPr>
          <w:rFonts w:ascii="Arial" w:cs="Arial" w:eastAsia="Arial" w:hAnsi="Arial"/>
          <w:sz w:val="18"/>
          <w:szCs w:val="18"/>
          <w:color w:val="auto"/>
        </w:rPr>
        <w:t>”), and BoT shall be designated as, and perform the roles associated with, a joint lead arranger and bookrunner;</w:t>
      </w:r>
    </w:p>
    <w:p>
      <w:pPr>
        <w:spacing w:after="0" w:line="200" w:lineRule="exact"/>
        <w:rPr>
          <w:rFonts w:ascii="Arial" w:cs="Arial" w:eastAsia="Arial" w:hAnsi="Arial"/>
          <w:sz w:val="18"/>
          <w:szCs w:val="18"/>
          <w:color w:val="auto"/>
        </w:rPr>
      </w:pPr>
    </w:p>
    <w:p>
      <w:pPr>
        <w:spacing w:after="0" w:line="216" w:lineRule="exact"/>
        <w:rPr>
          <w:rFonts w:ascii="Arial" w:cs="Arial" w:eastAsia="Arial" w:hAnsi="Arial"/>
          <w:sz w:val="18"/>
          <w:szCs w:val="18"/>
          <w:color w:val="auto"/>
        </w:rPr>
      </w:pPr>
    </w:p>
    <w:p>
      <w:pPr>
        <w:ind w:firstLine="1305"/>
        <w:spacing w:after="0" w:line="262" w:lineRule="auto"/>
        <w:tabs>
          <w:tab w:leader="none" w:pos="1837" w:val="left"/>
        </w:tabs>
        <w:numPr>
          <w:ilvl w:val="0"/>
          <w:numId w:val="109"/>
        </w:numPr>
        <w:rPr>
          <w:rFonts w:ascii="Arial" w:cs="Arial" w:eastAsia="Arial" w:hAnsi="Arial"/>
          <w:sz w:val="18"/>
          <w:szCs w:val="18"/>
          <w:color w:val="auto"/>
        </w:rPr>
      </w:pPr>
      <w:r>
        <w:rPr>
          <w:rFonts w:ascii="Arial" w:cs="Arial" w:eastAsia="Arial" w:hAnsi="Arial"/>
          <w:sz w:val="18"/>
          <w:szCs w:val="18"/>
          <w:color w:val="auto"/>
        </w:rPr>
        <w:t>each of Barclays, Citi, CS Securities, DBSI, GSLP, ICBC, JPMCB, Bank of America, N.A., MS and SMBC shall be designated as, and perform the roles associated with, a syndication agent; and</w:t>
      </w:r>
    </w:p>
    <w:p>
      <w:pPr>
        <w:spacing w:after="0" w:line="200" w:lineRule="exact"/>
        <w:rPr>
          <w:rFonts w:ascii="Arial" w:cs="Arial" w:eastAsia="Arial" w:hAnsi="Arial"/>
          <w:sz w:val="18"/>
          <w:szCs w:val="18"/>
          <w:color w:val="auto"/>
        </w:rPr>
      </w:pPr>
    </w:p>
    <w:p>
      <w:pPr>
        <w:spacing w:after="0" w:line="212" w:lineRule="exact"/>
        <w:rPr>
          <w:rFonts w:ascii="Arial" w:cs="Arial" w:eastAsia="Arial" w:hAnsi="Arial"/>
          <w:sz w:val="18"/>
          <w:szCs w:val="18"/>
          <w:color w:val="auto"/>
        </w:rPr>
      </w:pPr>
    </w:p>
    <w:p>
      <w:pPr>
        <w:ind w:right="20" w:firstLine="1305"/>
        <w:spacing w:after="0" w:line="262" w:lineRule="auto"/>
        <w:tabs>
          <w:tab w:leader="none" w:pos="1739" w:val="left"/>
        </w:tabs>
        <w:numPr>
          <w:ilvl w:val="0"/>
          <w:numId w:val="109"/>
        </w:numPr>
        <w:rPr>
          <w:rFonts w:ascii="Arial" w:cs="Arial" w:eastAsia="Arial" w:hAnsi="Arial"/>
          <w:sz w:val="18"/>
          <w:szCs w:val="18"/>
          <w:color w:val="auto"/>
        </w:rPr>
      </w:pPr>
      <w:r>
        <w:rPr>
          <w:rFonts w:ascii="Arial" w:cs="Arial" w:eastAsia="Arial" w:hAnsi="Arial"/>
          <w:sz w:val="18"/>
          <w:szCs w:val="18"/>
          <w:color w:val="auto"/>
        </w:rPr>
        <w:t>each of BNP Securities, CA-CIB, HSBC, MUFG, SCB, US Bank, and BoT shall be designated as, and perform the roles associated with, a documentation agent.</w:t>
      </w:r>
    </w:p>
    <w:p>
      <w:pPr>
        <w:spacing w:after="0" w:line="196" w:lineRule="exact"/>
        <w:rPr>
          <w:sz w:val="20"/>
          <w:szCs w:val="20"/>
          <w:color w:val="auto"/>
        </w:rPr>
      </w:pPr>
    </w:p>
    <w:p>
      <w:pPr>
        <w:ind w:firstLine="1297"/>
        <w:spacing w:after="0" w:line="262" w:lineRule="auto"/>
        <w:rPr>
          <w:sz w:val="20"/>
          <w:szCs w:val="20"/>
          <w:color w:val="auto"/>
        </w:rPr>
      </w:pPr>
      <w:r>
        <w:rPr>
          <w:rFonts w:ascii="Arial" w:cs="Arial" w:eastAsia="Arial" w:hAnsi="Arial"/>
          <w:sz w:val="18"/>
          <w:szCs w:val="18"/>
          <w:u w:val="single" w:color="auto"/>
          <w:color w:val="auto"/>
        </w:rPr>
        <w:t>SECTION FOUR - Conditions to Effectiveness</w:t>
      </w:r>
      <w:r>
        <w:rPr>
          <w:rFonts w:ascii="Arial" w:cs="Arial" w:eastAsia="Arial" w:hAnsi="Arial"/>
          <w:sz w:val="18"/>
          <w:szCs w:val="18"/>
          <w:color w:val="auto"/>
        </w:rPr>
        <w:t>. The provisions of Sections One and Two of this Fifth Amendment shall become effective on the date (the “</w:t>
      </w:r>
      <w:r>
        <w:rPr>
          <w:rFonts w:ascii="Arial" w:cs="Arial" w:eastAsia="Arial" w:hAnsi="Arial"/>
          <w:sz w:val="18"/>
          <w:szCs w:val="18"/>
          <w:i w:val="1"/>
          <w:iCs w:val="1"/>
          <w:color w:val="auto"/>
        </w:rPr>
        <w:t>Fifth Amendment Effective Date</w:t>
      </w:r>
      <w:r>
        <w:rPr>
          <w:rFonts w:ascii="Arial" w:cs="Arial" w:eastAsia="Arial" w:hAnsi="Arial"/>
          <w:sz w:val="18"/>
          <w:szCs w:val="18"/>
          <w:color w:val="auto"/>
        </w:rPr>
        <w:t>”) when each of the following conditions specified below shall have been satisfied:</w:t>
      </w:r>
    </w:p>
    <w:p>
      <w:pPr>
        <w:spacing w:after="0" w:line="196" w:lineRule="exact"/>
        <w:rPr>
          <w:sz w:val="20"/>
          <w:szCs w:val="20"/>
          <w:color w:val="auto"/>
        </w:rPr>
      </w:pPr>
    </w:p>
    <w:p>
      <w:pPr>
        <w:jc w:val="both"/>
        <w:ind w:firstLine="1305"/>
        <w:spacing w:after="0" w:line="256" w:lineRule="auto"/>
        <w:tabs>
          <w:tab w:leader="none" w:pos="2165" w:val="left"/>
        </w:tabs>
        <w:numPr>
          <w:ilvl w:val="0"/>
          <w:numId w:val="110"/>
        </w:numPr>
        <w:rPr>
          <w:rFonts w:ascii="Arial" w:cs="Arial" w:eastAsia="Arial" w:hAnsi="Arial"/>
          <w:sz w:val="18"/>
          <w:szCs w:val="18"/>
          <w:color w:val="auto"/>
        </w:rPr>
      </w:pPr>
      <w:r>
        <w:rPr>
          <w:rFonts w:ascii="Arial" w:cs="Arial" w:eastAsia="Arial" w:hAnsi="Arial"/>
          <w:sz w:val="18"/>
          <w:szCs w:val="18"/>
          <w:color w:val="auto"/>
        </w:rPr>
        <w:t>the Borrower, the Guarantor, the Administrative Agent, each Consenting Revolving Lender and the Fourth Amendment Non-Extending Revolving Lender shall have signed a counterpart hereof (whether the same or different counterparts) and shall have delivered the same to Milbank LLP, 55 Hudson Yards, New York, NY 10001, attention: Joshua Forman;</w:t>
      </w:r>
    </w:p>
    <w:p>
      <w:pPr>
        <w:spacing w:after="0" w:line="201" w:lineRule="exact"/>
        <w:rPr>
          <w:rFonts w:ascii="Arial" w:cs="Arial" w:eastAsia="Arial" w:hAnsi="Arial"/>
          <w:sz w:val="18"/>
          <w:szCs w:val="18"/>
          <w:color w:val="auto"/>
        </w:rPr>
      </w:pPr>
    </w:p>
    <w:p>
      <w:pPr>
        <w:jc w:val="both"/>
        <w:ind w:firstLine="1305"/>
        <w:spacing w:after="0" w:line="252" w:lineRule="auto"/>
        <w:tabs>
          <w:tab w:leader="none" w:pos="2165" w:val="left"/>
        </w:tabs>
        <w:numPr>
          <w:ilvl w:val="0"/>
          <w:numId w:val="110"/>
        </w:numPr>
        <w:rPr>
          <w:rFonts w:ascii="Arial" w:cs="Arial" w:eastAsia="Arial" w:hAnsi="Arial"/>
          <w:sz w:val="18"/>
          <w:szCs w:val="18"/>
          <w:color w:val="auto"/>
        </w:rPr>
      </w:pPr>
      <w:r>
        <w:rPr>
          <w:rFonts w:ascii="Arial" w:cs="Arial" w:eastAsia="Arial" w:hAnsi="Arial"/>
          <w:sz w:val="18"/>
          <w:szCs w:val="18"/>
          <w:color w:val="auto"/>
        </w:rPr>
        <w:t>all reasonable invoiced out-of-pocket expenses incurred by the Consenting Revolving Lenders and the Administrative Agent pursuant to Section 10.04 of the Credit Agreement (including the reasonable and documented fees, charges and disbursements of counsel) and all accrued and unpaid fees (other than the Commitment Fee which shall be payable in accordance with the Credit Agreement), owing and payable (including any fees agreed to in connection with this Fifth Amendment) shall have been paid to the extent invoiced at least two (2) Business Days prior to the Fifth Amendment Effective Date (or such shorter period as may be agreed by the Borrower);</w:t>
      </w:r>
    </w:p>
    <w:p>
      <w:pPr>
        <w:spacing w:after="0" w:line="208" w:lineRule="exact"/>
        <w:rPr>
          <w:rFonts w:ascii="Arial" w:cs="Arial" w:eastAsia="Arial" w:hAnsi="Arial"/>
          <w:sz w:val="18"/>
          <w:szCs w:val="18"/>
          <w:color w:val="auto"/>
        </w:rPr>
      </w:pPr>
    </w:p>
    <w:p>
      <w:pPr>
        <w:jc w:val="both"/>
        <w:ind w:firstLine="1305"/>
        <w:spacing w:after="0" w:line="256" w:lineRule="auto"/>
        <w:tabs>
          <w:tab w:leader="none" w:pos="2155" w:val="left"/>
        </w:tabs>
        <w:numPr>
          <w:ilvl w:val="0"/>
          <w:numId w:val="110"/>
        </w:numPr>
        <w:rPr>
          <w:rFonts w:ascii="Arial" w:cs="Arial" w:eastAsia="Arial" w:hAnsi="Arial"/>
          <w:sz w:val="18"/>
          <w:szCs w:val="18"/>
          <w:color w:val="auto"/>
        </w:rPr>
      </w:pPr>
      <w:r>
        <w:rPr>
          <w:rFonts w:ascii="Arial" w:cs="Arial" w:eastAsia="Arial" w:hAnsi="Arial"/>
          <w:sz w:val="18"/>
          <w:szCs w:val="18"/>
          <w:color w:val="auto"/>
        </w:rPr>
        <w:t>the Borrower shall have paid (or caused to be paid), for the account of each Consenting Revolving Lender, a one-time, non-refundable fee equal to the amount set forth in that certain Consenting Revolving Lenders’ fee letter, among the Consenting Revolving Lenders and the Borrower, dated as of the Fifth Amendment Effective Date;</w:t>
      </w:r>
    </w:p>
    <w:p>
      <w:pPr>
        <w:spacing w:after="0" w:line="201" w:lineRule="exact"/>
        <w:rPr>
          <w:rFonts w:ascii="Arial" w:cs="Arial" w:eastAsia="Arial" w:hAnsi="Arial"/>
          <w:sz w:val="18"/>
          <w:szCs w:val="18"/>
          <w:color w:val="auto"/>
        </w:rPr>
      </w:pPr>
    </w:p>
    <w:p>
      <w:pPr>
        <w:jc w:val="both"/>
        <w:ind w:firstLine="1305"/>
        <w:spacing w:after="0" w:line="256" w:lineRule="auto"/>
        <w:tabs>
          <w:tab w:leader="none" w:pos="2165" w:val="left"/>
        </w:tabs>
        <w:numPr>
          <w:ilvl w:val="0"/>
          <w:numId w:val="110"/>
        </w:numPr>
        <w:rPr>
          <w:rFonts w:ascii="Arial" w:cs="Arial" w:eastAsia="Arial" w:hAnsi="Arial"/>
          <w:sz w:val="18"/>
          <w:szCs w:val="18"/>
          <w:color w:val="auto"/>
        </w:rPr>
      </w:pPr>
      <w:r>
        <w:rPr>
          <w:rFonts w:ascii="Arial" w:cs="Arial" w:eastAsia="Arial" w:hAnsi="Arial"/>
          <w:sz w:val="18"/>
          <w:szCs w:val="18"/>
          <w:color w:val="auto"/>
        </w:rPr>
        <w:t>the Administrative Agent shall have received a customary written opinion of Latham &amp; Watkins LLP, special counsel for Parent, the Borrower and the Guarantor addressed to the Administrative Agent and the Extending Revolving Lenders party hereto, and dated the Fifth Amendment Effective Date;</w:t>
      </w:r>
    </w:p>
    <w:p>
      <w:pPr>
        <w:spacing w:after="0" w:line="201" w:lineRule="exact"/>
        <w:rPr>
          <w:rFonts w:ascii="Arial" w:cs="Arial" w:eastAsia="Arial" w:hAnsi="Arial"/>
          <w:sz w:val="18"/>
          <w:szCs w:val="18"/>
          <w:color w:val="auto"/>
        </w:rPr>
      </w:pPr>
    </w:p>
    <w:p>
      <w:pPr>
        <w:jc w:val="both"/>
        <w:ind w:firstLine="1305"/>
        <w:spacing w:after="0" w:line="256" w:lineRule="auto"/>
        <w:tabs>
          <w:tab w:leader="none" w:pos="2165" w:val="left"/>
        </w:tabs>
        <w:numPr>
          <w:ilvl w:val="0"/>
          <w:numId w:val="110"/>
        </w:numPr>
        <w:rPr>
          <w:rFonts w:ascii="Arial" w:cs="Arial" w:eastAsia="Arial" w:hAnsi="Arial"/>
          <w:sz w:val="18"/>
          <w:szCs w:val="18"/>
          <w:color w:val="auto"/>
        </w:rPr>
      </w:pPr>
      <w:r>
        <w:rPr>
          <w:rFonts w:ascii="Arial" w:cs="Arial" w:eastAsia="Arial" w:hAnsi="Arial"/>
          <w:sz w:val="18"/>
          <w:szCs w:val="18"/>
          <w:color w:val="auto"/>
        </w:rPr>
        <w:t>the condition to the Revolving Extension effected pursuant to this Fifth Amendment set forth in Section 2.28(b) and 2.28(c) of the Credit Agreement shall have been satisfied and the conditions to the establishment of the New Revolving Commitments pursuant to this Fifth Amendment set forth in Section 2.27(b) of the Credit Agreement shall have been satisfied;</w:t>
      </w:r>
    </w:p>
    <w:p>
      <w:pPr>
        <w:spacing w:after="0" w:line="199"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4</w:t>
      </w:r>
    </w:p>
    <w:p>
      <w:pPr>
        <w:sectPr>
          <w:pgSz w:w="11900" w:h="16838" w:orient="portrait"/>
          <w:cols w:equalWidth="0" w:num="1">
            <w:col w:w="11420"/>
          </w:cols>
          <w:pgMar w:left="240" w:top="571" w:right="239" w:bottom="1440" w:gutter="0" w:footer="0" w:header="0"/>
        </w:sectPr>
      </w:pPr>
    </w:p>
    <w:bookmarkStart w:id="213" w:name="page214"/>
    <w:bookmarkEnd w:id="213"/>
    <w:p>
      <w:pPr>
        <w:jc w:val="both"/>
        <w:ind w:firstLine="1305"/>
        <w:spacing w:after="0" w:line="251" w:lineRule="auto"/>
        <w:tabs>
          <w:tab w:leader="none" w:pos="2115" w:val="left"/>
        </w:tabs>
        <w:numPr>
          <w:ilvl w:val="0"/>
          <w:numId w:val="111"/>
        </w:numPr>
        <w:rPr>
          <w:rFonts w:ascii="Arial" w:cs="Arial" w:eastAsia="Arial" w:hAnsi="Arial"/>
          <w:sz w:val="18"/>
          <w:szCs w:val="18"/>
          <w:color w:val="auto"/>
        </w:rPr>
      </w:pPr>
      <w:r>
        <w:rPr>
          <w:rFonts w:ascii="Arial" w:cs="Arial" w:eastAsia="Arial" w:hAnsi="Arial"/>
          <w:sz w:val="18"/>
          <w:szCs w:val="18"/>
          <w:color w:val="auto"/>
        </w:rPr>
        <w:t xml:space="preserve">the Administrative Agent shall have received a certificate of the Secretary or Assistant Secretary (or similar Responsible Officer), dated the Fifth Amendment Effective Date (i) certifying as to the incumbency and specimen signature of each Responsible Officer of the Borrower and the Guarantor executing this Fifth Amendment or any other document delivered by it in connection herewith (such certificate to contain a certification of another Responsible Officer of that entity as to the incumbency and signature of the Responsible Officer signing the certificate referred to in this </w:t>
      </w:r>
      <w:r>
        <w:rPr>
          <w:rFonts w:ascii="Arial" w:cs="Arial" w:eastAsia="Arial" w:hAnsi="Arial"/>
          <w:sz w:val="18"/>
          <w:szCs w:val="18"/>
          <w:u w:val="single" w:color="auto"/>
          <w:color w:val="auto"/>
        </w:rPr>
        <w:t>clause (f)</w:t>
      </w:r>
      <w:r>
        <w:rPr>
          <w:rFonts w:ascii="Arial" w:cs="Arial" w:eastAsia="Arial" w:hAnsi="Arial"/>
          <w:sz w:val="18"/>
          <w:szCs w:val="18"/>
          <w:color w:val="auto"/>
        </w:rPr>
        <w:t>), (ii) attaching each constitutional document of each Loan Party or certifying that each constitutional document of each Loan Party previously delivered to the Administrative Agent has not been amended, supplemented, rescinded or otherwise modified and remains in full force and effect as of the date hereof, (iii) attaching resolutions of each Loan Party approving the transactions contemplated by the Fifth Amendment and (iv) attaching a certificate of good standing for the Borrower and the Guarantor of the state of such entity’s incorporation or formation, dated as of a recent date, as to the good standing of that entity (to the extent available in the applicable jurisdiction);</w:t>
      </w:r>
    </w:p>
    <w:p>
      <w:pPr>
        <w:spacing w:after="0" w:line="212" w:lineRule="exact"/>
        <w:rPr>
          <w:rFonts w:ascii="Arial" w:cs="Arial" w:eastAsia="Arial" w:hAnsi="Arial"/>
          <w:sz w:val="18"/>
          <w:szCs w:val="18"/>
          <w:color w:val="auto"/>
        </w:rPr>
      </w:pPr>
    </w:p>
    <w:p>
      <w:pPr>
        <w:jc w:val="both"/>
        <w:ind w:firstLine="1305"/>
        <w:spacing w:after="0" w:line="253" w:lineRule="auto"/>
        <w:tabs>
          <w:tab w:leader="none" w:pos="2165" w:val="left"/>
        </w:tabs>
        <w:numPr>
          <w:ilvl w:val="0"/>
          <w:numId w:val="111"/>
        </w:numPr>
        <w:rPr>
          <w:rFonts w:ascii="Arial" w:cs="Arial" w:eastAsia="Arial" w:hAnsi="Arial"/>
          <w:sz w:val="18"/>
          <w:szCs w:val="18"/>
          <w:color w:val="auto"/>
        </w:rPr>
      </w:pPr>
      <w:r>
        <w:rPr>
          <w:rFonts w:ascii="Arial" w:cs="Arial" w:eastAsia="Arial" w:hAnsi="Arial"/>
          <w:sz w:val="18"/>
          <w:szCs w:val="18"/>
          <w:color w:val="auto"/>
        </w:rPr>
        <w:t xml:space="preserve">the Administrative Agent shall have received evidence that the Sixth Amendment to that certain Amended and Restated Credit and Guaranty Agreement dated the date hereof, among, </w:t>
      </w:r>
      <w:r>
        <w:rPr>
          <w:rFonts w:ascii="Arial" w:cs="Arial" w:eastAsia="Arial" w:hAnsi="Arial"/>
          <w:sz w:val="18"/>
          <w:szCs w:val="18"/>
          <w:i w:val="1"/>
          <w:iCs w:val="1"/>
          <w:color w:val="auto"/>
        </w:rPr>
        <w:t>inter alios</w:t>
      </w:r>
      <w:r>
        <w:rPr>
          <w:rFonts w:ascii="Arial" w:cs="Arial" w:eastAsia="Arial" w:hAnsi="Arial"/>
          <w:sz w:val="18"/>
          <w:szCs w:val="18"/>
          <w:color w:val="auto"/>
        </w:rPr>
        <w:t xml:space="preserve">, the Borrower and Deutsche Bank AG New York Branch as administrative agent and the Seventh Amendment to that certain Amended and Restated Credit and Guaranty Agreement, dated as of the date hereof, among, </w:t>
      </w:r>
      <w:r>
        <w:rPr>
          <w:rFonts w:ascii="Arial" w:cs="Arial" w:eastAsia="Arial" w:hAnsi="Arial"/>
          <w:sz w:val="18"/>
          <w:szCs w:val="18"/>
          <w:i w:val="1"/>
          <w:iCs w:val="1"/>
          <w:color w:val="auto"/>
        </w:rPr>
        <w:t>inter alios</w:t>
      </w:r>
      <w:r>
        <w:rPr>
          <w:rFonts w:ascii="Arial" w:cs="Arial" w:eastAsia="Arial" w:hAnsi="Arial"/>
          <w:sz w:val="18"/>
          <w:szCs w:val="18"/>
          <w:color w:val="auto"/>
        </w:rPr>
        <w:t>, the Borrower and Citibank N.A. as administrative agent have, or will contemporaneously with the Fifth Amendment Effective Date, become effective; and</w:t>
      </w:r>
    </w:p>
    <w:p>
      <w:pPr>
        <w:spacing w:after="0" w:line="205" w:lineRule="exact"/>
        <w:rPr>
          <w:rFonts w:ascii="Arial" w:cs="Arial" w:eastAsia="Arial" w:hAnsi="Arial"/>
          <w:sz w:val="18"/>
          <w:szCs w:val="18"/>
          <w:color w:val="auto"/>
        </w:rPr>
      </w:pPr>
    </w:p>
    <w:p>
      <w:pPr>
        <w:jc w:val="both"/>
        <w:ind w:firstLine="1305"/>
        <w:spacing w:after="0" w:line="251" w:lineRule="auto"/>
        <w:tabs>
          <w:tab w:leader="none" w:pos="2165" w:val="left"/>
        </w:tabs>
        <w:numPr>
          <w:ilvl w:val="0"/>
          <w:numId w:val="111"/>
        </w:numPr>
        <w:rPr>
          <w:rFonts w:ascii="Arial" w:cs="Arial" w:eastAsia="Arial" w:hAnsi="Arial"/>
          <w:sz w:val="18"/>
          <w:szCs w:val="18"/>
          <w:color w:val="auto"/>
        </w:rPr>
      </w:pPr>
      <w:r>
        <w:rPr>
          <w:rFonts w:ascii="Arial" w:cs="Arial" w:eastAsia="Arial" w:hAnsi="Arial"/>
          <w:sz w:val="18"/>
          <w:szCs w:val="18"/>
          <w:color w:val="auto"/>
        </w:rPr>
        <w:t xml:space="preserve">the Administrative Agent shall have received an Officer’s Certificate certifying (A) the truth in all material respects of the representations and warranties set forth in the Credit Agreement and the other Loan Documents (other than representations and warranties set forth in Sections 3.05(b), 3.06, 3.09(a) and 3.19 of the Credit Agreement) as though made on the date hereof, or, in the case of any such representation and warranty that relates to a specified date, as though made as of such date;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that any representation or warranty that is qualified by materiality (it being understood that any representation or warranty that excludes circumstances that would not result in a “Material Adverse Change” or “Material Adverse Effect” shall not be considered (for purposes of this proviso) to be qualified by materiality) shall be true and correct in all respects as of the applicable date; and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w:t>
      </w:r>
      <w:r>
        <w:rPr>
          <w:rFonts w:ascii="Arial" w:cs="Arial" w:eastAsia="Arial" w:hAnsi="Arial"/>
          <w:sz w:val="18"/>
          <w:szCs w:val="18"/>
          <w:u w:val="single" w:color="auto"/>
          <w:color w:val="auto"/>
        </w:rPr>
        <w:t>further</w:t>
      </w:r>
      <w:r>
        <w:rPr>
          <w:rFonts w:ascii="Arial" w:cs="Arial" w:eastAsia="Arial" w:hAnsi="Arial"/>
          <w:sz w:val="18"/>
          <w:szCs w:val="18"/>
          <w:color w:val="auto"/>
        </w:rPr>
        <w:t xml:space="preserve">, that for purposes of this </w:t>
      </w:r>
      <w:r>
        <w:rPr>
          <w:rFonts w:ascii="Arial" w:cs="Arial" w:eastAsia="Arial" w:hAnsi="Arial"/>
          <w:sz w:val="18"/>
          <w:szCs w:val="18"/>
          <w:u w:val="single" w:color="auto"/>
          <w:color w:val="auto"/>
        </w:rPr>
        <w:t>clause (i)</w:t>
      </w:r>
      <w:r>
        <w:rPr>
          <w:rFonts w:ascii="Arial" w:cs="Arial" w:eastAsia="Arial" w:hAnsi="Arial"/>
          <w:sz w:val="18"/>
          <w:szCs w:val="18"/>
          <w:color w:val="auto"/>
        </w:rPr>
        <w:t>, the representations and warranties contained in (i) Section 3.04(a) of the Credit Agreement shall be deemed to refer to Parent’s Annual Report on Form 10-K for 2018 (as amended) filed with the SEC and all Quarterly Reports on Form 10-Q or Current Reports on Form 8-K that have been filed after December 31, 2018 by Parent with the SEC (as amended) and (ii) Section 3.05(a) of the Credit Agreement shall be deemed to refer to the audited consolidated financial statements of Parent and its Subsidiaries for the fiscal year ended December 31, 2018, included in Parent’s Annual Report on Form 10-K for 2018 filed with the SEC (as amended) and the unaudited consolidated financial statements of Parent and its Subsidiaries for the fiscal quarters ended March 31, 2019, June 30, 2019, and September 30, 2019, and (B) as to the absence of any event occurring and continuing, or resulting from this Fifth Amendment on, the Fifth Amendment Effective Date, that constitutes a Default or Event of Default.</w:t>
      </w:r>
    </w:p>
    <w:p>
      <w:pPr>
        <w:spacing w:after="0" w:line="200" w:lineRule="exact"/>
        <w:rPr>
          <w:sz w:val="20"/>
          <w:szCs w:val="20"/>
          <w:color w:val="auto"/>
        </w:rPr>
      </w:pPr>
    </w:p>
    <w:p>
      <w:pPr>
        <w:spacing w:after="0" w:line="226" w:lineRule="exact"/>
        <w:rPr>
          <w:sz w:val="20"/>
          <w:szCs w:val="20"/>
          <w:color w:val="auto"/>
        </w:rPr>
      </w:pPr>
    </w:p>
    <w:p>
      <w:pPr>
        <w:jc w:val="both"/>
        <w:ind w:firstLine="1297"/>
        <w:spacing w:after="0" w:line="251" w:lineRule="auto"/>
        <w:rPr>
          <w:sz w:val="20"/>
          <w:szCs w:val="20"/>
          <w:color w:val="auto"/>
        </w:rPr>
      </w:pPr>
      <w:r>
        <w:rPr>
          <w:rFonts w:ascii="Arial" w:cs="Arial" w:eastAsia="Arial" w:hAnsi="Arial"/>
          <w:sz w:val="18"/>
          <w:szCs w:val="18"/>
          <w:u w:val="single" w:color="auto"/>
          <w:color w:val="auto"/>
        </w:rPr>
        <w:t>SECTION FIVE - No Default; Representations and Warranties</w:t>
      </w:r>
      <w:r>
        <w:rPr>
          <w:rFonts w:ascii="Arial" w:cs="Arial" w:eastAsia="Arial" w:hAnsi="Arial"/>
          <w:sz w:val="18"/>
          <w:szCs w:val="18"/>
          <w:color w:val="auto"/>
        </w:rPr>
        <w:t xml:space="preserve">. In order to induce the Consenting Revolving Lenders, the Fourth Amendment Non-Extending Lender and the Administrative Agent to enter into this Fifth Amendment, the Borrower represents and warrants to each of the Consenting Revolving Lenders, the Fourth Amendment Non -Extending Lender and the Administrative Agent that, on and as of the date hereof after giving effect to this Fifth Amendment, (i) no Default or Event of Default has occurred and is continuing or would result from giving effect to this Fifth Amendment and (ii) the representations and warranties contained in the Credit Agreement and the other Loan Documents (other than representations and warranties set forth in Sections 3.05(b), 3.06, 3.09(a) and 3.19 of the Credit Agreement) are true and correct in all material respects on and as of the date hereof with the same effect as if made on and as of the date hereof or, in the case of any representations and warranties that expressly relate to an earlier date, as though made as of such date;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that any representation or warranty that is qualified by materiality (it being understood that any representation or warranty that excludes circumstances that would not result in a “Material Adverse Change” or “Material Adverse Effect” shall not be considered (for purposes of this proviso) to be qualified by materiality) shall be true and correct in all respects as of the applicable date; and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w:t>
      </w:r>
      <w:r>
        <w:rPr>
          <w:rFonts w:ascii="Arial" w:cs="Arial" w:eastAsia="Arial" w:hAnsi="Arial"/>
          <w:sz w:val="18"/>
          <w:szCs w:val="18"/>
          <w:u w:val="single" w:color="auto"/>
          <w:color w:val="auto"/>
        </w:rPr>
        <w:t>further</w:t>
      </w:r>
      <w:r>
        <w:rPr>
          <w:rFonts w:ascii="Arial" w:cs="Arial" w:eastAsia="Arial" w:hAnsi="Arial"/>
          <w:sz w:val="18"/>
          <w:szCs w:val="18"/>
          <w:color w:val="auto"/>
        </w:rPr>
        <w:t>, that for purposes of this Section Five, the representations and warranties contained in (i) Section 3.04(a) of the Credit Agreement shall be deemed to refer to Parent’s Annual Report on Form 10-K</w:t>
      </w:r>
    </w:p>
    <w:p>
      <w:pPr>
        <w:spacing w:after="0" w:line="200" w:lineRule="exact"/>
        <w:rPr>
          <w:sz w:val="20"/>
          <w:szCs w:val="20"/>
          <w:color w:val="auto"/>
        </w:rPr>
      </w:pPr>
    </w:p>
    <w:p>
      <w:pPr>
        <w:spacing w:after="0" w:line="224"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5</w:t>
      </w:r>
    </w:p>
    <w:p>
      <w:pPr>
        <w:sectPr>
          <w:pgSz w:w="11900" w:h="16838" w:orient="portrait"/>
          <w:cols w:equalWidth="0" w:num="1">
            <w:col w:w="11420"/>
          </w:cols>
          <w:pgMar w:left="240" w:top="571" w:right="239" w:bottom="1440" w:gutter="0" w:footer="0" w:header="0"/>
        </w:sectPr>
      </w:pPr>
    </w:p>
    <w:bookmarkStart w:id="214" w:name="page215"/>
    <w:bookmarkEnd w:id="214"/>
    <w:p>
      <w:pPr>
        <w:jc w:val="both"/>
        <w:spacing w:after="0" w:line="253" w:lineRule="auto"/>
        <w:rPr>
          <w:sz w:val="20"/>
          <w:szCs w:val="20"/>
          <w:color w:val="auto"/>
        </w:rPr>
      </w:pPr>
      <w:r>
        <w:rPr>
          <w:rFonts w:ascii="Arial" w:cs="Arial" w:eastAsia="Arial" w:hAnsi="Arial"/>
          <w:sz w:val="18"/>
          <w:szCs w:val="18"/>
          <w:color w:val="auto"/>
        </w:rPr>
        <w:t>for 2018 (as amended) filed with the SEC and all Quarterly Reports on Form 10-Q or Current Reports on Form 8-K that have been filed after December 31, 2018 by Parent with the SEC (as amended) and (ii) Section 3.05(a) of the Credit Agreement shall be deemed to refer to the audited consolidated financial statements of Parent and its Subsidiaries for the fiscal year ended December 31, 2018, included in Parent’s Annual Report on Form 10-K for 2018 filed with the SEC (as amended) and the unaudited consolidated financial statements of Parent and its Subsidiaries for the fiscal quarters ended March 31, 2019, June 30, 2019 and September 30, 2019.</w:t>
      </w:r>
    </w:p>
    <w:p>
      <w:pPr>
        <w:spacing w:after="0" w:line="200" w:lineRule="exact"/>
        <w:rPr>
          <w:sz w:val="20"/>
          <w:szCs w:val="20"/>
          <w:color w:val="auto"/>
        </w:rPr>
      </w:pPr>
    </w:p>
    <w:p>
      <w:pPr>
        <w:spacing w:after="0" w:line="222" w:lineRule="exact"/>
        <w:rPr>
          <w:sz w:val="20"/>
          <w:szCs w:val="20"/>
          <w:color w:val="auto"/>
        </w:rPr>
      </w:pPr>
    </w:p>
    <w:p>
      <w:pPr>
        <w:jc w:val="both"/>
        <w:ind w:firstLine="1297"/>
        <w:spacing w:after="0" w:line="252" w:lineRule="auto"/>
        <w:rPr>
          <w:sz w:val="20"/>
          <w:szCs w:val="20"/>
          <w:color w:val="auto"/>
        </w:rPr>
      </w:pPr>
      <w:r>
        <w:rPr>
          <w:rFonts w:ascii="Arial" w:cs="Arial" w:eastAsia="Arial" w:hAnsi="Arial"/>
          <w:sz w:val="18"/>
          <w:szCs w:val="18"/>
          <w:u w:val="single" w:color="auto"/>
          <w:color w:val="auto"/>
        </w:rPr>
        <w:t>SECTION SIX - Confirmation</w:t>
      </w:r>
      <w:r>
        <w:rPr>
          <w:rFonts w:ascii="Arial" w:cs="Arial" w:eastAsia="Arial" w:hAnsi="Arial"/>
          <w:sz w:val="18"/>
          <w:szCs w:val="18"/>
          <w:color w:val="auto"/>
        </w:rPr>
        <w:t>. The Borrower and the Guarantor hereby confirm that all of their obligations under the Credit Agreement (as amended hereby) are and shall continue to be, in full force and effect. The parties hereto (i) confirm and agree that the term “Obligations” and “Guaranteed Obligations” as used in the Credit Agreement and the other Loan Documents, shall include, without limitation, all obligations of the Borrower with respect to the Revolving Commitments (as increased pursuant to this Fifth Amendment) and all obligations of the Guarantor with respect of the guarantee of such obligations, respectively, and (ii) reaffirm the grant of Liens on the Collateral to secure the Obligations (as extended and increased pursuant to this Fifth Amendment) pursuant to the Collateral Documents.</w:t>
      </w:r>
    </w:p>
    <w:p>
      <w:pPr>
        <w:spacing w:after="0" w:line="200" w:lineRule="exact"/>
        <w:rPr>
          <w:sz w:val="20"/>
          <w:szCs w:val="20"/>
          <w:color w:val="auto"/>
        </w:rPr>
      </w:pPr>
    </w:p>
    <w:p>
      <w:pPr>
        <w:spacing w:after="0" w:line="225" w:lineRule="exact"/>
        <w:rPr>
          <w:sz w:val="20"/>
          <w:szCs w:val="20"/>
          <w:color w:val="auto"/>
        </w:rPr>
      </w:pPr>
    </w:p>
    <w:p>
      <w:pPr>
        <w:jc w:val="both"/>
        <w:ind w:firstLine="1297"/>
        <w:spacing w:after="0" w:line="252" w:lineRule="auto"/>
        <w:rPr>
          <w:sz w:val="20"/>
          <w:szCs w:val="20"/>
          <w:color w:val="auto"/>
        </w:rPr>
      </w:pPr>
      <w:r>
        <w:rPr>
          <w:rFonts w:ascii="Arial" w:cs="Arial" w:eastAsia="Arial" w:hAnsi="Arial"/>
          <w:sz w:val="18"/>
          <w:szCs w:val="18"/>
          <w:u w:val="single" w:color="auto"/>
          <w:color w:val="auto"/>
        </w:rPr>
        <w:t>SECTION SEVEN - Reference to and Effect on the Credit Agreement</w:t>
      </w:r>
      <w:r>
        <w:rPr>
          <w:rFonts w:ascii="Arial" w:cs="Arial" w:eastAsia="Arial" w:hAnsi="Arial"/>
          <w:sz w:val="18"/>
          <w:szCs w:val="18"/>
          <w:color w:val="auto"/>
        </w:rPr>
        <w:t>. On and after the Fifth Amendment Effective Date, each reference in the Credit Agreement to “this Agreement,” “hereunder,” “hereof” or words of like import referring to the Credit Agreement, shall mean and be a reference to the Credit Agreement as amended by this Fifth Amendment. The Credit Agreement and each of the other Loan Documents, as specifically amended by this Fifth Amendment, are and shall continue to be in full force and effect and are hereby in all respects ratified and confirmed. This Fifth Amendment shall be deemed to be a “Loan Document” for all purposes of the Credit Agreement (as amended hereby) and the other Loan Documents. The execution, delivery and effectiveness of this Fifth Amendment shall not, except as expressly provided herein, operate as an amendment or waiver of any right, power or remedy of any Lender or any Agent under any of the Loan Documents, nor constitute an amendment or waiver of any provision of any of the Loan Documents.</w:t>
      </w:r>
    </w:p>
    <w:p>
      <w:pPr>
        <w:spacing w:after="0" w:line="200" w:lineRule="exact"/>
        <w:rPr>
          <w:sz w:val="20"/>
          <w:szCs w:val="20"/>
          <w:color w:val="auto"/>
        </w:rPr>
      </w:pPr>
    </w:p>
    <w:p>
      <w:pPr>
        <w:spacing w:after="0" w:line="222" w:lineRule="exact"/>
        <w:rPr>
          <w:sz w:val="20"/>
          <w:szCs w:val="20"/>
          <w:color w:val="auto"/>
        </w:rPr>
      </w:pPr>
    </w:p>
    <w:p>
      <w:pPr>
        <w:jc w:val="both"/>
        <w:ind w:firstLine="1297"/>
        <w:spacing w:after="0" w:line="253" w:lineRule="auto"/>
        <w:rPr>
          <w:sz w:val="20"/>
          <w:szCs w:val="20"/>
          <w:color w:val="auto"/>
        </w:rPr>
      </w:pPr>
      <w:r>
        <w:rPr>
          <w:rFonts w:ascii="Arial" w:cs="Arial" w:eastAsia="Arial" w:hAnsi="Arial"/>
          <w:sz w:val="18"/>
          <w:szCs w:val="18"/>
          <w:u w:val="single" w:color="auto"/>
          <w:color w:val="auto"/>
        </w:rPr>
        <w:t>SECTION EIGHT - Execution in Counterparts</w:t>
      </w:r>
      <w:r>
        <w:rPr>
          <w:rFonts w:ascii="Arial" w:cs="Arial" w:eastAsia="Arial" w:hAnsi="Arial"/>
          <w:sz w:val="18"/>
          <w:szCs w:val="18"/>
          <w:color w:val="auto"/>
        </w:rPr>
        <w:t>. This Fifth Amendment may be executed in counterparts (and by different parties hereto on different counterparts), each of which shall constitute an original, but all of which when taken together shall constitute a single contract. This Fifth Amendment shall be binding upon and inure to the benefit of the parties hereto and their respective successors and assigns. Delivery of an executed counterpart of a signature page of this Fifth Amendment by facsimile or electronic .pdf copy shall be effective as delivery of a manually executed counterpart of this Fifth Amendment.</w:t>
      </w:r>
    </w:p>
    <w:p>
      <w:pPr>
        <w:spacing w:after="0" w:line="200" w:lineRule="exact"/>
        <w:rPr>
          <w:sz w:val="20"/>
          <w:szCs w:val="20"/>
          <w:color w:val="auto"/>
        </w:rPr>
      </w:pPr>
    </w:p>
    <w:p>
      <w:pPr>
        <w:spacing w:after="0" w:line="222" w:lineRule="exact"/>
        <w:rPr>
          <w:sz w:val="20"/>
          <w:szCs w:val="20"/>
          <w:color w:val="auto"/>
        </w:rPr>
      </w:pPr>
    </w:p>
    <w:p>
      <w:pPr>
        <w:jc w:val="both"/>
        <w:ind w:firstLine="1297"/>
        <w:spacing w:after="0" w:line="256" w:lineRule="auto"/>
        <w:rPr>
          <w:sz w:val="20"/>
          <w:szCs w:val="20"/>
          <w:color w:val="auto"/>
        </w:rPr>
      </w:pPr>
      <w:r>
        <w:rPr>
          <w:rFonts w:ascii="Arial" w:cs="Arial" w:eastAsia="Arial" w:hAnsi="Arial"/>
          <w:sz w:val="18"/>
          <w:szCs w:val="18"/>
          <w:u w:val="single" w:color="auto"/>
          <w:color w:val="auto"/>
        </w:rPr>
        <w:t>SECTION NINE - Governing Law</w:t>
      </w:r>
      <w:r>
        <w:rPr>
          <w:rFonts w:ascii="Arial" w:cs="Arial" w:eastAsia="Arial" w:hAnsi="Arial"/>
          <w:sz w:val="18"/>
          <w:szCs w:val="18"/>
          <w:color w:val="auto"/>
        </w:rPr>
        <w:t>. THIS FIFTH AMENDMENT AND THE RIGHTS AND OBLIGATIONS OF THE PARTIES UNDER THIS FIFTH AMENDMENT SHALL BE GOVERNED BY, AND CONSTRUED AND INTERPRETED IN ACCORDANCE WITH, THE LAWS OF THE STATE OF NEW YORK.</w:t>
      </w:r>
    </w:p>
    <w:p>
      <w:pPr>
        <w:spacing w:after="0" w:line="200" w:lineRule="exact"/>
        <w:rPr>
          <w:sz w:val="20"/>
          <w:szCs w:val="20"/>
          <w:color w:val="auto"/>
        </w:rPr>
      </w:pPr>
    </w:p>
    <w:p>
      <w:pPr>
        <w:spacing w:after="0" w:line="218" w:lineRule="exact"/>
        <w:rPr>
          <w:sz w:val="20"/>
          <w:szCs w:val="20"/>
          <w:color w:val="auto"/>
        </w:rPr>
      </w:pPr>
    </w:p>
    <w:p>
      <w:pPr>
        <w:jc w:val="both"/>
        <w:ind w:firstLine="1297"/>
        <w:spacing w:after="0" w:line="256" w:lineRule="auto"/>
        <w:rPr>
          <w:sz w:val="20"/>
          <w:szCs w:val="20"/>
          <w:color w:val="auto"/>
        </w:rPr>
      </w:pPr>
      <w:r>
        <w:rPr>
          <w:rFonts w:ascii="Arial" w:cs="Arial" w:eastAsia="Arial" w:hAnsi="Arial"/>
          <w:sz w:val="18"/>
          <w:szCs w:val="18"/>
          <w:u w:val="single" w:color="auto"/>
          <w:color w:val="auto"/>
        </w:rPr>
        <w:t>SECTION TEN - Miscellaneous</w:t>
      </w:r>
      <w:r>
        <w:rPr>
          <w:rFonts w:ascii="Arial" w:cs="Arial" w:eastAsia="Arial" w:hAnsi="Arial"/>
          <w:sz w:val="18"/>
          <w:szCs w:val="18"/>
          <w:color w:val="auto"/>
        </w:rPr>
        <w:t>. (a) The provisions set forth in Sections 10.03, 10.04, 10.05(b)-(d), 10.09, 10.10, 10.11, 10.13, 10.15, 10.16 and 10.17 of the Credit Agreement are hereby incorporated mutatis mutandis herein by reference thereto as fully and to the same extent as if set forth herein.</w:t>
      </w:r>
    </w:p>
    <w:p>
      <w:pPr>
        <w:spacing w:after="0" w:line="200" w:lineRule="exact"/>
        <w:rPr>
          <w:sz w:val="20"/>
          <w:szCs w:val="20"/>
          <w:color w:val="auto"/>
        </w:rPr>
      </w:pPr>
    </w:p>
    <w:p>
      <w:pPr>
        <w:spacing w:after="0" w:line="218" w:lineRule="exact"/>
        <w:rPr>
          <w:sz w:val="20"/>
          <w:szCs w:val="20"/>
          <w:color w:val="auto"/>
        </w:rPr>
      </w:pPr>
    </w:p>
    <w:p>
      <w:pPr>
        <w:jc w:val="both"/>
        <w:ind w:firstLine="1305"/>
        <w:spacing w:after="0" w:line="250" w:lineRule="auto"/>
        <w:tabs>
          <w:tab w:leader="none" w:pos="1819" w:val="left"/>
        </w:tabs>
        <w:numPr>
          <w:ilvl w:val="0"/>
          <w:numId w:val="112"/>
        </w:numPr>
        <w:rPr>
          <w:rFonts w:ascii="Arial" w:cs="Arial" w:eastAsia="Arial" w:hAnsi="Arial"/>
          <w:sz w:val="18"/>
          <w:szCs w:val="18"/>
          <w:color w:val="auto"/>
        </w:rPr>
      </w:pPr>
      <w:r>
        <w:rPr>
          <w:rFonts w:ascii="Arial" w:cs="Arial" w:eastAsia="Arial" w:hAnsi="Arial"/>
          <w:sz w:val="18"/>
          <w:szCs w:val="18"/>
          <w:color w:val="auto"/>
        </w:rPr>
        <w:t>For purposes of determining withholding Taxes imposed under FATCA, from and after the effective date of this Fifth Amendment, the Borrower and the Administrative Agent shall treat (and the Lenders party hereto hereby authorize the Administrative Agent to treat) the Revolving Facility as not qualifying as a “grandfathered obligation” within the meaning of Treasury Regulation Section 1.1471-2(b)(2)</w:t>
      </w:r>
    </w:p>
    <w:p>
      <w:pPr>
        <w:spacing w:after="0" w:line="1" w:lineRule="exact"/>
        <w:rPr>
          <w:rFonts w:ascii="Arial" w:cs="Arial" w:eastAsia="Arial" w:hAnsi="Arial"/>
          <w:sz w:val="18"/>
          <w:szCs w:val="18"/>
          <w:color w:val="auto"/>
        </w:rPr>
      </w:pPr>
    </w:p>
    <w:p>
      <w:pPr>
        <w:spacing w:after="0"/>
        <w:rPr>
          <w:rFonts w:ascii="Arial" w:cs="Arial" w:eastAsia="Arial" w:hAnsi="Arial"/>
          <w:sz w:val="18"/>
          <w:szCs w:val="18"/>
          <w:color w:val="auto"/>
        </w:rPr>
      </w:pPr>
      <w:r>
        <w:rPr>
          <w:rFonts w:ascii="Arial" w:cs="Arial" w:eastAsia="Arial" w:hAnsi="Arial"/>
          <w:sz w:val="18"/>
          <w:szCs w:val="18"/>
          <w:color w:val="auto"/>
        </w:rPr>
        <w:t>(i).</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[REMAINDER OF THIS PAGE IS LEFT BLANK INTENTIONALLY]</w:t>
      </w:r>
    </w:p>
    <w:p>
      <w:pPr>
        <w:spacing w:after="0" w:line="222"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6</w:t>
      </w:r>
    </w:p>
    <w:p>
      <w:pPr>
        <w:sectPr>
          <w:pgSz w:w="11900" w:h="16838" w:orient="portrait"/>
          <w:cols w:equalWidth="0" w:num="1">
            <w:col w:w="11420"/>
          </w:cols>
          <w:pgMar w:left="240" w:top="571" w:right="239" w:bottom="1440" w:gutter="0" w:footer="0" w:header="0"/>
        </w:sectPr>
      </w:pPr>
    </w:p>
    <w:bookmarkStart w:id="215" w:name="page216"/>
    <w:bookmarkEnd w:id="215"/>
    <w:p>
      <w:pPr>
        <w:ind w:firstLine="1297"/>
        <w:spacing w:after="0" w:line="262" w:lineRule="auto"/>
        <w:rPr>
          <w:sz w:val="20"/>
          <w:szCs w:val="20"/>
          <w:color w:val="auto"/>
        </w:rPr>
      </w:pPr>
      <w:r>
        <w:rPr>
          <w:rFonts w:ascii="Arial" w:cs="Arial" w:eastAsia="Arial" w:hAnsi="Arial"/>
          <w:sz w:val="18"/>
          <w:szCs w:val="18"/>
          <w:color w:val="auto"/>
        </w:rPr>
        <w:t>IN WITNESS WHEREOF, the parties hereto have caused this Fifth Amendment to be duly executed and delivered as of the day and year first above written.</w:t>
      </w:r>
    </w:p>
    <w:p>
      <w:pPr>
        <w:spacing w:after="0" w:line="200" w:lineRule="exact"/>
        <w:rPr>
          <w:sz w:val="20"/>
          <w:szCs w:val="20"/>
          <w:color w:val="auto"/>
        </w:rPr>
      </w:pPr>
    </w:p>
    <w:p>
      <w:pPr>
        <w:spacing w:after="0" w:line="200" w:lineRule="exact"/>
        <w:rPr>
          <w:sz w:val="20"/>
          <w:szCs w:val="20"/>
          <w:color w:val="auto"/>
        </w:rPr>
      </w:pPr>
    </w:p>
    <w:p>
      <w:pPr>
        <w:spacing w:after="0" w:line="22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AMERICAN AIRLINES, INC., as the Borrower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3" w:lineRule="exact"/>
        <w:rPr>
          <w:sz w:val="20"/>
          <w:szCs w:val="20"/>
          <w:color w:val="auto"/>
        </w:rPr>
      </w:pPr>
    </w:p>
    <w:p>
      <w:pPr>
        <w:ind w:left="3900"/>
        <w:spacing w:after="0"/>
        <w:rPr>
          <w:sz w:val="20"/>
          <w:szCs w:val="20"/>
          <w:color w:val="auto"/>
        </w:rPr>
      </w:pPr>
      <w:r>
        <w:rPr>
          <w:rFonts w:ascii="Arial" w:cs="Arial" w:eastAsia="Arial" w:hAnsi="Arial"/>
          <w:sz w:val="18"/>
          <w:szCs w:val="18"/>
          <w:color w:val="auto"/>
        </w:rPr>
        <w:t>By: /s/ Thomas T. Weir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2672080</wp:posOffset>
            </wp:positionH>
            <wp:positionV relativeFrom="paragraph">
              <wp:posOffset>-19050</wp:posOffset>
            </wp:positionV>
            <wp:extent cx="1331595" cy="8890"/>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331">
                      <a:extLst>
                        <a:ext uri="{28A0092B-C50C-407E-A947-70E740481C1C}"/>
                      </a:extLst>
                    </a:blip>
                    <a:srcRect/>
                    <a:stretch>
                      <a:fillRect/>
                    </a:stretch>
                  </pic:blipFill>
                  <pic:spPr bwMode="auto">
                    <a:xfrm>
                      <a:off x="0" y="0"/>
                      <a:ext cx="1331595" cy="8890"/>
                    </a:xfrm>
                    <a:prstGeom prst="rect">
                      <a:avLst/>
                    </a:prstGeom>
                    <a:noFill/>
                  </pic:spPr>
                </pic:pic>
              </a:graphicData>
            </a:graphic>
          </wp:anchor>
        </w:drawing>
      </w:r>
    </w:p>
    <w:p>
      <w:pPr>
        <w:ind w:left="4220"/>
        <w:spacing w:after="0"/>
        <w:rPr>
          <w:sz w:val="20"/>
          <w:szCs w:val="20"/>
          <w:color w:val="auto"/>
        </w:rPr>
      </w:pPr>
      <w:r>
        <w:rPr>
          <w:rFonts w:ascii="Arial" w:cs="Arial" w:eastAsia="Arial" w:hAnsi="Arial"/>
          <w:sz w:val="18"/>
          <w:szCs w:val="18"/>
          <w:color w:val="auto"/>
        </w:rPr>
        <w:t>Name: Thomas T. Weir</w:t>
      </w:r>
    </w:p>
    <w:p>
      <w:pPr>
        <w:spacing w:after="0" w:line="9" w:lineRule="exact"/>
        <w:rPr>
          <w:sz w:val="20"/>
          <w:szCs w:val="20"/>
          <w:color w:val="auto"/>
        </w:rPr>
      </w:pPr>
    </w:p>
    <w:p>
      <w:pPr>
        <w:ind w:left="4220"/>
        <w:spacing w:after="0"/>
        <w:rPr>
          <w:sz w:val="20"/>
          <w:szCs w:val="20"/>
          <w:color w:val="auto"/>
        </w:rPr>
      </w:pPr>
      <w:r>
        <w:rPr>
          <w:rFonts w:ascii="Arial" w:cs="Arial" w:eastAsia="Arial" w:hAnsi="Arial"/>
          <w:sz w:val="18"/>
          <w:szCs w:val="18"/>
          <w:color w:val="auto"/>
        </w:rPr>
        <w:t>Title: Vice President and Treasurer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3" w:lineRule="exact"/>
        <w:rPr>
          <w:sz w:val="20"/>
          <w:szCs w:val="20"/>
          <w:color w:val="auto"/>
        </w:rPr>
      </w:pPr>
    </w:p>
    <w:p>
      <w:pPr>
        <w:ind w:left="3900"/>
        <w:spacing w:after="0"/>
        <w:rPr>
          <w:sz w:val="20"/>
          <w:szCs w:val="20"/>
          <w:color w:val="auto"/>
        </w:rPr>
      </w:pPr>
      <w:r>
        <w:rPr>
          <w:rFonts w:ascii="Arial" w:cs="Arial" w:eastAsia="Arial" w:hAnsi="Arial"/>
          <w:sz w:val="18"/>
          <w:szCs w:val="18"/>
          <w:color w:val="auto"/>
        </w:rPr>
        <w:t>AMERICAN AIRLINES GROUP INC., as Parent and Guarantor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3" w:lineRule="exact"/>
        <w:rPr>
          <w:sz w:val="20"/>
          <w:szCs w:val="20"/>
          <w:color w:val="auto"/>
        </w:rPr>
      </w:pPr>
    </w:p>
    <w:p>
      <w:pPr>
        <w:ind w:left="3900"/>
        <w:spacing w:after="0"/>
        <w:rPr>
          <w:sz w:val="20"/>
          <w:szCs w:val="20"/>
          <w:color w:val="auto"/>
        </w:rPr>
      </w:pPr>
      <w:r>
        <w:rPr>
          <w:rFonts w:ascii="Arial" w:cs="Arial" w:eastAsia="Arial" w:hAnsi="Arial"/>
          <w:sz w:val="18"/>
          <w:szCs w:val="18"/>
          <w:color w:val="auto"/>
        </w:rPr>
        <w:t>By: /s/ Thomas T. Weir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2672080</wp:posOffset>
            </wp:positionH>
            <wp:positionV relativeFrom="paragraph">
              <wp:posOffset>-19050</wp:posOffset>
            </wp:positionV>
            <wp:extent cx="1331595" cy="8890"/>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332">
                      <a:extLst>
                        <a:ext uri="{28A0092B-C50C-407E-A947-70E740481C1C}"/>
                      </a:extLst>
                    </a:blip>
                    <a:srcRect/>
                    <a:stretch>
                      <a:fillRect/>
                    </a:stretch>
                  </pic:blipFill>
                  <pic:spPr bwMode="auto">
                    <a:xfrm>
                      <a:off x="0" y="0"/>
                      <a:ext cx="1331595" cy="8890"/>
                    </a:xfrm>
                    <a:prstGeom prst="rect">
                      <a:avLst/>
                    </a:prstGeom>
                    <a:noFill/>
                  </pic:spPr>
                </pic:pic>
              </a:graphicData>
            </a:graphic>
          </wp:anchor>
        </w:drawing>
      </w:r>
    </w:p>
    <w:p>
      <w:pPr>
        <w:ind w:left="4220"/>
        <w:spacing w:after="0"/>
        <w:rPr>
          <w:sz w:val="20"/>
          <w:szCs w:val="20"/>
          <w:color w:val="auto"/>
        </w:rPr>
      </w:pPr>
      <w:r>
        <w:rPr>
          <w:rFonts w:ascii="Arial" w:cs="Arial" w:eastAsia="Arial" w:hAnsi="Arial"/>
          <w:sz w:val="18"/>
          <w:szCs w:val="18"/>
          <w:color w:val="auto"/>
        </w:rPr>
        <w:t>Name: Thomas T. Weir</w:t>
      </w:r>
    </w:p>
    <w:p>
      <w:pPr>
        <w:spacing w:after="0" w:line="9" w:lineRule="exact"/>
        <w:rPr>
          <w:sz w:val="20"/>
          <w:szCs w:val="20"/>
          <w:color w:val="auto"/>
        </w:rPr>
      </w:pPr>
    </w:p>
    <w:p>
      <w:pPr>
        <w:ind w:left="4220"/>
        <w:spacing w:after="0"/>
        <w:rPr>
          <w:sz w:val="20"/>
          <w:szCs w:val="20"/>
          <w:color w:val="auto"/>
        </w:rPr>
      </w:pPr>
      <w:r>
        <w:rPr>
          <w:rFonts w:ascii="Arial" w:cs="Arial" w:eastAsia="Arial" w:hAnsi="Arial"/>
          <w:sz w:val="18"/>
          <w:szCs w:val="18"/>
          <w:color w:val="auto"/>
        </w:rPr>
        <w:t>Title: Vice President and Treasurer</w:t>
      </w:r>
    </w:p>
    <w:p>
      <w:pPr>
        <w:spacing w:after="0" w:line="200" w:lineRule="exact"/>
        <w:rPr>
          <w:sz w:val="20"/>
          <w:szCs w:val="20"/>
          <w:color w:val="auto"/>
        </w:rPr>
      </w:pPr>
    </w:p>
    <w:p>
      <w:pPr>
        <w:spacing w:after="0" w:line="200" w:lineRule="exact"/>
        <w:rPr>
          <w:sz w:val="20"/>
          <w:szCs w:val="20"/>
          <w:color w:val="auto"/>
        </w:rPr>
      </w:pPr>
    </w:p>
    <w:p>
      <w:pPr>
        <w:spacing w:after="0" w:line="244" w:lineRule="exact"/>
        <w:rPr>
          <w:sz w:val="20"/>
          <w:szCs w:val="20"/>
          <w:color w:val="auto"/>
        </w:rPr>
      </w:pPr>
    </w:p>
    <w:p>
      <w:pPr>
        <w:jc w:val="center"/>
        <w:spacing w:after="0"/>
        <w:rPr>
          <w:sz w:val="20"/>
          <w:szCs w:val="20"/>
          <w:color w:val="auto"/>
        </w:rPr>
      </w:pPr>
      <w:r>
        <w:rPr>
          <w:rFonts w:ascii="Arial" w:cs="Arial" w:eastAsia="Arial" w:hAnsi="Arial"/>
          <w:sz w:val="16"/>
          <w:szCs w:val="16"/>
          <w:i w:val="1"/>
          <w:iCs w:val="1"/>
          <w:color w:val="auto"/>
        </w:rPr>
        <w:t>[Signature Page to Fifth Amendment to Credit and Guaranty Agreement (Spare Parts)]</w:t>
      </w:r>
    </w:p>
    <w:p>
      <w:pPr>
        <w:sectPr>
          <w:pgSz w:w="11900" w:h="16838" w:orient="portrait"/>
          <w:cols w:equalWidth="0" w:num="1">
            <w:col w:w="11420"/>
          </w:cols>
          <w:pgMar w:left="240" w:top="571" w:right="239" w:bottom="1440" w:gutter="0" w:footer="0" w:header="0"/>
        </w:sectPr>
      </w:pPr>
    </w:p>
    <w:bookmarkStart w:id="216" w:name="page217"/>
    <w:bookmarkEnd w:id="216"/>
    <w:p>
      <w:pPr>
        <w:ind w:left="2700"/>
        <w:spacing w:after="0"/>
        <w:rPr>
          <w:sz w:val="20"/>
          <w:szCs w:val="20"/>
          <w:color w:val="auto"/>
        </w:rPr>
      </w:pPr>
      <w:r>
        <w:rPr>
          <w:rFonts w:ascii="Arial" w:cs="Arial" w:eastAsia="Arial" w:hAnsi="Arial"/>
          <w:sz w:val="18"/>
          <w:szCs w:val="18"/>
          <w:color w:val="auto"/>
        </w:rPr>
        <w:t>BARCLAYS BANK PLC,</w:t>
      </w:r>
    </w:p>
    <w:p>
      <w:pPr>
        <w:spacing w:after="0" w:line="9" w:lineRule="exact"/>
        <w:rPr>
          <w:sz w:val="20"/>
          <w:szCs w:val="20"/>
          <w:color w:val="auto"/>
        </w:rPr>
      </w:pPr>
    </w:p>
    <w:p>
      <w:pPr>
        <w:ind w:left="2700"/>
        <w:spacing w:after="0"/>
        <w:rPr>
          <w:sz w:val="20"/>
          <w:szCs w:val="20"/>
          <w:color w:val="auto"/>
        </w:rPr>
      </w:pPr>
      <w:r>
        <w:rPr>
          <w:rFonts w:ascii="Arial" w:cs="Arial" w:eastAsia="Arial" w:hAnsi="Arial"/>
          <w:sz w:val="18"/>
          <w:szCs w:val="18"/>
          <w:color w:val="auto"/>
        </w:rPr>
        <w:t>as Administrative Agent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3" w:lineRule="exact"/>
        <w:rPr>
          <w:sz w:val="20"/>
          <w:szCs w:val="20"/>
          <w:color w:val="auto"/>
        </w:rPr>
      </w:pPr>
    </w:p>
    <w:p>
      <w:pPr>
        <w:ind w:left="2700"/>
        <w:spacing w:after="0"/>
        <w:rPr>
          <w:sz w:val="20"/>
          <w:szCs w:val="20"/>
          <w:color w:val="auto"/>
        </w:rPr>
      </w:pPr>
      <w:r>
        <w:rPr>
          <w:rFonts w:ascii="Arial" w:cs="Arial" w:eastAsia="Arial" w:hAnsi="Arial"/>
          <w:sz w:val="18"/>
          <w:szCs w:val="18"/>
          <w:color w:val="auto"/>
        </w:rPr>
        <w:t>By: /s/ Craig Malloy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1910080</wp:posOffset>
            </wp:positionH>
            <wp:positionV relativeFrom="paragraph">
              <wp:posOffset>-19050</wp:posOffset>
            </wp:positionV>
            <wp:extent cx="1295400" cy="8890"/>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333">
                      <a:extLst>
                        <a:ext uri="{28A0092B-C50C-407E-A947-70E740481C1C}"/>
                      </a:extLst>
                    </a:blip>
                    <a:srcRect/>
                    <a:stretch>
                      <a:fillRect/>
                    </a:stretch>
                  </pic:blipFill>
                  <pic:spPr bwMode="auto">
                    <a:xfrm>
                      <a:off x="0" y="0"/>
                      <a:ext cx="1295400" cy="8890"/>
                    </a:xfrm>
                    <a:prstGeom prst="rect">
                      <a:avLst/>
                    </a:prstGeom>
                    <a:noFill/>
                  </pic:spPr>
                </pic:pic>
              </a:graphicData>
            </a:graphic>
          </wp:anchor>
        </w:drawing>
      </w:r>
    </w:p>
    <w:p>
      <w:pPr>
        <w:ind w:left="2700"/>
        <w:spacing w:after="0"/>
        <w:rPr>
          <w:sz w:val="20"/>
          <w:szCs w:val="20"/>
          <w:color w:val="auto"/>
        </w:rPr>
      </w:pPr>
      <w:r>
        <w:rPr>
          <w:rFonts w:ascii="Arial" w:cs="Arial" w:eastAsia="Arial" w:hAnsi="Arial"/>
          <w:sz w:val="18"/>
          <w:szCs w:val="18"/>
          <w:color w:val="auto"/>
        </w:rPr>
        <w:t>Name: Craig Malloy</w:t>
      </w:r>
    </w:p>
    <w:p>
      <w:pPr>
        <w:spacing w:after="0" w:line="9" w:lineRule="exact"/>
        <w:rPr>
          <w:sz w:val="20"/>
          <w:szCs w:val="20"/>
          <w:color w:val="auto"/>
        </w:rPr>
      </w:pPr>
    </w:p>
    <w:p>
      <w:pPr>
        <w:ind w:left="2700"/>
        <w:spacing w:after="0"/>
        <w:rPr>
          <w:sz w:val="20"/>
          <w:szCs w:val="20"/>
          <w:color w:val="auto"/>
        </w:rPr>
      </w:pPr>
      <w:r>
        <w:rPr>
          <w:rFonts w:ascii="Arial" w:cs="Arial" w:eastAsia="Arial" w:hAnsi="Arial"/>
          <w:sz w:val="18"/>
          <w:szCs w:val="18"/>
          <w:color w:val="auto"/>
        </w:rPr>
        <w:t>Title: Director</w:t>
      </w:r>
    </w:p>
    <w:p>
      <w:pPr>
        <w:spacing w:after="0" w:line="200" w:lineRule="exact"/>
        <w:rPr>
          <w:sz w:val="20"/>
          <w:szCs w:val="20"/>
          <w:color w:val="auto"/>
        </w:rPr>
      </w:pPr>
    </w:p>
    <w:p>
      <w:pPr>
        <w:spacing w:after="0" w:line="200" w:lineRule="exact"/>
        <w:rPr>
          <w:sz w:val="20"/>
          <w:szCs w:val="20"/>
          <w:color w:val="auto"/>
        </w:rPr>
      </w:pPr>
    </w:p>
    <w:p>
      <w:pPr>
        <w:spacing w:after="0" w:line="244" w:lineRule="exact"/>
        <w:rPr>
          <w:sz w:val="20"/>
          <w:szCs w:val="20"/>
          <w:color w:val="auto"/>
        </w:rPr>
      </w:pPr>
    </w:p>
    <w:p>
      <w:pPr>
        <w:jc w:val="center"/>
        <w:ind w:right="-20"/>
        <w:spacing w:after="0"/>
        <w:rPr>
          <w:sz w:val="20"/>
          <w:szCs w:val="20"/>
          <w:color w:val="auto"/>
        </w:rPr>
      </w:pPr>
      <w:r>
        <w:rPr>
          <w:rFonts w:ascii="Arial" w:cs="Arial" w:eastAsia="Arial" w:hAnsi="Arial"/>
          <w:sz w:val="16"/>
          <w:szCs w:val="16"/>
          <w:i w:val="1"/>
          <w:iCs w:val="1"/>
          <w:color w:val="auto"/>
        </w:rPr>
        <w:t>[Signature Page to Fifth Amendment to Credit and Guaranty Agreement (Spare Parts)]</w:t>
      </w:r>
    </w:p>
    <w:p>
      <w:pPr>
        <w:sectPr>
          <w:pgSz w:w="11900" w:h="16838" w:orient="portrait"/>
          <w:cols w:equalWidth="0" w:num="1">
            <w:col w:w="9019"/>
          </w:cols>
          <w:pgMar w:left="1440" w:top="787" w:right="1440" w:bottom="1440" w:gutter="0" w:footer="0" w:header="0"/>
        </w:sectPr>
      </w:pPr>
    </w:p>
    <w:bookmarkStart w:id="217" w:name="page218"/>
    <w:bookmarkEnd w:id="217"/>
    <w:p>
      <w:pPr>
        <w:jc w:val="right"/>
        <w:spacing w:after="0"/>
        <w:rPr>
          <w:sz w:val="20"/>
          <w:szCs w:val="20"/>
          <w:color w:val="auto"/>
        </w:rPr>
      </w:pPr>
      <w:r>
        <w:rPr>
          <w:rFonts w:ascii="Arial" w:cs="Arial" w:eastAsia="Arial" w:hAnsi="Arial"/>
          <w:sz w:val="18"/>
          <w:szCs w:val="18"/>
          <w:b w:val="1"/>
          <w:bCs w:val="1"/>
          <w:i w:val="1"/>
          <w:iCs w:val="1"/>
          <w:color w:val="auto"/>
        </w:rPr>
        <w:t>Schedule 1</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3" w:lineRule="exact"/>
        <w:rPr>
          <w:sz w:val="20"/>
          <w:szCs w:val="20"/>
          <w:color w:val="auto"/>
        </w:rPr>
      </w:pPr>
    </w:p>
    <w:p>
      <w:pPr>
        <w:jc w:val="center"/>
        <w:spacing w:after="0"/>
        <w:rPr>
          <w:sz w:val="20"/>
          <w:szCs w:val="20"/>
          <w:color w:val="auto"/>
        </w:rPr>
      </w:pPr>
      <w:r>
        <w:rPr>
          <w:rFonts w:ascii="Arial" w:cs="Arial" w:eastAsia="Arial" w:hAnsi="Arial"/>
          <w:sz w:val="18"/>
          <w:szCs w:val="18"/>
          <w:b w:val="1"/>
          <w:bCs w:val="1"/>
          <w:u w:val="single" w:color="auto"/>
          <w:color w:val="auto"/>
        </w:rPr>
        <w:t>ANNEX A</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Arial" w:cs="Arial" w:eastAsia="Arial" w:hAnsi="Arial"/>
          <w:sz w:val="18"/>
          <w:szCs w:val="18"/>
          <w:b w:val="1"/>
          <w:bCs w:val="1"/>
          <w:u w:val="single" w:color="auto"/>
          <w:color w:val="auto"/>
        </w:rPr>
        <w:t>Lenders and Commitments</w:t>
      </w:r>
    </w:p>
    <w:p>
      <w:pPr>
        <w:spacing w:after="0" w:line="363" w:lineRule="exact"/>
        <w:rPr>
          <w:sz w:val="20"/>
          <w:szCs w:val="20"/>
          <w:color w:val="auto"/>
        </w:rPr>
      </w:pPr>
    </w:p>
    <w:tbl>
      <w:tblPr>
        <w:tblLayout w:type="fixed"/>
        <w:tblInd w:w="530" w:type="dxa"/>
        <w:tblCellMar>
          <w:top w:w="0" w:type="dxa"/>
          <w:left w:w="0" w:type="dxa"/>
          <w:bottom w:w="0" w:type="dxa"/>
          <w:right w:w="0" w:type="dxa"/>
        </w:tblCellMar>
      </w:tblPr>
      <w:tr>
        <w:trPr>
          <w:trHeight w:val="220"/>
        </w:trPr>
        <w:tc>
          <w:tcPr>
            <w:tcW w:w="3880" w:type="dxa"/>
            <w:vAlign w:val="bottom"/>
            <w:tcBorders>
              <w:top w:val="single" w:sz="8" w:color="auto"/>
              <w:left w:val="single" w:sz="8" w:color="auto"/>
              <w:right w:val="single" w:sz="8" w:color="auto"/>
            </w:tcBorders>
          </w:tcPr>
          <w:p>
            <w:pPr>
              <w:ind w:left="40"/>
              <w:spacing w:after="0"/>
              <w:rPr>
                <w:sz w:val="20"/>
                <w:szCs w:val="20"/>
                <w:color w:val="auto"/>
              </w:rPr>
            </w:pPr>
            <w:r>
              <w:rPr>
                <w:rFonts w:ascii="Arial" w:cs="Arial" w:eastAsia="Arial" w:hAnsi="Arial"/>
                <w:sz w:val="18"/>
                <w:szCs w:val="18"/>
                <w:b w:val="1"/>
                <w:bCs w:val="1"/>
                <w:color w:val="auto"/>
              </w:rPr>
              <w:t>Name of Bank</w:t>
            </w:r>
          </w:p>
        </w:tc>
        <w:tc>
          <w:tcPr>
            <w:tcW w:w="2180" w:type="dxa"/>
            <w:vAlign w:val="bottom"/>
            <w:tcBorders>
              <w:top w:val="single" w:sz="8" w:color="auto"/>
              <w:right w:val="single" w:sz="8" w:color="auto"/>
            </w:tcBorders>
          </w:tcPr>
          <w:p>
            <w:pPr>
              <w:jc w:val="center"/>
              <w:spacing w:after="0"/>
              <w:rPr>
                <w:sz w:val="20"/>
                <w:szCs w:val="20"/>
                <w:color w:val="auto"/>
              </w:rPr>
            </w:pPr>
            <w:r>
              <w:rPr>
                <w:rFonts w:ascii="Arial" w:cs="Arial" w:eastAsia="Arial" w:hAnsi="Arial"/>
                <w:sz w:val="18"/>
                <w:szCs w:val="18"/>
                <w:b w:val="1"/>
                <w:bCs w:val="1"/>
                <w:color w:val="auto"/>
                <w:w w:val="99"/>
              </w:rPr>
              <w:t>Fifth Amendment</w:t>
            </w:r>
          </w:p>
        </w:tc>
        <w:tc>
          <w:tcPr>
            <w:tcW w:w="2180" w:type="dxa"/>
            <w:vAlign w:val="bottom"/>
            <w:tcBorders>
              <w:top w:val="single" w:sz="8" w:color="auto"/>
              <w:right w:val="single" w:sz="8" w:color="auto"/>
            </w:tcBorders>
          </w:tcPr>
          <w:p>
            <w:pPr>
              <w:jc w:val="center"/>
              <w:spacing w:after="0"/>
              <w:rPr>
                <w:sz w:val="20"/>
                <w:szCs w:val="20"/>
                <w:color w:val="auto"/>
              </w:rPr>
            </w:pPr>
            <w:r>
              <w:rPr>
                <w:rFonts w:ascii="Arial" w:cs="Arial" w:eastAsia="Arial" w:hAnsi="Arial"/>
                <w:sz w:val="18"/>
                <w:szCs w:val="18"/>
                <w:b w:val="1"/>
                <w:bCs w:val="1"/>
                <w:color w:val="auto"/>
                <w:w w:val="99"/>
              </w:rPr>
              <w:t>Fourth Amendment</w:t>
            </w:r>
          </w:p>
        </w:tc>
        <w:tc>
          <w:tcPr>
            <w:tcW w:w="2160" w:type="dxa"/>
            <w:vAlign w:val="bottom"/>
            <w:tcBorders>
              <w:top w:val="single" w:sz="8" w:color="auto"/>
              <w:right w:val="single" w:sz="8" w:color="auto"/>
            </w:tcBorders>
          </w:tcPr>
          <w:p>
            <w:pPr>
              <w:jc w:val="center"/>
              <w:spacing w:after="0"/>
              <w:rPr>
                <w:sz w:val="20"/>
                <w:szCs w:val="20"/>
                <w:color w:val="auto"/>
              </w:rPr>
            </w:pPr>
            <w:r>
              <w:rPr>
                <w:rFonts w:ascii="Arial" w:cs="Arial" w:eastAsia="Arial" w:hAnsi="Arial"/>
                <w:sz w:val="18"/>
                <w:szCs w:val="18"/>
                <w:b w:val="1"/>
                <w:bCs w:val="1"/>
                <w:color w:val="auto"/>
                <w:w w:val="99"/>
              </w:rPr>
              <w:t>LC Commitment</w:t>
            </w:r>
          </w:p>
        </w:tc>
      </w:tr>
      <w:tr>
        <w:trPr>
          <w:trHeight w:val="203"/>
        </w:trPr>
        <w:tc>
          <w:tcPr>
            <w:tcW w:w="3880" w:type="dxa"/>
            <w:vAlign w:val="bottom"/>
            <w:tcBorders>
              <w:left w:val="single" w:sz="8" w:color="auto"/>
              <w:right w:val="single" w:sz="8" w:color="auto"/>
            </w:tcBorders>
          </w:tcPr>
          <w:p>
            <w:pPr>
              <w:spacing w:after="0"/>
              <w:rPr>
                <w:sz w:val="17"/>
                <w:szCs w:val="17"/>
                <w:color w:val="auto"/>
              </w:rPr>
            </w:pPr>
          </w:p>
        </w:tc>
        <w:tc>
          <w:tcPr>
            <w:tcW w:w="2180" w:type="dxa"/>
            <w:vAlign w:val="bottom"/>
            <w:tcBorders>
              <w:right w:val="single" w:sz="8" w:color="auto"/>
            </w:tcBorders>
          </w:tcPr>
          <w:p>
            <w:pPr>
              <w:jc w:val="center"/>
              <w:spacing w:after="0" w:line="202" w:lineRule="exact"/>
              <w:rPr>
                <w:sz w:val="20"/>
                <w:szCs w:val="20"/>
                <w:color w:val="auto"/>
              </w:rPr>
            </w:pPr>
            <w:r>
              <w:rPr>
                <w:rFonts w:ascii="Arial" w:cs="Arial" w:eastAsia="Arial" w:hAnsi="Arial"/>
                <w:sz w:val="18"/>
                <w:szCs w:val="18"/>
                <w:b w:val="1"/>
                <w:bCs w:val="1"/>
                <w:color w:val="auto"/>
                <w:w w:val="99"/>
              </w:rPr>
              <w:t>Extended Revolving</w:t>
            </w:r>
          </w:p>
        </w:tc>
        <w:tc>
          <w:tcPr>
            <w:tcW w:w="2180" w:type="dxa"/>
            <w:vAlign w:val="bottom"/>
            <w:tcBorders>
              <w:right w:val="single" w:sz="8" w:color="auto"/>
            </w:tcBorders>
          </w:tcPr>
          <w:p>
            <w:pPr>
              <w:jc w:val="center"/>
              <w:spacing w:after="0" w:line="202" w:lineRule="exact"/>
              <w:rPr>
                <w:sz w:val="20"/>
                <w:szCs w:val="20"/>
                <w:color w:val="auto"/>
              </w:rPr>
            </w:pPr>
            <w:r>
              <w:rPr>
                <w:rFonts w:ascii="Arial" w:cs="Arial" w:eastAsia="Arial" w:hAnsi="Arial"/>
                <w:sz w:val="18"/>
                <w:szCs w:val="18"/>
                <w:b w:val="1"/>
                <w:bCs w:val="1"/>
                <w:color w:val="auto"/>
                <w:w w:val="99"/>
              </w:rPr>
              <w:t>Non-Extended</w:t>
            </w:r>
          </w:p>
        </w:tc>
        <w:tc>
          <w:tcPr>
            <w:tcW w:w="2160" w:type="dxa"/>
            <w:vAlign w:val="bottom"/>
            <w:tcBorders>
              <w:right w:val="single" w:sz="8" w:color="auto"/>
            </w:tcBorders>
          </w:tcPr>
          <w:p>
            <w:pPr>
              <w:spacing w:after="0"/>
              <w:rPr>
                <w:sz w:val="17"/>
                <w:szCs w:val="17"/>
                <w:color w:val="auto"/>
              </w:rPr>
            </w:pPr>
          </w:p>
        </w:tc>
      </w:tr>
      <w:tr>
        <w:trPr>
          <w:trHeight w:val="246"/>
        </w:trPr>
        <w:tc>
          <w:tcPr>
            <w:tcW w:w="3880" w:type="dxa"/>
            <w:vAlign w:val="bottom"/>
            <w:tcBorders>
              <w:left w:val="single" w:sz="8" w:color="auto"/>
              <w:bottom w:val="single" w:sz="8" w:color="auto"/>
              <w:right w:val="single" w:sz="8" w:color="auto"/>
            </w:tcBorders>
          </w:tcPr>
          <w:p>
            <w:pPr>
              <w:spacing w:after="0"/>
              <w:rPr>
                <w:sz w:val="21"/>
                <w:szCs w:val="21"/>
                <w:color w:val="auto"/>
              </w:rPr>
            </w:pPr>
          </w:p>
        </w:tc>
        <w:tc>
          <w:tcPr>
            <w:tcW w:w="218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b w:val="1"/>
                <w:bCs w:val="1"/>
                <w:color w:val="auto"/>
                <w:w w:val="99"/>
              </w:rPr>
              <w:t>Commitment</w:t>
            </w:r>
          </w:p>
        </w:tc>
        <w:tc>
          <w:tcPr>
            <w:tcW w:w="218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b w:val="1"/>
                <w:bCs w:val="1"/>
                <w:color w:val="auto"/>
              </w:rPr>
              <w:t>Revolving Commitment</w:t>
            </w:r>
          </w:p>
        </w:tc>
        <w:tc>
          <w:tcPr>
            <w:tcW w:w="2160" w:type="dxa"/>
            <w:vAlign w:val="bottom"/>
            <w:tcBorders>
              <w:bottom w:val="single" w:sz="8" w:color="auto"/>
              <w:right w:val="single" w:sz="8" w:color="auto"/>
            </w:tcBorders>
          </w:tcPr>
          <w:p>
            <w:pPr>
              <w:spacing w:after="0"/>
              <w:rPr>
                <w:sz w:val="21"/>
                <w:szCs w:val="21"/>
                <w:color w:val="auto"/>
              </w:rPr>
            </w:pPr>
          </w:p>
        </w:tc>
      </w:tr>
      <w:tr>
        <w:trPr>
          <w:trHeight w:val="243"/>
        </w:trPr>
        <w:tc>
          <w:tcPr>
            <w:tcW w:w="3880" w:type="dxa"/>
            <w:vAlign w:val="bottom"/>
            <w:tcBorders>
              <w:left w:val="single" w:sz="8" w:color="auto"/>
              <w:right w:val="single" w:sz="8" w:color="auto"/>
            </w:tcBorders>
          </w:tcPr>
          <w:p>
            <w:pPr>
              <w:ind w:left="40"/>
              <w:spacing w:after="0"/>
              <w:rPr>
                <w:sz w:val="20"/>
                <w:szCs w:val="20"/>
                <w:color w:val="auto"/>
              </w:rPr>
            </w:pPr>
            <w:r>
              <w:rPr>
                <w:rFonts w:ascii="Arial" w:cs="Arial" w:eastAsia="Arial" w:hAnsi="Arial"/>
                <w:sz w:val="18"/>
                <w:szCs w:val="18"/>
                <w:color w:val="auto"/>
              </w:rPr>
              <w:t>Barclays Bank PLC</w:t>
            </w:r>
          </w:p>
        </w:tc>
        <w:tc>
          <w:tcPr>
            <w:tcW w:w="218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6"/>
              </w:rPr>
              <w:t>[***]</w:t>
            </w:r>
          </w:p>
        </w:tc>
        <w:tc>
          <w:tcPr>
            <w:tcW w:w="218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6"/>
              </w:rPr>
              <w:t>[***]</w:t>
            </w:r>
          </w:p>
        </w:tc>
        <w:tc>
          <w:tcPr>
            <w:tcW w:w="2160" w:type="dxa"/>
            <w:vAlign w:val="bottom"/>
            <w:tcBorders>
              <w:right w:val="single" w:sz="8" w:color="auto"/>
            </w:tcBorders>
          </w:tcPr>
          <w:p>
            <w:pPr>
              <w:spacing w:after="0"/>
              <w:rPr>
                <w:sz w:val="21"/>
                <w:szCs w:val="21"/>
                <w:color w:val="auto"/>
              </w:rPr>
            </w:pPr>
          </w:p>
        </w:tc>
      </w:tr>
      <w:tr>
        <w:trPr>
          <w:trHeight w:val="27"/>
        </w:trPr>
        <w:tc>
          <w:tcPr>
            <w:tcW w:w="3880" w:type="dxa"/>
            <w:vAlign w:val="bottom"/>
            <w:tcBorders>
              <w:left w:val="single" w:sz="8" w:color="auto"/>
              <w:bottom w:val="single" w:sz="8" w:color="auto"/>
              <w:right w:val="single" w:sz="8" w:color="auto"/>
            </w:tcBorders>
          </w:tcPr>
          <w:p>
            <w:pPr>
              <w:spacing w:after="0"/>
              <w:rPr>
                <w:sz w:val="2"/>
                <w:szCs w:val="2"/>
                <w:color w:val="auto"/>
              </w:rPr>
            </w:pPr>
          </w:p>
        </w:tc>
        <w:tc>
          <w:tcPr>
            <w:tcW w:w="2180" w:type="dxa"/>
            <w:vAlign w:val="bottom"/>
            <w:tcBorders>
              <w:bottom w:val="single" w:sz="8" w:color="auto"/>
              <w:right w:val="single" w:sz="8" w:color="auto"/>
            </w:tcBorders>
          </w:tcPr>
          <w:p>
            <w:pPr>
              <w:spacing w:after="0"/>
              <w:rPr>
                <w:sz w:val="2"/>
                <w:szCs w:val="2"/>
                <w:color w:val="auto"/>
              </w:rPr>
            </w:pPr>
          </w:p>
        </w:tc>
        <w:tc>
          <w:tcPr>
            <w:tcW w:w="2180" w:type="dxa"/>
            <w:vAlign w:val="bottom"/>
            <w:tcBorders>
              <w:bottom w:val="single" w:sz="8" w:color="auto"/>
              <w:right w:val="single" w:sz="8" w:color="auto"/>
            </w:tcBorders>
          </w:tcPr>
          <w:p>
            <w:pPr>
              <w:spacing w:after="0"/>
              <w:rPr>
                <w:sz w:val="2"/>
                <w:szCs w:val="2"/>
                <w:color w:val="auto"/>
              </w:rPr>
            </w:pPr>
          </w:p>
        </w:tc>
        <w:tc>
          <w:tcPr>
            <w:tcW w:w="2160" w:type="dxa"/>
            <w:vAlign w:val="bottom"/>
            <w:tcBorders>
              <w:bottom w:val="single" w:sz="8" w:color="auto"/>
              <w:right w:val="single" w:sz="8" w:color="auto"/>
            </w:tcBorders>
          </w:tcPr>
          <w:p>
            <w:pPr>
              <w:spacing w:after="0"/>
              <w:rPr>
                <w:sz w:val="2"/>
                <w:szCs w:val="2"/>
                <w:color w:val="auto"/>
              </w:rPr>
            </w:pPr>
          </w:p>
        </w:tc>
      </w:tr>
      <w:tr>
        <w:trPr>
          <w:trHeight w:val="237"/>
        </w:trPr>
        <w:tc>
          <w:tcPr>
            <w:tcW w:w="3880" w:type="dxa"/>
            <w:vAlign w:val="bottom"/>
            <w:tcBorders>
              <w:left w:val="single" w:sz="8" w:color="auto"/>
              <w:right w:val="single" w:sz="8" w:color="auto"/>
            </w:tcBorders>
          </w:tcPr>
          <w:p>
            <w:pPr>
              <w:ind w:left="40"/>
              <w:spacing w:after="0"/>
              <w:rPr>
                <w:sz w:val="20"/>
                <w:szCs w:val="20"/>
                <w:color w:val="auto"/>
              </w:rPr>
            </w:pPr>
            <w:r>
              <w:rPr>
                <w:rFonts w:ascii="Arial" w:cs="Arial" w:eastAsia="Arial" w:hAnsi="Arial"/>
                <w:sz w:val="18"/>
                <w:szCs w:val="18"/>
                <w:color w:val="auto"/>
              </w:rPr>
              <w:t>Bank of America, N.A.</w:t>
            </w:r>
          </w:p>
        </w:tc>
        <w:tc>
          <w:tcPr>
            <w:tcW w:w="218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6"/>
              </w:rPr>
              <w:t>[***]</w:t>
            </w:r>
          </w:p>
        </w:tc>
        <w:tc>
          <w:tcPr>
            <w:tcW w:w="218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6"/>
              </w:rPr>
              <w:t>[***]</w:t>
            </w:r>
          </w:p>
        </w:tc>
        <w:tc>
          <w:tcPr>
            <w:tcW w:w="2160" w:type="dxa"/>
            <w:vAlign w:val="bottom"/>
            <w:tcBorders>
              <w:right w:val="single" w:sz="8" w:color="auto"/>
            </w:tcBorders>
          </w:tcPr>
          <w:p>
            <w:pPr>
              <w:spacing w:after="0"/>
              <w:rPr>
                <w:sz w:val="20"/>
                <w:szCs w:val="20"/>
                <w:color w:val="auto"/>
              </w:rPr>
            </w:pPr>
          </w:p>
        </w:tc>
      </w:tr>
      <w:tr>
        <w:trPr>
          <w:trHeight w:val="27"/>
        </w:trPr>
        <w:tc>
          <w:tcPr>
            <w:tcW w:w="3880" w:type="dxa"/>
            <w:vAlign w:val="bottom"/>
            <w:tcBorders>
              <w:left w:val="single" w:sz="8" w:color="auto"/>
              <w:bottom w:val="single" w:sz="8" w:color="auto"/>
              <w:right w:val="single" w:sz="8" w:color="auto"/>
            </w:tcBorders>
          </w:tcPr>
          <w:p>
            <w:pPr>
              <w:spacing w:after="0"/>
              <w:rPr>
                <w:sz w:val="2"/>
                <w:szCs w:val="2"/>
                <w:color w:val="auto"/>
              </w:rPr>
            </w:pPr>
          </w:p>
        </w:tc>
        <w:tc>
          <w:tcPr>
            <w:tcW w:w="2180" w:type="dxa"/>
            <w:vAlign w:val="bottom"/>
            <w:tcBorders>
              <w:bottom w:val="single" w:sz="8" w:color="auto"/>
              <w:right w:val="single" w:sz="8" w:color="auto"/>
            </w:tcBorders>
          </w:tcPr>
          <w:p>
            <w:pPr>
              <w:spacing w:after="0"/>
              <w:rPr>
                <w:sz w:val="2"/>
                <w:szCs w:val="2"/>
                <w:color w:val="auto"/>
              </w:rPr>
            </w:pPr>
          </w:p>
        </w:tc>
        <w:tc>
          <w:tcPr>
            <w:tcW w:w="2180" w:type="dxa"/>
            <w:vAlign w:val="bottom"/>
            <w:tcBorders>
              <w:bottom w:val="single" w:sz="8" w:color="auto"/>
              <w:right w:val="single" w:sz="8" w:color="auto"/>
            </w:tcBorders>
          </w:tcPr>
          <w:p>
            <w:pPr>
              <w:spacing w:after="0"/>
              <w:rPr>
                <w:sz w:val="2"/>
                <w:szCs w:val="2"/>
                <w:color w:val="auto"/>
              </w:rPr>
            </w:pPr>
          </w:p>
        </w:tc>
        <w:tc>
          <w:tcPr>
            <w:tcW w:w="2160" w:type="dxa"/>
            <w:vAlign w:val="bottom"/>
            <w:tcBorders>
              <w:bottom w:val="single" w:sz="8" w:color="auto"/>
              <w:right w:val="single" w:sz="8" w:color="auto"/>
            </w:tcBorders>
          </w:tcPr>
          <w:p>
            <w:pPr>
              <w:spacing w:after="0"/>
              <w:rPr>
                <w:sz w:val="2"/>
                <w:szCs w:val="2"/>
                <w:color w:val="auto"/>
              </w:rPr>
            </w:pPr>
          </w:p>
        </w:tc>
      </w:tr>
      <w:tr>
        <w:trPr>
          <w:trHeight w:val="237"/>
        </w:trPr>
        <w:tc>
          <w:tcPr>
            <w:tcW w:w="3880" w:type="dxa"/>
            <w:vAlign w:val="bottom"/>
            <w:tcBorders>
              <w:left w:val="single" w:sz="8" w:color="auto"/>
              <w:right w:val="single" w:sz="8" w:color="auto"/>
            </w:tcBorders>
          </w:tcPr>
          <w:p>
            <w:pPr>
              <w:ind w:left="40"/>
              <w:spacing w:after="0"/>
              <w:rPr>
                <w:sz w:val="20"/>
                <w:szCs w:val="20"/>
                <w:color w:val="auto"/>
              </w:rPr>
            </w:pPr>
            <w:r>
              <w:rPr>
                <w:rFonts w:ascii="Arial" w:cs="Arial" w:eastAsia="Arial" w:hAnsi="Arial"/>
                <w:sz w:val="18"/>
                <w:szCs w:val="18"/>
                <w:color w:val="auto"/>
              </w:rPr>
              <w:t>Citibank N.A.</w:t>
            </w:r>
          </w:p>
        </w:tc>
        <w:tc>
          <w:tcPr>
            <w:tcW w:w="218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6"/>
              </w:rPr>
              <w:t>[***]</w:t>
            </w:r>
          </w:p>
        </w:tc>
        <w:tc>
          <w:tcPr>
            <w:tcW w:w="218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6"/>
              </w:rPr>
              <w:t>[***]</w:t>
            </w:r>
          </w:p>
        </w:tc>
        <w:tc>
          <w:tcPr>
            <w:tcW w:w="2160" w:type="dxa"/>
            <w:vAlign w:val="bottom"/>
            <w:tcBorders>
              <w:right w:val="single" w:sz="8" w:color="auto"/>
            </w:tcBorders>
          </w:tcPr>
          <w:p>
            <w:pPr>
              <w:spacing w:after="0"/>
              <w:rPr>
                <w:sz w:val="20"/>
                <w:szCs w:val="20"/>
                <w:color w:val="auto"/>
              </w:rPr>
            </w:pPr>
          </w:p>
        </w:tc>
      </w:tr>
      <w:tr>
        <w:trPr>
          <w:trHeight w:val="27"/>
        </w:trPr>
        <w:tc>
          <w:tcPr>
            <w:tcW w:w="3880" w:type="dxa"/>
            <w:vAlign w:val="bottom"/>
            <w:tcBorders>
              <w:left w:val="single" w:sz="8" w:color="auto"/>
              <w:bottom w:val="single" w:sz="8" w:color="auto"/>
              <w:right w:val="single" w:sz="8" w:color="auto"/>
            </w:tcBorders>
          </w:tcPr>
          <w:p>
            <w:pPr>
              <w:spacing w:after="0"/>
              <w:rPr>
                <w:sz w:val="2"/>
                <w:szCs w:val="2"/>
                <w:color w:val="auto"/>
              </w:rPr>
            </w:pPr>
          </w:p>
        </w:tc>
        <w:tc>
          <w:tcPr>
            <w:tcW w:w="2180" w:type="dxa"/>
            <w:vAlign w:val="bottom"/>
            <w:tcBorders>
              <w:bottom w:val="single" w:sz="8" w:color="auto"/>
              <w:right w:val="single" w:sz="8" w:color="auto"/>
            </w:tcBorders>
          </w:tcPr>
          <w:p>
            <w:pPr>
              <w:spacing w:after="0"/>
              <w:rPr>
                <w:sz w:val="2"/>
                <w:szCs w:val="2"/>
                <w:color w:val="auto"/>
              </w:rPr>
            </w:pPr>
          </w:p>
        </w:tc>
        <w:tc>
          <w:tcPr>
            <w:tcW w:w="2180" w:type="dxa"/>
            <w:vAlign w:val="bottom"/>
            <w:tcBorders>
              <w:bottom w:val="single" w:sz="8" w:color="auto"/>
              <w:right w:val="single" w:sz="8" w:color="auto"/>
            </w:tcBorders>
          </w:tcPr>
          <w:p>
            <w:pPr>
              <w:spacing w:after="0"/>
              <w:rPr>
                <w:sz w:val="2"/>
                <w:szCs w:val="2"/>
                <w:color w:val="auto"/>
              </w:rPr>
            </w:pPr>
          </w:p>
        </w:tc>
        <w:tc>
          <w:tcPr>
            <w:tcW w:w="2160" w:type="dxa"/>
            <w:vAlign w:val="bottom"/>
            <w:tcBorders>
              <w:bottom w:val="single" w:sz="8" w:color="auto"/>
              <w:right w:val="single" w:sz="8" w:color="auto"/>
            </w:tcBorders>
          </w:tcPr>
          <w:p>
            <w:pPr>
              <w:spacing w:after="0"/>
              <w:rPr>
                <w:sz w:val="2"/>
                <w:szCs w:val="2"/>
                <w:color w:val="auto"/>
              </w:rPr>
            </w:pPr>
          </w:p>
        </w:tc>
      </w:tr>
      <w:tr>
        <w:trPr>
          <w:trHeight w:val="237"/>
        </w:trPr>
        <w:tc>
          <w:tcPr>
            <w:tcW w:w="3880" w:type="dxa"/>
            <w:vAlign w:val="bottom"/>
            <w:tcBorders>
              <w:left w:val="single" w:sz="8" w:color="auto"/>
              <w:right w:val="single" w:sz="8" w:color="auto"/>
            </w:tcBorders>
          </w:tcPr>
          <w:p>
            <w:pPr>
              <w:ind w:left="40"/>
              <w:spacing w:after="0"/>
              <w:rPr>
                <w:sz w:val="20"/>
                <w:szCs w:val="20"/>
                <w:color w:val="auto"/>
              </w:rPr>
            </w:pPr>
            <w:r>
              <w:rPr>
                <w:rFonts w:ascii="Arial" w:cs="Arial" w:eastAsia="Arial" w:hAnsi="Arial"/>
                <w:sz w:val="18"/>
                <w:szCs w:val="18"/>
                <w:color w:val="auto"/>
              </w:rPr>
              <w:t>Credit Suisse AG, Cayman Islands Branch</w:t>
            </w:r>
          </w:p>
        </w:tc>
        <w:tc>
          <w:tcPr>
            <w:tcW w:w="218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6"/>
              </w:rPr>
              <w:t>[***]</w:t>
            </w:r>
          </w:p>
        </w:tc>
        <w:tc>
          <w:tcPr>
            <w:tcW w:w="218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6"/>
              </w:rPr>
              <w:t>[***]</w:t>
            </w:r>
          </w:p>
        </w:tc>
        <w:tc>
          <w:tcPr>
            <w:tcW w:w="2160" w:type="dxa"/>
            <w:vAlign w:val="bottom"/>
            <w:tcBorders>
              <w:right w:val="single" w:sz="8" w:color="auto"/>
            </w:tcBorders>
          </w:tcPr>
          <w:p>
            <w:pPr>
              <w:spacing w:after="0"/>
              <w:rPr>
                <w:sz w:val="20"/>
                <w:szCs w:val="20"/>
                <w:color w:val="auto"/>
              </w:rPr>
            </w:pPr>
          </w:p>
        </w:tc>
      </w:tr>
      <w:tr>
        <w:trPr>
          <w:trHeight w:val="27"/>
        </w:trPr>
        <w:tc>
          <w:tcPr>
            <w:tcW w:w="3880" w:type="dxa"/>
            <w:vAlign w:val="bottom"/>
            <w:tcBorders>
              <w:left w:val="single" w:sz="8" w:color="auto"/>
              <w:bottom w:val="single" w:sz="8" w:color="auto"/>
              <w:right w:val="single" w:sz="8" w:color="auto"/>
            </w:tcBorders>
          </w:tcPr>
          <w:p>
            <w:pPr>
              <w:spacing w:after="0"/>
              <w:rPr>
                <w:sz w:val="2"/>
                <w:szCs w:val="2"/>
                <w:color w:val="auto"/>
              </w:rPr>
            </w:pPr>
          </w:p>
        </w:tc>
        <w:tc>
          <w:tcPr>
            <w:tcW w:w="2180" w:type="dxa"/>
            <w:vAlign w:val="bottom"/>
            <w:tcBorders>
              <w:bottom w:val="single" w:sz="8" w:color="auto"/>
              <w:right w:val="single" w:sz="8" w:color="auto"/>
            </w:tcBorders>
          </w:tcPr>
          <w:p>
            <w:pPr>
              <w:spacing w:after="0"/>
              <w:rPr>
                <w:sz w:val="2"/>
                <w:szCs w:val="2"/>
                <w:color w:val="auto"/>
              </w:rPr>
            </w:pPr>
          </w:p>
        </w:tc>
        <w:tc>
          <w:tcPr>
            <w:tcW w:w="2180" w:type="dxa"/>
            <w:vAlign w:val="bottom"/>
            <w:tcBorders>
              <w:bottom w:val="single" w:sz="8" w:color="auto"/>
              <w:right w:val="single" w:sz="8" w:color="auto"/>
            </w:tcBorders>
          </w:tcPr>
          <w:p>
            <w:pPr>
              <w:spacing w:after="0"/>
              <w:rPr>
                <w:sz w:val="2"/>
                <w:szCs w:val="2"/>
                <w:color w:val="auto"/>
              </w:rPr>
            </w:pPr>
          </w:p>
        </w:tc>
        <w:tc>
          <w:tcPr>
            <w:tcW w:w="2160" w:type="dxa"/>
            <w:vAlign w:val="bottom"/>
            <w:tcBorders>
              <w:bottom w:val="single" w:sz="8" w:color="auto"/>
              <w:right w:val="single" w:sz="8" w:color="auto"/>
            </w:tcBorders>
          </w:tcPr>
          <w:p>
            <w:pPr>
              <w:spacing w:after="0"/>
              <w:rPr>
                <w:sz w:val="2"/>
                <w:szCs w:val="2"/>
                <w:color w:val="auto"/>
              </w:rPr>
            </w:pPr>
          </w:p>
        </w:tc>
      </w:tr>
      <w:tr>
        <w:trPr>
          <w:trHeight w:val="237"/>
        </w:trPr>
        <w:tc>
          <w:tcPr>
            <w:tcW w:w="3880" w:type="dxa"/>
            <w:vAlign w:val="bottom"/>
            <w:tcBorders>
              <w:left w:val="single" w:sz="8" w:color="auto"/>
              <w:right w:val="single" w:sz="8" w:color="auto"/>
            </w:tcBorders>
          </w:tcPr>
          <w:p>
            <w:pPr>
              <w:ind w:left="40"/>
              <w:spacing w:after="0"/>
              <w:rPr>
                <w:sz w:val="20"/>
                <w:szCs w:val="20"/>
                <w:color w:val="auto"/>
              </w:rPr>
            </w:pPr>
            <w:r>
              <w:rPr>
                <w:rFonts w:ascii="Arial" w:cs="Arial" w:eastAsia="Arial" w:hAnsi="Arial"/>
                <w:sz w:val="18"/>
                <w:szCs w:val="18"/>
                <w:color w:val="auto"/>
              </w:rPr>
              <w:t>Deutsche Bank AG New York Branch</w:t>
            </w:r>
          </w:p>
        </w:tc>
        <w:tc>
          <w:tcPr>
            <w:tcW w:w="218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6"/>
              </w:rPr>
              <w:t>[***]</w:t>
            </w:r>
          </w:p>
        </w:tc>
        <w:tc>
          <w:tcPr>
            <w:tcW w:w="218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6"/>
              </w:rPr>
              <w:t>[***]</w:t>
            </w:r>
          </w:p>
        </w:tc>
        <w:tc>
          <w:tcPr>
            <w:tcW w:w="2160" w:type="dxa"/>
            <w:vAlign w:val="bottom"/>
            <w:tcBorders>
              <w:right w:val="single" w:sz="8" w:color="auto"/>
            </w:tcBorders>
          </w:tcPr>
          <w:p>
            <w:pPr>
              <w:spacing w:after="0"/>
              <w:rPr>
                <w:sz w:val="20"/>
                <w:szCs w:val="20"/>
                <w:color w:val="auto"/>
              </w:rPr>
            </w:pPr>
          </w:p>
        </w:tc>
      </w:tr>
      <w:tr>
        <w:trPr>
          <w:trHeight w:val="27"/>
        </w:trPr>
        <w:tc>
          <w:tcPr>
            <w:tcW w:w="3880" w:type="dxa"/>
            <w:vAlign w:val="bottom"/>
            <w:tcBorders>
              <w:left w:val="single" w:sz="8" w:color="auto"/>
              <w:bottom w:val="single" w:sz="8" w:color="auto"/>
              <w:right w:val="single" w:sz="8" w:color="auto"/>
            </w:tcBorders>
          </w:tcPr>
          <w:p>
            <w:pPr>
              <w:spacing w:after="0"/>
              <w:rPr>
                <w:sz w:val="2"/>
                <w:szCs w:val="2"/>
                <w:color w:val="auto"/>
              </w:rPr>
            </w:pPr>
          </w:p>
        </w:tc>
        <w:tc>
          <w:tcPr>
            <w:tcW w:w="2180" w:type="dxa"/>
            <w:vAlign w:val="bottom"/>
            <w:tcBorders>
              <w:bottom w:val="single" w:sz="8" w:color="auto"/>
              <w:right w:val="single" w:sz="8" w:color="auto"/>
            </w:tcBorders>
          </w:tcPr>
          <w:p>
            <w:pPr>
              <w:spacing w:after="0"/>
              <w:rPr>
                <w:sz w:val="2"/>
                <w:szCs w:val="2"/>
                <w:color w:val="auto"/>
              </w:rPr>
            </w:pPr>
          </w:p>
        </w:tc>
        <w:tc>
          <w:tcPr>
            <w:tcW w:w="2180" w:type="dxa"/>
            <w:vAlign w:val="bottom"/>
            <w:tcBorders>
              <w:bottom w:val="single" w:sz="8" w:color="auto"/>
              <w:right w:val="single" w:sz="8" w:color="auto"/>
            </w:tcBorders>
          </w:tcPr>
          <w:p>
            <w:pPr>
              <w:spacing w:after="0"/>
              <w:rPr>
                <w:sz w:val="2"/>
                <w:szCs w:val="2"/>
                <w:color w:val="auto"/>
              </w:rPr>
            </w:pPr>
          </w:p>
        </w:tc>
        <w:tc>
          <w:tcPr>
            <w:tcW w:w="2160" w:type="dxa"/>
            <w:vAlign w:val="bottom"/>
            <w:tcBorders>
              <w:bottom w:val="single" w:sz="8" w:color="auto"/>
              <w:right w:val="single" w:sz="8" w:color="auto"/>
            </w:tcBorders>
          </w:tcPr>
          <w:p>
            <w:pPr>
              <w:spacing w:after="0"/>
              <w:rPr>
                <w:sz w:val="2"/>
                <w:szCs w:val="2"/>
                <w:color w:val="auto"/>
              </w:rPr>
            </w:pPr>
          </w:p>
        </w:tc>
      </w:tr>
      <w:tr>
        <w:trPr>
          <w:trHeight w:val="237"/>
        </w:trPr>
        <w:tc>
          <w:tcPr>
            <w:tcW w:w="3880" w:type="dxa"/>
            <w:vAlign w:val="bottom"/>
            <w:tcBorders>
              <w:left w:val="single" w:sz="8" w:color="auto"/>
              <w:right w:val="single" w:sz="8" w:color="auto"/>
            </w:tcBorders>
          </w:tcPr>
          <w:p>
            <w:pPr>
              <w:ind w:left="40"/>
              <w:spacing w:after="0"/>
              <w:rPr>
                <w:sz w:val="20"/>
                <w:szCs w:val="20"/>
                <w:color w:val="auto"/>
              </w:rPr>
            </w:pPr>
            <w:r>
              <w:rPr>
                <w:rFonts w:ascii="Arial" w:cs="Arial" w:eastAsia="Arial" w:hAnsi="Arial"/>
                <w:sz w:val="18"/>
                <w:szCs w:val="18"/>
                <w:color w:val="auto"/>
              </w:rPr>
              <w:t>Goldman Sachs Bank USA</w:t>
            </w:r>
          </w:p>
        </w:tc>
        <w:tc>
          <w:tcPr>
            <w:tcW w:w="218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6"/>
              </w:rPr>
              <w:t>[***]</w:t>
            </w:r>
          </w:p>
        </w:tc>
        <w:tc>
          <w:tcPr>
            <w:tcW w:w="218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6"/>
              </w:rPr>
              <w:t>[***]</w:t>
            </w:r>
          </w:p>
        </w:tc>
        <w:tc>
          <w:tcPr>
            <w:tcW w:w="2160" w:type="dxa"/>
            <w:vAlign w:val="bottom"/>
            <w:tcBorders>
              <w:right w:val="single" w:sz="8" w:color="auto"/>
            </w:tcBorders>
          </w:tcPr>
          <w:p>
            <w:pPr>
              <w:spacing w:after="0"/>
              <w:rPr>
                <w:sz w:val="20"/>
                <w:szCs w:val="20"/>
                <w:color w:val="auto"/>
              </w:rPr>
            </w:pPr>
          </w:p>
        </w:tc>
      </w:tr>
      <w:tr>
        <w:trPr>
          <w:trHeight w:val="27"/>
        </w:trPr>
        <w:tc>
          <w:tcPr>
            <w:tcW w:w="3880" w:type="dxa"/>
            <w:vAlign w:val="bottom"/>
            <w:tcBorders>
              <w:left w:val="single" w:sz="8" w:color="auto"/>
              <w:bottom w:val="single" w:sz="8" w:color="auto"/>
              <w:right w:val="single" w:sz="8" w:color="auto"/>
            </w:tcBorders>
          </w:tcPr>
          <w:p>
            <w:pPr>
              <w:spacing w:after="0"/>
              <w:rPr>
                <w:sz w:val="2"/>
                <w:szCs w:val="2"/>
                <w:color w:val="auto"/>
              </w:rPr>
            </w:pPr>
          </w:p>
        </w:tc>
        <w:tc>
          <w:tcPr>
            <w:tcW w:w="2180" w:type="dxa"/>
            <w:vAlign w:val="bottom"/>
            <w:tcBorders>
              <w:bottom w:val="single" w:sz="8" w:color="auto"/>
              <w:right w:val="single" w:sz="8" w:color="auto"/>
            </w:tcBorders>
          </w:tcPr>
          <w:p>
            <w:pPr>
              <w:spacing w:after="0"/>
              <w:rPr>
                <w:sz w:val="2"/>
                <w:szCs w:val="2"/>
                <w:color w:val="auto"/>
              </w:rPr>
            </w:pPr>
          </w:p>
        </w:tc>
        <w:tc>
          <w:tcPr>
            <w:tcW w:w="2180" w:type="dxa"/>
            <w:vAlign w:val="bottom"/>
            <w:tcBorders>
              <w:bottom w:val="single" w:sz="8" w:color="auto"/>
              <w:right w:val="single" w:sz="8" w:color="auto"/>
            </w:tcBorders>
          </w:tcPr>
          <w:p>
            <w:pPr>
              <w:spacing w:after="0"/>
              <w:rPr>
                <w:sz w:val="2"/>
                <w:szCs w:val="2"/>
                <w:color w:val="auto"/>
              </w:rPr>
            </w:pPr>
          </w:p>
        </w:tc>
        <w:tc>
          <w:tcPr>
            <w:tcW w:w="2160" w:type="dxa"/>
            <w:vAlign w:val="bottom"/>
            <w:tcBorders>
              <w:bottom w:val="single" w:sz="8" w:color="auto"/>
              <w:right w:val="single" w:sz="8" w:color="auto"/>
            </w:tcBorders>
          </w:tcPr>
          <w:p>
            <w:pPr>
              <w:spacing w:after="0"/>
              <w:rPr>
                <w:sz w:val="2"/>
                <w:szCs w:val="2"/>
                <w:color w:val="auto"/>
              </w:rPr>
            </w:pPr>
          </w:p>
        </w:tc>
      </w:tr>
      <w:tr>
        <w:trPr>
          <w:trHeight w:val="222"/>
        </w:trPr>
        <w:tc>
          <w:tcPr>
            <w:tcW w:w="3880" w:type="dxa"/>
            <w:vAlign w:val="bottom"/>
            <w:tcBorders>
              <w:left w:val="single" w:sz="8" w:color="auto"/>
              <w:right w:val="single" w:sz="8" w:color="auto"/>
            </w:tcBorders>
          </w:tcPr>
          <w:p>
            <w:pPr>
              <w:ind w:left="40"/>
              <w:spacing w:after="0"/>
              <w:rPr>
                <w:sz w:val="20"/>
                <w:szCs w:val="20"/>
                <w:color w:val="auto"/>
              </w:rPr>
            </w:pPr>
            <w:r>
              <w:rPr>
                <w:rFonts w:ascii="Arial" w:cs="Arial" w:eastAsia="Arial" w:hAnsi="Arial"/>
                <w:sz w:val="18"/>
                <w:szCs w:val="18"/>
                <w:color w:val="auto"/>
              </w:rPr>
              <w:t>Industrial and Commercial Bank of China</w:t>
            </w:r>
          </w:p>
        </w:tc>
        <w:tc>
          <w:tcPr>
            <w:tcW w:w="218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6"/>
              </w:rPr>
              <w:t>[***]</w:t>
            </w:r>
          </w:p>
        </w:tc>
        <w:tc>
          <w:tcPr>
            <w:tcW w:w="218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6"/>
              </w:rPr>
              <w:t>[***]</w:t>
            </w:r>
          </w:p>
        </w:tc>
        <w:tc>
          <w:tcPr>
            <w:tcW w:w="2160" w:type="dxa"/>
            <w:vAlign w:val="bottom"/>
            <w:tcBorders>
              <w:right w:val="single" w:sz="8" w:color="auto"/>
            </w:tcBorders>
          </w:tcPr>
          <w:p>
            <w:pPr>
              <w:spacing w:after="0"/>
              <w:rPr>
                <w:sz w:val="19"/>
                <w:szCs w:val="19"/>
                <w:color w:val="auto"/>
              </w:rPr>
            </w:pPr>
          </w:p>
        </w:tc>
      </w:tr>
      <w:tr>
        <w:trPr>
          <w:trHeight w:val="224"/>
        </w:trPr>
        <w:tc>
          <w:tcPr>
            <w:tcW w:w="3880" w:type="dxa"/>
            <w:vAlign w:val="bottom"/>
            <w:tcBorders>
              <w:left w:val="single" w:sz="8" w:color="auto"/>
              <w:bottom w:val="single" w:sz="8" w:color="auto"/>
              <w:right w:val="single" w:sz="8" w:color="auto"/>
            </w:tcBorders>
          </w:tcPr>
          <w:p>
            <w:pPr>
              <w:ind w:left="40"/>
              <w:spacing w:after="0"/>
              <w:rPr>
                <w:sz w:val="20"/>
                <w:szCs w:val="20"/>
                <w:color w:val="auto"/>
              </w:rPr>
            </w:pPr>
            <w:r>
              <w:rPr>
                <w:rFonts w:ascii="Arial" w:cs="Arial" w:eastAsia="Arial" w:hAnsi="Arial"/>
                <w:sz w:val="18"/>
                <w:szCs w:val="18"/>
                <w:color w:val="auto"/>
              </w:rPr>
              <w:t>Limited, New York Branch</w:t>
            </w:r>
          </w:p>
        </w:tc>
        <w:tc>
          <w:tcPr>
            <w:tcW w:w="2180" w:type="dxa"/>
            <w:vAlign w:val="bottom"/>
            <w:tcBorders>
              <w:bottom w:val="single" w:sz="8" w:color="auto"/>
              <w:right w:val="single" w:sz="8" w:color="auto"/>
            </w:tcBorders>
          </w:tcPr>
          <w:p>
            <w:pPr>
              <w:spacing w:after="0"/>
              <w:rPr>
                <w:sz w:val="19"/>
                <w:szCs w:val="19"/>
                <w:color w:val="auto"/>
              </w:rPr>
            </w:pPr>
          </w:p>
        </w:tc>
        <w:tc>
          <w:tcPr>
            <w:tcW w:w="2180" w:type="dxa"/>
            <w:vAlign w:val="bottom"/>
            <w:tcBorders>
              <w:bottom w:val="single" w:sz="8" w:color="auto"/>
              <w:right w:val="single" w:sz="8" w:color="auto"/>
            </w:tcBorders>
          </w:tcPr>
          <w:p>
            <w:pPr>
              <w:spacing w:after="0"/>
              <w:rPr>
                <w:sz w:val="19"/>
                <w:szCs w:val="19"/>
                <w:color w:val="auto"/>
              </w:rPr>
            </w:pPr>
          </w:p>
        </w:tc>
        <w:tc>
          <w:tcPr>
            <w:tcW w:w="2160" w:type="dxa"/>
            <w:vAlign w:val="bottom"/>
            <w:tcBorders>
              <w:bottom w:val="single" w:sz="8" w:color="auto"/>
              <w:right w:val="single" w:sz="8" w:color="auto"/>
            </w:tcBorders>
          </w:tcPr>
          <w:p>
            <w:pPr>
              <w:spacing w:after="0"/>
              <w:rPr>
                <w:sz w:val="19"/>
                <w:szCs w:val="19"/>
                <w:color w:val="auto"/>
              </w:rPr>
            </w:pPr>
          </w:p>
        </w:tc>
      </w:tr>
      <w:tr>
        <w:trPr>
          <w:trHeight w:val="243"/>
        </w:trPr>
        <w:tc>
          <w:tcPr>
            <w:tcW w:w="3880" w:type="dxa"/>
            <w:vAlign w:val="bottom"/>
            <w:tcBorders>
              <w:left w:val="single" w:sz="8" w:color="auto"/>
              <w:right w:val="single" w:sz="8" w:color="auto"/>
            </w:tcBorders>
          </w:tcPr>
          <w:p>
            <w:pPr>
              <w:ind w:left="40"/>
              <w:spacing w:after="0"/>
              <w:rPr>
                <w:sz w:val="20"/>
                <w:szCs w:val="20"/>
                <w:color w:val="auto"/>
              </w:rPr>
            </w:pPr>
            <w:r>
              <w:rPr>
                <w:rFonts w:ascii="Arial" w:cs="Arial" w:eastAsia="Arial" w:hAnsi="Arial"/>
                <w:sz w:val="18"/>
                <w:szCs w:val="18"/>
                <w:color w:val="auto"/>
              </w:rPr>
              <w:t>JPMorgan Chase Bank, N.A.</w:t>
            </w:r>
          </w:p>
        </w:tc>
        <w:tc>
          <w:tcPr>
            <w:tcW w:w="218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6"/>
              </w:rPr>
              <w:t>[***]</w:t>
            </w:r>
          </w:p>
        </w:tc>
        <w:tc>
          <w:tcPr>
            <w:tcW w:w="218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6"/>
              </w:rPr>
              <w:t>[***]</w:t>
            </w:r>
          </w:p>
        </w:tc>
        <w:tc>
          <w:tcPr>
            <w:tcW w:w="2160" w:type="dxa"/>
            <w:vAlign w:val="bottom"/>
            <w:tcBorders>
              <w:right w:val="single" w:sz="8" w:color="auto"/>
            </w:tcBorders>
          </w:tcPr>
          <w:p>
            <w:pPr>
              <w:spacing w:after="0"/>
              <w:rPr>
                <w:sz w:val="21"/>
                <w:szCs w:val="21"/>
                <w:color w:val="auto"/>
              </w:rPr>
            </w:pPr>
          </w:p>
        </w:tc>
      </w:tr>
      <w:tr>
        <w:trPr>
          <w:trHeight w:val="27"/>
        </w:trPr>
        <w:tc>
          <w:tcPr>
            <w:tcW w:w="3880" w:type="dxa"/>
            <w:vAlign w:val="bottom"/>
            <w:tcBorders>
              <w:left w:val="single" w:sz="8" w:color="auto"/>
              <w:bottom w:val="single" w:sz="8" w:color="auto"/>
              <w:right w:val="single" w:sz="8" w:color="auto"/>
            </w:tcBorders>
          </w:tcPr>
          <w:p>
            <w:pPr>
              <w:spacing w:after="0"/>
              <w:rPr>
                <w:sz w:val="2"/>
                <w:szCs w:val="2"/>
                <w:color w:val="auto"/>
              </w:rPr>
            </w:pPr>
          </w:p>
        </w:tc>
        <w:tc>
          <w:tcPr>
            <w:tcW w:w="2180" w:type="dxa"/>
            <w:vAlign w:val="bottom"/>
            <w:tcBorders>
              <w:bottom w:val="single" w:sz="8" w:color="auto"/>
              <w:right w:val="single" w:sz="8" w:color="auto"/>
            </w:tcBorders>
          </w:tcPr>
          <w:p>
            <w:pPr>
              <w:spacing w:after="0"/>
              <w:rPr>
                <w:sz w:val="2"/>
                <w:szCs w:val="2"/>
                <w:color w:val="auto"/>
              </w:rPr>
            </w:pPr>
          </w:p>
        </w:tc>
        <w:tc>
          <w:tcPr>
            <w:tcW w:w="2180" w:type="dxa"/>
            <w:vAlign w:val="bottom"/>
            <w:tcBorders>
              <w:bottom w:val="single" w:sz="8" w:color="auto"/>
              <w:right w:val="single" w:sz="8" w:color="auto"/>
            </w:tcBorders>
          </w:tcPr>
          <w:p>
            <w:pPr>
              <w:spacing w:after="0"/>
              <w:rPr>
                <w:sz w:val="2"/>
                <w:szCs w:val="2"/>
                <w:color w:val="auto"/>
              </w:rPr>
            </w:pPr>
          </w:p>
        </w:tc>
        <w:tc>
          <w:tcPr>
            <w:tcW w:w="2160" w:type="dxa"/>
            <w:vAlign w:val="bottom"/>
            <w:tcBorders>
              <w:bottom w:val="single" w:sz="8" w:color="auto"/>
              <w:right w:val="single" w:sz="8" w:color="auto"/>
            </w:tcBorders>
          </w:tcPr>
          <w:p>
            <w:pPr>
              <w:spacing w:after="0"/>
              <w:rPr>
                <w:sz w:val="2"/>
                <w:szCs w:val="2"/>
                <w:color w:val="auto"/>
              </w:rPr>
            </w:pPr>
          </w:p>
        </w:tc>
      </w:tr>
      <w:tr>
        <w:trPr>
          <w:trHeight w:val="237"/>
        </w:trPr>
        <w:tc>
          <w:tcPr>
            <w:tcW w:w="3880" w:type="dxa"/>
            <w:vAlign w:val="bottom"/>
            <w:tcBorders>
              <w:left w:val="single" w:sz="8" w:color="auto"/>
              <w:right w:val="single" w:sz="8" w:color="auto"/>
            </w:tcBorders>
          </w:tcPr>
          <w:p>
            <w:pPr>
              <w:ind w:left="40"/>
              <w:spacing w:after="0"/>
              <w:rPr>
                <w:sz w:val="20"/>
                <w:szCs w:val="20"/>
                <w:color w:val="auto"/>
              </w:rPr>
            </w:pPr>
            <w:r>
              <w:rPr>
                <w:rFonts w:ascii="Arial" w:cs="Arial" w:eastAsia="Arial" w:hAnsi="Arial"/>
                <w:sz w:val="18"/>
                <w:szCs w:val="18"/>
                <w:color w:val="auto"/>
              </w:rPr>
              <w:t>Morgan Stanley Bank, N.A.</w:t>
            </w:r>
          </w:p>
        </w:tc>
        <w:tc>
          <w:tcPr>
            <w:tcW w:w="218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6"/>
              </w:rPr>
              <w:t>[***]</w:t>
            </w:r>
          </w:p>
        </w:tc>
        <w:tc>
          <w:tcPr>
            <w:tcW w:w="218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6"/>
              </w:rPr>
              <w:t>[***]</w:t>
            </w:r>
          </w:p>
        </w:tc>
        <w:tc>
          <w:tcPr>
            <w:tcW w:w="2160" w:type="dxa"/>
            <w:vAlign w:val="bottom"/>
            <w:tcBorders>
              <w:right w:val="single" w:sz="8" w:color="auto"/>
            </w:tcBorders>
          </w:tcPr>
          <w:p>
            <w:pPr>
              <w:spacing w:after="0"/>
              <w:rPr>
                <w:sz w:val="20"/>
                <w:szCs w:val="20"/>
                <w:color w:val="auto"/>
              </w:rPr>
            </w:pPr>
          </w:p>
        </w:tc>
      </w:tr>
      <w:tr>
        <w:trPr>
          <w:trHeight w:val="27"/>
        </w:trPr>
        <w:tc>
          <w:tcPr>
            <w:tcW w:w="3880" w:type="dxa"/>
            <w:vAlign w:val="bottom"/>
            <w:tcBorders>
              <w:left w:val="single" w:sz="8" w:color="auto"/>
              <w:bottom w:val="single" w:sz="8" w:color="auto"/>
              <w:right w:val="single" w:sz="8" w:color="auto"/>
            </w:tcBorders>
          </w:tcPr>
          <w:p>
            <w:pPr>
              <w:spacing w:after="0"/>
              <w:rPr>
                <w:sz w:val="2"/>
                <w:szCs w:val="2"/>
                <w:color w:val="auto"/>
              </w:rPr>
            </w:pPr>
          </w:p>
        </w:tc>
        <w:tc>
          <w:tcPr>
            <w:tcW w:w="2180" w:type="dxa"/>
            <w:vAlign w:val="bottom"/>
            <w:tcBorders>
              <w:bottom w:val="single" w:sz="8" w:color="auto"/>
              <w:right w:val="single" w:sz="8" w:color="auto"/>
            </w:tcBorders>
          </w:tcPr>
          <w:p>
            <w:pPr>
              <w:spacing w:after="0"/>
              <w:rPr>
                <w:sz w:val="2"/>
                <w:szCs w:val="2"/>
                <w:color w:val="auto"/>
              </w:rPr>
            </w:pPr>
          </w:p>
        </w:tc>
        <w:tc>
          <w:tcPr>
            <w:tcW w:w="2180" w:type="dxa"/>
            <w:vAlign w:val="bottom"/>
            <w:tcBorders>
              <w:bottom w:val="single" w:sz="8" w:color="auto"/>
              <w:right w:val="single" w:sz="8" w:color="auto"/>
            </w:tcBorders>
          </w:tcPr>
          <w:p>
            <w:pPr>
              <w:spacing w:after="0"/>
              <w:rPr>
                <w:sz w:val="2"/>
                <w:szCs w:val="2"/>
                <w:color w:val="auto"/>
              </w:rPr>
            </w:pPr>
          </w:p>
        </w:tc>
        <w:tc>
          <w:tcPr>
            <w:tcW w:w="2160" w:type="dxa"/>
            <w:vAlign w:val="bottom"/>
            <w:tcBorders>
              <w:bottom w:val="single" w:sz="8" w:color="auto"/>
              <w:right w:val="single" w:sz="8" w:color="auto"/>
            </w:tcBorders>
          </w:tcPr>
          <w:p>
            <w:pPr>
              <w:spacing w:after="0"/>
              <w:rPr>
                <w:sz w:val="2"/>
                <w:szCs w:val="2"/>
                <w:color w:val="auto"/>
              </w:rPr>
            </w:pPr>
          </w:p>
        </w:tc>
      </w:tr>
      <w:tr>
        <w:trPr>
          <w:trHeight w:val="237"/>
        </w:trPr>
        <w:tc>
          <w:tcPr>
            <w:tcW w:w="3880" w:type="dxa"/>
            <w:vAlign w:val="bottom"/>
            <w:tcBorders>
              <w:left w:val="single" w:sz="8" w:color="auto"/>
              <w:right w:val="single" w:sz="8" w:color="auto"/>
            </w:tcBorders>
          </w:tcPr>
          <w:p>
            <w:pPr>
              <w:ind w:left="40"/>
              <w:spacing w:after="0"/>
              <w:rPr>
                <w:sz w:val="20"/>
                <w:szCs w:val="20"/>
                <w:color w:val="auto"/>
              </w:rPr>
            </w:pPr>
            <w:r>
              <w:rPr>
                <w:rFonts w:ascii="Arial" w:cs="Arial" w:eastAsia="Arial" w:hAnsi="Arial"/>
                <w:sz w:val="18"/>
                <w:szCs w:val="18"/>
                <w:color w:val="auto"/>
              </w:rPr>
              <w:t>Morgan Stanley Senior Funding, Inc.</w:t>
            </w:r>
          </w:p>
        </w:tc>
        <w:tc>
          <w:tcPr>
            <w:tcW w:w="218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6"/>
              </w:rPr>
              <w:t>[***]</w:t>
            </w:r>
          </w:p>
        </w:tc>
        <w:tc>
          <w:tcPr>
            <w:tcW w:w="218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6"/>
              </w:rPr>
              <w:t>[***]</w:t>
            </w:r>
          </w:p>
        </w:tc>
        <w:tc>
          <w:tcPr>
            <w:tcW w:w="2160" w:type="dxa"/>
            <w:vAlign w:val="bottom"/>
            <w:tcBorders>
              <w:right w:val="single" w:sz="8" w:color="auto"/>
            </w:tcBorders>
          </w:tcPr>
          <w:p>
            <w:pPr>
              <w:spacing w:after="0"/>
              <w:rPr>
                <w:sz w:val="20"/>
                <w:szCs w:val="20"/>
                <w:color w:val="auto"/>
              </w:rPr>
            </w:pPr>
          </w:p>
        </w:tc>
      </w:tr>
      <w:tr>
        <w:trPr>
          <w:trHeight w:val="27"/>
        </w:trPr>
        <w:tc>
          <w:tcPr>
            <w:tcW w:w="3880" w:type="dxa"/>
            <w:vAlign w:val="bottom"/>
            <w:tcBorders>
              <w:left w:val="single" w:sz="8" w:color="auto"/>
              <w:bottom w:val="single" w:sz="8" w:color="auto"/>
              <w:right w:val="single" w:sz="8" w:color="auto"/>
            </w:tcBorders>
          </w:tcPr>
          <w:p>
            <w:pPr>
              <w:spacing w:after="0"/>
              <w:rPr>
                <w:sz w:val="2"/>
                <w:szCs w:val="2"/>
                <w:color w:val="auto"/>
              </w:rPr>
            </w:pPr>
          </w:p>
        </w:tc>
        <w:tc>
          <w:tcPr>
            <w:tcW w:w="2180" w:type="dxa"/>
            <w:vAlign w:val="bottom"/>
            <w:tcBorders>
              <w:bottom w:val="single" w:sz="8" w:color="auto"/>
              <w:right w:val="single" w:sz="8" w:color="auto"/>
            </w:tcBorders>
          </w:tcPr>
          <w:p>
            <w:pPr>
              <w:spacing w:after="0"/>
              <w:rPr>
                <w:sz w:val="2"/>
                <w:szCs w:val="2"/>
                <w:color w:val="auto"/>
              </w:rPr>
            </w:pPr>
          </w:p>
        </w:tc>
        <w:tc>
          <w:tcPr>
            <w:tcW w:w="2180" w:type="dxa"/>
            <w:vAlign w:val="bottom"/>
            <w:tcBorders>
              <w:bottom w:val="single" w:sz="8" w:color="auto"/>
              <w:right w:val="single" w:sz="8" w:color="auto"/>
            </w:tcBorders>
          </w:tcPr>
          <w:p>
            <w:pPr>
              <w:spacing w:after="0"/>
              <w:rPr>
                <w:sz w:val="2"/>
                <w:szCs w:val="2"/>
                <w:color w:val="auto"/>
              </w:rPr>
            </w:pPr>
          </w:p>
        </w:tc>
        <w:tc>
          <w:tcPr>
            <w:tcW w:w="2160" w:type="dxa"/>
            <w:vAlign w:val="bottom"/>
            <w:tcBorders>
              <w:bottom w:val="single" w:sz="8" w:color="auto"/>
              <w:right w:val="single" w:sz="8" w:color="auto"/>
            </w:tcBorders>
          </w:tcPr>
          <w:p>
            <w:pPr>
              <w:spacing w:after="0"/>
              <w:rPr>
                <w:sz w:val="2"/>
                <w:szCs w:val="2"/>
                <w:color w:val="auto"/>
              </w:rPr>
            </w:pPr>
          </w:p>
        </w:tc>
      </w:tr>
      <w:tr>
        <w:trPr>
          <w:trHeight w:val="237"/>
        </w:trPr>
        <w:tc>
          <w:tcPr>
            <w:tcW w:w="3880" w:type="dxa"/>
            <w:vAlign w:val="bottom"/>
            <w:tcBorders>
              <w:left w:val="single" w:sz="8" w:color="auto"/>
              <w:right w:val="single" w:sz="8" w:color="auto"/>
            </w:tcBorders>
          </w:tcPr>
          <w:p>
            <w:pPr>
              <w:ind w:left="40"/>
              <w:spacing w:after="0"/>
              <w:rPr>
                <w:sz w:val="20"/>
                <w:szCs w:val="20"/>
                <w:color w:val="auto"/>
              </w:rPr>
            </w:pPr>
            <w:r>
              <w:rPr>
                <w:rFonts w:ascii="Arial" w:cs="Arial" w:eastAsia="Arial" w:hAnsi="Arial"/>
                <w:sz w:val="18"/>
                <w:szCs w:val="18"/>
                <w:color w:val="auto"/>
              </w:rPr>
              <w:t>Sumitomo Mitsui Banking Corporation</w:t>
            </w:r>
          </w:p>
        </w:tc>
        <w:tc>
          <w:tcPr>
            <w:tcW w:w="218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6"/>
              </w:rPr>
              <w:t>[***]</w:t>
            </w:r>
          </w:p>
        </w:tc>
        <w:tc>
          <w:tcPr>
            <w:tcW w:w="218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6"/>
              </w:rPr>
              <w:t>[***]</w:t>
            </w:r>
          </w:p>
        </w:tc>
        <w:tc>
          <w:tcPr>
            <w:tcW w:w="2160" w:type="dxa"/>
            <w:vAlign w:val="bottom"/>
            <w:tcBorders>
              <w:right w:val="single" w:sz="8" w:color="auto"/>
            </w:tcBorders>
          </w:tcPr>
          <w:p>
            <w:pPr>
              <w:spacing w:after="0"/>
              <w:rPr>
                <w:sz w:val="20"/>
                <w:szCs w:val="20"/>
                <w:color w:val="auto"/>
              </w:rPr>
            </w:pPr>
          </w:p>
        </w:tc>
      </w:tr>
      <w:tr>
        <w:trPr>
          <w:trHeight w:val="27"/>
        </w:trPr>
        <w:tc>
          <w:tcPr>
            <w:tcW w:w="3880" w:type="dxa"/>
            <w:vAlign w:val="bottom"/>
            <w:tcBorders>
              <w:left w:val="single" w:sz="8" w:color="auto"/>
              <w:bottom w:val="single" w:sz="8" w:color="auto"/>
              <w:right w:val="single" w:sz="8" w:color="auto"/>
            </w:tcBorders>
          </w:tcPr>
          <w:p>
            <w:pPr>
              <w:spacing w:after="0"/>
              <w:rPr>
                <w:sz w:val="2"/>
                <w:szCs w:val="2"/>
                <w:color w:val="auto"/>
              </w:rPr>
            </w:pPr>
          </w:p>
        </w:tc>
        <w:tc>
          <w:tcPr>
            <w:tcW w:w="2180" w:type="dxa"/>
            <w:vAlign w:val="bottom"/>
            <w:tcBorders>
              <w:bottom w:val="single" w:sz="8" w:color="auto"/>
              <w:right w:val="single" w:sz="8" w:color="auto"/>
            </w:tcBorders>
          </w:tcPr>
          <w:p>
            <w:pPr>
              <w:spacing w:after="0"/>
              <w:rPr>
                <w:sz w:val="2"/>
                <w:szCs w:val="2"/>
                <w:color w:val="auto"/>
              </w:rPr>
            </w:pPr>
          </w:p>
        </w:tc>
        <w:tc>
          <w:tcPr>
            <w:tcW w:w="2180" w:type="dxa"/>
            <w:vAlign w:val="bottom"/>
            <w:tcBorders>
              <w:bottom w:val="single" w:sz="8" w:color="auto"/>
              <w:right w:val="single" w:sz="8" w:color="auto"/>
            </w:tcBorders>
          </w:tcPr>
          <w:p>
            <w:pPr>
              <w:spacing w:after="0"/>
              <w:rPr>
                <w:sz w:val="2"/>
                <w:szCs w:val="2"/>
                <w:color w:val="auto"/>
              </w:rPr>
            </w:pPr>
          </w:p>
        </w:tc>
        <w:tc>
          <w:tcPr>
            <w:tcW w:w="2160" w:type="dxa"/>
            <w:vAlign w:val="bottom"/>
            <w:tcBorders>
              <w:bottom w:val="single" w:sz="8" w:color="auto"/>
              <w:right w:val="single" w:sz="8" w:color="auto"/>
            </w:tcBorders>
          </w:tcPr>
          <w:p>
            <w:pPr>
              <w:spacing w:after="0"/>
              <w:rPr>
                <w:sz w:val="2"/>
                <w:szCs w:val="2"/>
                <w:color w:val="auto"/>
              </w:rPr>
            </w:pPr>
          </w:p>
        </w:tc>
      </w:tr>
      <w:tr>
        <w:trPr>
          <w:trHeight w:val="237"/>
        </w:trPr>
        <w:tc>
          <w:tcPr>
            <w:tcW w:w="3880" w:type="dxa"/>
            <w:vAlign w:val="bottom"/>
            <w:tcBorders>
              <w:left w:val="single" w:sz="8" w:color="auto"/>
              <w:right w:val="single" w:sz="8" w:color="auto"/>
            </w:tcBorders>
          </w:tcPr>
          <w:p>
            <w:pPr>
              <w:ind w:left="40"/>
              <w:spacing w:after="0"/>
              <w:rPr>
                <w:sz w:val="20"/>
                <w:szCs w:val="20"/>
                <w:color w:val="auto"/>
              </w:rPr>
            </w:pPr>
            <w:r>
              <w:rPr>
                <w:rFonts w:ascii="Arial" w:cs="Arial" w:eastAsia="Arial" w:hAnsi="Arial"/>
                <w:sz w:val="18"/>
                <w:szCs w:val="18"/>
                <w:color w:val="auto"/>
              </w:rPr>
              <w:t>BNP Paribas</w:t>
            </w:r>
          </w:p>
        </w:tc>
        <w:tc>
          <w:tcPr>
            <w:tcW w:w="218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6"/>
              </w:rPr>
              <w:t>[***]</w:t>
            </w:r>
          </w:p>
        </w:tc>
        <w:tc>
          <w:tcPr>
            <w:tcW w:w="218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6"/>
              </w:rPr>
              <w:t>[***]</w:t>
            </w:r>
          </w:p>
        </w:tc>
        <w:tc>
          <w:tcPr>
            <w:tcW w:w="2160" w:type="dxa"/>
            <w:vAlign w:val="bottom"/>
            <w:tcBorders>
              <w:right w:val="single" w:sz="8" w:color="auto"/>
            </w:tcBorders>
          </w:tcPr>
          <w:p>
            <w:pPr>
              <w:spacing w:after="0"/>
              <w:rPr>
                <w:sz w:val="20"/>
                <w:szCs w:val="20"/>
                <w:color w:val="auto"/>
              </w:rPr>
            </w:pPr>
          </w:p>
        </w:tc>
      </w:tr>
      <w:tr>
        <w:trPr>
          <w:trHeight w:val="27"/>
        </w:trPr>
        <w:tc>
          <w:tcPr>
            <w:tcW w:w="3880" w:type="dxa"/>
            <w:vAlign w:val="bottom"/>
            <w:tcBorders>
              <w:left w:val="single" w:sz="8" w:color="auto"/>
              <w:bottom w:val="single" w:sz="8" w:color="auto"/>
              <w:right w:val="single" w:sz="8" w:color="auto"/>
            </w:tcBorders>
          </w:tcPr>
          <w:p>
            <w:pPr>
              <w:spacing w:after="0"/>
              <w:rPr>
                <w:sz w:val="2"/>
                <w:szCs w:val="2"/>
                <w:color w:val="auto"/>
              </w:rPr>
            </w:pPr>
          </w:p>
        </w:tc>
        <w:tc>
          <w:tcPr>
            <w:tcW w:w="2180" w:type="dxa"/>
            <w:vAlign w:val="bottom"/>
            <w:tcBorders>
              <w:bottom w:val="single" w:sz="8" w:color="auto"/>
              <w:right w:val="single" w:sz="8" w:color="auto"/>
            </w:tcBorders>
          </w:tcPr>
          <w:p>
            <w:pPr>
              <w:spacing w:after="0"/>
              <w:rPr>
                <w:sz w:val="2"/>
                <w:szCs w:val="2"/>
                <w:color w:val="auto"/>
              </w:rPr>
            </w:pPr>
          </w:p>
        </w:tc>
        <w:tc>
          <w:tcPr>
            <w:tcW w:w="2180" w:type="dxa"/>
            <w:vAlign w:val="bottom"/>
            <w:tcBorders>
              <w:bottom w:val="single" w:sz="8" w:color="auto"/>
              <w:right w:val="single" w:sz="8" w:color="auto"/>
            </w:tcBorders>
          </w:tcPr>
          <w:p>
            <w:pPr>
              <w:spacing w:after="0"/>
              <w:rPr>
                <w:sz w:val="2"/>
                <w:szCs w:val="2"/>
                <w:color w:val="auto"/>
              </w:rPr>
            </w:pPr>
          </w:p>
        </w:tc>
        <w:tc>
          <w:tcPr>
            <w:tcW w:w="2160" w:type="dxa"/>
            <w:vAlign w:val="bottom"/>
            <w:tcBorders>
              <w:bottom w:val="single" w:sz="8" w:color="auto"/>
              <w:right w:val="single" w:sz="8" w:color="auto"/>
            </w:tcBorders>
          </w:tcPr>
          <w:p>
            <w:pPr>
              <w:spacing w:after="0"/>
              <w:rPr>
                <w:sz w:val="2"/>
                <w:szCs w:val="2"/>
                <w:color w:val="auto"/>
              </w:rPr>
            </w:pPr>
          </w:p>
        </w:tc>
      </w:tr>
      <w:tr>
        <w:trPr>
          <w:trHeight w:val="237"/>
        </w:trPr>
        <w:tc>
          <w:tcPr>
            <w:tcW w:w="3880" w:type="dxa"/>
            <w:vAlign w:val="bottom"/>
            <w:tcBorders>
              <w:left w:val="single" w:sz="8" w:color="auto"/>
              <w:right w:val="single" w:sz="8" w:color="auto"/>
            </w:tcBorders>
          </w:tcPr>
          <w:p>
            <w:pPr>
              <w:ind w:left="40"/>
              <w:spacing w:after="0"/>
              <w:rPr>
                <w:sz w:val="20"/>
                <w:szCs w:val="20"/>
                <w:color w:val="auto"/>
              </w:rPr>
            </w:pPr>
            <w:r>
              <w:rPr>
                <w:rFonts w:ascii="Arial" w:cs="Arial" w:eastAsia="Arial" w:hAnsi="Arial"/>
                <w:sz w:val="18"/>
                <w:szCs w:val="18"/>
                <w:color w:val="auto"/>
              </w:rPr>
              <w:t>Credit Agricole Corporate and Investment Bank</w:t>
            </w:r>
          </w:p>
        </w:tc>
        <w:tc>
          <w:tcPr>
            <w:tcW w:w="218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6"/>
              </w:rPr>
              <w:t>[***]</w:t>
            </w:r>
          </w:p>
        </w:tc>
        <w:tc>
          <w:tcPr>
            <w:tcW w:w="218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6"/>
              </w:rPr>
              <w:t>[***]</w:t>
            </w:r>
          </w:p>
        </w:tc>
        <w:tc>
          <w:tcPr>
            <w:tcW w:w="2160" w:type="dxa"/>
            <w:vAlign w:val="bottom"/>
            <w:tcBorders>
              <w:right w:val="single" w:sz="8" w:color="auto"/>
            </w:tcBorders>
          </w:tcPr>
          <w:p>
            <w:pPr>
              <w:spacing w:after="0"/>
              <w:rPr>
                <w:sz w:val="20"/>
                <w:szCs w:val="20"/>
                <w:color w:val="auto"/>
              </w:rPr>
            </w:pPr>
          </w:p>
        </w:tc>
      </w:tr>
      <w:tr>
        <w:trPr>
          <w:trHeight w:val="27"/>
        </w:trPr>
        <w:tc>
          <w:tcPr>
            <w:tcW w:w="3880" w:type="dxa"/>
            <w:vAlign w:val="bottom"/>
            <w:tcBorders>
              <w:left w:val="single" w:sz="8" w:color="auto"/>
              <w:bottom w:val="single" w:sz="8" w:color="auto"/>
              <w:right w:val="single" w:sz="8" w:color="auto"/>
            </w:tcBorders>
          </w:tcPr>
          <w:p>
            <w:pPr>
              <w:spacing w:after="0"/>
              <w:rPr>
                <w:sz w:val="2"/>
                <w:szCs w:val="2"/>
                <w:color w:val="auto"/>
              </w:rPr>
            </w:pPr>
          </w:p>
        </w:tc>
        <w:tc>
          <w:tcPr>
            <w:tcW w:w="2180" w:type="dxa"/>
            <w:vAlign w:val="bottom"/>
            <w:tcBorders>
              <w:bottom w:val="single" w:sz="8" w:color="auto"/>
              <w:right w:val="single" w:sz="8" w:color="auto"/>
            </w:tcBorders>
          </w:tcPr>
          <w:p>
            <w:pPr>
              <w:spacing w:after="0"/>
              <w:rPr>
                <w:sz w:val="2"/>
                <w:szCs w:val="2"/>
                <w:color w:val="auto"/>
              </w:rPr>
            </w:pPr>
          </w:p>
        </w:tc>
        <w:tc>
          <w:tcPr>
            <w:tcW w:w="2180" w:type="dxa"/>
            <w:vAlign w:val="bottom"/>
            <w:tcBorders>
              <w:bottom w:val="single" w:sz="8" w:color="auto"/>
              <w:right w:val="single" w:sz="8" w:color="auto"/>
            </w:tcBorders>
          </w:tcPr>
          <w:p>
            <w:pPr>
              <w:spacing w:after="0"/>
              <w:rPr>
                <w:sz w:val="2"/>
                <w:szCs w:val="2"/>
                <w:color w:val="auto"/>
              </w:rPr>
            </w:pPr>
          </w:p>
        </w:tc>
        <w:tc>
          <w:tcPr>
            <w:tcW w:w="2160" w:type="dxa"/>
            <w:vAlign w:val="bottom"/>
            <w:tcBorders>
              <w:bottom w:val="single" w:sz="8" w:color="auto"/>
              <w:right w:val="single" w:sz="8" w:color="auto"/>
            </w:tcBorders>
          </w:tcPr>
          <w:p>
            <w:pPr>
              <w:spacing w:after="0"/>
              <w:rPr>
                <w:sz w:val="2"/>
                <w:szCs w:val="2"/>
                <w:color w:val="auto"/>
              </w:rPr>
            </w:pPr>
          </w:p>
        </w:tc>
      </w:tr>
      <w:tr>
        <w:trPr>
          <w:trHeight w:val="237"/>
        </w:trPr>
        <w:tc>
          <w:tcPr>
            <w:tcW w:w="3880" w:type="dxa"/>
            <w:vAlign w:val="bottom"/>
            <w:tcBorders>
              <w:left w:val="single" w:sz="8" w:color="auto"/>
              <w:right w:val="single" w:sz="8" w:color="auto"/>
            </w:tcBorders>
          </w:tcPr>
          <w:p>
            <w:pPr>
              <w:ind w:left="40"/>
              <w:spacing w:after="0"/>
              <w:rPr>
                <w:sz w:val="20"/>
                <w:szCs w:val="20"/>
                <w:color w:val="auto"/>
              </w:rPr>
            </w:pPr>
            <w:r>
              <w:rPr>
                <w:rFonts w:ascii="Arial" w:cs="Arial" w:eastAsia="Arial" w:hAnsi="Arial"/>
                <w:sz w:val="18"/>
                <w:szCs w:val="18"/>
                <w:color w:val="auto"/>
              </w:rPr>
              <w:t>HSBC Bank USA, N.A.</w:t>
            </w:r>
          </w:p>
        </w:tc>
        <w:tc>
          <w:tcPr>
            <w:tcW w:w="218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6"/>
              </w:rPr>
              <w:t>[***]</w:t>
            </w:r>
          </w:p>
        </w:tc>
        <w:tc>
          <w:tcPr>
            <w:tcW w:w="218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6"/>
              </w:rPr>
              <w:t>[***]</w:t>
            </w:r>
          </w:p>
        </w:tc>
        <w:tc>
          <w:tcPr>
            <w:tcW w:w="2160" w:type="dxa"/>
            <w:vAlign w:val="bottom"/>
            <w:tcBorders>
              <w:right w:val="single" w:sz="8" w:color="auto"/>
            </w:tcBorders>
          </w:tcPr>
          <w:p>
            <w:pPr>
              <w:spacing w:after="0"/>
              <w:rPr>
                <w:sz w:val="20"/>
                <w:szCs w:val="20"/>
                <w:color w:val="auto"/>
              </w:rPr>
            </w:pPr>
          </w:p>
        </w:tc>
      </w:tr>
      <w:tr>
        <w:trPr>
          <w:trHeight w:val="27"/>
        </w:trPr>
        <w:tc>
          <w:tcPr>
            <w:tcW w:w="3880" w:type="dxa"/>
            <w:vAlign w:val="bottom"/>
            <w:tcBorders>
              <w:left w:val="single" w:sz="8" w:color="auto"/>
              <w:bottom w:val="single" w:sz="8" w:color="auto"/>
              <w:right w:val="single" w:sz="8" w:color="auto"/>
            </w:tcBorders>
          </w:tcPr>
          <w:p>
            <w:pPr>
              <w:spacing w:after="0"/>
              <w:rPr>
                <w:sz w:val="2"/>
                <w:szCs w:val="2"/>
                <w:color w:val="auto"/>
              </w:rPr>
            </w:pPr>
          </w:p>
        </w:tc>
        <w:tc>
          <w:tcPr>
            <w:tcW w:w="2180" w:type="dxa"/>
            <w:vAlign w:val="bottom"/>
            <w:tcBorders>
              <w:bottom w:val="single" w:sz="8" w:color="auto"/>
              <w:right w:val="single" w:sz="8" w:color="auto"/>
            </w:tcBorders>
          </w:tcPr>
          <w:p>
            <w:pPr>
              <w:spacing w:after="0"/>
              <w:rPr>
                <w:sz w:val="2"/>
                <w:szCs w:val="2"/>
                <w:color w:val="auto"/>
              </w:rPr>
            </w:pPr>
          </w:p>
        </w:tc>
        <w:tc>
          <w:tcPr>
            <w:tcW w:w="2180" w:type="dxa"/>
            <w:vAlign w:val="bottom"/>
            <w:tcBorders>
              <w:bottom w:val="single" w:sz="8" w:color="auto"/>
              <w:right w:val="single" w:sz="8" w:color="auto"/>
            </w:tcBorders>
          </w:tcPr>
          <w:p>
            <w:pPr>
              <w:spacing w:after="0"/>
              <w:rPr>
                <w:sz w:val="2"/>
                <w:szCs w:val="2"/>
                <w:color w:val="auto"/>
              </w:rPr>
            </w:pPr>
          </w:p>
        </w:tc>
        <w:tc>
          <w:tcPr>
            <w:tcW w:w="2160" w:type="dxa"/>
            <w:vAlign w:val="bottom"/>
            <w:tcBorders>
              <w:bottom w:val="single" w:sz="8" w:color="auto"/>
              <w:right w:val="single" w:sz="8" w:color="auto"/>
            </w:tcBorders>
          </w:tcPr>
          <w:p>
            <w:pPr>
              <w:spacing w:after="0"/>
              <w:rPr>
                <w:sz w:val="2"/>
                <w:szCs w:val="2"/>
                <w:color w:val="auto"/>
              </w:rPr>
            </w:pPr>
          </w:p>
        </w:tc>
      </w:tr>
      <w:tr>
        <w:trPr>
          <w:trHeight w:val="237"/>
        </w:trPr>
        <w:tc>
          <w:tcPr>
            <w:tcW w:w="3880" w:type="dxa"/>
            <w:vAlign w:val="bottom"/>
            <w:tcBorders>
              <w:left w:val="single" w:sz="8" w:color="auto"/>
              <w:right w:val="single" w:sz="8" w:color="auto"/>
            </w:tcBorders>
          </w:tcPr>
          <w:p>
            <w:pPr>
              <w:ind w:left="40"/>
              <w:spacing w:after="0"/>
              <w:rPr>
                <w:sz w:val="20"/>
                <w:szCs w:val="20"/>
                <w:color w:val="auto"/>
              </w:rPr>
            </w:pPr>
            <w:r>
              <w:rPr>
                <w:rFonts w:ascii="Arial" w:cs="Arial" w:eastAsia="Arial" w:hAnsi="Arial"/>
                <w:sz w:val="18"/>
                <w:szCs w:val="18"/>
                <w:color w:val="auto"/>
              </w:rPr>
              <w:t>MUFG Union Bank, N.A.</w:t>
            </w:r>
          </w:p>
        </w:tc>
        <w:tc>
          <w:tcPr>
            <w:tcW w:w="218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6"/>
              </w:rPr>
              <w:t>[***]</w:t>
            </w:r>
          </w:p>
        </w:tc>
        <w:tc>
          <w:tcPr>
            <w:tcW w:w="218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6"/>
              </w:rPr>
              <w:t>[***]</w:t>
            </w:r>
          </w:p>
        </w:tc>
        <w:tc>
          <w:tcPr>
            <w:tcW w:w="2160" w:type="dxa"/>
            <w:vAlign w:val="bottom"/>
            <w:tcBorders>
              <w:right w:val="single" w:sz="8" w:color="auto"/>
            </w:tcBorders>
          </w:tcPr>
          <w:p>
            <w:pPr>
              <w:spacing w:after="0"/>
              <w:rPr>
                <w:sz w:val="20"/>
                <w:szCs w:val="20"/>
                <w:color w:val="auto"/>
              </w:rPr>
            </w:pPr>
          </w:p>
        </w:tc>
      </w:tr>
      <w:tr>
        <w:trPr>
          <w:trHeight w:val="27"/>
        </w:trPr>
        <w:tc>
          <w:tcPr>
            <w:tcW w:w="3880" w:type="dxa"/>
            <w:vAlign w:val="bottom"/>
            <w:tcBorders>
              <w:left w:val="single" w:sz="8" w:color="auto"/>
              <w:bottom w:val="single" w:sz="8" w:color="auto"/>
              <w:right w:val="single" w:sz="8" w:color="auto"/>
            </w:tcBorders>
          </w:tcPr>
          <w:p>
            <w:pPr>
              <w:spacing w:after="0"/>
              <w:rPr>
                <w:sz w:val="2"/>
                <w:szCs w:val="2"/>
                <w:color w:val="auto"/>
              </w:rPr>
            </w:pPr>
          </w:p>
        </w:tc>
        <w:tc>
          <w:tcPr>
            <w:tcW w:w="2180" w:type="dxa"/>
            <w:vAlign w:val="bottom"/>
            <w:tcBorders>
              <w:bottom w:val="single" w:sz="8" w:color="auto"/>
              <w:right w:val="single" w:sz="8" w:color="auto"/>
            </w:tcBorders>
          </w:tcPr>
          <w:p>
            <w:pPr>
              <w:spacing w:after="0"/>
              <w:rPr>
                <w:sz w:val="2"/>
                <w:szCs w:val="2"/>
                <w:color w:val="auto"/>
              </w:rPr>
            </w:pPr>
          </w:p>
        </w:tc>
        <w:tc>
          <w:tcPr>
            <w:tcW w:w="2180" w:type="dxa"/>
            <w:vAlign w:val="bottom"/>
            <w:tcBorders>
              <w:bottom w:val="single" w:sz="8" w:color="auto"/>
              <w:right w:val="single" w:sz="8" w:color="auto"/>
            </w:tcBorders>
          </w:tcPr>
          <w:p>
            <w:pPr>
              <w:spacing w:after="0"/>
              <w:rPr>
                <w:sz w:val="2"/>
                <w:szCs w:val="2"/>
                <w:color w:val="auto"/>
              </w:rPr>
            </w:pPr>
          </w:p>
        </w:tc>
        <w:tc>
          <w:tcPr>
            <w:tcW w:w="2160" w:type="dxa"/>
            <w:vAlign w:val="bottom"/>
            <w:tcBorders>
              <w:bottom w:val="single" w:sz="8" w:color="auto"/>
              <w:right w:val="single" w:sz="8" w:color="auto"/>
            </w:tcBorders>
          </w:tcPr>
          <w:p>
            <w:pPr>
              <w:spacing w:after="0"/>
              <w:rPr>
                <w:sz w:val="2"/>
                <w:szCs w:val="2"/>
                <w:color w:val="auto"/>
              </w:rPr>
            </w:pPr>
          </w:p>
        </w:tc>
      </w:tr>
      <w:tr>
        <w:trPr>
          <w:trHeight w:val="237"/>
        </w:trPr>
        <w:tc>
          <w:tcPr>
            <w:tcW w:w="3880" w:type="dxa"/>
            <w:vAlign w:val="bottom"/>
            <w:tcBorders>
              <w:left w:val="single" w:sz="8" w:color="auto"/>
              <w:right w:val="single" w:sz="8" w:color="auto"/>
            </w:tcBorders>
          </w:tcPr>
          <w:p>
            <w:pPr>
              <w:ind w:left="40"/>
              <w:spacing w:after="0"/>
              <w:rPr>
                <w:sz w:val="20"/>
                <w:szCs w:val="20"/>
                <w:color w:val="auto"/>
              </w:rPr>
            </w:pPr>
            <w:r>
              <w:rPr>
                <w:rFonts w:ascii="Arial" w:cs="Arial" w:eastAsia="Arial" w:hAnsi="Arial"/>
                <w:sz w:val="18"/>
                <w:szCs w:val="18"/>
                <w:color w:val="auto"/>
              </w:rPr>
              <w:t>Standard Chartered Bank</w:t>
            </w:r>
          </w:p>
        </w:tc>
        <w:tc>
          <w:tcPr>
            <w:tcW w:w="218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6"/>
              </w:rPr>
              <w:t>[***]</w:t>
            </w:r>
          </w:p>
        </w:tc>
        <w:tc>
          <w:tcPr>
            <w:tcW w:w="218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6"/>
              </w:rPr>
              <w:t>[***]</w:t>
            </w:r>
          </w:p>
        </w:tc>
        <w:tc>
          <w:tcPr>
            <w:tcW w:w="2160" w:type="dxa"/>
            <w:vAlign w:val="bottom"/>
            <w:tcBorders>
              <w:right w:val="single" w:sz="8" w:color="auto"/>
            </w:tcBorders>
          </w:tcPr>
          <w:p>
            <w:pPr>
              <w:spacing w:after="0"/>
              <w:rPr>
                <w:sz w:val="20"/>
                <w:szCs w:val="20"/>
                <w:color w:val="auto"/>
              </w:rPr>
            </w:pPr>
          </w:p>
        </w:tc>
      </w:tr>
      <w:tr>
        <w:trPr>
          <w:trHeight w:val="27"/>
        </w:trPr>
        <w:tc>
          <w:tcPr>
            <w:tcW w:w="3880" w:type="dxa"/>
            <w:vAlign w:val="bottom"/>
            <w:tcBorders>
              <w:left w:val="single" w:sz="8" w:color="auto"/>
              <w:bottom w:val="single" w:sz="8" w:color="auto"/>
              <w:right w:val="single" w:sz="8" w:color="auto"/>
            </w:tcBorders>
          </w:tcPr>
          <w:p>
            <w:pPr>
              <w:spacing w:after="0"/>
              <w:rPr>
                <w:sz w:val="2"/>
                <w:szCs w:val="2"/>
                <w:color w:val="auto"/>
              </w:rPr>
            </w:pPr>
          </w:p>
        </w:tc>
        <w:tc>
          <w:tcPr>
            <w:tcW w:w="2180" w:type="dxa"/>
            <w:vAlign w:val="bottom"/>
            <w:tcBorders>
              <w:bottom w:val="single" w:sz="8" w:color="auto"/>
              <w:right w:val="single" w:sz="8" w:color="auto"/>
            </w:tcBorders>
          </w:tcPr>
          <w:p>
            <w:pPr>
              <w:spacing w:after="0"/>
              <w:rPr>
                <w:sz w:val="2"/>
                <w:szCs w:val="2"/>
                <w:color w:val="auto"/>
              </w:rPr>
            </w:pPr>
          </w:p>
        </w:tc>
        <w:tc>
          <w:tcPr>
            <w:tcW w:w="2180" w:type="dxa"/>
            <w:vAlign w:val="bottom"/>
            <w:tcBorders>
              <w:bottom w:val="single" w:sz="8" w:color="auto"/>
              <w:right w:val="single" w:sz="8" w:color="auto"/>
            </w:tcBorders>
          </w:tcPr>
          <w:p>
            <w:pPr>
              <w:spacing w:after="0"/>
              <w:rPr>
                <w:sz w:val="2"/>
                <w:szCs w:val="2"/>
                <w:color w:val="auto"/>
              </w:rPr>
            </w:pPr>
          </w:p>
        </w:tc>
        <w:tc>
          <w:tcPr>
            <w:tcW w:w="2160" w:type="dxa"/>
            <w:vAlign w:val="bottom"/>
            <w:tcBorders>
              <w:bottom w:val="single" w:sz="8" w:color="auto"/>
              <w:right w:val="single" w:sz="8" w:color="auto"/>
            </w:tcBorders>
          </w:tcPr>
          <w:p>
            <w:pPr>
              <w:spacing w:after="0"/>
              <w:rPr>
                <w:sz w:val="2"/>
                <w:szCs w:val="2"/>
                <w:color w:val="auto"/>
              </w:rPr>
            </w:pPr>
          </w:p>
        </w:tc>
      </w:tr>
      <w:tr>
        <w:trPr>
          <w:trHeight w:val="237"/>
        </w:trPr>
        <w:tc>
          <w:tcPr>
            <w:tcW w:w="3880" w:type="dxa"/>
            <w:vAlign w:val="bottom"/>
            <w:tcBorders>
              <w:left w:val="single" w:sz="8" w:color="auto"/>
              <w:right w:val="single" w:sz="8" w:color="auto"/>
            </w:tcBorders>
          </w:tcPr>
          <w:p>
            <w:pPr>
              <w:ind w:left="40"/>
              <w:spacing w:after="0"/>
              <w:rPr>
                <w:sz w:val="20"/>
                <w:szCs w:val="20"/>
                <w:color w:val="auto"/>
              </w:rPr>
            </w:pPr>
            <w:r>
              <w:rPr>
                <w:rFonts w:ascii="Arial" w:cs="Arial" w:eastAsia="Arial" w:hAnsi="Arial"/>
                <w:sz w:val="18"/>
                <w:szCs w:val="18"/>
                <w:color w:val="auto"/>
              </w:rPr>
              <w:t>U.S. Bank National Association</w:t>
            </w:r>
          </w:p>
        </w:tc>
        <w:tc>
          <w:tcPr>
            <w:tcW w:w="218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6"/>
              </w:rPr>
              <w:t>[***]</w:t>
            </w:r>
          </w:p>
        </w:tc>
        <w:tc>
          <w:tcPr>
            <w:tcW w:w="218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6"/>
              </w:rPr>
              <w:t>[***]</w:t>
            </w:r>
          </w:p>
        </w:tc>
        <w:tc>
          <w:tcPr>
            <w:tcW w:w="2160" w:type="dxa"/>
            <w:vAlign w:val="bottom"/>
            <w:tcBorders>
              <w:right w:val="single" w:sz="8" w:color="auto"/>
            </w:tcBorders>
          </w:tcPr>
          <w:p>
            <w:pPr>
              <w:spacing w:after="0"/>
              <w:rPr>
                <w:sz w:val="20"/>
                <w:szCs w:val="20"/>
                <w:color w:val="auto"/>
              </w:rPr>
            </w:pPr>
          </w:p>
        </w:tc>
      </w:tr>
      <w:tr>
        <w:trPr>
          <w:trHeight w:val="27"/>
        </w:trPr>
        <w:tc>
          <w:tcPr>
            <w:tcW w:w="3880" w:type="dxa"/>
            <w:vAlign w:val="bottom"/>
            <w:tcBorders>
              <w:left w:val="single" w:sz="8" w:color="auto"/>
              <w:bottom w:val="single" w:sz="8" w:color="auto"/>
              <w:right w:val="single" w:sz="8" w:color="auto"/>
            </w:tcBorders>
          </w:tcPr>
          <w:p>
            <w:pPr>
              <w:spacing w:after="0"/>
              <w:rPr>
                <w:sz w:val="2"/>
                <w:szCs w:val="2"/>
                <w:color w:val="auto"/>
              </w:rPr>
            </w:pPr>
          </w:p>
        </w:tc>
        <w:tc>
          <w:tcPr>
            <w:tcW w:w="2180" w:type="dxa"/>
            <w:vAlign w:val="bottom"/>
            <w:tcBorders>
              <w:bottom w:val="single" w:sz="8" w:color="auto"/>
              <w:right w:val="single" w:sz="8" w:color="auto"/>
            </w:tcBorders>
          </w:tcPr>
          <w:p>
            <w:pPr>
              <w:spacing w:after="0"/>
              <w:rPr>
                <w:sz w:val="2"/>
                <w:szCs w:val="2"/>
                <w:color w:val="auto"/>
              </w:rPr>
            </w:pPr>
          </w:p>
        </w:tc>
        <w:tc>
          <w:tcPr>
            <w:tcW w:w="2180" w:type="dxa"/>
            <w:vAlign w:val="bottom"/>
            <w:tcBorders>
              <w:bottom w:val="single" w:sz="8" w:color="auto"/>
              <w:right w:val="single" w:sz="8" w:color="auto"/>
            </w:tcBorders>
          </w:tcPr>
          <w:p>
            <w:pPr>
              <w:spacing w:after="0"/>
              <w:rPr>
                <w:sz w:val="2"/>
                <w:szCs w:val="2"/>
                <w:color w:val="auto"/>
              </w:rPr>
            </w:pPr>
          </w:p>
        </w:tc>
        <w:tc>
          <w:tcPr>
            <w:tcW w:w="2160" w:type="dxa"/>
            <w:vAlign w:val="bottom"/>
            <w:tcBorders>
              <w:bottom w:val="single" w:sz="8" w:color="auto"/>
              <w:right w:val="single" w:sz="8" w:color="auto"/>
            </w:tcBorders>
          </w:tcPr>
          <w:p>
            <w:pPr>
              <w:spacing w:after="0"/>
              <w:rPr>
                <w:sz w:val="2"/>
                <w:szCs w:val="2"/>
                <w:color w:val="auto"/>
              </w:rPr>
            </w:pPr>
          </w:p>
        </w:tc>
      </w:tr>
      <w:tr>
        <w:trPr>
          <w:trHeight w:val="237"/>
        </w:trPr>
        <w:tc>
          <w:tcPr>
            <w:tcW w:w="3880" w:type="dxa"/>
            <w:vAlign w:val="bottom"/>
            <w:tcBorders>
              <w:left w:val="single" w:sz="8" w:color="auto"/>
              <w:right w:val="single" w:sz="8" w:color="auto"/>
            </w:tcBorders>
          </w:tcPr>
          <w:p>
            <w:pPr>
              <w:ind w:left="40"/>
              <w:spacing w:after="0"/>
              <w:rPr>
                <w:sz w:val="20"/>
                <w:szCs w:val="20"/>
                <w:color w:val="auto"/>
              </w:rPr>
            </w:pPr>
            <w:r>
              <w:rPr>
                <w:rFonts w:ascii="Arial" w:cs="Arial" w:eastAsia="Arial" w:hAnsi="Arial"/>
                <w:sz w:val="18"/>
                <w:szCs w:val="18"/>
                <w:color w:val="auto"/>
              </w:rPr>
              <w:t>BOKF, NA dba Bank of Texas</w:t>
            </w:r>
          </w:p>
        </w:tc>
        <w:tc>
          <w:tcPr>
            <w:tcW w:w="218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6"/>
              </w:rPr>
              <w:t>[***]</w:t>
            </w:r>
          </w:p>
        </w:tc>
        <w:tc>
          <w:tcPr>
            <w:tcW w:w="218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6"/>
              </w:rPr>
              <w:t>[***]</w:t>
            </w:r>
          </w:p>
        </w:tc>
        <w:tc>
          <w:tcPr>
            <w:tcW w:w="2160" w:type="dxa"/>
            <w:vAlign w:val="bottom"/>
            <w:tcBorders>
              <w:right w:val="single" w:sz="8" w:color="auto"/>
            </w:tcBorders>
          </w:tcPr>
          <w:p>
            <w:pPr>
              <w:spacing w:after="0"/>
              <w:rPr>
                <w:sz w:val="20"/>
                <w:szCs w:val="20"/>
                <w:color w:val="auto"/>
              </w:rPr>
            </w:pPr>
          </w:p>
        </w:tc>
      </w:tr>
      <w:tr>
        <w:trPr>
          <w:trHeight w:val="27"/>
        </w:trPr>
        <w:tc>
          <w:tcPr>
            <w:tcW w:w="3880" w:type="dxa"/>
            <w:vAlign w:val="bottom"/>
            <w:tcBorders>
              <w:left w:val="single" w:sz="8" w:color="auto"/>
              <w:bottom w:val="single" w:sz="8" w:color="auto"/>
              <w:right w:val="single" w:sz="8" w:color="auto"/>
            </w:tcBorders>
          </w:tcPr>
          <w:p>
            <w:pPr>
              <w:spacing w:after="0"/>
              <w:rPr>
                <w:sz w:val="2"/>
                <w:szCs w:val="2"/>
                <w:color w:val="auto"/>
              </w:rPr>
            </w:pPr>
          </w:p>
        </w:tc>
        <w:tc>
          <w:tcPr>
            <w:tcW w:w="2180" w:type="dxa"/>
            <w:vAlign w:val="bottom"/>
            <w:tcBorders>
              <w:bottom w:val="single" w:sz="8" w:color="auto"/>
              <w:right w:val="single" w:sz="8" w:color="auto"/>
            </w:tcBorders>
          </w:tcPr>
          <w:p>
            <w:pPr>
              <w:spacing w:after="0"/>
              <w:rPr>
                <w:sz w:val="2"/>
                <w:szCs w:val="2"/>
                <w:color w:val="auto"/>
              </w:rPr>
            </w:pPr>
          </w:p>
        </w:tc>
        <w:tc>
          <w:tcPr>
            <w:tcW w:w="2180" w:type="dxa"/>
            <w:vAlign w:val="bottom"/>
            <w:tcBorders>
              <w:bottom w:val="single" w:sz="8" w:color="auto"/>
              <w:right w:val="single" w:sz="8" w:color="auto"/>
            </w:tcBorders>
          </w:tcPr>
          <w:p>
            <w:pPr>
              <w:spacing w:after="0"/>
              <w:rPr>
                <w:sz w:val="2"/>
                <w:szCs w:val="2"/>
                <w:color w:val="auto"/>
              </w:rPr>
            </w:pPr>
          </w:p>
        </w:tc>
        <w:tc>
          <w:tcPr>
            <w:tcW w:w="2160" w:type="dxa"/>
            <w:vAlign w:val="bottom"/>
            <w:tcBorders>
              <w:bottom w:val="single" w:sz="8" w:color="auto"/>
              <w:right w:val="single" w:sz="8" w:color="auto"/>
            </w:tcBorders>
          </w:tcPr>
          <w:p>
            <w:pPr>
              <w:spacing w:after="0"/>
              <w:rPr>
                <w:sz w:val="2"/>
                <w:szCs w:val="2"/>
                <w:color w:val="auto"/>
              </w:rPr>
            </w:pPr>
          </w:p>
        </w:tc>
      </w:tr>
      <w:tr>
        <w:trPr>
          <w:trHeight w:val="237"/>
        </w:trPr>
        <w:tc>
          <w:tcPr>
            <w:tcW w:w="3880" w:type="dxa"/>
            <w:vAlign w:val="bottom"/>
            <w:tcBorders>
              <w:left w:val="single" w:sz="8" w:color="auto"/>
              <w:right w:val="single" w:sz="8" w:color="auto"/>
            </w:tcBorders>
          </w:tcPr>
          <w:p>
            <w:pPr>
              <w:ind w:left="40"/>
              <w:spacing w:after="0"/>
              <w:rPr>
                <w:sz w:val="20"/>
                <w:szCs w:val="20"/>
                <w:color w:val="auto"/>
              </w:rPr>
            </w:pPr>
            <w:r>
              <w:rPr>
                <w:rFonts w:ascii="Arial" w:cs="Arial" w:eastAsia="Arial" w:hAnsi="Arial"/>
                <w:sz w:val="18"/>
                <w:szCs w:val="18"/>
                <w:color w:val="auto"/>
              </w:rPr>
              <w:t>Texas Capital Bank, N.A.</w:t>
            </w:r>
          </w:p>
        </w:tc>
        <w:tc>
          <w:tcPr>
            <w:tcW w:w="218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6"/>
              </w:rPr>
              <w:t>[***]</w:t>
            </w:r>
          </w:p>
        </w:tc>
        <w:tc>
          <w:tcPr>
            <w:tcW w:w="218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6"/>
              </w:rPr>
              <w:t>[***]</w:t>
            </w:r>
          </w:p>
        </w:tc>
        <w:tc>
          <w:tcPr>
            <w:tcW w:w="2160" w:type="dxa"/>
            <w:vAlign w:val="bottom"/>
            <w:tcBorders>
              <w:right w:val="single" w:sz="8" w:color="auto"/>
            </w:tcBorders>
          </w:tcPr>
          <w:p>
            <w:pPr>
              <w:spacing w:after="0"/>
              <w:rPr>
                <w:sz w:val="20"/>
                <w:szCs w:val="20"/>
                <w:color w:val="auto"/>
              </w:rPr>
            </w:pPr>
          </w:p>
        </w:tc>
      </w:tr>
      <w:tr>
        <w:trPr>
          <w:trHeight w:val="27"/>
        </w:trPr>
        <w:tc>
          <w:tcPr>
            <w:tcW w:w="3880" w:type="dxa"/>
            <w:vAlign w:val="bottom"/>
            <w:tcBorders>
              <w:left w:val="single" w:sz="8" w:color="auto"/>
              <w:bottom w:val="single" w:sz="8" w:color="auto"/>
              <w:right w:val="single" w:sz="8" w:color="auto"/>
            </w:tcBorders>
          </w:tcPr>
          <w:p>
            <w:pPr>
              <w:spacing w:after="0"/>
              <w:rPr>
                <w:sz w:val="2"/>
                <w:szCs w:val="2"/>
                <w:color w:val="auto"/>
              </w:rPr>
            </w:pPr>
          </w:p>
        </w:tc>
        <w:tc>
          <w:tcPr>
            <w:tcW w:w="2180" w:type="dxa"/>
            <w:vAlign w:val="bottom"/>
            <w:tcBorders>
              <w:bottom w:val="single" w:sz="8" w:color="auto"/>
              <w:right w:val="single" w:sz="8" w:color="auto"/>
            </w:tcBorders>
          </w:tcPr>
          <w:p>
            <w:pPr>
              <w:spacing w:after="0"/>
              <w:rPr>
                <w:sz w:val="2"/>
                <w:szCs w:val="2"/>
                <w:color w:val="auto"/>
              </w:rPr>
            </w:pPr>
          </w:p>
        </w:tc>
        <w:tc>
          <w:tcPr>
            <w:tcW w:w="2180" w:type="dxa"/>
            <w:vAlign w:val="bottom"/>
            <w:tcBorders>
              <w:bottom w:val="single" w:sz="8" w:color="auto"/>
              <w:right w:val="single" w:sz="8" w:color="auto"/>
            </w:tcBorders>
          </w:tcPr>
          <w:p>
            <w:pPr>
              <w:spacing w:after="0"/>
              <w:rPr>
                <w:sz w:val="2"/>
                <w:szCs w:val="2"/>
                <w:color w:val="auto"/>
              </w:rPr>
            </w:pPr>
          </w:p>
        </w:tc>
        <w:tc>
          <w:tcPr>
            <w:tcW w:w="2160" w:type="dxa"/>
            <w:vAlign w:val="bottom"/>
            <w:tcBorders>
              <w:bottom w:val="single" w:sz="8" w:color="auto"/>
              <w:right w:val="single" w:sz="8" w:color="auto"/>
            </w:tcBorders>
          </w:tcPr>
          <w:p>
            <w:pPr>
              <w:spacing w:after="0"/>
              <w:rPr>
                <w:sz w:val="2"/>
                <w:szCs w:val="2"/>
                <w:color w:val="auto"/>
              </w:rPr>
            </w:pPr>
          </w:p>
        </w:tc>
      </w:tr>
      <w:tr>
        <w:trPr>
          <w:trHeight w:val="244"/>
        </w:trPr>
        <w:tc>
          <w:tcPr>
            <w:tcW w:w="3880" w:type="dxa"/>
            <w:vAlign w:val="bottom"/>
            <w:tcBorders>
              <w:left w:val="single" w:sz="8" w:color="auto"/>
              <w:bottom w:val="single" w:sz="8" w:color="auto"/>
              <w:right w:val="single" w:sz="8" w:color="auto"/>
            </w:tcBorders>
          </w:tcPr>
          <w:p>
            <w:pPr>
              <w:ind w:left="40"/>
              <w:spacing w:after="0"/>
              <w:rPr>
                <w:sz w:val="20"/>
                <w:szCs w:val="20"/>
                <w:color w:val="auto"/>
              </w:rPr>
            </w:pPr>
            <w:r>
              <w:rPr>
                <w:rFonts w:ascii="Arial" w:cs="Arial" w:eastAsia="Arial" w:hAnsi="Arial"/>
                <w:sz w:val="18"/>
                <w:szCs w:val="18"/>
                <w:b w:val="1"/>
                <w:bCs w:val="1"/>
                <w:color w:val="auto"/>
              </w:rPr>
              <w:t>Total:</w:t>
            </w:r>
          </w:p>
        </w:tc>
        <w:tc>
          <w:tcPr>
            <w:tcW w:w="218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b w:val="1"/>
                <w:bCs w:val="1"/>
                <w:color w:val="auto"/>
                <w:w w:val="99"/>
              </w:rPr>
              <w:t>$446,400,000</w:t>
            </w:r>
          </w:p>
        </w:tc>
        <w:tc>
          <w:tcPr>
            <w:tcW w:w="218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b w:val="1"/>
                <w:bCs w:val="1"/>
                <w:color w:val="auto"/>
                <w:w w:val="99"/>
              </w:rPr>
              <w:t>$3,600,000</w:t>
            </w:r>
          </w:p>
        </w:tc>
        <w:tc>
          <w:tcPr>
            <w:tcW w:w="2160" w:type="dxa"/>
            <w:vAlign w:val="bottom"/>
            <w:tcBorders>
              <w:bottom w:val="single" w:sz="8" w:color="auto"/>
              <w:right w:val="single" w:sz="8" w:color="auto"/>
            </w:tcBorders>
          </w:tcPr>
          <w:p>
            <w:pPr>
              <w:jc w:val="right"/>
              <w:ind w:right="910"/>
              <w:spacing w:after="0"/>
              <w:rPr>
                <w:sz w:val="20"/>
                <w:szCs w:val="20"/>
                <w:color w:val="auto"/>
              </w:rPr>
            </w:pPr>
            <w:r>
              <w:rPr>
                <w:rFonts w:ascii="Arial" w:cs="Arial" w:eastAsia="Arial" w:hAnsi="Arial"/>
                <w:sz w:val="18"/>
                <w:szCs w:val="18"/>
                <w:b w:val="1"/>
                <w:bCs w:val="1"/>
                <w:color w:val="auto"/>
              </w:rPr>
              <w:t>$0</w:t>
            </w:r>
          </w:p>
        </w:tc>
      </w:tr>
    </w:tbl>
    <w:p>
      <w:pPr>
        <w:spacing w:after="0" w:line="251" w:lineRule="exact"/>
        <w:rPr>
          <w:sz w:val="20"/>
          <w:szCs w:val="20"/>
          <w:color w:val="auto"/>
        </w:rPr>
      </w:pPr>
    </w:p>
    <w:p>
      <w:pPr>
        <w:spacing w:after="0"/>
        <w:rPr>
          <w:sz w:val="20"/>
          <w:szCs w:val="20"/>
          <w:color w:val="auto"/>
        </w:rPr>
      </w:pPr>
      <w:r>
        <w:rPr>
          <w:rFonts w:ascii="Arial" w:cs="Arial" w:eastAsia="Arial" w:hAnsi="Arial"/>
          <w:sz w:val="13"/>
          <w:szCs w:val="13"/>
          <w:color w:val="auto"/>
        </w:rPr>
        <w:t>[***]=[CONFIDENTIAL PORTION HAS BEEN OMITTED BECAUSE IT (I) IS NOT MATERIAL AND (II) WOULD BE COMPETITIVELY HARMFUL IF PUBLICLY DISCLOSED</w:t>
      </w:r>
    </w:p>
    <w:p>
      <w:pPr>
        <w:sectPr>
          <w:pgSz w:w="11900" w:h="16838" w:orient="portrait"/>
          <w:cols w:equalWidth="0" w:num="1">
            <w:col w:w="11420"/>
          </w:cols>
          <w:pgMar w:left="240" w:top="765" w:right="239" w:bottom="1440" w:gutter="0" w:footer="0" w:header="0"/>
        </w:sectPr>
      </w:pPr>
    </w:p>
    <w:bookmarkStart w:id="218" w:name="page219"/>
    <w:bookmarkEnd w:id="218"/>
    <w:p>
      <w:pPr>
        <w:jc w:val="right"/>
        <w:spacing w:after="0"/>
        <w:rPr>
          <w:sz w:val="20"/>
          <w:szCs w:val="20"/>
          <w:color w:val="auto"/>
        </w:rPr>
      </w:pPr>
      <w:r>
        <w:rPr>
          <w:rFonts w:ascii="Arial" w:cs="Arial" w:eastAsia="Arial" w:hAnsi="Arial"/>
          <w:sz w:val="18"/>
          <w:szCs w:val="18"/>
          <w:b w:val="1"/>
          <w:bCs w:val="1"/>
          <w:color w:val="auto"/>
        </w:rPr>
        <w:t>Exhibit 21.1</w:t>
      </w:r>
    </w:p>
    <w:p>
      <w:pPr>
        <w:spacing w:after="0" w:line="31" w:lineRule="exact"/>
        <w:rPr>
          <w:sz w:val="20"/>
          <w:szCs w:val="20"/>
          <w:color w:val="auto"/>
        </w:rPr>
      </w:pPr>
    </w:p>
    <w:p>
      <w:pPr>
        <w:jc w:val="center"/>
        <w:ind w:right="-219"/>
        <w:spacing w:after="0"/>
        <w:rPr>
          <w:sz w:val="20"/>
          <w:szCs w:val="20"/>
          <w:color w:val="auto"/>
        </w:rPr>
      </w:pPr>
      <w:r>
        <w:rPr>
          <w:rFonts w:ascii="Arial" w:cs="Arial" w:eastAsia="Arial" w:hAnsi="Arial"/>
          <w:sz w:val="18"/>
          <w:szCs w:val="18"/>
          <w:b w:val="1"/>
          <w:bCs w:val="1"/>
          <w:color w:val="auto"/>
        </w:rPr>
        <w:t>American Airlines Group Inc.</w:t>
      </w:r>
    </w:p>
    <w:p>
      <w:pPr>
        <w:spacing w:after="0" w:line="9" w:lineRule="exact"/>
        <w:rPr>
          <w:sz w:val="20"/>
          <w:szCs w:val="20"/>
          <w:color w:val="auto"/>
        </w:rPr>
      </w:pPr>
    </w:p>
    <w:p>
      <w:pPr>
        <w:jc w:val="center"/>
        <w:ind w:right="-219"/>
        <w:spacing w:after="0"/>
        <w:rPr>
          <w:sz w:val="20"/>
          <w:szCs w:val="20"/>
          <w:color w:val="auto"/>
        </w:rPr>
      </w:pPr>
      <w:r>
        <w:rPr>
          <w:rFonts w:ascii="Arial" w:cs="Arial" w:eastAsia="Arial" w:hAnsi="Arial"/>
          <w:sz w:val="18"/>
          <w:szCs w:val="18"/>
          <w:b w:val="1"/>
          <w:bCs w:val="1"/>
          <w:color w:val="auto"/>
        </w:rPr>
        <w:t>Subsidiaries of the Registrant</w:t>
      </w:r>
    </w:p>
    <w:p>
      <w:pPr>
        <w:spacing w:after="0" w:line="9" w:lineRule="exact"/>
        <w:rPr>
          <w:sz w:val="20"/>
          <w:szCs w:val="20"/>
          <w:color w:val="auto"/>
        </w:rPr>
      </w:pPr>
    </w:p>
    <w:p>
      <w:pPr>
        <w:jc w:val="center"/>
        <w:ind w:right="-219"/>
        <w:spacing w:after="0"/>
        <w:rPr>
          <w:sz w:val="20"/>
          <w:szCs w:val="20"/>
          <w:color w:val="auto"/>
        </w:rPr>
      </w:pPr>
      <w:r>
        <w:rPr>
          <w:rFonts w:ascii="Arial" w:cs="Arial" w:eastAsia="Arial" w:hAnsi="Arial"/>
          <w:sz w:val="18"/>
          <w:szCs w:val="18"/>
          <w:b w:val="1"/>
          <w:bCs w:val="1"/>
          <w:color w:val="auto"/>
        </w:rPr>
        <w:t>As of December 31, 2019</w:t>
      </w:r>
    </w:p>
    <w:p>
      <w:pPr>
        <w:spacing w:after="0" w:line="252" w:lineRule="exact"/>
        <w:rPr>
          <w:sz w:val="20"/>
          <w:szCs w:val="20"/>
          <w:color w:val="auto"/>
        </w:rPr>
      </w:pPr>
    </w:p>
    <w:p>
      <w:pPr>
        <w:ind w:right="20" w:firstLine="216"/>
        <w:spacing w:after="0" w:line="262" w:lineRule="auto"/>
        <w:rPr>
          <w:sz w:val="20"/>
          <w:szCs w:val="20"/>
          <w:color w:val="auto"/>
        </w:rPr>
      </w:pPr>
      <w:r>
        <w:rPr>
          <w:rFonts w:ascii="Arial" w:cs="Arial" w:eastAsia="Arial" w:hAnsi="Arial"/>
          <w:sz w:val="18"/>
          <w:szCs w:val="18"/>
          <w:color w:val="auto"/>
        </w:rPr>
        <w:t>Subsidiary companies of American Airlines Group Inc. are listed below. With respect to the companies named, all voting securities are owned directly or indirectly by the Registrant, except where otherwise indicated.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87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620" w:type="dxa"/>
            <w:vAlign w:val="bottom"/>
          </w:tcPr>
          <w:p>
            <w:pPr>
              <w:ind w:left="120"/>
              <w:spacing w:after="0"/>
              <w:rPr>
                <w:sz w:val="20"/>
                <w:szCs w:val="20"/>
                <w:color w:val="auto"/>
              </w:rPr>
            </w:pPr>
            <w:r>
              <w:rPr>
                <w:rFonts w:ascii="Arial" w:cs="Arial" w:eastAsia="Arial" w:hAnsi="Arial"/>
                <w:sz w:val="18"/>
                <w:szCs w:val="18"/>
                <w:b w:val="1"/>
                <w:bCs w:val="1"/>
                <w:color w:val="auto"/>
              </w:rPr>
              <w:t>State or Sovereign Power of</w:t>
            </w:r>
          </w:p>
        </w:tc>
      </w:tr>
      <w:tr>
        <w:trPr>
          <w:trHeight w:val="246"/>
        </w:trPr>
        <w:tc>
          <w:tcPr>
            <w:tcW w:w="8700" w:type="dxa"/>
            <w:vAlign w:val="bottom"/>
            <w:tcBorders>
              <w:bottom w:val="single" w:sz="8" w:color="auto"/>
            </w:tcBorders>
          </w:tcPr>
          <w:p>
            <w:pPr>
              <w:ind w:left="60"/>
              <w:spacing w:after="0"/>
              <w:rPr>
                <w:sz w:val="20"/>
                <w:szCs w:val="20"/>
                <w:color w:val="auto"/>
              </w:rPr>
            </w:pPr>
            <w:r>
              <w:rPr>
                <w:rFonts w:ascii="Arial" w:cs="Arial" w:eastAsia="Arial" w:hAnsi="Arial"/>
                <w:sz w:val="18"/>
                <w:szCs w:val="18"/>
                <w:b w:val="1"/>
                <w:bCs w:val="1"/>
                <w:color w:val="auto"/>
              </w:rPr>
              <w:t>Name of Subsidiary</w:t>
            </w:r>
          </w:p>
        </w:tc>
        <w:tc>
          <w:tcPr>
            <w:tcW w:w="100" w:type="dxa"/>
            <w:vAlign w:val="bottom"/>
          </w:tcPr>
          <w:p>
            <w:pPr>
              <w:spacing w:after="0"/>
              <w:rPr>
                <w:sz w:val="21"/>
                <w:szCs w:val="21"/>
                <w:color w:val="auto"/>
              </w:rPr>
            </w:pPr>
          </w:p>
        </w:tc>
        <w:tc>
          <w:tcPr>
            <w:tcW w:w="2620" w:type="dxa"/>
            <w:vAlign w:val="bottom"/>
            <w:tcBorders>
              <w:bottom w:val="single" w:sz="8" w:color="auto"/>
            </w:tcBorders>
          </w:tcPr>
          <w:p>
            <w:pPr>
              <w:ind w:left="740"/>
              <w:spacing w:after="0"/>
              <w:rPr>
                <w:sz w:val="20"/>
                <w:szCs w:val="20"/>
                <w:color w:val="auto"/>
              </w:rPr>
            </w:pPr>
            <w:r>
              <w:rPr>
                <w:rFonts w:ascii="Arial" w:cs="Arial" w:eastAsia="Arial" w:hAnsi="Arial"/>
                <w:sz w:val="18"/>
                <w:szCs w:val="18"/>
                <w:b w:val="1"/>
                <w:bCs w:val="1"/>
                <w:color w:val="auto"/>
              </w:rPr>
              <w:t>Incorporation</w:t>
            </w:r>
          </w:p>
        </w:tc>
      </w:tr>
      <w:tr>
        <w:trPr>
          <w:trHeight w:val="257"/>
        </w:trPr>
        <w:tc>
          <w:tcPr>
            <w:tcW w:w="8800" w:type="dxa"/>
            <w:vAlign w:val="bottom"/>
            <w:gridSpan w:val="2"/>
          </w:tcPr>
          <w:p>
            <w:pPr>
              <w:ind w:left="40"/>
              <w:spacing w:after="0"/>
              <w:rPr>
                <w:sz w:val="20"/>
                <w:szCs w:val="20"/>
                <w:color w:val="auto"/>
              </w:rPr>
            </w:pPr>
            <w:r>
              <w:rPr>
                <w:rFonts w:ascii="Arial" w:cs="Arial" w:eastAsia="Arial" w:hAnsi="Arial"/>
                <w:sz w:val="18"/>
                <w:szCs w:val="18"/>
                <w:color w:val="auto"/>
              </w:rPr>
              <w:t>Subsidiaries included in the Registrant’s consolidated financial statements</w:t>
            </w:r>
          </w:p>
        </w:tc>
        <w:tc>
          <w:tcPr>
            <w:tcW w:w="2620" w:type="dxa"/>
            <w:vAlign w:val="bottom"/>
          </w:tcPr>
          <w:p>
            <w:pPr>
              <w:spacing w:after="0"/>
              <w:rPr>
                <w:sz w:val="22"/>
                <w:szCs w:val="22"/>
                <w:color w:val="auto"/>
              </w:rPr>
            </w:pPr>
          </w:p>
        </w:tc>
      </w:tr>
      <w:tr>
        <w:trPr>
          <w:trHeight w:val="270"/>
        </w:trPr>
        <w:tc>
          <w:tcPr>
            <w:tcW w:w="8800" w:type="dxa"/>
            <w:vAlign w:val="bottom"/>
            <w:gridSpan w:val="2"/>
          </w:tcPr>
          <w:p>
            <w:pPr>
              <w:ind w:left="40"/>
              <w:spacing w:after="0"/>
              <w:rPr>
                <w:sz w:val="20"/>
                <w:szCs w:val="20"/>
                <w:color w:val="auto"/>
              </w:rPr>
            </w:pPr>
            <w:r>
              <w:rPr>
                <w:rFonts w:ascii="Arial" w:cs="Arial" w:eastAsia="Arial" w:hAnsi="Arial"/>
                <w:sz w:val="18"/>
                <w:szCs w:val="18"/>
                <w:color w:val="auto"/>
              </w:rPr>
              <w:t>AAG Private Placement-1 Parent LLC</w:t>
            </w:r>
          </w:p>
        </w:tc>
        <w:tc>
          <w:tcPr>
            <w:tcW w:w="2620" w:type="dxa"/>
            <w:vAlign w:val="bottom"/>
          </w:tcPr>
          <w:p>
            <w:pPr>
              <w:ind w:left="60"/>
              <w:spacing w:after="0"/>
              <w:rPr>
                <w:sz w:val="20"/>
                <w:szCs w:val="20"/>
                <w:color w:val="auto"/>
              </w:rPr>
            </w:pPr>
            <w:r>
              <w:rPr>
                <w:rFonts w:ascii="Arial" w:cs="Arial" w:eastAsia="Arial" w:hAnsi="Arial"/>
                <w:sz w:val="18"/>
                <w:szCs w:val="18"/>
                <w:color w:val="auto"/>
              </w:rPr>
              <w:t>Delaware</w:t>
            </w:r>
          </w:p>
        </w:tc>
      </w:tr>
      <w:tr>
        <w:trPr>
          <w:trHeight w:val="270"/>
        </w:trPr>
        <w:tc>
          <w:tcPr>
            <w:tcW w:w="8800" w:type="dxa"/>
            <w:vAlign w:val="bottom"/>
            <w:gridSpan w:val="2"/>
          </w:tcPr>
          <w:p>
            <w:pPr>
              <w:ind w:left="280"/>
              <w:spacing w:after="0"/>
              <w:rPr>
                <w:sz w:val="20"/>
                <w:szCs w:val="20"/>
                <w:color w:val="auto"/>
              </w:rPr>
            </w:pPr>
            <w:r>
              <w:rPr>
                <w:rFonts w:ascii="Arial" w:cs="Arial" w:eastAsia="Arial" w:hAnsi="Arial"/>
                <w:sz w:val="18"/>
                <w:szCs w:val="18"/>
                <w:color w:val="auto"/>
              </w:rPr>
              <w:t>AAG Private Placement-1 LLC</w:t>
            </w:r>
          </w:p>
        </w:tc>
        <w:tc>
          <w:tcPr>
            <w:tcW w:w="2620" w:type="dxa"/>
            <w:vAlign w:val="bottom"/>
          </w:tcPr>
          <w:p>
            <w:pPr>
              <w:ind w:left="60"/>
              <w:spacing w:after="0"/>
              <w:rPr>
                <w:sz w:val="20"/>
                <w:szCs w:val="20"/>
                <w:color w:val="auto"/>
              </w:rPr>
            </w:pPr>
            <w:r>
              <w:rPr>
                <w:rFonts w:ascii="Arial" w:cs="Arial" w:eastAsia="Arial" w:hAnsi="Arial"/>
                <w:sz w:val="18"/>
                <w:szCs w:val="18"/>
                <w:color w:val="auto"/>
              </w:rPr>
              <w:t>Delaware</w:t>
            </w:r>
          </w:p>
        </w:tc>
      </w:tr>
      <w:tr>
        <w:trPr>
          <w:trHeight w:val="270"/>
        </w:trPr>
        <w:tc>
          <w:tcPr>
            <w:tcW w:w="8800" w:type="dxa"/>
            <w:vAlign w:val="bottom"/>
            <w:gridSpan w:val="2"/>
          </w:tcPr>
          <w:p>
            <w:pPr>
              <w:ind w:left="40"/>
              <w:spacing w:after="0"/>
              <w:rPr>
                <w:sz w:val="20"/>
                <w:szCs w:val="20"/>
                <w:color w:val="auto"/>
              </w:rPr>
            </w:pPr>
            <w:r>
              <w:rPr>
                <w:rFonts w:ascii="Arial" w:cs="Arial" w:eastAsia="Arial" w:hAnsi="Arial"/>
                <w:sz w:val="18"/>
                <w:szCs w:val="18"/>
                <w:color w:val="auto"/>
              </w:rPr>
              <w:t>American Airlines, Inc.</w:t>
            </w:r>
          </w:p>
        </w:tc>
        <w:tc>
          <w:tcPr>
            <w:tcW w:w="2620" w:type="dxa"/>
            <w:vAlign w:val="bottom"/>
          </w:tcPr>
          <w:p>
            <w:pPr>
              <w:ind w:left="60"/>
              <w:spacing w:after="0"/>
              <w:rPr>
                <w:sz w:val="20"/>
                <w:szCs w:val="20"/>
                <w:color w:val="auto"/>
              </w:rPr>
            </w:pPr>
            <w:r>
              <w:rPr>
                <w:rFonts w:ascii="Arial" w:cs="Arial" w:eastAsia="Arial" w:hAnsi="Arial"/>
                <w:sz w:val="18"/>
                <w:szCs w:val="18"/>
                <w:color w:val="auto"/>
              </w:rPr>
              <w:t>Delaware</w:t>
            </w:r>
          </w:p>
        </w:tc>
      </w:tr>
      <w:tr>
        <w:trPr>
          <w:trHeight w:val="270"/>
        </w:trPr>
        <w:tc>
          <w:tcPr>
            <w:tcW w:w="8800" w:type="dxa"/>
            <w:vAlign w:val="bottom"/>
            <w:gridSpan w:val="2"/>
          </w:tcPr>
          <w:p>
            <w:pPr>
              <w:ind w:left="280"/>
              <w:spacing w:after="0"/>
              <w:rPr>
                <w:sz w:val="20"/>
                <w:szCs w:val="20"/>
                <w:color w:val="auto"/>
              </w:rPr>
            </w:pPr>
            <w:r>
              <w:rPr>
                <w:rFonts w:ascii="Arial" w:cs="Arial" w:eastAsia="Arial" w:hAnsi="Arial"/>
                <w:sz w:val="18"/>
                <w:szCs w:val="18"/>
                <w:color w:val="auto"/>
              </w:rPr>
              <w:t>Aerosan Airport Services S.A.*</w:t>
            </w:r>
          </w:p>
        </w:tc>
        <w:tc>
          <w:tcPr>
            <w:tcW w:w="2620" w:type="dxa"/>
            <w:vAlign w:val="bottom"/>
          </w:tcPr>
          <w:p>
            <w:pPr>
              <w:ind w:left="60"/>
              <w:spacing w:after="0"/>
              <w:rPr>
                <w:sz w:val="20"/>
                <w:szCs w:val="20"/>
                <w:color w:val="auto"/>
              </w:rPr>
            </w:pPr>
            <w:r>
              <w:rPr>
                <w:rFonts w:ascii="Arial" w:cs="Arial" w:eastAsia="Arial" w:hAnsi="Arial"/>
                <w:sz w:val="18"/>
                <w:szCs w:val="18"/>
                <w:color w:val="auto"/>
              </w:rPr>
              <w:t>Chile</w:t>
            </w:r>
          </w:p>
        </w:tc>
      </w:tr>
      <w:tr>
        <w:trPr>
          <w:trHeight w:val="270"/>
        </w:trPr>
        <w:tc>
          <w:tcPr>
            <w:tcW w:w="8800" w:type="dxa"/>
            <w:vAlign w:val="bottom"/>
            <w:gridSpan w:val="2"/>
          </w:tcPr>
          <w:p>
            <w:pPr>
              <w:ind w:left="280"/>
              <w:spacing w:after="0"/>
              <w:rPr>
                <w:sz w:val="20"/>
                <w:szCs w:val="20"/>
                <w:color w:val="auto"/>
              </w:rPr>
            </w:pPr>
            <w:r>
              <w:rPr>
                <w:rFonts w:ascii="Arial" w:cs="Arial" w:eastAsia="Arial" w:hAnsi="Arial"/>
                <w:sz w:val="18"/>
                <w:szCs w:val="18"/>
                <w:color w:val="auto"/>
              </w:rPr>
              <w:t>Aerosan S.A.*</w:t>
            </w:r>
          </w:p>
        </w:tc>
        <w:tc>
          <w:tcPr>
            <w:tcW w:w="2620" w:type="dxa"/>
            <w:vAlign w:val="bottom"/>
          </w:tcPr>
          <w:p>
            <w:pPr>
              <w:ind w:left="60"/>
              <w:spacing w:after="0"/>
              <w:rPr>
                <w:sz w:val="20"/>
                <w:szCs w:val="20"/>
                <w:color w:val="auto"/>
              </w:rPr>
            </w:pPr>
            <w:r>
              <w:rPr>
                <w:rFonts w:ascii="Arial" w:cs="Arial" w:eastAsia="Arial" w:hAnsi="Arial"/>
                <w:sz w:val="18"/>
                <w:szCs w:val="18"/>
                <w:color w:val="auto"/>
              </w:rPr>
              <w:t>Chile</w:t>
            </w:r>
          </w:p>
        </w:tc>
      </w:tr>
      <w:tr>
        <w:trPr>
          <w:trHeight w:val="270"/>
        </w:trPr>
        <w:tc>
          <w:tcPr>
            <w:tcW w:w="8800" w:type="dxa"/>
            <w:vAlign w:val="bottom"/>
            <w:gridSpan w:val="2"/>
          </w:tcPr>
          <w:p>
            <w:pPr>
              <w:ind w:left="280"/>
              <w:spacing w:after="0"/>
              <w:rPr>
                <w:sz w:val="20"/>
                <w:szCs w:val="20"/>
                <w:color w:val="auto"/>
              </w:rPr>
            </w:pPr>
            <w:r>
              <w:rPr>
                <w:rFonts w:ascii="Arial" w:cs="Arial" w:eastAsia="Arial" w:hAnsi="Arial"/>
                <w:sz w:val="18"/>
                <w:szCs w:val="18"/>
                <w:color w:val="auto"/>
              </w:rPr>
              <w:t>American Airlines de Mexico, S.A.</w:t>
            </w:r>
          </w:p>
        </w:tc>
        <w:tc>
          <w:tcPr>
            <w:tcW w:w="2620" w:type="dxa"/>
            <w:vAlign w:val="bottom"/>
          </w:tcPr>
          <w:p>
            <w:pPr>
              <w:ind w:left="60"/>
              <w:spacing w:after="0"/>
              <w:rPr>
                <w:sz w:val="20"/>
                <w:szCs w:val="20"/>
                <w:color w:val="auto"/>
              </w:rPr>
            </w:pPr>
            <w:r>
              <w:rPr>
                <w:rFonts w:ascii="Arial" w:cs="Arial" w:eastAsia="Arial" w:hAnsi="Arial"/>
                <w:sz w:val="18"/>
                <w:szCs w:val="18"/>
                <w:color w:val="auto"/>
              </w:rPr>
              <w:t>Mexico</w:t>
            </w:r>
          </w:p>
        </w:tc>
      </w:tr>
      <w:tr>
        <w:trPr>
          <w:trHeight w:val="270"/>
        </w:trPr>
        <w:tc>
          <w:tcPr>
            <w:tcW w:w="8800" w:type="dxa"/>
            <w:vAlign w:val="bottom"/>
            <w:gridSpan w:val="2"/>
          </w:tcPr>
          <w:p>
            <w:pPr>
              <w:ind w:left="280"/>
              <w:spacing w:after="0"/>
              <w:rPr>
                <w:sz w:val="20"/>
                <w:szCs w:val="20"/>
                <w:color w:val="auto"/>
              </w:rPr>
            </w:pPr>
            <w:r>
              <w:rPr>
                <w:rFonts w:ascii="Arial" w:cs="Arial" w:eastAsia="Arial" w:hAnsi="Arial"/>
                <w:sz w:val="18"/>
                <w:szCs w:val="18"/>
                <w:color w:val="auto"/>
              </w:rPr>
              <w:t>American Airlines Marketing Services LLC</w:t>
            </w:r>
          </w:p>
        </w:tc>
        <w:tc>
          <w:tcPr>
            <w:tcW w:w="2620" w:type="dxa"/>
            <w:vAlign w:val="bottom"/>
          </w:tcPr>
          <w:p>
            <w:pPr>
              <w:ind w:left="60"/>
              <w:spacing w:after="0"/>
              <w:rPr>
                <w:sz w:val="20"/>
                <w:szCs w:val="20"/>
                <w:color w:val="auto"/>
              </w:rPr>
            </w:pPr>
            <w:r>
              <w:rPr>
                <w:rFonts w:ascii="Arial" w:cs="Arial" w:eastAsia="Arial" w:hAnsi="Arial"/>
                <w:sz w:val="18"/>
                <w:szCs w:val="18"/>
                <w:color w:val="auto"/>
              </w:rPr>
              <w:t>Virginia</w:t>
            </w:r>
          </w:p>
        </w:tc>
      </w:tr>
      <w:tr>
        <w:trPr>
          <w:trHeight w:val="270"/>
        </w:trPr>
        <w:tc>
          <w:tcPr>
            <w:tcW w:w="8800" w:type="dxa"/>
            <w:vAlign w:val="bottom"/>
            <w:gridSpan w:val="2"/>
          </w:tcPr>
          <w:p>
            <w:pPr>
              <w:ind w:left="280"/>
              <w:spacing w:after="0"/>
              <w:rPr>
                <w:sz w:val="20"/>
                <w:szCs w:val="20"/>
                <w:color w:val="auto"/>
              </w:rPr>
            </w:pPr>
            <w:r>
              <w:rPr>
                <w:rFonts w:ascii="Arial" w:cs="Arial" w:eastAsia="Arial" w:hAnsi="Arial"/>
                <w:sz w:val="18"/>
                <w:szCs w:val="18"/>
                <w:color w:val="auto"/>
              </w:rPr>
              <w:t>American Aviation Supply LLC</w:t>
            </w:r>
          </w:p>
        </w:tc>
        <w:tc>
          <w:tcPr>
            <w:tcW w:w="2620" w:type="dxa"/>
            <w:vAlign w:val="bottom"/>
          </w:tcPr>
          <w:p>
            <w:pPr>
              <w:ind w:left="60"/>
              <w:spacing w:after="0"/>
              <w:rPr>
                <w:sz w:val="20"/>
                <w:szCs w:val="20"/>
                <w:color w:val="auto"/>
              </w:rPr>
            </w:pPr>
            <w:r>
              <w:rPr>
                <w:rFonts w:ascii="Arial" w:cs="Arial" w:eastAsia="Arial" w:hAnsi="Arial"/>
                <w:sz w:val="18"/>
                <w:szCs w:val="18"/>
                <w:color w:val="auto"/>
              </w:rPr>
              <w:t>Delaware</w:t>
            </w:r>
          </w:p>
        </w:tc>
      </w:tr>
      <w:tr>
        <w:trPr>
          <w:trHeight w:val="270"/>
        </w:trPr>
        <w:tc>
          <w:tcPr>
            <w:tcW w:w="8800" w:type="dxa"/>
            <w:vAlign w:val="bottom"/>
            <w:gridSpan w:val="2"/>
          </w:tcPr>
          <w:p>
            <w:pPr>
              <w:ind w:left="280"/>
              <w:spacing w:after="0"/>
              <w:rPr>
                <w:sz w:val="20"/>
                <w:szCs w:val="20"/>
                <w:color w:val="auto"/>
              </w:rPr>
            </w:pPr>
            <w:r>
              <w:rPr>
                <w:rFonts w:ascii="Arial" w:cs="Arial" w:eastAsia="Arial" w:hAnsi="Arial"/>
                <w:sz w:val="18"/>
                <w:szCs w:val="18"/>
                <w:color w:val="auto"/>
              </w:rPr>
              <w:t>American Airlines Retiree Travel LLC</w:t>
            </w:r>
          </w:p>
        </w:tc>
        <w:tc>
          <w:tcPr>
            <w:tcW w:w="2620" w:type="dxa"/>
            <w:vAlign w:val="bottom"/>
          </w:tcPr>
          <w:p>
            <w:pPr>
              <w:ind w:left="60"/>
              <w:spacing w:after="0"/>
              <w:rPr>
                <w:sz w:val="20"/>
                <w:szCs w:val="20"/>
                <w:color w:val="auto"/>
              </w:rPr>
            </w:pPr>
            <w:r>
              <w:rPr>
                <w:rFonts w:ascii="Arial" w:cs="Arial" w:eastAsia="Arial" w:hAnsi="Arial"/>
                <w:sz w:val="18"/>
                <w:szCs w:val="18"/>
                <w:color w:val="auto"/>
              </w:rPr>
              <w:t>Texas</w:t>
            </w:r>
          </w:p>
        </w:tc>
      </w:tr>
      <w:tr>
        <w:trPr>
          <w:trHeight w:val="270"/>
        </w:trPr>
        <w:tc>
          <w:tcPr>
            <w:tcW w:w="8800" w:type="dxa"/>
            <w:vAlign w:val="bottom"/>
            <w:gridSpan w:val="2"/>
          </w:tcPr>
          <w:p>
            <w:pPr>
              <w:ind w:left="280"/>
              <w:spacing w:after="0"/>
              <w:rPr>
                <w:sz w:val="20"/>
                <w:szCs w:val="20"/>
                <w:color w:val="auto"/>
              </w:rPr>
            </w:pPr>
            <w:r>
              <w:rPr>
                <w:rFonts w:ascii="Arial" w:cs="Arial" w:eastAsia="Arial" w:hAnsi="Arial"/>
                <w:sz w:val="18"/>
                <w:szCs w:val="18"/>
                <w:color w:val="auto"/>
              </w:rPr>
              <w:t>oMC Venture, LLC*</w:t>
            </w:r>
          </w:p>
        </w:tc>
        <w:tc>
          <w:tcPr>
            <w:tcW w:w="2620" w:type="dxa"/>
            <w:vAlign w:val="bottom"/>
          </w:tcPr>
          <w:p>
            <w:pPr>
              <w:ind w:left="60"/>
              <w:spacing w:after="0"/>
              <w:rPr>
                <w:sz w:val="20"/>
                <w:szCs w:val="20"/>
                <w:color w:val="auto"/>
              </w:rPr>
            </w:pPr>
            <w:r>
              <w:rPr>
                <w:rFonts w:ascii="Arial" w:cs="Arial" w:eastAsia="Arial" w:hAnsi="Arial"/>
                <w:sz w:val="18"/>
                <w:szCs w:val="18"/>
                <w:color w:val="auto"/>
              </w:rPr>
              <w:t>Delaware</w:t>
            </w:r>
          </w:p>
        </w:tc>
      </w:tr>
      <w:tr>
        <w:trPr>
          <w:trHeight w:val="270"/>
        </w:trPr>
        <w:tc>
          <w:tcPr>
            <w:tcW w:w="8800" w:type="dxa"/>
            <w:vAlign w:val="bottom"/>
            <w:gridSpan w:val="2"/>
          </w:tcPr>
          <w:p>
            <w:pPr>
              <w:ind w:left="280"/>
              <w:spacing w:after="0"/>
              <w:rPr>
                <w:sz w:val="20"/>
                <w:szCs w:val="20"/>
                <w:color w:val="auto"/>
              </w:rPr>
            </w:pPr>
            <w:r>
              <w:rPr>
                <w:rFonts w:ascii="Arial" w:cs="Arial" w:eastAsia="Arial" w:hAnsi="Arial"/>
                <w:sz w:val="18"/>
                <w:szCs w:val="18"/>
                <w:color w:val="auto"/>
              </w:rPr>
              <w:t>Texas Aero Engine Services, L.L.C.*</w:t>
            </w:r>
          </w:p>
        </w:tc>
        <w:tc>
          <w:tcPr>
            <w:tcW w:w="2620" w:type="dxa"/>
            <w:vAlign w:val="bottom"/>
          </w:tcPr>
          <w:p>
            <w:pPr>
              <w:ind w:left="60"/>
              <w:spacing w:after="0"/>
              <w:rPr>
                <w:sz w:val="20"/>
                <w:szCs w:val="20"/>
                <w:color w:val="auto"/>
              </w:rPr>
            </w:pPr>
            <w:r>
              <w:rPr>
                <w:rFonts w:ascii="Arial" w:cs="Arial" w:eastAsia="Arial" w:hAnsi="Arial"/>
                <w:sz w:val="18"/>
                <w:szCs w:val="18"/>
                <w:color w:val="auto"/>
              </w:rPr>
              <w:t>Delaware</w:t>
            </w:r>
          </w:p>
        </w:tc>
      </w:tr>
      <w:tr>
        <w:trPr>
          <w:trHeight w:val="270"/>
        </w:trPr>
        <w:tc>
          <w:tcPr>
            <w:tcW w:w="8800" w:type="dxa"/>
            <w:vAlign w:val="bottom"/>
            <w:gridSpan w:val="2"/>
          </w:tcPr>
          <w:p>
            <w:pPr>
              <w:ind w:left="40"/>
              <w:spacing w:after="0"/>
              <w:rPr>
                <w:sz w:val="20"/>
                <w:szCs w:val="20"/>
                <w:color w:val="auto"/>
              </w:rPr>
            </w:pPr>
            <w:r>
              <w:rPr>
                <w:rFonts w:ascii="Arial" w:cs="Arial" w:eastAsia="Arial" w:hAnsi="Arial"/>
                <w:sz w:val="18"/>
                <w:szCs w:val="18"/>
                <w:color w:val="auto"/>
              </w:rPr>
              <w:t>Americas Ground Services, Inc.</w:t>
            </w:r>
          </w:p>
        </w:tc>
        <w:tc>
          <w:tcPr>
            <w:tcW w:w="2620" w:type="dxa"/>
            <w:vAlign w:val="bottom"/>
          </w:tcPr>
          <w:p>
            <w:pPr>
              <w:ind w:left="60"/>
              <w:spacing w:after="0"/>
              <w:rPr>
                <w:sz w:val="20"/>
                <w:szCs w:val="20"/>
                <w:color w:val="auto"/>
              </w:rPr>
            </w:pPr>
            <w:r>
              <w:rPr>
                <w:rFonts w:ascii="Arial" w:cs="Arial" w:eastAsia="Arial" w:hAnsi="Arial"/>
                <w:sz w:val="18"/>
                <w:szCs w:val="18"/>
                <w:color w:val="auto"/>
              </w:rPr>
              <w:t>Delaware</w:t>
            </w:r>
          </w:p>
        </w:tc>
      </w:tr>
      <w:tr>
        <w:trPr>
          <w:trHeight w:val="270"/>
        </w:trPr>
        <w:tc>
          <w:tcPr>
            <w:tcW w:w="8800" w:type="dxa"/>
            <w:vAlign w:val="bottom"/>
            <w:gridSpan w:val="2"/>
          </w:tcPr>
          <w:p>
            <w:pPr>
              <w:ind w:left="280"/>
              <w:spacing w:after="0"/>
              <w:rPr>
                <w:sz w:val="20"/>
                <w:szCs w:val="20"/>
                <w:color w:val="auto"/>
              </w:rPr>
            </w:pPr>
            <w:r>
              <w:rPr>
                <w:rFonts w:ascii="Arial" w:cs="Arial" w:eastAsia="Arial" w:hAnsi="Arial"/>
                <w:sz w:val="18"/>
                <w:szCs w:val="18"/>
                <w:color w:val="auto"/>
              </w:rPr>
              <w:t>Dominicana de Servicios Aeroportuarios (DSA) S.R.L.</w:t>
            </w:r>
          </w:p>
        </w:tc>
        <w:tc>
          <w:tcPr>
            <w:tcW w:w="2620" w:type="dxa"/>
            <w:vAlign w:val="bottom"/>
          </w:tcPr>
          <w:p>
            <w:pPr>
              <w:ind w:left="60"/>
              <w:spacing w:after="0"/>
              <w:rPr>
                <w:sz w:val="20"/>
                <w:szCs w:val="20"/>
                <w:color w:val="auto"/>
              </w:rPr>
            </w:pPr>
            <w:r>
              <w:rPr>
                <w:rFonts w:ascii="Arial" w:cs="Arial" w:eastAsia="Arial" w:hAnsi="Arial"/>
                <w:sz w:val="18"/>
                <w:szCs w:val="18"/>
                <w:color w:val="auto"/>
              </w:rPr>
              <w:t>Dominican Republic</w:t>
            </w:r>
          </w:p>
        </w:tc>
      </w:tr>
      <w:tr>
        <w:trPr>
          <w:trHeight w:val="270"/>
        </w:trPr>
        <w:tc>
          <w:tcPr>
            <w:tcW w:w="8800" w:type="dxa"/>
            <w:vAlign w:val="bottom"/>
            <w:gridSpan w:val="2"/>
          </w:tcPr>
          <w:p>
            <w:pPr>
              <w:ind w:left="280"/>
              <w:spacing w:after="0"/>
              <w:rPr>
                <w:sz w:val="20"/>
                <w:szCs w:val="20"/>
                <w:color w:val="auto"/>
              </w:rPr>
            </w:pPr>
            <w:r>
              <w:rPr>
                <w:rFonts w:ascii="Arial" w:cs="Arial" w:eastAsia="Arial" w:hAnsi="Arial"/>
                <w:sz w:val="18"/>
                <w:szCs w:val="18"/>
                <w:color w:val="auto"/>
              </w:rPr>
              <w:t>International Ground Services, S.A. de C.V.</w:t>
            </w:r>
          </w:p>
        </w:tc>
        <w:tc>
          <w:tcPr>
            <w:tcW w:w="2620" w:type="dxa"/>
            <w:vAlign w:val="bottom"/>
          </w:tcPr>
          <w:p>
            <w:pPr>
              <w:ind w:left="60"/>
              <w:spacing w:after="0"/>
              <w:rPr>
                <w:sz w:val="20"/>
                <w:szCs w:val="20"/>
                <w:color w:val="auto"/>
              </w:rPr>
            </w:pPr>
            <w:r>
              <w:rPr>
                <w:rFonts w:ascii="Arial" w:cs="Arial" w:eastAsia="Arial" w:hAnsi="Arial"/>
                <w:sz w:val="18"/>
                <w:szCs w:val="18"/>
                <w:color w:val="auto"/>
              </w:rPr>
              <w:t>Mexico</w:t>
            </w:r>
          </w:p>
        </w:tc>
      </w:tr>
      <w:tr>
        <w:trPr>
          <w:trHeight w:val="270"/>
        </w:trPr>
        <w:tc>
          <w:tcPr>
            <w:tcW w:w="8800" w:type="dxa"/>
            <w:vAlign w:val="bottom"/>
            <w:gridSpan w:val="2"/>
          </w:tcPr>
          <w:p>
            <w:pPr>
              <w:ind w:left="40"/>
              <w:spacing w:after="0"/>
              <w:rPr>
                <w:sz w:val="20"/>
                <w:szCs w:val="20"/>
                <w:color w:val="auto"/>
              </w:rPr>
            </w:pPr>
            <w:r>
              <w:rPr>
                <w:rFonts w:ascii="Arial" w:cs="Arial" w:eastAsia="Arial" w:hAnsi="Arial"/>
                <w:sz w:val="18"/>
                <w:szCs w:val="18"/>
                <w:color w:val="auto"/>
              </w:rPr>
              <w:t>Avion Assurance, Ltd.</w:t>
            </w:r>
          </w:p>
        </w:tc>
        <w:tc>
          <w:tcPr>
            <w:tcW w:w="2620" w:type="dxa"/>
            <w:vAlign w:val="bottom"/>
          </w:tcPr>
          <w:p>
            <w:pPr>
              <w:ind w:left="60"/>
              <w:spacing w:after="0"/>
              <w:rPr>
                <w:sz w:val="20"/>
                <w:szCs w:val="20"/>
                <w:color w:val="auto"/>
              </w:rPr>
            </w:pPr>
            <w:r>
              <w:rPr>
                <w:rFonts w:ascii="Arial" w:cs="Arial" w:eastAsia="Arial" w:hAnsi="Arial"/>
                <w:sz w:val="18"/>
                <w:szCs w:val="18"/>
                <w:color w:val="auto"/>
              </w:rPr>
              <w:t>Bermuda</w:t>
            </w:r>
          </w:p>
        </w:tc>
      </w:tr>
      <w:tr>
        <w:trPr>
          <w:trHeight w:val="270"/>
        </w:trPr>
        <w:tc>
          <w:tcPr>
            <w:tcW w:w="8800" w:type="dxa"/>
            <w:vAlign w:val="bottom"/>
            <w:gridSpan w:val="2"/>
          </w:tcPr>
          <w:p>
            <w:pPr>
              <w:ind w:left="40"/>
              <w:spacing w:after="0"/>
              <w:rPr>
                <w:sz w:val="20"/>
                <w:szCs w:val="20"/>
                <w:color w:val="auto"/>
              </w:rPr>
            </w:pPr>
            <w:r>
              <w:rPr>
                <w:rFonts w:ascii="Arial" w:cs="Arial" w:eastAsia="Arial" w:hAnsi="Arial"/>
                <w:sz w:val="18"/>
                <w:szCs w:val="18"/>
                <w:color w:val="auto"/>
              </w:rPr>
              <w:t>Envoy Aviation Group Inc.</w:t>
            </w:r>
          </w:p>
        </w:tc>
        <w:tc>
          <w:tcPr>
            <w:tcW w:w="2620" w:type="dxa"/>
            <w:vAlign w:val="bottom"/>
          </w:tcPr>
          <w:p>
            <w:pPr>
              <w:ind w:left="60"/>
              <w:spacing w:after="0"/>
              <w:rPr>
                <w:sz w:val="20"/>
                <w:szCs w:val="20"/>
                <w:color w:val="auto"/>
              </w:rPr>
            </w:pPr>
            <w:r>
              <w:rPr>
                <w:rFonts w:ascii="Arial" w:cs="Arial" w:eastAsia="Arial" w:hAnsi="Arial"/>
                <w:sz w:val="18"/>
                <w:szCs w:val="18"/>
                <w:color w:val="auto"/>
              </w:rPr>
              <w:t>Delaware</w:t>
            </w:r>
          </w:p>
        </w:tc>
      </w:tr>
      <w:tr>
        <w:trPr>
          <w:trHeight w:val="270"/>
        </w:trPr>
        <w:tc>
          <w:tcPr>
            <w:tcW w:w="8800" w:type="dxa"/>
            <w:vAlign w:val="bottom"/>
            <w:gridSpan w:val="2"/>
          </w:tcPr>
          <w:p>
            <w:pPr>
              <w:ind w:left="280"/>
              <w:spacing w:after="0"/>
              <w:rPr>
                <w:sz w:val="20"/>
                <w:szCs w:val="20"/>
                <w:color w:val="auto"/>
              </w:rPr>
            </w:pPr>
            <w:r>
              <w:rPr>
                <w:rFonts w:ascii="Arial" w:cs="Arial" w:eastAsia="Arial" w:hAnsi="Arial"/>
                <w:sz w:val="18"/>
                <w:szCs w:val="18"/>
                <w:color w:val="auto"/>
              </w:rPr>
              <w:t>Eagle Aviation Services, Inc.</w:t>
            </w:r>
          </w:p>
        </w:tc>
        <w:tc>
          <w:tcPr>
            <w:tcW w:w="2620" w:type="dxa"/>
            <w:vAlign w:val="bottom"/>
          </w:tcPr>
          <w:p>
            <w:pPr>
              <w:ind w:left="60"/>
              <w:spacing w:after="0"/>
              <w:rPr>
                <w:sz w:val="20"/>
                <w:szCs w:val="20"/>
                <w:color w:val="auto"/>
              </w:rPr>
            </w:pPr>
            <w:r>
              <w:rPr>
                <w:rFonts w:ascii="Arial" w:cs="Arial" w:eastAsia="Arial" w:hAnsi="Arial"/>
                <w:sz w:val="18"/>
                <w:szCs w:val="18"/>
                <w:color w:val="auto"/>
              </w:rPr>
              <w:t>Delaware</w:t>
            </w:r>
          </w:p>
        </w:tc>
      </w:tr>
      <w:tr>
        <w:trPr>
          <w:trHeight w:val="270"/>
        </w:trPr>
        <w:tc>
          <w:tcPr>
            <w:tcW w:w="8800" w:type="dxa"/>
            <w:vAlign w:val="bottom"/>
            <w:gridSpan w:val="2"/>
          </w:tcPr>
          <w:p>
            <w:pPr>
              <w:ind w:left="280"/>
              <w:spacing w:after="0"/>
              <w:rPr>
                <w:sz w:val="20"/>
                <w:szCs w:val="20"/>
                <w:color w:val="auto"/>
              </w:rPr>
            </w:pPr>
            <w:r>
              <w:rPr>
                <w:rFonts w:ascii="Arial" w:cs="Arial" w:eastAsia="Arial" w:hAnsi="Arial"/>
                <w:sz w:val="18"/>
                <w:szCs w:val="18"/>
                <w:color w:val="auto"/>
              </w:rPr>
              <w:t>Envoy Air Inc. (operates under the trade name “American Eagle”)</w:t>
            </w:r>
          </w:p>
        </w:tc>
        <w:tc>
          <w:tcPr>
            <w:tcW w:w="2620" w:type="dxa"/>
            <w:vAlign w:val="bottom"/>
          </w:tcPr>
          <w:p>
            <w:pPr>
              <w:ind w:left="60"/>
              <w:spacing w:after="0"/>
              <w:rPr>
                <w:sz w:val="20"/>
                <w:szCs w:val="20"/>
                <w:color w:val="auto"/>
              </w:rPr>
            </w:pPr>
            <w:r>
              <w:rPr>
                <w:rFonts w:ascii="Arial" w:cs="Arial" w:eastAsia="Arial" w:hAnsi="Arial"/>
                <w:sz w:val="18"/>
                <w:szCs w:val="18"/>
                <w:color w:val="auto"/>
              </w:rPr>
              <w:t>Delaware</w:t>
            </w:r>
          </w:p>
        </w:tc>
      </w:tr>
      <w:tr>
        <w:trPr>
          <w:trHeight w:val="270"/>
        </w:trPr>
        <w:tc>
          <w:tcPr>
            <w:tcW w:w="8800" w:type="dxa"/>
            <w:vAlign w:val="bottom"/>
            <w:gridSpan w:val="2"/>
          </w:tcPr>
          <w:p>
            <w:pPr>
              <w:ind w:left="280"/>
              <w:spacing w:after="0"/>
              <w:rPr>
                <w:sz w:val="20"/>
                <w:szCs w:val="20"/>
                <w:color w:val="auto"/>
              </w:rPr>
            </w:pPr>
            <w:r>
              <w:rPr>
                <w:rFonts w:ascii="Arial" w:cs="Arial" w:eastAsia="Arial" w:hAnsi="Arial"/>
                <w:sz w:val="18"/>
                <w:szCs w:val="18"/>
                <w:color w:val="auto"/>
              </w:rPr>
              <w:t>Executive Airlines, Inc.</w:t>
            </w:r>
          </w:p>
        </w:tc>
        <w:tc>
          <w:tcPr>
            <w:tcW w:w="2620" w:type="dxa"/>
            <w:vAlign w:val="bottom"/>
          </w:tcPr>
          <w:p>
            <w:pPr>
              <w:ind w:left="60"/>
              <w:spacing w:after="0"/>
              <w:rPr>
                <w:sz w:val="20"/>
                <w:szCs w:val="20"/>
                <w:color w:val="auto"/>
              </w:rPr>
            </w:pPr>
            <w:r>
              <w:rPr>
                <w:rFonts w:ascii="Arial" w:cs="Arial" w:eastAsia="Arial" w:hAnsi="Arial"/>
                <w:sz w:val="18"/>
                <w:szCs w:val="18"/>
                <w:color w:val="auto"/>
              </w:rPr>
              <w:t>Delaware</w:t>
            </w:r>
          </w:p>
        </w:tc>
      </w:tr>
      <w:tr>
        <w:trPr>
          <w:trHeight w:val="270"/>
        </w:trPr>
        <w:tc>
          <w:tcPr>
            <w:tcW w:w="8800" w:type="dxa"/>
            <w:vAlign w:val="bottom"/>
            <w:gridSpan w:val="2"/>
          </w:tcPr>
          <w:p>
            <w:pPr>
              <w:ind w:left="40"/>
              <w:spacing w:after="0"/>
              <w:rPr>
                <w:sz w:val="20"/>
                <w:szCs w:val="20"/>
                <w:color w:val="auto"/>
              </w:rPr>
            </w:pPr>
            <w:r>
              <w:rPr>
                <w:rFonts w:ascii="Arial" w:cs="Arial" w:eastAsia="Arial" w:hAnsi="Arial"/>
                <w:sz w:val="18"/>
                <w:szCs w:val="18"/>
                <w:color w:val="auto"/>
              </w:rPr>
              <w:t>FLAAG 2017-1 OPP LLC</w:t>
            </w:r>
          </w:p>
        </w:tc>
        <w:tc>
          <w:tcPr>
            <w:tcW w:w="2620" w:type="dxa"/>
            <w:vAlign w:val="bottom"/>
          </w:tcPr>
          <w:p>
            <w:pPr>
              <w:ind w:left="60"/>
              <w:spacing w:after="0"/>
              <w:rPr>
                <w:sz w:val="20"/>
                <w:szCs w:val="20"/>
                <w:color w:val="auto"/>
              </w:rPr>
            </w:pPr>
            <w:r>
              <w:rPr>
                <w:rFonts w:ascii="Arial" w:cs="Arial" w:eastAsia="Arial" w:hAnsi="Arial"/>
                <w:sz w:val="18"/>
                <w:szCs w:val="18"/>
                <w:color w:val="auto"/>
              </w:rPr>
              <w:t>Delaware</w:t>
            </w:r>
          </w:p>
        </w:tc>
      </w:tr>
      <w:tr>
        <w:trPr>
          <w:trHeight w:val="270"/>
        </w:trPr>
        <w:tc>
          <w:tcPr>
            <w:tcW w:w="8800" w:type="dxa"/>
            <w:vAlign w:val="bottom"/>
            <w:gridSpan w:val="2"/>
          </w:tcPr>
          <w:p>
            <w:pPr>
              <w:ind w:left="280"/>
              <w:spacing w:after="0"/>
              <w:rPr>
                <w:sz w:val="20"/>
                <w:szCs w:val="20"/>
                <w:color w:val="auto"/>
              </w:rPr>
            </w:pPr>
            <w:r>
              <w:rPr>
                <w:rFonts w:ascii="Arial" w:cs="Arial" w:eastAsia="Arial" w:hAnsi="Arial"/>
                <w:sz w:val="18"/>
                <w:szCs w:val="18"/>
                <w:color w:val="auto"/>
              </w:rPr>
              <w:t>FLAAG 2017-1 OP-a LLC</w:t>
            </w:r>
          </w:p>
        </w:tc>
        <w:tc>
          <w:tcPr>
            <w:tcW w:w="2620" w:type="dxa"/>
            <w:vAlign w:val="bottom"/>
          </w:tcPr>
          <w:p>
            <w:pPr>
              <w:ind w:left="60"/>
              <w:spacing w:after="0"/>
              <w:rPr>
                <w:sz w:val="20"/>
                <w:szCs w:val="20"/>
                <w:color w:val="auto"/>
              </w:rPr>
            </w:pPr>
            <w:r>
              <w:rPr>
                <w:rFonts w:ascii="Arial" w:cs="Arial" w:eastAsia="Arial" w:hAnsi="Arial"/>
                <w:sz w:val="18"/>
                <w:szCs w:val="18"/>
                <w:color w:val="auto"/>
              </w:rPr>
              <w:t>Delaware</w:t>
            </w:r>
          </w:p>
        </w:tc>
      </w:tr>
      <w:tr>
        <w:trPr>
          <w:trHeight w:val="270"/>
        </w:trPr>
        <w:tc>
          <w:tcPr>
            <w:tcW w:w="8800" w:type="dxa"/>
            <w:vAlign w:val="bottom"/>
            <w:gridSpan w:val="2"/>
          </w:tcPr>
          <w:p>
            <w:pPr>
              <w:ind w:left="280"/>
              <w:spacing w:after="0"/>
              <w:rPr>
                <w:sz w:val="20"/>
                <w:szCs w:val="20"/>
                <w:color w:val="auto"/>
              </w:rPr>
            </w:pPr>
            <w:r>
              <w:rPr>
                <w:rFonts w:ascii="Arial" w:cs="Arial" w:eastAsia="Arial" w:hAnsi="Arial"/>
                <w:sz w:val="18"/>
                <w:szCs w:val="18"/>
                <w:color w:val="auto"/>
              </w:rPr>
              <w:t>FLAAG 2017-1 OP-b LLC</w:t>
            </w:r>
          </w:p>
        </w:tc>
        <w:tc>
          <w:tcPr>
            <w:tcW w:w="2620" w:type="dxa"/>
            <w:vAlign w:val="bottom"/>
          </w:tcPr>
          <w:p>
            <w:pPr>
              <w:ind w:left="60"/>
              <w:spacing w:after="0"/>
              <w:rPr>
                <w:sz w:val="20"/>
                <w:szCs w:val="20"/>
                <w:color w:val="auto"/>
              </w:rPr>
            </w:pPr>
            <w:r>
              <w:rPr>
                <w:rFonts w:ascii="Arial" w:cs="Arial" w:eastAsia="Arial" w:hAnsi="Arial"/>
                <w:sz w:val="18"/>
                <w:szCs w:val="18"/>
                <w:color w:val="auto"/>
              </w:rPr>
              <w:t>Delaware</w:t>
            </w:r>
          </w:p>
        </w:tc>
      </w:tr>
      <w:tr>
        <w:trPr>
          <w:trHeight w:val="270"/>
        </w:trPr>
        <w:tc>
          <w:tcPr>
            <w:tcW w:w="8800" w:type="dxa"/>
            <w:vAlign w:val="bottom"/>
            <w:gridSpan w:val="2"/>
          </w:tcPr>
          <w:p>
            <w:pPr>
              <w:ind w:left="40"/>
              <w:spacing w:after="0"/>
              <w:rPr>
                <w:sz w:val="20"/>
                <w:szCs w:val="20"/>
                <w:color w:val="auto"/>
              </w:rPr>
            </w:pPr>
            <w:r>
              <w:rPr>
                <w:rFonts w:ascii="Arial" w:cs="Arial" w:eastAsia="Arial" w:hAnsi="Arial"/>
                <w:sz w:val="18"/>
                <w:szCs w:val="18"/>
                <w:color w:val="auto"/>
              </w:rPr>
              <w:t>FLAAG 2019-1 OPP LLC</w:t>
            </w:r>
          </w:p>
        </w:tc>
        <w:tc>
          <w:tcPr>
            <w:tcW w:w="2620" w:type="dxa"/>
            <w:vAlign w:val="bottom"/>
          </w:tcPr>
          <w:p>
            <w:pPr>
              <w:ind w:left="60"/>
              <w:spacing w:after="0"/>
              <w:rPr>
                <w:sz w:val="20"/>
                <w:szCs w:val="20"/>
                <w:color w:val="auto"/>
              </w:rPr>
            </w:pPr>
            <w:r>
              <w:rPr>
                <w:rFonts w:ascii="Arial" w:cs="Arial" w:eastAsia="Arial" w:hAnsi="Arial"/>
                <w:sz w:val="18"/>
                <w:szCs w:val="18"/>
                <w:color w:val="auto"/>
              </w:rPr>
              <w:t>Delaware</w:t>
            </w:r>
          </w:p>
        </w:tc>
      </w:tr>
      <w:tr>
        <w:trPr>
          <w:trHeight w:val="270"/>
        </w:trPr>
        <w:tc>
          <w:tcPr>
            <w:tcW w:w="8800" w:type="dxa"/>
            <w:vAlign w:val="bottom"/>
            <w:gridSpan w:val="2"/>
          </w:tcPr>
          <w:p>
            <w:pPr>
              <w:ind w:left="280"/>
              <w:spacing w:after="0"/>
              <w:rPr>
                <w:sz w:val="20"/>
                <w:szCs w:val="20"/>
                <w:color w:val="auto"/>
              </w:rPr>
            </w:pPr>
            <w:r>
              <w:rPr>
                <w:rFonts w:ascii="Arial" w:cs="Arial" w:eastAsia="Arial" w:hAnsi="Arial"/>
                <w:sz w:val="18"/>
                <w:szCs w:val="18"/>
                <w:color w:val="auto"/>
              </w:rPr>
              <w:t>FLAAG 2019-1 OP-a LLC</w:t>
            </w:r>
          </w:p>
        </w:tc>
        <w:tc>
          <w:tcPr>
            <w:tcW w:w="2620" w:type="dxa"/>
            <w:vAlign w:val="bottom"/>
          </w:tcPr>
          <w:p>
            <w:pPr>
              <w:ind w:left="60"/>
              <w:spacing w:after="0"/>
              <w:rPr>
                <w:sz w:val="20"/>
                <w:szCs w:val="20"/>
                <w:color w:val="auto"/>
              </w:rPr>
            </w:pPr>
            <w:r>
              <w:rPr>
                <w:rFonts w:ascii="Arial" w:cs="Arial" w:eastAsia="Arial" w:hAnsi="Arial"/>
                <w:sz w:val="18"/>
                <w:szCs w:val="18"/>
                <w:color w:val="auto"/>
              </w:rPr>
              <w:t>Delaware</w:t>
            </w:r>
          </w:p>
        </w:tc>
      </w:tr>
      <w:tr>
        <w:trPr>
          <w:trHeight w:val="270"/>
        </w:trPr>
        <w:tc>
          <w:tcPr>
            <w:tcW w:w="8800" w:type="dxa"/>
            <w:vAlign w:val="bottom"/>
            <w:gridSpan w:val="2"/>
          </w:tcPr>
          <w:p>
            <w:pPr>
              <w:ind w:left="280"/>
              <w:spacing w:after="0"/>
              <w:rPr>
                <w:sz w:val="20"/>
                <w:szCs w:val="20"/>
                <w:color w:val="auto"/>
              </w:rPr>
            </w:pPr>
            <w:r>
              <w:rPr>
                <w:rFonts w:ascii="Arial" w:cs="Arial" w:eastAsia="Arial" w:hAnsi="Arial"/>
                <w:sz w:val="18"/>
                <w:szCs w:val="18"/>
                <w:color w:val="auto"/>
              </w:rPr>
              <w:t>FLAAG 2019-1 OP-b LLC</w:t>
            </w:r>
          </w:p>
        </w:tc>
        <w:tc>
          <w:tcPr>
            <w:tcW w:w="2620" w:type="dxa"/>
            <w:vAlign w:val="bottom"/>
          </w:tcPr>
          <w:p>
            <w:pPr>
              <w:ind w:left="60"/>
              <w:spacing w:after="0"/>
              <w:rPr>
                <w:sz w:val="20"/>
                <w:szCs w:val="20"/>
                <w:color w:val="auto"/>
              </w:rPr>
            </w:pPr>
            <w:r>
              <w:rPr>
                <w:rFonts w:ascii="Arial" w:cs="Arial" w:eastAsia="Arial" w:hAnsi="Arial"/>
                <w:sz w:val="18"/>
                <w:szCs w:val="18"/>
                <w:color w:val="auto"/>
              </w:rPr>
              <w:t>Delaware</w:t>
            </w:r>
          </w:p>
        </w:tc>
      </w:tr>
      <w:tr>
        <w:trPr>
          <w:trHeight w:val="270"/>
        </w:trPr>
        <w:tc>
          <w:tcPr>
            <w:tcW w:w="8800" w:type="dxa"/>
            <w:vAlign w:val="bottom"/>
            <w:gridSpan w:val="2"/>
          </w:tcPr>
          <w:p>
            <w:pPr>
              <w:ind w:left="280"/>
              <w:spacing w:after="0"/>
              <w:rPr>
                <w:sz w:val="20"/>
                <w:szCs w:val="20"/>
                <w:color w:val="auto"/>
              </w:rPr>
            </w:pPr>
            <w:r>
              <w:rPr>
                <w:rFonts w:ascii="Arial" w:cs="Arial" w:eastAsia="Arial" w:hAnsi="Arial"/>
                <w:sz w:val="18"/>
                <w:szCs w:val="18"/>
                <w:color w:val="auto"/>
              </w:rPr>
              <w:t>FLAAG 2019-1 OP-c LLC</w:t>
            </w:r>
          </w:p>
        </w:tc>
        <w:tc>
          <w:tcPr>
            <w:tcW w:w="2620" w:type="dxa"/>
            <w:vAlign w:val="bottom"/>
          </w:tcPr>
          <w:p>
            <w:pPr>
              <w:ind w:left="60"/>
              <w:spacing w:after="0"/>
              <w:rPr>
                <w:sz w:val="20"/>
                <w:szCs w:val="20"/>
                <w:color w:val="auto"/>
              </w:rPr>
            </w:pPr>
            <w:r>
              <w:rPr>
                <w:rFonts w:ascii="Arial" w:cs="Arial" w:eastAsia="Arial" w:hAnsi="Arial"/>
                <w:sz w:val="18"/>
                <w:szCs w:val="18"/>
                <w:color w:val="auto"/>
              </w:rPr>
              <w:t>Delaware</w:t>
            </w:r>
          </w:p>
        </w:tc>
      </w:tr>
      <w:tr>
        <w:trPr>
          <w:trHeight w:val="270"/>
        </w:trPr>
        <w:tc>
          <w:tcPr>
            <w:tcW w:w="8800" w:type="dxa"/>
            <w:vAlign w:val="bottom"/>
            <w:gridSpan w:val="2"/>
          </w:tcPr>
          <w:p>
            <w:pPr>
              <w:ind w:left="40"/>
              <w:spacing w:after="0"/>
              <w:rPr>
                <w:sz w:val="20"/>
                <w:szCs w:val="20"/>
                <w:color w:val="auto"/>
              </w:rPr>
            </w:pPr>
            <w:r>
              <w:rPr>
                <w:rFonts w:ascii="Arial" w:cs="Arial" w:eastAsia="Arial" w:hAnsi="Arial"/>
                <w:sz w:val="18"/>
                <w:szCs w:val="18"/>
                <w:color w:val="auto"/>
              </w:rPr>
              <w:t>J-CRJ900 LLC</w:t>
            </w:r>
          </w:p>
        </w:tc>
        <w:tc>
          <w:tcPr>
            <w:tcW w:w="2620" w:type="dxa"/>
            <w:vAlign w:val="bottom"/>
          </w:tcPr>
          <w:p>
            <w:pPr>
              <w:ind w:left="60"/>
              <w:spacing w:after="0"/>
              <w:rPr>
                <w:sz w:val="20"/>
                <w:szCs w:val="20"/>
                <w:color w:val="auto"/>
              </w:rPr>
            </w:pPr>
            <w:r>
              <w:rPr>
                <w:rFonts w:ascii="Arial" w:cs="Arial" w:eastAsia="Arial" w:hAnsi="Arial"/>
                <w:sz w:val="18"/>
                <w:szCs w:val="18"/>
                <w:color w:val="auto"/>
              </w:rPr>
              <w:t>Delaware</w:t>
            </w:r>
          </w:p>
        </w:tc>
      </w:tr>
      <w:tr>
        <w:trPr>
          <w:trHeight w:val="270"/>
        </w:trPr>
        <w:tc>
          <w:tcPr>
            <w:tcW w:w="8800" w:type="dxa"/>
            <w:vAlign w:val="bottom"/>
            <w:gridSpan w:val="2"/>
          </w:tcPr>
          <w:p>
            <w:pPr>
              <w:ind w:left="40"/>
              <w:spacing w:after="0"/>
              <w:rPr>
                <w:sz w:val="20"/>
                <w:szCs w:val="20"/>
                <w:color w:val="auto"/>
              </w:rPr>
            </w:pPr>
            <w:r>
              <w:rPr>
                <w:rFonts w:ascii="Arial" w:cs="Arial" w:eastAsia="Arial" w:hAnsi="Arial"/>
                <w:sz w:val="18"/>
                <w:szCs w:val="18"/>
                <w:color w:val="auto"/>
              </w:rPr>
              <w:t>Piedmont Airlines, Inc. (operates under the trade name “American Eagle”)</w:t>
            </w:r>
          </w:p>
        </w:tc>
        <w:tc>
          <w:tcPr>
            <w:tcW w:w="2620" w:type="dxa"/>
            <w:vAlign w:val="bottom"/>
          </w:tcPr>
          <w:p>
            <w:pPr>
              <w:ind w:left="60"/>
              <w:spacing w:after="0"/>
              <w:rPr>
                <w:sz w:val="20"/>
                <w:szCs w:val="20"/>
                <w:color w:val="auto"/>
              </w:rPr>
            </w:pPr>
            <w:r>
              <w:rPr>
                <w:rFonts w:ascii="Arial" w:cs="Arial" w:eastAsia="Arial" w:hAnsi="Arial"/>
                <w:sz w:val="18"/>
                <w:szCs w:val="18"/>
                <w:color w:val="auto"/>
              </w:rPr>
              <w:t>Maryland</w:t>
            </w:r>
          </w:p>
        </w:tc>
      </w:tr>
      <w:tr>
        <w:trPr>
          <w:trHeight w:val="270"/>
        </w:trPr>
        <w:tc>
          <w:tcPr>
            <w:tcW w:w="8800" w:type="dxa"/>
            <w:vAlign w:val="bottom"/>
            <w:gridSpan w:val="2"/>
          </w:tcPr>
          <w:p>
            <w:pPr>
              <w:ind w:left="40"/>
              <w:spacing w:after="0"/>
              <w:rPr>
                <w:sz w:val="20"/>
                <w:szCs w:val="20"/>
                <w:color w:val="auto"/>
              </w:rPr>
            </w:pPr>
            <w:r>
              <w:rPr>
                <w:rFonts w:ascii="Arial" w:cs="Arial" w:eastAsia="Arial" w:hAnsi="Arial"/>
                <w:sz w:val="18"/>
                <w:szCs w:val="18"/>
                <w:color w:val="auto"/>
              </w:rPr>
              <w:t>PMA Investment Subsidiary, Inc.</w:t>
            </w:r>
          </w:p>
        </w:tc>
        <w:tc>
          <w:tcPr>
            <w:tcW w:w="2620" w:type="dxa"/>
            <w:vAlign w:val="bottom"/>
          </w:tcPr>
          <w:p>
            <w:pPr>
              <w:ind w:left="60"/>
              <w:spacing w:after="0"/>
              <w:rPr>
                <w:sz w:val="20"/>
                <w:szCs w:val="20"/>
                <w:color w:val="auto"/>
              </w:rPr>
            </w:pPr>
            <w:r>
              <w:rPr>
                <w:rFonts w:ascii="Arial" w:cs="Arial" w:eastAsia="Arial" w:hAnsi="Arial"/>
                <w:sz w:val="18"/>
                <w:szCs w:val="18"/>
                <w:color w:val="auto"/>
              </w:rPr>
              <w:t>Delaware</w:t>
            </w:r>
          </w:p>
        </w:tc>
      </w:tr>
      <w:tr>
        <w:trPr>
          <w:trHeight w:val="270"/>
        </w:trPr>
        <w:tc>
          <w:tcPr>
            <w:tcW w:w="8800" w:type="dxa"/>
            <w:vAlign w:val="bottom"/>
            <w:gridSpan w:val="2"/>
          </w:tcPr>
          <w:p>
            <w:pPr>
              <w:ind w:left="40"/>
              <w:spacing w:after="0"/>
              <w:rPr>
                <w:sz w:val="20"/>
                <w:szCs w:val="20"/>
                <w:color w:val="auto"/>
              </w:rPr>
            </w:pPr>
            <w:r>
              <w:rPr>
                <w:rFonts w:ascii="Arial" w:cs="Arial" w:eastAsia="Arial" w:hAnsi="Arial"/>
                <w:sz w:val="18"/>
                <w:szCs w:val="18"/>
                <w:color w:val="auto"/>
              </w:rPr>
              <w:t>PSA Airlines, Inc. (operates under the trade name “American Eagle”)</w:t>
            </w:r>
          </w:p>
        </w:tc>
        <w:tc>
          <w:tcPr>
            <w:tcW w:w="2620" w:type="dxa"/>
            <w:vAlign w:val="bottom"/>
          </w:tcPr>
          <w:p>
            <w:pPr>
              <w:ind w:left="60"/>
              <w:spacing w:after="0"/>
              <w:rPr>
                <w:sz w:val="20"/>
                <w:szCs w:val="20"/>
                <w:color w:val="auto"/>
              </w:rPr>
            </w:pPr>
            <w:r>
              <w:rPr>
                <w:rFonts w:ascii="Arial" w:cs="Arial" w:eastAsia="Arial" w:hAnsi="Arial"/>
                <w:sz w:val="18"/>
                <w:szCs w:val="18"/>
                <w:color w:val="auto"/>
              </w:rPr>
              <w:t>Pennsylvania</w:t>
            </w:r>
          </w:p>
        </w:tc>
      </w:tr>
      <w:tr>
        <w:trPr>
          <w:trHeight w:val="540"/>
        </w:trPr>
        <w:tc>
          <w:tcPr>
            <w:tcW w:w="8800" w:type="dxa"/>
            <w:vAlign w:val="bottom"/>
            <w:gridSpan w:val="2"/>
          </w:tcPr>
          <w:p>
            <w:pPr>
              <w:spacing w:after="0"/>
              <w:rPr>
                <w:sz w:val="20"/>
                <w:szCs w:val="20"/>
                <w:color w:val="auto"/>
              </w:rPr>
            </w:pPr>
            <w:r>
              <w:rPr>
                <w:rFonts w:ascii="Arial" w:cs="Arial" w:eastAsia="Arial" w:hAnsi="Arial"/>
                <w:sz w:val="18"/>
                <w:szCs w:val="18"/>
                <w:color w:val="auto"/>
              </w:rPr>
              <w:t>*Entity with 50% or less ownership.</w:t>
            </w:r>
          </w:p>
        </w:tc>
        <w:tc>
          <w:tcPr>
            <w:tcW w:w="2620" w:type="dxa"/>
            <w:vAlign w:val="bottom"/>
          </w:tcPr>
          <w:p>
            <w:pPr>
              <w:spacing w:after="0"/>
              <w:rPr>
                <w:sz w:val="24"/>
                <w:szCs w:val="24"/>
                <w:color w:val="auto"/>
              </w:rPr>
            </w:pPr>
          </w:p>
        </w:tc>
      </w:tr>
    </w:tbl>
    <w:p>
      <w:pPr>
        <w:sectPr>
          <w:pgSz w:w="11900" w:h="16838" w:orient="portrait"/>
          <w:cols w:equalWidth="0" w:num="1">
            <w:col w:w="11420"/>
          </w:cols>
          <w:pgMar w:left="240" w:top="549" w:right="239" w:bottom="1440" w:gutter="0" w:footer="0" w:header="0"/>
        </w:sectPr>
      </w:pPr>
    </w:p>
    <w:bookmarkStart w:id="219" w:name="page220"/>
    <w:bookmarkEnd w:id="219"/>
    <w:p>
      <w:pPr>
        <w:jc w:val="right"/>
        <w:spacing w:after="0"/>
        <w:rPr>
          <w:sz w:val="20"/>
          <w:szCs w:val="20"/>
          <w:color w:val="auto"/>
        </w:rPr>
      </w:pPr>
      <w:r>
        <w:rPr>
          <w:rFonts w:ascii="Arial" w:cs="Arial" w:eastAsia="Arial" w:hAnsi="Arial"/>
          <w:sz w:val="18"/>
          <w:szCs w:val="18"/>
          <w:b w:val="1"/>
          <w:bCs w:val="1"/>
          <w:color w:val="auto"/>
        </w:rPr>
        <w:t>Exhibit 23.1</w:t>
      </w:r>
    </w:p>
    <w:p>
      <w:pPr>
        <w:spacing w:after="0" w:line="374" w:lineRule="exact"/>
        <w:rPr>
          <w:sz w:val="20"/>
          <w:szCs w:val="20"/>
          <w:color w:val="auto"/>
        </w:rPr>
      </w:pPr>
    </w:p>
    <w:p>
      <w:pPr>
        <w:ind w:left="1860"/>
        <w:spacing w:after="0"/>
        <w:rPr>
          <w:sz w:val="20"/>
          <w:szCs w:val="20"/>
          <w:color w:val="auto"/>
        </w:rPr>
      </w:pPr>
      <w:r>
        <w:rPr>
          <w:rFonts w:ascii="Arial" w:cs="Arial" w:eastAsia="Arial" w:hAnsi="Arial"/>
          <w:sz w:val="18"/>
          <w:szCs w:val="18"/>
          <w:b w:val="1"/>
          <w:bCs w:val="1"/>
          <w:color w:val="auto"/>
        </w:rPr>
        <w:t>Consent of Independent Registered Public Accounting Firm</w:t>
      </w:r>
    </w:p>
    <w:p>
      <w:pPr>
        <w:spacing w:after="0" w:line="200" w:lineRule="exact"/>
        <w:rPr>
          <w:sz w:val="20"/>
          <w:szCs w:val="20"/>
          <w:color w:val="auto"/>
        </w:rPr>
      </w:pPr>
    </w:p>
    <w:p>
      <w:pPr>
        <w:spacing w:after="0" w:line="209" w:lineRule="exact"/>
        <w:rPr>
          <w:sz w:val="20"/>
          <w:szCs w:val="20"/>
          <w:color w:val="auto"/>
        </w:rPr>
      </w:pPr>
    </w:p>
    <w:p>
      <w:pPr>
        <w:spacing w:after="0"/>
        <w:rPr>
          <w:sz w:val="20"/>
          <w:szCs w:val="20"/>
          <w:color w:val="auto"/>
        </w:rPr>
      </w:pPr>
      <w:r>
        <w:rPr>
          <w:rFonts w:ascii="Arial" w:cs="Arial" w:eastAsia="Arial" w:hAnsi="Arial"/>
          <w:sz w:val="18"/>
          <w:szCs w:val="18"/>
          <w:color w:val="auto"/>
        </w:rPr>
        <w:t>The Board of Directors American Airlines Group Inc.:</w:t>
      </w:r>
    </w:p>
    <w:p>
      <w:pPr>
        <w:spacing w:after="0" w:line="185" w:lineRule="exact"/>
        <w:rPr>
          <w:sz w:val="20"/>
          <w:szCs w:val="20"/>
          <w:color w:val="auto"/>
        </w:rPr>
      </w:pPr>
    </w:p>
    <w:p>
      <w:pPr>
        <w:ind w:right="20"/>
        <w:spacing w:after="0" w:line="270" w:lineRule="auto"/>
        <w:rPr>
          <w:sz w:val="20"/>
          <w:szCs w:val="20"/>
          <w:color w:val="auto"/>
        </w:rPr>
      </w:pPr>
      <w:r>
        <w:rPr>
          <w:rFonts w:ascii="Arial" w:cs="Arial" w:eastAsia="Arial" w:hAnsi="Arial"/>
          <w:sz w:val="17"/>
          <w:szCs w:val="17"/>
          <w:color w:val="auto"/>
        </w:rPr>
        <w:t>We consent to the incorporation by reference in the registration statement (No. 333-192719 and No. 333-192660) on Form S-8 and (No. 333-216167) on Form S-3 of American Airlines Group Inc. of our reports dated February 19, 2020, with respect to the consolidated balance sheets of American Airlines Group Inc. as of December 31, 2019 and 2018, the related consolidated statements of operations, comprehensive income, cash flows, and stockholders’ equity (deficit) for each of the years in the three-year period ended December 31, 2019, and the related notes (which report refers to a change to the method of accounting for leases), and the effectiveness of internal control over financial reporting as of December 31, 2019, which reports appear in the December 31, 2019 annual report on Form 10-K of American Airlines Group Inc.</w:t>
      </w:r>
    </w:p>
    <w:p>
      <w:pPr>
        <w:spacing w:after="0" w:line="112" w:lineRule="exact"/>
        <w:rPr>
          <w:sz w:val="20"/>
          <w:szCs w:val="20"/>
          <w:color w:val="auto"/>
        </w:rPr>
      </w:pPr>
    </w:p>
    <w:p>
      <w:pPr>
        <w:ind w:left="5720"/>
        <w:spacing w:after="0"/>
        <w:tabs>
          <w:tab w:leader="none" w:pos="6100" w:val="left"/>
        </w:tabs>
        <w:rPr>
          <w:sz w:val="20"/>
          <w:szCs w:val="20"/>
          <w:color w:val="auto"/>
        </w:rPr>
      </w:pPr>
      <w:r>
        <w:rPr>
          <w:rFonts w:ascii="Arial" w:cs="Arial" w:eastAsia="Arial" w:hAnsi="Arial"/>
          <w:sz w:val="18"/>
          <w:szCs w:val="18"/>
          <w:color w:val="auto"/>
        </w:rPr>
        <w:t>/s/</w:t>
        <w:tab/>
        <w:t>KPMG LLP</w:t>
      </w:r>
    </w:p>
    <w:p>
      <w:pPr>
        <w:spacing w:after="0" w:line="185" w:lineRule="exact"/>
        <w:rPr>
          <w:sz w:val="20"/>
          <w:szCs w:val="20"/>
          <w:color w:val="auto"/>
        </w:rPr>
      </w:pPr>
    </w:p>
    <w:p>
      <w:pPr>
        <w:spacing w:after="0"/>
        <w:rPr>
          <w:sz w:val="20"/>
          <w:szCs w:val="20"/>
          <w:color w:val="auto"/>
        </w:rPr>
      </w:pPr>
      <w:r>
        <w:rPr>
          <w:rFonts w:ascii="Arial" w:cs="Arial" w:eastAsia="Arial" w:hAnsi="Arial"/>
          <w:sz w:val="18"/>
          <w:szCs w:val="18"/>
          <w:color w:val="auto"/>
        </w:rPr>
        <w:t>Dallas, Texas February 19, 2020</w:t>
      </w:r>
    </w:p>
    <w:p>
      <w:pPr>
        <w:sectPr>
          <w:pgSz w:w="11900" w:h="16838" w:orient="portrait"/>
          <w:cols w:equalWidth="0" w:num="1">
            <w:col w:w="11300"/>
          </w:cols>
          <w:pgMar w:left="360" w:top="549" w:right="239" w:bottom="1440" w:gutter="0" w:footer="0" w:header="0"/>
        </w:sectPr>
      </w:pPr>
    </w:p>
    <w:bookmarkStart w:id="220" w:name="page221"/>
    <w:bookmarkEnd w:id="220"/>
    <w:p>
      <w:pPr>
        <w:jc w:val="right"/>
        <w:spacing w:after="0"/>
        <w:rPr>
          <w:sz w:val="20"/>
          <w:szCs w:val="20"/>
          <w:color w:val="auto"/>
        </w:rPr>
      </w:pPr>
      <w:r>
        <w:rPr>
          <w:rFonts w:ascii="Arial" w:cs="Arial" w:eastAsia="Arial" w:hAnsi="Arial"/>
          <w:sz w:val="18"/>
          <w:szCs w:val="18"/>
          <w:b w:val="1"/>
          <w:bCs w:val="1"/>
          <w:color w:val="auto"/>
        </w:rPr>
        <w:t>Exhibit 23.1</w:t>
      </w:r>
    </w:p>
    <w:p>
      <w:pPr>
        <w:spacing w:after="0" w:line="293" w:lineRule="exact"/>
        <w:rPr>
          <w:sz w:val="20"/>
          <w:szCs w:val="20"/>
          <w:color w:val="auto"/>
        </w:rPr>
      </w:pPr>
    </w:p>
    <w:p>
      <w:pPr>
        <w:ind w:left="1860"/>
        <w:spacing w:after="0"/>
        <w:rPr>
          <w:sz w:val="20"/>
          <w:szCs w:val="20"/>
          <w:color w:val="auto"/>
        </w:rPr>
      </w:pPr>
      <w:r>
        <w:rPr>
          <w:rFonts w:ascii="Arial" w:cs="Arial" w:eastAsia="Arial" w:hAnsi="Arial"/>
          <w:sz w:val="18"/>
          <w:szCs w:val="18"/>
          <w:b w:val="1"/>
          <w:bCs w:val="1"/>
          <w:color w:val="auto"/>
        </w:rPr>
        <w:t>Consent of Independent Registered Public Accounting Firm</w:t>
      </w:r>
    </w:p>
    <w:p>
      <w:pPr>
        <w:spacing w:after="0" w:line="200" w:lineRule="exact"/>
        <w:rPr>
          <w:sz w:val="20"/>
          <w:szCs w:val="20"/>
          <w:color w:val="auto"/>
        </w:rPr>
      </w:pPr>
    </w:p>
    <w:p>
      <w:pPr>
        <w:spacing w:after="0" w:line="209" w:lineRule="exact"/>
        <w:rPr>
          <w:sz w:val="20"/>
          <w:szCs w:val="20"/>
          <w:color w:val="auto"/>
        </w:rPr>
      </w:pPr>
    </w:p>
    <w:p>
      <w:pPr>
        <w:spacing w:after="0"/>
        <w:rPr>
          <w:sz w:val="20"/>
          <w:szCs w:val="20"/>
          <w:color w:val="auto"/>
        </w:rPr>
      </w:pPr>
      <w:r>
        <w:rPr>
          <w:rFonts w:ascii="Arial" w:cs="Arial" w:eastAsia="Arial" w:hAnsi="Arial"/>
          <w:sz w:val="18"/>
          <w:szCs w:val="18"/>
          <w:color w:val="auto"/>
        </w:rPr>
        <w:t>The Board of Directors American Airlines, Inc.:</w:t>
      </w:r>
    </w:p>
    <w:p>
      <w:pPr>
        <w:spacing w:after="0" w:line="185" w:lineRule="exact"/>
        <w:rPr>
          <w:sz w:val="20"/>
          <w:szCs w:val="20"/>
          <w:color w:val="auto"/>
        </w:rPr>
      </w:pPr>
    </w:p>
    <w:p>
      <w:pPr>
        <w:ind w:right="60"/>
        <w:spacing w:after="0" w:line="252" w:lineRule="auto"/>
        <w:rPr>
          <w:sz w:val="20"/>
          <w:szCs w:val="20"/>
          <w:color w:val="auto"/>
        </w:rPr>
      </w:pPr>
      <w:r>
        <w:rPr>
          <w:rFonts w:ascii="Arial" w:cs="Arial" w:eastAsia="Arial" w:hAnsi="Arial"/>
          <w:sz w:val="18"/>
          <w:szCs w:val="18"/>
          <w:color w:val="auto"/>
        </w:rPr>
        <w:t>We consent to the incorporation by reference in the registration statement (No. 333-216167) on Form S-3 of American Airlines, Inc. of our reports dated February 19, 2020, with respect to the consolidated balance sheets of American Airlines, Inc. as of December 31, 2019 and 2018, the related consolidated statements of operations, comprehensive income, cash flows, and stockholder’s equity for each of the years in the three-year period ended December 31, 2019, and the related notes (which report refers to a change to the method of accounting for leases), and the effectiveness of internal control over financial reporting as of December 31, 2019, which reports appear in the December 31, 2019 annual report on Form 10-K of American Airlines, Inc.</w:t>
      </w:r>
    </w:p>
    <w:p>
      <w:pPr>
        <w:spacing w:after="0" w:line="209" w:lineRule="exact"/>
        <w:rPr>
          <w:sz w:val="20"/>
          <w:szCs w:val="20"/>
          <w:color w:val="auto"/>
        </w:rPr>
      </w:pPr>
    </w:p>
    <w:p>
      <w:pPr>
        <w:ind w:left="5720"/>
        <w:spacing w:after="0"/>
        <w:tabs>
          <w:tab w:leader="none" w:pos="6100" w:val="left"/>
        </w:tabs>
        <w:rPr>
          <w:sz w:val="20"/>
          <w:szCs w:val="20"/>
          <w:color w:val="auto"/>
        </w:rPr>
      </w:pPr>
      <w:r>
        <w:rPr>
          <w:rFonts w:ascii="Arial" w:cs="Arial" w:eastAsia="Arial" w:hAnsi="Arial"/>
          <w:sz w:val="18"/>
          <w:szCs w:val="18"/>
          <w:color w:val="auto"/>
        </w:rPr>
        <w:t>/s/</w:t>
        <w:tab/>
        <w:t>KPMG LLP</w:t>
      </w:r>
    </w:p>
    <w:p>
      <w:pPr>
        <w:spacing w:after="0" w:line="185" w:lineRule="exact"/>
        <w:rPr>
          <w:sz w:val="20"/>
          <w:szCs w:val="20"/>
          <w:color w:val="auto"/>
        </w:rPr>
      </w:pPr>
    </w:p>
    <w:p>
      <w:pPr>
        <w:spacing w:after="0"/>
        <w:rPr>
          <w:sz w:val="20"/>
          <w:szCs w:val="20"/>
          <w:color w:val="auto"/>
        </w:rPr>
      </w:pPr>
      <w:r>
        <w:rPr>
          <w:rFonts w:ascii="Arial" w:cs="Arial" w:eastAsia="Arial" w:hAnsi="Arial"/>
          <w:sz w:val="18"/>
          <w:szCs w:val="18"/>
          <w:color w:val="auto"/>
        </w:rPr>
        <w:t>Dallas, Texas February 19, 2020</w:t>
      </w:r>
    </w:p>
    <w:p>
      <w:pPr>
        <w:sectPr>
          <w:pgSz w:w="11900" w:h="16838" w:orient="portrait"/>
          <w:cols w:equalWidth="0" w:num="1">
            <w:col w:w="11300"/>
          </w:cols>
          <w:pgMar w:left="360" w:top="549" w:right="239" w:bottom="1440" w:gutter="0" w:footer="0" w:header="0"/>
        </w:sectPr>
      </w:pPr>
    </w:p>
    <w:bookmarkStart w:id="221" w:name="page222"/>
    <w:bookmarkEnd w:id="221"/>
    <w:p>
      <w:pPr>
        <w:jc w:val="right"/>
        <w:spacing w:after="0"/>
        <w:rPr>
          <w:sz w:val="20"/>
          <w:szCs w:val="20"/>
          <w:color w:val="auto"/>
        </w:rPr>
      </w:pPr>
      <w:r>
        <w:rPr>
          <w:rFonts w:ascii="Arial" w:cs="Arial" w:eastAsia="Arial" w:hAnsi="Arial"/>
          <w:sz w:val="18"/>
          <w:szCs w:val="18"/>
          <w:b w:val="1"/>
          <w:bCs w:val="1"/>
          <w:color w:val="auto"/>
        </w:rPr>
        <w:t>Exhibit 31.1</w:t>
      </w:r>
    </w:p>
    <w:p>
      <w:pPr>
        <w:spacing w:after="0" w:line="31" w:lineRule="exact"/>
        <w:rPr>
          <w:sz w:val="20"/>
          <w:szCs w:val="20"/>
          <w:color w:val="auto"/>
        </w:rPr>
      </w:pPr>
    </w:p>
    <w:p>
      <w:pPr>
        <w:jc w:val="center"/>
        <w:spacing w:after="0"/>
        <w:rPr>
          <w:sz w:val="20"/>
          <w:szCs w:val="20"/>
          <w:color w:val="auto"/>
        </w:rPr>
      </w:pPr>
      <w:r>
        <w:rPr>
          <w:rFonts w:ascii="Arial" w:cs="Arial" w:eastAsia="Arial" w:hAnsi="Arial"/>
          <w:sz w:val="18"/>
          <w:szCs w:val="18"/>
          <w:b w:val="1"/>
          <w:bCs w:val="1"/>
          <w:u w:val="single" w:color="auto"/>
          <w:color w:val="auto"/>
        </w:rPr>
        <w:t>CEO CERTIFICATION</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I, W. Douglas Parker, certify that:</w:t>
      </w:r>
    </w:p>
    <w:p>
      <w:pPr>
        <w:spacing w:after="0" w:line="225" w:lineRule="exact"/>
        <w:rPr>
          <w:sz w:val="20"/>
          <w:szCs w:val="20"/>
          <w:color w:val="auto"/>
        </w:rPr>
      </w:pPr>
    </w:p>
    <w:p>
      <w:pPr>
        <w:ind w:left="660" w:hanging="328"/>
        <w:spacing w:after="0"/>
        <w:tabs>
          <w:tab w:leader="none" w:pos="660" w:val="left"/>
        </w:tabs>
        <w:numPr>
          <w:ilvl w:val="0"/>
          <w:numId w:val="113"/>
        </w:numPr>
        <w:rPr>
          <w:rFonts w:ascii="Arial" w:cs="Arial" w:eastAsia="Arial" w:hAnsi="Arial"/>
          <w:sz w:val="18"/>
          <w:szCs w:val="18"/>
          <w:color w:val="auto"/>
        </w:rPr>
      </w:pPr>
      <w:r>
        <w:rPr>
          <w:rFonts w:ascii="Arial" w:cs="Arial" w:eastAsia="Arial" w:hAnsi="Arial"/>
          <w:sz w:val="18"/>
          <w:szCs w:val="18"/>
          <w:color w:val="auto"/>
        </w:rPr>
        <w:t>I have reviewed this Annual Report on Form 10-K of American Airlines Group Inc.;</w:t>
      </w:r>
    </w:p>
    <w:p>
      <w:pPr>
        <w:spacing w:after="0" w:line="117" w:lineRule="exact"/>
        <w:rPr>
          <w:rFonts w:ascii="Arial" w:cs="Arial" w:eastAsia="Arial" w:hAnsi="Arial"/>
          <w:sz w:val="18"/>
          <w:szCs w:val="18"/>
          <w:color w:val="auto"/>
        </w:rPr>
      </w:pPr>
    </w:p>
    <w:p>
      <w:pPr>
        <w:jc w:val="both"/>
        <w:ind w:left="660" w:hanging="328"/>
        <w:spacing w:after="0" w:line="256" w:lineRule="auto"/>
        <w:tabs>
          <w:tab w:leader="none" w:pos="660" w:val="left"/>
        </w:tabs>
        <w:numPr>
          <w:ilvl w:val="0"/>
          <w:numId w:val="113"/>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93" w:lineRule="exact"/>
        <w:rPr>
          <w:rFonts w:ascii="Arial" w:cs="Arial" w:eastAsia="Arial" w:hAnsi="Arial"/>
          <w:sz w:val="18"/>
          <w:szCs w:val="18"/>
          <w:color w:val="auto"/>
        </w:rPr>
      </w:pPr>
    </w:p>
    <w:p>
      <w:pPr>
        <w:jc w:val="both"/>
        <w:ind w:left="660" w:hanging="328"/>
        <w:spacing w:after="0" w:line="262" w:lineRule="auto"/>
        <w:tabs>
          <w:tab w:leader="none" w:pos="660" w:val="left"/>
        </w:tabs>
        <w:numPr>
          <w:ilvl w:val="0"/>
          <w:numId w:val="113"/>
        </w:numPr>
        <w:rPr>
          <w:rFonts w:ascii="Arial" w:cs="Arial" w:eastAsia="Arial" w:hAnsi="Arial"/>
          <w:sz w:val="18"/>
          <w:szCs w:val="18"/>
          <w:color w:val="auto"/>
        </w:rPr>
      </w:pPr>
      <w:r>
        <w:rPr>
          <w:rFonts w:ascii="Arial" w:cs="Arial" w:eastAsia="Arial" w:hAnsi="Arial"/>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88" w:lineRule="exact"/>
        <w:rPr>
          <w:rFonts w:ascii="Arial" w:cs="Arial" w:eastAsia="Arial" w:hAnsi="Arial"/>
          <w:sz w:val="18"/>
          <w:szCs w:val="18"/>
          <w:color w:val="auto"/>
        </w:rPr>
      </w:pPr>
    </w:p>
    <w:p>
      <w:pPr>
        <w:jc w:val="both"/>
        <w:ind w:left="660" w:hanging="328"/>
        <w:spacing w:after="0" w:line="256" w:lineRule="auto"/>
        <w:tabs>
          <w:tab w:leader="none" w:pos="660" w:val="left"/>
        </w:tabs>
        <w:numPr>
          <w:ilvl w:val="0"/>
          <w:numId w:val="113"/>
        </w:numPr>
        <w:rPr>
          <w:rFonts w:ascii="Arial" w:cs="Arial" w:eastAsia="Arial" w:hAnsi="Arial"/>
          <w:sz w:val="18"/>
          <w:szCs w:val="18"/>
          <w:color w:val="auto"/>
        </w:rPr>
      </w:pPr>
      <w:r>
        <w:rPr>
          <w:rFonts w:ascii="Arial" w:cs="Arial" w:eastAsia="Arial" w:hAnsi="Arial"/>
          <w:sz w:val="18"/>
          <w:szCs w:val="18"/>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93" w:lineRule="exact"/>
        <w:rPr>
          <w:rFonts w:ascii="Arial" w:cs="Arial" w:eastAsia="Arial" w:hAnsi="Arial"/>
          <w:sz w:val="18"/>
          <w:szCs w:val="18"/>
          <w:color w:val="auto"/>
        </w:rPr>
      </w:pPr>
    </w:p>
    <w:p>
      <w:pPr>
        <w:jc w:val="both"/>
        <w:ind w:left="1300" w:hanging="320"/>
        <w:spacing w:after="0" w:line="256" w:lineRule="auto"/>
        <w:tabs>
          <w:tab w:leader="none" w:pos="1300" w:val="left"/>
        </w:tabs>
        <w:numPr>
          <w:ilvl w:val="1"/>
          <w:numId w:val="113"/>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93" w:lineRule="exact"/>
        <w:rPr>
          <w:rFonts w:ascii="Arial" w:cs="Arial" w:eastAsia="Arial" w:hAnsi="Arial"/>
          <w:sz w:val="18"/>
          <w:szCs w:val="18"/>
          <w:color w:val="auto"/>
        </w:rPr>
      </w:pPr>
    </w:p>
    <w:p>
      <w:pPr>
        <w:jc w:val="both"/>
        <w:ind w:left="1300" w:hanging="320"/>
        <w:spacing w:after="0" w:line="256" w:lineRule="auto"/>
        <w:tabs>
          <w:tab w:leader="none" w:pos="1300" w:val="left"/>
        </w:tabs>
        <w:numPr>
          <w:ilvl w:val="1"/>
          <w:numId w:val="113"/>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93" w:lineRule="exact"/>
        <w:rPr>
          <w:rFonts w:ascii="Arial" w:cs="Arial" w:eastAsia="Arial" w:hAnsi="Arial"/>
          <w:sz w:val="18"/>
          <w:szCs w:val="18"/>
          <w:color w:val="auto"/>
        </w:rPr>
      </w:pPr>
    </w:p>
    <w:p>
      <w:pPr>
        <w:jc w:val="both"/>
        <w:ind w:left="1300" w:hanging="320"/>
        <w:spacing w:after="0" w:line="256" w:lineRule="auto"/>
        <w:tabs>
          <w:tab w:leader="none" w:pos="1300" w:val="left"/>
        </w:tabs>
        <w:numPr>
          <w:ilvl w:val="1"/>
          <w:numId w:val="113"/>
        </w:numPr>
        <w:rPr>
          <w:rFonts w:ascii="Arial" w:cs="Arial" w:eastAsia="Arial" w:hAnsi="Arial"/>
          <w:sz w:val="18"/>
          <w:szCs w:val="18"/>
          <w:color w:val="auto"/>
        </w:rPr>
      </w:pPr>
      <w:r>
        <w:rPr>
          <w:rFonts w:ascii="Arial" w:cs="Arial" w:eastAsia="Arial" w:hAnsi="Arial"/>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93" w:lineRule="exact"/>
        <w:rPr>
          <w:rFonts w:ascii="Arial" w:cs="Arial" w:eastAsia="Arial" w:hAnsi="Arial"/>
          <w:sz w:val="18"/>
          <w:szCs w:val="18"/>
          <w:color w:val="auto"/>
        </w:rPr>
      </w:pPr>
    </w:p>
    <w:p>
      <w:pPr>
        <w:jc w:val="both"/>
        <w:ind w:left="1300" w:hanging="320"/>
        <w:spacing w:after="0" w:line="256" w:lineRule="auto"/>
        <w:tabs>
          <w:tab w:leader="none" w:pos="1300" w:val="left"/>
        </w:tabs>
        <w:numPr>
          <w:ilvl w:val="1"/>
          <w:numId w:val="113"/>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93" w:lineRule="exact"/>
        <w:rPr>
          <w:rFonts w:ascii="Arial" w:cs="Arial" w:eastAsia="Arial" w:hAnsi="Arial"/>
          <w:sz w:val="18"/>
          <w:szCs w:val="18"/>
          <w:color w:val="auto"/>
        </w:rPr>
      </w:pPr>
    </w:p>
    <w:p>
      <w:pPr>
        <w:jc w:val="both"/>
        <w:ind w:left="660" w:hanging="328"/>
        <w:spacing w:after="0" w:line="256" w:lineRule="auto"/>
        <w:tabs>
          <w:tab w:leader="none" w:pos="660" w:val="left"/>
        </w:tabs>
        <w:numPr>
          <w:ilvl w:val="0"/>
          <w:numId w:val="113"/>
        </w:numPr>
        <w:rPr>
          <w:rFonts w:ascii="Arial" w:cs="Arial" w:eastAsia="Arial" w:hAnsi="Arial"/>
          <w:sz w:val="18"/>
          <w:szCs w:val="18"/>
          <w:color w:val="auto"/>
        </w:rPr>
      </w:pPr>
      <w:r>
        <w:rPr>
          <w:rFonts w:ascii="Arial" w:cs="Arial" w:eastAsia="Arial" w:hAnsi="Arial"/>
          <w:sz w:val="18"/>
          <w:szCs w:val="18"/>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93" w:lineRule="exact"/>
        <w:rPr>
          <w:rFonts w:ascii="Arial" w:cs="Arial" w:eastAsia="Arial" w:hAnsi="Arial"/>
          <w:sz w:val="18"/>
          <w:szCs w:val="18"/>
          <w:color w:val="auto"/>
        </w:rPr>
      </w:pPr>
    </w:p>
    <w:p>
      <w:pPr>
        <w:jc w:val="both"/>
        <w:ind w:left="1300" w:hanging="320"/>
        <w:spacing w:after="0" w:line="256" w:lineRule="auto"/>
        <w:tabs>
          <w:tab w:leader="none" w:pos="1300" w:val="left"/>
        </w:tabs>
        <w:numPr>
          <w:ilvl w:val="1"/>
          <w:numId w:val="113"/>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93" w:lineRule="exact"/>
        <w:rPr>
          <w:rFonts w:ascii="Arial" w:cs="Arial" w:eastAsia="Arial" w:hAnsi="Arial"/>
          <w:sz w:val="18"/>
          <w:szCs w:val="18"/>
          <w:color w:val="auto"/>
        </w:rPr>
      </w:pPr>
    </w:p>
    <w:p>
      <w:pPr>
        <w:ind w:left="1300" w:hanging="320"/>
        <w:spacing w:after="0" w:line="262" w:lineRule="auto"/>
        <w:tabs>
          <w:tab w:leader="none" w:pos="1300" w:val="left"/>
        </w:tabs>
        <w:numPr>
          <w:ilvl w:val="1"/>
          <w:numId w:val="113"/>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304" w:lineRule="exact"/>
        <w:rPr>
          <w:sz w:val="20"/>
          <w:szCs w:val="20"/>
          <w:color w:val="auto"/>
        </w:rPr>
      </w:pPr>
    </w:p>
    <w:p>
      <w:pPr>
        <w:spacing w:after="0"/>
        <w:rPr>
          <w:sz w:val="20"/>
          <w:szCs w:val="20"/>
          <w:color w:val="auto"/>
        </w:rPr>
      </w:pPr>
      <w:r>
        <w:rPr>
          <w:rFonts w:ascii="Arial" w:cs="Arial" w:eastAsia="Arial" w:hAnsi="Arial"/>
          <w:sz w:val="18"/>
          <w:szCs w:val="18"/>
          <w:color w:val="auto"/>
        </w:rPr>
        <w:t>Date: February 19, 2020</w:t>
      </w:r>
    </w:p>
    <w:p>
      <w:pPr>
        <w:spacing w:after="0" w:line="185" w:lineRule="exact"/>
        <w:rPr>
          <w:sz w:val="20"/>
          <w:szCs w:val="20"/>
          <w:color w:val="auto"/>
        </w:rPr>
      </w:pPr>
    </w:p>
    <w:p>
      <w:pPr>
        <w:ind w:left="6740"/>
        <w:spacing w:after="0"/>
        <w:rPr>
          <w:sz w:val="20"/>
          <w:szCs w:val="20"/>
          <w:color w:val="auto"/>
        </w:rPr>
      </w:pPr>
      <w:r>
        <w:rPr>
          <w:rFonts w:ascii="Arial" w:cs="Arial" w:eastAsia="Arial" w:hAnsi="Arial"/>
          <w:sz w:val="18"/>
          <w:szCs w:val="18"/>
          <w:color w:val="auto"/>
        </w:rPr>
        <w:t>/s/ W. Douglas Parker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4267200</wp:posOffset>
            </wp:positionH>
            <wp:positionV relativeFrom="paragraph">
              <wp:posOffset>14605</wp:posOffset>
            </wp:positionV>
            <wp:extent cx="2289810" cy="8890"/>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334">
                      <a:extLst>
                        <a:ext uri="{28A0092B-C50C-407E-A947-70E740481C1C}"/>
                      </a:extLst>
                    </a:blip>
                    <a:srcRect/>
                    <a:stretch>
                      <a:fillRect/>
                    </a:stretch>
                  </pic:blipFill>
                  <pic:spPr bwMode="auto">
                    <a:xfrm>
                      <a:off x="0" y="0"/>
                      <a:ext cx="2289810" cy="8890"/>
                    </a:xfrm>
                    <a:prstGeom prst="rect">
                      <a:avLst/>
                    </a:prstGeom>
                    <a:noFill/>
                  </pic:spPr>
                </pic:pic>
              </a:graphicData>
            </a:graphic>
          </wp:anchor>
        </w:drawing>
      </w:r>
    </w:p>
    <w:p>
      <w:pPr>
        <w:spacing w:after="0" w:line="43" w:lineRule="exact"/>
        <w:rPr>
          <w:sz w:val="20"/>
          <w:szCs w:val="20"/>
          <w:color w:val="auto"/>
        </w:rPr>
      </w:pPr>
    </w:p>
    <w:p>
      <w:pPr>
        <w:ind w:left="6740"/>
        <w:spacing w:after="0"/>
        <w:rPr>
          <w:sz w:val="20"/>
          <w:szCs w:val="20"/>
          <w:color w:val="auto"/>
        </w:rPr>
      </w:pPr>
      <w:r>
        <w:rPr>
          <w:rFonts w:ascii="Arial" w:cs="Arial" w:eastAsia="Arial" w:hAnsi="Arial"/>
          <w:sz w:val="18"/>
          <w:szCs w:val="18"/>
          <w:color w:val="auto"/>
        </w:rPr>
        <w:t>Name: W. Douglas Parker</w:t>
      </w:r>
    </w:p>
    <w:p>
      <w:pPr>
        <w:spacing w:after="0" w:line="63" w:lineRule="exact"/>
        <w:rPr>
          <w:sz w:val="20"/>
          <w:szCs w:val="20"/>
          <w:color w:val="auto"/>
        </w:rPr>
      </w:pPr>
    </w:p>
    <w:p>
      <w:pPr>
        <w:ind w:left="6740"/>
        <w:spacing w:after="0"/>
        <w:tabs>
          <w:tab w:leader="none" w:pos="7360" w:val="left"/>
        </w:tabs>
        <w:rPr>
          <w:sz w:val="20"/>
          <w:szCs w:val="20"/>
          <w:color w:val="auto"/>
        </w:rPr>
      </w:pPr>
      <w:r>
        <w:rPr>
          <w:rFonts w:ascii="Arial" w:cs="Arial" w:eastAsia="Arial" w:hAnsi="Arial"/>
          <w:sz w:val="18"/>
          <w:szCs w:val="18"/>
          <w:color w:val="auto"/>
        </w:rPr>
        <w:t>Title:</w:t>
        <w:tab/>
        <w:t>Chief Executive Officer</w:t>
      </w:r>
    </w:p>
    <w:p>
      <w:pPr>
        <w:sectPr>
          <w:pgSz w:w="11900" w:h="16838" w:orient="portrait"/>
          <w:cols w:equalWidth="0" w:num="1">
            <w:col w:w="11420"/>
          </w:cols>
          <w:pgMar w:left="240" w:top="549" w:right="239" w:bottom="1440" w:gutter="0" w:footer="0" w:header="0"/>
        </w:sectPr>
      </w:pPr>
    </w:p>
    <w:bookmarkStart w:id="222" w:name="page223"/>
    <w:bookmarkEnd w:id="222"/>
    <w:p>
      <w:pPr>
        <w:jc w:val="right"/>
        <w:spacing w:after="0"/>
        <w:rPr>
          <w:sz w:val="20"/>
          <w:szCs w:val="20"/>
          <w:color w:val="auto"/>
        </w:rPr>
      </w:pPr>
      <w:r>
        <w:rPr>
          <w:rFonts w:ascii="Arial" w:cs="Arial" w:eastAsia="Arial" w:hAnsi="Arial"/>
          <w:sz w:val="18"/>
          <w:szCs w:val="18"/>
          <w:b w:val="1"/>
          <w:bCs w:val="1"/>
          <w:color w:val="auto"/>
        </w:rPr>
        <w:t>Exhibit 31.2</w:t>
      </w:r>
    </w:p>
    <w:p>
      <w:pPr>
        <w:spacing w:after="0" w:line="31" w:lineRule="exact"/>
        <w:rPr>
          <w:sz w:val="20"/>
          <w:szCs w:val="20"/>
          <w:color w:val="auto"/>
        </w:rPr>
      </w:pPr>
    </w:p>
    <w:p>
      <w:pPr>
        <w:jc w:val="center"/>
        <w:spacing w:after="0"/>
        <w:rPr>
          <w:sz w:val="20"/>
          <w:szCs w:val="20"/>
          <w:color w:val="auto"/>
        </w:rPr>
      </w:pPr>
      <w:r>
        <w:rPr>
          <w:rFonts w:ascii="Arial" w:cs="Arial" w:eastAsia="Arial" w:hAnsi="Arial"/>
          <w:sz w:val="18"/>
          <w:szCs w:val="18"/>
          <w:b w:val="1"/>
          <w:bCs w:val="1"/>
          <w:u w:val="single" w:color="auto"/>
          <w:color w:val="auto"/>
        </w:rPr>
        <w:t>CFO CERTIFICATION</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I, Derek J. Kerr, certify that:</w:t>
      </w:r>
    </w:p>
    <w:p>
      <w:pPr>
        <w:spacing w:after="0" w:line="225" w:lineRule="exact"/>
        <w:rPr>
          <w:sz w:val="20"/>
          <w:szCs w:val="20"/>
          <w:color w:val="auto"/>
        </w:rPr>
      </w:pPr>
    </w:p>
    <w:p>
      <w:pPr>
        <w:ind w:left="660" w:hanging="328"/>
        <w:spacing w:after="0"/>
        <w:tabs>
          <w:tab w:leader="none" w:pos="660" w:val="left"/>
        </w:tabs>
        <w:numPr>
          <w:ilvl w:val="0"/>
          <w:numId w:val="114"/>
        </w:numPr>
        <w:rPr>
          <w:rFonts w:ascii="Arial" w:cs="Arial" w:eastAsia="Arial" w:hAnsi="Arial"/>
          <w:sz w:val="18"/>
          <w:szCs w:val="18"/>
          <w:color w:val="auto"/>
        </w:rPr>
      </w:pPr>
      <w:r>
        <w:rPr>
          <w:rFonts w:ascii="Arial" w:cs="Arial" w:eastAsia="Arial" w:hAnsi="Arial"/>
          <w:sz w:val="18"/>
          <w:szCs w:val="18"/>
          <w:color w:val="auto"/>
        </w:rPr>
        <w:t>I have reviewed this Annual Report on Form 10-K of American Airlines Group Inc.;</w:t>
      </w:r>
    </w:p>
    <w:p>
      <w:pPr>
        <w:spacing w:after="0" w:line="117" w:lineRule="exact"/>
        <w:rPr>
          <w:rFonts w:ascii="Arial" w:cs="Arial" w:eastAsia="Arial" w:hAnsi="Arial"/>
          <w:sz w:val="18"/>
          <w:szCs w:val="18"/>
          <w:color w:val="auto"/>
        </w:rPr>
      </w:pPr>
    </w:p>
    <w:p>
      <w:pPr>
        <w:jc w:val="both"/>
        <w:ind w:left="660" w:hanging="328"/>
        <w:spacing w:after="0" w:line="256" w:lineRule="auto"/>
        <w:tabs>
          <w:tab w:leader="none" w:pos="660" w:val="left"/>
        </w:tabs>
        <w:numPr>
          <w:ilvl w:val="0"/>
          <w:numId w:val="114"/>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93" w:lineRule="exact"/>
        <w:rPr>
          <w:rFonts w:ascii="Arial" w:cs="Arial" w:eastAsia="Arial" w:hAnsi="Arial"/>
          <w:sz w:val="18"/>
          <w:szCs w:val="18"/>
          <w:color w:val="auto"/>
        </w:rPr>
      </w:pPr>
    </w:p>
    <w:p>
      <w:pPr>
        <w:jc w:val="both"/>
        <w:ind w:left="660" w:hanging="328"/>
        <w:spacing w:after="0" w:line="262" w:lineRule="auto"/>
        <w:tabs>
          <w:tab w:leader="none" w:pos="660" w:val="left"/>
        </w:tabs>
        <w:numPr>
          <w:ilvl w:val="0"/>
          <w:numId w:val="114"/>
        </w:numPr>
        <w:rPr>
          <w:rFonts w:ascii="Arial" w:cs="Arial" w:eastAsia="Arial" w:hAnsi="Arial"/>
          <w:sz w:val="18"/>
          <w:szCs w:val="18"/>
          <w:color w:val="auto"/>
        </w:rPr>
      </w:pPr>
      <w:r>
        <w:rPr>
          <w:rFonts w:ascii="Arial" w:cs="Arial" w:eastAsia="Arial" w:hAnsi="Arial"/>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88" w:lineRule="exact"/>
        <w:rPr>
          <w:rFonts w:ascii="Arial" w:cs="Arial" w:eastAsia="Arial" w:hAnsi="Arial"/>
          <w:sz w:val="18"/>
          <w:szCs w:val="18"/>
          <w:color w:val="auto"/>
        </w:rPr>
      </w:pPr>
    </w:p>
    <w:p>
      <w:pPr>
        <w:jc w:val="both"/>
        <w:ind w:left="660" w:hanging="328"/>
        <w:spacing w:after="0" w:line="256" w:lineRule="auto"/>
        <w:tabs>
          <w:tab w:leader="none" w:pos="660" w:val="left"/>
        </w:tabs>
        <w:numPr>
          <w:ilvl w:val="0"/>
          <w:numId w:val="114"/>
        </w:numPr>
        <w:rPr>
          <w:rFonts w:ascii="Arial" w:cs="Arial" w:eastAsia="Arial" w:hAnsi="Arial"/>
          <w:sz w:val="18"/>
          <w:szCs w:val="18"/>
          <w:color w:val="auto"/>
        </w:rPr>
      </w:pPr>
      <w:r>
        <w:rPr>
          <w:rFonts w:ascii="Arial" w:cs="Arial" w:eastAsia="Arial" w:hAnsi="Arial"/>
          <w:sz w:val="18"/>
          <w:szCs w:val="18"/>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93" w:lineRule="exact"/>
        <w:rPr>
          <w:rFonts w:ascii="Arial" w:cs="Arial" w:eastAsia="Arial" w:hAnsi="Arial"/>
          <w:sz w:val="18"/>
          <w:szCs w:val="18"/>
          <w:color w:val="auto"/>
        </w:rPr>
      </w:pPr>
    </w:p>
    <w:p>
      <w:pPr>
        <w:jc w:val="both"/>
        <w:ind w:left="1300" w:hanging="320"/>
        <w:spacing w:after="0" w:line="256" w:lineRule="auto"/>
        <w:tabs>
          <w:tab w:leader="none" w:pos="1300" w:val="left"/>
        </w:tabs>
        <w:numPr>
          <w:ilvl w:val="1"/>
          <w:numId w:val="114"/>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93" w:lineRule="exact"/>
        <w:rPr>
          <w:rFonts w:ascii="Arial" w:cs="Arial" w:eastAsia="Arial" w:hAnsi="Arial"/>
          <w:sz w:val="18"/>
          <w:szCs w:val="18"/>
          <w:color w:val="auto"/>
        </w:rPr>
      </w:pPr>
    </w:p>
    <w:p>
      <w:pPr>
        <w:jc w:val="both"/>
        <w:ind w:left="1300" w:hanging="320"/>
        <w:spacing w:after="0" w:line="256" w:lineRule="auto"/>
        <w:tabs>
          <w:tab w:leader="none" w:pos="1300" w:val="left"/>
        </w:tabs>
        <w:numPr>
          <w:ilvl w:val="1"/>
          <w:numId w:val="114"/>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93" w:lineRule="exact"/>
        <w:rPr>
          <w:rFonts w:ascii="Arial" w:cs="Arial" w:eastAsia="Arial" w:hAnsi="Arial"/>
          <w:sz w:val="18"/>
          <w:szCs w:val="18"/>
          <w:color w:val="auto"/>
        </w:rPr>
      </w:pPr>
    </w:p>
    <w:p>
      <w:pPr>
        <w:jc w:val="both"/>
        <w:ind w:left="1300" w:hanging="320"/>
        <w:spacing w:after="0" w:line="256" w:lineRule="auto"/>
        <w:tabs>
          <w:tab w:leader="none" w:pos="1300" w:val="left"/>
        </w:tabs>
        <w:numPr>
          <w:ilvl w:val="1"/>
          <w:numId w:val="114"/>
        </w:numPr>
        <w:rPr>
          <w:rFonts w:ascii="Arial" w:cs="Arial" w:eastAsia="Arial" w:hAnsi="Arial"/>
          <w:sz w:val="18"/>
          <w:szCs w:val="18"/>
          <w:color w:val="auto"/>
        </w:rPr>
      </w:pPr>
      <w:r>
        <w:rPr>
          <w:rFonts w:ascii="Arial" w:cs="Arial" w:eastAsia="Arial" w:hAnsi="Arial"/>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93" w:lineRule="exact"/>
        <w:rPr>
          <w:rFonts w:ascii="Arial" w:cs="Arial" w:eastAsia="Arial" w:hAnsi="Arial"/>
          <w:sz w:val="18"/>
          <w:szCs w:val="18"/>
          <w:color w:val="auto"/>
        </w:rPr>
      </w:pPr>
    </w:p>
    <w:p>
      <w:pPr>
        <w:jc w:val="both"/>
        <w:ind w:left="1300" w:hanging="320"/>
        <w:spacing w:after="0" w:line="256" w:lineRule="auto"/>
        <w:tabs>
          <w:tab w:leader="none" w:pos="1300" w:val="left"/>
        </w:tabs>
        <w:numPr>
          <w:ilvl w:val="1"/>
          <w:numId w:val="114"/>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93" w:lineRule="exact"/>
        <w:rPr>
          <w:rFonts w:ascii="Arial" w:cs="Arial" w:eastAsia="Arial" w:hAnsi="Arial"/>
          <w:sz w:val="18"/>
          <w:szCs w:val="18"/>
          <w:color w:val="auto"/>
        </w:rPr>
      </w:pPr>
    </w:p>
    <w:p>
      <w:pPr>
        <w:jc w:val="both"/>
        <w:ind w:left="660" w:hanging="328"/>
        <w:spacing w:after="0" w:line="256" w:lineRule="auto"/>
        <w:tabs>
          <w:tab w:leader="none" w:pos="660" w:val="left"/>
        </w:tabs>
        <w:numPr>
          <w:ilvl w:val="0"/>
          <w:numId w:val="114"/>
        </w:numPr>
        <w:rPr>
          <w:rFonts w:ascii="Arial" w:cs="Arial" w:eastAsia="Arial" w:hAnsi="Arial"/>
          <w:sz w:val="18"/>
          <w:szCs w:val="18"/>
          <w:color w:val="auto"/>
        </w:rPr>
      </w:pPr>
      <w:r>
        <w:rPr>
          <w:rFonts w:ascii="Arial" w:cs="Arial" w:eastAsia="Arial" w:hAnsi="Arial"/>
          <w:sz w:val="18"/>
          <w:szCs w:val="18"/>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93" w:lineRule="exact"/>
        <w:rPr>
          <w:rFonts w:ascii="Arial" w:cs="Arial" w:eastAsia="Arial" w:hAnsi="Arial"/>
          <w:sz w:val="18"/>
          <w:szCs w:val="18"/>
          <w:color w:val="auto"/>
        </w:rPr>
      </w:pPr>
    </w:p>
    <w:p>
      <w:pPr>
        <w:jc w:val="both"/>
        <w:ind w:left="1300" w:hanging="320"/>
        <w:spacing w:after="0" w:line="256" w:lineRule="auto"/>
        <w:tabs>
          <w:tab w:leader="none" w:pos="1300" w:val="left"/>
        </w:tabs>
        <w:numPr>
          <w:ilvl w:val="1"/>
          <w:numId w:val="114"/>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93" w:lineRule="exact"/>
        <w:rPr>
          <w:rFonts w:ascii="Arial" w:cs="Arial" w:eastAsia="Arial" w:hAnsi="Arial"/>
          <w:sz w:val="18"/>
          <w:szCs w:val="18"/>
          <w:color w:val="auto"/>
        </w:rPr>
      </w:pPr>
    </w:p>
    <w:p>
      <w:pPr>
        <w:ind w:left="1300" w:hanging="320"/>
        <w:spacing w:after="0" w:line="262" w:lineRule="auto"/>
        <w:tabs>
          <w:tab w:leader="none" w:pos="1300" w:val="left"/>
        </w:tabs>
        <w:numPr>
          <w:ilvl w:val="1"/>
          <w:numId w:val="114"/>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304" w:lineRule="exact"/>
        <w:rPr>
          <w:sz w:val="20"/>
          <w:szCs w:val="20"/>
          <w:color w:val="auto"/>
        </w:rPr>
      </w:pPr>
    </w:p>
    <w:p>
      <w:pPr>
        <w:spacing w:after="0"/>
        <w:rPr>
          <w:sz w:val="20"/>
          <w:szCs w:val="20"/>
          <w:color w:val="auto"/>
        </w:rPr>
      </w:pPr>
      <w:r>
        <w:rPr>
          <w:rFonts w:ascii="Arial" w:cs="Arial" w:eastAsia="Arial" w:hAnsi="Arial"/>
          <w:sz w:val="18"/>
          <w:szCs w:val="18"/>
          <w:color w:val="auto"/>
        </w:rPr>
        <w:t>Date: February 19, 2020</w:t>
      </w:r>
    </w:p>
    <w:p>
      <w:pPr>
        <w:spacing w:after="0" w:line="185" w:lineRule="exact"/>
        <w:rPr>
          <w:sz w:val="20"/>
          <w:szCs w:val="20"/>
          <w:color w:val="auto"/>
        </w:rPr>
      </w:pPr>
    </w:p>
    <w:p>
      <w:pPr>
        <w:ind w:left="6740"/>
        <w:spacing w:after="0"/>
        <w:rPr>
          <w:sz w:val="20"/>
          <w:szCs w:val="20"/>
          <w:color w:val="auto"/>
        </w:rPr>
      </w:pPr>
      <w:r>
        <w:rPr>
          <w:rFonts w:ascii="Arial" w:cs="Arial" w:eastAsia="Arial" w:hAnsi="Arial"/>
          <w:sz w:val="18"/>
          <w:szCs w:val="18"/>
          <w:color w:val="auto"/>
        </w:rPr>
        <w:t>/s/ Derek J. Kerr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4267200</wp:posOffset>
            </wp:positionH>
            <wp:positionV relativeFrom="paragraph">
              <wp:posOffset>14605</wp:posOffset>
            </wp:positionV>
            <wp:extent cx="2289810" cy="8890"/>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335">
                      <a:extLst>
                        <a:ext uri="{28A0092B-C50C-407E-A947-70E740481C1C}"/>
                      </a:extLst>
                    </a:blip>
                    <a:srcRect/>
                    <a:stretch>
                      <a:fillRect/>
                    </a:stretch>
                  </pic:blipFill>
                  <pic:spPr bwMode="auto">
                    <a:xfrm>
                      <a:off x="0" y="0"/>
                      <a:ext cx="2289810" cy="8890"/>
                    </a:xfrm>
                    <a:prstGeom prst="rect">
                      <a:avLst/>
                    </a:prstGeom>
                    <a:noFill/>
                  </pic:spPr>
                </pic:pic>
              </a:graphicData>
            </a:graphic>
          </wp:anchor>
        </w:drawing>
      </w:r>
    </w:p>
    <w:p>
      <w:pPr>
        <w:spacing w:after="0" w:line="43" w:lineRule="exact"/>
        <w:rPr>
          <w:sz w:val="20"/>
          <w:szCs w:val="20"/>
          <w:color w:val="auto"/>
        </w:rPr>
      </w:pPr>
    </w:p>
    <w:p>
      <w:pPr>
        <w:ind w:left="6740"/>
        <w:spacing w:after="0"/>
        <w:rPr>
          <w:sz w:val="20"/>
          <w:szCs w:val="20"/>
          <w:color w:val="auto"/>
        </w:rPr>
      </w:pPr>
      <w:r>
        <w:rPr>
          <w:rFonts w:ascii="Arial" w:cs="Arial" w:eastAsia="Arial" w:hAnsi="Arial"/>
          <w:sz w:val="18"/>
          <w:szCs w:val="18"/>
          <w:color w:val="auto"/>
        </w:rPr>
        <w:t>Name: Derek J. Kerr</w:t>
      </w:r>
    </w:p>
    <w:p>
      <w:pPr>
        <w:spacing w:after="0" w:line="63" w:lineRule="exact"/>
        <w:rPr>
          <w:sz w:val="20"/>
          <w:szCs w:val="20"/>
          <w:color w:val="auto"/>
        </w:rPr>
      </w:pPr>
    </w:p>
    <w:p>
      <w:pPr>
        <w:ind w:left="6740"/>
        <w:spacing w:after="0"/>
        <w:rPr>
          <w:sz w:val="20"/>
          <w:szCs w:val="20"/>
          <w:color w:val="auto"/>
        </w:rPr>
      </w:pPr>
      <w:r>
        <w:rPr>
          <w:rFonts w:ascii="Arial" w:cs="Arial" w:eastAsia="Arial" w:hAnsi="Arial"/>
          <w:sz w:val="18"/>
          <w:szCs w:val="18"/>
          <w:color w:val="auto"/>
        </w:rPr>
        <w:t>Title: Executive Vice President and</w:t>
      </w:r>
    </w:p>
    <w:p>
      <w:pPr>
        <w:spacing w:after="0" w:line="63" w:lineRule="exact"/>
        <w:rPr>
          <w:sz w:val="20"/>
          <w:szCs w:val="20"/>
          <w:color w:val="auto"/>
        </w:rPr>
      </w:pPr>
    </w:p>
    <w:p>
      <w:pPr>
        <w:ind w:left="6740"/>
        <w:spacing w:after="0"/>
        <w:rPr>
          <w:sz w:val="20"/>
          <w:szCs w:val="20"/>
          <w:color w:val="auto"/>
        </w:rPr>
      </w:pPr>
      <w:r>
        <w:rPr>
          <w:rFonts w:ascii="Arial" w:cs="Arial" w:eastAsia="Arial" w:hAnsi="Arial"/>
          <w:sz w:val="18"/>
          <w:szCs w:val="18"/>
          <w:color w:val="auto"/>
        </w:rPr>
        <w:t>Chief Financial Officer</w:t>
      </w:r>
    </w:p>
    <w:p>
      <w:pPr>
        <w:sectPr>
          <w:pgSz w:w="11900" w:h="16838" w:orient="portrait"/>
          <w:cols w:equalWidth="0" w:num="1">
            <w:col w:w="11420"/>
          </w:cols>
          <w:pgMar w:left="240" w:top="549" w:right="239" w:bottom="1440" w:gutter="0" w:footer="0" w:header="0"/>
        </w:sectPr>
      </w:pPr>
    </w:p>
    <w:bookmarkStart w:id="223" w:name="page224"/>
    <w:bookmarkEnd w:id="223"/>
    <w:p>
      <w:pPr>
        <w:jc w:val="right"/>
        <w:spacing w:after="0"/>
        <w:rPr>
          <w:sz w:val="20"/>
          <w:szCs w:val="20"/>
          <w:color w:val="auto"/>
        </w:rPr>
      </w:pPr>
      <w:r>
        <w:rPr>
          <w:rFonts w:ascii="Arial" w:cs="Arial" w:eastAsia="Arial" w:hAnsi="Arial"/>
          <w:sz w:val="18"/>
          <w:szCs w:val="18"/>
          <w:b w:val="1"/>
          <w:bCs w:val="1"/>
          <w:color w:val="auto"/>
        </w:rPr>
        <w:t>Exhibit 31.3</w:t>
      </w:r>
    </w:p>
    <w:p>
      <w:pPr>
        <w:spacing w:after="0" w:line="31" w:lineRule="exact"/>
        <w:rPr>
          <w:sz w:val="20"/>
          <w:szCs w:val="20"/>
          <w:color w:val="auto"/>
        </w:rPr>
      </w:pPr>
    </w:p>
    <w:p>
      <w:pPr>
        <w:jc w:val="center"/>
        <w:spacing w:after="0"/>
        <w:rPr>
          <w:sz w:val="20"/>
          <w:szCs w:val="20"/>
          <w:color w:val="auto"/>
        </w:rPr>
      </w:pPr>
      <w:r>
        <w:rPr>
          <w:rFonts w:ascii="Arial" w:cs="Arial" w:eastAsia="Arial" w:hAnsi="Arial"/>
          <w:sz w:val="18"/>
          <w:szCs w:val="18"/>
          <w:b w:val="1"/>
          <w:bCs w:val="1"/>
          <w:u w:val="single" w:color="auto"/>
          <w:color w:val="auto"/>
        </w:rPr>
        <w:t>CEO CERTIFICATION</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I, W. Douglas Parker, certify that:</w:t>
      </w:r>
    </w:p>
    <w:p>
      <w:pPr>
        <w:spacing w:after="0" w:line="225" w:lineRule="exact"/>
        <w:rPr>
          <w:sz w:val="20"/>
          <w:szCs w:val="20"/>
          <w:color w:val="auto"/>
        </w:rPr>
      </w:pPr>
    </w:p>
    <w:p>
      <w:pPr>
        <w:ind w:left="660" w:hanging="328"/>
        <w:spacing w:after="0"/>
        <w:tabs>
          <w:tab w:leader="none" w:pos="660" w:val="left"/>
        </w:tabs>
        <w:numPr>
          <w:ilvl w:val="0"/>
          <w:numId w:val="115"/>
        </w:numPr>
        <w:rPr>
          <w:rFonts w:ascii="Arial" w:cs="Arial" w:eastAsia="Arial" w:hAnsi="Arial"/>
          <w:sz w:val="18"/>
          <w:szCs w:val="18"/>
          <w:color w:val="auto"/>
        </w:rPr>
      </w:pPr>
      <w:r>
        <w:rPr>
          <w:rFonts w:ascii="Arial" w:cs="Arial" w:eastAsia="Arial" w:hAnsi="Arial"/>
          <w:sz w:val="18"/>
          <w:szCs w:val="18"/>
          <w:color w:val="auto"/>
        </w:rPr>
        <w:t>I have reviewed this Annual Report on Form 10-K of American Airlines, Inc.;</w:t>
      </w:r>
    </w:p>
    <w:p>
      <w:pPr>
        <w:spacing w:after="0" w:line="117" w:lineRule="exact"/>
        <w:rPr>
          <w:rFonts w:ascii="Arial" w:cs="Arial" w:eastAsia="Arial" w:hAnsi="Arial"/>
          <w:sz w:val="18"/>
          <w:szCs w:val="18"/>
          <w:color w:val="auto"/>
        </w:rPr>
      </w:pPr>
    </w:p>
    <w:p>
      <w:pPr>
        <w:jc w:val="both"/>
        <w:ind w:left="660" w:hanging="328"/>
        <w:spacing w:after="0" w:line="256" w:lineRule="auto"/>
        <w:tabs>
          <w:tab w:leader="none" w:pos="660" w:val="left"/>
        </w:tabs>
        <w:numPr>
          <w:ilvl w:val="0"/>
          <w:numId w:val="115"/>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93" w:lineRule="exact"/>
        <w:rPr>
          <w:rFonts w:ascii="Arial" w:cs="Arial" w:eastAsia="Arial" w:hAnsi="Arial"/>
          <w:sz w:val="18"/>
          <w:szCs w:val="18"/>
          <w:color w:val="auto"/>
        </w:rPr>
      </w:pPr>
    </w:p>
    <w:p>
      <w:pPr>
        <w:jc w:val="both"/>
        <w:ind w:left="660" w:hanging="328"/>
        <w:spacing w:after="0" w:line="262" w:lineRule="auto"/>
        <w:tabs>
          <w:tab w:leader="none" w:pos="660" w:val="left"/>
        </w:tabs>
        <w:numPr>
          <w:ilvl w:val="0"/>
          <w:numId w:val="115"/>
        </w:numPr>
        <w:rPr>
          <w:rFonts w:ascii="Arial" w:cs="Arial" w:eastAsia="Arial" w:hAnsi="Arial"/>
          <w:sz w:val="18"/>
          <w:szCs w:val="18"/>
          <w:color w:val="auto"/>
        </w:rPr>
      </w:pPr>
      <w:r>
        <w:rPr>
          <w:rFonts w:ascii="Arial" w:cs="Arial" w:eastAsia="Arial" w:hAnsi="Arial"/>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88" w:lineRule="exact"/>
        <w:rPr>
          <w:rFonts w:ascii="Arial" w:cs="Arial" w:eastAsia="Arial" w:hAnsi="Arial"/>
          <w:sz w:val="18"/>
          <w:szCs w:val="18"/>
          <w:color w:val="auto"/>
        </w:rPr>
      </w:pPr>
    </w:p>
    <w:p>
      <w:pPr>
        <w:jc w:val="both"/>
        <w:ind w:left="660" w:hanging="328"/>
        <w:spacing w:after="0" w:line="256" w:lineRule="auto"/>
        <w:tabs>
          <w:tab w:leader="none" w:pos="660" w:val="left"/>
        </w:tabs>
        <w:numPr>
          <w:ilvl w:val="0"/>
          <w:numId w:val="115"/>
        </w:numPr>
        <w:rPr>
          <w:rFonts w:ascii="Arial" w:cs="Arial" w:eastAsia="Arial" w:hAnsi="Arial"/>
          <w:sz w:val="18"/>
          <w:szCs w:val="18"/>
          <w:color w:val="auto"/>
        </w:rPr>
      </w:pPr>
      <w:r>
        <w:rPr>
          <w:rFonts w:ascii="Arial" w:cs="Arial" w:eastAsia="Arial" w:hAnsi="Arial"/>
          <w:sz w:val="18"/>
          <w:szCs w:val="18"/>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93" w:lineRule="exact"/>
        <w:rPr>
          <w:rFonts w:ascii="Arial" w:cs="Arial" w:eastAsia="Arial" w:hAnsi="Arial"/>
          <w:sz w:val="18"/>
          <w:szCs w:val="18"/>
          <w:color w:val="auto"/>
        </w:rPr>
      </w:pPr>
    </w:p>
    <w:p>
      <w:pPr>
        <w:jc w:val="both"/>
        <w:ind w:left="1300" w:hanging="320"/>
        <w:spacing w:after="0" w:line="256" w:lineRule="auto"/>
        <w:tabs>
          <w:tab w:leader="none" w:pos="1300" w:val="left"/>
        </w:tabs>
        <w:numPr>
          <w:ilvl w:val="1"/>
          <w:numId w:val="115"/>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93" w:lineRule="exact"/>
        <w:rPr>
          <w:rFonts w:ascii="Arial" w:cs="Arial" w:eastAsia="Arial" w:hAnsi="Arial"/>
          <w:sz w:val="18"/>
          <w:szCs w:val="18"/>
          <w:color w:val="auto"/>
        </w:rPr>
      </w:pPr>
    </w:p>
    <w:p>
      <w:pPr>
        <w:jc w:val="both"/>
        <w:ind w:left="1300" w:hanging="320"/>
        <w:spacing w:after="0" w:line="256" w:lineRule="auto"/>
        <w:tabs>
          <w:tab w:leader="none" w:pos="1300" w:val="left"/>
        </w:tabs>
        <w:numPr>
          <w:ilvl w:val="1"/>
          <w:numId w:val="115"/>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93" w:lineRule="exact"/>
        <w:rPr>
          <w:rFonts w:ascii="Arial" w:cs="Arial" w:eastAsia="Arial" w:hAnsi="Arial"/>
          <w:sz w:val="18"/>
          <w:szCs w:val="18"/>
          <w:color w:val="auto"/>
        </w:rPr>
      </w:pPr>
    </w:p>
    <w:p>
      <w:pPr>
        <w:jc w:val="both"/>
        <w:ind w:left="1300" w:hanging="320"/>
        <w:spacing w:after="0" w:line="256" w:lineRule="auto"/>
        <w:tabs>
          <w:tab w:leader="none" w:pos="1300" w:val="left"/>
        </w:tabs>
        <w:numPr>
          <w:ilvl w:val="1"/>
          <w:numId w:val="115"/>
        </w:numPr>
        <w:rPr>
          <w:rFonts w:ascii="Arial" w:cs="Arial" w:eastAsia="Arial" w:hAnsi="Arial"/>
          <w:sz w:val="18"/>
          <w:szCs w:val="18"/>
          <w:color w:val="auto"/>
        </w:rPr>
      </w:pPr>
      <w:r>
        <w:rPr>
          <w:rFonts w:ascii="Arial" w:cs="Arial" w:eastAsia="Arial" w:hAnsi="Arial"/>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93" w:lineRule="exact"/>
        <w:rPr>
          <w:rFonts w:ascii="Arial" w:cs="Arial" w:eastAsia="Arial" w:hAnsi="Arial"/>
          <w:sz w:val="18"/>
          <w:szCs w:val="18"/>
          <w:color w:val="auto"/>
        </w:rPr>
      </w:pPr>
    </w:p>
    <w:p>
      <w:pPr>
        <w:jc w:val="both"/>
        <w:ind w:left="1300" w:hanging="320"/>
        <w:spacing w:after="0" w:line="256" w:lineRule="auto"/>
        <w:tabs>
          <w:tab w:leader="none" w:pos="1300" w:val="left"/>
        </w:tabs>
        <w:numPr>
          <w:ilvl w:val="1"/>
          <w:numId w:val="115"/>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93" w:lineRule="exact"/>
        <w:rPr>
          <w:rFonts w:ascii="Arial" w:cs="Arial" w:eastAsia="Arial" w:hAnsi="Arial"/>
          <w:sz w:val="18"/>
          <w:szCs w:val="18"/>
          <w:color w:val="auto"/>
        </w:rPr>
      </w:pPr>
    </w:p>
    <w:p>
      <w:pPr>
        <w:jc w:val="both"/>
        <w:ind w:left="660" w:hanging="328"/>
        <w:spacing w:after="0" w:line="256" w:lineRule="auto"/>
        <w:tabs>
          <w:tab w:leader="none" w:pos="660" w:val="left"/>
        </w:tabs>
        <w:numPr>
          <w:ilvl w:val="0"/>
          <w:numId w:val="115"/>
        </w:numPr>
        <w:rPr>
          <w:rFonts w:ascii="Arial" w:cs="Arial" w:eastAsia="Arial" w:hAnsi="Arial"/>
          <w:sz w:val="18"/>
          <w:szCs w:val="18"/>
          <w:color w:val="auto"/>
        </w:rPr>
      </w:pPr>
      <w:r>
        <w:rPr>
          <w:rFonts w:ascii="Arial" w:cs="Arial" w:eastAsia="Arial" w:hAnsi="Arial"/>
          <w:sz w:val="18"/>
          <w:szCs w:val="18"/>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93" w:lineRule="exact"/>
        <w:rPr>
          <w:rFonts w:ascii="Arial" w:cs="Arial" w:eastAsia="Arial" w:hAnsi="Arial"/>
          <w:sz w:val="18"/>
          <w:szCs w:val="18"/>
          <w:color w:val="auto"/>
        </w:rPr>
      </w:pPr>
    </w:p>
    <w:p>
      <w:pPr>
        <w:jc w:val="both"/>
        <w:ind w:left="1300" w:hanging="320"/>
        <w:spacing w:after="0" w:line="256" w:lineRule="auto"/>
        <w:tabs>
          <w:tab w:leader="none" w:pos="1300" w:val="left"/>
        </w:tabs>
        <w:numPr>
          <w:ilvl w:val="1"/>
          <w:numId w:val="115"/>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93" w:lineRule="exact"/>
        <w:rPr>
          <w:rFonts w:ascii="Arial" w:cs="Arial" w:eastAsia="Arial" w:hAnsi="Arial"/>
          <w:sz w:val="18"/>
          <w:szCs w:val="18"/>
          <w:color w:val="auto"/>
        </w:rPr>
      </w:pPr>
    </w:p>
    <w:p>
      <w:pPr>
        <w:ind w:left="1300" w:hanging="320"/>
        <w:spacing w:after="0" w:line="262" w:lineRule="auto"/>
        <w:tabs>
          <w:tab w:leader="none" w:pos="1300" w:val="left"/>
        </w:tabs>
        <w:numPr>
          <w:ilvl w:val="1"/>
          <w:numId w:val="115"/>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304" w:lineRule="exact"/>
        <w:rPr>
          <w:sz w:val="20"/>
          <w:szCs w:val="20"/>
          <w:color w:val="auto"/>
        </w:rPr>
      </w:pPr>
    </w:p>
    <w:p>
      <w:pPr>
        <w:spacing w:after="0"/>
        <w:rPr>
          <w:sz w:val="20"/>
          <w:szCs w:val="20"/>
          <w:color w:val="auto"/>
        </w:rPr>
      </w:pPr>
      <w:r>
        <w:rPr>
          <w:rFonts w:ascii="Arial" w:cs="Arial" w:eastAsia="Arial" w:hAnsi="Arial"/>
          <w:sz w:val="18"/>
          <w:szCs w:val="18"/>
          <w:color w:val="auto"/>
        </w:rPr>
        <w:t>Date: February 19, 2020</w:t>
      </w:r>
    </w:p>
    <w:p>
      <w:pPr>
        <w:spacing w:after="0" w:line="185" w:lineRule="exact"/>
        <w:rPr>
          <w:sz w:val="20"/>
          <w:szCs w:val="20"/>
          <w:color w:val="auto"/>
        </w:rPr>
      </w:pPr>
    </w:p>
    <w:p>
      <w:pPr>
        <w:ind w:left="6740"/>
        <w:spacing w:after="0"/>
        <w:rPr>
          <w:sz w:val="20"/>
          <w:szCs w:val="20"/>
          <w:color w:val="auto"/>
        </w:rPr>
      </w:pPr>
      <w:r>
        <w:rPr>
          <w:rFonts w:ascii="Arial" w:cs="Arial" w:eastAsia="Arial" w:hAnsi="Arial"/>
          <w:sz w:val="18"/>
          <w:szCs w:val="18"/>
          <w:color w:val="auto"/>
        </w:rPr>
        <w:t>/s/ W. Douglas Parker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4267200</wp:posOffset>
            </wp:positionH>
            <wp:positionV relativeFrom="paragraph">
              <wp:posOffset>14605</wp:posOffset>
            </wp:positionV>
            <wp:extent cx="2289810" cy="8890"/>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336">
                      <a:extLst>
                        <a:ext uri="{28A0092B-C50C-407E-A947-70E740481C1C}"/>
                      </a:extLst>
                    </a:blip>
                    <a:srcRect/>
                    <a:stretch>
                      <a:fillRect/>
                    </a:stretch>
                  </pic:blipFill>
                  <pic:spPr bwMode="auto">
                    <a:xfrm>
                      <a:off x="0" y="0"/>
                      <a:ext cx="2289810" cy="8890"/>
                    </a:xfrm>
                    <a:prstGeom prst="rect">
                      <a:avLst/>
                    </a:prstGeom>
                    <a:noFill/>
                  </pic:spPr>
                </pic:pic>
              </a:graphicData>
            </a:graphic>
          </wp:anchor>
        </w:drawing>
      </w:r>
    </w:p>
    <w:p>
      <w:pPr>
        <w:spacing w:after="0" w:line="43" w:lineRule="exact"/>
        <w:rPr>
          <w:sz w:val="20"/>
          <w:szCs w:val="20"/>
          <w:color w:val="auto"/>
        </w:rPr>
      </w:pPr>
    </w:p>
    <w:p>
      <w:pPr>
        <w:ind w:left="6740"/>
        <w:spacing w:after="0"/>
        <w:rPr>
          <w:sz w:val="20"/>
          <w:szCs w:val="20"/>
          <w:color w:val="auto"/>
        </w:rPr>
      </w:pPr>
      <w:r>
        <w:rPr>
          <w:rFonts w:ascii="Arial" w:cs="Arial" w:eastAsia="Arial" w:hAnsi="Arial"/>
          <w:sz w:val="18"/>
          <w:szCs w:val="18"/>
          <w:color w:val="auto"/>
        </w:rPr>
        <w:t>Name: W. Douglas Parker</w:t>
      </w:r>
    </w:p>
    <w:p>
      <w:pPr>
        <w:spacing w:after="0" w:line="63" w:lineRule="exact"/>
        <w:rPr>
          <w:sz w:val="20"/>
          <w:szCs w:val="20"/>
          <w:color w:val="auto"/>
        </w:rPr>
      </w:pPr>
    </w:p>
    <w:p>
      <w:pPr>
        <w:ind w:left="6740"/>
        <w:spacing w:after="0"/>
        <w:rPr>
          <w:sz w:val="20"/>
          <w:szCs w:val="20"/>
          <w:color w:val="auto"/>
        </w:rPr>
      </w:pPr>
      <w:r>
        <w:rPr>
          <w:rFonts w:ascii="Arial" w:cs="Arial" w:eastAsia="Arial" w:hAnsi="Arial"/>
          <w:sz w:val="18"/>
          <w:szCs w:val="18"/>
          <w:color w:val="auto"/>
        </w:rPr>
        <w:t>Title: Chief Executive Officer</w:t>
      </w:r>
    </w:p>
    <w:p>
      <w:pPr>
        <w:sectPr>
          <w:pgSz w:w="11900" w:h="16838" w:orient="portrait"/>
          <w:cols w:equalWidth="0" w:num="1">
            <w:col w:w="11420"/>
          </w:cols>
          <w:pgMar w:left="240" w:top="549" w:right="239" w:bottom="1440" w:gutter="0" w:footer="0" w:header="0"/>
        </w:sectPr>
      </w:pPr>
    </w:p>
    <w:bookmarkStart w:id="224" w:name="page225"/>
    <w:bookmarkEnd w:id="224"/>
    <w:p>
      <w:pPr>
        <w:jc w:val="right"/>
        <w:spacing w:after="0"/>
        <w:rPr>
          <w:sz w:val="20"/>
          <w:szCs w:val="20"/>
          <w:color w:val="auto"/>
        </w:rPr>
      </w:pPr>
      <w:r>
        <w:rPr>
          <w:rFonts w:ascii="Arial" w:cs="Arial" w:eastAsia="Arial" w:hAnsi="Arial"/>
          <w:sz w:val="18"/>
          <w:szCs w:val="18"/>
          <w:b w:val="1"/>
          <w:bCs w:val="1"/>
          <w:color w:val="auto"/>
        </w:rPr>
        <w:t>Exhibit 31.4</w:t>
      </w:r>
    </w:p>
    <w:p>
      <w:pPr>
        <w:spacing w:after="0" w:line="31" w:lineRule="exact"/>
        <w:rPr>
          <w:sz w:val="20"/>
          <w:szCs w:val="20"/>
          <w:color w:val="auto"/>
        </w:rPr>
      </w:pPr>
    </w:p>
    <w:p>
      <w:pPr>
        <w:jc w:val="center"/>
        <w:spacing w:after="0"/>
        <w:rPr>
          <w:sz w:val="20"/>
          <w:szCs w:val="20"/>
          <w:color w:val="auto"/>
        </w:rPr>
      </w:pPr>
      <w:r>
        <w:rPr>
          <w:rFonts w:ascii="Arial" w:cs="Arial" w:eastAsia="Arial" w:hAnsi="Arial"/>
          <w:sz w:val="18"/>
          <w:szCs w:val="18"/>
          <w:b w:val="1"/>
          <w:bCs w:val="1"/>
          <w:u w:val="single" w:color="auto"/>
          <w:color w:val="auto"/>
        </w:rPr>
        <w:t>CFO CERTIFICATION</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I, Derek J. Kerr, certify that:</w:t>
      </w:r>
    </w:p>
    <w:p>
      <w:pPr>
        <w:spacing w:after="0" w:line="225" w:lineRule="exact"/>
        <w:rPr>
          <w:sz w:val="20"/>
          <w:szCs w:val="20"/>
          <w:color w:val="auto"/>
        </w:rPr>
      </w:pPr>
    </w:p>
    <w:p>
      <w:pPr>
        <w:ind w:left="660" w:hanging="328"/>
        <w:spacing w:after="0"/>
        <w:tabs>
          <w:tab w:leader="none" w:pos="660" w:val="left"/>
        </w:tabs>
        <w:numPr>
          <w:ilvl w:val="0"/>
          <w:numId w:val="116"/>
        </w:numPr>
        <w:rPr>
          <w:rFonts w:ascii="Arial" w:cs="Arial" w:eastAsia="Arial" w:hAnsi="Arial"/>
          <w:sz w:val="18"/>
          <w:szCs w:val="18"/>
          <w:color w:val="auto"/>
        </w:rPr>
      </w:pPr>
      <w:r>
        <w:rPr>
          <w:rFonts w:ascii="Arial" w:cs="Arial" w:eastAsia="Arial" w:hAnsi="Arial"/>
          <w:sz w:val="18"/>
          <w:szCs w:val="18"/>
          <w:color w:val="auto"/>
        </w:rPr>
        <w:t>I have reviewed this Annual Report on Form 10-K of American Airlines, Inc.;</w:t>
      </w:r>
    </w:p>
    <w:p>
      <w:pPr>
        <w:spacing w:after="0" w:line="117" w:lineRule="exact"/>
        <w:rPr>
          <w:rFonts w:ascii="Arial" w:cs="Arial" w:eastAsia="Arial" w:hAnsi="Arial"/>
          <w:sz w:val="18"/>
          <w:szCs w:val="18"/>
          <w:color w:val="auto"/>
        </w:rPr>
      </w:pPr>
    </w:p>
    <w:p>
      <w:pPr>
        <w:jc w:val="both"/>
        <w:ind w:left="660" w:hanging="328"/>
        <w:spacing w:after="0" w:line="256" w:lineRule="auto"/>
        <w:tabs>
          <w:tab w:leader="none" w:pos="660" w:val="left"/>
        </w:tabs>
        <w:numPr>
          <w:ilvl w:val="0"/>
          <w:numId w:val="116"/>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93" w:lineRule="exact"/>
        <w:rPr>
          <w:rFonts w:ascii="Arial" w:cs="Arial" w:eastAsia="Arial" w:hAnsi="Arial"/>
          <w:sz w:val="18"/>
          <w:szCs w:val="18"/>
          <w:color w:val="auto"/>
        </w:rPr>
      </w:pPr>
    </w:p>
    <w:p>
      <w:pPr>
        <w:jc w:val="both"/>
        <w:ind w:left="660" w:hanging="328"/>
        <w:spacing w:after="0" w:line="262" w:lineRule="auto"/>
        <w:tabs>
          <w:tab w:leader="none" w:pos="660" w:val="left"/>
        </w:tabs>
        <w:numPr>
          <w:ilvl w:val="0"/>
          <w:numId w:val="116"/>
        </w:numPr>
        <w:rPr>
          <w:rFonts w:ascii="Arial" w:cs="Arial" w:eastAsia="Arial" w:hAnsi="Arial"/>
          <w:sz w:val="18"/>
          <w:szCs w:val="18"/>
          <w:color w:val="auto"/>
        </w:rPr>
      </w:pPr>
      <w:r>
        <w:rPr>
          <w:rFonts w:ascii="Arial" w:cs="Arial" w:eastAsia="Arial" w:hAnsi="Arial"/>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88" w:lineRule="exact"/>
        <w:rPr>
          <w:rFonts w:ascii="Arial" w:cs="Arial" w:eastAsia="Arial" w:hAnsi="Arial"/>
          <w:sz w:val="18"/>
          <w:szCs w:val="18"/>
          <w:color w:val="auto"/>
        </w:rPr>
      </w:pPr>
    </w:p>
    <w:p>
      <w:pPr>
        <w:jc w:val="both"/>
        <w:ind w:left="660" w:hanging="328"/>
        <w:spacing w:after="0" w:line="256" w:lineRule="auto"/>
        <w:tabs>
          <w:tab w:leader="none" w:pos="660" w:val="left"/>
        </w:tabs>
        <w:numPr>
          <w:ilvl w:val="0"/>
          <w:numId w:val="116"/>
        </w:numPr>
        <w:rPr>
          <w:rFonts w:ascii="Arial" w:cs="Arial" w:eastAsia="Arial" w:hAnsi="Arial"/>
          <w:sz w:val="18"/>
          <w:szCs w:val="18"/>
          <w:color w:val="auto"/>
        </w:rPr>
      </w:pPr>
      <w:r>
        <w:rPr>
          <w:rFonts w:ascii="Arial" w:cs="Arial" w:eastAsia="Arial" w:hAnsi="Arial"/>
          <w:sz w:val="18"/>
          <w:szCs w:val="18"/>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93" w:lineRule="exact"/>
        <w:rPr>
          <w:rFonts w:ascii="Arial" w:cs="Arial" w:eastAsia="Arial" w:hAnsi="Arial"/>
          <w:sz w:val="18"/>
          <w:szCs w:val="18"/>
          <w:color w:val="auto"/>
        </w:rPr>
      </w:pPr>
    </w:p>
    <w:p>
      <w:pPr>
        <w:jc w:val="both"/>
        <w:ind w:left="1300" w:hanging="320"/>
        <w:spacing w:after="0" w:line="256" w:lineRule="auto"/>
        <w:tabs>
          <w:tab w:leader="none" w:pos="1300" w:val="left"/>
        </w:tabs>
        <w:numPr>
          <w:ilvl w:val="1"/>
          <w:numId w:val="116"/>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93" w:lineRule="exact"/>
        <w:rPr>
          <w:rFonts w:ascii="Arial" w:cs="Arial" w:eastAsia="Arial" w:hAnsi="Arial"/>
          <w:sz w:val="18"/>
          <w:szCs w:val="18"/>
          <w:color w:val="auto"/>
        </w:rPr>
      </w:pPr>
    </w:p>
    <w:p>
      <w:pPr>
        <w:jc w:val="both"/>
        <w:ind w:left="1300" w:hanging="320"/>
        <w:spacing w:after="0" w:line="256" w:lineRule="auto"/>
        <w:tabs>
          <w:tab w:leader="none" w:pos="1300" w:val="left"/>
        </w:tabs>
        <w:numPr>
          <w:ilvl w:val="1"/>
          <w:numId w:val="116"/>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93" w:lineRule="exact"/>
        <w:rPr>
          <w:rFonts w:ascii="Arial" w:cs="Arial" w:eastAsia="Arial" w:hAnsi="Arial"/>
          <w:sz w:val="18"/>
          <w:szCs w:val="18"/>
          <w:color w:val="auto"/>
        </w:rPr>
      </w:pPr>
    </w:p>
    <w:p>
      <w:pPr>
        <w:jc w:val="both"/>
        <w:ind w:left="1300" w:hanging="320"/>
        <w:spacing w:after="0" w:line="256" w:lineRule="auto"/>
        <w:tabs>
          <w:tab w:leader="none" w:pos="1300" w:val="left"/>
        </w:tabs>
        <w:numPr>
          <w:ilvl w:val="1"/>
          <w:numId w:val="116"/>
        </w:numPr>
        <w:rPr>
          <w:rFonts w:ascii="Arial" w:cs="Arial" w:eastAsia="Arial" w:hAnsi="Arial"/>
          <w:sz w:val="18"/>
          <w:szCs w:val="18"/>
          <w:color w:val="auto"/>
        </w:rPr>
      </w:pPr>
      <w:r>
        <w:rPr>
          <w:rFonts w:ascii="Arial" w:cs="Arial" w:eastAsia="Arial" w:hAnsi="Arial"/>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93" w:lineRule="exact"/>
        <w:rPr>
          <w:rFonts w:ascii="Arial" w:cs="Arial" w:eastAsia="Arial" w:hAnsi="Arial"/>
          <w:sz w:val="18"/>
          <w:szCs w:val="18"/>
          <w:color w:val="auto"/>
        </w:rPr>
      </w:pPr>
    </w:p>
    <w:p>
      <w:pPr>
        <w:jc w:val="both"/>
        <w:ind w:left="1300" w:hanging="320"/>
        <w:spacing w:after="0" w:line="256" w:lineRule="auto"/>
        <w:tabs>
          <w:tab w:leader="none" w:pos="1300" w:val="left"/>
        </w:tabs>
        <w:numPr>
          <w:ilvl w:val="1"/>
          <w:numId w:val="116"/>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93" w:lineRule="exact"/>
        <w:rPr>
          <w:rFonts w:ascii="Arial" w:cs="Arial" w:eastAsia="Arial" w:hAnsi="Arial"/>
          <w:sz w:val="18"/>
          <w:szCs w:val="18"/>
          <w:color w:val="auto"/>
        </w:rPr>
      </w:pPr>
    </w:p>
    <w:p>
      <w:pPr>
        <w:jc w:val="both"/>
        <w:ind w:left="660" w:hanging="328"/>
        <w:spacing w:after="0" w:line="256" w:lineRule="auto"/>
        <w:tabs>
          <w:tab w:leader="none" w:pos="660" w:val="left"/>
        </w:tabs>
        <w:numPr>
          <w:ilvl w:val="0"/>
          <w:numId w:val="116"/>
        </w:numPr>
        <w:rPr>
          <w:rFonts w:ascii="Arial" w:cs="Arial" w:eastAsia="Arial" w:hAnsi="Arial"/>
          <w:sz w:val="18"/>
          <w:szCs w:val="18"/>
          <w:color w:val="auto"/>
        </w:rPr>
      </w:pPr>
      <w:r>
        <w:rPr>
          <w:rFonts w:ascii="Arial" w:cs="Arial" w:eastAsia="Arial" w:hAnsi="Arial"/>
          <w:sz w:val="18"/>
          <w:szCs w:val="18"/>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93" w:lineRule="exact"/>
        <w:rPr>
          <w:rFonts w:ascii="Arial" w:cs="Arial" w:eastAsia="Arial" w:hAnsi="Arial"/>
          <w:sz w:val="18"/>
          <w:szCs w:val="18"/>
          <w:color w:val="auto"/>
        </w:rPr>
      </w:pPr>
    </w:p>
    <w:p>
      <w:pPr>
        <w:jc w:val="both"/>
        <w:ind w:left="1300" w:hanging="320"/>
        <w:spacing w:after="0" w:line="256" w:lineRule="auto"/>
        <w:tabs>
          <w:tab w:leader="none" w:pos="1300" w:val="left"/>
        </w:tabs>
        <w:numPr>
          <w:ilvl w:val="1"/>
          <w:numId w:val="116"/>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93" w:lineRule="exact"/>
        <w:rPr>
          <w:rFonts w:ascii="Arial" w:cs="Arial" w:eastAsia="Arial" w:hAnsi="Arial"/>
          <w:sz w:val="18"/>
          <w:szCs w:val="18"/>
          <w:color w:val="auto"/>
        </w:rPr>
      </w:pPr>
    </w:p>
    <w:p>
      <w:pPr>
        <w:ind w:left="1300" w:hanging="320"/>
        <w:spacing w:after="0" w:line="262" w:lineRule="auto"/>
        <w:tabs>
          <w:tab w:leader="none" w:pos="1300" w:val="left"/>
        </w:tabs>
        <w:numPr>
          <w:ilvl w:val="1"/>
          <w:numId w:val="116"/>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304" w:lineRule="exact"/>
        <w:rPr>
          <w:sz w:val="20"/>
          <w:szCs w:val="20"/>
          <w:color w:val="auto"/>
        </w:rPr>
      </w:pPr>
    </w:p>
    <w:p>
      <w:pPr>
        <w:spacing w:after="0"/>
        <w:rPr>
          <w:sz w:val="20"/>
          <w:szCs w:val="20"/>
          <w:color w:val="auto"/>
        </w:rPr>
      </w:pPr>
      <w:r>
        <w:rPr>
          <w:rFonts w:ascii="Arial" w:cs="Arial" w:eastAsia="Arial" w:hAnsi="Arial"/>
          <w:sz w:val="18"/>
          <w:szCs w:val="18"/>
          <w:color w:val="auto"/>
        </w:rPr>
        <w:t>Date: February 19, 2020</w:t>
      </w:r>
    </w:p>
    <w:p>
      <w:pPr>
        <w:spacing w:after="0" w:line="185" w:lineRule="exact"/>
        <w:rPr>
          <w:sz w:val="20"/>
          <w:szCs w:val="20"/>
          <w:color w:val="auto"/>
        </w:rPr>
      </w:pPr>
    </w:p>
    <w:p>
      <w:pPr>
        <w:ind w:left="6740"/>
        <w:spacing w:after="0"/>
        <w:rPr>
          <w:sz w:val="20"/>
          <w:szCs w:val="20"/>
          <w:color w:val="auto"/>
        </w:rPr>
      </w:pPr>
      <w:r>
        <w:rPr>
          <w:rFonts w:ascii="Arial" w:cs="Arial" w:eastAsia="Arial" w:hAnsi="Arial"/>
          <w:sz w:val="18"/>
          <w:szCs w:val="18"/>
          <w:color w:val="auto"/>
        </w:rPr>
        <w:t>/s/ Derek J. Kerr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4267200</wp:posOffset>
            </wp:positionH>
            <wp:positionV relativeFrom="paragraph">
              <wp:posOffset>14605</wp:posOffset>
            </wp:positionV>
            <wp:extent cx="2289810" cy="8890"/>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337">
                      <a:extLst>
                        <a:ext uri="{28A0092B-C50C-407E-A947-70E740481C1C}"/>
                      </a:extLst>
                    </a:blip>
                    <a:srcRect/>
                    <a:stretch>
                      <a:fillRect/>
                    </a:stretch>
                  </pic:blipFill>
                  <pic:spPr bwMode="auto">
                    <a:xfrm>
                      <a:off x="0" y="0"/>
                      <a:ext cx="2289810" cy="8890"/>
                    </a:xfrm>
                    <a:prstGeom prst="rect">
                      <a:avLst/>
                    </a:prstGeom>
                    <a:noFill/>
                  </pic:spPr>
                </pic:pic>
              </a:graphicData>
            </a:graphic>
          </wp:anchor>
        </w:drawing>
      </w:r>
    </w:p>
    <w:p>
      <w:pPr>
        <w:spacing w:after="0" w:line="43" w:lineRule="exact"/>
        <w:rPr>
          <w:sz w:val="20"/>
          <w:szCs w:val="20"/>
          <w:color w:val="auto"/>
        </w:rPr>
      </w:pPr>
    </w:p>
    <w:p>
      <w:pPr>
        <w:ind w:left="6740"/>
        <w:spacing w:after="0"/>
        <w:rPr>
          <w:sz w:val="20"/>
          <w:szCs w:val="20"/>
          <w:color w:val="auto"/>
        </w:rPr>
      </w:pPr>
      <w:r>
        <w:rPr>
          <w:rFonts w:ascii="Arial" w:cs="Arial" w:eastAsia="Arial" w:hAnsi="Arial"/>
          <w:sz w:val="18"/>
          <w:szCs w:val="18"/>
          <w:color w:val="auto"/>
        </w:rPr>
        <w:t>Name: Derek J. Kerr</w:t>
      </w:r>
    </w:p>
    <w:p>
      <w:pPr>
        <w:spacing w:after="0" w:line="63" w:lineRule="exact"/>
        <w:rPr>
          <w:sz w:val="20"/>
          <w:szCs w:val="20"/>
          <w:color w:val="auto"/>
        </w:rPr>
      </w:pPr>
    </w:p>
    <w:p>
      <w:pPr>
        <w:ind w:left="6740"/>
        <w:spacing w:after="0"/>
        <w:rPr>
          <w:sz w:val="20"/>
          <w:szCs w:val="20"/>
          <w:color w:val="auto"/>
        </w:rPr>
      </w:pPr>
      <w:r>
        <w:rPr>
          <w:rFonts w:ascii="Arial" w:cs="Arial" w:eastAsia="Arial" w:hAnsi="Arial"/>
          <w:sz w:val="18"/>
          <w:szCs w:val="18"/>
          <w:color w:val="auto"/>
        </w:rPr>
        <w:t>Title: Executive Vice President and</w:t>
      </w:r>
    </w:p>
    <w:p>
      <w:pPr>
        <w:spacing w:after="0" w:line="63" w:lineRule="exact"/>
        <w:rPr>
          <w:sz w:val="20"/>
          <w:szCs w:val="20"/>
          <w:color w:val="auto"/>
        </w:rPr>
      </w:pPr>
    </w:p>
    <w:p>
      <w:pPr>
        <w:ind w:left="6740"/>
        <w:spacing w:after="0"/>
        <w:rPr>
          <w:sz w:val="20"/>
          <w:szCs w:val="20"/>
          <w:color w:val="auto"/>
        </w:rPr>
      </w:pPr>
      <w:r>
        <w:rPr>
          <w:rFonts w:ascii="Arial" w:cs="Arial" w:eastAsia="Arial" w:hAnsi="Arial"/>
          <w:sz w:val="18"/>
          <w:szCs w:val="18"/>
          <w:color w:val="auto"/>
        </w:rPr>
        <w:t>Chief Financial Officer</w:t>
      </w:r>
    </w:p>
    <w:p>
      <w:pPr>
        <w:sectPr>
          <w:pgSz w:w="11900" w:h="16838" w:orient="portrait"/>
          <w:cols w:equalWidth="0" w:num="1">
            <w:col w:w="11420"/>
          </w:cols>
          <w:pgMar w:left="240" w:top="549" w:right="239" w:bottom="1440" w:gutter="0" w:footer="0" w:header="0"/>
        </w:sectPr>
      </w:pPr>
    </w:p>
    <w:bookmarkStart w:id="225" w:name="page226"/>
    <w:bookmarkEnd w:id="225"/>
    <w:p>
      <w:pPr>
        <w:jc w:val="right"/>
        <w:spacing w:after="0"/>
        <w:rPr>
          <w:sz w:val="20"/>
          <w:szCs w:val="20"/>
          <w:color w:val="auto"/>
        </w:rPr>
      </w:pPr>
      <w:r>
        <w:rPr>
          <w:rFonts w:ascii="Arial" w:cs="Arial" w:eastAsia="Arial" w:hAnsi="Arial"/>
          <w:sz w:val="18"/>
          <w:szCs w:val="18"/>
          <w:b w:val="1"/>
          <w:bCs w:val="1"/>
          <w:color w:val="auto"/>
        </w:rPr>
        <w:t>Exhibit 32.1</w:t>
      </w:r>
    </w:p>
    <w:p>
      <w:pPr>
        <w:spacing w:after="0" w:line="3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of CEO and CFO Pursuant to</w:t>
      </w:r>
    </w:p>
    <w:p>
      <w:pPr>
        <w:spacing w:after="0" w:line="9" w:lineRule="exact"/>
        <w:rPr>
          <w:sz w:val="20"/>
          <w:szCs w:val="20"/>
          <w:color w:val="auto"/>
        </w:rPr>
      </w:pPr>
    </w:p>
    <w:p>
      <w:pPr>
        <w:ind w:left="4720"/>
        <w:spacing w:after="0"/>
        <w:rPr>
          <w:sz w:val="20"/>
          <w:szCs w:val="20"/>
          <w:color w:val="auto"/>
        </w:rPr>
      </w:pPr>
      <w:r>
        <w:rPr>
          <w:rFonts w:ascii="Arial" w:cs="Arial" w:eastAsia="Arial" w:hAnsi="Arial"/>
          <w:sz w:val="18"/>
          <w:szCs w:val="18"/>
          <w:b w:val="1"/>
          <w:bCs w:val="1"/>
          <w:color w:val="auto"/>
        </w:rPr>
        <w:t>18 U.S.C. Section 1350,</w:t>
      </w:r>
    </w:p>
    <w:p>
      <w:pPr>
        <w:spacing w:after="0" w:line="9" w:lineRule="exact"/>
        <w:rPr>
          <w:sz w:val="20"/>
          <w:szCs w:val="20"/>
          <w:color w:val="auto"/>
        </w:rPr>
      </w:pPr>
    </w:p>
    <w:p>
      <w:pPr>
        <w:ind w:left="4700"/>
        <w:spacing w:after="0"/>
        <w:rPr>
          <w:sz w:val="20"/>
          <w:szCs w:val="20"/>
          <w:color w:val="auto"/>
        </w:rPr>
      </w:pPr>
      <w:r>
        <w:rPr>
          <w:rFonts w:ascii="Arial" w:cs="Arial" w:eastAsia="Arial" w:hAnsi="Arial"/>
          <w:sz w:val="18"/>
          <w:szCs w:val="18"/>
          <w:b w:val="1"/>
          <w:bCs w:val="1"/>
          <w:color w:val="auto"/>
        </w:rPr>
        <w:t>as Adopted Pursuant to</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Section 906 of the Sarbanes-Oxley Act of 2002</w:t>
      </w:r>
    </w:p>
    <w:p>
      <w:pPr>
        <w:spacing w:after="0" w:line="225"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In connection with the Annual Report on Form 10-K of American Airlines Group Inc. (the “Company”) for the year ended December 31, 2019 (the “Report”), W. Douglas Parker, as Chief Executive Officer of the Company, and Derek J. Kerr, as Executive Vice President and Chief Financial Officer of the Company, each hereby certifies, pursuant to 18 U.S.C. Section 1350, as adopted pursuant to Section 906 of the Sarbanes-Oxley Act of 2002, that, to the best of his knowledge:</w:t>
      </w:r>
    </w:p>
    <w:p>
      <w:pPr>
        <w:spacing w:after="0" w:line="204" w:lineRule="exact"/>
        <w:rPr>
          <w:sz w:val="20"/>
          <w:szCs w:val="20"/>
          <w:color w:val="auto"/>
        </w:rPr>
      </w:pPr>
    </w:p>
    <w:p>
      <w:pPr>
        <w:ind w:left="660" w:hanging="328"/>
        <w:spacing w:after="0"/>
        <w:tabs>
          <w:tab w:leader="none" w:pos="660" w:val="left"/>
        </w:tabs>
        <w:numPr>
          <w:ilvl w:val="0"/>
          <w:numId w:val="117"/>
        </w:numPr>
        <w:rPr>
          <w:rFonts w:ascii="Arial" w:cs="Arial" w:eastAsia="Arial" w:hAnsi="Arial"/>
          <w:sz w:val="18"/>
          <w:szCs w:val="18"/>
          <w:color w:val="auto"/>
        </w:rPr>
      </w:pPr>
      <w:r>
        <w:rPr>
          <w:rFonts w:ascii="Arial" w:cs="Arial" w:eastAsia="Arial" w:hAnsi="Arial"/>
          <w:sz w:val="18"/>
          <w:szCs w:val="18"/>
          <w:color w:val="auto"/>
        </w:rPr>
        <w:t>The Report fully complies with the requirements of Section 13(a) or 15(d) of the Securities Exchange Act of 1934; and</w:t>
      </w:r>
    </w:p>
    <w:p>
      <w:pPr>
        <w:spacing w:after="0" w:line="117" w:lineRule="exact"/>
        <w:rPr>
          <w:rFonts w:ascii="Arial" w:cs="Arial" w:eastAsia="Arial" w:hAnsi="Arial"/>
          <w:sz w:val="18"/>
          <w:szCs w:val="18"/>
          <w:color w:val="auto"/>
        </w:rPr>
      </w:pPr>
    </w:p>
    <w:p>
      <w:pPr>
        <w:ind w:left="660" w:right="20" w:hanging="328"/>
        <w:spacing w:after="0" w:line="262" w:lineRule="auto"/>
        <w:tabs>
          <w:tab w:leader="none" w:pos="660" w:val="left"/>
        </w:tabs>
        <w:numPr>
          <w:ilvl w:val="0"/>
          <w:numId w:val="117"/>
        </w:numPr>
        <w:rPr>
          <w:rFonts w:ascii="Arial" w:cs="Arial" w:eastAsia="Arial" w:hAnsi="Arial"/>
          <w:sz w:val="18"/>
          <w:szCs w:val="18"/>
          <w:color w:val="auto"/>
        </w:rPr>
      </w:pPr>
      <w:r>
        <w:rPr>
          <w:rFonts w:ascii="Arial" w:cs="Arial" w:eastAsia="Arial" w:hAnsi="Arial"/>
          <w:sz w:val="18"/>
          <w:szCs w:val="18"/>
          <w:color w:val="auto"/>
        </w:rPr>
        <w:t>The information contained in the Report fairly presents, in all material respects, the financial condition and results of operations of the Company.</w:t>
      </w:r>
    </w:p>
    <w:p>
      <w:pPr>
        <w:spacing w:after="0" w:line="200" w:lineRule="exact"/>
        <w:rPr>
          <w:sz w:val="20"/>
          <w:szCs w:val="20"/>
          <w:color w:val="auto"/>
        </w:rPr>
      </w:pPr>
    </w:p>
    <w:p>
      <w:pPr>
        <w:spacing w:after="0" w:line="374" w:lineRule="exact"/>
        <w:rPr>
          <w:sz w:val="20"/>
          <w:szCs w:val="20"/>
          <w:color w:val="auto"/>
        </w:rPr>
      </w:pPr>
    </w:p>
    <w:p>
      <w:pPr>
        <w:ind w:left="40"/>
        <w:spacing w:after="0"/>
        <w:rPr>
          <w:sz w:val="20"/>
          <w:szCs w:val="20"/>
          <w:color w:val="auto"/>
        </w:rPr>
      </w:pPr>
      <w:r>
        <w:rPr>
          <w:rFonts w:ascii="Arial" w:cs="Arial" w:eastAsia="Arial" w:hAnsi="Arial"/>
          <w:sz w:val="18"/>
          <w:szCs w:val="18"/>
          <w:color w:val="auto"/>
        </w:rPr>
        <w:t>/s/ W. Douglas Parker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3061335" cy="8890"/>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338">
                      <a:extLst>
                        <a:ext uri="{28A0092B-C50C-407E-A947-70E740481C1C}"/>
                      </a:extLst>
                    </a:blip>
                    <a:srcRect/>
                    <a:stretch>
                      <a:fillRect/>
                    </a:stretch>
                  </pic:blipFill>
                  <pic:spPr bwMode="auto">
                    <a:xfrm>
                      <a:off x="0" y="0"/>
                      <a:ext cx="3061335" cy="8890"/>
                    </a:xfrm>
                    <a:prstGeom prst="rect">
                      <a:avLst/>
                    </a:prstGeom>
                    <a:noFill/>
                  </pic:spPr>
                </pic:pic>
              </a:graphicData>
            </a:graphic>
          </wp:anchor>
        </w:drawing>
      </w:r>
    </w:p>
    <w:p>
      <w:pPr>
        <w:spacing w:after="0" w:line="43" w:lineRule="exact"/>
        <w:rPr>
          <w:sz w:val="20"/>
          <w:szCs w:val="20"/>
          <w:color w:val="auto"/>
        </w:rPr>
      </w:pPr>
    </w:p>
    <w:p>
      <w:pPr>
        <w:ind w:left="40"/>
        <w:spacing w:after="0"/>
        <w:rPr>
          <w:sz w:val="20"/>
          <w:szCs w:val="20"/>
          <w:color w:val="auto"/>
        </w:rPr>
      </w:pPr>
      <w:r>
        <w:rPr>
          <w:rFonts w:ascii="Arial" w:cs="Arial" w:eastAsia="Arial" w:hAnsi="Arial"/>
          <w:sz w:val="18"/>
          <w:szCs w:val="18"/>
          <w:color w:val="auto"/>
        </w:rPr>
        <w:t>Name: W. Douglas Parker</w:t>
      </w:r>
    </w:p>
    <w:p>
      <w:pPr>
        <w:spacing w:after="0" w:line="50" w:lineRule="exact"/>
        <w:rPr>
          <w:sz w:val="20"/>
          <w:szCs w:val="20"/>
          <w:color w:val="auto"/>
        </w:rPr>
      </w:pPr>
    </w:p>
    <w:p>
      <w:pPr>
        <w:ind w:left="40"/>
        <w:spacing w:after="0"/>
        <w:rPr>
          <w:sz w:val="20"/>
          <w:szCs w:val="20"/>
          <w:color w:val="auto"/>
        </w:rPr>
      </w:pPr>
      <w:r>
        <w:rPr>
          <w:rFonts w:ascii="Arial" w:cs="Arial" w:eastAsia="Arial" w:hAnsi="Arial"/>
          <w:sz w:val="18"/>
          <w:szCs w:val="18"/>
          <w:color w:val="auto"/>
        </w:rPr>
        <w:t>Title: Chief Executive Officer</w:t>
      </w:r>
    </w:p>
    <w:p>
      <w:pPr>
        <w:spacing w:after="0" w:line="50" w:lineRule="exact"/>
        <w:rPr>
          <w:sz w:val="20"/>
          <w:szCs w:val="20"/>
          <w:color w:val="auto"/>
        </w:rPr>
      </w:pPr>
    </w:p>
    <w:p>
      <w:pPr>
        <w:ind w:left="40"/>
        <w:spacing w:after="0"/>
        <w:rPr>
          <w:sz w:val="20"/>
          <w:szCs w:val="20"/>
          <w:color w:val="auto"/>
        </w:rPr>
      </w:pPr>
      <w:r>
        <w:rPr>
          <w:rFonts w:ascii="Arial" w:cs="Arial" w:eastAsia="Arial" w:hAnsi="Arial"/>
          <w:sz w:val="18"/>
          <w:szCs w:val="18"/>
          <w:color w:val="auto"/>
        </w:rPr>
        <w:t>Date: February 19, 2020</w:t>
      </w:r>
    </w:p>
    <w:p>
      <w:pPr>
        <w:spacing w:after="0" w:line="200" w:lineRule="exact"/>
        <w:rPr>
          <w:sz w:val="20"/>
          <w:szCs w:val="20"/>
          <w:color w:val="auto"/>
        </w:rPr>
      </w:pPr>
    </w:p>
    <w:p>
      <w:pPr>
        <w:spacing w:after="0" w:line="309" w:lineRule="exact"/>
        <w:rPr>
          <w:sz w:val="20"/>
          <w:szCs w:val="20"/>
          <w:color w:val="auto"/>
        </w:rPr>
      </w:pPr>
    </w:p>
    <w:p>
      <w:pPr>
        <w:ind w:left="40"/>
        <w:spacing w:after="0"/>
        <w:rPr>
          <w:sz w:val="20"/>
          <w:szCs w:val="20"/>
          <w:color w:val="auto"/>
        </w:rPr>
      </w:pPr>
      <w:r>
        <w:rPr>
          <w:rFonts w:ascii="Arial" w:cs="Arial" w:eastAsia="Arial" w:hAnsi="Arial"/>
          <w:sz w:val="18"/>
          <w:szCs w:val="18"/>
          <w:color w:val="auto"/>
        </w:rPr>
        <w:t>/s/ Derek J. Kerr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3061335" cy="8890"/>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339">
                      <a:extLst>
                        <a:ext uri="{28A0092B-C50C-407E-A947-70E740481C1C}"/>
                      </a:extLst>
                    </a:blip>
                    <a:srcRect/>
                    <a:stretch>
                      <a:fillRect/>
                    </a:stretch>
                  </pic:blipFill>
                  <pic:spPr bwMode="auto">
                    <a:xfrm>
                      <a:off x="0" y="0"/>
                      <a:ext cx="3061335" cy="8890"/>
                    </a:xfrm>
                    <a:prstGeom prst="rect">
                      <a:avLst/>
                    </a:prstGeom>
                    <a:noFill/>
                  </pic:spPr>
                </pic:pic>
              </a:graphicData>
            </a:graphic>
          </wp:anchor>
        </w:drawing>
      </w:r>
    </w:p>
    <w:p>
      <w:pPr>
        <w:spacing w:after="0" w:line="43" w:lineRule="exact"/>
        <w:rPr>
          <w:sz w:val="20"/>
          <w:szCs w:val="20"/>
          <w:color w:val="auto"/>
        </w:rPr>
      </w:pPr>
    </w:p>
    <w:p>
      <w:pPr>
        <w:ind w:left="40"/>
        <w:spacing w:after="0"/>
        <w:rPr>
          <w:sz w:val="20"/>
          <w:szCs w:val="20"/>
          <w:color w:val="auto"/>
        </w:rPr>
      </w:pPr>
      <w:r>
        <w:rPr>
          <w:rFonts w:ascii="Arial" w:cs="Arial" w:eastAsia="Arial" w:hAnsi="Arial"/>
          <w:sz w:val="18"/>
          <w:szCs w:val="18"/>
          <w:color w:val="auto"/>
        </w:rPr>
        <w:t>Name: Derek J. Kerr</w:t>
      </w:r>
    </w:p>
    <w:p>
      <w:pPr>
        <w:spacing w:after="0" w:line="50" w:lineRule="exact"/>
        <w:rPr>
          <w:sz w:val="20"/>
          <w:szCs w:val="20"/>
          <w:color w:val="auto"/>
        </w:rPr>
      </w:pPr>
    </w:p>
    <w:p>
      <w:pPr>
        <w:ind w:left="40"/>
        <w:spacing w:after="0"/>
        <w:rPr>
          <w:sz w:val="20"/>
          <w:szCs w:val="20"/>
          <w:color w:val="auto"/>
        </w:rPr>
      </w:pPr>
      <w:r>
        <w:rPr>
          <w:rFonts w:ascii="Arial" w:cs="Arial" w:eastAsia="Arial" w:hAnsi="Arial"/>
          <w:sz w:val="18"/>
          <w:szCs w:val="18"/>
          <w:color w:val="auto"/>
        </w:rPr>
        <w:t>Title: Executive Vice President and Chief Financial Officer</w:t>
      </w:r>
    </w:p>
    <w:p>
      <w:pPr>
        <w:spacing w:after="0" w:line="50" w:lineRule="exact"/>
        <w:rPr>
          <w:sz w:val="20"/>
          <w:szCs w:val="20"/>
          <w:color w:val="auto"/>
        </w:rPr>
      </w:pPr>
    </w:p>
    <w:p>
      <w:pPr>
        <w:ind w:left="40"/>
        <w:spacing w:after="0"/>
        <w:rPr>
          <w:sz w:val="20"/>
          <w:szCs w:val="20"/>
          <w:color w:val="auto"/>
        </w:rPr>
      </w:pPr>
      <w:r>
        <w:rPr>
          <w:rFonts w:ascii="Arial" w:cs="Arial" w:eastAsia="Arial" w:hAnsi="Arial"/>
          <w:sz w:val="18"/>
          <w:szCs w:val="18"/>
          <w:color w:val="auto"/>
        </w:rPr>
        <w:t>Date: February 19, 2020</w:t>
      </w:r>
    </w:p>
    <w:p>
      <w:pPr>
        <w:spacing w:after="0" w:line="239" w:lineRule="exact"/>
        <w:rPr>
          <w:sz w:val="20"/>
          <w:szCs w:val="20"/>
          <w:color w:val="auto"/>
        </w:rPr>
      </w:pPr>
    </w:p>
    <w:p>
      <w:pPr>
        <w:jc w:val="both"/>
        <w:spacing w:after="0" w:line="256" w:lineRule="auto"/>
        <w:rPr>
          <w:sz w:val="20"/>
          <w:szCs w:val="20"/>
          <w:color w:val="auto"/>
        </w:rPr>
      </w:pPr>
      <w:r>
        <w:rPr>
          <w:rFonts w:ascii="Arial" w:cs="Arial" w:eastAsia="Arial" w:hAnsi="Arial"/>
          <w:sz w:val="18"/>
          <w:szCs w:val="18"/>
          <w:color w:val="auto"/>
        </w:rPr>
        <w:t>This certification is being furnished to accompany the Report pursuant to 18 U.S.C. § 1350 and shall not be deemed filed by the Company for purposes of Section 18 of the Securities Exchange Act of 1934, as amended, and is not to be incorporated by reference into any filing of the Company, whether made before or after the date hereof, regardless of any general incorporation language in such filing.</w:t>
      </w:r>
    </w:p>
    <w:p>
      <w:pPr>
        <w:sectPr>
          <w:pgSz w:w="11900" w:h="16838" w:orient="portrait"/>
          <w:cols w:equalWidth="0" w:num="1">
            <w:col w:w="11420"/>
          </w:cols>
          <w:pgMar w:left="240" w:top="549" w:right="239" w:bottom="1440" w:gutter="0" w:footer="0" w:header="0"/>
        </w:sectPr>
      </w:pPr>
    </w:p>
    <w:bookmarkStart w:id="226" w:name="page227"/>
    <w:bookmarkEnd w:id="226"/>
    <w:p>
      <w:pPr>
        <w:jc w:val="right"/>
        <w:spacing w:after="0"/>
        <w:rPr>
          <w:sz w:val="20"/>
          <w:szCs w:val="20"/>
          <w:color w:val="auto"/>
        </w:rPr>
      </w:pPr>
      <w:r>
        <w:rPr>
          <w:rFonts w:ascii="Arial" w:cs="Arial" w:eastAsia="Arial" w:hAnsi="Arial"/>
          <w:sz w:val="18"/>
          <w:szCs w:val="18"/>
          <w:b w:val="1"/>
          <w:bCs w:val="1"/>
          <w:color w:val="auto"/>
        </w:rPr>
        <w:t>Exhibit 32.2</w:t>
      </w:r>
    </w:p>
    <w:p>
      <w:pPr>
        <w:spacing w:after="0" w:line="3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of CEO and CFO Pursuant to</w:t>
      </w:r>
    </w:p>
    <w:p>
      <w:pPr>
        <w:spacing w:after="0" w:line="9" w:lineRule="exact"/>
        <w:rPr>
          <w:sz w:val="20"/>
          <w:szCs w:val="20"/>
          <w:color w:val="auto"/>
        </w:rPr>
      </w:pPr>
    </w:p>
    <w:p>
      <w:pPr>
        <w:ind w:left="4720"/>
        <w:spacing w:after="0"/>
        <w:rPr>
          <w:sz w:val="20"/>
          <w:szCs w:val="20"/>
          <w:color w:val="auto"/>
        </w:rPr>
      </w:pPr>
      <w:r>
        <w:rPr>
          <w:rFonts w:ascii="Arial" w:cs="Arial" w:eastAsia="Arial" w:hAnsi="Arial"/>
          <w:sz w:val="18"/>
          <w:szCs w:val="18"/>
          <w:b w:val="1"/>
          <w:bCs w:val="1"/>
          <w:color w:val="auto"/>
        </w:rPr>
        <w:t>18 U.S.C. Section 1350,</w:t>
      </w:r>
    </w:p>
    <w:p>
      <w:pPr>
        <w:spacing w:after="0" w:line="9" w:lineRule="exact"/>
        <w:rPr>
          <w:sz w:val="20"/>
          <w:szCs w:val="20"/>
          <w:color w:val="auto"/>
        </w:rPr>
      </w:pPr>
    </w:p>
    <w:p>
      <w:pPr>
        <w:ind w:left="4700"/>
        <w:spacing w:after="0"/>
        <w:rPr>
          <w:sz w:val="20"/>
          <w:szCs w:val="20"/>
          <w:color w:val="auto"/>
        </w:rPr>
      </w:pPr>
      <w:r>
        <w:rPr>
          <w:rFonts w:ascii="Arial" w:cs="Arial" w:eastAsia="Arial" w:hAnsi="Arial"/>
          <w:sz w:val="18"/>
          <w:szCs w:val="18"/>
          <w:b w:val="1"/>
          <w:bCs w:val="1"/>
          <w:color w:val="auto"/>
        </w:rPr>
        <w:t>as Adopted Pursuant to</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Section 906 of the Sarbanes-Oxley Act of 2002</w:t>
      </w:r>
    </w:p>
    <w:p>
      <w:pPr>
        <w:spacing w:after="0" w:line="225"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In connection with the Annual Report on Form 10-K of American Airlines, Inc. (the “Company”) for the year ended December 31, 2019 (the “Report”), W. Douglas Parker, as Chief Executive Officer of the Company, and Derek J. Kerr, as Executive Vice President and Chief Financial Officer of the Company, each hereby certifies, pursuant to 18 U.S.C. Section 1350, as adopted pursuant to Section 906 of the Sarbanes-Oxley Act of 2002, that, to the best of his knowledge:</w:t>
      </w:r>
    </w:p>
    <w:p>
      <w:pPr>
        <w:spacing w:after="0" w:line="204" w:lineRule="exact"/>
        <w:rPr>
          <w:sz w:val="20"/>
          <w:szCs w:val="20"/>
          <w:color w:val="auto"/>
        </w:rPr>
      </w:pPr>
    </w:p>
    <w:p>
      <w:pPr>
        <w:ind w:left="660" w:hanging="328"/>
        <w:spacing w:after="0"/>
        <w:tabs>
          <w:tab w:leader="none" w:pos="660" w:val="left"/>
        </w:tabs>
        <w:numPr>
          <w:ilvl w:val="0"/>
          <w:numId w:val="118"/>
        </w:numPr>
        <w:rPr>
          <w:rFonts w:ascii="Arial" w:cs="Arial" w:eastAsia="Arial" w:hAnsi="Arial"/>
          <w:sz w:val="18"/>
          <w:szCs w:val="18"/>
          <w:color w:val="auto"/>
        </w:rPr>
      </w:pPr>
      <w:r>
        <w:rPr>
          <w:rFonts w:ascii="Arial" w:cs="Arial" w:eastAsia="Arial" w:hAnsi="Arial"/>
          <w:sz w:val="18"/>
          <w:szCs w:val="18"/>
          <w:color w:val="auto"/>
        </w:rPr>
        <w:t>The Report fully complies with the requirements of Section 13(a) or 15(d) of the Securities Exchange Act of 1934; and</w:t>
      </w:r>
    </w:p>
    <w:p>
      <w:pPr>
        <w:spacing w:after="0" w:line="117" w:lineRule="exact"/>
        <w:rPr>
          <w:rFonts w:ascii="Arial" w:cs="Arial" w:eastAsia="Arial" w:hAnsi="Arial"/>
          <w:sz w:val="18"/>
          <w:szCs w:val="18"/>
          <w:color w:val="auto"/>
        </w:rPr>
      </w:pPr>
    </w:p>
    <w:p>
      <w:pPr>
        <w:ind w:left="660" w:right="20" w:hanging="328"/>
        <w:spacing w:after="0" w:line="262" w:lineRule="auto"/>
        <w:tabs>
          <w:tab w:leader="none" w:pos="660" w:val="left"/>
        </w:tabs>
        <w:numPr>
          <w:ilvl w:val="0"/>
          <w:numId w:val="118"/>
        </w:numPr>
        <w:rPr>
          <w:rFonts w:ascii="Arial" w:cs="Arial" w:eastAsia="Arial" w:hAnsi="Arial"/>
          <w:sz w:val="18"/>
          <w:szCs w:val="18"/>
          <w:color w:val="auto"/>
        </w:rPr>
      </w:pPr>
      <w:r>
        <w:rPr>
          <w:rFonts w:ascii="Arial" w:cs="Arial" w:eastAsia="Arial" w:hAnsi="Arial"/>
          <w:sz w:val="18"/>
          <w:szCs w:val="18"/>
          <w:color w:val="auto"/>
        </w:rPr>
        <w:t>The information contained in the Report fairly presents, in all material respects, the financial condition and results of operations of the Company.</w:t>
      </w:r>
    </w:p>
    <w:p>
      <w:pPr>
        <w:spacing w:after="0" w:line="200" w:lineRule="exact"/>
        <w:rPr>
          <w:sz w:val="20"/>
          <w:szCs w:val="20"/>
          <w:color w:val="auto"/>
        </w:rPr>
      </w:pPr>
    </w:p>
    <w:p>
      <w:pPr>
        <w:spacing w:after="0" w:line="374" w:lineRule="exact"/>
        <w:rPr>
          <w:sz w:val="20"/>
          <w:szCs w:val="20"/>
          <w:color w:val="auto"/>
        </w:rPr>
      </w:pPr>
    </w:p>
    <w:p>
      <w:pPr>
        <w:ind w:left="40"/>
        <w:spacing w:after="0"/>
        <w:rPr>
          <w:sz w:val="20"/>
          <w:szCs w:val="20"/>
          <w:color w:val="auto"/>
        </w:rPr>
      </w:pPr>
      <w:r>
        <w:rPr>
          <w:rFonts w:ascii="Arial" w:cs="Arial" w:eastAsia="Arial" w:hAnsi="Arial"/>
          <w:sz w:val="18"/>
          <w:szCs w:val="18"/>
          <w:color w:val="auto"/>
        </w:rPr>
        <w:t>/s/ W. Douglas Parker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3061335" cy="8890"/>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340">
                      <a:extLst>
                        <a:ext uri="{28A0092B-C50C-407E-A947-70E740481C1C}"/>
                      </a:extLst>
                    </a:blip>
                    <a:srcRect/>
                    <a:stretch>
                      <a:fillRect/>
                    </a:stretch>
                  </pic:blipFill>
                  <pic:spPr bwMode="auto">
                    <a:xfrm>
                      <a:off x="0" y="0"/>
                      <a:ext cx="3061335" cy="8890"/>
                    </a:xfrm>
                    <a:prstGeom prst="rect">
                      <a:avLst/>
                    </a:prstGeom>
                    <a:noFill/>
                  </pic:spPr>
                </pic:pic>
              </a:graphicData>
            </a:graphic>
          </wp:anchor>
        </w:drawing>
      </w:r>
    </w:p>
    <w:p>
      <w:pPr>
        <w:spacing w:after="0" w:line="43" w:lineRule="exact"/>
        <w:rPr>
          <w:sz w:val="20"/>
          <w:szCs w:val="20"/>
          <w:color w:val="auto"/>
        </w:rPr>
      </w:pPr>
    </w:p>
    <w:p>
      <w:pPr>
        <w:ind w:left="40"/>
        <w:spacing w:after="0"/>
        <w:rPr>
          <w:sz w:val="20"/>
          <w:szCs w:val="20"/>
          <w:color w:val="auto"/>
        </w:rPr>
      </w:pPr>
      <w:r>
        <w:rPr>
          <w:rFonts w:ascii="Arial" w:cs="Arial" w:eastAsia="Arial" w:hAnsi="Arial"/>
          <w:sz w:val="18"/>
          <w:szCs w:val="18"/>
          <w:color w:val="auto"/>
        </w:rPr>
        <w:t>Name: W. Douglas Parker</w:t>
      </w:r>
    </w:p>
    <w:p>
      <w:pPr>
        <w:spacing w:after="0" w:line="50" w:lineRule="exact"/>
        <w:rPr>
          <w:sz w:val="20"/>
          <w:szCs w:val="20"/>
          <w:color w:val="auto"/>
        </w:rPr>
      </w:pPr>
    </w:p>
    <w:p>
      <w:pPr>
        <w:ind w:left="40"/>
        <w:spacing w:after="0"/>
        <w:rPr>
          <w:sz w:val="20"/>
          <w:szCs w:val="20"/>
          <w:color w:val="auto"/>
        </w:rPr>
      </w:pPr>
      <w:r>
        <w:rPr>
          <w:rFonts w:ascii="Arial" w:cs="Arial" w:eastAsia="Arial" w:hAnsi="Arial"/>
          <w:sz w:val="18"/>
          <w:szCs w:val="18"/>
          <w:color w:val="auto"/>
        </w:rPr>
        <w:t>Title: Chief Executive Officer</w:t>
      </w:r>
    </w:p>
    <w:p>
      <w:pPr>
        <w:spacing w:after="0" w:line="50" w:lineRule="exact"/>
        <w:rPr>
          <w:sz w:val="20"/>
          <w:szCs w:val="20"/>
          <w:color w:val="auto"/>
        </w:rPr>
      </w:pPr>
    </w:p>
    <w:p>
      <w:pPr>
        <w:ind w:left="40"/>
        <w:spacing w:after="0"/>
        <w:rPr>
          <w:sz w:val="20"/>
          <w:szCs w:val="20"/>
          <w:color w:val="auto"/>
        </w:rPr>
      </w:pPr>
      <w:r>
        <w:rPr>
          <w:rFonts w:ascii="Arial" w:cs="Arial" w:eastAsia="Arial" w:hAnsi="Arial"/>
          <w:sz w:val="18"/>
          <w:szCs w:val="18"/>
          <w:color w:val="auto"/>
        </w:rPr>
        <w:t>Date: February 19, 2020</w:t>
      </w:r>
    </w:p>
    <w:p>
      <w:pPr>
        <w:spacing w:after="0" w:line="200" w:lineRule="exact"/>
        <w:rPr>
          <w:sz w:val="20"/>
          <w:szCs w:val="20"/>
          <w:color w:val="auto"/>
        </w:rPr>
      </w:pPr>
    </w:p>
    <w:p>
      <w:pPr>
        <w:spacing w:after="0" w:line="309" w:lineRule="exact"/>
        <w:rPr>
          <w:sz w:val="20"/>
          <w:szCs w:val="20"/>
          <w:color w:val="auto"/>
        </w:rPr>
      </w:pPr>
    </w:p>
    <w:p>
      <w:pPr>
        <w:ind w:left="40"/>
        <w:spacing w:after="0"/>
        <w:rPr>
          <w:sz w:val="20"/>
          <w:szCs w:val="20"/>
          <w:color w:val="auto"/>
        </w:rPr>
      </w:pPr>
      <w:r>
        <w:rPr>
          <w:rFonts w:ascii="Arial" w:cs="Arial" w:eastAsia="Arial" w:hAnsi="Arial"/>
          <w:sz w:val="18"/>
          <w:szCs w:val="18"/>
          <w:color w:val="auto"/>
        </w:rPr>
        <w:t>/s/ Derek J. Kerr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3061335" cy="8890"/>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341">
                      <a:extLst>
                        <a:ext uri="{28A0092B-C50C-407E-A947-70E740481C1C}"/>
                      </a:extLst>
                    </a:blip>
                    <a:srcRect/>
                    <a:stretch>
                      <a:fillRect/>
                    </a:stretch>
                  </pic:blipFill>
                  <pic:spPr bwMode="auto">
                    <a:xfrm>
                      <a:off x="0" y="0"/>
                      <a:ext cx="3061335" cy="8890"/>
                    </a:xfrm>
                    <a:prstGeom prst="rect">
                      <a:avLst/>
                    </a:prstGeom>
                    <a:noFill/>
                  </pic:spPr>
                </pic:pic>
              </a:graphicData>
            </a:graphic>
          </wp:anchor>
        </w:drawing>
      </w:r>
    </w:p>
    <w:p>
      <w:pPr>
        <w:spacing w:after="0" w:line="43" w:lineRule="exact"/>
        <w:rPr>
          <w:sz w:val="20"/>
          <w:szCs w:val="20"/>
          <w:color w:val="auto"/>
        </w:rPr>
      </w:pPr>
    </w:p>
    <w:p>
      <w:pPr>
        <w:ind w:left="40"/>
        <w:spacing w:after="0"/>
        <w:rPr>
          <w:sz w:val="20"/>
          <w:szCs w:val="20"/>
          <w:color w:val="auto"/>
        </w:rPr>
      </w:pPr>
      <w:r>
        <w:rPr>
          <w:rFonts w:ascii="Arial" w:cs="Arial" w:eastAsia="Arial" w:hAnsi="Arial"/>
          <w:sz w:val="18"/>
          <w:szCs w:val="18"/>
          <w:color w:val="auto"/>
        </w:rPr>
        <w:t>Name: Derek J. Kerr</w:t>
      </w:r>
    </w:p>
    <w:p>
      <w:pPr>
        <w:spacing w:after="0" w:line="50" w:lineRule="exact"/>
        <w:rPr>
          <w:sz w:val="20"/>
          <w:szCs w:val="20"/>
          <w:color w:val="auto"/>
        </w:rPr>
      </w:pPr>
    </w:p>
    <w:p>
      <w:pPr>
        <w:ind w:left="40"/>
        <w:spacing w:after="0"/>
        <w:rPr>
          <w:sz w:val="20"/>
          <w:szCs w:val="20"/>
          <w:color w:val="auto"/>
        </w:rPr>
      </w:pPr>
      <w:r>
        <w:rPr>
          <w:rFonts w:ascii="Arial" w:cs="Arial" w:eastAsia="Arial" w:hAnsi="Arial"/>
          <w:sz w:val="18"/>
          <w:szCs w:val="18"/>
          <w:color w:val="auto"/>
        </w:rPr>
        <w:t>Title: Executive Vice President and Chief Financial Officer</w:t>
      </w:r>
    </w:p>
    <w:p>
      <w:pPr>
        <w:spacing w:after="0" w:line="50" w:lineRule="exact"/>
        <w:rPr>
          <w:sz w:val="20"/>
          <w:szCs w:val="20"/>
          <w:color w:val="auto"/>
        </w:rPr>
      </w:pPr>
    </w:p>
    <w:p>
      <w:pPr>
        <w:ind w:left="40"/>
        <w:spacing w:after="0"/>
        <w:rPr>
          <w:sz w:val="20"/>
          <w:szCs w:val="20"/>
          <w:color w:val="auto"/>
        </w:rPr>
      </w:pPr>
      <w:r>
        <w:rPr>
          <w:rFonts w:ascii="Arial" w:cs="Arial" w:eastAsia="Arial" w:hAnsi="Arial"/>
          <w:sz w:val="18"/>
          <w:szCs w:val="18"/>
          <w:color w:val="auto"/>
        </w:rPr>
        <w:t>Date: February 19, 2020</w:t>
      </w:r>
    </w:p>
    <w:p>
      <w:pPr>
        <w:spacing w:after="0" w:line="239" w:lineRule="exact"/>
        <w:rPr>
          <w:sz w:val="20"/>
          <w:szCs w:val="20"/>
          <w:color w:val="auto"/>
        </w:rPr>
      </w:pPr>
    </w:p>
    <w:p>
      <w:pPr>
        <w:jc w:val="both"/>
        <w:spacing w:after="0" w:line="256" w:lineRule="auto"/>
        <w:rPr>
          <w:sz w:val="20"/>
          <w:szCs w:val="20"/>
          <w:color w:val="auto"/>
        </w:rPr>
      </w:pPr>
      <w:r>
        <w:rPr>
          <w:rFonts w:ascii="Arial" w:cs="Arial" w:eastAsia="Arial" w:hAnsi="Arial"/>
          <w:sz w:val="18"/>
          <w:szCs w:val="18"/>
          <w:color w:val="auto"/>
        </w:rPr>
        <w:t>This certification is being furnished to accompany the Report pursuant to 18 U.S.C. § 1350 and shall not be deemed filed by the Company for purposes of Section 18 of the Securities Exchange Act of 1934, as amended, and is not to be incorporated by reference into any filing of the Company, whether made before or after the date hereof, regardless of any general incorporation language in such filing.</w:t>
      </w:r>
    </w:p>
    <w:sectPr>
      <w:pgSz w:w="11900" w:h="16838" w:orient="portrait"/>
      <w:cols w:equalWidth="0" w:num="1">
        <w:col w:w="11420"/>
      </w:cols>
      <w:pgMar w:left="240" w:top="549"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15B5AF5C"/>
    <w:multiLevelType w:val="hybridMultilevel"/>
    <w:lvl w:ilvl="0">
      <w:lvlJc w:val="left"/>
      <w:lvlText w:val="☒"/>
      <w:numFmt w:val="bullet"/>
      <w:start w:val="1"/>
    </w:lvl>
  </w:abstractNum>
  <w:abstractNum w:abstractNumId="1">
    <w:nsid w:val="741226BB"/>
    <w:multiLevelType w:val="hybridMultilevel"/>
    <w:lvl w:ilvl="0">
      <w:lvlJc w:val="left"/>
      <w:lvlText w:val="☐"/>
      <w:numFmt w:val="bullet"/>
      <w:start w:val="1"/>
    </w:lvl>
  </w:abstractNum>
  <w:abstractNum w:abstractNumId="2">
    <w:nsid w:val="D34B6A8"/>
    <w:multiLevelType w:val="hybridMultilevel"/>
    <w:lvl w:ilvl="0">
      <w:lvlJc w:val="left"/>
      <w:lvlText w:val="☒"/>
      <w:numFmt w:val="bullet"/>
      <w:start w:val="1"/>
    </w:lvl>
  </w:abstractNum>
  <w:abstractNum w:abstractNumId="3">
    <w:nsid w:val="10233C99"/>
    <w:multiLevelType w:val="hybridMultilevel"/>
    <w:lvl w:ilvl="0">
      <w:lvlJc w:val="left"/>
      <w:lvlText w:val="%1."/>
      <w:numFmt w:val="decimal"/>
      <w:start w:val="7"/>
    </w:lvl>
  </w:abstractNum>
  <w:abstractNum w:abstractNumId="4">
    <w:nsid w:val="3F6AB60F"/>
    <w:multiLevelType w:val="hybridMultilevel"/>
    <w:lvl w:ilvl="0">
      <w:lvlJc w:val="left"/>
      <w:lvlText w:val="(%1)"/>
      <w:numFmt w:val="decimal"/>
      <w:start w:val="1"/>
    </w:lvl>
  </w:abstractNum>
  <w:abstractNum w:abstractNumId="5">
    <w:nsid w:val="61574095"/>
    <w:multiLevelType w:val="hybridMultilevel"/>
    <w:lvl w:ilvl="0">
      <w:lvlJc w:val="left"/>
      <w:lvlText w:val="•"/>
      <w:numFmt w:val="bullet"/>
      <w:start w:val="1"/>
    </w:lvl>
  </w:abstractNum>
  <w:abstractNum w:abstractNumId="6">
    <w:nsid w:val="7E0C57B1"/>
    <w:multiLevelType w:val="hybridMultilevel"/>
    <w:lvl w:ilvl="0">
      <w:lvlJc w:val="left"/>
      <w:lvlText w:val="•"/>
      <w:numFmt w:val="bullet"/>
      <w:start w:val="1"/>
    </w:lvl>
  </w:abstractNum>
  <w:abstractNum w:abstractNumId="7">
    <w:nsid w:val="77AE35EB"/>
    <w:multiLevelType w:val="hybridMultilevel"/>
    <w:lvl w:ilvl="0">
      <w:lvlJc w:val="left"/>
      <w:lvlText w:val="•"/>
      <w:numFmt w:val="bullet"/>
      <w:start w:val="1"/>
    </w:lvl>
  </w:abstractNum>
  <w:abstractNum w:abstractNumId="8">
    <w:nsid w:val="579BE4F1"/>
    <w:multiLevelType w:val="hybridMultilevel"/>
    <w:lvl w:ilvl="0">
      <w:lvlJc w:val="left"/>
      <w:lvlText w:val="•"/>
      <w:numFmt w:val="bullet"/>
      <w:start w:val="1"/>
    </w:lvl>
    <w:lvl w:ilvl="1">
      <w:lvlJc w:val="left"/>
      <w:lvlText w:val="◦"/>
      <w:numFmt w:val="bullet"/>
      <w:start w:val="1"/>
    </w:lvl>
  </w:abstractNum>
  <w:abstractNum w:abstractNumId="9">
    <w:nsid w:val="310C50B3"/>
    <w:multiLevelType w:val="hybridMultilevel"/>
    <w:lvl w:ilvl="0">
      <w:lvlJc w:val="left"/>
      <w:lvlText w:val="•"/>
      <w:numFmt w:val="bullet"/>
      <w:start w:val="1"/>
    </w:lvl>
  </w:abstractNum>
  <w:abstractNum w:abstractNumId="10">
    <w:nsid w:val="5FF87E05"/>
    <w:multiLevelType w:val="hybridMultilevel"/>
    <w:lvl w:ilvl="0">
      <w:lvlJc w:val="left"/>
      <w:lvlText w:val="•"/>
      <w:numFmt w:val="bullet"/>
      <w:start w:val="1"/>
    </w:lvl>
  </w:abstractNum>
  <w:abstractNum w:abstractNumId="11">
    <w:nsid w:val="2F305DEF"/>
    <w:multiLevelType w:val="hybridMultilevel"/>
    <w:lvl w:ilvl="0">
      <w:lvlJc w:val="left"/>
      <w:lvlText w:val="•"/>
      <w:numFmt w:val="bullet"/>
      <w:start w:val="1"/>
    </w:lvl>
  </w:abstractNum>
  <w:abstractNum w:abstractNumId="12">
    <w:nsid w:val="25A70BF7"/>
    <w:multiLevelType w:val="hybridMultilevel"/>
    <w:lvl w:ilvl="0">
      <w:lvlJc w:val="left"/>
      <w:lvlText w:val="(%1)"/>
      <w:numFmt w:val="decimal"/>
      <w:start w:val="1"/>
    </w:lvl>
  </w:abstractNum>
  <w:abstractNum w:abstractNumId="13">
    <w:nsid w:val="1DBABF00"/>
    <w:multiLevelType w:val="hybridMultilevel"/>
    <w:lvl w:ilvl="0">
      <w:lvlJc w:val="left"/>
      <w:lvlText w:val="(%1)"/>
      <w:numFmt w:val="decimal"/>
      <w:start w:val="1"/>
    </w:lvl>
  </w:abstractNum>
  <w:abstractNum w:abstractNumId="14">
    <w:nsid w:val="4AD084E9"/>
    <w:multiLevelType w:val="hybridMultilevel"/>
    <w:lvl w:ilvl="0">
      <w:lvlJc w:val="left"/>
      <w:lvlText w:val="(%1)"/>
      <w:numFmt w:val="decimal"/>
      <w:start w:val="1"/>
    </w:lvl>
  </w:abstractNum>
  <w:abstractNum w:abstractNumId="15">
    <w:nsid w:val="1F48EAA1"/>
    <w:multiLevelType w:val="hybridMultilevel"/>
    <w:lvl w:ilvl="0">
      <w:lvlJc w:val="left"/>
      <w:lvlText w:val="-"/>
      <w:numFmt w:val="bullet"/>
      <w:start w:val="1"/>
    </w:lvl>
  </w:abstractNum>
  <w:abstractNum w:abstractNumId="16">
    <w:nsid w:val="1381823A"/>
    <w:multiLevelType w:val="hybridMultilevel"/>
    <w:lvl w:ilvl="0">
      <w:lvlJc w:val="left"/>
      <w:lvlText w:val="(%1)"/>
      <w:numFmt w:val="decimal"/>
      <w:start w:val="1"/>
    </w:lvl>
  </w:abstractNum>
  <w:abstractNum w:abstractNumId="17">
    <w:nsid w:val="5DB70AE5"/>
    <w:multiLevelType w:val="hybridMultilevel"/>
    <w:lvl w:ilvl="0">
      <w:lvlJc w:val="left"/>
      <w:lvlText w:val="(%1)"/>
      <w:numFmt w:val="decimal"/>
      <w:start w:val="1"/>
    </w:lvl>
  </w:abstractNum>
  <w:abstractNum w:abstractNumId="18">
    <w:nsid w:val="100F8FCA"/>
    <w:multiLevelType w:val="hybridMultilevel"/>
    <w:lvl w:ilvl="0">
      <w:lvlJc w:val="left"/>
      <w:lvlText w:val="(%1)"/>
      <w:numFmt w:val="decimal"/>
      <w:start w:val="1"/>
    </w:lvl>
  </w:abstractNum>
  <w:abstractNum w:abstractNumId="19">
    <w:nsid w:val="6590700B"/>
    <w:multiLevelType w:val="hybridMultilevel"/>
    <w:lvl w:ilvl="0">
      <w:lvlJc w:val="left"/>
      <w:lvlText w:val="(%1)"/>
      <w:numFmt w:val="decimal"/>
      <w:start w:val="1"/>
    </w:lvl>
  </w:abstractNum>
  <w:abstractNum w:abstractNumId="20">
    <w:nsid w:val="15014ACB"/>
    <w:multiLevelType w:val="hybridMultilevel"/>
    <w:lvl w:ilvl="0">
      <w:lvlJc w:val="left"/>
      <w:lvlText w:val="•"/>
      <w:numFmt w:val="bullet"/>
      <w:start w:val="1"/>
    </w:lvl>
  </w:abstractNum>
  <w:abstractNum w:abstractNumId="21">
    <w:nsid w:val="5F5E7FD0"/>
    <w:multiLevelType w:val="hybridMultilevel"/>
    <w:lvl w:ilvl="0">
      <w:lvlJc w:val="left"/>
      <w:lvlText w:val="(%1)"/>
      <w:numFmt w:val="lowerLetter"/>
      <w:start w:val="8"/>
    </w:lvl>
  </w:abstractNum>
  <w:abstractNum w:abstractNumId="22">
    <w:nsid w:val="98A3148"/>
    <w:multiLevelType w:val="hybridMultilevel"/>
    <w:lvl w:ilvl="0">
      <w:lvlJc w:val="left"/>
      <w:lvlText w:val="•"/>
      <w:numFmt w:val="bullet"/>
      <w:start w:val="1"/>
    </w:lvl>
  </w:abstractNum>
  <w:abstractNum w:abstractNumId="23">
    <w:nsid w:val="799D0247"/>
    <w:multiLevelType w:val="hybridMultilevel"/>
    <w:lvl w:ilvl="0">
      <w:lvlJc w:val="left"/>
      <w:lvlText w:val="•"/>
      <w:numFmt w:val="bullet"/>
      <w:start w:val="1"/>
    </w:lvl>
  </w:abstractNum>
  <w:abstractNum w:abstractNumId="24">
    <w:nsid w:val="6B94764"/>
    <w:multiLevelType w:val="hybridMultilevel"/>
    <w:lvl w:ilvl="0">
      <w:lvlJc w:val="left"/>
      <w:lvlText w:val="•"/>
      <w:numFmt w:val="bullet"/>
      <w:start w:val="1"/>
    </w:lvl>
  </w:abstractNum>
  <w:abstractNum w:abstractNumId="25">
    <w:nsid w:val="42C296BD"/>
    <w:multiLevelType w:val="hybridMultilevel"/>
    <w:lvl w:ilvl="0">
      <w:lvlJc w:val="left"/>
      <w:lvlText w:val="•"/>
      <w:numFmt w:val="bullet"/>
      <w:start w:val="1"/>
    </w:lvl>
  </w:abstractNum>
  <w:abstractNum w:abstractNumId="26">
    <w:nsid w:val="168E121F"/>
    <w:multiLevelType w:val="hybridMultilevel"/>
    <w:lvl w:ilvl="0">
      <w:lvlJc w:val="left"/>
      <w:lvlText w:val="(%1)"/>
      <w:numFmt w:val="decimal"/>
      <w:start w:val="3"/>
    </w:lvl>
  </w:abstractNum>
  <w:abstractNum w:abstractNumId="27">
    <w:nsid w:val="1EBA5D23"/>
    <w:multiLevelType w:val="hybridMultilevel"/>
    <w:lvl w:ilvl="0">
      <w:lvlJc w:val="left"/>
      <w:lvlText w:val="(%1)"/>
      <w:numFmt w:val="decimal"/>
      <w:start w:val="1"/>
    </w:lvl>
  </w:abstractNum>
  <w:abstractNum w:abstractNumId="28">
    <w:nsid w:val="661E3F1E"/>
    <w:multiLevelType w:val="hybridMultilevel"/>
    <w:lvl w:ilvl="0">
      <w:lvlJc w:val="left"/>
      <w:lvlText w:val="(%1)"/>
      <w:numFmt w:val="lowerLetter"/>
      <w:start w:val="1"/>
    </w:lvl>
  </w:abstractNum>
  <w:abstractNum w:abstractNumId="29">
    <w:nsid w:val="5DC79EA8"/>
    <w:multiLevelType w:val="hybridMultilevel"/>
    <w:lvl w:ilvl="0">
      <w:lvlJc w:val="left"/>
      <w:lvlText w:val="%1."/>
      <w:numFmt w:val="decimal"/>
      <w:start w:val="1"/>
    </w:lvl>
    <w:lvl w:ilvl="1">
      <w:lvlJc w:val="left"/>
      <w:lvlText w:val="(%2)"/>
      <w:numFmt w:val="lowerLetter"/>
      <w:start w:val="1"/>
    </w:lvl>
  </w:abstractNum>
  <w:abstractNum w:abstractNumId="30">
    <w:nsid w:val="540A471C"/>
    <w:multiLevelType w:val="hybridMultilevel"/>
    <w:lvl w:ilvl="0">
      <w:lvlJc w:val="left"/>
      <w:lvlText w:val="(%1)"/>
      <w:numFmt w:val="lowerLetter"/>
      <w:start w:val="11"/>
    </w:lvl>
  </w:abstractNum>
  <w:abstractNum w:abstractNumId="31">
    <w:nsid w:val="7BD3EE7B"/>
    <w:multiLevelType w:val="hybridMultilevel"/>
    <w:lvl w:ilvl="0">
      <w:lvlJc w:val="left"/>
      <w:lvlText w:val="(%1)"/>
      <w:numFmt w:val="decimal"/>
      <w:start w:val="1"/>
    </w:lvl>
  </w:abstractNum>
  <w:abstractNum w:abstractNumId="32">
    <w:nsid w:val="51D9C564"/>
    <w:multiLevelType w:val="hybridMultilevel"/>
    <w:lvl w:ilvl="0">
      <w:lvlJc w:val="left"/>
      <w:lvlText w:val="(%1)"/>
      <w:numFmt w:val="decimal"/>
      <w:start w:val="1"/>
    </w:lvl>
  </w:abstractNum>
  <w:abstractNum w:abstractNumId="33">
    <w:nsid w:val="613EFDC5"/>
    <w:multiLevelType w:val="hybridMultilevel"/>
    <w:lvl w:ilvl="0">
      <w:lvlJc w:val="left"/>
      <w:lvlText w:val="(%1)"/>
      <w:numFmt w:val="decimal"/>
      <w:start w:val="1"/>
    </w:lvl>
  </w:abstractNum>
  <w:abstractNum w:abstractNumId="34">
    <w:nsid w:val="BF72B14"/>
    <w:multiLevelType w:val="hybridMultilevel"/>
    <w:lvl w:ilvl="0">
      <w:lvlJc w:val="left"/>
      <w:lvlText w:val="(%1)"/>
      <w:numFmt w:val="decimal"/>
      <w:start w:val="1"/>
    </w:lvl>
  </w:abstractNum>
  <w:abstractNum w:abstractNumId="35">
    <w:nsid w:val="11447B73"/>
    <w:multiLevelType w:val="hybridMultilevel"/>
    <w:lvl w:ilvl="0">
      <w:lvlJc w:val="left"/>
      <w:lvlText w:val="(%1)"/>
      <w:numFmt w:val="decimal"/>
      <w:start w:val="6"/>
    </w:lvl>
  </w:abstractNum>
  <w:abstractNum w:abstractNumId="36">
    <w:nsid w:val="42963E5A"/>
    <w:multiLevelType w:val="hybridMultilevel"/>
    <w:lvl w:ilvl="0">
      <w:lvlJc w:val="left"/>
      <w:lvlText w:val="(%1)"/>
      <w:numFmt w:val="decimal"/>
      <w:start w:val="10"/>
    </w:lvl>
  </w:abstractNum>
  <w:abstractNum w:abstractNumId="37">
    <w:nsid w:val="A0382C5"/>
    <w:multiLevelType w:val="hybridMultilevel"/>
    <w:lvl w:ilvl="0">
      <w:lvlJc w:val="left"/>
      <w:lvlText w:val="(%1)"/>
      <w:numFmt w:val="lowerLetter"/>
      <w:start w:val="1"/>
    </w:lvl>
  </w:abstractNum>
  <w:abstractNum w:abstractNumId="38">
    <w:nsid w:val="8F2B15E"/>
    <w:multiLevelType w:val="hybridMultilevel"/>
    <w:lvl w:ilvl="0">
      <w:lvlJc w:val="left"/>
      <w:lvlText w:val="%1."/>
      <w:numFmt w:val="decimal"/>
      <w:start w:val="9"/>
    </w:lvl>
  </w:abstractNum>
  <w:abstractNum w:abstractNumId="39">
    <w:nsid w:val="1A32234B"/>
    <w:multiLevelType w:val="hybridMultilevel"/>
    <w:lvl w:ilvl="0">
      <w:lvlJc w:val="left"/>
      <w:lvlText w:val="•"/>
      <w:numFmt w:val="bullet"/>
      <w:start w:val="1"/>
    </w:lvl>
  </w:abstractNum>
  <w:abstractNum w:abstractNumId="40">
    <w:nsid w:val="3B0FD379"/>
    <w:multiLevelType w:val="hybridMultilevel"/>
    <w:lvl w:ilvl="0">
      <w:lvlJc w:val="left"/>
      <w:lvlText w:val="(%1)"/>
      <w:numFmt w:val="decimal"/>
      <w:start w:val="1"/>
    </w:lvl>
  </w:abstractNum>
  <w:abstractNum w:abstractNumId="41">
    <w:nsid w:val="68EB2F63"/>
    <w:multiLevelType w:val="hybridMultilevel"/>
    <w:lvl w:ilvl="0">
      <w:lvlJc w:val="left"/>
      <w:lvlText w:val="(%1)"/>
      <w:numFmt w:val="decimal"/>
      <w:start w:val="1"/>
    </w:lvl>
  </w:abstractNum>
  <w:abstractNum w:abstractNumId="42">
    <w:nsid w:val="4962813B"/>
    <w:multiLevelType w:val="hybridMultilevel"/>
    <w:lvl w:ilvl="0">
      <w:lvlJc w:val="left"/>
      <w:lvlText w:val="(%1)"/>
      <w:numFmt w:val="decimal"/>
      <w:start w:val="1"/>
    </w:lvl>
  </w:abstractNum>
  <w:abstractNum w:abstractNumId="43">
    <w:nsid w:val="60B6DF70"/>
    <w:multiLevelType w:val="hybridMultilevel"/>
    <w:lvl w:ilvl="0">
      <w:lvlJc w:val="left"/>
      <w:lvlText w:val="(%1)"/>
      <w:numFmt w:val="lowerLetter"/>
      <w:start w:val="4"/>
    </w:lvl>
  </w:abstractNum>
  <w:abstractNum w:abstractNumId="44">
    <w:nsid w:val="6A5EE64"/>
    <w:multiLevelType w:val="hybridMultilevel"/>
    <w:lvl w:ilvl="0">
      <w:lvlJc w:val="left"/>
      <w:lvlText w:val="(%1)"/>
      <w:numFmt w:val="decimal"/>
      <w:start w:val="1"/>
    </w:lvl>
  </w:abstractNum>
  <w:abstractNum w:abstractNumId="45">
    <w:nsid w:val="14330624"/>
    <w:multiLevelType w:val="hybridMultilevel"/>
    <w:lvl w:ilvl="0">
      <w:lvlJc w:val="left"/>
      <w:lvlText w:val="%1."/>
      <w:numFmt w:val="decimal"/>
      <w:start w:val="12"/>
    </w:lvl>
    <w:lvl w:ilvl="1">
      <w:lvlJc w:val="left"/>
      <w:lvlText w:val="(%2)"/>
      <w:numFmt w:val="lowerLetter"/>
      <w:start w:val="1"/>
    </w:lvl>
  </w:abstractNum>
  <w:abstractNum w:abstractNumId="46">
    <w:nsid w:val="7FFFCA11"/>
    <w:multiLevelType w:val="hybridMultilevel"/>
    <w:lvl w:ilvl="0">
      <w:lvlJc w:val="left"/>
      <w:lvlText w:val="(%1)"/>
      <w:numFmt w:val="decimal"/>
      <w:start w:val="1"/>
    </w:lvl>
  </w:abstractNum>
  <w:abstractNum w:abstractNumId="47">
    <w:nsid w:val="1A27709E"/>
    <w:multiLevelType w:val="hybridMultilevel"/>
    <w:lvl w:ilvl="0">
      <w:lvlJc w:val="left"/>
      <w:lvlText w:val="(%1)"/>
      <w:numFmt w:val="decimal"/>
      <w:start w:val="1"/>
    </w:lvl>
  </w:abstractNum>
  <w:abstractNum w:abstractNumId="48">
    <w:nsid w:val="71EA1109"/>
    <w:multiLevelType w:val="hybridMultilevel"/>
    <w:lvl w:ilvl="0">
      <w:lvlJc w:val="left"/>
      <w:lvlText w:val="(%1)"/>
      <w:numFmt w:val="lowerLetter"/>
      <w:start w:val="4"/>
    </w:lvl>
  </w:abstractNum>
  <w:abstractNum w:abstractNumId="49">
    <w:nsid w:val="100F59DC"/>
    <w:multiLevelType w:val="hybridMultilevel"/>
    <w:lvl w:ilvl="0">
      <w:lvlJc w:val="left"/>
      <w:lvlText w:val="%1."/>
      <w:numFmt w:val="decimal"/>
      <w:start w:val="18"/>
    </w:lvl>
  </w:abstractNum>
  <w:abstractNum w:abstractNumId="50">
    <w:nsid w:val="7FB7E0AA"/>
    <w:multiLevelType w:val="hybridMultilevel"/>
    <w:lvl w:ilvl="0">
      <w:lvlJc w:val="left"/>
      <w:lvlText w:val="(%1)"/>
      <w:numFmt w:val="lowerLetter"/>
      <w:start w:val="1"/>
    </w:lvl>
  </w:abstractNum>
  <w:abstractNum w:abstractNumId="51">
    <w:nsid w:val="6EB5BD4"/>
    <w:multiLevelType w:val="hybridMultilevel"/>
    <w:lvl w:ilvl="0">
      <w:lvlJc w:val="left"/>
      <w:lvlText w:val="%1."/>
      <w:numFmt w:val="decimal"/>
      <w:start w:val="1"/>
    </w:lvl>
    <w:lvl w:ilvl="1">
      <w:lvlJc w:val="left"/>
      <w:lvlText w:val="(%2)"/>
      <w:numFmt w:val="lowerLetter"/>
      <w:start w:val="1"/>
    </w:lvl>
  </w:abstractNum>
  <w:abstractNum w:abstractNumId="52">
    <w:nsid w:val="6F6DD9AC"/>
    <w:multiLevelType w:val="hybridMultilevel"/>
    <w:lvl w:ilvl="0">
      <w:lvlJc w:val="left"/>
      <w:lvlText w:val="(%1)"/>
      <w:numFmt w:val="lowerLetter"/>
      <w:start w:val="11"/>
    </w:lvl>
  </w:abstractNum>
  <w:abstractNum w:abstractNumId="53">
    <w:nsid w:val="94211F2"/>
    <w:multiLevelType w:val="hybridMultilevel"/>
    <w:lvl w:ilvl="0">
      <w:lvlJc w:val="left"/>
      <w:lvlText w:val="(%1)"/>
      <w:numFmt w:val="decimal"/>
      <w:start w:val="1"/>
    </w:lvl>
  </w:abstractNum>
  <w:abstractNum w:abstractNumId="54">
    <w:nsid w:val="885E1B"/>
    <w:multiLevelType w:val="hybridMultilevel"/>
    <w:lvl w:ilvl="0">
      <w:lvlJc w:val="left"/>
      <w:lvlText w:val="(%1)"/>
      <w:numFmt w:val="decimal"/>
      <w:start w:val="1"/>
    </w:lvl>
  </w:abstractNum>
  <w:abstractNum w:abstractNumId="55">
    <w:nsid w:val="76272110"/>
    <w:multiLevelType w:val="hybridMultilevel"/>
    <w:lvl w:ilvl="0">
      <w:lvlJc w:val="left"/>
      <w:lvlText w:val="(%1)"/>
      <w:numFmt w:val="decimal"/>
      <w:start w:val="1"/>
    </w:lvl>
  </w:abstractNum>
  <w:abstractNum w:abstractNumId="56">
    <w:nsid w:val="4C04A8AF"/>
    <w:multiLevelType w:val="hybridMultilevel"/>
    <w:lvl w:ilvl="0">
      <w:lvlJc w:val="left"/>
      <w:lvlText w:val="(%1)"/>
      <w:numFmt w:val="decimal"/>
      <w:start w:val="1"/>
    </w:lvl>
  </w:abstractNum>
  <w:abstractNum w:abstractNumId="57">
    <w:nsid w:val="1716703B"/>
    <w:multiLevelType w:val="hybridMultilevel"/>
    <w:lvl w:ilvl="0">
      <w:lvlJc w:val="left"/>
      <w:lvlText w:val="(%1)"/>
      <w:numFmt w:val="decimal"/>
      <w:start w:val="6"/>
    </w:lvl>
  </w:abstractNum>
  <w:abstractNum w:abstractNumId="58">
    <w:nsid w:val="14E17E33"/>
    <w:multiLevelType w:val="hybridMultilevel"/>
    <w:lvl w:ilvl="0">
      <w:lvlJc w:val="left"/>
      <w:lvlText w:val="(%1)"/>
      <w:numFmt w:val="decimal"/>
      <w:start w:val="10"/>
    </w:lvl>
  </w:abstractNum>
  <w:abstractNum w:abstractNumId="59">
    <w:nsid w:val="3222E7CD"/>
    <w:multiLevelType w:val="hybridMultilevel"/>
    <w:lvl w:ilvl="0">
      <w:lvlJc w:val="left"/>
      <w:lvlText w:val="(%1)"/>
      <w:numFmt w:val="lowerLetter"/>
      <w:start w:val="1"/>
    </w:lvl>
  </w:abstractNum>
  <w:abstractNum w:abstractNumId="60">
    <w:nsid w:val="74DE0EE3"/>
    <w:multiLevelType w:val="hybridMultilevel"/>
    <w:lvl w:ilvl="0">
      <w:lvlJc w:val="left"/>
      <w:lvlText w:val="%1."/>
      <w:numFmt w:val="decimal"/>
      <w:start w:val="7"/>
    </w:lvl>
  </w:abstractNum>
  <w:abstractNum w:abstractNumId="61">
    <w:nsid w:val="68EBC550"/>
    <w:multiLevelType w:val="hybridMultilevel"/>
    <w:lvl w:ilvl="0">
      <w:lvlJc w:val="left"/>
      <w:lvlText w:val="•"/>
      <w:numFmt w:val="bullet"/>
      <w:start w:val="1"/>
    </w:lvl>
  </w:abstractNum>
  <w:abstractNum w:abstractNumId="62">
    <w:nsid w:val="2DF6D648"/>
    <w:multiLevelType w:val="hybridMultilevel"/>
    <w:lvl w:ilvl="0">
      <w:lvlJc w:val="left"/>
      <w:lvlText w:val="(%1)"/>
      <w:numFmt w:val="decimal"/>
      <w:start w:val="3"/>
    </w:lvl>
  </w:abstractNum>
  <w:abstractNum w:abstractNumId="63">
    <w:nsid w:val="46B7D447"/>
    <w:multiLevelType w:val="hybridMultilevel"/>
    <w:lvl w:ilvl="0">
      <w:lvlJc w:val="left"/>
      <w:lvlText w:val="(%1)"/>
      <w:numFmt w:val="decimal"/>
      <w:start w:val="1"/>
    </w:lvl>
  </w:abstractNum>
  <w:abstractNum w:abstractNumId="64">
    <w:nsid w:val="4A2AC315"/>
    <w:multiLevelType w:val="hybridMultilevel"/>
    <w:lvl w:ilvl="0">
      <w:lvlJc w:val="left"/>
      <w:lvlText w:val="(%1)"/>
      <w:numFmt w:val="lowerLetter"/>
      <w:start w:val="5"/>
    </w:lvl>
  </w:abstractNum>
  <w:abstractNum w:abstractNumId="65">
    <w:nsid w:val="39EE015C"/>
    <w:multiLevelType w:val="hybridMultilevel"/>
    <w:lvl w:ilvl="0">
      <w:lvlJc w:val="left"/>
      <w:lvlText w:val="(%1)"/>
      <w:numFmt w:val="decimal"/>
      <w:start w:val="1"/>
    </w:lvl>
  </w:abstractNum>
  <w:abstractNum w:abstractNumId="66">
    <w:nsid w:val="57FC4FBB"/>
    <w:multiLevelType w:val="hybridMultilevel"/>
    <w:lvl w:ilvl="0">
      <w:lvlJc w:val="left"/>
      <w:lvlText w:val="%1."/>
      <w:numFmt w:val="decimal"/>
      <w:start w:val="10"/>
    </w:lvl>
    <w:lvl w:ilvl="1">
      <w:lvlJc w:val="left"/>
      <w:lvlText w:val="(%2)"/>
      <w:numFmt w:val="lowerLetter"/>
      <w:start w:val="1"/>
    </w:lvl>
  </w:abstractNum>
  <w:abstractNum w:abstractNumId="67">
    <w:nsid w:val="CC1016F"/>
    <w:multiLevelType w:val="hybridMultilevel"/>
    <w:lvl w:ilvl="0">
      <w:lvlJc w:val="left"/>
      <w:lvlText w:val="(%1)"/>
      <w:numFmt w:val="decimal"/>
      <w:start w:val="1"/>
    </w:lvl>
  </w:abstractNum>
  <w:abstractNum w:abstractNumId="68">
    <w:nsid w:val="43F18422"/>
    <w:multiLevelType w:val="hybridMultilevel"/>
    <w:lvl w:ilvl="0">
      <w:lvlJc w:val="left"/>
      <w:lvlText w:val="(%1)"/>
      <w:numFmt w:val="decimal"/>
      <w:start w:val="1"/>
    </w:lvl>
  </w:abstractNum>
  <w:abstractNum w:abstractNumId="69">
    <w:nsid w:val="60EF0119"/>
    <w:multiLevelType w:val="hybridMultilevel"/>
    <w:lvl w:ilvl="0">
      <w:lvlJc w:val="left"/>
      <w:lvlText w:val="(%1)"/>
      <w:numFmt w:val="lowerLetter"/>
      <w:start w:val="4"/>
    </w:lvl>
  </w:abstractNum>
  <w:abstractNum w:abstractNumId="70">
    <w:nsid w:val="26F324BA"/>
    <w:multiLevelType w:val="hybridMultilevel"/>
    <w:lvl w:ilvl="0">
      <w:lvlJc w:val="left"/>
      <w:lvlText w:val="•"/>
      <w:numFmt w:val="bullet"/>
      <w:start w:val="1"/>
    </w:lvl>
  </w:abstractNum>
  <w:abstractNum w:abstractNumId="71">
    <w:nsid w:val="7F01579B"/>
    <w:multiLevelType w:val="hybridMultilevel"/>
    <w:lvl w:ilvl="0">
      <w:lvlJc w:val="left"/>
      <w:lvlText w:val="#"/>
      <w:numFmt w:val="bullet"/>
      <w:start w:val="1"/>
    </w:lvl>
  </w:abstractNum>
  <w:abstractNum w:abstractNumId="72">
    <w:nsid w:val="49DA307D"/>
    <w:multiLevelType w:val="hybridMultilevel"/>
    <w:lvl w:ilvl="0">
      <w:lvlJc w:val="left"/>
      <w:lvlText w:val="**"/>
      <w:numFmt w:val="bullet"/>
      <w:start w:val="1"/>
    </w:lvl>
    <w:lvl w:ilvl="1">
      <w:lvlJc w:val="left"/>
      <w:lvlText w:val="*"/>
      <w:numFmt w:val="bullet"/>
      <w:start w:val="1"/>
    </w:lvl>
  </w:abstractNum>
  <w:abstractNum w:abstractNumId="73">
    <w:nsid w:val="7055A5F5"/>
    <w:multiLevelType w:val="hybridMultilevel"/>
    <w:lvl w:ilvl="0">
      <w:lvlJc w:val="left"/>
      <w:lvlText w:val="•"/>
      <w:numFmt w:val="bullet"/>
      <w:start w:val="1"/>
    </w:lvl>
  </w:abstractNum>
  <w:abstractNum w:abstractNumId="74">
    <w:nsid w:val="5FB8370B"/>
    <w:multiLevelType w:val="hybridMultilevel"/>
    <w:lvl w:ilvl="0">
      <w:lvlJc w:val="left"/>
      <w:lvlText w:val="•"/>
      <w:numFmt w:val="bullet"/>
      <w:start w:val="1"/>
    </w:lvl>
  </w:abstractNum>
  <w:abstractNum w:abstractNumId="75">
    <w:nsid w:val="50801EE1"/>
    <w:multiLevelType w:val="hybridMultilevel"/>
    <w:lvl w:ilvl="0">
      <w:lvlJc w:val="left"/>
      <w:lvlText w:val="•"/>
      <w:numFmt w:val="bullet"/>
      <w:start w:val="1"/>
    </w:lvl>
  </w:abstractNum>
  <w:abstractNum w:abstractNumId="76">
    <w:nsid w:val="488AC1A"/>
    <w:multiLevelType w:val="hybridMultilevel"/>
    <w:lvl w:ilvl="0">
      <w:lvlJc w:val="left"/>
      <w:lvlText w:val="•"/>
      <w:numFmt w:val="bullet"/>
      <w:start w:val="1"/>
    </w:lvl>
  </w:abstractNum>
  <w:abstractNum w:abstractNumId="77">
    <w:nsid w:val="5FB8011C"/>
    <w:multiLevelType w:val="hybridMultilevel"/>
    <w:lvl w:ilvl="0">
      <w:lvlJc w:val="left"/>
      <w:lvlText w:val="•"/>
      <w:numFmt w:val="bullet"/>
      <w:start w:val="1"/>
    </w:lvl>
  </w:abstractNum>
  <w:abstractNum w:abstractNumId="78">
    <w:nsid w:val="6AA78F7F"/>
    <w:multiLevelType w:val="hybridMultilevel"/>
    <w:lvl w:ilvl="0">
      <w:lvlJc w:val="left"/>
      <w:lvlText w:val="(%1)"/>
      <w:numFmt w:val="lowerLetter"/>
      <w:start w:val="1"/>
    </w:lvl>
  </w:abstractNum>
  <w:abstractNum w:abstractNumId="79">
    <w:nsid w:val="7672BD23"/>
    <w:multiLevelType w:val="hybridMultilevel"/>
    <w:lvl w:ilvl="0">
      <w:lvlJc w:val="left"/>
      <w:lvlText w:val="(%1)"/>
      <w:numFmt w:val="lowerLetter"/>
      <w:start w:val="2"/>
    </w:lvl>
  </w:abstractNum>
  <w:abstractNum w:abstractNumId="80">
    <w:nsid w:val="6FC75AF8"/>
    <w:multiLevelType w:val="hybridMultilevel"/>
    <w:lvl w:ilvl="0">
      <w:lvlJc w:val="left"/>
      <w:lvlText w:val="(%1)"/>
      <w:numFmt w:val="lowerLetter"/>
      <w:start w:val="3"/>
    </w:lvl>
  </w:abstractNum>
  <w:abstractNum w:abstractNumId="81">
    <w:nsid w:val="6A5F7029"/>
    <w:multiLevelType w:val="hybridMultilevel"/>
    <w:lvl w:ilvl="0">
      <w:lvlJc w:val="left"/>
      <w:lvlText w:val="(%1)"/>
      <w:numFmt w:val="lowerLetter"/>
      <w:start w:val="5"/>
    </w:lvl>
  </w:abstractNum>
  <w:abstractNum w:abstractNumId="82">
    <w:nsid w:val="7D5E18F8"/>
    <w:multiLevelType w:val="hybridMultilevel"/>
    <w:lvl w:ilvl="0">
      <w:lvlJc w:val="left"/>
      <w:lvlText w:val="(%1)"/>
      <w:numFmt w:val="lowerLetter"/>
      <w:start w:val="6"/>
    </w:lvl>
  </w:abstractNum>
  <w:abstractNum w:abstractNumId="83">
    <w:nsid w:val="5F3534A4"/>
    <w:multiLevelType w:val="hybridMultilevel"/>
    <w:lvl w:ilvl="0">
      <w:lvlJc w:val="left"/>
      <w:lvlText w:val="(%1)"/>
      <w:numFmt w:val="lowerLetter"/>
      <w:start w:val="7"/>
    </w:lvl>
  </w:abstractNum>
  <w:abstractNum w:abstractNumId="84">
    <w:nsid w:val="73A1821B"/>
    <w:multiLevelType w:val="hybridMultilevel"/>
    <w:lvl w:ilvl="0">
      <w:lvlJc w:val="left"/>
      <w:lvlText w:val="(%1)"/>
      <w:numFmt w:val="lowerLetter"/>
      <w:start w:val="2"/>
    </w:lvl>
    <w:lvl w:ilvl="1">
      <w:lvlJc w:val="left"/>
      <w:lvlText w:val="(%2)"/>
      <w:numFmt w:val="lowerLetter"/>
      <w:start w:val="8"/>
    </w:lvl>
  </w:abstractNum>
  <w:abstractNum w:abstractNumId="85">
    <w:nsid w:val="7DE67713"/>
    <w:multiLevelType w:val="hybridMultilevel"/>
    <w:lvl w:ilvl="0">
      <w:lvlJc w:val="left"/>
      <w:lvlText w:val="(%1)"/>
      <w:numFmt w:val="lowerLetter"/>
      <w:start w:val="1"/>
    </w:lvl>
  </w:abstractNum>
  <w:abstractNum w:abstractNumId="86">
    <w:nsid w:val="555C55B5"/>
    <w:multiLevelType w:val="hybridMultilevel"/>
    <w:lvl w:ilvl="0">
      <w:lvlJc w:val="left"/>
      <w:lvlText w:val="(%1)"/>
      <w:numFmt w:val="lowerLetter"/>
      <w:start w:val="1"/>
    </w:lvl>
  </w:abstractNum>
  <w:abstractNum w:abstractNumId="87">
    <w:nsid w:val="3FA62ACA"/>
    <w:multiLevelType w:val="hybridMultilevel"/>
    <w:lvl w:ilvl="0">
      <w:lvlJc w:val="left"/>
      <w:lvlText w:val="(%1)"/>
      <w:numFmt w:val="lowerLetter"/>
      <w:start w:val="4"/>
    </w:lvl>
  </w:abstractNum>
  <w:abstractNum w:abstractNumId="88">
    <w:nsid w:val="14FCE74E"/>
    <w:multiLevelType w:val="hybridMultilevel"/>
    <w:lvl w:ilvl="0">
      <w:lvlJc w:val="left"/>
      <w:lvlText w:val="(%1)"/>
      <w:numFmt w:val="lowerLetter"/>
      <w:start w:val="2"/>
    </w:lvl>
  </w:abstractNum>
  <w:abstractNum w:abstractNumId="89">
    <w:nsid w:val="6A3DD3E8"/>
    <w:multiLevelType w:val="hybridMultilevel"/>
    <w:lvl w:ilvl="0">
      <w:lvlJc w:val="left"/>
      <w:lvlText w:val="(%1)"/>
      <w:numFmt w:val="lowerLetter"/>
      <w:start w:val="1"/>
    </w:lvl>
  </w:abstractNum>
  <w:abstractNum w:abstractNumId="90">
    <w:nsid w:val="71C91298"/>
    <w:multiLevelType w:val="hybridMultilevel"/>
    <w:lvl w:ilvl="0">
      <w:lvlJc w:val="left"/>
      <w:lvlText w:val="(%1)"/>
      <w:numFmt w:val="lowerLetter"/>
      <w:start w:val="2"/>
    </w:lvl>
  </w:abstractNum>
  <w:abstractNum w:abstractNumId="91">
    <w:nsid w:val="9DAF632"/>
    <w:multiLevelType w:val="hybridMultilevel"/>
    <w:lvl w:ilvl="0">
      <w:lvlJc w:val="left"/>
      <w:lvlText w:val="(%1)"/>
      <w:numFmt w:val="lowerLetter"/>
      <w:start w:val="3"/>
    </w:lvl>
  </w:abstractNum>
  <w:abstractNum w:abstractNumId="92">
    <w:nsid w:val="53299938"/>
    <w:multiLevelType w:val="hybridMultilevel"/>
    <w:lvl w:ilvl="0">
      <w:lvlJc w:val="left"/>
      <w:lvlText w:val="(%1)"/>
      <w:numFmt w:val="lowerLetter"/>
      <w:start w:val="4"/>
    </w:lvl>
  </w:abstractNum>
  <w:abstractNum w:abstractNumId="93">
    <w:nsid w:val="1FBFE8E0"/>
    <w:multiLevelType w:val="hybridMultilevel"/>
    <w:lvl w:ilvl="0">
      <w:lvlJc w:val="left"/>
      <w:lvlText w:val="(%1)"/>
      <w:numFmt w:val="lowerLetter"/>
      <w:start w:val="6"/>
    </w:lvl>
  </w:abstractNum>
  <w:abstractNum w:abstractNumId="94">
    <w:nsid w:val="5092CA79"/>
    <w:multiLevelType w:val="hybridMultilevel"/>
    <w:lvl w:ilvl="0">
      <w:lvlJc w:val="left"/>
      <w:lvlText w:val="(%1)"/>
      <w:numFmt w:val="lowerLetter"/>
      <w:start w:val="7"/>
    </w:lvl>
  </w:abstractNum>
  <w:abstractNum w:abstractNumId="95">
    <w:nsid w:val="1D545C4D"/>
    <w:multiLevelType w:val="hybridMultilevel"/>
    <w:lvl w:ilvl="0">
      <w:lvlJc w:val="left"/>
      <w:lvlText w:val="%1"/>
      <w:numFmt w:val="lowerLetter"/>
      <w:start w:val="1"/>
    </w:lvl>
    <w:lvl w:ilvl="1">
      <w:lvlJc w:val="left"/>
      <w:lvlText w:val="(%2)"/>
      <w:numFmt w:val="lowerLetter"/>
      <w:start w:val="2"/>
    </w:lvl>
  </w:abstractNum>
  <w:abstractNum w:abstractNumId="96">
    <w:nsid w:val="59ADEA3D"/>
    <w:multiLevelType w:val="hybridMultilevel"/>
    <w:lvl w:ilvl="0">
      <w:lvlJc w:val="left"/>
      <w:lvlText w:val="(%1)"/>
      <w:numFmt w:val="lowerLetter"/>
      <w:start w:val="8"/>
    </w:lvl>
    <w:lvl w:ilvl="1">
      <w:lvlJc w:val="left"/>
      <w:lvlText w:val="%2"/>
      <w:numFmt w:val="lowerLetter"/>
      <w:start w:val="1"/>
    </w:lvl>
  </w:abstractNum>
  <w:abstractNum w:abstractNumId="97">
    <w:nsid w:val="288F1A34"/>
    <w:multiLevelType w:val="hybridMultilevel"/>
    <w:lvl w:ilvl="0">
      <w:lvlJc w:val="left"/>
      <w:lvlText w:val="(%1)"/>
      <w:numFmt w:val="lowerLetter"/>
      <w:start w:val="1"/>
    </w:lvl>
  </w:abstractNum>
  <w:abstractNum w:abstractNumId="98">
    <w:nsid w:val="2A155DBC"/>
    <w:multiLevelType w:val="hybridMultilevel"/>
    <w:lvl w:ilvl="0">
      <w:lvlJc w:val="left"/>
      <w:lvlText w:val="(%1)"/>
      <w:numFmt w:val="lowerLetter"/>
      <w:start w:val="1"/>
    </w:lvl>
  </w:abstractNum>
  <w:abstractNum w:abstractNumId="99">
    <w:nsid w:val="1D9F6E5F"/>
    <w:multiLevelType w:val="hybridMultilevel"/>
    <w:lvl w:ilvl="0">
      <w:lvlJc w:val="left"/>
      <w:lvlText w:val="(%1)"/>
      <w:numFmt w:val="lowerLetter"/>
      <w:start w:val="8"/>
    </w:lvl>
  </w:abstractNum>
  <w:abstractNum w:abstractNumId="100">
    <w:nsid w:val="97E1B4E"/>
    <w:multiLevelType w:val="hybridMultilevel"/>
    <w:lvl w:ilvl="0">
      <w:lvlJc w:val="left"/>
      <w:lvlText w:val="(%1)"/>
      <w:numFmt w:val="lowerLetter"/>
      <w:start w:val="2"/>
    </w:lvl>
  </w:abstractNum>
  <w:abstractNum w:abstractNumId="101">
    <w:nsid w:val="51088277"/>
    <w:multiLevelType w:val="hybridMultilevel"/>
    <w:lvl w:ilvl="0">
      <w:lvlJc w:val="left"/>
      <w:lvlText w:val="(%1)"/>
      <w:numFmt w:val="lowerLetter"/>
      <w:start w:val="1"/>
    </w:lvl>
  </w:abstractNum>
  <w:abstractNum w:abstractNumId="102">
    <w:nsid w:val="1CA0C5FA"/>
    <w:multiLevelType w:val="hybridMultilevel"/>
    <w:lvl w:ilvl="0">
      <w:lvlJc w:val="left"/>
      <w:lvlText w:val="(%1)"/>
      <w:numFmt w:val="lowerLetter"/>
      <w:start w:val="2"/>
    </w:lvl>
  </w:abstractNum>
  <w:abstractNum w:abstractNumId="103">
    <w:nsid w:val="53584BCB"/>
    <w:multiLevelType w:val="hybridMultilevel"/>
    <w:lvl w:ilvl="0">
      <w:lvlJc w:val="left"/>
      <w:lvlText w:val="(%1)"/>
      <w:numFmt w:val="lowerLetter"/>
      <w:start w:val="3"/>
    </w:lvl>
  </w:abstractNum>
  <w:abstractNum w:abstractNumId="104">
    <w:nsid w:val="415E286C"/>
    <w:multiLevelType w:val="hybridMultilevel"/>
    <w:lvl w:ilvl="0">
      <w:lvlJc w:val="left"/>
      <w:lvlText w:val="(%1)"/>
      <w:numFmt w:val="lowerLetter"/>
      <w:start w:val="4"/>
    </w:lvl>
  </w:abstractNum>
  <w:abstractNum w:abstractNumId="105">
    <w:nsid w:val="7C58FD05"/>
    <w:multiLevelType w:val="hybridMultilevel"/>
    <w:lvl w:ilvl="0">
      <w:lvlJc w:val="left"/>
      <w:lvlText w:val="(%1)"/>
      <w:numFmt w:val="lowerLetter"/>
      <w:start w:val="6"/>
    </w:lvl>
  </w:abstractNum>
  <w:abstractNum w:abstractNumId="106">
    <w:nsid w:val="23D86AAC"/>
    <w:multiLevelType w:val="hybridMultilevel"/>
    <w:lvl w:ilvl="0">
      <w:lvlJc w:val="left"/>
      <w:lvlText w:val="(%1)"/>
      <w:numFmt w:val="lowerLetter"/>
      <w:start w:val="7"/>
    </w:lvl>
  </w:abstractNum>
  <w:abstractNum w:abstractNumId="107">
    <w:nsid w:val="45E6D486"/>
    <w:multiLevelType w:val="hybridMultilevel"/>
    <w:lvl w:ilvl="0">
      <w:lvlJc w:val="left"/>
      <w:lvlText w:val="(%1)"/>
      <w:numFmt w:val="lowerLetter"/>
      <w:start w:val="8"/>
    </w:lvl>
  </w:abstractNum>
  <w:abstractNum w:abstractNumId="108">
    <w:nsid w:val="5C10FE21"/>
    <w:multiLevelType w:val="hybridMultilevel"/>
    <w:lvl w:ilvl="0">
      <w:lvlJc w:val="left"/>
      <w:lvlText w:val="(%1)"/>
      <w:numFmt w:val="lowerLetter"/>
      <w:start w:val="1"/>
    </w:lvl>
  </w:abstractNum>
  <w:abstractNum w:abstractNumId="109">
    <w:nsid w:val="E7FFA2B"/>
    <w:multiLevelType w:val="hybridMultilevel"/>
    <w:lvl w:ilvl="0">
      <w:lvlJc w:val="left"/>
      <w:lvlText w:val="(%1)"/>
      <w:numFmt w:val="lowerLetter"/>
      <w:start w:val="1"/>
    </w:lvl>
  </w:abstractNum>
  <w:abstractNum w:abstractNumId="110">
    <w:nsid w:val="3C5991AA"/>
    <w:multiLevelType w:val="hybridMultilevel"/>
    <w:lvl w:ilvl="0">
      <w:lvlJc w:val="left"/>
      <w:lvlText w:val="(%1)"/>
      <w:numFmt w:val="lowerLetter"/>
      <w:start w:val="6"/>
    </w:lvl>
  </w:abstractNum>
  <w:abstractNum w:abstractNumId="111">
    <w:nsid w:val="4BD8591A"/>
    <w:multiLevelType w:val="hybridMultilevel"/>
    <w:lvl w:ilvl="0">
      <w:lvlJc w:val="left"/>
      <w:lvlText w:val="(%1)"/>
      <w:numFmt w:val="lowerLetter"/>
      <w:start w:val="2"/>
    </w:lvl>
  </w:abstractNum>
  <w:abstractNum w:abstractNumId="112">
    <w:nsid w:val="78DF6A55"/>
    <w:multiLevelType w:val="hybridMultilevel"/>
    <w:lvl w:ilvl="0">
      <w:lvlJc w:val="left"/>
      <w:lvlText w:val="%1."/>
      <w:numFmt w:val="decimal"/>
      <w:start w:val="1"/>
    </w:lvl>
    <w:lvl w:ilvl="1">
      <w:lvlJc w:val="left"/>
      <w:lvlText w:val="(%2)"/>
      <w:numFmt w:val="lowerLetter"/>
      <w:start w:val="1"/>
    </w:lvl>
  </w:abstractNum>
  <w:abstractNum w:abstractNumId="113">
    <w:nsid w:val="39B7AAA2"/>
    <w:multiLevelType w:val="hybridMultilevel"/>
    <w:lvl w:ilvl="0">
      <w:lvlJc w:val="left"/>
      <w:lvlText w:val="%1."/>
      <w:numFmt w:val="decimal"/>
      <w:start w:val="1"/>
    </w:lvl>
    <w:lvl w:ilvl="1">
      <w:lvlJc w:val="left"/>
      <w:lvlText w:val="(%2)"/>
      <w:numFmt w:val="lowerLetter"/>
      <w:start w:val="1"/>
    </w:lvl>
  </w:abstractNum>
  <w:abstractNum w:abstractNumId="114">
    <w:nsid w:val="2B0D8DBE"/>
    <w:multiLevelType w:val="hybridMultilevel"/>
    <w:lvl w:ilvl="0">
      <w:lvlJc w:val="left"/>
      <w:lvlText w:val="%1."/>
      <w:numFmt w:val="decimal"/>
      <w:start w:val="1"/>
    </w:lvl>
    <w:lvl w:ilvl="1">
      <w:lvlJc w:val="left"/>
      <w:lvlText w:val="(%2)"/>
      <w:numFmt w:val="lowerLetter"/>
      <w:start w:val="1"/>
    </w:lvl>
  </w:abstractNum>
  <w:abstractNum w:abstractNumId="115">
    <w:nsid w:val="6C80EC70"/>
    <w:multiLevelType w:val="hybridMultilevel"/>
    <w:lvl w:ilvl="0">
      <w:lvlJc w:val="left"/>
      <w:lvlText w:val="%1."/>
      <w:numFmt w:val="decimal"/>
      <w:start w:val="1"/>
    </w:lvl>
    <w:lvl w:ilvl="1">
      <w:lvlJc w:val="left"/>
      <w:lvlText w:val="(%2)"/>
      <w:numFmt w:val="lowerLetter"/>
      <w:start w:val="1"/>
    </w:lvl>
  </w:abstractNum>
  <w:abstractNum w:abstractNumId="116">
    <w:nsid w:val="379E21B5"/>
    <w:multiLevelType w:val="hybridMultilevel"/>
    <w:lvl w:ilvl="0">
      <w:lvlJc w:val="left"/>
      <w:lvlText w:val="(%1)"/>
      <w:numFmt w:val="decimal"/>
      <w:start w:val="1"/>
    </w:lvl>
  </w:abstractNum>
  <w:abstractNum w:abstractNumId="117">
    <w:nsid w:val="69E373"/>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 w:numId="68">
    <w:abstractNumId w:val="67"/>
  </w:num>
  <w:num w:numId="69">
    <w:abstractNumId w:val="68"/>
  </w:num>
  <w:num w:numId="70">
    <w:abstractNumId w:val="69"/>
  </w:num>
  <w:num w:numId="71">
    <w:abstractNumId w:val="70"/>
  </w:num>
  <w:num w:numId="72">
    <w:abstractNumId w:val="71"/>
  </w:num>
  <w:num w:numId="73">
    <w:abstractNumId w:val="72"/>
  </w:num>
  <w:num w:numId="74">
    <w:abstractNumId w:val="73"/>
  </w:num>
  <w:num w:numId="75">
    <w:abstractNumId w:val="74"/>
  </w:num>
  <w:num w:numId="76">
    <w:abstractNumId w:val="75"/>
  </w:num>
  <w:num w:numId="77">
    <w:abstractNumId w:val="76"/>
  </w:num>
  <w:num w:numId="78">
    <w:abstractNumId w:val="77"/>
  </w:num>
  <w:num w:numId="79">
    <w:abstractNumId w:val="78"/>
  </w:num>
  <w:num w:numId="80">
    <w:abstractNumId w:val="79"/>
  </w:num>
  <w:num w:numId="81">
    <w:abstractNumId w:val="80"/>
  </w:num>
  <w:num w:numId="82">
    <w:abstractNumId w:val="81"/>
  </w:num>
  <w:num w:numId="83">
    <w:abstractNumId w:val="82"/>
  </w:num>
  <w:num w:numId="84">
    <w:abstractNumId w:val="83"/>
  </w:num>
  <w:num w:numId="85">
    <w:abstractNumId w:val="84"/>
  </w:num>
  <w:num w:numId="86">
    <w:abstractNumId w:val="85"/>
  </w:num>
  <w:num w:numId="87">
    <w:abstractNumId w:val="86"/>
  </w:num>
  <w:num w:numId="88">
    <w:abstractNumId w:val="87"/>
  </w:num>
  <w:num w:numId="89">
    <w:abstractNumId w:val="88"/>
  </w:num>
  <w:num w:numId="90">
    <w:abstractNumId w:val="89"/>
  </w:num>
  <w:num w:numId="91">
    <w:abstractNumId w:val="90"/>
  </w:num>
  <w:num w:numId="92">
    <w:abstractNumId w:val="91"/>
  </w:num>
  <w:num w:numId="93">
    <w:abstractNumId w:val="92"/>
  </w:num>
  <w:num w:numId="94">
    <w:abstractNumId w:val="93"/>
  </w:num>
  <w:num w:numId="95">
    <w:abstractNumId w:val="94"/>
  </w:num>
  <w:num w:numId="96">
    <w:abstractNumId w:val="95"/>
  </w:num>
  <w:num w:numId="97">
    <w:abstractNumId w:val="96"/>
  </w:num>
  <w:num w:numId="98">
    <w:abstractNumId w:val="97"/>
  </w:num>
  <w:num w:numId="99">
    <w:abstractNumId w:val="98"/>
  </w:num>
  <w:num w:numId="100">
    <w:abstractNumId w:val="99"/>
  </w:num>
  <w:num w:numId="101">
    <w:abstractNumId w:val="100"/>
  </w:num>
  <w:num w:numId="102">
    <w:abstractNumId w:val="101"/>
  </w:num>
  <w:num w:numId="103">
    <w:abstractNumId w:val="102"/>
  </w:num>
  <w:num w:numId="104">
    <w:abstractNumId w:val="103"/>
  </w:num>
  <w:num w:numId="105">
    <w:abstractNumId w:val="104"/>
  </w:num>
  <w:num w:numId="106">
    <w:abstractNumId w:val="105"/>
  </w:num>
  <w:num w:numId="107">
    <w:abstractNumId w:val="106"/>
  </w:num>
  <w:num w:numId="108">
    <w:abstractNumId w:val="107"/>
  </w:num>
  <w:num w:numId="109">
    <w:abstractNumId w:val="108"/>
  </w:num>
  <w:num w:numId="110">
    <w:abstractNumId w:val="109"/>
  </w:num>
  <w:num w:numId="111">
    <w:abstractNumId w:val="110"/>
  </w:num>
  <w:num w:numId="112">
    <w:abstractNumId w:val="111"/>
  </w:num>
  <w:num w:numId="113">
    <w:abstractNumId w:val="112"/>
  </w:num>
  <w:num w:numId="114">
    <w:abstractNumId w:val="113"/>
  </w:num>
  <w:num w:numId="115">
    <w:abstractNumId w:val="114"/>
  </w:num>
  <w:num w:numId="116">
    <w:abstractNumId w:val="115"/>
  </w:num>
  <w:num w:numId="117">
    <w:abstractNumId w:val="116"/>
  </w:num>
  <w:num w:numId="118">
    <w:abstractNumId w:val="11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jpe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310" Type="http://schemas.openxmlformats.org/officeDocument/2006/relationships/image" Target="media/image87.png"/><Relationship Id="rId311" Type="http://schemas.openxmlformats.org/officeDocument/2006/relationships/image" Target="media/image88.png"/><Relationship Id="rId312" Type="http://schemas.openxmlformats.org/officeDocument/2006/relationships/image" Target="media/image89.png"/><Relationship Id="rId313" Type="http://schemas.openxmlformats.org/officeDocument/2006/relationships/image" Target="media/image90.png"/><Relationship Id="rId314" Type="http://schemas.openxmlformats.org/officeDocument/2006/relationships/image" Target="media/image91.png"/><Relationship Id="rId315" Type="http://schemas.openxmlformats.org/officeDocument/2006/relationships/image" Target="media/image92.png"/><Relationship Id="rId316" Type="http://schemas.openxmlformats.org/officeDocument/2006/relationships/image" Target="media/image93.png"/><Relationship Id="rId317" Type="http://schemas.openxmlformats.org/officeDocument/2006/relationships/image" Target="media/image94.png"/><Relationship Id="rId318" Type="http://schemas.openxmlformats.org/officeDocument/2006/relationships/image" Target="media/image95.png"/><Relationship Id="rId319" Type="http://schemas.openxmlformats.org/officeDocument/2006/relationships/image" Target="media/image96.png"/><Relationship Id="rId320" Type="http://schemas.openxmlformats.org/officeDocument/2006/relationships/image" Target="media/image97.png"/><Relationship Id="rId321" Type="http://schemas.openxmlformats.org/officeDocument/2006/relationships/image" Target="media/image98.png"/><Relationship Id="rId322" Type="http://schemas.openxmlformats.org/officeDocument/2006/relationships/image" Target="media/image99.png"/><Relationship Id="rId323" Type="http://schemas.openxmlformats.org/officeDocument/2006/relationships/image" Target="media/image100.png"/><Relationship Id="rId324" Type="http://schemas.openxmlformats.org/officeDocument/2006/relationships/image" Target="media/image101.png"/><Relationship Id="rId325" Type="http://schemas.openxmlformats.org/officeDocument/2006/relationships/image" Target="media/image102.png"/><Relationship Id="rId326" Type="http://schemas.openxmlformats.org/officeDocument/2006/relationships/image" Target="media/image103.png"/><Relationship Id="rId327" Type="http://schemas.openxmlformats.org/officeDocument/2006/relationships/image" Target="media/image104.png"/><Relationship Id="rId328" Type="http://schemas.openxmlformats.org/officeDocument/2006/relationships/image" Target="media/image105.png"/><Relationship Id="rId329" Type="http://schemas.openxmlformats.org/officeDocument/2006/relationships/image" Target="media/image106.png"/><Relationship Id="rId330" Type="http://schemas.openxmlformats.org/officeDocument/2006/relationships/image" Target="media/image107.png"/><Relationship Id="rId331" Type="http://schemas.openxmlformats.org/officeDocument/2006/relationships/image" Target="media/image108.png"/><Relationship Id="rId332" Type="http://schemas.openxmlformats.org/officeDocument/2006/relationships/image" Target="media/image109.png"/><Relationship Id="rId333" Type="http://schemas.openxmlformats.org/officeDocument/2006/relationships/image" Target="media/image110.png"/><Relationship Id="rId334" Type="http://schemas.openxmlformats.org/officeDocument/2006/relationships/image" Target="media/image111.png"/><Relationship Id="rId335" Type="http://schemas.openxmlformats.org/officeDocument/2006/relationships/image" Target="media/image112.png"/><Relationship Id="rId336" Type="http://schemas.openxmlformats.org/officeDocument/2006/relationships/image" Target="media/image113.png"/><Relationship Id="rId337" Type="http://schemas.openxmlformats.org/officeDocument/2006/relationships/image" Target="media/image114.png"/><Relationship Id="rId338" Type="http://schemas.openxmlformats.org/officeDocument/2006/relationships/image" Target="media/image115.png"/><Relationship Id="rId339" Type="http://schemas.openxmlformats.org/officeDocument/2006/relationships/image" Target="media/image116.png"/><Relationship Id="rId340" Type="http://schemas.openxmlformats.org/officeDocument/2006/relationships/image" Target="media/image117.png"/><Relationship Id="rId341" Type="http://schemas.openxmlformats.org/officeDocument/2006/relationships/image" Target="media/image118.png"/><Relationship Id="rId94" Type="http://schemas.openxmlformats.org/officeDocument/2006/relationships/hyperlink" Target="http://www.sec.gov/Archives/edgar/data/4515/000119312513408263/d605556dex21.htm" TargetMode="External"/><Relationship Id="rId95" Type="http://schemas.openxmlformats.org/officeDocument/2006/relationships/hyperlink" Target="http://www.sec.gov/Archives/edgar/data/4515/000119312515418305/d110614dex21.htm" TargetMode="External"/><Relationship Id="rId96" Type="http://schemas.openxmlformats.org/officeDocument/2006/relationships/hyperlink" Target="http://www.sec.gov/Archives/edgar/data/4515/000119312513466973/d640718dex31.htm" TargetMode="External"/><Relationship Id="rId97" Type="http://schemas.openxmlformats.org/officeDocument/2006/relationships/hyperlink" Target="http://www.sec.gov/Archives/edgar/data/6201/000119312518191662/d594984dex31.htm" TargetMode="External"/><Relationship Id="rId98" Type="http://schemas.openxmlformats.org/officeDocument/2006/relationships/hyperlink" Target="http://www.sec.gov/Archives/edgar/data/6201/000119312518191662/d594984dex32.htm" TargetMode="External"/><Relationship Id="rId99" Type="http://schemas.openxmlformats.org/officeDocument/2006/relationships/hyperlink" Target="http://www.sec.gov/Archives/edgar/data/4515/000000620114000004/d682697dex33.htm" TargetMode="External"/><Relationship Id="rId100" Type="http://schemas.openxmlformats.org/officeDocument/2006/relationships/hyperlink" Target="http://www.sec.gov/Archives/edgar/data/4515/000000620114000004/d682697dex34.htm" TargetMode="External"/><Relationship Id="rId101" Type="http://schemas.openxmlformats.org/officeDocument/2006/relationships/hyperlink" Target="http://www.sec.gov/Archives/edgar/data/6201/000119312513103330/d501326dex41.htm" TargetMode="External"/><Relationship Id="rId102" Type="http://schemas.openxmlformats.org/officeDocument/2006/relationships/hyperlink" Target="http://www.sec.gov/Archives/edgar/data/4515/000119312513456230/d634326dex42.htm" TargetMode="External"/><Relationship Id="rId103" Type="http://schemas.openxmlformats.org/officeDocument/2006/relationships/hyperlink" Target="http://www.sec.gov/Archives/edgar/data/4515/000119312513456230/d634326dex45.htm" TargetMode="External"/><Relationship Id="rId104" Type="http://schemas.openxmlformats.org/officeDocument/2006/relationships/hyperlink" Target="http://www.sec.gov/Archives/edgar/data/4515/000119312513456230/d634326dex46.htm" TargetMode="External"/><Relationship Id="rId105" Type="http://schemas.openxmlformats.org/officeDocument/2006/relationships/hyperlink" Target="http://www.sec.gov/Archives/edgar/data/4515/000119312513456230/d634326dex47.htm" TargetMode="External"/><Relationship Id="rId106" Type="http://schemas.openxmlformats.org/officeDocument/2006/relationships/hyperlink" Target="http://www.sec.gov/Archives/edgar/data/4515/000119312513456230/d634326dex48.htm" TargetMode="External"/><Relationship Id="rId107" Type="http://schemas.openxmlformats.org/officeDocument/2006/relationships/hyperlink" Target="http://www.sec.gov/Archives/edgar/data/4515/000119312513456230/d634326dex49.htm" TargetMode="External"/><Relationship Id="rId108" Type="http://schemas.openxmlformats.org/officeDocument/2006/relationships/hyperlink" Target="http://www.sec.gov/Archives/edgar/data/4515/000119312513456230/d634326dex410.htm" TargetMode="External"/><Relationship Id="rId109" Type="http://schemas.openxmlformats.org/officeDocument/2006/relationships/hyperlink" Target="http://www.sec.gov/Archives/edgar/data/4515/000119312513456230/d634326dex411.htm" TargetMode="External"/><Relationship Id="rId110" Type="http://schemas.openxmlformats.org/officeDocument/2006/relationships/hyperlink" Target="http://www.sec.gov/Archives/edgar/data/4515/000119312513456230/d634326dex992.htm" TargetMode="External"/><Relationship Id="rId111" Type="http://schemas.openxmlformats.org/officeDocument/2006/relationships/hyperlink" Target="http://www.sec.gov/Archives/edgar/data/4515/000119312513480827/d647497dex44.htm" TargetMode="External"/><Relationship Id="rId112" Type="http://schemas.openxmlformats.org/officeDocument/2006/relationships/hyperlink" Target="http://www.sec.gov/Archives/edgar/data/4515/000119312519152852/d728811dex41.htm" TargetMode="External"/><Relationship Id="rId113" Type="http://schemas.openxmlformats.org/officeDocument/2006/relationships/hyperlink" Target="http://www.sec.gov/Archives/edgar/data/4515/000119312514343482/d790263dex41.htm" TargetMode="External"/><Relationship Id="rId114" Type="http://schemas.openxmlformats.org/officeDocument/2006/relationships/hyperlink" Target="http://www.sec.gov/Archives/edgar/data/4515/000119312514343482/d790263dex42.htm" TargetMode="External"/><Relationship Id="rId115" Type="http://schemas.openxmlformats.org/officeDocument/2006/relationships/hyperlink" Target="http://www.sec.gov/Archives/edgar/data/4515/000119312514343482/d790263dex43.htm" TargetMode="External"/><Relationship Id="rId116" Type="http://schemas.openxmlformats.org/officeDocument/2006/relationships/hyperlink" Target="http://www.sec.gov/Archives/edgar/data/4515/000119312514343482/d790263dex44.htm" TargetMode="External"/><Relationship Id="rId117" Type="http://schemas.openxmlformats.org/officeDocument/2006/relationships/hyperlink" Target="http://www.sec.gov/Archives/edgar/data/4515/000119312515261937/d945812dex106.htm" TargetMode="External"/><Relationship Id="rId118" Type="http://schemas.openxmlformats.org/officeDocument/2006/relationships/hyperlink" Target="http://www.sec.gov/Archives/edgar/data/4515/000119312514343482/d790263dex49.htm" TargetMode="External"/><Relationship Id="rId119" Type="http://schemas.openxmlformats.org/officeDocument/2006/relationships/hyperlink" Target="http://www.sec.gov/Archives/edgar/data/4515/000119312514343482/d790263dex410.htm" TargetMode="External"/><Relationship Id="rId120" Type="http://schemas.openxmlformats.org/officeDocument/2006/relationships/hyperlink" Target="http://www.sec.gov/Archives/edgar/data/4515/000119312514343482/d790263dex411.htm" TargetMode="External"/><Relationship Id="rId121" Type="http://schemas.openxmlformats.org/officeDocument/2006/relationships/hyperlink" Target="http://www.sec.gov/Archives/edgar/data/4515/000119312514343482/d790263dex414.htm" TargetMode="External"/><Relationship Id="rId122" Type="http://schemas.openxmlformats.org/officeDocument/2006/relationships/hyperlink" Target="http://www.sec.gov/Archives/edgar/data/4515/000119312514343482/d790263dex415.htm" TargetMode="External"/><Relationship Id="rId123" Type="http://schemas.openxmlformats.org/officeDocument/2006/relationships/hyperlink" Target="http://www.sec.gov/Archives/edgar/data/4515/000119312515088934/d891899dex41.htm" TargetMode="External"/><Relationship Id="rId124" Type="http://schemas.openxmlformats.org/officeDocument/2006/relationships/hyperlink" Target="http://www.sec.gov/Archives/edgar/data/4515/000119312515418305/d110614dex43.htm" TargetMode="External"/><Relationship Id="rId125" Type="http://schemas.openxmlformats.org/officeDocument/2006/relationships/hyperlink" Target="http://www.sec.gov/Archives/edgar/data/4515/000119312515093938/d890456dex42.htm" TargetMode="External"/><Relationship Id="rId126" Type="http://schemas.openxmlformats.org/officeDocument/2006/relationships/hyperlink" Target="http://www.sec.gov/Archives/edgar/data/4515/000119312515093938/d890456dex43.htm" TargetMode="External"/><Relationship Id="rId127" Type="http://schemas.openxmlformats.org/officeDocument/2006/relationships/hyperlink" Target="http://www.sec.gov/Archives/edgar/data/4515/000119312515093938/d890456dex44.htm" TargetMode="External"/><Relationship Id="rId128" Type="http://schemas.openxmlformats.org/officeDocument/2006/relationships/hyperlink" Target="http://www.sec.gov/Archives/edgar/data/4515/000119312515093938/d890456dex49.htm" TargetMode="External"/><Relationship Id="rId129" Type="http://schemas.openxmlformats.org/officeDocument/2006/relationships/hyperlink" Target="http://www.sec.gov/Archives/edgar/data/4515/000119312515093938/d890456dex410.htm" TargetMode="External"/><Relationship Id="rId130" Type="http://schemas.openxmlformats.org/officeDocument/2006/relationships/hyperlink" Target="http://www.sec.gov/Archives/edgar/data/4515/000119312515093938/d890456dex411.htm" TargetMode="External"/><Relationship Id="rId131" Type="http://schemas.openxmlformats.org/officeDocument/2006/relationships/hyperlink" Target="http://www.sec.gov/Archives/edgar/data/4515/000119312515093938/d890456dex414.htm" TargetMode="External"/><Relationship Id="rId132" Type="http://schemas.openxmlformats.org/officeDocument/2006/relationships/hyperlink" Target="http://www.sec.gov/Archives/edgar/data/4515/000119312515093938/d890456dex415.htm" TargetMode="External"/><Relationship Id="rId133" Type="http://schemas.openxmlformats.org/officeDocument/2006/relationships/hyperlink" Target="http://www.sec.gov/Archives/edgar/data/4515/000119312515327525/d69559dex42.htm" TargetMode="External"/><Relationship Id="rId134" Type="http://schemas.openxmlformats.org/officeDocument/2006/relationships/hyperlink" Target="http://www.sec.gov/Archives/edgar/data/4515/000119312515327525/d69559dex43.htm" TargetMode="External"/><Relationship Id="rId135" Type="http://schemas.openxmlformats.org/officeDocument/2006/relationships/hyperlink" Target="http://www.sec.gov/Archives/edgar/data/4515/000119312515327525/d69559dex44.htm" TargetMode="External"/><Relationship Id="rId136" Type="http://schemas.openxmlformats.org/officeDocument/2006/relationships/hyperlink" Target="http://www.sec.gov/Archives/edgar/data/4515/000119312515327525/d69559dex45.htm" TargetMode="External"/><Relationship Id="rId137" Type="http://schemas.openxmlformats.org/officeDocument/2006/relationships/hyperlink" Target="http://www.sec.gov/Archives/edgar/data/4515/000119312515327525/d69559dex46.htm" TargetMode="External"/><Relationship Id="rId138" Type="http://schemas.openxmlformats.org/officeDocument/2006/relationships/hyperlink" Target="http://www.sec.gov/Archives/edgar/data/4515/000119312515327525/d69559dex412.htm" TargetMode="External"/><Relationship Id="rId139" Type="http://schemas.openxmlformats.org/officeDocument/2006/relationships/hyperlink" Target="http://www.sec.gov/Archives/edgar/data/4515/000119312515327525/d69559dex413.htm" TargetMode="External"/><Relationship Id="rId140" Type="http://schemas.openxmlformats.org/officeDocument/2006/relationships/hyperlink" Target="http://www.sec.gov/Archives/edgar/data/4515/000119312515327525/d69559dex414.htm" TargetMode="External"/><Relationship Id="rId141" Type="http://schemas.openxmlformats.org/officeDocument/2006/relationships/hyperlink" Target="http://www.sec.gov/Archives/edgar/data/701345/000119312513171448/d526546dex412.htm" TargetMode="External"/><Relationship Id="rId142" Type="http://schemas.openxmlformats.org/officeDocument/2006/relationships/hyperlink" Target="http://www.sec.gov/Archives/edgar/data/4515/000119312515418305/d110614dex102.htm" TargetMode="External"/><Relationship Id="rId143" Type="http://schemas.openxmlformats.org/officeDocument/2006/relationships/hyperlink" Target="http://www.sec.gov/Archives/edgar/data/701345/000119312513171448/d526546dex413.htm" TargetMode="External"/><Relationship Id="rId144" Type="http://schemas.openxmlformats.org/officeDocument/2006/relationships/hyperlink" Target="http://www.sec.gov/Archives/edgar/data/701345/000119312513171448/d526546dex414.htm" TargetMode="External"/><Relationship Id="rId145" Type="http://schemas.openxmlformats.org/officeDocument/2006/relationships/hyperlink" Target="http://www.sec.gov/Archives/edgar/data/701345/000119312513250235/d548366dex48.htm" TargetMode="External"/><Relationship Id="rId146" Type="http://schemas.openxmlformats.org/officeDocument/2006/relationships/hyperlink" Target="http://www.sec.gov/Archives/edgar/data/701345/000119312513250235/d548366dex49.htm" TargetMode="External"/><Relationship Id="rId147" Type="http://schemas.openxmlformats.org/officeDocument/2006/relationships/hyperlink" Target="http://www.sec.gov/Archives/edgar/data/4515/000000620114000011/d715288dex105.htm" TargetMode="External"/><Relationship Id="rId148" Type="http://schemas.openxmlformats.org/officeDocument/2006/relationships/hyperlink" Target="http://www.sec.gov/Archives/edgar/data/701345/000119312513250235/d548366dex410.htm" TargetMode="External"/><Relationship Id="rId149" Type="http://schemas.openxmlformats.org/officeDocument/2006/relationships/hyperlink" Target="http://www.sec.gov/Archives/edgar/data/701345/000119312513250235/d548366dex411.htm" TargetMode="External"/><Relationship Id="rId150" Type="http://schemas.openxmlformats.org/officeDocument/2006/relationships/hyperlink" Target="http://www.sec.gov/Archives/edgar/data/701345/000095012310116213/p18414exv4w14.htm" TargetMode="External"/><Relationship Id="rId151" Type="http://schemas.openxmlformats.org/officeDocument/2006/relationships/hyperlink" Target="http://www.sec.gov/Archives/edgar/data/701345/000095012310116213/p18414exv4w15.htm" TargetMode="External"/><Relationship Id="rId152" Type="http://schemas.openxmlformats.org/officeDocument/2006/relationships/hyperlink" Target="http://www.sec.gov/Archives/edgar/data/4515/000000620114000011/d715288dex101.htm" TargetMode="External"/><Relationship Id="rId153" Type="http://schemas.openxmlformats.org/officeDocument/2006/relationships/hyperlink" Target="http://www.sec.gov/Archives/edgar/data/701345/000095012311063424/p18939exv4w18.htm" TargetMode="External"/><Relationship Id="rId154" Type="http://schemas.openxmlformats.org/officeDocument/2006/relationships/hyperlink" Target="http://www.sec.gov/Archives/edgar/data/701345/000095012311063424/p18939exv4w19.htm" TargetMode="External"/><Relationship Id="rId155" Type="http://schemas.openxmlformats.org/officeDocument/2006/relationships/hyperlink" Target="http://www.sec.gov/Archives/edgar/data/701345/000095012311063424/p18939exv4w23.htm" TargetMode="External"/><Relationship Id="rId156" Type="http://schemas.openxmlformats.org/officeDocument/2006/relationships/hyperlink" Target="http://www.sec.gov/Archives/edgar/data/4515/000000620114000011/d715288dex102.htm" TargetMode="External"/><Relationship Id="rId157" Type="http://schemas.openxmlformats.org/officeDocument/2006/relationships/hyperlink" Target="http://www.sec.gov/Archives/edgar/data/701345/000119312512236751/d354045dex418.htm" TargetMode="External"/><Relationship Id="rId158" Type="http://schemas.openxmlformats.org/officeDocument/2006/relationships/hyperlink" Target="http://www.sec.gov/Archives/edgar/data/701345/000119312512236751/d354045dex419.htm" TargetMode="External"/><Relationship Id="rId159" Type="http://schemas.openxmlformats.org/officeDocument/2006/relationships/hyperlink" Target="http://www.sec.gov/Archives/edgar/data/4515/000000620114000011/d715288dex103.htm" TargetMode="External"/><Relationship Id="rId160" Type="http://schemas.openxmlformats.org/officeDocument/2006/relationships/hyperlink" Target="http://www.sec.gov/Archives/edgar/data/701345/000119312512501957/d452985dex412.htm" TargetMode="External"/><Relationship Id="rId161" Type="http://schemas.openxmlformats.org/officeDocument/2006/relationships/hyperlink" Target="http://www.sec.gov/Archives/edgar/data/4515/000000620114000011/d715288dex104.htm" TargetMode="External"/><Relationship Id="rId162" Type="http://schemas.openxmlformats.org/officeDocument/2006/relationships/hyperlink" Target="http://www.sec.gov/Archives/edgar/data/4515/000119312515418305/d110614dex103.htm" TargetMode="External"/><Relationship Id="rId163" Type="http://schemas.openxmlformats.org/officeDocument/2006/relationships/hyperlink" Target="http://www.sec.gov/Archives/edgar/data/4515/000119312516433815/d126794dex42.htm" TargetMode="External"/><Relationship Id="rId164" Type="http://schemas.openxmlformats.org/officeDocument/2006/relationships/hyperlink" Target="http://www.sec.gov/Archives/edgar/data/4515/000119312516433815/d126794dex43.htm" TargetMode="External"/><Relationship Id="rId165" Type="http://schemas.openxmlformats.org/officeDocument/2006/relationships/hyperlink" Target="http://www.sec.gov/Archives/edgar/data/4515/000119312516433815/d126794dex44.htm" TargetMode="External"/><Relationship Id="rId166" Type="http://schemas.openxmlformats.org/officeDocument/2006/relationships/hyperlink" Target="http://www.sec.gov/Archives/edgar/data/4515/000119312516433815/d126794dex45.htm" TargetMode="External"/><Relationship Id="rId167" Type="http://schemas.openxmlformats.org/officeDocument/2006/relationships/hyperlink" Target="http://www.sec.gov/Archives/edgar/data/4515/000119312516433815/d126794dex46.htm" TargetMode="External"/><Relationship Id="rId168" Type="http://schemas.openxmlformats.org/officeDocument/2006/relationships/hyperlink" Target="http://www.sec.gov/Archives/edgar/data/4515/000119312516433815/d126794dex412.htm" TargetMode="External"/><Relationship Id="rId169" Type="http://schemas.openxmlformats.org/officeDocument/2006/relationships/hyperlink" Target="http://www.sec.gov/Archives/edgar/data/4515/000119312516433815/d126794dex413.htm" TargetMode="External"/><Relationship Id="rId170" Type="http://schemas.openxmlformats.org/officeDocument/2006/relationships/hyperlink" Target="http://www.sec.gov/Archives/edgar/data/4515/000119312516433815/d126794dex414.htm" TargetMode="External"/><Relationship Id="rId171" Type="http://schemas.openxmlformats.org/officeDocument/2006/relationships/hyperlink" Target="http://www.sec.gov/Archives/edgar/data/4515/000119312516592083/d177635dex42.htm" TargetMode="External"/><Relationship Id="rId172" Type="http://schemas.openxmlformats.org/officeDocument/2006/relationships/hyperlink" Target="http://www.sec.gov/Archives/edgar/data/4515/000119312516592083/d177635dex43.htm" TargetMode="External"/><Relationship Id="rId173" Type="http://schemas.openxmlformats.org/officeDocument/2006/relationships/hyperlink" Target="http://www.sec.gov/Archives/edgar/data/4515/000119312516592083/d177635dex44.htm" TargetMode="External"/><Relationship Id="rId174" Type="http://schemas.openxmlformats.org/officeDocument/2006/relationships/hyperlink" Target="http://www.sec.gov/Archives/edgar/data/4515/000119312516592083/d177635dex49.htm" TargetMode="External"/><Relationship Id="rId175" Type="http://schemas.openxmlformats.org/officeDocument/2006/relationships/hyperlink" Target="http://www.sec.gov/Archives/edgar/data/4515/000119312516592083/d177635dex414.htm" TargetMode="External"/><Relationship Id="rId176" Type="http://schemas.openxmlformats.org/officeDocument/2006/relationships/hyperlink" Target="http://www.sec.gov/Archives/edgar/data/4515/000119312516592083/d177635dex415.htm" TargetMode="External"/><Relationship Id="rId177" Type="http://schemas.openxmlformats.org/officeDocument/2006/relationships/hyperlink" Target="http://www.sec.gov/Archives/edgar/data/4515/000119312516646353/d210431dex42.htm" TargetMode="External"/><Relationship Id="rId178" Type="http://schemas.openxmlformats.org/officeDocument/2006/relationships/hyperlink" Target="http://www.sec.gov/Archives/edgar/data/4515/000119312516646353/d210431dex43.htm" TargetMode="External"/><Relationship Id="rId179" Type="http://schemas.openxmlformats.org/officeDocument/2006/relationships/hyperlink" Target="http://www.sec.gov/Archives/edgar/data/4515/000119312516646353/d210431dex46.htm" TargetMode="External"/><Relationship Id="rId180" Type="http://schemas.openxmlformats.org/officeDocument/2006/relationships/hyperlink" Target="http://www.sec.gov/Archives/edgar/data/4515/000119312516646353/d210431dex412.htm" TargetMode="External"/><Relationship Id="rId181" Type="http://schemas.openxmlformats.org/officeDocument/2006/relationships/hyperlink" Target="http://www.sec.gov/Archives/edgar/data/4515/000119312516730454/d359659dex42.htm" TargetMode="External"/><Relationship Id="rId182" Type="http://schemas.openxmlformats.org/officeDocument/2006/relationships/hyperlink" Target="http://www.sec.gov/Archives/edgar/data/4515/000119312516730454/d359659dex43.htm" TargetMode="External"/><Relationship Id="rId183" Type="http://schemas.openxmlformats.org/officeDocument/2006/relationships/hyperlink" Target="http://www.sec.gov/Archives/edgar/data/4515/000119312516730454/d359659dex44.htm" TargetMode="External"/><Relationship Id="rId184" Type="http://schemas.openxmlformats.org/officeDocument/2006/relationships/hyperlink" Target="http://www.sec.gov/Archives/edgar/data/4515/000119312517304687/d466899dex43.htm" TargetMode="External"/><Relationship Id="rId185" Type="http://schemas.openxmlformats.org/officeDocument/2006/relationships/hyperlink" Target="http://www.sec.gov/Archives/edgar/data/4515/000119312516730454/d359659dex49.htm" TargetMode="External"/><Relationship Id="rId186" Type="http://schemas.openxmlformats.org/officeDocument/2006/relationships/hyperlink" Target="http://www.sec.gov/Archives/edgar/data/4515/000119312516730454/d359659dex414.htm" TargetMode="External"/><Relationship Id="rId187" Type="http://schemas.openxmlformats.org/officeDocument/2006/relationships/hyperlink" Target="http://www.sec.gov/Archives/edgar/data/4515/000119312516730454/d359659dex415.htm" TargetMode="External"/><Relationship Id="rId188" Type="http://schemas.openxmlformats.org/officeDocument/2006/relationships/hyperlink" Target="http://www.sec.gov/Archives/edgar/data/4515/000119312517011067/d319419dex42.htm" TargetMode="External"/><Relationship Id="rId189" Type="http://schemas.openxmlformats.org/officeDocument/2006/relationships/hyperlink" Target="http://www.sec.gov/Archives/edgar/data/4515/000119312517011067/d319419dex43.htm" TargetMode="External"/><Relationship Id="rId190" Type="http://schemas.openxmlformats.org/officeDocument/2006/relationships/hyperlink" Target="http://www.sec.gov/Archives/edgar/data/4515/000119312517011067/d319419dex44.htm" TargetMode="External"/><Relationship Id="rId191" Type="http://schemas.openxmlformats.org/officeDocument/2006/relationships/hyperlink" Target="http://www.sec.gov/Archives/edgar/data/4515/000119312517011067/d319419dex45.htm" TargetMode="External"/><Relationship Id="rId192" Type="http://schemas.openxmlformats.org/officeDocument/2006/relationships/hyperlink" Target="http://www.sec.gov/Archives/edgar/data/4515/000119312517011067/d319419dex412.htm" TargetMode="External"/><Relationship Id="rId193" Type="http://schemas.openxmlformats.org/officeDocument/2006/relationships/hyperlink" Target="http://www.sec.gov/Archives/edgar/data/4515/000119312517011067/d319419dex418.htm" TargetMode="External"/><Relationship Id="rId194" Type="http://schemas.openxmlformats.org/officeDocument/2006/relationships/hyperlink" Target="http://www.sec.gov/Archives/edgar/data/4515/000119312517011067/d319419dex419.htm" TargetMode="External"/><Relationship Id="rId195" Type="http://schemas.openxmlformats.org/officeDocument/2006/relationships/hyperlink" Target="http://www.sec.gov/Archives/edgar/data/4515/000119312517011067/d319419dex420.htm" TargetMode="External"/><Relationship Id="rId196" Type="http://schemas.openxmlformats.org/officeDocument/2006/relationships/hyperlink" Target="http://www.sec.gov/Archives/edgar/data/4515/000119312517140927/d358913dex420.htm" TargetMode="External"/><Relationship Id="rId197" Type="http://schemas.openxmlformats.org/officeDocument/2006/relationships/hyperlink" Target="http://www.sec.gov/Archives/edgar/data/4515/000119312517140927/d358913dex421.htm" TargetMode="External"/><Relationship Id="rId198" Type="http://schemas.openxmlformats.org/officeDocument/2006/relationships/hyperlink" Target="http://www.sec.gov/Archives/edgar/data/4515/000119312517140927/d358913dex422.htm" TargetMode="External"/><Relationship Id="rId199" Type="http://schemas.openxmlformats.org/officeDocument/2006/relationships/hyperlink" Target="http://www.sec.gov/Archives/edgar/data/4515/000119312517140927/d358913dex423.htm" TargetMode="External"/><Relationship Id="rId200" Type="http://schemas.openxmlformats.org/officeDocument/2006/relationships/hyperlink" Target="http://www.sec.gov/Archives/edgar/data/4515/000119312517052055/d366751dex41.htm" TargetMode="External"/><Relationship Id="rId201" Type="http://schemas.openxmlformats.org/officeDocument/2006/relationships/hyperlink" Target="http://www.sec.gov/Archives/edgar/data/4515/000119312517052055/d366751dex42.htm" TargetMode="External"/><Relationship Id="rId202" Type="http://schemas.openxmlformats.org/officeDocument/2006/relationships/hyperlink" Target="http://www.sec.gov/Archives/edgar/data/4515/000119312517257245/d376721dex42.htm" TargetMode="External"/><Relationship Id="rId203" Type="http://schemas.openxmlformats.org/officeDocument/2006/relationships/hyperlink" Target="http://www.sec.gov/Archives/edgar/data/4515/000119312517257245/d376721dex43.htm" TargetMode="External"/><Relationship Id="rId204" Type="http://schemas.openxmlformats.org/officeDocument/2006/relationships/hyperlink" Target="http://www.sec.gov/Archives/edgar/data/4515/000119312517257245/d376721dex44.htm" TargetMode="External"/><Relationship Id="rId205" Type="http://schemas.openxmlformats.org/officeDocument/2006/relationships/hyperlink" Target="http://www.sec.gov/Archives/edgar/data/4515/000119312517257245/d376721dex49.htm" TargetMode="External"/><Relationship Id="rId206" Type="http://schemas.openxmlformats.org/officeDocument/2006/relationships/hyperlink" Target="http://www.sec.gov/Archives/edgar/data/4515/000119312517257245/d376721dex414.htm" TargetMode="External"/><Relationship Id="rId207" Type="http://schemas.openxmlformats.org/officeDocument/2006/relationships/hyperlink" Target="http://www.sec.gov/Archives/edgar/data/4515/000119312517257245/d376721dex415.htm" TargetMode="External"/><Relationship Id="rId208" Type="http://schemas.openxmlformats.org/officeDocument/2006/relationships/hyperlink" Target="http://www.sec.gov/Archives/edgar/data/4515/000119312517304687/d466899dex42.htm" TargetMode="External"/><Relationship Id="rId209" Type="http://schemas.openxmlformats.org/officeDocument/2006/relationships/hyperlink" Target="http://www.sec.gov/Archives/edgar/data/4515/000119312517304687/d466899dex44.htm" TargetMode="External"/><Relationship Id="rId210" Type="http://schemas.openxmlformats.org/officeDocument/2006/relationships/hyperlink" Target="http://www.sec.gov/Archives/edgar/data/4515/000119312517305920/d463889dex46.htm#toc463889_35" TargetMode="External"/><Relationship Id="rId211" Type="http://schemas.openxmlformats.org/officeDocument/2006/relationships/hyperlink" Target="http://www.sec.gov/Archives/edgar/data/4515/000119312517304687/d466899dex48.htm" TargetMode="External"/><Relationship Id="rId212" Type="http://schemas.openxmlformats.org/officeDocument/2006/relationships/hyperlink" Target="http://www.sec.gov/Archives/edgar/data/4515/000119312517305920/d463889dex42.htm" TargetMode="External"/><Relationship Id="rId213" Type="http://schemas.openxmlformats.org/officeDocument/2006/relationships/hyperlink" Target="http://www.sec.gov/Archives/edgar/data/4515/000119312517305920/d463889dex43.htm" TargetMode="External"/><Relationship Id="rId214" Type="http://schemas.openxmlformats.org/officeDocument/2006/relationships/hyperlink" Target="http://www.sec.gov/Archives/edgar/data/4515/000119312517305920/d463889dex46.htm" TargetMode="External"/><Relationship Id="rId215" Type="http://schemas.openxmlformats.org/officeDocument/2006/relationships/hyperlink" Target="http://www.sec.gov/Archives/edgar/data/4515/000119312517305920/d463889dex46.htm#ex4_6" TargetMode="External"/><Relationship Id="rId216" Type="http://schemas.openxmlformats.org/officeDocument/2006/relationships/hyperlink" Target="http://www.sec.gov/Archives/edgar/data/4515/000119312517305920/d463889dex46.htm#ex4_6b" TargetMode="External"/><Relationship Id="rId217" Type="http://schemas.openxmlformats.org/officeDocument/2006/relationships/hyperlink" Target="http://www.sec.gov/Archives/edgar/data/4515/000119312517305920/d463889dex46.htm#ex4_6a" TargetMode="External"/><Relationship Id="rId218" Type="http://schemas.openxmlformats.org/officeDocument/2006/relationships/hyperlink" Target="http://www.sec.gov/Archives/edgar/data/4515/000119312517305920/d463889dex42.htm#ex4_2toc463889_35" TargetMode="External"/><Relationship Id="rId219" Type="http://schemas.openxmlformats.org/officeDocument/2006/relationships/hyperlink" Target="http://www.sec.gov/Archives/edgar/data/4515/000119312517305920/d463889dex412.htm" TargetMode="External"/><Relationship Id="rId220" Type="http://schemas.openxmlformats.org/officeDocument/2006/relationships/hyperlink" Target="http://www.sec.gov/Archives/edgar/data/4515/000119312518165266/d589456dex42.htm" TargetMode="External"/><Relationship Id="rId221" Type="http://schemas.openxmlformats.org/officeDocument/2006/relationships/hyperlink" Target="http://www.sec.gov/Archives/edgar/data/4515/000119312518165266/d589456dex46.htm" TargetMode="External"/><Relationship Id="rId222" Type="http://schemas.openxmlformats.org/officeDocument/2006/relationships/hyperlink" Target="http://www.sec.gov/Archives/edgar/data/4515/000119312519222562/d774498dex42.htm" TargetMode="External"/><Relationship Id="rId223" Type="http://schemas.openxmlformats.org/officeDocument/2006/relationships/hyperlink" Target="http://www.sec.gov/Archives/edgar/data/4515/000119312519222562/d774498dex43.htm" TargetMode="External"/><Relationship Id="rId224" Type="http://schemas.openxmlformats.org/officeDocument/2006/relationships/hyperlink" Target="http://www.sec.gov/Archives/edgar/data/4515/000119312519222562/d774498dex44.htm" TargetMode="External"/><Relationship Id="rId225" Type="http://schemas.openxmlformats.org/officeDocument/2006/relationships/hyperlink" Target="http://www.sec.gov/Archives/edgar/data/4515/000119312519222562/d774498dex45.htm" TargetMode="External"/><Relationship Id="rId226" Type="http://schemas.openxmlformats.org/officeDocument/2006/relationships/hyperlink" Target="http://www.sec.gov/Archives/edgar/data/4515/000119312519222562/d774498dex46.htm" TargetMode="External"/><Relationship Id="rId227" Type="http://schemas.openxmlformats.org/officeDocument/2006/relationships/hyperlink" Target="http://www.sec.gov/Archives/edgar/data/4515/000119312519222562/d774498dex47.htm" TargetMode="External"/><Relationship Id="rId228" Type="http://schemas.openxmlformats.org/officeDocument/2006/relationships/hyperlink" Target="http://www.sec.gov/Archives/edgar/data/4515/000119312519222562/d774498dex48.htm" TargetMode="External"/><Relationship Id="rId229" Type="http://schemas.openxmlformats.org/officeDocument/2006/relationships/hyperlink" Target="http://www.sec.gov/Archives/edgar/data/4515/000119312519222562/d774498dex49.htm" TargetMode="External"/><Relationship Id="rId230" Type="http://schemas.openxmlformats.org/officeDocument/2006/relationships/hyperlink" Target="http://www.sec.gov/Archives/edgar/data/4515/000119312519222562/d774498dex410.htm" TargetMode="External"/><Relationship Id="rId231" Type="http://schemas.openxmlformats.org/officeDocument/2006/relationships/hyperlink" Target="http://www.sec.gov/Archives/edgar/data/4515/000119312519222562/d774498dex411.htm" TargetMode="External"/><Relationship Id="rId232" Type="http://schemas.openxmlformats.org/officeDocument/2006/relationships/hyperlink" Target="http://www.sec.gov/Archives/edgar/data/4515/000119312519222562/d774498dex412.htm" TargetMode="External"/><Relationship Id="rId233" Type="http://schemas.openxmlformats.org/officeDocument/2006/relationships/hyperlink" Target="http://www.sec.gov/Archives/edgar/data/4515/000119312519222562/d774498dex418.htm" TargetMode="External"/><Relationship Id="rId234" Type="http://schemas.openxmlformats.org/officeDocument/2006/relationships/hyperlink" Target="http://www.sec.gov/Archives/edgar/data/4515/000119312519222562/d774498dex419.htm" TargetMode="External"/><Relationship Id="rId235" Type="http://schemas.openxmlformats.org/officeDocument/2006/relationships/hyperlink" Target="http://www.sec.gov/Archives/edgar/data/4515/000119312519222562/d774498dex420.htm" TargetMode="External"/><Relationship Id="rId236" Type="http://schemas.openxmlformats.org/officeDocument/2006/relationships/hyperlink" Target="http://www.sec.gov/Archives/edgar/data/4515/000119312517051216/d286458dex101.htm" TargetMode="External"/><Relationship Id="rId237" Type="http://schemas.openxmlformats.org/officeDocument/2006/relationships/hyperlink" Target="http://www.sec.gov/Archives/edgar/data/4515/000000620118000009/ex10210k2017.htm" TargetMode="External"/><Relationship Id="rId238" Type="http://schemas.openxmlformats.org/officeDocument/2006/relationships/hyperlink" Target="http://www.sec.gov/Archives/edgar/data/4515/000119312515261937/d945812dex104.htm" TargetMode="External"/><Relationship Id="rId239" Type="http://schemas.openxmlformats.org/officeDocument/2006/relationships/hyperlink" Target="http://www.sec.gov/Archives/edgar/data/4515/000119312516474605/d78287dex106.htm" TargetMode="External"/><Relationship Id="rId240" Type="http://schemas.openxmlformats.org/officeDocument/2006/relationships/hyperlink" Target="http://www.sec.gov/Archives/edgar/data/4515/000119312516742263/d247546dex101.htm" TargetMode="External"/><Relationship Id="rId241" Type="http://schemas.openxmlformats.org/officeDocument/2006/relationships/hyperlink" Target="http://www.sec.gov/Archives/edgar/data/4515/000119312517239325/d416225dex102.htm" TargetMode="External"/><Relationship Id="rId242" Type="http://schemas.openxmlformats.org/officeDocument/2006/relationships/hyperlink" Target="http://www.sec.gov/Archives/edgar/data/4515/000000620118000016/ex10110qq118.htm" TargetMode="External"/><Relationship Id="rId243" Type="http://schemas.openxmlformats.org/officeDocument/2006/relationships/hyperlink" Target="http://www.sec.gov/Archives/edgar/data/4515/000000620118000039/ex10110qq318.htm" TargetMode="External"/><Relationship Id="rId244" Type="http://schemas.openxmlformats.org/officeDocument/2006/relationships/hyperlink" Target="http://www.sec.gov/Archives/edgar/data/4515/000000620119000009/ex10910k2018.htm" TargetMode="External"/><Relationship Id="rId245" Type="http://schemas.openxmlformats.org/officeDocument/2006/relationships/hyperlink" Target="http://www.sec.gov/Archives/edgar/data/4515/000119312515261937/d945812dex105.htm" TargetMode="External"/><Relationship Id="rId246" Type="http://schemas.openxmlformats.org/officeDocument/2006/relationships/hyperlink" Target="http://www.sec.gov/Archives/edgar/data/4515/000119312516474605/d78287dex108.htm" TargetMode="External"/><Relationship Id="rId247" Type="http://schemas.openxmlformats.org/officeDocument/2006/relationships/hyperlink" Target="http://www.sec.gov/Archives/edgar/data/4515/000119312517140927/d358913dex102.htm" TargetMode="External"/><Relationship Id="rId248" Type="http://schemas.openxmlformats.org/officeDocument/2006/relationships/hyperlink" Target="http://www.sec.gov/Archives/edgar/data/4515/000000620118000009/ex101110k2017.htm" TargetMode="External"/><Relationship Id="rId249" Type="http://schemas.openxmlformats.org/officeDocument/2006/relationships/hyperlink" Target="http://www.sec.gov/Archives/edgar/data/4515/000000620118000027/ex10310qq218.htm" TargetMode="External"/><Relationship Id="rId250" Type="http://schemas.openxmlformats.org/officeDocument/2006/relationships/hyperlink" Target="http://www.sec.gov/Archives/edgar/data/4515/000000620119000009/ex101510k2018.htm" TargetMode="External"/><Relationship Id="rId251" Type="http://schemas.openxmlformats.org/officeDocument/2006/relationships/hyperlink" Target="http://www.sec.gov/Archives/edgar/data/4515/000119312516654354/d204187dex102.htm" TargetMode="External"/><Relationship Id="rId252" Type="http://schemas.openxmlformats.org/officeDocument/2006/relationships/hyperlink" Target="http://www.sec.gov/Archives/edgar/data/4515/000119312517051216/d286458dex1081.htm" TargetMode="External"/><Relationship Id="rId253" Type="http://schemas.openxmlformats.org/officeDocument/2006/relationships/hyperlink" Target="http://www.sec.gov/Archives/edgar/data/4515/000000620118000009/ex101510k2017.htm" TargetMode="External"/><Relationship Id="rId254" Type="http://schemas.openxmlformats.org/officeDocument/2006/relationships/hyperlink" Target="http://www.sec.gov/Archives/edgar/data/4515/000000620118000009/ex101610k2017.htm" TargetMode="External"/><Relationship Id="rId255" Type="http://schemas.openxmlformats.org/officeDocument/2006/relationships/hyperlink" Target="http://www.sec.gov/Archives/edgar/data/4515/000000620119000009/ex102010k2018.htm" TargetMode="External"/><Relationship Id="rId256" Type="http://schemas.openxmlformats.org/officeDocument/2006/relationships/hyperlink" Target="http://www.sec.gov/Archives/edgar/data/4515/000000451509000008/ex1029.htm" TargetMode="External"/><Relationship Id="rId257" Type="http://schemas.openxmlformats.org/officeDocument/2006/relationships/hyperlink" Target="http://www.sec.gov/Archives/edgar/data/6201/000095012310066894/d73384exv10w2.htm" TargetMode="External"/><Relationship Id="rId258" Type="http://schemas.openxmlformats.org/officeDocument/2006/relationships/hyperlink" Target="http://www.sec.gov/Archives/edgar/data/6201/000000620113000040/d516424dex102.htm" TargetMode="External"/><Relationship Id="rId259" Type="http://schemas.openxmlformats.org/officeDocument/2006/relationships/hyperlink" Target="http://www.sec.gov/Archives/edgar/data/4515/000000620114000014/d759439dex106.htm" TargetMode="External"/><Relationship Id="rId260" Type="http://schemas.openxmlformats.org/officeDocument/2006/relationships/hyperlink" Target="http://www.sec.gov/Archives/edgar/data/4515/000119312515145178/d900175dex102.htm" TargetMode="External"/><Relationship Id="rId261" Type="http://schemas.openxmlformats.org/officeDocument/2006/relationships/hyperlink" Target="http://www.sec.gov/Archives/edgar/data/4515/000119312515261937/d945812dex102.htm" TargetMode="External"/><Relationship Id="rId262" Type="http://schemas.openxmlformats.org/officeDocument/2006/relationships/hyperlink" Target="http://www.sec.gov/Archives/edgar/data/4515/000119312516742263/d247546dex103.htm" TargetMode="External"/><Relationship Id="rId263" Type="http://schemas.openxmlformats.org/officeDocument/2006/relationships/hyperlink" Target="http://www.sec.gov/Archives/edgar/data/4515/000119312517140927/d358913dex103.htm" TargetMode="External"/><Relationship Id="rId264" Type="http://schemas.openxmlformats.org/officeDocument/2006/relationships/hyperlink" Target="http://www.sec.gov/Archives/edgar/data/4515/000119312517239325/d416225dex105.htm" TargetMode="External"/><Relationship Id="rId265" Type="http://schemas.openxmlformats.org/officeDocument/2006/relationships/hyperlink" Target="http://www.sec.gov/Archives/edgar/data/4515/000119312517239325/d416225dex106.htm" TargetMode="External"/><Relationship Id="rId266" Type="http://schemas.openxmlformats.org/officeDocument/2006/relationships/hyperlink" Target="http://www.sec.gov/Archives/edgar/data/4515/000000620118000027/ex10110qq218.htm" TargetMode="External"/><Relationship Id="rId267" Type="http://schemas.openxmlformats.org/officeDocument/2006/relationships/hyperlink" Target="http://www.sec.gov/Archives/edgar/data/4515/000000620119000053/ex101q21910q.htm" TargetMode="External"/><Relationship Id="rId268" Type="http://schemas.openxmlformats.org/officeDocument/2006/relationships/hyperlink" Target="http://www.sec.gov/Archives/edgar/data/4515/000000620119000067/ex101q31910q.htm" TargetMode="External"/><Relationship Id="rId269" Type="http://schemas.openxmlformats.org/officeDocument/2006/relationships/hyperlink" Target="http://www.sec.gov/Archives/edgar/data/6201/000119312511274936/d236673dex104.htm" TargetMode="External"/><Relationship Id="rId270" Type="http://schemas.openxmlformats.org/officeDocument/2006/relationships/hyperlink" Target="http://www.sec.gov/Archives/edgar/data/6201/000000620113000040/d516424dex108.htm" TargetMode="External"/><Relationship Id="rId271" Type="http://schemas.openxmlformats.org/officeDocument/2006/relationships/hyperlink" Target="http://www.sec.gov/Archives/edgar/data/6201/000000620113000067/d567093dex102.htm" TargetMode="External"/><Relationship Id="rId272" Type="http://schemas.openxmlformats.org/officeDocument/2006/relationships/hyperlink" Target="http://www.sec.gov/Archives/edgar/data/4515/000000620114000004/d682697dex1027.htm" TargetMode="External"/><Relationship Id="rId273" Type="http://schemas.openxmlformats.org/officeDocument/2006/relationships/hyperlink" Target="http://www.sec.gov/Archives/edgar/data/4515/000000620114000014/d759439dex101.htm" TargetMode="External"/><Relationship Id="rId274" Type="http://schemas.openxmlformats.org/officeDocument/2006/relationships/hyperlink" Target="http://www.sec.gov/Archives/edgar/data/4515/000000620114000014/d759439dex102.htm" TargetMode="External"/><Relationship Id="rId275" Type="http://schemas.openxmlformats.org/officeDocument/2006/relationships/hyperlink" Target="http://www.sec.gov/Archives/edgar/data/4515/000000620114000014/d759439dex103.htm" TargetMode="External"/><Relationship Id="rId276" Type="http://schemas.openxmlformats.org/officeDocument/2006/relationships/hyperlink" Target="http://www.sec.gov/Archives/edgar/data/4515/000119312515061145/d829913dex1051.htm" TargetMode="External"/><Relationship Id="rId277" Type="http://schemas.openxmlformats.org/officeDocument/2006/relationships/hyperlink" Target="http://www.sec.gov/Archives/edgar/data/4515/000119312515261937/d945812dex101.htm" TargetMode="External"/><Relationship Id="rId278" Type="http://schemas.openxmlformats.org/officeDocument/2006/relationships/hyperlink" Target="http://www.sec.gov/Archives/edgar/data/4515/000119312515351246/d14219dex103.htm" TargetMode="External"/><Relationship Id="rId279" Type="http://schemas.openxmlformats.org/officeDocument/2006/relationships/hyperlink" Target="http://www.sec.gov/Archives/edgar/data/4515/000000620118000039/ex10210qq318.htm" TargetMode="External"/><Relationship Id="rId280" Type="http://schemas.openxmlformats.org/officeDocument/2006/relationships/hyperlink" Target="http://www.sec.gov/Archives/edgar/data/4515/000000620119000053/ex102q21910q.htm" TargetMode="External"/><Relationship Id="rId281" Type="http://schemas.openxmlformats.org/officeDocument/2006/relationships/hyperlink" Target="http://www.sec.gov/Archives/edgar/data/6201/000000620113000040/d516424dex107.htm" TargetMode="External"/><Relationship Id="rId282" Type="http://schemas.openxmlformats.org/officeDocument/2006/relationships/hyperlink" Target="http://www.sec.gov/Archives/edgar/data/6201/000000620113000067/d567093dex101.htm" TargetMode="External"/><Relationship Id="rId283" Type="http://schemas.openxmlformats.org/officeDocument/2006/relationships/hyperlink" Target="http://www.sec.gov/Archives/edgar/data/4515/000119312515145178/d900175dex101.htm" TargetMode="External"/><Relationship Id="rId284" Type="http://schemas.openxmlformats.org/officeDocument/2006/relationships/hyperlink" Target="http://www.sec.gov/Archives/edgar/data/4515/000119312515261937/d945812dex103.htm" TargetMode="External"/><Relationship Id="rId285" Type="http://schemas.openxmlformats.org/officeDocument/2006/relationships/hyperlink" Target="http://www.sec.gov/Archives/edgar/data/4515/000119312516551225/d164093dex102.htm" TargetMode="External"/><Relationship Id="rId286" Type="http://schemas.openxmlformats.org/officeDocument/2006/relationships/hyperlink" Target="http://www.sec.gov/Archives/edgar/data/4515/000119312516654354/d204187dex103.htm" TargetMode="External"/><Relationship Id="rId287" Type="http://schemas.openxmlformats.org/officeDocument/2006/relationships/hyperlink" Target="http://www.sec.gov/Archives/edgar/data/4515/000119312516742263/d247546dex102.htm" TargetMode="External"/><Relationship Id="rId288" Type="http://schemas.openxmlformats.org/officeDocument/2006/relationships/hyperlink" Target="http://www.sec.gov/Archives/edgar/data/4515/000119312517051216/d286458dex1033.htm" TargetMode="External"/><Relationship Id="rId289" Type="http://schemas.openxmlformats.org/officeDocument/2006/relationships/hyperlink" Target="http://www.sec.gov/Archives/edgar/data/4515/000119312517140927/d358913dex101.htm" TargetMode="External"/><Relationship Id="rId290" Type="http://schemas.openxmlformats.org/officeDocument/2006/relationships/hyperlink" Target="http://www.sec.gov/Archives/edgar/data/4515/000000620118000009/ex104510k2017.htm" TargetMode="External"/><Relationship Id="rId291" Type="http://schemas.openxmlformats.org/officeDocument/2006/relationships/hyperlink" Target="http://www.sec.gov/Archives/edgar/data/4515/000000620118000027/ex10210qq218.htm" TargetMode="External"/><Relationship Id="rId292" Type="http://schemas.openxmlformats.org/officeDocument/2006/relationships/hyperlink" Target="http://www.sec.gov/Archives/edgar/data/4515/000000620119000023/ex10110q2019.htm" TargetMode="External"/><Relationship Id="rId293" Type="http://schemas.openxmlformats.org/officeDocument/2006/relationships/hyperlink" Target="http://www.sec.gov/Archives/edgar/data/4515/000119312516474605/d78287dex1098.htm" TargetMode="External"/><Relationship Id="rId294" Type="http://schemas.openxmlformats.org/officeDocument/2006/relationships/hyperlink" Target="http://www.sec.gov/Archives/edgar/data/6201/000000620109000009/ex10127.htm" TargetMode="External"/><Relationship Id="rId295" Type="http://schemas.openxmlformats.org/officeDocument/2006/relationships/hyperlink" Target="http://www.sec.gov/Archives/edgar/data/6201/000000620109000009/ex10128.htm" TargetMode="External"/><Relationship Id="rId296" Type="http://schemas.openxmlformats.org/officeDocument/2006/relationships/hyperlink" Target="http://www.sec.gov/Archives/edgar/data/6201/000000620109000009/ex10129.htm" TargetMode="External"/><Relationship Id="rId297" Type="http://schemas.openxmlformats.org/officeDocument/2006/relationships/hyperlink" Target="http://www.sec.gov/Archives/edgar/data/6201/000119312513462268/d639480dex41.htm" TargetMode="External"/><Relationship Id="rId298" Type="http://schemas.openxmlformats.org/officeDocument/2006/relationships/hyperlink" Target="http://www.sec.gov/Archives/edgar/data/4515/000000620118000009/ex106410k2017.htm" TargetMode="External"/><Relationship Id="rId299" Type="http://schemas.openxmlformats.org/officeDocument/2006/relationships/hyperlink" Target="http://www.sec.gov/Archives/edgar/data/4515/000000620114000004/d682697dex10125.htm" TargetMode="External"/><Relationship Id="rId300" Type="http://schemas.openxmlformats.org/officeDocument/2006/relationships/hyperlink" Target="http://www.sec.gov/Archives/edgar/data/4515/000000620114000004/d682697dex10127.htm" TargetMode="External"/><Relationship Id="rId301" Type="http://schemas.openxmlformats.org/officeDocument/2006/relationships/hyperlink" Target="http://www.sec.gov/Archives/edgar/data/4515/000000620114000004/d682697dex10129.htm" TargetMode="External"/><Relationship Id="rId302" Type="http://schemas.openxmlformats.org/officeDocument/2006/relationships/hyperlink" Target="http://www.sec.gov/Archives/edgar/data/4515/000119312513466973/d640718dex109.htm" TargetMode="External"/><Relationship Id="rId303" Type="http://schemas.openxmlformats.org/officeDocument/2006/relationships/hyperlink" Target="http://www.sec.gov/Archives/edgar/data/701345/000095012311063744/p18922exv4w1.htm" TargetMode="External"/><Relationship Id="rId304" Type="http://schemas.openxmlformats.org/officeDocument/2006/relationships/hyperlink" Target="http://www.sec.gov/Archives/edgar/data/4515/000000620114000014/d759439dex108.htm" TargetMode="External"/><Relationship Id="rId305" Type="http://schemas.openxmlformats.org/officeDocument/2006/relationships/hyperlink" Target="http://www.sec.gov/Archives/edgar/data/701345/000095015308000353/p75006exv10w106.htm" TargetMode="External"/><Relationship Id="rId306" Type="http://schemas.openxmlformats.org/officeDocument/2006/relationships/hyperlink" Target="http://www.sec.gov/Archives/edgar/data/701345/000095015307002500/p74691exv10w1.htm" TargetMode="External"/><Relationship Id="rId307" Type="http://schemas.openxmlformats.org/officeDocument/2006/relationships/hyperlink" Target="http://www.sec.gov/Archives/edgar/data/4515/000119312517150428/d369665dex101.htm" TargetMode="External"/><Relationship Id="rId308" Type="http://schemas.openxmlformats.org/officeDocument/2006/relationships/hyperlink" Target="http://www.sec.gov/Archives/edgar/data/4515/000119312516566426/d189148dex101.htm" TargetMode="External"/><Relationship Id="rId309" Type="http://schemas.openxmlformats.org/officeDocument/2006/relationships/hyperlink" Target="http://www.sec.gov/Archives/edgar/data/4515/000119312513466973/d640718dex141.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2020-02-19T06:41:23Z</dcterms:created>
  <dcterms:modified xsi:type="dcterms:W3CDTF">2020-02-19T06:41:23Z</dcterms:modified>
</cp:coreProperties>
</file>